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45" w:lineRule="auto"/>
        <w:ind w:right="5812"/>
      </w:pPr>
      <w:r>
        <w:rPr/>
        <mc:AlternateContent>
          <mc:Choice Requires="wps">
            <w:drawing>
              <wp:anchor distT="0" distB="0" distL="0" distR="0" allowOverlap="1" layoutInCell="1" locked="0" behindDoc="0" simplePos="0" relativeHeight="15728640">
                <wp:simplePos x="0" y="0"/>
                <wp:positionH relativeFrom="page">
                  <wp:posOffset>401543</wp:posOffset>
                </wp:positionH>
                <wp:positionV relativeFrom="paragraph">
                  <wp:posOffset>481035</wp:posOffset>
                </wp:positionV>
                <wp:extent cx="6753225" cy="1079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7.876801pt;width:531.731217pt;height:.8008pt;mso-position-horizontal-relative:page;mso-position-vertical-relative:paragraph;z-index:15728640" id="docshape1" filled="true" fillcolor="#242b67" stroked="false">
                <v:fill type="solid"/>
                <w10:wrap type="none"/>
              </v:rect>
            </w:pict>
          </mc:Fallback>
        </mc:AlternateContent>
      </w:r>
      <w:r>
        <w:rPr/>
        <mc:AlternateContent>
          <mc:Choice Requires="wps">
            <w:drawing>
              <wp:anchor distT="0" distB="0" distL="0" distR="0" allowOverlap="1" layoutInCell="1" locked="0" behindDoc="0" simplePos="0" relativeHeight="15729152">
                <wp:simplePos x="0" y="0"/>
                <wp:positionH relativeFrom="page">
                  <wp:posOffset>401543</wp:posOffset>
                </wp:positionH>
                <wp:positionV relativeFrom="paragraph">
                  <wp:posOffset>1009883</wp:posOffset>
                </wp:positionV>
                <wp:extent cx="6753225" cy="1079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79.518402pt;width:531.731217pt;height:.8008pt;mso-position-horizontal-relative:page;mso-position-vertical-relative:paragraph;z-index:15729152" id="docshape2" filled="true" fillcolor="#242b67" stroked="false">
                <v:fill type="solid"/>
                <w10:wrap type="none"/>
              </v:rect>
            </w:pict>
          </mc:Fallback>
        </mc:AlternateContent>
      </w:r>
      <w:r>
        <w:rPr>
          <w:color w:val="A26108"/>
        </w:rPr>
        <w:t>Capítulo 49 Cardiopatias</w:t>
      </w:r>
      <w:r>
        <w:rPr>
          <w:color w:val="A26108"/>
          <w:spacing w:val="-16"/>
        </w:rPr>
        <w:t> </w:t>
      </w:r>
      <w:r>
        <w:rPr>
          <w:color w:val="A26108"/>
        </w:rPr>
        <w:t>Valvares</w:t>
      </w:r>
    </w:p>
    <w:p>
      <w:pPr>
        <w:spacing w:line="270" w:lineRule="exact" w:before="0"/>
        <w:ind w:left="68" w:right="0" w:firstLine="0"/>
        <w:jc w:val="left"/>
        <w:rPr>
          <w:rFonts w:ascii="Arial"/>
          <w:i/>
          <w:sz w:val="25"/>
        </w:rPr>
      </w:pPr>
      <w:r>
        <w:rPr>
          <w:rFonts w:ascii="Arial"/>
          <w:i/>
          <w:sz w:val="25"/>
        </w:rPr>
        <w:t>Marisa</w:t>
      </w:r>
      <w:r>
        <w:rPr>
          <w:rFonts w:ascii="Arial"/>
          <w:i/>
          <w:spacing w:val="12"/>
          <w:sz w:val="25"/>
        </w:rPr>
        <w:t> </w:t>
      </w:r>
      <w:r>
        <w:rPr>
          <w:rFonts w:ascii="Arial"/>
          <w:i/>
          <w:sz w:val="25"/>
        </w:rPr>
        <w:t>Amato</w:t>
      </w:r>
      <w:r>
        <w:rPr>
          <w:rFonts w:ascii="Arial"/>
          <w:i/>
          <w:spacing w:val="13"/>
          <w:sz w:val="25"/>
        </w:rPr>
        <w:t> </w:t>
      </w:r>
      <w:r>
        <w:rPr>
          <w:rFonts w:ascii="Arial"/>
          <w:i/>
          <w:sz w:val="25"/>
        </w:rPr>
        <w:t>e</w:t>
      </w:r>
      <w:r>
        <w:rPr>
          <w:rFonts w:ascii="Arial"/>
          <w:i/>
          <w:spacing w:val="12"/>
          <w:sz w:val="25"/>
        </w:rPr>
        <w:t> </w:t>
      </w:r>
      <w:r>
        <w:rPr>
          <w:rFonts w:ascii="Arial"/>
          <w:i/>
          <w:sz w:val="25"/>
        </w:rPr>
        <w:t>Paulo</w:t>
      </w:r>
      <w:r>
        <w:rPr>
          <w:rFonts w:ascii="Arial"/>
          <w:i/>
          <w:spacing w:val="13"/>
          <w:sz w:val="25"/>
        </w:rPr>
        <w:t> </w:t>
      </w:r>
      <w:r>
        <w:rPr>
          <w:rFonts w:ascii="Arial"/>
          <w:i/>
          <w:sz w:val="25"/>
        </w:rPr>
        <w:t>Jorge</w:t>
      </w:r>
      <w:r>
        <w:rPr>
          <w:rFonts w:ascii="Arial"/>
          <w:i/>
          <w:spacing w:val="12"/>
          <w:sz w:val="25"/>
        </w:rPr>
        <w:t> </w:t>
      </w:r>
      <w:r>
        <w:rPr>
          <w:rFonts w:ascii="Arial"/>
          <w:i/>
          <w:spacing w:val="-2"/>
          <w:sz w:val="25"/>
        </w:rPr>
        <w:t>Moffa</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spacing w:before="1"/>
      </w:pPr>
      <w:r>
        <w:rPr>
          <w:color w:val="242B67"/>
          <w:spacing w:val="-2"/>
        </w:rPr>
        <w:t>Introdução</w:t>
      </w:r>
    </w:p>
    <w:p>
      <w:pPr>
        <w:pStyle w:val="BodyText"/>
        <w:spacing w:line="276" w:lineRule="auto" w:before="131"/>
        <w:ind w:right="488"/>
      </w:pPr>
      <w:r>
        <w:rPr/>
        <w:t>As disfunções valvares constituem grupo frequente de cardiopatias em nosso meio. Em associação com a doença</w:t>
      </w:r>
      <w:r>
        <w:rPr>
          <w:spacing w:val="-2"/>
        </w:rPr>
        <w:t> </w:t>
      </w:r>
      <w:r>
        <w:rPr/>
        <w:t>reumática, é</w:t>
      </w:r>
      <w:r>
        <w:rPr>
          <w:spacing w:val="-2"/>
        </w:rPr>
        <w:t> </w:t>
      </w:r>
      <w:r>
        <w:rPr/>
        <w:t>responsável pela</w:t>
      </w:r>
      <w:r>
        <w:rPr>
          <w:spacing w:val="-2"/>
        </w:rPr>
        <w:t> </w:t>
      </w:r>
      <w:r>
        <w:rPr/>
        <w:t>mortalidade</w:t>
      </w:r>
      <w:r>
        <w:rPr>
          <w:spacing w:val="-2"/>
        </w:rPr>
        <w:t> </w:t>
      </w:r>
      <w:r>
        <w:rPr/>
        <w:t>de</w:t>
      </w:r>
      <w:r>
        <w:rPr>
          <w:spacing w:val="-2"/>
        </w:rPr>
        <w:t> </w:t>
      </w:r>
      <w:r>
        <w:rPr/>
        <w:t>mais de</w:t>
      </w:r>
      <w:r>
        <w:rPr>
          <w:spacing w:val="-2"/>
        </w:rPr>
        <w:t> </w:t>
      </w:r>
      <w:r>
        <w:rPr/>
        <w:t>50% das crianças de</w:t>
      </w:r>
      <w:r>
        <w:rPr>
          <w:spacing w:val="-2"/>
        </w:rPr>
        <w:t> </w:t>
      </w:r>
      <w:r>
        <w:rPr/>
        <w:t>5 a</w:t>
      </w:r>
      <w:r>
        <w:rPr>
          <w:spacing w:val="-2"/>
        </w:rPr>
        <w:t> </w:t>
      </w:r>
      <w:r>
        <w:rPr/>
        <w:t>12 anos.</w:t>
      </w:r>
    </w:p>
    <w:p>
      <w:pPr>
        <w:pStyle w:val="BodyText"/>
        <w:spacing w:line="276" w:lineRule="auto"/>
        <w:ind w:right="497"/>
      </w:pPr>
      <w:r>
        <w:rPr/>
        <w:t>O aprimoramento da ecodopplercardiografia tem permitido o estudo mais preciso, de maneira não invasiva, progressiva,</w:t>
      </w:r>
      <w:r>
        <w:rPr>
          <w:spacing w:val="-4"/>
        </w:rPr>
        <w:t> </w:t>
      </w:r>
      <w:r>
        <w:rPr/>
        <w:t>da</w:t>
      </w:r>
      <w:r>
        <w:rPr>
          <w:spacing w:val="-13"/>
        </w:rPr>
        <w:t> </w:t>
      </w:r>
      <w:r>
        <w:rPr/>
        <w:t>anatomia</w:t>
      </w:r>
      <w:r>
        <w:rPr>
          <w:spacing w:val="-13"/>
        </w:rPr>
        <w:t> </w:t>
      </w:r>
      <w:r>
        <w:rPr/>
        <w:t>e</w:t>
      </w:r>
      <w:r>
        <w:rPr>
          <w:spacing w:val="-13"/>
        </w:rPr>
        <w:t> </w:t>
      </w:r>
      <w:r>
        <w:rPr/>
        <w:t>da</w:t>
      </w:r>
      <w:r>
        <w:rPr>
          <w:spacing w:val="-13"/>
        </w:rPr>
        <w:t> </w:t>
      </w:r>
      <w:r>
        <w:rPr/>
        <w:t>dinâmica</w:t>
      </w:r>
      <w:r>
        <w:rPr>
          <w:spacing w:val="-13"/>
        </w:rPr>
        <w:t> </w:t>
      </w:r>
      <w:r>
        <w:rPr/>
        <w:t>do</w:t>
      </w:r>
      <w:r>
        <w:rPr>
          <w:spacing w:val="-11"/>
        </w:rPr>
        <w:t> </w:t>
      </w:r>
      <w:r>
        <w:rPr/>
        <w:t>coração.</w:t>
      </w:r>
      <w:r>
        <w:rPr>
          <w:spacing w:val="-4"/>
        </w:rPr>
        <w:t> </w:t>
      </w:r>
      <w:r>
        <w:rPr/>
        <w:t>A</w:t>
      </w:r>
      <w:r>
        <w:rPr>
          <w:spacing w:val="-13"/>
        </w:rPr>
        <w:t> </w:t>
      </w:r>
      <w:r>
        <w:rPr/>
        <w:t>evolução</w:t>
      </w:r>
      <w:r>
        <w:rPr>
          <w:spacing w:val="-11"/>
        </w:rPr>
        <w:t> </w:t>
      </w:r>
      <w:r>
        <w:rPr/>
        <w:t>desse</w:t>
      </w:r>
      <w:r>
        <w:rPr>
          <w:spacing w:val="-13"/>
        </w:rPr>
        <w:t> </w:t>
      </w:r>
      <w:r>
        <w:rPr/>
        <w:t>método</w:t>
      </w:r>
      <w:r>
        <w:rPr>
          <w:spacing w:val="-11"/>
        </w:rPr>
        <w:t> </w:t>
      </w:r>
      <w:r>
        <w:rPr/>
        <w:t>facilitou</w:t>
      </w:r>
      <w:r>
        <w:rPr>
          <w:spacing w:val="-11"/>
        </w:rPr>
        <w:t> </w:t>
      </w:r>
      <w:r>
        <w:rPr/>
        <w:t>muito</w:t>
      </w:r>
      <w:r>
        <w:rPr>
          <w:spacing w:val="-11"/>
        </w:rPr>
        <w:t> </w:t>
      </w:r>
      <w:r>
        <w:rPr/>
        <w:t>a</w:t>
      </w:r>
      <w:r>
        <w:rPr>
          <w:spacing w:val="-13"/>
        </w:rPr>
        <w:t> </w:t>
      </w:r>
      <w:r>
        <w:rPr/>
        <w:t>identificação</w:t>
      </w:r>
      <w:r>
        <w:rPr>
          <w:spacing w:val="-11"/>
        </w:rPr>
        <w:t> </w:t>
      </w:r>
      <w:r>
        <w:rPr/>
        <w:t>precoce e precisa das cardiopatias valvares. O diagnóstico em fase ainda assintomática trouxe outro tipo de problema: a possibilidade</w:t>
      </w:r>
      <w:r>
        <w:rPr>
          <w:spacing w:val="-5"/>
        </w:rPr>
        <w:t> </w:t>
      </w:r>
      <w:r>
        <w:rPr/>
        <w:t>de</w:t>
      </w:r>
      <w:r>
        <w:rPr>
          <w:spacing w:val="-5"/>
        </w:rPr>
        <w:t> </w:t>
      </w:r>
      <w:r>
        <w:rPr/>
        <w:t>cuidar adequadamente</w:t>
      </w:r>
      <w:r>
        <w:rPr>
          <w:spacing w:val="-5"/>
        </w:rPr>
        <w:t> </w:t>
      </w:r>
      <w:r>
        <w:rPr/>
        <w:t>desse</w:t>
      </w:r>
      <w:r>
        <w:rPr>
          <w:spacing w:val="-5"/>
        </w:rPr>
        <w:t> </w:t>
      </w:r>
      <w:r>
        <w:rPr/>
        <w:t>paciente</w:t>
      </w:r>
      <w:r>
        <w:rPr>
          <w:spacing w:val="-5"/>
        </w:rPr>
        <w:t> </w:t>
      </w:r>
      <w:r>
        <w:rPr/>
        <w:t>a</w:t>
      </w:r>
      <w:r>
        <w:rPr>
          <w:spacing w:val="-5"/>
        </w:rPr>
        <w:t> </w:t>
      </w:r>
      <w:r>
        <w:rPr/>
        <w:t>ponto</w:t>
      </w:r>
      <w:r>
        <w:rPr>
          <w:spacing w:val="-3"/>
        </w:rPr>
        <w:t> </w:t>
      </w:r>
      <w:r>
        <w:rPr/>
        <w:t>de</w:t>
      </w:r>
      <w:r>
        <w:rPr>
          <w:spacing w:val="-5"/>
        </w:rPr>
        <w:t> </w:t>
      </w:r>
      <w:r>
        <w:rPr/>
        <w:t>modificar a</w:t>
      </w:r>
      <w:r>
        <w:rPr>
          <w:spacing w:val="-5"/>
        </w:rPr>
        <w:t> </w:t>
      </w:r>
      <w:r>
        <w:rPr/>
        <w:t>evolução</w:t>
      </w:r>
      <w:r>
        <w:rPr>
          <w:spacing w:val="-3"/>
        </w:rPr>
        <w:t> </w:t>
      </w:r>
      <w:r>
        <w:rPr/>
        <w:t>natural da</w:t>
      </w:r>
      <w:r>
        <w:rPr>
          <w:spacing w:val="-5"/>
        </w:rPr>
        <w:t> </w:t>
      </w:r>
      <w:r>
        <w:rPr/>
        <w:t>doença.</w:t>
      </w:r>
    </w:p>
    <w:p>
      <w:pPr>
        <w:pStyle w:val="BodyText"/>
        <w:spacing w:line="276" w:lineRule="auto" w:before="64"/>
        <w:ind w:right="488"/>
      </w:pPr>
      <w:r>
        <w:rPr/>
        <w:t>Os atuais conhecimentos de anatomia, funcional e patológica, assim como as observações feitas durante operação</w:t>
      </w:r>
      <w:r>
        <w:rPr>
          <w:spacing w:val="-12"/>
        </w:rPr>
        <w:t> </w:t>
      </w:r>
      <w:r>
        <w:rPr/>
        <w:t>corretiva,</w:t>
      </w:r>
      <w:r>
        <w:rPr>
          <w:spacing w:val="-5"/>
        </w:rPr>
        <w:t> </w:t>
      </w:r>
      <w:r>
        <w:rPr/>
        <w:t>modificaram</w:t>
      </w:r>
      <w:r>
        <w:rPr>
          <w:spacing w:val="-12"/>
        </w:rPr>
        <w:t> </w:t>
      </w:r>
      <w:r>
        <w:rPr/>
        <w:t>o</w:t>
      </w:r>
      <w:r>
        <w:rPr>
          <w:spacing w:val="-12"/>
        </w:rPr>
        <w:t> </w:t>
      </w:r>
      <w:r>
        <w:rPr/>
        <w:t>conceito</w:t>
      </w:r>
      <w:r>
        <w:rPr>
          <w:spacing w:val="-12"/>
        </w:rPr>
        <w:t> </w:t>
      </w:r>
      <w:r>
        <w:rPr/>
        <w:t>de</w:t>
      </w:r>
      <w:r>
        <w:rPr>
          <w:spacing w:val="-14"/>
        </w:rPr>
        <w:t> </w:t>
      </w:r>
      <w:r>
        <w:rPr/>
        <w:t>disfunção</w:t>
      </w:r>
      <w:r>
        <w:rPr>
          <w:spacing w:val="-12"/>
        </w:rPr>
        <w:t> </w:t>
      </w:r>
      <w:r>
        <w:rPr/>
        <w:t>valvar,</w:t>
      </w:r>
      <w:r>
        <w:rPr>
          <w:spacing w:val="-5"/>
        </w:rPr>
        <w:t> </w:t>
      </w:r>
      <w:r>
        <w:rPr/>
        <w:t>antes</w:t>
      </w:r>
      <w:r>
        <w:rPr>
          <w:spacing w:val="-5"/>
        </w:rPr>
        <w:t> </w:t>
      </w:r>
      <w:r>
        <w:rPr/>
        <w:t>restrito</w:t>
      </w:r>
      <w:r>
        <w:rPr>
          <w:spacing w:val="-12"/>
        </w:rPr>
        <w:t> </w:t>
      </w:r>
      <w:r>
        <w:rPr/>
        <w:t>a</w:t>
      </w:r>
      <w:r>
        <w:rPr>
          <w:spacing w:val="-14"/>
        </w:rPr>
        <w:t> </w:t>
      </w:r>
      <w:r>
        <w:rPr/>
        <w:t>fenômenos</w:t>
      </w:r>
      <w:r>
        <w:rPr>
          <w:spacing w:val="-5"/>
        </w:rPr>
        <w:t> </w:t>
      </w:r>
      <w:r>
        <w:rPr/>
        <w:t>de</w:t>
      </w:r>
      <w:r>
        <w:rPr>
          <w:spacing w:val="-14"/>
        </w:rPr>
        <w:t> </w:t>
      </w:r>
      <w:r>
        <w:rPr/>
        <w:t>alterações</w:t>
      </w:r>
      <w:r>
        <w:rPr>
          <w:spacing w:val="-5"/>
        </w:rPr>
        <w:t> </w:t>
      </w:r>
      <w:r>
        <w:rPr/>
        <w:t>anatômicas das valvas propriamente ditas. A função da valva depende da participação integrada de várias estruturas cardíacas, tanto daquelas que fazem parte do aparelho valvar, como das câmaras cardíacas. Assim, o aumento do ventrículo esquerdo (VE) pode levar à insuficiência mitral funcional, sem que haja lesão valvar primária, assim como o comprometimento de</w:t>
      </w:r>
      <w:r>
        <w:rPr>
          <w:spacing w:val="-3"/>
        </w:rPr>
        <w:t> </w:t>
      </w:r>
      <w:r>
        <w:rPr/>
        <w:t>qualquer um dos componentes do aparelho mitral pode</w:t>
      </w:r>
      <w:r>
        <w:rPr>
          <w:spacing w:val="-3"/>
        </w:rPr>
        <w:t> </w:t>
      </w:r>
      <w:r>
        <w:rPr/>
        <w:t>levar a</w:t>
      </w:r>
      <w:r>
        <w:rPr>
          <w:spacing w:val="-3"/>
        </w:rPr>
        <w:t> </w:t>
      </w:r>
      <w:r>
        <w:rPr/>
        <w:t>essa</w:t>
      </w:r>
      <w:r>
        <w:rPr>
          <w:spacing w:val="-3"/>
        </w:rPr>
        <w:t> </w:t>
      </w:r>
      <w:r>
        <w:rPr/>
        <w:t>disfunção.</w:t>
      </w:r>
    </w:p>
    <w:p>
      <w:pPr>
        <w:pStyle w:val="BodyText"/>
        <w:spacing w:line="276" w:lineRule="auto" w:before="49"/>
        <w:ind w:right="488"/>
      </w:pPr>
      <w:r>
        <w:rPr/>
        <w:t>Podem-se considerar três alterações valvares: estenose, insuficiência e associação das duas disfunções. Neste capítulo, o enfoque será exclusivamente sobre as lesões isoladas de cada uma das valvas.</w:t>
      </w:r>
    </w:p>
    <w:p>
      <w:pPr>
        <w:pStyle w:val="BodyText"/>
        <w:spacing w:before="186"/>
        <w:ind w:left="0" w:firstLine="0"/>
        <w:jc w:val="left"/>
      </w:pPr>
    </w:p>
    <w:p>
      <w:pPr>
        <w:pStyle w:val="Heading4"/>
      </w:pPr>
      <w:r>
        <w:rPr>
          <w:color w:val="242B67"/>
        </w:rPr>
        <w:t>Estenose valvar </w:t>
      </w:r>
      <w:r>
        <w:rPr>
          <w:color w:val="242B67"/>
          <w:spacing w:val="-2"/>
        </w:rPr>
        <w:t>mitral</w:t>
      </w:r>
    </w:p>
    <w:p>
      <w:pPr>
        <w:pStyle w:val="Heading5"/>
        <w:spacing w:before="193"/>
      </w:pPr>
      <w:r>
        <w:rPr>
          <w:color w:val="A26108"/>
          <w:spacing w:val="-2"/>
        </w:rPr>
        <w:t>Conceito</w:t>
      </w:r>
    </w:p>
    <w:p>
      <w:pPr>
        <w:pStyle w:val="BodyText"/>
        <w:spacing w:line="276" w:lineRule="auto" w:before="154"/>
        <w:ind w:right="491"/>
      </w:pPr>
      <w:r>
        <w:rPr/>
        <w:t>Estenose</w:t>
      </w:r>
      <w:r>
        <w:rPr>
          <w:spacing w:val="-5"/>
        </w:rPr>
        <w:t> </w:t>
      </w:r>
      <w:r>
        <w:rPr/>
        <w:t>mitral é</w:t>
      </w:r>
      <w:r>
        <w:rPr>
          <w:spacing w:val="-5"/>
        </w:rPr>
        <w:t> </w:t>
      </w:r>
      <w:r>
        <w:rPr/>
        <w:t>a</w:t>
      </w:r>
      <w:r>
        <w:rPr>
          <w:spacing w:val="-5"/>
        </w:rPr>
        <w:t> </w:t>
      </w:r>
      <w:r>
        <w:rPr/>
        <w:t>diminuição</w:t>
      </w:r>
      <w:r>
        <w:rPr>
          <w:spacing w:val="-2"/>
        </w:rPr>
        <w:t> </w:t>
      </w:r>
      <w:r>
        <w:rPr/>
        <w:t>do</w:t>
      </w:r>
      <w:r>
        <w:rPr>
          <w:spacing w:val="-2"/>
        </w:rPr>
        <w:t> </w:t>
      </w:r>
      <w:r>
        <w:rPr/>
        <w:t>orifício</w:t>
      </w:r>
      <w:r>
        <w:rPr>
          <w:spacing w:val="-2"/>
        </w:rPr>
        <w:t> </w:t>
      </w:r>
      <w:r>
        <w:rPr/>
        <w:t>valvar de</w:t>
      </w:r>
      <w:r>
        <w:rPr>
          <w:spacing w:val="-5"/>
        </w:rPr>
        <w:t> </w:t>
      </w:r>
      <w:r>
        <w:rPr/>
        <w:t>4</w:t>
      </w:r>
      <w:r>
        <w:rPr>
          <w:spacing w:val="-2"/>
        </w:rPr>
        <w:t> </w:t>
      </w:r>
      <w:r>
        <w:rPr/>
        <w:t>a</w:t>
      </w:r>
      <w:r>
        <w:rPr>
          <w:spacing w:val="-5"/>
        </w:rPr>
        <w:t> </w:t>
      </w:r>
      <w:r>
        <w:rPr/>
        <w:t>6</w:t>
      </w:r>
      <w:r>
        <w:rPr>
          <w:spacing w:val="-2"/>
        </w:rPr>
        <w:t> </w:t>
      </w:r>
      <w:r>
        <w:rPr/>
        <w:t>cm</w:t>
      </w:r>
      <w:r>
        <w:rPr>
          <w:vertAlign w:val="superscript"/>
        </w:rPr>
        <w:t>2</w:t>
      </w:r>
      <w:r>
        <w:rPr>
          <w:vertAlign w:val="baseline"/>
        </w:rPr>
        <w:t> para</w:t>
      </w:r>
      <w:r>
        <w:rPr>
          <w:spacing w:val="-6"/>
          <w:vertAlign w:val="baseline"/>
        </w:rPr>
        <w:t> </w:t>
      </w:r>
      <w:r>
        <w:rPr>
          <w:vertAlign w:val="baseline"/>
        </w:rPr>
        <w:t>2</w:t>
      </w:r>
      <w:r>
        <w:rPr>
          <w:spacing w:val="-3"/>
          <w:vertAlign w:val="baseline"/>
        </w:rPr>
        <w:t> </w:t>
      </w:r>
      <w:r>
        <w:rPr>
          <w:vertAlign w:val="baseline"/>
        </w:rPr>
        <w:t>cm</w:t>
      </w:r>
      <w:r>
        <w:rPr>
          <w:vertAlign w:val="superscript"/>
        </w:rPr>
        <w:t>2</w:t>
      </w:r>
      <w:r>
        <w:rPr>
          <w:vertAlign w:val="baseline"/>
        </w:rPr>
        <w:t> ou</w:t>
      </w:r>
      <w:r>
        <w:rPr>
          <w:spacing w:val="-1"/>
          <w:vertAlign w:val="baseline"/>
        </w:rPr>
        <w:t> </w:t>
      </w:r>
      <w:r>
        <w:rPr>
          <w:vertAlign w:val="baseline"/>
        </w:rPr>
        <w:t>até</w:t>
      </w:r>
      <w:r>
        <w:rPr>
          <w:spacing w:val="-4"/>
          <w:vertAlign w:val="baseline"/>
        </w:rPr>
        <w:t> </w:t>
      </w:r>
      <w:r>
        <w:rPr>
          <w:vertAlign w:val="baseline"/>
        </w:rPr>
        <w:t>menos, causada</w:t>
      </w:r>
      <w:r>
        <w:rPr>
          <w:spacing w:val="-4"/>
          <w:vertAlign w:val="baseline"/>
        </w:rPr>
        <w:t> </w:t>
      </w:r>
      <w:r>
        <w:rPr>
          <w:vertAlign w:val="baseline"/>
        </w:rPr>
        <w:t>em</w:t>
      </w:r>
      <w:r>
        <w:rPr>
          <w:spacing w:val="-1"/>
          <w:vertAlign w:val="baseline"/>
        </w:rPr>
        <w:t> </w:t>
      </w:r>
      <w:r>
        <w:rPr>
          <w:vertAlign w:val="baseline"/>
        </w:rPr>
        <w:t>nosso</w:t>
      </w:r>
      <w:r>
        <w:rPr>
          <w:spacing w:val="-1"/>
          <w:vertAlign w:val="baseline"/>
        </w:rPr>
        <w:t> </w:t>
      </w:r>
      <w:r>
        <w:rPr>
          <w:vertAlign w:val="baseline"/>
        </w:rPr>
        <w:t>meio mais frequentemente pela doença reumática. Ocorre também por carcinoide maligno, lúpus eritematoso, artrite reumatoide, mucopolissacaridose, depósito de amiloide, terapia com metissergida, síndrome de Lutembacher, </w:t>
      </w:r>
      <w:r>
        <w:rPr>
          <w:i/>
          <w:vertAlign w:val="baseline"/>
        </w:rPr>
        <w:t>cor </w:t>
      </w:r>
      <w:r>
        <w:rPr>
          <w:i/>
          <w:spacing w:val="-2"/>
          <w:vertAlign w:val="baseline"/>
        </w:rPr>
        <w:t>triatriatum</w:t>
      </w:r>
      <w:r>
        <w:rPr>
          <w:spacing w:val="-2"/>
          <w:vertAlign w:val="baseline"/>
        </w:rPr>
        <w:t>.</w:t>
      </w:r>
    </w:p>
    <w:p>
      <w:pPr>
        <w:pStyle w:val="BodyText"/>
        <w:spacing w:line="276" w:lineRule="auto" w:before="49"/>
        <w:ind w:right="488"/>
      </w:pPr>
      <w:r>
        <w:rPr/>
        <w:t>É necessário</w:t>
      </w:r>
      <w:r>
        <w:rPr>
          <w:spacing w:val="-3"/>
        </w:rPr>
        <w:t> </w:t>
      </w:r>
      <w:r>
        <w:rPr/>
        <w:t>fazer o</w:t>
      </w:r>
      <w:r>
        <w:rPr>
          <w:spacing w:val="-3"/>
        </w:rPr>
        <w:t> </w:t>
      </w:r>
      <w:r>
        <w:rPr/>
        <w:t>diagnóstico</w:t>
      </w:r>
      <w:r>
        <w:rPr>
          <w:spacing w:val="-3"/>
        </w:rPr>
        <w:t> </w:t>
      </w:r>
      <w:r>
        <w:rPr/>
        <w:t>diferencial</w:t>
      </w:r>
      <w:r>
        <w:rPr>
          <w:spacing w:val="-1"/>
        </w:rPr>
        <w:t> </w:t>
      </w:r>
      <w:r>
        <w:rPr/>
        <w:t>com</w:t>
      </w:r>
      <w:r>
        <w:rPr>
          <w:spacing w:val="-3"/>
        </w:rPr>
        <w:t> </w:t>
      </w:r>
      <w:r>
        <w:rPr/>
        <w:t>certas doenças que</w:t>
      </w:r>
      <w:r>
        <w:rPr>
          <w:spacing w:val="-6"/>
        </w:rPr>
        <w:t> </w:t>
      </w:r>
      <w:r>
        <w:rPr/>
        <w:t>podem</w:t>
      </w:r>
      <w:r>
        <w:rPr>
          <w:spacing w:val="-3"/>
        </w:rPr>
        <w:t> </w:t>
      </w:r>
      <w:r>
        <w:rPr/>
        <w:t>simular quadros hemodinâmicos de estenose mitral. Entre estas estão:</w:t>
      </w:r>
    </w:p>
    <w:p>
      <w:pPr>
        <w:pStyle w:val="ListParagraph"/>
        <w:numPr>
          <w:ilvl w:val="0"/>
          <w:numId w:val="1"/>
        </w:numPr>
        <w:tabs>
          <w:tab w:pos="422" w:val="left" w:leader="none"/>
        </w:tabs>
        <w:spacing w:line="276" w:lineRule="auto" w:before="160" w:after="0"/>
        <w:ind w:left="68" w:right="489" w:firstLine="0"/>
        <w:jc w:val="left"/>
        <w:rPr>
          <w:sz w:val="23"/>
        </w:rPr>
      </w:pPr>
      <w:r>
        <w:rPr>
          <w:sz w:val="23"/>
        </w:rPr>
        <w:t>Fibroelastose do átrio esquerdo:</w:t>
      </w:r>
      <w:r>
        <w:rPr>
          <w:spacing w:val="17"/>
          <w:sz w:val="23"/>
        </w:rPr>
        <w:t> </w:t>
      </w:r>
      <w:r>
        <w:rPr>
          <w:sz w:val="23"/>
        </w:rPr>
        <w:t>diminuição da cavidade atrial</w:t>
      </w:r>
      <w:r>
        <w:rPr>
          <w:spacing w:val="17"/>
          <w:sz w:val="23"/>
        </w:rPr>
        <w:t> </w:t>
      </w:r>
      <w:r>
        <w:rPr>
          <w:sz w:val="23"/>
        </w:rPr>
        <w:t>esquerda,</w:t>
      </w:r>
      <w:r>
        <w:rPr>
          <w:spacing w:val="22"/>
          <w:sz w:val="23"/>
        </w:rPr>
        <w:t> </w:t>
      </w:r>
      <w:r>
        <w:rPr>
          <w:sz w:val="23"/>
        </w:rPr>
        <w:t>que funciona como estenose relativa considerando o VE</w:t>
      </w:r>
    </w:p>
    <w:p>
      <w:pPr>
        <w:pStyle w:val="ListParagraph"/>
        <w:numPr>
          <w:ilvl w:val="0"/>
          <w:numId w:val="1"/>
        </w:numPr>
        <w:tabs>
          <w:tab w:pos="403" w:val="left" w:leader="none"/>
        </w:tabs>
        <w:spacing w:line="276" w:lineRule="auto" w:before="33" w:after="0"/>
        <w:ind w:left="68" w:right="502" w:firstLine="0"/>
        <w:jc w:val="left"/>
        <w:rPr>
          <w:sz w:val="23"/>
        </w:rPr>
      </w:pPr>
      <w:r>
        <w:rPr>
          <w:sz w:val="23"/>
        </w:rPr>
        <w:t>Mixoma</w:t>
      </w:r>
      <w:r>
        <w:rPr>
          <w:spacing w:val="-4"/>
          <w:sz w:val="23"/>
        </w:rPr>
        <w:t> </w:t>
      </w:r>
      <w:r>
        <w:rPr>
          <w:sz w:val="23"/>
        </w:rPr>
        <w:t>do</w:t>
      </w:r>
      <w:r>
        <w:rPr>
          <w:spacing w:val="-1"/>
          <w:sz w:val="23"/>
        </w:rPr>
        <w:t> </w:t>
      </w:r>
      <w:r>
        <w:rPr>
          <w:sz w:val="23"/>
        </w:rPr>
        <w:t>átrio</w:t>
      </w:r>
      <w:r>
        <w:rPr>
          <w:spacing w:val="-1"/>
          <w:sz w:val="23"/>
        </w:rPr>
        <w:t> </w:t>
      </w:r>
      <w:r>
        <w:rPr>
          <w:sz w:val="23"/>
        </w:rPr>
        <w:t>esquerdo: é</w:t>
      </w:r>
      <w:r>
        <w:rPr>
          <w:spacing w:val="-4"/>
          <w:sz w:val="23"/>
        </w:rPr>
        <w:t> </w:t>
      </w:r>
      <w:r>
        <w:rPr>
          <w:sz w:val="23"/>
        </w:rPr>
        <w:t>um</w:t>
      </w:r>
      <w:r>
        <w:rPr>
          <w:spacing w:val="-1"/>
          <w:sz w:val="23"/>
        </w:rPr>
        <w:t> </w:t>
      </w:r>
      <w:r>
        <w:rPr>
          <w:sz w:val="23"/>
        </w:rPr>
        <w:t>tumor pediculado</w:t>
      </w:r>
      <w:r>
        <w:rPr>
          <w:spacing w:val="-1"/>
          <w:sz w:val="23"/>
        </w:rPr>
        <w:t> </w:t>
      </w:r>
      <w:r>
        <w:rPr>
          <w:sz w:val="23"/>
        </w:rPr>
        <w:t>do</w:t>
      </w:r>
      <w:r>
        <w:rPr>
          <w:spacing w:val="-1"/>
          <w:sz w:val="23"/>
        </w:rPr>
        <w:t> </w:t>
      </w:r>
      <w:r>
        <w:rPr>
          <w:sz w:val="23"/>
        </w:rPr>
        <w:t>septo</w:t>
      </w:r>
      <w:r>
        <w:rPr>
          <w:spacing w:val="-1"/>
          <w:sz w:val="23"/>
        </w:rPr>
        <w:t> </w:t>
      </w:r>
      <w:r>
        <w:rPr>
          <w:sz w:val="23"/>
        </w:rPr>
        <w:t>interatrial que</w:t>
      </w:r>
      <w:r>
        <w:rPr>
          <w:spacing w:val="-4"/>
          <w:sz w:val="23"/>
        </w:rPr>
        <w:t> </w:t>
      </w:r>
      <w:r>
        <w:rPr>
          <w:sz w:val="23"/>
        </w:rPr>
        <w:t>pode</w:t>
      </w:r>
      <w:r>
        <w:rPr>
          <w:spacing w:val="-4"/>
          <w:sz w:val="23"/>
        </w:rPr>
        <w:t> </w:t>
      </w:r>
      <w:r>
        <w:rPr>
          <w:sz w:val="23"/>
        </w:rPr>
        <w:t>crescer, chegando</w:t>
      </w:r>
      <w:r>
        <w:rPr>
          <w:spacing w:val="-1"/>
          <w:sz w:val="23"/>
        </w:rPr>
        <w:t> </w:t>
      </w:r>
      <w:r>
        <w:rPr>
          <w:sz w:val="23"/>
        </w:rPr>
        <w:t>a</w:t>
      </w:r>
      <w:r>
        <w:rPr>
          <w:spacing w:val="-4"/>
          <w:sz w:val="23"/>
        </w:rPr>
        <w:t> </w:t>
      </w:r>
      <w:r>
        <w:rPr>
          <w:sz w:val="23"/>
        </w:rPr>
        <w:t>obstruir as veias pulmonares, impedindo o deflúvio do pulmão às veias pulmonares, ou obstruir o anel mitral</w:t>
      </w:r>
    </w:p>
    <w:p>
      <w:pPr>
        <w:pStyle w:val="ListParagraph"/>
        <w:numPr>
          <w:ilvl w:val="0"/>
          <w:numId w:val="1"/>
        </w:numPr>
        <w:tabs>
          <w:tab w:pos="405" w:val="left" w:leader="none"/>
        </w:tabs>
        <w:spacing w:line="276" w:lineRule="auto" w:before="16" w:after="0"/>
        <w:ind w:left="68" w:right="489" w:firstLine="0"/>
        <w:jc w:val="left"/>
        <w:rPr>
          <w:sz w:val="23"/>
        </w:rPr>
      </w:pPr>
      <w:r>
        <w:rPr>
          <w:sz w:val="23"/>
        </w:rPr>
        <w:t>Tumores ou</w:t>
      </w:r>
      <w:r>
        <w:rPr>
          <w:spacing w:val="-2"/>
          <w:sz w:val="23"/>
        </w:rPr>
        <w:t> </w:t>
      </w:r>
      <w:r>
        <w:rPr>
          <w:sz w:val="23"/>
        </w:rPr>
        <w:t>alterações venosas: funcionam</w:t>
      </w:r>
      <w:r>
        <w:rPr>
          <w:spacing w:val="-2"/>
          <w:sz w:val="23"/>
        </w:rPr>
        <w:t> </w:t>
      </w:r>
      <w:r>
        <w:rPr>
          <w:sz w:val="23"/>
        </w:rPr>
        <w:t>como</w:t>
      </w:r>
      <w:r>
        <w:rPr>
          <w:spacing w:val="-2"/>
          <w:sz w:val="23"/>
        </w:rPr>
        <w:t> </w:t>
      </w:r>
      <w:r>
        <w:rPr>
          <w:sz w:val="23"/>
        </w:rPr>
        <w:t>estenose</w:t>
      </w:r>
      <w:r>
        <w:rPr>
          <w:spacing w:val="-5"/>
          <w:sz w:val="23"/>
        </w:rPr>
        <w:t> </w:t>
      </w:r>
      <w:r>
        <w:rPr>
          <w:sz w:val="23"/>
        </w:rPr>
        <w:t>mitral ainda</w:t>
      </w:r>
      <w:r>
        <w:rPr>
          <w:spacing w:val="-5"/>
          <w:sz w:val="23"/>
        </w:rPr>
        <w:t> </w:t>
      </w:r>
      <w:r>
        <w:rPr>
          <w:sz w:val="23"/>
        </w:rPr>
        <w:t>que</w:t>
      </w:r>
      <w:r>
        <w:rPr>
          <w:spacing w:val="-5"/>
          <w:sz w:val="23"/>
        </w:rPr>
        <w:t> </w:t>
      </w:r>
      <w:r>
        <w:rPr>
          <w:sz w:val="23"/>
        </w:rPr>
        <w:t>as alterações estejam</w:t>
      </w:r>
      <w:r>
        <w:rPr>
          <w:spacing w:val="-2"/>
          <w:sz w:val="23"/>
        </w:rPr>
        <w:t> </w:t>
      </w:r>
      <w:r>
        <w:rPr>
          <w:sz w:val="23"/>
        </w:rPr>
        <w:t>a</w:t>
      </w:r>
      <w:r>
        <w:rPr>
          <w:spacing w:val="-5"/>
          <w:sz w:val="23"/>
        </w:rPr>
        <w:t> </w:t>
      </w:r>
      <w:r>
        <w:rPr>
          <w:sz w:val="23"/>
        </w:rPr>
        <w:t>montante</w:t>
      </w:r>
      <w:r>
        <w:rPr>
          <w:spacing w:val="-5"/>
          <w:sz w:val="23"/>
        </w:rPr>
        <w:t> </w:t>
      </w:r>
      <w:r>
        <w:rPr>
          <w:sz w:val="23"/>
        </w:rPr>
        <w:t>da </w:t>
      </w:r>
      <w:r>
        <w:rPr>
          <w:spacing w:val="-2"/>
          <w:sz w:val="23"/>
        </w:rPr>
        <w:t>valva.</w:t>
      </w:r>
    </w:p>
    <w:p>
      <w:pPr>
        <w:pStyle w:val="BodyText"/>
        <w:spacing w:before="133"/>
        <w:ind w:left="0" w:firstLine="0"/>
        <w:jc w:val="left"/>
      </w:pPr>
    </w:p>
    <w:p>
      <w:pPr>
        <w:pStyle w:val="Heading5"/>
        <w:spacing w:before="1"/>
      </w:pPr>
      <w:r>
        <w:rPr>
          <w:color w:val="A26108"/>
          <w:spacing w:val="-2"/>
        </w:rPr>
        <w:t>Epidemiologia</w:t>
      </w:r>
    </w:p>
    <w:p>
      <w:pPr>
        <w:pStyle w:val="BodyText"/>
        <w:spacing w:line="276" w:lineRule="auto" w:before="138"/>
        <w:ind w:right="494"/>
      </w:pPr>
      <w:r>
        <w:rPr/>
        <w:t>Em torno de 25% dos pacientes afetados pela doença reumática têm estenose mitral pura, enquanto 40% apresentam dupla lesão mitral. É duas vezes mais frequente no sexo feminino.</w:t>
      </w:r>
    </w:p>
    <w:p>
      <w:pPr>
        <w:pStyle w:val="BodyText"/>
        <w:spacing w:before="133"/>
        <w:ind w:left="0" w:firstLine="0"/>
        <w:jc w:val="left"/>
      </w:pPr>
    </w:p>
    <w:p>
      <w:pPr>
        <w:pStyle w:val="Heading5"/>
      </w:pPr>
      <w:r>
        <w:rPr>
          <w:color w:val="A26108"/>
          <w:spacing w:val="-2"/>
        </w:rPr>
        <w:t>Etiopatogenia</w:t>
      </w:r>
    </w:p>
    <w:p>
      <w:pPr>
        <w:pStyle w:val="Heading5"/>
        <w:spacing w:after="0"/>
        <w:sectPr>
          <w:type w:val="continuous"/>
          <w:pgSz w:w="11900" w:h="16840"/>
          <w:pgMar w:top="1060" w:bottom="0" w:left="566" w:right="141"/>
        </w:sectPr>
      </w:pPr>
    </w:p>
    <w:p>
      <w:pPr>
        <w:pStyle w:val="BodyText"/>
        <w:spacing w:line="276" w:lineRule="auto" w:before="68"/>
        <w:ind w:right="500"/>
      </w:pPr>
      <w:r>
        <w:rPr/>
        <w:t>A doença reumática determina quatro tipos de lesões diferentes: fusão comissural que ocorre em 30% dos casos; das cúspides em 15%; das cordas tendíneas em 10% e combinadas.</w:t>
      </w:r>
    </w:p>
    <w:p>
      <w:pPr>
        <w:pStyle w:val="BodyText"/>
        <w:spacing w:line="276" w:lineRule="auto"/>
        <w:ind w:right="500"/>
      </w:pPr>
      <w:r>
        <w:rPr/>
        <w:t>As referidas fusões modificam a</w:t>
      </w:r>
      <w:r>
        <w:rPr>
          <w:spacing w:val="-1"/>
        </w:rPr>
        <w:t> </w:t>
      </w:r>
      <w:r>
        <w:rPr/>
        <w:t>forma</w:t>
      </w:r>
      <w:r>
        <w:rPr>
          <w:spacing w:val="-1"/>
        </w:rPr>
        <w:t> </w:t>
      </w:r>
      <w:r>
        <w:rPr/>
        <w:t>do aparelho valvar tornando-o semelhante</w:t>
      </w:r>
      <w:r>
        <w:rPr>
          <w:spacing w:val="-1"/>
        </w:rPr>
        <w:t> </w:t>
      </w:r>
      <w:r>
        <w:rPr/>
        <w:t>a</w:t>
      </w:r>
      <w:r>
        <w:rPr>
          <w:spacing w:val="-1"/>
        </w:rPr>
        <w:t> </w:t>
      </w:r>
      <w:r>
        <w:rPr/>
        <w:t>um funil. É discutido se</w:t>
      </w:r>
      <w:r>
        <w:rPr>
          <w:spacing w:val="-1"/>
        </w:rPr>
        <w:t> </w:t>
      </w:r>
      <w:r>
        <w:rPr/>
        <w:t>as alterações da estenose mitral resultam de um processo reumático latente ou se, uma vez deformada a valva, o constante</w:t>
      </w:r>
      <w:r>
        <w:rPr>
          <w:spacing w:val="-2"/>
        </w:rPr>
        <w:t> </w:t>
      </w:r>
      <w:r>
        <w:rPr/>
        <w:t>traumatismo provocado pelo fluxo turbulento acarreta</w:t>
      </w:r>
      <w:r>
        <w:rPr>
          <w:spacing w:val="-2"/>
        </w:rPr>
        <w:t> </w:t>
      </w:r>
      <w:r>
        <w:rPr/>
        <w:t>fibrose, espessamento e</w:t>
      </w:r>
      <w:r>
        <w:rPr>
          <w:spacing w:val="-2"/>
        </w:rPr>
        <w:t> </w:t>
      </w:r>
      <w:r>
        <w:rPr/>
        <w:t>calcificação.</w:t>
      </w:r>
    </w:p>
    <w:p>
      <w:pPr>
        <w:pStyle w:val="BodyText"/>
        <w:spacing w:before="133"/>
        <w:ind w:left="0" w:firstLine="0"/>
        <w:jc w:val="left"/>
      </w:pPr>
    </w:p>
    <w:p>
      <w:pPr>
        <w:pStyle w:val="Heading5"/>
      </w:pPr>
      <w:r>
        <w:rPr>
          <w:color w:val="A26108"/>
          <w:spacing w:val="-2"/>
        </w:rPr>
        <w:t>Fisiopatologia</w:t>
      </w:r>
    </w:p>
    <w:p>
      <w:pPr>
        <w:pStyle w:val="BodyText"/>
        <w:spacing w:line="290" w:lineRule="auto" w:before="122"/>
        <w:ind w:right="488"/>
      </w:pPr>
      <w:r>
        <w:rPr/>
        <w:t>O organismo suporta restrições até a metade da área normal sem apresentar sintomas em repouso. A partir de 1,5 cm</w:t>
      </w:r>
      <w:r>
        <w:rPr>
          <w:vertAlign w:val="superscript"/>
        </w:rPr>
        <w:t>2</w:t>
      </w:r>
      <w:r>
        <w:rPr>
          <w:vertAlign w:val="baseline"/>
        </w:rPr>
        <w:t> é que se iniciam as alterações hemodinâmicas.</w:t>
      </w:r>
    </w:p>
    <w:p>
      <w:pPr>
        <w:pStyle w:val="BodyText"/>
        <w:spacing w:line="276" w:lineRule="auto" w:before="49"/>
        <w:ind w:right="491"/>
      </w:pPr>
      <w:r>
        <w:rPr/>
        <w:t>A</w:t>
      </w:r>
      <w:r>
        <w:rPr>
          <w:spacing w:val="-7"/>
        </w:rPr>
        <w:t> </w:t>
      </w:r>
      <w:r>
        <w:rPr/>
        <w:t>estenose</w:t>
      </w:r>
      <w:r>
        <w:rPr>
          <w:spacing w:val="-7"/>
        </w:rPr>
        <w:t> </w:t>
      </w:r>
      <w:r>
        <w:rPr/>
        <w:t>mitral acarreta</w:t>
      </w:r>
      <w:r>
        <w:rPr>
          <w:spacing w:val="-7"/>
        </w:rPr>
        <w:t> </w:t>
      </w:r>
      <w:r>
        <w:rPr/>
        <w:t>aumento</w:t>
      </w:r>
      <w:r>
        <w:rPr>
          <w:spacing w:val="-3"/>
        </w:rPr>
        <w:t> </w:t>
      </w:r>
      <w:r>
        <w:rPr/>
        <w:t>do</w:t>
      </w:r>
      <w:r>
        <w:rPr>
          <w:spacing w:val="-3"/>
        </w:rPr>
        <w:t> </w:t>
      </w:r>
      <w:r>
        <w:rPr/>
        <w:t>tempo</w:t>
      </w:r>
      <w:r>
        <w:rPr>
          <w:spacing w:val="-3"/>
        </w:rPr>
        <w:t> </w:t>
      </w:r>
      <w:r>
        <w:rPr/>
        <w:t>de</w:t>
      </w:r>
      <w:r>
        <w:rPr>
          <w:spacing w:val="-7"/>
        </w:rPr>
        <w:t> </w:t>
      </w:r>
      <w:r>
        <w:rPr/>
        <w:t>diástole</w:t>
      </w:r>
      <w:r>
        <w:rPr>
          <w:spacing w:val="-7"/>
        </w:rPr>
        <w:t> </w:t>
      </w:r>
      <w:r>
        <w:rPr/>
        <w:t>com</w:t>
      </w:r>
      <w:r>
        <w:rPr>
          <w:spacing w:val="-4"/>
        </w:rPr>
        <w:t> </w:t>
      </w:r>
      <w:r>
        <w:rPr/>
        <w:t>fluxo</w:t>
      </w:r>
      <w:r>
        <w:rPr>
          <w:spacing w:val="-3"/>
        </w:rPr>
        <w:t> </w:t>
      </w:r>
      <w:r>
        <w:rPr/>
        <w:t>contínuo</w:t>
      </w:r>
      <w:r>
        <w:rPr>
          <w:spacing w:val="-3"/>
        </w:rPr>
        <w:t> </w:t>
      </w:r>
      <w:r>
        <w:rPr/>
        <w:t>de</w:t>
      </w:r>
      <w:r>
        <w:rPr>
          <w:spacing w:val="-7"/>
        </w:rPr>
        <w:t> </w:t>
      </w:r>
      <w:r>
        <w:rPr/>
        <w:t>sangue</w:t>
      </w:r>
      <w:r>
        <w:rPr>
          <w:spacing w:val="-7"/>
        </w:rPr>
        <w:t> </w:t>
      </w:r>
      <w:r>
        <w:rPr/>
        <w:t>do</w:t>
      </w:r>
      <w:r>
        <w:rPr>
          <w:spacing w:val="-3"/>
        </w:rPr>
        <w:t> </w:t>
      </w:r>
      <w:r>
        <w:rPr/>
        <w:t>átrio</w:t>
      </w:r>
      <w:r>
        <w:rPr>
          <w:spacing w:val="-3"/>
        </w:rPr>
        <w:t> </w:t>
      </w:r>
      <w:r>
        <w:rPr/>
        <w:t>esquerdo</w:t>
      </w:r>
      <w:r>
        <w:rPr>
          <w:spacing w:val="-3"/>
        </w:rPr>
        <w:t> </w:t>
      </w:r>
      <w:r>
        <w:rPr/>
        <w:t>para</w:t>
      </w:r>
      <w:r>
        <w:rPr>
          <w:spacing w:val="-7"/>
        </w:rPr>
        <w:t> </w:t>
      </w:r>
      <w:r>
        <w:rPr/>
        <w:t>o VE, durante todo esse período sem as fases habituais.</w:t>
      </w:r>
    </w:p>
    <w:p>
      <w:pPr>
        <w:pStyle w:val="BodyText"/>
        <w:spacing w:before="48"/>
        <w:ind w:left="414" w:firstLine="0"/>
      </w:pPr>
      <w:r>
        <w:rPr/>
        <w:t>Há</w:t>
      </w:r>
      <w:r>
        <w:rPr>
          <w:spacing w:val="13"/>
        </w:rPr>
        <w:t> </w:t>
      </w:r>
      <w:r>
        <w:rPr/>
        <w:t>aumento</w:t>
      </w:r>
      <w:r>
        <w:rPr>
          <w:spacing w:val="18"/>
        </w:rPr>
        <w:t> </w:t>
      </w:r>
      <w:r>
        <w:rPr/>
        <w:t>do</w:t>
      </w:r>
      <w:r>
        <w:rPr>
          <w:spacing w:val="18"/>
        </w:rPr>
        <w:t> </w:t>
      </w:r>
      <w:r>
        <w:rPr/>
        <w:t>átrio</w:t>
      </w:r>
      <w:r>
        <w:rPr>
          <w:spacing w:val="18"/>
        </w:rPr>
        <w:t> </w:t>
      </w:r>
      <w:r>
        <w:rPr/>
        <w:t>esquerdo.</w:t>
      </w:r>
      <w:r>
        <w:rPr>
          <w:spacing w:val="27"/>
        </w:rPr>
        <w:t> </w:t>
      </w:r>
      <w:r>
        <w:rPr/>
        <w:t>Este</w:t>
      </w:r>
      <w:r>
        <w:rPr>
          <w:spacing w:val="16"/>
        </w:rPr>
        <w:t> </w:t>
      </w:r>
      <w:r>
        <w:rPr/>
        <w:t>se</w:t>
      </w:r>
      <w:r>
        <w:rPr>
          <w:spacing w:val="15"/>
        </w:rPr>
        <w:t> </w:t>
      </w:r>
      <w:r>
        <w:rPr/>
        <w:t>hipertrofia</w:t>
      </w:r>
      <w:r>
        <w:rPr>
          <w:spacing w:val="16"/>
        </w:rPr>
        <w:t> </w:t>
      </w:r>
      <w:r>
        <w:rPr/>
        <w:t>e</w:t>
      </w:r>
      <w:r>
        <w:rPr>
          <w:spacing w:val="15"/>
        </w:rPr>
        <w:t> </w:t>
      </w:r>
      <w:r>
        <w:rPr/>
        <w:t>distende-se</w:t>
      </w:r>
      <w:r>
        <w:rPr>
          <w:spacing w:val="15"/>
        </w:rPr>
        <w:t> </w:t>
      </w:r>
      <w:r>
        <w:rPr/>
        <w:t>para</w:t>
      </w:r>
      <w:r>
        <w:rPr>
          <w:spacing w:val="16"/>
        </w:rPr>
        <w:t> </w:t>
      </w:r>
      <w:r>
        <w:rPr/>
        <w:t>poder</w:t>
      </w:r>
      <w:r>
        <w:rPr>
          <w:spacing w:val="23"/>
        </w:rPr>
        <w:t> </w:t>
      </w:r>
      <w:r>
        <w:rPr/>
        <w:t>esvaziar-se</w:t>
      </w:r>
      <w:r>
        <w:rPr>
          <w:spacing w:val="16"/>
        </w:rPr>
        <w:t> </w:t>
      </w:r>
      <w:r>
        <w:rPr/>
        <w:t>de</w:t>
      </w:r>
      <w:r>
        <w:rPr>
          <w:spacing w:val="15"/>
        </w:rPr>
        <w:t> </w:t>
      </w:r>
      <w:r>
        <w:rPr/>
        <w:t>maneira</w:t>
      </w:r>
      <w:r>
        <w:rPr>
          <w:spacing w:val="16"/>
        </w:rPr>
        <w:t> </w:t>
      </w:r>
      <w:r>
        <w:rPr>
          <w:spacing w:val="-2"/>
        </w:rPr>
        <w:t>adequada.</w:t>
      </w:r>
    </w:p>
    <w:p>
      <w:pPr>
        <w:pStyle w:val="BodyText"/>
        <w:spacing w:before="40"/>
        <w:ind w:firstLine="0"/>
      </w:pPr>
      <w:r>
        <w:rPr/>
        <w:t>Consequentemente,</w:t>
      </w:r>
      <w:r>
        <w:rPr>
          <w:spacing w:val="-6"/>
        </w:rPr>
        <w:t> </w:t>
      </w:r>
      <w:r>
        <w:rPr/>
        <w:t>a</w:t>
      </w:r>
      <w:r>
        <w:rPr>
          <w:spacing w:val="-15"/>
        </w:rPr>
        <w:t> </w:t>
      </w:r>
      <w:r>
        <w:rPr/>
        <w:t>pressão</w:t>
      </w:r>
      <w:r>
        <w:rPr>
          <w:spacing w:val="-12"/>
        </w:rPr>
        <w:t> </w:t>
      </w:r>
      <w:r>
        <w:rPr/>
        <w:t>intra-atrial</w:t>
      </w:r>
      <w:r>
        <w:rPr>
          <w:spacing w:val="-10"/>
        </w:rPr>
        <w:t> </w:t>
      </w:r>
      <w:r>
        <w:rPr/>
        <w:t>aumenta,</w:t>
      </w:r>
      <w:r>
        <w:rPr>
          <w:spacing w:val="-6"/>
        </w:rPr>
        <w:t> </w:t>
      </w:r>
      <w:r>
        <w:rPr/>
        <w:t>podendo</w:t>
      </w:r>
      <w:r>
        <w:rPr>
          <w:spacing w:val="-12"/>
        </w:rPr>
        <w:t> </w:t>
      </w:r>
      <w:r>
        <w:rPr/>
        <w:t>atingir</w:t>
      </w:r>
      <w:r>
        <w:rPr>
          <w:spacing w:val="-8"/>
        </w:rPr>
        <w:t> </w:t>
      </w:r>
      <w:r>
        <w:rPr/>
        <w:t>níveis</w:t>
      </w:r>
      <w:r>
        <w:rPr>
          <w:spacing w:val="-5"/>
        </w:rPr>
        <w:t> </w:t>
      </w:r>
      <w:r>
        <w:rPr/>
        <w:t>superiores</w:t>
      </w:r>
      <w:r>
        <w:rPr>
          <w:spacing w:val="-6"/>
        </w:rPr>
        <w:t> </w:t>
      </w:r>
      <w:r>
        <w:rPr/>
        <w:t>a</w:t>
      </w:r>
      <w:r>
        <w:rPr>
          <w:spacing w:val="-14"/>
        </w:rPr>
        <w:t> </w:t>
      </w:r>
      <w:r>
        <w:rPr/>
        <w:t>35</w:t>
      </w:r>
      <w:r>
        <w:rPr>
          <w:spacing w:val="-12"/>
        </w:rPr>
        <w:t> </w:t>
      </w:r>
      <w:r>
        <w:rPr>
          <w:spacing w:val="-2"/>
        </w:rPr>
        <w:t>mmHg.</w:t>
      </w:r>
    </w:p>
    <w:p>
      <w:pPr>
        <w:pStyle w:val="BodyText"/>
        <w:spacing w:line="276" w:lineRule="auto" w:before="104"/>
        <w:ind w:right="488"/>
      </w:pPr>
      <w:r>
        <w:rPr/>
        <w:t>O gradiente de pressão diastólica entre o átrio esquerdo com pressão elevada e o VE com pressão diastólica final normal é uma característica hemodinâmica fundamental na estenose mitral.</w:t>
      </w:r>
    </w:p>
    <w:p>
      <w:pPr>
        <w:pStyle w:val="BodyText"/>
        <w:spacing w:line="276" w:lineRule="auto"/>
        <w:ind w:right="488"/>
      </w:pPr>
      <w:r>
        <w:rPr/>
        <w:t>Quando</w:t>
      </w:r>
      <w:r>
        <w:rPr>
          <w:spacing w:val="-8"/>
        </w:rPr>
        <w:t> </w:t>
      </w:r>
      <w:r>
        <w:rPr/>
        <w:t>a</w:t>
      </w:r>
      <w:r>
        <w:rPr>
          <w:spacing w:val="-10"/>
        </w:rPr>
        <w:t> </w:t>
      </w:r>
      <w:r>
        <w:rPr/>
        <w:t>pressão</w:t>
      </w:r>
      <w:r>
        <w:rPr>
          <w:spacing w:val="-8"/>
        </w:rPr>
        <w:t> </w:t>
      </w:r>
      <w:r>
        <w:rPr/>
        <w:t>no</w:t>
      </w:r>
      <w:r>
        <w:rPr>
          <w:spacing w:val="-8"/>
        </w:rPr>
        <w:t> </w:t>
      </w:r>
      <w:r>
        <w:rPr/>
        <w:t>átrio</w:t>
      </w:r>
      <w:r>
        <w:rPr>
          <w:spacing w:val="-8"/>
        </w:rPr>
        <w:t> </w:t>
      </w:r>
      <w:r>
        <w:rPr/>
        <w:t>esquerdo</w:t>
      </w:r>
      <w:r>
        <w:rPr>
          <w:spacing w:val="-8"/>
        </w:rPr>
        <w:t> </w:t>
      </w:r>
      <w:r>
        <w:rPr/>
        <w:t>atinge</w:t>
      </w:r>
      <w:r>
        <w:rPr>
          <w:spacing w:val="-10"/>
        </w:rPr>
        <w:t> </w:t>
      </w:r>
      <w:r>
        <w:rPr/>
        <w:t>valores suficientes para</w:t>
      </w:r>
      <w:r>
        <w:rPr>
          <w:spacing w:val="-10"/>
        </w:rPr>
        <w:t> </w:t>
      </w:r>
      <w:r>
        <w:rPr/>
        <w:t>estimular</w:t>
      </w:r>
      <w:r>
        <w:rPr>
          <w:spacing w:val="-3"/>
        </w:rPr>
        <w:t> </w:t>
      </w:r>
      <w:r>
        <w:rPr/>
        <w:t>os receptores aí</w:t>
      </w:r>
      <w:r>
        <w:rPr>
          <w:spacing w:val="-5"/>
        </w:rPr>
        <w:t> </w:t>
      </w:r>
      <w:r>
        <w:rPr/>
        <w:t>localizados, ocorre taquicardia e, assim, a situação agrava-se, porque o aumento da frequência cardíaca diminui o tempo de diástole, dificultando ainda mais o esvaziamento do átrio esquerdo.</w:t>
      </w:r>
    </w:p>
    <w:p>
      <w:pPr>
        <w:pStyle w:val="BodyText"/>
        <w:spacing w:line="276" w:lineRule="auto" w:before="48"/>
        <w:ind w:right="491"/>
      </w:pPr>
      <w:r>
        <w:rPr/>
        <w:t>Como o átrio esquerdo e o capilar pulmonar constituem sistema de vasos comunicantes, a elevação da pressão no átrio esquerdo leva à hipertensão venocapilar pulmonar, podendo ocorrer edema pulmonar. As arteríolas respondem a</w:t>
      </w:r>
      <w:r>
        <w:rPr>
          <w:spacing w:val="-1"/>
        </w:rPr>
        <w:t> </w:t>
      </w:r>
      <w:r>
        <w:rPr/>
        <w:t>essa</w:t>
      </w:r>
      <w:r>
        <w:rPr>
          <w:spacing w:val="-1"/>
        </w:rPr>
        <w:t> </w:t>
      </w:r>
      <w:r>
        <w:rPr/>
        <w:t>situação com vasoconstrição, o que</w:t>
      </w:r>
      <w:r>
        <w:rPr>
          <w:spacing w:val="-1"/>
        </w:rPr>
        <w:t> </w:t>
      </w:r>
      <w:r>
        <w:rPr/>
        <w:t>leva</w:t>
      </w:r>
      <w:r>
        <w:rPr>
          <w:spacing w:val="-1"/>
        </w:rPr>
        <w:t> </w:t>
      </w:r>
      <w:r>
        <w:rPr/>
        <w:t>à</w:t>
      </w:r>
      <w:r>
        <w:rPr>
          <w:spacing w:val="-1"/>
        </w:rPr>
        <w:t> </w:t>
      </w:r>
      <w:r>
        <w:rPr/>
        <w:t>hipertensão arterial pulmonar. Esta</w:t>
      </w:r>
      <w:r>
        <w:rPr>
          <w:spacing w:val="-1"/>
        </w:rPr>
        <w:t> </w:t>
      </w:r>
      <w:r>
        <w:rPr/>
        <w:t>acarreta</w:t>
      </w:r>
      <w:r>
        <w:rPr>
          <w:spacing w:val="-1"/>
        </w:rPr>
        <w:t> </w:t>
      </w:r>
      <w:r>
        <w:rPr/>
        <w:t>alterações anatômicas, como hipertrofia da média e espessamento da íntima, que levam à hiper-resistência pulmonar e à sobrecarga de pressão no ventrículo direito (VD), que não está adaptado e logo entra em falência.</w:t>
      </w:r>
    </w:p>
    <w:p>
      <w:pPr>
        <w:pStyle w:val="BodyText"/>
        <w:spacing w:line="276" w:lineRule="auto"/>
        <w:ind w:right="491"/>
      </w:pPr>
      <w:r>
        <w:rPr/>
        <w:t>Os mecanismos de adaptação ocorrem para manter o débito cardíaco adequado. A contração atrial com hipertrofia, portanto, é responsável por um incremento de 30% do volume diastólico final. Quanto mais vigorosa for a contração atrial, maior será o volume diastólico final e a hipertensão venocapilar.</w:t>
      </w:r>
    </w:p>
    <w:p>
      <w:pPr>
        <w:pStyle w:val="BodyText"/>
        <w:spacing w:line="276" w:lineRule="auto" w:before="48"/>
        <w:ind w:right="491"/>
      </w:pPr>
      <w:r>
        <w:rPr/>
        <w:t>O aumento de pressão no átrio esquerdo, também, depende da capacidade de relaxamento do VE, que suga o sangue</w:t>
      </w:r>
      <w:r>
        <w:rPr>
          <w:spacing w:val="-12"/>
        </w:rPr>
        <w:t> </w:t>
      </w:r>
      <w:r>
        <w:rPr/>
        <w:t>do</w:t>
      </w:r>
      <w:r>
        <w:rPr>
          <w:spacing w:val="-9"/>
        </w:rPr>
        <w:t> </w:t>
      </w:r>
      <w:r>
        <w:rPr/>
        <w:t>átrio</w:t>
      </w:r>
      <w:r>
        <w:rPr>
          <w:spacing w:val="-9"/>
        </w:rPr>
        <w:t> </w:t>
      </w:r>
      <w:r>
        <w:rPr/>
        <w:t>esquerdo.</w:t>
      </w:r>
      <w:r>
        <w:rPr>
          <w:spacing w:val="-2"/>
        </w:rPr>
        <w:t> </w:t>
      </w:r>
      <w:r>
        <w:rPr/>
        <w:t>Na</w:t>
      </w:r>
      <w:r>
        <w:rPr>
          <w:spacing w:val="-12"/>
        </w:rPr>
        <w:t> </w:t>
      </w:r>
      <w:r>
        <w:rPr/>
        <w:t>insuficiência</w:t>
      </w:r>
      <w:r>
        <w:rPr>
          <w:spacing w:val="-12"/>
        </w:rPr>
        <w:t> </w:t>
      </w:r>
      <w:r>
        <w:rPr/>
        <w:t>ventricular</w:t>
      </w:r>
      <w:r>
        <w:rPr>
          <w:spacing w:val="-4"/>
        </w:rPr>
        <w:t> </w:t>
      </w:r>
      <w:r>
        <w:rPr/>
        <w:t>esquerda,</w:t>
      </w:r>
      <w:r>
        <w:rPr>
          <w:spacing w:val="-2"/>
        </w:rPr>
        <w:t> </w:t>
      </w:r>
      <w:r>
        <w:rPr/>
        <w:t>o</w:t>
      </w:r>
      <w:r>
        <w:rPr>
          <w:spacing w:val="-9"/>
        </w:rPr>
        <w:t> </w:t>
      </w:r>
      <w:r>
        <w:rPr/>
        <w:t>ventrículo</w:t>
      </w:r>
      <w:r>
        <w:rPr>
          <w:spacing w:val="-9"/>
        </w:rPr>
        <w:t> </w:t>
      </w:r>
      <w:r>
        <w:rPr/>
        <w:t>perde</w:t>
      </w:r>
      <w:r>
        <w:rPr>
          <w:spacing w:val="-12"/>
        </w:rPr>
        <w:t> </w:t>
      </w:r>
      <w:r>
        <w:rPr/>
        <w:t>essa</w:t>
      </w:r>
      <w:r>
        <w:rPr>
          <w:spacing w:val="-12"/>
        </w:rPr>
        <w:t> </w:t>
      </w:r>
      <w:r>
        <w:rPr/>
        <w:t>capacidade</w:t>
      </w:r>
      <w:r>
        <w:rPr>
          <w:spacing w:val="-12"/>
        </w:rPr>
        <w:t> </w:t>
      </w:r>
      <w:r>
        <w:rPr/>
        <w:t>de</w:t>
      </w:r>
      <w:r>
        <w:rPr>
          <w:spacing w:val="-12"/>
        </w:rPr>
        <w:t> </w:t>
      </w:r>
      <w:r>
        <w:rPr/>
        <w:t>sucção,</w:t>
      </w:r>
      <w:r>
        <w:rPr>
          <w:spacing w:val="-2"/>
        </w:rPr>
        <w:t> </w:t>
      </w:r>
      <w:r>
        <w:rPr/>
        <w:t>o</w:t>
      </w:r>
      <w:r>
        <w:rPr>
          <w:spacing w:val="-9"/>
        </w:rPr>
        <w:t> </w:t>
      </w:r>
      <w:r>
        <w:rPr/>
        <w:t>que contribui para elevar ainda mais a pressão no átrio esquerdo.</w:t>
      </w:r>
    </w:p>
    <w:p>
      <w:pPr>
        <w:pStyle w:val="BodyText"/>
        <w:spacing w:before="25"/>
        <w:ind w:left="0" w:firstLine="0"/>
        <w:jc w:val="left"/>
      </w:pPr>
    </w:p>
    <w:p>
      <w:pPr>
        <w:pStyle w:val="Heading7"/>
      </w:pPr>
      <w:r>
        <w:rPr>
          <w:color w:val="242B67"/>
        </w:rPr>
        <w:t>Fase de </w:t>
      </w:r>
      <w:r>
        <w:rPr>
          <w:color w:val="242B67"/>
          <w:spacing w:val="-2"/>
        </w:rPr>
        <w:t>descompensação</w:t>
      </w:r>
    </w:p>
    <w:p>
      <w:pPr>
        <w:pStyle w:val="BodyText"/>
        <w:spacing w:line="283" w:lineRule="auto" w:before="126"/>
        <w:ind w:right="491"/>
      </w:pPr>
      <w:r>
        <w:rPr/>
        <w:t>O</w:t>
      </w:r>
      <w:r>
        <w:rPr>
          <w:spacing w:val="-8"/>
        </w:rPr>
        <w:t> </w:t>
      </w:r>
      <w:r>
        <w:rPr/>
        <w:t>VE na</w:t>
      </w:r>
      <w:r>
        <w:rPr>
          <w:spacing w:val="-8"/>
        </w:rPr>
        <w:t> </w:t>
      </w:r>
      <w:r>
        <w:rPr/>
        <w:t>estenose</w:t>
      </w:r>
      <w:r>
        <w:rPr>
          <w:spacing w:val="-8"/>
        </w:rPr>
        <w:t> </w:t>
      </w:r>
      <w:r>
        <w:rPr/>
        <w:t>mitral</w:t>
      </w:r>
      <w:r>
        <w:rPr>
          <w:spacing w:val="-3"/>
        </w:rPr>
        <w:t> </w:t>
      </w:r>
      <w:r>
        <w:rPr/>
        <w:t>está</w:t>
      </w:r>
      <w:r>
        <w:rPr>
          <w:spacing w:val="-8"/>
        </w:rPr>
        <w:t> </w:t>
      </w:r>
      <w:r>
        <w:rPr/>
        <w:t>relativamente</w:t>
      </w:r>
      <w:r>
        <w:rPr>
          <w:spacing w:val="-8"/>
        </w:rPr>
        <w:t> </w:t>
      </w:r>
      <w:r>
        <w:rPr/>
        <w:t>protegido</w:t>
      </w:r>
      <w:r>
        <w:rPr>
          <w:spacing w:val="-5"/>
        </w:rPr>
        <w:t> </w:t>
      </w:r>
      <w:r>
        <w:rPr/>
        <w:t>e, portanto, o</w:t>
      </w:r>
      <w:r>
        <w:rPr>
          <w:spacing w:val="-5"/>
        </w:rPr>
        <w:t> </w:t>
      </w:r>
      <w:r>
        <w:rPr/>
        <w:t>índice</w:t>
      </w:r>
      <w:r>
        <w:rPr>
          <w:spacing w:val="-8"/>
        </w:rPr>
        <w:t> </w:t>
      </w:r>
      <w:r>
        <w:rPr/>
        <w:t>cardíaco</w:t>
      </w:r>
      <w:r>
        <w:rPr>
          <w:spacing w:val="-5"/>
        </w:rPr>
        <w:t> </w:t>
      </w:r>
      <w:r>
        <w:rPr/>
        <w:t>é</w:t>
      </w:r>
      <w:r>
        <w:rPr>
          <w:spacing w:val="-8"/>
        </w:rPr>
        <w:t> </w:t>
      </w:r>
      <w:r>
        <w:rPr/>
        <w:t>normal. Só</w:t>
      </w:r>
      <w:r>
        <w:rPr>
          <w:spacing w:val="-5"/>
        </w:rPr>
        <w:t> </w:t>
      </w:r>
      <w:r>
        <w:rPr/>
        <w:t>em</w:t>
      </w:r>
      <w:r>
        <w:rPr>
          <w:spacing w:val="-5"/>
        </w:rPr>
        <w:t> </w:t>
      </w:r>
      <w:r>
        <w:rPr/>
        <w:t>fases muito avançadas, quando o anel mitral está abaixo de 0,8 cm</w:t>
      </w:r>
      <w:r>
        <w:rPr>
          <w:vertAlign w:val="superscript"/>
        </w:rPr>
        <w:t>2</w:t>
      </w:r>
      <w:r>
        <w:rPr>
          <w:vertAlign w:val="baseline"/>
        </w:rPr>
        <w:t>, é que há repercussões sistêmicas. As principais manifestações estão sempre no pulmão.</w:t>
      </w:r>
    </w:p>
    <w:p>
      <w:pPr>
        <w:pStyle w:val="BodyText"/>
        <w:spacing w:before="57"/>
        <w:ind w:left="414" w:firstLine="0"/>
      </w:pPr>
      <w:r>
        <w:rPr/>
        <w:t>Geralmente,</w:t>
      </w:r>
      <w:r>
        <w:rPr>
          <w:spacing w:val="-15"/>
        </w:rPr>
        <w:t> </w:t>
      </w:r>
      <w:r>
        <w:rPr/>
        <w:t>a</w:t>
      </w:r>
      <w:r>
        <w:rPr>
          <w:spacing w:val="-14"/>
        </w:rPr>
        <w:t> </w:t>
      </w:r>
      <w:r>
        <w:rPr/>
        <w:t>primeira</w:t>
      </w:r>
      <w:r>
        <w:rPr>
          <w:spacing w:val="-15"/>
        </w:rPr>
        <w:t> </w:t>
      </w:r>
      <w:r>
        <w:rPr/>
        <w:t>manifestação</w:t>
      </w:r>
      <w:r>
        <w:rPr>
          <w:spacing w:val="-14"/>
        </w:rPr>
        <w:t> </w:t>
      </w:r>
      <w:r>
        <w:rPr/>
        <w:t>da</w:t>
      </w:r>
      <w:r>
        <w:rPr>
          <w:spacing w:val="-14"/>
        </w:rPr>
        <w:t> </w:t>
      </w:r>
      <w:r>
        <w:rPr/>
        <w:t>descompensação</w:t>
      </w:r>
      <w:r>
        <w:rPr>
          <w:spacing w:val="-15"/>
        </w:rPr>
        <w:t> </w:t>
      </w:r>
      <w:r>
        <w:rPr/>
        <w:t>mitral</w:t>
      </w:r>
      <w:r>
        <w:rPr>
          <w:spacing w:val="-13"/>
        </w:rPr>
        <w:t> </w:t>
      </w:r>
      <w:r>
        <w:rPr/>
        <w:t>é</w:t>
      </w:r>
      <w:r>
        <w:rPr>
          <w:spacing w:val="-14"/>
        </w:rPr>
        <w:t> </w:t>
      </w:r>
      <w:r>
        <w:rPr/>
        <w:t>o</w:t>
      </w:r>
      <w:r>
        <w:rPr>
          <w:spacing w:val="-14"/>
        </w:rPr>
        <w:t> </w:t>
      </w:r>
      <w:r>
        <w:rPr/>
        <w:t>edema</w:t>
      </w:r>
      <w:r>
        <w:rPr>
          <w:spacing w:val="-14"/>
        </w:rPr>
        <w:t> </w:t>
      </w:r>
      <w:r>
        <w:rPr>
          <w:spacing w:val="-2"/>
        </w:rPr>
        <w:t>pulmonar.</w:t>
      </w:r>
    </w:p>
    <w:p>
      <w:pPr>
        <w:pStyle w:val="BodyText"/>
        <w:spacing w:line="276" w:lineRule="auto" w:before="104"/>
        <w:ind w:right="488"/>
      </w:pPr>
      <w:r>
        <w:rPr/>
        <w:t>A elevação da pressão média no átrio esquerdo aumenta a pressão venosa pulmonar e, consequentemente, a pressão capilar. Esse aumento da pressão capilar eleva o número de capilares potentes, ampliando proporcionalmente a área de filtração da rede capilar. O pulmão tem uma rica rede linfática que não alcança os alvéolos respiratórios, suas terminações mais finas são</w:t>
      </w:r>
      <w:r>
        <w:rPr>
          <w:spacing w:val="-2"/>
        </w:rPr>
        <w:t> </w:t>
      </w:r>
      <w:r>
        <w:rPr/>
        <w:t>encontradas até</w:t>
      </w:r>
      <w:r>
        <w:rPr>
          <w:spacing w:val="-5"/>
        </w:rPr>
        <w:t> </w:t>
      </w:r>
      <w:r>
        <w:rPr/>
        <w:t>os ductos alveolares, conforme</w:t>
      </w:r>
      <w:r>
        <w:rPr>
          <w:spacing w:val="-5"/>
        </w:rPr>
        <w:t> </w:t>
      </w:r>
      <w:r>
        <w:rPr/>
        <w:t>descrito</w:t>
      </w:r>
      <w:r>
        <w:rPr>
          <w:spacing w:val="-2"/>
        </w:rPr>
        <w:t> </w:t>
      </w:r>
      <w:r>
        <w:rPr/>
        <w:t>por Muller em 1948. Assim, quando os septos alveolares ficam ingurgitados com líquido edematoso, pode haver extravasamento</w:t>
      </w:r>
      <w:r>
        <w:rPr>
          <w:spacing w:val="-2"/>
        </w:rPr>
        <w:t> </w:t>
      </w:r>
      <w:r>
        <w:rPr/>
        <w:t>para</w:t>
      </w:r>
      <w:r>
        <w:rPr>
          <w:spacing w:val="-4"/>
        </w:rPr>
        <w:t> </w:t>
      </w:r>
      <w:r>
        <w:rPr/>
        <w:t>as cavidades alveolares e</w:t>
      </w:r>
      <w:r>
        <w:rPr>
          <w:spacing w:val="-4"/>
        </w:rPr>
        <w:t> </w:t>
      </w:r>
      <w:r>
        <w:rPr/>
        <w:t>para</w:t>
      </w:r>
      <w:r>
        <w:rPr>
          <w:spacing w:val="-4"/>
        </w:rPr>
        <w:t> </w:t>
      </w:r>
      <w:r>
        <w:rPr/>
        <w:t>os capilares linfáticos. Os linfáticos pulmonares drenam</w:t>
      </w:r>
      <w:r>
        <w:rPr>
          <w:spacing w:val="-2"/>
        </w:rPr>
        <w:t> </w:t>
      </w:r>
      <w:r>
        <w:rPr/>
        <w:t>para</w:t>
      </w:r>
      <w:r>
        <w:rPr>
          <w:spacing w:val="-4"/>
        </w:rPr>
        <w:t> </w:t>
      </w:r>
      <w:r>
        <w:rPr/>
        <w:t>o ducto linfático direito e este para a veia subclávia direita. Essa rede linfática, quando a transudação é gradativa, amplia-se</w:t>
      </w:r>
      <w:r>
        <w:rPr>
          <w:spacing w:val="-9"/>
        </w:rPr>
        <w:t> </w:t>
      </w:r>
      <w:r>
        <w:rPr/>
        <w:t>com</w:t>
      </w:r>
      <w:r>
        <w:rPr>
          <w:spacing w:val="-6"/>
        </w:rPr>
        <w:t> </w:t>
      </w:r>
      <w:r>
        <w:rPr/>
        <w:t>o</w:t>
      </w:r>
      <w:r>
        <w:rPr>
          <w:spacing w:val="-6"/>
        </w:rPr>
        <w:t> </w:t>
      </w:r>
      <w:r>
        <w:rPr/>
        <w:t>decorrer</w:t>
      </w:r>
      <w:r>
        <w:rPr>
          <w:spacing w:val="-1"/>
        </w:rPr>
        <w:t> </w:t>
      </w:r>
      <w:r>
        <w:rPr/>
        <w:t>do</w:t>
      </w:r>
      <w:r>
        <w:rPr>
          <w:spacing w:val="-6"/>
        </w:rPr>
        <w:t> </w:t>
      </w:r>
      <w:r>
        <w:rPr/>
        <w:t>tempo, justificando</w:t>
      </w:r>
      <w:r>
        <w:rPr>
          <w:spacing w:val="-6"/>
        </w:rPr>
        <w:t> </w:t>
      </w:r>
      <w:r>
        <w:rPr/>
        <w:t>assim</w:t>
      </w:r>
      <w:r>
        <w:rPr>
          <w:spacing w:val="-6"/>
        </w:rPr>
        <w:t> </w:t>
      </w:r>
      <w:r>
        <w:rPr/>
        <w:t>o</w:t>
      </w:r>
      <w:r>
        <w:rPr>
          <w:spacing w:val="-6"/>
        </w:rPr>
        <w:t> </w:t>
      </w:r>
      <w:r>
        <w:rPr/>
        <w:t>fato</w:t>
      </w:r>
      <w:r>
        <w:rPr>
          <w:spacing w:val="-6"/>
        </w:rPr>
        <w:t> </w:t>
      </w:r>
      <w:r>
        <w:rPr/>
        <w:t>de</w:t>
      </w:r>
      <w:r>
        <w:rPr>
          <w:spacing w:val="-9"/>
        </w:rPr>
        <w:t> </w:t>
      </w:r>
      <w:r>
        <w:rPr/>
        <w:t>certos portadores de</w:t>
      </w:r>
      <w:r>
        <w:rPr>
          <w:spacing w:val="-9"/>
        </w:rPr>
        <w:t> </w:t>
      </w:r>
      <w:r>
        <w:rPr/>
        <w:t>estenose</w:t>
      </w:r>
      <w:r>
        <w:rPr>
          <w:spacing w:val="-9"/>
        </w:rPr>
        <w:t> </w:t>
      </w:r>
      <w:r>
        <w:rPr/>
        <w:t>mitral</w:t>
      </w:r>
      <w:r>
        <w:rPr>
          <w:spacing w:val="-4"/>
        </w:rPr>
        <w:t> </w:t>
      </w:r>
      <w:r>
        <w:rPr/>
        <w:t>permanecerem assintomáticos por longo período.</w:t>
      </w:r>
    </w:p>
    <w:p>
      <w:pPr>
        <w:pStyle w:val="BodyText"/>
        <w:spacing w:line="276" w:lineRule="auto" w:before="49"/>
        <w:ind w:right="488"/>
      </w:pPr>
      <w:r>
        <w:rPr/>
        <w:t>A hipertensão venocapilar pulmonar diminui o fluxo pulmonar. Em termos de capacidade de distribuição de fluxo e ventilação alveolar, existe a relação ventilação-perfusão (V/Q) geralmente igual a 0,7, que é a distribuição do volume</w:t>
      </w:r>
      <w:r>
        <w:rPr>
          <w:spacing w:val="-2"/>
        </w:rPr>
        <w:t> </w:t>
      </w:r>
      <w:r>
        <w:rPr/>
        <w:t>e</w:t>
      </w:r>
      <w:r>
        <w:rPr>
          <w:spacing w:val="-2"/>
        </w:rPr>
        <w:t> </w:t>
      </w:r>
      <w:r>
        <w:rPr/>
        <w:t>fluxo em nível da</w:t>
      </w:r>
      <w:r>
        <w:rPr>
          <w:spacing w:val="-2"/>
        </w:rPr>
        <w:t> </w:t>
      </w:r>
      <w:r>
        <w:rPr/>
        <w:t>membrana</w:t>
      </w:r>
      <w:r>
        <w:rPr>
          <w:spacing w:val="-2"/>
        </w:rPr>
        <w:t> </w:t>
      </w:r>
      <w:r>
        <w:rPr/>
        <w:t>alveolocapilar, variando do ápice</w:t>
      </w:r>
      <w:r>
        <w:rPr>
          <w:spacing w:val="-2"/>
        </w:rPr>
        <w:t> </w:t>
      </w:r>
      <w:r>
        <w:rPr/>
        <w:t>com maior ventilação do que</w:t>
      </w:r>
      <w:r>
        <w:rPr>
          <w:spacing w:val="-2"/>
        </w:rPr>
        <w:t> </w:t>
      </w:r>
      <w:r>
        <w:rPr/>
        <w:t>perfusão, para a base com maior perfusão do que ventilação.</w:t>
      </w:r>
    </w:p>
    <w:p>
      <w:pPr>
        <w:pStyle w:val="BodyText"/>
        <w:ind w:left="414" w:firstLine="0"/>
      </w:pPr>
      <w:r>
        <w:rPr/>
        <w:t>Na</w:t>
      </w:r>
      <w:r>
        <w:rPr>
          <w:spacing w:val="-5"/>
        </w:rPr>
        <w:t> </w:t>
      </w:r>
      <w:r>
        <w:rPr/>
        <w:t>estenose</w:t>
      </w:r>
      <w:r>
        <w:rPr>
          <w:spacing w:val="-5"/>
        </w:rPr>
        <w:t> </w:t>
      </w:r>
      <w:r>
        <w:rPr/>
        <w:t>mitral,</w:t>
      </w:r>
      <w:r>
        <w:rPr>
          <w:spacing w:val="4"/>
        </w:rPr>
        <w:t> </w:t>
      </w:r>
      <w:r>
        <w:rPr/>
        <w:t>o</w:t>
      </w:r>
      <w:r>
        <w:rPr>
          <w:spacing w:val="-2"/>
        </w:rPr>
        <w:t> </w:t>
      </w:r>
      <w:r>
        <w:rPr/>
        <w:t>fluxo</w:t>
      </w:r>
      <w:r>
        <w:rPr>
          <w:spacing w:val="-3"/>
        </w:rPr>
        <w:t> </w:t>
      </w:r>
      <w:r>
        <w:rPr/>
        <w:t>pulmonar</w:t>
      </w:r>
      <w:r>
        <w:rPr>
          <w:spacing w:val="2"/>
        </w:rPr>
        <w:t> </w:t>
      </w:r>
      <w:r>
        <w:rPr/>
        <w:t>diminui por</w:t>
      </w:r>
      <w:r>
        <w:rPr>
          <w:spacing w:val="2"/>
        </w:rPr>
        <w:t> </w:t>
      </w:r>
      <w:r>
        <w:rPr/>
        <w:t>mecanismo</w:t>
      </w:r>
      <w:r>
        <w:rPr>
          <w:spacing w:val="-2"/>
        </w:rPr>
        <w:t> </w:t>
      </w:r>
      <w:r>
        <w:rPr/>
        <w:t>de</w:t>
      </w:r>
      <w:r>
        <w:rPr>
          <w:spacing w:val="-5"/>
        </w:rPr>
        <w:t> </w:t>
      </w:r>
      <w:r>
        <w:rPr/>
        <w:t>vasoconstrição</w:t>
      </w:r>
      <w:r>
        <w:rPr>
          <w:spacing w:val="-3"/>
        </w:rPr>
        <w:t> </w:t>
      </w:r>
      <w:r>
        <w:rPr/>
        <w:t>brônquica</w:t>
      </w:r>
      <w:r>
        <w:rPr>
          <w:spacing w:val="-5"/>
        </w:rPr>
        <w:t> </w:t>
      </w:r>
      <w:r>
        <w:rPr/>
        <w:t>distal,</w:t>
      </w:r>
      <w:r>
        <w:rPr>
          <w:spacing w:val="5"/>
        </w:rPr>
        <w:t> </w:t>
      </w:r>
      <w:r>
        <w:rPr/>
        <w:t>diminuindo</w:t>
      </w:r>
      <w:r>
        <w:rPr>
          <w:spacing w:val="-2"/>
        </w:rPr>
        <w:t> </w:t>
      </w:r>
      <w:r>
        <w:rPr>
          <w:spacing w:val="-10"/>
        </w:rPr>
        <w:t>a</w:t>
      </w:r>
    </w:p>
    <w:p>
      <w:pPr>
        <w:pStyle w:val="BodyText"/>
        <w:spacing w:after="0"/>
        <w:sectPr>
          <w:pgSz w:w="11900" w:h="16840"/>
          <w:pgMar w:top="220" w:bottom="280" w:left="566" w:right="141"/>
        </w:sectPr>
      </w:pPr>
    </w:p>
    <w:p>
      <w:pPr>
        <w:pStyle w:val="BodyText"/>
        <w:spacing w:line="276" w:lineRule="auto" w:before="72"/>
        <w:ind w:right="497" w:firstLine="0"/>
      </w:pPr>
      <w:r>
        <w:rPr/>
        <w:t>ventilação, aumentando</w:t>
      </w:r>
      <w:r>
        <w:rPr>
          <w:spacing w:val="-1"/>
        </w:rPr>
        <w:t> </w:t>
      </w:r>
      <w:r>
        <w:rPr/>
        <w:t>o</w:t>
      </w:r>
      <w:r>
        <w:rPr>
          <w:spacing w:val="-1"/>
        </w:rPr>
        <w:t> </w:t>
      </w:r>
      <w:r>
        <w:rPr/>
        <w:t>espaço</w:t>
      </w:r>
      <w:r>
        <w:rPr>
          <w:spacing w:val="-1"/>
        </w:rPr>
        <w:t> </w:t>
      </w:r>
      <w:r>
        <w:rPr/>
        <w:t>morto</w:t>
      </w:r>
      <w:r>
        <w:rPr>
          <w:spacing w:val="-1"/>
        </w:rPr>
        <w:t> </w:t>
      </w:r>
      <w:r>
        <w:rPr/>
        <w:t>e</w:t>
      </w:r>
      <w:r>
        <w:rPr>
          <w:spacing w:val="-3"/>
        </w:rPr>
        <w:t> </w:t>
      </w:r>
      <w:r>
        <w:rPr/>
        <w:t>levando</w:t>
      </w:r>
      <w:r>
        <w:rPr>
          <w:spacing w:val="-1"/>
        </w:rPr>
        <w:t> </w:t>
      </w:r>
      <w:r>
        <w:rPr/>
        <w:t>à</w:t>
      </w:r>
      <w:r>
        <w:rPr>
          <w:spacing w:val="-3"/>
        </w:rPr>
        <w:t> </w:t>
      </w:r>
      <w:r>
        <w:rPr/>
        <w:t>insuficiência</w:t>
      </w:r>
      <w:r>
        <w:rPr>
          <w:spacing w:val="-3"/>
        </w:rPr>
        <w:t> </w:t>
      </w:r>
      <w:r>
        <w:rPr/>
        <w:t>respiratória</w:t>
      </w:r>
      <w:r>
        <w:rPr>
          <w:spacing w:val="-3"/>
        </w:rPr>
        <w:t> </w:t>
      </w:r>
      <w:r>
        <w:rPr/>
        <w:t>distributiva, com</w:t>
      </w:r>
      <w:r>
        <w:rPr>
          <w:spacing w:val="-1"/>
        </w:rPr>
        <w:t> </w:t>
      </w:r>
      <w:r>
        <w:rPr/>
        <w:t>alteração</w:t>
      </w:r>
      <w:r>
        <w:rPr>
          <w:spacing w:val="-1"/>
        </w:rPr>
        <w:t> </w:t>
      </w:r>
      <w:r>
        <w:rPr/>
        <w:t>da</w:t>
      </w:r>
      <w:r>
        <w:rPr>
          <w:spacing w:val="-3"/>
        </w:rPr>
        <w:t> </w:t>
      </w:r>
      <w:r>
        <w:rPr/>
        <w:t>relação V/Q. Ao mesmo tempo, como a drenagem não é efetiva, aparece o edema pulmonar, diminuindo a complacência pulmonar e levando a maior esforço respiratório, isso é insuficiência respiratória restritiva. Os alvéolos e os capilares estão bem próximos para facilitar a hematose, mas com a evolução do edema, o interstício entre eles também é abrangido, prejudicando a hematose e levando à </w:t>
      </w:r>
      <w:r>
        <w:rPr>
          <w:i/>
        </w:rPr>
        <w:t>insuficiência respiratória de difusão</w:t>
      </w:r>
      <w:r>
        <w:rPr/>
        <w:t>. Quando o edema chega</w:t>
      </w:r>
      <w:r>
        <w:rPr>
          <w:spacing w:val="-6"/>
        </w:rPr>
        <w:t> </w:t>
      </w:r>
      <w:r>
        <w:rPr/>
        <w:t>a</w:t>
      </w:r>
      <w:r>
        <w:rPr>
          <w:spacing w:val="-6"/>
        </w:rPr>
        <w:t> </w:t>
      </w:r>
      <w:r>
        <w:rPr/>
        <w:t>invadir os alvéolos e</w:t>
      </w:r>
      <w:r>
        <w:rPr>
          <w:spacing w:val="-6"/>
        </w:rPr>
        <w:t> </w:t>
      </w:r>
      <w:r>
        <w:rPr/>
        <w:t>os capilares venosos peribrônquicos, provocando</w:t>
      </w:r>
      <w:r>
        <w:rPr>
          <w:spacing w:val="-3"/>
        </w:rPr>
        <w:t> </w:t>
      </w:r>
      <w:r>
        <w:rPr/>
        <w:t>dificuldade</w:t>
      </w:r>
      <w:r>
        <w:rPr>
          <w:spacing w:val="-6"/>
        </w:rPr>
        <w:t> </w:t>
      </w:r>
      <w:r>
        <w:rPr/>
        <w:t>de</w:t>
      </w:r>
      <w:r>
        <w:rPr>
          <w:spacing w:val="-6"/>
        </w:rPr>
        <w:t> </w:t>
      </w:r>
      <w:r>
        <w:rPr/>
        <w:t>entrada</w:t>
      </w:r>
      <w:r>
        <w:rPr>
          <w:spacing w:val="-6"/>
        </w:rPr>
        <w:t> </w:t>
      </w:r>
      <w:r>
        <w:rPr/>
        <w:t>de</w:t>
      </w:r>
      <w:r>
        <w:rPr>
          <w:spacing w:val="-6"/>
        </w:rPr>
        <w:t> </w:t>
      </w:r>
      <w:r>
        <w:rPr/>
        <w:t>ar, dá-se</w:t>
      </w:r>
      <w:r>
        <w:rPr>
          <w:spacing w:val="-6"/>
        </w:rPr>
        <w:t> </w:t>
      </w:r>
      <w:r>
        <w:rPr/>
        <w:t>à </w:t>
      </w:r>
      <w:r>
        <w:rPr>
          <w:i/>
        </w:rPr>
        <w:t>insuficiência respiratória obstrutiva</w:t>
      </w:r>
      <w:r>
        <w:rPr/>
        <w:t>.</w:t>
      </w:r>
    </w:p>
    <w:p>
      <w:pPr>
        <w:pStyle w:val="BodyText"/>
        <w:spacing w:line="276" w:lineRule="auto" w:before="60"/>
        <w:ind w:right="488"/>
      </w:pPr>
      <w:r>
        <w:rPr/>
        <w:t>A pressão diastólica da artéria pulmonar é igual à pressão média do capilar pulmonar. Essas duas pressões se elevam igualmente até um certo limite; quando a pressão na artéria pulmonar aumenta mais do que a pressão do capilar pulmonar, a vasculatura arteriolar entra em vasoconstrição.</w:t>
      </w:r>
    </w:p>
    <w:p>
      <w:pPr>
        <w:pStyle w:val="BodyText"/>
        <w:spacing w:line="276" w:lineRule="auto" w:before="49"/>
        <w:ind w:right="500"/>
      </w:pPr>
      <w:r>
        <w:rPr/>
        <w:t>A essa vasoconstrição reflexa inicial seguem-se modificações anatômicas, como hipertrofia da média, hiperplasia da íntima, degeneração da íntima com formação de trombos e oclusão do vaso, levando à </w:t>
      </w:r>
      <w:r>
        <w:rPr>
          <w:i/>
        </w:rPr>
        <w:t>hiper-resistência</w:t>
      </w:r>
      <w:r>
        <w:rPr>
          <w:i/>
          <w:spacing w:val="-4"/>
        </w:rPr>
        <w:t> </w:t>
      </w:r>
      <w:r>
        <w:rPr>
          <w:i/>
        </w:rPr>
        <w:t>pulmonar</w:t>
      </w:r>
      <w:r>
        <w:rPr/>
        <w:t>, com uma desproporção persistente entre a pressão diastólica da artéria pulmonar e a pressão média do capilar pulmonar.</w:t>
      </w:r>
    </w:p>
    <w:p>
      <w:pPr>
        <w:pStyle w:val="BodyText"/>
        <w:spacing w:line="276" w:lineRule="auto"/>
        <w:ind w:right="488"/>
      </w:pPr>
      <w:r>
        <w:rPr/>
        <w:t>As alterações vasculares, ao atingirem um determinado ponto, não regridem nem com a correção da estenose </w:t>
      </w:r>
      <w:r>
        <w:rPr>
          <w:spacing w:val="-2"/>
        </w:rPr>
        <w:t>mitral.</w:t>
      </w:r>
    </w:p>
    <w:p>
      <w:pPr>
        <w:pStyle w:val="BodyText"/>
        <w:spacing w:line="276" w:lineRule="auto" w:before="48"/>
        <w:ind w:right="491"/>
      </w:pPr>
      <w:r>
        <w:rPr/>
        <w:t>A hiper-resistência pulmonar desencadeia certa melhora das manifestações clínicas pela diminuição do débito pulmonar. Nesse momento, durante o esforço, com o aumento da frequência cardíaca, não há mais o risco de ocorrer</w:t>
      </w:r>
      <w:r>
        <w:rPr>
          <w:spacing w:val="-1"/>
        </w:rPr>
        <w:t> </w:t>
      </w:r>
      <w:r>
        <w:rPr/>
        <w:t>edema</w:t>
      </w:r>
      <w:r>
        <w:rPr>
          <w:spacing w:val="-9"/>
        </w:rPr>
        <w:t> </w:t>
      </w:r>
      <w:r>
        <w:rPr/>
        <w:t>agudo</w:t>
      </w:r>
      <w:r>
        <w:rPr>
          <w:spacing w:val="-6"/>
        </w:rPr>
        <w:t> </w:t>
      </w:r>
      <w:r>
        <w:rPr/>
        <w:t>do</w:t>
      </w:r>
      <w:r>
        <w:rPr>
          <w:spacing w:val="-6"/>
        </w:rPr>
        <w:t> </w:t>
      </w:r>
      <w:r>
        <w:rPr/>
        <w:t>pulmão, porém</w:t>
      </w:r>
      <w:r>
        <w:rPr>
          <w:spacing w:val="-6"/>
        </w:rPr>
        <w:t> </w:t>
      </w:r>
      <w:r>
        <w:rPr/>
        <w:t>o</w:t>
      </w:r>
      <w:r>
        <w:rPr>
          <w:spacing w:val="-6"/>
        </w:rPr>
        <w:t> </w:t>
      </w:r>
      <w:r>
        <w:rPr/>
        <w:t>débito</w:t>
      </w:r>
      <w:r>
        <w:rPr>
          <w:spacing w:val="-6"/>
        </w:rPr>
        <w:t> </w:t>
      </w:r>
      <w:r>
        <w:rPr/>
        <w:t>cardíaco</w:t>
      </w:r>
      <w:r>
        <w:rPr>
          <w:spacing w:val="-6"/>
        </w:rPr>
        <w:t> </w:t>
      </w:r>
      <w:r>
        <w:rPr/>
        <w:t>pode</w:t>
      </w:r>
      <w:r>
        <w:rPr>
          <w:spacing w:val="-9"/>
        </w:rPr>
        <w:t> </w:t>
      </w:r>
      <w:r>
        <w:rPr/>
        <w:t>estar</w:t>
      </w:r>
      <w:r>
        <w:rPr>
          <w:spacing w:val="-1"/>
        </w:rPr>
        <w:t> </w:t>
      </w:r>
      <w:r>
        <w:rPr/>
        <w:t>diminuído</w:t>
      </w:r>
      <w:r>
        <w:rPr>
          <w:spacing w:val="-6"/>
        </w:rPr>
        <w:t> </w:t>
      </w:r>
      <w:r>
        <w:rPr/>
        <w:t>e</w:t>
      </w:r>
      <w:r>
        <w:rPr>
          <w:spacing w:val="-9"/>
        </w:rPr>
        <w:t> </w:t>
      </w:r>
      <w:r>
        <w:rPr/>
        <w:t>o</w:t>
      </w:r>
      <w:r>
        <w:rPr>
          <w:spacing w:val="-6"/>
        </w:rPr>
        <w:t> </w:t>
      </w:r>
      <w:r>
        <w:rPr/>
        <w:t>paciente</w:t>
      </w:r>
      <w:r>
        <w:rPr>
          <w:spacing w:val="-9"/>
        </w:rPr>
        <w:t> </w:t>
      </w:r>
      <w:r>
        <w:rPr/>
        <w:t>sentir</w:t>
      </w:r>
      <w:r>
        <w:rPr>
          <w:spacing w:val="-1"/>
        </w:rPr>
        <w:t> </w:t>
      </w:r>
      <w:r>
        <w:rPr/>
        <w:t>fraqueza</w:t>
      </w:r>
      <w:r>
        <w:rPr>
          <w:spacing w:val="-9"/>
        </w:rPr>
        <w:t> </w:t>
      </w:r>
      <w:r>
        <w:rPr/>
        <w:t>e</w:t>
      </w:r>
      <w:r>
        <w:rPr>
          <w:spacing w:val="-9"/>
        </w:rPr>
        <w:t> </w:t>
      </w:r>
      <w:r>
        <w:rPr/>
        <w:t>fadiga generalizada. Na realidade, é um agravamento da doença.</w:t>
      </w:r>
    </w:p>
    <w:p>
      <w:pPr>
        <w:pStyle w:val="BodyText"/>
        <w:spacing w:line="276" w:lineRule="auto"/>
        <w:ind w:right="488"/>
      </w:pPr>
      <w:r>
        <w:rPr/>
        <w:t>O VD, ao encontrar resistência à sua ejeção, hipertrofia-se tentando manter o débito pulmonar adequado até certo</w:t>
      </w:r>
      <w:r>
        <w:rPr>
          <w:spacing w:val="-4"/>
        </w:rPr>
        <w:t> </w:t>
      </w:r>
      <w:r>
        <w:rPr/>
        <w:t>ponto, quando</w:t>
      </w:r>
      <w:r>
        <w:rPr>
          <w:spacing w:val="-4"/>
        </w:rPr>
        <w:t> </w:t>
      </w:r>
      <w:r>
        <w:rPr/>
        <w:t>entra</w:t>
      </w:r>
      <w:r>
        <w:rPr>
          <w:spacing w:val="-7"/>
        </w:rPr>
        <w:t> </w:t>
      </w:r>
      <w:r>
        <w:rPr/>
        <w:t>em</w:t>
      </w:r>
      <w:r>
        <w:rPr>
          <w:spacing w:val="-4"/>
        </w:rPr>
        <w:t> </w:t>
      </w:r>
      <w:r>
        <w:rPr/>
        <w:t>degeneração</w:t>
      </w:r>
      <w:r>
        <w:rPr>
          <w:spacing w:val="-4"/>
        </w:rPr>
        <w:t> </w:t>
      </w:r>
      <w:r>
        <w:rPr/>
        <w:t>e</w:t>
      </w:r>
      <w:r>
        <w:rPr>
          <w:spacing w:val="-7"/>
        </w:rPr>
        <w:t> </w:t>
      </w:r>
      <w:r>
        <w:rPr/>
        <w:t>falência, levando</w:t>
      </w:r>
      <w:r>
        <w:rPr>
          <w:spacing w:val="-4"/>
        </w:rPr>
        <w:t> </w:t>
      </w:r>
      <w:r>
        <w:rPr/>
        <w:t>à</w:t>
      </w:r>
      <w:r>
        <w:rPr>
          <w:spacing w:val="-7"/>
        </w:rPr>
        <w:t> </w:t>
      </w:r>
      <w:r>
        <w:rPr/>
        <w:t>hipertensão</w:t>
      </w:r>
      <w:r>
        <w:rPr>
          <w:spacing w:val="-4"/>
        </w:rPr>
        <w:t> </w:t>
      </w:r>
      <w:r>
        <w:rPr/>
        <w:t>venosa</w:t>
      </w:r>
      <w:r>
        <w:rPr>
          <w:spacing w:val="-7"/>
        </w:rPr>
        <w:t> </w:t>
      </w:r>
      <w:r>
        <w:rPr/>
        <w:t>generalizada.</w:t>
      </w:r>
    </w:p>
    <w:p>
      <w:pPr>
        <w:pStyle w:val="BodyText"/>
        <w:spacing w:line="276" w:lineRule="auto" w:before="64"/>
        <w:ind w:right="491"/>
      </w:pPr>
      <w:r>
        <w:rPr/>
        <w:t>O índice cardíaco na estenose mitral vai diminuindo progressivamente, à medida que aumenta a restrição ao volume diastólico final.</w:t>
      </w:r>
    </w:p>
    <w:p>
      <w:pPr>
        <w:pStyle w:val="BodyText"/>
        <w:spacing w:before="48"/>
        <w:ind w:left="414" w:firstLine="0"/>
      </w:pPr>
      <w:r>
        <w:rPr/>
        <w:t>A</w:t>
      </w:r>
      <w:r>
        <w:rPr>
          <w:spacing w:val="-13"/>
        </w:rPr>
        <w:t> </w:t>
      </w:r>
      <w:r>
        <w:rPr/>
        <w:t>contratilidade</w:t>
      </w:r>
      <w:r>
        <w:rPr>
          <w:spacing w:val="-12"/>
        </w:rPr>
        <w:t> </w:t>
      </w:r>
      <w:r>
        <w:rPr/>
        <w:t>do</w:t>
      </w:r>
      <w:r>
        <w:rPr>
          <w:spacing w:val="-10"/>
        </w:rPr>
        <w:t> </w:t>
      </w:r>
      <w:r>
        <w:rPr/>
        <w:t>VE</w:t>
      </w:r>
      <w:r>
        <w:rPr>
          <w:spacing w:val="-5"/>
        </w:rPr>
        <w:t> </w:t>
      </w:r>
      <w:r>
        <w:rPr/>
        <w:t>geralmente</w:t>
      </w:r>
      <w:r>
        <w:rPr>
          <w:spacing w:val="-12"/>
        </w:rPr>
        <w:t> </w:t>
      </w:r>
      <w:r>
        <w:rPr/>
        <w:t>está</w:t>
      </w:r>
      <w:r>
        <w:rPr>
          <w:spacing w:val="-12"/>
        </w:rPr>
        <w:t> </w:t>
      </w:r>
      <w:r>
        <w:rPr>
          <w:spacing w:val="-2"/>
        </w:rPr>
        <w:t>preservada.</w:t>
      </w:r>
    </w:p>
    <w:p>
      <w:pPr>
        <w:pStyle w:val="BodyText"/>
        <w:spacing w:line="276" w:lineRule="auto" w:before="104"/>
        <w:ind w:right="488"/>
      </w:pPr>
      <w:r>
        <w:rPr/>
        <w:t>Existem mais duas alterações fisiopatológicas de grande importância na estenose mitral. Uma delas é consequente às alterações estruturais sofridas pelo átrio esquerdo com a hipertensão nessa câmara, levando à </w:t>
      </w:r>
      <w:r>
        <w:rPr>
          <w:i/>
        </w:rPr>
        <w:t>desorganização do sistema de condução elétrica </w:t>
      </w:r>
      <w:r>
        <w:rPr/>
        <w:t>e acarretando alterações do ritmo cardíaco. Outra alteração importante</w:t>
      </w:r>
      <w:r>
        <w:rPr>
          <w:spacing w:val="-13"/>
        </w:rPr>
        <w:t> </w:t>
      </w:r>
      <w:r>
        <w:rPr/>
        <w:t>é</w:t>
      </w:r>
      <w:r>
        <w:rPr>
          <w:spacing w:val="-13"/>
        </w:rPr>
        <w:t> </w:t>
      </w:r>
      <w:r>
        <w:rPr/>
        <w:t>a</w:t>
      </w:r>
      <w:r>
        <w:rPr>
          <w:spacing w:val="-13"/>
        </w:rPr>
        <w:t> </w:t>
      </w:r>
      <w:r>
        <w:rPr/>
        <w:t>potencialidade</w:t>
      </w:r>
      <w:r>
        <w:rPr>
          <w:spacing w:val="-13"/>
        </w:rPr>
        <w:t> </w:t>
      </w:r>
      <w:r>
        <w:rPr/>
        <w:t>em</w:t>
      </w:r>
      <w:r>
        <w:rPr>
          <w:spacing w:val="-11"/>
        </w:rPr>
        <w:t> </w:t>
      </w:r>
      <w:r>
        <w:rPr/>
        <w:t>produzir</w:t>
      </w:r>
      <w:r>
        <w:rPr>
          <w:spacing w:val="-6"/>
        </w:rPr>
        <w:t> </w:t>
      </w:r>
      <w:r>
        <w:rPr>
          <w:i/>
        </w:rPr>
        <w:t>fenômenos</w:t>
      </w:r>
      <w:r>
        <w:rPr>
          <w:i/>
          <w:spacing w:val="-6"/>
        </w:rPr>
        <w:t> </w:t>
      </w:r>
      <w:r>
        <w:rPr>
          <w:i/>
        </w:rPr>
        <w:t>tromboembólicos</w:t>
      </w:r>
      <w:r>
        <w:rPr/>
        <w:t>,</w:t>
      </w:r>
      <w:r>
        <w:rPr>
          <w:spacing w:val="-1"/>
        </w:rPr>
        <w:t> </w:t>
      </w:r>
      <w:r>
        <w:rPr/>
        <w:t>agravada</w:t>
      </w:r>
      <w:r>
        <w:rPr>
          <w:spacing w:val="-11"/>
        </w:rPr>
        <w:t> </w:t>
      </w:r>
      <w:r>
        <w:rPr/>
        <w:t>pela</w:t>
      </w:r>
      <w:r>
        <w:rPr>
          <w:spacing w:val="-11"/>
        </w:rPr>
        <w:t> </w:t>
      </w:r>
      <w:r>
        <w:rPr/>
        <w:t>dificuldade</w:t>
      </w:r>
      <w:r>
        <w:rPr>
          <w:spacing w:val="-11"/>
        </w:rPr>
        <w:t> </w:t>
      </w:r>
      <w:r>
        <w:rPr/>
        <w:t>do</w:t>
      </w:r>
      <w:r>
        <w:rPr>
          <w:spacing w:val="-9"/>
        </w:rPr>
        <w:t> </w:t>
      </w:r>
      <w:r>
        <w:rPr/>
        <w:t>átrio</w:t>
      </w:r>
      <w:r>
        <w:rPr>
          <w:spacing w:val="-9"/>
        </w:rPr>
        <w:t> </w:t>
      </w:r>
      <w:r>
        <w:rPr/>
        <w:t>esquerdo em esvaziar-se, irregularidade do ritmo cardíaco e calcificação das cúspides.</w:t>
      </w:r>
    </w:p>
    <w:p>
      <w:pPr>
        <w:pStyle w:val="BodyText"/>
        <w:spacing w:before="134"/>
        <w:ind w:left="0" w:firstLine="0"/>
        <w:jc w:val="left"/>
      </w:pPr>
    </w:p>
    <w:p>
      <w:pPr>
        <w:pStyle w:val="Heading5"/>
        <w:jc w:val="both"/>
      </w:pPr>
      <w:r>
        <w:rPr>
          <w:color w:val="A26108"/>
        </w:rPr>
        <w:t>Quadro</w:t>
      </w:r>
      <w:r>
        <w:rPr>
          <w:color w:val="A26108"/>
          <w:spacing w:val="23"/>
        </w:rPr>
        <w:t> </w:t>
      </w:r>
      <w:r>
        <w:rPr>
          <w:color w:val="A26108"/>
          <w:spacing w:val="-2"/>
        </w:rPr>
        <w:t>clínico</w:t>
      </w:r>
    </w:p>
    <w:p>
      <w:pPr>
        <w:pStyle w:val="BodyText"/>
        <w:spacing w:line="276" w:lineRule="auto" w:before="123"/>
        <w:ind w:right="488"/>
      </w:pPr>
      <w:r>
        <w:rPr/>
        <w:t>O</w:t>
      </w:r>
      <w:r>
        <w:rPr>
          <w:spacing w:val="-3"/>
        </w:rPr>
        <w:t> </w:t>
      </w:r>
      <w:r>
        <w:rPr/>
        <w:t>paciente</w:t>
      </w:r>
      <w:r>
        <w:rPr>
          <w:spacing w:val="-3"/>
        </w:rPr>
        <w:t> </w:t>
      </w:r>
      <w:r>
        <w:rPr/>
        <w:t>com estenose</w:t>
      </w:r>
      <w:r>
        <w:rPr>
          <w:spacing w:val="-3"/>
        </w:rPr>
        <w:t> </w:t>
      </w:r>
      <w:r>
        <w:rPr/>
        <w:t>mitral pode</w:t>
      </w:r>
      <w:r>
        <w:rPr>
          <w:spacing w:val="-3"/>
        </w:rPr>
        <w:t> </w:t>
      </w:r>
      <w:r>
        <w:rPr/>
        <w:t>permanecer uma</w:t>
      </w:r>
      <w:r>
        <w:rPr>
          <w:spacing w:val="-3"/>
        </w:rPr>
        <w:t> </w:t>
      </w:r>
      <w:r>
        <w:rPr/>
        <w:t>ou duas décadas sem apresentar sintomas. A</w:t>
      </w:r>
      <w:r>
        <w:rPr>
          <w:spacing w:val="-3"/>
        </w:rPr>
        <w:t> </w:t>
      </w:r>
      <w:r>
        <w:rPr/>
        <w:t>partir desse período, a </w:t>
      </w:r>
      <w:r>
        <w:rPr>
          <w:i/>
        </w:rPr>
        <w:t>dispneia </w:t>
      </w:r>
      <w:r>
        <w:rPr/>
        <w:t>vai se manifestando lenta e progressivamente, inicialmente ao esforço físico.</w:t>
      </w:r>
    </w:p>
    <w:p>
      <w:pPr>
        <w:pStyle w:val="BodyText"/>
        <w:spacing w:line="276" w:lineRule="auto" w:before="64"/>
        <w:ind w:right="500"/>
      </w:pPr>
      <w:r>
        <w:rPr/>
        <w:t>Os primeiros episódios de dispneia são desencadeados pelo exercício, estresse emocional, relação sexual, infecção, febre, fibrilação</w:t>
      </w:r>
      <w:r>
        <w:rPr>
          <w:spacing w:val="-6"/>
        </w:rPr>
        <w:t> </w:t>
      </w:r>
      <w:r>
        <w:rPr/>
        <w:t>atrial, em</w:t>
      </w:r>
      <w:r>
        <w:rPr>
          <w:spacing w:val="-6"/>
        </w:rPr>
        <w:t> </w:t>
      </w:r>
      <w:r>
        <w:rPr/>
        <w:t>função</w:t>
      </w:r>
      <w:r>
        <w:rPr>
          <w:spacing w:val="-6"/>
        </w:rPr>
        <w:t> </w:t>
      </w:r>
      <w:r>
        <w:rPr/>
        <w:t>de</w:t>
      </w:r>
      <w:r>
        <w:rPr>
          <w:spacing w:val="-9"/>
        </w:rPr>
        <w:t> </w:t>
      </w:r>
      <w:r>
        <w:rPr/>
        <w:t>aceleração</w:t>
      </w:r>
      <w:r>
        <w:rPr>
          <w:spacing w:val="-6"/>
        </w:rPr>
        <w:t> </w:t>
      </w:r>
      <w:r>
        <w:rPr/>
        <w:t>do</w:t>
      </w:r>
      <w:r>
        <w:rPr>
          <w:spacing w:val="-6"/>
        </w:rPr>
        <w:t> </w:t>
      </w:r>
      <w:r>
        <w:rPr/>
        <w:t>fluxo</w:t>
      </w:r>
      <w:r>
        <w:rPr>
          <w:spacing w:val="-6"/>
        </w:rPr>
        <w:t> </w:t>
      </w:r>
      <w:r>
        <w:rPr/>
        <w:t>sanguíneo</w:t>
      </w:r>
      <w:r>
        <w:rPr>
          <w:spacing w:val="-6"/>
        </w:rPr>
        <w:t> </w:t>
      </w:r>
      <w:r>
        <w:rPr/>
        <w:t>através do</w:t>
      </w:r>
      <w:r>
        <w:rPr>
          <w:spacing w:val="-6"/>
        </w:rPr>
        <w:t> </w:t>
      </w:r>
      <w:r>
        <w:rPr/>
        <w:t>orifício</w:t>
      </w:r>
      <w:r>
        <w:rPr>
          <w:spacing w:val="-6"/>
        </w:rPr>
        <w:t> </w:t>
      </w:r>
      <w:r>
        <w:rPr/>
        <w:t>mitral, provocando aumento da pressão no átrio esquerdo.</w:t>
      </w:r>
    </w:p>
    <w:p>
      <w:pPr>
        <w:pStyle w:val="BodyText"/>
        <w:spacing w:line="276" w:lineRule="auto" w:before="64"/>
        <w:ind w:right="487"/>
      </w:pPr>
      <w:r>
        <w:rPr/>
        <w:t>Com a evolução, pode haver descompensação clínica e instalar-se o </w:t>
      </w:r>
      <w:r>
        <w:rPr>
          <w:i/>
        </w:rPr>
        <w:t>edema pulmonar </w:t>
      </w:r>
      <w:r>
        <w:rPr/>
        <w:t>em consequência de elevação repentina</w:t>
      </w:r>
      <w:r>
        <w:rPr>
          <w:spacing w:val="-1"/>
        </w:rPr>
        <w:t> </w:t>
      </w:r>
      <w:r>
        <w:rPr/>
        <w:t>da</w:t>
      </w:r>
      <w:r>
        <w:rPr>
          <w:spacing w:val="-1"/>
        </w:rPr>
        <w:t> </w:t>
      </w:r>
      <w:r>
        <w:rPr/>
        <w:t>pressão atrial esquerda, como na</w:t>
      </w:r>
      <w:r>
        <w:rPr>
          <w:spacing w:val="-1"/>
        </w:rPr>
        <w:t> </w:t>
      </w:r>
      <w:r>
        <w:rPr/>
        <w:t>fibrilação atrial aguda.</w:t>
      </w:r>
    </w:p>
    <w:p>
      <w:pPr>
        <w:pStyle w:val="BodyText"/>
        <w:spacing w:line="276" w:lineRule="auto" w:before="49"/>
        <w:ind w:right="488"/>
      </w:pPr>
      <w:r>
        <w:rPr/>
        <w:t>O paciente pode apresentar: hemoptise, mais frequentemente com escarro espumoso e róseo devido ao edema pulmonar ou</w:t>
      </w:r>
      <w:r>
        <w:rPr>
          <w:spacing w:val="-1"/>
        </w:rPr>
        <w:t> </w:t>
      </w:r>
      <w:r>
        <w:rPr/>
        <w:t>sangue</w:t>
      </w:r>
      <w:r>
        <w:rPr>
          <w:spacing w:val="-3"/>
        </w:rPr>
        <w:t> </w:t>
      </w:r>
      <w:r>
        <w:rPr/>
        <w:t>vivo</w:t>
      </w:r>
      <w:r>
        <w:rPr>
          <w:spacing w:val="-1"/>
        </w:rPr>
        <w:t> </w:t>
      </w:r>
      <w:r>
        <w:rPr/>
        <w:t>em</w:t>
      </w:r>
      <w:r>
        <w:rPr>
          <w:spacing w:val="-1"/>
        </w:rPr>
        <w:t> </w:t>
      </w:r>
      <w:r>
        <w:rPr/>
        <w:t>decorrência</w:t>
      </w:r>
      <w:r>
        <w:rPr>
          <w:spacing w:val="-3"/>
        </w:rPr>
        <w:t> </w:t>
      </w:r>
      <w:r>
        <w:rPr/>
        <w:t>de</w:t>
      </w:r>
      <w:r>
        <w:rPr>
          <w:spacing w:val="-3"/>
        </w:rPr>
        <w:t> </w:t>
      </w:r>
      <w:r>
        <w:rPr/>
        <w:t>ruptura</w:t>
      </w:r>
      <w:r>
        <w:rPr>
          <w:spacing w:val="-3"/>
        </w:rPr>
        <w:t> </w:t>
      </w:r>
      <w:r>
        <w:rPr/>
        <w:t>de</w:t>
      </w:r>
      <w:r>
        <w:rPr>
          <w:spacing w:val="-3"/>
        </w:rPr>
        <w:t> </w:t>
      </w:r>
      <w:r>
        <w:rPr/>
        <w:t>veia</w:t>
      </w:r>
      <w:r>
        <w:rPr>
          <w:spacing w:val="-3"/>
        </w:rPr>
        <w:t> </w:t>
      </w:r>
      <w:r>
        <w:rPr/>
        <w:t>brônquica; dor torácica</w:t>
      </w:r>
      <w:r>
        <w:rPr>
          <w:spacing w:val="-3"/>
        </w:rPr>
        <w:t> </w:t>
      </w:r>
      <w:r>
        <w:rPr/>
        <w:t>incide</w:t>
      </w:r>
      <w:r>
        <w:rPr>
          <w:spacing w:val="-3"/>
        </w:rPr>
        <w:t> </w:t>
      </w:r>
      <w:r>
        <w:rPr/>
        <w:t>em</w:t>
      </w:r>
      <w:r>
        <w:rPr>
          <w:spacing w:val="-1"/>
        </w:rPr>
        <w:t> </w:t>
      </w:r>
      <w:r>
        <w:rPr/>
        <w:t>15% dos pacientes e pode ser causada por hipertensão ventricular direita, coronariopatia ou embolismo coronário; tromboembolismo ocorre em 10%; arritmias, mais frequentemente a fibrilação atrial, que está presente em 40%; endocardite infecciosa, além de outros sintomas, tais como compressão do nervo laríngeo recorrente por átrio esquerdo dilatado; linfonodos traqueobrônquicos aumentados; disfagia, pelo aumento do átrio esquerdo, comprimindo o esôfago;</w:t>
      </w:r>
      <w:r>
        <w:rPr>
          <w:spacing w:val="-7"/>
        </w:rPr>
        <w:t> </w:t>
      </w:r>
      <w:r>
        <w:rPr/>
        <w:t>artéria</w:t>
      </w:r>
      <w:r>
        <w:rPr>
          <w:spacing w:val="-12"/>
        </w:rPr>
        <w:t> </w:t>
      </w:r>
      <w:r>
        <w:rPr/>
        <w:t>pulmonar</w:t>
      </w:r>
      <w:r>
        <w:rPr>
          <w:spacing w:val="-5"/>
        </w:rPr>
        <w:t> </w:t>
      </w:r>
      <w:r>
        <w:rPr/>
        <w:t>dilatada</w:t>
      </w:r>
      <w:r>
        <w:rPr>
          <w:spacing w:val="-12"/>
        </w:rPr>
        <w:t> </w:t>
      </w:r>
      <w:r>
        <w:rPr/>
        <w:t>levando</w:t>
      </w:r>
      <w:r>
        <w:rPr>
          <w:spacing w:val="-10"/>
        </w:rPr>
        <w:t> </w:t>
      </w:r>
      <w:r>
        <w:rPr/>
        <w:t>à</w:t>
      </w:r>
      <w:r>
        <w:rPr>
          <w:spacing w:val="-12"/>
        </w:rPr>
        <w:t> </w:t>
      </w:r>
      <w:r>
        <w:rPr/>
        <w:t>rouquidão,</w:t>
      </w:r>
      <w:r>
        <w:rPr>
          <w:spacing w:val="-3"/>
        </w:rPr>
        <w:t> </w:t>
      </w:r>
      <w:r>
        <w:rPr/>
        <w:t>chamada</w:t>
      </w:r>
      <w:r>
        <w:rPr>
          <w:spacing w:val="-12"/>
        </w:rPr>
        <w:t> </w:t>
      </w:r>
      <w:r>
        <w:rPr/>
        <w:t>de</w:t>
      </w:r>
      <w:r>
        <w:rPr>
          <w:spacing w:val="-12"/>
        </w:rPr>
        <w:t> </w:t>
      </w:r>
      <w:r>
        <w:rPr/>
        <w:t>síndrome</w:t>
      </w:r>
      <w:r>
        <w:rPr>
          <w:spacing w:val="-12"/>
        </w:rPr>
        <w:t> </w:t>
      </w:r>
      <w:r>
        <w:rPr/>
        <w:t>de</w:t>
      </w:r>
      <w:r>
        <w:rPr>
          <w:spacing w:val="-12"/>
        </w:rPr>
        <w:t> </w:t>
      </w:r>
      <w:r>
        <w:rPr/>
        <w:t>Ortner;</w:t>
      </w:r>
      <w:r>
        <w:rPr>
          <w:spacing w:val="-7"/>
        </w:rPr>
        <w:t> </w:t>
      </w:r>
      <w:r>
        <w:rPr/>
        <w:t>hemoptise</w:t>
      </w:r>
      <w:r>
        <w:rPr>
          <w:spacing w:val="-12"/>
        </w:rPr>
        <w:t> </w:t>
      </w:r>
      <w:r>
        <w:rPr/>
        <w:t>de</w:t>
      </w:r>
      <w:r>
        <w:rPr>
          <w:spacing w:val="-12"/>
        </w:rPr>
        <w:t> </w:t>
      </w:r>
      <w:r>
        <w:rPr/>
        <w:t>repetição</w:t>
      </w:r>
      <w:r>
        <w:rPr>
          <w:spacing w:val="-10"/>
        </w:rPr>
        <w:t> </w:t>
      </w:r>
      <w:r>
        <w:rPr/>
        <w:t>por hemossiderose; hipertensão venosa</w:t>
      </w:r>
      <w:r>
        <w:rPr>
          <w:spacing w:val="-3"/>
        </w:rPr>
        <w:t> </w:t>
      </w:r>
      <w:r>
        <w:rPr/>
        <w:t>sistêmica; hepatomegalia; edema; ascite; hidrotórax etc.</w:t>
      </w:r>
    </w:p>
    <w:p>
      <w:pPr>
        <w:pStyle w:val="BodyText"/>
        <w:spacing w:before="134"/>
        <w:ind w:left="0" w:firstLine="0"/>
        <w:jc w:val="left"/>
      </w:pPr>
    </w:p>
    <w:p>
      <w:pPr>
        <w:pStyle w:val="Heading5"/>
        <w:jc w:val="both"/>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Heading5"/>
        <w:spacing w:after="0"/>
        <w:jc w:val="both"/>
        <w:sectPr>
          <w:pgSz w:w="11900" w:h="16840"/>
          <w:pgMar w:top="220" w:bottom="280" w:left="566" w:right="141"/>
        </w:sectPr>
      </w:pPr>
    </w:p>
    <w:p>
      <w:pPr>
        <w:pStyle w:val="BodyText"/>
        <w:spacing w:line="276" w:lineRule="auto" w:before="66"/>
        <w:ind w:right="491"/>
      </w:pPr>
      <w:r>
        <w:rPr/>
        <w:t>O</w:t>
      </w:r>
      <w:r>
        <w:rPr>
          <w:spacing w:val="-4"/>
        </w:rPr>
        <w:t> </w:t>
      </w:r>
      <w:r>
        <w:rPr/>
        <w:t>diagnóstico</w:t>
      </w:r>
      <w:r>
        <w:rPr>
          <w:spacing w:val="-1"/>
        </w:rPr>
        <w:t> </w:t>
      </w:r>
      <w:r>
        <w:rPr/>
        <w:t>de</w:t>
      </w:r>
      <w:r>
        <w:rPr>
          <w:spacing w:val="-4"/>
        </w:rPr>
        <w:t> </w:t>
      </w:r>
      <w:r>
        <w:rPr/>
        <w:t>estenose</w:t>
      </w:r>
      <w:r>
        <w:rPr>
          <w:spacing w:val="-4"/>
        </w:rPr>
        <w:t> </w:t>
      </w:r>
      <w:r>
        <w:rPr/>
        <w:t>mitral é</w:t>
      </w:r>
      <w:r>
        <w:rPr>
          <w:spacing w:val="-4"/>
        </w:rPr>
        <w:t> </w:t>
      </w:r>
      <w:r>
        <w:rPr/>
        <w:t>feito</w:t>
      </w:r>
      <w:r>
        <w:rPr>
          <w:spacing w:val="-1"/>
        </w:rPr>
        <w:t> </w:t>
      </w:r>
      <w:r>
        <w:rPr/>
        <w:t>pela</w:t>
      </w:r>
      <w:r>
        <w:rPr>
          <w:spacing w:val="-4"/>
        </w:rPr>
        <w:t> </w:t>
      </w:r>
      <w:r>
        <w:rPr/>
        <w:t>rigorosa</w:t>
      </w:r>
      <w:r>
        <w:rPr>
          <w:spacing w:val="-4"/>
        </w:rPr>
        <w:t> </w:t>
      </w:r>
      <w:r>
        <w:rPr/>
        <w:t>história</w:t>
      </w:r>
      <w:r>
        <w:rPr>
          <w:spacing w:val="-4"/>
        </w:rPr>
        <w:t> </w:t>
      </w:r>
      <w:r>
        <w:rPr/>
        <w:t>clínica, exame</w:t>
      </w:r>
      <w:r>
        <w:rPr>
          <w:spacing w:val="-4"/>
        </w:rPr>
        <w:t> </w:t>
      </w:r>
      <w:r>
        <w:rPr/>
        <w:t>físico</w:t>
      </w:r>
      <w:r>
        <w:rPr>
          <w:spacing w:val="-1"/>
        </w:rPr>
        <w:t> </w:t>
      </w:r>
      <w:r>
        <w:rPr/>
        <w:t>completo</w:t>
      </w:r>
      <w:r>
        <w:rPr>
          <w:spacing w:val="-1"/>
        </w:rPr>
        <w:t> </w:t>
      </w:r>
      <w:r>
        <w:rPr/>
        <w:t>e</w:t>
      </w:r>
      <w:r>
        <w:rPr>
          <w:spacing w:val="-4"/>
        </w:rPr>
        <w:t> </w:t>
      </w:r>
      <w:r>
        <w:rPr/>
        <w:t>sistemático, bem como exames complementares obtidos criteriosamente e repetidos, se necessário.</w:t>
      </w:r>
    </w:p>
    <w:p>
      <w:pPr>
        <w:pStyle w:val="BodyText"/>
        <w:spacing w:before="24"/>
        <w:ind w:left="0" w:firstLine="0"/>
        <w:jc w:val="left"/>
      </w:pPr>
    </w:p>
    <w:p>
      <w:pPr>
        <w:pStyle w:val="Heading7"/>
        <w:spacing w:before="1"/>
      </w:pPr>
      <w:r>
        <w:rPr>
          <w:color w:val="242B67"/>
          <w:spacing w:val="-2"/>
        </w:rPr>
        <w:t>Anamnese</w:t>
      </w:r>
    </w:p>
    <w:p>
      <w:pPr>
        <w:pStyle w:val="BodyText"/>
        <w:spacing w:line="276" w:lineRule="auto" w:before="126"/>
        <w:ind w:right="491"/>
      </w:pPr>
      <w:r>
        <w:rPr/>
        <w:t>A história inicia-se por volta dos 30 anos com queixa de falta de ar, palpitação e, eventualmente, episódio embólico. O paciente muitas vezes é capaz de relatar histórias de amigdalites repetidas e episódio de dores </w:t>
      </w:r>
      <w:r>
        <w:rPr>
          <w:spacing w:val="-2"/>
        </w:rPr>
        <w:t>articulares.</w:t>
      </w:r>
    </w:p>
    <w:p>
      <w:pPr>
        <w:pStyle w:val="BodyText"/>
        <w:spacing w:before="8"/>
        <w:ind w:left="0" w:firstLine="0"/>
        <w:jc w:val="left"/>
      </w:pPr>
    </w:p>
    <w:p>
      <w:pPr>
        <w:pStyle w:val="Heading7"/>
      </w:pPr>
      <w:r>
        <w:rPr>
          <w:color w:val="242B67"/>
        </w:rPr>
        <w:t>Exame </w:t>
      </w:r>
      <w:r>
        <w:rPr>
          <w:color w:val="242B67"/>
          <w:spacing w:val="-2"/>
        </w:rPr>
        <w:t>clínico</w:t>
      </w:r>
    </w:p>
    <w:p>
      <w:pPr>
        <w:pStyle w:val="BodyText"/>
        <w:spacing w:line="276" w:lineRule="auto" w:before="143"/>
        <w:ind w:right="488"/>
      </w:pPr>
      <w:r>
        <w:rPr/>
        <w:t>A </w:t>
      </w:r>
      <w:r>
        <w:rPr>
          <w:i/>
        </w:rPr>
        <w:t>fácies </w:t>
      </w:r>
      <w:r>
        <w:rPr/>
        <w:t>mitral é caracterizada por mancha rosa-púrpura nas bochechas e ocorre em pacientes com estenose grave, débito</w:t>
      </w:r>
      <w:r>
        <w:rPr>
          <w:spacing w:val="-7"/>
        </w:rPr>
        <w:t> </w:t>
      </w:r>
      <w:r>
        <w:rPr/>
        <w:t>cardíaco</w:t>
      </w:r>
      <w:r>
        <w:rPr>
          <w:spacing w:val="-7"/>
        </w:rPr>
        <w:t> </w:t>
      </w:r>
      <w:r>
        <w:rPr/>
        <w:t>baixo</w:t>
      </w:r>
      <w:r>
        <w:rPr>
          <w:spacing w:val="-7"/>
        </w:rPr>
        <w:t> </w:t>
      </w:r>
      <w:r>
        <w:rPr/>
        <w:t>e</w:t>
      </w:r>
      <w:r>
        <w:rPr>
          <w:spacing w:val="-9"/>
        </w:rPr>
        <w:t> </w:t>
      </w:r>
      <w:r>
        <w:rPr/>
        <w:t>vasoconstrição</w:t>
      </w:r>
      <w:r>
        <w:rPr>
          <w:spacing w:val="-7"/>
        </w:rPr>
        <w:t> </w:t>
      </w:r>
      <w:r>
        <w:rPr/>
        <w:t>sistêmica. O</w:t>
      </w:r>
      <w:r>
        <w:rPr>
          <w:spacing w:val="-9"/>
        </w:rPr>
        <w:t> </w:t>
      </w:r>
      <w:r>
        <w:rPr/>
        <w:t>pulso</w:t>
      </w:r>
      <w:r>
        <w:rPr>
          <w:spacing w:val="-7"/>
        </w:rPr>
        <w:t> </w:t>
      </w:r>
      <w:r>
        <w:rPr/>
        <w:t>arterial</w:t>
      </w:r>
      <w:r>
        <w:rPr>
          <w:spacing w:val="-4"/>
        </w:rPr>
        <w:t> </w:t>
      </w:r>
      <w:r>
        <w:rPr/>
        <w:t>geralmente</w:t>
      </w:r>
      <w:r>
        <w:rPr>
          <w:spacing w:val="-9"/>
        </w:rPr>
        <w:t> </w:t>
      </w:r>
      <w:r>
        <w:rPr/>
        <w:t>é</w:t>
      </w:r>
      <w:r>
        <w:rPr>
          <w:spacing w:val="-9"/>
        </w:rPr>
        <w:t> </w:t>
      </w:r>
      <w:r>
        <w:rPr/>
        <w:t>normal, podendo</w:t>
      </w:r>
      <w:r>
        <w:rPr>
          <w:spacing w:val="-7"/>
        </w:rPr>
        <w:t> </w:t>
      </w:r>
      <w:r>
        <w:rPr/>
        <w:t>ser</w:t>
      </w:r>
      <w:r>
        <w:rPr>
          <w:spacing w:val="-1"/>
        </w:rPr>
        <w:t> </w:t>
      </w:r>
      <w:r>
        <w:rPr/>
        <w:t>pequeno em</w:t>
      </w:r>
      <w:r>
        <w:rPr>
          <w:spacing w:val="-7"/>
        </w:rPr>
        <w:t> </w:t>
      </w:r>
      <w:r>
        <w:rPr/>
        <w:t>volume, quando</w:t>
      </w:r>
      <w:r>
        <w:rPr>
          <w:spacing w:val="-7"/>
        </w:rPr>
        <w:t> </w:t>
      </w:r>
      <w:r>
        <w:rPr/>
        <w:t>a</w:t>
      </w:r>
      <w:r>
        <w:rPr>
          <w:spacing w:val="-10"/>
        </w:rPr>
        <w:t> </w:t>
      </w:r>
      <w:r>
        <w:rPr/>
        <w:t>estenose</w:t>
      </w:r>
      <w:r>
        <w:rPr>
          <w:spacing w:val="-10"/>
        </w:rPr>
        <w:t> </w:t>
      </w:r>
      <w:r>
        <w:rPr/>
        <w:t>mitral</w:t>
      </w:r>
      <w:r>
        <w:rPr>
          <w:spacing w:val="-5"/>
        </w:rPr>
        <w:t> </w:t>
      </w:r>
      <w:r>
        <w:rPr/>
        <w:t>é</w:t>
      </w:r>
      <w:r>
        <w:rPr>
          <w:spacing w:val="-10"/>
        </w:rPr>
        <w:t> </w:t>
      </w:r>
      <w:r>
        <w:rPr/>
        <w:t>grave, pela</w:t>
      </w:r>
      <w:r>
        <w:rPr>
          <w:spacing w:val="-10"/>
        </w:rPr>
        <w:t> </w:t>
      </w:r>
      <w:r>
        <w:rPr/>
        <w:t>diminuição</w:t>
      </w:r>
      <w:r>
        <w:rPr>
          <w:spacing w:val="-7"/>
        </w:rPr>
        <w:t> </w:t>
      </w:r>
      <w:r>
        <w:rPr/>
        <w:t>do</w:t>
      </w:r>
      <w:r>
        <w:rPr>
          <w:spacing w:val="-7"/>
        </w:rPr>
        <w:t> </w:t>
      </w:r>
      <w:r>
        <w:rPr/>
        <w:t>débito</w:t>
      </w:r>
      <w:r>
        <w:rPr>
          <w:spacing w:val="-7"/>
        </w:rPr>
        <w:t> </w:t>
      </w:r>
      <w:r>
        <w:rPr/>
        <w:t>cardíaco. O</w:t>
      </w:r>
      <w:r>
        <w:rPr>
          <w:spacing w:val="-10"/>
        </w:rPr>
        <w:t> </w:t>
      </w:r>
      <w:r>
        <w:rPr/>
        <w:t>pulso</w:t>
      </w:r>
      <w:r>
        <w:rPr>
          <w:spacing w:val="-7"/>
        </w:rPr>
        <w:t> </w:t>
      </w:r>
      <w:r>
        <w:rPr/>
        <w:t>venoso</w:t>
      </w:r>
      <w:r>
        <w:rPr>
          <w:spacing w:val="-7"/>
        </w:rPr>
        <w:t> </w:t>
      </w:r>
      <w:r>
        <w:rPr/>
        <w:t>jugular</w:t>
      </w:r>
      <w:r>
        <w:rPr>
          <w:spacing w:val="-2"/>
        </w:rPr>
        <w:t> </w:t>
      </w:r>
      <w:r>
        <w:rPr/>
        <w:t>evidencia onda</w:t>
      </w:r>
      <w:r>
        <w:rPr>
          <w:spacing w:val="-8"/>
        </w:rPr>
        <w:t> </w:t>
      </w:r>
      <w:r>
        <w:rPr>
          <w:i/>
        </w:rPr>
        <w:t>a</w:t>
      </w:r>
      <w:r>
        <w:rPr>
          <w:i/>
          <w:spacing w:val="-4"/>
        </w:rPr>
        <w:t> </w:t>
      </w:r>
      <w:r>
        <w:rPr/>
        <w:t>proeminente</w:t>
      </w:r>
      <w:r>
        <w:rPr>
          <w:spacing w:val="-7"/>
        </w:rPr>
        <w:t> </w:t>
      </w:r>
      <w:r>
        <w:rPr/>
        <w:t>quando</w:t>
      </w:r>
      <w:r>
        <w:rPr>
          <w:spacing w:val="-4"/>
        </w:rPr>
        <w:t> </w:t>
      </w:r>
      <w:r>
        <w:rPr/>
        <w:t>em</w:t>
      </w:r>
      <w:r>
        <w:rPr>
          <w:spacing w:val="-4"/>
        </w:rPr>
        <w:t> </w:t>
      </w:r>
      <w:r>
        <w:rPr/>
        <w:t>ritmo</w:t>
      </w:r>
      <w:r>
        <w:rPr>
          <w:spacing w:val="-4"/>
        </w:rPr>
        <w:t> </w:t>
      </w:r>
      <w:r>
        <w:rPr/>
        <w:t>sinusal. A</w:t>
      </w:r>
      <w:r>
        <w:rPr>
          <w:spacing w:val="-7"/>
        </w:rPr>
        <w:t> </w:t>
      </w:r>
      <w:r>
        <w:rPr/>
        <w:t>presença</w:t>
      </w:r>
      <w:r>
        <w:rPr>
          <w:spacing w:val="-7"/>
        </w:rPr>
        <w:t> </w:t>
      </w:r>
      <w:r>
        <w:rPr/>
        <w:t>da</w:t>
      </w:r>
      <w:r>
        <w:rPr>
          <w:spacing w:val="-7"/>
        </w:rPr>
        <w:t> </w:t>
      </w:r>
      <w:r>
        <w:rPr/>
        <w:t>primeira</w:t>
      </w:r>
      <w:r>
        <w:rPr>
          <w:spacing w:val="-7"/>
        </w:rPr>
        <w:t> </w:t>
      </w:r>
      <w:r>
        <w:rPr/>
        <w:t>bulha</w:t>
      </w:r>
      <w:r>
        <w:rPr>
          <w:spacing w:val="-7"/>
        </w:rPr>
        <w:t> </w:t>
      </w:r>
      <w:r>
        <w:rPr/>
        <w:t>(B1) bem</w:t>
      </w:r>
      <w:r>
        <w:rPr>
          <w:spacing w:val="-4"/>
        </w:rPr>
        <w:t> </w:t>
      </w:r>
      <w:r>
        <w:rPr/>
        <w:t>palpável</w:t>
      </w:r>
      <w:r>
        <w:rPr>
          <w:spacing w:val="-2"/>
        </w:rPr>
        <w:t> </w:t>
      </w:r>
      <w:r>
        <w:rPr/>
        <w:t>sugere</w:t>
      </w:r>
      <w:r>
        <w:rPr>
          <w:spacing w:val="-7"/>
        </w:rPr>
        <w:t> </w:t>
      </w:r>
      <w:r>
        <w:rPr/>
        <w:t>que</w:t>
      </w:r>
      <w:r>
        <w:rPr>
          <w:spacing w:val="-7"/>
        </w:rPr>
        <w:t> </w:t>
      </w:r>
      <w:r>
        <w:rPr/>
        <w:t>o</w:t>
      </w:r>
      <w:r>
        <w:rPr>
          <w:spacing w:val="-4"/>
        </w:rPr>
        <w:t> </w:t>
      </w:r>
      <w:r>
        <w:rPr/>
        <w:t>folheto anterior da valva seja flexível. Em decúbito lateral esquerdo, o frêmito diastólico pode ser palpável no ápice. A impulsão ventricular direita é palpável na região paraesternal esquerda em pacientes com hipertensão pulmonar. O ruído alto de</w:t>
      </w:r>
      <w:r>
        <w:rPr>
          <w:spacing w:val="-2"/>
        </w:rPr>
        <w:t> </w:t>
      </w:r>
      <w:r>
        <w:rPr/>
        <w:t>fechamento pulmonar pode</w:t>
      </w:r>
      <w:r>
        <w:rPr>
          <w:spacing w:val="-2"/>
        </w:rPr>
        <w:t> </w:t>
      </w:r>
      <w:r>
        <w:rPr/>
        <w:t>ser palpável no segundo espaço intercostal esquerdo.</w:t>
      </w:r>
    </w:p>
    <w:p>
      <w:pPr>
        <w:pStyle w:val="BodyText"/>
        <w:spacing w:before="8"/>
        <w:ind w:left="0" w:firstLine="0"/>
        <w:jc w:val="left"/>
      </w:pPr>
    </w:p>
    <w:p>
      <w:pPr>
        <w:pStyle w:val="Heading7"/>
        <w:spacing w:before="1"/>
      </w:pPr>
      <w:r>
        <w:rPr>
          <w:color w:val="242B67"/>
          <w:spacing w:val="-2"/>
        </w:rPr>
        <w:t>Ausculta</w:t>
      </w:r>
    </w:p>
    <w:p>
      <w:pPr>
        <w:pStyle w:val="BodyText"/>
        <w:spacing w:line="276" w:lineRule="auto" w:before="142"/>
        <w:ind w:right="491"/>
      </w:pPr>
      <w:r>
        <w:rPr/>
        <w:t>O componente pulmonar da segunda bulha (B2) está discretamente hiperfonético com desdobramento fisiológico;</w:t>
      </w:r>
      <w:r>
        <w:rPr>
          <w:spacing w:val="-3"/>
        </w:rPr>
        <w:t> </w:t>
      </w:r>
      <w:r>
        <w:rPr/>
        <w:t>entretanto, quando</w:t>
      </w:r>
      <w:r>
        <w:rPr>
          <w:spacing w:val="-6"/>
        </w:rPr>
        <w:t> </w:t>
      </w:r>
      <w:r>
        <w:rPr/>
        <w:t>há</w:t>
      </w:r>
      <w:r>
        <w:rPr>
          <w:spacing w:val="-8"/>
        </w:rPr>
        <w:t> </w:t>
      </w:r>
      <w:r>
        <w:rPr/>
        <w:t>hipertensão</w:t>
      </w:r>
      <w:r>
        <w:rPr>
          <w:spacing w:val="-6"/>
        </w:rPr>
        <w:t> </w:t>
      </w:r>
      <w:r>
        <w:rPr/>
        <w:t>pulmonar, esta</w:t>
      </w:r>
      <w:r>
        <w:rPr>
          <w:spacing w:val="-8"/>
        </w:rPr>
        <w:t> </w:t>
      </w:r>
      <w:r>
        <w:rPr/>
        <w:t>se</w:t>
      </w:r>
      <w:r>
        <w:rPr>
          <w:spacing w:val="-8"/>
        </w:rPr>
        <w:t> </w:t>
      </w:r>
      <w:r>
        <w:rPr/>
        <w:t>acentua</w:t>
      </w:r>
      <w:r>
        <w:rPr>
          <w:spacing w:val="-8"/>
        </w:rPr>
        <w:t> </w:t>
      </w:r>
      <w:r>
        <w:rPr/>
        <w:t>e</w:t>
      </w:r>
      <w:r>
        <w:rPr>
          <w:spacing w:val="-8"/>
        </w:rPr>
        <w:t> </w:t>
      </w:r>
      <w:r>
        <w:rPr/>
        <w:t>finalmente</w:t>
      </w:r>
      <w:r>
        <w:rPr>
          <w:spacing w:val="-8"/>
        </w:rPr>
        <w:t> </w:t>
      </w:r>
      <w:r>
        <w:rPr/>
        <w:t>torna-se</w:t>
      </w:r>
      <w:r>
        <w:rPr>
          <w:spacing w:val="-8"/>
        </w:rPr>
        <w:t> </w:t>
      </w:r>
      <w:r>
        <w:rPr/>
        <w:t>única</w:t>
      </w:r>
      <w:r>
        <w:rPr>
          <w:spacing w:val="-8"/>
        </w:rPr>
        <w:t> </w:t>
      </w:r>
      <w:r>
        <w:rPr/>
        <w:t>e</w:t>
      </w:r>
      <w:r>
        <w:rPr>
          <w:spacing w:val="-8"/>
        </w:rPr>
        <w:t> </w:t>
      </w:r>
      <w:r>
        <w:rPr/>
        <w:t>hiperfonética. Pode-se</w:t>
      </w:r>
      <w:r>
        <w:rPr>
          <w:spacing w:val="-7"/>
        </w:rPr>
        <w:t> </w:t>
      </w:r>
      <w:r>
        <w:rPr/>
        <w:t>auscultar estalido</w:t>
      </w:r>
      <w:r>
        <w:rPr>
          <w:spacing w:val="-3"/>
        </w:rPr>
        <w:t> </w:t>
      </w:r>
      <w:r>
        <w:rPr/>
        <w:t>de</w:t>
      </w:r>
      <w:r>
        <w:rPr>
          <w:spacing w:val="-7"/>
        </w:rPr>
        <w:t> </w:t>
      </w:r>
      <w:r>
        <w:rPr/>
        <w:t>abertura, mais intenso</w:t>
      </w:r>
      <w:r>
        <w:rPr>
          <w:spacing w:val="-3"/>
        </w:rPr>
        <w:t> </w:t>
      </w:r>
      <w:r>
        <w:rPr/>
        <w:t>entre</w:t>
      </w:r>
      <w:r>
        <w:rPr>
          <w:spacing w:val="-7"/>
        </w:rPr>
        <w:t> </w:t>
      </w:r>
      <w:r>
        <w:rPr/>
        <w:t>o</w:t>
      </w:r>
      <w:r>
        <w:rPr>
          <w:spacing w:val="-3"/>
        </w:rPr>
        <w:t> </w:t>
      </w:r>
      <w:r>
        <w:rPr/>
        <w:t>ápice</w:t>
      </w:r>
      <w:r>
        <w:rPr>
          <w:spacing w:val="-7"/>
        </w:rPr>
        <w:t> </w:t>
      </w:r>
      <w:r>
        <w:rPr/>
        <w:t>e</w:t>
      </w:r>
      <w:r>
        <w:rPr>
          <w:spacing w:val="-7"/>
        </w:rPr>
        <w:t> </w:t>
      </w:r>
      <w:r>
        <w:rPr/>
        <w:t>a</w:t>
      </w:r>
      <w:r>
        <w:rPr>
          <w:spacing w:val="-7"/>
        </w:rPr>
        <w:t> </w:t>
      </w:r>
      <w:r>
        <w:rPr/>
        <w:t>borda</w:t>
      </w:r>
      <w:r>
        <w:rPr>
          <w:spacing w:val="-7"/>
        </w:rPr>
        <w:t> </w:t>
      </w:r>
      <w:r>
        <w:rPr/>
        <w:t>esternal</w:t>
      </w:r>
      <w:r>
        <w:rPr>
          <w:spacing w:val="-1"/>
        </w:rPr>
        <w:t> </w:t>
      </w:r>
      <w:r>
        <w:rPr/>
        <w:t>esquerda;</w:t>
      </w:r>
      <w:r>
        <w:rPr>
          <w:spacing w:val="-1"/>
        </w:rPr>
        <w:t> </w:t>
      </w:r>
      <w:r>
        <w:rPr/>
        <w:t>quando</w:t>
      </w:r>
      <w:r>
        <w:rPr>
          <w:spacing w:val="-3"/>
        </w:rPr>
        <w:t> </w:t>
      </w:r>
      <w:r>
        <w:rPr/>
        <w:t>a</w:t>
      </w:r>
      <w:r>
        <w:rPr>
          <w:spacing w:val="-7"/>
        </w:rPr>
        <w:t> </w:t>
      </w:r>
      <w:r>
        <w:rPr/>
        <w:t>valva</w:t>
      </w:r>
      <w:r>
        <w:rPr>
          <w:spacing w:val="-7"/>
        </w:rPr>
        <w:t> </w:t>
      </w:r>
      <w:r>
        <w:rPr/>
        <w:t>mitral não se encontra excessivamente fibrosada e calcificada. Geralmente não existe estalido de abertura na estenose mitral congênita. O estalido de abertura da valva, na diástole, logo no seu início, 0,08 segundo após a B2, com melhor audibilidade no foco mitral e imediações, característico da estenose mitral, é decorrente de tensão dos folhetos valvares. É diferente do desdobramento da B2 porque ocorre mais tardiamente do que o componente pulmonar desta, a não ser que haja bloqueio de ramo direito. É um ruído seco, breve, vibrante; origina-se na valva mitral endurecida, intumescida e não soldada que, na impossibilidade de afastar as lacínias, normalmente na abertura que precede o enchimento rápido do VE, provoca o estalido de abertura, acompanhado do ruflar protodiastólico. Pode</w:t>
      </w:r>
      <w:r>
        <w:rPr>
          <w:spacing w:val="-1"/>
        </w:rPr>
        <w:t> </w:t>
      </w:r>
      <w:r>
        <w:rPr/>
        <w:t>haver estalido de</w:t>
      </w:r>
      <w:r>
        <w:rPr>
          <w:spacing w:val="-1"/>
        </w:rPr>
        <w:t> </w:t>
      </w:r>
      <w:r>
        <w:rPr/>
        <w:t>ejeção pulmonar, não valvar, que</w:t>
      </w:r>
      <w:r>
        <w:rPr>
          <w:spacing w:val="-1"/>
        </w:rPr>
        <w:t> </w:t>
      </w:r>
      <w:r>
        <w:rPr/>
        <w:t>diminui com a</w:t>
      </w:r>
      <w:r>
        <w:rPr>
          <w:spacing w:val="-1"/>
        </w:rPr>
        <w:t> </w:t>
      </w:r>
      <w:r>
        <w:rPr/>
        <w:t>inspiração em decorrência de dilatação da artéria pulmonar. O sopro de regurgitação tricúspide também pode estar presente. Ausculta-se o componente mitral da B1, intenso, no ápice, também chamado de </w:t>
      </w:r>
      <w:r>
        <w:rPr>
          <w:i/>
        </w:rPr>
        <w:t>estalido de fechamento</w:t>
      </w:r>
      <w:r>
        <w:rPr/>
        <w:t>. Com o paciente em decúbito lateral esquerdo, pode-se auscultar um sopro apical em ruflar, diastólico, com crescendo pré-sistólico também pode estar presente na fibrilação atrial, no final da diástole, quando a pressão atrial esquerda ainda é </w:t>
      </w:r>
      <w:r>
        <w:rPr>
          <w:spacing w:val="-2"/>
        </w:rPr>
        <w:t>elevada.</w:t>
      </w:r>
    </w:p>
    <w:p>
      <w:pPr>
        <w:pStyle w:val="BodyText"/>
        <w:spacing w:before="10"/>
        <w:ind w:left="0" w:firstLine="0"/>
        <w:jc w:val="left"/>
      </w:pPr>
    </w:p>
    <w:p>
      <w:pPr>
        <w:pStyle w:val="Heading7"/>
      </w:pPr>
      <w:r>
        <w:rPr>
          <w:color w:val="242B67"/>
        </w:rPr>
        <w:t>Diagnóstico </w:t>
      </w:r>
      <w:r>
        <w:rPr>
          <w:color w:val="242B67"/>
          <w:spacing w:val="-2"/>
        </w:rPr>
        <w:t>diferencial</w:t>
      </w:r>
    </w:p>
    <w:p>
      <w:pPr>
        <w:pStyle w:val="BodyText"/>
        <w:spacing w:line="276" w:lineRule="auto" w:before="127"/>
        <w:ind w:right="497"/>
      </w:pPr>
      <w:r>
        <w:rPr/>
        <w:t>Deve ser feito com algumas situações que simulam os mesmos ruídos: B1 – hiperfonética em estados hipercinéticos; estalido de abertura protodiastólico no mixoma do átrio esquerdo, pericardite constritiva e estenose tricúspide e sopro diastólico na insuficiência aórtica (Austin Flint), hipertrofia ventricular, estenose tricúspide e mixoma do átrio esquerdo.</w:t>
      </w:r>
    </w:p>
    <w:p>
      <w:pPr>
        <w:pStyle w:val="BodyText"/>
        <w:spacing w:line="276" w:lineRule="auto" w:before="64"/>
        <w:ind w:right="488"/>
      </w:pPr>
      <w:r>
        <w:rPr/>
        <w:t>Os exames complementares possibilitam avaliar o grau de repercussão hemodinâmica dessa valvopatia e auxiliam na orientação da conduta.</w:t>
      </w:r>
    </w:p>
    <w:p>
      <w:pPr>
        <w:pStyle w:val="BodyText"/>
        <w:spacing w:before="24"/>
        <w:ind w:left="0" w:firstLine="0"/>
        <w:jc w:val="left"/>
      </w:pPr>
    </w:p>
    <w:p>
      <w:pPr>
        <w:pStyle w:val="Heading7"/>
        <w:spacing w:before="1"/>
      </w:pPr>
      <w:r>
        <w:rPr>
          <w:color w:val="242B67"/>
          <w:spacing w:val="-2"/>
        </w:rPr>
        <w:t>Eletrocardiograma</w:t>
      </w:r>
    </w:p>
    <w:p>
      <w:pPr>
        <w:pStyle w:val="BodyText"/>
        <w:spacing w:line="276" w:lineRule="auto" w:before="126"/>
        <w:ind w:right="487"/>
      </w:pPr>
      <w:r>
        <w:rPr/>
        <w:t>O ritmo na estenose mitral pode ser sinusal, mas são frequentes as arritmias atriais em vários graus. A</w:t>
      </w:r>
      <w:r>
        <w:rPr>
          <w:spacing w:val="40"/>
        </w:rPr>
        <w:t> </w:t>
      </w:r>
      <w:r>
        <w:rPr/>
        <w:t>fibrilação atrial correlaciona-se a aumento prévio do átrio esquerdo, tamanho e extensão da fibrose do miocárdio, duração da</w:t>
      </w:r>
      <w:r>
        <w:rPr>
          <w:spacing w:val="-2"/>
        </w:rPr>
        <w:t> </w:t>
      </w:r>
      <w:r>
        <w:rPr/>
        <w:t>atriomegalia</w:t>
      </w:r>
      <w:r>
        <w:rPr>
          <w:spacing w:val="-2"/>
        </w:rPr>
        <w:t> </w:t>
      </w:r>
      <w:r>
        <w:rPr/>
        <w:t>e</w:t>
      </w:r>
      <w:r>
        <w:rPr>
          <w:spacing w:val="-2"/>
        </w:rPr>
        <w:t> </w:t>
      </w:r>
      <w:r>
        <w:rPr/>
        <w:t>idade</w:t>
      </w:r>
      <w:r>
        <w:rPr>
          <w:spacing w:val="-2"/>
        </w:rPr>
        <w:t> </w:t>
      </w:r>
      <w:r>
        <w:rPr/>
        <w:t>do paciente. A</w:t>
      </w:r>
      <w:r>
        <w:rPr>
          <w:spacing w:val="-2"/>
        </w:rPr>
        <w:t> </w:t>
      </w:r>
      <w:r>
        <w:rPr/>
        <w:t>sobrecarga</w:t>
      </w:r>
      <w:r>
        <w:rPr>
          <w:spacing w:val="-2"/>
        </w:rPr>
        <w:t> </w:t>
      </w:r>
      <w:r>
        <w:rPr/>
        <w:t>atrial esquerda</w:t>
      </w:r>
      <w:r>
        <w:rPr>
          <w:spacing w:val="-2"/>
        </w:rPr>
        <w:t> </w:t>
      </w:r>
      <w:r>
        <w:rPr/>
        <w:t>é</w:t>
      </w:r>
      <w:r>
        <w:rPr>
          <w:spacing w:val="-2"/>
        </w:rPr>
        <w:t> </w:t>
      </w:r>
      <w:r>
        <w:rPr/>
        <w:t>a</w:t>
      </w:r>
      <w:r>
        <w:rPr>
          <w:spacing w:val="-2"/>
        </w:rPr>
        <w:t> </w:t>
      </w:r>
      <w:r>
        <w:rPr/>
        <w:t>principal alteração nessa</w:t>
      </w:r>
      <w:r>
        <w:rPr>
          <w:spacing w:val="-2"/>
        </w:rPr>
        <w:t> </w:t>
      </w:r>
      <w:r>
        <w:rPr/>
        <w:t>valvopatia</w:t>
      </w:r>
      <w:r>
        <w:rPr>
          <w:spacing w:val="-2"/>
        </w:rPr>
        <w:t> </w:t>
      </w:r>
      <w:r>
        <w:rPr/>
        <w:t>e ocorre em 90% dos casos. Revela-se por ondas </w:t>
      </w:r>
      <w:r>
        <w:rPr>
          <w:i/>
        </w:rPr>
        <w:t>P </w:t>
      </w:r>
      <w:r>
        <w:rPr/>
        <w:t>entalhadas, em razão de bloqueio de condução intra-atrial do estímulo, chamada de onda </w:t>
      </w:r>
      <w:r>
        <w:rPr>
          <w:i/>
        </w:rPr>
        <w:t>P </w:t>
      </w:r>
      <w:r>
        <w:rPr/>
        <w:t>mitral. De acordo com o grau de hipertensão pulmonar, manifesta-se a sobrecarga ventricular direita.</w:t>
      </w:r>
    </w:p>
    <w:p>
      <w:pPr>
        <w:pStyle w:val="BodyText"/>
        <w:spacing w:after="0" w:line="276" w:lineRule="auto"/>
        <w:sectPr>
          <w:pgSz w:w="11900" w:h="16840"/>
          <w:pgMar w:top="220" w:bottom="280" w:left="566" w:right="141"/>
        </w:sectPr>
      </w:pPr>
    </w:p>
    <w:p>
      <w:pPr>
        <w:pStyle w:val="Heading7"/>
        <w:spacing w:before="65"/>
      </w:pPr>
      <w:r>
        <w:rPr>
          <w:color w:val="242B67"/>
        </w:rPr>
        <w:t>Radiografia do </w:t>
      </w:r>
      <w:r>
        <w:rPr>
          <w:color w:val="242B67"/>
          <w:spacing w:val="-2"/>
        </w:rPr>
        <w:t>tórax</w:t>
      </w:r>
    </w:p>
    <w:p>
      <w:pPr>
        <w:pStyle w:val="BodyText"/>
        <w:spacing w:line="276" w:lineRule="auto" w:before="127"/>
        <w:ind w:right="488"/>
      </w:pPr>
      <w:r>
        <w:rPr/>
        <w:t>No início, quando as repercussões hemodinâmicas são mínimas, não ocorrem alterações. A primeira manifestação é o aumento do átrio esquerdo e, mais adiante, as ramificações das veias pulmonares, normalmente pouco visíveis, que se mostram ingurgitadas. Os sinais de hipertensão pulmonar são tardios. Observa-se inversão</w:t>
      </w:r>
      <w:r>
        <w:rPr>
          <w:spacing w:val="40"/>
        </w:rPr>
        <w:t> </w:t>
      </w:r>
      <w:r>
        <w:rPr/>
        <w:t>da distribuição das ramificações pulmonares, caracterizada pela maior riqueza vascular nos campos superiores (inverso ao padrão normal), com aumento significativo dos hilos. Com a presença de edema intersticial, muitas vezes ocorrem</w:t>
      </w:r>
      <w:r>
        <w:rPr>
          <w:spacing w:val="-7"/>
        </w:rPr>
        <w:t> </w:t>
      </w:r>
      <w:r>
        <w:rPr/>
        <w:t>as linhas </w:t>
      </w:r>
      <w:r>
        <w:rPr>
          <w:i/>
        </w:rPr>
        <w:t>B </w:t>
      </w:r>
      <w:r>
        <w:rPr/>
        <w:t>de</w:t>
      </w:r>
      <w:r>
        <w:rPr>
          <w:spacing w:val="-8"/>
        </w:rPr>
        <w:t> </w:t>
      </w:r>
      <w:r>
        <w:rPr/>
        <w:t>Kerley, que</w:t>
      </w:r>
      <w:r>
        <w:rPr>
          <w:spacing w:val="-8"/>
        </w:rPr>
        <w:t> </w:t>
      </w:r>
      <w:r>
        <w:rPr/>
        <w:t>são</w:t>
      </w:r>
      <w:r>
        <w:rPr>
          <w:spacing w:val="-5"/>
        </w:rPr>
        <w:t> </w:t>
      </w:r>
      <w:r>
        <w:rPr/>
        <w:t>linhas densas, curtas e</w:t>
      </w:r>
      <w:r>
        <w:rPr>
          <w:spacing w:val="-8"/>
        </w:rPr>
        <w:t> </w:t>
      </w:r>
      <w:r>
        <w:rPr/>
        <w:t>horizontais que</w:t>
      </w:r>
      <w:r>
        <w:rPr>
          <w:spacing w:val="-8"/>
        </w:rPr>
        <w:t> </w:t>
      </w:r>
      <w:r>
        <w:rPr/>
        <w:t>se</w:t>
      </w:r>
      <w:r>
        <w:rPr>
          <w:spacing w:val="-8"/>
        </w:rPr>
        <w:t> </w:t>
      </w:r>
      <w:r>
        <w:rPr/>
        <w:t>relacionam</w:t>
      </w:r>
      <w:r>
        <w:rPr>
          <w:spacing w:val="-5"/>
        </w:rPr>
        <w:t> </w:t>
      </w:r>
      <w:r>
        <w:rPr/>
        <w:t>com</w:t>
      </w:r>
      <w:r>
        <w:rPr>
          <w:spacing w:val="-5"/>
        </w:rPr>
        <w:t> </w:t>
      </w:r>
      <w:r>
        <w:rPr/>
        <w:t>a</w:t>
      </w:r>
      <w:r>
        <w:rPr>
          <w:spacing w:val="-8"/>
        </w:rPr>
        <w:t> </w:t>
      </w:r>
      <w:r>
        <w:rPr/>
        <w:t>gravidade da estenose. Quando há hiper-resistência pulmonar, observa-se acentuada pobreza vascular na periferia, com hilos desproporcionalmente</w:t>
      </w:r>
      <w:r>
        <w:rPr>
          <w:spacing w:val="-4"/>
        </w:rPr>
        <w:t> </w:t>
      </w:r>
      <w:r>
        <w:rPr/>
        <w:t>calibrosos. O</w:t>
      </w:r>
      <w:r>
        <w:rPr>
          <w:spacing w:val="-4"/>
        </w:rPr>
        <w:t> </w:t>
      </w:r>
      <w:r>
        <w:rPr/>
        <w:t>átrio</w:t>
      </w:r>
      <w:r>
        <w:rPr>
          <w:spacing w:val="-2"/>
        </w:rPr>
        <w:t> </w:t>
      </w:r>
      <w:r>
        <w:rPr/>
        <w:t>esquerdo</w:t>
      </w:r>
      <w:r>
        <w:rPr>
          <w:spacing w:val="-2"/>
        </w:rPr>
        <w:t> </w:t>
      </w:r>
      <w:r>
        <w:rPr/>
        <w:t>aumentado</w:t>
      </w:r>
      <w:r>
        <w:rPr>
          <w:spacing w:val="-2"/>
        </w:rPr>
        <w:t> </w:t>
      </w:r>
      <w:r>
        <w:rPr/>
        <w:t>pode</w:t>
      </w:r>
      <w:r>
        <w:rPr>
          <w:spacing w:val="-4"/>
        </w:rPr>
        <w:t> </w:t>
      </w:r>
      <w:r>
        <w:rPr/>
        <w:t>mostrar duplo</w:t>
      </w:r>
      <w:r>
        <w:rPr>
          <w:spacing w:val="-2"/>
        </w:rPr>
        <w:t> </w:t>
      </w:r>
      <w:r>
        <w:rPr/>
        <w:t>contorno, proeminência</w:t>
      </w:r>
      <w:r>
        <w:rPr>
          <w:spacing w:val="-4"/>
        </w:rPr>
        <w:t> </w:t>
      </w:r>
      <w:r>
        <w:rPr/>
        <w:t>do</w:t>
      </w:r>
      <w:r>
        <w:rPr>
          <w:spacing w:val="-2"/>
        </w:rPr>
        <w:t> </w:t>
      </w:r>
      <w:r>
        <w:rPr/>
        <w:t>átrio esquerdo lateralmente ao átrio direito, elevação do brônquio esquerdo e o sinal do pico de luxação posterior do esôfago. Com a progressão da doença, o VD também aumenta, a artéria pulmonar se torna abaulada, há rotação horária, a projeção da aorta diminui e ocorre a imagem triangular característica da estenose mitral. Pode-se ver, muitas vezes, a calcificação na valva mitral.</w:t>
      </w:r>
    </w:p>
    <w:p>
      <w:pPr>
        <w:pStyle w:val="BodyText"/>
        <w:spacing w:before="25"/>
        <w:ind w:left="0" w:firstLine="0"/>
        <w:jc w:val="left"/>
      </w:pPr>
    </w:p>
    <w:p>
      <w:pPr>
        <w:pStyle w:val="Heading7"/>
        <w:spacing w:before="1"/>
      </w:pPr>
      <w:r>
        <w:rPr>
          <w:color w:val="242B67"/>
          <w:spacing w:val="-2"/>
        </w:rPr>
        <w:t>Ecodopplercardiograma</w:t>
      </w:r>
    </w:p>
    <w:p>
      <w:pPr>
        <w:pStyle w:val="BodyText"/>
        <w:spacing w:line="276" w:lineRule="auto" w:before="126"/>
        <w:ind w:right="501"/>
      </w:pPr>
      <w:r>
        <w:rPr/>
        <w:t>A</w:t>
      </w:r>
      <w:r>
        <w:rPr>
          <w:spacing w:val="-2"/>
        </w:rPr>
        <w:t> </w:t>
      </w:r>
      <w:r>
        <w:rPr/>
        <w:t>estenose</w:t>
      </w:r>
      <w:r>
        <w:rPr>
          <w:spacing w:val="-2"/>
        </w:rPr>
        <w:t> </w:t>
      </w:r>
      <w:r>
        <w:rPr/>
        <w:t>mitral pode</w:t>
      </w:r>
      <w:r>
        <w:rPr>
          <w:spacing w:val="-2"/>
        </w:rPr>
        <w:t> </w:t>
      </w:r>
      <w:r>
        <w:rPr/>
        <w:t>ser diagnosticada</w:t>
      </w:r>
      <w:r>
        <w:rPr>
          <w:spacing w:val="-2"/>
        </w:rPr>
        <w:t> </w:t>
      </w:r>
      <w:r>
        <w:rPr/>
        <w:t>mesmo com a</w:t>
      </w:r>
      <w:r>
        <w:rPr>
          <w:spacing w:val="-2"/>
        </w:rPr>
        <w:t> </w:t>
      </w:r>
      <w:r>
        <w:rPr/>
        <w:t>imagem fornecida</w:t>
      </w:r>
      <w:r>
        <w:rPr>
          <w:spacing w:val="-2"/>
        </w:rPr>
        <w:t> </w:t>
      </w:r>
      <w:r>
        <w:rPr/>
        <w:t>pelo eco unidimensional; entretanto, hoje em dia, o Doppler, acoplado ao eco bidimensional possibilita, além da medição do tamanho da área valvar, estimar o gradiente transvalvar; revelar com maior precisão a integridade das estruturas que formam o aparelho valvar; identificar a existência de calcificação, trombos e vegetação; e avaliar as repercussões hemodinâmicas, o grau de hipertrofia do átrio esquerdo e a função ventricular.</w:t>
      </w:r>
    </w:p>
    <w:p>
      <w:pPr>
        <w:pStyle w:val="BodyText"/>
        <w:spacing w:before="24"/>
        <w:ind w:left="0" w:firstLine="0"/>
        <w:jc w:val="left"/>
      </w:pPr>
    </w:p>
    <w:p>
      <w:pPr>
        <w:pStyle w:val="Heading7"/>
        <w:spacing w:before="1"/>
      </w:pPr>
      <w:r>
        <w:rPr>
          <w:color w:val="242B67"/>
        </w:rPr>
        <w:t>Ecodopplercardiografia </w:t>
      </w:r>
      <w:r>
        <w:rPr>
          <w:color w:val="242B67"/>
          <w:spacing w:val="-2"/>
        </w:rPr>
        <w:t>transesofágica</w:t>
      </w:r>
    </w:p>
    <w:p>
      <w:pPr>
        <w:pStyle w:val="BodyText"/>
        <w:spacing w:before="126"/>
        <w:ind w:left="414" w:firstLine="0"/>
        <w:jc w:val="left"/>
      </w:pPr>
      <w:r>
        <w:rPr/>
        <w:t>É</w:t>
      </w:r>
      <w:r>
        <w:rPr>
          <w:spacing w:val="-5"/>
        </w:rPr>
        <w:t> </w:t>
      </w:r>
      <w:r>
        <w:rPr/>
        <w:t>indicada</w:t>
      </w:r>
      <w:r>
        <w:rPr>
          <w:spacing w:val="-10"/>
        </w:rPr>
        <w:t> </w:t>
      </w:r>
      <w:r>
        <w:rPr/>
        <w:t>para</w:t>
      </w:r>
      <w:r>
        <w:rPr>
          <w:spacing w:val="-10"/>
        </w:rPr>
        <w:t> </w:t>
      </w:r>
      <w:r>
        <w:rPr/>
        <w:t>avaliar</w:t>
      </w:r>
      <w:r>
        <w:rPr>
          <w:spacing w:val="-2"/>
        </w:rPr>
        <w:t> </w:t>
      </w:r>
      <w:r>
        <w:rPr/>
        <w:t>a</w:t>
      </w:r>
      <w:r>
        <w:rPr>
          <w:spacing w:val="-10"/>
        </w:rPr>
        <w:t> </w:t>
      </w:r>
      <w:r>
        <w:rPr/>
        <w:t>presença</w:t>
      </w:r>
      <w:r>
        <w:rPr>
          <w:spacing w:val="-10"/>
        </w:rPr>
        <w:t> </w:t>
      </w:r>
      <w:r>
        <w:rPr/>
        <w:t>de</w:t>
      </w:r>
      <w:r>
        <w:rPr>
          <w:spacing w:val="-10"/>
        </w:rPr>
        <w:t> </w:t>
      </w:r>
      <w:r>
        <w:rPr/>
        <w:t>trombo</w:t>
      </w:r>
      <w:r>
        <w:rPr>
          <w:spacing w:val="-7"/>
        </w:rPr>
        <w:t> </w:t>
      </w:r>
      <w:r>
        <w:rPr/>
        <w:t>no</w:t>
      </w:r>
      <w:r>
        <w:rPr>
          <w:spacing w:val="-7"/>
        </w:rPr>
        <w:t> </w:t>
      </w:r>
      <w:r>
        <w:rPr/>
        <w:t>átrio</w:t>
      </w:r>
      <w:r>
        <w:rPr>
          <w:spacing w:val="-8"/>
        </w:rPr>
        <w:t> </w:t>
      </w:r>
      <w:r>
        <w:rPr/>
        <w:t>esquerdo</w:t>
      </w:r>
      <w:r>
        <w:rPr>
          <w:spacing w:val="-7"/>
        </w:rPr>
        <w:t> </w:t>
      </w:r>
      <w:r>
        <w:rPr/>
        <w:t>e</w:t>
      </w:r>
      <w:r>
        <w:rPr>
          <w:spacing w:val="-10"/>
        </w:rPr>
        <w:t> </w:t>
      </w:r>
      <w:r>
        <w:rPr/>
        <w:t>quando</w:t>
      </w:r>
      <w:r>
        <w:rPr>
          <w:spacing w:val="-7"/>
        </w:rPr>
        <w:t> </w:t>
      </w:r>
      <w:r>
        <w:rPr/>
        <w:t>o</w:t>
      </w:r>
      <w:r>
        <w:rPr>
          <w:spacing w:val="-8"/>
        </w:rPr>
        <w:t> </w:t>
      </w:r>
      <w:r>
        <w:rPr/>
        <w:t>transtorácico</w:t>
      </w:r>
      <w:r>
        <w:rPr>
          <w:spacing w:val="-7"/>
        </w:rPr>
        <w:t> </w:t>
      </w:r>
      <w:r>
        <w:rPr/>
        <w:t>não</w:t>
      </w:r>
      <w:r>
        <w:rPr>
          <w:spacing w:val="-8"/>
        </w:rPr>
        <w:t> </w:t>
      </w:r>
      <w:r>
        <w:rPr/>
        <w:t>foi</w:t>
      </w:r>
      <w:r>
        <w:rPr>
          <w:spacing w:val="-4"/>
        </w:rPr>
        <w:t> </w:t>
      </w:r>
      <w:r>
        <w:rPr>
          <w:spacing w:val="-2"/>
        </w:rPr>
        <w:t>satisfatório.</w:t>
      </w:r>
    </w:p>
    <w:p>
      <w:pPr>
        <w:pStyle w:val="BodyText"/>
        <w:spacing w:before="64"/>
        <w:ind w:left="0" w:firstLine="0"/>
        <w:jc w:val="left"/>
      </w:pPr>
    </w:p>
    <w:p>
      <w:pPr>
        <w:pStyle w:val="Heading7"/>
      </w:pPr>
      <w:r>
        <w:rPr>
          <w:color w:val="242B67"/>
        </w:rPr>
        <w:t>Ecodopplercardiografia de </w:t>
      </w:r>
      <w:r>
        <w:rPr>
          <w:color w:val="242B67"/>
          <w:spacing w:val="-2"/>
        </w:rPr>
        <w:t>estresse</w:t>
      </w:r>
    </w:p>
    <w:p>
      <w:pPr>
        <w:pStyle w:val="BodyText"/>
        <w:spacing w:line="276" w:lineRule="auto" w:before="126"/>
        <w:ind w:right="488"/>
      </w:pPr>
      <w:r>
        <w:rPr/>
        <w:t>É indicada para pacientes sedentários, ou com alguma limitação física, para avaliar melhor o gradiente transvalvar durante o exercício.</w:t>
      </w:r>
    </w:p>
    <w:p>
      <w:pPr>
        <w:pStyle w:val="BodyText"/>
        <w:spacing w:before="8"/>
        <w:ind w:left="0" w:firstLine="0"/>
        <w:jc w:val="left"/>
      </w:pPr>
    </w:p>
    <w:p>
      <w:pPr>
        <w:pStyle w:val="Heading7"/>
      </w:pPr>
      <w:r>
        <w:rPr>
          <w:color w:val="242B67"/>
          <w:spacing w:val="-2"/>
        </w:rPr>
        <w:t>Cateterismo</w:t>
      </w:r>
    </w:p>
    <w:p>
      <w:pPr>
        <w:pStyle w:val="BodyText"/>
        <w:spacing w:line="276" w:lineRule="auto" w:before="143"/>
        <w:ind w:right="501"/>
      </w:pPr>
      <w:r>
        <w:rPr/>
        <w:t>O cateterismo cardíaco está indicado para afastar coronariopatia associada ou quando há discrepância entre os achados clínicos e os dados ecocardiográficos.</w:t>
      </w:r>
    </w:p>
    <w:p>
      <w:pPr>
        <w:pStyle w:val="BodyText"/>
        <w:spacing w:before="133"/>
        <w:ind w:left="0" w:firstLine="0"/>
        <w:jc w:val="left"/>
      </w:pPr>
    </w:p>
    <w:p>
      <w:pPr>
        <w:pStyle w:val="Heading5"/>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22"/>
        <w:ind w:right="497"/>
      </w:pPr>
      <w:r>
        <w:rPr/>
        <w:t>O</w:t>
      </w:r>
      <w:r>
        <w:rPr>
          <w:spacing w:val="-8"/>
        </w:rPr>
        <w:t> </w:t>
      </w:r>
      <w:r>
        <w:rPr/>
        <w:t>paciente</w:t>
      </w:r>
      <w:r>
        <w:rPr>
          <w:spacing w:val="-8"/>
        </w:rPr>
        <w:t> </w:t>
      </w:r>
      <w:r>
        <w:rPr/>
        <w:t>assintomático</w:t>
      </w:r>
      <w:r>
        <w:rPr>
          <w:spacing w:val="-5"/>
        </w:rPr>
        <w:t> </w:t>
      </w:r>
      <w:r>
        <w:rPr/>
        <w:t>não</w:t>
      </w:r>
      <w:r>
        <w:rPr>
          <w:spacing w:val="-5"/>
        </w:rPr>
        <w:t> </w:t>
      </w:r>
      <w:r>
        <w:rPr/>
        <w:t>necessita</w:t>
      </w:r>
      <w:r>
        <w:rPr>
          <w:spacing w:val="-8"/>
        </w:rPr>
        <w:t> </w:t>
      </w:r>
      <w:r>
        <w:rPr/>
        <w:t>de</w:t>
      </w:r>
      <w:r>
        <w:rPr>
          <w:spacing w:val="-8"/>
        </w:rPr>
        <w:t> </w:t>
      </w:r>
      <w:r>
        <w:rPr/>
        <w:t>tratamento. Aqueles com</w:t>
      </w:r>
      <w:r>
        <w:rPr>
          <w:spacing w:val="-5"/>
        </w:rPr>
        <w:t> </w:t>
      </w:r>
      <w:r>
        <w:rPr/>
        <w:t>dispneia</w:t>
      </w:r>
      <w:r>
        <w:rPr>
          <w:spacing w:val="-8"/>
        </w:rPr>
        <w:t> </w:t>
      </w:r>
      <w:r>
        <w:rPr/>
        <w:t>aos esforços podem</w:t>
      </w:r>
      <w:r>
        <w:rPr>
          <w:spacing w:val="-5"/>
        </w:rPr>
        <w:t> </w:t>
      </w:r>
      <w:r>
        <w:rPr/>
        <w:t>ser medicados com</w:t>
      </w:r>
      <w:r>
        <w:rPr>
          <w:spacing w:val="-3"/>
        </w:rPr>
        <w:t> </w:t>
      </w:r>
      <w:r>
        <w:rPr/>
        <w:t>diuréticos e</w:t>
      </w:r>
      <w:r>
        <w:rPr>
          <w:spacing w:val="-6"/>
        </w:rPr>
        <w:t> </w:t>
      </w:r>
      <w:r>
        <w:rPr/>
        <w:t>betabloqueadores para</w:t>
      </w:r>
      <w:r>
        <w:rPr>
          <w:spacing w:val="-6"/>
        </w:rPr>
        <w:t> </w:t>
      </w:r>
      <w:r>
        <w:rPr/>
        <w:t>diminuir a</w:t>
      </w:r>
      <w:r>
        <w:rPr>
          <w:spacing w:val="-6"/>
        </w:rPr>
        <w:t> </w:t>
      </w:r>
      <w:r>
        <w:rPr/>
        <w:t>congestão</w:t>
      </w:r>
      <w:r>
        <w:rPr>
          <w:spacing w:val="-3"/>
        </w:rPr>
        <w:t> </w:t>
      </w:r>
      <w:r>
        <w:rPr/>
        <w:t>pulmonar pela</w:t>
      </w:r>
      <w:r>
        <w:rPr>
          <w:spacing w:val="-6"/>
        </w:rPr>
        <w:t> </w:t>
      </w:r>
      <w:r>
        <w:rPr/>
        <w:t>redução</w:t>
      </w:r>
      <w:r>
        <w:rPr>
          <w:spacing w:val="-3"/>
        </w:rPr>
        <w:t> </w:t>
      </w:r>
      <w:r>
        <w:rPr/>
        <w:t>da</w:t>
      </w:r>
      <w:r>
        <w:rPr>
          <w:spacing w:val="-6"/>
        </w:rPr>
        <w:t> </w:t>
      </w:r>
      <w:r>
        <w:rPr/>
        <w:t>volemia</w:t>
      </w:r>
      <w:r>
        <w:rPr>
          <w:spacing w:val="-6"/>
        </w:rPr>
        <w:t> </w:t>
      </w:r>
      <w:r>
        <w:rPr/>
        <w:t>e/ou</w:t>
      </w:r>
      <w:r>
        <w:rPr>
          <w:spacing w:val="-3"/>
        </w:rPr>
        <w:t> </w:t>
      </w:r>
      <w:r>
        <w:rPr/>
        <w:t>da</w:t>
      </w:r>
      <w:r>
        <w:rPr>
          <w:spacing w:val="-6"/>
        </w:rPr>
        <w:t> </w:t>
      </w:r>
      <w:r>
        <w:rPr/>
        <w:t>frequência cardíaca. Contrações atriais prematuras são</w:t>
      </w:r>
      <w:r>
        <w:rPr>
          <w:spacing w:val="-1"/>
        </w:rPr>
        <w:t> </w:t>
      </w:r>
      <w:r>
        <w:rPr/>
        <w:t>frequentes e</w:t>
      </w:r>
      <w:r>
        <w:rPr>
          <w:spacing w:val="-3"/>
        </w:rPr>
        <w:t> </w:t>
      </w:r>
      <w:r>
        <w:rPr/>
        <w:t>prenunciam</w:t>
      </w:r>
      <w:r>
        <w:rPr>
          <w:spacing w:val="-1"/>
        </w:rPr>
        <w:t> </w:t>
      </w:r>
      <w:r>
        <w:rPr/>
        <w:t>a</w:t>
      </w:r>
      <w:r>
        <w:rPr>
          <w:spacing w:val="-3"/>
        </w:rPr>
        <w:t> </w:t>
      </w:r>
      <w:r>
        <w:rPr/>
        <w:t>fibrilação</w:t>
      </w:r>
      <w:r>
        <w:rPr>
          <w:spacing w:val="-1"/>
        </w:rPr>
        <w:t> </w:t>
      </w:r>
      <w:r>
        <w:rPr/>
        <w:t>atrial, devendo</w:t>
      </w:r>
      <w:r>
        <w:rPr>
          <w:spacing w:val="-1"/>
        </w:rPr>
        <w:t> </w:t>
      </w:r>
      <w:r>
        <w:rPr/>
        <w:t>ser tratadas, nesse momento, com fármacos antiarrítmicos para sua prevenção. Uma vez instalada, a fibrilação atrial é difícil de reverter em razão das próprias alterações anatômicas do átrio esquerdo. O tratamento imediato é diminuir a frequência</w:t>
      </w:r>
      <w:r>
        <w:rPr>
          <w:spacing w:val="-4"/>
        </w:rPr>
        <w:t> </w:t>
      </w:r>
      <w:r>
        <w:rPr/>
        <w:t>cardíaca</w:t>
      </w:r>
      <w:r>
        <w:rPr>
          <w:spacing w:val="-4"/>
        </w:rPr>
        <w:t> </w:t>
      </w:r>
      <w:r>
        <w:rPr/>
        <w:t>com</w:t>
      </w:r>
      <w:r>
        <w:rPr>
          <w:spacing w:val="-2"/>
        </w:rPr>
        <w:t> </w:t>
      </w:r>
      <w:r>
        <w:rPr/>
        <w:t>digitálico</w:t>
      </w:r>
      <w:r>
        <w:rPr>
          <w:spacing w:val="-2"/>
        </w:rPr>
        <w:t> </w:t>
      </w:r>
      <w:r>
        <w:rPr/>
        <w:t>ou</w:t>
      </w:r>
      <w:r>
        <w:rPr>
          <w:spacing w:val="-2"/>
        </w:rPr>
        <w:t> </w:t>
      </w:r>
      <w:r>
        <w:rPr/>
        <w:t>betabloqueador, devendo-se</w:t>
      </w:r>
      <w:r>
        <w:rPr>
          <w:spacing w:val="-4"/>
        </w:rPr>
        <w:t> </w:t>
      </w:r>
      <w:r>
        <w:rPr/>
        <w:t>mantê-la</w:t>
      </w:r>
      <w:r>
        <w:rPr>
          <w:spacing w:val="-4"/>
        </w:rPr>
        <w:t> </w:t>
      </w:r>
      <w:r>
        <w:rPr/>
        <w:t>entre</w:t>
      </w:r>
      <w:r>
        <w:rPr>
          <w:spacing w:val="-4"/>
        </w:rPr>
        <w:t> </w:t>
      </w:r>
      <w:r>
        <w:rPr/>
        <w:t>60</w:t>
      </w:r>
      <w:r>
        <w:rPr>
          <w:spacing w:val="-2"/>
        </w:rPr>
        <w:t> </w:t>
      </w:r>
      <w:r>
        <w:rPr/>
        <w:t>e</w:t>
      </w:r>
      <w:r>
        <w:rPr>
          <w:spacing w:val="-4"/>
        </w:rPr>
        <w:t> </w:t>
      </w:r>
      <w:r>
        <w:rPr/>
        <w:t>65</w:t>
      </w:r>
      <w:r>
        <w:rPr>
          <w:spacing w:val="-2"/>
        </w:rPr>
        <w:t> </w:t>
      </w:r>
      <w:r>
        <w:rPr/>
        <w:t>bpm. A</w:t>
      </w:r>
      <w:r>
        <w:rPr>
          <w:spacing w:val="-4"/>
        </w:rPr>
        <w:t> </w:t>
      </w:r>
      <w:r>
        <w:rPr/>
        <w:t>cardioversão</w:t>
      </w:r>
      <w:r>
        <w:rPr>
          <w:spacing w:val="-2"/>
        </w:rPr>
        <w:t> </w:t>
      </w:r>
      <w:r>
        <w:rPr/>
        <w:t>está indicada nos casos de fibrilação atrial instalada há menos de 6 meses, se o átrio esquerdo for pequeno e o ritmo, depois, puder</w:t>
      </w:r>
      <w:r>
        <w:rPr>
          <w:spacing w:val="-3"/>
        </w:rPr>
        <w:t> </w:t>
      </w:r>
      <w:r>
        <w:rPr/>
        <w:t>ser</w:t>
      </w:r>
      <w:r>
        <w:rPr>
          <w:spacing w:val="-3"/>
        </w:rPr>
        <w:t> </w:t>
      </w:r>
      <w:r>
        <w:rPr/>
        <w:t>mantido</w:t>
      </w:r>
      <w:r>
        <w:rPr>
          <w:spacing w:val="-8"/>
        </w:rPr>
        <w:t> </w:t>
      </w:r>
      <w:r>
        <w:rPr/>
        <w:t>com</w:t>
      </w:r>
      <w:r>
        <w:rPr>
          <w:spacing w:val="-8"/>
        </w:rPr>
        <w:t> </w:t>
      </w:r>
      <w:r>
        <w:rPr/>
        <w:t>sulfato</w:t>
      </w:r>
      <w:r>
        <w:rPr>
          <w:spacing w:val="-8"/>
        </w:rPr>
        <w:t> </w:t>
      </w:r>
      <w:r>
        <w:rPr/>
        <w:t>de</w:t>
      </w:r>
      <w:r>
        <w:rPr>
          <w:spacing w:val="-10"/>
        </w:rPr>
        <w:t> </w:t>
      </w:r>
      <w:r>
        <w:rPr/>
        <w:t>quinidina. Quando</w:t>
      </w:r>
      <w:r>
        <w:rPr>
          <w:spacing w:val="-8"/>
        </w:rPr>
        <w:t> </w:t>
      </w:r>
      <w:r>
        <w:rPr/>
        <w:t>for</w:t>
      </w:r>
      <w:r>
        <w:rPr>
          <w:spacing w:val="-3"/>
        </w:rPr>
        <w:t> </w:t>
      </w:r>
      <w:r>
        <w:rPr/>
        <w:t>indicada</w:t>
      </w:r>
      <w:r>
        <w:rPr>
          <w:spacing w:val="-10"/>
        </w:rPr>
        <w:t> </w:t>
      </w:r>
      <w:r>
        <w:rPr/>
        <w:t>a</w:t>
      </w:r>
      <w:r>
        <w:rPr>
          <w:spacing w:val="-10"/>
        </w:rPr>
        <w:t> </w:t>
      </w:r>
      <w:r>
        <w:rPr/>
        <w:t>cardioversão, deve</w:t>
      </w:r>
      <w:r>
        <w:rPr>
          <w:spacing w:val="-10"/>
        </w:rPr>
        <w:t> </w:t>
      </w:r>
      <w:r>
        <w:rPr/>
        <w:t>ser</w:t>
      </w:r>
      <w:r>
        <w:rPr>
          <w:spacing w:val="-3"/>
        </w:rPr>
        <w:t> </w:t>
      </w:r>
      <w:r>
        <w:rPr/>
        <w:t>feito</w:t>
      </w:r>
      <w:r>
        <w:rPr>
          <w:spacing w:val="-8"/>
        </w:rPr>
        <w:t> </w:t>
      </w:r>
      <w:r>
        <w:rPr/>
        <w:t>um</w:t>
      </w:r>
      <w:r>
        <w:rPr>
          <w:spacing w:val="-8"/>
        </w:rPr>
        <w:t> </w:t>
      </w:r>
      <w:r>
        <w:rPr/>
        <w:t>esquema de</w:t>
      </w:r>
      <w:r>
        <w:rPr>
          <w:spacing w:val="-6"/>
        </w:rPr>
        <w:t> </w:t>
      </w:r>
      <w:r>
        <w:rPr/>
        <w:t>anticoagulação</w:t>
      </w:r>
      <w:r>
        <w:rPr>
          <w:spacing w:val="-4"/>
        </w:rPr>
        <w:t> </w:t>
      </w:r>
      <w:r>
        <w:rPr/>
        <w:t>prévia</w:t>
      </w:r>
      <w:r>
        <w:rPr>
          <w:spacing w:val="-6"/>
        </w:rPr>
        <w:t> </w:t>
      </w:r>
      <w:r>
        <w:rPr/>
        <w:t>por 3</w:t>
      </w:r>
      <w:r>
        <w:rPr>
          <w:spacing w:val="-4"/>
        </w:rPr>
        <w:t> </w:t>
      </w:r>
      <w:r>
        <w:rPr/>
        <w:t>semanas. É importante</w:t>
      </w:r>
      <w:r>
        <w:rPr>
          <w:spacing w:val="-6"/>
        </w:rPr>
        <w:t> </w:t>
      </w:r>
      <w:r>
        <w:rPr/>
        <w:t>a</w:t>
      </w:r>
      <w:r>
        <w:rPr>
          <w:spacing w:val="-6"/>
        </w:rPr>
        <w:t> </w:t>
      </w:r>
      <w:r>
        <w:rPr/>
        <w:t>manutenção</w:t>
      </w:r>
      <w:r>
        <w:rPr>
          <w:spacing w:val="-4"/>
        </w:rPr>
        <w:t> </w:t>
      </w:r>
      <w:r>
        <w:rPr/>
        <w:t>de</w:t>
      </w:r>
      <w:r>
        <w:rPr>
          <w:spacing w:val="-6"/>
        </w:rPr>
        <w:t> </w:t>
      </w:r>
      <w:r>
        <w:rPr/>
        <w:t>anticoagulação</w:t>
      </w:r>
      <w:r>
        <w:rPr>
          <w:spacing w:val="-4"/>
        </w:rPr>
        <w:t> </w:t>
      </w:r>
      <w:r>
        <w:rPr/>
        <w:t>oral</w:t>
      </w:r>
      <w:r>
        <w:rPr>
          <w:spacing w:val="-1"/>
        </w:rPr>
        <w:t> </w:t>
      </w:r>
      <w:r>
        <w:rPr/>
        <w:t>após a</w:t>
      </w:r>
      <w:r>
        <w:rPr>
          <w:spacing w:val="-6"/>
        </w:rPr>
        <w:t> </w:t>
      </w:r>
      <w:r>
        <w:rPr/>
        <w:t>cardioversão.</w:t>
      </w:r>
    </w:p>
    <w:p>
      <w:pPr>
        <w:pStyle w:val="BodyText"/>
        <w:spacing w:line="276" w:lineRule="auto" w:before="66"/>
        <w:ind w:right="491"/>
      </w:pPr>
      <w:r>
        <w:rPr/>
        <w:t>O tratamento invasivo modificou a história natural da estenose mitral e tem sua indicação em determinado momento da evolução da doença, que deve ser individualizado para cada caso, levando-se em consideração o tamanho do orifício valvar, a qualidade de vida, o risco operatório e as complicações, entre as quais o embolismo sistêmico. Dentre</w:t>
      </w:r>
      <w:r>
        <w:rPr>
          <w:spacing w:val="-8"/>
        </w:rPr>
        <w:t> </w:t>
      </w:r>
      <w:r>
        <w:rPr/>
        <w:t>as valvopatias, a</w:t>
      </w:r>
      <w:r>
        <w:rPr>
          <w:spacing w:val="-8"/>
        </w:rPr>
        <w:t> </w:t>
      </w:r>
      <w:r>
        <w:rPr/>
        <w:t>estenose</w:t>
      </w:r>
      <w:r>
        <w:rPr>
          <w:spacing w:val="-8"/>
        </w:rPr>
        <w:t> </w:t>
      </w:r>
      <w:r>
        <w:rPr/>
        <w:t>mitral</w:t>
      </w:r>
      <w:r>
        <w:rPr>
          <w:spacing w:val="-2"/>
        </w:rPr>
        <w:t> </w:t>
      </w:r>
      <w:r>
        <w:rPr/>
        <w:t>é</w:t>
      </w:r>
      <w:r>
        <w:rPr>
          <w:spacing w:val="-8"/>
        </w:rPr>
        <w:t> </w:t>
      </w:r>
      <w:r>
        <w:rPr/>
        <w:t>a</w:t>
      </w:r>
      <w:r>
        <w:rPr>
          <w:spacing w:val="-8"/>
        </w:rPr>
        <w:t> </w:t>
      </w:r>
      <w:r>
        <w:rPr/>
        <w:t>de</w:t>
      </w:r>
      <w:r>
        <w:rPr>
          <w:spacing w:val="-8"/>
        </w:rPr>
        <w:t> </w:t>
      </w:r>
      <w:r>
        <w:rPr/>
        <w:t>menor restrição</w:t>
      </w:r>
      <w:r>
        <w:rPr>
          <w:spacing w:val="-5"/>
        </w:rPr>
        <w:t> </w:t>
      </w:r>
      <w:r>
        <w:rPr/>
        <w:t>para</w:t>
      </w:r>
      <w:r>
        <w:rPr>
          <w:spacing w:val="-8"/>
        </w:rPr>
        <w:t> </w:t>
      </w:r>
      <w:r>
        <w:rPr/>
        <w:t>o</w:t>
      </w:r>
      <w:r>
        <w:rPr>
          <w:spacing w:val="-5"/>
        </w:rPr>
        <w:t> </w:t>
      </w:r>
      <w:r>
        <w:rPr/>
        <w:t>tratamento</w:t>
      </w:r>
      <w:r>
        <w:rPr>
          <w:spacing w:val="-5"/>
        </w:rPr>
        <w:t> </w:t>
      </w:r>
      <w:r>
        <w:rPr/>
        <w:t>invasivo, uma</w:t>
      </w:r>
      <w:r>
        <w:rPr>
          <w:spacing w:val="-8"/>
        </w:rPr>
        <w:t> </w:t>
      </w:r>
      <w:r>
        <w:rPr/>
        <w:t>vez</w:t>
      </w:r>
      <w:r>
        <w:rPr>
          <w:spacing w:val="-8"/>
        </w:rPr>
        <w:t> </w:t>
      </w:r>
      <w:r>
        <w:rPr/>
        <w:t>que</w:t>
      </w:r>
      <w:r>
        <w:rPr>
          <w:spacing w:val="-8"/>
        </w:rPr>
        <w:t> </w:t>
      </w:r>
      <w:r>
        <w:rPr/>
        <w:t>o seu resultado é bom. A valvotomia mitral percutânea representa, hoje em dia, uma alternativa de baixo risco com bons resultados. A valvoplastia é outra alternativa paliativa que preserva a valva natural e de preferência sobre o implante de uma prótese. A substituição valvar percutânea ou cirúrgica está indicada nos casos em que outros métodos não tiveram êxito.</w:t>
      </w:r>
    </w:p>
    <w:p>
      <w:pPr>
        <w:pStyle w:val="BodyText"/>
        <w:spacing w:after="0" w:line="276" w:lineRule="auto"/>
        <w:sectPr>
          <w:pgSz w:w="11900" w:h="16840"/>
          <w:pgMar w:top="220" w:bottom="280" w:left="566" w:right="141"/>
        </w:sectPr>
      </w:pPr>
    </w:p>
    <w:p>
      <w:pPr>
        <w:pStyle w:val="Heading5"/>
        <w:spacing w:before="82"/>
      </w:pPr>
      <w:r>
        <w:rPr>
          <w:color w:val="A26108"/>
          <w:spacing w:val="-2"/>
        </w:rPr>
        <w:t>Prognóstico</w:t>
      </w:r>
    </w:p>
    <w:p>
      <w:pPr>
        <w:pStyle w:val="BodyText"/>
        <w:spacing w:line="276" w:lineRule="auto" w:before="138"/>
        <w:ind w:right="488"/>
      </w:pPr>
      <w:r>
        <w:rPr/>
        <w:t>A estenose mitral tem evolução natural lenta em países desenvolvidos. Há um período de 20 a 40 anos de latência</w:t>
      </w:r>
      <w:r>
        <w:rPr>
          <w:spacing w:val="-1"/>
        </w:rPr>
        <w:t> </w:t>
      </w:r>
      <w:r>
        <w:rPr/>
        <w:t>desde</w:t>
      </w:r>
      <w:r>
        <w:rPr>
          <w:spacing w:val="-1"/>
        </w:rPr>
        <w:t> </w:t>
      </w:r>
      <w:r>
        <w:rPr/>
        <w:t>o surto de</w:t>
      </w:r>
      <w:r>
        <w:rPr>
          <w:spacing w:val="-1"/>
        </w:rPr>
        <w:t> </w:t>
      </w:r>
      <w:r>
        <w:rPr/>
        <w:t>atividade</w:t>
      </w:r>
      <w:r>
        <w:rPr>
          <w:spacing w:val="-1"/>
        </w:rPr>
        <w:t> </w:t>
      </w:r>
      <w:r>
        <w:rPr/>
        <w:t>reumática</w:t>
      </w:r>
      <w:r>
        <w:rPr>
          <w:spacing w:val="-1"/>
        </w:rPr>
        <w:t> </w:t>
      </w:r>
      <w:r>
        <w:rPr/>
        <w:t>até</w:t>
      </w:r>
      <w:r>
        <w:rPr>
          <w:spacing w:val="-1"/>
        </w:rPr>
        <w:t> </w:t>
      </w:r>
      <w:r>
        <w:rPr/>
        <w:t>o aparecimento de</w:t>
      </w:r>
      <w:r>
        <w:rPr>
          <w:spacing w:val="-1"/>
        </w:rPr>
        <w:t> </w:t>
      </w:r>
      <w:r>
        <w:rPr/>
        <w:t>sintomas. Desde</w:t>
      </w:r>
      <w:r>
        <w:rPr>
          <w:spacing w:val="-1"/>
        </w:rPr>
        <w:t> </w:t>
      </w:r>
      <w:r>
        <w:rPr/>
        <w:t>o surgimento dos sintomas há um período de aproximadamente 10 anos de sobrevida para os pacientes sem tratamento. Nos pacientes assintomáticos, ou com poucos sintomas, a sobrevida é de 80% em 10 anos; 60% não apresentam progressão da doença. Entretanto, uma vez que os sintomas se tornam limitantes a sobrevida diminui para 0 a 15% em 10 anos. Quando ocorre hipertensão pulmonar, a sobrevida média é inferior a 3 anos. A mortalidade dos pacientes não tratados é por insuficiência cardíaca em 60 a 70% dos casos, embolismo sistêmico em 20 a 30%, embolismo pulmonar em 10% e infecção em 1 a 5%.</w:t>
      </w:r>
    </w:p>
    <w:p>
      <w:pPr>
        <w:pStyle w:val="BodyText"/>
        <w:spacing w:line="276" w:lineRule="auto" w:before="49"/>
        <w:ind w:right="491"/>
      </w:pPr>
      <w:r>
        <w:rPr/>
        <w:t>A valvotomia por balão tem excelentes resultados, mas está diretamente relacionada com a experiência do executor. A mortalidade por esse procedimento é de 1 a 2%, podendo ser inferior a 1%. A sobrevida desses pacientes livre de nova cirurgia ou morte é de 50 a 65% em 3 a 7 anos e a sobrevida é de 80 a 90%. O estado anatômico</w:t>
      </w:r>
      <w:r>
        <w:rPr>
          <w:spacing w:val="-3"/>
        </w:rPr>
        <w:t> </w:t>
      </w:r>
      <w:r>
        <w:rPr/>
        <w:t>da</w:t>
      </w:r>
      <w:r>
        <w:rPr>
          <w:spacing w:val="-6"/>
        </w:rPr>
        <w:t> </w:t>
      </w:r>
      <w:r>
        <w:rPr/>
        <w:t>valva</w:t>
      </w:r>
      <w:r>
        <w:rPr>
          <w:spacing w:val="-6"/>
        </w:rPr>
        <w:t> </w:t>
      </w:r>
      <w:r>
        <w:rPr/>
        <w:t>é</w:t>
      </w:r>
      <w:r>
        <w:rPr>
          <w:spacing w:val="-6"/>
        </w:rPr>
        <w:t> </w:t>
      </w:r>
      <w:r>
        <w:rPr/>
        <w:t>determinante</w:t>
      </w:r>
      <w:r>
        <w:rPr>
          <w:spacing w:val="-6"/>
        </w:rPr>
        <w:t> </w:t>
      </w:r>
      <w:r>
        <w:rPr/>
        <w:t>fundamental nas complicações e</w:t>
      </w:r>
      <w:r>
        <w:rPr>
          <w:spacing w:val="-6"/>
        </w:rPr>
        <w:t> </w:t>
      </w:r>
      <w:r>
        <w:rPr/>
        <w:t>recorrência</w:t>
      </w:r>
      <w:r>
        <w:rPr>
          <w:spacing w:val="-6"/>
        </w:rPr>
        <w:t> </w:t>
      </w:r>
      <w:r>
        <w:rPr/>
        <w:t>da</w:t>
      </w:r>
      <w:r>
        <w:rPr>
          <w:spacing w:val="-6"/>
        </w:rPr>
        <w:t> </w:t>
      </w:r>
      <w:r>
        <w:rPr/>
        <w:t>estenose</w:t>
      </w:r>
      <w:r>
        <w:rPr>
          <w:spacing w:val="-6"/>
        </w:rPr>
        <w:t> </w:t>
      </w:r>
      <w:r>
        <w:rPr/>
        <w:t>valvar.</w:t>
      </w:r>
    </w:p>
    <w:p>
      <w:pPr>
        <w:pStyle w:val="BodyText"/>
        <w:spacing w:line="276" w:lineRule="auto"/>
        <w:ind w:right="491"/>
      </w:pPr>
      <w:r>
        <w:rPr/>
        <w:t>O diagnóstico de reestenose mitral só pode ser feito se o paciente foi submetido a cateterismo ou ecodopplercardiografia no pré-operatório; imediatamente após a cirurgia e depois do aparecimento dos sintomas. Em torno de 4 a 7% dos pacientes submetidos à comissurotomia mitral necessitam de reoperação em 5 anos.</w:t>
      </w:r>
    </w:p>
    <w:p>
      <w:pPr>
        <w:pStyle w:val="BodyText"/>
        <w:spacing w:before="185"/>
        <w:ind w:left="0" w:firstLine="0"/>
        <w:jc w:val="left"/>
      </w:pPr>
    </w:p>
    <w:p>
      <w:pPr>
        <w:pStyle w:val="Heading4"/>
        <w:spacing w:before="1"/>
      </w:pPr>
      <w:r>
        <w:rPr>
          <w:color w:val="242B67"/>
        </w:rPr>
        <w:t>Insuficiência valvar </w:t>
      </w:r>
      <w:r>
        <w:rPr>
          <w:color w:val="242B67"/>
          <w:spacing w:val="-2"/>
        </w:rPr>
        <w:t>mitral</w:t>
      </w:r>
    </w:p>
    <w:p>
      <w:pPr>
        <w:pStyle w:val="Heading5"/>
        <w:spacing w:before="193"/>
      </w:pPr>
      <w:r>
        <w:rPr>
          <w:color w:val="A26108"/>
          <w:spacing w:val="-2"/>
        </w:rPr>
        <w:t>Conceito</w:t>
      </w:r>
    </w:p>
    <w:p>
      <w:pPr>
        <w:pStyle w:val="BodyText"/>
        <w:spacing w:line="276" w:lineRule="auto" w:before="122"/>
        <w:ind w:right="488"/>
      </w:pPr>
      <w:r>
        <w:rPr/>
        <w:t>A insuficiência mitral é entidade nosológica decorrente da coaptação imperfeita dos folhetos mitrais, durante a fase de ejeção do VE. As alterações hemodinâmicas consequentes dependem da etiologia, grau e duração da insuficiência valvar. Sua gravidade depende da magnitude do volume regurgitado. A principal função da valva mitral é impedir que, durante a ejeção do VE, o sangue retorne para a câmara atrial esquerda, a qual apresenta menor resistência</w:t>
      </w:r>
      <w:r>
        <w:rPr>
          <w:spacing w:val="-4"/>
        </w:rPr>
        <w:t> </w:t>
      </w:r>
      <w:r>
        <w:rPr/>
        <w:t>que</w:t>
      </w:r>
      <w:r>
        <w:rPr>
          <w:spacing w:val="-4"/>
        </w:rPr>
        <w:t> </w:t>
      </w:r>
      <w:r>
        <w:rPr/>
        <w:t>a</w:t>
      </w:r>
      <w:r>
        <w:rPr>
          <w:spacing w:val="-4"/>
        </w:rPr>
        <w:t> </w:t>
      </w:r>
      <w:r>
        <w:rPr/>
        <w:t>aorta. Na</w:t>
      </w:r>
      <w:r>
        <w:rPr>
          <w:spacing w:val="-4"/>
        </w:rPr>
        <w:t> </w:t>
      </w:r>
      <w:r>
        <w:rPr/>
        <w:t>insuficiência</w:t>
      </w:r>
      <w:r>
        <w:rPr>
          <w:spacing w:val="-4"/>
        </w:rPr>
        <w:t> </w:t>
      </w:r>
      <w:r>
        <w:rPr/>
        <w:t>mitral, o</w:t>
      </w:r>
      <w:r>
        <w:rPr>
          <w:spacing w:val="-1"/>
        </w:rPr>
        <w:t> </w:t>
      </w:r>
      <w:r>
        <w:rPr/>
        <w:t>VE passa</w:t>
      </w:r>
      <w:r>
        <w:rPr>
          <w:spacing w:val="-4"/>
        </w:rPr>
        <w:t> </w:t>
      </w:r>
      <w:r>
        <w:rPr/>
        <w:t>a</w:t>
      </w:r>
      <w:r>
        <w:rPr>
          <w:spacing w:val="-4"/>
        </w:rPr>
        <w:t> </w:t>
      </w:r>
      <w:r>
        <w:rPr/>
        <w:t>apresentar duas vias de</w:t>
      </w:r>
      <w:r>
        <w:rPr>
          <w:spacing w:val="-4"/>
        </w:rPr>
        <w:t> </w:t>
      </w:r>
      <w:r>
        <w:rPr/>
        <w:t>saída, uma</w:t>
      </w:r>
      <w:r>
        <w:rPr>
          <w:spacing w:val="-4"/>
        </w:rPr>
        <w:t> </w:t>
      </w:r>
      <w:r>
        <w:rPr/>
        <w:t>efetiva</w:t>
      </w:r>
      <w:r>
        <w:rPr>
          <w:spacing w:val="-4"/>
        </w:rPr>
        <w:t> </w:t>
      </w:r>
      <w:r>
        <w:rPr/>
        <w:t>para a aorta e outra com o fluxo regurgitado para o átrio esquerdo.</w:t>
      </w:r>
    </w:p>
    <w:p>
      <w:pPr>
        <w:pStyle w:val="BodyText"/>
        <w:spacing w:before="134"/>
        <w:ind w:left="0" w:firstLine="0"/>
        <w:jc w:val="left"/>
      </w:pPr>
    </w:p>
    <w:p>
      <w:pPr>
        <w:pStyle w:val="Heading5"/>
      </w:pPr>
      <w:r>
        <w:rPr>
          <w:color w:val="A26108"/>
          <w:spacing w:val="-2"/>
        </w:rPr>
        <w:t>Epidemiologia</w:t>
      </w:r>
    </w:p>
    <w:p>
      <w:pPr>
        <w:pStyle w:val="BodyText"/>
        <w:spacing w:line="276" w:lineRule="auto" w:before="138"/>
        <w:ind w:right="488"/>
      </w:pPr>
      <w:r>
        <w:rPr/>
        <w:t>Atualmente, nos países desenvolvidos, as principais etiologias da insuficiência mitral a levar à necessidade de correção cirúrgica são o prolapso valvar e a doença coronária. A doença reumática, a endocardite infecciosa, as doenças do colágeno e, mais recentemente, os medicamentos anorexígenos também têm sido apontados como causas da insuficiência.</w:t>
      </w:r>
    </w:p>
    <w:p>
      <w:pPr>
        <w:pStyle w:val="BodyText"/>
        <w:spacing w:before="134"/>
        <w:ind w:left="0" w:firstLine="0"/>
        <w:jc w:val="left"/>
      </w:pPr>
    </w:p>
    <w:p>
      <w:pPr>
        <w:pStyle w:val="Heading5"/>
      </w:pPr>
      <w:r>
        <w:rPr>
          <w:color w:val="A26108"/>
          <w:spacing w:val="-2"/>
        </w:rPr>
        <w:t>Etiopatogenia</w:t>
      </w:r>
    </w:p>
    <w:p>
      <w:pPr>
        <w:pStyle w:val="BodyText"/>
        <w:spacing w:line="276" w:lineRule="auto" w:before="138"/>
        <w:ind w:right="497"/>
      </w:pPr>
      <w:r>
        <w:rPr/>
        <w:t>Sob o ponto de vista anatômico, a insuficiência mitral decorre de alterações dos músculos papilares, cordas tendíneas, cúspides valvares e comissuras. O diâmetro do anel mitral não se modifica de forma significativa na insuficiência mitral, salvo no prolapso e na síndrome de Marfan.</w:t>
      </w:r>
    </w:p>
    <w:p>
      <w:pPr>
        <w:pStyle w:val="BodyText"/>
        <w:spacing w:line="276" w:lineRule="auto" w:before="49"/>
        <w:ind w:right="491"/>
      </w:pPr>
      <w:r>
        <w:rPr/>
        <w:t>O funcionamento do aparelho mitral depende da harmonia integrada de uma série de estruturas que formam o chamado aparelho valvar mitral, ou seja, a parede posterior do átrio esquerdo, o anel mitral, as cúspides anterior e posterior, as cordas que</w:t>
      </w:r>
      <w:r>
        <w:rPr>
          <w:spacing w:val="-1"/>
        </w:rPr>
        <w:t> </w:t>
      </w:r>
      <w:r>
        <w:rPr/>
        <w:t>se</w:t>
      </w:r>
      <w:r>
        <w:rPr>
          <w:spacing w:val="-1"/>
        </w:rPr>
        <w:t> </w:t>
      </w:r>
      <w:r>
        <w:rPr/>
        <w:t>inserem nos músculos papilares anterior e</w:t>
      </w:r>
      <w:r>
        <w:rPr>
          <w:spacing w:val="-1"/>
        </w:rPr>
        <w:t> </w:t>
      </w:r>
      <w:r>
        <w:rPr/>
        <w:t>posterior e</w:t>
      </w:r>
      <w:r>
        <w:rPr>
          <w:spacing w:val="-1"/>
        </w:rPr>
        <w:t> </w:t>
      </w:r>
      <w:r>
        <w:rPr/>
        <w:t>o miocárdio ventricular como um todo. As condições que permitem o refluxo de sangue do ventrículo para o átrio esquerdo durante a sístole podem ser causadas por alterações em qualquer um de</w:t>
      </w:r>
      <w:r>
        <w:rPr>
          <w:spacing w:val="-2"/>
        </w:rPr>
        <w:t> </w:t>
      </w:r>
      <w:r>
        <w:rPr/>
        <w:t>seus componentes, como as descritas a</w:t>
      </w:r>
      <w:r>
        <w:rPr>
          <w:spacing w:val="-2"/>
        </w:rPr>
        <w:t> </w:t>
      </w:r>
      <w:r>
        <w:rPr/>
        <w:t>seguir.</w:t>
      </w:r>
    </w:p>
    <w:p>
      <w:pPr>
        <w:pStyle w:val="BodyText"/>
        <w:spacing w:line="276" w:lineRule="auto" w:before="29"/>
        <w:ind w:right="499" w:firstLine="0"/>
      </w:pPr>
      <w:r>
        <w:rPr>
          <w:rFonts w:ascii="Cambria" w:hAnsi="Cambria"/>
          <w:color w:val="5A5685"/>
        </w:rPr>
        <w:t>▶</w:t>
      </w:r>
      <w:r>
        <w:rPr>
          <w:rFonts w:ascii="Cambria" w:hAnsi="Cambria"/>
          <w:color w:val="5A5685"/>
          <w:spacing w:val="40"/>
        </w:rPr>
        <w:t> </w:t>
      </w:r>
      <w:r>
        <w:rPr>
          <w:rFonts w:ascii="Arial" w:hAnsi="Arial"/>
          <w:b/>
          <w:color w:val="5A5685"/>
        </w:rPr>
        <w:t>Folhetos. </w:t>
      </w:r>
      <w:r>
        <w:rPr/>
        <w:t>Seu comprometimento ocorre mais frequentemente em paciente do sexo masculino com doença reumática. É</w:t>
      </w:r>
      <w:r>
        <w:rPr>
          <w:spacing w:val="-2"/>
        </w:rPr>
        <w:t> </w:t>
      </w:r>
      <w:r>
        <w:rPr/>
        <w:t>consequente</w:t>
      </w:r>
      <w:r>
        <w:rPr>
          <w:spacing w:val="-9"/>
        </w:rPr>
        <w:t> </w:t>
      </w:r>
      <w:r>
        <w:rPr/>
        <w:t>a</w:t>
      </w:r>
      <w:r>
        <w:rPr>
          <w:spacing w:val="-9"/>
        </w:rPr>
        <w:t> </w:t>
      </w:r>
      <w:r>
        <w:rPr/>
        <w:t>encurtamento, rigidez, deformidade</w:t>
      </w:r>
      <w:r>
        <w:rPr>
          <w:spacing w:val="-9"/>
        </w:rPr>
        <w:t> </w:t>
      </w:r>
      <w:r>
        <w:rPr/>
        <w:t>e</w:t>
      </w:r>
      <w:r>
        <w:rPr>
          <w:spacing w:val="-9"/>
        </w:rPr>
        <w:t> </w:t>
      </w:r>
      <w:r>
        <w:rPr/>
        <w:t>retração</w:t>
      </w:r>
      <w:r>
        <w:rPr>
          <w:spacing w:val="-7"/>
        </w:rPr>
        <w:t> </w:t>
      </w:r>
      <w:r>
        <w:rPr/>
        <w:t>de</w:t>
      </w:r>
      <w:r>
        <w:rPr>
          <w:spacing w:val="-9"/>
        </w:rPr>
        <w:t> </w:t>
      </w:r>
      <w:r>
        <w:rPr/>
        <w:t>uma</w:t>
      </w:r>
      <w:r>
        <w:rPr>
          <w:spacing w:val="-9"/>
        </w:rPr>
        <w:t> </w:t>
      </w:r>
      <w:r>
        <w:rPr/>
        <w:t>ou</w:t>
      </w:r>
      <w:r>
        <w:rPr>
          <w:spacing w:val="-7"/>
        </w:rPr>
        <w:t> </w:t>
      </w:r>
      <w:r>
        <w:rPr/>
        <w:t>ambas as cúspides, bem</w:t>
      </w:r>
      <w:r>
        <w:rPr>
          <w:spacing w:val="-7"/>
        </w:rPr>
        <w:t> </w:t>
      </w:r>
      <w:r>
        <w:rPr/>
        <w:t>como a encurtamento e fusão de cordas tendíneas e músculos papilares. Pode também haver destruição dos folhetos em decorrência de lúpus e endocardite.</w:t>
      </w:r>
    </w:p>
    <w:p>
      <w:pPr>
        <w:pStyle w:val="BodyText"/>
        <w:spacing w:line="276" w:lineRule="auto" w:before="10"/>
        <w:ind w:right="497" w:firstLine="0"/>
      </w:pPr>
      <w:r>
        <w:rPr>
          <w:rFonts w:ascii="Cambria" w:hAnsi="Cambria"/>
          <w:color w:val="5A5685"/>
        </w:rPr>
        <w:t>▶ </w:t>
      </w:r>
      <w:r>
        <w:rPr>
          <w:rFonts w:ascii="Arial" w:hAnsi="Arial"/>
          <w:b/>
          <w:color w:val="5A5685"/>
        </w:rPr>
        <w:t>Anel</w:t>
      </w:r>
      <w:r>
        <w:rPr>
          <w:rFonts w:ascii="Arial" w:hAnsi="Arial"/>
          <w:b/>
          <w:color w:val="5A5685"/>
          <w:spacing w:val="-8"/>
        </w:rPr>
        <w:t> </w:t>
      </w:r>
      <w:r>
        <w:rPr>
          <w:rFonts w:ascii="Arial" w:hAnsi="Arial"/>
          <w:b/>
          <w:color w:val="5A5685"/>
        </w:rPr>
        <w:t>mitral.</w:t>
      </w:r>
      <w:r>
        <w:rPr>
          <w:rFonts w:ascii="Arial" w:hAnsi="Arial"/>
          <w:b/>
          <w:color w:val="5A5685"/>
          <w:spacing w:val="-8"/>
        </w:rPr>
        <w:t> </w:t>
      </w:r>
      <w:r>
        <w:rPr/>
        <w:t>No</w:t>
      </w:r>
      <w:r>
        <w:rPr>
          <w:spacing w:val="-3"/>
        </w:rPr>
        <w:t> </w:t>
      </w:r>
      <w:r>
        <w:rPr/>
        <w:t>adulto</w:t>
      </w:r>
      <w:r>
        <w:rPr>
          <w:spacing w:val="-3"/>
        </w:rPr>
        <w:t> </w:t>
      </w:r>
      <w:r>
        <w:rPr/>
        <w:t>normal</w:t>
      </w:r>
      <w:r>
        <w:rPr>
          <w:spacing w:val="-1"/>
        </w:rPr>
        <w:t> </w:t>
      </w:r>
      <w:r>
        <w:rPr/>
        <w:t>mede</w:t>
      </w:r>
      <w:r>
        <w:rPr>
          <w:spacing w:val="-5"/>
        </w:rPr>
        <w:t> </w:t>
      </w:r>
      <w:r>
        <w:rPr/>
        <w:t>10</w:t>
      </w:r>
      <w:r>
        <w:rPr>
          <w:spacing w:val="-3"/>
        </w:rPr>
        <w:t> </w:t>
      </w:r>
      <w:r>
        <w:rPr/>
        <w:t>cm</w:t>
      </w:r>
      <w:r>
        <w:rPr>
          <w:spacing w:val="-3"/>
        </w:rPr>
        <w:t> </w:t>
      </w:r>
      <w:r>
        <w:rPr/>
        <w:t>de</w:t>
      </w:r>
      <w:r>
        <w:rPr>
          <w:spacing w:val="-5"/>
        </w:rPr>
        <w:t> </w:t>
      </w:r>
      <w:r>
        <w:rPr/>
        <w:t>circunferência. Na</w:t>
      </w:r>
      <w:r>
        <w:rPr>
          <w:spacing w:val="-5"/>
        </w:rPr>
        <w:t> </w:t>
      </w:r>
      <w:r>
        <w:rPr/>
        <w:t>sístole, ocorre</w:t>
      </w:r>
      <w:r>
        <w:rPr>
          <w:spacing w:val="-5"/>
        </w:rPr>
        <w:t> </w:t>
      </w:r>
      <w:r>
        <w:rPr/>
        <w:t>constrição</w:t>
      </w:r>
      <w:r>
        <w:rPr>
          <w:spacing w:val="-3"/>
        </w:rPr>
        <w:t> </w:t>
      </w:r>
      <w:r>
        <w:rPr/>
        <w:t>anular contribuindo para o fechamento da valva. Qualquer </w:t>
      </w:r>
      <w:r>
        <w:rPr>
          <w:i/>
        </w:rPr>
        <w:t>dilatação </w:t>
      </w:r>
      <w:r>
        <w:rPr/>
        <w:t>importante do VE pode, consequentemente, levar à dilatação do anel</w:t>
      </w:r>
      <w:r>
        <w:rPr>
          <w:spacing w:val="12"/>
        </w:rPr>
        <w:t> </w:t>
      </w:r>
      <w:r>
        <w:rPr/>
        <w:t>mitral.</w:t>
      </w:r>
      <w:r>
        <w:rPr>
          <w:spacing w:val="17"/>
        </w:rPr>
        <w:t> </w:t>
      </w:r>
      <w:r>
        <w:rPr/>
        <w:t>Por</w:t>
      </w:r>
      <w:r>
        <w:rPr>
          <w:spacing w:val="15"/>
        </w:rPr>
        <w:t> </w:t>
      </w:r>
      <w:r>
        <w:rPr/>
        <w:t>outro lado,</w:t>
      </w:r>
      <w:r>
        <w:rPr>
          <w:spacing w:val="17"/>
        </w:rPr>
        <w:t> </w:t>
      </w:r>
      <w:r>
        <w:rPr/>
        <w:t>a </w:t>
      </w:r>
      <w:r>
        <w:rPr>
          <w:i/>
        </w:rPr>
        <w:t>calcificação </w:t>
      </w:r>
      <w:r>
        <w:rPr/>
        <w:t>idiopática é um achado frequente de necropsia.</w:t>
      </w:r>
      <w:r>
        <w:rPr>
          <w:spacing w:val="17"/>
        </w:rPr>
        <w:t> </w:t>
      </w:r>
      <w:r>
        <w:rPr/>
        <w:t>Pode ser</w:t>
      </w:r>
      <w:r>
        <w:rPr>
          <w:spacing w:val="15"/>
        </w:rPr>
        <w:t> </w:t>
      </w:r>
      <w:r>
        <w:rPr/>
        <w:t>consequente a</w:t>
      </w:r>
    </w:p>
    <w:p>
      <w:pPr>
        <w:pStyle w:val="BodyText"/>
        <w:spacing w:after="0" w:line="276" w:lineRule="auto"/>
        <w:sectPr>
          <w:pgSz w:w="11900" w:h="16840"/>
          <w:pgMar w:top="200" w:bottom="280" w:left="566" w:right="141"/>
        </w:sectPr>
      </w:pPr>
    </w:p>
    <w:p>
      <w:pPr>
        <w:pStyle w:val="BodyText"/>
        <w:spacing w:line="276" w:lineRule="auto" w:before="60"/>
        <w:ind w:right="501" w:firstLine="0"/>
      </w:pPr>
      <w:r>
        <w:rPr/>
        <w:t>doença</w:t>
      </w:r>
      <w:r>
        <w:rPr>
          <w:spacing w:val="-6"/>
        </w:rPr>
        <w:t> </w:t>
      </w:r>
      <w:r>
        <w:rPr/>
        <w:t>reumática, hipertensão</w:t>
      </w:r>
      <w:r>
        <w:rPr>
          <w:spacing w:val="-4"/>
        </w:rPr>
        <w:t> </w:t>
      </w:r>
      <w:r>
        <w:rPr/>
        <w:t>arterial sistêmica, estenose</w:t>
      </w:r>
      <w:r>
        <w:rPr>
          <w:spacing w:val="-6"/>
        </w:rPr>
        <w:t> </w:t>
      </w:r>
      <w:r>
        <w:rPr/>
        <w:t>aórtica, diabetes, defeito</w:t>
      </w:r>
      <w:r>
        <w:rPr>
          <w:spacing w:val="-4"/>
        </w:rPr>
        <w:t> </w:t>
      </w:r>
      <w:r>
        <w:rPr/>
        <w:t>do</w:t>
      </w:r>
      <w:r>
        <w:rPr>
          <w:spacing w:val="-4"/>
        </w:rPr>
        <w:t> </w:t>
      </w:r>
      <w:r>
        <w:rPr/>
        <w:t>esqueleto</w:t>
      </w:r>
      <w:r>
        <w:rPr>
          <w:spacing w:val="-4"/>
        </w:rPr>
        <w:t> </w:t>
      </w:r>
      <w:r>
        <w:rPr/>
        <w:t>fibroso</w:t>
      </w:r>
      <w:r>
        <w:rPr>
          <w:spacing w:val="-4"/>
        </w:rPr>
        <w:t> </w:t>
      </w:r>
      <w:r>
        <w:rPr/>
        <w:t>do</w:t>
      </w:r>
      <w:r>
        <w:rPr>
          <w:spacing w:val="-4"/>
        </w:rPr>
        <w:t> </w:t>
      </w:r>
      <w:r>
        <w:rPr/>
        <w:t>coração e nas síndromes de Marfan e Hurler. A incidência de calcificação eleva-se em pacientes com insuficiência renal crônica e hiperparatireoidismo secundário. A calcificação pode imobilizar a porção basal dos folhetos da mitral, impedindo sua</w:t>
      </w:r>
      <w:r>
        <w:rPr>
          <w:spacing w:val="-3"/>
        </w:rPr>
        <w:t> </w:t>
      </w:r>
      <w:r>
        <w:rPr/>
        <w:t>excursão normal na</w:t>
      </w:r>
      <w:r>
        <w:rPr>
          <w:spacing w:val="-3"/>
        </w:rPr>
        <w:t> </w:t>
      </w:r>
      <w:r>
        <w:rPr/>
        <w:t>diástole</w:t>
      </w:r>
      <w:r>
        <w:rPr>
          <w:spacing w:val="-3"/>
        </w:rPr>
        <w:t> </w:t>
      </w:r>
      <w:r>
        <w:rPr/>
        <w:t>e</w:t>
      </w:r>
      <w:r>
        <w:rPr>
          <w:spacing w:val="-3"/>
        </w:rPr>
        <w:t> </w:t>
      </w:r>
      <w:r>
        <w:rPr/>
        <w:t>a</w:t>
      </w:r>
      <w:r>
        <w:rPr>
          <w:spacing w:val="-3"/>
        </w:rPr>
        <w:t> </w:t>
      </w:r>
      <w:r>
        <w:rPr/>
        <w:t>coaptação na</w:t>
      </w:r>
      <w:r>
        <w:rPr>
          <w:spacing w:val="-3"/>
        </w:rPr>
        <w:t> </w:t>
      </w:r>
      <w:r>
        <w:rPr/>
        <w:t>sístole, perdendo a</w:t>
      </w:r>
      <w:r>
        <w:rPr>
          <w:spacing w:val="-3"/>
        </w:rPr>
        <w:t> </w:t>
      </w:r>
      <w:r>
        <w:rPr/>
        <w:t>ação esfincteriana</w:t>
      </w:r>
      <w:r>
        <w:rPr>
          <w:spacing w:val="-3"/>
        </w:rPr>
        <w:t> </w:t>
      </w:r>
      <w:r>
        <w:rPr/>
        <w:t>do anel mitral.</w:t>
      </w:r>
    </w:p>
    <w:p>
      <w:pPr>
        <w:pStyle w:val="BodyText"/>
        <w:spacing w:line="276" w:lineRule="auto" w:before="16"/>
        <w:ind w:right="499" w:firstLine="0"/>
      </w:pPr>
      <w:r>
        <w:rPr>
          <w:rFonts w:ascii="Cambria" w:hAnsi="Cambria"/>
          <w:color w:val="5A5685"/>
        </w:rPr>
        <w:t>▶</w:t>
      </w:r>
      <w:r>
        <w:rPr>
          <w:rFonts w:ascii="Cambria" w:hAnsi="Cambria"/>
          <w:color w:val="5A5685"/>
          <w:spacing w:val="29"/>
        </w:rPr>
        <w:t> </w:t>
      </w:r>
      <w:r>
        <w:rPr>
          <w:rFonts w:ascii="Arial" w:hAnsi="Arial"/>
          <w:b/>
          <w:color w:val="5A5685"/>
        </w:rPr>
        <w:t>Cordas</w:t>
      </w:r>
      <w:r>
        <w:rPr>
          <w:rFonts w:ascii="Arial" w:hAnsi="Arial"/>
          <w:b/>
          <w:color w:val="5A5685"/>
          <w:spacing w:val="-1"/>
        </w:rPr>
        <w:t> </w:t>
      </w:r>
      <w:r>
        <w:rPr>
          <w:rFonts w:ascii="Arial" w:hAnsi="Arial"/>
          <w:b/>
          <w:color w:val="5A5685"/>
        </w:rPr>
        <w:t>tendíneas. </w:t>
      </w:r>
      <w:r>
        <w:rPr/>
        <w:t>Podem ser comprometidas nas anomalias congênitas ou em consequência de endocardite infecciosa, trauma, doença reumática, proliferação mixomatosa, osteogênese imperfeita. A ruptura das cordas tendíneas do folheto posterior é mais frequente que a do anterior.</w:t>
      </w:r>
    </w:p>
    <w:p>
      <w:pPr>
        <w:pStyle w:val="BodyText"/>
        <w:spacing w:line="276" w:lineRule="auto" w:before="27"/>
        <w:ind w:right="497" w:firstLine="0"/>
      </w:pPr>
      <w:r>
        <w:rPr>
          <w:rFonts w:ascii="Cambria" w:hAnsi="Cambria"/>
          <w:color w:val="5A5685"/>
        </w:rPr>
        <w:t>▶</w:t>
      </w:r>
      <w:r>
        <w:rPr>
          <w:rFonts w:ascii="Cambria" w:hAnsi="Cambria"/>
          <w:color w:val="5A5685"/>
          <w:spacing w:val="38"/>
        </w:rPr>
        <w:t> </w:t>
      </w:r>
      <w:r>
        <w:rPr>
          <w:rFonts w:ascii="Arial" w:hAnsi="Arial"/>
          <w:b/>
          <w:color w:val="5A5685"/>
        </w:rPr>
        <w:t>Músculos papilares. </w:t>
      </w:r>
      <w:r>
        <w:rPr/>
        <w:t>O fato de serem perfundidos pela porção terminal do leito vascular coronário faz com que</w:t>
      </w:r>
      <w:r>
        <w:rPr>
          <w:spacing w:val="-8"/>
        </w:rPr>
        <w:t> </w:t>
      </w:r>
      <w:r>
        <w:rPr/>
        <w:t>sejam</w:t>
      </w:r>
      <w:r>
        <w:rPr>
          <w:spacing w:val="-6"/>
        </w:rPr>
        <w:t> </w:t>
      </w:r>
      <w:r>
        <w:rPr/>
        <w:t>particularmente</w:t>
      </w:r>
      <w:r>
        <w:rPr>
          <w:spacing w:val="-8"/>
        </w:rPr>
        <w:t> </w:t>
      </w:r>
      <w:r>
        <w:rPr/>
        <w:t>vulneráveis à</w:t>
      </w:r>
      <w:r>
        <w:rPr>
          <w:spacing w:val="-8"/>
        </w:rPr>
        <w:t> </w:t>
      </w:r>
      <w:r>
        <w:rPr/>
        <w:t>isquemia. O</w:t>
      </w:r>
      <w:r>
        <w:rPr>
          <w:spacing w:val="-8"/>
        </w:rPr>
        <w:t> </w:t>
      </w:r>
      <w:r>
        <w:rPr/>
        <w:t>músculo</w:t>
      </w:r>
      <w:r>
        <w:rPr>
          <w:spacing w:val="-6"/>
        </w:rPr>
        <w:t> </w:t>
      </w:r>
      <w:r>
        <w:rPr/>
        <w:t>papilar posterior é</w:t>
      </w:r>
      <w:r>
        <w:rPr>
          <w:spacing w:val="-8"/>
        </w:rPr>
        <w:t> </w:t>
      </w:r>
      <w:r>
        <w:rPr/>
        <w:t>provido</w:t>
      </w:r>
      <w:r>
        <w:rPr>
          <w:spacing w:val="-6"/>
        </w:rPr>
        <w:t> </w:t>
      </w:r>
      <w:r>
        <w:rPr/>
        <w:t>pelo</w:t>
      </w:r>
      <w:r>
        <w:rPr>
          <w:spacing w:val="-6"/>
        </w:rPr>
        <w:t> </w:t>
      </w:r>
      <w:r>
        <w:rPr/>
        <w:t>ramo</w:t>
      </w:r>
      <w:r>
        <w:rPr>
          <w:spacing w:val="-6"/>
        </w:rPr>
        <w:t> </w:t>
      </w:r>
      <w:r>
        <w:rPr/>
        <w:t>descendente</w:t>
      </w:r>
      <w:r>
        <w:rPr>
          <w:spacing w:val="-8"/>
        </w:rPr>
        <w:t> </w:t>
      </w:r>
      <w:r>
        <w:rPr/>
        <w:t>da artéria coronária direita e, com frequência, é mais atingido que o músculo papilar anterolateral, suprimido pelos ramos diagonais da</w:t>
      </w:r>
      <w:r>
        <w:rPr>
          <w:spacing w:val="-1"/>
        </w:rPr>
        <w:t> </w:t>
      </w:r>
      <w:r>
        <w:rPr/>
        <w:t>coronária</w:t>
      </w:r>
      <w:r>
        <w:rPr>
          <w:spacing w:val="-1"/>
        </w:rPr>
        <w:t> </w:t>
      </w:r>
      <w:r>
        <w:rPr/>
        <w:t>descendente</w:t>
      </w:r>
      <w:r>
        <w:rPr>
          <w:spacing w:val="-1"/>
        </w:rPr>
        <w:t> </w:t>
      </w:r>
      <w:r>
        <w:rPr/>
        <w:t>anterior esquerda. A</w:t>
      </w:r>
      <w:r>
        <w:rPr>
          <w:spacing w:val="-1"/>
        </w:rPr>
        <w:t> </w:t>
      </w:r>
      <w:r>
        <w:rPr/>
        <w:t>isquemia</w:t>
      </w:r>
      <w:r>
        <w:rPr>
          <w:spacing w:val="-1"/>
        </w:rPr>
        <w:t> </w:t>
      </w:r>
      <w:r>
        <w:rPr/>
        <w:t>do músculo papilar geralmente</w:t>
      </w:r>
      <w:r>
        <w:rPr>
          <w:spacing w:val="-1"/>
        </w:rPr>
        <w:t> </w:t>
      </w:r>
      <w:r>
        <w:rPr/>
        <w:t>é</w:t>
      </w:r>
      <w:r>
        <w:rPr>
          <w:spacing w:val="-1"/>
        </w:rPr>
        <w:t> </w:t>
      </w:r>
      <w:r>
        <w:rPr/>
        <w:t>causada por coronariopatia, podendo</w:t>
      </w:r>
      <w:r>
        <w:rPr>
          <w:spacing w:val="-5"/>
        </w:rPr>
        <w:t> </w:t>
      </w:r>
      <w:r>
        <w:rPr/>
        <w:t>também</w:t>
      </w:r>
      <w:r>
        <w:rPr>
          <w:spacing w:val="-5"/>
        </w:rPr>
        <w:t> </w:t>
      </w:r>
      <w:r>
        <w:rPr/>
        <w:t>ocorrer em</w:t>
      </w:r>
      <w:r>
        <w:rPr>
          <w:spacing w:val="-5"/>
        </w:rPr>
        <w:t> </w:t>
      </w:r>
      <w:r>
        <w:rPr/>
        <w:t>anemia, choque, arterite, e, ainda, em</w:t>
      </w:r>
      <w:r>
        <w:rPr>
          <w:spacing w:val="-5"/>
        </w:rPr>
        <w:t> </w:t>
      </w:r>
      <w:r>
        <w:rPr/>
        <w:t>casos de</w:t>
      </w:r>
      <w:r>
        <w:rPr>
          <w:spacing w:val="-7"/>
        </w:rPr>
        <w:t> </w:t>
      </w:r>
      <w:r>
        <w:rPr/>
        <w:t>anomalia</w:t>
      </w:r>
      <w:r>
        <w:rPr>
          <w:spacing w:val="-7"/>
        </w:rPr>
        <w:t> </w:t>
      </w:r>
      <w:r>
        <w:rPr/>
        <w:t>da</w:t>
      </w:r>
      <w:r>
        <w:rPr>
          <w:spacing w:val="-7"/>
        </w:rPr>
        <w:t> </w:t>
      </w:r>
      <w:r>
        <w:rPr/>
        <w:t>artéria coronária esquerda. Quando esta é transitória, pode causar disfunção temporária do músculo papilar durante episódio de angina. A dilatação do ventrículo pode alterar a relação espacial entre músculos e cordas, levando à insuficiência mitral. A necrose do músculo é complicação grave do infarto agudo do miocárdio. A insuficiência mitral pode ocorrer em 30% das coronariopatias com indicação cirúrgica.</w:t>
      </w:r>
    </w:p>
    <w:p>
      <w:pPr>
        <w:pStyle w:val="BodyText"/>
        <w:spacing w:line="276" w:lineRule="auto" w:before="11"/>
        <w:ind w:right="497" w:firstLine="0"/>
      </w:pPr>
      <w:r>
        <w:rPr>
          <w:rFonts w:ascii="Cambria" w:hAnsi="Cambria"/>
          <w:color w:val="5A5685"/>
        </w:rPr>
        <w:t>▶</w:t>
      </w:r>
      <w:r>
        <w:rPr>
          <w:rFonts w:ascii="Cambria" w:hAnsi="Cambria"/>
          <w:color w:val="5A5685"/>
          <w:spacing w:val="40"/>
        </w:rPr>
        <w:t> </w:t>
      </w:r>
      <w:r>
        <w:rPr>
          <w:rFonts w:ascii="Arial" w:hAnsi="Arial"/>
          <w:b/>
          <w:color w:val="5A5685"/>
        </w:rPr>
        <w:t>Miocárdio. </w:t>
      </w:r>
      <w:r>
        <w:rPr/>
        <w:t>O posicionamento adequado dos músculos papilares é fundamental para o fechamento da valva mitral. Por isso, processos que determinam a dilatação do miocárdio e afastam os músculos papilares de sua posição original podem, na contração ventricular, alterar a disposição adequada e, consequentemente, causar insuficiência mitral.</w:t>
      </w:r>
    </w:p>
    <w:p>
      <w:pPr>
        <w:pStyle w:val="BodyText"/>
        <w:spacing w:line="276" w:lineRule="auto" w:before="63"/>
        <w:ind w:right="491"/>
      </w:pPr>
      <w:r>
        <w:rPr/>
        <w:t>Acredita-se que a dilatação do coração leve a alargamento do anel mitral; entretanto, em muitos casos com grande dilatação cardíaca, a área do anel pode permanecer normal; assim, pode-se justificar nesses casos que a causa</w:t>
      </w:r>
      <w:r>
        <w:rPr>
          <w:spacing w:val="-2"/>
        </w:rPr>
        <w:t> </w:t>
      </w:r>
      <w:r>
        <w:rPr/>
        <w:t>da</w:t>
      </w:r>
      <w:r>
        <w:rPr>
          <w:spacing w:val="-2"/>
        </w:rPr>
        <w:t> </w:t>
      </w:r>
      <w:r>
        <w:rPr/>
        <w:t>insuficiência</w:t>
      </w:r>
      <w:r>
        <w:rPr>
          <w:spacing w:val="-2"/>
        </w:rPr>
        <w:t> </w:t>
      </w:r>
      <w:r>
        <w:rPr/>
        <w:t>seja</w:t>
      </w:r>
      <w:r>
        <w:rPr>
          <w:spacing w:val="-2"/>
        </w:rPr>
        <w:t> </w:t>
      </w:r>
      <w:r>
        <w:rPr/>
        <w:t>a</w:t>
      </w:r>
      <w:r>
        <w:rPr>
          <w:spacing w:val="-2"/>
        </w:rPr>
        <w:t> </w:t>
      </w:r>
      <w:r>
        <w:rPr/>
        <w:t>alteração na</w:t>
      </w:r>
      <w:r>
        <w:rPr>
          <w:spacing w:val="-2"/>
        </w:rPr>
        <w:t> </w:t>
      </w:r>
      <w:r>
        <w:rPr/>
        <w:t>geometria</w:t>
      </w:r>
      <w:r>
        <w:rPr>
          <w:spacing w:val="-2"/>
        </w:rPr>
        <w:t> </w:t>
      </w:r>
      <w:r>
        <w:rPr/>
        <w:t>espacial da</w:t>
      </w:r>
      <w:r>
        <w:rPr>
          <w:spacing w:val="-2"/>
        </w:rPr>
        <w:t> </w:t>
      </w:r>
      <w:r>
        <w:rPr/>
        <w:t>valva</w:t>
      </w:r>
      <w:r>
        <w:rPr>
          <w:spacing w:val="-2"/>
        </w:rPr>
        <w:t> </w:t>
      </w:r>
      <w:r>
        <w:rPr/>
        <w:t>durante</w:t>
      </w:r>
      <w:r>
        <w:rPr>
          <w:spacing w:val="-2"/>
        </w:rPr>
        <w:t> </w:t>
      </w:r>
      <w:r>
        <w:rPr/>
        <w:t>a</w:t>
      </w:r>
      <w:r>
        <w:rPr>
          <w:spacing w:val="-2"/>
        </w:rPr>
        <w:t> </w:t>
      </w:r>
      <w:r>
        <w:rPr/>
        <w:t>contração.</w:t>
      </w:r>
    </w:p>
    <w:p>
      <w:pPr>
        <w:pStyle w:val="BodyText"/>
        <w:spacing w:line="276" w:lineRule="auto" w:before="64"/>
        <w:ind w:right="498"/>
      </w:pPr>
      <w:r>
        <w:rPr/>
        <w:t>Na</w:t>
      </w:r>
      <w:r>
        <w:rPr>
          <w:spacing w:val="-3"/>
        </w:rPr>
        <w:t> </w:t>
      </w:r>
      <w:r>
        <w:rPr/>
        <w:t>cardiomiopatia</w:t>
      </w:r>
      <w:r>
        <w:rPr>
          <w:spacing w:val="-3"/>
        </w:rPr>
        <w:t> </w:t>
      </w:r>
      <w:r>
        <w:rPr/>
        <w:t>consequente</w:t>
      </w:r>
      <w:r>
        <w:rPr>
          <w:spacing w:val="-3"/>
        </w:rPr>
        <w:t> </w:t>
      </w:r>
      <w:r>
        <w:rPr/>
        <w:t>à</w:t>
      </w:r>
      <w:r>
        <w:rPr>
          <w:spacing w:val="-3"/>
        </w:rPr>
        <w:t> </w:t>
      </w:r>
      <w:r>
        <w:rPr/>
        <w:t>insuficiência</w:t>
      </w:r>
      <w:r>
        <w:rPr>
          <w:spacing w:val="-3"/>
        </w:rPr>
        <w:t> </w:t>
      </w:r>
      <w:r>
        <w:rPr/>
        <w:t>coronária</w:t>
      </w:r>
      <w:r>
        <w:rPr>
          <w:spacing w:val="-3"/>
        </w:rPr>
        <w:t> </w:t>
      </w:r>
      <w:r>
        <w:rPr/>
        <w:t>e</w:t>
      </w:r>
      <w:r>
        <w:rPr>
          <w:spacing w:val="-3"/>
        </w:rPr>
        <w:t> </w:t>
      </w:r>
      <w:r>
        <w:rPr/>
        <w:t>na</w:t>
      </w:r>
      <w:r>
        <w:rPr>
          <w:spacing w:val="-3"/>
        </w:rPr>
        <w:t> </w:t>
      </w:r>
      <w:r>
        <w:rPr/>
        <w:t>doença</w:t>
      </w:r>
      <w:r>
        <w:rPr>
          <w:spacing w:val="-3"/>
        </w:rPr>
        <w:t> </w:t>
      </w:r>
      <w:r>
        <w:rPr/>
        <w:t>de</w:t>
      </w:r>
      <w:r>
        <w:rPr>
          <w:spacing w:val="-3"/>
        </w:rPr>
        <w:t> </w:t>
      </w:r>
      <w:r>
        <w:rPr/>
        <w:t>Chagas, a</w:t>
      </w:r>
      <w:r>
        <w:rPr>
          <w:spacing w:val="-3"/>
        </w:rPr>
        <w:t> </w:t>
      </w:r>
      <w:r>
        <w:rPr/>
        <w:t>insuficiência</w:t>
      </w:r>
      <w:r>
        <w:rPr>
          <w:spacing w:val="-3"/>
        </w:rPr>
        <w:t> </w:t>
      </w:r>
      <w:r>
        <w:rPr/>
        <w:t>mitral pode</w:t>
      </w:r>
      <w:r>
        <w:rPr>
          <w:spacing w:val="-3"/>
        </w:rPr>
        <w:t> </w:t>
      </w:r>
      <w:r>
        <w:rPr/>
        <w:t>ser decorrente de alteração localizada da contração.</w:t>
      </w:r>
    </w:p>
    <w:p>
      <w:pPr>
        <w:pStyle w:val="BodyText"/>
        <w:spacing w:before="118"/>
        <w:ind w:left="0" w:firstLine="0"/>
        <w:jc w:val="left"/>
      </w:pPr>
    </w:p>
    <w:p>
      <w:pPr>
        <w:pStyle w:val="Heading5"/>
      </w:pPr>
      <w:r>
        <w:rPr>
          <w:color w:val="A26108"/>
          <w:spacing w:val="-2"/>
        </w:rPr>
        <w:t>Fisiopatologia</w:t>
      </w:r>
    </w:p>
    <w:p>
      <w:pPr>
        <w:pStyle w:val="BodyText"/>
        <w:spacing w:line="276" w:lineRule="auto" w:before="138"/>
        <w:ind w:right="491"/>
      </w:pPr>
      <w:r>
        <w:rPr/>
        <w:t>O</w:t>
      </w:r>
      <w:r>
        <w:rPr>
          <w:spacing w:val="-4"/>
        </w:rPr>
        <w:t> </w:t>
      </w:r>
      <w:r>
        <w:rPr/>
        <w:t>volume</w:t>
      </w:r>
      <w:r>
        <w:rPr>
          <w:spacing w:val="-4"/>
        </w:rPr>
        <w:t> </w:t>
      </w:r>
      <w:r>
        <w:rPr/>
        <w:t>regurgitante</w:t>
      </w:r>
      <w:r>
        <w:rPr>
          <w:spacing w:val="-4"/>
        </w:rPr>
        <w:t> </w:t>
      </w:r>
      <w:r>
        <w:rPr/>
        <w:t>é</w:t>
      </w:r>
      <w:r>
        <w:rPr>
          <w:spacing w:val="-4"/>
        </w:rPr>
        <w:t> </w:t>
      </w:r>
      <w:r>
        <w:rPr/>
        <w:t>ejetado</w:t>
      </w:r>
      <w:r>
        <w:rPr>
          <w:spacing w:val="-2"/>
        </w:rPr>
        <w:t> </w:t>
      </w:r>
      <w:r>
        <w:rPr/>
        <w:t>ao</w:t>
      </w:r>
      <w:r>
        <w:rPr>
          <w:spacing w:val="-2"/>
        </w:rPr>
        <w:t> </w:t>
      </w:r>
      <w:r>
        <w:rPr/>
        <w:t>átrio</w:t>
      </w:r>
      <w:r>
        <w:rPr>
          <w:spacing w:val="-2"/>
        </w:rPr>
        <w:t> </w:t>
      </w:r>
      <w:r>
        <w:rPr/>
        <w:t>esquerdo</w:t>
      </w:r>
      <w:r>
        <w:rPr>
          <w:spacing w:val="-2"/>
        </w:rPr>
        <w:t> </w:t>
      </w:r>
      <w:r>
        <w:rPr/>
        <w:t>antes da</w:t>
      </w:r>
      <w:r>
        <w:rPr>
          <w:spacing w:val="-4"/>
        </w:rPr>
        <w:t> </w:t>
      </w:r>
      <w:r>
        <w:rPr/>
        <w:t>abertura</w:t>
      </w:r>
      <w:r>
        <w:rPr>
          <w:spacing w:val="-4"/>
        </w:rPr>
        <w:t> </w:t>
      </w:r>
      <w:r>
        <w:rPr/>
        <w:t>da</w:t>
      </w:r>
      <w:r>
        <w:rPr>
          <w:spacing w:val="-4"/>
        </w:rPr>
        <w:t> </w:t>
      </w:r>
      <w:r>
        <w:rPr/>
        <w:t>valva</w:t>
      </w:r>
      <w:r>
        <w:rPr>
          <w:spacing w:val="-4"/>
        </w:rPr>
        <w:t> </w:t>
      </w:r>
      <w:r>
        <w:rPr/>
        <w:t>aórtica</w:t>
      </w:r>
      <w:r>
        <w:rPr>
          <w:spacing w:val="-4"/>
        </w:rPr>
        <w:t> </w:t>
      </w:r>
      <w:r>
        <w:rPr/>
        <w:t>e</w:t>
      </w:r>
      <w:r>
        <w:rPr>
          <w:spacing w:val="-4"/>
        </w:rPr>
        <w:t> </w:t>
      </w:r>
      <w:r>
        <w:rPr/>
        <w:t>depende</w:t>
      </w:r>
      <w:r>
        <w:rPr>
          <w:spacing w:val="-4"/>
        </w:rPr>
        <w:t> </w:t>
      </w:r>
      <w:r>
        <w:rPr/>
        <w:t>da</w:t>
      </w:r>
      <w:r>
        <w:rPr>
          <w:spacing w:val="-4"/>
        </w:rPr>
        <w:t> </w:t>
      </w:r>
      <w:r>
        <w:rPr/>
        <w:t>resistência</w:t>
      </w:r>
      <w:r>
        <w:rPr>
          <w:spacing w:val="-4"/>
        </w:rPr>
        <w:t> </w:t>
      </w:r>
      <w:r>
        <w:rPr/>
        <w:t>ao esvaziamento</w:t>
      </w:r>
      <w:r>
        <w:rPr>
          <w:spacing w:val="-6"/>
        </w:rPr>
        <w:t> </w:t>
      </w:r>
      <w:r>
        <w:rPr/>
        <w:t>ventricular</w:t>
      </w:r>
      <w:r>
        <w:rPr>
          <w:spacing w:val="-2"/>
        </w:rPr>
        <w:t> </w:t>
      </w:r>
      <w:r>
        <w:rPr/>
        <w:t>esquerdo, sendo, assim, aumentado</w:t>
      </w:r>
      <w:r>
        <w:rPr>
          <w:spacing w:val="-6"/>
        </w:rPr>
        <w:t> </w:t>
      </w:r>
      <w:r>
        <w:rPr/>
        <w:t>pela</w:t>
      </w:r>
      <w:r>
        <w:rPr>
          <w:spacing w:val="-10"/>
        </w:rPr>
        <w:t> </w:t>
      </w:r>
      <w:r>
        <w:rPr/>
        <w:t>estenose</w:t>
      </w:r>
      <w:r>
        <w:rPr>
          <w:spacing w:val="-10"/>
        </w:rPr>
        <w:t> </w:t>
      </w:r>
      <w:r>
        <w:rPr/>
        <w:t>aórtica</w:t>
      </w:r>
      <w:r>
        <w:rPr>
          <w:spacing w:val="-10"/>
        </w:rPr>
        <w:t> </w:t>
      </w:r>
      <w:r>
        <w:rPr/>
        <w:t>(EAo), tamanho</w:t>
      </w:r>
      <w:r>
        <w:rPr>
          <w:spacing w:val="-6"/>
        </w:rPr>
        <w:t> </w:t>
      </w:r>
      <w:r>
        <w:rPr/>
        <w:t>do</w:t>
      </w:r>
      <w:r>
        <w:rPr>
          <w:spacing w:val="-6"/>
        </w:rPr>
        <w:t> </w:t>
      </w:r>
      <w:r>
        <w:rPr/>
        <w:t>orifício, bem como pelo gradiente de pressão entre VE e átrio esquerdo. A pressão sistólica do VE e o gradiente dependem da resistência vascular sistêmica e do volume sistólico efetivo. O aumento tanto na pré-carga quanto na pós-carga e a diminuição</w:t>
      </w:r>
      <w:r>
        <w:rPr>
          <w:spacing w:val="-1"/>
        </w:rPr>
        <w:t> </w:t>
      </w:r>
      <w:r>
        <w:rPr/>
        <w:t>da</w:t>
      </w:r>
      <w:r>
        <w:rPr>
          <w:spacing w:val="-4"/>
        </w:rPr>
        <w:t> </w:t>
      </w:r>
      <w:r>
        <w:rPr/>
        <w:t>contratilidade</w:t>
      </w:r>
      <w:r>
        <w:rPr>
          <w:spacing w:val="-4"/>
        </w:rPr>
        <w:t> </w:t>
      </w:r>
      <w:r>
        <w:rPr/>
        <w:t>aumentam</w:t>
      </w:r>
      <w:r>
        <w:rPr>
          <w:spacing w:val="-1"/>
        </w:rPr>
        <w:t> </w:t>
      </w:r>
      <w:r>
        <w:rPr/>
        <w:t>o</w:t>
      </w:r>
      <w:r>
        <w:rPr>
          <w:spacing w:val="-1"/>
        </w:rPr>
        <w:t> </w:t>
      </w:r>
      <w:r>
        <w:rPr/>
        <w:t>tamanho</w:t>
      </w:r>
      <w:r>
        <w:rPr>
          <w:spacing w:val="-1"/>
        </w:rPr>
        <w:t> </w:t>
      </w:r>
      <w:r>
        <w:rPr/>
        <w:t>do</w:t>
      </w:r>
      <w:r>
        <w:rPr>
          <w:spacing w:val="-1"/>
        </w:rPr>
        <w:t> </w:t>
      </w:r>
      <w:r>
        <w:rPr/>
        <w:t>VE, alargam</w:t>
      </w:r>
      <w:r>
        <w:rPr>
          <w:spacing w:val="-1"/>
        </w:rPr>
        <w:t> </w:t>
      </w:r>
      <w:r>
        <w:rPr/>
        <w:t>o</w:t>
      </w:r>
      <w:r>
        <w:rPr>
          <w:spacing w:val="-1"/>
        </w:rPr>
        <w:t> </w:t>
      </w:r>
      <w:r>
        <w:rPr/>
        <w:t>anel mitral e</w:t>
      </w:r>
      <w:r>
        <w:rPr>
          <w:spacing w:val="-4"/>
        </w:rPr>
        <w:t> </w:t>
      </w:r>
      <w:r>
        <w:rPr/>
        <w:t>ampliam</w:t>
      </w:r>
      <w:r>
        <w:rPr>
          <w:spacing w:val="-1"/>
        </w:rPr>
        <w:t> </w:t>
      </w:r>
      <w:r>
        <w:rPr/>
        <w:t>o</w:t>
      </w:r>
      <w:r>
        <w:rPr>
          <w:spacing w:val="-1"/>
        </w:rPr>
        <w:t> </w:t>
      </w:r>
      <w:r>
        <w:rPr/>
        <w:t>orifício</w:t>
      </w:r>
      <w:r>
        <w:rPr>
          <w:spacing w:val="-1"/>
        </w:rPr>
        <w:t> </w:t>
      </w:r>
      <w:r>
        <w:rPr/>
        <w:t>regurgitante.</w:t>
      </w:r>
    </w:p>
    <w:p>
      <w:pPr>
        <w:pStyle w:val="BodyText"/>
        <w:spacing w:line="276" w:lineRule="auto"/>
        <w:ind w:right="498"/>
      </w:pPr>
      <w:r>
        <w:rPr/>
        <w:t>A redução da carga ventricular permite que maior proporção de energia contrátil seja gasta no encurtamento, explicando como o VE pode adaptar-se à carga imposta pela insuficiência mitral, aumentando seu débito cardíaco total.</w:t>
      </w:r>
      <w:r>
        <w:rPr>
          <w:spacing w:val="-2"/>
        </w:rPr>
        <w:t> </w:t>
      </w:r>
      <w:r>
        <w:rPr/>
        <w:t>No</w:t>
      </w:r>
      <w:r>
        <w:rPr>
          <w:spacing w:val="-9"/>
        </w:rPr>
        <w:t> </w:t>
      </w:r>
      <w:r>
        <w:rPr/>
        <w:t>início</w:t>
      </w:r>
      <w:r>
        <w:rPr>
          <w:spacing w:val="-9"/>
        </w:rPr>
        <w:t> </w:t>
      </w:r>
      <w:r>
        <w:rPr/>
        <w:t>da</w:t>
      </w:r>
      <w:r>
        <w:rPr>
          <w:spacing w:val="-11"/>
        </w:rPr>
        <w:t> </w:t>
      </w:r>
      <w:r>
        <w:rPr/>
        <w:t>insuficiência</w:t>
      </w:r>
      <w:r>
        <w:rPr>
          <w:spacing w:val="-11"/>
        </w:rPr>
        <w:t> </w:t>
      </w:r>
      <w:r>
        <w:rPr/>
        <w:t>mitral</w:t>
      </w:r>
      <w:r>
        <w:rPr>
          <w:spacing w:val="-7"/>
        </w:rPr>
        <w:t> </w:t>
      </w:r>
      <w:r>
        <w:rPr/>
        <w:t>o</w:t>
      </w:r>
      <w:r>
        <w:rPr>
          <w:spacing w:val="-9"/>
        </w:rPr>
        <w:t> </w:t>
      </w:r>
      <w:r>
        <w:rPr/>
        <w:t>débito</w:t>
      </w:r>
      <w:r>
        <w:rPr>
          <w:spacing w:val="-9"/>
        </w:rPr>
        <w:t> </w:t>
      </w:r>
      <w:r>
        <w:rPr/>
        <w:t>cardíaco</w:t>
      </w:r>
      <w:r>
        <w:rPr>
          <w:spacing w:val="-9"/>
        </w:rPr>
        <w:t> </w:t>
      </w:r>
      <w:r>
        <w:rPr/>
        <w:t>mantém-se</w:t>
      </w:r>
      <w:r>
        <w:rPr>
          <w:spacing w:val="-11"/>
        </w:rPr>
        <w:t> </w:t>
      </w:r>
      <w:r>
        <w:rPr/>
        <w:t>adequado</w:t>
      </w:r>
      <w:r>
        <w:rPr>
          <w:spacing w:val="-9"/>
        </w:rPr>
        <w:t> </w:t>
      </w:r>
      <w:r>
        <w:rPr/>
        <w:t>graças</w:t>
      </w:r>
      <w:r>
        <w:rPr>
          <w:spacing w:val="-2"/>
        </w:rPr>
        <w:t> </w:t>
      </w:r>
      <w:r>
        <w:rPr/>
        <w:t>à</w:t>
      </w:r>
      <w:r>
        <w:rPr>
          <w:spacing w:val="-11"/>
        </w:rPr>
        <w:t> </w:t>
      </w:r>
      <w:r>
        <w:rPr/>
        <w:t>grande</w:t>
      </w:r>
      <w:r>
        <w:rPr>
          <w:spacing w:val="-11"/>
        </w:rPr>
        <w:t> </w:t>
      </w:r>
      <w:r>
        <w:rPr/>
        <w:t>quantidade</w:t>
      </w:r>
      <w:r>
        <w:rPr>
          <w:spacing w:val="-11"/>
        </w:rPr>
        <w:t> </w:t>
      </w:r>
      <w:r>
        <w:rPr/>
        <w:t>de</w:t>
      </w:r>
      <w:r>
        <w:rPr>
          <w:spacing w:val="-11"/>
        </w:rPr>
        <w:t> </w:t>
      </w:r>
      <w:r>
        <w:rPr/>
        <w:t>volume no</w:t>
      </w:r>
      <w:r>
        <w:rPr>
          <w:spacing w:val="-8"/>
        </w:rPr>
        <w:t> </w:t>
      </w:r>
      <w:r>
        <w:rPr/>
        <w:t>VE. Essa</w:t>
      </w:r>
      <w:r>
        <w:rPr>
          <w:spacing w:val="-11"/>
        </w:rPr>
        <w:t> </w:t>
      </w:r>
      <w:r>
        <w:rPr/>
        <w:t>situação</w:t>
      </w:r>
      <w:r>
        <w:rPr>
          <w:spacing w:val="-8"/>
        </w:rPr>
        <w:t> </w:t>
      </w:r>
      <w:r>
        <w:rPr/>
        <w:t>pode, muitas vezes, mascarar</w:t>
      </w:r>
      <w:r>
        <w:rPr>
          <w:spacing w:val="-4"/>
        </w:rPr>
        <w:t> </w:t>
      </w:r>
      <w:r>
        <w:rPr/>
        <w:t>um</w:t>
      </w:r>
      <w:r>
        <w:rPr>
          <w:spacing w:val="-8"/>
        </w:rPr>
        <w:t> </w:t>
      </w:r>
      <w:r>
        <w:rPr/>
        <w:t>comprometimento</w:t>
      </w:r>
      <w:r>
        <w:rPr>
          <w:spacing w:val="-8"/>
        </w:rPr>
        <w:t> </w:t>
      </w:r>
      <w:r>
        <w:rPr/>
        <w:t>miocárdico. À</w:t>
      </w:r>
      <w:r>
        <w:rPr>
          <w:spacing w:val="-11"/>
        </w:rPr>
        <w:t> </w:t>
      </w:r>
      <w:r>
        <w:rPr/>
        <w:t>medida</w:t>
      </w:r>
      <w:r>
        <w:rPr>
          <w:spacing w:val="-11"/>
        </w:rPr>
        <w:t> </w:t>
      </w:r>
      <w:r>
        <w:rPr/>
        <w:t>que</w:t>
      </w:r>
      <w:r>
        <w:rPr>
          <w:spacing w:val="-11"/>
        </w:rPr>
        <w:t> </w:t>
      </w:r>
      <w:r>
        <w:rPr/>
        <w:t>a</w:t>
      </w:r>
      <w:r>
        <w:rPr>
          <w:spacing w:val="-11"/>
        </w:rPr>
        <w:t> </w:t>
      </w:r>
      <w:r>
        <w:rPr/>
        <w:t>insuficiência mitral</w:t>
      </w:r>
      <w:r>
        <w:rPr>
          <w:spacing w:val="-2"/>
        </w:rPr>
        <w:t> </w:t>
      </w:r>
      <w:r>
        <w:rPr/>
        <w:t>persiste, o</w:t>
      </w:r>
      <w:r>
        <w:rPr>
          <w:spacing w:val="-5"/>
        </w:rPr>
        <w:t> </w:t>
      </w:r>
      <w:r>
        <w:rPr/>
        <w:t>volume</w:t>
      </w:r>
      <w:r>
        <w:rPr>
          <w:spacing w:val="-7"/>
        </w:rPr>
        <w:t> </w:t>
      </w:r>
      <w:r>
        <w:rPr/>
        <w:t>diastólico</w:t>
      </w:r>
      <w:r>
        <w:rPr>
          <w:spacing w:val="-5"/>
        </w:rPr>
        <w:t> </w:t>
      </w:r>
      <w:r>
        <w:rPr/>
        <w:t>final</w:t>
      </w:r>
      <w:r>
        <w:rPr>
          <w:spacing w:val="-2"/>
        </w:rPr>
        <w:t> </w:t>
      </w:r>
      <w:r>
        <w:rPr/>
        <w:t>do</w:t>
      </w:r>
      <w:r>
        <w:rPr>
          <w:spacing w:val="-5"/>
        </w:rPr>
        <w:t> </w:t>
      </w:r>
      <w:r>
        <w:rPr/>
        <w:t>VE eleva-se</w:t>
      </w:r>
      <w:r>
        <w:rPr>
          <w:spacing w:val="-7"/>
        </w:rPr>
        <w:t> </w:t>
      </w:r>
      <w:r>
        <w:rPr/>
        <w:t>ainda</w:t>
      </w:r>
      <w:r>
        <w:rPr>
          <w:spacing w:val="-7"/>
        </w:rPr>
        <w:t> </w:t>
      </w:r>
      <w:r>
        <w:rPr/>
        <w:t>mais, aumentando</w:t>
      </w:r>
      <w:r>
        <w:rPr>
          <w:spacing w:val="-5"/>
        </w:rPr>
        <w:t> </w:t>
      </w:r>
      <w:r>
        <w:rPr/>
        <w:t>o</w:t>
      </w:r>
      <w:r>
        <w:rPr>
          <w:spacing w:val="-5"/>
        </w:rPr>
        <w:t> </w:t>
      </w:r>
      <w:r>
        <w:rPr/>
        <w:t>anel</w:t>
      </w:r>
      <w:r>
        <w:rPr>
          <w:spacing w:val="-2"/>
        </w:rPr>
        <w:t> </w:t>
      </w:r>
      <w:r>
        <w:rPr/>
        <w:t>mitral</w:t>
      </w:r>
      <w:r>
        <w:rPr>
          <w:spacing w:val="-2"/>
        </w:rPr>
        <w:t> </w:t>
      </w:r>
      <w:r>
        <w:rPr/>
        <w:t>e</w:t>
      </w:r>
      <w:r>
        <w:rPr>
          <w:spacing w:val="-7"/>
        </w:rPr>
        <w:t> </w:t>
      </w:r>
      <w:r>
        <w:rPr/>
        <w:t>criando</w:t>
      </w:r>
      <w:r>
        <w:rPr>
          <w:spacing w:val="-5"/>
        </w:rPr>
        <w:t> </w:t>
      </w:r>
      <w:r>
        <w:rPr/>
        <w:t>um</w:t>
      </w:r>
      <w:r>
        <w:rPr>
          <w:spacing w:val="-5"/>
        </w:rPr>
        <w:t> </w:t>
      </w:r>
      <w:r>
        <w:rPr/>
        <w:t>círculo vicioso:</w:t>
      </w:r>
      <w:r>
        <w:rPr>
          <w:spacing w:val="-2"/>
        </w:rPr>
        <w:t> </w:t>
      </w:r>
      <w:r>
        <w:rPr/>
        <w:t>quanto</w:t>
      </w:r>
      <w:r>
        <w:rPr>
          <w:spacing w:val="-4"/>
        </w:rPr>
        <w:t> </w:t>
      </w:r>
      <w:r>
        <w:rPr/>
        <w:t>maior a</w:t>
      </w:r>
      <w:r>
        <w:rPr>
          <w:spacing w:val="-7"/>
        </w:rPr>
        <w:t> </w:t>
      </w:r>
      <w:r>
        <w:rPr/>
        <w:t>insuficiência</w:t>
      </w:r>
      <w:r>
        <w:rPr>
          <w:spacing w:val="-7"/>
        </w:rPr>
        <w:t> </w:t>
      </w:r>
      <w:r>
        <w:rPr/>
        <w:t>mitral, maiores serão</w:t>
      </w:r>
      <w:r>
        <w:rPr>
          <w:spacing w:val="-4"/>
        </w:rPr>
        <w:t> </w:t>
      </w:r>
      <w:r>
        <w:rPr/>
        <w:t>o</w:t>
      </w:r>
      <w:r>
        <w:rPr>
          <w:spacing w:val="-4"/>
        </w:rPr>
        <w:t> </w:t>
      </w:r>
      <w:r>
        <w:rPr/>
        <w:t>volume</w:t>
      </w:r>
      <w:r>
        <w:rPr>
          <w:spacing w:val="-7"/>
        </w:rPr>
        <w:t> </w:t>
      </w:r>
      <w:r>
        <w:rPr/>
        <w:t>diastólico</w:t>
      </w:r>
      <w:r>
        <w:rPr>
          <w:spacing w:val="-4"/>
        </w:rPr>
        <w:t> </w:t>
      </w:r>
      <w:r>
        <w:rPr/>
        <w:t>final, o</w:t>
      </w:r>
      <w:r>
        <w:rPr>
          <w:spacing w:val="-4"/>
        </w:rPr>
        <w:t> </w:t>
      </w:r>
      <w:r>
        <w:rPr/>
        <w:t>anel</w:t>
      </w:r>
      <w:r>
        <w:rPr>
          <w:spacing w:val="-2"/>
        </w:rPr>
        <w:t> </w:t>
      </w:r>
      <w:r>
        <w:rPr/>
        <w:t>mitral</w:t>
      </w:r>
      <w:r>
        <w:rPr>
          <w:spacing w:val="-2"/>
        </w:rPr>
        <w:t> </w:t>
      </w:r>
      <w:r>
        <w:rPr/>
        <w:t>e</w:t>
      </w:r>
      <w:r>
        <w:rPr>
          <w:spacing w:val="-7"/>
        </w:rPr>
        <w:t> </w:t>
      </w:r>
      <w:r>
        <w:rPr/>
        <w:t>a</w:t>
      </w:r>
      <w:r>
        <w:rPr>
          <w:spacing w:val="-7"/>
        </w:rPr>
        <w:t> </w:t>
      </w:r>
      <w:r>
        <w:rPr/>
        <w:t>insuficiência.</w:t>
      </w:r>
    </w:p>
    <w:p>
      <w:pPr>
        <w:pStyle w:val="BodyText"/>
        <w:spacing w:line="276" w:lineRule="auto" w:before="49"/>
        <w:ind w:right="502"/>
      </w:pPr>
      <w:r>
        <w:rPr/>
        <w:t>Nos pacientes com insuficiência mitral, apesar de seu débito cardíaco total muito elevado, o efetivo, ou seja, aquele que vai para a aorta, pode estar diminuído.</w:t>
      </w:r>
    </w:p>
    <w:p>
      <w:pPr>
        <w:pStyle w:val="BodyText"/>
        <w:spacing w:line="276" w:lineRule="auto" w:before="64"/>
        <w:ind w:right="488"/>
      </w:pPr>
      <w:r>
        <w:rPr/>
        <w:t>Na insuficiência mitral aguda, não há tempo para haver adaptação do músculo cardíaco e o aumento súbito de volume causa elevação da pressão no átrio e VE e, ao contrário da insuficiência mitral crônica, pode levar à morte em poucos dias. Na insuficiência mitral crônica, o aumento progressivo do volume diastólico final leva à sobrecarga excêntrica, não favorecendo a elevação da pressão diastólica final. Em consequência, só tardiamente ocorre hipertensão capilar pulmonar.</w:t>
      </w:r>
    </w:p>
    <w:p>
      <w:pPr>
        <w:pStyle w:val="BodyText"/>
        <w:spacing w:before="25"/>
        <w:ind w:left="0" w:firstLine="0"/>
        <w:jc w:val="left"/>
      </w:pPr>
    </w:p>
    <w:p>
      <w:pPr>
        <w:pStyle w:val="Heading7"/>
      </w:pPr>
      <w:r>
        <w:rPr>
          <w:color w:val="242B67"/>
        </w:rPr>
        <w:t>Fase de </w:t>
      </w:r>
      <w:r>
        <w:rPr>
          <w:color w:val="242B67"/>
          <w:spacing w:val="-2"/>
        </w:rPr>
        <w:t>compensação</w:t>
      </w:r>
    </w:p>
    <w:p>
      <w:pPr>
        <w:pStyle w:val="BodyText"/>
        <w:spacing w:line="276" w:lineRule="auto" w:before="126"/>
        <w:ind w:right="491"/>
      </w:pPr>
      <w:r>
        <w:rPr/>
        <w:t>A passagem do sangue para o átrio esquerdo contribui para a manutenção da função ventricular, porém, o próprio aumento do átrio esquerdo, ao deslocar o folheto posterior, pode</w:t>
      </w:r>
      <w:r>
        <w:rPr>
          <w:spacing w:val="-2"/>
        </w:rPr>
        <w:t> </w:t>
      </w:r>
      <w:r>
        <w:rPr/>
        <w:t>acentuar o grau de</w:t>
      </w:r>
      <w:r>
        <w:rPr>
          <w:spacing w:val="-2"/>
        </w:rPr>
        <w:t> </w:t>
      </w:r>
      <w:r>
        <w:rPr/>
        <w:t>insuficiência.</w:t>
      </w:r>
    </w:p>
    <w:p>
      <w:pPr>
        <w:pStyle w:val="BodyText"/>
        <w:spacing w:before="49"/>
        <w:ind w:left="414" w:firstLine="0"/>
        <w:jc w:val="left"/>
      </w:pPr>
      <w:r>
        <w:rPr/>
        <w:t>Na</w:t>
      </w:r>
      <w:r>
        <w:rPr>
          <w:spacing w:val="29"/>
        </w:rPr>
        <w:t> </w:t>
      </w:r>
      <w:r>
        <w:rPr/>
        <w:t>insuficiência</w:t>
      </w:r>
      <w:r>
        <w:rPr>
          <w:spacing w:val="32"/>
        </w:rPr>
        <w:t> </w:t>
      </w:r>
      <w:r>
        <w:rPr/>
        <w:t>compensada,</w:t>
      </w:r>
      <w:r>
        <w:rPr>
          <w:spacing w:val="43"/>
        </w:rPr>
        <w:t> </w:t>
      </w:r>
      <w:r>
        <w:rPr/>
        <w:t>o</w:t>
      </w:r>
      <w:r>
        <w:rPr>
          <w:spacing w:val="34"/>
        </w:rPr>
        <w:t> </w:t>
      </w:r>
      <w:r>
        <w:rPr/>
        <w:t>átrio</w:t>
      </w:r>
      <w:r>
        <w:rPr>
          <w:spacing w:val="35"/>
        </w:rPr>
        <w:t> </w:t>
      </w:r>
      <w:r>
        <w:rPr/>
        <w:t>esquerdo</w:t>
      </w:r>
      <w:r>
        <w:rPr>
          <w:spacing w:val="35"/>
        </w:rPr>
        <w:t> </w:t>
      </w:r>
      <w:r>
        <w:rPr/>
        <w:t>está</w:t>
      </w:r>
      <w:r>
        <w:rPr>
          <w:spacing w:val="31"/>
        </w:rPr>
        <w:t> </w:t>
      </w:r>
      <w:r>
        <w:rPr/>
        <w:t>aumentado,</w:t>
      </w:r>
      <w:r>
        <w:rPr>
          <w:spacing w:val="43"/>
        </w:rPr>
        <w:t> </w:t>
      </w:r>
      <w:r>
        <w:rPr/>
        <w:t>a</w:t>
      </w:r>
      <w:r>
        <w:rPr>
          <w:spacing w:val="32"/>
        </w:rPr>
        <w:t> </w:t>
      </w:r>
      <w:r>
        <w:rPr/>
        <w:t>parede</w:t>
      </w:r>
      <w:r>
        <w:rPr>
          <w:spacing w:val="32"/>
        </w:rPr>
        <w:t> </w:t>
      </w:r>
      <w:r>
        <w:rPr/>
        <w:t>é</w:t>
      </w:r>
      <w:r>
        <w:rPr>
          <w:spacing w:val="32"/>
        </w:rPr>
        <w:t> </w:t>
      </w:r>
      <w:r>
        <w:rPr/>
        <w:t>fina</w:t>
      </w:r>
      <w:r>
        <w:rPr>
          <w:spacing w:val="32"/>
        </w:rPr>
        <w:t> </w:t>
      </w:r>
      <w:r>
        <w:rPr/>
        <w:t>e</w:t>
      </w:r>
      <w:r>
        <w:rPr>
          <w:spacing w:val="31"/>
        </w:rPr>
        <w:t> </w:t>
      </w:r>
      <w:r>
        <w:rPr/>
        <w:t>a</w:t>
      </w:r>
      <w:r>
        <w:rPr>
          <w:spacing w:val="32"/>
        </w:rPr>
        <w:t> </w:t>
      </w:r>
      <w:r>
        <w:rPr/>
        <w:t>pressão</w:t>
      </w:r>
      <w:r>
        <w:rPr>
          <w:spacing w:val="35"/>
        </w:rPr>
        <w:t> </w:t>
      </w:r>
      <w:r>
        <w:rPr/>
        <w:t>e</w:t>
      </w:r>
      <w:r>
        <w:rPr>
          <w:spacing w:val="32"/>
        </w:rPr>
        <w:t> </w:t>
      </w:r>
      <w:r>
        <w:rPr/>
        <w:t>a</w:t>
      </w:r>
      <w:r>
        <w:rPr>
          <w:spacing w:val="32"/>
        </w:rPr>
        <w:t> </w:t>
      </w:r>
      <w:r>
        <w:rPr>
          <w:spacing w:val="-2"/>
        </w:rPr>
        <w:t>resistência</w:t>
      </w:r>
    </w:p>
    <w:p>
      <w:pPr>
        <w:pStyle w:val="BodyText"/>
        <w:spacing w:after="0"/>
        <w:jc w:val="left"/>
        <w:sectPr>
          <w:pgSz w:w="11900" w:h="16840"/>
          <w:pgMar w:top="220" w:bottom="280" w:left="566" w:right="141"/>
        </w:sectPr>
      </w:pPr>
    </w:p>
    <w:p>
      <w:pPr>
        <w:pStyle w:val="BodyText"/>
        <w:spacing w:line="276" w:lineRule="auto" w:before="75"/>
        <w:ind w:right="497" w:firstLine="0"/>
      </w:pPr>
      <w:r>
        <w:rPr/>
        <w:t>pulmonar pouco</w:t>
      </w:r>
      <w:r>
        <w:rPr>
          <w:spacing w:val="-5"/>
        </w:rPr>
        <w:t> </w:t>
      </w:r>
      <w:r>
        <w:rPr/>
        <w:t>se</w:t>
      </w:r>
      <w:r>
        <w:rPr>
          <w:spacing w:val="-7"/>
        </w:rPr>
        <w:t> </w:t>
      </w:r>
      <w:r>
        <w:rPr/>
        <w:t>elevam. A</w:t>
      </w:r>
      <w:r>
        <w:rPr>
          <w:spacing w:val="-7"/>
        </w:rPr>
        <w:t> </w:t>
      </w:r>
      <w:r>
        <w:rPr/>
        <w:t>elevação</w:t>
      </w:r>
      <w:r>
        <w:rPr>
          <w:spacing w:val="-5"/>
        </w:rPr>
        <w:t> </w:t>
      </w:r>
      <w:r>
        <w:rPr/>
        <w:t>da</w:t>
      </w:r>
      <w:r>
        <w:rPr>
          <w:spacing w:val="-7"/>
        </w:rPr>
        <w:t> </w:t>
      </w:r>
      <w:r>
        <w:rPr/>
        <w:t>pressão</w:t>
      </w:r>
      <w:r>
        <w:rPr>
          <w:spacing w:val="-5"/>
        </w:rPr>
        <w:t> </w:t>
      </w:r>
      <w:r>
        <w:rPr/>
        <w:t>diastólica</w:t>
      </w:r>
      <w:r>
        <w:rPr>
          <w:spacing w:val="-7"/>
        </w:rPr>
        <w:t> </w:t>
      </w:r>
      <w:r>
        <w:rPr/>
        <w:t>final</w:t>
      </w:r>
      <w:r>
        <w:rPr>
          <w:spacing w:val="-2"/>
        </w:rPr>
        <w:t> </w:t>
      </w:r>
      <w:r>
        <w:rPr/>
        <w:t>do</w:t>
      </w:r>
      <w:r>
        <w:rPr>
          <w:spacing w:val="-5"/>
        </w:rPr>
        <w:t> </w:t>
      </w:r>
      <w:r>
        <w:rPr/>
        <w:t>VE estimula</w:t>
      </w:r>
      <w:r>
        <w:rPr>
          <w:spacing w:val="-7"/>
        </w:rPr>
        <w:t> </w:t>
      </w:r>
      <w:r>
        <w:rPr/>
        <w:t>a</w:t>
      </w:r>
      <w:r>
        <w:rPr>
          <w:spacing w:val="-7"/>
        </w:rPr>
        <w:t> </w:t>
      </w:r>
      <w:r>
        <w:rPr/>
        <w:t>síntese</w:t>
      </w:r>
      <w:r>
        <w:rPr>
          <w:spacing w:val="-7"/>
        </w:rPr>
        <w:t> </w:t>
      </w:r>
      <w:r>
        <w:rPr/>
        <w:t>de</w:t>
      </w:r>
      <w:r>
        <w:rPr>
          <w:spacing w:val="-7"/>
        </w:rPr>
        <w:t> </w:t>
      </w:r>
      <w:r>
        <w:rPr/>
        <w:t>sarcômeros em</w:t>
      </w:r>
      <w:r>
        <w:rPr>
          <w:spacing w:val="-5"/>
        </w:rPr>
        <w:t> </w:t>
      </w:r>
      <w:r>
        <w:rPr/>
        <w:t>série, produzindo a hipertrofia excêntrica, que é o aumento da espessura da parede do VE, associado a ampliação do diâmetro interno. Esse</w:t>
      </w:r>
      <w:r>
        <w:rPr>
          <w:spacing w:val="-3"/>
        </w:rPr>
        <w:t> </w:t>
      </w:r>
      <w:r>
        <w:rPr/>
        <w:t>mecanismo supre</w:t>
      </w:r>
      <w:r>
        <w:rPr>
          <w:spacing w:val="-3"/>
        </w:rPr>
        <w:t> </w:t>
      </w:r>
      <w:r>
        <w:rPr/>
        <w:t>as exigências normais, por longo período, ao mesmo tempo que</w:t>
      </w:r>
      <w:r>
        <w:rPr>
          <w:spacing w:val="-3"/>
        </w:rPr>
        <w:t> </w:t>
      </w:r>
      <w:r>
        <w:rPr/>
        <w:t>o próprio aumento da câmara amplia a área de regurgitação. A resistência periférica nas fases iniciais da insuficiência mitral está</w:t>
      </w:r>
      <w:r>
        <w:rPr>
          <w:spacing w:val="-8"/>
        </w:rPr>
        <w:t> </w:t>
      </w:r>
      <w:r>
        <w:rPr/>
        <w:t>diminuída, talvez</w:t>
      </w:r>
      <w:r>
        <w:rPr>
          <w:spacing w:val="-8"/>
        </w:rPr>
        <w:t> </w:t>
      </w:r>
      <w:r>
        <w:rPr/>
        <w:t>em</w:t>
      </w:r>
      <w:r>
        <w:rPr>
          <w:spacing w:val="-6"/>
        </w:rPr>
        <w:t> </w:t>
      </w:r>
      <w:r>
        <w:rPr/>
        <w:t>decorrência</w:t>
      </w:r>
      <w:r>
        <w:rPr>
          <w:spacing w:val="-8"/>
        </w:rPr>
        <w:t> </w:t>
      </w:r>
      <w:r>
        <w:rPr/>
        <w:t>de</w:t>
      </w:r>
      <w:r>
        <w:rPr>
          <w:spacing w:val="-8"/>
        </w:rPr>
        <w:t> </w:t>
      </w:r>
      <w:r>
        <w:rPr/>
        <w:t>mecanorreceptores ventriculares, ativados pelo</w:t>
      </w:r>
      <w:r>
        <w:rPr>
          <w:spacing w:val="-5"/>
        </w:rPr>
        <w:t> </w:t>
      </w:r>
      <w:r>
        <w:rPr/>
        <w:t>aumento</w:t>
      </w:r>
      <w:r>
        <w:rPr>
          <w:spacing w:val="-5"/>
        </w:rPr>
        <w:t> </w:t>
      </w:r>
      <w:r>
        <w:rPr/>
        <w:t>da</w:t>
      </w:r>
      <w:r>
        <w:rPr>
          <w:spacing w:val="-8"/>
        </w:rPr>
        <w:t> </w:t>
      </w:r>
      <w:r>
        <w:rPr/>
        <w:t>contratilidade, induzindo à vasodilatação reflexa. No paciente com hipertensão arterial sistêmica e, portanto, com resistência aórtica elevada, a regurgitação torna-se acentuada.</w:t>
      </w:r>
    </w:p>
    <w:p>
      <w:pPr>
        <w:pStyle w:val="BodyText"/>
        <w:spacing w:line="276" w:lineRule="auto" w:before="73"/>
        <w:ind w:right="491"/>
      </w:pPr>
      <w:r>
        <w:rPr/>
        <w:t>À medida que a pressão diastólica final do VE se eleva, há dilatação; em razão de distensão do sarcômero, ou miofibrilas, que</w:t>
      </w:r>
      <w:r>
        <w:rPr>
          <w:spacing w:val="-3"/>
        </w:rPr>
        <w:t> </w:t>
      </w:r>
      <w:r>
        <w:rPr/>
        <w:t>aumenta</w:t>
      </w:r>
      <w:r>
        <w:rPr>
          <w:spacing w:val="-3"/>
        </w:rPr>
        <w:t> </w:t>
      </w:r>
      <w:r>
        <w:rPr/>
        <w:t>a</w:t>
      </w:r>
      <w:r>
        <w:rPr>
          <w:spacing w:val="-3"/>
        </w:rPr>
        <w:t> </w:t>
      </w:r>
      <w:r>
        <w:rPr/>
        <w:t>circunferência</w:t>
      </w:r>
      <w:r>
        <w:rPr>
          <w:spacing w:val="-3"/>
        </w:rPr>
        <w:t> </w:t>
      </w:r>
      <w:r>
        <w:rPr/>
        <w:t>do coração, ampliando, com isso, o diâmetro da</w:t>
      </w:r>
      <w:r>
        <w:rPr>
          <w:spacing w:val="-3"/>
        </w:rPr>
        <w:t> </w:t>
      </w:r>
      <w:r>
        <w:rPr/>
        <w:t>cavidade.</w:t>
      </w:r>
    </w:p>
    <w:p>
      <w:pPr>
        <w:pStyle w:val="BodyText"/>
        <w:spacing w:line="276" w:lineRule="auto" w:before="48"/>
        <w:ind w:right="501"/>
      </w:pPr>
      <w:r>
        <w:rPr/>
        <w:t>No</w:t>
      </w:r>
      <w:r>
        <w:rPr>
          <w:spacing w:val="-4"/>
        </w:rPr>
        <w:t> </w:t>
      </w:r>
      <w:r>
        <w:rPr/>
        <w:t>passado, dizia-se</w:t>
      </w:r>
      <w:r>
        <w:rPr>
          <w:spacing w:val="-6"/>
        </w:rPr>
        <w:t> </w:t>
      </w:r>
      <w:r>
        <w:rPr/>
        <w:t>que</w:t>
      </w:r>
      <w:r>
        <w:rPr>
          <w:spacing w:val="-6"/>
        </w:rPr>
        <w:t> </w:t>
      </w:r>
      <w:r>
        <w:rPr/>
        <w:t>o</w:t>
      </w:r>
      <w:r>
        <w:rPr>
          <w:spacing w:val="-4"/>
        </w:rPr>
        <w:t> </w:t>
      </w:r>
      <w:r>
        <w:rPr/>
        <w:t>mecanismo</w:t>
      </w:r>
      <w:r>
        <w:rPr>
          <w:spacing w:val="-4"/>
        </w:rPr>
        <w:t> </w:t>
      </w:r>
      <w:r>
        <w:rPr/>
        <w:t>de</w:t>
      </w:r>
      <w:r>
        <w:rPr>
          <w:spacing w:val="-6"/>
        </w:rPr>
        <w:t> </w:t>
      </w:r>
      <w:r>
        <w:rPr/>
        <w:t>distensão</w:t>
      </w:r>
      <w:r>
        <w:rPr>
          <w:spacing w:val="-4"/>
        </w:rPr>
        <w:t> </w:t>
      </w:r>
      <w:r>
        <w:rPr/>
        <w:t>do</w:t>
      </w:r>
      <w:r>
        <w:rPr>
          <w:spacing w:val="-4"/>
        </w:rPr>
        <w:t> </w:t>
      </w:r>
      <w:r>
        <w:rPr/>
        <w:t>sarcômero</w:t>
      </w:r>
      <w:r>
        <w:rPr>
          <w:spacing w:val="-4"/>
        </w:rPr>
        <w:t> </w:t>
      </w:r>
      <w:r>
        <w:rPr/>
        <w:t>era</w:t>
      </w:r>
      <w:r>
        <w:rPr>
          <w:spacing w:val="-6"/>
        </w:rPr>
        <w:t> </w:t>
      </w:r>
      <w:r>
        <w:rPr/>
        <w:t>responsável</w:t>
      </w:r>
      <w:r>
        <w:rPr>
          <w:spacing w:val="-1"/>
        </w:rPr>
        <w:t> </w:t>
      </w:r>
      <w:r>
        <w:rPr/>
        <w:t>por manter o</w:t>
      </w:r>
      <w:r>
        <w:rPr>
          <w:spacing w:val="-4"/>
        </w:rPr>
        <w:t> </w:t>
      </w:r>
      <w:r>
        <w:rPr/>
        <w:t>índice</w:t>
      </w:r>
      <w:r>
        <w:rPr>
          <w:spacing w:val="-6"/>
        </w:rPr>
        <w:t> </w:t>
      </w:r>
      <w:r>
        <w:rPr/>
        <w:t>cardíaco, segundo a lei de </w:t>
      </w:r>
      <w:r>
        <w:rPr>
          <w:i/>
        </w:rPr>
        <w:t>Frank-Starling</w:t>
      </w:r>
      <w:r>
        <w:rPr/>
        <w:t>, ou seja, de acordo com o aumento do volume diastólico final, teríamos curvas ascendentes, sendo a tensão desenvolvida pelo miocárdio durante a contração, em função do comprimento do sarcômero na diástole final.</w:t>
      </w:r>
    </w:p>
    <w:p>
      <w:pPr>
        <w:pStyle w:val="BodyText"/>
        <w:spacing w:line="276" w:lineRule="auto"/>
        <w:ind w:right="488"/>
      </w:pPr>
      <w:r>
        <w:rPr/>
        <w:t>Observou-se que pessoas com graus variados de insuficiência mitral apresentam dilatações diferentes, que se fazem acompanhar ou não de hipertrofia. Verificou-se que, ao lado dos sarcômeros em série, existem outros em paralelo que acentuam a espessura do miocárdio. Alguns autores observaram que jamais o sarcômero ultrapassava 2,2, explicando que, a partir desse comprimento, a tensão diastólica aumentada seria estímulo para formar novos sarcômeros, que se dispõem em série e, ou em paralelo, acentuando o diâmetro interno da cavidade e também a espessura do músculo.</w:t>
      </w:r>
    </w:p>
    <w:p>
      <w:pPr>
        <w:pStyle w:val="BodyText"/>
        <w:spacing w:line="276" w:lineRule="auto" w:before="49"/>
        <w:ind w:right="487"/>
      </w:pPr>
      <w:r>
        <w:rPr/>
        <w:t>Quando há esgotamento dos substratos bioquímicos estruturais do miocárdio, ou instalação súbita da insuficiência mitral, há elevação das pressões de enchimento, levando a hipertensão pulmonar, insuficiência ventricular direita, hipertensão</w:t>
      </w:r>
      <w:r>
        <w:rPr>
          <w:spacing w:val="-1"/>
        </w:rPr>
        <w:t> </w:t>
      </w:r>
      <w:r>
        <w:rPr/>
        <w:t>venocapilar sistêmica</w:t>
      </w:r>
      <w:r>
        <w:rPr>
          <w:spacing w:val="-4"/>
        </w:rPr>
        <w:t> </w:t>
      </w:r>
      <w:r>
        <w:rPr/>
        <w:t>com</w:t>
      </w:r>
      <w:r>
        <w:rPr>
          <w:spacing w:val="-1"/>
        </w:rPr>
        <w:t> </w:t>
      </w:r>
      <w:r>
        <w:rPr/>
        <w:t>diminuição</w:t>
      </w:r>
      <w:r>
        <w:rPr>
          <w:spacing w:val="-1"/>
        </w:rPr>
        <w:t> </w:t>
      </w:r>
      <w:r>
        <w:rPr/>
        <w:t>do</w:t>
      </w:r>
      <w:r>
        <w:rPr>
          <w:spacing w:val="-1"/>
        </w:rPr>
        <w:t> </w:t>
      </w:r>
      <w:r>
        <w:rPr/>
        <w:t>débito</w:t>
      </w:r>
      <w:r>
        <w:rPr>
          <w:spacing w:val="-1"/>
        </w:rPr>
        <w:t> </w:t>
      </w:r>
      <w:r>
        <w:rPr/>
        <w:t>cardíaco</w:t>
      </w:r>
      <w:r>
        <w:rPr>
          <w:spacing w:val="-1"/>
        </w:rPr>
        <w:t> </w:t>
      </w:r>
      <w:r>
        <w:rPr/>
        <w:t>e</w:t>
      </w:r>
      <w:r>
        <w:rPr>
          <w:spacing w:val="-4"/>
        </w:rPr>
        <w:t> </w:t>
      </w:r>
      <w:r>
        <w:rPr/>
        <w:t>morte.</w:t>
      </w:r>
    </w:p>
    <w:p>
      <w:pPr>
        <w:pStyle w:val="BodyText"/>
        <w:spacing w:line="276" w:lineRule="auto" w:before="64"/>
        <w:ind w:right="488"/>
      </w:pPr>
      <w:r>
        <w:rPr/>
        <w:t>Na insuficiência mitral aguda, o tamanho do átrio esquerdo está normal e a pressão intra-atrial aumentada porque não houve tempo de se desenvolverem os fenômenos de adaptação. O ritmo geralmente é sinusal. Em poucas semanas ocorrem hipertrofia e elevação da resistência vascular pulmonar.</w:t>
      </w:r>
    </w:p>
    <w:p>
      <w:pPr>
        <w:pStyle w:val="BodyText"/>
        <w:spacing w:line="276" w:lineRule="auto"/>
        <w:ind w:right="491"/>
      </w:pPr>
      <w:r>
        <w:rPr/>
        <w:t>Na</w:t>
      </w:r>
      <w:r>
        <w:rPr>
          <w:spacing w:val="-8"/>
        </w:rPr>
        <w:t> </w:t>
      </w:r>
      <w:r>
        <w:rPr/>
        <w:t>insuficiência</w:t>
      </w:r>
      <w:r>
        <w:rPr>
          <w:spacing w:val="-8"/>
        </w:rPr>
        <w:t> </w:t>
      </w:r>
      <w:r>
        <w:rPr/>
        <w:t>mitral</w:t>
      </w:r>
      <w:r>
        <w:rPr>
          <w:spacing w:val="-3"/>
        </w:rPr>
        <w:t> </w:t>
      </w:r>
      <w:r>
        <w:rPr/>
        <w:t>crônica</w:t>
      </w:r>
      <w:r>
        <w:rPr>
          <w:spacing w:val="-8"/>
        </w:rPr>
        <w:t> </w:t>
      </w:r>
      <w:r>
        <w:rPr/>
        <w:t>e</w:t>
      </w:r>
      <w:r>
        <w:rPr>
          <w:spacing w:val="-8"/>
        </w:rPr>
        <w:t> </w:t>
      </w:r>
      <w:r>
        <w:rPr/>
        <w:t>descompensada, o</w:t>
      </w:r>
      <w:r>
        <w:rPr>
          <w:spacing w:val="-6"/>
        </w:rPr>
        <w:t> </w:t>
      </w:r>
      <w:r>
        <w:rPr/>
        <w:t>átrio</w:t>
      </w:r>
      <w:r>
        <w:rPr>
          <w:spacing w:val="-6"/>
        </w:rPr>
        <w:t> </w:t>
      </w:r>
      <w:r>
        <w:rPr/>
        <w:t>esquerdo</w:t>
      </w:r>
      <w:r>
        <w:rPr>
          <w:spacing w:val="-6"/>
        </w:rPr>
        <w:t> </w:t>
      </w:r>
      <w:r>
        <w:rPr/>
        <w:t>está</w:t>
      </w:r>
      <w:r>
        <w:rPr>
          <w:spacing w:val="-8"/>
        </w:rPr>
        <w:t> </w:t>
      </w:r>
      <w:r>
        <w:rPr/>
        <w:t>moderadamente</w:t>
      </w:r>
      <w:r>
        <w:rPr>
          <w:spacing w:val="-8"/>
        </w:rPr>
        <w:t> </w:t>
      </w:r>
      <w:r>
        <w:rPr/>
        <w:t>aumentado, assim</w:t>
      </w:r>
      <w:r>
        <w:rPr>
          <w:spacing w:val="-6"/>
        </w:rPr>
        <w:t> </w:t>
      </w:r>
      <w:r>
        <w:rPr/>
        <w:t>como a pressão atrial.</w:t>
      </w:r>
    </w:p>
    <w:p>
      <w:pPr>
        <w:pStyle w:val="BodyText"/>
        <w:spacing w:before="133"/>
        <w:ind w:left="0" w:firstLine="0"/>
        <w:jc w:val="left"/>
      </w:pPr>
    </w:p>
    <w:p>
      <w:pPr>
        <w:pStyle w:val="Heading5"/>
      </w:pPr>
      <w:r>
        <w:rPr>
          <w:color w:val="A26108"/>
        </w:rPr>
        <w:t>Quadro</w:t>
      </w:r>
      <w:r>
        <w:rPr>
          <w:color w:val="A26108"/>
          <w:spacing w:val="23"/>
        </w:rPr>
        <w:t> </w:t>
      </w:r>
      <w:r>
        <w:rPr>
          <w:color w:val="A26108"/>
          <w:spacing w:val="-2"/>
        </w:rPr>
        <w:t>clínico</w:t>
      </w:r>
    </w:p>
    <w:p>
      <w:pPr>
        <w:pStyle w:val="BodyText"/>
        <w:spacing w:line="276" w:lineRule="auto" w:before="122"/>
        <w:ind w:right="488"/>
      </w:pPr>
      <w:r>
        <w:rPr/>
        <w:t>A sintomatologia depende da gravidade da regurgitação, velocidade de progressão, nível de pressão em artéria pulmonar e presença de outras valvopatias ou coronariopatias associadas.</w:t>
      </w:r>
    </w:p>
    <w:p>
      <w:pPr>
        <w:pStyle w:val="BodyText"/>
        <w:spacing w:line="276" w:lineRule="auto"/>
        <w:ind w:right="488"/>
      </w:pPr>
      <w:r>
        <w:rPr/>
        <w:t>Os sintomas só aparecem quando ocorre insuficiência do VE. O intervalo entre a doença reumática e a manifestação dos sintomas chega a ser de duas décadas. Os sintomas mais frequentes são: fraqueza crônica e fadiga; hemoptise e embolismo são raros.</w:t>
      </w:r>
    </w:p>
    <w:p>
      <w:pPr>
        <w:pStyle w:val="BodyText"/>
        <w:spacing w:before="48"/>
        <w:ind w:left="414" w:firstLine="0"/>
      </w:pPr>
      <w:r>
        <w:rPr/>
        <w:t>A</w:t>
      </w:r>
      <w:r>
        <w:rPr>
          <w:spacing w:val="-13"/>
        </w:rPr>
        <w:t> </w:t>
      </w:r>
      <w:r>
        <w:rPr/>
        <w:t>evolução</w:t>
      </w:r>
      <w:r>
        <w:rPr>
          <w:spacing w:val="-9"/>
        </w:rPr>
        <w:t> </w:t>
      </w:r>
      <w:r>
        <w:rPr/>
        <w:t>da</w:t>
      </w:r>
      <w:r>
        <w:rPr>
          <w:spacing w:val="-10"/>
        </w:rPr>
        <w:t> </w:t>
      </w:r>
      <w:r>
        <w:rPr/>
        <w:t>insuficiência</w:t>
      </w:r>
      <w:r>
        <w:rPr>
          <w:spacing w:val="-11"/>
        </w:rPr>
        <w:t> </w:t>
      </w:r>
      <w:r>
        <w:rPr/>
        <w:t>mitral</w:t>
      </w:r>
      <w:r>
        <w:rPr>
          <w:spacing w:val="-6"/>
        </w:rPr>
        <w:t> </w:t>
      </w:r>
      <w:r>
        <w:rPr/>
        <w:t>é</w:t>
      </w:r>
      <w:r>
        <w:rPr>
          <w:spacing w:val="-11"/>
        </w:rPr>
        <w:t> </w:t>
      </w:r>
      <w:r>
        <w:rPr/>
        <w:t>insidiosa</w:t>
      </w:r>
      <w:r>
        <w:rPr>
          <w:spacing w:val="-11"/>
        </w:rPr>
        <w:t> </w:t>
      </w:r>
      <w:r>
        <w:rPr/>
        <w:t>e</w:t>
      </w:r>
      <w:r>
        <w:rPr>
          <w:spacing w:val="-11"/>
        </w:rPr>
        <w:t> </w:t>
      </w:r>
      <w:r>
        <w:rPr/>
        <w:t>pode</w:t>
      </w:r>
      <w:r>
        <w:rPr>
          <w:spacing w:val="-10"/>
        </w:rPr>
        <w:t> </w:t>
      </w:r>
      <w:r>
        <w:rPr/>
        <w:t>levar</w:t>
      </w:r>
      <w:r>
        <w:rPr>
          <w:spacing w:val="-4"/>
        </w:rPr>
        <w:t> </w:t>
      </w:r>
      <w:r>
        <w:rPr/>
        <w:t>à</w:t>
      </w:r>
      <w:r>
        <w:rPr>
          <w:spacing w:val="-11"/>
        </w:rPr>
        <w:t> </w:t>
      </w:r>
      <w:r>
        <w:rPr/>
        <w:t>disfunção</w:t>
      </w:r>
      <w:r>
        <w:rPr>
          <w:spacing w:val="-8"/>
        </w:rPr>
        <w:t> </w:t>
      </w:r>
      <w:r>
        <w:rPr/>
        <w:t>ventricular</w:t>
      </w:r>
      <w:r>
        <w:rPr>
          <w:spacing w:val="-3"/>
        </w:rPr>
        <w:t> </w:t>
      </w:r>
      <w:r>
        <w:rPr>
          <w:spacing w:val="-2"/>
        </w:rPr>
        <w:t>irreversível.</w:t>
      </w:r>
    </w:p>
    <w:p>
      <w:pPr>
        <w:pStyle w:val="BodyText"/>
        <w:spacing w:line="276" w:lineRule="auto" w:before="104"/>
        <w:ind w:right="488"/>
      </w:pPr>
      <w:r>
        <w:rPr/>
        <w:t>A</w:t>
      </w:r>
      <w:r>
        <w:rPr>
          <w:spacing w:val="-12"/>
        </w:rPr>
        <w:t> </w:t>
      </w:r>
      <w:r>
        <w:rPr/>
        <w:t>insuficiência</w:t>
      </w:r>
      <w:r>
        <w:rPr>
          <w:spacing w:val="-12"/>
        </w:rPr>
        <w:t> </w:t>
      </w:r>
      <w:r>
        <w:rPr/>
        <w:t>ventricular</w:t>
      </w:r>
      <w:r>
        <w:rPr>
          <w:spacing w:val="-4"/>
        </w:rPr>
        <w:t> </w:t>
      </w:r>
      <w:r>
        <w:rPr/>
        <w:t>direita</w:t>
      </w:r>
      <w:r>
        <w:rPr>
          <w:spacing w:val="-12"/>
        </w:rPr>
        <w:t> </w:t>
      </w:r>
      <w:r>
        <w:rPr/>
        <w:t>leva</w:t>
      </w:r>
      <w:r>
        <w:rPr>
          <w:spacing w:val="-12"/>
        </w:rPr>
        <w:t> </w:t>
      </w:r>
      <w:r>
        <w:rPr/>
        <w:t>a</w:t>
      </w:r>
      <w:r>
        <w:rPr>
          <w:spacing w:val="-12"/>
        </w:rPr>
        <w:t> </w:t>
      </w:r>
      <w:r>
        <w:rPr/>
        <w:t>hepatomegalia,</w:t>
      </w:r>
      <w:r>
        <w:rPr>
          <w:spacing w:val="-2"/>
        </w:rPr>
        <w:t> </w:t>
      </w:r>
      <w:r>
        <w:rPr/>
        <w:t>edema</w:t>
      </w:r>
      <w:r>
        <w:rPr>
          <w:spacing w:val="-12"/>
        </w:rPr>
        <w:t> </w:t>
      </w:r>
      <w:r>
        <w:rPr/>
        <w:t>e</w:t>
      </w:r>
      <w:r>
        <w:rPr>
          <w:spacing w:val="-12"/>
        </w:rPr>
        <w:t> </w:t>
      </w:r>
      <w:r>
        <w:rPr/>
        <w:t>ascite,</w:t>
      </w:r>
      <w:r>
        <w:rPr>
          <w:spacing w:val="-2"/>
        </w:rPr>
        <w:t> </w:t>
      </w:r>
      <w:r>
        <w:rPr/>
        <w:t>a</w:t>
      </w:r>
      <w:r>
        <w:rPr>
          <w:spacing w:val="-12"/>
        </w:rPr>
        <w:t> </w:t>
      </w:r>
      <w:r>
        <w:rPr/>
        <w:t>qual</w:t>
      </w:r>
      <w:r>
        <w:rPr>
          <w:spacing w:val="-7"/>
        </w:rPr>
        <w:t> </w:t>
      </w:r>
      <w:r>
        <w:rPr/>
        <w:t>é</w:t>
      </w:r>
      <w:r>
        <w:rPr>
          <w:spacing w:val="-12"/>
        </w:rPr>
        <w:t> </w:t>
      </w:r>
      <w:r>
        <w:rPr/>
        <w:t>observada</w:t>
      </w:r>
      <w:r>
        <w:rPr>
          <w:spacing w:val="-12"/>
        </w:rPr>
        <w:t> </w:t>
      </w:r>
      <w:r>
        <w:rPr/>
        <w:t>tanto</w:t>
      </w:r>
      <w:r>
        <w:rPr>
          <w:spacing w:val="-9"/>
        </w:rPr>
        <w:t> </w:t>
      </w:r>
      <w:r>
        <w:rPr/>
        <w:t>na</w:t>
      </w:r>
      <w:r>
        <w:rPr>
          <w:spacing w:val="-12"/>
        </w:rPr>
        <w:t> </w:t>
      </w:r>
      <w:r>
        <w:rPr/>
        <w:t>insuficiência aguda quanto na crônica. A angina de peito é sintoma muito raro.</w:t>
      </w:r>
    </w:p>
    <w:p>
      <w:pPr>
        <w:pStyle w:val="BodyText"/>
        <w:spacing w:before="134"/>
        <w:ind w:left="0" w:firstLine="0"/>
        <w:jc w:val="left"/>
      </w:pPr>
    </w:p>
    <w:p>
      <w:pPr>
        <w:pStyle w:val="Heading5"/>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BodyText"/>
        <w:spacing w:line="276" w:lineRule="auto" w:before="138"/>
        <w:ind w:right="501"/>
      </w:pPr>
      <w:r>
        <w:rPr/>
        <w:t>A ausculta cardíaca é de fundamental importância para o diagnóstico da insuficiência mitral, além de outros métodos descritos a seguir.</w:t>
      </w:r>
    </w:p>
    <w:p>
      <w:pPr>
        <w:pStyle w:val="BodyText"/>
        <w:spacing w:before="8"/>
        <w:ind w:left="0" w:firstLine="0"/>
        <w:jc w:val="left"/>
      </w:pPr>
    </w:p>
    <w:p>
      <w:pPr>
        <w:pStyle w:val="Heading7"/>
      </w:pPr>
      <w:r>
        <w:rPr>
          <w:color w:val="242B67"/>
        </w:rPr>
        <w:t>Ausculta </w:t>
      </w:r>
      <w:r>
        <w:rPr>
          <w:color w:val="242B67"/>
          <w:spacing w:val="-2"/>
        </w:rPr>
        <w:t>cardíaca</w:t>
      </w:r>
    </w:p>
    <w:p>
      <w:pPr>
        <w:pStyle w:val="BodyText"/>
        <w:spacing w:line="276" w:lineRule="auto" w:before="142"/>
        <w:ind w:right="491"/>
      </w:pPr>
      <w:r>
        <w:rPr/>
        <w:t>A</w:t>
      </w:r>
      <w:r>
        <w:rPr>
          <w:spacing w:val="-8"/>
        </w:rPr>
        <w:t> </w:t>
      </w:r>
      <w:r>
        <w:rPr/>
        <w:t>B1</w:t>
      </w:r>
      <w:r>
        <w:rPr>
          <w:spacing w:val="-5"/>
        </w:rPr>
        <w:t> </w:t>
      </w:r>
      <w:r>
        <w:rPr/>
        <w:t>é</w:t>
      </w:r>
      <w:r>
        <w:rPr>
          <w:spacing w:val="-8"/>
        </w:rPr>
        <w:t> </w:t>
      </w:r>
      <w:r>
        <w:rPr/>
        <w:t>hipofonética;</w:t>
      </w:r>
      <w:r>
        <w:rPr>
          <w:spacing w:val="-2"/>
        </w:rPr>
        <w:t> </w:t>
      </w:r>
      <w:r>
        <w:rPr/>
        <w:t>a</w:t>
      </w:r>
      <w:r>
        <w:rPr>
          <w:spacing w:val="-8"/>
        </w:rPr>
        <w:t> </w:t>
      </w:r>
      <w:r>
        <w:rPr/>
        <w:t>B2, desdobrada;</w:t>
      </w:r>
      <w:r>
        <w:rPr>
          <w:spacing w:val="-2"/>
        </w:rPr>
        <w:t> </w:t>
      </w:r>
      <w:r>
        <w:rPr/>
        <w:t>o</w:t>
      </w:r>
      <w:r>
        <w:rPr>
          <w:spacing w:val="-5"/>
        </w:rPr>
        <w:t> </w:t>
      </w:r>
      <w:r>
        <w:rPr/>
        <w:t>componente</w:t>
      </w:r>
      <w:r>
        <w:rPr>
          <w:spacing w:val="-8"/>
        </w:rPr>
        <w:t> </w:t>
      </w:r>
      <w:r>
        <w:rPr/>
        <w:t>aórtico</w:t>
      </w:r>
      <w:r>
        <w:rPr>
          <w:spacing w:val="-5"/>
        </w:rPr>
        <w:t> </w:t>
      </w:r>
      <w:r>
        <w:rPr/>
        <w:t>(A2) é</w:t>
      </w:r>
      <w:r>
        <w:rPr>
          <w:spacing w:val="-8"/>
        </w:rPr>
        <w:t> </w:t>
      </w:r>
      <w:r>
        <w:rPr/>
        <w:t>precoce</w:t>
      </w:r>
      <w:r>
        <w:rPr>
          <w:spacing w:val="-8"/>
        </w:rPr>
        <w:t> </w:t>
      </w:r>
      <w:r>
        <w:rPr/>
        <w:t>pela</w:t>
      </w:r>
      <w:r>
        <w:rPr>
          <w:spacing w:val="-8"/>
        </w:rPr>
        <w:t> </w:t>
      </w:r>
      <w:r>
        <w:rPr/>
        <w:t>diminuição</w:t>
      </w:r>
      <w:r>
        <w:rPr>
          <w:spacing w:val="-5"/>
        </w:rPr>
        <w:t> </w:t>
      </w:r>
      <w:r>
        <w:rPr/>
        <w:t>da</w:t>
      </w:r>
      <w:r>
        <w:rPr>
          <w:spacing w:val="-8"/>
        </w:rPr>
        <w:t> </w:t>
      </w:r>
      <w:r>
        <w:rPr/>
        <w:t>via</w:t>
      </w:r>
      <w:r>
        <w:rPr>
          <w:spacing w:val="-8"/>
        </w:rPr>
        <w:t> </w:t>
      </w:r>
      <w:r>
        <w:rPr/>
        <w:t>de</w:t>
      </w:r>
      <w:r>
        <w:rPr>
          <w:spacing w:val="-8"/>
        </w:rPr>
        <w:t> </w:t>
      </w:r>
      <w:r>
        <w:rPr/>
        <w:t>saída</w:t>
      </w:r>
      <w:r>
        <w:rPr>
          <w:spacing w:val="-8"/>
        </w:rPr>
        <w:t> </w:t>
      </w:r>
      <w:r>
        <w:rPr/>
        <w:t>do VE e</w:t>
      </w:r>
      <w:r>
        <w:rPr>
          <w:spacing w:val="-1"/>
        </w:rPr>
        <w:t> </w:t>
      </w:r>
      <w:r>
        <w:rPr/>
        <w:t>pelo pulmonar (P2) normal ou aumentado, se</w:t>
      </w:r>
      <w:r>
        <w:rPr>
          <w:spacing w:val="-1"/>
        </w:rPr>
        <w:t> </w:t>
      </w:r>
      <w:r>
        <w:rPr/>
        <w:t>houver hipertensão concomitante. A</w:t>
      </w:r>
      <w:r>
        <w:rPr>
          <w:spacing w:val="-1"/>
        </w:rPr>
        <w:t> </w:t>
      </w:r>
      <w:r>
        <w:rPr/>
        <w:t>terceira</w:t>
      </w:r>
      <w:r>
        <w:rPr>
          <w:spacing w:val="-1"/>
        </w:rPr>
        <w:t> </w:t>
      </w:r>
      <w:r>
        <w:rPr/>
        <w:t>bulha</w:t>
      </w:r>
      <w:r>
        <w:rPr>
          <w:spacing w:val="-1"/>
        </w:rPr>
        <w:t> </w:t>
      </w:r>
      <w:r>
        <w:rPr/>
        <w:t>(B3) do VE corresponde à fase de enchimento anormal dessa câmara. O sopro é sistólico imediatamente após a B1, podendo englobar o A2.</w:t>
      </w:r>
    </w:p>
    <w:p>
      <w:pPr>
        <w:pStyle w:val="BodyText"/>
        <w:spacing w:line="276" w:lineRule="auto" w:before="49"/>
        <w:ind w:right="491"/>
      </w:pPr>
      <w:r>
        <w:rPr/>
        <w:t>Há pouca correlação entre a intensidade do sopro e a gravidade da regurgitação. Em pacientes com dilatação importante de VE, o sopro pode estar ausente: trata-se de insuficiência mitral silenciosa.</w:t>
      </w:r>
    </w:p>
    <w:p>
      <w:pPr>
        <w:pStyle w:val="BodyText"/>
        <w:spacing w:after="0" w:line="276" w:lineRule="auto"/>
        <w:sectPr>
          <w:pgSz w:w="11900" w:h="16840"/>
          <w:pgMar w:top="200" w:bottom="280" w:left="566" w:right="141"/>
        </w:sectPr>
      </w:pPr>
    </w:p>
    <w:p>
      <w:pPr>
        <w:pStyle w:val="BodyText"/>
        <w:spacing w:line="276" w:lineRule="auto" w:before="61"/>
        <w:ind w:right="491"/>
      </w:pPr>
      <w:r>
        <w:rPr/>
        <w:t>Quando o sopro é telessistólico, com a B1 normal, geralmente está associado a prolapso de valva mitral ou disfunção do músculo papilar. A palpação concomitante do pulso carotídeo auxilia na diferenciação entre sopros mitral e aórtico.</w:t>
      </w:r>
    </w:p>
    <w:p>
      <w:pPr>
        <w:pStyle w:val="BodyText"/>
        <w:spacing w:before="25"/>
        <w:ind w:left="0" w:firstLine="0"/>
        <w:jc w:val="left"/>
      </w:pPr>
    </w:p>
    <w:p>
      <w:pPr>
        <w:pStyle w:val="Heading7"/>
      </w:pPr>
      <w:r>
        <w:rPr>
          <w:color w:val="242B67"/>
          <w:spacing w:val="-2"/>
        </w:rPr>
        <w:t>Eletrocardiograma</w:t>
      </w:r>
    </w:p>
    <w:p>
      <w:pPr>
        <w:pStyle w:val="BodyText"/>
        <w:spacing w:line="276" w:lineRule="auto" w:before="126"/>
        <w:ind w:right="491"/>
      </w:pPr>
      <w:r>
        <w:rPr/>
        <w:t>O ritmo cardíaco em geral é sinusal; a presença de fibrilação atrial pode ser considerada um sinal de aumento significativo do átrio esquerdo e, portanto, de insuficiência valvar importante. Nas fases iniciais dessa afecção, ou mesmo quando a disfunção valvar de longa duração não for significativa, o eletrocardiograma (ECG) pode ser inteiramente normal. À medida que se acentua a disfunção, os sinais de sobrecarga atrial esquerda tornam-se mais evidentes. A sobrecarga ventricular esquerda, do tipo diastólico, está presente em 30 a 60% dos portadores dessa valvopatia. Alterações significativas da repolarização ventricular não são comuns e, na maioria dos casos, observam-se ondas T amplas e positivas em V5 e V6.</w:t>
      </w:r>
    </w:p>
    <w:p>
      <w:pPr>
        <w:pStyle w:val="BodyText"/>
        <w:spacing w:before="9"/>
        <w:ind w:left="0" w:firstLine="0"/>
        <w:jc w:val="left"/>
      </w:pPr>
    </w:p>
    <w:p>
      <w:pPr>
        <w:pStyle w:val="Heading7"/>
      </w:pPr>
      <w:r>
        <w:rPr>
          <w:color w:val="242B67"/>
        </w:rPr>
        <w:t>Radiografia do </w:t>
      </w:r>
      <w:r>
        <w:rPr>
          <w:color w:val="242B67"/>
          <w:spacing w:val="-2"/>
        </w:rPr>
        <w:t>tórax</w:t>
      </w:r>
    </w:p>
    <w:p>
      <w:pPr>
        <w:pStyle w:val="BodyText"/>
        <w:spacing w:line="276" w:lineRule="auto" w:before="143"/>
        <w:ind w:right="491"/>
      </w:pPr>
      <w:r>
        <w:rPr/>
        <w:t>O</w:t>
      </w:r>
      <w:r>
        <w:rPr>
          <w:spacing w:val="-11"/>
        </w:rPr>
        <w:t> </w:t>
      </w:r>
      <w:r>
        <w:rPr/>
        <w:t>quadro</w:t>
      </w:r>
      <w:r>
        <w:rPr>
          <w:spacing w:val="-9"/>
        </w:rPr>
        <w:t> </w:t>
      </w:r>
      <w:r>
        <w:rPr/>
        <w:t>radiológico</w:t>
      </w:r>
      <w:r>
        <w:rPr>
          <w:spacing w:val="-9"/>
        </w:rPr>
        <w:t> </w:t>
      </w:r>
      <w:r>
        <w:rPr/>
        <w:t>vascular</w:t>
      </w:r>
      <w:r>
        <w:rPr>
          <w:spacing w:val="-4"/>
        </w:rPr>
        <w:t> </w:t>
      </w:r>
      <w:r>
        <w:rPr/>
        <w:t>pulmonar</w:t>
      </w:r>
      <w:r>
        <w:rPr>
          <w:spacing w:val="-4"/>
        </w:rPr>
        <w:t> </w:t>
      </w:r>
      <w:r>
        <w:rPr/>
        <w:t>é</w:t>
      </w:r>
      <w:r>
        <w:rPr>
          <w:spacing w:val="-11"/>
        </w:rPr>
        <w:t> </w:t>
      </w:r>
      <w:r>
        <w:rPr/>
        <w:t>semelhante</w:t>
      </w:r>
      <w:r>
        <w:rPr>
          <w:spacing w:val="-11"/>
        </w:rPr>
        <w:t> </w:t>
      </w:r>
      <w:r>
        <w:rPr/>
        <w:t>ao</w:t>
      </w:r>
      <w:r>
        <w:rPr>
          <w:spacing w:val="-9"/>
        </w:rPr>
        <w:t> </w:t>
      </w:r>
      <w:r>
        <w:rPr/>
        <w:t>descrito</w:t>
      </w:r>
      <w:r>
        <w:rPr>
          <w:spacing w:val="-9"/>
        </w:rPr>
        <w:t> </w:t>
      </w:r>
      <w:r>
        <w:rPr/>
        <w:t>para</w:t>
      </w:r>
      <w:r>
        <w:rPr>
          <w:spacing w:val="-11"/>
        </w:rPr>
        <w:t> </w:t>
      </w:r>
      <w:r>
        <w:rPr/>
        <w:t>a</w:t>
      </w:r>
      <w:r>
        <w:rPr>
          <w:spacing w:val="-11"/>
        </w:rPr>
        <w:t> </w:t>
      </w:r>
      <w:r>
        <w:rPr/>
        <w:t>estenose</w:t>
      </w:r>
      <w:r>
        <w:rPr>
          <w:spacing w:val="-11"/>
        </w:rPr>
        <w:t> </w:t>
      </w:r>
      <w:r>
        <w:rPr/>
        <w:t>mitral;</w:t>
      </w:r>
      <w:r>
        <w:rPr>
          <w:spacing w:val="-6"/>
        </w:rPr>
        <w:t> </w:t>
      </w:r>
      <w:r>
        <w:rPr/>
        <w:t>no</w:t>
      </w:r>
      <w:r>
        <w:rPr>
          <w:spacing w:val="-9"/>
        </w:rPr>
        <w:t> </w:t>
      </w:r>
      <w:r>
        <w:rPr/>
        <w:t>entanto,</w:t>
      </w:r>
      <w:r>
        <w:rPr>
          <w:spacing w:val="-1"/>
        </w:rPr>
        <w:t> </w:t>
      </w:r>
      <w:r>
        <w:rPr/>
        <w:t>a</w:t>
      </w:r>
      <w:r>
        <w:rPr>
          <w:spacing w:val="-11"/>
        </w:rPr>
        <w:t> </w:t>
      </w:r>
      <w:r>
        <w:rPr/>
        <w:t>congestão venocapilar tem, habitualmente, aspecto menos expressivo. Em etapas mais avançadas, observa-se a fase de hipertensão arteriolar, com a </w:t>
      </w:r>
      <w:r>
        <w:rPr>
          <w:i/>
        </w:rPr>
        <w:t>mitralização </w:t>
      </w:r>
      <w:r>
        <w:rPr/>
        <w:t>da trama e o aspecto de hiper-resistência pulmonar. A área cardíaca em projeção posteroanterior, em razão de dilatação do VE, é sempre maior, quando se compara com a estenose mitral pura. Conforme</w:t>
      </w:r>
      <w:r>
        <w:rPr>
          <w:spacing w:val="-7"/>
        </w:rPr>
        <w:t> </w:t>
      </w:r>
      <w:r>
        <w:rPr/>
        <w:t>o</w:t>
      </w:r>
      <w:r>
        <w:rPr>
          <w:spacing w:val="-4"/>
        </w:rPr>
        <w:t> </w:t>
      </w:r>
      <w:r>
        <w:rPr/>
        <w:t>grau</w:t>
      </w:r>
      <w:r>
        <w:rPr>
          <w:spacing w:val="-4"/>
        </w:rPr>
        <w:t> </w:t>
      </w:r>
      <w:r>
        <w:rPr/>
        <w:t>de</w:t>
      </w:r>
      <w:r>
        <w:rPr>
          <w:spacing w:val="-7"/>
        </w:rPr>
        <w:t> </w:t>
      </w:r>
      <w:r>
        <w:rPr/>
        <w:t>sobrecarga</w:t>
      </w:r>
      <w:r>
        <w:rPr>
          <w:spacing w:val="-7"/>
        </w:rPr>
        <w:t> </w:t>
      </w:r>
      <w:r>
        <w:rPr/>
        <w:t>da</w:t>
      </w:r>
      <w:r>
        <w:rPr>
          <w:spacing w:val="-7"/>
        </w:rPr>
        <w:t> </w:t>
      </w:r>
      <w:r>
        <w:rPr/>
        <w:t>câmara</w:t>
      </w:r>
      <w:r>
        <w:rPr>
          <w:spacing w:val="-7"/>
        </w:rPr>
        <w:t> </w:t>
      </w:r>
      <w:r>
        <w:rPr/>
        <w:t>ventricular esquerda, provocada</w:t>
      </w:r>
      <w:r>
        <w:rPr>
          <w:spacing w:val="-7"/>
        </w:rPr>
        <w:t> </w:t>
      </w:r>
      <w:r>
        <w:rPr/>
        <w:t>pela</w:t>
      </w:r>
      <w:r>
        <w:rPr>
          <w:spacing w:val="-7"/>
        </w:rPr>
        <w:t> </w:t>
      </w:r>
      <w:r>
        <w:rPr/>
        <w:t>regurgitação</w:t>
      </w:r>
      <w:r>
        <w:rPr>
          <w:spacing w:val="-4"/>
        </w:rPr>
        <w:t> </w:t>
      </w:r>
      <w:r>
        <w:rPr/>
        <w:t>mitral</w:t>
      </w:r>
      <w:r>
        <w:rPr>
          <w:spacing w:val="-2"/>
        </w:rPr>
        <w:t> </w:t>
      </w:r>
      <w:r>
        <w:rPr/>
        <w:t>e</w:t>
      </w:r>
      <w:r>
        <w:rPr>
          <w:spacing w:val="-7"/>
        </w:rPr>
        <w:t> </w:t>
      </w:r>
      <w:r>
        <w:rPr/>
        <w:t>o</w:t>
      </w:r>
      <w:r>
        <w:rPr>
          <w:spacing w:val="-4"/>
        </w:rPr>
        <w:t> </w:t>
      </w:r>
      <w:r>
        <w:rPr/>
        <w:t>estado funcional do miocárdio, observam-se tamanhos variados de área cardíaca. A dilatação da via de entrada do VE é observada em projeção oblíqua anterior esquerda, quando se percebe alargamento e posteriorização do arco ventricular esquerdo. Os sinais clássicos de aumento do átrio esquerdo são observados em todas as projeções. A impressão esofágica revela-se, entretanto, com arco de abertura mais amplo, e a radioscopia demonstra a distensão sistólica</w:t>
      </w:r>
      <w:r>
        <w:rPr>
          <w:spacing w:val="-12"/>
        </w:rPr>
        <w:t> </w:t>
      </w:r>
      <w:r>
        <w:rPr/>
        <w:t>do</w:t>
      </w:r>
      <w:r>
        <w:rPr>
          <w:spacing w:val="-10"/>
        </w:rPr>
        <w:t> </w:t>
      </w:r>
      <w:r>
        <w:rPr/>
        <w:t>esôfago</w:t>
      </w:r>
      <w:r>
        <w:rPr>
          <w:spacing w:val="-10"/>
        </w:rPr>
        <w:t> </w:t>
      </w:r>
      <w:r>
        <w:rPr/>
        <w:t>contrastado.</w:t>
      </w:r>
      <w:r>
        <w:rPr>
          <w:spacing w:val="-3"/>
        </w:rPr>
        <w:t> </w:t>
      </w:r>
      <w:r>
        <w:rPr/>
        <w:t>Dependendo</w:t>
      </w:r>
      <w:r>
        <w:rPr>
          <w:spacing w:val="-10"/>
        </w:rPr>
        <w:t> </w:t>
      </w:r>
      <w:r>
        <w:rPr/>
        <w:t>do</w:t>
      </w:r>
      <w:r>
        <w:rPr>
          <w:spacing w:val="-10"/>
        </w:rPr>
        <w:t> </w:t>
      </w:r>
      <w:r>
        <w:rPr/>
        <w:t>grau</w:t>
      </w:r>
      <w:r>
        <w:rPr>
          <w:spacing w:val="-10"/>
        </w:rPr>
        <w:t> </w:t>
      </w:r>
      <w:r>
        <w:rPr/>
        <w:t>de</w:t>
      </w:r>
      <w:r>
        <w:rPr>
          <w:spacing w:val="-12"/>
        </w:rPr>
        <w:t> </w:t>
      </w:r>
      <w:r>
        <w:rPr/>
        <w:t>hipertensão</w:t>
      </w:r>
      <w:r>
        <w:rPr>
          <w:spacing w:val="-10"/>
        </w:rPr>
        <w:t> </w:t>
      </w:r>
      <w:r>
        <w:rPr/>
        <w:t>na</w:t>
      </w:r>
      <w:r>
        <w:rPr>
          <w:spacing w:val="-12"/>
        </w:rPr>
        <w:t> </w:t>
      </w:r>
      <w:r>
        <w:rPr/>
        <w:t>circulação</w:t>
      </w:r>
      <w:r>
        <w:rPr>
          <w:spacing w:val="-10"/>
        </w:rPr>
        <w:t> </w:t>
      </w:r>
      <w:r>
        <w:rPr/>
        <w:t>pulmonar,</w:t>
      </w:r>
      <w:r>
        <w:rPr>
          <w:spacing w:val="-3"/>
        </w:rPr>
        <w:t> </w:t>
      </w:r>
      <w:r>
        <w:rPr/>
        <w:t>podem</w:t>
      </w:r>
      <w:r>
        <w:rPr>
          <w:spacing w:val="-10"/>
        </w:rPr>
        <w:t> </w:t>
      </w:r>
      <w:r>
        <w:rPr/>
        <w:t>estar</w:t>
      </w:r>
      <w:r>
        <w:rPr>
          <w:spacing w:val="-5"/>
        </w:rPr>
        <w:t> </w:t>
      </w:r>
      <w:r>
        <w:rPr/>
        <w:t>presentes dilatação</w:t>
      </w:r>
      <w:r>
        <w:rPr>
          <w:spacing w:val="-3"/>
        </w:rPr>
        <w:t> </w:t>
      </w:r>
      <w:r>
        <w:rPr/>
        <w:t>da</w:t>
      </w:r>
      <w:r>
        <w:rPr>
          <w:spacing w:val="-6"/>
        </w:rPr>
        <w:t> </w:t>
      </w:r>
      <w:r>
        <w:rPr/>
        <w:t>artéria</w:t>
      </w:r>
      <w:r>
        <w:rPr>
          <w:spacing w:val="-6"/>
        </w:rPr>
        <w:t> </w:t>
      </w:r>
      <w:r>
        <w:rPr/>
        <w:t>pulmonar e</w:t>
      </w:r>
      <w:r>
        <w:rPr>
          <w:spacing w:val="-6"/>
        </w:rPr>
        <w:t> </w:t>
      </w:r>
      <w:r>
        <w:rPr/>
        <w:t>aumento</w:t>
      </w:r>
      <w:r>
        <w:rPr>
          <w:spacing w:val="-3"/>
        </w:rPr>
        <w:t> </w:t>
      </w:r>
      <w:r>
        <w:rPr/>
        <w:t>do</w:t>
      </w:r>
      <w:r>
        <w:rPr>
          <w:spacing w:val="-3"/>
        </w:rPr>
        <w:t> </w:t>
      </w:r>
      <w:r>
        <w:rPr/>
        <w:t>VD. Porém, a</w:t>
      </w:r>
      <w:r>
        <w:rPr>
          <w:spacing w:val="-6"/>
        </w:rPr>
        <w:t> </w:t>
      </w:r>
      <w:r>
        <w:rPr/>
        <w:t>dilatação</w:t>
      </w:r>
      <w:r>
        <w:rPr>
          <w:spacing w:val="-3"/>
        </w:rPr>
        <w:t> </w:t>
      </w:r>
      <w:r>
        <w:rPr/>
        <w:t>do</w:t>
      </w:r>
      <w:r>
        <w:rPr>
          <w:spacing w:val="-3"/>
        </w:rPr>
        <w:t> </w:t>
      </w:r>
      <w:r>
        <w:rPr/>
        <w:t>VE possibilita</w:t>
      </w:r>
      <w:r>
        <w:rPr>
          <w:spacing w:val="-6"/>
        </w:rPr>
        <w:t> </w:t>
      </w:r>
      <w:r>
        <w:rPr/>
        <w:t>observar rotação</w:t>
      </w:r>
      <w:r>
        <w:rPr>
          <w:spacing w:val="-3"/>
        </w:rPr>
        <w:t> </w:t>
      </w:r>
      <w:r>
        <w:rPr/>
        <w:t>anti-horária, característica da insuficiência mitral.</w:t>
      </w:r>
    </w:p>
    <w:p>
      <w:pPr>
        <w:pStyle w:val="BodyText"/>
        <w:spacing w:line="276" w:lineRule="auto" w:before="49"/>
        <w:ind w:right="488"/>
      </w:pPr>
      <w:r>
        <w:rPr/>
        <w:t>A</w:t>
      </w:r>
      <w:r>
        <w:rPr>
          <w:spacing w:val="-3"/>
        </w:rPr>
        <w:t> </w:t>
      </w:r>
      <w:r>
        <w:rPr/>
        <w:t>radiologia</w:t>
      </w:r>
      <w:r>
        <w:rPr>
          <w:spacing w:val="-3"/>
        </w:rPr>
        <w:t> </w:t>
      </w:r>
      <w:r>
        <w:rPr/>
        <w:t>não faz</w:t>
      </w:r>
      <w:r>
        <w:rPr>
          <w:spacing w:val="-3"/>
        </w:rPr>
        <w:t> </w:t>
      </w:r>
      <w:r>
        <w:rPr/>
        <w:t>diagnóstico etiológico, porém, em conjunto com dados clínicos, pode</w:t>
      </w:r>
      <w:r>
        <w:rPr>
          <w:spacing w:val="-3"/>
        </w:rPr>
        <w:t> </w:t>
      </w:r>
      <w:r>
        <w:rPr/>
        <w:t>fornecer indícios de determinada causa etiológica. Assim, na endocardite infecciosa, os sinais de hipertensão venocapilar pulmonar podem ser intensos, em desproporção com pequeno grau de dilatação das câmaras cardíacas esquerdas, ainda não adaptadas às novas circunstâncias hemodinâmicas. Caracteristicamente, os sinais de estase na pequena circulação, como o edema intersticial, não se fazem acompanhar das linhas B de Kerley, da </w:t>
      </w:r>
      <w:r>
        <w:rPr>
          <w:i/>
        </w:rPr>
        <w:t>mitralização </w:t>
      </w:r>
      <w:r>
        <w:rPr/>
        <w:t>da trama vascular e, muito menos, de sinais de hiperresistência pulmonar. Nesses casos, a projeção posteroanterior evidencia apenas moderada dilatação do átrio esquerdo e discreto, ou até inexistente, aumento do VE. Na insuficiência mitral consequente à disfunção de músculo papilar por coronariopatia, dadas as condições de agressão miocárdica concomitante, podem-se observar sinais de grande estase venosa na circulação pulmonar, mimetizando o padrão encontrado no edema agudo dos pulmões. As câmaras esquerdas mostram aumento apenas moderado, sendo frequente o achado radiológico de cardiomegalia acentuada. As câmaras direitas mostram-se, em geral, normais, bem como a artéria pulmonar e o arco médico. A aorta pode exibir alterações, como alongamento e dilatação, correspondentes à faixa etária do paciente ou às patologias associadas.</w:t>
      </w:r>
    </w:p>
    <w:p>
      <w:pPr>
        <w:pStyle w:val="BodyText"/>
        <w:spacing w:line="276" w:lineRule="auto" w:before="67"/>
        <w:ind w:right="501"/>
      </w:pPr>
      <w:r>
        <w:rPr/>
        <w:t>A</w:t>
      </w:r>
      <w:r>
        <w:rPr>
          <w:spacing w:val="-10"/>
        </w:rPr>
        <w:t> </w:t>
      </w:r>
      <w:r>
        <w:rPr/>
        <w:t>regurgitação</w:t>
      </w:r>
      <w:r>
        <w:rPr>
          <w:spacing w:val="-8"/>
        </w:rPr>
        <w:t> </w:t>
      </w:r>
      <w:r>
        <w:rPr/>
        <w:t>mitral</w:t>
      </w:r>
      <w:r>
        <w:rPr>
          <w:spacing w:val="-6"/>
        </w:rPr>
        <w:t> </w:t>
      </w:r>
      <w:r>
        <w:rPr/>
        <w:t>que</w:t>
      </w:r>
      <w:r>
        <w:rPr>
          <w:spacing w:val="-10"/>
        </w:rPr>
        <w:t> </w:t>
      </w:r>
      <w:r>
        <w:rPr/>
        <w:t>ocorre</w:t>
      </w:r>
      <w:r>
        <w:rPr>
          <w:spacing w:val="-10"/>
        </w:rPr>
        <w:t> </w:t>
      </w:r>
      <w:r>
        <w:rPr/>
        <w:t>na</w:t>
      </w:r>
      <w:r>
        <w:rPr>
          <w:spacing w:val="-10"/>
        </w:rPr>
        <w:t> </w:t>
      </w:r>
      <w:r>
        <w:rPr/>
        <w:t>calcificação</w:t>
      </w:r>
      <w:r>
        <w:rPr>
          <w:spacing w:val="-8"/>
        </w:rPr>
        <w:t> </w:t>
      </w:r>
      <w:r>
        <w:rPr/>
        <w:t>do</w:t>
      </w:r>
      <w:r>
        <w:rPr>
          <w:spacing w:val="-8"/>
        </w:rPr>
        <w:t> </w:t>
      </w:r>
      <w:r>
        <w:rPr/>
        <w:t>anel</w:t>
      </w:r>
      <w:r>
        <w:rPr>
          <w:spacing w:val="-6"/>
        </w:rPr>
        <w:t> </w:t>
      </w:r>
      <w:r>
        <w:rPr/>
        <w:t>mitral</w:t>
      </w:r>
      <w:r>
        <w:rPr>
          <w:spacing w:val="-6"/>
        </w:rPr>
        <w:t> </w:t>
      </w:r>
      <w:r>
        <w:rPr/>
        <w:t>é, geralmente, de</w:t>
      </w:r>
      <w:r>
        <w:rPr>
          <w:spacing w:val="-10"/>
        </w:rPr>
        <w:t> </w:t>
      </w:r>
      <w:r>
        <w:rPr/>
        <w:t>pequena</w:t>
      </w:r>
      <w:r>
        <w:rPr>
          <w:spacing w:val="-10"/>
        </w:rPr>
        <w:t> </w:t>
      </w:r>
      <w:r>
        <w:rPr/>
        <w:t>expressão</w:t>
      </w:r>
      <w:r>
        <w:rPr>
          <w:spacing w:val="-8"/>
        </w:rPr>
        <w:t> </w:t>
      </w:r>
      <w:r>
        <w:rPr/>
        <w:t>radiológica. Sendo</w:t>
      </w:r>
      <w:r>
        <w:rPr>
          <w:spacing w:val="-11"/>
        </w:rPr>
        <w:t> </w:t>
      </w:r>
      <w:r>
        <w:rPr/>
        <w:t>discreta</w:t>
      </w:r>
      <w:r>
        <w:rPr>
          <w:spacing w:val="-13"/>
        </w:rPr>
        <w:t> </w:t>
      </w:r>
      <w:r>
        <w:rPr/>
        <w:t>a</w:t>
      </w:r>
      <w:r>
        <w:rPr>
          <w:spacing w:val="-13"/>
        </w:rPr>
        <w:t> </w:t>
      </w:r>
      <w:r>
        <w:rPr/>
        <w:t>repercussão</w:t>
      </w:r>
      <w:r>
        <w:rPr>
          <w:spacing w:val="-11"/>
        </w:rPr>
        <w:t> </w:t>
      </w:r>
      <w:r>
        <w:rPr/>
        <w:t>na</w:t>
      </w:r>
      <w:r>
        <w:rPr>
          <w:spacing w:val="-13"/>
        </w:rPr>
        <w:t> </w:t>
      </w:r>
      <w:r>
        <w:rPr/>
        <w:t>circulação</w:t>
      </w:r>
      <w:r>
        <w:rPr>
          <w:spacing w:val="-11"/>
        </w:rPr>
        <w:t> </w:t>
      </w:r>
      <w:r>
        <w:rPr/>
        <w:t>pulmonar,</w:t>
      </w:r>
      <w:r>
        <w:rPr>
          <w:spacing w:val="-4"/>
        </w:rPr>
        <w:t> </w:t>
      </w:r>
      <w:r>
        <w:rPr/>
        <w:t>o</w:t>
      </w:r>
      <w:r>
        <w:rPr>
          <w:spacing w:val="-11"/>
        </w:rPr>
        <w:t> </w:t>
      </w:r>
      <w:r>
        <w:rPr/>
        <w:t>aspecto</w:t>
      </w:r>
      <w:r>
        <w:rPr>
          <w:spacing w:val="-11"/>
        </w:rPr>
        <w:t> </w:t>
      </w:r>
      <w:r>
        <w:rPr/>
        <w:t>radiológico</w:t>
      </w:r>
      <w:r>
        <w:rPr>
          <w:spacing w:val="-11"/>
        </w:rPr>
        <w:t> </w:t>
      </w:r>
      <w:r>
        <w:rPr/>
        <w:t>da</w:t>
      </w:r>
      <w:r>
        <w:rPr>
          <w:spacing w:val="-13"/>
        </w:rPr>
        <w:t> </w:t>
      </w:r>
      <w:r>
        <w:rPr/>
        <w:t>trama</w:t>
      </w:r>
      <w:r>
        <w:rPr>
          <w:spacing w:val="-13"/>
        </w:rPr>
        <w:t> </w:t>
      </w:r>
      <w:r>
        <w:rPr/>
        <w:t>vascular</w:t>
      </w:r>
      <w:r>
        <w:rPr>
          <w:spacing w:val="-6"/>
        </w:rPr>
        <w:t> </w:t>
      </w:r>
      <w:r>
        <w:rPr/>
        <w:t>é</w:t>
      </w:r>
      <w:r>
        <w:rPr>
          <w:spacing w:val="-13"/>
        </w:rPr>
        <w:t> </w:t>
      </w:r>
      <w:r>
        <w:rPr/>
        <w:t>praticamente</w:t>
      </w:r>
      <w:r>
        <w:rPr>
          <w:spacing w:val="-13"/>
        </w:rPr>
        <w:t> </w:t>
      </w:r>
      <w:r>
        <w:rPr/>
        <w:t>normal e o aumento do átrio esquerdo pouco expressivo. A calcificação do anel mitral pode ser vista em todas as incidências, mas com</w:t>
      </w:r>
      <w:r>
        <w:rPr>
          <w:spacing w:val="-2"/>
        </w:rPr>
        <w:t> </w:t>
      </w:r>
      <w:r>
        <w:rPr/>
        <w:t>maior clareza</w:t>
      </w:r>
      <w:r>
        <w:rPr>
          <w:spacing w:val="-5"/>
        </w:rPr>
        <w:t> </w:t>
      </w:r>
      <w:r>
        <w:rPr/>
        <w:t>em</w:t>
      </w:r>
      <w:r>
        <w:rPr>
          <w:spacing w:val="-2"/>
        </w:rPr>
        <w:t> </w:t>
      </w:r>
      <w:r>
        <w:rPr/>
        <w:t>oblíqua</w:t>
      </w:r>
      <w:r>
        <w:rPr>
          <w:spacing w:val="-5"/>
        </w:rPr>
        <w:t> </w:t>
      </w:r>
      <w:r>
        <w:rPr/>
        <w:t>anterior direita</w:t>
      </w:r>
      <w:r>
        <w:rPr>
          <w:spacing w:val="-5"/>
        </w:rPr>
        <w:t> </w:t>
      </w:r>
      <w:r>
        <w:rPr/>
        <w:t>e</w:t>
      </w:r>
      <w:r>
        <w:rPr>
          <w:spacing w:val="-5"/>
        </w:rPr>
        <w:t> </w:t>
      </w:r>
      <w:r>
        <w:rPr/>
        <w:t>nos perfis direito</w:t>
      </w:r>
      <w:r>
        <w:rPr>
          <w:spacing w:val="-2"/>
        </w:rPr>
        <w:t> </w:t>
      </w:r>
      <w:r>
        <w:rPr/>
        <w:t>e</w:t>
      </w:r>
      <w:r>
        <w:rPr>
          <w:spacing w:val="-5"/>
        </w:rPr>
        <w:t> </w:t>
      </w:r>
      <w:r>
        <w:rPr/>
        <w:t>esquerdo. É identificada</w:t>
      </w:r>
      <w:r>
        <w:rPr>
          <w:spacing w:val="-5"/>
        </w:rPr>
        <w:t> </w:t>
      </w:r>
      <w:r>
        <w:rPr/>
        <w:t>como imagem densa, linear, em forma de letra </w:t>
      </w:r>
      <w:r>
        <w:rPr>
          <w:i/>
        </w:rPr>
        <w:t>C </w:t>
      </w:r>
      <w:r>
        <w:rPr/>
        <w:t>ou </w:t>
      </w:r>
      <w:r>
        <w:rPr>
          <w:i/>
        </w:rPr>
        <w:t>J</w:t>
      </w:r>
      <w:r>
        <w:rPr/>
        <w:t>, na região do anel da valva mitral.</w:t>
      </w:r>
    </w:p>
    <w:p>
      <w:pPr>
        <w:pStyle w:val="BodyText"/>
        <w:spacing w:before="24"/>
        <w:ind w:left="0" w:firstLine="0"/>
        <w:jc w:val="left"/>
      </w:pPr>
    </w:p>
    <w:p>
      <w:pPr>
        <w:pStyle w:val="Heading7"/>
      </w:pPr>
      <w:r>
        <w:rPr>
          <w:color w:val="242B67"/>
          <w:spacing w:val="-2"/>
        </w:rPr>
        <w:t>Ecodopplercardiograma</w:t>
      </w:r>
    </w:p>
    <w:p>
      <w:pPr>
        <w:pStyle w:val="BodyText"/>
        <w:spacing w:line="276" w:lineRule="auto" w:before="127"/>
        <w:ind w:right="488"/>
      </w:pPr>
      <w:r>
        <w:rPr/>
        <w:t>Graças à alteração da textura valvar, as cúspides, frequentemente, apresentam-se espessadas, e dificilmente mantêm a morfologia normal de movimentação. A avaliação no unidimensional é baseada em sinais indiretos, secundários à</w:t>
      </w:r>
      <w:r>
        <w:rPr>
          <w:spacing w:val="-3"/>
        </w:rPr>
        <w:t> </w:t>
      </w:r>
      <w:r>
        <w:rPr/>
        <w:t>repercussão</w:t>
      </w:r>
      <w:r>
        <w:rPr>
          <w:spacing w:val="-1"/>
        </w:rPr>
        <w:t> </w:t>
      </w:r>
      <w:r>
        <w:rPr/>
        <w:t>hemodinâmica</w:t>
      </w:r>
      <w:r>
        <w:rPr>
          <w:spacing w:val="-3"/>
        </w:rPr>
        <w:t> </w:t>
      </w:r>
      <w:r>
        <w:rPr/>
        <w:t>da</w:t>
      </w:r>
      <w:r>
        <w:rPr>
          <w:spacing w:val="-3"/>
        </w:rPr>
        <w:t> </w:t>
      </w:r>
      <w:r>
        <w:rPr/>
        <w:t>lesão; desse</w:t>
      </w:r>
      <w:r>
        <w:rPr>
          <w:spacing w:val="-3"/>
        </w:rPr>
        <w:t> </w:t>
      </w:r>
      <w:r>
        <w:rPr/>
        <w:t>modo, a</w:t>
      </w:r>
      <w:r>
        <w:rPr>
          <w:spacing w:val="-3"/>
        </w:rPr>
        <w:t> </w:t>
      </w:r>
      <w:r>
        <w:rPr/>
        <w:t>regurgitação</w:t>
      </w:r>
      <w:r>
        <w:rPr>
          <w:spacing w:val="-1"/>
        </w:rPr>
        <w:t> </w:t>
      </w:r>
      <w:r>
        <w:rPr/>
        <w:t>mitral discreta</w:t>
      </w:r>
      <w:r>
        <w:rPr>
          <w:spacing w:val="-3"/>
        </w:rPr>
        <w:t> </w:t>
      </w:r>
      <w:r>
        <w:rPr/>
        <w:t>pode</w:t>
      </w:r>
      <w:r>
        <w:rPr>
          <w:spacing w:val="-3"/>
        </w:rPr>
        <w:t> </w:t>
      </w:r>
      <w:r>
        <w:rPr/>
        <w:t>fornecer exame de aspecto normal. A modalidade bidimensional permite a visualização de coaptação imperfeita da valva mitral. Entretanto, é</w:t>
      </w:r>
      <w:r>
        <w:rPr>
          <w:spacing w:val="-5"/>
        </w:rPr>
        <w:t> </w:t>
      </w:r>
      <w:r>
        <w:rPr/>
        <w:t>o</w:t>
      </w:r>
      <w:r>
        <w:rPr>
          <w:spacing w:val="-2"/>
        </w:rPr>
        <w:t> </w:t>
      </w:r>
      <w:r>
        <w:rPr/>
        <w:t>Doppler que</w:t>
      </w:r>
      <w:r>
        <w:rPr>
          <w:spacing w:val="-5"/>
        </w:rPr>
        <w:t> </w:t>
      </w:r>
      <w:r>
        <w:rPr/>
        <w:t>possibilita</w:t>
      </w:r>
      <w:r>
        <w:rPr>
          <w:spacing w:val="-5"/>
        </w:rPr>
        <w:t> </w:t>
      </w:r>
      <w:r>
        <w:rPr/>
        <w:t>a</w:t>
      </w:r>
      <w:r>
        <w:rPr>
          <w:spacing w:val="-5"/>
        </w:rPr>
        <w:t> </w:t>
      </w:r>
      <w:r>
        <w:rPr/>
        <w:t>quantificação</w:t>
      </w:r>
      <w:r>
        <w:rPr>
          <w:spacing w:val="-2"/>
        </w:rPr>
        <w:t> </w:t>
      </w:r>
      <w:r>
        <w:rPr/>
        <w:t>da</w:t>
      </w:r>
      <w:r>
        <w:rPr>
          <w:spacing w:val="-5"/>
        </w:rPr>
        <w:t> </w:t>
      </w:r>
      <w:r>
        <w:rPr/>
        <w:t>regurgitação, e</w:t>
      </w:r>
      <w:r>
        <w:rPr>
          <w:spacing w:val="-5"/>
        </w:rPr>
        <w:t> </w:t>
      </w:r>
      <w:r>
        <w:rPr/>
        <w:t>o</w:t>
      </w:r>
      <w:r>
        <w:rPr>
          <w:spacing w:val="-2"/>
        </w:rPr>
        <w:t> </w:t>
      </w:r>
      <w:r>
        <w:rPr/>
        <w:t>colorido, a</w:t>
      </w:r>
      <w:r>
        <w:rPr>
          <w:spacing w:val="-5"/>
        </w:rPr>
        <w:t> </w:t>
      </w:r>
      <w:r>
        <w:rPr/>
        <w:t>localização</w:t>
      </w:r>
      <w:r>
        <w:rPr>
          <w:spacing w:val="-2"/>
        </w:rPr>
        <w:t> </w:t>
      </w:r>
      <w:r>
        <w:rPr/>
        <w:t>precisa</w:t>
      </w:r>
      <w:r>
        <w:rPr>
          <w:spacing w:val="-5"/>
        </w:rPr>
        <w:t> </w:t>
      </w:r>
      <w:r>
        <w:rPr/>
        <w:t>da</w:t>
      </w:r>
      <w:r>
        <w:rPr>
          <w:spacing w:val="-5"/>
        </w:rPr>
        <w:t> </w:t>
      </w:r>
      <w:r>
        <w:rPr/>
        <w:t>região</w:t>
      </w:r>
    </w:p>
    <w:p>
      <w:pPr>
        <w:pStyle w:val="BodyText"/>
        <w:spacing w:after="0" w:line="276" w:lineRule="auto"/>
        <w:sectPr>
          <w:pgSz w:w="11900" w:h="16840"/>
          <w:pgMar w:top="220" w:bottom="280" w:left="566" w:right="141"/>
        </w:sectPr>
      </w:pPr>
    </w:p>
    <w:p>
      <w:pPr>
        <w:pStyle w:val="BodyText"/>
        <w:spacing w:line="276" w:lineRule="auto" w:before="64"/>
        <w:ind w:right="497" w:firstLine="0"/>
      </w:pPr>
      <w:r>
        <w:rPr/>
        <w:t>de maior refluxo valvar. A gravidade da lesão é avaliada em função da distância da valva quando o jato pode ser detectado</w:t>
      </w:r>
      <w:r>
        <w:rPr>
          <w:spacing w:val="-9"/>
        </w:rPr>
        <w:t> </w:t>
      </w:r>
      <w:r>
        <w:rPr/>
        <w:t>e</w:t>
      </w:r>
      <w:r>
        <w:rPr>
          <w:spacing w:val="-11"/>
        </w:rPr>
        <w:t> </w:t>
      </w:r>
      <w:r>
        <w:rPr/>
        <w:t>do</w:t>
      </w:r>
      <w:r>
        <w:rPr>
          <w:spacing w:val="-9"/>
        </w:rPr>
        <w:t> </w:t>
      </w:r>
      <w:r>
        <w:rPr/>
        <w:t>tamanho</w:t>
      </w:r>
      <w:r>
        <w:rPr>
          <w:spacing w:val="-9"/>
        </w:rPr>
        <w:t> </w:t>
      </w:r>
      <w:r>
        <w:rPr/>
        <w:t>do</w:t>
      </w:r>
      <w:r>
        <w:rPr>
          <w:spacing w:val="-9"/>
        </w:rPr>
        <w:t> </w:t>
      </w:r>
      <w:r>
        <w:rPr/>
        <w:t>átrio</w:t>
      </w:r>
      <w:r>
        <w:rPr>
          <w:spacing w:val="-9"/>
        </w:rPr>
        <w:t> </w:t>
      </w:r>
      <w:r>
        <w:rPr/>
        <w:t>esquerdo.</w:t>
      </w:r>
      <w:r>
        <w:rPr>
          <w:spacing w:val="-1"/>
        </w:rPr>
        <w:t> </w:t>
      </w:r>
      <w:r>
        <w:rPr/>
        <w:t>Auxilia</w:t>
      </w:r>
      <w:r>
        <w:rPr>
          <w:spacing w:val="-11"/>
        </w:rPr>
        <w:t> </w:t>
      </w:r>
      <w:r>
        <w:rPr/>
        <w:t>na</w:t>
      </w:r>
      <w:r>
        <w:rPr>
          <w:spacing w:val="-11"/>
        </w:rPr>
        <w:t> </w:t>
      </w:r>
      <w:r>
        <w:rPr/>
        <w:t>diferenciação</w:t>
      </w:r>
      <w:r>
        <w:rPr>
          <w:spacing w:val="-9"/>
        </w:rPr>
        <w:t> </w:t>
      </w:r>
      <w:r>
        <w:rPr/>
        <w:t>entre</w:t>
      </w:r>
      <w:r>
        <w:rPr>
          <w:spacing w:val="-11"/>
        </w:rPr>
        <w:t> </w:t>
      </w:r>
      <w:r>
        <w:rPr/>
        <w:t>as</w:t>
      </w:r>
      <w:r>
        <w:rPr>
          <w:spacing w:val="-1"/>
        </w:rPr>
        <w:t> </w:t>
      </w:r>
      <w:r>
        <w:rPr/>
        <w:t>cardiomiopatias</w:t>
      </w:r>
      <w:r>
        <w:rPr>
          <w:spacing w:val="-1"/>
        </w:rPr>
        <w:t> </w:t>
      </w:r>
      <w:r>
        <w:rPr/>
        <w:t>primária</w:t>
      </w:r>
      <w:r>
        <w:rPr>
          <w:spacing w:val="-11"/>
        </w:rPr>
        <w:t> </w:t>
      </w:r>
      <w:r>
        <w:rPr/>
        <w:t>e</w:t>
      </w:r>
      <w:r>
        <w:rPr>
          <w:spacing w:val="-11"/>
        </w:rPr>
        <w:t> </w:t>
      </w:r>
      <w:r>
        <w:rPr/>
        <w:t>funcional.</w:t>
      </w:r>
      <w:r>
        <w:rPr>
          <w:spacing w:val="-1"/>
        </w:rPr>
        <w:t> </w:t>
      </w:r>
      <w:r>
        <w:rPr/>
        <w:t>A medida de fração de ejeção (normal &gt; 0,60) e do tamanho do diâmetro sistólico final (&lt; 45 mm) são parâmetros importantes na conduta clínica.</w:t>
      </w:r>
    </w:p>
    <w:p>
      <w:pPr>
        <w:pStyle w:val="BodyText"/>
        <w:spacing w:before="21"/>
        <w:ind w:left="0" w:firstLine="0"/>
        <w:jc w:val="left"/>
      </w:pPr>
    </w:p>
    <w:p>
      <w:pPr>
        <w:pStyle w:val="Heading7"/>
      </w:pPr>
      <w:r>
        <w:rPr>
          <w:color w:val="242B67"/>
        </w:rPr>
        <w:t>Estudo </w:t>
      </w:r>
      <w:r>
        <w:rPr>
          <w:color w:val="242B67"/>
          <w:spacing w:val="-2"/>
        </w:rPr>
        <w:t>hemodinâmico</w:t>
      </w:r>
    </w:p>
    <w:p>
      <w:pPr>
        <w:pStyle w:val="BodyText"/>
        <w:spacing w:line="276" w:lineRule="auto" w:before="126"/>
        <w:ind w:right="491"/>
      </w:pPr>
      <w:r>
        <w:rPr/>
        <w:t>A angiografia contribui para o aprimoramento diagnóstico mostrando opacificação do átrio esquerdo no momento</w:t>
      </w:r>
      <w:r>
        <w:rPr>
          <w:spacing w:val="-1"/>
        </w:rPr>
        <w:t> </w:t>
      </w:r>
      <w:r>
        <w:rPr/>
        <w:t>da</w:t>
      </w:r>
      <w:r>
        <w:rPr>
          <w:spacing w:val="-3"/>
        </w:rPr>
        <w:t> </w:t>
      </w:r>
      <w:r>
        <w:rPr/>
        <w:t>sístole</w:t>
      </w:r>
      <w:r>
        <w:rPr>
          <w:spacing w:val="-3"/>
        </w:rPr>
        <w:t> </w:t>
      </w:r>
      <w:r>
        <w:rPr/>
        <w:t>e</w:t>
      </w:r>
      <w:r>
        <w:rPr>
          <w:spacing w:val="-3"/>
        </w:rPr>
        <w:t> </w:t>
      </w:r>
      <w:r>
        <w:rPr/>
        <w:t>contribuindo</w:t>
      </w:r>
      <w:r>
        <w:rPr>
          <w:spacing w:val="-1"/>
        </w:rPr>
        <w:t> </w:t>
      </w:r>
      <w:r>
        <w:rPr/>
        <w:t>para</w:t>
      </w:r>
      <w:r>
        <w:rPr>
          <w:spacing w:val="-3"/>
        </w:rPr>
        <w:t> </w:t>
      </w:r>
      <w:r>
        <w:rPr/>
        <w:t>a</w:t>
      </w:r>
      <w:r>
        <w:rPr>
          <w:spacing w:val="-3"/>
        </w:rPr>
        <w:t> </w:t>
      </w:r>
      <w:r>
        <w:rPr/>
        <w:t>identificação</w:t>
      </w:r>
      <w:r>
        <w:rPr>
          <w:spacing w:val="-1"/>
        </w:rPr>
        <w:t> </w:t>
      </w:r>
      <w:r>
        <w:rPr/>
        <w:t>etiológica. Assim, no</w:t>
      </w:r>
      <w:r>
        <w:rPr>
          <w:spacing w:val="-1"/>
        </w:rPr>
        <w:t> </w:t>
      </w:r>
      <w:r>
        <w:rPr/>
        <w:t>caso</w:t>
      </w:r>
      <w:r>
        <w:rPr>
          <w:spacing w:val="-1"/>
        </w:rPr>
        <w:t> </w:t>
      </w:r>
      <w:r>
        <w:rPr/>
        <w:t>de</w:t>
      </w:r>
      <w:r>
        <w:rPr>
          <w:spacing w:val="-3"/>
        </w:rPr>
        <w:t> </w:t>
      </w:r>
      <w:r>
        <w:rPr/>
        <w:t>insuficiência</w:t>
      </w:r>
      <w:r>
        <w:rPr>
          <w:spacing w:val="-3"/>
        </w:rPr>
        <w:t> </w:t>
      </w:r>
      <w:r>
        <w:rPr/>
        <w:t>mitral aguda</w:t>
      </w:r>
      <w:r>
        <w:rPr>
          <w:spacing w:val="-3"/>
        </w:rPr>
        <w:t> </w:t>
      </w:r>
      <w:r>
        <w:rPr/>
        <w:t>por endocardite infecciosa pode-se identificar o rompimento de cordas ou folhetos; na disfunção isquêmica pode-se identificar ruptura de músculo papilar, ou o mau funcionamento de uma prótese valvar. Com o advento da ecocardiografia, sua maior indicação é para afastar coronariopatia associada.</w:t>
      </w:r>
    </w:p>
    <w:p>
      <w:pPr>
        <w:pStyle w:val="BodyText"/>
        <w:spacing w:before="9"/>
        <w:ind w:left="0" w:firstLine="0"/>
        <w:jc w:val="left"/>
      </w:pPr>
    </w:p>
    <w:p>
      <w:pPr>
        <w:pStyle w:val="Heading7"/>
      </w:pPr>
      <w:r>
        <w:rPr>
          <w:color w:val="242B67"/>
        </w:rPr>
        <w:t>Teste de </w:t>
      </w:r>
      <w:r>
        <w:rPr>
          <w:color w:val="242B67"/>
          <w:spacing w:val="-2"/>
        </w:rPr>
        <w:t>esforço</w:t>
      </w:r>
    </w:p>
    <w:p>
      <w:pPr>
        <w:pStyle w:val="BodyText"/>
        <w:spacing w:line="276" w:lineRule="auto" w:before="143"/>
        <w:ind w:right="488"/>
      </w:pPr>
      <w:r>
        <w:rPr/>
        <w:t>O teste de esforço é muito útil para avaliar a evolução do paciente com insuficiência mitral crônica e assintomático. Deve ser realizado anualmente com a intenção de avaliar objetivamente o desenvolvimento de sintomas durante o exercício e as eventuais mudanças na sua tolerância ao esforço. Existem trabalhos ecocardiográficos mostrando</w:t>
      </w:r>
      <w:r>
        <w:rPr>
          <w:spacing w:val="-3"/>
        </w:rPr>
        <w:t> </w:t>
      </w:r>
      <w:r>
        <w:rPr/>
        <w:t>que</w:t>
      </w:r>
      <w:r>
        <w:rPr>
          <w:spacing w:val="-5"/>
        </w:rPr>
        <w:t> </w:t>
      </w:r>
      <w:r>
        <w:rPr/>
        <w:t>os sintomas pioram</w:t>
      </w:r>
      <w:r>
        <w:rPr>
          <w:spacing w:val="-3"/>
        </w:rPr>
        <w:t> </w:t>
      </w:r>
      <w:r>
        <w:rPr/>
        <w:t>com</w:t>
      </w:r>
      <w:r>
        <w:rPr>
          <w:spacing w:val="-3"/>
        </w:rPr>
        <w:t> </w:t>
      </w:r>
      <w:r>
        <w:rPr/>
        <w:t>o</w:t>
      </w:r>
      <w:r>
        <w:rPr>
          <w:spacing w:val="-3"/>
        </w:rPr>
        <w:t> </w:t>
      </w:r>
      <w:r>
        <w:rPr/>
        <w:t>exercício. É particularmente</w:t>
      </w:r>
      <w:r>
        <w:rPr>
          <w:spacing w:val="-5"/>
        </w:rPr>
        <w:t> </w:t>
      </w:r>
      <w:r>
        <w:rPr/>
        <w:t>importante</w:t>
      </w:r>
      <w:r>
        <w:rPr>
          <w:spacing w:val="-5"/>
        </w:rPr>
        <w:t> </w:t>
      </w:r>
      <w:r>
        <w:rPr/>
        <w:t>se</w:t>
      </w:r>
      <w:r>
        <w:rPr>
          <w:spacing w:val="-5"/>
        </w:rPr>
        <w:t> </w:t>
      </w:r>
      <w:r>
        <w:rPr/>
        <w:t>a</w:t>
      </w:r>
      <w:r>
        <w:rPr>
          <w:spacing w:val="-5"/>
        </w:rPr>
        <w:t> </w:t>
      </w:r>
      <w:r>
        <w:rPr/>
        <w:t>anamnese não for satisfatória.</w:t>
      </w:r>
    </w:p>
    <w:p>
      <w:pPr>
        <w:pStyle w:val="BodyText"/>
        <w:spacing w:before="133"/>
        <w:ind w:left="0" w:firstLine="0"/>
        <w:jc w:val="left"/>
      </w:pPr>
    </w:p>
    <w:p>
      <w:pPr>
        <w:pStyle w:val="Heading5"/>
        <w:spacing w:before="1"/>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22"/>
        <w:ind w:right="491"/>
      </w:pPr>
      <w:r>
        <w:rPr/>
        <w:t>O tratamento clínico de um paciente com insuficiência mitral em fase assintomática depende da função ventricular. Quando o indivíduo é assintomático e tem a função ventricular preservada, não há indicação para se introduzir terapia medicamentosa. Quando existe disfunção ventricular com fração de ejeção ≤ 0,60 e diâmetro diastólico final ≥ 45 mm, e mesmo assim o indivíduo permanece assintomático, ou quando ele é sintomático e a função do VE está preservada, a melhor opção é a correção cirúrgica. A correção cirúrgica também está indicada para</w:t>
      </w:r>
      <w:r>
        <w:rPr>
          <w:spacing w:val="-3"/>
        </w:rPr>
        <w:t> </w:t>
      </w:r>
      <w:r>
        <w:rPr/>
        <w:t>o</w:t>
      </w:r>
      <w:r>
        <w:rPr>
          <w:spacing w:val="-1"/>
        </w:rPr>
        <w:t> </w:t>
      </w:r>
      <w:r>
        <w:rPr/>
        <w:t>paciente</w:t>
      </w:r>
      <w:r>
        <w:rPr>
          <w:spacing w:val="-3"/>
        </w:rPr>
        <w:t> </w:t>
      </w:r>
      <w:r>
        <w:rPr/>
        <w:t>com</w:t>
      </w:r>
      <w:r>
        <w:rPr>
          <w:spacing w:val="-1"/>
        </w:rPr>
        <w:t> </w:t>
      </w:r>
      <w:r>
        <w:rPr/>
        <w:t>disfunção</w:t>
      </w:r>
      <w:r>
        <w:rPr>
          <w:spacing w:val="-1"/>
        </w:rPr>
        <w:t> </w:t>
      </w:r>
      <w:r>
        <w:rPr/>
        <w:t>ventricular (fração</w:t>
      </w:r>
      <w:r>
        <w:rPr>
          <w:spacing w:val="-1"/>
        </w:rPr>
        <w:t> </w:t>
      </w:r>
      <w:r>
        <w:rPr/>
        <w:t>de</w:t>
      </w:r>
      <w:r>
        <w:rPr>
          <w:spacing w:val="-3"/>
        </w:rPr>
        <w:t> </w:t>
      </w:r>
      <w:r>
        <w:rPr/>
        <w:t>ejeção</w:t>
      </w:r>
      <w:r>
        <w:rPr>
          <w:spacing w:val="-1"/>
        </w:rPr>
        <w:t> </w:t>
      </w:r>
      <w:r>
        <w:rPr/>
        <w:t>≤ 0,60</w:t>
      </w:r>
      <w:r>
        <w:rPr>
          <w:spacing w:val="-1"/>
        </w:rPr>
        <w:t> </w:t>
      </w:r>
      <w:r>
        <w:rPr/>
        <w:t>e</w:t>
      </w:r>
      <w:r>
        <w:rPr>
          <w:spacing w:val="-3"/>
        </w:rPr>
        <w:t> </w:t>
      </w:r>
      <w:r>
        <w:rPr/>
        <w:t>diâmetro</w:t>
      </w:r>
      <w:r>
        <w:rPr>
          <w:spacing w:val="-1"/>
        </w:rPr>
        <w:t> </w:t>
      </w:r>
      <w:r>
        <w:rPr/>
        <w:t>diástole</w:t>
      </w:r>
      <w:r>
        <w:rPr>
          <w:spacing w:val="-3"/>
        </w:rPr>
        <w:t> </w:t>
      </w:r>
      <w:r>
        <w:rPr/>
        <w:t>final ≥ 45</w:t>
      </w:r>
      <w:r>
        <w:rPr>
          <w:spacing w:val="-1"/>
        </w:rPr>
        <w:t> </w:t>
      </w:r>
      <w:r>
        <w:rPr/>
        <w:t>mm). A</w:t>
      </w:r>
      <w:r>
        <w:rPr>
          <w:spacing w:val="-3"/>
        </w:rPr>
        <w:t> </w:t>
      </w:r>
      <w:r>
        <w:rPr/>
        <w:t>indicação cirúrgica para pacientes assintomáticos e com função ventricular preservada deve ser considerada quando há possibilidade</w:t>
      </w:r>
      <w:r>
        <w:rPr>
          <w:spacing w:val="-11"/>
        </w:rPr>
        <w:t> </w:t>
      </w:r>
      <w:r>
        <w:rPr/>
        <w:t>de</w:t>
      </w:r>
      <w:r>
        <w:rPr>
          <w:spacing w:val="-11"/>
        </w:rPr>
        <w:t> </w:t>
      </w:r>
      <w:r>
        <w:rPr/>
        <w:t>plástica</w:t>
      </w:r>
      <w:r>
        <w:rPr>
          <w:spacing w:val="-11"/>
        </w:rPr>
        <w:t> </w:t>
      </w:r>
      <w:r>
        <w:rPr/>
        <w:t>de</w:t>
      </w:r>
      <w:r>
        <w:rPr>
          <w:spacing w:val="-11"/>
        </w:rPr>
        <w:t> </w:t>
      </w:r>
      <w:r>
        <w:rPr/>
        <w:t>valva</w:t>
      </w:r>
      <w:r>
        <w:rPr>
          <w:spacing w:val="-11"/>
        </w:rPr>
        <w:t> </w:t>
      </w:r>
      <w:r>
        <w:rPr/>
        <w:t>e</w:t>
      </w:r>
      <w:r>
        <w:rPr>
          <w:spacing w:val="-11"/>
        </w:rPr>
        <w:t> </w:t>
      </w:r>
      <w:r>
        <w:rPr/>
        <w:t>o</w:t>
      </w:r>
      <w:r>
        <w:rPr>
          <w:spacing w:val="-8"/>
        </w:rPr>
        <w:t> </w:t>
      </w:r>
      <w:r>
        <w:rPr/>
        <w:t>êxito</w:t>
      </w:r>
      <w:r>
        <w:rPr>
          <w:spacing w:val="-8"/>
        </w:rPr>
        <w:t> </w:t>
      </w:r>
      <w:r>
        <w:rPr/>
        <w:t>cirúrgico</w:t>
      </w:r>
      <w:r>
        <w:rPr>
          <w:spacing w:val="-8"/>
        </w:rPr>
        <w:t> </w:t>
      </w:r>
      <w:r>
        <w:rPr/>
        <w:t>é</w:t>
      </w:r>
      <w:r>
        <w:rPr>
          <w:spacing w:val="-11"/>
        </w:rPr>
        <w:t> </w:t>
      </w:r>
      <w:r>
        <w:rPr/>
        <w:t>garantido,</w:t>
      </w:r>
      <w:r>
        <w:rPr>
          <w:spacing w:val="-1"/>
        </w:rPr>
        <w:t> </w:t>
      </w:r>
      <w:r>
        <w:rPr/>
        <w:t>devendo</w:t>
      </w:r>
      <w:r>
        <w:rPr>
          <w:spacing w:val="-8"/>
        </w:rPr>
        <w:t> </w:t>
      </w:r>
      <w:r>
        <w:rPr/>
        <w:t>também</w:t>
      </w:r>
      <w:r>
        <w:rPr>
          <w:spacing w:val="-8"/>
        </w:rPr>
        <w:t> </w:t>
      </w:r>
      <w:r>
        <w:rPr/>
        <w:t>ser</w:t>
      </w:r>
      <w:r>
        <w:rPr>
          <w:spacing w:val="-3"/>
        </w:rPr>
        <w:t> </w:t>
      </w:r>
      <w:r>
        <w:rPr/>
        <w:t>levada</w:t>
      </w:r>
      <w:r>
        <w:rPr>
          <w:spacing w:val="-11"/>
        </w:rPr>
        <w:t> </w:t>
      </w:r>
      <w:r>
        <w:rPr/>
        <w:t>em</w:t>
      </w:r>
      <w:r>
        <w:rPr>
          <w:spacing w:val="-8"/>
        </w:rPr>
        <w:t> </w:t>
      </w:r>
      <w:r>
        <w:rPr/>
        <w:t>conta</w:t>
      </w:r>
      <w:r>
        <w:rPr>
          <w:spacing w:val="-11"/>
        </w:rPr>
        <w:t> </w:t>
      </w:r>
      <w:r>
        <w:rPr/>
        <w:t>a</w:t>
      </w:r>
      <w:r>
        <w:rPr>
          <w:spacing w:val="-11"/>
        </w:rPr>
        <w:t> </w:t>
      </w:r>
      <w:r>
        <w:rPr/>
        <w:t>experiência cirúrgica da equipe.</w:t>
      </w:r>
    </w:p>
    <w:p>
      <w:pPr>
        <w:pStyle w:val="BodyText"/>
        <w:spacing w:line="276" w:lineRule="auto"/>
        <w:ind w:right="488"/>
      </w:pPr>
      <w:r>
        <w:rPr/>
        <w:t>A</w:t>
      </w:r>
      <w:r>
        <w:rPr>
          <w:spacing w:val="-9"/>
        </w:rPr>
        <w:t> </w:t>
      </w:r>
      <w:r>
        <w:rPr/>
        <w:t>fibrilação</w:t>
      </w:r>
      <w:r>
        <w:rPr>
          <w:spacing w:val="-6"/>
        </w:rPr>
        <w:t> </w:t>
      </w:r>
      <w:r>
        <w:rPr/>
        <w:t>atrial</w:t>
      </w:r>
      <w:r>
        <w:rPr>
          <w:spacing w:val="-4"/>
        </w:rPr>
        <w:t> </w:t>
      </w:r>
      <w:r>
        <w:rPr/>
        <w:t>é</w:t>
      </w:r>
      <w:r>
        <w:rPr>
          <w:spacing w:val="-9"/>
        </w:rPr>
        <w:t> </w:t>
      </w:r>
      <w:r>
        <w:rPr/>
        <w:t>frequente</w:t>
      </w:r>
      <w:r>
        <w:rPr>
          <w:spacing w:val="-9"/>
        </w:rPr>
        <w:t> </w:t>
      </w:r>
      <w:r>
        <w:rPr/>
        <w:t>nas doenças da</w:t>
      </w:r>
      <w:r>
        <w:rPr>
          <w:spacing w:val="-9"/>
        </w:rPr>
        <w:t> </w:t>
      </w:r>
      <w:r>
        <w:rPr/>
        <w:t>valva</w:t>
      </w:r>
      <w:r>
        <w:rPr>
          <w:spacing w:val="-9"/>
        </w:rPr>
        <w:t> </w:t>
      </w:r>
      <w:r>
        <w:rPr/>
        <w:t>mitral, mas geralmente</w:t>
      </w:r>
      <w:r>
        <w:rPr>
          <w:spacing w:val="-9"/>
        </w:rPr>
        <w:t> </w:t>
      </w:r>
      <w:r>
        <w:rPr/>
        <w:t>ela</w:t>
      </w:r>
      <w:r>
        <w:rPr>
          <w:spacing w:val="-9"/>
        </w:rPr>
        <w:t> </w:t>
      </w:r>
      <w:r>
        <w:rPr/>
        <w:t>pode</w:t>
      </w:r>
      <w:r>
        <w:rPr>
          <w:spacing w:val="-9"/>
        </w:rPr>
        <w:t> </w:t>
      </w:r>
      <w:r>
        <w:rPr/>
        <w:t>ser</w:t>
      </w:r>
      <w:r>
        <w:rPr>
          <w:spacing w:val="-1"/>
        </w:rPr>
        <w:t> </w:t>
      </w:r>
      <w:r>
        <w:rPr/>
        <w:t>controlada</w:t>
      </w:r>
      <w:r>
        <w:rPr>
          <w:spacing w:val="-9"/>
        </w:rPr>
        <w:t> </w:t>
      </w:r>
      <w:r>
        <w:rPr/>
        <w:t>com</w:t>
      </w:r>
      <w:r>
        <w:rPr>
          <w:spacing w:val="-6"/>
        </w:rPr>
        <w:t> </w:t>
      </w:r>
      <w:r>
        <w:rPr/>
        <w:t>o</w:t>
      </w:r>
      <w:r>
        <w:rPr>
          <w:spacing w:val="-6"/>
        </w:rPr>
        <w:t> </w:t>
      </w:r>
      <w:r>
        <w:rPr/>
        <w:t>uso</w:t>
      </w:r>
      <w:r>
        <w:rPr>
          <w:spacing w:val="-6"/>
        </w:rPr>
        <w:t> </w:t>
      </w:r>
      <w:r>
        <w:rPr/>
        <w:t>de digitálicos, bloqueadores do canal de cálcio e betabloqueadores.</w:t>
      </w:r>
    </w:p>
    <w:p>
      <w:pPr>
        <w:pStyle w:val="BodyText"/>
        <w:spacing w:line="276" w:lineRule="auto"/>
        <w:ind w:right="488"/>
      </w:pPr>
      <w:r>
        <w:rPr/>
        <w:t>A</w:t>
      </w:r>
      <w:r>
        <w:rPr>
          <w:spacing w:val="-4"/>
        </w:rPr>
        <w:t> </w:t>
      </w:r>
      <w:r>
        <w:rPr/>
        <w:t>cardioversão</w:t>
      </w:r>
      <w:r>
        <w:rPr>
          <w:spacing w:val="-2"/>
        </w:rPr>
        <w:t> </w:t>
      </w:r>
      <w:r>
        <w:rPr/>
        <w:t>elétrica</w:t>
      </w:r>
      <w:r>
        <w:rPr>
          <w:spacing w:val="-4"/>
        </w:rPr>
        <w:t> </w:t>
      </w:r>
      <w:r>
        <w:rPr/>
        <w:t>só</w:t>
      </w:r>
      <w:r>
        <w:rPr>
          <w:spacing w:val="-2"/>
        </w:rPr>
        <w:t> </w:t>
      </w:r>
      <w:r>
        <w:rPr/>
        <w:t>é</w:t>
      </w:r>
      <w:r>
        <w:rPr>
          <w:spacing w:val="-4"/>
        </w:rPr>
        <w:t> </w:t>
      </w:r>
      <w:r>
        <w:rPr/>
        <w:t>utilizada</w:t>
      </w:r>
      <w:r>
        <w:rPr>
          <w:spacing w:val="-4"/>
        </w:rPr>
        <w:t> </w:t>
      </w:r>
      <w:r>
        <w:rPr/>
        <w:t>na</w:t>
      </w:r>
      <w:r>
        <w:rPr>
          <w:spacing w:val="-4"/>
        </w:rPr>
        <w:t> </w:t>
      </w:r>
      <w:r>
        <w:rPr/>
        <w:t>falha</w:t>
      </w:r>
      <w:r>
        <w:rPr>
          <w:spacing w:val="-4"/>
        </w:rPr>
        <w:t> </w:t>
      </w:r>
      <w:r>
        <w:rPr/>
        <w:t>do</w:t>
      </w:r>
      <w:r>
        <w:rPr>
          <w:spacing w:val="-2"/>
        </w:rPr>
        <w:t> </w:t>
      </w:r>
      <w:r>
        <w:rPr/>
        <w:t>tratamento</w:t>
      </w:r>
      <w:r>
        <w:rPr>
          <w:spacing w:val="-2"/>
        </w:rPr>
        <w:t> </w:t>
      </w:r>
      <w:r>
        <w:rPr/>
        <w:t>clínico</w:t>
      </w:r>
      <w:r>
        <w:rPr>
          <w:spacing w:val="-2"/>
        </w:rPr>
        <w:t> </w:t>
      </w:r>
      <w:r>
        <w:rPr/>
        <w:t>ou</w:t>
      </w:r>
      <w:r>
        <w:rPr>
          <w:spacing w:val="-2"/>
        </w:rPr>
        <w:t> </w:t>
      </w:r>
      <w:r>
        <w:rPr/>
        <w:t>com</w:t>
      </w:r>
      <w:r>
        <w:rPr>
          <w:spacing w:val="-2"/>
        </w:rPr>
        <w:t> </w:t>
      </w:r>
      <w:r>
        <w:rPr/>
        <w:t>o</w:t>
      </w:r>
      <w:r>
        <w:rPr>
          <w:spacing w:val="-2"/>
        </w:rPr>
        <w:t> </w:t>
      </w:r>
      <w:r>
        <w:rPr/>
        <w:t>baixo</w:t>
      </w:r>
      <w:r>
        <w:rPr>
          <w:spacing w:val="-2"/>
        </w:rPr>
        <w:t> </w:t>
      </w:r>
      <w:r>
        <w:rPr/>
        <w:t>débito</w:t>
      </w:r>
      <w:r>
        <w:rPr>
          <w:spacing w:val="-2"/>
        </w:rPr>
        <w:t> </w:t>
      </w:r>
      <w:r>
        <w:rPr/>
        <w:t>cardíaco. Portanto, a anticoagulação é imprescindível para evitar tromboembolismo, devendo ser feita 3 semanas antes e mantida com medicação oral após o procedimento. A fibrilação atrial, quando se torna crônica, com resposta ventricular adequada, pode ser bem tolerada.</w:t>
      </w:r>
    </w:p>
    <w:p>
      <w:pPr>
        <w:pStyle w:val="BodyText"/>
        <w:spacing w:line="276" w:lineRule="auto" w:before="48"/>
        <w:ind w:right="488"/>
      </w:pPr>
      <w:r>
        <w:rPr/>
        <w:t>Na insuficiência mitral aguda, a desadaptação hemodinâmica é muito rápida e está indicado o uso de vasodilatador intravenoso, como</w:t>
      </w:r>
      <w:r>
        <w:rPr>
          <w:spacing w:val="-5"/>
        </w:rPr>
        <w:t> </w:t>
      </w:r>
      <w:r>
        <w:rPr/>
        <w:t>nitroprussiato</w:t>
      </w:r>
      <w:r>
        <w:rPr>
          <w:spacing w:val="-5"/>
        </w:rPr>
        <w:t> </w:t>
      </w:r>
      <w:r>
        <w:rPr/>
        <w:t>e</w:t>
      </w:r>
      <w:r>
        <w:rPr>
          <w:spacing w:val="-7"/>
        </w:rPr>
        <w:t> </w:t>
      </w:r>
      <w:r>
        <w:rPr/>
        <w:t>outros fármacos associados, como</w:t>
      </w:r>
      <w:r>
        <w:rPr>
          <w:spacing w:val="-5"/>
        </w:rPr>
        <w:t> </w:t>
      </w:r>
      <w:r>
        <w:rPr/>
        <w:t>dopamina</w:t>
      </w:r>
      <w:r>
        <w:rPr>
          <w:spacing w:val="-7"/>
        </w:rPr>
        <w:t> </w:t>
      </w:r>
      <w:r>
        <w:rPr/>
        <w:t>ou</w:t>
      </w:r>
      <w:r>
        <w:rPr>
          <w:spacing w:val="-5"/>
        </w:rPr>
        <w:t> </w:t>
      </w:r>
      <w:r>
        <w:rPr/>
        <w:t>dobutamina. Esse tratamento é</w:t>
      </w:r>
      <w:r>
        <w:rPr>
          <w:spacing w:val="-3"/>
        </w:rPr>
        <w:t> </w:t>
      </w:r>
      <w:r>
        <w:rPr/>
        <w:t>eficaz</w:t>
      </w:r>
      <w:r>
        <w:rPr>
          <w:spacing w:val="-3"/>
        </w:rPr>
        <w:t> </w:t>
      </w:r>
      <w:r>
        <w:rPr/>
        <w:t>temporariamente, enquanto se</w:t>
      </w:r>
      <w:r>
        <w:rPr>
          <w:spacing w:val="-3"/>
        </w:rPr>
        <w:t> </w:t>
      </w:r>
      <w:r>
        <w:rPr/>
        <w:t>aguarda</w:t>
      </w:r>
      <w:r>
        <w:rPr>
          <w:spacing w:val="-3"/>
        </w:rPr>
        <w:t> </w:t>
      </w:r>
      <w:r>
        <w:rPr/>
        <w:t>o controle</w:t>
      </w:r>
      <w:r>
        <w:rPr>
          <w:spacing w:val="-3"/>
        </w:rPr>
        <w:t> </w:t>
      </w:r>
      <w:r>
        <w:rPr/>
        <w:t>de</w:t>
      </w:r>
      <w:r>
        <w:rPr>
          <w:spacing w:val="-3"/>
        </w:rPr>
        <w:t> </w:t>
      </w:r>
      <w:r>
        <w:rPr/>
        <w:t>um infarto agudo ou a</w:t>
      </w:r>
      <w:r>
        <w:rPr>
          <w:spacing w:val="-3"/>
        </w:rPr>
        <w:t> </w:t>
      </w:r>
      <w:r>
        <w:rPr/>
        <w:t>substituição valvar.</w:t>
      </w:r>
    </w:p>
    <w:p>
      <w:pPr>
        <w:pStyle w:val="BodyText"/>
        <w:spacing w:line="276" w:lineRule="auto"/>
        <w:ind w:right="488"/>
      </w:pPr>
      <w:r>
        <w:rPr/>
        <w:t>A</w:t>
      </w:r>
      <w:r>
        <w:rPr>
          <w:spacing w:val="-8"/>
        </w:rPr>
        <w:t> </w:t>
      </w:r>
      <w:r>
        <w:rPr/>
        <w:t>substituição</w:t>
      </w:r>
      <w:r>
        <w:rPr>
          <w:spacing w:val="-5"/>
        </w:rPr>
        <w:t> </w:t>
      </w:r>
      <w:r>
        <w:rPr/>
        <w:t>da</w:t>
      </w:r>
      <w:r>
        <w:rPr>
          <w:spacing w:val="-8"/>
        </w:rPr>
        <w:t> </w:t>
      </w:r>
      <w:r>
        <w:rPr/>
        <w:t>valva</w:t>
      </w:r>
      <w:r>
        <w:rPr>
          <w:spacing w:val="-8"/>
        </w:rPr>
        <w:t> </w:t>
      </w:r>
      <w:r>
        <w:rPr/>
        <w:t>doente</w:t>
      </w:r>
      <w:r>
        <w:rPr>
          <w:spacing w:val="-8"/>
        </w:rPr>
        <w:t> </w:t>
      </w:r>
      <w:r>
        <w:rPr/>
        <w:t>por outra</w:t>
      </w:r>
      <w:r>
        <w:rPr>
          <w:spacing w:val="-8"/>
        </w:rPr>
        <w:t> </w:t>
      </w:r>
      <w:r>
        <w:rPr/>
        <w:t>em</w:t>
      </w:r>
      <w:r>
        <w:rPr>
          <w:spacing w:val="-5"/>
        </w:rPr>
        <w:t> </w:t>
      </w:r>
      <w:r>
        <w:rPr/>
        <w:t>perfeitas condições seria</w:t>
      </w:r>
      <w:r>
        <w:rPr>
          <w:spacing w:val="-8"/>
        </w:rPr>
        <w:t> </w:t>
      </w:r>
      <w:r>
        <w:rPr/>
        <w:t>o</w:t>
      </w:r>
      <w:r>
        <w:rPr>
          <w:spacing w:val="-5"/>
        </w:rPr>
        <w:t> </w:t>
      </w:r>
      <w:r>
        <w:rPr/>
        <w:t>ideal, mas apesar de</w:t>
      </w:r>
      <w:r>
        <w:rPr>
          <w:spacing w:val="-8"/>
        </w:rPr>
        <w:t> </w:t>
      </w:r>
      <w:r>
        <w:rPr/>
        <w:t>todo</w:t>
      </w:r>
      <w:r>
        <w:rPr>
          <w:spacing w:val="-5"/>
        </w:rPr>
        <w:t> </w:t>
      </w:r>
      <w:r>
        <w:rPr/>
        <w:t>o</w:t>
      </w:r>
      <w:r>
        <w:rPr>
          <w:spacing w:val="-5"/>
        </w:rPr>
        <w:t> </w:t>
      </w:r>
      <w:r>
        <w:rPr/>
        <w:t>progresso</w:t>
      </w:r>
      <w:r>
        <w:rPr>
          <w:spacing w:val="-5"/>
        </w:rPr>
        <w:t> </w:t>
      </w:r>
      <w:r>
        <w:rPr/>
        <w:t>da última década, ainda não se alcançou esse objetivo. Assim, não se pode esquecer que a mortalidade cirúrgica depende dos estados hemodinâmico e clínico do paciente, enquanto a evolução tardia depende do tipo de cirurgia realizada, se restauradora ou substituição valvar.</w:t>
      </w:r>
    </w:p>
    <w:p>
      <w:pPr>
        <w:pStyle w:val="BodyText"/>
        <w:spacing w:line="276" w:lineRule="auto" w:before="48"/>
        <w:ind w:right="488"/>
      </w:pPr>
      <w:r>
        <w:rPr/>
        <w:t>Mesmo</w:t>
      </w:r>
      <w:r>
        <w:rPr>
          <w:spacing w:val="-6"/>
        </w:rPr>
        <w:t> </w:t>
      </w:r>
      <w:r>
        <w:rPr/>
        <w:t>com</w:t>
      </w:r>
      <w:r>
        <w:rPr>
          <w:spacing w:val="-6"/>
        </w:rPr>
        <w:t> </w:t>
      </w:r>
      <w:r>
        <w:rPr/>
        <w:t>uma</w:t>
      </w:r>
      <w:r>
        <w:rPr>
          <w:spacing w:val="-8"/>
        </w:rPr>
        <w:t> </w:t>
      </w:r>
      <w:r>
        <w:rPr/>
        <w:t>prótese</w:t>
      </w:r>
      <w:r>
        <w:rPr>
          <w:spacing w:val="-8"/>
        </w:rPr>
        <w:t> </w:t>
      </w:r>
      <w:r>
        <w:rPr/>
        <w:t>ideal, particularmente</w:t>
      </w:r>
      <w:r>
        <w:rPr>
          <w:spacing w:val="-8"/>
        </w:rPr>
        <w:t> </w:t>
      </w:r>
      <w:r>
        <w:rPr/>
        <w:t>na</w:t>
      </w:r>
      <w:r>
        <w:rPr>
          <w:spacing w:val="-8"/>
        </w:rPr>
        <w:t> </w:t>
      </w:r>
      <w:r>
        <w:rPr/>
        <w:t>posição</w:t>
      </w:r>
      <w:r>
        <w:rPr>
          <w:spacing w:val="-6"/>
        </w:rPr>
        <w:t> </w:t>
      </w:r>
      <w:r>
        <w:rPr/>
        <w:t>mitral, a</w:t>
      </w:r>
      <w:r>
        <w:rPr>
          <w:spacing w:val="-8"/>
        </w:rPr>
        <w:t> </w:t>
      </w:r>
      <w:r>
        <w:rPr/>
        <w:t>função</w:t>
      </w:r>
      <w:r>
        <w:rPr>
          <w:spacing w:val="-6"/>
        </w:rPr>
        <w:t> </w:t>
      </w:r>
      <w:r>
        <w:rPr/>
        <w:t>ventricular</w:t>
      </w:r>
      <w:r>
        <w:rPr>
          <w:spacing w:val="-1"/>
        </w:rPr>
        <w:t> </w:t>
      </w:r>
      <w:r>
        <w:rPr/>
        <w:t>deteriora-se</w:t>
      </w:r>
      <w:r>
        <w:rPr>
          <w:spacing w:val="-8"/>
        </w:rPr>
        <w:t> </w:t>
      </w:r>
      <w:r>
        <w:rPr/>
        <w:t>rapidamente porque</w:t>
      </w:r>
      <w:r>
        <w:rPr>
          <w:spacing w:val="-9"/>
        </w:rPr>
        <w:t> </w:t>
      </w:r>
      <w:r>
        <w:rPr/>
        <w:t>esta</w:t>
      </w:r>
      <w:r>
        <w:rPr>
          <w:spacing w:val="-9"/>
        </w:rPr>
        <w:t> </w:t>
      </w:r>
      <w:r>
        <w:rPr/>
        <w:t>trabalha</w:t>
      </w:r>
      <w:r>
        <w:rPr>
          <w:spacing w:val="-9"/>
        </w:rPr>
        <w:t> </w:t>
      </w:r>
      <w:r>
        <w:rPr/>
        <w:t>sincronizada</w:t>
      </w:r>
      <w:r>
        <w:rPr>
          <w:spacing w:val="-9"/>
        </w:rPr>
        <w:t> </w:t>
      </w:r>
      <w:r>
        <w:rPr/>
        <w:t>com</w:t>
      </w:r>
      <w:r>
        <w:rPr>
          <w:spacing w:val="-7"/>
        </w:rPr>
        <w:t> </w:t>
      </w:r>
      <w:r>
        <w:rPr/>
        <w:t>outros elementos que</w:t>
      </w:r>
      <w:r>
        <w:rPr>
          <w:spacing w:val="-9"/>
        </w:rPr>
        <w:t> </w:t>
      </w:r>
      <w:r>
        <w:rPr/>
        <w:t>formam</w:t>
      </w:r>
      <w:r>
        <w:rPr>
          <w:spacing w:val="-7"/>
        </w:rPr>
        <w:t> </w:t>
      </w:r>
      <w:r>
        <w:rPr/>
        <w:t>o</w:t>
      </w:r>
      <w:r>
        <w:rPr>
          <w:spacing w:val="-7"/>
        </w:rPr>
        <w:t> </w:t>
      </w:r>
      <w:r>
        <w:rPr/>
        <w:t>aparelho</w:t>
      </w:r>
      <w:r>
        <w:rPr>
          <w:spacing w:val="-7"/>
        </w:rPr>
        <w:t> </w:t>
      </w:r>
      <w:r>
        <w:rPr/>
        <w:t>valvar</w:t>
      </w:r>
      <w:r>
        <w:rPr>
          <w:spacing w:val="-2"/>
        </w:rPr>
        <w:t> </w:t>
      </w:r>
      <w:r>
        <w:rPr/>
        <w:t>mitral, o</w:t>
      </w:r>
      <w:r>
        <w:rPr>
          <w:spacing w:val="-7"/>
        </w:rPr>
        <w:t> </w:t>
      </w:r>
      <w:r>
        <w:rPr/>
        <w:t>qual, como</w:t>
      </w:r>
      <w:r>
        <w:rPr>
          <w:spacing w:val="-7"/>
        </w:rPr>
        <w:t> </w:t>
      </w:r>
      <w:r>
        <w:rPr/>
        <w:t>descrito anteriormente, é muito complexo, sendo parte integrante do VE. Assim, a substituição de um de seus elementos prejudica</w:t>
      </w:r>
      <w:r>
        <w:rPr>
          <w:spacing w:val="-4"/>
        </w:rPr>
        <w:t> </w:t>
      </w:r>
      <w:r>
        <w:rPr/>
        <w:t>a</w:t>
      </w:r>
      <w:r>
        <w:rPr>
          <w:spacing w:val="-4"/>
        </w:rPr>
        <w:t> </w:t>
      </w:r>
      <w:r>
        <w:rPr/>
        <w:t>harmonia</w:t>
      </w:r>
      <w:r>
        <w:rPr>
          <w:spacing w:val="-4"/>
        </w:rPr>
        <w:t> </w:t>
      </w:r>
      <w:r>
        <w:rPr/>
        <w:t>da</w:t>
      </w:r>
      <w:r>
        <w:rPr>
          <w:spacing w:val="-4"/>
        </w:rPr>
        <w:t> </w:t>
      </w:r>
      <w:r>
        <w:rPr/>
        <w:t>sua</w:t>
      </w:r>
      <w:r>
        <w:rPr>
          <w:spacing w:val="-4"/>
        </w:rPr>
        <w:t> </w:t>
      </w:r>
      <w:r>
        <w:rPr/>
        <w:t>função, levando</w:t>
      </w:r>
      <w:r>
        <w:rPr>
          <w:spacing w:val="-1"/>
        </w:rPr>
        <w:t> </w:t>
      </w:r>
      <w:r>
        <w:rPr/>
        <w:t>inevitavelmente</w:t>
      </w:r>
      <w:r>
        <w:rPr>
          <w:spacing w:val="-4"/>
        </w:rPr>
        <w:t> </w:t>
      </w:r>
      <w:r>
        <w:rPr/>
        <w:t>à</w:t>
      </w:r>
      <w:r>
        <w:rPr>
          <w:spacing w:val="-4"/>
        </w:rPr>
        <w:t> </w:t>
      </w:r>
      <w:r>
        <w:rPr/>
        <w:t>deterioração</w:t>
      </w:r>
      <w:r>
        <w:rPr>
          <w:spacing w:val="-1"/>
        </w:rPr>
        <w:t> </w:t>
      </w:r>
      <w:r>
        <w:rPr/>
        <w:t>miocárdica.</w:t>
      </w:r>
    </w:p>
    <w:p>
      <w:pPr>
        <w:pStyle w:val="BodyText"/>
        <w:spacing w:line="276" w:lineRule="auto"/>
        <w:ind w:right="491"/>
      </w:pPr>
      <w:r>
        <w:rPr/>
        <w:t>Assim, a plástica valvar, sempre que possível, deve ser considerada pelos seus melhores resultados, não só evitando as complicações das próteses, mas, particularmente, na posição mitral, por conservar a estrutura do aparelho valvar.</w:t>
      </w:r>
    </w:p>
    <w:p>
      <w:pPr>
        <w:pStyle w:val="BodyText"/>
        <w:spacing w:after="0" w:line="276" w:lineRule="auto"/>
        <w:sectPr>
          <w:pgSz w:w="11900" w:h="16840"/>
          <w:pgMar w:top="220" w:bottom="280" w:left="566" w:right="141"/>
        </w:sectPr>
      </w:pPr>
    </w:p>
    <w:p>
      <w:pPr>
        <w:pStyle w:val="Heading5"/>
        <w:spacing w:before="77"/>
      </w:pPr>
      <w:r>
        <w:rPr>
          <w:color w:val="A26108"/>
          <w:spacing w:val="-2"/>
        </w:rPr>
        <w:t>Prognóstico</w:t>
      </w:r>
    </w:p>
    <w:p>
      <w:pPr>
        <w:pStyle w:val="BodyText"/>
        <w:spacing w:line="276" w:lineRule="auto" w:before="138"/>
        <w:ind w:right="497"/>
        <w:jc w:val="left"/>
      </w:pPr>
      <w:r>
        <w:rPr/>
        <w:t>A</w:t>
      </w:r>
      <w:r>
        <w:rPr>
          <w:spacing w:val="-12"/>
        </w:rPr>
        <w:t> </w:t>
      </w:r>
      <w:r>
        <w:rPr/>
        <w:t>história</w:t>
      </w:r>
      <w:r>
        <w:rPr>
          <w:spacing w:val="-12"/>
        </w:rPr>
        <w:t> </w:t>
      </w:r>
      <w:r>
        <w:rPr/>
        <w:t>natural</w:t>
      </w:r>
      <w:r>
        <w:rPr>
          <w:spacing w:val="-8"/>
        </w:rPr>
        <w:t> </w:t>
      </w:r>
      <w:r>
        <w:rPr/>
        <w:t>da</w:t>
      </w:r>
      <w:r>
        <w:rPr>
          <w:spacing w:val="-12"/>
        </w:rPr>
        <w:t> </w:t>
      </w:r>
      <w:r>
        <w:rPr/>
        <w:t>doença</w:t>
      </w:r>
      <w:r>
        <w:rPr>
          <w:spacing w:val="-12"/>
        </w:rPr>
        <w:t> </w:t>
      </w:r>
      <w:r>
        <w:rPr/>
        <w:t>dependerá</w:t>
      </w:r>
      <w:r>
        <w:rPr>
          <w:spacing w:val="-12"/>
        </w:rPr>
        <w:t> </w:t>
      </w:r>
      <w:r>
        <w:rPr/>
        <w:t>da</w:t>
      </w:r>
      <w:r>
        <w:rPr>
          <w:spacing w:val="-12"/>
        </w:rPr>
        <w:t> </w:t>
      </w:r>
      <w:r>
        <w:rPr/>
        <w:t>etiologia</w:t>
      </w:r>
      <w:r>
        <w:rPr>
          <w:spacing w:val="-12"/>
        </w:rPr>
        <w:t> </w:t>
      </w:r>
      <w:r>
        <w:rPr/>
        <w:t>e</w:t>
      </w:r>
      <w:r>
        <w:rPr>
          <w:spacing w:val="-12"/>
        </w:rPr>
        <w:t> </w:t>
      </w:r>
      <w:r>
        <w:rPr/>
        <w:t>do</w:t>
      </w:r>
      <w:r>
        <w:rPr>
          <w:spacing w:val="-10"/>
        </w:rPr>
        <w:t> </w:t>
      </w:r>
      <w:r>
        <w:rPr/>
        <w:t>comprometimento</w:t>
      </w:r>
      <w:r>
        <w:rPr>
          <w:spacing w:val="-10"/>
        </w:rPr>
        <w:t> </w:t>
      </w:r>
      <w:r>
        <w:rPr/>
        <w:t>miocárdico</w:t>
      </w:r>
      <w:r>
        <w:rPr>
          <w:spacing w:val="-10"/>
        </w:rPr>
        <w:t> </w:t>
      </w:r>
      <w:r>
        <w:rPr/>
        <w:t>do</w:t>
      </w:r>
      <w:r>
        <w:rPr>
          <w:spacing w:val="-10"/>
        </w:rPr>
        <w:t> </w:t>
      </w:r>
      <w:r>
        <w:rPr/>
        <w:t>paciente,</w:t>
      </w:r>
      <w:r>
        <w:rPr>
          <w:spacing w:val="-2"/>
        </w:rPr>
        <w:t> </w:t>
      </w:r>
      <w:r>
        <w:rPr/>
        <w:t>no</w:t>
      </w:r>
      <w:r>
        <w:rPr>
          <w:spacing w:val="-10"/>
        </w:rPr>
        <w:t> </w:t>
      </w:r>
      <w:r>
        <w:rPr/>
        <w:t>momento do exame. A</w:t>
      </w:r>
      <w:r>
        <w:rPr>
          <w:spacing w:val="-2"/>
        </w:rPr>
        <w:t> </w:t>
      </w:r>
      <w:r>
        <w:rPr/>
        <w:t>evolução é</w:t>
      </w:r>
      <w:r>
        <w:rPr>
          <w:spacing w:val="-2"/>
        </w:rPr>
        <w:t> </w:t>
      </w:r>
      <w:r>
        <w:rPr/>
        <w:t>mais rápida</w:t>
      </w:r>
      <w:r>
        <w:rPr>
          <w:spacing w:val="-2"/>
        </w:rPr>
        <w:t> </w:t>
      </w:r>
      <w:r>
        <w:rPr/>
        <w:t>em doença</w:t>
      </w:r>
      <w:r>
        <w:rPr>
          <w:spacing w:val="-2"/>
        </w:rPr>
        <w:t> </w:t>
      </w:r>
      <w:r>
        <w:rPr/>
        <w:t>do tecido conectivo e</w:t>
      </w:r>
      <w:r>
        <w:rPr>
          <w:spacing w:val="-2"/>
        </w:rPr>
        <w:t> </w:t>
      </w:r>
      <w:r>
        <w:rPr/>
        <w:t>síndrome</w:t>
      </w:r>
      <w:r>
        <w:rPr>
          <w:spacing w:val="-2"/>
        </w:rPr>
        <w:t> </w:t>
      </w:r>
      <w:r>
        <w:rPr/>
        <w:t>de</w:t>
      </w:r>
      <w:r>
        <w:rPr>
          <w:spacing w:val="-2"/>
        </w:rPr>
        <w:t> </w:t>
      </w:r>
      <w:r>
        <w:rPr/>
        <w:t>Marfan.</w:t>
      </w:r>
    </w:p>
    <w:p>
      <w:pPr>
        <w:pStyle w:val="BodyText"/>
        <w:spacing w:line="276" w:lineRule="auto" w:before="48"/>
        <w:ind w:right="497"/>
        <w:jc w:val="left"/>
      </w:pPr>
      <w:r>
        <w:rPr/>
        <w:t>Quando</w:t>
      </w:r>
      <w:r>
        <w:rPr>
          <w:spacing w:val="-5"/>
        </w:rPr>
        <w:t> </w:t>
      </w:r>
      <w:r>
        <w:rPr/>
        <w:t>o</w:t>
      </w:r>
      <w:r>
        <w:rPr>
          <w:spacing w:val="-5"/>
        </w:rPr>
        <w:t> </w:t>
      </w:r>
      <w:r>
        <w:rPr/>
        <w:t>diagnóstico</w:t>
      </w:r>
      <w:r>
        <w:rPr>
          <w:spacing w:val="-5"/>
        </w:rPr>
        <w:t> </w:t>
      </w:r>
      <w:r>
        <w:rPr/>
        <w:t>é</w:t>
      </w:r>
      <w:r>
        <w:rPr>
          <w:spacing w:val="-8"/>
        </w:rPr>
        <w:t> </w:t>
      </w:r>
      <w:r>
        <w:rPr/>
        <w:t>estabelecido</w:t>
      </w:r>
      <w:r>
        <w:rPr>
          <w:spacing w:val="-5"/>
        </w:rPr>
        <w:t> </w:t>
      </w:r>
      <w:r>
        <w:rPr/>
        <w:t>em</w:t>
      </w:r>
      <w:r>
        <w:rPr>
          <w:spacing w:val="-5"/>
        </w:rPr>
        <w:t> </w:t>
      </w:r>
      <w:r>
        <w:rPr/>
        <w:t>fase</w:t>
      </w:r>
      <w:r>
        <w:rPr>
          <w:spacing w:val="-8"/>
        </w:rPr>
        <w:t> </w:t>
      </w:r>
      <w:r>
        <w:rPr/>
        <w:t>inicial</w:t>
      </w:r>
      <w:r>
        <w:rPr>
          <w:spacing w:val="-2"/>
        </w:rPr>
        <w:t> </w:t>
      </w:r>
      <w:r>
        <w:rPr/>
        <w:t>da</w:t>
      </w:r>
      <w:r>
        <w:rPr>
          <w:spacing w:val="-8"/>
        </w:rPr>
        <w:t> </w:t>
      </w:r>
      <w:r>
        <w:rPr/>
        <w:t>moléstia, a</w:t>
      </w:r>
      <w:r>
        <w:rPr>
          <w:spacing w:val="-8"/>
        </w:rPr>
        <w:t> </w:t>
      </w:r>
      <w:r>
        <w:rPr/>
        <w:t>sobrevida</w:t>
      </w:r>
      <w:r>
        <w:rPr>
          <w:spacing w:val="-8"/>
        </w:rPr>
        <w:t> </w:t>
      </w:r>
      <w:r>
        <w:rPr/>
        <w:t>é</w:t>
      </w:r>
      <w:r>
        <w:rPr>
          <w:spacing w:val="-8"/>
        </w:rPr>
        <w:t> </w:t>
      </w:r>
      <w:r>
        <w:rPr/>
        <w:t>de</w:t>
      </w:r>
      <w:r>
        <w:rPr>
          <w:spacing w:val="-8"/>
        </w:rPr>
        <w:t> </w:t>
      </w:r>
      <w:r>
        <w:rPr/>
        <w:t>80%</w:t>
      </w:r>
      <w:r>
        <w:rPr>
          <w:spacing w:val="-2"/>
        </w:rPr>
        <w:t> </w:t>
      </w:r>
      <w:r>
        <w:rPr/>
        <w:t>em</w:t>
      </w:r>
      <w:r>
        <w:rPr>
          <w:spacing w:val="-5"/>
        </w:rPr>
        <w:t> </w:t>
      </w:r>
      <w:r>
        <w:rPr/>
        <w:t>5</w:t>
      </w:r>
      <w:r>
        <w:rPr>
          <w:spacing w:val="-5"/>
        </w:rPr>
        <w:t> </w:t>
      </w:r>
      <w:r>
        <w:rPr/>
        <w:t>anos e, às vezes, de até</w:t>
      </w:r>
      <w:r>
        <w:rPr>
          <w:spacing w:val="-2"/>
        </w:rPr>
        <w:t> </w:t>
      </w:r>
      <w:r>
        <w:rPr/>
        <w:t>60% em 10 anos; porém, quando em fase</w:t>
      </w:r>
      <w:r>
        <w:rPr>
          <w:spacing w:val="-2"/>
        </w:rPr>
        <w:t> </w:t>
      </w:r>
      <w:r>
        <w:rPr/>
        <w:t>mais avançada, só 45% dos pacientes estão vivos em 5 anos.</w:t>
      </w:r>
    </w:p>
    <w:p>
      <w:pPr>
        <w:pStyle w:val="BodyText"/>
        <w:spacing w:line="276" w:lineRule="auto"/>
        <w:jc w:val="left"/>
      </w:pPr>
      <w:r>
        <w:rPr/>
        <w:t>O</w:t>
      </w:r>
      <w:r>
        <w:rPr>
          <w:spacing w:val="77"/>
        </w:rPr>
        <w:t> </w:t>
      </w:r>
      <w:r>
        <w:rPr/>
        <w:t>prognóstico</w:t>
      </w:r>
      <w:r>
        <w:rPr>
          <w:spacing w:val="80"/>
        </w:rPr>
        <w:t> </w:t>
      </w:r>
      <w:r>
        <w:rPr/>
        <w:t>do</w:t>
      </w:r>
      <w:r>
        <w:rPr>
          <w:spacing w:val="80"/>
        </w:rPr>
        <w:t> </w:t>
      </w:r>
      <w:r>
        <w:rPr/>
        <w:t>tratamento</w:t>
      </w:r>
      <w:r>
        <w:rPr>
          <w:spacing w:val="80"/>
        </w:rPr>
        <w:t> </w:t>
      </w:r>
      <w:r>
        <w:rPr/>
        <w:t>cirúrgico</w:t>
      </w:r>
      <w:r>
        <w:rPr>
          <w:spacing w:val="80"/>
        </w:rPr>
        <w:t> </w:t>
      </w:r>
      <w:r>
        <w:rPr/>
        <w:t>da</w:t>
      </w:r>
      <w:r>
        <w:rPr>
          <w:spacing w:val="77"/>
        </w:rPr>
        <w:t> </w:t>
      </w:r>
      <w:r>
        <w:rPr/>
        <w:t>insuficiência</w:t>
      </w:r>
      <w:r>
        <w:rPr>
          <w:spacing w:val="77"/>
        </w:rPr>
        <w:t> </w:t>
      </w:r>
      <w:r>
        <w:rPr/>
        <w:t>mitral</w:t>
      </w:r>
      <w:r>
        <w:rPr>
          <w:spacing w:val="80"/>
        </w:rPr>
        <w:t> </w:t>
      </w:r>
      <w:r>
        <w:rPr/>
        <w:t>depende,</w:t>
      </w:r>
      <w:r>
        <w:rPr>
          <w:spacing w:val="80"/>
        </w:rPr>
        <w:t> </w:t>
      </w:r>
      <w:r>
        <w:rPr/>
        <w:t>assim,</w:t>
      </w:r>
      <w:r>
        <w:rPr>
          <w:spacing w:val="80"/>
        </w:rPr>
        <w:t> </w:t>
      </w:r>
      <w:r>
        <w:rPr/>
        <w:t>de</w:t>
      </w:r>
      <w:r>
        <w:rPr>
          <w:spacing w:val="77"/>
        </w:rPr>
        <w:t> </w:t>
      </w:r>
      <w:r>
        <w:rPr/>
        <w:t>dois</w:t>
      </w:r>
      <w:r>
        <w:rPr>
          <w:spacing w:val="80"/>
        </w:rPr>
        <w:t> </w:t>
      </w:r>
      <w:r>
        <w:rPr/>
        <w:t>parâmetros:</w:t>
      </w:r>
      <w:r>
        <w:rPr>
          <w:spacing w:val="80"/>
        </w:rPr>
        <w:t> </w:t>
      </w:r>
      <w:r>
        <w:rPr/>
        <w:t>a contratilidade miocárdica e o volume sistólico final.</w:t>
      </w:r>
    </w:p>
    <w:p>
      <w:pPr>
        <w:pStyle w:val="BodyText"/>
        <w:spacing w:before="24"/>
        <w:ind w:left="0" w:firstLine="0"/>
        <w:jc w:val="left"/>
      </w:pPr>
    </w:p>
    <w:p>
      <w:pPr>
        <w:pStyle w:val="Heading7"/>
      </w:pPr>
      <w:r>
        <w:rPr>
          <w:color w:val="242B67"/>
        </w:rPr>
        <w:t>Contratilidade </w:t>
      </w:r>
      <w:r>
        <w:rPr>
          <w:color w:val="242B67"/>
          <w:spacing w:val="-2"/>
        </w:rPr>
        <w:t>miocárdica</w:t>
      </w:r>
    </w:p>
    <w:p>
      <w:pPr>
        <w:pStyle w:val="BodyText"/>
        <w:spacing w:line="276" w:lineRule="auto" w:before="126"/>
        <w:ind w:right="501"/>
      </w:pPr>
      <w:r>
        <w:rPr/>
        <w:t>O</w:t>
      </w:r>
      <w:r>
        <w:rPr>
          <w:spacing w:val="-9"/>
        </w:rPr>
        <w:t> </w:t>
      </w:r>
      <w:r>
        <w:rPr/>
        <w:t>débito</w:t>
      </w:r>
      <w:r>
        <w:rPr>
          <w:spacing w:val="-7"/>
        </w:rPr>
        <w:t> </w:t>
      </w:r>
      <w:r>
        <w:rPr/>
        <w:t>cardíaco</w:t>
      </w:r>
      <w:r>
        <w:rPr>
          <w:spacing w:val="-7"/>
        </w:rPr>
        <w:t> </w:t>
      </w:r>
      <w:r>
        <w:rPr/>
        <w:t>aumentado</w:t>
      </w:r>
      <w:r>
        <w:rPr>
          <w:spacing w:val="-7"/>
        </w:rPr>
        <w:t> </w:t>
      </w:r>
      <w:r>
        <w:rPr/>
        <w:t>ocorre</w:t>
      </w:r>
      <w:r>
        <w:rPr>
          <w:spacing w:val="-9"/>
        </w:rPr>
        <w:t> </w:t>
      </w:r>
      <w:r>
        <w:rPr/>
        <w:t>quando</w:t>
      </w:r>
      <w:r>
        <w:rPr>
          <w:spacing w:val="-7"/>
        </w:rPr>
        <w:t> </w:t>
      </w:r>
      <w:r>
        <w:rPr/>
        <w:t>o</w:t>
      </w:r>
      <w:r>
        <w:rPr>
          <w:spacing w:val="-7"/>
        </w:rPr>
        <w:t> </w:t>
      </w:r>
      <w:r>
        <w:rPr/>
        <w:t>paciente</w:t>
      </w:r>
      <w:r>
        <w:rPr>
          <w:spacing w:val="-9"/>
        </w:rPr>
        <w:t> </w:t>
      </w:r>
      <w:r>
        <w:rPr/>
        <w:t>assintomático, normal, apresenta</w:t>
      </w:r>
      <w:r>
        <w:rPr>
          <w:spacing w:val="-9"/>
        </w:rPr>
        <w:t> </w:t>
      </w:r>
      <w:r>
        <w:rPr/>
        <w:t>sintomas e, diminuído, indica grave comprometimento do miocárdio. Fração de ejeção entre 40 e 50 indica comprometimento grave e, menor do que</w:t>
      </w:r>
      <w:r>
        <w:rPr>
          <w:spacing w:val="-1"/>
        </w:rPr>
        <w:t> </w:t>
      </w:r>
      <w:r>
        <w:rPr/>
        <w:t>40, é</w:t>
      </w:r>
      <w:r>
        <w:rPr>
          <w:spacing w:val="-1"/>
        </w:rPr>
        <w:t> </w:t>
      </w:r>
      <w:r>
        <w:rPr/>
        <w:t>disfunção avançada, podendo não se</w:t>
      </w:r>
      <w:r>
        <w:rPr>
          <w:spacing w:val="-1"/>
        </w:rPr>
        <w:t> </w:t>
      </w:r>
      <w:r>
        <w:rPr/>
        <w:t>reverter com cirurgia.</w:t>
      </w:r>
    </w:p>
    <w:p>
      <w:pPr>
        <w:pStyle w:val="BodyText"/>
        <w:spacing w:before="9"/>
        <w:ind w:left="0" w:firstLine="0"/>
        <w:jc w:val="left"/>
      </w:pPr>
    </w:p>
    <w:p>
      <w:pPr>
        <w:pStyle w:val="Heading7"/>
      </w:pPr>
      <w:r>
        <w:rPr>
          <w:color w:val="242B67"/>
        </w:rPr>
        <w:t>Volume sistólico </w:t>
      </w:r>
      <w:r>
        <w:rPr>
          <w:color w:val="242B67"/>
          <w:spacing w:val="-2"/>
        </w:rPr>
        <w:t>final</w:t>
      </w:r>
    </w:p>
    <w:p>
      <w:pPr>
        <w:pStyle w:val="BodyText"/>
        <w:spacing w:line="276" w:lineRule="auto" w:before="142"/>
        <w:ind w:right="491"/>
      </w:pPr>
      <w:r>
        <w:rPr/>
        <w:t>A contratilidade miocárdica determina a mortalidade operatória e sua evolução pós-operatória. Avalia a função ventricular sendo, neste caso, mais útil que a fração de ejeção.</w:t>
      </w:r>
    </w:p>
    <w:p>
      <w:pPr>
        <w:pStyle w:val="BodyText"/>
        <w:spacing w:line="276" w:lineRule="auto" w:before="48"/>
        <w:ind w:right="488"/>
      </w:pPr>
      <w:r>
        <w:rPr/>
        <w:t>Pacientes com insuficiência mitral têm resposta cirúrgica menos favorável do que aqueles com insuficiência aórtica</w:t>
      </w:r>
      <w:r>
        <w:rPr>
          <w:spacing w:val="-1"/>
        </w:rPr>
        <w:t> </w:t>
      </w:r>
      <w:r>
        <w:rPr/>
        <w:t>graças à</w:t>
      </w:r>
      <w:r>
        <w:rPr>
          <w:spacing w:val="-1"/>
        </w:rPr>
        <w:t> </w:t>
      </w:r>
      <w:r>
        <w:rPr/>
        <w:t>complexidade</w:t>
      </w:r>
      <w:r>
        <w:rPr>
          <w:spacing w:val="-1"/>
        </w:rPr>
        <w:t> </w:t>
      </w:r>
      <w:r>
        <w:rPr/>
        <w:t>do aparelho valvar mitral que, se</w:t>
      </w:r>
      <w:r>
        <w:rPr>
          <w:spacing w:val="-1"/>
        </w:rPr>
        <w:t> </w:t>
      </w:r>
      <w:r>
        <w:rPr/>
        <w:t>substituído, afeta</w:t>
      </w:r>
      <w:r>
        <w:rPr>
          <w:spacing w:val="-1"/>
        </w:rPr>
        <w:t> </w:t>
      </w:r>
      <w:r>
        <w:rPr/>
        <w:t>a</w:t>
      </w:r>
      <w:r>
        <w:rPr>
          <w:spacing w:val="-1"/>
        </w:rPr>
        <w:t> </w:t>
      </w:r>
      <w:r>
        <w:rPr/>
        <w:t>estrutura</w:t>
      </w:r>
      <w:r>
        <w:rPr>
          <w:spacing w:val="-1"/>
        </w:rPr>
        <w:t> </w:t>
      </w:r>
      <w:r>
        <w:rPr/>
        <w:t>intrínseca</w:t>
      </w:r>
      <w:r>
        <w:rPr>
          <w:spacing w:val="-1"/>
        </w:rPr>
        <w:t> </w:t>
      </w:r>
      <w:r>
        <w:rPr/>
        <w:t>do VE.</w:t>
      </w:r>
    </w:p>
    <w:p>
      <w:pPr>
        <w:pStyle w:val="BodyText"/>
        <w:spacing w:before="186"/>
        <w:ind w:left="0" w:firstLine="0"/>
        <w:jc w:val="left"/>
      </w:pPr>
    </w:p>
    <w:p>
      <w:pPr>
        <w:pStyle w:val="Heading4"/>
      </w:pPr>
      <w:r>
        <w:rPr>
          <w:color w:val="242B67"/>
        </w:rPr>
        <w:t>Prolapso valvar </w:t>
      </w:r>
      <w:r>
        <w:rPr>
          <w:color w:val="242B67"/>
          <w:spacing w:val="-2"/>
        </w:rPr>
        <w:t>mitral</w:t>
      </w:r>
    </w:p>
    <w:p>
      <w:pPr>
        <w:pStyle w:val="Heading5"/>
        <w:spacing w:before="193"/>
      </w:pPr>
      <w:r>
        <w:rPr>
          <w:color w:val="A26108"/>
          <w:spacing w:val="-2"/>
        </w:rPr>
        <w:t>Conceito</w:t>
      </w:r>
    </w:p>
    <w:p>
      <w:pPr>
        <w:pStyle w:val="BodyText"/>
        <w:spacing w:line="276" w:lineRule="auto" w:before="138"/>
        <w:ind w:right="491"/>
      </w:pPr>
      <w:r>
        <w:rPr/>
        <w:t>Prolapso valvar mitral é uma síndrome caracterizada pela proliferação mixomatosa do folheto, aumentando-o secundariamente de tal maneira que ele se torna proeminente, para dentro do átrio, no momento da contração sistólica, podendo produzir um estalido. A</w:t>
      </w:r>
      <w:r>
        <w:rPr>
          <w:spacing w:val="-2"/>
        </w:rPr>
        <w:t> </w:t>
      </w:r>
      <w:r>
        <w:rPr/>
        <w:t>lacínia</w:t>
      </w:r>
      <w:r>
        <w:rPr>
          <w:spacing w:val="-2"/>
        </w:rPr>
        <w:t> </w:t>
      </w:r>
      <w:r>
        <w:rPr/>
        <w:t>posterior é</w:t>
      </w:r>
      <w:r>
        <w:rPr>
          <w:spacing w:val="-2"/>
        </w:rPr>
        <w:t> </w:t>
      </w:r>
      <w:r>
        <w:rPr/>
        <w:t>a</w:t>
      </w:r>
      <w:r>
        <w:rPr>
          <w:spacing w:val="-2"/>
        </w:rPr>
        <w:t> </w:t>
      </w:r>
      <w:r>
        <w:rPr/>
        <w:t>mais frequentemente</w:t>
      </w:r>
      <w:r>
        <w:rPr>
          <w:spacing w:val="-2"/>
        </w:rPr>
        <w:t> </w:t>
      </w:r>
      <w:r>
        <w:rPr/>
        <w:t>acometida</w:t>
      </w:r>
      <w:r>
        <w:rPr>
          <w:spacing w:val="-2"/>
        </w:rPr>
        <w:t> </w:t>
      </w:r>
      <w:r>
        <w:rPr/>
        <w:t>pelo processo.</w:t>
      </w:r>
    </w:p>
    <w:p>
      <w:pPr>
        <w:pStyle w:val="BodyText"/>
        <w:spacing w:line="276" w:lineRule="auto" w:before="49"/>
        <w:ind w:right="488"/>
      </w:pPr>
      <w:r>
        <w:rPr/>
        <w:t>Essa síndrome também pode ser chamada de síndrome de Barlow, síndrome de estalido sistólico, síndrome de folheto mitral crescido, síndrome de valva mitral em balão, síndrome da valva frouxa, síndrome de folheto </w:t>
      </w:r>
      <w:r>
        <w:rPr>
          <w:spacing w:val="-2"/>
        </w:rPr>
        <w:t>redundante.</w:t>
      </w:r>
    </w:p>
    <w:p>
      <w:pPr>
        <w:pStyle w:val="BodyText"/>
        <w:spacing w:before="133"/>
        <w:ind w:left="0" w:firstLine="0"/>
        <w:jc w:val="left"/>
      </w:pPr>
    </w:p>
    <w:p>
      <w:pPr>
        <w:pStyle w:val="Heading5"/>
        <w:spacing w:before="1"/>
      </w:pPr>
      <w:r>
        <w:rPr>
          <w:color w:val="A26108"/>
          <w:spacing w:val="-2"/>
        </w:rPr>
        <w:t>Epidemiologia</w:t>
      </w:r>
    </w:p>
    <w:p>
      <w:pPr>
        <w:pStyle w:val="BodyText"/>
        <w:spacing w:line="276" w:lineRule="auto" w:before="138"/>
        <w:ind w:right="500"/>
      </w:pPr>
      <w:r>
        <w:rPr/>
        <w:t>A incidência do prolapso valvar é maior nas mulheres; ocorrendo em 6% das saudáveis. Na totalidade dos indivíduos submetidos à substituição do aparelho valvar mitral, o exame histopatológico mostrou que 20% deles têm essa doença.</w:t>
      </w:r>
    </w:p>
    <w:p>
      <w:pPr>
        <w:pStyle w:val="BodyText"/>
        <w:spacing w:before="133"/>
        <w:ind w:left="0" w:firstLine="0"/>
        <w:jc w:val="left"/>
      </w:pPr>
    </w:p>
    <w:p>
      <w:pPr>
        <w:pStyle w:val="Heading5"/>
        <w:spacing w:before="1"/>
      </w:pPr>
      <w:r>
        <w:rPr>
          <w:color w:val="A26108"/>
          <w:spacing w:val="-2"/>
        </w:rPr>
        <w:t>Etiopatogenia</w:t>
      </w:r>
    </w:p>
    <w:p>
      <w:pPr>
        <w:pStyle w:val="BodyText"/>
        <w:spacing w:line="276" w:lineRule="auto" w:before="138"/>
        <w:ind w:right="491"/>
      </w:pPr>
      <w:r>
        <w:rPr/>
        <w:t>A principal etiologia é a presença de proliferação mixomatosa da valva na qual o tecido esponjoso, ou seja, o componente frouxo da camada média, é proeminente e a quantidade de mucopolissacarídio é aumentada secundariamente a metabolismo anormal do colágeno.</w:t>
      </w:r>
    </w:p>
    <w:p>
      <w:pPr>
        <w:pStyle w:val="BodyText"/>
        <w:spacing w:line="276" w:lineRule="auto" w:before="48"/>
        <w:ind w:right="497"/>
      </w:pPr>
      <w:r>
        <w:rPr/>
        <w:t>A gravidade da insuficiência mitral depende do tamanho do prolapso, que pode ser mínimo e não apresentar nenhuma</w:t>
      </w:r>
      <w:r>
        <w:rPr>
          <w:spacing w:val="-6"/>
        </w:rPr>
        <w:t> </w:t>
      </w:r>
      <w:r>
        <w:rPr/>
        <w:t>regurgitação, ou</w:t>
      </w:r>
      <w:r>
        <w:rPr>
          <w:spacing w:val="-3"/>
        </w:rPr>
        <w:t> </w:t>
      </w:r>
      <w:r>
        <w:rPr/>
        <w:t>até</w:t>
      </w:r>
      <w:r>
        <w:rPr>
          <w:spacing w:val="-6"/>
        </w:rPr>
        <w:t> </w:t>
      </w:r>
      <w:r>
        <w:rPr/>
        <w:t>significativamente</w:t>
      </w:r>
      <w:r>
        <w:rPr>
          <w:spacing w:val="-6"/>
        </w:rPr>
        <w:t> </w:t>
      </w:r>
      <w:r>
        <w:rPr/>
        <w:t>acentuada, causando</w:t>
      </w:r>
      <w:r>
        <w:rPr>
          <w:spacing w:val="-3"/>
        </w:rPr>
        <w:t> </w:t>
      </w:r>
      <w:r>
        <w:rPr/>
        <w:t>insuficiência</w:t>
      </w:r>
      <w:r>
        <w:rPr>
          <w:spacing w:val="-6"/>
        </w:rPr>
        <w:t> </w:t>
      </w:r>
      <w:r>
        <w:rPr/>
        <w:t>mitral</w:t>
      </w:r>
      <w:r>
        <w:rPr>
          <w:spacing w:val="-1"/>
        </w:rPr>
        <w:t> </w:t>
      </w:r>
      <w:r>
        <w:rPr/>
        <w:t>importante. As cúspides, as cordas tendíneas e</w:t>
      </w:r>
      <w:r>
        <w:rPr>
          <w:spacing w:val="-2"/>
        </w:rPr>
        <w:t> </w:t>
      </w:r>
      <w:r>
        <w:rPr/>
        <w:t>o anel podem estar afetados pela</w:t>
      </w:r>
      <w:r>
        <w:rPr>
          <w:spacing w:val="-2"/>
        </w:rPr>
        <w:t> </w:t>
      </w:r>
      <w:r>
        <w:rPr/>
        <w:t>proliferação mixomatosa.</w:t>
      </w:r>
    </w:p>
    <w:p>
      <w:pPr>
        <w:pStyle w:val="BodyText"/>
        <w:spacing w:line="276" w:lineRule="auto"/>
        <w:ind w:right="488"/>
      </w:pPr>
      <w:r>
        <w:rPr/>
        <w:t>O conceito de que a proliferação celular com aumento da produção do colágeno possa ocorrer em resposta à tensão do aparelho valvar mitral, repetida a cada ciclo cardíaco, é reforçado pelo aumento de sua prevalência, no final da</w:t>
      </w:r>
      <w:r>
        <w:rPr>
          <w:spacing w:val="-4"/>
        </w:rPr>
        <w:t> </w:t>
      </w:r>
      <w:r>
        <w:rPr/>
        <w:t>adolescência</w:t>
      </w:r>
      <w:r>
        <w:rPr>
          <w:spacing w:val="-4"/>
        </w:rPr>
        <w:t> </w:t>
      </w:r>
      <w:r>
        <w:rPr/>
        <w:t>e</w:t>
      </w:r>
      <w:r>
        <w:rPr>
          <w:spacing w:val="-4"/>
        </w:rPr>
        <w:t> </w:t>
      </w:r>
      <w:r>
        <w:rPr/>
        <w:t>maior gravidade</w:t>
      </w:r>
      <w:r>
        <w:rPr>
          <w:spacing w:val="-4"/>
        </w:rPr>
        <w:t> </w:t>
      </w:r>
      <w:r>
        <w:rPr/>
        <w:t>com</w:t>
      </w:r>
      <w:r>
        <w:rPr>
          <w:spacing w:val="-1"/>
        </w:rPr>
        <w:t> </w:t>
      </w:r>
      <w:r>
        <w:rPr/>
        <w:t>o</w:t>
      </w:r>
      <w:r>
        <w:rPr>
          <w:spacing w:val="-1"/>
        </w:rPr>
        <w:t> </w:t>
      </w:r>
      <w:r>
        <w:rPr/>
        <w:t>avanço</w:t>
      </w:r>
      <w:r>
        <w:rPr>
          <w:spacing w:val="-1"/>
        </w:rPr>
        <w:t> </w:t>
      </w:r>
      <w:r>
        <w:rPr/>
        <w:t>da</w:t>
      </w:r>
      <w:r>
        <w:rPr>
          <w:spacing w:val="-4"/>
        </w:rPr>
        <w:t> </w:t>
      </w:r>
      <w:r>
        <w:rPr/>
        <w:t>idade. Parece</w:t>
      </w:r>
      <w:r>
        <w:rPr>
          <w:spacing w:val="-4"/>
        </w:rPr>
        <w:t> </w:t>
      </w:r>
      <w:r>
        <w:rPr/>
        <w:t>também</w:t>
      </w:r>
      <w:r>
        <w:rPr>
          <w:spacing w:val="-1"/>
        </w:rPr>
        <w:t> </w:t>
      </w:r>
      <w:r>
        <w:rPr/>
        <w:t>ser de</w:t>
      </w:r>
      <w:r>
        <w:rPr>
          <w:spacing w:val="-4"/>
        </w:rPr>
        <w:t> </w:t>
      </w:r>
      <w:r>
        <w:rPr/>
        <w:t>hereditariedade</w:t>
      </w:r>
      <w:r>
        <w:rPr>
          <w:spacing w:val="-4"/>
        </w:rPr>
        <w:t> </w:t>
      </w:r>
      <w:r>
        <w:rPr/>
        <w:t>autossômica dominante. Pode ser idiopática ou ocorrer em associação com distúrbios do tecido conectivo, como nas síndromes de Marfan, de Ehlers-Danlos, osteogênese imperfeita, pseudoxantoma elástico, periarterite nodosa, distrofia miotômica, distrofia muscular de Duchenne, cardiomiopatia, doença de von Willebrand, hipertireoidismo, malformação congênita. É frequente sua coexistência com estenose mitral ou ser consequência de comissurotomia</w:t>
      </w:r>
    </w:p>
    <w:p>
      <w:pPr>
        <w:pStyle w:val="BodyText"/>
        <w:spacing w:after="0" w:line="276" w:lineRule="auto"/>
        <w:sectPr>
          <w:pgSz w:w="11900" w:h="16840"/>
          <w:pgMar w:top="200" w:bottom="280" w:left="566" w:right="141"/>
        </w:sectPr>
      </w:pPr>
    </w:p>
    <w:p>
      <w:pPr>
        <w:pStyle w:val="BodyText"/>
        <w:spacing w:line="276" w:lineRule="auto" w:before="62"/>
        <w:ind w:right="497" w:firstLine="0"/>
      </w:pPr>
      <w:r>
        <w:rPr/>
        <w:t>mitral. Pode coexistir em associação com cardiopatias isquêmicas ou até mesmo ser a primeira manifestação do infarto agudo do miocárdio. O</w:t>
      </w:r>
      <w:r>
        <w:rPr>
          <w:spacing w:val="-2"/>
        </w:rPr>
        <w:t> </w:t>
      </w:r>
      <w:r>
        <w:rPr/>
        <w:t>prolapso da</w:t>
      </w:r>
      <w:r>
        <w:rPr>
          <w:spacing w:val="-2"/>
        </w:rPr>
        <w:t> </w:t>
      </w:r>
      <w:r>
        <w:rPr/>
        <w:t>valva</w:t>
      </w:r>
      <w:r>
        <w:rPr>
          <w:spacing w:val="-2"/>
        </w:rPr>
        <w:t> </w:t>
      </w:r>
      <w:r>
        <w:rPr/>
        <w:t>mitral pode</w:t>
      </w:r>
      <w:r>
        <w:rPr>
          <w:spacing w:val="-2"/>
        </w:rPr>
        <w:t> </w:t>
      </w:r>
      <w:r>
        <w:rPr/>
        <w:t>causar isquemia</w:t>
      </w:r>
      <w:r>
        <w:rPr>
          <w:spacing w:val="-2"/>
        </w:rPr>
        <w:t> </w:t>
      </w:r>
      <w:r>
        <w:rPr/>
        <w:t>miocárdica</w:t>
      </w:r>
      <w:r>
        <w:rPr>
          <w:spacing w:val="-2"/>
        </w:rPr>
        <w:t> </w:t>
      </w:r>
      <w:r>
        <w:rPr/>
        <w:t>por aumentar a</w:t>
      </w:r>
      <w:r>
        <w:rPr>
          <w:spacing w:val="-2"/>
        </w:rPr>
        <w:t> </w:t>
      </w:r>
      <w:r>
        <w:rPr/>
        <w:t>tensão na base</w:t>
      </w:r>
      <w:r>
        <w:rPr>
          <w:spacing w:val="-6"/>
        </w:rPr>
        <w:t> </w:t>
      </w:r>
      <w:r>
        <w:rPr/>
        <w:t>do</w:t>
      </w:r>
      <w:r>
        <w:rPr>
          <w:spacing w:val="-3"/>
        </w:rPr>
        <w:t> </w:t>
      </w:r>
      <w:r>
        <w:rPr/>
        <w:t>músculo</w:t>
      </w:r>
      <w:r>
        <w:rPr>
          <w:spacing w:val="-3"/>
        </w:rPr>
        <w:t> </w:t>
      </w:r>
      <w:r>
        <w:rPr/>
        <w:t>envolvido</w:t>
      </w:r>
      <w:r>
        <w:rPr>
          <w:spacing w:val="-3"/>
        </w:rPr>
        <w:t> </w:t>
      </w:r>
      <w:r>
        <w:rPr/>
        <w:t>e, de</w:t>
      </w:r>
      <w:r>
        <w:rPr>
          <w:spacing w:val="-6"/>
        </w:rPr>
        <w:t> </w:t>
      </w:r>
      <w:r>
        <w:rPr/>
        <w:t>modo</w:t>
      </w:r>
      <w:r>
        <w:rPr>
          <w:spacing w:val="-3"/>
        </w:rPr>
        <w:t> </w:t>
      </w:r>
      <w:r>
        <w:rPr/>
        <w:t>reflexo, causar o</w:t>
      </w:r>
      <w:r>
        <w:rPr>
          <w:spacing w:val="-3"/>
        </w:rPr>
        <w:t> </w:t>
      </w:r>
      <w:r>
        <w:rPr/>
        <w:t>espasmo</w:t>
      </w:r>
      <w:r>
        <w:rPr>
          <w:spacing w:val="-3"/>
        </w:rPr>
        <w:t> </w:t>
      </w:r>
      <w:r>
        <w:rPr/>
        <w:t>das coronárias levando</w:t>
      </w:r>
      <w:r>
        <w:rPr>
          <w:spacing w:val="-3"/>
        </w:rPr>
        <w:t> </w:t>
      </w:r>
      <w:r>
        <w:rPr/>
        <w:t>a</w:t>
      </w:r>
      <w:r>
        <w:rPr>
          <w:spacing w:val="-6"/>
        </w:rPr>
        <w:t> </w:t>
      </w:r>
      <w:r>
        <w:rPr/>
        <w:t>angina, infarto, arritmia e morte súbita.</w:t>
      </w:r>
    </w:p>
    <w:p>
      <w:pPr>
        <w:pStyle w:val="BodyText"/>
        <w:spacing w:line="276" w:lineRule="auto" w:before="61"/>
        <w:ind w:right="488"/>
      </w:pPr>
      <w:r>
        <w:rPr/>
        <w:t>O paciente com a síndrome do prolapso da valva mitral apresenta exacerbação da sintomatologia, associada a aumento</w:t>
      </w:r>
      <w:r>
        <w:rPr>
          <w:spacing w:val="-1"/>
        </w:rPr>
        <w:t> </w:t>
      </w:r>
      <w:r>
        <w:rPr/>
        <w:t>da</w:t>
      </w:r>
      <w:r>
        <w:rPr>
          <w:spacing w:val="-3"/>
        </w:rPr>
        <w:t> </w:t>
      </w:r>
      <w:r>
        <w:rPr/>
        <w:t>atividade</w:t>
      </w:r>
      <w:r>
        <w:rPr>
          <w:spacing w:val="-3"/>
        </w:rPr>
        <w:t> </w:t>
      </w:r>
      <w:r>
        <w:rPr/>
        <w:t>simpática. Parece</w:t>
      </w:r>
      <w:r>
        <w:rPr>
          <w:spacing w:val="-3"/>
        </w:rPr>
        <w:t> </w:t>
      </w:r>
      <w:r>
        <w:rPr/>
        <w:t>que</w:t>
      </w:r>
      <w:r>
        <w:rPr>
          <w:spacing w:val="-3"/>
        </w:rPr>
        <w:t> </w:t>
      </w:r>
      <w:r>
        <w:rPr/>
        <w:t>esses indivíduos têm</w:t>
      </w:r>
      <w:r>
        <w:rPr>
          <w:spacing w:val="-1"/>
        </w:rPr>
        <w:t> </w:t>
      </w:r>
      <w:r>
        <w:rPr/>
        <w:t>receptores adrenérgicos em</w:t>
      </w:r>
      <w:r>
        <w:rPr>
          <w:spacing w:val="-1"/>
        </w:rPr>
        <w:t> </w:t>
      </w:r>
      <w:r>
        <w:rPr/>
        <w:t>maior número</w:t>
      </w:r>
      <w:r>
        <w:rPr>
          <w:spacing w:val="-1"/>
        </w:rPr>
        <w:t> </w:t>
      </w:r>
      <w:r>
        <w:rPr/>
        <w:t>e</w:t>
      </w:r>
      <w:r>
        <w:rPr>
          <w:spacing w:val="-3"/>
        </w:rPr>
        <w:t> </w:t>
      </w:r>
      <w:r>
        <w:rPr/>
        <w:t>mais sensíveis. Esse também seria um mecanismo desencadeador da síndrome do pânico.</w:t>
      </w:r>
    </w:p>
    <w:p>
      <w:pPr>
        <w:pStyle w:val="BodyText"/>
        <w:spacing w:before="134"/>
        <w:ind w:left="0" w:firstLine="0"/>
        <w:jc w:val="left"/>
      </w:pPr>
    </w:p>
    <w:p>
      <w:pPr>
        <w:pStyle w:val="Heading5"/>
      </w:pPr>
      <w:r>
        <w:rPr>
          <w:color w:val="A26108"/>
        </w:rPr>
        <w:t>Quadro</w:t>
      </w:r>
      <w:r>
        <w:rPr>
          <w:color w:val="A26108"/>
          <w:spacing w:val="23"/>
        </w:rPr>
        <w:t> </w:t>
      </w:r>
      <w:r>
        <w:rPr>
          <w:color w:val="A26108"/>
          <w:spacing w:val="-2"/>
        </w:rPr>
        <w:t>clínico</w:t>
      </w:r>
    </w:p>
    <w:p>
      <w:pPr>
        <w:pStyle w:val="BodyText"/>
        <w:spacing w:line="276" w:lineRule="auto" w:before="122"/>
        <w:ind w:right="497"/>
      </w:pPr>
      <w:r>
        <w:rPr/>
        <w:t>O quadro clínico dos pacientes com prolapso caracteriza-se pelos seguintes sintomas: fadiga, palpitação, ortostase, queixas neuropsiquiátricas, disfunção autônoma, desconforto precordial, excreção aumentada de epinefrina e norepinefrina circulantes, levando a vasoconstrição excessiva e taquicardia ortostática. A enxaqueca está frequentemente associada.</w:t>
      </w:r>
    </w:p>
    <w:p>
      <w:pPr>
        <w:pStyle w:val="BodyText"/>
        <w:spacing w:before="134"/>
        <w:ind w:left="0" w:firstLine="0"/>
        <w:jc w:val="left"/>
      </w:pPr>
    </w:p>
    <w:p>
      <w:pPr>
        <w:pStyle w:val="Heading5"/>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Heading7"/>
        <w:spacing w:before="138"/>
      </w:pPr>
      <w:r>
        <w:rPr>
          <w:color w:val="242B67"/>
        </w:rPr>
        <w:t>Ausculta </w:t>
      </w:r>
      <w:r>
        <w:rPr>
          <w:color w:val="242B67"/>
          <w:spacing w:val="-2"/>
        </w:rPr>
        <w:t>cardíaca</w:t>
      </w:r>
    </w:p>
    <w:p>
      <w:pPr>
        <w:pStyle w:val="BodyText"/>
        <w:spacing w:line="276" w:lineRule="auto" w:before="127"/>
        <w:ind w:right="491"/>
      </w:pPr>
      <w:r>
        <w:rPr/>
        <w:t>Revela B1 normofonética; estalido mesossistólico; sopro mesossistólico em crescendo até o comprometimento aórtico da</w:t>
      </w:r>
      <w:r>
        <w:rPr>
          <w:spacing w:val="-2"/>
        </w:rPr>
        <w:t> </w:t>
      </w:r>
      <w:r>
        <w:rPr/>
        <w:t>B2. À</w:t>
      </w:r>
      <w:r>
        <w:rPr>
          <w:spacing w:val="-3"/>
        </w:rPr>
        <w:t> </w:t>
      </w:r>
      <w:r>
        <w:rPr/>
        <w:t>ausculta</w:t>
      </w:r>
      <w:r>
        <w:rPr>
          <w:spacing w:val="-2"/>
        </w:rPr>
        <w:t> </w:t>
      </w:r>
      <w:r>
        <w:rPr/>
        <w:t>dinâmica, o prolapso começa</w:t>
      </w:r>
      <w:r>
        <w:rPr>
          <w:spacing w:val="-2"/>
        </w:rPr>
        <w:t> </w:t>
      </w:r>
      <w:r>
        <w:rPr/>
        <w:t>quando a</w:t>
      </w:r>
      <w:r>
        <w:rPr>
          <w:spacing w:val="-2"/>
        </w:rPr>
        <w:t> </w:t>
      </w:r>
      <w:r>
        <w:rPr/>
        <w:t>redução do volume</w:t>
      </w:r>
      <w:r>
        <w:rPr>
          <w:spacing w:val="-2"/>
        </w:rPr>
        <w:t> </w:t>
      </w:r>
      <w:r>
        <w:rPr/>
        <w:t>do VE durante</w:t>
      </w:r>
      <w:r>
        <w:rPr>
          <w:spacing w:val="-2"/>
        </w:rPr>
        <w:t> </w:t>
      </w:r>
      <w:r>
        <w:rPr/>
        <w:t>a</w:t>
      </w:r>
      <w:r>
        <w:rPr>
          <w:spacing w:val="-2"/>
        </w:rPr>
        <w:t> </w:t>
      </w:r>
      <w:r>
        <w:rPr/>
        <w:t>sístole</w:t>
      </w:r>
      <w:r>
        <w:rPr>
          <w:spacing w:val="-2"/>
        </w:rPr>
        <w:t> </w:t>
      </w:r>
      <w:r>
        <w:rPr/>
        <w:t>chega a um ponto crítico no qual os folhetos não mais se coaptam, ocorrendo, então, o estalido e começando o sopro. Todas as situações que diminuem o volume do VE, como diminuição de pré e pós-carga e maior contratilidade, antecipam o sopro, fazendo com que ele se inicie mais perto da B1. Em contrapartida, todas as situações que aumentam o VE podem fazer desaparecer o prolapso.</w:t>
      </w:r>
    </w:p>
    <w:p>
      <w:pPr>
        <w:pStyle w:val="BodyText"/>
        <w:spacing w:before="24"/>
        <w:ind w:left="0" w:firstLine="0"/>
        <w:jc w:val="left"/>
      </w:pPr>
    </w:p>
    <w:p>
      <w:pPr>
        <w:pStyle w:val="Heading7"/>
        <w:spacing w:before="1"/>
      </w:pPr>
      <w:r>
        <w:rPr>
          <w:color w:val="242B67"/>
          <w:spacing w:val="-2"/>
        </w:rPr>
        <w:t>Eletrocardiograma</w:t>
      </w:r>
    </w:p>
    <w:p>
      <w:pPr>
        <w:pStyle w:val="BodyText"/>
        <w:spacing w:line="278" w:lineRule="auto" w:before="126"/>
        <w:ind w:right="491"/>
      </w:pPr>
      <w:r>
        <w:rPr/>
        <w:t>Apresenta-se normal em cerca de 60% dos casos. Entretanto, pode ocorrer diminuição do intervalo PR, em função</w:t>
      </w:r>
      <w:r>
        <w:rPr>
          <w:spacing w:val="-3"/>
        </w:rPr>
        <w:t> </w:t>
      </w:r>
      <w:r>
        <w:rPr/>
        <w:t>de</w:t>
      </w:r>
      <w:r>
        <w:rPr>
          <w:spacing w:val="-6"/>
        </w:rPr>
        <w:t> </w:t>
      </w:r>
      <w:r>
        <w:rPr/>
        <w:t>aumento</w:t>
      </w:r>
      <w:r>
        <w:rPr>
          <w:spacing w:val="-3"/>
        </w:rPr>
        <w:t> </w:t>
      </w:r>
      <w:r>
        <w:rPr/>
        <w:t>da</w:t>
      </w:r>
      <w:r>
        <w:rPr>
          <w:spacing w:val="-6"/>
        </w:rPr>
        <w:t> </w:t>
      </w:r>
      <w:r>
        <w:rPr/>
        <w:t>velocidade</w:t>
      </w:r>
      <w:r>
        <w:rPr>
          <w:spacing w:val="-6"/>
        </w:rPr>
        <w:t> </w:t>
      </w:r>
      <w:r>
        <w:rPr/>
        <w:t>de</w:t>
      </w:r>
      <w:r>
        <w:rPr>
          <w:spacing w:val="-6"/>
        </w:rPr>
        <w:t> </w:t>
      </w:r>
      <w:r>
        <w:rPr/>
        <w:t>condução</w:t>
      </w:r>
      <w:r>
        <w:rPr>
          <w:spacing w:val="-3"/>
        </w:rPr>
        <w:t> </w:t>
      </w:r>
      <w:r>
        <w:rPr/>
        <w:t>sinoventricular. É frequente, também, o</w:t>
      </w:r>
      <w:r>
        <w:rPr>
          <w:spacing w:val="-3"/>
        </w:rPr>
        <w:t> </w:t>
      </w:r>
      <w:r>
        <w:rPr/>
        <w:t>achado</w:t>
      </w:r>
      <w:r>
        <w:rPr>
          <w:spacing w:val="-3"/>
        </w:rPr>
        <w:t> </w:t>
      </w:r>
      <w:r>
        <w:rPr/>
        <w:t>de</w:t>
      </w:r>
      <w:r>
        <w:rPr>
          <w:spacing w:val="-6"/>
        </w:rPr>
        <w:t> </w:t>
      </w:r>
      <w:r>
        <w:rPr/>
        <w:t>ritmos ectópicos, atriais, extrassístoles supraventriculares e ventriculares. As manifestações elétricas mais características são os desnivelamentos do</w:t>
      </w:r>
      <w:r>
        <w:rPr>
          <w:spacing w:val="-5"/>
        </w:rPr>
        <w:t> </w:t>
      </w:r>
      <w:r>
        <w:rPr/>
        <w:t>segmento</w:t>
      </w:r>
      <w:r>
        <w:rPr>
          <w:spacing w:val="-5"/>
        </w:rPr>
        <w:t> </w:t>
      </w:r>
      <w:r>
        <w:rPr/>
        <w:t>ST e</w:t>
      </w:r>
      <w:r>
        <w:rPr>
          <w:spacing w:val="-8"/>
        </w:rPr>
        <w:t> </w:t>
      </w:r>
      <w:r>
        <w:rPr/>
        <w:t>a</w:t>
      </w:r>
      <w:r>
        <w:rPr>
          <w:spacing w:val="-8"/>
        </w:rPr>
        <w:t> </w:t>
      </w:r>
      <w:r>
        <w:rPr/>
        <w:t>inversão</w:t>
      </w:r>
      <w:r>
        <w:rPr>
          <w:spacing w:val="-5"/>
        </w:rPr>
        <w:t> </w:t>
      </w:r>
      <w:r>
        <w:rPr/>
        <w:t>das ondas T nas derivações D2, D3</w:t>
      </w:r>
      <w:r>
        <w:rPr>
          <w:spacing w:val="-5"/>
        </w:rPr>
        <w:t> </w:t>
      </w:r>
      <w:r>
        <w:rPr/>
        <w:t>e</w:t>
      </w:r>
      <w:r>
        <w:rPr>
          <w:spacing w:val="-8"/>
        </w:rPr>
        <w:t> </w:t>
      </w:r>
      <w:r>
        <w:rPr/>
        <w:t>a</w:t>
      </w:r>
      <w:r>
        <w:rPr>
          <w:spacing w:val="-8"/>
        </w:rPr>
        <w:t> </w:t>
      </w:r>
      <w:r>
        <w:rPr/>
        <w:t>VF;</w:t>
      </w:r>
      <w:r>
        <w:rPr>
          <w:spacing w:val="-2"/>
        </w:rPr>
        <w:t> </w:t>
      </w:r>
      <w:r>
        <w:rPr/>
        <w:t>eventualmente, em</w:t>
      </w:r>
      <w:r>
        <w:rPr>
          <w:spacing w:val="-5"/>
        </w:rPr>
        <w:t> </w:t>
      </w:r>
      <w:r>
        <w:rPr/>
        <w:t>casos de prolapso mais acentuado, também em V5 e V6 </w:t>
      </w:r>
      <w:r>
        <w:rPr>
          <w:vertAlign w:val="subscript"/>
        </w:rPr>
        <w:t>,</w:t>
      </w:r>
      <w:r>
        <w:rPr>
          <w:vertAlign w:val="baseline"/>
        </w:rPr>
        <w:t> mantendo-se a oposição SÂT e SAQRS. Frequentemente, os achados do ECG confundem-se com os sugestivos da presença de insuficiência coronária aguda de localização diafragmática. Algumas teorias tentam explicar as alterações da repolarização ventricular; alguns admitem que o estiramento tardio do megafolheto posterior da valva mitral transmite-se à corda tendínea, músculos papilares e endocárdio adjacente, determinando dispersão temporal do fenômeno da repolarização nessa área, levando a alterações do</w:t>
      </w:r>
      <w:r>
        <w:rPr>
          <w:spacing w:val="-2"/>
          <w:vertAlign w:val="baseline"/>
        </w:rPr>
        <w:t> </w:t>
      </w:r>
      <w:r>
        <w:rPr>
          <w:vertAlign w:val="baseline"/>
        </w:rPr>
        <w:t>tipo</w:t>
      </w:r>
      <w:r>
        <w:rPr>
          <w:spacing w:val="-2"/>
          <w:vertAlign w:val="baseline"/>
        </w:rPr>
        <w:t> </w:t>
      </w:r>
      <w:r>
        <w:rPr>
          <w:vertAlign w:val="baseline"/>
        </w:rPr>
        <w:t>isquêmico. Outros, como</w:t>
      </w:r>
      <w:r>
        <w:rPr>
          <w:spacing w:val="-2"/>
          <w:vertAlign w:val="baseline"/>
        </w:rPr>
        <w:t> </w:t>
      </w:r>
      <w:r>
        <w:rPr>
          <w:vertAlign w:val="baseline"/>
        </w:rPr>
        <w:t>Barlow, sugerem</w:t>
      </w:r>
      <w:r>
        <w:rPr>
          <w:spacing w:val="-2"/>
          <w:vertAlign w:val="baseline"/>
        </w:rPr>
        <w:t> </w:t>
      </w:r>
      <w:r>
        <w:rPr>
          <w:vertAlign w:val="baseline"/>
        </w:rPr>
        <w:t>que, em</w:t>
      </w:r>
      <w:r>
        <w:rPr>
          <w:spacing w:val="-2"/>
          <w:vertAlign w:val="baseline"/>
        </w:rPr>
        <w:t> </w:t>
      </w:r>
      <w:r>
        <w:rPr>
          <w:vertAlign w:val="baseline"/>
        </w:rPr>
        <w:t>função</w:t>
      </w:r>
      <w:r>
        <w:rPr>
          <w:spacing w:val="-2"/>
          <w:vertAlign w:val="baseline"/>
        </w:rPr>
        <w:t> </w:t>
      </w:r>
      <w:r>
        <w:rPr>
          <w:vertAlign w:val="baseline"/>
        </w:rPr>
        <w:t>do</w:t>
      </w:r>
      <w:r>
        <w:rPr>
          <w:spacing w:val="-2"/>
          <w:vertAlign w:val="baseline"/>
        </w:rPr>
        <w:t> </w:t>
      </w:r>
      <w:r>
        <w:rPr>
          <w:vertAlign w:val="baseline"/>
        </w:rPr>
        <w:t>grande</w:t>
      </w:r>
      <w:r>
        <w:rPr>
          <w:spacing w:val="-4"/>
          <w:vertAlign w:val="baseline"/>
        </w:rPr>
        <w:t> </w:t>
      </w:r>
      <w:r>
        <w:rPr>
          <w:vertAlign w:val="baseline"/>
        </w:rPr>
        <w:t>folheto</w:t>
      </w:r>
      <w:r>
        <w:rPr>
          <w:spacing w:val="-2"/>
          <w:vertAlign w:val="baseline"/>
        </w:rPr>
        <w:t> </w:t>
      </w:r>
      <w:r>
        <w:rPr>
          <w:vertAlign w:val="baseline"/>
        </w:rPr>
        <w:t>que</w:t>
      </w:r>
      <w:r>
        <w:rPr>
          <w:spacing w:val="-4"/>
          <w:vertAlign w:val="baseline"/>
        </w:rPr>
        <w:t> </w:t>
      </w:r>
      <w:r>
        <w:rPr>
          <w:vertAlign w:val="baseline"/>
        </w:rPr>
        <w:t>sofre</w:t>
      </w:r>
      <w:r>
        <w:rPr>
          <w:spacing w:val="-4"/>
          <w:vertAlign w:val="baseline"/>
        </w:rPr>
        <w:t> </w:t>
      </w:r>
      <w:r>
        <w:rPr>
          <w:vertAlign w:val="baseline"/>
        </w:rPr>
        <w:t>prolapso, a artéria circunflexa sofre deformação ou constrição momentânea, determinando alterações do tipo isquêmico. Deve-se ressaltar, entretanto, que o estudo cinecoronariográfico, habitualmente, é normal em casos de prolapso da valva mitral.</w:t>
      </w:r>
    </w:p>
    <w:p>
      <w:pPr>
        <w:pStyle w:val="BodyText"/>
        <w:spacing w:line="276" w:lineRule="auto" w:before="48"/>
        <w:ind w:right="491"/>
      </w:pPr>
      <w:r>
        <w:rPr/>
        <w:t>Outros autores admitem</w:t>
      </w:r>
      <w:r>
        <w:rPr>
          <w:spacing w:val="-2"/>
        </w:rPr>
        <w:t> </w:t>
      </w:r>
      <w:r>
        <w:rPr/>
        <w:t>que</w:t>
      </w:r>
      <w:r>
        <w:rPr>
          <w:spacing w:val="-4"/>
        </w:rPr>
        <w:t> </w:t>
      </w:r>
      <w:r>
        <w:rPr/>
        <w:t>essas modificações decorram</w:t>
      </w:r>
      <w:r>
        <w:rPr>
          <w:spacing w:val="-2"/>
        </w:rPr>
        <w:t> </w:t>
      </w:r>
      <w:r>
        <w:rPr/>
        <w:t>de</w:t>
      </w:r>
      <w:r>
        <w:rPr>
          <w:spacing w:val="-4"/>
        </w:rPr>
        <w:t> </w:t>
      </w:r>
      <w:r>
        <w:rPr/>
        <w:t>alterações no</w:t>
      </w:r>
      <w:r>
        <w:rPr>
          <w:spacing w:val="-2"/>
        </w:rPr>
        <w:t> </w:t>
      </w:r>
      <w:r>
        <w:rPr/>
        <w:t>sistema</w:t>
      </w:r>
      <w:r>
        <w:rPr>
          <w:spacing w:val="-4"/>
        </w:rPr>
        <w:t> </w:t>
      </w:r>
      <w:r>
        <w:rPr/>
        <w:t>nervoso</w:t>
      </w:r>
      <w:r>
        <w:rPr>
          <w:spacing w:val="-2"/>
        </w:rPr>
        <w:t> </w:t>
      </w:r>
      <w:r>
        <w:rPr/>
        <w:t>autônomo, levando a maior produção de catecolaminas circulantes, e a consequente aumento da dispersão da fase de repolarização ventricular, no nível do anel atrioventricular esquerdo.</w:t>
      </w:r>
    </w:p>
    <w:p>
      <w:pPr>
        <w:pStyle w:val="BodyText"/>
        <w:spacing w:before="8"/>
        <w:ind w:left="0" w:firstLine="0"/>
        <w:jc w:val="left"/>
      </w:pPr>
    </w:p>
    <w:p>
      <w:pPr>
        <w:pStyle w:val="Heading7"/>
      </w:pPr>
      <w:r>
        <w:rPr>
          <w:color w:val="242B67"/>
        </w:rPr>
        <w:t>Radiografia de </w:t>
      </w:r>
      <w:r>
        <w:rPr>
          <w:color w:val="242B67"/>
          <w:spacing w:val="-2"/>
        </w:rPr>
        <w:t>tórax</w:t>
      </w:r>
    </w:p>
    <w:p>
      <w:pPr>
        <w:pStyle w:val="BodyText"/>
        <w:spacing w:line="276" w:lineRule="auto" w:before="142"/>
        <w:ind w:right="489"/>
      </w:pPr>
      <w:r>
        <w:rPr/>
        <w:t>Sob o ponto de vista radiológico, duas são as formas de prolapso da valva mitral: a primeira, quando não há regurgitação e o exame radiológico é normal; e a segunda, quando há insuficiência valvar, geralmente discreta, de modo que podem ser observados sinais radiológicos, conforme o grau de regurgitação.</w:t>
      </w:r>
    </w:p>
    <w:p>
      <w:pPr>
        <w:pStyle w:val="BodyText"/>
        <w:spacing w:before="9"/>
        <w:ind w:left="0" w:firstLine="0"/>
        <w:jc w:val="left"/>
      </w:pPr>
    </w:p>
    <w:p>
      <w:pPr>
        <w:pStyle w:val="Heading7"/>
      </w:pPr>
      <w:r>
        <w:rPr>
          <w:color w:val="242B67"/>
          <w:spacing w:val="-2"/>
        </w:rPr>
        <w:t>Ecodopplercardiografia</w:t>
      </w:r>
    </w:p>
    <w:p>
      <w:pPr>
        <w:pStyle w:val="BodyText"/>
        <w:spacing w:line="276" w:lineRule="auto" w:before="126"/>
        <w:ind w:right="497"/>
      </w:pPr>
      <w:r>
        <w:rPr/>
        <w:t>O reconhecimento do prolapso da valva mitral só foi possível com o advento dessa técnica. Seu achado, entretanto,</w:t>
      </w:r>
      <w:r>
        <w:rPr>
          <w:spacing w:val="69"/>
        </w:rPr>
        <w:t> </w:t>
      </w:r>
      <w:r>
        <w:rPr/>
        <w:t>tornou-se</w:t>
      </w:r>
      <w:r>
        <w:rPr>
          <w:spacing w:val="58"/>
        </w:rPr>
        <w:t> </w:t>
      </w:r>
      <w:r>
        <w:rPr/>
        <w:t>muito</w:t>
      </w:r>
      <w:r>
        <w:rPr>
          <w:spacing w:val="60"/>
        </w:rPr>
        <w:t> </w:t>
      </w:r>
      <w:r>
        <w:rPr/>
        <w:t>frequente</w:t>
      </w:r>
      <w:r>
        <w:rPr>
          <w:spacing w:val="58"/>
        </w:rPr>
        <w:t> </w:t>
      </w:r>
      <w:r>
        <w:rPr/>
        <w:t>e,</w:t>
      </w:r>
      <w:r>
        <w:rPr>
          <w:spacing w:val="69"/>
        </w:rPr>
        <w:t> </w:t>
      </w:r>
      <w:r>
        <w:rPr/>
        <w:t>na</w:t>
      </w:r>
      <w:r>
        <w:rPr>
          <w:spacing w:val="58"/>
        </w:rPr>
        <w:t> </w:t>
      </w:r>
      <w:r>
        <w:rPr/>
        <w:t>maioria</w:t>
      </w:r>
      <w:r>
        <w:rPr>
          <w:spacing w:val="58"/>
        </w:rPr>
        <w:t> </w:t>
      </w:r>
      <w:r>
        <w:rPr/>
        <w:t>das</w:t>
      </w:r>
      <w:r>
        <w:rPr>
          <w:spacing w:val="69"/>
        </w:rPr>
        <w:t> </w:t>
      </w:r>
      <w:r>
        <w:rPr/>
        <w:t>vezes,</w:t>
      </w:r>
      <w:r>
        <w:rPr>
          <w:spacing w:val="69"/>
        </w:rPr>
        <w:t> </w:t>
      </w:r>
      <w:r>
        <w:rPr/>
        <w:t>sem</w:t>
      </w:r>
      <w:r>
        <w:rPr>
          <w:spacing w:val="60"/>
        </w:rPr>
        <w:t> </w:t>
      </w:r>
      <w:r>
        <w:rPr/>
        <w:t>nenhum</w:t>
      </w:r>
      <w:r>
        <w:rPr>
          <w:spacing w:val="60"/>
        </w:rPr>
        <w:t> </w:t>
      </w:r>
      <w:r>
        <w:rPr/>
        <w:t>valor</w:t>
      </w:r>
      <w:r>
        <w:rPr>
          <w:spacing w:val="66"/>
        </w:rPr>
        <w:t> </w:t>
      </w:r>
      <w:r>
        <w:rPr/>
        <w:t>clínico;</w:t>
      </w:r>
      <w:r>
        <w:rPr>
          <w:spacing w:val="63"/>
        </w:rPr>
        <w:t> </w:t>
      </w:r>
      <w:r>
        <w:rPr/>
        <w:t>assim,</w:t>
      </w:r>
      <w:r>
        <w:rPr>
          <w:spacing w:val="69"/>
        </w:rPr>
        <w:t> </w:t>
      </w:r>
      <w:r>
        <w:rPr/>
        <w:t>impôs-se</w:t>
      </w:r>
    </w:p>
    <w:p>
      <w:pPr>
        <w:pStyle w:val="BodyText"/>
        <w:spacing w:after="0" w:line="276" w:lineRule="auto"/>
        <w:sectPr>
          <w:pgSz w:w="11900" w:h="16840"/>
          <w:pgMar w:top="220" w:bottom="280" w:left="566" w:right="141"/>
        </w:sectPr>
      </w:pPr>
    </w:p>
    <w:p>
      <w:pPr>
        <w:pStyle w:val="BodyText"/>
        <w:spacing w:before="71"/>
        <w:ind w:firstLine="0"/>
      </w:pPr>
      <w:r>
        <w:rPr/>
        <w:t>estabelecer</w:t>
      </w:r>
      <w:r>
        <w:rPr>
          <w:spacing w:val="-2"/>
        </w:rPr>
        <w:t> </w:t>
      </w:r>
      <w:r>
        <w:rPr/>
        <w:t>um</w:t>
      </w:r>
      <w:r>
        <w:rPr>
          <w:spacing w:val="-6"/>
        </w:rPr>
        <w:t> </w:t>
      </w:r>
      <w:r>
        <w:rPr/>
        <w:t>critério</w:t>
      </w:r>
      <w:r>
        <w:rPr>
          <w:spacing w:val="-6"/>
        </w:rPr>
        <w:t> </w:t>
      </w:r>
      <w:r>
        <w:rPr/>
        <w:t>mais</w:t>
      </w:r>
      <w:r>
        <w:rPr>
          <w:spacing w:val="1"/>
        </w:rPr>
        <w:t> </w:t>
      </w:r>
      <w:r>
        <w:rPr/>
        <w:t>rigoroso</w:t>
      </w:r>
      <w:r>
        <w:rPr>
          <w:spacing w:val="-6"/>
        </w:rPr>
        <w:t> </w:t>
      </w:r>
      <w:r>
        <w:rPr/>
        <w:t>para</w:t>
      </w:r>
      <w:r>
        <w:rPr>
          <w:spacing w:val="-9"/>
        </w:rPr>
        <w:t> </w:t>
      </w:r>
      <w:r>
        <w:rPr/>
        <w:t>esse</w:t>
      </w:r>
      <w:r>
        <w:rPr>
          <w:spacing w:val="-8"/>
        </w:rPr>
        <w:t> </w:t>
      </w:r>
      <w:r>
        <w:rPr>
          <w:spacing w:val="-2"/>
        </w:rPr>
        <w:t>diagnóstico.</w:t>
      </w:r>
    </w:p>
    <w:p>
      <w:pPr>
        <w:pStyle w:val="BodyText"/>
        <w:spacing w:line="276" w:lineRule="auto" w:before="110"/>
        <w:ind w:right="491"/>
      </w:pPr>
      <w:r>
        <w:rPr/>
        <w:t>Em condições normais, durante a sístole ventricular, as cúspides mitrais estão paralelas e assumem movimentação</w:t>
      </w:r>
      <w:r>
        <w:rPr>
          <w:spacing w:val="-12"/>
        </w:rPr>
        <w:t> </w:t>
      </w:r>
      <w:r>
        <w:rPr/>
        <w:t>ligeiramente</w:t>
      </w:r>
      <w:r>
        <w:rPr>
          <w:spacing w:val="-15"/>
        </w:rPr>
        <w:t> </w:t>
      </w:r>
      <w:r>
        <w:rPr/>
        <w:t>ascendente.</w:t>
      </w:r>
      <w:r>
        <w:rPr>
          <w:spacing w:val="-5"/>
        </w:rPr>
        <w:t> </w:t>
      </w:r>
      <w:r>
        <w:rPr/>
        <w:t>Na</w:t>
      </w:r>
      <w:r>
        <w:rPr>
          <w:spacing w:val="-15"/>
        </w:rPr>
        <w:t> </w:t>
      </w:r>
      <w:r>
        <w:rPr/>
        <w:t>presença</w:t>
      </w:r>
      <w:r>
        <w:rPr>
          <w:spacing w:val="-14"/>
        </w:rPr>
        <w:t> </w:t>
      </w:r>
      <w:r>
        <w:rPr/>
        <w:t>de</w:t>
      </w:r>
      <w:r>
        <w:rPr>
          <w:spacing w:val="-15"/>
        </w:rPr>
        <w:t> </w:t>
      </w:r>
      <w:r>
        <w:rPr/>
        <w:t>prolapso,</w:t>
      </w:r>
      <w:r>
        <w:rPr>
          <w:spacing w:val="-5"/>
        </w:rPr>
        <w:t> </w:t>
      </w:r>
      <w:r>
        <w:rPr/>
        <w:t>observa-se</w:t>
      </w:r>
      <w:r>
        <w:rPr>
          <w:spacing w:val="-15"/>
        </w:rPr>
        <w:t> </w:t>
      </w:r>
      <w:r>
        <w:rPr/>
        <w:t>movimentação</w:t>
      </w:r>
      <w:r>
        <w:rPr>
          <w:spacing w:val="-11"/>
        </w:rPr>
        <w:t> </w:t>
      </w:r>
      <w:r>
        <w:rPr/>
        <w:t>posterior</w:t>
      </w:r>
      <w:r>
        <w:rPr>
          <w:spacing w:val="-8"/>
        </w:rPr>
        <w:t> </w:t>
      </w:r>
      <w:r>
        <w:rPr/>
        <w:t>em</w:t>
      </w:r>
      <w:r>
        <w:rPr>
          <w:spacing w:val="-13"/>
        </w:rPr>
        <w:t> </w:t>
      </w:r>
      <w:r>
        <w:rPr/>
        <w:t>direção</w:t>
      </w:r>
      <w:r>
        <w:rPr>
          <w:spacing w:val="-12"/>
        </w:rPr>
        <w:t> </w:t>
      </w:r>
      <w:r>
        <w:rPr/>
        <w:t>ao átrio esquerdo de uma ou de ambas as cúspides, durante parte da sístole ventricular, ou em toda, retornando as mesmas à sua posição habitual antes do início do período diastólico. Apesar da possibilidade de que ambos os folhetos sofram prolapso, o posterior mostra movimentação mais exagerada.</w:t>
      </w:r>
    </w:p>
    <w:p>
      <w:pPr>
        <w:pStyle w:val="BodyText"/>
        <w:spacing w:line="276" w:lineRule="auto" w:before="49"/>
        <w:ind w:right="488"/>
      </w:pPr>
      <w:r>
        <w:rPr/>
        <w:t>Na</w:t>
      </w:r>
      <w:r>
        <w:rPr>
          <w:spacing w:val="-9"/>
        </w:rPr>
        <w:t> </w:t>
      </w:r>
      <w:r>
        <w:rPr/>
        <w:t>síndrome</w:t>
      </w:r>
      <w:r>
        <w:rPr>
          <w:spacing w:val="-9"/>
        </w:rPr>
        <w:t> </w:t>
      </w:r>
      <w:r>
        <w:rPr/>
        <w:t>do</w:t>
      </w:r>
      <w:r>
        <w:rPr>
          <w:spacing w:val="-6"/>
        </w:rPr>
        <w:t> </w:t>
      </w:r>
      <w:r>
        <w:rPr/>
        <w:t>prolapso</w:t>
      </w:r>
      <w:r>
        <w:rPr>
          <w:spacing w:val="-6"/>
        </w:rPr>
        <w:t> </w:t>
      </w:r>
      <w:r>
        <w:rPr/>
        <w:t>da</w:t>
      </w:r>
      <w:r>
        <w:rPr>
          <w:spacing w:val="-9"/>
        </w:rPr>
        <w:t> </w:t>
      </w:r>
      <w:r>
        <w:rPr/>
        <w:t>valva</w:t>
      </w:r>
      <w:r>
        <w:rPr>
          <w:spacing w:val="-9"/>
        </w:rPr>
        <w:t> </w:t>
      </w:r>
      <w:r>
        <w:rPr/>
        <w:t>mitral, comumente</w:t>
      </w:r>
      <w:r>
        <w:rPr>
          <w:spacing w:val="-9"/>
        </w:rPr>
        <w:t> </w:t>
      </w:r>
      <w:r>
        <w:rPr/>
        <w:t>a</w:t>
      </w:r>
      <w:r>
        <w:rPr>
          <w:spacing w:val="-9"/>
        </w:rPr>
        <w:t> </w:t>
      </w:r>
      <w:r>
        <w:rPr/>
        <w:t>amplitude</w:t>
      </w:r>
      <w:r>
        <w:rPr>
          <w:spacing w:val="-9"/>
        </w:rPr>
        <w:t> </w:t>
      </w:r>
      <w:r>
        <w:rPr/>
        <w:t>de</w:t>
      </w:r>
      <w:r>
        <w:rPr>
          <w:spacing w:val="-9"/>
        </w:rPr>
        <w:t> </w:t>
      </w:r>
      <w:r>
        <w:rPr/>
        <w:t>excursão</w:t>
      </w:r>
      <w:r>
        <w:rPr>
          <w:spacing w:val="-6"/>
        </w:rPr>
        <w:t> </w:t>
      </w:r>
      <w:r>
        <w:rPr/>
        <w:t>diastólica</w:t>
      </w:r>
      <w:r>
        <w:rPr>
          <w:spacing w:val="-9"/>
        </w:rPr>
        <w:t> </w:t>
      </w:r>
      <w:r>
        <w:rPr/>
        <w:t>do</w:t>
      </w:r>
      <w:r>
        <w:rPr>
          <w:spacing w:val="-6"/>
        </w:rPr>
        <w:t> </w:t>
      </w:r>
      <w:r>
        <w:rPr/>
        <w:t>folheto</w:t>
      </w:r>
      <w:r>
        <w:rPr>
          <w:spacing w:val="-6"/>
        </w:rPr>
        <w:t> </w:t>
      </w:r>
      <w:r>
        <w:rPr/>
        <w:t>anterior</w:t>
      </w:r>
      <w:r>
        <w:rPr>
          <w:spacing w:val="-1"/>
        </w:rPr>
        <w:t> </w:t>
      </w:r>
      <w:r>
        <w:rPr/>
        <w:t>está nos limites máximos da normalidade.</w:t>
      </w:r>
    </w:p>
    <w:p>
      <w:pPr>
        <w:pStyle w:val="BodyText"/>
        <w:spacing w:line="276" w:lineRule="auto"/>
        <w:ind w:right="488"/>
      </w:pPr>
      <w:r>
        <w:rPr/>
        <w:t>Em</w:t>
      </w:r>
      <w:r>
        <w:rPr>
          <w:spacing w:val="-3"/>
        </w:rPr>
        <w:t> </w:t>
      </w:r>
      <w:r>
        <w:rPr/>
        <w:t>geral, obtém-se</w:t>
      </w:r>
      <w:r>
        <w:rPr>
          <w:spacing w:val="-6"/>
        </w:rPr>
        <w:t> </w:t>
      </w:r>
      <w:r>
        <w:rPr/>
        <w:t>a</w:t>
      </w:r>
      <w:r>
        <w:rPr>
          <w:spacing w:val="-6"/>
        </w:rPr>
        <w:t> </w:t>
      </w:r>
      <w:r>
        <w:rPr/>
        <w:t>imagem</w:t>
      </w:r>
      <w:r>
        <w:rPr>
          <w:spacing w:val="-3"/>
        </w:rPr>
        <w:t> </w:t>
      </w:r>
      <w:r>
        <w:rPr/>
        <w:t>de</w:t>
      </w:r>
      <w:r>
        <w:rPr>
          <w:spacing w:val="-6"/>
        </w:rPr>
        <w:t> </w:t>
      </w:r>
      <w:r>
        <w:rPr/>
        <w:t>máxima</w:t>
      </w:r>
      <w:r>
        <w:rPr>
          <w:spacing w:val="-6"/>
        </w:rPr>
        <w:t> </w:t>
      </w:r>
      <w:r>
        <w:rPr/>
        <w:t>amplitude</w:t>
      </w:r>
      <w:r>
        <w:rPr>
          <w:spacing w:val="-6"/>
        </w:rPr>
        <w:t> </w:t>
      </w:r>
      <w:r>
        <w:rPr/>
        <w:t>do</w:t>
      </w:r>
      <w:r>
        <w:rPr>
          <w:spacing w:val="-3"/>
        </w:rPr>
        <w:t> </w:t>
      </w:r>
      <w:r>
        <w:rPr/>
        <w:t>prolapso</w:t>
      </w:r>
      <w:r>
        <w:rPr>
          <w:spacing w:val="-3"/>
        </w:rPr>
        <w:t> </w:t>
      </w:r>
      <w:r>
        <w:rPr/>
        <w:t>na</w:t>
      </w:r>
      <w:r>
        <w:rPr>
          <w:spacing w:val="-6"/>
        </w:rPr>
        <w:t> </w:t>
      </w:r>
      <w:r>
        <w:rPr/>
        <w:t>junção</w:t>
      </w:r>
      <w:r>
        <w:rPr>
          <w:spacing w:val="-3"/>
        </w:rPr>
        <w:t> </w:t>
      </w:r>
      <w:r>
        <w:rPr/>
        <w:t>atrioventricular, na</w:t>
      </w:r>
      <w:r>
        <w:rPr>
          <w:spacing w:val="-6"/>
        </w:rPr>
        <w:t> </w:t>
      </w:r>
      <w:r>
        <w:rPr/>
        <w:t>qual</w:t>
      </w:r>
      <w:r>
        <w:rPr>
          <w:spacing w:val="-1"/>
        </w:rPr>
        <w:t> </w:t>
      </w:r>
      <w:r>
        <w:rPr/>
        <w:t>se</w:t>
      </w:r>
      <w:r>
        <w:rPr>
          <w:spacing w:val="-6"/>
        </w:rPr>
        <w:t> </w:t>
      </w:r>
      <w:r>
        <w:rPr/>
        <w:t>registra</w:t>
      </w:r>
      <w:r>
        <w:rPr>
          <w:spacing w:val="-6"/>
        </w:rPr>
        <w:t> </w:t>
      </w:r>
      <w:r>
        <w:rPr/>
        <w:t>a valva mitral nas proximidades da aorta e do átrio esquerdo. Mesmo nessa região, o prolapso pode ser registrado apenas em alguns batimentos cardíacos.</w:t>
      </w:r>
    </w:p>
    <w:p>
      <w:pPr>
        <w:pStyle w:val="BodyText"/>
        <w:spacing w:line="276" w:lineRule="auto" w:before="48"/>
        <w:ind w:right="491"/>
      </w:pPr>
      <w:r>
        <w:rPr/>
        <w:t>A ecobidimensional facilita a identificação do prolapso da valva mitral, inclusive identificando a presença ou não de regurgitação. Com Doppler colorido, pode-se localizar melhor e quantificar o refluxo, se estiver presente. Este ocorre em 15% dos casos.</w:t>
      </w:r>
    </w:p>
    <w:p>
      <w:pPr>
        <w:pStyle w:val="BodyText"/>
        <w:spacing w:before="24"/>
        <w:ind w:left="0" w:firstLine="0"/>
        <w:jc w:val="left"/>
      </w:pPr>
    </w:p>
    <w:p>
      <w:pPr>
        <w:pStyle w:val="Heading7"/>
        <w:spacing w:before="1"/>
      </w:pPr>
      <w:r>
        <w:rPr>
          <w:color w:val="242B67"/>
        </w:rPr>
        <w:t>Estudo radioisotópico e </w:t>
      </w:r>
      <w:r>
        <w:rPr>
          <w:color w:val="242B67"/>
          <w:spacing w:val="-2"/>
        </w:rPr>
        <w:t>cinecoronariografia</w:t>
      </w:r>
    </w:p>
    <w:p>
      <w:pPr>
        <w:pStyle w:val="BodyText"/>
        <w:spacing w:line="276" w:lineRule="auto" w:before="126"/>
        <w:ind w:right="488"/>
      </w:pPr>
      <w:r>
        <w:rPr/>
        <w:t>Muitas vezes se fazem necessários o estudo radioisotópico e a cinecoriografia para afastar a coronariopatia associada. As duas doenças têm</w:t>
      </w:r>
      <w:r>
        <w:rPr>
          <w:spacing w:val="-1"/>
        </w:rPr>
        <w:t> </w:t>
      </w:r>
      <w:r>
        <w:rPr/>
        <w:t>grande</w:t>
      </w:r>
      <w:r>
        <w:rPr>
          <w:spacing w:val="-4"/>
        </w:rPr>
        <w:t> </w:t>
      </w:r>
      <w:r>
        <w:rPr/>
        <w:t>prevalência</w:t>
      </w:r>
      <w:r>
        <w:rPr>
          <w:spacing w:val="-4"/>
        </w:rPr>
        <w:t> </w:t>
      </w:r>
      <w:r>
        <w:rPr/>
        <w:t>na</w:t>
      </w:r>
      <w:r>
        <w:rPr>
          <w:spacing w:val="-4"/>
        </w:rPr>
        <w:t> </w:t>
      </w:r>
      <w:r>
        <w:rPr/>
        <w:t>população, por isso</w:t>
      </w:r>
      <w:r>
        <w:rPr>
          <w:spacing w:val="-1"/>
        </w:rPr>
        <w:t> </w:t>
      </w:r>
      <w:r>
        <w:rPr/>
        <w:t>sua</w:t>
      </w:r>
      <w:r>
        <w:rPr>
          <w:spacing w:val="-4"/>
        </w:rPr>
        <w:t> </w:t>
      </w:r>
      <w:r>
        <w:rPr/>
        <w:t>associação</w:t>
      </w:r>
      <w:r>
        <w:rPr>
          <w:spacing w:val="-1"/>
        </w:rPr>
        <w:t> </w:t>
      </w:r>
      <w:r>
        <w:rPr/>
        <w:t>é</w:t>
      </w:r>
      <w:r>
        <w:rPr>
          <w:spacing w:val="-4"/>
        </w:rPr>
        <w:t> </w:t>
      </w:r>
      <w:r>
        <w:rPr/>
        <w:t>frequente.</w:t>
      </w:r>
    </w:p>
    <w:p>
      <w:pPr>
        <w:pStyle w:val="BodyText"/>
        <w:spacing w:before="133"/>
        <w:ind w:left="0" w:firstLine="0"/>
        <w:jc w:val="left"/>
      </w:pPr>
    </w:p>
    <w:p>
      <w:pPr>
        <w:pStyle w:val="Heading5"/>
        <w:spacing w:before="1"/>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38"/>
        <w:ind w:right="488"/>
      </w:pPr>
      <w:r>
        <w:rPr/>
        <w:t>Não existe tratamento clínico para essa doença, entretanto, as intercorrências clínicas como arritmias e insuficiências cardíacas devem</w:t>
      </w:r>
      <w:r>
        <w:rPr>
          <w:spacing w:val="-2"/>
        </w:rPr>
        <w:t> </w:t>
      </w:r>
      <w:r>
        <w:rPr/>
        <w:t>ser tratadas. Os pacientes com</w:t>
      </w:r>
      <w:r>
        <w:rPr>
          <w:spacing w:val="-2"/>
        </w:rPr>
        <w:t> </w:t>
      </w:r>
      <w:r>
        <w:rPr/>
        <w:t>síndromes hipercinéticas podem</w:t>
      </w:r>
      <w:r>
        <w:rPr>
          <w:spacing w:val="-2"/>
        </w:rPr>
        <w:t> </w:t>
      </w:r>
      <w:r>
        <w:rPr/>
        <w:t>se</w:t>
      </w:r>
      <w:r>
        <w:rPr>
          <w:spacing w:val="-5"/>
        </w:rPr>
        <w:t> </w:t>
      </w:r>
      <w:r>
        <w:rPr/>
        <w:t>beneficiar com</w:t>
      </w:r>
      <w:r>
        <w:rPr>
          <w:spacing w:val="-2"/>
        </w:rPr>
        <w:t> </w:t>
      </w:r>
      <w:r>
        <w:rPr/>
        <w:t>o uso de betabloqueadores, entretanto, na maioria dos casos, a diminuição dos estimulantes adrenérgicos como café, cigarro e álcool pode ser suficiente para controlar os sintomas.</w:t>
      </w:r>
    </w:p>
    <w:p>
      <w:pPr>
        <w:pStyle w:val="BodyText"/>
        <w:spacing w:line="276" w:lineRule="auto" w:before="64"/>
        <w:ind w:right="488"/>
      </w:pPr>
      <w:r>
        <w:rPr/>
        <w:t>Não é aconselhado o uso indiscriminado de betabloqueadores para diminuir a sintomatologia do prolapso. Na maioria das vezes, o esclarecimento ao paciente de que os sintomas não são graves e estão relacionados com o estado emocional é de grande valia.</w:t>
      </w:r>
    </w:p>
    <w:p>
      <w:pPr>
        <w:pStyle w:val="BodyText"/>
        <w:spacing w:line="276" w:lineRule="auto" w:before="49"/>
        <w:ind w:right="488"/>
      </w:pPr>
      <w:r>
        <w:rPr/>
        <w:t>A síndrome do pânico está associada, com frequência, a essa entidade clínica, necessitando muitas vezes de acompanhamento psicológico.</w:t>
      </w:r>
    </w:p>
    <w:p>
      <w:pPr>
        <w:pStyle w:val="BodyText"/>
        <w:spacing w:line="276" w:lineRule="auto" w:before="64"/>
        <w:ind w:right="488"/>
      </w:pPr>
      <w:r>
        <w:rPr/>
        <w:t>Quando o prolapso torna a valva insuficiente, o critério para tratamento cirúrgico segue a orientação da insuficiência</w:t>
      </w:r>
      <w:r>
        <w:rPr>
          <w:spacing w:val="-1"/>
        </w:rPr>
        <w:t> </w:t>
      </w:r>
      <w:r>
        <w:rPr/>
        <w:t>mitral. Na</w:t>
      </w:r>
      <w:r>
        <w:rPr>
          <w:spacing w:val="-1"/>
        </w:rPr>
        <w:t> </w:t>
      </w:r>
      <w:r>
        <w:rPr/>
        <w:t>maioria</w:t>
      </w:r>
      <w:r>
        <w:rPr>
          <w:spacing w:val="-1"/>
        </w:rPr>
        <w:t> </w:t>
      </w:r>
      <w:r>
        <w:rPr/>
        <w:t>das vezes, este</w:t>
      </w:r>
      <w:r>
        <w:rPr>
          <w:spacing w:val="-1"/>
        </w:rPr>
        <w:t> </w:t>
      </w:r>
      <w:r>
        <w:rPr/>
        <w:t>pode</w:t>
      </w:r>
      <w:r>
        <w:rPr>
          <w:spacing w:val="-1"/>
        </w:rPr>
        <w:t> </w:t>
      </w:r>
      <w:r>
        <w:rPr/>
        <w:t>ser reparador e</w:t>
      </w:r>
      <w:r>
        <w:rPr>
          <w:spacing w:val="-1"/>
        </w:rPr>
        <w:t> </w:t>
      </w:r>
      <w:r>
        <w:rPr/>
        <w:t>o êxito na</w:t>
      </w:r>
      <w:r>
        <w:rPr>
          <w:spacing w:val="-1"/>
        </w:rPr>
        <w:t> </w:t>
      </w:r>
      <w:r>
        <w:rPr/>
        <w:t>evolução é</w:t>
      </w:r>
      <w:r>
        <w:rPr>
          <w:spacing w:val="-1"/>
        </w:rPr>
        <w:t> </w:t>
      </w:r>
      <w:r>
        <w:rPr/>
        <w:t>quase</w:t>
      </w:r>
      <w:r>
        <w:rPr>
          <w:spacing w:val="-1"/>
        </w:rPr>
        <w:t> </w:t>
      </w:r>
      <w:r>
        <w:rPr/>
        <w:t>sempre</w:t>
      </w:r>
      <w:r>
        <w:rPr>
          <w:spacing w:val="-1"/>
        </w:rPr>
        <w:t> </w:t>
      </w:r>
      <w:r>
        <w:rPr/>
        <w:t>garantido. A maior incidência de indicação cirúrgica por insuficiência mitral, atualmente, na maioria dos serviços, ocorre em função de prolapso valvar.</w:t>
      </w:r>
    </w:p>
    <w:p>
      <w:pPr>
        <w:pStyle w:val="BodyText"/>
        <w:spacing w:before="134"/>
        <w:ind w:left="0" w:firstLine="0"/>
        <w:jc w:val="left"/>
      </w:pPr>
    </w:p>
    <w:p>
      <w:pPr>
        <w:pStyle w:val="Heading5"/>
      </w:pPr>
      <w:r>
        <w:rPr>
          <w:color w:val="A26108"/>
          <w:spacing w:val="-2"/>
        </w:rPr>
        <w:t>Prognóstico</w:t>
      </w:r>
    </w:p>
    <w:p>
      <w:pPr>
        <w:pStyle w:val="BodyText"/>
        <w:spacing w:line="276" w:lineRule="auto" w:before="122"/>
        <w:ind w:right="498"/>
      </w:pPr>
      <w:r>
        <w:rPr/>
        <w:t>A evolução clínica do paciente com prolapso da valva mitral sem intercorrência clínica geralmente é benigna. Alguns casos evoluem para a degeneração valvar importante, necessitando de restauração ou até mesmo de sua substituição. Os pacientes com prolapso valvar e regurgitação apresentam risco maior de endocardite. Pode haver ruptura</w:t>
      </w:r>
      <w:r>
        <w:rPr>
          <w:spacing w:val="-4"/>
        </w:rPr>
        <w:t> </w:t>
      </w:r>
      <w:r>
        <w:rPr/>
        <w:t>das cordas tendíneas por se</w:t>
      </w:r>
      <w:r>
        <w:rPr>
          <w:spacing w:val="-4"/>
        </w:rPr>
        <w:t> </w:t>
      </w:r>
      <w:r>
        <w:rPr/>
        <w:t>tornarem</w:t>
      </w:r>
      <w:r>
        <w:rPr>
          <w:spacing w:val="-1"/>
        </w:rPr>
        <w:t> </w:t>
      </w:r>
      <w:r>
        <w:rPr/>
        <w:t>muito finas. Arritmia</w:t>
      </w:r>
      <w:r>
        <w:rPr>
          <w:spacing w:val="-4"/>
        </w:rPr>
        <w:t> </w:t>
      </w:r>
      <w:r>
        <w:rPr/>
        <w:t>é</w:t>
      </w:r>
      <w:r>
        <w:rPr>
          <w:spacing w:val="-4"/>
        </w:rPr>
        <w:t> </w:t>
      </w:r>
      <w:r>
        <w:rPr/>
        <w:t>frequente</w:t>
      </w:r>
      <w:r>
        <w:rPr>
          <w:spacing w:val="-4"/>
        </w:rPr>
        <w:t> </w:t>
      </w:r>
      <w:r>
        <w:rPr/>
        <w:t>e</w:t>
      </w:r>
      <w:r>
        <w:rPr>
          <w:spacing w:val="-4"/>
        </w:rPr>
        <w:t> </w:t>
      </w:r>
      <w:r>
        <w:rPr/>
        <w:t>embolismo é</w:t>
      </w:r>
      <w:r>
        <w:rPr>
          <w:spacing w:val="-4"/>
        </w:rPr>
        <w:t> </w:t>
      </w:r>
      <w:r>
        <w:rPr/>
        <w:t>raro. A</w:t>
      </w:r>
      <w:r>
        <w:rPr>
          <w:spacing w:val="-4"/>
        </w:rPr>
        <w:t> </w:t>
      </w:r>
      <w:r>
        <w:rPr/>
        <w:t>morte</w:t>
      </w:r>
      <w:r>
        <w:rPr>
          <w:spacing w:val="-4"/>
        </w:rPr>
        <w:t> </w:t>
      </w:r>
      <w:r>
        <w:rPr/>
        <w:t>súbita, quando ocorre, geralmente é por arritmia.</w:t>
      </w:r>
    </w:p>
    <w:p>
      <w:pPr>
        <w:pStyle w:val="BodyText"/>
        <w:spacing w:before="186"/>
        <w:ind w:left="0" w:firstLine="0"/>
        <w:jc w:val="left"/>
      </w:pPr>
    </w:p>
    <w:p>
      <w:pPr>
        <w:pStyle w:val="Heading4"/>
      </w:pPr>
      <w:r>
        <w:rPr>
          <w:color w:val="242B67"/>
        </w:rPr>
        <w:t>Estenose valvar </w:t>
      </w:r>
      <w:r>
        <w:rPr>
          <w:color w:val="242B67"/>
          <w:spacing w:val="-2"/>
        </w:rPr>
        <w:t>aórtica</w:t>
      </w:r>
    </w:p>
    <w:p>
      <w:pPr>
        <w:pStyle w:val="Heading5"/>
        <w:spacing w:before="193"/>
      </w:pPr>
      <w:r>
        <w:rPr>
          <w:color w:val="A26108"/>
          <w:spacing w:val="-2"/>
        </w:rPr>
        <w:t>Conceito</w:t>
      </w:r>
    </w:p>
    <w:p>
      <w:pPr>
        <w:pStyle w:val="BodyText"/>
        <w:spacing w:line="276" w:lineRule="auto" w:before="139"/>
        <w:ind w:right="498"/>
      </w:pPr>
      <w:r>
        <w:rPr/>
        <w:t>Estenose valvar aórtica (EAo) é a obstrução à via de saída do fluxo sanguíneo ventricular esquerdo, mais frequentemente localizada na valva aórtica, podendo também ocorrer acima ou abaixo desta. No coração saudável, apenas metade da área valvar é utilizada para a passagem do fluxo aórtico; por isso, o período de evolução da doença antes do aparecimento dos sintomas é longo.</w:t>
      </w:r>
    </w:p>
    <w:p>
      <w:pPr>
        <w:pStyle w:val="BodyText"/>
        <w:spacing w:after="0" w:line="276" w:lineRule="auto"/>
        <w:sectPr>
          <w:pgSz w:w="11900" w:h="16840"/>
          <w:pgMar w:top="200" w:bottom="280" w:left="566" w:right="141"/>
        </w:sectPr>
      </w:pPr>
    </w:p>
    <w:p>
      <w:pPr>
        <w:pStyle w:val="Heading5"/>
        <w:spacing w:before="74"/>
      </w:pPr>
      <w:r>
        <w:rPr>
          <w:color w:val="A26108"/>
          <w:spacing w:val="-2"/>
        </w:rPr>
        <w:t>Epidemiologia</w:t>
      </w:r>
    </w:p>
    <w:p>
      <w:pPr>
        <w:pStyle w:val="BodyText"/>
        <w:spacing w:line="276" w:lineRule="auto" w:before="138"/>
        <w:ind w:right="494"/>
      </w:pPr>
      <w:r>
        <w:rPr/>
        <w:t>Em países desenvolvidos, é a valvopatia de maior incidência, sendo 52% por problema degenerativo; 36% congênitas e</w:t>
      </w:r>
      <w:r>
        <w:rPr>
          <w:spacing w:val="-2"/>
        </w:rPr>
        <w:t> </w:t>
      </w:r>
      <w:r>
        <w:rPr/>
        <w:t>9% reumáticas. Em nosso meio, sua</w:t>
      </w:r>
      <w:r>
        <w:rPr>
          <w:spacing w:val="-2"/>
        </w:rPr>
        <w:t> </w:t>
      </w:r>
      <w:r>
        <w:rPr/>
        <w:t>incidência</w:t>
      </w:r>
      <w:r>
        <w:rPr>
          <w:spacing w:val="-2"/>
        </w:rPr>
        <w:t> </w:t>
      </w:r>
      <w:r>
        <w:rPr/>
        <w:t>em razão de</w:t>
      </w:r>
      <w:r>
        <w:rPr>
          <w:spacing w:val="-2"/>
        </w:rPr>
        <w:t> </w:t>
      </w:r>
      <w:r>
        <w:rPr/>
        <w:t>doença</w:t>
      </w:r>
      <w:r>
        <w:rPr>
          <w:spacing w:val="-2"/>
        </w:rPr>
        <w:t> </w:t>
      </w:r>
      <w:r>
        <w:rPr/>
        <w:t>reumática</w:t>
      </w:r>
      <w:r>
        <w:rPr>
          <w:spacing w:val="-2"/>
        </w:rPr>
        <w:t> </w:t>
      </w:r>
      <w:r>
        <w:rPr/>
        <w:t>é</w:t>
      </w:r>
      <w:r>
        <w:rPr>
          <w:spacing w:val="-2"/>
        </w:rPr>
        <w:t> </w:t>
      </w:r>
      <w:r>
        <w:rPr/>
        <w:t>de</w:t>
      </w:r>
      <w:r>
        <w:rPr>
          <w:spacing w:val="-2"/>
        </w:rPr>
        <w:t> </w:t>
      </w:r>
      <w:r>
        <w:rPr/>
        <w:t>40%.</w:t>
      </w:r>
    </w:p>
    <w:p>
      <w:pPr>
        <w:pStyle w:val="BodyText"/>
        <w:spacing w:before="134"/>
        <w:ind w:left="0" w:firstLine="0"/>
        <w:jc w:val="left"/>
      </w:pPr>
    </w:p>
    <w:p>
      <w:pPr>
        <w:pStyle w:val="Heading5"/>
      </w:pPr>
      <w:r>
        <w:rPr>
          <w:color w:val="A26108"/>
          <w:spacing w:val="-2"/>
        </w:rPr>
        <w:t>Etiopatogenia</w:t>
      </w:r>
    </w:p>
    <w:p>
      <w:pPr>
        <w:pStyle w:val="BodyText"/>
        <w:spacing w:line="276" w:lineRule="auto" w:before="122"/>
        <w:ind w:right="491"/>
      </w:pPr>
      <w:r>
        <w:rPr/>
        <w:t>A etiologia nem sempre pode ser estabelecida clinicamente e a lesão isolada pressupõe a natureza congênita ou degenerativa da valvopatia. A calcificação que ocorre com a idade é lesão degenerativa decorrente do constante traumatismo, da valva normal ou previamente lesada, evoluindo para fibrose, fusão das cúspides e, finalmente, calcificação. É frequente nos pacientes hipertensos, diabéticos e renais.</w:t>
      </w:r>
    </w:p>
    <w:p>
      <w:pPr>
        <w:pStyle w:val="BodyText"/>
        <w:spacing w:before="134"/>
        <w:ind w:left="0" w:firstLine="0"/>
        <w:jc w:val="left"/>
      </w:pPr>
    </w:p>
    <w:p>
      <w:pPr>
        <w:pStyle w:val="Heading5"/>
      </w:pPr>
      <w:r>
        <w:rPr>
          <w:color w:val="A26108"/>
          <w:spacing w:val="-2"/>
        </w:rPr>
        <w:t>Fisiopatologia</w:t>
      </w:r>
    </w:p>
    <w:p>
      <w:pPr>
        <w:pStyle w:val="BodyText"/>
        <w:spacing w:line="278" w:lineRule="auto" w:before="138"/>
        <w:ind w:right="491"/>
      </w:pPr>
      <w:r>
        <w:rPr/>
        <w:t>As alterações decorrentes de</w:t>
      </w:r>
      <w:r>
        <w:rPr>
          <w:spacing w:val="-3"/>
        </w:rPr>
        <w:t> </w:t>
      </w:r>
      <w:r>
        <w:rPr/>
        <w:t>estenose</w:t>
      </w:r>
      <w:r>
        <w:rPr>
          <w:spacing w:val="-3"/>
        </w:rPr>
        <w:t> </w:t>
      </w:r>
      <w:r>
        <w:rPr/>
        <w:t>valvar aórtica</w:t>
      </w:r>
      <w:r>
        <w:rPr>
          <w:spacing w:val="-3"/>
        </w:rPr>
        <w:t> </w:t>
      </w:r>
      <w:r>
        <w:rPr/>
        <w:t>devem</w:t>
      </w:r>
      <w:r>
        <w:rPr>
          <w:spacing w:val="-1"/>
        </w:rPr>
        <w:t> </w:t>
      </w:r>
      <w:r>
        <w:rPr/>
        <w:t>ser analisadas em</w:t>
      </w:r>
      <w:r>
        <w:rPr>
          <w:spacing w:val="-1"/>
        </w:rPr>
        <w:t> </w:t>
      </w:r>
      <w:r>
        <w:rPr/>
        <w:t>duas etapas. Na</w:t>
      </w:r>
      <w:r>
        <w:rPr>
          <w:spacing w:val="-3"/>
        </w:rPr>
        <w:t> </w:t>
      </w:r>
      <w:r>
        <w:rPr/>
        <w:t>primeira</w:t>
      </w:r>
      <w:r>
        <w:rPr>
          <w:spacing w:val="-3"/>
        </w:rPr>
        <w:t> </w:t>
      </w:r>
      <w:r>
        <w:rPr/>
        <w:t>delas, o coração está íntegro e as reservas miocárdicas ainda não foram gastas; é o que se chama de </w:t>
      </w:r>
      <w:r>
        <w:rPr>
          <w:i/>
        </w:rPr>
        <w:t>fase de compensação</w:t>
      </w:r>
      <w:r>
        <w:rPr/>
        <w:t>: há a redução do orifício aórtico do normal (2,5 a 3,5 cm</w:t>
      </w:r>
      <w:r>
        <w:rPr>
          <w:vertAlign w:val="superscript"/>
        </w:rPr>
        <w:t>2</w:t>
      </w:r>
      <w:r>
        <w:rPr>
          <w:vertAlign w:val="baseline"/>
        </w:rPr>
        <w:t>) para 1 cm</w:t>
      </w:r>
      <w:r>
        <w:rPr>
          <w:vertAlign w:val="superscript"/>
        </w:rPr>
        <w:t>2</w:t>
      </w:r>
      <w:r>
        <w:rPr>
          <w:vertAlign w:val="baseline"/>
        </w:rPr>
        <w:t>, aumenta a pressão sistólica ventricular, podendo atingir valores superiores a 300 mmHg, provocando aumento de trabalho cardíaco, diminuindo a concentração de fosfocreatina, nível de adenosina trifosfato (ATP) e glicogênio, enquanto o lactato aumenta. O aumento da pressão sistólica leva à ativação da síntese de ácido nucleico e proteínas, estimulando a síntese de sarcômeros em paralelo aos já existentes, produzindo a hipertrofia concêntrica, definida como o aumento da espessura da parede ventricular sem o aumento da câmara, a qual pode mesmo estar diminuída. Essa hipertrofia, característica da EAo, contribui para o aumento ainda maior da pressão intraventricular, produzindo gradiente de pressão sistólica entre o VE, com pressão aumentada e a aorta, com pressão normal, constituindo característica hemodinâmica da EAo. Embora a hipertrofia seja um mecanismo adaptativo importante para vencer a carga de pressão imposta pela estenose, ela traz consequências adversas, como a rigidez diastólica.</w:t>
      </w:r>
    </w:p>
    <w:p>
      <w:pPr>
        <w:pStyle w:val="BodyText"/>
        <w:spacing w:line="276" w:lineRule="auto" w:before="50"/>
        <w:ind w:right="497"/>
      </w:pPr>
      <w:r>
        <w:rPr/>
        <w:t>À medida que a contração do VE torna-se progressivamente mais isométrica, o pulso de pressão ventricular esquerda torna-se mais arredondado e a pressão final diastólica do VE se eleva, o que não significa presença de dilatação ou de insuficiência ventricular, mas complacência diminuída pela hipertrofia. Geralmente, o pulso de pressão do átrio esquerdo está aumentado em razão de sua contração acentuada, auxiliando o enchimento do VE e protegendo a circulação pulmonar da hipertensão. A perda de contração atrial vigorosa, como ocorre na fibrilação atrial, pode levar à rápida deterioração.</w:t>
      </w:r>
    </w:p>
    <w:p>
      <w:pPr>
        <w:pStyle w:val="BodyText"/>
        <w:spacing w:line="276" w:lineRule="auto" w:before="49"/>
        <w:ind w:right="497"/>
      </w:pPr>
      <w:r>
        <w:rPr/>
        <w:t>Na EAo moderada, o débito cardíaco está normal ou pouco diminuído, porque a pressão intraventricular compensa a resistência no nível da via de saída do VE.</w:t>
      </w:r>
    </w:p>
    <w:p>
      <w:pPr>
        <w:pStyle w:val="BodyText"/>
        <w:spacing w:line="276" w:lineRule="auto"/>
        <w:ind w:right="497"/>
      </w:pPr>
      <w:r>
        <w:rPr/>
        <w:t>Os barorreceptores ventriculares são estimulados pelo aumento da pressão intraventricular. Assim, Johnson os responsabilizou pelas tonturas e morte súbita porque o grande aumento de pressão intraventricular nos portadores de EAo estimula os reflexos depressores, produzindo bradicardia, vasodilatação periférica e dilatação venosa. A diminuição do retorno venoso mais a resistência periférica baixa levam a grave hipotensão e síncope. Além disso, diminui o fluxo coronário que, pela hipertrofia, já pode apresentar certa descompensação, levando à isquemia miocárdica, que causa arritmias e contribui para a falência circulatória e morte.</w:t>
      </w:r>
    </w:p>
    <w:p>
      <w:pPr>
        <w:pStyle w:val="BodyText"/>
        <w:spacing w:line="276" w:lineRule="auto"/>
        <w:ind w:right="488"/>
      </w:pPr>
      <w:r>
        <w:rPr/>
        <w:t>O volume diastólico final do VE permanece normal até a fase tardia da evolução da doença, mas a massa aumenta</w:t>
      </w:r>
      <w:r>
        <w:rPr>
          <w:spacing w:val="-8"/>
        </w:rPr>
        <w:t> </w:t>
      </w:r>
      <w:r>
        <w:rPr/>
        <w:t>em</w:t>
      </w:r>
      <w:r>
        <w:rPr>
          <w:spacing w:val="-5"/>
        </w:rPr>
        <w:t> </w:t>
      </w:r>
      <w:r>
        <w:rPr/>
        <w:t>resposta</w:t>
      </w:r>
      <w:r>
        <w:rPr>
          <w:spacing w:val="-8"/>
        </w:rPr>
        <w:t> </w:t>
      </w:r>
      <w:r>
        <w:rPr/>
        <w:t>à</w:t>
      </w:r>
      <w:r>
        <w:rPr>
          <w:spacing w:val="-8"/>
        </w:rPr>
        <w:t> </w:t>
      </w:r>
      <w:r>
        <w:rPr/>
        <w:t>sobrecarga</w:t>
      </w:r>
      <w:r>
        <w:rPr>
          <w:spacing w:val="-8"/>
        </w:rPr>
        <w:t> </w:t>
      </w:r>
      <w:r>
        <w:rPr/>
        <w:t>de</w:t>
      </w:r>
      <w:r>
        <w:rPr>
          <w:spacing w:val="-8"/>
        </w:rPr>
        <w:t> </w:t>
      </w:r>
      <w:r>
        <w:rPr/>
        <w:t>pressão</w:t>
      </w:r>
      <w:r>
        <w:rPr>
          <w:spacing w:val="-5"/>
        </w:rPr>
        <w:t> </w:t>
      </w:r>
      <w:r>
        <w:rPr/>
        <w:t>crônica, resultando</w:t>
      </w:r>
      <w:r>
        <w:rPr>
          <w:spacing w:val="-5"/>
        </w:rPr>
        <w:t> </w:t>
      </w:r>
      <w:r>
        <w:rPr/>
        <w:t>em</w:t>
      </w:r>
      <w:r>
        <w:rPr>
          <w:spacing w:val="-5"/>
        </w:rPr>
        <w:t> </w:t>
      </w:r>
      <w:r>
        <w:rPr/>
        <w:t>aumento</w:t>
      </w:r>
      <w:r>
        <w:rPr>
          <w:spacing w:val="-5"/>
        </w:rPr>
        <w:t> </w:t>
      </w:r>
      <w:r>
        <w:rPr/>
        <w:t>da</w:t>
      </w:r>
      <w:r>
        <w:rPr>
          <w:spacing w:val="-8"/>
        </w:rPr>
        <w:t> </w:t>
      </w:r>
      <w:r>
        <w:rPr/>
        <w:t>relação</w:t>
      </w:r>
      <w:r>
        <w:rPr>
          <w:spacing w:val="-5"/>
        </w:rPr>
        <w:t> </w:t>
      </w:r>
      <w:r>
        <w:rPr/>
        <w:t>massa/volume. Entretanto, pode não ser tão grande quanto o da insuficiência aórtica.</w:t>
      </w:r>
    </w:p>
    <w:p>
      <w:pPr>
        <w:pStyle w:val="BodyText"/>
        <w:spacing w:line="276" w:lineRule="auto" w:before="48"/>
        <w:ind w:right="488"/>
      </w:pPr>
      <w:r>
        <w:rPr/>
        <w:t>A circulação coronária em um sistema de sobrecarga de volume e de pressão necessita suprir a massa miocárdica aumentada e trabalhar em um sistema em que a força de contração, ou seja, a compressão e outras forças modificam seu fluxo padrão.</w:t>
      </w:r>
    </w:p>
    <w:p>
      <w:pPr>
        <w:pStyle w:val="BodyText"/>
        <w:spacing w:line="276" w:lineRule="auto"/>
        <w:ind w:right="500"/>
      </w:pPr>
      <w:r>
        <w:rPr/>
        <w:t>Mark</w:t>
      </w:r>
      <w:r>
        <w:rPr>
          <w:spacing w:val="-5"/>
        </w:rPr>
        <w:t> </w:t>
      </w:r>
      <w:r>
        <w:rPr>
          <w:i/>
        </w:rPr>
        <w:t>et</w:t>
      </w:r>
      <w:r>
        <w:rPr>
          <w:i/>
          <w:spacing w:val="-3"/>
        </w:rPr>
        <w:t> </w:t>
      </w:r>
      <w:r>
        <w:rPr>
          <w:i/>
        </w:rPr>
        <w:t>al. </w:t>
      </w:r>
      <w:r>
        <w:rPr/>
        <w:t>mediram</w:t>
      </w:r>
      <w:r>
        <w:rPr>
          <w:spacing w:val="-2"/>
        </w:rPr>
        <w:t> </w:t>
      </w:r>
      <w:r>
        <w:rPr/>
        <w:t>o</w:t>
      </w:r>
      <w:r>
        <w:rPr>
          <w:spacing w:val="-2"/>
        </w:rPr>
        <w:t> </w:t>
      </w:r>
      <w:r>
        <w:rPr/>
        <w:t>fluxo</w:t>
      </w:r>
      <w:r>
        <w:rPr>
          <w:spacing w:val="-2"/>
        </w:rPr>
        <w:t> </w:t>
      </w:r>
      <w:r>
        <w:rPr/>
        <w:t>periférico</w:t>
      </w:r>
      <w:r>
        <w:rPr>
          <w:spacing w:val="-2"/>
        </w:rPr>
        <w:t> </w:t>
      </w:r>
      <w:r>
        <w:rPr/>
        <w:t>durante</w:t>
      </w:r>
      <w:r>
        <w:rPr>
          <w:spacing w:val="-5"/>
        </w:rPr>
        <w:t> </w:t>
      </w:r>
      <w:r>
        <w:rPr/>
        <w:t>o</w:t>
      </w:r>
      <w:r>
        <w:rPr>
          <w:spacing w:val="-2"/>
        </w:rPr>
        <w:t> </w:t>
      </w:r>
      <w:r>
        <w:rPr/>
        <w:t>exercício, em</w:t>
      </w:r>
      <w:r>
        <w:rPr>
          <w:spacing w:val="-2"/>
        </w:rPr>
        <w:t> </w:t>
      </w:r>
      <w:r>
        <w:rPr/>
        <w:t>portadores de</w:t>
      </w:r>
      <w:r>
        <w:rPr>
          <w:spacing w:val="-5"/>
        </w:rPr>
        <w:t> </w:t>
      </w:r>
      <w:r>
        <w:rPr/>
        <w:t>estenose</w:t>
      </w:r>
      <w:r>
        <w:rPr>
          <w:spacing w:val="-5"/>
        </w:rPr>
        <w:t> </w:t>
      </w:r>
      <w:r>
        <w:rPr/>
        <w:t>mitral, EAo</w:t>
      </w:r>
      <w:r>
        <w:rPr>
          <w:spacing w:val="-2"/>
        </w:rPr>
        <w:t> </w:t>
      </w:r>
      <w:r>
        <w:rPr/>
        <w:t>e</w:t>
      </w:r>
      <w:r>
        <w:rPr>
          <w:spacing w:val="-5"/>
        </w:rPr>
        <w:t> </w:t>
      </w:r>
      <w:r>
        <w:rPr/>
        <w:t>indivíduos normais, obtendo no grupo-controle e nos portadores de estenose mitral, durante a fase inicial do exercício, vasoconstrição e</w:t>
      </w:r>
      <w:r>
        <w:rPr>
          <w:spacing w:val="-1"/>
        </w:rPr>
        <w:t> </w:t>
      </w:r>
      <w:r>
        <w:rPr/>
        <w:t>nos portadores de</w:t>
      </w:r>
      <w:r>
        <w:rPr>
          <w:spacing w:val="-1"/>
        </w:rPr>
        <w:t> </w:t>
      </w:r>
      <w:r>
        <w:rPr/>
        <w:t>EAo, vasodilatação. Esse</w:t>
      </w:r>
      <w:r>
        <w:rPr>
          <w:spacing w:val="-1"/>
        </w:rPr>
        <w:t> </w:t>
      </w:r>
      <w:r>
        <w:rPr/>
        <w:t>estudo aventou a</w:t>
      </w:r>
      <w:r>
        <w:rPr>
          <w:spacing w:val="-1"/>
        </w:rPr>
        <w:t> </w:t>
      </w:r>
      <w:r>
        <w:rPr/>
        <w:t>possibilidade</w:t>
      </w:r>
      <w:r>
        <w:rPr>
          <w:spacing w:val="-1"/>
        </w:rPr>
        <w:t> </w:t>
      </w:r>
      <w:r>
        <w:rPr/>
        <w:t>de</w:t>
      </w:r>
      <w:r>
        <w:rPr>
          <w:spacing w:val="-1"/>
        </w:rPr>
        <w:t> </w:t>
      </w:r>
      <w:r>
        <w:rPr/>
        <w:t>que</w:t>
      </w:r>
      <w:r>
        <w:rPr>
          <w:spacing w:val="-1"/>
        </w:rPr>
        <w:t> </w:t>
      </w:r>
      <w:r>
        <w:rPr/>
        <w:t>o exercício, ao aumentar a pressão no VE dos portadores de EAo, ative os barorreceptores ventriculares, levando à vasodilatação </w:t>
      </w:r>
      <w:r>
        <w:rPr>
          <w:spacing w:val="-2"/>
        </w:rPr>
        <w:t>periférica.</w:t>
      </w:r>
    </w:p>
    <w:p>
      <w:pPr>
        <w:pStyle w:val="BodyText"/>
        <w:spacing w:before="48"/>
        <w:ind w:left="414" w:firstLine="0"/>
      </w:pPr>
      <w:r>
        <w:rPr/>
        <w:t>Em</w:t>
      </w:r>
      <w:r>
        <w:rPr>
          <w:spacing w:val="-5"/>
        </w:rPr>
        <w:t> </w:t>
      </w:r>
      <w:r>
        <w:rPr/>
        <w:t>um</w:t>
      </w:r>
      <w:r>
        <w:rPr>
          <w:spacing w:val="-4"/>
        </w:rPr>
        <w:t> </w:t>
      </w:r>
      <w:r>
        <w:rPr/>
        <w:t>coração</w:t>
      </w:r>
      <w:r>
        <w:rPr>
          <w:spacing w:val="-4"/>
        </w:rPr>
        <w:t> </w:t>
      </w:r>
      <w:r>
        <w:rPr/>
        <w:t>sadio,</w:t>
      </w:r>
      <w:r>
        <w:rPr>
          <w:spacing w:val="4"/>
        </w:rPr>
        <w:t> </w:t>
      </w:r>
      <w:r>
        <w:rPr/>
        <w:t>durante</w:t>
      </w:r>
      <w:r>
        <w:rPr>
          <w:spacing w:val="-7"/>
        </w:rPr>
        <w:t> </w:t>
      </w:r>
      <w:r>
        <w:rPr/>
        <w:t>a</w:t>
      </w:r>
      <w:r>
        <w:rPr>
          <w:spacing w:val="-7"/>
        </w:rPr>
        <w:t> </w:t>
      </w:r>
      <w:r>
        <w:rPr/>
        <w:t>sístole,</w:t>
      </w:r>
      <w:r>
        <w:rPr>
          <w:spacing w:val="4"/>
        </w:rPr>
        <w:t> </w:t>
      </w:r>
      <w:r>
        <w:rPr/>
        <w:t>ocorre</w:t>
      </w:r>
      <w:r>
        <w:rPr>
          <w:spacing w:val="-6"/>
        </w:rPr>
        <w:t> </w:t>
      </w:r>
      <w:r>
        <w:rPr/>
        <w:t>elevação</w:t>
      </w:r>
      <w:r>
        <w:rPr>
          <w:spacing w:val="-5"/>
        </w:rPr>
        <w:t> </w:t>
      </w:r>
      <w:r>
        <w:rPr/>
        <w:t>da</w:t>
      </w:r>
      <w:r>
        <w:rPr>
          <w:spacing w:val="-7"/>
        </w:rPr>
        <w:t> </w:t>
      </w:r>
      <w:r>
        <w:rPr/>
        <w:t>pressão</w:t>
      </w:r>
      <w:r>
        <w:rPr>
          <w:spacing w:val="-4"/>
        </w:rPr>
        <w:t> </w:t>
      </w:r>
      <w:r>
        <w:rPr/>
        <w:t>intramural</w:t>
      </w:r>
      <w:r>
        <w:rPr>
          <w:spacing w:val="-1"/>
        </w:rPr>
        <w:t> </w:t>
      </w:r>
      <w:r>
        <w:rPr/>
        <w:t>e</w:t>
      </w:r>
      <w:r>
        <w:rPr>
          <w:spacing w:val="-6"/>
        </w:rPr>
        <w:t> </w:t>
      </w:r>
      <w:r>
        <w:rPr/>
        <w:t>forças</w:t>
      </w:r>
      <w:r>
        <w:rPr>
          <w:spacing w:val="4"/>
        </w:rPr>
        <w:t> </w:t>
      </w:r>
      <w:r>
        <w:rPr/>
        <w:t>de</w:t>
      </w:r>
      <w:r>
        <w:rPr>
          <w:spacing w:val="-7"/>
        </w:rPr>
        <w:t> </w:t>
      </w:r>
      <w:r>
        <w:rPr/>
        <w:t>torção</w:t>
      </w:r>
      <w:r>
        <w:rPr>
          <w:spacing w:val="-4"/>
        </w:rPr>
        <w:t> </w:t>
      </w:r>
      <w:r>
        <w:rPr/>
        <w:t>que</w:t>
      </w:r>
      <w:r>
        <w:rPr>
          <w:spacing w:val="-7"/>
        </w:rPr>
        <w:t> </w:t>
      </w:r>
      <w:r>
        <w:rPr/>
        <w:t>podem</w:t>
      </w:r>
      <w:r>
        <w:rPr>
          <w:spacing w:val="-4"/>
        </w:rPr>
        <w:t> </w:t>
      </w:r>
      <w:r>
        <w:rPr>
          <w:spacing w:val="-5"/>
        </w:rPr>
        <w:t>até</w:t>
      </w:r>
    </w:p>
    <w:p>
      <w:pPr>
        <w:pStyle w:val="BodyText"/>
        <w:spacing w:after="0"/>
        <w:sectPr>
          <w:pgSz w:w="11900" w:h="16840"/>
          <w:pgMar w:top="200" w:bottom="280" w:left="566" w:right="141"/>
        </w:sectPr>
      </w:pPr>
    </w:p>
    <w:p>
      <w:pPr>
        <w:pStyle w:val="BodyText"/>
        <w:spacing w:line="278" w:lineRule="auto" w:before="71"/>
        <w:ind w:right="500" w:firstLine="0"/>
      </w:pPr>
      <w:r>
        <w:rPr/>
        <w:t>mesmo bloquear o fluxo nas artérias intramurais. Em um coração hipertrofiado, esse efeito pode estar muito acentuado. O</w:t>
      </w:r>
      <w:r>
        <w:rPr>
          <w:spacing w:val="-4"/>
        </w:rPr>
        <w:t> </w:t>
      </w:r>
      <w:r>
        <w:rPr/>
        <w:t>fluxo</w:t>
      </w:r>
      <w:r>
        <w:rPr>
          <w:spacing w:val="-1"/>
        </w:rPr>
        <w:t> </w:t>
      </w:r>
      <w:r>
        <w:rPr/>
        <w:t>coronário</w:t>
      </w:r>
      <w:r>
        <w:rPr>
          <w:spacing w:val="-1"/>
        </w:rPr>
        <w:t> </w:t>
      </w:r>
      <w:r>
        <w:rPr/>
        <w:t>está</w:t>
      </w:r>
      <w:r>
        <w:rPr>
          <w:spacing w:val="-4"/>
        </w:rPr>
        <w:t> </w:t>
      </w:r>
      <w:r>
        <w:rPr/>
        <w:t>ligado</w:t>
      </w:r>
      <w:r>
        <w:rPr>
          <w:spacing w:val="-1"/>
        </w:rPr>
        <w:t> </w:t>
      </w:r>
      <w:r>
        <w:rPr/>
        <w:t>diretamente</w:t>
      </w:r>
      <w:r>
        <w:rPr>
          <w:spacing w:val="-4"/>
        </w:rPr>
        <w:t> </w:t>
      </w:r>
      <w:r>
        <w:rPr/>
        <w:t>às necessidades metabólicas e</w:t>
      </w:r>
      <w:r>
        <w:rPr>
          <w:spacing w:val="-4"/>
        </w:rPr>
        <w:t> </w:t>
      </w:r>
      <w:r>
        <w:rPr/>
        <w:t>seu</w:t>
      </w:r>
      <w:r>
        <w:rPr>
          <w:spacing w:val="-1"/>
        </w:rPr>
        <w:t> </w:t>
      </w:r>
      <w:r>
        <w:rPr/>
        <w:t>mecanismo</w:t>
      </w:r>
      <w:r>
        <w:rPr>
          <w:spacing w:val="-1"/>
        </w:rPr>
        <w:t> </w:t>
      </w:r>
      <w:r>
        <w:rPr/>
        <w:t>autorregulador da resistência vascular o mantém constante. Na hipertrofia ventricular, há maior consumo de oxigênio e as alterações metabólicas locais mantêm as coronárias em máxima dilatação, não podendo aumentar mais durante o exercício, ocorrendo então, a descompensação.</w:t>
      </w:r>
    </w:p>
    <w:p>
      <w:pPr>
        <w:pStyle w:val="BodyText"/>
        <w:spacing w:line="276" w:lineRule="auto" w:before="56"/>
        <w:ind w:right="501"/>
      </w:pPr>
      <w:r>
        <w:rPr/>
        <w:t>A</w:t>
      </w:r>
      <w:r>
        <w:rPr>
          <w:spacing w:val="-11"/>
        </w:rPr>
        <w:t> </w:t>
      </w:r>
      <w:r>
        <w:rPr/>
        <w:t>falta</w:t>
      </w:r>
      <w:r>
        <w:rPr>
          <w:spacing w:val="-11"/>
        </w:rPr>
        <w:t> </w:t>
      </w:r>
      <w:r>
        <w:rPr/>
        <w:t>de</w:t>
      </w:r>
      <w:r>
        <w:rPr>
          <w:spacing w:val="-11"/>
        </w:rPr>
        <w:t> </w:t>
      </w:r>
      <w:r>
        <w:rPr/>
        <w:t>adaptação</w:t>
      </w:r>
      <w:r>
        <w:rPr>
          <w:spacing w:val="-8"/>
        </w:rPr>
        <w:t> </w:t>
      </w:r>
      <w:r>
        <w:rPr/>
        <w:t>da</w:t>
      </w:r>
      <w:r>
        <w:rPr>
          <w:spacing w:val="-11"/>
        </w:rPr>
        <w:t> </w:t>
      </w:r>
      <w:r>
        <w:rPr/>
        <w:t>pressão</w:t>
      </w:r>
      <w:r>
        <w:rPr>
          <w:spacing w:val="-8"/>
        </w:rPr>
        <w:t> </w:t>
      </w:r>
      <w:r>
        <w:rPr/>
        <w:t>arterial,</w:t>
      </w:r>
      <w:r>
        <w:rPr>
          <w:spacing w:val="-1"/>
        </w:rPr>
        <w:t> </w:t>
      </w:r>
      <w:r>
        <w:rPr/>
        <w:t>durante</w:t>
      </w:r>
      <w:r>
        <w:rPr>
          <w:spacing w:val="-11"/>
        </w:rPr>
        <w:t> </w:t>
      </w:r>
      <w:r>
        <w:rPr/>
        <w:t>o</w:t>
      </w:r>
      <w:r>
        <w:rPr>
          <w:spacing w:val="-8"/>
        </w:rPr>
        <w:t> </w:t>
      </w:r>
      <w:r>
        <w:rPr/>
        <w:t>exercício</w:t>
      </w:r>
      <w:r>
        <w:rPr>
          <w:spacing w:val="-8"/>
        </w:rPr>
        <w:t> </w:t>
      </w:r>
      <w:r>
        <w:rPr/>
        <w:t>nos</w:t>
      </w:r>
      <w:r>
        <w:rPr>
          <w:spacing w:val="-1"/>
        </w:rPr>
        <w:t> </w:t>
      </w:r>
      <w:r>
        <w:rPr/>
        <w:t>pacientes</w:t>
      </w:r>
      <w:r>
        <w:rPr>
          <w:spacing w:val="-1"/>
        </w:rPr>
        <w:t> </w:t>
      </w:r>
      <w:r>
        <w:rPr/>
        <w:t>com</w:t>
      </w:r>
      <w:r>
        <w:rPr>
          <w:spacing w:val="-8"/>
        </w:rPr>
        <w:t> </w:t>
      </w:r>
      <w:r>
        <w:rPr/>
        <w:t>EAo,</w:t>
      </w:r>
      <w:r>
        <w:rPr>
          <w:spacing w:val="-1"/>
        </w:rPr>
        <w:t> </w:t>
      </w:r>
      <w:r>
        <w:rPr/>
        <w:t>pode</w:t>
      </w:r>
      <w:r>
        <w:rPr>
          <w:spacing w:val="-11"/>
        </w:rPr>
        <w:t> </w:t>
      </w:r>
      <w:r>
        <w:rPr/>
        <w:t>ser</w:t>
      </w:r>
      <w:r>
        <w:rPr>
          <w:spacing w:val="-3"/>
        </w:rPr>
        <w:t> </w:t>
      </w:r>
      <w:r>
        <w:rPr/>
        <w:t>motivada</w:t>
      </w:r>
      <w:r>
        <w:rPr>
          <w:spacing w:val="-11"/>
        </w:rPr>
        <w:t> </w:t>
      </w:r>
      <w:r>
        <w:rPr/>
        <w:t>por</w:t>
      </w:r>
      <w:r>
        <w:rPr>
          <w:spacing w:val="-3"/>
        </w:rPr>
        <w:t> </w:t>
      </w:r>
      <w:r>
        <w:rPr/>
        <w:t>duas causas isoladas ou associadas: débito cardíaco inadequado, aumento do grau de estenose ou disfunção ventricular e/ou diminuição da resistência vascular periférica.</w:t>
      </w:r>
    </w:p>
    <w:p>
      <w:pPr>
        <w:pStyle w:val="BodyText"/>
        <w:spacing w:before="9"/>
        <w:ind w:left="0" w:firstLine="0"/>
        <w:jc w:val="left"/>
      </w:pPr>
    </w:p>
    <w:p>
      <w:pPr>
        <w:pStyle w:val="Heading7"/>
      </w:pPr>
      <w:r>
        <w:rPr>
          <w:color w:val="242B67"/>
        </w:rPr>
        <w:t>Fase de </w:t>
      </w:r>
      <w:r>
        <w:rPr>
          <w:color w:val="242B67"/>
          <w:spacing w:val="-2"/>
        </w:rPr>
        <w:t>descompensação</w:t>
      </w:r>
    </w:p>
    <w:p>
      <w:pPr>
        <w:pStyle w:val="BodyText"/>
        <w:spacing w:line="276" w:lineRule="auto" w:before="126"/>
        <w:ind w:right="488"/>
      </w:pPr>
      <w:r>
        <w:rPr/>
        <w:t>Com a progressão da doença, vai havendo desgaste dos mecanismos adaptativos do miocárdio, estruturais e bioquímicos, fazendo com que o VE não mais produza a energia necessária para realizar o trabalho adequado. O débito cardíaco cai, elevando as pressões e</w:t>
      </w:r>
      <w:r>
        <w:rPr>
          <w:spacing w:val="-3"/>
        </w:rPr>
        <w:t> </w:t>
      </w:r>
      <w:r>
        <w:rPr/>
        <w:t>levando à</w:t>
      </w:r>
      <w:r>
        <w:rPr>
          <w:spacing w:val="-3"/>
        </w:rPr>
        <w:t> </w:t>
      </w:r>
      <w:r>
        <w:rPr/>
        <w:t>congestão e</w:t>
      </w:r>
      <w:r>
        <w:rPr>
          <w:spacing w:val="-3"/>
        </w:rPr>
        <w:t> </w:t>
      </w:r>
      <w:r>
        <w:rPr/>
        <w:t>ao edema</w:t>
      </w:r>
      <w:r>
        <w:rPr>
          <w:spacing w:val="-3"/>
        </w:rPr>
        <w:t> </w:t>
      </w:r>
      <w:r>
        <w:rPr/>
        <w:t>pulmonar.</w:t>
      </w:r>
    </w:p>
    <w:p>
      <w:pPr>
        <w:pStyle w:val="BodyText"/>
        <w:spacing w:line="276" w:lineRule="auto"/>
        <w:ind w:right="488"/>
      </w:pPr>
      <w:r>
        <w:rPr/>
        <w:t>O comprometimento da função ventricular ocorre quando os mecanismos compensatórios tornam-se insuficientes. A</w:t>
      </w:r>
      <w:r>
        <w:rPr>
          <w:spacing w:val="-6"/>
        </w:rPr>
        <w:t> </w:t>
      </w:r>
      <w:r>
        <w:rPr/>
        <w:t>distensibilidade</w:t>
      </w:r>
      <w:r>
        <w:rPr>
          <w:spacing w:val="-6"/>
        </w:rPr>
        <w:t> </w:t>
      </w:r>
      <w:r>
        <w:rPr/>
        <w:t>do</w:t>
      </w:r>
      <w:r>
        <w:rPr>
          <w:spacing w:val="-4"/>
        </w:rPr>
        <w:t> </w:t>
      </w:r>
      <w:r>
        <w:rPr/>
        <w:t>coração</w:t>
      </w:r>
      <w:r>
        <w:rPr>
          <w:spacing w:val="-4"/>
        </w:rPr>
        <w:t> </w:t>
      </w:r>
      <w:r>
        <w:rPr/>
        <w:t>hipertrofiado</w:t>
      </w:r>
      <w:r>
        <w:rPr>
          <w:spacing w:val="-4"/>
        </w:rPr>
        <w:t> </w:t>
      </w:r>
      <w:r>
        <w:rPr/>
        <w:t>se</w:t>
      </w:r>
      <w:r>
        <w:rPr>
          <w:spacing w:val="-6"/>
        </w:rPr>
        <w:t> </w:t>
      </w:r>
      <w:r>
        <w:rPr/>
        <w:t>reduz</w:t>
      </w:r>
      <w:r>
        <w:rPr>
          <w:spacing w:val="-6"/>
        </w:rPr>
        <w:t> </w:t>
      </w:r>
      <w:r>
        <w:rPr/>
        <w:t>e</w:t>
      </w:r>
      <w:r>
        <w:rPr>
          <w:spacing w:val="-6"/>
        </w:rPr>
        <w:t> </w:t>
      </w:r>
      <w:r>
        <w:rPr/>
        <w:t>a</w:t>
      </w:r>
      <w:r>
        <w:rPr>
          <w:spacing w:val="-6"/>
        </w:rPr>
        <w:t> </w:t>
      </w:r>
      <w:r>
        <w:rPr/>
        <w:t>própria</w:t>
      </w:r>
      <w:r>
        <w:rPr>
          <w:spacing w:val="-6"/>
        </w:rPr>
        <w:t> </w:t>
      </w:r>
      <w:r>
        <w:rPr/>
        <w:t>isquemia</w:t>
      </w:r>
      <w:r>
        <w:rPr>
          <w:spacing w:val="-6"/>
        </w:rPr>
        <w:t> </w:t>
      </w:r>
      <w:r>
        <w:rPr/>
        <w:t>consequente</w:t>
      </w:r>
      <w:r>
        <w:rPr>
          <w:spacing w:val="-6"/>
        </w:rPr>
        <w:t> </w:t>
      </w:r>
      <w:r>
        <w:rPr/>
        <w:t>à</w:t>
      </w:r>
      <w:r>
        <w:rPr>
          <w:spacing w:val="-6"/>
        </w:rPr>
        <w:t> </w:t>
      </w:r>
      <w:r>
        <w:rPr/>
        <w:t>desproporção entre oferta e consumo de oxigênio pode contribuir para essa disfunção. Essas alterações contribuem para que o débito cardíaco não se mantenha adequado, a princípio, durante o esforço e, com o decorrer do tempo, até mesmo em repouso.</w:t>
      </w:r>
    </w:p>
    <w:p>
      <w:pPr>
        <w:pStyle w:val="BodyText"/>
        <w:spacing w:before="133"/>
        <w:ind w:left="0" w:firstLine="0"/>
        <w:jc w:val="left"/>
      </w:pPr>
    </w:p>
    <w:p>
      <w:pPr>
        <w:pStyle w:val="Heading5"/>
        <w:spacing w:before="1"/>
      </w:pPr>
      <w:r>
        <w:rPr>
          <w:color w:val="A26108"/>
        </w:rPr>
        <w:t>Quadro</w:t>
      </w:r>
      <w:r>
        <w:rPr>
          <w:color w:val="A26108"/>
          <w:spacing w:val="23"/>
        </w:rPr>
        <w:t> </w:t>
      </w:r>
      <w:r>
        <w:rPr>
          <w:color w:val="A26108"/>
          <w:spacing w:val="-2"/>
        </w:rPr>
        <w:t>clínico</w:t>
      </w:r>
    </w:p>
    <w:p>
      <w:pPr>
        <w:pStyle w:val="BodyText"/>
        <w:spacing w:line="276" w:lineRule="auto" w:before="138"/>
        <w:ind w:right="491"/>
      </w:pPr>
      <w:r>
        <w:rPr/>
        <w:t>O</w:t>
      </w:r>
      <w:r>
        <w:rPr>
          <w:spacing w:val="-8"/>
        </w:rPr>
        <w:t> </w:t>
      </w:r>
      <w:r>
        <w:rPr/>
        <w:t>paciente</w:t>
      </w:r>
      <w:r>
        <w:rPr>
          <w:spacing w:val="-8"/>
        </w:rPr>
        <w:t> </w:t>
      </w:r>
      <w:r>
        <w:rPr/>
        <w:t>com</w:t>
      </w:r>
      <w:r>
        <w:rPr>
          <w:spacing w:val="-6"/>
        </w:rPr>
        <w:t> </w:t>
      </w:r>
      <w:r>
        <w:rPr/>
        <w:t>estenose</w:t>
      </w:r>
      <w:r>
        <w:rPr>
          <w:spacing w:val="-8"/>
        </w:rPr>
        <w:t> </w:t>
      </w:r>
      <w:r>
        <w:rPr/>
        <w:t>valvar</w:t>
      </w:r>
      <w:r>
        <w:rPr>
          <w:spacing w:val="-1"/>
        </w:rPr>
        <w:t> </w:t>
      </w:r>
      <w:r>
        <w:rPr/>
        <w:t>aórtica</w:t>
      </w:r>
      <w:r>
        <w:rPr>
          <w:spacing w:val="-8"/>
        </w:rPr>
        <w:t> </w:t>
      </w:r>
      <w:r>
        <w:rPr/>
        <w:t>não</w:t>
      </w:r>
      <w:r>
        <w:rPr>
          <w:spacing w:val="-6"/>
        </w:rPr>
        <w:t> </w:t>
      </w:r>
      <w:r>
        <w:rPr/>
        <w:t>apresenta</w:t>
      </w:r>
      <w:r>
        <w:rPr>
          <w:spacing w:val="-8"/>
        </w:rPr>
        <w:t> </w:t>
      </w:r>
      <w:r>
        <w:rPr/>
        <w:t>sintomas até</w:t>
      </w:r>
      <w:r>
        <w:rPr>
          <w:spacing w:val="-8"/>
        </w:rPr>
        <w:t> </w:t>
      </w:r>
      <w:r>
        <w:rPr/>
        <w:t>que</w:t>
      </w:r>
      <w:r>
        <w:rPr>
          <w:spacing w:val="-8"/>
        </w:rPr>
        <w:t> </w:t>
      </w:r>
      <w:r>
        <w:rPr/>
        <w:t>a</w:t>
      </w:r>
      <w:r>
        <w:rPr>
          <w:spacing w:val="-8"/>
        </w:rPr>
        <w:t> </w:t>
      </w:r>
      <w:r>
        <w:rPr/>
        <w:t>obstrução</w:t>
      </w:r>
      <w:r>
        <w:rPr>
          <w:spacing w:val="-6"/>
        </w:rPr>
        <w:t> </w:t>
      </w:r>
      <w:r>
        <w:rPr/>
        <w:t>se</w:t>
      </w:r>
      <w:r>
        <w:rPr>
          <w:spacing w:val="-8"/>
        </w:rPr>
        <w:t> </w:t>
      </w:r>
      <w:r>
        <w:rPr/>
        <w:t>torne</w:t>
      </w:r>
      <w:r>
        <w:rPr>
          <w:spacing w:val="-8"/>
        </w:rPr>
        <w:t> </w:t>
      </w:r>
      <w:r>
        <w:rPr/>
        <w:t>muito</w:t>
      </w:r>
      <w:r>
        <w:rPr>
          <w:spacing w:val="-6"/>
        </w:rPr>
        <w:t> </w:t>
      </w:r>
      <w:r>
        <w:rPr/>
        <w:t>grave, a</w:t>
      </w:r>
      <w:r>
        <w:rPr>
          <w:spacing w:val="-8"/>
        </w:rPr>
        <w:t> </w:t>
      </w:r>
      <w:r>
        <w:rPr/>
        <w:t>ponto de</w:t>
      </w:r>
      <w:r>
        <w:rPr>
          <w:spacing w:val="-6"/>
        </w:rPr>
        <w:t> </w:t>
      </w:r>
      <w:r>
        <w:rPr/>
        <w:t>comprometer o</w:t>
      </w:r>
      <w:r>
        <w:rPr>
          <w:spacing w:val="-3"/>
        </w:rPr>
        <w:t> </w:t>
      </w:r>
      <w:r>
        <w:rPr/>
        <w:t>fluxo</w:t>
      </w:r>
      <w:r>
        <w:rPr>
          <w:spacing w:val="-3"/>
        </w:rPr>
        <w:t> </w:t>
      </w:r>
      <w:r>
        <w:rPr/>
        <w:t>sanguíneo</w:t>
      </w:r>
      <w:r>
        <w:rPr>
          <w:spacing w:val="-3"/>
        </w:rPr>
        <w:t> </w:t>
      </w:r>
      <w:r>
        <w:rPr/>
        <w:t>para</w:t>
      </w:r>
      <w:r>
        <w:rPr>
          <w:spacing w:val="-6"/>
        </w:rPr>
        <w:t> </w:t>
      </w:r>
      <w:r>
        <w:rPr/>
        <w:t>o</w:t>
      </w:r>
      <w:r>
        <w:rPr>
          <w:spacing w:val="-3"/>
        </w:rPr>
        <w:t> </w:t>
      </w:r>
      <w:r>
        <w:rPr/>
        <w:t>sistema</w:t>
      </w:r>
      <w:r>
        <w:rPr>
          <w:spacing w:val="-6"/>
        </w:rPr>
        <w:t> </w:t>
      </w:r>
      <w:r>
        <w:rPr/>
        <w:t>nervoso</w:t>
      </w:r>
      <w:r>
        <w:rPr>
          <w:spacing w:val="-3"/>
        </w:rPr>
        <w:t> </w:t>
      </w:r>
      <w:r>
        <w:rPr/>
        <w:t>central, para</w:t>
      </w:r>
      <w:r>
        <w:rPr>
          <w:spacing w:val="-6"/>
        </w:rPr>
        <w:t> </w:t>
      </w:r>
      <w:r>
        <w:rPr/>
        <w:t>o</w:t>
      </w:r>
      <w:r>
        <w:rPr>
          <w:spacing w:val="-3"/>
        </w:rPr>
        <w:t> </w:t>
      </w:r>
      <w:r>
        <w:rPr/>
        <w:t>próprio</w:t>
      </w:r>
      <w:r>
        <w:rPr>
          <w:spacing w:val="-3"/>
        </w:rPr>
        <w:t> </w:t>
      </w:r>
      <w:r>
        <w:rPr/>
        <w:t>coração</w:t>
      </w:r>
      <w:r>
        <w:rPr>
          <w:spacing w:val="-3"/>
        </w:rPr>
        <w:t> </w:t>
      </w:r>
      <w:r>
        <w:rPr/>
        <w:t>ou</w:t>
      </w:r>
      <w:r>
        <w:rPr>
          <w:spacing w:val="-3"/>
        </w:rPr>
        <w:t> </w:t>
      </w:r>
      <w:r>
        <w:rPr/>
        <w:t>para</w:t>
      </w:r>
      <w:r>
        <w:rPr>
          <w:spacing w:val="-6"/>
        </w:rPr>
        <w:t> </w:t>
      </w:r>
      <w:r>
        <w:rPr/>
        <w:t>a</w:t>
      </w:r>
      <w:r>
        <w:rPr>
          <w:spacing w:val="-6"/>
        </w:rPr>
        <w:t> </w:t>
      </w:r>
      <w:r>
        <w:rPr/>
        <w:t>periferia. Nesse período, as pressões do átrio esquerdo e do capilar pulmonar aumentam e a sintomatologia aparece de início aos grandes esforços e vai aumentado progressivamente até aos pequenos esforços. Assim, esses pacientes estão sujeitos à morte súbita durante uma demanda maior. Os doentes com EAo podem apresentar a clássica tríade de sintomas: síncope, angina e dispneia aos esforços.</w:t>
      </w:r>
    </w:p>
    <w:p>
      <w:pPr>
        <w:pStyle w:val="BodyText"/>
        <w:spacing w:line="276" w:lineRule="auto" w:before="49"/>
        <w:ind w:right="488"/>
      </w:pPr>
      <w:r>
        <w:rPr/>
        <w:t>A síncope em repouso é consequência da arritmia cardíaca; entretanto, quando desencadeada pelo esforço, é decorrente de hipofluxo cerebral causado por um débito cardíaco fixo inadequado à demanda, associado à vasodilatação reflexa, conforme já discutido.</w:t>
      </w:r>
    </w:p>
    <w:p>
      <w:pPr>
        <w:pStyle w:val="BodyText"/>
        <w:spacing w:line="276" w:lineRule="auto" w:before="64"/>
        <w:ind w:right="491"/>
      </w:pPr>
      <w:r>
        <w:rPr/>
        <w:t>A angina é decorrente da desproporção entre oferta e consumo de oxigênio, em função de massa muscular do VE hipertrofiado. Sabe-se que metade dos casos de EAo apresenta insuficiência coronária associada. Raramente pode também ser decorrente de fenômeno embólico causado pelo desprendimento de fragmentos de cálcio obstruindo ramos das artérias coronárias.</w:t>
      </w:r>
    </w:p>
    <w:p>
      <w:pPr>
        <w:pStyle w:val="BodyText"/>
        <w:spacing w:line="276" w:lineRule="auto"/>
        <w:ind w:right="488"/>
      </w:pPr>
      <w:r>
        <w:rPr/>
        <w:t>A dispneia de esforço aparece como pródromo da insuficiência cardíaca, a qual ocorre em estágio avançado da doença, como consequência da falência miocárdica.</w:t>
      </w:r>
    </w:p>
    <w:p>
      <w:pPr>
        <w:pStyle w:val="BodyText"/>
        <w:spacing w:before="117"/>
        <w:ind w:left="0" w:firstLine="0"/>
        <w:jc w:val="left"/>
      </w:pPr>
    </w:p>
    <w:p>
      <w:pPr>
        <w:pStyle w:val="Heading5"/>
        <w:spacing w:before="1"/>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BodyText"/>
        <w:spacing w:line="276" w:lineRule="auto" w:before="138"/>
        <w:ind w:right="488"/>
      </w:pPr>
      <w:r>
        <w:rPr/>
        <w:t>O diagnóstico clínico é feito basicamente pela ausculta cardíaca e outros dados que podem informar sobre a gravidade da lesão.</w:t>
      </w:r>
    </w:p>
    <w:p>
      <w:pPr>
        <w:pStyle w:val="BodyText"/>
        <w:spacing w:line="276" w:lineRule="auto" w:before="64"/>
        <w:ind w:right="491"/>
      </w:pPr>
      <w:r>
        <w:rPr/>
        <w:t>O pulso carotídeo eleva-se lentamente e pode produzir frêmito por causa da transmissão do sopro cardíaco através dos vasos do</w:t>
      </w:r>
      <w:r>
        <w:rPr>
          <w:spacing w:val="-2"/>
        </w:rPr>
        <w:t> </w:t>
      </w:r>
      <w:r>
        <w:rPr/>
        <w:t>pescoço. Quando</w:t>
      </w:r>
      <w:r>
        <w:rPr>
          <w:spacing w:val="-2"/>
        </w:rPr>
        <w:t> </w:t>
      </w:r>
      <w:r>
        <w:rPr/>
        <w:t>a</w:t>
      </w:r>
      <w:r>
        <w:rPr>
          <w:spacing w:val="-4"/>
        </w:rPr>
        <w:t> </w:t>
      </w:r>
      <w:r>
        <w:rPr/>
        <w:t>insuficiência</w:t>
      </w:r>
      <w:r>
        <w:rPr>
          <w:spacing w:val="-4"/>
        </w:rPr>
        <w:t> </w:t>
      </w:r>
      <w:r>
        <w:rPr/>
        <w:t>aórtica</w:t>
      </w:r>
      <w:r>
        <w:rPr>
          <w:spacing w:val="-4"/>
        </w:rPr>
        <w:t> </w:t>
      </w:r>
      <w:r>
        <w:rPr/>
        <w:t>está</w:t>
      </w:r>
      <w:r>
        <w:rPr>
          <w:spacing w:val="-4"/>
        </w:rPr>
        <w:t> </w:t>
      </w:r>
      <w:r>
        <w:rPr/>
        <w:t>associada</w:t>
      </w:r>
      <w:r>
        <w:rPr>
          <w:spacing w:val="-4"/>
        </w:rPr>
        <w:t> </w:t>
      </w:r>
      <w:r>
        <w:rPr/>
        <w:t>em</w:t>
      </w:r>
      <w:r>
        <w:rPr>
          <w:spacing w:val="-2"/>
        </w:rPr>
        <w:t> </w:t>
      </w:r>
      <w:r>
        <w:rPr/>
        <w:t>grau</w:t>
      </w:r>
      <w:r>
        <w:rPr>
          <w:spacing w:val="-2"/>
        </w:rPr>
        <w:t> </w:t>
      </w:r>
      <w:r>
        <w:rPr/>
        <w:t>significativo</w:t>
      </w:r>
      <w:r>
        <w:rPr>
          <w:spacing w:val="-2"/>
        </w:rPr>
        <w:t> </w:t>
      </w:r>
      <w:r>
        <w:rPr/>
        <w:t>pode</w:t>
      </w:r>
      <w:r>
        <w:rPr>
          <w:spacing w:val="-4"/>
        </w:rPr>
        <w:t> </w:t>
      </w:r>
      <w:r>
        <w:rPr/>
        <w:t>haver pulso bisférico. Em caso grave, a</w:t>
      </w:r>
      <w:r>
        <w:rPr>
          <w:spacing w:val="-2"/>
        </w:rPr>
        <w:t> </w:t>
      </w:r>
      <w:r>
        <w:rPr/>
        <w:t>pressão sistólica</w:t>
      </w:r>
      <w:r>
        <w:rPr>
          <w:spacing w:val="-2"/>
        </w:rPr>
        <w:t> </w:t>
      </w:r>
      <w:r>
        <w:rPr/>
        <w:t>é</w:t>
      </w:r>
      <w:r>
        <w:rPr>
          <w:spacing w:val="-2"/>
        </w:rPr>
        <w:t> </w:t>
      </w:r>
      <w:r>
        <w:rPr/>
        <w:t>baixa</w:t>
      </w:r>
      <w:r>
        <w:rPr>
          <w:spacing w:val="-2"/>
        </w:rPr>
        <w:t> </w:t>
      </w:r>
      <w:r>
        <w:rPr/>
        <w:t>e</w:t>
      </w:r>
      <w:r>
        <w:rPr>
          <w:spacing w:val="-2"/>
        </w:rPr>
        <w:t> </w:t>
      </w:r>
      <w:r>
        <w:rPr/>
        <w:t>a</w:t>
      </w:r>
      <w:r>
        <w:rPr>
          <w:spacing w:val="-2"/>
        </w:rPr>
        <w:t> </w:t>
      </w:r>
      <w:r>
        <w:rPr/>
        <w:t>pressão do pulso é</w:t>
      </w:r>
      <w:r>
        <w:rPr>
          <w:spacing w:val="-2"/>
        </w:rPr>
        <w:t> </w:t>
      </w:r>
      <w:r>
        <w:rPr/>
        <w:t>pequena, o </w:t>
      </w:r>
      <w:r>
        <w:rPr>
          <w:i/>
        </w:rPr>
        <w:t>pulsus parvus et tardus</w:t>
      </w:r>
      <w:r>
        <w:rPr/>
        <w:t>. Em caso leve ou moderado, especialmente se houver insuficiência aórtica associada, a pressão sistólica pode até ser </w:t>
      </w:r>
      <w:r>
        <w:rPr>
          <w:spacing w:val="-2"/>
        </w:rPr>
        <w:t>elevada.</w:t>
      </w:r>
    </w:p>
    <w:p>
      <w:pPr>
        <w:pStyle w:val="BodyText"/>
        <w:spacing w:line="276" w:lineRule="auto" w:before="49"/>
        <w:ind w:right="497"/>
      </w:pPr>
      <w:r>
        <w:rPr/>
        <w:t>O</w:t>
      </w:r>
      <w:r>
        <w:rPr>
          <w:spacing w:val="-4"/>
        </w:rPr>
        <w:t> </w:t>
      </w:r>
      <w:r>
        <w:rPr/>
        <w:t>sopro</w:t>
      </w:r>
      <w:r>
        <w:rPr>
          <w:spacing w:val="-2"/>
        </w:rPr>
        <w:t> </w:t>
      </w:r>
      <w:r>
        <w:rPr/>
        <w:t>de</w:t>
      </w:r>
      <w:r>
        <w:rPr>
          <w:spacing w:val="-4"/>
        </w:rPr>
        <w:t> </w:t>
      </w:r>
      <w:r>
        <w:rPr/>
        <w:t>ejeção</w:t>
      </w:r>
      <w:r>
        <w:rPr>
          <w:spacing w:val="-2"/>
        </w:rPr>
        <w:t> </w:t>
      </w:r>
      <w:r>
        <w:rPr/>
        <w:t>da</w:t>
      </w:r>
      <w:r>
        <w:rPr>
          <w:spacing w:val="-4"/>
        </w:rPr>
        <w:t> </w:t>
      </w:r>
      <w:r>
        <w:rPr/>
        <w:t>EAo</w:t>
      </w:r>
      <w:r>
        <w:rPr>
          <w:spacing w:val="-2"/>
        </w:rPr>
        <w:t> </w:t>
      </w:r>
      <w:r>
        <w:rPr/>
        <w:t>é</w:t>
      </w:r>
      <w:r>
        <w:rPr>
          <w:spacing w:val="-4"/>
        </w:rPr>
        <w:t> </w:t>
      </w:r>
      <w:r>
        <w:rPr/>
        <w:t>tanto</w:t>
      </w:r>
      <w:r>
        <w:rPr>
          <w:spacing w:val="-2"/>
        </w:rPr>
        <w:t> </w:t>
      </w:r>
      <w:r>
        <w:rPr/>
        <w:t>mais áspero</w:t>
      </w:r>
      <w:r>
        <w:rPr>
          <w:spacing w:val="-2"/>
        </w:rPr>
        <w:t> </w:t>
      </w:r>
      <w:r>
        <w:rPr/>
        <w:t>e</w:t>
      </w:r>
      <w:r>
        <w:rPr>
          <w:spacing w:val="-4"/>
        </w:rPr>
        <w:t> </w:t>
      </w:r>
      <w:r>
        <w:rPr/>
        <w:t>longo</w:t>
      </w:r>
      <w:r>
        <w:rPr>
          <w:spacing w:val="-2"/>
        </w:rPr>
        <w:t> </w:t>
      </w:r>
      <w:r>
        <w:rPr/>
        <w:t>quanto</w:t>
      </w:r>
      <w:r>
        <w:rPr>
          <w:spacing w:val="-2"/>
        </w:rPr>
        <w:t> </w:t>
      </w:r>
      <w:r>
        <w:rPr/>
        <w:t>maior for a</w:t>
      </w:r>
      <w:r>
        <w:rPr>
          <w:spacing w:val="-4"/>
        </w:rPr>
        <w:t> </w:t>
      </w:r>
      <w:r>
        <w:rPr/>
        <w:t>estenose. Irradia-se</w:t>
      </w:r>
      <w:r>
        <w:rPr>
          <w:spacing w:val="-4"/>
        </w:rPr>
        <w:t> </w:t>
      </w:r>
      <w:r>
        <w:rPr/>
        <w:t>para</w:t>
      </w:r>
      <w:r>
        <w:rPr>
          <w:spacing w:val="-4"/>
        </w:rPr>
        <w:t> </w:t>
      </w:r>
      <w:r>
        <w:rPr/>
        <w:t>as clavículas e pescoço e, frequentemente, é mais alto sobre a carótida esquerda do que sobre a direita. Os componentes de alta frequência</w:t>
      </w:r>
      <w:r>
        <w:rPr>
          <w:spacing w:val="-7"/>
        </w:rPr>
        <w:t> </w:t>
      </w:r>
      <w:r>
        <w:rPr/>
        <w:t>tendem</w:t>
      </w:r>
      <w:r>
        <w:rPr>
          <w:spacing w:val="-5"/>
        </w:rPr>
        <w:t> </w:t>
      </w:r>
      <w:r>
        <w:rPr/>
        <w:t>a</w:t>
      </w:r>
      <w:r>
        <w:rPr>
          <w:spacing w:val="-7"/>
        </w:rPr>
        <w:t> </w:t>
      </w:r>
      <w:r>
        <w:rPr/>
        <w:t>se</w:t>
      </w:r>
      <w:r>
        <w:rPr>
          <w:spacing w:val="-7"/>
        </w:rPr>
        <w:t> </w:t>
      </w:r>
      <w:r>
        <w:rPr/>
        <w:t>irradiar para</w:t>
      </w:r>
      <w:r>
        <w:rPr>
          <w:spacing w:val="-7"/>
        </w:rPr>
        <w:t> </w:t>
      </w:r>
      <w:r>
        <w:rPr/>
        <w:t>o</w:t>
      </w:r>
      <w:r>
        <w:rPr>
          <w:spacing w:val="-5"/>
        </w:rPr>
        <w:t> </w:t>
      </w:r>
      <w:r>
        <w:rPr/>
        <w:t>ápice</w:t>
      </w:r>
      <w:r>
        <w:rPr>
          <w:spacing w:val="-7"/>
        </w:rPr>
        <w:t> </w:t>
      </w:r>
      <w:r>
        <w:rPr/>
        <w:t>e</w:t>
      </w:r>
      <w:r>
        <w:rPr>
          <w:spacing w:val="-7"/>
        </w:rPr>
        <w:t> </w:t>
      </w:r>
      <w:r>
        <w:rPr/>
        <w:t>sugerem</w:t>
      </w:r>
      <w:r>
        <w:rPr>
          <w:spacing w:val="-5"/>
        </w:rPr>
        <w:t> </w:t>
      </w:r>
      <w:r>
        <w:rPr/>
        <w:t>o</w:t>
      </w:r>
      <w:r>
        <w:rPr>
          <w:spacing w:val="-5"/>
        </w:rPr>
        <w:t> </w:t>
      </w:r>
      <w:r>
        <w:rPr/>
        <w:t>sopro</w:t>
      </w:r>
      <w:r>
        <w:rPr>
          <w:spacing w:val="-5"/>
        </w:rPr>
        <w:t> </w:t>
      </w:r>
      <w:r>
        <w:rPr/>
        <w:t>da</w:t>
      </w:r>
      <w:r>
        <w:rPr>
          <w:spacing w:val="-7"/>
        </w:rPr>
        <w:t> </w:t>
      </w:r>
      <w:r>
        <w:rPr/>
        <w:t>insuficiência</w:t>
      </w:r>
      <w:r>
        <w:rPr>
          <w:spacing w:val="-7"/>
        </w:rPr>
        <w:t> </w:t>
      </w:r>
      <w:r>
        <w:rPr/>
        <w:t>mitral. Este</w:t>
      </w:r>
      <w:r>
        <w:rPr>
          <w:spacing w:val="-7"/>
        </w:rPr>
        <w:t> </w:t>
      </w:r>
      <w:r>
        <w:rPr/>
        <w:t>fenômeno</w:t>
      </w:r>
      <w:r>
        <w:rPr>
          <w:spacing w:val="-5"/>
        </w:rPr>
        <w:t> </w:t>
      </w:r>
      <w:r>
        <w:rPr/>
        <w:t>é</w:t>
      </w:r>
      <w:r>
        <w:rPr>
          <w:spacing w:val="-7"/>
        </w:rPr>
        <w:t> </w:t>
      </w:r>
      <w:r>
        <w:rPr/>
        <w:t>chamado</w:t>
      </w:r>
      <w:r>
        <w:rPr>
          <w:spacing w:val="-5"/>
        </w:rPr>
        <w:t> </w:t>
      </w:r>
      <w:r>
        <w:rPr/>
        <w:t>de </w:t>
      </w:r>
      <w:r>
        <w:rPr>
          <w:i/>
        </w:rPr>
        <w:t>fenômeno</w:t>
      </w:r>
      <w:r>
        <w:rPr>
          <w:i/>
          <w:spacing w:val="-8"/>
        </w:rPr>
        <w:t> </w:t>
      </w:r>
      <w:r>
        <w:rPr>
          <w:i/>
        </w:rPr>
        <w:t>Gallavardin</w:t>
      </w:r>
      <w:r>
        <w:rPr/>
        <w:t>. Em paciente</w:t>
      </w:r>
      <w:r>
        <w:rPr>
          <w:spacing w:val="-1"/>
        </w:rPr>
        <w:t> </w:t>
      </w:r>
      <w:r>
        <w:rPr/>
        <w:t>idoso, o sopro da</w:t>
      </w:r>
      <w:r>
        <w:rPr>
          <w:spacing w:val="-1"/>
        </w:rPr>
        <w:t> </w:t>
      </w:r>
      <w:r>
        <w:rPr/>
        <w:t>EAo calcificada</w:t>
      </w:r>
      <w:r>
        <w:rPr>
          <w:spacing w:val="-1"/>
        </w:rPr>
        <w:t> </w:t>
      </w:r>
      <w:r>
        <w:rPr/>
        <w:t>frequentemente</w:t>
      </w:r>
      <w:r>
        <w:rPr>
          <w:spacing w:val="-1"/>
        </w:rPr>
        <w:t> </w:t>
      </w:r>
      <w:r>
        <w:rPr/>
        <w:t>é</w:t>
      </w:r>
      <w:r>
        <w:rPr>
          <w:spacing w:val="-1"/>
        </w:rPr>
        <w:t> </w:t>
      </w:r>
      <w:r>
        <w:rPr/>
        <w:t>musical pela</w:t>
      </w:r>
      <w:r>
        <w:rPr>
          <w:spacing w:val="-1"/>
        </w:rPr>
        <w:t> </w:t>
      </w:r>
      <w:r>
        <w:rPr/>
        <w:t>vibração das cúspides.</w:t>
      </w:r>
      <w:r>
        <w:rPr>
          <w:spacing w:val="30"/>
        </w:rPr>
        <w:t> </w:t>
      </w:r>
      <w:r>
        <w:rPr/>
        <w:t>A</w:t>
      </w:r>
      <w:r>
        <w:rPr>
          <w:spacing w:val="20"/>
        </w:rPr>
        <w:t> </w:t>
      </w:r>
      <w:r>
        <w:rPr/>
        <w:t>presença</w:t>
      </w:r>
      <w:r>
        <w:rPr>
          <w:spacing w:val="20"/>
        </w:rPr>
        <w:t> </w:t>
      </w:r>
      <w:r>
        <w:rPr/>
        <w:t>de</w:t>
      </w:r>
      <w:r>
        <w:rPr>
          <w:spacing w:val="20"/>
        </w:rPr>
        <w:t> </w:t>
      </w:r>
      <w:r>
        <w:rPr/>
        <w:t>um</w:t>
      </w:r>
      <w:r>
        <w:rPr>
          <w:spacing w:val="22"/>
        </w:rPr>
        <w:t> </w:t>
      </w:r>
      <w:r>
        <w:rPr/>
        <w:t>clique</w:t>
      </w:r>
      <w:r>
        <w:rPr>
          <w:spacing w:val="20"/>
        </w:rPr>
        <w:t> </w:t>
      </w:r>
      <w:r>
        <w:rPr/>
        <w:t>de</w:t>
      </w:r>
      <w:r>
        <w:rPr>
          <w:spacing w:val="20"/>
        </w:rPr>
        <w:t> </w:t>
      </w:r>
      <w:r>
        <w:rPr/>
        <w:t>ejeção,</w:t>
      </w:r>
      <w:r>
        <w:rPr>
          <w:spacing w:val="30"/>
        </w:rPr>
        <w:t> </w:t>
      </w:r>
      <w:r>
        <w:rPr/>
        <w:t>auscultado</w:t>
      </w:r>
      <w:r>
        <w:rPr>
          <w:spacing w:val="22"/>
        </w:rPr>
        <w:t> </w:t>
      </w:r>
      <w:r>
        <w:rPr/>
        <w:t>melhor</w:t>
      </w:r>
      <w:r>
        <w:rPr>
          <w:spacing w:val="28"/>
        </w:rPr>
        <w:t> </w:t>
      </w:r>
      <w:r>
        <w:rPr/>
        <w:t>no</w:t>
      </w:r>
      <w:r>
        <w:rPr>
          <w:spacing w:val="22"/>
        </w:rPr>
        <w:t> </w:t>
      </w:r>
      <w:r>
        <w:rPr/>
        <w:t>ápice,</w:t>
      </w:r>
      <w:r>
        <w:rPr>
          <w:spacing w:val="30"/>
        </w:rPr>
        <w:t> </w:t>
      </w:r>
      <w:r>
        <w:rPr/>
        <w:t>sugere</w:t>
      </w:r>
      <w:r>
        <w:rPr>
          <w:spacing w:val="20"/>
        </w:rPr>
        <w:t> </w:t>
      </w:r>
      <w:r>
        <w:rPr/>
        <w:t>que</w:t>
      </w:r>
      <w:r>
        <w:rPr>
          <w:spacing w:val="20"/>
        </w:rPr>
        <w:t> </w:t>
      </w:r>
      <w:r>
        <w:rPr/>
        <w:t>a</w:t>
      </w:r>
      <w:r>
        <w:rPr>
          <w:spacing w:val="20"/>
        </w:rPr>
        <w:t> </w:t>
      </w:r>
      <w:r>
        <w:rPr/>
        <w:t>estenose</w:t>
      </w:r>
      <w:r>
        <w:rPr>
          <w:spacing w:val="20"/>
        </w:rPr>
        <w:t> </w:t>
      </w:r>
      <w:r>
        <w:rPr/>
        <w:t>seja</w:t>
      </w:r>
      <w:r>
        <w:rPr>
          <w:spacing w:val="20"/>
        </w:rPr>
        <w:t> </w:t>
      </w:r>
      <w:r>
        <w:rPr/>
        <w:t>valvar.</w:t>
      </w:r>
      <w:r>
        <w:rPr>
          <w:spacing w:val="30"/>
        </w:rPr>
        <w:t> </w:t>
      </w:r>
      <w:r>
        <w:rPr/>
        <w:t>O</w:t>
      </w:r>
    </w:p>
    <w:p>
      <w:pPr>
        <w:pStyle w:val="BodyText"/>
        <w:spacing w:after="0" w:line="276" w:lineRule="auto"/>
        <w:sectPr>
          <w:pgSz w:w="11900" w:h="16840"/>
          <w:pgMar w:top="200" w:bottom="280" w:left="566" w:right="141"/>
        </w:sectPr>
      </w:pPr>
    </w:p>
    <w:p>
      <w:pPr>
        <w:pStyle w:val="BodyText"/>
        <w:spacing w:before="68"/>
        <w:ind w:firstLine="0"/>
      </w:pPr>
      <w:r>
        <w:rPr/>
        <w:t>sopro</w:t>
      </w:r>
      <w:r>
        <w:rPr>
          <w:spacing w:val="-11"/>
        </w:rPr>
        <w:t> </w:t>
      </w:r>
      <w:r>
        <w:rPr/>
        <w:t>diastólico</w:t>
      </w:r>
      <w:r>
        <w:rPr>
          <w:spacing w:val="-10"/>
        </w:rPr>
        <w:t> </w:t>
      </w:r>
      <w:r>
        <w:rPr/>
        <w:t>da</w:t>
      </w:r>
      <w:r>
        <w:rPr>
          <w:spacing w:val="-13"/>
        </w:rPr>
        <w:t> </w:t>
      </w:r>
      <w:r>
        <w:rPr/>
        <w:t>insuficiência</w:t>
      </w:r>
      <w:r>
        <w:rPr>
          <w:spacing w:val="-12"/>
        </w:rPr>
        <w:t> </w:t>
      </w:r>
      <w:r>
        <w:rPr/>
        <w:t>aórtica</w:t>
      </w:r>
      <w:r>
        <w:rPr>
          <w:spacing w:val="-13"/>
        </w:rPr>
        <w:t> </w:t>
      </w:r>
      <w:r>
        <w:rPr/>
        <w:t>é</w:t>
      </w:r>
      <w:r>
        <w:rPr>
          <w:spacing w:val="-13"/>
        </w:rPr>
        <w:t> </w:t>
      </w:r>
      <w:r>
        <w:rPr/>
        <w:t>frequente</w:t>
      </w:r>
      <w:r>
        <w:rPr>
          <w:spacing w:val="-13"/>
        </w:rPr>
        <w:t> </w:t>
      </w:r>
      <w:r>
        <w:rPr/>
        <w:t>em</w:t>
      </w:r>
      <w:r>
        <w:rPr>
          <w:spacing w:val="-10"/>
        </w:rPr>
        <w:t> </w:t>
      </w:r>
      <w:r>
        <w:rPr/>
        <w:t>pacientes</w:t>
      </w:r>
      <w:r>
        <w:rPr>
          <w:spacing w:val="-3"/>
        </w:rPr>
        <w:t> </w:t>
      </w:r>
      <w:r>
        <w:rPr/>
        <w:t>com</w:t>
      </w:r>
      <w:r>
        <w:rPr>
          <w:spacing w:val="-10"/>
        </w:rPr>
        <w:t> </w:t>
      </w:r>
      <w:r>
        <w:rPr>
          <w:spacing w:val="-4"/>
        </w:rPr>
        <w:t>EAo.</w:t>
      </w:r>
    </w:p>
    <w:p>
      <w:pPr>
        <w:pStyle w:val="BodyText"/>
        <w:spacing w:line="276" w:lineRule="auto" w:before="111"/>
        <w:ind w:right="488"/>
      </w:pPr>
      <w:r>
        <w:rPr/>
        <w:t>Os exames complementares, atualmente, possibilitam o diagnóstico precoce, em fase ainda assintomática, e a avaliação da gravidade da lesão durante sua evolução.</w:t>
      </w:r>
    </w:p>
    <w:p>
      <w:pPr>
        <w:pStyle w:val="BodyText"/>
        <w:spacing w:before="8"/>
        <w:ind w:left="0" w:firstLine="0"/>
        <w:jc w:val="left"/>
      </w:pPr>
    </w:p>
    <w:p>
      <w:pPr>
        <w:pStyle w:val="Heading7"/>
      </w:pPr>
      <w:r>
        <w:rPr>
          <w:color w:val="242B67"/>
          <w:spacing w:val="-2"/>
        </w:rPr>
        <w:t>Eletrocardiograma</w:t>
      </w:r>
    </w:p>
    <w:p>
      <w:pPr>
        <w:pStyle w:val="BodyText"/>
        <w:spacing w:line="276" w:lineRule="auto" w:before="126"/>
        <w:ind w:right="488"/>
      </w:pPr>
      <w:r>
        <w:rPr/>
        <w:t>O ECG pode ser normal ou apresentar graus variados de hipertrofia do VE com depressão de ST e inversão de onda T.</w:t>
      </w:r>
    </w:p>
    <w:p>
      <w:pPr>
        <w:pStyle w:val="BodyText"/>
        <w:spacing w:before="24"/>
        <w:ind w:left="0" w:firstLine="0"/>
        <w:jc w:val="left"/>
      </w:pPr>
    </w:p>
    <w:p>
      <w:pPr>
        <w:pStyle w:val="Heading7"/>
      </w:pPr>
      <w:r>
        <w:rPr>
          <w:color w:val="242B67"/>
        </w:rPr>
        <w:t>Radiografia do </w:t>
      </w:r>
      <w:r>
        <w:rPr>
          <w:color w:val="242B67"/>
          <w:spacing w:val="-2"/>
        </w:rPr>
        <w:t>tórax</w:t>
      </w:r>
    </w:p>
    <w:p>
      <w:pPr>
        <w:pStyle w:val="BodyText"/>
        <w:spacing w:line="276" w:lineRule="auto" w:before="127"/>
        <w:ind w:right="497"/>
      </w:pPr>
      <w:r>
        <w:rPr/>
        <w:t>As radiografias podem apresentar desde um padrão normal até a identificação de calcificações nas cúspides aórticas. O aumento do VE só é verificado se houver insuficiência do mesmo, lesão do miocárdio ou insuficiência valvar</w:t>
      </w:r>
      <w:r>
        <w:rPr>
          <w:spacing w:val="-11"/>
        </w:rPr>
        <w:t> </w:t>
      </w:r>
      <w:r>
        <w:rPr/>
        <w:t>associada.</w:t>
      </w:r>
      <w:r>
        <w:rPr>
          <w:spacing w:val="-7"/>
        </w:rPr>
        <w:t> </w:t>
      </w:r>
      <w:r>
        <w:rPr/>
        <w:t>Habitualmente,</w:t>
      </w:r>
      <w:r>
        <w:rPr>
          <w:spacing w:val="-7"/>
        </w:rPr>
        <w:t> </w:t>
      </w:r>
      <w:r>
        <w:rPr/>
        <w:t>podemos</w:t>
      </w:r>
      <w:r>
        <w:rPr>
          <w:spacing w:val="-7"/>
        </w:rPr>
        <w:t> </w:t>
      </w:r>
      <w:r>
        <w:rPr/>
        <w:t>perceber</w:t>
      </w:r>
      <w:r>
        <w:rPr>
          <w:spacing w:val="-9"/>
        </w:rPr>
        <w:t> </w:t>
      </w:r>
      <w:r>
        <w:rPr/>
        <w:t>um</w:t>
      </w:r>
      <w:r>
        <w:rPr>
          <w:spacing w:val="-13"/>
        </w:rPr>
        <w:t> </w:t>
      </w:r>
      <w:r>
        <w:rPr/>
        <w:t>abaulamento</w:t>
      </w:r>
      <w:r>
        <w:rPr>
          <w:spacing w:val="-13"/>
        </w:rPr>
        <w:t> </w:t>
      </w:r>
      <w:r>
        <w:rPr/>
        <w:t>da</w:t>
      </w:r>
      <w:r>
        <w:rPr>
          <w:spacing w:val="-15"/>
        </w:rPr>
        <w:t> </w:t>
      </w:r>
      <w:r>
        <w:rPr/>
        <w:t>aorta</w:t>
      </w:r>
      <w:r>
        <w:rPr>
          <w:spacing w:val="-14"/>
        </w:rPr>
        <w:t> </w:t>
      </w:r>
      <w:r>
        <w:rPr/>
        <w:t>ascendente,</w:t>
      </w:r>
      <w:r>
        <w:rPr>
          <w:spacing w:val="-6"/>
        </w:rPr>
        <w:t> </w:t>
      </w:r>
      <w:r>
        <w:rPr/>
        <w:t>mais</w:t>
      </w:r>
      <w:r>
        <w:rPr>
          <w:spacing w:val="-7"/>
        </w:rPr>
        <w:t> </w:t>
      </w:r>
      <w:r>
        <w:rPr/>
        <w:t>pronunciado</w:t>
      </w:r>
      <w:r>
        <w:rPr>
          <w:spacing w:val="-13"/>
        </w:rPr>
        <w:t> </w:t>
      </w:r>
      <w:r>
        <w:rPr/>
        <w:t>no</w:t>
      </w:r>
      <w:r>
        <w:rPr>
          <w:spacing w:val="-13"/>
        </w:rPr>
        <w:t> </w:t>
      </w:r>
      <w:r>
        <w:rPr/>
        <w:t>lado direito; é a dilatação pós-estenótica que ocorre em razão de impacto do fluxo sanguíneo mais forte sobre a parede </w:t>
      </w:r>
      <w:r>
        <w:rPr>
          <w:spacing w:val="-2"/>
        </w:rPr>
        <w:t>arterial.</w:t>
      </w:r>
    </w:p>
    <w:p>
      <w:pPr>
        <w:pStyle w:val="BodyText"/>
        <w:spacing w:before="24"/>
        <w:ind w:left="0" w:firstLine="0"/>
        <w:jc w:val="left"/>
      </w:pPr>
    </w:p>
    <w:p>
      <w:pPr>
        <w:pStyle w:val="Heading7"/>
        <w:spacing w:before="1"/>
      </w:pPr>
      <w:r>
        <w:rPr>
          <w:color w:val="242B67"/>
          <w:spacing w:val="-2"/>
        </w:rPr>
        <w:t>Ecodopplercardiografia</w:t>
      </w:r>
    </w:p>
    <w:p>
      <w:pPr>
        <w:pStyle w:val="BodyText"/>
        <w:spacing w:line="276" w:lineRule="auto" w:before="126"/>
        <w:ind w:right="491"/>
      </w:pPr>
      <w:r>
        <w:rPr/>
        <w:t>O</w:t>
      </w:r>
      <w:r>
        <w:rPr>
          <w:spacing w:val="-2"/>
        </w:rPr>
        <w:t> </w:t>
      </w:r>
      <w:r>
        <w:rPr/>
        <w:t>advento desse</w:t>
      </w:r>
      <w:r>
        <w:rPr>
          <w:spacing w:val="-2"/>
        </w:rPr>
        <w:t> </w:t>
      </w:r>
      <w:r>
        <w:rPr/>
        <w:t>exame</w:t>
      </w:r>
      <w:r>
        <w:rPr>
          <w:spacing w:val="-2"/>
        </w:rPr>
        <w:t> </w:t>
      </w:r>
      <w:r>
        <w:rPr/>
        <w:t>trouxe</w:t>
      </w:r>
      <w:r>
        <w:rPr>
          <w:spacing w:val="-2"/>
        </w:rPr>
        <w:t> </w:t>
      </w:r>
      <w:r>
        <w:rPr/>
        <w:t>a</w:t>
      </w:r>
      <w:r>
        <w:rPr>
          <w:spacing w:val="-2"/>
        </w:rPr>
        <w:t> </w:t>
      </w:r>
      <w:r>
        <w:rPr/>
        <w:t>grande</w:t>
      </w:r>
      <w:r>
        <w:rPr>
          <w:spacing w:val="-2"/>
        </w:rPr>
        <w:t> </w:t>
      </w:r>
      <w:r>
        <w:rPr/>
        <w:t>possibilidade</w:t>
      </w:r>
      <w:r>
        <w:rPr>
          <w:spacing w:val="-2"/>
        </w:rPr>
        <w:t> </w:t>
      </w:r>
      <w:r>
        <w:rPr/>
        <w:t>do diagnóstico precoce</w:t>
      </w:r>
      <w:r>
        <w:rPr>
          <w:spacing w:val="-2"/>
        </w:rPr>
        <w:t> </w:t>
      </w:r>
      <w:r>
        <w:rPr/>
        <w:t>de</w:t>
      </w:r>
      <w:r>
        <w:rPr>
          <w:spacing w:val="-2"/>
        </w:rPr>
        <w:t> </w:t>
      </w:r>
      <w:r>
        <w:rPr/>
        <w:t>uma</w:t>
      </w:r>
      <w:r>
        <w:rPr>
          <w:spacing w:val="-2"/>
        </w:rPr>
        <w:t> </w:t>
      </w:r>
      <w:r>
        <w:rPr/>
        <w:t>estenose</w:t>
      </w:r>
      <w:r>
        <w:rPr>
          <w:spacing w:val="-2"/>
        </w:rPr>
        <w:t> </w:t>
      </w:r>
      <w:r>
        <w:rPr/>
        <w:t>valvar, ainda</w:t>
      </w:r>
      <w:r>
        <w:rPr>
          <w:spacing w:val="-2"/>
        </w:rPr>
        <w:t> </w:t>
      </w:r>
      <w:r>
        <w:rPr/>
        <w:t>em fase assintomática, permitindo a visualização da valva, bem como a medida de seu orifício efetivo e do gradiente </w:t>
      </w:r>
      <w:r>
        <w:rPr>
          <w:spacing w:val="-2"/>
        </w:rPr>
        <w:t>transvalvar.</w:t>
      </w:r>
    </w:p>
    <w:p>
      <w:pPr>
        <w:pStyle w:val="BodyText"/>
        <w:spacing w:line="276" w:lineRule="auto" w:before="64"/>
        <w:ind w:right="488"/>
      </w:pPr>
      <w:r>
        <w:rPr/>
        <w:t>A abertura normal da valva aórtica varia de 1,6 a 2,6 cm e normalmente seus folhetos são visíveis durante a sístole. A abertura reduzida pode ser vista também na insuficiência cardíaca, quando o fluxo sanguíneo através da valva pode estar diminuindo.</w:t>
      </w:r>
    </w:p>
    <w:p>
      <w:pPr>
        <w:pStyle w:val="BodyText"/>
        <w:spacing w:line="276" w:lineRule="auto" w:before="49"/>
        <w:ind w:right="491"/>
      </w:pPr>
      <w:r>
        <w:rPr/>
        <w:t>Estabeleceram-se vários critérios para definir o grau de importância da EAo, basicamente pelo tamanho do orifício valvar e</w:t>
      </w:r>
      <w:r>
        <w:rPr>
          <w:spacing w:val="-2"/>
        </w:rPr>
        <w:t> </w:t>
      </w:r>
      <w:r>
        <w:rPr/>
        <w:t>do valor do gradiente</w:t>
      </w:r>
      <w:r>
        <w:rPr>
          <w:spacing w:val="-2"/>
        </w:rPr>
        <w:t> </w:t>
      </w:r>
      <w:r>
        <w:rPr/>
        <w:t>transvalvar. São adotados aqui os critérios do autor Rahimtoola.</w:t>
      </w:r>
    </w:p>
    <w:p>
      <w:pPr>
        <w:pStyle w:val="BodyText"/>
        <w:spacing w:before="64"/>
        <w:ind w:left="414" w:firstLine="0"/>
      </w:pPr>
      <w:r>
        <w:rPr/>
        <w:t>Para</w:t>
      </w:r>
      <w:r>
        <w:rPr>
          <w:spacing w:val="-8"/>
        </w:rPr>
        <w:t> </w:t>
      </w:r>
      <w:r>
        <w:rPr/>
        <w:t>a</w:t>
      </w:r>
      <w:r>
        <w:rPr>
          <w:spacing w:val="-8"/>
        </w:rPr>
        <w:t> </w:t>
      </w:r>
      <w:r>
        <w:rPr/>
        <w:t>área</w:t>
      </w:r>
      <w:r>
        <w:rPr>
          <w:spacing w:val="-7"/>
        </w:rPr>
        <w:t> </w:t>
      </w:r>
      <w:r>
        <w:rPr/>
        <w:t>valvar,</w:t>
      </w:r>
      <w:r>
        <w:rPr>
          <w:spacing w:val="3"/>
        </w:rPr>
        <w:t> </w:t>
      </w:r>
      <w:r>
        <w:rPr/>
        <w:t>os</w:t>
      </w:r>
      <w:r>
        <w:rPr>
          <w:spacing w:val="3"/>
        </w:rPr>
        <w:t> </w:t>
      </w:r>
      <w:r>
        <w:rPr/>
        <w:t>critérios</w:t>
      </w:r>
      <w:r>
        <w:rPr>
          <w:spacing w:val="3"/>
        </w:rPr>
        <w:t> </w:t>
      </w:r>
      <w:r>
        <w:rPr>
          <w:spacing w:val="-4"/>
        </w:rPr>
        <w:t>são:</w:t>
      </w:r>
    </w:p>
    <w:p>
      <w:pPr>
        <w:pStyle w:val="ListParagraph"/>
        <w:numPr>
          <w:ilvl w:val="0"/>
          <w:numId w:val="2"/>
        </w:numPr>
        <w:tabs>
          <w:tab w:pos="397" w:val="left" w:leader="none"/>
        </w:tabs>
        <w:spacing w:line="240" w:lineRule="auto" w:before="216" w:after="0"/>
        <w:ind w:left="397" w:right="0" w:hanging="329"/>
        <w:jc w:val="left"/>
        <w:rPr>
          <w:sz w:val="23"/>
        </w:rPr>
      </w:pPr>
      <w:r>
        <w:rPr>
          <w:sz w:val="23"/>
        </w:rPr>
        <w:t>Leve:</w:t>
      </w:r>
      <w:r>
        <w:rPr>
          <w:spacing w:val="-4"/>
          <w:sz w:val="23"/>
        </w:rPr>
        <w:t> </w:t>
      </w:r>
      <w:r>
        <w:rPr>
          <w:sz w:val="23"/>
        </w:rPr>
        <w:t>área</w:t>
      </w:r>
      <w:r>
        <w:rPr>
          <w:spacing w:val="-8"/>
          <w:sz w:val="23"/>
        </w:rPr>
        <w:t> </w:t>
      </w:r>
      <w:r>
        <w:rPr>
          <w:sz w:val="23"/>
        </w:rPr>
        <w:t>maior</w:t>
      </w:r>
      <w:r>
        <w:rPr>
          <w:spacing w:val="-1"/>
          <w:sz w:val="23"/>
        </w:rPr>
        <w:t> </w:t>
      </w:r>
      <w:r>
        <w:rPr>
          <w:sz w:val="23"/>
        </w:rPr>
        <w:t>que</w:t>
      </w:r>
      <w:r>
        <w:rPr>
          <w:spacing w:val="-8"/>
          <w:sz w:val="23"/>
        </w:rPr>
        <w:t> </w:t>
      </w:r>
      <w:r>
        <w:rPr>
          <w:sz w:val="23"/>
        </w:rPr>
        <w:t>1,5</w:t>
      </w:r>
      <w:r>
        <w:rPr>
          <w:spacing w:val="-6"/>
          <w:sz w:val="23"/>
        </w:rPr>
        <w:t> </w:t>
      </w:r>
      <w:r>
        <w:rPr>
          <w:sz w:val="23"/>
        </w:rPr>
        <w:t>cm</w:t>
      </w:r>
      <w:r>
        <w:rPr>
          <w:sz w:val="23"/>
          <w:vertAlign w:val="superscript"/>
        </w:rPr>
        <w:t>2</w:t>
      </w:r>
      <w:r>
        <w:rPr>
          <w:spacing w:val="1"/>
          <w:sz w:val="23"/>
          <w:vertAlign w:val="baseline"/>
        </w:rPr>
        <w:t> </w:t>
      </w:r>
      <w:r>
        <w:rPr>
          <w:sz w:val="23"/>
          <w:vertAlign w:val="baseline"/>
        </w:rPr>
        <w:t>ou</w:t>
      </w:r>
      <w:r>
        <w:rPr>
          <w:spacing w:val="-5"/>
          <w:sz w:val="23"/>
          <w:vertAlign w:val="baseline"/>
        </w:rPr>
        <w:t> </w:t>
      </w:r>
      <w:r>
        <w:rPr>
          <w:sz w:val="23"/>
          <w:vertAlign w:val="baseline"/>
        </w:rPr>
        <w:t>índice</w:t>
      </w:r>
      <w:r>
        <w:rPr>
          <w:spacing w:val="-9"/>
          <w:sz w:val="23"/>
          <w:vertAlign w:val="baseline"/>
        </w:rPr>
        <w:t> </w:t>
      </w:r>
      <w:r>
        <w:rPr>
          <w:sz w:val="23"/>
          <w:vertAlign w:val="baseline"/>
        </w:rPr>
        <w:t>maior que</w:t>
      </w:r>
      <w:r>
        <w:rPr>
          <w:spacing w:val="-8"/>
          <w:sz w:val="23"/>
          <w:vertAlign w:val="baseline"/>
        </w:rPr>
        <w:t> </w:t>
      </w:r>
      <w:r>
        <w:rPr>
          <w:sz w:val="23"/>
          <w:vertAlign w:val="baseline"/>
        </w:rPr>
        <w:t>0,9</w:t>
      </w:r>
      <w:r>
        <w:rPr>
          <w:spacing w:val="-6"/>
          <w:sz w:val="23"/>
          <w:vertAlign w:val="baseline"/>
        </w:rPr>
        <w:t> </w:t>
      </w:r>
      <w:r>
        <w:rPr>
          <w:spacing w:val="-2"/>
          <w:sz w:val="23"/>
          <w:vertAlign w:val="baseline"/>
        </w:rPr>
        <w:t>cm</w:t>
      </w:r>
      <w:r>
        <w:rPr>
          <w:spacing w:val="-2"/>
          <w:sz w:val="23"/>
          <w:vertAlign w:val="superscript"/>
        </w:rPr>
        <w:t>2</w:t>
      </w:r>
      <w:r>
        <w:rPr>
          <w:spacing w:val="-2"/>
          <w:sz w:val="23"/>
          <w:vertAlign w:val="baseline"/>
        </w:rPr>
        <w:t>/m</w:t>
      </w:r>
      <w:r>
        <w:rPr>
          <w:spacing w:val="-2"/>
          <w:sz w:val="23"/>
          <w:vertAlign w:val="superscript"/>
        </w:rPr>
        <w:t>2</w:t>
      </w:r>
    </w:p>
    <w:p>
      <w:pPr>
        <w:pStyle w:val="ListParagraph"/>
        <w:numPr>
          <w:ilvl w:val="0"/>
          <w:numId w:val="2"/>
        </w:numPr>
        <w:tabs>
          <w:tab w:pos="397" w:val="left" w:leader="none"/>
        </w:tabs>
        <w:spacing w:line="240" w:lineRule="auto" w:before="72" w:after="0"/>
        <w:ind w:left="397" w:right="0" w:hanging="329"/>
        <w:jc w:val="left"/>
        <w:rPr>
          <w:sz w:val="23"/>
        </w:rPr>
      </w:pPr>
      <w:r>
        <w:rPr>
          <w:sz w:val="23"/>
        </w:rPr>
        <w:t>Moderada:</w:t>
      </w:r>
      <w:r>
        <w:rPr>
          <w:spacing w:val="-2"/>
          <w:sz w:val="23"/>
        </w:rPr>
        <w:t> </w:t>
      </w:r>
      <w:r>
        <w:rPr>
          <w:sz w:val="23"/>
        </w:rPr>
        <w:t>menor</w:t>
      </w:r>
      <w:r>
        <w:rPr>
          <w:spacing w:val="1"/>
          <w:sz w:val="23"/>
        </w:rPr>
        <w:t> </w:t>
      </w:r>
      <w:r>
        <w:rPr>
          <w:sz w:val="23"/>
        </w:rPr>
        <w:t>que</w:t>
      </w:r>
      <w:r>
        <w:rPr>
          <w:spacing w:val="-7"/>
          <w:sz w:val="23"/>
        </w:rPr>
        <w:t> </w:t>
      </w:r>
      <w:r>
        <w:rPr>
          <w:sz w:val="23"/>
        </w:rPr>
        <w:t>1,5</w:t>
      </w:r>
      <w:r>
        <w:rPr>
          <w:spacing w:val="-4"/>
          <w:sz w:val="23"/>
        </w:rPr>
        <w:t> </w:t>
      </w:r>
      <w:r>
        <w:rPr>
          <w:sz w:val="23"/>
        </w:rPr>
        <w:t>cm</w:t>
      </w:r>
      <w:r>
        <w:rPr>
          <w:sz w:val="23"/>
          <w:vertAlign w:val="superscript"/>
        </w:rPr>
        <w:t>2</w:t>
      </w:r>
      <w:r>
        <w:rPr>
          <w:spacing w:val="3"/>
          <w:sz w:val="23"/>
          <w:vertAlign w:val="baseline"/>
        </w:rPr>
        <w:t> </w:t>
      </w:r>
      <w:r>
        <w:rPr>
          <w:sz w:val="23"/>
          <w:vertAlign w:val="baseline"/>
        </w:rPr>
        <w:t>e</w:t>
      </w:r>
      <w:r>
        <w:rPr>
          <w:spacing w:val="-7"/>
          <w:sz w:val="23"/>
          <w:vertAlign w:val="baseline"/>
        </w:rPr>
        <w:t> </w:t>
      </w:r>
      <w:r>
        <w:rPr>
          <w:sz w:val="23"/>
          <w:vertAlign w:val="baseline"/>
        </w:rPr>
        <w:t>maior</w:t>
      </w:r>
      <w:r>
        <w:rPr>
          <w:spacing w:val="1"/>
          <w:sz w:val="23"/>
          <w:vertAlign w:val="baseline"/>
        </w:rPr>
        <w:t> </w:t>
      </w:r>
      <w:r>
        <w:rPr>
          <w:sz w:val="23"/>
          <w:vertAlign w:val="baseline"/>
        </w:rPr>
        <w:t>que</w:t>
      </w:r>
      <w:r>
        <w:rPr>
          <w:spacing w:val="-7"/>
          <w:sz w:val="23"/>
          <w:vertAlign w:val="baseline"/>
        </w:rPr>
        <w:t> </w:t>
      </w:r>
      <w:r>
        <w:rPr>
          <w:sz w:val="23"/>
          <w:vertAlign w:val="baseline"/>
        </w:rPr>
        <w:t>1</w:t>
      </w:r>
      <w:r>
        <w:rPr>
          <w:spacing w:val="-4"/>
          <w:sz w:val="23"/>
          <w:vertAlign w:val="baseline"/>
        </w:rPr>
        <w:t> </w:t>
      </w:r>
      <w:r>
        <w:rPr>
          <w:sz w:val="23"/>
          <w:vertAlign w:val="baseline"/>
        </w:rPr>
        <w:t>cm</w:t>
      </w:r>
      <w:r>
        <w:rPr>
          <w:sz w:val="23"/>
          <w:vertAlign w:val="superscript"/>
        </w:rPr>
        <w:t>2</w:t>
      </w:r>
      <w:r>
        <w:rPr>
          <w:spacing w:val="2"/>
          <w:sz w:val="23"/>
          <w:vertAlign w:val="baseline"/>
        </w:rPr>
        <w:t> </w:t>
      </w:r>
      <w:r>
        <w:rPr>
          <w:sz w:val="23"/>
          <w:vertAlign w:val="baseline"/>
        </w:rPr>
        <w:t>ou</w:t>
      </w:r>
      <w:r>
        <w:rPr>
          <w:spacing w:val="-4"/>
          <w:sz w:val="23"/>
          <w:vertAlign w:val="baseline"/>
        </w:rPr>
        <w:t> </w:t>
      </w:r>
      <w:r>
        <w:rPr>
          <w:sz w:val="23"/>
          <w:vertAlign w:val="baseline"/>
        </w:rPr>
        <w:t>índice</w:t>
      </w:r>
      <w:r>
        <w:rPr>
          <w:spacing w:val="-7"/>
          <w:sz w:val="23"/>
          <w:vertAlign w:val="baseline"/>
        </w:rPr>
        <w:t> </w:t>
      </w:r>
      <w:r>
        <w:rPr>
          <w:sz w:val="23"/>
          <w:vertAlign w:val="baseline"/>
        </w:rPr>
        <w:t>de</w:t>
      </w:r>
      <w:r>
        <w:rPr>
          <w:spacing w:val="-7"/>
          <w:sz w:val="23"/>
          <w:vertAlign w:val="baseline"/>
        </w:rPr>
        <w:t> </w:t>
      </w:r>
      <w:r>
        <w:rPr>
          <w:sz w:val="23"/>
          <w:vertAlign w:val="baseline"/>
        </w:rPr>
        <w:t>0,6</w:t>
      </w:r>
      <w:r>
        <w:rPr>
          <w:spacing w:val="-4"/>
          <w:sz w:val="23"/>
          <w:vertAlign w:val="baseline"/>
        </w:rPr>
        <w:t> </w:t>
      </w:r>
      <w:r>
        <w:rPr>
          <w:sz w:val="23"/>
          <w:vertAlign w:val="baseline"/>
        </w:rPr>
        <w:t>a</w:t>
      </w:r>
      <w:r>
        <w:rPr>
          <w:spacing w:val="-7"/>
          <w:sz w:val="23"/>
          <w:vertAlign w:val="baseline"/>
        </w:rPr>
        <w:t> </w:t>
      </w:r>
      <w:r>
        <w:rPr>
          <w:sz w:val="23"/>
          <w:vertAlign w:val="baseline"/>
        </w:rPr>
        <w:t>0,9</w:t>
      </w:r>
      <w:r>
        <w:rPr>
          <w:spacing w:val="-4"/>
          <w:sz w:val="23"/>
          <w:vertAlign w:val="baseline"/>
        </w:rPr>
        <w:t> </w:t>
      </w:r>
      <w:r>
        <w:rPr>
          <w:spacing w:val="-2"/>
          <w:sz w:val="23"/>
          <w:vertAlign w:val="baseline"/>
        </w:rPr>
        <w:t>cm</w:t>
      </w:r>
      <w:r>
        <w:rPr>
          <w:spacing w:val="-2"/>
          <w:sz w:val="23"/>
          <w:vertAlign w:val="superscript"/>
        </w:rPr>
        <w:t>2</w:t>
      </w:r>
      <w:r>
        <w:rPr>
          <w:spacing w:val="-2"/>
          <w:sz w:val="23"/>
          <w:vertAlign w:val="baseline"/>
        </w:rPr>
        <w:t>/m</w:t>
      </w:r>
      <w:r>
        <w:rPr>
          <w:spacing w:val="-2"/>
          <w:sz w:val="23"/>
          <w:vertAlign w:val="superscript"/>
        </w:rPr>
        <w:t>2</w:t>
      </w:r>
    </w:p>
    <w:p>
      <w:pPr>
        <w:pStyle w:val="ListParagraph"/>
        <w:numPr>
          <w:ilvl w:val="0"/>
          <w:numId w:val="2"/>
        </w:numPr>
        <w:tabs>
          <w:tab w:pos="397" w:val="left" w:leader="none"/>
        </w:tabs>
        <w:spacing w:line="240" w:lineRule="auto" w:before="88" w:after="0"/>
        <w:ind w:left="397" w:right="0" w:hanging="329"/>
        <w:jc w:val="left"/>
        <w:rPr>
          <w:sz w:val="23"/>
        </w:rPr>
      </w:pPr>
      <w:r>
        <w:rPr>
          <w:sz w:val="23"/>
        </w:rPr>
        <w:t>Importante:</w:t>
      </w:r>
      <w:r>
        <w:rPr>
          <w:spacing w:val="-3"/>
          <w:sz w:val="23"/>
        </w:rPr>
        <w:t> </w:t>
      </w:r>
      <w:r>
        <w:rPr>
          <w:sz w:val="23"/>
        </w:rPr>
        <w:t>menor</w:t>
      </w:r>
      <w:r>
        <w:rPr>
          <w:spacing w:val="-1"/>
          <w:sz w:val="23"/>
        </w:rPr>
        <w:t> </w:t>
      </w:r>
      <w:r>
        <w:rPr>
          <w:sz w:val="23"/>
        </w:rPr>
        <w:t>ou</w:t>
      </w:r>
      <w:r>
        <w:rPr>
          <w:spacing w:val="-5"/>
          <w:sz w:val="23"/>
        </w:rPr>
        <w:t> </w:t>
      </w:r>
      <w:r>
        <w:rPr>
          <w:sz w:val="23"/>
        </w:rPr>
        <w:t>igual</w:t>
      </w:r>
      <w:r>
        <w:rPr>
          <w:spacing w:val="-3"/>
          <w:sz w:val="23"/>
        </w:rPr>
        <w:t> </w:t>
      </w:r>
      <w:r>
        <w:rPr>
          <w:sz w:val="23"/>
        </w:rPr>
        <w:t>a</w:t>
      </w:r>
      <w:r>
        <w:rPr>
          <w:spacing w:val="-8"/>
          <w:sz w:val="23"/>
        </w:rPr>
        <w:t> </w:t>
      </w:r>
      <w:r>
        <w:rPr>
          <w:sz w:val="23"/>
        </w:rPr>
        <w:t>1</w:t>
      </w:r>
      <w:r>
        <w:rPr>
          <w:spacing w:val="-5"/>
          <w:sz w:val="23"/>
        </w:rPr>
        <w:t> </w:t>
      </w:r>
      <w:r>
        <w:rPr>
          <w:sz w:val="23"/>
        </w:rPr>
        <w:t>cm</w:t>
      </w:r>
      <w:r>
        <w:rPr>
          <w:sz w:val="23"/>
          <w:vertAlign w:val="superscript"/>
        </w:rPr>
        <w:t>2</w:t>
      </w:r>
      <w:r>
        <w:rPr>
          <w:spacing w:val="1"/>
          <w:sz w:val="23"/>
          <w:vertAlign w:val="baseline"/>
        </w:rPr>
        <w:t> </w:t>
      </w:r>
      <w:r>
        <w:rPr>
          <w:sz w:val="23"/>
          <w:vertAlign w:val="baseline"/>
        </w:rPr>
        <w:t>ou</w:t>
      </w:r>
      <w:r>
        <w:rPr>
          <w:spacing w:val="-5"/>
          <w:sz w:val="23"/>
          <w:vertAlign w:val="baseline"/>
        </w:rPr>
        <w:t> </w:t>
      </w:r>
      <w:r>
        <w:rPr>
          <w:sz w:val="23"/>
          <w:vertAlign w:val="baseline"/>
        </w:rPr>
        <w:t>menor</w:t>
      </w:r>
      <w:r>
        <w:rPr>
          <w:spacing w:val="-1"/>
          <w:sz w:val="23"/>
          <w:vertAlign w:val="baseline"/>
        </w:rPr>
        <w:t> </w:t>
      </w:r>
      <w:r>
        <w:rPr>
          <w:sz w:val="23"/>
          <w:vertAlign w:val="baseline"/>
        </w:rPr>
        <w:t>ou</w:t>
      </w:r>
      <w:r>
        <w:rPr>
          <w:spacing w:val="-5"/>
          <w:sz w:val="23"/>
          <w:vertAlign w:val="baseline"/>
        </w:rPr>
        <w:t> </w:t>
      </w:r>
      <w:r>
        <w:rPr>
          <w:sz w:val="23"/>
          <w:vertAlign w:val="baseline"/>
        </w:rPr>
        <w:t>igual</w:t>
      </w:r>
      <w:r>
        <w:rPr>
          <w:spacing w:val="-3"/>
          <w:sz w:val="23"/>
          <w:vertAlign w:val="baseline"/>
        </w:rPr>
        <w:t> </w:t>
      </w:r>
      <w:r>
        <w:rPr>
          <w:sz w:val="23"/>
          <w:vertAlign w:val="baseline"/>
        </w:rPr>
        <w:t>a</w:t>
      </w:r>
      <w:r>
        <w:rPr>
          <w:spacing w:val="-8"/>
          <w:sz w:val="23"/>
          <w:vertAlign w:val="baseline"/>
        </w:rPr>
        <w:t> </w:t>
      </w:r>
      <w:r>
        <w:rPr>
          <w:sz w:val="23"/>
          <w:vertAlign w:val="baseline"/>
        </w:rPr>
        <w:t>0,6</w:t>
      </w:r>
      <w:r>
        <w:rPr>
          <w:spacing w:val="-5"/>
          <w:sz w:val="23"/>
          <w:vertAlign w:val="baseline"/>
        </w:rPr>
        <w:t> </w:t>
      </w:r>
      <w:r>
        <w:rPr>
          <w:spacing w:val="-2"/>
          <w:sz w:val="23"/>
          <w:vertAlign w:val="baseline"/>
        </w:rPr>
        <w:t>cm</w:t>
      </w:r>
      <w:r>
        <w:rPr>
          <w:spacing w:val="-2"/>
          <w:sz w:val="23"/>
          <w:vertAlign w:val="superscript"/>
        </w:rPr>
        <w:t>2</w:t>
      </w:r>
      <w:r>
        <w:rPr>
          <w:spacing w:val="-2"/>
          <w:sz w:val="23"/>
          <w:vertAlign w:val="baseline"/>
        </w:rPr>
        <w:t>/m</w:t>
      </w:r>
      <w:r>
        <w:rPr>
          <w:spacing w:val="-2"/>
          <w:sz w:val="23"/>
          <w:vertAlign w:val="superscript"/>
        </w:rPr>
        <w:t>2</w:t>
      </w:r>
      <w:r>
        <w:rPr>
          <w:spacing w:val="-2"/>
          <w:sz w:val="23"/>
          <w:vertAlign w:val="baseline"/>
        </w:rPr>
        <w:t>.</w:t>
      </w:r>
    </w:p>
    <w:p>
      <w:pPr>
        <w:pStyle w:val="BodyText"/>
        <w:spacing w:before="264"/>
        <w:ind w:left="414" w:firstLine="0"/>
      </w:pPr>
      <w:r>
        <w:rPr/>
        <w:t>Para</w:t>
      </w:r>
      <w:r>
        <w:rPr>
          <w:spacing w:val="-10"/>
        </w:rPr>
        <w:t> </w:t>
      </w:r>
      <w:r>
        <w:rPr/>
        <w:t>o</w:t>
      </w:r>
      <w:r>
        <w:rPr>
          <w:spacing w:val="-7"/>
        </w:rPr>
        <w:t> </w:t>
      </w:r>
      <w:r>
        <w:rPr/>
        <w:t>gradiente</w:t>
      </w:r>
      <w:r>
        <w:rPr>
          <w:spacing w:val="-10"/>
        </w:rPr>
        <w:t> </w:t>
      </w:r>
      <w:r>
        <w:rPr/>
        <w:t>transvalvar,</w:t>
      </w:r>
      <w:r>
        <w:rPr>
          <w:spacing w:val="1"/>
        </w:rPr>
        <w:t> </w:t>
      </w:r>
      <w:r>
        <w:rPr/>
        <w:t>os critérios</w:t>
      </w:r>
      <w:r>
        <w:rPr>
          <w:spacing w:val="1"/>
        </w:rPr>
        <w:t> </w:t>
      </w:r>
      <w:r>
        <w:rPr>
          <w:spacing w:val="-4"/>
        </w:rPr>
        <w:t>são:</w:t>
      </w:r>
    </w:p>
    <w:p>
      <w:pPr>
        <w:pStyle w:val="ListParagraph"/>
        <w:numPr>
          <w:ilvl w:val="0"/>
          <w:numId w:val="2"/>
        </w:numPr>
        <w:tabs>
          <w:tab w:pos="397" w:val="left" w:leader="none"/>
        </w:tabs>
        <w:spacing w:line="240" w:lineRule="auto" w:before="200" w:after="0"/>
        <w:ind w:left="397" w:right="0" w:hanging="329"/>
        <w:jc w:val="left"/>
        <w:rPr>
          <w:sz w:val="23"/>
        </w:rPr>
      </w:pPr>
      <w:r>
        <w:rPr>
          <w:sz w:val="23"/>
        </w:rPr>
        <w:t>Leve:</w:t>
      </w:r>
      <w:r>
        <w:rPr>
          <w:spacing w:val="-3"/>
          <w:sz w:val="23"/>
        </w:rPr>
        <w:t> </w:t>
      </w:r>
      <w:r>
        <w:rPr>
          <w:sz w:val="23"/>
        </w:rPr>
        <w:t>&lt;</w:t>
      </w:r>
      <w:r>
        <w:rPr>
          <w:spacing w:val="-2"/>
          <w:sz w:val="23"/>
        </w:rPr>
        <w:t> </w:t>
      </w:r>
      <w:r>
        <w:rPr>
          <w:sz w:val="23"/>
        </w:rPr>
        <w:t>40</w:t>
      </w:r>
      <w:r>
        <w:rPr>
          <w:spacing w:val="-3"/>
          <w:sz w:val="23"/>
        </w:rPr>
        <w:t> </w:t>
      </w:r>
      <w:r>
        <w:rPr>
          <w:spacing w:val="-4"/>
          <w:sz w:val="23"/>
        </w:rPr>
        <w:t>mmHg</w:t>
      </w:r>
    </w:p>
    <w:p>
      <w:pPr>
        <w:pStyle w:val="ListParagraph"/>
        <w:numPr>
          <w:ilvl w:val="0"/>
          <w:numId w:val="2"/>
        </w:numPr>
        <w:tabs>
          <w:tab w:pos="397" w:val="left" w:leader="none"/>
        </w:tabs>
        <w:spacing w:line="240" w:lineRule="auto" w:before="72" w:after="0"/>
        <w:ind w:left="397" w:right="0" w:hanging="329"/>
        <w:jc w:val="left"/>
        <w:rPr>
          <w:sz w:val="23"/>
        </w:rPr>
      </w:pPr>
      <w:r>
        <w:rPr>
          <w:sz w:val="23"/>
        </w:rPr>
        <w:t>Moderado:</w:t>
      </w:r>
      <w:r>
        <w:rPr>
          <w:spacing w:val="-5"/>
          <w:sz w:val="23"/>
        </w:rPr>
        <w:t> </w:t>
      </w:r>
      <w:r>
        <w:rPr>
          <w:sz w:val="23"/>
        </w:rPr>
        <w:t>40</w:t>
      </w:r>
      <w:r>
        <w:rPr>
          <w:spacing w:val="-5"/>
          <w:sz w:val="23"/>
        </w:rPr>
        <w:t> </w:t>
      </w:r>
      <w:r>
        <w:rPr>
          <w:sz w:val="23"/>
        </w:rPr>
        <w:t>a</w:t>
      </w:r>
      <w:r>
        <w:rPr>
          <w:spacing w:val="-7"/>
          <w:sz w:val="23"/>
        </w:rPr>
        <w:t> </w:t>
      </w:r>
      <w:r>
        <w:rPr>
          <w:sz w:val="23"/>
        </w:rPr>
        <w:t>70</w:t>
      </w:r>
      <w:r>
        <w:rPr>
          <w:spacing w:val="-5"/>
          <w:sz w:val="23"/>
        </w:rPr>
        <w:t> </w:t>
      </w:r>
      <w:r>
        <w:rPr>
          <w:spacing w:val="-4"/>
          <w:sz w:val="23"/>
        </w:rPr>
        <w:t>mmHg</w:t>
      </w:r>
    </w:p>
    <w:p>
      <w:pPr>
        <w:pStyle w:val="ListParagraph"/>
        <w:numPr>
          <w:ilvl w:val="0"/>
          <w:numId w:val="2"/>
        </w:numPr>
        <w:tabs>
          <w:tab w:pos="397" w:val="left" w:leader="none"/>
        </w:tabs>
        <w:spacing w:line="240" w:lineRule="auto" w:before="56" w:after="0"/>
        <w:ind w:left="397" w:right="0" w:hanging="329"/>
        <w:jc w:val="left"/>
        <w:rPr>
          <w:sz w:val="23"/>
        </w:rPr>
      </w:pPr>
      <w:r>
        <w:rPr>
          <w:sz w:val="23"/>
        </w:rPr>
        <w:t>Importante:</w:t>
      </w:r>
      <w:r>
        <w:rPr>
          <w:spacing w:val="-6"/>
          <w:sz w:val="23"/>
        </w:rPr>
        <w:t> </w:t>
      </w:r>
      <w:r>
        <w:rPr>
          <w:sz w:val="23"/>
        </w:rPr>
        <w:t>&gt;</w:t>
      </w:r>
      <w:r>
        <w:rPr>
          <w:spacing w:val="-5"/>
          <w:sz w:val="23"/>
        </w:rPr>
        <w:t> </w:t>
      </w:r>
      <w:r>
        <w:rPr>
          <w:sz w:val="23"/>
        </w:rPr>
        <w:t>90</w:t>
      </w:r>
      <w:r>
        <w:rPr>
          <w:spacing w:val="-6"/>
          <w:sz w:val="23"/>
        </w:rPr>
        <w:t> </w:t>
      </w:r>
      <w:r>
        <w:rPr>
          <w:spacing w:val="-4"/>
          <w:sz w:val="23"/>
        </w:rPr>
        <w:t>mmHg.</w:t>
      </w:r>
    </w:p>
    <w:p>
      <w:pPr>
        <w:pStyle w:val="BodyText"/>
        <w:spacing w:before="15"/>
        <w:ind w:left="0" w:firstLine="0"/>
        <w:jc w:val="left"/>
      </w:pPr>
    </w:p>
    <w:p>
      <w:pPr>
        <w:pStyle w:val="BodyText"/>
        <w:spacing w:line="276" w:lineRule="auto" w:before="0"/>
        <w:ind w:right="488"/>
      </w:pPr>
      <w:r>
        <w:rPr/>
        <w:t>O gradiente sistólico sofre várias influências, dependendo do débito cardíaco, do volume sistólico final e da fração</w:t>
      </w:r>
      <w:r>
        <w:rPr>
          <w:spacing w:val="-3"/>
        </w:rPr>
        <w:t> </w:t>
      </w:r>
      <w:r>
        <w:rPr/>
        <w:t>de</w:t>
      </w:r>
      <w:r>
        <w:rPr>
          <w:spacing w:val="-5"/>
        </w:rPr>
        <w:t> </w:t>
      </w:r>
      <w:r>
        <w:rPr/>
        <w:t>ejeção, e</w:t>
      </w:r>
      <w:r>
        <w:rPr>
          <w:spacing w:val="-5"/>
        </w:rPr>
        <w:t> </w:t>
      </w:r>
      <w:r>
        <w:rPr/>
        <w:t>estes dependem</w:t>
      </w:r>
      <w:r>
        <w:rPr>
          <w:spacing w:val="-3"/>
        </w:rPr>
        <w:t> </w:t>
      </w:r>
      <w:r>
        <w:rPr/>
        <w:t>das condições de</w:t>
      </w:r>
      <w:r>
        <w:rPr>
          <w:spacing w:val="-5"/>
        </w:rPr>
        <w:t> </w:t>
      </w:r>
      <w:r>
        <w:rPr/>
        <w:t>sobrecarga</w:t>
      </w:r>
      <w:r>
        <w:rPr>
          <w:spacing w:val="-5"/>
        </w:rPr>
        <w:t> </w:t>
      </w:r>
      <w:r>
        <w:rPr/>
        <w:t>do</w:t>
      </w:r>
      <w:r>
        <w:rPr>
          <w:spacing w:val="-3"/>
        </w:rPr>
        <w:t> </w:t>
      </w:r>
      <w:r>
        <w:rPr/>
        <w:t>VE, da</w:t>
      </w:r>
      <w:r>
        <w:rPr>
          <w:spacing w:val="-5"/>
        </w:rPr>
        <w:t> </w:t>
      </w:r>
      <w:r>
        <w:rPr/>
        <w:t>resistência</w:t>
      </w:r>
      <w:r>
        <w:rPr>
          <w:spacing w:val="-5"/>
        </w:rPr>
        <w:t> </w:t>
      </w:r>
      <w:r>
        <w:rPr/>
        <w:t>arterial sistêmica</w:t>
      </w:r>
      <w:r>
        <w:rPr>
          <w:spacing w:val="-5"/>
        </w:rPr>
        <w:t> </w:t>
      </w:r>
      <w:r>
        <w:rPr/>
        <w:t>e</w:t>
      </w:r>
      <w:r>
        <w:rPr>
          <w:spacing w:val="-5"/>
        </w:rPr>
        <w:t> </w:t>
      </w:r>
      <w:r>
        <w:rPr/>
        <w:t>do</w:t>
      </w:r>
      <w:r>
        <w:rPr>
          <w:spacing w:val="-3"/>
        </w:rPr>
        <w:t> </w:t>
      </w:r>
      <w:r>
        <w:rPr/>
        <w:t>estado de</w:t>
      </w:r>
      <w:r>
        <w:rPr>
          <w:spacing w:val="-1"/>
        </w:rPr>
        <w:t> </w:t>
      </w:r>
      <w:r>
        <w:rPr/>
        <w:t>contratilidade</w:t>
      </w:r>
      <w:r>
        <w:rPr>
          <w:spacing w:val="-1"/>
        </w:rPr>
        <w:t> </w:t>
      </w:r>
      <w:r>
        <w:rPr/>
        <w:t>miocárdica. Assim, parece</w:t>
      </w:r>
      <w:r>
        <w:rPr>
          <w:spacing w:val="-1"/>
        </w:rPr>
        <w:t> </w:t>
      </w:r>
      <w:r>
        <w:rPr/>
        <w:t>que</w:t>
      </w:r>
      <w:r>
        <w:rPr>
          <w:spacing w:val="-1"/>
        </w:rPr>
        <w:t> </w:t>
      </w:r>
      <w:r>
        <w:rPr/>
        <w:t>a</w:t>
      </w:r>
      <w:r>
        <w:rPr>
          <w:spacing w:val="-1"/>
        </w:rPr>
        <w:t> </w:t>
      </w:r>
      <w:r>
        <w:rPr/>
        <w:t>gravidade</w:t>
      </w:r>
      <w:r>
        <w:rPr>
          <w:spacing w:val="-1"/>
        </w:rPr>
        <w:t> </w:t>
      </w:r>
      <w:r>
        <w:rPr/>
        <w:t>da</w:t>
      </w:r>
      <w:r>
        <w:rPr>
          <w:spacing w:val="-1"/>
        </w:rPr>
        <w:t> </w:t>
      </w:r>
      <w:r>
        <w:rPr/>
        <w:t>EAo dada</w:t>
      </w:r>
      <w:r>
        <w:rPr>
          <w:spacing w:val="-1"/>
        </w:rPr>
        <w:t> </w:t>
      </w:r>
      <w:r>
        <w:rPr/>
        <w:t>pela</w:t>
      </w:r>
      <w:r>
        <w:rPr>
          <w:spacing w:val="-1"/>
        </w:rPr>
        <w:t> </w:t>
      </w:r>
      <w:r>
        <w:rPr/>
        <w:t>área</w:t>
      </w:r>
      <w:r>
        <w:rPr>
          <w:spacing w:val="-1"/>
        </w:rPr>
        <w:t> </w:t>
      </w:r>
      <w:r>
        <w:rPr/>
        <w:t>valvar é</w:t>
      </w:r>
      <w:r>
        <w:rPr>
          <w:spacing w:val="-1"/>
        </w:rPr>
        <w:t> </w:t>
      </w:r>
      <w:r>
        <w:rPr/>
        <w:t>mais fidedigna</w:t>
      </w:r>
      <w:r>
        <w:rPr>
          <w:spacing w:val="-1"/>
        </w:rPr>
        <w:t> </w:t>
      </w:r>
      <w:r>
        <w:rPr/>
        <w:t>do que pelo</w:t>
      </w:r>
      <w:r>
        <w:rPr>
          <w:spacing w:val="-9"/>
        </w:rPr>
        <w:t> </w:t>
      </w:r>
      <w:r>
        <w:rPr/>
        <w:t>gradiente</w:t>
      </w:r>
      <w:r>
        <w:rPr>
          <w:spacing w:val="-10"/>
        </w:rPr>
        <w:t> </w:t>
      </w:r>
      <w:r>
        <w:rPr/>
        <w:t>transvalvar.</w:t>
      </w:r>
      <w:r>
        <w:rPr>
          <w:spacing w:val="-2"/>
        </w:rPr>
        <w:t> </w:t>
      </w:r>
      <w:r>
        <w:rPr/>
        <w:t>Pacientes</w:t>
      </w:r>
      <w:r>
        <w:rPr>
          <w:spacing w:val="-1"/>
        </w:rPr>
        <w:t> </w:t>
      </w:r>
      <w:r>
        <w:rPr/>
        <w:t>com</w:t>
      </w:r>
      <w:r>
        <w:rPr>
          <w:spacing w:val="-8"/>
        </w:rPr>
        <w:t> </w:t>
      </w:r>
      <w:r>
        <w:rPr/>
        <w:t>área</w:t>
      </w:r>
      <w:r>
        <w:rPr>
          <w:spacing w:val="-11"/>
        </w:rPr>
        <w:t> </w:t>
      </w:r>
      <w:r>
        <w:rPr/>
        <w:t>moderada</w:t>
      </w:r>
      <w:r>
        <w:rPr>
          <w:spacing w:val="-10"/>
        </w:rPr>
        <w:t> </w:t>
      </w:r>
      <w:r>
        <w:rPr/>
        <w:t>a</w:t>
      </w:r>
      <w:r>
        <w:rPr>
          <w:spacing w:val="-10"/>
        </w:rPr>
        <w:t> </w:t>
      </w:r>
      <w:r>
        <w:rPr/>
        <w:t>importante</w:t>
      </w:r>
      <w:r>
        <w:rPr>
          <w:spacing w:val="-11"/>
        </w:rPr>
        <w:t> </w:t>
      </w:r>
      <w:r>
        <w:rPr/>
        <w:t>necessitam</w:t>
      </w:r>
      <w:r>
        <w:rPr>
          <w:spacing w:val="-8"/>
        </w:rPr>
        <w:t> </w:t>
      </w:r>
      <w:r>
        <w:rPr/>
        <w:t>de</w:t>
      </w:r>
      <w:r>
        <w:rPr>
          <w:spacing w:val="-10"/>
        </w:rPr>
        <w:t> </w:t>
      </w:r>
      <w:r>
        <w:rPr/>
        <w:t>avaliação</w:t>
      </w:r>
      <w:r>
        <w:rPr>
          <w:spacing w:val="-9"/>
        </w:rPr>
        <w:t> </w:t>
      </w:r>
      <w:r>
        <w:rPr/>
        <w:t>mais</w:t>
      </w:r>
      <w:r>
        <w:rPr>
          <w:spacing w:val="-1"/>
        </w:rPr>
        <w:t> </w:t>
      </w:r>
      <w:r>
        <w:rPr/>
        <w:t>acurada</w:t>
      </w:r>
      <w:r>
        <w:rPr>
          <w:spacing w:val="-10"/>
        </w:rPr>
        <w:t> </w:t>
      </w:r>
      <w:r>
        <w:rPr>
          <w:spacing w:val="-2"/>
        </w:rPr>
        <w:t>porque</w:t>
      </w:r>
    </w:p>
    <w:p>
      <w:pPr>
        <w:pStyle w:val="BodyText"/>
        <w:spacing w:before="1"/>
        <w:ind w:firstLine="0"/>
      </w:pPr>
      <w:r>
        <w:rPr/>
        <w:t>o</w:t>
      </w:r>
      <w:r>
        <w:rPr>
          <w:spacing w:val="-8"/>
        </w:rPr>
        <w:t> </w:t>
      </w:r>
      <w:r>
        <w:rPr/>
        <w:t>tamanho</w:t>
      </w:r>
      <w:r>
        <w:rPr>
          <w:spacing w:val="-8"/>
        </w:rPr>
        <w:t> </w:t>
      </w:r>
      <w:r>
        <w:rPr/>
        <w:t>ideal</w:t>
      </w:r>
      <w:r>
        <w:rPr>
          <w:spacing w:val="-5"/>
        </w:rPr>
        <w:t> </w:t>
      </w:r>
      <w:r>
        <w:rPr/>
        <w:t>da</w:t>
      </w:r>
      <w:r>
        <w:rPr>
          <w:spacing w:val="-11"/>
        </w:rPr>
        <w:t> </w:t>
      </w:r>
      <w:r>
        <w:rPr/>
        <w:t>valva</w:t>
      </w:r>
      <w:r>
        <w:rPr>
          <w:spacing w:val="-10"/>
        </w:rPr>
        <w:t> </w:t>
      </w:r>
      <w:r>
        <w:rPr/>
        <w:t>aórtica</w:t>
      </w:r>
      <w:r>
        <w:rPr>
          <w:spacing w:val="-10"/>
        </w:rPr>
        <w:t> </w:t>
      </w:r>
      <w:r>
        <w:rPr/>
        <w:t>é</w:t>
      </w:r>
      <w:r>
        <w:rPr>
          <w:spacing w:val="-10"/>
        </w:rPr>
        <w:t> </w:t>
      </w:r>
      <w:r>
        <w:rPr/>
        <w:t>determinado</w:t>
      </w:r>
      <w:r>
        <w:rPr>
          <w:spacing w:val="-8"/>
        </w:rPr>
        <w:t> </w:t>
      </w:r>
      <w:r>
        <w:rPr/>
        <w:t>pelo</w:t>
      </w:r>
      <w:r>
        <w:rPr>
          <w:spacing w:val="-7"/>
        </w:rPr>
        <w:t> </w:t>
      </w:r>
      <w:r>
        <w:rPr/>
        <w:t>tamanho</w:t>
      </w:r>
      <w:r>
        <w:rPr>
          <w:spacing w:val="-8"/>
        </w:rPr>
        <w:t> </w:t>
      </w:r>
      <w:r>
        <w:rPr/>
        <w:t>do</w:t>
      </w:r>
      <w:r>
        <w:rPr>
          <w:spacing w:val="-8"/>
        </w:rPr>
        <w:t> </w:t>
      </w:r>
      <w:r>
        <w:rPr/>
        <w:t>indivíduo</w:t>
      </w:r>
      <w:r>
        <w:rPr>
          <w:spacing w:val="-8"/>
        </w:rPr>
        <w:t> </w:t>
      </w:r>
      <w:r>
        <w:rPr/>
        <w:t>e</w:t>
      </w:r>
      <w:r>
        <w:rPr>
          <w:spacing w:val="-10"/>
        </w:rPr>
        <w:t> </w:t>
      </w:r>
      <w:r>
        <w:rPr/>
        <w:t>pelo</w:t>
      </w:r>
      <w:r>
        <w:rPr>
          <w:spacing w:val="-7"/>
        </w:rPr>
        <w:t> </w:t>
      </w:r>
      <w:r>
        <w:rPr/>
        <w:t>débito</w:t>
      </w:r>
      <w:r>
        <w:rPr>
          <w:spacing w:val="-8"/>
        </w:rPr>
        <w:t> </w:t>
      </w:r>
      <w:r>
        <w:rPr/>
        <w:t>cardíaco</w:t>
      </w:r>
      <w:r>
        <w:rPr>
          <w:spacing w:val="-8"/>
        </w:rPr>
        <w:t> </w:t>
      </w:r>
      <w:r>
        <w:rPr/>
        <w:t>necessário;</w:t>
      </w:r>
      <w:r>
        <w:rPr>
          <w:spacing w:val="-5"/>
        </w:rPr>
        <w:t> </w:t>
      </w:r>
      <w:r>
        <w:rPr>
          <w:spacing w:val="-2"/>
        </w:rPr>
        <w:t>assim,</w:t>
      </w:r>
    </w:p>
    <w:p>
      <w:pPr>
        <w:pStyle w:val="BodyText"/>
        <w:spacing w:before="40"/>
        <w:ind w:firstLine="0"/>
      </w:pPr>
      <w:r>
        <w:rPr/>
        <w:t>o</w:t>
      </w:r>
      <w:r>
        <w:rPr>
          <w:spacing w:val="-9"/>
        </w:rPr>
        <w:t> </w:t>
      </w:r>
      <w:r>
        <w:rPr/>
        <w:t>ideal</w:t>
      </w:r>
      <w:r>
        <w:rPr>
          <w:spacing w:val="-3"/>
        </w:rPr>
        <w:t> </w:t>
      </w:r>
      <w:r>
        <w:rPr/>
        <w:t>é</w:t>
      </w:r>
      <w:r>
        <w:rPr>
          <w:spacing w:val="-9"/>
        </w:rPr>
        <w:t> </w:t>
      </w:r>
      <w:r>
        <w:rPr/>
        <w:t>corrigir</w:t>
      </w:r>
      <w:r>
        <w:rPr>
          <w:spacing w:val="-1"/>
        </w:rPr>
        <w:t> </w:t>
      </w:r>
      <w:r>
        <w:rPr/>
        <w:t>a</w:t>
      </w:r>
      <w:r>
        <w:rPr>
          <w:spacing w:val="-8"/>
        </w:rPr>
        <w:t> </w:t>
      </w:r>
      <w:r>
        <w:rPr/>
        <w:t>área</w:t>
      </w:r>
      <w:r>
        <w:rPr>
          <w:spacing w:val="-9"/>
        </w:rPr>
        <w:t> </w:t>
      </w:r>
      <w:r>
        <w:rPr/>
        <w:t>pela</w:t>
      </w:r>
      <w:r>
        <w:rPr>
          <w:spacing w:val="-9"/>
        </w:rPr>
        <w:t> </w:t>
      </w:r>
      <w:r>
        <w:rPr/>
        <w:t>superfície</w:t>
      </w:r>
      <w:r>
        <w:rPr>
          <w:spacing w:val="-8"/>
        </w:rPr>
        <w:t> </w:t>
      </w:r>
      <w:r>
        <w:rPr/>
        <w:t>corporal,</w:t>
      </w:r>
      <w:r>
        <w:rPr>
          <w:spacing w:val="1"/>
        </w:rPr>
        <w:t> </w:t>
      </w:r>
      <w:r>
        <w:rPr/>
        <w:t>como</w:t>
      </w:r>
      <w:r>
        <w:rPr>
          <w:spacing w:val="-6"/>
        </w:rPr>
        <w:t> </w:t>
      </w:r>
      <w:r>
        <w:rPr/>
        <w:t>sugere</w:t>
      </w:r>
      <w:r>
        <w:rPr>
          <w:spacing w:val="-8"/>
        </w:rPr>
        <w:t> </w:t>
      </w:r>
      <w:r>
        <w:rPr>
          <w:spacing w:val="-2"/>
        </w:rPr>
        <w:t>Rahimtoola.</w:t>
      </w:r>
    </w:p>
    <w:p>
      <w:pPr>
        <w:pStyle w:val="BodyText"/>
        <w:spacing w:before="47"/>
        <w:ind w:left="0" w:firstLine="0"/>
        <w:jc w:val="left"/>
      </w:pPr>
    </w:p>
    <w:p>
      <w:pPr>
        <w:pStyle w:val="Heading7"/>
        <w:spacing w:before="1"/>
      </w:pPr>
      <w:r>
        <w:rPr>
          <w:color w:val="242B67"/>
        </w:rPr>
        <w:t>Teste de </w:t>
      </w:r>
      <w:r>
        <w:rPr>
          <w:color w:val="242B67"/>
          <w:spacing w:val="-2"/>
        </w:rPr>
        <w:t>esforço</w:t>
      </w:r>
    </w:p>
    <w:p>
      <w:pPr>
        <w:pStyle w:val="BodyText"/>
        <w:spacing w:line="278" w:lineRule="auto" w:before="142"/>
        <w:ind w:right="488"/>
      </w:pPr>
      <w:r>
        <w:rPr/>
        <w:t>Até recentemente, o teste de esforço era contraindicado formalmente para pacientes com EAo, entretanto, hoje ele é considerado de extrema valia no estudo do paciente assintomático com estenose valvar aórtica importante ou grave, ou seja, com orifício menor do que 1 cm</w:t>
      </w:r>
      <w:r>
        <w:rPr>
          <w:vertAlign w:val="superscript"/>
        </w:rPr>
        <w:t>2</w:t>
      </w:r>
      <w:r>
        <w:rPr>
          <w:vertAlign w:val="baseline"/>
        </w:rPr>
        <w:t>. Devem ser avaliados funcionalmente para selecionar os que dispõem de reserva miocárdica daqueles que estão no limiar do equilíbrio hemodinâmico, considerando-se que a correção cirúrgica, com todas as restrições ainda existentes, representa uma esperança de que o implante de um substitutivo valvar ofereça</w:t>
      </w:r>
      <w:r>
        <w:rPr>
          <w:spacing w:val="-1"/>
          <w:vertAlign w:val="baseline"/>
        </w:rPr>
        <w:t> </w:t>
      </w:r>
      <w:r>
        <w:rPr>
          <w:vertAlign w:val="baseline"/>
        </w:rPr>
        <w:t>melhor prognóstico que</w:t>
      </w:r>
      <w:r>
        <w:rPr>
          <w:spacing w:val="-1"/>
          <w:vertAlign w:val="baseline"/>
        </w:rPr>
        <w:t> </w:t>
      </w:r>
      <w:r>
        <w:rPr>
          <w:vertAlign w:val="baseline"/>
        </w:rPr>
        <w:t>a</w:t>
      </w:r>
      <w:r>
        <w:rPr>
          <w:spacing w:val="-1"/>
          <w:vertAlign w:val="baseline"/>
        </w:rPr>
        <w:t> </w:t>
      </w:r>
      <w:r>
        <w:rPr>
          <w:vertAlign w:val="baseline"/>
        </w:rPr>
        <w:t>evolução natural da</w:t>
      </w:r>
      <w:r>
        <w:rPr>
          <w:spacing w:val="-1"/>
          <w:vertAlign w:val="baseline"/>
        </w:rPr>
        <w:t> </w:t>
      </w:r>
      <w:r>
        <w:rPr>
          <w:vertAlign w:val="baseline"/>
        </w:rPr>
        <w:t>doença.</w:t>
      </w:r>
    </w:p>
    <w:p>
      <w:pPr>
        <w:pStyle w:val="BodyText"/>
        <w:spacing w:before="49"/>
        <w:ind w:left="414" w:firstLine="0"/>
      </w:pPr>
      <w:r>
        <w:rPr/>
        <w:t>O</w:t>
      </w:r>
      <w:r>
        <w:rPr>
          <w:spacing w:val="21"/>
        </w:rPr>
        <w:t> </w:t>
      </w:r>
      <w:r>
        <w:rPr/>
        <w:t>teste</w:t>
      </w:r>
      <w:r>
        <w:rPr>
          <w:spacing w:val="24"/>
        </w:rPr>
        <w:t> </w:t>
      </w:r>
      <w:r>
        <w:rPr/>
        <w:t>de</w:t>
      </w:r>
      <w:r>
        <w:rPr>
          <w:spacing w:val="24"/>
        </w:rPr>
        <w:t> </w:t>
      </w:r>
      <w:r>
        <w:rPr/>
        <w:t>esforço</w:t>
      </w:r>
      <w:r>
        <w:rPr>
          <w:spacing w:val="26"/>
        </w:rPr>
        <w:t> </w:t>
      </w:r>
      <w:r>
        <w:rPr/>
        <w:t>pode</w:t>
      </w:r>
      <w:r>
        <w:rPr>
          <w:spacing w:val="24"/>
        </w:rPr>
        <w:t> </w:t>
      </w:r>
      <w:r>
        <w:rPr/>
        <w:t>contribuir</w:t>
      </w:r>
      <w:r>
        <w:rPr>
          <w:spacing w:val="32"/>
        </w:rPr>
        <w:t> </w:t>
      </w:r>
      <w:r>
        <w:rPr/>
        <w:t>muito</w:t>
      </w:r>
      <w:r>
        <w:rPr>
          <w:spacing w:val="27"/>
        </w:rPr>
        <w:t> </w:t>
      </w:r>
      <w:r>
        <w:rPr/>
        <w:t>para</w:t>
      </w:r>
      <w:r>
        <w:rPr>
          <w:spacing w:val="24"/>
        </w:rPr>
        <w:t> </w:t>
      </w:r>
      <w:r>
        <w:rPr/>
        <w:t>se</w:t>
      </w:r>
      <w:r>
        <w:rPr>
          <w:spacing w:val="23"/>
        </w:rPr>
        <w:t> </w:t>
      </w:r>
      <w:r>
        <w:rPr/>
        <w:t>conseguir</w:t>
      </w:r>
      <w:r>
        <w:rPr>
          <w:spacing w:val="33"/>
        </w:rPr>
        <w:t> </w:t>
      </w:r>
      <w:r>
        <w:rPr/>
        <w:t>definir</w:t>
      </w:r>
      <w:r>
        <w:rPr>
          <w:spacing w:val="33"/>
        </w:rPr>
        <w:t> </w:t>
      </w:r>
      <w:r>
        <w:rPr/>
        <w:t>o</w:t>
      </w:r>
      <w:r>
        <w:rPr>
          <w:spacing w:val="26"/>
        </w:rPr>
        <w:t> </w:t>
      </w:r>
      <w:r>
        <w:rPr/>
        <w:t>momento</w:t>
      </w:r>
      <w:r>
        <w:rPr>
          <w:spacing w:val="26"/>
        </w:rPr>
        <w:t> </w:t>
      </w:r>
      <w:r>
        <w:rPr/>
        <w:t>ideal</w:t>
      </w:r>
      <w:r>
        <w:rPr>
          <w:spacing w:val="30"/>
        </w:rPr>
        <w:t> </w:t>
      </w:r>
      <w:r>
        <w:rPr/>
        <w:t>da</w:t>
      </w:r>
      <w:r>
        <w:rPr>
          <w:spacing w:val="24"/>
        </w:rPr>
        <w:t> </w:t>
      </w:r>
      <w:r>
        <w:rPr/>
        <w:t>indicação</w:t>
      </w:r>
      <w:r>
        <w:rPr>
          <w:spacing w:val="27"/>
        </w:rPr>
        <w:t> </w:t>
      </w:r>
      <w:r>
        <w:rPr>
          <w:spacing w:val="-2"/>
        </w:rPr>
        <w:t>cirúrgica,</w:t>
      </w:r>
    </w:p>
    <w:p>
      <w:pPr>
        <w:pStyle w:val="BodyText"/>
        <w:spacing w:after="0"/>
        <w:sectPr>
          <w:pgSz w:w="11900" w:h="16840"/>
          <w:pgMar w:top="200" w:bottom="280" w:left="566" w:right="141"/>
        </w:sectPr>
      </w:pPr>
    </w:p>
    <w:p>
      <w:pPr>
        <w:pStyle w:val="BodyText"/>
        <w:spacing w:line="278" w:lineRule="auto" w:before="72"/>
        <w:ind w:firstLine="0"/>
        <w:jc w:val="left"/>
      </w:pPr>
      <w:r>
        <w:rPr/>
        <w:t>diminuindo-se,</w:t>
      </w:r>
      <w:r>
        <w:rPr>
          <w:spacing w:val="40"/>
        </w:rPr>
        <w:t> </w:t>
      </w:r>
      <w:r>
        <w:rPr/>
        <w:t>de</w:t>
      </w:r>
      <w:r>
        <w:rPr>
          <w:spacing w:val="30"/>
        </w:rPr>
        <w:t> </w:t>
      </w:r>
      <w:r>
        <w:rPr/>
        <w:t>um</w:t>
      </w:r>
      <w:r>
        <w:rPr>
          <w:spacing w:val="32"/>
        </w:rPr>
        <w:t> </w:t>
      </w:r>
      <w:r>
        <w:rPr/>
        <w:t>lado,</w:t>
      </w:r>
      <w:r>
        <w:rPr>
          <w:spacing w:val="40"/>
        </w:rPr>
        <w:t> </w:t>
      </w:r>
      <w:r>
        <w:rPr/>
        <w:t>ao</w:t>
      </w:r>
      <w:r>
        <w:rPr>
          <w:spacing w:val="33"/>
        </w:rPr>
        <w:t> </w:t>
      </w:r>
      <w:r>
        <w:rPr/>
        <w:t>mínimo</w:t>
      </w:r>
      <w:r>
        <w:rPr>
          <w:spacing w:val="33"/>
        </w:rPr>
        <w:t> </w:t>
      </w:r>
      <w:r>
        <w:rPr/>
        <w:t>o</w:t>
      </w:r>
      <w:r>
        <w:rPr>
          <w:spacing w:val="33"/>
        </w:rPr>
        <w:t> </w:t>
      </w:r>
      <w:r>
        <w:rPr/>
        <w:t>perigo</w:t>
      </w:r>
      <w:r>
        <w:rPr>
          <w:spacing w:val="33"/>
        </w:rPr>
        <w:t> </w:t>
      </w:r>
      <w:r>
        <w:rPr/>
        <w:t>da</w:t>
      </w:r>
      <w:r>
        <w:rPr>
          <w:spacing w:val="30"/>
        </w:rPr>
        <w:t> </w:t>
      </w:r>
      <w:r>
        <w:rPr/>
        <w:t>morte</w:t>
      </w:r>
      <w:r>
        <w:rPr>
          <w:spacing w:val="30"/>
        </w:rPr>
        <w:t> </w:t>
      </w:r>
      <w:r>
        <w:rPr/>
        <w:t>súbita</w:t>
      </w:r>
      <w:r>
        <w:rPr>
          <w:spacing w:val="30"/>
        </w:rPr>
        <w:t> </w:t>
      </w:r>
      <w:r>
        <w:rPr/>
        <w:t>e,</w:t>
      </w:r>
      <w:r>
        <w:rPr>
          <w:spacing w:val="40"/>
        </w:rPr>
        <w:t> </w:t>
      </w:r>
      <w:r>
        <w:rPr/>
        <w:t>do</w:t>
      </w:r>
      <w:r>
        <w:rPr>
          <w:spacing w:val="33"/>
        </w:rPr>
        <w:t> </w:t>
      </w:r>
      <w:r>
        <w:rPr/>
        <w:t>outro,</w:t>
      </w:r>
      <w:r>
        <w:rPr>
          <w:spacing w:val="40"/>
        </w:rPr>
        <w:t> </w:t>
      </w:r>
      <w:r>
        <w:rPr/>
        <w:t>os</w:t>
      </w:r>
      <w:r>
        <w:rPr>
          <w:spacing w:val="40"/>
        </w:rPr>
        <w:t> </w:t>
      </w:r>
      <w:r>
        <w:rPr/>
        <w:t>inconvenientes</w:t>
      </w:r>
      <w:r>
        <w:rPr>
          <w:spacing w:val="40"/>
        </w:rPr>
        <w:t> </w:t>
      </w:r>
      <w:r>
        <w:rPr/>
        <w:t>de</w:t>
      </w:r>
      <w:r>
        <w:rPr>
          <w:spacing w:val="30"/>
        </w:rPr>
        <w:t> </w:t>
      </w:r>
      <w:r>
        <w:rPr/>
        <w:t>uma</w:t>
      </w:r>
      <w:r>
        <w:rPr>
          <w:spacing w:val="30"/>
        </w:rPr>
        <w:t> </w:t>
      </w:r>
      <w:r>
        <w:rPr/>
        <w:t>valva artificial, até que a modernidade nos apresente o substituto ideal.</w:t>
      </w:r>
    </w:p>
    <w:p>
      <w:pPr>
        <w:pStyle w:val="BodyText"/>
        <w:spacing w:before="130"/>
        <w:ind w:left="0" w:firstLine="0"/>
        <w:jc w:val="left"/>
      </w:pPr>
    </w:p>
    <w:p>
      <w:pPr>
        <w:pStyle w:val="Heading5"/>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38"/>
        <w:ind w:right="488"/>
      </w:pPr>
      <w:r>
        <w:rPr/>
        <w:t>Não</w:t>
      </w:r>
      <w:r>
        <w:rPr>
          <w:spacing w:val="-1"/>
        </w:rPr>
        <w:t> </w:t>
      </w:r>
      <w:r>
        <w:rPr/>
        <w:t>existe</w:t>
      </w:r>
      <w:r>
        <w:rPr>
          <w:spacing w:val="-3"/>
        </w:rPr>
        <w:t> </w:t>
      </w:r>
      <w:r>
        <w:rPr/>
        <w:t>tratamento</w:t>
      </w:r>
      <w:r>
        <w:rPr>
          <w:spacing w:val="-1"/>
        </w:rPr>
        <w:t> </w:t>
      </w:r>
      <w:r>
        <w:rPr/>
        <w:t>medicamentoso</w:t>
      </w:r>
      <w:r>
        <w:rPr>
          <w:spacing w:val="-1"/>
        </w:rPr>
        <w:t> </w:t>
      </w:r>
      <w:r>
        <w:rPr/>
        <w:t>para</w:t>
      </w:r>
      <w:r>
        <w:rPr>
          <w:spacing w:val="-3"/>
        </w:rPr>
        <w:t> </w:t>
      </w:r>
      <w:r>
        <w:rPr/>
        <w:t>a</w:t>
      </w:r>
      <w:r>
        <w:rPr>
          <w:spacing w:val="-3"/>
        </w:rPr>
        <w:t> </w:t>
      </w:r>
      <w:r>
        <w:rPr/>
        <w:t>EAo. Não</w:t>
      </w:r>
      <w:r>
        <w:rPr>
          <w:spacing w:val="-1"/>
        </w:rPr>
        <w:t> </w:t>
      </w:r>
      <w:r>
        <w:rPr/>
        <w:t>há</w:t>
      </w:r>
      <w:r>
        <w:rPr>
          <w:spacing w:val="-3"/>
        </w:rPr>
        <w:t> </w:t>
      </w:r>
      <w:r>
        <w:rPr/>
        <w:t>necessidade</w:t>
      </w:r>
      <w:r>
        <w:rPr>
          <w:spacing w:val="-3"/>
        </w:rPr>
        <w:t> </w:t>
      </w:r>
      <w:r>
        <w:rPr/>
        <w:t>do</w:t>
      </w:r>
      <w:r>
        <w:rPr>
          <w:spacing w:val="-1"/>
        </w:rPr>
        <w:t> </w:t>
      </w:r>
      <w:r>
        <w:rPr/>
        <w:t>uso</w:t>
      </w:r>
      <w:r>
        <w:rPr>
          <w:spacing w:val="-1"/>
        </w:rPr>
        <w:t> </w:t>
      </w:r>
      <w:r>
        <w:rPr/>
        <w:t>de</w:t>
      </w:r>
      <w:r>
        <w:rPr>
          <w:spacing w:val="-3"/>
        </w:rPr>
        <w:t> </w:t>
      </w:r>
      <w:r>
        <w:rPr/>
        <w:t>digitálicos, a</w:t>
      </w:r>
      <w:r>
        <w:rPr>
          <w:spacing w:val="-3"/>
        </w:rPr>
        <w:t> </w:t>
      </w:r>
      <w:r>
        <w:rPr/>
        <w:t>não</w:t>
      </w:r>
      <w:r>
        <w:rPr>
          <w:spacing w:val="-1"/>
        </w:rPr>
        <w:t> </w:t>
      </w:r>
      <w:r>
        <w:rPr/>
        <w:t>ser que</w:t>
      </w:r>
      <w:r>
        <w:rPr>
          <w:spacing w:val="-3"/>
        </w:rPr>
        <w:t> </w:t>
      </w:r>
      <w:r>
        <w:rPr/>
        <w:t>haja evidência de aumento de volume ventricular ou fração de ejeção diminuída. Os diuréticos podem trazer algum benefício quando houver acúmulo anormal de líquido, mas devem ser usados com cautela, uma vez que a hipovolemia pode reduzir a pressão diastólica final do VE, diminuindo o débito cardíaco e provocando hipotensão ortostática. O betabloqueador, do mesmo modo, pode deprimir a função miocárdica e deve ser usado com grande cautela, quando necessário. A presença de arritmia ocorre em menos de 10% dos pacientes, isto porque o comprometimento do átrio esquerdo ocorre apenas tardiamente. A fibrilação atrial, quando presente, pode ser controlada</w:t>
      </w:r>
      <w:r>
        <w:rPr>
          <w:spacing w:val="-4"/>
        </w:rPr>
        <w:t> </w:t>
      </w:r>
      <w:r>
        <w:rPr/>
        <w:t>com</w:t>
      </w:r>
      <w:r>
        <w:rPr>
          <w:spacing w:val="-1"/>
        </w:rPr>
        <w:t> </w:t>
      </w:r>
      <w:r>
        <w:rPr/>
        <w:t>digitálicos para</w:t>
      </w:r>
      <w:r>
        <w:rPr>
          <w:spacing w:val="-4"/>
        </w:rPr>
        <w:t> </w:t>
      </w:r>
      <w:r>
        <w:rPr/>
        <w:t>tentar manter a</w:t>
      </w:r>
      <w:r>
        <w:rPr>
          <w:spacing w:val="-4"/>
        </w:rPr>
        <w:t> </w:t>
      </w:r>
      <w:r>
        <w:rPr/>
        <w:t>frequência</w:t>
      </w:r>
      <w:r>
        <w:rPr>
          <w:spacing w:val="-4"/>
        </w:rPr>
        <w:t> </w:t>
      </w:r>
      <w:r>
        <w:rPr/>
        <w:t>cardíaca</w:t>
      </w:r>
      <w:r>
        <w:rPr>
          <w:spacing w:val="-4"/>
        </w:rPr>
        <w:t> </w:t>
      </w:r>
      <w:r>
        <w:rPr/>
        <w:t>dentro</w:t>
      </w:r>
      <w:r>
        <w:rPr>
          <w:spacing w:val="-1"/>
        </w:rPr>
        <w:t> </w:t>
      </w:r>
      <w:r>
        <w:rPr/>
        <w:t>da</w:t>
      </w:r>
      <w:r>
        <w:rPr>
          <w:spacing w:val="-4"/>
        </w:rPr>
        <w:t> </w:t>
      </w:r>
      <w:r>
        <w:rPr/>
        <w:t>normalidade.</w:t>
      </w:r>
    </w:p>
    <w:p>
      <w:pPr>
        <w:pStyle w:val="BodyText"/>
        <w:spacing w:line="276" w:lineRule="auto" w:before="50"/>
        <w:ind w:right="500"/>
      </w:pPr>
      <w:r>
        <w:rPr/>
        <w:t>Os hipertensos devem ser tratados com diuréticos e, se houver necessidade de medicamentos vasodilatadores, eles devem ser utilizados com muita cautela porque agravam os sintomas da EAo.</w:t>
      </w:r>
    </w:p>
    <w:p>
      <w:pPr>
        <w:pStyle w:val="BodyText"/>
        <w:spacing w:line="276" w:lineRule="auto" w:before="64"/>
        <w:ind w:right="491"/>
      </w:pPr>
      <w:r>
        <w:rPr/>
        <w:t>O que se discute em relação ao momento ideal da operação decorre do fato de a dilatação por cateter-balão não apresentar resultados satisfatórios, como no caso da estenose mitral, o que restringe sua indicação apenas para os casos de</w:t>
      </w:r>
      <w:r>
        <w:rPr>
          <w:spacing w:val="-3"/>
        </w:rPr>
        <w:t> </w:t>
      </w:r>
      <w:r>
        <w:rPr/>
        <w:t>urgência. A</w:t>
      </w:r>
      <w:r>
        <w:rPr>
          <w:spacing w:val="-3"/>
        </w:rPr>
        <w:t> </w:t>
      </w:r>
      <w:r>
        <w:rPr/>
        <w:t>comissurotomia</w:t>
      </w:r>
      <w:r>
        <w:rPr>
          <w:spacing w:val="-3"/>
        </w:rPr>
        <w:t> </w:t>
      </w:r>
      <w:r>
        <w:rPr/>
        <w:t>e</w:t>
      </w:r>
      <w:r>
        <w:rPr>
          <w:spacing w:val="-3"/>
        </w:rPr>
        <w:t> </w:t>
      </w:r>
      <w:r>
        <w:rPr/>
        <w:t>a</w:t>
      </w:r>
      <w:r>
        <w:rPr>
          <w:spacing w:val="-3"/>
        </w:rPr>
        <w:t> </w:t>
      </w:r>
      <w:r>
        <w:rPr/>
        <w:t>valvoplastia</w:t>
      </w:r>
      <w:r>
        <w:rPr>
          <w:spacing w:val="-3"/>
        </w:rPr>
        <w:t> </w:t>
      </w:r>
      <w:r>
        <w:rPr/>
        <w:t>cirúrgica</w:t>
      </w:r>
      <w:r>
        <w:rPr>
          <w:spacing w:val="-3"/>
        </w:rPr>
        <w:t> </w:t>
      </w:r>
      <w:r>
        <w:rPr/>
        <w:t>nem sempre</w:t>
      </w:r>
      <w:r>
        <w:rPr>
          <w:spacing w:val="-3"/>
        </w:rPr>
        <w:t> </w:t>
      </w:r>
      <w:r>
        <w:rPr/>
        <w:t>podem ser realizadas e</w:t>
      </w:r>
      <w:r>
        <w:rPr>
          <w:spacing w:val="-3"/>
        </w:rPr>
        <w:t> </w:t>
      </w:r>
      <w:r>
        <w:rPr/>
        <w:t>a</w:t>
      </w:r>
      <w:r>
        <w:rPr>
          <w:spacing w:val="-3"/>
        </w:rPr>
        <w:t> </w:t>
      </w:r>
      <w:r>
        <w:rPr/>
        <w:t>troca</w:t>
      </w:r>
      <w:r>
        <w:rPr>
          <w:spacing w:val="-3"/>
        </w:rPr>
        <w:t> </w:t>
      </w:r>
      <w:r>
        <w:rPr/>
        <w:t>valvar é frequente. Atualmente tem-se utilizado a técnica de implante percutâneo da valva aórtica. Trata-se de um procedimento realizado por via arterial femoral, com colocação de prótese biológica aórtica, ancorada em uma estrutura aramada, mas ainda não está amplamente difundido. O implante de prótese metálica ou biológica ainda apresenta</w:t>
      </w:r>
      <w:r>
        <w:rPr>
          <w:spacing w:val="-1"/>
        </w:rPr>
        <w:t> </w:t>
      </w:r>
      <w:r>
        <w:rPr/>
        <w:t>sérias complicações. Portanto, a</w:t>
      </w:r>
      <w:r>
        <w:rPr>
          <w:spacing w:val="-1"/>
        </w:rPr>
        <w:t> </w:t>
      </w:r>
      <w:r>
        <w:rPr/>
        <w:t>estratificação dos pacientes que</w:t>
      </w:r>
      <w:r>
        <w:rPr>
          <w:spacing w:val="-1"/>
        </w:rPr>
        <w:t> </w:t>
      </w:r>
      <w:r>
        <w:rPr/>
        <w:t>teriam mais benefícios com a</w:t>
      </w:r>
      <w:r>
        <w:rPr>
          <w:spacing w:val="-1"/>
        </w:rPr>
        <w:t> </w:t>
      </w:r>
      <w:r>
        <w:rPr/>
        <w:t>cirurgia</w:t>
      </w:r>
      <w:r>
        <w:rPr>
          <w:spacing w:val="-1"/>
        </w:rPr>
        <w:t> </w:t>
      </w:r>
      <w:r>
        <w:rPr/>
        <w:t>é fundamental. As principais indicações cirúrgicas são:</w:t>
      </w:r>
    </w:p>
    <w:p>
      <w:pPr>
        <w:pStyle w:val="ListParagraph"/>
        <w:numPr>
          <w:ilvl w:val="0"/>
          <w:numId w:val="2"/>
        </w:numPr>
        <w:tabs>
          <w:tab w:pos="397" w:val="left" w:leader="none"/>
        </w:tabs>
        <w:spacing w:line="240" w:lineRule="auto" w:before="161" w:after="0"/>
        <w:ind w:left="397" w:right="0" w:hanging="329"/>
        <w:jc w:val="left"/>
        <w:rPr>
          <w:sz w:val="23"/>
        </w:rPr>
      </w:pPr>
      <w:r>
        <w:rPr>
          <w:sz w:val="23"/>
        </w:rPr>
        <w:t>EAo</w:t>
      </w:r>
      <w:r>
        <w:rPr>
          <w:spacing w:val="-14"/>
          <w:sz w:val="23"/>
        </w:rPr>
        <w:t> </w:t>
      </w:r>
      <w:r>
        <w:rPr>
          <w:sz w:val="23"/>
        </w:rPr>
        <w:t>grave</w:t>
      </w:r>
      <w:r>
        <w:rPr>
          <w:spacing w:val="-13"/>
          <w:sz w:val="23"/>
        </w:rPr>
        <w:t> </w:t>
      </w:r>
      <w:r>
        <w:rPr>
          <w:sz w:val="23"/>
        </w:rPr>
        <w:t>em</w:t>
      </w:r>
      <w:r>
        <w:rPr>
          <w:spacing w:val="-11"/>
          <w:sz w:val="23"/>
        </w:rPr>
        <w:t> </w:t>
      </w:r>
      <w:r>
        <w:rPr>
          <w:sz w:val="23"/>
        </w:rPr>
        <w:t>pacientes</w:t>
      </w:r>
      <w:r>
        <w:rPr>
          <w:spacing w:val="-4"/>
          <w:sz w:val="23"/>
        </w:rPr>
        <w:t> </w:t>
      </w:r>
      <w:r>
        <w:rPr>
          <w:sz w:val="23"/>
        </w:rPr>
        <w:t>sintomáticos,</w:t>
      </w:r>
      <w:r>
        <w:rPr>
          <w:spacing w:val="-4"/>
          <w:sz w:val="23"/>
        </w:rPr>
        <w:t> </w:t>
      </w:r>
      <w:r>
        <w:rPr>
          <w:sz w:val="23"/>
        </w:rPr>
        <w:t>com</w:t>
      </w:r>
      <w:r>
        <w:rPr>
          <w:spacing w:val="-11"/>
          <w:sz w:val="23"/>
        </w:rPr>
        <w:t> </w:t>
      </w:r>
      <w:r>
        <w:rPr>
          <w:sz w:val="23"/>
        </w:rPr>
        <w:t>dispneia,</w:t>
      </w:r>
      <w:r>
        <w:rPr>
          <w:spacing w:val="-4"/>
          <w:sz w:val="23"/>
        </w:rPr>
        <w:t> </w:t>
      </w:r>
      <w:r>
        <w:rPr>
          <w:sz w:val="23"/>
        </w:rPr>
        <w:t>angina</w:t>
      </w:r>
      <w:r>
        <w:rPr>
          <w:spacing w:val="-13"/>
          <w:sz w:val="23"/>
        </w:rPr>
        <w:t> </w:t>
      </w:r>
      <w:r>
        <w:rPr>
          <w:sz w:val="23"/>
        </w:rPr>
        <w:t>ou</w:t>
      </w:r>
      <w:r>
        <w:rPr>
          <w:spacing w:val="-11"/>
          <w:sz w:val="23"/>
        </w:rPr>
        <w:t> </w:t>
      </w:r>
      <w:r>
        <w:rPr>
          <w:spacing w:val="-2"/>
          <w:sz w:val="23"/>
        </w:rPr>
        <w:t>síncope</w:t>
      </w:r>
    </w:p>
    <w:p>
      <w:pPr>
        <w:pStyle w:val="ListParagraph"/>
        <w:numPr>
          <w:ilvl w:val="0"/>
          <w:numId w:val="2"/>
        </w:numPr>
        <w:tabs>
          <w:tab w:pos="397" w:val="left" w:leader="none"/>
        </w:tabs>
        <w:spacing w:line="240" w:lineRule="auto" w:before="56" w:after="0"/>
        <w:ind w:left="397" w:right="0" w:hanging="329"/>
        <w:jc w:val="left"/>
        <w:rPr>
          <w:sz w:val="23"/>
        </w:rPr>
      </w:pPr>
      <w:r>
        <w:rPr>
          <w:sz w:val="23"/>
        </w:rPr>
        <w:t>EAo</w:t>
      </w:r>
      <w:r>
        <w:rPr>
          <w:spacing w:val="-12"/>
          <w:sz w:val="23"/>
        </w:rPr>
        <w:t> </w:t>
      </w:r>
      <w:r>
        <w:rPr>
          <w:sz w:val="23"/>
        </w:rPr>
        <w:t>grave</w:t>
      </w:r>
      <w:r>
        <w:rPr>
          <w:spacing w:val="-14"/>
          <w:sz w:val="23"/>
        </w:rPr>
        <w:t> </w:t>
      </w:r>
      <w:r>
        <w:rPr>
          <w:sz w:val="23"/>
        </w:rPr>
        <w:t>em</w:t>
      </w:r>
      <w:r>
        <w:rPr>
          <w:spacing w:val="-12"/>
          <w:sz w:val="23"/>
        </w:rPr>
        <w:t> </w:t>
      </w:r>
      <w:r>
        <w:rPr>
          <w:sz w:val="23"/>
        </w:rPr>
        <w:t>pacientes</w:t>
      </w:r>
      <w:r>
        <w:rPr>
          <w:spacing w:val="-5"/>
          <w:sz w:val="23"/>
        </w:rPr>
        <w:t> </w:t>
      </w:r>
      <w:r>
        <w:rPr>
          <w:sz w:val="23"/>
        </w:rPr>
        <w:t>que</w:t>
      </w:r>
      <w:r>
        <w:rPr>
          <w:spacing w:val="-14"/>
          <w:sz w:val="23"/>
        </w:rPr>
        <w:t> </w:t>
      </w:r>
      <w:r>
        <w:rPr>
          <w:sz w:val="23"/>
        </w:rPr>
        <w:t>serão</w:t>
      </w:r>
      <w:r>
        <w:rPr>
          <w:spacing w:val="-11"/>
          <w:sz w:val="23"/>
        </w:rPr>
        <w:t> </w:t>
      </w:r>
      <w:r>
        <w:rPr>
          <w:sz w:val="23"/>
        </w:rPr>
        <w:t>submetidos</w:t>
      </w:r>
      <w:r>
        <w:rPr>
          <w:spacing w:val="-5"/>
          <w:sz w:val="23"/>
        </w:rPr>
        <w:t> </w:t>
      </w:r>
      <w:r>
        <w:rPr>
          <w:sz w:val="23"/>
        </w:rPr>
        <w:t>à</w:t>
      </w:r>
      <w:r>
        <w:rPr>
          <w:spacing w:val="-14"/>
          <w:sz w:val="23"/>
        </w:rPr>
        <w:t> </w:t>
      </w:r>
      <w:r>
        <w:rPr>
          <w:sz w:val="23"/>
        </w:rPr>
        <w:t>revascularização</w:t>
      </w:r>
      <w:r>
        <w:rPr>
          <w:spacing w:val="-12"/>
          <w:sz w:val="23"/>
        </w:rPr>
        <w:t> </w:t>
      </w:r>
      <w:r>
        <w:rPr>
          <w:sz w:val="23"/>
        </w:rPr>
        <w:t>do</w:t>
      </w:r>
      <w:r>
        <w:rPr>
          <w:spacing w:val="-11"/>
          <w:sz w:val="23"/>
        </w:rPr>
        <w:t> </w:t>
      </w:r>
      <w:r>
        <w:rPr>
          <w:spacing w:val="-2"/>
          <w:sz w:val="23"/>
        </w:rPr>
        <w:t>miocárdio</w:t>
      </w:r>
    </w:p>
    <w:p>
      <w:pPr>
        <w:pStyle w:val="ListParagraph"/>
        <w:numPr>
          <w:ilvl w:val="0"/>
          <w:numId w:val="2"/>
        </w:numPr>
        <w:tabs>
          <w:tab w:pos="397" w:val="left" w:leader="none"/>
        </w:tabs>
        <w:spacing w:line="240" w:lineRule="auto" w:before="72" w:after="0"/>
        <w:ind w:left="397" w:right="0" w:hanging="329"/>
        <w:jc w:val="left"/>
        <w:rPr>
          <w:sz w:val="23"/>
        </w:rPr>
      </w:pPr>
      <w:r>
        <w:rPr>
          <w:sz w:val="23"/>
        </w:rPr>
        <w:t>EAo</w:t>
      </w:r>
      <w:r>
        <w:rPr>
          <w:spacing w:val="-10"/>
          <w:sz w:val="23"/>
        </w:rPr>
        <w:t> </w:t>
      </w:r>
      <w:r>
        <w:rPr>
          <w:sz w:val="23"/>
        </w:rPr>
        <w:t>grave</w:t>
      </w:r>
      <w:r>
        <w:rPr>
          <w:spacing w:val="-9"/>
          <w:sz w:val="23"/>
        </w:rPr>
        <w:t> </w:t>
      </w:r>
      <w:r>
        <w:rPr>
          <w:sz w:val="23"/>
        </w:rPr>
        <w:t>em</w:t>
      </w:r>
      <w:r>
        <w:rPr>
          <w:spacing w:val="-7"/>
          <w:sz w:val="23"/>
        </w:rPr>
        <w:t> </w:t>
      </w:r>
      <w:r>
        <w:rPr>
          <w:sz w:val="23"/>
        </w:rPr>
        <w:t>pacientes que</w:t>
      </w:r>
      <w:r>
        <w:rPr>
          <w:spacing w:val="-9"/>
          <w:sz w:val="23"/>
        </w:rPr>
        <w:t> </w:t>
      </w:r>
      <w:r>
        <w:rPr>
          <w:sz w:val="23"/>
        </w:rPr>
        <w:t>serão</w:t>
      </w:r>
      <w:r>
        <w:rPr>
          <w:spacing w:val="-7"/>
          <w:sz w:val="23"/>
        </w:rPr>
        <w:t> </w:t>
      </w:r>
      <w:r>
        <w:rPr>
          <w:sz w:val="23"/>
        </w:rPr>
        <w:t>submetidos à</w:t>
      </w:r>
      <w:r>
        <w:rPr>
          <w:spacing w:val="-10"/>
          <w:sz w:val="23"/>
        </w:rPr>
        <w:t> </w:t>
      </w:r>
      <w:r>
        <w:rPr>
          <w:sz w:val="23"/>
        </w:rPr>
        <w:t>cirurgia</w:t>
      </w:r>
      <w:r>
        <w:rPr>
          <w:spacing w:val="-9"/>
          <w:sz w:val="23"/>
        </w:rPr>
        <w:t> </w:t>
      </w:r>
      <w:r>
        <w:rPr>
          <w:sz w:val="23"/>
        </w:rPr>
        <w:t>em</w:t>
      </w:r>
      <w:r>
        <w:rPr>
          <w:spacing w:val="-7"/>
          <w:sz w:val="23"/>
        </w:rPr>
        <w:t> </w:t>
      </w:r>
      <w:r>
        <w:rPr>
          <w:sz w:val="23"/>
        </w:rPr>
        <w:t>aorta</w:t>
      </w:r>
      <w:r>
        <w:rPr>
          <w:spacing w:val="-10"/>
          <w:sz w:val="23"/>
        </w:rPr>
        <w:t> </w:t>
      </w:r>
      <w:r>
        <w:rPr>
          <w:sz w:val="23"/>
        </w:rPr>
        <w:t>ou</w:t>
      </w:r>
      <w:r>
        <w:rPr>
          <w:spacing w:val="-7"/>
          <w:sz w:val="23"/>
        </w:rPr>
        <w:t> </w:t>
      </w:r>
      <w:r>
        <w:rPr>
          <w:sz w:val="23"/>
        </w:rPr>
        <w:t>outras</w:t>
      </w:r>
      <w:r>
        <w:rPr>
          <w:spacing w:val="1"/>
          <w:sz w:val="23"/>
        </w:rPr>
        <w:t> </w:t>
      </w:r>
      <w:r>
        <w:rPr>
          <w:spacing w:val="-2"/>
          <w:sz w:val="23"/>
        </w:rPr>
        <w:t>valvas</w:t>
      </w:r>
    </w:p>
    <w:p>
      <w:pPr>
        <w:pStyle w:val="ListParagraph"/>
        <w:numPr>
          <w:ilvl w:val="0"/>
          <w:numId w:val="2"/>
        </w:numPr>
        <w:tabs>
          <w:tab w:pos="397" w:val="left" w:leader="none"/>
        </w:tabs>
        <w:spacing w:line="240" w:lineRule="auto" w:before="56" w:after="0"/>
        <w:ind w:left="397" w:right="0" w:hanging="329"/>
        <w:jc w:val="left"/>
        <w:rPr>
          <w:sz w:val="23"/>
        </w:rPr>
      </w:pPr>
      <w:r>
        <w:rPr>
          <w:sz w:val="23"/>
        </w:rPr>
        <w:t>EAo</w:t>
      </w:r>
      <w:r>
        <w:rPr>
          <w:spacing w:val="-15"/>
          <w:sz w:val="23"/>
        </w:rPr>
        <w:t> </w:t>
      </w:r>
      <w:r>
        <w:rPr>
          <w:sz w:val="23"/>
        </w:rPr>
        <w:t>grave</w:t>
      </w:r>
      <w:r>
        <w:rPr>
          <w:spacing w:val="-14"/>
          <w:sz w:val="23"/>
        </w:rPr>
        <w:t> </w:t>
      </w:r>
      <w:r>
        <w:rPr>
          <w:sz w:val="23"/>
        </w:rPr>
        <w:t>em</w:t>
      </w:r>
      <w:r>
        <w:rPr>
          <w:spacing w:val="-13"/>
          <w:sz w:val="23"/>
        </w:rPr>
        <w:t> </w:t>
      </w:r>
      <w:r>
        <w:rPr>
          <w:sz w:val="23"/>
        </w:rPr>
        <w:t>pacientes</w:t>
      </w:r>
      <w:r>
        <w:rPr>
          <w:spacing w:val="-7"/>
          <w:sz w:val="23"/>
        </w:rPr>
        <w:t> </w:t>
      </w:r>
      <w:r>
        <w:rPr>
          <w:sz w:val="23"/>
        </w:rPr>
        <w:t>com</w:t>
      </w:r>
      <w:r>
        <w:rPr>
          <w:spacing w:val="-13"/>
          <w:sz w:val="23"/>
        </w:rPr>
        <w:t> </w:t>
      </w:r>
      <w:r>
        <w:rPr>
          <w:sz w:val="23"/>
        </w:rPr>
        <w:t>disfunção</w:t>
      </w:r>
      <w:r>
        <w:rPr>
          <w:spacing w:val="-14"/>
          <w:sz w:val="23"/>
        </w:rPr>
        <w:t> </w:t>
      </w:r>
      <w:r>
        <w:rPr>
          <w:sz w:val="23"/>
        </w:rPr>
        <w:t>ventricular</w:t>
      </w:r>
      <w:r>
        <w:rPr>
          <w:spacing w:val="-8"/>
          <w:sz w:val="23"/>
        </w:rPr>
        <w:t> </w:t>
      </w:r>
      <w:r>
        <w:rPr>
          <w:spacing w:val="-2"/>
          <w:sz w:val="23"/>
        </w:rPr>
        <w:t>sistólica</w:t>
      </w:r>
    </w:p>
    <w:p>
      <w:pPr>
        <w:pStyle w:val="ListParagraph"/>
        <w:numPr>
          <w:ilvl w:val="0"/>
          <w:numId w:val="2"/>
        </w:numPr>
        <w:tabs>
          <w:tab w:pos="397" w:val="left" w:leader="none"/>
        </w:tabs>
        <w:spacing w:line="240" w:lineRule="auto" w:before="72" w:after="0"/>
        <w:ind w:left="397" w:right="0" w:hanging="329"/>
        <w:jc w:val="left"/>
        <w:rPr>
          <w:sz w:val="23"/>
        </w:rPr>
      </w:pPr>
      <w:r>
        <w:rPr>
          <w:sz w:val="23"/>
        </w:rPr>
        <w:t>EAo</w:t>
      </w:r>
      <w:r>
        <w:rPr>
          <w:spacing w:val="-16"/>
          <w:sz w:val="23"/>
        </w:rPr>
        <w:t> </w:t>
      </w:r>
      <w:r>
        <w:rPr>
          <w:sz w:val="23"/>
        </w:rPr>
        <w:t>grave</w:t>
      </w:r>
      <w:r>
        <w:rPr>
          <w:spacing w:val="-14"/>
          <w:sz w:val="23"/>
        </w:rPr>
        <w:t> </w:t>
      </w:r>
      <w:r>
        <w:rPr>
          <w:sz w:val="23"/>
        </w:rPr>
        <w:t>em</w:t>
      </w:r>
      <w:r>
        <w:rPr>
          <w:spacing w:val="-12"/>
          <w:sz w:val="23"/>
        </w:rPr>
        <w:t> </w:t>
      </w:r>
      <w:r>
        <w:rPr>
          <w:sz w:val="23"/>
        </w:rPr>
        <w:t>pacientes</w:t>
      </w:r>
      <w:r>
        <w:rPr>
          <w:spacing w:val="-6"/>
          <w:sz w:val="23"/>
        </w:rPr>
        <w:t> </w:t>
      </w:r>
      <w:r>
        <w:rPr>
          <w:sz w:val="23"/>
        </w:rPr>
        <w:t>assintomáticos,</w:t>
      </w:r>
      <w:r>
        <w:rPr>
          <w:spacing w:val="-6"/>
          <w:sz w:val="23"/>
        </w:rPr>
        <w:t> </w:t>
      </w:r>
      <w:r>
        <w:rPr>
          <w:sz w:val="23"/>
        </w:rPr>
        <w:t>com</w:t>
      </w:r>
      <w:r>
        <w:rPr>
          <w:spacing w:val="-12"/>
          <w:sz w:val="23"/>
        </w:rPr>
        <w:t> </w:t>
      </w:r>
      <w:r>
        <w:rPr>
          <w:sz w:val="23"/>
        </w:rPr>
        <w:t>função</w:t>
      </w:r>
      <w:r>
        <w:rPr>
          <w:spacing w:val="-12"/>
          <w:sz w:val="23"/>
        </w:rPr>
        <w:t> </w:t>
      </w:r>
      <w:r>
        <w:rPr>
          <w:sz w:val="23"/>
        </w:rPr>
        <w:t>ventricular</w:t>
      </w:r>
      <w:r>
        <w:rPr>
          <w:spacing w:val="-8"/>
          <w:sz w:val="23"/>
        </w:rPr>
        <w:t> </w:t>
      </w:r>
      <w:r>
        <w:rPr>
          <w:sz w:val="23"/>
        </w:rPr>
        <w:t>preservada</w:t>
      </w:r>
      <w:r>
        <w:rPr>
          <w:spacing w:val="-14"/>
          <w:sz w:val="23"/>
        </w:rPr>
        <w:t> </w:t>
      </w:r>
      <w:r>
        <w:rPr>
          <w:sz w:val="23"/>
        </w:rPr>
        <w:t>e</w:t>
      </w:r>
      <w:r>
        <w:rPr>
          <w:spacing w:val="-15"/>
          <w:sz w:val="23"/>
        </w:rPr>
        <w:t> </w:t>
      </w:r>
      <w:r>
        <w:rPr>
          <w:sz w:val="23"/>
        </w:rPr>
        <w:t>teste</w:t>
      </w:r>
      <w:r>
        <w:rPr>
          <w:spacing w:val="-14"/>
          <w:sz w:val="23"/>
        </w:rPr>
        <w:t> </w:t>
      </w:r>
      <w:r>
        <w:rPr>
          <w:sz w:val="23"/>
        </w:rPr>
        <w:t>ergométrico</w:t>
      </w:r>
      <w:r>
        <w:rPr>
          <w:spacing w:val="-12"/>
          <w:sz w:val="23"/>
        </w:rPr>
        <w:t> </w:t>
      </w:r>
      <w:r>
        <w:rPr>
          <w:spacing w:val="-2"/>
          <w:sz w:val="23"/>
        </w:rPr>
        <w:t>positivo.</w:t>
      </w:r>
    </w:p>
    <w:p>
      <w:pPr>
        <w:pStyle w:val="BodyText"/>
        <w:spacing w:before="173"/>
        <w:ind w:left="0" w:firstLine="0"/>
        <w:jc w:val="left"/>
      </w:pPr>
    </w:p>
    <w:p>
      <w:pPr>
        <w:pStyle w:val="Heading5"/>
      </w:pPr>
      <w:r>
        <w:rPr>
          <w:color w:val="A26108"/>
          <w:spacing w:val="-2"/>
        </w:rPr>
        <w:t>Prognóstico</w:t>
      </w:r>
    </w:p>
    <w:p>
      <w:pPr>
        <w:pStyle w:val="BodyText"/>
        <w:spacing w:line="276" w:lineRule="auto" w:before="122"/>
        <w:ind w:right="488"/>
      </w:pPr>
      <w:r>
        <w:rPr/>
        <w:t>Na história natural da EAo, em adultos, há longo período de latência, durante o qual ocorre o agravamento da doença com aumento gradual da obstrução e da pressão sobre o miocárdio – e, mesmo assim, os pacientes podem permanecer assintomáticos.</w:t>
      </w:r>
    </w:p>
    <w:p>
      <w:pPr>
        <w:pStyle w:val="BodyText"/>
        <w:spacing w:line="276" w:lineRule="auto"/>
        <w:ind w:right="488"/>
      </w:pPr>
      <w:r>
        <w:rPr/>
        <w:t>A evolução natural da doença leva à sobrevida de 5 anos para os portadores de angina, de 3 anos para os de síncope e de 2 anos para aqueles com insuficiência coronária. O risco de morte súbita no paciente assintomático é inferior a 1%, mas aumenta muito depois que os sintomas aparecem.</w:t>
      </w:r>
    </w:p>
    <w:p>
      <w:pPr>
        <w:pStyle w:val="BodyText"/>
        <w:spacing w:line="276" w:lineRule="auto" w:before="64"/>
        <w:ind w:right="498"/>
      </w:pPr>
      <w:r>
        <w:rPr/>
        <w:t>O prognóstico do paciente com estenose valvar aórtica depende não só do tamanho do orifício valvar, mas principalmente</w:t>
      </w:r>
      <w:r>
        <w:rPr>
          <w:spacing w:val="-2"/>
        </w:rPr>
        <w:t> </w:t>
      </w:r>
      <w:r>
        <w:rPr/>
        <w:t>da</w:t>
      </w:r>
      <w:r>
        <w:rPr>
          <w:spacing w:val="-2"/>
        </w:rPr>
        <w:t> </w:t>
      </w:r>
      <w:r>
        <w:rPr/>
        <w:t>disponibilidade</w:t>
      </w:r>
      <w:r>
        <w:rPr>
          <w:spacing w:val="-2"/>
        </w:rPr>
        <w:t> </w:t>
      </w:r>
      <w:r>
        <w:rPr/>
        <w:t>dos mecanismos compensatórios e, entre</w:t>
      </w:r>
      <w:r>
        <w:rPr>
          <w:spacing w:val="-2"/>
        </w:rPr>
        <w:t> </w:t>
      </w:r>
      <w:r>
        <w:rPr/>
        <w:t>estes, o grau de</w:t>
      </w:r>
      <w:r>
        <w:rPr>
          <w:spacing w:val="-2"/>
        </w:rPr>
        <w:t> </w:t>
      </w:r>
      <w:r>
        <w:rPr/>
        <w:t>hipertrofia</w:t>
      </w:r>
      <w:r>
        <w:rPr>
          <w:spacing w:val="-2"/>
        </w:rPr>
        <w:t> </w:t>
      </w:r>
      <w:r>
        <w:rPr/>
        <w:t>ventricular. Esta</w:t>
      </w:r>
      <w:r>
        <w:rPr>
          <w:spacing w:val="-1"/>
        </w:rPr>
        <w:t> </w:t>
      </w:r>
      <w:r>
        <w:rPr/>
        <w:t>se</w:t>
      </w:r>
      <w:r>
        <w:rPr>
          <w:spacing w:val="-1"/>
        </w:rPr>
        <w:t> </w:t>
      </w:r>
      <w:r>
        <w:rPr/>
        <w:t>desenvolve</w:t>
      </w:r>
      <w:r>
        <w:rPr>
          <w:spacing w:val="-1"/>
        </w:rPr>
        <w:t> </w:t>
      </w:r>
      <w:r>
        <w:rPr/>
        <w:t>de</w:t>
      </w:r>
      <w:r>
        <w:rPr>
          <w:spacing w:val="-1"/>
        </w:rPr>
        <w:t> </w:t>
      </w:r>
      <w:r>
        <w:rPr/>
        <w:t>maneira</w:t>
      </w:r>
      <w:r>
        <w:rPr>
          <w:spacing w:val="-1"/>
        </w:rPr>
        <w:t> </w:t>
      </w:r>
      <w:r>
        <w:rPr/>
        <w:t>diferente</w:t>
      </w:r>
      <w:r>
        <w:rPr>
          <w:spacing w:val="-1"/>
        </w:rPr>
        <w:t> </w:t>
      </w:r>
      <w:r>
        <w:rPr/>
        <w:t>nos indivíduos, conforme</w:t>
      </w:r>
      <w:r>
        <w:rPr>
          <w:spacing w:val="-1"/>
        </w:rPr>
        <w:t> </w:t>
      </w:r>
      <w:r>
        <w:rPr/>
        <w:t>fatores étnicos, genéticos, bem como os hábitos de atividade física individual. Embora haja correlação com a gravidade da lesão, não é parâmetro adequado para quantificá-la. O teste de esforço, avaliando melhor a reserva miocárdica, é extremamente útil para se estabelecer o </w:t>
      </w:r>
      <w:r>
        <w:rPr>
          <w:spacing w:val="-2"/>
        </w:rPr>
        <w:t>prognóstico.</w:t>
      </w:r>
    </w:p>
    <w:p>
      <w:pPr>
        <w:pStyle w:val="BodyText"/>
        <w:spacing w:before="186"/>
        <w:ind w:left="0" w:firstLine="0"/>
        <w:jc w:val="left"/>
      </w:pPr>
    </w:p>
    <w:p>
      <w:pPr>
        <w:pStyle w:val="Heading4"/>
      </w:pPr>
      <w:r>
        <w:rPr>
          <w:color w:val="242B67"/>
        </w:rPr>
        <w:t>Insuficiência valvar </w:t>
      </w:r>
      <w:r>
        <w:rPr>
          <w:color w:val="242B67"/>
          <w:spacing w:val="-2"/>
        </w:rPr>
        <w:t>aórtica</w:t>
      </w:r>
    </w:p>
    <w:p>
      <w:pPr>
        <w:pStyle w:val="Heading5"/>
        <w:spacing w:before="177"/>
      </w:pPr>
      <w:r>
        <w:rPr>
          <w:color w:val="A26108"/>
          <w:spacing w:val="-2"/>
        </w:rPr>
        <w:t>Conceito</w:t>
      </w:r>
    </w:p>
    <w:p>
      <w:pPr>
        <w:pStyle w:val="BodyText"/>
        <w:spacing w:line="276" w:lineRule="auto" w:before="139"/>
        <w:ind w:right="491"/>
      </w:pPr>
      <w:r>
        <w:rPr/>
        <w:t>Insuficiência valvar aórtica é o fechamento imperfeito das cúspides da valva aórtica, permitindo o refluxo sanguíneo durante</w:t>
      </w:r>
      <w:r>
        <w:rPr>
          <w:spacing w:val="-3"/>
        </w:rPr>
        <w:t> </w:t>
      </w:r>
      <w:r>
        <w:rPr/>
        <w:t>a</w:t>
      </w:r>
      <w:r>
        <w:rPr>
          <w:spacing w:val="-3"/>
        </w:rPr>
        <w:t> </w:t>
      </w:r>
      <w:r>
        <w:rPr/>
        <w:t>diástole. Pode</w:t>
      </w:r>
      <w:r>
        <w:rPr>
          <w:spacing w:val="-3"/>
        </w:rPr>
        <w:t> </w:t>
      </w:r>
      <w:r>
        <w:rPr/>
        <w:t>ocorrer por alteração dos folhetos valvares ou da</w:t>
      </w:r>
      <w:r>
        <w:rPr>
          <w:spacing w:val="-3"/>
        </w:rPr>
        <w:t> </w:t>
      </w:r>
      <w:r>
        <w:rPr/>
        <w:t>parede</w:t>
      </w:r>
      <w:r>
        <w:rPr>
          <w:spacing w:val="-3"/>
        </w:rPr>
        <w:t> </w:t>
      </w:r>
      <w:r>
        <w:rPr/>
        <w:t>da</w:t>
      </w:r>
      <w:r>
        <w:rPr>
          <w:spacing w:val="-3"/>
        </w:rPr>
        <w:t> </w:t>
      </w:r>
      <w:r>
        <w:rPr/>
        <w:t>aorta.</w:t>
      </w:r>
    </w:p>
    <w:p>
      <w:pPr>
        <w:pStyle w:val="BodyText"/>
        <w:spacing w:after="0" w:line="276" w:lineRule="auto"/>
        <w:sectPr>
          <w:pgSz w:w="11900" w:h="16840"/>
          <w:pgMar w:top="200" w:bottom="280" w:left="566" w:right="141"/>
        </w:sectPr>
      </w:pPr>
    </w:p>
    <w:p>
      <w:pPr>
        <w:pStyle w:val="Heading5"/>
        <w:spacing w:before="70"/>
      </w:pPr>
      <w:r>
        <w:rPr>
          <w:color w:val="A26108"/>
          <w:spacing w:val="-2"/>
        </w:rPr>
        <w:t>Etiopatogenia</w:t>
      </w:r>
    </w:p>
    <w:p>
      <w:pPr>
        <w:pStyle w:val="BodyText"/>
        <w:spacing w:line="276" w:lineRule="auto" w:before="138"/>
        <w:ind w:right="488"/>
      </w:pPr>
      <w:r>
        <w:rPr/>
        <w:t>A doença reumática é a causa mais frequente dessa valvopatia em nosso meio, porém, pode ser decorrente de sífilis, endocardite infecciosa, síndrome de Marfan, cardiopatias congênitas e traumatismos. Em países desenvolvidos, a dilatação acentuada da raiz da aorta é a causa mais comum, em consequência de hipertensão arterial. Outras causas, como medionecrose cística da aorta, espondilite anquilosante, artrite reumatoide, lúpus eritematoso sistêmico, artropatia</w:t>
      </w:r>
      <w:r>
        <w:rPr>
          <w:spacing w:val="-3"/>
        </w:rPr>
        <w:t> </w:t>
      </w:r>
      <w:r>
        <w:rPr/>
        <w:t>de</w:t>
      </w:r>
      <w:r>
        <w:rPr>
          <w:spacing w:val="-3"/>
        </w:rPr>
        <w:t> </w:t>
      </w:r>
      <w:r>
        <w:rPr/>
        <w:t>Jaccoud, doença</w:t>
      </w:r>
      <w:r>
        <w:rPr>
          <w:spacing w:val="-3"/>
        </w:rPr>
        <w:t> </w:t>
      </w:r>
      <w:r>
        <w:rPr/>
        <w:t>de</w:t>
      </w:r>
      <w:r>
        <w:rPr>
          <w:spacing w:val="-3"/>
        </w:rPr>
        <w:t> </w:t>
      </w:r>
      <w:r>
        <w:rPr/>
        <w:t>Whipple, doença</w:t>
      </w:r>
      <w:r>
        <w:rPr>
          <w:spacing w:val="-3"/>
        </w:rPr>
        <w:t> </w:t>
      </w:r>
      <w:r>
        <w:rPr/>
        <w:t>de</w:t>
      </w:r>
      <w:r>
        <w:rPr>
          <w:spacing w:val="-3"/>
        </w:rPr>
        <w:t> </w:t>
      </w:r>
      <w:r>
        <w:rPr/>
        <w:t>Crohn, também podem manifestá-la.</w:t>
      </w:r>
    </w:p>
    <w:p>
      <w:pPr>
        <w:pStyle w:val="BodyText"/>
        <w:spacing w:line="276" w:lineRule="auto" w:before="49"/>
        <w:ind w:right="500"/>
      </w:pPr>
      <w:r>
        <w:rPr/>
        <w:t>A</w:t>
      </w:r>
      <w:r>
        <w:rPr>
          <w:spacing w:val="-5"/>
        </w:rPr>
        <w:t> </w:t>
      </w:r>
      <w:r>
        <w:rPr/>
        <w:t>insuficiência</w:t>
      </w:r>
      <w:r>
        <w:rPr>
          <w:spacing w:val="-5"/>
        </w:rPr>
        <w:t> </w:t>
      </w:r>
      <w:r>
        <w:rPr/>
        <w:t>crônica</w:t>
      </w:r>
      <w:r>
        <w:rPr>
          <w:spacing w:val="-5"/>
        </w:rPr>
        <w:t> </w:t>
      </w:r>
      <w:r>
        <w:rPr/>
        <w:t>desenvolve</w:t>
      </w:r>
      <w:r>
        <w:rPr>
          <w:spacing w:val="-5"/>
        </w:rPr>
        <w:t> </w:t>
      </w:r>
      <w:r>
        <w:rPr/>
        <w:t>mecanismos compensatórios que</w:t>
      </w:r>
      <w:r>
        <w:rPr>
          <w:spacing w:val="-5"/>
        </w:rPr>
        <w:t> </w:t>
      </w:r>
      <w:r>
        <w:rPr/>
        <w:t>levam</w:t>
      </w:r>
      <w:r>
        <w:rPr>
          <w:spacing w:val="-2"/>
        </w:rPr>
        <w:t> </w:t>
      </w:r>
      <w:r>
        <w:rPr/>
        <w:t>os pacientes a</w:t>
      </w:r>
      <w:r>
        <w:rPr>
          <w:spacing w:val="-5"/>
        </w:rPr>
        <w:t> </w:t>
      </w:r>
      <w:r>
        <w:rPr/>
        <w:t>viverem</w:t>
      </w:r>
      <w:r>
        <w:rPr>
          <w:spacing w:val="-2"/>
        </w:rPr>
        <w:t> </w:t>
      </w:r>
      <w:r>
        <w:rPr/>
        <w:t>muitos anos praticamente assintomáticos.</w:t>
      </w:r>
    </w:p>
    <w:p>
      <w:pPr>
        <w:pStyle w:val="BodyText"/>
        <w:spacing w:line="276" w:lineRule="auto" w:before="64"/>
        <w:ind w:right="488"/>
      </w:pPr>
      <w:r>
        <w:rPr/>
        <w:t>A</w:t>
      </w:r>
      <w:r>
        <w:rPr>
          <w:spacing w:val="-13"/>
        </w:rPr>
        <w:t> </w:t>
      </w:r>
      <w:r>
        <w:rPr/>
        <w:t>insuficiência</w:t>
      </w:r>
      <w:r>
        <w:rPr>
          <w:spacing w:val="-13"/>
        </w:rPr>
        <w:t> </w:t>
      </w:r>
      <w:r>
        <w:rPr/>
        <w:t>aórtica</w:t>
      </w:r>
      <w:r>
        <w:rPr>
          <w:spacing w:val="-13"/>
        </w:rPr>
        <w:t> </w:t>
      </w:r>
      <w:r>
        <w:rPr/>
        <w:t>independente</w:t>
      </w:r>
      <w:r>
        <w:rPr>
          <w:spacing w:val="-13"/>
        </w:rPr>
        <w:t> </w:t>
      </w:r>
      <w:r>
        <w:rPr/>
        <w:t>da</w:t>
      </w:r>
      <w:r>
        <w:rPr>
          <w:spacing w:val="-13"/>
        </w:rPr>
        <w:t> </w:t>
      </w:r>
      <w:r>
        <w:rPr/>
        <w:t>etiologia</w:t>
      </w:r>
      <w:r>
        <w:rPr>
          <w:spacing w:val="-13"/>
        </w:rPr>
        <w:t> </w:t>
      </w:r>
      <w:r>
        <w:rPr/>
        <w:t>produz</w:t>
      </w:r>
      <w:r>
        <w:rPr>
          <w:spacing w:val="-13"/>
        </w:rPr>
        <w:t> </w:t>
      </w:r>
      <w:r>
        <w:rPr/>
        <w:t>dilatação</w:t>
      </w:r>
      <w:r>
        <w:rPr>
          <w:spacing w:val="-11"/>
        </w:rPr>
        <w:t> </w:t>
      </w:r>
      <w:r>
        <w:rPr/>
        <w:t>e</w:t>
      </w:r>
      <w:r>
        <w:rPr>
          <w:spacing w:val="-13"/>
        </w:rPr>
        <w:t> </w:t>
      </w:r>
      <w:r>
        <w:rPr/>
        <w:t>hipertrofia</w:t>
      </w:r>
      <w:r>
        <w:rPr>
          <w:spacing w:val="-13"/>
        </w:rPr>
        <w:t> </w:t>
      </w:r>
      <w:r>
        <w:rPr/>
        <w:t>do</w:t>
      </w:r>
      <w:r>
        <w:rPr>
          <w:spacing w:val="-11"/>
        </w:rPr>
        <w:t> </w:t>
      </w:r>
      <w:r>
        <w:rPr/>
        <w:t>VE,</w:t>
      </w:r>
      <w:r>
        <w:rPr>
          <w:spacing w:val="-4"/>
        </w:rPr>
        <w:t> </w:t>
      </w:r>
      <w:r>
        <w:rPr/>
        <w:t>dilatação</w:t>
      </w:r>
      <w:r>
        <w:rPr>
          <w:spacing w:val="-11"/>
        </w:rPr>
        <w:t> </w:t>
      </w:r>
      <w:r>
        <w:rPr/>
        <w:t>do</w:t>
      </w:r>
      <w:r>
        <w:rPr>
          <w:spacing w:val="-11"/>
        </w:rPr>
        <w:t> </w:t>
      </w:r>
      <w:r>
        <w:rPr/>
        <w:t>anel</w:t>
      </w:r>
      <w:r>
        <w:rPr>
          <w:spacing w:val="-8"/>
        </w:rPr>
        <w:t> </w:t>
      </w:r>
      <w:r>
        <w:rPr/>
        <w:t>da</w:t>
      </w:r>
      <w:r>
        <w:rPr>
          <w:spacing w:val="-13"/>
        </w:rPr>
        <w:t> </w:t>
      </w:r>
      <w:r>
        <w:rPr/>
        <w:t>valva mitral e, por vezes, hipertrofia e dilatação do átrio esquerdo. Bolsas endocárdicas desenvolvem-se frequentemente na cavidade ventricular esquerda, nos locais de maior impacto do jato regurgitante. Já na insuficiência aórtica aguda, o coração não tem tempo de desenvolver os mecanismos compensatórios e, para um mesmo grau de insuficiência</w:t>
      </w:r>
      <w:r>
        <w:rPr>
          <w:spacing w:val="-11"/>
        </w:rPr>
        <w:t> </w:t>
      </w:r>
      <w:r>
        <w:rPr/>
        <w:t>crônica,</w:t>
      </w:r>
      <w:r>
        <w:rPr>
          <w:spacing w:val="-2"/>
        </w:rPr>
        <w:t> </w:t>
      </w:r>
      <w:r>
        <w:rPr/>
        <w:t>na</w:t>
      </w:r>
      <w:r>
        <w:rPr>
          <w:spacing w:val="-11"/>
        </w:rPr>
        <w:t> </w:t>
      </w:r>
      <w:r>
        <w:rPr/>
        <w:t>instalação</w:t>
      </w:r>
      <w:r>
        <w:rPr>
          <w:spacing w:val="-9"/>
        </w:rPr>
        <w:t> </w:t>
      </w:r>
      <w:r>
        <w:rPr/>
        <w:t>aguda</w:t>
      </w:r>
      <w:r>
        <w:rPr>
          <w:spacing w:val="-11"/>
        </w:rPr>
        <w:t> </w:t>
      </w:r>
      <w:r>
        <w:rPr/>
        <w:t>ocorrem</w:t>
      </w:r>
      <w:r>
        <w:rPr>
          <w:spacing w:val="-9"/>
        </w:rPr>
        <w:t> </w:t>
      </w:r>
      <w:r>
        <w:rPr/>
        <w:t>sérios</w:t>
      </w:r>
      <w:r>
        <w:rPr>
          <w:spacing w:val="-2"/>
        </w:rPr>
        <w:t> </w:t>
      </w:r>
      <w:r>
        <w:rPr/>
        <w:t>problemas.</w:t>
      </w:r>
      <w:r>
        <w:rPr>
          <w:spacing w:val="-2"/>
        </w:rPr>
        <w:t> </w:t>
      </w:r>
      <w:r>
        <w:rPr/>
        <w:t>O</w:t>
      </w:r>
      <w:r>
        <w:rPr>
          <w:spacing w:val="-11"/>
        </w:rPr>
        <w:t> </w:t>
      </w:r>
      <w:r>
        <w:rPr/>
        <w:t>volume</w:t>
      </w:r>
      <w:r>
        <w:rPr>
          <w:spacing w:val="-11"/>
        </w:rPr>
        <w:t> </w:t>
      </w:r>
      <w:r>
        <w:rPr/>
        <w:t>sistólico</w:t>
      </w:r>
      <w:r>
        <w:rPr>
          <w:spacing w:val="-9"/>
        </w:rPr>
        <w:t> </w:t>
      </w:r>
      <w:r>
        <w:rPr/>
        <w:t>total</w:t>
      </w:r>
      <w:r>
        <w:rPr>
          <w:spacing w:val="-6"/>
        </w:rPr>
        <w:t> </w:t>
      </w:r>
      <w:r>
        <w:rPr/>
        <w:t>não</w:t>
      </w:r>
      <w:r>
        <w:rPr>
          <w:spacing w:val="-9"/>
        </w:rPr>
        <w:t> </w:t>
      </w:r>
      <w:r>
        <w:rPr/>
        <w:t>pode</w:t>
      </w:r>
      <w:r>
        <w:rPr>
          <w:spacing w:val="-11"/>
        </w:rPr>
        <w:t> </w:t>
      </w:r>
      <w:r>
        <w:rPr/>
        <w:t>acomodar-se no ventrículo, débito cardíaco efetivo diminui e</w:t>
      </w:r>
      <w:r>
        <w:rPr>
          <w:spacing w:val="-2"/>
        </w:rPr>
        <w:t> </w:t>
      </w:r>
      <w:r>
        <w:rPr/>
        <w:t>a</w:t>
      </w:r>
      <w:r>
        <w:rPr>
          <w:spacing w:val="-2"/>
        </w:rPr>
        <w:t> </w:t>
      </w:r>
      <w:r>
        <w:rPr/>
        <w:t>frequência</w:t>
      </w:r>
      <w:r>
        <w:rPr>
          <w:spacing w:val="-2"/>
        </w:rPr>
        <w:t> </w:t>
      </w:r>
      <w:r>
        <w:rPr/>
        <w:t>cardíaca</w:t>
      </w:r>
      <w:r>
        <w:rPr>
          <w:spacing w:val="-2"/>
        </w:rPr>
        <w:t> </w:t>
      </w:r>
      <w:r>
        <w:rPr/>
        <w:t>aumenta.</w:t>
      </w:r>
    </w:p>
    <w:p>
      <w:pPr>
        <w:pStyle w:val="BodyText"/>
        <w:spacing w:before="135"/>
        <w:ind w:left="0" w:firstLine="0"/>
        <w:jc w:val="left"/>
      </w:pPr>
    </w:p>
    <w:p>
      <w:pPr>
        <w:pStyle w:val="Heading5"/>
      </w:pPr>
      <w:r>
        <w:rPr>
          <w:color w:val="A26108"/>
          <w:spacing w:val="-2"/>
        </w:rPr>
        <w:t>Fisiopatologia</w:t>
      </w:r>
    </w:p>
    <w:p>
      <w:pPr>
        <w:pStyle w:val="BodyText"/>
        <w:spacing w:line="276" w:lineRule="auto" w:before="138"/>
        <w:ind w:right="488"/>
      </w:pPr>
      <w:r>
        <w:rPr/>
        <w:t>A intensidade da regurgitação aórtica depende, fundamentalmente, do grau de lesão valvar, da intensidade da complacência ventricular e do nível de resistência periférica. A história natural da insuficiência aguda difere da </w:t>
      </w:r>
      <w:r>
        <w:rPr>
          <w:spacing w:val="-2"/>
        </w:rPr>
        <w:t>crônica.</w:t>
      </w:r>
    </w:p>
    <w:p>
      <w:pPr>
        <w:pStyle w:val="BodyText"/>
        <w:spacing w:before="8"/>
        <w:ind w:left="0" w:firstLine="0"/>
        <w:jc w:val="left"/>
      </w:pPr>
    </w:p>
    <w:p>
      <w:pPr>
        <w:pStyle w:val="Heading7"/>
      </w:pPr>
      <w:r>
        <w:rPr>
          <w:color w:val="242B67"/>
        </w:rPr>
        <w:t>Insuficiência aórtica </w:t>
      </w:r>
      <w:r>
        <w:rPr>
          <w:color w:val="242B67"/>
          <w:spacing w:val="-2"/>
        </w:rPr>
        <w:t>crônica</w:t>
      </w:r>
    </w:p>
    <w:p>
      <w:pPr>
        <w:pStyle w:val="BodyText"/>
        <w:spacing w:line="276" w:lineRule="auto" w:before="143"/>
        <w:ind w:right="488"/>
      </w:pPr>
      <w:r>
        <w:rPr/>
        <w:t>A</w:t>
      </w:r>
      <w:r>
        <w:rPr>
          <w:spacing w:val="-8"/>
        </w:rPr>
        <w:t> </w:t>
      </w:r>
      <w:r>
        <w:rPr/>
        <w:t>principal</w:t>
      </w:r>
      <w:r>
        <w:rPr>
          <w:spacing w:val="-2"/>
        </w:rPr>
        <w:t> </w:t>
      </w:r>
      <w:r>
        <w:rPr/>
        <w:t>alteração</w:t>
      </w:r>
      <w:r>
        <w:rPr>
          <w:spacing w:val="-5"/>
        </w:rPr>
        <w:t> </w:t>
      </w:r>
      <w:r>
        <w:rPr/>
        <w:t>da</w:t>
      </w:r>
      <w:r>
        <w:rPr>
          <w:spacing w:val="-8"/>
        </w:rPr>
        <w:t> </w:t>
      </w:r>
      <w:r>
        <w:rPr/>
        <w:t>incompetência</w:t>
      </w:r>
      <w:r>
        <w:rPr>
          <w:spacing w:val="-8"/>
        </w:rPr>
        <w:t> </w:t>
      </w:r>
      <w:r>
        <w:rPr/>
        <w:t>valvar aórtica</w:t>
      </w:r>
      <w:r>
        <w:rPr>
          <w:spacing w:val="-8"/>
        </w:rPr>
        <w:t> </w:t>
      </w:r>
      <w:r>
        <w:rPr/>
        <w:t>é</w:t>
      </w:r>
      <w:r>
        <w:rPr>
          <w:spacing w:val="-8"/>
        </w:rPr>
        <w:t> </w:t>
      </w:r>
      <w:r>
        <w:rPr/>
        <w:t>a</w:t>
      </w:r>
      <w:r>
        <w:rPr>
          <w:spacing w:val="-8"/>
        </w:rPr>
        <w:t> </w:t>
      </w:r>
      <w:r>
        <w:rPr/>
        <w:t>sobrecarga</w:t>
      </w:r>
      <w:r>
        <w:rPr>
          <w:spacing w:val="-8"/>
        </w:rPr>
        <w:t> </w:t>
      </w:r>
      <w:r>
        <w:rPr/>
        <w:t>de</w:t>
      </w:r>
      <w:r>
        <w:rPr>
          <w:spacing w:val="-8"/>
        </w:rPr>
        <w:t> </w:t>
      </w:r>
      <w:r>
        <w:rPr/>
        <w:t>volume</w:t>
      </w:r>
      <w:r>
        <w:rPr>
          <w:spacing w:val="-8"/>
        </w:rPr>
        <w:t> </w:t>
      </w:r>
      <w:r>
        <w:rPr/>
        <w:t>do</w:t>
      </w:r>
      <w:r>
        <w:rPr>
          <w:spacing w:val="-5"/>
        </w:rPr>
        <w:t> </w:t>
      </w:r>
      <w:r>
        <w:rPr/>
        <w:t>VE. Sendo</w:t>
      </w:r>
      <w:r>
        <w:rPr>
          <w:spacing w:val="-5"/>
        </w:rPr>
        <w:t> </w:t>
      </w:r>
      <w:r>
        <w:rPr/>
        <w:t>a</w:t>
      </w:r>
      <w:r>
        <w:rPr>
          <w:spacing w:val="-8"/>
        </w:rPr>
        <w:t> </w:t>
      </w:r>
      <w:r>
        <w:rPr/>
        <w:t>pressão</w:t>
      </w:r>
      <w:r>
        <w:rPr>
          <w:spacing w:val="-5"/>
        </w:rPr>
        <w:t> </w:t>
      </w:r>
      <w:r>
        <w:rPr/>
        <w:t>na</w:t>
      </w:r>
      <w:r>
        <w:rPr>
          <w:spacing w:val="-8"/>
        </w:rPr>
        <w:t> </w:t>
      </w:r>
      <w:r>
        <w:rPr/>
        <w:t>aorta muito mais elevada do que no ventrículo durante a diástole, mesmo sendo pequena a insuficiência, ocorre grande regurgitação que pode chegar a até 5 vezes o débito sistólico efetivo. Essa sobrecarga desencadeia uma série de </w:t>
      </w:r>
      <w:r>
        <w:rPr>
          <w:spacing w:val="-2"/>
        </w:rPr>
        <w:t>alterações.</w:t>
      </w:r>
    </w:p>
    <w:p>
      <w:pPr>
        <w:pStyle w:val="BodyText"/>
        <w:spacing w:line="276" w:lineRule="auto" w:before="48"/>
        <w:ind w:right="488"/>
      </w:pPr>
      <w:r>
        <w:rPr/>
        <w:t>A função de bomba é preservada, no início, pelo estiramento da fibra cardíaca. A tensão de parede elevada estimula a hipertrofia de sobrecarga de volume, ou seja, excêntrica, com replicação em série dos sarcômeros, alongamento das fibras e da espessura da parede suficiente para manter ou retornar à tensão diastólica final da parede, em níveis normais. A relação entre a espessura da parede ventricular e o raio da cavidade permanece constante. A massa ventricular é muito elevada, podendo exceder 1.000 g. Há aumento do volume diastólico final, os pacientes com insuficiência aórtica têm maiores volumes diastólicos finais do que qualquer outra cardiopatia, resultando no chamado </w:t>
      </w:r>
      <w:r>
        <w:rPr>
          <w:i/>
        </w:rPr>
        <w:t>cor bovinum</w:t>
      </w:r>
      <w:r>
        <w:rPr/>
        <w:t>. Esse aumento chega até determinado valor crítico, a partir do qual esses não mais respondem ao seu estiramento, de acordo com o mecanismo de Starling, entrando em falência, com queda da fração de ejeção.</w:t>
      </w:r>
    </w:p>
    <w:p>
      <w:pPr>
        <w:pStyle w:val="BodyText"/>
        <w:spacing w:line="276" w:lineRule="auto" w:before="66"/>
        <w:ind w:right="497"/>
      </w:pPr>
      <w:r>
        <w:rPr/>
        <w:t>Durante a sístole, grande volume é ejetado vigorosamente, provocando alta pressão sistólica e fluxo aórtico, chegando a 200 a 300 m</w:t>
      </w:r>
      <w:r>
        <w:rPr>
          <w:spacing w:val="-15"/>
        </w:rPr>
        <w:t> </w:t>
      </w:r>
      <w:r>
        <w:rPr>
          <w:i/>
        </w:rPr>
        <w:t>ℓ</w:t>
      </w:r>
      <w:r>
        <w:rPr>
          <w:i/>
          <w:spacing w:val="40"/>
        </w:rPr>
        <w:t> </w:t>
      </w:r>
      <w:r>
        <w:rPr/>
        <w:t>de débito sistólico total, nível que pode ser alcançado somente por um corredor de resistência treinado durante exercício máximo. Esse alto fluxo produz gradiente sistólico de 20 ou 30 mmHg através da</w:t>
      </w:r>
      <w:r>
        <w:rPr>
          <w:spacing w:val="-1"/>
        </w:rPr>
        <w:t> </w:t>
      </w:r>
      <w:r>
        <w:rPr/>
        <w:t>valva</w:t>
      </w:r>
      <w:r>
        <w:rPr>
          <w:spacing w:val="-1"/>
        </w:rPr>
        <w:t> </w:t>
      </w:r>
      <w:r>
        <w:rPr/>
        <w:t>deformada, provocando sopro do tipo ejeção, mesmo na</w:t>
      </w:r>
      <w:r>
        <w:rPr>
          <w:spacing w:val="-1"/>
        </w:rPr>
        <w:t> </w:t>
      </w:r>
      <w:r>
        <w:rPr/>
        <w:t>ausência</w:t>
      </w:r>
      <w:r>
        <w:rPr>
          <w:spacing w:val="-1"/>
        </w:rPr>
        <w:t> </w:t>
      </w:r>
      <w:r>
        <w:rPr/>
        <w:t>de</w:t>
      </w:r>
      <w:r>
        <w:rPr>
          <w:spacing w:val="-1"/>
        </w:rPr>
        <w:t> </w:t>
      </w:r>
      <w:r>
        <w:rPr/>
        <w:t>EAo.</w:t>
      </w:r>
    </w:p>
    <w:p>
      <w:pPr>
        <w:pStyle w:val="BodyText"/>
        <w:spacing w:line="276" w:lineRule="auto" w:before="48"/>
        <w:ind w:right="488"/>
      </w:pPr>
      <w:r>
        <w:rPr/>
        <w:t>Durante a diástole, na regurgitação aórtica, a valva incompetente, a baixa resistência periférica e a alta complacência</w:t>
      </w:r>
      <w:r>
        <w:rPr>
          <w:spacing w:val="-2"/>
        </w:rPr>
        <w:t> </w:t>
      </w:r>
      <w:r>
        <w:rPr/>
        <w:t>do VE são responsáveis pela</w:t>
      </w:r>
      <w:r>
        <w:rPr>
          <w:spacing w:val="-2"/>
        </w:rPr>
        <w:t> </w:t>
      </w:r>
      <w:r>
        <w:rPr/>
        <w:t>baixa</w:t>
      </w:r>
      <w:r>
        <w:rPr>
          <w:spacing w:val="-2"/>
        </w:rPr>
        <w:t> </w:t>
      </w:r>
      <w:r>
        <w:rPr/>
        <w:t>pressão diastólica</w:t>
      </w:r>
      <w:r>
        <w:rPr>
          <w:spacing w:val="-2"/>
        </w:rPr>
        <w:t> </w:t>
      </w:r>
      <w:r>
        <w:rPr/>
        <w:t>aórtica</w:t>
      </w:r>
      <w:r>
        <w:rPr>
          <w:spacing w:val="-2"/>
        </w:rPr>
        <w:t> </w:t>
      </w:r>
      <w:r>
        <w:rPr/>
        <w:t>e</w:t>
      </w:r>
      <w:r>
        <w:rPr>
          <w:spacing w:val="-2"/>
        </w:rPr>
        <w:t> </w:t>
      </w:r>
      <w:r>
        <w:rPr/>
        <w:t>o sopro característico dessa</w:t>
      </w:r>
      <w:r>
        <w:rPr>
          <w:spacing w:val="-2"/>
        </w:rPr>
        <w:t> </w:t>
      </w:r>
      <w:r>
        <w:rPr/>
        <w:t>doença.</w:t>
      </w:r>
    </w:p>
    <w:p>
      <w:pPr>
        <w:pStyle w:val="BodyText"/>
        <w:spacing w:line="276" w:lineRule="auto"/>
        <w:ind w:right="500"/>
      </w:pPr>
      <w:r>
        <w:rPr/>
        <w:t>A pressão diastólica final no VE está na maioria dos casos levemente aumentada, apesar dos grandes volumes ventriculares. O folheto posterior da valva mitral se abre com dificuldade, durante a diástole, graças à pressão exercida pelo fluxo vindo da valva aórtica insuficiente e, assim, temos o sopro de Austin Flint da estenose mitral funcional. Quando essa pressão aumenta muito, pode produzir um gradiente entre o átrio e o VE, causando regurgitação mitral, no final da diástole, enquanto a valva ainda está aberta.</w:t>
      </w:r>
    </w:p>
    <w:p>
      <w:pPr>
        <w:pStyle w:val="BodyText"/>
        <w:spacing w:line="276" w:lineRule="auto" w:before="49"/>
        <w:ind w:right="497"/>
      </w:pPr>
      <w:r>
        <w:rPr/>
        <w:t>As necessidades miocárdicas de oxigênio estão aumentadas em função de aumento da massa ventricular esquerda. Como o fluxo coronário ocorre</w:t>
      </w:r>
      <w:r>
        <w:rPr>
          <w:spacing w:val="-3"/>
        </w:rPr>
        <w:t> </w:t>
      </w:r>
      <w:r>
        <w:rPr/>
        <w:t>na</w:t>
      </w:r>
      <w:r>
        <w:rPr>
          <w:spacing w:val="-3"/>
        </w:rPr>
        <w:t> </w:t>
      </w:r>
      <w:r>
        <w:rPr/>
        <w:t>diástole, quando a</w:t>
      </w:r>
      <w:r>
        <w:rPr>
          <w:spacing w:val="-3"/>
        </w:rPr>
        <w:t> </w:t>
      </w:r>
      <w:r>
        <w:rPr/>
        <w:t>pressão arterial é</w:t>
      </w:r>
      <w:r>
        <w:rPr>
          <w:spacing w:val="-3"/>
        </w:rPr>
        <w:t> </w:t>
      </w:r>
      <w:r>
        <w:rPr/>
        <w:t>menor que</w:t>
      </w:r>
      <w:r>
        <w:rPr>
          <w:spacing w:val="-3"/>
        </w:rPr>
        <w:t> </w:t>
      </w:r>
      <w:r>
        <w:rPr/>
        <w:t>o normal, a</w:t>
      </w:r>
      <w:r>
        <w:rPr>
          <w:spacing w:val="-3"/>
        </w:rPr>
        <w:t> </w:t>
      </w:r>
      <w:r>
        <w:rPr/>
        <w:t>pressão de perfusão se reduz. Isso pode levar à isquemia miocárdica durante o exercício.</w:t>
      </w:r>
    </w:p>
    <w:p>
      <w:pPr>
        <w:pStyle w:val="BodyText"/>
        <w:spacing w:before="24"/>
        <w:ind w:left="0" w:firstLine="0"/>
        <w:jc w:val="left"/>
      </w:pPr>
    </w:p>
    <w:p>
      <w:pPr>
        <w:pStyle w:val="Heading7"/>
      </w:pPr>
      <w:r>
        <w:rPr>
          <w:color w:val="242B67"/>
        </w:rPr>
        <w:t>Insuficiência aórtica </w:t>
      </w:r>
      <w:r>
        <w:rPr>
          <w:color w:val="242B67"/>
          <w:spacing w:val="-2"/>
        </w:rPr>
        <w:t>aguda</w:t>
      </w:r>
    </w:p>
    <w:p>
      <w:pPr>
        <w:pStyle w:val="Heading7"/>
        <w:spacing w:after="0"/>
        <w:sectPr>
          <w:pgSz w:w="11900" w:h="16840"/>
          <w:pgMar w:top="200" w:bottom="280" w:left="566" w:right="141"/>
        </w:sectPr>
      </w:pPr>
    </w:p>
    <w:p>
      <w:pPr>
        <w:pStyle w:val="BodyText"/>
        <w:spacing w:line="276" w:lineRule="auto" w:before="72"/>
        <w:ind w:right="488"/>
      </w:pPr>
      <w:r>
        <w:rPr/>
        <w:t>Na insuficiência aórtica aguda, há aumento da pressão diastólica do VE por inadaptação da câmara ao volume regurgitante, ou seja, a complacência ventricular não se encontra aumentada, como nos casos crônicos. O débito sistólico encontra-se diminuído e a resistência vascular sistêmica aumentada, na tentativa de manter a pressão arterial. A velocidade de ejeção não aumenta significativamente e a pressão sistólica não mostra elevação importante. A pressão diastólica aórtica mantém-se mais alta que nos casos crônicos, em razão do grande aumento da</w:t>
      </w:r>
      <w:r>
        <w:rPr>
          <w:spacing w:val="-4"/>
        </w:rPr>
        <w:t> </w:t>
      </w:r>
      <w:r>
        <w:rPr/>
        <w:t>resistência</w:t>
      </w:r>
      <w:r>
        <w:rPr>
          <w:spacing w:val="-4"/>
        </w:rPr>
        <w:t> </w:t>
      </w:r>
      <w:r>
        <w:rPr/>
        <w:t>periférica. Por isso, não</w:t>
      </w:r>
      <w:r>
        <w:rPr>
          <w:spacing w:val="-2"/>
        </w:rPr>
        <w:t> </w:t>
      </w:r>
      <w:r>
        <w:rPr/>
        <w:t>ocorre</w:t>
      </w:r>
      <w:r>
        <w:rPr>
          <w:spacing w:val="-4"/>
        </w:rPr>
        <w:t> </w:t>
      </w:r>
      <w:r>
        <w:rPr/>
        <w:t>grande</w:t>
      </w:r>
      <w:r>
        <w:rPr>
          <w:spacing w:val="-4"/>
        </w:rPr>
        <w:t> </w:t>
      </w:r>
      <w:r>
        <w:rPr/>
        <w:t>diferença</w:t>
      </w:r>
      <w:r>
        <w:rPr>
          <w:spacing w:val="-4"/>
        </w:rPr>
        <w:t> </w:t>
      </w:r>
      <w:r>
        <w:rPr/>
        <w:t>entre</w:t>
      </w:r>
      <w:r>
        <w:rPr>
          <w:spacing w:val="-4"/>
        </w:rPr>
        <w:t> </w:t>
      </w:r>
      <w:r>
        <w:rPr/>
        <w:t>as pressões sistólica</w:t>
      </w:r>
      <w:r>
        <w:rPr>
          <w:spacing w:val="-4"/>
        </w:rPr>
        <w:t> </w:t>
      </w:r>
      <w:r>
        <w:rPr/>
        <w:t>e</w:t>
      </w:r>
      <w:r>
        <w:rPr>
          <w:spacing w:val="-4"/>
        </w:rPr>
        <w:t> </w:t>
      </w:r>
      <w:r>
        <w:rPr/>
        <w:t>diastólica. A</w:t>
      </w:r>
      <w:r>
        <w:rPr>
          <w:spacing w:val="-4"/>
        </w:rPr>
        <w:t> </w:t>
      </w:r>
      <w:r>
        <w:rPr/>
        <w:t>taquicardia está sempre presente na tentativa de manter o débito sistólico efetivo. Para um grau similar de insuficiência aórtica crônica, o</w:t>
      </w:r>
      <w:r>
        <w:rPr>
          <w:spacing w:val="-3"/>
        </w:rPr>
        <w:t> </w:t>
      </w:r>
      <w:r>
        <w:rPr/>
        <w:t>paciente</w:t>
      </w:r>
      <w:r>
        <w:rPr>
          <w:spacing w:val="-6"/>
        </w:rPr>
        <w:t> </w:t>
      </w:r>
      <w:r>
        <w:rPr/>
        <w:t>com</w:t>
      </w:r>
      <w:r>
        <w:rPr>
          <w:spacing w:val="-3"/>
        </w:rPr>
        <w:t> </w:t>
      </w:r>
      <w:r>
        <w:rPr/>
        <w:t>insuficiência</w:t>
      </w:r>
      <w:r>
        <w:rPr>
          <w:spacing w:val="-6"/>
        </w:rPr>
        <w:t> </w:t>
      </w:r>
      <w:r>
        <w:rPr/>
        <w:t>aguda</w:t>
      </w:r>
      <w:r>
        <w:rPr>
          <w:spacing w:val="-6"/>
        </w:rPr>
        <w:t> </w:t>
      </w:r>
      <w:r>
        <w:rPr/>
        <w:t>tem</w:t>
      </w:r>
      <w:r>
        <w:rPr>
          <w:spacing w:val="-3"/>
        </w:rPr>
        <w:t> </w:t>
      </w:r>
      <w:r>
        <w:rPr/>
        <w:t>pressão</w:t>
      </w:r>
      <w:r>
        <w:rPr>
          <w:spacing w:val="-3"/>
        </w:rPr>
        <w:t> </w:t>
      </w:r>
      <w:r>
        <w:rPr/>
        <w:t>de</w:t>
      </w:r>
      <w:r>
        <w:rPr>
          <w:spacing w:val="-6"/>
        </w:rPr>
        <w:t> </w:t>
      </w:r>
      <w:r>
        <w:rPr/>
        <w:t>pulso</w:t>
      </w:r>
      <w:r>
        <w:rPr>
          <w:spacing w:val="-3"/>
        </w:rPr>
        <w:t> </w:t>
      </w:r>
      <w:r>
        <w:rPr/>
        <w:t>aórtico, débito</w:t>
      </w:r>
      <w:r>
        <w:rPr>
          <w:spacing w:val="-3"/>
        </w:rPr>
        <w:t> </w:t>
      </w:r>
      <w:r>
        <w:rPr/>
        <w:t>cardíaco</w:t>
      </w:r>
      <w:r>
        <w:rPr>
          <w:spacing w:val="-3"/>
        </w:rPr>
        <w:t> </w:t>
      </w:r>
      <w:r>
        <w:rPr/>
        <w:t>efetivo</w:t>
      </w:r>
      <w:r>
        <w:rPr>
          <w:spacing w:val="-3"/>
        </w:rPr>
        <w:t> </w:t>
      </w:r>
      <w:r>
        <w:rPr/>
        <w:t>e</w:t>
      </w:r>
      <w:r>
        <w:rPr>
          <w:spacing w:val="-6"/>
        </w:rPr>
        <w:t> </w:t>
      </w:r>
      <w:r>
        <w:rPr/>
        <w:t>VE e</w:t>
      </w:r>
      <w:r>
        <w:rPr>
          <w:spacing w:val="-6"/>
        </w:rPr>
        <w:t> </w:t>
      </w:r>
      <w:r>
        <w:rPr/>
        <w:t>frequência cardíaca mais elevada. À medida que a pressão do VE eleva-se acima da pressão do átrio esquerdo a valva mitral fecha-se prematuramente na diástole. Isso protege a circulação pulmonar. Esse evento pode prevenir a hipertensão no átrio esquerdo, mas não previne a hipertensão venocapilar pulmonar.</w:t>
      </w:r>
    </w:p>
    <w:p>
      <w:pPr>
        <w:pStyle w:val="BodyText"/>
        <w:spacing w:line="276" w:lineRule="auto" w:before="66"/>
        <w:ind w:right="488"/>
      </w:pPr>
      <w:r>
        <w:rPr/>
        <w:t>Durante o exercício, a resistência vascular periférica diminui e, com o aumento da frequência cardíaca, a diástole</w:t>
      </w:r>
      <w:r>
        <w:rPr>
          <w:spacing w:val="-8"/>
        </w:rPr>
        <w:t> </w:t>
      </w:r>
      <w:r>
        <w:rPr/>
        <w:t>encurta-se, e</w:t>
      </w:r>
      <w:r>
        <w:rPr>
          <w:spacing w:val="-8"/>
        </w:rPr>
        <w:t> </w:t>
      </w:r>
      <w:r>
        <w:rPr/>
        <w:t>a</w:t>
      </w:r>
      <w:r>
        <w:rPr>
          <w:spacing w:val="-8"/>
        </w:rPr>
        <w:t> </w:t>
      </w:r>
      <w:r>
        <w:rPr/>
        <w:t>regurgitação</w:t>
      </w:r>
      <w:r>
        <w:rPr>
          <w:spacing w:val="-6"/>
        </w:rPr>
        <w:t> </w:t>
      </w:r>
      <w:r>
        <w:rPr/>
        <w:t>por batimento</w:t>
      </w:r>
      <w:r>
        <w:rPr>
          <w:spacing w:val="-6"/>
        </w:rPr>
        <w:t> </w:t>
      </w:r>
      <w:r>
        <w:rPr/>
        <w:t>diminui, facilitando</w:t>
      </w:r>
      <w:r>
        <w:rPr>
          <w:spacing w:val="-6"/>
        </w:rPr>
        <w:t> </w:t>
      </w:r>
      <w:r>
        <w:rPr/>
        <w:t>um</w:t>
      </w:r>
      <w:r>
        <w:rPr>
          <w:spacing w:val="-6"/>
        </w:rPr>
        <w:t> </w:t>
      </w:r>
      <w:r>
        <w:rPr/>
        <w:t>aumento</w:t>
      </w:r>
      <w:r>
        <w:rPr>
          <w:spacing w:val="-6"/>
        </w:rPr>
        <w:t> </w:t>
      </w:r>
      <w:r>
        <w:rPr/>
        <w:t>efetivo</w:t>
      </w:r>
      <w:r>
        <w:rPr>
          <w:spacing w:val="-6"/>
        </w:rPr>
        <w:t> </w:t>
      </w:r>
      <w:r>
        <w:rPr/>
        <w:t>do</w:t>
      </w:r>
      <w:r>
        <w:rPr>
          <w:spacing w:val="-6"/>
        </w:rPr>
        <w:t> </w:t>
      </w:r>
      <w:r>
        <w:rPr/>
        <w:t>débito</w:t>
      </w:r>
      <w:r>
        <w:rPr>
          <w:spacing w:val="-6"/>
        </w:rPr>
        <w:t> </w:t>
      </w:r>
      <w:r>
        <w:rPr/>
        <w:t>cardíaco, sem aumento de volume e pressão telessistólicos. A fração de ejeção geralmente está dentro da normalidade. A função ventricular anormal pode</w:t>
      </w:r>
      <w:r>
        <w:rPr>
          <w:spacing w:val="-1"/>
        </w:rPr>
        <w:t> </w:t>
      </w:r>
      <w:r>
        <w:rPr/>
        <w:t>ser identificada</w:t>
      </w:r>
      <w:r>
        <w:rPr>
          <w:spacing w:val="-1"/>
        </w:rPr>
        <w:t> </w:t>
      </w:r>
      <w:r>
        <w:rPr/>
        <w:t>em pacientes assintomáticos e</w:t>
      </w:r>
      <w:r>
        <w:rPr>
          <w:spacing w:val="-1"/>
        </w:rPr>
        <w:t> </w:t>
      </w:r>
      <w:r>
        <w:rPr/>
        <w:t>com fração de</w:t>
      </w:r>
      <w:r>
        <w:rPr>
          <w:spacing w:val="-1"/>
        </w:rPr>
        <w:t> </w:t>
      </w:r>
      <w:r>
        <w:rPr/>
        <w:t>ejeção normal pela</w:t>
      </w:r>
      <w:r>
        <w:rPr>
          <w:spacing w:val="-1"/>
        </w:rPr>
        <w:t> </w:t>
      </w:r>
      <w:r>
        <w:rPr/>
        <w:t>falha</w:t>
      </w:r>
      <w:r>
        <w:rPr>
          <w:spacing w:val="-1"/>
        </w:rPr>
        <w:t> </w:t>
      </w:r>
      <w:r>
        <w:rPr/>
        <w:t>na elevação</w:t>
      </w:r>
      <w:r>
        <w:rPr>
          <w:spacing w:val="-6"/>
        </w:rPr>
        <w:t> </w:t>
      </w:r>
      <w:r>
        <w:rPr/>
        <w:t>normal</w:t>
      </w:r>
      <w:r>
        <w:rPr>
          <w:spacing w:val="-4"/>
        </w:rPr>
        <w:t> </w:t>
      </w:r>
      <w:r>
        <w:rPr/>
        <w:t>da</w:t>
      </w:r>
      <w:r>
        <w:rPr>
          <w:spacing w:val="-8"/>
        </w:rPr>
        <w:t> </w:t>
      </w:r>
      <w:r>
        <w:rPr/>
        <w:t>fração</w:t>
      </w:r>
      <w:r>
        <w:rPr>
          <w:spacing w:val="-6"/>
        </w:rPr>
        <w:t> </w:t>
      </w:r>
      <w:r>
        <w:rPr/>
        <w:t>de</w:t>
      </w:r>
      <w:r>
        <w:rPr>
          <w:spacing w:val="-8"/>
        </w:rPr>
        <w:t> </w:t>
      </w:r>
      <w:r>
        <w:rPr/>
        <w:t>ejeção</w:t>
      </w:r>
      <w:r>
        <w:rPr>
          <w:spacing w:val="-6"/>
        </w:rPr>
        <w:t> </w:t>
      </w:r>
      <w:r>
        <w:rPr/>
        <w:t>durante</w:t>
      </w:r>
      <w:r>
        <w:rPr>
          <w:spacing w:val="-8"/>
        </w:rPr>
        <w:t> </w:t>
      </w:r>
      <w:r>
        <w:rPr/>
        <w:t>o</w:t>
      </w:r>
      <w:r>
        <w:rPr>
          <w:spacing w:val="-6"/>
        </w:rPr>
        <w:t> </w:t>
      </w:r>
      <w:r>
        <w:rPr/>
        <w:t>exercício</w:t>
      </w:r>
      <w:r>
        <w:rPr>
          <w:spacing w:val="-6"/>
        </w:rPr>
        <w:t> </w:t>
      </w:r>
      <w:r>
        <w:rPr/>
        <w:t>ou</w:t>
      </w:r>
      <w:r>
        <w:rPr>
          <w:spacing w:val="-6"/>
        </w:rPr>
        <w:t> </w:t>
      </w:r>
      <w:r>
        <w:rPr/>
        <w:t>pela</w:t>
      </w:r>
      <w:r>
        <w:rPr>
          <w:spacing w:val="-8"/>
        </w:rPr>
        <w:t> </w:t>
      </w:r>
      <w:r>
        <w:rPr/>
        <w:t>relação</w:t>
      </w:r>
      <w:r>
        <w:rPr>
          <w:spacing w:val="-6"/>
        </w:rPr>
        <w:t> </w:t>
      </w:r>
      <w:r>
        <w:rPr/>
        <w:t>volume-pressão</w:t>
      </w:r>
      <w:r>
        <w:rPr>
          <w:spacing w:val="-6"/>
        </w:rPr>
        <w:t> </w:t>
      </w:r>
      <w:r>
        <w:rPr/>
        <w:t>sistólica</w:t>
      </w:r>
      <w:r>
        <w:rPr>
          <w:spacing w:val="-8"/>
        </w:rPr>
        <w:t> </w:t>
      </w:r>
      <w:r>
        <w:rPr/>
        <w:t>final</w:t>
      </w:r>
      <w:r>
        <w:rPr>
          <w:spacing w:val="-4"/>
        </w:rPr>
        <w:t> </w:t>
      </w:r>
      <w:r>
        <w:rPr/>
        <w:t>diminuída. À medida que o miocárdio deteriora-se, o VE dilata-se, o volume diastólico final aumenta sem aumento da regurgitação. A relação da espessura do VE com o raio da cavidade diminui a tensão de parede sistólica e, com a diminuição da resistência vascular periférica, desencadeada pelo exercício, a fração de ejeção diminui. A maioria das alterações precede o aparecimento de sintomas.</w:t>
      </w:r>
    </w:p>
    <w:p>
      <w:pPr>
        <w:pStyle w:val="BodyText"/>
        <w:spacing w:before="49"/>
        <w:ind w:left="414" w:firstLine="0"/>
      </w:pPr>
      <w:r>
        <w:rPr/>
        <w:t>Na</w:t>
      </w:r>
      <w:r>
        <w:rPr>
          <w:spacing w:val="25"/>
        </w:rPr>
        <w:t> </w:t>
      </w:r>
      <w:r>
        <w:rPr/>
        <w:t>insuficiência</w:t>
      </w:r>
      <w:r>
        <w:rPr>
          <w:spacing w:val="27"/>
        </w:rPr>
        <w:t> </w:t>
      </w:r>
      <w:r>
        <w:rPr/>
        <w:t>aórtica</w:t>
      </w:r>
      <w:r>
        <w:rPr>
          <w:spacing w:val="27"/>
        </w:rPr>
        <w:t> </w:t>
      </w:r>
      <w:r>
        <w:rPr/>
        <w:t>grave,</w:t>
      </w:r>
      <w:r>
        <w:rPr>
          <w:spacing w:val="39"/>
        </w:rPr>
        <w:t> </w:t>
      </w:r>
      <w:r>
        <w:rPr/>
        <w:t>o</w:t>
      </w:r>
      <w:r>
        <w:rPr>
          <w:spacing w:val="31"/>
        </w:rPr>
        <w:t> </w:t>
      </w:r>
      <w:r>
        <w:rPr/>
        <w:t>débito</w:t>
      </w:r>
      <w:r>
        <w:rPr>
          <w:spacing w:val="30"/>
        </w:rPr>
        <w:t> </w:t>
      </w:r>
      <w:r>
        <w:rPr/>
        <w:t>cardíaco</w:t>
      </w:r>
      <w:r>
        <w:rPr>
          <w:spacing w:val="31"/>
        </w:rPr>
        <w:t> </w:t>
      </w:r>
      <w:r>
        <w:rPr/>
        <w:t>cai</w:t>
      </w:r>
      <w:r>
        <w:rPr>
          <w:spacing w:val="33"/>
        </w:rPr>
        <w:t> </w:t>
      </w:r>
      <w:r>
        <w:rPr/>
        <w:t>porque</w:t>
      </w:r>
      <w:r>
        <w:rPr>
          <w:spacing w:val="28"/>
        </w:rPr>
        <w:t> </w:t>
      </w:r>
      <w:r>
        <w:rPr/>
        <w:t>o</w:t>
      </w:r>
      <w:r>
        <w:rPr>
          <w:spacing w:val="30"/>
        </w:rPr>
        <w:t> </w:t>
      </w:r>
      <w:r>
        <w:rPr/>
        <w:t>VE</w:t>
      </w:r>
      <w:r>
        <w:rPr>
          <w:spacing w:val="36"/>
        </w:rPr>
        <w:t> </w:t>
      </w:r>
      <w:r>
        <w:rPr/>
        <w:t>não</w:t>
      </w:r>
      <w:r>
        <w:rPr>
          <w:spacing w:val="31"/>
        </w:rPr>
        <w:t> </w:t>
      </w:r>
      <w:r>
        <w:rPr/>
        <w:t>consegue</w:t>
      </w:r>
      <w:r>
        <w:rPr>
          <w:spacing w:val="27"/>
        </w:rPr>
        <w:t> </w:t>
      </w:r>
      <w:r>
        <w:rPr/>
        <w:t>contrair-se</w:t>
      </w:r>
      <w:r>
        <w:rPr>
          <w:spacing w:val="28"/>
        </w:rPr>
        <w:t> </w:t>
      </w:r>
      <w:r>
        <w:rPr>
          <w:spacing w:val="-2"/>
        </w:rPr>
        <w:t>eficientemente.</w:t>
      </w:r>
    </w:p>
    <w:p>
      <w:pPr>
        <w:pStyle w:val="BodyText"/>
        <w:spacing w:before="40"/>
        <w:ind w:firstLine="0"/>
      </w:pPr>
      <w:r>
        <w:rPr/>
        <w:t>Aumenta</w:t>
      </w:r>
      <w:r>
        <w:rPr>
          <w:spacing w:val="-11"/>
        </w:rPr>
        <w:t> </w:t>
      </w:r>
      <w:r>
        <w:rPr/>
        <w:t>a</w:t>
      </w:r>
      <w:r>
        <w:rPr>
          <w:spacing w:val="-11"/>
        </w:rPr>
        <w:t> </w:t>
      </w:r>
      <w:r>
        <w:rPr/>
        <w:t>pressão</w:t>
      </w:r>
      <w:r>
        <w:rPr>
          <w:spacing w:val="-8"/>
        </w:rPr>
        <w:t> </w:t>
      </w:r>
      <w:r>
        <w:rPr/>
        <w:t>no</w:t>
      </w:r>
      <w:r>
        <w:rPr>
          <w:spacing w:val="-8"/>
        </w:rPr>
        <w:t> </w:t>
      </w:r>
      <w:r>
        <w:rPr/>
        <w:t>átrio</w:t>
      </w:r>
      <w:r>
        <w:rPr>
          <w:spacing w:val="-8"/>
        </w:rPr>
        <w:t> </w:t>
      </w:r>
      <w:r>
        <w:rPr/>
        <w:t>esquerdo,</w:t>
      </w:r>
      <w:r>
        <w:rPr>
          <w:spacing w:val="-1"/>
        </w:rPr>
        <w:t> </w:t>
      </w:r>
      <w:r>
        <w:rPr/>
        <w:t>há</w:t>
      </w:r>
      <w:r>
        <w:rPr>
          <w:spacing w:val="-11"/>
        </w:rPr>
        <w:t> </w:t>
      </w:r>
      <w:r>
        <w:rPr/>
        <w:t>congestão</w:t>
      </w:r>
      <w:r>
        <w:rPr>
          <w:spacing w:val="-8"/>
        </w:rPr>
        <w:t> </w:t>
      </w:r>
      <w:r>
        <w:rPr/>
        <w:t>e</w:t>
      </w:r>
      <w:r>
        <w:rPr>
          <w:spacing w:val="-11"/>
        </w:rPr>
        <w:t> </w:t>
      </w:r>
      <w:r>
        <w:rPr/>
        <w:t>edema</w:t>
      </w:r>
      <w:r>
        <w:rPr>
          <w:spacing w:val="-10"/>
        </w:rPr>
        <w:t> </w:t>
      </w:r>
      <w:r>
        <w:rPr>
          <w:spacing w:val="-2"/>
        </w:rPr>
        <w:t>pulmonar.</w:t>
      </w:r>
    </w:p>
    <w:p>
      <w:pPr>
        <w:pStyle w:val="BodyText"/>
        <w:spacing w:before="173"/>
        <w:ind w:left="0" w:firstLine="0"/>
        <w:jc w:val="left"/>
      </w:pPr>
    </w:p>
    <w:p>
      <w:pPr>
        <w:pStyle w:val="Heading5"/>
        <w:jc w:val="both"/>
      </w:pPr>
      <w:r>
        <w:rPr>
          <w:color w:val="A26108"/>
        </w:rPr>
        <w:t>Quadro</w:t>
      </w:r>
      <w:r>
        <w:rPr>
          <w:color w:val="A26108"/>
          <w:spacing w:val="23"/>
        </w:rPr>
        <w:t> </w:t>
      </w:r>
      <w:r>
        <w:rPr>
          <w:color w:val="A26108"/>
          <w:spacing w:val="-2"/>
        </w:rPr>
        <w:t>clínico</w:t>
      </w:r>
    </w:p>
    <w:p>
      <w:pPr>
        <w:pStyle w:val="BodyText"/>
        <w:spacing w:line="276" w:lineRule="auto" w:before="138"/>
        <w:ind w:right="488"/>
      </w:pPr>
      <w:r>
        <w:rPr/>
        <w:t>A</w:t>
      </w:r>
      <w:r>
        <w:rPr>
          <w:spacing w:val="-1"/>
        </w:rPr>
        <w:t> </w:t>
      </w:r>
      <w:r>
        <w:rPr/>
        <w:t>manifestação de</w:t>
      </w:r>
      <w:r>
        <w:rPr>
          <w:spacing w:val="-1"/>
        </w:rPr>
        <w:t> </w:t>
      </w:r>
      <w:r>
        <w:rPr/>
        <w:t>sintomas ocorre</w:t>
      </w:r>
      <w:r>
        <w:rPr>
          <w:spacing w:val="-1"/>
        </w:rPr>
        <w:t> </w:t>
      </w:r>
      <w:r>
        <w:rPr/>
        <w:t>após a</w:t>
      </w:r>
      <w:r>
        <w:rPr>
          <w:spacing w:val="-1"/>
        </w:rPr>
        <w:t> </w:t>
      </w:r>
      <w:r>
        <w:rPr/>
        <w:t>disfunção ventricular, aparecendo dispneia</w:t>
      </w:r>
      <w:r>
        <w:rPr>
          <w:spacing w:val="-1"/>
        </w:rPr>
        <w:t> </w:t>
      </w:r>
      <w:r>
        <w:rPr/>
        <w:t>aos esforços, ortopneia</w:t>
      </w:r>
      <w:r>
        <w:rPr>
          <w:spacing w:val="-1"/>
        </w:rPr>
        <w:t> </w:t>
      </w:r>
      <w:r>
        <w:rPr/>
        <w:t>e dispneia paroxística noturna. Graças ao aumento do VE, o paciente pode sentir mais facilmente os batimentos do coração como palpitação e dor torácica em decorrência do impacto do coração na parede torácica. A angina ocorre em aproximadamente 5% dos pacientes com insuficiência acentuada, geralmente à noite, talvez porque a regurgitação aumente</w:t>
      </w:r>
      <w:r>
        <w:rPr>
          <w:spacing w:val="-1"/>
        </w:rPr>
        <w:t> </w:t>
      </w:r>
      <w:r>
        <w:rPr/>
        <w:t>com a</w:t>
      </w:r>
      <w:r>
        <w:rPr>
          <w:spacing w:val="-1"/>
        </w:rPr>
        <w:t> </w:t>
      </w:r>
      <w:r>
        <w:rPr/>
        <w:t>frequência</w:t>
      </w:r>
      <w:r>
        <w:rPr>
          <w:spacing w:val="-1"/>
        </w:rPr>
        <w:t> </w:t>
      </w:r>
      <w:r>
        <w:rPr/>
        <w:t>cardíaca</w:t>
      </w:r>
      <w:r>
        <w:rPr>
          <w:spacing w:val="-1"/>
        </w:rPr>
        <w:t> </w:t>
      </w:r>
      <w:r>
        <w:rPr/>
        <w:t>mais lenta</w:t>
      </w:r>
      <w:r>
        <w:rPr>
          <w:spacing w:val="-1"/>
        </w:rPr>
        <w:t> </w:t>
      </w:r>
      <w:r>
        <w:rPr/>
        <w:t>durante</w:t>
      </w:r>
      <w:r>
        <w:rPr>
          <w:spacing w:val="-1"/>
        </w:rPr>
        <w:t> </w:t>
      </w:r>
      <w:r>
        <w:rPr/>
        <w:t>o repouso.</w:t>
      </w:r>
    </w:p>
    <w:p>
      <w:pPr>
        <w:pStyle w:val="BodyText"/>
        <w:spacing w:line="276" w:lineRule="auto" w:before="49"/>
        <w:ind w:right="497"/>
      </w:pPr>
      <w:r>
        <w:rPr/>
        <w:t>À inspeção e palpação existe elevação rápida do pulso, com grande volume e redução rápida, causada, principalmente, pela vasodilatação periférica, reflexo do seio carotídeo, assim como o fluxo retrógrado para o VE. A tendência do pulso arterial a ter grande amplitude e a reduzir-se rapidamente levou à denominação </w:t>
      </w:r>
      <w:r>
        <w:rPr>
          <w:i/>
        </w:rPr>
        <w:t>pulso em martelo</w:t>
      </w:r>
      <w:r>
        <w:rPr>
          <w:i/>
          <w:spacing w:val="-3"/>
        </w:rPr>
        <w:t> </w:t>
      </w:r>
      <w:r>
        <w:rPr>
          <w:i/>
        </w:rPr>
        <w:t>d’água </w:t>
      </w:r>
      <w:r>
        <w:rPr/>
        <w:t>ou </w:t>
      </w:r>
      <w:r>
        <w:rPr>
          <w:i/>
        </w:rPr>
        <w:t>pulso</w:t>
      </w:r>
      <w:r>
        <w:rPr>
          <w:i/>
          <w:spacing w:val="-3"/>
        </w:rPr>
        <w:t> </w:t>
      </w:r>
      <w:r>
        <w:rPr>
          <w:i/>
        </w:rPr>
        <w:t>colapsante</w:t>
      </w:r>
      <w:r>
        <w:rPr/>
        <w:t>.</w:t>
      </w:r>
      <w:r>
        <w:rPr>
          <w:spacing w:val="19"/>
        </w:rPr>
        <w:t> </w:t>
      </w:r>
      <w:r>
        <w:rPr/>
        <w:t>O som agudo,</w:t>
      </w:r>
      <w:r>
        <w:rPr>
          <w:spacing w:val="19"/>
        </w:rPr>
        <w:t> </w:t>
      </w:r>
      <w:r>
        <w:rPr/>
        <w:t>auscultado sobre o pulso femoral,</w:t>
      </w:r>
      <w:r>
        <w:rPr>
          <w:spacing w:val="19"/>
        </w:rPr>
        <w:t> </w:t>
      </w:r>
      <w:r>
        <w:rPr/>
        <w:t>é chamado de </w:t>
      </w:r>
      <w:r>
        <w:rPr>
          <w:i/>
        </w:rPr>
        <w:t>ruído de tiro de</w:t>
      </w:r>
      <w:r>
        <w:rPr>
          <w:i/>
          <w:spacing w:val="-3"/>
        </w:rPr>
        <w:t> </w:t>
      </w:r>
      <w:r>
        <w:rPr>
          <w:i/>
        </w:rPr>
        <w:t>pistola </w:t>
      </w:r>
      <w:r>
        <w:rPr/>
        <w:t>ou </w:t>
      </w:r>
      <w:r>
        <w:rPr>
          <w:i/>
        </w:rPr>
        <w:t>sinal de Traube</w:t>
      </w:r>
      <w:r>
        <w:rPr/>
        <w:t>. O sopro sistólico na artéria femoral distal à pressão do dedo e o sopro diastólico na artéria femoral proximal à pressão do dedo são chamados de </w:t>
      </w:r>
      <w:r>
        <w:rPr>
          <w:i/>
        </w:rPr>
        <w:t>duplo sopro de Duroziez</w:t>
      </w:r>
      <w:r>
        <w:rPr/>
        <w:t>. As pulsações carotídeas amplas, observadas no pescoço, são chamadas de </w:t>
      </w:r>
      <w:r>
        <w:rPr>
          <w:i/>
        </w:rPr>
        <w:t>pulso de Corrigan</w:t>
      </w:r>
      <w:r>
        <w:rPr/>
        <w:t>. O movimento da cabeça que ocorre em virtude da força balística do grande volume de ejeção é chamado </w:t>
      </w:r>
      <w:r>
        <w:rPr>
          <w:i/>
        </w:rPr>
        <w:t>sinal de Musset</w:t>
      </w:r>
      <w:r>
        <w:rPr/>
        <w:t>. O empalidecimento e a ruborização pulsáteis das unhas dos dedos, à compressão leve, são chamados de </w:t>
      </w:r>
      <w:r>
        <w:rPr>
          <w:i/>
        </w:rPr>
        <w:t>pulsação capilar </w:t>
      </w:r>
      <w:r>
        <w:rPr/>
        <w:t>ou </w:t>
      </w:r>
      <w:r>
        <w:rPr>
          <w:i/>
        </w:rPr>
        <w:t>sinal de Quincke</w:t>
      </w:r>
      <w:r>
        <w:rPr/>
        <w:t>. A pressão sistólica é superior à pressão normal por causa do grande volume de ejeção.</w:t>
      </w:r>
    </w:p>
    <w:p>
      <w:pPr>
        <w:pStyle w:val="BodyText"/>
        <w:spacing w:line="276" w:lineRule="auto" w:before="66"/>
        <w:ind w:right="488"/>
      </w:pPr>
      <w:r>
        <w:rPr/>
        <w:t>Na ausculta da insuficiência aórtica crônica, a B1 é discreta, com prolongamento do espaço PR do ECG. O componente aórtico da segunda bulha pode ser abafado pelo sopro diastólico precoce; assim, a B2 é variável. O estalido de ejeção está relacionado com a distensão abrupta da aorta, e o galope pela B3, com o volume sistólico final do VE.</w:t>
      </w:r>
    </w:p>
    <w:p>
      <w:pPr>
        <w:pStyle w:val="BodyText"/>
        <w:spacing w:line="276" w:lineRule="auto" w:before="64"/>
        <w:ind w:right="488"/>
      </w:pPr>
      <w:r>
        <w:rPr/>
        <w:t>O sopro alcança um pico precoce e então tem padrão dominante em decrescendo, ao longo da diástole. A gravidade relaciona-se mais com a duração do que com a intensidade do sopro.</w:t>
      </w:r>
    </w:p>
    <w:p>
      <w:pPr>
        <w:pStyle w:val="BodyText"/>
        <w:spacing w:line="276" w:lineRule="auto" w:before="49"/>
        <w:ind w:right="491"/>
      </w:pPr>
      <w:r>
        <w:rPr/>
        <w:t>Quando o sopro é</w:t>
      </w:r>
      <w:r>
        <w:rPr>
          <w:spacing w:val="-3"/>
        </w:rPr>
        <w:t> </w:t>
      </w:r>
      <w:r>
        <w:rPr/>
        <w:t>musical, semelhante</w:t>
      </w:r>
      <w:r>
        <w:rPr>
          <w:spacing w:val="-3"/>
        </w:rPr>
        <w:t> </w:t>
      </w:r>
      <w:r>
        <w:rPr/>
        <w:t>ao </w:t>
      </w:r>
      <w:r>
        <w:rPr>
          <w:i/>
        </w:rPr>
        <w:t>arrulho</w:t>
      </w:r>
      <w:r>
        <w:rPr>
          <w:i/>
          <w:spacing w:val="-6"/>
        </w:rPr>
        <w:t> </w:t>
      </w:r>
      <w:r>
        <w:rPr>
          <w:i/>
        </w:rPr>
        <w:t>de</w:t>
      </w:r>
      <w:r>
        <w:rPr>
          <w:i/>
          <w:spacing w:val="-9"/>
        </w:rPr>
        <w:t> </w:t>
      </w:r>
      <w:r>
        <w:rPr>
          <w:i/>
        </w:rPr>
        <w:t>pombo</w:t>
      </w:r>
      <w:r>
        <w:rPr/>
        <w:t>, geralmente</w:t>
      </w:r>
      <w:r>
        <w:rPr>
          <w:spacing w:val="-1"/>
        </w:rPr>
        <w:t> </w:t>
      </w:r>
      <w:r>
        <w:rPr/>
        <w:t>significa</w:t>
      </w:r>
      <w:r>
        <w:rPr>
          <w:spacing w:val="-1"/>
        </w:rPr>
        <w:t> </w:t>
      </w:r>
      <w:r>
        <w:rPr/>
        <w:t>eversão ou perfuração de</w:t>
      </w:r>
      <w:r>
        <w:rPr>
          <w:spacing w:val="-1"/>
        </w:rPr>
        <w:t> </w:t>
      </w:r>
      <w:r>
        <w:rPr/>
        <w:t>um folheto</w:t>
      </w:r>
      <w:r>
        <w:rPr>
          <w:spacing w:val="-7"/>
        </w:rPr>
        <w:t> </w:t>
      </w:r>
      <w:r>
        <w:rPr/>
        <w:t>aórtico. Pode</w:t>
      </w:r>
      <w:r>
        <w:rPr>
          <w:spacing w:val="-10"/>
        </w:rPr>
        <w:t> </w:t>
      </w:r>
      <w:r>
        <w:rPr/>
        <w:t>haver</w:t>
      </w:r>
      <w:r>
        <w:rPr>
          <w:spacing w:val="-2"/>
        </w:rPr>
        <w:t> </w:t>
      </w:r>
      <w:r>
        <w:rPr/>
        <w:t>também</w:t>
      </w:r>
      <w:r>
        <w:rPr>
          <w:spacing w:val="-7"/>
        </w:rPr>
        <w:t> </w:t>
      </w:r>
      <w:r>
        <w:rPr/>
        <w:t>componentes de</w:t>
      </w:r>
      <w:r>
        <w:rPr>
          <w:spacing w:val="-10"/>
        </w:rPr>
        <w:t> </w:t>
      </w:r>
      <w:r>
        <w:rPr/>
        <w:t>baixa</w:t>
      </w:r>
      <w:r>
        <w:rPr>
          <w:spacing w:val="-10"/>
        </w:rPr>
        <w:t> </w:t>
      </w:r>
      <w:r>
        <w:rPr/>
        <w:t>e</w:t>
      </w:r>
      <w:r>
        <w:rPr>
          <w:spacing w:val="-10"/>
        </w:rPr>
        <w:t> </w:t>
      </w:r>
      <w:r>
        <w:rPr/>
        <w:t>média</w:t>
      </w:r>
      <w:r>
        <w:rPr>
          <w:spacing w:val="-10"/>
        </w:rPr>
        <w:t> </w:t>
      </w:r>
      <w:r>
        <w:rPr/>
        <w:t>frequência, se</w:t>
      </w:r>
      <w:r>
        <w:rPr>
          <w:spacing w:val="-10"/>
        </w:rPr>
        <w:t> </w:t>
      </w:r>
      <w:r>
        <w:rPr/>
        <w:t>a</w:t>
      </w:r>
      <w:r>
        <w:rPr>
          <w:spacing w:val="-10"/>
        </w:rPr>
        <w:t> </w:t>
      </w:r>
      <w:r>
        <w:rPr/>
        <w:t>insuficiência</w:t>
      </w:r>
      <w:r>
        <w:rPr>
          <w:spacing w:val="-10"/>
        </w:rPr>
        <w:t> </w:t>
      </w:r>
      <w:r>
        <w:rPr/>
        <w:t>for</w:t>
      </w:r>
      <w:r>
        <w:rPr>
          <w:spacing w:val="-2"/>
        </w:rPr>
        <w:t> </w:t>
      </w:r>
      <w:r>
        <w:rPr/>
        <w:t>intensa. Se</w:t>
      </w:r>
      <w:r>
        <w:rPr>
          <w:spacing w:val="-10"/>
        </w:rPr>
        <w:t> </w:t>
      </w:r>
      <w:r>
        <w:rPr/>
        <w:t>esta não for de origem reumática, mas em decorrência de um aneurisma ou arteriosclerose da aorta ascendente, o sopro pode ser mais alto ao longo da margem esternal direita. Frequentemente, o sopro é auscultado melhor próximo à axila ou na região média esquerda do tórax. Pode haver um ruflar diastólico semelhante ao da estenose mitral no ápice,</w:t>
      </w:r>
      <w:r>
        <w:rPr>
          <w:spacing w:val="25"/>
        </w:rPr>
        <w:t> </w:t>
      </w:r>
      <w:r>
        <w:rPr/>
        <w:t>em</w:t>
      </w:r>
      <w:r>
        <w:rPr>
          <w:spacing w:val="17"/>
        </w:rPr>
        <w:t> </w:t>
      </w:r>
      <w:r>
        <w:rPr/>
        <w:t>virtude</w:t>
      </w:r>
      <w:r>
        <w:rPr>
          <w:spacing w:val="14"/>
        </w:rPr>
        <w:t> </w:t>
      </w:r>
      <w:r>
        <w:rPr/>
        <w:t>do</w:t>
      </w:r>
      <w:r>
        <w:rPr>
          <w:spacing w:val="17"/>
        </w:rPr>
        <w:t> </w:t>
      </w:r>
      <w:r>
        <w:rPr/>
        <w:t>impedimento</w:t>
      </w:r>
      <w:r>
        <w:rPr>
          <w:spacing w:val="17"/>
        </w:rPr>
        <w:t> </w:t>
      </w:r>
      <w:r>
        <w:rPr/>
        <w:t>da</w:t>
      </w:r>
      <w:r>
        <w:rPr>
          <w:spacing w:val="14"/>
        </w:rPr>
        <w:t> </w:t>
      </w:r>
      <w:r>
        <w:rPr/>
        <w:t>completa</w:t>
      </w:r>
      <w:r>
        <w:rPr>
          <w:spacing w:val="14"/>
        </w:rPr>
        <w:t> </w:t>
      </w:r>
      <w:r>
        <w:rPr/>
        <w:t>abertura</w:t>
      </w:r>
      <w:r>
        <w:rPr>
          <w:spacing w:val="14"/>
        </w:rPr>
        <w:t> </w:t>
      </w:r>
      <w:r>
        <w:rPr/>
        <w:t>do</w:t>
      </w:r>
      <w:r>
        <w:rPr>
          <w:spacing w:val="17"/>
        </w:rPr>
        <w:t> </w:t>
      </w:r>
      <w:r>
        <w:rPr/>
        <w:t>folheto</w:t>
      </w:r>
      <w:r>
        <w:rPr>
          <w:spacing w:val="17"/>
        </w:rPr>
        <w:t> </w:t>
      </w:r>
      <w:r>
        <w:rPr/>
        <w:t>mitral</w:t>
      </w:r>
      <w:r>
        <w:rPr>
          <w:spacing w:val="19"/>
        </w:rPr>
        <w:t> </w:t>
      </w:r>
      <w:r>
        <w:rPr/>
        <w:t>anterior</w:t>
      </w:r>
      <w:r>
        <w:rPr>
          <w:spacing w:val="22"/>
        </w:rPr>
        <w:t> </w:t>
      </w:r>
      <w:r>
        <w:rPr/>
        <w:t>pelo</w:t>
      </w:r>
      <w:r>
        <w:rPr>
          <w:spacing w:val="17"/>
        </w:rPr>
        <w:t> </w:t>
      </w:r>
      <w:r>
        <w:rPr/>
        <w:t>fluxo</w:t>
      </w:r>
      <w:r>
        <w:rPr>
          <w:spacing w:val="17"/>
        </w:rPr>
        <w:t> </w:t>
      </w:r>
      <w:r>
        <w:rPr/>
        <w:t>insuficiente</w:t>
      </w:r>
      <w:r>
        <w:rPr>
          <w:spacing w:val="14"/>
        </w:rPr>
        <w:t> </w:t>
      </w:r>
      <w:r>
        <w:rPr/>
        <w:t>aórtico</w:t>
      </w:r>
    </w:p>
    <w:p>
      <w:pPr>
        <w:pStyle w:val="BodyText"/>
        <w:spacing w:after="0" w:line="276" w:lineRule="auto"/>
        <w:sectPr>
          <w:pgSz w:w="11900" w:h="16840"/>
          <w:pgMar w:top="200" w:bottom="280" w:left="566" w:right="141"/>
        </w:sectPr>
      </w:pPr>
    </w:p>
    <w:p>
      <w:pPr>
        <w:pStyle w:val="BodyText"/>
        <w:spacing w:line="276" w:lineRule="auto" w:before="67"/>
        <w:ind w:right="497" w:firstLine="0"/>
      </w:pPr>
      <w:r>
        <w:rPr/>
        <w:t>descendente (sopro de Austin Flint). A redução da pressão aórtica e melhora da insuficiência valvar aórtica com nitrito de amila atenuam ou eliminam o sopro de Austin Flint e tornam o sopro da estenose mitral mais alto. É comum o sopro de</w:t>
      </w:r>
      <w:r>
        <w:rPr>
          <w:spacing w:val="-1"/>
        </w:rPr>
        <w:t> </w:t>
      </w:r>
      <w:r>
        <w:rPr/>
        <w:t>ejeção aórtico, se</w:t>
      </w:r>
      <w:r>
        <w:rPr>
          <w:spacing w:val="-1"/>
        </w:rPr>
        <w:t> </w:t>
      </w:r>
      <w:r>
        <w:rPr/>
        <w:t>a</w:t>
      </w:r>
      <w:r>
        <w:rPr>
          <w:spacing w:val="-1"/>
        </w:rPr>
        <w:t> </w:t>
      </w:r>
      <w:r>
        <w:rPr/>
        <w:t>valva</w:t>
      </w:r>
      <w:r>
        <w:rPr>
          <w:spacing w:val="-1"/>
        </w:rPr>
        <w:t> </w:t>
      </w:r>
      <w:r>
        <w:rPr/>
        <w:t>for bicúspide. Um som de</w:t>
      </w:r>
      <w:r>
        <w:rPr>
          <w:spacing w:val="-1"/>
        </w:rPr>
        <w:t> </w:t>
      </w:r>
      <w:r>
        <w:rPr/>
        <w:t>frequência</w:t>
      </w:r>
      <w:r>
        <w:rPr>
          <w:spacing w:val="-1"/>
        </w:rPr>
        <w:t> </w:t>
      </w:r>
      <w:r>
        <w:rPr/>
        <w:t>baixa, telessistólico, geralmente ocorre quando a insuficiência aórtica grave está associada a pulso bisférico. O sopro do fluxo de ejeção aórtico, decorrente</w:t>
      </w:r>
      <w:r>
        <w:rPr>
          <w:spacing w:val="-2"/>
        </w:rPr>
        <w:t> </w:t>
      </w:r>
      <w:r>
        <w:rPr/>
        <w:t>do fluxo anterógrado excessivo, que</w:t>
      </w:r>
      <w:r>
        <w:rPr>
          <w:spacing w:val="-2"/>
        </w:rPr>
        <w:t> </w:t>
      </w:r>
      <w:r>
        <w:rPr/>
        <w:t>pode</w:t>
      </w:r>
      <w:r>
        <w:rPr>
          <w:spacing w:val="-2"/>
        </w:rPr>
        <w:t> </w:t>
      </w:r>
      <w:r>
        <w:rPr/>
        <w:t>simular EAo, pode</w:t>
      </w:r>
      <w:r>
        <w:rPr>
          <w:spacing w:val="-2"/>
        </w:rPr>
        <w:t> </w:t>
      </w:r>
      <w:r>
        <w:rPr/>
        <w:t>estar presente. A</w:t>
      </w:r>
      <w:r>
        <w:rPr>
          <w:spacing w:val="-2"/>
        </w:rPr>
        <w:t> </w:t>
      </w:r>
      <w:r>
        <w:rPr/>
        <w:t>combinação do sopro de ejeção anterógrado e sopro do fluxo retrógrado insuficiente é chamada de sopro de gangorra.</w:t>
      </w:r>
    </w:p>
    <w:p>
      <w:pPr>
        <w:pStyle w:val="BodyText"/>
        <w:spacing w:before="29"/>
        <w:ind w:left="0" w:firstLine="0"/>
        <w:jc w:val="left"/>
      </w:pPr>
    </w:p>
    <w:p>
      <w:pPr>
        <w:pStyle w:val="Heading7"/>
      </w:pPr>
      <w:r>
        <w:rPr>
          <w:color w:val="242B67"/>
        </w:rPr>
        <w:t>Insuficiência aórtica </w:t>
      </w:r>
      <w:r>
        <w:rPr>
          <w:color w:val="242B67"/>
          <w:spacing w:val="-2"/>
        </w:rPr>
        <w:t>aguda</w:t>
      </w:r>
    </w:p>
    <w:p>
      <w:pPr>
        <w:pStyle w:val="BodyText"/>
        <w:spacing w:line="276" w:lineRule="auto" w:before="126"/>
        <w:ind w:right="488"/>
      </w:pPr>
      <w:r>
        <w:rPr/>
        <w:t>Esses pacientes parecem gravemente enfermos com taquicardia, vasoconstrição periférica grave e cianose e algumas vezes congestão e edema pulmonar. Os sinais periféricos de insuficiência aórtica geralmente não são expressivos. A</w:t>
      </w:r>
      <w:r>
        <w:rPr>
          <w:spacing w:val="-6"/>
        </w:rPr>
        <w:t> </w:t>
      </w:r>
      <w:r>
        <w:rPr/>
        <w:t>pressão</w:t>
      </w:r>
      <w:r>
        <w:rPr>
          <w:spacing w:val="-2"/>
        </w:rPr>
        <w:t> </w:t>
      </w:r>
      <w:r>
        <w:rPr/>
        <w:t>de</w:t>
      </w:r>
      <w:r>
        <w:rPr>
          <w:spacing w:val="-5"/>
        </w:rPr>
        <w:t> </w:t>
      </w:r>
      <w:r>
        <w:rPr/>
        <w:t>pulso</w:t>
      </w:r>
      <w:r>
        <w:rPr>
          <w:spacing w:val="-2"/>
        </w:rPr>
        <w:t> </w:t>
      </w:r>
      <w:r>
        <w:rPr/>
        <w:t>normal pode</w:t>
      </w:r>
      <w:r>
        <w:rPr>
          <w:spacing w:val="-5"/>
        </w:rPr>
        <w:t> </w:t>
      </w:r>
      <w:r>
        <w:rPr/>
        <w:t>levar a</w:t>
      </w:r>
      <w:r>
        <w:rPr>
          <w:spacing w:val="-5"/>
        </w:rPr>
        <w:t> </w:t>
      </w:r>
      <w:r>
        <w:rPr/>
        <w:t>subestimar a</w:t>
      </w:r>
      <w:r>
        <w:rPr>
          <w:spacing w:val="-5"/>
        </w:rPr>
        <w:t> </w:t>
      </w:r>
      <w:r>
        <w:rPr/>
        <w:t>gravidade</w:t>
      </w:r>
      <w:r>
        <w:rPr>
          <w:spacing w:val="-5"/>
        </w:rPr>
        <w:t> </w:t>
      </w:r>
      <w:r>
        <w:rPr/>
        <w:t>da</w:t>
      </w:r>
      <w:r>
        <w:rPr>
          <w:spacing w:val="-5"/>
        </w:rPr>
        <w:t> </w:t>
      </w:r>
      <w:r>
        <w:rPr/>
        <w:t>lesão. O</w:t>
      </w:r>
      <w:r>
        <w:rPr>
          <w:spacing w:val="-6"/>
        </w:rPr>
        <w:t> </w:t>
      </w:r>
      <w:r>
        <w:rPr/>
        <w:t>impulso</w:t>
      </w:r>
      <w:r>
        <w:rPr>
          <w:spacing w:val="-2"/>
        </w:rPr>
        <w:t> </w:t>
      </w:r>
      <w:r>
        <w:rPr/>
        <w:t>do</w:t>
      </w:r>
      <w:r>
        <w:rPr>
          <w:spacing w:val="-2"/>
        </w:rPr>
        <w:t> </w:t>
      </w:r>
      <w:r>
        <w:rPr/>
        <w:t>VE geralmente não se</w:t>
      </w:r>
      <w:r>
        <w:rPr>
          <w:spacing w:val="-1"/>
        </w:rPr>
        <w:t> </w:t>
      </w:r>
      <w:r>
        <w:rPr/>
        <w:t>manifesta. A</w:t>
      </w:r>
      <w:r>
        <w:rPr>
          <w:spacing w:val="-1"/>
        </w:rPr>
        <w:t> </w:t>
      </w:r>
      <w:r>
        <w:rPr/>
        <w:t>B1 em geral é</w:t>
      </w:r>
      <w:r>
        <w:rPr>
          <w:spacing w:val="-1"/>
        </w:rPr>
        <w:t> </w:t>
      </w:r>
      <w:r>
        <w:rPr/>
        <w:t>discreta</w:t>
      </w:r>
      <w:r>
        <w:rPr>
          <w:spacing w:val="-1"/>
        </w:rPr>
        <w:t> </w:t>
      </w:r>
      <w:r>
        <w:rPr/>
        <w:t>ou pode</w:t>
      </w:r>
      <w:r>
        <w:rPr>
          <w:spacing w:val="-1"/>
        </w:rPr>
        <w:t> </w:t>
      </w:r>
      <w:r>
        <w:rPr/>
        <w:t>estar ausente</w:t>
      </w:r>
      <w:r>
        <w:rPr>
          <w:spacing w:val="-1"/>
        </w:rPr>
        <w:t> </w:t>
      </w:r>
      <w:r>
        <w:rPr/>
        <w:t>em função de</w:t>
      </w:r>
      <w:r>
        <w:rPr>
          <w:spacing w:val="-1"/>
        </w:rPr>
        <w:t> </w:t>
      </w:r>
      <w:r>
        <w:rPr/>
        <w:t>fechamento prematuro da</w:t>
      </w:r>
      <w:r>
        <w:rPr>
          <w:spacing w:val="-1"/>
        </w:rPr>
        <w:t> </w:t>
      </w:r>
      <w:r>
        <w:rPr/>
        <w:t>mitral. O componente pulmonar da B2 evidencia hipertensão pulmonar, B3 e quarta bulha (B4) frequentemente estão </w:t>
      </w:r>
      <w:r>
        <w:rPr>
          <w:spacing w:val="-2"/>
        </w:rPr>
        <w:t>presentes.</w:t>
      </w:r>
    </w:p>
    <w:p>
      <w:pPr>
        <w:pStyle w:val="BodyText"/>
        <w:spacing w:before="134"/>
        <w:ind w:left="0" w:firstLine="0"/>
        <w:jc w:val="left"/>
      </w:pPr>
    </w:p>
    <w:p>
      <w:pPr>
        <w:pStyle w:val="Heading5"/>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BodyText"/>
        <w:spacing w:line="276" w:lineRule="auto" w:before="139"/>
        <w:ind w:right="500"/>
      </w:pPr>
      <w:r>
        <w:rPr/>
        <w:t>O diagnóstico é feito pela história rigorosa, exame físico completo com exame cardiológico detalhado. Alguns exames complementares podem auxiliar na avaliação da gravidade da lesão, como ECG, radiografia de tórax, ecodopplercardiograma e, em alguns casos, teste ergométrico.</w:t>
      </w:r>
    </w:p>
    <w:p>
      <w:pPr>
        <w:pStyle w:val="BodyText"/>
        <w:spacing w:before="8"/>
        <w:ind w:left="0" w:firstLine="0"/>
        <w:jc w:val="left"/>
      </w:pPr>
    </w:p>
    <w:p>
      <w:pPr>
        <w:pStyle w:val="Heading7"/>
      </w:pPr>
      <w:r>
        <w:rPr>
          <w:color w:val="242B67"/>
          <w:spacing w:val="-2"/>
        </w:rPr>
        <w:t>Eletrocardiograma</w:t>
      </w:r>
    </w:p>
    <w:p>
      <w:pPr>
        <w:pStyle w:val="BodyText"/>
        <w:spacing w:line="276" w:lineRule="auto" w:before="126"/>
        <w:ind w:right="491"/>
      </w:pPr>
      <w:r>
        <w:rPr/>
        <w:t>O ritmo habitualmente é sinusal. A presença de fibrilação atrial indica valvopatia mitral associada ou comprometimento miocárdico importante. A</w:t>
      </w:r>
      <w:r>
        <w:rPr>
          <w:spacing w:val="-1"/>
        </w:rPr>
        <w:t> </w:t>
      </w:r>
      <w:r>
        <w:rPr/>
        <w:t>onda</w:t>
      </w:r>
      <w:r>
        <w:rPr>
          <w:spacing w:val="-1"/>
        </w:rPr>
        <w:t> </w:t>
      </w:r>
      <w:r>
        <w:rPr/>
        <w:t>P pode</w:t>
      </w:r>
      <w:r>
        <w:rPr>
          <w:spacing w:val="-1"/>
        </w:rPr>
        <w:t> </w:t>
      </w:r>
      <w:r>
        <w:rPr/>
        <w:t>mostrar características normais; contudo, em casos mais avançados, podem ser observados sinais de sobrecarga atrial esquerda. A principal alteração eletrocardiográfica observada no estágio inicial da insuficiência aórtica é a sobrecarga ventricular esquerda do tipo diastólico. Os vetores de 10 e 20 milissegundos, assim como o vetor máximo de QRS, apresentam grande magnitude. Consequentemente, registram-se onda R ampla em V1 e onda Q profunda, acompanhada de onda R de grande amplitude, em</w:t>
      </w:r>
      <w:r>
        <w:rPr>
          <w:spacing w:val="-1"/>
        </w:rPr>
        <w:t> </w:t>
      </w:r>
      <w:r>
        <w:rPr/>
        <w:t>precordiais esquerdas. A</w:t>
      </w:r>
      <w:r>
        <w:rPr>
          <w:spacing w:val="-4"/>
        </w:rPr>
        <w:t> </w:t>
      </w:r>
      <w:r>
        <w:rPr/>
        <w:t>presença</w:t>
      </w:r>
      <w:r>
        <w:rPr>
          <w:spacing w:val="-4"/>
        </w:rPr>
        <w:t> </w:t>
      </w:r>
      <w:r>
        <w:rPr/>
        <w:t>de</w:t>
      </w:r>
      <w:r>
        <w:rPr>
          <w:spacing w:val="-4"/>
        </w:rPr>
        <w:t> </w:t>
      </w:r>
      <w:r>
        <w:rPr/>
        <w:t>onda</w:t>
      </w:r>
      <w:r>
        <w:rPr>
          <w:spacing w:val="-4"/>
        </w:rPr>
        <w:t> </w:t>
      </w:r>
      <w:r>
        <w:rPr/>
        <w:t>T de</w:t>
      </w:r>
      <w:r>
        <w:rPr>
          <w:spacing w:val="-4"/>
        </w:rPr>
        <w:t> </w:t>
      </w:r>
      <w:r>
        <w:rPr/>
        <w:t>grande</w:t>
      </w:r>
      <w:r>
        <w:rPr>
          <w:spacing w:val="-4"/>
        </w:rPr>
        <w:t> </w:t>
      </w:r>
      <w:r>
        <w:rPr/>
        <w:t>magnitude</w:t>
      </w:r>
      <w:r>
        <w:rPr>
          <w:spacing w:val="-4"/>
        </w:rPr>
        <w:t> </w:t>
      </w:r>
      <w:r>
        <w:rPr/>
        <w:t>e</w:t>
      </w:r>
      <w:r>
        <w:rPr>
          <w:spacing w:val="-4"/>
        </w:rPr>
        <w:t> </w:t>
      </w:r>
      <w:r>
        <w:rPr/>
        <w:t>tendendo</w:t>
      </w:r>
      <w:r>
        <w:rPr>
          <w:spacing w:val="-1"/>
        </w:rPr>
        <w:t> </w:t>
      </w:r>
      <w:r>
        <w:rPr/>
        <w:t>a</w:t>
      </w:r>
      <w:r>
        <w:rPr>
          <w:spacing w:val="-4"/>
        </w:rPr>
        <w:t> </w:t>
      </w:r>
      <w:r>
        <w:rPr/>
        <w:t>pontiaguda</w:t>
      </w:r>
      <w:r>
        <w:rPr>
          <w:spacing w:val="-4"/>
        </w:rPr>
        <w:t> </w:t>
      </w:r>
      <w:r>
        <w:rPr/>
        <w:t>em</w:t>
      </w:r>
      <w:r>
        <w:rPr>
          <w:spacing w:val="-1"/>
        </w:rPr>
        <w:t> </w:t>
      </w:r>
      <w:r>
        <w:rPr/>
        <w:t>V5</w:t>
      </w:r>
      <w:r>
        <w:rPr>
          <w:spacing w:val="-1"/>
        </w:rPr>
        <w:t> </w:t>
      </w:r>
      <w:r>
        <w:rPr/>
        <w:t>e V6 é outro sinal característico desse tipo de sobrecarga. A manifestação dos padrões de sobrecarga ventricular esquerda</w:t>
      </w:r>
      <w:r>
        <w:rPr>
          <w:spacing w:val="-4"/>
        </w:rPr>
        <w:t> </w:t>
      </w:r>
      <w:r>
        <w:rPr/>
        <w:t>sistólica</w:t>
      </w:r>
      <w:r>
        <w:rPr>
          <w:spacing w:val="-4"/>
        </w:rPr>
        <w:t> </w:t>
      </w:r>
      <w:r>
        <w:rPr/>
        <w:t>indica</w:t>
      </w:r>
      <w:r>
        <w:rPr>
          <w:spacing w:val="-4"/>
        </w:rPr>
        <w:t> </w:t>
      </w:r>
      <w:r>
        <w:rPr/>
        <w:t>disfunção</w:t>
      </w:r>
      <w:r>
        <w:rPr>
          <w:spacing w:val="-1"/>
        </w:rPr>
        <w:t> </w:t>
      </w:r>
      <w:r>
        <w:rPr/>
        <w:t>valvar importante. Infradesnivelamento</w:t>
      </w:r>
      <w:r>
        <w:rPr>
          <w:spacing w:val="-1"/>
        </w:rPr>
        <w:t> </w:t>
      </w:r>
      <w:r>
        <w:rPr/>
        <w:t>de</w:t>
      </w:r>
      <w:r>
        <w:rPr>
          <w:spacing w:val="-4"/>
        </w:rPr>
        <w:t> </w:t>
      </w:r>
      <w:r>
        <w:rPr/>
        <w:t>ST, inversão</w:t>
      </w:r>
      <w:r>
        <w:rPr>
          <w:spacing w:val="-1"/>
        </w:rPr>
        <w:t> </w:t>
      </w:r>
      <w:r>
        <w:rPr/>
        <w:t>de</w:t>
      </w:r>
      <w:r>
        <w:rPr>
          <w:spacing w:val="-4"/>
        </w:rPr>
        <w:t> </w:t>
      </w:r>
      <w:r>
        <w:rPr/>
        <w:t>onda</w:t>
      </w:r>
      <w:r>
        <w:rPr>
          <w:spacing w:val="-4"/>
        </w:rPr>
        <w:t> </w:t>
      </w:r>
      <w:r>
        <w:rPr/>
        <w:t>T em</w:t>
      </w:r>
      <w:r>
        <w:rPr>
          <w:spacing w:val="-1"/>
        </w:rPr>
        <w:t> </w:t>
      </w:r>
      <w:r>
        <w:rPr/>
        <w:t>V5</w:t>
      </w:r>
      <w:r>
        <w:rPr>
          <w:spacing w:val="-1"/>
        </w:rPr>
        <w:t> </w:t>
      </w:r>
      <w:r>
        <w:rPr/>
        <w:t>e</w:t>
      </w:r>
      <w:r>
        <w:rPr>
          <w:spacing w:val="-4"/>
        </w:rPr>
        <w:t> </w:t>
      </w:r>
      <w:r>
        <w:rPr/>
        <w:t>V6, e desaparecimento do vetor septal, podem, então, ser registrados. O bloqueio de ramo e os bloqueios divisionais esquerdos podem ser vistos em pacientes idosos.</w:t>
      </w:r>
    </w:p>
    <w:p>
      <w:pPr>
        <w:pStyle w:val="BodyText"/>
        <w:spacing w:before="26"/>
        <w:ind w:left="0" w:firstLine="0"/>
        <w:jc w:val="left"/>
      </w:pPr>
    </w:p>
    <w:p>
      <w:pPr>
        <w:pStyle w:val="Heading7"/>
      </w:pPr>
      <w:r>
        <w:rPr>
          <w:color w:val="242B67"/>
        </w:rPr>
        <w:t>Radiografia de </w:t>
      </w:r>
      <w:r>
        <w:rPr>
          <w:color w:val="242B67"/>
          <w:spacing w:val="-2"/>
        </w:rPr>
        <w:t>tórax</w:t>
      </w:r>
    </w:p>
    <w:p>
      <w:pPr>
        <w:pStyle w:val="BodyText"/>
        <w:spacing w:line="276" w:lineRule="auto" w:before="126"/>
        <w:ind w:right="497"/>
      </w:pPr>
      <w:r>
        <w:rPr/>
        <w:t>Na insuficiência aórtica compensada, sem outras valvopatias associadas, não se observam alterações radiológicas da vasculatura pulmonar. O pulmão tem transparência normal, sem sinais de congestão vascular. O tamanho</w:t>
      </w:r>
      <w:r>
        <w:rPr>
          <w:spacing w:val="-5"/>
        </w:rPr>
        <w:t> </w:t>
      </w:r>
      <w:r>
        <w:rPr/>
        <w:t>do</w:t>
      </w:r>
      <w:r>
        <w:rPr>
          <w:spacing w:val="-5"/>
        </w:rPr>
        <w:t> </w:t>
      </w:r>
      <w:r>
        <w:rPr/>
        <w:t>coração</w:t>
      </w:r>
      <w:r>
        <w:rPr>
          <w:spacing w:val="-5"/>
        </w:rPr>
        <w:t> </w:t>
      </w:r>
      <w:r>
        <w:rPr/>
        <w:t>é</w:t>
      </w:r>
      <w:r>
        <w:rPr>
          <w:spacing w:val="-7"/>
        </w:rPr>
        <w:t> </w:t>
      </w:r>
      <w:r>
        <w:rPr/>
        <w:t>em</w:t>
      </w:r>
      <w:r>
        <w:rPr>
          <w:spacing w:val="-5"/>
        </w:rPr>
        <w:t> </w:t>
      </w:r>
      <w:r>
        <w:rPr/>
        <w:t>função</w:t>
      </w:r>
      <w:r>
        <w:rPr>
          <w:spacing w:val="-5"/>
        </w:rPr>
        <w:t> </w:t>
      </w:r>
      <w:r>
        <w:rPr/>
        <w:t>da</w:t>
      </w:r>
      <w:r>
        <w:rPr>
          <w:spacing w:val="-7"/>
        </w:rPr>
        <w:t> </w:t>
      </w:r>
      <w:r>
        <w:rPr/>
        <w:t>duração, da</w:t>
      </w:r>
      <w:r>
        <w:rPr>
          <w:spacing w:val="-7"/>
        </w:rPr>
        <w:t> </w:t>
      </w:r>
      <w:r>
        <w:rPr/>
        <w:t>gravidade</w:t>
      </w:r>
      <w:r>
        <w:rPr>
          <w:spacing w:val="-7"/>
        </w:rPr>
        <w:t> </w:t>
      </w:r>
      <w:r>
        <w:rPr/>
        <w:t>da</w:t>
      </w:r>
      <w:r>
        <w:rPr>
          <w:spacing w:val="-7"/>
        </w:rPr>
        <w:t> </w:t>
      </w:r>
      <w:r>
        <w:rPr/>
        <w:t>insuficiência</w:t>
      </w:r>
      <w:r>
        <w:rPr>
          <w:spacing w:val="-7"/>
        </w:rPr>
        <w:t> </w:t>
      </w:r>
      <w:r>
        <w:rPr/>
        <w:t>aórtica</w:t>
      </w:r>
      <w:r>
        <w:rPr>
          <w:spacing w:val="-7"/>
        </w:rPr>
        <w:t> </w:t>
      </w:r>
      <w:r>
        <w:rPr/>
        <w:t>e</w:t>
      </w:r>
      <w:r>
        <w:rPr>
          <w:spacing w:val="-7"/>
        </w:rPr>
        <w:t> </w:t>
      </w:r>
      <w:r>
        <w:rPr/>
        <w:t>do</w:t>
      </w:r>
      <w:r>
        <w:rPr>
          <w:spacing w:val="-5"/>
        </w:rPr>
        <w:t> </w:t>
      </w:r>
      <w:r>
        <w:rPr/>
        <w:t>estado</w:t>
      </w:r>
      <w:r>
        <w:rPr>
          <w:spacing w:val="-5"/>
        </w:rPr>
        <w:t> </w:t>
      </w:r>
      <w:r>
        <w:rPr/>
        <w:t>da</w:t>
      </w:r>
      <w:r>
        <w:rPr>
          <w:spacing w:val="-7"/>
        </w:rPr>
        <w:t> </w:t>
      </w:r>
      <w:r>
        <w:rPr/>
        <w:t>função</w:t>
      </w:r>
      <w:r>
        <w:rPr>
          <w:spacing w:val="-5"/>
        </w:rPr>
        <w:t> </w:t>
      </w:r>
      <w:r>
        <w:rPr/>
        <w:t>ventricular esquerda. A dilatação progressiva das vias de entrada e de saída do VE confere uma forma característica à silhueta cardíaca. Na projeção posteroanterior, observam-se alargamento e abaulamento do arco inferior esquerdo e o coração desloca-se para baixo e para a esquerda. Em projeção oblíqua anterior esquerda, a via de entrada alongada projeta-se sobre a imagem da coluna vertebral dorsal. Com o progredir da lesão aórtica, aumenta a cardiomegalia em projeção oblíqua anterior esquerda, o contorno do VE ultrapassa a coluna vertebral.</w:t>
      </w:r>
    </w:p>
    <w:p>
      <w:pPr>
        <w:pStyle w:val="BodyText"/>
        <w:spacing w:line="276" w:lineRule="auto" w:before="66"/>
        <w:ind w:right="491"/>
      </w:pPr>
      <w:r>
        <w:rPr/>
        <w:t>No aneurisma dissecante pode-se encontrar alargamento mediastinal, por dilatação da aorta, e pequena ou moderada dilatação do VE, associados a pequeno derrame pleural esquerdo. A calcificação de valva aórtica não é frequente em pacientes com insuficiência isolada, porém é comum naqueles com EAo associada. O aumento evidente de átrio esquerdo deve sugerir presença de valvopatia mitral associada.</w:t>
      </w:r>
    </w:p>
    <w:p>
      <w:pPr>
        <w:pStyle w:val="BodyText"/>
        <w:spacing w:before="8"/>
        <w:ind w:left="0" w:firstLine="0"/>
        <w:jc w:val="left"/>
      </w:pPr>
    </w:p>
    <w:p>
      <w:pPr>
        <w:pStyle w:val="Heading7"/>
      </w:pPr>
      <w:r>
        <w:rPr>
          <w:color w:val="242B67"/>
          <w:spacing w:val="-2"/>
        </w:rPr>
        <w:t>Ecodopplercardiograma</w:t>
      </w:r>
    </w:p>
    <w:p>
      <w:pPr>
        <w:pStyle w:val="BodyText"/>
        <w:spacing w:line="276" w:lineRule="auto" w:before="142"/>
        <w:ind w:right="491"/>
      </w:pPr>
      <w:r>
        <w:rPr/>
        <w:t>Na insuficiência aórtica crônica compensada, o diâmetro diastólico final do VE, a extensão do encurtamento sistólico</w:t>
      </w:r>
      <w:r>
        <w:rPr>
          <w:spacing w:val="27"/>
        </w:rPr>
        <w:t> </w:t>
      </w:r>
      <w:r>
        <w:rPr/>
        <w:t>e</w:t>
      </w:r>
      <w:r>
        <w:rPr>
          <w:spacing w:val="24"/>
        </w:rPr>
        <w:t> </w:t>
      </w:r>
      <w:r>
        <w:rPr/>
        <w:t>a</w:t>
      </w:r>
      <w:r>
        <w:rPr>
          <w:spacing w:val="24"/>
        </w:rPr>
        <w:t> </w:t>
      </w:r>
      <w:r>
        <w:rPr/>
        <w:t>movimentação</w:t>
      </w:r>
      <w:r>
        <w:rPr>
          <w:spacing w:val="27"/>
        </w:rPr>
        <w:t> </w:t>
      </w:r>
      <w:r>
        <w:rPr/>
        <w:t>do</w:t>
      </w:r>
      <w:r>
        <w:rPr>
          <w:spacing w:val="27"/>
        </w:rPr>
        <w:t> </w:t>
      </w:r>
      <w:r>
        <w:rPr/>
        <w:t>septo</w:t>
      </w:r>
      <w:r>
        <w:rPr>
          <w:spacing w:val="27"/>
        </w:rPr>
        <w:t> </w:t>
      </w:r>
      <w:r>
        <w:rPr/>
        <w:t>interventricular</w:t>
      </w:r>
      <w:r>
        <w:rPr>
          <w:spacing w:val="33"/>
        </w:rPr>
        <w:t> </w:t>
      </w:r>
      <w:r>
        <w:rPr/>
        <w:t>estão</w:t>
      </w:r>
      <w:r>
        <w:rPr>
          <w:spacing w:val="27"/>
        </w:rPr>
        <w:t> </w:t>
      </w:r>
      <w:r>
        <w:rPr/>
        <w:t>aumentados;</w:t>
      </w:r>
      <w:r>
        <w:rPr>
          <w:spacing w:val="30"/>
        </w:rPr>
        <w:t> </w:t>
      </w:r>
      <w:r>
        <w:rPr/>
        <w:t>entretanto;</w:t>
      </w:r>
      <w:r>
        <w:rPr>
          <w:spacing w:val="30"/>
        </w:rPr>
        <w:t> </w:t>
      </w:r>
      <w:r>
        <w:rPr/>
        <w:t>na</w:t>
      </w:r>
      <w:r>
        <w:rPr>
          <w:spacing w:val="24"/>
        </w:rPr>
        <w:t> </w:t>
      </w:r>
      <w:r>
        <w:rPr/>
        <w:t>presença</w:t>
      </w:r>
      <w:r>
        <w:rPr>
          <w:spacing w:val="24"/>
        </w:rPr>
        <w:t> </w:t>
      </w:r>
      <w:r>
        <w:rPr/>
        <w:t>de</w:t>
      </w:r>
      <w:r>
        <w:rPr>
          <w:spacing w:val="24"/>
        </w:rPr>
        <w:t> </w:t>
      </w:r>
      <w:r>
        <w:rPr/>
        <w:t>insuficiência</w:t>
      </w:r>
    </w:p>
    <w:p>
      <w:pPr>
        <w:pStyle w:val="BodyText"/>
        <w:spacing w:after="0" w:line="276" w:lineRule="auto"/>
        <w:sectPr>
          <w:pgSz w:w="11900" w:h="16840"/>
          <w:pgMar w:top="200" w:bottom="280" w:left="566" w:right="141"/>
        </w:sectPr>
      </w:pPr>
    </w:p>
    <w:p>
      <w:pPr>
        <w:pStyle w:val="BodyText"/>
        <w:spacing w:line="276" w:lineRule="auto" w:before="74"/>
        <w:ind w:right="497" w:firstLine="0"/>
      </w:pPr>
      <w:r>
        <w:rPr/>
        <w:t>ventricular, o encurtamento é normal ou até reduzido. Estudos seriados podem detectar alterações precoces na função</w:t>
      </w:r>
      <w:r>
        <w:rPr>
          <w:spacing w:val="-7"/>
        </w:rPr>
        <w:t> </w:t>
      </w:r>
      <w:r>
        <w:rPr/>
        <w:t>ventricular</w:t>
      </w:r>
      <w:r>
        <w:rPr>
          <w:spacing w:val="-1"/>
        </w:rPr>
        <w:t> </w:t>
      </w:r>
      <w:r>
        <w:rPr/>
        <w:t>esquerda, conforme</w:t>
      </w:r>
      <w:r>
        <w:rPr>
          <w:spacing w:val="-9"/>
        </w:rPr>
        <w:t> </w:t>
      </w:r>
      <w:r>
        <w:rPr/>
        <w:t>refletido</w:t>
      </w:r>
      <w:r>
        <w:rPr>
          <w:spacing w:val="-7"/>
        </w:rPr>
        <w:t> </w:t>
      </w:r>
      <w:r>
        <w:rPr/>
        <w:t>no</w:t>
      </w:r>
      <w:r>
        <w:rPr>
          <w:spacing w:val="-7"/>
        </w:rPr>
        <w:t> </w:t>
      </w:r>
      <w:r>
        <w:rPr/>
        <w:t>aumento</w:t>
      </w:r>
      <w:r>
        <w:rPr>
          <w:spacing w:val="-7"/>
        </w:rPr>
        <w:t> </w:t>
      </w:r>
      <w:r>
        <w:rPr/>
        <w:t>dos diâmetros sistólicos e</w:t>
      </w:r>
      <w:r>
        <w:rPr>
          <w:spacing w:val="-9"/>
        </w:rPr>
        <w:t> </w:t>
      </w:r>
      <w:r>
        <w:rPr/>
        <w:t>diastólicos finais, bem</w:t>
      </w:r>
      <w:r>
        <w:rPr>
          <w:spacing w:val="-7"/>
        </w:rPr>
        <w:t> </w:t>
      </w:r>
      <w:r>
        <w:rPr/>
        <w:t>como diminuição do encurtamento fracional. Essa</w:t>
      </w:r>
      <w:r>
        <w:rPr>
          <w:spacing w:val="-1"/>
        </w:rPr>
        <w:t> </w:t>
      </w:r>
      <w:r>
        <w:rPr/>
        <w:t>avaliação pode</w:t>
      </w:r>
      <w:r>
        <w:rPr>
          <w:spacing w:val="-1"/>
        </w:rPr>
        <w:t> </w:t>
      </w:r>
      <w:r>
        <w:rPr/>
        <w:t>ajudar na</w:t>
      </w:r>
      <w:r>
        <w:rPr>
          <w:spacing w:val="-1"/>
        </w:rPr>
        <w:t> </w:t>
      </w:r>
      <w:r>
        <w:rPr/>
        <w:t>detecção do momento correto para</w:t>
      </w:r>
      <w:r>
        <w:rPr>
          <w:spacing w:val="-1"/>
        </w:rPr>
        <w:t> </w:t>
      </w:r>
      <w:r>
        <w:rPr/>
        <w:t>indicação cirúrgica. A medida do diâmetro diastólico final dá um bom prognóstico. Quando &lt; 40 mm a mortalidade é 0% ao ano, entre 40 e 50 mm é de 6% ao ano e &gt; 50 mm é de 19 mm ao ano. Insuficiência aórtica aguda – redução da amplitude do movimento de abertura da valva mitral, fechamento da abertura tardia da mitral. As dimensões diastólicas finais de VE não estão muito aumentadas e a fração e o encurtamento são normais. O Doppler colorido associado ao sistema</w:t>
      </w:r>
      <w:r>
        <w:rPr>
          <w:spacing w:val="-2"/>
        </w:rPr>
        <w:t> </w:t>
      </w:r>
      <w:r>
        <w:rPr/>
        <w:t>sensibiliza</w:t>
      </w:r>
      <w:r>
        <w:rPr>
          <w:spacing w:val="-2"/>
        </w:rPr>
        <w:t> </w:t>
      </w:r>
      <w:r>
        <w:rPr/>
        <w:t>o exame, de</w:t>
      </w:r>
      <w:r>
        <w:rPr>
          <w:spacing w:val="-2"/>
        </w:rPr>
        <w:t> </w:t>
      </w:r>
      <w:r>
        <w:rPr/>
        <w:t>modo que</w:t>
      </w:r>
      <w:r>
        <w:rPr>
          <w:spacing w:val="-2"/>
        </w:rPr>
        <w:t> </w:t>
      </w:r>
      <w:r>
        <w:rPr/>
        <w:t>regurgitações insignificantes passam a</w:t>
      </w:r>
      <w:r>
        <w:rPr>
          <w:spacing w:val="-2"/>
        </w:rPr>
        <w:t> </w:t>
      </w:r>
      <w:r>
        <w:rPr/>
        <w:t>ser detectadas. Essa técnica fornece também uma estimativa do fluxo regurgitado efetivo e do tamanho do orifício valvar. A ecocardiografia pode mostrar espessamento das cúspides, prolapso da valva, folheto frouxo, vegetações, dilatação da raiz da aorta. Vibrações diastólicas de alta frequência do folheto anterior de valva mitral durante as diástoles podem ser observadas mesmo na insuficiência aórtica discreta.</w:t>
      </w:r>
    </w:p>
    <w:p>
      <w:pPr>
        <w:pStyle w:val="BodyText"/>
        <w:spacing w:before="21"/>
        <w:ind w:left="0" w:firstLine="0"/>
        <w:jc w:val="left"/>
      </w:pPr>
    </w:p>
    <w:p>
      <w:pPr>
        <w:pStyle w:val="Heading7"/>
        <w:spacing w:before="1"/>
      </w:pPr>
      <w:r>
        <w:rPr>
          <w:color w:val="242B67"/>
        </w:rPr>
        <w:t>Teste ergométrico isolado ou </w:t>
      </w:r>
      <w:r>
        <w:rPr>
          <w:color w:val="242B67"/>
          <w:spacing w:val="-2"/>
        </w:rPr>
        <w:t>associado</w:t>
      </w:r>
    </w:p>
    <w:p>
      <w:pPr>
        <w:pStyle w:val="BodyText"/>
        <w:spacing w:line="276" w:lineRule="auto" w:before="126"/>
        <w:ind w:right="491"/>
      </w:pPr>
      <w:r>
        <w:rPr/>
        <w:t>Este exame está sendo cada vez mais utilizado em valvopatas, auxiliando na sua avaliação, precipitando alterações ou apenas sintomas de descompensação cardíaca, não detectados em repouso. Nos casos em que existe dúvida quanto à indicação do tratamento cirúrgico, ou seja, nos indivíduos assintomáticos com volume sistólico e diastólico</w:t>
      </w:r>
      <w:r>
        <w:rPr>
          <w:spacing w:val="-6"/>
        </w:rPr>
        <w:t> </w:t>
      </w:r>
      <w:r>
        <w:rPr/>
        <w:t>elevados, pode-se</w:t>
      </w:r>
      <w:r>
        <w:rPr>
          <w:spacing w:val="-9"/>
        </w:rPr>
        <w:t> </w:t>
      </w:r>
      <w:r>
        <w:rPr/>
        <w:t>fazer</w:t>
      </w:r>
      <w:r>
        <w:rPr>
          <w:spacing w:val="-1"/>
        </w:rPr>
        <w:t> </w:t>
      </w:r>
      <w:r>
        <w:rPr/>
        <w:t>melhor</w:t>
      </w:r>
      <w:r>
        <w:rPr>
          <w:spacing w:val="-1"/>
        </w:rPr>
        <w:t> </w:t>
      </w:r>
      <w:r>
        <w:rPr/>
        <w:t>avaliação</w:t>
      </w:r>
      <w:r>
        <w:rPr>
          <w:spacing w:val="-6"/>
        </w:rPr>
        <w:t> </w:t>
      </w:r>
      <w:r>
        <w:rPr/>
        <w:t>com</w:t>
      </w:r>
      <w:r>
        <w:rPr>
          <w:spacing w:val="-6"/>
        </w:rPr>
        <w:t> </w:t>
      </w:r>
      <w:r>
        <w:rPr/>
        <w:t>o</w:t>
      </w:r>
      <w:r>
        <w:rPr>
          <w:spacing w:val="-6"/>
        </w:rPr>
        <w:t> </w:t>
      </w:r>
      <w:r>
        <w:rPr/>
        <w:t>teste</w:t>
      </w:r>
      <w:r>
        <w:rPr>
          <w:spacing w:val="-9"/>
        </w:rPr>
        <w:t> </w:t>
      </w:r>
      <w:r>
        <w:rPr/>
        <w:t>ergométrico. O</w:t>
      </w:r>
      <w:r>
        <w:rPr>
          <w:spacing w:val="-9"/>
        </w:rPr>
        <w:t> </w:t>
      </w:r>
      <w:r>
        <w:rPr/>
        <w:t>ecocardiograma</w:t>
      </w:r>
      <w:r>
        <w:rPr>
          <w:spacing w:val="-9"/>
        </w:rPr>
        <w:t> </w:t>
      </w:r>
      <w:r>
        <w:rPr/>
        <w:t>de</w:t>
      </w:r>
      <w:r>
        <w:rPr>
          <w:spacing w:val="-9"/>
        </w:rPr>
        <w:t> </w:t>
      </w:r>
      <w:r>
        <w:rPr/>
        <w:t>estresse</w:t>
      </w:r>
      <w:r>
        <w:rPr>
          <w:spacing w:val="-9"/>
        </w:rPr>
        <w:t> </w:t>
      </w:r>
      <w:r>
        <w:rPr/>
        <w:t>também pode auxiliar no estudo, verificando-se durante a frequência cardíaca elevada se o diâmetro diastólico final, a extensão</w:t>
      </w:r>
      <w:r>
        <w:rPr>
          <w:spacing w:val="-9"/>
        </w:rPr>
        <w:t> </w:t>
      </w:r>
      <w:r>
        <w:rPr/>
        <w:t>do</w:t>
      </w:r>
      <w:r>
        <w:rPr>
          <w:spacing w:val="-9"/>
        </w:rPr>
        <w:t> </w:t>
      </w:r>
      <w:r>
        <w:rPr/>
        <w:t>encurtamento</w:t>
      </w:r>
      <w:r>
        <w:rPr>
          <w:spacing w:val="-9"/>
        </w:rPr>
        <w:t> </w:t>
      </w:r>
      <w:r>
        <w:rPr/>
        <w:t>sistólico</w:t>
      </w:r>
      <w:r>
        <w:rPr>
          <w:spacing w:val="-9"/>
        </w:rPr>
        <w:t> </w:t>
      </w:r>
      <w:r>
        <w:rPr/>
        <w:t>e</w:t>
      </w:r>
      <w:r>
        <w:rPr>
          <w:spacing w:val="-11"/>
        </w:rPr>
        <w:t> </w:t>
      </w:r>
      <w:r>
        <w:rPr/>
        <w:t>o</w:t>
      </w:r>
      <w:r>
        <w:rPr>
          <w:spacing w:val="-9"/>
        </w:rPr>
        <w:t> </w:t>
      </w:r>
      <w:r>
        <w:rPr/>
        <w:t>débito</w:t>
      </w:r>
      <w:r>
        <w:rPr>
          <w:spacing w:val="-9"/>
        </w:rPr>
        <w:t> </w:t>
      </w:r>
      <w:r>
        <w:rPr/>
        <w:t>cardíaco</w:t>
      </w:r>
      <w:r>
        <w:rPr>
          <w:spacing w:val="-9"/>
        </w:rPr>
        <w:t> </w:t>
      </w:r>
      <w:r>
        <w:rPr/>
        <w:t>conseguem</w:t>
      </w:r>
      <w:r>
        <w:rPr>
          <w:spacing w:val="-9"/>
        </w:rPr>
        <w:t> </w:t>
      </w:r>
      <w:r>
        <w:rPr/>
        <w:t>manter-se</w:t>
      </w:r>
      <w:r>
        <w:rPr>
          <w:spacing w:val="-11"/>
        </w:rPr>
        <w:t> </w:t>
      </w:r>
      <w:r>
        <w:rPr/>
        <w:t>adequados,</w:t>
      </w:r>
      <w:r>
        <w:rPr>
          <w:spacing w:val="-1"/>
        </w:rPr>
        <w:t> </w:t>
      </w:r>
      <w:r>
        <w:rPr/>
        <w:t>avaliando,</w:t>
      </w:r>
      <w:r>
        <w:rPr>
          <w:spacing w:val="-1"/>
        </w:rPr>
        <w:t> </w:t>
      </w:r>
      <w:r>
        <w:rPr/>
        <w:t>assim,</w:t>
      </w:r>
      <w:r>
        <w:rPr>
          <w:spacing w:val="-1"/>
        </w:rPr>
        <w:t> </w:t>
      </w:r>
      <w:r>
        <w:rPr/>
        <w:t>a</w:t>
      </w:r>
      <w:r>
        <w:rPr>
          <w:spacing w:val="-11"/>
        </w:rPr>
        <w:t> </w:t>
      </w:r>
      <w:r>
        <w:rPr/>
        <w:t>reserva miocárdica. A decisão cirúrgica é baseada em sintomas, disfunção ventricular sistólica e tamanho do VE. Como a fração de ejeção é um índice confiável da função ventricular esquerda na insuficiência aórtica, a decisão cirúrgica está baseada nesse parâmetro e o teste de esforço geralmente não é necessário, a não ser que existam dados conflitantes</w:t>
      </w:r>
      <w:r>
        <w:rPr>
          <w:spacing w:val="-2"/>
        </w:rPr>
        <w:t> </w:t>
      </w:r>
      <w:r>
        <w:rPr/>
        <w:t>entre</w:t>
      </w:r>
      <w:r>
        <w:rPr>
          <w:spacing w:val="-12"/>
        </w:rPr>
        <w:t> </w:t>
      </w:r>
      <w:r>
        <w:rPr/>
        <w:t>sintomas</w:t>
      </w:r>
      <w:r>
        <w:rPr>
          <w:spacing w:val="-2"/>
        </w:rPr>
        <w:t> </w:t>
      </w:r>
      <w:r>
        <w:rPr/>
        <w:t>e</w:t>
      </w:r>
      <w:r>
        <w:rPr>
          <w:spacing w:val="-12"/>
        </w:rPr>
        <w:t> </w:t>
      </w:r>
      <w:r>
        <w:rPr/>
        <w:t>alterações</w:t>
      </w:r>
      <w:r>
        <w:rPr>
          <w:spacing w:val="-2"/>
        </w:rPr>
        <w:t> </w:t>
      </w:r>
      <w:r>
        <w:rPr/>
        <w:t>hemodinâmicas.</w:t>
      </w:r>
      <w:r>
        <w:rPr>
          <w:spacing w:val="-2"/>
        </w:rPr>
        <w:t> </w:t>
      </w:r>
      <w:r>
        <w:rPr/>
        <w:t>O</w:t>
      </w:r>
      <w:r>
        <w:rPr>
          <w:spacing w:val="-12"/>
        </w:rPr>
        <w:t> </w:t>
      </w:r>
      <w:r>
        <w:rPr/>
        <w:t>teste</w:t>
      </w:r>
      <w:r>
        <w:rPr>
          <w:spacing w:val="-12"/>
        </w:rPr>
        <w:t> </w:t>
      </w:r>
      <w:r>
        <w:rPr/>
        <w:t>de</w:t>
      </w:r>
      <w:r>
        <w:rPr>
          <w:spacing w:val="-12"/>
        </w:rPr>
        <w:t> </w:t>
      </w:r>
      <w:r>
        <w:rPr/>
        <w:t>esforço</w:t>
      </w:r>
      <w:r>
        <w:rPr>
          <w:spacing w:val="-9"/>
        </w:rPr>
        <w:t> </w:t>
      </w:r>
      <w:r>
        <w:rPr/>
        <w:t>pode</w:t>
      </w:r>
      <w:r>
        <w:rPr>
          <w:spacing w:val="-12"/>
        </w:rPr>
        <w:t> </w:t>
      </w:r>
      <w:r>
        <w:rPr/>
        <w:t>ser</w:t>
      </w:r>
      <w:r>
        <w:rPr>
          <w:spacing w:val="-4"/>
        </w:rPr>
        <w:t> </w:t>
      </w:r>
      <w:r>
        <w:rPr/>
        <w:t>utilizado</w:t>
      </w:r>
      <w:r>
        <w:rPr>
          <w:spacing w:val="-9"/>
        </w:rPr>
        <w:t> </w:t>
      </w:r>
      <w:r>
        <w:rPr/>
        <w:t>para</w:t>
      </w:r>
      <w:r>
        <w:rPr>
          <w:spacing w:val="-12"/>
        </w:rPr>
        <w:t> </w:t>
      </w:r>
      <w:r>
        <w:rPr/>
        <w:t>acompanhamento clínico da terapia utilizada.</w:t>
      </w:r>
    </w:p>
    <w:p>
      <w:pPr>
        <w:pStyle w:val="BodyText"/>
        <w:spacing w:before="9"/>
        <w:ind w:left="0" w:firstLine="0"/>
        <w:jc w:val="left"/>
      </w:pPr>
    </w:p>
    <w:p>
      <w:pPr>
        <w:pStyle w:val="Heading7"/>
        <w:spacing w:before="1"/>
      </w:pPr>
      <w:r>
        <w:rPr>
          <w:color w:val="242B67"/>
        </w:rPr>
        <w:t>Cateterismo </w:t>
      </w:r>
      <w:r>
        <w:rPr>
          <w:color w:val="242B67"/>
          <w:spacing w:val="-2"/>
        </w:rPr>
        <w:t>cardíaco</w:t>
      </w:r>
    </w:p>
    <w:p>
      <w:pPr>
        <w:pStyle w:val="BodyText"/>
        <w:spacing w:line="276" w:lineRule="auto" w:before="142"/>
        <w:ind w:right="491"/>
      </w:pPr>
      <w:r>
        <w:rPr/>
        <w:t>Não é necessário para o diagnóstico e conduta na insuficiência aórtica, a não ser em casos de dúvida a respeito da gravidade da lesão ou necessidade de avaliação das coronárias.</w:t>
      </w:r>
    </w:p>
    <w:p>
      <w:pPr>
        <w:pStyle w:val="BodyText"/>
        <w:spacing w:before="133"/>
        <w:ind w:left="0" w:firstLine="0"/>
        <w:jc w:val="left"/>
      </w:pPr>
    </w:p>
    <w:p>
      <w:pPr>
        <w:pStyle w:val="Heading5"/>
        <w:spacing w:before="1"/>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22"/>
        <w:ind w:right="491"/>
      </w:pPr>
      <w:r>
        <w:rPr/>
        <w:t>Pacientes assintomáticos com dimensões cardíacas normais ou ligeiramente</w:t>
      </w:r>
      <w:r>
        <w:rPr>
          <w:spacing w:val="-2"/>
        </w:rPr>
        <w:t> </w:t>
      </w:r>
      <w:r>
        <w:rPr/>
        <w:t>alteradas não requerem tratamento medicamentoso, mas devem fazer acompanhamento clínico com ecocardiografia e profilaxia para endocardite. Orientações</w:t>
      </w:r>
      <w:r>
        <w:rPr>
          <w:spacing w:val="-2"/>
        </w:rPr>
        <w:t> </w:t>
      </w:r>
      <w:r>
        <w:rPr/>
        <w:t>gerais,</w:t>
      </w:r>
      <w:r>
        <w:rPr>
          <w:spacing w:val="-2"/>
        </w:rPr>
        <w:t> </w:t>
      </w:r>
      <w:r>
        <w:rPr/>
        <w:t>como</w:t>
      </w:r>
      <w:r>
        <w:rPr>
          <w:spacing w:val="-9"/>
        </w:rPr>
        <w:t> </w:t>
      </w:r>
      <w:r>
        <w:rPr/>
        <w:t>dieta</w:t>
      </w:r>
      <w:r>
        <w:rPr>
          <w:spacing w:val="-11"/>
        </w:rPr>
        <w:t> </w:t>
      </w:r>
      <w:r>
        <w:rPr/>
        <w:t>pobre</w:t>
      </w:r>
      <w:r>
        <w:rPr>
          <w:spacing w:val="-11"/>
        </w:rPr>
        <w:t> </w:t>
      </w:r>
      <w:r>
        <w:rPr/>
        <w:t>em</w:t>
      </w:r>
      <w:r>
        <w:rPr>
          <w:spacing w:val="-9"/>
        </w:rPr>
        <w:t> </w:t>
      </w:r>
      <w:r>
        <w:rPr/>
        <w:t>sódio</w:t>
      </w:r>
      <w:r>
        <w:rPr>
          <w:spacing w:val="-9"/>
        </w:rPr>
        <w:t> </w:t>
      </w:r>
      <w:r>
        <w:rPr/>
        <w:t>e</w:t>
      </w:r>
      <w:r>
        <w:rPr>
          <w:spacing w:val="-11"/>
        </w:rPr>
        <w:t> </w:t>
      </w:r>
      <w:r>
        <w:rPr/>
        <w:t>manutenção</w:t>
      </w:r>
      <w:r>
        <w:rPr>
          <w:spacing w:val="-9"/>
        </w:rPr>
        <w:t> </w:t>
      </w:r>
      <w:r>
        <w:rPr/>
        <w:t>do</w:t>
      </w:r>
      <w:r>
        <w:rPr>
          <w:spacing w:val="-9"/>
        </w:rPr>
        <w:t> </w:t>
      </w:r>
      <w:r>
        <w:rPr/>
        <w:t>peso</w:t>
      </w:r>
      <w:r>
        <w:rPr>
          <w:spacing w:val="-9"/>
        </w:rPr>
        <w:t> </w:t>
      </w:r>
      <w:r>
        <w:rPr/>
        <w:t>corporal</w:t>
      </w:r>
      <w:r>
        <w:rPr>
          <w:spacing w:val="-7"/>
        </w:rPr>
        <w:t> </w:t>
      </w:r>
      <w:r>
        <w:rPr/>
        <w:t>ideal,</w:t>
      </w:r>
      <w:r>
        <w:rPr>
          <w:spacing w:val="-2"/>
        </w:rPr>
        <w:t> </w:t>
      </w:r>
      <w:r>
        <w:rPr/>
        <w:t>são</w:t>
      </w:r>
      <w:r>
        <w:rPr>
          <w:spacing w:val="-9"/>
        </w:rPr>
        <w:t> </w:t>
      </w:r>
      <w:r>
        <w:rPr/>
        <w:t>recomendadas.</w:t>
      </w:r>
      <w:r>
        <w:rPr>
          <w:spacing w:val="-2"/>
        </w:rPr>
        <w:t> </w:t>
      </w:r>
      <w:r>
        <w:rPr/>
        <w:t>A</w:t>
      </w:r>
      <w:r>
        <w:rPr>
          <w:spacing w:val="-11"/>
        </w:rPr>
        <w:t> </w:t>
      </w:r>
      <w:r>
        <w:rPr/>
        <w:t>atividade física não precisa ser limitada, porém exercícios competitivos devem ser evitados. Pacientes assintomáticos, com aumento importante das dimensões do VE, devem fazer uso de digitálicos, mesmo que em ritmo sinusal.</w:t>
      </w:r>
    </w:p>
    <w:p>
      <w:pPr>
        <w:pStyle w:val="BodyText"/>
        <w:spacing w:line="276" w:lineRule="auto"/>
        <w:ind w:right="488"/>
      </w:pPr>
      <w:r>
        <w:rPr/>
        <w:t>Os</w:t>
      </w:r>
      <w:r>
        <w:rPr>
          <w:spacing w:val="-4"/>
        </w:rPr>
        <w:t> </w:t>
      </w:r>
      <w:r>
        <w:rPr/>
        <w:t>vasodilatadores</w:t>
      </w:r>
      <w:r>
        <w:rPr>
          <w:spacing w:val="-4"/>
        </w:rPr>
        <w:t> </w:t>
      </w:r>
      <w:r>
        <w:rPr/>
        <w:t>têm</w:t>
      </w:r>
      <w:r>
        <w:rPr>
          <w:spacing w:val="-11"/>
        </w:rPr>
        <w:t> </w:t>
      </w:r>
      <w:r>
        <w:rPr/>
        <w:t>sido</w:t>
      </w:r>
      <w:r>
        <w:rPr>
          <w:spacing w:val="-11"/>
        </w:rPr>
        <w:t> </w:t>
      </w:r>
      <w:r>
        <w:rPr/>
        <w:t>preconizados</w:t>
      </w:r>
      <w:r>
        <w:rPr>
          <w:spacing w:val="-4"/>
        </w:rPr>
        <w:t> </w:t>
      </w:r>
      <w:r>
        <w:rPr/>
        <w:t>a</w:t>
      </w:r>
      <w:r>
        <w:rPr>
          <w:spacing w:val="-13"/>
        </w:rPr>
        <w:t> </w:t>
      </w:r>
      <w:r>
        <w:rPr/>
        <w:t>pacientes</w:t>
      </w:r>
      <w:r>
        <w:rPr>
          <w:spacing w:val="-4"/>
        </w:rPr>
        <w:t> </w:t>
      </w:r>
      <w:r>
        <w:rPr/>
        <w:t>assintomáticos</w:t>
      </w:r>
      <w:r>
        <w:rPr>
          <w:spacing w:val="-4"/>
        </w:rPr>
        <w:t> </w:t>
      </w:r>
      <w:r>
        <w:rPr/>
        <w:t>com</w:t>
      </w:r>
      <w:r>
        <w:rPr>
          <w:spacing w:val="-11"/>
        </w:rPr>
        <w:t> </w:t>
      </w:r>
      <w:r>
        <w:rPr/>
        <w:t>alteração</w:t>
      </w:r>
      <w:r>
        <w:rPr>
          <w:spacing w:val="-11"/>
        </w:rPr>
        <w:t> </w:t>
      </w:r>
      <w:r>
        <w:rPr/>
        <w:t>volumétrica</w:t>
      </w:r>
      <w:r>
        <w:rPr>
          <w:spacing w:val="-13"/>
        </w:rPr>
        <w:t> </w:t>
      </w:r>
      <w:r>
        <w:rPr/>
        <w:t>importante</w:t>
      </w:r>
      <w:r>
        <w:rPr>
          <w:spacing w:val="-13"/>
        </w:rPr>
        <w:t> </w:t>
      </w:r>
      <w:r>
        <w:rPr/>
        <w:t>para retardar a evolução natural da doença. Os inibidores da enzima conversora de angiotensina são a primeira escolha. Nos pacientes com hipertensão diastólica, esse é o fármaco de escolha para monoterapia ou em associação com </w:t>
      </w:r>
      <w:r>
        <w:rPr>
          <w:spacing w:val="-2"/>
        </w:rPr>
        <w:t>diuréticos.</w:t>
      </w:r>
    </w:p>
    <w:p>
      <w:pPr>
        <w:pStyle w:val="BodyText"/>
        <w:spacing w:line="276" w:lineRule="auto" w:before="64"/>
        <w:ind w:right="497"/>
      </w:pPr>
      <w:r>
        <w:rPr/>
        <w:t>Os</w:t>
      </w:r>
      <w:r>
        <w:rPr>
          <w:spacing w:val="-5"/>
        </w:rPr>
        <w:t> </w:t>
      </w:r>
      <w:r>
        <w:rPr/>
        <w:t>diuréticos</w:t>
      </w:r>
      <w:r>
        <w:rPr>
          <w:spacing w:val="-5"/>
        </w:rPr>
        <w:t> </w:t>
      </w:r>
      <w:r>
        <w:rPr/>
        <w:t>também</w:t>
      </w:r>
      <w:r>
        <w:rPr>
          <w:spacing w:val="-12"/>
        </w:rPr>
        <w:t> </w:t>
      </w:r>
      <w:r>
        <w:rPr/>
        <w:t>devem</w:t>
      </w:r>
      <w:r>
        <w:rPr>
          <w:spacing w:val="-12"/>
        </w:rPr>
        <w:t> </w:t>
      </w:r>
      <w:r>
        <w:rPr/>
        <w:t>ser</w:t>
      </w:r>
      <w:r>
        <w:rPr>
          <w:spacing w:val="-7"/>
        </w:rPr>
        <w:t> </w:t>
      </w:r>
      <w:r>
        <w:rPr/>
        <w:t>utilizados,</w:t>
      </w:r>
      <w:r>
        <w:rPr>
          <w:spacing w:val="-5"/>
        </w:rPr>
        <w:t> </w:t>
      </w:r>
      <w:r>
        <w:rPr/>
        <w:t>quando</w:t>
      </w:r>
      <w:r>
        <w:rPr>
          <w:spacing w:val="-12"/>
        </w:rPr>
        <w:t> </w:t>
      </w:r>
      <w:r>
        <w:rPr/>
        <w:t>houver</w:t>
      </w:r>
      <w:r>
        <w:rPr>
          <w:spacing w:val="-7"/>
        </w:rPr>
        <w:t> </w:t>
      </w:r>
      <w:r>
        <w:rPr/>
        <w:t>edema</w:t>
      </w:r>
      <w:r>
        <w:rPr>
          <w:spacing w:val="-15"/>
        </w:rPr>
        <w:t> </w:t>
      </w:r>
      <w:r>
        <w:rPr/>
        <w:t>ou</w:t>
      </w:r>
      <w:r>
        <w:rPr>
          <w:spacing w:val="-12"/>
        </w:rPr>
        <w:t> </w:t>
      </w:r>
      <w:r>
        <w:rPr/>
        <w:t>congestão</w:t>
      </w:r>
      <w:r>
        <w:rPr>
          <w:spacing w:val="-12"/>
        </w:rPr>
        <w:t> </w:t>
      </w:r>
      <w:r>
        <w:rPr/>
        <w:t>pulmonar.</w:t>
      </w:r>
      <w:r>
        <w:rPr>
          <w:spacing w:val="-5"/>
        </w:rPr>
        <w:t> </w:t>
      </w:r>
      <w:r>
        <w:rPr/>
        <w:t>Os</w:t>
      </w:r>
      <w:r>
        <w:rPr>
          <w:spacing w:val="-5"/>
        </w:rPr>
        <w:t> </w:t>
      </w:r>
      <w:r>
        <w:rPr/>
        <w:t>betabloqueadores devem ser evitados porque aceleram a deterioração do miocárdio. O tratamento da hipertensão sistólica é controvertido. A fibrilação atrial é rara e, quando presente, pode ser controlada com digitálico e, se necessário, sulfato de quinidina.</w:t>
      </w:r>
    </w:p>
    <w:p>
      <w:pPr>
        <w:pStyle w:val="BodyText"/>
        <w:spacing w:line="276" w:lineRule="auto" w:before="49"/>
        <w:ind w:right="491"/>
      </w:pPr>
      <w:r>
        <w:rPr/>
        <w:t>A angina, quando presente, impõe o estudo hemodinâmico para afastar insuficiência coronária e, se esta não estiver presente, já existe indicação de correção cirúrgica.</w:t>
      </w:r>
    </w:p>
    <w:p>
      <w:pPr>
        <w:pStyle w:val="BodyText"/>
        <w:spacing w:line="276" w:lineRule="auto" w:before="64"/>
        <w:ind w:right="488"/>
      </w:pPr>
      <w:r>
        <w:rPr/>
        <w:t>Ao</w:t>
      </w:r>
      <w:r>
        <w:rPr>
          <w:spacing w:val="-2"/>
        </w:rPr>
        <w:t> </w:t>
      </w:r>
      <w:r>
        <w:rPr/>
        <w:t>contrário</w:t>
      </w:r>
      <w:r>
        <w:rPr>
          <w:spacing w:val="-2"/>
        </w:rPr>
        <w:t> </w:t>
      </w:r>
      <w:r>
        <w:rPr/>
        <w:t>da</w:t>
      </w:r>
      <w:r>
        <w:rPr>
          <w:spacing w:val="-4"/>
        </w:rPr>
        <w:t> </w:t>
      </w:r>
      <w:r>
        <w:rPr/>
        <w:t>insuficiência</w:t>
      </w:r>
      <w:r>
        <w:rPr>
          <w:spacing w:val="-4"/>
        </w:rPr>
        <w:t> </w:t>
      </w:r>
      <w:r>
        <w:rPr/>
        <w:t>aórtica</w:t>
      </w:r>
      <w:r>
        <w:rPr>
          <w:spacing w:val="-4"/>
        </w:rPr>
        <w:t> </w:t>
      </w:r>
      <w:r>
        <w:rPr/>
        <w:t>crônica, a</w:t>
      </w:r>
      <w:r>
        <w:rPr>
          <w:spacing w:val="-4"/>
        </w:rPr>
        <w:t> </w:t>
      </w:r>
      <w:r>
        <w:rPr/>
        <w:t>aguda</w:t>
      </w:r>
      <w:r>
        <w:rPr>
          <w:spacing w:val="-4"/>
        </w:rPr>
        <w:t> </w:t>
      </w:r>
      <w:r>
        <w:rPr/>
        <w:t>requer tratamento</w:t>
      </w:r>
      <w:r>
        <w:rPr>
          <w:spacing w:val="-2"/>
        </w:rPr>
        <w:t> </w:t>
      </w:r>
      <w:r>
        <w:rPr/>
        <w:t>cirúrgico</w:t>
      </w:r>
      <w:r>
        <w:rPr>
          <w:spacing w:val="-2"/>
        </w:rPr>
        <w:t> </w:t>
      </w:r>
      <w:r>
        <w:rPr/>
        <w:t>imediato</w:t>
      </w:r>
      <w:r>
        <w:rPr>
          <w:spacing w:val="-2"/>
        </w:rPr>
        <w:t> </w:t>
      </w:r>
      <w:r>
        <w:rPr/>
        <w:t>em</w:t>
      </w:r>
      <w:r>
        <w:rPr>
          <w:spacing w:val="-2"/>
        </w:rPr>
        <w:t> </w:t>
      </w:r>
      <w:r>
        <w:rPr/>
        <w:t>razão</w:t>
      </w:r>
      <w:r>
        <w:rPr>
          <w:spacing w:val="-2"/>
        </w:rPr>
        <w:t> </w:t>
      </w:r>
      <w:r>
        <w:rPr/>
        <w:t>de</w:t>
      </w:r>
      <w:r>
        <w:rPr>
          <w:spacing w:val="-4"/>
        </w:rPr>
        <w:t> </w:t>
      </w:r>
      <w:r>
        <w:rPr/>
        <w:t>sua</w:t>
      </w:r>
      <w:r>
        <w:rPr>
          <w:spacing w:val="-4"/>
        </w:rPr>
        <w:t> </w:t>
      </w:r>
      <w:r>
        <w:rPr/>
        <w:t>alta mortalidade. Enquanto</w:t>
      </w:r>
      <w:r>
        <w:rPr>
          <w:spacing w:val="-7"/>
        </w:rPr>
        <w:t> </w:t>
      </w:r>
      <w:r>
        <w:rPr/>
        <w:t>o</w:t>
      </w:r>
      <w:r>
        <w:rPr>
          <w:spacing w:val="-7"/>
        </w:rPr>
        <w:t> </w:t>
      </w:r>
      <w:r>
        <w:rPr/>
        <w:t>paciente</w:t>
      </w:r>
      <w:r>
        <w:rPr>
          <w:spacing w:val="-10"/>
        </w:rPr>
        <w:t> </w:t>
      </w:r>
      <w:r>
        <w:rPr/>
        <w:t>é</w:t>
      </w:r>
      <w:r>
        <w:rPr>
          <w:spacing w:val="-10"/>
        </w:rPr>
        <w:t> </w:t>
      </w:r>
      <w:r>
        <w:rPr/>
        <w:t>preparado</w:t>
      </w:r>
      <w:r>
        <w:rPr>
          <w:spacing w:val="-7"/>
        </w:rPr>
        <w:t> </w:t>
      </w:r>
      <w:r>
        <w:rPr/>
        <w:t>para</w:t>
      </w:r>
      <w:r>
        <w:rPr>
          <w:spacing w:val="-10"/>
        </w:rPr>
        <w:t> </w:t>
      </w:r>
      <w:r>
        <w:rPr/>
        <w:t>a</w:t>
      </w:r>
      <w:r>
        <w:rPr>
          <w:spacing w:val="-10"/>
        </w:rPr>
        <w:t> </w:t>
      </w:r>
      <w:r>
        <w:rPr/>
        <w:t>operação, impõe-se</w:t>
      </w:r>
      <w:r>
        <w:rPr>
          <w:spacing w:val="-10"/>
        </w:rPr>
        <w:t> </w:t>
      </w:r>
      <w:r>
        <w:rPr/>
        <w:t>o</w:t>
      </w:r>
      <w:r>
        <w:rPr>
          <w:spacing w:val="-7"/>
        </w:rPr>
        <w:t> </w:t>
      </w:r>
      <w:r>
        <w:rPr/>
        <w:t>tratamento</w:t>
      </w:r>
      <w:r>
        <w:rPr>
          <w:spacing w:val="-7"/>
        </w:rPr>
        <w:t> </w:t>
      </w:r>
      <w:r>
        <w:rPr/>
        <w:t>clínico</w:t>
      </w:r>
      <w:r>
        <w:rPr>
          <w:spacing w:val="-7"/>
        </w:rPr>
        <w:t> </w:t>
      </w:r>
      <w:r>
        <w:rPr/>
        <w:t>com</w:t>
      </w:r>
      <w:r>
        <w:rPr>
          <w:spacing w:val="-7"/>
        </w:rPr>
        <w:t> </w:t>
      </w:r>
      <w:r>
        <w:rPr/>
        <w:t>agente</w:t>
      </w:r>
      <w:r>
        <w:rPr>
          <w:spacing w:val="-10"/>
        </w:rPr>
        <w:t> </w:t>
      </w:r>
      <w:r>
        <w:rPr/>
        <w:t>inotrópico positivo, tal como dobutamina e dopamina ou vasodilatador como nitroprussiato por via intravenosa. No caso de endocardite infecciosa, se houver condições de esperar o efeito do antibiótico por 7 a 10 dias, é conveniente; entretanto, se o paciente estiver instável, a cirurgia está indicada.</w:t>
      </w:r>
    </w:p>
    <w:p>
      <w:pPr>
        <w:pStyle w:val="BodyText"/>
        <w:spacing w:after="0" w:line="276" w:lineRule="auto"/>
        <w:sectPr>
          <w:pgSz w:w="11900" w:h="16840"/>
          <w:pgMar w:top="200" w:bottom="0" w:left="566" w:right="141"/>
        </w:sectPr>
      </w:pPr>
    </w:p>
    <w:p>
      <w:pPr>
        <w:pStyle w:val="BodyText"/>
        <w:spacing w:line="276" w:lineRule="auto" w:before="69"/>
        <w:ind w:right="488"/>
      </w:pPr>
      <w:r>
        <w:rPr/>
        <w:t>Ao contrário da</w:t>
      </w:r>
      <w:r>
        <w:rPr>
          <w:spacing w:val="-3"/>
        </w:rPr>
        <w:t> </w:t>
      </w:r>
      <w:r>
        <w:rPr/>
        <w:t>estenose, a</w:t>
      </w:r>
      <w:r>
        <w:rPr>
          <w:spacing w:val="-3"/>
        </w:rPr>
        <w:t> </w:t>
      </w:r>
      <w:r>
        <w:rPr/>
        <w:t>insuficiência</w:t>
      </w:r>
      <w:r>
        <w:rPr>
          <w:spacing w:val="-3"/>
        </w:rPr>
        <w:t> </w:t>
      </w:r>
      <w:r>
        <w:rPr/>
        <w:t>aórtica</w:t>
      </w:r>
      <w:r>
        <w:rPr>
          <w:spacing w:val="-3"/>
        </w:rPr>
        <w:t> </w:t>
      </w:r>
      <w:r>
        <w:rPr/>
        <w:t>crônica</w:t>
      </w:r>
      <w:r>
        <w:rPr>
          <w:spacing w:val="-3"/>
        </w:rPr>
        <w:t> </w:t>
      </w:r>
      <w:r>
        <w:rPr/>
        <w:t>pode</w:t>
      </w:r>
      <w:r>
        <w:rPr>
          <w:spacing w:val="-3"/>
        </w:rPr>
        <w:t> </w:t>
      </w:r>
      <w:r>
        <w:rPr/>
        <w:t>e</w:t>
      </w:r>
      <w:r>
        <w:rPr>
          <w:spacing w:val="-3"/>
        </w:rPr>
        <w:t> </w:t>
      </w:r>
      <w:r>
        <w:rPr/>
        <w:t>deve</w:t>
      </w:r>
      <w:r>
        <w:rPr>
          <w:spacing w:val="-3"/>
        </w:rPr>
        <w:t> </w:t>
      </w:r>
      <w:r>
        <w:rPr/>
        <w:t>ser tratada</w:t>
      </w:r>
      <w:r>
        <w:rPr>
          <w:spacing w:val="-3"/>
        </w:rPr>
        <w:t> </w:t>
      </w:r>
      <w:r>
        <w:rPr/>
        <w:t>clinicamente</w:t>
      </w:r>
      <w:r>
        <w:rPr>
          <w:spacing w:val="-3"/>
        </w:rPr>
        <w:t> </w:t>
      </w:r>
      <w:r>
        <w:rPr/>
        <w:t>com o objetivo de retardar a indicação de cirurgia. O momento oportuno para a substituição valvar deve ser criteriosamente avaliado para</w:t>
      </w:r>
      <w:r>
        <w:rPr>
          <w:spacing w:val="-6"/>
        </w:rPr>
        <w:t> </w:t>
      </w:r>
      <w:r>
        <w:rPr/>
        <w:t>que</w:t>
      </w:r>
      <w:r>
        <w:rPr>
          <w:spacing w:val="-6"/>
        </w:rPr>
        <w:t> </w:t>
      </w:r>
      <w:r>
        <w:rPr/>
        <w:t>não</w:t>
      </w:r>
      <w:r>
        <w:rPr>
          <w:spacing w:val="-3"/>
        </w:rPr>
        <w:t> </w:t>
      </w:r>
      <w:r>
        <w:rPr/>
        <w:t>seja</w:t>
      </w:r>
      <w:r>
        <w:rPr>
          <w:spacing w:val="-6"/>
        </w:rPr>
        <w:t> </w:t>
      </w:r>
      <w:r>
        <w:rPr/>
        <w:t>precoce, submetendo</w:t>
      </w:r>
      <w:r>
        <w:rPr>
          <w:spacing w:val="-3"/>
        </w:rPr>
        <w:t> </w:t>
      </w:r>
      <w:r>
        <w:rPr/>
        <w:t>precipitadamente</w:t>
      </w:r>
      <w:r>
        <w:rPr>
          <w:spacing w:val="-6"/>
        </w:rPr>
        <w:t> </w:t>
      </w:r>
      <w:r>
        <w:rPr/>
        <w:t>o</w:t>
      </w:r>
      <w:r>
        <w:rPr>
          <w:spacing w:val="-3"/>
        </w:rPr>
        <w:t> </w:t>
      </w:r>
      <w:r>
        <w:rPr/>
        <w:t>paciente</w:t>
      </w:r>
      <w:r>
        <w:rPr>
          <w:spacing w:val="-6"/>
        </w:rPr>
        <w:t> </w:t>
      </w:r>
      <w:r>
        <w:rPr/>
        <w:t>aos riscos da</w:t>
      </w:r>
      <w:r>
        <w:rPr>
          <w:spacing w:val="-6"/>
        </w:rPr>
        <w:t> </w:t>
      </w:r>
      <w:r>
        <w:rPr/>
        <w:t>cirurgia, e</w:t>
      </w:r>
      <w:r>
        <w:rPr>
          <w:spacing w:val="-6"/>
        </w:rPr>
        <w:t> </w:t>
      </w:r>
      <w:r>
        <w:rPr/>
        <w:t>nem</w:t>
      </w:r>
      <w:r>
        <w:rPr>
          <w:spacing w:val="-4"/>
        </w:rPr>
        <w:t> </w:t>
      </w:r>
      <w:r>
        <w:rPr/>
        <w:t>tardio, de</w:t>
      </w:r>
      <w:r>
        <w:rPr>
          <w:spacing w:val="-6"/>
        </w:rPr>
        <w:t> </w:t>
      </w:r>
      <w:r>
        <w:rPr/>
        <w:t>maneira que o miocárdio esteja tão comprometido que não possa mais se recuperar.</w:t>
      </w:r>
    </w:p>
    <w:p>
      <w:pPr>
        <w:pStyle w:val="BodyText"/>
        <w:spacing w:line="276" w:lineRule="auto"/>
        <w:ind w:right="501"/>
      </w:pPr>
      <w:r>
        <w:rPr/>
        <w:t>Há concordância em que a cirurgia não está indicada em pacientes assintomáticos, assim como não há dúvidas de que pacientes sintomáticos devam ser submetidos a tratamento cirúrgico.</w:t>
      </w:r>
    </w:p>
    <w:p>
      <w:pPr>
        <w:pStyle w:val="BodyText"/>
        <w:spacing w:line="278" w:lineRule="auto" w:before="48"/>
        <w:ind w:right="488"/>
      </w:pPr>
      <w:r>
        <w:rPr/>
        <w:t>O volume sistólico final fornece um índice total útil da função miocárdica em pacientes com insuficiência aórtica e correlaciona-se com a mortalidade operatória e sua evolução tardia. Tanto os resultados imediatos quanto aqueles a longo prazo são excelentes em pacientes com volumes sistólicos finais normais do VE, inferiores a 30 m</w:t>
      </w:r>
      <w:r>
        <w:rPr>
          <w:i/>
        </w:rPr>
        <w:t>ℓ</w:t>
      </w:r>
      <w:r>
        <w:rPr/>
        <w:t>/m</w:t>
      </w:r>
      <w:r>
        <w:rPr>
          <w:vertAlign w:val="superscript"/>
        </w:rPr>
        <w:t>2</w:t>
      </w:r>
      <w:r>
        <w:rPr>
          <w:vertAlign w:val="baseline"/>
        </w:rPr>
        <w:t> e pobres em pacientes com índice elevado superior a 90 m</w:t>
      </w:r>
      <w:r>
        <w:rPr>
          <w:i/>
          <w:vertAlign w:val="baseline"/>
        </w:rPr>
        <w:t>ℓ</w:t>
      </w:r>
      <w:r>
        <w:rPr>
          <w:vertAlign w:val="baseline"/>
        </w:rPr>
        <w:t>/m</w:t>
      </w:r>
      <w:r>
        <w:rPr>
          <w:vertAlign w:val="superscript"/>
        </w:rPr>
        <w:t>2</w:t>
      </w:r>
      <w:r>
        <w:rPr>
          <w:vertAlign w:val="baseline"/>
        </w:rPr>
        <w:t> e variáveis nos intermediários. De qualquer maneira, a perspectiva para melhora da função ventricular pós-operatória nos paciente com valvopatia aórtica é melhor do que para aqueles com valvopatia mitral.</w:t>
      </w:r>
    </w:p>
    <w:p>
      <w:pPr>
        <w:pStyle w:val="BodyText"/>
        <w:spacing w:line="276" w:lineRule="auto"/>
        <w:ind w:right="491"/>
      </w:pPr>
      <w:r>
        <w:rPr/>
        <w:t>O tratamento cirúrgico da insuficiência aórtica é a substituição valvar. Entretanto, ocasionalmente, quando um folheto</w:t>
      </w:r>
      <w:r>
        <w:rPr>
          <w:spacing w:val="-4"/>
        </w:rPr>
        <w:t> </w:t>
      </w:r>
      <w:r>
        <w:rPr/>
        <w:t>desprende-se</w:t>
      </w:r>
      <w:r>
        <w:rPr>
          <w:spacing w:val="-7"/>
        </w:rPr>
        <w:t> </w:t>
      </w:r>
      <w:r>
        <w:rPr/>
        <w:t>de</w:t>
      </w:r>
      <w:r>
        <w:rPr>
          <w:spacing w:val="-7"/>
        </w:rPr>
        <w:t> </w:t>
      </w:r>
      <w:r>
        <w:rPr/>
        <w:t>sua</w:t>
      </w:r>
      <w:r>
        <w:rPr>
          <w:spacing w:val="-7"/>
        </w:rPr>
        <w:t> </w:t>
      </w:r>
      <w:r>
        <w:rPr/>
        <w:t>inserção</w:t>
      </w:r>
      <w:r>
        <w:rPr>
          <w:spacing w:val="-4"/>
        </w:rPr>
        <w:t> </w:t>
      </w:r>
      <w:r>
        <w:rPr/>
        <w:t>no</w:t>
      </w:r>
      <w:r>
        <w:rPr>
          <w:spacing w:val="-4"/>
        </w:rPr>
        <w:t> </w:t>
      </w:r>
      <w:r>
        <w:rPr/>
        <w:t>anel</w:t>
      </w:r>
      <w:r>
        <w:rPr>
          <w:spacing w:val="-2"/>
        </w:rPr>
        <w:t> </w:t>
      </w:r>
      <w:r>
        <w:rPr/>
        <w:t>aórtico, por traumatismo, a</w:t>
      </w:r>
      <w:r>
        <w:rPr>
          <w:spacing w:val="-7"/>
        </w:rPr>
        <w:t> </w:t>
      </w:r>
      <w:r>
        <w:rPr/>
        <w:t>reparação</w:t>
      </w:r>
      <w:r>
        <w:rPr>
          <w:spacing w:val="-4"/>
        </w:rPr>
        <w:t> </w:t>
      </w:r>
      <w:r>
        <w:rPr/>
        <w:t>pode</w:t>
      </w:r>
      <w:r>
        <w:rPr>
          <w:spacing w:val="-7"/>
        </w:rPr>
        <w:t> </w:t>
      </w:r>
      <w:r>
        <w:rPr/>
        <w:t>ser feita. Às vezes, quando ocorre</w:t>
      </w:r>
      <w:r>
        <w:rPr>
          <w:spacing w:val="-4"/>
        </w:rPr>
        <w:t> </w:t>
      </w:r>
      <w:r>
        <w:rPr/>
        <w:t>dilatação</w:t>
      </w:r>
      <w:r>
        <w:rPr>
          <w:spacing w:val="-1"/>
        </w:rPr>
        <w:t> </w:t>
      </w:r>
      <w:r>
        <w:rPr/>
        <w:t>do</w:t>
      </w:r>
      <w:r>
        <w:rPr>
          <w:spacing w:val="-1"/>
        </w:rPr>
        <w:t> </w:t>
      </w:r>
      <w:r>
        <w:rPr/>
        <w:t>anel aórtico, pode</w:t>
      </w:r>
      <w:r>
        <w:rPr>
          <w:spacing w:val="-4"/>
        </w:rPr>
        <w:t> </w:t>
      </w:r>
      <w:r>
        <w:rPr/>
        <w:t>ser realizado</w:t>
      </w:r>
      <w:r>
        <w:rPr>
          <w:spacing w:val="-1"/>
        </w:rPr>
        <w:t> </w:t>
      </w:r>
      <w:r>
        <w:rPr/>
        <w:t>seu</w:t>
      </w:r>
      <w:r>
        <w:rPr>
          <w:spacing w:val="-1"/>
        </w:rPr>
        <w:t> </w:t>
      </w:r>
      <w:r>
        <w:rPr/>
        <w:t>estreitamento</w:t>
      </w:r>
      <w:r>
        <w:rPr>
          <w:spacing w:val="-1"/>
        </w:rPr>
        <w:t> </w:t>
      </w:r>
      <w:r>
        <w:rPr/>
        <w:t>por excisão</w:t>
      </w:r>
      <w:r>
        <w:rPr>
          <w:spacing w:val="-1"/>
        </w:rPr>
        <w:t> </w:t>
      </w:r>
      <w:r>
        <w:rPr/>
        <w:t>de</w:t>
      </w:r>
      <w:r>
        <w:rPr>
          <w:spacing w:val="-4"/>
        </w:rPr>
        <w:t> </w:t>
      </w:r>
      <w:r>
        <w:rPr/>
        <w:t>uma</w:t>
      </w:r>
      <w:r>
        <w:rPr>
          <w:spacing w:val="-4"/>
        </w:rPr>
        <w:t> </w:t>
      </w:r>
      <w:r>
        <w:rPr/>
        <w:t>parte</w:t>
      </w:r>
      <w:r>
        <w:rPr>
          <w:spacing w:val="-4"/>
        </w:rPr>
        <w:t> </w:t>
      </w:r>
      <w:r>
        <w:rPr/>
        <w:t>da</w:t>
      </w:r>
      <w:r>
        <w:rPr>
          <w:spacing w:val="-4"/>
        </w:rPr>
        <w:t> </w:t>
      </w:r>
      <w:r>
        <w:rPr/>
        <w:t>aorta; entretanto, não é o que ocorre frequentemente.</w:t>
      </w:r>
    </w:p>
    <w:p>
      <w:pPr>
        <w:pStyle w:val="BodyText"/>
        <w:spacing w:line="276" w:lineRule="auto" w:before="49"/>
        <w:ind w:right="488"/>
      </w:pPr>
      <w:r>
        <w:rPr/>
        <w:t>O</w:t>
      </w:r>
      <w:r>
        <w:rPr>
          <w:spacing w:val="-5"/>
        </w:rPr>
        <w:t> </w:t>
      </w:r>
      <w:r>
        <w:rPr/>
        <w:t>risco</w:t>
      </w:r>
      <w:r>
        <w:rPr>
          <w:spacing w:val="-3"/>
        </w:rPr>
        <w:t> </w:t>
      </w:r>
      <w:r>
        <w:rPr/>
        <w:t>operatório</w:t>
      </w:r>
      <w:r>
        <w:rPr>
          <w:spacing w:val="-3"/>
        </w:rPr>
        <w:t> </w:t>
      </w:r>
      <w:r>
        <w:rPr/>
        <w:t>depende</w:t>
      </w:r>
      <w:r>
        <w:rPr>
          <w:spacing w:val="-5"/>
        </w:rPr>
        <w:t> </w:t>
      </w:r>
      <w:r>
        <w:rPr/>
        <w:t>da</w:t>
      </w:r>
      <w:r>
        <w:rPr>
          <w:spacing w:val="-5"/>
        </w:rPr>
        <w:t> </w:t>
      </w:r>
      <w:r>
        <w:rPr/>
        <w:t>condição</w:t>
      </w:r>
      <w:r>
        <w:rPr>
          <w:spacing w:val="-3"/>
        </w:rPr>
        <w:t> </w:t>
      </w:r>
      <w:r>
        <w:rPr/>
        <w:t>do</w:t>
      </w:r>
      <w:r>
        <w:rPr>
          <w:spacing w:val="-3"/>
        </w:rPr>
        <w:t> </w:t>
      </w:r>
      <w:r>
        <w:rPr/>
        <w:t>paciente, função</w:t>
      </w:r>
      <w:r>
        <w:rPr>
          <w:spacing w:val="-3"/>
        </w:rPr>
        <w:t> </w:t>
      </w:r>
      <w:r>
        <w:rPr/>
        <w:t>ventricular, experiência</w:t>
      </w:r>
      <w:r>
        <w:rPr>
          <w:spacing w:val="-5"/>
        </w:rPr>
        <w:t> </w:t>
      </w:r>
      <w:r>
        <w:rPr/>
        <w:t>da</w:t>
      </w:r>
      <w:r>
        <w:rPr>
          <w:spacing w:val="-5"/>
        </w:rPr>
        <w:t> </w:t>
      </w:r>
      <w:r>
        <w:rPr/>
        <w:t>equipe</w:t>
      </w:r>
      <w:r>
        <w:rPr>
          <w:spacing w:val="-5"/>
        </w:rPr>
        <w:t> </w:t>
      </w:r>
      <w:r>
        <w:rPr/>
        <w:t>cirúrgica. A</w:t>
      </w:r>
      <w:r>
        <w:rPr>
          <w:spacing w:val="-5"/>
        </w:rPr>
        <w:t> </w:t>
      </w:r>
      <w:r>
        <w:rPr/>
        <w:t>taxa de mortalidade oscila entre 3 e 8%.</w:t>
      </w:r>
    </w:p>
    <w:p>
      <w:pPr>
        <w:pStyle w:val="BodyText"/>
        <w:spacing w:before="133"/>
        <w:ind w:left="0" w:firstLine="0"/>
        <w:jc w:val="left"/>
      </w:pPr>
    </w:p>
    <w:p>
      <w:pPr>
        <w:pStyle w:val="Heading5"/>
      </w:pPr>
      <w:r>
        <w:rPr>
          <w:color w:val="A26108"/>
          <w:spacing w:val="-2"/>
        </w:rPr>
        <w:t>Prognóstico</w:t>
      </w:r>
    </w:p>
    <w:p>
      <w:pPr>
        <w:pStyle w:val="BodyText"/>
        <w:spacing w:line="276" w:lineRule="auto" w:before="139"/>
        <w:ind w:right="494"/>
      </w:pPr>
      <w:r>
        <w:rPr/>
        <w:t>A</w:t>
      </w:r>
      <w:r>
        <w:rPr>
          <w:spacing w:val="-9"/>
        </w:rPr>
        <w:t> </w:t>
      </w:r>
      <w:r>
        <w:rPr/>
        <w:t>insuficiência</w:t>
      </w:r>
      <w:r>
        <w:rPr>
          <w:spacing w:val="-9"/>
        </w:rPr>
        <w:t> </w:t>
      </w:r>
      <w:r>
        <w:rPr/>
        <w:t>aórtica</w:t>
      </w:r>
      <w:r>
        <w:rPr>
          <w:spacing w:val="-9"/>
        </w:rPr>
        <w:t> </w:t>
      </w:r>
      <w:r>
        <w:rPr/>
        <w:t>associa-se</w:t>
      </w:r>
      <w:r>
        <w:rPr>
          <w:spacing w:val="-9"/>
        </w:rPr>
        <w:t> </w:t>
      </w:r>
      <w:r>
        <w:rPr/>
        <w:t>a</w:t>
      </w:r>
      <w:r>
        <w:rPr>
          <w:spacing w:val="-9"/>
        </w:rPr>
        <w:t> </w:t>
      </w:r>
      <w:r>
        <w:rPr/>
        <w:t>bom</w:t>
      </w:r>
      <w:r>
        <w:rPr>
          <w:spacing w:val="-6"/>
        </w:rPr>
        <w:t> </w:t>
      </w:r>
      <w:r>
        <w:rPr/>
        <w:t>prognóstico. Cerca</w:t>
      </w:r>
      <w:r>
        <w:rPr>
          <w:spacing w:val="-9"/>
        </w:rPr>
        <w:t> </w:t>
      </w:r>
      <w:r>
        <w:rPr/>
        <w:t>de</w:t>
      </w:r>
      <w:r>
        <w:rPr>
          <w:spacing w:val="-9"/>
        </w:rPr>
        <w:t> </w:t>
      </w:r>
      <w:r>
        <w:rPr/>
        <w:t>75%</w:t>
      </w:r>
      <w:r>
        <w:rPr>
          <w:spacing w:val="-3"/>
        </w:rPr>
        <w:t> </w:t>
      </w:r>
      <w:r>
        <w:rPr/>
        <w:t>dos pacientes sobrevivem</w:t>
      </w:r>
      <w:r>
        <w:rPr>
          <w:spacing w:val="-6"/>
        </w:rPr>
        <w:t> </w:t>
      </w:r>
      <w:r>
        <w:rPr/>
        <w:t>por</w:t>
      </w:r>
      <w:r>
        <w:rPr>
          <w:spacing w:val="-1"/>
        </w:rPr>
        <w:t> </w:t>
      </w:r>
      <w:r>
        <w:rPr/>
        <w:t>5</w:t>
      </w:r>
      <w:r>
        <w:rPr>
          <w:spacing w:val="-6"/>
        </w:rPr>
        <w:t> </w:t>
      </w:r>
      <w:r>
        <w:rPr/>
        <w:t>anos e</w:t>
      </w:r>
      <w:r>
        <w:rPr>
          <w:spacing w:val="-9"/>
        </w:rPr>
        <w:t> </w:t>
      </w:r>
      <w:r>
        <w:rPr/>
        <w:t>50% por 10 anos, após o diagnóstico. Todavia, uma vez que se tornam sintomáticos, a função cardíaca deteriora-se rapidamente. Após o</w:t>
      </w:r>
      <w:r>
        <w:rPr>
          <w:spacing w:val="-1"/>
        </w:rPr>
        <w:t> </w:t>
      </w:r>
      <w:r>
        <w:rPr/>
        <w:t>aparecimento</w:t>
      </w:r>
      <w:r>
        <w:rPr>
          <w:spacing w:val="-1"/>
        </w:rPr>
        <w:t> </w:t>
      </w:r>
      <w:r>
        <w:rPr/>
        <w:t>de</w:t>
      </w:r>
      <w:r>
        <w:rPr>
          <w:spacing w:val="-4"/>
        </w:rPr>
        <w:t> </w:t>
      </w:r>
      <w:r>
        <w:rPr/>
        <w:t>angina, a</w:t>
      </w:r>
      <w:r>
        <w:rPr>
          <w:spacing w:val="-4"/>
        </w:rPr>
        <w:t> </w:t>
      </w:r>
      <w:r>
        <w:rPr/>
        <w:t>sobrevida</w:t>
      </w:r>
      <w:r>
        <w:rPr>
          <w:spacing w:val="-4"/>
        </w:rPr>
        <w:t> </w:t>
      </w:r>
      <w:r>
        <w:rPr/>
        <w:t>é</w:t>
      </w:r>
      <w:r>
        <w:rPr>
          <w:spacing w:val="-4"/>
        </w:rPr>
        <w:t> </w:t>
      </w:r>
      <w:r>
        <w:rPr/>
        <w:t>de</w:t>
      </w:r>
      <w:r>
        <w:rPr>
          <w:spacing w:val="-4"/>
        </w:rPr>
        <w:t> </w:t>
      </w:r>
      <w:r>
        <w:rPr/>
        <w:t>4</w:t>
      </w:r>
      <w:r>
        <w:rPr>
          <w:spacing w:val="-1"/>
        </w:rPr>
        <w:t> </w:t>
      </w:r>
      <w:r>
        <w:rPr/>
        <w:t>anos e, após a</w:t>
      </w:r>
      <w:r>
        <w:rPr>
          <w:spacing w:val="-4"/>
        </w:rPr>
        <w:t> </w:t>
      </w:r>
      <w:r>
        <w:rPr/>
        <w:t>insuficiência</w:t>
      </w:r>
      <w:r>
        <w:rPr>
          <w:spacing w:val="-4"/>
        </w:rPr>
        <w:t> </w:t>
      </w:r>
      <w:r>
        <w:rPr/>
        <w:t>cardíaca, de</w:t>
      </w:r>
      <w:r>
        <w:rPr>
          <w:spacing w:val="-4"/>
        </w:rPr>
        <w:t> </w:t>
      </w:r>
      <w:r>
        <w:rPr/>
        <w:t>2</w:t>
      </w:r>
      <w:r>
        <w:rPr>
          <w:spacing w:val="-1"/>
        </w:rPr>
        <w:t> </w:t>
      </w:r>
      <w:r>
        <w:rPr/>
        <w:t>anos.</w:t>
      </w:r>
    </w:p>
    <w:p>
      <w:pPr>
        <w:pStyle w:val="BodyText"/>
        <w:spacing w:line="276" w:lineRule="auto" w:before="64"/>
        <w:ind w:right="488"/>
      </w:pPr>
      <w:r>
        <w:rPr/>
        <w:t>O maior determinante do prognóstico após a correção cirúrgica é a função ventricular prévia. Quando esta é adequada, ocorre</w:t>
      </w:r>
      <w:r>
        <w:rPr>
          <w:spacing w:val="-7"/>
        </w:rPr>
        <w:t> </w:t>
      </w:r>
      <w:r>
        <w:rPr/>
        <w:t>regressão</w:t>
      </w:r>
      <w:r>
        <w:rPr>
          <w:spacing w:val="-5"/>
        </w:rPr>
        <w:t> </w:t>
      </w:r>
      <w:r>
        <w:rPr/>
        <w:t>das alterações hemodinâmicas e, até</w:t>
      </w:r>
      <w:r>
        <w:rPr>
          <w:spacing w:val="-7"/>
        </w:rPr>
        <w:t> </w:t>
      </w:r>
      <w:r>
        <w:rPr/>
        <w:t>mesmo, diminuição</w:t>
      </w:r>
      <w:r>
        <w:rPr>
          <w:spacing w:val="-5"/>
        </w:rPr>
        <w:t> </w:t>
      </w:r>
      <w:r>
        <w:rPr/>
        <w:t>da</w:t>
      </w:r>
      <w:r>
        <w:rPr>
          <w:spacing w:val="-7"/>
        </w:rPr>
        <w:t> </w:t>
      </w:r>
      <w:r>
        <w:rPr/>
        <w:t>área</w:t>
      </w:r>
      <w:r>
        <w:rPr>
          <w:spacing w:val="-7"/>
        </w:rPr>
        <w:t> </w:t>
      </w:r>
      <w:r>
        <w:rPr/>
        <w:t>cardíaca, e</w:t>
      </w:r>
      <w:r>
        <w:rPr>
          <w:spacing w:val="-7"/>
        </w:rPr>
        <w:t> </w:t>
      </w:r>
      <w:r>
        <w:rPr/>
        <w:t>a</w:t>
      </w:r>
      <w:r>
        <w:rPr>
          <w:spacing w:val="-7"/>
        </w:rPr>
        <w:t> </w:t>
      </w:r>
      <w:r>
        <w:rPr/>
        <w:t>sobrevida passa</w:t>
      </w:r>
      <w:r>
        <w:rPr>
          <w:spacing w:val="-2"/>
        </w:rPr>
        <w:t> </w:t>
      </w:r>
      <w:r>
        <w:rPr/>
        <w:t>a</w:t>
      </w:r>
      <w:r>
        <w:rPr>
          <w:spacing w:val="-2"/>
        </w:rPr>
        <w:t> </w:t>
      </w:r>
      <w:r>
        <w:rPr/>
        <w:t>depender apenas das complicações intrínsecas das próteses valvares.</w:t>
      </w:r>
    </w:p>
    <w:p>
      <w:pPr>
        <w:pStyle w:val="BodyText"/>
        <w:spacing w:before="186"/>
        <w:ind w:left="0" w:firstLine="0"/>
        <w:jc w:val="left"/>
      </w:pPr>
    </w:p>
    <w:p>
      <w:pPr>
        <w:pStyle w:val="Heading4"/>
      </w:pPr>
      <w:r>
        <w:rPr>
          <w:color w:val="242B67"/>
        </w:rPr>
        <w:t>Estenose valvar </w:t>
      </w:r>
      <w:r>
        <w:rPr>
          <w:color w:val="242B67"/>
          <w:spacing w:val="-2"/>
        </w:rPr>
        <w:t>tricúspide</w:t>
      </w:r>
    </w:p>
    <w:p>
      <w:pPr>
        <w:pStyle w:val="BodyText"/>
        <w:spacing w:line="276" w:lineRule="auto" w:before="132"/>
        <w:ind w:right="488"/>
      </w:pPr>
      <w:r>
        <w:rPr/>
        <w:t>A estenose valvar tricúspide consiste na abertura inadequada e diminuída dos folhetos da valva tricúspide durante</w:t>
      </w:r>
      <w:r>
        <w:rPr>
          <w:spacing w:val="-4"/>
        </w:rPr>
        <w:t> </w:t>
      </w:r>
      <w:r>
        <w:rPr/>
        <w:t>a</w:t>
      </w:r>
      <w:r>
        <w:rPr>
          <w:spacing w:val="-4"/>
        </w:rPr>
        <w:t> </w:t>
      </w:r>
      <w:r>
        <w:rPr/>
        <w:t>diástole</w:t>
      </w:r>
      <w:r>
        <w:rPr>
          <w:spacing w:val="-4"/>
        </w:rPr>
        <w:t> </w:t>
      </w:r>
      <w:r>
        <w:rPr/>
        <w:t>ventricular. A</w:t>
      </w:r>
      <w:r>
        <w:rPr>
          <w:spacing w:val="-4"/>
        </w:rPr>
        <w:t> </w:t>
      </w:r>
      <w:r>
        <w:rPr/>
        <w:t>modificação</w:t>
      </w:r>
      <w:r>
        <w:rPr>
          <w:spacing w:val="-1"/>
        </w:rPr>
        <w:t> </w:t>
      </w:r>
      <w:r>
        <w:rPr/>
        <w:t>anatômica, reduzindo</w:t>
      </w:r>
      <w:r>
        <w:rPr>
          <w:spacing w:val="-1"/>
        </w:rPr>
        <w:t> </w:t>
      </w:r>
      <w:r>
        <w:rPr/>
        <w:t>a</w:t>
      </w:r>
      <w:r>
        <w:rPr>
          <w:spacing w:val="-4"/>
        </w:rPr>
        <w:t> </w:t>
      </w:r>
      <w:r>
        <w:rPr/>
        <w:t>via</w:t>
      </w:r>
      <w:r>
        <w:rPr>
          <w:spacing w:val="-4"/>
        </w:rPr>
        <w:t> </w:t>
      </w:r>
      <w:r>
        <w:rPr/>
        <w:t>de</w:t>
      </w:r>
      <w:r>
        <w:rPr>
          <w:spacing w:val="-4"/>
        </w:rPr>
        <w:t> </w:t>
      </w:r>
      <w:r>
        <w:rPr/>
        <w:t>vazão</w:t>
      </w:r>
      <w:r>
        <w:rPr>
          <w:spacing w:val="-1"/>
        </w:rPr>
        <w:t> </w:t>
      </w:r>
      <w:r>
        <w:rPr/>
        <w:t>atrial direita, dificulta</w:t>
      </w:r>
      <w:r>
        <w:rPr>
          <w:spacing w:val="-4"/>
        </w:rPr>
        <w:t> </w:t>
      </w:r>
      <w:r>
        <w:rPr/>
        <w:t>o</w:t>
      </w:r>
      <w:r>
        <w:rPr>
          <w:spacing w:val="-1"/>
        </w:rPr>
        <w:t> </w:t>
      </w:r>
      <w:r>
        <w:rPr/>
        <w:t>deflúvio atrioventricular direito. É uma lesão rara.</w:t>
      </w:r>
    </w:p>
    <w:p>
      <w:pPr>
        <w:pStyle w:val="BodyText"/>
        <w:spacing w:line="276" w:lineRule="auto" w:before="64"/>
        <w:ind w:right="488"/>
      </w:pPr>
      <w:r>
        <w:rPr/>
        <w:t>A estenose tricúspide mais frequentemente é de origem reumática. Como expressão clínica é apontada em uma incidência em torno de 5%. Em geral não ocorre como lesão isolada, mas em associação com a estenose mitral e menos frequentemente com a insuficiência mitral. Como causas menos frequentes têm sido descritos atresia tricúspide e tumor atrial direito.</w:t>
      </w:r>
    </w:p>
    <w:p>
      <w:pPr>
        <w:pStyle w:val="BodyText"/>
        <w:spacing w:before="118"/>
        <w:ind w:left="0" w:firstLine="0"/>
        <w:jc w:val="left"/>
      </w:pPr>
    </w:p>
    <w:p>
      <w:pPr>
        <w:pStyle w:val="Heading5"/>
      </w:pPr>
      <w:r>
        <w:rPr>
          <w:color w:val="A26108"/>
          <w:spacing w:val="-2"/>
        </w:rPr>
        <w:t>Fisiopatologia</w:t>
      </w:r>
    </w:p>
    <w:p>
      <w:pPr>
        <w:pStyle w:val="BodyText"/>
        <w:spacing w:line="276" w:lineRule="auto" w:before="138"/>
        <w:ind w:right="491"/>
      </w:pPr>
      <w:r>
        <w:rPr/>
        <w:t>A força produzida pelos sarcômeros durante a sístole atrial é transmitida ao volume de sangue atrial, pondo-o em</w:t>
      </w:r>
      <w:r>
        <w:rPr>
          <w:spacing w:val="-2"/>
        </w:rPr>
        <w:t> </w:t>
      </w:r>
      <w:r>
        <w:rPr/>
        <w:t>movimento</w:t>
      </w:r>
      <w:r>
        <w:rPr>
          <w:spacing w:val="-2"/>
        </w:rPr>
        <w:t> </w:t>
      </w:r>
      <w:r>
        <w:rPr/>
        <w:t>em</w:t>
      </w:r>
      <w:r>
        <w:rPr>
          <w:spacing w:val="-2"/>
        </w:rPr>
        <w:t> </w:t>
      </w:r>
      <w:r>
        <w:rPr/>
        <w:t>direção</w:t>
      </w:r>
      <w:r>
        <w:rPr>
          <w:spacing w:val="-2"/>
        </w:rPr>
        <w:t> </w:t>
      </w:r>
      <w:r>
        <w:rPr/>
        <w:t>à</w:t>
      </w:r>
      <w:r>
        <w:rPr>
          <w:spacing w:val="-5"/>
        </w:rPr>
        <w:t> </w:t>
      </w:r>
      <w:r>
        <w:rPr/>
        <w:t>valva</w:t>
      </w:r>
      <w:r>
        <w:rPr>
          <w:spacing w:val="-5"/>
        </w:rPr>
        <w:t> </w:t>
      </w:r>
      <w:r>
        <w:rPr/>
        <w:t>tricúspide</w:t>
      </w:r>
      <w:r>
        <w:rPr>
          <w:spacing w:val="-5"/>
        </w:rPr>
        <w:t> </w:t>
      </w:r>
      <w:r>
        <w:rPr/>
        <w:t>com</w:t>
      </w:r>
      <w:r>
        <w:rPr>
          <w:spacing w:val="-2"/>
        </w:rPr>
        <w:t> </w:t>
      </w:r>
      <w:r>
        <w:rPr/>
        <w:t>certa</w:t>
      </w:r>
      <w:r>
        <w:rPr>
          <w:spacing w:val="-5"/>
        </w:rPr>
        <w:t> </w:t>
      </w:r>
      <w:r>
        <w:rPr/>
        <w:t>velocidade. A</w:t>
      </w:r>
      <w:r>
        <w:rPr>
          <w:spacing w:val="-5"/>
        </w:rPr>
        <w:t> </w:t>
      </w:r>
      <w:r>
        <w:rPr/>
        <w:t>energia</w:t>
      </w:r>
      <w:r>
        <w:rPr>
          <w:spacing w:val="-5"/>
        </w:rPr>
        <w:t> </w:t>
      </w:r>
      <w:r>
        <w:rPr/>
        <w:t>cinética</w:t>
      </w:r>
      <w:r>
        <w:rPr>
          <w:spacing w:val="-5"/>
        </w:rPr>
        <w:t> </w:t>
      </w:r>
      <w:r>
        <w:rPr/>
        <w:t>gerada</w:t>
      </w:r>
      <w:r>
        <w:rPr>
          <w:spacing w:val="-5"/>
        </w:rPr>
        <w:t> </w:t>
      </w:r>
      <w:r>
        <w:rPr/>
        <w:t>fica</w:t>
      </w:r>
      <w:r>
        <w:rPr>
          <w:spacing w:val="-5"/>
        </w:rPr>
        <w:t> </w:t>
      </w:r>
      <w:r>
        <w:rPr/>
        <w:t>contida</w:t>
      </w:r>
      <w:r>
        <w:rPr>
          <w:spacing w:val="-5"/>
        </w:rPr>
        <w:t> </w:t>
      </w:r>
      <w:r>
        <w:rPr/>
        <w:t>na</w:t>
      </w:r>
      <w:r>
        <w:rPr>
          <w:spacing w:val="-5"/>
        </w:rPr>
        <w:t> </w:t>
      </w:r>
      <w:r>
        <w:rPr/>
        <w:t>massa de</w:t>
      </w:r>
      <w:r>
        <w:rPr>
          <w:spacing w:val="-11"/>
        </w:rPr>
        <w:t> </w:t>
      </w:r>
      <w:r>
        <w:rPr/>
        <w:t>sangue</w:t>
      </w:r>
      <w:r>
        <w:rPr>
          <w:spacing w:val="-11"/>
        </w:rPr>
        <w:t> </w:t>
      </w:r>
      <w:r>
        <w:rPr/>
        <w:t>em</w:t>
      </w:r>
      <w:r>
        <w:rPr>
          <w:spacing w:val="-9"/>
        </w:rPr>
        <w:t> </w:t>
      </w:r>
      <w:r>
        <w:rPr/>
        <w:t>movimento.</w:t>
      </w:r>
      <w:r>
        <w:rPr>
          <w:spacing w:val="-1"/>
        </w:rPr>
        <w:t> </w:t>
      </w:r>
      <w:r>
        <w:rPr/>
        <w:t>A</w:t>
      </w:r>
      <w:r>
        <w:rPr>
          <w:spacing w:val="-11"/>
        </w:rPr>
        <w:t> </w:t>
      </w:r>
      <w:r>
        <w:rPr/>
        <w:t>valva</w:t>
      </w:r>
      <w:r>
        <w:rPr>
          <w:spacing w:val="-11"/>
        </w:rPr>
        <w:t> </w:t>
      </w:r>
      <w:r>
        <w:rPr/>
        <w:t>tricúspide</w:t>
      </w:r>
      <w:r>
        <w:rPr>
          <w:spacing w:val="-11"/>
        </w:rPr>
        <w:t> </w:t>
      </w:r>
      <w:r>
        <w:rPr/>
        <w:t>estreitada</w:t>
      </w:r>
      <w:r>
        <w:rPr>
          <w:spacing w:val="-11"/>
        </w:rPr>
        <w:t> </w:t>
      </w:r>
      <w:r>
        <w:rPr/>
        <w:t>atua</w:t>
      </w:r>
      <w:r>
        <w:rPr>
          <w:spacing w:val="-11"/>
        </w:rPr>
        <w:t> </w:t>
      </w:r>
      <w:r>
        <w:rPr/>
        <w:t>como</w:t>
      </w:r>
      <w:r>
        <w:rPr>
          <w:spacing w:val="-9"/>
        </w:rPr>
        <w:t> </w:t>
      </w:r>
      <w:r>
        <w:rPr/>
        <w:t>barreira,</w:t>
      </w:r>
      <w:r>
        <w:rPr>
          <w:spacing w:val="-1"/>
        </w:rPr>
        <w:t> </w:t>
      </w:r>
      <w:r>
        <w:rPr/>
        <w:t>reduzindo</w:t>
      </w:r>
      <w:r>
        <w:rPr>
          <w:spacing w:val="-9"/>
        </w:rPr>
        <w:t> </w:t>
      </w:r>
      <w:r>
        <w:rPr/>
        <w:t>a</w:t>
      </w:r>
      <w:r>
        <w:rPr>
          <w:spacing w:val="-11"/>
        </w:rPr>
        <w:t> </w:t>
      </w:r>
      <w:r>
        <w:rPr/>
        <w:t>velocidade</w:t>
      </w:r>
      <w:r>
        <w:rPr>
          <w:spacing w:val="-11"/>
        </w:rPr>
        <w:t> </w:t>
      </w:r>
      <w:r>
        <w:rPr/>
        <w:t>de</w:t>
      </w:r>
      <w:r>
        <w:rPr>
          <w:spacing w:val="-11"/>
        </w:rPr>
        <w:t> </w:t>
      </w:r>
      <w:r>
        <w:rPr/>
        <w:t>deslocamento do sangue com dissipação dessa energia pela parede atrial. Forma-se uma tensão sistólica considerada fator desencadeante de alterações celulares que resultam na gênese de novos sarcômeros dispostos em paralelo, responsável pela hipertrofia concêntrica do átrio direito. Dessa forma, o átrio direito está capacitado a produzir contrações sistólicas mais vigorosas, porém torna-se menos complacente. Sua magnitude fica na dependência da hipertrofia da parede. A contração dessa câmara hipertrofiada é mais vigorosa na tentativa de vencer o obstáculo atrioventricular. Nesse</w:t>
      </w:r>
      <w:r>
        <w:rPr>
          <w:spacing w:val="-8"/>
        </w:rPr>
        <w:t> </w:t>
      </w:r>
      <w:r>
        <w:rPr/>
        <w:t>momento, a</w:t>
      </w:r>
      <w:r>
        <w:rPr>
          <w:spacing w:val="-8"/>
        </w:rPr>
        <w:t> </w:t>
      </w:r>
      <w:r>
        <w:rPr/>
        <w:t>pressão</w:t>
      </w:r>
      <w:r>
        <w:rPr>
          <w:spacing w:val="-5"/>
        </w:rPr>
        <w:t> </w:t>
      </w:r>
      <w:r>
        <w:rPr/>
        <w:t>atrial</w:t>
      </w:r>
      <w:r>
        <w:rPr>
          <w:spacing w:val="-3"/>
        </w:rPr>
        <w:t> </w:t>
      </w:r>
      <w:r>
        <w:rPr/>
        <w:t>pode</w:t>
      </w:r>
      <w:r>
        <w:rPr>
          <w:spacing w:val="-8"/>
        </w:rPr>
        <w:t> </w:t>
      </w:r>
      <w:r>
        <w:rPr/>
        <w:t>se</w:t>
      </w:r>
      <w:r>
        <w:rPr>
          <w:spacing w:val="-8"/>
        </w:rPr>
        <w:t> </w:t>
      </w:r>
      <w:r>
        <w:rPr/>
        <w:t>aproximar dos valores de</w:t>
      </w:r>
      <w:r>
        <w:rPr>
          <w:spacing w:val="-8"/>
        </w:rPr>
        <w:t> </w:t>
      </w:r>
      <w:r>
        <w:rPr/>
        <w:t>pressão</w:t>
      </w:r>
      <w:r>
        <w:rPr>
          <w:spacing w:val="-5"/>
        </w:rPr>
        <w:t> </w:t>
      </w:r>
      <w:r>
        <w:rPr/>
        <w:t>medidos no</w:t>
      </w:r>
      <w:r>
        <w:rPr>
          <w:spacing w:val="-5"/>
        </w:rPr>
        <w:t> </w:t>
      </w:r>
      <w:r>
        <w:rPr/>
        <w:t>VD</w:t>
      </w:r>
      <w:r>
        <w:rPr>
          <w:spacing w:val="-8"/>
        </w:rPr>
        <w:t> </w:t>
      </w:r>
      <w:r>
        <w:rPr/>
        <w:t>durante o período sistólico. É importante, pois, que o ritmo cardíaco permaneça o sinusal. A pressão média do átrio direito também está elevada. Gera-se gradiente de pressão entre o átrio direito e o VD. O gradiente igual ou superior a 4 mmHg é suficiente para definir o diagnóstico de estenose tricúspide. A hipertensão do átrio direito transmite-se ao</w:t>
      </w:r>
    </w:p>
    <w:p>
      <w:pPr>
        <w:pStyle w:val="BodyText"/>
        <w:spacing w:after="0" w:line="276" w:lineRule="auto"/>
        <w:sectPr>
          <w:pgSz w:w="11900" w:h="16840"/>
          <w:pgMar w:top="200" w:bottom="280" w:left="566" w:right="141"/>
        </w:sectPr>
      </w:pPr>
    </w:p>
    <w:p>
      <w:pPr>
        <w:pStyle w:val="BodyText"/>
        <w:spacing w:before="64"/>
        <w:ind w:firstLine="0"/>
        <w:jc w:val="left"/>
      </w:pPr>
      <w:r>
        <w:rPr/>
        <w:t>sistema</w:t>
      </w:r>
      <w:r>
        <w:rPr>
          <w:spacing w:val="-11"/>
        </w:rPr>
        <w:t> </w:t>
      </w:r>
      <w:r>
        <w:rPr/>
        <w:t>vascular</w:t>
      </w:r>
      <w:r>
        <w:rPr>
          <w:spacing w:val="-2"/>
        </w:rPr>
        <w:t> periférico.</w:t>
      </w:r>
    </w:p>
    <w:p>
      <w:pPr>
        <w:pStyle w:val="BodyText"/>
        <w:spacing w:before="177"/>
        <w:ind w:left="0" w:firstLine="0"/>
        <w:jc w:val="left"/>
      </w:pPr>
    </w:p>
    <w:p>
      <w:pPr>
        <w:pStyle w:val="Heading5"/>
      </w:pPr>
      <w:r>
        <w:rPr>
          <w:color w:val="A26108"/>
        </w:rPr>
        <w:t>Quadro</w:t>
      </w:r>
      <w:r>
        <w:rPr>
          <w:color w:val="A26108"/>
          <w:spacing w:val="23"/>
        </w:rPr>
        <w:t> </w:t>
      </w:r>
      <w:r>
        <w:rPr>
          <w:color w:val="A26108"/>
          <w:spacing w:val="-2"/>
        </w:rPr>
        <w:t>clínico</w:t>
      </w:r>
    </w:p>
    <w:p>
      <w:pPr>
        <w:pStyle w:val="BodyText"/>
        <w:spacing w:line="276" w:lineRule="auto" w:before="138"/>
        <w:ind w:right="497"/>
      </w:pPr>
      <w:r>
        <w:rPr/>
        <w:t>As manifestações clínicas expressas pelo paciente</w:t>
      </w:r>
      <w:r>
        <w:rPr>
          <w:spacing w:val="-2"/>
        </w:rPr>
        <w:t> </w:t>
      </w:r>
      <w:r>
        <w:rPr/>
        <w:t>são pobres. Sensação de</w:t>
      </w:r>
      <w:r>
        <w:rPr>
          <w:spacing w:val="-2"/>
        </w:rPr>
        <w:t> </w:t>
      </w:r>
      <w:r>
        <w:rPr/>
        <w:t>aperto no pescoço é</w:t>
      </w:r>
      <w:r>
        <w:rPr>
          <w:spacing w:val="-2"/>
        </w:rPr>
        <w:t> </w:t>
      </w:r>
      <w:r>
        <w:rPr/>
        <w:t>referida</w:t>
      </w:r>
      <w:r>
        <w:rPr>
          <w:spacing w:val="-2"/>
        </w:rPr>
        <w:t> </w:t>
      </w:r>
      <w:r>
        <w:rPr/>
        <w:t>muitas vezes pelos pacientes que apresentam estase jugular grave. Quando a estenose tricúspide coexiste com a estenose mitral, os sintomas estão mais relacionados com esta última patologia, que normalmente predomina sobre a </w:t>
      </w:r>
      <w:r>
        <w:rPr>
          <w:spacing w:val="-2"/>
        </w:rPr>
        <w:t>primeira.</w:t>
      </w:r>
    </w:p>
    <w:p>
      <w:pPr>
        <w:pStyle w:val="BodyText"/>
        <w:spacing w:before="134"/>
        <w:ind w:left="0" w:firstLine="0"/>
        <w:jc w:val="left"/>
      </w:pPr>
    </w:p>
    <w:p>
      <w:pPr>
        <w:pStyle w:val="Heading5"/>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BodyText"/>
        <w:spacing w:line="276" w:lineRule="auto" w:before="122"/>
        <w:ind w:right="497"/>
      </w:pPr>
      <w:r>
        <w:rPr/>
        <w:t>Assim</w:t>
      </w:r>
      <w:r>
        <w:rPr>
          <w:spacing w:val="-2"/>
        </w:rPr>
        <w:t> </w:t>
      </w:r>
      <w:r>
        <w:rPr/>
        <w:t>como</w:t>
      </w:r>
      <w:r>
        <w:rPr>
          <w:spacing w:val="-2"/>
        </w:rPr>
        <w:t> </w:t>
      </w:r>
      <w:r>
        <w:rPr/>
        <w:t>foi descrito</w:t>
      </w:r>
      <w:r>
        <w:rPr>
          <w:spacing w:val="-2"/>
        </w:rPr>
        <w:t> </w:t>
      </w:r>
      <w:r>
        <w:rPr/>
        <w:t>para</w:t>
      </w:r>
      <w:r>
        <w:rPr>
          <w:spacing w:val="-5"/>
        </w:rPr>
        <w:t> </w:t>
      </w:r>
      <w:r>
        <w:rPr/>
        <w:t>a</w:t>
      </w:r>
      <w:r>
        <w:rPr>
          <w:spacing w:val="-5"/>
        </w:rPr>
        <w:t> </w:t>
      </w:r>
      <w:r>
        <w:rPr/>
        <w:t>insuficiência</w:t>
      </w:r>
      <w:r>
        <w:rPr>
          <w:spacing w:val="-5"/>
        </w:rPr>
        <w:t> </w:t>
      </w:r>
      <w:r>
        <w:rPr/>
        <w:t>tricúspide, na</w:t>
      </w:r>
      <w:r>
        <w:rPr>
          <w:spacing w:val="-5"/>
        </w:rPr>
        <w:t> </w:t>
      </w:r>
      <w:r>
        <w:rPr/>
        <w:t>estenose</w:t>
      </w:r>
      <w:r>
        <w:rPr>
          <w:spacing w:val="-5"/>
        </w:rPr>
        <w:t> </w:t>
      </w:r>
      <w:r>
        <w:rPr/>
        <w:t>desta</w:t>
      </w:r>
      <w:r>
        <w:rPr>
          <w:spacing w:val="-5"/>
        </w:rPr>
        <w:t> </w:t>
      </w:r>
      <w:r>
        <w:rPr/>
        <w:t>valva, as veias jugulares apresentam-se distendidas e, enquanto permanecer o ritmo sinusal, as ondas A e V podem ser identificadas como impulsões pré-sistólicas. A identificação do pulso venoso jugular de uma onda A gigante, sem outras evidências de hipertensão pulmonar ou de hipertrofia ventricular direita, sugere a existência da estenose tricúspide. Essas impulsões também podem ser transmitidas para a veia cava inferior. Quando isso ocorre, observa-se pulsão pré-sistólica, epigástrica e pulso hepático.</w:t>
      </w:r>
    </w:p>
    <w:p>
      <w:pPr>
        <w:pStyle w:val="BodyText"/>
        <w:spacing w:line="276" w:lineRule="auto"/>
        <w:ind w:right="498"/>
      </w:pPr>
      <w:r>
        <w:rPr/>
        <w:t>O ruflar diastólico é a expressão estetoacústica da estenose tricúspide. É mais audível no apêndice xifoide, porém há irradiação para o rebordo esternal esquerdo e muitas vezes para a área mitral. Como a estenose mitral é frequente, a estenose tricúspide, que é rara, passa desapercebida. No aumento do fluxo de sangue para o átrio direito durante</w:t>
      </w:r>
      <w:r>
        <w:rPr>
          <w:spacing w:val="-3"/>
        </w:rPr>
        <w:t> </w:t>
      </w:r>
      <w:r>
        <w:rPr/>
        <w:t>a</w:t>
      </w:r>
      <w:r>
        <w:rPr>
          <w:spacing w:val="-3"/>
        </w:rPr>
        <w:t> </w:t>
      </w:r>
      <w:r>
        <w:rPr/>
        <w:t>inspiração profunda, a</w:t>
      </w:r>
      <w:r>
        <w:rPr>
          <w:spacing w:val="-3"/>
        </w:rPr>
        <w:t> </w:t>
      </w:r>
      <w:r>
        <w:rPr/>
        <w:t>manobra</w:t>
      </w:r>
      <w:r>
        <w:rPr>
          <w:spacing w:val="-3"/>
        </w:rPr>
        <w:t> </w:t>
      </w:r>
      <w:r>
        <w:rPr/>
        <w:t>de</w:t>
      </w:r>
      <w:r>
        <w:rPr>
          <w:spacing w:val="-3"/>
        </w:rPr>
        <w:t> </w:t>
      </w:r>
      <w:r>
        <w:rPr/>
        <w:t>Rivero-Carvallo intensifica</w:t>
      </w:r>
      <w:r>
        <w:rPr>
          <w:spacing w:val="-3"/>
        </w:rPr>
        <w:t> </w:t>
      </w:r>
      <w:r>
        <w:rPr/>
        <w:t>o sopro, tornando-se</w:t>
      </w:r>
      <w:r>
        <w:rPr>
          <w:spacing w:val="-3"/>
        </w:rPr>
        <w:t> </w:t>
      </w:r>
      <w:r>
        <w:rPr/>
        <w:t>procedimento auxiliar para o diagnóstico diferencial com a estenose mitral.</w:t>
      </w:r>
    </w:p>
    <w:p>
      <w:pPr>
        <w:pStyle w:val="BodyText"/>
        <w:spacing w:before="25"/>
        <w:ind w:left="0" w:firstLine="0"/>
        <w:jc w:val="left"/>
      </w:pPr>
    </w:p>
    <w:p>
      <w:pPr>
        <w:pStyle w:val="Heading7"/>
      </w:pPr>
      <w:r>
        <w:rPr>
          <w:color w:val="242B67"/>
          <w:spacing w:val="-2"/>
        </w:rPr>
        <w:t>Eletrocardiograma</w:t>
      </w:r>
    </w:p>
    <w:p>
      <w:pPr>
        <w:pStyle w:val="BodyText"/>
        <w:spacing w:line="276" w:lineRule="auto" w:before="126"/>
        <w:ind w:right="488"/>
      </w:pPr>
      <w:r>
        <w:rPr/>
        <w:t>Quando o ritmo é o sinusal e a dilatação do átrio direito supera a hipertrofia, registram-se ondas P com grande amplitude, acima de 0,25 mV, nas derivações D2 e V1, por sua vez, o aumento do átrio direito pode ser expresso por</w:t>
      </w:r>
      <w:r>
        <w:rPr>
          <w:spacing w:val="-1"/>
        </w:rPr>
        <w:t> </w:t>
      </w:r>
      <w:r>
        <w:rPr/>
        <w:t>reduzida</w:t>
      </w:r>
      <w:r>
        <w:rPr>
          <w:spacing w:val="-8"/>
        </w:rPr>
        <w:t> </w:t>
      </w:r>
      <w:r>
        <w:rPr/>
        <w:t>voltagem</w:t>
      </w:r>
      <w:r>
        <w:rPr>
          <w:spacing w:val="-6"/>
        </w:rPr>
        <w:t> </w:t>
      </w:r>
      <w:r>
        <w:rPr/>
        <w:t>do</w:t>
      </w:r>
      <w:r>
        <w:rPr>
          <w:spacing w:val="-6"/>
        </w:rPr>
        <w:t> </w:t>
      </w:r>
      <w:r>
        <w:rPr/>
        <w:t>complexo</w:t>
      </w:r>
      <w:r>
        <w:rPr>
          <w:spacing w:val="-6"/>
        </w:rPr>
        <w:t> </w:t>
      </w:r>
      <w:r>
        <w:rPr/>
        <w:t>QRS</w:t>
      </w:r>
      <w:r>
        <w:rPr>
          <w:spacing w:val="-3"/>
        </w:rPr>
        <w:t> </w:t>
      </w:r>
      <w:r>
        <w:rPr/>
        <w:t>na</w:t>
      </w:r>
      <w:r>
        <w:rPr>
          <w:spacing w:val="-8"/>
        </w:rPr>
        <w:t> </w:t>
      </w:r>
      <w:r>
        <w:rPr/>
        <w:t>derivação</w:t>
      </w:r>
      <w:r>
        <w:rPr>
          <w:spacing w:val="-6"/>
        </w:rPr>
        <w:t> </w:t>
      </w:r>
      <w:r>
        <w:rPr/>
        <w:t>V1. A</w:t>
      </w:r>
      <w:r>
        <w:rPr>
          <w:spacing w:val="-8"/>
        </w:rPr>
        <w:t> </w:t>
      </w:r>
      <w:r>
        <w:rPr/>
        <w:t>frequente</w:t>
      </w:r>
      <w:r>
        <w:rPr>
          <w:spacing w:val="-8"/>
        </w:rPr>
        <w:t> </w:t>
      </w:r>
      <w:r>
        <w:rPr/>
        <w:t>coexistência</w:t>
      </w:r>
      <w:r>
        <w:rPr>
          <w:spacing w:val="-8"/>
        </w:rPr>
        <w:t> </w:t>
      </w:r>
      <w:r>
        <w:rPr/>
        <w:t>da</w:t>
      </w:r>
      <w:r>
        <w:rPr>
          <w:spacing w:val="-8"/>
        </w:rPr>
        <w:t> </w:t>
      </w:r>
      <w:r>
        <w:rPr/>
        <w:t>estenose</w:t>
      </w:r>
      <w:r>
        <w:rPr>
          <w:spacing w:val="-8"/>
        </w:rPr>
        <w:t> </w:t>
      </w:r>
      <w:r>
        <w:rPr/>
        <w:t>mitral</w:t>
      </w:r>
      <w:r>
        <w:rPr>
          <w:spacing w:val="-3"/>
        </w:rPr>
        <w:t> </w:t>
      </w:r>
      <w:r>
        <w:rPr/>
        <w:t>confunde</w:t>
      </w:r>
      <w:r>
        <w:rPr>
          <w:spacing w:val="-8"/>
        </w:rPr>
        <w:t> </w:t>
      </w:r>
      <w:r>
        <w:rPr/>
        <w:t>os achados do registro gráfico. Nessa</w:t>
      </w:r>
      <w:r>
        <w:rPr>
          <w:spacing w:val="-2"/>
        </w:rPr>
        <w:t> </w:t>
      </w:r>
      <w:r>
        <w:rPr/>
        <w:t>situação, a</w:t>
      </w:r>
      <w:r>
        <w:rPr>
          <w:spacing w:val="-2"/>
        </w:rPr>
        <w:t> </w:t>
      </w:r>
      <w:r>
        <w:rPr/>
        <w:t>onda</w:t>
      </w:r>
      <w:r>
        <w:rPr>
          <w:spacing w:val="-2"/>
        </w:rPr>
        <w:t> </w:t>
      </w:r>
      <w:r>
        <w:rPr/>
        <w:t>P nas derivações D2 – D3 – aVF está</w:t>
      </w:r>
      <w:r>
        <w:rPr>
          <w:spacing w:val="-2"/>
        </w:rPr>
        <w:t> </w:t>
      </w:r>
      <w:r>
        <w:rPr/>
        <w:t>aumentada</w:t>
      </w:r>
      <w:r>
        <w:rPr>
          <w:spacing w:val="-2"/>
        </w:rPr>
        <w:t> </w:t>
      </w:r>
      <w:r>
        <w:rPr/>
        <w:t>e</w:t>
      </w:r>
      <w:r>
        <w:rPr>
          <w:spacing w:val="-2"/>
        </w:rPr>
        <w:t> </w:t>
      </w:r>
      <w:r>
        <w:rPr/>
        <w:t>larga.</w:t>
      </w:r>
    </w:p>
    <w:p>
      <w:pPr>
        <w:pStyle w:val="BodyText"/>
        <w:spacing w:before="9"/>
        <w:ind w:left="0" w:firstLine="0"/>
        <w:jc w:val="left"/>
      </w:pPr>
    </w:p>
    <w:p>
      <w:pPr>
        <w:pStyle w:val="Heading7"/>
      </w:pPr>
      <w:r>
        <w:rPr>
          <w:color w:val="242B67"/>
          <w:spacing w:val="-2"/>
        </w:rPr>
        <w:t>Radiologia</w:t>
      </w:r>
    </w:p>
    <w:p>
      <w:pPr>
        <w:pStyle w:val="BodyText"/>
        <w:spacing w:line="276" w:lineRule="auto" w:before="142"/>
        <w:ind w:right="491"/>
      </w:pPr>
      <w:r>
        <w:rPr/>
        <w:t>No exame radiológico do paciente com estenose tricúspide isolada e grave, as veias cava superior e ázigo encontram-se dilatadas, mas não se nota dilatação da artéria pulmonar.</w:t>
      </w:r>
    </w:p>
    <w:p>
      <w:pPr>
        <w:pStyle w:val="BodyText"/>
        <w:spacing w:before="8"/>
        <w:ind w:left="0" w:firstLine="0"/>
        <w:jc w:val="left"/>
      </w:pPr>
    </w:p>
    <w:p>
      <w:pPr>
        <w:pStyle w:val="Heading7"/>
      </w:pPr>
      <w:r>
        <w:rPr>
          <w:color w:val="242B67"/>
          <w:spacing w:val="-2"/>
        </w:rPr>
        <w:t>Ecodopplercardiograma</w:t>
      </w:r>
    </w:p>
    <w:p>
      <w:pPr>
        <w:pStyle w:val="BodyText"/>
        <w:spacing w:line="276" w:lineRule="auto" w:before="143"/>
        <w:ind w:right="488"/>
      </w:pPr>
      <w:r>
        <w:rPr/>
        <w:t>Apesar da visualização da valva tricúspide ser mais difícil, este exame tem se mostrado útil no diagnóstico da estenose</w:t>
      </w:r>
      <w:r>
        <w:rPr>
          <w:spacing w:val="-4"/>
        </w:rPr>
        <w:t> </w:t>
      </w:r>
      <w:r>
        <w:rPr/>
        <w:t>tricúspide, identificando</w:t>
      </w:r>
      <w:r>
        <w:rPr>
          <w:spacing w:val="-1"/>
        </w:rPr>
        <w:t> </w:t>
      </w:r>
      <w:r>
        <w:rPr/>
        <w:t>imagens de</w:t>
      </w:r>
      <w:r>
        <w:rPr>
          <w:spacing w:val="-4"/>
        </w:rPr>
        <w:t> </w:t>
      </w:r>
      <w:r>
        <w:rPr/>
        <w:t>calcificação, espessamento</w:t>
      </w:r>
      <w:r>
        <w:rPr>
          <w:spacing w:val="-1"/>
        </w:rPr>
        <w:t> </w:t>
      </w:r>
      <w:r>
        <w:rPr/>
        <w:t>e</w:t>
      </w:r>
      <w:r>
        <w:rPr>
          <w:spacing w:val="-4"/>
        </w:rPr>
        <w:t> </w:t>
      </w:r>
      <w:r>
        <w:rPr/>
        <w:t>abaulamento.</w:t>
      </w:r>
    </w:p>
    <w:p>
      <w:pPr>
        <w:pStyle w:val="BodyText"/>
        <w:spacing w:before="133"/>
        <w:ind w:left="0" w:firstLine="0"/>
        <w:jc w:val="left"/>
      </w:pPr>
    </w:p>
    <w:p>
      <w:pPr>
        <w:pStyle w:val="Heading5"/>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22"/>
        <w:ind w:right="491"/>
      </w:pPr>
      <w:r>
        <w:rPr/>
        <w:t>Na estenose tricúspide isolada, que cursa com repercussão sistêmica de leve a moderada magnitude, o tratamento medicamentoso, notadamente os diuréticos, traz alívio aos sintomas e retarda o momento cirúrgico. A presença</w:t>
      </w:r>
      <w:r>
        <w:rPr>
          <w:spacing w:val="-4"/>
        </w:rPr>
        <w:t> </w:t>
      </w:r>
      <w:r>
        <w:rPr/>
        <w:t>de</w:t>
      </w:r>
      <w:r>
        <w:rPr>
          <w:spacing w:val="-4"/>
        </w:rPr>
        <w:t> </w:t>
      </w:r>
      <w:r>
        <w:rPr/>
        <w:t>ascite, edemas periféricos não</w:t>
      </w:r>
      <w:r>
        <w:rPr>
          <w:spacing w:val="-1"/>
        </w:rPr>
        <w:t> </w:t>
      </w:r>
      <w:r>
        <w:rPr/>
        <w:t>controláveis e</w:t>
      </w:r>
      <w:r>
        <w:rPr>
          <w:spacing w:val="-4"/>
        </w:rPr>
        <w:t> </w:t>
      </w:r>
      <w:r>
        <w:rPr/>
        <w:t>epistaxe</w:t>
      </w:r>
      <w:r>
        <w:rPr>
          <w:spacing w:val="-4"/>
        </w:rPr>
        <w:t> </w:t>
      </w:r>
      <w:r>
        <w:rPr/>
        <w:t>são</w:t>
      </w:r>
      <w:r>
        <w:rPr>
          <w:spacing w:val="-1"/>
        </w:rPr>
        <w:t> </w:t>
      </w:r>
      <w:r>
        <w:rPr/>
        <w:t>repercussões da</w:t>
      </w:r>
      <w:r>
        <w:rPr>
          <w:spacing w:val="-4"/>
        </w:rPr>
        <w:t> </w:t>
      </w:r>
      <w:r>
        <w:rPr/>
        <w:t>estenose</w:t>
      </w:r>
      <w:r>
        <w:rPr>
          <w:spacing w:val="-4"/>
        </w:rPr>
        <w:t> </w:t>
      </w:r>
      <w:r>
        <w:rPr/>
        <w:t>tricúspide</w:t>
      </w:r>
      <w:r>
        <w:rPr>
          <w:spacing w:val="-4"/>
        </w:rPr>
        <w:t> </w:t>
      </w:r>
      <w:r>
        <w:rPr/>
        <w:t>grave. A cirurgia corretiva se impõe nesses casos. A dilatação por balão tem sido indicada por vários autores, entretanto, os resultados ainda são precários.</w:t>
      </w:r>
    </w:p>
    <w:p>
      <w:pPr>
        <w:pStyle w:val="BodyText"/>
        <w:spacing w:line="276" w:lineRule="auto"/>
        <w:ind w:right="491"/>
      </w:pPr>
      <w:r>
        <w:rPr/>
        <w:t>A decisão final do melhor procedimento, se comissurotomia ou implante de prótese, é tomada durante o ato </w:t>
      </w:r>
      <w:r>
        <w:rPr>
          <w:spacing w:val="-2"/>
        </w:rPr>
        <w:t>operatório.</w:t>
      </w:r>
    </w:p>
    <w:p>
      <w:pPr>
        <w:pStyle w:val="BodyText"/>
        <w:spacing w:before="186"/>
        <w:ind w:left="0" w:firstLine="0"/>
        <w:jc w:val="left"/>
      </w:pPr>
    </w:p>
    <w:p>
      <w:pPr>
        <w:pStyle w:val="Heading4"/>
      </w:pPr>
      <w:r>
        <w:rPr>
          <w:color w:val="242B67"/>
        </w:rPr>
        <w:t>Insuficiência valvar </w:t>
      </w:r>
      <w:r>
        <w:rPr>
          <w:color w:val="242B67"/>
          <w:spacing w:val="-2"/>
        </w:rPr>
        <w:t>tricúspide</w:t>
      </w:r>
    </w:p>
    <w:p>
      <w:pPr>
        <w:pStyle w:val="BodyText"/>
        <w:spacing w:line="276" w:lineRule="auto" w:before="132"/>
        <w:ind w:right="488"/>
      </w:pPr>
      <w:r>
        <w:rPr/>
        <w:t>A insuficiência tricúspide primária pode ocorrer de forma aguda ou lenta; entretanto, quando secundária à hipertensão</w:t>
      </w:r>
      <w:r>
        <w:rPr>
          <w:spacing w:val="-6"/>
        </w:rPr>
        <w:t> </w:t>
      </w:r>
      <w:r>
        <w:rPr/>
        <w:t>pulmonar decorrente</w:t>
      </w:r>
      <w:r>
        <w:rPr>
          <w:spacing w:val="-8"/>
        </w:rPr>
        <w:t> </w:t>
      </w:r>
      <w:r>
        <w:rPr/>
        <w:t>de</w:t>
      </w:r>
      <w:r>
        <w:rPr>
          <w:spacing w:val="-8"/>
        </w:rPr>
        <w:t> </w:t>
      </w:r>
      <w:r>
        <w:rPr/>
        <w:t>outras doenças, é</w:t>
      </w:r>
      <w:r>
        <w:rPr>
          <w:spacing w:val="-8"/>
        </w:rPr>
        <w:t> </w:t>
      </w:r>
      <w:r>
        <w:rPr/>
        <w:t>lenta</w:t>
      </w:r>
      <w:r>
        <w:rPr>
          <w:spacing w:val="-8"/>
        </w:rPr>
        <w:t> </w:t>
      </w:r>
      <w:r>
        <w:rPr/>
        <w:t>e</w:t>
      </w:r>
      <w:r>
        <w:rPr>
          <w:spacing w:val="-8"/>
        </w:rPr>
        <w:t> </w:t>
      </w:r>
      <w:r>
        <w:rPr/>
        <w:t>progressiva. A</w:t>
      </w:r>
      <w:r>
        <w:rPr>
          <w:spacing w:val="-8"/>
        </w:rPr>
        <w:t> </w:t>
      </w:r>
      <w:r>
        <w:rPr/>
        <w:t>imperfeita</w:t>
      </w:r>
      <w:r>
        <w:rPr>
          <w:spacing w:val="-8"/>
        </w:rPr>
        <w:t> </w:t>
      </w:r>
      <w:r>
        <w:rPr/>
        <w:t>aproximação</w:t>
      </w:r>
      <w:r>
        <w:rPr>
          <w:spacing w:val="-6"/>
        </w:rPr>
        <w:t> </w:t>
      </w:r>
      <w:r>
        <w:rPr/>
        <w:t>das bordas das valvas na</w:t>
      </w:r>
      <w:r>
        <w:rPr>
          <w:spacing w:val="-1"/>
        </w:rPr>
        <w:t> </w:t>
      </w:r>
      <w:r>
        <w:rPr/>
        <w:t>regurgitação tricúspide</w:t>
      </w:r>
      <w:r>
        <w:rPr>
          <w:spacing w:val="-1"/>
        </w:rPr>
        <w:t> </w:t>
      </w:r>
      <w:r>
        <w:rPr/>
        <w:t>é</w:t>
      </w:r>
      <w:r>
        <w:rPr>
          <w:spacing w:val="-1"/>
        </w:rPr>
        <w:t> </w:t>
      </w:r>
      <w:r>
        <w:rPr/>
        <w:t>frequentemente</w:t>
      </w:r>
      <w:r>
        <w:rPr>
          <w:spacing w:val="-1"/>
        </w:rPr>
        <w:t> </w:t>
      </w:r>
      <w:r>
        <w:rPr/>
        <w:t>funcional e</w:t>
      </w:r>
      <w:r>
        <w:rPr>
          <w:spacing w:val="-1"/>
        </w:rPr>
        <w:t> </w:t>
      </w:r>
      <w:r>
        <w:rPr/>
        <w:t>de</w:t>
      </w:r>
      <w:r>
        <w:rPr>
          <w:spacing w:val="-1"/>
        </w:rPr>
        <w:t> </w:t>
      </w:r>
      <w:r>
        <w:rPr/>
        <w:t>instalação lenta.</w:t>
      </w:r>
    </w:p>
    <w:p>
      <w:pPr>
        <w:pStyle w:val="BodyText"/>
        <w:spacing w:after="0" w:line="276" w:lineRule="auto"/>
        <w:sectPr>
          <w:pgSz w:w="11900" w:h="16840"/>
          <w:pgMar w:top="200" w:bottom="0" w:left="566" w:right="141"/>
        </w:sectPr>
      </w:pPr>
    </w:p>
    <w:p>
      <w:pPr>
        <w:pStyle w:val="BodyText"/>
        <w:spacing w:line="276" w:lineRule="auto" w:before="67"/>
        <w:ind w:right="491"/>
      </w:pPr>
      <w:r>
        <w:rPr/>
        <w:t>As doenças que produzem hipertensão no VD levam à dilatação dessa câmara e à incapacidade de redução adequada do anel tricúspide durante a sístole. São exemplos: as doenças vasculares pulmonares primárias – </w:t>
      </w:r>
      <w:r>
        <w:rPr>
          <w:i/>
        </w:rPr>
        <w:t>cor pulmonale</w:t>
      </w:r>
      <w:r>
        <w:rPr>
          <w:i/>
          <w:spacing w:val="-3"/>
        </w:rPr>
        <w:t> </w:t>
      </w:r>
      <w:r>
        <w:rPr/>
        <w:t>– ou as secundárias à</w:t>
      </w:r>
      <w:r>
        <w:rPr>
          <w:spacing w:val="-3"/>
        </w:rPr>
        <w:t> </w:t>
      </w:r>
      <w:r>
        <w:rPr/>
        <w:t>hipertensão arteriolar pulmonar causada</w:t>
      </w:r>
      <w:r>
        <w:rPr>
          <w:spacing w:val="-3"/>
        </w:rPr>
        <w:t> </w:t>
      </w:r>
      <w:r>
        <w:rPr/>
        <w:t>pela</w:t>
      </w:r>
      <w:r>
        <w:rPr>
          <w:spacing w:val="-3"/>
        </w:rPr>
        <w:t> </w:t>
      </w:r>
      <w:r>
        <w:rPr/>
        <w:t>valvopatia</w:t>
      </w:r>
      <w:r>
        <w:rPr>
          <w:spacing w:val="-3"/>
        </w:rPr>
        <w:t> </w:t>
      </w:r>
      <w:r>
        <w:rPr/>
        <w:t>mitral.</w:t>
      </w:r>
    </w:p>
    <w:p>
      <w:pPr>
        <w:pStyle w:val="BodyText"/>
        <w:spacing w:line="276" w:lineRule="auto"/>
        <w:ind w:right="488"/>
      </w:pPr>
      <w:r>
        <w:rPr/>
        <w:t>A</w:t>
      </w:r>
      <w:r>
        <w:rPr>
          <w:spacing w:val="-3"/>
        </w:rPr>
        <w:t> </w:t>
      </w:r>
      <w:r>
        <w:rPr/>
        <w:t>síndrome</w:t>
      </w:r>
      <w:r>
        <w:rPr>
          <w:spacing w:val="-3"/>
        </w:rPr>
        <w:t> </w:t>
      </w:r>
      <w:r>
        <w:rPr/>
        <w:t>de</w:t>
      </w:r>
      <w:r>
        <w:rPr>
          <w:spacing w:val="-3"/>
        </w:rPr>
        <w:t> </w:t>
      </w:r>
      <w:r>
        <w:rPr/>
        <w:t>Eisenmenger é</w:t>
      </w:r>
      <w:r>
        <w:rPr>
          <w:spacing w:val="-3"/>
        </w:rPr>
        <w:t> </w:t>
      </w:r>
      <w:r>
        <w:rPr/>
        <w:t>doença</w:t>
      </w:r>
      <w:r>
        <w:rPr>
          <w:spacing w:val="-3"/>
        </w:rPr>
        <w:t> </w:t>
      </w:r>
      <w:r>
        <w:rPr/>
        <w:t>de</w:t>
      </w:r>
      <w:r>
        <w:rPr>
          <w:spacing w:val="-3"/>
        </w:rPr>
        <w:t> </w:t>
      </w:r>
      <w:r>
        <w:rPr/>
        <w:t>natureza</w:t>
      </w:r>
      <w:r>
        <w:rPr>
          <w:spacing w:val="-3"/>
        </w:rPr>
        <w:t> </w:t>
      </w:r>
      <w:r>
        <w:rPr/>
        <w:t>congênita</w:t>
      </w:r>
      <w:r>
        <w:rPr>
          <w:spacing w:val="-3"/>
        </w:rPr>
        <w:t> </w:t>
      </w:r>
      <w:r>
        <w:rPr/>
        <w:t>que</w:t>
      </w:r>
      <w:r>
        <w:rPr>
          <w:spacing w:val="-3"/>
        </w:rPr>
        <w:t> </w:t>
      </w:r>
      <w:r>
        <w:rPr/>
        <w:t>frequentemente</w:t>
      </w:r>
      <w:r>
        <w:rPr>
          <w:spacing w:val="-3"/>
        </w:rPr>
        <w:t> </w:t>
      </w:r>
      <w:r>
        <w:rPr/>
        <w:t>compromete</w:t>
      </w:r>
      <w:r>
        <w:rPr>
          <w:spacing w:val="-3"/>
        </w:rPr>
        <w:t> </w:t>
      </w:r>
      <w:r>
        <w:rPr/>
        <w:t>o</w:t>
      </w:r>
      <w:r>
        <w:rPr>
          <w:spacing w:val="-1"/>
        </w:rPr>
        <w:t> </w:t>
      </w:r>
      <w:r>
        <w:rPr/>
        <w:t>VD. A</w:t>
      </w:r>
      <w:r>
        <w:rPr>
          <w:spacing w:val="-3"/>
        </w:rPr>
        <w:t> </w:t>
      </w:r>
      <w:r>
        <w:rPr/>
        <w:t>lesão</w:t>
      </w:r>
      <w:r>
        <w:rPr>
          <w:spacing w:val="-1"/>
        </w:rPr>
        <w:t> </w:t>
      </w:r>
      <w:r>
        <w:rPr/>
        <w:t>de Ebstein por implantação anômala das valvas tricúspides e a dilatação do anel tricúspide observada na síndrome de Marfan, assim como a degeneração mixomatosa no prolapso da valva tricúspide, são outras manifestações não muito frequentes causadoras de regurgitação tricúspide. A síndrome carcinoide com depósito de tecido fibroso sobre</w:t>
      </w:r>
      <w:r>
        <w:rPr>
          <w:spacing w:val="-10"/>
        </w:rPr>
        <w:t> </w:t>
      </w:r>
      <w:r>
        <w:rPr/>
        <w:t>as cúspides, o</w:t>
      </w:r>
      <w:r>
        <w:rPr>
          <w:spacing w:val="-7"/>
        </w:rPr>
        <w:t> </w:t>
      </w:r>
      <w:r>
        <w:rPr/>
        <w:t>mixoma</w:t>
      </w:r>
      <w:r>
        <w:rPr>
          <w:spacing w:val="-10"/>
        </w:rPr>
        <w:t> </w:t>
      </w:r>
      <w:r>
        <w:rPr/>
        <w:t>de</w:t>
      </w:r>
      <w:r>
        <w:rPr>
          <w:spacing w:val="-10"/>
        </w:rPr>
        <w:t> </w:t>
      </w:r>
      <w:r>
        <w:rPr/>
        <w:t>átrio</w:t>
      </w:r>
      <w:r>
        <w:rPr>
          <w:spacing w:val="-7"/>
        </w:rPr>
        <w:t> </w:t>
      </w:r>
      <w:r>
        <w:rPr/>
        <w:t>direito</w:t>
      </w:r>
      <w:r>
        <w:rPr>
          <w:spacing w:val="-7"/>
        </w:rPr>
        <w:t> </w:t>
      </w:r>
      <w:r>
        <w:rPr/>
        <w:t>e</w:t>
      </w:r>
      <w:r>
        <w:rPr>
          <w:spacing w:val="-10"/>
        </w:rPr>
        <w:t> </w:t>
      </w:r>
      <w:r>
        <w:rPr/>
        <w:t>a</w:t>
      </w:r>
      <w:r>
        <w:rPr>
          <w:spacing w:val="-10"/>
        </w:rPr>
        <w:t> </w:t>
      </w:r>
      <w:r>
        <w:rPr/>
        <w:t>endomiocardiofibrose</w:t>
      </w:r>
      <w:r>
        <w:rPr>
          <w:spacing w:val="-10"/>
        </w:rPr>
        <w:t> </w:t>
      </w:r>
      <w:r>
        <w:rPr/>
        <w:t>são, igualmente, causas de</w:t>
      </w:r>
      <w:r>
        <w:rPr>
          <w:spacing w:val="-10"/>
        </w:rPr>
        <w:t> </w:t>
      </w:r>
      <w:r>
        <w:rPr/>
        <w:t>comprometimento do</w:t>
      </w:r>
      <w:r>
        <w:rPr>
          <w:spacing w:val="-4"/>
        </w:rPr>
        <w:t> </w:t>
      </w:r>
      <w:r>
        <w:rPr/>
        <w:t>aparelho</w:t>
      </w:r>
      <w:r>
        <w:rPr>
          <w:spacing w:val="-4"/>
        </w:rPr>
        <w:t> </w:t>
      </w:r>
      <w:r>
        <w:rPr/>
        <w:t>valvar pouco</w:t>
      </w:r>
      <w:r>
        <w:rPr>
          <w:spacing w:val="-4"/>
        </w:rPr>
        <w:t> </w:t>
      </w:r>
      <w:r>
        <w:rPr/>
        <w:t>frequentes. Fármacos anorexígenos também</w:t>
      </w:r>
      <w:r>
        <w:rPr>
          <w:spacing w:val="-4"/>
        </w:rPr>
        <w:t> </w:t>
      </w:r>
      <w:r>
        <w:rPr/>
        <w:t>podem</w:t>
      </w:r>
      <w:r>
        <w:rPr>
          <w:spacing w:val="-4"/>
        </w:rPr>
        <w:t> </w:t>
      </w:r>
      <w:r>
        <w:rPr/>
        <w:t>causar infecção</w:t>
      </w:r>
      <w:r>
        <w:rPr>
          <w:spacing w:val="-4"/>
        </w:rPr>
        <w:t> </w:t>
      </w:r>
      <w:r>
        <w:rPr/>
        <w:t>tricúspide.</w:t>
      </w:r>
    </w:p>
    <w:p>
      <w:pPr>
        <w:pStyle w:val="BodyText"/>
        <w:spacing w:line="276" w:lineRule="auto" w:before="49"/>
        <w:ind w:right="488"/>
      </w:pPr>
      <w:r>
        <w:rPr/>
        <w:t>A</w:t>
      </w:r>
      <w:r>
        <w:rPr>
          <w:spacing w:val="-9"/>
        </w:rPr>
        <w:t> </w:t>
      </w:r>
      <w:r>
        <w:rPr/>
        <w:t>natureza</w:t>
      </w:r>
      <w:r>
        <w:rPr>
          <w:spacing w:val="-9"/>
        </w:rPr>
        <w:t> </w:t>
      </w:r>
      <w:r>
        <w:rPr/>
        <w:t>reumatismal, com</w:t>
      </w:r>
      <w:r>
        <w:rPr>
          <w:spacing w:val="-6"/>
        </w:rPr>
        <w:t> </w:t>
      </w:r>
      <w:r>
        <w:rPr/>
        <w:t>o</w:t>
      </w:r>
      <w:r>
        <w:rPr>
          <w:spacing w:val="-6"/>
        </w:rPr>
        <w:t> </w:t>
      </w:r>
      <w:r>
        <w:rPr/>
        <w:t>comprometimento</w:t>
      </w:r>
      <w:r>
        <w:rPr>
          <w:spacing w:val="-6"/>
        </w:rPr>
        <w:t> </w:t>
      </w:r>
      <w:r>
        <w:rPr/>
        <w:t>primário</w:t>
      </w:r>
      <w:r>
        <w:rPr>
          <w:spacing w:val="-6"/>
        </w:rPr>
        <w:t> </w:t>
      </w:r>
      <w:r>
        <w:rPr/>
        <w:t>do</w:t>
      </w:r>
      <w:r>
        <w:rPr>
          <w:spacing w:val="-6"/>
        </w:rPr>
        <w:t> </w:t>
      </w:r>
      <w:r>
        <w:rPr/>
        <w:t>aparelho</w:t>
      </w:r>
      <w:r>
        <w:rPr>
          <w:spacing w:val="-6"/>
        </w:rPr>
        <w:t> </w:t>
      </w:r>
      <w:r>
        <w:rPr/>
        <w:t>tricúspide, é</w:t>
      </w:r>
      <w:r>
        <w:rPr>
          <w:spacing w:val="-9"/>
        </w:rPr>
        <w:t> </w:t>
      </w:r>
      <w:r>
        <w:rPr/>
        <w:t>encontrada</w:t>
      </w:r>
      <w:r>
        <w:rPr>
          <w:spacing w:val="-9"/>
        </w:rPr>
        <w:t> </w:t>
      </w:r>
      <w:r>
        <w:rPr/>
        <w:t>em</w:t>
      </w:r>
      <w:r>
        <w:rPr>
          <w:spacing w:val="-6"/>
        </w:rPr>
        <w:t> </w:t>
      </w:r>
      <w:r>
        <w:rPr/>
        <w:t>apenas 10</w:t>
      </w:r>
      <w:r>
        <w:rPr>
          <w:spacing w:val="-6"/>
        </w:rPr>
        <w:t> </w:t>
      </w:r>
      <w:r>
        <w:rPr/>
        <w:t>e 15% dos pacientes com doença reumática diagnosticada. Em tal situação, é frequente o comprometimento simultâneo de outras estruturas valvares.</w:t>
      </w:r>
    </w:p>
    <w:p>
      <w:pPr>
        <w:pStyle w:val="BodyText"/>
        <w:spacing w:line="276" w:lineRule="auto" w:before="64"/>
        <w:ind w:right="491"/>
      </w:pPr>
      <w:r>
        <w:rPr/>
        <w:t>A utilização crescente de exames complementares invasivos, como o cateterismo e o monitoramento hemodinâmico cardíaco na cabeceira do paciente, e a facilidade da infusão parenteral de medicação por meio de cateterismo</w:t>
      </w:r>
      <w:r>
        <w:rPr>
          <w:spacing w:val="-2"/>
        </w:rPr>
        <w:t> </w:t>
      </w:r>
      <w:r>
        <w:rPr/>
        <w:t>venoso, expõem</w:t>
      </w:r>
      <w:r>
        <w:rPr>
          <w:spacing w:val="-2"/>
        </w:rPr>
        <w:t> </w:t>
      </w:r>
      <w:r>
        <w:rPr/>
        <w:t>as estruturas valvares tricúspides à</w:t>
      </w:r>
      <w:r>
        <w:rPr>
          <w:spacing w:val="-4"/>
        </w:rPr>
        <w:t> </w:t>
      </w:r>
      <w:r>
        <w:rPr/>
        <w:t>instalação</w:t>
      </w:r>
      <w:r>
        <w:rPr>
          <w:spacing w:val="-2"/>
        </w:rPr>
        <w:t> </w:t>
      </w:r>
      <w:r>
        <w:rPr/>
        <w:t>de</w:t>
      </w:r>
      <w:r>
        <w:rPr>
          <w:spacing w:val="-4"/>
        </w:rPr>
        <w:t> </w:t>
      </w:r>
      <w:r>
        <w:rPr/>
        <w:t>endocardite</w:t>
      </w:r>
      <w:r>
        <w:rPr>
          <w:spacing w:val="-4"/>
        </w:rPr>
        <w:t> </w:t>
      </w:r>
      <w:r>
        <w:rPr/>
        <w:t>infecciosa</w:t>
      </w:r>
      <w:r>
        <w:rPr>
          <w:spacing w:val="-4"/>
        </w:rPr>
        <w:t> </w:t>
      </w:r>
      <w:r>
        <w:rPr/>
        <w:t>e</w:t>
      </w:r>
      <w:r>
        <w:rPr>
          <w:spacing w:val="-4"/>
        </w:rPr>
        <w:t> </w:t>
      </w:r>
      <w:r>
        <w:rPr/>
        <w:t>sequelas nas </w:t>
      </w:r>
      <w:r>
        <w:rPr>
          <w:spacing w:val="-2"/>
        </w:rPr>
        <w:t>cúspides.</w:t>
      </w:r>
    </w:p>
    <w:p>
      <w:pPr>
        <w:pStyle w:val="BodyText"/>
        <w:spacing w:line="276" w:lineRule="auto" w:before="49"/>
        <w:ind w:right="488"/>
      </w:pPr>
      <w:r>
        <w:rPr/>
        <w:t>Quando pacientes viciados em drogas apresentam insuficiência tricúspide, sua etiologia pode ser atribuída à endocardite infecciosa por estafilococos.</w:t>
      </w:r>
    </w:p>
    <w:p>
      <w:pPr>
        <w:pStyle w:val="BodyText"/>
        <w:spacing w:line="276" w:lineRule="auto" w:before="64"/>
        <w:ind w:right="497"/>
      </w:pPr>
      <w:r>
        <w:rPr/>
        <w:t>O</w:t>
      </w:r>
      <w:r>
        <w:rPr>
          <w:spacing w:val="-12"/>
        </w:rPr>
        <w:t> </w:t>
      </w:r>
      <w:r>
        <w:rPr/>
        <w:t>comprometimento</w:t>
      </w:r>
      <w:r>
        <w:rPr>
          <w:spacing w:val="-10"/>
        </w:rPr>
        <w:t> </w:t>
      </w:r>
      <w:r>
        <w:rPr/>
        <w:t>das</w:t>
      </w:r>
      <w:r>
        <w:rPr>
          <w:spacing w:val="-3"/>
        </w:rPr>
        <w:t> </w:t>
      </w:r>
      <w:r>
        <w:rPr/>
        <w:t>cordas</w:t>
      </w:r>
      <w:r>
        <w:rPr>
          <w:spacing w:val="-3"/>
        </w:rPr>
        <w:t> </w:t>
      </w:r>
      <w:r>
        <w:rPr/>
        <w:t>tendíneas,</w:t>
      </w:r>
      <w:r>
        <w:rPr>
          <w:spacing w:val="-3"/>
        </w:rPr>
        <w:t> </w:t>
      </w:r>
      <w:r>
        <w:rPr/>
        <w:t>consequente</w:t>
      </w:r>
      <w:r>
        <w:rPr>
          <w:spacing w:val="-12"/>
        </w:rPr>
        <w:t> </w:t>
      </w:r>
      <w:r>
        <w:rPr/>
        <w:t>ao</w:t>
      </w:r>
      <w:r>
        <w:rPr>
          <w:spacing w:val="-10"/>
        </w:rPr>
        <w:t> </w:t>
      </w:r>
      <w:r>
        <w:rPr/>
        <w:t>infarto</w:t>
      </w:r>
      <w:r>
        <w:rPr>
          <w:spacing w:val="-10"/>
        </w:rPr>
        <w:t> </w:t>
      </w:r>
      <w:r>
        <w:rPr/>
        <w:t>agudo</w:t>
      </w:r>
      <w:r>
        <w:rPr>
          <w:spacing w:val="-10"/>
        </w:rPr>
        <w:t> </w:t>
      </w:r>
      <w:r>
        <w:rPr/>
        <w:t>do</w:t>
      </w:r>
      <w:r>
        <w:rPr>
          <w:spacing w:val="-10"/>
        </w:rPr>
        <w:t> </w:t>
      </w:r>
      <w:r>
        <w:rPr/>
        <w:t>miocárdio</w:t>
      </w:r>
      <w:r>
        <w:rPr>
          <w:spacing w:val="-10"/>
        </w:rPr>
        <w:t> </w:t>
      </w:r>
      <w:r>
        <w:rPr/>
        <w:t>do</w:t>
      </w:r>
      <w:r>
        <w:rPr>
          <w:spacing w:val="-10"/>
        </w:rPr>
        <w:t> </w:t>
      </w:r>
      <w:r>
        <w:rPr/>
        <w:t>VD,</w:t>
      </w:r>
      <w:r>
        <w:rPr>
          <w:spacing w:val="-3"/>
        </w:rPr>
        <w:t> </w:t>
      </w:r>
      <w:r>
        <w:rPr/>
        <w:t>e</w:t>
      </w:r>
      <w:r>
        <w:rPr>
          <w:spacing w:val="-12"/>
        </w:rPr>
        <w:t> </w:t>
      </w:r>
      <w:r>
        <w:rPr/>
        <w:t>a</w:t>
      </w:r>
      <w:r>
        <w:rPr>
          <w:spacing w:val="-12"/>
        </w:rPr>
        <w:t> </w:t>
      </w:r>
      <w:r>
        <w:rPr/>
        <w:t>destruição</w:t>
      </w:r>
      <w:r>
        <w:rPr>
          <w:spacing w:val="-10"/>
        </w:rPr>
        <w:t> </w:t>
      </w:r>
      <w:r>
        <w:rPr/>
        <w:t>das valvas tricúspides durante a evolução da endocardite infecciosa são duas das principais causas determinantes da insuficiência tricúspide de instalação aguda.</w:t>
      </w:r>
    </w:p>
    <w:p>
      <w:pPr>
        <w:pStyle w:val="BodyText"/>
        <w:spacing w:before="134"/>
        <w:ind w:left="0" w:firstLine="0"/>
        <w:jc w:val="left"/>
      </w:pPr>
    </w:p>
    <w:p>
      <w:pPr>
        <w:pStyle w:val="Heading5"/>
      </w:pPr>
      <w:r>
        <w:rPr>
          <w:color w:val="A26108"/>
          <w:spacing w:val="-2"/>
        </w:rPr>
        <w:t>Fisiopatologia</w:t>
      </w:r>
    </w:p>
    <w:p>
      <w:pPr>
        <w:pStyle w:val="BodyText"/>
        <w:spacing w:line="276" w:lineRule="auto" w:before="138"/>
        <w:ind w:right="488"/>
      </w:pPr>
      <w:r>
        <w:rPr/>
        <w:t>Na</w:t>
      </w:r>
      <w:r>
        <w:rPr>
          <w:spacing w:val="-1"/>
        </w:rPr>
        <w:t> </w:t>
      </w:r>
      <w:r>
        <w:rPr/>
        <w:t>insuficiência</w:t>
      </w:r>
      <w:r>
        <w:rPr>
          <w:spacing w:val="-1"/>
        </w:rPr>
        <w:t> </w:t>
      </w:r>
      <w:r>
        <w:rPr/>
        <w:t>tricúspide, em sua</w:t>
      </w:r>
      <w:r>
        <w:rPr>
          <w:spacing w:val="-1"/>
        </w:rPr>
        <w:t> </w:t>
      </w:r>
      <w:r>
        <w:rPr/>
        <w:t>forma</w:t>
      </w:r>
      <w:r>
        <w:rPr>
          <w:spacing w:val="-1"/>
        </w:rPr>
        <w:t> </w:t>
      </w:r>
      <w:r>
        <w:rPr/>
        <w:t>aguda, assim como na</w:t>
      </w:r>
      <w:r>
        <w:rPr>
          <w:spacing w:val="-1"/>
        </w:rPr>
        <w:t> </w:t>
      </w:r>
      <w:r>
        <w:rPr/>
        <w:t>forma</w:t>
      </w:r>
      <w:r>
        <w:rPr>
          <w:spacing w:val="-1"/>
        </w:rPr>
        <w:t> </w:t>
      </w:r>
      <w:r>
        <w:rPr/>
        <w:t>crônica, o fluxo regurgitante</w:t>
      </w:r>
      <w:r>
        <w:rPr>
          <w:spacing w:val="-1"/>
        </w:rPr>
        <w:t> </w:t>
      </w:r>
      <w:r>
        <w:rPr/>
        <w:t>passa</w:t>
      </w:r>
      <w:r>
        <w:rPr>
          <w:spacing w:val="-1"/>
        </w:rPr>
        <w:t> </w:t>
      </w:r>
      <w:r>
        <w:rPr/>
        <w:t>para o átrio direito durante a sístole ventricular, constituindo-se em volume subtraído daquele que deveria compor o fluxo para a artéria pulmonar. O fluxo pulmonar reduzido dessa fração de volume compromete o débito cardíaco. Este, mais reduzido, ativa receptores específicos localizados na raiz da aorta e seio carotídeo, ativando o sistema neuro-humoral. Na forma aguda de instalação da doença, há o predomínio da ação do sistema nervoso simpático que resulta no aumento da resistência dos vasos de complacência. A resposta é o maior retorno venoso com consequente aumento do volume telediastólico. Na forma crônica, o maior tempo de exposição da doença permite melhor atuação dos mecanismos neuro-humorais por meio do sistema renina-angiotensina-aldosterona e hormônio antidiurético</w:t>
      </w:r>
      <w:r>
        <w:rPr>
          <w:spacing w:val="-3"/>
        </w:rPr>
        <w:t> </w:t>
      </w:r>
      <w:r>
        <w:rPr/>
        <w:t>que, atuando</w:t>
      </w:r>
      <w:r>
        <w:rPr>
          <w:spacing w:val="-3"/>
        </w:rPr>
        <w:t> </w:t>
      </w:r>
      <w:r>
        <w:rPr/>
        <w:t>sobre</w:t>
      </w:r>
      <w:r>
        <w:rPr>
          <w:spacing w:val="-5"/>
        </w:rPr>
        <w:t> </w:t>
      </w:r>
      <w:r>
        <w:rPr/>
        <w:t>os túbulos renais distais, mantém</w:t>
      </w:r>
      <w:r>
        <w:rPr>
          <w:spacing w:val="-3"/>
        </w:rPr>
        <w:t> </w:t>
      </w:r>
      <w:r>
        <w:rPr/>
        <w:t>maior volume</w:t>
      </w:r>
      <w:r>
        <w:rPr>
          <w:spacing w:val="-5"/>
        </w:rPr>
        <w:t> </w:t>
      </w:r>
      <w:r>
        <w:rPr/>
        <w:t>circulante. Em</w:t>
      </w:r>
      <w:r>
        <w:rPr>
          <w:spacing w:val="-3"/>
        </w:rPr>
        <w:t> </w:t>
      </w:r>
      <w:r>
        <w:rPr/>
        <w:t>consequência, será mais evidente o maior volume telediastólico do VD. Em ambas as situações, a ação humoral impõe ao VD certa sobrecarga de volume na tentativa de manter o volume sistólico adequado. O maior volume telediastólico ventricular na</w:t>
      </w:r>
      <w:r>
        <w:rPr>
          <w:spacing w:val="-5"/>
        </w:rPr>
        <w:t> </w:t>
      </w:r>
      <w:r>
        <w:rPr/>
        <w:t>fase</w:t>
      </w:r>
      <w:r>
        <w:rPr>
          <w:spacing w:val="-5"/>
        </w:rPr>
        <w:t> </w:t>
      </w:r>
      <w:r>
        <w:rPr/>
        <w:t>adaptada</w:t>
      </w:r>
      <w:r>
        <w:rPr>
          <w:spacing w:val="-5"/>
        </w:rPr>
        <w:t> </w:t>
      </w:r>
      <w:r>
        <w:rPr/>
        <w:t>da</w:t>
      </w:r>
      <w:r>
        <w:rPr>
          <w:spacing w:val="-5"/>
        </w:rPr>
        <w:t> </w:t>
      </w:r>
      <w:r>
        <w:rPr/>
        <w:t>doença</w:t>
      </w:r>
      <w:r>
        <w:rPr>
          <w:spacing w:val="-5"/>
        </w:rPr>
        <w:t> </w:t>
      </w:r>
      <w:r>
        <w:rPr/>
        <w:t>compensa</w:t>
      </w:r>
      <w:r>
        <w:rPr>
          <w:spacing w:val="-5"/>
        </w:rPr>
        <w:t> </w:t>
      </w:r>
      <w:r>
        <w:rPr/>
        <w:t>a</w:t>
      </w:r>
      <w:r>
        <w:rPr>
          <w:spacing w:val="-5"/>
        </w:rPr>
        <w:t> </w:t>
      </w:r>
      <w:r>
        <w:rPr/>
        <w:t>fração</w:t>
      </w:r>
      <w:r>
        <w:rPr>
          <w:spacing w:val="-2"/>
        </w:rPr>
        <w:t> </w:t>
      </w:r>
      <w:r>
        <w:rPr/>
        <w:t>de</w:t>
      </w:r>
      <w:r>
        <w:rPr>
          <w:spacing w:val="-5"/>
        </w:rPr>
        <w:t> </w:t>
      </w:r>
      <w:r>
        <w:rPr/>
        <w:t>volume</w:t>
      </w:r>
      <w:r>
        <w:rPr>
          <w:spacing w:val="-5"/>
        </w:rPr>
        <w:t> </w:t>
      </w:r>
      <w:r>
        <w:rPr/>
        <w:t>sistólico</w:t>
      </w:r>
      <w:r>
        <w:rPr>
          <w:spacing w:val="-2"/>
        </w:rPr>
        <w:t> </w:t>
      </w:r>
      <w:r>
        <w:rPr/>
        <w:t>desviada</w:t>
      </w:r>
      <w:r>
        <w:rPr>
          <w:spacing w:val="-5"/>
        </w:rPr>
        <w:t> </w:t>
      </w:r>
      <w:r>
        <w:rPr/>
        <w:t>para</w:t>
      </w:r>
      <w:r>
        <w:rPr>
          <w:spacing w:val="-5"/>
        </w:rPr>
        <w:t> </w:t>
      </w:r>
      <w:r>
        <w:rPr/>
        <w:t>o</w:t>
      </w:r>
      <w:r>
        <w:rPr>
          <w:spacing w:val="-2"/>
        </w:rPr>
        <w:t> </w:t>
      </w:r>
      <w:r>
        <w:rPr/>
        <w:t>átrio</w:t>
      </w:r>
      <w:r>
        <w:rPr>
          <w:spacing w:val="-2"/>
        </w:rPr>
        <w:t> </w:t>
      </w:r>
      <w:r>
        <w:rPr/>
        <w:t>direito</w:t>
      </w:r>
      <w:r>
        <w:rPr>
          <w:spacing w:val="-2"/>
        </w:rPr>
        <w:t> </w:t>
      </w:r>
      <w:r>
        <w:rPr/>
        <w:t>e</w:t>
      </w:r>
      <w:r>
        <w:rPr>
          <w:spacing w:val="-5"/>
        </w:rPr>
        <w:t> </w:t>
      </w:r>
      <w:r>
        <w:rPr/>
        <w:t>facilita o distanciamento das miofibrilas, desencadeando os mecanismos descritos por Frank-Starling, aumentando o desempenho da</w:t>
      </w:r>
      <w:r>
        <w:rPr>
          <w:spacing w:val="-2"/>
        </w:rPr>
        <w:t> </w:t>
      </w:r>
      <w:r>
        <w:rPr/>
        <w:t>ejeção desse</w:t>
      </w:r>
      <w:r>
        <w:rPr>
          <w:spacing w:val="-2"/>
        </w:rPr>
        <w:t> </w:t>
      </w:r>
      <w:r>
        <w:rPr/>
        <w:t>ventrículo e</w:t>
      </w:r>
      <w:r>
        <w:rPr>
          <w:spacing w:val="-2"/>
        </w:rPr>
        <w:t> </w:t>
      </w:r>
      <w:r>
        <w:rPr/>
        <w:t>compensando a</w:t>
      </w:r>
      <w:r>
        <w:rPr>
          <w:spacing w:val="-2"/>
        </w:rPr>
        <w:t> </w:t>
      </w:r>
      <w:r>
        <w:rPr/>
        <w:t>fração do volume</w:t>
      </w:r>
      <w:r>
        <w:rPr>
          <w:spacing w:val="-2"/>
        </w:rPr>
        <w:t> </w:t>
      </w:r>
      <w:r>
        <w:rPr/>
        <w:t>sistólico desviada</w:t>
      </w:r>
      <w:r>
        <w:rPr>
          <w:spacing w:val="-2"/>
        </w:rPr>
        <w:t> </w:t>
      </w:r>
      <w:r>
        <w:rPr/>
        <w:t>para</w:t>
      </w:r>
      <w:r>
        <w:rPr>
          <w:spacing w:val="-2"/>
        </w:rPr>
        <w:t> </w:t>
      </w:r>
      <w:r>
        <w:rPr/>
        <w:t>o átrio direito.</w:t>
      </w:r>
    </w:p>
    <w:p>
      <w:pPr>
        <w:pStyle w:val="BodyText"/>
        <w:spacing w:line="276" w:lineRule="auto" w:before="50"/>
        <w:ind w:right="488"/>
      </w:pPr>
      <w:r>
        <w:rPr/>
        <w:t>Na forma crônica da doença, a maior tensão diastólica, provocada também pela sobrecarga de volume, é aproveitada</w:t>
      </w:r>
      <w:r>
        <w:rPr>
          <w:spacing w:val="-2"/>
        </w:rPr>
        <w:t> </w:t>
      </w:r>
      <w:r>
        <w:rPr/>
        <w:t>como estímulo oncogênico para</w:t>
      </w:r>
      <w:r>
        <w:rPr>
          <w:spacing w:val="-2"/>
        </w:rPr>
        <w:t> </w:t>
      </w:r>
      <w:r>
        <w:rPr/>
        <w:t>a</w:t>
      </w:r>
      <w:r>
        <w:rPr>
          <w:spacing w:val="-2"/>
        </w:rPr>
        <w:t> </w:t>
      </w:r>
      <w:r>
        <w:rPr/>
        <w:t>formação de</w:t>
      </w:r>
      <w:r>
        <w:rPr>
          <w:spacing w:val="-2"/>
        </w:rPr>
        <w:t> </w:t>
      </w:r>
      <w:r>
        <w:rPr/>
        <w:t>novas fontes proteicas contráteis, sarcômeros dispostos de forma linear.</w:t>
      </w:r>
    </w:p>
    <w:p>
      <w:pPr>
        <w:pStyle w:val="BodyText"/>
        <w:spacing w:line="276" w:lineRule="auto"/>
        <w:ind w:right="501"/>
      </w:pPr>
      <w:r>
        <w:rPr/>
        <w:t>Constitui a</w:t>
      </w:r>
      <w:r>
        <w:rPr>
          <w:spacing w:val="-1"/>
        </w:rPr>
        <w:t> </w:t>
      </w:r>
      <w:r>
        <w:rPr/>
        <w:t>dilatação excêntrica</w:t>
      </w:r>
      <w:r>
        <w:rPr>
          <w:spacing w:val="-1"/>
        </w:rPr>
        <w:t> </w:t>
      </w:r>
      <w:r>
        <w:rPr/>
        <w:t>do VD. Na</w:t>
      </w:r>
      <w:r>
        <w:rPr>
          <w:spacing w:val="-1"/>
        </w:rPr>
        <w:t> </w:t>
      </w:r>
      <w:r>
        <w:rPr/>
        <w:t>instalação aguda</w:t>
      </w:r>
      <w:r>
        <w:rPr>
          <w:spacing w:val="-1"/>
        </w:rPr>
        <w:t> </w:t>
      </w:r>
      <w:r>
        <w:rPr/>
        <w:t>não há</w:t>
      </w:r>
      <w:r>
        <w:rPr>
          <w:spacing w:val="-1"/>
        </w:rPr>
        <w:t> </w:t>
      </w:r>
      <w:r>
        <w:rPr/>
        <w:t>tempo hábil para</w:t>
      </w:r>
      <w:r>
        <w:rPr>
          <w:spacing w:val="-1"/>
        </w:rPr>
        <w:t> </w:t>
      </w:r>
      <w:r>
        <w:rPr/>
        <w:t>a</w:t>
      </w:r>
      <w:r>
        <w:rPr>
          <w:spacing w:val="-1"/>
        </w:rPr>
        <w:t> </w:t>
      </w:r>
      <w:r>
        <w:rPr/>
        <w:t>atuação eficiente</w:t>
      </w:r>
      <w:r>
        <w:rPr>
          <w:spacing w:val="-1"/>
        </w:rPr>
        <w:t> </w:t>
      </w:r>
      <w:r>
        <w:rPr/>
        <w:t>desses mecanismos. A resistência oferecida pela circulação pulmonar à ejeção ventricular é o maior determinante do prognóstico da evolução da doença.</w:t>
      </w:r>
    </w:p>
    <w:p>
      <w:pPr>
        <w:pStyle w:val="BodyText"/>
        <w:spacing w:line="276" w:lineRule="auto" w:before="48"/>
        <w:ind w:right="488"/>
      </w:pPr>
      <w:r>
        <w:rPr/>
        <w:t>A insuficiência tricúspide isolada e sem hipertensão pulmonar, como ocorre por sequela da endocardite infecciosa</w:t>
      </w:r>
      <w:r>
        <w:rPr>
          <w:spacing w:val="-3"/>
        </w:rPr>
        <w:t> </w:t>
      </w:r>
      <w:r>
        <w:rPr/>
        <w:t>ou por traumatismos, é</w:t>
      </w:r>
      <w:r>
        <w:rPr>
          <w:spacing w:val="-3"/>
        </w:rPr>
        <w:t> </w:t>
      </w:r>
      <w:r>
        <w:rPr/>
        <w:t>bem tolerada</w:t>
      </w:r>
      <w:r>
        <w:rPr>
          <w:spacing w:val="-3"/>
        </w:rPr>
        <w:t> </w:t>
      </w:r>
      <w:r>
        <w:rPr/>
        <w:t>e</w:t>
      </w:r>
      <w:r>
        <w:rPr>
          <w:spacing w:val="-3"/>
        </w:rPr>
        <w:t> </w:t>
      </w:r>
      <w:r>
        <w:rPr/>
        <w:t>com bom prognóstico. A</w:t>
      </w:r>
      <w:r>
        <w:rPr>
          <w:spacing w:val="-3"/>
        </w:rPr>
        <w:t> </w:t>
      </w:r>
      <w:r>
        <w:rPr/>
        <w:t>sobrecarga</w:t>
      </w:r>
      <w:r>
        <w:rPr>
          <w:spacing w:val="-3"/>
        </w:rPr>
        <w:t> </w:t>
      </w:r>
      <w:r>
        <w:rPr/>
        <w:t>de</w:t>
      </w:r>
      <w:r>
        <w:rPr>
          <w:spacing w:val="-3"/>
        </w:rPr>
        <w:t> </w:t>
      </w:r>
      <w:r>
        <w:rPr/>
        <w:t>volume</w:t>
      </w:r>
      <w:r>
        <w:rPr>
          <w:spacing w:val="-3"/>
        </w:rPr>
        <w:t> </w:t>
      </w:r>
      <w:r>
        <w:rPr/>
        <w:t>imposta</w:t>
      </w:r>
      <w:r>
        <w:rPr>
          <w:spacing w:val="-3"/>
        </w:rPr>
        <w:t> </w:t>
      </w:r>
      <w:r>
        <w:rPr/>
        <w:t>à</w:t>
      </w:r>
      <w:r>
        <w:rPr>
          <w:spacing w:val="-3"/>
        </w:rPr>
        <w:t> </w:t>
      </w:r>
      <w:r>
        <w:rPr/>
        <w:t>câmara ventricular direita</w:t>
      </w:r>
      <w:r>
        <w:rPr>
          <w:spacing w:val="-6"/>
        </w:rPr>
        <w:t> </w:t>
      </w:r>
      <w:r>
        <w:rPr/>
        <w:t>é</w:t>
      </w:r>
      <w:r>
        <w:rPr>
          <w:spacing w:val="-6"/>
        </w:rPr>
        <w:t> </w:t>
      </w:r>
      <w:r>
        <w:rPr/>
        <w:t>pequena</w:t>
      </w:r>
      <w:r>
        <w:rPr>
          <w:spacing w:val="-6"/>
        </w:rPr>
        <w:t> </w:t>
      </w:r>
      <w:r>
        <w:rPr/>
        <w:t>na</w:t>
      </w:r>
      <w:r>
        <w:rPr>
          <w:spacing w:val="-6"/>
        </w:rPr>
        <w:t> </w:t>
      </w:r>
      <w:r>
        <w:rPr/>
        <w:t>fase</w:t>
      </w:r>
      <w:r>
        <w:rPr>
          <w:spacing w:val="-6"/>
        </w:rPr>
        <w:t> </w:t>
      </w:r>
      <w:r>
        <w:rPr/>
        <w:t>compensada</w:t>
      </w:r>
      <w:r>
        <w:rPr>
          <w:spacing w:val="-6"/>
        </w:rPr>
        <w:t> </w:t>
      </w:r>
      <w:r>
        <w:rPr/>
        <w:t>da</w:t>
      </w:r>
      <w:r>
        <w:rPr>
          <w:spacing w:val="-6"/>
        </w:rPr>
        <w:t> </w:t>
      </w:r>
      <w:r>
        <w:rPr/>
        <w:t>doença. A</w:t>
      </w:r>
      <w:r>
        <w:rPr>
          <w:spacing w:val="-6"/>
        </w:rPr>
        <w:t> </w:t>
      </w:r>
      <w:r>
        <w:rPr/>
        <w:t>baixa</w:t>
      </w:r>
      <w:r>
        <w:rPr>
          <w:spacing w:val="-6"/>
        </w:rPr>
        <w:t> </w:t>
      </w:r>
      <w:r>
        <w:rPr/>
        <w:t>resistência</w:t>
      </w:r>
      <w:r>
        <w:rPr>
          <w:spacing w:val="-6"/>
        </w:rPr>
        <w:t> </w:t>
      </w:r>
      <w:r>
        <w:rPr/>
        <w:t>oferecida</w:t>
      </w:r>
      <w:r>
        <w:rPr>
          <w:spacing w:val="-6"/>
        </w:rPr>
        <w:t> </w:t>
      </w:r>
      <w:r>
        <w:rPr/>
        <w:t>pela</w:t>
      </w:r>
      <w:r>
        <w:rPr>
          <w:spacing w:val="-6"/>
        </w:rPr>
        <w:t> </w:t>
      </w:r>
      <w:r>
        <w:rPr/>
        <w:t>circulação</w:t>
      </w:r>
      <w:r>
        <w:rPr>
          <w:spacing w:val="-4"/>
        </w:rPr>
        <w:t> </w:t>
      </w:r>
      <w:r>
        <w:rPr/>
        <w:t>pulmonar facilita a manutenção do fluxo sanguíneo para esse território e a tensão sistólica na parede do VD mantém-se com valores normais. Entretanto, a lesão valvar não é estática; a progressão da doença exige constante adaptação conseguida</w:t>
      </w:r>
      <w:r>
        <w:rPr>
          <w:spacing w:val="-3"/>
        </w:rPr>
        <w:t> </w:t>
      </w:r>
      <w:r>
        <w:rPr/>
        <w:t>por meio</w:t>
      </w:r>
      <w:r>
        <w:rPr>
          <w:spacing w:val="-1"/>
        </w:rPr>
        <w:t> </w:t>
      </w:r>
      <w:r>
        <w:rPr/>
        <w:t>de</w:t>
      </w:r>
      <w:r>
        <w:rPr>
          <w:spacing w:val="-3"/>
        </w:rPr>
        <w:t> </w:t>
      </w:r>
      <w:r>
        <w:rPr/>
        <w:t>maior sobrecarga</w:t>
      </w:r>
      <w:r>
        <w:rPr>
          <w:spacing w:val="-3"/>
        </w:rPr>
        <w:t> </w:t>
      </w:r>
      <w:r>
        <w:rPr/>
        <w:t>de</w:t>
      </w:r>
      <w:r>
        <w:rPr>
          <w:spacing w:val="-3"/>
        </w:rPr>
        <w:t> </w:t>
      </w:r>
      <w:r>
        <w:rPr/>
        <w:t>volume</w:t>
      </w:r>
      <w:r>
        <w:rPr>
          <w:spacing w:val="-3"/>
        </w:rPr>
        <w:t> </w:t>
      </w:r>
      <w:r>
        <w:rPr/>
        <w:t>imposta</w:t>
      </w:r>
      <w:r>
        <w:rPr>
          <w:spacing w:val="-3"/>
        </w:rPr>
        <w:t> </w:t>
      </w:r>
      <w:r>
        <w:rPr/>
        <w:t>às câmaras cardíacas direitas. O</w:t>
      </w:r>
      <w:r>
        <w:rPr>
          <w:spacing w:val="-3"/>
        </w:rPr>
        <w:t> </w:t>
      </w:r>
      <w:r>
        <w:rPr/>
        <w:t>desarranjo</w:t>
      </w:r>
      <w:r>
        <w:rPr>
          <w:spacing w:val="-1"/>
        </w:rPr>
        <w:t> </w:t>
      </w:r>
      <w:r>
        <w:rPr/>
        <w:t>estrutural das novas miofibrilas formadas na parede ventricular reduz o volume sistólico que repercute sobre o desempenho do</w:t>
      </w:r>
      <w:r>
        <w:rPr>
          <w:spacing w:val="19"/>
        </w:rPr>
        <w:t> </w:t>
      </w:r>
      <w:r>
        <w:rPr/>
        <w:t>VE</w:t>
      </w:r>
      <w:r>
        <w:rPr>
          <w:spacing w:val="25"/>
        </w:rPr>
        <w:t> </w:t>
      </w:r>
      <w:r>
        <w:rPr/>
        <w:t>e</w:t>
      </w:r>
      <w:r>
        <w:rPr>
          <w:spacing w:val="17"/>
        </w:rPr>
        <w:t> </w:t>
      </w:r>
      <w:r>
        <w:rPr/>
        <w:t>a</w:t>
      </w:r>
      <w:r>
        <w:rPr>
          <w:spacing w:val="17"/>
        </w:rPr>
        <w:t> </w:t>
      </w:r>
      <w:r>
        <w:rPr/>
        <w:t>sobrecarga</w:t>
      </w:r>
      <w:r>
        <w:rPr>
          <w:spacing w:val="17"/>
        </w:rPr>
        <w:t> </w:t>
      </w:r>
      <w:r>
        <w:rPr/>
        <w:t>atrial</w:t>
      </w:r>
      <w:r>
        <w:rPr>
          <w:spacing w:val="22"/>
        </w:rPr>
        <w:t> </w:t>
      </w:r>
      <w:r>
        <w:rPr/>
        <w:t>acaba</w:t>
      </w:r>
      <w:r>
        <w:rPr>
          <w:spacing w:val="17"/>
        </w:rPr>
        <w:t> </w:t>
      </w:r>
      <w:r>
        <w:rPr/>
        <w:t>por</w:t>
      </w:r>
      <w:r>
        <w:rPr>
          <w:spacing w:val="25"/>
        </w:rPr>
        <w:t> </w:t>
      </w:r>
      <w:r>
        <w:rPr/>
        <w:t>se</w:t>
      </w:r>
      <w:r>
        <w:rPr>
          <w:spacing w:val="17"/>
        </w:rPr>
        <w:t> </w:t>
      </w:r>
      <w:r>
        <w:rPr/>
        <w:t>refletir</w:t>
      </w:r>
      <w:r>
        <w:rPr>
          <w:spacing w:val="25"/>
        </w:rPr>
        <w:t> </w:t>
      </w:r>
      <w:r>
        <w:rPr/>
        <w:t>sobre</w:t>
      </w:r>
      <w:r>
        <w:rPr>
          <w:spacing w:val="17"/>
        </w:rPr>
        <w:t> </w:t>
      </w:r>
      <w:r>
        <w:rPr/>
        <w:t>o</w:t>
      </w:r>
      <w:r>
        <w:rPr>
          <w:spacing w:val="19"/>
        </w:rPr>
        <w:t> </w:t>
      </w:r>
      <w:r>
        <w:rPr/>
        <w:t>território</w:t>
      </w:r>
      <w:r>
        <w:rPr>
          <w:spacing w:val="19"/>
        </w:rPr>
        <w:t> </w:t>
      </w:r>
      <w:r>
        <w:rPr/>
        <w:t>vascular</w:t>
      </w:r>
      <w:r>
        <w:rPr>
          <w:spacing w:val="25"/>
        </w:rPr>
        <w:t> </w:t>
      </w:r>
      <w:r>
        <w:rPr/>
        <w:t>venoso.</w:t>
      </w:r>
      <w:r>
        <w:rPr>
          <w:spacing w:val="28"/>
        </w:rPr>
        <w:t> </w:t>
      </w:r>
      <w:r>
        <w:rPr/>
        <w:t>É</w:t>
      </w:r>
      <w:r>
        <w:rPr>
          <w:spacing w:val="25"/>
        </w:rPr>
        <w:t> </w:t>
      </w:r>
      <w:r>
        <w:rPr/>
        <w:t>a</w:t>
      </w:r>
      <w:r>
        <w:rPr>
          <w:spacing w:val="17"/>
        </w:rPr>
        <w:t> </w:t>
      </w:r>
      <w:r>
        <w:rPr/>
        <w:t>fase</w:t>
      </w:r>
      <w:r>
        <w:rPr>
          <w:spacing w:val="17"/>
        </w:rPr>
        <w:t> </w:t>
      </w:r>
      <w:r>
        <w:rPr/>
        <w:t>de</w:t>
      </w:r>
      <w:r>
        <w:rPr>
          <w:spacing w:val="17"/>
        </w:rPr>
        <w:t> </w:t>
      </w:r>
      <w:r>
        <w:rPr/>
        <w:t>desadaptação</w:t>
      </w:r>
      <w:r>
        <w:rPr>
          <w:spacing w:val="19"/>
        </w:rPr>
        <w:t> </w:t>
      </w:r>
      <w:r>
        <w:rPr/>
        <w:t>da</w:t>
      </w:r>
    </w:p>
    <w:p>
      <w:pPr>
        <w:pStyle w:val="BodyText"/>
        <w:spacing w:after="0" w:line="276" w:lineRule="auto"/>
        <w:sectPr>
          <w:pgSz w:w="11900" w:h="16840"/>
          <w:pgMar w:top="200" w:bottom="0" w:left="566" w:right="141"/>
        </w:sectPr>
      </w:pPr>
    </w:p>
    <w:p>
      <w:pPr>
        <w:pStyle w:val="BodyText"/>
        <w:spacing w:before="79"/>
        <w:ind w:firstLine="0"/>
        <w:jc w:val="left"/>
      </w:pPr>
      <w:r>
        <w:rPr>
          <w:spacing w:val="-2"/>
        </w:rPr>
        <w:t>doença.</w:t>
      </w:r>
    </w:p>
    <w:p>
      <w:pPr>
        <w:pStyle w:val="BodyText"/>
        <w:spacing w:before="71"/>
        <w:ind w:left="0" w:firstLine="0"/>
        <w:jc w:val="left"/>
      </w:pPr>
    </w:p>
    <w:p>
      <w:pPr>
        <w:pStyle w:val="Heading7"/>
      </w:pPr>
      <w:r>
        <w:rPr>
          <w:color w:val="242B67"/>
        </w:rPr>
        <w:t>Insuficiência tricúspide </w:t>
      </w:r>
      <w:r>
        <w:rPr>
          <w:color w:val="242B67"/>
          <w:spacing w:val="-2"/>
        </w:rPr>
        <w:t>funcional</w:t>
      </w:r>
    </w:p>
    <w:p>
      <w:pPr>
        <w:pStyle w:val="BodyText"/>
        <w:spacing w:line="276" w:lineRule="auto" w:before="126"/>
        <w:ind w:right="498"/>
      </w:pPr>
      <w:r>
        <w:rPr/>
        <w:t>A insuficiência tricúspide funcional, secundária à dilatação acentuada do VD e do anel valvar tricúspide, concomitante à hipertensão pulmonar grave, consequente à estenose mitral reumatismal, tem prognóstico mais reservado. Os mecanismos adaptadores atuam sobre o VD, impondo uma dilatação mista excêntrica e concêntrica. Em situação especial, em que há aumento da resistência arteriolar pulmonar primária ou secundária à persistente hipertensão nesse território, as malformações congênitas das estruturas, que compõem a via de saída do VD, são consideradas condições adversas à vazão sistólica desse ventrículo.</w:t>
      </w:r>
    </w:p>
    <w:p>
      <w:pPr>
        <w:pStyle w:val="BodyText"/>
        <w:spacing w:line="276" w:lineRule="auto" w:before="49"/>
        <w:ind w:right="488"/>
      </w:pPr>
      <w:r>
        <w:rPr/>
        <w:t>Durante a sístole ventricular direita, os sarcômeros contraem-se com determinada força. A resultante da soma dessas forças é transferida para a massa de sangue contida na cavidade ventricular direita, responsável pela velocidade com que esse conteúdo sanguíneo desloca-se em direção à valva pulmonar e vasos do território </w:t>
      </w:r>
      <w:r>
        <w:rPr>
          <w:spacing w:val="-2"/>
        </w:rPr>
        <w:t>pulmonar.</w:t>
      </w:r>
    </w:p>
    <w:p>
      <w:pPr>
        <w:pStyle w:val="BodyText"/>
        <w:spacing w:line="276" w:lineRule="auto"/>
        <w:ind w:right="499"/>
      </w:pPr>
      <w:r>
        <w:rPr/>
        <w:t>A resistência aumentada oferecida ao fluxo de sangue, ao passar pela árvore arteriolar pulmonar ou pelas reduzidas</w:t>
      </w:r>
      <w:r>
        <w:rPr>
          <w:spacing w:val="-2"/>
        </w:rPr>
        <w:t> </w:t>
      </w:r>
      <w:r>
        <w:rPr/>
        <w:t>estruturas</w:t>
      </w:r>
      <w:r>
        <w:rPr>
          <w:spacing w:val="-2"/>
        </w:rPr>
        <w:t> </w:t>
      </w:r>
      <w:r>
        <w:rPr/>
        <w:t>que</w:t>
      </w:r>
      <w:r>
        <w:rPr>
          <w:spacing w:val="-11"/>
        </w:rPr>
        <w:t> </w:t>
      </w:r>
      <w:r>
        <w:rPr/>
        <w:t>dão</w:t>
      </w:r>
      <w:r>
        <w:rPr>
          <w:spacing w:val="-9"/>
        </w:rPr>
        <w:t> </w:t>
      </w:r>
      <w:r>
        <w:rPr/>
        <w:t>vazão</w:t>
      </w:r>
      <w:r>
        <w:rPr>
          <w:spacing w:val="-9"/>
        </w:rPr>
        <w:t> </w:t>
      </w:r>
      <w:r>
        <w:rPr/>
        <w:t>ao</w:t>
      </w:r>
      <w:r>
        <w:rPr>
          <w:spacing w:val="-9"/>
        </w:rPr>
        <w:t> </w:t>
      </w:r>
      <w:r>
        <w:rPr/>
        <w:t>fluxo</w:t>
      </w:r>
      <w:r>
        <w:rPr>
          <w:spacing w:val="-9"/>
        </w:rPr>
        <w:t> </w:t>
      </w:r>
      <w:r>
        <w:rPr/>
        <w:t>ejetivo</w:t>
      </w:r>
      <w:r>
        <w:rPr>
          <w:spacing w:val="-9"/>
        </w:rPr>
        <w:t> </w:t>
      </w:r>
      <w:r>
        <w:rPr/>
        <w:t>ventricular</w:t>
      </w:r>
      <w:r>
        <w:rPr>
          <w:spacing w:val="-4"/>
        </w:rPr>
        <w:t> </w:t>
      </w:r>
      <w:r>
        <w:rPr/>
        <w:t>direito,</w:t>
      </w:r>
      <w:r>
        <w:rPr>
          <w:spacing w:val="-2"/>
        </w:rPr>
        <w:t> </w:t>
      </w:r>
      <w:r>
        <w:rPr/>
        <w:t>produzem</w:t>
      </w:r>
      <w:r>
        <w:rPr>
          <w:spacing w:val="-9"/>
        </w:rPr>
        <w:t> </w:t>
      </w:r>
      <w:r>
        <w:rPr/>
        <w:t>um</w:t>
      </w:r>
      <w:r>
        <w:rPr>
          <w:spacing w:val="-9"/>
        </w:rPr>
        <w:t> </w:t>
      </w:r>
      <w:r>
        <w:rPr/>
        <w:t>atrito</w:t>
      </w:r>
      <w:r>
        <w:rPr>
          <w:spacing w:val="-9"/>
        </w:rPr>
        <w:t> </w:t>
      </w:r>
      <w:r>
        <w:rPr/>
        <w:t>que</w:t>
      </w:r>
      <w:r>
        <w:rPr>
          <w:spacing w:val="-11"/>
        </w:rPr>
        <w:t> </w:t>
      </w:r>
      <w:r>
        <w:rPr/>
        <w:t>equivale</w:t>
      </w:r>
      <w:r>
        <w:rPr>
          <w:spacing w:val="-11"/>
        </w:rPr>
        <w:t> </w:t>
      </w:r>
      <w:r>
        <w:rPr/>
        <w:t>a</w:t>
      </w:r>
      <w:r>
        <w:rPr>
          <w:spacing w:val="-11"/>
        </w:rPr>
        <w:t> </w:t>
      </w:r>
      <w:r>
        <w:rPr/>
        <w:t>uma</w:t>
      </w:r>
      <w:r>
        <w:rPr>
          <w:spacing w:val="-11"/>
        </w:rPr>
        <w:t> </w:t>
      </w:r>
      <w:r>
        <w:rPr/>
        <w:t>força que se opõe a esse deslocamento. A tensão desenvolvida na parede do VD no momento da sístole ventricular tem sido</w:t>
      </w:r>
      <w:r>
        <w:rPr>
          <w:spacing w:val="-1"/>
        </w:rPr>
        <w:t> </w:t>
      </w:r>
      <w:r>
        <w:rPr/>
        <w:t>descrita</w:t>
      </w:r>
      <w:r>
        <w:rPr>
          <w:spacing w:val="-5"/>
        </w:rPr>
        <w:t> </w:t>
      </w:r>
      <w:r>
        <w:rPr/>
        <w:t>como</w:t>
      </w:r>
      <w:r>
        <w:rPr>
          <w:spacing w:val="-1"/>
        </w:rPr>
        <w:t> </w:t>
      </w:r>
      <w:r>
        <w:rPr/>
        <w:t>desencadeador mecânico</w:t>
      </w:r>
      <w:r>
        <w:rPr>
          <w:spacing w:val="-1"/>
        </w:rPr>
        <w:t> </w:t>
      </w:r>
      <w:r>
        <w:rPr/>
        <w:t>das alterações celulares e</w:t>
      </w:r>
      <w:r>
        <w:rPr>
          <w:spacing w:val="-5"/>
        </w:rPr>
        <w:t> </w:t>
      </w:r>
      <w:r>
        <w:rPr/>
        <w:t>biomoleculares que, de</w:t>
      </w:r>
      <w:r>
        <w:rPr>
          <w:spacing w:val="-5"/>
        </w:rPr>
        <w:t> </w:t>
      </w:r>
      <w:r>
        <w:rPr/>
        <w:t>forma</w:t>
      </w:r>
      <w:r>
        <w:rPr>
          <w:spacing w:val="-5"/>
        </w:rPr>
        <w:t> </w:t>
      </w:r>
      <w:r>
        <w:rPr/>
        <w:t>isolada</w:t>
      </w:r>
      <w:r>
        <w:rPr>
          <w:spacing w:val="-5"/>
        </w:rPr>
        <w:t> </w:t>
      </w:r>
      <w:r>
        <w:rPr/>
        <w:t>ou</w:t>
      </w:r>
      <w:r>
        <w:rPr>
          <w:spacing w:val="-1"/>
        </w:rPr>
        <w:t> </w:t>
      </w:r>
      <w:r>
        <w:rPr/>
        <w:t>em associação com o sistema</w:t>
      </w:r>
      <w:r>
        <w:rPr>
          <w:spacing w:val="-1"/>
        </w:rPr>
        <w:t> </w:t>
      </w:r>
      <w:r>
        <w:rPr/>
        <w:t>neuro-humoral, ocasionam a</w:t>
      </w:r>
      <w:r>
        <w:rPr>
          <w:spacing w:val="-1"/>
        </w:rPr>
        <w:t> </w:t>
      </w:r>
      <w:r>
        <w:rPr/>
        <w:t>hipertrofia</w:t>
      </w:r>
      <w:r>
        <w:rPr>
          <w:spacing w:val="-1"/>
        </w:rPr>
        <w:t> </w:t>
      </w:r>
      <w:r>
        <w:rPr/>
        <w:t>concêntrica</w:t>
      </w:r>
      <w:r>
        <w:rPr>
          <w:spacing w:val="-1"/>
        </w:rPr>
        <w:t> </w:t>
      </w:r>
      <w:r>
        <w:rPr/>
        <w:t>da</w:t>
      </w:r>
      <w:r>
        <w:rPr>
          <w:spacing w:val="-1"/>
        </w:rPr>
        <w:t> </w:t>
      </w:r>
      <w:r>
        <w:rPr/>
        <w:t>parede</w:t>
      </w:r>
      <w:r>
        <w:rPr>
          <w:spacing w:val="-1"/>
        </w:rPr>
        <w:t> </w:t>
      </w:r>
      <w:r>
        <w:rPr/>
        <w:t>ventricular.</w:t>
      </w:r>
    </w:p>
    <w:p>
      <w:pPr>
        <w:pStyle w:val="BodyText"/>
        <w:spacing w:line="276" w:lineRule="auto"/>
        <w:ind w:right="487"/>
      </w:pPr>
      <w:r>
        <w:rPr/>
        <w:t>Carpentier </w:t>
      </w:r>
      <w:r>
        <w:rPr>
          <w:i/>
        </w:rPr>
        <w:t>et al. </w:t>
      </w:r>
      <w:r>
        <w:rPr/>
        <w:t>admitem que as estruturas fibróticas do anel tricúspide são menos resistentes do que as que formam o anel mitral e toleram mal o regime de alta pressão intracavitária, dilatando-se precocemente, possibilitando o refluxo para o átrio direito.</w:t>
      </w:r>
    </w:p>
    <w:p>
      <w:pPr>
        <w:pStyle w:val="BodyText"/>
        <w:spacing w:line="276" w:lineRule="auto" w:before="48"/>
        <w:ind w:right="488"/>
      </w:pPr>
      <w:r>
        <w:rPr/>
        <w:t>A sobrecarga de volume para o VD inverte a relação volume/massa, causando maior tensão telediastólica na parede do ventrículo, sendo apontada por Grossman como estímulo formador de novas fontes proteicas contráteis dispostas de forma linear, responsáveis pela dilatação excêntrica dessa câmara. Esta contribui ainda mais para a formação de</w:t>
      </w:r>
      <w:r>
        <w:rPr>
          <w:spacing w:val="-1"/>
        </w:rPr>
        <w:t> </w:t>
      </w:r>
      <w:r>
        <w:rPr/>
        <w:t>um aparelho valvar incompetente</w:t>
      </w:r>
      <w:r>
        <w:rPr>
          <w:spacing w:val="-1"/>
        </w:rPr>
        <w:t> </w:t>
      </w:r>
      <w:r>
        <w:rPr/>
        <w:t>ao tracionar as cordas tendíneas, impedindo a</w:t>
      </w:r>
      <w:r>
        <w:rPr>
          <w:spacing w:val="-1"/>
        </w:rPr>
        <w:t> </w:t>
      </w:r>
      <w:r>
        <w:rPr/>
        <w:t>correta</w:t>
      </w:r>
      <w:r>
        <w:rPr>
          <w:spacing w:val="-1"/>
        </w:rPr>
        <w:t> </w:t>
      </w:r>
      <w:r>
        <w:rPr/>
        <w:t>mobilização e ajuste das bordas das cúspides.</w:t>
      </w:r>
    </w:p>
    <w:p>
      <w:pPr>
        <w:pStyle w:val="BodyText"/>
        <w:spacing w:line="276" w:lineRule="auto"/>
        <w:ind w:right="491"/>
      </w:pPr>
      <w:r>
        <w:rPr/>
        <w:t>A insuficiência tricúspide funcional, que se forma em decorrência da hipertensão pulmonar, determina não só uma</w:t>
      </w:r>
      <w:r>
        <w:rPr>
          <w:spacing w:val="-4"/>
        </w:rPr>
        <w:t> </w:t>
      </w:r>
      <w:r>
        <w:rPr/>
        <w:t>sobrecarga</w:t>
      </w:r>
      <w:r>
        <w:rPr>
          <w:spacing w:val="-4"/>
        </w:rPr>
        <w:t> </w:t>
      </w:r>
      <w:r>
        <w:rPr/>
        <w:t>de</w:t>
      </w:r>
      <w:r>
        <w:rPr>
          <w:spacing w:val="-4"/>
        </w:rPr>
        <w:t> </w:t>
      </w:r>
      <w:r>
        <w:rPr/>
        <w:t>volume</w:t>
      </w:r>
      <w:r>
        <w:rPr>
          <w:spacing w:val="-4"/>
        </w:rPr>
        <w:t> </w:t>
      </w:r>
      <w:r>
        <w:rPr/>
        <w:t>no</w:t>
      </w:r>
      <w:r>
        <w:rPr>
          <w:spacing w:val="-1"/>
        </w:rPr>
        <w:t> </w:t>
      </w:r>
      <w:r>
        <w:rPr/>
        <w:t>VD, mas também</w:t>
      </w:r>
      <w:r>
        <w:rPr>
          <w:spacing w:val="-1"/>
        </w:rPr>
        <w:t> </w:t>
      </w:r>
      <w:r>
        <w:rPr/>
        <w:t>sobrecarga</w:t>
      </w:r>
      <w:r>
        <w:rPr>
          <w:spacing w:val="-4"/>
        </w:rPr>
        <w:t> </w:t>
      </w:r>
      <w:r>
        <w:rPr/>
        <w:t>de</w:t>
      </w:r>
      <w:r>
        <w:rPr>
          <w:spacing w:val="-4"/>
        </w:rPr>
        <w:t> </w:t>
      </w:r>
      <w:r>
        <w:rPr/>
        <w:t>pressão</w:t>
      </w:r>
      <w:r>
        <w:rPr>
          <w:spacing w:val="-1"/>
        </w:rPr>
        <w:t> </w:t>
      </w:r>
      <w:r>
        <w:rPr/>
        <w:t>e</w:t>
      </w:r>
      <w:r>
        <w:rPr>
          <w:spacing w:val="-4"/>
        </w:rPr>
        <w:t> </w:t>
      </w:r>
      <w:r>
        <w:rPr/>
        <w:t>diminuição</w:t>
      </w:r>
      <w:r>
        <w:rPr>
          <w:spacing w:val="-1"/>
        </w:rPr>
        <w:t> </w:t>
      </w:r>
      <w:r>
        <w:rPr/>
        <w:t>da</w:t>
      </w:r>
      <w:r>
        <w:rPr>
          <w:spacing w:val="-4"/>
        </w:rPr>
        <w:t> </w:t>
      </w:r>
      <w:r>
        <w:rPr/>
        <w:t>complacência</w:t>
      </w:r>
      <w:r>
        <w:rPr>
          <w:spacing w:val="-4"/>
        </w:rPr>
        <w:t> </w:t>
      </w:r>
      <w:r>
        <w:rPr/>
        <w:t>ventricular.</w:t>
      </w:r>
    </w:p>
    <w:p>
      <w:pPr>
        <w:pStyle w:val="BodyText"/>
        <w:spacing w:line="276" w:lineRule="auto" w:before="48"/>
        <w:ind w:right="491"/>
      </w:pPr>
      <w:r>
        <w:rPr/>
        <w:t>De forma semelhante ao descrito para a insuficiência tricúspide, que cursa com sobrecarga de volume, o desarranjo estrutural das novas miofibrilas do miocárdio ventricular e modificação do colágeno intersticial comprometem o volume sistólico dessa câmara, que acaba por influenciar o rendimento do VE. As repercussões sobre</w:t>
      </w:r>
      <w:r>
        <w:rPr>
          <w:spacing w:val="-5"/>
        </w:rPr>
        <w:t> </w:t>
      </w:r>
      <w:r>
        <w:rPr/>
        <w:t>a</w:t>
      </w:r>
      <w:r>
        <w:rPr>
          <w:spacing w:val="-5"/>
        </w:rPr>
        <w:t> </w:t>
      </w:r>
      <w:r>
        <w:rPr/>
        <w:t>circulação</w:t>
      </w:r>
      <w:r>
        <w:rPr>
          <w:spacing w:val="-3"/>
        </w:rPr>
        <w:t> </w:t>
      </w:r>
      <w:r>
        <w:rPr/>
        <w:t>venosa</w:t>
      </w:r>
      <w:r>
        <w:rPr>
          <w:spacing w:val="-5"/>
        </w:rPr>
        <w:t> </w:t>
      </w:r>
      <w:r>
        <w:rPr/>
        <w:t>caracterizam</w:t>
      </w:r>
      <w:r>
        <w:rPr>
          <w:spacing w:val="-3"/>
        </w:rPr>
        <w:t> </w:t>
      </w:r>
      <w:r>
        <w:rPr/>
        <w:t>a</w:t>
      </w:r>
      <w:r>
        <w:rPr>
          <w:spacing w:val="-5"/>
        </w:rPr>
        <w:t> </w:t>
      </w:r>
      <w:r>
        <w:rPr/>
        <w:t>fase</w:t>
      </w:r>
      <w:r>
        <w:rPr>
          <w:spacing w:val="-5"/>
        </w:rPr>
        <w:t> </w:t>
      </w:r>
      <w:r>
        <w:rPr/>
        <w:t>de</w:t>
      </w:r>
      <w:r>
        <w:rPr>
          <w:spacing w:val="-5"/>
        </w:rPr>
        <w:t> </w:t>
      </w:r>
      <w:r>
        <w:rPr/>
        <w:t>desadaptação</w:t>
      </w:r>
      <w:r>
        <w:rPr>
          <w:spacing w:val="-3"/>
        </w:rPr>
        <w:t> </w:t>
      </w:r>
      <w:r>
        <w:rPr/>
        <w:t>das doenças. A</w:t>
      </w:r>
      <w:r>
        <w:rPr>
          <w:spacing w:val="-5"/>
        </w:rPr>
        <w:t> </w:t>
      </w:r>
      <w:r>
        <w:rPr/>
        <w:t>dificuldade</w:t>
      </w:r>
      <w:r>
        <w:rPr>
          <w:spacing w:val="-5"/>
        </w:rPr>
        <w:t> </w:t>
      </w:r>
      <w:r>
        <w:rPr/>
        <w:t>no</w:t>
      </w:r>
      <w:r>
        <w:rPr>
          <w:spacing w:val="-3"/>
        </w:rPr>
        <w:t> </w:t>
      </w:r>
      <w:r>
        <w:rPr/>
        <w:t>esvaziamento</w:t>
      </w:r>
      <w:r>
        <w:rPr>
          <w:spacing w:val="-3"/>
        </w:rPr>
        <w:t> </w:t>
      </w:r>
      <w:r>
        <w:rPr/>
        <w:t>do</w:t>
      </w:r>
      <w:r>
        <w:rPr>
          <w:spacing w:val="-3"/>
        </w:rPr>
        <w:t> </w:t>
      </w:r>
      <w:r>
        <w:rPr/>
        <w:t>átrio direito, em função da progressiva redução da complacência do VD e do aumento do volume residual sistólico, é a responsável pelas manifestações e achados clínicos.</w:t>
      </w:r>
    </w:p>
    <w:p>
      <w:pPr>
        <w:pStyle w:val="BodyText"/>
        <w:spacing w:before="134"/>
        <w:ind w:left="0" w:firstLine="0"/>
        <w:jc w:val="left"/>
      </w:pPr>
    </w:p>
    <w:p>
      <w:pPr>
        <w:pStyle w:val="Heading5"/>
        <w:spacing w:before="1"/>
      </w:pPr>
      <w:r>
        <w:rPr>
          <w:color w:val="A26108"/>
        </w:rPr>
        <w:t>Quadro</w:t>
      </w:r>
      <w:r>
        <w:rPr>
          <w:color w:val="A26108"/>
          <w:spacing w:val="23"/>
        </w:rPr>
        <w:t> </w:t>
      </w:r>
      <w:r>
        <w:rPr>
          <w:color w:val="A26108"/>
          <w:spacing w:val="-2"/>
        </w:rPr>
        <w:t>clínico</w:t>
      </w:r>
    </w:p>
    <w:p>
      <w:pPr>
        <w:pStyle w:val="BodyText"/>
        <w:spacing w:line="276" w:lineRule="auto" w:before="138"/>
        <w:ind w:right="498"/>
      </w:pPr>
      <w:r>
        <w:rPr/>
        <w:t>Quando a insuficiência tricúspide é dependente da hipertensão pulmonar, como ocorre na estenose mitral, os sintomas são fundamentalmente</w:t>
      </w:r>
      <w:r>
        <w:rPr>
          <w:spacing w:val="-1"/>
        </w:rPr>
        <w:t> </w:t>
      </w:r>
      <w:r>
        <w:rPr/>
        <w:t>dessa</w:t>
      </w:r>
      <w:r>
        <w:rPr>
          <w:spacing w:val="-1"/>
        </w:rPr>
        <w:t> </w:t>
      </w:r>
      <w:r>
        <w:rPr/>
        <w:t>doença. Os sintomas de</w:t>
      </w:r>
      <w:r>
        <w:rPr>
          <w:spacing w:val="-1"/>
        </w:rPr>
        <w:t> </w:t>
      </w:r>
      <w:r>
        <w:rPr/>
        <w:t>cansaço e</w:t>
      </w:r>
      <w:r>
        <w:rPr>
          <w:spacing w:val="-1"/>
        </w:rPr>
        <w:t> </w:t>
      </w:r>
      <w:r>
        <w:rPr/>
        <w:t>dispneia</w:t>
      </w:r>
      <w:r>
        <w:rPr>
          <w:spacing w:val="-1"/>
        </w:rPr>
        <w:t> </w:t>
      </w:r>
      <w:r>
        <w:rPr/>
        <w:t>são menos frequentes e</w:t>
      </w:r>
      <w:r>
        <w:rPr>
          <w:spacing w:val="-1"/>
        </w:rPr>
        <w:t> </w:t>
      </w:r>
      <w:r>
        <w:rPr/>
        <w:t>ocorrem na fase final de desadaptação. A queixa de angina de peito é frequente, pressão em átrio direito maior do que em raiz</w:t>
      </w:r>
      <w:r>
        <w:rPr>
          <w:spacing w:val="-11"/>
        </w:rPr>
        <w:t> </w:t>
      </w:r>
      <w:r>
        <w:rPr/>
        <w:t>da</w:t>
      </w:r>
      <w:r>
        <w:rPr>
          <w:spacing w:val="-11"/>
        </w:rPr>
        <w:t> </w:t>
      </w:r>
      <w:r>
        <w:rPr/>
        <w:t>aorta</w:t>
      </w:r>
      <w:r>
        <w:rPr>
          <w:spacing w:val="-11"/>
        </w:rPr>
        <w:t> </w:t>
      </w:r>
      <w:r>
        <w:rPr/>
        <w:t>mesmo</w:t>
      </w:r>
      <w:r>
        <w:rPr>
          <w:spacing w:val="-8"/>
        </w:rPr>
        <w:t> </w:t>
      </w:r>
      <w:r>
        <w:rPr/>
        <w:t>em</w:t>
      </w:r>
      <w:r>
        <w:rPr>
          <w:spacing w:val="-8"/>
        </w:rPr>
        <w:t> </w:t>
      </w:r>
      <w:r>
        <w:rPr/>
        <w:t>ausência</w:t>
      </w:r>
      <w:r>
        <w:rPr>
          <w:spacing w:val="-11"/>
        </w:rPr>
        <w:t> </w:t>
      </w:r>
      <w:r>
        <w:rPr/>
        <w:t>de</w:t>
      </w:r>
      <w:r>
        <w:rPr>
          <w:spacing w:val="-11"/>
        </w:rPr>
        <w:t> </w:t>
      </w:r>
      <w:r>
        <w:rPr/>
        <w:t>coronariopatia.</w:t>
      </w:r>
      <w:r>
        <w:rPr>
          <w:spacing w:val="-1"/>
        </w:rPr>
        <w:t> </w:t>
      </w:r>
      <w:r>
        <w:rPr/>
        <w:t>Náuseas,</w:t>
      </w:r>
      <w:r>
        <w:rPr>
          <w:spacing w:val="-1"/>
        </w:rPr>
        <w:t> </w:t>
      </w:r>
      <w:r>
        <w:rPr/>
        <w:t>vômitos</w:t>
      </w:r>
      <w:r>
        <w:rPr>
          <w:spacing w:val="-1"/>
        </w:rPr>
        <w:t> </w:t>
      </w:r>
      <w:r>
        <w:rPr/>
        <w:t>e</w:t>
      </w:r>
      <w:r>
        <w:rPr>
          <w:spacing w:val="-11"/>
        </w:rPr>
        <w:t> </w:t>
      </w:r>
      <w:r>
        <w:rPr/>
        <w:t>anorexia</w:t>
      </w:r>
      <w:r>
        <w:rPr>
          <w:spacing w:val="-11"/>
        </w:rPr>
        <w:t> </w:t>
      </w:r>
      <w:r>
        <w:rPr/>
        <w:t>se</w:t>
      </w:r>
      <w:r>
        <w:rPr>
          <w:spacing w:val="-11"/>
        </w:rPr>
        <w:t> </w:t>
      </w:r>
      <w:r>
        <w:rPr/>
        <w:t>associam</w:t>
      </w:r>
      <w:r>
        <w:rPr>
          <w:spacing w:val="-8"/>
        </w:rPr>
        <w:t> </w:t>
      </w:r>
      <w:r>
        <w:rPr/>
        <w:t>à</w:t>
      </w:r>
      <w:r>
        <w:rPr>
          <w:spacing w:val="-11"/>
        </w:rPr>
        <w:t> </w:t>
      </w:r>
      <w:r>
        <w:rPr/>
        <w:t>congestão</w:t>
      </w:r>
      <w:r>
        <w:rPr>
          <w:spacing w:val="-8"/>
        </w:rPr>
        <w:t> </w:t>
      </w:r>
      <w:r>
        <w:rPr/>
        <w:t>hepática</w:t>
      </w:r>
      <w:r>
        <w:rPr>
          <w:spacing w:val="-11"/>
        </w:rPr>
        <w:t> </w:t>
      </w:r>
      <w:r>
        <w:rPr/>
        <w:t>e da mucosa gástrica.</w:t>
      </w:r>
    </w:p>
    <w:p>
      <w:pPr>
        <w:pStyle w:val="BodyText"/>
        <w:spacing w:before="134"/>
        <w:ind w:left="0" w:firstLine="0"/>
        <w:jc w:val="left"/>
      </w:pPr>
    </w:p>
    <w:p>
      <w:pPr>
        <w:pStyle w:val="Heading5"/>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BodyText"/>
        <w:spacing w:line="276" w:lineRule="auto" w:before="138"/>
        <w:ind w:right="497"/>
      </w:pPr>
      <w:r>
        <w:rPr/>
        <w:t>Ao exame físico observa-se, nas fases de maior repercussão da doença, estase jugular em que se notam duas impulsões durante a fase de diástole ventricular. À inspeção, notam-se em pacientes não obesos e não enfisematosos, impulsões paraesternais esquerdas na altura do terceiro e quarto espaços intercostais que correspondem às impulsões sistólicas do VD aumentado.</w:t>
      </w:r>
    </w:p>
    <w:p>
      <w:pPr>
        <w:pStyle w:val="BodyText"/>
        <w:spacing w:line="276" w:lineRule="auto" w:before="49"/>
        <w:ind w:right="491"/>
      </w:pPr>
      <w:r>
        <w:rPr/>
        <w:t>O VD aumentado determina, de maneira nítida, o movimento conhecido como sendo em báscula do precórdio correspondente ao impulso do VD seguido de retração do </w:t>
      </w:r>
      <w:r>
        <w:rPr>
          <w:i/>
        </w:rPr>
        <w:t>ictus cordis</w:t>
      </w:r>
      <w:r>
        <w:rPr/>
        <w:t>.</w:t>
      </w:r>
    </w:p>
    <w:p>
      <w:pPr>
        <w:pStyle w:val="BodyText"/>
        <w:spacing w:after="0" w:line="276" w:lineRule="auto"/>
        <w:sectPr>
          <w:pgSz w:w="11900" w:h="16840"/>
          <w:pgMar w:top="180" w:bottom="280" w:left="566" w:right="141"/>
        </w:sectPr>
      </w:pPr>
    </w:p>
    <w:p>
      <w:pPr>
        <w:pStyle w:val="BodyText"/>
        <w:spacing w:line="276" w:lineRule="auto"/>
        <w:ind w:right="491"/>
      </w:pPr>
      <w:r>
        <w:rPr/>
        <w:t>Ascite, hepatomegalia e icterícia são resultantes da descompensação grave da valva tricúspide, resultam em congestão hepática. O edema de membros inferiores é manifestação frequente causada pela hipertensão em átrio direito e dificuldade do retorno venoso.</w:t>
      </w:r>
    </w:p>
    <w:p>
      <w:pPr>
        <w:pStyle w:val="BodyText"/>
        <w:spacing w:line="276" w:lineRule="auto"/>
        <w:ind w:right="497"/>
      </w:pPr>
      <w:r>
        <w:rPr/>
        <w:t>O sopro de regurgitação, mais audível em área tricúspide, intensifica-se com a manobra de Rivero-Carvallo. Esse</w:t>
      </w:r>
      <w:r>
        <w:rPr>
          <w:spacing w:val="-2"/>
        </w:rPr>
        <w:t> </w:t>
      </w:r>
      <w:r>
        <w:rPr/>
        <w:t>procedimento é</w:t>
      </w:r>
      <w:r>
        <w:rPr>
          <w:spacing w:val="-2"/>
        </w:rPr>
        <w:t> </w:t>
      </w:r>
      <w:r>
        <w:rPr/>
        <w:t>útil para</w:t>
      </w:r>
      <w:r>
        <w:rPr>
          <w:spacing w:val="-2"/>
        </w:rPr>
        <w:t> </w:t>
      </w:r>
      <w:r>
        <w:rPr/>
        <w:t>o diagnóstico diferencial com a</w:t>
      </w:r>
      <w:r>
        <w:rPr>
          <w:spacing w:val="-2"/>
        </w:rPr>
        <w:t> </w:t>
      </w:r>
      <w:r>
        <w:rPr/>
        <w:t>insuficiência</w:t>
      </w:r>
      <w:r>
        <w:rPr>
          <w:spacing w:val="-2"/>
        </w:rPr>
        <w:t> </w:t>
      </w:r>
      <w:r>
        <w:rPr/>
        <w:t>mitral. Essa</w:t>
      </w:r>
      <w:r>
        <w:rPr>
          <w:spacing w:val="-2"/>
        </w:rPr>
        <w:t> </w:t>
      </w:r>
      <w:r>
        <w:rPr/>
        <w:t>manobra</w:t>
      </w:r>
      <w:r>
        <w:rPr>
          <w:spacing w:val="-2"/>
        </w:rPr>
        <w:t> </w:t>
      </w:r>
      <w:r>
        <w:rPr/>
        <w:t>é</w:t>
      </w:r>
      <w:r>
        <w:rPr>
          <w:spacing w:val="-2"/>
        </w:rPr>
        <w:t> </w:t>
      </w:r>
      <w:r>
        <w:rPr/>
        <w:t>ineficaz</w:t>
      </w:r>
      <w:r>
        <w:rPr>
          <w:spacing w:val="-2"/>
        </w:rPr>
        <w:t> </w:t>
      </w:r>
      <w:r>
        <w:rPr/>
        <w:t>quando a pressão telediastólica está muito elevada pela sobrecarga de volume imposta ao VD, concomitante à reduzida complacência dessa câmara cardíaca.</w:t>
      </w:r>
    </w:p>
    <w:p>
      <w:pPr>
        <w:pStyle w:val="BodyText"/>
        <w:spacing w:before="8"/>
        <w:ind w:left="0" w:firstLine="0"/>
        <w:jc w:val="left"/>
      </w:pPr>
    </w:p>
    <w:p>
      <w:pPr>
        <w:pStyle w:val="Heading7"/>
      </w:pPr>
      <w:r>
        <w:rPr>
          <w:color w:val="242B67"/>
          <w:spacing w:val="-2"/>
        </w:rPr>
        <w:t>Eletrocardiograma</w:t>
      </w:r>
    </w:p>
    <w:p>
      <w:pPr>
        <w:pStyle w:val="BodyText"/>
        <w:spacing w:line="276" w:lineRule="auto" w:before="127"/>
        <w:ind w:right="488"/>
      </w:pPr>
      <w:r>
        <w:rPr/>
        <w:t>O</w:t>
      </w:r>
      <w:r>
        <w:rPr>
          <w:spacing w:val="-10"/>
        </w:rPr>
        <w:t> </w:t>
      </w:r>
      <w:r>
        <w:rPr/>
        <w:t>exame</w:t>
      </w:r>
      <w:r>
        <w:rPr>
          <w:spacing w:val="-10"/>
        </w:rPr>
        <w:t> </w:t>
      </w:r>
      <w:r>
        <w:rPr/>
        <w:t>eletrocardiográfico</w:t>
      </w:r>
      <w:r>
        <w:rPr>
          <w:spacing w:val="-8"/>
        </w:rPr>
        <w:t> </w:t>
      </w:r>
      <w:r>
        <w:rPr/>
        <w:t>revela</w:t>
      </w:r>
      <w:r>
        <w:rPr>
          <w:spacing w:val="-10"/>
        </w:rPr>
        <w:t> </w:t>
      </w:r>
      <w:r>
        <w:rPr/>
        <w:t>a</w:t>
      </w:r>
      <w:r>
        <w:rPr>
          <w:spacing w:val="-10"/>
        </w:rPr>
        <w:t> </w:t>
      </w:r>
      <w:r>
        <w:rPr/>
        <w:t>sobrecarga</w:t>
      </w:r>
      <w:r>
        <w:rPr>
          <w:spacing w:val="-10"/>
        </w:rPr>
        <w:t> </w:t>
      </w:r>
      <w:r>
        <w:rPr/>
        <w:t>ventricular</w:t>
      </w:r>
      <w:r>
        <w:rPr>
          <w:spacing w:val="-3"/>
        </w:rPr>
        <w:t> </w:t>
      </w:r>
      <w:r>
        <w:rPr/>
        <w:t>direita, além</w:t>
      </w:r>
      <w:r>
        <w:rPr>
          <w:spacing w:val="-8"/>
        </w:rPr>
        <w:t> </w:t>
      </w:r>
      <w:r>
        <w:rPr/>
        <w:t>da</w:t>
      </w:r>
      <w:r>
        <w:rPr>
          <w:spacing w:val="-10"/>
        </w:rPr>
        <w:t> </w:t>
      </w:r>
      <w:r>
        <w:rPr/>
        <w:t>presença</w:t>
      </w:r>
      <w:r>
        <w:rPr>
          <w:spacing w:val="-10"/>
        </w:rPr>
        <w:t> </w:t>
      </w:r>
      <w:r>
        <w:rPr/>
        <w:t>de</w:t>
      </w:r>
      <w:r>
        <w:rPr>
          <w:spacing w:val="-10"/>
        </w:rPr>
        <w:t> </w:t>
      </w:r>
      <w:r>
        <w:rPr/>
        <w:t>bloqueio</w:t>
      </w:r>
      <w:r>
        <w:rPr>
          <w:spacing w:val="-8"/>
        </w:rPr>
        <w:t> </w:t>
      </w:r>
      <w:r>
        <w:rPr/>
        <w:t>incompleto</w:t>
      </w:r>
      <w:r>
        <w:rPr>
          <w:spacing w:val="-8"/>
        </w:rPr>
        <w:t> </w:t>
      </w:r>
      <w:r>
        <w:rPr/>
        <w:t>de ramo direito nas doenças em estados graves. A</w:t>
      </w:r>
      <w:r>
        <w:rPr>
          <w:spacing w:val="-1"/>
        </w:rPr>
        <w:t> </w:t>
      </w:r>
      <w:r>
        <w:rPr/>
        <w:t>perda</w:t>
      </w:r>
      <w:r>
        <w:rPr>
          <w:spacing w:val="-1"/>
        </w:rPr>
        <w:t> </w:t>
      </w:r>
      <w:r>
        <w:rPr/>
        <w:t>do ritmo sinusal para</w:t>
      </w:r>
      <w:r>
        <w:rPr>
          <w:spacing w:val="-1"/>
        </w:rPr>
        <w:t> </w:t>
      </w:r>
      <w:r>
        <w:rPr/>
        <w:t>a</w:t>
      </w:r>
      <w:r>
        <w:rPr>
          <w:spacing w:val="-1"/>
        </w:rPr>
        <w:t> </w:t>
      </w:r>
      <w:r>
        <w:rPr/>
        <w:t>fibrilação atrial não é</w:t>
      </w:r>
      <w:r>
        <w:rPr>
          <w:spacing w:val="-1"/>
        </w:rPr>
        <w:t> </w:t>
      </w:r>
      <w:r>
        <w:rPr/>
        <w:t>frequente.</w:t>
      </w:r>
    </w:p>
    <w:p>
      <w:pPr>
        <w:pStyle w:val="BodyText"/>
        <w:spacing w:before="24"/>
        <w:ind w:left="0" w:firstLine="0"/>
        <w:jc w:val="left"/>
      </w:pPr>
    </w:p>
    <w:p>
      <w:pPr>
        <w:pStyle w:val="Heading7"/>
      </w:pPr>
      <w:r>
        <w:rPr>
          <w:color w:val="242B67"/>
          <w:spacing w:val="-2"/>
        </w:rPr>
        <w:t>Radiologia</w:t>
      </w:r>
    </w:p>
    <w:p>
      <w:pPr>
        <w:pStyle w:val="BodyText"/>
        <w:spacing w:line="276" w:lineRule="auto" w:before="126"/>
        <w:ind w:right="491"/>
      </w:pPr>
      <w:r>
        <w:rPr/>
        <w:t>A presença de VD aumentado em relação ao esquerdo, associado à rotação horária do coração e ausência do botão aórtico são os achados frequentes que contribuem para o diagnóstico. São igualmente informativas as imagens sugestivas de hipertensão venosa, veia cava dilatada e a arterial, proeminência acentuada da artéria pulmonar. A</w:t>
      </w:r>
      <w:r>
        <w:rPr>
          <w:spacing w:val="-1"/>
        </w:rPr>
        <w:t> </w:t>
      </w:r>
      <w:r>
        <w:rPr/>
        <w:t>elevação das cúpulas diafragmáticas sugere</w:t>
      </w:r>
      <w:r>
        <w:rPr>
          <w:spacing w:val="-1"/>
        </w:rPr>
        <w:t> </w:t>
      </w:r>
      <w:r>
        <w:rPr/>
        <w:t>a</w:t>
      </w:r>
      <w:r>
        <w:rPr>
          <w:spacing w:val="-1"/>
        </w:rPr>
        <w:t> </w:t>
      </w:r>
      <w:r>
        <w:rPr/>
        <w:t>presença</w:t>
      </w:r>
      <w:r>
        <w:rPr>
          <w:spacing w:val="-1"/>
        </w:rPr>
        <w:t> </w:t>
      </w:r>
      <w:r>
        <w:rPr/>
        <w:t>de</w:t>
      </w:r>
      <w:r>
        <w:rPr>
          <w:spacing w:val="-1"/>
        </w:rPr>
        <w:t> </w:t>
      </w:r>
      <w:r>
        <w:rPr/>
        <w:t>ascite.</w:t>
      </w:r>
    </w:p>
    <w:p>
      <w:pPr>
        <w:pStyle w:val="BodyText"/>
        <w:spacing w:line="276" w:lineRule="auto"/>
        <w:ind w:right="497"/>
      </w:pPr>
      <w:r>
        <w:rPr/>
        <w:t>A visualização da veia ázigo denota grande elevação da pressão em átrio direito. Nessa situação, pode ser encontrado derrame pleural.</w:t>
      </w:r>
    </w:p>
    <w:p>
      <w:pPr>
        <w:pStyle w:val="BodyText"/>
        <w:spacing w:before="24"/>
        <w:ind w:left="0" w:firstLine="0"/>
        <w:jc w:val="left"/>
      </w:pPr>
    </w:p>
    <w:p>
      <w:pPr>
        <w:pStyle w:val="Heading7"/>
      </w:pPr>
      <w:r>
        <w:rPr>
          <w:color w:val="242B67"/>
          <w:spacing w:val="-2"/>
        </w:rPr>
        <w:t>Ecodopplercardiograma</w:t>
      </w:r>
    </w:p>
    <w:p>
      <w:pPr>
        <w:pStyle w:val="BodyText"/>
        <w:spacing w:line="276" w:lineRule="auto" w:before="126"/>
        <w:ind w:right="501"/>
      </w:pPr>
      <w:r>
        <w:rPr/>
        <w:t>É técnica bastante sensível na avaliação diagnóstica. É exame não invasivo, e que nos mostra com acerto as condições pressóricas da</w:t>
      </w:r>
      <w:r>
        <w:rPr>
          <w:spacing w:val="-4"/>
        </w:rPr>
        <w:t> </w:t>
      </w:r>
      <w:r>
        <w:rPr/>
        <w:t>câmara</w:t>
      </w:r>
      <w:r>
        <w:rPr>
          <w:spacing w:val="-4"/>
        </w:rPr>
        <w:t> </w:t>
      </w:r>
      <w:r>
        <w:rPr/>
        <w:t>ventricular direita. Essa</w:t>
      </w:r>
      <w:r>
        <w:rPr>
          <w:spacing w:val="-4"/>
        </w:rPr>
        <w:t> </w:t>
      </w:r>
      <w:r>
        <w:rPr/>
        <w:t>medida</w:t>
      </w:r>
      <w:r>
        <w:rPr>
          <w:spacing w:val="-4"/>
        </w:rPr>
        <w:t> </w:t>
      </w:r>
      <w:r>
        <w:rPr/>
        <w:t>é</w:t>
      </w:r>
      <w:r>
        <w:rPr>
          <w:spacing w:val="-4"/>
        </w:rPr>
        <w:t> </w:t>
      </w:r>
      <w:r>
        <w:rPr/>
        <w:t>usada</w:t>
      </w:r>
      <w:r>
        <w:rPr>
          <w:spacing w:val="-4"/>
        </w:rPr>
        <w:t> </w:t>
      </w:r>
      <w:r>
        <w:rPr/>
        <w:t>para</w:t>
      </w:r>
      <w:r>
        <w:rPr>
          <w:spacing w:val="-4"/>
        </w:rPr>
        <w:t> </w:t>
      </w:r>
      <w:r>
        <w:rPr/>
        <w:t>avaliação</w:t>
      </w:r>
      <w:r>
        <w:rPr>
          <w:spacing w:val="-2"/>
        </w:rPr>
        <w:t> </w:t>
      </w:r>
      <w:r>
        <w:rPr/>
        <w:t>da</w:t>
      </w:r>
      <w:r>
        <w:rPr>
          <w:spacing w:val="-4"/>
        </w:rPr>
        <w:t> </w:t>
      </w:r>
      <w:r>
        <w:rPr/>
        <w:t>gravidade</w:t>
      </w:r>
      <w:r>
        <w:rPr>
          <w:spacing w:val="-4"/>
        </w:rPr>
        <w:t> </w:t>
      </w:r>
      <w:r>
        <w:rPr/>
        <w:t>da</w:t>
      </w:r>
      <w:r>
        <w:rPr>
          <w:spacing w:val="-4"/>
        </w:rPr>
        <w:t> </w:t>
      </w:r>
      <w:r>
        <w:rPr/>
        <w:t>doença.</w:t>
      </w:r>
    </w:p>
    <w:p>
      <w:pPr>
        <w:pStyle w:val="BodyText"/>
        <w:spacing w:before="8"/>
        <w:ind w:left="0" w:firstLine="0"/>
        <w:jc w:val="left"/>
      </w:pPr>
    </w:p>
    <w:p>
      <w:pPr>
        <w:pStyle w:val="Heading7"/>
        <w:spacing w:before="1"/>
      </w:pPr>
      <w:r>
        <w:rPr>
          <w:color w:val="242B67"/>
        </w:rPr>
        <w:t>Cateterismo </w:t>
      </w:r>
      <w:r>
        <w:rPr>
          <w:color w:val="242B67"/>
          <w:spacing w:val="-2"/>
        </w:rPr>
        <w:t>cardíaco</w:t>
      </w:r>
    </w:p>
    <w:p>
      <w:pPr>
        <w:pStyle w:val="BodyText"/>
        <w:spacing w:line="276" w:lineRule="auto" w:before="142"/>
        <w:ind w:right="491"/>
      </w:pPr>
      <w:r>
        <w:rPr/>
        <w:t>O resultado da desadaptação cardíaca pode ser comprovado por medidas obtidas por ecocardiograma ou cateterismo cardíaco. A análise da curva de pressão do átrio direito revela maior enchimento e dificuldade de esvaziamento do átrio direito e pressão sistólica no VD aumentado. Conforme a gravidade da regurgitação, a pressão atrial direita assemelha-se à do VD, o que é considerado como a ventricularização da pressão atrial. Os valores medidos das pressões sistólicas no VD e artéria pulmonar estão elevados. Valores de pressão sistólica inferiores a</w:t>
      </w:r>
      <w:r>
        <w:rPr>
          <w:spacing w:val="-8"/>
        </w:rPr>
        <w:t> </w:t>
      </w:r>
      <w:r>
        <w:rPr/>
        <w:t>40</w:t>
      </w:r>
      <w:r>
        <w:rPr>
          <w:spacing w:val="-5"/>
        </w:rPr>
        <w:t> </w:t>
      </w:r>
      <w:r>
        <w:rPr/>
        <w:t>mmHg</w:t>
      </w:r>
      <w:r>
        <w:rPr>
          <w:spacing w:val="-5"/>
        </w:rPr>
        <w:t> </w:t>
      </w:r>
      <w:r>
        <w:rPr/>
        <w:t>nessas câmaras sugerem</w:t>
      </w:r>
      <w:r>
        <w:rPr>
          <w:spacing w:val="-5"/>
        </w:rPr>
        <w:t> </w:t>
      </w:r>
      <w:r>
        <w:rPr/>
        <w:t>etiologia</w:t>
      </w:r>
      <w:r>
        <w:rPr>
          <w:spacing w:val="-8"/>
        </w:rPr>
        <w:t> </w:t>
      </w:r>
      <w:r>
        <w:rPr/>
        <w:t>primária, enquanto</w:t>
      </w:r>
      <w:r>
        <w:rPr>
          <w:spacing w:val="-5"/>
        </w:rPr>
        <w:t> </w:t>
      </w:r>
      <w:r>
        <w:rPr/>
        <w:t>os superiores a</w:t>
      </w:r>
      <w:r>
        <w:rPr>
          <w:spacing w:val="-8"/>
        </w:rPr>
        <w:t> </w:t>
      </w:r>
      <w:r>
        <w:rPr/>
        <w:t>60</w:t>
      </w:r>
      <w:r>
        <w:rPr>
          <w:spacing w:val="-5"/>
        </w:rPr>
        <w:t> </w:t>
      </w:r>
      <w:r>
        <w:rPr/>
        <w:t>mmHg</w:t>
      </w:r>
      <w:r>
        <w:rPr>
          <w:spacing w:val="-5"/>
        </w:rPr>
        <w:t> </w:t>
      </w:r>
      <w:r>
        <w:rPr/>
        <w:t>indicam</w:t>
      </w:r>
      <w:r>
        <w:rPr>
          <w:spacing w:val="-5"/>
        </w:rPr>
        <w:t> </w:t>
      </w:r>
      <w:r>
        <w:rPr/>
        <w:t>com maior probabilidade regurgitação tricúspide de etiologia secundária à hipertensão pulmonar. A ventriculografia do VD auxilia no diagnóstico e na avaliação quantitativa da insuficiência tricúspide.</w:t>
      </w:r>
    </w:p>
    <w:p>
      <w:pPr>
        <w:pStyle w:val="BodyText"/>
        <w:spacing w:before="134"/>
        <w:ind w:left="0" w:firstLine="0"/>
        <w:jc w:val="left"/>
      </w:pPr>
    </w:p>
    <w:p>
      <w:pPr>
        <w:pStyle w:val="Heading5"/>
        <w:spacing w:before="1"/>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22"/>
        <w:ind w:right="501"/>
      </w:pPr>
      <w:r>
        <w:rPr/>
        <w:t>A insuficiência tricúspide isolada, sem hipertensão pulmonar, é bem tolerada e não exige correção cirúrgica. Nas endocardites infecciosas, a retirada da válvula infectada é aceita, desde que não haja hipertensão pulmonar associada. A restrição hídrica e fármacos, como os cardiotônicos, mantêm as condições hemodinâmicas satisfatórias do paciente.</w:t>
      </w:r>
    </w:p>
    <w:p>
      <w:pPr>
        <w:pStyle w:val="BodyText"/>
        <w:spacing w:line="276" w:lineRule="auto" w:before="64"/>
        <w:ind w:right="488"/>
      </w:pPr>
      <w:r>
        <w:rPr/>
        <w:t>A</w:t>
      </w:r>
      <w:r>
        <w:rPr>
          <w:spacing w:val="-13"/>
        </w:rPr>
        <w:t> </w:t>
      </w:r>
      <w:r>
        <w:rPr/>
        <w:t>insuficiência</w:t>
      </w:r>
      <w:r>
        <w:rPr>
          <w:spacing w:val="-13"/>
        </w:rPr>
        <w:t> </w:t>
      </w:r>
      <w:r>
        <w:rPr/>
        <w:t>tricúspide</w:t>
      </w:r>
      <w:r>
        <w:rPr>
          <w:spacing w:val="-13"/>
        </w:rPr>
        <w:t> </w:t>
      </w:r>
      <w:r>
        <w:rPr/>
        <w:t>secundária</w:t>
      </w:r>
      <w:r>
        <w:rPr>
          <w:spacing w:val="-13"/>
        </w:rPr>
        <w:t> </w:t>
      </w:r>
      <w:r>
        <w:rPr/>
        <w:t>à</w:t>
      </w:r>
      <w:r>
        <w:rPr>
          <w:spacing w:val="-13"/>
        </w:rPr>
        <w:t> </w:t>
      </w:r>
      <w:r>
        <w:rPr/>
        <w:t>hipertensão</w:t>
      </w:r>
      <w:r>
        <w:rPr>
          <w:spacing w:val="-10"/>
        </w:rPr>
        <w:t> </w:t>
      </w:r>
      <w:r>
        <w:rPr/>
        <w:t>pulmonar,</w:t>
      </w:r>
      <w:r>
        <w:rPr>
          <w:spacing w:val="-3"/>
        </w:rPr>
        <w:t> </w:t>
      </w:r>
      <w:r>
        <w:rPr/>
        <w:t>desencadeada</w:t>
      </w:r>
      <w:r>
        <w:rPr>
          <w:spacing w:val="-13"/>
        </w:rPr>
        <w:t> </w:t>
      </w:r>
      <w:r>
        <w:rPr/>
        <w:t>pela</w:t>
      </w:r>
      <w:r>
        <w:rPr>
          <w:spacing w:val="-13"/>
        </w:rPr>
        <w:t> </w:t>
      </w:r>
      <w:r>
        <w:rPr/>
        <w:t>estenose</w:t>
      </w:r>
      <w:r>
        <w:rPr>
          <w:spacing w:val="-13"/>
        </w:rPr>
        <w:t> </w:t>
      </w:r>
      <w:r>
        <w:rPr/>
        <w:t>mitral,</w:t>
      </w:r>
      <w:r>
        <w:rPr>
          <w:spacing w:val="-3"/>
        </w:rPr>
        <w:t> </w:t>
      </w:r>
      <w:r>
        <w:rPr/>
        <w:t>por</w:t>
      </w:r>
      <w:r>
        <w:rPr>
          <w:spacing w:val="-5"/>
        </w:rPr>
        <w:t> </w:t>
      </w:r>
      <w:r>
        <w:rPr/>
        <w:t>exemplo,</w:t>
      </w:r>
      <w:r>
        <w:rPr>
          <w:spacing w:val="-3"/>
        </w:rPr>
        <w:t> </w:t>
      </w:r>
      <w:r>
        <w:rPr/>
        <w:t>é reduzida quando o defeito mitral é corrigido.</w:t>
      </w:r>
    </w:p>
    <w:p>
      <w:pPr>
        <w:pStyle w:val="BodyText"/>
        <w:spacing w:line="276" w:lineRule="auto"/>
        <w:ind w:right="488"/>
      </w:pPr>
      <w:r>
        <w:rPr/>
        <w:t>Quando o anel valvar tricúspide estiver exageradamente dilatado, como ocorre na estenose mitral grave associada,</w:t>
      </w:r>
      <w:r>
        <w:rPr>
          <w:spacing w:val="-1"/>
        </w:rPr>
        <w:t> </w:t>
      </w:r>
      <w:r>
        <w:rPr/>
        <w:t>a</w:t>
      </w:r>
      <w:r>
        <w:rPr>
          <w:spacing w:val="-11"/>
        </w:rPr>
        <w:t> </w:t>
      </w:r>
      <w:r>
        <w:rPr/>
        <w:t>tentativa</w:t>
      </w:r>
      <w:r>
        <w:rPr>
          <w:spacing w:val="-11"/>
        </w:rPr>
        <w:t> </w:t>
      </w:r>
      <w:r>
        <w:rPr/>
        <w:t>de</w:t>
      </w:r>
      <w:r>
        <w:rPr>
          <w:spacing w:val="-11"/>
        </w:rPr>
        <w:t> </w:t>
      </w:r>
      <w:r>
        <w:rPr/>
        <w:t>redução</w:t>
      </w:r>
      <w:r>
        <w:rPr>
          <w:spacing w:val="-8"/>
        </w:rPr>
        <w:t> </w:t>
      </w:r>
      <w:r>
        <w:rPr/>
        <w:t>do</w:t>
      </w:r>
      <w:r>
        <w:rPr>
          <w:spacing w:val="-8"/>
        </w:rPr>
        <w:t> </w:t>
      </w:r>
      <w:r>
        <w:rPr/>
        <w:t>anel</w:t>
      </w:r>
      <w:r>
        <w:rPr>
          <w:spacing w:val="-6"/>
        </w:rPr>
        <w:t> </w:t>
      </w:r>
      <w:r>
        <w:rPr/>
        <w:t>valvar</w:t>
      </w:r>
      <w:r>
        <w:rPr>
          <w:spacing w:val="-3"/>
        </w:rPr>
        <w:t> </w:t>
      </w:r>
      <w:r>
        <w:rPr/>
        <w:t>por</w:t>
      </w:r>
      <w:r>
        <w:rPr>
          <w:spacing w:val="-3"/>
        </w:rPr>
        <w:t> </w:t>
      </w:r>
      <w:r>
        <w:rPr/>
        <w:t>meio</w:t>
      </w:r>
      <w:r>
        <w:rPr>
          <w:spacing w:val="-8"/>
        </w:rPr>
        <w:t> </w:t>
      </w:r>
      <w:r>
        <w:rPr/>
        <w:t>de</w:t>
      </w:r>
      <w:r>
        <w:rPr>
          <w:spacing w:val="-11"/>
        </w:rPr>
        <w:t> </w:t>
      </w:r>
      <w:r>
        <w:rPr/>
        <w:t>plastia</w:t>
      </w:r>
      <w:r>
        <w:rPr>
          <w:spacing w:val="-11"/>
        </w:rPr>
        <w:t> </w:t>
      </w:r>
      <w:r>
        <w:rPr/>
        <w:t>de</w:t>
      </w:r>
      <w:r>
        <w:rPr>
          <w:spacing w:val="-11"/>
        </w:rPr>
        <w:t> </w:t>
      </w:r>
      <w:r>
        <w:rPr/>
        <w:t>seus</w:t>
      </w:r>
      <w:r>
        <w:rPr>
          <w:spacing w:val="-1"/>
        </w:rPr>
        <w:t> </w:t>
      </w:r>
      <w:r>
        <w:rPr/>
        <w:t>componentes</w:t>
      </w:r>
      <w:r>
        <w:rPr>
          <w:spacing w:val="-1"/>
        </w:rPr>
        <w:t> </w:t>
      </w:r>
      <w:r>
        <w:rPr/>
        <w:t>juntamente</w:t>
      </w:r>
      <w:r>
        <w:rPr>
          <w:spacing w:val="-11"/>
        </w:rPr>
        <w:t> </w:t>
      </w:r>
      <w:r>
        <w:rPr/>
        <w:t>com</w:t>
      </w:r>
      <w:r>
        <w:rPr>
          <w:spacing w:val="-8"/>
        </w:rPr>
        <w:t> </w:t>
      </w:r>
      <w:r>
        <w:rPr/>
        <w:t>a</w:t>
      </w:r>
      <w:r>
        <w:rPr>
          <w:spacing w:val="-11"/>
        </w:rPr>
        <w:t> </w:t>
      </w:r>
      <w:r>
        <w:rPr/>
        <w:t>correção do defeito mitral poderá abreviar o tempo para a redução das repercussões sistêmicas da disfunção das câmaras </w:t>
      </w:r>
      <w:r>
        <w:rPr>
          <w:spacing w:val="-2"/>
        </w:rPr>
        <w:t>direitas.</w:t>
      </w:r>
    </w:p>
    <w:p>
      <w:pPr>
        <w:pStyle w:val="BodyText"/>
        <w:spacing w:before="185"/>
        <w:ind w:left="0" w:firstLine="0"/>
        <w:jc w:val="left"/>
      </w:pPr>
    </w:p>
    <w:p>
      <w:pPr>
        <w:pStyle w:val="Heading4"/>
        <w:spacing w:before="1"/>
      </w:pPr>
      <w:r>
        <w:rPr>
          <w:color w:val="242B67"/>
        </w:rPr>
        <w:t>Estenose valvar </w:t>
      </w:r>
      <w:r>
        <w:rPr>
          <w:color w:val="242B67"/>
          <w:spacing w:val="-2"/>
        </w:rPr>
        <w:t>pulmonar</w:t>
      </w:r>
    </w:p>
    <w:p>
      <w:pPr>
        <w:pStyle w:val="Heading5"/>
        <w:spacing w:before="177"/>
      </w:pPr>
      <w:r>
        <w:rPr>
          <w:color w:val="A26108"/>
          <w:spacing w:val="-2"/>
        </w:rPr>
        <w:t>Conceito</w:t>
      </w:r>
    </w:p>
    <w:p>
      <w:pPr>
        <w:pStyle w:val="Heading5"/>
        <w:spacing w:after="0"/>
        <w:sectPr>
          <w:pgSz w:w="11900" w:h="16840"/>
          <w:pgMar w:top="200" w:bottom="280" w:left="566" w:right="141"/>
        </w:sectPr>
      </w:pPr>
    </w:p>
    <w:p>
      <w:pPr>
        <w:pStyle w:val="BodyText"/>
        <w:spacing w:line="276" w:lineRule="auto" w:before="64"/>
        <w:ind w:right="498"/>
      </w:pPr>
      <w:r>
        <w:rPr/>
        <w:t>A</w:t>
      </w:r>
      <w:r>
        <w:rPr>
          <w:spacing w:val="-4"/>
        </w:rPr>
        <w:t> </w:t>
      </w:r>
      <w:r>
        <w:rPr/>
        <w:t>estenose</w:t>
      </w:r>
      <w:r>
        <w:rPr>
          <w:spacing w:val="-4"/>
        </w:rPr>
        <w:t> </w:t>
      </w:r>
      <w:r>
        <w:rPr/>
        <w:t>valvar pulmonar é</w:t>
      </w:r>
      <w:r>
        <w:rPr>
          <w:spacing w:val="-4"/>
        </w:rPr>
        <w:t> </w:t>
      </w:r>
      <w:r>
        <w:rPr/>
        <w:t>a</w:t>
      </w:r>
      <w:r>
        <w:rPr>
          <w:spacing w:val="-4"/>
        </w:rPr>
        <w:t> </w:t>
      </w:r>
      <w:r>
        <w:rPr/>
        <w:t>forma</w:t>
      </w:r>
      <w:r>
        <w:rPr>
          <w:spacing w:val="-4"/>
        </w:rPr>
        <w:t> </w:t>
      </w:r>
      <w:r>
        <w:rPr/>
        <w:t>mais comum</w:t>
      </w:r>
      <w:r>
        <w:rPr>
          <w:spacing w:val="-1"/>
        </w:rPr>
        <w:t> </w:t>
      </w:r>
      <w:r>
        <w:rPr/>
        <w:t>de</w:t>
      </w:r>
      <w:r>
        <w:rPr>
          <w:spacing w:val="-4"/>
        </w:rPr>
        <w:t> </w:t>
      </w:r>
      <w:r>
        <w:rPr/>
        <w:t>obstrução</w:t>
      </w:r>
      <w:r>
        <w:rPr>
          <w:spacing w:val="-1"/>
        </w:rPr>
        <w:t> </w:t>
      </w:r>
      <w:r>
        <w:rPr/>
        <w:t>do</w:t>
      </w:r>
      <w:r>
        <w:rPr>
          <w:spacing w:val="-1"/>
        </w:rPr>
        <w:t> </w:t>
      </w:r>
      <w:r>
        <w:rPr/>
        <w:t>VD</w:t>
      </w:r>
      <w:r>
        <w:rPr>
          <w:spacing w:val="-4"/>
        </w:rPr>
        <w:t> </w:t>
      </w:r>
      <w:r>
        <w:rPr/>
        <w:t>isolada. A</w:t>
      </w:r>
      <w:r>
        <w:rPr>
          <w:spacing w:val="-4"/>
        </w:rPr>
        <w:t> </w:t>
      </w:r>
      <w:r>
        <w:rPr/>
        <w:t>etiologia</w:t>
      </w:r>
      <w:r>
        <w:rPr>
          <w:spacing w:val="-4"/>
        </w:rPr>
        <w:t> </w:t>
      </w:r>
      <w:r>
        <w:rPr/>
        <w:t>congênita</w:t>
      </w:r>
      <w:r>
        <w:rPr>
          <w:spacing w:val="-4"/>
        </w:rPr>
        <w:t> </w:t>
      </w:r>
      <w:r>
        <w:rPr/>
        <w:t>é</w:t>
      </w:r>
      <w:r>
        <w:rPr>
          <w:spacing w:val="-4"/>
        </w:rPr>
        <w:t> </w:t>
      </w:r>
      <w:r>
        <w:rPr/>
        <w:t>a</w:t>
      </w:r>
      <w:r>
        <w:rPr>
          <w:spacing w:val="-4"/>
        </w:rPr>
        <w:t> </w:t>
      </w:r>
      <w:r>
        <w:rPr/>
        <w:t>mais frequente, ocorrendo em aproximadamente 75% dos pacientes portadores de cardiopatias congênitas. Resulta da fusão das cúspides valvares durante o desenvolvimento intrauterino. Algum grau de estreitamento do infundíbulo do VD pode acompanhar a lesão da valva pulmonar.</w:t>
      </w:r>
    </w:p>
    <w:p>
      <w:pPr>
        <w:pStyle w:val="BodyText"/>
        <w:spacing w:line="276" w:lineRule="auto"/>
        <w:ind w:right="488"/>
      </w:pPr>
      <w:r>
        <w:rPr/>
        <w:t>Em pacientes com a</w:t>
      </w:r>
      <w:r>
        <w:rPr>
          <w:spacing w:val="-1"/>
        </w:rPr>
        <w:t> </w:t>
      </w:r>
      <w:r>
        <w:rPr/>
        <w:t>síndrome</w:t>
      </w:r>
      <w:r>
        <w:rPr>
          <w:spacing w:val="-1"/>
        </w:rPr>
        <w:t> </w:t>
      </w:r>
      <w:r>
        <w:rPr/>
        <w:t>de</w:t>
      </w:r>
      <w:r>
        <w:rPr>
          <w:spacing w:val="-1"/>
        </w:rPr>
        <w:t> </w:t>
      </w:r>
      <w:r>
        <w:rPr/>
        <w:t>Noonan, fácies triangular, hipertireoidismo, ptose</w:t>
      </w:r>
      <w:r>
        <w:rPr>
          <w:spacing w:val="-1"/>
        </w:rPr>
        <w:t> </w:t>
      </w:r>
      <w:r>
        <w:rPr/>
        <w:t>palpebral, retardo mental e implantação baixa das orelhas, pode ocorrer displasia da valva pulmonar, com folhetos espessados, rígidos e mixomatosos que resultam em obstrução da via de saída do VD.</w:t>
      </w:r>
    </w:p>
    <w:p>
      <w:pPr>
        <w:pStyle w:val="BodyText"/>
        <w:spacing w:before="133"/>
        <w:ind w:left="0" w:firstLine="0"/>
        <w:jc w:val="left"/>
      </w:pPr>
    </w:p>
    <w:p>
      <w:pPr>
        <w:pStyle w:val="Heading5"/>
        <w:spacing w:before="1"/>
      </w:pPr>
      <w:r>
        <w:rPr>
          <w:color w:val="A26108"/>
        </w:rPr>
        <w:t>Quadro</w:t>
      </w:r>
      <w:r>
        <w:rPr>
          <w:color w:val="A26108"/>
          <w:spacing w:val="23"/>
        </w:rPr>
        <w:t> </w:t>
      </w:r>
      <w:r>
        <w:rPr>
          <w:color w:val="A26108"/>
          <w:spacing w:val="-2"/>
        </w:rPr>
        <w:t>clínico</w:t>
      </w:r>
    </w:p>
    <w:p>
      <w:pPr>
        <w:pStyle w:val="BodyText"/>
        <w:spacing w:line="276" w:lineRule="auto" w:before="122"/>
        <w:ind w:right="488"/>
      </w:pPr>
      <w:r>
        <w:rPr/>
        <w:t>A estenose pulmonar grave pode vir acompanhada de defeitos nos septos interventricular ou interatrial, a exemplo do que ocorre na atresia pulmonar, permitindo a ocorrência de </w:t>
      </w:r>
      <w:r>
        <w:rPr>
          <w:i/>
        </w:rPr>
        <w:t>shunt </w:t>
      </w:r>
      <w:r>
        <w:rPr/>
        <w:t>da direita para a esquerda. Nesses casos, as manifestações tendem</w:t>
      </w:r>
      <w:r>
        <w:rPr>
          <w:spacing w:val="-3"/>
        </w:rPr>
        <w:t> </w:t>
      </w:r>
      <w:r>
        <w:rPr/>
        <w:t>a</w:t>
      </w:r>
      <w:r>
        <w:rPr>
          <w:spacing w:val="-5"/>
        </w:rPr>
        <w:t> </w:t>
      </w:r>
      <w:r>
        <w:rPr/>
        <w:t>ser precoces e</w:t>
      </w:r>
      <w:r>
        <w:rPr>
          <w:spacing w:val="-5"/>
        </w:rPr>
        <w:t> </w:t>
      </w:r>
      <w:r>
        <w:rPr/>
        <w:t>caracterizam-se</w:t>
      </w:r>
      <w:r>
        <w:rPr>
          <w:spacing w:val="-5"/>
        </w:rPr>
        <w:t> </w:t>
      </w:r>
      <w:r>
        <w:rPr/>
        <w:t>por cianose, hipoxemia</w:t>
      </w:r>
      <w:r>
        <w:rPr>
          <w:spacing w:val="-5"/>
        </w:rPr>
        <w:t> </w:t>
      </w:r>
      <w:r>
        <w:rPr/>
        <w:t>e</w:t>
      </w:r>
      <w:r>
        <w:rPr>
          <w:spacing w:val="-5"/>
        </w:rPr>
        <w:t> </w:t>
      </w:r>
      <w:r>
        <w:rPr/>
        <w:t>acidose</w:t>
      </w:r>
      <w:r>
        <w:rPr>
          <w:spacing w:val="-5"/>
        </w:rPr>
        <w:t> </w:t>
      </w:r>
      <w:r>
        <w:rPr/>
        <w:t>metabólica. Tais crianças devem ser submetidas o quanto antes a</w:t>
      </w:r>
      <w:r>
        <w:rPr>
          <w:spacing w:val="-2"/>
        </w:rPr>
        <w:t> </w:t>
      </w:r>
      <w:r>
        <w:rPr/>
        <w:t>procedimentos terapêuticos e, nos casos em que</w:t>
      </w:r>
      <w:r>
        <w:rPr>
          <w:spacing w:val="-2"/>
        </w:rPr>
        <w:t> </w:t>
      </w:r>
      <w:r>
        <w:rPr/>
        <w:t>não há</w:t>
      </w:r>
      <w:r>
        <w:rPr>
          <w:spacing w:val="-2"/>
        </w:rPr>
        <w:t> </w:t>
      </w:r>
      <w:r>
        <w:rPr/>
        <w:t>hipoplasia do anel valvar, a dilatação por balão tem se mostrado eficaz.</w:t>
      </w:r>
    </w:p>
    <w:p>
      <w:pPr>
        <w:pStyle w:val="BodyText"/>
        <w:spacing w:line="276" w:lineRule="auto"/>
        <w:ind w:right="488"/>
      </w:pPr>
      <w:r>
        <w:rPr/>
        <w:t>O</w:t>
      </w:r>
      <w:r>
        <w:rPr>
          <w:spacing w:val="-6"/>
        </w:rPr>
        <w:t> </w:t>
      </w:r>
      <w:r>
        <w:rPr/>
        <w:t>quadro</w:t>
      </w:r>
      <w:r>
        <w:rPr>
          <w:spacing w:val="-4"/>
        </w:rPr>
        <w:t> </w:t>
      </w:r>
      <w:r>
        <w:rPr/>
        <w:t>clínico</w:t>
      </w:r>
      <w:r>
        <w:rPr>
          <w:spacing w:val="-4"/>
        </w:rPr>
        <w:t> </w:t>
      </w:r>
      <w:r>
        <w:rPr/>
        <w:t>dos pacientes com</w:t>
      </w:r>
      <w:r>
        <w:rPr>
          <w:spacing w:val="-4"/>
        </w:rPr>
        <w:t> </w:t>
      </w:r>
      <w:r>
        <w:rPr/>
        <w:t>estenose</w:t>
      </w:r>
      <w:r>
        <w:rPr>
          <w:spacing w:val="-6"/>
        </w:rPr>
        <w:t> </w:t>
      </w:r>
      <w:r>
        <w:rPr/>
        <w:t>pulmonar valvar após o</w:t>
      </w:r>
      <w:r>
        <w:rPr>
          <w:spacing w:val="-4"/>
        </w:rPr>
        <w:t> </w:t>
      </w:r>
      <w:r>
        <w:rPr/>
        <w:t>período</w:t>
      </w:r>
      <w:r>
        <w:rPr>
          <w:spacing w:val="-4"/>
        </w:rPr>
        <w:t> </w:t>
      </w:r>
      <w:r>
        <w:rPr/>
        <w:t>neonatal</w:t>
      </w:r>
      <w:r>
        <w:rPr>
          <w:spacing w:val="-2"/>
        </w:rPr>
        <w:t> </w:t>
      </w:r>
      <w:r>
        <w:rPr/>
        <w:t>geralmente</w:t>
      </w:r>
      <w:r>
        <w:rPr>
          <w:spacing w:val="-6"/>
        </w:rPr>
        <w:t> </w:t>
      </w:r>
      <w:r>
        <w:rPr/>
        <w:t>é</w:t>
      </w:r>
      <w:r>
        <w:rPr>
          <w:spacing w:val="-6"/>
        </w:rPr>
        <w:t> </w:t>
      </w:r>
      <w:r>
        <w:rPr/>
        <w:t>diferente, e o grau de obstrução é o fator determinante de maior importância na evolução. Desse modo, segundo Braunwald, pode-se considerar didaticamente a seguinte classificação:</w:t>
      </w:r>
    </w:p>
    <w:p>
      <w:pPr>
        <w:pStyle w:val="ListParagraph"/>
        <w:numPr>
          <w:ilvl w:val="0"/>
          <w:numId w:val="3"/>
        </w:numPr>
        <w:tabs>
          <w:tab w:pos="414" w:val="left" w:leader="none"/>
        </w:tabs>
        <w:spacing w:line="276" w:lineRule="auto" w:before="160" w:after="0"/>
        <w:ind w:left="68" w:right="498" w:firstLine="0"/>
        <w:jc w:val="left"/>
        <w:rPr>
          <w:sz w:val="23"/>
        </w:rPr>
      </w:pPr>
      <w:r>
        <w:rPr>
          <w:sz w:val="23"/>
        </w:rPr>
        <w:t>Estenose leve: gradiente sistólico transvalvar inferior a 50 mmHg, ou pressão sistólica máxima do VD menor que 75 mmHg</w:t>
      </w:r>
    </w:p>
    <w:p>
      <w:pPr>
        <w:pStyle w:val="ListParagraph"/>
        <w:numPr>
          <w:ilvl w:val="0"/>
          <w:numId w:val="3"/>
        </w:numPr>
        <w:tabs>
          <w:tab w:pos="419" w:val="left" w:leader="none"/>
        </w:tabs>
        <w:spacing w:line="276" w:lineRule="auto" w:before="17" w:after="0"/>
        <w:ind w:left="68" w:right="489" w:firstLine="0"/>
        <w:jc w:val="left"/>
        <w:rPr>
          <w:sz w:val="23"/>
        </w:rPr>
      </w:pPr>
      <w:r>
        <w:rPr>
          <w:sz w:val="23"/>
        </w:rPr>
        <w:t>Estenose moderada: gradiente sistólico transvalvar</w:t>
      </w:r>
      <w:r>
        <w:rPr>
          <w:spacing w:val="22"/>
          <w:sz w:val="23"/>
        </w:rPr>
        <w:t> </w:t>
      </w:r>
      <w:r>
        <w:rPr>
          <w:sz w:val="23"/>
        </w:rPr>
        <w:t>entre 50 e 80 mmHg,</w:t>
      </w:r>
      <w:r>
        <w:rPr>
          <w:spacing w:val="25"/>
          <w:sz w:val="23"/>
        </w:rPr>
        <w:t> </w:t>
      </w:r>
      <w:r>
        <w:rPr>
          <w:sz w:val="23"/>
        </w:rPr>
        <w:t>ou pressão sistólica máxima do VD entre 75 e 100 mmHg</w:t>
      </w:r>
    </w:p>
    <w:p>
      <w:pPr>
        <w:pStyle w:val="ListParagraph"/>
        <w:numPr>
          <w:ilvl w:val="0"/>
          <w:numId w:val="3"/>
        </w:numPr>
        <w:tabs>
          <w:tab w:pos="445" w:val="left" w:leader="none"/>
        </w:tabs>
        <w:spacing w:line="276" w:lineRule="auto" w:before="32" w:after="0"/>
        <w:ind w:left="68" w:right="489" w:firstLine="0"/>
        <w:jc w:val="left"/>
        <w:rPr>
          <w:sz w:val="23"/>
        </w:rPr>
      </w:pPr>
      <w:r>
        <w:rPr>
          <w:sz w:val="23"/>
        </w:rPr>
        <w:t>Estenose</w:t>
      </w:r>
      <w:r>
        <w:rPr>
          <w:spacing w:val="39"/>
          <w:sz w:val="23"/>
        </w:rPr>
        <w:t> </w:t>
      </w:r>
      <w:r>
        <w:rPr>
          <w:sz w:val="23"/>
        </w:rPr>
        <w:t>grave:</w:t>
      </w:r>
      <w:r>
        <w:rPr>
          <w:spacing w:val="40"/>
          <w:sz w:val="23"/>
        </w:rPr>
        <w:t> </w:t>
      </w:r>
      <w:r>
        <w:rPr>
          <w:sz w:val="23"/>
        </w:rPr>
        <w:t>gradiente</w:t>
      </w:r>
      <w:r>
        <w:rPr>
          <w:spacing w:val="39"/>
          <w:sz w:val="23"/>
        </w:rPr>
        <w:t> </w:t>
      </w:r>
      <w:r>
        <w:rPr>
          <w:sz w:val="23"/>
        </w:rPr>
        <w:t>sistólico</w:t>
      </w:r>
      <w:r>
        <w:rPr>
          <w:spacing w:val="40"/>
          <w:sz w:val="23"/>
        </w:rPr>
        <w:t> </w:t>
      </w:r>
      <w:r>
        <w:rPr>
          <w:sz w:val="23"/>
        </w:rPr>
        <w:t>transvalvar</w:t>
      </w:r>
      <w:r>
        <w:rPr>
          <w:spacing w:val="40"/>
          <w:sz w:val="23"/>
        </w:rPr>
        <w:t> </w:t>
      </w:r>
      <w:r>
        <w:rPr>
          <w:sz w:val="23"/>
        </w:rPr>
        <w:t>maior</w:t>
      </w:r>
      <w:r>
        <w:rPr>
          <w:spacing w:val="40"/>
          <w:sz w:val="23"/>
        </w:rPr>
        <w:t> </w:t>
      </w:r>
      <w:r>
        <w:rPr>
          <w:sz w:val="23"/>
        </w:rPr>
        <w:t>que</w:t>
      </w:r>
      <w:r>
        <w:rPr>
          <w:spacing w:val="39"/>
          <w:sz w:val="23"/>
        </w:rPr>
        <w:t> </w:t>
      </w:r>
      <w:r>
        <w:rPr>
          <w:sz w:val="23"/>
        </w:rPr>
        <w:t>80</w:t>
      </w:r>
      <w:r>
        <w:rPr>
          <w:spacing w:val="40"/>
          <w:sz w:val="23"/>
        </w:rPr>
        <w:t> </w:t>
      </w:r>
      <w:r>
        <w:rPr>
          <w:sz w:val="23"/>
        </w:rPr>
        <w:t>mmHg,</w:t>
      </w:r>
      <w:r>
        <w:rPr>
          <w:spacing w:val="40"/>
          <w:sz w:val="23"/>
        </w:rPr>
        <w:t> </w:t>
      </w:r>
      <w:r>
        <w:rPr>
          <w:sz w:val="23"/>
        </w:rPr>
        <w:t>ou</w:t>
      </w:r>
      <w:r>
        <w:rPr>
          <w:spacing w:val="40"/>
          <w:sz w:val="23"/>
        </w:rPr>
        <w:t> </w:t>
      </w:r>
      <w:r>
        <w:rPr>
          <w:sz w:val="23"/>
        </w:rPr>
        <w:t>pressão</w:t>
      </w:r>
      <w:r>
        <w:rPr>
          <w:spacing w:val="40"/>
          <w:sz w:val="23"/>
        </w:rPr>
        <w:t> </w:t>
      </w:r>
      <w:r>
        <w:rPr>
          <w:sz w:val="23"/>
        </w:rPr>
        <w:t>sistólica</w:t>
      </w:r>
      <w:r>
        <w:rPr>
          <w:spacing w:val="39"/>
          <w:sz w:val="23"/>
        </w:rPr>
        <w:t> </w:t>
      </w:r>
      <w:r>
        <w:rPr>
          <w:sz w:val="23"/>
        </w:rPr>
        <w:t>máxima</w:t>
      </w:r>
      <w:r>
        <w:rPr>
          <w:spacing w:val="39"/>
          <w:sz w:val="23"/>
        </w:rPr>
        <w:t> </w:t>
      </w:r>
      <w:r>
        <w:rPr>
          <w:sz w:val="23"/>
        </w:rPr>
        <w:t>do</w:t>
      </w:r>
      <w:r>
        <w:rPr>
          <w:spacing w:val="40"/>
          <w:sz w:val="23"/>
        </w:rPr>
        <w:t> </w:t>
      </w:r>
      <w:r>
        <w:rPr>
          <w:sz w:val="23"/>
        </w:rPr>
        <w:t>VD superior a 100 mmHg.</w:t>
      </w:r>
    </w:p>
    <w:p>
      <w:pPr>
        <w:pStyle w:val="BodyText"/>
        <w:spacing w:line="276" w:lineRule="auto" w:before="224"/>
        <w:ind w:right="488"/>
      </w:pPr>
      <w:r>
        <w:rPr/>
        <w:t>Na</w:t>
      </w:r>
      <w:r>
        <w:rPr>
          <w:spacing w:val="-1"/>
        </w:rPr>
        <w:t> </w:t>
      </w:r>
      <w:r>
        <w:rPr/>
        <w:t>maioria</w:t>
      </w:r>
      <w:r>
        <w:rPr>
          <w:spacing w:val="-2"/>
        </w:rPr>
        <w:t> </w:t>
      </w:r>
      <w:r>
        <w:rPr/>
        <w:t>dos pacientes com estenose</w:t>
      </w:r>
      <w:r>
        <w:rPr>
          <w:spacing w:val="-1"/>
        </w:rPr>
        <w:t> </w:t>
      </w:r>
      <w:r>
        <w:rPr/>
        <w:t>pulmonar leve, a</w:t>
      </w:r>
      <w:r>
        <w:rPr>
          <w:spacing w:val="-1"/>
        </w:rPr>
        <w:t> </w:t>
      </w:r>
      <w:r>
        <w:rPr/>
        <w:t>doença</w:t>
      </w:r>
      <w:r>
        <w:rPr>
          <w:spacing w:val="-2"/>
        </w:rPr>
        <w:t> </w:t>
      </w:r>
      <w:r>
        <w:rPr/>
        <w:t>habitualmente</w:t>
      </w:r>
      <w:r>
        <w:rPr>
          <w:spacing w:val="-1"/>
        </w:rPr>
        <w:t> </w:t>
      </w:r>
      <w:r>
        <w:rPr/>
        <w:t>é</w:t>
      </w:r>
      <w:r>
        <w:rPr>
          <w:spacing w:val="-2"/>
        </w:rPr>
        <w:t> </w:t>
      </w:r>
      <w:r>
        <w:rPr/>
        <w:t>descoberta</w:t>
      </w:r>
      <w:r>
        <w:rPr>
          <w:spacing w:val="-1"/>
        </w:rPr>
        <w:t> </w:t>
      </w:r>
      <w:r>
        <w:rPr/>
        <w:t>por acaso, durante exame físico de rotina.</w:t>
      </w:r>
    </w:p>
    <w:p>
      <w:pPr>
        <w:pStyle w:val="BodyText"/>
        <w:spacing w:line="276" w:lineRule="auto"/>
        <w:ind w:right="500"/>
      </w:pPr>
      <w:r>
        <w:rPr/>
        <w:t>Nos casos moderados, a queixa mais frequente é a dispneia que acompanha os esforços físicos. Os sintomas decorrentes de insuficiência cardíaca podem estar presentes, quando o grau de obstrução do VD é mais significativo, ou o grau de adaptação ventricular à póscarga é menos satisfatório.</w:t>
      </w:r>
    </w:p>
    <w:p>
      <w:pPr>
        <w:pStyle w:val="BodyText"/>
        <w:spacing w:line="276" w:lineRule="auto" w:before="48"/>
        <w:ind w:right="488"/>
      </w:pPr>
      <w:r>
        <w:rPr/>
        <w:t>A ocorrência de fadiga, síncopes ou dores torácicas, durante os exercícios, está relacionada com a impossibilidade de aumentar o fluxo sanguíneo conforme a demanda.</w:t>
      </w:r>
    </w:p>
    <w:p>
      <w:pPr>
        <w:pStyle w:val="BodyText"/>
        <w:spacing w:before="134"/>
        <w:ind w:left="0" w:firstLine="0"/>
        <w:jc w:val="left"/>
      </w:pPr>
    </w:p>
    <w:p>
      <w:pPr>
        <w:pStyle w:val="Heading5"/>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BodyText"/>
        <w:spacing w:line="276" w:lineRule="auto" w:before="138"/>
        <w:ind w:right="501"/>
      </w:pPr>
      <w:r>
        <w:rPr/>
        <w:t>O exame físico geral pode demonstrar pulsação hepática que reflete vigorosa contração do átrio direito, correspondendo a estenose pulmonar grave. A presença de abaulamento paraesternal direito pode significar importante hipertrofia do VD que ocorre nos casos de obstruções moderadas ou graves.</w:t>
      </w:r>
    </w:p>
    <w:p>
      <w:pPr>
        <w:pStyle w:val="BodyText"/>
        <w:spacing w:line="276" w:lineRule="auto"/>
        <w:ind w:right="488"/>
      </w:pPr>
      <w:r>
        <w:rPr/>
        <w:t>A ausculta precordial mostra sopro sistólico ejetivo, em crescendo-decrescendo, áspero, mais intenso na borda esternal esquerda, irradiando-se para o lado esquerdo do pescoço. Esse sopro tende a ser mais intenso e com pico mais tardio</w:t>
      </w:r>
      <w:r>
        <w:rPr>
          <w:spacing w:val="-5"/>
        </w:rPr>
        <w:t> </w:t>
      </w:r>
      <w:r>
        <w:rPr/>
        <w:t>nas estenoses pulmonares mais graves. Nesses casos, a</w:t>
      </w:r>
      <w:r>
        <w:rPr>
          <w:spacing w:val="-7"/>
        </w:rPr>
        <w:t> </w:t>
      </w:r>
      <w:r>
        <w:rPr/>
        <w:t>duração</w:t>
      </w:r>
      <w:r>
        <w:rPr>
          <w:spacing w:val="-5"/>
        </w:rPr>
        <w:t> </w:t>
      </w:r>
      <w:r>
        <w:rPr/>
        <w:t>do</w:t>
      </w:r>
      <w:r>
        <w:rPr>
          <w:spacing w:val="-5"/>
        </w:rPr>
        <w:t> </w:t>
      </w:r>
      <w:r>
        <w:rPr/>
        <w:t>sopro</w:t>
      </w:r>
      <w:r>
        <w:rPr>
          <w:spacing w:val="-5"/>
        </w:rPr>
        <w:t> </w:t>
      </w:r>
      <w:r>
        <w:rPr/>
        <w:t>é</w:t>
      </w:r>
      <w:r>
        <w:rPr>
          <w:spacing w:val="-7"/>
        </w:rPr>
        <w:t> </w:t>
      </w:r>
      <w:r>
        <w:rPr/>
        <w:t>mais prolongada. Tal</w:t>
      </w:r>
      <w:r>
        <w:rPr>
          <w:spacing w:val="-2"/>
        </w:rPr>
        <w:t> </w:t>
      </w:r>
      <w:r>
        <w:rPr/>
        <w:t>fato</w:t>
      </w:r>
      <w:r>
        <w:rPr>
          <w:spacing w:val="-5"/>
        </w:rPr>
        <w:t> </w:t>
      </w:r>
      <w:r>
        <w:rPr/>
        <w:t>se deve ao prolongamento do tempo de ejeção do VD, o que faz com que o componente P2 da B2 ocorra mais tardiamente, seja</w:t>
      </w:r>
      <w:r>
        <w:rPr>
          <w:spacing w:val="-2"/>
        </w:rPr>
        <w:t> </w:t>
      </w:r>
      <w:r>
        <w:rPr/>
        <w:t>hipofonético e</w:t>
      </w:r>
      <w:r>
        <w:rPr>
          <w:spacing w:val="-2"/>
        </w:rPr>
        <w:t> </w:t>
      </w:r>
      <w:r>
        <w:rPr/>
        <w:t>às vezes se</w:t>
      </w:r>
      <w:r>
        <w:rPr>
          <w:spacing w:val="-2"/>
        </w:rPr>
        <w:t> </w:t>
      </w:r>
      <w:r>
        <w:rPr/>
        <w:t>intensifique</w:t>
      </w:r>
      <w:r>
        <w:rPr>
          <w:spacing w:val="-2"/>
        </w:rPr>
        <w:t> </w:t>
      </w:r>
      <w:r>
        <w:rPr/>
        <w:t>na</w:t>
      </w:r>
      <w:r>
        <w:rPr>
          <w:spacing w:val="-2"/>
        </w:rPr>
        <w:t> </w:t>
      </w:r>
      <w:r>
        <w:rPr/>
        <w:t>inspiração. Também se</w:t>
      </w:r>
      <w:r>
        <w:rPr>
          <w:spacing w:val="-2"/>
        </w:rPr>
        <w:t> </w:t>
      </w:r>
      <w:r>
        <w:rPr/>
        <w:t>pode</w:t>
      </w:r>
      <w:r>
        <w:rPr>
          <w:spacing w:val="-2"/>
        </w:rPr>
        <w:t> </w:t>
      </w:r>
      <w:r>
        <w:rPr/>
        <w:t>encontrar B4 consequente à</w:t>
      </w:r>
      <w:r>
        <w:rPr>
          <w:spacing w:val="-4"/>
        </w:rPr>
        <w:t> </w:t>
      </w:r>
      <w:r>
        <w:rPr/>
        <w:t>diminuição</w:t>
      </w:r>
      <w:r>
        <w:rPr>
          <w:spacing w:val="-1"/>
        </w:rPr>
        <w:t> </w:t>
      </w:r>
      <w:r>
        <w:rPr/>
        <w:t>da</w:t>
      </w:r>
      <w:r>
        <w:rPr>
          <w:spacing w:val="-4"/>
        </w:rPr>
        <w:t> </w:t>
      </w:r>
      <w:r>
        <w:rPr/>
        <w:t>complacência</w:t>
      </w:r>
      <w:r>
        <w:rPr>
          <w:spacing w:val="-4"/>
        </w:rPr>
        <w:t> </w:t>
      </w:r>
      <w:r>
        <w:rPr/>
        <w:t>do</w:t>
      </w:r>
      <w:r>
        <w:rPr>
          <w:spacing w:val="-1"/>
        </w:rPr>
        <w:t> </w:t>
      </w:r>
      <w:r>
        <w:rPr/>
        <w:t>VD</w:t>
      </w:r>
      <w:r>
        <w:rPr>
          <w:spacing w:val="-4"/>
        </w:rPr>
        <w:t> </w:t>
      </w:r>
      <w:r>
        <w:rPr/>
        <w:t>ocasionada</w:t>
      </w:r>
      <w:r>
        <w:rPr>
          <w:spacing w:val="-4"/>
        </w:rPr>
        <w:t> </w:t>
      </w:r>
      <w:r>
        <w:rPr/>
        <w:t>pela</w:t>
      </w:r>
      <w:r>
        <w:rPr>
          <w:spacing w:val="-4"/>
        </w:rPr>
        <w:t> </w:t>
      </w:r>
      <w:r>
        <w:rPr/>
        <w:t>hipertrofia</w:t>
      </w:r>
      <w:r>
        <w:rPr>
          <w:spacing w:val="-4"/>
        </w:rPr>
        <w:t> </w:t>
      </w:r>
      <w:r>
        <w:rPr/>
        <w:t>acentuada</w:t>
      </w:r>
      <w:r>
        <w:rPr>
          <w:spacing w:val="-4"/>
        </w:rPr>
        <w:t> </w:t>
      </w:r>
      <w:r>
        <w:rPr/>
        <w:t>dessa</w:t>
      </w:r>
      <w:r>
        <w:rPr>
          <w:spacing w:val="-4"/>
        </w:rPr>
        <w:t> </w:t>
      </w:r>
      <w:r>
        <w:rPr/>
        <w:t>câmara.</w:t>
      </w:r>
    </w:p>
    <w:p>
      <w:pPr>
        <w:pStyle w:val="BodyText"/>
        <w:spacing w:before="8"/>
        <w:ind w:left="0" w:firstLine="0"/>
        <w:jc w:val="left"/>
      </w:pPr>
    </w:p>
    <w:p>
      <w:pPr>
        <w:pStyle w:val="Heading7"/>
      </w:pPr>
      <w:r>
        <w:rPr>
          <w:color w:val="242B67"/>
          <w:spacing w:val="-2"/>
        </w:rPr>
        <w:t>Eletrocardiograma</w:t>
      </w:r>
    </w:p>
    <w:p>
      <w:pPr>
        <w:pStyle w:val="BodyText"/>
        <w:spacing w:line="276" w:lineRule="auto" w:before="143"/>
        <w:ind w:right="491"/>
      </w:pPr>
      <w:r>
        <w:rPr/>
        <w:t>O ECG pode ser normal nos casos leves, enquanto nos casos moderados ou graves, ocorre desvio do eixo ventricular para a direita. Uma morfologia do complexo QRS em </w:t>
      </w:r>
      <w:r>
        <w:rPr>
          <w:i/>
        </w:rPr>
        <w:t>rSR </w:t>
      </w:r>
      <w:r>
        <w:rPr/>
        <w:t>nas derivações direitas pode ser encontrada nos casos menos graves, enquanto nos mais graves, uma morfologia em </w:t>
      </w:r>
      <w:r>
        <w:rPr>
          <w:i/>
        </w:rPr>
        <w:t>QR </w:t>
      </w:r>
      <w:r>
        <w:rPr/>
        <w:t>ou ainda em </w:t>
      </w:r>
      <w:r>
        <w:rPr>
          <w:i/>
        </w:rPr>
        <w:t>R </w:t>
      </w:r>
      <w:r>
        <w:rPr/>
        <w:t>puro; com inversão da onda</w:t>
      </w:r>
      <w:r>
        <w:rPr>
          <w:spacing w:val="-11"/>
        </w:rPr>
        <w:t> </w:t>
      </w:r>
      <w:r>
        <w:rPr>
          <w:i/>
        </w:rPr>
        <w:t>T</w:t>
      </w:r>
      <w:r>
        <w:rPr/>
        <w:t>, são</w:t>
      </w:r>
      <w:r>
        <w:rPr>
          <w:spacing w:val="-7"/>
        </w:rPr>
        <w:t> </w:t>
      </w:r>
      <w:r>
        <w:rPr/>
        <w:t>as alterações habitualmente</w:t>
      </w:r>
      <w:r>
        <w:rPr>
          <w:spacing w:val="-9"/>
        </w:rPr>
        <w:t> </w:t>
      </w:r>
      <w:r>
        <w:rPr/>
        <w:t>presentes. As ondas </w:t>
      </w:r>
      <w:r>
        <w:rPr>
          <w:i/>
        </w:rPr>
        <w:t>P</w:t>
      </w:r>
      <w:r>
        <w:rPr>
          <w:i/>
          <w:spacing w:val="-1"/>
        </w:rPr>
        <w:t> </w:t>
      </w:r>
      <w:r>
        <w:rPr/>
        <w:t>com</w:t>
      </w:r>
      <w:r>
        <w:rPr>
          <w:spacing w:val="-6"/>
        </w:rPr>
        <w:t> </w:t>
      </w:r>
      <w:r>
        <w:rPr/>
        <w:t>amplitude</w:t>
      </w:r>
      <w:r>
        <w:rPr>
          <w:spacing w:val="-9"/>
        </w:rPr>
        <w:t> </w:t>
      </w:r>
      <w:r>
        <w:rPr/>
        <w:t>aumentada</w:t>
      </w:r>
      <w:r>
        <w:rPr>
          <w:spacing w:val="-9"/>
        </w:rPr>
        <w:t> </w:t>
      </w:r>
      <w:r>
        <w:rPr/>
        <w:t>(ondas </w:t>
      </w:r>
      <w:r>
        <w:rPr>
          <w:i/>
        </w:rPr>
        <w:t>P</w:t>
      </w:r>
      <w:r>
        <w:rPr>
          <w:i/>
          <w:spacing w:val="-4"/>
        </w:rPr>
        <w:t> </w:t>
      </w:r>
      <w:r>
        <w:rPr/>
        <w:t>pulmonares)</w:t>
      </w:r>
      <w:r>
        <w:rPr>
          <w:spacing w:val="-4"/>
        </w:rPr>
        <w:t> </w:t>
      </w:r>
      <w:r>
        <w:rPr/>
        <w:t>nas derivações</w:t>
      </w:r>
      <w:r>
        <w:rPr>
          <w:spacing w:val="18"/>
        </w:rPr>
        <w:t> </w:t>
      </w:r>
      <w:r>
        <w:rPr/>
        <w:t>D2 e V1 indicam um aumento do átrio direito que frequentemente é encontrado nos</w:t>
      </w:r>
      <w:r>
        <w:rPr>
          <w:spacing w:val="18"/>
        </w:rPr>
        <w:t> </w:t>
      </w:r>
      <w:r>
        <w:rPr/>
        <w:t>casos</w:t>
      </w:r>
      <w:r>
        <w:rPr>
          <w:spacing w:val="18"/>
        </w:rPr>
        <w:t> </w:t>
      </w:r>
      <w:r>
        <w:rPr/>
        <w:t>de estenose</w:t>
      </w:r>
    </w:p>
    <w:p>
      <w:pPr>
        <w:pStyle w:val="BodyText"/>
        <w:spacing w:after="0" w:line="276" w:lineRule="auto"/>
        <w:sectPr>
          <w:pgSz w:w="11900" w:h="16840"/>
          <w:pgMar w:top="200" w:bottom="280" w:left="566" w:right="141"/>
        </w:sectPr>
      </w:pPr>
    </w:p>
    <w:p>
      <w:pPr>
        <w:pStyle w:val="BodyText"/>
        <w:spacing w:before="70"/>
        <w:ind w:firstLine="0"/>
        <w:jc w:val="left"/>
      </w:pPr>
      <w:r>
        <w:rPr>
          <w:spacing w:val="-2"/>
        </w:rPr>
        <w:t>pulmonar.</w:t>
      </w:r>
    </w:p>
    <w:p>
      <w:pPr>
        <w:pStyle w:val="BodyText"/>
        <w:spacing w:before="57"/>
        <w:ind w:left="0" w:firstLine="0"/>
        <w:jc w:val="left"/>
      </w:pPr>
    </w:p>
    <w:p>
      <w:pPr>
        <w:pStyle w:val="Heading7"/>
      </w:pPr>
      <w:r>
        <w:rPr>
          <w:color w:val="242B67"/>
        </w:rPr>
        <w:t>Radiografia de </w:t>
      </w:r>
      <w:r>
        <w:rPr>
          <w:color w:val="242B67"/>
          <w:spacing w:val="-2"/>
        </w:rPr>
        <w:t>tórax</w:t>
      </w:r>
    </w:p>
    <w:p>
      <w:pPr>
        <w:pStyle w:val="BodyText"/>
        <w:spacing w:line="276" w:lineRule="auto" w:before="126"/>
        <w:ind w:right="491"/>
      </w:pPr>
      <w:r>
        <w:rPr/>
        <w:t>Nos pacientes com estenose pulmonar leve ou moderada, a radiografia de tórax habitualmente mostra um coração de tamanho normal e vasculatura pulmonar normal. A dilatação pós-estenótica do tronco da artéria pulmonar geralmente é evidente. O aumento do VD e do átrio direito é observado nos casos mais graves, acompanhados de redução da vasculatura pulmonar.</w:t>
      </w:r>
    </w:p>
    <w:p>
      <w:pPr>
        <w:pStyle w:val="BodyText"/>
        <w:spacing w:before="9"/>
        <w:ind w:left="0" w:firstLine="0"/>
        <w:jc w:val="left"/>
      </w:pPr>
    </w:p>
    <w:p>
      <w:pPr>
        <w:pStyle w:val="Heading7"/>
      </w:pPr>
      <w:r>
        <w:rPr>
          <w:color w:val="242B67"/>
          <w:spacing w:val="-2"/>
        </w:rPr>
        <w:t>Ecocardiografia</w:t>
      </w:r>
    </w:p>
    <w:p>
      <w:pPr>
        <w:pStyle w:val="BodyText"/>
        <w:spacing w:line="276" w:lineRule="auto" w:before="142"/>
        <w:ind w:right="488"/>
      </w:pPr>
      <w:r>
        <w:rPr/>
        <w:t>A ecocardiografia bidimensional associada a estudo por Doppler possibilita a localização da obstrução e a avaliação da gravidade da estenose, podendo determinar de modo bastante confiável o gradiente sistólico </w:t>
      </w:r>
      <w:r>
        <w:rPr>
          <w:spacing w:val="-2"/>
        </w:rPr>
        <w:t>transvalvar.</w:t>
      </w:r>
    </w:p>
    <w:p>
      <w:pPr>
        <w:pStyle w:val="BodyText"/>
        <w:spacing w:before="8"/>
        <w:ind w:left="0" w:firstLine="0"/>
        <w:jc w:val="left"/>
      </w:pPr>
    </w:p>
    <w:p>
      <w:pPr>
        <w:pStyle w:val="Heading7"/>
        <w:spacing w:before="1"/>
      </w:pPr>
      <w:r>
        <w:rPr>
          <w:color w:val="242B67"/>
        </w:rPr>
        <w:t>Cateterismo </w:t>
      </w:r>
      <w:r>
        <w:rPr>
          <w:color w:val="242B67"/>
          <w:spacing w:val="-2"/>
        </w:rPr>
        <w:t>cardíaco</w:t>
      </w:r>
    </w:p>
    <w:p>
      <w:pPr>
        <w:pStyle w:val="BodyText"/>
        <w:spacing w:line="276" w:lineRule="auto" w:before="142"/>
        <w:ind w:right="488"/>
      </w:pPr>
      <w:r>
        <w:rPr/>
        <w:t>Tal procedimento também localiza a obstrução, avalia a sua gravidade e documenta a possível coexistência de outras malformações. É importante que se ressalte o cuidado que se deve tomar em pacientes com estenose crítica, durante</w:t>
      </w:r>
      <w:r>
        <w:rPr>
          <w:spacing w:val="-2"/>
        </w:rPr>
        <w:t> </w:t>
      </w:r>
      <w:r>
        <w:rPr/>
        <w:t>o estudo hemodinâmico, para</w:t>
      </w:r>
      <w:r>
        <w:rPr>
          <w:spacing w:val="-2"/>
        </w:rPr>
        <w:t> </w:t>
      </w:r>
      <w:r>
        <w:rPr/>
        <w:t>que</w:t>
      </w:r>
      <w:r>
        <w:rPr>
          <w:spacing w:val="-2"/>
        </w:rPr>
        <w:t> </w:t>
      </w:r>
      <w:r>
        <w:rPr/>
        <w:t>o cateter não oclua</w:t>
      </w:r>
      <w:r>
        <w:rPr>
          <w:spacing w:val="-2"/>
        </w:rPr>
        <w:t> </w:t>
      </w:r>
      <w:r>
        <w:rPr/>
        <w:t>perigosamente</w:t>
      </w:r>
      <w:r>
        <w:rPr>
          <w:spacing w:val="-2"/>
        </w:rPr>
        <w:t> </w:t>
      </w:r>
      <w:r>
        <w:rPr/>
        <w:t>o orifício valvar.</w:t>
      </w:r>
    </w:p>
    <w:p>
      <w:pPr>
        <w:pStyle w:val="BodyText"/>
        <w:spacing w:before="134"/>
        <w:ind w:left="0" w:firstLine="0"/>
        <w:jc w:val="left"/>
      </w:pPr>
    </w:p>
    <w:p>
      <w:pPr>
        <w:pStyle w:val="Heading5"/>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22"/>
        <w:ind w:right="499"/>
      </w:pPr>
      <w:r>
        <w:rPr/>
        <w:t>Não existe tratamento clínico. O alívio da obstrução mecânica é necessário e a valvoplastia percutânea por cateter-balão transluminal deve ser tentada em crianças com estenose pulmonar típica, com obstrução de grau moderado</w:t>
      </w:r>
      <w:r>
        <w:rPr>
          <w:spacing w:val="-4"/>
        </w:rPr>
        <w:t> </w:t>
      </w:r>
      <w:r>
        <w:rPr/>
        <w:t>ou</w:t>
      </w:r>
      <w:r>
        <w:rPr>
          <w:spacing w:val="-4"/>
        </w:rPr>
        <w:t> </w:t>
      </w:r>
      <w:r>
        <w:rPr/>
        <w:t>grave, como</w:t>
      </w:r>
      <w:r>
        <w:rPr>
          <w:spacing w:val="-4"/>
        </w:rPr>
        <w:t> </w:t>
      </w:r>
      <w:r>
        <w:rPr/>
        <w:t>solução</w:t>
      </w:r>
      <w:r>
        <w:rPr>
          <w:spacing w:val="-4"/>
        </w:rPr>
        <w:t> </w:t>
      </w:r>
      <w:r>
        <w:rPr/>
        <w:t>paliativa. A</w:t>
      </w:r>
      <w:r>
        <w:rPr>
          <w:spacing w:val="-7"/>
        </w:rPr>
        <w:t> </w:t>
      </w:r>
      <w:r>
        <w:rPr/>
        <w:t>valvotomia</w:t>
      </w:r>
      <w:r>
        <w:rPr>
          <w:spacing w:val="-7"/>
        </w:rPr>
        <w:t> </w:t>
      </w:r>
      <w:r>
        <w:rPr/>
        <w:t>cirúrgica</w:t>
      </w:r>
      <w:r>
        <w:rPr>
          <w:spacing w:val="-7"/>
        </w:rPr>
        <w:t> </w:t>
      </w:r>
      <w:r>
        <w:rPr/>
        <w:t>com</w:t>
      </w:r>
      <w:r>
        <w:rPr>
          <w:spacing w:val="-4"/>
        </w:rPr>
        <w:t> </w:t>
      </w:r>
      <w:r>
        <w:rPr/>
        <w:t>acesso</w:t>
      </w:r>
      <w:r>
        <w:rPr>
          <w:spacing w:val="-4"/>
        </w:rPr>
        <w:t> </w:t>
      </w:r>
      <w:r>
        <w:rPr/>
        <w:t>por meio</w:t>
      </w:r>
      <w:r>
        <w:rPr>
          <w:spacing w:val="-4"/>
        </w:rPr>
        <w:t> </w:t>
      </w:r>
      <w:r>
        <w:rPr/>
        <w:t>de</w:t>
      </w:r>
      <w:r>
        <w:rPr>
          <w:spacing w:val="-7"/>
        </w:rPr>
        <w:t> </w:t>
      </w:r>
      <w:r>
        <w:rPr/>
        <w:t>incisão</w:t>
      </w:r>
      <w:r>
        <w:rPr>
          <w:spacing w:val="-4"/>
        </w:rPr>
        <w:t> </w:t>
      </w:r>
      <w:r>
        <w:rPr/>
        <w:t>feita</w:t>
      </w:r>
      <w:r>
        <w:rPr>
          <w:spacing w:val="-7"/>
        </w:rPr>
        <w:t> </w:t>
      </w:r>
      <w:r>
        <w:rPr/>
        <w:t>no</w:t>
      </w:r>
      <w:r>
        <w:rPr>
          <w:spacing w:val="-4"/>
        </w:rPr>
        <w:t> </w:t>
      </w:r>
      <w:r>
        <w:rPr/>
        <w:t>tronco da</w:t>
      </w:r>
      <w:r>
        <w:rPr>
          <w:spacing w:val="-13"/>
        </w:rPr>
        <w:t> </w:t>
      </w:r>
      <w:r>
        <w:rPr/>
        <w:t>artéria</w:t>
      </w:r>
      <w:r>
        <w:rPr>
          <w:spacing w:val="-13"/>
        </w:rPr>
        <w:t> </w:t>
      </w:r>
      <w:r>
        <w:rPr/>
        <w:t>pulmonar</w:t>
      </w:r>
      <w:r>
        <w:rPr>
          <w:spacing w:val="-6"/>
        </w:rPr>
        <w:t> </w:t>
      </w:r>
      <w:r>
        <w:rPr/>
        <w:t>tem</w:t>
      </w:r>
      <w:r>
        <w:rPr>
          <w:spacing w:val="-11"/>
        </w:rPr>
        <w:t> </w:t>
      </w:r>
      <w:r>
        <w:rPr/>
        <w:t>resultados</w:t>
      </w:r>
      <w:r>
        <w:rPr>
          <w:spacing w:val="-4"/>
        </w:rPr>
        <w:t> </w:t>
      </w:r>
      <w:r>
        <w:rPr/>
        <w:t>excelentes.</w:t>
      </w:r>
      <w:r>
        <w:rPr>
          <w:spacing w:val="-4"/>
        </w:rPr>
        <w:t> </w:t>
      </w:r>
      <w:r>
        <w:rPr/>
        <w:t>Obviamente,</w:t>
      </w:r>
      <w:r>
        <w:rPr>
          <w:spacing w:val="-4"/>
        </w:rPr>
        <w:t> </w:t>
      </w:r>
      <w:r>
        <w:rPr/>
        <w:t>esses</w:t>
      </w:r>
      <w:r>
        <w:rPr>
          <w:spacing w:val="-4"/>
        </w:rPr>
        <w:t> </w:t>
      </w:r>
      <w:r>
        <w:rPr/>
        <w:t>resultados</w:t>
      </w:r>
      <w:r>
        <w:rPr>
          <w:spacing w:val="-4"/>
        </w:rPr>
        <w:t> </w:t>
      </w:r>
      <w:r>
        <w:rPr/>
        <w:t>dependem</w:t>
      </w:r>
      <w:r>
        <w:rPr>
          <w:spacing w:val="-11"/>
        </w:rPr>
        <w:t> </w:t>
      </w:r>
      <w:r>
        <w:rPr/>
        <w:t>da</w:t>
      </w:r>
      <w:r>
        <w:rPr>
          <w:spacing w:val="-13"/>
        </w:rPr>
        <w:t> </w:t>
      </w:r>
      <w:r>
        <w:rPr/>
        <w:t>idade</w:t>
      </w:r>
      <w:r>
        <w:rPr>
          <w:spacing w:val="-13"/>
        </w:rPr>
        <w:t> </w:t>
      </w:r>
      <w:r>
        <w:rPr/>
        <w:t>do</w:t>
      </w:r>
      <w:r>
        <w:rPr>
          <w:spacing w:val="-11"/>
        </w:rPr>
        <w:t> </w:t>
      </w:r>
      <w:r>
        <w:rPr/>
        <w:t>paciente</w:t>
      </w:r>
      <w:r>
        <w:rPr>
          <w:spacing w:val="-13"/>
        </w:rPr>
        <w:t> </w:t>
      </w:r>
      <w:r>
        <w:rPr/>
        <w:t>quando do procedimento e da gravidade da lesão. Se o alívio cirúrgico for realizado durante a infância, a sobrevida dessas crianças é</w:t>
      </w:r>
      <w:r>
        <w:rPr>
          <w:spacing w:val="-3"/>
        </w:rPr>
        <w:t> </w:t>
      </w:r>
      <w:r>
        <w:rPr/>
        <w:t>semelhante, a</w:t>
      </w:r>
      <w:r>
        <w:rPr>
          <w:spacing w:val="-3"/>
        </w:rPr>
        <w:t> </w:t>
      </w:r>
      <w:r>
        <w:rPr/>
        <w:t>longo prazo, à</w:t>
      </w:r>
      <w:r>
        <w:rPr>
          <w:spacing w:val="-3"/>
        </w:rPr>
        <w:t> </w:t>
      </w:r>
      <w:r>
        <w:rPr/>
        <w:t>de</w:t>
      </w:r>
      <w:r>
        <w:rPr>
          <w:spacing w:val="-3"/>
        </w:rPr>
        <w:t> </w:t>
      </w:r>
      <w:r>
        <w:rPr/>
        <w:t>crianças não portadoras de</w:t>
      </w:r>
      <w:r>
        <w:rPr>
          <w:spacing w:val="-3"/>
        </w:rPr>
        <w:t> </w:t>
      </w:r>
      <w:r>
        <w:rPr/>
        <w:t>valvopatias. Quando a</w:t>
      </w:r>
      <w:r>
        <w:rPr>
          <w:spacing w:val="-3"/>
        </w:rPr>
        <w:t> </w:t>
      </w:r>
      <w:r>
        <w:rPr/>
        <w:t>reparação cirúrgica</w:t>
      </w:r>
      <w:r>
        <w:rPr>
          <w:spacing w:val="-3"/>
        </w:rPr>
        <w:t> </w:t>
      </w:r>
      <w:r>
        <w:rPr/>
        <w:t>se processa na vida adulta, ainda assim os resultados são bons, mas quanto mais grave for a estenose e quanto mais tempo o VD for submetido à elevação da pós-carga, os resultados a longo prazo serão menos satisfatórios.</w:t>
      </w:r>
    </w:p>
    <w:p>
      <w:pPr>
        <w:pStyle w:val="BodyText"/>
        <w:spacing w:line="276" w:lineRule="auto"/>
        <w:ind w:right="488"/>
      </w:pPr>
      <w:r>
        <w:rPr/>
        <w:t>Nas crianças com estenose pulmonar leve, a conduta é conservadora e recomenda-se a profilaxia contra a endocardite infecciosa, não havendo necessidade de restrição de atividades físicas.</w:t>
      </w:r>
    </w:p>
    <w:p>
      <w:pPr>
        <w:pStyle w:val="BodyText"/>
        <w:spacing w:before="134"/>
        <w:ind w:left="0" w:firstLine="0"/>
        <w:jc w:val="left"/>
      </w:pPr>
    </w:p>
    <w:p>
      <w:pPr>
        <w:pStyle w:val="Heading5"/>
      </w:pPr>
      <w:r>
        <w:rPr>
          <w:color w:val="A26108"/>
          <w:spacing w:val="-2"/>
        </w:rPr>
        <w:t>Prognóstico</w:t>
      </w:r>
    </w:p>
    <w:p>
      <w:pPr>
        <w:pStyle w:val="BodyText"/>
        <w:spacing w:line="319" w:lineRule="auto" w:before="138"/>
        <w:ind w:left="414" w:firstLine="0"/>
        <w:jc w:val="left"/>
      </w:pPr>
      <w:r>
        <w:rPr/>
        <w:t>A</w:t>
      </w:r>
      <w:r>
        <w:rPr>
          <w:spacing w:val="-2"/>
        </w:rPr>
        <w:t> </w:t>
      </w:r>
      <w:r>
        <w:rPr/>
        <w:t>sobrevida</w:t>
      </w:r>
      <w:r>
        <w:rPr>
          <w:spacing w:val="-2"/>
        </w:rPr>
        <w:t> </w:t>
      </w:r>
      <w:r>
        <w:rPr/>
        <w:t>dos pacientes portadores de</w:t>
      </w:r>
      <w:r>
        <w:rPr>
          <w:spacing w:val="-2"/>
        </w:rPr>
        <w:t> </w:t>
      </w:r>
      <w:r>
        <w:rPr/>
        <w:t>estenose</w:t>
      </w:r>
      <w:r>
        <w:rPr>
          <w:spacing w:val="-2"/>
        </w:rPr>
        <w:t> </w:t>
      </w:r>
      <w:r>
        <w:rPr/>
        <w:t>pulmonar até</w:t>
      </w:r>
      <w:r>
        <w:rPr>
          <w:spacing w:val="-2"/>
        </w:rPr>
        <w:t> </w:t>
      </w:r>
      <w:r>
        <w:rPr/>
        <w:t>a</w:t>
      </w:r>
      <w:r>
        <w:rPr>
          <w:spacing w:val="-2"/>
        </w:rPr>
        <w:t> </w:t>
      </w:r>
      <w:r>
        <w:rPr/>
        <w:t>adolescência</w:t>
      </w:r>
      <w:r>
        <w:rPr>
          <w:spacing w:val="-2"/>
        </w:rPr>
        <w:t> </w:t>
      </w:r>
      <w:r>
        <w:rPr/>
        <w:t>e</w:t>
      </w:r>
      <w:r>
        <w:rPr>
          <w:spacing w:val="-2"/>
        </w:rPr>
        <w:t> </w:t>
      </w:r>
      <w:r>
        <w:rPr/>
        <w:t>idade</w:t>
      </w:r>
      <w:r>
        <w:rPr>
          <w:spacing w:val="-2"/>
        </w:rPr>
        <w:t> </w:t>
      </w:r>
      <w:r>
        <w:rPr/>
        <w:t>adulta</w:t>
      </w:r>
      <w:r>
        <w:rPr>
          <w:spacing w:val="-2"/>
        </w:rPr>
        <w:t> </w:t>
      </w:r>
      <w:r>
        <w:rPr/>
        <w:t>é</w:t>
      </w:r>
      <w:r>
        <w:rPr>
          <w:spacing w:val="-2"/>
        </w:rPr>
        <w:t> </w:t>
      </w:r>
      <w:r>
        <w:rPr/>
        <w:t>a</w:t>
      </w:r>
      <w:r>
        <w:rPr>
          <w:spacing w:val="-2"/>
        </w:rPr>
        <w:t> </w:t>
      </w:r>
      <w:r>
        <w:rPr/>
        <w:t>regra. Habitualmente,</w:t>
      </w:r>
      <w:r>
        <w:rPr>
          <w:spacing w:val="8"/>
        </w:rPr>
        <w:t> </w:t>
      </w:r>
      <w:r>
        <w:rPr/>
        <w:t>com</w:t>
      </w:r>
      <w:r>
        <w:rPr>
          <w:spacing w:val="3"/>
        </w:rPr>
        <w:t> </w:t>
      </w:r>
      <w:r>
        <w:rPr/>
        <w:t>o</w:t>
      </w:r>
      <w:r>
        <w:rPr>
          <w:spacing w:val="2"/>
        </w:rPr>
        <w:t> </w:t>
      </w:r>
      <w:r>
        <w:rPr/>
        <w:t>passar</w:t>
      </w:r>
      <w:r>
        <w:rPr>
          <w:spacing w:val="8"/>
        </w:rPr>
        <w:t> </w:t>
      </w:r>
      <w:r>
        <w:rPr/>
        <w:t>dos</w:t>
      </w:r>
      <w:r>
        <w:rPr>
          <w:spacing w:val="11"/>
        </w:rPr>
        <w:t> </w:t>
      </w:r>
      <w:r>
        <w:rPr/>
        <w:t>anos,</w:t>
      </w:r>
      <w:r>
        <w:rPr>
          <w:spacing w:val="11"/>
        </w:rPr>
        <w:t> </w:t>
      </w:r>
      <w:r>
        <w:rPr/>
        <w:t>pode ocorrer</w:t>
      </w:r>
      <w:r>
        <w:rPr>
          <w:spacing w:val="8"/>
        </w:rPr>
        <w:t> </w:t>
      </w:r>
      <w:r>
        <w:rPr/>
        <w:t>um</w:t>
      </w:r>
      <w:r>
        <w:rPr>
          <w:spacing w:val="2"/>
        </w:rPr>
        <w:t> </w:t>
      </w:r>
      <w:r>
        <w:rPr/>
        <w:t>aumento</w:t>
      </w:r>
      <w:r>
        <w:rPr>
          <w:spacing w:val="3"/>
        </w:rPr>
        <w:t> </w:t>
      </w:r>
      <w:r>
        <w:rPr/>
        <w:t>do</w:t>
      </w:r>
      <w:r>
        <w:rPr>
          <w:spacing w:val="2"/>
        </w:rPr>
        <w:t> </w:t>
      </w:r>
      <w:r>
        <w:rPr/>
        <w:t>orifício</w:t>
      </w:r>
      <w:r>
        <w:rPr>
          <w:spacing w:val="2"/>
        </w:rPr>
        <w:t> </w:t>
      </w:r>
      <w:r>
        <w:rPr/>
        <w:t>da valva,</w:t>
      </w:r>
      <w:r>
        <w:rPr>
          <w:spacing w:val="11"/>
        </w:rPr>
        <w:t> </w:t>
      </w:r>
      <w:r>
        <w:rPr/>
        <w:t>embora a hipertrofia </w:t>
      </w:r>
      <w:r>
        <w:rPr>
          <w:spacing w:val="-5"/>
        </w:rPr>
        <w:t>do</w:t>
      </w:r>
    </w:p>
    <w:p>
      <w:pPr>
        <w:pStyle w:val="BodyText"/>
        <w:spacing w:line="218" w:lineRule="exact" w:before="0"/>
        <w:ind w:firstLine="0"/>
        <w:jc w:val="left"/>
      </w:pPr>
      <w:r>
        <w:rPr/>
        <w:t>VD</w:t>
      </w:r>
      <w:r>
        <w:rPr>
          <w:spacing w:val="56"/>
        </w:rPr>
        <w:t> </w:t>
      </w:r>
      <w:r>
        <w:rPr/>
        <w:t>consequente</w:t>
      </w:r>
      <w:r>
        <w:rPr>
          <w:spacing w:val="59"/>
        </w:rPr>
        <w:t> </w:t>
      </w:r>
      <w:r>
        <w:rPr/>
        <w:t>à</w:t>
      </w:r>
      <w:r>
        <w:rPr>
          <w:spacing w:val="58"/>
        </w:rPr>
        <w:t> </w:t>
      </w:r>
      <w:r>
        <w:rPr/>
        <w:t>estenose</w:t>
      </w:r>
      <w:r>
        <w:rPr>
          <w:spacing w:val="59"/>
        </w:rPr>
        <w:t> </w:t>
      </w:r>
      <w:r>
        <w:rPr/>
        <w:t>pulmonar</w:t>
      </w:r>
      <w:r>
        <w:rPr>
          <w:spacing w:val="66"/>
        </w:rPr>
        <w:t> </w:t>
      </w:r>
      <w:r>
        <w:rPr/>
        <w:t>possa</w:t>
      </w:r>
      <w:r>
        <w:rPr>
          <w:spacing w:val="59"/>
        </w:rPr>
        <w:t> </w:t>
      </w:r>
      <w:r>
        <w:rPr/>
        <w:t>promover</w:t>
      </w:r>
      <w:r>
        <w:rPr>
          <w:spacing w:val="67"/>
        </w:rPr>
        <w:t> </w:t>
      </w:r>
      <w:r>
        <w:rPr/>
        <w:t>o</w:t>
      </w:r>
      <w:r>
        <w:rPr>
          <w:spacing w:val="61"/>
        </w:rPr>
        <w:t> </w:t>
      </w:r>
      <w:r>
        <w:rPr/>
        <w:t>surgimento</w:t>
      </w:r>
      <w:r>
        <w:rPr>
          <w:spacing w:val="61"/>
        </w:rPr>
        <w:t> </w:t>
      </w:r>
      <w:r>
        <w:rPr/>
        <w:t>de</w:t>
      </w:r>
      <w:r>
        <w:rPr>
          <w:spacing w:val="59"/>
        </w:rPr>
        <w:t> </w:t>
      </w:r>
      <w:r>
        <w:rPr/>
        <w:t>um</w:t>
      </w:r>
      <w:r>
        <w:rPr>
          <w:spacing w:val="61"/>
        </w:rPr>
        <w:t> </w:t>
      </w:r>
      <w:r>
        <w:rPr/>
        <w:t>estreitamento</w:t>
      </w:r>
      <w:r>
        <w:rPr>
          <w:spacing w:val="61"/>
        </w:rPr>
        <w:t> </w:t>
      </w:r>
      <w:r>
        <w:rPr/>
        <w:t>da</w:t>
      </w:r>
      <w:r>
        <w:rPr>
          <w:spacing w:val="59"/>
        </w:rPr>
        <w:t> </w:t>
      </w:r>
      <w:r>
        <w:rPr/>
        <w:t>via</w:t>
      </w:r>
      <w:r>
        <w:rPr>
          <w:spacing w:val="58"/>
        </w:rPr>
        <w:t> </w:t>
      </w:r>
      <w:r>
        <w:rPr/>
        <w:t>de</w:t>
      </w:r>
      <w:r>
        <w:rPr>
          <w:spacing w:val="59"/>
        </w:rPr>
        <w:t> </w:t>
      </w:r>
      <w:r>
        <w:rPr>
          <w:spacing w:val="-2"/>
        </w:rPr>
        <w:t>saída,</w:t>
      </w:r>
    </w:p>
    <w:p>
      <w:pPr>
        <w:pStyle w:val="BodyText"/>
        <w:spacing w:before="40"/>
        <w:ind w:firstLine="0"/>
        <w:jc w:val="left"/>
      </w:pPr>
      <w:r>
        <w:rPr/>
        <w:t>aumentando</w:t>
      </w:r>
      <w:r>
        <w:rPr>
          <w:spacing w:val="-11"/>
        </w:rPr>
        <w:t> </w:t>
      </w:r>
      <w:r>
        <w:rPr/>
        <w:t>o</w:t>
      </w:r>
      <w:r>
        <w:rPr>
          <w:spacing w:val="-10"/>
        </w:rPr>
        <w:t> </w:t>
      </w:r>
      <w:r>
        <w:rPr/>
        <w:t>grau</w:t>
      </w:r>
      <w:r>
        <w:rPr>
          <w:spacing w:val="-11"/>
        </w:rPr>
        <w:t> </w:t>
      </w:r>
      <w:r>
        <w:rPr/>
        <w:t>da</w:t>
      </w:r>
      <w:r>
        <w:rPr>
          <w:spacing w:val="-12"/>
        </w:rPr>
        <w:t> </w:t>
      </w:r>
      <w:r>
        <w:rPr>
          <w:spacing w:val="-2"/>
        </w:rPr>
        <w:t>obstrução.</w:t>
      </w:r>
    </w:p>
    <w:p>
      <w:pPr>
        <w:pStyle w:val="BodyText"/>
        <w:spacing w:line="276" w:lineRule="auto" w:before="104"/>
        <w:ind w:right="497"/>
        <w:jc w:val="left"/>
      </w:pPr>
      <w:r>
        <w:rPr/>
        <w:t>A longevidade da evolução dependerá fundamentalmente de três</w:t>
      </w:r>
      <w:r>
        <w:rPr>
          <w:spacing w:val="11"/>
        </w:rPr>
        <w:t> </w:t>
      </w:r>
      <w:r>
        <w:rPr/>
        <w:t>variáveis: gravidade da obstrução,</w:t>
      </w:r>
      <w:r>
        <w:rPr>
          <w:spacing w:val="11"/>
        </w:rPr>
        <w:t> </w:t>
      </w:r>
      <w:r>
        <w:rPr/>
        <w:t>progressão do grau inicial da obstrução e adaptação funcional do VD à sobrecarga pressórica a ele imposta.</w:t>
      </w:r>
    </w:p>
    <w:p>
      <w:pPr>
        <w:pStyle w:val="BodyText"/>
        <w:spacing w:before="185"/>
        <w:ind w:left="0" w:firstLine="0"/>
        <w:jc w:val="left"/>
      </w:pPr>
    </w:p>
    <w:p>
      <w:pPr>
        <w:pStyle w:val="Heading4"/>
      </w:pPr>
      <w:r>
        <w:rPr>
          <w:color w:val="242B67"/>
        </w:rPr>
        <w:t>Insuficiência valvar </w:t>
      </w:r>
      <w:r>
        <w:rPr>
          <w:color w:val="242B67"/>
          <w:spacing w:val="-2"/>
        </w:rPr>
        <w:t>pulmonar</w:t>
      </w:r>
    </w:p>
    <w:p>
      <w:pPr>
        <w:pStyle w:val="BodyText"/>
        <w:spacing w:line="276" w:lineRule="auto" w:before="132"/>
        <w:ind w:right="488"/>
      </w:pPr>
      <w:r>
        <w:rPr/>
        <w:t>A</w:t>
      </w:r>
      <w:r>
        <w:rPr>
          <w:spacing w:val="-5"/>
        </w:rPr>
        <w:t> </w:t>
      </w:r>
      <w:r>
        <w:rPr/>
        <w:t>dilatação</w:t>
      </w:r>
      <w:r>
        <w:rPr>
          <w:spacing w:val="-3"/>
        </w:rPr>
        <w:t> </w:t>
      </w:r>
      <w:r>
        <w:rPr/>
        <w:t>do</w:t>
      </w:r>
      <w:r>
        <w:rPr>
          <w:spacing w:val="-3"/>
        </w:rPr>
        <w:t> </w:t>
      </w:r>
      <w:r>
        <w:rPr/>
        <w:t>anel valvar pode</w:t>
      </w:r>
      <w:r>
        <w:rPr>
          <w:spacing w:val="-5"/>
        </w:rPr>
        <w:t> </w:t>
      </w:r>
      <w:r>
        <w:rPr/>
        <w:t>ser consequente</w:t>
      </w:r>
      <w:r>
        <w:rPr>
          <w:spacing w:val="-5"/>
        </w:rPr>
        <w:t> </w:t>
      </w:r>
      <w:r>
        <w:rPr/>
        <w:t>à</w:t>
      </w:r>
      <w:r>
        <w:rPr>
          <w:spacing w:val="-5"/>
        </w:rPr>
        <w:t> </w:t>
      </w:r>
      <w:r>
        <w:rPr/>
        <w:t>hipertensão</w:t>
      </w:r>
      <w:r>
        <w:rPr>
          <w:spacing w:val="-3"/>
        </w:rPr>
        <w:t> </w:t>
      </w:r>
      <w:r>
        <w:rPr/>
        <w:t>pulmonar de</w:t>
      </w:r>
      <w:r>
        <w:rPr>
          <w:spacing w:val="-5"/>
        </w:rPr>
        <w:t> </w:t>
      </w:r>
      <w:r>
        <w:rPr/>
        <w:t>qualquer etiologia, como</w:t>
      </w:r>
      <w:r>
        <w:rPr>
          <w:spacing w:val="-3"/>
        </w:rPr>
        <w:t> </w:t>
      </w:r>
      <w:r>
        <w:rPr/>
        <w:t>a</w:t>
      </w:r>
      <w:r>
        <w:rPr>
          <w:spacing w:val="-5"/>
        </w:rPr>
        <w:t> </w:t>
      </w:r>
      <w:r>
        <w:rPr/>
        <w:t>estenose mitral, as pneumopatias crônicas ou</w:t>
      </w:r>
      <w:r>
        <w:rPr>
          <w:spacing w:val="-3"/>
        </w:rPr>
        <w:t> </w:t>
      </w:r>
      <w:r>
        <w:rPr/>
        <w:t>a</w:t>
      </w:r>
      <w:r>
        <w:rPr>
          <w:spacing w:val="-5"/>
        </w:rPr>
        <w:t> </w:t>
      </w:r>
      <w:r>
        <w:rPr/>
        <w:t>hipertensão</w:t>
      </w:r>
      <w:r>
        <w:rPr>
          <w:spacing w:val="-3"/>
        </w:rPr>
        <w:t> </w:t>
      </w:r>
      <w:r>
        <w:rPr/>
        <w:t>da</w:t>
      </w:r>
      <w:r>
        <w:rPr>
          <w:spacing w:val="-5"/>
        </w:rPr>
        <w:t> </w:t>
      </w:r>
      <w:r>
        <w:rPr/>
        <w:t>regurgitação</w:t>
      </w:r>
      <w:r>
        <w:rPr>
          <w:spacing w:val="-3"/>
        </w:rPr>
        <w:t> </w:t>
      </w:r>
      <w:r>
        <w:rPr/>
        <w:t>pulmonar. A</w:t>
      </w:r>
      <w:r>
        <w:rPr>
          <w:spacing w:val="-5"/>
        </w:rPr>
        <w:t> </w:t>
      </w:r>
      <w:r>
        <w:rPr/>
        <w:t>endocardite</w:t>
      </w:r>
      <w:r>
        <w:rPr>
          <w:spacing w:val="-5"/>
        </w:rPr>
        <w:t> </w:t>
      </w:r>
      <w:r>
        <w:rPr/>
        <w:t>infecciosa</w:t>
      </w:r>
      <w:r>
        <w:rPr>
          <w:spacing w:val="-5"/>
        </w:rPr>
        <w:t> </w:t>
      </w:r>
      <w:r>
        <w:rPr/>
        <w:t>compromete mais frequentemente as outras valvas cardíacas, mas deve ser considerada como causa possível de insuficiência pulmonar adquirida.</w:t>
      </w:r>
    </w:p>
    <w:p>
      <w:pPr>
        <w:pStyle w:val="BodyText"/>
        <w:spacing w:line="276" w:lineRule="auto"/>
        <w:ind w:right="497"/>
      </w:pPr>
      <w:r>
        <w:rPr/>
        <w:t>Outras condições podem</w:t>
      </w:r>
      <w:r>
        <w:rPr>
          <w:spacing w:val="-2"/>
        </w:rPr>
        <w:t> </w:t>
      </w:r>
      <w:r>
        <w:rPr/>
        <w:t>levar mais raramente</w:t>
      </w:r>
      <w:r>
        <w:rPr>
          <w:spacing w:val="-4"/>
        </w:rPr>
        <w:t> </w:t>
      </w:r>
      <w:r>
        <w:rPr/>
        <w:t>à</w:t>
      </w:r>
      <w:r>
        <w:rPr>
          <w:spacing w:val="-4"/>
        </w:rPr>
        <w:t> </w:t>
      </w:r>
      <w:r>
        <w:rPr/>
        <w:t>insuficiência</w:t>
      </w:r>
      <w:r>
        <w:rPr>
          <w:spacing w:val="-4"/>
        </w:rPr>
        <w:t> </w:t>
      </w:r>
      <w:r>
        <w:rPr/>
        <w:t>pulmonar. Merece</w:t>
      </w:r>
      <w:r>
        <w:rPr>
          <w:spacing w:val="-4"/>
        </w:rPr>
        <w:t> </w:t>
      </w:r>
      <w:r>
        <w:rPr/>
        <w:t>citação</w:t>
      </w:r>
      <w:r>
        <w:rPr>
          <w:spacing w:val="-2"/>
        </w:rPr>
        <w:t> </w:t>
      </w:r>
      <w:r>
        <w:rPr/>
        <w:t>a</w:t>
      </w:r>
      <w:r>
        <w:rPr>
          <w:spacing w:val="-4"/>
        </w:rPr>
        <w:t> </w:t>
      </w:r>
      <w:r>
        <w:rPr/>
        <w:t>síndrome</w:t>
      </w:r>
      <w:r>
        <w:rPr>
          <w:spacing w:val="-4"/>
        </w:rPr>
        <w:t> </w:t>
      </w:r>
      <w:r>
        <w:rPr/>
        <w:t>de</w:t>
      </w:r>
      <w:r>
        <w:rPr>
          <w:spacing w:val="-4"/>
        </w:rPr>
        <w:t> </w:t>
      </w:r>
      <w:r>
        <w:rPr/>
        <w:t>Marfan, que mais frequentemente compromete as valvas aórtica e mitral. Eventualmente, alguns pacientes podem vir a desenvolver regurgitação pulmonar induzida por cirurgias corretivas de estenose pulmonar congênita ou tetralogia de Fallot.</w:t>
      </w:r>
    </w:p>
    <w:p>
      <w:pPr>
        <w:pStyle w:val="BodyText"/>
        <w:spacing w:before="48"/>
        <w:ind w:left="414" w:firstLine="0"/>
      </w:pPr>
      <w:r>
        <w:rPr/>
        <w:t>As</w:t>
      </w:r>
      <w:r>
        <w:rPr>
          <w:spacing w:val="60"/>
          <w:w w:val="150"/>
        </w:rPr>
        <w:t> </w:t>
      </w:r>
      <w:r>
        <w:rPr/>
        <w:t>malformações</w:t>
      </w:r>
      <w:r>
        <w:rPr>
          <w:spacing w:val="61"/>
          <w:w w:val="150"/>
        </w:rPr>
        <w:t> </w:t>
      </w:r>
      <w:r>
        <w:rPr/>
        <w:t>congênitas</w:t>
      </w:r>
      <w:r>
        <w:rPr>
          <w:spacing w:val="61"/>
          <w:w w:val="150"/>
        </w:rPr>
        <w:t> </w:t>
      </w:r>
      <w:r>
        <w:rPr/>
        <w:t>da</w:t>
      </w:r>
      <w:r>
        <w:rPr>
          <w:spacing w:val="78"/>
        </w:rPr>
        <w:t> </w:t>
      </w:r>
      <w:r>
        <w:rPr/>
        <w:t>valva</w:t>
      </w:r>
      <w:r>
        <w:rPr>
          <w:spacing w:val="78"/>
        </w:rPr>
        <w:t> </w:t>
      </w:r>
      <w:r>
        <w:rPr/>
        <w:t>pulmonar</w:t>
      </w:r>
      <w:r>
        <w:rPr>
          <w:spacing w:val="57"/>
          <w:w w:val="150"/>
        </w:rPr>
        <w:t> </w:t>
      </w:r>
      <w:r>
        <w:rPr/>
        <w:t>que</w:t>
      </w:r>
      <w:r>
        <w:rPr>
          <w:spacing w:val="78"/>
        </w:rPr>
        <w:t> </w:t>
      </w:r>
      <w:r>
        <w:rPr/>
        <w:t>cursam</w:t>
      </w:r>
      <w:r>
        <w:rPr>
          <w:spacing w:val="52"/>
          <w:w w:val="150"/>
        </w:rPr>
        <w:t> </w:t>
      </w:r>
      <w:r>
        <w:rPr/>
        <w:t>com</w:t>
      </w:r>
      <w:r>
        <w:rPr>
          <w:spacing w:val="52"/>
          <w:w w:val="150"/>
        </w:rPr>
        <w:t> </w:t>
      </w:r>
      <w:r>
        <w:rPr/>
        <w:t>regurgitação</w:t>
      </w:r>
      <w:r>
        <w:rPr>
          <w:spacing w:val="52"/>
          <w:w w:val="150"/>
        </w:rPr>
        <w:t> </w:t>
      </w:r>
      <w:r>
        <w:rPr/>
        <w:t>englobam</w:t>
      </w:r>
      <w:r>
        <w:rPr>
          <w:spacing w:val="52"/>
          <w:w w:val="150"/>
        </w:rPr>
        <w:t> </w:t>
      </w:r>
      <w:r>
        <w:rPr/>
        <w:t>os</w:t>
      </w:r>
      <w:r>
        <w:rPr>
          <w:spacing w:val="61"/>
          <w:w w:val="150"/>
        </w:rPr>
        <w:t> </w:t>
      </w:r>
      <w:r>
        <w:rPr>
          <w:spacing w:val="-2"/>
        </w:rPr>
        <w:t>folhetos</w:t>
      </w:r>
    </w:p>
    <w:p>
      <w:pPr>
        <w:pStyle w:val="BodyText"/>
        <w:spacing w:after="0"/>
        <w:sectPr>
          <w:pgSz w:w="11900" w:h="16840"/>
          <w:pgMar w:top="200" w:bottom="280" w:left="566" w:right="141"/>
        </w:sectPr>
      </w:pPr>
    </w:p>
    <w:p>
      <w:pPr>
        <w:pStyle w:val="BodyText"/>
        <w:spacing w:line="276" w:lineRule="auto" w:before="79"/>
        <w:ind w:right="497" w:firstLine="0"/>
      </w:pPr>
      <w:r>
        <w:rPr/>
        <w:t>supranumerários, a ausência de folheto, folhetos malformados ou fenestrados. Podem ocorrer de modo isolado, porém habitualmente estão associadas a outras anomalias, tais como a tetralogia de Fallot, defeitos do septo interventricular</w:t>
      </w:r>
      <w:r>
        <w:rPr>
          <w:spacing w:val="-4"/>
        </w:rPr>
        <w:t> </w:t>
      </w:r>
      <w:r>
        <w:rPr/>
        <w:t>e</w:t>
      </w:r>
      <w:r>
        <w:rPr>
          <w:spacing w:val="-11"/>
        </w:rPr>
        <w:t> </w:t>
      </w:r>
      <w:r>
        <w:rPr/>
        <w:t>estenose</w:t>
      </w:r>
      <w:r>
        <w:rPr>
          <w:spacing w:val="-11"/>
        </w:rPr>
        <w:t> </w:t>
      </w:r>
      <w:r>
        <w:rPr/>
        <w:t>pulmonar</w:t>
      </w:r>
      <w:r>
        <w:rPr>
          <w:spacing w:val="-4"/>
        </w:rPr>
        <w:t> </w:t>
      </w:r>
      <w:r>
        <w:rPr/>
        <w:t>valvar.</w:t>
      </w:r>
      <w:r>
        <w:rPr>
          <w:spacing w:val="-2"/>
        </w:rPr>
        <w:t> </w:t>
      </w:r>
      <w:r>
        <w:rPr/>
        <w:t>Quando</w:t>
      </w:r>
      <w:r>
        <w:rPr>
          <w:spacing w:val="-9"/>
        </w:rPr>
        <w:t> </w:t>
      </w:r>
      <w:r>
        <w:rPr/>
        <w:t>isolada,</w:t>
      </w:r>
      <w:r>
        <w:rPr>
          <w:spacing w:val="-2"/>
        </w:rPr>
        <w:t> </w:t>
      </w:r>
      <w:r>
        <w:rPr/>
        <w:t>a</w:t>
      </w:r>
      <w:r>
        <w:rPr>
          <w:spacing w:val="-11"/>
        </w:rPr>
        <w:t> </w:t>
      </w:r>
      <w:r>
        <w:rPr/>
        <w:t>insuficiência</w:t>
      </w:r>
      <w:r>
        <w:rPr>
          <w:spacing w:val="-11"/>
        </w:rPr>
        <w:t> </w:t>
      </w:r>
      <w:r>
        <w:rPr/>
        <w:t>congênita</w:t>
      </w:r>
      <w:r>
        <w:rPr>
          <w:spacing w:val="-11"/>
        </w:rPr>
        <w:t> </w:t>
      </w:r>
      <w:r>
        <w:rPr/>
        <w:t>da</w:t>
      </w:r>
      <w:r>
        <w:rPr>
          <w:spacing w:val="-11"/>
        </w:rPr>
        <w:t> </w:t>
      </w:r>
      <w:r>
        <w:rPr/>
        <w:t>valva</w:t>
      </w:r>
      <w:r>
        <w:rPr>
          <w:spacing w:val="-11"/>
        </w:rPr>
        <w:t> </w:t>
      </w:r>
      <w:r>
        <w:rPr/>
        <w:t>pulmonar</w:t>
      </w:r>
      <w:r>
        <w:rPr>
          <w:spacing w:val="-4"/>
        </w:rPr>
        <w:t> </w:t>
      </w:r>
      <w:r>
        <w:rPr/>
        <w:t>raramente causa</w:t>
      </w:r>
      <w:r>
        <w:rPr>
          <w:spacing w:val="-2"/>
        </w:rPr>
        <w:t> </w:t>
      </w:r>
      <w:r>
        <w:rPr/>
        <w:t>regurgitação grave, permitindo uma</w:t>
      </w:r>
      <w:r>
        <w:rPr>
          <w:spacing w:val="-2"/>
        </w:rPr>
        <w:t> </w:t>
      </w:r>
      <w:r>
        <w:rPr/>
        <w:t>adequada</w:t>
      </w:r>
      <w:r>
        <w:rPr>
          <w:spacing w:val="-2"/>
        </w:rPr>
        <w:t> </w:t>
      </w:r>
      <w:r>
        <w:rPr/>
        <w:t>adaptação do VD</w:t>
      </w:r>
      <w:r>
        <w:rPr>
          <w:spacing w:val="-2"/>
        </w:rPr>
        <w:t> </w:t>
      </w:r>
      <w:r>
        <w:rPr/>
        <w:t>à</w:t>
      </w:r>
      <w:r>
        <w:rPr>
          <w:spacing w:val="-2"/>
        </w:rPr>
        <w:t> </w:t>
      </w:r>
      <w:r>
        <w:rPr/>
        <w:t>sobrecarga</w:t>
      </w:r>
      <w:r>
        <w:rPr>
          <w:spacing w:val="-2"/>
        </w:rPr>
        <w:t> </w:t>
      </w:r>
      <w:r>
        <w:rPr/>
        <w:t>de</w:t>
      </w:r>
      <w:r>
        <w:rPr>
          <w:spacing w:val="-2"/>
        </w:rPr>
        <w:t> </w:t>
      </w:r>
      <w:r>
        <w:rPr/>
        <w:t>volume</w:t>
      </w:r>
      <w:r>
        <w:rPr>
          <w:spacing w:val="-2"/>
        </w:rPr>
        <w:t> </w:t>
      </w:r>
      <w:r>
        <w:rPr/>
        <w:t>e</w:t>
      </w:r>
      <w:r>
        <w:rPr>
          <w:spacing w:val="-2"/>
        </w:rPr>
        <w:t> </w:t>
      </w:r>
      <w:r>
        <w:rPr/>
        <w:t>consequentemente uma longa sobrevida assintomática ou oligossintomática.</w:t>
      </w:r>
    </w:p>
    <w:p>
      <w:pPr>
        <w:pStyle w:val="BodyText"/>
        <w:spacing w:line="276" w:lineRule="auto" w:before="68"/>
        <w:ind w:right="491"/>
      </w:pPr>
      <w:r>
        <w:rPr/>
        <w:t>Causas menos comuns de regurgitação pulmonar que merecem citação englobam a síndrome carcinoide, lesão reumática, sífilis e lesões traumáticas por cateteres ou traumas torácicos.</w:t>
      </w:r>
    </w:p>
    <w:p>
      <w:pPr>
        <w:pStyle w:val="BodyText"/>
        <w:spacing w:before="133"/>
        <w:ind w:left="0" w:firstLine="0"/>
        <w:jc w:val="left"/>
      </w:pPr>
    </w:p>
    <w:p>
      <w:pPr>
        <w:pStyle w:val="Heading5"/>
        <w:spacing w:before="1"/>
      </w:pPr>
      <w:r>
        <w:rPr>
          <w:color w:val="A26108"/>
        </w:rPr>
        <w:t>Quadro</w:t>
      </w:r>
      <w:r>
        <w:rPr>
          <w:color w:val="A26108"/>
          <w:spacing w:val="23"/>
        </w:rPr>
        <w:t> </w:t>
      </w:r>
      <w:r>
        <w:rPr>
          <w:color w:val="A26108"/>
          <w:spacing w:val="-2"/>
        </w:rPr>
        <w:t>clínico</w:t>
      </w:r>
    </w:p>
    <w:p>
      <w:pPr>
        <w:pStyle w:val="BodyText"/>
        <w:spacing w:line="276" w:lineRule="auto" w:before="122"/>
        <w:ind w:right="488"/>
      </w:pPr>
      <w:r>
        <w:rPr/>
        <w:t>A insuficiência valvar primária isolada causa sobrecarga de volume do VD que será tanto mais significativa quanto mais acentuada for a regurgitação. Tal situação pode ser bem tolerada por muitos anos, a menos que se complique por hipertensão pulmonar.</w:t>
      </w:r>
    </w:p>
    <w:p>
      <w:pPr>
        <w:pStyle w:val="BodyText"/>
        <w:spacing w:line="276" w:lineRule="auto" w:before="64"/>
        <w:ind w:right="491"/>
      </w:pPr>
      <w:r>
        <w:rPr/>
        <w:t>A</w:t>
      </w:r>
      <w:r>
        <w:rPr>
          <w:spacing w:val="-5"/>
        </w:rPr>
        <w:t> </w:t>
      </w:r>
      <w:r>
        <w:rPr/>
        <w:t>regurgitação</w:t>
      </w:r>
      <w:r>
        <w:rPr>
          <w:spacing w:val="-3"/>
        </w:rPr>
        <w:t> </w:t>
      </w:r>
      <w:r>
        <w:rPr/>
        <w:t>pulmonar, ocasionada</w:t>
      </w:r>
      <w:r>
        <w:rPr>
          <w:spacing w:val="-5"/>
        </w:rPr>
        <w:t> </w:t>
      </w:r>
      <w:r>
        <w:rPr/>
        <w:t>por hipertensão</w:t>
      </w:r>
      <w:r>
        <w:rPr>
          <w:spacing w:val="-3"/>
        </w:rPr>
        <w:t> </w:t>
      </w:r>
      <w:r>
        <w:rPr/>
        <w:t>pulmonar de</w:t>
      </w:r>
      <w:r>
        <w:rPr>
          <w:spacing w:val="-5"/>
        </w:rPr>
        <w:t> </w:t>
      </w:r>
      <w:r>
        <w:rPr/>
        <w:t>qualquer etiologia, não</w:t>
      </w:r>
      <w:r>
        <w:rPr>
          <w:spacing w:val="-3"/>
        </w:rPr>
        <w:t> </w:t>
      </w:r>
      <w:r>
        <w:rPr/>
        <w:t>costuma</w:t>
      </w:r>
      <w:r>
        <w:rPr>
          <w:spacing w:val="-5"/>
        </w:rPr>
        <w:t> </w:t>
      </w:r>
      <w:r>
        <w:rPr/>
        <w:t>ser tão</w:t>
      </w:r>
      <w:r>
        <w:rPr>
          <w:spacing w:val="-3"/>
        </w:rPr>
        <w:t> </w:t>
      </w:r>
      <w:r>
        <w:rPr/>
        <w:t>bem tolerada</w:t>
      </w:r>
      <w:r>
        <w:rPr>
          <w:spacing w:val="-4"/>
        </w:rPr>
        <w:t> </w:t>
      </w:r>
      <w:r>
        <w:rPr/>
        <w:t>quanto</w:t>
      </w:r>
      <w:r>
        <w:rPr>
          <w:spacing w:val="-1"/>
        </w:rPr>
        <w:t> </w:t>
      </w:r>
      <w:r>
        <w:rPr/>
        <w:t>a</w:t>
      </w:r>
      <w:r>
        <w:rPr>
          <w:spacing w:val="-4"/>
        </w:rPr>
        <w:t> </w:t>
      </w:r>
      <w:r>
        <w:rPr/>
        <w:t>insuficiência</w:t>
      </w:r>
      <w:r>
        <w:rPr>
          <w:spacing w:val="-4"/>
        </w:rPr>
        <w:t> </w:t>
      </w:r>
      <w:r>
        <w:rPr/>
        <w:t>pulmonar primária</w:t>
      </w:r>
      <w:r>
        <w:rPr>
          <w:spacing w:val="-4"/>
        </w:rPr>
        <w:t> </w:t>
      </w:r>
      <w:r>
        <w:rPr/>
        <w:t>e</w:t>
      </w:r>
      <w:r>
        <w:rPr>
          <w:spacing w:val="-4"/>
        </w:rPr>
        <w:t> </w:t>
      </w:r>
      <w:r>
        <w:rPr/>
        <w:t>geralmente</w:t>
      </w:r>
      <w:r>
        <w:rPr>
          <w:spacing w:val="-4"/>
        </w:rPr>
        <w:t> </w:t>
      </w:r>
      <w:r>
        <w:rPr/>
        <w:t>é</w:t>
      </w:r>
      <w:r>
        <w:rPr>
          <w:spacing w:val="-4"/>
        </w:rPr>
        <w:t> </w:t>
      </w:r>
      <w:r>
        <w:rPr/>
        <w:t>agravada</w:t>
      </w:r>
      <w:r>
        <w:rPr>
          <w:spacing w:val="-4"/>
        </w:rPr>
        <w:t> </w:t>
      </w:r>
      <w:r>
        <w:rPr/>
        <w:t>por insuficiência</w:t>
      </w:r>
      <w:r>
        <w:rPr>
          <w:spacing w:val="-4"/>
        </w:rPr>
        <w:t> </w:t>
      </w:r>
      <w:r>
        <w:rPr/>
        <w:t>ventricular direita.</w:t>
      </w:r>
    </w:p>
    <w:p>
      <w:pPr>
        <w:pStyle w:val="BodyText"/>
        <w:spacing w:line="276" w:lineRule="auto" w:before="49"/>
        <w:ind w:right="497"/>
      </w:pPr>
      <w:r>
        <w:rPr/>
        <w:t>Em nosso meio, tal situação é geralmente encontrada na evolução de pacientes portadores de pneumopatias crônicas</w:t>
      </w:r>
      <w:r>
        <w:rPr>
          <w:spacing w:val="-2"/>
        </w:rPr>
        <w:t> </w:t>
      </w:r>
      <w:r>
        <w:rPr/>
        <w:t>(caracterizando</w:t>
      </w:r>
      <w:r>
        <w:rPr>
          <w:spacing w:val="-10"/>
        </w:rPr>
        <w:t> </w:t>
      </w:r>
      <w:r>
        <w:rPr/>
        <w:t>o</w:t>
      </w:r>
      <w:r>
        <w:rPr>
          <w:spacing w:val="-10"/>
        </w:rPr>
        <w:t> </w:t>
      </w:r>
      <w:r>
        <w:rPr>
          <w:i/>
        </w:rPr>
        <w:t>cor</w:t>
      </w:r>
      <w:r>
        <w:rPr>
          <w:i/>
          <w:spacing w:val="-2"/>
        </w:rPr>
        <w:t> </w:t>
      </w:r>
      <w:r>
        <w:rPr>
          <w:i/>
        </w:rPr>
        <w:t>pulmonale</w:t>
      </w:r>
      <w:r>
        <w:rPr>
          <w:i/>
          <w:spacing w:val="-9"/>
        </w:rPr>
        <w:t> </w:t>
      </w:r>
      <w:r>
        <w:rPr/>
        <w:t>crônico), ou</w:t>
      </w:r>
      <w:r>
        <w:rPr>
          <w:spacing w:val="-6"/>
        </w:rPr>
        <w:t> </w:t>
      </w:r>
      <w:r>
        <w:rPr/>
        <w:t>na</w:t>
      </w:r>
      <w:r>
        <w:rPr>
          <w:spacing w:val="-9"/>
        </w:rPr>
        <w:t> </w:t>
      </w:r>
      <w:r>
        <w:rPr/>
        <w:t>evolução</w:t>
      </w:r>
      <w:r>
        <w:rPr>
          <w:spacing w:val="-6"/>
        </w:rPr>
        <w:t> </w:t>
      </w:r>
      <w:r>
        <w:rPr/>
        <w:t>tardia</w:t>
      </w:r>
      <w:r>
        <w:rPr>
          <w:spacing w:val="-9"/>
        </w:rPr>
        <w:t> </w:t>
      </w:r>
      <w:r>
        <w:rPr/>
        <w:t>da</w:t>
      </w:r>
      <w:r>
        <w:rPr>
          <w:spacing w:val="-9"/>
        </w:rPr>
        <w:t> </w:t>
      </w:r>
      <w:r>
        <w:rPr/>
        <w:t>estenose</w:t>
      </w:r>
      <w:r>
        <w:rPr>
          <w:spacing w:val="-9"/>
        </w:rPr>
        <w:t> </w:t>
      </w:r>
      <w:r>
        <w:rPr/>
        <w:t>mitral, entre</w:t>
      </w:r>
      <w:r>
        <w:rPr>
          <w:spacing w:val="-9"/>
        </w:rPr>
        <w:t> </w:t>
      </w:r>
      <w:r>
        <w:rPr/>
        <w:t>outras condições. Nesses pacientes, quando ocorre a falência do VD, as manifestações que mais frequentemente se fazem presentes são a dispneia progressiva, a tosse paroxística, a cianose central e a retenção hídrica com o surgimento de edema periférico, podendo chegar à anasarca.</w:t>
      </w:r>
    </w:p>
    <w:p>
      <w:pPr>
        <w:pStyle w:val="BodyText"/>
        <w:spacing w:line="276" w:lineRule="auto"/>
        <w:ind w:right="491"/>
      </w:pPr>
      <w:r>
        <w:rPr/>
        <w:t>Ocasionalmente,</w:t>
      </w:r>
      <w:r>
        <w:rPr>
          <w:spacing w:val="-3"/>
        </w:rPr>
        <w:t> </w:t>
      </w:r>
      <w:r>
        <w:rPr/>
        <w:t>podem</w:t>
      </w:r>
      <w:r>
        <w:rPr>
          <w:spacing w:val="-11"/>
        </w:rPr>
        <w:t> </w:t>
      </w:r>
      <w:r>
        <w:rPr/>
        <w:t>ocorrer</w:t>
      </w:r>
      <w:r>
        <w:rPr>
          <w:spacing w:val="-6"/>
        </w:rPr>
        <w:t> </w:t>
      </w:r>
      <w:r>
        <w:rPr/>
        <w:t>episódios</w:t>
      </w:r>
      <w:r>
        <w:rPr>
          <w:spacing w:val="-3"/>
        </w:rPr>
        <w:t> </w:t>
      </w:r>
      <w:r>
        <w:rPr/>
        <w:t>de</w:t>
      </w:r>
      <w:r>
        <w:rPr>
          <w:spacing w:val="-13"/>
        </w:rPr>
        <w:t> </w:t>
      </w:r>
      <w:r>
        <w:rPr/>
        <w:t>síncope</w:t>
      </w:r>
      <w:r>
        <w:rPr>
          <w:spacing w:val="-13"/>
        </w:rPr>
        <w:t> </w:t>
      </w:r>
      <w:r>
        <w:rPr/>
        <w:t>consequentes</w:t>
      </w:r>
      <w:r>
        <w:rPr>
          <w:spacing w:val="-3"/>
        </w:rPr>
        <w:t> </w:t>
      </w:r>
      <w:r>
        <w:rPr/>
        <w:t>à</w:t>
      </w:r>
      <w:r>
        <w:rPr>
          <w:spacing w:val="-13"/>
        </w:rPr>
        <w:t> </w:t>
      </w:r>
      <w:r>
        <w:rPr/>
        <w:t>queda</w:t>
      </w:r>
      <w:r>
        <w:rPr>
          <w:spacing w:val="-13"/>
        </w:rPr>
        <w:t> </w:t>
      </w:r>
      <w:r>
        <w:rPr/>
        <w:t>do</w:t>
      </w:r>
      <w:r>
        <w:rPr>
          <w:spacing w:val="-11"/>
        </w:rPr>
        <w:t> </w:t>
      </w:r>
      <w:r>
        <w:rPr/>
        <w:t>débito</w:t>
      </w:r>
      <w:r>
        <w:rPr>
          <w:spacing w:val="-11"/>
        </w:rPr>
        <w:t> </w:t>
      </w:r>
      <w:r>
        <w:rPr/>
        <w:t>cardíaco</w:t>
      </w:r>
      <w:r>
        <w:rPr>
          <w:spacing w:val="-11"/>
        </w:rPr>
        <w:t> </w:t>
      </w:r>
      <w:r>
        <w:rPr/>
        <w:t>do</w:t>
      </w:r>
      <w:r>
        <w:rPr>
          <w:spacing w:val="-11"/>
        </w:rPr>
        <w:t> </w:t>
      </w:r>
      <w:r>
        <w:rPr/>
        <w:t>VE</w:t>
      </w:r>
      <w:r>
        <w:rPr>
          <w:spacing w:val="-6"/>
        </w:rPr>
        <w:t> </w:t>
      </w:r>
      <w:r>
        <w:rPr/>
        <w:t>em</w:t>
      </w:r>
      <w:r>
        <w:rPr>
          <w:spacing w:val="-11"/>
        </w:rPr>
        <w:t> </w:t>
      </w:r>
      <w:r>
        <w:rPr/>
        <w:t>função da falência do VD. Veias superficiais ingurgitadas e estase jugular significativa com pulsatilidade evidente são habitualmente encontradas.</w:t>
      </w:r>
    </w:p>
    <w:p>
      <w:pPr>
        <w:pStyle w:val="BodyText"/>
        <w:spacing w:before="133"/>
        <w:ind w:left="0" w:firstLine="0"/>
        <w:jc w:val="left"/>
      </w:pPr>
    </w:p>
    <w:p>
      <w:pPr>
        <w:pStyle w:val="Heading5"/>
      </w:pPr>
      <w:r>
        <w:rPr>
          <w:color w:val="A26108"/>
        </w:rPr>
        <w:t>Diagnósticos</w:t>
      </w:r>
      <w:r>
        <w:rPr>
          <w:color w:val="A26108"/>
          <w:spacing w:val="22"/>
        </w:rPr>
        <w:t> </w:t>
      </w:r>
      <w:r>
        <w:rPr>
          <w:color w:val="A26108"/>
        </w:rPr>
        <w:t>clínico</w:t>
      </w:r>
      <w:r>
        <w:rPr>
          <w:color w:val="A26108"/>
          <w:spacing w:val="22"/>
        </w:rPr>
        <w:t> </w:t>
      </w:r>
      <w:r>
        <w:rPr>
          <w:color w:val="A26108"/>
        </w:rPr>
        <w:t>e</w:t>
      </w:r>
      <w:r>
        <w:rPr>
          <w:color w:val="A26108"/>
          <w:spacing w:val="22"/>
        </w:rPr>
        <w:t> </w:t>
      </w:r>
      <w:r>
        <w:rPr>
          <w:color w:val="A26108"/>
          <w:spacing w:val="-2"/>
        </w:rPr>
        <w:t>laboratorial</w:t>
      </w:r>
    </w:p>
    <w:p>
      <w:pPr>
        <w:pStyle w:val="BodyText"/>
        <w:spacing w:line="276" w:lineRule="auto" w:before="138"/>
        <w:ind w:right="491"/>
      </w:pPr>
      <w:r>
        <w:rPr/>
        <w:t>O exame precordial revela um VD hiperdinâmico produzindo impulsos sistólicos palpáveis na região paraesternal esquerda e pulsação sistólica palpável no segundo espaço intercostal esquerdo em função de dilatação da artéria pulmonar. Frêmitos sistólico e diastólico também podem ser encontrados na mesma região.</w:t>
      </w:r>
    </w:p>
    <w:p>
      <w:pPr>
        <w:pStyle w:val="BodyText"/>
        <w:spacing w:line="276" w:lineRule="auto" w:before="49"/>
        <w:ind w:right="497"/>
      </w:pPr>
      <w:r>
        <w:rPr/>
        <w:t>A ausculta precordial revela o componente P2 da B2 hipofonético ou ausente na insuficiência pulmonar congênita, porém muito acentuado nos casos de insuficiência pulmonar secundária à hipertensão pulmonar. Habitualmente, a B2 apresenta-se amplamente desdobrada em função do maior tempo de ejeção do VD decorrente de</w:t>
      </w:r>
      <w:r>
        <w:rPr>
          <w:spacing w:val="-1"/>
        </w:rPr>
        <w:t> </w:t>
      </w:r>
      <w:r>
        <w:rPr/>
        <w:t>aumento do volume</w:t>
      </w:r>
      <w:r>
        <w:rPr>
          <w:spacing w:val="-1"/>
        </w:rPr>
        <w:t> </w:t>
      </w:r>
      <w:r>
        <w:rPr/>
        <w:t>sistólico, fato este</w:t>
      </w:r>
      <w:r>
        <w:rPr>
          <w:spacing w:val="-1"/>
        </w:rPr>
        <w:t> </w:t>
      </w:r>
      <w:r>
        <w:rPr/>
        <w:t>que</w:t>
      </w:r>
      <w:r>
        <w:rPr>
          <w:spacing w:val="-1"/>
        </w:rPr>
        <w:t> </w:t>
      </w:r>
      <w:r>
        <w:rPr/>
        <w:t>também explica</w:t>
      </w:r>
      <w:r>
        <w:rPr>
          <w:spacing w:val="-1"/>
        </w:rPr>
        <w:t> </w:t>
      </w:r>
      <w:r>
        <w:rPr/>
        <w:t>a</w:t>
      </w:r>
      <w:r>
        <w:rPr>
          <w:spacing w:val="-1"/>
        </w:rPr>
        <w:t> </w:t>
      </w:r>
      <w:r>
        <w:rPr/>
        <w:t>ocorrência</w:t>
      </w:r>
      <w:r>
        <w:rPr>
          <w:spacing w:val="-1"/>
        </w:rPr>
        <w:t> </w:t>
      </w:r>
      <w:r>
        <w:rPr/>
        <w:t>de</w:t>
      </w:r>
      <w:r>
        <w:rPr>
          <w:spacing w:val="-1"/>
        </w:rPr>
        <w:t> </w:t>
      </w:r>
      <w:r>
        <w:rPr/>
        <w:t>sopro de</w:t>
      </w:r>
      <w:r>
        <w:rPr>
          <w:spacing w:val="-1"/>
        </w:rPr>
        <w:t> </w:t>
      </w:r>
      <w:r>
        <w:rPr/>
        <w:t>ejeção mesossistólico mais proeminente no segundo espaço intercostal esquerdo.</w:t>
      </w:r>
    </w:p>
    <w:p>
      <w:pPr>
        <w:pStyle w:val="BodyText"/>
        <w:spacing w:line="276" w:lineRule="auto"/>
        <w:ind w:right="501"/>
      </w:pPr>
      <w:r>
        <w:rPr/>
        <w:t>A</w:t>
      </w:r>
      <w:r>
        <w:rPr>
          <w:spacing w:val="-6"/>
        </w:rPr>
        <w:t> </w:t>
      </w:r>
      <w:r>
        <w:rPr/>
        <w:t>presença</w:t>
      </w:r>
      <w:r>
        <w:rPr>
          <w:spacing w:val="-6"/>
        </w:rPr>
        <w:t> </w:t>
      </w:r>
      <w:r>
        <w:rPr/>
        <w:t>de</w:t>
      </w:r>
      <w:r>
        <w:rPr>
          <w:spacing w:val="-6"/>
        </w:rPr>
        <w:t> </w:t>
      </w:r>
      <w:r>
        <w:rPr/>
        <w:t>uma</w:t>
      </w:r>
      <w:r>
        <w:rPr>
          <w:spacing w:val="-6"/>
        </w:rPr>
        <w:t> </w:t>
      </w:r>
      <w:r>
        <w:rPr/>
        <w:t>terceira</w:t>
      </w:r>
      <w:r>
        <w:rPr>
          <w:spacing w:val="-6"/>
        </w:rPr>
        <w:t> </w:t>
      </w:r>
      <w:r>
        <w:rPr/>
        <w:t>e/ou</w:t>
      </w:r>
      <w:r>
        <w:rPr>
          <w:spacing w:val="-4"/>
        </w:rPr>
        <w:t> </w:t>
      </w:r>
      <w:r>
        <w:rPr/>
        <w:t>quarta</w:t>
      </w:r>
      <w:r>
        <w:rPr>
          <w:spacing w:val="-6"/>
        </w:rPr>
        <w:t> </w:t>
      </w:r>
      <w:r>
        <w:rPr/>
        <w:t>bulhas originadas no</w:t>
      </w:r>
      <w:r>
        <w:rPr>
          <w:spacing w:val="-4"/>
        </w:rPr>
        <w:t> </w:t>
      </w:r>
      <w:r>
        <w:rPr/>
        <w:t>VD</w:t>
      </w:r>
      <w:r>
        <w:rPr>
          <w:spacing w:val="-6"/>
        </w:rPr>
        <w:t> </w:t>
      </w:r>
      <w:r>
        <w:rPr/>
        <w:t>geralmente</w:t>
      </w:r>
      <w:r>
        <w:rPr>
          <w:spacing w:val="-6"/>
        </w:rPr>
        <w:t> </w:t>
      </w:r>
      <w:r>
        <w:rPr/>
        <w:t>acompanha</w:t>
      </w:r>
      <w:r>
        <w:rPr>
          <w:spacing w:val="-6"/>
        </w:rPr>
        <w:t> </w:t>
      </w:r>
      <w:r>
        <w:rPr/>
        <w:t>o</w:t>
      </w:r>
      <w:r>
        <w:rPr>
          <w:spacing w:val="-4"/>
        </w:rPr>
        <w:t> </w:t>
      </w:r>
      <w:r>
        <w:rPr/>
        <w:t>quadro</w:t>
      </w:r>
      <w:r>
        <w:rPr>
          <w:spacing w:val="-4"/>
        </w:rPr>
        <w:t> </w:t>
      </w:r>
      <w:r>
        <w:rPr/>
        <w:t>auscultatório, podendo ser audíveis na borda esternal esquerda, intensificando-se com a inspiração.</w:t>
      </w:r>
    </w:p>
    <w:p>
      <w:pPr>
        <w:pStyle w:val="BodyText"/>
        <w:spacing w:line="276" w:lineRule="auto" w:before="64"/>
        <w:ind w:right="491"/>
      </w:pPr>
      <w:r>
        <w:rPr/>
        <w:t>Na ausência de hipertensão pulmonar, o sopro diastólico de regurgitação pulmonar é de alta frequência, com intensidade variável, mas habitualmente baixo, suave ou raramente áspero, apresenta um comportamento em crescendo-decrescendo com fase inicial crescente de curta duração, e é mais audível ao nível de terceiro e quarto espaços intercostais esquerdos com o paciente sentado.</w:t>
      </w:r>
    </w:p>
    <w:p>
      <w:pPr>
        <w:pStyle w:val="BodyText"/>
        <w:spacing w:line="276" w:lineRule="auto" w:before="49"/>
        <w:ind w:right="499"/>
      </w:pPr>
      <w:r>
        <w:rPr/>
        <w:t>Quando a regurgitação pulmonar é secundária, a hipertensão pulmonar excede 60 mmHg, o sopro tende a ser mais intenso, mais prolongado, e varia menos com a inspiração ou inalação de nitrito de amila. Recebe então a denominação de sopro de Graham Steell.</w:t>
      </w:r>
    </w:p>
    <w:p>
      <w:pPr>
        <w:pStyle w:val="BodyText"/>
        <w:spacing w:before="24"/>
        <w:ind w:left="0" w:firstLine="0"/>
        <w:jc w:val="left"/>
      </w:pPr>
    </w:p>
    <w:p>
      <w:pPr>
        <w:pStyle w:val="Heading7"/>
      </w:pPr>
      <w:r>
        <w:rPr>
          <w:color w:val="242B67"/>
          <w:spacing w:val="-2"/>
        </w:rPr>
        <w:t>Eletrocardiograma</w:t>
      </w:r>
    </w:p>
    <w:p>
      <w:pPr>
        <w:pStyle w:val="BodyText"/>
        <w:spacing w:line="276" w:lineRule="auto" w:before="127"/>
        <w:ind w:right="488"/>
      </w:pPr>
      <w:r>
        <w:rPr/>
        <w:t>Na ausência de hipertensão pulmonar, o ECG reflete a sobrecarga diastólica do VD com complexos QRS de morfologia</w:t>
      </w:r>
      <w:r>
        <w:rPr>
          <w:spacing w:val="-12"/>
        </w:rPr>
        <w:t> </w:t>
      </w:r>
      <w:r>
        <w:rPr/>
        <w:t>em</w:t>
      </w:r>
      <w:r>
        <w:rPr>
          <w:spacing w:val="-10"/>
        </w:rPr>
        <w:t> </w:t>
      </w:r>
      <w:r>
        <w:rPr/>
        <w:t>rSR’</w:t>
      </w:r>
      <w:r>
        <w:rPr>
          <w:spacing w:val="-5"/>
        </w:rPr>
        <w:t> </w:t>
      </w:r>
      <w:r>
        <w:rPr/>
        <w:t>nas</w:t>
      </w:r>
      <w:r>
        <w:rPr>
          <w:spacing w:val="-2"/>
        </w:rPr>
        <w:t> </w:t>
      </w:r>
      <w:r>
        <w:rPr/>
        <w:t>derivações</w:t>
      </w:r>
      <w:r>
        <w:rPr>
          <w:spacing w:val="-2"/>
        </w:rPr>
        <w:t> </w:t>
      </w:r>
      <w:r>
        <w:rPr/>
        <w:t>precordiais</w:t>
      </w:r>
      <w:r>
        <w:rPr>
          <w:spacing w:val="-2"/>
        </w:rPr>
        <w:t> </w:t>
      </w:r>
      <w:r>
        <w:rPr/>
        <w:t>direitas.</w:t>
      </w:r>
      <w:r>
        <w:rPr>
          <w:spacing w:val="-2"/>
        </w:rPr>
        <w:t> </w:t>
      </w:r>
      <w:r>
        <w:rPr/>
        <w:t>Quando</w:t>
      </w:r>
      <w:r>
        <w:rPr>
          <w:spacing w:val="-10"/>
        </w:rPr>
        <w:t> </w:t>
      </w:r>
      <w:r>
        <w:rPr/>
        <w:t>a</w:t>
      </w:r>
      <w:r>
        <w:rPr>
          <w:spacing w:val="-12"/>
        </w:rPr>
        <w:t> </w:t>
      </w:r>
      <w:r>
        <w:rPr/>
        <w:t>regurgitação</w:t>
      </w:r>
      <w:r>
        <w:rPr>
          <w:spacing w:val="-10"/>
        </w:rPr>
        <w:t> </w:t>
      </w:r>
      <w:r>
        <w:rPr/>
        <w:t>pulmonar</w:t>
      </w:r>
      <w:r>
        <w:rPr>
          <w:spacing w:val="-5"/>
        </w:rPr>
        <w:t> </w:t>
      </w:r>
      <w:r>
        <w:rPr/>
        <w:t>é</w:t>
      </w:r>
      <w:r>
        <w:rPr>
          <w:spacing w:val="-12"/>
        </w:rPr>
        <w:t> </w:t>
      </w:r>
      <w:r>
        <w:rPr/>
        <w:t>secundária</w:t>
      </w:r>
      <w:r>
        <w:rPr>
          <w:spacing w:val="-12"/>
        </w:rPr>
        <w:t> </w:t>
      </w:r>
      <w:r>
        <w:rPr/>
        <w:t>à</w:t>
      </w:r>
      <w:r>
        <w:rPr>
          <w:spacing w:val="-12"/>
        </w:rPr>
        <w:t> </w:t>
      </w:r>
      <w:r>
        <w:rPr/>
        <w:t>hipertensão pulmonar, a morfologia do complexo QRS reflete sinais de hipertrofia do VD com padrão em QR ou R puro com ondas T invertidas. A onda P </w:t>
      </w:r>
      <w:r>
        <w:rPr>
          <w:i/>
        </w:rPr>
        <w:t>pulmonale </w:t>
      </w:r>
      <w:r>
        <w:rPr/>
        <w:t>(com amplitude aumentada) também pode ocorrer, demonstrando a existência de sobrecarga atrial direita.</w:t>
      </w:r>
    </w:p>
    <w:p>
      <w:pPr>
        <w:pStyle w:val="BodyText"/>
        <w:spacing w:after="0" w:line="276" w:lineRule="auto"/>
        <w:sectPr>
          <w:pgSz w:w="11900" w:h="16840"/>
          <w:pgMar w:top="180" w:bottom="280" w:left="566" w:right="141"/>
        </w:sectPr>
      </w:pPr>
    </w:p>
    <w:p>
      <w:pPr>
        <w:pStyle w:val="Heading7"/>
        <w:spacing w:before="81"/>
      </w:pPr>
      <w:r>
        <w:rPr>
          <w:color w:val="242B67"/>
        </w:rPr>
        <w:t>Radiografia de </w:t>
      </w:r>
      <w:r>
        <w:rPr>
          <w:color w:val="242B67"/>
          <w:spacing w:val="-2"/>
        </w:rPr>
        <w:t>tórax</w:t>
      </w:r>
    </w:p>
    <w:p>
      <w:pPr>
        <w:pStyle w:val="BodyText"/>
        <w:spacing w:line="276" w:lineRule="auto" w:before="127"/>
        <w:ind w:right="497"/>
      </w:pPr>
      <w:r>
        <w:rPr/>
        <w:t>O VD e a artéria pulmonar geralmente encontram-se dilatados, embora sejam sinais inespecíficos. Os campos pulmonares podem estar normais ou apresentar as alterações consequentes à doença de base (no caso de pneumopatias crônicas). A</w:t>
      </w:r>
      <w:r>
        <w:rPr>
          <w:spacing w:val="-3"/>
        </w:rPr>
        <w:t> </w:t>
      </w:r>
      <w:r>
        <w:rPr/>
        <w:t>transparência</w:t>
      </w:r>
      <w:r>
        <w:rPr>
          <w:spacing w:val="-3"/>
        </w:rPr>
        <w:t> </w:t>
      </w:r>
      <w:r>
        <w:rPr/>
        <w:t>aos raios X</w:t>
      </w:r>
      <w:r>
        <w:rPr>
          <w:spacing w:val="-3"/>
        </w:rPr>
        <w:t> </w:t>
      </w:r>
      <w:r>
        <w:rPr/>
        <w:t>pode</w:t>
      </w:r>
      <w:r>
        <w:rPr>
          <w:spacing w:val="-3"/>
        </w:rPr>
        <w:t> </w:t>
      </w:r>
      <w:r>
        <w:rPr/>
        <w:t>ser maior na</w:t>
      </w:r>
      <w:r>
        <w:rPr>
          <w:spacing w:val="-3"/>
        </w:rPr>
        <w:t> </w:t>
      </w:r>
      <w:r>
        <w:rPr/>
        <w:t>região</w:t>
      </w:r>
      <w:r>
        <w:rPr>
          <w:spacing w:val="-1"/>
        </w:rPr>
        <w:t> </w:t>
      </w:r>
      <w:r>
        <w:rPr/>
        <w:t>periférica</w:t>
      </w:r>
      <w:r>
        <w:rPr>
          <w:spacing w:val="-3"/>
        </w:rPr>
        <w:t> </w:t>
      </w:r>
      <w:r>
        <w:rPr/>
        <w:t>dos pulmões nos casos de hipertensão pulmonar primária.</w:t>
      </w:r>
    </w:p>
    <w:p>
      <w:pPr>
        <w:pStyle w:val="BodyText"/>
        <w:spacing w:before="24"/>
        <w:ind w:left="0" w:firstLine="0"/>
        <w:jc w:val="left"/>
      </w:pPr>
    </w:p>
    <w:p>
      <w:pPr>
        <w:pStyle w:val="Heading7"/>
      </w:pPr>
      <w:r>
        <w:rPr>
          <w:color w:val="242B67"/>
          <w:spacing w:val="-2"/>
        </w:rPr>
        <w:t>Ecocardiografia</w:t>
      </w:r>
    </w:p>
    <w:p>
      <w:pPr>
        <w:pStyle w:val="BodyText"/>
        <w:spacing w:line="276" w:lineRule="auto" w:before="127"/>
        <w:ind w:right="494"/>
      </w:pPr>
      <w:r>
        <w:rPr/>
        <w:t>A</w:t>
      </w:r>
      <w:r>
        <w:rPr>
          <w:spacing w:val="-15"/>
        </w:rPr>
        <w:t> </w:t>
      </w:r>
      <w:r>
        <w:rPr/>
        <w:t>ecocardiografia</w:t>
      </w:r>
      <w:r>
        <w:rPr>
          <w:spacing w:val="-14"/>
        </w:rPr>
        <w:t> </w:t>
      </w:r>
      <w:r>
        <w:rPr/>
        <w:t>bidimensional</w:t>
      </w:r>
      <w:r>
        <w:rPr>
          <w:spacing w:val="-15"/>
        </w:rPr>
        <w:t> </w:t>
      </w:r>
      <w:r>
        <w:rPr/>
        <w:t>revela</w:t>
      </w:r>
      <w:r>
        <w:rPr>
          <w:spacing w:val="-14"/>
        </w:rPr>
        <w:t> </w:t>
      </w:r>
      <w:r>
        <w:rPr/>
        <w:t>dilatação</w:t>
      </w:r>
      <w:r>
        <w:rPr>
          <w:spacing w:val="-14"/>
        </w:rPr>
        <w:t> </w:t>
      </w:r>
      <w:r>
        <w:rPr/>
        <w:t>do</w:t>
      </w:r>
      <w:r>
        <w:rPr>
          <w:spacing w:val="-15"/>
        </w:rPr>
        <w:t> </w:t>
      </w:r>
      <w:r>
        <w:rPr/>
        <w:t>VD.</w:t>
      </w:r>
      <w:r>
        <w:rPr>
          <w:spacing w:val="-7"/>
        </w:rPr>
        <w:t> </w:t>
      </w:r>
      <w:r>
        <w:rPr/>
        <w:t>O</w:t>
      </w:r>
      <w:r>
        <w:rPr>
          <w:spacing w:val="-15"/>
        </w:rPr>
        <w:t> </w:t>
      </w:r>
      <w:r>
        <w:rPr/>
        <w:t>septo</w:t>
      </w:r>
      <w:r>
        <w:rPr>
          <w:spacing w:val="-13"/>
        </w:rPr>
        <w:t> </w:t>
      </w:r>
      <w:r>
        <w:rPr/>
        <w:t>interventricular</w:t>
      </w:r>
      <w:r>
        <w:rPr>
          <w:spacing w:val="-9"/>
        </w:rPr>
        <w:t> </w:t>
      </w:r>
      <w:r>
        <w:rPr/>
        <w:t>mostra</w:t>
      </w:r>
      <w:r>
        <w:rPr>
          <w:spacing w:val="-15"/>
        </w:rPr>
        <w:t> </w:t>
      </w:r>
      <w:r>
        <w:rPr/>
        <w:t>movimentação</w:t>
      </w:r>
      <w:r>
        <w:rPr>
          <w:spacing w:val="-13"/>
        </w:rPr>
        <w:t> </w:t>
      </w:r>
      <w:r>
        <w:rPr/>
        <w:t>anormal característica das sobrecargas volumétricas. Nos pacientes com hipertensão pulmonar, o exame revela hipertrofia ventricular direita. O</w:t>
      </w:r>
      <w:r>
        <w:rPr>
          <w:spacing w:val="-3"/>
        </w:rPr>
        <w:t> </w:t>
      </w:r>
      <w:r>
        <w:rPr/>
        <w:t>estudo com Doppler é</w:t>
      </w:r>
      <w:r>
        <w:rPr>
          <w:spacing w:val="-3"/>
        </w:rPr>
        <w:t> </w:t>
      </w:r>
      <w:r>
        <w:rPr/>
        <w:t>bastante</w:t>
      </w:r>
      <w:r>
        <w:rPr>
          <w:spacing w:val="-3"/>
        </w:rPr>
        <w:t> </w:t>
      </w:r>
      <w:r>
        <w:rPr/>
        <w:t>sensível na</w:t>
      </w:r>
      <w:r>
        <w:rPr>
          <w:spacing w:val="-3"/>
        </w:rPr>
        <w:t> </w:t>
      </w:r>
      <w:r>
        <w:rPr/>
        <w:t>detecção de</w:t>
      </w:r>
      <w:r>
        <w:rPr>
          <w:spacing w:val="-3"/>
        </w:rPr>
        <w:t> </w:t>
      </w:r>
      <w:r>
        <w:rPr/>
        <w:t>regurgitação pulmonar.</w:t>
      </w:r>
    </w:p>
    <w:p>
      <w:pPr>
        <w:pStyle w:val="BodyText"/>
        <w:spacing w:before="133"/>
        <w:ind w:left="0" w:firstLine="0"/>
        <w:jc w:val="left"/>
      </w:pPr>
    </w:p>
    <w:p>
      <w:pPr>
        <w:pStyle w:val="Heading5"/>
      </w:pPr>
      <w:r>
        <w:rPr>
          <w:color w:val="A26108"/>
        </w:rPr>
        <w:t>Tratamentos</w:t>
      </w:r>
      <w:r>
        <w:rPr>
          <w:color w:val="A26108"/>
          <w:spacing w:val="21"/>
        </w:rPr>
        <w:t> </w:t>
      </w:r>
      <w:r>
        <w:rPr>
          <w:color w:val="A26108"/>
        </w:rPr>
        <w:t>clínico</w:t>
      </w:r>
      <w:r>
        <w:rPr>
          <w:color w:val="A26108"/>
          <w:spacing w:val="21"/>
        </w:rPr>
        <w:t> </w:t>
      </w:r>
      <w:r>
        <w:rPr>
          <w:color w:val="A26108"/>
        </w:rPr>
        <w:t>e</w:t>
      </w:r>
      <w:r>
        <w:rPr>
          <w:color w:val="A26108"/>
          <w:spacing w:val="22"/>
        </w:rPr>
        <w:t> </w:t>
      </w:r>
      <w:r>
        <w:rPr>
          <w:color w:val="A26108"/>
          <w:spacing w:val="-2"/>
        </w:rPr>
        <w:t>cirúrgico</w:t>
      </w:r>
    </w:p>
    <w:p>
      <w:pPr>
        <w:pStyle w:val="BodyText"/>
        <w:spacing w:line="276" w:lineRule="auto" w:before="139"/>
        <w:jc w:val="left"/>
      </w:pPr>
      <w:r>
        <w:rPr/>
        <w:t>Geralmente,</w:t>
      </w:r>
      <w:r>
        <w:rPr>
          <w:spacing w:val="-1"/>
        </w:rPr>
        <w:t> </w:t>
      </w:r>
      <w:r>
        <w:rPr/>
        <w:t>a</w:t>
      </w:r>
      <w:r>
        <w:rPr>
          <w:spacing w:val="-11"/>
        </w:rPr>
        <w:t> </w:t>
      </w:r>
      <w:r>
        <w:rPr/>
        <w:t>regurgitação</w:t>
      </w:r>
      <w:r>
        <w:rPr>
          <w:spacing w:val="-8"/>
        </w:rPr>
        <w:t> </w:t>
      </w:r>
      <w:r>
        <w:rPr/>
        <w:t>pulmonar</w:t>
      </w:r>
      <w:r>
        <w:rPr>
          <w:spacing w:val="-3"/>
        </w:rPr>
        <w:t> </w:t>
      </w:r>
      <w:r>
        <w:rPr/>
        <w:t>é</w:t>
      </w:r>
      <w:r>
        <w:rPr>
          <w:spacing w:val="-11"/>
        </w:rPr>
        <w:t> </w:t>
      </w:r>
      <w:r>
        <w:rPr/>
        <w:t>bem</w:t>
      </w:r>
      <w:r>
        <w:rPr>
          <w:spacing w:val="-8"/>
        </w:rPr>
        <w:t> </w:t>
      </w:r>
      <w:r>
        <w:rPr/>
        <w:t>tolerada,</w:t>
      </w:r>
      <w:r>
        <w:rPr>
          <w:spacing w:val="-1"/>
        </w:rPr>
        <w:t> </w:t>
      </w:r>
      <w:r>
        <w:rPr/>
        <w:t>não</w:t>
      </w:r>
      <w:r>
        <w:rPr>
          <w:spacing w:val="-8"/>
        </w:rPr>
        <w:t> </w:t>
      </w:r>
      <w:r>
        <w:rPr/>
        <w:t>necessitando</w:t>
      </w:r>
      <w:r>
        <w:rPr>
          <w:spacing w:val="-8"/>
        </w:rPr>
        <w:t> </w:t>
      </w:r>
      <w:r>
        <w:rPr/>
        <w:t>de</w:t>
      </w:r>
      <w:r>
        <w:rPr>
          <w:spacing w:val="-11"/>
        </w:rPr>
        <w:t> </w:t>
      </w:r>
      <w:r>
        <w:rPr/>
        <w:t>tratamento</w:t>
      </w:r>
      <w:r>
        <w:rPr>
          <w:spacing w:val="-8"/>
        </w:rPr>
        <w:t> </w:t>
      </w:r>
      <w:r>
        <w:rPr/>
        <w:t>específico.</w:t>
      </w:r>
      <w:r>
        <w:rPr>
          <w:spacing w:val="-1"/>
        </w:rPr>
        <w:t> </w:t>
      </w:r>
      <w:r>
        <w:rPr/>
        <w:t>A</w:t>
      </w:r>
      <w:r>
        <w:rPr>
          <w:spacing w:val="-11"/>
        </w:rPr>
        <w:t> </w:t>
      </w:r>
      <w:r>
        <w:rPr/>
        <w:t>utilização</w:t>
      </w:r>
      <w:r>
        <w:rPr>
          <w:spacing w:val="-8"/>
        </w:rPr>
        <w:t> </w:t>
      </w:r>
      <w:r>
        <w:rPr/>
        <w:t>de medicamentos cardiotônicos pode</w:t>
      </w:r>
      <w:r>
        <w:rPr>
          <w:spacing w:val="-2"/>
        </w:rPr>
        <w:t> </w:t>
      </w:r>
      <w:r>
        <w:rPr/>
        <w:t>ser considerada</w:t>
      </w:r>
      <w:r>
        <w:rPr>
          <w:spacing w:val="-2"/>
        </w:rPr>
        <w:t> </w:t>
      </w:r>
      <w:r>
        <w:rPr/>
        <w:t>nos casos em que</w:t>
      </w:r>
      <w:r>
        <w:rPr>
          <w:spacing w:val="-2"/>
        </w:rPr>
        <w:t> </w:t>
      </w:r>
      <w:r>
        <w:rPr/>
        <w:t>ocorre</w:t>
      </w:r>
      <w:r>
        <w:rPr>
          <w:spacing w:val="-2"/>
        </w:rPr>
        <w:t> </w:t>
      </w:r>
      <w:r>
        <w:rPr/>
        <w:t>disfunção do VD.</w:t>
      </w:r>
    </w:p>
    <w:p>
      <w:pPr>
        <w:pStyle w:val="BodyText"/>
        <w:spacing w:line="276" w:lineRule="auto" w:before="48"/>
        <w:jc w:val="left"/>
      </w:pPr>
      <w:r>
        <w:rPr/>
        <w:t>A correção das</w:t>
      </w:r>
      <w:r>
        <w:rPr>
          <w:spacing w:val="24"/>
        </w:rPr>
        <w:t> </w:t>
      </w:r>
      <w:r>
        <w:rPr/>
        <w:t>condições</w:t>
      </w:r>
      <w:r>
        <w:rPr>
          <w:spacing w:val="24"/>
        </w:rPr>
        <w:t> </w:t>
      </w:r>
      <w:r>
        <w:rPr/>
        <w:t>primárias,</w:t>
      </w:r>
      <w:r>
        <w:rPr>
          <w:spacing w:val="24"/>
        </w:rPr>
        <w:t> </w:t>
      </w:r>
      <w:r>
        <w:rPr/>
        <w:t>quando possível,</w:t>
      </w:r>
      <w:r>
        <w:rPr>
          <w:spacing w:val="24"/>
        </w:rPr>
        <w:t> </w:t>
      </w:r>
      <w:r>
        <w:rPr/>
        <w:t>como na estenose mitral,</w:t>
      </w:r>
      <w:r>
        <w:rPr>
          <w:spacing w:val="24"/>
        </w:rPr>
        <w:t> </w:t>
      </w:r>
      <w:r>
        <w:rPr/>
        <w:t>costuma trazer</w:t>
      </w:r>
      <w:r>
        <w:rPr>
          <w:spacing w:val="22"/>
        </w:rPr>
        <w:t> </w:t>
      </w:r>
      <w:r>
        <w:rPr/>
        <w:t>benefícios</w:t>
      </w:r>
      <w:r>
        <w:rPr>
          <w:spacing w:val="24"/>
        </w:rPr>
        <w:t> </w:t>
      </w:r>
      <w:r>
        <w:rPr/>
        <w:t>ao paciente, melhorando a regurgitação pulmonar.</w:t>
      </w:r>
    </w:p>
    <w:p>
      <w:pPr>
        <w:pStyle w:val="BodyText"/>
        <w:spacing w:line="276" w:lineRule="auto" w:before="64"/>
        <w:jc w:val="left"/>
      </w:pPr>
      <w:r>
        <w:rPr/>
        <w:t>O</w:t>
      </w:r>
      <w:r>
        <w:rPr>
          <w:spacing w:val="35"/>
        </w:rPr>
        <w:t> </w:t>
      </w:r>
      <w:r>
        <w:rPr/>
        <w:t>tratamento</w:t>
      </w:r>
      <w:r>
        <w:rPr>
          <w:spacing w:val="38"/>
        </w:rPr>
        <w:t> </w:t>
      </w:r>
      <w:r>
        <w:rPr/>
        <w:t>cirúrgico</w:t>
      </w:r>
      <w:r>
        <w:rPr>
          <w:spacing w:val="38"/>
        </w:rPr>
        <w:t> </w:t>
      </w:r>
      <w:r>
        <w:rPr/>
        <w:t>da</w:t>
      </w:r>
      <w:r>
        <w:rPr>
          <w:spacing w:val="35"/>
        </w:rPr>
        <w:t> </w:t>
      </w:r>
      <w:r>
        <w:rPr/>
        <w:t>insuficiência</w:t>
      </w:r>
      <w:r>
        <w:rPr>
          <w:spacing w:val="35"/>
        </w:rPr>
        <w:t> </w:t>
      </w:r>
      <w:r>
        <w:rPr/>
        <w:t>pulmonar</w:t>
      </w:r>
      <w:r>
        <w:rPr>
          <w:spacing w:val="40"/>
        </w:rPr>
        <w:t> </w:t>
      </w:r>
      <w:r>
        <w:rPr/>
        <w:t>primária</w:t>
      </w:r>
      <w:r>
        <w:rPr>
          <w:spacing w:val="35"/>
        </w:rPr>
        <w:t> </w:t>
      </w:r>
      <w:r>
        <w:rPr/>
        <w:t>só</w:t>
      </w:r>
      <w:r>
        <w:rPr>
          <w:spacing w:val="38"/>
        </w:rPr>
        <w:t> </w:t>
      </w:r>
      <w:r>
        <w:rPr/>
        <w:t>é</w:t>
      </w:r>
      <w:r>
        <w:rPr>
          <w:spacing w:val="35"/>
        </w:rPr>
        <w:t> </w:t>
      </w:r>
      <w:r>
        <w:rPr/>
        <w:t>considerado</w:t>
      </w:r>
      <w:r>
        <w:rPr>
          <w:spacing w:val="38"/>
        </w:rPr>
        <w:t> </w:t>
      </w:r>
      <w:r>
        <w:rPr/>
        <w:t>ocasionalmente</w:t>
      </w:r>
      <w:r>
        <w:rPr>
          <w:spacing w:val="35"/>
        </w:rPr>
        <w:t> </w:t>
      </w:r>
      <w:r>
        <w:rPr/>
        <w:t>quando</w:t>
      </w:r>
      <w:r>
        <w:rPr>
          <w:spacing w:val="38"/>
        </w:rPr>
        <w:t> </w:t>
      </w:r>
      <w:r>
        <w:rPr/>
        <w:t>ela</w:t>
      </w:r>
      <w:r>
        <w:rPr>
          <w:spacing w:val="35"/>
        </w:rPr>
        <w:t> </w:t>
      </w:r>
      <w:r>
        <w:rPr/>
        <w:t>se associa à insuficiência ventricular direita. Nesses casos, pode ser indicada a substituição valvar.</w:t>
      </w:r>
    </w:p>
    <w:p>
      <w:pPr>
        <w:pStyle w:val="BodyText"/>
        <w:spacing w:before="186"/>
        <w:ind w:left="0" w:firstLine="0"/>
        <w:jc w:val="left"/>
      </w:pPr>
    </w:p>
    <w:p>
      <w:pPr>
        <w:pStyle w:val="Heading4"/>
      </w:pPr>
      <w:r>
        <w:rPr>
          <w:color w:val="242B67"/>
        </w:rPr>
        <w:t>Valvopatias </w:t>
      </w:r>
      <w:r>
        <w:rPr>
          <w:color w:val="242B67"/>
          <w:spacing w:val="-2"/>
        </w:rPr>
        <w:t>associadas</w:t>
      </w:r>
    </w:p>
    <w:p>
      <w:pPr>
        <w:pStyle w:val="BodyText"/>
        <w:spacing w:line="276" w:lineRule="auto" w:before="132"/>
        <w:ind w:right="488"/>
      </w:pPr>
      <w:r>
        <w:rPr/>
        <w:t>O</w:t>
      </w:r>
      <w:r>
        <w:rPr>
          <w:spacing w:val="-2"/>
        </w:rPr>
        <w:t> </w:t>
      </w:r>
      <w:r>
        <w:rPr/>
        <w:t>fato de</w:t>
      </w:r>
      <w:r>
        <w:rPr>
          <w:spacing w:val="-2"/>
        </w:rPr>
        <w:t> </w:t>
      </w:r>
      <w:r>
        <w:rPr/>
        <w:t>as lesões valvares poderem afetar mais de</w:t>
      </w:r>
      <w:r>
        <w:rPr>
          <w:spacing w:val="-2"/>
        </w:rPr>
        <w:t> </w:t>
      </w:r>
      <w:r>
        <w:rPr/>
        <w:t>uma</w:t>
      </w:r>
      <w:r>
        <w:rPr>
          <w:spacing w:val="-2"/>
        </w:rPr>
        <w:t> </w:t>
      </w:r>
      <w:r>
        <w:rPr/>
        <w:t>valva, bem como causar, em cada</w:t>
      </w:r>
      <w:r>
        <w:rPr>
          <w:spacing w:val="-2"/>
        </w:rPr>
        <w:t> </w:t>
      </w:r>
      <w:r>
        <w:rPr/>
        <w:t>uma</w:t>
      </w:r>
      <w:r>
        <w:rPr>
          <w:spacing w:val="-2"/>
        </w:rPr>
        <w:t> </w:t>
      </w:r>
      <w:r>
        <w:rPr/>
        <w:t>delas, mais de um tipo de lesão – estenose, insuficiência ou dupla lesão –, resulta em quadros clínicos variados. Estes dependem do</w:t>
      </w:r>
      <w:r>
        <w:rPr>
          <w:spacing w:val="-5"/>
        </w:rPr>
        <w:t> </w:t>
      </w:r>
      <w:r>
        <w:rPr/>
        <w:t>tipo</w:t>
      </w:r>
      <w:r>
        <w:rPr>
          <w:spacing w:val="-5"/>
        </w:rPr>
        <w:t> </w:t>
      </w:r>
      <w:r>
        <w:rPr/>
        <w:t>de</w:t>
      </w:r>
      <w:r>
        <w:rPr>
          <w:spacing w:val="-7"/>
        </w:rPr>
        <w:t> </w:t>
      </w:r>
      <w:r>
        <w:rPr/>
        <w:t>lesão</w:t>
      </w:r>
      <w:r>
        <w:rPr>
          <w:spacing w:val="-5"/>
        </w:rPr>
        <w:t> </w:t>
      </w:r>
      <w:r>
        <w:rPr/>
        <w:t>preponderante, da</w:t>
      </w:r>
      <w:r>
        <w:rPr>
          <w:spacing w:val="-7"/>
        </w:rPr>
        <w:t> </w:t>
      </w:r>
      <w:r>
        <w:rPr/>
        <w:t>gravidade</w:t>
      </w:r>
      <w:r>
        <w:rPr>
          <w:spacing w:val="-7"/>
        </w:rPr>
        <w:t> </w:t>
      </w:r>
      <w:r>
        <w:rPr/>
        <w:t>de</w:t>
      </w:r>
      <w:r>
        <w:rPr>
          <w:spacing w:val="-7"/>
        </w:rPr>
        <w:t> </w:t>
      </w:r>
      <w:r>
        <w:rPr/>
        <w:t>cada</w:t>
      </w:r>
      <w:r>
        <w:rPr>
          <w:spacing w:val="-7"/>
        </w:rPr>
        <w:t> </w:t>
      </w:r>
      <w:r>
        <w:rPr/>
        <w:t>uma</w:t>
      </w:r>
      <w:r>
        <w:rPr>
          <w:spacing w:val="-7"/>
        </w:rPr>
        <w:t> </w:t>
      </w:r>
      <w:r>
        <w:rPr/>
        <w:t>delas e</w:t>
      </w:r>
      <w:r>
        <w:rPr>
          <w:spacing w:val="-7"/>
        </w:rPr>
        <w:t> </w:t>
      </w:r>
      <w:r>
        <w:rPr/>
        <w:t>também</w:t>
      </w:r>
      <w:r>
        <w:rPr>
          <w:spacing w:val="-5"/>
        </w:rPr>
        <w:t> </w:t>
      </w:r>
      <w:r>
        <w:rPr/>
        <w:t>de</w:t>
      </w:r>
      <w:r>
        <w:rPr>
          <w:spacing w:val="-7"/>
        </w:rPr>
        <w:t> </w:t>
      </w:r>
      <w:r>
        <w:rPr/>
        <w:t>quais sejam</w:t>
      </w:r>
      <w:r>
        <w:rPr>
          <w:spacing w:val="-5"/>
        </w:rPr>
        <w:t> </w:t>
      </w:r>
      <w:r>
        <w:rPr/>
        <w:t>as valvas comprometidas. Considerando-se que temos quatro valvas cardíacas, que cada uma delas pode se encontrar em quatro situações diferentes, calcula-se que existem 255 possibilidades de associações, podendo cada uma delas apresentar manifestações clínicas diferentes.</w:t>
      </w:r>
    </w:p>
    <w:p>
      <w:pPr>
        <w:pStyle w:val="BodyText"/>
        <w:spacing w:before="134"/>
        <w:ind w:left="0" w:firstLine="0"/>
        <w:jc w:val="left"/>
      </w:pPr>
    </w:p>
    <w:p>
      <w:pPr>
        <w:pStyle w:val="Heading5"/>
      </w:pPr>
      <w:r>
        <w:rPr>
          <w:color w:val="A26108"/>
        </w:rPr>
        <w:t>Dupla</w:t>
      </w:r>
      <w:r>
        <w:rPr>
          <w:color w:val="A26108"/>
          <w:spacing w:val="18"/>
        </w:rPr>
        <w:t> </w:t>
      </w:r>
      <w:r>
        <w:rPr>
          <w:color w:val="A26108"/>
        </w:rPr>
        <w:t>lesão</w:t>
      </w:r>
      <w:r>
        <w:rPr>
          <w:color w:val="A26108"/>
          <w:spacing w:val="18"/>
        </w:rPr>
        <w:t> </w:t>
      </w:r>
      <w:r>
        <w:rPr>
          <w:color w:val="A26108"/>
          <w:spacing w:val="-2"/>
        </w:rPr>
        <w:t>valvar</w:t>
      </w:r>
    </w:p>
    <w:p>
      <w:pPr>
        <w:pStyle w:val="BodyText"/>
        <w:spacing w:line="276" w:lineRule="auto" w:before="138"/>
        <w:jc w:val="left"/>
      </w:pPr>
      <w:r>
        <w:rPr/>
        <w:t>Dupla lesão valvar é a associação de estenose e insuficiência em uma mesma valva. Pode ocorrer por alteração anatômica, funcional ou ainda como sequela do tratamento invasivo.</w:t>
      </w:r>
    </w:p>
    <w:p>
      <w:pPr>
        <w:pStyle w:val="BodyText"/>
        <w:spacing w:before="24"/>
        <w:ind w:left="0" w:firstLine="0"/>
        <w:jc w:val="left"/>
      </w:pPr>
    </w:p>
    <w:p>
      <w:pPr>
        <w:pStyle w:val="Heading7"/>
      </w:pPr>
      <w:r>
        <w:rPr>
          <w:color w:val="242B67"/>
        </w:rPr>
        <w:t>Alteração </w:t>
      </w:r>
      <w:r>
        <w:rPr>
          <w:color w:val="242B67"/>
          <w:spacing w:val="-2"/>
        </w:rPr>
        <w:t>anatômica</w:t>
      </w:r>
    </w:p>
    <w:p>
      <w:pPr>
        <w:pStyle w:val="BodyText"/>
        <w:spacing w:line="276" w:lineRule="auto" w:before="127"/>
        <w:ind w:right="491"/>
      </w:pPr>
      <w:r>
        <w:rPr/>
        <w:t>O próprio comprometimento valvar pode acarretar concomitantemente a insuficiência e a estenose, como no caso</w:t>
      </w:r>
      <w:r>
        <w:rPr>
          <w:spacing w:val="-7"/>
        </w:rPr>
        <w:t> </w:t>
      </w:r>
      <w:r>
        <w:rPr/>
        <w:t>da</w:t>
      </w:r>
      <w:r>
        <w:rPr>
          <w:spacing w:val="-10"/>
        </w:rPr>
        <w:t> </w:t>
      </w:r>
      <w:r>
        <w:rPr/>
        <w:t>fibrose</w:t>
      </w:r>
      <w:r>
        <w:rPr>
          <w:spacing w:val="-10"/>
        </w:rPr>
        <w:t> </w:t>
      </w:r>
      <w:r>
        <w:rPr/>
        <w:t>causada</w:t>
      </w:r>
      <w:r>
        <w:rPr>
          <w:spacing w:val="-10"/>
        </w:rPr>
        <w:t> </w:t>
      </w:r>
      <w:r>
        <w:rPr/>
        <w:t>pela</w:t>
      </w:r>
      <w:r>
        <w:rPr>
          <w:spacing w:val="-10"/>
        </w:rPr>
        <w:t> </w:t>
      </w:r>
      <w:r>
        <w:rPr/>
        <w:t>doença</w:t>
      </w:r>
      <w:r>
        <w:rPr>
          <w:spacing w:val="-10"/>
        </w:rPr>
        <w:t> </w:t>
      </w:r>
      <w:r>
        <w:rPr/>
        <w:t>reumática, ou</w:t>
      </w:r>
      <w:r>
        <w:rPr>
          <w:spacing w:val="-7"/>
        </w:rPr>
        <w:t> </w:t>
      </w:r>
      <w:r>
        <w:rPr/>
        <w:t>da</w:t>
      </w:r>
      <w:r>
        <w:rPr>
          <w:spacing w:val="-10"/>
        </w:rPr>
        <w:t> </w:t>
      </w:r>
      <w:r>
        <w:rPr/>
        <w:t>calcificação</w:t>
      </w:r>
      <w:r>
        <w:rPr>
          <w:spacing w:val="-7"/>
        </w:rPr>
        <w:t> </w:t>
      </w:r>
      <w:r>
        <w:rPr/>
        <w:t>que</w:t>
      </w:r>
      <w:r>
        <w:rPr>
          <w:spacing w:val="-10"/>
        </w:rPr>
        <w:t> </w:t>
      </w:r>
      <w:r>
        <w:rPr/>
        <w:t>se</w:t>
      </w:r>
      <w:r>
        <w:rPr>
          <w:spacing w:val="-10"/>
        </w:rPr>
        <w:t> </w:t>
      </w:r>
      <w:r>
        <w:rPr/>
        <w:t>desenvolve</w:t>
      </w:r>
      <w:r>
        <w:rPr>
          <w:spacing w:val="-10"/>
        </w:rPr>
        <w:t> </w:t>
      </w:r>
      <w:r>
        <w:rPr/>
        <w:t>nos idosos. A</w:t>
      </w:r>
      <w:r>
        <w:rPr>
          <w:spacing w:val="-10"/>
        </w:rPr>
        <w:t> </w:t>
      </w:r>
      <w:r>
        <w:rPr/>
        <w:t>imobilização</w:t>
      </w:r>
      <w:r>
        <w:rPr>
          <w:spacing w:val="-7"/>
        </w:rPr>
        <w:t> </w:t>
      </w:r>
      <w:r>
        <w:rPr/>
        <w:t>dos folhetos faz com que o orifício quase seja fixo tanto na sístole como na diástole.</w:t>
      </w:r>
    </w:p>
    <w:p>
      <w:pPr>
        <w:pStyle w:val="BodyText"/>
        <w:spacing w:before="8"/>
        <w:ind w:left="0" w:firstLine="0"/>
        <w:jc w:val="left"/>
      </w:pPr>
    </w:p>
    <w:p>
      <w:pPr>
        <w:pStyle w:val="Heading7"/>
      </w:pPr>
      <w:r>
        <w:rPr>
          <w:color w:val="242B67"/>
        </w:rPr>
        <w:t>Alteração </w:t>
      </w:r>
      <w:r>
        <w:rPr>
          <w:color w:val="242B67"/>
          <w:spacing w:val="-2"/>
        </w:rPr>
        <w:t>funcional</w:t>
      </w:r>
    </w:p>
    <w:p>
      <w:pPr>
        <w:pStyle w:val="BodyText"/>
        <w:spacing w:line="276" w:lineRule="auto" w:before="142"/>
        <w:ind w:right="497"/>
      </w:pPr>
      <w:r>
        <w:rPr/>
        <w:t>É muito frequente e ocorre quando uma das lesões é determinada por disfunção transitória, ou seja, por exemplo, uma</w:t>
      </w:r>
      <w:r>
        <w:rPr>
          <w:spacing w:val="-10"/>
        </w:rPr>
        <w:t> </w:t>
      </w:r>
      <w:r>
        <w:rPr/>
        <w:t>insuficiência</w:t>
      </w:r>
      <w:r>
        <w:rPr>
          <w:spacing w:val="-10"/>
        </w:rPr>
        <w:t> </w:t>
      </w:r>
      <w:r>
        <w:rPr/>
        <w:t>mitral</w:t>
      </w:r>
      <w:r>
        <w:rPr>
          <w:spacing w:val="-5"/>
        </w:rPr>
        <w:t> </w:t>
      </w:r>
      <w:r>
        <w:rPr/>
        <w:t>pode</w:t>
      </w:r>
      <w:r>
        <w:rPr>
          <w:spacing w:val="-10"/>
        </w:rPr>
        <w:t> </w:t>
      </w:r>
      <w:r>
        <w:rPr/>
        <w:t>ser</w:t>
      </w:r>
      <w:r>
        <w:rPr>
          <w:spacing w:val="-2"/>
        </w:rPr>
        <w:t> </w:t>
      </w:r>
      <w:r>
        <w:rPr/>
        <w:t>tão</w:t>
      </w:r>
      <w:r>
        <w:rPr>
          <w:spacing w:val="-7"/>
        </w:rPr>
        <w:t> </w:t>
      </w:r>
      <w:r>
        <w:rPr/>
        <w:t>importante, acumulando</w:t>
      </w:r>
      <w:r>
        <w:rPr>
          <w:spacing w:val="-7"/>
        </w:rPr>
        <w:t> </w:t>
      </w:r>
      <w:r>
        <w:rPr/>
        <w:t>tanto</w:t>
      </w:r>
      <w:r>
        <w:rPr>
          <w:spacing w:val="-7"/>
        </w:rPr>
        <w:t> </w:t>
      </w:r>
      <w:r>
        <w:rPr/>
        <w:t>sangue</w:t>
      </w:r>
      <w:r>
        <w:rPr>
          <w:spacing w:val="-10"/>
        </w:rPr>
        <w:t> </w:t>
      </w:r>
      <w:r>
        <w:rPr/>
        <w:t>no</w:t>
      </w:r>
      <w:r>
        <w:rPr>
          <w:spacing w:val="-7"/>
        </w:rPr>
        <w:t> </w:t>
      </w:r>
      <w:r>
        <w:rPr/>
        <w:t>átrio</w:t>
      </w:r>
      <w:r>
        <w:rPr>
          <w:spacing w:val="-7"/>
        </w:rPr>
        <w:t> </w:t>
      </w:r>
      <w:r>
        <w:rPr/>
        <w:t>esquerdo</w:t>
      </w:r>
      <w:r>
        <w:rPr>
          <w:spacing w:val="-7"/>
        </w:rPr>
        <w:t> </w:t>
      </w:r>
      <w:r>
        <w:rPr/>
        <w:t>que, durante a</w:t>
      </w:r>
      <w:r>
        <w:rPr>
          <w:spacing w:val="-3"/>
        </w:rPr>
        <w:t> </w:t>
      </w:r>
      <w:r>
        <w:rPr/>
        <w:t>diástole, quando o átrio deve</w:t>
      </w:r>
      <w:r>
        <w:rPr>
          <w:spacing w:val="-3"/>
        </w:rPr>
        <w:t> </w:t>
      </w:r>
      <w:r>
        <w:rPr/>
        <w:t>se</w:t>
      </w:r>
      <w:r>
        <w:rPr>
          <w:spacing w:val="-3"/>
        </w:rPr>
        <w:t> </w:t>
      </w:r>
      <w:r>
        <w:rPr/>
        <w:t>esvaziar, o fluxo encontra</w:t>
      </w:r>
      <w:r>
        <w:rPr>
          <w:spacing w:val="-3"/>
        </w:rPr>
        <w:t> </w:t>
      </w:r>
      <w:r>
        <w:rPr/>
        <w:t>uma</w:t>
      </w:r>
      <w:r>
        <w:rPr>
          <w:spacing w:val="-3"/>
        </w:rPr>
        <w:t> </w:t>
      </w:r>
      <w:r>
        <w:rPr/>
        <w:t>resistência</w:t>
      </w:r>
      <w:r>
        <w:rPr>
          <w:spacing w:val="-3"/>
        </w:rPr>
        <w:t> </w:t>
      </w:r>
      <w:r>
        <w:rPr/>
        <w:t>relativa, ou seja, há</w:t>
      </w:r>
      <w:r>
        <w:rPr>
          <w:spacing w:val="-3"/>
        </w:rPr>
        <w:t> </w:t>
      </w:r>
      <w:r>
        <w:rPr/>
        <w:t>uma</w:t>
      </w:r>
      <w:r>
        <w:rPr>
          <w:spacing w:val="-3"/>
        </w:rPr>
        <w:t> </w:t>
      </w:r>
      <w:r>
        <w:rPr/>
        <w:t>desproporção em relação à área valvar. O mesmo pode ocorrer em relação à insuficiência funcional quando, no caso da valva mitral, o VE se dilata, por exemplo, durante um surto de atividade reumática e na EAo, por exemplo, em um hipertenso que tenha a aorta dilatada. Existem inúmeras situações.</w:t>
      </w:r>
    </w:p>
    <w:p>
      <w:pPr>
        <w:pStyle w:val="BodyText"/>
        <w:spacing w:before="9"/>
        <w:ind w:left="0" w:firstLine="0"/>
        <w:jc w:val="left"/>
      </w:pPr>
    </w:p>
    <w:p>
      <w:pPr>
        <w:pStyle w:val="Heading7"/>
      </w:pPr>
      <w:r>
        <w:rPr>
          <w:color w:val="242B67"/>
          <w:spacing w:val="-2"/>
        </w:rPr>
        <w:t>Iatrogenia</w:t>
      </w:r>
    </w:p>
    <w:p>
      <w:pPr>
        <w:pStyle w:val="BodyText"/>
        <w:spacing w:line="276" w:lineRule="auto" w:before="143"/>
        <w:ind w:right="488"/>
      </w:pPr>
      <w:r>
        <w:rPr/>
        <w:t>A sequela do tratamento invasivo é frequente, ou seja, a dilatação de uma valva estenosada pode levar à insuficiência</w:t>
      </w:r>
      <w:r>
        <w:rPr>
          <w:spacing w:val="-7"/>
        </w:rPr>
        <w:t> </w:t>
      </w:r>
      <w:r>
        <w:rPr/>
        <w:t>e, mais raramente, pode</w:t>
      </w:r>
      <w:r>
        <w:rPr>
          <w:spacing w:val="-7"/>
        </w:rPr>
        <w:t> </w:t>
      </w:r>
      <w:r>
        <w:rPr/>
        <w:t>ocorrer o</w:t>
      </w:r>
      <w:r>
        <w:rPr>
          <w:spacing w:val="-4"/>
        </w:rPr>
        <w:t> </w:t>
      </w:r>
      <w:r>
        <w:rPr/>
        <w:t>contrário, ou</w:t>
      </w:r>
      <w:r>
        <w:rPr>
          <w:spacing w:val="-4"/>
        </w:rPr>
        <w:t> </w:t>
      </w:r>
      <w:r>
        <w:rPr/>
        <w:t>seja, a</w:t>
      </w:r>
      <w:r>
        <w:rPr>
          <w:spacing w:val="-7"/>
        </w:rPr>
        <w:t> </w:t>
      </w:r>
      <w:r>
        <w:rPr/>
        <w:t>restauração</w:t>
      </w:r>
      <w:r>
        <w:rPr>
          <w:spacing w:val="-4"/>
        </w:rPr>
        <w:t> </w:t>
      </w:r>
      <w:r>
        <w:rPr/>
        <w:t>de</w:t>
      </w:r>
      <w:r>
        <w:rPr>
          <w:spacing w:val="-7"/>
        </w:rPr>
        <w:t> </w:t>
      </w:r>
      <w:r>
        <w:rPr/>
        <w:t>uma</w:t>
      </w:r>
      <w:r>
        <w:rPr>
          <w:spacing w:val="-7"/>
        </w:rPr>
        <w:t> </w:t>
      </w:r>
      <w:r>
        <w:rPr/>
        <w:t>valva</w:t>
      </w:r>
      <w:r>
        <w:rPr>
          <w:spacing w:val="-7"/>
        </w:rPr>
        <w:t> </w:t>
      </w:r>
      <w:r>
        <w:rPr/>
        <w:t>insuficiente</w:t>
      </w:r>
      <w:r>
        <w:rPr>
          <w:spacing w:val="-7"/>
        </w:rPr>
        <w:t> </w:t>
      </w:r>
      <w:r>
        <w:rPr/>
        <w:t>ficar com discreta estenose.</w:t>
      </w:r>
      <w:r>
        <w:rPr>
          <w:spacing w:val="16"/>
        </w:rPr>
        <w:t> </w:t>
      </w:r>
      <w:r>
        <w:rPr/>
        <w:t>Isso ocorre com maior frequência nos</w:t>
      </w:r>
      <w:r>
        <w:rPr>
          <w:spacing w:val="16"/>
        </w:rPr>
        <w:t> </w:t>
      </w:r>
      <w:r>
        <w:rPr/>
        <w:t>implantes</w:t>
      </w:r>
      <w:r>
        <w:rPr>
          <w:spacing w:val="16"/>
        </w:rPr>
        <w:t> </w:t>
      </w:r>
      <w:r>
        <w:rPr/>
        <w:t>valvares</w:t>
      </w:r>
      <w:r>
        <w:rPr>
          <w:spacing w:val="16"/>
        </w:rPr>
        <w:t> </w:t>
      </w:r>
      <w:r>
        <w:rPr/>
        <w:t>porque nem sempre as</w:t>
      </w:r>
      <w:r>
        <w:rPr>
          <w:spacing w:val="16"/>
        </w:rPr>
        <w:t> </w:t>
      </w:r>
      <w:r>
        <w:rPr/>
        <w:t>próteses</w:t>
      </w:r>
      <w:r>
        <w:rPr>
          <w:spacing w:val="16"/>
        </w:rPr>
        <w:t> </w:t>
      </w:r>
      <w:r>
        <w:rPr/>
        <w:t>têm o</w:t>
      </w:r>
    </w:p>
    <w:p>
      <w:pPr>
        <w:pStyle w:val="BodyText"/>
        <w:spacing w:after="0" w:line="276" w:lineRule="auto"/>
        <w:sectPr>
          <w:pgSz w:w="11900" w:h="16840"/>
          <w:pgMar w:top="180" w:bottom="0" w:left="566" w:right="141"/>
        </w:sectPr>
      </w:pPr>
    </w:p>
    <w:p>
      <w:pPr>
        <w:pStyle w:val="BodyText"/>
        <w:spacing w:line="268" w:lineRule="auto" w:before="67"/>
        <w:ind w:right="497" w:firstLine="0"/>
      </w:pPr>
      <w:r>
        <w:rPr/>
        <w:t>tamanho idêntico ao das valvas naturais e, geralmente, tornam-se estenóticas. Assim, há vários mecanismos que levam uma valva a se apresentar com dupla lesão.</w:t>
      </w:r>
    </w:p>
    <w:p>
      <w:pPr>
        <w:pStyle w:val="BodyText"/>
        <w:spacing w:line="276" w:lineRule="auto" w:before="74"/>
        <w:ind w:right="488"/>
      </w:pPr>
      <w:r>
        <w:rPr/>
        <w:t>A manifestação clínica será, de início, a da lesão predominante, podendo obviamente apresentar-se de maneira muito diversificada.</w:t>
      </w:r>
    </w:p>
    <w:p>
      <w:pPr>
        <w:pStyle w:val="BodyText"/>
        <w:spacing w:line="276" w:lineRule="auto" w:before="48"/>
        <w:ind w:right="500"/>
      </w:pPr>
      <w:r>
        <w:rPr/>
        <w:t>O tratamento das duplas lesões segue o mesmo princípio das lesões isoladas; só é preciso ter em mente que os procedimentos reparadores conservativos nem sempre têm o devido êxito e, com maior frequência, os substitutos valvares são necessários.</w:t>
      </w:r>
    </w:p>
    <w:p>
      <w:pPr>
        <w:pStyle w:val="BodyText"/>
        <w:spacing w:before="134"/>
        <w:ind w:left="0" w:firstLine="0"/>
        <w:jc w:val="left"/>
      </w:pPr>
    </w:p>
    <w:p>
      <w:pPr>
        <w:pStyle w:val="Heading5"/>
      </w:pPr>
      <w:r>
        <w:rPr>
          <w:color w:val="A26108"/>
        </w:rPr>
        <w:t>Lesões</w:t>
      </w:r>
      <w:r>
        <w:rPr>
          <w:color w:val="A26108"/>
          <w:spacing w:val="22"/>
        </w:rPr>
        <w:t> </w:t>
      </w:r>
      <w:r>
        <w:rPr>
          <w:color w:val="A26108"/>
          <w:spacing w:val="-2"/>
        </w:rPr>
        <w:t>multivalvares</w:t>
      </w:r>
    </w:p>
    <w:p>
      <w:pPr>
        <w:pStyle w:val="BodyText"/>
        <w:spacing w:line="276" w:lineRule="auto" w:before="138"/>
        <w:ind w:right="488"/>
      </w:pPr>
      <w:r>
        <w:rPr/>
        <w:t>O comprometimento associado de mais de uma valva se deve à etiologia de acometimento mais amplo e/ou à própria evolução hemodinâmica abrangendo as outras valvas. O quadro clínico é muito variado, dependendo da gravidade de cada lesão; entretanto, se o comprometimento for igual, de um modo geral, as manifestações clínicas serão produzidas pela valva mais proximal. Assim, pacientes mitroaórticos apresentam manifestação de valva mitral, mitrotricúspide, da tricúspide.</w:t>
      </w:r>
    </w:p>
    <w:p>
      <w:pPr>
        <w:pStyle w:val="BodyText"/>
        <w:spacing w:before="8"/>
        <w:ind w:left="0" w:firstLine="0"/>
        <w:jc w:val="left"/>
      </w:pPr>
    </w:p>
    <w:p>
      <w:pPr>
        <w:pStyle w:val="Heading7"/>
        <w:spacing w:before="1"/>
      </w:pPr>
      <w:r>
        <w:rPr>
          <w:color w:val="242B67"/>
        </w:rPr>
        <w:t>Quanto à </w:t>
      </w:r>
      <w:r>
        <w:rPr>
          <w:color w:val="242B67"/>
          <w:spacing w:val="-2"/>
        </w:rPr>
        <w:t>etiologia</w:t>
      </w:r>
    </w:p>
    <w:p>
      <w:pPr>
        <w:pStyle w:val="BodyText"/>
        <w:spacing w:line="276" w:lineRule="auto" w:before="142"/>
        <w:ind w:right="491"/>
      </w:pPr>
      <w:r>
        <w:rPr/>
        <w:t>Em nosso meio, a maioria das valvopatias é o resultado da cardiopatia reumática. Esta, por sua vez, acomete o coração</w:t>
      </w:r>
      <w:r>
        <w:rPr>
          <w:spacing w:val="-6"/>
        </w:rPr>
        <w:t> </w:t>
      </w:r>
      <w:r>
        <w:rPr/>
        <w:t>como</w:t>
      </w:r>
      <w:r>
        <w:rPr>
          <w:spacing w:val="-6"/>
        </w:rPr>
        <w:t> </w:t>
      </w:r>
      <w:r>
        <w:rPr/>
        <w:t>um</w:t>
      </w:r>
      <w:r>
        <w:rPr>
          <w:spacing w:val="-6"/>
        </w:rPr>
        <w:t> </w:t>
      </w:r>
      <w:r>
        <w:rPr/>
        <w:t>todo, lesando</w:t>
      </w:r>
      <w:r>
        <w:rPr>
          <w:spacing w:val="-6"/>
        </w:rPr>
        <w:t> </w:t>
      </w:r>
      <w:r>
        <w:rPr/>
        <w:t>com</w:t>
      </w:r>
      <w:r>
        <w:rPr>
          <w:spacing w:val="-6"/>
        </w:rPr>
        <w:t> </w:t>
      </w:r>
      <w:r>
        <w:rPr/>
        <w:t>maior</w:t>
      </w:r>
      <w:r>
        <w:rPr>
          <w:spacing w:val="-1"/>
        </w:rPr>
        <w:t> </w:t>
      </w:r>
      <w:r>
        <w:rPr/>
        <w:t>frequência</w:t>
      </w:r>
      <w:r>
        <w:rPr>
          <w:spacing w:val="-9"/>
        </w:rPr>
        <w:t> </w:t>
      </w:r>
      <w:r>
        <w:rPr/>
        <w:t>a</w:t>
      </w:r>
      <w:r>
        <w:rPr>
          <w:spacing w:val="-9"/>
        </w:rPr>
        <w:t> </w:t>
      </w:r>
      <w:r>
        <w:rPr/>
        <w:t>valva</w:t>
      </w:r>
      <w:r>
        <w:rPr>
          <w:spacing w:val="-9"/>
        </w:rPr>
        <w:t> </w:t>
      </w:r>
      <w:r>
        <w:rPr/>
        <w:t>mitral, depois a</w:t>
      </w:r>
      <w:r>
        <w:rPr>
          <w:spacing w:val="-9"/>
        </w:rPr>
        <w:t> </w:t>
      </w:r>
      <w:r>
        <w:rPr/>
        <w:t>aórtica</w:t>
      </w:r>
      <w:r>
        <w:rPr>
          <w:spacing w:val="-9"/>
        </w:rPr>
        <w:t> </w:t>
      </w:r>
      <w:r>
        <w:rPr/>
        <w:t>e</w:t>
      </w:r>
      <w:r>
        <w:rPr>
          <w:spacing w:val="-9"/>
        </w:rPr>
        <w:t> </w:t>
      </w:r>
      <w:r>
        <w:rPr/>
        <w:t>mais raramente</w:t>
      </w:r>
      <w:r>
        <w:rPr>
          <w:spacing w:val="-9"/>
        </w:rPr>
        <w:t> </w:t>
      </w:r>
      <w:r>
        <w:rPr/>
        <w:t>a</w:t>
      </w:r>
      <w:r>
        <w:rPr>
          <w:spacing w:val="-9"/>
        </w:rPr>
        <w:t> </w:t>
      </w:r>
      <w:r>
        <w:rPr/>
        <w:t>tricúspide. Na maioria dos casos de doença reumática, há comprometimento mitroaórtico. A endocardite infecciosa também pode acometer mais de uma valva. Inicia-se em uma valva já lesada, mas pode propagar-se para outras. A calcificação</w:t>
      </w:r>
      <w:r>
        <w:rPr>
          <w:spacing w:val="-5"/>
        </w:rPr>
        <w:t> </w:t>
      </w:r>
      <w:r>
        <w:rPr/>
        <w:t>em</w:t>
      </w:r>
      <w:r>
        <w:rPr>
          <w:spacing w:val="-5"/>
        </w:rPr>
        <w:t> </w:t>
      </w:r>
      <w:r>
        <w:rPr/>
        <w:t>idosos também</w:t>
      </w:r>
      <w:r>
        <w:rPr>
          <w:spacing w:val="-5"/>
        </w:rPr>
        <w:t> </w:t>
      </w:r>
      <w:r>
        <w:rPr/>
        <w:t>se</w:t>
      </w:r>
      <w:r>
        <w:rPr>
          <w:spacing w:val="-8"/>
        </w:rPr>
        <w:t> </w:t>
      </w:r>
      <w:r>
        <w:rPr/>
        <w:t>inicia</w:t>
      </w:r>
      <w:r>
        <w:rPr>
          <w:spacing w:val="-8"/>
        </w:rPr>
        <w:t> </w:t>
      </w:r>
      <w:r>
        <w:rPr/>
        <w:t>em</w:t>
      </w:r>
      <w:r>
        <w:rPr>
          <w:spacing w:val="-5"/>
        </w:rPr>
        <w:t> </w:t>
      </w:r>
      <w:r>
        <w:rPr/>
        <w:t>uma</w:t>
      </w:r>
      <w:r>
        <w:rPr>
          <w:spacing w:val="-8"/>
        </w:rPr>
        <w:t> </w:t>
      </w:r>
      <w:r>
        <w:rPr/>
        <w:t>valva</w:t>
      </w:r>
      <w:r>
        <w:rPr>
          <w:spacing w:val="-8"/>
        </w:rPr>
        <w:t> </w:t>
      </w:r>
      <w:r>
        <w:rPr/>
        <w:t>já</w:t>
      </w:r>
      <w:r>
        <w:rPr>
          <w:spacing w:val="-8"/>
        </w:rPr>
        <w:t> </w:t>
      </w:r>
      <w:r>
        <w:rPr/>
        <w:t>lesada, ou</w:t>
      </w:r>
      <w:r>
        <w:rPr>
          <w:spacing w:val="-5"/>
        </w:rPr>
        <w:t> </w:t>
      </w:r>
      <w:r>
        <w:rPr/>
        <w:t>mesmo</w:t>
      </w:r>
      <w:r>
        <w:rPr>
          <w:spacing w:val="-5"/>
        </w:rPr>
        <w:t> </w:t>
      </w:r>
      <w:r>
        <w:rPr/>
        <w:t>normal, que</w:t>
      </w:r>
      <w:r>
        <w:rPr>
          <w:spacing w:val="-8"/>
        </w:rPr>
        <w:t> </w:t>
      </w:r>
      <w:r>
        <w:rPr/>
        <w:t>sofra</w:t>
      </w:r>
      <w:r>
        <w:rPr>
          <w:spacing w:val="-8"/>
        </w:rPr>
        <w:t> </w:t>
      </w:r>
      <w:r>
        <w:rPr/>
        <w:t>maior impacto, como no caso dos pacientes hipertensos na aórtica, mas geralmente o acometimento é multivalvar. A degeneração mixomatosa</w:t>
      </w:r>
      <w:r>
        <w:rPr>
          <w:spacing w:val="-5"/>
        </w:rPr>
        <w:t> </w:t>
      </w:r>
      <w:r>
        <w:rPr/>
        <w:t>também</w:t>
      </w:r>
      <w:r>
        <w:rPr>
          <w:spacing w:val="-2"/>
        </w:rPr>
        <w:t> </w:t>
      </w:r>
      <w:r>
        <w:rPr/>
        <w:t>pode</w:t>
      </w:r>
      <w:r>
        <w:rPr>
          <w:spacing w:val="-5"/>
        </w:rPr>
        <w:t> </w:t>
      </w:r>
      <w:r>
        <w:rPr/>
        <w:t>comprometer as valvas mitral e</w:t>
      </w:r>
      <w:r>
        <w:rPr>
          <w:spacing w:val="-5"/>
        </w:rPr>
        <w:t> </w:t>
      </w:r>
      <w:r>
        <w:rPr/>
        <w:t>aórtica, levando</w:t>
      </w:r>
      <w:r>
        <w:rPr>
          <w:spacing w:val="-2"/>
        </w:rPr>
        <w:t> </w:t>
      </w:r>
      <w:r>
        <w:rPr/>
        <w:t>ambas à</w:t>
      </w:r>
      <w:r>
        <w:rPr>
          <w:spacing w:val="-5"/>
        </w:rPr>
        <w:t> </w:t>
      </w:r>
      <w:r>
        <w:rPr/>
        <w:t>regurgitação.</w:t>
      </w:r>
    </w:p>
    <w:p>
      <w:pPr>
        <w:pStyle w:val="BodyText"/>
        <w:spacing w:line="276" w:lineRule="auto" w:before="49"/>
        <w:ind w:right="494"/>
      </w:pPr>
      <w:r>
        <w:rPr/>
        <w:t>A</w:t>
      </w:r>
      <w:r>
        <w:rPr>
          <w:spacing w:val="-9"/>
        </w:rPr>
        <w:t> </w:t>
      </w:r>
      <w:r>
        <w:rPr/>
        <w:t>associação</w:t>
      </w:r>
      <w:r>
        <w:rPr>
          <w:spacing w:val="-7"/>
        </w:rPr>
        <w:t> </w:t>
      </w:r>
      <w:r>
        <w:rPr/>
        <w:t>da</w:t>
      </w:r>
      <w:r>
        <w:rPr>
          <w:spacing w:val="-9"/>
        </w:rPr>
        <w:t> </w:t>
      </w:r>
      <w:r>
        <w:rPr>
          <w:i/>
        </w:rPr>
        <w:t>estenose</w:t>
      </w:r>
      <w:r>
        <w:rPr>
          <w:i/>
          <w:spacing w:val="-9"/>
        </w:rPr>
        <w:t> </w:t>
      </w:r>
      <w:r>
        <w:rPr>
          <w:i/>
        </w:rPr>
        <w:t>mitral</w:t>
      </w:r>
      <w:r>
        <w:rPr>
          <w:i/>
          <w:spacing w:val="-4"/>
        </w:rPr>
        <w:t> </w:t>
      </w:r>
      <w:r>
        <w:rPr>
          <w:i/>
        </w:rPr>
        <w:t>à</w:t>
      </w:r>
      <w:r>
        <w:rPr>
          <w:i/>
          <w:spacing w:val="-7"/>
        </w:rPr>
        <w:t> </w:t>
      </w:r>
      <w:r>
        <w:rPr>
          <w:i/>
        </w:rPr>
        <w:t>insuficiência</w:t>
      </w:r>
      <w:r>
        <w:rPr>
          <w:i/>
          <w:spacing w:val="-7"/>
        </w:rPr>
        <w:t> </w:t>
      </w:r>
      <w:r>
        <w:rPr>
          <w:i/>
        </w:rPr>
        <w:t>aórtica</w:t>
      </w:r>
      <w:r>
        <w:rPr>
          <w:i/>
          <w:spacing w:val="-2"/>
        </w:rPr>
        <w:t> </w:t>
      </w:r>
      <w:r>
        <w:rPr/>
        <w:t>ocorre</w:t>
      </w:r>
      <w:r>
        <w:rPr>
          <w:spacing w:val="-5"/>
        </w:rPr>
        <w:t> </w:t>
      </w:r>
      <w:r>
        <w:rPr/>
        <w:t>em</w:t>
      </w:r>
      <w:r>
        <w:rPr>
          <w:spacing w:val="-2"/>
        </w:rPr>
        <w:t> </w:t>
      </w:r>
      <w:r>
        <w:rPr/>
        <w:t>dois terços dos pacientes com</w:t>
      </w:r>
      <w:r>
        <w:rPr>
          <w:spacing w:val="-2"/>
        </w:rPr>
        <w:t> </w:t>
      </w:r>
      <w:r>
        <w:rPr/>
        <w:t>estenose</w:t>
      </w:r>
      <w:r>
        <w:rPr>
          <w:spacing w:val="-5"/>
        </w:rPr>
        <w:t> </w:t>
      </w:r>
      <w:r>
        <w:rPr/>
        <w:t>mitral e em 90% dos casos a lesão é discreta. A estenose mitral diminui a sobrecarga de volume ventricular esquerdo, característica</w:t>
      </w:r>
      <w:r>
        <w:rPr>
          <w:spacing w:val="-1"/>
        </w:rPr>
        <w:t> </w:t>
      </w:r>
      <w:r>
        <w:rPr/>
        <w:t>da</w:t>
      </w:r>
      <w:r>
        <w:rPr>
          <w:spacing w:val="-1"/>
        </w:rPr>
        <w:t> </w:t>
      </w:r>
      <w:r>
        <w:rPr/>
        <w:t>insuficiência</w:t>
      </w:r>
      <w:r>
        <w:rPr>
          <w:spacing w:val="-1"/>
        </w:rPr>
        <w:t> </w:t>
      </w:r>
      <w:r>
        <w:rPr/>
        <w:t>aórtica. A</w:t>
      </w:r>
      <w:r>
        <w:rPr>
          <w:spacing w:val="-1"/>
        </w:rPr>
        <w:t> </w:t>
      </w:r>
      <w:r>
        <w:rPr/>
        <w:t>associação da </w:t>
      </w:r>
      <w:r>
        <w:rPr>
          <w:i/>
        </w:rPr>
        <w:t>estenose</w:t>
      </w:r>
      <w:r>
        <w:rPr>
          <w:i/>
          <w:spacing w:val="-1"/>
        </w:rPr>
        <w:t> </w:t>
      </w:r>
      <w:r>
        <w:rPr>
          <w:i/>
        </w:rPr>
        <w:t>mitral à aórtica </w:t>
      </w:r>
      <w:r>
        <w:rPr/>
        <w:t>mascara as manifestações clínicas da</w:t>
      </w:r>
      <w:r>
        <w:rPr>
          <w:spacing w:val="-4"/>
        </w:rPr>
        <w:t> </w:t>
      </w:r>
      <w:r>
        <w:rPr/>
        <w:t>EAo. O</w:t>
      </w:r>
      <w:r>
        <w:rPr>
          <w:spacing w:val="-4"/>
        </w:rPr>
        <w:t> </w:t>
      </w:r>
      <w:r>
        <w:rPr/>
        <w:t>débito</w:t>
      </w:r>
      <w:r>
        <w:rPr>
          <w:spacing w:val="-1"/>
        </w:rPr>
        <w:t> </w:t>
      </w:r>
      <w:r>
        <w:rPr/>
        <w:t>cardíaco</w:t>
      </w:r>
      <w:r>
        <w:rPr>
          <w:spacing w:val="-1"/>
        </w:rPr>
        <w:t> </w:t>
      </w:r>
      <w:r>
        <w:rPr/>
        <w:t>tende</w:t>
      </w:r>
      <w:r>
        <w:rPr>
          <w:spacing w:val="-4"/>
        </w:rPr>
        <w:t> </w:t>
      </w:r>
      <w:r>
        <w:rPr/>
        <w:t>a</w:t>
      </w:r>
      <w:r>
        <w:rPr>
          <w:spacing w:val="-4"/>
        </w:rPr>
        <w:t> </w:t>
      </w:r>
      <w:r>
        <w:rPr/>
        <w:t>ser menor do</w:t>
      </w:r>
      <w:r>
        <w:rPr>
          <w:spacing w:val="-1"/>
        </w:rPr>
        <w:t> </w:t>
      </w:r>
      <w:r>
        <w:rPr/>
        <w:t>que</w:t>
      </w:r>
      <w:r>
        <w:rPr>
          <w:spacing w:val="-4"/>
        </w:rPr>
        <w:t> </w:t>
      </w:r>
      <w:r>
        <w:rPr/>
        <w:t>nos pacientes com</w:t>
      </w:r>
      <w:r>
        <w:rPr>
          <w:spacing w:val="-1"/>
        </w:rPr>
        <w:t> </w:t>
      </w:r>
      <w:r>
        <w:rPr/>
        <w:t>EAo</w:t>
      </w:r>
      <w:r>
        <w:rPr>
          <w:spacing w:val="-1"/>
        </w:rPr>
        <w:t> </w:t>
      </w:r>
      <w:r>
        <w:rPr/>
        <w:t>isolada. A</w:t>
      </w:r>
      <w:r>
        <w:rPr>
          <w:spacing w:val="-4"/>
        </w:rPr>
        <w:t> </w:t>
      </w:r>
      <w:r>
        <w:rPr/>
        <w:t>correção</w:t>
      </w:r>
      <w:r>
        <w:rPr>
          <w:spacing w:val="-1"/>
        </w:rPr>
        <w:t> </w:t>
      </w:r>
      <w:r>
        <w:rPr/>
        <w:t>da</w:t>
      </w:r>
      <w:r>
        <w:rPr>
          <w:spacing w:val="-4"/>
        </w:rPr>
        <w:t> </w:t>
      </w:r>
      <w:r>
        <w:rPr/>
        <w:t>estenose</w:t>
      </w:r>
      <w:r>
        <w:rPr>
          <w:spacing w:val="-4"/>
        </w:rPr>
        <w:t> </w:t>
      </w:r>
      <w:r>
        <w:rPr/>
        <w:t>mitral em</w:t>
      </w:r>
      <w:r>
        <w:rPr>
          <w:spacing w:val="-9"/>
        </w:rPr>
        <w:t> </w:t>
      </w:r>
      <w:r>
        <w:rPr/>
        <w:t>pacientes</w:t>
      </w:r>
      <w:r>
        <w:rPr>
          <w:spacing w:val="-2"/>
        </w:rPr>
        <w:t> </w:t>
      </w:r>
      <w:r>
        <w:rPr/>
        <w:t>com</w:t>
      </w:r>
      <w:r>
        <w:rPr>
          <w:spacing w:val="-9"/>
        </w:rPr>
        <w:t> </w:t>
      </w:r>
      <w:r>
        <w:rPr/>
        <w:t>EAo</w:t>
      </w:r>
      <w:r>
        <w:rPr>
          <w:spacing w:val="-9"/>
        </w:rPr>
        <w:t> </w:t>
      </w:r>
      <w:r>
        <w:rPr/>
        <w:t>não</w:t>
      </w:r>
      <w:r>
        <w:rPr>
          <w:spacing w:val="-9"/>
        </w:rPr>
        <w:t> </w:t>
      </w:r>
      <w:r>
        <w:rPr/>
        <w:t>reconhecida</w:t>
      </w:r>
      <w:r>
        <w:rPr>
          <w:spacing w:val="-12"/>
        </w:rPr>
        <w:t> </w:t>
      </w:r>
      <w:r>
        <w:rPr/>
        <w:t>pode</w:t>
      </w:r>
      <w:r>
        <w:rPr>
          <w:spacing w:val="-12"/>
        </w:rPr>
        <w:t> </w:t>
      </w:r>
      <w:r>
        <w:rPr/>
        <w:t>impor</w:t>
      </w:r>
      <w:r>
        <w:rPr>
          <w:spacing w:val="-5"/>
        </w:rPr>
        <w:t> </w:t>
      </w:r>
      <w:r>
        <w:rPr/>
        <w:t>uma</w:t>
      </w:r>
      <w:r>
        <w:rPr>
          <w:spacing w:val="-12"/>
        </w:rPr>
        <w:t> </w:t>
      </w:r>
      <w:r>
        <w:rPr/>
        <w:t>súbita</w:t>
      </w:r>
      <w:r>
        <w:rPr>
          <w:spacing w:val="-12"/>
        </w:rPr>
        <w:t> </w:t>
      </w:r>
      <w:r>
        <w:rPr/>
        <w:t>carga</w:t>
      </w:r>
      <w:r>
        <w:rPr>
          <w:spacing w:val="-12"/>
        </w:rPr>
        <w:t> </w:t>
      </w:r>
      <w:r>
        <w:rPr/>
        <w:t>hemodinâmica</w:t>
      </w:r>
      <w:r>
        <w:rPr>
          <w:spacing w:val="-12"/>
        </w:rPr>
        <w:t> </w:t>
      </w:r>
      <w:r>
        <w:rPr/>
        <w:t>ao</w:t>
      </w:r>
      <w:r>
        <w:rPr>
          <w:spacing w:val="-9"/>
        </w:rPr>
        <w:t> </w:t>
      </w:r>
      <w:r>
        <w:rPr/>
        <w:t>VE,</w:t>
      </w:r>
      <w:r>
        <w:rPr>
          <w:spacing w:val="-2"/>
        </w:rPr>
        <w:t> </w:t>
      </w:r>
      <w:r>
        <w:rPr/>
        <w:t>que</w:t>
      </w:r>
      <w:r>
        <w:rPr>
          <w:spacing w:val="-12"/>
        </w:rPr>
        <w:t> </w:t>
      </w:r>
      <w:r>
        <w:rPr/>
        <w:t>pode</w:t>
      </w:r>
      <w:r>
        <w:rPr>
          <w:spacing w:val="-12"/>
        </w:rPr>
        <w:t> </w:t>
      </w:r>
      <w:r>
        <w:rPr/>
        <w:t>levar</w:t>
      </w:r>
      <w:r>
        <w:rPr>
          <w:spacing w:val="-5"/>
        </w:rPr>
        <w:t> </w:t>
      </w:r>
      <w:r>
        <w:rPr/>
        <w:t>a</w:t>
      </w:r>
      <w:r>
        <w:rPr>
          <w:spacing w:val="-12"/>
        </w:rPr>
        <w:t> </w:t>
      </w:r>
      <w:r>
        <w:rPr/>
        <w:t>edema agudo do pulmão. A associação da </w:t>
      </w:r>
      <w:r>
        <w:rPr>
          <w:i/>
        </w:rPr>
        <w:t>EAo à insuficiência mitral </w:t>
      </w:r>
      <w:r>
        <w:rPr/>
        <w:t>é grave, mas não frequente. A obstrução ao fluxo ventricular esquerdo aumenta o fluxo da regurgitação mitral, enquanto esta diminui a pré-carga necessária para a manutenção do volume</w:t>
      </w:r>
      <w:r>
        <w:rPr>
          <w:spacing w:val="-2"/>
        </w:rPr>
        <w:t> </w:t>
      </w:r>
      <w:r>
        <w:rPr/>
        <w:t>ejetado pelo VE na</w:t>
      </w:r>
      <w:r>
        <w:rPr>
          <w:spacing w:val="-2"/>
        </w:rPr>
        <w:t> </w:t>
      </w:r>
      <w:r>
        <w:rPr/>
        <w:t>EAo, resultando em débito cardíaco diminuído e</w:t>
      </w:r>
      <w:r>
        <w:rPr>
          <w:spacing w:val="-2"/>
        </w:rPr>
        <w:t> </w:t>
      </w:r>
      <w:r>
        <w:rPr/>
        <w:t>acentuada</w:t>
      </w:r>
      <w:r>
        <w:rPr>
          <w:spacing w:val="-2"/>
        </w:rPr>
        <w:t> </w:t>
      </w:r>
      <w:r>
        <w:rPr/>
        <w:t>hipertensão venosa pulmonar e atrial esquerda. A associação da </w:t>
      </w:r>
      <w:r>
        <w:rPr>
          <w:i/>
        </w:rPr>
        <w:t>insuficiência aórtica à mitral </w:t>
      </w:r>
      <w:r>
        <w:rPr/>
        <w:t>é relativamente frequente, podendo ser causada por cardiopatia reumática ou degeneração mixomatosa de ambas as valvas ou dilatação de ambos os anéis nas doenças do tecido conectivo. Os dados clínicos da insuficiência aórtica geralmente são predominantes. Quando as lesões são graves, essa combinação não é tolerada. Quando a insuficiência mitral é secundária, em função de dilatação do anel, ele deve ser reconhecido para que não seja tratado cirurgicamente sem </w:t>
      </w:r>
      <w:r>
        <w:rPr>
          <w:spacing w:val="-2"/>
        </w:rPr>
        <w:t>necessidade.</w:t>
      </w:r>
    </w:p>
    <w:p>
      <w:pPr>
        <w:pStyle w:val="BodyText"/>
        <w:spacing w:before="26"/>
        <w:ind w:left="0" w:firstLine="0"/>
        <w:jc w:val="left"/>
      </w:pPr>
    </w:p>
    <w:p>
      <w:pPr>
        <w:pStyle w:val="Heading7"/>
      </w:pPr>
      <w:r>
        <w:rPr>
          <w:color w:val="242B67"/>
        </w:rPr>
        <w:t>Quanto à evolução </w:t>
      </w:r>
      <w:r>
        <w:rPr>
          <w:color w:val="242B67"/>
          <w:spacing w:val="-2"/>
        </w:rPr>
        <w:t>hemodinâmica</w:t>
      </w:r>
    </w:p>
    <w:p>
      <w:pPr>
        <w:pStyle w:val="BodyText"/>
        <w:spacing w:line="276" w:lineRule="auto" w:before="126"/>
        <w:ind w:right="491"/>
      </w:pPr>
      <w:r>
        <w:rPr/>
        <w:t>A própria evolução de uma valvopatia pode levar ao comprometimento de outras valvas cardíacas. Assim, o folheto posterior da valva mitral na insuficiência aórtica se abre com dificuldade em função de pressão exercida pelo fluxo vindo da aorta e produz a estenose mitral funcional chamada de Austin Flint. Quando essa pressão aumenta</w:t>
      </w:r>
      <w:r>
        <w:rPr>
          <w:spacing w:val="-4"/>
        </w:rPr>
        <w:t> </w:t>
      </w:r>
      <w:r>
        <w:rPr/>
        <w:t>muito, pode</w:t>
      </w:r>
      <w:r>
        <w:rPr>
          <w:spacing w:val="-4"/>
        </w:rPr>
        <w:t> </w:t>
      </w:r>
      <w:r>
        <w:rPr/>
        <w:t>ocasionar um</w:t>
      </w:r>
      <w:r>
        <w:rPr>
          <w:spacing w:val="-1"/>
        </w:rPr>
        <w:t> </w:t>
      </w:r>
      <w:r>
        <w:rPr/>
        <w:t>sopro</w:t>
      </w:r>
      <w:r>
        <w:rPr>
          <w:spacing w:val="-1"/>
        </w:rPr>
        <w:t> </w:t>
      </w:r>
      <w:r>
        <w:rPr/>
        <w:t>de</w:t>
      </w:r>
      <w:r>
        <w:rPr>
          <w:spacing w:val="-4"/>
        </w:rPr>
        <w:t> </w:t>
      </w:r>
      <w:r>
        <w:rPr/>
        <w:t>regurgitação</w:t>
      </w:r>
      <w:r>
        <w:rPr>
          <w:spacing w:val="-1"/>
        </w:rPr>
        <w:t> </w:t>
      </w:r>
      <w:r>
        <w:rPr/>
        <w:t>mitral no</w:t>
      </w:r>
      <w:r>
        <w:rPr>
          <w:spacing w:val="-1"/>
        </w:rPr>
        <w:t> </w:t>
      </w:r>
      <w:r>
        <w:rPr/>
        <w:t>final da</w:t>
      </w:r>
      <w:r>
        <w:rPr>
          <w:spacing w:val="-4"/>
        </w:rPr>
        <w:t> </w:t>
      </w:r>
      <w:r>
        <w:rPr/>
        <w:t>diástole, enquanto</w:t>
      </w:r>
      <w:r>
        <w:rPr>
          <w:spacing w:val="-1"/>
        </w:rPr>
        <w:t> </w:t>
      </w:r>
      <w:r>
        <w:rPr/>
        <w:t>a</w:t>
      </w:r>
      <w:r>
        <w:rPr>
          <w:spacing w:val="-4"/>
        </w:rPr>
        <w:t> </w:t>
      </w:r>
      <w:r>
        <w:rPr/>
        <w:t>valva</w:t>
      </w:r>
      <w:r>
        <w:rPr>
          <w:spacing w:val="-4"/>
        </w:rPr>
        <w:t> </w:t>
      </w:r>
      <w:r>
        <w:rPr/>
        <w:t>ainda</w:t>
      </w:r>
      <w:r>
        <w:rPr>
          <w:spacing w:val="-4"/>
        </w:rPr>
        <w:t> </w:t>
      </w:r>
      <w:r>
        <w:rPr/>
        <w:t>estiver aberta, ou o miocárdio pode se deteriorar de tal maneira que a sua dilatação desorganize a estrutura do aparelho valvar</w:t>
      </w:r>
      <w:r>
        <w:rPr>
          <w:spacing w:val="-4"/>
        </w:rPr>
        <w:t> </w:t>
      </w:r>
      <w:r>
        <w:rPr/>
        <w:t>mitral,</w:t>
      </w:r>
      <w:r>
        <w:rPr>
          <w:spacing w:val="-1"/>
        </w:rPr>
        <w:t> </w:t>
      </w:r>
      <w:r>
        <w:rPr/>
        <w:t>levando</w:t>
      </w:r>
      <w:r>
        <w:rPr>
          <w:spacing w:val="-9"/>
        </w:rPr>
        <w:t> </w:t>
      </w:r>
      <w:r>
        <w:rPr/>
        <w:t>à</w:t>
      </w:r>
      <w:r>
        <w:rPr>
          <w:spacing w:val="-11"/>
        </w:rPr>
        <w:t> </w:t>
      </w:r>
      <w:r>
        <w:rPr/>
        <w:t>insuficiência</w:t>
      </w:r>
      <w:r>
        <w:rPr>
          <w:spacing w:val="-11"/>
        </w:rPr>
        <w:t> </w:t>
      </w:r>
      <w:r>
        <w:rPr/>
        <w:t>mitral</w:t>
      </w:r>
      <w:r>
        <w:rPr>
          <w:spacing w:val="-6"/>
        </w:rPr>
        <w:t> </w:t>
      </w:r>
      <w:r>
        <w:rPr/>
        <w:t>secundária.</w:t>
      </w:r>
      <w:r>
        <w:rPr>
          <w:spacing w:val="-1"/>
        </w:rPr>
        <w:t> </w:t>
      </w:r>
      <w:r>
        <w:rPr/>
        <w:t>A</w:t>
      </w:r>
      <w:r>
        <w:rPr>
          <w:spacing w:val="-11"/>
        </w:rPr>
        <w:t> </w:t>
      </w:r>
      <w:r>
        <w:rPr/>
        <w:t>insuficiência</w:t>
      </w:r>
      <w:r>
        <w:rPr>
          <w:spacing w:val="-11"/>
        </w:rPr>
        <w:t> </w:t>
      </w:r>
      <w:r>
        <w:rPr/>
        <w:t>mitral,</w:t>
      </w:r>
      <w:r>
        <w:rPr>
          <w:spacing w:val="-1"/>
        </w:rPr>
        <w:t> </w:t>
      </w:r>
      <w:r>
        <w:rPr/>
        <w:t>muitas</w:t>
      </w:r>
      <w:r>
        <w:rPr>
          <w:spacing w:val="-1"/>
        </w:rPr>
        <w:t> </w:t>
      </w:r>
      <w:r>
        <w:rPr/>
        <w:t>vezes</w:t>
      </w:r>
      <w:r>
        <w:rPr>
          <w:spacing w:val="-1"/>
        </w:rPr>
        <w:t> </w:t>
      </w:r>
      <w:r>
        <w:rPr/>
        <w:t>em</w:t>
      </w:r>
      <w:r>
        <w:rPr>
          <w:spacing w:val="-9"/>
        </w:rPr>
        <w:t> </w:t>
      </w:r>
      <w:r>
        <w:rPr/>
        <w:t>fase</w:t>
      </w:r>
      <w:r>
        <w:rPr>
          <w:spacing w:val="-11"/>
        </w:rPr>
        <w:t> </w:t>
      </w:r>
      <w:r>
        <w:rPr/>
        <w:t>avançada,</w:t>
      </w:r>
      <w:r>
        <w:rPr>
          <w:spacing w:val="-1"/>
        </w:rPr>
        <w:t> </w:t>
      </w:r>
      <w:r>
        <w:rPr/>
        <w:t>com insuficiência</w:t>
      </w:r>
      <w:r>
        <w:rPr>
          <w:spacing w:val="-3"/>
        </w:rPr>
        <w:t> </w:t>
      </w:r>
      <w:r>
        <w:rPr/>
        <w:t>ventricular direita, pode</w:t>
      </w:r>
      <w:r>
        <w:rPr>
          <w:spacing w:val="-3"/>
        </w:rPr>
        <w:t> </w:t>
      </w:r>
      <w:r>
        <w:rPr/>
        <w:t>dilatar o anel valvar tricúspide</w:t>
      </w:r>
      <w:r>
        <w:rPr>
          <w:spacing w:val="-3"/>
        </w:rPr>
        <w:t> </w:t>
      </w:r>
      <w:r>
        <w:rPr/>
        <w:t>levando à</w:t>
      </w:r>
      <w:r>
        <w:rPr>
          <w:spacing w:val="-3"/>
        </w:rPr>
        <w:t> </w:t>
      </w:r>
      <w:r>
        <w:rPr/>
        <w:t>insuficiência.</w:t>
      </w:r>
    </w:p>
    <w:p>
      <w:pPr>
        <w:pStyle w:val="BodyText"/>
        <w:spacing w:before="135"/>
        <w:ind w:left="0" w:firstLine="0"/>
        <w:jc w:val="left"/>
      </w:pPr>
    </w:p>
    <w:p>
      <w:pPr>
        <w:pStyle w:val="Heading5"/>
      </w:pPr>
      <w:r>
        <w:rPr>
          <w:color w:val="A26108"/>
          <w:spacing w:val="-2"/>
        </w:rPr>
        <w:t>Conduta</w:t>
      </w:r>
    </w:p>
    <w:p>
      <w:pPr>
        <w:pStyle w:val="BodyText"/>
        <w:spacing w:line="276" w:lineRule="auto" w:before="138"/>
        <w:ind w:right="500"/>
      </w:pPr>
      <w:r>
        <w:rPr/>
        <w:t>Nas valvopatias associadas alguns sintomas podem estar mascarados pela presença de outros, às vezes, mais exuberantes.</w:t>
      </w:r>
      <w:r>
        <w:rPr>
          <w:spacing w:val="40"/>
        </w:rPr>
        <w:t> </w:t>
      </w:r>
      <w:r>
        <w:rPr/>
        <w:t>A</w:t>
      </w:r>
      <w:r>
        <w:rPr>
          <w:spacing w:val="32"/>
        </w:rPr>
        <w:t> </w:t>
      </w:r>
      <w:r>
        <w:rPr/>
        <w:t>abordagem</w:t>
      </w:r>
      <w:r>
        <w:rPr>
          <w:spacing w:val="34"/>
        </w:rPr>
        <w:t> </w:t>
      </w:r>
      <w:r>
        <w:rPr/>
        <w:t>desses</w:t>
      </w:r>
      <w:r>
        <w:rPr>
          <w:spacing w:val="40"/>
        </w:rPr>
        <w:t> </w:t>
      </w:r>
      <w:r>
        <w:rPr/>
        <w:t>pacientes</w:t>
      </w:r>
      <w:r>
        <w:rPr>
          <w:spacing w:val="40"/>
        </w:rPr>
        <w:t> </w:t>
      </w:r>
      <w:r>
        <w:rPr/>
        <w:t>merece</w:t>
      </w:r>
      <w:r>
        <w:rPr>
          <w:spacing w:val="32"/>
        </w:rPr>
        <w:t> </w:t>
      </w:r>
      <w:r>
        <w:rPr/>
        <w:t>cuidado</w:t>
      </w:r>
      <w:r>
        <w:rPr>
          <w:spacing w:val="34"/>
        </w:rPr>
        <w:t> </w:t>
      </w:r>
      <w:r>
        <w:rPr/>
        <w:t>especial</w:t>
      </w:r>
      <w:r>
        <w:rPr>
          <w:spacing w:val="38"/>
        </w:rPr>
        <w:t> </w:t>
      </w:r>
      <w:r>
        <w:rPr/>
        <w:t>para</w:t>
      </w:r>
      <w:r>
        <w:rPr>
          <w:spacing w:val="32"/>
        </w:rPr>
        <w:t> </w:t>
      </w:r>
      <w:r>
        <w:rPr/>
        <w:t>que</w:t>
      </w:r>
      <w:r>
        <w:rPr>
          <w:spacing w:val="32"/>
        </w:rPr>
        <w:t> </w:t>
      </w:r>
      <w:r>
        <w:rPr/>
        <w:t>o</w:t>
      </w:r>
      <w:r>
        <w:rPr>
          <w:spacing w:val="34"/>
        </w:rPr>
        <w:t> </w:t>
      </w:r>
      <w:r>
        <w:rPr/>
        <w:t>tratamento</w:t>
      </w:r>
      <w:r>
        <w:rPr>
          <w:spacing w:val="34"/>
        </w:rPr>
        <w:t> </w:t>
      </w:r>
      <w:r>
        <w:rPr/>
        <w:t>de</w:t>
      </w:r>
      <w:r>
        <w:rPr>
          <w:spacing w:val="32"/>
        </w:rPr>
        <w:t> </w:t>
      </w:r>
      <w:r>
        <w:rPr/>
        <w:t>uma</w:t>
      </w:r>
      <w:r>
        <w:rPr>
          <w:spacing w:val="32"/>
        </w:rPr>
        <w:t> </w:t>
      </w:r>
      <w:r>
        <w:rPr/>
        <w:t>valva</w:t>
      </w:r>
      <w:r>
        <w:rPr>
          <w:spacing w:val="32"/>
        </w:rPr>
        <w:t> </w:t>
      </w:r>
      <w:r>
        <w:rPr/>
        <w:t>não</w:t>
      </w:r>
    </w:p>
    <w:p>
      <w:pPr>
        <w:pStyle w:val="BodyText"/>
        <w:spacing w:after="0" w:line="276" w:lineRule="auto"/>
        <w:sectPr>
          <w:pgSz w:w="11900" w:h="16840"/>
          <w:pgMar w:top="200" w:bottom="280" w:left="566" w:right="141"/>
        </w:sectPr>
      </w:pPr>
    </w:p>
    <w:p>
      <w:pPr>
        <w:pStyle w:val="BodyText"/>
        <w:spacing w:line="273" w:lineRule="auto" w:before="61"/>
        <w:ind w:right="497" w:firstLine="0"/>
      </w:pPr>
      <w:r>
        <w:rPr/>
        <w:t>complique ainda mais a outra, já lesada. Assim, o momento cirúrgico deve ser muito bem indicado para que, se possível, já se corrijam todos os problemas simultaneamente.</w:t>
      </w:r>
    </w:p>
    <w:p>
      <w:pPr>
        <w:pStyle w:val="BodyText"/>
        <w:spacing w:line="276" w:lineRule="auto" w:before="68"/>
        <w:ind w:right="488"/>
      </w:pPr>
      <w:r>
        <w:rPr/>
        <w:t>As lesões associadas formam outra categoria de doença, caracterizada pela variedade de formas clínicas que podem se</w:t>
      </w:r>
      <w:r>
        <w:rPr>
          <w:spacing w:val="-1"/>
        </w:rPr>
        <w:t> </w:t>
      </w:r>
      <w:r>
        <w:rPr/>
        <w:t>manifestar. Os pacientes com tais lesões apresentam risco maior pela</w:t>
      </w:r>
      <w:r>
        <w:rPr>
          <w:spacing w:val="-1"/>
        </w:rPr>
        <w:t> </w:t>
      </w:r>
      <w:r>
        <w:rPr/>
        <w:t>soma</w:t>
      </w:r>
      <w:r>
        <w:rPr>
          <w:spacing w:val="-1"/>
        </w:rPr>
        <w:t> </w:t>
      </w:r>
      <w:r>
        <w:rPr/>
        <w:t>das próprias lesões valvares,</w:t>
      </w:r>
      <w:r>
        <w:rPr>
          <w:spacing w:val="40"/>
        </w:rPr>
        <w:t> </w:t>
      </w:r>
      <w:r>
        <w:rPr/>
        <w:t>e</w:t>
      </w:r>
      <w:r>
        <w:rPr>
          <w:spacing w:val="-3"/>
        </w:rPr>
        <w:t> </w:t>
      </w:r>
      <w:r>
        <w:rPr/>
        <w:t>também pela</w:t>
      </w:r>
      <w:r>
        <w:rPr>
          <w:spacing w:val="-3"/>
        </w:rPr>
        <w:t> </w:t>
      </w:r>
      <w:r>
        <w:rPr/>
        <w:t>disfunção miocárdica</w:t>
      </w:r>
      <w:r>
        <w:rPr>
          <w:spacing w:val="-3"/>
        </w:rPr>
        <w:t> </w:t>
      </w:r>
      <w:r>
        <w:rPr/>
        <w:t>que</w:t>
      </w:r>
      <w:r>
        <w:rPr>
          <w:spacing w:val="-3"/>
        </w:rPr>
        <w:t> </w:t>
      </w:r>
      <w:r>
        <w:rPr/>
        <w:t>ocorre</w:t>
      </w:r>
      <w:r>
        <w:rPr>
          <w:spacing w:val="-3"/>
        </w:rPr>
        <w:t> </w:t>
      </w:r>
      <w:r>
        <w:rPr/>
        <w:t>mais precocemente</w:t>
      </w:r>
      <w:r>
        <w:rPr>
          <w:spacing w:val="-3"/>
        </w:rPr>
        <w:t> </w:t>
      </w:r>
      <w:r>
        <w:rPr/>
        <w:t>e</w:t>
      </w:r>
      <w:r>
        <w:rPr>
          <w:spacing w:val="-3"/>
        </w:rPr>
        <w:t> </w:t>
      </w:r>
      <w:r>
        <w:rPr/>
        <w:t>com maior gravidade.</w:t>
      </w:r>
    </w:p>
    <w:p>
      <w:pPr>
        <w:pStyle w:val="BodyText"/>
        <w:spacing w:before="185"/>
        <w:ind w:left="0" w:firstLine="0"/>
        <w:jc w:val="left"/>
      </w:pPr>
    </w:p>
    <w:p>
      <w:pPr>
        <w:pStyle w:val="Heading4"/>
        <w:spacing w:before="1"/>
      </w:pPr>
      <w:r>
        <w:rPr>
          <w:color w:val="242B67"/>
        </w:rPr>
        <w:t>Considerações </w:t>
      </w:r>
      <w:r>
        <w:rPr>
          <w:color w:val="242B67"/>
          <w:spacing w:val="-2"/>
        </w:rPr>
        <w:t>finais</w:t>
      </w:r>
    </w:p>
    <w:p>
      <w:pPr>
        <w:pStyle w:val="Heading5"/>
        <w:spacing w:before="177"/>
      </w:pPr>
      <w:r>
        <w:rPr>
          <w:color w:val="A26108"/>
        </w:rPr>
        <w:t>Indicação</w:t>
      </w:r>
      <w:r>
        <w:rPr>
          <w:color w:val="A26108"/>
          <w:spacing w:val="19"/>
        </w:rPr>
        <w:t> </w:t>
      </w:r>
      <w:r>
        <w:rPr>
          <w:color w:val="A26108"/>
        </w:rPr>
        <w:t>clínica</w:t>
      </w:r>
      <w:r>
        <w:rPr>
          <w:color w:val="A26108"/>
          <w:spacing w:val="20"/>
        </w:rPr>
        <w:t> </w:t>
      </w:r>
      <w:r>
        <w:rPr>
          <w:color w:val="A26108"/>
        </w:rPr>
        <w:t>de</w:t>
      </w:r>
      <w:r>
        <w:rPr>
          <w:color w:val="A26108"/>
          <w:spacing w:val="20"/>
        </w:rPr>
        <w:t> </w:t>
      </w:r>
      <w:r>
        <w:rPr>
          <w:color w:val="A26108"/>
          <w:spacing w:val="-2"/>
        </w:rPr>
        <w:t>anticoagulação</w:t>
      </w:r>
    </w:p>
    <w:p>
      <w:pPr>
        <w:pStyle w:val="BodyText"/>
        <w:spacing w:line="276" w:lineRule="auto" w:before="138"/>
        <w:ind w:right="491"/>
      </w:pPr>
      <w:r>
        <w:rPr/>
        <w:t>Em</w:t>
      </w:r>
      <w:r>
        <w:rPr>
          <w:spacing w:val="-11"/>
        </w:rPr>
        <w:t> </w:t>
      </w:r>
      <w:r>
        <w:rPr/>
        <w:t>valvopatias,</w:t>
      </w:r>
      <w:r>
        <w:rPr>
          <w:spacing w:val="-4"/>
        </w:rPr>
        <w:t> </w:t>
      </w:r>
      <w:r>
        <w:rPr/>
        <w:t>a</w:t>
      </w:r>
      <w:r>
        <w:rPr>
          <w:spacing w:val="-14"/>
        </w:rPr>
        <w:t> </w:t>
      </w:r>
      <w:r>
        <w:rPr/>
        <w:t>anticoagulação</w:t>
      </w:r>
      <w:r>
        <w:rPr>
          <w:spacing w:val="-11"/>
        </w:rPr>
        <w:t> </w:t>
      </w:r>
      <w:r>
        <w:rPr/>
        <w:t>é</w:t>
      </w:r>
      <w:r>
        <w:rPr>
          <w:spacing w:val="-14"/>
        </w:rPr>
        <w:t> </w:t>
      </w:r>
      <w:r>
        <w:rPr/>
        <w:t>recomendada</w:t>
      </w:r>
      <w:r>
        <w:rPr>
          <w:spacing w:val="-14"/>
        </w:rPr>
        <w:t> </w:t>
      </w:r>
      <w:r>
        <w:rPr/>
        <w:t>em</w:t>
      </w:r>
      <w:r>
        <w:rPr>
          <w:spacing w:val="-11"/>
        </w:rPr>
        <w:t> </w:t>
      </w:r>
      <w:r>
        <w:rPr/>
        <w:t>algumas</w:t>
      </w:r>
      <w:r>
        <w:rPr>
          <w:spacing w:val="-4"/>
        </w:rPr>
        <w:t> </w:t>
      </w:r>
      <w:r>
        <w:rPr/>
        <w:t>situações</w:t>
      </w:r>
      <w:r>
        <w:rPr>
          <w:spacing w:val="-4"/>
        </w:rPr>
        <w:t> </w:t>
      </w:r>
      <w:r>
        <w:rPr/>
        <w:t>unanimemente</w:t>
      </w:r>
      <w:r>
        <w:rPr>
          <w:spacing w:val="-14"/>
        </w:rPr>
        <w:t> </w:t>
      </w:r>
      <w:r>
        <w:rPr/>
        <w:t>aceitas</w:t>
      </w:r>
      <w:r>
        <w:rPr>
          <w:spacing w:val="-4"/>
        </w:rPr>
        <w:t> </w:t>
      </w:r>
      <w:r>
        <w:rPr/>
        <w:t>e,</w:t>
      </w:r>
      <w:r>
        <w:rPr>
          <w:spacing w:val="-4"/>
        </w:rPr>
        <w:t> </w:t>
      </w:r>
      <w:r>
        <w:rPr/>
        <w:t>em</w:t>
      </w:r>
      <w:r>
        <w:rPr>
          <w:spacing w:val="-11"/>
        </w:rPr>
        <w:t> </w:t>
      </w:r>
      <w:r>
        <w:rPr/>
        <w:t>outras,</w:t>
      </w:r>
      <w:r>
        <w:rPr>
          <w:spacing w:val="-4"/>
        </w:rPr>
        <w:t> </w:t>
      </w:r>
      <w:r>
        <w:rPr/>
        <w:t>com alguma controvérsia.</w:t>
      </w:r>
    </w:p>
    <w:p>
      <w:pPr>
        <w:pStyle w:val="BodyText"/>
        <w:spacing w:line="276" w:lineRule="auto" w:before="64"/>
        <w:ind w:right="491"/>
      </w:pPr>
      <w:r>
        <w:rPr/>
        <w:t>As alterações hemodinâmicas advindas das lesões da</w:t>
      </w:r>
      <w:r>
        <w:rPr>
          <w:spacing w:val="-9"/>
        </w:rPr>
        <w:t> </w:t>
      </w:r>
      <w:r>
        <w:rPr/>
        <w:t>valva</w:t>
      </w:r>
      <w:r>
        <w:rPr>
          <w:spacing w:val="-9"/>
        </w:rPr>
        <w:t> </w:t>
      </w:r>
      <w:r>
        <w:rPr/>
        <w:t>mitral</w:t>
      </w:r>
      <w:r>
        <w:rPr>
          <w:spacing w:val="-4"/>
        </w:rPr>
        <w:t> </w:t>
      </w:r>
      <w:r>
        <w:rPr/>
        <w:t>levam</w:t>
      </w:r>
      <w:r>
        <w:rPr>
          <w:spacing w:val="-6"/>
        </w:rPr>
        <w:t> </w:t>
      </w:r>
      <w:r>
        <w:rPr/>
        <w:t>à</w:t>
      </w:r>
      <w:r>
        <w:rPr>
          <w:spacing w:val="-9"/>
        </w:rPr>
        <w:t> </w:t>
      </w:r>
      <w:r>
        <w:rPr/>
        <w:t>sobrecarga</w:t>
      </w:r>
      <w:r>
        <w:rPr>
          <w:spacing w:val="-9"/>
        </w:rPr>
        <w:t> </w:t>
      </w:r>
      <w:r>
        <w:rPr/>
        <w:t>do</w:t>
      </w:r>
      <w:r>
        <w:rPr>
          <w:spacing w:val="-6"/>
        </w:rPr>
        <w:t> </w:t>
      </w:r>
      <w:r>
        <w:rPr/>
        <w:t>átrio</w:t>
      </w:r>
      <w:r>
        <w:rPr>
          <w:spacing w:val="-6"/>
        </w:rPr>
        <w:t> </w:t>
      </w:r>
      <w:r>
        <w:rPr/>
        <w:t>esquerdo</w:t>
      </w:r>
      <w:r>
        <w:rPr>
          <w:spacing w:val="-6"/>
        </w:rPr>
        <w:t> </w:t>
      </w:r>
      <w:r>
        <w:rPr/>
        <w:t>que, em menor ou maior grau, hipertrofia-se, acarretando um desarranjo nas fibras do nó sinoatrial, responsável pela irregularidade</w:t>
      </w:r>
      <w:r>
        <w:rPr>
          <w:spacing w:val="-8"/>
        </w:rPr>
        <w:t> </w:t>
      </w:r>
      <w:r>
        <w:rPr/>
        <w:t>do</w:t>
      </w:r>
      <w:r>
        <w:rPr>
          <w:spacing w:val="-6"/>
        </w:rPr>
        <w:t> </w:t>
      </w:r>
      <w:r>
        <w:rPr/>
        <w:t>ritmo</w:t>
      </w:r>
      <w:r>
        <w:rPr>
          <w:spacing w:val="-6"/>
        </w:rPr>
        <w:t> </w:t>
      </w:r>
      <w:r>
        <w:rPr/>
        <w:t>cardíaco, levando</w:t>
      </w:r>
      <w:r>
        <w:rPr>
          <w:spacing w:val="-6"/>
        </w:rPr>
        <w:t> </w:t>
      </w:r>
      <w:r>
        <w:rPr/>
        <w:t>frequentemente</w:t>
      </w:r>
      <w:r>
        <w:rPr>
          <w:spacing w:val="-8"/>
        </w:rPr>
        <w:t> </w:t>
      </w:r>
      <w:r>
        <w:rPr/>
        <w:t>à</w:t>
      </w:r>
      <w:r>
        <w:rPr>
          <w:spacing w:val="-8"/>
        </w:rPr>
        <w:t> </w:t>
      </w:r>
      <w:r>
        <w:rPr/>
        <w:t>fibrilação</w:t>
      </w:r>
      <w:r>
        <w:rPr>
          <w:spacing w:val="-6"/>
        </w:rPr>
        <w:t> </w:t>
      </w:r>
      <w:r>
        <w:rPr/>
        <w:t>atrial. Por outro</w:t>
      </w:r>
      <w:r>
        <w:rPr>
          <w:spacing w:val="-6"/>
        </w:rPr>
        <w:t> </w:t>
      </w:r>
      <w:r>
        <w:rPr/>
        <w:t>lado, a</w:t>
      </w:r>
      <w:r>
        <w:rPr>
          <w:spacing w:val="-8"/>
        </w:rPr>
        <w:t> </w:t>
      </w:r>
      <w:r>
        <w:rPr/>
        <w:t>dificuldade</w:t>
      </w:r>
      <w:r>
        <w:rPr>
          <w:spacing w:val="-8"/>
        </w:rPr>
        <w:t> </w:t>
      </w:r>
      <w:r>
        <w:rPr/>
        <w:t>do</w:t>
      </w:r>
      <w:r>
        <w:rPr>
          <w:spacing w:val="-6"/>
        </w:rPr>
        <w:t> </w:t>
      </w:r>
      <w:r>
        <w:rPr/>
        <w:t>sangue em escoar livremente de uma para outra câmara cardíaca leva à estase sanguínea, que propicia a formação de trombo. Esta, associada à alteração do ritmo, torna-se foco produtor de êmbolos.</w:t>
      </w:r>
    </w:p>
    <w:p>
      <w:pPr>
        <w:pStyle w:val="BodyText"/>
        <w:spacing w:line="276" w:lineRule="auto" w:before="49"/>
        <w:ind w:right="497"/>
      </w:pPr>
      <w:r>
        <w:rPr/>
        <w:t>Esse é o motivo pelo qual a anticoagulação é recomendada, utilizando dicumarínicos orais, para todos os pacientes com estenose ou insuficiência mitral que estejam em fibrilação atrial e apresentem trombo no átrio esquerdo ou já tenham apresentado um episódio de embolismo. Para aqueles com estenose mitral ou prolapso valvar mitral e fibrilação sem a presença evidente de trombo, nenhum episódio embólico prévio e idade inferior a 75</w:t>
      </w:r>
      <w:r>
        <w:rPr>
          <w:spacing w:val="-3"/>
        </w:rPr>
        <w:t> </w:t>
      </w:r>
      <w:r>
        <w:rPr/>
        <w:t>anos, utilizam-se, com</w:t>
      </w:r>
      <w:r>
        <w:rPr>
          <w:spacing w:val="-3"/>
        </w:rPr>
        <w:t> </w:t>
      </w:r>
      <w:r>
        <w:rPr/>
        <w:t>alguma</w:t>
      </w:r>
      <w:r>
        <w:rPr>
          <w:spacing w:val="-6"/>
        </w:rPr>
        <w:t> </w:t>
      </w:r>
      <w:r>
        <w:rPr/>
        <w:t>controvérsia, os antiadesivos e</w:t>
      </w:r>
      <w:r>
        <w:rPr>
          <w:spacing w:val="-6"/>
        </w:rPr>
        <w:t> </w:t>
      </w:r>
      <w:r>
        <w:rPr/>
        <w:t>os antiagregantes plaquetários, preferencialmente o ácido acetilsalicílico na dosagem de 325 mg/dia.</w:t>
      </w:r>
    </w:p>
    <w:p>
      <w:pPr>
        <w:pStyle w:val="BodyText"/>
        <w:spacing w:line="276" w:lineRule="auto"/>
        <w:ind w:right="500"/>
      </w:pPr>
      <w:r>
        <w:rPr/>
        <w:t>Os pacientes com valvopatia aórtica são menos sujeitos às variações do ritmo cardíaco porque as repercussões para o átrio esquerdo são mais discretas. Assim sendo, a anticoagulação, nesses casos, raramente está indicada. Entretanto, em</w:t>
      </w:r>
      <w:r>
        <w:rPr>
          <w:spacing w:val="-1"/>
        </w:rPr>
        <w:t> </w:t>
      </w:r>
      <w:r>
        <w:rPr/>
        <w:t>casos avançados de</w:t>
      </w:r>
      <w:r>
        <w:rPr>
          <w:spacing w:val="-4"/>
        </w:rPr>
        <w:t> </w:t>
      </w:r>
      <w:r>
        <w:rPr/>
        <w:t>insuficiência</w:t>
      </w:r>
      <w:r>
        <w:rPr>
          <w:spacing w:val="-4"/>
        </w:rPr>
        <w:t> </w:t>
      </w:r>
      <w:r>
        <w:rPr/>
        <w:t>cardíaca, o</w:t>
      </w:r>
      <w:r>
        <w:rPr>
          <w:spacing w:val="-1"/>
        </w:rPr>
        <w:t> </w:t>
      </w:r>
      <w:r>
        <w:rPr/>
        <w:t>tromboembolismo</w:t>
      </w:r>
      <w:r>
        <w:rPr>
          <w:spacing w:val="-1"/>
        </w:rPr>
        <w:t> </w:t>
      </w:r>
      <w:r>
        <w:rPr/>
        <w:t>pode</w:t>
      </w:r>
      <w:r>
        <w:rPr>
          <w:spacing w:val="-4"/>
        </w:rPr>
        <w:t> </w:t>
      </w:r>
      <w:r>
        <w:rPr/>
        <w:t>ocorrer, quando</w:t>
      </w:r>
      <w:r>
        <w:rPr>
          <w:spacing w:val="-1"/>
        </w:rPr>
        <w:t> </w:t>
      </w:r>
      <w:r>
        <w:rPr/>
        <w:t>então, indica-se anticoagulação.</w:t>
      </w:r>
    </w:p>
    <w:p>
      <w:pPr>
        <w:pStyle w:val="BodyText"/>
        <w:spacing w:line="276" w:lineRule="auto" w:before="49"/>
        <w:ind w:right="491"/>
      </w:pPr>
      <w:r>
        <w:rPr/>
        <w:t>Outra situação em que é rotina o uso de anticoagulante é o tratamento dos portadores de prótese mecânica, em qualquer local e</w:t>
      </w:r>
      <w:r>
        <w:rPr>
          <w:spacing w:val="-3"/>
        </w:rPr>
        <w:t> </w:t>
      </w:r>
      <w:r>
        <w:rPr/>
        <w:t>por toda</w:t>
      </w:r>
      <w:r>
        <w:rPr>
          <w:spacing w:val="-3"/>
        </w:rPr>
        <w:t> </w:t>
      </w:r>
      <w:r>
        <w:rPr/>
        <w:t>a</w:t>
      </w:r>
      <w:r>
        <w:rPr>
          <w:spacing w:val="-3"/>
        </w:rPr>
        <w:t> </w:t>
      </w:r>
      <w:r>
        <w:rPr/>
        <w:t>vida. A</w:t>
      </w:r>
      <w:r>
        <w:rPr>
          <w:spacing w:val="-3"/>
        </w:rPr>
        <w:t> </w:t>
      </w:r>
      <w:r>
        <w:rPr/>
        <w:t>cardioversão, muitas vezes necessária</w:t>
      </w:r>
      <w:r>
        <w:rPr>
          <w:spacing w:val="-3"/>
        </w:rPr>
        <w:t> </w:t>
      </w:r>
      <w:r>
        <w:rPr/>
        <w:t>para</w:t>
      </w:r>
      <w:r>
        <w:rPr>
          <w:spacing w:val="-3"/>
        </w:rPr>
        <w:t> </w:t>
      </w:r>
      <w:r>
        <w:rPr/>
        <w:t>pacientes com lesão mitral, requer o uso de anticoagulantes para evitar o tromboembolismo que pode ocorrer nessa situação. A ecocardiografia transesofágica</w:t>
      </w:r>
      <w:r>
        <w:rPr>
          <w:spacing w:val="-11"/>
        </w:rPr>
        <w:t> </w:t>
      </w:r>
      <w:r>
        <w:rPr/>
        <w:t>deve</w:t>
      </w:r>
      <w:r>
        <w:rPr>
          <w:spacing w:val="-11"/>
        </w:rPr>
        <w:t> </w:t>
      </w:r>
      <w:r>
        <w:rPr/>
        <w:t>ser</w:t>
      </w:r>
      <w:r>
        <w:rPr>
          <w:spacing w:val="-4"/>
        </w:rPr>
        <w:t> </w:t>
      </w:r>
      <w:r>
        <w:rPr/>
        <w:t>realizada</w:t>
      </w:r>
      <w:r>
        <w:rPr>
          <w:spacing w:val="-11"/>
        </w:rPr>
        <w:t> </w:t>
      </w:r>
      <w:r>
        <w:rPr/>
        <w:t>para</w:t>
      </w:r>
      <w:r>
        <w:rPr>
          <w:spacing w:val="-11"/>
        </w:rPr>
        <w:t> </w:t>
      </w:r>
      <w:r>
        <w:rPr/>
        <w:t>verificar</w:t>
      </w:r>
      <w:r>
        <w:rPr>
          <w:spacing w:val="-4"/>
        </w:rPr>
        <w:t> </w:t>
      </w:r>
      <w:r>
        <w:rPr/>
        <w:t>e</w:t>
      </w:r>
      <w:r>
        <w:rPr>
          <w:spacing w:val="-11"/>
        </w:rPr>
        <w:t> </w:t>
      </w:r>
      <w:r>
        <w:rPr/>
        <w:t>identificar</w:t>
      </w:r>
      <w:r>
        <w:rPr>
          <w:spacing w:val="-4"/>
        </w:rPr>
        <w:t> </w:t>
      </w:r>
      <w:r>
        <w:rPr/>
        <w:t>trombos. Na</w:t>
      </w:r>
      <w:r>
        <w:rPr>
          <w:spacing w:val="-11"/>
        </w:rPr>
        <w:t> </w:t>
      </w:r>
      <w:r>
        <w:rPr/>
        <w:t>sua</w:t>
      </w:r>
      <w:r>
        <w:rPr>
          <w:spacing w:val="-11"/>
        </w:rPr>
        <w:t> </w:t>
      </w:r>
      <w:r>
        <w:rPr/>
        <w:t>presença, deve-se</w:t>
      </w:r>
      <w:r>
        <w:rPr>
          <w:spacing w:val="-11"/>
        </w:rPr>
        <w:t> </w:t>
      </w:r>
      <w:r>
        <w:rPr/>
        <w:t>utilizar</w:t>
      </w:r>
      <w:r>
        <w:rPr>
          <w:spacing w:val="-4"/>
        </w:rPr>
        <w:t> </w:t>
      </w:r>
      <w:r>
        <w:rPr/>
        <w:t>dicumarínico oral</w:t>
      </w:r>
      <w:r>
        <w:rPr>
          <w:spacing w:val="-3"/>
        </w:rPr>
        <w:t> </w:t>
      </w:r>
      <w:r>
        <w:rPr/>
        <w:t>e</w:t>
      </w:r>
      <w:r>
        <w:rPr>
          <w:spacing w:val="-8"/>
        </w:rPr>
        <w:t> </w:t>
      </w:r>
      <w:r>
        <w:rPr/>
        <w:t>manter a</w:t>
      </w:r>
      <w:r>
        <w:rPr>
          <w:spacing w:val="-8"/>
        </w:rPr>
        <w:t> </w:t>
      </w:r>
      <w:r>
        <w:rPr/>
        <w:t>relação</w:t>
      </w:r>
      <w:r>
        <w:rPr>
          <w:spacing w:val="-5"/>
        </w:rPr>
        <w:t> </w:t>
      </w:r>
      <w:r>
        <w:rPr/>
        <w:t>normalizada</w:t>
      </w:r>
      <w:r>
        <w:rPr>
          <w:spacing w:val="-8"/>
        </w:rPr>
        <w:t> </w:t>
      </w:r>
      <w:r>
        <w:rPr/>
        <w:t>internacional</w:t>
      </w:r>
      <w:r>
        <w:rPr>
          <w:spacing w:val="-3"/>
        </w:rPr>
        <w:t> </w:t>
      </w:r>
      <w:r>
        <w:rPr/>
        <w:t>(INR, do</w:t>
      </w:r>
      <w:r>
        <w:rPr>
          <w:spacing w:val="-5"/>
        </w:rPr>
        <w:t> </w:t>
      </w:r>
      <w:r>
        <w:rPr/>
        <w:t>inglês, </w:t>
      </w:r>
      <w:r>
        <w:rPr>
          <w:i/>
        </w:rPr>
        <w:t>international</w:t>
      </w:r>
      <w:r>
        <w:rPr>
          <w:i/>
          <w:spacing w:val="-3"/>
        </w:rPr>
        <w:t> </w:t>
      </w:r>
      <w:r>
        <w:rPr>
          <w:i/>
        </w:rPr>
        <w:t>normalized</w:t>
      </w:r>
      <w:r>
        <w:rPr>
          <w:i/>
          <w:spacing w:val="-5"/>
        </w:rPr>
        <w:t> </w:t>
      </w:r>
      <w:r>
        <w:rPr>
          <w:i/>
        </w:rPr>
        <w:t>ratio</w:t>
      </w:r>
      <w:r>
        <w:rPr/>
        <w:t>) entre</w:t>
      </w:r>
      <w:r>
        <w:rPr>
          <w:spacing w:val="-6"/>
        </w:rPr>
        <w:t> </w:t>
      </w:r>
      <w:r>
        <w:rPr/>
        <w:t>2</w:t>
      </w:r>
      <w:r>
        <w:rPr>
          <w:spacing w:val="-3"/>
        </w:rPr>
        <w:t> </w:t>
      </w:r>
      <w:r>
        <w:rPr/>
        <w:t>e</w:t>
      </w:r>
      <w:r>
        <w:rPr>
          <w:spacing w:val="-6"/>
        </w:rPr>
        <w:t> </w:t>
      </w:r>
      <w:r>
        <w:rPr/>
        <w:t>3, por 3 semanas antes da cardioversão, como profilaxia do risco causado pela estase sanguínea consequente à fibrilação atrial,</w:t>
      </w:r>
      <w:r>
        <w:rPr>
          <w:spacing w:val="-1"/>
        </w:rPr>
        <w:t> </w:t>
      </w:r>
      <w:r>
        <w:rPr/>
        <w:t>e</w:t>
      </w:r>
      <w:r>
        <w:rPr>
          <w:spacing w:val="-11"/>
        </w:rPr>
        <w:t> </w:t>
      </w:r>
      <w:r>
        <w:rPr/>
        <w:t>4</w:t>
      </w:r>
      <w:r>
        <w:rPr>
          <w:spacing w:val="-9"/>
        </w:rPr>
        <w:t> </w:t>
      </w:r>
      <w:r>
        <w:rPr/>
        <w:t>semanas</w:t>
      </w:r>
      <w:r>
        <w:rPr>
          <w:spacing w:val="-1"/>
        </w:rPr>
        <w:t> </w:t>
      </w:r>
      <w:r>
        <w:rPr/>
        <w:t>após,</w:t>
      </w:r>
      <w:r>
        <w:rPr>
          <w:spacing w:val="-1"/>
        </w:rPr>
        <w:t> </w:t>
      </w:r>
      <w:r>
        <w:rPr/>
        <w:t>porque</w:t>
      </w:r>
      <w:r>
        <w:rPr>
          <w:spacing w:val="-11"/>
        </w:rPr>
        <w:t> </w:t>
      </w:r>
      <w:r>
        <w:rPr/>
        <w:t>o</w:t>
      </w:r>
      <w:r>
        <w:rPr>
          <w:spacing w:val="-9"/>
        </w:rPr>
        <w:t> </w:t>
      </w:r>
      <w:r>
        <w:rPr/>
        <w:t>atordoamento</w:t>
      </w:r>
      <w:r>
        <w:rPr>
          <w:spacing w:val="-9"/>
        </w:rPr>
        <w:t> </w:t>
      </w:r>
      <w:r>
        <w:rPr/>
        <w:t>miocárdico,</w:t>
      </w:r>
      <w:r>
        <w:rPr>
          <w:spacing w:val="-1"/>
        </w:rPr>
        <w:t> </w:t>
      </w:r>
      <w:r>
        <w:rPr/>
        <w:t>causado</w:t>
      </w:r>
      <w:r>
        <w:rPr>
          <w:spacing w:val="-9"/>
        </w:rPr>
        <w:t> </w:t>
      </w:r>
      <w:r>
        <w:rPr/>
        <w:t>por</w:t>
      </w:r>
      <w:r>
        <w:rPr>
          <w:spacing w:val="-4"/>
        </w:rPr>
        <w:t> </w:t>
      </w:r>
      <w:r>
        <w:rPr/>
        <w:t>esse</w:t>
      </w:r>
      <w:r>
        <w:rPr>
          <w:spacing w:val="-11"/>
        </w:rPr>
        <w:t> </w:t>
      </w:r>
      <w:r>
        <w:rPr/>
        <w:t>procedimento,</w:t>
      </w:r>
      <w:r>
        <w:rPr>
          <w:spacing w:val="-1"/>
        </w:rPr>
        <w:t> </w:t>
      </w:r>
      <w:r>
        <w:rPr/>
        <w:t>independentemente</w:t>
      </w:r>
      <w:r>
        <w:rPr>
          <w:spacing w:val="-11"/>
        </w:rPr>
        <w:t> </w:t>
      </w:r>
      <w:r>
        <w:rPr/>
        <w:t>de seu</w:t>
      </w:r>
      <w:r>
        <w:rPr>
          <w:spacing w:val="-5"/>
        </w:rPr>
        <w:t> </w:t>
      </w:r>
      <w:r>
        <w:rPr/>
        <w:t>resultado, também</w:t>
      </w:r>
      <w:r>
        <w:rPr>
          <w:spacing w:val="-5"/>
        </w:rPr>
        <w:t> </w:t>
      </w:r>
      <w:r>
        <w:rPr/>
        <w:t>pode</w:t>
      </w:r>
      <w:r>
        <w:rPr>
          <w:spacing w:val="-7"/>
        </w:rPr>
        <w:t> </w:t>
      </w:r>
      <w:r>
        <w:rPr/>
        <w:t>ser uma</w:t>
      </w:r>
      <w:r>
        <w:rPr>
          <w:spacing w:val="-7"/>
        </w:rPr>
        <w:t> </w:t>
      </w:r>
      <w:r>
        <w:rPr/>
        <w:t>fonte</w:t>
      </w:r>
      <w:r>
        <w:rPr>
          <w:spacing w:val="-7"/>
        </w:rPr>
        <w:t> </w:t>
      </w:r>
      <w:r>
        <w:rPr/>
        <w:t>de</w:t>
      </w:r>
      <w:r>
        <w:rPr>
          <w:spacing w:val="-7"/>
        </w:rPr>
        <w:t> </w:t>
      </w:r>
      <w:r>
        <w:rPr/>
        <w:t>êmbolos. Na</w:t>
      </w:r>
      <w:r>
        <w:rPr>
          <w:spacing w:val="-7"/>
        </w:rPr>
        <w:t> </w:t>
      </w:r>
      <w:r>
        <w:rPr/>
        <w:t>ausência</w:t>
      </w:r>
      <w:r>
        <w:rPr>
          <w:spacing w:val="-7"/>
        </w:rPr>
        <w:t> </w:t>
      </w:r>
      <w:r>
        <w:rPr/>
        <w:t>de</w:t>
      </w:r>
      <w:r>
        <w:rPr>
          <w:spacing w:val="-7"/>
        </w:rPr>
        <w:t> </w:t>
      </w:r>
      <w:r>
        <w:rPr/>
        <w:t>trombo, a</w:t>
      </w:r>
      <w:r>
        <w:rPr>
          <w:spacing w:val="-7"/>
        </w:rPr>
        <w:t> </w:t>
      </w:r>
      <w:r>
        <w:rPr/>
        <w:t>cardioversão</w:t>
      </w:r>
      <w:r>
        <w:rPr>
          <w:spacing w:val="-5"/>
        </w:rPr>
        <w:t> </w:t>
      </w:r>
      <w:r>
        <w:rPr/>
        <w:t>pode</w:t>
      </w:r>
      <w:r>
        <w:rPr>
          <w:spacing w:val="-7"/>
        </w:rPr>
        <w:t> </w:t>
      </w:r>
      <w:r>
        <w:rPr/>
        <w:t>ser realizada</w:t>
      </w:r>
      <w:r>
        <w:rPr>
          <w:spacing w:val="-7"/>
        </w:rPr>
        <w:t> </w:t>
      </w:r>
      <w:r>
        <w:rPr/>
        <w:t>na vigência de heparina e posterior manutenção com dicumarínico oral.</w:t>
      </w:r>
    </w:p>
    <w:p>
      <w:pPr>
        <w:pStyle w:val="BodyText"/>
        <w:spacing w:before="134"/>
        <w:ind w:left="0" w:firstLine="0"/>
        <w:jc w:val="left"/>
      </w:pPr>
    </w:p>
    <w:p>
      <w:pPr>
        <w:pStyle w:val="Heading5"/>
        <w:spacing w:before="1"/>
      </w:pPr>
      <w:r>
        <w:rPr>
          <w:color w:val="A26108"/>
        </w:rPr>
        <w:t>Profilaxia</w:t>
      </w:r>
      <w:r>
        <w:rPr>
          <w:color w:val="A26108"/>
          <w:spacing w:val="20"/>
        </w:rPr>
        <w:t> </w:t>
      </w:r>
      <w:r>
        <w:rPr>
          <w:color w:val="A26108"/>
        </w:rPr>
        <w:t>da</w:t>
      </w:r>
      <w:r>
        <w:rPr>
          <w:color w:val="A26108"/>
          <w:spacing w:val="20"/>
        </w:rPr>
        <w:t> </w:t>
      </w:r>
      <w:r>
        <w:rPr>
          <w:color w:val="A26108"/>
        </w:rPr>
        <w:t>doença</w:t>
      </w:r>
      <w:r>
        <w:rPr>
          <w:color w:val="A26108"/>
          <w:spacing w:val="21"/>
        </w:rPr>
        <w:t> </w:t>
      </w:r>
      <w:r>
        <w:rPr>
          <w:color w:val="A26108"/>
          <w:spacing w:val="-2"/>
        </w:rPr>
        <w:t>reumática</w:t>
      </w:r>
    </w:p>
    <w:p>
      <w:pPr>
        <w:pStyle w:val="BodyText"/>
        <w:spacing w:line="276" w:lineRule="auto" w:before="138"/>
        <w:ind w:right="488"/>
      </w:pPr>
      <w:r>
        <w:rPr/>
        <w:t>A</w:t>
      </w:r>
      <w:r>
        <w:rPr>
          <w:spacing w:val="-9"/>
        </w:rPr>
        <w:t> </w:t>
      </w:r>
      <w:r>
        <w:rPr/>
        <w:t>profilaxia</w:t>
      </w:r>
      <w:r>
        <w:rPr>
          <w:spacing w:val="-9"/>
        </w:rPr>
        <w:t> </w:t>
      </w:r>
      <w:r>
        <w:rPr/>
        <w:t>da</w:t>
      </w:r>
      <w:r>
        <w:rPr>
          <w:spacing w:val="-9"/>
        </w:rPr>
        <w:t> </w:t>
      </w:r>
      <w:r>
        <w:rPr/>
        <w:t>doença</w:t>
      </w:r>
      <w:r>
        <w:rPr>
          <w:spacing w:val="-9"/>
        </w:rPr>
        <w:t> </w:t>
      </w:r>
      <w:r>
        <w:rPr/>
        <w:t>reumática</w:t>
      </w:r>
      <w:r>
        <w:rPr>
          <w:spacing w:val="-9"/>
        </w:rPr>
        <w:t> </w:t>
      </w:r>
      <w:r>
        <w:rPr/>
        <w:t>fez</w:t>
      </w:r>
      <w:r>
        <w:rPr>
          <w:spacing w:val="-9"/>
        </w:rPr>
        <w:t> </w:t>
      </w:r>
      <w:r>
        <w:rPr/>
        <w:t>cair</w:t>
      </w:r>
      <w:r>
        <w:rPr>
          <w:spacing w:val="-2"/>
        </w:rPr>
        <w:t> </w:t>
      </w:r>
      <w:r>
        <w:rPr/>
        <w:t>drasticamente</w:t>
      </w:r>
      <w:r>
        <w:rPr>
          <w:spacing w:val="-9"/>
        </w:rPr>
        <w:t> </w:t>
      </w:r>
      <w:r>
        <w:rPr/>
        <w:t>sua</w:t>
      </w:r>
      <w:r>
        <w:rPr>
          <w:spacing w:val="-9"/>
        </w:rPr>
        <w:t> </w:t>
      </w:r>
      <w:r>
        <w:rPr/>
        <w:t>incidência, bem</w:t>
      </w:r>
      <w:r>
        <w:rPr>
          <w:spacing w:val="-7"/>
        </w:rPr>
        <w:t> </w:t>
      </w:r>
      <w:r>
        <w:rPr/>
        <w:t>como</w:t>
      </w:r>
      <w:r>
        <w:rPr>
          <w:spacing w:val="-7"/>
        </w:rPr>
        <w:t> </w:t>
      </w:r>
      <w:r>
        <w:rPr/>
        <w:t>da</w:t>
      </w:r>
      <w:r>
        <w:rPr>
          <w:spacing w:val="-9"/>
        </w:rPr>
        <w:t> </w:t>
      </w:r>
      <w:r>
        <w:rPr/>
        <w:t>infecção</w:t>
      </w:r>
      <w:r>
        <w:rPr>
          <w:spacing w:val="-7"/>
        </w:rPr>
        <w:t> </w:t>
      </w:r>
      <w:r>
        <w:rPr/>
        <w:t>estreptocócica. A </w:t>
      </w:r>
      <w:r>
        <w:rPr>
          <w:i/>
        </w:rPr>
        <w:t>profilaxia primária </w:t>
      </w:r>
      <w:r>
        <w:rPr/>
        <w:t>visa combater esta ou qualquer infecção estreptocócica, prevenindo assim a doença reumática, enquanto a </w:t>
      </w:r>
      <w:r>
        <w:rPr>
          <w:i/>
        </w:rPr>
        <w:t>profilaxia secundária </w:t>
      </w:r>
      <w:r>
        <w:rPr/>
        <w:t>visa combater a recorrência da doença naquela população com elevada taxa de </w:t>
      </w:r>
      <w:r>
        <w:rPr>
          <w:spacing w:val="-2"/>
        </w:rPr>
        <w:t>probabilidade.</w:t>
      </w:r>
    </w:p>
    <w:p>
      <w:pPr>
        <w:pStyle w:val="BodyText"/>
        <w:spacing w:before="24"/>
        <w:ind w:left="0" w:firstLine="0"/>
        <w:jc w:val="left"/>
      </w:pPr>
    </w:p>
    <w:p>
      <w:pPr>
        <w:pStyle w:val="Heading7"/>
      </w:pPr>
      <w:r>
        <w:rPr>
          <w:color w:val="242B67"/>
        </w:rPr>
        <w:t>Profilaxia </w:t>
      </w:r>
      <w:r>
        <w:rPr>
          <w:color w:val="242B67"/>
          <w:spacing w:val="-2"/>
        </w:rPr>
        <w:t>primária</w:t>
      </w:r>
    </w:p>
    <w:p>
      <w:pPr>
        <w:pStyle w:val="BodyText"/>
        <w:spacing w:line="276" w:lineRule="auto" w:before="127"/>
        <w:ind w:right="497"/>
      </w:pPr>
      <w:r>
        <w:rPr/>
        <w:t>Deve ser feita em todos os indivíduos, particularmente em crianças e adolescentes, com infecção por estreptococo beta-hemolítico do grupo A, lembrando a incidência em 3% da população em geral. O progresso da produção da penicilina afastou de vez as impurezas, responsáveis pelos processos alérgicos. Hoje se pode usá-la com maior segurança. Os testes recomendados antigamente são indicados erroneamente, uma vez que a resposta anafilática é qualitativa e não quantitativa, o que significa que o próprio teste, por si só, injetaria dose suficiente para desencadear o processo alérgico. No caso de criança sensível, asmática, alérgica, com urticárias frequentes, deve-se</w:t>
      </w:r>
      <w:r>
        <w:rPr>
          <w:spacing w:val="11"/>
        </w:rPr>
        <w:t> </w:t>
      </w:r>
      <w:r>
        <w:rPr/>
        <w:t>preferir</w:t>
      </w:r>
      <w:r>
        <w:rPr>
          <w:spacing w:val="20"/>
        </w:rPr>
        <w:t> </w:t>
      </w:r>
      <w:r>
        <w:rPr/>
        <w:t>a</w:t>
      </w:r>
      <w:r>
        <w:rPr>
          <w:spacing w:val="11"/>
        </w:rPr>
        <w:t> </w:t>
      </w:r>
      <w:r>
        <w:rPr/>
        <w:t>via</w:t>
      </w:r>
      <w:r>
        <w:rPr>
          <w:spacing w:val="11"/>
        </w:rPr>
        <w:t> </w:t>
      </w:r>
      <w:r>
        <w:rPr/>
        <w:t>oral</w:t>
      </w:r>
      <w:r>
        <w:rPr>
          <w:spacing w:val="16"/>
        </w:rPr>
        <w:t> </w:t>
      </w:r>
      <w:r>
        <w:rPr/>
        <w:t>(VO)</w:t>
      </w:r>
      <w:r>
        <w:rPr>
          <w:spacing w:val="20"/>
        </w:rPr>
        <w:t> </w:t>
      </w:r>
      <w:r>
        <w:rPr/>
        <w:t>e</w:t>
      </w:r>
      <w:r>
        <w:rPr>
          <w:spacing w:val="11"/>
        </w:rPr>
        <w:t> </w:t>
      </w:r>
      <w:r>
        <w:rPr/>
        <w:t>não</w:t>
      </w:r>
      <w:r>
        <w:rPr>
          <w:spacing w:val="14"/>
        </w:rPr>
        <w:t> </w:t>
      </w:r>
      <w:r>
        <w:rPr/>
        <w:t>a</w:t>
      </w:r>
      <w:r>
        <w:rPr>
          <w:spacing w:val="11"/>
        </w:rPr>
        <w:t> </w:t>
      </w:r>
      <w:r>
        <w:rPr/>
        <w:t>parenteral.</w:t>
      </w:r>
      <w:r>
        <w:rPr>
          <w:spacing w:val="22"/>
        </w:rPr>
        <w:t> </w:t>
      </w:r>
      <w:r>
        <w:rPr/>
        <w:t>Outra</w:t>
      </w:r>
      <w:r>
        <w:rPr>
          <w:spacing w:val="11"/>
        </w:rPr>
        <w:t> </w:t>
      </w:r>
      <w:r>
        <w:rPr/>
        <w:t>alternativa</w:t>
      </w:r>
      <w:r>
        <w:rPr>
          <w:spacing w:val="11"/>
        </w:rPr>
        <w:t> </w:t>
      </w:r>
      <w:r>
        <w:rPr/>
        <w:t>é</w:t>
      </w:r>
      <w:r>
        <w:rPr>
          <w:spacing w:val="11"/>
        </w:rPr>
        <w:t> </w:t>
      </w:r>
      <w:r>
        <w:rPr/>
        <w:t>a</w:t>
      </w:r>
      <w:r>
        <w:rPr>
          <w:spacing w:val="11"/>
        </w:rPr>
        <w:t> </w:t>
      </w:r>
      <w:r>
        <w:rPr/>
        <w:t>sulfadiazina,</w:t>
      </w:r>
      <w:r>
        <w:rPr>
          <w:spacing w:val="22"/>
        </w:rPr>
        <w:t> </w:t>
      </w:r>
      <w:r>
        <w:rPr/>
        <w:t>0,5</w:t>
      </w:r>
      <w:r>
        <w:rPr>
          <w:spacing w:val="14"/>
        </w:rPr>
        <w:t> </w:t>
      </w:r>
      <w:r>
        <w:rPr/>
        <w:t>a</w:t>
      </w:r>
      <w:r>
        <w:rPr>
          <w:spacing w:val="11"/>
        </w:rPr>
        <w:t> </w:t>
      </w:r>
      <w:r>
        <w:rPr/>
        <w:t>1</w:t>
      </w:r>
      <w:r>
        <w:rPr>
          <w:spacing w:val="14"/>
        </w:rPr>
        <w:t> </w:t>
      </w:r>
      <w:r>
        <w:rPr/>
        <w:t>g/kg.</w:t>
      </w:r>
      <w:r>
        <w:rPr>
          <w:spacing w:val="22"/>
        </w:rPr>
        <w:t> </w:t>
      </w:r>
      <w:r>
        <w:rPr/>
        <w:t>Nos</w:t>
      </w:r>
      <w:r>
        <w:rPr>
          <w:spacing w:val="22"/>
        </w:rPr>
        <w:t> </w:t>
      </w:r>
      <w:r>
        <w:rPr/>
        <w:t>casos</w:t>
      </w:r>
      <w:r>
        <w:rPr>
          <w:spacing w:val="22"/>
        </w:rPr>
        <w:t> </w:t>
      </w:r>
      <w:r>
        <w:rPr/>
        <w:t>de</w:t>
      </w:r>
    </w:p>
    <w:p>
      <w:pPr>
        <w:pStyle w:val="BodyText"/>
        <w:spacing w:after="0" w:line="276" w:lineRule="auto"/>
        <w:sectPr>
          <w:pgSz w:w="11900" w:h="16840"/>
          <w:pgMar w:top="200" w:bottom="280" w:left="566" w:right="141"/>
        </w:sectPr>
      </w:pPr>
    </w:p>
    <w:p>
      <w:pPr>
        <w:pStyle w:val="BodyText"/>
        <w:spacing w:line="273" w:lineRule="auto" w:before="80"/>
        <w:ind w:firstLine="0"/>
        <w:jc w:val="left"/>
      </w:pPr>
      <w:r>
        <w:rPr/>
        <w:t>hipersensibilidade</w:t>
      </w:r>
      <w:r>
        <w:rPr>
          <w:spacing w:val="-11"/>
        </w:rPr>
        <w:t> </w:t>
      </w:r>
      <w:r>
        <w:rPr/>
        <w:t>aos</w:t>
      </w:r>
      <w:r>
        <w:rPr>
          <w:spacing w:val="-2"/>
        </w:rPr>
        <w:t> </w:t>
      </w:r>
      <w:r>
        <w:rPr/>
        <w:t>dois</w:t>
      </w:r>
      <w:r>
        <w:rPr>
          <w:spacing w:val="-2"/>
        </w:rPr>
        <w:t> </w:t>
      </w:r>
      <w:r>
        <w:rPr/>
        <w:t>medicamentos,</w:t>
      </w:r>
      <w:r>
        <w:rPr>
          <w:spacing w:val="-2"/>
        </w:rPr>
        <w:t> </w:t>
      </w:r>
      <w:r>
        <w:rPr/>
        <w:t>usa-se</w:t>
      </w:r>
      <w:r>
        <w:rPr>
          <w:spacing w:val="-11"/>
        </w:rPr>
        <w:t> </w:t>
      </w:r>
      <w:r>
        <w:rPr/>
        <w:t>como</w:t>
      </w:r>
      <w:r>
        <w:rPr>
          <w:spacing w:val="-9"/>
        </w:rPr>
        <w:t> </w:t>
      </w:r>
      <w:r>
        <w:rPr/>
        <w:t>alternativa</w:t>
      </w:r>
      <w:r>
        <w:rPr>
          <w:spacing w:val="-11"/>
        </w:rPr>
        <w:t> </w:t>
      </w:r>
      <w:r>
        <w:rPr/>
        <w:t>a</w:t>
      </w:r>
      <w:r>
        <w:rPr>
          <w:spacing w:val="-11"/>
        </w:rPr>
        <w:t> </w:t>
      </w:r>
      <w:r>
        <w:rPr/>
        <w:t>eritromicina</w:t>
      </w:r>
      <w:r>
        <w:rPr>
          <w:spacing w:val="-11"/>
        </w:rPr>
        <w:t> </w:t>
      </w:r>
      <w:r>
        <w:rPr/>
        <w:t>na</w:t>
      </w:r>
      <w:r>
        <w:rPr>
          <w:spacing w:val="-11"/>
        </w:rPr>
        <w:t> </w:t>
      </w:r>
      <w:r>
        <w:rPr/>
        <w:t>dosagem</w:t>
      </w:r>
      <w:r>
        <w:rPr>
          <w:spacing w:val="-9"/>
        </w:rPr>
        <w:t> </w:t>
      </w:r>
      <w:r>
        <w:rPr/>
        <w:t>de</w:t>
      </w:r>
      <w:r>
        <w:rPr>
          <w:spacing w:val="-11"/>
        </w:rPr>
        <w:t> </w:t>
      </w:r>
      <w:r>
        <w:rPr/>
        <w:t>250</w:t>
      </w:r>
      <w:r>
        <w:rPr>
          <w:spacing w:val="-9"/>
        </w:rPr>
        <w:t> </w:t>
      </w:r>
      <w:r>
        <w:rPr/>
        <w:t>mg/dia,</w:t>
      </w:r>
      <w:r>
        <w:rPr>
          <w:spacing w:val="-2"/>
        </w:rPr>
        <w:t> </w:t>
      </w:r>
      <w:r>
        <w:rPr/>
        <w:t>com</w:t>
      </w:r>
      <w:r>
        <w:rPr>
          <w:spacing w:val="-9"/>
        </w:rPr>
        <w:t> </w:t>
      </w:r>
      <w:r>
        <w:rPr/>
        <w:t>o cuidado de não prolongar muito o tratamento a ponto de criar resistência.</w:t>
      </w:r>
    </w:p>
    <w:p>
      <w:pPr>
        <w:pStyle w:val="BodyText"/>
        <w:spacing w:before="28"/>
        <w:ind w:left="0" w:firstLine="0"/>
        <w:jc w:val="left"/>
      </w:pPr>
    </w:p>
    <w:p>
      <w:pPr>
        <w:pStyle w:val="Heading7"/>
      </w:pPr>
      <w:r>
        <w:rPr>
          <w:color w:val="242B67"/>
        </w:rPr>
        <w:t>Profilaxia </w:t>
      </w:r>
      <w:r>
        <w:rPr>
          <w:color w:val="242B67"/>
          <w:spacing w:val="-2"/>
        </w:rPr>
        <w:t>secundária</w:t>
      </w:r>
    </w:p>
    <w:p>
      <w:pPr>
        <w:pStyle w:val="BodyText"/>
        <w:spacing w:line="276" w:lineRule="auto" w:before="126"/>
        <w:ind w:right="497"/>
      </w:pPr>
      <w:r>
        <w:rPr/>
        <w:t>O maior problema da profilaxia secundária é que a melhor via para se obter o efeito desejado é a intramuscular (IM), o que dificulta a aceitação por parte de muitos pacientes. A penicilina por via parenteral reduz a infecção estreptocócica a 5% e a recorrência reumática a menos de 1%, comparada com a de 80% antes da profilaxia secundária. A penicilina VO e a sulfa reduzem a infecção estreptocócica a 18 ou 20%. Deve-se utilizar penicilina benzatina na dose 1.200.000 unidades (U), IM, a cada 21 dias e, para crianças até 12 anos, 600.000 U também a cada</w:t>
      </w:r>
      <w:r>
        <w:rPr>
          <w:spacing w:val="-7"/>
        </w:rPr>
        <w:t> </w:t>
      </w:r>
      <w:r>
        <w:rPr/>
        <w:t>21</w:t>
      </w:r>
      <w:r>
        <w:rPr>
          <w:spacing w:val="-4"/>
        </w:rPr>
        <w:t> </w:t>
      </w:r>
      <w:r>
        <w:rPr/>
        <w:t>dias. Se</w:t>
      </w:r>
      <w:r>
        <w:rPr>
          <w:spacing w:val="-7"/>
        </w:rPr>
        <w:t> </w:t>
      </w:r>
      <w:r>
        <w:rPr/>
        <w:t>a</w:t>
      </w:r>
      <w:r>
        <w:rPr>
          <w:spacing w:val="-7"/>
        </w:rPr>
        <w:t> </w:t>
      </w:r>
      <w:r>
        <w:rPr/>
        <w:t>administração</w:t>
      </w:r>
      <w:r>
        <w:rPr>
          <w:spacing w:val="-4"/>
        </w:rPr>
        <w:t> </w:t>
      </w:r>
      <w:r>
        <w:rPr/>
        <w:t>IM for totalmente</w:t>
      </w:r>
      <w:r>
        <w:rPr>
          <w:spacing w:val="-7"/>
        </w:rPr>
        <w:t> </w:t>
      </w:r>
      <w:r>
        <w:rPr/>
        <w:t>inviável, utiliza-se</w:t>
      </w:r>
      <w:r>
        <w:rPr>
          <w:spacing w:val="-7"/>
        </w:rPr>
        <w:t> </w:t>
      </w:r>
      <w:r>
        <w:rPr/>
        <w:t>então</w:t>
      </w:r>
      <w:r>
        <w:rPr>
          <w:spacing w:val="-4"/>
        </w:rPr>
        <w:t> </w:t>
      </w:r>
      <w:r>
        <w:rPr/>
        <w:t>penicilina</w:t>
      </w:r>
      <w:r>
        <w:rPr>
          <w:spacing w:val="-7"/>
        </w:rPr>
        <w:t> </w:t>
      </w:r>
      <w:r>
        <w:rPr/>
        <w:t>V</w:t>
      </w:r>
      <w:r>
        <w:rPr>
          <w:spacing w:val="-7"/>
        </w:rPr>
        <w:t> </w:t>
      </w:r>
      <w:r>
        <w:rPr/>
        <w:t>250</w:t>
      </w:r>
      <w:r>
        <w:rPr>
          <w:spacing w:val="-4"/>
        </w:rPr>
        <w:t> </w:t>
      </w:r>
      <w:r>
        <w:rPr/>
        <w:t>ou</w:t>
      </w:r>
      <w:r>
        <w:rPr>
          <w:spacing w:val="-4"/>
        </w:rPr>
        <w:t> </w:t>
      </w:r>
      <w:r>
        <w:rPr/>
        <w:t>500</w:t>
      </w:r>
      <w:r>
        <w:rPr>
          <w:spacing w:val="-4"/>
        </w:rPr>
        <w:t> </w:t>
      </w:r>
      <w:r>
        <w:rPr/>
        <w:t>mg/dia</w:t>
      </w:r>
      <w:r>
        <w:rPr>
          <w:spacing w:val="-7"/>
        </w:rPr>
        <w:t> </w:t>
      </w:r>
      <w:r>
        <w:rPr/>
        <w:t>e, para pacientes alérgicos, eritromicina VO, 250 ou 500 mg/dia.</w:t>
      </w:r>
    </w:p>
    <w:p>
      <w:pPr>
        <w:pStyle w:val="BodyText"/>
        <w:spacing w:before="9"/>
        <w:ind w:left="0" w:firstLine="0"/>
        <w:jc w:val="left"/>
      </w:pPr>
    </w:p>
    <w:p>
      <w:pPr>
        <w:pStyle w:val="Heading7"/>
      </w:pPr>
      <w:r>
        <w:rPr>
          <w:color w:val="242B67"/>
        </w:rPr>
        <w:t>Erradicação do </w:t>
      </w:r>
      <w:r>
        <w:rPr>
          <w:color w:val="242B67"/>
          <w:spacing w:val="-4"/>
        </w:rPr>
        <w:t>foco</w:t>
      </w:r>
    </w:p>
    <w:p>
      <w:pPr>
        <w:pStyle w:val="BodyText"/>
        <w:spacing w:before="143"/>
        <w:ind w:left="414" w:firstLine="0"/>
      </w:pPr>
      <w:r>
        <w:rPr/>
        <w:t>Todo</w:t>
      </w:r>
      <w:r>
        <w:rPr>
          <w:spacing w:val="-11"/>
        </w:rPr>
        <w:t> </w:t>
      </w:r>
      <w:r>
        <w:rPr/>
        <w:t>tratamento</w:t>
      </w:r>
      <w:r>
        <w:rPr>
          <w:spacing w:val="-8"/>
        </w:rPr>
        <w:t> </w:t>
      </w:r>
      <w:r>
        <w:rPr/>
        <w:t>profilático</w:t>
      </w:r>
      <w:r>
        <w:rPr>
          <w:spacing w:val="-9"/>
        </w:rPr>
        <w:t> </w:t>
      </w:r>
      <w:r>
        <w:rPr/>
        <w:t>só</w:t>
      </w:r>
      <w:r>
        <w:rPr>
          <w:spacing w:val="-8"/>
        </w:rPr>
        <w:t> </w:t>
      </w:r>
      <w:r>
        <w:rPr/>
        <w:t>pode</w:t>
      </w:r>
      <w:r>
        <w:rPr>
          <w:spacing w:val="-11"/>
        </w:rPr>
        <w:t> </w:t>
      </w:r>
      <w:r>
        <w:rPr/>
        <w:t>ser</w:t>
      </w:r>
      <w:r>
        <w:rPr>
          <w:spacing w:val="-3"/>
        </w:rPr>
        <w:t> </w:t>
      </w:r>
      <w:r>
        <w:rPr/>
        <w:t>instituído</w:t>
      </w:r>
      <w:r>
        <w:rPr>
          <w:spacing w:val="-8"/>
        </w:rPr>
        <w:t> </w:t>
      </w:r>
      <w:r>
        <w:rPr/>
        <w:t>após</w:t>
      </w:r>
      <w:r>
        <w:rPr>
          <w:spacing w:val="-1"/>
        </w:rPr>
        <w:t> </w:t>
      </w:r>
      <w:r>
        <w:rPr/>
        <w:t>erradicação</w:t>
      </w:r>
      <w:r>
        <w:rPr>
          <w:spacing w:val="-9"/>
        </w:rPr>
        <w:t> </w:t>
      </w:r>
      <w:r>
        <w:rPr/>
        <w:t>do</w:t>
      </w:r>
      <w:r>
        <w:rPr>
          <w:spacing w:val="-8"/>
        </w:rPr>
        <w:t> </w:t>
      </w:r>
      <w:r>
        <w:rPr/>
        <w:t>foco</w:t>
      </w:r>
      <w:r>
        <w:rPr>
          <w:spacing w:val="-8"/>
        </w:rPr>
        <w:t> </w:t>
      </w:r>
      <w:r>
        <w:rPr>
          <w:spacing w:val="-2"/>
        </w:rPr>
        <w:t>infeccioso.</w:t>
      </w:r>
    </w:p>
    <w:p>
      <w:pPr>
        <w:pStyle w:val="BodyText"/>
        <w:spacing w:before="47"/>
        <w:ind w:left="0" w:firstLine="0"/>
        <w:jc w:val="left"/>
      </w:pPr>
    </w:p>
    <w:p>
      <w:pPr>
        <w:pStyle w:val="Heading7"/>
      </w:pPr>
      <w:r>
        <w:rPr>
          <w:color w:val="242B67"/>
        </w:rPr>
        <w:t>Duração da </w:t>
      </w:r>
      <w:r>
        <w:rPr>
          <w:color w:val="242B67"/>
          <w:spacing w:val="-2"/>
        </w:rPr>
        <w:t>profilaxia</w:t>
      </w:r>
    </w:p>
    <w:p>
      <w:pPr>
        <w:pStyle w:val="BodyText"/>
        <w:spacing w:line="276" w:lineRule="auto" w:before="143"/>
        <w:ind w:right="497"/>
      </w:pPr>
      <w:r>
        <w:rPr/>
        <w:t>Como o reumático nasce com </w:t>
      </w:r>
      <w:r>
        <w:rPr>
          <w:i/>
        </w:rPr>
        <w:t>hipersensibilidade estreptocócica</w:t>
      </w:r>
      <w:r>
        <w:rPr/>
        <w:t>, a profilaxia deveria manter-se por toda vida. Entretanto, na</w:t>
      </w:r>
      <w:r>
        <w:rPr>
          <w:spacing w:val="-3"/>
        </w:rPr>
        <w:t> </w:t>
      </w:r>
      <w:r>
        <w:rPr>
          <w:i/>
        </w:rPr>
        <w:t>prática</w:t>
      </w:r>
      <w:r>
        <w:rPr>
          <w:i/>
          <w:spacing w:val="-7"/>
        </w:rPr>
        <w:t> </w:t>
      </w:r>
      <w:r>
        <w:rPr>
          <w:i/>
        </w:rPr>
        <w:t>clínica</w:t>
      </w:r>
      <w:r>
        <w:rPr/>
        <w:t>, esta obedece à seguinte orientação: para crianças, mantém-se o esquema até 18 anos de idade; adultos, até 5 anos após o último surto. Essa conduta resulta do fato da incidência de recorrência, com o tempo, tornar-se menos frequente. Após a interrupção do procedimento, deve-se fazer acompanhamento pelos títulos de antiestreptolisina O (ASLO, do inglês, </w:t>
      </w:r>
      <w:r>
        <w:rPr>
          <w:i/>
        </w:rPr>
        <w:t>anti-streptolysin</w:t>
      </w:r>
      <w:r>
        <w:rPr>
          <w:i/>
          <w:spacing w:val="-2"/>
        </w:rPr>
        <w:t> </w:t>
      </w:r>
      <w:r>
        <w:rPr>
          <w:i/>
        </w:rPr>
        <w:t>O</w:t>
      </w:r>
      <w:r>
        <w:rPr/>
        <w:t>) de 3 a 4 vezes ao ano, sabendo-se que, se os títulos se elevarem, novos surtos da doença ocorrerão, clinicamente detectáveis ou não. Em alguns casos, a profilaxia é aconselhada durante toda a vida, levando em conta indivíduos em que a suspensão da profilaxia faz recorrer a estreptococcia; indivíduos que vivem e trabalham em ambientes confinados: enfermeiros, médicos, pessoal hospitalar; indivíduos com características próprias ou familiares, com grande</w:t>
      </w:r>
      <w:r>
        <w:rPr>
          <w:spacing w:val="-3"/>
        </w:rPr>
        <w:t> </w:t>
      </w:r>
      <w:r>
        <w:rPr/>
        <w:t>intensidade</w:t>
      </w:r>
      <w:r>
        <w:rPr>
          <w:spacing w:val="-3"/>
        </w:rPr>
        <w:t> </w:t>
      </w:r>
      <w:r>
        <w:rPr/>
        <w:t>de</w:t>
      </w:r>
      <w:r>
        <w:rPr>
          <w:spacing w:val="-3"/>
        </w:rPr>
        <w:t> </w:t>
      </w:r>
      <w:r>
        <w:rPr/>
        <w:t>recorrência</w:t>
      </w:r>
      <w:r>
        <w:rPr>
          <w:spacing w:val="-3"/>
        </w:rPr>
        <w:t> </w:t>
      </w:r>
      <w:r>
        <w:rPr/>
        <w:t>de estreptococcias; e</w:t>
      </w:r>
      <w:r>
        <w:rPr>
          <w:spacing w:val="-1"/>
        </w:rPr>
        <w:t> </w:t>
      </w:r>
      <w:r>
        <w:rPr/>
        <w:t>particularmente</w:t>
      </w:r>
      <w:r>
        <w:rPr>
          <w:spacing w:val="-1"/>
        </w:rPr>
        <w:t> </w:t>
      </w:r>
      <w:r>
        <w:rPr/>
        <w:t>nos portadores de</w:t>
      </w:r>
      <w:r>
        <w:rPr>
          <w:spacing w:val="-1"/>
        </w:rPr>
        <w:t> </w:t>
      </w:r>
      <w:r>
        <w:rPr/>
        <w:t>cardiopatias valvares residuais.</w:t>
      </w:r>
    </w:p>
    <w:p>
      <w:pPr>
        <w:pStyle w:val="BodyText"/>
        <w:spacing w:before="9"/>
        <w:ind w:left="0" w:firstLine="0"/>
        <w:jc w:val="left"/>
      </w:pPr>
    </w:p>
    <w:p>
      <w:pPr>
        <w:pStyle w:val="Heading7"/>
      </w:pPr>
      <w:r>
        <w:rPr>
          <w:color w:val="242B67"/>
        </w:rPr>
        <w:t>Situações que interferem na </w:t>
      </w:r>
      <w:r>
        <w:rPr>
          <w:color w:val="242B67"/>
          <w:spacing w:val="-2"/>
        </w:rPr>
        <w:t>profilaxia</w:t>
      </w:r>
    </w:p>
    <w:p>
      <w:pPr>
        <w:pStyle w:val="BodyText"/>
        <w:spacing w:line="276" w:lineRule="auto" w:before="127"/>
        <w:ind w:right="500"/>
      </w:pPr>
      <w:r>
        <w:rPr/>
        <w:t>O absenteísmo ou irregularidade na medicação ocorre com certa frequência em período de férias escolares, mudança de colégio ou de residência; intensidade do aporte bacteriano e natureza dos germes; formas </w:t>
      </w:r>
      <w:r>
        <w:rPr>
          <w:i/>
        </w:rPr>
        <w:t>L</w:t>
      </w:r>
      <w:r>
        <w:rPr/>
        <w:t>, que só crescem em meios onde há bactérias produtoras de penicilinase.</w:t>
      </w:r>
    </w:p>
    <w:p>
      <w:pPr>
        <w:pStyle w:val="BodyText"/>
        <w:spacing w:before="24"/>
        <w:ind w:left="0" w:firstLine="0"/>
        <w:jc w:val="left"/>
      </w:pPr>
    </w:p>
    <w:p>
      <w:pPr>
        <w:pStyle w:val="Heading7"/>
      </w:pPr>
      <w:r>
        <w:rPr>
          <w:color w:val="242B67"/>
        </w:rPr>
        <w:t>Efeitos </w:t>
      </w:r>
      <w:r>
        <w:rPr>
          <w:color w:val="242B67"/>
          <w:spacing w:val="-2"/>
        </w:rPr>
        <w:t>nocivos</w:t>
      </w:r>
    </w:p>
    <w:p>
      <w:pPr>
        <w:pStyle w:val="BodyText"/>
        <w:spacing w:line="276" w:lineRule="auto" w:before="126"/>
        <w:ind w:right="488"/>
      </w:pPr>
      <w:r>
        <w:rPr/>
        <w:t>A profilaxia secundária, após 10 ou 15 anos, pode determinar afecções digestivas por destruição da flora e infecções secundárias por germes de competição; entretanto, esses efeitos são discretos e não afastam o valor da </w:t>
      </w:r>
      <w:r>
        <w:rPr>
          <w:spacing w:val="-2"/>
        </w:rPr>
        <w:t>profilaxia.</w:t>
      </w:r>
    </w:p>
    <w:p>
      <w:pPr>
        <w:pStyle w:val="BodyText"/>
        <w:spacing w:before="24"/>
        <w:ind w:left="0" w:firstLine="0"/>
        <w:jc w:val="left"/>
      </w:pPr>
    </w:p>
    <w:p>
      <w:pPr>
        <w:pStyle w:val="Heading7"/>
        <w:spacing w:before="1"/>
      </w:pPr>
      <w:r>
        <w:rPr>
          <w:color w:val="242B67"/>
        </w:rPr>
        <w:t>Portadores de </w:t>
      </w:r>
      <w:r>
        <w:rPr>
          <w:color w:val="242B67"/>
          <w:spacing w:val="-2"/>
        </w:rPr>
        <w:t>estreptococos</w:t>
      </w:r>
    </w:p>
    <w:p>
      <w:pPr>
        <w:pStyle w:val="BodyText"/>
        <w:spacing w:line="276" w:lineRule="auto" w:before="126"/>
        <w:ind w:right="500"/>
      </w:pPr>
      <w:r>
        <w:rPr/>
        <w:t>Há indivíduos que, embora não tenham a doença ativa, são portadores de estreptococos. Se esses indivíduos morarem com reumáticos, deverão ser tratados.</w:t>
      </w:r>
    </w:p>
    <w:p>
      <w:pPr>
        <w:pStyle w:val="BodyText"/>
        <w:spacing w:before="133"/>
        <w:ind w:left="0" w:firstLine="0"/>
        <w:jc w:val="left"/>
      </w:pPr>
    </w:p>
    <w:p>
      <w:pPr>
        <w:pStyle w:val="Heading5"/>
        <w:spacing w:before="1"/>
      </w:pPr>
      <w:r>
        <w:rPr>
          <w:color w:val="A26108"/>
        </w:rPr>
        <w:t>Profilaxia</w:t>
      </w:r>
      <w:r>
        <w:rPr>
          <w:color w:val="A26108"/>
          <w:spacing w:val="26"/>
        </w:rPr>
        <w:t> </w:t>
      </w:r>
      <w:r>
        <w:rPr>
          <w:color w:val="A26108"/>
        </w:rPr>
        <w:t>para</w:t>
      </w:r>
      <w:r>
        <w:rPr>
          <w:color w:val="A26108"/>
          <w:spacing w:val="27"/>
        </w:rPr>
        <w:t> </w:t>
      </w:r>
      <w:r>
        <w:rPr>
          <w:color w:val="A26108"/>
        </w:rPr>
        <w:t>endocardite</w:t>
      </w:r>
      <w:r>
        <w:rPr>
          <w:color w:val="A26108"/>
          <w:spacing w:val="26"/>
        </w:rPr>
        <w:t> </w:t>
      </w:r>
      <w:r>
        <w:rPr>
          <w:color w:val="A26108"/>
          <w:spacing w:val="-2"/>
        </w:rPr>
        <w:t>infecciosa</w:t>
      </w:r>
    </w:p>
    <w:p>
      <w:pPr>
        <w:pStyle w:val="BodyText"/>
        <w:spacing w:line="276" w:lineRule="auto" w:before="138"/>
        <w:ind w:right="491"/>
      </w:pPr>
      <w:r>
        <w:rPr/>
        <w:t>A instituição sistemática da profilaxia diminui significativamente a incidência dessa doença nos pacientes em alto risco. Assim, a American Heart Association (AHA) e a British Society for Antimicrobial Chemoterapy padronizaram os casos com indicação para profilaxia, conforme as condições do doente e dos procedimentos com risco de contaminação.</w:t>
      </w:r>
    </w:p>
    <w:p>
      <w:pPr>
        <w:pStyle w:val="BodyText"/>
        <w:spacing w:before="48"/>
        <w:ind w:left="414" w:firstLine="0"/>
      </w:pPr>
      <w:r>
        <w:rPr/>
        <w:t>A</w:t>
      </w:r>
      <w:r>
        <w:rPr>
          <w:spacing w:val="-12"/>
        </w:rPr>
        <w:t> </w:t>
      </w:r>
      <w:r>
        <w:rPr/>
        <w:t>profilaxia</w:t>
      </w:r>
      <w:r>
        <w:rPr>
          <w:spacing w:val="-11"/>
        </w:rPr>
        <w:t> </w:t>
      </w:r>
      <w:r>
        <w:rPr/>
        <w:t>sistemática</w:t>
      </w:r>
      <w:r>
        <w:rPr>
          <w:spacing w:val="-11"/>
        </w:rPr>
        <w:t> </w:t>
      </w:r>
      <w:r>
        <w:rPr/>
        <w:t>para</w:t>
      </w:r>
      <w:r>
        <w:rPr>
          <w:spacing w:val="-11"/>
        </w:rPr>
        <w:t> </w:t>
      </w:r>
      <w:r>
        <w:rPr/>
        <w:t>endocardite</w:t>
      </w:r>
      <w:r>
        <w:rPr>
          <w:spacing w:val="-11"/>
        </w:rPr>
        <w:t> </w:t>
      </w:r>
      <w:r>
        <w:rPr/>
        <w:t>infecciosa</w:t>
      </w:r>
      <w:r>
        <w:rPr>
          <w:spacing w:val="-11"/>
        </w:rPr>
        <w:t> </w:t>
      </w:r>
      <w:r>
        <w:rPr/>
        <w:t>deve</w:t>
      </w:r>
      <w:r>
        <w:rPr>
          <w:spacing w:val="-11"/>
        </w:rPr>
        <w:t> </w:t>
      </w:r>
      <w:r>
        <w:rPr/>
        <w:t>ser</w:t>
      </w:r>
      <w:r>
        <w:rPr>
          <w:spacing w:val="-4"/>
        </w:rPr>
        <w:t> </w:t>
      </w:r>
      <w:r>
        <w:rPr/>
        <w:t>instituída</w:t>
      </w:r>
      <w:r>
        <w:rPr>
          <w:spacing w:val="-11"/>
        </w:rPr>
        <w:t> </w:t>
      </w:r>
      <w:r>
        <w:rPr/>
        <w:t>nos</w:t>
      </w:r>
      <w:r>
        <w:rPr>
          <w:spacing w:val="-2"/>
        </w:rPr>
        <w:t> </w:t>
      </w:r>
      <w:r>
        <w:rPr/>
        <w:t>pacientes</w:t>
      </w:r>
      <w:r>
        <w:rPr>
          <w:spacing w:val="-1"/>
        </w:rPr>
        <w:t> </w:t>
      </w:r>
      <w:r>
        <w:rPr/>
        <w:t>de</w:t>
      </w:r>
      <w:r>
        <w:rPr>
          <w:spacing w:val="-11"/>
        </w:rPr>
        <w:t> </w:t>
      </w:r>
      <w:r>
        <w:rPr/>
        <w:t>alto</w:t>
      </w:r>
      <w:r>
        <w:rPr>
          <w:spacing w:val="-9"/>
        </w:rPr>
        <w:t> </w:t>
      </w:r>
      <w:r>
        <w:rPr/>
        <w:t>risco</w:t>
      </w:r>
      <w:r>
        <w:rPr>
          <w:spacing w:val="-8"/>
        </w:rPr>
        <w:t> </w:t>
      </w:r>
      <w:r>
        <w:rPr>
          <w:spacing w:val="-4"/>
        </w:rPr>
        <w:t>com:</w:t>
      </w:r>
    </w:p>
    <w:p>
      <w:pPr>
        <w:pStyle w:val="ListParagraph"/>
        <w:numPr>
          <w:ilvl w:val="0"/>
          <w:numId w:val="4"/>
        </w:numPr>
        <w:tabs>
          <w:tab w:pos="397" w:val="left" w:leader="none"/>
        </w:tabs>
        <w:spacing w:line="240" w:lineRule="auto" w:before="216" w:after="0"/>
        <w:ind w:left="397" w:right="0" w:hanging="329"/>
        <w:jc w:val="left"/>
        <w:rPr>
          <w:sz w:val="23"/>
        </w:rPr>
      </w:pPr>
      <w:r>
        <w:rPr>
          <w:sz w:val="23"/>
        </w:rPr>
        <w:t>Substitutos</w:t>
      </w:r>
      <w:r>
        <w:rPr>
          <w:spacing w:val="2"/>
          <w:sz w:val="23"/>
        </w:rPr>
        <w:t> </w:t>
      </w:r>
      <w:r>
        <w:rPr>
          <w:spacing w:val="-2"/>
          <w:sz w:val="23"/>
        </w:rPr>
        <w:t>valvares</w:t>
      </w:r>
    </w:p>
    <w:p>
      <w:pPr>
        <w:pStyle w:val="ListParagraph"/>
        <w:numPr>
          <w:ilvl w:val="0"/>
          <w:numId w:val="4"/>
        </w:numPr>
        <w:tabs>
          <w:tab w:pos="397" w:val="left" w:leader="none"/>
        </w:tabs>
        <w:spacing w:line="240" w:lineRule="auto" w:before="56" w:after="0"/>
        <w:ind w:left="397" w:right="0" w:hanging="329"/>
        <w:jc w:val="left"/>
        <w:rPr>
          <w:sz w:val="23"/>
        </w:rPr>
      </w:pPr>
      <w:r>
        <w:rPr>
          <w:sz w:val="23"/>
        </w:rPr>
        <w:t>Endocardite</w:t>
      </w:r>
      <w:r>
        <w:rPr>
          <w:spacing w:val="-14"/>
          <w:sz w:val="23"/>
        </w:rPr>
        <w:t> </w:t>
      </w:r>
      <w:r>
        <w:rPr>
          <w:sz w:val="23"/>
        </w:rPr>
        <w:t>infecciosa</w:t>
      </w:r>
      <w:r>
        <w:rPr>
          <w:spacing w:val="-14"/>
          <w:sz w:val="23"/>
        </w:rPr>
        <w:t> </w:t>
      </w:r>
      <w:r>
        <w:rPr>
          <w:sz w:val="23"/>
        </w:rPr>
        <w:t>prévia,</w:t>
      </w:r>
      <w:r>
        <w:rPr>
          <w:spacing w:val="-5"/>
          <w:sz w:val="23"/>
        </w:rPr>
        <w:t> </w:t>
      </w:r>
      <w:r>
        <w:rPr>
          <w:sz w:val="23"/>
        </w:rPr>
        <w:t>mesmo</w:t>
      </w:r>
      <w:r>
        <w:rPr>
          <w:spacing w:val="-11"/>
          <w:sz w:val="23"/>
        </w:rPr>
        <w:t> </w:t>
      </w:r>
      <w:r>
        <w:rPr>
          <w:sz w:val="23"/>
        </w:rPr>
        <w:t>sem</w:t>
      </w:r>
      <w:r>
        <w:rPr>
          <w:spacing w:val="-11"/>
          <w:sz w:val="23"/>
        </w:rPr>
        <w:t> </w:t>
      </w:r>
      <w:r>
        <w:rPr>
          <w:spacing w:val="-2"/>
          <w:sz w:val="23"/>
        </w:rPr>
        <w:t>cardiopatia</w:t>
      </w:r>
    </w:p>
    <w:p>
      <w:pPr>
        <w:pStyle w:val="ListParagraph"/>
        <w:spacing w:after="0" w:line="240" w:lineRule="auto"/>
        <w:jc w:val="left"/>
        <w:rPr>
          <w:sz w:val="23"/>
        </w:rPr>
        <w:sectPr>
          <w:pgSz w:w="11900" w:h="16840"/>
          <w:pgMar w:top="180" w:bottom="280" w:left="566" w:right="141"/>
        </w:sectPr>
      </w:pPr>
    </w:p>
    <w:p>
      <w:pPr>
        <w:pStyle w:val="ListParagraph"/>
        <w:numPr>
          <w:ilvl w:val="0"/>
          <w:numId w:val="4"/>
        </w:numPr>
        <w:tabs>
          <w:tab w:pos="397" w:val="left" w:leader="none"/>
        </w:tabs>
        <w:spacing w:line="240" w:lineRule="auto" w:before="77" w:after="0"/>
        <w:ind w:left="397" w:right="0" w:hanging="329"/>
        <w:jc w:val="left"/>
        <w:rPr>
          <w:sz w:val="23"/>
        </w:rPr>
      </w:pPr>
      <w:r>
        <w:rPr>
          <w:sz w:val="23"/>
        </w:rPr>
        <w:t>Cardiopatias</w:t>
      </w:r>
      <w:r>
        <w:rPr>
          <w:spacing w:val="-12"/>
          <w:sz w:val="23"/>
        </w:rPr>
        <w:t> </w:t>
      </w:r>
      <w:r>
        <w:rPr>
          <w:spacing w:val="-2"/>
          <w:sz w:val="23"/>
        </w:rPr>
        <w:t>congênitas</w:t>
      </w:r>
    </w:p>
    <w:p>
      <w:pPr>
        <w:pStyle w:val="ListParagraph"/>
        <w:numPr>
          <w:ilvl w:val="0"/>
          <w:numId w:val="4"/>
        </w:numPr>
        <w:tabs>
          <w:tab w:pos="397" w:val="left" w:leader="none"/>
        </w:tabs>
        <w:spacing w:line="240" w:lineRule="auto" w:before="56" w:after="0"/>
        <w:ind w:left="397" w:right="0" w:hanging="329"/>
        <w:jc w:val="left"/>
        <w:rPr>
          <w:sz w:val="23"/>
        </w:rPr>
      </w:pPr>
      <w:r>
        <w:rPr>
          <w:spacing w:val="-2"/>
          <w:sz w:val="23"/>
        </w:rPr>
        <w:t>Valvopatias,</w:t>
      </w:r>
      <w:r>
        <w:rPr>
          <w:spacing w:val="5"/>
          <w:sz w:val="23"/>
        </w:rPr>
        <w:t> </w:t>
      </w:r>
      <w:r>
        <w:rPr>
          <w:spacing w:val="-2"/>
          <w:sz w:val="23"/>
        </w:rPr>
        <w:t>mesmo</w:t>
      </w:r>
      <w:r>
        <w:rPr>
          <w:spacing w:val="-3"/>
          <w:sz w:val="23"/>
        </w:rPr>
        <w:t> </w:t>
      </w:r>
      <w:r>
        <w:rPr>
          <w:spacing w:val="-2"/>
          <w:sz w:val="23"/>
        </w:rPr>
        <w:t>após</w:t>
      </w:r>
      <w:r>
        <w:rPr>
          <w:spacing w:val="5"/>
          <w:sz w:val="23"/>
        </w:rPr>
        <w:t> </w:t>
      </w:r>
      <w:r>
        <w:rPr>
          <w:spacing w:val="-2"/>
          <w:sz w:val="23"/>
        </w:rPr>
        <w:t>correção</w:t>
      </w:r>
      <w:r>
        <w:rPr>
          <w:spacing w:val="-3"/>
          <w:sz w:val="23"/>
        </w:rPr>
        <w:t> </w:t>
      </w:r>
      <w:r>
        <w:rPr>
          <w:spacing w:val="-2"/>
          <w:sz w:val="23"/>
        </w:rPr>
        <w:t>cirúrgica</w:t>
      </w:r>
    </w:p>
    <w:p>
      <w:pPr>
        <w:pStyle w:val="ListParagraph"/>
        <w:numPr>
          <w:ilvl w:val="0"/>
          <w:numId w:val="4"/>
        </w:numPr>
        <w:tabs>
          <w:tab w:pos="397" w:val="left" w:leader="none"/>
        </w:tabs>
        <w:spacing w:line="240" w:lineRule="auto" w:before="72" w:after="0"/>
        <w:ind w:left="397" w:right="0" w:hanging="329"/>
        <w:jc w:val="left"/>
        <w:rPr>
          <w:sz w:val="23"/>
        </w:rPr>
      </w:pPr>
      <w:r>
        <w:rPr>
          <w:spacing w:val="-2"/>
          <w:sz w:val="23"/>
        </w:rPr>
        <w:t>Cardiomiopatia</w:t>
      </w:r>
      <w:r>
        <w:rPr>
          <w:spacing w:val="3"/>
          <w:sz w:val="23"/>
        </w:rPr>
        <w:t> </w:t>
      </w:r>
      <w:r>
        <w:rPr>
          <w:spacing w:val="-2"/>
          <w:sz w:val="23"/>
        </w:rPr>
        <w:t>hipertrófica</w:t>
      </w:r>
    </w:p>
    <w:p>
      <w:pPr>
        <w:pStyle w:val="ListParagraph"/>
        <w:numPr>
          <w:ilvl w:val="0"/>
          <w:numId w:val="4"/>
        </w:numPr>
        <w:tabs>
          <w:tab w:pos="397" w:val="left" w:leader="none"/>
        </w:tabs>
        <w:spacing w:line="240" w:lineRule="auto" w:before="56" w:after="0"/>
        <w:ind w:left="397" w:right="0" w:hanging="329"/>
        <w:jc w:val="left"/>
        <w:rPr>
          <w:sz w:val="23"/>
        </w:rPr>
      </w:pPr>
      <w:r>
        <w:rPr>
          <w:sz w:val="23"/>
        </w:rPr>
        <w:t>Prolapso</w:t>
      </w:r>
      <w:r>
        <w:rPr>
          <w:spacing w:val="-11"/>
          <w:sz w:val="23"/>
        </w:rPr>
        <w:t> </w:t>
      </w:r>
      <w:r>
        <w:rPr>
          <w:sz w:val="23"/>
        </w:rPr>
        <w:t>de</w:t>
      </w:r>
      <w:r>
        <w:rPr>
          <w:spacing w:val="-12"/>
          <w:sz w:val="23"/>
        </w:rPr>
        <w:t> </w:t>
      </w:r>
      <w:r>
        <w:rPr>
          <w:sz w:val="23"/>
        </w:rPr>
        <w:t>valva</w:t>
      </w:r>
      <w:r>
        <w:rPr>
          <w:spacing w:val="-13"/>
          <w:sz w:val="23"/>
        </w:rPr>
        <w:t> </w:t>
      </w:r>
      <w:r>
        <w:rPr>
          <w:sz w:val="23"/>
        </w:rPr>
        <w:t>mitral</w:t>
      </w:r>
      <w:r>
        <w:rPr>
          <w:spacing w:val="-7"/>
          <w:sz w:val="23"/>
        </w:rPr>
        <w:t> </w:t>
      </w:r>
      <w:r>
        <w:rPr>
          <w:sz w:val="23"/>
        </w:rPr>
        <w:t>com</w:t>
      </w:r>
      <w:r>
        <w:rPr>
          <w:spacing w:val="-10"/>
          <w:sz w:val="23"/>
        </w:rPr>
        <w:t> </w:t>
      </w:r>
      <w:r>
        <w:rPr>
          <w:sz w:val="23"/>
        </w:rPr>
        <w:t>regurgitação</w:t>
      </w:r>
      <w:r>
        <w:rPr>
          <w:spacing w:val="-10"/>
          <w:sz w:val="23"/>
        </w:rPr>
        <w:t> </w:t>
      </w:r>
      <w:r>
        <w:rPr>
          <w:spacing w:val="-2"/>
          <w:sz w:val="23"/>
        </w:rPr>
        <w:t>valvar.</w:t>
      </w:r>
    </w:p>
    <w:p>
      <w:pPr>
        <w:pStyle w:val="BodyText"/>
        <w:spacing w:before="15"/>
        <w:ind w:left="0" w:firstLine="0"/>
        <w:jc w:val="left"/>
      </w:pPr>
    </w:p>
    <w:p>
      <w:pPr>
        <w:pStyle w:val="BodyText"/>
        <w:spacing w:line="276" w:lineRule="auto" w:before="1"/>
        <w:ind w:right="488"/>
      </w:pPr>
      <w:r>
        <w:rPr/>
        <w:t>Os pacientes com prolapso da valva mitral, que apresentam sopro, devem submeter-se à profilaxia para endocardite. Essa exigência deve ser mais rigorosa se o paciente for do sexo masculino e tiver mais de 40 anos.</w:t>
      </w:r>
    </w:p>
    <w:p>
      <w:pPr>
        <w:pStyle w:val="BodyText"/>
        <w:spacing w:before="8"/>
        <w:ind w:left="0" w:firstLine="0"/>
        <w:jc w:val="left"/>
      </w:pPr>
    </w:p>
    <w:p>
      <w:pPr>
        <w:pStyle w:val="Heading7"/>
      </w:pPr>
      <w:r>
        <w:rPr>
          <w:color w:val="242B67"/>
        </w:rPr>
        <w:t>Procedimentos com risco de </w:t>
      </w:r>
      <w:r>
        <w:rPr>
          <w:color w:val="242B67"/>
          <w:spacing w:val="-2"/>
        </w:rPr>
        <w:t>contaminação</w:t>
      </w:r>
    </w:p>
    <w:p>
      <w:pPr>
        <w:pStyle w:val="BodyText"/>
        <w:spacing w:line="276" w:lineRule="auto" w:before="142"/>
        <w:ind w:right="491"/>
      </w:pPr>
      <w:r>
        <w:rPr/>
        <w:t>A profilaxia deve ser recomendada para as seguintes intervenções: procedimentos que induzem sangramento gengival ou mucoso, englobando limpeza; extração dentária; tonsilectomia acompanhada ou não de adenectomia; operações envolvendo</w:t>
      </w:r>
      <w:r>
        <w:rPr>
          <w:spacing w:val="-7"/>
        </w:rPr>
        <w:t> </w:t>
      </w:r>
      <w:r>
        <w:rPr/>
        <w:t>mucosa</w:t>
      </w:r>
      <w:r>
        <w:rPr>
          <w:spacing w:val="-9"/>
        </w:rPr>
        <w:t> </w:t>
      </w:r>
      <w:r>
        <w:rPr/>
        <w:t>intestinal</w:t>
      </w:r>
      <w:r>
        <w:rPr>
          <w:spacing w:val="-5"/>
        </w:rPr>
        <w:t> </w:t>
      </w:r>
      <w:r>
        <w:rPr/>
        <w:t>ou</w:t>
      </w:r>
      <w:r>
        <w:rPr>
          <w:spacing w:val="-7"/>
        </w:rPr>
        <w:t> </w:t>
      </w:r>
      <w:r>
        <w:rPr/>
        <w:t>respiratória;</w:t>
      </w:r>
      <w:r>
        <w:rPr>
          <w:spacing w:val="-5"/>
        </w:rPr>
        <w:t> </w:t>
      </w:r>
      <w:r>
        <w:rPr/>
        <w:t>broncoscopia</w:t>
      </w:r>
      <w:r>
        <w:rPr>
          <w:spacing w:val="-9"/>
        </w:rPr>
        <w:t> </w:t>
      </w:r>
      <w:r>
        <w:rPr/>
        <w:t>com</w:t>
      </w:r>
      <w:r>
        <w:rPr>
          <w:spacing w:val="-7"/>
        </w:rPr>
        <w:t> </w:t>
      </w:r>
      <w:r>
        <w:rPr/>
        <w:t>broncoscópio</w:t>
      </w:r>
      <w:r>
        <w:rPr>
          <w:spacing w:val="-7"/>
        </w:rPr>
        <w:t> </w:t>
      </w:r>
      <w:r>
        <w:rPr/>
        <w:t>rígido;</w:t>
      </w:r>
      <w:r>
        <w:rPr>
          <w:spacing w:val="-5"/>
        </w:rPr>
        <w:t> </w:t>
      </w:r>
      <w:r>
        <w:rPr/>
        <w:t>escleroterapia</w:t>
      </w:r>
      <w:r>
        <w:rPr>
          <w:spacing w:val="-9"/>
        </w:rPr>
        <w:t> </w:t>
      </w:r>
      <w:r>
        <w:rPr/>
        <w:t>para varizes esofágicas; dilatação esofágica; cirurgia de vesícula biliar; cistoscopia; dilatação uretral; cateterismo ou operação do trato urinário na presença de infecção; cirurgia prostática; incisão e drenagem de tecido infectado; histerectomia vaginal; parto normal na presença de infecção.</w:t>
      </w:r>
    </w:p>
    <w:p>
      <w:pPr>
        <w:pStyle w:val="BodyText"/>
        <w:spacing w:before="9"/>
        <w:ind w:left="0" w:firstLine="0"/>
        <w:jc w:val="left"/>
      </w:pPr>
    </w:p>
    <w:p>
      <w:pPr>
        <w:pStyle w:val="Heading7"/>
      </w:pPr>
      <w:r>
        <w:rPr>
          <w:color w:val="242B67"/>
        </w:rPr>
        <w:t>Esquema profilático para cavidade oral evia respiratória </w:t>
      </w:r>
      <w:r>
        <w:rPr>
          <w:color w:val="242B67"/>
          <w:spacing w:val="-2"/>
        </w:rPr>
        <w:t>superior</w:t>
      </w:r>
    </w:p>
    <w:p>
      <w:pPr>
        <w:pStyle w:val="BodyText"/>
        <w:spacing w:line="276" w:lineRule="auto" w:before="126"/>
        <w:ind w:right="497"/>
      </w:pPr>
      <w:r>
        <w:rPr/>
        <w:t>A AHA estabeleceu uma série de recomendações a serem adotadas antes da manipulação para tratamentos dentários ou procedimentos no trato respiratório ou no esôfago. Considerado o grau de</w:t>
      </w:r>
      <w:r>
        <w:rPr>
          <w:spacing w:val="-2"/>
        </w:rPr>
        <w:t> </w:t>
      </w:r>
      <w:r>
        <w:rPr/>
        <w:t>risco: para</w:t>
      </w:r>
      <w:r>
        <w:rPr>
          <w:spacing w:val="-2"/>
        </w:rPr>
        <w:t> </w:t>
      </w:r>
      <w:r>
        <w:rPr>
          <w:i/>
        </w:rPr>
        <w:t>risco</w:t>
      </w:r>
      <w:r>
        <w:rPr>
          <w:i/>
          <w:spacing w:val="-4"/>
        </w:rPr>
        <w:t> </w:t>
      </w:r>
      <w:r>
        <w:rPr>
          <w:i/>
        </w:rPr>
        <w:t>moderado</w:t>
      </w:r>
      <w:r>
        <w:rPr/>
        <w:t>, o paciente deve tomar amoxicilina 2 g, VO, 1 h antes do procedimento; e para os alérgicos à penicilina, indica-se cefalodril na posologia de 2 g, também 1 h antes, ou azitromicina, bem como claritromicina 500 mg na hora precedente. No </w:t>
      </w:r>
      <w:r>
        <w:rPr>
          <w:i/>
        </w:rPr>
        <w:t>risco elevado</w:t>
      </w:r>
      <w:r>
        <w:rPr/>
        <w:t>, a ampicilina deve ser ministrada.</w:t>
      </w:r>
    </w:p>
    <w:p>
      <w:pPr>
        <w:pStyle w:val="BodyText"/>
        <w:spacing w:before="25"/>
        <w:ind w:left="0" w:firstLine="0"/>
        <w:jc w:val="left"/>
      </w:pPr>
    </w:p>
    <w:p>
      <w:pPr>
        <w:pStyle w:val="Heading7"/>
      </w:pPr>
      <w:r>
        <w:rPr>
          <w:color w:val="242B67"/>
        </w:rPr>
        <w:t>Esquema</w:t>
      </w:r>
      <w:r>
        <w:rPr>
          <w:color w:val="242B67"/>
          <w:spacing w:val="-2"/>
        </w:rPr>
        <w:t> </w:t>
      </w:r>
      <w:r>
        <w:rPr>
          <w:color w:val="242B67"/>
        </w:rPr>
        <w:t>profilático para intervençõesgastrintestinais e </w:t>
      </w:r>
      <w:r>
        <w:rPr>
          <w:color w:val="242B67"/>
          <w:spacing w:val="-2"/>
        </w:rPr>
        <w:t>geniturinárias</w:t>
      </w:r>
    </w:p>
    <w:p>
      <w:pPr>
        <w:pStyle w:val="BodyText"/>
        <w:spacing w:line="276" w:lineRule="auto" w:before="126"/>
        <w:ind w:right="491"/>
      </w:pPr>
      <w:r>
        <w:rPr/>
        <w:t>O</w:t>
      </w:r>
      <w:r>
        <w:rPr>
          <w:spacing w:val="-8"/>
        </w:rPr>
        <w:t> </w:t>
      </w:r>
      <w:r>
        <w:rPr>
          <w:i/>
        </w:rPr>
        <w:t>esquema</w:t>
      </w:r>
      <w:r>
        <w:rPr>
          <w:i/>
          <w:spacing w:val="-2"/>
        </w:rPr>
        <w:t> </w:t>
      </w:r>
      <w:r>
        <w:rPr>
          <w:i/>
        </w:rPr>
        <w:t>padrão</w:t>
      </w:r>
      <w:r>
        <w:rPr>
          <w:i/>
          <w:spacing w:val="-2"/>
        </w:rPr>
        <w:t> </w:t>
      </w:r>
      <w:r>
        <w:rPr>
          <w:i/>
        </w:rPr>
        <w:t>para</w:t>
      </w:r>
      <w:r>
        <w:rPr>
          <w:i/>
          <w:spacing w:val="-2"/>
        </w:rPr>
        <w:t> </w:t>
      </w:r>
      <w:r>
        <w:rPr>
          <w:i/>
        </w:rPr>
        <w:t>alto</w:t>
      </w:r>
      <w:r>
        <w:rPr>
          <w:i/>
          <w:spacing w:val="-2"/>
        </w:rPr>
        <w:t> </w:t>
      </w:r>
      <w:r>
        <w:rPr>
          <w:i/>
        </w:rPr>
        <w:t>risco </w:t>
      </w:r>
      <w:r>
        <w:rPr/>
        <w:t>recomendado pela</w:t>
      </w:r>
      <w:r>
        <w:rPr>
          <w:spacing w:val="-2"/>
        </w:rPr>
        <w:t> </w:t>
      </w:r>
      <w:r>
        <w:rPr/>
        <w:t>AHA</w:t>
      </w:r>
      <w:r>
        <w:rPr>
          <w:spacing w:val="-2"/>
        </w:rPr>
        <w:t> </w:t>
      </w:r>
      <w:r>
        <w:rPr/>
        <w:t>é</w:t>
      </w:r>
      <w:r>
        <w:rPr>
          <w:spacing w:val="-2"/>
        </w:rPr>
        <w:t> </w:t>
      </w:r>
      <w:r>
        <w:rPr/>
        <w:t>o seguinte: ampicilina</w:t>
      </w:r>
      <w:r>
        <w:rPr>
          <w:spacing w:val="-2"/>
        </w:rPr>
        <w:t> </w:t>
      </w:r>
      <w:r>
        <w:rPr/>
        <w:t>2 g via</w:t>
      </w:r>
      <w:r>
        <w:rPr>
          <w:spacing w:val="-2"/>
        </w:rPr>
        <w:t> </w:t>
      </w:r>
      <w:r>
        <w:rPr/>
        <w:t>intravenosa</w:t>
      </w:r>
      <w:r>
        <w:rPr>
          <w:spacing w:val="-2"/>
        </w:rPr>
        <w:t> </w:t>
      </w:r>
      <w:r>
        <w:rPr/>
        <w:t>(IV) ou IM, mais gentamicina 1,5 mg/kg IV ou IM (não exceder 120 mg), 30 min antes do procedimento; 6 h após a dose inicial, 1 g IM ou IV</w:t>
      </w:r>
      <w:r>
        <w:rPr>
          <w:spacing w:val="-1"/>
        </w:rPr>
        <w:t> </w:t>
      </w:r>
      <w:r>
        <w:rPr/>
        <w:t>de</w:t>
      </w:r>
      <w:r>
        <w:rPr>
          <w:spacing w:val="-1"/>
        </w:rPr>
        <w:t> </w:t>
      </w:r>
      <w:r>
        <w:rPr/>
        <w:t>ampicilina</w:t>
      </w:r>
      <w:r>
        <w:rPr>
          <w:spacing w:val="-1"/>
        </w:rPr>
        <w:t> </w:t>
      </w:r>
      <w:r>
        <w:rPr/>
        <w:t>ou 1 g oral de</w:t>
      </w:r>
      <w:r>
        <w:rPr>
          <w:spacing w:val="-1"/>
        </w:rPr>
        <w:t> </w:t>
      </w:r>
      <w:r>
        <w:rPr/>
        <w:t>amoxicilina. </w:t>
      </w:r>
      <w:r>
        <w:rPr>
          <w:i/>
        </w:rPr>
        <w:t>Para pacientes alérgicos à penicilina</w:t>
      </w:r>
      <w:r>
        <w:rPr/>
        <w:t>;</w:t>
      </w:r>
      <w:r>
        <w:rPr>
          <w:spacing w:val="-3"/>
        </w:rPr>
        <w:t> </w:t>
      </w:r>
      <w:r>
        <w:rPr/>
        <w:t>vancomicina 1 g IV, administrado por 1 h mais gentamicina 1,5 mg/kg IV ou IM (não exceder 120 mg), 30 min antes do procedimento. Regime alternativo para pacientes de moderado risco: amoxicilina 2 g, oral, 1 h antes do procedimento</w:t>
      </w:r>
      <w:r>
        <w:rPr>
          <w:spacing w:val="-6"/>
        </w:rPr>
        <w:t> </w:t>
      </w:r>
      <w:r>
        <w:rPr/>
        <w:t>ou</w:t>
      </w:r>
      <w:r>
        <w:rPr>
          <w:spacing w:val="-6"/>
        </w:rPr>
        <w:t> </w:t>
      </w:r>
      <w:r>
        <w:rPr/>
        <w:t>ampicilina</w:t>
      </w:r>
      <w:r>
        <w:rPr>
          <w:spacing w:val="-8"/>
        </w:rPr>
        <w:t> </w:t>
      </w:r>
      <w:r>
        <w:rPr/>
        <w:t>2</w:t>
      </w:r>
      <w:r>
        <w:rPr>
          <w:spacing w:val="-6"/>
        </w:rPr>
        <w:t> </w:t>
      </w:r>
      <w:r>
        <w:rPr/>
        <w:t>g</w:t>
      </w:r>
      <w:r>
        <w:rPr>
          <w:spacing w:val="-6"/>
        </w:rPr>
        <w:t> </w:t>
      </w:r>
      <w:r>
        <w:rPr/>
        <w:t>IM</w:t>
      </w:r>
      <w:r>
        <w:rPr>
          <w:spacing w:val="-1"/>
        </w:rPr>
        <w:t> </w:t>
      </w:r>
      <w:r>
        <w:rPr/>
        <w:t>ou</w:t>
      </w:r>
      <w:r>
        <w:rPr>
          <w:spacing w:val="-6"/>
        </w:rPr>
        <w:t> </w:t>
      </w:r>
      <w:r>
        <w:rPr/>
        <w:t>IV, 30</w:t>
      </w:r>
      <w:r>
        <w:rPr>
          <w:spacing w:val="-6"/>
        </w:rPr>
        <w:t> </w:t>
      </w:r>
      <w:r>
        <w:rPr/>
        <w:t>min</w:t>
      </w:r>
      <w:r>
        <w:rPr>
          <w:spacing w:val="-6"/>
        </w:rPr>
        <w:t> </w:t>
      </w:r>
      <w:r>
        <w:rPr/>
        <w:t>antes. </w:t>
      </w:r>
      <w:r>
        <w:rPr>
          <w:i/>
        </w:rPr>
        <w:t>Para</w:t>
      </w:r>
      <w:r>
        <w:rPr>
          <w:i/>
          <w:spacing w:val="-6"/>
        </w:rPr>
        <w:t> </w:t>
      </w:r>
      <w:r>
        <w:rPr>
          <w:i/>
        </w:rPr>
        <w:t>pacientes alérgicos à</w:t>
      </w:r>
      <w:r>
        <w:rPr>
          <w:i/>
          <w:spacing w:val="-6"/>
        </w:rPr>
        <w:t> </w:t>
      </w:r>
      <w:r>
        <w:rPr>
          <w:i/>
        </w:rPr>
        <w:t>penicilina</w:t>
      </w:r>
      <w:r>
        <w:rPr/>
        <w:t>: vancomicina</w:t>
      </w:r>
      <w:r>
        <w:rPr>
          <w:spacing w:val="-5"/>
        </w:rPr>
        <w:t> </w:t>
      </w:r>
      <w:r>
        <w:rPr/>
        <w:t>1</w:t>
      </w:r>
      <w:r>
        <w:rPr>
          <w:spacing w:val="-2"/>
        </w:rPr>
        <w:t> </w:t>
      </w:r>
      <w:r>
        <w:rPr/>
        <w:t>g</w:t>
      </w:r>
      <w:r>
        <w:rPr>
          <w:spacing w:val="-2"/>
        </w:rPr>
        <w:t> </w:t>
      </w:r>
      <w:r>
        <w:rPr/>
        <w:t>IV durante 1 e 2 h, completando a infusão meia hora antes do procedimento.</w:t>
      </w:r>
    </w:p>
    <w:p>
      <w:pPr>
        <w:pStyle w:val="BodyText"/>
        <w:spacing w:line="276" w:lineRule="auto" w:before="66"/>
        <w:ind w:right="491"/>
      </w:pPr>
      <w:r>
        <w:rPr/>
        <w:t>A</w:t>
      </w:r>
      <w:r>
        <w:rPr>
          <w:spacing w:val="-2"/>
        </w:rPr>
        <w:t> </w:t>
      </w:r>
      <w:r>
        <w:rPr/>
        <w:t>profilaxia</w:t>
      </w:r>
      <w:r>
        <w:rPr>
          <w:spacing w:val="-2"/>
        </w:rPr>
        <w:t> </w:t>
      </w:r>
      <w:r>
        <w:rPr/>
        <w:t>para</w:t>
      </w:r>
      <w:r>
        <w:rPr>
          <w:spacing w:val="-2"/>
        </w:rPr>
        <w:t> </w:t>
      </w:r>
      <w:r>
        <w:rPr/>
        <w:t>endocardite</w:t>
      </w:r>
      <w:r>
        <w:rPr>
          <w:spacing w:val="-2"/>
        </w:rPr>
        <w:t> </w:t>
      </w:r>
      <w:r>
        <w:rPr/>
        <w:t>dispõe</w:t>
      </w:r>
      <w:r>
        <w:rPr>
          <w:spacing w:val="-2"/>
        </w:rPr>
        <w:t> </w:t>
      </w:r>
      <w:r>
        <w:rPr/>
        <w:t>de</w:t>
      </w:r>
      <w:r>
        <w:rPr>
          <w:spacing w:val="-2"/>
        </w:rPr>
        <w:t> </w:t>
      </w:r>
      <w:r>
        <w:rPr/>
        <w:t>alguns conceitos muitos claros. Em primeiro lugar, é</w:t>
      </w:r>
      <w:r>
        <w:rPr>
          <w:spacing w:val="-2"/>
        </w:rPr>
        <w:t> </w:t>
      </w:r>
      <w:r>
        <w:rPr/>
        <w:t>um procedimento padronizado por estudos multicêntricos que</w:t>
      </w:r>
      <w:r>
        <w:rPr>
          <w:spacing w:val="-1"/>
        </w:rPr>
        <w:t> </w:t>
      </w:r>
      <w:r>
        <w:rPr/>
        <w:t>deve</w:t>
      </w:r>
      <w:r>
        <w:rPr>
          <w:spacing w:val="-1"/>
        </w:rPr>
        <w:t> </w:t>
      </w:r>
      <w:r>
        <w:rPr/>
        <w:t>ser seguido rotineiramente</w:t>
      </w:r>
      <w:r>
        <w:rPr>
          <w:spacing w:val="-1"/>
        </w:rPr>
        <w:t> </w:t>
      </w:r>
      <w:r>
        <w:rPr/>
        <w:t>para</w:t>
      </w:r>
      <w:r>
        <w:rPr>
          <w:spacing w:val="-1"/>
        </w:rPr>
        <w:t> </w:t>
      </w:r>
      <w:r>
        <w:rPr/>
        <w:t>evitar danos irreparáveis. Assim, não existe razão para iniciar-se a profilaxia antes de 1 h da bacteriemia; o pico de atividade do antibiótico deve coincidir com a bacteriemia; a manutenção do antibiótico só deve ser utilizada em casos recomendados, para que não haja o aparecimento de microrganismos resistentes. A dose indicada do medicamento é sempre alta e deve ser seguida para garantir níveis séricos satisfatórios.</w:t>
      </w:r>
    </w:p>
    <w:p>
      <w:pPr>
        <w:pStyle w:val="BodyText"/>
        <w:spacing w:line="276" w:lineRule="auto" w:before="49"/>
        <w:ind w:right="488"/>
      </w:pPr>
      <w:r>
        <w:rPr/>
        <w:t>Os pacientes devem ser esclarecidos quanto à necessidade desse procedimento para que sempre peçam a orientação médica antes de se submeterem a alguma intervenção.</w:t>
      </w:r>
    </w:p>
    <w:p>
      <w:pPr>
        <w:pStyle w:val="BodyText"/>
        <w:spacing w:before="24"/>
        <w:ind w:left="0" w:firstLine="0"/>
        <w:jc w:val="left"/>
      </w:pPr>
    </w:p>
    <w:p>
      <w:pPr>
        <w:pStyle w:val="Heading7"/>
      </w:pPr>
      <w:r>
        <w:rPr>
          <w:color w:val="242B67"/>
        </w:rPr>
        <w:t>Panorama atual das </w:t>
      </w:r>
      <w:r>
        <w:rPr>
          <w:color w:val="242B67"/>
          <w:spacing w:val="-2"/>
        </w:rPr>
        <w:t>valvopatias</w:t>
      </w:r>
    </w:p>
    <w:p>
      <w:pPr>
        <w:pStyle w:val="BodyText"/>
        <w:spacing w:line="276" w:lineRule="auto" w:before="126"/>
        <w:ind w:right="497"/>
      </w:pPr>
      <w:r>
        <w:rPr/>
        <w:t>A epidemiologia das valvopatias tem se modificado com o decorrer do tempo. A mudança de hábito, as condições sociais, o controle de algumas doenças, a maior incidência de outras e a longevidade contribuem para essas alterações. Antigamente, ao</w:t>
      </w:r>
      <w:r>
        <w:rPr>
          <w:spacing w:val="-5"/>
        </w:rPr>
        <w:t> </w:t>
      </w:r>
      <w:r>
        <w:rPr/>
        <w:t>se</w:t>
      </w:r>
      <w:r>
        <w:rPr>
          <w:spacing w:val="-8"/>
        </w:rPr>
        <w:t> </w:t>
      </w:r>
      <w:r>
        <w:rPr/>
        <w:t>pensar em</w:t>
      </w:r>
      <w:r>
        <w:rPr>
          <w:spacing w:val="-5"/>
        </w:rPr>
        <w:t> </w:t>
      </w:r>
      <w:r>
        <w:rPr/>
        <w:t>valvopatias, associava-se</w:t>
      </w:r>
      <w:r>
        <w:rPr>
          <w:spacing w:val="-8"/>
        </w:rPr>
        <w:t> </w:t>
      </w:r>
      <w:r>
        <w:rPr/>
        <w:t>sempre</w:t>
      </w:r>
      <w:r>
        <w:rPr>
          <w:spacing w:val="-8"/>
        </w:rPr>
        <w:t> </w:t>
      </w:r>
      <w:r>
        <w:rPr/>
        <w:t>à</w:t>
      </w:r>
      <w:r>
        <w:rPr>
          <w:spacing w:val="-8"/>
        </w:rPr>
        <w:t> </w:t>
      </w:r>
      <w:r>
        <w:rPr/>
        <w:t>doença</w:t>
      </w:r>
      <w:r>
        <w:rPr>
          <w:spacing w:val="-8"/>
        </w:rPr>
        <w:t> </w:t>
      </w:r>
      <w:r>
        <w:rPr/>
        <w:t>de</w:t>
      </w:r>
      <w:r>
        <w:rPr>
          <w:spacing w:val="-8"/>
        </w:rPr>
        <w:t> </w:t>
      </w:r>
      <w:r>
        <w:rPr/>
        <w:t>nível</w:t>
      </w:r>
      <w:r>
        <w:rPr>
          <w:spacing w:val="-3"/>
        </w:rPr>
        <w:t> </w:t>
      </w:r>
      <w:r>
        <w:rPr/>
        <w:t>socioeconômico baixo, na qual há desnutrição, promiscuidade e baixas condições de higiene, propiciando a contaminação e facilitando o aparecimento da doença reumática ou endocardite infecciosa com posterior lesão valvar. Apesar da doença reumática ter contingente imunológico, há necessidade do fator de contaminação que, de certo modo, pode ser controlado com medidas profiláticas adequadas.</w:t>
      </w:r>
    </w:p>
    <w:p>
      <w:pPr>
        <w:pStyle w:val="BodyText"/>
        <w:spacing w:line="276" w:lineRule="auto"/>
        <w:ind w:right="491"/>
      </w:pPr>
      <w:r>
        <w:rPr/>
        <w:t>O</w:t>
      </w:r>
      <w:r>
        <w:rPr>
          <w:spacing w:val="-2"/>
        </w:rPr>
        <w:t> </w:t>
      </w:r>
      <w:r>
        <w:rPr/>
        <w:t>maior espectro antimicrobiano existente</w:t>
      </w:r>
      <w:r>
        <w:rPr>
          <w:spacing w:val="-2"/>
        </w:rPr>
        <w:t> </w:t>
      </w:r>
      <w:r>
        <w:rPr/>
        <w:t>atualmente</w:t>
      </w:r>
      <w:r>
        <w:rPr>
          <w:spacing w:val="-2"/>
        </w:rPr>
        <w:t> </w:t>
      </w:r>
      <w:r>
        <w:rPr/>
        <w:t>e</w:t>
      </w:r>
      <w:r>
        <w:rPr>
          <w:spacing w:val="-2"/>
        </w:rPr>
        <w:t> </w:t>
      </w:r>
      <w:r>
        <w:rPr/>
        <w:t>o melhor nível socioeconômico teoricamente</w:t>
      </w:r>
      <w:r>
        <w:rPr>
          <w:spacing w:val="-2"/>
        </w:rPr>
        <w:t> </w:t>
      </w:r>
      <w:r>
        <w:rPr/>
        <w:t>deveriam extinguir a endocardite; entretanto, o uso de medicamentos e a maior incidência de doenças que diminuem a imunidade</w:t>
      </w:r>
      <w:r>
        <w:rPr>
          <w:spacing w:val="80"/>
        </w:rPr>
        <w:t> </w:t>
      </w:r>
      <w:r>
        <w:rPr/>
        <w:t>tornam</w:t>
      </w:r>
      <w:r>
        <w:rPr>
          <w:spacing w:val="80"/>
        </w:rPr>
        <w:t> </w:t>
      </w:r>
      <w:r>
        <w:rPr/>
        <w:t>os</w:t>
      </w:r>
      <w:r>
        <w:rPr>
          <w:spacing w:val="72"/>
          <w:w w:val="150"/>
        </w:rPr>
        <w:t> </w:t>
      </w:r>
      <w:r>
        <w:rPr/>
        <w:t>casos</w:t>
      </w:r>
      <w:r>
        <w:rPr>
          <w:spacing w:val="72"/>
          <w:w w:val="150"/>
        </w:rPr>
        <w:t> </w:t>
      </w:r>
      <w:r>
        <w:rPr/>
        <w:t>ainda</w:t>
      </w:r>
      <w:r>
        <w:rPr>
          <w:spacing w:val="80"/>
        </w:rPr>
        <w:t> </w:t>
      </w:r>
      <w:r>
        <w:rPr/>
        <w:t>mais</w:t>
      </w:r>
      <w:r>
        <w:rPr>
          <w:spacing w:val="72"/>
          <w:w w:val="150"/>
        </w:rPr>
        <w:t> </w:t>
      </w:r>
      <w:r>
        <w:rPr/>
        <w:t>graves.</w:t>
      </w:r>
      <w:r>
        <w:rPr>
          <w:spacing w:val="72"/>
          <w:w w:val="150"/>
        </w:rPr>
        <w:t> </w:t>
      </w:r>
      <w:r>
        <w:rPr/>
        <w:t>Por</w:t>
      </w:r>
      <w:r>
        <w:rPr>
          <w:spacing w:val="70"/>
          <w:w w:val="150"/>
        </w:rPr>
        <w:t> </w:t>
      </w:r>
      <w:r>
        <w:rPr/>
        <w:t>outro</w:t>
      </w:r>
      <w:r>
        <w:rPr>
          <w:spacing w:val="80"/>
        </w:rPr>
        <w:t> </w:t>
      </w:r>
      <w:r>
        <w:rPr/>
        <w:t>lado,</w:t>
      </w:r>
      <w:r>
        <w:rPr>
          <w:spacing w:val="72"/>
          <w:w w:val="150"/>
        </w:rPr>
        <w:t> </w:t>
      </w:r>
      <w:r>
        <w:rPr/>
        <w:t>a</w:t>
      </w:r>
      <w:r>
        <w:rPr>
          <w:spacing w:val="80"/>
        </w:rPr>
        <w:t> </w:t>
      </w:r>
      <w:r>
        <w:rPr/>
        <w:t>resistência</w:t>
      </w:r>
      <w:r>
        <w:rPr>
          <w:spacing w:val="80"/>
        </w:rPr>
        <w:t> </w:t>
      </w:r>
      <w:r>
        <w:rPr/>
        <w:t>desenvolvida</w:t>
      </w:r>
      <w:r>
        <w:rPr>
          <w:spacing w:val="80"/>
        </w:rPr>
        <w:t> </w:t>
      </w:r>
      <w:r>
        <w:rPr/>
        <w:t>pelo</w:t>
      </w:r>
      <w:r>
        <w:rPr>
          <w:spacing w:val="80"/>
        </w:rPr>
        <w:t> </w:t>
      </w:r>
      <w:r>
        <w:rPr/>
        <w:t>agente</w:t>
      </w:r>
    </w:p>
    <w:p>
      <w:pPr>
        <w:pStyle w:val="BodyText"/>
        <w:spacing w:after="0" w:line="276" w:lineRule="auto"/>
        <w:sectPr>
          <w:pgSz w:w="11900" w:h="16840"/>
          <w:pgMar w:top="180" w:bottom="280" w:left="566" w:right="141"/>
        </w:sectPr>
      </w:pPr>
    </w:p>
    <w:p>
      <w:pPr>
        <w:pStyle w:val="BodyText"/>
        <w:spacing w:before="76"/>
        <w:ind w:firstLine="0"/>
      </w:pPr>
      <w:r>
        <w:rPr/>
        <w:t>antimicrobiano</w:t>
      </w:r>
      <w:r>
        <w:rPr>
          <w:spacing w:val="-10"/>
        </w:rPr>
        <w:t> </w:t>
      </w:r>
      <w:r>
        <w:rPr/>
        <w:t>faz</w:t>
      </w:r>
      <w:r>
        <w:rPr>
          <w:spacing w:val="-12"/>
        </w:rPr>
        <w:t> </w:t>
      </w:r>
      <w:r>
        <w:rPr/>
        <w:t>com</w:t>
      </w:r>
      <w:r>
        <w:rPr>
          <w:spacing w:val="-9"/>
        </w:rPr>
        <w:t> </w:t>
      </w:r>
      <w:r>
        <w:rPr/>
        <w:t>que</w:t>
      </w:r>
      <w:r>
        <w:rPr>
          <w:spacing w:val="-12"/>
        </w:rPr>
        <w:t> </w:t>
      </w:r>
      <w:r>
        <w:rPr/>
        <w:t>essa</w:t>
      </w:r>
      <w:r>
        <w:rPr>
          <w:spacing w:val="-11"/>
        </w:rPr>
        <w:t> </w:t>
      </w:r>
      <w:r>
        <w:rPr/>
        <w:t>doença</w:t>
      </w:r>
      <w:r>
        <w:rPr>
          <w:spacing w:val="-12"/>
        </w:rPr>
        <w:t> </w:t>
      </w:r>
      <w:r>
        <w:rPr/>
        <w:t>não</w:t>
      </w:r>
      <w:r>
        <w:rPr>
          <w:spacing w:val="-10"/>
        </w:rPr>
        <w:t> </w:t>
      </w:r>
      <w:r>
        <w:rPr/>
        <w:t>se</w:t>
      </w:r>
      <w:r>
        <w:rPr>
          <w:spacing w:val="-11"/>
        </w:rPr>
        <w:t> </w:t>
      </w:r>
      <w:r>
        <w:rPr/>
        <w:t>extinga</w:t>
      </w:r>
      <w:r>
        <w:rPr>
          <w:spacing w:val="-12"/>
        </w:rPr>
        <w:t> </w:t>
      </w:r>
      <w:r>
        <w:rPr/>
        <w:t>e</w:t>
      </w:r>
      <w:r>
        <w:rPr>
          <w:spacing w:val="-12"/>
        </w:rPr>
        <w:t> </w:t>
      </w:r>
      <w:r>
        <w:rPr/>
        <w:t>haja</w:t>
      </w:r>
      <w:r>
        <w:rPr>
          <w:spacing w:val="-12"/>
        </w:rPr>
        <w:t> </w:t>
      </w:r>
      <w:r>
        <w:rPr/>
        <w:t>microrganismos</w:t>
      </w:r>
      <w:r>
        <w:rPr>
          <w:spacing w:val="-2"/>
        </w:rPr>
        <w:t> </w:t>
      </w:r>
      <w:r>
        <w:rPr/>
        <w:t>cada</w:t>
      </w:r>
      <w:r>
        <w:rPr>
          <w:spacing w:val="-12"/>
        </w:rPr>
        <w:t> </w:t>
      </w:r>
      <w:r>
        <w:rPr/>
        <w:t>vez</w:t>
      </w:r>
      <w:r>
        <w:rPr>
          <w:spacing w:val="-11"/>
        </w:rPr>
        <w:t> </w:t>
      </w:r>
      <w:r>
        <w:rPr/>
        <w:t>mais</w:t>
      </w:r>
      <w:r>
        <w:rPr>
          <w:spacing w:val="-2"/>
        </w:rPr>
        <w:t> virulentos.</w:t>
      </w:r>
    </w:p>
    <w:p>
      <w:pPr>
        <w:pStyle w:val="BodyText"/>
        <w:spacing w:line="276" w:lineRule="auto" w:before="104"/>
        <w:ind w:right="488"/>
      </w:pPr>
      <w:r>
        <w:rPr/>
        <w:t>A longevidade também é responsável por um número cada vez maior de valvas degeneradas e calcificadas que se tornam estenóticas, insuficientes ou com dupla lesão. O diagnóstico e a maneira de tratar o paciente com prolapso valvar também se modificaram no decorrer desses últimos anos e muita experiência foi acumulada na conduta desses anos.</w:t>
      </w:r>
    </w:p>
    <w:p>
      <w:pPr>
        <w:pStyle w:val="BodyText"/>
        <w:spacing w:line="276" w:lineRule="auto" w:before="49"/>
        <w:ind w:right="501"/>
      </w:pPr>
      <w:r>
        <w:rPr/>
        <w:t>A dilatação valvar por balão por meio de cateterismo cardíaco trouxe uma alternativa de tratamento para as estenoses. No caso da estenose mitral não calcificada, ela retarda a evolução natural da doença em pelo menos 10 anos. Na valva aórtica, esse procedimento tem se limitado a casos de extrema necessidade intervencionista, porém com total contraindicação cirúrgica.</w:t>
      </w:r>
    </w:p>
    <w:p>
      <w:pPr>
        <w:pStyle w:val="BodyText"/>
        <w:spacing w:line="276" w:lineRule="auto"/>
        <w:ind w:right="491"/>
      </w:pPr>
      <w:r>
        <w:rPr/>
        <w:t>No âmbito dessa problemática, ainda é muito discutível a oportunidade da indicação cirúrgica. A restauração valvar pela comissurotomia, pela anuloplastia e outras técnicas preservativas estão conquistando seu espaço; entretanto, nem sempre as condições anatômicas permitem sua realização e o implante de um substituto valvar se faz necessário. Assim, deve-se ter sempre em mente que ainda não foi encontrado esse substituto ideal, e as complicações causadas pelo</w:t>
      </w:r>
      <w:r>
        <w:rPr>
          <w:spacing w:val="-3"/>
        </w:rPr>
        <w:t> </w:t>
      </w:r>
      <w:r>
        <w:rPr/>
        <w:t>implante</w:t>
      </w:r>
      <w:r>
        <w:rPr>
          <w:spacing w:val="-6"/>
        </w:rPr>
        <w:t> </w:t>
      </w:r>
      <w:r>
        <w:rPr/>
        <w:t>de</w:t>
      </w:r>
      <w:r>
        <w:rPr>
          <w:spacing w:val="-6"/>
        </w:rPr>
        <w:t> </w:t>
      </w:r>
      <w:r>
        <w:rPr/>
        <w:t>prótese, seja</w:t>
      </w:r>
      <w:r>
        <w:rPr>
          <w:spacing w:val="-6"/>
        </w:rPr>
        <w:t> </w:t>
      </w:r>
      <w:r>
        <w:rPr/>
        <w:t>ela</w:t>
      </w:r>
      <w:r>
        <w:rPr>
          <w:spacing w:val="-6"/>
        </w:rPr>
        <w:t> </w:t>
      </w:r>
      <w:r>
        <w:rPr/>
        <w:t>metálica</w:t>
      </w:r>
      <w:r>
        <w:rPr>
          <w:spacing w:val="-6"/>
        </w:rPr>
        <w:t> </w:t>
      </w:r>
      <w:r>
        <w:rPr/>
        <w:t>ou</w:t>
      </w:r>
      <w:r>
        <w:rPr>
          <w:spacing w:val="-3"/>
        </w:rPr>
        <w:t> </w:t>
      </w:r>
      <w:r>
        <w:rPr/>
        <w:t>biológica, ainda</w:t>
      </w:r>
      <w:r>
        <w:rPr>
          <w:spacing w:val="-6"/>
        </w:rPr>
        <w:t> </w:t>
      </w:r>
      <w:r>
        <w:rPr/>
        <w:t>são</w:t>
      </w:r>
      <w:r>
        <w:rPr>
          <w:spacing w:val="-3"/>
        </w:rPr>
        <w:t> </w:t>
      </w:r>
      <w:r>
        <w:rPr/>
        <w:t>sérias. Na</w:t>
      </w:r>
      <w:r>
        <w:rPr>
          <w:spacing w:val="-6"/>
        </w:rPr>
        <w:t> </w:t>
      </w:r>
      <w:r>
        <w:rPr/>
        <w:t>verdade, ainda hoje, a substituição de uma valva significa, para o paciente, apenas estar trocando a doença. Entretanto, apesar da consciência desse fato, o tratamento cirúrgico algumas vezes se impõe. Assim, o critério de indicação cirúrgica também</w:t>
      </w:r>
      <w:r>
        <w:rPr>
          <w:spacing w:val="-2"/>
        </w:rPr>
        <w:t> </w:t>
      </w:r>
      <w:r>
        <w:rPr/>
        <w:t>exige, além</w:t>
      </w:r>
      <w:r>
        <w:rPr>
          <w:spacing w:val="-2"/>
        </w:rPr>
        <w:t> </w:t>
      </w:r>
      <w:r>
        <w:rPr/>
        <w:t>de</w:t>
      </w:r>
      <w:r>
        <w:rPr>
          <w:spacing w:val="-4"/>
        </w:rPr>
        <w:t> </w:t>
      </w:r>
      <w:r>
        <w:rPr/>
        <w:t>grande</w:t>
      </w:r>
      <w:r>
        <w:rPr>
          <w:spacing w:val="-4"/>
        </w:rPr>
        <w:t> </w:t>
      </w:r>
      <w:r>
        <w:rPr/>
        <w:t>competência, muito</w:t>
      </w:r>
      <w:r>
        <w:rPr>
          <w:spacing w:val="-2"/>
        </w:rPr>
        <w:t> </w:t>
      </w:r>
      <w:r>
        <w:rPr/>
        <w:t>bom</w:t>
      </w:r>
      <w:r>
        <w:rPr>
          <w:spacing w:val="-2"/>
        </w:rPr>
        <w:t> </w:t>
      </w:r>
      <w:r>
        <w:rPr/>
        <w:t>senso</w:t>
      </w:r>
      <w:r>
        <w:rPr>
          <w:spacing w:val="-2"/>
        </w:rPr>
        <w:t> </w:t>
      </w:r>
      <w:r>
        <w:rPr/>
        <w:t>para</w:t>
      </w:r>
      <w:r>
        <w:rPr>
          <w:spacing w:val="-4"/>
        </w:rPr>
        <w:t> </w:t>
      </w:r>
      <w:r>
        <w:rPr/>
        <w:t>estabelecer o</w:t>
      </w:r>
      <w:r>
        <w:rPr>
          <w:spacing w:val="-2"/>
        </w:rPr>
        <w:t> </w:t>
      </w:r>
      <w:r>
        <w:rPr/>
        <w:t>momento</w:t>
      </w:r>
      <w:r>
        <w:rPr>
          <w:spacing w:val="-2"/>
        </w:rPr>
        <w:t> </w:t>
      </w:r>
      <w:r>
        <w:rPr/>
        <w:t>adequado</w:t>
      </w:r>
      <w:r>
        <w:rPr>
          <w:spacing w:val="-2"/>
        </w:rPr>
        <w:t> </w:t>
      </w:r>
      <w:r>
        <w:rPr/>
        <w:t>para</w:t>
      </w:r>
      <w:r>
        <w:rPr>
          <w:spacing w:val="-4"/>
        </w:rPr>
        <w:t> </w:t>
      </w:r>
      <w:r>
        <w:rPr/>
        <w:t>indicar a </w:t>
      </w:r>
      <w:r>
        <w:rPr>
          <w:spacing w:val="-2"/>
        </w:rPr>
        <w:t>cirurgia.</w:t>
      </w:r>
    </w:p>
    <w:p>
      <w:pPr>
        <w:pStyle w:val="BodyText"/>
        <w:spacing w:line="276" w:lineRule="auto" w:before="49"/>
        <w:ind w:right="491"/>
      </w:pPr>
      <w:r>
        <w:rPr/>
        <w:t>Espera-se, para</w:t>
      </w:r>
      <w:r>
        <w:rPr>
          <w:spacing w:val="-8"/>
        </w:rPr>
        <w:t> </w:t>
      </w:r>
      <w:r>
        <w:rPr/>
        <w:t>o</w:t>
      </w:r>
      <w:r>
        <w:rPr>
          <w:spacing w:val="-5"/>
        </w:rPr>
        <w:t> </w:t>
      </w:r>
      <w:r>
        <w:rPr/>
        <w:t>futuro</w:t>
      </w:r>
      <w:r>
        <w:rPr>
          <w:spacing w:val="-5"/>
        </w:rPr>
        <w:t> </w:t>
      </w:r>
      <w:r>
        <w:rPr/>
        <w:t>próximo, uma</w:t>
      </w:r>
      <w:r>
        <w:rPr>
          <w:spacing w:val="-8"/>
        </w:rPr>
        <w:t> </w:t>
      </w:r>
      <w:r>
        <w:rPr/>
        <w:t>solução</w:t>
      </w:r>
      <w:r>
        <w:rPr>
          <w:spacing w:val="-5"/>
        </w:rPr>
        <w:t> </w:t>
      </w:r>
      <w:r>
        <w:rPr/>
        <w:t>satisfatória</w:t>
      </w:r>
      <w:r>
        <w:rPr>
          <w:spacing w:val="-8"/>
        </w:rPr>
        <w:t> </w:t>
      </w:r>
      <w:r>
        <w:rPr/>
        <w:t>para</w:t>
      </w:r>
      <w:r>
        <w:rPr>
          <w:spacing w:val="-8"/>
        </w:rPr>
        <w:t> </w:t>
      </w:r>
      <w:r>
        <w:rPr/>
        <w:t>esse</w:t>
      </w:r>
      <w:r>
        <w:rPr>
          <w:spacing w:val="-8"/>
        </w:rPr>
        <w:t> </w:t>
      </w:r>
      <w:r>
        <w:rPr/>
        <w:t>problema. Algumas pesquisas talvez</w:t>
      </w:r>
      <w:r>
        <w:rPr>
          <w:spacing w:val="-8"/>
        </w:rPr>
        <w:t> </w:t>
      </w:r>
      <w:r>
        <w:rPr/>
        <w:t>já</w:t>
      </w:r>
      <w:r>
        <w:rPr>
          <w:spacing w:val="-8"/>
        </w:rPr>
        <w:t> </w:t>
      </w:r>
      <w:r>
        <w:rPr/>
        <w:t>não tragam esperanças para a sua solução. Será que a clonagem da própria valva não poderá ser uma alternativa? Ou será que o diagnóstico precoce da valvopatia pode eventualmente possibilitar, não o tratamento, mas a interrupção da</w:t>
      </w:r>
      <w:r>
        <w:rPr>
          <w:spacing w:val="-9"/>
        </w:rPr>
        <w:t> </w:t>
      </w:r>
      <w:r>
        <w:rPr/>
        <w:t>doença</w:t>
      </w:r>
      <w:r>
        <w:rPr>
          <w:spacing w:val="-9"/>
        </w:rPr>
        <w:t> </w:t>
      </w:r>
      <w:r>
        <w:rPr/>
        <w:t>em</w:t>
      </w:r>
      <w:r>
        <w:rPr>
          <w:spacing w:val="-6"/>
        </w:rPr>
        <w:t> </w:t>
      </w:r>
      <w:r>
        <w:rPr/>
        <w:t>uma</w:t>
      </w:r>
      <w:r>
        <w:rPr>
          <w:spacing w:val="-9"/>
        </w:rPr>
        <w:t> </w:t>
      </w:r>
      <w:r>
        <w:rPr/>
        <w:t>fase</w:t>
      </w:r>
      <w:r>
        <w:rPr>
          <w:spacing w:val="-9"/>
        </w:rPr>
        <w:t> </w:t>
      </w:r>
      <w:r>
        <w:rPr/>
        <w:t>em</w:t>
      </w:r>
      <w:r>
        <w:rPr>
          <w:spacing w:val="-6"/>
        </w:rPr>
        <w:t> </w:t>
      </w:r>
      <w:r>
        <w:rPr/>
        <w:t>que</w:t>
      </w:r>
      <w:r>
        <w:rPr>
          <w:spacing w:val="-9"/>
        </w:rPr>
        <w:t> </w:t>
      </w:r>
      <w:r>
        <w:rPr/>
        <w:t>ela</w:t>
      </w:r>
      <w:r>
        <w:rPr>
          <w:spacing w:val="-9"/>
        </w:rPr>
        <w:t> </w:t>
      </w:r>
      <w:r>
        <w:rPr/>
        <w:t>ainda</w:t>
      </w:r>
      <w:r>
        <w:rPr>
          <w:spacing w:val="-9"/>
        </w:rPr>
        <w:t> </w:t>
      </w:r>
      <w:r>
        <w:rPr/>
        <w:t>é</w:t>
      </w:r>
      <w:r>
        <w:rPr>
          <w:spacing w:val="-9"/>
        </w:rPr>
        <w:t> </w:t>
      </w:r>
      <w:r>
        <w:rPr/>
        <w:t>assintomática, uma</w:t>
      </w:r>
      <w:r>
        <w:rPr>
          <w:spacing w:val="-9"/>
        </w:rPr>
        <w:t> </w:t>
      </w:r>
      <w:r>
        <w:rPr/>
        <w:t>vez</w:t>
      </w:r>
      <w:r>
        <w:rPr>
          <w:spacing w:val="-9"/>
        </w:rPr>
        <w:t> </w:t>
      </w:r>
      <w:r>
        <w:rPr/>
        <w:t>que</w:t>
      </w:r>
      <w:r>
        <w:rPr>
          <w:spacing w:val="-9"/>
        </w:rPr>
        <w:t> </w:t>
      </w:r>
      <w:r>
        <w:rPr/>
        <w:t>as alterações decorrentes da</w:t>
      </w:r>
      <w:r>
        <w:rPr>
          <w:spacing w:val="-9"/>
        </w:rPr>
        <w:t> </w:t>
      </w:r>
      <w:r>
        <w:rPr/>
        <w:t>evolução</w:t>
      </w:r>
      <w:r>
        <w:rPr>
          <w:spacing w:val="-6"/>
        </w:rPr>
        <w:t> </w:t>
      </w:r>
      <w:r>
        <w:rPr/>
        <w:t>natural são induzidas pelos mecanismos compensatórios que, por sua vez, são desencadeados por estímulos mecânicos e neuro-hormonais em nível celular?</w:t>
      </w:r>
    </w:p>
    <w:p>
      <w:pPr>
        <w:pStyle w:val="BodyText"/>
        <w:spacing w:after="0" w:line="276" w:lineRule="auto"/>
        <w:sectPr>
          <w:pgSz w:w="11900" w:h="16840"/>
          <w:pgMar w:top="180" w:bottom="280" w:left="566" w:right="141"/>
        </w:sectPr>
      </w:pPr>
    </w:p>
    <w:p>
      <w:pPr>
        <w:pStyle w:val="Heading1"/>
      </w:pPr>
      <w:r>
        <w:rPr>
          <w:color w:val="A26108"/>
        </w:rPr>
        <w:t>Capítulo</w:t>
      </w:r>
      <w:r>
        <w:rPr>
          <w:color w:val="A26108"/>
          <w:spacing w:val="24"/>
        </w:rPr>
        <w:t> </w:t>
      </w:r>
      <w:r>
        <w:rPr>
          <w:color w:val="A26108"/>
          <w:spacing w:val="-5"/>
        </w:rPr>
        <w:t>50</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588864">
                <wp:simplePos x="0" y="0"/>
                <wp:positionH relativeFrom="page">
                  <wp:posOffset>401543</wp:posOffset>
                </wp:positionH>
                <wp:positionV relativeFrom="paragraph">
                  <wp:posOffset>64325</wp:posOffset>
                </wp:positionV>
                <wp:extent cx="6753225" cy="1079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727616;mso-wrap-distance-left:0;mso-wrap-distance-right:0" id="docshape3" filled="true" fillcolor="#242b67" stroked="false">
                <v:fill type="solid"/>
                <w10:wrap type="topAndBottom"/>
              </v:rect>
            </w:pict>
          </mc:Fallback>
        </mc:AlternateContent>
      </w:r>
    </w:p>
    <w:p>
      <w:pPr>
        <w:pStyle w:val="Heading1"/>
        <w:spacing w:before="138"/>
      </w:pPr>
      <w:r>
        <w:rPr>
          <w:color w:val="A26108"/>
        </w:rPr>
        <w:t>Cardiopatias</w:t>
      </w:r>
      <w:r>
        <w:rPr>
          <w:color w:val="A26108"/>
          <w:spacing w:val="6"/>
        </w:rPr>
        <w:t> </w:t>
      </w:r>
      <w:r>
        <w:rPr>
          <w:color w:val="A26108"/>
        </w:rPr>
        <w:t>e</w:t>
      </w:r>
      <w:r>
        <w:rPr>
          <w:color w:val="A26108"/>
          <w:spacing w:val="6"/>
        </w:rPr>
        <w:t> </w:t>
      </w:r>
      <w:r>
        <w:rPr>
          <w:color w:val="A26108"/>
          <w:spacing w:val="-2"/>
        </w:rPr>
        <w:t>Miocardites</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589376">
                <wp:simplePos x="0" y="0"/>
                <wp:positionH relativeFrom="page">
                  <wp:posOffset>401543</wp:posOffset>
                </wp:positionH>
                <wp:positionV relativeFrom="paragraph">
                  <wp:posOffset>64503</wp:posOffset>
                </wp:positionV>
                <wp:extent cx="6753225" cy="1079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78985pt;width:531.731217pt;height:.8008pt;mso-position-horizontal-relative:page;mso-position-vertical-relative:paragraph;z-index:-15727104;mso-wrap-distance-left:0;mso-wrap-distance-right:0" id="docshape4" filled="true" fillcolor="#242b67" stroked="false">
                <v:fill type="solid"/>
                <w10:wrap type="topAndBottom"/>
              </v:rect>
            </w:pict>
          </mc:Fallback>
        </mc:AlternateContent>
      </w:r>
    </w:p>
    <w:p>
      <w:pPr>
        <w:spacing w:before="118"/>
        <w:ind w:left="68" w:right="0" w:firstLine="0"/>
        <w:jc w:val="left"/>
        <w:rPr>
          <w:rFonts w:ascii="Arial" w:hAnsi="Arial"/>
          <w:i/>
          <w:sz w:val="25"/>
        </w:rPr>
      </w:pPr>
      <w:r>
        <w:rPr>
          <w:rFonts w:ascii="Arial" w:hAnsi="Arial"/>
          <w:i/>
          <w:sz w:val="25"/>
        </w:rPr>
        <w:t>Charles</w:t>
      </w:r>
      <w:r>
        <w:rPr>
          <w:rFonts w:ascii="Arial" w:hAnsi="Arial"/>
          <w:i/>
          <w:spacing w:val="16"/>
          <w:sz w:val="25"/>
        </w:rPr>
        <w:t> </w:t>
      </w:r>
      <w:r>
        <w:rPr>
          <w:rFonts w:ascii="Arial" w:hAnsi="Arial"/>
          <w:i/>
          <w:sz w:val="25"/>
        </w:rPr>
        <w:t>Mady,</w:t>
      </w:r>
      <w:r>
        <w:rPr>
          <w:rFonts w:ascii="Arial" w:hAnsi="Arial"/>
          <w:i/>
          <w:spacing w:val="16"/>
          <w:sz w:val="25"/>
        </w:rPr>
        <w:t> </w:t>
      </w:r>
      <w:r>
        <w:rPr>
          <w:rFonts w:ascii="Arial" w:hAnsi="Arial"/>
          <w:i/>
          <w:sz w:val="25"/>
        </w:rPr>
        <w:t>Fábio</w:t>
      </w:r>
      <w:r>
        <w:rPr>
          <w:rFonts w:ascii="Arial" w:hAnsi="Arial"/>
          <w:i/>
          <w:spacing w:val="16"/>
          <w:sz w:val="25"/>
        </w:rPr>
        <w:t> </w:t>
      </w:r>
      <w:r>
        <w:rPr>
          <w:rFonts w:ascii="Arial" w:hAnsi="Arial"/>
          <w:i/>
          <w:sz w:val="25"/>
        </w:rPr>
        <w:t>Fernandes,</w:t>
      </w:r>
      <w:r>
        <w:rPr>
          <w:rFonts w:ascii="Arial" w:hAnsi="Arial"/>
          <w:i/>
          <w:spacing w:val="16"/>
          <w:sz w:val="25"/>
        </w:rPr>
        <w:t> </w:t>
      </w:r>
      <w:r>
        <w:rPr>
          <w:rFonts w:ascii="Arial" w:hAnsi="Arial"/>
          <w:i/>
          <w:sz w:val="25"/>
        </w:rPr>
        <w:t>Edmundo</w:t>
      </w:r>
      <w:r>
        <w:rPr>
          <w:rFonts w:ascii="Arial" w:hAnsi="Arial"/>
          <w:i/>
          <w:spacing w:val="16"/>
          <w:sz w:val="25"/>
        </w:rPr>
        <w:t> </w:t>
      </w:r>
      <w:r>
        <w:rPr>
          <w:rFonts w:ascii="Arial" w:hAnsi="Arial"/>
          <w:i/>
          <w:sz w:val="25"/>
        </w:rPr>
        <w:t>Arteaga-Fernández</w:t>
      </w:r>
      <w:r>
        <w:rPr>
          <w:rFonts w:ascii="Arial" w:hAnsi="Arial"/>
          <w:i/>
          <w:spacing w:val="16"/>
          <w:sz w:val="25"/>
        </w:rPr>
        <w:t> </w:t>
      </w:r>
      <w:r>
        <w:rPr>
          <w:rFonts w:ascii="Arial" w:hAnsi="Arial"/>
          <w:i/>
          <w:sz w:val="25"/>
        </w:rPr>
        <w:t>e</w:t>
      </w:r>
      <w:r>
        <w:rPr>
          <w:rFonts w:ascii="Arial" w:hAnsi="Arial"/>
          <w:i/>
          <w:spacing w:val="16"/>
          <w:sz w:val="25"/>
        </w:rPr>
        <w:t> </w:t>
      </w:r>
      <w:r>
        <w:rPr>
          <w:rFonts w:ascii="Arial" w:hAnsi="Arial"/>
          <w:i/>
          <w:sz w:val="25"/>
        </w:rPr>
        <w:t>Félix</w:t>
      </w:r>
      <w:r>
        <w:rPr>
          <w:rFonts w:ascii="Arial" w:hAnsi="Arial"/>
          <w:i/>
          <w:spacing w:val="16"/>
          <w:sz w:val="25"/>
        </w:rPr>
        <w:t> </w:t>
      </w:r>
      <w:r>
        <w:rPr>
          <w:rFonts w:ascii="Arial" w:hAnsi="Arial"/>
          <w:i/>
          <w:sz w:val="25"/>
        </w:rPr>
        <w:t>J.</w:t>
      </w:r>
      <w:r>
        <w:rPr>
          <w:rFonts w:ascii="Arial" w:hAnsi="Arial"/>
          <w:i/>
          <w:spacing w:val="16"/>
          <w:sz w:val="25"/>
        </w:rPr>
        <w:t> </w:t>
      </w:r>
      <w:r>
        <w:rPr>
          <w:rFonts w:ascii="Arial" w:hAnsi="Arial"/>
          <w:i/>
          <w:sz w:val="25"/>
        </w:rPr>
        <w:t>A.</w:t>
      </w:r>
      <w:r>
        <w:rPr>
          <w:rFonts w:ascii="Arial" w:hAnsi="Arial"/>
          <w:i/>
          <w:spacing w:val="16"/>
          <w:sz w:val="25"/>
        </w:rPr>
        <w:t> </w:t>
      </w:r>
      <w:r>
        <w:rPr>
          <w:rFonts w:ascii="Arial" w:hAnsi="Arial"/>
          <w:i/>
          <w:spacing w:val="-2"/>
          <w:sz w:val="25"/>
        </w:rPr>
        <w:t>Ramires</w:t>
      </w:r>
    </w:p>
    <w:p>
      <w:pPr>
        <w:pStyle w:val="BodyText"/>
        <w:spacing w:before="0"/>
        <w:ind w:left="0" w:firstLine="0"/>
        <w:jc w:val="left"/>
        <w:rPr>
          <w:rFonts w:ascii="Arial"/>
          <w:i/>
          <w:sz w:val="25"/>
        </w:rPr>
      </w:pPr>
    </w:p>
    <w:p>
      <w:pPr>
        <w:pStyle w:val="BodyText"/>
        <w:spacing w:before="222"/>
        <w:ind w:left="0" w:firstLine="0"/>
        <w:jc w:val="left"/>
        <w:rPr>
          <w:rFonts w:ascii="Arial"/>
          <w:i/>
          <w:sz w:val="25"/>
        </w:rPr>
      </w:pPr>
    </w:p>
    <w:p>
      <w:pPr>
        <w:pStyle w:val="Heading3"/>
        <w:spacing w:before="1"/>
      </w:pPr>
      <w:r>
        <w:rPr>
          <w:color w:val="242B67"/>
        </w:rPr>
        <w:t>Cardiomiopatia</w:t>
      </w:r>
      <w:r>
        <w:rPr>
          <w:color w:val="242B67"/>
          <w:spacing w:val="5"/>
        </w:rPr>
        <w:t> </w:t>
      </w:r>
      <w:r>
        <w:rPr>
          <w:color w:val="242B67"/>
          <w:spacing w:val="-2"/>
        </w:rPr>
        <w:t>Dilatada</w:t>
      </w:r>
    </w:p>
    <w:p>
      <w:pPr>
        <w:pStyle w:val="BodyText"/>
        <w:spacing w:before="10"/>
        <w:ind w:left="0" w:firstLine="0"/>
        <w:jc w:val="left"/>
        <w:rPr>
          <w:rFonts w:ascii="Microsoft Sans Serif"/>
          <w:sz w:val="4"/>
        </w:rPr>
      </w:pPr>
      <w:r>
        <w:rPr>
          <w:rFonts w:ascii="Microsoft Sans Serif"/>
          <w:sz w:val="4"/>
        </w:rPr>
        <mc:AlternateContent>
          <mc:Choice Requires="wps">
            <w:drawing>
              <wp:anchor distT="0" distB="0" distL="0" distR="0" allowOverlap="1" layoutInCell="1" locked="0" behindDoc="1" simplePos="0" relativeHeight="487589888">
                <wp:simplePos x="0" y="0"/>
                <wp:positionH relativeFrom="page">
                  <wp:posOffset>401543</wp:posOffset>
                </wp:positionH>
                <wp:positionV relativeFrom="paragraph">
                  <wp:posOffset>50919</wp:posOffset>
                </wp:positionV>
                <wp:extent cx="6753225" cy="1079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09382pt;width:531.731217pt;height:.8008pt;mso-position-horizontal-relative:page;mso-position-vertical-relative:paragraph;z-index:-15726592;mso-wrap-distance-left:0;mso-wrap-distance-right:0" id="docshape5" filled="true" fillcolor="#242b67" stroked="false">
                <v:fill type="solid"/>
                <w10:wrap type="topAndBottom"/>
              </v:rect>
            </w:pict>
          </mc:Fallback>
        </mc:AlternateContent>
      </w:r>
    </w:p>
    <w:p>
      <w:pPr>
        <w:pStyle w:val="BodyText"/>
        <w:spacing w:before="29"/>
        <w:ind w:left="0" w:firstLine="0"/>
        <w:jc w:val="left"/>
        <w:rPr>
          <w:rFonts w:ascii="Microsoft Sans Serif"/>
          <w:sz w:val="38"/>
        </w:rPr>
      </w:pPr>
    </w:p>
    <w:p>
      <w:pPr>
        <w:pStyle w:val="Heading4"/>
      </w:pPr>
      <w:r>
        <w:rPr>
          <w:color w:val="242B67"/>
        </w:rPr>
        <w:t>Conceito e </w:t>
      </w:r>
      <w:r>
        <w:rPr>
          <w:color w:val="242B67"/>
          <w:spacing w:val="-2"/>
        </w:rPr>
        <w:t>epidemiologia</w:t>
      </w:r>
    </w:p>
    <w:p>
      <w:pPr>
        <w:pStyle w:val="BodyText"/>
        <w:spacing w:line="276" w:lineRule="auto" w:before="132"/>
        <w:ind w:right="488"/>
      </w:pPr>
      <w:r>
        <w:rPr/>
        <w:t>Conforme classificação contemporânea, as cardiomiopatias são definidas como um grupo heterogêneo de doenças do miocárdio associadas à disfunção elétrica ou mecânica, que invariavelmente apresentam hipertrofia inapropriada ou dilatação, de etiologias diversas e frequentemente genéticas. As cardiomiopatias podem estar confinadas ao coração ou fazer parte</w:t>
      </w:r>
      <w:r>
        <w:rPr>
          <w:spacing w:val="-2"/>
        </w:rPr>
        <w:t> </w:t>
      </w:r>
      <w:r>
        <w:rPr/>
        <w:t>de</w:t>
      </w:r>
      <w:r>
        <w:rPr>
          <w:spacing w:val="-3"/>
        </w:rPr>
        <w:t> </w:t>
      </w:r>
      <w:r>
        <w:rPr/>
        <w:t>uma</w:t>
      </w:r>
      <w:r>
        <w:rPr>
          <w:spacing w:val="-2"/>
        </w:rPr>
        <w:t> </w:t>
      </w:r>
      <w:r>
        <w:rPr/>
        <w:t>doença</w:t>
      </w:r>
      <w:r>
        <w:rPr>
          <w:spacing w:val="-3"/>
        </w:rPr>
        <w:t> </w:t>
      </w:r>
      <w:r>
        <w:rPr/>
        <w:t>sistêmica, evoluindo para</w:t>
      </w:r>
      <w:r>
        <w:rPr>
          <w:spacing w:val="-2"/>
        </w:rPr>
        <w:t> </w:t>
      </w:r>
      <w:r>
        <w:rPr/>
        <w:t>insuficiência</w:t>
      </w:r>
      <w:r>
        <w:rPr>
          <w:spacing w:val="-3"/>
        </w:rPr>
        <w:t> </w:t>
      </w:r>
      <w:r>
        <w:rPr/>
        <w:t>cardíaca</w:t>
      </w:r>
      <w:r>
        <w:rPr>
          <w:spacing w:val="-2"/>
        </w:rPr>
        <w:t> </w:t>
      </w:r>
      <w:r>
        <w:rPr/>
        <w:t>(IC) ou morte </w:t>
      </w:r>
      <w:r>
        <w:rPr>
          <w:spacing w:val="-2"/>
        </w:rPr>
        <w:t>súbita.</w:t>
      </w:r>
    </w:p>
    <w:p>
      <w:pPr>
        <w:pStyle w:val="BodyText"/>
        <w:spacing w:line="280" w:lineRule="auto" w:before="48"/>
        <w:ind w:right="491"/>
      </w:pPr>
      <w:r>
        <w:rPr/>
        <w:t>A cardiomiopatia dilatada é a forma mais frequente de apresentação clínica, caracterizada por dilatação ventricular e</w:t>
      </w:r>
      <w:r>
        <w:rPr>
          <w:spacing w:val="-7"/>
        </w:rPr>
        <w:t> </w:t>
      </w:r>
      <w:r>
        <w:rPr/>
        <w:t>disfunção.</w:t>
      </w:r>
      <w:r>
        <w:rPr>
          <w:vertAlign w:val="superscript"/>
        </w:rPr>
        <w:t>1</w:t>
      </w:r>
      <w:r>
        <w:rPr>
          <w:vertAlign w:val="baseline"/>
        </w:rPr>
        <w:t> A</w:t>
      </w:r>
      <w:r>
        <w:rPr>
          <w:spacing w:val="-7"/>
          <w:vertAlign w:val="baseline"/>
        </w:rPr>
        <w:t> </w:t>
      </w:r>
      <w:r>
        <w:rPr>
          <w:vertAlign w:val="baseline"/>
        </w:rPr>
        <w:t>cardiomiopatia</w:t>
      </w:r>
      <w:r>
        <w:rPr>
          <w:spacing w:val="-7"/>
          <w:vertAlign w:val="baseline"/>
        </w:rPr>
        <w:t> </w:t>
      </w:r>
      <w:r>
        <w:rPr>
          <w:vertAlign w:val="baseline"/>
        </w:rPr>
        <w:t>dilatada</w:t>
      </w:r>
      <w:r>
        <w:rPr>
          <w:spacing w:val="-7"/>
          <w:vertAlign w:val="baseline"/>
        </w:rPr>
        <w:t> </w:t>
      </w:r>
      <w:r>
        <w:rPr>
          <w:vertAlign w:val="baseline"/>
        </w:rPr>
        <w:t>idiopática</w:t>
      </w:r>
      <w:r>
        <w:rPr>
          <w:spacing w:val="-7"/>
          <w:vertAlign w:val="baseline"/>
        </w:rPr>
        <w:t> </w:t>
      </w:r>
      <w:r>
        <w:rPr>
          <w:vertAlign w:val="baseline"/>
        </w:rPr>
        <w:t>é</w:t>
      </w:r>
      <w:r>
        <w:rPr>
          <w:spacing w:val="-7"/>
          <w:vertAlign w:val="baseline"/>
        </w:rPr>
        <w:t> </w:t>
      </w:r>
      <w:r>
        <w:rPr>
          <w:vertAlign w:val="baseline"/>
        </w:rPr>
        <w:t>aquela</w:t>
      </w:r>
      <w:r>
        <w:rPr>
          <w:spacing w:val="-7"/>
          <w:vertAlign w:val="baseline"/>
        </w:rPr>
        <w:t> </w:t>
      </w:r>
      <w:r>
        <w:rPr>
          <w:vertAlign w:val="baseline"/>
        </w:rPr>
        <w:t>de</w:t>
      </w:r>
      <w:r>
        <w:rPr>
          <w:spacing w:val="-7"/>
          <w:vertAlign w:val="baseline"/>
        </w:rPr>
        <w:t> </w:t>
      </w:r>
      <w:r>
        <w:rPr>
          <w:vertAlign w:val="baseline"/>
        </w:rPr>
        <w:t>origem</w:t>
      </w:r>
      <w:r>
        <w:rPr>
          <w:spacing w:val="-5"/>
          <w:vertAlign w:val="baseline"/>
        </w:rPr>
        <w:t> </w:t>
      </w:r>
      <w:r>
        <w:rPr>
          <w:vertAlign w:val="baseline"/>
        </w:rPr>
        <w:t>desconhecida, excluídas as causas secundárias: hipertensão arterial, doenças coronarianas, valvares, congênitas, miocardite, hipertensão pulmonar e dilatação do ventrículo direito (VD) isolada.</w:t>
      </w:r>
    </w:p>
    <w:p>
      <w:pPr>
        <w:pStyle w:val="BodyText"/>
        <w:spacing w:line="283" w:lineRule="auto" w:before="60"/>
        <w:ind w:right="500"/>
      </w:pPr>
      <w:r>
        <w:rPr/>
        <w:t>Nos EUA, sua incidência é de 5 a 8 em 100.000 habitantes na população geral, o que representa um quarto das cardiomiopatias dilatadas, com prevalência ajustada à idade de 36 em 100.000 na população geral, sobrevida em 5 anos de 25 a 65%, conforme o estágio evolutivo, e mortalidade anual de 10.000 casos.</w:t>
      </w:r>
      <w:r>
        <w:rPr>
          <w:vertAlign w:val="superscript"/>
        </w:rPr>
        <w:t>2–4</w:t>
      </w:r>
    </w:p>
    <w:p>
      <w:pPr>
        <w:pStyle w:val="BodyText"/>
        <w:spacing w:line="290" w:lineRule="auto" w:before="57"/>
        <w:ind w:right="491"/>
      </w:pPr>
      <w:r>
        <w:rPr/>
        <w:t>Pacientes do sexo masculino e de cor negra apresentam um risco 2,5 vezes maior, quando comparados com pacientes de cor branca do sexo feminino.</w:t>
      </w:r>
      <w:r>
        <w:rPr>
          <w:vertAlign w:val="superscript"/>
        </w:rPr>
        <w:t>5</w:t>
      </w:r>
    </w:p>
    <w:p>
      <w:pPr>
        <w:pStyle w:val="BodyText"/>
        <w:spacing w:before="169"/>
        <w:ind w:left="0" w:firstLine="0"/>
        <w:jc w:val="left"/>
      </w:pPr>
    </w:p>
    <w:p>
      <w:pPr>
        <w:pStyle w:val="Heading4"/>
        <w:spacing w:before="1"/>
      </w:pPr>
      <w:r>
        <w:rPr>
          <w:color w:val="242B67"/>
          <w:spacing w:val="-2"/>
        </w:rPr>
        <w:t>Etiopatogenia</w:t>
      </w:r>
    </w:p>
    <w:p>
      <w:pPr>
        <w:pStyle w:val="BodyText"/>
        <w:spacing w:line="283" w:lineRule="auto" w:before="131"/>
        <w:ind w:right="488"/>
      </w:pPr>
      <w:r>
        <w:rPr/>
        <w:t>Tendo em vista que a presença de disfunção e dilatação cardíacas pode ser resultante de uma grande variedade de</w:t>
      </w:r>
      <w:r>
        <w:rPr>
          <w:spacing w:val="-14"/>
        </w:rPr>
        <w:t> </w:t>
      </w:r>
      <w:r>
        <w:rPr/>
        <w:t>doenças</w:t>
      </w:r>
      <w:r>
        <w:rPr>
          <w:spacing w:val="-5"/>
        </w:rPr>
        <w:t> </w:t>
      </w:r>
      <w:r>
        <w:rPr/>
        <w:t>adquiridas</w:t>
      </w:r>
      <w:r>
        <w:rPr>
          <w:spacing w:val="-5"/>
        </w:rPr>
        <w:t> </w:t>
      </w:r>
      <w:r>
        <w:rPr/>
        <w:t>e</w:t>
      </w:r>
      <w:r>
        <w:rPr>
          <w:spacing w:val="-14"/>
        </w:rPr>
        <w:t> </w:t>
      </w:r>
      <w:r>
        <w:rPr/>
        <w:t>hereditárias,</w:t>
      </w:r>
      <w:r>
        <w:rPr>
          <w:spacing w:val="-5"/>
        </w:rPr>
        <w:t> </w:t>
      </w:r>
      <w:r>
        <w:rPr/>
        <w:t>a</w:t>
      </w:r>
      <w:r>
        <w:rPr>
          <w:spacing w:val="-14"/>
        </w:rPr>
        <w:t> </w:t>
      </w:r>
      <w:r>
        <w:rPr/>
        <w:t>diferenciação</w:t>
      </w:r>
      <w:r>
        <w:rPr>
          <w:spacing w:val="-12"/>
        </w:rPr>
        <w:t> </w:t>
      </w:r>
      <w:r>
        <w:rPr/>
        <w:t>entre</w:t>
      </w:r>
      <w:r>
        <w:rPr>
          <w:spacing w:val="-14"/>
        </w:rPr>
        <w:t> </w:t>
      </w:r>
      <w:r>
        <w:rPr/>
        <w:t>cardiomiopatia</w:t>
      </w:r>
      <w:r>
        <w:rPr>
          <w:spacing w:val="-15"/>
        </w:rPr>
        <w:t> </w:t>
      </w:r>
      <w:r>
        <w:rPr/>
        <w:t>dilatada</w:t>
      </w:r>
      <w:r>
        <w:rPr>
          <w:spacing w:val="-14"/>
        </w:rPr>
        <w:t> </w:t>
      </w:r>
      <w:r>
        <w:rPr/>
        <w:t>idiopática</w:t>
      </w:r>
      <w:r>
        <w:rPr>
          <w:spacing w:val="-14"/>
        </w:rPr>
        <w:t> </w:t>
      </w:r>
      <w:r>
        <w:rPr/>
        <w:t>das</w:t>
      </w:r>
      <w:r>
        <w:rPr>
          <w:spacing w:val="-5"/>
        </w:rPr>
        <w:t> </w:t>
      </w:r>
      <w:r>
        <w:rPr/>
        <w:t>formas</w:t>
      </w:r>
      <w:r>
        <w:rPr>
          <w:spacing w:val="-5"/>
        </w:rPr>
        <w:t> </w:t>
      </w:r>
      <w:r>
        <w:rPr/>
        <w:t>secundárias e potencialmente reversíveis é de grande importância terapêutica e prognóstica (</w:t>
      </w:r>
      <w:r>
        <w:rPr>
          <w:color w:val="505050"/>
        </w:rPr>
        <w:t>Tabela 50.1</w:t>
      </w:r>
      <w:r>
        <w:rPr/>
        <w:t>).</w:t>
      </w:r>
      <w:r>
        <w:rPr>
          <w:vertAlign w:val="superscript"/>
        </w:rPr>
        <w:t>6</w:t>
      </w:r>
    </w:p>
    <w:p>
      <w:pPr>
        <w:pStyle w:val="BodyText"/>
        <w:spacing w:line="283" w:lineRule="auto" w:before="41"/>
        <w:ind w:right="497"/>
      </w:pPr>
      <w:r>
        <w:rPr/>
        <w:t>A</w:t>
      </w:r>
      <w:r>
        <w:rPr>
          <w:spacing w:val="-7"/>
        </w:rPr>
        <w:t> </w:t>
      </w:r>
      <w:r>
        <w:rPr/>
        <w:t>cardiomiopatia</w:t>
      </w:r>
      <w:r>
        <w:rPr>
          <w:spacing w:val="-7"/>
        </w:rPr>
        <w:t> </w:t>
      </w:r>
      <w:r>
        <w:rPr/>
        <w:t>dilatada</w:t>
      </w:r>
      <w:r>
        <w:rPr>
          <w:spacing w:val="-7"/>
        </w:rPr>
        <w:t> </w:t>
      </w:r>
      <w:r>
        <w:rPr/>
        <w:t>idiopática</w:t>
      </w:r>
      <w:r>
        <w:rPr>
          <w:spacing w:val="-7"/>
        </w:rPr>
        <w:t> </w:t>
      </w:r>
      <w:r>
        <w:rPr/>
        <w:t>é</w:t>
      </w:r>
      <w:r>
        <w:rPr>
          <w:spacing w:val="-7"/>
        </w:rPr>
        <w:t> </w:t>
      </w:r>
      <w:r>
        <w:rPr/>
        <w:t>considerada</w:t>
      </w:r>
      <w:r>
        <w:rPr>
          <w:spacing w:val="-7"/>
        </w:rPr>
        <w:t> </w:t>
      </w:r>
      <w:r>
        <w:rPr/>
        <w:t>doença</w:t>
      </w:r>
      <w:r>
        <w:rPr>
          <w:spacing w:val="-7"/>
        </w:rPr>
        <w:t> </w:t>
      </w:r>
      <w:r>
        <w:rPr/>
        <w:t>de</w:t>
      </w:r>
      <w:r>
        <w:rPr>
          <w:spacing w:val="-7"/>
        </w:rPr>
        <w:t> </w:t>
      </w:r>
      <w:r>
        <w:rPr/>
        <w:t>origem</w:t>
      </w:r>
      <w:r>
        <w:rPr>
          <w:spacing w:val="-5"/>
        </w:rPr>
        <w:t> </w:t>
      </w:r>
      <w:r>
        <w:rPr/>
        <w:t>multifatorial, sendo</w:t>
      </w:r>
      <w:r>
        <w:rPr>
          <w:spacing w:val="-5"/>
        </w:rPr>
        <w:t> </w:t>
      </w:r>
      <w:r>
        <w:rPr/>
        <w:t>vários os mecanismos relacionados.</w:t>
      </w:r>
      <w:r>
        <w:rPr>
          <w:spacing w:val="-2"/>
        </w:rPr>
        <w:t> </w:t>
      </w:r>
      <w:r>
        <w:rPr/>
        <w:t>Dentre</w:t>
      </w:r>
      <w:r>
        <w:rPr>
          <w:spacing w:val="-11"/>
        </w:rPr>
        <w:t> </w:t>
      </w:r>
      <w:r>
        <w:rPr/>
        <w:t>estes,</w:t>
      </w:r>
      <w:r>
        <w:rPr>
          <w:spacing w:val="-2"/>
        </w:rPr>
        <w:t> </w:t>
      </w:r>
      <w:r>
        <w:rPr/>
        <w:t>destacam-se</w:t>
      </w:r>
      <w:r>
        <w:rPr>
          <w:spacing w:val="-11"/>
        </w:rPr>
        <w:t> </w:t>
      </w:r>
      <w:r>
        <w:rPr/>
        <w:t>fatores</w:t>
      </w:r>
      <w:r>
        <w:rPr>
          <w:spacing w:val="-2"/>
        </w:rPr>
        <w:t> </w:t>
      </w:r>
      <w:r>
        <w:rPr/>
        <w:t>genéticos,</w:t>
      </w:r>
      <w:r>
        <w:rPr>
          <w:spacing w:val="-2"/>
        </w:rPr>
        <w:t> </w:t>
      </w:r>
      <w:r>
        <w:rPr/>
        <w:t>virais,</w:t>
      </w:r>
      <w:r>
        <w:rPr>
          <w:spacing w:val="-2"/>
        </w:rPr>
        <w:t> </w:t>
      </w:r>
      <w:r>
        <w:rPr/>
        <w:t>autoimunidade</w:t>
      </w:r>
      <w:r>
        <w:rPr>
          <w:spacing w:val="-11"/>
        </w:rPr>
        <w:t> </w:t>
      </w:r>
      <w:r>
        <w:rPr/>
        <w:t>a</w:t>
      </w:r>
      <w:r>
        <w:rPr>
          <w:spacing w:val="-11"/>
        </w:rPr>
        <w:t> </w:t>
      </w:r>
      <w:r>
        <w:rPr/>
        <w:t>antígenos</w:t>
      </w:r>
      <w:r>
        <w:rPr>
          <w:spacing w:val="-2"/>
        </w:rPr>
        <w:t> </w:t>
      </w:r>
      <w:r>
        <w:rPr/>
        <w:t>epítopos</w:t>
      </w:r>
      <w:r>
        <w:rPr>
          <w:spacing w:val="-2"/>
        </w:rPr>
        <w:t> </w:t>
      </w:r>
      <w:r>
        <w:rPr/>
        <w:t>miocárdicos</w:t>
      </w:r>
      <w:r>
        <w:rPr>
          <w:spacing w:val="-2"/>
        </w:rPr>
        <w:t> </w:t>
      </w:r>
      <w:r>
        <w:rPr/>
        <w:t>e fatores adquiridos, como infecciosos, metabólicos e tóxicos.</w:t>
      </w:r>
      <w:r>
        <w:rPr>
          <w:vertAlign w:val="superscript"/>
        </w:rPr>
        <w:t>7</w:t>
      </w:r>
    </w:p>
    <w:p>
      <w:pPr>
        <w:pStyle w:val="BodyText"/>
        <w:spacing w:line="290" w:lineRule="auto" w:before="57"/>
        <w:ind w:right="488"/>
      </w:pPr>
      <w:r>
        <w:rPr/>
        <w:t>As hipóteses viral, autoimune e genética são as mais aceitas por serem responsáveis pela etiopatogenia da cardiomiopatia dilatada.</w:t>
      </w:r>
      <w:r>
        <w:rPr>
          <w:vertAlign w:val="superscript"/>
        </w:rPr>
        <w:t>5</w:t>
      </w:r>
    </w:p>
    <w:p>
      <w:pPr>
        <w:pStyle w:val="BodyText"/>
        <w:spacing w:line="285" w:lineRule="auto" w:before="48"/>
        <w:ind w:right="488"/>
      </w:pPr>
      <w:r>
        <w:rPr/>
        <w:t>A hipótese autoimune embasa-se no achado de autoanticorpos séricos em pacientes com cardiomiopatia dilatada.</w:t>
      </w:r>
      <w:r>
        <w:rPr>
          <w:vertAlign w:val="superscript"/>
        </w:rPr>
        <w:t>8</w:t>
      </w:r>
      <w:r>
        <w:rPr>
          <w:vertAlign w:val="baseline"/>
        </w:rPr>
        <w:t> São descritos autoanticorpos contra miosinas de cadeia pesada alfa e beta, proteínas sarcoplasmáticas, enzimas mitocondriais e receptores beta-adrenérgicos e muscarínicos.</w:t>
      </w:r>
      <w:r>
        <w:rPr>
          <w:vertAlign w:val="superscript"/>
        </w:rPr>
        <w:t>9,10</w:t>
      </w:r>
      <w:r>
        <w:rPr>
          <w:vertAlign w:val="baseline"/>
        </w:rPr>
        <w:t> Esse processo autoimune pode ser deflagrado por diversas formas de</w:t>
      </w:r>
      <w:r>
        <w:rPr>
          <w:spacing w:val="-2"/>
          <w:vertAlign w:val="baseline"/>
        </w:rPr>
        <w:t> </w:t>
      </w:r>
      <w:r>
        <w:rPr>
          <w:vertAlign w:val="baseline"/>
        </w:rPr>
        <w:t>agressão, tais como infecções virais e</w:t>
      </w:r>
      <w:r>
        <w:rPr>
          <w:spacing w:val="-2"/>
          <w:vertAlign w:val="baseline"/>
        </w:rPr>
        <w:t> </w:t>
      </w:r>
      <w:r>
        <w:rPr>
          <w:vertAlign w:val="baseline"/>
        </w:rPr>
        <w:t>bacterianas. O</w:t>
      </w:r>
      <w:r>
        <w:rPr>
          <w:spacing w:val="-2"/>
          <w:vertAlign w:val="baseline"/>
        </w:rPr>
        <w:t> </w:t>
      </w:r>
      <w:r>
        <w:rPr>
          <w:vertAlign w:val="baseline"/>
        </w:rPr>
        <w:t>mimetismo entre</w:t>
      </w:r>
      <w:r>
        <w:rPr>
          <w:spacing w:val="-2"/>
          <w:vertAlign w:val="baseline"/>
        </w:rPr>
        <w:t> </w:t>
      </w:r>
      <w:r>
        <w:rPr>
          <w:vertAlign w:val="baseline"/>
        </w:rPr>
        <w:t>proteínas virais e bacterianas com moléculas cardíacas desencadeia a autorreatividade e a produção de anticorpos contra antígenos cardíacos.</w:t>
      </w:r>
      <w:r>
        <w:rPr>
          <w:vertAlign w:val="superscript"/>
        </w:rPr>
        <w:t>7</w:t>
      </w:r>
    </w:p>
    <w:p>
      <w:pPr>
        <w:pStyle w:val="BodyText"/>
        <w:spacing w:line="276" w:lineRule="auto" w:before="34"/>
        <w:ind w:right="491"/>
      </w:pPr>
      <w:r>
        <w:rPr/>
        <w:t>Algumas formas de cardiomiopatia dilatada hereditária não podem ser diferenciadas pelo padrão anatomopatológico, dessa forma, a distinção depende do padrão de transmissão. Formas autossômicas recessivas, autossômicas</w:t>
      </w:r>
      <w:r>
        <w:rPr>
          <w:spacing w:val="17"/>
        </w:rPr>
        <w:t> </w:t>
      </w:r>
      <w:r>
        <w:rPr/>
        <w:t>dominantes</w:t>
      </w:r>
      <w:r>
        <w:rPr>
          <w:spacing w:val="17"/>
        </w:rPr>
        <w:t> </w:t>
      </w:r>
      <w:r>
        <w:rPr/>
        <w:t>e ligadas</w:t>
      </w:r>
      <w:r>
        <w:rPr>
          <w:spacing w:val="17"/>
        </w:rPr>
        <w:t> </w:t>
      </w:r>
      <w:r>
        <w:rPr/>
        <w:t>ao cromossomo X são descritas.</w:t>
      </w:r>
      <w:r>
        <w:rPr>
          <w:spacing w:val="17"/>
        </w:rPr>
        <w:t> </w:t>
      </w:r>
      <w:r>
        <w:rPr/>
        <w:t>Cerca de 20 a 30% dos</w:t>
      </w:r>
      <w:r>
        <w:rPr>
          <w:spacing w:val="17"/>
        </w:rPr>
        <w:t> </w:t>
      </w:r>
      <w:r>
        <w:rPr/>
        <w:t>parentes</w:t>
      </w:r>
      <w:r>
        <w:rPr>
          <w:spacing w:val="17"/>
        </w:rPr>
        <w:t> </w:t>
      </w:r>
      <w:r>
        <w:rPr/>
        <w:t>em primeiro</w:t>
      </w:r>
    </w:p>
    <w:p>
      <w:pPr>
        <w:pStyle w:val="BodyText"/>
        <w:spacing w:after="0" w:line="276" w:lineRule="auto"/>
        <w:sectPr>
          <w:pgSz w:w="11900" w:h="16840"/>
          <w:pgMar w:top="1060" w:bottom="280" w:left="566" w:right="141"/>
        </w:sectPr>
      </w:pPr>
    </w:p>
    <w:p>
      <w:pPr>
        <w:pStyle w:val="BodyText"/>
        <w:spacing w:line="285" w:lineRule="auto"/>
        <w:ind w:right="497" w:firstLine="0"/>
      </w:pPr>
      <w:r>
        <w:rPr/>
        <w:t>grau de pacientes com cardiomiopatia dilatada podem apresentar algum grau de comprometimento miocárdico. A implicação</w:t>
      </w:r>
      <w:r>
        <w:rPr>
          <w:spacing w:val="-12"/>
        </w:rPr>
        <w:t> </w:t>
      </w:r>
      <w:r>
        <w:rPr/>
        <w:t>desse</w:t>
      </w:r>
      <w:r>
        <w:rPr>
          <w:spacing w:val="-14"/>
        </w:rPr>
        <w:t> </w:t>
      </w:r>
      <w:r>
        <w:rPr/>
        <w:t>achado</w:t>
      </w:r>
      <w:r>
        <w:rPr>
          <w:spacing w:val="-12"/>
        </w:rPr>
        <w:t> </w:t>
      </w:r>
      <w:r>
        <w:rPr/>
        <w:t>é</w:t>
      </w:r>
      <w:r>
        <w:rPr>
          <w:spacing w:val="-14"/>
        </w:rPr>
        <w:t> </w:t>
      </w:r>
      <w:r>
        <w:rPr/>
        <w:t>de</w:t>
      </w:r>
      <w:r>
        <w:rPr>
          <w:spacing w:val="-14"/>
        </w:rPr>
        <w:t> </w:t>
      </w:r>
      <w:r>
        <w:rPr/>
        <w:t>grande</w:t>
      </w:r>
      <w:r>
        <w:rPr>
          <w:spacing w:val="-14"/>
        </w:rPr>
        <w:t> </w:t>
      </w:r>
      <w:r>
        <w:rPr/>
        <w:t>importância</w:t>
      </w:r>
      <w:r>
        <w:rPr>
          <w:spacing w:val="-14"/>
        </w:rPr>
        <w:t> </w:t>
      </w:r>
      <w:r>
        <w:rPr/>
        <w:t>para</w:t>
      </w:r>
      <w:r>
        <w:rPr>
          <w:spacing w:val="-14"/>
        </w:rPr>
        <w:t> </w:t>
      </w:r>
      <w:r>
        <w:rPr/>
        <w:t>a</w:t>
      </w:r>
      <w:r>
        <w:rPr>
          <w:spacing w:val="-14"/>
        </w:rPr>
        <w:t> </w:t>
      </w:r>
      <w:r>
        <w:rPr/>
        <w:t>avaliação</w:t>
      </w:r>
      <w:r>
        <w:rPr>
          <w:spacing w:val="-12"/>
        </w:rPr>
        <w:t> </w:t>
      </w:r>
      <w:r>
        <w:rPr/>
        <w:t>de</w:t>
      </w:r>
      <w:r>
        <w:rPr>
          <w:spacing w:val="-14"/>
        </w:rPr>
        <w:t> </w:t>
      </w:r>
      <w:r>
        <w:rPr/>
        <w:t>familiares</w:t>
      </w:r>
      <w:r>
        <w:rPr>
          <w:spacing w:val="-4"/>
        </w:rPr>
        <w:t> </w:t>
      </w:r>
      <w:r>
        <w:rPr/>
        <w:t>para</w:t>
      </w:r>
      <w:r>
        <w:rPr>
          <w:spacing w:val="-14"/>
        </w:rPr>
        <w:t> </w:t>
      </w:r>
      <w:r>
        <w:rPr/>
        <w:t>comprometimento</w:t>
      </w:r>
      <w:r>
        <w:rPr>
          <w:spacing w:val="-12"/>
        </w:rPr>
        <w:t> </w:t>
      </w:r>
      <w:r>
        <w:rPr/>
        <w:t>miocárdico.</w:t>
      </w:r>
      <w:r>
        <w:rPr>
          <w:vertAlign w:val="superscript"/>
        </w:rPr>
        <w:t>2</w:t>
      </w:r>
      <w:r>
        <w:rPr>
          <w:vertAlign w:val="baseline"/>
        </w:rPr>
        <w:t> Outras formas de cardiomiopatia dilatada familiares estão relacionadas com mutações específicas de miosina de cadeia</w:t>
      </w:r>
      <w:r>
        <w:rPr>
          <w:spacing w:val="-2"/>
          <w:vertAlign w:val="baseline"/>
        </w:rPr>
        <w:t> </w:t>
      </w:r>
      <w:r>
        <w:rPr>
          <w:vertAlign w:val="baseline"/>
        </w:rPr>
        <w:t>pesada</w:t>
      </w:r>
      <w:r>
        <w:rPr>
          <w:spacing w:val="-2"/>
          <w:vertAlign w:val="baseline"/>
        </w:rPr>
        <w:t> </w:t>
      </w:r>
      <w:r>
        <w:rPr>
          <w:vertAlign w:val="baseline"/>
        </w:rPr>
        <w:t>e</w:t>
      </w:r>
      <w:r>
        <w:rPr>
          <w:spacing w:val="-2"/>
          <w:vertAlign w:val="baseline"/>
        </w:rPr>
        <w:t> </w:t>
      </w:r>
      <w:r>
        <w:rPr>
          <w:vertAlign w:val="baseline"/>
        </w:rPr>
        <w:t>de</w:t>
      </w:r>
      <w:r>
        <w:rPr>
          <w:spacing w:val="-2"/>
          <w:vertAlign w:val="baseline"/>
        </w:rPr>
        <w:t> </w:t>
      </w:r>
      <w:r>
        <w:rPr>
          <w:vertAlign w:val="baseline"/>
        </w:rPr>
        <w:t>troponina</w:t>
      </w:r>
      <w:r>
        <w:rPr>
          <w:spacing w:val="-2"/>
          <w:vertAlign w:val="baseline"/>
        </w:rPr>
        <w:t> </w:t>
      </w:r>
      <w:r>
        <w:rPr>
          <w:vertAlign w:val="baseline"/>
        </w:rPr>
        <w:t>e</w:t>
      </w:r>
      <w:r>
        <w:rPr>
          <w:spacing w:val="-2"/>
          <w:vertAlign w:val="baseline"/>
        </w:rPr>
        <w:t> </w:t>
      </w:r>
      <w:r>
        <w:rPr>
          <w:vertAlign w:val="baseline"/>
        </w:rPr>
        <w:t>com a</w:t>
      </w:r>
      <w:r>
        <w:rPr>
          <w:spacing w:val="-2"/>
          <w:vertAlign w:val="baseline"/>
        </w:rPr>
        <w:t> </w:t>
      </w:r>
      <w:r>
        <w:rPr>
          <w:vertAlign w:val="baseline"/>
        </w:rPr>
        <w:t>deleção/mutação do gene</w:t>
      </w:r>
      <w:r>
        <w:rPr>
          <w:spacing w:val="-2"/>
          <w:vertAlign w:val="baseline"/>
        </w:rPr>
        <w:t> </w:t>
      </w:r>
      <w:r>
        <w:rPr>
          <w:vertAlign w:val="baseline"/>
        </w:rPr>
        <w:t>da</w:t>
      </w:r>
      <w:r>
        <w:rPr>
          <w:spacing w:val="-2"/>
          <w:vertAlign w:val="baseline"/>
        </w:rPr>
        <w:t> </w:t>
      </w:r>
      <w:r>
        <w:rPr>
          <w:vertAlign w:val="baseline"/>
        </w:rPr>
        <w:t>distrofina</w:t>
      </w:r>
      <w:r>
        <w:rPr>
          <w:spacing w:val="-2"/>
          <w:vertAlign w:val="baseline"/>
        </w:rPr>
        <w:t> </w:t>
      </w:r>
      <w:r>
        <w:rPr>
          <w:vertAlign w:val="baseline"/>
        </w:rPr>
        <w:t>nos miócitos cardíacos.</w:t>
      </w:r>
      <w:r>
        <w:rPr>
          <w:vertAlign w:val="superscript"/>
        </w:rPr>
        <w:t>11</w:t>
      </w:r>
    </w:p>
    <w:p>
      <w:pPr>
        <w:pStyle w:val="BodyText"/>
        <w:spacing w:before="80"/>
        <w:ind w:left="0" w:firstLine="0"/>
        <w:jc w:val="left"/>
      </w:pPr>
    </w:p>
    <w:p>
      <w:pPr>
        <w:spacing w:before="1"/>
        <w:ind w:left="68" w:right="0" w:firstLine="0"/>
        <w:jc w:val="both"/>
        <w:rPr>
          <w:rFonts w:ascii="Microsoft Sans Serif"/>
          <w:sz w:val="23"/>
        </w:rPr>
      </w:pPr>
      <w:r>
        <w:rPr>
          <w:rFonts w:ascii="Arial"/>
          <w:b/>
          <w:color w:val="242B67"/>
          <w:sz w:val="23"/>
        </w:rPr>
        <w:t>Tabela</w:t>
      </w:r>
      <w:r>
        <w:rPr>
          <w:rFonts w:ascii="Arial"/>
          <w:b/>
          <w:color w:val="242B67"/>
          <w:spacing w:val="-7"/>
          <w:sz w:val="23"/>
        </w:rPr>
        <w:t> </w:t>
      </w:r>
      <w:r>
        <w:rPr>
          <w:rFonts w:ascii="Arial"/>
          <w:b/>
          <w:color w:val="242B67"/>
          <w:sz w:val="23"/>
        </w:rPr>
        <w:t>50.1</w:t>
      </w:r>
      <w:r>
        <w:rPr>
          <w:rFonts w:ascii="Arial"/>
          <w:b/>
          <w:color w:val="242B67"/>
          <w:spacing w:val="-7"/>
          <w:sz w:val="23"/>
        </w:rPr>
        <w:t> </w:t>
      </w:r>
      <w:r>
        <w:rPr>
          <w:rFonts w:ascii="Microsoft Sans Serif"/>
          <w:sz w:val="23"/>
        </w:rPr>
        <w:t>Causas</w:t>
      </w:r>
      <w:r>
        <w:rPr>
          <w:rFonts w:ascii="Microsoft Sans Serif"/>
          <w:spacing w:val="-7"/>
          <w:sz w:val="23"/>
        </w:rPr>
        <w:t> </w:t>
      </w:r>
      <w:r>
        <w:rPr>
          <w:rFonts w:ascii="Microsoft Sans Serif"/>
          <w:sz w:val="23"/>
        </w:rPr>
        <w:t>conhecidas</w:t>
      </w:r>
      <w:r>
        <w:rPr>
          <w:rFonts w:ascii="Microsoft Sans Serif"/>
          <w:spacing w:val="-7"/>
          <w:sz w:val="23"/>
        </w:rPr>
        <w:t> </w:t>
      </w:r>
      <w:r>
        <w:rPr>
          <w:rFonts w:ascii="Microsoft Sans Serif"/>
          <w:sz w:val="23"/>
        </w:rPr>
        <w:t>de</w:t>
      </w:r>
      <w:r>
        <w:rPr>
          <w:rFonts w:ascii="Microsoft Sans Serif"/>
          <w:spacing w:val="-4"/>
          <w:sz w:val="23"/>
        </w:rPr>
        <w:t> </w:t>
      </w:r>
      <w:r>
        <w:rPr>
          <w:rFonts w:ascii="Microsoft Sans Serif"/>
          <w:sz w:val="23"/>
        </w:rPr>
        <w:t>cardiomiopatia</w:t>
      </w:r>
      <w:r>
        <w:rPr>
          <w:rFonts w:ascii="Microsoft Sans Serif"/>
          <w:spacing w:val="-5"/>
          <w:sz w:val="23"/>
        </w:rPr>
        <w:t> </w:t>
      </w:r>
      <w:r>
        <w:rPr>
          <w:rFonts w:ascii="Microsoft Sans Serif"/>
          <w:spacing w:val="-2"/>
          <w:sz w:val="23"/>
        </w:rPr>
        <w:t>dilatada.</w:t>
      </w:r>
    </w:p>
    <w:p>
      <w:pPr>
        <w:pStyle w:val="BodyText"/>
        <w:spacing w:before="0"/>
        <w:ind w:left="0" w:firstLine="0"/>
        <w:jc w:val="left"/>
        <w:rPr>
          <w:rFonts w:ascii="Microsoft Sans Serif"/>
          <w:sz w:val="14"/>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309"/>
        <w:gridCol w:w="5309"/>
      </w:tblGrid>
      <w:tr>
        <w:trPr>
          <w:trHeight w:val="6436" w:hRule="atLeast"/>
        </w:trPr>
        <w:tc>
          <w:tcPr>
            <w:tcW w:w="5309" w:type="dxa"/>
            <w:tcBorders>
              <w:top w:val="nil"/>
              <w:left w:val="nil"/>
            </w:tcBorders>
            <w:shd w:val="clear" w:color="auto" w:fill="EDECF3"/>
          </w:tcPr>
          <w:p>
            <w:pPr>
              <w:pStyle w:val="TableParagraph"/>
              <w:spacing w:before="91"/>
              <w:ind w:left="67"/>
              <w:rPr>
                <w:rFonts w:ascii="Arial"/>
                <w:b/>
                <w:sz w:val="21"/>
              </w:rPr>
            </w:pPr>
            <w:r>
              <w:rPr>
                <w:rFonts w:ascii="Arial"/>
                <w:b/>
                <w:spacing w:val="-2"/>
                <w:w w:val="105"/>
                <w:sz w:val="21"/>
              </w:rPr>
              <w:t>Toxinas</w:t>
            </w:r>
          </w:p>
        </w:tc>
        <w:tc>
          <w:tcPr>
            <w:tcW w:w="5309" w:type="dxa"/>
            <w:tcBorders>
              <w:top w:val="nil"/>
              <w:right w:val="nil"/>
            </w:tcBorders>
            <w:shd w:val="clear" w:color="auto" w:fill="EDECF3"/>
          </w:tcPr>
          <w:p>
            <w:pPr>
              <w:pStyle w:val="TableParagraph"/>
              <w:spacing w:before="94"/>
              <w:ind w:left="66"/>
              <w:rPr>
                <w:sz w:val="21"/>
              </w:rPr>
            </w:pPr>
            <w:r>
              <w:rPr>
                <w:spacing w:val="-2"/>
                <w:sz w:val="21"/>
              </w:rPr>
              <w:t>Álcool</w:t>
            </w:r>
          </w:p>
          <w:p>
            <w:pPr>
              <w:pStyle w:val="TableParagraph"/>
              <w:spacing w:line="436" w:lineRule="auto" w:before="211"/>
              <w:ind w:left="66" w:right="2089"/>
              <w:rPr>
                <w:sz w:val="21"/>
              </w:rPr>
            </w:pPr>
            <w:r>
              <w:rPr>
                <w:w w:val="105"/>
                <w:sz w:val="21"/>
              </w:rPr>
              <w:t>Agentes </w:t>
            </w:r>
            <w:r>
              <w:rPr>
                <w:w w:val="105"/>
                <w:sz w:val="21"/>
              </w:rPr>
              <w:t>quimioterápicos </w:t>
            </w:r>
            <w:r>
              <w:rPr>
                <w:spacing w:val="-2"/>
                <w:w w:val="105"/>
                <w:sz w:val="21"/>
              </w:rPr>
              <w:t>Cobalto</w:t>
            </w:r>
          </w:p>
          <w:p>
            <w:pPr>
              <w:pStyle w:val="TableParagraph"/>
              <w:spacing w:line="436" w:lineRule="auto" w:before="0"/>
              <w:ind w:left="66" w:right="3046"/>
              <w:rPr>
                <w:sz w:val="21"/>
              </w:rPr>
            </w:pPr>
            <w:r>
              <w:rPr>
                <w:w w:val="105"/>
                <w:sz w:val="21"/>
              </w:rPr>
              <w:t>Agentes retrovirais </w:t>
            </w:r>
            <w:r>
              <w:rPr>
                <w:spacing w:val="-2"/>
                <w:w w:val="105"/>
                <w:sz w:val="21"/>
              </w:rPr>
              <w:t>Fenotiazinas </w:t>
            </w:r>
            <w:r>
              <w:rPr>
                <w:w w:val="105"/>
                <w:sz w:val="21"/>
              </w:rPr>
              <w:t>Monóxido de </w:t>
            </w:r>
            <w:r>
              <w:rPr>
                <w:w w:val="105"/>
                <w:sz w:val="21"/>
              </w:rPr>
              <w:t>carbono </w:t>
            </w:r>
            <w:r>
              <w:rPr>
                <w:spacing w:val="-2"/>
                <w:w w:val="105"/>
                <w:sz w:val="21"/>
              </w:rPr>
              <w:t>Cocaína</w:t>
            </w:r>
          </w:p>
          <w:p>
            <w:pPr>
              <w:pStyle w:val="TableParagraph"/>
              <w:spacing w:before="15"/>
              <w:ind w:left="66"/>
              <w:rPr>
                <w:sz w:val="21"/>
              </w:rPr>
            </w:pPr>
            <w:r>
              <w:rPr>
                <w:spacing w:val="-2"/>
                <w:w w:val="105"/>
                <w:sz w:val="21"/>
              </w:rPr>
              <w:t>Mercúrio</w:t>
            </w:r>
          </w:p>
          <w:p>
            <w:pPr>
              <w:pStyle w:val="TableParagraph"/>
              <w:spacing w:before="195"/>
              <w:ind w:left="66"/>
              <w:rPr>
                <w:sz w:val="21"/>
              </w:rPr>
            </w:pPr>
            <w:r>
              <w:rPr>
                <w:spacing w:val="2"/>
                <w:sz w:val="21"/>
              </w:rPr>
              <w:t>Anormalidades</w:t>
            </w:r>
            <w:r>
              <w:rPr>
                <w:spacing w:val="71"/>
                <w:sz w:val="21"/>
              </w:rPr>
              <w:t> </w:t>
            </w:r>
            <w:r>
              <w:rPr>
                <w:spacing w:val="-2"/>
                <w:sz w:val="21"/>
              </w:rPr>
              <w:t>metabólicas</w:t>
            </w:r>
          </w:p>
          <w:p>
            <w:pPr>
              <w:pStyle w:val="TableParagraph"/>
              <w:spacing w:line="307" w:lineRule="auto" w:before="195"/>
              <w:ind w:left="66" w:right="284"/>
              <w:rPr>
                <w:sz w:val="21"/>
              </w:rPr>
            </w:pPr>
            <w:r>
              <w:rPr>
                <w:w w:val="105"/>
                <w:sz w:val="21"/>
              </w:rPr>
              <w:t>Deficiências nutricionais (tiamina, selênio, </w:t>
            </w:r>
            <w:r>
              <w:rPr>
                <w:spacing w:val="-2"/>
                <w:w w:val="105"/>
                <w:sz w:val="21"/>
              </w:rPr>
              <w:t>carnitina)</w:t>
            </w:r>
          </w:p>
          <w:p>
            <w:pPr>
              <w:pStyle w:val="TableParagraph"/>
              <w:spacing w:line="307" w:lineRule="auto" w:before="128"/>
              <w:ind w:left="66"/>
              <w:rPr>
                <w:sz w:val="21"/>
              </w:rPr>
            </w:pPr>
            <w:r>
              <w:rPr>
                <w:w w:val="105"/>
                <w:sz w:val="21"/>
              </w:rPr>
              <w:t>Distúrbios endocrinológicos (hipotireoidismo, acromegalia, tireotoxicose, doença de Cushing, feocromocitona, diabetes melito)</w:t>
            </w:r>
          </w:p>
          <w:p>
            <w:pPr>
              <w:pStyle w:val="TableParagraph"/>
              <w:spacing w:line="307" w:lineRule="auto" w:before="128"/>
              <w:ind w:left="66"/>
              <w:rPr>
                <w:sz w:val="21"/>
              </w:rPr>
            </w:pPr>
            <w:r>
              <w:rPr>
                <w:w w:val="105"/>
                <w:sz w:val="21"/>
              </w:rPr>
              <w:t>Distúrbios de eletrólitos (hipocalcemia e </w:t>
            </w:r>
            <w:r>
              <w:rPr>
                <w:spacing w:val="-2"/>
                <w:w w:val="105"/>
                <w:sz w:val="21"/>
              </w:rPr>
              <w:t>hipofosfatemia)</w:t>
            </w:r>
          </w:p>
        </w:tc>
      </w:tr>
      <w:tr>
        <w:trPr>
          <w:trHeight w:val="428" w:hRule="atLeast"/>
        </w:trPr>
        <w:tc>
          <w:tcPr>
            <w:tcW w:w="5309" w:type="dxa"/>
            <w:tcBorders>
              <w:left w:val="nil"/>
            </w:tcBorders>
            <w:shd w:val="clear" w:color="auto" w:fill="EDECF3"/>
          </w:tcPr>
          <w:p>
            <w:pPr>
              <w:pStyle w:val="TableParagraph"/>
              <w:spacing w:before="89"/>
              <w:ind w:left="67"/>
              <w:rPr>
                <w:rFonts w:ascii="Arial" w:hAnsi="Arial"/>
                <w:b/>
                <w:sz w:val="21"/>
              </w:rPr>
            </w:pPr>
            <w:r>
              <w:rPr>
                <w:rFonts w:ascii="Arial" w:hAnsi="Arial"/>
                <w:b/>
                <w:spacing w:val="-2"/>
                <w:w w:val="105"/>
                <w:sz w:val="21"/>
              </w:rPr>
              <w:t>Inflamatórias</w:t>
            </w:r>
          </w:p>
        </w:tc>
        <w:tc>
          <w:tcPr>
            <w:tcW w:w="5309" w:type="dxa"/>
            <w:tcBorders>
              <w:right w:val="nil"/>
            </w:tcBorders>
            <w:shd w:val="clear" w:color="auto" w:fill="EDECF3"/>
          </w:tcPr>
          <w:p>
            <w:pPr>
              <w:pStyle w:val="TableParagraph"/>
              <w:ind w:left="66"/>
              <w:rPr>
                <w:sz w:val="21"/>
              </w:rPr>
            </w:pPr>
            <w:r>
              <w:rPr>
                <w:w w:val="195"/>
                <w:sz w:val="21"/>
              </w:rPr>
              <w:t>–</w:t>
            </w:r>
          </w:p>
        </w:tc>
      </w:tr>
      <w:tr>
        <w:trPr>
          <w:trHeight w:val="428" w:hRule="atLeast"/>
        </w:trPr>
        <w:tc>
          <w:tcPr>
            <w:tcW w:w="5309" w:type="dxa"/>
            <w:tcBorders>
              <w:left w:val="nil"/>
            </w:tcBorders>
            <w:shd w:val="clear" w:color="auto" w:fill="EDECF3"/>
          </w:tcPr>
          <w:p>
            <w:pPr>
              <w:pStyle w:val="TableParagraph"/>
              <w:spacing w:before="89"/>
              <w:ind w:left="67"/>
              <w:rPr>
                <w:rFonts w:ascii="Arial"/>
                <w:b/>
                <w:sz w:val="21"/>
              </w:rPr>
            </w:pPr>
            <w:r>
              <w:rPr>
                <w:rFonts w:ascii="Arial"/>
                <w:b/>
                <w:spacing w:val="-2"/>
                <w:w w:val="105"/>
                <w:sz w:val="21"/>
              </w:rPr>
              <w:t>Infecciosas</w:t>
            </w:r>
          </w:p>
        </w:tc>
        <w:tc>
          <w:tcPr>
            <w:tcW w:w="5309" w:type="dxa"/>
            <w:tcBorders>
              <w:right w:val="nil"/>
            </w:tcBorders>
            <w:shd w:val="clear" w:color="auto" w:fill="EDECF3"/>
          </w:tcPr>
          <w:p>
            <w:pPr>
              <w:pStyle w:val="TableParagraph"/>
              <w:ind w:left="66"/>
              <w:rPr>
                <w:sz w:val="21"/>
              </w:rPr>
            </w:pPr>
            <w:r>
              <w:rPr>
                <w:w w:val="195"/>
                <w:sz w:val="21"/>
              </w:rPr>
              <w:t>–</w:t>
            </w:r>
          </w:p>
        </w:tc>
      </w:tr>
      <w:tr>
        <w:trPr>
          <w:trHeight w:val="2046" w:hRule="atLeast"/>
        </w:trPr>
        <w:tc>
          <w:tcPr>
            <w:tcW w:w="5309" w:type="dxa"/>
            <w:tcBorders>
              <w:left w:val="nil"/>
            </w:tcBorders>
            <w:shd w:val="clear" w:color="auto" w:fill="EDECF3"/>
          </w:tcPr>
          <w:p>
            <w:pPr>
              <w:pStyle w:val="TableParagraph"/>
              <w:spacing w:line="302" w:lineRule="auto" w:before="89"/>
              <w:ind w:left="67" w:right="284"/>
              <w:rPr>
                <w:rFonts w:ascii="Arial" w:hAnsi="Arial"/>
                <w:b/>
                <w:sz w:val="21"/>
              </w:rPr>
            </w:pPr>
            <w:r>
              <w:rPr>
                <w:rFonts w:ascii="Arial" w:hAnsi="Arial"/>
                <w:b/>
                <w:w w:val="105"/>
                <w:sz w:val="21"/>
              </w:rPr>
              <w:t>Virais (vírus Coxsackie, citomegalovírus, HIV </w:t>
            </w:r>
            <w:r>
              <w:rPr>
                <w:rFonts w:ascii="Arial" w:hAnsi="Arial"/>
                <w:b/>
                <w:spacing w:val="-4"/>
                <w:w w:val="105"/>
                <w:sz w:val="21"/>
              </w:rPr>
              <w:t>etc.)</w:t>
            </w:r>
          </w:p>
        </w:tc>
        <w:tc>
          <w:tcPr>
            <w:tcW w:w="5309" w:type="dxa"/>
            <w:tcBorders>
              <w:right w:val="nil"/>
            </w:tcBorders>
            <w:shd w:val="clear" w:color="auto" w:fill="EDECF3"/>
          </w:tcPr>
          <w:p>
            <w:pPr>
              <w:pStyle w:val="TableParagraph"/>
              <w:spacing w:line="444" w:lineRule="auto"/>
              <w:ind w:left="66" w:right="3492"/>
              <w:rPr>
                <w:sz w:val="21"/>
              </w:rPr>
            </w:pPr>
            <w:r>
              <w:rPr>
                <w:spacing w:val="-2"/>
                <w:w w:val="105"/>
                <w:sz w:val="21"/>
              </w:rPr>
              <w:t>Rickéttsia </w:t>
            </w:r>
            <w:r>
              <w:rPr>
                <w:w w:val="105"/>
                <w:sz w:val="21"/>
              </w:rPr>
              <w:t>Bactéria </w:t>
            </w:r>
            <w:r>
              <w:rPr>
                <w:w w:val="105"/>
                <w:sz w:val="21"/>
              </w:rPr>
              <w:t>(difteria) </w:t>
            </w:r>
            <w:r>
              <w:rPr>
                <w:spacing w:val="-2"/>
                <w:w w:val="105"/>
                <w:sz w:val="21"/>
              </w:rPr>
              <w:t>Fúngica</w:t>
            </w:r>
          </w:p>
          <w:p>
            <w:pPr>
              <w:pStyle w:val="TableParagraph"/>
              <w:spacing w:line="307" w:lineRule="auto" w:before="0"/>
              <w:ind w:left="66"/>
              <w:rPr>
                <w:sz w:val="21"/>
              </w:rPr>
            </w:pPr>
            <w:r>
              <w:rPr>
                <w:w w:val="105"/>
                <w:sz w:val="21"/>
              </w:rPr>
              <w:t>Parasitória (toxoplasmose, triquinose, doença de </w:t>
            </w:r>
            <w:r>
              <w:rPr>
                <w:spacing w:val="-2"/>
                <w:w w:val="105"/>
                <w:sz w:val="21"/>
              </w:rPr>
              <w:t>Chagas)</w:t>
            </w:r>
          </w:p>
        </w:tc>
      </w:tr>
      <w:tr>
        <w:trPr>
          <w:trHeight w:val="1597" w:hRule="atLeast"/>
        </w:trPr>
        <w:tc>
          <w:tcPr>
            <w:tcW w:w="5309" w:type="dxa"/>
            <w:tcBorders>
              <w:left w:val="nil"/>
            </w:tcBorders>
            <w:shd w:val="clear" w:color="auto" w:fill="EDECF3"/>
          </w:tcPr>
          <w:p>
            <w:pPr>
              <w:pStyle w:val="TableParagraph"/>
              <w:spacing w:before="89"/>
              <w:ind w:left="67"/>
              <w:rPr>
                <w:rFonts w:ascii="Arial" w:hAnsi="Arial"/>
                <w:b/>
                <w:sz w:val="21"/>
              </w:rPr>
            </w:pPr>
            <w:r>
              <w:rPr>
                <w:rFonts w:ascii="Arial" w:hAnsi="Arial"/>
                <w:b/>
                <w:w w:val="105"/>
                <w:sz w:val="21"/>
              </w:rPr>
              <w:t>Não</w:t>
            </w:r>
            <w:r>
              <w:rPr>
                <w:rFonts w:ascii="Arial" w:hAnsi="Arial"/>
                <w:b/>
                <w:spacing w:val="-2"/>
                <w:w w:val="105"/>
                <w:sz w:val="21"/>
              </w:rPr>
              <w:t> infecciosas</w:t>
            </w:r>
          </w:p>
        </w:tc>
        <w:tc>
          <w:tcPr>
            <w:tcW w:w="5309" w:type="dxa"/>
            <w:tcBorders>
              <w:right w:val="nil"/>
            </w:tcBorders>
            <w:shd w:val="clear" w:color="auto" w:fill="EDECF3"/>
          </w:tcPr>
          <w:p>
            <w:pPr>
              <w:pStyle w:val="TableParagraph"/>
              <w:spacing w:line="307" w:lineRule="auto"/>
              <w:ind w:left="66"/>
              <w:rPr>
                <w:sz w:val="21"/>
              </w:rPr>
            </w:pPr>
            <w:r>
              <w:rPr>
                <w:w w:val="105"/>
                <w:sz w:val="21"/>
              </w:rPr>
              <w:t>Doenças reumatológicas (esclerodermia, lúpus, dermatopolimiosite etc.)</w:t>
            </w:r>
          </w:p>
          <w:p>
            <w:pPr>
              <w:pStyle w:val="TableParagraph"/>
              <w:spacing w:before="145"/>
              <w:ind w:left="66"/>
              <w:rPr>
                <w:sz w:val="21"/>
              </w:rPr>
            </w:pPr>
            <w:r>
              <w:rPr>
                <w:w w:val="105"/>
                <w:sz w:val="21"/>
              </w:rPr>
              <w:t>Miocardite</w:t>
            </w:r>
            <w:r>
              <w:rPr>
                <w:spacing w:val="18"/>
                <w:w w:val="105"/>
                <w:sz w:val="21"/>
              </w:rPr>
              <w:t> </w:t>
            </w:r>
            <w:r>
              <w:rPr>
                <w:w w:val="105"/>
                <w:sz w:val="21"/>
              </w:rPr>
              <w:t>por</w:t>
            </w:r>
            <w:r>
              <w:rPr>
                <w:spacing w:val="19"/>
                <w:w w:val="105"/>
                <w:sz w:val="21"/>
              </w:rPr>
              <w:t> </w:t>
            </w:r>
            <w:r>
              <w:rPr>
                <w:spacing w:val="-2"/>
                <w:w w:val="105"/>
                <w:sz w:val="21"/>
              </w:rPr>
              <w:t>hipersensibilidade</w:t>
            </w:r>
          </w:p>
          <w:p>
            <w:pPr>
              <w:pStyle w:val="TableParagraph"/>
              <w:spacing w:before="194"/>
              <w:ind w:left="66"/>
              <w:rPr>
                <w:sz w:val="21"/>
              </w:rPr>
            </w:pPr>
            <w:r>
              <w:rPr>
                <w:spacing w:val="-2"/>
                <w:w w:val="105"/>
                <w:sz w:val="21"/>
              </w:rPr>
              <w:t>Sarcoidose</w:t>
            </w:r>
          </w:p>
        </w:tc>
      </w:tr>
      <w:tr>
        <w:trPr>
          <w:trHeight w:val="1293" w:hRule="atLeast"/>
        </w:trPr>
        <w:tc>
          <w:tcPr>
            <w:tcW w:w="5309" w:type="dxa"/>
            <w:tcBorders>
              <w:left w:val="nil"/>
            </w:tcBorders>
            <w:shd w:val="clear" w:color="auto" w:fill="EDECF3"/>
          </w:tcPr>
          <w:p>
            <w:pPr>
              <w:pStyle w:val="TableParagraph"/>
              <w:spacing w:before="89"/>
              <w:ind w:left="67"/>
              <w:rPr>
                <w:rFonts w:ascii="Arial"/>
                <w:b/>
                <w:sz w:val="21"/>
              </w:rPr>
            </w:pPr>
            <w:r>
              <w:rPr>
                <w:rFonts w:ascii="Arial"/>
                <w:b/>
                <w:w w:val="105"/>
                <w:sz w:val="21"/>
              </w:rPr>
              <w:t>Causas</w:t>
            </w:r>
            <w:r>
              <w:rPr>
                <w:rFonts w:ascii="Arial"/>
                <w:b/>
                <w:spacing w:val="12"/>
                <w:w w:val="105"/>
                <w:sz w:val="21"/>
              </w:rPr>
              <w:t> </w:t>
            </w:r>
            <w:r>
              <w:rPr>
                <w:rFonts w:ascii="Arial"/>
                <w:b/>
                <w:spacing w:val="-2"/>
                <w:w w:val="105"/>
                <w:sz w:val="21"/>
              </w:rPr>
              <w:t>neuromusculares</w:t>
            </w:r>
          </w:p>
        </w:tc>
        <w:tc>
          <w:tcPr>
            <w:tcW w:w="5309" w:type="dxa"/>
            <w:tcBorders>
              <w:right w:val="nil"/>
            </w:tcBorders>
            <w:shd w:val="clear" w:color="auto" w:fill="EDECF3"/>
          </w:tcPr>
          <w:p>
            <w:pPr>
              <w:pStyle w:val="TableParagraph"/>
              <w:spacing w:line="453" w:lineRule="auto"/>
              <w:ind w:left="66" w:right="1308"/>
              <w:rPr>
                <w:sz w:val="21"/>
              </w:rPr>
            </w:pPr>
            <w:r>
              <w:rPr>
                <w:w w:val="105"/>
                <w:sz w:val="21"/>
              </w:rPr>
              <w:t>Distrofia muscular de Duchenne Distrofia miotônica</w:t>
            </w:r>
          </w:p>
          <w:p>
            <w:pPr>
              <w:pStyle w:val="TableParagraph"/>
              <w:spacing w:line="220" w:lineRule="exact" w:before="0"/>
              <w:ind w:left="66"/>
              <w:rPr>
                <w:sz w:val="21"/>
              </w:rPr>
            </w:pPr>
            <w:r>
              <w:rPr>
                <w:w w:val="105"/>
                <w:sz w:val="21"/>
              </w:rPr>
              <w:t>Ataxia</w:t>
            </w:r>
            <w:r>
              <w:rPr>
                <w:spacing w:val="12"/>
                <w:w w:val="105"/>
                <w:sz w:val="21"/>
              </w:rPr>
              <w:t> </w:t>
            </w:r>
            <w:r>
              <w:rPr>
                <w:w w:val="105"/>
                <w:sz w:val="21"/>
              </w:rPr>
              <w:t>de</w:t>
            </w:r>
            <w:r>
              <w:rPr>
                <w:spacing w:val="12"/>
                <w:w w:val="105"/>
                <w:sz w:val="21"/>
              </w:rPr>
              <w:t> </w:t>
            </w:r>
            <w:r>
              <w:rPr>
                <w:spacing w:val="-2"/>
                <w:w w:val="105"/>
                <w:sz w:val="21"/>
              </w:rPr>
              <w:t>Friedreich</w:t>
            </w:r>
          </w:p>
        </w:tc>
      </w:tr>
      <w:tr>
        <w:trPr>
          <w:trHeight w:val="428" w:hRule="atLeast"/>
        </w:trPr>
        <w:tc>
          <w:tcPr>
            <w:tcW w:w="5309" w:type="dxa"/>
            <w:tcBorders>
              <w:left w:val="nil"/>
            </w:tcBorders>
            <w:shd w:val="clear" w:color="auto" w:fill="EDECF3"/>
          </w:tcPr>
          <w:p>
            <w:pPr>
              <w:pStyle w:val="TableParagraph"/>
              <w:spacing w:before="89"/>
              <w:ind w:left="67"/>
              <w:rPr>
                <w:rFonts w:ascii="Arial"/>
                <w:b/>
                <w:sz w:val="21"/>
              </w:rPr>
            </w:pPr>
            <w:r>
              <w:rPr>
                <w:rFonts w:ascii="Arial"/>
                <w:b/>
                <w:sz w:val="21"/>
              </w:rPr>
              <w:t>Cardiomiopatias</w:t>
            </w:r>
            <w:r>
              <w:rPr>
                <w:rFonts w:ascii="Arial"/>
                <w:b/>
                <w:spacing w:val="73"/>
                <w:sz w:val="21"/>
              </w:rPr>
              <w:t> </w:t>
            </w:r>
            <w:r>
              <w:rPr>
                <w:rFonts w:ascii="Arial"/>
                <w:b/>
                <w:spacing w:val="-2"/>
                <w:sz w:val="21"/>
              </w:rPr>
              <w:t>familiares</w:t>
            </w:r>
          </w:p>
        </w:tc>
        <w:tc>
          <w:tcPr>
            <w:tcW w:w="5309" w:type="dxa"/>
            <w:tcBorders>
              <w:right w:val="nil"/>
            </w:tcBorders>
            <w:shd w:val="clear" w:color="auto" w:fill="EDECF3"/>
          </w:tcPr>
          <w:p>
            <w:pPr>
              <w:pStyle w:val="TableParagraph"/>
              <w:ind w:left="66"/>
              <w:rPr>
                <w:sz w:val="21"/>
              </w:rPr>
            </w:pPr>
            <w:r>
              <w:rPr>
                <w:w w:val="195"/>
                <w:sz w:val="21"/>
              </w:rPr>
              <w:t>–</w:t>
            </w:r>
          </w:p>
        </w:tc>
      </w:tr>
      <w:tr>
        <w:trPr>
          <w:trHeight w:val="1199" w:hRule="atLeast"/>
        </w:trPr>
        <w:tc>
          <w:tcPr>
            <w:tcW w:w="5309" w:type="dxa"/>
            <w:tcBorders>
              <w:left w:val="nil"/>
              <w:bottom w:val="nil"/>
            </w:tcBorders>
            <w:shd w:val="clear" w:color="auto" w:fill="EDECF3"/>
          </w:tcPr>
          <w:p>
            <w:pPr>
              <w:pStyle w:val="TableParagraph"/>
              <w:spacing w:before="89"/>
              <w:ind w:left="67"/>
              <w:rPr>
                <w:rFonts w:ascii="Arial" w:hAnsi="Arial"/>
                <w:b/>
                <w:sz w:val="21"/>
              </w:rPr>
            </w:pPr>
            <w:r>
              <w:rPr>
                <w:rFonts w:ascii="Arial" w:hAnsi="Arial"/>
                <w:b/>
                <w:w w:val="105"/>
                <w:sz w:val="21"/>
              </w:rPr>
              <w:t>Alterações</w:t>
            </w:r>
            <w:r>
              <w:rPr>
                <w:rFonts w:ascii="Arial" w:hAnsi="Arial"/>
                <w:b/>
                <w:spacing w:val="6"/>
                <w:w w:val="105"/>
                <w:sz w:val="21"/>
              </w:rPr>
              <w:t> </w:t>
            </w:r>
            <w:r>
              <w:rPr>
                <w:rFonts w:ascii="Arial" w:hAnsi="Arial"/>
                <w:b/>
                <w:w w:val="105"/>
                <w:sz w:val="21"/>
              </w:rPr>
              <w:t>de</w:t>
            </w:r>
            <w:r>
              <w:rPr>
                <w:rFonts w:ascii="Arial" w:hAnsi="Arial"/>
                <w:b/>
                <w:spacing w:val="7"/>
                <w:w w:val="105"/>
                <w:sz w:val="21"/>
              </w:rPr>
              <w:t> </w:t>
            </w:r>
            <w:r>
              <w:rPr>
                <w:rFonts w:ascii="Arial" w:hAnsi="Arial"/>
                <w:b/>
                <w:w w:val="105"/>
                <w:sz w:val="21"/>
              </w:rPr>
              <w:t>estruturas</w:t>
            </w:r>
            <w:r>
              <w:rPr>
                <w:rFonts w:ascii="Arial" w:hAnsi="Arial"/>
                <w:b/>
                <w:spacing w:val="7"/>
                <w:w w:val="105"/>
                <w:sz w:val="21"/>
              </w:rPr>
              <w:t> </w:t>
            </w:r>
            <w:r>
              <w:rPr>
                <w:rFonts w:ascii="Arial" w:hAnsi="Arial"/>
                <w:b/>
                <w:spacing w:val="-2"/>
                <w:w w:val="105"/>
                <w:sz w:val="21"/>
              </w:rPr>
              <w:t>contráteis</w:t>
            </w:r>
          </w:p>
        </w:tc>
        <w:tc>
          <w:tcPr>
            <w:tcW w:w="5309" w:type="dxa"/>
            <w:tcBorders>
              <w:bottom w:val="nil"/>
              <w:right w:val="nil"/>
            </w:tcBorders>
            <w:shd w:val="clear" w:color="auto" w:fill="EDECF3"/>
          </w:tcPr>
          <w:p>
            <w:pPr>
              <w:pStyle w:val="TableParagraph"/>
              <w:spacing w:line="307" w:lineRule="auto"/>
              <w:ind w:left="66" w:right="284"/>
              <w:rPr>
                <w:sz w:val="21"/>
              </w:rPr>
            </w:pPr>
            <w:r>
              <w:rPr>
                <w:w w:val="105"/>
                <w:sz w:val="21"/>
              </w:rPr>
              <w:t>Distrofinas e proteínas de membrana nuclear (emerina e proteínas laminares), a maioria ligada ao X</w:t>
            </w:r>
          </w:p>
        </w:tc>
      </w:tr>
    </w:tbl>
    <w:p>
      <w:pPr>
        <w:pStyle w:val="TableParagraph"/>
        <w:spacing w:after="0" w:line="307" w:lineRule="auto"/>
        <w:rPr>
          <w:sz w:val="21"/>
        </w:rPr>
        <w:sectPr>
          <w:pgSz w:w="11900" w:h="16840"/>
          <w:pgMar w:top="220" w:bottom="280" w:left="566" w:right="141"/>
        </w:sectPr>
      </w:pPr>
    </w:p>
    <w:p>
      <w:pPr>
        <w:spacing w:before="75"/>
        <w:ind w:left="68" w:right="0" w:firstLine="0"/>
        <w:jc w:val="left"/>
        <w:rPr>
          <w:rFonts w:ascii="Microsoft Sans Serif" w:hAnsi="Microsoft Sans Serif"/>
          <w:sz w:val="19"/>
        </w:rPr>
      </w:pPr>
      <w:r>
        <w:rPr>
          <w:rFonts w:ascii="Microsoft Sans Serif" w:hAnsi="Microsoft Sans Serif"/>
          <w:sz w:val="19"/>
        </w:rPr>
        <w:t>HIV</w:t>
      </w:r>
      <w:r>
        <w:rPr>
          <w:rFonts w:ascii="Microsoft Sans Serif" w:hAnsi="Microsoft Sans Serif"/>
          <w:spacing w:val="12"/>
          <w:sz w:val="19"/>
        </w:rPr>
        <w:t> </w:t>
      </w:r>
      <w:r>
        <w:rPr>
          <w:rFonts w:ascii="Microsoft Sans Serif" w:hAnsi="Microsoft Sans Serif"/>
          <w:sz w:val="19"/>
        </w:rPr>
        <w:t>=</w:t>
      </w:r>
      <w:r>
        <w:rPr>
          <w:rFonts w:ascii="Microsoft Sans Serif" w:hAnsi="Microsoft Sans Serif"/>
          <w:spacing w:val="13"/>
          <w:sz w:val="19"/>
        </w:rPr>
        <w:t> </w:t>
      </w:r>
      <w:r>
        <w:rPr>
          <w:rFonts w:ascii="Microsoft Sans Serif" w:hAnsi="Microsoft Sans Serif"/>
          <w:sz w:val="19"/>
        </w:rPr>
        <w:t>vírus</w:t>
      </w:r>
      <w:r>
        <w:rPr>
          <w:rFonts w:ascii="Microsoft Sans Serif" w:hAnsi="Microsoft Sans Serif"/>
          <w:spacing w:val="12"/>
          <w:sz w:val="19"/>
        </w:rPr>
        <w:t> </w:t>
      </w:r>
      <w:r>
        <w:rPr>
          <w:rFonts w:ascii="Microsoft Sans Serif" w:hAnsi="Microsoft Sans Serif"/>
          <w:sz w:val="19"/>
        </w:rPr>
        <w:t>da</w:t>
      </w:r>
      <w:r>
        <w:rPr>
          <w:rFonts w:ascii="Microsoft Sans Serif" w:hAnsi="Microsoft Sans Serif"/>
          <w:spacing w:val="19"/>
          <w:sz w:val="19"/>
        </w:rPr>
        <w:t> </w:t>
      </w:r>
      <w:r>
        <w:rPr>
          <w:rFonts w:ascii="Microsoft Sans Serif" w:hAnsi="Microsoft Sans Serif"/>
          <w:sz w:val="19"/>
        </w:rPr>
        <w:t>imunodeficiência</w:t>
      </w:r>
      <w:r>
        <w:rPr>
          <w:rFonts w:ascii="Microsoft Sans Serif" w:hAnsi="Microsoft Sans Serif"/>
          <w:spacing w:val="19"/>
          <w:sz w:val="19"/>
        </w:rPr>
        <w:t> </w:t>
      </w:r>
      <w:r>
        <w:rPr>
          <w:rFonts w:ascii="Microsoft Sans Serif" w:hAnsi="Microsoft Sans Serif"/>
          <w:spacing w:val="-2"/>
          <w:sz w:val="19"/>
        </w:rPr>
        <w:t>humana.</w:t>
      </w:r>
    </w:p>
    <w:p>
      <w:pPr>
        <w:pStyle w:val="BodyText"/>
        <w:spacing w:before="0"/>
        <w:ind w:left="0" w:firstLine="0"/>
        <w:jc w:val="left"/>
        <w:rPr>
          <w:rFonts w:ascii="Microsoft Sans Serif"/>
          <w:sz w:val="19"/>
        </w:rPr>
      </w:pPr>
    </w:p>
    <w:p>
      <w:pPr>
        <w:pStyle w:val="BodyText"/>
        <w:spacing w:before="53"/>
        <w:ind w:left="0" w:firstLine="0"/>
        <w:jc w:val="left"/>
        <w:rPr>
          <w:rFonts w:ascii="Microsoft Sans Serif"/>
          <w:sz w:val="19"/>
        </w:rPr>
      </w:pPr>
    </w:p>
    <w:p>
      <w:pPr>
        <w:pStyle w:val="Heading4"/>
      </w:pPr>
      <w:r>
        <w:rPr>
          <w:color w:val="242B67"/>
          <w:spacing w:val="-2"/>
        </w:rPr>
        <w:t>Fisiopatologia</w:t>
      </w:r>
    </w:p>
    <w:p>
      <w:pPr>
        <w:pStyle w:val="BodyText"/>
        <w:spacing w:line="280" w:lineRule="auto" w:before="132"/>
        <w:ind w:right="488"/>
      </w:pPr>
      <w:r>
        <w:rPr/>
        <w:t>A IC é o resultado de agressões ao tecido miocárdico, como as que ocorrem em sobrecargas de volume, de pressão, inflamações ou isquemia. Em muitos casos, porém, a retirada do fator causal não leva à reversão da disfunção.</w:t>
      </w:r>
      <w:r>
        <w:rPr>
          <w:spacing w:val="-1"/>
        </w:rPr>
        <w:t> </w:t>
      </w:r>
      <w:r>
        <w:rPr/>
        <w:t>Isso</w:t>
      </w:r>
      <w:r>
        <w:rPr>
          <w:spacing w:val="-8"/>
        </w:rPr>
        <w:t> </w:t>
      </w:r>
      <w:r>
        <w:rPr/>
        <w:t>ocorre</w:t>
      </w:r>
      <w:r>
        <w:rPr>
          <w:spacing w:val="-11"/>
        </w:rPr>
        <w:t> </w:t>
      </w:r>
      <w:r>
        <w:rPr/>
        <w:t>porque</w:t>
      </w:r>
      <w:r>
        <w:rPr>
          <w:spacing w:val="-11"/>
        </w:rPr>
        <w:t> </w:t>
      </w:r>
      <w:r>
        <w:rPr/>
        <w:t>essa</w:t>
      </w:r>
      <w:r>
        <w:rPr>
          <w:spacing w:val="-11"/>
        </w:rPr>
        <w:t> </w:t>
      </w:r>
      <w:r>
        <w:rPr/>
        <w:t>agressão</w:t>
      </w:r>
      <w:r>
        <w:rPr>
          <w:spacing w:val="-8"/>
        </w:rPr>
        <w:t> </w:t>
      </w:r>
      <w:r>
        <w:rPr/>
        <w:t>desencadeia</w:t>
      </w:r>
      <w:r>
        <w:rPr>
          <w:spacing w:val="-11"/>
        </w:rPr>
        <w:t> </w:t>
      </w:r>
      <w:r>
        <w:rPr/>
        <w:t>um</w:t>
      </w:r>
      <w:r>
        <w:rPr>
          <w:spacing w:val="-8"/>
        </w:rPr>
        <w:t> </w:t>
      </w:r>
      <w:r>
        <w:rPr/>
        <w:t>processo</w:t>
      </w:r>
      <w:r>
        <w:rPr>
          <w:spacing w:val="-8"/>
        </w:rPr>
        <w:t> </w:t>
      </w:r>
      <w:r>
        <w:rPr/>
        <w:t>de</w:t>
      </w:r>
      <w:r>
        <w:rPr>
          <w:spacing w:val="-11"/>
        </w:rPr>
        <w:t> </w:t>
      </w:r>
      <w:r>
        <w:rPr/>
        <w:t>remodelamento</w:t>
      </w:r>
      <w:r>
        <w:rPr>
          <w:spacing w:val="-8"/>
        </w:rPr>
        <w:t> </w:t>
      </w:r>
      <w:r>
        <w:rPr/>
        <w:t>miocárdico,</w:t>
      </w:r>
      <w:r>
        <w:rPr>
          <w:spacing w:val="-1"/>
        </w:rPr>
        <w:t> </w:t>
      </w:r>
      <w:r>
        <w:rPr/>
        <w:t>envolvendo</w:t>
      </w:r>
      <w:r>
        <w:rPr>
          <w:spacing w:val="-8"/>
        </w:rPr>
        <w:t> </w:t>
      </w:r>
      <w:r>
        <w:rPr/>
        <w:t>os compartimentos miocítico, vascular e</w:t>
      </w:r>
      <w:r>
        <w:rPr>
          <w:spacing w:val="-8"/>
        </w:rPr>
        <w:t> </w:t>
      </w:r>
      <w:r>
        <w:rPr/>
        <w:t>intersticial</w:t>
      </w:r>
      <w:r>
        <w:rPr>
          <w:spacing w:val="-3"/>
        </w:rPr>
        <w:t> </w:t>
      </w:r>
      <w:r>
        <w:rPr/>
        <w:t>com</w:t>
      </w:r>
      <w:r>
        <w:rPr>
          <w:spacing w:val="-6"/>
        </w:rPr>
        <w:t> </w:t>
      </w:r>
      <w:r>
        <w:rPr/>
        <w:t>repercussões clínicas no</w:t>
      </w:r>
      <w:r>
        <w:rPr>
          <w:spacing w:val="-6"/>
        </w:rPr>
        <w:t> </w:t>
      </w:r>
      <w:r>
        <w:rPr/>
        <w:t>tamanho, massa, geometria</w:t>
      </w:r>
      <w:r>
        <w:rPr>
          <w:spacing w:val="-8"/>
        </w:rPr>
        <w:t> </w:t>
      </w:r>
      <w:r>
        <w:rPr/>
        <w:t>e</w:t>
      </w:r>
      <w:r>
        <w:rPr>
          <w:spacing w:val="-8"/>
        </w:rPr>
        <w:t> </w:t>
      </w:r>
      <w:r>
        <w:rPr/>
        <w:t>função cardíacos.</w:t>
      </w:r>
      <w:r>
        <w:rPr>
          <w:vertAlign w:val="superscript"/>
        </w:rPr>
        <w:t>12</w:t>
      </w:r>
      <w:r>
        <w:rPr>
          <w:vertAlign w:val="baseline"/>
        </w:rPr>
        <w:t> Conforme</w:t>
      </w:r>
      <w:r>
        <w:rPr>
          <w:spacing w:val="-7"/>
          <w:vertAlign w:val="baseline"/>
        </w:rPr>
        <w:t> </w:t>
      </w:r>
      <w:r>
        <w:rPr>
          <w:vertAlign w:val="baseline"/>
        </w:rPr>
        <w:t>descrito</w:t>
      </w:r>
      <w:r>
        <w:rPr>
          <w:spacing w:val="-5"/>
          <w:vertAlign w:val="baseline"/>
        </w:rPr>
        <w:t> </w:t>
      </w:r>
      <w:r>
        <w:rPr>
          <w:vertAlign w:val="baseline"/>
        </w:rPr>
        <w:t>por Cohn, o</w:t>
      </w:r>
      <w:r>
        <w:rPr>
          <w:spacing w:val="-5"/>
          <w:vertAlign w:val="baseline"/>
        </w:rPr>
        <w:t> </w:t>
      </w:r>
      <w:r>
        <w:rPr>
          <w:vertAlign w:val="baseline"/>
        </w:rPr>
        <w:t>remodelamenrto, e</w:t>
      </w:r>
      <w:r>
        <w:rPr>
          <w:spacing w:val="-7"/>
          <w:vertAlign w:val="baseline"/>
        </w:rPr>
        <w:t> </w:t>
      </w:r>
      <w:r>
        <w:rPr>
          <w:vertAlign w:val="baseline"/>
        </w:rPr>
        <w:t>não</w:t>
      </w:r>
      <w:r>
        <w:rPr>
          <w:spacing w:val="-5"/>
          <w:vertAlign w:val="baseline"/>
        </w:rPr>
        <w:t> </w:t>
      </w:r>
      <w:r>
        <w:rPr>
          <w:vertAlign w:val="baseline"/>
        </w:rPr>
        <w:t>a</w:t>
      </w:r>
      <w:r>
        <w:rPr>
          <w:spacing w:val="-7"/>
          <w:vertAlign w:val="baseline"/>
        </w:rPr>
        <w:t> </w:t>
      </w:r>
      <w:r>
        <w:rPr>
          <w:vertAlign w:val="baseline"/>
        </w:rPr>
        <w:t>disfunção</w:t>
      </w:r>
      <w:r>
        <w:rPr>
          <w:spacing w:val="-5"/>
          <w:vertAlign w:val="baseline"/>
        </w:rPr>
        <w:t> </w:t>
      </w:r>
      <w:r>
        <w:rPr>
          <w:vertAlign w:val="baseline"/>
        </w:rPr>
        <w:t>contrátil, é</w:t>
      </w:r>
      <w:r>
        <w:rPr>
          <w:spacing w:val="-7"/>
          <w:vertAlign w:val="baseline"/>
        </w:rPr>
        <w:t> </w:t>
      </w:r>
      <w:r>
        <w:rPr>
          <w:vertAlign w:val="baseline"/>
        </w:rPr>
        <w:t>a</w:t>
      </w:r>
      <w:r>
        <w:rPr>
          <w:spacing w:val="-7"/>
          <w:vertAlign w:val="baseline"/>
        </w:rPr>
        <w:t> </w:t>
      </w:r>
      <w:r>
        <w:rPr>
          <w:vertAlign w:val="baseline"/>
        </w:rPr>
        <w:t>chave</w:t>
      </w:r>
      <w:r>
        <w:rPr>
          <w:spacing w:val="-7"/>
          <w:vertAlign w:val="baseline"/>
        </w:rPr>
        <w:t> </w:t>
      </w:r>
      <w:r>
        <w:rPr>
          <w:vertAlign w:val="baseline"/>
        </w:rPr>
        <w:t>para</w:t>
      </w:r>
      <w:r>
        <w:rPr>
          <w:spacing w:val="-7"/>
          <w:vertAlign w:val="baseline"/>
        </w:rPr>
        <w:t> </w:t>
      </w:r>
      <w:r>
        <w:rPr>
          <w:vertAlign w:val="baseline"/>
        </w:rPr>
        <w:t>a</w:t>
      </w:r>
      <w:r>
        <w:rPr>
          <w:spacing w:val="-7"/>
          <w:vertAlign w:val="baseline"/>
        </w:rPr>
        <w:t> </w:t>
      </w:r>
      <w:r>
        <w:rPr>
          <w:vertAlign w:val="baseline"/>
        </w:rPr>
        <w:t>depressão da</w:t>
      </w:r>
      <w:r>
        <w:rPr>
          <w:spacing w:val="-5"/>
          <w:vertAlign w:val="baseline"/>
        </w:rPr>
        <w:t> </w:t>
      </w:r>
      <w:r>
        <w:rPr>
          <w:vertAlign w:val="baseline"/>
        </w:rPr>
        <w:t>fração</w:t>
      </w:r>
      <w:r>
        <w:rPr>
          <w:spacing w:val="-2"/>
          <w:vertAlign w:val="baseline"/>
        </w:rPr>
        <w:t> </w:t>
      </w:r>
      <w:r>
        <w:rPr>
          <w:vertAlign w:val="baseline"/>
        </w:rPr>
        <w:t>de</w:t>
      </w:r>
      <w:r>
        <w:rPr>
          <w:spacing w:val="-5"/>
          <w:vertAlign w:val="baseline"/>
        </w:rPr>
        <w:t> </w:t>
      </w:r>
      <w:r>
        <w:rPr>
          <w:vertAlign w:val="baseline"/>
        </w:rPr>
        <w:t>ejeção</w:t>
      </w:r>
      <w:r>
        <w:rPr>
          <w:spacing w:val="-2"/>
          <w:vertAlign w:val="baseline"/>
        </w:rPr>
        <w:t> </w:t>
      </w:r>
      <w:r>
        <w:rPr>
          <w:vertAlign w:val="baseline"/>
        </w:rPr>
        <w:t>e</w:t>
      </w:r>
      <w:r>
        <w:rPr>
          <w:spacing w:val="-5"/>
          <w:vertAlign w:val="baseline"/>
        </w:rPr>
        <w:t> </w:t>
      </w:r>
      <w:r>
        <w:rPr>
          <w:vertAlign w:val="baseline"/>
        </w:rPr>
        <w:t>esta</w:t>
      </w:r>
      <w:r>
        <w:rPr>
          <w:spacing w:val="-5"/>
          <w:vertAlign w:val="baseline"/>
        </w:rPr>
        <w:t> </w:t>
      </w:r>
      <w:r>
        <w:rPr>
          <w:vertAlign w:val="baseline"/>
        </w:rPr>
        <w:t>deve</w:t>
      </w:r>
      <w:r>
        <w:rPr>
          <w:spacing w:val="-5"/>
          <w:vertAlign w:val="baseline"/>
        </w:rPr>
        <w:t> </w:t>
      </w:r>
      <w:r>
        <w:rPr>
          <w:vertAlign w:val="baseline"/>
        </w:rPr>
        <w:t>ser encarada</w:t>
      </w:r>
      <w:r>
        <w:rPr>
          <w:spacing w:val="-5"/>
          <w:vertAlign w:val="baseline"/>
        </w:rPr>
        <w:t> </w:t>
      </w:r>
      <w:r>
        <w:rPr>
          <w:vertAlign w:val="baseline"/>
        </w:rPr>
        <w:t>como</w:t>
      </w:r>
      <w:r>
        <w:rPr>
          <w:spacing w:val="-2"/>
          <w:vertAlign w:val="baseline"/>
        </w:rPr>
        <w:t> </w:t>
      </w:r>
      <w:r>
        <w:rPr>
          <w:vertAlign w:val="baseline"/>
        </w:rPr>
        <w:t>um</w:t>
      </w:r>
      <w:r>
        <w:rPr>
          <w:spacing w:val="-2"/>
          <w:vertAlign w:val="baseline"/>
        </w:rPr>
        <w:t> </w:t>
      </w:r>
      <w:r>
        <w:rPr>
          <w:vertAlign w:val="baseline"/>
        </w:rPr>
        <w:t>marcador clínico</w:t>
      </w:r>
      <w:r>
        <w:rPr>
          <w:spacing w:val="-2"/>
          <w:vertAlign w:val="baseline"/>
        </w:rPr>
        <w:t> </w:t>
      </w:r>
      <w:r>
        <w:rPr>
          <w:vertAlign w:val="baseline"/>
        </w:rPr>
        <w:t>de</w:t>
      </w:r>
      <w:r>
        <w:rPr>
          <w:spacing w:val="-5"/>
          <w:vertAlign w:val="baseline"/>
        </w:rPr>
        <w:t> </w:t>
      </w:r>
      <w:r>
        <w:rPr>
          <w:vertAlign w:val="baseline"/>
        </w:rPr>
        <w:t>alterações estruturais e</w:t>
      </w:r>
      <w:r>
        <w:rPr>
          <w:spacing w:val="-5"/>
          <w:vertAlign w:val="baseline"/>
        </w:rPr>
        <w:t> </w:t>
      </w:r>
      <w:r>
        <w:rPr>
          <w:vertAlign w:val="baseline"/>
        </w:rPr>
        <w:t>de</w:t>
      </w:r>
      <w:r>
        <w:rPr>
          <w:spacing w:val="-5"/>
          <w:vertAlign w:val="baseline"/>
        </w:rPr>
        <w:t> </w:t>
      </w:r>
      <w:r>
        <w:rPr>
          <w:vertAlign w:val="baseline"/>
        </w:rPr>
        <w:t>geometria</w:t>
      </w:r>
      <w:r>
        <w:rPr>
          <w:spacing w:val="-5"/>
          <w:vertAlign w:val="baseline"/>
        </w:rPr>
        <w:t> </w:t>
      </w:r>
      <w:r>
        <w:rPr>
          <w:vertAlign w:val="baseline"/>
        </w:rPr>
        <w:t>que ocorrem no miocárdio, à medida que a síndrome de IC progride.</w:t>
      </w:r>
      <w:r>
        <w:rPr>
          <w:vertAlign w:val="superscript"/>
        </w:rPr>
        <w:t>13</w:t>
      </w:r>
    </w:p>
    <w:p>
      <w:pPr>
        <w:pStyle w:val="BodyText"/>
        <w:spacing w:line="280" w:lineRule="auto" w:before="60"/>
        <w:ind w:right="494"/>
      </w:pPr>
      <w:r>
        <w:rPr/>
        <w:t>As alterações estruturais que contribuem para a deterioração hemodinâmica na cardiomiopatia dilatada são: fibrose</w:t>
      </w:r>
      <w:r>
        <w:rPr>
          <w:spacing w:val="-15"/>
        </w:rPr>
        <w:t> </w:t>
      </w:r>
      <w:r>
        <w:rPr/>
        <w:t>miocárdica,</w:t>
      </w:r>
      <w:r>
        <w:rPr>
          <w:spacing w:val="-4"/>
        </w:rPr>
        <w:t> </w:t>
      </w:r>
      <w:r>
        <w:rPr/>
        <w:t>os</w:t>
      </w:r>
      <w:r>
        <w:rPr>
          <w:spacing w:val="-5"/>
        </w:rPr>
        <w:t> </w:t>
      </w:r>
      <w:r>
        <w:rPr/>
        <w:t>diferentes</w:t>
      </w:r>
      <w:r>
        <w:rPr>
          <w:spacing w:val="-5"/>
        </w:rPr>
        <w:t> </w:t>
      </w:r>
      <w:r>
        <w:rPr/>
        <w:t>tipos</w:t>
      </w:r>
      <w:r>
        <w:rPr>
          <w:spacing w:val="-5"/>
        </w:rPr>
        <w:t> </w:t>
      </w:r>
      <w:r>
        <w:rPr/>
        <w:t>de</w:t>
      </w:r>
      <w:r>
        <w:rPr>
          <w:spacing w:val="-15"/>
        </w:rPr>
        <w:t> </w:t>
      </w:r>
      <w:r>
        <w:rPr/>
        <w:t>colágeno,</w:t>
      </w:r>
      <w:r>
        <w:rPr>
          <w:spacing w:val="-4"/>
        </w:rPr>
        <w:t> </w:t>
      </w:r>
      <w:r>
        <w:rPr/>
        <w:t>aumento</w:t>
      </w:r>
      <w:r>
        <w:rPr>
          <w:spacing w:val="-13"/>
        </w:rPr>
        <w:t> </w:t>
      </w:r>
      <w:r>
        <w:rPr/>
        <w:t>da</w:t>
      </w:r>
      <w:r>
        <w:rPr>
          <w:spacing w:val="-15"/>
        </w:rPr>
        <w:t> </w:t>
      </w:r>
      <w:r>
        <w:rPr/>
        <w:t>atividade</w:t>
      </w:r>
      <w:r>
        <w:rPr>
          <w:spacing w:val="-14"/>
        </w:rPr>
        <w:t> </w:t>
      </w:r>
      <w:r>
        <w:rPr/>
        <w:t>das</w:t>
      </w:r>
      <w:r>
        <w:rPr>
          <w:spacing w:val="-5"/>
        </w:rPr>
        <w:t> </w:t>
      </w:r>
      <w:r>
        <w:rPr/>
        <w:t>metaloproteinase,</w:t>
      </w:r>
      <w:r>
        <w:rPr>
          <w:spacing w:val="-5"/>
        </w:rPr>
        <w:t> </w:t>
      </w:r>
      <w:r>
        <w:rPr/>
        <w:t>desenvolvimento</w:t>
      </w:r>
      <w:r>
        <w:rPr>
          <w:spacing w:val="-13"/>
        </w:rPr>
        <w:t> </w:t>
      </w:r>
      <w:r>
        <w:rPr/>
        <w:t>de hipertrofia, ativação do sistema reninaangiotensina-aldosterona e outros neuro-hormônios, expressão de determinados componentes do sistema</w:t>
      </w:r>
      <w:r>
        <w:rPr>
          <w:spacing w:val="-2"/>
        </w:rPr>
        <w:t> </w:t>
      </w:r>
      <w:r>
        <w:rPr/>
        <w:t>imune, tais como as citocinas e</w:t>
      </w:r>
      <w:r>
        <w:rPr>
          <w:spacing w:val="-2"/>
        </w:rPr>
        <w:t> </w:t>
      </w:r>
      <w:r>
        <w:rPr/>
        <w:t>a</w:t>
      </w:r>
      <w:r>
        <w:rPr>
          <w:spacing w:val="-2"/>
        </w:rPr>
        <w:t> </w:t>
      </w:r>
      <w:r>
        <w:rPr/>
        <w:t>inflamação miocárdica.</w:t>
      </w:r>
      <w:r>
        <w:rPr>
          <w:vertAlign w:val="superscript"/>
        </w:rPr>
        <w:t>14–16</w:t>
      </w:r>
    </w:p>
    <w:p>
      <w:pPr>
        <w:pStyle w:val="BodyText"/>
        <w:spacing w:before="181"/>
        <w:ind w:left="0" w:firstLine="0"/>
        <w:jc w:val="left"/>
      </w:pPr>
    </w:p>
    <w:p>
      <w:pPr>
        <w:pStyle w:val="Heading4"/>
      </w:pPr>
      <w:r>
        <w:rPr>
          <w:color w:val="242B67"/>
        </w:rPr>
        <w:t>Anatomia </w:t>
      </w:r>
      <w:r>
        <w:rPr>
          <w:color w:val="242B67"/>
          <w:spacing w:val="-2"/>
        </w:rPr>
        <w:t>patológica</w:t>
      </w:r>
    </w:p>
    <w:p>
      <w:pPr>
        <w:pStyle w:val="BodyText"/>
        <w:spacing w:line="283" w:lineRule="auto" w:before="131"/>
        <w:ind w:right="501"/>
      </w:pPr>
      <w:r>
        <w:rPr/>
        <w:t>A</w:t>
      </w:r>
      <w:r>
        <w:rPr>
          <w:spacing w:val="-15"/>
        </w:rPr>
        <w:t> </w:t>
      </w:r>
      <w:r>
        <w:rPr/>
        <w:t>alteração</w:t>
      </w:r>
      <w:r>
        <w:rPr>
          <w:spacing w:val="-12"/>
        </w:rPr>
        <w:t> </w:t>
      </w:r>
      <w:r>
        <w:rPr/>
        <w:t>morfológica</w:t>
      </w:r>
      <w:r>
        <w:rPr>
          <w:spacing w:val="-15"/>
        </w:rPr>
        <w:t> </w:t>
      </w:r>
      <w:r>
        <w:rPr/>
        <w:t>descrita</w:t>
      </w:r>
      <w:r>
        <w:rPr>
          <w:spacing w:val="-14"/>
        </w:rPr>
        <w:t> </w:t>
      </w:r>
      <w:r>
        <w:rPr/>
        <w:t>em</w:t>
      </w:r>
      <w:r>
        <w:rPr>
          <w:spacing w:val="-12"/>
        </w:rPr>
        <w:t> </w:t>
      </w:r>
      <w:r>
        <w:rPr/>
        <w:t>pacientes</w:t>
      </w:r>
      <w:r>
        <w:rPr>
          <w:spacing w:val="-6"/>
        </w:rPr>
        <w:t> </w:t>
      </w:r>
      <w:r>
        <w:rPr/>
        <w:t>com</w:t>
      </w:r>
      <w:r>
        <w:rPr>
          <w:spacing w:val="-12"/>
        </w:rPr>
        <w:t> </w:t>
      </w:r>
      <w:r>
        <w:rPr/>
        <w:t>cardiomiopatia</w:t>
      </w:r>
      <w:r>
        <w:rPr>
          <w:spacing w:val="-15"/>
        </w:rPr>
        <w:t> </w:t>
      </w:r>
      <w:r>
        <w:rPr/>
        <w:t>dilatada</w:t>
      </w:r>
      <w:r>
        <w:rPr>
          <w:spacing w:val="-14"/>
        </w:rPr>
        <w:t> </w:t>
      </w:r>
      <w:r>
        <w:rPr/>
        <w:t>é</w:t>
      </w:r>
      <w:r>
        <w:rPr>
          <w:spacing w:val="-14"/>
        </w:rPr>
        <w:t> </w:t>
      </w:r>
      <w:r>
        <w:rPr/>
        <w:t>a</w:t>
      </w:r>
      <w:r>
        <w:rPr>
          <w:spacing w:val="-15"/>
        </w:rPr>
        <w:t> </w:t>
      </w:r>
      <w:r>
        <w:rPr/>
        <w:t>dilatação</w:t>
      </w:r>
      <w:r>
        <w:rPr>
          <w:spacing w:val="-12"/>
        </w:rPr>
        <w:t> </w:t>
      </w:r>
      <w:r>
        <w:rPr/>
        <w:t>de</w:t>
      </w:r>
      <w:r>
        <w:rPr>
          <w:spacing w:val="-15"/>
        </w:rPr>
        <w:t> </w:t>
      </w:r>
      <w:r>
        <w:rPr/>
        <w:t>ambos</w:t>
      </w:r>
      <w:r>
        <w:rPr>
          <w:spacing w:val="-5"/>
        </w:rPr>
        <w:t> </w:t>
      </w:r>
      <w:r>
        <w:rPr/>
        <w:t>os</w:t>
      </w:r>
      <w:r>
        <w:rPr>
          <w:spacing w:val="-6"/>
        </w:rPr>
        <w:t> </w:t>
      </w:r>
      <w:r>
        <w:rPr/>
        <w:t>ventrículos e átrios. Podem também estar presentes trombos intracavitários, espessamentos focais dos folhetos mitral, tricúspide e dilatação dos anéis valvares.</w:t>
      </w:r>
      <w:r>
        <w:rPr>
          <w:vertAlign w:val="superscript"/>
        </w:rPr>
        <w:t>6</w:t>
      </w:r>
    </w:p>
    <w:p>
      <w:pPr>
        <w:pStyle w:val="BodyText"/>
        <w:spacing w:line="276" w:lineRule="auto" w:before="57"/>
        <w:ind w:right="501"/>
      </w:pPr>
      <w:r>
        <w:rPr/>
        <w:t>A alteração estrutural histológica é representada pelo acúmulo inadequado de colágeno e hipertrofia nos diferentes compartimentos do miocárdio, promovendo desorganização da morfologia do coração e dilatação </w:t>
      </w:r>
      <w:r>
        <w:rPr>
          <w:spacing w:val="-2"/>
        </w:rPr>
        <w:t>ventricular.</w:t>
      </w:r>
    </w:p>
    <w:p>
      <w:pPr>
        <w:pStyle w:val="BodyText"/>
        <w:spacing w:line="280" w:lineRule="auto" w:before="49"/>
        <w:ind w:right="491"/>
      </w:pPr>
      <w:r>
        <w:rPr/>
        <w:t>Soufen constatou, em pacientes com cardiomiopatia dilatada de diferentes etiologias, que a disfunção do ventrículo esquerdo (VE) era caracterizada por fibrose miocárdica, sendo maior na alcoólica e na hipertensiva, quando comparadas à idiopática.</w:t>
      </w:r>
      <w:r>
        <w:rPr>
          <w:vertAlign w:val="superscript"/>
        </w:rPr>
        <w:t>17</w:t>
      </w:r>
      <w:r>
        <w:rPr>
          <w:vertAlign w:val="baseline"/>
        </w:rPr>
        <w:t> Assim, pode-se sugerir que algumas etiologias, por meio de seus mecanismos patogênicos, determinariam alterações histológicas diferentes e evoluções prognósticas distintas, mas ainda é incerto se existe relação direta entre elas.</w:t>
      </w:r>
    </w:p>
    <w:p>
      <w:pPr>
        <w:pStyle w:val="BodyText"/>
        <w:spacing w:before="175"/>
        <w:ind w:left="0" w:firstLine="0"/>
        <w:jc w:val="left"/>
      </w:pPr>
    </w:p>
    <w:p>
      <w:pPr>
        <w:pStyle w:val="Heading4"/>
      </w:pPr>
      <w:r>
        <w:rPr>
          <w:color w:val="242B67"/>
        </w:rPr>
        <w:t>Exame </w:t>
      </w:r>
      <w:r>
        <w:rPr>
          <w:color w:val="242B67"/>
          <w:spacing w:val="-2"/>
        </w:rPr>
        <w:t>físico</w:t>
      </w:r>
    </w:p>
    <w:p>
      <w:pPr>
        <w:pStyle w:val="BodyText"/>
        <w:spacing w:line="276" w:lineRule="auto" w:before="148"/>
        <w:ind w:right="488"/>
      </w:pPr>
      <w:r>
        <w:rPr/>
        <w:t>Dependendo do grau de IC e da causa de seu aparecimento podem predominar os sinais de congestão venosa pulmonar, tais como dispneia aos esforços, ortopneia e dispneia paroxística noturna ou os sinais de congestão venosa sistêmica, tais como estase jugular, hepatomegalia e edema de membros inferiores. Arritmias, tromboembolismos e até morte súbita podem fazer parte da apresentação clínica.</w:t>
      </w:r>
    </w:p>
    <w:p>
      <w:pPr>
        <w:pStyle w:val="BodyText"/>
        <w:spacing w:line="276" w:lineRule="auto" w:before="49"/>
        <w:ind w:right="488"/>
      </w:pPr>
      <w:r>
        <w:rPr/>
        <w:t>À ausculta cardíaca podem ser detectados sopros ou bulhas acessórias, como a terceira bulha (B3) e o ritmo de galope, sinais de falência ventricular. Hiperfonese de segunda bulha (B2), à custa do segundo componente (pulmonar), por aumento de pressão em território pulmonar, também pode ser evidenciada.</w:t>
      </w:r>
    </w:p>
    <w:p>
      <w:pPr>
        <w:pStyle w:val="BodyText"/>
        <w:spacing w:before="185"/>
        <w:ind w:left="0" w:firstLine="0"/>
        <w:jc w:val="left"/>
      </w:pPr>
    </w:p>
    <w:p>
      <w:pPr>
        <w:pStyle w:val="Heading4"/>
      </w:pPr>
      <w:r>
        <w:rPr>
          <w:color w:val="242B67"/>
        </w:rPr>
        <w:t>Exames </w:t>
      </w:r>
      <w:r>
        <w:rPr>
          <w:color w:val="242B67"/>
          <w:spacing w:val="-2"/>
        </w:rPr>
        <w:t>complementares</w:t>
      </w:r>
    </w:p>
    <w:p>
      <w:pPr>
        <w:pStyle w:val="BodyText"/>
        <w:spacing w:line="280" w:lineRule="auto" w:before="132"/>
        <w:ind w:right="500"/>
      </w:pPr>
      <w:r>
        <w:rPr/>
        <w:t>Ao eletrocardiograma (ECG), podem ser observados taquicardia sinusal, distúrbios de condução, hipertrofia, alterações de repolarização ventricular, ondas “q” patológicas e arritmias cardíacas. Os distúrbios de condução descritos são: bloqueio atrioventricular de primeiro grau, bloqueio de ramo esquerdo, bloqueios divisional anterossuperior e atraso final de condução.</w:t>
      </w:r>
      <w:r>
        <w:rPr>
          <w:vertAlign w:val="superscript"/>
        </w:rPr>
        <w:t>18</w:t>
      </w:r>
    </w:p>
    <w:p>
      <w:pPr>
        <w:pStyle w:val="BodyText"/>
        <w:spacing w:before="60"/>
        <w:ind w:left="414" w:firstLine="0"/>
      </w:pPr>
      <w:r>
        <w:rPr/>
        <w:t>A</w:t>
      </w:r>
      <w:r>
        <w:rPr>
          <w:spacing w:val="-15"/>
        </w:rPr>
        <w:t> </w:t>
      </w:r>
      <w:r>
        <w:rPr/>
        <w:t>radiografia</w:t>
      </w:r>
      <w:r>
        <w:rPr>
          <w:spacing w:val="-12"/>
        </w:rPr>
        <w:t> </w:t>
      </w:r>
      <w:r>
        <w:rPr/>
        <w:t>de</w:t>
      </w:r>
      <w:r>
        <w:rPr>
          <w:spacing w:val="-12"/>
        </w:rPr>
        <w:t> </w:t>
      </w:r>
      <w:r>
        <w:rPr/>
        <w:t>tórax</w:t>
      </w:r>
      <w:r>
        <w:rPr>
          <w:spacing w:val="-9"/>
        </w:rPr>
        <w:t> </w:t>
      </w:r>
      <w:r>
        <w:rPr/>
        <w:t>evidencia</w:t>
      </w:r>
      <w:r>
        <w:rPr>
          <w:spacing w:val="-13"/>
        </w:rPr>
        <w:t> </w:t>
      </w:r>
      <w:r>
        <w:rPr/>
        <w:t>cardiomegalia</w:t>
      </w:r>
      <w:r>
        <w:rPr>
          <w:spacing w:val="-12"/>
        </w:rPr>
        <w:t> </w:t>
      </w:r>
      <w:r>
        <w:rPr/>
        <w:t>e</w:t>
      </w:r>
      <w:r>
        <w:rPr>
          <w:spacing w:val="-12"/>
        </w:rPr>
        <w:t> </w:t>
      </w:r>
      <w:r>
        <w:rPr/>
        <w:t>sinais</w:t>
      </w:r>
      <w:r>
        <w:rPr>
          <w:spacing w:val="-2"/>
        </w:rPr>
        <w:t> </w:t>
      </w:r>
      <w:r>
        <w:rPr/>
        <w:t>de</w:t>
      </w:r>
      <w:r>
        <w:rPr>
          <w:spacing w:val="-12"/>
        </w:rPr>
        <w:t> </w:t>
      </w:r>
      <w:r>
        <w:rPr>
          <w:spacing w:val="-2"/>
        </w:rPr>
        <w:t>congestão.</w:t>
      </w:r>
    </w:p>
    <w:p>
      <w:pPr>
        <w:pStyle w:val="BodyText"/>
        <w:spacing w:line="276" w:lineRule="auto" w:before="104"/>
        <w:ind w:right="498"/>
      </w:pPr>
      <w:r>
        <w:rPr/>
        <w:t>As imagens cardíacas obtidas por métodos de imagem, como ecocardiograma e ressonância magnética (RM), são utilizadas para determinar tamanho da cavidade ventricular, espessamento da parede, fração de ejeção e encurtamento, bem como para</w:t>
      </w:r>
      <w:r>
        <w:rPr>
          <w:spacing w:val="-3"/>
        </w:rPr>
        <w:t> </w:t>
      </w:r>
      <w:r>
        <w:rPr/>
        <w:t>excluir todas as causas reversíveis de</w:t>
      </w:r>
      <w:r>
        <w:rPr>
          <w:spacing w:val="-3"/>
        </w:rPr>
        <w:t> </w:t>
      </w:r>
      <w:r>
        <w:rPr/>
        <w:t>disfunção ventricular.</w:t>
      </w:r>
    </w:p>
    <w:p>
      <w:pPr>
        <w:pStyle w:val="BodyText"/>
        <w:spacing w:before="48"/>
        <w:ind w:left="414" w:firstLine="0"/>
      </w:pPr>
      <w:r>
        <w:rPr/>
        <w:t>Ao</w:t>
      </w:r>
      <w:r>
        <w:rPr>
          <w:spacing w:val="5"/>
        </w:rPr>
        <w:t> </w:t>
      </w:r>
      <w:r>
        <w:rPr/>
        <w:t>ecocardiograma</w:t>
      </w:r>
      <w:r>
        <w:rPr>
          <w:spacing w:val="4"/>
        </w:rPr>
        <w:t> </w:t>
      </w:r>
      <w:r>
        <w:rPr/>
        <w:t>evidencia-se</w:t>
      </w:r>
      <w:r>
        <w:rPr>
          <w:spacing w:val="4"/>
        </w:rPr>
        <w:t> </w:t>
      </w:r>
      <w:r>
        <w:rPr/>
        <w:t>dilatação</w:t>
      </w:r>
      <w:r>
        <w:rPr>
          <w:spacing w:val="7"/>
        </w:rPr>
        <w:t> </w:t>
      </w:r>
      <w:r>
        <w:rPr/>
        <w:t>do</w:t>
      </w:r>
      <w:r>
        <w:rPr>
          <w:spacing w:val="7"/>
        </w:rPr>
        <w:t> </w:t>
      </w:r>
      <w:r>
        <w:rPr/>
        <w:t>VE,</w:t>
      </w:r>
      <w:r>
        <w:rPr>
          <w:spacing w:val="15"/>
        </w:rPr>
        <w:t> </w:t>
      </w:r>
      <w:r>
        <w:rPr/>
        <w:t>sem</w:t>
      </w:r>
      <w:r>
        <w:rPr>
          <w:spacing w:val="7"/>
        </w:rPr>
        <w:t> </w:t>
      </w:r>
      <w:r>
        <w:rPr/>
        <w:t>aumento</w:t>
      </w:r>
      <w:r>
        <w:rPr>
          <w:spacing w:val="8"/>
        </w:rPr>
        <w:t> </w:t>
      </w:r>
      <w:r>
        <w:rPr/>
        <w:t>de</w:t>
      </w:r>
      <w:r>
        <w:rPr>
          <w:spacing w:val="4"/>
        </w:rPr>
        <w:t> </w:t>
      </w:r>
      <w:r>
        <w:rPr/>
        <w:t>espessura</w:t>
      </w:r>
      <w:r>
        <w:rPr>
          <w:spacing w:val="4"/>
        </w:rPr>
        <w:t> </w:t>
      </w:r>
      <w:r>
        <w:rPr/>
        <w:t>ventricular,</w:t>
      </w:r>
      <w:r>
        <w:rPr>
          <w:spacing w:val="14"/>
        </w:rPr>
        <w:t> </w:t>
      </w:r>
      <w:r>
        <w:rPr/>
        <w:t>depressão</w:t>
      </w:r>
      <w:r>
        <w:rPr>
          <w:spacing w:val="7"/>
        </w:rPr>
        <w:t> </w:t>
      </w:r>
      <w:r>
        <w:rPr/>
        <w:t>da</w:t>
      </w:r>
      <w:r>
        <w:rPr>
          <w:spacing w:val="5"/>
        </w:rPr>
        <w:t> </w:t>
      </w:r>
      <w:r>
        <w:rPr>
          <w:spacing w:val="-2"/>
        </w:rPr>
        <w:t>função</w:t>
      </w:r>
    </w:p>
    <w:p>
      <w:pPr>
        <w:pStyle w:val="BodyText"/>
        <w:spacing w:after="0"/>
        <w:sectPr>
          <w:pgSz w:w="11900" w:h="16840"/>
          <w:pgMar w:top="220" w:bottom="280" w:left="566" w:right="141"/>
        </w:sectPr>
      </w:pPr>
    </w:p>
    <w:p>
      <w:pPr>
        <w:pStyle w:val="BodyText"/>
        <w:spacing w:line="283" w:lineRule="auto" w:before="63"/>
        <w:ind w:right="501" w:firstLine="0"/>
      </w:pPr>
      <w:r>
        <w:rPr/>
        <w:t>sistólica, graus variáveis de</w:t>
      </w:r>
      <w:r>
        <w:rPr>
          <w:spacing w:val="-7"/>
        </w:rPr>
        <w:t> </w:t>
      </w:r>
      <w:r>
        <w:rPr/>
        <w:t>disfunção</w:t>
      </w:r>
      <w:r>
        <w:rPr>
          <w:spacing w:val="-4"/>
        </w:rPr>
        <w:t> </w:t>
      </w:r>
      <w:r>
        <w:rPr/>
        <w:t>diastólica, disfunções valvares, trombos intracardíacos, estimativas indiretas de pressão intraventricular e de pressão arterial sistólica pulmonar. O ecocardiograma também é importante no acompanhamento</w:t>
      </w:r>
      <w:r>
        <w:rPr>
          <w:spacing w:val="-3"/>
        </w:rPr>
        <w:t> </w:t>
      </w:r>
      <w:r>
        <w:rPr/>
        <w:t>de</w:t>
      </w:r>
      <w:r>
        <w:rPr>
          <w:spacing w:val="-6"/>
        </w:rPr>
        <w:t> </w:t>
      </w:r>
      <w:r>
        <w:rPr/>
        <w:t>parentes com</w:t>
      </w:r>
      <w:r>
        <w:rPr>
          <w:spacing w:val="-3"/>
        </w:rPr>
        <w:t> </w:t>
      </w:r>
      <w:r>
        <w:rPr/>
        <w:t>antecedentes de</w:t>
      </w:r>
      <w:r>
        <w:rPr>
          <w:spacing w:val="-6"/>
        </w:rPr>
        <w:t> </w:t>
      </w:r>
      <w:r>
        <w:rPr/>
        <w:t>cardiomiopatia</w:t>
      </w:r>
      <w:r>
        <w:rPr>
          <w:spacing w:val="-6"/>
        </w:rPr>
        <w:t> </w:t>
      </w:r>
      <w:r>
        <w:rPr/>
        <w:t>hereditária.</w:t>
      </w:r>
      <w:r>
        <w:rPr>
          <w:vertAlign w:val="superscript"/>
        </w:rPr>
        <w:t>19</w:t>
      </w:r>
    </w:p>
    <w:p>
      <w:pPr>
        <w:pStyle w:val="BodyText"/>
        <w:spacing w:line="278" w:lineRule="auto" w:before="60"/>
        <w:ind w:right="488"/>
      </w:pPr>
      <w:r>
        <w:rPr/>
        <w:t>À RM observam-se aumento dos ventrículos, átrios e espessamento uniforme da parede. Pela cinerressonância magnética pode-se quantificar a massa ventricular e os volumes ventriculares para a determinação do grau de disfunção. As imagens obtidas pela</w:t>
      </w:r>
      <w:r>
        <w:rPr>
          <w:spacing w:val="-8"/>
        </w:rPr>
        <w:t> </w:t>
      </w:r>
      <w:r>
        <w:rPr/>
        <w:t>RM</w:t>
      </w:r>
      <w:r>
        <w:rPr>
          <w:spacing w:val="-1"/>
        </w:rPr>
        <w:t> </w:t>
      </w:r>
      <w:r>
        <w:rPr/>
        <w:t>são</w:t>
      </w:r>
      <w:r>
        <w:rPr>
          <w:spacing w:val="-6"/>
        </w:rPr>
        <w:t> </w:t>
      </w:r>
      <w:r>
        <w:rPr/>
        <w:t>inespecíficas, no</w:t>
      </w:r>
      <w:r>
        <w:rPr>
          <w:spacing w:val="-6"/>
        </w:rPr>
        <w:t> </w:t>
      </w:r>
      <w:r>
        <w:rPr/>
        <w:t>entanto</w:t>
      </w:r>
      <w:r>
        <w:rPr>
          <w:spacing w:val="-6"/>
        </w:rPr>
        <w:t> </w:t>
      </w:r>
      <w:r>
        <w:rPr/>
        <w:t>em</w:t>
      </w:r>
      <w:r>
        <w:rPr>
          <w:spacing w:val="-6"/>
        </w:rPr>
        <w:t> </w:t>
      </w:r>
      <w:r>
        <w:rPr/>
        <w:t>alguns casos podem-se</w:t>
      </w:r>
      <w:r>
        <w:rPr>
          <w:spacing w:val="-8"/>
        </w:rPr>
        <w:t> </w:t>
      </w:r>
      <w:r>
        <w:rPr/>
        <w:t>diferenciar</w:t>
      </w:r>
      <w:r>
        <w:rPr>
          <w:spacing w:val="-1"/>
        </w:rPr>
        <w:t> </w:t>
      </w:r>
      <w:r>
        <w:rPr/>
        <w:t>formas dilatadas idiopáticas de</w:t>
      </w:r>
      <w:r>
        <w:rPr>
          <w:spacing w:val="-1"/>
        </w:rPr>
        <w:t> </w:t>
      </w:r>
      <w:r>
        <w:rPr/>
        <w:t>isquêmicas ou hemocromatose</w:t>
      </w:r>
      <w:r>
        <w:rPr>
          <w:spacing w:val="-1"/>
        </w:rPr>
        <w:t> </w:t>
      </w:r>
      <w:r>
        <w:rPr/>
        <w:t>cardíaca. O</w:t>
      </w:r>
      <w:r>
        <w:rPr>
          <w:spacing w:val="-1"/>
        </w:rPr>
        <w:t> </w:t>
      </w:r>
      <w:r>
        <w:rPr/>
        <w:t>afilamento da</w:t>
      </w:r>
      <w:r>
        <w:rPr>
          <w:spacing w:val="-1"/>
        </w:rPr>
        <w:t> </w:t>
      </w:r>
      <w:r>
        <w:rPr/>
        <w:t>parede</w:t>
      </w:r>
      <w:r>
        <w:rPr>
          <w:spacing w:val="-1"/>
        </w:rPr>
        <w:t> </w:t>
      </w:r>
      <w:r>
        <w:rPr/>
        <w:t>segmentar é</w:t>
      </w:r>
      <w:r>
        <w:rPr>
          <w:spacing w:val="-1"/>
        </w:rPr>
        <w:t> </w:t>
      </w:r>
      <w:r>
        <w:rPr/>
        <w:t>característica que sugere área de infarto antigo, já o espessamento uniforme e o aumento das trabéculas do VE são mais característicos</w:t>
      </w:r>
      <w:r>
        <w:rPr>
          <w:spacing w:val="-10"/>
        </w:rPr>
        <w:t> </w:t>
      </w:r>
      <w:r>
        <w:rPr/>
        <w:t>de</w:t>
      </w:r>
      <w:r>
        <w:rPr>
          <w:spacing w:val="-15"/>
        </w:rPr>
        <w:t> </w:t>
      </w:r>
      <w:r>
        <w:rPr/>
        <w:t>cardiomiopatia</w:t>
      </w:r>
      <w:r>
        <w:rPr>
          <w:spacing w:val="-14"/>
        </w:rPr>
        <w:t> </w:t>
      </w:r>
      <w:r>
        <w:rPr/>
        <w:t>dilatada</w:t>
      </w:r>
      <w:r>
        <w:rPr>
          <w:spacing w:val="-14"/>
        </w:rPr>
        <w:t> </w:t>
      </w:r>
      <w:r>
        <w:rPr/>
        <w:t>idiopática.</w:t>
      </w:r>
      <w:r>
        <w:rPr>
          <w:spacing w:val="-6"/>
        </w:rPr>
        <w:t> </w:t>
      </w:r>
      <w:r>
        <w:rPr/>
        <w:t>A</w:t>
      </w:r>
      <w:r>
        <w:rPr>
          <w:spacing w:val="-15"/>
        </w:rPr>
        <w:t> </w:t>
      </w:r>
      <w:r>
        <w:rPr/>
        <w:t>hemocromatose</w:t>
      </w:r>
      <w:r>
        <w:rPr>
          <w:spacing w:val="-14"/>
        </w:rPr>
        <w:t> </w:t>
      </w:r>
      <w:r>
        <w:rPr/>
        <w:t>cardíaca</w:t>
      </w:r>
      <w:r>
        <w:rPr>
          <w:spacing w:val="-15"/>
        </w:rPr>
        <w:t> </w:t>
      </w:r>
      <w:r>
        <w:rPr/>
        <w:t>caracteriza-se</w:t>
      </w:r>
      <w:r>
        <w:rPr>
          <w:spacing w:val="-14"/>
        </w:rPr>
        <w:t> </w:t>
      </w:r>
      <w:r>
        <w:rPr/>
        <w:t>pela</w:t>
      </w:r>
      <w:r>
        <w:rPr>
          <w:spacing w:val="-14"/>
        </w:rPr>
        <w:t> </w:t>
      </w:r>
      <w:r>
        <w:rPr/>
        <w:t>perda</w:t>
      </w:r>
      <w:r>
        <w:rPr>
          <w:spacing w:val="-15"/>
        </w:rPr>
        <w:t> </w:t>
      </w:r>
      <w:r>
        <w:rPr/>
        <w:t>de</w:t>
      </w:r>
      <w:r>
        <w:rPr>
          <w:spacing w:val="-14"/>
        </w:rPr>
        <w:t> </w:t>
      </w:r>
      <w:r>
        <w:rPr/>
        <w:t>sinal</w:t>
      </w:r>
      <w:r>
        <w:rPr>
          <w:spacing w:val="-11"/>
        </w:rPr>
        <w:t> </w:t>
      </w:r>
      <w:r>
        <w:rPr/>
        <w:t>ao </w:t>
      </w:r>
      <w:r>
        <w:rPr>
          <w:i/>
        </w:rPr>
        <w:t>spin-echo </w:t>
      </w:r>
      <w:r>
        <w:rPr/>
        <w:t>e </w:t>
      </w:r>
      <w:r>
        <w:rPr>
          <w:i/>
        </w:rPr>
        <w:t>gradiente-echo </w:t>
      </w:r>
      <w:r>
        <w:rPr/>
        <w:t>miocárdico.</w:t>
      </w:r>
      <w:r>
        <w:rPr>
          <w:vertAlign w:val="superscript"/>
        </w:rPr>
        <w:t>20</w:t>
      </w:r>
    </w:p>
    <w:p>
      <w:pPr>
        <w:pStyle w:val="BodyText"/>
        <w:spacing w:line="283" w:lineRule="auto" w:before="47"/>
        <w:ind w:right="497"/>
      </w:pPr>
      <w:r>
        <w:rPr/>
        <w:t>A biopsia endomiocárdica do VD é um método complementar invasivo que dá importantes informações diagnósticas e prognósticas. É utilizada na avaliação de pacientes com suspeita de causas específicas de cardiomiopatias e no diagnóstico de miocardite.</w:t>
      </w:r>
      <w:r>
        <w:rPr>
          <w:vertAlign w:val="superscript"/>
        </w:rPr>
        <w:t>21</w:t>
      </w:r>
    </w:p>
    <w:p>
      <w:pPr>
        <w:pStyle w:val="BodyText"/>
        <w:spacing w:before="177"/>
        <w:ind w:left="0" w:firstLine="0"/>
        <w:jc w:val="left"/>
      </w:pPr>
    </w:p>
    <w:p>
      <w:pPr>
        <w:pStyle w:val="Heading4"/>
        <w:spacing w:before="1"/>
      </w:pPr>
      <w:r>
        <w:rPr>
          <w:color w:val="242B67"/>
          <w:spacing w:val="-2"/>
        </w:rPr>
        <w:t>Tratamento</w:t>
      </w:r>
    </w:p>
    <w:p>
      <w:pPr>
        <w:pStyle w:val="BodyText"/>
        <w:spacing w:line="276" w:lineRule="auto" w:before="131"/>
        <w:ind w:right="491"/>
      </w:pPr>
      <w:r>
        <w:rPr/>
        <w:t>O tratamento da cardiomiopatia dilatada consiste na identificação das possíveis causas reversíveis de dilatação cardíaca e dos fatores desencadeantes de IC.</w:t>
      </w:r>
    </w:p>
    <w:p>
      <w:pPr>
        <w:pStyle w:val="BodyText"/>
        <w:spacing w:line="276" w:lineRule="auto" w:before="81"/>
        <w:ind w:right="487"/>
      </w:pPr>
      <w:r>
        <w:rPr/>
        <w:t>O</w:t>
      </w:r>
      <w:r>
        <w:rPr>
          <w:spacing w:val="-2"/>
        </w:rPr>
        <w:t> </w:t>
      </w:r>
      <w:r>
        <w:rPr/>
        <w:t>tratamento clínico da</w:t>
      </w:r>
      <w:r>
        <w:rPr>
          <w:spacing w:val="-2"/>
        </w:rPr>
        <w:t> </w:t>
      </w:r>
      <w:r>
        <w:rPr/>
        <w:t>cardiomiopatia</w:t>
      </w:r>
      <w:r>
        <w:rPr>
          <w:spacing w:val="-2"/>
        </w:rPr>
        <w:t> </w:t>
      </w:r>
      <w:r>
        <w:rPr/>
        <w:t>dilatada</w:t>
      </w:r>
      <w:r>
        <w:rPr>
          <w:spacing w:val="-2"/>
        </w:rPr>
        <w:t> </w:t>
      </w:r>
      <w:r>
        <w:rPr/>
        <w:t>é</w:t>
      </w:r>
      <w:r>
        <w:rPr>
          <w:spacing w:val="-2"/>
        </w:rPr>
        <w:t> </w:t>
      </w:r>
      <w:r>
        <w:rPr/>
        <w:t>o mesmo da</w:t>
      </w:r>
      <w:r>
        <w:rPr>
          <w:spacing w:val="-2"/>
        </w:rPr>
        <w:t> </w:t>
      </w:r>
      <w:r>
        <w:rPr/>
        <w:t>síndrome</w:t>
      </w:r>
      <w:r>
        <w:rPr>
          <w:spacing w:val="-2"/>
        </w:rPr>
        <w:t> </w:t>
      </w:r>
      <w:r>
        <w:rPr/>
        <w:t>de</w:t>
      </w:r>
      <w:r>
        <w:rPr>
          <w:spacing w:val="-2"/>
        </w:rPr>
        <w:t> </w:t>
      </w:r>
      <w:r>
        <w:rPr/>
        <w:t>IC manifesta.</w:t>
      </w:r>
      <w:r>
        <w:rPr>
          <w:vertAlign w:val="superscript"/>
        </w:rPr>
        <w:t>22</w:t>
      </w:r>
      <w:r>
        <w:rPr>
          <w:vertAlign w:val="baseline"/>
        </w:rPr>
        <w:t> Restrições hídrica e salina</w:t>
      </w:r>
      <w:r>
        <w:rPr>
          <w:spacing w:val="-3"/>
          <w:vertAlign w:val="baseline"/>
        </w:rPr>
        <w:t> </w:t>
      </w:r>
      <w:r>
        <w:rPr>
          <w:vertAlign w:val="baseline"/>
        </w:rPr>
        <w:t>devem ser observadas. A</w:t>
      </w:r>
      <w:r>
        <w:rPr>
          <w:spacing w:val="-3"/>
          <w:vertAlign w:val="baseline"/>
        </w:rPr>
        <w:t> </w:t>
      </w:r>
      <w:r>
        <w:rPr>
          <w:vertAlign w:val="baseline"/>
        </w:rPr>
        <w:t>ingestão de</w:t>
      </w:r>
      <w:r>
        <w:rPr>
          <w:spacing w:val="-3"/>
          <w:vertAlign w:val="baseline"/>
        </w:rPr>
        <w:t> </w:t>
      </w:r>
      <w:r>
        <w:rPr>
          <w:vertAlign w:val="baseline"/>
        </w:rPr>
        <w:t>sal recomendada</w:t>
      </w:r>
      <w:r>
        <w:rPr>
          <w:spacing w:val="-3"/>
          <w:vertAlign w:val="baseline"/>
        </w:rPr>
        <w:t> </w:t>
      </w:r>
      <w:r>
        <w:rPr>
          <w:vertAlign w:val="baseline"/>
        </w:rPr>
        <w:t>é</w:t>
      </w:r>
      <w:r>
        <w:rPr>
          <w:spacing w:val="-3"/>
          <w:vertAlign w:val="baseline"/>
        </w:rPr>
        <w:t> </w:t>
      </w:r>
      <w:r>
        <w:rPr>
          <w:vertAlign w:val="baseline"/>
        </w:rPr>
        <w:t>de</w:t>
      </w:r>
      <w:r>
        <w:rPr>
          <w:spacing w:val="-3"/>
          <w:vertAlign w:val="baseline"/>
        </w:rPr>
        <w:t> </w:t>
      </w:r>
      <w:r>
        <w:rPr>
          <w:vertAlign w:val="baseline"/>
        </w:rPr>
        <w:t>3 a</w:t>
      </w:r>
      <w:r>
        <w:rPr>
          <w:spacing w:val="-3"/>
          <w:vertAlign w:val="baseline"/>
        </w:rPr>
        <w:t> </w:t>
      </w:r>
      <w:r>
        <w:rPr>
          <w:vertAlign w:val="baseline"/>
        </w:rPr>
        <w:t>4 g/dia</w:t>
      </w:r>
      <w:r>
        <w:rPr>
          <w:spacing w:val="-3"/>
          <w:vertAlign w:val="baseline"/>
        </w:rPr>
        <w:t> </w:t>
      </w:r>
      <w:r>
        <w:rPr>
          <w:vertAlign w:val="baseline"/>
        </w:rPr>
        <w:t>e</w:t>
      </w:r>
      <w:r>
        <w:rPr>
          <w:spacing w:val="-3"/>
          <w:vertAlign w:val="baseline"/>
        </w:rPr>
        <w:t> </w:t>
      </w:r>
      <w:r>
        <w:rPr>
          <w:vertAlign w:val="baseline"/>
        </w:rPr>
        <w:t>a</w:t>
      </w:r>
      <w:r>
        <w:rPr>
          <w:spacing w:val="-3"/>
          <w:vertAlign w:val="baseline"/>
        </w:rPr>
        <w:t> </w:t>
      </w:r>
      <w:r>
        <w:rPr>
          <w:vertAlign w:val="baseline"/>
        </w:rPr>
        <w:t>restrição hídrica</w:t>
      </w:r>
      <w:r>
        <w:rPr>
          <w:spacing w:val="-3"/>
          <w:vertAlign w:val="baseline"/>
        </w:rPr>
        <w:t> </w:t>
      </w:r>
      <w:r>
        <w:rPr>
          <w:vertAlign w:val="baseline"/>
        </w:rPr>
        <w:t>é</w:t>
      </w:r>
      <w:r>
        <w:rPr>
          <w:spacing w:val="-3"/>
          <w:vertAlign w:val="baseline"/>
        </w:rPr>
        <w:t> </w:t>
      </w:r>
      <w:r>
        <w:rPr>
          <w:vertAlign w:val="baseline"/>
        </w:rPr>
        <w:t>individualizada.</w:t>
      </w:r>
    </w:p>
    <w:p>
      <w:pPr>
        <w:pStyle w:val="BodyText"/>
        <w:spacing w:line="280" w:lineRule="auto" w:before="64"/>
        <w:ind w:right="491"/>
      </w:pPr>
      <w:r>
        <w:rPr/>
        <w:t>Todos os agentes inotrópicos positivos, com exceção da digoxina, pioram o prognóstico de pacientes com cardiomiopatia dilatada. Em contrapartida, a digoxina não ocasiona aumento da mortalidade e reduz o número de internações por</w:t>
      </w:r>
      <w:r>
        <w:rPr>
          <w:spacing w:val="-1"/>
        </w:rPr>
        <w:t> </w:t>
      </w:r>
      <w:r>
        <w:rPr/>
        <w:t>recorrência</w:t>
      </w:r>
      <w:r>
        <w:rPr>
          <w:spacing w:val="-9"/>
        </w:rPr>
        <w:t> </w:t>
      </w:r>
      <w:r>
        <w:rPr/>
        <w:t>de</w:t>
      </w:r>
      <w:r>
        <w:rPr>
          <w:spacing w:val="-9"/>
        </w:rPr>
        <w:t> </w:t>
      </w:r>
      <w:r>
        <w:rPr/>
        <w:t>IC. Deve</w:t>
      </w:r>
      <w:r>
        <w:rPr>
          <w:spacing w:val="-9"/>
        </w:rPr>
        <w:t> </w:t>
      </w:r>
      <w:r>
        <w:rPr/>
        <w:t>ser</w:t>
      </w:r>
      <w:r>
        <w:rPr>
          <w:spacing w:val="-1"/>
        </w:rPr>
        <w:t> </w:t>
      </w:r>
      <w:r>
        <w:rPr/>
        <w:t>prescrita</w:t>
      </w:r>
      <w:r>
        <w:rPr>
          <w:spacing w:val="-9"/>
        </w:rPr>
        <w:t> </w:t>
      </w:r>
      <w:r>
        <w:rPr/>
        <w:t>aos pacientes sintomáticos com</w:t>
      </w:r>
      <w:r>
        <w:rPr>
          <w:spacing w:val="-6"/>
        </w:rPr>
        <w:t> </w:t>
      </w:r>
      <w:r>
        <w:rPr/>
        <w:t>comprometimento</w:t>
      </w:r>
      <w:r>
        <w:rPr>
          <w:spacing w:val="-6"/>
        </w:rPr>
        <w:t> </w:t>
      </w:r>
      <w:r>
        <w:rPr/>
        <w:t>sistólico</w:t>
      </w:r>
      <w:r>
        <w:rPr>
          <w:spacing w:val="-6"/>
        </w:rPr>
        <w:t> </w:t>
      </w:r>
      <w:r>
        <w:rPr/>
        <w:t>da função do VE.</w:t>
      </w:r>
      <w:r>
        <w:rPr>
          <w:vertAlign w:val="superscript"/>
        </w:rPr>
        <w:t>23</w:t>
      </w:r>
    </w:p>
    <w:p>
      <w:pPr>
        <w:pStyle w:val="BodyText"/>
        <w:spacing w:line="280" w:lineRule="auto" w:before="44"/>
        <w:ind w:right="500"/>
      </w:pPr>
      <w:r>
        <w:rPr/>
        <w:t>Os inibidores da</w:t>
      </w:r>
      <w:r>
        <w:rPr>
          <w:spacing w:val="-3"/>
        </w:rPr>
        <w:t> </w:t>
      </w:r>
      <w:r>
        <w:rPr/>
        <w:t>enzima</w:t>
      </w:r>
      <w:r>
        <w:rPr>
          <w:spacing w:val="-3"/>
        </w:rPr>
        <w:t> </w:t>
      </w:r>
      <w:r>
        <w:rPr/>
        <w:t>conversora</w:t>
      </w:r>
      <w:r>
        <w:rPr>
          <w:spacing w:val="-3"/>
        </w:rPr>
        <w:t> </w:t>
      </w:r>
      <w:r>
        <w:rPr/>
        <w:t>de</w:t>
      </w:r>
      <w:r>
        <w:rPr>
          <w:spacing w:val="-3"/>
        </w:rPr>
        <w:t> </w:t>
      </w:r>
      <w:r>
        <w:rPr/>
        <w:t>angiotensina</w:t>
      </w:r>
      <w:r>
        <w:rPr>
          <w:spacing w:val="-3"/>
        </w:rPr>
        <w:t> </w:t>
      </w:r>
      <w:r>
        <w:rPr/>
        <w:t>(ECA) devem</w:t>
      </w:r>
      <w:r>
        <w:rPr>
          <w:spacing w:val="-1"/>
        </w:rPr>
        <w:t> </w:t>
      </w:r>
      <w:r>
        <w:rPr/>
        <w:t>ser utilizados inicialmente</w:t>
      </w:r>
      <w:r>
        <w:rPr>
          <w:spacing w:val="-3"/>
        </w:rPr>
        <w:t> </w:t>
      </w:r>
      <w:r>
        <w:rPr/>
        <w:t>em</w:t>
      </w:r>
      <w:r>
        <w:rPr>
          <w:spacing w:val="-1"/>
        </w:rPr>
        <w:t> </w:t>
      </w:r>
      <w:r>
        <w:rPr/>
        <w:t>doses baixas, principalmente naqueles pacientes internados, com creatinina sérica &gt; 2,5 mg/d</w:t>
      </w:r>
      <w:r>
        <w:rPr>
          <w:i/>
        </w:rPr>
        <w:t>ℓ</w:t>
      </w:r>
      <w:r>
        <w:rPr/>
        <w:t>, hipotensão arterial, sódio sérico baixo,</w:t>
      </w:r>
      <w:r>
        <w:rPr>
          <w:spacing w:val="-5"/>
        </w:rPr>
        <w:t> </w:t>
      </w:r>
      <w:r>
        <w:rPr/>
        <w:t>devendo</w:t>
      </w:r>
      <w:r>
        <w:rPr>
          <w:spacing w:val="-12"/>
        </w:rPr>
        <w:t> </w:t>
      </w:r>
      <w:r>
        <w:rPr/>
        <w:t>ser</w:t>
      </w:r>
      <w:r>
        <w:rPr>
          <w:spacing w:val="-7"/>
        </w:rPr>
        <w:t> </w:t>
      </w:r>
      <w:r>
        <w:rPr/>
        <w:t>titulada</w:t>
      </w:r>
      <w:r>
        <w:rPr>
          <w:spacing w:val="-14"/>
        </w:rPr>
        <w:t> </w:t>
      </w:r>
      <w:r>
        <w:rPr/>
        <w:t>progressivamente</w:t>
      </w:r>
      <w:r>
        <w:rPr>
          <w:spacing w:val="-14"/>
        </w:rPr>
        <w:t> </w:t>
      </w:r>
      <w:r>
        <w:rPr/>
        <w:t>até</w:t>
      </w:r>
      <w:r>
        <w:rPr>
          <w:spacing w:val="-14"/>
        </w:rPr>
        <w:t> </w:t>
      </w:r>
      <w:r>
        <w:rPr/>
        <w:t>a</w:t>
      </w:r>
      <w:r>
        <w:rPr>
          <w:spacing w:val="-14"/>
        </w:rPr>
        <w:t> </w:t>
      </w:r>
      <w:r>
        <w:rPr/>
        <w:t>dose</w:t>
      </w:r>
      <w:r>
        <w:rPr>
          <w:spacing w:val="-14"/>
        </w:rPr>
        <w:t> </w:t>
      </w:r>
      <w:r>
        <w:rPr/>
        <w:t>máxima.</w:t>
      </w:r>
      <w:r>
        <w:rPr>
          <w:spacing w:val="-5"/>
        </w:rPr>
        <w:t> </w:t>
      </w:r>
      <w:r>
        <w:rPr/>
        <w:t>São</w:t>
      </w:r>
      <w:r>
        <w:rPr>
          <w:spacing w:val="-12"/>
        </w:rPr>
        <w:t> </w:t>
      </w:r>
      <w:r>
        <w:rPr/>
        <w:t>os</w:t>
      </w:r>
      <w:r>
        <w:rPr>
          <w:spacing w:val="-5"/>
        </w:rPr>
        <w:t> </w:t>
      </w:r>
      <w:r>
        <w:rPr/>
        <w:t>medicamentos</w:t>
      </w:r>
      <w:r>
        <w:rPr>
          <w:spacing w:val="-5"/>
        </w:rPr>
        <w:t> </w:t>
      </w:r>
      <w:r>
        <w:rPr/>
        <w:t>com</w:t>
      </w:r>
      <w:r>
        <w:rPr>
          <w:spacing w:val="-12"/>
        </w:rPr>
        <w:t> </w:t>
      </w:r>
      <w:r>
        <w:rPr/>
        <w:t>comprovada</w:t>
      </w:r>
      <w:r>
        <w:rPr>
          <w:spacing w:val="-14"/>
        </w:rPr>
        <w:t> </w:t>
      </w:r>
      <w:r>
        <w:rPr/>
        <w:t>eficácia</w:t>
      </w:r>
      <w:r>
        <w:rPr>
          <w:spacing w:val="-14"/>
        </w:rPr>
        <w:t> </w:t>
      </w:r>
      <w:r>
        <w:rPr/>
        <w:t>no acompanhamento de pacientes com IC.</w:t>
      </w:r>
      <w:r>
        <w:rPr>
          <w:vertAlign w:val="superscript"/>
        </w:rPr>
        <w:t>22</w:t>
      </w:r>
    </w:p>
    <w:p>
      <w:pPr>
        <w:pStyle w:val="BodyText"/>
        <w:spacing w:line="290" w:lineRule="auto" w:before="59"/>
        <w:ind w:right="491"/>
      </w:pPr>
      <w:r>
        <w:rPr/>
        <w:t>A espirolactona é utilizada nos pacientes em classes funcionais III e IV na dose de 25 mg em conjunto com o medicamento padrão. Não deve</w:t>
      </w:r>
      <w:r>
        <w:rPr>
          <w:spacing w:val="-1"/>
        </w:rPr>
        <w:t> </w:t>
      </w:r>
      <w:r>
        <w:rPr/>
        <w:t>ser prescrita</w:t>
      </w:r>
      <w:r>
        <w:rPr>
          <w:spacing w:val="-1"/>
        </w:rPr>
        <w:t> </w:t>
      </w:r>
      <w:r>
        <w:rPr/>
        <w:t>nos casos em que</w:t>
      </w:r>
      <w:r>
        <w:rPr>
          <w:spacing w:val="-1"/>
        </w:rPr>
        <w:t> </w:t>
      </w:r>
      <w:r>
        <w:rPr/>
        <w:t>a</w:t>
      </w:r>
      <w:r>
        <w:rPr>
          <w:spacing w:val="-1"/>
        </w:rPr>
        <w:t> </w:t>
      </w:r>
      <w:r>
        <w:rPr/>
        <w:t>creatinina</w:t>
      </w:r>
      <w:r>
        <w:rPr>
          <w:spacing w:val="-1"/>
        </w:rPr>
        <w:t> </w:t>
      </w:r>
      <w:r>
        <w:rPr/>
        <w:t>está</w:t>
      </w:r>
      <w:r>
        <w:rPr>
          <w:spacing w:val="-1"/>
        </w:rPr>
        <w:t> </w:t>
      </w:r>
      <w:r>
        <w:rPr/>
        <w:t>acima</w:t>
      </w:r>
      <w:r>
        <w:rPr>
          <w:spacing w:val="-1"/>
        </w:rPr>
        <w:t> </w:t>
      </w:r>
      <w:r>
        <w:rPr/>
        <w:t>de</w:t>
      </w:r>
      <w:r>
        <w:rPr>
          <w:spacing w:val="-1"/>
        </w:rPr>
        <w:t> </w:t>
      </w:r>
      <w:r>
        <w:rPr/>
        <w:t>2,5 mg/d</w:t>
      </w:r>
      <w:r>
        <w:rPr>
          <w:i/>
        </w:rPr>
        <w:t>ℓ</w:t>
      </w:r>
      <w:r>
        <w:rPr/>
        <w:t>.</w:t>
      </w:r>
      <w:r>
        <w:rPr>
          <w:vertAlign w:val="superscript"/>
        </w:rPr>
        <w:t>22</w:t>
      </w:r>
    </w:p>
    <w:p>
      <w:pPr>
        <w:pStyle w:val="BodyText"/>
        <w:spacing w:line="283" w:lineRule="auto" w:before="33"/>
        <w:ind w:right="501"/>
      </w:pPr>
      <w:r>
        <w:rPr/>
        <w:t>Os</w:t>
      </w:r>
      <w:r>
        <w:rPr>
          <w:spacing w:val="-1"/>
        </w:rPr>
        <w:t> </w:t>
      </w:r>
      <w:r>
        <w:rPr/>
        <w:t>betabloqueadores</w:t>
      </w:r>
      <w:r>
        <w:rPr>
          <w:spacing w:val="-1"/>
        </w:rPr>
        <w:t> </w:t>
      </w:r>
      <w:r>
        <w:rPr/>
        <w:t>são</w:t>
      </w:r>
      <w:r>
        <w:rPr>
          <w:spacing w:val="-9"/>
        </w:rPr>
        <w:t> </w:t>
      </w:r>
      <w:r>
        <w:rPr/>
        <w:t>fármacos</w:t>
      </w:r>
      <w:r>
        <w:rPr>
          <w:spacing w:val="-1"/>
        </w:rPr>
        <w:t> </w:t>
      </w:r>
      <w:r>
        <w:rPr/>
        <w:t>que</w:t>
      </w:r>
      <w:r>
        <w:rPr>
          <w:spacing w:val="-11"/>
        </w:rPr>
        <w:t> </w:t>
      </w:r>
      <w:r>
        <w:rPr/>
        <w:t>melhoram</w:t>
      </w:r>
      <w:r>
        <w:rPr>
          <w:spacing w:val="-9"/>
        </w:rPr>
        <w:t> </w:t>
      </w:r>
      <w:r>
        <w:rPr/>
        <w:t>prognóstico,</w:t>
      </w:r>
      <w:r>
        <w:rPr>
          <w:spacing w:val="-1"/>
        </w:rPr>
        <w:t> </w:t>
      </w:r>
      <w:r>
        <w:rPr/>
        <w:t>função</w:t>
      </w:r>
      <w:r>
        <w:rPr>
          <w:spacing w:val="-9"/>
        </w:rPr>
        <w:t> </w:t>
      </w:r>
      <w:r>
        <w:rPr/>
        <w:t>e</w:t>
      </w:r>
      <w:r>
        <w:rPr>
          <w:spacing w:val="-11"/>
        </w:rPr>
        <w:t> </w:t>
      </w:r>
      <w:r>
        <w:rPr/>
        <w:t>qualidade</w:t>
      </w:r>
      <w:r>
        <w:rPr>
          <w:spacing w:val="-11"/>
        </w:rPr>
        <w:t> </w:t>
      </w:r>
      <w:r>
        <w:rPr/>
        <w:t>de</w:t>
      </w:r>
      <w:r>
        <w:rPr>
          <w:spacing w:val="-11"/>
        </w:rPr>
        <w:t> </w:t>
      </w:r>
      <w:r>
        <w:rPr/>
        <w:t>vida</w:t>
      </w:r>
      <w:r>
        <w:rPr>
          <w:spacing w:val="-11"/>
        </w:rPr>
        <w:t> </w:t>
      </w:r>
      <w:r>
        <w:rPr/>
        <w:t>em</w:t>
      </w:r>
      <w:r>
        <w:rPr>
          <w:spacing w:val="-9"/>
        </w:rPr>
        <w:t> </w:t>
      </w:r>
      <w:r>
        <w:rPr/>
        <w:t>pacientes</w:t>
      </w:r>
      <w:r>
        <w:rPr>
          <w:spacing w:val="-1"/>
        </w:rPr>
        <w:t> </w:t>
      </w:r>
      <w:r>
        <w:rPr/>
        <w:t>com</w:t>
      </w:r>
      <w:r>
        <w:rPr>
          <w:spacing w:val="-9"/>
        </w:rPr>
        <w:t> </w:t>
      </w:r>
      <w:r>
        <w:rPr/>
        <w:t>IC. Devem ser utilizados após otimização clínica com digitálico, diuréticos e inibidores da ECA. Devem ser iniciados em doses baixas e</w:t>
      </w:r>
      <w:r>
        <w:rPr>
          <w:spacing w:val="-1"/>
        </w:rPr>
        <w:t> </w:t>
      </w:r>
      <w:r>
        <w:rPr/>
        <w:t>aumentados de</w:t>
      </w:r>
      <w:r>
        <w:rPr>
          <w:spacing w:val="-1"/>
        </w:rPr>
        <w:t> </w:t>
      </w:r>
      <w:r>
        <w:rPr/>
        <w:t>acordo com a</w:t>
      </w:r>
      <w:r>
        <w:rPr>
          <w:spacing w:val="-1"/>
        </w:rPr>
        <w:t> </w:t>
      </w:r>
      <w:r>
        <w:rPr/>
        <w:t>tolerabilidade</w:t>
      </w:r>
      <w:r>
        <w:rPr>
          <w:spacing w:val="-1"/>
        </w:rPr>
        <w:t> </w:t>
      </w:r>
      <w:r>
        <w:rPr/>
        <w:t>clínica</w:t>
      </w:r>
      <w:r>
        <w:rPr>
          <w:spacing w:val="-1"/>
        </w:rPr>
        <w:t> </w:t>
      </w:r>
      <w:r>
        <w:rPr/>
        <w:t>do paciente.</w:t>
      </w:r>
      <w:r>
        <w:rPr>
          <w:vertAlign w:val="superscript"/>
        </w:rPr>
        <w:t>18,22</w:t>
      </w:r>
    </w:p>
    <w:p>
      <w:pPr>
        <w:pStyle w:val="BodyText"/>
        <w:spacing w:before="178"/>
        <w:ind w:left="0" w:firstLine="0"/>
        <w:jc w:val="left"/>
      </w:pPr>
    </w:p>
    <w:p>
      <w:pPr>
        <w:pStyle w:val="Heading4"/>
      </w:pPr>
      <w:r>
        <w:rPr>
          <w:color w:val="242B67"/>
        </w:rPr>
        <w:t>Fatores </w:t>
      </w:r>
      <w:r>
        <w:rPr>
          <w:color w:val="242B67"/>
          <w:spacing w:val="-2"/>
        </w:rPr>
        <w:t>prognósticos</w:t>
      </w:r>
    </w:p>
    <w:p>
      <w:pPr>
        <w:pStyle w:val="BodyText"/>
        <w:spacing w:line="276" w:lineRule="auto" w:before="147"/>
        <w:ind w:right="497"/>
      </w:pPr>
      <w:r>
        <w:rPr/>
        <w:t>Os dados epidemiológicos das cardiomiopatias e os de sua principal manifestação, a IC, mostram que os marcadores de prognóstico são fundamentais e necessários para definir grupos de alto risco que necessitem de tratamento</w:t>
      </w:r>
      <w:r>
        <w:rPr>
          <w:spacing w:val="-3"/>
        </w:rPr>
        <w:t> </w:t>
      </w:r>
      <w:r>
        <w:rPr/>
        <w:t>específico</w:t>
      </w:r>
      <w:r>
        <w:rPr>
          <w:spacing w:val="-3"/>
        </w:rPr>
        <w:t> </w:t>
      </w:r>
      <w:r>
        <w:rPr/>
        <w:t>–</w:t>
      </w:r>
      <w:r>
        <w:rPr>
          <w:spacing w:val="-3"/>
        </w:rPr>
        <w:t> </w:t>
      </w:r>
      <w:r>
        <w:rPr/>
        <w:t>procedimentos cirúrgicos como</w:t>
      </w:r>
      <w:r>
        <w:rPr>
          <w:spacing w:val="-3"/>
        </w:rPr>
        <w:t> </w:t>
      </w:r>
      <w:r>
        <w:rPr/>
        <w:t>transplante</w:t>
      </w:r>
      <w:r>
        <w:rPr>
          <w:spacing w:val="-6"/>
        </w:rPr>
        <w:t> </w:t>
      </w:r>
      <w:r>
        <w:rPr/>
        <w:t>cardíaco, cardiomioplastia, reconstrução</w:t>
      </w:r>
      <w:r>
        <w:rPr>
          <w:spacing w:val="-3"/>
        </w:rPr>
        <w:t> </w:t>
      </w:r>
      <w:r>
        <w:rPr/>
        <w:t>do</w:t>
      </w:r>
      <w:r>
        <w:rPr>
          <w:spacing w:val="-3"/>
        </w:rPr>
        <w:t> </w:t>
      </w:r>
      <w:r>
        <w:rPr/>
        <w:t>VE e troca valvar.</w:t>
      </w:r>
    </w:p>
    <w:p>
      <w:pPr>
        <w:pStyle w:val="BodyText"/>
        <w:spacing w:line="290" w:lineRule="auto" w:before="49"/>
        <w:ind w:right="500"/>
      </w:pPr>
      <w:r>
        <w:rPr/>
        <w:t>O prognóstico de pacientes com cardiomiopatia dilatada pode ser estratificado por critérios clínicos, laboratoriais, hemodinâmicos e morfológicos.</w:t>
      </w:r>
      <w:r>
        <w:rPr>
          <w:vertAlign w:val="superscript"/>
        </w:rPr>
        <w:t>2</w:t>
      </w:r>
      <w:r>
        <w:rPr>
          <w:vertAlign w:val="superscript"/>
        </w:rPr>
        <w:t>4</w:t>
      </w:r>
      <w:r>
        <w:rPr>
          <w:vertAlign w:val="superscript"/>
        </w:rPr>
        <w:t>–</w:t>
      </w:r>
      <w:r>
        <w:rPr>
          <w:vertAlign w:val="superscript"/>
        </w:rPr>
        <w:t>2</w:t>
      </w:r>
      <w:r>
        <w:rPr>
          <w:vertAlign w:val="superscript"/>
        </w:rPr>
        <w:t>8</w:t>
      </w:r>
    </w:p>
    <w:p>
      <w:pPr>
        <w:pStyle w:val="BodyText"/>
        <w:spacing w:line="290" w:lineRule="auto" w:before="49"/>
        <w:ind w:right="488"/>
      </w:pPr>
      <w:r>
        <w:rPr/>
        <w:t>Presença</w:t>
      </w:r>
      <w:r>
        <w:rPr>
          <w:spacing w:val="-10"/>
        </w:rPr>
        <w:t> </w:t>
      </w:r>
      <w:r>
        <w:rPr/>
        <w:t>de</w:t>
      </w:r>
      <w:r>
        <w:rPr>
          <w:spacing w:val="-10"/>
        </w:rPr>
        <w:t> </w:t>
      </w:r>
      <w:r>
        <w:rPr/>
        <w:t>B3, hipotensão</w:t>
      </w:r>
      <w:r>
        <w:rPr>
          <w:spacing w:val="-7"/>
        </w:rPr>
        <w:t> </w:t>
      </w:r>
      <w:r>
        <w:rPr/>
        <w:t>arterial</w:t>
      </w:r>
      <w:r>
        <w:rPr>
          <w:spacing w:val="-4"/>
        </w:rPr>
        <w:t> </w:t>
      </w:r>
      <w:r>
        <w:rPr/>
        <w:t>são</w:t>
      </w:r>
      <w:r>
        <w:rPr>
          <w:spacing w:val="-7"/>
        </w:rPr>
        <w:t> </w:t>
      </w:r>
      <w:r>
        <w:rPr/>
        <w:t>fatores clínicos prognósticos adversos em</w:t>
      </w:r>
      <w:r>
        <w:rPr>
          <w:spacing w:val="-7"/>
        </w:rPr>
        <w:t> </w:t>
      </w:r>
      <w:r>
        <w:rPr/>
        <w:t>pacientes com</w:t>
      </w:r>
      <w:r>
        <w:rPr>
          <w:spacing w:val="-7"/>
        </w:rPr>
        <w:t> </w:t>
      </w:r>
      <w:r>
        <w:rPr/>
        <w:t>cardiomiopatia </w:t>
      </w:r>
      <w:r>
        <w:rPr>
          <w:spacing w:val="-2"/>
        </w:rPr>
        <w:t>dilatada.</w:t>
      </w:r>
      <w:r>
        <w:rPr>
          <w:spacing w:val="-2"/>
          <w:vertAlign w:val="superscript"/>
        </w:rPr>
        <w:t>24,25</w:t>
      </w:r>
    </w:p>
    <w:p>
      <w:pPr>
        <w:pStyle w:val="BodyText"/>
        <w:spacing w:line="280" w:lineRule="auto" w:before="32"/>
        <w:ind w:right="488"/>
      </w:pPr>
      <w:r>
        <w:rPr/>
        <w:t>Os fatores relacionados com a capacidade funcional também são importantes sinalizadores de prognóstico. A avaliação subjetiva da classe funcional pelos critérios da New York Heart Association (NYHA) é muito utilizada, tanto na prática clínica como em estudos clínicos e está relacionada com o prognóstico das cardiomiopatias de forma</w:t>
      </w:r>
      <w:r>
        <w:rPr>
          <w:spacing w:val="-3"/>
        </w:rPr>
        <w:t> </w:t>
      </w:r>
      <w:r>
        <w:rPr/>
        <w:t>não</w:t>
      </w:r>
      <w:r>
        <w:rPr>
          <w:spacing w:val="-1"/>
        </w:rPr>
        <w:t> </w:t>
      </w:r>
      <w:r>
        <w:rPr/>
        <w:t>independente. O</w:t>
      </w:r>
      <w:r>
        <w:rPr>
          <w:spacing w:val="-3"/>
        </w:rPr>
        <w:t> </w:t>
      </w:r>
      <w:r>
        <w:rPr/>
        <w:t>teste</w:t>
      </w:r>
      <w:r>
        <w:rPr>
          <w:spacing w:val="-3"/>
        </w:rPr>
        <w:t> </w:t>
      </w:r>
      <w:r>
        <w:rPr/>
        <w:t>de</w:t>
      </w:r>
      <w:r>
        <w:rPr>
          <w:spacing w:val="-3"/>
        </w:rPr>
        <w:t> </w:t>
      </w:r>
      <w:r>
        <w:rPr/>
        <w:t>distância</w:t>
      </w:r>
      <w:r>
        <w:rPr>
          <w:spacing w:val="-3"/>
        </w:rPr>
        <w:t> </w:t>
      </w:r>
      <w:r>
        <w:rPr/>
        <w:t>caminhada</w:t>
      </w:r>
      <w:r>
        <w:rPr>
          <w:spacing w:val="-3"/>
        </w:rPr>
        <w:t> </w:t>
      </w:r>
      <w:r>
        <w:rPr/>
        <w:t>em</w:t>
      </w:r>
      <w:r>
        <w:rPr>
          <w:spacing w:val="-1"/>
        </w:rPr>
        <w:t> </w:t>
      </w:r>
      <w:r>
        <w:rPr/>
        <w:t>6</w:t>
      </w:r>
      <w:r>
        <w:rPr>
          <w:spacing w:val="-1"/>
        </w:rPr>
        <w:t> </w:t>
      </w:r>
      <w:r>
        <w:rPr/>
        <w:t>min</w:t>
      </w:r>
      <w:r>
        <w:rPr>
          <w:spacing w:val="-1"/>
        </w:rPr>
        <w:t> </w:t>
      </w:r>
      <w:r>
        <w:rPr/>
        <w:t>é</w:t>
      </w:r>
      <w:r>
        <w:rPr>
          <w:spacing w:val="-3"/>
        </w:rPr>
        <w:t> </w:t>
      </w:r>
      <w:r>
        <w:rPr/>
        <w:t>mais objetivo</w:t>
      </w:r>
      <w:r>
        <w:rPr>
          <w:spacing w:val="-1"/>
        </w:rPr>
        <w:t> </w:t>
      </w:r>
      <w:r>
        <w:rPr/>
        <w:t>para</w:t>
      </w:r>
      <w:r>
        <w:rPr>
          <w:spacing w:val="-3"/>
        </w:rPr>
        <w:t> </w:t>
      </w:r>
      <w:r>
        <w:rPr/>
        <w:t>avaliação</w:t>
      </w:r>
      <w:r>
        <w:rPr>
          <w:spacing w:val="-1"/>
        </w:rPr>
        <w:t> </w:t>
      </w:r>
      <w:r>
        <w:rPr/>
        <w:t>clínica</w:t>
      </w:r>
      <w:r>
        <w:rPr>
          <w:spacing w:val="-3"/>
        </w:rPr>
        <w:t> </w:t>
      </w:r>
      <w:r>
        <w:rPr/>
        <w:t>funcional, mas a medida do consumo máximo de oxigênio (V</w:t>
      </w:r>
      <w:r>
        <w:rPr>
          <w:sz w:val="19"/>
        </w:rPr>
        <w:t>O</w:t>
      </w:r>
      <w:r>
        <w:rPr>
          <w:sz w:val="19"/>
          <w:vertAlign w:val="subscript"/>
        </w:rPr>
        <w:t>2</w:t>
      </w:r>
      <w:r>
        <w:rPr>
          <w:sz w:val="19"/>
          <w:vertAlign w:val="baseline"/>
        </w:rPr>
        <w:t> </w:t>
      </w:r>
      <w:r>
        <w:rPr>
          <w:vertAlign w:val="baseline"/>
        </w:rPr>
        <w:t>máx) durante o pico do exercício é uma medida objetiva, quantitativa</w:t>
      </w:r>
      <w:r>
        <w:rPr>
          <w:spacing w:val="-2"/>
          <w:vertAlign w:val="baseline"/>
        </w:rPr>
        <w:t> </w:t>
      </w:r>
      <w:r>
        <w:rPr>
          <w:vertAlign w:val="baseline"/>
        </w:rPr>
        <w:t>e</w:t>
      </w:r>
      <w:r>
        <w:rPr>
          <w:spacing w:val="-2"/>
          <w:vertAlign w:val="baseline"/>
        </w:rPr>
        <w:t> </w:t>
      </w:r>
      <w:r>
        <w:rPr>
          <w:vertAlign w:val="baseline"/>
        </w:rPr>
        <w:t>um fator independente</w:t>
      </w:r>
      <w:r>
        <w:rPr>
          <w:spacing w:val="-2"/>
          <w:vertAlign w:val="baseline"/>
        </w:rPr>
        <w:t> </w:t>
      </w:r>
      <w:r>
        <w:rPr>
          <w:vertAlign w:val="baseline"/>
        </w:rPr>
        <w:t>no prognóstico dos pacientes com cardiomiopatia</w:t>
      </w:r>
      <w:r>
        <w:rPr>
          <w:spacing w:val="-2"/>
          <w:vertAlign w:val="baseline"/>
        </w:rPr>
        <w:t> </w:t>
      </w:r>
      <w:r>
        <w:rPr>
          <w:vertAlign w:val="baseline"/>
        </w:rPr>
        <w:t>dilatada</w:t>
      </w:r>
      <w:r>
        <w:rPr>
          <w:spacing w:val="-2"/>
          <w:vertAlign w:val="baseline"/>
        </w:rPr>
        <w:t> </w:t>
      </w:r>
      <w:r>
        <w:rPr>
          <w:vertAlign w:val="baseline"/>
        </w:rPr>
        <w:t>e</w:t>
      </w:r>
      <w:r>
        <w:rPr>
          <w:spacing w:val="-2"/>
          <w:vertAlign w:val="baseline"/>
        </w:rPr>
        <w:t> </w:t>
      </w:r>
      <w:r>
        <w:rPr>
          <w:vertAlign w:val="baseline"/>
        </w:rPr>
        <w:t>IC.</w:t>
      </w:r>
      <w:r>
        <w:rPr>
          <w:vertAlign w:val="superscript"/>
        </w:rPr>
        <w:t>24</w:t>
      </w:r>
    </w:p>
    <w:p>
      <w:pPr>
        <w:pStyle w:val="BodyText"/>
        <w:spacing w:after="0" w:line="280" w:lineRule="auto"/>
        <w:sectPr>
          <w:pgSz w:w="11900" w:h="16840"/>
          <w:pgMar w:top="220" w:bottom="280" w:left="566" w:right="141"/>
        </w:sectPr>
      </w:pPr>
    </w:p>
    <w:p>
      <w:pPr>
        <w:pStyle w:val="BodyText"/>
        <w:spacing w:line="280" w:lineRule="auto"/>
        <w:ind w:right="491"/>
      </w:pPr>
      <w:r>
        <w:rPr/>
        <w:t>Os marcadores bioquímicos também têm importância como fatores de prognóstico. Além da estimulação simpática com aumento da norepinefrina, outros fatores neuro-hormonais também vêm sendo utilizados no seguimento da IC, como endotelina, angiotensina, aldosterona, mediadores inflamatórios, citocinas, fatores de crescimento, peptídios natriuréticos e outros.</w:t>
      </w:r>
      <w:r>
        <w:rPr>
          <w:vertAlign w:val="superscript"/>
        </w:rPr>
        <w:t>26,27</w:t>
      </w:r>
    </w:p>
    <w:p>
      <w:pPr>
        <w:pStyle w:val="BodyText"/>
        <w:spacing w:line="278" w:lineRule="auto" w:before="60"/>
        <w:ind w:right="498"/>
      </w:pPr>
      <w:r>
        <w:rPr/>
        <w:t>O</w:t>
      </w:r>
      <w:r>
        <w:rPr>
          <w:spacing w:val="-11"/>
        </w:rPr>
        <w:t> </w:t>
      </w:r>
      <w:r>
        <w:rPr/>
        <w:t>principal</w:t>
      </w:r>
      <w:r>
        <w:rPr>
          <w:spacing w:val="-6"/>
        </w:rPr>
        <w:t> </w:t>
      </w:r>
      <w:r>
        <w:rPr/>
        <w:t>determinante</w:t>
      </w:r>
      <w:r>
        <w:rPr>
          <w:spacing w:val="-11"/>
        </w:rPr>
        <w:t> </w:t>
      </w:r>
      <w:r>
        <w:rPr/>
        <w:t>da</w:t>
      </w:r>
      <w:r>
        <w:rPr>
          <w:spacing w:val="-11"/>
        </w:rPr>
        <w:t> </w:t>
      </w:r>
      <w:r>
        <w:rPr/>
        <w:t>evolução</w:t>
      </w:r>
      <w:r>
        <w:rPr>
          <w:spacing w:val="-8"/>
        </w:rPr>
        <w:t> </w:t>
      </w:r>
      <w:r>
        <w:rPr/>
        <w:t>natural</w:t>
      </w:r>
      <w:r>
        <w:rPr>
          <w:spacing w:val="-6"/>
        </w:rPr>
        <w:t> </w:t>
      </w:r>
      <w:r>
        <w:rPr/>
        <w:t>nessa</w:t>
      </w:r>
      <w:r>
        <w:rPr>
          <w:spacing w:val="-11"/>
        </w:rPr>
        <w:t> </w:t>
      </w:r>
      <w:r>
        <w:rPr/>
        <w:t>doença</w:t>
      </w:r>
      <w:r>
        <w:rPr>
          <w:spacing w:val="-11"/>
        </w:rPr>
        <w:t> </w:t>
      </w:r>
      <w:r>
        <w:rPr/>
        <w:t>é</w:t>
      </w:r>
      <w:r>
        <w:rPr>
          <w:spacing w:val="-11"/>
        </w:rPr>
        <w:t> </w:t>
      </w:r>
      <w:r>
        <w:rPr/>
        <w:t>o</w:t>
      </w:r>
      <w:r>
        <w:rPr>
          <w:spacing w:val="-8"/>
        </w:rPr>
        <w:t> </w:t>
      </w:r>
      <w:r>
        <w:rPr/>
        <w:t>envolvimento</w:t>
      </w:r>
      <w:r>
        <w:rPr>
          <w:spacing w:val="-8"/>
        </w:rPr>
        <w:t> </w:t>
      </w:r>
      <w:r>
        <w:rPr/>
        <w:t>do</w:t>
      </w:r>
      <w:r>
        <w:rPr>
          <w:spacing w:val="-8"/>
        </w:rPr>
        <w:t> </w:t>
      </w:r>
      <w:r>
        <w:rPr/>
        <w:t>músculo</w:t>
      </w:r>
      <w:r>
        <w:rPr>
          <w:spacing w:val="-8"/>
        </w:rPr>
        <w:t> </w:t>
      </w:r>
      <w:r>
        <w:rPr/>
        <w:t>cardíaco.</w:t>
      </w:r>
      <w:r>
        <w:rPr>
          <w:spacing w:val="-1"/>
        </w:rPr>
        <w:t> </w:t>
      </w:r>
      <w:r>
        <w:rPr/>
        <w:t>Dessa</w:t>
      </w:r>
      <w:r>
        <w:rPr>
          <w:spacing w:val="-11"/>
        </w:rPr>
        <w:t> </w:t>
      </w:r>
      <w:r>
        <w:rPr/>
        <w:t>forma, parâmetros que avaliam a função ventricular, como o índice cardiotorácico e a medida da fração de ejeção, são também</w:t>
      </w:r>
      <w:r>
        <w:rPr>
          <w:spacing w:val="-8"/>
        </w:rPr>
        <w:t> </w:t>
      </w:r>
      <w:r>
        <w:rPr/>
        <w:t>de</w:t>
      </w:r>
      <w:r>
        <w:rPr>
          <w:spacing w:val="-11"/>
        </w:rPr>
        <w:t> </w:t>
      </w:r>
      <w:r>
        <w:rPr/>
        <w:t>grande</w:t>
      </w:r>
      <w:r>
        <w:rPr>
          <w:spacing w:val="-11"/>
        </w:rPr>
        <w:t> </w:t>
      </w:r>
      <w:r>
        <w:rPr/>
        <w:t>importância.</w:t>
      </w:r>
      <w:r>
        <w:rPr>
          <w:spacing w:val="-1"/>
        </w:rPr>
        <w:t> </w:t>
      </w:r>
      <w:r>
        <w:rPr/>
        <w:t>A</w:t>
      </w:r>
      <w:r>
        <w:rPr>
          <w:spacing w:val="-11"/>
        </w:rPr>
        <w:t> </w:t>
      </w:r>
      <w:r>
        <w:rPr/>
        <w:t>avaliação</w:t>
      </w:r>
      <w:r>
        <w:rPr>
          <w:spacing w:val="-8"/>
        </w:rPr>
        <w:t> </w:t>
      </w:r>
      <w:r>
        <w:rPr/>
        <w:t>da</w:t>
      </w:r>
      <w:r>
        <w:rPr>
          <w:spacing w:val="-11"/>
        </w:rPr>
        <w:t> </w:t>
      </w:r>
      <w:r>
        <w:rPr/>
        <w:t>função</w:t>
      </w:r>
      <w:r>
        <w:rPr>
          <w:spacing w:val="-8"/>
        </w:rPr>
        <w:t> </w:t>
      </w:r>
      <w:r>
        <w:rPr/>
        <w:t>diastólica,</w:t>
      </w:r>
      <w:r>
        <w:rPr>
          <w:spacing w:val="-1"/>
        </w:rPr>
        <w:t> </w:t>
      </w:r>
      <w:r>
        <w:rPr/>
        <w:t>caracterizada</w:t>
      </w:r>
      <w:r>
        <w:rPr>
          <w:spacing w:val="-11"/>
        </w:rPr>
        <w:t> </w:t>
      </w:r>
      <w:r>
        <w:rPr/>
        <w:t>pelo</w:t>
      </w:r>
      <w:r>
        <w:rPr>
          <w:spacing w:val="-8"/>
        </w:rPr>
        <w:t> </w:t>
      </w:r>
      <w:r>
        <w:rPr/>
        <w:t>achado</w:t>
      </w:r>
      <w:r>
        <w:rPr>
          <w:spacing w:val="-8"/>
        </w:rPr>
        <w:t> </w:t>
      </w:r>
      <w:r>
        <w:rPr/>
        <w:t>de</w:t>
      </w:r>
      <w:r>
        <w:rPr>
          <w:spacing w:val="-11"/>
        </w:rPr>
        <w:t> </w:t>
      </w:r>
      <w:r>
        <w:rPr/>
        <w:t>um</w:t>
      </w:r>
      <w:r>
        <w:rPr>
          <w:spacing w:val="-8"/>
        </w:rPr>
        <w:t> </w:t>
      </w:r>
      <w:r>
        <w:rPr/>
        <w:t>padrão</w:t>
      </w:r>
      <w:r>
        <w:rPr>
          <w:spacing w:val="-8"/>
        </w:rPr>
        <w:t> </w:t>
      </w:r>
      <w:r>
        <w:rPr/>
        <w:t>restritivo, também é um importante fator prognóstico adverso. Essa alteração na função diastólica é considerada um sinal indireto de rigidez da câmara ventricular, encontrado em pacientes com quadros clínicos mais graves de insuficiência cardíaca.</w:t>
      </w:r>
      <w:r>
        <w:rPr>
          <w:vertAlign w:val="superscript"/>
        </w:rPr>
        <w:t>24,26,28,29</w:t>
      </w:r>
    </w:p>
    <w:p>
      <w:pPr>
        <w:pStyle w:val="BodyText"/>
        <w:spacing w:line="276" w:lineRule="auto" w:before="49"/>
        <w:ind w:right="491"/>
      </w:pPr>
      <w:r>
        <w:rPr/>
        <w:t>Vários são os fatores prognósticos em pacientes com cardiomiopatia</w:t>
      </w:r>
      <w:r>
        <w:rPr>
          <w:spacing w:val="-3"/>
        </w:rPr>
        <w:t> </w:t>
      </w:r>
      <w:r>
        <w:rPr/>
        <w:t>dilatada, dessa</w:t>
      </w:r>
      <w:r>
        <w:rPr>
          <w:spacing w:val="-3"/>
        </w:rPr>
        <w:t> </w:t>
      </w:r>
      <w:r>
        <w:rPr/>
        <w:t>forma</w:t>
      </w:r>
      <w:r>
        <w:rPr>
          <w:spacing w:val="-3"/>
        </w:rPr>
        <w:t> </w:t>
      </w:r>
      <w:r>
        <w:rPr/>
        <w:t>não existe</w:t>
      </w:r>
      <w:r>
        <w:rPr>
          <w:spacing w:val="-3"/>
        </w:rPr>
        <w:t> </w:t>
      </w:r>
      <w:r>
        <w:rPr/>
        <w:t>um único índice que possa ser definido como ideal, porém mediante a análise dos fatores clínicos, hemodinâmicos e laboratoriais pode-se estratificar melhor os pacientes.</w:t>
      </w:r>
    </w:p>
    <w:p>
      <w:pPr>
        <w:pStyle w:val="BodyText"/>
        <w:spacing w:before="257"/>
        <w:ind w:left="0" w:firstLine="0"/>
        <w:jc w:val="left"/>
      </w:pPr>
    </w:p>
    <w:p>
      <w:pPr>
        <w:pStyle w:val="Heading3"/>
      </w:pPr>
      <w:r>
        <w:rPr>
          <w:color w:val="242B67"/>
        </w:rPr>
        <w:t>Cardiomiopatia</w:t>
      </w:r>
      <w:r>
        <w:rPr>
          <w:color w:val="242B67"/>
          <w:spacing w:val="5"/>
        </w:rPr>
        <w:t> </w:t>
      </w:r>
      <w:r>
        <w:rPr>
          <w:color w:val="242B67"/>
          <w:spacing w:val="-2"/>
        </w:rPr>
        <w:t>Hipertrófica</w:t>
      </w:r>
    </w:p>
    <w:p>
      <w:pPr>
        <w:pStyle w:val="BodyText"/>
        <w:spacing w:before="0"/>
        <w:ind w:left="0" w:firstLine="0"/>
        <w:jc w:val="left"/>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590400">
                <wp:simplePos x="0" y="0"/>
                <wp:positionH relativeFrom="page">
                  <wp:posOffset>401543</wp:posOffset>
                </wp:positionH>
                <wp:positionV relativeFrom="paragraph">
                  <wp:posOffset>51321</wp:posOffset>
                </wp:positionV>
                <wp:extent cx="6753225" cy="1079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41049pt;width:531.731217pt;height:.8008pt;mso-position-horizontal-relative:page;mso-position-vertical-relative:paragraph;z-index:-15726080;mso-wrap-distance-left:0;mso-wrap-distance-right:0" id="docshape6" filled="true" fillcolor="#242b67" stroked="false">
                <v:fill type="solid"/>
                <w10:wrap type="topAndBottom"/>
              </v:rect>
            </w:pict>
          </mc:Fallback>
        </mc:AlternateContent>
      </w:r>
    </w:p>
    <w:p>
      <w:pPr>
        <w:pStyle w:val="BodyText"/>
        <w:spacing w:before="29"/>
        <w:ind w:left="0" w:firstLine="0"/>
        <w:jc w:val="left"/>
        <w:rPr>
          <w:rFonts w:ascii="Microsoft Sans Serif"/>
          <w:sz w:val="38"/>
        </w:rPr>
      </w:pPr>
    </w:p>
    <w:p>
      <w:pPr>
        <w:pStyle w:val="Heading4"/>
      </w:pPr>
      <w:r>
        <w:rPr>
          <w:color w:val="242B67"/>
          <w:spacing w:val="-2"/>
        </w:rPr>
        <w:t>Conceito</w:t>
      </w:r>
    </w:p>
    <w:p>
      <w:pPr>
        <w:pStyle w:val="BodyText"/>
        <w:spacing w:line="280" w:lineRule="auto" w:before="131"/>
        <w:ind w:right="498"/>
      </w:pPr>
      <w:r>
        <w:rPr/>
        <w:t>A</w:t>
      </w:r>
      <w:r>
        <w:rPr>
          <w:spacing w:val="-1"/>
        </w:rPr>
        <w:t> </w:t>
      </w:r>
      <w:r>
        <w:rPr/>
        <w:t>cardiomiopatia</w:t>
      </w:r>
      <w:r>
        <w:rPr>
          <w:spacing w:val="-1"/>
        </w:rPr>
        <w:t> </w:t>
      </w:r>
      <w:r>
        <w:rPr/>
        <w:t>hipertrófica</w:t>
      </w:r>
      <w:r>
        <w:rPr>
          <w:spacing w:val="-1"/>
        </w:rPr>
        <w:t> </w:t>
      </w:r>
      <w:r>
        <w:rPr/>
        <w:t>(CMH) é</w:t>
      </w:r>
      <w:r>
        <w:rPr>
          <w:spacing w:val="-1"/>
        </w:rPr>
        <w:t> </w:t>
      </w:r>
      <w:r>
        <w:rPr/>
        <w:t>doença</w:t>
      </w:r>
      <w:r>
        <w:rPr>
          <w:spacing w:val="-1"/>
        </w:rPr>
        <w:t> </w:t>
      </w:r>
      <w:r>
        <w:rPr/>
        <w:t>primária</w:t>
      </w:r>
      <w:r>
        <w:rPr>
          <w:spacing w:val="-1"/>
        </w:rPr>
        <w:t> </w:t>
      </w:r>
      <w:r>
        <w:rPr/>
        <w:t>do coração caracterizada</w:t>
      </w:r>
      <w:r>
        <w:rPr>
          <w:spacing w:val="-1"/>
        </w:rPr>
        <w:t> </w:t>
      </w:r>
      <w:r>
        <w:rPr/>
        <w:t>por hipertrofia</w:t>
      </w:r>
      <w:r>
        <w:rPr>
          <w:spacing w:val="-1"/>
        </w:rPr>
        <w:t> </w:t>
      </w:r>
      <w:r>
        <w:rPr/>
        <w:t>do miocárdio, aumento da espessura das paredes sem dilatação ventricular, na ausência de doenças cardíacas ou sistêmicas que possam levar à hipertrofia. A hipertrofia geralmente é assimétrica e a cavidade do VE é normal ou reduzida, havendo importante disfunção diastólica com função sistólica normal. Entretanto, aproximadamente 10% dos pacientes podem evoluir tardiamente</w:t>
      </w:r>
      <w:r>
        <w:rPr>
          <w:spacing w:val="-2"/>
        </w:rPr>
        <w:t> </w:t>
      </w:r>
      <w:r>
        <w:rPr/>
        <w:t>para</w:t>
      </w:r>
      <w:r>
        <w:rPr>
          <w:spacing w:val="-2"/>
        </w:rPr>
        <w:t> </w:t>
      </w:r>
      <w:r>
        <w:rPr/>
        <w:t>dilatação do VE com função sistólica</w:t>
      </w:r>
      <w:r>
        <w:rPr>
          <w:spacing w:val="-2"/>
        </w:rPr>
        <w:t> </w:t>
      </w:r>
      <w:r>
        <w:rPr/>
        <w:t>diminuída.</w:t>
      </w:r>
      <w:r>
        <w:rPr>
          <w:vertAlign w:val="superscript"/>
        </w:rPr>
        <w:t>1</w:t>
      </w:r>
    </w:p>
    <w:p>
      <w:pPr>
        <w:pStyle w:val="BodyText"/>
        <w:spacing w:before="176"/>
        <w:ind w:left="0" w:firstLine="0"/>
        <w:jc w:val="left"/>
      </w:pPr>
    </w:p>
    <w:p>
      <w:pPr>
        <w:pStyle w:val="Heading4"/>
      </w:pPr>
      <w:r>
        <w:rPr>
          <w:color w:val="242B67"/>
          <w:spacing w:val="-2"/>
        </w:rPr>
        <w:t>Epidemiologia</w:t>
      </w:r>
    </w:p>
    <w:p>
      <w:pPr>
        <w:pStyle w:val="BodyText"/>
        <w:spacing w:line="283" w:lineRule="auto" w:before="132"/>
        <w:ind w:right="488"/>
      </w:pPr>
      <w:r>
        <w:rPr/>
        <w:t>A prevalência de CMH na população geral é de cerca de 0,2% (1 em 500) e de 0,5% entre os portadores de cardiopatia. Dessa</w:t>
      </w:r>
      <w:r>
        <w:rPr>
          <w:spacing w:val="-7"/>
        </w:rPr>
        <w:t> </w:t>
      </w:r>
      <w:r>
        <w:rPr/>
        <w:t>forma, a</w:t>
      </w:r>
      <w:r>
        <w:rPr>
          <w:spacing w:val="-7"/>
        </w:rPr>
        <w:t> </w:t>
      </w:r>
      <w:r>
        <w:rPr/>
        <w:t>CMH</w:t>
      </w:r>
      <w:r>
        <w:rPr>
          <w:spacing w:val="-7"/>
        </w:rPr>
        <w:t> </w:t>
      </w:r>
      <w:r>
        <w:rPr/>
        <w:t>é</w:t>
      </w:r>
      <w:r>
        <w:rPr>
          <w:spacing w:val="-7"/>
        </w:rPr>
        <w:t> </w:t>
      </w:r>
      <w:r>
        <w:rPr/>
        <w:t>a</w:t>
      </w:r>
      <w:r>
        <w:rPr>
          <w:spacing w:val="-7"/>
        </w:rPr>
        <w:t> </w:t>
      </w:r>
      <w:r>
        <w:rPr/>
        <w:t>doença</w:t>
      </w:r>
      <w:r>
        <w:rPr>
          <w:spacing w:val="-7"/>
        </w:rPr>
        <w:t> </w:t>
      </w:r>
      <w:r>
        <w:rPr/>
        <w:t>cardíaca</w:t>
      </w:r>
      <w:r>
        <w:rPr>
          <w:spacing w:val="-7"/>
        </w:rPr>
        <w:t> </w:t>
      </w:r>
      <w:r>
        <w:rPr/>
        <w:t>mais comum</w:t>
      </w:r>
      <w:r>
        <w:rPr>
          <w:spacing w:val="-5"/>
        </w:rPr>
        <w:t> </w:t>
      </w:r>
      <w:r>
        <w:rPr/>
        <w:t>transmitida</w:t>
      </w:r>
      <w:r>
        <w:rPr>
          <w:spacing w:val="-7"/>
        </w:rPr>
        <w:t> </w:t>
      </w:r>
      <w:r>
        <w:rPr/>
        <w:t>geneticamente. A</w:t>
      </w:r>
      <w:r>
        <w:rPr>
          <w:spacing w:val="-7"/>
        </w:rPr>
        <w:t> </w:t>
      </w:r>
      <w:r>
        <w:rPr/>
        <w:t>mortalidade</w:t>
      </w:r>
      <w:r>
        <w:rPr>
          <w:spacing w:val="-7"/>
        </w:rPr>
        <w:t> </w:t>
      </w:r>
      <w:r>
        <w:rPr/>
        <w:t>anual é de 0,5 a 1% em adultos e 6% em crianças.</w:t>
      </w:r>
      <w:r>
        <w:rPr>
          <w:vertAlign w:val="superscript"/>
        </w:rPr>
        <w:t>1–3</w:t>
      </w:r>
    </w:p>
    <w:p>
      <w:pPr>
        <w:pStyle w:val="BodyText"/>
        <w:spacing w:before="178"/>
        <w:ind w:left="0" w:firstLine="0"/>
        <w:jc w:val="left"/>
      </w:pPr>
    </w:p>
    <w:p>
      <w:pPr>
        <w:pStyle w:val="Heading4"/>
      </w:pPr>
      <w:r>
        <w:rPr>
          <w:color w:val="242B67"/>
          <w:spacing w:val="-2"/>
        </w:rPr>
        <w:t>Etiopatogenia</w:t>
      </w:r>
    </w:p>
    <w:p>
      <w:pPr>
        <w:pStyle w:val="BodyText"/>
        <w:spacing w:line="278" w:lineRule="auto" w:before="148"/>
        <w:ind w:right="498"/>
      </w:pPr>
      <w:r>
        <w:rPr/>
        <w:t>A CMH é transmitida de forma genética autossômica dominante em 50 a 63% dos casos, sendo possível nas formas familiares determinar a mutação em até 82% dos casos e nas formas esporádicas, em até 60%. Nos outros, ainda não se tem a etiologia definida, podendo ser também genética com mutações ainda não reconhecidas. Até o momento</w:t>
      </w:r>
      <w:r>
        <w:rPr>
          <w:spacing w:val="-8"/>
        </w:rPr>
        <w:t> </w:t>
      </w:r>
      <w:r>
        <w:rPr/>
        <w:t>foram</w:t>
      </w:r>
      <w:r>
        <w:rPr>
          <w:spacing w:val="-8"/>
        </w:rPr>
        <w:t> </w:t>
      </w:r>
      <w:r>
        <w:rPr/>
        <w:t>identificadas alterações em</w:t>
      </w:r>
      <w:r>
        <w:rPr>
          <w:spacing w:val="-8"/>
        </w:rPr>
        <w:t> </w:t>
      </w:r>
      <w:r>
        <w:rPr/>
        <w:t>19</w:t>
      </w:r>
      <w:r>
        <w:rPr>
          <w:spacing w:val="-8"/>
        </w:rPr>
        <w:t> </w:t>
      </w:r>
      <w:r>
        <w:rPr/>
        <w:t>genes que</w:t>
      </w:r>
      <w:r>
        <w:rPr>
          <w:spacing w:val="-11"/>
        </w:rPr>
        <w:t> </w:t>
      </w:r>
      <w:r>
        <w:rPr/>
        <w:t>codificam</w:t>
      </w:r>
      <w:r>
        <w:rPr>
          <w:spacing w:val="-8"/>
        </w:rPr>
        <w:t> </w:t>
      </w:r>
      <w:r>
        <w:rPr/>
        <w:t>proteínas do</w:t>
      </w:r>
      <w:r>
        <w:rPr>
          <w:spacing w:val="-8"/>
        </w:rPr>
        <w:t> </w:t>
      </w:r>
      <w:r>
        <w:rPr/>
        <w:t>miofilamento</w:t>
      </w:r>
      <w:r>
        <w:rPr>
          <w:spacing w:val="-8"/>
        </w:rPr>
        <w:t> </w:t>
      </w:r>
      <w:r>
        <w:rPr/>
        <w:t>cardíaco, do</w:t>
      </w:r>
      <w:r>
        <w:rPr>
          <w:spacing w:val="-8"/>
        </w:rPr>
        <w:t> </w:t>
      </w:r>
      <w:r>
        <w:rPr/>
        <w:t>disco</w:t>
      </w:r>
      <w:r>
        <w:rPr>
          <w:spacing w:val="-8"/>
        </w:rPr>
        <w:t> </w:t>
      </w:r>
      <w:r>
        <w:rPr/>
        <w:t>Z e controladores do cálcio, são eles: gene da cadeia pesada da b-miosina cardíaca, troponina T cardíaca, a-tropomiosina, proteína</w:t>
      </w:r>
      <w:r>
        <w:rPr>
          <w:spacing w:val="-6"/>
        </w:rPr>
        <w:t> </w:t>
      </w:r>
      <w:r>
        <w:rPr/>
        <w:t>C de</w:t>
      </w:r>
      <w:r>
        <w:rPr>
          <w:spacing w:val="-6"/>
        </w:rPr>
        <w:t> </w:t>
      </w:r>
      <w:r>
        <w:rPr/>
        <w:t>ligação</w:t>
      </w:r>
      <w:r>
        <w:rPr>
          <w:spacing w:val="-4"/>
        </w:rPr>
        <w:t> </w:t>
      </w:r>
      <w:r>
        <w:rPr/>
        <w:t>à</w:t>
      </w:r>
      <w:r>
        <w:rPr>
          <w:spacing w:val="-6"/>
        </w:rPr>
        <w:t> </w:t>
      </w:r>
      <w:r>
        <w:rPr/>
        <w:t>miosina, cadeia</w:t>
      </w:r>
      <w:r>
        <w:rPr>
          <w:spacing w:val="-6"/>
        </w:rPr>
        <w:t> </w:t>
      </w:r>
      <w:r>
        <w:rPr/>
        <w:t>leve</w:t>
      </w:r>
      <w:r>
        <w:rPr>
          <w:spacing w:val="-6"/>
        </w:rPr>
        <w:t> </w:t>
      </w:r>
      <w:r>
        <w:rPr/>
        <w:t>da</w:t>
      </w:r>
      <w:r>
        <w:rPr>
          <w:spacing w:val="-6"/>
        </w:rPr>
        <w:t> </w:t>
      </w:r>
      <w:r>
        <w:rPr/>
        <w:t>miosina</w:t>
      </w:r>
      <w:r>
        <w:rPr>
          <w:spacing w:val="-6"/>
        </w:rPr>
        <w:t> </w:t>
      </w:r>
      <w:r>
        <w:rPr/>
        <w:t>regulatória, cadeia</w:t>
      </w:r>
      <w:r>
        <w:rPr>
          <w:spacing w:val="-6"/>
        </w:rPr>
        <w:t> </w:t>
      </w:r>
      <w:r>
        <w:rPr/>
        <w:t>leve</w:t>
      </w:r>
      <w:r>
        <w:rPr>
          <w:spacing w:val="-6"/>
        </w:rPr>
        <w:t> </w:t>
      </w:r>
      <w:r>
        <w:rPr/>
        <w:t>da</w:t>
      </w:r>
      <w:r>
        <w:rPr>
          <w:spacing w:val="-6"/>
        </w:rPr>
        <w:t> </w:t>
      </w:r>
      <w:r>
        <w:rPr/>
        <w:t>miosina</w:t>
      </w:r>
      <w:r>
        <w:rPr>
          <w:spacing w:val="-6"/>
        </w:rPr>
        <w:t> </w:t>
      </w:r>
      <w:r>
        <w:rPr/>
        <w:t>essencial, troponina I cardíaca, actina cardíaca a, titina, cadeia pesada da a-miosina cardíaca, troponina C, proteína muscular LIM,</w:t>
      </w:r>
      <w:r>
        <w:rPr>
          <w:spacing w:val="-1"/>
        </w:rPr>
        <w:t> </w:t>
      </w:r>
      <w:r>
        <w:rPr/>
        <w:t>teletonina,</w:t>
      </w:r>
      <w:r>
        <w:rPr>
          <w:spacing w:val="-1"/>
        </w:rPr>
        <w:t> </w:t>
      </w:r>
      <w:r>
        <w:rPr/>
        <w:t>domínio</w:t>
      </w:r>
      <w:r>
        <w:rPr>
          <w:spacing w:val="-9"/>
        </w:rPr>
        <w:t> </w:t>
      </w:r>
      <w:r>
        <w:rPr/>
        <w:t>3</w:t>
      </w:r>
      <w:r>
        <w:rPr>
          <w:spacing w:val="-9"/>
        </w:rPr>
        <w:t> </w:t>
      </w:r>
      <w:r>
        <w:rPr/>
        <w:t>de</w:t>
      </w:r>
      <w:r>
        <w:rPr>
          <w:spacing w:val="-11"/>
        </w:rPr>
        <w:t> </w:t>
      </w:r>
      <w:r>
        <w:rPr/>
        <w:t>ligação</w:t>
      </w:r>
      <w:r>
        <w:rPr>
          <w:spacing w:val="-9"/>
        </w:rPr>
        <w:t> </w:t>
      </w:r>
      <w:r>
        <w:rPr/>
        <w:t>LIM,</w:t>
      </w:r>
      <w:r>
        <w:rPr>
          <w:spacing w:val="-1"/>
        </w:rPr>
        <w:t> </w:t>
      </w:r>
      <w:r>
        <w:rPr/>
        <w:t>vinculina/metavinculina,</w:t>
      </w:r>
      <w:r>
        <w:rPr>
          <w:spacing w:val="-1"/>
        </w:rPr>
        <w:t> </w:t>
      </w:r>
      <w:r>
        <w:rPr/>
        <w:t>a-actinina,</w:t>
      </w:r>
      <w:r>
        <w:rPr>
          <w:spacing w:val="-1"/>
        </w:rPr>
        <w:t> </w:t>
      </w:r>
      <w:r>
        <w:rPr/>
        <w:t>miozenina,</w:t>
      </w:r>
      <w:r>
        <w:rPr>
          <w:spacing w:val="-1"/>
        </w:rPr>
        <w:t> </w:t>
      </w:r>
      <w:r>
        <w:rPr/>
        <w:t>nexilina,</w:t>
      </w:r>
      <w:r>
        <w:rPr>
          <w:spacing w:val="-1"/>
        </w:rPr>
        <w:t> </w:t>
      </w:r>
      <w:r>
        <w:rPr/>
        <w:t>junctofilina-2 e</w:t>
      </w:r>
      <w:r>
        <w:rPr>
          <w:spacing w:val="-3"/>
        </w:rPr>
        <w:t> </w:t>
      </w:r>
      <w:r>
        <w:rPr/>
        <w:t>fosfolambam. Atualmente</w:t>
      </w:r>
      <w:r>
        <w:rPr>
          <w:spacing w:val="-3"/>
        </w:rPr>
        <w:t> </w:t>
      </w:r>
      <w:r>
        <w:rPr/>
        <w:t>estão identificadas mais de</w:t>
      </w:r>
      <w:r>
        <w:rPr>
          <w:spacing w:val="-3"/>
        </w:rPr>
        <w:t> </w:t>
      </w:r>
      <w:r>
        <w:rPr/>
        <w:t>900 mutações, e</w:t>
      </w:r>
      <w:r>
        <w:rPr>
          <w:spacing w:val="-3"/>
        </w:rPr>
        <w:t> </w:t>
      </w:r>
      <w:r>
        <w:rPr/>
        <w:t>mais da</w:t>
      </w:r>
      <w:r>
        <w:rPr>
          <w:spacing w:val="-3"/>
        </w:rPr>
        <w:t> </w:t>
      </w:r>
      <w:r>
        <w:rPr/>
        <w:t>metade</w:t>
      </w:r>
      <w:r>
        <w:rPr>
          <w:spacing w:val="-3"/>
        </w:rPr>
        <w:t> </w:t>
      </w:r>
      <w:r>
        <w:rPr/>
        <w:t>delas ocorre</w:t>
      </w:r>
      <w:r>
        <w:rPr>
          <w:spacing w:val="-3"/>
        </w:rPr>
        <w:t> </w:t>
      </w:r>
      <w:r>
        <w:rPr/>
        <w:t>nos genes da cadeia pesada da b-miosina cardíaca, da proteína C de ligação à miosina e da troponina T.</w:t>
      </w:r>
      <w:r>
        <w:rPr>
          <w:vertAlign w:val="superscript"/>
        </w:rPr>
        <w:t>4–6</w:t>
      </w:r>
    </w:p>
    <w:p>
      <w:pPr>
        <w:pStyle w:val="BodyText"/>
        <w:spacing w:before="176"/>
        <w:ind w:left="0" w:firstLine="0"/>
        <w:jc w:val="left"/>
      </w:pPr>
    </w:p>
    <w:p>
      <w:pPr>
        <w:pStyle w:val="Heading4"/>
      </w:pPr>
      <w:r>
        <w:rPr>
          <w:color w:val="242B67"/>
          <w:spacing w:val="-2"/>
        </w:rPr>
        <w:t>Fisiopatologia</w:t>
      </w:r>
    </w:p>
    <w:p>
      <w:pPr>
        <w:pStyle w:val="BodyText"/>
        <w:spacing w:line="276" w:lineRule="auto" w:before="132"/>
        <w:ind w:right="488"/>
      </w:pPr>
      <w:r>
        <w:rPr/>
        <w:t>O mecanismo molecular na CH não é conhecido, porém as possíveis vias incluem: aumento da fibrose miocárdica, alteração do ciclo do cálcio, do estresse mecânico e da homeostase energética que associadas levam a modificações anatômicas, as quais determinam disfunções que podem se manifestar clinicamente. Assim, as alterações fisiopatológicas observadas são: disfunção diastólica por alteração do relaxamento ventricular e da distensibilidade ventricular,</w:t>
      </w:r>
      <w:r>
        <w:rPr>
          <w:spacing w:val="21"/>
        </w:rPr>
        <w:t> </w:t>
      </w:r>
      <w:r>
        <w:rPr/>
        <w:t>a isquemia e a obstrução</w:t>
      </w:r>
      <w:r>
        <w:rPr>
          <w:spacing w:val="13"/>
        </w:rPr>
        <w:t> </w:t>
      </w:r>
      <w:r>
        <w:rPr/>
        <w:t>da via de saída do</w:t>
      </w:r>
      <w:r>
        <w:rPr>
          <w:spacing w:val="13"/>
        </w:rPr>
        <w:t> </w:t>
      </w:r>
      <w:r>
        <w:rPr/>
        <w:t>ventrículo</w:t>
      </w:r>
      <w:r>
        <w:rPr>
          <w:spacing w:val="13"/>
        </w:rPr>
        <w:t> </w:t>
      </w:r>
      <w:r>
        <w:rPr/>
        <w:t>esquerdo</w:t>
      </w:r>
      <w:r>
        <w:rPr>
          <w:spacing w:val="13"/>
        </w:rPr>
        <w:t> </w:t>
      </w:r>
      <w:r>
        <w:rPr/>
        <w:t>(VSVE)</w:t>
      </w:r>
      <w:r>
        <w:rPr>
          <w:spacing w:val="18"/>
        </w:rPr>
        <w:t> </w:t>
      </w:r>
      <w:r>
        <w:rPr/>
        <w:t>em</w:t>
      </w:r>
      <w:r>
        <w:rPr>
          <w:spacing w:val="13"/>
        </w:rPr>
        <w:t> </w:t>
      </w:r>
      <w:r>
        <w:rPr/>
        <w:t>mais</w:t>
      </w:r>
      <w:r>
        <w:rPr>
          <w:spacing w:val="21"/>
        </w:rPr>
        <w:t> </w:t>
      </w:r>
      <w:r>
        <w:rPr/>
        <w:t>de</w:t>
      </w:r>
    </w:p>
    <w:p>
      <w:pPr>
        <w:pStyle w:val="BodyText"/>
        <w:spacing w:after="0" w:line="276" w:lineRule="auto"/>
        <w:sectPr>
          <w:pgSz w:w="11900" w:h="16840"/>
          <w:pgMar w:top="220" w:bottom="280" w:left="566" w:right="141"/>
        </w:sectPr>
      </w:pPr>
    </w:p>
    <w:p>
      <w:pPr>
        <w:pStyle w:val="BodyText"/>
        <w:spacing w:before="83"/>
        <w:ind w:firstLine="0"/>
        <w:jc w:val="left"/>
      </w:pPr>
      <w:r>
        <w:rPr/>
        <w:t>75%</w:t>
      </w:r>
      <w:r>
        <w:rPr>
          <w:spacing w:val="-2"/>
        </w:rPr>
        <w:t> </w:t>
      </w:r>
      <w:r>
        <w:rPr/>
        <w:t>dos</w:t>
      </w:r>
      <w:r>
        <w:rPr>
          <w:spacing w:val="4"/>
        </w:rPr>
        <w:t> </w:t>
      </w:r>
      <w:r>
        <w:rPr>
          <w:spacing w:val="-2"/>
        </w:rPr>
        <w:t>pacientes.</w:t>
      </w:r>
      <w:r>
        <w:rPr>
          <w:spacing w:val="-2"/>
          <w:vertAlign w:val="superscript"/>
        </w:rPr>
        <w:t>7,8</w:t>
      </w:r>
    </w:p>
    <w:p>
      <w:pPr>
        <w:pStyle w:val="BodyText"/>
        <w:spacing w:before="222"/>
        <w:ind w:left="0" w:firstLine="0"/>
        <w:jc w:val="left"/>
      </w:pPr>
    </w:p>
    <w:p>
      <w:pPr>
        <w:pStyle w:val="Heading4"/>
      </w:pPr>
      <w:r>
        <w:rPr>
          <w:color w:val="242B67"/>
        </w:rPr>
        <w:t>Anatomia </w:t>
      </w:r>
      <w:r>
        <w:rPr>
          <w:color w:val="242B67"/>
          <w:spacing w:val="-2"/>
        </w:rPr>
        <w:t>patológica</w:t>
      </w:r>
    </w:p>
    <w:p>
      <w:pPr>
        <w:pStyle w:val="BodyText"/>
        <w:spacing w:line="278" w:lineRule="auto" w:before="132"/>
        <w:ind w:right="491"/>
      </w:pPr>
      <w:r>
        <w:rPr/>
        <w:t>As alterações constatadas em necropsia incluem: hipertrofia do VE com espessamento maior do septo interventricular (SIV) em relação à parede livre; cavidade ventricular normal; átrio esquerdo (AE) dilatado e valva mitral (VM) com alterações em 49% dos casos; placa de fibrose no SIV em VSVE, no local de choque do folheto anterior da</w:t>
      </w:r>
      <w:r>
        <w:rPr>
          <w:spacing w:val="-8"/>
        </w:rPr>
        <w:t> </w:t>
      </w:r>
      <w:r>
        <w:rPr/>
        <w:t>VM;</w:t>
      </w:r>
      <w:r>
        <w:rPr>
          <w:spacing w:val="-3"/>
        </w:rPr>
        <w:t> </w:t>
      </w:r>
      <w:r>
        <w:rPr/>
        <w:t>pequenas artérias intramurais com</w:t>
      </w:r>
      <w:r>
        <w:rPr>
          <w:spacing w:val="-5"/>
        </w:rPr>
        <w:t> </w:t>
      </w:r>
      <w:r>
        <w:rPr/>
        <w:t>espessamento</w:t>
      </w:r>
      <w:r>
        <w:rPr>
          <w:spacing w:val="-5"/>
        </w:rPr>
        <w:t> </w:t>
      </w:r>
      <w:r>
        <w:rPr/>
        <w:t>da</w:t>
      </w:r>
      <w:r>
        <w:rPr>
          <w:spacing w:val="-8"/>
        </w:rPr>
        <w:t> </w:t>
      </w:r>
      <w:r>
        <w:rPr/>
        <w:t>camada</w:t>
      </w:r>
      <w:r>
        <w:rPr>
          <w:spacing w:val="-8"/>
        </w:rPr>
        <w:t> </w:t>
      </w:r>
      <w:r>
        <w:rPr/>
        <w:t>média</w:t>
      </w:r>
      <w:r>
        <w:rPr>
          <w:spacing w:val="-8"/>
        </w:rPr>
        <w:t> </w:t>
      </w:r>
      <w:r>
        <w:rPr/>
        <w:t>e</w:t>
      </w:r>
      <w:r>
        <w:rPr>
          <w:spacing w:val="-8"/>
        </w:rPr>
        <w:t> </w:t>
      </w:r>
      <w:r>
        <w:rPr/>
        <w:t>diminuição</w:t>
      </w:r>
      <w:r>
        <w:rPr>
          <w:spacing w:val="-5"/>
        </w:rPr>
        <w:t> </w:t>
      </w:r>
      <w:r>
        <w:rPr/>
        <w:t>do</w:t>
      </w:r>
      <w:r>
        <w:rPr>
          <w:spacing w:val="-5"/>
        </w:rPr>
        <w:t> </w:t>
      </w:r>
      <w:r>
        <w:rPr/>
        <w:t>lúmen</w:t>
      </w:r>
      <w:r>
        <w:rPr>
          <w:spacing w:val="-5"/>
        </w:rPr>
        <w:t> </w:t>
      </w:r>
      <w:r>
        <w:rPr/>
        <w:t>em</w:t>
      </w:r>
      <w:r>
        <w:rPr>
          <w:spacing w:val="-5"/>
        </w:rPr>
        <w:t> </w:t>
      </w:r>
      <w:r>
        <w:rPr/>
        <w:t>80% dos casos; alteração da</w:t>
      </w:r>
      <w:r>
        <w:rPr>
          <w:spacing w:val="-2"/>
        </w:rPr>
        <w:t> </w:t>
      </w:r>
      <w:r>
        <w:rPr/>
        <w:t>arquitetura</w:t>
      </w:r>
      <w:r>
        <w:rPr>
          <w:spacing w:val="-2"/>
        </w:rPr>
        <w:t> </w:t>
      </w:r>
      <w:r>
        <w:rPr/>
        <w:t>miocárdica</w:t>
      </w:r>
      <w:r>
        <w:rPr>
          <w:spacing w:val="-2"/>
        </w:rPr>
        <w:t> </w:t>
      </w:r>
      <w:r>
        <w:rPr/>
        <w:t>por hipertrofia</w:t>
      </w:r>
      <w:r>
        <w:rPr>
          <w:spacing w:val="-2"/>
        </w:rPr>
        <w:t> </w:t>
      </w:r>
      <w:r>
        <w:rPr/>
        <w:t>e</w:t>
      </w:r>
      <w:r>
        <w:rPr>
          <w:spacing w:val="-2"/>
        </w:rPr>
        <w:t> </w:t>
      </w:r>
      <w:r>
        <w:rPr/>
        <w:t>desarranjo das fibras, assim como das miofibrilas e da matriz extracelular, com aumento do colágeno e destruição das fibras elásticas.</w:t>
      </w:r>
      <w:r>
        <w:rPr>
          <w:vertAlign w:val="superscript"/>
        </w:rPr>
        <w:t>7,8</w:t>
      </w:r>
    </w:p>
    <w:p>
      <w:pPr>
        <w:pStyle w:val="BodyText"/>
        <w:spacing w:before="186"/>
        <w:ind w:left="0" w:firstLine="0"/>
        <w:jc w:val="left"/>
      </w:pPr>
    </w:p>
    <w:p>
      <w:pPr>
        <w:pStyle w:val="Heading4"/>
        <w:spacing w:before="1"/>
      </w:pPr>
      <w:r>
        <w:rPr>
          <w:color w:val="242B67"/>
        </w:rPr>
        <w:t>Quadro </w:t>
      </w:r>
      <w:r>
        <w:rPr>
          <w:color w:val="242B67"/>
          <w:spacing w:val="-2"/>
        </w:rPr>
        <w:t>clínico</w:t>
      </w:r>
    </w:p>
    <w:p>
      <w:pPr>
        <w:pStyle w:val="BodyText"/>
        <w:spacing w:line="280" w:lineRule="auto" w:before="147"/>
        <w:ind w:right="491"/>
      </w:pPr>
      <w:r>
        <w:rPr/>
        <w:t>A doença costuma ser diagnosticada entre os 30 e 40 anos de idade, embora seja encontrada também em natimortos e octogenários. A maioria dos pacientes é assintomática, porém, muitas vezes, a morte súbita, que é a forma mais frequente de morte, pode ser a única manifestação da CMH e ocorre, principalmente, em pacientes </w:t>
      </w:r>
      <w:r>
        <w:rPr>
          <w:spacing w:val="-2"/>
        </w:rPr>
        <w:t>jovens.</w:t>
      </w:r>
      <w:r>
        <w:rPr>
          <w:spacing w:val="-2"/>
          <w:vertAlign w:val="superscript"/>
        </w:rPr>
        <w:t>7</w:t>
      </w:r>
    </w:p>
    <w:p>
      <w:pPr>
        <w:pStyle w:val="BodyText"/>
        <w:spacing w:line="276" w:lineRule="auto" w:before="44"/>
        <w:ind w:right="488"/>
      </w:pPr>
      <w:r>
        <w:rPr/>
        <w:t>Os sintomas, por ordem de frequência, são: dispneia, precordialgia, palpitações, síncope e pré-síncope. A intensidade</w:t>
      </w:r>
      <w:r>
        <w:rPr>
          <w:spacing w:val="-6"/>
        </w:rPr>
        <w:t> </w:t>
      </w:r>
      <w:r>
        <w:rPr/>
        <w:t>de</w:t>
      </w:r>
      <w:r>
        <w:rPr>
          <w:spacing w:val="-6"/>
        </w:rPr>
        <w:t> </w:t>
      </w:r>
      <w:r>
        <w:rPr/>
        <w:t>cada</w:t>
      </w:r>
      <w:r>
        <w:rPr>
          <w:spacing w:val="-6"/>
        </w:rPr>
        <w:t> </w:t>
      </w:r>
      <w:r>
        <w:rPr/>
        <w:t>um</w:t>
      </w:r>
      <w:r>
        <w:rPr>
          <w:spacing w:val="-4"/>
        </w:rPr>
        <w:t> </w:t>
      </w:r>
      <w:r>
        <w:rPr/>
        <w:t>deles depende</w:t>
      </w:r>
      <w:r>
        <w:rPr>
          <w:spacing w:val="-6"/>
        </w:rPr>
        <w:t> </w:t>
      </w:r>
      <w:r>
        <w:rPr/>
        <w:t>da</w:t>
      </w:r>
      <w:r>
        <w:rPr>
          <w:spacing w:val="-6"/>
        </w:rPr>
        <w:t> </w:t>
      </w:r>
      <w:r>
        <w:rPr/>
        <w:t>combinação</w:t>
      </w:r>
      <w:r>
        <w:rPr>
          <w:spacing w:val="-4"/>
        </w:rPr>
        <w:t> </w:t>
      </w:r>
      <w:r>
        <w:rPr/>
        <w:t>dos quatro</w:t>
      </w:r>
      <w:r>
        <w:rPr>
          <w:spacing w:val="-4"/>
        </w:rPr>
        <w:t> </w:t>
      </w:r>
      <w:r>
        <w:rPr/>
        <w:t>componentes fisiopatológicos que</w:t>
      </w:r>
      <w:r>
        <w:rPr>
          <w:spacing w:val="-6"/>
        </w:rPr>
        <w:t> </w:t>
      </w:r>
      <w:r>
        <w:rPr/>
        <w:t>são</w:t>
      </w:r>
      <w:r>
        <w:rPr>
          <w:spacing w:val="-4"/>
        </w:rPr>
        <w:t> </w:t>
      </w:r>
      <w:r>
        <w:rPr/>
        <w:t>a</w:t>
      </w:r>
      <w:r>
        <w:rPr>
          <w:spacing w:val="-6"/>
        </w:rPr>
        <w:t> </w:t>
      </w:r>
      <w:r>
        <w:rPr/>
        <w:t>disfunção diastólica, a isquemia, as arritmias e a obstrução. A dispneia está relacionada com a disfunção diastólica por aumento</w:t>
      </w:r>
      <w:r>
        <w:rPr>
          <w:spacing w:val="-4"/>
        </w:rPr>
        <w:t> </w:t>
      </w:r>
      <w:r>
        <w:rPr/>
        <w:t>do</w:t>
      </w:r>
      <w:r>
        <w:rPr>
          <w:spacing w:val="-4"/>
        </w:rPr>
        <w:t> </w:t>
      </w:r>
      <w:r>
        <w:rPr/>
        <w:t>tempo</w:t>
      </w:r>
      <w:r>
        <w:rPr>
          <w:spacing w:val="-4"/>
        </w:rPr>
        <w:t> </w:t>
      </w:r>
      <w:r>
        <w:rPr/>
        <w:t>de</w:t>
      </w:r>
      <w:r>
        <w:rPr>
          <w:spacing w:val="-6"/>
        </w:rPr>
        <w:t> </w:t>
      </w:r>
      <w:r>
        <w:rPr/>
        <w:t>relaxamento</w:t>
      </w:r>
      <w:r>
        <w:rPr>
          <w:spacing w:val="-4"/>
        </w:rPr>
        <w:t> </w:t>
      </w:r>
      <w:r>
        <w:rPr/>
        <w:t>isovolumétrico</w:t>
      </w:r>
      <w:r>
        <w:rPr>
          <w:spacing w:val="-4"/>
        </w:rPr>
        <w:t> </w:t>
      </w:r>
      <w:r>
        <w:rPr/>
        <w:t>associado</w:t>
      </w:r>
      <w:r>
        <w:rPr>
          <w:spacing w:val="-4"/>
        </w:rPr>
        <w:t> </w:t>
      </w:r>
      <w:r>
        <w:rPr/>
        <w:t>à</w:t>
      </w:r>
      <w:r>
        <w:rPr>
          <w:spacing w:val="-6"/>
        </w:rPr>
        <w:t> </w:t>
      </w:r>
      <w:r>
        <w:rPr/>
        <w:t>isquemia, e</w:t>
      </w:r>
      <w:r>
        <w:rPr>
          <w:spacing w:val="-6"/>
        </w:rPr>
        <w:t> </w:t>
      </w:r>
      <w:r>
        <w:rPr/>
        <w:t>diminuição</w:t>
      </w:r>
      <w:r>
        <w:rPr>
          <w:spacing w:val="-4"/>
        </w:rPr>
        <w:t> </w:t>
      </w:r>
      <w:r>
        <w:rPr/>
        <w:t>da</w:t>
      </w:r>
      <w:r>
        <w:rPr>
          <w:spacing w:val="-6"/>
        </w:rPr>
        <w:t> </w:t>
      </w:r>
      <w:r>
        <w:rPr/>
        <w:t>distensibilidade</w:t>
      </w:r>
      <w:r>
        <w:rPr>
          <w:spacing w:val="-6"/>
        </w:rPr>
        <w:t> </w:t>
      </w:r>
      <w:r>
        <w:rPr/>
        <w:t>associada à fibrose e ao desarranjo das fibras miocárdicas. Isso vai determinar diminuição do enchimento ventricular e elevação da pressão diastólica final do VE, com consequente aumento das pressões atrial esquerda e venosa </w:t>
      </w:r>
      <w:r>
        <w:rPr>
          <w:spacing w:val="-2"/>
        </w:rPr>
        <w:t>pulmonar.</w:t>
      </w:r>
    </w:p>
    <w:p>
      <w:pPr>
        <w:pStyle w:val="BodyText"/>
        <w:spacing w:line="278" w:lineRule="auto"/>
        <w:ind w:right="488"/>
      </w:pPr>
      <w:r>
        <w:rPr/>
        <w:t>A</w:t>
      </w:r>
      <w:r>
        <w:rPr>
          <w:spacing w:val="-6"/>
        </w:rPr>
        <w:t> </w:t>
      </w:r>
      <w:r>
        <w:rPr/>
        <w:t>dor precordial</w:t>
      </w:r>
      <w:r>
        <w:rPr>
          <w:spacing w:val="-1"/>
        </w:rPr>
        <w:t> </w:t>
      </w:r>
      <w:r>
        <w:rPr/>
        <w:t>resulta</w:t>
      </w:r>
      <w:r>
        <w:rPr>
          <w:spacing w:val="-6"/>
        </w:rPr>
        <w:t> </w:t>
      </w:r>
      <w:r>
        <w:rPr/>
        <w:t>de</w:t>
      </w:r>
      <w:r>
        <w:rPr>
          <w:spacing w:val="-6"/>
        </w:rPr>
        <w:t> </w:t>
      </w:r>
      <w:r>
        <w:rPr/>
        <w:t>aumento</w:t>
      </w:r>
      <w:r>
        <w:rPr>
          <w:spacing w:val="-3"/>
        </w:rPr>
        <w:t> </w:t>
      </w:r>
      <w:r>
        <w:rPr/>
        <w:t>excessivo</w:t>
      </w:r>
      <w:r>
        <w:rPr>
          <w:spacing w:val="-3"/>
        </w:rPr>
        <w:t> </w:t>
      </w:r>
      <w:r>
        <w:rPr/>
        <w:t>da</w:t>
      </w:r>
      <w:r>
        <w:rPr>
          <w:spacing w:val="-6"/>
        </w:rPr>
        <w:t> </w:t>
      </w:r>
      <w:r>
        <w:rPr/>
        <w:t>massa</w:t>
      </w:r>
      <w:r>
        <w:rPr>
          <w:spacing w:val="-6"/>
        </w:rPr>
        <w:t> </w:t>
      </w:r>
      <w:r>
        <w:rPr/>
        <w:t>muscular, com</w:t>
      </w:r>
      <w:r>
        <w:rPr>
          <w:spacing w:val="-3"/>
        </w:rPr>
        <w:t> </w:t>
      </w:r>
      <w:r>
        <w:rPr/>
        <w:t>consequente</w:t>
      </w:r>
      <w:r>
        <w:rPr>
          <w:spacing w:val="-6"/>
        </w:rPr>
        <w:t> </w:t>
      </w:r>
      <w:r>
        <w:rPr/>
        <w:t>desequilíbrio</w:t>
      </w:r>
      <w:r>
        <w:rPr>
          <w:spacing w:val="-3"/>
        </w:rPr>
        <w:t> </w:t>
      </w:r>
      <w:r>
        <w:rPr/>
        <w:t>entre</w:t>
      </w:r>
      <w:r>
        <w:rPr>
          <w:spacing w:val="-6"/>
        </w:rPr>
        <w:t> </w:t>
      </w:r>
      <w:r>
        <w:rPr/>
        <w:t>a</w:t>
      </w:r>
      <w:r>
        <w:rPr>
          <w:spacing w:val="-6"/>
        </w:rPr>
        <w:t> </w:t>
      </w:r>
      <w:r>
        <w:rPr/>
        <w:t>oferta e a demanda de oxigênio, assim como da anormalidade das pequenas artérias intramurais ou dificuldade de enchimento destas durante a diástole, por causa da pressão diastólica elevada. Em alguns casos, pode levar ao aparecimento de áreas de fibrose no miocárdio, na ausência de lesões obstrutivas das artérias coronárias. As palpitações são queixa comum e decorrem das arritmias ventriculares e supraventriculares, frequentes nessa moléstia. Os episódios de</w:t>
      </w:r>
      <w:r>
        <w:rPr>
          <w:spacing w:val="-1"/>
        </w:rPr>
        <w:t> </w:t>
      </w:r>
      <w:r>
        <w:rPr/>
        <w:t>síncope</w:t>
      </w:r>
      <w:r>
        <w:rPr>
          <w:spacing w:val="-1"/>
        </w:rPr>
        <w:t> </w:t>
      </w:r>
      <w:r>
        <w:rPr/>
        <w:t>e</w:t>
      </w:r>
      <w:r>
        <w:rPr>
          <w:spacing w:val="-1"/>
        </w:rPr>
        <w:t> </w:t>
      </w:r>
      <w:r>
        <w:rPr/>
        <w:t>pré-síncope</w:t>
      </w:r>
      <w:r>
        <w:rPr>
          <w:spacing w:val="-1"/>
        </w:rPr>
        <w:t> </w:t>
      </w:r>
      <w:r>
        <w:rPr/>
        <w:t>geralmente</w:t>
      </w:r>
      <w:r>
        <w:rPr>
          <w:spacing w:val="-1"/>
        </w:rPr>
        <w:t> </w:t>
      </w:r>
      <w:r>
        <w:rPr/>
        <w:t>estão associados à</w:t>
      </w:r>
      <w:r>
        <w:rPr>
          <w:spacing w:val="-1"/>
        </w:rPr>
        <w:t> </w:t>
      </w:r>
      <w:r>
        <w:rPr/>
        <w:t>incapacidade</w:t>
      </w:r>
      <w:r>
        <w:rPr>
          <w:spacing w:val="-1"/>
        </w:rPr>
        <w:t> </w:t>
      </w:r>
      <w:r>
        <w:rPr/>
        <w:t>do VE em aumentar o débito</w:t>
      </w:r>
      <w:r>
        <w:rPr>
          <w:spacing w:val="-7"/>
        </w:rPr>
        <w:t> </w:t>
      </w:r>
      <w:r>
        <w:rPr/>
        <w:t>cardíaco</w:t>
      </w:r>
      <w:r>
        <w:rPr>
          <w:spacing w:val="-7"/>
        </w:rPr>
        <w:t> </w:t>
      </w:r>
      <w:r>
        <w:rPr/>
        <w:t>durante</w:t>
      </w:r>
      <w:r>
        <w:rPr>
          <w:spacing w:val="-9"/>
        </w:rPr>
        <w:t> </w:t>
      </w:r>
      <w:r>
        <w:rPr/>
        <w:t>esforço, a</w:t>
      </w:r>
      <w:r>
        <w:rPr>
          <w:spacing w:val="-9"/>
        </w:rPr>
        <w:t> </w:t>
      </w:r>
      <w:r>
        <w:rPr/>
        <w:t>arritmias complexas, como</w:t>
      </w:r>
      <w:r>
        <w:rPr>
          <w:spacing w:val="-7"/>
        </w:rPr>
        <w:t> </w:t>
      </w:r>
      <w:r>
        <w:rPr/>
        <w:t>a</w:t>
      </w:r>
      <w:r>
        <w:rPr>
          <w:spacing w:val="-9"/>
        </w:rPr>
        <w:t> </w:t>
      </w:r>
      <w:r>
        <w:rPr/>
        <w:t>taquicardia</w:t>
      </w:r>
      <w:r>
        <w:rPr>
          <w:spacing w:val="-9"/>
        </w:rPr>
        <w:t> </w:t>
      </w:r>
      <w:r>
        <w:rPr/>
        <w:t>ventricular</w:t>
      </w:r>
      <w:r>
        <w:rPr>
          <w:spacing w:val="-2"/>
        </w:rPr>
        <w:t> </w:t>
      </w:r>
      <w:r>
        <w:rPr/>
        <w:t>não</w:t>
      </w:r>
      <w:r>
        <w:rPr>
          <w:spacing w:val="-7"/>
        </w:rPr>
        <w:t> </w:t>
      </w:r>
      <w:r>
        <w:rPr/>
        <w:t>sustentada, ou</w:t>
      </w:r>
      <w:r>
        <w:rPr>
          <w:spacing w:val="-7"/>
        </w:rPr>
        <w:t> </w:t>
      </w:r>
      <w:r>
        <w:rPr/>
        <w:t>à</w:t>
      </w:r>
      <w:r>
        <w:rPr>
          <w:spacing w:val="-9"/>
        </w:rPr>
        <w:t> </w:t>
      </w:r>
      <w:r>
        <w:rPr/>
        <w:t>resposta anormal do sistema vascular periférico ao exercício.</w:t>
      </w:r>
      <w:r>
        <w:rPr>
          <w:vertAlign w:val="superscript"/>
        </w:rPr>
        <w:t>1,7</w:t>
      </w:r>
    </w:p>
    <w:p>
      <w:pPr>
        <w:pStyle w:val="BodyText"/>
        <w:spacing w:before="181"/>
        <w:ind w:left="0" w:firstLine="0"/>
        <w:jc w:val="left"/>
      </w:pPr>
    </w:p>
    <w:p>
      <w:pPr>
        <w:pStyle w:val="Heading4"/>
      </w:pPr>
      <w:r>
        <w:rPr>
          <w:color w:val="242B67"/>
        </w:rPr>
        <w:t>Exame </w:t>
      </w:r>
      <w:r>
        <w:rPr>
          <w:color w:val="242B67"/>
          <w:spacing w:val="-2"/>
        </w:rPr>
        <w:t>físico</w:t>
      </w:r>
    </w:p>
    <w:p>
      <w:pPr>
        <w:pStyle w:val="BodyText"/>
        <w:spacing w:line="276" w:lineRule="auto" w:before="132"/>
        <w:ind w:right="491"/>
      </w:pPr>
      <w:r>
        <w:rPr/>
        <w:t>Em pacientes assintomáticos e</w:t>
      </w:r>
      <w:r>
        <w:rPr>
          <w:spacing w:val="-1"/>
        </w:rPr>
        <w:t> </w:t>
      </w:r>
      <w:r>
        <w:rPr/>
        <w:t>sem obstrução na</w:t>
      </w:r>
      <w:r>
        <w:rPr>
          <w:spacing w:val="-1"/>
        </w:rPr>
        <w:t> </w:t>
      </w:r>
      <w:r>
        <w:rPr/>
        <w:t>VSVE, o exame</w:t>
      </w:r>
      <w:r>
        <w:rPr>
          <w:spacing w:val="-1"/>
        </w:rPr>
        <w:t> </w:t>
      </w:r>
      <w:r>
        <w:rPr/>
        <w:t>físico costuma</w:t>
      </w:r>
      <w:r>
        <w:rPr>
          <w:spacing w:val="-1"/>
        </w:rPr>
        <w:t> </w:t>
      </w:r>
      <w:r>
        <w:rPr/>
        <w:t>ser normal. Em geral, o pulso venoso jugular é</w:t>
      </w:r>
      <w:r>
        <w:rPr>
          <w:spacing w:val="-2"/>
        </w:rPr>
        <w:t> </w:t>
      </w:r>
      <w:r>
        <w:rPr/>
        <w:t>normal, mas pode</w:t>
      </w:r>
      <w:r>
        <w:rPr>
          <w:spacing w:val="-2"/>
        </w:rPr>
        <w:t> </w:t>
      </w:r>
      <w:r>
        <w:rPr/>
        <w:t>apresentar onda</w:t>
      </w:r>
      <w:r>
        <w:rPr>
          <w:spacing w:val="-2"/>
        </w:rPr>
        <w:t> </w:t>
      </w:r>
      <w:r>
        <w:rPr>
          <w:i/>
        </w:rPr>
        <w:t>a </w:t>
      </w:r>
      <w:r>
        <w:rPr/>
        <w:t>elevada por causa da contração atrial acentuada resultante da diminuição</w:t>
      </w:r>
      <w:r>
        <w:rPr>
          <w:spacing w:val="-4"/>
        </w:rPr>
        <w:t> </w:t>
      </w:r>
      <w:r>
        <w:rPr/>
        <w:t>da</w:t>
      </w:r>
      <w:r>
        <w:rPr>
          <w:spacing w:val="-7"/>
        </w:rPr>
        <w:t> </w:t>
      </w:r>
      <w:r>
        <w:rPr/>
        <w:t>distensibilidade</w:t>
      </w:r>
      <w:r>
        <w:rPr>
          <w:spacing w:val="-7"/>
        </w:rPr>
        <w:t> </w:t>
      </w:r>
      <w:r>
        <w:rPr/>
        <w:t>do</w:t>
      </w:r>
      <w:r>
        <w:rPr>
          <w:spacing w:val="-4"/>
        </w:rPr>
        <w:t> </w:t>
      </w:r>
      <w:r>
        <w:rPr/>
        <w:t>ventrículo. O</w:t>
      </w:r>
      <w:r>
        <w:rPr>
          <w:spacing w:val="-7"/>
        </w:rPr>
        <w:t> </w:t>
      </w:r>
      <w:r>
        <w:rPr/>
        <w:t>pulso</w:t>
      </w:r>
      <w:r>
        <w:rPr>
          <w:spacing w:val="-4"/>
        </w:rPr>
        <w:t> </w:t>
      </w:r>
      <w:r>
        <w:rPr/>
        <w:t>carotídeo</w:t>
      </w:r>
      <w:r>
        <w:rPr>
          <w:spacing w:val="-4"/>
        </w:rPr>
        <w:t> </w:t>
      </w:r>
      <w:r>
        <w:rPr/>
        <w:t>é</w:t>
      </w:r>
      <w:r>
        <w:rPr>
          <w:spacing w:val="-7"/>
        </w:rPr>
        <w:t> </w:t>
      </w:r>
      <w:r>
        <w:rPr/>
        <w:t>característico, apresentando</w:t>
      </w:r>
      <w:r>
        <w:rPr>
          <w:spacing w:val="-4"/>
        </w:rPr>
        <w:t> </w:t>
      </w:r>
      <w:r>
        <w:rPr/>
        <w:t>ascensão</w:t>
      </w:r>
      <w:r>
        <w:rPr>
          <w:spacing w:val="-4"/>
        </w:rPr>
        <w:t> </w:t>
      </w:r>
      <w:r>
        <w:rPr/>
        <w:t>rápida, uma vez que não existe obstrução na protossístole, diminuindo na metade da sístole (aspecto digitiforme), quando aparece a obstrução para, no final, apresentar discreta elevação.</w:t>
      </w:r>
    </w:p>
    <w:p>
      <w:pPr>
        <w:pStyle w:val="BodyText"/>
        <w:spacing w:line="278" w:lineRule="auto"/>
        <w:ind w:right="487"/>
      </w:pPr>
      <w:r>
        <w:rPr/>
        <w:t>Pode-se palpar frêmito sistólico no nível da ponta ou na borda esternal esquerda baixa. O primeiro ruído é normal, enquanto o segundo pode apresentar desdobramento paradoxal na presença de obstrução acentuada da VSVE. O</w:t>
      </w:r>
      <w:r>
        <w:rPr>
          <w:spacing w:val="-2"/>
        </w:rPr>
        <w:t> </w:t>
      </w:r>
      <w:r>
        <w:rPr/>
        <w:t>terceiro e</w:t>
      </w:r>
      <w:r>
        <w:rPr>
          <w:spacing w:val="-2"/>
        </w:rPr>
        <w:t> </w:t>
      </w:r>
      <w:r>
        <w:rPr/>
        <w:t>o quarto ruído podem estar presentes, principalmente</w:t>
      </w:r>
      <w:r>
        <w:rPr>
          <w:spacing w:val="-2"/>
        </w:rPr>
        <w:t> </w:t>
      </w:r>
      <w:r>
        <w:rPr/>
        <w:t>este</w:t>
      </w:r>
      <w:r>
        <w:rPr>
          <w:spacing w:val="-2"/>
        </w:rPr>
        <w:t> </w:t>
      </w:r>
      <w:r>
        <w:rPr/>
        <w:t>último, relacionado com a</w:t>
      </w:r>
      <w:r>
        <w:rPr>
          <w:spacing w:val="-2"/>
        </w:rPr>
        <w:t> </w:t>
      </w:r>
      <w:r>
        <w:rPr/>
        <w:t>contração atrial vigorosa. Na maioria dos pacientes com a forma obstrutiva, ausculta-se sopro sistólico rude em “crescendo-decrescendo”, que se inicia pouco tempo após o primeiro ruído, sendo bem audível entre o foco mitral e a borda esternal esquerda</w:t>
      </w:r>
      <w:r>
        <w:rPr>
          <w:spacing w:val="-2"/>
        </w:rPr>
        <w:t> </w:t>
      </w:r>
      <w:r>
        <w:rPr/>
        <w:t>baixa</w:t>
      </w:r>
      <w:r>
        <w:rPr>
          <w:spacing w:val="-2"/>
        </w:rPr>
        <w:t> </w:t>
      </w:r>
      <w:r>
        <w:rPr/>
        <w:t>e</w:t>
      </w:r>
      <w:r>
        <w:rPr>
          <w:spacing w:val="-2"/>
        </w:rPr>
        <w:t> </w:t>
      </w:r>
      <w:r>
        <w:rPr/>
        <w:t>não se</w:t>
      </w:r>
      <w:r>
        <w:rPr>
          <w:spacing w:val="-2"/>
        </w:rPr>
        <w:t> </w:t>
      </w:r>
      <w:r>
        <w:rPr/>
        <w:t>irradia</w:t>
      </w:r>
      <w:r>
        <w:rPr>
          <w:spacing w:val="-2"/>
        </w:rPr>
        <w:t> </w:t>
      </w:r>
      <w:r>
        <w:rPr/>
        <w:t>para</w:t>
      </w:r>
      <w:r>
        <w:rPr>
          <w:spacing w:val="-2"/>
        </w:rPr>
        <w:t> </w:t>
      </w:r>
      <w:r>
        <w:rPr/>
        <w:t>o pescoço. Pode-se</w:t>
      </w:r>
      <w:r>
        <w:rPr>
          <w:spacing w:val="-2"/>
        </w:rPr>
        <w:t> </w:t>
      </w:r>
      <w:r>
        <w:rPr/>
        <w:t>ouvir também sopro holossistólico de</w:t>
      </w:r>
      <w:r>
        <w:rPr>
          <w:spacing w:val="-2"/>
        </w:rPr>
        <w:t> </w:t>
      </w:r>
      <w:r>
        <w:rPr/>
        <w:t>regurgitação na região apical, com irradiação para a axila, pela insuficiência mitral (IMi).</w:t>
      </w:r>
      <w:r>
        <w:rPr>
          <w:vertAlign w:val="superscript"/>
        </w:rPr>
        <w:t>1,7</w:t>
      </w:r>
    </w:p>
    <w:p>
      <w:pPr>
        <w:pStyle w:val="BodyText"/>
        <w:spacing w:line="276" w:lineRule="auto" w:before="47"/>
        <w:ind w:right="488"/>
      </w:pPr>
      <w:r>
        <w:rPr/>
        <w:t>Existem certas manobras que modificam o gradiente de pressão entre o VE e a aorta e, dessa forma, alteram a intensidade do sopro, podendo ser úteis em sua caracterização (</w:t>
      </w:r>
      <w:r>
        <w:rPr>
          <w:color w:val="505050"/>
        </w:rPr>
        <w:t>Tabela 50.2</w:t>
      </w:r>
      <w:r>
        <w:rPr/>
        <w:t>).</w:t>
      </w:r>
    </w:p>
    <w:p>
      <w:pPr>
        <w:pStyle w:val="BodyText"/>
        <w:spacing w:before="185"/>
        <w:ind w:left="0" w:firstLine="0"/>
        <w:jc w:val="left"/>
      </w:pPr>
    </w:p>
    <w:p>
      <w:pPr>
        <w:pStyle w:val="Heading4"/>
      </w:pPr>
      <w:r>
        <w:rPr>
          <w:color w:val="242B67"/>
          <w:spacing w:val="-2"/>
        </w:rPr>
        <w:t>Diagnóstico</w:t>
      </w:r>
    </w:p>
    <w:p>
      <w:pPr>
        <w:pStyle w:val="Heading4"/>
        <w:spacing w:after="0"/>
        <w:sectPr>
          <w:pgSz w:w="11900" w:h="16840"/>
          <w:pgMar w:top="220" w:bottom="0" w:left="566" w:right="141"/>
        </w:sectPr>
      </w:pPr>
    </w:p>
    <w:p>
      <w:pPr>
        <w:pStyle w:val="BodyText"/>
        <w:spacing w:line="280" w:lineRule="auto" w:before="63"/>
        <w:ind w:right="488"/>
      </w:pPr>
      <w:r>
        <w:rPr/>
        <w:t>O diagnóstico deve ser suspeitado pela anamnese quando da presença de outros casos na família ou relato de morte súbita em parentes jovens de primeiro grau, associado ao achado de sopros no exame físico; entretanto, ele deve ser confirmado pela demonstração de hipertrofia de mais de 15 mm de espessura da parede ventricular no estudo ecocardiográfico, que estabelece o diagnóstico definitivo (</w:t>
      </w:r>
      <w:r>
        <w:rPr>
          <w:color w:val="505050"/>
        </w:rPr>
        <w:t>Figura 50.1</w:t>
      </w:r>
      <w:r>
        <w:rPr/>
        <w:t>).</w:t>
      </w:r>
      <w:r>
        <w:rPr>
          <w:vertAlign w:val="superscript"/>
        </w:rPr>
        <w:t>1,7</w:t>
      </w:r>
    </w:p>
    <w:p>
      <w:pPr>
        <w:pStyle w:val="BodyText"/>
        <w:spacing w:before="83"/>
        <w:ind w:left="0" w:firstLine="0"/>
        <w:jc w:val="left"/>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1"/>
        </w:rPr>
        <w:t> </w:t>
      </w:r>
      <w:r>
        <w:rPr>
          <w:rFonts w:ascii="Arial" w:hAnsi="Arial"/>
          <w:b/>
          <w:color w:val="242B67"/>
        </w:rPr>
        <w:t>50.2</w:t>
      </w:r>
      <w:r>
        <w:rPr>
          <w:rFonts w:ascii="Arial" w:hAnsi="Arial"/>
          <w:b/>
          <w:color w:val="242B67"/>
          <w:spacing w:val="-2"/>
        </w:rPr>
        <w:t> </w:t>
      </w:r>
      <w:r>
        <w:rPr>
          <w:rFonts w:ascii="Microsoft Sans Serif" w:hAnsi="Microsoft Sans Serif"/>
        </w:rPr>
        <w:t>Manobras</w:t>
      </w:r>
      <w:r>
        <w:rPr>
          <w:rFonts w:ascii="Microsoft Sans Serif" w:hAnsi="Microsoft Sans Serif"/>
          <w:spacing w:val="-2"/>
        </w:rPr>
        <w:t> </w:t>
      </w:r>
      <w:r>
        <w:rPr>
          <w:rFonts w:ascii="Microsoft Sans Serif" w:hAnsi="Microsoft Sans Serif"/>
        </w:rPr>
        <w:t>que</w:t>
      </w:r>
      <w:r>
        <w:rPr>
          <w:rFonts w:ascii="Microsoft Sans Serif" w:hAnsi="Microsoft Sans Serif"/>
          <w:spacing w:val="2"/>
        </w:rPr>
        <w:t> </w:t>
      </w:r>
      <w:r>
        <w:rPr>
          <w:rFonts w:ascii="Microsoft Sans Serif" w:hAnsi="Microsoft Sans Serif"/>
        </w:rPr>
        <w:t>modificam</w:t>
      </w:r>
      <w:r>
        <w:rPr>
          <w:rFonts w:ascii="Microsoft Sans Serif" w:hAnsi="Microsoft Sans Serif"/>
          <w:spacing w:val="1"/>
        </w:rPr>
        <w:t> </w:t>
      </w:r>
      <w:r>
        <w:rPr>
          <w:rFonts w:ascii="Microsoft Sans Serif" w:hAnsi="Microsoft Sans Serif"/>
        </w:rPr>
        <w:t>o</w:t>
      </w:r>
      <w:r>
        <w:rPr>
          <w:rFonts w:ascii="Microsoft Sans Serif" w:hAnsi="Microsoft Sans Serif"/>
          <w:spacing w:val="1"/>
        </w:rPr>
        <w:t> </w:t>
      </w:r>
      <w:r>
        <w:rPr>
          <w:rFonts w:ascii="Microsoft Sans Serif" w:hAnsi="Microsoft Sans Serif"/>
        </w:rPr>
        <w:t>gradiente</w:t>
      </w:r>
      <w:r>
        <w:rPr>
          <w:rFonts w:ascii="Microsoft Sans Serif" w:hAnsi="Microsoft Sans Serif"/>
          <w:spacing w:val="2"/>
        </w:rPr>
        <w:t> </w:t>
      </w:r>
      <w:r>
        <w:rPr>
          <w:rFonts w:ascii="Microsoft Sans Serif" w:hAnsi="Microsoft Sans Serif"/>
        </w:rPr>
        <w:t>de</w:t>
      </w:r>
      <w:r>
        <w:rPr>
          <w:rFonts w:ascii="Microsoft Sans Serif" w:hAnsi="Microsoft Sans Serif"/>
          <w:spacing w:val="1"/>
        </w:rPr>
        <w:t> </w:t>
      </w:r>
      <w:r>
        <w:rPr>
          <w:rFonts w:ascii="Microsoft Sans Serif" w:hAnsi="Microsoft Sans Serif"/>
        </w:rPr>
        <w:t>pressão</w:t>
      </w:r>
      <w:r>
        <w:rPr>
          <w:rFonts w:ascii="Microsoft Sans Serif" w:hAnsi="Microsoft Sans Serif"/>
          <w:spacing w:val="1"/>
        </w:rPr>
        <w:t> </w:t>
      </w:r>
      <w:r>
        <w:rPr>
          <w:rFonts w:ascii="Microsoft Sans Serif" w:hAnsi="Microsoft Sans Serif"/>
        </w:rPr>
        <w:t>entre</w:t>
      </w:r>
      <w:r>
        <w:rPr>
          <w:rFonts w:ascii="Microsoft Sans Serif" w:hAnsi="Microsoft Sans Serif"/>
          <w:spacing w:val="2"/>
        </w:rPr>
        <w:t> </w:t>
      </w:r>
      <w:r>
        <w:rPr>
          <w:rFonts w:ascii="Microsoft Sans Serif" w:hAnsi="Microsoft Sans Serif"/>
        </w:rPr>
        <w:t>o</w:t>
      </w:r>
      <w:r>
        <w:rPr>
          <w:rFonts w:ascii="Microsoft Sans Serif" w:hAnsi="Microsoft Sans Serif"/>
          <w:spacing w:val="1"/>
        </w:rPr>
        <w:t> </w:t>
      </w:r>
      <w:r>
        <w:rPr>
          <w:rFonts w:ascii="Microsoft Sans Serif" w:hAnsi="Microsoft Sans Serif"/>
        </w:rPr>
        <w:t>ventrículo</w:t>
      </w:r>
      <w:r>
        <w:rPr>
          <w:rFonts w:ascii="Microsoft Sans Serif" w:hAnsi="Microsoft Sans Serif"/>
          <w:spacing w:val="1"/>
        </w:rPr>
        <w:t> </w:t>
      </w:r>
      <w:r>
        <w:rPr>
          <w:rFonts w:ascii="Microsoft Sans Serif" w:hAnsi="Microsoft Sans Serif"/>
        </w:rPr>
        <w:t>esquerdo</w:t>
      </w:r>
      <w:r>
        <w:rPr>
          <w:rFonts w:ascii="Microsoft Sans Serif" w:hAnsi="Microsoft Sans Serif"/>
          <w:spacing w:val="2"/>
        </w:rPr>
        <w:t> </w:t>
      </w:r>
      <w:r>
        <w:rPr>
          <w:rFonts w:ascii="Microsoft Sans Serif" w:hAnsi="Microsoft Sans Serif"/>
        </w:rPr>
        <w:t>e</w:t>
      </w:r>
      <w:r>
        <w:rPr>
          <w:rFonts w:ascii="Microsoft Sans Serif" w:hAnsi="Microsoft Sans Serif"/>
          <w:spacing w:val="1"/>
        </w:rPr>
        <w:t> </w:t>
      </w:r>
      <w:r>
        <w:rPr>
          <w:rFonts w:ascii="Microsoft Sans Serif" w:hAnsi="Microsoft Sans Serif"/>
        </w:rPr>
        <w:t>a</w:t>
      </w:r>
      <w:r>
        <w:rPr>
          <w:rFonts w:ascii="Microsoft Sans Serif" w:hAnsi="Microsoft Sans Serif"/>
          <w:spacing w:val="1"/>
        </w:rPr>
        <w:t> </w:t>
      </w:r>
      <w:r>
        <w:rPr>
          <w:rFonts w:ascii="Microsoft Sans Serif" w:hAnsi="Microsoft Sans Serif"/>
          <w:spacing w:val="-2"/>
        </w:rPr>
        <w:t>aorta.</w:t>
      </w:r>
    </w:p>
    <w:p>
      <w:pPr>
        <w:pStyle w:val="BodyText"/>
        <w:spacing w:before="0" w:after="1"/>
        <w:ind w:left="0" w:firstLine="0"/>
        <w:jc w:val="left"/>
        <w:rPr>
          <w:rFonts w:ascii="Microsoft Sans Serif"/>
          <w:sz w:val="14"/>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6382"/>
        <w:gridCol w:w="4236"/>
      </w:tblGrid>
      <w:tr>
        <w:trPr>
          <w:trHeight w:val="734" w:hRule="atLeast"/>
        </w:trPr>
        <w:tc>
          <w:tcPr>
            <w:tcW w:w="6382" w:type="dxa"/>
            <w:tcBorders>
              <w:top w:val="nil"/>
              <w:left w:val="nil"/>
            </w:tcBorders>
            <w:shd w:val="clear" w:color="auto" w:fill="242B67"/>
          </w:tcPr>
          <w:p>
            <w:pPr>
              <w:pStyle w:val="TableParagraph"/>
              <w:spacing w:before="157"/>
              <w:ind w:left="0"/>
              <w:rPr>
                <w:sz w:val="21"/>
              </w:rPr>
            </w:pPr>
          </w:p>
          <w:p>
            <w:pPr>
              <w:pStyle w:val="TableParagraph"/>
              <w:spacing w:before="1"/>
              <w:ind w:left="67"/>
              <w:rPr>
                <w:rFonts w:ascii="Arial"/>
                <w:b/>
                <w:sz w:val="21"/>
              </w:rPr>
            </w:pPr>
            <w:r>
              <w:rPr>
                <w:rFonts w:ascii="Arial"/>
                <w:b/>
                <w:color w:val="FFFFFF"/>
                <w:w w:val="105"/>
                <w:sz w:val="21"/>
              </w:rPr>
              <w:t>Manobras</w:t>
            </w:r>
            <w:r>
              <w:rPr>
                <w:rFonts w:ascii="Arial"/>
                <w:b/>
                <w:color w:val="FFFFFF"/>
                <w:spacing w:val="-3"/>
                <w:w w:val="105"/>
                <w:sz w:val="21"/>
              </w:rPr>
              <w:t> </w:t>
            </w:r>
            <w:r>
              <w:rPr>
                <w:rFonts w:ascii="Arial"/>
                <w:b/>
                <w:color w:val="FFFFFF"/>
                <w:w w:val="105"/>
                <w:sz w:val="21"/>
              </w:rPr>
              <w:t>que</w:t>
            </w:r>
            <w:r>
              <w:rPr>
                <w:rFonts w:ascii="Arial"/>
                <w:b/>
                <w:color w:val="FFFFFF"/>
                <w:spacing w:val="-3"/>
                <w:w w:val="105"/>
                <w:sz w:val="21"/>
              </w:rPr>
              <w:t> </w:t>
            </w:r>
            <w:r>
              <w:rPr>
                <w:rFonts w:ascii="Arial"/>
                <w:b/>
                <w:color w:val="FFFFFF"/>
                <w:w w:val="105"/>
                <w:sz w:val="21"/>
              </w:rPr>
              <w:t>aumentam</w:t>
            </w:r>
            <w:r>
              <w:rPr>
                <w:rFonts w:ascii="Arial"/>
                <w:b/>
                <w:color w:val="FFFFFF"/>
                <w:spacing w:val="-9"/>
                <w:w w:val="105"/>
                <w:sz w:val="21"/>
              </w:rPr>
              <w:t> </w:t>
            </w:r>
            <w:r>
              <w:rPr>
                <w:rFonts w:ascii="Arial"/>
                <w:b/>
                <w:color w:val="FFFFFF"/>
                <w:w w:val="105"/>
                <w:sz w:val="21"/>
              </w:rPr>
              <w:t>o</w:t>
            </w:r>
            <w:r>
              <w:rPr>
                <w:rFonts w:ascii="Arial"/>
                <w:b/>
                <w:color w:val="FFFFFF"/>
                <w:spacing w:val="-13"/>
                <w:w w:val="105"/>
                <w:sz w:val="21"/>
              </w:rPr>
              <w:t> </w:t>
            </w:r>
            <w:r>
              <w:rPr>
                <w:rFonts w:ascii="Arial"/>
                <w:b/>
                <w:color w:val="FFFFFF"/>
                <w:w w:val="105"/>
                <w:sz w:val="21"/>
              </w:rPr>
              <w:t>gradiente</w:t>
            </w:r>
            <w:r>
              <w:rPr>
                <w:rFonts w:ascii="Arial"/>
                <w:b/>
                <w:color w:val="FFFFFF"/>
                <w:spacing w:val="-2"/>
                <w:w w:val="105"/>
                <w:sz w:val="21"/>
              </w:rPr>
              <w:t> </w:t>
            </w:r>
            <w:r>
              <w:rPr>
                <w:rFonts w:ascii="Arial"/>
                <w:b/>
                <w:color w:val="FFFFFF"/>
                <w:w w:val="105"/>
                <w:sz w:val="21"/>
              </w:rPr>
              <w:t>e</w:t>
            </w:r>
            <w:r>
              <w:rPr>
                <w:rFonts w:ascii="Arial"/>
                <w:b/>
                <w:color w:val="FFFFFF"/>
                <w:spacing w:val="-3"/>
                <w:w w:val="105"/>
                <w:sz w:val="21"/>
              </w:rPr>
              <w:t> </w:t>
            </w:r>
            <w:r>
              <w:rPr>
                <w:rFonts w:ascii="Arial"/>
                <w:b/>
                <w:color w:val="FFFFFF"/>
                <w:w w:val="105"/>
                <w:sz w:val="21"/>
              </w:rPr>
              <w:t>o</w:t>
            </w:r>
            <w:r>
              <w:rPr>
                <w:rFonts w:ascii="Arial"/>
                <w:b/>
                <w:color w:val="FFFFFF"/>
                <w:spacing w:val="-13"/>
                <w:w w:val="105"/>
                <w:sz w:val="21"/>
              </w:rPr>
              <w:t> </w:t>
            </w:r>
            <w:r>
              <w:rPr>
                <w:rFonts w:ascii="Arial"/>
                <w:b/>
                <w:color w:val="FFFFFF"/>
                <w:spacing w:val="-2"/>
                <w:w w:val="105"/>
                <w:sz w:val="21"/>
              </w:rPr>
              <w:t>sopro</w:t>
            </w:r>
          </w:p>
        </w:tc>
        <w:tc>
          <w:tcPr>
            <w:tcW w:w="4236" w:type="dxa"/>
            <w:tcBorders>
              <w:top w:val="nil"/>
              <w:right w:val="nil"/>
            </w:tcBorders>
            <w:shd w:val="clear" w:color="auto" w:fill="242B67"/>
          </w:tcPr>
          <w:p>
            <w:pPr>
              <w:pStyle w:val="TableParagraph"/>
              <w:spacing w:line="302" w:lineRule="auto" w:before="91"/>
              <w:ind w:left="66" w:right="87"/>
              <w:rPr>
                <w:rFonts w:ascii="Arial"/>
                <w:b/>
                <w:sz w:val="21"/>
              </w:rPr>
            </w:pPr>
            <w:r>
              <w:rPr>
                <w:rFonts w:ascii="Arial"/>
                <w:b/>
                <w:color w:val="FFFFFF"/>
                <w:w w:val="105"/>
                <w:sz w:val="21"/>
              </w:rPr>
              <w:t>Manobras</w:t>
            </w:r>
            <w:r>
              <w:rPr>
                <w:rFonts w:ascii="Arial"/>
                <w:b/>
                <w:color w:val="FFFFFF"/>
                <w:spacing w:val="-16"/>
                <w:w w:val="105"/>
                <w:sz w:val="21"/>
              </w:rPr>
              <w:t> </w:t>
            </w:r>
            <w:r>
              <w:rPr>
                <w:rFonts w:ascii="Arial"/>
                <w:b/>
                <w:color w:val="FFFFFF"/>
                <w:w w:val="105"/>
                <w:sz w:val="21"/>
              </w:rPr>
              <w:t>que</w:t>
            </w:r>
            <w:r>
              <w:rPr>
                <w:rFonts w:ascii="Arial"/>
                <w:b/>
                <w:color w:val="FFFFFF"/>
                <w:spacing w:val="-14"/>
                <w:w w:val="105"/>
                <w:sz w:val="21"/>
              </w:rPr>
              <w:t> </w:t>
            </w:r>
            <w:r>
              <w:rPr>
                <w:rFonts w:ascii="Arial"/>
                <w:b/>
                <w:color w:val="FFFFFF"/>
                <w:w w:val="105"/>
                <w:sz w:val="21"/>
              </w:rPr>
              <w:t>diminuem</w:t>
            </w:r>
            <w:r>
              <w:rPr>
                <w:rFonts w:ascii="Arial"/>
                <w:b/>
                <w:color w:val="FFFFFF"/>
                <w:spacing w:val="-16"/>
                <w:w w:val="105"/>
                <w:sz w:val="21"/>
              </w:rPr>
              <w:t> </w:t>
            </w:r>
            <w:r>
              <w:rPr>
                <w:rFonts w:ascii="Arial"/>
                <w:b/>
                <w:color w:val="FFFFFF"/>
                <w:w w:val="105"/>
                <w:sz w:val="21"/>
              </w:rPr>
              <w:t>o</w:t>
            </w:r>
            <w:r>
              <w:rPr>
                <w:rFonts w:ascii="Arial"/>
                <w:b/>
                <w:color w:val="FFFFFF"/>
                <w:spacing w:val="-15"/>
                <w:w w:val="105"/>
                <w:sz w:val="21"/>
              </w:rPr>
              <w:t> </w:t>
            </w:r>
            <w:r>
              <w:rPr>
                <w:rFonts w:ascii="Arial"/>
                <w:b/>
                <w:color w:val="FFFFFF"/>
                <w:w w:val="105"/>
                <w:sz w:val="21"/>
              </w:rPr>
              <w:t>gradiente</w:t>
            </w:r>
            <w:r>
              <w:rPr>
                <w:rFonts w:ascii="Arial"/>
                <w:b/>
                <w:color w:val="FFFFFF"/>
                <w:spacing w:val="-12"/>
                <w:w w:val="105"/>
                <w:sz w:val="21"/>
              </w:rPr>
              <w:t> </w:t>
            </w:r>
            <w:r>
              <w:rPr>
                <w:rFonts w:ascii="Arial"/>
                <w:b/>
                <w:color w:val="FFFFFF"/>
                <w:w w:val="105"/>
                <w:sz w:val="21"/>
              </w:rPr>
              <w:t>e o sopro</w:t>
            </w:r>
          </w:p>
        </w:tc>
      </w:tr>
      <w:tr>
        <w:trPr>
          <w:trHeight w:val="1741" w:hRule="atLeast"/>
        </w:trPr>
        <w:tc>
          <w:tcPr>
            <w:tcW w:w="6382" w:type="dxa"/>
            <w:tcBorders>
              <w:left w:val="nil"/>
            </w:tcBorders>
            <w:shd w:val="clear" w:color="auto" w:fill="EDECF3"/>
          </w:tcPr>
          <w:p>
            <w:pPr>
              <w:pStyle w:val="TableParagraph"/>
              <w:ind w:left="67"/>
              <w:rPr>
                <w:sz w:val="21"/>
              </w:rPr>
            </w:pPr>
            <w:r>
              <w:rPr>
                <w:w w:val="105"/>
                <w:sz w:val="21"/>
              </w:rPr>
              <w:t>Diminuindo</w:t>
            </w:r>
            <w:r>
              <w:rPr>
                <w:spacing w:val="17"/>
                <w:w w:val="105"/>
                <w:sz w:val="21"/>
              </w:rPr>
              <w:t> </w:t>
            </w:r>
            <w:r>
              <w:rPr>
                <w:w w:val="105"/>
                <w:sz w:val="21"/>
              </w:rPr>
              <w:t>a</w:t>
            </w:r>
            <w:r>
              <w:rPr>
                <w:spacing w:val="17"/>
                <w:w w:val="105"/>
                <w:sz w:val="21"/>
              </w:rPr>
              <w:t> </w:t>
            </w:r>
            <w:r>
              <w:rPr>
                <w:w w:val="105"/>
                <w:sz w:val="21"/>
              </w:rPr>
              <w:t>pós-</w:t>
            </w:r>
            <w:r>
              <w:rPr>
                <w:spacing w:val="-2"/>
                <w:w w:val="105"/>
                <w:sz w:val="21"/>
              </w:rPr>
              <w:t>carga:</w:t>
            </w:r>
          </w:p>
          <w:p>
            <w:pPr>
              <w:pStyle w:val="TableParagraph"/>
              <w:numPr>
                <w:ilvl w:val="0"/>
                <w:numId w:val="5"/>
              </w:numPr>
              <w:tabs>
                <w:tab w:pos="211" w:val="left" w:leader="none"/>
              </w:tabs>
              <w:spacing w:line="240" w:lineRule="auto" w:before="211" w:after="0"/>
              <w:ind w:left="211" w:right="0" w:hanging="144"/>
              <w:jc w:val="left"/>
              <w:rPr>
                <w:sz w:val="21"/>
              </w:rPr>
            </w:pPr>
            <w:r>
              <w:rPr>
                <w:w w:val="105"/>
                <w:sz w:val="21"/>
              </w:rPr>
              <w:t>Posição</w:t>
            </w:r>
            <w:r>
              <w:rPr>
                <w:spacing w:val="26"/>
                <w:w w:val="105"/>
                <w:sz w:val="21"/>
              </w:rPr>
              <w:t> </w:t>
            </w:r>
            <w:r>
              <w:rPr>
                <w:w w:val="105"/>
                <w:sz w:val="21"/>
              </w:rPr>
              <w:t>postural</w:t>
            </w:r>
            <w:r>
              <w:rPr>
                <w:spacing w:val="16"/>
                <w:w w:val="105"/>
                <w:sz w:val="21"/>
              </w:rPr>
              <w:t> </w:t>
            </w:r>
            <w:r>
              <w:rPr>
                <w:w w:val="105"/>
                <w:sz w:val="21"/>
              </w:rPr>
              <w:t>ereta</w:t>
            </w:r>
            <w:r>
              <w:rPr>
                <w:spacing w:val="27"/>
                <w:w w:val="105"/>
                <w:sz w:val="21"/>
              </w:rPr>
              <w:t> </w:t>
            </w:r>
            <w:r>
              <w:rPr>
                <w:spacing w:val="-2"/>
                <w:w w:val="105"/>
                <w:sz w:val="21"/>
              </w:rPr>
              <w:t>rápida</w:t>
            </w:r>
          </w:p>
          <w:p>
            <w:pPr>
              <w:pStyle w:val="TableParagraph"/>
              <w:numPr>
                <w:ilvl w:val="0"/>
                <w:numId w:val="5"/>
              </w:numPr>
              <w:tabs>
                <w:tab w:pos="211" w:val="left" w:leader="none"/>
              </w:tabs>
              <w:spacing w:line="240" w:lineRule="auto" w:before="195" w:after="0"/>
              <w:ind w:left="211" w:right="0" w:hanging="144"/>
              <w:jc w:val="left"/>
              <w:rPr>
                <w:sz w:val="21"/>
              </w:rPr>
            </w:pPr>
            <w:r>
              <w:rPr>
                <w:w w:val="105"/>
                <w:sz w:val="21"/>
              </w:rPr>
              <w:t>Administração</w:t>
            </w:r>
            <w:r>
              <w:rPr>
                <w:spacing w:val="16"/>
                <w:w w:val="105"/>
                <w:sz w:val="21"/>
              </w:rPr>
              <w:t> </w:t>
            </w:r>
            <w:r>
              <w:rPr>
                <w:w w:val="105"/>
                <w:sz w:val="21"/>
              </w:rPr>
              <w:t>de</w:t>
            </w:r>
            <w:r>
              <w:rPr>
                <w:spacing w:val="16"/>
                <w:w w:val="105"/>
                <w:sz w:val="21"/>
              </w:rPr>
              <w:t> </w:t>
            </w:r>
            <w:r>
              <w:rPr>
                <w:spacing w:val="-2"/>
                <w:w w:val="105"/>
                <w:sz w:val="21"/>
              </w:rPr>
              <w:t>diuréticos</w:t>
            </w:r>
          </w:p>
          <w:p>
            <w:pPr>
              <w:pStyle w:val="TableParagraph"/>
              <w:numPr>
                <w:ilvl w:val="0"/>
                <w:numId w:val="5"/>
              </w:numPr>
              <w:tabs>
                <w:tab w:pos="211" w:val="left" w:leader="none"/>
              </w:tabs>
              <w:spacing w:line="240" w:lineRule="auto" w:before="195" w:after="0"/>
              <w:ind w:left="211" w:right="0" w:hanging="144"/>
              <w:jc w:val="left"/>
              <w:rPr>
                <w:sz w:val="21"/>
              </w:rPr>
            </w:pPr>
            <w:r>
              <w:rPr>
                <w:spacing w:val="-2"/>
                <w:sz w:val="21"/>
              </w:rPr>
              <w:t>Hipovolemia</w:t>
            </w:r>
          </w:p>
        </w:tc>
        <w:tc>
          <w:tcPr>
            <w:tcW w:w="4236" w:type="dxa"/>
            <w:tcBorders>
              <w:right w:val="nil"/>
            </w:tcBorders>
            <w:shd w:val="clear" w:color="auto" w:fill="EDECF3"/>
          </w:tcPr>
          <w:p>
            <w:pPr>
              <w:pStyle w:val="TableParagraph"/>
              <w:ind w:left="66"/>
              <w:rPr>
                <w:sz w:val="21"/>
              </w:rPr>
            </w:pPr>
            <w:r>
              <w:rPr>
                <w:w w:val="105"/>
                <w:sz w:val="21"/>
              </w:rPr>
              <w:t>Aumentando</w:t>
            </w:r>
            <w:r>
              <w:rPr>
                <w:spacing w:val="25"/>
                <w:w w:val="105"/>
                <w:sz w:val="21"/>
              </w:rPr>
              <w:t> </w:t>
            </w:r>
            <w:r>
              <w:rPr>
                <w:w w:val="105"/>
                <w:sz w:val="21"/>
              </w:rPr>
              <w:t>a</w:t>
            </w:r>
            <w:r>
              <w:rPr>
                <w:spacing w:val="26"/>
                <w:w w:val="105"/>
                <w:sz w:val="21"/>
              </w:rPr>
              <w:t> </w:t>
            </w:r>
            <w:r>
              <w:rPr>
                <w:w w:val="105"/>
                <w:sz w:val="21"/>
              </w:rPr>
              <w:t>pós-</w:t>
            </w:r>
            <w:r>
              <w:rPr>
                <w:spacing w:val="-2"/>
                <w:w w:val="105"/>
                <w:sz w:val="21"/>
              </w:rPr>
              <w:t>carga:</w:t>
            </w:r>
          </w:p>
          <w:p>
            <w:pPr>
              <w:pStyle w:val="TableParagraph"/>
              <w:numPr>
                <w:ilvl w:val="0"/>
                <w:numId w:val="6"/>
              </w:numPr>
              <w:tabs>
                <w:tab w:pos="210" w:val="left" w:leader="none"/>
              </w:tabs>
              <w:spacing w:line="240" w:lineRule="auto" w:before="211" w:after="0"/>
              <w:ind w:left="210" w:right="0" w:hanging="144"/>
              <w:jc w:val="left"/>
              <w:rPr>
                <w:sz w:val="21"/>
              </w:rPr>
            </w:pPr>
            <w:r>
              <w:rPr>
                <w:spacing w:val="2"/>
                <w:sz w:val="21"/>
              </w:rPr>
              <w:t>Agachamento</w:t>
            </w:r>
            <w:r>
              <w:rPr>
                <w:spacing w:val="71"/>
                <w:sz w:val="21"/>
              </w:rPr>
              <w:t> </w:t>
            </w:r>
            <w:r>
              <w:rPr>
                <w:spacing w:val="-2"/>
                <w:sz w:val="21"/>
              </w:rPr>
              <w:t>abrupto</w:t>
            </w:r>
          </w:p>
          <w:p>
            <w:pPr>
              <w:pStyle w:val="TableParagraph"/>
              <w:numPr>
                <w:ilvl w:val="0"/>
                <w:numId w:val="6"/>
              </w:numPr>
              <w:tabs>
                <w:tab w:pos="210" w:val="left" w:leader="none"/>
              </w:tabs>
              <w:spacing w:line="240" w:lineRule="auto" w:before="195" w:after="0"/>
              <w:ind w:left="210" w:right="0" w:hanging="144"/>
              <w:jc w:val="left"/>
              <w:rPr>
                <w:sz w:val="21"/>
              </w:rPr>
            </w:pPr>
            <w:r>
              <w:rPr>
                <w:w w:val="105"/>
                <w:sz w:val="21"/>
              </w:rPr>
              <w:t>Exercícios</w:t>
            </w:r>
            <w:r>
              <w:rPr>
                <w:spacing w:val="29"/>
                <w:w w:val="105"/>
                <w:sz w:val="21"/>
              </w:rPr>
              <w:t> </w:t>
            </w:r>
            <w:r>
              <w:rPr>
                <w:spacing w:val="-2"/>
                <w:w w:val="105"/>
                <w:sz w:val="21"/>
              </w:rPr>
              <w:t>isométricos</w:t>
            </w:r>
          </w:p>
        </w:tc>
      </w:tr>
      <w:tr>
        <w:trPr>
          <w:trHeight w:val="1293" w:hRule="atLeast"/>
        </w:trPr>
        <w:tc>
          <w:tcPr>
            <w:tcW w:w="6382" w:type="dxa"/>
            <w:tcBorders>
              <w:left w:val="nil"/>
            </w:tcBorders>
            <w:shd w:val="clear" w:color="auto" w:fill="EDECF3"/>
          </w:tcPr>
          <w:p>
            <w:pPr>
              <w:pStyle w:val="TableParagraph"/>
              <w:ind w:left="67"/>
              <w:rPr>
                <w:sz w:val="21"/>
              </w:rPr>
            </w:pPr>
            <w:r>
              <w:rPr>
                <w:w w:val="105"/>
                <w:sz w:val="21"/>
              </w:rPr>
              <w:t>Aumentando</w:t>
            </w:r>
            <w:r>
              <w:rPr>
                <w:spacing w:val="24"/>
                <w:w w:val="105"/>
                <w:sz w:val="21"/>
              </w:rPr>
              <w:t> </w:t>
            </w:r>
            <w:r>
              <w:rPr>
                <w:w w:val="105"/>
                <w:sz w:val="21"/>
              </w:rPr>
              <w:t>a</w:t>
            </w:r>
            <w:r>
              <w:rPr>
                <w:spacing w:val="25"/>
                <w:w w:val="105"/>
                <w:sz w:val="21"/>
              </w:rPr>
              <w:t> </w:t>
            </w:r>
            <w:r>
              <w:rPr>
                <w:w w:val="105"/>
                <w:sz w:val="21"/>
              </w:rPr>
              <w:t>contratilidade</w:t>
            </w:r>
            <w:r>
              <w:rPr>
                <w:spacing w:val="25"/>
                <w:w w:val="105"/>
                <w:sz w:val="21"/>
              </w:rPr>
              <w:t> </w:t>
            </w:r>
            <w:r>
              <w:rPr>
                <w:spacing w:val="-2"/>
                <w:w w:val="105"/>
                <w:sz w:val="21"/>
              </w:rPr>
              <w:t>miocárdica:</w:t>
            </w:r>
          </w:p>
          <w:p>
            <w:pPr>
              <w:pStyle w:val="TableParagraph"/>
              <w:numPr>
                <w:ilvl w:val="0"/>
                <w:numId w:val="7"/>
              </w:numPr>
              <w:tabs>
                <w:tab w:pos="211" w:val="left" w:leader="none"/>
              </w:tabs>
              <w:spacing w:line="240" w:lineRule="auto" w:before="211" w:after="0"/>
              <w:ind w:left="211" w:right="0" w:hanging="144"/>
              <w:jc w:val="left"/>
              <w:rPr>
                <w:sz w:val="21"/>
              </w:rPr>
            </w:pPr>
            <w:r>
              <w:rPr>
                <w:spacing w:val="-2"/>
                <w:w w:val="105"/>
                <w:sz w:val="21"/>
              </w:rPr>
              <w:t>Exercícios</w:t>
            </w:r>
          </w:p>
          <w:p>
            <w:pPr>
              <w:pStyle w:val="TableParagraph"/>
              <w:numPr>
                <w:ilvl w:val="0"/>
                <w:numId w:val="7"/>
              </w:numPr>
              <w:tabs>
                <w:tab w:pos="211" w:val="left" w:leader="none"/>
              </w:tabs>
              <w:spacing w:line="240" w:lineRule="auto" w:before="195" w:after="0"/>
              <w:ind w:left="211" w:right="0" w:hanging="144"/>
              <w:jc w:val="left"/>
              <w:rPr>
                <w:sz w:val="21"/>
              </w:rPr>
            </w:pPr>
            <w:r>
              <w:rPr>
                <w:w w:val="105"/>
                <w:sz w:val="21"/>
              </w:rPr>
              <w:t>Uso</w:t>
            </w:r>
            <w:r>
              <w:rPr>
                <w:spacing w:val="21"/>
                <w:w w:val="105"/>
                <w:sz w:val="21"/>
              </w:rPr>
              <w:t> </w:t>
            </w:r>
            <w:r>
              <w:rPr>
                <w:w w:val="105"/>
                <w:sz w:val="21"/>
              </w:rPr>
              <w:t>de</w:t>
            </w:r>
            <w:r>
              <w:rPr>
                <w:spacing w:val="22"/>
                <w:w w:val="105"/>
                <w:sz w:val="21"/>
              </w:rPr>
              <w:t> </w:t>
            </w:r>
            <w:r>
              <w:rPr>
                <w:w w:val="105"/>
                <w:sz w:val="21"/>
              </w:rPr>
              <w:t>drogas</w:t>
            </w:r>
            <w:r>
              <w:rPr>
                <w:spacing w:val="17"/>
                <w:w w:val="105"/>
                <w:sz w:val="21"/>
              </w:rPr>
              <w:t> </w:t>
            </w:r>
            <w:r>
              <w:rPr>
                <w:w w:val="105"/>
                <w:sz w:val="21"/>
              </w:rPr>
              <w:t>como</w:t>
            </w:r>
            <w:r>
              <w:rPr>
                <w:spacing w:val="22"/>
                <w:w w:val="105"/>
                <w:sz w:val="21"/>
              </w:rPr>
              <w:t> </w:t>
            </w:r>
            <w:r>
              <w:rPr>
                <w:w w:val="105"/>
                <w:sz w:val="21"/>
              </w:rPr>
              <w:t>isoproterenol</w:t>
            </w:r>
            <w:r>
              <w:rPr>
                <w:spacing w:val="12"/>
                <w:w w:val="105"/>
                <w:sz w:val="21"/>
              </w:rPr>
              <w:t> </w:t>
            </w:r>
            <w:r>
              <w:rPr>
                <w:w w:val="105"/>
                <w:sz w:val="21"/>
              </w:rPr>
              <w:t>e</w:t>
            </w:r>
            <w:r>
              <w:rPr>
                <w:spacing w:val="22"/>
                <w:w w:val="105"/>
                <w:sz w:val="21"/>
              </w:rPr>
              <w:t> </w:t>
            </w:r>
            <w:r>
              <w:rPr>
                <w:spacing w:val="-2"/>
                <w:w w:val="105"/>
                <w:sz w:val="21"/>
              </w:rPr>
              <w:t>digitálicos</w:t>
            </w:r>
          </w:p>
        </w:tc>
        <w:tc>
          <w:tcPr>
            <w:tcW w:w="4236" w:type="dxa"/>
            <w:tcBorders>
              <w:right w:val="nil"/>
            </w:tcBorders>
            <w:shd w:val="clear" w:color="auto" w:fill="EDECF3"/>
          </w:tcPr>
          <w:p>
            <w:pPr>
              <w:pStyle w:val="TableParagraph"/>
              <w:ind w:left="66"/>
              <w:rPr>
                <w:sz w:val="21"/>
              </w:rPr>
            </w:pPr>
            <w:r>
              <w:rPr>
                <w:w w:val="105"/>
                <w:sz w:val="21"/>
              </w:rPr>
              <w:t>Diminuindo</w:t>
            </w:r>
            <w:r>
              <w:rPr>
                <w:spacing w:val="19"/>
                <w:w w:val="105"/>
                <w:sz w:val="21"/>
              </w:rPr>
              <w:t> </w:t>
            </w:r>
            <w:r>
              <w:rPr>
                <w:w w:val="105"/>
                <w:sz w:val="21"/>
              </w:rPr>
              <w:t>a</w:t>
            </w:r>
            <w:r>
              <w:rPr>
                <w:spacing w:val="19"/>
                <w:w w:val="105"/>
                <w:sz w:val="21"/>
              </w:rPr>
              <w:t> </w:t>
            </w:r>
            <w:r>
              <w:rPr>
                <w:w w:val="105"/>
                <w:sz w:val="21"/>
              </w:rPr>
              <w:t>contratilidade</w:t>
            </w:r>
            <w:r>
              <w:rPr>
                <w:spacing w:val="20"/>
                <w:w w:val="105"/>
                <w:sz w:val="21"/>
              </w:rPr>
              <w:t> </w:t>
            </w:r>
            <w:r>
              <w:rPr>
                <w:spacing w:val="-2"/>
                <w:w w:val="105"/>
                <w:sz w:val="21"/>
              </w:rPr>
              <w:t>miocárdica:</w:t>
            </w:r>
          </w:p>
          <w:p>
            <w:pPr>
              <w:pStyle w:val="TableParagraph"/>
              <w:numPr>
                <w:ilvl w:val="0"/>
                <w:numId w:val="8"/>
              </w:numPr>
              <w:tabs>
                <w:tab w:pos="210" w:val="left" w:leader="none"/>
              </w:tabs>
              <w:spacing w:line="240" w:lineRule="auto" w:before="211" w:after="0"/>
              <w:ind w:left="210" w:right="0" w:hanging="144"/>
              <w:jc w:val="left"/>
              <w:rPr>
                <w:sz w:val="21"/>
              </w:rPr>
            </w:pPr>
            <w:r>
              <w:rPr>
                <w:w w:val="105"/>
                <w:sz w:val="21"/>
              </w:rPr>
              <w:t>Anestesia</w:t>
            </w:r>
            <w:r>
              <w:rPr>
                <w:spacing w:val="19"/>
                <w:w w:val="105"/>
                <w:sz w:val="21"/>
              </w:rPr>
              <w:t> </w:t>
            </w:r>
            <w:r>
              <w:rPr>
                <w:spacing w:val="-4"/>
                <w:w w:val="105"/>
                <w:sz w:val="21"/>
              </w:rPr>
              <w:t>geral</w:t>
            </w:r>
          </w:p>
        </w:tc>
      </w:tr>
      <w:tr>
        <w:trPr>
          <w:trHeight w:val="1743" w:hRule="atLeast"/>
        </w:trPr>
        <w:tc>
          <w:tcPr>
            <w:tcW w:w="6382" w:type="dxa"/>
            <w:tcBorders>
              <w:left w:val="nil"/>
              <w:bottom w:val="nil"/>
            </w:tcBorders>
            <w:shd w:val="clear" w:color="auto" w:fill="EDECF3"/>
          </w:tcPr>
          <w:p>
            <w:pPr>
              <w:pStyle w:val="TableParagraph"/>
              <w:ind w:left="67"/>
              <w:rPr>
                <w:sz w:val="21"/>
              </w:rPr>
            </w:pPr>
            <w:r>
              <w:rPr>
                <w:w w:val="105"/>
                <w:sz w:val="21"/>
              </w:rPr>
              <w:t>Diminuindo</w:t>
            </w:r>
            <w:r>
              <w:rPr>
                <w:spacing w:val="19"/>
                <w:w w:val="105"/>
                <w:sz w:val="21"/>
              </w:rPr>
              <w:t> </w:t>
            </w:r>
            <w:r>
              <w:rPr>
                <w:w w:val="105"/>
                <w:sz w:val="21"/>
              </w:rPr>
              <w:t>a</w:t>
            </w:r>
            <w:r>
              <w:rPr>
                <w:spacing w:val="20"/>
                <w:w w:val="105"/>
                <w:sz w:val="21"/>
              </w:rPr>
              <w:t> </w:t>
            </w:r>
            <w:r>
              <w:rPr>
                <w:w w:val="105"/>
                <w:sz w:val="21"/>
              </w:rPr>
              <w:t>pré-</w:t>
            </w:r>
            <w:r>
              <w:rPr>
                <w:spacing w:val="-2"/>
                <w:w w:val="105"/>
                <w:sz w:val="21"/>
              </w:rPr>
              <w:t>carga:</w:t>
            </w:r>
          </w:p>
          <w:p>
            <w:pPr>
              <w:pStyle w:val="TableParagraph"/>
              <w:numPr>
                <w:ilvl w:val="0"/>
                <w:numId w:val="9"/>
              </w:numPr>
              <w:tabs>
                <w:tab w:pos="211" w:val="left" w:leader="none"/>
              </w:tabs>
              <w:spacing w:line="240" w:lineRule="auto" w:before="211" w:after="0"/>
              <w:ind w:left="211" w:right="0" w:hanging="144"/>
              <w:jc w:val="left"/>
              <w:rPr>
                <w:sz w:val="21"/>
              </w:rPr>
            </w:pPr>
            <w:r>
              <w:rPr>
                <w:w w:val="105"/>
                <w:sz w:val="21"/>
              </w:rPr>
              <w:t>Manobra</w:t>
            </w:r>
            <w:r>
              <w:rPr>
                <w:spacing w:val="19"/>
                <w:w w:val="105"/>
                <w:sz w:val="21"/>
              </w:rPr>
              <w:t> </w:t>
            </w:r>
            <w:r>
              <w:rPr>
                <w:w w:val="105"/>
                <w:sz w:val="21"/>
              </w:rPr>
              <w:t>de</w:t>
            </w:r>
            <w:r>
              <w:rPr>
                <w:spacing w:val="20"/>
                <w:w w:val="105"/>
                <w:sz w:val="21"/>
              </w:rPr>
              <w:t> </w:t>
            </w:r>
            <w:r>
              <w:rPr>
                <w:spacing w:val="-2"/>
                <w:w w:val="105"/>
                <w:sz w:val="21"/>
              </w:rPr>
              <w:t>Valsalva</w:t>
            </w:r>
          </w:p>
          <w:p>
            <w:pPr>
              <w:pStyle w:val="TableParagraph"/>
              <w:numPr>
                <w:ilvl w:val="0"/>
                <w:numId w:val="9"/>
              </w:numPr>
              <w:tabs>
                <w:tab w:pos="211" w:val="left" w:leader="none"/>
              </w:tabs>
              <w:spacing w:line="240" w:lineRule="auto" w:before="195" w:after="0"/>
              <w:ind w:left="211" w:right="0" w:hanging="144"/>
              <w:jc w:val="left"/>
              <w:rPr>
                <w:sz w:val="21"/>
              </w:rPr>
            </w:pPr>
            <w:r>
              <w:rPr>
                <w:w w:val="105"/>
                <w:sz w:val="21"/>
              </w:rPr>
              <w:t>Uso</w:t>
            </w:r>
            <w:r>
              <w:rPr>
                <w:spacing w:val="12"/>
                <w:w w:val="105"/>
                <w:sz w:val="21"/>
              </w:rPr>
              <w:t> </w:t>
            </w:r>
            <w:r>
              <w:rPr>
                <w:w w:val="105"/>
                <w:sz w:val="21"/>
              </w:rPr>
              <w:t>de</w:t>
            </w:r>
            <w:r>
              <w:rPr>
                <w:spacing w:val="12"/>
                <w:w w:val="105"/>
                <w:sz w:val="21"/>
              </w:rPr>
              <w:t> </w:t>
            </w:r>
            <w:r>
              <w:rPr>
                <w:spacing w:val="-2"/>
                <w:w w:val="105"/>
                <w:sz w:val="21"/>
              </w:rPr>
              <w:t>diuréticos</w:t>
            </w:r>
          </w:p>
          <w:p>
            <w:pPr>
              <w:pStyle w:val="TableParagraph"/>
              <w:numPr>
                <w:ilvl w:val="0"/>
                <w:numId w:val="9"/>
              </w:numPr>
              <w:tabs>
                <w:tab w:pos="211" w:val="left" w:leader="none"/>
              </w:tabs>
              <w:spacing w:line="240" w:lineRule="auto" w:before="195" w:after="0"/>
              <w:ind w:left="211" w:right="0" w:hanging="144"/>
              <w:jc w:val="left"/>
              <w:rPr>
                <w:sz w:val="21"/>
              </w:rPr>
            </w:pPr>
            <w:r>
              <w:rPr>
                <w:w w:val="105"/>
                <w:sz w:val="21"/>
              </w:rPr>
              <w:t>Posição</w:t>
            </w:r>
            <w:r>
              <w:rPr>
                <w:spacing w:val="26"/>
                <w:w w:val="105"/>
                <w:sz w:val="21"/>
              </w:rPr>
              <w:t> </w:t>
            </w:r>
            <w:r>
              <w:rPr>
                <w:w w:val="105"/>
                <w:sz w:val="21"/>
              </w:rPr>
              <w:t>postural</w:t>
            </w:r>
            <w:r>
              <w:rPr>
                <w:spacing w:val="16"/>
                <w:w w:val="105"/>
                <w:sz w:val="21"/>
              </w:rPr>
              <w:t> </w:t>
            </w:r>
            <w:r>
              <w:rPr>
                <w:w w:val="105"/>
                <w:sz w:val="21"/>
              </w:rPr>
              <w:t>ereta</w:t>
            </w:r>
            <w:r>
              <w:rPr>
                <w:spacing w:val="27"/>
                <w:w w:val="105"/>
                <w:sz w:val="21"/>
              </w:rPr>
              <w:t> </w:t>
            </w:r>
            <w:r>
              <w:rPr>
                <w:spacing w:val="-2"/>
                <w:w w:val="105"/>
                <w:sz w:val="21"/>
              </w:rPr>
              <w:t>rápida</w:t>
            </w:r>
          </w:p>
        </w:tc>
        <w:tc>
          <w:tcPr>
            <w:tcW w:w="4236" w:type="dxa"/>
            <w:tcBorders>
              <w:bottom w:val="nil"/>
              <w:right w:val="nil"/>
            </w:tcBorders>
            <w:shd w:val="clear" w:color="auto" w:fill="EDECF3"/>
          </w:tcPr>
          <w:p>
            <w:pPr>
              <w:pStyle w:val="TableParagraph"/>
              <w:ind w:left="66"/>
              <w:rPr>
                <w:sz w:val="21"/>
              </w:rPr>
            </w:pPr>
            <w:r>
              <w:rPr>
                <w:w w:val="105"/>
                <w:sz w:val="21"/>
              </w:rPr>
              <w:t>Aumentando</w:t>
            </w:r>
            <w:r>
              <w:rPr>
                <w:spacing w:val="27"/>
                <w:w w:val="105"/>
                <w:sz w:val="21"/>
              </w:rPr>
              <w:t> </w:t>
            </w:r>
            <w:r>
              <w:rPr>
                <w:w w:val="105"/>
                <w:sz w:val="21"/>
              </w:rPr>
              <w:t>a</w:t>
            </w:r>
            <w:r>
              <w:rPr>
                <w:spacing w:val="28"/>
                <w:w w:val="105"/>
                <w:sz w:val="21"/>
              </w:rPr>
              <w:t> </w:t>
            </w:r>
            <w:r>
              <w:rPr>
                <w:w w:val="105"/>
                <w:sz w:val="21"/>
              </w:rPr>
              <w:t>pré-</w:t>
            </w:r>
            <w:r>
              <w:rPr>
                <w:spacing w:val="-2"/>
                <w:w w:val="105"/>
                <w:sz w:val="21"/>
              </w:rPr>
              <w:t>carga:</w:t>
            </w:r>
          </w:p>
          <w:p>
            <w:pPr>
              <w:pStyle w:val="TableParagraph"/>
              <w:numPr>
                <w:ilvl w:val="0"/>
                <w:numId w:val="10"/>
              </w:numPr>
              <w:tabs>
                <w:tab w:pos="210" w:val="left" w:leader="none"/>
              </w:tabs>
              <w:spacing w:line="240" w:lineRule="auto" w:before="211" w:after="0"/>
              <w:ind w:left="210" w:right="0" w:hanging="144"/>
              <w:jc w:val="left"/>
              <w:rPr>
                <w:sz w:val="21"/>
              </w:rPr>
            </w:pPr>
            <w:r>
              <w:rPr>
                <w:w w:val="105"/>
                <w:sz w:val="21"/>
              </w:rPr>
              <w:t>Elevação</w:t>
            </w:r>
            <w:r>
              <w:rPr>
                <w:spacing w:val="16"/>
                <w:w w:val="105"/>
                <w:sz w:val="21"/>
              </w:rPr>
              <w:t> </w:t>
            </w:r>
            <w:r>
              <w:rPr>
                <w:w w:val="105"/>
                <w:sz w:val="21"/>
              </w:rPr>
              <w:t>dos</w:t>
            </w:r>
            <w:r>
              <w:rPr>
                <w:spacing w:val="12"/>
                <w:w w:val="105"/>
                <w:sz w:val="21"/>
              </w:rPr>
              <w:t> </w:t>
            </w:r>
            <w:r>
              <w:rPr>
                <w:w w:val="105"/>
                <w:sz w:val="21"/>
              </w:rPr>
              <w:t>membros</w:t>
            </w:r>
            <w:r>
              <w:rPr>
                <w:spacing w:val="12"/>
                <w:w w:val="105"/>
                <w:sz w:val="21"/>
              </w:rPr>
              <w:t> </w:t>
            </w:r>
            <w:r>
              <w:rPr>
                <w:spacing w:val="-2"/>
                <w:w w:val="105"/>
                <w:sz w:val="21"/>
              </w:rPr>
              <w:t>inferiores</w:t>
            </w:r>
          </w:p>
          <w:p>
            <w:pPr>
              <w:pStyle w:val="TableParagraph"/>
              <w:numPr>
                <w:ilvl w:val="0"/>
                <w:numId w:val="10"/>
              </w:numPr>
              <w:tabs>
                <w:tab w:pos="210" w:val="left" w:leader="none"/>
              </w:tabs>
              <w:spacing w:line="240" w:lineRule="auto" w:before="195" w:after="0"/>
              <w:ind w:left="210" w:right="0" w:hanging="144"/>
              <w:jc w:val="left"/>
              <w:rPr>
                <w:sz w:val="21"/>
              </w:rPr>
            </w:pPr>
            <w:r>
              <w:rPr>
                <w:w w:val="105"/>
                <w:sz w:val="21"/>
              </w:rPr>
              <w:t>Depois</w:t>
            </w:r>
            <w:r>
              <w:rPr>
                <w:spacing w:val="14"/>
                <w:w w:val="105"/>
                <w:sz w:val="21"/>
              </w:rPr>
              <w:t> </w:t>
            </w:r>
            <w:r>
              <w:rPr>
                <w:w w:val="105"/>
                <w:sz w:val="21"/>
              </w:rPr>
              <w:t>da</w:t>
            </w:r>
            <w:r>
              <w:rPr>
                <w:spacing w:val="18"/>
                <w:w w:val="105"/>
                <w:sz w:val="21"/>
              </w:rPr>
              <w:t> </w:t>
            </w:r>
            <w:r>
              <w:rPr>
                <w:w w:val="105"/>
                <w:sz w:val="21"/>
              </w:rPr>
              <w:t>manobra</w:t>
            </w:r>
            <w:r>
              <w:rPr>
                <w:spacing w:val="19"/>
                <w:w w:val="105"/>
                <w:sz w:val="21"/>
              </w:rPr>
              <w:t> </w:t>
            </w:r>
            <w:r>
              <w:rPr>
                <w:w w:val="105"/>
                <w:sz w:val="21"/>
              </w:rPr>
              <w:t>de</w:t>
            </w:r>
            <w:r>
              <w:rPr>
                <w:spacing w:val="18"/>
                <w:w w:val="105"/>
                <w:sz w:val="21"/>
              </w:rPr>
              <w:t> </w:t>
            </w:r>
            <w:r>
              <w:rPr>
                <w:spacing w:val="-2"/>
                <w:w w:val="105"/>
                <w:sz w:val="21"/>
              </w:rPr>
              <w:t>Valsalva</w:t>
            </w:r>
          </w:p>
        </w:tc>
      </w:tr>
    </w:tbl>
    <w:p>
      <w:pPr>
        <w:pStyle w:val="BodyText"/>
        <w:spacing w:line="276" w:lineRule="auto" w:before="156"/>
        <w:ind w:right="491"/>
      </w:pPr>
      <w:r>
        <w:rPr/>
        <w:t>Como em mais da metade dos pacientes existe algum erro genético, é importante que se realize a avaliação clínica com estudo eletro e ecocardiográfico em familiares em primeiro grau, de forma ascendente e descendente, com o objetivo de diagnóstico precoce para orientação e acompanhamento. O estudo genético também pode ser realizado, uma</w:t>
      </w:r>
      <w:r>
        <w:rPr>
          <w:spacing w:val="-2"/>
        </w:rPr>
        <w:t> </w:t>
      </w:r>
      <w:r>
        <w:rPr/>
        <w:t>vez</w:t>
      </w:r>
      <w:r>
        <w:rPr>
          <w:spacing w:val="-2"/>
        </w:rPr>
        <w:t> </w:t>
      </w:r>
      <w:r>
        <w:rPr/>
        <w:t>que</w:t>
      </w:r>
      <w:r>
        <w:rPr>
          <w:spacing w:val="-2"/>
        </w:rPr>
        <w:t> </w:t>
      </w:r>
      <w:r>
        <w:rPr/>
        <w:t>apesar de</w:t>
      </w:r>
      <w:r>
        <w:rPr>
          <w:spacing w:val="-2"/>
        </w:rPr>
        <w:t> </w:t>
      </w:r>
      <w:r>
        <w:rPr/>
        <w:t>complexo, está</w:t>
      </w:r>
      <w:r>
        <w:rPr>
          <w:spacing w:val="-2"/>
        </w:rPr>
        <w:t> </w:t>
      </w:r>
      <w:r>
        <w:rPr/>
        <w:t>ficando cada</w:t>
      </w:r>
      <w:r>
        <w:rPr>
          <w:spacing w:val="-2"/>
        </w:rPr>
        <w:t> </w:t>
      </w:r>
      <w:r>
        <w:rPr/>
        <w:t>vez</w:t>
      </w:r>
      <w:r>
        <w:rPr>
          <w:spacing w:val="-2"/>
        </w:rPr>
        <w:t> </w:t>
      </w:r>
      <w:r>
        <w:rPr/>
        <w:t>mais acessível.</w:t>
      </w:r>
    </w:p>
    <w:p>
      <w:pPr>
        <w:pStyle w:val="BodyText"/>
        <w:spacing w:before="134"/>
        <w:ind w:left="0" w:firstLine="0"/>
        <w:jc w:val="left"/>
      </w:pPr>
    </w:p>
    <w:p>
      <w:pPr>
        <w:pStyle w:val="Heading5"/>
      </w:pPr>
      <w:r>
        <w:rPr>
          <w:color w:val="A26108"/>
          <w:spacing w:val="-2"/>
        </w:rPr>
        <w:t>Eletrocardiografia</w:t>
      </w:r>
    </w:p>
    <w:p>
      <w:pPr>
        <w:pStyle w:val="BodyText"/>
        <w:spacing w:line="276" w:lineRule="auto" w:before="138"/>
        <w:ind w:right="497"/>
      </w:pPr>
      <w:r>
        <w:rPr/>
        <w:t>O ECG de repouso em 12 derivações está alterado em 90% dos pacientes, sendo: a sobrecarga ventricular esquerda com alteração do segmento S-T e inversão da onda T, a sobrecarga atrial esquerda e ondas Q anormais (</w:t>
      </w:r>
      <w:r>
        <w:rPr>
          <w:color w:val="505050"/>
        </w:rPr>
        <w:t>Figura 50.2</w:t>
      </w:r>
      <w:r>
        <w:rPr/>
        <w:t>). Fibrilação atrial (FA) é observada em 5 a 8% dos pacientes e 1 a 2% têm síndrome de Wolff-Parkinson-White associada.</w:t>
      </w:r>
    </w:p>
    <w:p>
      <w:pPr>
        <w:pStyle w:val="BodyText"/>
        <w:spacing w:after="0" w:line="276" w:lineRule="auto"/>
        <w:sectPr>
          <w:pgSz w:w="11900" w:h="16840"/>
          <w:pgMar w:top="220" w:bottom="280" w:left="566" w:right="141"/>
        </w:sectPr>
      </w:pPr>
    </w:p>
    <w:p>
      <w:pPr>
        <w:spacing w:line="240" w:lineRule="auto"/>
        <w:ind w:left="2180" w:right="0" w:firstLine="0"/>
        <w:rPr>
          <w:sz w:val="20"/>
        </w:rPr>
      </w:pPr>
      <w:r>
        <w:rPr>
          <w:sz w:val="20"/>
        </w:rPr>
        <w:drawing>
          <wp:inline distT="0" distB="0" distL="0" distR="0">
            <wp:extent cx="4076698" cy="6227159"/>
            <wp:effectExtent l="0" t="0" r="0" b="0"/>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4076698" cy="6227159"/>
                    </a:xfrm>
                    <a:prstGeom prst="rect">
                      <a:avLst/>
                    </a:prstGeom>
                  </pic:spPr>
                </pic:pic>
              </a:graphicData>
            </a:graphic>
          </wp:inline>
        </w:drawing>
      </w:r>
      <w:r>
        <w:rPr>
          <w:sz w:val="20"/>
        </w:rPr>
      </w:r>
    </w:p>
    <w:p>
      <w:pPr>
        <w:pStyle w:val="BodyText"/>
        <w:spacing w:before="39"/>
        <w:ind w:left="0" w:firstLine="0"/>
        <w:jc w:val="left"/>
        <w:rPr>
          <w:sz w:val="19"/>
        </w:rPr>
      </w:pPr>
    </w:p>
    <w:p>
      <w:pPr>
        <w:spacing w:line="285" w:lineRule="auto" w:before="0"/>
        <w:ind w:left="68" w:right="508" w:firstLine="0"/>
        <w:jc w:val="both"/>
        <w:rPr>
          <w:rFonts w:ascii="Microsoft Sans Serif" w:hAnsi="Microsoft Sans Serif"/>
          <w:sz w:val="19"/>
        </w:rPr>
      </w:pPr>
      <w:r>
        <w:rPr>
          <w:rFonts w:ascii="Arial" w:hAnsi="Arial"/>
          <w:b/>
          <w:color w:val="242B67"/>
          <w:sz w:val="19"/>
        </w:rPr>
        <w:t>Figura 50.2 </w:t>
      </w:r>
      <w:r>
        <w:rPr>
          <w:rFonts w:ascii="Microsoft Sans Serif" w:hAnsi="Microsoft Sans Serif"/>
          <w:sz w:val="19"/>
        </w:rPr>
        <w:t>Eletrocardiograma (ECG) convencional de paciente com cardiomiopatia hipertrófica (CMH) apresenta</w:t>
      </w:r>
      <w:r>
        <w:rPr>
          <w:rFonts w:ascii="Microsoft Sans Serif" w:hAnsi="Microsoft Sans Serif"/>
          <w:spacing w:val="80"/>
          <w:sz w:val="19"/>
        </w:rPr>
        <w:t> </w:t>
      </w:r>
      <w:r>
        <w:rPr>
          <w:rFonts w:ascii="Microsoft Sans Serif" w:hAnsi="Microsoft Sans Serif"/>
          <w:sz w:val="19"/>
        </w:rPr>
        <w:t>sobrecarga</w:t>
      </w:r>
      <w:r>
        <w:rPr>
          <w:rFonts w:ascii="Microsoft Sans Serif" w:hAnsi="Microsoft Sans Serif"/>
          <w:spacing w:val="37"/>
          <w:sz w:val="19"/>
        </w:rPr>
        <w:t> </w:t>
      </w:r>
      <w:r>
        <w:rPr>
          <w:rFonts w:ascii="Microsoft Sans Serif" w:hAnsi="Microsoft Sans Serif"/>
          <w:sz w:val="19"/>
        </w:rPr>
        <w:t>ventricular</w:t>
      </w:r>
      <w:r>
        <w:rPr>
          <w:rFonts w:ascii="Microsoft Sans Serif" w:hAnsi="Microsoft Sans Serif"/>
          <w:spacing w:val="30"/>
          <w:sz w:val="19"/>
        </w:rPr>
        <w:t> </w:t>
      </w:r>
      <w:r>
        <w:rPr>
          <w:rFonts w:ascii="Microsoft Sans Serif" w:hAnsi="Microsoft Sans Serif"/>
          <w:sz w:val="19"/>
        </w:rPr>
        <w:t>esquerda,</w:t>
      </w:r>
      <w:r>
        <w:rPr>
          <w:rFonts w:ascii="Microsoft Sans Serif" w:hAnsi="Microsoft Sans Serif"/>
          <w:spacing w:val="23"/>
          <w:sz w:val="19"/>
        </w:rPr>
        <w:t> </w:t>
      </w:r>
      <w:r>
        <w:rPr>
          <w:rFonts w:ascii="Microsoft Sans Serif" w:hAnsi="Microsoft Sans Serif"/>
          <w:sz w:val="19"/>
        </w:rPr>
        <w:t>caracterizada</w:t>
      </w:r>
      <w:r>
        <w:rPr>
          <w:rFonts w:ascii="Microsoft Sans Serif" w:hAnsi="Microsoft Sans Serif"/>
          <w:spacing w:val="37"/>
          <w:sz w:val="19"/>
        </w:rPr>
        <w:t> </w:t>
      </w:r>
      <w:r>
        <w:rPr>
          <w:rFonts w:ascii="Microsoft Sans Serif" w:hAnsi="Microsoft Sans Serif"/>
          <w:sz w:val="19"/>
        </w:rPr>
        <w:t>por</w:t>
      </w:r>
      <w:r>
        <w:rPr>
          <w:rFonts w:ascii="Microsoft Sans Serif" w:hAnsi="Microsoft Sans Serif"/>
          <w:spacing w:val="30"/>
          <w:sz w:val="19"/>
        </w:rPr>
        <w:t> </w:t>
      </w:r>
      <w:r>
        <w:rPr>
          <w:rFonts w:ascii="Microsoft Sans Serif" w:hAnsi="Microsoft Sans Serif"/>
          <w:sz w:val="19"/>
        </w:rPr>
        <w:t>desvio</w:t>
      </w:r>
      <w:r>
        <w:rPr>
          <w:rFonts w:ascii="Microsoft Sans Serif" w:hAnsi="Microsoft Sans Serif"/>
          <w:spacing w:val="37"/>
          <w:sz w:val="19"/>
        </w:rPr>
        <w:t> </w:t>
      </w:r>
      <w:r>
        <w:rPr>
          <w:rFonts w:ascii="Microsoft Sans Serif" w:hAnsi="Microsoft Sans Serif"/>
          <w:sz w:val="19"/>
        </w:rPr>
        <w:t>de</w:t>
      </w:r>
      <w:r>
        <w:rPr>
          <w:rFonts w:ascii="Microsoft Sans Serif" w:hAnsi="Microsoft Sans Serif"/>
          <w:spacing w:val="37"/>
          <w:sz w:val="19"/>
        </w:rPr>
        <w:t> </w:t>
      </w:r>
      <w:r>
        <w:rPr>
          <w:rFonts w:ascii="Microsoft Sans Serif" w:hAnsi="Microsoft Sans Serif"/>
          <w:sz w:val="19"/>
        </w:rPr>
        <w:t>ÂQRS</w:t>
      </w:r>
      <w:r>
        <w:rPr>
          <w:rFonts w:ascii="Microsoft Sans Serif" w:hAnsi="Microsoft Sans Serif"/>
          <w:spacing w:val="30"/>
          <w:sz w:val="19"/>
        </w:rPr>
        <w:t> </w:t>
      </w:r>
      <w:r>
        <w:rPr>
          <w:rFonts w:ascii="Microsoft Sans Serif" w:hAnsi="Microsoft Sans Serif"/>
          <w:sz w:val="19"/>
        </w:rPr>
        <w:t>para</w:t>
      </w:r>
      <w:r>
        <w:rPr>
          <w:rFonts w:ascii="Microsoft Sans Serif" w:hAnsi="Microsoft Sans Serif"/>
          <w:spacing w:val="37"/>
          <w:sz w:val="19"/>
        </w:rPr>
        <w:t> </w:t>
      </w:r>
      <w:r>
        <w:rPr>
          <w:rFonts w:ascii="Microsoft Sans Serif" w:hAnsi="Microsoft Sans Serif"/>
          <w:sz w:val="19"/>
        </w:rPr>
        <w:t>a</w:t>
      </w:r>
      <w:r>
        <w:rPr>
          <w:rFonts w:ascii="Microsoft Sans Serif" w:hAnsi="Microsoft Sans Serif"/>
          <w:spacing w:val="37"/>
          <w:sz w:val="19"/>
        </w:rPr>
        <w:t> </w:t>
      </w:r>
      <w:r>
        <w:rPr>
          <w:rFonts w:ascii="Microsoft Sans Serif" w:hAnsi="Microsoft Sans Serif"/>
          <w:sz w:val="19"/>
        </w:rPr>
        <w:t>esquerda</w:t>
      </w:r>
      <w:r>
        <w:rPr>
          <w:rFonts w:ascii="Microsoft Sans Serif" w:hAnsi="Microsoft Sans Serif"/>
          <w:spacing w:val="37"/>
          <w:sz w:val="19"/>
        </w:rPr>
        <w:t> </w:t>
      </w:r>
      <w:r>
        <w:rPr>
          <w:rFonts w:ascii="Microsoft Sans Serif" w:hAnsi="Microsoft Sans Serif"/>
          <w:sz w:val="19"/>
        </w:rPr>
        <w:t>no</w:t>
      </w:r>
      <w:r>
        <w:rPr>
          <w:rFonts w:ascii="Microsoft Sans Serif" w:hAnsi="Microsoft Sans Serif"/>
          <w:spacing w:val="37"/>
          <w:sz w:val="19"/>
        </w:rPr>
        <w:t> </w:t>
      </w:r>
      <w:r>
        <w:rPr>
          <w:rFonts w:ascii="Microsoft Sans Serif" w:hAnsi="Microsoft Sans Serif"/>
          <w:sz w:val="19"/>
        </w:rPr>
        <w:t>plano</w:t>
      </w:r>
      <w:r>
        <w:rPr>
          <w:rFonts w:ascii="Microsoft Sans Serif" w:hAnsi="Microsoft Sans Serif"/>
          <w:spacing w:val="37"/>
          <w:sz w:val="19"/>
        </w:rPr>
        <w:t> </w:t>
      </w:r>
      <w:r>
        <w:rPr>
          <w:rFonts w:ascii="Microsoft Sans Serif" w:hAnsi="Microsoft Sans Serif"/>
          <w:sz w:val="19"/>
        </w:rPr>
        <w:t>frontal,</w:t>
      </w:r>
      <w:r>
        <w:rPr>
          <w:rFonts w:ascii="Microsoft Sans Serif" w:hAnsi="Microsoft Sans Serif"/>
          <w:spacing w:val="23"/>
          <w:sz w:val="19"/>
        </w:rPr>
        <w:t> </w:t>
      </w:r>
      <w:r>
        <w:rPr>
          <w:rFonts w:ascii="Microsoft Sans Serif" w:hAnsi="Microsoft Sans Serif"/>
          <w:sz w:val="19"/>
        </w:rPr>
        <w:t>onda</w:t>
      </w:r>
      <w:r>
        <w:rPr>
          <w:rFonts w:ascii="Microsoft Sans Serif" w:hAnsi="Microsoft Sans Serif"/>
          <w:spacing w:val="37"/>
          <w:sz w:val="19"/>
        </w:rPr>
        <w:t> </w:t>
      </w:r>
      <w:r>
        <w:rPr>
          <w:rFonts w:ascii="Microsoft Sans Serif" w:hAnsi="Microsoft Sans Serif"/>
          <w:sz w:val="19"/>
        </w:rPr>
        <w:t>S</w:t>
      </w:r>
      <w:r>
        <w:rPr>
          <w:rFonts w:ascii="Microsoft Sans Serif" w:hAnsi="Microsoft Sans Serif"/>
          <w:spacing w:val="30"/>
          <w:sz w:val="19"/>
        </w:rPr>
        <w:t> </w:t>
      </w:r>
      <w:r>
        <w:rPr>
          <w:rFonts w:ascii="Microsoft Sans Serif" w:hAnsi="Microsoft Sans Serif"/>
          <w:sz w:val="19"/>
        </w:rPr>
        <w:t>profunda em V1, ondas R altas em V4 e V5 e ondas T negativas de V4 a V6.</w:t>
      </w:r>
    </w:p>
    <w:p>
      <w:pPr>
        <w:pStyle w:val="BodyText"/>
        <w:spacing w:before="66"/>
        <w:ind w:left="0" w:firstLine="0"/>
        <w:jc w:val="left"/>
        <w:rPr>
          <w:rFonts w:ascii="Microsoft Sans Serif"/>
          <w:sz w:val="19"/>
        </w:rPr>
      </w:pPr>
    </w:p>
    <w:p>
      <w:pPr>
        <w:pStyle w:val="BodyText"/>
        <w:spacing w:line="283" w:lineRule="auto" w:before="0"/>
        <w:ind w:right="491"/>
      </w:pPr>
      <w:r>
        <w:rPr/>
        <w:t>Foi</w:t>
      </w:r>
      <w:r>
        <w:rPr>
          <w:spacing w:val="-3"/>
        </w:rPr>
        <w:t> </w:t>
      </w:r>
      <w:r>
        <w:rPr/>
        <w:t>descrita</w:t>
      </w:r>
      <w:r>
        <w:rPr>
          <w:spacing w:val="-9"/>
        </w:rPr>
        <w:t> </w:t>
      </w:r>
      <w:r>
        <w:rPr/>
        <w:t>inicialmente</w:t>
      </w:r>
      <w:r>
        <w:rPr>
          <w:spacing w:val="-9"/>
        </w:rPr>
        <w:t> </w:t>
      </w:r>
      <w:r>
        <w:rPr/>
        <w:t>no</w:t>
      </w:r>
      <w:r>
        <w:rPr>
          <w:spacing w:val="-6"/>
        </w:rPr>
        <w:t> </w:t>
      </w:r>
      <w:r>
        <w:rPr/>
        <w:t>Japão</w:t>
      </w:r>
      <w:r>
        <w:rPr>
          <w:spacing w:val="-6"/>
        </w:rPr>
        <w:t> </w:t>
      </w:r>
      <w:r>
        <w:rPr/>
        <w:t>uma</w:t>
      </w:r>
      <w:r>
        <w:rPr>
          <w:spacing w:val="-9"/>
        </w:rPr>
        <w:t> </w:t>
      </w:r>
      <w:r>
        <w:rPr/>
        <w:t>forma</w:t>
      </w:r>
      <w:r>
        <w:rPr>
          <w:spacing w:val="-9"/>
        </w:rPr>
        <w:t> </w:t>
      </w:r>
      <w:r>
        <w:rPr/>
        <w:t>especial</w:t>
      </w:r>
      <w:r>
        <w:rPr>
          <w:spacing w:val="-3"/>
        </w:rPr>
        <w:t> </w:t>
      </w:r>
      <w:r>
        <w:rPr/>
        <w:t>de</w:t>
      </w:r>
      <w:r>
        <w:rPr>
          <w:spacing w:val="-9"/>
        </w:rPr>
        <w:t> </w:t>
      </w:r>
      <w:r>
        <w:rPr/>
        <w:t>CMH, em</w:t>
      </w:r>
      <w:r>
        <w:rPr>
          <w:spacing w:val="-6"/>
        </w:rPr>
        <w:t> </w:t>
      </w:r>
      <w:r>
        <w:rPr/>
        <w:t>que</w:t>
      </w:r>
      <w:r>
        <w:rPr>
          <w:spacing w:val="-9"/>
        </w:rPr>
        <w:t> </w:t>
      </w:r>
      <w:r>
        <w:rPr/>
        <w:t>a</w:t>
      </w:r>
      <w:r>
        <w:rPr>
          <w:spacing w:val="-9"/>
        </w:rPr>
        <w:t> </w:t>
      </w:r>
      <w:r>
        <w:rPr/>
        <w:t>hipertrofia</w:t>
      </w:r>
      <w:r>
        <w:rPr>
          <w:spacing w:val="-9"/>
        </w:rPr>
        <w:t> </w:t>
      </w:r>
      <w:r>
        <w:rPr/>
        <w:t>está</w:t>
      </w:r>
      <w:r>
        <w:rPr>
          <w:spacing w:val="-9"/>
        </w:rPr>
        <w:t> </w:t>
      </w:r>
      <w:r>
        <w:rPr/>
        <w:t>localizada</w:t>
      </w:r>
      <w:r>
        <w:rPr>
          <w:spacing w:val="-9"/>
        </w:rPr>
        <w:t> </w:t>
      </w:r>
      <w:r>
        <w:rPr/>
        <w:t>na</w:t>
      </w:r>
      <w:r>
        <w:rPr>
          <w:spacing w:val="-9"/>
        </w:rPr>
        <w:t> </w:t>
      </w:r>
      <w:r>
        <w:rPr/>
        <w:t>ponta</w:t>
      </w:r>
      <w:r>
        <w:rPr>
          <w:spacing w:val="-9"/>
        </w:rPr>
        <w:t> </w:t>
      </w:r>
      <w:r>
        <w:rPr/>
        <w:t>do VE, acometendo 25% dos pacientes portadores dessa moléstia nesse país, e que apresentam ao ECG ondas T (</w:t>
      </w:r>
      <w:r>
        <w:rPr>
          <w:i/>
        </w:rPr>
        <w:t>gigantes</w:t>
      </w:r>
      <w:r>
        <w:rPr/>
        <w:t>) invertidas e profundas, com mais de 10 mV nas derivações precordiais.</w:t>
      </w:r>
      <w:r>
        <w:rPr>
          <w:vertAlign w:val="superscript"/>
        </w:rPr>
        <w:t>1,7</w:t>
      </w:r>
    </w:p>
    <w:p>
      <w:pPr>
        <w:pStyle w:val="BodyText"/>
        <w:spacing w:line="283" w:lineRule="auto" w:before="57"/>
        <w:ind w:right="488"/>
      </w:pPr>
      <w:r>
        <w:rPr/>
        <w:t>A</w:t>
      </w:r>
      <w:r>
        <w:rPr>
          <w:spacing w:val="-7"/>
        </w:rPr>
        <w:t> </w:t>
      </w:r>
      <w:r>
        <w:rPr/>
        <w:t>eletrocardiografia</w:t>
      </w:r>
      <w:r>
        <w:rPr>
          <w:spacing w:val="-7"/>
        </w:rPr>
        <w:t> </w:t>
      </w:r>
      <w:r>
        <w:rPr/>
        <w:t>dinâmica</w:t>
      </w:r>
      <w:r>
        <w:rPr>
          <w:spacing w:val="-7"/>
        </w:rPr>
        <w:t> </w:t>
      </w:r>
      <w:r>
        <w:rPr/>
        <w:t>de</w:t>
      </w:r>
      <w:r>
        <w:rPr>
          <w:spacing w:val="-7"/>
        </w:rPr>
        <w:t> </w:t>
      </w:r>
      <w:r>
        <w:rPr/>
        <w:t>24</w:t>
      </w:r>
      <w:r>
        <w:rPr>
          <w:spacing w:val="-5"/>
        </w:rPr>
        <w:t> </w:t>
      </w:r>
      <w:r>
        <w:rPr/>
        <w:t>h</w:t>
      </w:r>
      <w:r>
        <w:rPr>
          <w:spacing w:val="-5"/>
        </w:rPr>
        <w:t> </w:t>
      </w:r>
      <w:r>
        <w:rPr/>
        <w:t>(sistema</w:t>
      </w:r>
      <w:r>
        <w:rPr>
          <w:spacing w:val="-7"/>
        </w:rPr>
        <w:t> </w:t>
      </w:r>
      <w:r>
        <w:rPr/>
        <w:t>Holter) é</w:t>
      </w:r>
      <w:r>
        <w:rPr>
          <w:spacing w:val="-7"/>
        </w:rPr>
        <w:t> </w:t>
      </w:r>
      <w:r>
        <w:rPr/>
        <w:t>um</w:t>
      </w:r>
      <w:r>
        <w:rPr>
          <w:spacing w:val="-5"/>
        </w:rPr>
        <w:t> </w:t>
      </w:r>
      <w:r>
        <w:rPr/>
        <w:t>exame</w:t>
      </w:r>
      <w:r>
        <w:rPr>
          <w:spacing w:val="-7"/>
        </w:rPr>
        <w:t> </w:t>
      </w:r>
      <w:r>
        <w:rPr/>
        <w:t>complementar importante</w:t>
      </w:r>
      <w:r>
        <w:rPr>
          <w:spacing w:val="-7"/>
        </w:rPr>
        <w:t> </w:t>
      </w:r>
      <w:r>
        <w:rPr/>
        <w:t>e</w:t>
      </w:r>
      <w:r>
        <w:rPr>
          <w:spacing w:val="-7"/>
        </w:rPr>
        <w:t> </w:t>
      </w:r>
      <w:r>
        <w:rPr/>
        <w:t>obrigatório</w:t>
      </w:r>
      <w:r>
        <w:rPr>
          <w:spacing w:val="-5"/>
        </w:rPr>
        <w:t> </w:t>
      </w:r>
      <w:r>
        <w:rPr/>
        <w:t>para estratificação do risco de morte súbita, uma vez que vários trabalhos têm mostrado incidência de taquicardia ventricular não sustentada</w:t>
      </w:r>
      <w:r>
        <w:rPr>
          <w:spacing w:val="-1"/>
        </w:rPr>
        <w:t> </w:t>
      </w:r>
      <w:r>
        <w:rPr/>
        <w:t>(TVNS) em até</w:t>
      </w:r>
      <w:r>
        <w:rPr>
          <w:spacing w:val="-1"/>
        </w:rPr>
        <w:t> </w:t>
      </w:r>
      <w:r>
        <w:rPr/>
        <w:t>um terço dos pacientes e</w:t>
      </w:r>
      <w:r>
        <w:rPr>
          <w:spacing w:val="-1"/>
        </w:rPr>
        <w:t> </w:t>
      </w:r>
      <w:r>
        <w:rPr/>
        <w:t>relação com esse</w:t>
      </w:r>
      <w:r>
        <w:rPr>
          <w:spacing w:val="-1"/>
        </w:rPr>
        <w:t> </w:t>
      </w:r>
      <w:r>
        <w:rPr/>
        <w:t>desfecho (</w:t>
      </w:r>
      <w:r>
        <w:rPr>
          <w:color w:val="505050"/>
        </w:rPr>
        <w:t>Figura</w:t>
      </w:r>
      <w:r>
        <w:rPr>
          <w:color w:val="505050"/>
          <w:spacing w:val="-1"/>
        </w:rPr>
        <w:t> </w:t>
      </w:r>
      <w:r>
        <w:rPr>
          <w:color w:val="505050"/>
        </w:rPr>
        <w:t>50.3</w:t>
      </w:r>
      <w:r>
        <w:rPr/>
        <w:t>).</w:t>
      </w:r>
      <w:r>
        <w:rPr>
          <w:vertAlign w:val="superscript"/>
        </w:rPr>
        <w:t>9</w:t>
      </w:r>
    </w:p>
    <w:p>
      <w:pPr>
        <w:pStyle w:val="BodyText"/>
        <w:spacing w:before="126"/>
        <w:ind w:left="0" w:firstLine="0"/>
        <w:jc w:val="left"/>
      </w:pPr>
    </w:p>
    <w:p>
      <w:pPr>
        <w:pStyle w:val="Heading5"/>
      </w:pPr>
      <w:r>
        <w:rPr>
          <w:color w:val="A26108"/>
          <w:spacing w:val="-2"/>
        </w:rPr>
        <w:t>Ecocardiografia</w:t>
      </w:r>
    </w:p>
    <w:p>
      <w:pPr>
        <w:pStyle w:val="BodyText"/>
        <w:spacing w:line="283" w:lineRule="auto" w:before="138"/>
        <w:ind w:right="500"/>
      </w:pPr>
      <w:r>
        <w:rPr/>
        <w:t>É método padrão, utilizado no diagnóstico e seguimento da CMH. Permite a caracterização da hipertrofia, avaliação da obstrução da via de saída, da IMi e das funções sistólica e diastólica do VE (</w:t>
      </w:r>
      <w:r>
        <w:rPr>
          <w:color w:val="505050"/>
        </w:rPr>
        <w:t>Figura 50.1</w:t>
      </w:r>
      <w:r>
        <w:rPr/>
        <w:t>). Os principais sinais observados à ecocardiografia são:</w:t>
      </w:r>
      <w:r>
        <w:rPr>
          <w:vertAlign w:val="superscript"/>
        </w:rPr>
        <w:t>10</w:t>
      </w:r>
    </w:p>
    <w:p>
      <w:pPr>
        <w:pStyle w:val="ListParagraph"/>
        <w:numPr>
          <w:ilvl w:val="0"/>
          <w:numId w:val="11"/>
        </w:numPr>
        <w:tabs>
          <w:tab w:pos="402" w:val="left" w:leader="none"/>
        </w:tabs>
        <w:spacing w:line="276" w:lineRule="auto" w:before="153" w:after="0"/>
        <w:ind w:left="68" w:right="492" w:firstLine="0"/>
        <w:jc w:val="left"/>
        <w:rPr>
          <w:sz w:val="23"/>
        </w:rPr>
      </w:pPr>
      <w:r>
        <w:rPr>
          <w:sz w:val="23"/>
        </w:rPr>
        <w:t>Espessamento</w:t>
      </w:r>
      <w:r>
        <w:rPr>
          <w:spacing w:val="-3"/>
          <w:sz w:val="23"/>
        </w:rPr>
        <w:t> </w:t>
      </w:r>
      <w:r>
        <w:rPr>
          <w:sz w:val="23"/>
        </w:rPr>
        <w:t>de</w:t>
      </w:r>
      <w:r>
        <w:rPr>
          <w:spacing w:val="-5"/>
          <w:sz w:val="23"/>
        </w:rPr>
        <w:t> </w:t>
      </w:r>
      <w:r>
        <w:rPr>
          <w:sz w:val="23"/>
        </w:rPr>
        <w:t>qualquer segmento</w:t>
      </w:r>
      <w:r>
        <w:rPr>
          <w:spacing w:val="-3"/>
          <w:sz w:val="23"/>
        </w:rPr>
        <w:t> </w:t>
      </w:r>
      <w:r>
        <w:rPr>
          <w:sz w:val="23"/>
        </w:rPr>
        <w:t>do</w:t>
      </w:r>
      <w:r>
        <w:rPr>
          <w:spacing w:val="-3"/>
          <w:sz w:val="23"/>
        </w:rPr>
        <w:t> </w:t>
      </w:r>
      <w:r>
        <w:rPr>
          <w:sz w:val="23"/>
        </w:rPr>
        <w:t>miocárdio, principalmente</w:t>
      </w:r>
      <w:r>
        <w:rPr>
          <w:spacing w:val="-5"/>
          <w:sz w:val="23"/>
        </w:rPr>
        <w:t> </w:t>
      </w:r>
      <w:r>
        <w:rPr>
          <w:sz w:val="23"/>
        </w:rPr>
        <w:t>do</w:t>
      </w:r>
      <w:r>
        <w:rPr>
          <w:spacing w:val="-3"/>
          <w:sz w:val="23"/>
        </w:rPr>
        <w:t> </w:t>
      </w:r>
      <w:r>
        <w:rPr>
          <w:sz w:val="23"/>
        </w:rPr>
        <w:t>SIV</w:t>
      </w:r>
      <w:r>
        <w:rPr>
          <w:spacing w:val="-5"/>
          <w:sz w:val="23"/>
        </w:rPr>
        <w:t> </w:t>
      </w:r>
      <w:r>
        <w:rPr>
          <w:sz w:val="23"/>
        </w:rPr>
        <w:t>(assimétrico), maior que</w:t>
      </w:r>
      <w:r>
        <w:rPr>
          <w:spacing w:val="-5"/>
          <w:sz w:val="23"/>
        </w:rPr>
        <w:t> </w:t>
      </w:r>
      <w:r>
        <w:rPr>
          <w:sz w:val="23"/>
        </w:rPr>
        <w:t>15</w:t>
      </w:r>
      <w:r>
        <w:rPr>
          <w:spacing w:val="-3"/>
          <w:sz w:val="23"/>
        </w:rPr>
        <w:t> </w:t>
      </w:r>
      <w:r>
        <w:rPr>
          <w:sz w:val="23"/>
        </w:rPr>
        <w:t>mm, em pacientes, e de 13 mm, em familiares</w:t>
      </w:r>
    </w:p>
    <w:p>
      <w:pPr>
        <w:pStyle w:val="ListParagraph"/>
        <w:numPr>
          <w:ilvl w:val="0"/>
          <w:numId w:val="11"/>
        </w:numPr>
        <w:tabs>
          <w:tab w:pos="397" w:val="left" w:leader="none"/>
        </w:tabs>
        <w:spacing w:line="240" w:lineRule="auto" w:before="16" w:after="0"/>
        <w:ind w:left="397" w:right="0" w:hanging="329"/>
        <w:jc w:val="left"/>
        <w:rPr>
          <w:sz w:val="23"/>
        </w:rPr>
      </w:pPr>
      <w:r>
        <w:rPr>
          <w:sz w:val="23"/>
        </w:rPr>
        <w:t>Movimento</w:t>
      </w:r>
      <w:r>
        <w:rPr>
          <w:spacing w:val="-8"/>
          <w:sz w:val="23"/>
        </w:rPr>
        <w:t> </w:t>
      </w:r>
      <w:r>
        <w:rPr>
          <w:sz w:val="23"/>
        </w:rPr>
        <w:t>anterior</w:t>
      </w:r>
      <w:r>
        <w:rPr>
          <w:spacing w:val="-2"/>
          <w:sz w:val="23"/>
        </w:rPr>
        <w:t> </w:t>
      </w:r>
      <w:r>
        <w:rPr>
          <w:sz w:val="23"/>
        </w:rPr>
        <w:t>sistólico</w:t>
      </w:r>
      <w:r>
        <w:rPr>
          <w:spacing w:val="-8"/>
          <w:sz w:val="23"/>
        </w:rPr>
        <w:t> </w:t>
      </w:r>
      <w:r>
        <w:rPr>
          <w:sz w:val="23"/>
        </w:rPr>
        <w:t>da</w:t>
      </w:r>
      <w:r>
        <w:rPr>
          <w:spacing w:val="-9"/>
          <w:sz w:val="23"/>
        </w:rPr>
        <w:t> </w:t>
      </w:r>
      <w:r>
        <w:rPr>
          <w:spacing w:val="-5"/>
          <w:sz w:val="23"/>
        </w:rPr>
        <w:t>VM</w:t>
      </w:r>
    </w:p>
    <w:p>
      <w:pPr>
        <w:pStyle w:val="ListParagraph"/>
        <w:numPr>
          <w:ilvl w:val="0"/>
          <w:numId w:val="11"/>
        </w:numPr>
        <w:tabs>
          <w:tab w:pos="397" w:val="left" w:leader="none"/>
        </w:tabs>
        <w:spacing w:line="240" w:lineRule="auto" w:before="72" w:after="0"/>
        <w:ind w:left="397" w:right="0" w:hanging="329"/>
        <w:jc w:val="left"/>
        <w:rPr>
          <w:sz w:val="23"/>
        </w:rPr>
      </w:pPr>
      <w:r>
        <w:rPr>
          <w:sz w:val="23"/>
        </w:rPr>
        <w:t>Movimento</w:t>
      </w:r>
      <w:r>
        <w:rPr>
          <w:spacing w:val="-10"/>
          <w:sz w:val="23"/>
        </w:rPr>
        <w:t> </w:t>
      </w:r>
      <w:r>
        <w:rPr>
          <w:sz w:val="23"/>
        </w:rPr>
        <w:t>sistólico</w:t>
      </w:r>
      <w:r>
        <w:rPr>
          <w:spacing w:val="-9"/>
          <w:sz w:val="23"/>
        </w:rPr>
        <w:t> </w:t>
      </w:r>
      <w:r>
        <w:rPr>
          <w:sz w:val="23"/>
        </w:rPr>
        <w:t>anormal</w:t>
      </w:r>
      <w:r>
        <w:rPr>
          <w:spacing w:val="-7"/>
          <w:sz w:val="23"/>
        </w:rPr>
        <w:t> </w:t>
      </w:r>
      <w:r>
        <w:rPr>
          <w:sz w:val="23"/>
        </w:rPr>
        <w:t>da</w:t>
      </w:r>
      <w:r>
        <w:rPr>
          <w:spacing w:val="-12"/>
          <w:sz w:val="23"/>
        </w:rPr>
        <w:t> </w:t>
      </w:r>
      <w:r>
        <w:rPr>
          <w:sz w:val="23"/>
        </w:rPr>
        <w:t>valva</w:t>
      </w:r>
      <w:r>
        <w:rPr>
          <w:spacing w:val="-11"/>
          <w:sz w:val="23"/>
        </w:rPr>
        <w:t> </w:t>
      </w:r>
      <w:r>
        <w:rPr>
          <w:spacing w:val="-2"/>
          <w:sz w:val="23"/>
        </w:rPr>
        <w:t>aórtica</w:t>
      </w:r>
    </w:p>
    <w:p>
      <w:pPr>
        <w:pStyle w:val="ListParagraph"/>
        <w:spacing w:after="0" w:line="240" w:lineRule="auto"/>
        <w:jc w:val="left"/>
        <w:rPr>
          <w:sz w:val="23"/>
        </w:rPr>
        <w:sectPr>
          <w:pgSz w:w="11900" w:h="16840"/>
          <w:pgMar w:top="280" w:bottom="0" w:left="566" w:right="141"/>
        </w:sectPr>
      </w:pPr>
    </w:p>
    <w:p>
      <w:pPr>
        <w:pStyle w:val="ListParagraph"/>
        <w:numPr>
          <w:ilvl w:val="0"/>
          <w:numId w:val="11"/>
        </w:numPr>
        <w:tabs>
          <w:tab w:pos="397" w:val="left" w:leader="none"/>
        </w:tabs>
        <w:spacing w:line="240" w:lineRule="auto" w:before="61" w:after="0"/>
        <w:ind w:left="397" w:right="0" w:hanging="329"/>
        <w:jc w:val="left"/>
        <w:rPr>
          <w:sz w:val="23"/>
        </w:rPr>
      </w:pPr>
      <w:r>
        <w:rPr>
          <w:sz w:val="23"/>
        </w:rPr>
        <w:t>Cavidade</w:t>
      </w:r>
      <w:r>
        <w:rPr>
          <w:spacing w:val="-10"/>
          <w:sz w:val="23"/>
        </w:rPr>
        <w:t> </w:t>
      </w:r>
      <w:r>
        <w:rPr>
          <w:sz w:val="23"/>
        </w:rPr>
        <w:t>de</w:t>
      </w:r>
      <w:r>
        <w:rPr>
          <w:spacing w:val="-10"/>
          <w:sz w:val="23"/>
        </w:rPr>
        <w:t> </w:t>
      </w:r>
      <w:r>
        <w:rPr>
          <w:sz w:val="23"/>
        </w:rPr>
        <w:t>VE</w:t>
      </w:r>
      <w:r>
        <w:rPr>
          <w:spacing w:val="-2"/>
          <w:sz w:val="23"/>
        </w:rPr>
        <w:t> </w:t>
      </w:r>
      <w:r>
        <w:rPr>
          <w:sz w:val="23"/>
        </w:rPr>
        <w:t>normal</w:t>
      </w:r>
      <w:r>
        <w:rPr>
          <w:spacing w:val="-4"/>
          <w:sz w:val="23"/>
        </w:rPr>
        <w:t> </w:t>
      </w:r>
      <w:r>
        <w:rPr>
          <w:sz w:val="23"/>
        </w:rPr>
        <w:t>ou</w:t>
      </w:r>
      <w:r>
        <w:rPr>
          <w:spacing w:val="-7"/>
          <w:sz w:val="23"/>
        </w:rPr>
        <w:t> </w:t>
      </w:r>
      <w:r>
        <w:rPr>
          <w:spacing w:val="-2"/>
          <w:sz w:val="23"/>
        </w:rPr>
        <w:t>reduzida</w:t>
      </w:r>
    </w:p>
    <w:p>
      <w:pPr>
        <w:pStyle w:val="ListParagraph"/>
        <w:numPr>
          <w:ilvl w:val="0"/>
          <w:numId w:val="11"/>
        </w:numPr>
        <w:tabs>
          <w:tab w:pos="397" w:val="left" w:leader="none"/>
        </w:tabs>
        <w:spacing w:line="240" w:lineRule="auto" w:before="56" w:after="0"/>
        <w:ind w:left="397" w:right="0" w:hanging="329"/>
        <w:jc w:val="left"/>
        <w:rPr>
          <w:sz w:val="23"/>
        </w:rPr>
      </w:pPr>
      <w:r>
        <w:rPr>
          <w:sz w:val="23"/>
        </w:rPr>
        <w:t>AE</w:t>
      </w:r>
      <w:r>
        <w:rPr>
          <w:spacing w:val="2"/>
          <w:sz w:val="23"/>
        </w:rPr>
        <w:t> </w:t>
      </w:r>
      <w:r>
        <w:rPr>
          <w:spacing w:val="-2"/>
          <w:sz w:val="23"/>
        </w:rPr>
        <w:t>aumentado</w:t>
      </w:r>
    </w:p>
    <w:p>
      <w:pPr>
        <w:pStyle w:val="ListParagraph"/>
        <w:numPr>
          <w:ilvl w:val="0"/>
          <w:numId w:val="11"/>
        </w:numPr>
        <w:tabs>
          <w:tab w:pos="397" w:val="left" w:leader="none"/>
        </w:tabs>
        <w:spacing w:line="240" w:lineRule="auto" w:before="72" w:after="0"/>
        <w:ind w:left="397" w:right="0" w:hanging="329"/>
        <w:jc w:val="left"/>
        <w:rPr>
          <w:sz w:val="23"/>
        </w:rPr>
      </w:pPr>
      <w:r>
        <w:rPr>
          <w:sz w:val="23"/>
        </w:rPr>
        <w:t>Função</w:t>
      </w:r>
      <w:r>
        <w:rPr>
          <w:spacing w:val="-8"/>
          <w:sz w:val="23"/>
        </w:rPr>
        <w:t> </w:t>
      </w:r>
      <w:r>
        <w:rPr>
          <w:sz w:val="23"/>
        </w:rPr>
        <w:t>sistólica</w:t>
      </w:r>
      <w:r>
        <w:rPr>
          <w:spacing w:val="-9"/>
          <w:sz w:val="23"/>
        </w:rPr>
        <w:t> </w:t>
      </w:r>
      <w:r>
        <w:rPr>
          <w:sz w:val="23"/>
        </w:rPr>
        <w:t>normal</w:t>
      </w:r>
      <w:r>
        <w:rPr>
          <w:spacing w:val="-5"/>
          <w:sz w:val="23"/>
        </w:rPr>
        <w:t> </w:t>
      </w:r>
      <w:r>
        <w:rPr>
          <w:sz w:val="23"/>
        </w:rPr>
        <w:t>ou</w:t>
      </w:r>
      <w:r>
        <w:rPr>
          <w:spacing w:val="-7"/>
          <w:sz w:val="23"/>
        </w:rPr>
        <w:t> </w:t>
      </w:r>
      <w:r>
        <w:rPr>
          <w:spacing w:val="-2"/>
          <w:sz w:val="23"/>
        </w:rPr>
        <w:t>hiperdinâmica</w:t>
      </w:r>
    </w:p>
    <w:p>
      <w:pPr>
        <w:pStyle w:val="ListParagraph"/>
        <w:numPr>
          <w:ilvl w:val="0"/>
          <w:numId w:val="11"/>
        </w:numPr>
        <w:tabs>
          <w:tab w:pos="397" w:val="left" w:leader="none"/>
        </w:tabs>
        <w:spacing w:line="240" w:lineRule="auto" w:before="56" w:after="0"/>
        <w:ind w:left="397" w:right="0" w:hanging="329"/>
        <w:jc w:val="left"/>
        <w:rPr>
          <w:sz w:val="23"/>
        </w:rPr>
      </w:pPr>
      <w:r>
        <w:rPr>
          <w:spacing w:val="-2"/>
          <w:sz w:val="23"/>
        </w:rPr>
        <w:t>Disfunção</w:t>
      </w:r>
      <w:r>
        <w:rPr>
          <w:spacing w:val="1"/>
          <w:sz w:val="23"/>
        </w:rPr>
        <w:t> </w:t>
      </w:r>
      <w:r>
        <w:rPr>
          <w:spacing w:val="-2"/>
          <w:sz w:val="23"/>
        </w:rPr>
        <w:t>diastólica</w:t>
      </w:r>
    </w:p>
    <w:p>
      <w:pPr>
        <w:pStyle w:val="ListParagraph"/>
        <w:numPr>
          <w:ilvl w:val="0"/>
          <w:numId w:val="11"/>
        </w:numPr>
        <w:tabs>
          <w:tab w:pos="397" w:val="left" w:leader="none"/>
        </w:tabs>
        <w:spacing w:line="240" w:lineRule="auto" w:before="88" w:after="0"/>
        <w:ind w:left="397" w:right="0" w:hanging="329"/>
        <w:jc w:val="left"/>
        <w:rPr>
          <w:sz w:val="23"/>
        </w:rPr>
      </w:pPr>
      <w:r>
        <w:rPr>
          <w:sz w:val="23"/>
        </w:rPr>
        <w:t>Gradiente</w:t>
      </w:r>
      <w:r>
        <w:rPr>
          <w:spacing w:val="-12"/>
          <w:sz w:val="23"/>
        </w:rPr>
        <w:t> </w:t>
      </w:r>
      <w:r>
        <w:rPr>
          <w:sz w:val="23"/>
        </w:rPr>
        <w:t>de</w:t>
      </w:r>
      <w:r>
        <w:rPr>
          <w:spacing w:val="-10"/>
          <w:sz w:val="23"/>
        </w:rPr>
        <w:t> </w:t>
      </w:r>
      <w:r>
        <w:rPr>
          <w:sz w:val="23"/>
        </w:rPr>
        <w:t>VSVE</w:t>
      </w:r>
      <w:r>
        <w:rPr>
          <w:spacing w:val="-2"/>
          <w:sz w:val="23"/>
        </w:rPr>
        <w:t> </w:t>
      </w:r>
      <w:r>
        <w:rPr>
          <w:sz w:val="23"/>
        </w:rPr>
        <w:t>&gt;</w:t>
      </w:r>
      <w:r>
        <w:rPr>
          <w:spacing w:val="-6"/>
          <w:sz w:val="23"/>
        </w:rPr>
        <w:t> </w:t>
      </w:r>
      <w:r>
        <w:rPr>
          <w:sz w:val="23"/>
        </w:rPr>
        <w:t>30</w:t>
      </w:r>
      <w:r>
        <w:rPr>
          <w:spacing w:val="-7"/>
          <w:sz w:val="23"/>
        </w:rPr>
        <w:t> </w:t>
      </w:r>
      <w:r>
        <w:rPr>
          <w:sz w:val="23"/>
        </w:rPr>
        <w:t>mmHg</w:t>
      </w:r>
      <w:r>
        <w:rPr>
          <w:spacing w:val="-7"/>
          <w:sz w:val="23"/>
        </w:rPr>
        <w:t> </w:t>
      </w:r>
      <w:r>
        <w:rPr>
          <w:sz w:val="23"/>
        </w:rPr>
        <w:t>em</w:t>
      </w:r>
      <w:r>
        <w:rPr>
          <w:spacing w:val="-7"/>
          <w:sz w:val="23"/>
        </w:rPr>
        <w:t> </w:t>
      </w:r>
      <w:r>
        <w:rPr>
          <w:sz w:val="23"/>
        </w:rPr>
        <w:t>25%</w:t>
      </w:r>
      <w:r>
        <w:rPr>
          <w:spacing w:val="-5"/>
          <w:sz w:val="23"/>
        </w:rPr>
        <w:t> </w:t>
      </w:r>
      <w:r>
        <w:rPr>
          <w:sz w:val="23"/>
        </w:rPr>
        <w:t>dos</w:t>
      </w:r>
      <w:r>
        <w:rPr>
          <w:spacing w:val="1"/>
          <w:sz w:val="23"/>
        </w:rPr>
        <w:t> </w:t>
      </w:r>
      <w:r>
        <w:rPr>
          <w:sz w:val="23"/>
        </w:rPr>
        <w:t>pacientes em</w:t>
      </w:r>
      <w:r>
        <w:rPr>
          <w:spacing w:val="-7"/>
          <w:sz w:val="23"/>
        </w:rPr>
        <w:t> </w:t>
      </w:r>
      <w:r>
        <w:rPr>
          <w:sz w:val="23"/>
        </w:rPr>
        <w:t>repouso</w:t>
      </w:r>
      <w:r>
        <w:rPr>
          <w:spacing w:val="-7"/>
          <w:sz w:val="23"/>
        </w:rPr>
        <w:t> </w:t>
      </w:r>
      <w:r>
        <w:rPr>
          <w:sz w:val="23"/>
        </w:rPr>
        <w:t>e</w:t>
      </w:r>
      <w:r>
        <w:rPr>
          <w:spacing w:val="-10"/>
          <w:sz w:val="23"/>
        </w:rPr>
        <w:t> </w:t>
      </w:r>
      <w:r>
        <w:rPr>
          <w:sz w:val="23"/>
        </w:rPr>
        <w:t>em</w:t>
      </w:r>
      <w:r>
        <w:rPr>
          <w:spacing w:val="-7"/>
          <w:sz w:val="23"/>
        </w:rPr>
        <w:t> </w:t>
      </w:r>
      <w:r>
        <w:rPr>
          <w:sz w:val="23"/>
        </w:rPr>
        <w:t>75%</w:t>
      </w:r>
      <w:r>
        <w:rPr>
          <w:spacing w:val="-4"/>
          <w:sz w:val="23"/>
        </w:rPr>
        <w:t> </w:t>
      </w:r>
      <w:r>
        <w:rPr>
          <w:sz w:val="23"/>
        </w:rPr>
        <w:t>com</w:t>
      </w:r>
      <w:r>
        <w:rPr>
          <w:spacing w:val="-7"/>
          <w:sz w:val="23"/>
        </w:rPr>
        <w:t> </w:t>
      </w:r>
      <w:r>
        <w:rPr>
          <w:spacing w:val="-2"/>
          <w:sz w:val="23"/>
        </w:rPr>
        <w:t>exercício.</w:t>
      </w:r>
      <w:r>
        <w:rPr>
          <w:spacing w:val="-2"/>
          <w:sz w:val="23"/>
          <w:vertAlign w:val="superscript"/>
        </w:rPr>
        <w:t>11</w:t>
      </w:r>
    </w:p>
    <w:p>
      <w:pPr>
        <w:pStyle w:val="BodyText"/>
        <w:spacing w:before="173"/>
        <w:ind w:left="0" w:firstLine="0"/>
        <w:jc w:val="left"/>
      </w:pPr>
    </w:p>
    <w:p>
      <w:pPr>
        <w:pStyle w:val="Heading5"/>
      </w:pPr>
      <w:r>
        <w:rPr>
          <w:color w:val="A26108"/>
        </w:rPr>
        <w:t>Ressonância</w:t>
      </w:r>
      <w:r>
        <w:rPr>
          <w:color w:val="A26108"/>
          <w:spacing w:val="39"/>
        </w:rPr>
        <w:t> </w:t>
      </w:r>
      <w:r>
        <w:rPr>
          <w:color w:val="A26108"/>
          <w:spacing w:val="-2"/>
        </w:rPr>
        <w:t>magnética</w:t>
      </w:r>
    </w:p>
    <w:p>
      <w:pPr>
        <w:pStyle w:val="BodyText"/>
        <w:spacing w:line="283" w:lineRule="auto" w:before="122"/>
        <w:ind w:right="488"/>
      </w:pPr>
      <w:r>
        <w:rPr/>
        <w:t>Tem sido utilizada atualmente para melhor avaliar a presença e distribuição da hipertrofia e da quantidade de fibrose com a utilização de gadolínio. A literatura tem mostrado uma relação entre a presença e quantidade de fibrose e a morte súbita, e, portanto, pior prognóstico, podendo ser utilizada na estratificação de risco.</w:t>
      </w:r>
      <w:r>
        <w:rPr>
          <w:vertAlign w:val="superscript"/>
        </w:rPr>
        <w:t>12,13</w:t>
      </w:r>
    </w:p>
    <w:p>
      <w:pPr>
        <w:pStyle w:val="BodyText"/>
        <w:spacing w:line="276" w:lineRule="auto" w:before="57"/>
        <w:ind w:right="491"/>
      </w:pPr>
      <w:r>
        <w:rPr/>
        <w:t>Atualmente, outros exames complementares, como o estudo hemodinâmico e o angiocardiográfico, são indicados em</w:t>
      </w:r>
      <w:r>
        <w:rPr>
          <w:spacing w:val="-7"/>
        </w:rPr>
        <w:t> </w:t>
      </w:r>
      <w:r>
        <w:rPr/>
        <w:t>casos em</w:t>
      </w:r>
      <w:r>
        <w:rPr>
          <w:spacing w:val="-7"/>
        </w:rPr>
        <w:t> </w:t>
      </w:r>
      <w:r>
        <w:rPr/>
        <w:t>que</w:t>
      </w:r>
      <w:r>
        <w:rPr>
          <w:spacing w:val="-9"/>
        </w:rPr>
        <w:t> </w:t>
      </w:r>
      <w:r>
        <w:rPr/>
        <w:t>se</w:t>
      </w:r>
      <w:r>
        <w:rPr>
          <w:spacing w:val="-9"/>
        </w:rPr>
        <w:t> </w:t>
      </w:r>
      <w:r>
        <w:rPr/>
        <w:t>pretende</w:t>
      </w:r>
      <w:r>
        <w:rPr>
          <w:spacing w:val="-9"/>
        </w:rPr>
        <w:t> </w:t>
      </w:r>
      <w:r>
        <w:rPr/>
        <w:t>indicar</w:t>
      </w:r>
      <w:r>
        <w:rPr>
          <w:spacing w:val="-1"/>
        </w:rPr>
        <w:t> </w:t>
      </w:r>
      <w:r>
        <w:rPr/>
        <w:t>tratamento</w:t>
      </w:r>
      <w:r>
        <w:rPr>
          <w:spacing w:val="-7"/>
        </w:rPr>
        <w:t> </w:t>
      </w:r>
      <w:r>
        <w:rPr/>
        <w:t>cirúrgico</w:t>
      </w:r>
      <w:r>
        <w:rPr>
          <w:spacing w:val="-7"/>
        </w:rPr>
        <w:t> </w:t>
      </w:r>
      <w:r>
        <w:rPr/>
        <w:t>ou</w:t>
      </w:r>
      <w:r>
        <w:rPr>
          <w:spacing w:val="-7"/>
        </w:rPr>
        <w:t> </w:t>
      </w:r>
      <w:r>
        <w:rPr/>
        <w:t>terapia</w:t>
      </w:r>
      <w:r>
        <w:rPr>
          <w:spacing w:val="-9"/>
        </w:rPr>
        <w:t> </w:t>
      </w:r>
      <w:r>
        <w:rPr/>
        <w:t>percutânea</w:t>
      </w:r>
      <w:r>
        <w:rPr>
          <w:spacing w:val="-9"/>
        </w:rPr>
        <w:t> </w:t>
      </w:r>
      <w:r>
        <w:rPr/>
        <w:t>transcoronária</w:t>
      </w:r>
      <w:r>
        <w:rPr>
          <w:spacing w:val="-9"/>
        </w:rPr>
        <w:t> </w:t>
      </w:r>
      <w:r>
        <w:rPr/>
        <w:t>de</w:t>
      </w:r>
      <w:r>
        <w:rPr>
          <w:spacing w:val="-9"/>
        </w:rPr>
        <w:t> </w:t>
      </w:r>
      <w:r>
        <w:rPr/>
        <w:t>redução da hipertrofia miocárdica, ou em protocolos de pesquisa.</w:t>
      </w:r>
    </w:p>
    <w:p>
      <w:pPr>
        <w:pStyle w:val="BodyText"/>
        <w:spacing w:before="185"/>
        <w:ind w:left="0" w:firstLine="0"/>
        <w:jc w:val="left"/>
      </w:pPr>
    </w:p>
    <w:p>
      <w:pPr>
        <w:pStyle w:val="Heading4"/>
        <w:spacing w:before="1"/>
      </w:pPr>
      <w:r>
        <w:rPr>
          <w:color w:val="242B67"/>
          <w:spacing w:val="-2"/>
        </w:rPr>
        <w:t>Tratamento</w:t>
      </w:r>
    </w:p>
    <w:p>
      <w:pPr>
        <w:pStyle w:val="BodyText"/>
        <w:spacing w:line="285" w:lineRule="auto" w:before="131"/>
        <w:ind w:right="488"/>
      </w:pPr>
      <w:r>
        <w:rPr/>
        <w:t>O</w:t>
      </w:r>
      <w:r>
        <w:rPr>
          <w:spacing w:val="-3"/>
        </w:rPr>
        <w:t> </w:t>
      </w:r>
      <w:r>
        <w:rPr/>
        <w:t>objetivo do tratamento é</w:t>
      </w:r>
      <w:r>
        <w:rPr>
          <w:spacing w:val="-2"/>
        </w:rPr>
        <w:t> </w:t>
      </w:r>
      <w:r>
        <w:rPr/>
        <w:t>aliviar os sintomas, melhorando assim a</w:t>
      </w:r>
      <w:r>
        <w:rPr>
          <w:spacing w:val="-2"/>
        </w:rPr>
        <w:t> </w:t>
      </w:r>
      <w:r>
        <w:rPr/>
        <w:t>qualidade</w:t>
      </w:r>
      <w:r>
        <w:rPr>
          <w:spacing w:val="-2"/>
        </w:rPr>
        <w:t> </w:t>
      </w:r>
      <w:r>
        <w:rPr/>
        <w:t>de</w:t>
      </w:r>
      <w:r>
        <w:rPr>
          <w:spacing w:val="-2"/>
        </w:rPr>
        <w:t> </w:t>
      </w:r>
      <w:r>
        <w:rPr/>
        <w:t>vida</w:t>
      </w:r>
      <w:r>
        <w:rPr>
          <w:spacing w:val="-2"/>
        </w:rPr>
        <w:t> </w:t>
      </w:r>
      <w:r>
        <w:rPr/>
        <w:t>e, a</w:t>
      </w:r>
      <w:r>
        <w:rPr>
          <w:spacing w:val="-2"/>
        </w:rPr>
        <w:t> </w:t>
      </w:r>
      <w:r>
        <w:rPr/>
        <w:t>longo prazo, evitar a progressão da doença e a morte súbita.</w:t>
      </w:r>
      <w:r>
        <w:rPr>
          <w:vertAlign w:val="superscript"/>
        </w:rPr>
        <w:t>14,15</w:t>
      </w:r>
      <w:r>
        <w:rPr>
          <w:vertAlign w:val="baseline"/>
        </w:rPr>
        <w:t> Quanto a esta última, parece que tanto o tratamento clínico como o cirúrgico não a modificam. Entretanto, trabalhos mais recentes com o tratamento das arritmias com fármacos e, principalmente, o uso de cardiodesfibriladores tem mostrado melhor prognóstico (</w:t>
      </w:r>
      <w:r>
        <w:rPr>
          <w:color w:val="505050"/>
          <w:vertAlign w:val="baseline"/>
        </w:rPr>
        <w:t>Figura 50.4</w:t>
      </w:r>
      <w:r>
        <w:rPr>
          <w:vertAlign w:val="baseline"/>
        </w:rPr>
        <w:t>).</w:t>
      </w:r>
      <w:r>
        <w:rPr>
          <w:vertAlign w:val="superscript"/>
        </w:rPr>
        <w:t>16,17</w:t>
      </w:r>
    </w:p>
    <w:p>
      <w:pPr>
        <w:pStyle w:val="BodyText"/>
        <w:spacing w:before="23"/>
        <w:ind w:left="0" w:firstLine="0"/>
        <w:jc w:val="left"/>
        <w:rPr>
          <w:sz w:val="20"/>
        </w:rPr>
      </w:pPr>
      <w:r>
        <w:rPr>
          <w:sz w:val="20"/>
        </w:rPr>
        <w:drawing>
          <wp:anchor distT="0" distB="0" distL="0" distR="0" allowOverlap="1" layoutInCell="1" locked="0" behindDoc="1" simplePos="0" relativeHeight="487590912">
            <wp:simplePos x="0" y="0"/>
            <wp:positionH relativeFrom="page">
              <wp:posOffset>2150922</wp:posOffset>
            </wp:positionH>
            <wp:positionV relativeFrom="paragraph">
              <wp:posOffset>176471</wp:posOffset>
            </wp:positionV>
            <wp:extent cx="3261350" cy="202815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3261350" cy="2028158"/>
                    </a:xfrm>
                    <a:prstGeom prst="rect">
                      <a:avLst/>
                    </a:prstGeom>
                  </pic:spPr>
                </pic:pic>
              </a:graphicData>
            </a:graphic>
          </wp:anchor>
        </w:drawing>
      </w:r>
    </w:p>
    <w:p>
      <w:pPr>
        <w:pStyle w:val="BodyText"/>
        <w:spacing w:before="6"/>
        <w:ind w:left="0" w:firstLine="0"/>
        <w:jc w:val="left"/>
      </w:pPr>
    </w:p>
    <w:p>
      <w:pPr>
        <w:spacing w:line="285" w:lineRule="auto" w:before="1"/>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80"/>
          <w:sz w:val="19"/>
        </w:rPr>
        <w:t> </w:t>
      </w:r>
      <w:r>
        <w:rPr>
          <w:rFonts w:ascii="Arial" w:hAnsi="Arial"/>
          <w:b/>
          <w:color w:val="242B67"/>
          <w:sz w:val="19"/>
        </w:rPr>
        <w:t>50.1</w:t>
      </w:r>
      <w:r>
        <w:rPr>
          <w:rFonts w:ascii="Arial" w:hAnsi="Arial"/>
          <w:b/>
          <w:color w:val="242B67"/>
          <w:spacing w:val="80"/>
          <w:sz w:val="19"/>
        </w:rPr>
        <w:t> </w:t>
      </w:r>
      <w:r>
        <w:rPr>
          <w:rFonts w:ascii="Microsoft Sans Serif" w:hAnsi="Microsoft Sans Serif"/>
          <w:sz w:val="19"/>
        </w:rPr>
        <w:t>Ecocardiograma</w:t>
      </w:r>
      <w:r>
        <w:rPr>
          <w:rFonts w:ascii="Microsoft Sans Serif" w:hAnsi="Microsoft Sans Serif"/>
          <w:spacing w:val="80"/>
          <w:sz w:val="19"/>
        </w:rPr>
        <w:t> </w:t>
      </w:r>
      <w:r>
        <w:rPr>
          <w:rFonts w:ascii="Microsoft Sans Serif" w:hAnsi="Microsoft Sans Serif"/>
          <w:sz w:val="19"/>
        </w:rPr>
        <w:t>de</w:t>
      </w:r>
      <w:r>
        <w:rPr>
          <w:rFonts w:ascii="Microsoft Sans Serif" w:hAnsi="Microsoft Sans Serif"/>
          <w:spacing w:val="80"/>
          <w:sz w:val="19"/>
        </w:rPr>
        <w:t> </w:t>
      </w:r>
      <w:r>
        <w:rPr>
          <w:rFonts w:ascii="Microsoft Sans Serif" w:hAnsi="Microsoft Sans Serif"/>
          <w:sz w:val="19"/>
        </w:rPr>
        <w:t>paciente</w:t>
      </w:r>
      <w:r>
        <w:rPr>
          <w:rFonts w:ascii="Microsoft Sans Serif" w:hAnsi="Microsoft Sans Serif"/>
          <w:spacing w:val="80"/>
          <w:sz w:val="19"/>
        </w:rPr>
        <w:t> </w:t>
      </w:r>
      <w:r>
        <w:rPr>
          <w:rFonts w:ascii="Microsoft Sans Serif" w:hAnsi="Microsoft Sans Serif"/>
          <w:sz w:val="19"/>
        </w:rPr>
        <w:t>com</w:t>
      </w:r>
      <w:r>
        <w:rPr>
          <w:rFonts w:ascii="Microsoft Sans Serif" w:hAnsi="Microsoft Sans Serif"/>
          <w:spacing w:val="80"/>
          <w:sz w:val="19"/>
        </w:rPr>
        <w:t> </w:t>
      </w:r>
      <w:r>
        <w:rPr>
          <w:rFonts w:ascii="Microsoft Sans Serif" w:hAnsi="Microsoft Sans Serif"/>
          <w:sz w:val="19"/>
        </w:rPr>
        <w:t>cardiomiopatia</w:t>
      </w:r>
      <w:r>
        <w:rPr>
          <w:rFonts w:ascii="Microsoft Sans Serif" w:hAnsi="Microsoft Sans Serif"/>
          <w:spacing w:val="80"/>
          <w:sz w:val="19"/>
        </w:rPr>
        <w:t> </w:t>
      </w:r>
      <w:r>
        <w:rPr>
          <w:rFonts w:ascii="Microsoft Sans Serif" w:hAnsi="Microsoft Sans Serif"/>
          <w:sz w:val="19"/>
        </w:rPr>
        <w:t>hipertrófica</w:t>
      </w:r>
      <w:r>
        <w:rPr>
          <w:rFonts w:ascii="Microsoft Sans Serif" w:hAnsi="Microsoft Sans Serif"/>
          <w:spacing w:val="80"/>
          <w:sz w:val="19"/>
        </w:rPr>
        <w:t> </w:t>
      </w:r>
      <w:r>
        <w:rPr>
          <w:rFonts w:ascii="Microsoft Sans Serif" w:hAnsi="Microsoft Sans Serif"/>
          <w:sz w:val="19"/>
        </w:rPr>
        <w:t>(CMH).</w:t>
      </w:r>
      <w:r>
        <w:rPr>
          <w:rFonts w:ascii="Microsoft Sans Serif" w:hAnsi="Microsoft Sans Serif"/>
          <w:spacing w:val="75"/>
          <w:sz w:val="19"/>
        </w:rPr>
        <w:t> </w:t>
      </w:r>
      <w:r>
        <w:rPr>
          <w:rFonts w:ascii="Microsoft Sans Serif" w:hAnsi="Microsoft Sans Serif"/>
          <w:sz w:val="19"/>
        </w:rPr>
        <w:t>Corte</w:t>
      </w:r>
      <w:r>
        <w:rPr>
          <w:rFonts w:ascii="Microsoft Sans Serif" w:hAnsi="Microsoft Sans Serif"/>
          <w:spacing w:val="80"/>
          <w:sz w:val="19"/>
        </w:rPr>
        <w:t> </w:t>
      </w:r>
      <w:r>
        <w:rPr>
          <w:rFonts w:ascii="Microsoft Sans Serif" w:hAnsi="Microsoft Sans Serif"/>
          <w:sz w:val="19"/>
        </w:rPr>
        <w:t>apical</w:t>
      </w:r>
      <w:r>
        <w:rPr>
          <w:rFonts w:ascii="Microsoft Sans Serif" w:hAnsi="Microsoft Sans Serif"/>
          <w:spacing w:val="80"/>
          <w:sz w:val="19"/>
        </w:rPr>
        <w:t> </w:t>
      </w:r>
      <w:r>
        <w:rPr>
          <w:rFonts w:ascii="Microsoft Sans Serif" w:hAnsi="Microsoft Sans Serif"/>
          <w:sz w:val="19"/>
        </w:rPr>
        <w:t>longitudinal</w:t>
      </w:r>
      <w:r>
        <w:rPr>
          <w:rFonts w:ascii="Microsoft Sans Serif" w:hAnsi="Microsoft Sans Serif"/>
          <w:spacing w:val="80"/>
          <w:sz w:val="19"/>
        </w:rPr>
        <w:t> </w:t>
      </w:r>
      <w:r>
        <w:rPr>
          <w:rFonts w:ascii="Microsoft Sans Serif" w:hAnsi="Microsoft Sans Serif"/>
          <w:sz w:val="19"/>
        </w:rPr>
        <w:t>mostra hipertrofia do septo interventricular (SIV). VE = ventrículo esquerdo.</w:t>
      </w:r>
    </w:p>
    <w:p>
      <w:pPr>
        <w:pStyle w:val="BodyText"/>
        <w:spacing w:before="28"/>
        <w:ind w:left="0" w:firstLine="0"/>
        <w:jc w:val="left"/>
        <w:rPr>
          <w:rFonts w:ascii="Microsoft Sans Serif"/>
          <w:sz w:val="20"/>
        </w:rPr>
      </w:pPr>
      <w:r>
        <w:rPr>
          <w:rFonts w:ascii="Microsoft Sans Serif"/>
          <w:sz w:val="20"/>
        </w:rPr>
        <w:drawing>
          <wp:anchor distT="0" distB="0" distL="0" distR="0" allowOverlap="1" layoutInCell="1" locked="0" behindDoc="1" simplePos="0" relativeHeight="487591424">
            <wp:simplePos x="0" y="0"/>
            <wp:positionH relativeFrom="page">
              <wp:posOffset>1540687</wp:posOffset>
            </wp:positionH>
            <wp:positionV relativeFrom="paragraph">
              <wp:posOffset>177290</wp:posOffset>
            </wp:positionV>
            <wp:extent cx="4484384" cy="230333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484384" cy="2303335"/>
                    </a:xfrm>
                    <a:prstGeom prst="rect">
                      <a:avLst/>
                    </a:prstGeom>
                  </pic:spPr>
                </pic:pic>
              </a:graphicData>
            </a:graphic>
          </wp:anchor>
        </w:drawing>
      </w:r>
    </w:p>
    <w:p>
      <w:pPr>
        <w:pStyle w:val="BodyText"/>
        <w:spacing w:before="55"/>
        <w:ind w:left="0" w:firstLine="0"/>
        <w:jc w:val="left"/>
        <w:rPr>
          <w:rFonts w:ascii="Microsoft Sans Serif"/>
          <w:sz w:val="19"/>
        </w:rPr>
      </w:pPr>
    </w:p>
    <w:p>
      <w:pPr>
        <w:spacing w:line="285" w:lineRule="auto"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68"/>
          <w:sz w:val="19"/>
        </w:rPr>
        <w:t> </w:t>
      </w:r>
      <w:r>
        <w:rPr>
          <w:rFonts w:ascii="Arial" w:hAnsi="Arial"/>
          <w:b/>
          <w:color w:val="242B67"/>
          <w:sz w:val="19"/>
        </w:rPr>
        <w:t>50.3</w:t>
      </w:r>
      <w:r>
        <w:rPr>
          <w:rFonts w:ascii="Arial" w:hAnsi="Arial"/>
          <w:b/>
          <w:color w:val="242B67"/>
          <w:spacing w:val="70"/>
          <w:sz w:val="19"/>
        </w:rPr>
        <w:t> </w:t>
      </w:r>
      <w:r>
        <w:rPr>
          <w:rFonts w:ascii="Microsoft Sans Serif" w:hAnsi="Microsoft Sans Serif"/>
          <w:sz w:val="19"/>
        </w:rPr>
        <w:t>Eletrocardiograma</w:t>
      </w:r>
      <w:r>
        <w:rPr>
          <w:rFonts w:ascii="Microsoft Sans Serif" w:hAnsi="Microsoft Sans Serif"/>
          <w:spacing w:val="72"/>
          <w:sz w:val="19"/>
        </w:rPr>
        <w:t> </w:t>
      </w:r>
      <w:r>
        <w:rPr>
          <w:rFonts w:ascii="Microsoft Sans Serif" w:hAnsi="Microsoft Sans Serif"/>
          <w:sz w:val="19"/>
        </w:rPr>
        <w:t>(ECG)</w:t>
      </w:r>
      <w:r>
        <w:rPr>
          <w:rFonts w:ascii="Microsoft Sans Serif" w:hAnsi="Microsoft Sans Serif"/>
          <w:spacing w:val="66"/>
          <w:sz w:val="19"/>
        </w:rPr>
        <w:t> </w:t>
      </w:r>
      <w:r>
        <w:rPr>
          <w:rFonts w:ascii="Microsoft Sans Serif" w:hAnsi="Microsoft Sans Serif"/>
          <w:sz w:val="19"/>
        </w:rPr>
        <w:t>dinâmico</w:t>
      </w:r>
      <w:r>
        <w:rPr>
          <w:rFonts w:ascii="Microsoft Sans Serif" w:hAnsi="Microsoft Sans Serif"/>
          <w:spacing w:val="72"/>
          <w:sz w:val="19"/>
        </w:rPr>
        <w:t> </w:t>
      </w:r>
      <w:r>
        <w:rPr>
          <w:rFonts w:ascii="Microsoft Sans Serif" w:hAnsi="Microsoft Sans Serif"/>
          <w:sz w:val="19"/>
        </w:rPr>
        <w:t>(sistema</w:t>
      </w:r>
      <w:r>
        <w:rPr>
          <w:rFonts w:ascii="Microsoft Sans Serif" w:hAnsi="Microsoft Sans Serif"/>
          <w:spacing w:val="72"/>
          <w:sz w:val="19"/>
        </w:rPr>
        <w:t> </w:t>
      </w:r>
      <w:r>
        <w:rPr>
          <w:rFonts w:ascii="Microsoft Sans Serif" w:hAnsi="Microsoft Sans Serif"/>
          <w:sz w:val="19"/>
        </w:rPr>
        <w:t>Holter)</w:t>
      </w:r>
      <w:r>
        <w:rPr>
          <w:rFonts w:ascii="Microsoft Sans Serif" w:hAnsi="Microsoft Sans Serif"/>
          <w:spacing w:val="66"/>
          <w:sz w:val="19"/>
        </w:rPr>
        <w:t> </w:t>
      </w:r>
      <w:r>
        <w:rPr>
          <w:rFonts w:ascii="Microsoft Sans Serif" w:hAnsi="Microsoft Sans Serif"/>
          <w:sz w:val="19"/>
        </w:rPr>
        <w:t>de</w:t>
      </w:r>
      <w:r>
        <w:rPr>
          <w:rFonts w:ascii="Microsoft Sans Serif" w:hAnsi="Microsoft Sans Serif"/>
          <w:spacing w:val="72"/>
          <w:sz w:val="19"/>
        </w:rPr>
        <w:t> </w:t>
      </w:r>
      <w:r>
        <w:rPr>
          <w:rFonts w:ascii="Microsoft Sans Serif" w:hAnsi="Microsoft Sans Serif"/>
          <w:sz w:val="19"/>
        </w:rPr>
        <w:t>paciente</w:t>
      </w:r>
      <w:r>
        <w:rPr>
          <w:rFonts w:ascii="Microsoft Sans Serif" w:hAnsi="Microsoft Sans Serif"/>
          <w:spacing w:val="72"/>
          <w:sz w:val="19"/>
        </w:rPr>
        <w:t> </w:t>
      </w:r>
      <w:r>
        <w:rPr>
          <w:rFonts w:ascii="Microsoft Sans Serif" w:hAnsi="Microsoft Sans Serif"/>
          <w:sz w:val="19"/>
        </w:rPr>
        <w:t>com</w:t>
      </w:r>
      <w:r>
        <w:rPr>
          <w:rFonts w:ascii="Microsoft Sans Serif" w:hAnsi="Microsoft Sans Serif"/>
          <w:spacing w:val="66"/>
          <w:sz w:val="19"/>
        </w:rPr>
        <w:t> </w:t>
      </w:r>
      <w:r>
        <w:rPr>
          <w:rFonts w:ascii="Microsoft Sans Serif" w:hAnsi="Microsoft Sans Serif"/>
          <w:sz w:val="19"/>
        </w:rPr>
        <w:t>cardiomiopatia</w:t>
      </w:r>
      <w:r>
        <w:rPr>
          <w:rFonts w:ascii="Microsoft Sans Serif" w:hAnsi="Microsoft Sans Serif"/>
          <w:spacing w:val="72"/>
          <w:sz w:val="19"/>
        </w:rPr>
        <w:t> </w:t>
      </w:r>
      <w:r>
        <w:rPr>
          <w:rFonts w:ascii="Microsoft Sans Serif" w:hAnsi="Microsoft Sans Serif"/>
          <w:sz w:val="19"/>
        </w:rPr>
        <w:t>hipertrófica</w:t>
      </w:r>
      <w:r>
        <w:rPr>
          <w:rFonts w:ascii="Microsoft Sans Serif" w:hAnsi="Microsoft Sans Serif"/>
          <w:spacing w:val="72"/>
          <w:sz w:val="19"/>
        </w:rPr>
        <w:t> </w:t>
      </w:r>
      <w:r>
        <w:rPr>
          <w:rFonts w:ascii="Microsoft Sans Serif" w:hAnsi="Microsoft Sans Serif"/>
          <w:sz w:val="19"/>
        </w:rPr>
        <w:t>(CMH) mostra episódio de taquicardia ventricular não sustentada (TVNS).</w:t>
      </w:r>
    </w:p>
    <w:p>
      <w:pPr>
        <w:pStyle w:val="BodyText"/>
        <w:ind w:left="0" w:firstLine="0"/>
        <w:jc w:val="left"/>
        <w:rPr>
          <w:rFonts w:ascii="Microsoft Sans Serif"/>
          <w:sz w:val="19"/>
        </w:rPr>
      </w:pPr>
    </w:p>
    <w:p>
      <w:pPr>
        <w:pStyle w:val="BodyText"/>
        <w:tabs>
          <w:tab w:pos="1489" w:val="left" w:leader="none"/>
          <w:tab w:pos="2308" w:val="left" w:leader="none"/>
          <w:tab w:pos="3943" w:val="left" w:leader="none"/>
          <w:tab w:pos="4537" w:val="left" w:leader="none"/>
          <w:tab w:pos="5356" w:val="left" w:leader="none"/>
          <w:tab w:pos="7263" w:val="left" w:leader="none"/>
          <w:tab w:pos="8050" w:val="left" w:leader="none"/>
          <w:tab w:pos="8500" w:val="left" w:leader="none"/>
          <w:tab w:pos="9719" w:val="left" w:leader="none"/>
        </w:tabs>
        <w:spacing w:before="0"/>
        <w:ind w:left="414" w:firstLine="0"/>
        <w:jc w:val="left"/>
      </w:pPr>
      <w:r>
        <w:rPr>
          <w:spacing w:val="-2"/>
        </w:rPr>
        <w:t>Pacientes</w:t>
      </w:r>
      <w:r>
        <w:rPr/>
        <w:tab/>
      </w:r>
      <w:r>
        <w:rPr>
          <w:spacing w:val="-2"/>
        </w:rPr>
        <w:t>jovens</w:t>
      </w:r>
      <w:r>
        <w:rPr/>
        <w:tab/>
      </w:r>
      <w:r>
        <w:rPr>
          <w:spacing w:val="-2"/>
        </w:rPr>
        <w:t>assintomáticos,</w:t>
      </w:r>
      <w:r>
        <w:rPr/>
        <w:tab/>
      </w:r>
      <w:r>
        <w:rPr>
          <w:spacing w:val="-5"/>
        </w:rPr>
        <w:t>sem</w:t>
      </w:r>
      <w:r>
        <w:rPr/>
        <w:tab/>
      </w:r>
      <w:r>
        <w:rPr>
          <w:spacing w:val="-2"/>
        </w:rPr>
        <w:t>parada</w:t>
      </w:r>
      <w:r>
        <w:rPr/>
        <w:tab/>
      </w:r>
      <w:r>
        <w:rPr>
          <w:spacing w:val="-2"/>
        </w:rPr>
        <w:t>cardiorrespiratória</w:t>
      </w:r>
      <w:r>
        <w:rPr/>
        <w:tab/>
      </w:r>
      <w:r>
        <w:rPr>
          <w:spacing w:val="-2"/>
        </w:rPr>
        <w:t>prévia</w:t>
      </w:r>
      <w:r>
        <w:rPr/>
        <w:tab/>
      </w:r>
      <w:r>
        <w:rPr>
          <w:spacing w:val="-5"/>
        </w:rPr>
        <w:t>ou</w:t>
      </w:r>
      <w:r>
        <w:rPr/>
        <w:tab/>
      </w:r>
      <w:r>
        <w:rPr>
          <w:spacing w:val="-2"/>
        </w:rPr>
        <w:t>taquicardia</w:t>
      </w:r>
      <w:r>
        <w:rPr/>
        <w:tab/>
      </w:r>
      <w:r>
        <w:rPr>
          <w:spacing w:val="-2"/>
        </w:rPr>
        <w:t>ventricular</w:t>
      </w:r>
    </w:p>
    <w:p>
      <w:pPr>
        <w:pStyle w:val="BodyText"/>
        <w:spacing w:after="0"/>
        <w:jc w:val="left"/>
        <w:sectPr>
          <w:pgSz w:w="11900" w:h="16840"/>
          <w:pgMar w:top="220" w:bottom="280" w:left="566" w:right="141"/>
        </w:sectPr>
      </w:pPr>
    </w:p>
    <w:p>
      <w:pPr>
        <w:pStyle w:val="BodyText"/>
        <w:spacing w:line="283" w:lineRule="auto" w:before="79"/>
        <w:ind w:right="498" w:firstLine="0"/>
      </w:pPr>
      <w:r>
        <w:rPr/>
        <w:t>sustentada/fibrilação ventricular devem ser acompanhados com controle ecocardiográfico e eletrocardiografia dinâmica</w:t>
      </w:r>
      <w:r>
        <w:rPr>
          <w:spacing w:val="-2"/>
        </w:rPr>
        <w:t> </w:t>
      </w:r>
      <w:r>
        <w:rPr/>
        <w:t>anual. Deverão ser orientados para</w:t>
      </w:r>
      <w:r>
        <w:rPr>
          <w:spacing w:val="-2"/>
        </w:rPr>
        <w:t> </w:t>
      </w:r>
      <w:r>
        <w:rPr/>
        <w:t>evitar a</w:t>
      </w:r>
      <w:r>
        <w:rPr>
          <w:spacing w:val="-2"/>
        </w:rPr>
        <w:t> </w:t>
      </w:r>
      <w:r>
        <w:rPr/>
        <w:t>prática</w:t>
      </w:r>
      <w:r>
        <w:rPr>
          <w:spacing w:val="-2"/>
        </w:rPr>
        <w:t> </w:t>
      </w:r>
      <w:r>
        <w:rPr/>
        <w:t>de</w:t>
      </w:r>
      <w:r>
        <w:rPr>
          <w:spacing w:val="-2"/>
        </w:rPr>
        <w:t> </w:t>
      </w:r>
      <w:r>
        <w:rPr/>
        <w:t>exercícios físicos intensos e</w:t>
      </w:r>
      <w:r>
        <w:rPr>
          <w:spacing w:val="-2"/>
        </w:rPr>
        <w:t> </w:t>
      </w:r>
      <w:r>
        <w:rPr/>
        <w:t>esportes competitivos, uma vez que essa doença é a causa mais frequente de morte súbita em jovens atletas.</w:t>
      </w:r>
      <w:r>
        <w:rPr>
          <w:vertAlign w:val="superscript"/>
        </w:rPr>
        <w:t>1,15</w:t>
      </w:r>
    </w:p>
    <w:p>
      <w:pPr>
        <w:pStyle w:val="BodyText"/>
        <w:spacing w:line="276" w:lineRule="auto" w:before="58"/>
        <w:ind w:right="488"/>
      </w:pPr>
      <w:r>
        <w:rPr/>
        <w:t>O uso profilático de antibióticos é indicado para pacientes com sopros, submetidos a tratamento dentário ou a qualquer outro</w:t>
      </w:r>
      <w:r>
        <w:rPr>
          <w:spacing w:val="-5"/>
        </w:rPr>
        <w:t> </w:t>
      </w:r>
      <w:r>
        <w:rPr/>
        <w:t>procedimento</w:t>
      </w:r>
      <w:r>
        <w:rPr>
          <w:spacing w:val="-5"/>
        </w:rPr>
        <w:t> </w:t>
      </w:r>
      <w:r>
        <w:rPr/>
        <w:t>cirúrgico, uma</w:t>
      </w:r>
      <w:r>
        <w:rPr>
          <w:spacing w:val="-8"/>
        </w:rPr>
        <w:t> </w:t>
      </w:r>
      <w:r>
        <w:rPr/>
        <w:t>vez</w:t>
      </w:r>
      <w:r>
        <w:rPr>
          <w:spacing w:val="-8"/>
        </w:rPr>
        <w:t> </w:t>
      </w:r>
      <w:r>
        <w:rPr/>
        <w:t>que</w:t>
      </w:r>
      <w:r>
        <w:rPr>
          <w:spacing w:val="-8"/>
        </w:rPr>
        <w:t> </w:t>
      </w:r>
      <w:r>
        <w:rPr/>
        <w:t>apresentam</w:t>
      </w:r>
      <w:r>
        <w:rPr>
          <w:spacing w:val="-5"/>
        </w:rPr>
        <w:t> </w:t>
      </w:r>
      <w:r>
        <w:rPr/>
        <w:t>maior risco</w:t>
      </w:r>
      <w:r>
        <w:rPr>
          <w:spacing w:val="-5"/>
        </w:rPr>
        <w:t> </w:t>
      </w:r>
      <w:r>
        <w:rPr/>
        <w:t>de</w:t>
      </w:r>
      <w:r>
        <w:rPr>
          <w:spacing w:val="-8"/>
        </w:rPr>
        <w:t> </w:t>
      </w:r>
      <w:r>
        <w:rPr/>
        <w:t>endocardite</w:t>
      </w:r>
      <w:r>
        <w:rPr>
          <w:spacing w:val="-8"/>
        </w:rPr>
        <w:t> </w:t>
      </w:r>
      <w:r>
        <w:rPr/>
        <w:t>infecciosa. Deverão</w:t>
      </w:r>
      <w:r>
        <w:rPr>
          <w:spacing w:val="-5"/>
        </w:rPr>
        <w:t> </w:t>
      </w:r>
      <w:r>
        <w:rPr/>
        <w:t>ser medicados com 2 g de</w:t>
      </w:r>
      <w:r>
        <w:rPr>
          <w:spacing w:val="-1"/>
        </w:rPr>
        <w:t> </w:t>
      </w:r>
      <w:r>
        <w:rPr/>
        <w:t>amoxicilina, por via</w:t>
      </w:r>
      <w:r>
        <w:rPr>
          <w:spacing w:val="-1"/>
        </w:rPr>
        <w:t> </w:t>
      </w:r>
      <w:r>
        <w:rPr/>
        <w:t>oral (VO), 1 h antes do procedimento.</w:t>
      </w:r>
    </w:p>
    <w:p>
      <w:pPr>
        <w:pStyle w:val="BodyText"/>
        <w:spacing w:line="290" w:lineRule="auto" w:before="49"/>
        <w:ind w:right="488"/>
      </w:pPr>
      <w:r>
        <w:rPr/>
        <w:t>Nos pacientes sintomáticos, a sequência proposta atualmente é: tratamento clínico, terapia percutânea transcoronária</w:t>
      </w:r>
      <w:r>
        <w:rPr>
          <w:spacing w:val="-1"/>
        </w:rPr>
        <w:t> </w:t>
      </w:r>
      <w:r>
        <w:rPr/>
        <w:t>de</w:t>
      </w:r>
      <w:r>
        <w:rPr>
          <w:spacing w:val="-1"/>
        </w:rPr>
        <w:t> </w:t>
      </w:r>
      <w:r>
        <w:rPr/>
        <w:t>redução da</w:t>
      </w:r>
      <w:r>
        <w:rPr>
          <w:spacing w:val="-1"/>
        </w:rPr>
        <w:t> </w:t>
      </w:r>
      <w:r>
        <w:rPr/>
        <w:t>hipertrofia</w:t>
      </w:r>
      <w:r>
        <w:rPr>
          <w:spacing w:val="-1"/>
        </w:rPr>
        <w:t> </w:t>
      </w:r>
      <w:r>
        <w:rPr/>
        <w:t>miocárdica</w:t>
      </w:r>
      <w:r>
        <w:rPr>
          <w:spacing w:val="-1"/>
        </w:rPr>
        <w:t> </w:t>
      </w:r>
      <w:r>
        <w:rPr/>
        <w:t>septal e</w:t>
      </w:r>
      <w:r>
        <w:rPr>
          <w:spacing w:val="-1"/>
        </w:rPr>
        <w:t> </w:t>
      </w:r>
      <w:r>
        <w:rPr/>
        <w:t>cardiomiectomia</w:t>
      </w:r>
      <w:r>
        <w:rPr>
          <w:spacing w:val="-1"/>
        </w:rPr>
        <w:t> </w:t>
      </w:r>
      <w:r>
        <w:rPr/>
        <w:t>transvalvar aórtica.</w:t>
      </w:r>
      <w:r>
        <w:rPr>
          <w:vertAlign w:val="superscript"/>
        </w:rPr>
        <w:t>15</w:t>
      </w:r>
    </w:p>
    <w:p>
      <w:pPr>
        <w:pStyle w:val="BodyText"/>
        <w:spacing w:before="117"/>
        <w:ind w:left="0" w:firstLine="0"/>
        <w:jc w:val="left"/>
      </w:pPr>
    </w:p>
    <w:p>
      <w:pPr>
        <w:pStyle w:val="Heading5"/>
        <w:spacing w:before="1"/>
        <w:jc w:val="both"/>
      </w:pPr>
      <w:r>
        <w:rPr>
          <w:color w:val="A26108"/>
        </w:rPr>
        <w:t>Tratamento</w:t>
      </w:r>
      <w:r>
        <w:rPr>
          <w:color w:val="A26108"/>
          <w:spacing w:val="34"/>
        </w:rPr>
        <w:t> </w:t>
      </w:r>
      <w:r>
        <w:rPr>
          <w:color w:val="A26108"/>
          <w:spacing w:val="-2"/>
        </w:rPr>
        <w:t>clínico</w:t>
      </w:r>
    </w:p>
    <w:p>
      <w:pPr>
        <w:pStyle w:val="BodyText"/>
        <w:spacing w:line="278" w:lineRule="auto" w:before="138"/>
        <w:ind w:right="488"/>
      </w:pPr>
      <w:r>
        <w:rPr/>
        <w:t>Os bloqueadores de</w:t>
      </w:r>
      <w:r>
        <w:rPr>
          <w:spacing w:val="-2"/>
        </w:rPr>
        <w:t> </w:t>
      </w:r>
      <w:r>
        <w:rPr/>
        <w:t>receptores beta-adrenérgicos vêm sendo utilizados, desde</w:t>
      </w:r>
      <w:r>
        <w:rPr>
          <w:spacing w:val="-2"/>
        </w:rPr>
        <w:t> </w:t>
      </w:r>
      <w:r>
        <w:rPr/>
        <w:t>1960, em pacientes com a</w:t>
      </w:r>
      <w:r>
        <w:rPr>
          <w:spacing w:val="-2"/>
        </w:rPr>
        <w:t> </w:t>
      </w:r>
      <w:r>
        <w:rPr/>
        <w:t>forma obstrutiva, principalmente, o</w:t>
      </w:r>
      <w:r>
        <w:rPr>
          <w:spacing w:val="-6"/>
        </w:rPr>
        <w:t> </w:t>
      </w:r>
      <w:r>
        <w:rPr/>
        <w:t>propranolol, na</w:t>
      </w:r>
      <w:r>
        <w:rPr>
          <w:spacing w:val="-9"/>
        </w:rPr>
        <w:t> </w:t>
      </w:r>
      <w:r>
        <w:rPr/>
        <w:t>dose</w:t>
      </w:r>
      <w:r>
        <w:rPr>
          <w:spacing w:val="-9"/>
        </w:rPr>
        <w:t> </w:t>
      </w:r>
      <w:r>
        <w:rPr/>
        <w:t>inicial</w:t>
      </w:r>
      <w:r>
        <w:rPr>
          <w:spacing w:val="-3"/>
        </w:rPr>
        <w:t> </w:t>
      </w:r>
      <w:r>
        <w:rPr/>
        <w:t>de</w:t>
      </w:r>
      <w:r>
        <w:rPr>
          <w:spacing w:val="-9"/>
        </w:rPr>
        <w:t> </w:t>
      </w:r>
      <w:r>
        <w:rPr/>
        <w:t>80</w:t>
      </w:r>
      <w:r>
        <w:rPr>
          <w:spacing w:val="-6"/>
        </w:rPr>
        <w:t> </w:t>
      </w:r>
      <w:r>
        <w:rPr/>
        <w:t>mg/dia, que</w:t>
      </w:r>
      <w:r>
        <w:rPr>
          <w:spacing w:val="-9"/>
        </w:rPr>
        <w:t> </w:t>
      </w:r>
      <w:r>
        <w:rPr/>
        <w:t>deverá</w:t>
      </w:r>
      <w:r>
        <w:rPr>
          <w:spacing w:val="-9"/>
        </w:rPr>
        <w:t> </w:t>
      </w:r>
      <w:r>
        <w:rPr/>
        <w:t>ser</w:t>
      </w:r>
      <w:r>
        <w:rPr>
          <w:spacing w:val="-1"/>
        </w:rPr>
        <w:t> </w:t>
      </w:r>
      <w:r>
        <w:rPr/>
        <w:t>aumentada</w:t>
      </w:r>
      <w:r>
        <w:rPr>
          <w:spacing w:val="-9"/>
        </w:rPr>
        <w:t> </w:t>
      </w:r>
      <w:r>
        <w:rPr/>
        <w:t>progressivamente até que se atinja a frequência cardíaca de 60 bpm em repouso, podendo chegar-se à dose máxima de 480 mg. Atenolol, nadolol</w:t>
      </w:r>
      <w:r>
        <w:rPr>
          <w:spacing w:val="-4"/>
        </w:rPr>
        <w:t> </w:t>
      </w:r>
      <w:r>
        <w:rPr/>
        <w:t>e</w:t>
      </w:r>
      <w:r>
        <w:rPr>
          <w:spacing w:val="-9"/>
        </w:rPr>
        <w:t> </w:t>
      </w:r>
      <w:r>
        <w:rPr/>
        <w:t>metoprolol</w:t>
      </w:r>
      <w:r>
        <w:rPr>
          <w:spacing w:val="-4"/>
        </w:rPr>
        <w:t> </w:t>
      </w:r>
      <w:r>
        <w:rPr/>
        <w:t>também</w:t>
      </w:r>
      <w:r>
        <w:rPr>
          <w:spacing w:val="-7"/>
        </w:rPr>
        <w:t> </w:t>
      </w:r>
      <w:r>
        <w:rPr/>
        <w:t>podem</w:t>
      </w:r>
      <w:r>
        <w:rPr>
          <w:spacing w:val="-7"/>
        </w:rPr>
        <w:t> </w:t>
      </w:r>
      <w:r>
        <w:rPr/>
        <w:t>ser</w:t>
      </w:r>
      <w:r>
        <w:rPr>
          <w:spacing w:val="-2"/>
        </w:rPr>
        <w:t> </w:t>
      </w:r>
      <w:r>
        <w:rPr/>
        <w:t>utilizados. Eles melhoram</w:t>
      </w:r>
      <w:r>
        <w:rPr>
          <w:spacing w:val="-7"/>
        </w:rPr>
        <w:t> </w:t>
      </w:r>
      <w:r>
        <w:rPr/>
        <w:t>a</w:t>
      </w:r>
      <w:r>
        <w:rPr>
          <w:spacing w:val="-9"/>
        </w:rPr>
        <w:t> </w:t>
      </w:r>
      <w:r>
        <w:rPr/>
        <w:t>dispneia</w:t>
      </w:r>
      <w:r>
        <w:rPr>
          <w:spacing w:val="-9"/>
        </w:rPr>
        <w:t> </w:t>
      </w:r>
      <w:r>
        <w:rPr/>
        <w:t>de</w:t>
      </w:r>
      <w:r>
        <w:rPr>
          <w:spacing w:val="-9"/>
        </w:rPr>
        <w:t> </w:t>
      </w:r>
      <w:r>
        <w:rPr/>
        <w:t>esforço</w:t>
      </w:r>
      <w:r>
        <w:rPr>
          <w:spacing w:val="-7"/>
        </w:rPr>
        <w:t> </w:t>
      </w:r>
      <w:r>
        <w:rPr/>
        <w:t>e</w:t>
      </w:r>
      <w:r>
        <w:rPr>
          <w:spacing w:val="-9"/>
        </w:rPr>
        <w:t> </w:t>
      </w:r>
      <w:r>
        <w:rPr/>
        <w:t>a</w:t>
      </w:r>
      <w:r>
        <w:rPr>
          <w:spacing w:val="-9"/>
        </w:rPr>
        <w:t> </w:t>
      </w:r>
      <w:r>
        <w:rPr/>
        <w:t>precordialgia por inibirem a estimulação simpática do coração, diminuindo o consumo de oxigênio por redução da frequência cardíaca, contratilidade e estresse miocárdico durante a sístole, além de aumentar o período diastólico. A diminuição</w:t>
      </w:r>
      <w:r>
        <w:rPr>
          <w:spacing w:val="-6"/>
        </w:rPr>
        <w:t> </w:t>
      </w:r>
      <w:r>
        <w:rPr/>
        <w:t>da</w:t>
      </w:r>
      <w:r>
        <w:rPr>
          <w:spacing w:val="-8"/>
        </w:rPr>
        <w:t> </w:t>
      </w:r>
      <w:r>
        <w:rPr/>
        <w:t>obstrução</w:t>
      </w:r>
      <w:r>
        <w:rPr>
          <w:spacing w:val="-6"/>
        </w:rPr>
        <w:t> </w:t>
      </w:r>
      <w:r>
        <w:rPr/>
        <w:t>ao</w:t>
      </w:r>
      <w:r>
        <w:rPr>
          <w:spacing w:val="-6"/>
        </w:rPr>
        <w:t> </w:t>
      </w:r>
      <w:r>
        <w:rPr/>
        <w:t>fluxo</w:t>
      </w:r>
      <w:r>
        <w:rPr>
          <w:spacing w:val="-6"/>
        </w:rPr>
        <w:t> </w:t>
      </w:r>
      <w:r>
        <w:rPr/>
        <w:t>na</w:t>
      </w:r>
      <w:r>
        <w:rPr>
          <w:spacing w:val="-8"/>
        </w:rPr>
        <w:t> </w:t>
      </w:r>
      <w:r>
        <w:rPr/>
        <w:t>VSVE, durante</w:t>
      </w:r>
      <w:r>
        <w:rPr>
          <w:spacing w:val="-8"/>
        </w:rPr>
        <w:t> </w:t>
      </w:r>
      <w:r>
        <w:rPr/>
        <w:t>o</w:t>
      </w:r>
      <w:r>
        <w:rPr>
          <w:spacing w:val="-6"/>
        </w:rPr>
        <w:t> </w:t>
      </w:r>
      <w:r>
        <w:rPr/>
        <w:t>exercício, levaria</w:t>
      </w:r>
      <w:r>
        <w:rPr>
          <w:spacing w:val="-8"/>
        </w:rPr>
        <w:t> </w:t>
      </w:r>
      <w:r>
        <w:rPr/>
        <w:t>à</w:t>
      </w:r>
      <w:r>
        <w:rPr>
          <w:spacing w:val="-8"/>
        </w:rPr>
        <w:t> </w:t>
      </w:r>
      <w:r>
        <w:rPr/>
        <w:t>melhora</w:t>
      </w:r>
      <w:r>
        <w:rPr>
          <w:spacing w:val="-8"/>
        </w:rPr>
        <w:t> </w:t>
      </w:r>
      <w:r>
        <w:rPr/>
        <w:t>da</w:t>
      </w:r>
      <w:r>
        <w:rPr>
          <w:spacing w:val="-8"/>
        </w:rPr>
        <w:t> </w:t>
      </w:r>
      <w:r>
        <w:rPr/>
        <w:t>dispneia</w:t>
      </w:r>
      <w:r>
        <w:rPr>
          <w:spacing w:val="-8"/>
        </w:rPr>
        <w:t> </w:t>
      </w:r>
      <w:r>
        <w:rPr/>
        <w:t>e</w:t>
      </w:r>
      <w:r>
        <w:rPr>
          <w:spacing w:val="-8"/>
        </w:rPr>
        <w:t> </w:t>
      </w:r>
      <w:r>
        <w:rPr/>
        <w:t>da</w:t>
      </w:r>
      <w:r>
        <w:rPr>
          <w:spacing w:val="-8"/>
        </w:rPr>
        <w:t> </w:t>
      </w:r>
      <w:r>
        <w:rPr/>
        <w:t>síncope. Hoje</w:t>
      </w:r>
      <w:r>
        <w:rPr>
          <w:spacing w:val="-8"/>
        </w:rPr>
        <w:t> </w:t>
      </w:r>
      <w:r>
        <w:rPr/>
        <w:t>se sabe que esses fármacos não diminuem a incidência de arritmias ventriculares ou de morte súbita.</w:t>
      </w:r>
      <w:r>
        <w:rPr>
          <w:vertAlign w:val="superscript"/>
        </w:rPr>
        <w:t>15,16</w:t>
      </w:r>
    </w:p>
    <w:p>
      <w:pPr>
        <w:pStyle w:val="BodyText"/>
        <w:spacing w:before="14"/>
        <w:ind w:left="0" w:firstLine="0"/>
        <w:jc w:val="left"/>
        <w:rPr>
          <w:sz w:val="20"/>
        </w:rPr>
      </w:pPr>
      <w:r>
        <w:rPr>
          <w:sz w:val="20"/>
        </w:rPr>
        <w:drawing>
          <wp:anchor distT="0" distB="0" distL="0" distR="0" allowOverlap="1" layoutInCell="1" locked="0" behindDoc="1" simplePos="0" relativeHeight="487591936">
            <wp:simplePos x="0" y="0"/>
            <wp:positionH relativeFrom="page">
              <wp:posOffset>1408455</wp:posOffset>
            </wp:positionH>
            <wp:positionV relativeFrom="paragraph">
              <wp:posOffset>170184</wp:posOffset>
            </wp:positionV>
            <wp:extent cx="4759546" cy="483088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4759546" cy="4830889"/>
                    </a:xfrm>
                    <a:prstGeom prst="rect">
                      <a:avLst/>
                    </a:prstGeom>
                  </pic:spPr>
                </pic:pic>
              </a:graphicData>
            </a:graphic>
          </wp:anchor>
        </w:drawing>
      </w:r>
    </w:p>
    <w:p>
      <w:pPr>
        <w:spacing w:before="261"/>
        <w:ind w:left="68" w:right="0" w:firstLine="0"/>
        <w:jc w:val="both"/>
        <w:rPr>
          <w:rFonts w:ascii="Microsoft Sans Serif" w:hAnsi="Microsoft Sans Serif"/>
          <w:sz w:val="19"/>
        </w:rPr>
      </w:pPr>
      <w:r>
        <w:rPr>
          <w:rFonts w:ascii="Arial" w:hAnsi="Arial"/>
          <w:b/>
          <w:color w:val="242B67"/>
          <w:sz w:val="19"/>
        </w:rPr>
        <w:t>Figura</w:t>
      </w:r>
      <w:r>
        <w:rPr>
          <w:rFonts w:ascii="Arial" w:hAnsi="Arial"/>
          <w:b/>
          <w:color w:val="242B67"/>
          <w:spacing w:val="14"/>
          <w:sz w:val="19"/>
        </w:rPr>
        <w:t> </w:t>
      </w:r>
      <w:r>
        <w:rPr>
          <w:rFonts w:ascii="Arial" w:hAnsi="Arial"/>
          <w:b/>
          <w:color w:val="242B67"/>
          <w:sz w:val="19"/>
        </w:rPr>
        <w:t>50.4</w:t>
      </w:r>
      <w:r>
        <w:rPr>
          <w:rFonts w:ascii="Arial" w:hAnsi="Arial"/>
          <w:b/>
          <w:color w:val="242B67"/>
          <w:spacing w:val="14"/>
          <w:sz w:val="19"/>
        </w:rPr>
        <w:t> </w:t>
      </w:r>
      <w:r>
        <w:rPr>
          <w:rFonts w:ascii="Microsoft Sans Serif" w:hAnsi="Microsoft Sans Serif"/>
          <w:sz w:val="19"/>
        </w:rPr>
        <w:t>Esquema</w:t>
      </w:r>
      <w:r>
        <w:rPr>
          <w:rFonts w:ascii="Microsoft Sans Serif" w:hAnsi="Microsoft Sans Serif"/>
          <w:spacing w:val="17"/>
          <w:sz w:val="19"/>
        </w:rPr>
        <w:t> </w:t>
      </w:r>
      <w:r>
        <w:rPr>
          <w:rFonts w:ascii="Microsoft Sans Serif" w:hAnsi="Microsoft Sans Serif"/>
          <w:sz w:val="19"/>
        </w:rPr>
        <w:t>do</w:t>
      </w:r>
      <w:r>
        <w:rPr>
          <w:rFonts w:ascii="Microsoft Sans Serif" w:hAnsi="Microsoft Sans Serif"/>
          <w:spacing w:val="16"/>
          <w:sz w:val="19"/>
        </w:rPr>
        <w:t> </w:t>
      </w:r>
      <w:r>
        <w:rPr>
          <w:rFonts w:ascii="Microsoft Sans Serif" w:hAnsi="Microsoft Sans Serif"/>
          <w:sz w:val="19"/>
        </w:rPr>
        <w:t>tratamento</w:t>
      </w:r>
      <w:r>
        <w:rPr>
          <w:rFonts w:ascii="Microsoft Sans Serif" w:hAnsi="Microsoft Sans Serif"/>
          <w:spacing w:val="16"/>
          <w:sz w:val="19"/>
        </w:rPr>
        <w:t> </w:t>
      </w:r>
      <w:r>
        <w:rPr>
          <w:rFonts w:ascii="Microsoft Sans Serif" w:hAnsi="Microsoft Sans Serif"/>
          <w:sz w:val="19"/>
        </w:rPr>
        <w:t>da</w:t>
      </w:r>
      <w:r>
        <w:rPr>
          <w:rFonts w:ascii="Microsoft Sans Serif" w:hAnsi="Microsoft Sans Serif"/>
          <w:spacing w:val="16"/>
          <w:sz w:val="19"/>
        </w:rPr>
        <w:t> </w:t>
      </w:r>
      <w:r>
        <w:rPr>
          <w:rFonts w:ascii="Microsoft Sans Serif" w:hAnsi="Microsoft Sans Serif"/>
          <w:sz w:val="19"/>
        </w:rPr>
        <w:t>cardiomiopatia</w:t>
      </w:r>
      <w:r>
        <w:rPr>
          <w:rFonts w:ascii="Microsoft Sans Serif" w:hAnsi="Microsoft Sans Serif"/>
          <w:spacing w:val="17"/>
          <w:sz w:val="19"/>
        </w:rPr>
        <w:t> </w:t>
      </w:r>
      <w:r>
        <w:rPr>
          <w:rFonts w:ascii="Microsoft Sans Serif" w:hAnsi="Microsoft Sans Serif"/>
          <w:sz w:val="19"/>
        </w:rPr>
        <w:t>hipertrófica</w:t>
      </w:r>
      <w:r>
        <w:rPr>
          <w:rFonts w:ascii="Microsoft Sans Serif" w:hAnsi="Microsoft Sans Serif"/>
          <w:spacing w:val="16"/>
          <w:sz w:val="19"/>
        </w:rPr>
        <w:t> </w:t>
      </w:r>
      <w:r>
        <w:rPr>
          <w:rFonts w:ascii="Microsoft Sans Serif" w:hAnsi="Microsoft Sans Serif"/>
          <w:spacing w:val="-2"/>
          <w:sz w:val="19"/>
        </w:rPr>
        <w:t>(CMH).</w:t>
      </w:r>
    </w:p>
    <w:p>
      <w:pPr>
        <w:pStyle w:val="BodyText"/>
        <w:spacing w:before="106"/>
        <w:ind w:left="0" w:firstLine="0"/>
        <w:jc w:val="left"/>
        <w:rPr>
          <w:rFonts w:ascii="Microsoft Sans Serif"/>
          <w:sz w:val="19"/>
        </w:rPr>
      </w:pPr>
    </w:p>
    <w:p>
      <w:pPr>
        <w:pStyle w:val="BodyText"/>
        <w:spacing w:line="276" w:lineRule="auto" w:before="0"/>
        <w:ind w:right="497"/>
      </w:pPr>
      <w:r>
        <w:rPr/>
        <w:t>Os bloqueadores dos canais de</w:t>
      </w:r>
      <w:r>
        <w:rPr>
          <w:spacing w:val="-9"/>
        </w:rPr>
        <w:t> </w:t>
      </w:r>
      <w:r>
        <w:rPr/>
        <w:t>cálcio</w:t>
      </w:r>
      <w:r>
        <w:rPr>
          <w:spacing w:val="-6"/>
        </w:rPr>
        <w:t> </w:t>
      </w:r>
      <w:r>
        <w:rPr/>
        <w:t>são</w:t>
      </w:r>
      <w:r>
        <w:rPr>
          <w:spacing w:val="-6"/>
        </w:rPr>
        <w:t> </w:t>
      </w:r>
      <w:r>
        <w:rPr/>
        <w:t>os fármacos mais indicados em</w:t>
      </w:r>
      <w:r>
        <w:rPr>
          <w:spacing w:val="-6"/>
        </w:rPr>
        <w:t> </w:t>
      </w:r>
      <w:r>
        <w:rPr/>
        <w:t>pacientes com</w:t>
      </w:r>
      <w:r>
        <w:rPr>
          <w:spacing w:val="-6"/>
        </w:rPr>
        <w:t> </w:t>
      </w:r>
      <w:r>
        <w:rPr/>
        <w:t>a</w:t>
      </w:r>
      <w:r>
        <w:rPr>
          <w:spacing w:val="-9"/>
        </w:rPr>
        <w:t> </w:t>
      </w:r>
      <w:r>
        <w:rPr/>
        <w:t>forma</w:t>
      </w:r>
      <w:r>
        <w:rPr>
          <w:spacing w:val="-9"/>
        </w:rPr>
        <w:t> </w:t>
      </w:r>
      <w:r>
        <w:rPr/>
        <w:t>não</w:t>
      </w:r>
      <w:r>
        <w:rPr>
          <w:spacing w:val="-6"/>
        </w:rPr>
        <w:t> </w:t>
      </w:r>
      <w:r>
        <w:rPr/>
        <w:t>obstrutiva. O mais utilizado é o verapamil na dose de 80 a 480 mg/dia. Ele leva à redução do grau de obstrução, provavelmente,</w:t>
      </w:r>
      <w:r>
        <w:rPr>
          <w:spacing w:val="-3"/>
        </w:rPr>
        <w:t> </w:t>
      </w:r>
      <w:r>
        <w:rPr/>
        <w:t>por</w:t>
      </w:r>
      <w:r>
        <w:rPr>
          <w:spacing w:val="-5"/>
        </w:rPr>
        <w:t> </w:t>
      </w:r>
      <w:r>
        <w:rPr/>
        <w:t>diminuição</w:t>
      </w:r>
      <w:r>
        <w:rPr>
          <w:spacing w:val="-10"/>
        </w:rPr>
        <w:t> </w:t>
      </w:r>
      <w:r>
        <w:rPr/>
        <w:t>da</w:t>
      </w:r>
      <w:r>
        <w:rPr>
          <w:spacing w:val="-12"/>
        </w:rPr>
        <w:t> </w:t>
      </w:r>
      <w:r>
        <w:rPr/>
        <w:t>contratilidade,</w:t>
      </w:r>
      <w:r>
        <w:rPr>
          <w:spacing w:val="-3"/>
        </w:rPr>
        <w:t> </w:t>
      </w:r>
      <w:r>
        <w:rPr/>
        <w:t>melhora</w:t>
      </w:r>
      <w:r>
        <w:rPr>
          <w:spacing w:val="-12"/>
        </w:rPr>
        <w:t> </w:t>
      </w:r>
      <w:r>
        <w:rPr/>
        <w:t>do</w:t>
      </w:r>
      <w:r>
        <w:rPr>
          <w:spacing w:val="-10"/>
        </w:rPr>
        <w:t> </w:t>
      </w:r>
      <w:r>
        <w:rPr/>
        <w:t>relaxamento</w:t>
      </w:r>
      <w:r>
        <w:rPr>
          <w:spacing w:val="-10"/>
        </w:rPr>
        <w:t> </w:t>
      </w:r>
      <w:r>
        <w:rPr/>
        <w:t>e</w:t>
      </w:r>
      <w:r>
        <w:rPr>
          <w:spacing w:val="-12"/>
        </w:rPr>
        <w:t> </w:t>
      </w:r>
      <w:r>
        <w:rPr/>
        <w:t>do</w:t>
      </w:r>
      <w:r>
        <w:rPr>
          <w:spacing w:val="-10"/>
        </w:rPr>
        <w:t> </w:t>
      </w:r>
      <w:r>
        <w:rPr/>
        <w:t>enchimento</w:t>
      </w:r>
      <w:r>
        <w:rPr>
          <w:spacing w:val="-10"/>
        </w:rPr>
        <w:t> </w:t>
      </w:r>
      <w:r>
        <w:rPr/>
        <w:t>diastólico</w:t>
      </w:r>
      <w:r>
        <w:rPr>
          <w:spacing w:val="-10"/>
        </w:rPr>
        <w:t> </w:t>
      </w:r>
      <w:r>
        <w:rPr/>
        <w:t>ventricular.</w:t>
      </w:r>
      <w:r>
        <w:rPr>
          <w:spacing w:val="-3"/>
        </w:rPr>
        <w:t> </w:t>
      </w:r>
      <w:r>
        <w:rPr/>
        <w:t>A precordialgia é minimizada por diminuição dos fatores determinantes do consumo de oxigênio do miocárdio e melhora</w:t>
      </w:r>
      <w:r>
        <w:rPr>
          <w:spacing w:val="-8"/>
        </w:rPr>
        <w:t> </w:t>
      </w:r>
      <w:r>
        <w:rPr/>
        <w:t>da</w:t>
      </w:r>
      <w:r>
        <w:rPr>
          <w:spacing w:val="-8"/>
        </w:rPr>
        <w:t> </w:t>
      </w:r>
      <w:r>
        <w:rPr/>
        <w:t>função</w:t>
      </w:r>
      <w:r>
        <w:rPr>
          <w:spacing w:val="-6"/>
        </w:rPr>
        <w:t> </w:t>
      </w:r>
      <w:r>
        <w:rPr/>
        <w:t>diastólica. Outros fármacos, como</w:t>
      </w:r>
      <w:r>
        <w:rPr>
          <w:spacing w:val="-6"/>
        </w:rPr>
        <w:t> </w:t>
      </w:r>
      <w:r>
        <w:rPr/>
        <w:t>o</w:t>
      </w:r>
      <w:r>
        <w:rPr>
          <w:spacing w:val="-6"/>
        </w:rPr>
        <w:t> </w:t>
      </w:r>
      <w:r>
        <w:rPr/>
        <w:t>nifedipino</w:t>
      </w:r>
      <w:r>
        <w:rPr>
          <w:spacing w:val="-6"/>
        </w:rPr>
        <w:t> </w:t>
      </w:r>
      <w:r>
        <w:rPr/>
        <w:t>e</w:t>
      </w:r>
      <w:r>
        <w:rPr>
          <w:spacing w:val="-8"/>
        </w:rPr>
        <w:t> </w:t>
      </w:r>
      <w:r>
        <w:rPr/>
        <w:t>o</w:t>
      </w:r>
      <w:r>
        <w:rPr>
          <w:spacing w:val="-6"/>
        </w:rPr>
        <w:t> </w:t>
      </w:r>
      <w:r>
        <w:rPr/>
        <w:t>diltiazem, têm</w:t>
      </w:r>
      <w:r>
        <w:rPr>
          <w:spacing w:val="-6"/>
        </w:rPr>
        <w:t> </w:t>
      </w:r>
      <w:r>
        <w:rPr/>
        <w:t>sido</w:t>
      </w:r>
      <w:r>
        <w:rPr>
          <w:spacing w:val="-6"/>
        </w:rPr>
        <w:t> </w:t>
      </w:r>
      <w:r>
        <w:rPr/>
        <w:t>utilizados, porém</w:t>
      </w:r>
      <w:r>
        <w:rPr>
          <w:spacing w:val="-6"/>
        </w:rPr>
        <w:t> </w:t>
      </w:r>
      <w:r>
        <w:rPr/>
        <w:t>o</w:t>
      </w:r>
      <w:r>
        <w:rPr>
          <w:spacing w:val="-6"/>
        </w:rPr>
        <w:t> </w:t>
      </w:r>
      <w:r>
        <w:rPr/>
        <w:t>efeito</w:t>
      </w:r>
    </w:p>
    <w:p>
      <w:pPr>
        <w:pStyle w:val="BodyText"/>
        <w:spacing w:after="0" w:line="276" w:lineRule="auto"/>
        <w:sectPr>
          <w:pgSz w:w="11900" w:h="16840"/>
          <w:pgMar w:top="200" w:bottom="280" w:left="566" w:right="141"/>
        </w:sectPr>
      </w:pPr>
    </w:p>
    <w:p>
      <w:pPr>
        <w:pStyle w:val="BodyText"/>
        <w:spacing w:before="89"/>
        <w:ind w:firstLine="0"/>
      </w:pPr>
      <w:r>
        <w:rPr/>
        <w:t>sobre</w:t>
      </w:r>
      <w:r>
        <w:rPr>
          <w:spacing w:val="-7"/>
        </w:rPr>
        <w:t> </w:t>
      </w:r>
      <w:r>
        <w:rPr/>
        <w:t>a</w:t>
      </w:r>
      <w:r>
        <w:rPr>
          <w:spacing w:val="-7"/>
        </w:rPr>
        <w:t> </w:t>
      </w:r>
      <w:r>
        <w:rPr/>
        <w:t>função</w:t>
      </w:r>
      <w:r>
        <w:rPr>
          <w:spacing w:val="-5"/>
        </w:rPr>
        <w:t> </w:t>
      </w:r>
      <w:r>
        <w:rPr/>
        <w:t>diastólica</w:t>
      </w:r>
      <w:r>
        <w:rPr>
          <w:spacing w:val="-7"/>
        </w:rPr>
        <w:t> </w:t>
      </w:r>
      <w:r>
        <w:rPr/>
        <w:t>é</w:t>
      </w:r>
      <w:r>
        <w:rPr>
          <w:spacing w:val="-7"/>
        </w:rPr>
        <w:t> </w:t>
      </w:r>
      <w:r>
        <w:rPr/>
        <w:t>menor</w:t>
      </w:r>
      <w:r>
        <w:rPr>
          <w:spacing w:val="1"/>
        </w:rPr>
        <w:t> </w:t>
      </w:r>
      <w:r>
        <w:rPr/>
        <w:t>que</w:t>
      </w:r>
      <w:r>
        <w:rPr>
          <w:spacing w:val="-7"/>
        </w:rPr>
        <w:t> </w:t>
      </w:r>
      <w:r>
        <w:rPr/>
        <w:t>o</w:t>
      </w:r>
      <w:r>
        <w:rPr>
          <w:spacing w:val="-4"/>
        </w:rPr>
        <w:t> </w:t>
      </w:r>
      <w:r>
        <w:rPr/>
        <w:t>do</w:t>
      </w:r>
      <w:r>
        <w:rPr>
          <w:spacing w:val="-4"/>
        </w:rPr>
        <w:t> </w:t>
      </w:r>
      <w:r>
        <w:rPr>
          <w:spacing w:val="-2"/>
        </w:rPr>
        <w:t>verapamil.</w:t>
      </w:r>
      <w:r>
        <w:rPr>
          <w:spacing w:val="-2"/>
          <w:vertAlign w:val="superscript"/>
        </w:rPr>
        <w:t>15,17</w:t>
      </w:r>
    </w:p>
    <w:p>
      <w:pPr>
        <w:pStyle w:val="BodyText"/>
        <w:spacing w:line="276" w:lineRule="auto" w:before="126"/>
        <w:ind w:right="491"/>
      </w:pPr>
      <w:r>
        <w:rPr/>
        <w:t>Temos utilizado losartana na dose de 100 mg/dia,</w:t>
      </w:r>
      <w:r>
        <w:rPr>
          <w:vertAlign w:val="superscript"/>
        </w:rPr>
        <w:t>15,18</w:t>
      </w:r>
      <w:r>
        <w:rPr>
          <w:vertAlign w:val="baseline"/>
        </w:rPr>
        <w:t> associada à espironolactona 25 mg/dia, para bloquear o sistema renina-angiotensina-aldosterona e diminuir a formação de colágeno que está aumentado com melhora dos sintomas e da função diastólica.</w:t>
      </w:r>
    </w:p>
    <w:p>
      <w:pPr>
        <w:pStyle w:val="BodyText"/>
        <w:spacing w:line="276" w:lineRule="auto" w:before="49"/>
        <w:ind w:right="488"/>
      </w:pPr>
      <w:r>
        <w:rPr/>
        <w:t>A amiodarona tem sido utilizada na dose de 200 mg/dia em pacientes com TVNS, com o intuito de diminuir a incidência de morte súbita. Também é indicada no controle da FA, que leva à piora dos sintomas pela perda da contribuição atrial ao enchimento do ventrículo, já</w:t>
      </w:r>
      <w:r>
        <w:rPr>
          <w:spacing w:val="-3"/>
        </w:rPr>
        <w:t> </w:t>
      </w:r>
      <w:r>
        <w:rPr/>
        <w:t>com a</w:t>
      </w:r>
      <w:r>
        <w:rPr>
          <w:spacing w:val="-3"/>
        </w:rPr>
        <w:t> </w:t>
      </w:r>
      <w:r>
        <w:rPr/>
        <w:t>complacência</w:t>
      </w:r>
      <w:r>
        <w:rPr>
          <w:spacing w:val="-3"/>
        </w:rPr>
        <w:t> </w:t>
      </w:r>
      <w:r>
        <w:rPr/>
        <w:t>diminuída.</w:t>
      </w:r>
    </w:p>
    <w:p>
      <w:pPr>
        <w:pStyle w:val="BodyText"/>
        <w:spacing w:line="276" w:lineRule="auto"/>
        <w:ind w:right="501"/>
      </w:pPr>
      <w:r>
        <w:rPr/>
        <w:t>Em pacientes com FA crônica, o risco de episódios tromboembólicos está aumentado e ocorre em 19 a 26%, devendo, por isso, receber terapêutica</w:t>
      </w:r>
      <w:r>
        <w:rPr>
          <w:spacing w:val="-3"/>
        </w:rPr>
        <w:t> </w:t>
      </w:r>
      <w:r>
        <w:rPr/>
        <w:t>anticoagulante</w:t>
      </w:r>
      <w:r>
        <w:rPr>
          <w:spacing w:val="-3"/>
        </w:rPr>
        <w:t> </w:t>
      </w:r>
      <w:r>
        <w:rPr/>
        <w:t>com</w:t>
      </w:r>
      <w:r>
        <w:rPr>
          <w:spacing w:val="-1"/>
        </w:rPr>
        <w:t> </w:t>
      </w:r>
      <w:r>
        <w:rPr/>
        <w:t>varfarina, mantendo</w:t>
      </w:r>
      <w:r>
        <w:rPr>
          <w:spacing w:val="-1"/>
        </w:rPr>
        <w:t> </w:t>
      </w:r>
      <w:r>
        <w:rPr/>
        <w:t>a</w:t>
      </w:r>
      <w:r>
        <w:rPr>
          <w:spacing w:val="-3"/>
        </w:rPr>
        <w:t> </w:t>
      </w:r>
      <w:r>
        <w:rPr/>
        <w:t>relação</w:t>
      </w:r>
      <w:r>
        <w:rPr>
          <w:spacing w:val="-1"/>
        </w:rPr>
        <w:t> </w:t>
      </w:r>
      <w:r>
        <w:rPr/>
        <w:t>normalizada</w:t>
      </w:r>
      <w:r>
        <w:rPr>
          <w:spacing w:val="-3"/>
        </w:rPr>
        <w:t> </w:t>
      </w:r>
      <w:r>
        <w:rPr/>
        <w:t>internacional (INR, do inglês, </w:t>
      </w:r>
      <w:r>
        <w:rPr>
          <w:i/>
        </w:rPr>
        <w:t>international normalized ratio</w:t>
      </w:r>
      <w:r>
        <w:rPr/>
        <w:t>) entre 2 e 3.</w:t>
      </w:r>
    </w:p>
    <w:p>
      <w:pPr>
        <w:pStyle w:val="BodyText"/>
        <w:spacing w:line="283" w:lineRule="auto" w:before="48"/>
        <w:ind w:right="488"/>
      </w:pPr>
      <w:r>
        <w:rPr/>
        <w:t>Outras fármacos, como os digitálicos, diuréticos, inibidores da enzima conversora da angiotensina e bloqueadores da angiotensina, estão indicados somente nos casos que evoluem para dilatação com diminuição da função sistólica, em fase tardia da moléstia.</w:t>
      </w:r>
      <w:r>
        <w:rPr>
          <w:vertAlign w:val="superscript"/>
        </w:rPr>
        <w:t>14,15</w:t>
      </w:r>
    </w:p>
    <w:p>
      <w:pPr>
        <w:pStyle w:val="BodyText"/>
        <w:spacing w:before="126"/>
        <w:ind w:left="0" w:firstLine="0"/>
        <w:jc w:val="left"/>
      </w:pPr>
    </w:p>
    <w:p>
      <w:pPr>
        <w:pStyle w:val="Heading5"/>
        <w:spacing w:line="266" w:lineRule="auto"/>
        <w:ind w:right="497"/>
      </w:pPr>
      <w:r>
        <w:rPr>
          <w:color w:val="A26108"/>
        </w:rPr>
        <w:t>Terapia percutânea transcoronária de redução da hipertrofia </w:t>
      </w:r>
      <w:r>
        <w:rPr>
          <w:color w:val="A26108"/>
        </w:rPr>
        <w:t>miocárdica </w:t>
      </w:r>
      <w:r>
        <w:rPr>
          <w:color w:val="A26108"/>
          <w:spacing w:val="-2"/>
        </w:rPr>
        <w:t>septal</w:t>
      </w:r>
    </w:p>
    <w:p>
      <w:pPr>
        <w:pStyle w:val="BodyText"/>
        <w:spacing w:line="278" w:lineRule="auto" w:before="102"/>
        <w:ind w:right="497"/>
      </w:pPr>
      <w:r>
        <w:rPr/>
        <w:t>Esta terapia provoca um infarto de miocárdio localizado e controlado, e é realizada na sala de hemodinâmica, com o paciente sob anestesia geral. É colocado, previamente, marca-passo temporário, e o paciente é submetido à cinecoronariografia, na qual são observados os ramos septais e, com o auxílio de ecocardiografia contrastada, observa-se</w:t>
      </w:r>
      <w:r>
        <w:rPr>
          <w:spacing w:val="-2"/>
        </w:rPr>
        <w:t> </w:t>
      </w:r>
      <w:r>
        <w:rPr/>
        <w:t>qual é</w:t>
      </w:r>
      <w:r>
        <w:rPr>
          <w:spacing w:val="-2"/>
        </w:rPr>
        <w:t> </w:t>
      </w:r>
      <w:r>
        <w:rPr/>
        <w:t>o vaso relacionado com a</w:t>
      </w:r>
      <w:r>
        <w:rPr>
          <w:spacing w:val="-2"/>
        </w:rPr>
        <w:t> </w:t>
      </w:r>
      <w:r>
        <w:rPr/>
        <w:t>área</w:t>
      </w:r>
      <w:r>
        <w:rPr>
          <w:spacing w:val="-2"/>
        </w:rPr>
        <w:t> </w:t>
      </w:r>
      <w:r>
        <w:rPr/>
        <w:t>responsável pela</w:t>
      </w:r>
      <w:r>
        <w:rPr>
          <w:spacing w:val="-2"/>
        </w:rPr>
        <w:t> </w:t>
      </w:r>
      <w:r>
        <w:rPr/>
        <w:t>obstrução e</w:t>
      </w:r>
      <w:r>
        <w:rPr>
          <w:spacing w:val="-2"/>
        </w:rPr>
        <w:t> </w:t>
      </w:r>
      <w:r>
        <w:rPr/>
        <w:t>o gradiente, logo se</w:t>
      </w:r>
      <w:r>
        <w:rPr>
          <w:spacing w:val="-2"/>
        </w:rPr>
        <w:t> </w:t>
      </w:r>
      <w:r>
        <w:rPr/>
        <w:t>coloca</w:t>
      </w:r>
      <w:r>
        <w:rPr>
          <w:spacing w:val="-2"/>
        </w:rPr>
        <w:t> </w:t>
      </w:r>
      <w:r>
        <w:rPr/>
        <w:t>o cateter-balão</w:t>
      </w:r>
      <w:r>
        <w:rPr>
          <w:spacing w:val="-1"/>
        </w:rPr>
        <w:t> </w:t>
      </w:r>
      <w:r>
        <w:rPr/>
        <w:t>e</w:t>
      </w:r>
      <w:r>
        <w:rPr>
          <w:spacing w:val="-3"/>
        </w:rPr>
        <w:t> </w:t>
      </w:r>
      <w:r>
        <w:rPr/>
        <w:t>se</w:t>
      </w:r>
      <w:r>
        <w:rPr>
          <w:spacing w:val="-3"/>
        </w:rPr>
        <w:t> </w:t>
      </w:r>
      <w:r>
        <w:rPr/>
        <w:t>injeta</w:t>
      </w:r>
      <w:r>
        <w:rPr>
          <w:spacing w:val="-3"/>
        </w:rPr>
        <w:t> </w:t>
      </w:r>
      <w:r>
        <w:rPr/>
        <w:t>de</w:t>
      </w:r>
      <w:r>
        <w:rPr>
          <w:spacing w:val="-3"/>
        </w:rPr>
        <w:t> </w:t>
      </w:r>
      <w:r>
        <w:rPr/>
        <w:t>1</w:t>
      </w:r>
      <w:r>
        <w:rPr>
          <w:spacing w:val="-1"/>
        </w:rPr>
        <w:t> </w:t>
      </w:r>
      <w:r>
        <w:rPr/>
        <w:t>a</w:t>
      </w:r>
      <w:r>
        <w:rPr>
          <w:spacing w:val="-3"/>
        </w:rPr>
        <w:t> </w:t>
      </w:r>
      <w:r>
        <w:rPr/>
        <w:t>5</w:t>
      </w:r>
      <w:r>
        <w:rPr>
          <w:spacing w:val="-1"/>
        </w:rPr>
        <w:t> </w:t>
      </w:r>
      <w:r>
        <w:rPr/>
        <w:t>m</w:t>
      </w:r>
      <w:r>
        <w:rPr>
          <w:i/>
        </w:rPr>
        <w:t>ℓ </w:t>
      </w:r>
      <w:r>
        <w:rPr/>
        <w:t>de</w:t>
      </w:r>
      <w:r>
        <w:rPr>
          <w:spacing w:val="-1"/>
        </w:rPr>
        <w:t> </w:t>
      </w:r>
      <w:r>
        <w:rPr/>
        <w:t>álcool absoluto, ficando o balão insuflado durante</w:t>
      </w:r>
      <w:r>
        <w:rPr>
          <w:spacing w:val="-1"/>
        </w:rPr>
        <w:t> </w:t>
      </w:r>
      <w:r>
        <w:rPr/>
        <w:t>10 min. Após o procedimento, o paciente permanece em unidade coronariana e segue o protocolo de paciente infartado. Os pacientes apresentam queda significativa do gradiente, assim como melhora dos sintomas em mais de 90%, da classe funcional, da capacidade de exercício e aumento da área da VSVE. Está indicado em pacientes refratários ao tratamento clínico, com gradiente &gt; 50 mmHg e indicação de tratamento cirúrgico. As complicações observadas são: bloqueio atrioventricular temporário em 65%, com necessidade de marca-passo definitivo em menos de 5%. A mortalidade está entre 1 e 2%.</w:t>
      </w:r>
      <w:r>
        <w:rPr>
          <w:vertAlign w:val="superscript"/>
        </w:rPr>
        <w:t>15,19,20</w:t>
      </w:r>
      <w:r>
        <w:rPr>
          <w:vertAlign w:val="baseline"/>
        </w:rPr>
        <w:t> É considerado tratamento opcional nos casos em que o tratamento cirúrgico implica alto </w:t>
      </w:r>
      <w:r>
        <w:rPr>
          <w:spacing w:val="-2"/>
          <w:vertAlign w:val="baseline"/>
        </w:rPr>
        <w:t>risco.</w:t>
      </w:r>
    </w:p>
    <w:p>
      <w:pPr>
        <w:pStyle w:val="BodyText"/>
        <w:spacing w:before="119"/>
        <w:ind w:left="0" w:firstLine="0"/>
        <w:jc w:val="left"/>
      </w:pPr>
    </w:p>
    <w:p>
      <w:pPr>
        <w:pStyle w:val="Heading5"/>
      </w:pPr>
      <w:r>
        <w:rPr>
          <w:color w:val="A26108"/>
        </w:rPr>
        <w:t>Cardiomiectomia</w:t>
      </w:r>
      <w:r>
        <w:rPr>
          <w:color w:val="A26108"/>
          <w:spacing w:val="42"/>
        </w:rPr>
        <w:t> </w:t>
      </w:r>
      <w:r>
        <w:rPr>
          <w:color w:val="A26108"/>
        </w:rPr>
        <w:t>transvalvar</w:t>
      </w:r>
      <w:r>
        <w:rPr>
          <w:color w:val="A26108"/>
          <w:spacing w:val="42"/>
        </w:rPr>
        <w:t> </w:t>
      </w:r>
      <w:r>
        <w:rPr>
          <w:color w:val="A26108"/>
          <w:spacing w:val="-2"/>
        </w:rPr>
        <w:t>aórtica</w:t>
      </w:r>
    </w:p>
    <w:p>
      <w:pPr>
        <w:pStyle w:val="BodyText"/>
        <w:spacing w:line="278" w:lineRule="auto" w:before="138"/>
        <w:ind w:right="491"/>
      </w:pPr>
      <w:r>
        <w:rPr/>
        <w:t>Foi o primeiro tipo de tratamento proposto para essa doença. Entretanto, hoje é indicado para pacientes com gradiente na VSVE &gt; 50 mmHg que não respondem ao tratamento clínico. O objetivo é diminuir a obstrução e o refluxo mitral que leva à diminuição do tamanho do AE e evitar a FA. Na experiência de centros dos EUA e do Canadá, atualmente, a</w:t>
      </w:r>
      <w:r>
        <w:rPr>
          <w:spacing w:val="-1"/>
        </w:rPr>
        <w:t> </w:t>
      </w:r>
      <w:r>
        <w:rPr/>
        <w:t>mortalidade</w:t>
      </w:r>
      <w:r>
        <w:rPr>
          <w:spacing w:val="-1"/>
        </w:rPr>
        <w:t> </w:t>
      </w:r>
      <w:r>
        <w:rPr/>
        <w:t>operatória</w:t>
      </w:r>
      <w:r>
        <w:rPr>
          <w:spacing w:val="-1"/>
        </w:rPr>
        <w:t> </w:t>
      </w:r>
      <w:r>
        <w:rPr/>
        <w:t>é</w:t>
      </w:r>
      <w:r>
        <w:rPr>
          <w:spacing w:val="-1"/>
        </w:rPr>
        <w:t> </w:t>
      </w:r>
      <w:r>
        <w:rPr/>
        <w:t>inferior a</w:t>
      </w:r>
      <w:r>
        <w:rPr>
          <w:spacing w:val="-1"/>
        </w:rPr>
        <w:t> </w:t>
      </w:r>
      <w:r>
        <w:rPr/>
        <w:t>5%, com melhora</w:t>
      </w:r>
      <w:r>
        <w:rPr>
          <w:spacing w:val="-1"/>
        </w:rPr>
        <w:t> </w:t>
      </w:r>
      <w:r>
        <w:rPr/>
        <w:t>imediata</w:t>
      </w:r>
      <w:r>
        <w:rPr>
          <w:spacing w:val="-1"/>
        </w:rPr>
        <w:t> </w:t>
      </w:r>
      <w:r>
        <w:rPr/>
        <w:t>da</w:t>
      </w:r>
      <w:r>
        <w:rPr>
          <w:spacing w:val="-1"/>
        </w:rPr>
        <w:t> </w:t>
      </w:r>
      <w:r>
        <w:rPr/>
        <w:t>qualidade</w:t>
      </w:r>
      <w:r>
        <w:rPr>
          <w:spacing w:val="-1"/>
        </w:rPr>
        <w:t> </w:t>
      </w:r>
      <w:r>
        <w:rPr/>
        <w:t>de</w:t>
      </w:r>
      <w:r>
        <w:rPr>
          <w:spacing w:val="-1"/>
        </w:rPr>
        <w:t> </w:t>
      </w:r>
      <w:r>
        <w:rPr/>
        <w:t>vida</w:t>
      </w:r>
      <w:r>
        <w:rPr>
          <w:spacing w:val="-1"/>
        </w:rPr>
        <w:t> </w:t>
      </w:r>
      <w:r>
        <w:rPr/>
        <w:t>em 90% dos pacientes e, a</w:t>
      </w:r>
      <w:r>
        <w:rPr>
          <w:spacing w:val="-8"/>
        </w:rPr>
        <w:t> </w:t>
      </w:r>
      <w:r>
        <w:rPr/>
        <w:t>longo</w:t>
      </w:r>
      <w:r>
        <w:rPr>
          <w:spacing w:val="-5"/>
        </w:rPr>
        <w:t> </w:t>
      </w:r>
      <w:r>
        <w:rPr/>
        <w:t>prazo, em</w:t>
      </w:r>
      <w:r>
        <w:rPr>
          <w:spacing w:val="-5"/>
        </w:rPr>
        <w:t> </w:t>
      </w:r>
      <w:r>
        <w:rPr/>
        <w:t>80%, sem, no</w:t>
      </w:r>
      <w:r>
        <w:rPr>
          <w:spacing w:val="-5"/>
        </w:rPr>
        <w:t> </w:t>
      </w:r>
      <w:r>
        <w:rPr/>
        <w:t>entanto, prolongá-la, uma</w:t>
      </w:r>
      <w:r>
        <w:rPr>
          <w:spacing w:val="-8"/>
        </w:rPr>
        <w:t> </w:t>
      </w:r>
      <w:r>
        <w:rPr/>
        <w:t>vez</w:t>
      </w:r>
      <w:r>
        <w:rPr>
          <w:spacing w:val="-8"/>
        </w:rPr>
        <w:t> </w:t>
      </w:r>
      <w:r>
        <w:rPr/>
        <w:t>que</w:t>
      </w:r>
      <w:r>
        <w:rPr>
          <w:spacing w:val="-8"/>
        </w:rPr>
        <w:t> </w:t>
      </w:r>
      <w:r>
        <w:rPr/>
        <w:t>não</w:t>
      </w:r>
      <w:r>
        <w:rPr>
          <w:spacing w:val="-5"/>
        </w:rPr>
        <w:t> </w:t>
      </w:r>
      <w:r>
        <w:rPr/>
        <w:t>altera</w:t>
      </w:r>
      <w:r>
        <w:rPr>
          <w:spacing w:val="-8"/>
        </w:rPr>
        <w:t> </w:t>
      </w:r>
      <w:r>
        <w:rPr/>
        <w:t>a</w:t>
      </w:r>
      <w:r>
        <w:rPr>
          <w:spacing w:val="-8"/>
        </w:rPr>
        <w:t> </w:t>
      </w:r>
      <w:r>
        <w:rPr/>
        <w:t>incidência</w:t>
      </w:r>
      <w:r>
        <w:rPr>
          <w:spacing w:val="-8"/>
        </w:rPr>
        <w:t> </w:t>
      </w:r>
      <w:r>
        <w:rPr/>
        <w:t>de</w:t>
      </w:r>
      <w:r>
        <w:rPr>
          <w:spacing w:val="-8"/>
        </w:rPr>
        <w:t> </w:t>
      </w:r>
      <w:r>
        <w:rPr/>
        <w:t>morte </w:t>
      </w:r>
      <w:r>
        <w:rPr>
          <w:spacing w:val="-2"/>
        </w:rPr>
        <w:t>súbita.</w:t>
      </w:r>
      <w:r>
        <w:rPr>
          <w:spacing w:val="-2"/>
          <w:vertAlign w:val="superscript"/>
        </w:rPr>
        <w:t>15,21</w:t>
      </w:r>
    </w:p>
    <w:p>
      <w:pPr>
        <w:pStyle w:val="BodyText"/>
        <w:spacing w:before="134"/>
        <w:ind w:left="0" w:firstLine="0"/>
        <w:jc w:val="left"/>
      </w:pPr>
    </w:p>
    <w:p>
      <w:pPr>
        <w:spacing w:before="1"/>
        <w:ind w:left="68" w:right="0" w:firstLine="0"/>
        <w:jc w:val="left"/>
        <w:rPr>
          <w:rFonts w:ascii="Arial" w:hAnsi="Arial"/>
          <w:b/>
          <w:sz w:val="30"/>
        </w:rPr>
      </w:pPr>
      <w:r>
        <w:rPr>
          <w:rFonts w:ascii="Arial" w:hAnsi="Arial"/>
          <w:b/>
          <w:color w:val="A26108"/>
          <w:sz w:val="30"/>
        </w:rPr>
        <w:t>Cardioversor</w:t>
      </w:r>
      <w:r>
        <w:rPr>
          <w:rFonts w:ascii="Arial" w:hAnsi="Arial"/>
          <w:b/>
          <w:color w:val="A26108"/>
          <w:spacing w:val="27"/>
          <w:sz w:val="30"/>
        </w:rPr>
        <w:t> </w:t>
      </w:r>
      <w:r>
        <w:rPr>
          <w:rFonts w:ascii="Arial" w:hAnsi="Arial"/>
          <w:b/>
          <w:color w:val="A26108"/>
          <w:sz w:val="30"/>
        </w:rPr>
        <w:t>|</w:t>
      </w:r>
      <w:r>
        <w:rPr>
          <w:rFonts w:ascii="Arial" w:hAnsi="Arial"/>
          <w:b/>
          <w:color w:val="A26108"/>
          <w:spacing w:val="27"/>
          <w:sz w:val="30"/>
        </w:rPr>
        <w:t> </w:t>
      </w:r>
      <w:r>
        <w:rPr>
          <w:rFonts w:ascii="Arial" w:hAnsi="Arial"/>
          <w:b/>
          <w:color w:val="A26108"/>
          <w:sz w:val="30"/>
        </w:rPr>
        <w:t>Desfibrilador</w:t>
      </w:r>
      <w:r>
        <w:rPr>
          <w:rFonts w:ascii="Arial" w:hAnsi="Arial"/>
          <w:b/>
          <w:color w:val="A26108"/>
          <w:spacing w:val="28"/>
          <w:sz w:val="30"/>
        </w:rPr>
        <w:t> </w:t>
      </w:r>
      <w:r>
        <w:rPr>
          <w:rFonts w:ascii="Arial" w:hAnsi="Arial"/>
          <w:b/>
          <w:color w:val="A26108"/>
          <w:spacing w:val="-2"/>
          <w:sz w:val="30"/>
        </w:rPr>
        <w:t>implantável</w:t>
      </w:r>
    </w:p>
    <w:p>
      <w:pPr>
        <w:pStyle w:val="BodyText"/>
        <w:spacing w:line="280" w:lineRule="auto" w:before="122"/>
        <w:ind w:right="497"/>
      </w:pPr>
      <w:r>
        <w:rPr/>
        <w:t>A</w:t>
      </w:r>
      <w:r>
        <w:rPr>
          <w:spacing w:val="-2"/>
        </w:rPr>
        <w:t> </w:t>
      </w:r>
      <w:r>
        <w:rPr/>
        <w:t>taquicardia</w:t>
      </w:r>
      <w:r>
        <w:rPr>
          <w:spacing w:val="-2"/>
        </w:rPr>
        <w:t> </w:t>
      </w:r>
      <w:r>
        <w:rPr/>
        <w:t>ou fibrilação ventricular é</w:t>
      </w:r>
      <w:r>
        <w:rPr>
          <w:spacing w:val="-2"/>
        </w:rPr>
        <w:t> </w:t>
      </w:r>
      <w:r>
        <w:rPr/>
        <w:t>o principal mecanismo de</w:t>
      </w:r>
      <w:r>
        <w:rPr>
          <w:spacing w:val="-2"/>
        </w:rPr>
        <w:t> </w:t>
      </w:r>
      <w:r>
        <w:rPr/>
        <w:t>morte</w:t>
      </w:r>
      <w:r>
        <w:rPr>
          <w:spacing w:val="-2"/>
        </w:rPr>
        <w:t> </w:t>
      </w:r>
      <w:r>
        <w:rPr/>
        <w:t>súbita</w:t>
      </w:r>
      <w:r>
        <w:rPr>
          <w:spacing w:val="-2"/>
        </w:rPr>
        <w:t> </w:t>
      </w:r>
      <w:r>
        <w:rPr/>
        <w:t>em pacientes com CMH. Esses aparelhos são eficazes no controle das mesmas e são indicados em pacientes recuperados de morte súbita (prevenção secundária), e podem ser indicados naqueles com história de morte súbita familiar, espessura miocárdica superior a 30 mm e síncope de repetição (prevenção primária) associadas.</w:t>
      </w:r>
      <w:r>
        <w:rPr>
          <w:vertAlign w:val="superscript"/>
        </w:rPr>
        <w:t>15,22,23</w:t>
      </w:r>
    </w:p>
    <w:p>
      <w:pPr>
        <w:pStyle w:val="BodyText"/>
        <w:spacing w:line="280" w:lineRule="auto" w:before="59"/>
        <w:ind w:right="497"/>
      </w:pPr>
      <w:r>
        <w:rPr/>
        <w:t>Os fatores de risco de morte súbita são: antecedente de parada cardiorrespiratória ou taquicardia ventricular sustentada; história familiar de morte súbita em parentes em primeiro grau com menos de 45 anos; TVNS ao Holter; síncope recorrente; hipertrofia ventricular com espessura &gt; 30 mm; e ausência de resposta da pressão arterial sistólica ao exercício.</w:t>
      </w:r>
      <w:r>
        <w:rPr>
          <w:vertAlign w:val="superscript"/>
        </w:rPr>
        <w:t>1,12,22,23</w:t>
      </w:r>
    </w:p>
    <w:p>
      <w:pPr>
        <w:pStyle w:val="BodyText"/>
        <w:spacing w:before="181"/>
        <w:ind w:left="0" w:firstLine="0"/>
        <w:jc w:val="left"/>
      </w:pPr>
    </w:p>
    <w:p>
      <w:pPr>
        <w:pStyle w:val="Heading4"/>
      </w:pPr>
      <w:r>
        <w:rPr>
          <w:color w:val="242B67"/>
          <w:spacing w:val="-2"/>
        </w:rPr>
        <w:t>Prognóstico</w:t>
      </w:r>
    </w:p>
    <w:p>
      <w:pPr>
        <w:pStyle w:val="Heading4"/>
        <w:spacing w:after="0"/>
        <w:sectPr>
          <w:pgSz w:w="11900" w:h="16840"/>
          <w:pgMar w:top="200" w:bottom="280" w:left="566" w:right="141"/>
        </w:sectPr>
      </w:pPr>
    </w:p>
    <w:p>
      <w:pPr>
        <w:pStyle w:val="BodyText"/>
        <w:spacing w:line="278" w:lineRule="auto" w:before="79"/>
        <w:ind w:right="488"/>
      </w:pPr>
      <w:r>
        <w:rPr/>
        <w:t>A</w:t>
      </w:r>
      <w:r>
        <w:rPr>
          <w:spacing w:val="-8"/>
        </w:rPr>
        <w:t> </w:t>
      </w:r>
      <w:r>
        <w:rPr/>
        <w:t>evolução</w:t>
      </w:r>
      <w:r>
        <w:rPr>
          <w:spacing w:val="-5"/>
        </w:rPr>
        <w:t> </w:t>
      </w:r>
      <w:r>
        <w:rPr/>
        <w:t>clínica</w:t>
      </w:r>
      <w:r>
        <w:rPr>
          <w:spacing w:val="-8"/>
        </w:rPr>
        <w:t> </w:t>
      </w:r>
      <w:r>
        <w:rPr/>
        <w:t>e</w:t>
      </w:r>
      <w:r>
        <w:rPr>
          <w:spacing w:val="-8"/>
        </w:rPr>
        <w:t> </w:t>
      </w:r>
      <w:r>
        <w:rPr/>
        <w:t>a</w:t>
      </w:r>
      <w:r>
        <w:rPr>
          <w:spacing w:val="-8"/>
        </w:rPr>
        <w:t> </w:t>
      </w:r>
      <w:r>
        <w:rPr/>
        <w:t>história</w:t>
      </w:r>
      <w:r>
        <w:rPr>
          <w:spacing w:val="-8"/>
        </w:rPr>
        <w:t> </w:t>
      </w:r>
      <w:r>
        <w:rPr/>
        <w:t>natural</w:t>
      </w:r>
      <w:r>
        <w:rPr>
          <w:spacing w:val="-3"/>
        </w:rPr>
        <w:t> </w:t>
      </w:r>
      <w:r>
        <w:rPr/>
        <w:t>dos pacientes com</w:t>
      </w:r>
      <w:r>
        <w:rPr>
          <w:spacing w:val="-5"/>
        </w:rPr>
        <w:t> </w:t>
      </w:r>
      <w:r>
        <w:rPr/>
        <w:t>CMH</w:t>
      </w:r>
      <w:r>
        <w:rPr>
          <w:spacing w:val="-8"/>
        </w:rPr>
        <w:t> </w:t>
      </w:r>
      <w:r>
        <w:rPr/>
        <w:t>resultam</w:t>
      </w:r>
      <w:r>
        <w:rPr>
          <w:spacing w:val="-5"/>
        </w:rPr>
        <w:t> </w:t>
      </w:r>
      <w:r>
        <w:rPr/>
        <w:t>da</w:t>
      </w:r>
      <w:r>
        <w:rPr>
          <w:spacing w:val="-8"/>
        </w:rPr>
        <w:t> </w:t>
      </w:r>
      <w:r>
        <w:rPr/>
        <w:t>complexa</w:t>
      </w:r>
      <w:r>
        <w:rPr>
          <w:spacing w:val="-8"/>
        </w:rPr>
        <w:t> </w:t>
      </w:r>
      <w:r>
        <w:rPr/>
        <w:t>interação</w:t>
      </w:r>
      <w:r>
        <w:rPr>
          <w:spacing w:val="-5"/>
        </w:rPr>
        <w:t> </w:t>
      </w:r>
      <w:r>
        <w:rPr/>
        <w:t>entre</w:t>
      </w:r>
      <w:r>
        <w:rPr>
          <w:spacing w:val="-8"/>
        </w:rPr>
        <w:t> </w:t>
      </w:r>
      <w:r>
        <w:rPr/>
        <w:t>hipertrofia ventricular, remodelamento</w:t>
      </w:r>
      <w:r>
        <w:rPr>
          <w:spacing w:val="-3"/>
        </w:rPr>
        <w:t> </w:t>
      </w:r>
      <w:r>
        <w:rPr/>
        <w:t>cardíaco</w:t>
      </w:r>
      <w:r>
        <w:rPr>
          <w:spacing w:val="-3"/>
        </w:rPr>
        <w:t> </w:t>
      </w:r>
      <w:r>
        <w:rPr/>
        <w:t>e</w:t>
      </w:r>
      <w:r>
        <w:rPr>
          <w:spacing w:val="-6"/>
        </w:rPr>
        <w:t> </w:t>
      </w:r>
      <w:r>
        <w:rPr/>
        <w:t>alterações funcionais, como</w:t>
      </w:r>
      <w:r>
        <w:rPr>
          <w:spacing w:val="-3"/>
        </w:rPr>
        <w:t> </w:t>
      </w:r>
      <w:r>
        <w:rPr/>
        <w:t>a</w:t>
      </w:r>
      <w:r>
        <w:rPr>
          <w:spacing w:val="-6"/>
        </w:rPr>
        <w:t> </w:t>
      </w:r>
      <w:r>
        <w:rPr/>
        <w:t>disfunção</w:t>
      </w:r>
      <w:r>
        <w:rPr>
          <w:spacing w:val="-3"/>
        </w:rPr>
        <w:t> </w:t>
      </w:r>
      <w:r>
        <w:rPr/>
        <w:t>diastólica, a</w:t>
      </w:r>
      <w:r>
        <w:rPr>
          <w:spacing w:val="-6"/>
        </w:rPr>
        <w:t> </w:t>
      </w:r>
      <w:r>
        <w:rPr/>
        <w:t>isquemia</w:t>
      </w:r>
      <w:r>
        <w:rPr>
          <w:spacing w:val="-6"/>
        </w:rPr>
        <w:t> </w:t>
      </w:r>
      <w:r>
        <w:rPr/>
        <w:t>miocárdica, a obstrução da VSVE e as arritmias. Essas alterações são diferentes em cada paciente, possivelmente por determinação</w:t>
      </w:r>
      <w:r>
        <w:rPr>
          <w:spacing w:val="-5"/>
        </w:rPr>
        <w:t> </w:t>
      </w:r>
      <w:r>
        <w:rPr/>
        <w:t>genética, fazendo</w:t>
      </w:r>
      <w:r>
        <w:rPr>
          <w:spacing w:val="-5"/>
        </w:rPr>
        <w:t> </w:t>
      </w:r>
      <w:r>
        <w:rPr/>
        <w:t>com</w:t>
      </w:r>
      <w:r>
        <w:rPr>
          <w:spacing w:val="-6"/>
        </w:rPr>
        <w:t> </w:t>
      </w:r>
      <w:r>
        <w:rPr/>
        <w:t>que</w:t>
      </w:r>
      <w:r>
        <w:rPr>
          <w:spacing w:val="-9"/>
        </w:rPr>
        <w:t> </w:t>
      </w:r>
      <w:r>
        <w:rPr/>
        <w:t>a</w:t>
      </w:r>
      <w:r>
        <w:rPr>
          <w:spacing w:val="-9"/>
        </w:rPr>
        <w:t> </w:t>
      </w:r>
      <w:r>
        <w:rPr/>
        <w:t>evolução</w:t>
      </w:r>
      <w:r>
        <w:rPr>
          <w:spacing w:val="-5"/>
        </w:rPr>
        <w:t> </w:t>
      </w:r>
      <w:r>
        <w:rPr/>
        <w:t>clínica</w:t>
      </w:r>
      <w:r>
        <w:rPr>
          <w:spacing w:val="-9"/>
        </w:rPr>
        <w:t> </w:t>
      </w:r>
      <w:r>
        <w:rPr/>
        <w:t>e</w:t>
      </w:r>
      <w:r>
        <w:rPr>
          <w:spacing w:val="-9"/>
        </w:rPr>
        <w:t> </w:t>
      </w:r>
      <w:r>
        <w:rPr/>
        <w:t>a</w:t>
      </w:r>
      <w:r>
        <w:rPr>
          <w:spacing w:val="-9"/>
        </w:rPr>
        <w:t> </w:t>
      </w:r>
      <w:r>
        <w:rPr/>
        <w:t>história</w:t>
      </w:r>
      <w:r>
        <w:rPr>
          <w:spacing w:val="-9"/>
        </w:rPr>
        <w:t> </w:t>
      </w:r>
      <w:r>
        <w:rPr/>
        <w:t>natural</w:t>
      </w:r>
      <w:r>
        <w:rPr>
          <w:spacing w:val="-3"/>
        </w:rPr>
        <w:t> </w:t>
      </w:r>
      <w:r>
        <w:rPr/>
        <w:t>variem. Hoje</w:t>
      </w:r>
      <w:r>
        <w:rPr>
          <w:spacing w:val="-9"/>
        </w:rPr>
        <w:t> </w:t>
      </w:r>
      <w:r>
        <w:rPr/>
        <w:t>se</w:t>
      </w:r>
      <w:r>
        <w:rPr>
          <w:spacing w:val="-9"/>
        </w:rPr>
        <w:t> </w:t>
      </w:r>
      <w:r>
        <w:rPr/>
        <w:t>sabe</w:t>
      </w:r>
      <w:r>
        <w:rPr>
          <w:spacing w:val="-9"/>
        </w:rPr>
        <w:t> </w:t>
      </w:r>
      <w:r>
        <w:rPr/>
        <w:t>que</w:t>
      </w:r>
      <w:r>
        <w:rPr>
          <w:spacing w:val="-9"/>
        </w:rPr>
        <w:t> </w:t>
      </w:r>
      <w:r>
        <w:rPr/>
        <w:t>o</w:t>
      </w:r>
      <w:r>
        <w:rPr>
          <w:spacing w:val="-5"/>
        </w:rPr>
        <w:t> </w:t>
      </w:r>
      <w:r>
        <w:rPr/>
        <w:t>indivíduo pode ter a hipertrofia desde o nascimento, que pode aparecer ou aumentar na fase de crescimento e, a partir daí, poderá ocorrer diminuição após os 65 anos ou, se evoluir para dilatação, em fase avançada da doença, esta será acompanhada de disfunção sistólica.</w:t>
      </w:r>
      <w:r>
        <w:rPr>
          <w:vertAlign w:val="superscript"/>
        </w:rPr>
        <w:t>1–3,15</w:t>
      </w:r>
    </w:p>
    <w:p>
      <w:pPr>
        <w:pStyle w:val="BodyText"/>
        <w:spacing w:before="255"/>
        <w:ind w:left="0" w:firstLine="0"/>
        <w:jc w:val="left"/>
      </w:pPr>
    </w:p>
    <w:p>
      <w:pPr>
        <w:pStyle w:val="Heading3"/>
      </w:pPr>
      <w:r>
        <w:rPr>
          <w:color w:val="242B67"/>
        </w:rPr>
        <w:t>Miocardite</w:t>
      </w:r>
      <w:r>
        <w:rPr>
          <w:color w:val="242B67"/>
          <w:spacing w:val="5"/>
        </w:rPr>
        <w:t> </w:t>
      </w:r>
      <w:r>
        <w:rPr>
          <w:color w:val="242B67"/>
          <w:spacing w:val="-2"/>
        </w:rPr>
        <w:t>Viral</w:t>
      </w:r>
    </w:p>
    <w:p>
      <w:pPr>
        <w:pStyle w:val="BodyText"/>
        <w:spacing w:before="11"/>
        <w:ind w:left="0" w:firstLine="0"/>
        <w:jc w:val="left"/>
        <w:rPr>
          <w:rFonts w:ascii="Microsoft Sans Serif"/>
          <w:sz w:val="4"/>
        </w:rPr>
      </w:pPr>
      <w:r>
        <w:rPr>
          <w:rFonts w:ascii="Microsoft Sans Serif"/>
          <w:sz w:val="4"/>
        </w:rPr>
        <mc:AlternateContent>
          <mc:Choice Requires="wps">
            <w:drawing>
              <wp:anchor distT="0" distB="0" distL="0" distR="0" allowOverlap="1" layoutInCell="1" locked="0" behindDoc="1" simplePos="0" relativeHeight="487592448">
                <wp:simplePos x="0" y="0"/>
                <wp:positionH relativeFrom="page">
                  <wp:posOffset>401543</wp:posOffset>
                </wp:positionH>
                <wp:positionV relativeFrom="paragraph">
                  <wp:posOffset>51100</wp:posOffset>
                </wp:positionV>
                <wp:extent cx="6753225" cy="1079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23649pt;width:531.731217pt;height:.8008pt;mso-position-horizontal-relative:page;mso-position-vertical-relative:paragraph;z-index:-15724032;mso-wrap-distance-left:0;mso-wrap-distance-right:0" id="docshape7" filled="true" fillcolor="#242b67" stroked="false">
                <v:fill type="solid"/>
                <w10:wrap type="topAndBottom"/>
              </v:rect>
            </w:pict>
          </mc:Fallback>
        </mc:AlternateContent>
      </w:r>
    </w:p>
    <w:p>
      <w:pPr>
        <w:pStyle w:val="BodyText"/>
        <w:spacing w:before="29"/>
        <w:ind w:left="0" w:firstLine="0"/>
        <w:jc w:val="left"/>
        <w:rPr>
          <w:rFonts w:ascii="Microsoft Sans Serif"/>
          <w:sz w:val="38"/>
        </w:rPr>
      </w:pPr>
    </w:p>
    <w:p>
      <w:pPr>
        <w:pStyle w:val="Heading4"/>
      </w:pPr>
      <w:r>
        <w:rPr>
          <w:color w:val="242B67"/>
          <w:spacing w:val="-2"/>
        </w:rPr>
        <w:t>Introdução</w:t>
      </w:r>
    </w:p>
    <w:p>
      <w:pPr>
        <w:pStyle w:val="BodyText"/>
        <w:spacing w:line="280" w:lineRule="auto" w:before="132"/>
        <w:ind w:right="488"/>
      </w:pPr>
      <w:r>
        <w:rPr/>
        <w:t>A</w:t>
      </w:r>
      <w:r>
        <w:rPr>
          <w:spacing w:val="-12"/>
        </w:rPr>
        <w:t> </w:t>
      </w:r>
      <w:r>
        <w:rPr/>
        <w:t>miocardite</w:t>
      </w:r>
      <w:r>
        <w:rPr>
          <w:spacing w:val="-12"/>
        </w:rPr>
        <w:t> </w:t>
      </w:r>
      <w:r>
        <w:rPr/>
        <w:t>é</w:t>
      </w:r>
      <w:r>
        <w:rPr>
          <w:spacing w:val="-12"/>
        </w:rPr>
        <w:t> </w:t>
      </w:r>
      <w:r>
        <w:rPr/>
        <w:t>um</w:t>
      </w:r>
      <w:r>
        <w:rPr>
          <w:spacing w:val="-9"/>
        </w:rPr>
        <w:t> </w:t>
      </w:r>
      <w:r>
        <w:rPr/>
        <w:t>processo</w:t>
      </w:r>
      <w:r>
        <w:rPr>
          <w:spacing w:val="-9"/>
        </w:rPr>
        <w:t> </w:t>
      </w:r>
      <w:r>
        <w:rPr/>
        <w:t>histopatológico</w:t>
      </w:r>
      <w:r>
        <w:rPr>
          <w:spacing w:val="-9"/>
        </w:rPr>
        <w:t> </w:t>
      </w:r>
      <w:r>
        <w:rPr/>
        <w:t>caracterizado</w:t>
      </w:r>
      <w:r>
        <w:rPr>
          <w:spacing w:val="-9"/>
        </w:rPr>
        <w:t> </w:t>
      </w:r>
      <w:r>
        <w:rPr/>
        <w:t>por</w:t>
      </w:r>
      <w:r>
        <w:rPr>
          <w:spacing w:val="-4"/>
        </w:rPr>
        <w:t> </w:t>
      </w:r>
      <w:r>
        <w:rPr/>
        <w:t>infiltrado</w:t>
      </w:r>
      <w:r>
        <w:rPr>
          <w:spacing w:val="-9"/>
        </w:rPr>
        <w:t> </w:t>
      </w:r>
      <w:r>
        <w:rPr/>
        <w:t>inflamatório</w:t>
      </w:r>
      <w:r>
        <w:rPr>
          <w:spacing w:val="-9"/>
        </w:rPr>
        <w:t> </w:t>
      </w:r>
      <w:r>
        <w:rPr/>
        <w:t>do</w:t>
      </w:r>
      <w:r>
        <w:rPr>
          <w:spacing w:val="-9"/>
        </w:rPr>
        <w:t> </w:t>
      </w:r>
      <w:r>
        <w:rPr/>
        <w:t>miocárdio,</w:t>
      </w:r>
      <w:r>
        <w:rPr>
          <w:spacing w:val="-1"/>
        </w:rPr>
        <w:t> </w:t>
      </w:r>
      <w:r>
        <w:rPr/>
        <w:t>com</w:t>
      </w:r>
      <w:r>
        <w:rPr>
          <w:spacing w:val="-9"/>
        </w:rPr>
        <w:t> </w:t>
      </w:r>
      <w:r>
        <w:rPr/>
        <w:t>necrose ou</w:t>
      </w:r>
      <w:r>
        <w:rPr>
          <w:spacing w:val="-5"/>
        </w:rPr>
        <w:t> </w:t>
      </w:r>
      <w:r>
        <w:rPr/>
        <w:t>degeneração</w:t>
      </w:r>
      <w:r>
        <w:rPr>
          <w:spacing w:val="-5"/>
        </w:rPr>
        <w:t> </w:t>
      </w:r>
      <w:r>
        <w:rPr/>
        <w:t>de</w:t>
      </w:r>
      <w:r>
        <w:rPr>
          <w:spacing w:val="-7"/>
        </w:rPr>
        <w:t> </w:t>
      </w:r>
      <w:r>
        <w:rPr/>
        <w:t>miócitos, na</w:t>
      </w:r>
      <w:r>
        <w:rPr>
          <w:spacing w:val="-7"/>
        </w:rPr>
        <w:t> </w:t>
      </w:r>
      <w:r>
        <w:rPr/>
        <w:t>ausência</w:t>
      </w:r>
      <w:r>
        <w:rPr>
          <w:spacing w:val="-7"/>
        </w:rPr>
        <w:t> </w:t>
      </w:r>
      <w:r>
        <w:rPr/>
        <w:t>de</w:t>
      </w:r>
      <w:r>
        <w:rPr>
          <w:spacing w:val="-7"/>
        </w:rPr>
        <w:t> </w:t>
      </w:r>
      <w:r>
        <w:rPr/>
        <w:t>isquemia.</w:t>
      </w:r>
      <w:r>
        <w:rPr>
          <w:vertAlign w:val="superscript"/>
        </w:rPr>
        <w:t>1</w:t>
      </w:r>
      <w:r>
        <w:rPr>
          <w:vertAlign w:val="baseline"/>
        </w:rPr>
        <w:t> Miocardite</w:t>
      </w:r>
      <w:r>
        <w:rPr>
          <w:spacing w:val="-6"/>
          <w:vertAlign w:val="baseline"/>
        </w:rPr>
        <w:t> </w:t>
      </w:r>
      <w:r>
        <w:rPr>
          <w:vertAlign w:val="baseline"/>
        </w:rPr>
        <w:t>é</w:t>
      </w:r>
      <w:r>
        <w:rPr>
          <w:spacing w:val="-6"/>
          <w:vertAlign w:val="baseline"/>
        </w:rPr>
        <w:t> </w:t>
      </w:r>
      <w:r>
        <w:rPr>
          <w:vertAlign w:val="baseline"/>
        </w:rPr>
        <w:t>o</w:t>
      </w:r>
      <w:r>
        <w:rPr>
          <w:spacing w:val="-4"/>
          <w:vertAlign w:val="baseline"/>
        </w:rPr>
        <w:t> </w:t>
      </w:r>
      <w:r>
        <w:rPr>
          <w:vertAlign w:val="baseline"/>
        </w:rPr>
        <w:t>termo</w:t>
      </w:r>
      <w:r>
        <w:rPr>
          <w:spacing w:val="-4"/>
          <w:vertAlign w:val="baseline"/>
        </w:rPr>
        <w:t> </w:t>
      </w:r>
      <w:r>
        <w:rPr>
          <w:vertAlign w:val="baseline"/>
        </w:rPr>
        <w:t>utilizado</w:t>
      </w:r>
      <w:r>
        <w:rPr>
          <w:spacing w:val="-4"/>
          <w:vertAlign w:val="baseline"/>
        </w:rPr>
        <w:t> </w:t>
      </w:r>
      <w:r>
        <w:rPr>
          <w:vertAlign w:val="baseline"/>
        </w:rPr>
        <w:t>para</w:t>
      </w:r>
      <w:r>
        <w:rPr>
          <w:spacing w:val="-6"/>
          <w:vertAlign w:val="baseline"/>
        </w:rPr>
        <w:t> </w:t>
      </w:r>
      <w:r>
        <w:rPr>
          <w:vertAlign w:val="baseline"/>
        </w:rPr>
        <w:t>descrever inflamação</w:t>
      </w:r>
      <w:r>
        <w:rPr>
          <w:spacing w:val="-4"/>
          <w:vertAlign w:val="baseline"/>
        </w:rPr>
        <w:t> </w:t>
      </w:r>
      <w:r>
        <w:rPr>
          <w:vertAlign w:val="baseline"/>
        </w:rPr>
        <w:t>do músculo cardíaco secundária a agentes tóxicos, infecciosos ou autoimunes. A grande maioria dos casos dessa doença em indivíduos saudáveis apresenta etiologia infecciosa. Causas não infecciosas, tais como sarcoidose, doenças vasculares do colágeno, psoríase, vitiligo e doenças intestinais (doença celíaca), também têm sido associadas às miocardites, denotando um mecanismo fisiopatológico complexo.</w:t>
      </w:r>
      <w:r>
        <w:rPr>
          <w:vertAlign w:val="superscript"/>
        </w:rPr>
        <w:t>2,3</w:t>
      </w:r>
    </w:p>
    <w:p>
      <w:pPr>
        <w:pStyle w:val="BodyText"/>
        <w:spacing w:line="290" w:lineRule="auto"/>
        <w:ind w:right="500"/>
      </w:pPr>
      <w:r>
        <w:rPr/>
        <w:t>Epidemiologicamente, ela é observada em 0,11 a 5,5% da população geral.</w:t>
      </w:r>
      <w:r>
        <w:rPr>
          <w:vertAlign w:val="superscript"/>
        </w:rPr>
        <w:t>4</w:t>
      </w:r>
      <w:r>
        <w:rPr>
          <w:vertAlign w:val="baseline"/>
        </w:rPr>
        <w:t> Durante epidemias virais, 5% dos pacientes podem apresentar sintomas de cardite.</w:t>
      </w:r>
      <w:r>
        <w:rPr>
          <w:vertAlign w:val="superscript"/>
        </w:rPr>
        <w:t>5,6</w:t>
      </w:r>
    </w:p>
    <w:p>
      <w:pPr>
        <w:pStyle w:val="BodyText"/>
        <w:spacing w:line="278" w:lineRule="auto" w:before="48"/>
        <w:ind w:right="488"/>
      </w:pPr>
      <w:r>
        <w:rPr/>
        <w:t>Qualquer processo viral pode desencadear miocardite. Tem-se observado uma mudança quanto ao agente infeccioso</w:t>
      </w:r>
      <w:r>
        <w:rPr>
          <w:spacing w:val="-3"/>
        </w:rPr>
        <w:t> </w:t>
      </w:r>
      <w:r>
        <w:rPr/>
        <w:t>nas últimas décadas. Na</w:t>
      </w:r>
      <w:r>
        <w:rPr>
          <w:spacing w:val="-5"/>
        </w:rPr>
        <w:t> </w:t>
      </w:r>
      <w:r>
        <w:rPr/>
        <w:t>década</w:t>
      </w:r>
      <w:r>
        <w:rPr>
          <w:spacing w:val="-5"/>
        </w:rPr>
        <w:t> </w:t>
      </w:r>
      <w:r>
        <w:rPr/>
        <w:t>de</w:t>
      </w:r>
      <w:r>
        <w:rPr>
          <w:spacing w:val="-5"/>
        </w:rPr>
        <w:t> </w:t>
      </w:r>
      <w:r>
        <w:rPr/>
        <w:t>1950, o</w:t>
      </w:r>
      <w:r>
        <w:rPr>
          <w:spacing w:val="-3"/>
        </w:rPr>
        <w:t> </w:t>
      </w:r>
      <w:r>
        <w:rPr/>
        <w:t>principal agente</w:t>
      </w:r>
      <w:r>
        <w:rPr>
          <w:spacing w:val="-5"/>
        </w:rPr>
        <w:t> </w:t>
      </w:r>
      <w:r>
        <w:rPr/>
        <w:t>era</w:t>
      </w:r>
      <w:r>
        <w:rPr>
          <w:spacing w:val="-5"/>
        </w:rPr>
        <w:t> </w:t>
      </w:r>
      <w:r>
        <w:rPr/>
        <w:t>o</w:t>
      </w:r>
      <w:r>
        <w:rPr>
          <w:spacing w:val="-3"/>
        </w:rPr>
        <w:t> </w:t>
      </w:r>
      <w:r>
        <w:rPr/>
        <w:t>vírus Coxsackie; já</w:t>
      </w:r>
      <w:r>
        <w:rPr>
          <w:spacing w:val="-5"/>
        </w:rPr>
        <w:t> </w:t>
      </w:r>
      <w:r>
        <w:rPr/>
        <w:t>na</w:t>
      </w:r>
      <w:r>
        <w:rPr>
          <w:spacing w:val="-5"/>
        </w:rPr>
        <w:t> </w:t>
      </w:r>
      <w:r>
        <w:rPr/>
        <w:t>década</w:t>
      </w:r>
      <w:r>
        <w:rPr>
          <w:spacing w:val="-5"/>
        </w:rPr>
        <w:t> </w:t>
      </w:r>
      <w:r>
        <w:rPr/>
        <w:t>de</w:t>
      </w:r>
      <w:r>
        <w:rPr>
          <w:spacing w:val="-5"/>
        </w:rPr>
        <w:t> </w:t>
      </w:r>
      <w:r>
        <w:rPr/>
        <w:t>1990, era o adenovírus; e nos últimos anos, o parvovírus B19. O agente etiológico determinará o fenótipo da miocardiopatia. Por</w:t>
      </w:r>
      <w:r>
        <w:rPr>
          <w:spacing w:val="-1"/>
        </w:rPr>
        <w:t> </w:t>
      </w:r>
      <w:r>
        <w:rPr/>
        <w:t>exemplo, os enterovírus e</w:t>
      </w:r>
      <w:r>
        <w:rPr>
          <w:spacing w:val="-9"/>
        </w:rPr>
        <w:t> </w:t>
      </w:r>
      <w:r>
        <w:rPr/>
        <w:t>o</w:t>
      </w:r>
      <w:r>
        <w:rPr>
          <w:spacing w:val="-7"/>
        </w:rPr>
        <w:t> </w:t>
      </w:r>
      <w:r>
        <w:rPr/>
        <w:t>herpes-vírus humano</w:t>
      </w:r>
      <w:r>
        <w:rPr>
          <w:spacing w:val="-7"/>
        </w:rPr>
        <w:t> </w:t>
      </w:r>
      <w:r>
        <w:rPr/>
        <w:t>6-A</w:t>
      </w:r>
      <w:r>
        <w:rPr>
          <w:spacing w:val="-9"/>
        </w:rPr>
        <w:t> </w:t>
      </w:r>
      <w:r>
        <w:rPr/>
        <w:t>(HHV6-A, do</w:t>
      </w:r>
      <w:r>
        <w:rPr>
          <w:spacing w:val="-7"/>
        </w:rPr>
        <w:t> </w:t>
      </w:r>
      <w:r>
        <w:rPr/>
        <w:t>inglês, </w:t>
      </w:r>
      <w:r>
        <w:rPr>
          <w:i/>
        </w:rPr>
        <w:t>human</w:t>
      </w:r>
      <w:r>
        <w:rPr>
          <w:i/>
          <w:spacing w:val="-8"/>
        </w:rPr>
        <w:t> </w:t>
      </w:r>
      <w:r>
        <w:rPr>
          <w:i/>
        </w:rPr>
        <w:t>herpesvirus 6-A</w:t>
      </w:r>
      <w:r>
        <w:rPr/>
        <w:t>)</w:t>
      </w:r>
      <w:r>
        <w:rPr>
          <w:spacing w:val="-2"/>
        </w:rPr>
        <w:t> </w:t>
      </w:r>
      <w:r>
        <w:rPr/>
        <w:t>ocasionam</w:t>
      </w:r>
      <w:r>
        <w:rPr>
          <w:spacing w:val="-7"/>
        </w:rPr>
        <w:t> </w:t>
      </w:r>
      <w:r>
        <w:rPr/>
        <w:t>infecção</w:t>
      </w:r>
      <w:r>
        <w:rPr>
          <w:spacing w:val="-7"/>
        </w:rPr>
        <w:t> </w:t>
      </w:r>
      <w:r>
        <w:rPr/>
        <w:t>de</w:t>
      </w:r>
      <w:r>
        <w:rPr>
          <w:spacing w:val="-10"/>
        </w:rPr>
        <w:t> </w:t>
      </w:r>
      <w:r>
        <w:rPr/>
        <w:t>cardiomiócitos e</w:t>
      </w:r>
      <w:r>
        <w:rPr>
          <w:spacing w:val="-10"/>
        </w:rPr>
        <w:t> </w:t>
      </w:r>
      <w:r>
        <w:rPr/>
        <w:t>consequentemente</w:t>
      </w:r>
      <w:r>
        <w:rPr>
          <w:spacing w:val="-10"/>
        </w:rPr>
        <w:t> </w:t>
      </w:r>
      <w:r>
        <w:rPr/>
        <w:t>disfunção</w:t>
      </w:r>
      <w:r>
        <w:rPr>
          <w:spacing w:val="-7"/>
        </w:rPr>
        <w:t> </w:t>
      </w:r>
      <w:r>
        <w:rPr/>
        <w:t>sistólica, já</w:t>
      </w:r>
      <w:r>
        <w:rPr>
          <w:spacing w:val="-10"/>
        </w:rPr>
        <w:t> </w:t>
      </w:r>
      <w:r>
        <w:rPr/>
        <w:t>o</w:t>
      </w:r>
      <w:r>
        <w:rPr>
          <w:spacing w:val="-7"/>
        </w:rPr>
        <w:t> </w:t>
      </w:r>
      <w:r>
        <w:rPr/>
        <w:t>parvovírus B19</w:t>
      </w:r>
      <w:r>
        <w:rPr>
          <w:spacing w:val="-7"/>
        </w:rPr>
        <w:t> </w:t>
      </w:r>
      <w:r>
        <w:rPr/>
        <w:t>e</w:t>
      </w:r>
      <w:r>
        <w:rPr>
          <w:spacing w:val="-10"/>
        </w:rPr>
        <w:t> </w:t>
      </w:r>
      <w:r>
        <w:rPr/>
        <w:t>o</w:t>
      </w:r>
      <w:r>
        <w:rPr>
          <w:spacing w:val="-7"/>
        </w:rPr>
        <w:t> </w:t>
      </w:r>
      <w:r>
        <w:rPr/>
        <w:t>HHV6-B também causam infecção do endotélio e consequentemente podem desenvolver disfunções endotelial, sistólica e diastólica.</w:t>
      </w:r>
      <w:r>
        <w:rPr>
          <w:vertAlign w:val="superscript"/>
        </w:rPr>
        <w:t>7,8</w:t>
      </w:r>
      <w:r>
        <w:rPr>
          <w:vertAlign w:val="baseline"/>
        </w:rPr>
        <w:t> A</w:t>
      </w:r>
      <w:r>
        <w:rPr>
          <w:spacing w:val="-2"/>
          <w:vertAlign w:val="baseline"/>
        </w:rPr>
        <w:t> </w:t>
      </w:r>
      <w:r>
        <w:rPr>
          <w:vertAlign w:val="baseline"/>
        </w:rPr>
        <w:t>presença</w:t>
      </w:r>
      <w:r>
        <w:rPr>
          <w:spacing w:val="-2"/>
          <w:vertAlign w:val="baseline"/>
        </w:rPr>
        <w:t> </w:t>
      </w:r>
      <w:r>
        <w:rPr>
          <w:vertAlign w:val="baseline"/>
        </w:rPr>
        <w:t>de</w:t>
      </w:r>
      <w:r>
        <w:rPr>
          <w:spacing w:val="-2"/>
          <w:vertAlign w:val="baseline"/>
        </w:rPr>
        <w:t> </w:t>
      </w:r>
      <w:r>
        <w:rPr>
          <w:vertAlign w:val="baseline"/>
        </w:rPr>
        <w:t>genoma</w:t>
      </w:r>
      <w:r>
        <w:rPr>
          <w:spacing w:val="-2"/>
          <w:vertAlign w:val="baseline"/>
        </w:rPr>
        <w:t> </w:t>
      </w:r>
      <w:r>
        <w:rPr>
          <w:vertAlign w:val="baseline"/>
        </w:rPr>
        <w:t>viral é</w:t>
      </w:r>
      <w:r>
        <w:rPr>
          <w:spacing w:val="-2"/>
          <w:vertAlign w:val="baseline"/>
        </w:rPr>
        <w:t> </w:t>
      </w:r>
      <w:r>
        <w:rPr>
          <w:vertAlign w:val="baseline"/>
        </w:rPr>
        <w:t>descrita</w:t>
      </w:r>
      <w:r>
        <w:rPr>
          <w:spacing w:val="-2"/>
          <w:vertAlign w:val="baseline"/>
        </w:rPr>
        <w:t> </w:t>
      </w:r>
      <w:r>
        <w:rPr>
          <w:vertAlign w:val="baseline"/>
        </w:rPr>
        <w:t>em 10 a</w:t>
      </w:r>
      <w:r>
        <w:rPr>
          <w:spacing w:val="-2"/>
          <w:vertAlign w:val="baseline"/>
        </w:rPr>
        <w:t> </w:t>
      </w:r>
      <w:r>
        <w:rPr>
          <w:vertAlign w:val="baseline"/>
        </w:rPr>
        <w:t>34% dos pacientes com cardiomiopatia</w:t>
      </w:r>
      <w:r>
        <w:rPr>
          <w:spacing w:val="-2"/>
          <w:vertAlign w:val="baseline"/>
        </w:rPr>
        <w:t> </w:t>
      </w:r>
      <w:r>
        <w:rPr>
          <w:vertAlign w:val="baseline"/>
        </w:rPr>
        <w:t>dilatada.</w:t>
      </w:r>
      <w:r>
        <w:rPr>
          <w:vertAlign w:val="superscript"/>
        </w:rPr>
        <w:t>6</w:t>
      </w:r>
    </w:p>
    <w:p>
      <w:pPr>
        <w:pStyle w:val="BodyText"/>
        <w:spacing w:before="184"/>
        <w:ind w:left="0" w:firstLine="0"/>
        <w:jc w:val="left"/>
      </w:pPr>
    </w:p>
    <w:p>
      <w:pPr>
        <w:pStyle w:val="Heading4"/>
      </w:pPr>
      <w:r>
        <w:rPr>
          <w:color w:val="242B67"/>
          <w:spacing w:val="-2"/>
        </w:rPr>
        <w:t>Fisiopatologia</w:t>
      </w:r>
    </w:p>
    <w:p>
      <w:pPr>
        <w:pStyle w:val="BodyText"/>
        <w:spacing w:line="276" w:lineRule="auto" w:before="132"/>
        <w:ind w:right="491"/>
      </w:pPr>
      <w:r>
        <w:rPr/>
        <w:t>A evolução temporal da miocardite pode ser dividida em fases aguda, subaguda e crônica. O conhecimento dessas fases cronológicas facilita</w:t>
      </w:r>
      <w:r>
        <w:rPr>
          <w:spacing w:val="-3"/>
        </w:rPr>
        <w:t> </w:t>
      </w:r>
      <w:r>
        <w:rPr/>
        <w:t>a</w:t>
      </w:r>
      <w:r>
        <w:rPr>
          <w:spacing w:val="-3"/>
        </w:rPr>
        <w:t> </w:t>
      </w:r>
      <w:r>
        <w:rPr/>
        <w:t>compreensão do diagnóstico, bem como das possibilidades terapêuticas.</w:t>
      </w:r>
    </w:p>
    <w:p>
      <w:pPr>
        <w:pStyle w:val="BodyText"/>
        <w:spacing w:line="283" w:lineRule="auto" w:before="64"/>
        <w:ind w:right="488"/>
      </w:pPr>
      <w:r>
        <w:rPr/>
        <w:t>A fase aguda caracteriza-se pela presença de viremia. Nessa fase, cuja duração é de 4 dias, existe necrose de miócitos ocasionada pelo efeito citotóxico direto do vírus. Após invasão viral, ocorre ativação do sistema imune, representado</w:t>
      </w:r>
      <w:r>
        <w:rPr>
          <w:spacing w:val="-5"/>
        </w:rPr>
        <w:t> </w:t>
      </w:r>
      <w:r>
        <w:rPr/>
        <w:t>por células </w:t>
      </w:r>
      <w:r>
        <w:rPr>
          <w:i/>
        </w:rPr>
        <w:t>natural</w:t>
      </w:r>
      <w:r>
        <w:rPr>
          <w:i/>
          <w:spacing w:val="-3"/>
        </w:rPr>
        <w:t> </w:t>
      </w:r>
      <w:r>
        <w:rPr>
          <w:i/>
        </w:rPr>
        <w:t>killer </w:t>
      </w:r>
      <w:r>
        <w:rPr/>
        <w:t>(NK), macrófagos e</w:t>
      </w:r>
      <w:r>
        <w:rPr>
          <w:spacing w:val="-4"/>
        </w:rPr>
        <w:t> </w:t>
      </w:r>
      <w:r>
        <w:rPr/>
        <w:t>produção</w:t>
      </w:r>
      <w:r>
        <w:rPr>
          <w:spacing w:val="-2"/>
        </w:rPr>
        <w:t> </w:t>
      </w:r>
      <w:r>
        <w:rPr/>
        <w:t>de</w:t>
      </w:r>
      <w:r>
        <w:rPr>
          <w:spacing w:val="-4"/>
        </w:rPr>
        <w:t> </w:t>
      </w:r>
      <w:r>
        <w:rPr/>
        <w:t>citocinas (interleucinas 1</w:t>
      </w:r>
      <w:r>
        <w:rPr>
          <w:spacing w:val="-2"/>
        </w:rPr>
        <w:t> </w:t>
      </w:r>
      <w:r>
        <w:rPr/>
        <w:t>[IL-1] e</w:t>
      </w:r>
      <w:r>
        <w:rPr>
          <w:spacing w:val="-4"/>
        </w:rPr>
        <w:t> </w:t>
      </w:r>
      <w:r>
        <w:rPr/>
        <w:t>2</w:t>
      </w:r>
      <w:r>
        <w:rPr>
          <w:spacing w:val="-2"/>
        </w:rPr>
        <w:t> </w:t>
      </w:r>
      <w:r>
        <w:rPr/>
        <w:t>[IL-2], interferona-g e fator de necrose tumoral).</w:t>
      </w:r>
      <w:r>
        <w:rPr>
          <w:vertAlign w:val="superscript"/>
        </w:rPr>
        <w:t>9</w:t>
      </w:r>
      <w:r>
        <w:rPr>
          <w:vertAlign w:val="baseline"/>
        </w:rPr>
        <w:t> Não se observam anticorpos neutralizantes virais até o quarto dia, quando os títulos virais são os mais elevados. Esses anticorpos atingem seus níveis mais elevados no 14</w:t>
      </w:r>
      <w:r>
        <w:rPr>
          <w:u w:val="single"/>
          <w:vertAlign w:val="superscript"/>
        </w:rPr>
        <w:t>o</w:t>
      </w:r>
      <w:r>
        <w:rPr>
          <w:vertAlign w:val="baseline"/>
        </w:rPr>
        <w:t> dia, estando relacionados com a eliminação do vírus no coração (10</w:t>
      </w:r>
      <w:r>
        <w:rPr>
          <w:u w:val="single"/>
          <w:vertAlign w:val="superscript"/>
        </w:rPr>
        <w:t>o</w:t>
      </w:r>
      <w:r>
        <w:rPr>
          <w:vertAlign w:val="baseline"/>
        </w:rPr>
        <w:t> dia). A fase subaguda inicia-se a partir do quarto dia da inoculação e estende-se até o 14</w:t>
      </w:r>
      <w:r>
        <w:rPr>
          <w:u w:val="single"/>
          <w:vertAlign w:val="superscript"/>
        </w:rPr>
        <w:t>o</w:t>
      </w:r>
      <w:r>
        <w:rPr>
          <w:vertAlign w:val="baseline"/>
        </w:rPr>
        <w:t> dia.</w:t>
      </w:r>
      <w:r>
        <w:rPr>
          <w:spacing w:val="11"/>
          <w:vertAlign w:val="baseline"/>
        </w:rPr>
        <w:t> </w:t>
      </w:r>
      <w:r>
        <w:rPr>
          <w:vertAlign w:val="baseline"/>
        </w:rPr>
        <w:t>Infiltrado de linfócitos</w:t>
      </w:r>
      <w:r>
        <w:rPr>
          <w:spacing w:val="11"/>
          <w:vertAlign w:val="baseline"/>
        </w:rPr>
        <w:t> </w:t>
      </w:r>
      <w:r>
        <w:rPr>
          <w:vertAlign w:val="baseline"/>
        </w:rPr>
        <w:t>T segue-se na invasão do miocárdio,</w:t>
      </w:r>
      <w:r>
        <w:rPr>
          <w:spacing w:val="11"/>
          <w:vertAlign w:val="baseline"/>
        </w:rPr>
        <w:t> </w:t>
      </w:r>
      <w:r>
        <w:rPr>
          <w:vertAlign w:val="baseline"/>
        </w:rPr>
        <w:t>atingindo o seu pico em 7 a 14 dias após a inoculação viral. Nessa fase ocorre maior dano celular miocárdico. A resposta inflamatória</w:t>
      </w:r>
      <w:r>
        <w:rPr>
          <w:spacing w:val="-1"/>
          <w:vertAlign w:val="baseline"/>
        </w:rPr>
        <w:t> </w:t>
      </w:r>
      <w:r>
        <w:rPr>
          <w:vertAlign w:val="baseline"/>
        </w:rPr>
        <w:t>lesa</w:t>
      </w:r>
      <w:r>
        <w:rPr>
          <w:spacing w:val="-1"/>
          <w:vertAlign w:val="baseline"/>
        </w:rPr>
        <w:t> </w:t>
      </w:r>
      <w:r>
        <w:rPr>
          <w:vertAlign w:val="baseline"/>
        </w:rPr>
        <w:t>o miocárdio. Existe</w:t>
      </w:r>
      <w:r>
        <w:rPr>
          <w:spacing w:val="-1"/>
          <w:vertAlign w:val="baseline"/>
        </w:rPr>
        <w:t> </w:t>
      </w:r>
      <w:r>
        <w:rPr>
          <w:vertAlign w:val="baseline"/>
        </w:rPr>
        <w:t>também infiltração de</w:t>
      </w:r>
      <w:r>
        <w:rPr>
          <w:spacing w:val="-1"/>
          <w:vertAlign w:val="baseline"/>
        </w:rPr>
        <w:t> </w:t>
      </w:r>
      <w:r>
        <w:rPr>
          <w:vertAlign w:val="baseline"/>
        </w:rPr>
        <w:t>linfócitos B, e</w:t>
      </w:r>
      <w:r>
        <w:rPr>
          <w:spacing w:val="-1"/>
          <w:vertAlign w:val="baseline"/>
        </w:rPr>
        <w:t> </w:t>
      </w:r>
      <w:r>
        <w:rPr>
          <w:vertAlign w:val="baseline"/>
        </w:rPr>
        <w:t>essa</w:t>
      </w:r>
      <w:r>
        <w:rPr>
          <w:spacing w:val="-1"/>
          <w:vertAlign w:val="baseline"/>
        </w:rPr>
        <w:t> </w:t>
      </w:r>
      <w:r>
        <w:rPr>
          <w:vertAlign w:val="baseline"/>
        </w:rPr>
        <w:t>proporção aumenta</w:t>
      </w:r>
      <w:r>
        <w:rPr>
          <w:spacing w:val="-1"/>
          <w:vertAlign w:val="baseline"/>
        </w:rPr>
        <w:t> </w:t>
      </w:r>
      <w:r>
        <w:rPr>
          <w:vertAlign w:val="baseline"/>
        </w:rPr>
        <w:t>gradativamente no decorrer do primeiro ao terceiro mês. A resposta imune humoral tem importante papel na agressão e disfunção miocárdica, isto porque alguns anticorpos apresentam reação cruzada com as proteínas virais. O soro de pacientes com miocardite apresenta múltiplos padrões imuno-histoquímicos, que podem reagir com a membrana dos miócitos, receptores beta, miosina e adenosina difosfato (ADP, do inglês, </w:t>
      </w:r>
      <w:r>
        <w:rPr>
          <w:i/>
          <w:vertAlign w:val="baseline"/>
        </w:rPr>
        <w:t>adenosine diphosphate</w:t>
      </w:r>
      <w:r>
        <w:rPr>
          <w:vertAlign w:val="baseline"/>
        </w:rPr>
        <w:t>) e adenosina trifosfato</w:t>
      </w:r>
      <w:r>
        <w:rPr>
          <w:spacing w:val="-3"/>
          <w:vertAlign w:val="baseline"/>
        </w:rPr>
        <w:t> </w:t>
      </w:r>
      <w:r>
        <w:rPr>
          <w:vertAlign w:val="baseline"/>
        </w:rPr>
        <w:t>(ATP, do</w:t>
      </w:r>
      <w:r>
        <w:rPr>
          <w:spacing w:val="-3"/>
          <w:vertAlign w:val="baseline"/>
        </w:rPr>
        <w:t> </w:t>
      </w:r>
      <w:r>
        <w:rPr>
          <w:vertAlign w:val="baseline"/>
        </w:rPr>
        <w:t>inglês, </w:t>
      </w:r>
      <w:r>
        <w:rPr>
          <w:i/>
          <w:vertAlign w:val="baseline"/>
        </w:rPr>
        <w:t>adenosine</w:t>
      </w:r>
      <w:r>
        <w:rPr>
          <w:i/>
          <w:spacing w:val="-6"/>
          <w:vertAlign w:val="baseline"/>
        </w:rPr>
        <w:t> </w:t>
      </w:r>
      <w:r>
        <w:rPr>
          <w:i/>
          <w:vertAlign w:val="baseline"/>
        </w:rPr>
        <w:t>triphosphate</w:t>
      </w:r>
      <w:r>
        <w:rPr>
          <w:vertAlign w:val="baseline"/>
        </w:rPr>
        <w:t>) etc.</w:t>
      </w:r>
      <w:r>
        <w:rPr>
          <w:vertAlign w:val="superscript"/>
        </w:rPr>
        <w:t>10</w:t>
      </w:r>
      <w:r>
        <w:rPr>
          <w:vertAlign w:val="baseline"/>
        </w:rPr>
        <w:t> A</w:t>
      </w:r>
      <w:r>
        <w:rPr>
          <w:spacing w:val="-6"/>
          <w:vertAlign w:val="baseline"/>
        </w:rPr>
        <w:t> </w:t>
      </w:r>
      <w:r>
        <w:rPr>
          <w:vertAlign w:val="baseline"/>
        </w:rPr>
        <w:t>terceira</w:t>
      </w:r>
      <w:r>
        <w:rPr>
          <w:spacing w:val="-6"/>
          <w:vertAlign w:val="baseline"/>
        </w:rPr>
        <w:t> </w:t>
      </w:r>
      <w:r>
        <w:rPr>
          <w:vertAlign w:val="baseline"/>
        </w:rPr>
        <w:t>fase</w:t>
      </w:r>
      <w:r>
        <w:rPr>
          <w:spacing w:val="-6"/>
          <w:vertAlign w:val="baseline"/>
        </w:rPr>
        <w:t> </w:t>
      </w:r>
      <w:r>
        <w:rPr>
          <w:vertAlign w:val="baseline"/>
        </w:rPr>
        <w:t>ocorre</w:t>
      </w:r>
      <w:r>
        <w:rPr>
          <w:spacing w:val="-6"/>
          <w:vertAlign w:val="baseline"/>
        </w:rPr>
        <w:t> </w:t>
      </w:r>
      <w:r>
        <w:rPr>
          <w:vertAlign w:val="baseline"/>
        </w:rPr>
        <w:t>do</w:t>
      </w:r>
      <w:r>
        <w:rPr>
          <w:spacing w:val="-3"/>
          <w:vertAlign w:val="baseline"/>
        </w:rPr>
        <w:t> </w:t>
      </w:r>
      <w:r>
        <w:rPr>
          <w:vertAlign w:val="baseline"/>
        </w:rPr>
        <w:t>15</w:t>
      </w:r>
      <w:r>
        <w:rPr>
          <w:u w:val="single"/>
          <w:vertAlign w:val="superscript"/>
        </w:rPr>
        <w:t>o</w:t>
      </w:r>
      <w:r>
        <w:rPr>
          <w:vertAlign w:val="baseline"/>
        </w:rPr>
        <w:t> ao</w:t>
      </w:r>
      <w:r>
        <w:rPr>
          <w:spacing w:val="-3"/>
          <w:vertAlign w:val="baseline"/>
        </w:rPr>
        <w:t> </w:t>
      </w:r>
      <w:r>
        <w:rPr>
          <w:vertAlign w:val="baseline"/>
        </w:rPr>
        <w:t>90</w:t>
      </w:r>
      <w:r>
        <w:rPr>
          <w:u w:val="single"/>
          <w:vertAlign w:val="superscript"/>
        </w:rPr>
        <w:t>o</w:t>
      </w:r>
      <w:r>
        <w:rPr>
          <w:vertAlign w:val="baseline"/>
        </w:rPr>
        <w:t> dia</w:t>
      </w:r>
      <w:r>
        <w:rPr>
          <w:spacing w:val="-2"/>
          <w:vertAlign w:val="baseline"/>
        </w:rPr>
        <w:t> </w:t>
      </w:r>
      <w:r>
        <w:rPr>
          <w:vertAlign w:val="baseline"/>
        </w:rPr>
        <w:t>após a</w:t>
      </w:r>
      <w:r>
        <w:rPr>
          <w:spacing w:val="-2"/>
          <w:vertAlign w:val="baseline"/>
        </w:rPr>
        <w:t> </w:t>
      </w:r>
      <w:r>
        <w:rPr>
          <w:vertAlign w:val="baseline"/>
        </w:rPr>
        <w:t>inoculação viral e caracteriza-se por sequela fibrótica, dilatação e IC.</w:t>
      </w:r>
      <w:r>
        <w:rPr>
          <w:vertAlign w:val="superscript"/>
        </w:rPr>
        <w:t>6</w:t>
      </w:r>
    </w:p>
    <w:p>
      <w:pPr>
        <w:pStyle w:val="BodyText"/>
        <w:spacing w:line="290" w:lineRule="auto" w:before="28"/>
        <w:ind w:right="488"/>
      </w:pPr>
      <w:r>
        <w:rPr/>
        <w:t>Outros mecanismos fisiopatológicos, tais como isquemia, disfunção endotelial e apoptose, têm importância na agressão miocárdica.</w:t>
      </w:r>
      <w:r>
        <w:rPr>
          <w:vertAlign w:val="superscript"/>
        </w:rPr>
        <w:t>2,11</w:t>
      </w:r>
    </w:p>
    <w:p>
      <w:pPr>
        <w:pStyle w:val="BodyText"/>
        <w:spacing w:after="0" w:line="290" w:lineRule="auto"/>
        <w:sectPr>
          <w:pgSz w:w="11900" w:h="16840"/>
          <w:pgMar w:top="200" w:bottom="280" w:left="566" w:right="141"/>
        </w:sectPr>
      </w:pPr>
    </w:p>
    <w:p>
      <w:pPr>
        <w:pStyle w:val="Heading4"/>
        <w:spacing w:before="75"/>
      </w:pPr>
      <w:r>
        <w:rPr>
          <w:color w:val="242B67"/>
          <w:spacing w:val="-2"/>
        </w:rPr>
        <w:t>Diagnóstico</w:t>
      </w:r>
    </w:p>
    <w:p>
      <w:pPr>
        <w:pStyle w:val="Heading5"/>
        <w:spacing w:before="193"/>
      </w:pPr>
      <w:r>
        <w:rPr>
          <w:color w:val="A26108"/>
        </w:rPr>
        <w:t>Exame</w:t>
      </w:r>
      <w:r>
        <w:rPr>
          <w:color w:val="A26108"/>
          <w:spacing w:val="21"/>
        </w:rPr>
        <w:t> </w:t>
      </w:r>
      <w:r>
        <w:rPr>
          <w:color w:val="A26108"/>
          <w:spacing w:val="-2"/>
        </w:rPr>
        <w:t>clínico</w:t>
      </w:r>
    </w:p>
    <w:p>
      <w:pPr>
        <w:pStyle w:val="BodyText"/>
        <w:spacing w:line="276" w:lineRule="auto" w:before="122"/>
        <w:ind w:right="488"/>
      </w:pPr>
      <w:r>
        <w:rPr/>
        <w:t>A apresentação clínica da miocardite viral é variável, podendo ocorrer casos subclínicos, outros com clínica exuberante e progressiva, e até morte súbita, como única manifestação.</w:t>
      </w:r>
    </w:p>
    <w:p>
      <w:pPr>
        <w:pStyle w:val="BodyText"/>
        <w:spacing w:line="276" w:lineRule="auto"/>
        <w:ind w:right="491"/>
      </w:pPr>
      <w:r>
        <w:rPr/>
        <w:t>Os sintomas prodrômicos variam desde febre à presença de infecções não específicas do trato respiratório ou </w:t>
      </w:r>
      <w:r>
        <w:rPr>
          <w:spacing w:val="-2"/>
        </w:rPr>
        <w:t>gastrintestinal.</w:t>
      </w:r>
    </w:p>
    <w:p>
      <w:pPr>
        <w:pStyle w:val="BodyText"/>
        <w:spacing w:line="280" w:lineRule="auto" w:before="64"/>
        <w:ind w:right="500"/>
      </w:pPr>
      <w:r>
        <w:rPr/>
        <w:t>O clínico deve pensar na possibilidade de miocardite, quando se deparar com um paciente com alterações cardíacas e</w:t>
      </w:r>
      <w:r>
        <w:rPr>
          <w:spacing w:val="-3"/>
        </w:rPr>
        <w:t> </w:t>
      </w:r>
      <w:r>
        <w:rPr/>
        <w:t>história</w:t>
      </w:r>
      <w:r>
        <w:rPr>
          <w:spacing w:val="-3"/>
        </w:rPr>
        <w:t> </w:t>
      </w:r>
      <w:r>
        <w:rPr/>
        <w:t>de</w:t>
      </w:r>
      <w:r>
        <w:rPr>
          <w:spacing w:val="-3"/>
        </w:rPr>
        <w:t> </w:t>
      </w:r>
      <w:r>
        <w:rPr/>
        <w:t>afecção viral prévia. Herskowitz</w:t>
      </w:r>
      <w:r>
        <w:rPr>
          <w:spacing w:val="-3"/>
        </w:rPr>
        <w:t> </w:t>
      </w:r>
      <w:r>
        <w:rPr>
          <w:i/>
        </w:rPr>
        <w:t>et</w:t>
      </w:r>
      <w:r>
        <w:rPr>
          <w:i/>
          <w:spacing w:val="-6"/>
        </w:rPr>
        <w:t> </w:t>
      </w:r>
      <w:r>
        <w:rPr>
          <w:i/>
        </w:rPr>
        <w:t>al. </w:t>
      </w:r>
      <w:r>
        <w:rPr/>
        <w:t>encontraram, em 57% dos pacientes com miocardite, quadro clínico sugestivo de infecção das vias respiratórias superiores nos 3 meses que precederam o comprometimento cardíaco, e somente em 41% no último mês.</w:t>
      </w:r>
      <w:r>
        <w:rPr>
          <w:vertAlign w:val="superscript"/>
        </w:rPr>
        <w:t>5</w:t>
      </w:r>
    </w:p>
    <w:p>
      <w:pPr>
        <w:pStyle w:val="BodyText"/>
        <w:spacing w:line="280" w:lineRule="auto" w:before="43"/>
        <w:ind w:right="500"/>
      </w:pPr>
      <w:r>
        <w:rPr/>
        <w:t>As principais pistas para suspeita de miocardite são: presença de taquicardia desproporcional ao quadro febril, ausência</w:t>
      </w:r>
      <w:r>
        <w:rPr>
          <w:spacing w:val="-4"/>
        </w:rPr>
        <w:t> </w:t>
      </w:r>
      <w:r>
        <w:rPr/>
        <w:t>de</w:t>
      </w:r>
      <w:r>
        <w:rPr>
          <w:spacing w:val="-4"/>
        </w:rPr>
        <w:t> </w:t>
      </w:r>
      <w:r>
        <w:rPr/>
        <w:t>lesão</w:t>
      </w:r>
      <w:r>
        <w:rPr>
          <w:spacing w:val="-2"/>
        </w:rPr>
        <w:t> </w:t>
      </w:r>
      <w:r>
        <w:rPr/>
        <w:t>cardíaca</w:t>
      </w:r>
      <w:r>
        <w:rPr>
          <w:spacing w:val="-4"/>
        </w:rPr>
        <w:t> </w:t>
      </w:r>
      <w:r>
        <w:rPr/>
        <w:t>prévia, aparecimento</w:t>
      </w:r>
      <w:r>
        <w:rPr>
          <w:spacing w:val="-2"/>
        </w:rPr>
        <w:t> </w:t>
      </w:r>
      <w:r>
        <w:rPr/>
        <w:t>súbito</w:t>
      </w:r>
      <w:r>
        <w:rPr>
          <w:spacing w:val="-2"/>
        </w:rPr>
        <w:t> </w:t>
      </w:r>
      <w:r>
        <w:rPr/>
        <w:t>de</w:t>
      </w:r>
      <w:r>
        <w:rPr>
          <w:spacing w:val="-4"/>
        </w:rPr>
        <w:t> </w:t>
      </w:r>
      <w:r>
        <w:rPr/>
        <w:t>arritmias ou</w:t>
      </w:r>
      <w:r>
        <w:rPr>
          <w:spacing w:val="-2"/>
        </w:rPr>
        <w:t> </w:t>
      </w:r>
      <w:r>
        <w:rPr/>
        <w:t>distúrbio</w:t>
      </w:r>
      <w:r>
        <w:rPr>
          <w:spacing w:val="-2"/>
        </w:rPr>
        <w:t> </w:t>
      </w:r>
      <w:r>
        <w:rPr/>
        <w:t>de</w:t>
      </w:r>
      <w:r>
        <w:rPr>
          <w:spacing w:val="-4"/>
        </w:rPr>
        <w:t> </w:t>
      </w:r>
      <w:r>
        <w:rPr/>
        <w:t>condução, presença</w:t>
      </w:r>
      <w:r>
        <w:rPr>
          <w:spacing w:val="-4"/>
        </w:rPr>
        <w:t> </w:t>
      </w:r>
      <w:r>
        <w:rPr/>
        <w:t>de</w:t>
      </w:r>
      <w:r>
        <w:rPr>
          <w:spacing w:val="-4"/>
        </w:rPr>
        <w:t> </w:t>
      </w:r>
      <w:r>
        <w:rPr/>
        <w:t>aumento da área cardíaca ou sintomas de insuficiência cardíaca congestiva (ICC) sem causa aparente, dor torácica e IC em pacientes jovens.</w:t>
      </w:r>
      <w:r>
        <w:rPr>
          <w:vertAlign w:val="superscript"/>
        </w:rPr>
        <w:t>7</w:t>
      </w:r>
    </w:p>
    <w:p>
      <w:pPr>
        <w:pStyle w:val="BodyText"/>
        <w:spacing w:line="283" w:lineRule="auto" w:before="60"/>
        <w:ind w:right="488"/>
      </w:pPr>
      <w:r>
        <w:rPr/>
        <w:t>Os pacientes com</w:t>
      </w:r>
      <w:r>
        <w:rPr>
          <w:spacing w:val="-8"/>
        </w:rPr>
        <w:t> </w:t>
      </w:r>
      <w:r>
        <w:rPr/>
        <w:t>miocardite</w:t>
      </w:r>
      <w:r>
        <w:rPr>
          <w:spacing w:val="-10"/>
        </w:rPr>
        <w:t> </w:t>
      </w:r>
      <w:r>
        <w:rPr/>
        <w:t>são</w:t>
      </w:r>
      <w:r>
        <w:rPr>
          <w:spacing w:val="-8"/>
        </w:rPr>
        <w:t> </w:t>
      </w:r>
      <w:r>
        <w:rPr/>
        <w:t>de</w:t>
      </w:r>
      <w:r>
        <w:rPr>
          <w:spacing w:val="-10"/>
        </w:rPr>
        <w:t> </w:t>
      </w:r>
      <w:r>
        <w:rPr/>
        <w:t>faixa</w:t>
      </w:r>
      <w:r>
        <w:rPr>
          <w:spacing w:val="-10"/>
        </w:rPr>
        <w:t> </w:t>
      </w:r>
      <w:r>
        <w:rPr/>
        <w:t>etária</w:t>
      </w:r>
      <w:r>
        <w:rPr>
          <w:spacing w:val="-10"/>
        </w:rPr>
        <w:t> </w:t>
      </w:r>
      <w:r>
        <w:rPr/>
        <w:t>mais baixa, se</w:t>
      </w:r>
      <w:r>
        <w:rPr>
          <w:spacing w:val="-10"/>
        </w:rPr>
        <w:t> </w:t>
      </w:r>
      <w:r>
        <w:rPr/>
        <w:t>comparados àqueles com</w:t>
      </w:r>
      <w:r>
        <w:rPr>
          <w:spacing w:val="-8"/>
        </w:rPr>
        <w:t> </w:t>
      </w:r>
      <w:r>
        <w:rPr/>
        <w:t>cardiomiopatia</w:t>
      </w:r>
      <w:r>
        <w:rPr>
          <w:spacing w:val="-10"/>
        </w:rPr>
        <w:t> </w:t>
      </w:r>
      <w:r>
        <w:rPr/>
        <w:t>dilatada idiopática. Tal fato é concordante com a predisposição das pessoas nessa faixa etária a adquirir infecção por enterovírus. A</w:t>
      </w:r>
      <w:r>
        <w:rPr>
          <w:spacing w:val="-4"/>
        </w:rPr>
        <w:t> </w:t>
      </w:r>
      <w:r>
        <w:rPr/>
        <w:t>incidência</w:t>
      </w:r>
      <w:r>
        <w:rPr>
          <w:spacing w:val="-4"/>
        </w:rPr>
        <w:t> </w:t>
      </w:r>
      <w:r>
        <w:rPr/>
        <w:t>de</w:t>
      </w:r>
      <w:r>
        <w:rPr>
          <w:spacing w:val="-4"/>
        </w:rPr>
        <w:t> </w:t>
      </w:r>
      <w:r>
        <w:rPr/>
        <w:t>miocardite</w:t>
      </w:r>
      <w:r>
        <w:rPr>
          <w:spacing w:val="-4"/>
        </w:rPr>
        <w:t> </w:t>
      </w:r>
      <w:r>
        <w:rPr/>
        <w:t>viral vem</w:t>
      </w:r>
      <w:r>
        <w:rPr>
          <w:spacing w:val="-1"/>
        </w:rPr>
        <w:t> </w:t>
      </w:r>
      <w:r>
        <w:rPr/>
        <w:t>aumentando</w:t>
      </w:r>
      <w:r>
        <w:rPr>
          <w:spacing w:val="-1"/>
        </w:rPr>
        <w:t> </w:t>
      </w:r>
      <w:r>
        <w:rPr/>
        <w:t>na</w:t>
      </w:r>
      <w:r>
        <w:rPr>
          <w:spacing w:val="-4"/>
        </w:rPr>
        <w:t> </w:t>
      </w:r>
      <w:r>
        <w:rPr/>
        <w:t>adolescência</w:t>
      </w:r>
      <w:r>
        <w:rPr>
          <w:spacing w:val="-4"/>
        </w:rPr>
        <w:t> </w:t>
      </w:r>
      <w:r>
        <w:rPr/>
        <w:t>e</w:t>
      </w:r>
      <w:r>
        <w:rPr>
          <w:spacing w:val="-4"/>
        </w:rPr>
        <w:t> </w:t>
      </w:r>
      <w:r>
        <w:rPr/>
        <w:t>no</w:t>
      </w:r>
      <w:r>
        <w:rPr>
          <w:spacing w:val="-1"/>
        </w:rPr>
        <w:t> </w:t>
      </w:r>
      <w:r>
        <w:rPr/>
        <w:t>início</w:t>
      </w:r>
      <w:r>
        <w:rPr>
          <w:spacing w:val="-1"/>
        </w:rPr>
        <w:t> </w:t>
      </w:r>
      <w:r>
        <w:rPr/>
        <w:t>da</w:t>
      </w:r>
      <w:r>
        <w:rPr>
          <w:spacing w:val="-4"/>
        </w:rPr>
        <w:t> </w:t>
      </w:r>
      <w:r>
        <w:rPr/>
        <w:t>idade</w:t>
      </w:r>
      <w:r>
        <w:rPr>
          <w:spacing w:val="-4"/>
        </w:rPr>
        <w:t> </w:t>
      </w:r>
      <w:r>
        <w:rPr/>
        <w:t>adulta.</w:t>
      </w:r>
      <w:r>
        <w:rPr>
          <w:vertAlign w:val="superscript"/>
        </w:rPr>
        <w:t>5</w:t>
      </w:r>
    </w:p>
    <w:p>
      <w:pPr>
        <w:pStyle w:val="BodyText"/>
        <w:spacing w:before="41"/>
        <w:ind w:left="414" w:firstLine="0"/>
      </w:pPr>
      <w:r>
        <w:rPr/>
        <w:t>Após</w:t>
      </w:r>
      <w:r>
        <w:rPr>
          <w:spacing w:val="-3"/>
        </w:rPr>
        <w:t> </w:t>
      </w:r>
      <w:r>
        <w:rPr/>
        <w:t>a</w:t>
      </w:r>
      <w:r>
        <w:rPr>
          <w:spacing w:val="-13"/>
        </w:rPr>
        <w:t> </w:t>
      </w:r>
      <w:r>
        <w:rPr/>
        <w:t>instalação</w:t>
      </w:r>
      <w:r>
        <w:rPr>
          <w:spacing w:val="-10"/>
        </w:rPr>
        <w:t> </w:t>
      </w:r>
      <w:r>
        <w:rPr/>
        <w:t>da</w:t>
      </w:r>
      <w:r>
        <w:rPr>
          <w:spacing w:val="-12"/>
        </w:rPr>
        <w:t> </w:t>
      </w:r>
      <w:r>
        <w:rPr/>
        <w:t>miocardite,</w:t>
      </w:r>
      <w:r>
        <w:rPr>
          <w:spacing w:val="-3"/>
        </w:rPr>
        <w:t> </w:t>
      </w:r>
      <w:r>
        <w:rPr/>
        <w:t>a</w:t>
      </w:r>
      <w:r>
        <w:rPr>
          <w:spacing w:val="-12"/>
        </w:rPr>
        <w:t> </w:t>
      </w:r>
      <w:r>
        <w:rPr/>
        <w:t>manifestação</w:t>
      </w:r>
      <w:r>
        <w:rPr>
          <w:spacing w:val="-10"/>
        </w:rPr>
        <w:t> </w:t>
      </w:r>
      <w:r>
        <w:rPr/>
        <w:t>clínica</w:t>
      </w:r>
      <w:r>
        <w:rPr>
          <w:spacing w:val="-12"/>
        </w:rPr>
        <w:t> </w:t>
      </w:r>
      <w:r>
        <w:rPr/>
        <w:t>mais</w:t>
      </w:r>
      <w:r>
        <w:rPr>
          <w:spacing w:val="-3"/>
        </w:rPr>
        <w:t> </w:t>
      </w:r>
      <w:r>
        <w:rPr/>
        <w:t>comum</w:t>
      </w:r>
      <w:r>
        <w:rPr>
          <w:spacing w:val="-10"/>
        </w:rPr>
        <w:t> </w:t>
      </w:r>
      <w:r>
        <w:rPr/>
        <w:t>é</w:t>
      </w:r>
      <w:r>
        <w:rPr>
          <w:spacing w:val="-12"/>
        </w:rPr>
        <w:t> </w:t>
      </w:r>
      <w:r>
        <w:rPr/>
        <w:t>a</w:t>
      </w:r>
      <w:r>
        <w:rPr>
          <w:spacing w:val="-12"/>
        </w:rPr>
        <w:t> </w:t>
      </w:r>
      <w:r>
        <w:rPr>
          <w:spacing w:val="-5"/>
        </w:rPr>
        <w:t>IC.</w:t>
      </w:r>
    </w:p>
    <w:p>
      <w:pPr>
        <w:pStyle w:val="BodyText"/>
        <w:spacing w:line="276" w:lineRule="auto" w:before="104"/>
        <w:ind w:right="491"/>
      </w:pPr>
      <w:r>
        <w:rPr/>
        <w:t>Arritmias podem ser as únicas manifestações de miocardite, com ou sem dilatação das câmaras cardíacas. Em certo número de pacientes com taquicardia ventricular, sem causa aparente, quando submetidos à biopsia endomiocárdica, há</w:t>
      </w:r>
      <w:r>
        <w:rPr>
          <w:spacing w:val="-2"/>
        </w:rPr>
        <w:t> </w:t>
      </w:r>
      <w:r>
        <w:rPr/>
        <w:t>um processo inflamatório. A</w:t>
      </w:r>
      <w:r>
        <w:rPr>
          <w:spacing w:val="-2"/>
        </w:rPr>
        <w:t> </w:t>
      </w:r>
      <w:r>
        <w:rPr/>
        <w:t>miocardite</w:t>
      </w:r>
      <w:r>
        <w:rPr>
          <w:spacing w:val="-2"/>
        </w:rPr>
        <w:t> </w:t>
      </w:r>
      <w:r>
        <w:rPr/>
        <w:t>deve</w:t>
      </w:r>
      <w:r>
        <w:rPr>
          <w:spacing w:val="-2"/>
        </w:rPr>
        <w:t> </w:t>
      </w:r>
      <w:r>
        <w:rPr/>
        <w:t>ser vista</w:t>
      </w:r>
      <w:r>
        <w:rPr>
          <w:spacing w:val="-2"/>
        </w:rPr>
        <w:t> </w:t>
      </w:r>
      <w:r>
        <w:rPr/>
        <w:t>como causa</w:t>
      </w:r>
      <w:r>
        <w:rPr>
          <w:spacing w:val="-2"/>
        </w:rPr>
        <w:t> </w:t>
      </w:r>
      <w:r>
        <w:rPr/>
        <w:t>potencial de</w:t>
      </w:r>
      <w:r>
        <w:rPr>
          <w:spacing w:val="-2"/>
        </w:rPr>
        <w:t> </w:t>
      </w:r>
      <w:r>
        <w:rPr/>
        <w:t>morte</w:t>
      </w:r>
      <w:r>
        <w:rPr>
          <w:spacing w:val="-2"/>
        </w:rPr>
        <w:t> </w:t>
      </w:r>
      <w:r>
        <w:rPr/>
        <w:t>súbita.</w:t>
      </w:r>
    </w:p>
    <w:p>
      <w:pPr>
        <w:pStyle w:val="BodyText"/>
        <w:spacing w:line="276" w:lineRule="auto" w:before="64"/>
        <w:ind w:right="488"/>
      </w:pPr>
      <w:r>
        <w:rPr/>
        <w:t>Em geral, os pacientes com quadro clínico de pericardite aguda, com dor precordial, atrito pericárdico e segmento ST supradesnivelado recebem o diagnóstico de pericardite viral e são tratados com anti-inflamatórios. Muitos desses pacientes, na</w:t>
      </w:r>
      <w:r>
        <w:rPr>
          <w:spacing w:val="-5"/>
        </w:rPr>
        <w:t> </w:t>
      </w:r>
      <w:r>
        <w:rPr/>
        <w:t>verdade, são</w:t>
      </w:r>
      <w:r>
        <w:rPr>
          <w:spacing w:val="-2"/>
        </w:rPr>
        <w:t> </w:t>
      </w:r>
      <w:r>
        <w:rPr/>
        <w:t>portadores de</w:t>
      </w:r>
      <w:r>
        <w:rPr>
          <w:spacing w:val="-5"/>
        </w:rPr>
        <w:t> </w:t>
      </w:r>
      <w:r>
        <w:rPr/>
        <w:t>perimiocardite, que</w:t>
      </w:r>
      <w:r>
        <w:rPr>
          <w:spacing w:val="-5"/>
        </w:rPr>
        <w:t> </w:t>
      </w:r>
      <w:r>
        <w:rPr/>
        <w:t>pode</w:t>
      </w:r>
      <w:r>
        <w:rPr>
          <w:spacing w:val="-5"/>
        </w:rPr>
        <w:t> </w:t>
      </w:r>
      <w:r>
        <w:rPr/>
        <w:t>evoluir para</w:t>
      </w:r>
      <w:r>
        <w:rPr>
          <w:spacing w:val="-5"/>
        </w:rPr>
        <w:t> </w:t>
      </w:r>
      <w:r>
        <w:rPr/>
        <w:t>dilatação</w:t>
      </w:r>
      <w:r>
        <w:rPr>
          <w:spacing w:val="-2"/>
        </w:rPr>
        <w:t> </w:t>
      </w:r>
      <w:r>
        <w:rPr/>
        <w:t>cardíaca.</w:t>
      </w:r>
    </w:p>
    <w:p>
      <w:pPr>
        <w:pStyle w:val="BodyText"/>
        <w:spacing w:line="276" w:lineRule="auto" w:before="49"/>
        <w:ind w:right="488"/>
      </w:pPr>
      <w:r>
        <w:rPr/>
        <w:t>Como se vê, a apresentação clínica da miocardite viral é heterogênea, devendo haver sempre alto grau de suspeição em diferentes condições clínicas.</w:t>
      </w:r>
    </w:p>
    <w:p>
      <w:pPr>
        <w:pStyle w:val="BodyText"/>
        <w:spacing w:before="133"/>
        <w:ind w:left="0" w:firstLine="0"/>
        <w:jc w:val="left"/>
      </w:pPr>
    </w:p>
    <w:p>
      <w:pPr>
        <w:pStyle w:val="Heading5"/>
      </w:pPr>
      <w:r>
        <w:rPr>
          <w:color w:val="A26108"/>
          <w:spacing w:val="-2"/>
        </w:rPr>
        <w:t>Eletrocardiograma</w:t>
      </w:r>
    </w:p>
    <w:p>
      <w:pPr>
        <w:pStyle w:val="BodyText"/>
        <w:spacing w:line="280" w:lineRule="auto" w:before="138"/>
        <w:ind w:right="488"/>
      </w:pPr>
      <w:r>
        <w:rPr/>
        <w:t>As alterações eletrocardiográficas descritas são: alterações da repolarização ventricular (100%), sobrecarga ventricular esquerda (89,9%), sobrecarga atrial esquerda (83,3%), sobrecarga ventricular direita (13,9%), sobrecarga atrial direita (19,4%), bloqueio atrioventricular (11,1%), bloqueio do ramo esquerdo (11,1%), bloqueio do ramo direito (2,8%), bloqueios divisionais (11,1%), taquicardia ventricular (5,6%), taquicardia paroxística supraventricular (5,6%), FA (11,1%) e ECG normal (2,8%).</w:t>
      </w:r>
      <w:r>
        <w:rPr>
          <w:vertAlign w:val="superscript"/>
        </w:rPr>
        <w:t>12</w:t>
      </w:r>
    </w:p>
    <w:p>
      <w:pPr>
        <w:pStyle w:val="BodyText"/>
        <w:spacing w:before="124"/>
        <w:ind w:left="0" w:firstLine="0"/>
        <w:jc w:val="left"/>
      </w:pPr>
    </w:p>
    <w:p>
      <w:pPr>
        <w:pStyle w:val="Heading5"/>
      </w:pPr>
      <w:r>
        <w:rPr>
          <w:color w:val="A26108"/>
        </w:rPr>
        <w:t>Radiografia</w:t>
      </w:r>
      <w:r>
        <w:rPr>
          <w:color w:val="A26108"/>
          <w:spacing w:val="22"/>
        </w:rPr>
        <w:t> </w:t>
      </w:r>
      <w:r>
        <w:rPr>
          <w:color w:val="A26108"/>
        </w:rPr>
        <w:t>do</w:t>
      </w:r>
      <w:r>
        <w:rPr>
          <w:color w:val="A26108"/>
          <w:spacing w:val="22"/>
        </w:rPr>
        <w:t> </w:t>
      </w:r>
      <w:r>
        <w:rPr>
          <w:color w:val="A26108"/>
          <w:spacing w:val="-2"/>
        </w:rPr>
        <w:t>tórax</w:t>
      </w:r>
    </w:p>
    <w:p>
      <w:pPr>
        <w:pStyle w:val="BodyText"/>
        <w:spacing w:line="276" w:lineRule="auto" w:before="138"/>
        <w:ind w:right="491"/>
      </w:pPr>
      <w:r>
        <w:rPr/>
        <w:t>Na radiografia do tórax, a silhueta cardíaca apresenta-se normal ou aumentada, em consequência da dilatação das câmaras cardíacas. Podem estar presentes congestão pulmonar e</w:t>
      </w:r>
      <w:r>
        <w:rPr>
          <w:spacing w:val="-2"/>
        </w:rPr>
        <w:t> </w:t>
      </w:r>
      <w:r>
        <w:rPr/>
        <w:t>derrames pleurais.</w:t>
      </w:r>
    </w:p>
    <w:p>
      <w:pPr>
        <w:pStyle w:val="BodyText"/>
        <w:spacing w:before="118"/>
        <w:ind w:left="0" w:firstLine="0"/>
        <w:jc w:val="left"/>
      </w:pPr>
    </w:p>
    <w:p>
      <w:pPr>
        <w:pStyle w:val="Heading5"/>
      </w:pPr>
      <w:r>
        <w:rPr>
          <w:color w:val="A26108"/>
        </w:rPr>
        <w:t>Marcadores</w:t>
      </w:r>
      <w:r>
        <w:rPr>
          <w:color w:val="A26108"/>
          <w:spacing w:val="35"/>
        </w:rPr>
        <w:t> </w:t>
      </w:r>
      <w:r>
        <w:rPr>
          <w:color w:val="A26108"/>
          <w:spacing w:val="-2"/>
        </w:rPr>
        <w:t>séricos</w:t>
      </w:r>
    </w:p>
    <w:p>
      <w:pPr>
        <w:pStyle w:val="BodyText"/>
        <w:spacing w:line="290" w:lineRule="auto" w:before="138"/>
        <w:ind w:right="488"/>
      </w:pPr>
      <w:r>
        <w:rPr/>
        <w:t>Anormalidades enzimáticas sugerem necrose miocárdica, estando presentes leucocitose e velocidade de hemossedimentação elevada.</w:t>
      </w:r>
      <w:r>
        <w:rPr>
          <w:vertAlign w:val="superscript"/>
        </w:rPr>
        <w:t>13</w:t>
      </w:r>
    </w:p>
    <w:p>
      <w:pPr>
        <w:pStyle w:val="BodyText"/>
        <w:spacing w:line="280" w:lineRule="auto" w:before="49"/>
        <w:ind w:right="488"/>
      </w:pPr>
      <w:r>
        <w:rPr/>
        <w:t>Pacientes com IC sem causa aparente e elevações de troponina sugerem a hipótese de lesão miocárdica e possibilidade</w:t>
      </w:r>
      <w:r>
        <w:rPr>
          <w:spacing w:val="-8"/>
        </w:rPr>
        <w:t> </w:t>
      </w:r>
      <w:r>
        <w:rPr/>
        <w:t>de</w:t>
      </w:r>
      <w:r>
        <w:rPr>
          <w:spacing w:val="-8"/>
        </w:rPr>
        <w:t> </w:t>
      </w:r>
      <w:r>
        <w:rPr/>
        <w:t>miocardite. Outras causas de</w:t>
      </w:r>
      <w:r>
        <w:rPr>
          <w:spacing w:val="-8"/>
        </w:rPr>
        <w:t> </w:t>
      </w:r>
      <w:r>
        <w:rPr/>
        <w:t>lesão, como</w:t>
      </w:r>
      <w:r>
        <w:rPr>
          <w:spacing w:val="-6"/>
        </w:rPr>
        <w:t> </w:t>
      </w:r>
      <w:r>
        <w:rPr/>
        <w:t>isquemia, toxina</w:t>
      </w:r>
      <w:r>
        <w:rPr>
          <w:spacing w:val="-8"/>
        </w:rPr>
        <w:t> </w:t>
      </w:r>
      <w:r>
        <w:rPr/>
        <w:t>e</w:t>
      </w:r>
      <w:r>
        <w:rPr>
          <w:spacing w:val="-8"/>
        </w:rPr>
        <w:t> </w:t>
      </w:r>
      <w:r>
        <w:rPr/>
        <w:t>doenças infiltrativas, podem</w:t>
      </w:r>
      <w:r>
        <w:rPr>
          <w:spacing w:val="-6"/>
        </w:rPr>
        <w:t> </w:t>
      </w:r>
      <w:r>
        <w:rPr/>
        <w:t>elevar os valores de troponina, pois esse marcador não é específico para agressão miocárdica inflamatória mediada. A troponina pode ser detectada até 14 dias após a agressão miocárdica.</w:t>
      </w:r>
      <w:r>
        <w:rPr>
          <w:vertAlign w:val="superscript"/>
        </w:rPr>
        <w:t>14</w:t>
      </w:r>
    </w:p>
    <w:p>
      <w:pPr>
        <w:pStyle w:val="BodyText"/>
        <w:spacing w:line="290" w:lineRule="auto" w:before="43"/>
        <w:ind w:right="487"/>
      </w:pPr>
      <w:r>
        <w:rPr/>
        <w:t>O aumento da enzima MB da creatinoquinase (CK-MB, do inglês, </w:t>
      </w:r>
      <w:r>
        <w:rPr>
          <w:i/>
        </w:rPr>
        <w:t>creatinophosphokinase-MB</w:t>
      </w:r>
      <w:r>
        <w:rPr/>
        <w:t>) esteve relacionado apenas a elevações do segmento ST durante o curso de miocardite.</w:t>
      </w:r>
      <w:r>
        <w:rPr>
          <w:vertAlign w:val="superscript"/>
        </w:rPr>
        <w:t>1</w:t>
      </w:r>
      <w:r>
        <w:rPr>
          <w:vertAlign w:val="superscript"/>
        </w:rPr>
        <w:t>5</w:t>
      </w:r>
    </w:p>
    <w:p>
      <w:pPr>
        <w:pStyle w:val="BodyText"/>
        <w:spacing w:after="0" w:line="290" w:lineRule="auto"/>
        <w:sectPr>
          <w:pgSz w:w="11900" w:h="16840"/>
          <w:pgMar w:top="220" w:bottom="0" w:left="566" w:right="141"/>
        </w:sectPr>
      </w:pPr>
    </w:p>
    <w:p>
      <w:pPr>
        <w:pStyle w:val="Heading5"/>
        <w:spacing w:before="74"/>
      </w:pPr>
      <w:r>
        <w:rPr>
          <w:color w:val="A26108"/>
          <w:spacing w:val="-2"/>
        </w:rPr>
        <w:t>Ecocardiograma</w:t>
      </w:r>
    </w:p>
    <w:p>
      <w:pPr>
        <w:pStyle w:val="BodyText"/>
        <w:spacing w:line="276" w:lineRule="auto" w:before="138"/>
        <w:ind w:right="491"/>
      </w:pPr>
      <w:r>
        <w:rPr/>
        <w:t>O</w:t>
      </w:r>
      <w:r>
        <w:rPr>
          <w:spacing w:val="-5"/>
        </w:rPr>
        <w:t> </w:t>
      </w:r>
      <w:r>
        <w:rPr/>
        <w:t>ecocardiograma</w:t>
      </w:r>
      <w:r>
        <w:rPr>
          <w:spacing w:val="-5"/>
        </w:rPr>
        <w:t> </w:t>
      </w:r>
      <w:r>
        <w:rPr/>
        <w:t>pode</w:t>
      </w:r>
      <w:r>
        <w:rPr>
          <w:spacing w:val="-5"/>
        </w:rPr>
        <w:t> </w:t>
      </w:r>
      <w:r>
        <w:rPr/>
        <w:t>detectar disfunção</w:t>
      </w:r>
      <w:r>
        <w:rPr>
          <w:spacing w:val="-2"/>
        </w:rPr>
        <w:t> </w:t>
      </w:r>
      <w:r>
        <w:rPr/>
        <w:t>sistólica</w:t>
      </w:r>
      <w:r>
        <w:rPr>
          <w:spacing w:val="-5"/>
        </w:rPr>
        <w:t> </w:t>
      </w:r>
      <w:r>
        <w:rPr/>
        <w:t>com</w:t>
      </w:r>
      <w:r>
        <w:rPr>
          <w:spacing w:val="-2"/>
        </w:rPr>
        <w:t> </w:t>
      </w:r>
      <w:r>
        <w:rPr/>
        <w:t>diminuição</w:t>
      </w:r>
      <w:r>
        <w:rPr>
          <w:spacing w:val="-2"/>
        </w:rPr>
        <w:t> </w:t>
      </w:r>
      <w:r>
        <w:rPr/>
        <w:t>da</w:t>
      </w:r>
      <w:r>
        <w:rPr>
          <w:spacing w:val="-5"/>
        </w:rPr>
        <w:t> </w:t>
      </w:r>
      <w:r>
        <w:rPr/>
        <w:t>fração</w:t>
      </w:r>
      <w:r>
        <w:rPr>
          <w:spacing w:val="-2"/>
        </w:rPr>
        <w:t> </w:t>
      </w:r>
      <w:r>
        <w:rPr/>
        <w:t>de</w:t>
      </w:r>
      <w:r>
        <w:rPr>
          <w:spacing w:val="-5"/>
        </w:rPr>
        <w:t> </w:t>
      </w:r>
      <w:r>
        <w:rPr/>
        <w:t>ejeção</w:t>
      </w:r>
      <w:r>
        <w:rPr>
          <w:spacing w:val="-2"/>
        </w:rPr>
        <w:t> </w:t>
      </w:r>
      <w:r>
        <w:rPr/>
        <w:t>do</w:t>
      </w:r>
      <w:r>
        <w:rPr>
          <w:spacing w:val="-2"/>
        </w:rPr>
        <w:t> </w:t>
      </w:r>
      <w:r>
        <w:rPr/>
        <w:t>ventrículo</w:t>
      </w:r>
      <w:r>
        <w:rPr>
          <w:spacing w:val="-2"/>
        </w:rPr>
        <w:t> </w:t>
      </w:r>
      <w:r>
        <w:rPr/>
        <w:t>esquerdo (FEVE), dilatação de câmaras ventriculares e atriais, IMi e insuficiência tricúspide secundárias e, eventualmente, disfunção diastólica. Outros achados são: hipertrofia miocárdica, acinesia, discinesia, derrame pericárdico e trombose intracardíaca.</w:t>
      </w:r>
    </w:p>
    <w:p>
      <w:pPr>
        <w:pStyle w:val="BodyText"/>
        <w:spacing w:before="134"/>
        <w:ind w:left="0" w:firstLine="0"/>
        <w:jc w:val="left"/>
      </w:pPr>
    </w:p>
    <w:p>
      <w:pPr>
        <w:pStyle w:val="Heading5"/>
      </w:pPr>
      <w:r>
        <w:rPr>
          <w:color w:val="A26108"/>
        </w:rPr>
        <w:t>Cintigrafia</w:t>
      </w:r>
      <w:r>
        <w:rPr>
          <w:color w:val="A26108"/>
          <w:spacing w:val="31"/>
        </w:rPr>
        <w:t> </w:t>
      </w:r>
      <w:r>
        <w:rPr>
          <w:color w:val="A26108"/>
          <w:spacing w:val="-2"/>
        </w:rPr>
        <w:t>miocárdica</w:t>
      </w:r>
    </w:p>
    <w:p>
      <w:pPr>
        <w:pStyle w:val="BodyText"/>
        <w:spacing w:line="290" w:lineRule="auto" w:before="122"/>
        <w:ind w:right="491"/>
      </w:pPr>
      <w:r>
        <w:rPr/>
        <w:t>Vários radiofármacos são</w:t>
      </w:r>
      <w:r>
        <w:rPr>
          <w:spacing w:val="-6"/>
        </w:rPr>
        <w:t> </w:t>
      </w:r>
      <w:r>
        <w:rPr/>
        <w:t>utilizados no</w:t>
      </w:r>
      <w:r>
        <w:rPr>
          <w:spacing w:val="-6"/>
        </w:rPr>
        <w:t> </w:t>
      </w:r>
      <w:r>
        <w:rPr/>
        <w:t>diagnóstico</w:t>
      </w:r>
      <w:r>
        <w:rPr>
          <w:spacing w:val="-6"/>
        </w:rPr>
        <w:t> </w:t>
      </w:r>
      <w:r>
        <w:rPr/>
        <w:t>de</w:t>
      </w:r>
      <w:r>
        <w:rPr>
          <w:spacing w:val="-9"/>
        </w:rPr>
        <w:t> </w:t>
      </w:r>
      <w:r>
        <w:rPr/>
        <w:t>inflamação</w:t>
      </w:r>
      <w:r>
        <w:rPr>
          <w:spacing w:val="-6"/>
        </w:rPr>
        <w:t> </w:t>
      </w:r>
      <w:r>
        <w:rPr/>
        <w:t>do</w:t>
      </w:r>
      <w:r>
        <w:rPr>
          <w:spacing w:val="-6"/>
        </w:rPr>
        <w:t> </w:t>
      </w:r>
      <w:r>
        <w:rPr/>
        <w:t>miocárdio, entre</w:t>
      </w:r>
      <w:r>
        <w:rPr>
          <w:spacing w:val="-9"/>
        </w:rPr>
        <w:t> </w:t>
      </w:r>
      <w:r>
        <w:rPr/>
        <w:t>eles o</w:t>
      </w:r>
      <w:r>
        <w:rPr>
          <w:spacing w:val="-6"/>
        </w:rPr>
        <w:t> </w:t>
      </w:r>
      <w:r>
        <w:rPr/>
        <w:t>gálio-67</w:t>
      </w:r>
      <w:r>
        <w:rPr>
          <w:spacing w:val="-6"/>
        </w:rPr>
        <w:t> </w:t>
      </w:r>
      <w:r>
        <w:rPr/>
        <w:t>e</w:t>
      </w:r>
      <w:r>
        <w:rPr>
          <w:spacing w:val="-9"/>
        </w:rPr>
        <w:t> </w:t>
      </w:r>
      <w:r>
        <w:rPr/>
        <w:t>o</w:t>
      </w:r>
      <w:r>
        <w:rPr>
          <w:spacing w:val="-6"/>
        </w:rPr>
        <w:t> </w:t>
      </w:r>
      <w:r>
        <w:rPr/>
        <w:t>estudo cintigráfico com anticorpo monoclonal antimiosina marcado com índio-111 (</w:t>
      </w:r>
      <w:r>
        <w:rPr>
          <w:vertAlign w:val="superscript"/>
        </w:rPr>
        <w:t>111</w:t>
      </w:r>
      <w:r>
        <w:rPr>
          <w:vertAlign w:val="baseline"/>
        </w:rPr>
        <w:t>I) ou tecnécio-99m (</w:t>
      </w:r>
      <w:r>
        <w:rPr>
          <w:vertAlign w:val="superscript"/>
        </w:rPr>
        <w:t>99m</w:t>
      </w:r>
      <w:r>
        <w:rPr>
          <w:vertAlign w:val="baseline"/>
        </w:rPr>
        <w:t>Tc).</w:t>
      </w:r>
      <w:r>
        <w:rPr>
          <w:vertAlign w:val="superscript"/>
        </w:rPr>
        <w:t>16</w:t>
      </w:r>
    </w:p>
    <w:p>
      <w:pPr>
        <w:pStyle w:val="BodyText"/>
        <w:spacing w:before="118"/>
        <w:ind w:left="0" w:firstLine="0"/>
        <w:jc w:val="left"/>
      </w:pPr>
    </w:p>
    <w:p>
      <w:pPr>
        <w:pStyle w:val="Heading5"/>
      </w:pPr>
      <w:r>
        <w:rPr>
          <w:color w:val="A26108"/>
        </w:rPr>
        <w:t>Ressonância</w:t>
      </w:r>
      <w:r>
        <w:rPr>
          <w:color w:val="A26108"/>
          <w:spacing w:val="39"/>
        </w:rPr>
        <w:t> </w:t>
      </w:r>
      <w:r>
        <w:rPr>
          <w:color w:val="A26108"/>
          <w:spacing w:val="-2"/>
        </w:rPr>
        <w:t>magnética</w:t>
      </w:r>
    </w:p>
    <w:p>
      <w:pPr>
        <w:pStyle w:val="BodyText"/>
        <w:spacing w:line="290" w:lineRule="auto" w:before="138"/>
        <w:ind w:right="500"/>
      </w:pPr>
      <w:r>
        <w:rPr/>
        <w:t>A análise por RM cardíaca traz informações precisas sobre as funções global e segmentar de ambos os ventrículos e sobre a caracterização tecidual do miocárdio.</w:t>
      </w:r>
      <w:r>
        <w:rPr>
          <w:vertAlign w:val="superscript"/>
        </w:rPr>
        <w:t>17</w:t>
      </w:r>
    </w:p>
    <w:p>
      <w:pPr>
        <w:pStyle w:val="BodyText"/>
        <w:spacing w:line="276" w:lineRule="auto" w:before="49"/>
        <w:ind w:right="497"/>
      </w:pPr>
      <w:r>
        <w:rPr/>
        <w:t>Uma</w:t>
      </w:r>
      <w:r>
        <w:rPr>
          <w:spacing w:val="-1"/>
        </w:rPr>
        <w:t> </w:t>
      </w:r>
      <w:r>
        <w:rPr/>
        <w:t>técnica</w:t>
      </w:r>
      <w:r>
        <w:rPr>
          <w:spacing w:val="-1"/>
        </w:rPr>
        <w:t> </w:t>
      </w:r>
      <w:r>
        <w:rPr/>
        <w:t>desenvolvida</w:t>
      </w:r>
      <w:r>
        <w:rPr>
          <w:spacing w:val="-1"/>
        </w:rPr>
        <w:t> </w:t>
      </w:r>
      <w:r>
        <w:rPr/>
        <w:t>para</w:t>
      </w:r>
      <w:r>
        <w:rPr>
          <w:spacing w:val="-1"/>
        </w:rPr>
        <w:t> </w:t>
      </w:r>
      <w:r>
        <w:rPr/>
        <w:t>a</w:t>
      </w:r>
      <w:r>
        <w:rPr>
          <w:spacing w:val="-1"/>
        </w:rPr>
        <w:t> </w:t>
      </w:r>
      <w:r>
        <w:rPr/>
        <w:t>visualização do infarto do miocárdio, chamada</w:t>
      </w:r>
      <w:r>
        <w:rPr>
          <w:spacing w:val="-1"/>
        </w:rPr>
        <w:t> </w:t>
      </w:r>
      <w:r>
        <w:rPr/>
        <w:t>de</w:t>
      </w:r>
      <w:r>
        <w:rPr>
          <w:spacing w:val="-1"/>
        </w:rPr>
        <w:t> </w:t>
      </w:r>
      <w:r>
        <w:rPr/>
        <w:t>realce</w:t>
      </w:r>
      <w:r>
        <w:rPr>
          <w:spacing w:val="-1"/>
        </w:rPr>
        <w:t> </w:t>
      </w:r>
      <w:r>
        <w:rPr/>
        <w:t>tardio, pode</w:t>
      </w:r>
      <w:r>
        <w:rPr>
          <w:spacing w:val="-1"/>
        </w:rPr>
        <w:t> </w:t>
      </w:r>
      <w:r>
        <w:rPr/>
        <w:t>detectar áreas de</w:t>
      </w:r>
      <w:r>
        <w:rPr>
          <w:spacing w:val="-7"/>
        </w:rPr>
        <w:t> </w:t>
      </w:r>
      <w:r>
        <w:rPr/>
        <w:t>lesão</w:t>
      </w:r>
      <w:r>
        <w:rPr>
          <w:spacing w:val="-4"/>
        </w:rPr>
        <w:t> </w:t>
      </w:r>
      <w:r>
        <w:rPr/>
        <w:t>miocárdica</w:t>
      </w:r>
      <w:r>
        <w:rPr>
          <w:spacing w:val="-7"/>
        </w:rPr>
        <w:t> </w:t>
      </w:r>
      <w:r>
        <w:rPr/>
        <w:t>irreversível, ainda</w:t>
      </w:r>
      <w:r>
        <w:rPr>
          <w:spacing w:val="-7"/>
        </w:rPr>
        <w:t> </w:t>
      </w:r>
      <w:r>
        <w:rPr/>
        <w:t>que</w:t>
      </w:r>
      <w:r>
        <w:rPr>
          <w:spacing w:val="-7"/>
        </w:rPr>
        <w:t> </w:t>
      </w:r>
      <w:r>
        <w:rPr/>
        <w:t>de</w:t>
      </w:r>
      <w:r>
        <w:rPr>
          <w:spacing w:val="-7"/>
        </w:rPr>
        <w:t> </w:t>
      </w:r>
      <w:r>
        <w:rPr/>
        <w:t>extensão</w:t>
      </w:r>
      <w:r>
        <w:rPr>
          <w:spacing w:val="-4"/>
        </w:rPr>
        <w:t> </w:t>
      </w:r>
      <w:r>
        <w:rPr/>
        <w:t>muito</w:t>
      </w:r>
      <w:r>
        <w:rPr>
          <w:spacing w:val="-4"/>
        </w:rPr>
        <w:t> </w:t>
      </w:r>
      <w:r>
        <w:rPr/>
        <w:t>pequena. Em</w:t>
      </w:r>
      <w:r>
        <w:rPr>
          <w:spacing w:val="-4"/>
        </w:rPr>
        <w:t> </w:t>
      </w:r>
      <w:r>
        <w:rPr/>
        <w:t>pacientes jovens há</w:t>
      </w:r>
      <w:r>
        <w:rPr>
          <w:spacing w:val="-7"/>
        </w:rPr>
        <w:t> </w:t>
      </w:r>
      <w:r>
        <w:rPr/>
        <w:t>quadro</w:t>
      </w:r>
      <w:r>
        <w:rPr>
          <w:spacing w:val="-4"/>
        </w:rPr>
        <w:t> </w:t>
      </w:r>
      <w:r>
        <w:rPr/>
        <w:t>de</w:t>
      </w:r>
      <w:r>
        <w:rPr>
          <w:spacing w:val="-7"/>
        </w:rPr>
        <w:t> </w:t>
      </w:r>
      <w:r>
        <w:rPr/>
        <w:t>dor torácica, alterações do segmento ST ao ECG, aumento dos marcadores miocárdicos (CK-MB e troponina) e coronárias normais à cineangiocoronariografia, e tem sido descrita presença de áreas brancas no miocárdio, de pequena</w:t>
      </w:r>
      <w:r>
        <w:rPr>
          <w:spacing w:val="-2"/>
        </w:rPr>
        <w:t> </w:t>
      </w:r>
      <w:r>
        <w:rPr/>
        <w:t>extensão, não envolvendo o subendocárdio e</w:t>
      </w:r>
      <w:r>
        <w:rPr>
          <w:spacing w:val="-2"/>
        </w:rPr>
        <w:t> </w:t>
      </w:r>
      <w:r>
        <w:rPr/>
        <w:t>não respeitando qualquer território coronariano. Esse</w:t>
      </w:r>
      <w:r>
        <w:rPr>
          <w:spacing w:val="-2"/>
        </w:rPr>
        <w:t> </w:t>
      </w:r>
      <w:r>
        <w:rPr/>
        <w:t>padrão atípico</w:t>
      </w:r>
      <w:r>
        <w:rPr>
          <w:spacing w:val="-2"/>
        </w:rPr>
        <w:t> </w:t>
      </w:r>
      <w:r>
        <w:rPr/>
        <w:t>de</w:t>
      </w:r>
      <w:r>
        <w:rPr>
          <w:spacing w:val="-4"/>
        </w:rPr>
        <w:t> </w:t>
      </w:r>
      <w:r>
        <w:rPr/>
        <w:t>realce</w:t>
      </w:r>
      <w:r>
        <w:rPr>
          <w:spacing w:val="-4"/>
        </w:rPr>
        <w:t> </w:t>
      </w:r>
      <w:r>
        <w:rPr/>
        <w:t>tardio</w:t>
      </w:r>
      <w:r>
        <w:rPr>
          <w:spacing w:val="-2"/>
        </w:rPr>
        <w:t> </w:t>
      </w:r>
      <w:r>
        <w:rPr/>
        <w:t>tem</w:t>
      </w:r>
      <w:r>
        <w:rPr>
          <w:spacing w:val="-2"/>
        </w:rPr>
        <w:t> </w:t>
      </w:r>
      <w:r>
        <w:rPr/>
        <w:t>se</w:t>
      </w:r>
      <w:r>
        <w:rPr>
          <w:spacing w:val="-4"/>
        </w:rPr>
        <w:t> </w:t>
      </w:r>
      <w:r>
        <w:rPr/>
        <w:t>correlacionado</w:t>
      </w:r>
      <w:r>
        <w:rPr>
          <w:spacing w:val="-2"/>
        </w:rPr>
        <w:t> </w:t>
      </w:r>
      <w:r>
        <w:rPr/>
        <w:t>com</w:t>
      </w:r>
      <w:r>
        <w:rPr>
          <w:spacing w:val="-2"/>
        </w:rPr>
        <w:t> </w:t>
      </w:r>
      <w:r>
        <w:rPr/>
        <w:t>o</w:t>
      </w:r>
      <w:r>
        <w:rPr>
          <w:spacing w:val="-2"/>
        </w:rPr>
        <w:t> </w:t>
      </w:r>
      <w:r>
        <w:rPr/>
        <w:t>diagnóstico</w:t>
      </w:r>
      <w:r>
        <w:rPr>
          <w:spacing w:val="-2"/>
        </w:rPr>
        <w:t> </w:t>
      </w:r>
      <w:r>
        <w:rPr/>
        <w:t>clínico</w:t>
      </w:r>
      <w:r>
        <w:rPr>
          <w:spacing w:val="-2"/>
        </w:rPr>
        <w:t> </w:t>
      </w:r>
      <w:r>
        <w:rPr/>
        <w:t>de</w:t>
      </w:r>
      <w:r>
        <w:rPr>
          <w:spacing w:val="-4"/>
        </w:rPr>
        <w:t> </w:t>
      </w:r>
      <w:r>
        <w:rPr/>
        <w:t>miopericardite</w:t>
      </w:r>
      <w:r>
        <w:rPr>
          <w:spacing w:val="-4"/>
        </w:rPr>
        <w:t> </w:t>
      </w:r>
      <w:r>
        <w:rPr/>
        <w:t>aguda, geralmente</w:t>
      </w:r>
      <w:r>
        <w:rPr>
          <w:spacing w:val="-4"/>
        </w:rPr>
        <w:t> </w:t>
      </w:r>
      <w:r>
        <w:rPr/>
        <w:t>viral.</w:t>
      </w:r>
    </w:p>
    <w:p>
      <w:pPr>
        <w:pStyle w:val="BodyText"/>
        <w:spacing w:line="283" w:lineRule="auto" w:before="49"/>
        <w:ind w:right="491"/>
      </w:pPr>
      <w:r>
        <w:rPr/>
        <w:t>Essa</w:t>
      </w:r>
      <w:r>
        <w:rPr>
          <w:spacing w:val="-5"/>
        </w:rPr>
        <w:t> </w:t>
      </w:r>
      <w:r>
        <w:rPr/>
        <w:t>técnica</w:t>
      </w:r>
      <w:r>
        <w:rPr>
          <w:spacing w:val="-5"/>
        </w:rPr>
        <w:t> </w:t>
      </w:r>
      <w:r>
        <w:rPr/>
        <w:t>pode</w:t>
      </w:r>
      <w:r>
        <w:rPr>
          <w:spacing w:val="-5"/>
        </w:rPr>
        <w:t> </w:t>
      </w:r>
      <w:r>
        <w:rPr/>
        <w:t>ser utilizada</w:t>
      </w:r>
      <w:r>
        <w:rPr>
          <w:spacing w:val="-5"/>
        </w:rPr>
        <w:t> </w:t>
      </w:r>
      <w:r>
        <w:rPr/>
        <w:t>no</w:t>
      </w:r>
      <w:r>
        <w:rPr>
          <w:spacing w:val="-3"/>
        </w:rPr>
        <w:t> </w:t>
      </w:r>
      <w:r>
        <w:rPr/>
        <w:t>início</w:t>
      </w:r>
      <w:r>
        <w:rPr>
          <w:spacing w:val="-3"/>
        </w:rPr>
        <w:t> </w:t>
      </w:r>
      <w:r>
        <w:rPr/>
        <w:t>do</w:t>
      </w:r>
      <w:r>
        <w:rPr>
          <w:spacing w:val="-3"/>
        </w:rPr>
        <w:t> </w:t>
      </w:r>
      <w:r>
        <w:rPr/>
        <w:t>processo</w:t>
      </w:r>
      <w:r>
        <w:rPr>
          <w:spacing w:val="-3"/>
        </w:rPr>
        <w:t> </w:t>
      </w:r>
      <w:r>
        <w:rPr/>
        <w:t>inflamatório, assim</w:t>
      </w:r>
      <w:r>
        <w:rPr>
          <w:spacing w:val="-3"/>
        </w:rPr>
        <w:t> </w:t>
      </w:r>
      <w:r>
        <w:rPr/>
        <w:t>como</w:t>
      </w:r>
      <w:r>
        <w:rPr>
          <w:spacing w:val="-3"/>
        </w:rPr>
        <w:t> </w:t>
      </w:r>
      <w:r>
        <w:rPr/>
        <w:t>no</w:t>
      </w:r>
      <w:r>
        <w:rPr>
          <w:spacing w:val="-3"/>
        </w:rPr>
        <w:t> </w:t>
      </w:r>
      <w:r>
        <w:rPr/>
        <w:t>seguimento</w:t>
      </w:r>
      <w:r>
        <w:rPr>
          <w:spacing w:val="-3"/>
        </w:rPr>
        <w:t> </w:t>
      </w:r>
      <w:r>
        <w:rPr/>
        <w:t>de</w:t>
      </w:r>
      <w:r>
        <w:rPr>
          <w:spacing w:val="-5"/>
        </w:rPr>
        <w:t> </w:t>
      </w:r>
      <w:r>
        <w:rPr/>
        <w:t>pacientes com miocardite, uma</w:t>
      </w:r>
      <w:r>
        <w:rPr>
          <w:spacing w:val="-1"/>
        </w:rPr>
        <w:t> </w:t>
      </w:r>
      <w:r>
        <w:rPr/>
        <w:t>vez</w:t>
      </w:r>
      <w:r>
        <w:rPr>
          <w:spacing w:val="-1"/>
        </w:rPr>
        <w:t> </w:t>
      </w:r>
      <w:r>
        <w:rPr/>
        <w:t>que</w:t>
      </w:r>
      <w:r>
        <w:rPr>
          <w:spacing w:val="-1"/>
        </w:rPr>
        <w:t> </w:t>
      </w:r>
      <w:r>
        <w:rPr/>
        <w:t>as áreas de</w:t>
      </w:r>
      <w:r>
        <w:rPr>
          <w:spacing w:val="-1"/>
        </w:rPr>
        <w:t> </w:t>
      </w:r>
      <w:r>
        <w:rPr/>
        <w:t>realce</w:t>
      </w:r>
      <w:r>
        <w:rPr>
          <w:spacing w:val="-1"/>
        </w:rPr>
        <w:t> </w:t>
      </w:r>
      <w:r>
        <w:rPr/>
        <w:t>representam lesão miocárdica</w:t>
      </w:r>
      <w:r>
        <w:rPr>
          <w:spacing w:val="-1"/>
        </w:rPr>
        <w:t> </w:t>
      </w:r>
      <w:r>
        <w:rPr/>
        <w:t>irreversível, necrose</w:t>
      </w:r>
      <w:r>
        <w:rPr>
          <w:spacing w:val="-1"/>
        </w:rPr>
        <w:t> </w:t>
      </w:r>
      <w:r>
        <w:rPr/>
        <w:t>(aguda) e/ou fibrose (crônica) e são marcas indeléveis no miocárdio.</w:t>
      </w:r>
      <w:r>
        <w:rPr>
          <w:vertAlign w:val="superscript"/>
        </w:rPr>
        <w:t>18</w:t>
      </w:r>
    </w:p>
    <w:p>
      <w:pPr>
        <w:pStyle w:val="BodyText"/>
        <w:spacing w:before="126"/>
        <w:ind w:left="0" w:firstLine="0"/>
        <w:jc w:val="left"/>
      </w:pPr>
    </w:p>
    <w:p>
      <w:pPr>
        <w:pStyle w:val="Heading5"/>
      </w:pPr>
      <w:r>
        <w:rPr>
          <w:color w:val="A26108"/>
          <w:spacing w:val="-2"/>
        </w:rPr>
        <w:t>Biopsia</w:t>
      </w:r>
    </w:p>
    <w:p>
      <w:pPr>
        <w:pStyle w:val="BodyText"/>
        <w:spacing w:line="278" w:lineRule="auto" w:before="138"/>
        <w:ind w:right="497"/>
      </w:pPr>
      <w:r>
        <w:rPr/>
        <w:t>Até há pouco tempo, o padrão-ouro de miocardite era o padrão histológico da biopsia endomiocárdica de VD. Os critérios de</w:t>
      </w:r>
      <w:r>
        <w:rPr>
          <w:spacing w:val="-10"/>
        </w:rPr>
        <w:t> </w:t>
      </w:r>
      <w:r>
        <w:rPr/>
        <w:t>Dallas foram</w:t>
      </w:r>
      <w:r>
        <w:rPr>
          <w:spacing w:val="-8"/>
        </w:rPr>
        <w:t> </w:t>
      </w:r>
      <w:r>
        <w:rPr/>
        <w:t>publicados com</w:t>
      </w:r>
      <w:r>
        <w:rPr>
          <w:spacing w:val="-8"/>
        </w:rPr>
        <w:t> </w:t>
      </w:r>
      <w:r>
        <w:rPr/>
        <w:t>o</w:t>
      </w:r>
      <w:r>
        <w:rPr>
          <w:spacing w:val="-8"/>
        </w:rPr>
        <w:t> </w:t>
      </w:r>
      <w:r>
        <w:rPr/>
        <w:t>objetivo</w:t>
      </w:r>
      <w:r>
        <w:rPr>
          <w:spacing w:val="-8"/>
        </w:rPr>
        <w:t> </w:t>
      </w:r>
      <w:r>
        <w:rPr/>
        <w:t>de</w:t>
      </w:r>
      <w:r>
        <w:rPr>
          <w:spacing w:val="-10"/>
        </w:rPr>
        <w:t> </w:t>
      </w:r>
      <w:r>
        <w:rPr/>
        <w:t>uniformizar</w:t>
      </w:r>
      <w:r>
        <w:rPr>
          <w:spacing w:val="-3"/>
        </w:rPr>
        <w:t> </w:t>
      </w:r>
      <w:r>
        <w:rPr/>
        <w:t>o</w:t>
      </w:r>
      <w:r>
        <w:rPr>
          <w:spacing w:val="-8"/>
        </w:rPr>
        <w:t> </w:t>
      </w:r>
      <w:r>
        <w:rPr/>
        <w:t>padrão</w:t>
      </w:r>
      <w:r>
        <w:rPr>
          <w:spacing w:val="-8"/>
        </w:rPr>
        <w:t> </w:t>
      </w:r>
      <w:r>
        <w:rPr/>
        <w:t>diagnóstico</w:t>
      </w:r>
      <w:r>
        <w:rPr>
          <w:spacing w:val="-8"/>
        </w:rPr>
        <w:t> </w:t>
      </w:r>
      <w:r>
        <w:rPr/>
        <w:t>para</w:t>
      </w:r>
      <w:r>
        <w:rPr>
          <w:spacing w:val="-10"/>
        </w:rPr>
        <w:t> </w:t>
      </w:r>
      <w:r>
        <w:rPr/>
        <w:t>a</w:t>
      </w:r>
      <w:r>
        <w:rPr>
          <w:spacing w:val="-10"/>
        </w:rPr>
        <w:t> </w:t>
      </w:r>
      <w:r>
        <w:rPr/>
        <w:t>classificação</w:t>
      </w:r>
      <w:r>
        <w:rPr>
          <w:spacing w:val="-8"/>
        </w:rPr>
        <w:t> </w:t>
      </w:r>
      <w:r>
        <w:rPr/>
        <w:t>das miocardites. A miocardite ativa caracteriza-se por um infiltrado inflamatório celular com presença de necrose de miócitos. Já a miocardite </w:t>
      </w:r>
      <w:r>
        <w:rPr>
          <w:i/>
        </w:rPr>
        <w:t>borderline </w:t>
      </w:r>
      <w:r>
        <w:rPr/>
        <w:t>é caracterizada por um infiltrado celular inflamatório sem evidência de lesão miocárdica. O infiltrado inflamatório pode ser linfocítico, eosinofílico e granulomatoso.</w:t>
      </w:r>
      <w:r>
        <w:rPr>
          <w:vertAlign w:val="superscript"/>
        </w:rPr>
        <w:t>19</w:t>
      </w:r>
      <w:r>
        <w:rPr>
          <w:vertAlign w:val="baseline"/>
        </w:rPr>
        <w:t> Na miocardite intensa não há controvérsia entre os patologistas. O problema continua nos casos com processo inflamatório discreto. Também sabemos que a biopsia endomiocárdica confirma o diagnóstico histológico de miocardite apenas em pequena porcentagem dos casos, apesar do alto grau de suspeição clínica.</w:t>
      </w:r>
    </w:p>
    <w:p>
      <w:pPr>
        <w:pStyle w:val="BodyText"/>
        <w:spacing w:line="290" w:lineRule="auto" w:before="60"/>
        <w:ind w:right="488"/>
      </w:pPr>
      <w:r>
        <w:rPr/>
        <w:t>A biopsia endomiocárdica tem sido indicada em pacientes com deterioração aguda da função ventricular de etiologia incerta e não responsivos à terapia médica.</w:t>
      </w:r>
      <w:r>
        <w:rPr>
          <w:vertAlign w:val="superscript"/>
        </w:rPr>
        <w:t>20</w:t>
      </w:r>
    </w:p>
    <w:p>
      <w:pPr>
        <w:pStyle w:val="BodyText"/>
        <w:spacing w:line="290" w:lineRule="auto" w:before="33"/>
        <w:ind w:right="490"/>
      </w:pPr>
      <w:r>
        <w:rPr/>
        <w:t>Técnicas de biologia molecular, tais como reação em cadeia de polimerase (PCR, do inglês, </w:t>
      </w:r>
      <w:r>
        <w:rPr>
          <w:i/>
        </w:rPr>
        <w:t>polymerase chain reaction</w:t>
      </w:r>
      <w:r>
        <w:rPr/>
        <w:t>) e</w:t>
      </w:r>
      <w:r>
        <w:rPr>
          <w:spacing w:val="-2"/>
        </w:rPr>
        <w:t> </w:t>
      </w:r>
      <w:r>
        <w:rPr/>
        <w:t>hibridização </w:t>
      </w:r>
      <w:r>
        <w:rPr>
          <w:i/>
        </w:rPr>
        <w:t>in situ</w:t>
      </w:r>
      <w:r>
        <w:rPr/>
        <w:t>, permitem detectar a</w:t>
      </w:r>
      <w:r>
        <w:rPr>
          <w:spacing w:val="-2"/>
        </w:rPr>
        <w:t> </w:t>
      </w:r>
      <w:r>
        <w:rPr/>
        <w:t>presença</w:t>
      </w:r>
      <w:r>
        <w:rPr>
          <w:spacing w:val="-2"/>
        </w:rPr>
        <w:t> </w:t>
      </w:r>
      <w:r>
        <w:rPr/>
        <w:t>de</w:t>
      </w:r>
      <w:r>
        <w:rPr>
          <w:spacing w:val="-2"/>
        </w:rPr>
        <w:t> </w:t>
      </w:r>
      <w:r>
        <w:rPr/>
        <w:t>genoma</w:t>
      </w:r>
      <w:r>
        <w:rPr>
          <w:spacing w:val="-2"/>
        </w:rPr>
        <w:t> </w:t>
      </w:r>
      <w:r>
        <w:rPr/>
        <w:t>viral nos fragmentos miocárdicos.</w:t>
      </w:r>
      <w:r>
        <w:rPr>
          <w:vertAlign w:val="superscript"/>
        </w:rPr>
        <w:t>21,22</w:t>
      </w:r>
    </w:p>
    <w:p>
      <w:pPr>
        <w:pStyle w:val="BodyText"/>
        <w:spacing w:line="280" w:lineRule="auto" w:before="48"/>
        <w:ind w:right="490"/>
      </w:pPr>
      <w:r>
        <w:rPr/>
        <w:t>Utilizando as técnicas de biologia molecular PCR ou transcriptase reversa, Calabrese </w:t>
      </w:r>
      <w:r>
        <w:rPr>
          <w:i/>
        </w:rPr>
        <w:t>et al. </w:t>
      </w:r>
      <w:r>
        <w:rPr/>
        <w:t>analisaram 59 biopsias endomiocárdicas de 48 pacientes consecutivos (&lt; 18 anos) com diagnóstico clínico e histológico de miocardite</w:t>
      </w:r>
      <w:r>
        <w:rPr>
          <w:spacing w:val="-12"/>
        </w:rPr>
        <w:t> </w:t>
      </w:r>
      <w:r>
        <w:rPr/>
        <w:t>empregando</w:t>
      </w:r>
      <w:r>
        <w:rPr>
          <w:spacing w:val="-10"/>
        </w:rPr>
        <w:t> </w:t>
      </w:r>
      <w:r>
        <w:rPr>
          <w:i/>
        </w:rPr>
        <w:t>primers </w:t>
      </w:r>
      <w:r>
        <w:rPr/>
        <w:t>para</w:t>
      </w:r>
      <w:r>
        <w:rPr>
          <w:spacing w:val="-6"/>
        </w:rPr>
        <w:t> </w:t>
      </w:r>
      <w:r>
        <w:rPr/>
        <w:t>amplificar sequências de</w:t>
      </w:r>
      <w:r>
        <w:rPr>
          <w:spacing w:val="-6"/>
        </w:rPr>
        <w:t> </w:t>
      </w:r>
      <w:r>
        <w:rPr/>
        <w:t>vírus do</w:t>
      </w:r>
      <w:r>
        <w:rPr>
          <w:spacing w:val="-4"/>
        </w:rPr>
        <w:t> </w:t>
      </w:r>
      <w:r>
        <w:rPr/>
        <w:t>ácido</w:t>
      </w:r>
      <w:r>
        <w:rPr>
          <w:spacing w:val="-4"/>
        </w:rPr>
        <w:t> </w:t>
      </w:r>
      <w:r>
        <w:rPr/>
        <w:t>desoxirribonucleico</w:t>
      </w:r>
      <w:r>
        <w:rPr>
          <w:spacing w:val="-4"/>
        </w:rPr>
        <w:t> </w:t>
      </w:r>
      <w:r>
        <w:rPr/>
        <w:t>(DNA, do</w:t>
      </w:r>
      <w:r>
        <w:rPr>
          <w:spacing w:val="-4"/>
        </w:rPr>
        <w:t> </w:t>
      </w:r>
      <w:r>
        <w:rPr/>
        <w:t>inglês, </w:t>
      </w:r>
      <w:r>
        <w:rPr>
          <w:i/>
        </w:rPr>
        <w:t>deoxyribonucleic acid</w:t>
      </w:r>
      <w:r>
        <w:rPr/>
        <w:t>) e do RNA. Genoma viral foi encontrado em 20 pacientes (49%): 12/26 (46%) com miocardite, 6/13 (46%) pacientes com cardiomiopatia dilatada.</w:t>
      </w:r>
      <w:r>
        <w:rPr>
          <w:vertAlign w:val="superscript"/>
        </w:rPr>
        <w:t>21</w:t>
      </w:r>
      <w:r>
        <w:rPr>
          <w:vertAlign w:val="baseline"/>
        </w:rPr>
        <w:t> Enterovírus foram os agentes mais comumente encontrados na cardiomiopatia dilatada (72%) e os adenovírus e enterovírus foram os mais prevalentes na miocardite (36%). Também observaram que nos casos em que havia genoma viral, também havia infiltrado inflamatório, lesão</w:t>
      </w:r>
      <w:r>
        <w:rPr>
          <w:spacing w:val="-3"/>
          <w:vertAlign w:val="baseline"/>
        </w:rPr>
        <w:t> </w:t>
      </w:r>
      <w:r>
        <w:rPr>
          <w:vertAlign w:val="baseline"/>
        </w:rPr>
        <w:t>miocárdica, assim</w:t>
      </w:r>
      <w:r>
        <w:rPr>
          <w:spacing w:val="-3"/>
          <w:vertAlign w:val="baseline"/>
        </w:rPr>
        <w:t> </w:t>
      </w:r>
      <w:r>
        <w:rPr>
          <w:vertAlign w:val="baseline"/>
        </w:rPr>
        <w:t>como</w:t>
      </w:r>
      <w:r>
        <w:rPr>
          <w:spacing w:val="-3"/>
          <w:vertAlign w:val="baseline"/>
        </w:rPr>
        <w:t> </w:t>
      </w:r>
      <w:r>
        <w:rPr>
          <w:vertAlign w:val="baseline"/>
        </w:rPr>
        <w:t>pior função</w:t>
      </w:r>
      <w:r>
        <w:rPr>
          <w:spacing w:val="-3"/>
          <w:vertAlign w:val="baseline"/>
        </w:rPr>
        <w:t> </w:t>
      </w:r>
      <w:r>
        <w:rPr>
          <w:vertAlign w:val="baseline"/>
        </w:rPr>
        <w:t>ventricular. Outro</w:t>
      </w:r>
      <w:r>
        <w:rPr>
          <w:spacing w:val="-3"/>
          <w:vertAlign w:val="baseline"/>
        </w:rPr>
        <w:t> </w:t>
      </w:r>
      <w:r>
        <w:rPr>
          <w:vertAlign w:val="baseline"/>
        </w:rPr>
        <w:t>estudo</w:t>
      </w:r>
      <w:r>
        <w:rPr>
          <w:spacing w:val="-3"/>
          <w:vertAlign w:val="baseline"/>
        </w:rPr>
        <w:t> </w:t>
      </w:r>
      <w:r>
        <w:rPr>
          <w:vertAlign w:val="baseline"/>
        </w:rPr>
        <w:t>demonstrou</w:t>
      </w:r>
      <w:r>
        <w:rPr>
          <w:spacing w:val="-3"/>
          <w:vertAlign w:val="baseline"/>
        </w:rPr>
        <w:t> </w:t>
      </w:r>
      <w:r>
        <w:rPr>
          <w:vertAlign w:val="baseline"/>
        </w:rPr>
        <w:t>que</w:t>
      </w:r>
      <w:r>
        <w:rPr>
          <w:spacing w:val="-6"/>
          <w:vertAlign w:val="baseline"/>
        </w:rPr>
        <w:t> </w:t>
      </w:r>
      <w:r>
        <w:rPr>
          <w:vertAlign w:val="baseline"/>
        </w:rPr>
        <w:t>a</w:t>
      </w:r>
      <w:r>
        <w:rPr>
          <w:spacing w:val="-6"/>
          <w:vertAlign w:val="baseline"/>
        </w:rPr>
        <w:t> </w:t>
      </w:r>
      <w:r>
        <w:rPr>
          <w:vertAlign w:val="baseline"/>
        </w:rPr>
        <w:t>persistência</w:t>
      </w:r>
      <w:r>
        <w:rPr>
          <w:spacing w:val="-6"/>
          <w:vertAlign w:val="baseline"/>
        </w:rPr>
        <w:t> </w:t>
      </w:r>
      <w:r>
        <w:rPr>
          <w:vertAlign w:val="baseline"/>
        </w:rPr>
        <w:t>do genoma</w:t>
      </w:r>
      <w:r>
        <w:rPr>
          <w:spacing w:val="-8"/>
          <w:vertAlign w:val="baseline"/>
        </w:rPr>
        <w:t> </w:t>
      </w:r>
      <w:r>
        <w:rPr>
          <w:vertAlign w:val="baseline"/>
        </w:rPr>
        <w:t>viral</w:t>
      </w:r>
      <w:r>
        <w:rPr>
          <w:spacing w:val="-2"/>
          <w:vertAlign w:val="baseline"/>
        </w:rPr>
        <w:t> </w:t>
      </w:r>
      <w:r>
        <w:rPr>
          <w:vertAlign w:val="baseline"/>
        </w:rPr>
        <w:t>no</w:t>
      </w:r>
      <w:r>
        <w:rPr>
          <w:spacing w:val="-4"/>
          <w:vertAlign w:val="baseline"/>
        </w:rPr>
        <w:t> </w:t>
      </w:r>
      <w:r>
        <w:rPr>
          <w:vertAlign w:val="baseline"/>
        </w:rPr>
        <w:t>miocárdio</w:t>
      </w:r>
      <w:r>
        <w:rPr>
          <w:spacing w:val="-4"/>
          <w:vertAlign w:val="baseline"/>
        </w:rPr>
        <w:t> </w:t>
      </w:r>
      <w:r>
        <w:rPr>
          <w:vertAlign w:val="baseline"/>
        </w:rPr>
        <w:t>de</w:t>
      </w:r>
      <w:r>
        <w:rPr>
          <w:spacing w:val="-8"/>
          <w:vertAlign w:val="baseline"/>
        </w:rPr>
        <w:t> </w:t>
      </w:r>
      <w:r>
        <w:rPr>
          <w:vertAlign w:val="baseline"/>
        </w:rPr>
        <w:t>pacientes com</w:t>
      </w:r>
      <w:r>
        <w:rPr>
          <w:spacing w:val="-4"/>
          <w:vertAlign w:val="baseline"/>
        </w:rPr>
        <w:t> </w:t>
      </w:r>
      <w:r>
        <w:rPr>
          <w:vertAlign w:val="baseline"/>
        </w:rPr>
        <w:t>cardiomiopatia</w:t>
      </w:r>
      <w:r>
        <w:rPr>
          <w:spacing w:val="-8"/>
          <w:vertAlign w:val="baseline"/>
        </w:rPr>
        <w:t> </w:t>
      </w:r>
      <w:r>
        <w:rPr>
          <w:vertAlign w:val="baseline"/>
        </w:rPr>
        <w:t>dilatada</w:t>
      </w:r>
      <w:r>
        <w:rPr>
          <w:spacing w:val="-8"/>
          <w:vertAlign w:val="baseline"/>
        </w:rPr>
        <w:t> </w:t>
      </w:r>
      <w:r>
        <w:rPr>
          <w:vertAlign w:val="baseline"/>
        </w:rPr>
        <w:t>também</w:t>
      </w:r>
      <w:r>
        <w:rPr>
          <w:spacing w:val="-4"/>
          <w:vertAlign w:val="baseline"/>
        </w:rPr>
        <w:t> </w:t>
      </w:r>
      <w:r>
        <w:rPr>
          <w:vertAlign w:val="baseline"/>
        </w:rPr>
        <w:t>esteve</w:t>
      </w:r>
      <w:r>
        <w:rPr>
          <w:spacing w:val="-8"/>
          <w:vertAlign w:val="baseline"/>
        </w:rPr>
        <w:t> </w:t>
      </w:r>
      <w:r>
        <w:rPr>
          <w:vertAlign w:val="baseline"/>
        </w:rPr>
        <w:t>associada</w:t>
      </w:r>
      <w:r>
        <w:rPr>
          <w:spacing w:val="-8"/>
          <w:vertAlign w:val="baseline"/>
        </w:rPr>
        <w:t> </w:t>
      </w:r>
      <w:r>
        <w:rPr>
          <w:vertAlign w:val="baseline"/>
        </w:rPr>
        <w:t>a</w:t>
      </w:r>
      <w:r>
        <w:rPr>
          <w:spacing w:val="-8"/>
          <w:vertAlign w:val="baseline"/>
        </w:rPr>
        <w:t> </w:t>
      </w:r>
      <w:r>
        <w:rPr>
          <w:vertAlign w:val="baseline"/>
        </w:rPr>
        <w:t>pior prognóstico.</w:t>
      </w:r>
      <w:r>
        <w:rPr>
          <w:vertAlign w:val="superscript"/>
        </w:rPr>
        <w:t>22</w:t>
      </w:r>
      <w:r>
        <w:rPr>
          <w:vertAlign w:val="baseline"/>
        </w:rPr>
        <w:t> Outros estudos demonstraram que possíveis diferenças na etiologia viral estão relacionadas com determinadas regiões e a idade do paciente. Como exemplo, o vírus da hepatite C tem sido mais relacionado com pacientes japoneses com</w:t>
      </w:r>
      <w:r>
        <w:rPr>
          <w:spacing w:val="-6"/>
          <w:vertAlign w:val="baseline"/>
        </w:rPr>
        <w:t> </w:t>
      </w:r>
      <w:r>
        <w:rPr>
          <w:vertAlign w:val="baseline"/>
        </w:rPr>
        <w:t>miocardite, e</w:t>
      </w:r>
      <w:r>
        <w:rPr>
          <w:spacing w:val="-8"/>
          <w:vertAlign w:val="baseline"/>
        </w:rPr>
        <w:t> </w:t>
      </w:r>
      <w:r>
        <w:rPr>
          <w:vertAlign w:val="baseline"/>
        </w:rPr>
        <w:t>o</w:t>
      </w:r>
      <w:r>
        <w:rPr>
          <w:spacing w:val="-6"/>
          <w:vertAlign w:val="baseline"/>
        </w:rPr>
        <w:t> </w:t>
      </w:r>
      <w:r>
        <w:rPr>
          <w:vertAlign w:val="baseline"/>
        </w:rPr>
        <w:t>parvovírus B19</w:t>
      </w:r>
      <w:r>
        <w:rPr>
          <w:spacing w:val="-6"/>
          <w:vertAlign w:val="baseline"/>
        </w:rPr>
        <w:t> </w:t>
      </w:r>
      <w:r>
        <w:rPr>
          <w:vertAlign w:val="baseline"/>
        </w:rPr>
        <w:t>com</w:t>
      </w:r>
      <w:r>
        <w:rPr>
          <w:spacing w:val="-6"/>
          <w:vertAlign w:val="baseline"/>
        </w:rPr>
        <w:t> </w:t>
      </w:r>
      <w:r>
        <w:rPr>
          <w:vertAlign w:val="baseline"/>
        </w:rPr>
        <w:t>alemães.</w:t>
      </w:r>
      <w:r>
        <w:rPr>
          <w:vertAlign w:val="superscript"/>
        </w:rPr>
        <w:t>8,23</w:t>
      </w:r>
      <w:r>
        <w:rPr>
          <w:vertAlign w:val="baseline"/>
        </w:rPr>
        <w:t> Kuhl</w:t>
      </w:r>
      <w:r>
        <w:rPr>
          <w:spacing w:val="-3"/>
          <w:vertAlign w:val="baseline"/>
        </w:rPr>
        <w:t> </w:t>
      </w:r>
      <w:r>
        <w:rPr>
          <w:i/>
          <w:vertAlign w:val="baseline"/>
        </w:rPr>
        <w:t>et</w:t>
      </w:r>
      <w:r>
        <w:rPr>
          <w:i/>
          <w:spacing w:val="-3"/>
          <w:vertAlign w:val="baseline"/>
        </w:rPr>
        <w:t> </w:t>
      </w:r>
      <w:r>
        <w:rPr>
          <w:i/>
          <w:vertAlign w:val="baseline"/>
        </w:rPr>
        <w:t>al. </w:t>
      </w:r>
      <w:r>
        <w:rPr>
          <w:vertAlign w:val="baseline"/>
        </w:rPr>
        <w:t>identificaram</w:t>
      </w:r>
      <w:r>
        <w:rPr>
          <w:spacing w:val="-6"/>
          <w:vertAlign w:val="baseline"/>
        </w:rPr>
        <w:t> </w:t>
      </w:r>
      <w:r>
        <w:rPr>
          <w:vertAlign w:val="baseline"/>
        </w:rPr>
        <w:t>a</w:t>
      </w:r>
      <w:r>
        <w:rPr>
          <w:spacing w:val="-8"/>
          <w:vertAlign w:val="baseline"/>
        </w:rPr>
        <w:t> </w:t>
      </w:r>
      <w:r>
        <w:rPr>
          <w:vertAlign w:val="baseline"/>
        </w:rPr>
        <w:t>presença</w:t>
      </w:r>
      <w:r>
        <w:rPr>
          <w:spacing w:val="-8"/>
          <w:vertAlign w:val="baseline"/>
        </w:rPr>
        <w:t> </w:t>
      </w:r>
      <w:r>
        <w:rPr>
          <w:vertAlign w:val="baseline"/>
        </w:rPr>
        <w:t>de</w:t>
      </w:r>
      <w:r>
        <w:rPr>
          <w:spacing w:val="-8"/>
          <w:vertAlign w:val="baseline"/>
        </w:rPr>
        <w:t> </w:t>
      </w:r>
      <w:r>
        <w:rPr>
          <w:vertAlign w:val="baseline"/>
        </w:rPr>
        <w:t>mais de</w:t>
      </w:r>
      <w:r>
        <w:rPr>
          <w:spacing w:val="-8"/>
          <w:vertAlign w:val="baseline"/>
        </w:rPr>
        <w:t> </w:t>
      </w:r>
      <w:r>
        <w:rPr>
          <w:vertAlign w:val="baseline"/>
        </w:rPr>
        <w:t>dois</w:t>
      </w:r>
    </w:p>
    <w:p>
      <w:pPr>
        <w:pStyle w:val="BodyText"/>
        <w:spacing w:after="0" w:line="280" w:lineRule="auto"/>
        <w:sectPr>
          <w:pgSz w:w="11900" w:h="16840"/>
          <w:pgMar w:top="200" w:bottom="280" w:left="566" w:right="141"/>
        </w:sectPr>
      </w:pPr>
    </w:p>
    <w:p>
      <w:pPr>
        <w:pStyle w:val="BodyText"/>
        <w:spacing w:before="94"/>
        <w:ind w:firstLine="0"/>
      </w:pPr>
      <w:r>
        <w:rPr/>
        <w:t>agentes</w:t>
      </w:r>
      <w:r>
        <w:rPr>
          <w:spacing w:val="-1"/>
        </w:rPr>
        <w:t> </w:t>
      </w:r>
      <w:r>
        <w:rPr/>
        <w:t>diferentes</w:t>
      </w:r>
      <w:r>
        <w:rPr>
          <w:spacing w:val="-2"/>
        </w:rPr>
        <w:t> </w:t>
      </w:r>
      <w:r>
        <w:rPr/>
        <w:t>virais</w:t>
      </w:r>
      <w:r>
        <w:rPr>
          <w:spacing w:val="-1"/>
        </w:rPr>
        <w:t> </w:t>
      </w:r>
      <w:r>
        <w:rPr/>
        <w:t>em</w:t>
      </w:r>
      <w:r>
        <w:rPr>
          <w:spacing w:val="-8"/>
        </w:rPr>
        <w:t> </w:t>
      </w:r>
      <w:r>
        <w:rPr/>
        <w:t>25%</w:t>
      </w:r>
      <w:r>
        <w:rPr>
          <w:spacing w:val="-6"/>
        </w:rPr>
        <w:t> </w:t>
      </w:r>
      <w:r>
        <w:rPr/>
        <w:t>dos</w:t>
      </w:r>
      <w:r>
        <w:rPr>
          <w:spacing w:val="-1"/>
        </w:rPr>
        <w:t> </w:t>
      </w:r>
      <w:r>
        <w:rPr/>
        <w:t>casos</w:t>
      </w:r>
      <w:r>
        <w:rPr>
          <w:spacing w:val="-1"/>
        </w:rPr>
        <w:t> </w:t>
      </w:r>
      <w:r>
        <w:rPr/>
        <w:t>de</w:t>
      </w:r>
      <w:r>
        <w:rPr>
          <w:spacing w:val="-10"/>
        </w:rPr>
        <w:t> </w:t>
      </w:r>
      <w:r>
        <w:rPr>
          <w:spacing w:val="-2"/>
        </w:rPr>
        <w:t>miocardite.</w:t>
      </w:r>
      <w:r>
        <w:rPr>
          <w:spacing w:val="-2"/>
          <w:vertAlign w:val="superscript"/>
        </w:rPr>
        <w:t>24</w:t>
      </w:r>
    </w:p>
    <w:p>
      <w:pPr>
        <w:pStyle w:val="BodyText"/>
        <w:spacing w:line="280" w:lineRule="auto" w:before="102"/>
        <w:ind w:right="491"/>
      </w:pPr>
      <w:r>
        <w:rPr/>
        <w:t>Por outro lado, as técnicas de imuno-histoquímica permitem caracterizar o diagnóstico de inflamação. Em condições fisiológicas, o miocárdio normal não expressa antígenos de histocompatibilidade, passando a fazê-lo na vigência</w:t>
      </w:r>
      <w:r>
        <w:rPr>
          <w:spacing w:val="-9"/>
        </w:rPr>
        <w:t> </w:t>
      </w:r>
      <w:r>
        <w:rPr/>
        <w:t>de</w:t>
      </w:r>
      <w:r>
        <w:rPr>
          <w:spacing w:val="-9"/>
        </w:rPr>
        <w:t> </w:t>
      </w:r>
      <w:r>
        <w:rPr/>
        <w:t>processo</w:t>
      </w:r>
      <w:r>
        <w:rPr>
          <w:spacing w:val="-7"/>
        </w:rPr>
        <w:t> </w:t>
      </w:r>
      <w:r>
        <w:rPr/>
        <w:t>inflamatório</w:t>
      </w:r>
      <w:r>
        <w:rPr>
          <w:spacing w:val="-7"/>
        </w:rPr>
        <w:t> </w:t>
      </w:r>
      <w:r>
        <w:rPr/>
        <w:t>sendo, portanto, um</w:t>
      </w:r>
      <w:r>
        <w:rPr>
          <w:spacing w:val="-7"/>
        </w:rPr>
        <w:t> </w:t>
      </w:r>
      <w:r>
        <w:rPr/>
        <w:t>critério</w:t>
      </w:r>
      <w:r>
        <w:rPr>
          <w:spacing w:val="-7"/>
        </w:rPr>
        <w:t> </w:t>
      </w:r>
      <w:r>
        <w:rPr/>
        <w:t>mais homogêneo</w:t>
      </w:r>
      <w:r>
        <w:rPr>
          <w:spacing w:val="-7"/>
        </w:rPr>
        <w:t> </w:t>
      </w:r>
      <w:r>
        <w:rPr/>
        <w:t>de</w:t>
      </w:r>
      <w:r>
        <w:rPr>
          <w:spacing w:val="-9"/>
        </w:rPr>
        <w:t> </w:t>
      </w:r>
      <w:r>
        <w:rPr/>
        <w:t>inflamação.</w:t>
      </w:r>
      <w:r>
        <w:rPr>
          <w:vertAlign w:val="superscript"/>
        </w:rPr>
        <w:t>25</w:t>
      </w:r>
      <w:r>
        <w:rPr>
          <w:vertAlign w:val="baseline"/>
        </w:rPr>
        <w:t> Tal</w:t>
      </w:r>
      <w:r>
        <w:rPr>
          <w:spacing w:val="-3"/>
          <w:vertAlign w:val="baseline"/>
        </w:rPr>
        <w:t> </w:t>
      </w:r>
      <w:r>
        <w:rPr>
          <w:vertAlign w:val="baseline"/>
        </w:rPr>
        <w:t>alteração</w:t>
      </w:r>
      <w:r>
        <w:rPr>
          <w:spacing w:val="-5"/>
          <w:vertAlign w:val="baseline"/>
        </w:rPr>
        <w:t> </w:t>
      </w:r>
      <w:r>
        <w:rPr>
          <w:vertAlign w:val="baseline"/>
        </w:rPr>
        <w:t>pode ser observada</w:t>
      </w:r>
      <w:r>
        <w:rPr>
          <w:spacing w:val="-3"/>
          <w:vertAlign w:val="baseline"/>
        </w:rPr>
        <w:t> </w:t>
      </w:r>
      <w:r>
        <w:rPr>
          <w:vertAlign w:val="baseline"/>
        </w:rPr>
        <w:t>mesmo nos fragmentos miocárdicos em que</w:t>
      </w:r>
      <w:r>
        <w:rPr>
          <w:spacing w:val="-3"/>
          <w:vertAlign w:val="baseline"/>
        </w:rPr>
        <w:t> </w:t>
      </w:r>
      <w:r>
        <w:rPr>
          <w:vertAlign w:val="baseline"/>
        </w:rPr>
        <w:t>não se</w:t>
      </w:r>
      <w:r>
        <w:rPr>
          <w:spacing w:val="-3"/>
          <w:vertAlign w:val="baseline"/>
        </w:rPr>
        <w:t> </w:t>
      </w:r>
      <w:r>
        <w:rPr>
          <w:vertAlign w:val="baseline"/>
        </w:rPr>
        <w:t>evidencia</w:t>
      </w:r>
      <w:r>
        <w:rPr>
          <w:spacing w:val="-3"/>
          <w:vertAlign w:val="baseline"/>
        </w:rPr>
        <w:t> </w:t>
      </w:r>
      <w:r>
        <w:rPr>
          <w:vertAlign w:val="baseline"/>
        </w:rPr>
        <w:t>miocardite</w:t>
      </w:r>
      <w:r>
        <w:rPr>
          <w:spacing w:val="-3"/>
          <w:vertAlign w:val="baseline"/>
        </w:rPr>
        <w:t> </w:t>
      </w:r>
      <w:r>
        <w:rPr>
          <w:vertAlign w:val="baseline"/>
        </w:rPr>
        <w:t>pelos critérios de</w:t>
      </w:r>
      <w:r>
        <w:rPr>
          <w:spacing w:val="-3"/>
          <w:vertAlign w:val="baseline"/>
        </w:rPr>
        <w:t> </w:t>
      </w:r>
      <w:r>
        <w:rPr>
          <w:vertAlign w:val="baseline"/>
        </w:rPr>
        <w:t>Dallas.</w:t>
      </w:r>
    </w:p>
    <w:p>
      <w:pPr>
        <w:pStyle w:val="BodyText"/>
        <w:spacing w:line="276" w:lineRule="auto" w:before="43"/>
        <w:ind w:right="488"/>
      </w:pPr>
      <w:r>
        <w:rPr/>
        <w:t>Dessa forma, a biopsia endomiocárdica ressurge como importante método complementar na caracterização de inflamação cardíaca.</w:t>
      </w:r>
    </w:p>
    <w:p>
      <w:pPr>
        <w:pStyle w:val="BodyText"/>
        <w:spacing w:before="185"/>
        <w:ind w:left="0" w:firstLine="0"/>
        <w:jc w:val="left"/>
      </w:pPr>
    </w:p>
    <w:p>
      <w:pPr>
        <w:pStyle w:val="Heading4"/>
        <w:spacing w:before="1"/>
      </w:pPr>
      <w:r>
        <w:rPr>
          <w:color w:val="242B67"/>
          <w:spacing w:val="-2"/>
        </w:rPr>
        <w:t>Tratamento</w:t>
      </w:r>
    </w:p>
    <w:p>
      <w:pPr>
        <w:pStyle w:val="BodyText"/>
        <w:spacing w:line="276" w:lineRule="auto" w:before="131"/>
        <w:ind w:right="488"/>
      </w:pPr>
      <w:r>
        <w:rPr/>
        <w:t>As</w:t>
      </w:r>
      <w:r>
        <w:rPr>
          <w:spacing w:val="-3"/>
        </w:rPr>
        <w:t> </w:t>
      </w:r>
      <w:r>
        <w:rPr/>
        <w:t>consequências</w:t>
      </w:r>
      <w:r>
        <w:rPr>
          <w:spacing w:val="-3"/>
        </w:rPr>
        <w:t> </w:t>
      </w:r>
      <w:r>
        <w:rPr/>
        <w:t>fisiopatológicas</w:t>
      </w:r>
      <w:r>
        <w:rPr>
          <w:spacing w:val="-3"/>
        </w:rPr>
        <w:t> </w:t>
      </w:r>
      <w:r>
        <w:rPr/>
        <w:t>da</w:t>
      </w:r>
      <w:r>
        <w:rPr>
          <w:spacing w:val="-13"/>
        </w:rPr>
        <w:t> </w:t>
      </w:r>
      <w:r>
        <w:rPr/>
        <w:t>miocardite,</w:t>
      </w:r>
      <w:r>
        <w:rPr>
          <w:spacing w:val="-3"/>
        </w:rPr>
        <w:t> </w:t>
      </w:r>
      <w:r>
        <w:rPr/>
        <w:t>como</w:t>
      </w:r>
      <w:r>
        <w:rPr>
          <w:spacing w:val="-10"/>
        </w:rPr>
        <w:t> </w:t>
      </w:r>
      <w:r>
        <w:rPr/>
        <w:t>IC,</w:t>
      </w:r>
      <w:r>
        <w:rPr>
          <w:spacing w:val="-3"/>
        </w:rPr>
        <w:t> </w:t>
      </w:r>
      <w:r>
        <w:rPr/>
        <w:t>arritmias</w:t>
      </w:r>
      <w:r>
        <w:rPr>
          <w:spacing w:val="-3"/>
        </w:rPr>
        <w:t> </w:t>
      </w:r>
      <w:r>
        <w:rPr/>
        <w:t>e</w:t>
      </w:r>
      <w:r>
        <w:rPr>
          <w:spacing w:val="-13"/>
        </w:rPr>
        <w:t> </w:t>
      </w:r>
      <w:r>
        <w:rPr/>
        <w:t>tromboembolismo,</w:t>
      </w:r>
      <w:r>
        <w:rPr>
          <w:spacing w:val="-3"/>
        </w:rPr>
        <w:t> </w:t>
      </w:r>
      <w:r>
        <w:rPr/>
        <w:t>devem</w:t>
      </w:r>
      <w:r>
        <w:rPr>
          <w:spacing w:val="-10"/>
        </w:rPr>
        <w:t> </w:t>
      </w:r>
      <w:r>
        <w:rPr/>
        <w:t>ser</w:t>
      </w:r>
      <w:r>
        <w:rPr>
          <w:spacing w:val="-5"/>
        </w:rPr>
        <w:t> </w:t>
      </w:r>
      <w:r>
        <w:rPr/>
        <w:t>tratadas</w:t>
      </w:r>
      <w:r>
        <w:rPr>
          <w:spacing w:val="-3"/>
        </w:rPr>
        <w:t> </w:t>
      </w:r>
      <w:r>
        <w:rPr/>
        <w:t>de acordo com os critérios estabelecidos para cada uma dessas condições.</w:t>
      </w:r>
    </w:p>
    <w:p>
      <w:pPr>
        <w:pStyle w:val="BodyText"/>
        <w:spacing w:line="280" w:lineRule="auto"/>
        <w:ind w:right="497"/>
      </w:pPr>
      <w:r>
        <w:rPr/>
        <w:t>Em 1995, Mason </w:t>
      </w:r>
      <w:r>
        <w:rPr>
          <w:i/>
        </w:rPr>
        <w:t>et al.</w:t>
      </w:r>
      <w:r>
        <w:rPr/>
        <w:t>, com a finalidade de avaliar o tratamento imunossupressor na miocardite linfocitária, realizaram estudo multicêntrico com prednisona</w:t>
      </w:r>
      <w:r>
        <w:rPr>
          <w:spacing w:val="-2"/>
        </w:rPr>
        <w:t> </w:t>
      </w:r>
      <w:r>
        <w:rPr/>
        <w:t>associada</w:t>
      </w:r>
      <w:r>
        <w:rPr>
          <w:spacing w:val="-2"/>
        </w:rPr>
        <w:t> </w:t>
      </w:r>
      <w:r>
        <w:rPr/>
        <w:t>à</w:t>
      </w:r>
      <w:r>
        <w:rPr>
          <w:spacing w:val="-2"/>
        </w:rPr>
        <w:t> </w:t>
      </w:r>
      <w:r>
        <w:rPr/>
        <w:t>azatioprina</w:t>
      </w:r>
      <w:r>
        <w:rPr>
          <w:spacing w:val="-2"/>
        </w:rPr>
        <w:t> </w:t>
      </w:r>
      <w:r>
        <w:rPr/>
        <w:t>ou à</w:t>
      </w:r>
      <w:r>
        <w:rPr>
          <w:spacing w:val="-2"/>
        </w:rPr>
        <w:t> </w:t>
      </w:r>
      <w:r>
        <w:rPr/>
        <w:t>ciclosporina. As conclusões foram de que a imunossupressão não trouxe melhora da função ventricular e nem aumentou a sobrevida.</w:t>
      </w:r>
      <w:r>
        <w:rPr>
          <w:vertAlign w:val="superscript"/>
        </w:rPr>
        <w:t>26</w:t>
      </w:r>
      <w:r>
        <w:rPr>
          <w:vertAlign w:val="baseline"/>
        </w:rPr>
        <w:t> Esse estudo desestimulou, por bastante tempo, o tratamento imunossupressor nas miocardites. Porém, algumas críticas foram posteriormente</w:t>
      </w:r>
      <w:r>
        <w:rPr>
          <w:spacing w:val="-3"/>
          <w:vertAlign w:val="baseline"/>
        </w:rPr>
        <w:t> </w:t>
      </w:r>
      <w:r>
        <w:rPr>
          <w:vertAlign w:val="baseline"/>
        </w:rPr>
        <w:t>feitas. Apenas 78</w:t>
      </w:r>
      <w:r>
        <w:rPr>
          <w:spacing w:val="-1"/>
          <w:vertAlign w:val="baseline"/>
        </w:rPr>
        <w:t> </w:t>
      </w:r>
      <w:r>
        <w:rPr>
          <w:vertAlign w:val="baseline"/>
        </w:rPr>
        <w:t>pacientes de</w:t>
      </w:r>
      <w:r>
        <w:rPr>
          <w:spacing w:val="-3"/>
          <w:vertAlign w:val="baseline"/>
        </w:rPr>
        <w:t> </w:t>
      </w:r>
      <w:r>
        <w:rPr>
          <w:vertAlign w:val="baseline"/>
        </w:rPr>
        <w:t>um</w:t>
      </w:r>
      <w:r>
        <w:rPr>
          <w:spacing w:val="-1"/>
          <w:vertAlign w:val="baseline"/>
        </w:rPr>
        <w:t> </w:t>
      </w:r>
      <w:r>
        <w:rPr>
          <w:vertAlign w:val="baseline"/>
        </w:rPr>
        <w:t>total de</w:t>
      </w:r>
      <w:r>
        <w:rPr>
          <w:spacing w:val="-3"/>
          <w:vertAlign w:val="baseline"/>
        </w:rPr>
        <w:t> </w:t>
      </w:r>
      <w:r>
        <w:rPr>
          <w:vertAlign w:val="baseline"/>
        </w:rPr>
        <w:t>111</w:t>
      </w:r>
      <w:r>
        <w:rPr>
          <w:spacing w:val="-1"/>
          <w:vertAlign w:val="baseline"/>
        </w:rPr>
        <w:t> </w:t>
      </w:r>
      <w:r>
        <w:rPr>
          <w:vertAlign w:val="baseline"/>
        </w:rPr>
        <w:t>foram</w:t>
      </w:r>
      <w:r>
        <w:rPr>
          <w:spacing w:val="-1"/>
          <w:vertAlign w:val="baseline"/>
        </w:rPr>
        <w:t> </w:t>
      </w:r>
      <w:r>
        <w:rPr>
          <w:vertAlign w:val="baseline"/>
        </w:rPr>
        <w:t>seguidos por 12</w:t>
      </w:r>
      <w:r>
        <w:rPr>
          <w:spacing w:val="-1"/>
          <w:vertAlign w:val="baseline"/>
        </w:rPr>
        <w:t> </w:t>
      </w:r>
      <w:r>
        <w:rPr>
          <w:vertAlign w:val="baseline"/>
        </w:rPr>
        <w:t>meses, ou</w:t>
      </w:r>
      <w:r>
        <w:rPr>
          <w:spacing w:val="-1"/>
          <w:vertAlign w:val="baseline"/>
        </w:rPr>
        <w:t> </w:t>
      </w:r>
      <w:r>
        <w:rPr>
          <w:vertAlign w:val="baseline"/>
        </w:rPr>
        <w:t>seja, 30% deles se perderam durante o estudo. Quando as lâminas foram revisadas por um painel de patologistas, houve 39% de desacordo quanto ao diagnóstico de miocardite. Por outro lado, se tivessem utilizado um critério de melhora na fração</w:t>
      </w:r>
      <w:r>
        <w:rPr>
          <w:spacing w:val="-5"/>
          <w:vertAlign w:val="baseline"/>
        </w:rPr>
        <w:t> </w:t>
      </w:r>
      <w:r>
        <w:rPr>
          <w:vertAlign w:val="baseline"/>
        </w:rPr>
        <w:t>de</w:t>
      </w:r>
      <w:r>
        <w:rPr>
          <w:spacing w:val="-8"/>
          <w:vertAlign w:val="baseline"/>
        </w:rPr>
        <w:t> </w:t>
      </w:r>
      <w:r>
        <w:rPr>
          <w:vertAlign w:val="baseline"/>
        </w:rPr>
        <w:t>ejeção</w:t>
      </w:r>
      <w:r>
        <w:rPr>
          <w:spacing w:val="-5"/>
          <w:vertAlign w:val="baseline"/>
        </w:rPr>
        <w:t> </w:t>
      </w:r>
      <w:r>
        <w:rPr>
          <w:vertAlign w:val="baseline"/>
        </w:rPr>
        <w:t>de</w:t>
      </w:r>
      <w:r>
        <w:rPr>
          <w:spacing w:val="-8"/>
          <w:vertAlign w:val="baseline"/>
        </w:rPr>
        <w:t> </w:t>
      </w:r>
      <w:r>
        <w:rPr>
          <w:vertAlign w:val="baseline"/>
        </w:rPr>
        <w:t>5%, em</w:t>
      </w:r>
      <w:r>
        <w:rPr>
          <w:spacing w:val="-5"/>
          <w:vertAlign w:val="baseline"/>
        </w:rPr>
        <w:t> </w:t>
      </w:r>
      <w:r>
        <w:rPr>
          <w:vertAlign w:val="baseline"/>
        </w:rPr>
        <w:t>vez</w:t>
      </w:r>
      <w:r>
        <w:rPr>
          <w:spacing w:val="-8"/>
          <w:vertAlign w:val="baseline"/>
        </w:rPr>
        <w:t> </w:t>
      </w:r>
      <w:r>
        <w:rPr>
          <w:vertAlign w:val="baseline"/>
        </w:rPr>
        <w:t>de</w:t>
      </w:r>
      <w:r>
        <w:rPr>
          <w:spacing w:val="-8"/>
          <w:vertAlign w:val="baseline"/>
        </w:rPr>
        <w:t> </w:t>
      </w:r>
      <w:r>
        <w:rPr>
          <w:vertAlign w:val="baseline"/>
        </w:rPr>
        <w:t>10%, número</w:t>
      </w:r>
      <w:r>
        <w:rPr>
          <w:spacing w:val="-5"/>
          <w:vertAlign w:val="baseline"/>
        </w:rPr>
        <w:t> </w:t>
      </w:r>
      <w:r>
        <w:rPr>
          <w:vertAlign w:val="baseline"/>
        </w:rPr>
        <w:t>de</w:t>
      </w:r>
      <w:r>
        <w:rPr>
          <w:spacing w:val="-8"/>
          <w:vertAlign w:val="baseline"/>
        </w:rPr>
        <w:t> </w:t>
      </w:r>
      <w:r>
        <w:rPr>
          <w:vertAlign w:val="baseline"/>
        </w:rPr>
        <w:t>casos de</w:t>
      </w:r>
      <w:r>
        <w:rPr>
          <w:spacing w:val="-8"/>
          <w:vertAlign w:val="baseline"/>
        </w:rPr>
        <w:t> </w:t>
      </w:r>
      <w:r>
        <w:rPr>
          <w:vertAlign w:val="baseline"/>
        </w:rPr>
        <w:t>pacientes tratados com</w:t>
      </w:r>
      <w:r>
        <w:rPr>
          <w:spacing w:val="-5"/>
          <w:vertAlign w:val="baseline"/>
        </w:rPr>
        <w:t> </w:t>
      </w:r>
      <w:r>
        <w:rPr>
          <w:vertAlign w:val="baseline"/>
        </w:rPr>
        <w:t>imunossupressão</w:t>
      </w:r>
      <w:r>
        <w:rPr>
          <w:spacing w:val="-5"/>
          <w:vertAlign w:val="baseline"/>
        </w:rPr>
        <w:t> </w:t>
      </w:r>
      <w:r>
        <w:rPr>
          <w:vertAlign w:val="baseline"/>
        </w:rPr>
        <w:t>seria</w:t>
      </w:r>
      <w:r>
        <w:rPr>
          <w:spacing w:val="-8"/>
          <w:vertAlign w:val="baseline"/>
        </w:rPr>
        <w:t> </w:t>
      </w:r>
      <w:r>
        <w:rPr>
          <w:vertAlign w:val="baseline"/>
        </w:rPr>
        <w:t>maior.</w:t>
      </w:r>
      <w:r>
        <w:rPr>
          <w:vertAlign w:val="superscript"/>
        </w:rPr>
        <w:t>27</w:t>
      </w:r>
    </w:p>
    <w:p>
      <w:pPr>
        <w:pStyle w:val="BodyText"/>
        <w:spacing w:line="276" w:lineRule="auto" w:before="55"/>
        <w:ind w:right="491"/>
      </w:pPr>
      <w:r>
        <w:rPr/>
        <w:t>Posteriormente, estudos europeus tentaram ressaltar a importância do tratamento imunossupressor na evolução clínica de pacientes com miocardite.</w:t>
      </w:r>
    </w:p>
    <w:p>
      <w:pPr>
        <w:pStyle w:val="BodyText"/>
        <w:spacing w:line="278" w:lineRule="auto" w:before="48"/>
        <w:ind w:right="490"/>
      </w:pPr>
      <w:r>
        <w:rPr/>
        <w:t>Wojnicz </w:t>
      </w:r>
      <w:r>
        <w:rPr>
          <w:i/>
        </w:rPr>
        <w:t>et al.</w:t>
      </w:r>
      <w:r>
        <w:rPr/>
        <w:t>, baseando-se no diagnóstico imuno-histológico da inflamação (</w:t>
      </w:r>
      <w:r>
        <w:rPr>
          <w:i/>
        </w:rPr>
        <w:t>upregulation </w:t>
      </w:r>
      <w:r>
        <w:rPr/>
        <w:t>do antígeno leucocitário humano [HLA, do inglês, </w:t>
      </w:r>
      <w:r>
        <w:rPr>
          <w:i/>
        </w:rPr>
        <w:t>human leukocyte antigen</w:t>
      </w:r>
      <w:r>
        <w:rPr/>
        <w:t>]), em vez de diagnóstico clínico ou histológico, randomizaram 84 pacientes para tratamento imunossupressor (azatioprina e prednisona) contra placebo durante 3 meses.</w:t>
      </w:r>
      <w:r>
        <w:rPr>
          <w:vertAlign w:val="superscript"/>
        </w:rPr>
        <w:t>25</w:t>
      </w:r>
      <w:r>
        <w:rPr>
          <w:vertAlign w:val="baseline"/>
        </w:rPr>
        <w:t> Os desfechos primários foram morte, transplante cardíaco ou readmissão hospitalar; e os secundários, a melhora</w:t>
      </w:r>
      <w:r>
        <w:rPr>
          <w:spacing w:val="-4"/>
          <w:vertAlign w:val="baseline"/>
        </w:rPr>
        <w:t> </w:t>
      </w:r>
      <w:r>
        <w:rPr>
          <w:vertAlign w:val="baseline"/>
        </w:rPr>
        <w:t>da</w:t>
      </w:r>
      <w:r>
        <w:rPr>
          <w:spacing w:val="-4"/>
          <w:vertAlign w:val="baseline"/>
        </w:rPr>
        <w:t> </w:t>
      </w:r>
      <w:r>
        <w:rPr>
          <w:vertAlign w:val="baseline"/>
        </w:rPr>
        <w:t>fração</w:t>
      </w:r>
      <w:r>
        <w:rPr>
          <w:spacing w:val="-1"/>
          <w:vertAlign w:val="baseline"/>
        </w:rPr>
        <w:t> </w:t>
      </w:r>
      <w:r>
        <w:rPr>
          <w:vertAlign w:val="baseline"/>
        </w:rPr>
        <w:t>de</w:t>
      </w:r>
      <w:r>
        <w:rPr>
          <w:spacing w:val="-4"/>
          <w:vertAlign w:val="baseline"/>
        </w:rPr>
        <w:t> </w:t>
      </w:r>
      <w:r>
        <w:rPr>
          <w:vertAlign w:val="baseline"/>
        </w:rPr>
        <w:t>ejeção</w:t>
      </w:r>
      <w:r>
        <w:rPr>
          <w:spacing w:val="-1"/>
          <w:vertAlign w:val="baseline"/>
        </w:rPr>
        <w:t> </w:t>
      </w:r>
      <w:r>
        <w:rPr>
          <w:vertAlign w:val="baseline"/>
        </w:rPr>
        <w:t>e</w:t>
      </w:r>
      <w:r>
        <w:rPr>
          <w:spacing w:val="-4"/>
          <w:vertAlign w:val="baseline"/>
        </w:rPr>
        <w:t> </w:t>
      </w:r>
      <w:r>
        <w:rPr>
          <w:vertAlign w:val="baseline"/>
        </w:rPr>
        <w:t>dos diâmetros e</w:t>
      </w:r>
      <w:r>
        <w:rPr>
          <w:spacing w:val="-4"/>
          <w:vertAlign w:val="baseline"/>
        </w:rPr>
        <w:t> </w:t>
      </w:r>
      <w:r>
        <w:rPr>
          <w:vertAlign w:val="baseline"/>
        </w:rPr>
        <w:t>volumes ventriculares. Como</w:t>
      </w:r>
      <w:r>
        <w:rPr>
          <w:spacing w:val="-1"/>
          <w:vertAlign w:val="baseline"/>
        </w:rPr>
        <w:t> </w:t>
      </w:r>
      <w:r>
        <w:rPr>
          <w:vertAlign w:val="baseline"/>
        </w:rPr>
        <w:t>resultado, não</w:t>
      </w:r>
      <w:r>
        <w:rPr>
          <w:spacing w:val="-1"/>
          <w:vertAlign w:val="baseline"/>
        </w:rPr>
        <w:t> </w:t>
      </w:r>
      <w:r>
        <w:rPr>
          <w:vertAlign w:val="baseline"/>
        </w:rPr>
        <w:t>se</w:t>
      </w:r>
      <w:r>
        <w:rPr>
          <w:spacing w:val="-4"/>
          <w:vertAlign w:val="baseline"/>
        </w:rPr>
        <w:t> </w:t>
      </w:r>
      <w:r>
        <w:rPr>
          <w:vertAlign w:val="baseline"/>
        </w:rPr>
        <w:t>observou</w:t>
      </w:r>
      <w:r>
        <w:rPr>
          <w:spacing w:val="-1"/>
          <w:vertAlign w:val="baseline"/>
        </w:rPr>
        <w:t> </w:t>
      </w:r>
      <w:r>
        <w:rPr>
          <w:vertAlign w:val="baseline"/>
        </w:rPr>
        <w:t>melhora</w:t>
      </w:r>
      <w:r>
        <w:rPr>
          <w:spacing w:val="-4"/>
          <w:vertAlign w:val="baseline"/>
        </w:rPr>
        <w:t> </w:t>
      </w:r>
      <w:r>
        <w:rPr>
          <w:vertAlign w:val="baseline"/>
        </w:rPr>
        <w:t>na sobrevida</w:t>
      </w:r>
      <w:r>
        <w:rPr>
          <w:spacing w:val="-1"/>
          <w:vertAlign w:val="baseline"/>
        </w:rPr>
        <w:t> </w:t>
      </w:r>
      <w:r>
        <w:rPr>
          <w:vertAlign w:val="baseline"/>
        </w:rPr>
        <w:t>com tratamento imunossupressor, quando comparada</w:t>
      </w:r>
      <w:r>
        <w:rPr>
          <w:spacing w:val="-1"/>
          <w:vertAlign w:val="baseline"/>
        </w:rPr>
        <w:t> </w:t>
      </w:r>
      <w:r>
        <w:rPr>
          <w:vertAlign w:val="baseline"/>
        </w:rPr>
        <w:t>à</w:t>
      </w:r>
      <w:r>
        <w:rPr>
          <w:spacing w:val="-1"/>
          <w:vertAlign w:val="baseline"/>
        </w:rPr>
        <w:t> </w:t>
      </w:r>
      <w:r>
        <w:rPr>
          <w:vertAlign w:val="baseline"/>
        </w:rPr>
        <w:t>da</w:t>
      </w:r>
      <w:r>
        <w:rPr>
          <w:spacing w:val="-1"/>
          <w:vertAlign w:val="baseline"/>
        </w:rPr>
        <w:t> </w:t>
      </w:r>
      <w:r>
        <w:rPr>
          <w:vertAlign w:val="baseline"/>
        </w:rPr>
        <w:t>terapia</w:t>
      </w:r>
      <w:r>
        <w:rPr>
          <w:spacing w:val="-1"/>
          <w:vertAlign w:val="baseline"/>
        </w:rPr>
        <w:t> </w:t>
      </w:r>
      <w:r>
        <w:rPr>
          <w:vertAlign w:val="baseline"/>
        </w:rPr>
        <w:t>convencional. Entretanto, com relação ao</w:t>
      </w:r>
      <w:r>
        <w:rPr>
          <w:spacing w:val="-1"/>
          <w:vertAlign w:val="baseline"/>
        </w:rPr>
        <w:t> </w:t>
      </w:r>
      <w:r>
        <w:rPr>
          <w:vertAlign w:val="baseline"/>
        </w:rPr>
        <w:t>objetivo</w:t>
      </w:r>
      <w:r>
        <w:rPr>
          <w:spacing w:val="-1"/>
          <w:vertAlign w:val="baseline"/>
        </w:rPr>
        <w:t> </w:t>
      </w:r>
      <w:r>
        <w:rPr>
          <w:vertAlign w:val="baseline"/>
        </w:rPr>
        <w:t>secundário, 71,4% dos pacientes do</w:t>
      </w:r>
      <w:r>
        <w:rPr>
          <w:spacing w:val="-1"/>
          <w:vertAlign w:val="baseline"/>
        </w:rPr>
        <w:t> </w:t>
      </w:r>
      <w:r>
        <w:rPr>
          <w:vertAlign w:val="baseline"/>
        </w:rPr>
        <w:t>grupo</w:t>
      </w:r>
      <w:r>
        <w:rPr>
          <w:spacing w:val="-1"/>
          <w:vertAlign w:val="baseline"/>
        </w:rPr>
        <w:t> </w:t>
      </w:r>
      <w:r>
        <w:rPr>
          <w:vertAlign w:val="baseline"/>
        </w:rPr>
        <w:t>imunossupressor e</w:t>
      </w:r>
      <w:r>
        <w:rPr>
          <w:spacing w:val="-4"/>
          <w:vertAlign w:val="baseline"/>
        </w:rPr>
        <w:t> </w:t>
      </w:r>
      <w:r>
        <w:rPr>
          <w:vertAlign w:val="baseline"/>
        </w:rPr>
        <w:t>30,8% do</w:t>
      </w:r>
      <w:r>
        <w:rPr>
          <w:spacing w:val="-1"/>
          <w:vertAlign w:val="baseline"/>
        </w:rPr>
        <w:t> </w:t>
      </w:r>
      <w:r>
        <w:rPr>
          <w:vertAlign w:val="baseline"/>
        </w:rPr>
        <w:t>placebo</w:t>
      </w:r>
      <w:r>
        <w:rPr>
          <w:spacing w:val="-1"/>
          <w:vertAlign w:val="baseline"/>
        </w:rPr>
        <w:t> </w:t>
      </w:r>
      <w:r>
        <w:rPr>
          <w:vertAlign w:val="baseline"/>
        </w:rPr>
        <w:t>tiveram</w:t>
      </w:r>
      <w:r>
        <w:rPr>
          <w:spacing w:val="-1"/>
          <w:vertAlign w:val="baseline"/>
        </w:rPr>
        <w:t> </w:t>
      </w:r>
      <w:r>
        <w:rPr>
          <w:vertAlign w:val="baseline"/>
        </w:rPr>
        <w:t>melhora. Vale ressaltar que apenas 8% desses pacientes tinham, à biopsia endomiocárdica, diagnóstico de miocardite pelos critérios de Dallas. Estes autores recomendam o tratamento imunossupressor com base em um diagnóstico imuno-histológico, e não somente em um diagnóstico histopatológico ou clínico.</w:t>
      </w:r>
    </w:p>
    <w:p>
      <w:pPr>
        <w:pStyle w:val="BodyText"/>
        <w:spacing w:line="280" w:lineRule="auto" w:before="55"/>
        <w:ind w:right="488"/>
      </w:pPr>
      <w:r>
        <w:rPr/>
        <w:t>Frustaci</w:t>
      </w:r>
      <w:r>
        <w:rPr>
          <w:spacing w:val="-7"/>
        </w:rPr>
        <w:t> </w:t>
      </w:r>
      <w:r>
        <w:rPr>
          <w:i/>
        </w:rPr>
        <w:t>et</w:t>
      </w:r>
      <w:r>
        <w:rPr>
          <w:i/>
          <w:spacing w:val="-7"/>
        </w:rPr>
        <w:t> </w:t>
      </w:r>
      <w:r>
        <w:rPr>
          <w:i/>
        </w:rPr>
        <w:t>al. </w:t>
      </w:r>
      <w:r>
        <w:rPr/>
        <w:t>avaliaram</w:t>
      </w:r>
      <w:r>
        <w:rPr>
          <w:spacing w:val="-5"/>
        </w:rPr>
        <w:t> </w:t>
      </w:r>
      <w:r>
        <w:rPr/>
        <w:t>retrospectivamente</w:t>
      </w:r>
      <w:r>
        <w:rPr>
          <w:spacing w:val="-7"/>
        </w:rPr>
        <w:t> </w:t>
      </w:r>
      <w:r>
        <w:rPr/>
        <w:t>os perfis virológico</w:t>
      </w:r>
      <w:r>
        <w:rPr>
          <w:spacing w:val="-4"/>
        </w:rPr>
        <w:t> </w:t>
      </w:r>
      <w:r>
        <w:rPr/>
        <w:t>e</w:t>
      </w:r>
      <w:r>
        <w:rPr>
          <w:spacing w:val="-7"/>
        </w:rPr>
        <w:t> </w:t>
      </w:r>
      <w:r>
        <w:rPr/>
        <w:t>imunológico</w:t>
      </w:r>
      <w:r>
        <w:rPr>
          <w:spacing w:val="-4"/>
        </w:rPr>
        <w:t> </w:t>
      </w:r>
      <w:r>
        <w:rPr/>
        <w:t>em</w:t>
      </w:r>
      <w:r>
        <w:rPr>
          <w:spacing w:val="-5"/>
        </w:rPr>
        <w:t> </w:t>
      </w:r>
      <w:r>
        <w:rPr/>
        <w:t>41</w:t>
      </w:r>
      <w:r>
        <w:rPr>
          <w:spacing w:val="-4"/>
        </w:rPr>
        <w:t> </w:t>
      </w:r>
      <w:r>
        <w:rPr/>
        <w:t>pacientes com</w:t>
      </w:r>
      <w:r>
        <w:rPr>
          <w:spacing w:val="-5"/>
        </w:rPr>
        <w:t> </w:t>
      </w:r>
      <w:r>
        <w:rPr/>
        <w:t>miocardite e que haviam recebido tratamento imunossupressor.</w:t>
      </w:r>
      <w:r>
        <w:rPr>
          <w:vertAlign w:val="superscript"/>
        </w:rPr>
        <w:t>28</w:t>
      </w:r>
      <w:r>
        <w:rPr>
          <w:vertAlign w:val="baseline"/>
        </w:rPr>
        <w:t> Esses pacientes foram divididos em responsivos e não responsivos, de</w:t>
      </w:r>
      <w:r>
        <w:rPr>
          <w:spacing w:val="-6"/>
          <w:vertAlign w:val="baseline"/>
        </w:rPr>
        <w:t> </w:t>
      </w:r>
      <w:r>
        <w:rPr>
          <w:vertAlign w:val="baseline"/>
        </w:rPr>
        <w:t>acordo</w:t>
      </w:r>
      <w:r>
        <w:rPr>
          <w:spacing w:val="-2"/>
          <w:vertAlign w:val="baseline"/>
        </w:rPr>
        <w:t> </w:t>
      </w:r>
      <w:r>
        <w:rPr>
          <w:vertAlign w:val="baseline"/>
        </w:rPr>
        <w:t>com</w:t>
      </w:r>
      <w:r>
        <w:rPr>
          <w:spacing w:val="-2"/>
          <w:vertAlign w:val="baseline"/>
        </w:rPr>
        <w:t> </w:t>
      </w:r>
      <w:r>
        <w:rPr>
          <w:vertAlign w:val="baseline"/>
        </w:rPr>
        <w:t>a</w:t>
      </w:r>
      <w:r>
        <w:rPr>
          <w:spacing w:val="-6"/>
          <w:vertAlign w:val="baseline"/>
        </w:rPr>
        <w:t> </w:t>
      </w:r>
      <w:r>
        <w:rPr>
          <w:vertAlign w:val="baseline"/>
        </w:rPr>
        <w:t>melhora</w:t>
      </w:r>
      <w:r>
        <w:rPr>
          <w:spacing w:val="-6"/>
          <w:vertAlign w:val="baseline"/>
        </w:rPr>
        <w:t> </w:t>
      </w:r>
      <w:r>
        <w:rPr>
          <w:vertAlign w:val="baseline"/>
        </w:rPr>
        <w:t>da</w:t>
      </w:r>
      <w:r>
        <w:rPr>
          <w:spacing w:val="-6"/>
          <w:vertAlign w:val="baseline"/>
        </w:rPr>
        <w:t> </w:t>
      </w:r>
      <w:r>
        <w:rPr>
          <w:vertAlign w:val="baseline"/>
        </w:rPr>
        <w:t>classe</w:t>
      </w:r>
      <w:r>
        <w:rPr>
          <w:spacing w:val="-6"/>
          <w:vertAlign w:val="baseline"/>
        </w:rPr>
        <w:t> </w:t>
      </w:r>
      <w:r>
        <w:rPr>
          <w:vertAlign w:val="baseline"/>
        </w:rPr>
        <w:t>funcional e</w:t>
      </w:r>
      <w:r>
        <w:rPr>
          <w:spacing w:val="-6"/>
          <w:vertAlign w:val="baseline"/>
        </w:rPr>
        <w:t> </w:t>
      </w:r>
      <w:r>
        <w:rPr>
          <w:vertAlign w:val="baseline"/>
        </w:rPr>
        <w:t>da</w:t>
      </w:r>
      <w:r>
        <w:rPr>
          <w:spacing w:val="-6"/>
          <w:vertAlign w:val="baseline"/>
        </w:rPr>
        <w:t> </w:t>
      </w:r>
      <w:r>
        <w:rPr>
          <w:vertAlign w:val="baseline"/>
        </w:rPr>
        <w:t>fração</w:t>
      </w:r>
      <w:r>
        <w:rPr>
          <w:spacing w:val="-2"/>
          <w:vertAlign w:val="baseline"/>
        </w:rPr>
        <w:t> </w:t>
      </w:r>
      <w:r>
        <w:rPr>
          <w:vertAlign w:val="baseline"/>
        </w:rPr>
        <w:t>de</w:t>
      </w:r>
      <w:r>
        <w:rPr>
          <w:spacing w:val="-6"/>
          <w:vertAlign w:val="baseline"/>
        </w:rPr>
        <w:t> </w:t>
      </w:r>
      <w:r>
        <w:rPr>
          <w:vertAlign w:val="baseline"/>
        </w:rPr>
        <w:t>ejeção. Cerca</w:t>
      </w:r>
      <w:r>
        <w:rPr>
          <w:spacing w:val="-6"/>
          <w:vertAlign w:val="baseline"/>
        </w:rPr>
        <w:t> </w:t>
      </w:r>
      <w:r>
        <w:rPr>
          <w:vertAlign w:val="baseline"/>
        </w:rPr>
        <w:t>de</w:t>
      </w:r>
      <w:r>
        <w:rPr>
          <w:spacing w:val="-6"/>
          <w:vertAlign w:val="baseline"/>
        </w:rPr>
        <w:t> </w:t>
      </w:r>
      <w:r>
        <w:rPr>
          <w:vertAlign w:val="baseline"/>
        </w:rPr>
        <w:t>85% dos não</w:t>
      </w:r>
      <w:r>
        <w:rPr>
          <w:spacing w:val="-2"/>
          <w:vertAlign w:val="baseline"/>
        </w:rPr>
        <w:t> </w:t>
      </w:r>
      <w:r>
        <w:rPr>
          <w:vertAlign w:val="baseline"/>
        </w:rPr>
        <w:t>responsivos apresentava genoma viral no miocárdio e nenhum autoanticorpo cardíaco. Em contrapartida, os pacientes responsivos apresentavam 14% de genoma viral no miocárdio (todos os vírus da hepatite C) e 90% de autoanticorpos cardíacos. Esse estudo concluiu que os pacientes que se beneficiaram do tratamento imunossupressor eram aqueles nos quais não se detectava genoma viral no miocárdio e que tinham autoanticorpos cardíacos detectáveis no sangue. Novas evidências apontam para uma intervenção farmacológica na presença de infecção viral persistente.</w:t>
      </w:r>
      <w:r>
        <w:rPr>
          <w:vertAlign w:val="superscript"/>
        </w:rPr>
        <w:t>21</w:t>
      </w:r>
    </w:p>
    <w:p>
      <w:pPr>
        <w:pStyle w:val="BodyText"/>
        <w:spacing w:line="280" w:lineRule="auto" w:before="34"/>
        <w:ind w:right="491"/>
      </w:pPr>
      <w:r>
        <w:rPr/>
        <w:t>Outras formas de tratamento foram utilizadas, destacando-se as imunoglobulinas intravenosas que têm ação antiviral e</w:t>
      </w:r>
      <w:r>
        <w:rPr>
          <w:spacing w:val="-5"/>
        </w:rPr>
        <w:t> </w:t>
      </w:r>
      <w:r>
        <w:rPr/>
        <w:t>modulam</w:t>
      </w:r>
      <w:r>
        <w:rPr>
          <w:spacing w:val="-2"/>
        </w:rPr>
        <w:t> </w:t>
      </w:r>
      <w:r>
        <w:rPr/>
        <w:t>a</w:t>
      </w:r>
      <w:r>
        <w:rPr>
          <w:spacing w:val="-5"/>
        </w:rPr>
        <w:t> </w:t>
      </w:r>
      <w:r>
        <w:rPr/>
        <w:t>resposta</w:t>
      </w:r>
      <w:r>
        <w:rPr>
          <w:spacing w:val="-5"/>
        </w:rPr>
        <w:t> </w:t>
      </w:r>
      <w:r>
        <w:rPr/>
        <w:t>imune. Entretanto, o</w:t>
      </w:r>
      <w:r>
        <w:rPr>
          <w:spacing w:val="-2"/>
        </w:rPr>
        <w:t> </w:t>
      </w:r>
      <w:r>
        <w:rPr/>
        <w:t>estudo</w:t>
      </w:r>
      <w:r>
        <w:rPr>
          <w:spacing w:val="-2"/>
        </w:rPr>
        <w:t> </w:t>
      </w:r>
      <w:r>
        <w:rPr/>
        <w:t>Intervention</w:t>
      </w:r>
      <w:r>
        <w:rPr>
          <w:spacing w:val="-2"/>
        </w:rPr>
        <w:t> </w:t>
      </w:r>
      <w:r>
        <w:rPr/>
        <w:t>in</w:t>
      </w:r>
      <w:r>
        <w:rPr>
          <w:spacing w:val="-2"/>
        </w:rPr>
        <w:t> </w:t>
      </w:r>
      <w:r>
        <w:rPr/>
        <w:t>Myocarditis and</w:t>
      </w:r>
      <w:r>
        <w:rPr>
          <w:spacing w:val="-2"/>
        </w:rPr>
        <w:t> </w:t>
      </w:r>
      <w:r>
        <w:rPr/>
        <w:t>Acute</w:t>
      </w:r>
      <w:r>
        <w:rPr>
          <w:spacing w:val="-5"/>
        </w:rPr>
        <w:t> </w:t>
      </w:r>
      <w:r>
        <w:rPr/>
        <w:t>Cardiomyopathy (IMAC) não</w:t>
      </w:r>
      <w:r>
        <w:rPr>
          <w:spacing w:val="-2"/>
        </w:rPr>
        <w:t> </w:t>
      </w:r>
      <w:r>
        <w:rPr/>
        <w:t>demonstrou</w:t>
      </w:r>
      <w:r>
        <w:rPr>
          <w:spacing w:val="-2"/>
        </w:rPr>
        <w:t> </w:t>
      </w:r>
      <w:r>
        <w:rPr/>
        <w:t>benefício</w:t>
      </w:r>
      <w:r>
        <w:rPr>
          <w:spacing w:val="-2"/>
        </w:rPr>
        <w:t> </w:t>
      </w:r>
      <w:r>
        <w:rPr/>
        <w:t>das imunoglobulinas com</w:t>
      </w:r>
      <w:r>
        <w:rPr>
          <w:spacing w:val="-2"/>
        </w:rPr>
        <w:t> </w:t>
      </w:r>
      <w:r>
        <w:rPr/>
        <w:t>relação</w:t>
      </w:r>
      <w:r>
        <w:rPr>
          <w:spacing w:val="-2"/>
        </w:rPr>
        <w:t> </w:t>
      </w:r>
      <w:r>
        <w:rPr/>
        <w:t>ao</w:t>
      </w:r>
      <w:r>
        <w:rPr>
          <w:spacing w:val="-2"/>
        </w:rPr>
        <w:t> </w:t>
      </w:r>
      <w:r>
        <w:rPr/>
        <w:t>grupo</w:t>
      </w:r>
      <w:r>
        <w:rPr>
          <w:spacing w:val="-2"/>
        </w:rPr>
        <w:t> </w:t>
      </w:r>
      <w:r>
        <w:rPr/>
        <w:t>placebo, apesar de</w:t>
      </w:r>
      <w:r>
        <w:rPr>
          <w:spacing w:val="-4"/>
        </w:rPr>
        <w:t> </w:t>
      </w:r>
      <w:r>
        <w:rPr/>
        <w:t>ambos os grupos apresentarem melhora da fração de ejeção.</w:t>
      </w:r>
      <w:r>
        <w:rPr>
          <w:vertAlign w:val="superscript"/>
        </w:rPr>
        <w:t>29</w:t>
      </w:r>
    </w:p>
    <w:p>
      <w:pPr>
        <w:pStyle w:val="BodyText"/>
        <w:spacing w:line="280" w:lineRule="auto" w:before="60"/>
        <w:ind w:right="497"/>
      </w:pPr>
      <w:r>
        <w:rPr/>
        <w:t>A interferona-a e a interferona-b têm sido descritos com fatores de melhora na terapêutica clínica em pacientes com</w:t>
      </w:r>
      <w:r>
        <w:rPr>
          <w:spacing w:val="-8"/>
        </w:rPr>
        <w:t> </w:t>
      </w:r>
      <w:r>
        <w:rPr/>
        <w:t>cardiomiopatia</w:t>
      </w:r>
      <w:r>
        <w:rPr>
          <w:spacing w:val="-11"/>
        </w:rPr>
        <w:t> </w:t>
      </w:r>
      <w:r>
        <w:rPr/>
        <w:t>dilatada</w:t>
      </w:r>
      <w:r>
        <w:rPr>
          <w:spacing w:val="-11"/>
        </w:rPr>
        <w:t> </w:t>
      </w:r>
      <w:r>
        <w:rPr/>
        <w:t>e</w:t>
      </w:r>
      <w:r>
        <w:rPr>
          <w:spacing w:val="-11"/>
        </w:rPr>
        <w:t> </w:t>
      </w:r>
      <w:r>
        <w:rPr/>
        <w:t>miocardite.</w:t>
      </w:r>
      <w:r>
        <w:rPr>
          <w:spacing w:val="-1"/>
        </w:rPr>
        <w:t> </w:t>
      </w:r>
      <w:r>
        <w:rPr/>
        <w:t>Kuhl</w:t>
      </w:r>
      <w:r>
        <w:rPr>
          <w:spacing w:val="-6"/>
        </w:rPr>
        <w:t> </w:t>
      </w:r>
      <w:r>
        <w:rPr>
          <w:i/>
        </w:rPr>
        <w:t>et</w:t>
      </w:r>
      <w:r>
        <w:rPr>
          <w:i/>
          <w:spacing w:val="-6"/>
        </w:rPr>
        <w:t> </w:t>
      </w:r>
      <w:r>
        <w:rPr>
          <w:i/>
        </w:rPr>
        <w:t>al.</w:t>
      </w:r>
      <w:r>
        <w:rPr>
          <w:i/>
          <w:spacing w:val="-1"/>
        </w:rPr>
        <w:t> </w:t>
      </w:r>
      <w:r>
        <w:rPr/>
        <w:t>utilizaram</w:t>
      </w:r>
      <w:r>
        <w:rPr>
          <w:spacing w:val="-8"/>
        </w:rPr>
        <w:t> </w:t>
      </w:r>
      <w:r>
        <w:rPr/>
        <w:t>interferona-b</w:t>
      </w:r>
      <w:r>
        <w:rPr>
          <w:spacing w:val="-8"/>
        </w:rPr>
        <w:t> </w:t>
      </w:r>
      <w:r>
        <w:rPr/>
        <w:t>em</w:t>
      </w:r>
      <w:r>
        <w:rPr>
          <w:spacing w:val="-8"/>
        </w:rPr>
        <w:t> </w:t>
      </w:r>
      <w:r>
        <w:rPr/>
        <w:t>um</w:t>
      </w:r>
      <w:r>
        <w:rPr>
          <w:spacing w:val="-8"/>
        </w:rPr>
        <w:t> </w:t>
      </w:r>
      <w:r>
        <w:rPr/>
        <w:t>estudo</w:t>
      </w:r>
      <w:r>
        <w:rPr>
          <w:spacing w:val="-8"/>
        </w:rPr>
        <w:t> </w:t>
      </w:r>
      <w:r>
        <w:rPr/>
        <w:t>fase</w:t>
      </w:r>
      <w:r>
        <w:rPr>
          <w:spacing w:val="-11"/>
        </w:rPr>
        <w:t> </w:t>
      </w:r>
      <w:r>
        <w:rPr/>
        <w:t>II,</w:t>
      </w:r>
      <w:r>
        <w:rPr>
          <w:spacing w:val="-1"/>
        </w:rPr>
        <w:t> </w:t>
      </w:r>
      <w:r>
        <w:rPr/>
        <w:t>unicêntrico,</w:t>
      </w:r>
      <w:r>
        <w:rPr>
          <w:spacing w:val="-1"/>
        </w:rPr>
        <w:t> </w:t>
      </w:r>
      <w:r>
        <w:rPr/>
        <w:t>em pacientes com presença de adenovírus e enterovírus detectados por biopsia endomiocárdica.</w:t>
      </w:r>
      <w:r>
        <w:rPr>
          <w:vertAlign w:val="superscript"/>
        </w:rPr>
        <w:t>30</w:t>
      </w:r>
      <w:r>
        <w:rPr>
          <w:vertAlign w:val="baseline"/>
        </w:rPr>
        <w:t> A conclusão desse estudo foi a de que o tratamento com interferona resultou em melhora da fração de ejeção e eliminação do genoma </w:t>
      </w:r>
      <w:r>
        <w:rPr>
          <w:spacing w:val="-2"/>
          <w:vertAlign w:val="baseline"/>
        </w:rPr>
        <w:t>viral.</w:t>
      </w:r>
    </w:p>
    <w:p>
      <w:pPr>
        <w:pStyle w:val="BodyText"/>
        <w:spacing w:before="54"/>
        <w:ind w:left="414" w:firstLine="0"/>
      </w:pPr>
      <w:r>
        <w:rPr/>
        <w:t>O</w:t>
      </w:r>
      <w:r>
        <w:rPr>
          <w:spacing w:val="38"/>
        </w:rPr>
        <w:t> </w:t>
      </w:r>
      <w:r>
        <w:rPr/>
        <w:t>estudo</w:t>
      </w:r>
      <w:r>
        <w:rPr>
          <w:spacing w:val="41"/>
        </w:rPr>
        <w:t> </w:t>
      </w:r>
      <w:r>
        <w:rPr/>
        <w:t>TIMIC</w:t>
      </w:r>
      <w:r>
        <w:rPr>
          <w:spacing w:val="50"/>
        </w:rPr>
        <w:t> </w:t>
      </w:r>
      <w:r>
        <w:rPr/>
        <w:t>avaliou</w:t>
      </w:r>
      <w:r>
        <w:rPr>
          <w:spacing w:val="41"/>
        </w:rPr>
        <w:t> </w:t>
      </w:r>
      <w:r>
        <w:rPr/>
        <w:t>o</w:t>
      </w:r>
      <w:r>
        <w:rPr>
          <w:spacing w:val="42"/>
        </w:rPr>
        <w:t> </w:t>
      </w:r>
      <w:r>
        <w:rPr/>
        <w:t>papel</w:t>
      </w:r>
      <w:r>
        <w:rPr>
          <w:spacing w:val="44"/>
        </w:rPr>
        <w:t> </w:t>
      </w:r>
      <w:r>
        <w:rPr/>
        <w:t>da</w:t>
      </w:r>
      <w:r>
        <w:rPr>
          <w:spacing w:val="38"/>
        </w:rPr>
        <w:t> </w:t>
      </w:r>
      <w:r>
        <w:rPr/>
        <w:t>imunossupressão</w:t>
      </w:r>
      <w:r>
        <w:rPr>
          <w:spacing w:val="42"/>
        </w:rPr>
        <w:t> </w:t>
      </w:r>
      <w:r>
        <w:rPr/>
        <w:t>em</w:t>
      </w:r>
      <w:r>
        <w:rPr>
          <w:spacing w:val="41"/>
        </w:rPr>
        <w:t> </w:t>
      </w:r>
      <w:r>
        <w:rPr/>
        <w:t>pacientes</w:t>
      </w:r>
      <w:r>
        <w:rPr>
          <w:spacing w:val="50"/>
        </w:rPr>
        <w:t> </w:t>
      </w:r>
      <w:r>
        <w:rPr/>
        <w:t>com</w:t>
      </w:r>
      <w:r>
        <w:rPr>
          <w:spacing w:val="41"/>
        </w:rPr>
        <w:t> </w:t>
      </w:r>
      <w:r>
        <w:rPr/>
        <w:t>cardiomiopatia</w:t>
      </w:r>
      <w:r>
        <w:rPr>
          <w:spacing w:val="38"/>
        </w:rPr>
        <w:t> </w:t>
      </w:r>
      <w:r>
        <w:rPr/>
        <w:t>inflamatória</w:t>
      </w:r>
      <w:r>
        <w:rPr>
          <w:spacing w:val="39"/>
        </w:rPr>
        <w:t> </w:t>
      </w:r>
      <w:r>
        <w:rPr>
          <w:spacing w:val="-5"/>
        </w:rPr>
        <w:t>com</w:t>
      </w:r>
    </w:p>
    <w:p>
      <w:pPr>
        <w:pStyle w:val="BodyText"/>
        <w:spacing w:after="0"/>
        <w:sectPr>
          <w:pgSz w:w="11900" w:h="16840"/>
          <w:pgMar w:top="200" w:bottom="0" w:left="566" w:right="141"/>
        </w:sectPr>
      </w:pPr>
    </w:p>
    <w:p>
      <w:pPr>
        <w:pStyle w:val="BodyText"/>
        <w:spacing w:line="278" w:lineRule="auto" w:before="61"/>
        <w:ind w:right="497" w:firstLine="0"/>
      </w:pPr>
      <w:r>
        <w:rPr/>
        <w:t>ausência de genoma viral. A infecção viral foi excluída por testes de biologia molecular, antes de iniciar o tratamento. O desfecho primário do estudo foi melhora da FEVE após 6 meses de tratamento imunossupressor. Cerca de 89% dos pacientes tratados melhoraram de acordo com a classificação da NYHA, mas nenhum no grupo de</w:t>
      </w:r>
      <w:r>
        <w:rPr>
          <w:spacing w:val="-1"/>
        </w:rPr>
        <w:t> </w:t>
      </w:r>
      <w:r>
        <w:rPr/>
        <w:t>placebo. Após o final do estudo, cinco dos 42 pacientes tratados com placebo (12%) foram internados devido a sintomas progressivos de insuficiência cardíaca. Dentro do período de 10 a 72 meses, dois pacientes morreram e dois pacientes receberam transplantes de</w:t>
      </w:r>
      <w:r>
        <w:rPr>
          <w:spacing w:val="-2"/>
        </w:rPr>
        <w:t> </w:t>
      </w:r>
      <w:r>
        <w:rPr/>
        <w:t>coração. Não houve</w:t>
      </w:r>
      <w:r>
        <w:rPr>
          <w:spacing w:val="-2"/>
        </w:rPr>
        <w:t> </w:t>
      </w:r>
      <w:r>
        <w:rPr/>
        <w:t>eventos no grupo imunossupressor.</w:t>
      </w:r>
      <w:r>
        <w:rPr>
          <w:vertAlign w:val="superscript"/>
        </w:rPr>
        <w:t>31</w:t>
      </w:r>
    </w:p>
    <w:p>
      <w:pPr>
        <w:pStyle w:val="BodyText"/>
        <w:spacing w:before="128"/>
        <w:ind w:left="0" w:firstLine="0"/>
        <w:jc w:val="left"/>
      </w:pPr>
    </w:p>
    <w:p>
      <w:pPr>
        <w:pStyle w:val="Heading5"/>
      </w:pPr>
      <w:r>
        <w:rPr>
          <w:color w:val="A26108"/>
        </w:rPr>
        <w:t>Evolução</w:t>
      </w:r>
      <w:r>
        <w:rPr>
          <w:color w:val="A26108"/>
          <w:spacing w:val="28"/>
        </w:rPr>
        <w:t> </w:t>
      </w:r>
      <w:r>
        <w:rPr>
          <w:color w:val="A26108"/>
          <w:spacing w:val="-2"/>
        </w:rPr>
        <w:t>natural</w:t>
      </w:r>
    </w:p>
    <w:p>
      <w:pPr>
        <w:pStyle w:val="BodyText"/>
        <w:spacing w:before="154"/>
        <w:ind w:left="414" w:firstLine="0"/>
      </w:pPr>
      <w:r>
        <w:rPr/>
        <w:t>São</w:t>
      </w:r>
      <w:r>
        <w:rPr>
          <w:spacing w:val="-16"/>
        </w:rPr>
        <w:t> </w:t>
      </w:r>
      <w:r>
        <w:rPr/>
        <w:t>considerados</w:t>
      </w:r>
      <w:r>
        <w:rPr>
          <w:spacing w:val="-7"/>
        </w:rPr>
        <w:t> </w:t>
      </w:r>
      <w:r>
        <w:rPr/>
        <w:t>fatores</w:t>
      </w:r>
      <w:r>
        <w:rPr>
          <w:spacing w:val="-8"/>
        </w:rPr>
        <w:t> </w:t>
      </w:r>
      <w:r>
        <w:rPr/>
        <w:t>prognósticos</w:t>
      </w:r>
      <w:r>
        <w:rPr>
          <w:spacing w:val="-7"/>
        </w:rPr>
        <w:t> </w:t>
      </w:r>
      <w:r>
        <w:rPr/>
        <w:t>em</w:t>
      </w:r>
      <w:r>
        <w:rPr>
          <w:spacing w:val="-14"/>
        </w:rPr>
        <w:t> </w:t>
      </w:r>
      <w:r>
        <w:rPr/>
        <w:t>pacientes</w:t>
      </w:r>
      <w:r>
        <w:rPr>
          <w:spacing w:val="-7"/>
        </w:rPr>
        <w:t> </w:t>
      </w:r>
      <w:r>
        <w:rPr/>
        <w:t>com</w:t>
      </w:r>
      <w:r>
        <w:rPr>
          <w:spacing w:val="-13"/>
        </w:rPr>
        <w:t> </w:t>
      </w:r>
      <w:r>
        <w:rPr>
          <w:spacing w:val="-2"/>
        </w:rPr>
        <w:t>miocardite:</w:t>
      </w:r>
      <w:r>
        <w:rPr>
          <w:spacing w:val="-2"/>
          <w:vertAlign w:val="superscript"/>
        </w:rPr>
        <w:t>8</w:t>
      </w:r>
    </w:p>
    <w:p>
      <w:pPr>
        <w:pStyle w:val="ListParagraph"/>
        <w:numPr>
          <w:ilvl w:val="0"/>
          <w:numId w:val="12"/>
        </w:numPr>
        <w:tabs>
          <w:tab w:pos="397" w:val="left" w:leader="none"/>
        </w:tabs>
        <w:spacing w:line="240" w:lineRule="auto" w:before="200" w:after="0"/>
        <w:ind w:left="397" w:right="0" w:hanging="329"/>
        <w:jc w:val="left"/>
        <w:rPr>
          <w:sz w:val="23"/>
        </w:rPr>
      </w:pPr>
      <w:r>
        <w:rPr>
          <w:sz w:val="23"/>
        </w:rPr>
        <w:t>Parâmetros</w:t>
      </w:r>
      <w:r>
        <w:rPr>
          <w:spacing w:val="1"/>
          <w:sz w:val="23"/>
        </w:rPr>
        <w:t> </w:t>
      </w:r>
      <w:r>
        <w:rPr>
          <w:sz w:val="23"/>
        </w:rPr>
        <w:t>clínicos:</w:t>
      </w:r>
      <w:r>
        <w:rPr>
          <w:spacing w:val="-4"/>
          <w:sz w:val="23"/>
        </w:rPr>
        <w:t> </w:t>
      </w:r>
      <w:r>
        <w:rPr>
          <w:sz w:val="23"/>
        </w:rPr>
        <w:t>classes</w:t>
      </w:r>
      <w:r>
        <w:rPr>
          <w:spacing w:val="1"/>
          <w:sz w:val="23"/>
        </w:rPr>
        <w:t> </w:t>
      </w:r>
      <w:r>
        <w:rPr>
          <w:sz w:val="23"/>
        </w:rPr>
        <w:t>funcionais</w:t>
      </w:r>
      <w:r>
        <w:rPr>
          <w:spacing w:val="1"/>
          <w:sz w:val="23"/>
        </w:rPr>
        <w:t> </w:t>
      </w:r>
      <w:r>
        <w:rPr>
          <w:sz w:val="23"/>
        </w:rPr>
        <w:t>III</w:t>
      </w:r>
      <w:r>
        <w:rPr>
          <w:spacing w:val="-2"/>
          <w:sz w:val="23"/>
        </w:rPr>
        <w:t> </w:t>
      </w:r>
      <w:r>
        <w:rPr>
          <w:sz w:val="23"/>
        </w:rPr>
        <w:t>a</w:t>
      </w:r>
      <w:r>
        <w:rPr>
          <w:spacing w:val="-9"/>
          <w:sz w:val="23"/>
        </w:rPr>
        <w:t> </w:t>
      </w:r>
      <w:r>
        <w:rPr>
          <w:sz w:val="23"/>
        </w:rPr>
        <w:t>IV,</w:t>
      </w:r>
      <w:r>
        <w:rPr>
          <w:spacing w:val="2"/>
          <w:sz w:val="23"/>
        </w:rPr>
        <w:t> </w:t>
      </w:r>
      <w:r>
        <w:rPr>
          <w:spacing w:val="-2"/>
          <w:sz w:val="23"/>
        </w:rPr>
        <w:t>síncope</w:t>
      </w:r>
    </w:p>
    <w:p>
      <w:pPr>
        <w:pStyle w:val="ListParagraph"/>
        <w:numPr>
          <w:ilvl w:val="0"/>
          <w:numId w:val="12"/>
        </w:numPr>
        <w:tabs>
          <w:tab w:pos="397" w:val="left" w:leader="none"/>
        </w:tabs>
        <w:spacing w:line="240" w:lineRule="auto" w:before="56" w:after="0"/>
        <w:ind w:left="397" w:right="0" w:hanging="329"/>
        <w:jc w:val="left"/>
        <w:rPr>
          <w:sz w:val="23"/>
        </w:rPr>
      </w:pPr>
      <w:r>
        <w:rPr>
          <w:sz w:val="23"/>
        </w:rPr>
        <w:t>Eletrocardiográficos:</w:t>
      </w:r>
      <w:r>
        <w:rPr>
          <w:spacing w:val="-17"/>
          <w:sz w:val="23"/>
        </w:rPr>
        <w:t> </w:t>
      </w:r>
      <w:r>
        <w:rPr>
          <w:sz w:val="23"/>
        </w:rPr>
        <w:t>bloqueios</w:t>
      </w:r>
      <w:r>
        <w:rPr>
          <w:spacing w:val="-12"/>
          <w:sz w:val="23"/>
        </w:rPr>
        <w:t> </w:t>
      </w:r>
      <w:r>
        <w:rPr>
          <w:sz w:val="23"/>
        </w:rPr>
        <w:t>de</w:t>
      </w:r>
      <w:r>
        <w:rPr>
          <w:spacing w:val="-14"/>
          <w:sz w:val="23"/>
        </w:rPr>
        <w:t> </w:t>
      </w:r>
      <w:r>
        <w:rPr>
          <w:sz w:val="23"/>
        </w:rPr>
        <w:t>ramo,</w:t>
      </w:r>
      <w:r>
        <w:rPr>
          <w:spacing w:val="-10"/>
          <w:sz w:val="23"/>
        </w:rPr>
        <w:t> </w:t>
      </w:r>
      <w:r>
        <w:rPr>
          <w:sz w:val="23"/>
        </w:rPr>
        <w:t>arritmias</w:t>
      </w:r>
      <w:r>
        <w:rPr>
          <w:spacing w:val="-9"/>
          <w:sz w:val="23"/>
        </w:rPr>
        <w:t> </w:t>
      </w:r>
      <w:r>
        <w:rPr>
          <w:sz w:val="23"/>
        </w:rPr>
        <w:t>ventriculares</w:t>
      </w:r>
      <w:r>
        <w:rPr>
          <w:spacing w:val="-9"/>
          <w:sz w:val="23"/>
        </w:rPr>
        <w:t> </w:t>
      </w:r>
      <w:r>
        <w:rPr>
          <w:spacing w:val="-2"/>
          <w:sz w:val="23"/>
        </w:rPr>
        <w:t>complexas</w:t>
      </w:r>
    </w:p>
    <w:p>
      <w:pPr>
        <w:pStyle w:val="ListParagraph"/>
        <w:numPr>
          <w:ilvl w:val="0"/>
          <w:numId w:val="12"/>
        </w:numPr>
        <w:tabs>
          <w:tab w:pos="397" w:val="left" w:leader="none"/>
        </w:tabs>
        <w:spacing w:line="240" w:lineRule="auto" w:before="72" w:after="0"/>
        <w:ind w:left="397" w:right="0" w:hanging="329"/>
        <w:jc w:val="left"/>
        <w:rPr>
          <w:sz w:val="23"/>
        </w:rPr>
      </w:pPr>
      <w:r>
        <w:rPr>
          <w:sz w:val="23"/>
        </w:rPr>
        <w:t>Ecocardiográficos:</w:t>
      </w:r>
      <w:r>
        <w:rPr>
          <w:spacing w:val="-11"/>
          <w:sz w:val="23"/>
        </w:rPr>
        <w:t> </w:t>
      </w:r>
      <w:r>
        <w:rPr>
          <w:sz w:val="23"/>
        </w:rPr>
        <w:t>fração</w:t>
      </w:r>
      <w:r>
        <w:rPr>
          <w:spacing w:val="-12"/>
          <w:sz w:val="23"/>
        </w:rPr>
        <w:t> </w:t>
      </w:r>
      <w:r>
        <w:rPr>
          <w:sz w:val="23"/>
        </w:rPr>
        <w:t>de</w:t>
      </w:r>
      <w:r>
        <w:rPr>
          <w:spacing w:val="-15"/>
          <w:sz w:val="23"/>
        </w:rPr>
        <w:t> </w:t>
      </w:r>
      <w:r>
        <w:rPr>
          <w:sz w:val="23"/>
        </w:rPr>
        <w:t>ejeção</w:t>
      </w:r>
      <w:r>
        <w:rPr>
          <w:spacing w:val="-12"/>
          <w:sz w:val="23"/>
        </w:rPr>
        <w:t> </w:t>
      </w:r>
      <w:r>
        <w:rPr>
          <w:sz w:val="23"/>
        </w:rPr>
        <w:t>inferior</w:t>
      </w:r>
      <w:r>
        <w:rPr>
          <w:spacing w:val="-8"/>
          <w:sz w:val="23"/>
        </w:rPr>
        <w:t> </w:t>
      </w:r>
      <w:r>
        <w:rPr>
          <w:sz w:val="23"/>
        </w:rPr>
        <w:t>a</w:t>
      </w:r>
      <w:r>
        <w:rPr>
          <w:spacing w:val="-14"/>
          <w:sz w:val="23"/>
        </w:rPr>
        <w:t> </w:t>
      </w:r>
      <w:r>
        <w:rPr>
          <w:spacing w:val="-5"/>
          <w:sz w:val="23"/>
        </w:rPr>
        <w:t>40%</w:t>
      </w:r>
    </w:p>
    <w:p>
      <w:pPr>
        <w:pStyle w:val="ListParagraph"/>
        <w:numPr>
          <w:ilvl w:val="0"/>
          <w:numId w:val="12"/>
        </w:numPr>
        <w:tabs>
          <w:tab w:pos="397" w:val="left" w:leader="none"/>
        </w:tabs>
        <w:spacing w:line="240" w:lineRule="auto" w:before="56" w:after="0"/>
        <w:ind w:left="397" w:right="0" w:hanging="329"/>
        <w:jc w:val="left"/>
        <w:rPr>
          <w:sz w:val="23"/>
        </w:rPr>
      </w:pPr>
      <w:r>
        <w:rPr>
          <w:spacing w:val="-2"/>
          <w:sz w:val="23"/>
        </w:rPr>
        <w:t>Hemodinâmicos: elevações</w:t>
      </w:r>
      <w:r>
        <w:rPr>
          <w:spacing w:val="5"/>
          <w:sz w:val="23"/>
        </w:rPr>
        <w:t> </w:t>
      </w:r>
      <w:r>
        <w:rPr>
          <w:spacing w:val="-2"/>
          <w:sz w:val="23"/>
        </w:rPr>
        <w:t>da</w:t>
      </w:r>
      <w:r>
        <w:rPr>
          <w:spacing w:val="-5"/>
          <w:sz w:val="23"/>
        </w:rPr>
        <w:t> </w:t>
      </w:r>
      <w:r>
        <w:rPr>
          <w:spacing w:val="-2"/>
          <w:sz w:val="23"/>
        </w:rPr>
        <w:t>pressão</w:t>
      </w:r>
      <w:r>
        <w:rPr>
          <w:spacing w:val="-3"/>
          <w:sz w:val="23"/>
        </w:rPr>
        <w:t> </w:t>
      </w:r>
      <w:r>
        <w:rPr>
          <w:spacing w:val="-2"/>
          <w:sz w:val="23"/>
        </w:rPr>
        <w:t>de</w:t>
      </w:r>
      <w:r>
        <w:rPr>
          <w:spacing w:val="-6"/>
          <w:sz w:val="23"/>
        </w:rPr>
        <w:t> </w:t>
      </w:r>
      <w:r>
        <w:rPr>
          <w:spacing w:val="-2"/>
          <w:sz w:val="23"/>
        </w:rPr>
        <w:t>enchimento ventricular,</w:t>
      </w:r>
      <w:r>
        <w:rPr>
          <w:spacing w:val="5"/>
          <w:sz w:val="23"/>
        </w:rPr>
        <w:t> </w:t>
      </w:r>
      <w:r>
        <w:rPr>
          <w:spacing w:val="-2"/>
          <w:sz w:val="23"/>
        </w:rPr>
        <w:t>hipertensão</w:t>
      </w:r>
      <w:r>
        <w:rPr>
          <w:spacing w:val="-3"/>
          <w:sz w:val="23"/>
        </w:rPr>
        <w:t> </w:t>
      </w:r>
      <w:r>
        <w:rPr>
          <w:spacing w:val="-2"/>
          <w:sz w:val="23"/>
        </w:rPr>
        <w:t>arterial</w:t>
      </w:r>
      <w:r>
        <w:rPr>
          <w:spacing w:val="1"/>
          <w:sz w:val="23"/>
        </w:rPr>
        <w:t> </w:t>
      </w:r>
      <w:r>
        <w:rPr>
          <w:spacing w:val="-2"/>
          <w:sz w:val="23"/>
        </w:rPr>
        <w:t>pulmonar.</w:t>
      </w:r>
    </w:p>
    <w:p>
      <w:pPr>
        <w:pStyle w:val="BodyText"/>
        <w:spacing w:before="173"/>
        <w:ind w:left="0" w:firstLine="0"/>
        <w:jc w:val="left"/>
      </w:pPr>
    </w:p>
    <w:p>
      <w:pPr>
        <w:pStyle w:val="Heading5"/>
      </w:pPr>
      <w:r>
        <w:rPr>
          <w:color w:val="A26108"/>
          <w:spacing w:val="-2"/>
        </w:rPr>
        <w:t>Biopsia</w:t>
      </w:r>
    </w:p>
    <w:p>
      <w:pPr>
        <w:pStyle w:val="BodyText"/>
        <w:spacing w:line="276" w:lineRule="auto" w:before="138"/>
        <w:ind w:right="487"/>
      </w:pPr>
      <w:r>
        <w:rPr/>
        <w:t>Pacientes com</w:t>
      </w:r>
      <w:r>
        <w:rPr>
          <w:spacing w:val="-5"/>
        </w:rPr>
        <w:t> </w:t>
      </w:r>
      <w:r>
        <w:rPr/>
        <w:t>miocardite</w:t>
      </w:r>
      <w:r>
        <w:rPr>
          <w:spacing w:val="-7"/>
        </w:rPr>
        <w:t> </w:t>
      </w:r>
      <w:r>
        <w:rPr/>
        <w:t>ativa</w:t>
      </w:r>
      <w:r>
        <w:rPr>
          <w:spacing w:val="-7"/>
        </w:rPr>
        <w:t> </w:t>
      </w:r>
      <w:r>
        <w:rPr/>
        <w:t>têm</w:t>
      </w:r>
      <w:r>
        <w:rPr>
          <w:spacing w:val="-5"/>
        </w:rPr>
        <w:t> </w:t>
      </w:r>
      <w:r>
        <w:rPr/>
        <w:t>pior prognóstico</w:t>
      </w:r>
      <w:r>
        <w:rPr>
          <w:spacing w:val="-5"/>
        </w:rPr>
        <w:t> </w:t>
      </w:r>
      <w:r>
        <w:rPr/>
        <w:t>do</w:t>
      </w:r>
      <w:r>
        <w:rPr>
          <w:spacing w:val="-5"/>
        </w:rPr>
        <w:t> </w:t>
      </w:r>
      <w:r>
        <w:rPr/>
        <w:t>que</w:t>
      </w:r>
      <w:r>
        <w:rPr>
          <w:spacing w:val="-7"/>
        </w:rPr>
        <w:t> </w:t>
      </w:r>
      <w:r>
        <w:rPr/>
        <w:t>aqueles com</w:t>
      </w:r>
      <w:r>
        <w:rPr>
          <w:spacing w:val="-5"/>
        </w:rPr>
        <w:t> </w:t>
      </w:r>
      <w:r>
        <w:rPr/>
        <w:t>miocardite</w:t>
      </w:r>
      <w:r>
        <w:rPr>
          <w:spacing w:val="-6"/>
        </w:rPr>
        <w:t> </w:t>
      </w:r>
      <w:r>
        <w:rPr>
          <w:i/>
        </w:rPr>
        <w:t>borderline</w:t>
      </w:r>
      <w:r>
        <w:rPr/>
        <w:t>. A</w:t>
      </w:r>
      <w:r>
        <w:rPr>
          <w:spacing w:val="-3"/>
        </w:rPr>
        <w:t> </w:t>
      </w:r>
      <w:r>
        <w:rPr/>
        <w:t>resolução da miocardite ativa em biopsias consecutivas também está associada a melhor prognóstico.</w:t>
      </w:r>
    </w:p>
    <w:p>
      <w:pPr>
        <w:pStyle w:val="BodyText"/>
        <w:spacing w:before="257"/>
        <w:ind w:left="0" w:firstLine="0"/>
        <w:jc w:val="left"/>
      </w:pPr>
    </w:p>
    <w:p>
      <w:pPr>
        <w:pStyle w:val="Heading3"/>
      </w:pPr>
      <w:r>
        <w:rPr>
          <w:color w:val="242B67"/>
        </w:rPr>
        <w:t>Cardiomiopatia</w:t>
      </w:r>
      <w:r>
        <w:rPr>
          <w:color w:val="242B67"/>
          <w:spacing w:val="5"/>
        </w:rPr>
        <w:t> </w:t>
      </w:r>
      <w:r>
        <w:rPr>
          <w:color w:val="242B67"/>
          <w:spacing w:val="-2"/>
        </w:rPr>
        <w:t>Restritiva</w:t>
      </w:r>
    </w:p>
    <w:p>
      <w:pPr>
        <w:pStyle w:val="BodyText"/>
        <w:spacing w:before="6"/>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592960">
                <wp:simplePos x="0" y="0"/>
                <wp:positionH relativeFrom="page">
                  <wp:posOffset>401543</wp:posOffset>
                </wp:positionH>
                <wp:positionV relativeFrom="paragraph">
                  <wp:posOffset>41223</wp:posOffset>
                </wp:positionV>
                <wp:extent cx="6753225" cy="1079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4593pt;width:531.731217pt;height:.8008pt;mso-position-horizontal-relative:page;mso-position-vertical-relative:paragraph;z-index:-15723520;mso-wrap-distance-left:0;mso-wrap-distance-right:0" id="docshape8" filled="true" fillcolor="#242b67" stroked="false">
                <v:fill type="solid"/>
                <w10:wrap type="topAndBottom"/>
              </v:rect>
            </w:pict>
          </mc:Fallback>
        </mc:AlternateContent>
      </w:r>
    </w:p>
    <w:p>
      <w:pPr>
        <w:pStyle w:val="BodyText"/>
        <w:spacing w:before="28"/>
        <w:ind w:left="0" w:firstLine="0"/>
        <w:jc w:val="left"/>
        <w:rPr>
          <w:rFonts w:ascii="Microsoft Sans Serif"/>
          <w:sz w:val="38"/>
        </w:rPr>
      </w:pPr>
    </w:p>
    <w:p>
      <w:pPr>
        <w:pStyle w:val="Heading4"/>
        <w:spacing w:before="1"/>
      </w:pPr>
      <w:r>
        <w:rPr>
          <w:color w:val="242B67"/>
        </w:rPr>
        <w:t>Conceito e </w:t>
      </w:r>
      <w:r>
        <w:rPr>
          <w:color w:val="242B67"/>
          <w:spacing w:val="-2"/>
        </w:rPr>
        <w:t>epidemiologia</w:t>
      </w:r>
    </w:p>
    <w:p>
      <w:pPr>
        <w:pStyle w:val="BodyText"/>
        <w:spacing w:line="276" w:lineRule="auto" w:before="147"/>
        <w:ind w:right="500"/>
      </w:pPr>
      <w:r>
        <w:rPr/>
        <w:t>Dentre as cardiomiopatias, a forma restritiva é a mais incomum, não apresentando critérios diagnósticos </w:t>
      </w:r>
      <w:r>
        <w:rPr>
          <w:spacing w:val="-2"/>
        </w:rPr>
        <w:t>uniformes.</w:t>
      </w:r>
    </w:p>
    <w:p>
      <w:pPr>
        <w:pStyle w:val="BodyText"/>
        <w:spacing w:line="280" w:lineRule="auto" w:before="49"/>
        <w:ind w:right="491"/>
      </w:pPr>
      <w:r>
        <w:rPr/>
        <w:t>A cardiomiopatia restritiva caracteriza-se por redução ao enchimento diastólico ventricular, determinando um padrão</w:t>
      </w:r>
      <w:r>
        <w:rPr>
          <w:spacing w:val="-1"/>
        </w:rPr>
        <w:t> </w:t>
      </w:r>
      <w:r>
        <w:rPr/>
        <w:t>hemodinâmico</w:t>
      </w:r>
      <w:r>
        <w:rPr>
          <w:spacing w:val="-1"/>
        </w:rPr>
        <w:t> </w:t>
      </w:r>
      <w:r>
        <w:rPr/>
        <w:t>típico. A</w:t>
      </w:r>
      <w:r>
        <w:rPr>
          <w:spacing w:val="-4"/>
        </w:rPr>
        <w:t> </w:t>
      </w:r>
      <w:r>
        <w:rPr/>
        <w:t>fração</w:t>
      </w:r>
      <w:r>
        <w:rPr>
          <w:spacing w:val="-1"/>
        </w:rPr>
        <w:t> </w:t>
      </w:r>
      <w:r>
        <w:rPr/>
        <w:t>de</w:t>
      </w:r>
      <w:r>
        <w:rPr>
          <w:spacing w:val="-4"/>
        </w:rPr>
        <w:t> </w:t>
      </w:r>
      <w:r>
        <w:rPr/>
        <w:t>ejeção</w:t>
      </w:r>
      <w:r>
        <w:rPr>
          <w:spacing w:val="-1"/>
        </w:rPr>
        <w:t> </w:t>
      </w:r>
      <w:r>
        <w:rPr/>
        <w:t>pode</w:t>
      </w:r>
      <w:r>
        <w:rPr>
          <w:spacing w:val="-4"/>
        </w:rPr>
        <w:t> </w:t>
      </w:r>
      <w:r>
        <w:rPr/>
        <w:t>encontrar-se</w:t>
      </w:r>
      <w:r>
        <w:rPr>
          <w:spacing w:val="-4"/>
        </w:rPr>
        <w:t> </w:t>
      </w:r>
      <w:r>
        <w:rPr/>
        <w:t>preservada, os volumes diastólicos são</w:t>
      </w:r>
      <w:r>
        <w:rPr>
          <w:spacing w:val="-1"/>
        </w:rPr>
        <w:t> </w:t>
      </w:r>
      <w:r>
        <w:rPr/>
        <w:t>normais ou diminuídos, a espessura ventricular é normal ou aumentada e, quase sempre, uma grande dilatação atrial está </w:t>
      </w:r>
      <w:r>
        <w:rPr>
          <w:spacing w:val="-2"/>
        </w:rPr>
        <w:t>presente.</w:t>
      </w:r>
      <w:r>
        <w:rPr>
          <w:spacing w:val="-2"/>
          <w:vertAlign w:val="superscript"/>
        </w:rPr>
        <w:t>1,2</w:t>
      </w:r>
    </w:p>
    <w:p>
      <w:pPr>
        <w:pStyle w:val="BodyText"/>
        <w:spacing w:line="276" w:lineRule="auto" w:before="59"/>
        <w:ind w:right="487"/>
      </w:pPr>
      <w:r>
        <w:rPr/>
        <w:t>Por determinar um quadro fisiopatológico restritivo, os sinais e sintomas são de congestão venosa sistêmica predominante, mas também pode</w:t>
      </w:r>
      <w:r>
        <w:rPr>
          <w:spacing w:val="-2"/>
        </w:rPr>
        <w:t> </w:t>
      </w:r>
      <w:r>
        <w:rPr/>
        <w:t>haver congestão pulmonar. Vale</w:t>
      </w:r>
      <w:r>
        <w:rPr>
          <w:spacing w:val="-2"/>
        </w:rPr>
        <w:t> </w:t>
      </w:r>
      <w:r>
        <w:rPr/>
        <w:t>lembrar que</w:t>
      </w:r>
      <w:r>
        <w:rPr>
          <w:spacing w:val="-2"/>
        </w:rPr>
        <w:t> </w:t>
      </w:r>
      <w:r>
        <w:rPr/>
        <w:t>a</w:t>
      </w:r>
      <w:r>
        <w:rPr>
          <w:spacing w:val="-2"/>
        </w:rPr>
        <w:t> </w:t>
      </w:r>
      <w:r>
        <w:rPr/>
        <w:t>suspeita</w:t>
      </w:r>
      <w:r>
        <w:rPr>
          <w:spacing w:val="-2"/>
        </w:rPr>
        <w:t> </w:t>
      </w:r>
      <w:r>
        <w:rPr/>
        <w:t>clínica</w:t>
      </w:r>
      <w:r>
        <w:rPr>
          <w:spacing w:val="-2"/>
        </w:rPr>
        <w:t> </w:t>
      </w:r>
      <w:r>
        <w:rPr/>
        <w:t>deve</w:t>
      </w:r>
      <w:r>
        <w:rPr>
          <w:spacing w:val="-2"/>
        </w:rPr>
        <w:t> </w:t>
      </w:r>
      <w:r>
        <w:rPr/>
        <w:t>ser aventada nos quadros clínicos descritos anteriormente com área cardíaca normal à radiografia de tórax. O diagnóstico diferencial com a</w:t>
      </w:r>
      <w:r>
        <w:rPr>
          <w:spacing w:val="-2"/>
        </w:rPr>
        <w:t> </w:t>
      </w:r>
      <w:r>
        <w:rPr/>
        <w:t>pericardite</w:t>
      </w:r>
      <w:r>
        <w:rPr>
          <w:spacing w:val="-2"/>
        </w:rPr>
        <w:t> </w:t>
      </w:r>
      <w:r>
        <w:rPr/>
        <w:t>constritiva</w:t>
      </w:r>
      <w:r>
        <w:rPr>
          <w:spacing w:val="-2"/>
        </w:rPr>
        <w:t> </w:t>
      </w:r>
      <w:r>
        <w:rPr/>
        <w:t>é</w:t>
      </w:r>
      <w:r>
        <w:rPr>
          <w:spacing w:val="-2"/>
        </w:rPr>
        <w:t> </w:t>
      </w:r>
      <w:r>
        <w:rPr/>
        <w:t>difícil, pois os quadros clínico e</w:t>
      </w:r>
      <w:r>
        <w:rPr>
          <w:spacing w:val="-2"/>
        </w:rPr>
        <w:t> </w:t>
      </w:r>
      <w:r>
        <w:rPr/>
        <w:t>hemodinâmico são semelhantes.</w:t>
      </w:r>
    </w:p>
    <w:p>
      <w:pPr>
        <w:pStyle w:val="BodyText"/>
        <w:spacing w:line="283" w:lineRule="auto" w:before="49"/>
        <w:ind w:right="497"/>
      </w:pPr>
      <w:r>
        <w:rPr/>
        <w:t>A</w:t>
      </w:r>
      <w:r>
        <w:rPr>
          <w:spacing w:val="-8"/>
        </w:rPr>
        <w:t> </w:t>
      </w:r>
      <w:r>
        <w:rPr/>
        <w:t>cardiomiopatia</w:t>
      </w:r>
      <w:r>
        <w:rPr>
          <w:spacing w:val="-8"/>
        </w:rPr>
        <w:t> </w:t>
      </w:r>
      <w:r>
        <w:rPr/>
        <w:t>restritiva</w:t>
      </w:r>
      <w:r>
        <w:rPr>
          <w:spacing w:val="-8"/>
        </w:rPr>
        <w:t> </w:t>
      </w:r>
      <w:r>
        <w:rPr/>
        <w:t>pode</w:t>
      </w:r>
      <w:r>
        <w:rPr>
          <w:spacing w:val="-8"/>
        </w:rPr>
        <w:t> </w:t>
      </w:r>
      <w:r>
        <w:rPr/>
        <w:t>resultar</w:t>
      </w:r>
      <w:r>
        <w:rPr>
          <w:spacing w:val="-1"/>
        </w:rPr>
        <w:t> </w:t>
      </w:r>
      <w:r>
        <w:rPr/>
        <w:t>de</w:t>
      </w:r>
      <w:r>
        <w:rPr>
          <w:spacing w:val="-8"/>
        </w:rPr>
        <w:t> </w:t>
      </w:r>
      <w:r>
        <w:rPr/>
        <w:t>afecções locais ou</w:t>
      </w:r>
      <w:r>
        <w:rPr>
          <w:spacing w:val="-6"/>
        </w:rPr>
        <w:t> </w:t>
      </w:r>
      <w:r>
        <w:rPr/>
        <w:t>sistêmicas. A</w:t>
      </w:r>
      <w:r>
        <w:rPr>
          <w:spacing w:val="-8"/>
        </w:rPr>
        <w:t> </w:t>
      </w:r>
      <w:r>
        <w:rPr/>
        <w:t>amiloidose</w:t>
      </w:r>
      <w:r>
        <w:rPr>
          <w:spacing w:val="-8"/>
        </w:rPr>
        <w:t> </w:t>
      </w:r>
      <w:r>
        <w:rPr/>
        <w:t>cardíaca</w:t>
      </w:r>
      <w:r>
        <w:rPr>
          <w:spacing w:val="-8"/>
        </w:rPr>
        <w:t> </w:t>
      </w:r>
      <w:r>
        <w:rPr/>
        <w:t>é</w:t>
      </w:r>
      <w:r>
        <w:rPr>
          <w:spacing w:val="-8"/>
        </w:rPr>
        <w:t> </w:t>
      </w:r>
      <w:r>
        <w:rPr/>
        <w:t>a</w:t>
      </w:r>
      <w:r>
        <w:rPr>
          <w:spacing w:val="-8"/>
        </w:rPr>
        <w:t> </w:t>
      </w:r>
      <w:r>
        <w:rPr/>
        <w:t>forma</w:t>
      </w:r>
      <w:r>
        <w:rPr>
          <w:spacing w:val="-8"/>
        </w:rPr>
        <w:t> </w:t>
      </w:r>
      <w:r>
        <w:rPr/>
        <w:t>mais prevalente</w:t>
      </w:r>
      <w:r>
        <w:rPr>
          <w:spacing w:val="-9"/>
        </w:rPr>
        <w:t> </w:t>
      </w:r>
      <w:r>
        <w:rPr/>
        <w:t>fora</w:t>
      </w:r>
      <w:r>
        <w:rPr>
          <w:spacing w:val="-9"/>
        </w:rPr>
        <w:t> </w:t>
      </w:r>
      <w:r>
        <w:rPr/>
        <w:t>dos trópicos, enquanto</w:t>
      </w:r>
      <w:r>
        <w:rPr>
          <w:spacing w:val="-7"/>
        </w:rPr>
        <w:t> </w:t>
      </w:r>
      <w:r>
        <w:rPr/>
        <w:t>em</w:t>
      </w:r>
      <w:r>
        <w:rPr>
          <w:spacing w:val="-7"/>
        </w:rPr>
        <w:t> </w:t>
      </w:r>
      <w:r>
        <w:rPr/>
        <w:t>partes da</w:t>
      </w:r>
      <w:r>
        <w:rPr>
          <w:spacing w:val="-9"/>
        </w:rPr>
        <w:t> </w:t>
      </w:r>
      <w:r>
        <w:rPr/>
        <w:t>Índia, África, América</w:t>
      </w:r>
      <w:r>
        <w:rPr>
          <w:spacing w:val="-9"/>
        </w:rPr>
        <w:t> </w:t>
      </w:r>
      <w:r>
        <w:rPr/>
        <w:t>do</w:t>
      </w:r>
      <w:r>
        <w:rPr>
          <w:spacing w:val="-7"/>
        </w:rPr>
        <w:t> </w:t>
      </w:r>
      <w:r>
        <w:rPr/>
        <w:t>Sul</w:t>
      </w:r>
      <w:r>
        <w:rPr>
          <w:spacing w:val="-4"/>
        </w:rPr>
        <w:t> </w:t>
      </w:r>
      <w:r>
        <w:rPr/>
        <w:t>e</w:t>
      </w:r>
      <w:r>
        <w:rPr>
          <w:spacing w:val="-9"/>
        </w:rPr>
        <w:t> </w:t>
      </w:r>
      <w:r>
        <w:rPr/>
        <w:t>Central</w:t>
      </w:r>
      <w:r>
        <w:rPr>
          <w:spacing w:val="-4"/>
        </w:rPr>
        <w:t> </w:t>
      </w:r>
      <w:r>
        <w:rPr/>
        <w:t>a</w:t>
      </w:r>
      <w:r>
        <w:rPr>
          <w:spacing w:val="-9"/>
        </w:rPr>
        <w:t> </w:t>
      </w:r>
      <w:r>
        <w:rPr/>
        <w:t>endomiocardiofibrose (EMF) é a mais frequente.</w:t>
      </w:r>
      <w:r>
        <w:rPr>
          <w:vertAlign w:val="superscript"/>
        </w:rPr>
        <w:t>2</w:t>
      </w:r>
    </w:p>
    <w:p>
      <w:pPr>
        <w:pStyle w:val="BodyText"/>
        <w:spacing w:before="73"/>
        <w:ind w:left="414" w:firstLine="0"/>
      </w:pPr>
      <w:r>
        <w:rPr/>
        <w:t>A</w:t>
      </w:r>
      <w:r>
        <w:rPr>
          <w:spacing w:val="-15"/>
        </w:rPr>
        <w:t> </w:t>
      </w:r>
      <w:r>
        <w:rPr/>
        <w:t>classificação</w:t>
      </w:r>
      <w:r>
        <w:rPr>
          <w:spacing w:val="-12"/>
        </w:rPr>
        <w:t> </w:t>
      </w:r>
      <w:r>
        <w:rPr/>
        <w:t>das</w:t>
      </w:r>
      <w:r>
        <w:rPr>
          <w:spacing w:val="-5"/>
        </w:rPr>
        <w:t> </w:t>
      </w:r>
      <w:r>
        <w:rPr/>
        <w:t>cardiomiopatias</w:t>
      </w:r>
      <w:r>
        <w:rPr>
          <w:spacing w:val="-5"/>
        </w:rPr>
        <w:t> </w:t>
      </w:r>
      <w:r>
        <w:rPr/>
        <w:t>restritivas</w:t>
      </w:r>
      <w:r>
        <w:rPr>
          <w:vertAlign w:val="superscript"/>
        </w:rPr>
        <w:t>3</w:t>
      </w:r>
      <w:r>
        <w:rPr>
          <w:spacing w:val="-6"/>
          <w:vertAlign w:val="baseline"/>
        </w:rPr>
        <w:t> </w:t>
      </w:r>
      <w:r>
        <w:rPr>
          <w:vertAlign w:val="baseline"/>
        </w:rPr>
        <w:t>encontra-se</w:t>
      </w:r>
      <w:r>
        <w:rPr>
          <w:spacing w:val="-15"/>
          <w:vertAlign w:val="baseline"/>
        </w:rPr>
        <w:t> </w:t>
      </w:r>
      <w:r>
        <w:rPr>
          <w:vertAlign w:val="baseline"/>
        </w:rPr>
        <w:t>na</w:t>
      </w:r>
      <w:r>
        <w:rPr>
          <w:spacing w:val="-14"/>
          <w:vertAlign w:val="baseline"/>
        </w:rPr>
        <w:t> </w:t>
      </w:r>
      <w:r>
        <w:rPr>
          <w:color w:val="505050"/>
          <w:vertAlign w:val="baseline"/>
        </w:rPr>
        <w:t>Tabela</w:t>
      </w:r>
      <w:r>
        <w:rPr>
          <w:color w:val="505050"/>
          <w:spacing w:val="-14"/>
          <w:vertAlign w:val="baseline"/>
        </w:rPr>
        <w:t> </w:t>
      </w:r>
      <w:r>
        <w:rPr>
          <w:color w:val="505050"/>
          <w:spacing w:val="-2"/>
          <w:vertAlign w:val="baseline"/>
        </w:rPr>
        <w:t>50.3</w:t>
      </w:r>
      <w:r>
        <w:rPr>
          <w:spacing w:val="-2"/>
          <w:vertAlign w:val="baseline"/>
        </w:rPr>
        <w:t>.</w:t>
      </w:r>
    </w:p>
    <w:p>
      <w:pPr>
        <w:pStyle w:val="BodyText"/>
        <w:spacing w:before="225"/>
        <w:ind w:left="0" w:firstLine="0"/>
        <w:jc w:val="left"/>
      </w:pPr>
    </w:p>
    <w:p>
      <w:pPr>
        <w:pStyle w:val="Heading4"/>
      </w:pPr>
      <w:r>
        <w:rPr>
          <w:color w:val="242B67"/>
          <w:spacing w:val="-2"/>
        </w:rPr>
        <w:t>Fisiopatologia</w:t>
      </w:r>
    </w:p>
    <w:p>
      <w:pPr>
        <w:pStyle w:val="BodyText"/>
        <w:spacing w:before="147"/>
        <w:ind w:left="414" w:firstLine="0"/>
      </w:pPr>
      <w:r>
        <w:rPr/>
        <w:t>As</w:t>
      </w:r>
      <w:r>
        <w:rPr>
          <w:spacing w:val="-15"/>
        </w:rPr>
        <w:t> </w:t>
      </w:r>
      <w:r>
        <w:rPr/>
        <w:t>alterações</w:t>
      </w:r>
      <w:r>
        <w:rPr>
          <w:spacing w:val="-8"/>
        </w:rPr>
        <w:t> </w:t>
      </w:r>
      <w:r>
        <w:rPr/>
        <w:t>fisiopatológicas</w:t>
      </w:r>
      <w:r>
        <w:rPr>
          <w:spacing w:val="-8"/>
        </w:rPr>
        <w:t> </w:t>
      </w:r>
      <w:r>
        <w:rPr/>
        <w:t>são</w:t>
      </w:r>
      <w:r>
        <w:rPr>
          <w:spacing w:val="-15"/>
        </w:rPr>
        <w:t> </w:t>
      </w:r>
      <w:r>
        <w:rPr/>
        <w:t>decorrentes</w:t>
      </w:r>
      <w:r>
        <w:rPr>
          <w:spacing w:val="-8"/>
        </w:rPr>
        <w:t> </w:t>
      </w:r>
      <w:r>
        <w:rPr/>
        <w:t>das</w:t>
      </w:r>
      <w:r>
        <w:rPr>
          <w:spacing w:val="-8"/>
        </w:rPr>
        <w:t> </w:t>
      </w:r>
      <w:r>
        <w:rPr/>
        <w:t>paredes</w:t>
      </w:r>
      <w:r>
        <w:rPr>
          <w:spacing w:val="-9"/>
        </w:rPr>
        <w:t> </w:t>
      </w:r>
      <w:r>
        <w:rPr/>
        <w:t>rígidas</w:t>
      </w:r>
      <w:r>
        <w:rPr>
          <w:spacing w:val="-8"/>
        </w:rPr>
        <w:t> </w:t>
      </w:r>
      <w:r>
        <w:rPr/>
        <w:t>que</w:t>
      </w:r>
      <w:r>
        <w:rPr>
          <w:spacing w:val="-14"/>
        </w:rPr>
        <w:t> </w:t>
      </w:r>
      <w:r>
        <w:rPr/>
        <w:t>impedem</w:t>
      </w:r>
      <w:r>
        <w:rPr>
          <w:spacing w:val="-15"/>
        </w:rPr>
        <w:t> </w:t>
      </w:r>
      <w:r>
        <w:rPr/>
        <w:t>o</w:t>
      </w:r>
      <w:r>
        <w:rPr>
          <w:spacing w:val="-14"/>
        </w:rPr>
        <w:t> </w:t>
      </w:r>
      <w:r>
        <w:rPr/>
        <w:t>enchimento</w:t>
      </w:r>
      <w:r>
        <w:rPr>
          <w:spacing w:val="-14"/>
        </w:rPr>
        <w:t> </w:t>
      </w:r>
      <w:r>
        <w:rPr>
          <w:spacing w:val="-2"/>
        </w:rPr>
        <w:t>ventricular.</w:t>
      </w:r>
      <w:r>
        <w:rPr>
          <w:spacing w:val="-2"/>
          <w:vertAlign w:val="superscript"/>
        </w:rPr>
        <w:t>4</w:t>
      </w:r>
    </w:p>
    <w:p>
      <w:pPr>
        <w:pStyle w:val="BodyText"/>
        <w:spacing w:line="278" w:lineRule="auto" w:before="104"/>
        <w:ind w:right="488"/>
      </w:pPr>
      <w:r>
        <w:rPr/>
        <w:t>A principal característica é a alteração na função diastólica. O enchimento ventricular depende basicamente de um</w:t>
      </w:r>
      <w:r>
        <w:rPr>
          <w:spacing w:val="-6"/>
        </w:rPr>
        <w:t> </w:t>
      </w:r>
      <w:r>
        <w:rPr/>
        <w:t>gradiente</w:t>
      </w:r>
      <w:r>
        <w:rPr>
          <w:spacing w:val="-9"/>
        </w:rPr>
        <w:t> </w:t>
      </w:r>
      <w:r>
        <w:rPr/>
        <w:t>de</w:t>
      </w:r>
      <w:r>
        <w:rPr>
          <w:spacing w:val="-9"/>
        </w:rPr>
        <w:t> </w:t>
      </w:r>
      <w:r>
        <w:rPr/>
        <w:t>pressão</w:t>
      </w:r>
      <w:r>
        <w:rPr>
          <w:spacing w:val="-6"/>
        </w:rPr>
        <w:t> </w:t>
      </w:r>
      <w:r>
        <w:rPr/>
        <w:t>entre</w:t>
      </w:r>
      <w:r>
        <w:rPr>
          <w:spacing w:val="-9"/>
        </w:rPr>
        <w:t> </w:t>
      </w:r>
      <w:r>
        <w:rPr/>
        <w:t>as câmaras atriais e</w:t>
      </w:r>
      <w:r>
        <w:rPr>
          <w:spacing w:val="-9"/>
        </w:rPr>
        <w:t> </w:t>
      </w:r>
      <w:r>
        <w:rPr/>
        <w:t>ventriculares. O</w:t>
      </w:r>
      <w:r>
        <w:rPr>
          <w:spacing w:val="-9"/>
        </w:rPr>
        <w:t> </w:t>
      </w:r>
      <w:r>
        <w:rPr/>
        <w:t>enchimento</w:t>
      </w:r>
      <w:r>
        <w:rPr>
          <w:spacing w:val="-6"/>
        </w:rPr>
        <w:t> </w:t>
      </w:r>
      <w:r>
        <w:rPr/>
        <w:t>inicial</w:t>
      </w:r>
      <w:r>
        <w:rPr>
          <w:spacing w:val="-4"/>
        </w:rPr>
        <w:t> </w:t>
      </w:r>
      <w:r>
        <w:rPr/>
        <w:t>depende</w:t>
      </w:r>
      <w:r>
        <w:rPr>
          <w:spacing w:val="-9"/>
        </w:rPr>
        <w:t> </w:t>
      </w:r>
      <w:r>
        <w:rPr/>
        <w:t>da</w:t>
      </w:r>
      <w:r>
        <w:rPr>
          <w:spacing w:val="-9"/>
        </w:rPr>
        <w:t> </w:t>
      </w:r>
      <w:r>
        <w:rPr/>
        <w:t>pressão</w:t>
      </w:r>
      <w:r>
        <w:rPr>
          <w:spacing w:val="-6"/>
        </w:rPr>
        <w:t> </w:t>
      </w:r>
      <w:r>
        <w:rPr/>
        <w:t>atrial</w:t>
      </w:r>
      <w:r>
        <w:rPr>
          <w:spacing w:val="-4"/>
        </w:rPr>
        <w:t> </w:t>
      </w:r>
      <w:r>
        <w:rPr/>
        <w:t>e</w:t>
      </w:r>
      <w:r>
        <w:rPr>
          <w:spacing w:val="-9"/>
        </w:rPr>
        <w:t> </w:t>
      </w:r>
      <w:r>
        <w:rPr/>
        <w:t>da pressão negativa criada pelo relaxamento ventricular. A fase tardia envolve a contração atrial e a pressão passiva ventricular que se correlaciona com o tecido cardíaco (miócito, vasos e interstício). As disfunções diastólicas são secundárias a alterações do relaxamento ou das propriedades elásticas ventriculares, ou de ambos, levando à elevação da tensão diastólica, por redução da complacência e consequente desenvolvimento dos sintomas </w:t>
      </w:r>
      <w:r>
        <w:rPr>
          <w:spacing w:val="-2"/>
        </w:rPr>
        <w:t>congestivos.</w:t>
      </w:r>
      <w:r>
        <w:rPr>
          <w:spacing w:val="-2"/>
          <w:vertAlign w:val="superscript"/>
        </w:rPr>
        <w:t>5</w:t>
      </w:r>
    </w:p>
    <w:p>
      <w:pPr>
        <w:pStyle w:val="BodyText"/>
        <w:spacing w:after="0" w:line="278" w:lineRule="auto"/>
        <w:sectPr>
          <w:pgSz w:w="11900" w:h="16840"/>
          <w:pgMar w:top="220" w:bottom="280" w:left="566" w:right="141"/>
        </w:sectPr>
      </w:pPr>
    </w:p>
    <w:p>
      <w:pPr>
        <w:pStyle w:val="BodyText"/>
        <w:spacing w:line="278" w:lineRule="auto" w:before="74"/>
        <w:ind w:right="494"/>
      </w:pPr>
      <w:r>
        <w:rPr/>
        <w:t>O estudo hemodinâmico reflete as alterações fisiopatológicas presentes na cardiomiopatia restritiva. Benotti </w:t>
      </w:r>
      <w:r>
        <w:rPr>
          <w:i/>
        </w:rPr>
        <w:t>et al.</w:t>
      </w:r>
      <w:r>
        <w:rPr/>
        <w:t>, em</w:t>
      </w:r>
      <w:r>
        <w:rPr>
          <w:spacing w:val="-1"/>
        </w:rPr>
        <w:t> </w:t>
      </w:r>
      <w:r>
        <w:rPr/>
        <w:t>1980, descreveram</w:t>
      </w:r>
      <w:r>
        <w:rPr>
          <w:spacing w:val="-1"/>
        </w:rPr>
        <w:t> </w:t>
      </w:r>
      <w:r>
        <w:rPr/>
        <w:t>essas alterações como</w:t>
      </w:r>
      <w:r>
        <w:rPr>
          <w:spacing w:val="-1"/>
        </w:rPr>
        <w:t> </w:t>
      </w:r>
      <w:r>
        <w:rPr/>
        <w:t>elevação</w:t>
      </w:r>
      <w:r>
        <w:rPr>
          <w:spacing w:val="-1"/>
        </w:rPr>
        <w:t> </w:t>
      </w:r>
      <w:r>
        <w:rPr/>
        <w:t>das pressões de</w:t>
      </w:r>
      <w:r>
        <w:rPr>
          <w:spacing w:val="-4"/>
        </w:rPr>
        <w:t> </w:t>
      </w:r>
      <w:r>
        <w:rPr/>
        <w:t>enchimento</w:t>
      </w:r>
      <w:r>
        <w:rPr>
          <w:spacing w:val="-1"/>
        </w:rPr>
        <w:t> </w:t>
      </w:r>
      <w:r>
        <w:rPr/>
        <w:t>ventricular e</w:t>
      </w:r>
      <w:r>
        <w:rPr>
          <w:spacing w:val="-4"/>
        </w:rPr>
        <w:t> </w:t>
      </w:r>
      <w:r>
        <w:rPr/>
        <w:t>um</w:t>
      </w:r>
      <w:r>
        <w:rPr>
          <w:spacing w:val="-1"/>
        </w:rPr>
        <w:t> </w:t>
      </w:r>
      <w:r>
        <w:rPr/>
        <w:t>padrão</w:t>
      </w:r>
      <w:r>
        <w:rPr>
          <w:spacing w:val="-1"/>
        </w:rPr>
        <w:t> </w:t>
      </w:r>
      <w:r>
        <w:rPr/>
        <w:t>em </w:t>
      </w:r>
      <w:r>
        <w:rPr>
          <w:i/>
        </w:rPr>
        <w:t>dip </w:t>
      </w:r>
      <w:r>
        <w:rPr/>
        <w:t>e</w:t>
      </w:r>
      <w:r>
        <w:rPr>
          <w:spacing w:val="-1"/>
        </w:rPr>
        <w:t> </w:t>
      </w:r>
      <w:r>
        <w:rPr>
          <w:i/>
        </w:rPr>
        <w:t>plateau</w:t>
      </w:r>
      <w:r>
        <w:rPr/>
        <w:t>.</w:t>
      </w:r>
      <w:r>
        <w:rPr>
          <w:vertAlign w:val="superscript"/>
        </w:rPr>
        <w:t>6</w:t>
      </w:r>
      <w:r>
        <w:rPr>
          <w:vertAlign w:val="baseline"/>
        </w:rPr>
        <w:t> Desde então vários autores utilizam esses critérios para diagnóstico de cardiomiopatia restritiva. A manometria demonstra pressões atriais e diastólicas ventriculares elevadas; o início da diástole apresenta descenso rápido, precoce e profundo (</w:t>
      </w:r>
      <w:r>
        <w:rPr>
          <w:i/>
          <w:vertAlign w:val="baseline"/>
        </w:rPr>
        <w:t>dip</w:t>
      </w:r>
      <w:r>
        <w:rPr>
          <w:vertAlign w:val="baseline"/>
        </w:rPr>
        <w:t>) seguido de um patamar (</w:t>
      </w:r>
      <w:r>
        <w:rPr>
          <w:i/>
          <w:vertAlign w:val="baseline"/>
        </w:rPr>
        <w:t>plateau</w:t>
      </w:r>
      <w:r>
        <w:rPr>
          <w:vertAlign w:val="baseline"/>
        </w:rPr>
        <w:t>), também denominado </w:t>
      </w:r>
      <w:r>
        <w:rPr>
          <w:i/>
          <w:vertAlign w:val="baseline"/>
        </w:rPr>
        <w:t>sinal da raiz quadrada</w:t>
      </w:r>
      <w:r>
        <w:rPr>
          <w:vertAlign w:val="baseline"/>
        </w:rPr>
        <w:t>. Tais alterações não necessariamente</w:t>
      </w:r>
      <w:r>
        <w:rPr>
          <w:spacing w:val="-1"/>
          <w:vertAlign w:val="baseline"/>
        </w:rPr>
        <w:t> </w:t>
      </w:r>
      <w:r>
        <w:rPr>
          <w:vertAlign w:val="baseline"/>
        </w:rPr>
        <w:t>estão presentes e</w:t>
      </w:r>
      <w:r>
        <w:rPr>
          <w:spacing w:val="-1"/>
          <w:vertAlign w:val="baseline"/>
        </w:rPr>
        <w:t> </w:t>
      </w:r>
      <w:r>
        <w:rPr>
          <w:vertAlign w:val="baseline"/>
        </w:rPr>
        <w:t>são influenciadas pelo uso de</w:t>
      </w:r>
      <w:r>
        <w:rPr>
          <w:spacing w:val="-1"/>
          <w:vertAlign w:val="baseline"/>
        </w:rPr>
        <w:t> </w:t>
      </w:r>
      <w:r>
        <w:rPr>
          <w:vertAlign w:val="baseline"/>
        </w:rPr>
        <w:t>determinados medicamentos e pela frequência cardíaca.</w:t>
      </w:r>
    </w:p>
    <w:p>
      <w:pPr>
        <w:pStyle w:val="BodyText"/>
        <w:spacing w:before="85"/>
        <w:ind w:left="0" w:firstLine="0"/>
        <w:jc w:val="left"/>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11"/>
          <w:sz w:val="23"/>
        </w:rPr>
        <w:t> </w:t>
      </w:r>
      <w:r>
        <w:rPr>
          <w:rFonts w:ascii="Arial" w:hAnsi="Arial"/>
          <w:b/>
          <w:color w:val="242B67"/>
          <w:sz w:val="23"/>
        </w:rPr>
        <w:t>50.3</w:t>
      </w:r>
      <w:r>
        <w:rPr>
          <w:rFonts w:ascii="Arial" w:hAnsi="Arial"/>
          <w:b/>
          <w:color w:val="242B67"/>
          <w:spacing w:val="-12"/>
          <w:sz w:val="23"/>
        </w:rPr>
        <w:t> </w:t>
      </w:r>
      <w:r>
        <w:rPr>
          <w:rFonts w:ascii="Microsoft Sans Serif" w:hAnsi="Microsoft Sans Serif"/>
          <w:sz w:val="23"/>
        </w:rPr>
        <w:t>Classificação</w:t>
      </w:r>
      <w:r>
        <w:rPr>
          <w:rFonts w:ascii="Microsoft Sans Serif" w:hAnsi="Microsoft Sans Serif"/>
          <w:spacing w:val="-8"/>
          <w:sz w:val="23"/>
        </w:rPr>
        <w:t> </w:t>
      </w:r>
      <w:r>
        <w:rPr>
          <w:rFonts w:ascii="Microsoft Sans Serif" w:hAnsi="Microsoft Sans Serif"/>
          <w:sz w:val="23"/>
        </w:rPr>
        <w:t>das</w:t>
      </w:r>
      <w:r>
        <w:rPr>
          <w:rFonts w:ascii="Microsoft Sans Serif" w:hAnsi="Microsoft Sans Serif"/>
          <w:spacing w:val="-11"/>
          <w:sz w:val="23"/>
        </w:rPr>
        <w:t> </w:t>
      </w:r>
      <w:r>
        <w:rPr>
          <w:rFonts w:ascii="Microsoft Sans Serif" w:hAnsi="Microsoft Sans Serif"/>
          <w:sz w:val="23"/>
        </w:rPr>
        <w:t>cardiomiopatias</w:t>
      </w:r>
      <w:r>
        <w:rPr>
          <w:rFonts w:ascii="Microsoft Sans Serif" w:hAnsi="Microsoft Sans Serif"/>
          <w:spacing w:val="-11"/>
          <w:sz w:val="23"/>
        </w:rPr>
        <w:t> </w:t>
      </w:r>
      <w:r>
        <w:rPr>
          <w:rFonts w:ascii="Microsoft Sans Serif" w:hAnsi="Microsoft Sans Serif"/>
          <w:spacing w:val="-2"/>
          <w:sz w:val="23"/>
        </w:rPr>
        <w:t>restritivas.</w:t>
      </w:r>
    </w:p>
    <w:p>
      <w:pPr>
        <w:pStyle w:val="BodyText"/>
        <w:spacing w:before="1"/>
        <w:ind w:left="0" w:firstLine="0"/>
        <w:jc w:val="left"/>
        <w:rPr>
          <w:rFonts w:ascii="Microsoft Sans Serif"/>
          <w:sz w:val="14"/>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138"/>
        <w:gridCol w:w="4244"/>
        <w:gridCol w:w="4236"/>
      </w:tblGrid>
      <w:tr>
        <w:trPr>
          <w:trHeight w:val="430" w:hRule="atLeast"/>
        </w:trPr>
        <w:tc>
          <w:tcPr>
            <w:tcW w:w="2138" w:type="dxa"/>
            <w:tcBorders>
              <w:top w:val="nil"/>
              <w:left w:val="nil"/>
            </w:tcBorders>
            <w:shd w:val="clear" w:color="auto" w:fill="242B67"/>
          </w:tcPr>
          <w:p>
            <w:pPr>
              <w:pStyle w:val="TableParagraph"/>
              <w:spacing w:before="91"/>
              <w:ind w:left="67"/>
              <w:rPr>
                <w:rFonts w:ascii="Arial"/>
                <w:b/>
                <w:sz w:val="21"/>
              </w:rPr>
            </w:pPr>
            <w:r>
              <w:rPr>
                <w:rFonts w:ascii="Arial"/>
                <w:b/>
                <w:color w:val="FFFFFF"/>
                <w:spacing w:val="-4"/>
                <w:w w:val="105"/>
                <w:sz w:val="21"/>
              </w:rPr>
              <w:t>Tipos</w:t>
            </w:r>
          </w:p>
        </w:tc>
        <w:tc>
          <w:tcPr>
            <w:tcW w:w="4244" w:type="dxa"/>
            <w:tcBorders>
              <w:top w:val="nil"/>
            </w:tcBorders>
            <w:shd w:val="clear" w:color="auto" w:fill="242B67"/>
          </w:tcPr>
          <w:p>
            <w:pPr>
              <w:pStyle w:val="TableParagraph"/>
              <w:spacing w:before="91"/>
              <w:rPr>
                <w:rFonts w:ascii="Arial" w:hAnsi="Arial"/>
                <w:b/>
                <w:sz w:val="21"/>
              </w:rPr>
            </w:pPr>
            <w:r>
              <w:rPr>
                <w:rFonts w:ascii="Arial" w:hAnsi="Arial"/>
                <w:b/>
                <w:color w:val="FFFFFF"/>
                <w:spacing w:val="-2"/>
                <w:w w:val="105"/>
                <w:sz w:val="21"/>
              </w:rPr>
              <w:t>Miocárdicas</w:t>
            </w:r>
          </w:p>
        </w:tc>
        <w:tc>
          <w:tcPr>
            <w:tcW w:w="4236" w:type="dxa"/>
            <w:tcBorders>
              <w:top w:val="nil"/>
              <w:right w:val="nil"/>
            </w:tcBorders>
            <w:shd w:val="clear" w:color="auto" w:fill="242B67"/>
          </w:tcPr>
          <w:p>
            <w:pPr>
              <w:pStyle w:val="TableParagraph"/>
              <w:spacing w:before="91"/>
              <w:ind w:left="66"/>
              <w:rPr>
                <w:rFonts w:ascii="Arial" w:hAnsi="Arial"/>
                <w:b/>
                <w:sz w:val="21"/>
              </w:rPr>
            </w:pPr>
            <w:r>
              <w:rPr>
                <w:rFonts w:ascii="Arial" w:hAnsi="Arial"/>
                <w:b/>
                <w:color w:val="FFFFFF"/>
                <w:spacing w:val="-2"/>
                <w:w w:val="105"/>
                <w:sz w:val="21"/>
              </w:rPr>
              <w:t>Endomiocárdicas</w:t>
            </w:r>
          </w:p>
        </w:tc>
      </w:tr>
      <w:tr>
        <w:trPr>
          <w:trHeight w:val="3215" w:hRule="atLeast"/>
        </w:trPr>
        <w:tc>
          <w:tcPr>
            <w:tcW w:w="2138" w:type="dxa"/>
            <w:tcBorders>
              <w:left w:val="nil"/>
            </w:tcBorders>
            <w:shd w:val="clear" w:color="auto" w:fill="EDECF3"/>
          </w:tcPr>
          <w:p>
            <w:pPr>
              <w:pStyle w:val="TableParagraph"/>
              <w:spacing w:before="93"/>
              <w:ind w:left="67"/>
              <w:rPr>
                <w:sz w:val="21"/>
              </w:rPr>
            </w:pPr>
            <w:r>
              <w:rPr>
                <w:w w:val="105"/>
                <w:sz w:val="21"/>
              </w:rPr>
              <w:t>Não</w:t>
            </w:r>
            <w:r>
              <w:rPr>
                <w:spacing w:val="13"/>
                <w:w w:val="105"/>
                <w:sz w:val="21"/>
              </w:rPr>
              <w:t> </w:t>
            </w:r>
            <w:r>
              <w:rPr>
                <w:spacing w:val="-2"/>
                <w:w w:val="105"/>
                <w:sz w:val="21"/>
              </w:rPr>
              <w:t>infiltrativas</w:t>
            </w:r>
          </w:p>
        </w:tc>
        <w:tc>
          <w:tcPr>
            <w:tcW w:w="4244" w:type="dxa"/>
            <w:shd w:val="clear" w:color="auto" w:fill="EDECF3"/>
          </w:tcPr>
          <w:p>
            <w:pPr>
              <w:pStyle w:val="TableParagraph"/>
              <w:spacing w:line="441" w:lineRule="auto" w:before="93"/>
              <w:ind w:right="1306"/>
              <w:rPr>
                <w:sz w:val="21"/>
              </w:rPr>
            </w:pPr>
            <w:r>
              <w:rPr>
                <w:sz w:val="21"/>
              </w:rPr>
              <w:t>Cardiomiopatia idiopática </w:t>
            </w:r>
            <w:r>
              <w:rPr>
                <w:spacing w:val="-2"/>
                <w:w w:val="105"/>
                <w:sz w:val="21"/>
              </w:rPr>
              <w:t>Esclerodermia </w:t>
            </w:r>
            <w:r>
              <w:rPr>
                <w:w w:val="105"/>
                <w:sz w:val="21"/>
              </w:rPr>
              <w:t>Cardiomiopatia familiar Pseudoxantoma elástico Cardiomiopatia diabética</w:t>
            </w:r>
          </w:p>
          <w:p>
            <w:pPr>
              <w:pStyle w:val="TableParagraph"/>
              <w:spacing w:line="229" w:lineRule="exact" w:before="0"/>
              <w:rPr>
                <w:sz w:val="21"/>
              </w:rPr>
            </w:pPr>
            <w:r>
              <w:rPr>
                <w:spacing w:val="2"/>
                <w:sz w:val="21"/>
              </w:rPr>
              <w:t>Cardiomiopatia</w:t>
            </w:r>
            <w:r>
              <w:rPr>
                <w:spacing w:val="70"/>
                <w:sz w:val="21"/>
              </w:rPr>
              <w:t> </w:t>
            </w:r>
            <w:r>
              <w:rPr>
                <w:spacing w:val="2"/>
                <w:sz w:val="21"/>
              </w:rPr>
              <w:t>hipertrófica</w:t>
            </w:r>
            <w:r>
              <w:rPr>
                <w:spacing w:val="70"/>
                <w:sz w:val="21"/>
              </w:rPr>
              <w:t> </w:t>
            </w:r>
            <w:r>
              <w:rPr>
                <w:spacing w:val="-4"/>
                <w:sz w:val="21"/>
              </w:rPr>
              <w:t>(CMH)</w:t>
            </w:r>
          </w:p>
        </w:tc>
        <w:tc>
          <w:tcPr>
            <w:tcW w:w="4236" w:type="dxa"/>
            <w:tcBorders>
              <w:right w:val="nil"/>
            </w:tcBorders>
            <w:shd w:val="clear" w:color="auto" w:fill="EDECF3"/>
          </w:tcPr>
          <w:p>
            <w:pPr>
              <w:pStyle w:val="TableParagraph"/>
              <w:spacing w:line="441" w:lineRule="auto" w:before="93"/>
              <w:ind w:left="66" w:right="1099"/>
              <w:rPr>
                <w:sz w:val="21"/>
              </w:rPr>
            </w:pPr>
            <w:r>
              <w:rPr>
                <w:spacing w:val="-2"/>
                <w:w w:val="105"/>
                <w:sz w:val="21"/>
              </w:rPr>
              <w:t>Endomiocardiofibrose </w:t>
            </w:r>
            <w:r>
              <w:rPr>
                <w:w w:val="105"/>
                <w:sz w:val="21"/>
              </w:rPr>
              <w:t>Cardiopatia de Loeffler Síndrome carcinoide Toxicidade por </w:t>
            </w:r>
            <w:r>
              <w:rPr>
                <w:w w:val="105"/>
                <w:sz w:val="21"/>
              </w:rPr>
              <w:t>antraciclina </w:t>
            </w:r>
            <w:r>
              <w:rPr>
                <w:spacing w:val="-2"/>
                <w:w w:val="105"/>
                <w:sz w:val="21"/>
              </w:rPr>
              <w:t>Radiação</w:t>
            </w:r>
          </w:p>
          <w:p>
            <w:pPr>
              <w:pStyle w:val="TableParagraph"/>
              <w:spacing w:line="307" w:lineRule="auto" w:before="0"/>
              <w:ind w:left="66" w:right="87"/>
              <w:rPr>
                <w:sz w:val="21"/>
              </w:rPr>
            </w:pPr>
            <w:r>
              <w:rPr>
                <w:w w:val="105"/>
                <w:sz w:val="21"/>
              </w:rPr>
              <w:t>Fármacos que causam fibrose (serotonina, metisergida, ergotamina, agentes mercuriais, bussulfan)</w:t>
            </w:r>
          </w:p>
        </w:tc>
      </w:tr>
      <w:tr>
        <w:trPr>
          <w:trHeight w:val="1741" w:hRule="atLeast"/>
        </w:trPr>
        <w:tc>
          <w:tcPr>
            <w:tcW w:w="2138" w:type="dxa"/>
            <w:tcBorders>
              <w:left w:val="nil"/>
            </w:tcBorders>
            <w:shd w:val="clear" w:color="auto" w:fill="EDECF3"/>
          </w:tcPr>
          <w:p>
            <w:pPr>
              <w:pStyle w:val="TableParagraph"/>
              <w:spacing w:before="93"/>
              <w:ind w:left="67"/>
              <w:rPr>
                <w:sz w:val="21"/>
              </w:rPr>
            </w:pPr>
            <w:r>
              <w:rPr>
                <w:spacing w:val="-2"/>
                <w:w w:val="105"/>
                <w:sz w:val="21"/>
              </w:rPr>
              <w:t>Infiltrativas</w:t>
            </w:r>
          </w:p>
        </w:tc>
        <w:tc>
          <w:tcPr>
            <w:tcW w:w="4244" w:type="dxa"/>
            <w:shd w:val="clear" w:color="auto" w:fill="EDECF3"/>
          </w:tcPr>
          <w:p>
            <w:pPr>
              <w:pStyle w:val="TableParagraph"/>
              <w:spacing w:line="453" w:lineRule="auto" w:before="93"/>
              <w:ind w:right="2084"/>
              <w:rPr>
                <w:sz w:val="21"/>
              </w:rPr>
            </w:pPr>
            <w:r>
              <w:rPr>
                <w:spacing w:val="-2"/>
                <w:w w:val="105"/>
                <w:sz w:val="21"/>
              </w:rPr>
              <w:t>Amiloidose </w:t>
            </w:r>
            <w:r>
              <w:rPr>
                <w:spacing w:val="-2"/>
                <w:sz w:val="21"/>
              </w:rPr>
              <w:t>Sarcoidose</w:t>
            </w:r>
          </w:p>
          <w:p>
            <w:pPr>
              <w:pStyle w:val="TableParagraph"/>
              <w:spacing w:line="220" w:lineRule="exact" w:before="0"/>
              <w:rPr>
                <w:sz w:val="21"/>
              </w:rPr>
            </w:pPr>
            <w:r>
              <w:rPr>
                <w:w w:val="105"/>
                <w:sz w:val="21"/>
              </w:rPr>
              <w:t>Doença</w:t>
            </w:r>
            <w:r>
              <w:rPr>
                <w:spacing w:val="19"/>
                <w:w w:val="105"/>
                <w:sz w:val="21"/>
              </w:rPr>
              <w:t> </w:t>
            </w:r>
            <w:r>
              <w:rPr>
                <w:w w:val="105"/>
                <w:sz w:val="21"/>
              </w:rPr>
              <w:t>de</w:t>
            </w:r>
            <w:r>
              <w:rPr>
                <w:spacing w:val="19"/>
                <w:w w:val="105"/>
                <w:sz w:val="21"/>
              </w:rPr>
              <w:t> </w:t>
            </w:r>
            <w:r>
              <w:rPr>
                <w:spacing w:val="-2"/>
                <w:w w:val="105"/>
                <w:sz w:val="21"/>
              </w:rPr>
              <w:t>Gaucher</w:t>
            </w:r>
          </w:p>
          <w:p>
            <w:pPr>
              <w:pStyle w:val="TableParagraph"/>
              <w:spacing w:before="195"/>
              <w:rPr>
                <w:sz w:val="21"/>
              </w:rPr>
            </w:pPr>
            <w:r>
              <w:rPr>
                <w:w w:val="105"/>
                <w:sz w:val="21"/>
              </w:rPr>
              <w:t>Doença</w:t>
            </w:r>
            <w:r>
              <w:rPr>
                <w:spacing w:val="19"/>
                <w:w w:val="105"/>
                <w:sz w:val="21"/>
              </w:rPr>
              <w:t> </w:t>
            </w:r>
            <w:r>
              <w:rPr>
                <w:w w:val="105"/>
                <w:sz w:val="21"/>
              </w:rPr>
              <w:t>de</w:t>
            </w:r>
            <w:r>
              <w:rPr>
                <w:spacing w:val="19"/>
                <w:w w:val="105"/>
                <w:sz w:val="21"/>
              </w:rPr>
              <w:t> </w:t>
            </w:r>
            <w:r>
              <w:rPr>
                <w:spacing w:val="-2"/>
                <w:w w:val="105"/>
                <w:sz w:val="21"/>
              </w:rPr>
              <w:t>Hurler</w:t>
            </w:r>
          </w:p>
        </w:tc>
        <w:tc>
          <w:tcPr>
            <w:tcW w:w="4236" w:type="dxa"/>
            <w:tcBorders>
              <w:right w:val="nil"/>
            </w:tcBorders>
            <w:shd w:val="clear" w:color="auto" w:fill="EDECF3"/>
          </w:tcPr>
          <w:p>
            <w:pPr>
              <w:pStyle w:val="TableParagraph"/>
              <w:spacing w:before="93"/>
              <w:ind w:left="66"/>
              <w:rPr>
                <w:sz w:val="21"/>
              </w:rPr>
            </w:pPr>
            <w:r>
              <w:rPr>
                <w:w w:val="195"/>
                <w:sz w:val="21"/>
              </w:rPr>
              <w:t>–</w:t>
            </w:r>
          </w:p>
        </w:tc>
      </w:tr>
      <w:tr>
        <w:trPr>
          <w:trHeight w:val="1743" w:hRule="atLeast"/>
        </w:trPr>
        <w:tc>
          <w:tcPr>
            <w:tcW w:w="2138" w:type="dxa"/>
            <w:tcBorders>
              <w:left w:val="nil"/>
              <w:bottom w:val="nil"/>
            </w:tcBorders>
            <w:shd w:val="clear" w:color="auto" w:fill="EDECF3"/>
          </w:tcPr>
          <w:p>
            <w:pPr>
              <w:pStyle w:val="TableParagraph"/>
              <w:spacing w:before="93"/>
              <w:ind w:left="67"/>
              <w:rPr>
                <w:sz w:val="21"/>
              </w:rPr>
            </w:pPr>
            <w:r>
              <w:rPr>
                <w:spacing w:val="-2"/>
                <w:w w:val="105"/>
                <w:sz w:val="21"/>
              </w:rPr>
              <w:t>Depósito</w:t>
            </w:r>
          </w:p>
        </w:tc>
        <w:tc>
          <w:tcPr>
            <w:tcW w:w="4244" w:type="dxa"/>
            <w:tcBorders>
              <w:bottom w:val="nil"/>
            </w:tcBorders>
            <w:shd w:val="clear" w:color="auto" w:fill="EDECF3"/>
          </w:tcPr>
          <w:p>
            <w:pPr>
              <w:pStyle w:val="TableParagraph"/>
              <w:spacing w:before="93"/>
              <w:rPr>
                <w:sz w:val="21"/>
              </w:rPr>
            </w:pPr>
            <w:r>
              <w:rPr>
                <w:w w:val="195"/>
                <w:sz w:val="21"/>
              </w:rPr>
              <w:t>–</w:t>
            </w:r>
          </w:p>
        </w:tc>
        <w:tc>
          <w:tcPr>
            <w:tcW w:w="4236" w:type="dxa"/>
            <w:tcBorders>
              <w:bottom w:val="nil"/>
              <w:right w:val="nil"/>
            </w:tcBorders>
            <w:shd w:val="clear" w:color="auto" w:fill="EDECF3"/>
          </w:tcPr>
          <w:p>
            <w:pPr>
              <w:pStyle w:val="TableParagraph"/>
              <w:spacing w:line="444" w:lineRule="auto" w:before="93"/>
              <w:ind w:left="66" w:right="1828"/>
              <w:rPr>
                <w:sz w:val="21"/>
              </w:rPr>
            </w:pPr>
            <w:r>
              <w:rPr>
                <w:spacing w:val="-2"/>
                <w:w w:val="105"/>
                <w:sz w:val="21"/>
              </w:rPr>
              <w:t>Hemocromatose </w:t>
            </w:r>
            <w:r>
              <w:rPr>
                <w:w w:val="105"/>
                <w:sz w:val="21"/>
              </w:rPr>
              <w:t>Doença de </w:t>
            </w:r>
            <w:r>
              <w:rPr>
                <w:w w:val="105"/>
                <w:sz w:val="21"/>
              </w:rPr>
              <w:t>Fabry </w:t>
            </w:r>
            <w:r>
              <w:rPr>
                <w:spacing w:val="-2"/>
                <w:w w:val="105"/>
                <w:sz w:val="21"/>
              </w:rPr>
              <w:t>Glicogenose</w:t>
            </w:r>
          </w:p>
          <w:p>
            <w:pPr>
              <w:pStyle w:val="TableParagraph"/>
              <w:spacing w:line="232" w:lineRule="exact" w:before="0"/>
              <w:ind w:left="66"/>
              <w:rPr>
                <w:sz w:val="21"/>
              </w:rPr>
            </w:pPr>
            <w:r>
              <w:rPr>
                <w:w w:val="105"/>
                <w:sz w:val="21"/>
              </w:rPr>
              <w:t>Infiltração</w:t>
            </w:r>
            <w:r>
              <w:rPr>
                <w:spacing w:val="30"/>
                <w:w w:val="105"/>
                <w:sz w:val="21"/>
              </w:rPr>
              <w:t> </w:t>
            </w:r>
            <w:r>
              <w:rPr>
                <w:spacing w:val="-2"/>
                <w:w w:val="105"/>
                <w:sz w:val="21"/>
              </w:rPr>
              <w:t>gordurosa</w:t>
            </w:r>
          </w:p>
        </w:tc>
      </w:tr>
    </w:tbl>
    <w:p>
      <w:pPr>
        <w:pStyle w:val="BodyText"/>
        <w:spacing w:before="217"/>
        <w:ind w:left="0" w:firstLine="0"/>
        <w:jc w:val="left"/>
        <w:rPr>
          <w:rFonts w:ascii="Microsoft Sans Serif"/>
        </w:rPr>
      </w:pPr>
    </w:p>
    <w:p>
      <w:pPr>
        <w:pStyle w:val="Heading4"/>
      </w:pPr>
      <w:r>
        <w:rPr>
          <w:color w:val="242B67"/>
        </w:rPr>
        <w:t>Cardiomiopatia restritiva </w:t>
      </w:r>
      <w:r>
        <w:rPr>
          <w:color w:val="242B67"/>
          <w:spacing w:val="-2"/>
        </w:rPr>
        <w:t>idiopática</w:t>
      </w:r>
    </w:p>
    <w:p>
      <w:pPr>
        <w:pStyle w:val="BodyText"/>
        <w:spacing w:line="285" w:lineRule="auto" w:before="148"/>
        <w:ind w:right="488"/>
      </w:pPr>
      <w:r>
        <w:rPr/>
        <w:t>A cardiomiopatia restritiva idiopática é uma doença rara, caracterizada por padrão restritivo hemodinâmico na ausência</w:t>
      </w:r>
      <w:r>
        <w:rPr>
          <w:spacing w:val="-4"/>
        </w:rPr>
        <w:t> </w:t>
      </w:r>
      <w:r>
        <w:rPr/>
        <w:t>de</w:t>
      </w:r>
      <w:r>
        <w:rPr>
          <w:spacing w:val="-4"/>
        </w:rPr>
        <w:t> </w:t>
      </w:r>
      <w:r>
        <w:rPr/>
        <w:t>alterações endomiocárdicas, pericárdicas ou</w:t>
      </w:r>
      <w:r>
        <w:rPr>
          <w:spacing w:val="-2"/>
        </w:rPr>
        <w:t> </w:t>
      </w:r>
      <w:r>
        <w:rPr/>
        <w:t>de</w:t>
      </w:r>
      <w:r>
        <w:rPr>
          <w:spacing w:val="-4"/>
        </w:rPr>
        <w:t> </w:t>
      </w:r>
      <w:r>
        <w:rPr/>
        <w:t>cardiopatias específicas.</w:t>
      </w:r>
      <w:r>
        <w:rPr>
          <w:vertAlign w:val="superscript"/>
        </w:rPr>
        <w:t>7</w:t>
      </w:r>
      <w:r>
        <w:rPr>
          <w:vertAlign w:val="baseline"/>
        </w:rPr>
        <w:t> Acomete</w:t>
      </w:r>
      <w:r>
        <w:rPr>
          <w:spacing w:val="-5"/>
          <w:vertAlign w:val="baseline"/>
        </w:rPr>
        <w:t> </w:t>
      </w:r>
      <w:r>
        <w:rPr>
          <w:vertAlign w:val="baseline"/>
        </w:rPr>
        <w:t>indivíduos em</w:t>
      </w:r>
      <w:r>
        <w:rPr>
          <w:spacing w:val="-3"/>
          <w:vertAlign w:val="baseline"/>
        </w:rPr>
        <w:t> </w:t>
      </w:r>
      <w:r>
        <w:rPr>
          <w:vertAlign w:val="baseline"/>
        </w:rPr>
        <w:t>faixa etária</w:t>
      </w:r>
      <w:r>
        <w:rPr>
          <w:spacing w:val="-1"/>
          <w:vertAlign w:val="baseline"/>
        </w:rPr>
        <w:t> </w:t>
      </w:r>
      <w:r>
        <w:rPr>
          <w:vertAlign w:val="baseline"/>
        </w:rPr>
        <w:t>mais avançada</w:t>
      </w:r>
      <w:r>
        <w:rPr>
          <w:spacing w:val="-1"/>
          <w:vertAlign w:val="baseline"/>
        </w:rPr>
        <w:t> </w:t>
      </w:r>
      <w:r>
        <w:rPr>
          <w:vertAlign w:val="baseline"/>
        </w:rPr>
        <w:t>– quinta, sexta</w:t>
      </w:r>
      <w:r>
        <w:rPr>
          <w:spacing w:val="-1"/>
          <w:vertAlign w:val="baseline"/>
        </w:rPr>
        <w:t> </w:t>
      </w:r>
      <w:r>
        <w:rPr>
          <w:vertAlign w:val="baseline"/>
        </w:rPr>
        <w:t>e</w:t>
      </w:r>
      <w:r>
        <w:rPr>
          <w:spacing w:val="-1"/>
          <w:vertAlign w:val="baseline"/>
        </w:rPr>
        <w:t> </w:t>
      </w:r>
      <w:r>
        <w:rPr>
          <w:vertAlign w:val="baseline"/>
        </w:rPr>
        <w:t>sétima</w:t>
      </w:r>
      <w:r>
        <w:rPr>
          <w:spacing w:val="-1"/>
          <w:vertAlign w:val="baseline"/>
        </w:rPr>
        <w:t> </w:t>
      </w:r>
      <w:r>
        <w:rPr>
          <w:vertAlign w:val="baseline"/>
        </w:rPr>
        <w:t>décadas de</w:t>
      </w:r>
      <w:r>
        <w:rPr>
          <w:spacing w:val="-1"/>
          <w:vertAlign w:val="baseline"/>
        </w:rPr>
        <w:t> </w:t>
      </w:r>
      <w:r>
        <w:rPr>
          <w:vertAlign w:val="baseline"/>
        </w:rPr>
        <w:t>vida.</w:t>
      </w:r>
      <w:r>
        <w:rPr>
          <w:vertAlign w:val="superscript"/>
        </w:rPr>
        <w:t>8</w:t>
      </w:r>
      <w:r>
        <w:rPr>
          <w:vertAlign w:val="baseline"/>
        </w:rPr>
        <w:t> Na forma familiar, a idade de acometimento é mais precoce (segunda e terceira décadas) e a transmissão é autossômica dominante.</w:t>
      </w:r>
    </w:p>
    <w:p>
      <w:pPr>
        <w:pStyle w:val="BodyText"/>
        <w:spacing w:before="38"/>
        <w:ind w:left="414" w:firstLine="0"/>
      </w:pPr>
      <w:r>
        <w:rPr/>
        <w:t>Macroscopicamente,</w:t>
      </w:r>
      <w:r>
        <w:rPr>
          <w:spacing w:val="-5"/>
        </w:rPr>
        <w:t> </w:t>
      </w:r>
      <w:r>
        <w:rPr/>
        <w:t>três</w:t>
      </w:r>
      <w:r>
        <w:rPr>
          <w:spacing w:val="-5"/>
        </w:rPr>
        <w:t> </w:t>
      </w:r>
      <w:r>
        <w:rPr/>
        <w:t>formas</w:t>
      </w:r>
      <w:r>
        <w:rPr>
          <w:spacing w:val="-5"/>
        </w:rPr>
        <w:t> </w:t>
      </w:r>
      <w:r>
        <w:rPr/>
        <w:t>distintas</w:t>
      </w:r>
      <w:r>
        <w:rPr>
          <w:spacing w:val="-5"/>
        </w:rPr>
        <w:t> </w:t>
      </w:r>
      <w:r>
        <w:rPr/>
        <w:t>podem</w:t>
      </w:r>
      <w:r>
        <w:rPr>
          <w:spacing w:val="-12"/>
        </w:rPr>
        <w:t> </w:t>
      </w:r>
      <w:r>
        <w:rPr/>
        <w:t>ser</w:t>
      </w:r>
      <w:r>
        <w:rPr>
          <w:spacing w:val="-7"/>
        </w:rPr>
        <w:t> </w:t>
      </w:r>
      <w:r>
        <w:rPr>
          <w:spacing w:val="-2"/>
        </w:rPr>
        <w:t>identificadas:</w:t>
      </w:r>
    </w:p>
    <w:p>
      <w:pPr>
        <w:pStyle w:val="ListParagraph"/>
        <w:numPr>
          <w:ilvl w:val="0"/>
          <w:numId w:val="12"/>
        </w:numPr>
        <w:tabs>
          <w:tab w:pos="435" w:val="left" w:leader="none"/>
        </w:tabs>
        <w:spacing w:line="276" w:lineRule="auto" w:before="200" w:after="0"/>
        <w:ind w:left="68" w:right="489" w:firstLine="0"/>
        <w:jc w:val="left"/>
        <w:rPr>
          <w:sz w:val="23"/>
        </w:rPr>
      </w:pPr>
      <w:r>
        <w:rPr>
          <w:sz w:val="23"/>
        </w:rPr>
        <w:t>Cardiomiopatia</w:t>
      </w:r>
      <w:r>
        <w:rPr>
          <w:spacing w:val="29"/>
          <w:sz w:val="23"/>
        </w:rPr>
        <w:t> </w:t>
      </w:r>
      <w:r>
        <w:rPr>
          <w:sz w:val="23"/>
        </w:rPr>
        <w:t>restritiva</w:t>
      </w:r>
      <w:r>
        <w:rPr>
          <w:spacing w:val="29"/>
          <w:sz w:val="23"/>
        </w:rPr>
        <w:t> </w:t>
      </w:r>
      <w:r>
        <w:rPr>
          <w:sz w:val="23"/>
        </w:rPr>
        <w:t>pura,</w:t>
      </w:r>
      <w:r>
        <w:rPr>
          <w:spacing w:val="40"/>
          <w:sz w:val="23"/>
        </w:rPr>
        <w:t> </w:t>
      </w:r>
      <w:r>
        <w:rPr>
          <w:sz w:val="23"/>
        </w:rPr>
        <w:t>na</w:t>
      </w:r>
      <w:r>
        <w:rPr>
          <w:spacing w:val="29"/>
          <w:sz w:val="23"/>
        </w:rPr>
        <w:t> </w:t>
      </w:r>
      <w:r>
        <w:rPr>
          <w:sz w:val="23"/>
        </w:rPr>
        <w:t>qual</w:t>
      </w:r>
      <w:r>
        <w:rPr>
          <w:spacing w:val="34"/>
          <w:sz w:val="23"/>
        </w:rPr>
        <w:t> </w:t>
      </w:r>
      <w:r>
        <w:rPr>
          <w:sz w:val="23"/>
        </w:rPr>
        <w:t>o</w:t>
      </w:r>
      <w:r>
        <w:rPr>
          <w:spacing w:val="32"/>
          <w:sz w:val="23"/>
        </w:rPr>
        <w:t> </w:t>
      </w:r>
      <w:r>
        <w:rPr>
          <w:sz w:val="23"/>
        </w:rPr>
        <w:t>peso</w:t>
      </w:r>
      <w:r>
        <w:rPr>
          <w:spacing w:val="32"/>
          <w:sz w:val="23"/>
        </w:rPr>
        <w:t> </w:t>
      </w:r>
      <w:r>
        <w:rPr>
          <w:sz w:val="23"/>
        </w:rPr>
        <w:t>do</w:t>
      </w:r>
      <w:r>
        <w:rPr>
          <w:spacing w:val="32"/>
          <w:sz w:val="23"/>
        </w:rPr>
        <w:t> </w:t>
      </w:r>
      <w:r>
        <w:rPr>
          <w:sz w:val="23"/>
        </w:rPr>
        <w:t>coração</w:t>
      </w:r>
      <w:r>
        <w:rPr>
          <w:spacing w:val="32"/>
          <w:sz w:val="23"/>
        </w:rPr>
        <w:t> </w:t>
      </w:r>
      <w:r>
        <w:rPr>
          <w:sz w:val="23"/>
        </w:rPr>
        <w:t>é</w:t>
      </w:r>
      <w:r>
        <w:rPr>
          <w:spacing w:val="29"/>
          <w:sz w:val="23"/>
        </w:rPr>
        <w:t> </w:t>
      </w:r>
      <w:r>
        <w:rPr>
          <w:sz w:val="23"/>
        </w:rPr>
        <w:t>normal,</w:t>
      </w:r>
      <w:r>
        <w:rPr>
          <w:spacing w:val="40"/>
          <w:sz w:val="23"/>
        </w:rPr>
        <w:t> </w:t>
      </w:r>
      <w:r>
        <w:rPr>
          <w:sz w:val="23"/>
        </w:rPr>
        <w:t>os</w:t>
      </w:r>
      <w:r>
        <w:rPr>
          <w:spacing w:val="40"/>
          <w:sz w:val="23"/>
        </w:rPr>
        <w:t> </w:t>
      </w:r>
      <w:r>
        <w:rPr>
          <w:sz w:val="23"/>
        </w:rPr>
        <w:t>ventrículos</w:t>
      </w:r>
      <w:r>
        <w:rPr>
          <w:spacing w:val="40"/>
          <w:sz w:val="23"/>
        </w:rPr>
        <w:t> </w:t>
      </w:r>
      <w:r>
        <w:rPr>
          <w:sz w:val="23"/>
        </w:rPr>
        <w:t>são</w:t>
      </w:r>
      <w:r>
        <w:rPr>
          <w:spacing w:val="32"/>
          <w:sz w:val="23"/>
        </w:rPr>
        <w:t> </w:t>
      </w:r>
      <w:r>
        <w:rPr>
          <w:sz w:val="23"/>
        </w:rPr>
        <w:t>pequenos</w:t>
      </w:r>
      <w:r>
        <w:rPr>
          <w:spacing w:val="40"/>
          <w:sz w:val="23"/>
        </w:rPr>
        <w:t> </w:t>
      </w:r>
      <w:r>
        <w:rPr>
          <w:sz w:val="23"/>
        </w:rPr>
        <w:t>e</w:t>
      </w:r>
      <w:r>
        <w:rPr>
          <w:spacing w:val="29"/>
          <w:sz w:val="23"/>
        </w:rPr>
        <w:t> </w:t>
      </w:r>
      <w:r>
        <w:rPr>
          <w:sz w:val="23"/>
        </w:rPr>
        <w:t>não</w:t>
      </w:r>
      <w:r>
        <w:rPr>
          <w:spacing w:val="32"/>
          <w:sz w:val="23"/>
        </w:rPr>
        <w:t> </w:t>
      </w:r>
      <w:r>
        <w:rPr>
          <w:sz w:val="23"/>
        </w:rPr>
        <w:t>há </w:t>
      </w:r>
      <w:r>
        <w:rPr>
          <w:spacing w:val="-2"/>
          <w:sz w:val="23"/>
        </w:rPr>
        <w:t>hipertrofia</w:t>
      </w:r>
    </w:p>
    <w:p>
      <w:pPr>
        <w:pStyle w:val="ListParagraph"/>
        <w:numPr>
          <w:ilvl w:val="0"/>
          <w:numId w:val="12"/>
        </w:numPr>
        <w:tabs>
          <w:tab w:pos="397" w:val="left" w:leader="none"/>
        </w:tabs>
        <w:spacing w:line="240" w:lineRule="auto" w:before="33" w:after="0"/>
        <w:ind w:left="397" w:right="0" w:hanging="329"/>
        <w:jc w:val="left"/>
        <w:rPr>
          <w:sz w:val="23"/>
        </w:rPr>
      </w:pPr>
      <w:r>
        <w:rPr>
          <w:sz w:val="23"/>
        </w:rPr>
        <w:t>CMH</w:t>
      </w:r>
      <w:r>
        <w:rPr>
          <w:spacing w:val="-11"/>
          <w:sz w:val="23"/>
        </w:rPr>
        <w:t> </w:t>
      </w:r>
      <w:r>
        <w:rPr>
          <w:sz w:val="23"/>
        </w:rPr>
        <w:t>restritiva,</w:t>
      </w:r>
      <w:r>
        <w:rPr>
          <w:spacing w:val="3"/>
          <w:sz w:val="23"/>
        </w:rPr>
        <w:t> </w:t>
      </w:r>
      <w:r>
        <w:rPr>
          <w:sz w:val="23"/>
        </w:rPr>
        <w:t>na</w:t>
      </w:r>
      <w:r>
        <w:rPr>
          <w:spacing w:val="-8"/>
          <w:sz w:val="23"/>
        </w:rPr>
        <w:t> </w:t>
      </w:r>
      <w:r>
        <w:rPr>
          <w:sz w:val="23"/>
        </w:rPr>
        <w:t>qual</w:t>
      </w:r>
      <w:r>
        <w:rPr>
          <w:spacing w:val="-3"/>
          <w:sz w:val="23"/>
        </w:rPr>
        <w:t> </w:t>
      </w:r>
      <w:r>
        <w:rPr>
          <w:sz w:val="23"/>
        </w:rPr>
        <w:t>há</w:t>
      </w:r>
      <w:r>
        <w:rPr>
          <w:spacing w:val="-8"/>
          <w:sz w:val="23"/>
        </w:rPr>
        <w:t> </w:t>
      </w:r>
      <w:r>
        <w:rPr>
          <w:sz w:val="23"/>
        </w:rPr>
        <w:t>aumento</w:t>
      </w:r>
      <w:r>
        <w:rPr>
          <w:spacing w:val="-6"/>
          <w:sz w:val="23"/>
        </w:rPr>
        <w:t> </w:t>
      </w:r>
      <w:r>
        <w:rPr>
          <w:sz w:val="23"/>
        </w:rPr>
        <w:t>do</w:t>
      </w:r>
      <w:r>
        <w:rPr>
          <w:spacing w:val="-5"/>
          <w:sz w:val="23"/>
        </w:rPr>
        <w:t> </w:t>
      </w:r>
      <w:r>
        <w:rPr>
          <w:sz w:val="23"/>
        </w:rPr>
        <w:t>peso</w:t>
      </w:r>
      <w:r>
        <w:rPr>
          <w:spacing w:val="-6"/>
          <w:sz w:val="23"/>
        </w:rPr>
        <w:t> </w:t>
      </w:r>
      <w:r>
        <w:rPr>
          <w:sz w:val="23"/>
        </w:rPr>
        <w:t>do</w:t>
      </w:r>
      <w:r>
        <w:rPr>
          <w:spacing w:val="-6"/>
          <w:sz w:val="23"/>
        </w:rPr>
        <w:t> </w:t>
      </w:r>
      <w:r>
        <w:rPr>
          <w:sz w:val="23"/>
        </w:rPr>
        <w:t>coração</w:t>
      </w:r>
      <w:r>
        <w:rPr>
          <w:spacing w:val="-5"/>
          <w:sz w:val="23"/>
        </w:rPr>
        <w:t> </w:t>
      </w:r>
      <w:r>
        <w:rPr>
          <w:sz w:val="23"/>
        </w:rPr>
        <w:t>associado</w:t>
      </w:r>
      <w:r>
        <w:rPr>
          <w:spacing w:val="-6"/>
          <w:sz w:val="23"/>
        </w:rPr>
        <w:t> </w:t>
      </w:r>
      <w:r>
        <w:rPr>
          <w:sz w:val="23"/>
        </w:rPr>
        <w:t>à</w:t>
      </w:r>
      <w:r>
        <w:rPr>
          <w:spacing w:val="-8"/>
          <w:sz w:val="23"/>
        </w:rPr>
        <w:t> </w:t>
      </w:r>
      <w:r>
        <w:rPr>
          <w:sz w:val="23"/>
        </w:rPr>
        <w:t>hipertrofia</w:t>
      </w:r>
      <w:r>
        <w:rPr>
          <w:spacing w:val="-8"/>
          <w:sz w:val="23"/>
        </w:rPr>
        <w:t> </w:t>
      </w:r>
      <w:r>
        <w:rPr>
          <w:sz w:val="23"/>
        </w:rPr>
        <w:t>de</w:t>
      </w:r>
      <w:r>
        <w:rPr>
          <w:spacing w:val="-8"/>
          <w:sz w:val="23"/>
        </w:rPr>
        <w:t> </w:t>
      </w:r>
      <w:r>
        <w:rPr>
          <w:sz w:val="23"/>
        </w:rPr>
        <w:t>parede</w:t>
      </w:r>
      <w:r>
        <w:rPr>
          <w:spacing w:val="-8"/>
          <w:sz w:val="23"/>
        </w:rPr>
        <w:t> </w:t>
      </w:r>
      <w:r>
        <w:rPr>
          <w:sz w:val="23"/>
        </w:rPr>
        <w:t>livre</w:t>
      </w:r>
      <w:r>
        <w:rPr>
          <w:spacing w:val="-8"/>
          <w:sz w:val="23"/>
        </w:rPr>
        <w:t> </w:t>
      </w:r>
      <w:r>
        <w:rPr>
          <w:sz w:val="23"/>
        </w:rPr>
        <w:t>ou</w:t>
      </w:r>
      <w:r>
        <w:rPr>
          <w:spacing w:val="-5"/>
          <w:sz w:val="23"/>
        </w:rPr>
        <w:t> </w:t>
      </w:r>
      <w:r>
        <w:rPr>
          <w:spacing w:val="-2"/>
          <w:sz w:val="23"/>
        </w:rPr>
        <w:t>septo</w:t>
      </w:r>
    </w:p>
    <w:p>
      <w:pPr>
        <w:pStyle w:val="ListParagraph"/>
        <w:numPr>
          <w:ilvl w:val="0"/>
          <w:numId w:val="12"/>
        </w:numPr>
        <w:tabs>
          <w:tab w:pos="397" w:val="left" w:leader="none"/>
        </w:tabs>
        <w:spacing w:line="240" w:lineRule="auto" w:before="56" w:after="0"/>
        <w:ind w:left="397" w:right="0" w:hanging="329"/>
        <w:jc w:val="left"/>
        <w:rPr>
          <w:sz w:val="23"/>
        </w:rPr>
      </w:pPr>
      <w:r>
        <w:rPr>
          <w:sz w:val="23"/>
        </w:rPr>
        <w:t>Forma</w:t>
      </w:r>
      <w:r>
        <w:rPr>
          <w:spacing w:val="-11"/>
          <w:sz w:val="23"/>
        </w:rPr>
        <w:t> </w:t>
      </w:r>
      <w:r>
        <w:rPr>
          <w:sz w:val="23"/>
        </w:rPr>
        <w:t>dilatada</w:t>
      </w:r>
      <w:r>
        <w:rPr>
          <w:spacing w:val="-11"/>
          <w:sz w:val="23"/>
        </w:rPr>
        <w:t> </w:t>
      </w:r>
      <w:r>
        <w:rPr>
          <w:sz w:val="23"/>
        </w:rPr>
        <w:t>restritiva, na</w:t>
      </w:r>
      <w:r>
        <w:rPr>
          <w:spacing w:val="-11"/>
          <w:sz w:val="23"/>
        </w:rPr>
        <w:t> </w:t>
      </w:r>
      <w:r>
        <w:rPr>
          <w:sz w:val="23"/>
        </w:rPr>
        <w:t>qual</w:t>
      </w:r>
      <w:r>
        <w:rPr>
          <w:spacing w:val="-5"/>
          <w:sz w:val="23"/>
        </w:rPr>
        <w:t> </w:t>
      </w:r>
      <w:r>
        <w:rPr>
          <w:sz w:val="23"/>
        </w:rPr>
        <w:t>os</w:t>
      </w:r>
      <w:r>
        <w:rPr>
          <w:spacing w:val="-1"/>
          <w:sz w:val="23"/>
        </w:rPr>
        <w:t> </w:t>
      </w:r>
      <w:r>
        <w:rPr>
          <w:sz w:val="23"/>
        </w:rPr>
        <w:t>ventrículos</w:t>
      </w:r>
      <w:r>
        <w:rPr>
          <w:spacing w:val="-1"/>
          <w:sz w:val="23"/>
        </w:rPr>
        <w:t> </w:t>
      </w:r>
      <w:r>
        <w:rPr>
          <w:sz w:val="23"/>
        </w:rPr>
        <w:t>são</w:t>
      </w:r>
      <w:r>
        <w:rPr>
          <w:spacing w:val="-8"/>
          <w:sz w:val="23"/>
        </w:rPr>
        <w:t> </w:t>
      </w:r>
      <w:r>
        <w:rPr>
          <w:sz w:val="23"/>
        </w:rPr>
        <w:t>dilatados</w:t>
      </w:r>
      <w:r>
        <w:rPr>
          <w:spacing w:val="-1"/>
          <w:sz w:val="23"/>
        </w:rPr>
        <w:t> </w:t>
      </w:r>
      <w:r>
        <w:rPr>
          <w:sz w:val="23"/>
        </w:rPr>
        <w:t>com</w:t>
      </w:r>
      <w:r>
        <w:rPr>
          <w:spacing w:val="-8"/>
          <w:sz w:val="23"/>
        </w:rPr>
        <w:t> </w:t>
      </w:r>
      <w:r>
        <w:rPr>
          <w:sz w:val="23"/>
        </w:rPr>
        <w:t>espessuras </w:t>
      </w:r>
      <w:r>
        <w:rPr>
          <w:spacing w:val="-2"/>
          <w:sz w:val="23"/>
        </w:rPr>
        <w:t>normais.</w:t>
      </w:r>
    </w:p>
    <w:p>
      <w:pPr>
        <w:pStyle w:val="BodyText"/>
        <w:spacing w:before="31"/>
        <w:ind w:left="0" w:firstLine="0"/>
        <w:jc w:val="left"/>
      </w:pPr>
    </w:p>
    <w:p>
      <w:pPr>
        <w:pStyle w:val="BodyText"/>
        <w:spacing w:before="0"/>
        <w:ind w:left="414" w:firstLine="0"/>
      </w:pPr>
      <w:r>
        <w:rPr/>
        <w:t>As</w:t>
      </w:r>
      <w:r>
        <w:rPr>
          <w:spacing w:val="-6"/>
        </w:rPr>
        <w:t> </w:t>
      </w:r>
      <w:r>
        <w:rPr/>
        <w:t>características</w:t>
      </w:r>
      <w:r>
        <w:rPr>
          <w:spacing w:val="-3"/>
        </w:rPr>
        <w:t> </w:t>
      </w:r>
      <w:r>
        <w:rPr/>
        <w:t>histopatológicas</w:t>
      </w:r>
      <w:r>
        <w:rPr>
          <w:spacing w:val="-3"/>
        </w:rPr>
        <w:t> </w:t>
      </w:r>
      <w:r>
        <w:rPr/>
        <w:t>são:</w:t>
      </w:r>
      <w:r>
        <w:rPr>
          <w:spacing w:val="-7"/>
        </w:rPr>
        <w:t> </w:t>
      </w:r>
      <w:r>
        <w:rPr/>
        <w:t>hipertrofia,</w:t>
      </w:r>
      <w:r>
        <w:rPr>
          <w:spacing w:val="-3"/>
        </w:rPr>
        <w:t> </w:t>
      </w:r>
      <w:r>
        <w:rPr/>
        <w:t>fibrose</w:t>
      </w:r>
      <w:r>
        <w:rPr>
          <w:spacing w:val="-13"/>
        </w:rPr>
        <w:t> </w:t>
      </w:r>
      <w:r>
        <w:rPr/>
        <w:t>intersticial</w:t>
      </w:r>
      <w:r>
        <w:rPr>
          <w:spacing w:val="-8"/>
        </w:rPr>
        <w:t> </w:t>
      </w:r>
      <w:r>
        <w:rPr/>
        <w:t>e</w:t>
      </w:r>
      <w:r>
        <w:rPr>
          <w:spacing w:val="-12"/>
        </w:rPr>
        <w:t> </w:t>
      </w:r>
      <w:r>
        <w:rPr/>
        <w:t>desarranjo</w:t>
      </w:r>
      <w:r>
        <w:rPr>
          <w:spacing w:val="-10"/>
        </w:rPr>
        <w:t> </w:t>
      </w:r>
      <w:r>
        <w:rPr/>
        <w:t>de</w:t>
      </w:r>
      <w:r>
        <w:rPr>
          <w:spacing w:val="-12"/>
        </w:rPr>
        <w:t> </w:t>
      </w:r>
      <w:r>
        <w:rPr>
          <w:spacing w:val="-2"/>
        </w:rPr>
        <w:t>fibras.</w:t>
      </w:r>
      <w:r>
        <w:rPr>
          <w:spacing w:val="-2"/>
          <w:vertAlign w:val="superscript"/>
        </w:rPr>
        <w:t>7</w:t>
      </w:r>
    </w:p>
    <w:p>
      <w:pPr>
        <w:pStyle w:val="BodyText"/>
        <w:spacing w:line="283" w:lineRule="auto" w:before="88"/>
        <w:ind w:right="487"/>
      </w:pPr>
      <w:r>
        <w:rPr/>
        <w:t>Clinicamente, os sintomas são semelhantes aos das síndromes restritivas, sendo um dado importante na diferenciação</w:t>
      </w:r>
      <w:r>
        <w:rPr>
          <w:spacing w:val="-10"/>
        </w:rPr>
        <w:t> </w:t>
      </w:r>
      <w:r>
        <w:rPr/>
        <w:t>com</w:t>
      </w:r>
      <w:r>
        <w:rPr>
          <w:spacing w:val="-10"/>
        </w:rPr>
        <w:t> </w:t>
      </w:r>
      <w:r>
        <w:rPr/>
        <w:t>as</w:t>
      </w:r>
      <w:r>
        <w:rPr>
          <w:spacing w:val="-2"/>
        </w:rPr>
        <w:t> </w:t>
      </w:r>
      <w:r>
        <w:rPr/>
        <w:t>pericardiopatias</w:t>
      </w:r>
      <w:r>
        <w:rPr>
          <w:spacing w:val="-2"/>
        </w:rPr>
        <w:t> </w:t>
      </w:r>
      <w:r>
        <w:rPr/>
        <w:t>a</w:t>
      </w:r>
      <w:r>
        <w:rPr>
          <w:spacing w:val="-12"/>
        </w:rPr>
        <w:t> </w:t>
      </w:r>
      <w:r>
        <w:rPr/>
        <w:t>existência</w:t>
      </w:r>
      <w:r>
        <w:rPr>
          <w:spacing w:val="-12"/>
        </w:rPr>
        <w:t> </w:t>
      </w:r>
      <w:r>
        <w:rPr/>
        <w:t>de</w:t>
      </w:r>
      <w:r>
        <w:rPr>
          <w:spacing w:val="-12"/>
        </w:rPr>
        <w:t> </w:t>
      </w:r>
      <w:r>
        <w:rPr/>
        <w:t>ICC</w:t>
      </w:r>
      <w:r>
        <w:rPr>
          <w:spacing w:val="-2"/>
        </w:rPr>
        <w:t> </w:t>
      </w:r>
      <w:r>
        <w:rPr/>
        <w:t>esquerda,</w:t>
      </w:r>
      <w:r>
        <w:rPr>
          <w:spacing w:val="-2"/>
        </w:rPr>
        <w:t> </w:t>
      </w:r>
      <w:r>
        <w:rPr/>
        <w:t>achado</w:t>
      </w:r>
      <w:r>
        <w:rPr>
          <w:spacing w:val="-10"/>
        </w:rPr>
        <w:t> </w:t>
      </w:r>
      <w:r>
        <w:rPr/>
        <w:t>infrequente</w:t>
      </w:r>
      <w:r>
        <w:rPr>
          <w:spacing w:val="-12"/>
        </w:rPr>
        <w:t> </w:t>
      </w:r>
      <w:r>
        <w:rPr/>
        <w:t>nas</w:t>
      </w:r>
      <w:r>
        <w:rPr>
          <w:spacing w:val="-2"/>
        </w:rPr>
        <w:t> </w:t>
      </w:r>
      <w:r>
        <w:rPr/>
        <w:t>afecções</w:t>
      </w:r>
      <w:r>
        <w:rPr>
          <w:spacing w:val="-2"/>
        </w:rPr>
        <w:t> </w:t>
      </w:r>
      <w:r>
        <w:rPr/>
        <w:t>do</w:t>
      </w:r>
      <w:r>
        <w:rPr>
          <w:spacing w:val="-10"/>
        </w:rPr>
        <w:t> </w:t>
      </w:r>
      <w:r>
        <w:rPr/>
        <w:t>pericárdio.</w:t>
      </w:r>
      <w:r>
        <w:rPr>
          <w:vertAlign w:val="superscript"/>
        </w:rPr>
        <w:t>9</w:t>
      </w:r>
      <w:r>
        <w:rPr>
          <w:vertAlign w:val="baseline"/>
        </w:rPr>
        <w:t> Pode estar associada a miopatia esquelética e a bloqueios cardíacos.</w:t>
      </w:r>
    </w:p>
    <w:p>
      <w:pPr>
        <w:pStyle w:val="BodyText"/>
        <w:spacing w:before="57"/>
        <w:ind w:left="414" w:firstLine="0"/>
      </w:pPr>
      <w:r>
        <w:rPr/>
        <w:t>Ao</w:t>
      </w:r>
      <w:r>
        <w:rPr>
          <w:spacing w:val="24"/>
        </w:rPr>
        <w:t> </w:t>
      </w:r>
      <w:r>
        <w:rPr/>
        <w:t>ECG,</w:t>
      </w:r>
      <w:r>
        <w:rPr>
          <w:spacing w:val="35"/>
        </w:rPr>
        <w:t> </w:t>
      </w:r>
      <w:r>
        <w:rPr/>
        <w:t>evidenciam-se</w:t>
      </w:r>
      <w:r>
        <w:rPr>
          <w:spacing w:val="25"/>
        </w:rPr>
        <w:t> </w:t>
      </w:r>
      <w:r>
        <w:rPr/>
        <w:t>alterações,</w:t>
      </w:r>
      <w:r>
        <w:rPr>
          <w:spacing w:val="35"/>
        </w:rPr>
        <w:t> </w:t>
      </w:r>
      <w:r>
        <w:rPr/>
        <w:t>como</w:t>
      </w:r>
      <w:r>
        <w:rPr>
          <w:spacing w:val="26"/>
        </w:rPr>
        <w:t> </w:t>
      </w:r>
      <w:r>
        <w:rPr/>
        <w:t>FA,</w:t>
      </w:r>
      <w:r>
        <w:rPr>
          <w:spacing w:val="35"/>
        </w:rPr>
        <w:t> </w:t>
      </w:r>
      <w:r>
        <w:rPr/>
        <w:t>alterações</w:t>
      </w:r>
      <w:r>
        <w:rPr>
          <w:spacing w:val="35"/>
        </w:rPr>
        <w:t> </w:t>
      </w:r>
      <w:r>
        <w:rPr/>
        <w:t>de</w:t>
      </w:r>
      <w:r>
        <w:rPr>
          <w:spacing w:val="25"/>
        </w:rPr>
        <w:t> </w:t>
      </w:r>
      <w:r>
        <w:rPr/>
        <w:t>repolarização</w:t>
      </w:r>
      <w:r>
        <w:rPr>
          <w:spacing w:val="27"/>
        </w:rPr>
        <w:t> </w:t>
      </w:r>
      <w:r>
        <w:rPr/>
        <w:t>ventricular,</w:t>
      </w:r>
      <w:r>
        <w:rPr>
          <w:spacing w:val="35"/>
        </w:rPr>
        <w:t> </w:t>
      </w:r>
      <w:r>
        <w:rPr/>
        <w:t>sobrecargas</w:t>
      </w:r>
      <w:r>
        <w:rPr>
          <w:spacing w:val="35"/>
        </w:rPr>
        <w:t> </w:t>
      </w:r>
      <w:r>
        <w:rPr/>
        <w:t>atriais</w:t>
      </w:r>
      <w:r>
        <w:rPr>
          <w:spacing w:val="35"/>
        </w:rPr>
        <w:t> </w:t>
      </w:r>
      <w:r>
        <w:rPr>
          <w:spacing w:val="-10"/>
        </w:rPr>
        <w:t>e</w:t>
      </w:r>
    </w:p>
    <w:p>
      <w:pPr>
        <w:pStyle w:val="BodyText"/>
        <w:spacing w:after="0"/>
        <w:sectPr>
          <w:pgSz w:w="11900" w:h="16840"/>
          <w:pgMar w:top="200" w:bottom="280" w:left="566" w:right="141"/>
        </w:sectPr>
      </w:pPr>
    </w:p>
    <w:p>
      <w:pPr>
        <w:pStyle w:val="BodyText"/>
        <w:spacing w:line="276" w:lineRule="auto" w:before="76"/>
        <w:ind w:right="497" w:firstLine="0"/>
      </w:pPr>
      <w:r>
        <w:rPr/>
        <w:t>ventriculares, áreas inativas, bloqueios de</w:t>
      </w:r>
      <w:r>
        <w:rPr>
          <w:spacing w:val="-5"/>
        </w:rPr>
        <w:t> </w:t>
      </w:r>
      <w:r>
        <w:rPr/>
        <w:t>ramo</w:t>
      </w:r>
      <w:r>
        <w:rPr>
          <w:spacing w:val="-2"/>
        </w:rPr>
        <w:t> </w:t>
      </w:r>
      <w:r>
        <w:rPr/>
        <w:t>e</w:t>
      </w:r>
      <w:r>
        <w:rPr>
          <w:spacing w:val="-5"/>
        </w:rPr>
        <w:t> </w:t>
      </w:r>
      <w:r>
        <w:rPr/>
        <w:t>bloqueio</w:t>
      </w:r>
      <w:r>
        <w:rPr>
          <w:spacing w:val="-2"/>
        </w:rPr>
        <w:t> </w:t>
      </w:r>
      <w:r>
        <w:rPr/>
        <w:t>atrioventricular total. Os achados ecocardiográficos são compatíveis com aumentos atriais, função sistólica ventricular em repouso geralmente preservada, podendo estar presentes hipertrofia ventricular e derrame pericárdico. O estudo com Doppler pulsado, contínuo e tissular pode revelar o padrão restritivo da doença.</w:t>
      </w:r>
    </w:p>
    <w:p>
      <w:pPr>
        <w:pStyle w:val="BodyText"/>
        <w:spacing w:line="290" w:lineRule="auto" w:before="61"/>
        <w:ind w:right="491"/>
      </w:pPr>
      <w:r>
        <w:rPr/>
        <w:t>O resultado dos tratamentos clínico e cirúrgico, como plastia da valva tricúspide, é desfavorável. Portanto, o transplante</w:t>
      </w:r>
      <w:r>
        <w:rPr>
          <w:spacing w:val="-3"/>
        </w:rPr>
        <w:t> </w:t>
      </w:r>
      <w:r>
        <w:rPr/>
        <w:t>pode</w:t>
      </w:r>
      <w:r>
        <w:rPr>
          <w:spacing w:val="-3"/>
        </w:rPr>
        <w:t> </w:t>
      </w:r>
      <w:r>
        <w:rPr/>
        <w:t>ser a</w:t>
      </w:r>
      <w:r>
        <w:rPr>
          <w:spacing w:val="-3"/>
        </w:rPr>
        <w:t> </w:t>
      </w:r>
      <w:r>
        <w:rPr/>
        <w:t>opção mais adequada</w:t>
      </w:r>
      <w:r>
        <w:rPr>
          <w:spacing w:val="-3"/>
        </w:rPr>
        <w:t> </w:t>
      </w:r>
      <w:r>
        <w:rPr/>
        <w:t>aos pacientes sintomáticos em classe</w:t>
      </w:r>
      <w:r>
        <w:rPr>
          <w:spacing w:val="-3"/>
        </w:rPr>
        <w:t> </w:t>
      </w:r>
      <w:r>
        <w:rPr/>
        <w:t>funcional avançada</w:t>
      </w:r>
      <w:r>
        <w:rPr>
          <w:spacing w:val="-3"/>
        </w:rPr>
        <w:t> </w:t>
      </w:r>
      <w:r>
        <w:rPr/>
        <w:t>(III, IV).</w:t>
      </w:r>
      <w:r>
        <w:rPr>
          <w:vertAlign w:val="superscript"/>
        </w:rPr>
        <w:t>9</w:t>
      </w:r>
    </w:p>
    <w:p>
      <w:pPr>
        <w:pStyle w:val="BodyText"/>
        <w:spacing w:before="170"/>
        <w:ind w:left="0" w:firstLine="0"/>
        <w:jc w:val="left"/>
      </w:pPr>
    </w:p>
    <w:p>
      <w:pPr>
        <w:pStyle w:val="Heading4"/>
      </w:pPr>
      <w:r>
        <w:rPr>
          <w:color w:val="242B67"/>
          <w:spacing w:val="-2"/>
        </w:rPr>
        <w:t>Amiloidose</w:t>
      </w:r>
    </w:p>
    <w:p>
      <w:pPr>
        <w:pStyle w:val="BodyText"/>
        <w:spacing w:line="280" w:lineRule="auto" w:before="132"/>
        <w:ind w:right="491"/>
      </w:pPr>
      <w:r>
        <w:rPr/>
        <w:t>A</w:t>
      </w:r>
      <w:r>
        <w:rPr>
          <w:spacing w:val="-4"/>
        </w:rPr>
        <w:t> </w:t>
      </w:r>
      <w:r>
        <w:rPr/>
        <w:t>amiloidose</w:t>
      </w:r>
      <w:r>
        <w:rPr>
          <w:spacing w:val="-4"/>
        </w:rPr>
        <w:t> </w:t>
      </w:r>
      <w:r>
        <w:rPr/>
        <w:t>é</w:t>
      </w:r>
      <w:r>
        <w:rPr>
          <w:spacing w:val="-4"/>
        </w:rPr>
        <w:t> </w:t>
      </w:r>
      <w:r>
        <w:rPr/>
        <w:t>um</w:t>
      </w:r>
      <w:r>
        <w:rPr>
          <w:spacing w:val="-1"/>
        </w:rPr>
        <w:t> </w:t>
      </w:r>
      <w:r>
        <w:rPr/>
        <w:t>grupo</w:t>
      </w:r>
      <w:r>
        <w:rPr>
          <w:spacing w:val="-1"/>
        </w:rPr>
        <w:t> </w:t>
      </w:r>
      <w:r>
        <w:rPr/>
        <w:t>heterogêneo</w:t>
      </w:r>
      <w:r>
        <w:rPr>
          <w:spacing w:val="-1"/>
        </w:rPr>
        <w:t> </w:t>
      </w:r>
      <w:r>
        <w:rPr/>
        <w:t>de</w:t>
      </w:r>
      <w:r>
        <w:rPr>
          <w:spacing w:val="-4"/>
        </w:rPr>
        <w:t> </w:t>
      </w:r>
      <w:r>
        <w:rPr/>
        <w:t>distúrbios hereditários, inflamatórios ou</w:t>
      </w:r>
      <w:r>
        <w:rPr>
          <w:spacing w:val="-1"/>
        </w:rPr>
        <w:t> </w:t>
      </w:r>
      <w:r>
        <w:rPr/>
        <w:t>neoplásicos que</w:t>
      </w:r>
      <w:r>
        <w:rPr>
          <w:spacing w:val="-4"/>
        </w:rPr>
        <w:t> </w:t>
      </w:r>
      <w:r>
        <w:rPr/>
        <w:t>resultam</w:t>
      </w:r>
      <w:r>
        <w:rPr>
          <w:spacing w:val="-1"/>
        </w:rPr>
        <w:t> </w:t>
      </w:r>
      <w:r>
        <w:rPr/>
        <w:t>em depósitos de</w:t>
      </w:r>
      <w:r>
        <w:rPr>
          <w:spacing w:val="-7"/>
        </w:rPr>
        <w:t> </w:t>
      </w:r>
      <w:r>
        <w:rPr/>
        <w:t>fibrilas amiloides em</w:t>
      </w:r>
      <w:r>
        <w:rPr>
          <w:spacing w:val="-5"/>
        </w:rPr>
        <w:t> </w:t>
      </w:r>
      <w:r>
        <w:rPr/>
        <w:t>diversos órgãos, como</w:t>
      </w:r>
      <w:r>
        <w:rPr>
          <w:spacing w:val="-5"/>
        </w:rPr>
        <w:t> </w:t>
      </w:r>
      <w:r>
        <w:rPr/>
        <w:t>coração, rins e</w:t>
      </w:r>
      <w:r>
        <w:rPr>
          <w:spacing w:val="-7"/>
        </w:rPr>
        <w:t> </w:t>
      </w:r>
      <w:r>
        <w:rPr/>
        <w:t>sistema</w:t>
      </w:r>
      <w:r>
        <w:rPr>
          <w:spacing w:val="-7"/>
        </w:rPr>
        <w:t> </w:t>
      </w:r>
      <w:r>
        <w:rPr/>
        <w:t>nervoso. As fibrilas amiloides são consideradas subunidades proteicas de baixo peso molecular derivadas de proteínas séricas normais ou </w:t>
      </w:r>
      <w:r>
        <w:rPr>
          <w:spacing w:val="-2"/>
        </w:rPr>
        <w:t>aberrantes.</w:t>
      </w:r>
      <w:r>
        <w:rPr>
          <w:spacing w:val="-2"/>
          <w:vertAlign w:val="superscript"/>
        </w:rPr>
        <w:t>10,11</w:t>
      </w:r>
    </w:p>
    <w:p>
      <w:pPr>
        <w:pStyle w:val="BodyText"/>
        <w:spacing w:line="283" w:lineRule="auto" w:before="60"/>
        <w:ind w:right="488"/>
      </w:pPr>
      <w:r>
        <w:rPr/>
        <w:t>O</w:t>
      </w:r>
      <w:r>
        <w:rPr>
          <w:spacing w:val="-11"/>
        </w:rPr>
        <w:t> </w:t>
      </w:r>
      <w:r>
        <w:rPr/>
        <w:t>acometimento</w:t>
      </w:r>
      <w:r>
        <w:rPr>
          <w:spacing w:val="-8"/>
        </w:rPr>
        <w:t> </w:t>
      </w:r>
      <w:r>
        <w:rPr/>
        <w:t>cardíaco</w:t>
      </w:r>
      <w:r>
        <w:rPr>
          <w:spacing w:val="-8"/>
        </w:rPr>
        <w:t> </w:t>
      </w:r>
      <w:r>
        <w:rPr/>
        <w:t>deve-se</w:t>
      </w:r>
      <w:r>
        <w:rPr>
          <w:spacing w:val="-11"/>
        </w:rPr>
        <w:t> </w:t>
      </w:r>
      <w:r>
        <w:rPr/>
        <w:t>à</w:t>
      </w:r>
      <w:r>
        <w:rPr>
          <w:spacing w:val="-11"/>
        </w:rPr>
        <w:t> </w:t>
      </w:r>
      <w:r>
        <w:rPr/>
        <w:t>infiltração</w:t>
      </w:r>
      <w:r>
        <w:rPr>
          <w:spacing w:val="-8"/>
        </w:rPr>
        <w:t> </w:t>
      </w:r>
      <w:r>
        <w:rPr/>
        <w:t>miocárdica</w:t>
      </w:r>
      <w:r>
        <w:rPr>
          <w:spacing w:val="-11"/>
        </w:rPr>
        <w:t> </w:t>
      </w:r>
      <w:r>
        <w:rPr/>
        <w:t>dessas</w:t>
      </w:r>
      <w:r>
        <w:rPr>
          <w:spacing w:val="-2"/>
        </w:rPr>
        <w:t> </w:t>
      </w:r>
      <w:r>
        <w:rPr/>
        <w:t>proteínas,</w:t>
      </w:r>
      <w:r>
        <w:rPr>
          <w:vertAlign w:val="superscript"/>
        </w:rPr>
        <w:t>12</w:t>
      </w:r>
      <w:r>
        <w:rPr>
          <w:vertAlign w:val="baseline"/>
        </w:rPr>
        <w:t> tornando-se</w:t>
      </w:r>
      <w:r>
        <w:rPr>
          <w:spacing w:val="-8"/>
          <w:vertAlign w:val="baseline"/>
        </w:rPr>
        <w:t> </w:t>
      </w:r>
      <w:r>
        <w:rPr>
          <w:vertAlign w:val="baseline"/>
        </w:rPr>
        <w:t>clinicamente</w:t>
      </w:r>
      <w:r>
        <w:rPr>
          <w:spacing w:val="-8"/>
          <w:vertAlign w:val="baseline"/>
        </w:rPr>
        <w:t> </w:t>
      </w:r>
      <w:r>
        <w:rPr>
          <w:vertAlign w:val="baseline"/>
        </w:rPr>
        <w:t>aparente quando o depósito extracelular de amiloide altera a arquitetura do tecido normal e modifica o relaxamento </w:t>
      </w:r>
      <w:r>
        <w:rPr>
          <w:spacing w:val="-2"/>
          <w:vertAlign w:val="baseline"/>
        </w:rPr>
        <w:t>ventricular.</w:t>
      </w:r>
      <w:r>
        <w:rPr>
          <w:spacing w:val="-2"/>
          <w:vertAlign w:val="superscript"/>
        </w:rPr>
        <w:t>10</w:t>
      </w:r>
    </w:p>
    <w:p>
      <w:pPr>
        <w:pStyle w:val="BodyText"/>
        <w:spacing w:line="278" w:lineRule="auto" w:before="56"/>
        <w:ind w:right="488"/>
      </w:pPr>
      <w:r>
        <w:rPr/>
        <w:t>A classificação da amiloidose embasa-se na estrutura química das fibrilas amiloides. A amiloidose primária é consequência</w:t>
      </w:r>
      <w:r>
        <w:rPr>
          <w:spacing w:val="-3"/>
        </w:rPr>
        <w:t> </w:t>
      </w:r>
      <w:r>
        <w:rPr/>
        <w:t>do depósito de</w:t>
      </w:r>
      <w:r>
        <w:rPr>
          <w:spacing w:val="-3"/>
        </w:rPr>
        <w:t> </w:t>
      </w:r>
      <w:r>
        <w:rPr/>
        <w:t>imunoglobulinas de</w:t>
      </w:r>
      <w:r>
        <w:rPr>
          <w:spacing w:val="-3"/>
        </w:rPr>
        <w:t> </w:t>
      </w:r>
      <w:r>
        <w:rPr/>
        <w:t>cadeia</w:t>
      </w:r>
      <w:r>
        <w:rPr>
          <w:spacing w:val="-3"/>
        </w:rPr>
        <w:t> </w:t>
      </w:r>
      <w:r>
        <w:rPr/>
        <w:t>leve, produzidas por células plasmáticas como ocorre, por exemplo, no mieloma múltiplo. A amiloidose secundária decorre de um depósito reativo de proteínas, que não sejam imunoglobulinas, denominado amiloide A, associado a doenças crônicas, infecciosas e inflamatórias. As amiloidoses familiar e</w:t>
      </w:r>
      <w:r>
        <w:rPr>
          <w:spacing w:val="-6"/>
        </w:rPr>
        <w:t> </w:t>
      </w:r>
      <w:r>
        <w:rPr/>
        <w:t>senil são</w:t>
      </w:r>
      <w:r>
        <w:rPr>
          <w:spacing w:val="-3"/>
        </w:rPr>
        <w:t> </w:t>
      </w:r>
      <w:r>
        <w:rPr/>
        <w:t>entidades distintas, não</w:t>
      </w:r>
      <w:r>
        <w:rPr>
          <w:spacing w:val="-3"/>
        </w:rPr>
        <w:t> </w:t>
      </w:r>
      <w:r>
        <w:rPr/>
        <w:t>devendo</w:t>
      </w:r>
      <w:r>
        <w:rPr>
          <w:spacing w:val="-3"/>
        </w:rPr>
        <w:t> </w:t>
      </w:r>
      <w:r>
        <w:rPr/>
        <w:t>ser confundidas com</w:t>
      </w:r>
      <w:r>
        <w:rPr>
          <w:spacing w:val="-3"/>
        </w:rPr>
        <w:t> </w:t>
      </w:r>
      <w:r>
        <w:rPr/>
        <w:t>amiloidoses secundárias. No tipo</w:t>
      </w:r>
      <w:r>
        <w:rPr>
          <w:spacing w:val="-6"/>
        </w:rPr>
        <w:t> </w:t>
      </w:r>
      <w:r>
        <w:rPr/>
        <w:t>familiar, as fibrilas amiloides são</w:t>
      </w:r>
      <w:r>
        <w:rPr>
          <w:spacing w:val="-6"/>
        </w:rPr>
        <w:t> </w:t>
      </w:r>
      <w:r>
        <w:rPr/>
        <w:t>variações da</w:t>
      </w:r>
      <w:r>
        <w:rPr>
          <w:spacing w:val="-9"/>
        </w:rPr>
        <w:t> </w:t>
      </w:r>
      <w:r>
        <w:rPr/>
        <w:t>proteína</w:t>
      </w:r>
      <w:r>
        <w:rPr>
          <w:spacing w:val="-9"/>
        </w:rPr>
        <w:t> </w:t>
      </w:r>
      <w:r>
        <w:rPr/>
        <w:t>plasmática</w:t>
      </w:r>
      <w:r>
        <w:rPr>
          <w:spacing w:val="-9"/>
        </w:rPr>
        <w:t> </w:t>
      </w:r>
      <w:r>
        <w:rPr/>
        <w:t>transtiretina</w:t>
      </w:r>
      <w:r>
        <w:rPr>
          <w:spacing w:val="-9"/>
        </w:rPr>
        <w:t> </w:t>
      </w:r>
      <w:r>
        <w:rPr/>
        <w:t>(pré-albumina), sendo</w:t>
      </w:r>
      <w:r>
        <w:rPr>
          <w:spacing w:val="-6"/>
        </w:rPr>
        <w:t> </w:t>
      </w:r>
      <w:r>
        <w:rPr/>
        <w:t>descritas mais de</w:t>
      </w:r>
      <w:r>
        <w:rPr>
          <w:spacing w:val="-9"/>
        </w:rPr>
        <w:t> </w:t>
      </w:r>
      <w:r>
        <w:rPr/>
        <w:t>40</w:t>
      </w:r>
      <w:r>
        <w:rPr>
          <w:spacing w:val="-6"/>
        </w:rPr>
        <w:t> </w:t>
      </w:r>
      <w:r>
        <w:rPr/>
        <w:t>diferentes mutações associadas ao</w:t>
      </w:r>
      <w:r>
        <w:rPr>
          <w:spacing w:val="-6"/>
        </w:rPr>
        <w:t> </w:t>
      </w:r>
      <w:r>
        <w:rPr/>
        <w:t>depósito. Em</w:t>
      </w:r>
      <w:r>
        <w:rPr>
          <w:spacing w:val="-6"/>
        </w:rPr>
        <w:t> </w:t>
      </w:r>
      <w:r>
        <w:rPr/>
        <w:t>sua</w:t>
      </w:r>
      <w:r>
        <w:rPr>
          <w:spacing w:val="-9"/>
        </w:rPr>
        <w:t> </w:t>
      </w:r>
      <w:r>
        <w:rPr/>
        <w:t>maioria, são</w:t>
      </w:r>
      <w:r>
        <w:rPr>
          <w:spacing w:val="-6"/>
        </w:rPr>
        <w:t> </w:t>
      </w:r>
      <w:r>
        <w:rPr/>
        <w:t>de</w:t>
      </w:r>
      <w:r>
        <w:rPr>
          <w:spacing w:val="-9"/>
        </w:rPr>
        <w:t> </w:t>
      </w:r>
      <w:r>
        <w:rPr/>
        <w:t>transmissão</w:t>
      </w:r>
      <w:r>
        <w:rPr>
          <w:spacing w:val="-6"/>
        </w:rPr>
        <w:t> </w:t>
      </w:r>
      <w:r>
        <w:rPr/>
        <w:t>autossômica</w:t>
      </w:r>
      <w:r>
        <w:rPr>
          <w:spacing w:val="-9"/>
        </w:rPr>
        <w:t> </w:t>
      </w:r>
      <w:r>
        <w:rPr/>
        <w:t>dominante com</w:t>
      </w:r>
      <w:r>
        <w:rPr>
          <w:spacing w:val="-7"/>
        </w:rPr>
        <w:t> </w:t>
      </w:r>
      <w:r>
        <w:rPr/>
        <w:t>presença</w:t>
      </w:r>
      <w:r>
        <w:rPr>
          <w:spacing w:val="-9"/>
        </w:rPr>
        <w:t> </w:t>
      </w:r>
      <w:r>
        <w:rPr/>
        <w:t>de</w:t>
      </w:r>
      <w:r>
        <w:rPr>
          <w:spacing w:val="-9"/>
        </w:rPr>
        <w:t> </w:t>
      </w:r>
      <w:r>
        <w:rPr/>
        <w:t>neuropatia</w:t>
      </w:r>
      <w:r>
        <w:rPr>
          <w:spacing w:val="-9"/>
        </w:rPr>
        <w:t> </w:t>
      </w:r>
      <w:r>
        <w:rPr/>
        <w:t>periférica</w:t>
      </w:r>
      <w:r>
        <w:rPr>
          <w:spacing w:val="-9"/>
        </w:rPr>
        <w:t> </w:t>
      </w:r>
      <w:r>
        <w:rPr/>
        <w:t>ascendente</w:t>
      </w:r>
      <w:r>
        <w:rPr>
          <w:spacing w:val="-9"/>
        </w:rPr>
        <w:t> </w:t>
      </w:r>
      <w:r>
        <w:rPr/>
        <w:t>e</w:t>
      </w:r>
      <w:r>
        <w:rPr>
          <w:spacing w:val="-9"/>
        </w:rPr>
        <w:t> </w:t>
      </w:r>
      <w:r>
        <w:rPr/>
        <w:t>amiloidose</w:t>
      </w:r>
      <w:r>
        <w:rPr>
          <w:spacing w:val="-9"/>
        </w:rPr>
        <w:t> </w:t>
      </w:r>
      <w:r>
        <w:rPr/>
        <w:t>cardíaca.</w:t>
      </w:r>
      <w:r>
        <w:rPr>
          <w:vertAlign w:val="superscript"/>
        </w:rPr>
        <w:t>2</w:t>
      </w:r>
      <w:r>
        <w:rPr>
          <w:vertAlign w:val="baseline"/>
        </w:rPr>
        <w:t> Em</w:t>
      </w:r>
      <w:r>
        <w:rPr>
          <w:spacing w:val="-5"/>
          <w:vertAlign w:val="baseline"/>
        </w:rPr>
        <w:t> </w:t>
      </w:r>
      <w:r>
        <w:rPr>
          <w:vertAlign w:val="baseline"/>
        </w:rPr>
        <w:t>geral, a</w:t>
      </w:r>
      <w:r>
        <w:rPr>
          <w:spacing w:val="-8"/>
          <w:vertAlign w:val="baseline"/>
        </w:rPr>
        <w:t> </w:t>
      </w:r>
      <w:r>
        <w:rPr>
          <w:vertAlign w:val="baseline"/>
        </w:rPr>
        <w:t>idade</w:t>
      </w:r>
      <w:r>
        <w:rPr>
          <w:spacing w:val="-8"/>
          <w:vertAlign w:val="baseline"/>
        </w:rPr>
        <w:t> </w:t>
      </w:r>
      <w:r>
        <w:rPr>
          <w:vertAlign w:val="baseline"/>
        </w:rPr>
        <w:t>de</w:t>
      </w:r>
      <w:r>
        <w:rPr>
          <w:spacing w:val="-8"/>
          <w:vertAlign w:val="baseline"/>
        </w:rPr>
        <w:t> </w:t>
      </w:r>
      <w:r>
        <w:rPr>
          <w:vertAlign w:val="baseline"/>
        </w:rPr>
        <w:t>acometimento</w:t>
      </w:r>
      <w:r>
        <w:rPr>
          <w:spacing w:val="-5"/>
          <w:vertAlign w:val="baseline"/>
        </w:rPr>
        <w:t> </w:t>
      </w:r>
      <w:r>
        <w:rPr>
          <w:vertAlign w:val="baseline"/>
        </w:rPr>
        <w:t>é</w:t>
      </w:r>
      <w:r>
        <w:rPr>
          <w:spacing w:val="-8"/>
          <w:vertAlign w:val="baseline"/>
        </w:rPr>
        <w:t> </w:t>
      </w:r>
      <w:r>
        <w:rPr>
          <w:vertAlign w:val="baseline"/>
        </w:rPr>
        <w:t>mais </w:t>
      </w:r>
      <w:r>
        <w:rPr>
          <w:spacing w:val="-2"/>
          <w:vertAlign w:val="baseline"/>
        </w:rPr>
        <w:t>tardia.</w:t>
      </w:r>
    </w:p>
    <w:p>
      <w:pPr>
        <w:pStyle w:val="BodyText"/>
        <w:spacing w:line="278" w:lineRule="auto" w:before="58"/>
        <w:ind w:right="488"/>
      </w:pPr>
      <w:r>
        <w:rPr/>
        <w:t>Com o avançar da idade, a incidência de amiloidose senil é elevada, sendo relatados três tipos: amiloidose isolada atrial, amiloidose sistêmica senil e amiloidose isoleucina transtiretina 122. Os pacientes com a forma isolada atrial são mais propensos a desenvolver arritmias cardíacas, em especial FA. Cerca de 50% dos indivíduos com</w:t>
      </w:r>
      <w:r>
        <w:rPr>
          <w:spacing w:val="-3"/>
        </w:rPr>
        <w:t> </w:t>
      </w:r>
      <w:r>
        <w:rPr/>
        <w:t>mais de</w:t>
      </w:r>
      <w:r>
        <w:rPr>
          <w:spacing w:val="-5"/>
        </w:rPr>
        <w:t> </w:t>
      </w:r>
      <w:r>
        <w:rPr/>
        <w:t>90</w:t>
      </w:r>
      <w:r>
        <w:rPr>
          <w:spacing w:val="-3"/>
        </w:rPr>
        <w:t> </w:t>
      </w:r>
      <w:r>
        <w:rPr/>
        <w:t>anos têm</w:t>
      </w:r>
      <w:r>
        <w:rPr>
          <w:spacing w:val="-3"/>
        </w:rPr>
        <w:t> </w:t>
      </w:r>
      <w:r>
        <w:rPr/>
        <w:t>amiloidose</w:t>
      </w:r>
      <w:r>
        <w:rPr>
          <w:spacing w:val="-5"/>
        </w:rPr>
        <w:t> </w:t>
      </w:r>
      <w:r>
        <w:rPr/>
        <w:t>cardíaca</w:t>
      </w:r>
      <w:r>
        <w:rPr>
          <w:spacing w:val="-5"/>
        </w:rPr>
        <w:t> </w:t>
      </w:r>
      <w:r>
        <w:rPr/>
        <w:t>(forma</w:t>
      </w:r>
      <w:r>
        <w:rPr>
          <w:spacing w:val="-5"/>
        </w:rPr>
        <w:t> </w:t>
      </w:r>
      <w:r>
        <w:rPr/>
        <w:t>sistêmica</w:t>
      </w:r>
      <w:r>
        <w:rPr>
          <w:spacing w:val="-5"/>
        </w:rPr>
        <w:t> </w:t>
      </w:r>
      <w:r>
        <w:rPr/>
        <w:t>senil), pois outros locais podem</w:t>
      </w:r>
      <w:r>
        <w:rPr>
          <w:spacing w:val="-3"/>
        </w:rPr>
        <w:t> </w:t>
      </w:r>
      <w:r>
        <w:rPr/>
        <w:t>também</w:t>
      </w:r>
      <w:r>
        <w:rPr>
          <w:spacing w:val="-3"/>
        </w:rPr>
        <w:t> </w:t>
      </w:r>
      <w:r>
        <w:rPr/>
        <w:t>apresentar esses depósitos. Nessa forma de apresentação, a sobrevida é melhor que nos casos primários. A terceira forma é causada pela mutação do gene da transtiretina, que resulta em substituição da isoleucina por valina, acometendo indivíduos afrodescendentes.</w:t>
      </w:r>
      <w:r>
        <w:rPr>
          <w:vertAlign w:val="superscript"/>
        </w:rPr>
        <w:t>10</w:t>
      </w:r>
    </w:p>
    <w:p>
      <w:pPr>
        <w:pStyle w:val="BodyText"/>
        <w:spacing w:line="280" w:lineRule="auto" w:before="47"/>
        <w:ind w:right="488"/>
      </w:pPr>
      <w:r>
        <w:rPr/>
        <w:t>O envolvimento cardíaco na amiloidose ocorre independente da etiologia da infiltração amiloide, geralmente associada</w:t>
      </w:r>
      <w:r>
        <w:rPr>
          <w:spacing w:val="-2"/>
        </w:rPr>
        <w:t> </w:t>
      </w:r>
      <w:r>
        <w:rPr/>
        <w:t>a</w:t>
      </w:r>
      <w:r>
        <w:rPr>
          <w:spacing w:val="-2"/>
        </w:rPr>
        <w:t> </w:t>
      </w:r>
      <w:r>
        <w:rPr/>
        <w:t>acometimentos de</w:t>
      </w:r>
      <w:r>
        <w:rPr>
          <w:spacing w:val="-2"/>
        </w:rPr>
        <w:t> </w:t>
      </w:r>
      <w:r>
        <w:rPr/>
        <w:t>outros órgãos. A</w:t>
      </w:r>
      <w:r>
        <w:rPr>
          <w:spacing w:val="-2"/>
        </w:rPr>
        <w:t> </w:t>
      </w:r>
      <w:r>
        <w:rPr/>
        <w:t>deposição amiloide</w:t>
      </w:r>
      <w:r>
        <w:rPr>
          <w:spacing w:val="-2"/>
        </w:rPr>
        <w:t> </w:t>
      </w:r>
      <w:r>
        <w:rPr/>
        <w:t>pode</w:t>
      </w:r>
      <w:r>
        <w:rPr>
          <w:spacing w:val="-2"/>
        </w:rPr>
        <w:t> </w:t>
      </w:r>
      <w:r>
        <w:rPr/>
        <w:t>ocorrer nos elementos contráteis, sistema de condução, valvas e artérias coronárias.</w:t>
      </w:r>
      <w:r>
        <w:rPr>
          <w:vertAlign w:val="superscript"/>
        </w:rPr>
        <w:t>8</w:t>
      </w:r>
      <w:r>
        <w:rPr>
          <w:vertAlign w:val="baseline"/>
        </w:rPr>
        <w:t> Em outros casos, o depósito extracelular de amiloide causa atrofia dos miócitos adjacentes.</w:t>
      </w:r>
    </w:p>
    <w:p>
      <w:pPr>
        <w:pStyle w:val="BodyText"/>
        <w:spacing w:line="276" w:lineRule="auto" w:before="59"/>
        <w:ind w:right="491"/>
      </w:pPr>
      <w:r>
        <w:rPr/>
        <w:t>O acometimento cardíaco ocorre em até um terço dos casos de amiloidose, sendo a maioria dos casos do tipo </w:t>
      </w:r>
      <w:r>
        <w:rPr>
          <w:spacing w:val="-2"/>
        </w:rPr>
        <w:t>primário.</w:t>
      </w:r>
    </w:p>
    <w:p>
      <w:pPr>
        <w:pStyle w:val="BodyText"/>
        <w:spacing w:before="134"/>
        <w:ind w:left="0" w:firstLine="0"/>
        <w:jc w:val="left"/>
      </w:pPr>
    </w:p>
    <w:p>
      <w:pPr>
        <w:pStyle w:val="Heading5"/>
      </w:pPr>
      <w:r>
        <w:rPr>
          <w:color w:val="A26108"/>
        </w:rPr>
        <w:t>Quadro</w:t>
      </w:r>
      <w:r>
        <w:rPr>
          <w:color w:val="A26108"/>
          <w:spacing w:val="23"/>
        </w:rPr>
        <w:t> </w:t>
      </w:r>
      <w:r>
        <w:rPr>
          <w:color w:val="A26108"/>
          <w:spacing w:val="-2"/>
        </w:rPr>
        <w:t>clínico</w:t>
      </w:r>
    </w:p>
    <w:p>
      <w:pPr>
        <w:pStyle w:val="BodyText"/>
        <w:spacing w:line="283" w:lineRule="auto" w:before="138"/>
        <w:ind w:right="487"/>
      </w:pPr>
      <w:r>
        <w:rPr/>
        <w:t>As formas de apresentação clínica são variadas: ICC, cardiomiopatia restritiva, CMH, FA, distúrbios de condução, taquicardia ventricular, angina, disfunções valvares (insuficiências e estenoses), síncope, embolismo pulmonar e sistêmico e até morte súbita por fibrilação ventricular.</w:t>
      </w:r>
      <w:r>
        <w:rPr>
          <w:vertAlign w:val="superscript"/>
        </w:rPr>
        <w:t>10</w:t>
      </w:r>
    </w:p>
    <w:p>
      <w:pPr>
        <w:pStyle w:val="BodyText"/>
        <w:spacing w:line="283" w:lineRule="auto" w:before="41"/>
        <w:ind w:right="500"/>
      </w:pPr>
      <w:r>
        <w:rPr/>
        <w:t>As manifestações extracardíacas, como macroglossia, síndrome do túnel do carpo, síndrome nefrótica, sangramento intestinal, hipotensões ortostática e mononeuropatia múltiplas, devem ser sempre pesquisadas, pois podem ser pistas diagnósticas.</w:t>
      </w:r>
      <w:r>
        <w:rPr>
          <w:vertAlign w:val="superscript"/>
        </w:rPr>
        <w:t>8</w:t>
      </w:r>
    </w:p>
    <w:p>
      <w:pPr>
        <w:pStyle w:val="BodyText"/>
        <w:spacing w:before="125"/>
        <w:ind w:left="0" w:firstLine="0"/>
        <w:jc w:val="left"/>
      </w:pPr>
    </w:p>
    <w:p>
      <w:pPr>
        <w:pStyle w:val="Heading5"/>
        <w:spacing w:before="1"/>
      </w:pPr>
      <w:r>
        <w:rPr>
          <w:color w:val="A26108"/>
        </w:rPr>
        <w:t>Exames</w:t>
      </w:r>
      <w:r>
        <w:rPr>
          <w:color w:val="A26108"/>
          <w:spacing w:val="24"/>
        </w:rPr>
        <w:t> </w:t>
      </w:r>
      <w:r>
        <w:rPr>
          <w:color w:val="A26108"/>
          <w:spacing w:val="-2"/>
        </w:rPr>
        <w:t>complementares</w:t>
      </w:r>
    </w:p>
    <w:p>
      <w:pPr>
        <w:pStyle w:val="BodyText"/>
        <w:spacing w:before="138"/>
        <w:ind w:left="414" w:firstLine="0"/>
        <w:jc w:val="left"/>
      </w:pPr>
      <w:r>
        <w:rPr/>
        <w:t>Ao</w:t>
      </w:r>
      <w:r>
        <w:rPr>
          <w:spacing w:val="15"/>
        </w:rPr>
        <w:t> </w:t>
      </w:r>
      <w:r>
        <w:rPr/>
        <w:t>ECG</w:t>
      </w:r>
      <w:r>
        <w:rPr>
          <w:spacing w:val="14"/>
        </w:rPr>
        <w:t> </w:t>
      </w:r>
      <w:r>
        <w:rPr/>
        <w:t>são</w:t>
      </w:r>
      <w:r>
        <w:rPr>
          <w:spacing w:val="17"/>
        </w:rPr>
        <w:t> </w:t>
      </w:r>
      <w:r>
        <w:rPr/>
        <w:t>observadas</w:t>
      </w:r>
      <w:r>
        <w:rPr>
          <w:spacing w:val="26"/>
        </w:rPr>
        <w:t> </w:t>
      </w:r>
      <w:r>
        <w:rPr/>
        <w:t>baixa</w:t>
      </w:r>
      <w:r>
        <w:rPr>
          <w:spacing w:val="14"/>
        </w:rPr>
        <w:t> </w:t>
      </w:r>
      <w:r>
        <w:rPr/>
        <w:t>voltagem</w:t>
      </w:r>
      <w:r>
        <w:rPr>
          <w:spacing w:val="17"/>
        </w:rPr>
        <w:t> </w:t>
      </w:r>
      <w:r>
        <w:rPr/>
        <w:t>de</w:t>
      </w:r>
      <w:r>
        <w:rPr>
          <w:spacing w:val="15"/>
        </w:rPr>
        <w:t> </w:t>
      </w:r>
      <w:r>
        <w:rPr/>
        <w:t>complexo</w:t>
      </w:r>
      <w:r>
        <w:rPr>
          <w:spacing w:val="17"/>
        </w:rPr>
        <w:t> </w:t>
      </w:r>
      <w:r>
        <w:rPr/>
        <w:t>QRS,</w:t>
      </w:r>
      <w:r>
        <w:rPr>
          <w:spacing w:val="25"/>
        </w:rPr>
        <w:t> </w:t>
      </w:r>
      <w:r>
        <w:rPr/>
        <w:t>alterações</w:t>
      </w:r>
      <w:r>
        <w:rPr>
          <w:spacing w:val="26"/>
        </w:rPr>
        <w:t> </w:t>
      </w:r>
      <w:r>
        <w:rPr/>
        <w:t>de</w:t>
      </w:r>
      <w:r>
        <w:rPr>
          <w:spacing w:val="14"/>
        </w:rPr>
        <w:t> </w:t>
      </w:r>
      <w:r>
        <w:rPr/>
        <w:t>repolarização,</w:t>
      </w:r>
      <w:r>
        <w:rPr>
          <w:spacing w:val="26"/>
        </w:rPr>
        <w:t> </w:t>
      </w:r>
      <w:r>
        <w:rPr/>
        <w:t>presença</w:t>
      </w:r>
      <w:r>
        <w:rPr>
          <w:spacing w:val="14"/>
        </w:rPr>
        <w:t> </w:t>
      </w:r>
      <w:r>
        <w:rPr/>
        <w:t>de</w:t>
      </w:r>
      <w:r>
        <w:rPr>
          <w:spacing w:val="15"/>
        </w:rPr>
        <w:t> </w:t>
      </w:r>
      <w:r>
        <w:rPr/>
        <w:t>onda</w:t>
      </w:r>
      <w:r>
        <w:rPr>
          <w:spacing w:val="15"/>
        </w:rPr>
        <w:t> </w:t>
      </w:r>
      <w:r>
        <w:rPr>
          <w:spacing w:val="-10"/>
        </w:rPr>
        <w:t>q</w:t>
      </w:r>
    </w:p>
    <w:p>
      <w:pPr>
        <w:pStyle w:val="BodyText"/>
        <w:spacing w:after="0"/>
        <w:jc w:val="left"/>
        <w:sectPr>
          <w:pgSz w:w="11900" w:h="16840"/>
          <w:pgMar w:top="200" w:bottom="280" w:left="566" w:right="141"/>
        </w:sectPr>
      </w:pPr>
    </w:p>
    <w:p>
      <w:pPr>
        <w:pStyle w:val="BodyText"/>
        <w:spacing w:before="75"/>
        <w:ind w:firstLine="0"/>
      </w:pPr>
      <w:r>
        <w:rPr/>
        <w:t>(pseudoinfarto),</w:t>
      </w:r>
      <w:r>
        <w:rPr>
          <w:spacing w:val="-2"/>
        </w:rPr>
        <w:t> </w:t>
      </w:r>
      <w:r>
        <w:rPr/>
        <w:t>pouca</w:t>
      </w:r>
      <w:r>
        <w:rPr>
          <w:spacing w:val="-11"/>
        </w:rPr>
        <w:t> </w:t>
      </w:r>
      <w:r>
        <w:rPr/>
        <w:t>progressão</w:t>
      </w:r>
      <w:r>
        <w:rPr>
          <w:spacing w:val="-8"/>
        </w:rPr>
        <w:t> </w:t>
      </w:r>
      <w:r>
        <w:rPr/>
        <w:t>de</w:t>
      </w:r>
      <w:r>
        <w:rPr>
          <w:spacing w:val="-11"/>
        </w:rPr>
        <w:t> </w:t>
      </w:r>
      <w:r>
        <w:rPr/>
        <w:t>onda</w:t>
      </w:r>
      <w:r>
        <w:rPr>
          <w:spacing w:val="-12"/>
        </w:rPr>
        <w:t> </w:t>
      </w:r>
      <w:r>
        <w:rPr/>
        <w:t>R</w:t>
      </w:r>
      <w:r>
        <w:rPr>
          <w:spacing w:val="-1"/>
        </w:rPr>
        <w:t> </w:t>
      </w:r>
      <w:r>
        <w:rPr/>
        <w:t>em</w:t>
      </w:r>
      <w:r>
        <w:rPr>
          <w:spacing w:val="-8"/>
        </w:rPr>
        <w:t> </w:t>
      </w:r>
      <w:r>
        <w:rPr/>
        <w:t>derivações</w:t>
      </w:r>
      <w:r>
        <w:rPr>
          <w:spacing w:val="-2"/>
        </w:rPr>
        <w:t> </w:t>
      </w:r>
      <w:r>
        <w:rPr/>
        <w:t>precordiais</w:t>
      </w:r>
      <w:r>
        <w:rPr>
          <w:spacing w:val="-1"/>
        </w:rPr>
        <w:t> </w:t>
      </w:r>
      <w:r>
        <w:rPr/>
        <w:t>e</w:t>
      </w:r>
      <w:r>
        <w:rPr>
          <w:spacing w:val="-11"/>
        </w:rPr>
        <w:t> </w:t>
      </w:r>
      <w:r>
        <w:rPr/>
        <w:t>distúrbios</w:t>
      </w:r>
      <w:r>
        <w:rPr>
          <w:spacing w:val="-1"/>
        </w:rPr>
        <w:t> </w:t>
      </w:r>
      <w:r>
        <w:rPr/>
        <w:t>de</w:t>
      </w:r>
      <w:r>
        <w:rPr>
          <w:spacing w:val="-11"/>
        </w:rPr>
        <w:t> </w:t>
      </w:r>
      <w:r>
        <w:rPr>
          <w:spacing w:val="-2"/>
        </w:rPr>
        <w:t>condução.</w:t>
      </w:r>
    </w:p>
    <w:p>
      <w:pPr>
        <w:pStyle w:val="BodyText"/>
        <w:spacing w:before="101"/>
        <w:ind w:left="414" w:firstLine="0"/>
      </w:pPr>
      <w:r>
        <w:rPr>
          <w:spacing w:val="-2"/>
        </w:rPr>
        <w:t>A</w:t>
      </w:r>
      <w:r>
        <w:rPr>
          <w:spacing w:val="-8"/>
        </w:rPr>
        <w:t> </w:t>
      </w:r>
      <w:r>
        <w:rPr>
          <w:spacing w:val="-2"/>
        </w:rPr>
        <w:t>radiografia</w:t>
      </w:r>
      <w:r>
        <w:rPr>
          <w:spacing w:val="-6"/>
        </w:rPr>
        <w:t> </w:t>
      </w:r>
      <w:r>
        <w:rPr>
          <w:spacing w:val="-2"/>
        </w:rPr>
        <w:t>de</w:t>
      </w:r>
      <w:r>
        <w:rPr>
          <w:spacing w:val="-5"/>
        </w:rPr>
        <w:t> </w:t>
      </w:r>
      <w:r>
        <w:rPr>
          <w:spacing w:val="-2"/>
        </w:rPr>
        <w:t>tórax</w:t>
      </w:r>
      <w:r>
        <w:rPr>
          <w:spacing w:val="-3"/>
        </w:rPr>
        <w:t> </w:t>
      </w:r>
      <w:r>
        <w:rPr>
          <w:spacing w:val="-2"/>
        </w:rPr>
        <w:t>evidencia</w:t>
      </w:r>
      <w:r>
        <w:rPr>
          <w:spacing w:val="-6"/>
        </w:rPr>
        <w:t> </w:t>
      </w:r>
      <w:r>
        <w:rPr>
          <w:spacing w:val="-2"/>
        </w:rPr>
        <w:t>área</w:t>
      </w:r>
      <w:r>
        <w:rPr>
          <w:spacing w:val="-5"/>
        </w:rPr>
        <w:t> </w:t>
      </w:r>
      <w:r>
        <w:rPr>
          <w:spacing w:val="-2"/>
        </w:rPr>
        <w:t>cardíaca</w:t>
      </w:r>
      <w:r>
        <w:rPr>
          <w:spacing w:val="-6"/>
        </w:rPr>
        <w:t> </w:t>
      </w:r>
      <w:r>
        <w:rPr>
          <w:spacing w:val="-2"/>
        </w:rPr>
        <w:t>pouco aumentada,</w:t>
      </w:r>
      <w:r>
        <w:rPr>
          <w:spacing w:val="5"/>
        </w:rPr>
        <w:t> </w:t>
      </w:r>
      <w:r>
        <w:rPr>
          <w:spacing w:val="-2"/>
        </w:rPr>
        <w:t>podendo</w:t>
      </w:r>
      <w:r>
        <w:rPr>
          <w:spacing w:val="-3"/>
        </w:rPr>
        <w:t> </w:t>
      </w:r>
      <w:r>
        <w:rPr>
          <w:spacing w:val="-2"/>
        </w:rPr>
        <w:t>haver</w:t>
      </w:r>
      <w:r>
        <w:rPr>
          <w:spacing w:val="3"/>
        </w:rPr>
        <w:t> </w:t>
      </w:r>
      <w:r>
        <w:rPr>
          <w:spacing w:val="-2"/>
        </w:rPr>
        <w:t>sinais</w:t>
      </w:r>
      <w:r>
        <w:rPr>
          <w:spacing w:val="5"/>
        </w:rPr>
        <w:t> </w:t>
      </w:r>
      <w:r>
        <w:rPr>
          <w:spacing w:val="-2"/>
        </w:rPr>
        <w:t>de</w:t>
      </w:r>
      <w:r>
        <w:rPr>
          <w:spacing w:val="-6"/>
        </w:rPr>
        <w:t> </w:t>
      </w:r>
      <w:r>
        <w:rPr>
          <w:spacing w:val="-2"/>
        </w:rPr>
        <w:t>congestão pulmonar.</w:t>
      </w:r>
    </w:p>
    <w:p>
      <w:pPr>
        <w:pStyle w:val="BodyText"/>
        <w:spacing w:line="280" w:lineRule="auto" w:before="88"/>
        <w:ind w:right="491"/>
      </w:pPr>
      <w:r>
        <w:rPr/>
        <w:t>O ecocardiograma é um método complementar de grande utilidade no diagnóstico, na avaliação do padrão restritivo e prognóstico da amiloidose. A função sistólica do VE encontra-se normal em repouso na fase inicial da doença. O diagnóstico pode ser feito pelo achado de pontos de hiper-refringência disseminados pelo músculo cardíaco e aparelhos valvares. A presença de disfunção valvar é consequência do envolvimento cardíaco, sendo a valva mitral a mais acometida (90%), seguida da tricúspide (70%), aórtica (43%) e pulmonar (23%).</w:t>
      </w:r>
      <w:r>
        <w:rPr>
          <w:vertAlign w:val="superscript"/>
        </w:rPr>
        <w:t>13,14</w:t>
      </w:r>
    </w:p>
    <w:p>
      <w:pPr>
        <w:pStyle w:val="BodyText"/>
        <w:spacing w:line="285" w:lineRule="auto" w:before="54"/>
        <w:ind w:right="488"/>
      </w:pPr>
      <w:r>
        <w:rPr/>
        <w:t>A</w:t>
      </w:r>
      <w:r>
        <w:rPr>
          <w:spacing w:val="-5"/>
        </w:rPr>
        <w:t> </w:t>
      </w:r>
      <w:r>
        <w:rPr/>
        <w:t>medicina</w:t>
      </w:r>
      <w:r>
        <w:rPr>
          <w:spacing w:val="-5"/>
        </w:rPr>
        <w:t> </w:t>
      </w:r>
      <w:r>
        <w:rPr/>
        <w:t>nuclear, mediante</w:t>
      </w:r>
      <w:r>
        <w:rPr>
          <w:spacing w:val="-5"/>
        </w:rPr>
        <w:t> </w:t>
      </w:r>
      <w:r>
        <w:rPr/>
        <w:t>mapeamento</w:t>
      </w:r>
      <w:r>
        <w:rPr>
          <w:spacing w:val="-3"/>
        </w:rPr>
        <w:t> </w:t>
      </w:r>
      <w:r>
        <w:rPr/>
        <w:t>com</w:t>
      </w:r>
      <w:r>
        <w:rPr>
          <w:spacing w:val="-3"/>
        </w:rPr>
        <w:t> </w:t>
      </w:r>
      <w:r>
        <w:rPr/>
        <w:t>pirofosfato</w:t>
      </w:r>
      <w:r>
        <w:rPr>
          <w:spacing w:val="-3"/>
        </w:rPr>
        <w:t> </w:t>
      </w:r>
      <w:r>
        <w:rPr/>
        <w:t>de</w:t>
      </w:r>
      <w:r>
        <w:rPr>
          <w:spacing w:val="-5"/>
        </w:rPr>
        <w:t> </w:t>
      </w:r>
      <w:r>
        <w:rPr/>
        <w:t>tecnécio</w:t>
      </w:r>
      <w:r>
        <w:rPr>
          <w:spacing w:val="-3"/>
        </w:rPr>
        <w:t> </w:t>
      </w:r>
      <w:r>
        <w:rPr/>
        <w:t>e</w:t>
      </w:r>
      <w:r>
        <w:rPr>
          <w:spacing w:val="-5"/>
        </w:rPr>
        <w:t> </w:t>
      </w:r>
      <w:r>
        <w:rPr/>
        <w:t>antimiosina</w:t>
      </w:r>
      <w:r>
        <w:rPr>
          <w:spacing w:val="-5"/>
        </w:rPr>
        <w:t> </w:t>
      </w:r>
      <w:r>
        <w:rPr/>
        <w:t>marcada</w:t>
      </w:r>
      <w:r>
        <w:rPr>
          <w:spacing w:val="-5"/>
        </w:rPr>
        <w:t> </w:t>
      </w:r>
      <w:r>
        <w:rPr/>
        <w:t>com</w:t>
      </w:r>
      <w:r>
        <w:rPr>
          <w:spacing w:val="-3"/>
        </w:rPr>
        <w:t> </w:t>
      </w:r>
      <w:r>
        <w:rPr/>
        <w:t>índio, pode auxiliar no diagnóstico.</w:t>
      </w:r>
      <w:r>
        <w:rPr>
          <w:vertAlign w:val="superscript"/>
        </w:rPr>
        <w:t>15</w:t>
      </w:r>
      <w:r>
        <w:rPr>
          <w:vertAlign w:val="baseline"/>
        </w:rPr>
        <w:t> A RM é um método complementar que pode auxiliar no diagnóstico da amiloidose. Por intermédio desse exame pode-se analisar a morfologia ventricular com realce subendocárdico característico dessa </w:t>
      </w:r>
      <w:r>
        <w:rPr>
          <w:spacing w:val="-2"/>
          <w:vertAlign w:val="baseline"/>
        </w:rPr>
        <w:t>doença.</w:t>
      </w:r>
      <w:r>
        <w:rPr>
          <w:spacing w:val="-2"/>
          <w:vertAlign w:val="superscript"/>
        </w:rPr>
        <w:t>16</w:t>
      </w:r>
    </w:p>
    <w:p>
      <w:pPr>
        <w:pStyle w:val="BodyText"/>
        <w:spacing w:line="276" w:lineRule="auto" w:before="38"/>
        <w:ind w:right="488"/>
      </w:pPr>
      <w:r>
        <w:rPr/>
        <w:t>A</w:t>
      </w:r>
      <w:r>
        <w:rPr>
          <w:spacing w:val="-5"/>
        </w:rPr>
        <w:t> </w:t>
      </w:r>
      <w:r>
        <w:rPr/>
        <w:t>biopsia</w:t>
      </w:r>
      <w:r>
        <w:rPr>
          <w:spacing w:val="-5"/>
        </w:rPr>
        <w:t> </w:t>
      </w:r>
      <w:r>
        <w:rPr/>
        <w:t>endomiocárdica</w:t>
      </w:r>
      <w:r>
        <w:rPr>
          <w:spacing w:val="-5"/>
        </w:rPr>
        <w:t> </w:t>
      </w:r>
      <w:r>
        <w:rPr/>
        <w:t>de</w:t>
      </w:r>
      <w:r>
        <w:rPr>
          <w:spacing w:val="-5"/>
        </w:rPr>
        <w:t> </w:t>
      </w:r>
      <w:r>
        <w:rPr/>
        <w:t>VD</w:t>
      </w:r>
      <w:r>
        <w:rPr>
          <w:spacing w:val="-5"/>
        </w:rPr>
        <w:t> </w:t>
      </w:r>
      <w:r>
        <w:rPr/>
        <w:t>é</w:t>
      </w:r>
      <w:r>
        <w:rPr>
          <w:spacing w:val="-5"/>
        </w:rPr>
        <w:t> </w:t>
      </w:r>
      <w:r>
        <w:rPr/>
        <w:t>o</w:t>
      </w:r>
      <w:r>
        <w:rPr>
          <w:spacing w:val="-3"/>
        </w:rPr>
        <w:t> </w:t>
      </w:r>
      <w:r>
        <w:rPr/>
        <w:t>método</w:t>
      </w:r>
      <w:r>
        <w:rPr>
          <w:spacing w:val="-3"/>
        </w:rPr>
        <w:t> </w:t>
      </w:r>
      <w:r>
        <w:rPr/>
        <w:t>diagnóstico</w:t>
      </w:r>
      <w:r>
        <w:rPr>
          <w:spacing w:val="-3"/>
        </w:rPr>
        <w:t> </w:t>
      </w:r>
      <w:r>
        <w:rPr/>
        <w:t>que</w:t>
      </w:r>
      <w:r>
        <w:rPr>
          <w:spacing w:val="-5"/>
        </w:rPr>
        <w:t> </w:t>
      </w:r>
      <w:r>
        <w:rPr/>
        <w:t>permite</w:t>
      </w:r>
      <w:r>
        <w:rPr>
          <w:spacing w:val="-5"/>
        </w:rPr>
        <w:t> </w:t>
      </w:r>
      <w:r>
        <w:rPr/>
        <w:t>a</w:t>
      </w:r>
      <w:r>
        <w:rPr>
          <w:spacing w:val="-5"/>
        </w:rPr>
        <w:t> </w:t>
      </w:r>
      <w:r>
        <w:rPr/>
        <w:t>caracterização</w:t>
      </w:r>
      <w:r>
        <w:rPr>
          <w:spacing w:val="-3"/>
        </w:rPr>
        <w:t> </w:t>
      </w:r>
      <w:r>
        <w:rPr/>
        <w:t>histológica</w:t>
      </w:r>
      <w:r>
        <w:rPr>
          <w:spacing w:val="-5"/>
        </w:rPr>
        <w:t> </w:t>
      </w:r>
      <w:r>
        <w:rPr/>
        <w:t>da</w:t>
      </w:r>
      <w:r>
        <w:rPr>
          <w:spacing w:val="-5"/>
        </w:rPr>
        <w:t> </w:t>
      </w:r>
      <w:r>
        <w:rPr/>
        <w:t>substância amiloide. Outros locais podem ser utilizados para biopsia, como aspiração de gordura peritoneal, retal, gengiva, medula óssea e renal. Apesar dos diferentes tipos bioquímicos, as substâncias amiloides compartilham características. Nos cortes histológicos aparecem</w:t>
      </w:r>
      <w:r>
        <w:rPr>
          <w:spacing w:val="-5"/>
        </w:rPr>
        <w:t> </w:t>
      </w:r>
      <w:r>
        <w:rPr/>
        <w:t>com</w:t>
      </w:r>
      <w:r>
        <w:rPr>
          <w:spacing w:val="-5"/>
        </w:rPr>
        <w:t> </w:t>
      </w:r>
      <w:r>
        <w:rPr/>
        <w:t>coloração</w:t>
      </w:r>
      <w:r>
        <w:rPr>
          <w:spacing w:val="-5"/>
        </w:rPr>
        <w:t> </w:t>
      </w:r>
      <w:r>
        <w:rPr/>
        <w:t>homogênea</w:t>
      </w:r>
      <w:r>
        <w:rPr>
          <w:spacing w:val="-7"/>
        </w:rPr>
        <w:t> </w:t>
      </w:r>
      <w:r>
        <w:rPr/>
        <w:t>e</w:t>
      </w:r>
      <w:r>
        <w:rPr>
          <w:spacing w:val="-7"/>
        </w:rPr>
        <w:t> </w:t>
      </w:r>
      <w:r>
        <w:rPr/>
        <w:t>eosinofílica</w:t>
      </w:r>
      <w:r>
        <w:rPr>
          <w:spacing w:val="-7"/>
        </w:rPr>
        <w:t> </w:t>
      </w:r>
      <w:r>
        <w:rPr/>
        <w:t>e, quando</w:t>
      </w:r>
      <w:r>
        <w:rPr>
          <w:spacing w:val="-5"/>
        </w:rPr>
        <w:t> </w:t>
      </w:r>
      <w:r>
        <w:rPr/>
        <w:t>expostos à</w:t>
      </w:r>
      <w:r>
        <w:rPr>
          <w:spacing w:val="-7"/>
        </w:rPr>
        <w:t> </w:t>
      </w:r>
      <w:r>
        <w:rPr/>
        <w:t>luz polarizada</w:t>
      </w:r>
      <w:r>
        <w:rPr>
          <w:spacing w:val="-8"/>
        </w:rPr>
        <w:t> </w:t>
      </w:r>
      <w:r>
        <w:rPr/>
        <w:t>após coloração</w:t>
      </w:r>
      <w:r>
        <w:rPr>
          <w:spacing w:val="-5"/>
        </w:rPr>
        <w:t> </w:t>
      </w:r>
      <w:r>
        <w:rPr/>
        <w:t>por vermelho</w:t>
      </w:r>
      <w:r>
        <w:rPr>
          <w:spacing w:val="-5"/>
        </w:rPr>
        <w:t> </w:t>
      </w:r>
      <w:r>
        <w:rPr/>
        <w:t>congo, aparecem</w:t>
      </w:r>
      <w:r>
        <w:rPr>
          <w:spacing w:val="-5"/>
        </w:rPr>
        <w:t> </w:t>
      </w:r>
      <w:r>
        <w:rPr/>
        <w:t>com</w:t>
      </w:r>
      <w:r>
        <w:rPr>
          <w:spacing w:val="-5"/>
        </w:rPr>
        <w:t> </w:t>
      </w:r>
      <w:r>
        <w:rPr/>
        <w:t>coloração</w:t>
      </w:r>
      <w:r>
        <w:rPr>
          <w:spacing w:val="-5"/>
        </w:rPr>
        <w:t> </w:t>
      </w:r>
      <w:r>
        <w:rPr/>
        <w:t>verde-maçã.</w:t>
      </w:r>
    </w:p>
    <w:p>
      <w:pPr>
        <w:pStyle w:val="BodyText"/>
        <w:spacing w:before="134"/>
        <w:ind w:left="0" w:firstLine="0"/>
        <w:jc w:val="left"/>
      </w:pPr>
    </w:p>
    <w:p>
      <w:pPr>
        <w:pStyle w:val="Heading5"/>
      </w:pPr>
      <w:r>
        <w:rPr>
          <w:color w:val="A26108"/>
        </w:rPr>
        <w:t>História</w:t>
      </w:r>
      <w:r>
        <w:rPr>
          <w:color w:val="A26108"/>
          <w:spacing w:val="22"/>
        </w:rPr>
        <w:t> </w:t>
      </w:r>
      <w:r>
        <w:rPr>
          <w:color w:val="A26108"/>
        </w:rPr>
        <w:t>natural,</w:t>
      </w:r>
      <w:r>
        <w:rPr>
          <w:color w:val="A26108"/>
          <w:spacing w:val="23"/>
        </w:rPr>
        <w:t> </w:t>
      </w:r>
      <w:r>
        <w:rPr>
          <w:color w:val="A26108"/>
        </w:rPr>
        <w:t>prognóstico</w:t>
      </w:r>
      <w:r>
        <w:rPr>
          <w:color w:val="A26108"/>
          <w:spacing w:val="22"/>
        </w:rPr>
        <w:t> </w:t>
      </w:r>
      <w:r>
        <w:rPr>
          <w:color w:val="A26108"/>
        </w:rPr>
        <w:t>e</w:t>
      </w:r>
      <w:r>
        <w:rPr>
          <w:color w:val="A26108"/>
          <w:spacing w:val="23"/>
        </w:rPr>
        <w:t> </w:t>
      </w:r>
      <w:r>
        <w:rPr>
          <w:color w:val="A26108"/>
          <w:spacing w:val="-2"/>
        </w:rPr>
        <w:t>tratamento</w:t>
      </w:r>
    </w:p>
    <w:p>
      <w:pPr>
        <w:pStyle w:val="BodyText"/>
        <w:spacing w:line="290" w:lineRule="auto" w:before="139"/>
        <w:ind w:right="500"/>
      </w:pPr>
      <w:r>
        <w:rPr/>
        <w:t>A evolução clínica individual é imprevisível. A deposição de substância amiloide é mais rápida em pacientes jovens com amiloidose primária e lenta nos casos de amiloidose senil.</w:t>
      </w:r>
      <w:r>
        <w:rPr>
          <w:vertAlign w:val="superscript"/>
        </w:rPr>
        <w:t>17</w:t>
      </w:r>
    </w:p>
    <w:p>
      <w:pPr>
        <w:pStyle w:val="BodyText"/>
        <w:spacing w:line="276" w:lineRule="auto" w:before="48"/>
        <w:ind w:right="488"/>
      </w:pPr>
      <w:r>
        <w:rPr/>
        <w:t>O prognóstico em pacientes com amiloidose depende de etiologia, tipo de apresentação clínica, grau de hipertrofia ventricular e padrão de relaxamento ventricular.</w:t>
      </w:r>
    </w:p>
    <w:p>
      <w:pPr>
        <w:pStyle w:val="BodyText"/>
        <w:spacing w:line="280" w:lineRule="auto" w:before="49"/>
        <w:ind w:right="488"/>
      </w:pPr>
      <w:r>
        <w:rPr/>
        <w:t>Em nosso meio, Pereira Barreto </w:t>
      </w:r>
      <w:r>
        <w:rPr>
          <w:i/>
        </w:rPr>
        <w:t>et al. </w:t>
      </w:r>
      <w:r>
        <w:rPr/>
        <w:t>definem a amiloidose cardíaca como “uma doença de muitas faces e diferentes prognósticos”.</w:t>
      </w:r>
      <w:r>
        <w:rPr>
          <w:vertAlign w:val="superscript"/>
        </w:rPr>
        <w:t>18</w:t>
      </w:r>
      <w:r>
        <w:rPr>
          <w:vertAlign w:val="baseline"/>
        </w:rPr>
        <w:t> Nessa casuística, os autores identificaram dois tipos de evolução: IC e distúrbios de condução. Os pacientes, cuja apresentação clínica foi o distúrbio de condução, apresentaram melhor evolução do que aqueles que evoluíram com IC; nesse último grupo, o prognóstico foi reservado.</w:t>
      </w:r>
    </w:p>
    <w:p>
      <w:pPr>
        <w:pStyle w:val="BodyText"/>
        <w:spacing w:line="280" w:lineRule="auto" w:before="59"/>
        <w:ind w:right="491"/>
      </w:pPr>
      <w:r>
        <w:rPr/>
        <w:t>A avaliação da espessura ventricular ao ecocardiograma é um dado importante que se correlaciona com o prognóstico. Em um estudo, os pacientes com aumento de espessura ventricular também apresentaram outras anormalidades, como dilatação de AE, aspecto granular e função sistólica ventricular reduzida. Nos casos de espessura ventricular de 15 mm a sobrevida média foi de 5 meses.</w:t>
      </w:r>
      <w:r>
        <w:rPr>
          <w:vertAlign w:val="superscript"/>
        </w:rPr>
        <w:t>19</w:t>
      </w:r>
      <w:r>
        <w:rPr>
          <w:vertAlign w:val="baseline"/>
        </w:rPr>
        <w:t> Outras variáveis ecocardiográficas, como o enchimento</w:t>
      </w:r>
      <w:r>
        <w:rPr>
          <w:spacing w:val="-12"/>
          <w:vertAlign w:val="baseline"/>
        </w:rPr>
        <w:t> </w:t>
      </w:r>
      <w:r>
        <w:rPr>
          <w:vertAlign w:val="baseline"/>
        </w:rPr>
        <w:t>diastólico</w:t>
      </w:r>
      <w:r>
        <w:rPr>
          <w:spacing w:val="-12"/>
          <w:vertAlign w:val="baseline"/>
        </w:rPr>
        <w:t> </w:t>
      </w:r>
      <w:r>
        <w:rPr>
          <w:vertAlign w:val="baseline"/>
        </w:rPr>
        <w:t>ventricular,</w:t>
      </w:r>
      <w:r>
        <w:rPr>
          <w:spacing w:val="-5"/>
          <w:vertAlign w:val="baseline"/>
        </w:rPr>
        <w:t> </w:t>
      </w:r>
      <w:r>
        <w:rPr>
          <w:vertAlign w:val="baseline"/>
        </w:rPr>
        <w:t>são</w:t>
      </w:r>
      <w:r>
        <w:rPr>
          <w:spacing w:val="-12"/>
          <w:vertAlign w:val="baseline"/>
        </w:rPr>
        <w:t> </w:t>
      </w:r>
      <w:r>
        <w:rPr>
          <w:vertAlign w:val="baseline"/>
        </w:rPr>
        <w:t>importantes</w:t>
      </w:r>
      <w:r>
        <w:rPr>
          <w:spacing w:val="-5"/>
          <w:vertAlign w:val="baseline"/>
        </w:rPr>
        <w:t> </w:t>
      </w:r>
      <w:r>
        <w:rPr>
          <w:vertAlign w:val="baseline"/>
        </w:rPr>
        <w:t>preditores</w:t>
      </w:r>
      <w:r>
        <w:rPr>
          <w:spacing w:val="-5"/>
          <w:vertAlign w:val="baseline"/>
        </w:rPr>
        <w:t> </w:t>
      </w:r>
      <w:r>
        <w:rPr>
          <w:vertAlign w:val="baseline"/>
        </w:rPr>
        <w:t>de</w:t>
      </w:r>
      <w:r>
        <w:rPr>
          <w:spacing w:val="-15"/>
          <w:vertAlign w:val="baseline"/>
        </w:rPr>
        <w:t> </w:t>
      </w:r>
      <w:r>
        <w:rPr>
          <w:vertAlign w:val="baseline"/>
        </w:rPr>
        <w:t>sobrevida.</w:t>
      </w:r>
      <w:r>
        <w:rPr>
          <w:spacing w:val="-5"/>
          <w:vertAlign w:val="baseline"/>
        </w:rPr>
        <w:t> </w:t>
      </w:r>
      <w:r>
        <w:rPr>
          <w:vertAlign w:val="baseline"/>
        </w:rPr>
        <w:t>Os</w:t>
      </w:r>
      <w:r>
        <w:rPr>
          <w:spacing w:val="-5"/>
          <w:vertAlign w:val="baseline"/>
        </w:rPr>
        <w:t> </w:t>
      </w:r>
      <w:r>
        <w:rPr>
          <w:vertAlign w:val="baseline"/>
        </w:rPr>
        <w:t>pacientes</w:t>
      </w:r>
      <w:r>
        <w:rPr>
          <w:spacing w:val="-5"/>
          <w:vertAlign w:val="baseline"/>
        </w:rPr>
        <w:t> </w:t>
      </w:r>
      <w:r>
        <w:rPr>
          <w:vertAlign w:val="baseline"/>
        </w:rPr>
        <w:t>que</w:t>
      </w:r>
      <w:r>
        <w:rPr>
          <w:spacing w:val="-15"/>
          <w:vertAlign w:val="baseline"/>
        </w:rPr>
        <w:t> </w:t>
      </w:r>
      <w:r>
        <w:rPr>
          <w:vertAlign w:val="baseline"/>
        </w:rPr>
        <w:t>apresentaram</w:t>
      </w:r>
      <w:r>
        <w:rPr>
          <w:spacing w:val="-12"/>
          <w:vertAlign w:val="baseline"/>
        </w:rPr>
        <w:t> </w:t>
      </w:r>
      <w:r>
        <w:rPr>
          <w:vertAlign w:val="baseline"/>
        </w:rPr>
        <w:t>tempo</w:t>
      </w:r>
      <w:r>
        <w:rPr>
          <w:spacing w:val="-12"/>
          <w:vertAlign w:val="baseline"/>
        </w:rPr>
        <w:t> </w:t>
      </w:r>
      <w:r>
        <w:rPr>
          <w:vertAlign w:val="baseline"/>
        </w:rPr>
        <w:t>de desaceleração curto, &lt; 150 milissegundos, tiveram sobrevida média de 11 meses.</w:t>
      </w:r>
      <w:r>
        <w:rPr>
          <w:vertAlign w:val="superscript"/>
        </w:rPr>
        <w:t>20</w:t>
      </w:r>
    </w:p>
    <w:p>
      <w:pPr>
        <w:pStyle w:val="BodyText"/>
        <w:spacing w:line="283" w:lineRule="auto"/>
        <w:ind w:right="487"/>
      </w:pPr>
      <w:r>
        <w:rPr/>
        <w:t>O tratamento da amiloidose embasa-se na detecção do distúrbio de base e no controle dos sintomas.</w:t>
      </w:r>
      <w:r>
        <w:rPr>
          <w:vertAlign w:val="superscript"/>
        </w:rPr>
        <w:t>10</w:t>
      </w:r>
      <w:r>
        <w:rPr>
          <w:vertAlign w:val="baseline"/>
        </w:rPr>
        <w:t> O tratamento da forma primária visa diminuir o processo proliferativo celular. Em um estudo de 100 pacientes,</w:t>
      </w:r>
      <w:r>
        <w:rPr>
          <w:vertAlign w:val="superscript"/>
        </w:rPr>
        <w:t>21</w:t>
      </w:r>
      <w:r>
        <w:rPr>
          <w:vertAlign w:val="baseline"/>
        </w:rPr>
        <w:t> concluiu-se que a utilização de melfalana, prednisona e colchicina foi favorável nos casos de envolvimento sistêmico, à exceção daqueles nos quais havia acometimentos cardíaco e renal.</w:t>
      </w:r>
      <w:r>
        <w:rPr>
          <w:vertAlign w:val="superscript"/>
        </w:rPr>
        <w:t>21</w:t>
      </w:r>
      <w:r>
        <w:rPr>
          <w:vertAlign w:val="baseline"/>
        </w:rPr>
        <w:t> Em outro estudo, com 220 pacientes,</w:t>
      </w:r>
      <w:r>
        <w:rPr>
          <w:vertAlign w:val="superscript"/>
        </w:rPr>
        <w:t>22</w:t>
      </w:r>
      <w:r>
        <w:rPr>
          <w:vertAlign w:val="baseline"/>
        </w:rPr>
        <w:t> 46 dos quais com envolvimento cardíaco, a utilização de melfalana e prednisona resultou em melhor sobrevida, comparando-se com a colchicina. A sobrevida média dos pacientes com comprometimento cardíaco foi de 5 meses. Com esses dados, concluiu-se que o tratamento da amiloidose primária é insatisfatório e o transplante cardíaco geralmente</w:t>
      </w:r>
      <w:r>
        <w:rPr>
          <w:spacing w:val="-3"/>
          <w:vertAlign w:val="baseline"/>
        </w:rPr>
        <w:t> </w:t>
      </w:r>
      <w:r>
        <w:rPr>
          <w:vertAlign w:val="baseline"/>
        </w:rPr>
        <w:t>não é</w:t>
      </w:r>
      <w:r>
        <w:rPr>
          <w:spacing w:val="-3"/>
          <w:vertAlign w:val="baseline"/>
        </w:rPr>
        <w:t> </w:t>
      </w:r>
      <w:r>
        <w:rPr>
          <w:vertAlign w:val="baseline"/>
        </w:rPr>
        <w:t>indicado, pois a</w:t>
      </w:r>
      <w:r>
        <w:rPr>
          <w:spacing w:val="-3"/>
          <w:vertAlign w:val="baseline"/>
        </w:rPr>
        <w:t> </w:t>
      </w:r>
      <w:r>
        <w:rPr>
          <w:vertAlign w:val="baseline"/>
        </w:rPr>
        <w:t>doença</w:t>
      </w:r>
      <w:r>
        <w:rPr>
          <w:spacing w:val="-3"/>
          <w:vertAlign w:val="baseline"/>
        </w:rPr>
        <w:t> </w:t>
      </w:r>
      <w:r>
        <w:rPr>
          <w:vertAlign w:val="baseline"/>
        </w:rPr>
        <w:t>recidiva</w:t>
      </w:r>
      <w:r>
        <w:rPr>
          <w:spacing w:val="-3"/>
          <w:vertAlign w:val="baseline"/>
        </w:rPr>
        <w:t> </w:t>
      </w:r>
      <w:r>
        <w:rPr>
          <w:vertAlign w:val="baseline"/>
        </w:rPr>
        <w:t>em curto espaço de</w:t>
      </w:r>
      <w:r>
        <w:rPr>
          <w:spacing w:val="-3"/>
          <w:vertAlign w:val="baseline"/>
        </w:rPr>
        <w:t> </w:t>
      </w:r>
      <w:r>
        <w:rPr>
          <w:vertAlign w:val="baseline"/>
        </w:rPr>
        <w:t>tempo.</w:t>
      </w:r>
    </w:p>
    <w:p>
      <w:pPr>
        <w:pStyle w:val="BodyText"/>
        <w:spacing w:line="280" w:lineRule="auto" w:before="50"/>
        <w:ind w:right="497"/>
      </w:pPr>
      <w:r>
        <w:rPr/>
        <w:t>Com relação ao tratamento dos sintomas, os diuréticos e os vasodilatadores devem ser utilizados com cautela, pois pacientes com cardiopatia restritiva necessitam de elevadas pressões de enchimento para manter o débito cardíaco. O uso de digoxina e bloqueadores de canais de cálcio deve ser evitado, pois esses fármacos se ligam à substância amiloide causando toxicidade. Quanto aos distúrbios de condução, estes devem ser tratados com estimulação cardíaca artificial, quando necessário.</w:t>
      </w:r>
      <w:r>
        <w:rPr>
          <w:vertAlign w:val="superscript"/>
        </w:rPr>
        <w:t>18</w:t>
      </w:r>
    </w:p>
    <w:p>
      <w:pPr>
        <w:pStyle w:val="BodyText"/>
        <w:spacing w:before="176"/>
        <w:ind w:left="0" w:firstLine="0"/>
        <w:jc w:val="left"/>
      </w:pPr>
    </w:p>
    <w:p>
      <w:pPr>
        <w:pStyle w:val="Heading4"/>
      </w:pPr>
      <w:r>
        <w:rPr>
          <w:color w:val="242B67"/>
          <w:spacing w:val="-2"/>
        </w:rPr>
        <w:t>Endomiocardiofibrose</w:t>
      </w:r>
    </w:p>
    <w:p>
      <w:pPr>
        <w:pStyle w:val="BodyText"/>
        <w:spacing w:line="276" w:lineRule="auto" w:before="132"/>
        <w:ind w:right="488"/>
      </w:pPr>
      <w:r>
        <w:rPr/>
        <w:t>A EMF caracteriza-se por comprometimento fibrótico do endocárdio e miocárdio adjacente, ápice e via de entrada.</w:t>
      </w:r>
      <w:r>
        <w:rPr>
          <w:spacing w:val="80"/>
          <w:w w:val="150"/>
        </w:rPr>
        <w:t> </w:t>
      </w:r>
      <w:r>
        <w:rPr/>
        <w:t>O</w:t>
      </w:r>
      <w:r>
        <w:rPr>
          <w:spacing w:val="77"/>
          <w:w w:val="150"/>
        </w:rPr>
        <w:t> </w:t>
      </w:r>
      <w:r>
        <w:rPr/>
        <w:t>processo</w:t>
      </w:r>
      <w:r>
        <w:rPr>
          <w:spacing w:val="80"/>
          <w:w w:val="150"/>
        </w:rPr>
        <w:t> </w:t>
      </w:r>
      <w:r>
        <w:rPr/>
        <w:t>fibrótico</w:t>
      </w:r>
      <w:r>
        <w:rPr>
          <w:spacing w:val="80"/>
          <w:w w:val="150"/>
        </w:rPr>
        <w:t> </w:t>
      </w:r>
      <w:r>
        <w:rPr/>
        <w:t>acomete</w:t>
      </w:r>
      <w:r>
        <w:rPr>
          <w:spacing w:val="77"/>
          <w:w w:val="150"/>
        </w:rPr>
        <w:t> </w:t>
      </w:r>
      <w:r>
        <w:rPr/>
        <w:t>frequentemente</w:t>
      </w:r>
      <w:r>
        <w:rPr>
          <w:spacing w:val="77"/>
          <w:w w:val="150"/>
        </w:rPr>
        <w:t> </w:t>
      </w:r>
      <w:r>
        <w:rPr/>
        <w:t>os</w:t>
      </w:r>
      <w:r>
        <w:rPr>
          <w:spacing w:val="80"/>
          <w:w w:val="150"/>
        </w:rPr>
        <w:t> </w:t>
      </w:r>
      <w:r>
        <w:rPr/>
        <w:t>músculos</w:t>
      </w:r>
      <w:r>
        <w:rPr>
          <w:spacing w:val="80"/>
          <w:w w:val="150"/>
        </w:rPr>
        <w:t> </w:t>
      </w:r>
      <w:r>
        <w:rPr/>
        <w:t>papilares,</w:t>
      </w:r>
      <w:r>
        <w:rPr>
          <w:spacing w:val="80"/>
          <w:w w:val="150"/>
        </w:rPr>
        <w:t> </w:t>
      </w:r>
      <w:r>
        <w:rPr/>
        <w:t>determinando</w:t>
      </w:r>
      <w:r>
        <w:rPr>
          <w:spacing w:val="80"/>
          <w:w w:val="150"/>
        </w:rPr>
        <w:t> </w:t>
      </w:r>
      <w:r>
        <w:rPr/>
        <w:t>disfunções</w:t>
      </w:r>
    </w:p>
    <w:p>
      <w:pPr>
        <w:pStyle w:val="BodyText"/>
        <w:spacing w:after="0" w:line="276" w:lineRule="auto"/>
        <w:sectPr>
          <w:pgSz w:w="11900" w:h="16840"/>
          <w:pgMar w:top="200" w:bottom="0" w:left="566" w:right="141"/>
        </w:sectPr>
      </w:pPr>
    </w:p>
    <w:p>
      <w:pPr>
        <w:pStyle w:val="BodyText"/>
        <w:spacing w:line="290" w:lineRule="auto" w:before="66"/>
        <w:ind w:right="510" w:firstLine="0"/>
      </w:pPr>
      <w:r>
        <w:rPr/>
        <w:t>atrioventriculares. Esse</w:t>
      </w:r>
      <w:r>
        <w:rPr>
          <w:spacing w:val="-7"/>
        </w:rPr>
        <w:t> </w:t>
      </w:r>
      <w:r>
        <w:rPr/>
        <w:t>quadro</w:t>
      </w:r>
      <w:r>
        <w:rPr>
          <w:spacing w:val="-5"/>
        </w:rPr>
        <w:t> </w:t>
      </w:r>
      <w:r>
        <w:rPr/>
        <w:t>provoca</w:t>
      </w:r>
      <w:r>
        <w:rPr>
          <w:spacing w:val="-7"/>
        </w:rPr>
        <w:t> </w:t>
      </w:r>
      <w:r>
        <w:rPr/>
        <w:t>restrição</w:t>
      </w:r>
      <w:r>
        <w:rPr>
          <w:spacing w:val="-5"/>
        </w:rPr>
        <w:t> </w:t>
      </w:r>
      <w:r>
        <w:rPr/>
        <w:t>do</w:t>
      </w:r>
      <w:r>
        <w:rPr>
          <w:spacing w:val="-5"/>
        </w:rPr>
        <w:t> </w:t>
      </w:r>
      <w:r>
        <w:rPr/>
        <w:t>enchimento</w:t>
      </w:r>
      <w:r>
        <w:rPr>
          <w:spacing w:val="-5"/>
        </w:rPr>
        <w:t> </w:t>
      </w:r>
      <w:r>
        <w:rPr/>
        <w:t>ventricular, ocasionando</w:t>
      </w:r>
      <w:r>
        <w:rPr>
          <w:spacing w:val="-5"/>
        </w:rPr>
        <w:t> </w:t>
      </w:r>
      <w:r>
        <w:rPr/>
        <w:t>as manifestações clínicas e os distúrbios hemodinâmicos sugestivos da doença.</w:t>
      </w:r>
      <w:r>
        <w:rPr>
          <w:vertAlign w:val="superscript"/>
        </w:rPr>
        <w:t>23</w:t>
      </w:r>
    </w:p>
    <w:p>
      <w:pPr>
        <w:pStyle w:val="BodyText"/>
        <w:spacing w:line="283" w:lineRule="auto" w:before="54"/>
        <w:ind w:right="500"/>
      </w:pPr>
      <w:r>
        <w:rPr/>
        <w:t>O</w:t>
      </w:r>
      <w:r>
        <w:rPr>
          <w:spacing w:val="-6"/>
        </w:rPr>
        <w:t> </w:t>
      </w:r>
      <w:r>
        <w:rPr/>
        <w:t>aspecto</w:t>
      </w:r>
      <w:r>
        <w:rPr>
          <w:spacing w:val="-3"/>
        </w:rPr>
        <w:t> </w:t>
      </w:r>
      <w:r>
        <w:rPr/>
        <w:t>macroscópico</w:t>
      </w:r>
      <w:r>
        <w:rPr>
          <w:spacing w:val="-3"/>
        </w:rPr>
        <w:t> </w:t>
      </w:r>
      <w:r>
        <w:rPr/>
        <w:t>do</w:t>
      </w:r>
      <w:r>
        <w:rPr>
          <w:spacing w:val="-3"/>
        </w:rPr>
        <w:t> </w:t>
      </w:r>
      <w:r>
        <w:rPr/>
        <w:t>coração</w:t>
      </w:r>
      <w:r>
        <w:rPr>
          <w:spacing w:val="-3"/>
        </w:rPr>
        <w:t> </w:t>
      </w:r>
      <w:r>
        <w:rPr/>
        <w:t>é</w:t>
      </w:r>
      <w:r>
        <w:rPr>
          <w:spacing w:val="-6"/>
        </w:rPr>
        <w:t> </w:t>
      </w:r>
      <w:r>
        <w:rPr/>
        <w:t>variado, em</w:t>
      </w:r>
      <w:r>
        <w:rPr>
          <w:spacing w:val="-3"/>
        </w:rPr>
        <w:t> </w:t>
      </w:r>
      <w:r>
        <w:rPr/>
        <w:t>geral com</w:t>
      </w:r>
      <w:r>
        <w:rPr>
          <w:spacing w:val="-3"/>
        </w:rPr>
        <w:t> </w:t>
      </w:r>
      <w:r>
        <w:rPr/>
        <w:t>ventrículos de</w:t>
      </w:r>
      <w:r>
        <w:rPr>
          <w:spacing w:val="-6"/>
        </w:rPr>
        <w:t> </w:t>
      </w:r>
      <w:r>
        <w:rPr/>
        <w:t>tamanho</w:t>
      </w:r>
      <w:r>
        <w:rPr>
          <w:spacing w:val="-3"/>
        </w:rPr>
        <w:t> </w:t>
      </w:r>
      <w:r>
        <w:rPr/>
        <w:t>normal e</w:t>
      </w:r>
      <w:r>
        <w:rPr>
          <w:spacing w:val="-6"/>
        </w:rPr>
        <w:t> </w:t>
      </w:r>
      <w:r>
        <w:rPr/>
        <w:t>átrios de</w:t>
      </w:r>
      <w:r>
        <w:rPr>
          <w:spacing w:val="-6"/>
        </w:rPr>
        <w:t> </w:t>
      </w:r>
      <w:r>
        <w:rPr/>
        <w:t>grandes proporções. Dependendo do grau de fibrose, pode-se observar dilatação da via de saída. Quanto ao aspecto microscópico, somente 50% dos casos apresentam fibrose à biopsia endomiocárdica de VD.</w:t>
      </w:r>
      <w:r>
        <w:rPr>
          <w:vertAlign w:val="superscript"/>
        </w:rPr>
        <w:t>23</w:t>
      </w:r>
    </w:p>
    <w:p>
      <w:pPr>
        <w:pStyle w:val="BodyText"/>
        <w:spacing w:line="276" w:lineRule="auto" w:before="40"/>
        <w:ind w:right="491"/>
      </w:pPr>
      <w:r>
        <w:rPr/>
        <w:t>Após</w:t>
      </w:r>
      <w:r>
        <w:rPr>
          <w:spacing w:val="-6"/>
        </w:rPr>
        <w:t> </w:t>
      </w:r>
      <w:r>
        <w:rPr/>
        <w:t>o</w:t>
      </w:r>
      <w:r>
        <w:rPr>
          <w:spacing w:val="-12"/>
        </w:rPr>
        <w:t> </w:t>
      </w:r>
      <w:r>
        <w:rPr/>
        <w:t>desenvolvimento</w:t>
      </w:r>
      <w:r>
        <w:rPr>
          <w:spacing w:val="-12"/>
        </w:rPr>
        <w:t> </w:t>
      </w:r>
      <w:r>
        <w:rPr/>
        <w:t>da</w:t>
      </w:r>
      <w:r>
        <w:rPr>
          <w:spacing w:val="-15"/>
        </w:rPr>
        <w:t> </w:t>
      </w:r>
      <w:r>
        <w:rPr/>
        <w:t>cineangiocardiografia</w:t>
      </w:r>
      <w:r>
        <w:rPr>
          <w:spacing w:val="-14"/>
        </w:rPr>
        <w:t> </w:t>
      </w:r>
      <w:r>
        <w:rPr/>
        <w:t>e</w:t>
      </w:r>
      <w:r>
        <w:rPr>
          <w:spacing w:val="-14"/>
        </w:rPr>
        <w:t> </w:t>
      </w:r>
      <w:r>
        <w:rPr/>
        <w:t>da</w:t>
      </w:r>
      <w:r>
        <w:rPr>
          <w:spacing w:val="-15"/>
        </w:rPr>
        <w:t> </w:t>
      </w:r>
      <w:r>
        <w:rPr/>
        <w:t>ecocardiografia,</w:t>
      </w:r>
      <w:r>
        <w:rPr>
          <w:spacing w:val="-5"/>
        </w:rPr>
        <w:t> </w:t>
      </w:r>
      <w:r>
        <w:rPr/>
        <w:t>a</w:t>
      </w:r>
      <w:r>
        <w:rPr>
          <w:spacing w:val="-15"/>
        </w:rPr>
        <w:t> </w:t>
      </w:r>
      <w:r>
        <w:rPr/>
        <w:t>doença</w:t>
      </w:r>
      <w:r>
        <w:rPr>
          <w:spacing w:val="-14"/>
        </w:rPr>
        <w:t> </w:t>
      </w:r>
      <w:r>
        <w:rPr/>
        <w:t>passou</w:t>
      </w:r>
      <w:r>
        <w:rPr>
          <w:spacing w:val="-12"/>
        </w:rPr>
        <w:t> </w:t>
      </w:r>
      <w:r>
        <w:rPr/>
        <w:t>a</w:t>
      </w:r>
      <w:r>
        <w:rPr>
          <w:spacing w:val="-15"/>
        </w:rPr>
        <w:t> </w:t>
      </w:r>
      <w:r>
        <w:rPr/>
        <w:t>ser</w:t>
      </w:r>
      <w:r>
        <w:rPr>
          <w:spacing w:val="-7"/>
        </w:rPr>
        <w:t> </w:t>
      </w:r>
      <w:r>
        <w:rPr/>
        <w:t>diagnosticada</w:t>
      </w:r>
      <w:r>
        <w:rPr>
          <w:spacing w:val="-15"/>
        </w:rPr>
        <w:t> </w:t>
      </w:r>
      <w:r>
        <w:rPr/>
        <w:t>com maior facilidade e frequência. O diagnóstico diferencial deve ser feito com as pericardiopatias e diferentes síndromes restritivas.</w:t>
      </w:r>
    </w:p>
    <w:p>
      <w:pPr>
        <w:pStyle w:val="BodyText"/>
        <w:spacing w:before="134"/>
        <w:ind w:left="0" w:firstLine="0"/>
        <w:jc w:val="left"/>
      </w:pPr>
    </w:p>
    <w:p>
      <w:pPr>
        <w:pStyle w:val="Heading5"/>
      </w:pPr>
      <w:r>
        <w:rPr>
          <w:color w:val="A26108"/>
          <w:spacing w:val="-2"/>
        </w:rPr>
        <w:t>Etiopatogenia</w:t>
      </w:r>
    </w:p>
    <w:p>
      <w:pPr>
        <w:pStyle w:val="BodyText"/>
        <w:spacing w:line="278" w:lineRule="auto" w:before="138"/>
        <w:ind w:right="500"/>
      </w:pPr>
      <w:r>
        <w:rPr/>
        <w:t>A etiologia da EMF é desconhecida. Já foram considerados como desencadeantes do espessamento fibroso as infecções virais, bacterianas, parasitárias, a alimentação rica em serotonina e a desnutrição.</w:t>
      </w:r>
      <w:r>
        <w:rPr>
          <w:vertAlign w:val="superscript"/>
        </w:rPr>
        <w:t>21</w:t>
      </w:r>
      <w:r>
        <w:rPr>
          <w:vertAlign w:val="baseline"/>
        </w:rPr>
        <w:t> Existem alguns indícios de</w:t>
      </w:r>
      <w:r>
        <w:rPr>
          <w:spacing w:val="-3"/>
          <w:vertAlign w:val="baseline"/>
        </w:rPr>
        <w:t> </w:t>
      </w:r>
      <w:r>
        <w:rPr>
          <w:vertAlign w:val="baseline"/>
        </w:rPr>
        <w:t>associação entre</w:t>
      </w:r>
      <w:r>
        <w:rPr>
          <w:spacing w:val="-3"/>
          <w:vertAlign w:val="baseline"/>
        </w:rPr>
        <w:t> </w:t>
      </w:r>
      <w:r>
        <w:rPr>
          <w:vertAlign w:val="baseline"/>
        </w:rPr>
        <w:t>eosinofilia</w:t>
      </w:r>
      <w:r>
        <w:rPr>
          <w:spacing w:val="-3"/>
          <w:vertAlign w:val="baseline"/>
        </w:rPr>
        <w:t> </w:t>
      </w:r>
      <w:r>
        <w:rPr>
          <w:vertAlign w:val="baseline"/>
        </w:rPr>
        <w:t>e</w:t>
      </w:r>
      <w:r>
        <w:rPr>
          <w:spacing w:val="-3"/>
          <w:vertAlign w:val="baseline"/>
        </w:rPr>
        <w:t> </w:t>
      </w:r>
      <w:r>
        <w:rPr>
          <w:vertAlign w:val="baseline"/>
        </w:rPr>
        <w:t>fibrose</w:t>
      </w:r>
      <w:r>
        <w:rPr>
          <w:spacing w:val="-3"/>
          <w:vertAlign w:val="baseline"/>
        </w:rPr>
        <w:t> </w:t>
      </w:r>
      <w:r>
        <w:rPr>
          <w:vertAlign w:val="baseline"/>
        </w:rPr>
        <w:t>endomiocárdica, apesar de</w:t>
      </w:r>
      <w:r>
        <w:rPr>
          <w:spacing w:val="-3"/>
          <w:vertAlign w:val="baseline"/>
        </w:rPr>
        <w:t> </w:t>
      </w:r>
      <w:r>
        <w:rPr>
          <w:vertAlign w:val="baseline"/>
        </w:rPr>
        <w:t>não se</w:t>
      </w:r>
      <w:r>
        <w:rPr>
          <w:spacing w:val="-3"/>
          <w:vertAlign w:val="baseline"/>
        </w:rPr>
        <w:t> </w:t>
      </w:r>
      <w:r>
        <w:rPr>
          <w:vertAlign w:val="baseline"/>
        </w:rPr>
        <w:t>encontrar aumento significativo no número de</w:t>
      </w:r>
      <w:r>
        <w:rPr>
          <w:spacing w:val="-1"/>
          <w:vertAlign w:val="baseline"/>
        </w:rPr>
        <w:t> </w:t>
      </w:r>
      <w:r>
        <w:rPr>
          <w:vertAlign w:val="baseline"/>
        </w:rPr>
        <w:t>eosinófilos no sangue</w:t>
      </w:r>
      <w:r>
        <w:rPr>
          <w:spacing w:val="-1"/>
          <w:vertAlign w:val="baseline"/>
        </w:rPr>
        <w:t> </w:t>
      </w:r>
      <w:r>
        <w:rPr>
          <w:vertAlign w:val="baseline"/>
        </w:rPr>
        <w:t>periférico. A</w:t>
      </w:r>
      <w:r>
        <w:rPr>
          <w:spacing w:val="-1"/>
          <w:vertAlign w:val="baseline"/>
        </w:rPr>
        <w:t> </w:t>
      </w:r>
      <w:r>
        <w:rPr>
          <w:vertAlign w:val="baseline"/>
        </w:rPr>
        <w:t>EMF é</w:t>
      </w:r>
      <w:r>
        <w:rPr>
          <w:spacing w:val="-1"/>
          <w:vertAlign w:val="baseline"/>
        </w:rPr>
        <w:t> </w:t>
      </w:r>
      <w:r>
        <w:rPr>
          <w:vertAlign w:val="baseline"/>
        </w:rPr>
        <w:t>semelhante</w:t>
      </w:r>
      <w:r>
        <w:rPr>
          <w:spacing w:val="-1"/>
          <w:vertAlign w:val="baseline"/>
        </w:rPr>
        <w:t> </w:t>
      </w:r>
      <w:r>
        <w:rPr>
          <w:vertAlign w:val="baseline"/>
        </w:rPr>
        <w:t>à</w:t>
      </w:r>
      <w:r>
        <w:rPr>
          <w:spacing w:val="-1"/>
          <w:vertAlign w:val="baseline"/>
        </w:rPr>
        <w:t> </w:t>
      </w:r>
      <w:r>
        <w:rPr>
          <w:vertAlign w:val="baseline"/>
        </w:rPr>
        <w:t>terceira</w:t>
      </w:r>
      <w:r>
        <w:rPr>
          <w:spacing w:val="-1"/>
          <w:vertAlign w:val="baseline"/>
        </w:rPr>
        <w:t> </w:t>
      </w:r>
      <w:r>
        <w:rPr>
          <w:vertAlign w:val="baseline"/>
        </w:rPr>
        <w:t>fase</w:t>
      </w:r>
      <w:r>
        <w:rPr>
          <w:spacing w:val="-1"/>
          <w:vertAlign w:val="baseline"/>
        </w:rPr>
        <w:t> </w:t>
      </w:r>
      <w:r>
        <w:rPr>
          <w:vertAlign w:val="baseline"/>
        </w:rPr>
        <w:t>da</w:t>
      </w:r>
      <w:r>
        <w:rPr>
          <w:spacing w:val="-1"/>
          <w:vertAlign w:val="baseline"/>
        </w:rPr>
        <w:t> </w:t>
      </w:r>
      <w:r>
        <w:rPr>
          <w:vertAlign w:val="baseline"/>
        </w:rPr>
        <w:t>cardiopatia</w:t>
      </w:r>
      <w:r>
        <w:rPr>
          <w:spacing w:val="-1"/>
          <w:vertAlign w:val="baseline"/>
        </w:rPr>
        <w:t> </w:t>
      </w:r>
      <w:r>
        <w:rPr>
          <w:vertAlign w:val="baseline"/>
        </w:rPr>
        <w:t>de</w:t>
      </w:r>
      <w:r>
        <w:rPr>
          <w:spacing w:val="-1"/>
          <w:vertAlign w:val="baseline"/>
        </w:rPr>
        <w:t> </w:t>
      </w:r>
      <w:r>
        <w:rPr>
          <w:vertAlign w:val="baseline"/>
        </w:rPr>
        <w:t>Loeffler. Por outro lado, algumas síndromes eosinofílicas, como a síndrome eosinofílica idiopática, desenvolvem as mesmas fases dessa cardiopatia.</w:t>
      </w:r>
    </w:p>
    <w:p>
      <w:pPr>
        <w:pStyle w:val="BodyText"/>
        <w:spacing w:line="278" w:lineRule="auto" w:before="49"/>
        <w:ind w:right="497"/>
      </w:pPr>
      <w:r>
        <w:rPr/>
        <w:t>A cardiopatia de Loeffler, descrita em 1936, apresenta três fases: a primeira, denominada infiltrativa, caracteriza-se por infiltrado inflamatório agudo, com predomínio de eosinófilos. A segunda, denominada trombótica, é caracterizada pela persistência do infiltrado inflamatório e formação de trombos. A terceira fase, também</w:t>
      </w:r>
      <w:r>
        <w:rPr>
          <w:spacing w:val="-6"/>
        </w:rPr>
        <w:t> </w:t>
      </w:r>
      <w:r>
        <w:rPr/>
        <w:t>denominada</w:t>
      </w:r>
      <w:r>
        <w:rPr>
          <w:spacing w:val="-9"/>
        </w:rPr>
        <w:t> </w:t>
      </w:r>
      <w:r>
        <w:rPr/>
        <w:t>fibrótica, é</w:t>
      </w:r>
      <w:r>
        <w:rPr>
          <w:spacing w:val="-9"/>
        </w:rPr>
        <w:t> </w:t>
      </w:r>
      <w:r>
        <w:rPr/>
        <w:t>a</w:t>
      </w:r>
      <w:r>
        <w:rPr>
          <w:spacing w:val="-9"/>
        </w:rPr>
        <w:t> </w:t>
      </w:r>
      <w:r>
        <w:rPr/>
        <w:t>via</w:t>
      </w:r>
      <w:r>
        <w:rPr>
          <w:spacing w:val="-9"/>
        </w:rPr>
        <w:t> </w:t>
      </w:r>
      <w:r>
        <w:rPr/>
        <w:t>final</w:t>
      </w:r>
      <w:r>
        <w:rPr>
          <w:spacing w:val="-4"/>
        </w:rPr>
        <w:t> </w:t>
      </w:r>
      <w:r>
        <w:rPr/>
        <w:t>do</w:t>
      </w:r>
      <w:r>
        <w:rPr>
          <w:spacing w:val="-6"/>
        </w:rPr>
        <w:t> </w:t>
      </w:r>
      <w:r>
        <w:rPr/>
        <w:t>processo.</w:t>
      </w:r>
      <w:r>
        <w:rPr>
          <w:vertAlign w:val="superscript"/>
        </w:rPr>
        <w:t>4</w:t>
      </w:r>
      <w:r>
        <w:rPr>
          <w:vertAlign w:val="baseline"/>
        </w:rPr>
        <w:t> São</w:t>
      </w:r>
      <w:r>
        <w:rPr>
          <w:spacing w:val="-5"/>
          <w:vertAlign w:val="baseline"/>
        </w:rPr>
        <w:t> </w:t>
      </w:r>
      <w:r>
        <w:rPr>
          <w:vertAlign w:val="baseline"/>
        </w:rPr>
        <w:t>descritas diferenças entre</w:t>
      </w:r>
      <w:r>
        <w:rPr>
          <w:spacing w:val="-8"/>
          <w:vertAlign w:val="baseline"/>
        </w:rPr>
        <w:t> </w:t>
      </w:r>
      <w:r>
        <w:rPr>
          <w:vertAlign w:val="baseline"/>
        </w:rPr>
        <w:t>a</w:t>
      </w:r>
      <w:r>
        <w:rPr>
          <w:spacing w:val="-8"/>
          <w:vertAlign w:val="baseline"/>
        </w:rPr>
        <w:t> </w:t>
      </w:r>
      <w:r>
        <w:rPr>
          <w:vertAlign w:val="baseline"/>
        </w:rPr>
        <w:t>cardiopatia</w:t>
      </w:r>
      <w:r>
        <w:rPr>
          <w:spacing w:val="-8"/>
          <w:vertAlign w:val="baseline"/>
        </w:rPr>
        <w:t> </w:t>
      </w:r>
      <w:r>
        <w:rPr>
          <w:vertAlign w:val="baseline"/>
        </w:rPr>
        <w:t>de</w:t>
      </w:r>
      <w:r>
        <w:rPr>
          <w:spacing w:val="-8"/>
          <w:vertAlign w:val="baseline"/>
        </w:rPr>
        <w:t> </w:t>
      </w:r>
      <w:r>
        <w:rPr>
          <w:vertAlign w:val="baseline"/>
        </w:rPr>
        <w:t>Loeffler e</w:t>
      </w:r>
      <w:r>
        <w:rPr>
          <w:spacing w:val="-8"/>
          <w:vertAlign w:val="baseline"/>
        </w:rPr>
        <w:t> </w:t>
      </w:r>
      <w:r>
        <w:rPr>
          <w:vertAlign w:val="baseline"/>
        </w:rPr>
        <w:t>a EMF: a</w:t>
      </w:r>
      <w:r>
        <w:rPr>
          <w:spacing w:val="-4"/>
          <w:vertAlign w:val="baseline"/>
        </w:rPr>
        <w:t> </w:t>
      </w:r>
      <w:r>
        <w:rPr>
          <w:vertAlign w:val="baseline"/>
        </w:rPr>
        <w:t>cardiopatia</w:t>
      </w:r>
      <w:r>
        <w:rPr>
          <w:spacing w:val="-4"/>
          <w:vertAlign w:val="baseline"/>
        </w:rPr>
        <w:t> </w:t>
      </w:r>
      <w:r>
        <w:rPr>
          <w:vertAlign w:val="baseline"/>
        </w:rPr>
        <w:t>de</w:t>
      </w:r>
      <w:r>
        <w:rPr>
          <w:spacing w:val="-4"/>
          <w:vertAlign w:val="baseline"/>
        </w:rPr>
        <w:t> </w:t>
      </w:r>
      <w:r>
        <w:rPr>
          <w:vertAlign w:val="baseline"/>
        </w:rPr>
        <w:t>Loeffler tem</w:t>
      </w:r>
      <w:r>
        <w:rPr>
          <w:spacing w:val="-2"/>
          <w:vertAlign w:val="baseline"/>
        </w:rPr>
        <w:t> </w:t>
      </w:r>
      <w:r>
        <w:rPr>
          <w:vertAlign w:val="baseline"/>
        </w:rPr>
        <w:t>predomínio</w:t>
      </w:r>
      <w:r>
        <w:rPr>
          <w:spacing w:val="-2"/>
          <w:vertAlign w:val="baseline"/>
        </w:rPr>
        <w:t> </w:t>
      </w:r>
      <w:r>
        <w:rPr>
          <w:vertAlign w:val="baseline"/>
        </w:rPr>
        <w:t>no</w:t>
      </w:r>
      <w:r>
        <w:rPr>
          <w:spacing w:val="-2"/>
          <w:vertAlign w:val="baseline"/>
        </w:rPr>
        <w:t> </w:t>
      </w:r>
      <w:r>
        <w:rPr>
          <w:vertAlign w:val="baseline"/>
        </w:rPr>
        <w:t>sexo</w:t>
      </w:r>
      <w:r>
        <w:rPr>
          <w:spacing w:val="-2"/>
          <w:vertAlign w:val="baseline"/>
        </w:rPr>
        <w:t> </w:t>
      </w:r>
      <w:r>
        <w:rPr>
          <w:vertAlign w:val="baseline"/>
        </w:rPr>
        <w:t>masculino, faixa</w:t>
      </w:r>
      <w:r>
        <w:rPr>
          <w:spacing w:val="-4"/>
          <w:vertAlign w:val="baseline"/>
        </w:rPr>
        <w:t> </w:t>
      </w:r>
      <w:r>
        <w:rPr>
          <w:vertAlign w:val="baseline"/>
        </w:rPr>
        <w:t>etária</w:t>
      </w:r>
      <w:r>
        <w:rPr>
          <w:spacing w:val="-4"/>
          <w:vertAlign w:val="baseline"/>
        </w:rPr>
        <w:t> </w:t>
      </w:r>
      <w:r>
        <w:rPr>
          <w:vertAlign w:val="baseline"/>
        </w:rPr>
        <w:t>mais elevada</w:t>
      </w:r>
      <w:r>
        <w:rPr>
          <w:spacing w:val="-4"/>
          <w:vertAlign w:val="baseline"/>
        </w:rPr>
        <w:t> </w:t>
      </w:r>
      <w:r>
        <w:rPr>
          <w:vertAlign w:val="baseline"/>
        </w:rPr>
        <w:t>e</w:t>
      </w:r>
      <w:r>
        <w:rPr>
          <w:spacing w:val="-4"/>
          <w:vertAlign w:val="baseline"/>
        </w:rPr>
        <w:t> </w:t>
      </w:r>
      <w:r>
        <w:rPr>
          <w:vertAlign w:val="baseline"/>
        </w:rPr>
        <w:t>geralmente</w:t>
      </w:r>
      <w:r>
        <w:rPr>
          <w:spacing w:val="-4"/>
          <w:vertAlign w:val="baseline"/>
        </w:rPr>
        <w:t> </w:t>
      </w:r>
      <w:r>
        <w:rPr>
          <w:vertAlign w:val="baseline"/>
        </w:rPr>
        <w:t>acomete outros órgãos.</w:t>
      </w:r>
    </w:p>
    <w:p>
      <w:pPr>
        <w:pStyle w:val="BodyText"/>
        <w:spacing w:before="135"/>
        <w:ind w:left="0" w:firstLine="0"/>
        <w:jc w:val="left"/>
      </w:pPr>
    </w:p>
    <w:p>
      <w:pPr>
        <w:pStyle w:val="Heading5"/>
      </w:pPr>
      <w:r>
        <w:rPr>
          <w:color w:val="A26108"/>
        </w:rPr>
        <w:t>Quadro</w:t>
      </w:r>
      <w:r>
        <w:rPr>
          <w:color w:val="A26108"/>
          <w:spacing w:val="23"/>
        </w:rPr>
        <w:t> </w:t>
      </w:r>
      <w:r>
        <w:rPr>
          <w:color w:val="A26108"/>
          <w:spacing w:val="-2"/>
        </w:rPr>
        <w:t>clínico</w:t>
      </w:r>
    </w:p>
    <w:p>
      <w:pPr>
        <w:pStyle w:val="BodyText"/>
        <w:spacing w:line="278" w:lineRule="auto" w:before="138"/>
        <w:ind w:right="491"/>
      </w:pPr>
      <w:r>
        <w:rPr/>
        <w:t>Clinicamente, caracteriza-se</w:t>
      </w:r>
      <w:r>
        <w:rPr>
          <w:spacing w:val="-7"/>
        </w:rPr>
        <w:t> </w:t>
      </w:r>
      <w:r>
        <w:rPr/>
        <w:t>por síndrome</w:t>
      </w:r>
      <w:r>
        <w:rPr>
          <w:spacing w:val="-7"/>
        </w:rPr>
        <w:t> </w:t>
      </w:r>
      <w:r>
        <w:rPr/>
        <w:t>restritiva, com</w:t>
      </w:r>
      <w:r>
        <w:rPr>
          <w:spacing w:val="-5"/>
        </w:rPr>
        <w:t> </w:t>
      </w:r>
      <w:r>
        <w:rPr/>
        <w:t>sinais e</w:t>
      </w:r>
      <w:r>
        <w:rPr>
          <w:spacing w:val="-7"/>
        </w:rPr>
        <w:t> </w:t>
      </w:r>
      <w:r>
        <w:rPr/>
        <w:t>sintomas de</w:t>
      </w:r>
      <w:r>
        <w:rPr>
          <w:spacing w:val="-7"/>
        </w:rPr>
        <w:t> </w:t>
      </w:r>
      <w:r>
        <w:rPr/>
        <w:t>ICC de</w:t>
      </w:r>
      <w:r>
        <w:rPr>
          <w:spacing w:val="-7"/>
        </w:rPr>
        <w:t> </w:t>
      </w:r>
      <w:r>
        <w:rPr/>
        <w:t>difícil</w:t>
      </w:r>
      <w:r>
        <w:rPr>
          <w:spacing w:val="-2"/>
        </w:rPr>
        <w:t> </w:t>
      </w:r>
      <w:r>
        <w:rPr/>
        <w:t>controle. O</w:t>
      </w:r>
      <w:r>
        <w:rPr>
          <w:spacing w:val="-7"/>
        </w:rPr>
        <w:t> </w:t>
      </w:r>
      <w:r>
        <w:rPr/>
        <w:t>quadro clínico dependerá do tipo de acometimento, se do VD, VE ou biventricular. Nos casos de acometimento de VD há predominância</w:t>
      </w:r>
      <w:r>
        <w:rPr>
          <w:spacing w:val="-5"/>
        </w:rPr>
        <w:t> </w:t>
      </w:r>
      <w:r>
        <w:rPr/>
        <w:t>de</w:t>
      </w:r>
      <w:r>
        <w:rPr>
          <w:spacing w:val="-5"/>
        </w:rPr>
        <w:t> </w:t>
      </w:r>
      <w:r>
        <w:rPr/>
        <w:t>ICC direita, sendo</w:t>
      </w:r>
      <w:r>
        <w:rPr>
          <w:spacing w:val="-3"/>
        </w:rPr>
        <w:t> </w:t>
      </w:r>
      <w:r>
        <w:rPr/>
        <w:t>um</w:t>
      </w:r>
      <w:r>
        <w:rPr>
          <w:spacing w:val="-3"/>
        </w:rPr>
        <w:t> </w:t>
      </w:r>
      <w:r>
        <w:rPr/>
        <w:t>dado</w:t>
      </w:r>
      <w:r>
        <w:rPr>
          <w:spacing w:val="-3"/>
        </w:rPr>
        <w:t> </w:t>
      </w:r>
      <w:r>
        <w:rPr/>
        <w:t>propedêutico</w:t>
      </w:r>
      <w:r>
        <w:rPr>
          <w:spacing w:val="-3"/>
        </w:rPr>
        <w:t> </w:t>
      </w:r>
      <w:r>
        <w:rPr/>
        <w:t>importante</w:t>
      </w:r>
      <w:r>
        <w:rPr>
          <w:spacing w:val="-5"/>
        </w:rPr>
        <w:t> </w:t>
      </w:r>
      <w:r>
        <w:rPr/>
        <w:t>no</w:t>
      </w:r>
      <w:r>
        <w:rPr>
          <w:spacing w:val="-3"/>
        </w:rPr>
        <w:t> </w:t>
      </w:r>
      <w:r>
        <w:rPr/>
        <w:t>diagnóstico</w:t>
      </w:r>
      <w:r>
        <w:rPr>
          <w:spacing w:val="-3"/>
        </w:rPr>
        <w:t> </w:t>
      </w:r>
      <w:r>
        <w:rPr/>
        <w:t>o</w:t>
      </w:r>
      <w:r>
        <w:rPr>
          <w:spacing w:val="-3"/>
        </w:rPr>
        <w:t> </w:t>
      </w:r>
      <w:r>
        <w:rPr/>
        <w:t>predomínio</w:t>
      </w:r>
      <w:r>
        <w:rPr>
          <w:spacing w:val="-3"/>
        </w:rPr>
        <w:t> </w:t>
      </w:r>
      <w:r>
        <w:rPr/>
        <w:t>da</w:t>
      </w:r>
      <w:r>
        <w:rPr>
          <w:spacing w:val="-5"/>
        </w:rPr>
        <w:t> </w:t>
      </w:r>
      <w:r>
        <w:rPr/>
        <w:t>intensidade da ascite sobre o edema de membros inferiores. Existe também, nessa forma, maior incidência de derrame pericárdico, edema e hepatomegalia. Na forma ventricular esquerda, observa-se dispneia e maior incidência de dor precordial nos casos de</w:t>
      </w:r>
      <w:r>
        <w:rPr>
          <w:spacing w:val="-4"/>
        </w:rPr>
        <w:t> </w:t>
      </w:r>
      <w:r>
        <w:rPr/>
        <w:t>maior comprometimento</w:t>
      </w:r>
      <w:r>
        <w:rPr>
          <w:spacing w:val="-1"/>
        </w:rPr>
        <w:t> </w:t>
      </w:r>
      <w:r>
        <w:rPr/>
        <w:t>fibrótico. Os sintomas da</w:t>
      </w:r>
      <w:r>
        <w:rPr>
          <w:spacing w:val="-4"/>
        </w:rPr>
        <w:t> </w:t>
      </w:r>
      <w:r>
        <w:rPr/>
        <w:t>EMF biventricular são</w:t>
      </w:r>
      <w:r>
        <w:rPr>
          <w:spacing w:val="-1"/>
        </w:rPr>
        <w:t> </w:t>
      </w:r>
      <w:r>
        <w:rPr/>
        <w:t>uma</w:t>
      </w:r>
      <w:r>
        <w:rPr>
          <w:spacing w:val="-4"/>
        </w:rPr>
        <w:t> </w:t>
      </w:r>
      <w:r>
        <w:rPr/>
        <w:t>mistura</w:t>
      </w:r>
      <w:r>
        <w:rPr>
          <w:spacing w:val="-4"/>
        </w:rPr>
        <w:t> </w:t>
      </w:r>
      <w:r>
        <w:rPr/>
        <w:t>dos tipos esquerdo e direito. Ao exame clínico observam-se pacientes consumidos em decorrência de má absorção consequente</w:t>
      </w:r>
      <w:r>
        <w:rPr>
          <w:spacing w:val="-7"/>
        </w:rPr>
        <w:t> </w:t>
      </w:r>
      <w:r>
        <w:rPr/>
        <w:t>à</w:t>
      </w:r>
      <w:r>
        <w:rPr>
          <w:spacing w:val="-7"/>
        </w:rPr>
        <w:t> </w:t>
      </w:r>
      <w:r>
        <w:rPr/>
        <w:t>grande</w:t>
      </w:r>
      <w:r>
        <w:rPr>
          <w:spacing w:val="-7"/>
        </w:rPr>
        <w:t> </w:t>
      </w:r>
      <w:r>
        <w:rPr/>
        <w:t>hipertensão</w:t>
      </w:r>
      <w:r>
        <w:rPr>
          <w:spacing w:val="-5"/>
        </w:rPr>
        <w:t> </w:t>
      </w:r>
      <w:r>
        <w:rPr/>
        <w:t>venocapilar sistêmica</w:t>
      </w:r>
      <w:r>
        <w:rPr>
          <w:spacing w:val="-7"/>
        </w:rPr>
        <w:t> </w:t>
      </w:r>
      <w:r>
        <w:rPr/>
        <w:t>naqueles com</w:t>
      </w:r>
      <w:r>
        <w:rPr>
          <w:spacing w:val="-5"/>
        </w:rPr>
        <w:t> </w:t>
      </w:r>
      <w:r>
        <w:rPr/>
        <w:t>comprometimento</w:t>
      </w:r>
      <w:r>
        <w:rPr>
          <w:spacing w:val="-5"/>
        </w:rPr>
        <w:t> </w:t>
      </w:r>
      <w:r>
        <w:rPr/>
        <w:t>de</w:t>
      </w:r>
      <w:r>
        <w:rPr>
          <w:spacing w:val="-7"/>
        </w:rPr>
        <w:t> </w:t>
      </w:r>
      <w:r>
        <w:rPr/>
        <w:t>VD</w:t>
      </w:r>
      <w:r>
        <w:rPr>
          <w:spacing w:val="-7"/>
        </w:rPr>
        <w:t> </w:t>
      </w:r>
      <w:r>
        <w:rPr/>
        <w:t>e</w:t>
      </w:r>
      <w:r>
        <w:rPr>
          <w:spacing w:val="-7"/>
        </w:rPr>
        <w:t> </w:t>
      </w:r>
      <w:r>
        <w:rPr/>
        <w:t>precórdio</w:t>
      </w:r>
      <w:r>
        <w:rPr>
          <w:spacing w:val="-5"/>
        </w:rPr>
        <w:t> </w:t>
      </w:r>
      <w:r>
        <w:rPr/>
        <w:t>quieto, diferentemente dos portadores de dilatações ventriculares. À inspeção das veias jugulares, nota-se descenso Y proeminente; à ausculta pode ocorrer estalido protodiastólico que frequentemente é confundido com B3, mas, ao contrário</w:t>
      </w:r>
      <w:r>
        <w:rPr>
          <w:spacing w:val="-1"/>
        </w:rPr>
        <w:t> </w:t>
      </w:r>
      <w:r>
        <w:rPr/>
        <w:t>desta, tem</w:t>
      </w:r>
      <w:r>
        <w:rPr>
          <w:spacing w:val="-1"/>
        </w:rPr>
        <w:t> </w:t>
      </w:r>
      <w:r>
        <w:rPr/>
        <w:t>timbre</w:t>
      </w:r>
      <w:r>
        <w:rPr>
          <w:spacing w:val="-3"/>
        </w:rPr>
        <w:t> </w:t>
      </w:r>
      <w:r>
        <w:rPr/>
        <w:t>agudo, sopros sistólicos que</w:t>
      </w:r>
      <w:r>
        <w:rPr>
          <w:spacing w:val="-3"/>
        </w:rPr>
        <w:t> </w:t>
      </w:r>
      <w:r>
        <w:rPr/>
        <w:t>representam</w:t>
      </w:r>
      <w:r>
        <w:rPr>
          <w:spacing w:val="-1"/>
        </w:rPr>
        <w:t> </w:t>
      </w:r>
      <w:r>
        <w:rPr/>
        <w:t>as disfunções atrioventriculares e</w:t>
      </w:r>
      <w:r>
        <w:rPr>
          <w:spacing w:val="-3"/>
        </w:rPr>
        <w:t> </w:t>
      </w:r>
      <w:r>
        <w:rPr/>
        <w:t>comumente são confundidos com valvopatias.</w:t>
      </w:r>
      <w:r>
        <w:rPr>
          <w:vertAlign w:val="superscript"/>
        </w:rPr>
        <w:t>23</w:t>
      </w:r>
    </w:p>
    <w:p>
      <w:pPr>
        <w:pStyle w:val="BodyText"/>
        <w:spacing w:before="119"/>
        <w:ind w:left="0" w:firstLine="0"/>
        <w:jc w:val="left"/>
      </w:pPr>
    </w:p>
    <w:p>
      <w:pPr>
        <w:pStyle w:val="Heading5"/>
      </w:pPr>
      <w:r>
        <w:rPr>
          <w:color w:val="A26108"/>
        </w:rPr>
        <w:t>Estudos</w:t>
      </w:r>
      <w:r>
        <w:rPr>
          <w:color w:val="A26108"/>
          <w:spacing w:val="19"/>
        </w:rPr>
        <w:t> </w:t>
      </w:r>
      <w:r>
        <w:rPr>
          <w:color w:val="A26108"/>
        </w:rPr>
        <w:t>não</w:t>
      </w:r>
      <w:r>
        <w:rPr>
          <w:color w:val="A26108"/>
          <w:spacing w:val="19"/>
        </w:rPr>
        <w:t> </w:t>
      </w:r>
      <w:r>
        <w:rPr>
          <w:color w:val="A26108"/>
          <w:spacing w:val="-2"/>
        </w:rPr>
        <w:t>invasivos</w:t>
      </w:r>
    </w:p>
    <w:p>
      <w:pPr>
        <w:pStyle w:val="BodyText"/>
        <w:spacing w:line="280" w:lineRule="auto" w:before="138"/>
        <w:ind w:right="491"/>
      </w:pPr>
      <w:r>
        <w:rPr/>
        <w:t>O</w:t>
      </w:r>
      <w:r>
        <w:rPr>
          <w:spacing w:val="-12"/>
        </w:rPr>
        <w:t> </w:t>
      </w:r>
      <w:r>
        <w:rPr/>
        <w:t>eletrocardiograma</w:t>
      </w:r>
      <w:r>
        <w:rPr>
          <w:spacing w:val="-12"/>
        </w:rPr>
        <w:t> </w:t>
      </w:r>
      <w:r>
        <w:rPr/>
        <w:t>não</w:t>
      </w:r>
      <w:r>
        <w:rPr>
          <w:spacing w:val="-10"/>
        </w:rPr>
        <w:t> </w:t>
      </w:r>
      <w:r>
        <w:rPr/>
        <w:t>é</w:t>
      </w:r>
      <w:r>
        <w:rPr>
          <w:spacing w:val="-12"/>
        </w:rPr>
        <w:t> </w:t>
      </w:r>
      <w:r>
        <w:rPr/>
        <w:t>específico,</w:t>
      </w:r>
      <w:r>
        <w:rPr>
          <w:spacing w:val="-3"/>
        </w:rPr>
        <w:t> </w:t>
      </w:r>
      <w:r>
        <w:rPr/>
        <w:t>mas</w:t>
      </w:r>
      <w:r>
        <w:rPr>
          <w:spacing w:val="-3"/>
        </w:rPr>
        <w:t> </w:t>
      </w:r>
      <w:r>
        <w:rPr/>
        <w:t>pode</w:t>
      </w:r>
      <w:r>
        <w:rPr>
          <w:spacing w:val="-12"/>
        </w:rPr>
        <w:t> </w:t>
      </w:r>
      <w:r>
        <w:rPr/>
        <w:t>ser</w:t>
      </w:r>
      <w:r>
        <w:rPr>
          <w:spacing w:val="-5"/>
        </w:rPr>
        <w:t> </w:t>
      </w:r>
      <w:r>
        <w:rPr/>
        <w:t>útil</w:t>
      </w:r>
      <w:r>
        <w:rPr>
          <w:spacing w:val="-7"/>
        </w:rPr>
        <w:t> </w:t>
      </w:r>
      <w:r>
        <w:rPr/>
        <w:t>na</w:t>
      </w:r>
      <w:r>
        <w:rPr>
          <w:spacing w:val="-12"/>
        </w:rPr>
        <w:t> </w:t>
      </w:r>
      <w:r>
        <w:rPr/>
        <w:t>identificação</w:t>
      </w:r>
      <w:r>
        <w:rPr>
          <w:spacing w:val="-10"/>
        </w:rPr>
        <w:t> </w:t>
      </w:r>
      <w:r>
        <w:rPr/>
        <w:t>do</w:t>
      </w:r>
      <w:r>
        <w:rPr>
          <w:spacing w:val="-10"/>
        </w:rPr>
        <w:t> </w:t>
      </w:r>
      <w:r>
        <w:rPr/>
        <w:t>tipo</w:t>
      </w:r>
      <w:r>
        <w:rPr>
          <w:spacing w:val="-10"/>
        </w:rPr>
        <w:t> </w:t>
      </w:r>
      <w:r>
        <w:rPr/>
        <w:t>de</w:t>
      </w:r>
      <w:r>
        <w:rPr>
          <w:spacing w:val="-12"/>
        </w:rPr>
        <w:t> </w:t>
      </w:r>
      <w:r>
        <w:rPr/>
        <w:t>envolvimento</w:t>
      </w:r>
      <w:r>
        <w:rPr>
          <w:spacing w:val="-10"/>
        </w:rPr>
        <w:t> </w:t>
      </w:r>
      <w:r>
        <w:rPr/>
        <w:t>ventricular.</w:t>
      </w:r>
      <w:r>
        <w:rPr>
          <w:spacing w:val="-3"/>
        </w:rPr>
        <w:t> </w:t>
      </w:r>
      <w:r>
        <w:rPr/>
        <w:t>No envolvimento do VD foram notados: baixa voltagem do complexo QRS no plano frontal, bloqueio incompleto de ramo direito e baixa voltagem de qr ou qs em V1, em contraste com maior voltagem em V2 e V3. Hemibloqueio anterior esquerdo, áreas inativas e alta voltagem nas precordiais esquerdas foram observados nos casos de envolvimento de</w:t>
      </w:r>
      <w:r>
        <w:rPr>
          <w:spacing w:val="-2"/>
        </w:rPr>
        <w:t> </w:t>
      </w:r>
      <w:r>
        <w:rPr/>
        <w:t>VE. No grupo biventricular foram observadas alterações mistas. A</w:t>
      </w:r>
      <w:r>
        <w:rPr>
          <w:spacing w:val="-2"/>
        </w:rPr>
        <w:t> </w:t>
      </w:r>
      <w:r>
        <w:rPr/>
        <w:t>FA</w:t>
      </w:r>
      <w:r>
        <w:rPr>
          <w:spacing w:val="-2"/>
        </w:rPr>
        <w:t> </w:t>
      </w:r>
      <w:r>
        <w:rPr/>
        <w:t>é</w:t>
      </w:r>
      <w:r>
        <w:rPr>
          <w:spacing w:val="-2"/>
        </w:rPr>
        <w:t> </w:t>
      </w:r>
      <w:r>
        <w:rPr/>
        <w:t>um achado frequente.</w:t>
      </w:r>
      <w:r>
        <w:rPr>
          <w:vertAlign w:val="superscript"/>
        </w:rPr>
        <w:t>24</w:t>
      </w:r>
    </w:p>
    <w:p>
      <w:pPr>
        <w:pStyle w:val="BodyText"/>
        <w:spacing w:line="276" w:lineRule="auto" w:before="39"/>
        <w:ind w:right="488"/>
      </w:pPr>
      <w:r>
        <w:rPr/>
        <w:t>O estudo radiológico do tórax é um método simples e eficaz, possibilitando a identificação do tipo de comprometimento ventricular. No reconhecimento do tipo VD, observamos trama vascular diminuída, cardiomegalia</w:t>
      </w:r>
      <w:r>
        <w:rPr>
          <w:spacing w:val="-4"/>
        </w:rPr>
        <w:t> </w:t>
      </w:r>
      <w:r>
        <w:rPr/>
        <w:t>com</w:t>
      </w:r>
      <w:r>
        <w:rPr>
          <w:spacing w:val="-1"/>
        </w:rPr>
        <w:t> </w:t>
      </w:r>
      <w:r>
        <w:rPr/>
        <w:t>forma</w:t>
      </w:r>
      <w:r>
        <w:rPr>
          <w:spacing w:val="-4"/>
        </w:rPr>
        <w:t> </w:t>
      </w:r>
      <w:r>
        <w:rPr/>
        <w:t>globosa</w:t>
      </w:r>
      <w:r>
        <w:rPr>
          <w:spacing w:val="-4"/>
        </w:rPr>
        <w:t> </w:t>
      </w:r>
      <w:r>
        <w:rPr/>
        <w:t>e</w:t>
      </w:r>
      <w:r>
        <w:rPr>
          <w:spacing w:val="-4"/>
        </w:rPr>
        <w:t> </w:t>
      </w:r>
      <w:r>
        <w:rPr/>
        <w:t>grande</w:t>
      </w:r>
      <w:r>
        <w:rPr>
          <w:spacing w:val="-4"/>
        </w:rPr>
        <w:t> </w:t>
      </w:r>
      <w:r>
        <w:rPr/>
        <w:t>dilatação</w:t>
      </w:r>
      <w:r>
        <w:rPr>
          <w:spacing w:val="-1"/>
        </w:rPr>
        <w:t> </w:t>
      </w:r>
      <w:r>
        <w:rPr/>
        <w:t>de</w:t>
      </w:r>
      <w:r>
        <w:rPr>
          <w:spacing w:val="-4"/>
        </w:rPr>
        <w:t> </w:t>
      </w:r>
      <w:r>
        <w:rPr/>
        <w:t>átrio</w:t>
      </w:r>
      <w:r>
        <w:rPr>
          <w:spacing w:val="-1"/>
        </w:rPr>
        <w:t> </w:t>
      </w:r>
      <w:r>
        <w:rPr/>
        <w:t>desproporcional ao</w:t>
      </w:r>
      <w:r>
        <w:rPr>
          <w:spacing w:val="-1"/>
        </w:rPr>
        <w:t> </w:t>
      </w:r>
      <w:r>
        <w:rPr/>
        <w:t>VD, mediastino</w:t>
      </w:r>
      <w:r>
        <w:rPr>
          <w:spacing w:val="-1"/>
        </w:rPr>
        <w:t> </w:t>
      </w:r>
      <w:r>
        <w:rPr/>
        <w:t>superior alargado e índice cardiotorácico &gt; 0,7 em 80% dos casos. No grupo de VE, a radiologia torácica caracteriza-se por área cardíaca pequena, morfologia triangular do coração em projeção posteroanterior, assemelhando-se à silhueta da valvopatia mitral e </w:t>
      </w:r>
      <w:r>
        <w:rPr>
          <w:i/>
        </w:rPr>
        <w:t>mitralização </w:t>
      </w:r>
      <w:r>
        <w:rPr/>
        <w:t>da trama vascular pulmonar. Em geral, o índice cardiotorácico é normal ou pouco</w:t>
      </w:r>
    </w:p>
    <w:p>
      <w:pPr>
        <w:pStyle w:val="BodyText"/>
        <w:spacing w:after="0" w:line="276" w:lineRule="auto"/>
        <w:sectPr>
          <w:pgSz w:w="11900" w:h="16840"/>
          <w:pgMar w:top="200" w:bottom="280" w:left="566" w:right="141"/>
        </w:sectPr>
      </w:pPr>
    </w:p>
    <w:p>
      <w:pPr>
        <w:pStyle w:val="BodyText"/>
        <w:spacing w:line="278" w:lineRule="auto" w:before="62"/>
        <w:ind w:right="497" w:firstLine="0"/>
      </w:pPr>
      <w:r>
        <w:rPr/>
        <w:t>aumentado. Nesse</w:t>
      </w:r>
      <w:r>
        <w:rPr>
          <w:spacing w:val="-9"/>
        </w:rPr>
        <w:t> </w:t>
      </w:r>
      <w:r>
        <w:rPr/>
        <w:t>grupo, a</w:t>
      </w:r>
      <w:r>
        <w:rPr>
          <w:spacing w:val="-9"/>
        </w:rPr>
        <w:t> </w:t>
      </w:r>
      <w:r>
        <w:rPr/>
        <w:t>suspeita</w:t>
      </w:r>
      <w:r>
        <w:rPr>
          <w:spacing w:val="-9"/>
        </w:rPr>
        <w:t> </w:t>
      </w:r>
      <w:r>
        <w:rPr/>
        <w:t>diagnóstica</w:t>
      </w:r>
      <w:r>
        <w:rPr>
          <w:spacing w:val="-9"/>
        </w:rPr>
        <w:t> </w:t>
      </w:r>
      <w:r>
        <w:rPr/>
        <w:t>é</w:t>
      </w:r>
      <w:r>
        <w:rPr>
          <w:spacing w:val="-9"/>
        </w:rPr>
        <w:t> </w:t>
      </w:r>
      <w:r>
        <w:rPr/>
        <w:t>mais difícil, pois não</w:t>
      </w:r>
      <w:r>
        <w:rPr>
          <w:spacing w:val="-6"/>
        </w:rPr>
        <w:t> </w:t>
      </w:r>
      <w:r>
        <w:rPr/>
        <w:t>há</w:t>
      </w:r>
      <w:r>
        <w:rPr>
          <w:spacing w:val="-9"/>
        </w:rPr>
        <w:t> </w:t>
      </w:r>
      <w:r>
        <w:rPr/>
        <w:t>grandes alterações na</w:t>
      </w:r>
      <w:r>
        <w:rPr>
          <w:spacing w:val="-9"/>
        </w:rPr>
        <w:t> </w:t>
      </w:r>
      <w:r>
        <w:rPr/>
        <w:t>silhueta</w:t>
      </w:r>
      <w:r>
        <w:rPr>
          <w:spacing w:val="-9"/>
        </w:rPr>
        <w:t> </w:t>
      </w:r>
      <w:r>
        <w:rPr/>
        <w:t>cardíaca, a não ser nas formas mais acentuadas. No grupo biventricular, a trama vascular pulmonar pode ser pobre ou com aspecto</w:t>
      </w:r>
      <w:r>
        <w:rPr>
          <w:spacing w:val="-9"/>
        </w:rPr>
        <w:t> </w:t>
      </w:r>
      <w:r>
        <w:rPr>
          <w:i/>
        </w:rPr>
        <w:t>mitralizado</w:t>
      </w:r>
      <w:r>
        <w:rPr/>
        <w:t>, ressaltando</w:t>
      </w:r>
      <w:r>
        <w:rPr>
          <w:spacing w:val="-1"/>
        </w:rPr>
        <w:t> </w:t>
      </w:r>
      <w:r>
        <w:rPr/>
        <w:t>o</w:t>
      </w:r>
      <w:r>
        <w:rPr>
          <w:spacing w:val="-1"/>
        </w:rPr>
        <w:t> </w:t>
      </w:r>
      <w:r>
        <w:rPr/>
        <w:t>ingurgitamento</w:t>
      </w:r>
      <w:r>
        <w:rPr>
          <w:spacing w:val="-1"/>
        </w:rPr>
        <w:t> </w:t>
      </w:r>
      <w:r>
        <w:rPr/>
        <w:t>das veias pulmonares dos lobos superiores. Há, frequentemente, derrames pleurais e átrio direito de grandes proporções responsável pelo índice cardiotorácico aumentado. A calcificação ventricular é outro achado infrequente que auxilia no diagnóstico da doença e da câmara acometida, devendo</w:t>
      </w:r>
      <w:r>
        <w:rPr>
          <w:spacing w:val="-4"/>
        </w:rPr>
        <w:t> </w:t>
      </w:r>
      <w:r>
        <w:rPr/>
        <w:t>ser diferenciado</w:t>
      </w:r>
      <w:r>
        <w:rPr>
          <w:spacing w:val="-4"/>
        </w:rPr>
        <w:t> </w:t>
      </w:r>
      <w:r>
        <w:rPr/>
        <w:t>da</w:t>
      </w:r>
      <w:r>
        <w:rPr>
          <w:spacing w:val="-7"/>
        </w:rPr>
        <w:t> </w:t>
      </w:r>
      <w:r>
        <w:rPr/>
        <w:t>calcificação</w:t>
      </w:r>
      <w:r>
        <w:rPr>
          <w:spacing w:val="-4"/>
        </w:rPr>
        <w:t> </w:t>
      </w:r>
      <w:r>
        <w:rPr/>
        <w:t>pericárdica. O</w:t>
      </w:r>
      <w:r>
        <w:rPr>
          <w:spacing w:val="-7"/>
        </w:rPr>
        <w:t> </w:t>
      </w:r>
      <w:r>
        <w:rPr/>
        <w:t>estudo</w:t>
      </w:r>
      <w:r>
        <w:rPr>
          <w:spacing w:val="-4"/>
        </w:rPr>
        <w:t> </w:t>
      </w:r>
      <w:r>
        <w:rPr/>
        <w:t>radiológico</w:t>
      </w:r>
      <w:r>
        <w:rPr>
          <w:spacing w:val="-4"/>
        </w:rPr>
        <w:t> </w:t>
      </w:r>
      <w:r>
        <w:rPr/>
        <w:t>por si</w:t>
      </w:r>
      <w:r>
        <w:rPr>
          <w:spacing w:val="-2"/>
        </w:rPr>
        <w:t> </w:t>
      </w:r>
      <w:r>
        <w:rPr/>
        <w:t>só</w:t>
      </w:r>
      <w:r>
        <w:rPr>
          <w:spacing w:val="-4"/>
        </w:rPr>
        <w:t> </w:t>
      </w:r>
      <w:r>
        <w:rPr/>
        <w:t>não</w:t>
      </w:r>
      <w:r>
        <w:rPr>
          <w:spacing w:val="-4"/>
        </w:rPr>
        <w:t> </w:t>
      </w:r>
      <w:r>
        <w:rPr/>
        <w:t>permite</w:t>
      </w:r>
      <w:r>
        <w:rPr>
          <w:spacing w:val="-7"/>
        </w:rPr>
        <w:t> </w:t>
      </w:r>
      <w:r>
        <w:rPr/>
        <w:t>o</w:t>
      </w:r>
      <w:r>
        <w:rPr>
          <w:spacing w:val="-4"/>
        </w:rPr>
        <w:t> </w:t>
      </w:r>
      <w:r>
        <w:rPr/>
        <w:t>diagnóstico, mas os dados descritos permitem alto grau de suspeita.</w:t>
      </w:r>
      <w:r>
        <w:rPr>
          <w:vertAlign w:val="superscript"/>
        </w:rPr>
        <w:t>25</w:t>
      </w:r>
    </w:p>
    <w:p>
      <w:pPr>
        <w:pStyle w:val="BodyText"/>
        <w:spacing w:line="280" w:lineRule="auto" w:before="70"/>
        <w:ind w:right="498"/>
      </w:pPr>
      <w:r>
        <w:rPr/>
        <w:t>O ecocardiograma tem grande valor diagnóstico e também permite diferenciá-la das outras síndromes restritivas, como a pericardite constritiva e a amiloidose.</w:t>
      </w:r>
      <w:r>
        <w:rPr>
          <w:vertAlign w:val="superscript"/>
        </w:rPr>
        <w:t>2</w:t>
      </w:r>
      <w:r>
        <w:rPr>
          <w:vertAlign w:val="superscript"/>
        </w:rPr>
        <w:t>6</w:t>
      </w:r>
      <w:r>
        <w:rPr>
          <w:vertAlign w:val="baseline"/>
        </w:rPr>
        <w:t> O achado principal é a presença de fração de ejeção normal, aumento dos átrios direito e esquerdo, com ventrículos de tamanho pequeno ou normal, regurgitação atrioventricular e obliteração apical. A fibrose é mais ecogênica do que a parede miocárdica, permitindo sua diferenciação. A</w:t>
      </w:r>
      <w:r>
        <w:rPr>
          <w:spacing w:val="-5"/>
          <w:vertAlign w:val="baseline"/>
        </w:rPr>
        <w:t> </w:t>
      </w:r>
      <w:r>
        <w:rPr>
          <w:vertAlign w:val="baseline"/>
        </w:rPr>
        <w:t>combinação</w:t>
      </w:r>
      <w:r>
        <w:rPr>
          <w:spacing w:val="-2"/>
          <w:vertAlign w:val="baseline"/>
        </w:rPr>
        <w:t> </w:t>
      </w:r>
      <w:r>
        <w:rPr>
          <w:vertAlign w:val="baseline"/>
        </w:rPr>
        <w:t>desses achados e</w:t>
      </w:r>
      <w:r>
        <w:rPr>
          <w:spacing w:val="-5"/>
          <w:vertAlign w:val="baseline"/>
        </w:rPr>
        <w:t> </w:t>
      </w:r>
      <w:r>
        <w:rPr>
          <w:vertAlign w:val="baseline"/>
        </w:rPr>
        <w:t>o</w:t>
      </w:r>
      <w:r>
        <w:rPr>
          <w:spacing w:val="-2"/>
          <w:vertAlign w:val="baseline"/>
        </w:rPr>
        <w:t> </w:t>
      </w:r>
      <w:r>
        <w:rPr>
          <w:vertAlign w:val="baseline"/>
        </w:rPr>
        <w:t>padrão</w:t>
      </w:r>
      <w:r>
        <w:rPr>
          <w:spacing w:val="-2"/>
          <w:vertAlign w:val="baseline"/>
        </w:rPr>
        <w:t> </w:t>
      </w:r>
      <w:r>
        <w:rPr>
          <w:vertAlign w:val="baseline"/>
        </w:rPr>
        <w:t>restritivo</w:t>
      </w:r>
      <w:r>
        <w:rPr>
          <w:spacing w:val="-2"/>
          <w:vertAlign w:val="baseline"/>
        </w:rPr>
        <w:t> </w:t>
      </w:r>
      <w:r>
        <w:rPr>
          <w:vertAlign w:val="baseline"/>
        </w:rPr>
        <w:t>ao</w:t>
      </w:r>
      <w:r>
        <w:rPr>
          <w:spacing w:val="-2"/>
          <w:vertAlign w:val="baseline"/>
        </w:rPr>
        <w:t> </w:t>
      </w:r>
      <w:r>
        <w:rPr>
          <w:vertAlign w:val="baseline"/>
        </w:rPr>
        <w:t>Doppler são</w:t>
      </w:r>
      <w:r>
        <w:rPr>
          <w:spacing w:val="-2"/>
          <w:vertAlign w:val="baseline"/>
        </w:rPr>
        <w:t> </w:t>
      </w:r>
      <w:r>
        <w:rPr>
          <w:vertAlign w:val="baseline"/>
        </w:rPr>
        <w:t>característicos dessa</w:t>
      </w:r>
      <w:r>
        <w:rPr>
          <w:spacing w:val="-5"/>
          <w:vertAlign w:val="baseline"/>
        </w:rPr>
        <w:t> </w:t>
      </w:r>
      <w:r>
        <w:rPr>
          <w:vertAlign w:val="baseline"/>
        </w:rPr>
        <w:t>doença.</w:t>
      </w:r>
    </w:p>
    <w:p>
      <w:pPr>
        <w:pStyle w:val="BodyText"/>
        <w:spacing w:line="280" w:lineRule="auto" w:before="39"/>
        <w:ind w:right="488"/>
      </w:pPr>
      <w:r>
        <w:rPr/>
        <w:t>A RM é um método complementar que pode auxiliar no diagnóstico de EMF. Por intermédio desse exame pode-se analisar a morfologia ventricular, bem como o grau de acometimento e as repercussões hemodinâmicas. Observa-se</w:t>
      </w:r>
      <w:r>
        <w:rPr>
          <w:spacing w:val="-10"/>
        </w:rPr>
        <w:t> </w:t>
      </w:r>
      <w:r>
        <w:rPr/>
        <w:t>preenchimento</w:t>
      </w:r>
      <w:r>
        <w:rPr>
          <w:spacing w:val="-7"/>
        </w:rPr>
        <w:t> </w:t>
      </w:r>
      <w:r>
        <w:rPr/>
        <w:t>por</w:t>
      </w:r>
      <w:r>
        <w:rPr>
          <w:spacing w:val="-2"/>
        </w:rPr>
        <w:t> </w:t>
      </w:r>
      <w:r>
        <w:rPr/>
        <w:t>fibrose</w:t>
      </w:r>
      <w:r>
        <w:rPr>
          <w:spacing w:val="-10"/>
        </w:rPr>
        <w:t> </w:t>
      </w:r>
      <w:r>
        <w:rPr/>
        <w:t>em</w:t>
      </w:r>
      <w:r>
        <w:rPr>
          <w:spacing w:val="-7"/>
        </w:rPr>
        <w:t> </w:t>
      </w:r>
      <w:r>
        <w:rPr/>
        <w:t>ponta, cavidades ventriculares de</w:t>
      </w:r>
      <w:r>
        <w:rPr>
          <w:spacing w:val="-10"/>
        </w:rPr>
        <w:t> </w:t>
      </w:r>
      <w:r>
        <w:rPr/>
        <w:t>tamanhos normais e</w:t>
      </w:r>
      <w:r>
        <w:rPr>
          <w:spacing w:val="-10"/>
        </w:rPr>
        <w:t> </w:t>
      </w:r>
      <w:r>
        <w:rPr/>
        <w:t>átrios aumentados. Pode-se também aferir as funções sistólica e diastólica e presença de regurgitações valvares, além de ser também importante no diagnóstico diferencial com a pericardite constritiva.</w:t>
      </w:r>
      <w:r>
        <w:rPr>
          <w:vertAlign w:val="superscript"/>
        </w:rPr>
        <w:t>27</w:t>
      </w:r>
    </w:p>
    <w:p>
      <w:pPr>
        <w:pStyle w:val="BodyText"/>
        <w:spacing w:line="276" w:lineRule="auto" w:before="54"/>
        <w:ind w:right="500"/>
      </w:pPr>
      <w:r>
        <w:rPr/>
        <w:t>O estudo hemodinâmico foi por muito tempo considerado padrão no diagnóstico. Existem alguns aspectos sugestivos da</w:t>
      </w:r>
      <w:r>
        <w:rPr>
          <w:spacing w:val="-8"/>
        </w:rPr>
        <w:t> </w:t>
      </w:r>
      <w:r>
        <w:rPr/>
        <w:t>doença, nesse</w:t>
      </w:r>
      <w:r>
        <w:rPr>
          <w:spacing w:val="-8"/>
        </w:rPr>
        <w:t> </w:t>
      </w:r>
      <w:r>
        <w:rPr/>
        <w:t>estudo, como</w:t>
      </w:r>
      <w:r>
        <w:rPr>
          <w:spacing w:val="-6"/>
        </w:rPr>
        <w:t> </w:t>
      </w:r>
      <w:r>
        <w:rPr/>
        <w:t>mudanças na</w:t>
      </w:r>
      <w:r>
        <w:rPr>
          <w:spacing w:val="-8"/>
        </w:rPr>
        <w:t> </w:t>
      </w:r>
      <w:r>
        <w:rPr/>
        <w:t>morfologia</w:t>
      </w:r>
      <w:r>
        <w:rPr>
          <w:spacing w:val="-8"/>
        </w:rPr>
        <w:t> </w:t>
      </w:r>
      <w:r>
        <w:rPr/>
        <w:t>ventricular, presença</w:t>
      </w:r>
      <w:r>
        <w:rPr>
          <w:spacing w:val="-8"/>
        </w:rPr>
        <w:t> </w:t>
      </w:r>
      <w:r>
        <w:rPr/>
        <w:t>de</w:t>
      </w:r>
      <w:r>
        <w:rPr>
          <w:spacing w:val="-8"/>
        </w:rPr>
        <w:t> </w:t>
      </w:r>
      <w:r>
        <w:rPr/>
        <w:t>restrição</w:t>
      </w:r>
      <w:r>
        <w:rPr>
          <w:spacing w:val="-6"/>
        </w:rPr>
        <w:t> </w:t>
      </w:r>
      <w:r>
        <w:rPr/>
        <w:t>ou</w:t>
      </w:r>
      <w:r>
        <w:rPr>
          <w:spacing w:val="-6"/>
        </w:rPr>
        <w:t> </w:t>
      </w:r>
      <w:r>
        <w:rPr/>
        <w:t>obliteração na via de entrada ou ápice e irregularidades endocárdicas.</w:t>
      </w:r>
    </w:p>
    <w:p>
      <w:pPr>
        <w:pStyle w:val="BodyText"/>
        <w:spacing w:line="283" w:lineRule="auto" w:before="49"/>
        <w:ind w:right="488"/>
      </w:pPr>
      <w:r>
        <w:rPr/>
        <w:t>Regurgitações mitral e tricúspide podem ser encontradas em todas as formas. O estudo hemodinâmico permite também</w:t>
      </w:r>
      <w:r>
        <w:rPr>
          <w:spacing w:val="-5"/>
        </w:rPr>
        <w:t> </w:t>
      </w:r>
      <w:r>
        <w:rPr/>
        <w:t>a</w:t>
      </w:r>
      <w:r>
        <w:rPr>
          <w:spacing w:val="-8"/>
        </w:rPr>
        <w:t> </w:t>
      </w:r>
      <w:r>
        <w:rPr/>
        <w:t>análise</w:t>
      </w:r>
      <w:r>
        <w:rPr>
          <w:spacing w:val="-8"/>
        </w:rPr>
        <w:t> </w:t>
      </w:r>
      <w:r>
        <w:rPr/>
        <w:t>da</w:t>
      </w:r>
      <w:r>
        <w:rPr>
          <w:spacing w:val="-8"/>
        </w:rPr>
        <w:t> </w:t>
      </w:r>
      <w:r>
        <w:rPr/>
        <w:t>curva</w:t>
      </w:r>
      <w:r>
        <w:rPr>
          <w:spacing w:val="-8"/>
        </w:rPr>
        <w:t> </w:t>
      </w:r>
      <w:r>
        <w:rPr/>
        <w:t>de</w:t>
      </w:r>
      <w:r>
        <w:rPr>
          <w:spacing w:val="-8"/>
        </w:rPr>
        <w:t> </w:t>
      </w:r>
      <w:r>
        <w:rPr/>
        <w:t>pressão</w:t>
      </w:r>
      <w:r>
        <w:rPr>
          <w:spacing w:val="-5"/>
        </w:rPr>
        <w:t> </w:t>
      </w:r>
      <w:r>
        <w:rPr/>
        <w:t>no</w:t>
      </w:r>
      <w:r>
        <w:rPr>
          <w:spacing w:val="-5"/>
        </w:rPr>
        <w:t> </w:t>
      </w:r>
      <w:r>
        <w:rPr/>
        <w:t>qual</w:t>
      </w:r>
      <w:r>
        <w:rPr>
          <w:spacing w:val="-3"/>
        </w:rPr>
        <w:t> </w:t>
      </w:r>
      <w:r>
        <w:rPr/>
        <w:t>se</w:t>
      </w:r>
      <w:r>
        <w:rPr>
          <w:spacing w:val="-8"/>
        </w:rPr>
        <w:t> </w:t>
      </w:r>
      <w:r>
        <w:rPr/>
        <w:t>observa</w:t>
      </w:r>
      <w:r>
        <w:rPr>
          <w:spacing w:val="-8"/>
        </w:rPr>
        <w:t> </w:t>
      </w:r>
      <w:r>
        <w:rPr/>
        <w:t>padrão</w:t>
      </w:r>
      <w:r>
        <w:rPr>
          <w:spacing w:val="-5"/>
        </w:rPr>
        <w:t> </w:t>
      </w:r>
      <w:r>
        <w:rPr/>
        <w:t>restritivo</w:t>
      </w:r>
      <w:r>
        <w:rPr>
          <w:spacing w:val="-5"/>
        </w:rPr>
        <w:t> </w:t>
      </w:r>
      <w:r>
        <w:rPr/>
        <w:t>com</w:t>
      </w:r>
      <w:r>
        <w:rPr>
          <w:spacing w:val="-5"/>
        </w:rPr>
        <w:t> </w:t>
      </w:r>
      <w:r>
        <w:rPr/>
        <w:t>elevação</w:t>
      </w:r>
      <w:r>
        <w:rPr>
          <w:spacing w:val="-5"/>
        </w:rPr>
        <w:t> </w:t>
      </w:r>
      <w:r>
        <w:rPr/>
        <w:t>da</w:t>
      </w:r>
      <w:r>
        <w:rPr>
          <w:spacing w:val="-8"/>
        </w:rPr>
        <w:t> </w:t>
      </w:r>
      <w:r>
        <w:rPr/>
        <w:t>pressão</w:t>
      </w:r>
      <w:r>
        <w:rPr>
          <w:spacing w:val="-5"/>
        </w:rPr>
        <w:t> </w:t>
      </w:r>
      <w:r>
        <w:rPr/>
        <w:t>diastólica</w:t>
      </w:r>
      <w:r>
        <w:rPr>
          <w:spacing w:val="-8"/>
        </w:rPr>
        <w:t> </w:t>
      </w:r>
      <w:r>
        <w:rPr/>
        <w:t>inicial e final da câmara acometida.</w:t>
      </w:r>
      <w:r>
        <w:rPr>
          <w:vertAlign w:val="superscript"/>
        </w:rPr>
        <w:t>26</w:t>
      </w:r>
    </w:p>
    <w:p>
      <w:pPr>
        <w:pStyle w:val="BodyText"/>
        <w:spacing w:line="276" w:lineRule="auto" w:before="57"/>
        <w:ind w:right="491"/>
      </w:pPr>
      <w:r>
        <w:rPr/>
        <w:t>As síndromes restritivas compreendem</w:t>
      </w:r>
      <w:r>
        <w:rPr>
          <w:spacing w:val="-6"/>
        </w:rPr>
        <w:t> </w:t>
      </w:r>
      <w:r>
        <w:rPr/>
        <w:t>as alterações que</w:t>
      </w:r>
      <w:r>
        <w:rPr>
          <w:spacing w:val="-9"/>
        </w:rPr>
        <w:t> </w:t>
      </w:r>
      <w:r>
        <w:rPr/>
        <w:t>podem</w:t>
      </w:r>
      <w:r>
        <w:rPr>
          <w:spacing w:val="-6"/>
        </w:rPr>
        <w:t> </w:t>
      </w:r>
      <w:r>
        <w:rPr/>
        <w:t>afetar</w:t>
      </w:r>
      <w:r>
        <w:rPr>
          <w:spacing w:val="-2"/>
        </w:rPr>
        <w:t> </w:t>
      </w:r>
      <w:r>
        <w:rPr/>
        <w:t>todas as camadas do</w:t>
      </w:r>
      <w:r>
        <w:rPr>
          <w:spacing w:val="-6"/>
        </w:rPr>
        <w:t> </w:t>
      </w:r>
      <w:r>
        <w:rPr/>
        <w:t>coração, ou</w:t>
      </w:r>
      <w:r>
        <w:rPr>
          <w:spacing w:val="-6"/>
        </w:rPr>
        <w:t> </w:t>
      </w:r>
      <w:r>
        <w:rPr/>
        <w:t>seja, do endocárdio ao pericárdio. Muitas vezes, essa diferenciação com a pericardite constritiva é difícil, pois ambas as entidades compartilham o mesmo quadro fisiopatológico. Porém, algumas diferenças hemodinâmicas ajudam a distinguir essas duas entidades, como:</w:t>
      </w:r>
    </w:p>
    <w:p>
      <w:pPr>
        <w:pStyle w:val="ListParagraph"/>
        <w:numPr>
          <w:ilvl w:val="0"/>
          <w:numId w:val="13"/>
        </w:numPr>
        <w:tabs>
          <w:tab w:pos="401" w:val="left" w:leader="none"/>
        </w:tabs>
        <w:spacing w:line="276" w:lineRule="auto" w:before="160" w:after="0"/>
        <w:ind w:left="68" w:right="489" w:firstLine="0"/>
        <w:jc w:val="left"/>
        <w:rPr>
          <w:sz w:val="23"/>
        </w:rPr>
      </w:pPr>
      <w:r>
        <w:rPr>
          <w:sz w:val="23"/>
        </w:rPr>
        <w:t>Equalização</w:t>
      </w:r>
      <w:r>
        <w:rPr>
          <w:spacing w:val="-1"/>
          <w:sz w:val="23"/>
        </w:rPr>
        <w:t> </w:t>
      </w:r>
      <w:r>
        <w:rPr>
          <w:sz w:val="23"/>
        </w:rPr>
        <w:t>da</w:t>
      </w:r>
      <w:r>
        <w:rPr>
          <w:spacing w:val="-4"/>
          <w:sz w:val="23"/>
        </w:rPr>
        <w:t> </w:t>
      </w:r>
      <w:r>
        <w:rPr>
          <w:sz w:val="23"/>
        </w:rPr>
        <w:t>pressão</w:t>
      </w:r>
      <w:r>
        <w:rPr>
          <w:spacing w:val="-1"/>
          <w:sz w:val="23"/>
        </w:rPr>
        <w:t> </w:t>
      </w:r>
      <w:r>
        <w:rPr>
          <w:sz w:val="23"/>
        </w:rPr>
        <w:t>diastólica</w:t>
      </w:r>
      <w:r>
        <w:rPr>
          <w:spacing w:val="-4"/>
          <w:sz w:val="23"/>
        </w:rPr>
        <w:t> </w:t>
      </w:r>
      <w:r>
        <w:rPr>
          <w:sz w:val="23"/>
        </w:rPr>
        <w:t>final do</w:t>
      </w:r>
      <w:r>
        <w:rPr>
          <w:spacing w:val="-1"/>
          <w:sz w:val="23"/>
        </w:rPr>
        <w:t> </w:t>
      </w:r>
      <w:r>
        <w:rPr>
          <w:sz w:val="23"/>
        </w:rPr>
        <w:t>VD</w:t>
      </w:r>
      <w:r>
        <w:rPr>
          <w:spacing w:val="-4"/>
          <w:sz w:val="23"/>
        </w:rPr>
        <w:t> </w:t>
      </w:r>
      <w:r>
        <w:rPr>
          <w:sz w:val="23"/>
        </w:rPr>
        <w:t>e</w:t>
      </w:r>
      <w:r>
        <w:rPr>
          <w:spacing w:val="-4"/>
          <w:sz w:val="23"/>
        </w:rPr>
        <w:t> </w:t>
      </w:r>
      <w:r>
        <w:rPr>
          <w:sz w:val="23"/>
        </w:rPr>
        <w:t>da</w:t>
      </w:r>
      <w:r>
        <w:rPr>
          <w:spacing w:val="-4"/>
          <w:sz w:val="23"/>
        </w:rPr>
        <w:t> </w:t>
      </w:r>
      <w:r>
        <w:rPr>
          <w:sz w:val="23"/>
        </w:rPr>
        <w:t>pressão</w:t>
      </w:r>
      <w:r>
        <w:rPr>
          <w:spacing w:val="-1"/>
          <w:sz w:val="23"/>
        </w:rPr>
        <w:t> </w:t>
      </w:r>
      <w:r>
        <w:rPr>
          <w:sz w:val="23"/>
        </w:rPr>
        <w:t>diastólica</w:t>
      </w:r>
      <w:r>
        <w:rPr>
          <w:spacing w:val="-4"/>
          <w:sz w:val="23"/>
        </w:rPr>
        <w:t> </w:t>
      </w:r>
      <w:r>
        <w:rPr>
          <w:sz w:val="23"/>
        </w:rPr>
        <w:t>final do</w:t>
      </w:r>
      <w:r>
        <w:rPr>
          <w:spacing w:val="-1"/>
          <w:sz w:val="23"/>
        </w:rPr>
        <w:t> </w:t>
      </w:r>
      <w:r>
        <w:rPr>
          <w:sz w:val="23"/>
        </w:rPr>
        <w:t>VE (diferença</w:t>
      </w:r>
      <w:r>
        <w:rPr>
          <w:spacing w:val="-4"/>
          <w:sz w:val="23"/>
        </w:rPr>
        <w:t> </w:t>
      </w:r>
      <w:r>
        <w:rPr>
          <w:sz w:val="23"/>
        </w:rPr>
        <w:t>&lt; 5</w:t>
      </w:r>
      <w:r>
        <w:rPr>
          <w:spacing w:val="-1"/>
          <w:sz w:val="23"/>
        </w:rPr>
        <w:t> </w:t>
      </w:r>
      <w:r>
        <w:rPr>
          <w:sz w:val="23"/>
        </w:rPr>
        <w:t>mmHg) sugere </w:t>
      </w:r>
      <w:r>
        <w:rPr>
          <w:spacing w:val="-2"/>
          <w:sz w:val="23"/>
        </w:rPr>
        <w:t>constrição</w:t>
      </w:r>
    </w:p>
    <w:p>
      <w:pPr>
        <w:pStyle w:val="ListParagraph"/>
        <w:numPr>
          <w:ilvl w:val="0"/>
          <w:numId w:val="13"/>
        </w:numPr>
        <w:tabs>
          <w:tab w:pos="397" w:val="left" w:leader="none"/>
        </w:tabs>
        <w:spacing w:line="240" w:lineRule="auto" w:before="17" w:after="0"/>
        <w:ind w:left="397" w:right="0" w:hanging="329"/>
        <w:jc w:val="left"/>
        <w:rPr>
          <w:sz w:val="23"/>
        </w:rPr>
      </w:pPr>
      <w:r>
        <w:rPr>
          <w:sz w:val="23"/>
        </w:rPr>
        <w:t>Nas restrições,</w:t>
      </w:r>
      <w:r>
        <w:rPr>
          <w:spacing w:val="1"/>
          <w:sz w:val="23"/>
        </w:rPr>
        <w:t> </w:t>
      </w:r>
      <w:r>
        <w:rPr>
          <w:sz w:val="23"/>
        </w:rPr>
        <w:t>a</w:t>
      </w:r>
      <w:r>
        <w:rPr>
          <w:spacing w:val="-9"/>
          <w:sz w:val="23"/>
        </w:rPr>
        <w:t> </w:t>
      </w:r>
      <w:r>
        <w:rPr>
          <w:sz w:val="23"/>
        </w:rPr>
        <w:t>pressão</w:t>
      </w:r>
      <w:r>
        <w:rPr>
          <w:spacing w:val="-6"/>
          <w:sz w:val="23"/>
        </w:rPr>
        <w:t> </w:t>
      </w:r>
      <w:r>
        <w:rPr>
          <w:sz w:val="23"/>
        </w:rPr>
        <w:t>sistólica</w:t>
      </w:r>
      <w:r>
        <w:rPr>
          <w:spacing w:val="-10"/>
          <w:sz w:val="23"/>
        </w:rPr>
        <w:t> </w:t>
      </w:r>
      <w:r>
        <w:rPr>
          <w:sz w:val="23"/>
        </w:rPr>
        <w:t>do</w:t>
      </w:r>
      <w:r>
        <w:rPr>
          <w:spacing w:val="-6"/>
          <w:sz w:val="23"/>
        </w:rPr>
        <w:t> </w:t>
      </w:r>
      <w:r>
        <w:rPr>
          <w:sz w:val="23"/>
        </w:rPr>
        <w:t>VD</w:t>
      </w:r>
      <w:r>
        <w:rPr>
          <w:spacing w:val="-9"/>
          <w:sz w:val="23"/>
        </w:rPr>
        <w:t> </w:t>
      </w:r>
      <w:r>
        <w:rPr>
          <w:sz w:val="23"/>
        </w:rPr>
        <w:t>geralmente</w:t>
      </w:r>
      <w:r>
        <w:rPr>
          <w:spacing w:val="-10"/>
          <w:sz w:val="23"/>
        </w:rPr>
        <w:t> </w:t>
      </w:r>
      <w:r>
        <w:rPr>
          <w:sz w:val="23"/>
        </w:rPr>
        <w:t>excede</w:t>
      </w:r>
      <w:r>
        <w:rPr>
          <w:spacing w:val="-9"/>
          <w:sz w:val="23"/>
        </w:rPr>
        <w:t> </w:t>
      </w:r>
      <w:r>
        <w:rPr>
          <w:sz w:val="23"/>
        </w:rPr>
        <w:t>50</w:t>
      </w:r>
      <w:r>
        <w:rPr>
          <w:spacing w:val="-6"/>
          <w:sz w:val="23"/>
        </w:rPr>
        <w:t> </w:t>
      </w:r>
      <w:r>
        <w:rPr>
          <w:spacing w:val="-4"/>
          <w:sz w:val="23"/>
        </w:rPr>
        <w:t>mmHg</w:t>
      </w:r>
    </w:p>
    <w:p>
      <w:pPr>
        <w:pStyle w:val="ListParagraph"/>
        <w:numPr>
          <w:ilvl w:val="0"/>
          <w:numId w:val="13"/>
        </w:numPr>
        <w:tabs>
          <w:tab w:pos="407" w:val="left" w:leader="none"/>
        </w:tabs>
        <w:spacing w:line="276" w:lineRule="auto" w:before="72" w:after="0"/>
        <w:ind w:left="68" w:right="489" w:firstLine="0"/>
        <w:jc w:val="left"/>
        <w:rPr>
          <w:sz w:val="23"/>
        </w:rPr>
      </w:pPr>
      <w:r>
        <w:rPr>
          <w:sz w:val="23"/>
        </w:rPr>
        <w:t>Na maioria das constrições, a pressão diastólica final do VD excede em um terço a pressão sistólica do VD; já nas restrições, a relação é menor que um terço.</w:t>
      </w:r>
    </w:p>
    <w:p>
      <w:pPr>
        <w:pStyle w:val="BodyText"/>
        <w:spacing w:line="283" w:lineRule="auto" w:before="224"/>
        <w:ind w:right="501"/>
      </w:pPr>
      <w:r>
        <w:rPr/>
        <w:t>Outras medidas de estresse podem ser utilizadas para exacerbar as alterações hemodinâmicas descritas anteriormente,</w:t>
      </w:r>
      <w:r>
        <w:rPr>
          <w:spacing w:val="-2"/>
        </w:rPr>
        <w:t> </w:t>
      </w:r>
      <w:r>
        <w:rPr/>
        <w:t>como</w:t>
      </w:r>
      <w:r>
        <w:rPr>
          <w:spacing w:val="-9"/>
        </w:rPr>
        <w:t> </w:t>
      </w:r>
      <w:r>
        <w:rPr/>
        <w:t>o</w:t>
      </w:r>
      <w:r>
        <w:rPr>
          <w:spacing w:val="-9"/>
        </w:rPr>
        <w:t> </w:t>
      </w:r>
      <w:r>
        <w:rPr/>
        <w:t>exercício</w:t>
      </w:r>
      <w:r>
        <w:rPr>
          <w:spacing w:val="-9"/>
        </w:rPr>
        <w:t> </w:t>
      </w:r>
      <w:r>
        <w:rPr/>
        <w:t>e</w:t>
      </w:r>
      <w:r>
        <w:rPr>
          <w:spacing w:val="-11"/>
        </w:rPr>
        <w:t> </w:t>
      </w:r>
      <w:r>
        <w:rPr/>
        <w:t>a</w:t>
      </w:r>
      <w:r>
        <w:rPr>
          <w:spacing w:val="-11"/>
        </w:rPr>
        <w:t> </w:t>
      </w:r>
      <w:r>
        <w:rPr/>
        <w:t>infusão</w:t>
      </w:r>
      <w:r>
        <w:rPr>
          <w:spacing w:val="-9"/>
        </w:rPr>
        <w:t> </w:t>
      </w:r>
      <w:r>
        <w:rPr/>
        <w:t>de</w:t>
      </w:r>
      <w:r>
        <w:rPr>
          <w:spacing w:val="-11"/>
        </w:rPr>
        <w:t> </w:t>
      </w:r>
      <w:r>
        <w:rPr/>
        <w:t>volume.</w:t>
      </w:r>
      <w:r>
        <w:rPr>
          <w:spacing w:val="-2"/>
        </w:rPr>
        <w:t> </w:t>
      </w:r>
      <w:r>
        <w:rPr/>
        <w:t>Nesses</w:t>
      </w:r>
      <w:r>
        <w:rPr>
          <w:spacing w:val="-2"/>
        </w:rPr>
        <w:t> </w:t>
      </w:r>
      <w:r>
        <w:rPr/>
        <w:t>casos</w:t>
      </w:r>
      <w:r>
        <w:rPr>
          <w:spacing w:val="-2"/>
        </w:rPr>
        <w:t> </w:t>
      </w:r>
      <w:r>
        <w:rPr/>
        <w:t>pode</w:t>
      </w:r>
      <w:r>
        <w:rPr>
          <w:spacing w:val="-11"/>
        </w:rPr>
        <w:t> </w:t>
      </w:r>
      <w:r>
        <w:rPr/>
        <w:t>ocorrer</w:t>
      </w:r>
      <w:r>
        <w:rPr>
          <w:spacing w:val="-4"/>
        </w:rPr>
        <w:t> </w:t>
      </w:r>
      <w:r>
        <w:rPr/>
        <w:t>elevação</w:t>
      </w:r>
      <w:r>
        <w:rPr>
          <w:spacing w:val="-9"/>
        </w:rPr>
        <w:t> </w:t>
      </w:r>
      <w:r>
        <w:rPr/>
        <w:t>das</w:t>
      </w:r>
      <w:r>
        <w:rPr>
          <w:spacing w:val="-2"/>
        </w:rPr>
        <w:t> </w:t>
      </w:r>
      <w:r>
        <w:rPr/>
        <w:t>pressões</w:t>
      </w:r>
      <w:r>
        <w:rPr>
          <w:spacing w:val="-2"/>
        </w:rPr>
        <w:t> </w:t>
      </w:r>
      <w:r>
        <w:rPr/>
        <w:t>diastólicas de</w:t>
      </w:r>
      <w:r>
        <w:rPr>
          <w:spacing w:val="-2"/>
        </w:rPr>
        <w:t> </w:t>
      </w:r>
      <w:r>
        <w:rPr/>
        <w:t>VE e</w:t>
      </w:r>
      <w:r>
        <w:rPr>
          <w:spacing w:val="-2"/>
        </w:rPr>
        <w:t> </w:t>
      </w:r>
      <w:r>
        <w:rPr/>
        <w:t>VD; os pacientes com restrição apresentam aumento mais pronunciado da</w:t>
      </w:r>
      <w:r>
        <w:rPr>
          <w:spacing w:val="-2"/>
        </w:rPr>
        <w:t> </w:t>
      </w:r>
      <w:r>
        <w:rPr/>
        <w:t>pressão diastólica</w:t>
      </w:r>
      <w:r>
        <w:rPr>
          <w:spacing w:val="-2"/>
        </w:rPr>
        <w:t> </w:t>
      </w:r>
      <w:r>
        <w:rPr/>
        <w:t>de</w:t>
      </w:r>
      <w:r>
        <w:rPr>
          <w:spacing w:val="-2"/>
        </w:rPr>
        <w:t> </w:t>
      </w:r>
      <w:r>
        <w:rPr/>
        <w:t>VE.</w:t>
      </w:r>
      <w:r>
        <w:rPr>
          <w:vertAlign w:val="superscript"/>
        </w:rPr>
        <w:t>28</w:t>
      </w:r>
    </w:p>
    <w:p>
      <w:pPr>
        <w:pStyle w:val="BodyText"/>
        <w:spacing w:before="126"/>
        <w:ind w:left="0" w:firstLine="0"/>
        <w:jc w:val="left"/>
      </w:pPr>
    </w:p>
    <w:p>
      <w:pPr>
        <w:pStyle w:val="Heading5"/>
        <w:jc w:val="both"/>
      </w:pPr>
      <w:r>
        <w:rPr>
          <w:color w:val="A26108"/>
        </w:rPr>
        <w:t>Determinantes</w:t>
      </w:r>
      <w:r>
        <w:rPr>
          <w:color w:val="A26108"/>
          <w:spacing w:val="26"/>
        </w:rPr>
        <w:t> </w:t>
      </w:r>
      <w:r>
        <w:rPr>
          <w:color w:val="A26108"/>
        </w:rPr>
        <w:t>de</w:t>
      </w:r>
      <w:r>
        <w:rPr>
          <w:color w:val="A26108"/>
          <w:spacing w:val="26"/>
        </w:rPr>
        <w:t> </w:t>
      </w:r>
      <w:r>
        <w:rPr>
          <w:color w:val="A26108"/>
          <w:spacing w:val="-2"/>
        </w:rPr>
        <w:t>sobrevida</w:t>
      </w:r>
    </w:p>
    <w:p>
      <w:pPr>
        <w:pStyle w:val="BodyText"/>
        <w:spacing w:line="290" w:lineRule="auto" w:before="138"/>
        <w:ind w:right="491"/>
      </w:pPr>
      <w:r>
        <w:rPr/>
        <w:t>A EMF é doença de mau prognóstico. D’Arbela </w:t>
      </w:r>
      <w:r>
        <w:rPr>
          <w:i/>
        </w:rPr>
        <w:t>et al.</w:t>
      </w:r>
      <w:r>
        <w:rPr/>
        <w:t>, na África, descrevem uma média de sobrevida de 24 meses.</w:t>
      </w:r>
      <w:r>
        <w:rPr>
          <w:vertAlign w:val="superscript"/>
        </w:rPr>
        <w:t>29</w:t>
      </w:r>
      <w:r>
        <w:rPr>
          <w:vertAlign w:val="baseline"/>
        </w:rPr>
        <w:t> Os determinantes de sobrevida relatados são:</w:t>
      </w:r>
      <w:r>
        <w:rPr>
          <w:vertAlign w:val="superscript"/>
        </w:rPr>
        <w:t>30</w:t>
      </w:r>
    </w:p>
    <w:p>
      <w:pPr>
        <w:pStyle w:val="ListParagraph"/>
        <w:numPr>
          <w:ilvl w:val="0"/>
          <w:numId w:val="13"/>
        </w:numPr>
        <w:tabs>
          <w:tab w:pos="412" w:val="left" w:leader="none"/>
        </w:tabs>
        <w:spacing w:line="276" w:lineRule="auto" w:before="145" w:after="0"/>
        <w:ind w:left="68" w:right="502" w:firstLine="0"/>
        <w:jc w:val="left"/>
        <w:rPr>
          <w:sz w:val="23"/>
        </w:rPr>
      </w:pPr>
      <w:r>
        <w:rPr>
          <w:sz w:val="23"/>
        </w:rPr>
        <w:t>Classe funcional: os pacientes em classes I e II tiveram prognóstico significativamente melhor do que aqueles em classes III e IV</w:t>
      </w:r>
    </w:p>
    <w:p>
      <w:pPr>
        <w:pStyle w:val="ListParagraph"/>
        <w:numPr>
          <w:ilvl w:val="0"/>
          <w:numId w:val="13"/>
        </w:numPr>
        <w:tabs>
          <w:tab w:pos="430" w:val="left" w:leader="none"/>
        </w:tabs>
        <w:spacing w:line="276" w:lineRule="auto" w:before="32" w:after="0"/>
        <w:ind w:left="68" w:right="500" w:firstLine="0"/>
        <w:jc w:val="both"/>
        <w:rPr>
          <w:sz w:val="23"/>
        </w:rPr>
      </w:pPr>
      <w:r>
        <w:rPr>
          <w:sz w:val="23"/>
        </w:rPr>
        <w:t>Envolvimento ventricular: os pacientes com envolvimento grave de VD tendem a deteriorar-se rapidamente, caso</w:t>
      </w:r>
      <w:r>
        <w:rPr>
          <w:spacing w:val="-5"/>
          <w:sz w:val="23"/>
        </w:rPr>
        <w:t> </w:t>
      </w:r>
      <w:r>
        <w:rPr>
          <w:sz w:val="23"/>
        </w:rPr>
        <w:t>não</w:t>
      </w:r>
      <w:r>
        <w:rPr>
          <w:spacing w:val="-5"/>
          <w:sz w:val="23"/>
        </w:rPr>
        <w:t> </w:t>
      </w:r>
      <w:r>
        <w:rPr>
          <w:sz w:val="23"/>
        </w:rPr>
        <w:t>recebam</w:t>
      </w:r>
      <w:r>
        <w:rPr>
          <w:spacing w:val="-5"/>
          <w:sz w:val="23"/>
        </w:rPr>
        <w:t> </w:t>
      </w:r>
      <w:r>
        <w:rPr>
          <w:sz w:val="23"/>
        </w:rPr>
        <w:t>tratamento</w:t>
      </w:r>
      <w:r>
        <w:rPr>
          <w:spacing w:val="-5"/>
          <w:sz w:val="23"/>
        </w:rPr>
        <w:t> </w:t>
      </w:r>
      <w:r>
        <w:rPr>
          <w:sz w:val="23"/>
        </w:rPr>
        <w:t>cirúrgico;</w:t>
      </w:r>
      <w:r>
        <w:rPr>
          <w:spacing w:val="-2"/>
          <w:sz w:val="23"/>
        </w:rPr>
        <w:t> </w:t>
      </w:r>
      <w:r>
        <w:rPr>
          <w:sz w:val="23"/>
        </w:rPr>
        <w:t>aqueles com</w:t>
      </w:r>
      <w:r>
        <w:rPr>
          <w:spacing w:val="-5"/>
          <w:sz w:val="23"/>
        </w:rPr>
        <w:t> </w:t>
      </w:r>
      <w:r>
        <w:rPr>
          <w:sz w:val="23"/>
        </w:rPr>
        <w:t>envolvimento</w:t>
      </w:r>
      <w:r>
        <w:rPr>
          <w:spacing w:val="-5"/>
          <w:sz w:val="23"/>
        </w:rPr>
        <w:t> </w:t>
      </w:r>
      <w:r>
        <w:rPr>
          <w:sz w:val="23"/>
        </w:rPr>
        <w:t>de</w:t>
      </w:r>
      <w:r>
        <w:rPr>
          <w:spacing w:val="-7"/>
          <w:sz w:val="23"/>
        </w:rPr>
        <w:t> </w:t>
      </w:r>
      <w:r>
        <w:rPr>
          <w:sz w:val="23"/>
        </w:rPr>
        <w:t>VE podem</w:t>
      </w:r>
      <w:r>
        <w:rPr>
          <w:spacing w:val="-5"/>
          <w:sz w:val="23"/>
        </w:rPr>
        <w:t> </w:t>
      </w:r>
      <w:r>
        <w:rPr>
          <w:sz w:val="23"/>
        </w:rPr>
        <w:t>ser tratados clinicamente. Quanto maior o grau de envolvimento do VD, pior o prognóstico. Em relação ao lado esquerdo, os pacientes com comprometimento moderado e</w:t>
      </w:r>
      <w:r>
        <w:rPr>
          <w:spacing w:val="-1"/>
          <w:sz w:val="23"/>
        </w:rPr>
        <w:t> </w:t>
      </w:r>
      <w:r>
        <w:rPr>
          <w:sz w:val="23"/>
        </w:rPr>
        <w:t>grave</w:t>
      </w:r>
      <w:r>
        <w:rPr>
          <w:spacing w:val="-1"/>
          <w:sz w:val="23"/>
        </w:rPr>
        <w:t> </w:t>
      </w:r>
      <w:r>
        <w:rPr>
          <w:sz w:val="23"/>
        </w:rPr>
        <w:t>tiveram evoluções semelhantes, porém piores que</w:t>
      </w:r>
      <w:r>
        <w:rPr>
          <w:spacing w:val="-1"/>
          <w:sz w:val="23"/>
        </w:rPr>
        <w:t> </w:t>
      </w:r>
      <w:r>
        <w:rPr>
          <w:sz w:val="23"/>
        </w:rPr>
        <w:t>aqueles com envolvimento </w:t>
      </w:r>
      <w:r>
        <w:rPr>
          <w:spacing w:val="-2"/>
          <w:sz w:val="23"/>
        </w:rPr>
        <w:t>discreto</w:t>
      </w:r>
    </w:p>
    <w:p>
      <w:pPr>
        <w:pStyle w:val="ListParagraph"/>
        <w:numPr>
          <w:ilvl w:val="0"/>
          <w:numId w:val="13"/>
        </w:numPr>
        <w:tabs>
          <w:tab w:pos="395" w:val="left" w:leader="none"/>
        </w:tabs>
        <w:spacing w:line="276" w:lineRule="auto" w:before="17" w:after="0"/>
        <w:ind w:left="68" w:right="499" w:firstLine="0"/>
        <w:jc w:val="both"/>
        <w:rPr>
          <w:sz w:val="23"/>
        </w:rPr>
      </w:pPr>
      <w:r>
        <w:rPr>
          <w:sz w:val="23"/>
        </w:rPr>
        <w:t>Regurgitação</w:t>
      </w:r>
      <w:r>
        <w:rPr>
          <w:spacing w:val="-5"/>
          <w:sz w:val="23"/>
        </w:rPr>
        <w:t> </w:t>
      </w:r>
      <w:r>
        <w:rPr>
          <w:sz w:val="23"/>
        </w:rPr>
        <w:t>mitral</w:t>
      </w:r>
      <w:r>
        <w:rPr>
          <w:spacing w:val="-3"/>
          <w:sz w:val="23"/>
        </w:rPr>
        <w:t> </w:t>
      </w:r>
      <w:r>
        <w:rPr>
          <w:sz w:val="23"/>
        </w:rPr>
        <w:t>esteve</w:t>
      </w:r>
      <w:r>
        <w:rPr>
          <w:spacing w:val="-8"/>
          <w:sz w:val="23"/>
        </w:rPr>
        <w:t> </w:t>
      </w:r>
      <w:r>
        <w:rPr>
          <w:sz w:val="23"/>
        </w:rPr>
        <w:t>presente</w:t>
      </w:r>
      <w:r>
        <w:rPr>
          <w:spacing w:val="-8"/>
          <w:sz w:val="23"/>
        </w:rPr>
        <w:t> </w:t>
      </w:r>
      <w:r>
        <w:rPr>
          <w:sz w:val="23"/>
        </w:rPr>
        <w:t>em</w:t>
      </w:r>
      <w:r>
        <w:rPr>
          <w:spacing w:val="-5"/>
          <w:sz w:val="23"/>
        </w:rPr>
        <w:t> </w:t>
      </w:r>
      <w:r>
        <w:rPr>
          <w:sz w:val="23"/>
        </w:rPr>
        <w:t>6%</w:t>
      </w:r>
      <w:r>
        <w:rPr>
          <w:spacing w:val="-3"/>
          <w:sz w:val="23"/>
        </w:rPr>
        <w:t> </w:t>
      </w:r>
      <w:r>
        <w:rPr>
          <w:sz w:val="23"/>
        </w:rPr>
        <w:t>de</w:t>
      </w:r>
      <w:r>
        <w:rPr>
          <w:spacing w:val="-8"/>
          <w:sz w:val="23"/>
        </w:rPr>
        <w:t> </w:t>
      </w:r>
      <w:r>
        <w:rPr>
          <w:sz w:val="23"/>
        </w:rPr>
        <w:t>pacientes em</w:t>
      </w:r>
      <w:r>
        <w:rPr>
          <w:spacing w:val="-5"/>
          <w:sz w:val="23"/>
        </w:rPr>
        <w:t> </w:t>
      </w:r>
      <w:r>
        <w:rPr>
          <w:sz w:val="23"/>
        </w:rPr>
        <w:t>classes I e</w:t>
      </w:r>
      <w:r>
        <w:rPr>
          <w:spacing w:val="-8"/>
          <w:sz w:val="23"/>
        </w:rPr>
        <w:t> </w:t>
      </w:r>
      <w:r>
        <w:rPr>
          <w:sz w:val="23"/>
        </w:rPr>
        <w:t>II e</w:t>
      </w:r>
      <w:r>
        <w:rPr>
          <w:spacing w:val="-8"/>
          <w:sz w:val="23"/>
        </w:rPr>
        <w:t> </w:t>
      </w:r>
      <w:r>
        <w:rPr>
          <w:sz w:val="23"/>
        </w:rPr>
        <w:t>em</w:t>
      </w:r>
      <w:r>
        <w:rPr>
          <w:spacing w:val="-5"/>
          <w:sz w:val="23"/>
        </w:rPr>
        <w:t> </w:t>
      </w:r>
      <w:r>
        <w:rPr>
          <w:sz w:val="23"/>
        </w:rPr>
        <w:t>61%</w:t>
      </w:r>
      <w:r>
        <w:rPr>
          <w:spacing w:val="-3"/>
          <w:sz w:val="23"/>
        </w:rPr>
        <w:t> </w:t>
      </w:r>
      <w:r>
        <w:rPr>
          <w:sz w:val="23"/>
        </w:rPr>
        <w:t>dos pacientes em</w:t>
      </w:r>
      <w:r>
        <w:rPr>
          <w:spacing w:val="-5"/>
          <w:sz w:val="23"/>
        </w:rPr>
        <w:t> </w:t>
      </w:r>
      <w:r>
        <w:rPr>
          <w:sz w:val="23"/>
        </w:rPr>
        <w:t>classes III e IV, determinando mau prognóstico. A regurgitação tricúspide também foi menos frequente nas classes I e II, determinando mau prognóstico.</w:t>
      </w:r>
    </w:p>
    <w:p>
      <w:pPr>
        <w:pStyle w:val="ListParagraph"/>
        <w:spacing w:after="0" w:line="276" w:lineRule="auto"/>
        <w:jc w:val="both"/>
        <w:rPr>
          <w:sz w:val="23"/>
        </w:rPr>
        <w:sectPr>
          <w:pgSz w:w="11900" w:h="16840"/>
          <w:pgMar w:top="200" w:bottom="280" w:left="566" w:right="141"/>
        </w:sectPr>
      </w:pPr>
    </w:p>
    <w:p>
      <w:pPr>
        <w:pStyle w:val="BodyText"/>
        <w:spacing w:line="276" w:lineRule="auto" w:before="69"/>
        <w:ind w:right="500"/>
      </w:pPr>
      <w:r>
        <w:rPr/>
        <w:t>Dessa forma, a mortalidade esteve significativamente associada ao tipo de envolvimento ventricular, classes funcionais III e IV e presença de regurgitações mitral e tricúspide.</w:t>
      </w:r>
    </w:p>
    <w:p>
      <w:pPr>
        <w:pStyle w:val="BodyText"/>
        <w:spacing w:before="133"/>
        <w:ind w:left="0" w:firstLine="0"/>
        <w:jc w:val="left"/>
      </w:pPr>
    </w:p>
    <w:p>
      <w:pPr>
        <w:pStyle w:val="Heading5"/>
        <w:spacing w:before="1"/>
      </w:pPr>
      <w:r>
        <w:rPr>
          <w:color w:val="A26108"/>
          <w:spacing w:val="-2"/>
        </w:rPr>
        <w:t>Tratamento</w:t>
      </w:r>
    </w:p>
    <w:p>
      <w:pPr>
        <w:pStyle w:val="BodyText"/>
        <w:spacing w:line="283" w:lineRule="auto" w:before="138"/>
        <w:ind w:right="498"/>
      </w:pPr>
      <w:r>
        <w:rPr/>
        <w:t>Qual seria o melhor tipo de tratamento para EMF? De acordo com D’Arbela </w:t>
      </w:r>
      <w:r>
        <w:rPr>
          <w:i/>
        </w:rPr>
        <w:t>et al.</w:t>
      </w:r>
      <w:r>
        <w:rPr/>
        <w:t>, 50% desses pacientes morrem em 2 anos quando tratados clinicamente.</w:t>
      </w:r>
      <w:r>
        <w:rPr>
          <w:vertAlign w:val="superscript"/>
        </w:rPr>
        <w:t>29</w:t>
      </w:r>
      <w:r>
        <w:rPr>
          <w:vertAlign w:val="baseline"/>
        </w:rPr>
        <w:t> Tentando</w:t>
      </w:r>
      <w:r>
        <w:rPr>
          <w:spacing w:val="-1"/>
          <w:vertAlign w:val="baseline"/>
        </w:rPr>
        <w:t> </w:t>
      </w:r>
      <w:r>
        <w:rPr>
          <w:vertAlign w:val="baseline"/>
        </w:rPr>
        <w:t>modificar esse</w:t>
      </w:r>
      <w:r>
        <w:rPr>
          <w:spacing w:val="-3"/>
          <w:vertAlign w:val="baseline"/>
        </w:rPr>
        <w:t> </w:t>
      </w:r>
      <w:r>
        <w:rPr>
          <w:vertAlign w:val="baseline"/>
        </w:rPr>
        <w:t>prognóstico, Dubost propôs ressecção cirúrgica</w:t>
      </w:r>
      <w:r>
        <w:rPr>
          <w:spacing w:val="-1"/>
          <w:vertAlign w:val="baseline"/>
        </w:rPr>
        <w:t> </w:t>
      </w:r>
      <w:r>
        <w:rPr>
          <w:vertAlign w:val="baseline"/>
        </w:rPr>
        <w:t>da</w:t>
      </w:r>
      <w:r>
        <w:rPr>
          <w:spacing w:val="-1"/>
          <w:vertAlign w:val="baseline"/>
        </w:rPr>
        <w:t> </w:t>
      </w:r>
      <w:r>
        <w:rPr>
          <w:vertAlign w:val="baseline"/>
        </w:rPr>
        <w:t>fibrose, porém a</w:t>
      </w:r>
      <w:r>
        <w:rPr>
          <w:spacing w:val="-1"/>
          <w:vertAlign w:val="baseline"/>
        </w:rPr>
        <w:t> </w:t>
      </w:r>
      <w:r>
        <w:rPr>
          <w:vertAlign w:val="baseline"/>
        </w:rPr>
        <w:t>taxa</w:t>
      </w:r>
      <w:r>
        <w:rPr>
          <w:spacing w:val="-1"/>
          <w:vertAlign w:val="baseline"/>
        </w:rPr>
        <w:t> </w:t>
      </w:r>
      <w:r>
        <w:rPr>
          <w:vertAlign w:val="baseline"/>
        </w:rPr>
        <w:t>de</w:t>
      </w:r>
      <w:r>
        <w:rPr>
          <w:spacing w:val="-1"/>
          <w:vertAlign w:val="baseline"/>
        </w:rPr>
        <w:t> </w:t>
      </w:r>
      <w:r>
        <w:rPr>
          <w:vertAlign w:val="baseline"/>
        </w:rPr>
        <w:t>mortalidade</w:t>
      </w:r>
      <w:r>
        <w:rPr>
          <w:spacing w:val="-1"/>
          <w:vertAlign w:val="baseline"/>
        </w:rPr>
        <w:t> </w:t>
      </w:r>
      <w:r>
        <w:rPr>
          <w:vertAlign w:val="baseline"/>
        </w:rPr>
        <w:t>era</w:t>
      </w:r>
      <w:r>
        <w:rPr>
          <w:spacing w:val="-1"/>
          <w:vertAlign w:val="baseline"/>
        </w:rPr>
        <w:t> </w:t>
      </w:r>
      <w:r>
        <w:rPr>
          <w:vertAlign w:val="baseline"/>
        </w:rPr>
        <w:t>alta, quase</w:t>
      </w:r>
      <w:r>
        <w:rPr>
          <w:spacing w:val="-1"/>
          <w:vertAlign w:val="baseline"/>
        </w:rPr>
        <w:t> </w:t>
      </w:r>
      <w:r>
        <w:rPr>
          <w:vertAlign w:val="baseline"/>
        </w:rPr>
        <w:t>20% em período pós-operatório precoce</w:t>
      </w:r>
      <w:r>
        <w:rPr>
          <w:spacing w:val="-1"/>
          <w:vertAlign w:val="baseline"/>
        </w:rPr>
        <w:t> </w:t>
      </w:r>
      <w:r>
        <w:rPr>
          <w:vertAlign w:val="baseline"/>
        </w:rPr>
        <w:t>em quase todos os centros de pesquisa.</w:t>
      </w:r>
      <w:r>
        <w:rPr>
          <w:vertAlign w:val="superscript"/>
        </w:rPr>
        <w:t>31</w:t>
      </w:r>
      <w:r>
        <w:rPr>
          <w:vertAlign w:val="baseline"/>
        </w:rPr>
        <w:t> Mas essas taxas foram aos poucos caindo, com o ganho de experiência e o aparecimento</w:t>
      </w:r>
      <w:r>
        <w:rPr>
          <w:spacing w:val="-3"/>
          <w:vertAlign w:val="baseline"/>
        </w:rPr>
        <w:t> </w:t>
      </w:r>
      <w:r>
        <w:rPr>
          <w:vertAlign w:val="baseline"/>
        </w:rPr>
        <w:t>de</w:t>
      </w:r>
      <w:r>
        <w:rPr>
          <w:spacing w:val="-6"/>
          <w:vertAlign w:val="baseline"/>
        </w:rPr>
        <w:t> </w:t>
      </w:r>
      <w:r>
        <w:rPr>
          <w:vertAlign w:val="baseline"/>
        </w:rPr>
        <w:t>novas técnicas cirúrgicas. Mas permanecia</w:t>
      </w:r>
      <w:r>
        <w:rPr>
          <w:spacing w:val="-6"/>
          <w:vertAlign w:val="baseline"/>
        </w:rPr>
        <w:t> </w:t>
      </w:r>
      <w:r>
        <w:rPr>
          <w:vertAlign w:val="baseline"/>
        </w:rPr>
        <w:t>a</w:t>
      </w:r>
      <w:r>
        <w:rPr>
          <w:spacing w:val="-6"/>
          <w:vertAlign w:val="baseline"/>
        </w:rPr>
        <w:t> </w:t>
      </w:r>
      <w:r>
        <w:rPr>
          <w:vertAlign w:val="baseline"/>
        </w:rPr>
        <w:t>questão</w:t>
      </w:r>
      <w:r>
        <w:rPr>
          <w:spacing w:val="-3"/>
          <w:vertAlign w:val="baseline"/>
        </w:rPr>
        <w:t> </w:t>
      </w:r>
      <w:r>
        <w:rPr>
          <w:vertAlign w:val="baseline"/>
        </w:rPr>
        <w:t>–</w:t>
      </w:r>
      <w:r>
        <w:rPr>
          <w:spacing w:val="-3"/>
          <w:vertAlign w:val="baseline"/>
        </w:rPr>
        <w:t> </w:t>
      </w:r>
      <w:r>
        <w:rPr>
          <w:vertAlign w:val="baseline"/>
        </w:rPr>
        <w:t>quais pacientes deveriam</w:t>
      </w:r>
      <w:r>
        <w:rPr>
          <w:spacing w:val="-3"/>
          <w:vertAlign w:val="baseline"/>
        </w:rPr>
        <w:t> </w:t>
      </w:r>
      <w:r>
        <w:rPr>
          <w:vertAlign w:val="baseline"/>
        </w:rPr>
        <w:t>ser operados?</w:t>
      </w:r>
    </w:p>
    <w:p>
      <w:pPr>
        <w:pStyle w:val="BodyText"/>
        <w:spacing w:line="290" w:lineRule="auto" w:before="41"/>
        <w:ind w:right="488"/>
      </w:pPr>
      <w:r>
        <w:rPr/>
        <w:t>O tratamento clínico é a escolha em pacientes em classes funcionais I e II, pois a mortalidade foi baixa nesse grupo. Nos pacientes que</w:t>
      </w:r>
      <w:r>
        <w:rPr>
          <w:spacing w:val="-2"/>
        </w:rPr>
        <w:t> </w:t>
      </w:r>
      <w:r>
        <w:rPr/>
        <w:t>estavam em classes III ou IV, a</w:t>
      </w:r>
      <w:r>
        <w:rPr>
          <w:spacing w:val="-2"/>
        </w:rPr>
        <w:t> </w:t>
      </w:r>
      <w:r>
        <w:rPr/>
        <w:t>mortalidade</w:t>
      </w:r>
      <w:r>
        <w:rPr>
          <w:spacing w:val="-2"/>
        </w:rPr>
        <w:t> </w:t>
      </w:r>
      <w:r>
        <w:rPr/>
        <w:t>foi alta</w:t>
      </w:r>
      <w:r>
        <w:rPr>
          <w:spacing w:val="-2"/>
        </w:rPr>
        <w:t> </w:t>
      </w:r>
      <w:r>
        <w:rPr/>
        <w:t>apenas com o tratamento clínico.</w:t>
      </w:r>
      <w:r>
        <w:rPr>
          <w:vertAlign w:val="superscript"/>
        </w:rPr>
        <w:t>32</w:t>
      </w:r>
    </w:p>
    <w:p>
      <w:pPr>
        <w:pStyle w:val="BodyText"/>
        <w:spacing w:line="280" w:lineRule="auto" w:before="49"/>
        <w:ind w:right="497"/>
      </w:pPr>
      <w:r>
        <w:rPr/>
        <w:t>Em todos os pacientes operados, as pressões sistólica e diastólica reduziram-se no período pós-operatório. Houve nítida redução na pressão média em ambos os ventrículos. O aspecto angiográfico do VE torna-se quase normal, mas o VD permanece distorcido com ausência de zona trabecular, a despeito de evidente melhora na </w:t>
      </w:r>
      <w:r>
        <w:rPr>
          <w:spacing w:val="-2"/>
        </w:rPr>
        <w:t>contração.</w:t>
      </w:r>
      <w:r>
        <w:rPr>
          <w:spacing w:val="-2"/>
          <w:vertAlign w:val="superscript"/>
        </w:rPr>
        <w:t>33</w:t>
      </w:r>
    </w:p>
    <w:p>
      <w:pPr>
        <w:pStyle w:val="BodyText"/>
        <w:spacing w:before="180"/>
        <w:ind w:left="0" w:firstLine="0"/>
        <w:jc w:val="left"/>
      </w:pPr>
    </w:p>
    <w:p>
      <w:pPr>
        <w:pStyle w:val="Heading4"/>
      </w:pPr>
      <w:r>
        <w:rPr>
          <w:color w:val="242B67"/>
        </w:rPr>
        <w:t>Outras doenças </w:t>
      </w:r>
      <w:r>
        <w:rPr>
          <w:color w:val="242B67"/>
          <w:spacing w:val="-2"/>
        </w:rPr>
        <w:t>restritivas</w:t>
      </w:r>
    </w:p>
    <w:p>
      <w:pPr>
        <w:pStyle w:val="BodyText"/>
        <w:spacing w:line="280" w:lineRule="auto" w:before="132"/>
        <w:ind w:right="497"/>
      </w:pPr>
      <w:r>
        <w:rPr/>
        <w:t>Outras doenças caracterizam-se pelo acúmulo de determinadas substâncias que infiltram o músculo cardíaco, levando</w:t>
      </w:r>
      <w:r>
        <w:rPr>
          <w:spacing w:val="-4"/>
        </w:rPr>
        <w:t> </w:t>
      </w:r>
      <w:r>
        <w:rPr/>
        <w:t>a</w:t>
      </w:r>
      <w:r>
        <w:rPr>
          <w:spacing w:val="-6"/>
        </w:rPr>
        <w:t> </w:t>
      </w:r>
      <w:r>
        <w:rPr/>
        <w:t>um</w:t>
      </w:r>
      <w:r>
        <w:rPr>
          <w:spacing w:val="-4"/>
        </w:rPr>
        <w:t> </w:t>
      </w:r>
      <w:r>
        <w:rPr/>
        <w:t>quadro</w:t>
      </w:r>
      <w:r>
        <w:rPr>
          <w:spacing w:val="-4"/>
        </w:rPr>
        <w:t> </w:t>
      </w:r>
      <w:r>
        <w:rPr/>
        <w:t>restritivo. A</w:t>
      </w:r>
      <w:r>
        <w:rPr>
          <w:spacing w:val="-6"/>
        </w:rPr>
        <w:t> </w:t>
      </w:r>
      <w:r>
        <w:rPr/>
        <w:t>doença</w:t>
      </w:r>
      <w:r>
        <w:rPr>
          <w:spacing w:val="-6"/>
        </w:rPr>
        <w:t> </w:t>
      </w:r>
      <w:r>
        <w:rPr/>
        <w:t>de</w:t>
      </w:r>
      <w:r>
        <w:rPr>
          <w:spacing w:val="-6"/>
        </w:rPr>
        <w:t> </w:t>
      </w:r>
      <w:r>
        <w:rPr/>
        <w:t>Gaucher é</w:t>
      </w:r>
      <w:r>
        <w:rPr>
          <w:spacing w:val="-6"/>
        </w:rPr>
        <w:t> </w:t>
      </w:r>
      <w:r>
        <w:rPr/>
        <w:t>secundária</w:t>
      </w:r>
      <w:r>
        <w:rPr>
          <w:spacing w:val="-6"/>
        </w:rPr>
        <w:t> </w:t>
      </w:r>
      <w:r>
        <w:rPr/>
        <w:t>à</w:t>
      </w:r>
      <w:r>
        <w:rPr>
          <w:spacing w:val="-6"/>
        </w:rPr>
        <w:t> </w:t>
      </w:r>
      <w:r>
        <w:rPr/>
        <w:t>deficiência</w:t>
      </w:r>
      <w:r>
        <w:rPr>
          <w:spacing w:val="-6"/>
        </w:rPr>
        <w:t> </w:t>
      </w:r>
      <w:r>
        <w:rPr/>
        <w:t>da</w:t>
      </w:r>
      <w:r>
        <w:rPr>
          <w:spacing w:val="-6"/>
        </w:rPr>
        <w:t> </w:t>
      </w:r>
      <w:r>
        <w:rPr/>
        <w:t>enzima</w:t>
      </w:r>
      <w:r>
        <w:rPr>
          <w:spacing w:val="-6"/>
        </w:rPr>
        <w:t> </w:t>
      </w:r>
      <w:r>
        <w:rPr/>
        <w:t>B glicosidase, levando</w:t>
      </w:r>
      <w:r>
        <w:rPr>
          <w:spacing w:val="-4"/>
        </w:rPr>
        <w:t> </w:t>
      </w:r>
      <w:r>
        <w:rPr/>
        <w:t>a acúmulo</w:t>
      </w:r>
      <w:r>
        <w:rPr>
          <w:spacing w:val="-1"/>
        </w:rPr>
        <w:t> </w:t>
      </w:r>
      <w:r>
        <w:rPr/>
        <w:t>de</w:t>
      </w:r>
      <w:r>
        <w:rPr>
          <w:spacing w:val="-4"/>
        </w:rPr>
        <w:t> </w:t>
      </w:r>
      <w:r>
        <w:rPr/>
        <w:t>cerebrosídeos em</w:t>
      </w:r>
      <w:r>
        <w:rPr>
          <w:spacing w:val="-1"/>
        </w:rPr>
        <w:t> </w:t>
      </w:r>
      <w:r>
        <w:rPr/>
        <w:t>vários locais do</w:t>
      </w:r>
      <w:r>
        <w:rPr>
          <w:spacing w:val="-1"/>
        </w:rPr>
        <w:t> </w:t>
      </w:r>
      <w:r>
        <w:rPr/>
        <w:t>organismo, entre</w:t>
      </w:r>
      <w:r>
        <w:rPr>
          <w:spacing w:val="-4"/>
        </w:rPr>
        <w:t> </w:t>
      </w:r>
      <w:r>
        <w:rPr/>
        <w:t>eles o</w:t>
      </w:r>
      <w:r>
        <w:rPr>
          <w:spacing w:val="-1"/>
        </w:rPr>
        <w:t> </w:t>
      </w:r>
      <w:r>
        <w:rPr/>
        <w:t>coração. No</w:t>
      </w:r>
      <w:r>
        <w:rPr>
          <w:spacing w:val="-1"/>
        </w:rPr>
        <w:t> </w:t>
      </w:r>
      <w:r>
        <w:rPr/>
        <w:t>miocárdio, observam-se</w:t>
      </w:r>
      <w:r>
        <w:rPr>
          <w:spacing w:val="-4"/>
        </w:rPr>
        <w:t> </w:t>
      </w:r>
      <w:r>
        <w:rPr/>
        <w:t>células de</w:t>
      </w:r>
      <w:r>
        <w:rPr>
          <w:spacing w:val="-12"/>
        </w:rPr>
        <w:t> </w:t>
      </w:r>
      <w:r>
        <w:rPr/>
        <w:t>Gaucher</w:t>
      </w:r>
      <w:r>
        <w:rPr>
          <w:spacing w:val="-4"/>
        </w:rPr>
        <w:t> </w:t>
      </w:r>
      <w:r>
        <w:rPr/>
        <w:t>no</w:t>
      </w:r>
      <w:r>
        <w:rPr>
          <w:spacing w:val="-9"/>
        </w:rPr>
        <w:t> </w:t>
      </w:r>
      <w:r>
        <w:rPr/>
        <w:t>interstício.</w:t>
      </w:r>
      <w:r>
        <w:rPr>
          <w:vertAlign w:val="superscript"/>
        </w:rPr>
        <w:t>34</w:t>
      </w:r>
      <w:r>
        <w:rPr>
          <w:vertAlign w:val="baseline"/>
        </w:rPr>
        <w:t> Na</w:t>
      </w:r>
      <w:r>
        <w:rPr>
          <w:spacing w:val="-8"/>
          <w:vertAlign w:val="baseline"/>
        </w:rPr>
        <w:t> </w:t>
      </w:r>
      <w:r>
        <w:rPr>
          <w:vertAlign w:val="baseline"/>
        </w:rPr>
        <w:t>doença</w:t>
      </w:r>
      <w:r>
        <w:rPr>
          <w:spacing w:val="-8"/>
          <w:vertAlign w:val="baseline"/>
        </w:rPr>
        <w:t> </w:t>
      </w:r>
      <w:r>
        <w:rPr>
          <w:vertAlign w:val="baseline"/>
        </w:rPr>
        <w:t>de</w:t>
      </w:r>
      <w:r>
        <w:rPr>
          <w:spacing w:val="-8"/>
          <w:vertAlign w:val="baseline"/>
        </w:rPr>
        <w:t> </w:t>
      </w:r>
      <w:r>
        <w:rPr>
          <w:vertAlign w:val="baseline"/>
        </w:rPr>
        <w:t>Hurler ocorre</w:t>
      </w:r>
      <w:r>
        <w:rPr>
          <w:spacing w:val="-8"/>
          <w:vertAlign w:val="baseline"/>
        </w:rPr>
        <w:t> </w:t>
      </w:r>
      <w:r>
        <w:rPr>
          <w:vertAlign w:val="baseline"/>
        </w:rPr>
        <w:t>depósito</w:t>
      </w:r>
      <w:r>
        <w:rPr>
          <w:spacing w:val="-6"/>
          <w:vertAlign w:val="baseline"/>
        </w:rPr>
        <w:t> </w:t>
      </w:r>
      <w:r>
        <w:rPr>
          <w:vertAlign w:val="baseline"/>
        </w:rPr>
        <w:t>de</w:t>
      </w:r>
      <w:r>
        <w:rPr>
          <w:spacing w:val="-8"/>
          <w:vertAlign w:val="baseline"/>
        </w:rPr>
        <w:t> </w:t>
      </w:r>
      <w:r>
        <w:rPr>
          <w:vertAlign w:val="baseline"/>
        </w:rPr>
        <w:t>mucopolissacarídios no</w:t>
      </w:r>
      <w:r>
        <w:rPr>
          <w:spacing w:val="-6"/>
          <w:vertAlign w:val="baseline"/>
        </w:rPr>
        <w:t> </w:t>
      </w:r>
      <w:r>
        <w:rPr>
          <w:vertAlign w:val="baseline"/>
        </w:rPr>
        <w:t>miocárdio, endocárdio, valvas, coronárias e aorta.</w:t>
      </w:r>
      <w:r>
        <w:rPr>
          <w:vertAlign w:val="superscript"/>
        </w:rPr>
        <w:t>35</w:t>
      </w:r>
      <w:r>
        <w:rPr>
          <w:vertAlign w:val="baseline"/>
        </w:rPr>
        <w:t> A doença de Fabry ocorre por distúrbio de metabolismo glicolipídico, levando a espessamento</w:t>
      </w:r>
      <w:r>
        <w:rPr>
          <w:spacing w:val="-1"/>
          <w:vertAlign w:val="baseline"/>
        </w:rPr>
        <w:t> </w:t>
      </w:r>
      <w:r>
        <w:rPr>
          <w:vertAlign w:val="baseline"/>
        </w:rPr>
        <w:t>da</w:t>
      </w:r>
      <w:r>
        <w:rPr>
          <w:spacing w:val="-4"/>
          <w:vertAlign w:val="baseline"/>
        </w:rPr>
        <w:t> </w:t>
      </w:r>
      <w:r>
        <w:rPr>
          <w:vertAlign w:val="baseline"/>
        </w:rPr>
        <w:t>parede</w:t>
      </w:r>
      <w:r>
        <w:rPr>
          <w:spacing w:val="-4"/>
          <w:vertAlign w:val="baseline"/>
        </w:rPr>
        <w:t> </w:t>
      </w:r>
      <w:r>
        <w:rPr>
          <w:vertAlign w:val="baseline"/>
        </w:rPr>
        <w:t>ventricular. A</w:t>
      </w:r>
      <w:r>
        <w:rPr>
          <w:spacing w:val="-4"/>
          <w:vertAlign w:val="baseline"/>
        </w:rPr>
        <w:t> </w:t>
      </w:r>
      <w:r>
        <w:rPr>
          <w:vertAlign w:val="baseline"/>
        </w:rPr>
        <w:t>atividade</w:t>
      </w:r>
      <w:r>
        <w:rPr>
          <w:spacing w:val="-4"/>
          <w:vertAlign w:val="baseline"/>
        </w:rPr>
        <w:t> </w:t>
      </w:r>
      <w:r>
        <w:rPr>
          <w:vertAlign w:val="baseline"/>
        </w:rPr>
        <w:t>da</w:t>
      </w:r>
      <w:r>
        <w:rPr>
          <w:spacing w:val="-4"/>
          <w:vertAlign w:val="baseline"/>
        </w:rPr>
        <w:t> </w:t>
      </w:r>
      <w:r>
        <w:rPr>
          <w:vertAlign w:val="baseline"/>
        </w:rPr>
        <w:t>enzima</w:t>
      </w:r>
      <w:r>
        <w:rPr>
          <w:spacing w:val="-4"/>
          <w:vertAlign w:val="baseline"/>
        </w:rPr>
        <w:t> </w:t>
      </w:r>
      <w:r>
        <w:rPr>
          <w:vertAlign w:val="baseline"/>
        </w:rPr>
        <w:t>alfagalactosidase</w:t>
      </w:r>
      <w:r>
        <w:rPr>
          <w:spacing w:val="-4"/>
          <w:vertAlign w:val="baseline"/>
        </w:rPr>
        <w:t> </w:t>
      </w:r>
      <w:r>
        <w:rPr>
          <w:vertAlign w:val="baseline"/>
        </w:rPr>
        <w:t>diminuída</w:t>
      </w:r>
      <w:r>
        <w:rPr>
          <w:spacing w:val="-4"/>
          <w:vertAlign w:val="baseline"/>
        </w:rPr>
        <w:t> </w:t>
      </w:r>
      <w:r>
        <w:rPr>
          <w:vertAlign w:val="baseline"/>
        </w:rPr>
        <w:t>confirma</w:t>
      </w:r>
      <w:r>
        <w:rPr>
          <w:spacing w:val="-4"/>
          <w:vertAlign w:val="baseline"/>
        </w:rPr>
        <w:t> </w:t>
      </w:r>
      <w:r>
        <w:rPr>
          <w:vertAlign w:val="baseline"/>
        </w:rPr>
        <w:t>o</w:t>
      </w:r>
      <w:r>
        <w:rPr>
          <w:spacing w:val="-1"/>
          <w:vertAlign w:val="baseline"/>
        </w:rPr>
        <w:t> </w:t>
      </w:r>
      <w:r>
        <w:rPr>
          <w:vertAlign w:val="baseline"/>
        </w:rPr>
        <w:t>diagnóstico.</w:t>
      </w:r>
    </w:p>
    <w:p>
      <w:pPr>
        <w:pStyle w:val="BodyText"/>
        <w:spacing w:line="280" w:lineRule="auto"/>
        <w:ind w:right="488"/>
      </w:pPr>
      <w:r>
        <w:rPr/>
        <w:t>A sarcoidose é uma doença granulomatosa de causa desconhecida, cuja característica histopatológica é a presença de granulomas não caseosos. O envolvimento miocárdico é relatado em até 27% dos casos. As manifestações cardíacas englobam ICC, distúrbios de condução, arritmias ventriculares, aneurisma, disfunções musculopapilares com incompetências valvares, dor torácica e morte súbita.</w:t>
      </w:r>
      <w:r>
        <w:rPr>
          <w:vertAlign w:val="superscript"/>
        </w:rPr>
        <w:t>8,36</w:t>
      </w:r>
      <w:r>
        <w:rPr>
          <w:vertAlign w:val="baseline"/>
        </w:rPr>
        <w:t> O diagnóstico pode ser realizado pelo eletrocardiograma, mapeamento cardíaco com gálio</w:t>
      </w:r>
      <w:r>
        <w:rPr>
          <w:vertAlign w:val="superscript"/>
        </w:rPr>
        <w:t>67</w:t>
      </w:r>
      <w:r>
        <w:rPr>
          <w:vertAlign w:val="baseline"/>
        </w:rPr>
        <w:t> e tálio-201, que demonstram captação segmentar anormal. O diagnóstico requer alto grau de suspeita clínica.</w:t>
      </w:r>
    </w:p>
    <w:p>
      <w:pPr>
        <w:pStyle w:val="BodyText"/>
        <w:spacing w:line="283" w:lineRule="auto" w:before="50"/>
        <w:ind w:right="488"/>
      </w:pPr>
      <w:r>
        <w:rPr/>
        <w:t>A hemocromatose ocorre pelo depósito de ferro em múltiplos órgãos. A forma primária é uma doença genética recessiva localizada no cromossomo 6. O coração é acometido somente após alguns órgãos estarem saturados, como</w:t>
      </w:r>
      <w:r>
        <w:rPr>
          <w:spacing w:val="-1"/>
        </w:rPr>
        <w:t> </w:t>
      </w:r>
      <w:r>
        <w:rPr/>
        <w:t>pâncreas, fígado, tecido</w:t>
      </w:r>
      <w:r>
        <w:rPr>
          <w:spacing w:val="-1"/>
        </w:rPr>
        <w:t> </w:t>
      </w:r>
      <w:r>
        <w:rPr/>
        <w:t>conectivo. Com</w:t>
      </w:r>
      <w:r>
        <w:rPr>
          <w:spacing w:val="-1"/>
        </w:rPr>
        <w:t> </w:t>
      </w:r>
      <w:r>
        <w:rPr/>
        <w:t>a</w:t>
      </w:r>
      <w:r>
        <w:rPr>
          <w:spacing w:val="-4"/>
        </w:rPr>
        <w:t> </w:t>
      </w:r>
      <w:r>
        <w:rPr/>
        <w:t>progressão</w:t>
      </w:r>
      <w:r>
        <w:rPr>
          <w:spacing w:val="-1"/>
        </w:rPr>
        <w:t> </w:t>
      </w:r>
      <w:r>
        <w:rPr/>
        <w:t>da</w:t>
      </w:r>
      <w:r>
        <w:rPr>
          <w:spacing w:val="-4"/>
        </w:rPr>
        <w:t> </w:t>
      </w:r>
      <w:r>
        <w:rPr/>
        <w:t>doença, ocorre</w:t>
      </w:r>
      <w:r>
        <w:rPr>
          <w:spacing w:val="-4"/>
        </w:rPr>
        <w:t> </w:t>
      </w:r>
      <w:r>
        <w:rPr/>
        <w:t>dilatação</w:t>
      </w:r>
      <w:r>
        <w:rPr>
          <w:spacing w:val="-1"/>
        </w:rPr>
        <w:t> </w:t>
      </w:r>
      <w:r>
        <w:rPr/>
        <w:t>cardíaca.</w:t>
      </w:r>
      <w:r>
        <w:rPr>
          <w:vertAlign w:val="superscript"/>
        </w:rPr>
        <w:t>8</w:t>
      </w:r>
    </w:p>
    <w:p>
      <w:pPr>
        <w:pStyle w:val="BodyText"/>
        <w:spacing w:line="280" w:lineRule="auto" w:before="56"/>
        <w:ind w:right="491"/>
      </w:pPr>
      <w:r>
        <w:rPr/>
        <w:t>A doença carcinoide apresenta comprometimento de VD em 66% dos casos, sendo o grau de acometimento relacionado com os níveis plasmáticos de neuropeptídio K, substância P e excreção urinária dos metabólitos da serotonina. As alterações morfológicas e funcionais em valva tricúspide relatadas estão presentes em 52 e 83%, respectivamente, com aumento em átrio (53%) e VD (30%).</w:t>
      </w:r>
      <w:r>
        <w:rPr>
          <w:vertAlign w:val="superscript"/>
        </w:rPr>
        <w:t>37</w:t>
      </w:r>
    </w:p>
    <w:p>
      <w:pPr>
        <w:pStyle w:val="BodyText"/>
        <w:spacing w:line="276" w:lineRule="auto" w:before="60"/>
        <w:ind w:right="488"/>
      </w:pPr>
      <w:r>
        <w:rPr/>
        <w:t>A radiação em fase precoce acarreta pericardite. Tardiamente, ocorrem fibrose miocárdica, pancardite, doença do sistema de condução e doença coronariana. As fibroses endocárdica e miocárdica determinarão a síndrome </w:t>
      </w:r>
      <w:r>
        <w:rPr>
          <w:spacing w:val="-2"/>
        </w:rPr>
        <w:t>restritiva.</w:t>
      </w:r>
    </w:p>
    <w:p>
      <w:pPr>
        <w:pStyle w:val="BodyText"/>
        <w:spacing w:after="0" w:line="276" w:lineRule="auto"/>
        <w:sectPr>
          <w:pgSz w:w="11900" w:h="16840"/>
          <w:pgMar w:top="200" w:bottom="280" w:left="566" w:right="141"/>
        </w:sectPr>
      </w:pPr>
    </w:p>
    <w:p>
      <w:pPr>
        <w:pStyle w:val="Heading1"/>
        <w:spacing w:line="345" w:lineRule="auto"/>
        <w:ind w:right="5812"/>
      </w:pPr>
      <w:r>
        <w:rPr/>
        <mc:AlternateContent>
          <mc:Choice Requires="wps">
            <w:drawing>
              <wp:anchor distT="0" distB="0" distL="0" distR="0" allowOverlap="1" layoutInCell="1" locked="0" behindDoc="0" simplePos="0" relativeHeight="15734272">
                <wp:simplePos x="0" y="0"/>
                <wp:positionH relativeFrom="page">
                  <wp:posOffset>401543</wp:posOffset>
                </wp:positionH>
                <wp:positionV relativeFrom="paragraph">
                  <wp:posOffset>481035</wp:posOffset>
                </wp:positionV>
                <wp:extent cx="6753225" cy="1079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7.876801pt;width:531.731217pt;height:.8008pt;mso-position-horizontal-relative:page;mso-position-vertical-relative:paragraph;z-index:15734272" id="docshape9" filled="true" fillcolor="#242b67" stroked="false">
                <v:fill type="solid"/>
                <w10:wrap type="none"/>
              </v:rect>
            </w:pict>
          </mc:Fallback>
        </mc:AlternateContent>
      </w:r>
      <w:r>
        <w:rPr/>
        <mc:AlternateContent>
          <mc:Choice Requires="wps">
            <w:drawing>
              <wp:anchor distT="0" distB="0" distL="0" distR="0" allowOverlap="1" layoutInCell="1" locked="0" behindDoc="0" simplePos="0" relativeHeight="15734784">
                <wp:simplePos x="0" y="0"/>
                <wp:positionH relativeFrom="page">
                  <wp:posOffset>401543</wp:posOffset>
                </wp:positionH>
                <wp:positionV relativeFrom="paragraph">
                  <wp:posOffset>1009883</wp:posOffset>
                </wp:positionV>
                <wp:extent cx="6753225" cy="1079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79.518402pt;width:531.731217pt;height:.8008pt;mso-position-horizontal-relative:page;mso-position-vertical-relative:paragraph;z-index:15734784" id="docshape10" filled="true" fillcolor="#242b67" stroked="false">
                <v:fill type="solid"/>
                <w10:wrap type="none"/>
              </v:rect>
            </w:pict>
          </mc:Fallback>
        </mc:AlternateContent>
      </w:r>
      <w:r>
        <w:rPr>
          <w:color w:val="A26108"/>
        </w:rPr>
        <w:t>Capítulo 51 </w:t>
      </w:r>
      <w:r>
        <w:rPr>
          <w:color w:val="A26108"/>
          <w:spacing w:val="-2"/>
        </w:rPr>
        <w:t>Pericardiopatias</w:t>
      </w:r>
    </w:p>
    <w:p>
      <w:pPr>
        <w:spacing w:line="270" w:lineRule="exact" w:before="0"/>
        <w:ind w:left="68" w:right="0" w:firstLine="0"/>
        <w:jc w:val="left"/>
        <w:rPr>
          <w:rFonts w:ascii="Arial" w:hAnsi="Arial"/>
          <w:i/>
          <w:sz w:val="25"/>
        </w:rPr>
      </w:pPr>
      <w:r>
        <w:rPr>
          <w:rFonts w:ascii="Arial" w:hAnsi="Arial"/>
          <w:i/>
          <w:sz w:val="25"/>
        </w:rPr>
        <w:t>Múcio</w:t>
      </w:r>
      <w:r>
        <w:rPr>
          <w:rFonts w:ascii="Arial" w:hAnsi="Arial"/>
          <w:i/>
          <w:spacing w:val="14"/>
          <w:sz w:val="25"/>
        </w:rPr>
        <w:t> </w:t>
      </w:r>
      <w:r>
        <w:rPr>
          <w:rFonts w:ascii="Arial" w:hAnsi="Arial"/>
          <w:i/>
          <w:sz w:val="25"/>
        </w:rPr>
        <w:t>Tavares</w:t>
      </w:r>
      <w:r>
        <w:rPr>
          <w:rFonts w:ascii="Arial" w:hAnsi="Arial"/>
          <w:i/>
          <w:spacing w:val="14"/>
          <w:sz w:val="25"/>
        </w:rPr>
        <w:t> </w:t>
      </w:r>
      <w:r>
        <w:rPr>
          <w:rFonts w:ascii="Arial" w:hAnsi="Arial"/>
          <w:i/>
          <w:sz w:val="25"/>
        </w:rPr>
        <w:t>de</w:t>
      </w:r>
      <w:r>
        <w:rPr>
          <w:rFonts w:ascii="Arial" w:hAnsi="Arial"/>
          <w:i/>
          <w:spacing w:val="15"/>
          <w:sz w:val="25"/>
        </w:rPr>
        <w:t> </w:t>
      </w:r>
      <w:r>
        <w:rPr>
          <w:rFonts w:ascii="Arial" w:hAnsi="Arial"/>
          <w:i/>
          <w:sz w:val="25"/>
        </w:rPr>
        <w:t>Oliveira</w:t>
      </w:r>
      <w:r>
        <w:rPr>
          <w:rFonts w:ascii="Arial" w:hAnsi="Arial"/>
          <w:i/>
          <w:spacing w:val="14"/>
          <w:sz w:val="25"/>
        </w:rPr>
        <w:t> </w:t>
      </w:r>
      <w:r>
        <w:rPr>
          <w:rFonts w:ascii="Arial" w:hAnsi="Arial"/>
          <w:i/>
          <w:spacing w:val="-5"/>
          <w:sz w:val="25"/>
        </w:rPr>
        <w:t>Jr.</w:t>
      </w:r>
    </w:p>
    <w:p>
      <w:pPr>
        <w:pStyle w:val="BodyText"/>
        <w:spacing w:before="0"/>
        <w:ind w:left="0" w:firstLine="0"/>
        <w:jc w:val="left"/>
        <w:rPr>
          <w:rFonts w:ascii="Arial"/>
          <w:i/>
          <w:sz w:val="25"/>
        </w:rPr>
      </w:pPr>
    </w:p>
    <w:p>
      <w:pPr>
        <w:pStyle w:val="BodyText"/>
        <w:spacing w:before="198"/>
        <w:ind w:left="0" w:firstLine="0"/>
        <w:jc w:val="left"/>
        <w:rPr>
          <w:rFonts w:ascii="Arial"/>
          <w:i/>
          <w:sz w:val="25"/>
        </w:rPr>
      </w:pPr>
    </w:p>
    <w:p>
      <w:pPr>
        <w:pStyle w:val="BodyText"/>
        <w:spacing w:line="276" w:lineRule="auto" w:before="0"/>
        <w:ind w:right="488"/>
      </w:pPr>
      <w:r>
        <w:rPr/>
        <w:t>O pericárdio é um saco fibroso composto de duas membranas, o pericárdio visceral e o pericárdio parietal, que cobre toda a superfície cardíaca e se estende até a porção proximal dos grandes vasos. Há, separando as membranas, de 15 a 50 m</w:t>
      </w:r>
      <w:r>
        <w:rPr>
          <w:i/>
        </w:rPr>
        <w:t>ℓ </w:t>
      </w:r>
      <w:r>
        <w:rPr/>
        <w:t>de líquido ultrafiltrado do plasma, o líquido pericárdico.</w:t>
      </w:r>
    </w:p>
    <w:p>
      <w:pPr>
        <w:pStyle w:val="BodyText"/>
        <w:ind w:left="414" w:firstLine="0"/>
      </w:pPr>
      <w:r>
        <w:rPr/>
        <w:t>As</w:t>
      </w:r>
      <w:r>
        <w:rPr>
          <w:spacing w:val="-1"/>
        </w:rPr>
        <w:t> </w:t>
      </w:r>
      <w:r>
        <w:rPr/>
        <w:t>funções</w:t>
      </w:r>
      <w:r>
        <w:rPr>
          <w:spacing w:val="-1"/>
        </w:rPr>
        <w:t> </w:t>
      </w:r>
      <w:r>
        <w:rPr/>
        <w:t>do</w:t>
      </w:r>
      <w:r>
        <w:rPr>
          <w:spacing w:val="-8"/>
        </w:rPr>
        <w:t> </w:t>
      </w:r>
      <w:r>
        <w:rPr/>
        <w:t>pericárdio</w:t>
      </w:r>
      <w:r>
        <w:rPr>
          <w:spacing w:val="-8"/>
        </w:rPr>
        <w:t> </w:t>
      </w:r>
      <w:r>
        <w:rPr/>
        <w:t>são</w:t>
      </w:r>
      <w:r>
        <w:rPr>
          <w:spacing w:val="-7"/>
        </w:rPr>
        <w:t> </w:t>
      </w:r>
      <w:r>
        <w:rPr>
          <w:spacing w:val="-2"/>
        </w:rPr>
        <w:t>anatômicas:</w:t>
      </w:r>
    </w:p>
    <w:p>
      <w:pPr>
        <w:pStyle w:val="ListParagraph"/>
        <w:numPr>
          <w:ilvl w:val="0"/>
          <w:numId w:val="13"/>
        </w:numPr>
        <w:tabs>
          <w:tab w:pos="397" w:val="left" w:leader="none"/>
        </w:tabs>
        <w:spacing w:line="240" w:lineRule="auto" w:before="200" w:after="0"/>
        <w:ind w:left="397" w:right="0" w:hanging="329"/>
        <w:jc w:val="left"/>
        <w:rPr>
          <w:sz w:val="23"/>
        </w:rPr>
      </w:pPr>
      <w:r>
        <w:rPr>
          <w:sz w:val="23"/>
        </w:rPr>
        <w:t>Isolar</w:t>
      </w:r>
      <w:r>
        <w:rPr>
          <w:spacing w:val="-3"/>
          <w:sz w:val="23"/>
        </w:rPr>
        <w:t> </w:t>
      </w:r>
      <w:r>
        <w:rPr>
          <w:sz w:val="23"/>
        </w:rPr>
        <w:t>o</w:t>
      </w:r>
      <w:r>
        <w:rPr>
          <w:spacing w:val="-7"/>
          <w:sz w:val="23"/>
        </w:rPr>
        <w:t> </w:t>
      </w:r>
      <w:r>
        <w:rPr>
          <w:sz w:val="23"/>
        </w:rPr>
        <w:t>coração</w:t>
      </w:r>
      <w:r>
        <w:rPr>
          <w:spacing w:val="-7"/>
          <w:sz w:val="23"/>
        </w:rPr>
        <w:t> </w:t>
      </w:r>
      <w:r>
        <w:rPr>
          <w:sz w:val="23"/>
        </w:rPr>
        <w:t>dos órgãos</w:t>
      </w:r>
      <w:r>
        <w:rPr>
          <w:spacing w:val="1"/>
          <w:sz w:val="23"/>
        </w:rPr>
        <w:t> </w:t>
      </w:r>
      <w:r>
        <w:rPr>
          <w:spacing w:val="-2"/>
          <w:sz w:val="23"/>
        </w:rPr>
        <w:t>adjacentes</w:t>
      </w:r>
    </w:p>
    <w:p>
      <w:pPr>
        <w:pStyle w:val="ListParagraph"/>
        <w:numPr>
          <w:ilvl w:val="0"/>
          <w:numId w:val="13"/>
        </w:numPr>
        <w:tabs>
          <w:tab w:pos="401" w:val="left" w:leader="none"/>
        </w:tabs>
        <w:spacing w:line="276" w:lineRule="auto" w:before="56" w:after="0"/>
        <w:ind w:left="68" w:right="502" w:firstLine="0"/>
        <w:jc w:val="left"/>
        <w:rPr>
          <w:sz w:val="23"/>
        </w:rPr>
      </w:pPr>
      <w:r>
        <w:rPr>
          <w:sz w:val="23"/>
        </w:rPr>
        <w:t>Diminuir o</w:t>
      </w:r>
      <w:r>
        <w:rPr>
          <w:spacing w:val="-4"/>
          <w:sz w:val="23"/>
        </w:rPr>
        <w:t> </w:t>
      </w:r>
      <w:r>
        <w:rPr>
          <w:sz w:val="23"/>
        </w:rPr>
        <w:t>atrito</w:t>
      </w:r>
      <w:r>
        <w:rPr>
          <w:spacing w:val="-4"/>
          <w:sz w:val="23"/>
        </w:rPr>
        <w:t> </w:t>
      </w:r>
      <w:r>
        <w:rPr>
          <w:sz w:val="23"/>
        </w:rPr>
        <w:t>e</w:t>
      </w:r>
      <w:r>
        <w:rPr>
          <w:spacing w:val="-6"/>
          <w:sz w:val="23"/>
        </w:rPr>
        <w:t> </w:t>
      </w:r>
      <w:r>
        <w:rPr>
          <w:sz w:val="23"/>
        </w:rPr>
        <w:t>a</w:t>
      </w:r>
      <w:r>
        <w:rPr>
          <w:spacing w:val="-6"/>
          <w:sz w:val="23"/>
        </w:rPr>
        <w:t> </w:t>
      </w:r>
      <w:r>
        <w:rPr>
          <w:sz w:val="23"/>
        </w:rPr>
        <w:t>fricção</w:t>
      </w:r>
      <w:r>
        <w:rPr>
          <w:spacing w:val="-4"/>
          <w:sz w:val="23"/>
        </w:rPr>
        <w:t> </w:t>
      </w:r>
      <w:r>
        <w:rPr>
          <w:sz w:val="23"/>
        </w:rPr>
        <w:t>entre</w:t>
      </w:r>
      <w:r>
        <w:rPr>
          <w:spacing w:val="-6"/>
          <w:sz w:val="23"/>
        </w:rPr>
        <w:t> </w:t>
      </w:r>
      <w:r>
        <w:rPr>
          <w:sz w:val="23"/>
        </w:rPr>
        <w:t>o</w:t>
      </w:r>
      <w:r>
        <w:rPr>
          <w:spacing w:val="-4"/>
          <w:sz w:val="23"/>
        </w:rPr>
        <w:t> </w:t>
      </w:r>
      <w:r>
        <w:rPr>
          <w:sz w:val="23"/>
        </w:rPr>
        <w:t>coração</w:t>
      </w:r>
      <w:r>
        <w:rPr>
          <w:spacing w:val="-4"/>
          <w:sz w:val="23"/>
        </w:rPr>
        <w:t> </w:t>
      </w:r>
      <w:r>
        <w:rPr>
          <w:sz w:val="23"/>
        </w:rPr>
        <w:t>e</w:t>
      </w:r>
      <w:r>
        <w:rPr>
          <w:spacing w:val="-6"/>
          <w:sz w:val="23"/>
        </w:rPr>
        <w:t> </w:t>
      </w:r>
      <w:r>
        <w:rPr>
          <w:sz w:val="23"/>
        </w:rPr>
        <w:t>os órgãos adjacentes, mas são</w:t>
      </w:r>
      <w:r>
        <w:rPr>
          <w:spacing w:val="-4"/>
          <w:sz w:val="23"/>
        </w:rPr>
        <w:t> </w:t>
      </w:r>
      <w:r>
        <w:rPr>
          <w:sz w:val="23"/>
        </w:rPr>
        <w:t>também</w:t>
      </w:r>
      <w:r>
        <w:rPr>
          <w:spacing w:val="-4"/>
          <w:sz w:val="23"/>
        </w:rPr>
        <w:t> </w:t>
      </w:r>
      <w:r>
        <w:rPr>
          <w:sz w:val="23"/>
        </w:rPr>
        <w:t>fisiológicas e</w:t>
      </w:r>
      <w:r>
        <w:rPr>
          <w:spacing w:val="-6"/>
          <w:sz w:val="23"/>
        </w:rPr>
        <w:t> </w:t>
      </w:r>
      <w:r>
        <w:rPr>
          <w:sz w:val="23"/>
        </w:rPr>
        <w:t>relacionadas com a diástole, por meio de:</w:t>
      </w:r>
    </w:p>
    <w:p>
      <w:pPr>
        <w:pStyle w:val="ListParagraph"/>
        <w:numPr>
          <w:ilvl w:val="1"/>
          <w:numId w:val="13"/>
        </w:numPr>
        <w:tabs>
          <w:tab w:pos="807" w:val="left" w:leader="none"/>
        </w:tabs>
        <w:spacing w:line="240" w:lineRule="auto" w:before="32" w:after="0"/>
        <w:ind w:left="807" w:right="0" w:hanging="393"/>
        <w:jc w:val="left"/>
        <w:rPr>
          <w:sz w:val="23"/>
        </w:rPr>
      </w:pPr>
      <w:r>
        <w:rPr>
          <w:spacing w:val="-2"/>
          <w:sz w:val="23"/>
        </w:rPr>
        <w:t>Modulação</w:t>
      </w:r>
      <w:r>
        <w:rPr>
          <w:spacing w:val="-7"/>
          <w:sz w:val="23"/>
        </w:rPr>
        <w:t> </w:t>
      </w:r>
      <w:r>
        <w:rPr>
          <w:spacing w:val="-2"/>
          <w:sz w:val="23"/>
        </w:rPr>
        <w:t>do</w:t>
      </w:r>
      <w:r>
        <w:rPr>
          <w:spacing w:val="-7"/>
          <w:sz w:val="23"/>
        </w:rPr>
        <w:t> </w:t>
      </w:r>
      <w:r>
        <w:rPr>
          <w:spacing w:val="-2"/>
          <w:sz w:val="23"/>
        </w:rPr>
        <w:t>enchimento</w:t>
      </w:r>
      <w:r>
        <w:rPr>
          <w:spacing w:val="-6"/>
          <w:sz w:val="23"/>
        </w:rPr>
        <w:t> </w:t>
      </w:r>
      <w:r>
        <w:rPr>
          <w:spacing w:val="-2"/>
          <w:sz w:val="23"/>
        </w:rPr>
        <w:t>ventricular</w:t>
      </w:r>
    </w:p>
    <w:p>
      <w:pPr>
        <w:pStyle w:val="ListParagraph"/>
        <w:numPr>
          <w:ilvl w:val="1"/>
          <w:numId w:val="13"/>
        </w:numPr>
        <w:tabs>
          <w:tab w:pos="847" w:val="left" w:leader="none"/>
        </w:tabs>
        <w:spacing w:line="276" w:lineRule="auto" w:before="56" w:after="0"/>
        <w:ind w:left="414" w:right="508" w:firstLine="0"/>
        <w:jc w:val="left"/>
        <w:rPr>
          <w:sz w:val="23"/>
        </w:rPr>
      </w:pPr>
      <w:r>
        <w:rPr>
          <w:sz w:val="23"/>
        </w:rPr>
        <w:t>Prevenção da dilatação ventricular</w:t>
      </w:r>
      <w:r>
        <w:rPr>
          <w:spacing w:val="14"/>
          <w:sz w:val="23"/>
        </w:rPr>
        <w:t> </w:t>
      </w:r>
      <w:r>
        <w:rPr>
          <w:sz w:val="23"/>
        </w:rPr>
        <w:t>súbita e excessiva que potencialmente pode ocorrer</w:t>
      </w:r>
      <w:r>
        <w:rPr>
          <w:spacing w:val="14"/>
          <w:sz w:val="23"/>
        </w:rPr>
        <w:t> </w:t>
      </w:r>
      <w:r>
        <w:rPr>
          <w:sz w:val="23"/>
        </w:rPr>
        <w:t>durante exercícios físicos intensos e nas hipervolemias.</w:t>
      </w:r>
    </w:p>
    <w:p>
      <w:pPr>
        <w:pStyle w:val="BodyText"/>
        <w:spacing w:line="276" w:lineRule="auto" w:before="240"/>
        <w:ind w:right="497"/>
      </w:pPr>
      <w:r>
        <w:rPr/>
        <w:t>As doenças pericárdicas ocorrem tanto isoladamente, como nas pericardites virais, associadas a doenças cardíacas, como o infarto do miocárdio, ou são manifestações de doenças sistêmicas, como o lúpus e a artrite reumatoide. As apresentações clínicas englobam pericardite aguda, tamponamento cardíaco e pericardite crônica </w:t>
      </w:r>
      <w:r>
        <w:rPr>
          <w:spacing w:val="-2"/>
        </w:rPr>
        <w:t>constritiva.</w:t>
      </w:r>
    </w:p>
    <w:p>
      <w:pPr>
        <w:pStyle w:val="BodyText"/>
        <w:spacing w:before="186"/>
        <w:ind w:left="0" w:firstLine="0"/>
        <w:jc w:val="left"/>
      </w:pPr>
    </w:p>
    <w:p>
      <w:pPr>
        <w:pStyle w:val="Heading4"/>
      </w:pPr>
      <w:r>
        <w:rPr>
          <w:color w:val="242B67"/>
        </w:rPr>
        <w:t>Pericardite </w:t>
      </w:r>
      <w:r>
        <w:rPr>
          <w:color w:val="242B67"/>
          <w:spacing w:val="-2"/>
        </w:rPr>
        <w:t>aguda</w:t>
      </w:r>
    </w:p>
    <w:p>
      <w:pPr>
        <w:pStyle w:val="BodyText"/>
        <w:spacing w:line="276" w:lineRule="auto" w:before="132"/>
        <w:ind w:right="488"/>
      </w:pPr>
      <w:r>
        <w:rPr/>
        <w:t>As afecções agudas do pericárdio se manifestam na forma de pericardite, sendo sua forma clássica, o derrame pericárdico. Na maioria das vezes, a pericardite aguda não tem etiologia definida. Doenças sistêmicas e anormalidades das demais estruturas torácicas podem acometer o pericárdio.</w:t>
      </w:r>
    </w:p>
    <w:p>
      <w:pPr>
        <w:pStyle w:val="BodyText"/>
        <w:spacing w:before="134"/>
        <w:ind w:left="0" w:firstLine="0"/>
        <w:jc w:val="left"/>
      </w:pPr>
    </w:p>
    <w:p>
      <w:pPr>
        <w:pStyle w:val="Heading5"/>
      </w:pPr>
      <w:r>
        <w:rPr>
          <w:color w:val="A26108"/>
        </w:rPr>
        <w:t>Epidemiologia</w:t>
      </w:r>
      <w:r>
        <w:rPr>
          <w:color w:val="A26108"/>
          <w:spacing w:val="24"/>
        </w:rPr>
        <w:t> </w:t>
      </w:r>
      <w:r>
        <w:rPr>
          <w:color w:val="A26108"/>
        </w:rPr>
        <w:t>e</w:t>
      </w:r>
      <w:r>
        <w:rPr>
          <w:color w:val="A26108"/>
          <w:spacing w:val="24"/>
        </w:rPr>
        <w:t> </w:t>
      </w:r>
      <w:r>
        <w:rPr>
          <w:color w:val="A26108"/>
          <w:spacing w:val="-2"/>
        </w:rPr>
        <w:t>etiologia</w:t>
      </w:r>
    </w:p>
    <w:p>
      <w:pPr>
        <w:pStyle w:val="BodyText"/>
        <w:spacing w:line="280" w:lineRule="auto" w:before="122"/>
        <w:ind w:right="498"/>
      </w:pPr>
      <w:r>
        <w:rPr/>
        <w:t>A prevalência da pericardite não é fácil de estimar, pois nem sempre ocorrem manifestações clínicas, ou estas são</w:t>
      </w:r>
      <w:r>
        <w:rPr>
          <w:spacing w:val="-4"/>
        </w:rPr>
        <w:t> </w:t>
      </w:r>
      <w:r>
        <w:rPr/>
        <w:t>brandas e</w:t>
      </w:r>
      <w:r>
        <w:rPr>
          <w:spacing w:val="-6"/>
        </w:rPr>
        <w:t> </w:t>
      </w:r>
      <w:r>
        <w:rPr/>
        <w:t>fugazes, e</w:t>
      </w:r>
      <w:r>
        <w:rPr>
          <w:spacing w:val="-6"/>
        </w:rPr>
        <w:t> </w:t>
      </w:r>
      <w:r>
        <w:rPr/>
        <w:t>o</w:t>
      </w:r>
      <w:r>
        <w:rPr>
          <w:spacing w:val="-4"/>
        </w:rPr>
        <w:t> </w:t>
      </w:r>
      <w:r>
        <w:rPr/>
        <w:t>paciente</w:t>
      </w:r>
      <w:r>
        <w:rPr>
          <w:spacing w:val="-6"/>
        </w:rPr>
        <w:t> </w:t>
      </w:r>
      <w:r>
        <w:rPr/>
        <w:t>não</w:t>
      </w:r>
      <w:r>
        <w:rPr>
          <w:spacing w:val="-4"/>
        </w:rPr>
        <w:t> </w:t>
      </w:r>
      <w:r>
        <w:rPr/>
        <w:t>procura</w:t>
      </w:r>
      <w:r>
        <w:rPr>
          <w:spacing w:val="-6"/>
        </w:rPr>
        <w:t> </w:t>
      </w:r>
      <w:r>
        <w:rPr/>
        <w:t>assistência</w:t>
      </w:r>
      <w:r>
        <w:rPr>
          <w:spacing w:val="-6"/>
        </w:rPr>
        <w:t> </w:t>
      </w:r>
      <w:r>
        <w:rPr/>
        <w:t>médica, mas as séries de</w:t>
      </w:r>
      <w:r>
        <w:rPr>
          <w:spacing w:val="-6"/>
        </w:rPr>
        <w:t> </w:t>
      </w:r>
      <w:r>
        <w:rPr/>
        <w:t>casos têm</w:t>
      </w:r>
      <w:r>
        <w:rPr>
          <w:spacing w:val="-4"/>
        </w:rPr>
        <w:t> </w:t>
      </w:r>
      <w:r>
        <w:rPr/>
        <w:t>relatado</w:t>
      </w:r>
      <w:r>
        <w:rPr>
          <w:spacing w:val="-4"/>
        </w:rPr>
        <w:t> </w:t>
      </w:r>
      <w:r>
        <w:rPr/>
        <w:t>detecção</w:t>
      </w:r>
      <w:r>
        <w:rPr>
          <w:spacing w:val="-4"/>
        </w:rPr>
        <w:t> </w:t>
      </w:r>
      <w:r>
        <w:rPr/>
        <w:t>de pericardite</w:t>
      </w:r>
      <w:r>
        <w:rPr>
          <w:spacing w:val="-2"/>
        </w:rPr>
        <w:t> </w:t>
      </w:r>
      <w:r>
        <w:rPr/>
        <w:t>aguda</w:t>
      </w:r>
      <w:r>
        <w:rPr>
          <w:spacing w:val="-2"/>
        </w:rPr>
        <w:t> </w:t>
      </w:r>
      <w:r>
        <w:rPr/>
        <w:t>entre</w:t>
      </w:r>
      <w:r>
        <w:rPr>
          <w:spacing w:val="-2"/>
        </w:rPr>
        <w:t> </w:t>
      </w:r>
      <w:r>
        <w:rPr/>
        <w:t>1 e</w:t>
      </w:r>
      <w:r>
        <w:rPr>
          <w:spacing w:val="-2"/>
        </w:rPr>
        <w:t> </w:t>
      </w:r>
      <w:r>
        <w:rPr/>
        <w:t>6% das necropsias. Outras demonstram que</w:t>
      </w:r>
      <w:r>
        <w:rPr>
          <w:spacing w:val="-2"/>
        </w:rPr>
        <w:t> </w:t>
      </w:r>
      <w:r>
        <w:rPr/>
        <w:t>cerca</w:t>
      </w:r>
      <w:r>
        <w:rPr>
          <w:spacing w:val="-2"/>
        </w:rPr>
        <w:t> </w:t>
      </w:r>
      <w:r>
        <w:rPr/>
        <w:t>de</w:t>
      </w:r>
      <w:r>
        <w:rPr>
          <w:spacing w:val="-2"/>
        </w:rPr>
        <w:t> </w:t>
      </w:r>
      <w:r>
        <w:rPr/>
        <w:t>0,1% dos pacientes internados por qualquer causa apresenta pericardite aguda e aproximadamente 5% dos pacientes que procuram serviços de emergência</w:t>
      </w:r>
      <w:r>
        <w:rPr>
          <w:spacing w:val="-2"/>
        </w:rPr>
        <w:t> </w:t>
      </w:r>
      <w:r>
        <w:rPr/>
        <w:t>com dor torácica</w:t>
      </w:r>
      <w:r>
        <w:rPr>
          <w:spacing w:val="-2"/>
        </w:rPr>
        <w:t> </w:t>
      </w:r>
      <w:r>
        <w:rPr/>
        <w:t>de</w:t>
      </w:r>
      <w:r>
        <w:rPr>
          <w:spacing w:val="-2"/>
        </w:rPr>
        <w:t> </w:t>
      </w:r>
      <w:r>
        <w:rPr/>
        <w:t>características não isquêmicas têm pericardite.</w:t>
      </w:r>
      <w:r>
        <w:rPr>
          <w:vertAlign w:val="superscript"/>
        </w:rPr>
        <w:t>1,2</w:t>
      </w:r>
    </w:p>
    <w:p>
      <w:pPr>
        <w:pStyle w:val="BodyText"/>
        <w:spacing w:line="276" w:lineRule="auto" w:before="54"/>
        <w:ind w:right="491"/>
      </w:pPr>
      <w:r>
        <w:rPr/>
        <w:t>A pericardite aguda ou é a manifestação local de uma doença sistêmica ou é um envolvimento pericárdico e/ou cardíaco isolado, e suas etiologias mais frequentes são:</w:t>
      </w:r>
    </w:p>
    <w:p>
      <w:pPr>
        <w:pStyle w:val="ListParagraph"/>
        <w:numPr>
          <w:ilvl w:val="0"/>
          <w:numId w:val="13"/>
        </w:numPr>
        <w:tabs>
          <w:tab w:pos="395" w:val="left" w:leader="none"/>
        </w:tabs>
        <w:spacing w:line="240" w:lineRule="auto" w:before="161" w:after="0"/>
        <w:ind w:left="395" w:right="0" w:hanging="327"/>
        <w:jc w:val="both"/>
        <w:rPr>
          <w:sz w:val="23"/>
        </w:rPr>
      </w:pPr>
      <w:r>
        <w:rPr>
          <w:spacing w:val="-2"/>
          <w:sz w:val="23"/>
        </w:rPr>
        <w:t>Idiopática</w:t>
      </w:r>
    </w:p>
    <w:p>
      <w:pPr>
        <w:pStyle w:val="ListParagraph"/>
        <w:numPr>
          <w:ilvl w:val="0"/>
          <w:numId w:val="13"/>
        </w:numPr>
        <w:tabs>
          <w:tab w:pos="454" w:val="left" w:leader="none"/>
        </w:tabs>
        <w:spacing w:line="276" w:lineRule="auto" w:before="72" w:after="0"/>
        <w:ind w:left="68" w:right="492" w:firstLine="0"/>
        <w:jc w:val="both"/>
        <w:rPr>
          <w:sz w:val="23"/>
        </w:rPr>
      </w:pPr>
      <w:r>
        <w:rPr>
          <w:sz w:val="23"/>
        </w:rPr>
        <w:t>Infecciosa: viral (vírus Coxsackie, </w:t>
      </w:r>
      <w:r>
        <w:rPr>
          <w:i/>
          <w:sz w:val="23"/>
        </w:rPr>
        <w:t>influenza</w:t>
      </w:r>
      <w:r>
        <w:rPr>
          <w:sz w:val="23"/>
        </w:rPr>
        <w:t>, vírus da imunodeficiência humana [HIV, do inglês, </w:t>
      </w:r>
      <w:r>
        <w:rPr>
          <w:i/>
          <w:sz w:val="23"/>
        </w:rPr>
        <w:t>human immunodeficiency</w:t>
      </w:r>
      <w:r>
        <w:rPr>
          <w:i/>
          <w:spacing w:val="-15"/>
          <w:sz w:val="23"/>
        </w:rPr>
        <w:t> </w:t>
      </w:r>
      <w:r>
        <w:rPr>
          <w:i/>
          <w:sz w:val="23"/>
        </w:rPr>
        <w:t>virus</w:t>
      </w:r>
      <w:r>
        <w:rPr>
          <w:sz w:val="23"/>
        </w:rPr>
        <w:t>],</w:t>
      </w:r>
      <w:r>
        <w:rPr>
          <w:spacing w:val="-7"/>
          <w:sz w:val="23"/>
        </w:rPr>
        <w:t> </w:t>
      </w:r>
      <w:r>
        <w:rPr>
          <w:sz w:val="23"/>
        </w:rPr>
        <w:t>herpes,</w:t>
      </w:r>
      <w:r>
        <w:rPr>
          <w:spacing w:val="-5"/>
          <w:sz w:val="23"/>
        </w:rPr>
        <w:t> </w:t>
      </w:r>
      <w:r>
        <w:rPr>
          <w:sz w:val="23"/>
        </w:rPr>
        <w:t>citomegalovírus</w:t>
      </w:r>
      <w:r>
        <w:rPr>
          <w:spacing w:val="-5"/>
          <w:sz w:val="23"/>
        </w:rPr>
        <w:t> </w:t>
      </w:r>
      <w:r>
        <w:rPr>
          <w:sz w:val="23"/>
        </w:rPr>
        <w:t>etc.),</w:t>
      </w:r>
      <w:r>
        <w:rPr>
          <w:spacing w:val="-5"/>
          <w:sz w:val="23"/>
        </w:rPr>
        <w:t> </w:t>
      </w:r>
      <w:r>
        <w:rPr>
          <w:sz w:val="23"/>
        </w:rPr>
        <w:t>tuberculose,</w:t>
      </w:r>
      <w:r>
        <w:rPr>
          <w:spacing w:val="-5"/>
          <w:sz w:val="23"/>
        </w:rPr>
        <w:t> </w:t>
      </w:r>
      <w:r>
        <w:rPr>
          <w:sz w:val="23"/>
        </w:rPr>
        <w:t>bacteriana,</w:t>
      </w:r>
      <w:r>
        <w:rPr>
          <w:spacing w:val="-5"/>
          <w:sz w:val="23"/>
        </w:rPr>
        <w:t> </w:t>
      </w:r>
      <w:r>
        <w:rPr>
          <w:sz w:val="23"/>
        </w:rPr>
        <w:t>fúngica,</w:t>
      </w:r>
      <w:r>
        <w:rPr>
          <w:spacing w:val="-5"/>
          <w:sz w:val="23"/>
        </w:rPr>
        <w:t> </w:t>
      </w:r>
      <w:r>
        <w:rPr>
          <w:i/>
          <w:sz w:val="23"/>
        </w:rPr>
        <w:t>Mycoplasma</w:t>
      </w:r>
      <w:r>
        <w:rPr>
          <w:sz w:val="23"/>
        </w:rPr>
        <w:t>,</w:t>
      </w:r>
      <w:r>
        <w:rPr>
          <w:spacing w:val="-9"/>
          <w:sz w:val="23"/>
        </w:rPr>
        <w:t> </w:t>
      </w:r>
      <w:r>
        <w:rPr>
          <w:sz w:val="23"/>
        </w:rPr>
        <w:t>leptospirose, </w:t>
      </w:r>
      <w:r>
        <w:rPr>
          <w:i/>
          <w:sz w:val="23"/>
        </w:rPr>
        <w:t>Listeria</w:t>
      </w:r>
      <w:r>
        <w:rPr>
          <w:sz w:val="23"/>
        </w:rPr>
        <w:t>, parasitas</w:t>
      </w:r>
    </w:p>
    <w:p>
      <w:pPr>
        <w:pStyle w:val="ListParagraph"/>
        <w:numPr>
          <w:ilvl w:val="0"/>
          <w:numId w:val="13"/>
        </w:numPr>
        <w:tabs>
          <w:tab w:pos="433" w:val="left" w:leader="none"/>
        </w:tabs>
        <w:spacing w:line="276" w:lineRule="auto" w:before="16" w:after="0"/>
        <w:ind w:left="68" w:right="489" w:firstLine="0"/>
        <w:jc w:val="both"/>
        <w:rPr>
          <w:sz w:val="23"/>
        </w:rPr>
      </w:pPr>
      <w:r>
        <w:rPr>
          <w:sz w:val="23"/>
        </w:rPr>
        <w:t>Inflamatória: artrite reumatoide, doença reumática, lúpus, esclerodermia, síndrome de Sjögren, síndrome de Reiter, espondilite anquilosante, granulomatose de Wegener, arterite de células gigantes, polimiosite, doença de Behçet, poliarterite, púrpura trombocitopênica, vasculites etc.</w:t>
      </w:r>
    </w:p>
    <w:p>
      <w:pPr>
        <w:pStyle w:val="ListParagraph"/>
        <w:numPr>
          <w:ilvl w:val="0"/>
          <w:numId w:val="13"/>
        </w:numPr>
        <w:tabs>
          <w:tab w:pos="412" w:val="left" w:leader="none"/>
        </w:tabs>
        <w:spacing w:line="276" w:lineRule="auto" w:before="17" w:after="0"/>
        <w:ind w:left="68" w:right="502" w:firstLine="0"/>
        <w:jc w:val="both"/>
        <w:rPr>
          <w:sz w:val="23"/>
        </w:rPr>
      </w:pPr>
      <w:r>
        <w:rPr>
          <w:sz w:val="23"/>
        </w:rPr>
        <w:t>Doenças do coração e estruturas adjacentes: infarto do miocárdio, miocardites, dissecção de aorta, pneumonia, embolismo pulmonar, empiema</w:t>
      </w:r>
    </w:p>
    <w:p>
      <w:pPr>
        <w:pStyle w:val="ListParagraph"/>
        <w:spacing w:after="0" w:line="276" w:lineRule="auto"/>
        <w:jc w:val="both"/>
        <w:rPr>
          <w:sz w:val="23"/>
        </w:rPr>
        <w:sectPr>
          <w:pgSz w:w="11900" w:h="16840"/>
          <w:pgMar w:top="1060" w:bottom="0" w:left="566" w:right="141"/>
        </w:sectPr>
      </w:pPr>
    </w:p>
    <w:p>
      <w:pPr>
        <w:pStyle w:val="ListParagraph"/>
        <w:numPr>
          <w:ilvl w:val="0"/>
          <w:numId w:val="13"/>
        </w:numPr>
        <w:tabs>
          <w:tab w:pos="397" w:val="left" w:leader="none"/>
        </w:tabs>
        <w:spacing w:line="240" w:lineRule="auto" w:before="68" w:after="0"/>
        <w:ind w:left="397" w:right="0" w:hanging="329"/>
        <w:jc w:val="left"/>
        <w:rPr>
          <w:sz w:val="23"/>
        </w:rPr>
      </w:pPr>
      <w:r>
        <w:rPr>
          <w:spacing w:val="-2"/>
          <w:sz w:val="23"/>
        </w:rPr>
        <w:t>Distúrbios</w:t>
      </w:r>
      <w:r>
        <w:rPr>
          <w:spacing w:val="6"/>
          <w:sz w:val="23"/>
        </w:rPr>
        <w:t> </w:t>
      </w:r>
      <w:r>
        <w:rPr>
          <w:spacing w:val="-2"/>
          <w:sz w:val="23"/>
        </w:rPr>
        <w:t>metabólicos:</w:t>
      </w:r>
      <w:r>
        <w:rPr>
          <w:spacing w:val="1"/>
          <w:sz w:val="23"/>
        </w:rPr>
        <w:t> </w:t>
      </w:r>
      <w:r>
        <w:rPr>
          <w:spacing w:val="-2"/>
          <w:sz w:val="23"/>
        </w:rPr>
        <w:t>uremia,</w:t>
      </w:r>
      <w:r>
        <w:rPr>
          <w:spacing w:val="7"/>
          <w:sz w:val="23"/>
        </w:rPr>
        <w:t> </w:t>
      </w:r>
      <w:r>
        <w:rPr>
          <w:spacing w:val="-2"/>
          <w:sz w:val="23"/>
        </w:rPr>
        <w:t>mixedema,</w:t>
      </w:r>
      <w:r>
        <w:rPr>
          <w:spacing w:val="7"/>
          <w:sz w:val="23"/>
        </w:rPr>
        <w:t> </w:t>
      </w:r>
      <w:r>
        <w:rPr>
          <w:spacing w:val="-4"/>
          <w:sz w:val="23"/>
        </w:rPr>
        <w:t>gota</w:t>
      </w:r>
    </w:p>
    <w:p>
      <w:pPr>
        <w:pStyle w:val="ListParagraph"/>
        <w:numPr>
          <w:ilvl w:val="0"/>
          <w:numId w:val="13"/>
        </w:numPr>
        <w:tabs>
          <w:tab w:pos="452" w:val="left" w:leader="none"/>
        </w:tabs>
        <w:spacing w:line="276" w:lineRule="auto" w:before="56" w:after="0"/>
        <w:ind w:left="68" w:right="500" w:firstLine="0"/>
        <w:jc w:val="left"/>
        <w:rPr>
          <w:sz w:val="23"/>
        </w:rPr>
      </w:pPr>
      <w:r>
        <w:rPr>
          <w:sz w:val="23"/>
        </w:rPr>
        <w:t>Neoplasias:</w:t>
      </w:r>
      <w:r>
        <w:rPr>
          <w:spacing w:val="40"/>
          <w:sz w:val="23"/>
        </w:rPr>
        <w:t> </w:t>
      </w:r>
      <w:r>
        <w:rPr>
          <w:sz w:val="23"/>
        </w:rPr>
        <w:t>primárias</w:t>
      </w:r>
      <w:r>
        <w:rPr>
          <w:spacing w:val="40"/>
          <w:sz w:val="23"/>
        </w:rPr>
        <w:t> </w:t>
      </w:r>
      <w:r>
        <w:rPr>
          <w:sz w:val="23"/>
        </w:rPr>
        <w:t>(mesotelioma,</w:t>
      </w:r>
      <w:r>
        <w:rPr>
          <w:spacing w:val="40"/>
          <w:sz w:val="23"/>
        </w:rPr>
        <w:t> </w:t>
      </w:r>
      <w:r>
        <w:rPr>
          <w:sz w:val="23"/>
        </w:rPr>
        <w:t>sarcoma,</w:t>
      </w:r>
      <w:r>
        <w:rPr>
          <w:spacing w:val="40"/>
          <w:sz w:val="23"/>
        </w:rPr>
        <w:t> </w:t>
      </w:r>
      <w:r>
        <w:rPr>
          <w:sz w:val="23"/>
        </w:rPr>
        <w:t>fibroma,</w:t>
      </w:r>
      <w:r>
        <w:rPr>
          <w:spacing w:val="40"/>
          <w:sz w:val="23"/>
        </w:rPr>
        <w:t> </w:t>
      </w:r>
      <w:r>
        <w:rPr>
          <w:sz w:val="23"/>
        </w:rPr>
        <w:t>lipoma,</w:t>
      </w:r>
      <w:r>
        <w:rPr>
          <w:spacing w:val="40"/>
          <w:sz w:val="23"/>
        </w:rPr>
        <w:t> </w:t>
      </w:r>
      <w:r>
        <w:rPr>
          <w:sz w:val="23"/>
        </w:rPr>
        <w:t>outros),</w:t>
      </w:r>
      <w:r>
        <w:rPr>
          <w:spacing w:val="40"/>
          <w:sz w:val="23"/>
        </w:rPr>
        <w:t> </w:t>
      </w:r>
      <w:r>
        <w:rPr>
          <w:sz w:val="23"/>
        </w:rPr>
        <w:t>metastáticas</w:t>
      </w:r>
      <w:r>
        <w:rPr>
          <w:spacing w:val="40"/>
          <w:sz w:val="23"/>
        </w:rPr>
        <w:t> </w:t>
      </w:r>
      <w:r>
        <w:rPr>
          <w:sz w:val="23"/>
        </w:rPr>
        <w:t>e</w:t>
      </w:r>
      <w:r>
        <w:rPr>
          <w:spacing w:val="40"/>
          <w:sz w:val="23"/>
        </w:rPr>
        <w:t> </w:t>
      </w:r>
      <w:r>
        <w:rPr>
          <w:sz w:val="23"/>
        </w:rPr>
        <w:t>invasão</w:t>
      </w:r>
      <w:r>
        <w:rPr>
          <w:spacing w:val="40"/>
          <w:sz w:val="23"/>
        </w:rPr>
        <w:t> </w:t>
      </w:r>
      <w:r>
        <w:rPr>
          <w:sz w:val="23"/>
        </w:rPr>
        <w:t>direta</w:t>
      </w:r>
      <w:r>
        <w:rPr>
          <w:spacing w:val="40"/>
          <w:sz w:val="23"/>
        </w:rPr>
        <w:t> </w:t>
      </w:r>
      <w:r>
        <w:rPr>
          <w:sz w:val="23"/>
        </w:rPr>
        <w:t>por contiguidade (carcinomas, linfomas e outros)</w:t>
      </w:r>
    </w:p>
    <w:p>
      <w:pPr>
        <w:pStyle w:val="ListParagraph"/>
        <w:numPr>
          <w:ilvl w:val="0"/>
          <w:numId w:val="13"/>
        </w:numPr>
        <w:tabs>
          <w:tab w:pos="415" w:val="left" w:leader="none"/>
        </w:tabs>
        <w:spacing w:line="276" w:lineRule="auto" w:before="32" w:after="0"/>
        <w:ind w:left="68" w:right="489" w:firstLine="0"/>
        <w:jc w:val="left"/>
        <w:rPr>
          <w:sz w:val="23"/>
        </w:rPr>
      </w:pPr>
      <w:r>
        <w:rPr>
          <w:sz w:val="23"/>
        </w:rPr>
        <w:t>Trauma: direto (perfuração torácica ou através do esôfago e estômago), trauma cardíaco (pericardiotomia para cirurgia</w:t>
      </w:r>
      <w:r>
        <w:rPr>
          <w:spacing w:val="-4"/>
          <w:sz w:val="23"/>
        </w:rPr>
        <w:t> </w:t>
      </w:r>
      <w:r>
        <w:rPr>
          <w:sz w:val="23"/>
        </w:rPr>
        <w:t>cardíaca, procedimentos percutâneos), indiretos (radiação, traumas não</w:t>
      </w:r>
      <w:r>
        <w:rPr>
          <w:spacing w:val="-1"/>
          <w:sz w:val="23"/>
        </w:rPr>
        <w:t> </w:t>
      </w:r>
      <w:r>
        <w:rPr>
          <w:sz w:val="23"/>
        </w:rPr>
        <w:t>perfurantes)</w:t>
      </w:r>
    </w:p>
    <w:p>
      <w:pPr>
        <w:pStyle w:val="ListParagraph"/>
        <w:numPr>
          <w:ilvl w:val="0"/>
          <w:numId w:val="13"/>
        </w:numPr>
        <w:tabs>
          <w:tab w:pos="397" w:val="left" w:leader="none"/>
        </w:tabs>
        <w:spacing w:line="240" w:lineRule="auto" w:before="17" w:after="0"/>
        <w:ind w:left="397" w:right="0" w:hanging="329"/>
        <w:jc w:val="left"/>
        <w:rPr>
          <w:sz w:val="23"/>
        </w:rPr>
      </w:pPr>
      <w:r>
        <w:rPr>
          <w:sz w:val="23"/>
        </w:rPr>
        <w:t>Miscelânea:</w:t>
      </w:r>
      <w:r>
        <w:rPr>
          <w:spacing w:val="-17"/>
          <w:sz w:val="23"/>
        </w:rPr>
        <w:t> </w:t>
      </w:r>
      <w:r>
        <w:rPr>
          <w:sz w:val="23"/>
        </w:rPr>
        <w:t>síndromes</w:t>
      </w:r>
      <w:r>
        <w:rPr>
          <w:spacing w:val="-10"/>
          <w:sz w:val="23"/>
        </w:rPr>
        <w:t> </w:t>
      </w:r>
      <w:r>
        <w:rPr>
          <w:sz w:val="23"/>
        </w:rPr>
        <w:t>de</w:t>
      </w:r>
      <w:r>
        <w:rPr>
          <w:spacing w:val="-14"/>
          <w:sz w:val="23"/>
        </w:rPr>
        <w:t> </w:t>
      </w:r>
      <w:r>
        <w:rPr>
          <w:sz w:val="23"/>
        </w:rPr>
        <w:t>Loffler,</w:t>
      </w:r>
      <w:r>
        <w:rPr>
          <w:spacing w:val="-8"/>
          <w:sz w:val="23"/>
        </w:rPr>
        <w:t> </w:t>
      </w:r>
      <w:r>
        <w:rPr>
          <w:sz w:val="23"/>
        </w:rPr>
        <w:t>eosinofílica,</w:t>
      </w:r>
      <w:r>
        <w:rPr>
          <w:spacing w:val="-8"/>
          <w:sz w:val="23"/>
        </w:rPr>
        <w:t> </w:t>
      </w:r>
      <w:r>
        <w:rPr>
          <w:sz w:val="23"/>
        </w:rPr>
        <w:t>Stevens-Johnson,</w:t>
      </w:r>
      <w:r>
        <w:rPr>
          <w:spacing w:val="-8"/>
          <w:sz w:val="23"/>
        </w:rPr>
        <w:t> </w:t>
      </w:r>
      <w:r>
        <w:rPr>
          <w:sz w:val="23"/>
        </w:rPr>
        <w:t>pancreatite</w:t>
      </w:r>
      <w:r>
        <w:rPr>
          <w:spacing w:val="-15"/>
          <w:sz w:val="23"/>
        </w:rPr>
        <w:t> </w:t>
      </w:r>
      <w:r>
        <w:rPr>
          <w:sz w:val="23"/>
        </w:rPr>
        <w:t>aguda,</w:t>
      </w:r>
      <w:r>
        <w:rPr>
          <w:spacing w:val="-7"/>
          <w:sz w:val="23"/>
        </w:rPr>
        <w:t> </w:t>
      </w:r>
      <w:r>
        <w:rPr>
          <w:spacing w:val="-2"/>
          <w:sz w:val="23"/>
        </w:rPr>
        <w:t>outras.</w:t>
      </w:r>
    </w:p>
    <w:p>
      <w:pPr>
        <w:pStyle w:val="BodyText"/>
        <w:spacing w:before="15"/>
        <w:ind w:left="0" w:firstLine="0"/>
        <w:jc w:val="left"/>
      </w:pPr>
    </w:p>
    <w:p>
      <w:pPr>
        <w:pStyle w:val="BodyText"/>
        <w:spacing w:line="280" w:lineRule="auto" w:before="0"/>
        <w:ind w:right="488"/>
      </w:pPr>
      <w:r>
        <w:rPr/>
        <w:t>Apesar do grande número de agentes causadores, na prática nem sempre a etiologia pode ser perfeitamente definida e portanto com os métodos atuais de investigação, a etiologia idiopática continua sendo a mais frequente. Séries de casos indicam que só se pode chegar ao diagnóstico etiológico em 14 a 22% das vezes. Além da idiopática, a etiologia viral e a pericardite tuberculosa figuram entre as mais comuns.</w:t>
      </w:r>
      <w:r>
        <w:rPr>
          <w:vertAlign w:val="superscript"/>
        </w:rPr>
        <w:t>3–5</w:t>
      </w:r>
      <w:r>
        <w:rPr>
          <w:vertAlign w:val="baseline"/>
        </w:rPr>
        <w:t> Enquanto a pericardite tuberculosa</w:t>
      </w:r>
      <w:r>
        <w:rPr>
          <w:spacing w:val="-6"/>
          <w:vertAlign w:val="baseline"/>
        </w:rPr>
        <w:t> </w:t>
      </w:r>
      <w:r>
        <w:rPr>
          <w:vertAlign w:val="baseline"/>
        </w:rPr>
        <w:t>é</w:t>
      </w:r>
      <w:r>
        <w:rPr>
          <w:spacing w:val="-6"/>
          <w:vertAlign w:val="baseline"/>
        </w:rPr>
        <w:t> </w:t>
      </w:r>
      <w:r>
        <w:rPr>
          <w:vertAlign w:val="baseline"/>
        </w:rPr>
        <w:t>rara</w:t>
      </w:r>
      <w:r>
        <w:rPr>
          <w:spacing w:val="-6"/>
          <w:vertAlign w:val="baseline"/>
        </w:rPr>
        <w:t> </w:t>
      </w:r>
      <w:r>
        <w:rPr>
          <w:vertAlign w:val="baseline"/>
        </w:rPr>
        <w:t>nos países ricos, ela</w:t>
      </w:r>
      <w:r>
        <w:rPr>
          <w:spacing w:val="-6"/>
          <w:vertAlign w:val="baseline"/>
        </w:rPr>
        <w:t> </w:t>
      </w:r>
      <w:r>
        <w:rPr>
          <w:vertAlign w:val="baseline"/>
        </w:rPr>
        <w:t>é</w:t>
      </w:r>
      <w:r>
        <w:rPr>
          <w:spacing w:val="-6"/>
          <w:vertAlign w:val="baseline"/>
        </w:rPr>
        <w:t> </w:t>
      </w:r>
      <w:r>
        <w:rPr>
          <w:vertAlign w:val="baseline"/>
        </w:rPr>
        <w:t>muito</w:t>
      </w:r>
      <w:r>
        <w:rPr>
          <w:spacing w:val="-2"/>
          <w:vertAlign w:val="baseline"/>
        </w:rPr>
        <w:t> </w:t>
      </w:r>
      <w:r>
        <w:rPr>
          <w:vertAlign w:val="baseline"/>
        </w:rPr>
        <w:t>comum</w:t>
      </w:r>
      <w:r>
        <w:rPr>
          <w:spacing w:val="-3"/>
          <w:vertAlign w:val="baseline"/>
        </w:rPr>
        <w:t> </w:t>
      </w:r>
      <w:r>
        <w:rPr>
          <w:vertAlign w:val="baseline"/>
        </w:rPr>
        <w:t>nos países pobres e</w:t>
      </w:r>
      <w:r>
        <w:rPr>
          <w:spacing w:val="-6"/>
          <w:vertAlign w:val="baseline"/>
        </w:rPr>
        <w:t> </w:t>
      </w:r>
      <w:r>
        <w:rPr>
          <w:vertAlign w:val="baseline"/>
        </w:rPr>
        <w:t>em</w:t>
      </w:r>
      <w:r>
        <w:rPr>
          <w:spacing w:val="-3"/>
          <w:vertAlign w:val="baseline"/>
        </w:rPr>
        <w:t> </w:t>
      </w:r>
      <w:r>
        <w:rPr>
          <w:vertAlign w:val="baseline"/>
        </w:rPr>
        <w:t>desenvolvimento, mas o</w:t>
      </w:r>
      <w:r>
        <w:rPr>
          <w:spacing w:val="-2"/>
          <w:vertAlign w:val="baseline"/>
        </w:rPr>
        <w:t> </w:t>
      </w:r>
      <w:r>
        <w:rPr>
          <w:vertAlign w:val="baseline"/>
        </w:rPr>
        <w:t>diagnóstico dessa forma de acometimento pericárdico é de capital importância, já que o desenvolvimento de pericardite em portadores de tuberculose contém um significado prognóstico: a mortalidade dos casos de pericardite tuberculosa não tratada chega a 85%. Além disso, metade daqueles também não tratados evolui para pericardite constritiva.</w:t>
      </w:r>
      <w:r>
        <w:rPr>
          <w:vertAlign w:val="superscript"/>
        </w:rPr>
        <w:t>6,7</w:t>
      </w:r>
      <w:r>
        <w:rPr>
          <w:vertAlign w:val="baseline"/>
        </w:rPr>
        <w:t> Nas séries de casos em regiões geográficas, onde a tuberculose é prevalente e a etiologia pode ser determinada em 18% dos casos, a pericardite tuberculosa foi a causa de 24% dos casos e de 4,3% de todos as pericardites.</w:t>
      </w:r>
      <w:r>
        <w:rPr>
          <w:vertAlign w:val="superscript"/>
        </w:rPr>
        <w:t>8</w:t>
      </w:r>
      <w:r>
        <w:rPr>
          <w:vertAlign w:val="baseline"/>
        </w:rPr>
        <w:t> As demais etiologias mais frequentes foram: neoplasia (30%), doenças autoimunes (29%) e pericardite bacteriana </w:t>
      </w:r>
      <w:r>
        <w:rPr>
          <w:spacing w:val="-2"/>
          <w:vertAlign w:val="baseline"/>
        </w:rPr>
        <w:t>(3,5%).</w:t>
      </w:r>
    </w:p>
    <w:p>
      <w:pPr>
        <w:pStyle w:val="BodyText"/>
        <w:spacing w:before="120"/>
        <w:ind w:left="0" w:firstLine="0"/>
        <w:jc w:val="left"/>
      </w:pPr>
    </w:p>
    <w:p>
      <w:pPr>
        <w:pStyle w:val="Heading5"/>
      </w:pPr>
      <w:r>
        <w:rPr>
          <w:color w:val="A26108"/>
        </w:rPr>
        <w:t>Quadro</w:t>
      </w:r>
      <w:r>
        <w:rPr>
          <w:color w:val="A26108"/>
          <w:spacing w:val="23"/>
        </w:rPr>
        <w:t> </w:t>
      </w:r>
      <w:r>
        <w:rPr>
          <w:color w:val="A26108"/>
          <w:spacing w:val="-2"/>
        </w:rPr>
        <w:t>clínico</w:t>
      </w:r>
    </w:p>
    <w:p>
      <w:pPr>
        <w:pStyle w:val="BodyText"/>
        <w:spacing w:line="278" w:lineRule="auto" w:before="122"/>
        <w:ind w:right="488"/>
      </w:pPr>
      <w:r>
        <w:rPr/>
        <w:t>O sintoma mais comum da pericardite aguda é a dor torácica retroesternal de início súbito, progressiva e intensa, que piora com a inspiração.</w:t>
      </w:r>
      <w:r>
        <w:rPr>
          <w:vertAlign w:val="superscript"/>
        </w:rPr>
        <w:t>9</w:t>
      </w:r>
      <w:r>
        <w:rPr>
          <w:vertAlign w:val="baseline"/>
        </w:rPr>
        <w:t> Da mesma forma que a dor do infarto do miocárdio, pode se irradiar para os ombros, braços, pescoço</w:t>
      </w:r>
      <w:r>
        <w:rPr>
          <w:spacing w:val="-1"/>
          <w:vertAlign w:val="baseline"/>
        </w:rPr>
        <w:t> </w:t>
      </w:r>
      <w:r>
        <w:rPr>
          <w:vertAlign w:val="baseline"/>
        </w:rPr>
        <w:t>e, com</w:t>
      </w:r>
      <w:r>
        <w:rPr>
          <w:spacing w:val="-1"/>
          <w:vertAlign w:val="baseline"/>
        </w:rPr>
        <w:t> </w:t>
      </w:r>
      <w:r>
        <w:rPr>
          <w:vertAlign w:val="baseline"/>
        </w:rPr>
        <w:t>frequência, é</w:t>
      </w:r>
      <w:r>
        <w:rPr>
          <w:spacing w:val="-4"/>
          <w:vertAlign w:val="baseline"/>
        </w:rPr>
        <w:t> </w:t>
      </w:r>
      <w:r>
        <w:rPr>
          <w:vertAlign w:val="baseline"/>
        </w:rPr>
        <w:t>confundida</w:t>
      </w:r>
      <w:r>
        <w:rPr>
          <w:spacing w:val="-4"/>
          <w:vertAlign w:val="baseline"/>
        </w:rPr>
        <w:t> </w:t>
      </w:r>
      <w:r>
        <w:rPr>
          <w:vertAlign w:val="baseline"/>
        </w:rPr>
        <w:t>com</w:t>
      </w:r>
      <w:r>
        <w:rPr>
          <w:spacing w:val="-1"/>
          <w:vertAlign w:val="baseline"/>
        </w:rPr>
        <w:t> </w:t>
      </w:r>
      <w:r>
        <w:rPr>
          <w:vertAlign w:val="baseline"/>
        </w:rPr>
        <w:t>a</w:t>
      </w:r>
      <w:r>
        <w:rPr>
          <w:spacing w:val="-4"/>
          <w:vertAlign w:val="baseline"/>
        </w:rPr>
        <w:t> </w:t>
      </w:r>
      <w:r>
        <w:rPr>
          <w:vertAlign w:val="baseline"/>
        </w:rPr>
        <w:t>dor do</w:t>
      </w:r>
      <w:r>
        <w:rPr>
          <w:spacing w:val="-1"/>
          <w:vertAlign w:val="baseline"/>
        </w:rPr>
        <w:t> </w:t>
      </w:r>
      <w:r>
        <w:rPr>
          <w:vertAlign w:val="baseline"/>
        </w:rPr>
        <w:t>infarto</w:t>
      </w:r>
      <w:r>
        <w:rPr>
          <w:spacing w:val="-1"/>
          <w:vertAlign w:val="baseline"/>
        </w:rPr>
        <w:t> </w:t>
      </w:r>
      <w:r>
        <w:rPr>
          <w:vertAlign w:val="baseline"/>
        </w:rPr>
        <w:t>do</w:t>
      </w:r>
      <w:r>
        <w:rPr>
          <w:spacing w:val="-1"/>
          <w:vertAlign w:val="baseline"/>
        </w:rPr>
        <w:t> </w:t>
      </w:r>
      <w:r>
        <w:rPr>
          <w:vertAlign w:val="baseline"/>
        </w:rPr>
        <w:t>miocárdio. Porém, quando</w:t>
      </w:r>
      <w:r>
        <w:rPr>
          <w:spacing w:val="-1"/>
          <w:vertAlign w:val="baseline"/>
        </w:rPr>
        <w:t> </w:t>
      </w:r>
      <w:r>
        <w:rPr>
          <w:vertAlign w:val="baseline"/>
        </w:rPr>
        <w:t>ela</w:t>
      </w:r>
      <w:r>
        <w:rPr>
          <w:spacing w:val="-4"/>
          <w:vertAlign w:val="baseline"/>
        </w:rPr>
        <w:t> </w:t>
      </w:r>
      <w:r>
        <w:rPr>
          <w:vertAlign w:val="baseline"/>
        </w:rPr>
        <w:t>se irradia para a região do músculo trapézio, é muito mais provável de se tratar de pericardite, pois tanto o pericárdio como</w:t>
      </w:r>
      <w:r>
        <w:rPr>
          <w:spacing w:val="-6"/>
          <w:vertAlign w:val="baseline"/>
        </w:rPr>
        <w:t> </w:t>
      </w:r>
      <w:r>
        <w:rPr>
          <w:vertAlign w:val="baseline"/>
        </w:rPr>
        <w:t>a</w:t>
      </w:r>
      <w:r>
        <w:rPr>
          <w:spacing w:val="-8"/>
          <w:vertAlign w:val="baseline"/>
        </w:rPr>
        <w:t> </w:t>
      </w:r>
      <w:r>
        <w:rPr>
          <w:vertAlign w:val="baseline"/>
        </w:rPr>
        <w:t>região</w:t>
      </w:r>
      <w:r>
        <w:rPr>
          <w:spacing w:val="-6"/>
          <w:vertAlign w:val="baseline"/>
        </w:rPr>
        <w:t> </w:t>
      </w:r>
      <w:r>
        <w:rPr>
          <w:vertAlign w:val="baseline"/>
        </w:rPr>
        <w:t>do</w:t>
      </w:r>
      <w:r>
        <w:rPr>
          <w:spacing w:val="-6"/>
          <w:vertAlign w:val="baseline"/>
        </w:rPr>
        <w:t> </w:t>
      </w:r>
      <w:r>
        <w:rPr>
          <w:vertAlign w:val="baseline"/>
        </w:rPr>
        <w:t>trapézio</w:t>
      </w:r>
      <w:r>
        <w:rPr>
          <w:spacing w:val="-6"/>
          <w:vertAlign w:val="baseline"/>
        </w:rPr>
        <w:t> </w:t>
      </w:r>
      <w:r>
        <w:rPr>
          <w:vertAlign w:val="baseline"/>
        </w:rPr>
        <w:t>são</w:t>
      </w:r>
      <w:r>
        <w:rPr>
          <w:spacing w:val="-6"/>
          <w:vertAlign w:val="baseline"/>
        </w:rPr>
        <w:t> </w:t>
      </w:r>
      <w:r>
        <w:rPr>
          <w:vertAlign w:val="baseline"/>
        </w:rPr>
        <w:t>inervados pelo</w:t>
      </w:r>
      <w:r>
        <w:rPr>
          <w:spacing w:val="-6"/>
          <w:vertAlign w:val="baseline"/>
        </w:rPr>
        <w:t> </w:t>
      </w:r>
      <w:r>
        <w:rPr>
          <w:vertAlign w:val="baseline"/>
        </w:rPr>
        <w:t>frênico. Outra</w:t>
      </w:r>
      <w:r>
        <w:rPr>
          <w:spacing w:val="-8"/>
          <w:vertAlign w:val="baseline"/>
        </w:rPr>
        <w:t> </w:t>
      </w:r>
      <w:r>
        <w:rPr>
          <w:vertAlign w:val="baseline"/>
        </w:rPr>
        <w:t>característica</w:t>
      </w:r>
      <w:r>
        <w:rPr>
          <w:spacing w:val="-8"/>
          <w:vertAlign w:val="baseline"/>
        </w:rPr>
        <w:t> </w:t>
      </w:r>
      <w:r>
        <w:rPr>
          <w:vertAlign w:val="baseline"/>
        </w:rPr>
        <w:t>que</w:t>
      </w:r>
      <w:r>
        <w:rPr>
          <w:spacing w:val="-8"/>
          <w:vertAlign w:val="baseline"/>
        </w:rPr>
        <w:t> </w:t>
      </w:r>
      <w:r>
        <w:rPr>
          <w:vertAlign w:val="baseline"/>
        </w:rPr>
        <w:t>ajuda</w:t>
      </w:r>
      <w:r>
        <w:rPr>
          <w:spacing w:val="-8"/>
          <w:vertAlign w:val="baseline"/>
        </w:rPr>
        <w:t> </w:t>
      </w:r>
      <w:r>
        <w:rPr>
          <w:vertAlign w:val="baseline"/>
        </w:rPr>
        <w:t>a</w:t>
      </w:r>
      <w:r>
        <w:rPr>
          <w:spacing w:val="-8"/>
          <w:vertAlign w:val="baseline"/>
        </w:rPr>
        <w:t> </w:t>
      </w:r>
      <w:r>
        <w:rPr>
          <w:vertAlign w:val="baseline"/>
        </w:rPr>
        <w:t>diferenciar</w:t>
      </w:r>
      <w:r>
        <w:rPr>
          <w:spacing w:val="-1"/>
          <w:vertAlign w:val="baseline"/>
        </w:rPr>
        <w:t> </w:t>
      </w:r>
      <w:r>
        <w:rPr>
          <w:vertAlign w:val="baseline"/>
        </w:rPr>
        <w:t>as duas patologias é que na pericardite ocorre dor mais intensa, quando se adota a posição supina, melhorando quando o paciente se senta</w:t>
      </w:r>
      <w:r>
        <w:rPr>
          <w:spacing w:val="-2"/>
          <w:vertAlign w:val="baseline"/>
        </w:rPr>
        <w:t> </w:t>
      </w:r>
      <w:r>
        <w:rPr>
          <w:vertAlign w:val="baseline"/>
        </w:rPr>
        <w:t>inclinado, com o tronco para</w:t>
      </w:r>
      <w:r>
        <w:rPr>
          <w:spacing w:val="-2"/>
          <w:vertAlign w:val="baseline"/>
        </w:rPr>
        <w:t> </w:t>
      </w:r>
      <w:r>
        <w:rPr>
          <w:vertAlign w:val="baseline"/>
        </w:rPr>
        <w:t>frente. Nessa</w:t>
      </w:r>
      <w:r>
        <w:rPr>
          <w:spacing w:val="-2"/>
          <w:vertAlign w:val="baseline"/>
        </w:rPr>
        <w:t> </w:t>
      </w:r>
      <w:r>
        <w:rPr>
          <w:vertAlign w:val="baseline"/>
        </w:rPr>
        <w:t>posição, diminui a</w:t>
      </w:r>
      <w:r>
        <w:rPr>
          <w:spacing w:val="-2"/>
          <w:vertAlign w:val="baseline"/>
        </w:rPr>
        <w:t> </w:t>
      </w:r>
      <w:r>
        <w:rPr>
          <w:vertAlign w:val="baseline"/>
        </w:rPr>
        <w:t>mobilidade</w:t>
      </w:r>
      <w:r>
        <w:rPr>
          <w:spacing w:val="-2"/>
          <w:vertAlign w:val="baseline"/>
        </w:rPr>
        <w:t> </w:t>
      </w:r>
      <w:r>
        <w:rPr>
          <w:vertAlign w:val="baseline"/>
        </w:rPr>
        <w:t>do coração dentro da</w:t>
      </w:r>
      <w:r>
        <w:rPr>
          <w:spacing w:val="-2"/>
          <w:vertAlign w:val="baseline"/>
        </w:rPr>
        <w:t> </w:t>
      </w:r>
      <w:r>
        <w:rPr>
          <w:vertAlign w:val="baseline"/>
        </w:rPr>
        <w:t>caixa</w:t>
      </w:r>
      <w:r>
        <w:rPr>
          <w:spacing w:val="-2"/>
          <w:vertAlign w:val="baseline"/>
        </w:rPr>
        <w:t> </w:t>
      </w:r>
      <w:r>
        <w:rPr>
          <w:vertAlign w:val="baseline"/>
        </w:rPr>
        <w:t>torácica e, consequentemente, diminui a</w:t>
      </w:r>
      <w:r>
        <w:rPr>
          <w:spacing w:val="-1"/>
          <w:vertAlign w:val="baseline"/>
        </w:rPr>
        <w:t> </w:t>
      </w:r>
      <w:r>
        <w:rPr>
          <w:vertAlign w:val="baseline"/>
        </w:rPr>
        <w:t>fricção entre</w:t>
      </w:r>
      <w:r>
        <w:rPr>
          <w:spacing w:val="-1"/>
          <w:vertAlign w:val="baseline"/>
        </w:rPr>
        <w:t> </w:t>
      </w:r>
      <w:r>
        <w:rPr>
          <w:vertAlign w:val="baseline"/>
        </w:rPr>
        <w:t>o pericárdio visceral e</w:t>
      </w:r>
      <w:r>
        <w:rPr>
          <w:spacing w:val="-1"/>
          <w:vertAlign w:val="baseline"/>
        </w:rPr>
        <w:t> </w:t>
      </w:r>
      <w:r>
        <w:rPr>
          <w:vertAlign w:val="baseline"/>
        </w:rPr>
        <w:t>o parietal. Além de</w:t>
      </w:r>
      <w:r>
        <w:rPr>
          <w:spacing w:val="-1"/>
          <w:vertAlign w:val="baseline"/>
        </w:rPr>
        <w:t> </w:t>
      </w:r>
      <w:r>
        <w:rPr>
          <w:vertAlign w:val="baseline"/>
        </w:rPr>
        <w:t>dor, febre</w:t>
      </w:r>
      <w:r>
        <w:rPr>
          <w:spacing w:val="-1"/>
          <w:vertAlign w:val="baseline"/>
        </w:rPr>
        <w:t> </w:t>
      </w:r>
      <w:r>
        <w:rPr>
          <w:vertAlign w:val="baseline"/>
        </w:rPr>
        <w:t>baixa</w:t>
      </w:r>
      <w:r>
        <w:rPr>
          <w:spacing w:val="-1"/>
          <w:vertAlign w:val="baseline"/>
        </w:rPr>
        <w:t> </w:t>
      </w:r>
      <w:r>
        <w:rPr>
          <w:vertAlign w:val="baseline"/>
        </w:rPr>
        <w:t>pode</w:t>
      </w:r>
      <w:r>
        <w:rPr>
          <w:spacing w:val="-1"/>
          <w:vertAlign w:val="baseline"/>
        </w:rPr>
        <w:t> </w:t>
      </w:r>
      <w:r>
        <w:rPr>
          <w:vertAlign w:val="baseline"/>
        </w:rPr>
        <w:t>estar presente, mas na</w:t>
      </w:r>
      <w:r>
        <w:rPr>
          <w:spacing w:val="-1"/>
          <w:vertAlign w:val="baseline"/>
        </w:rPr>
        <w:t> </w:t>
      </w:r>
      <w:r>
        <w:rPr>
          <w:vertAlign w:val="baseline"/>
        </w:rPr>
        <w:t>pericardite</w:t>
      </w:r>
      <w:r>
        <w:rPr>
          <w:spacing w:val="-1"/>
          <w:vertAlign w:val="baseline"/>
        </w:rPr>
        <w:t> </w:t>
      </w:r>
      <w:r>
        <w:rPr>
          <w:vertAlign w:val="baseline"/>
        </w:rPr>
        <w:t>purulenta</w:t>
      </w:r>
      <w:r>
        <w:rPr>
          <w:spacing w:val="-1"/>
          <w:vertAlign w:val="baseline"/>
        </w:rPr>
        <w:t> </w:t>
      </w:r>
      <w:r>
        <w:rPr>
          <w:vertAlign w:val="baseline"/>
        </w:rPr>
        <w:t>ela</w:t>
      </w:r>
      <w:r>
        <w:rPr>
          <w:spacing w:val="-1"/>
          <w:vertAlign w:val="baseline"/>
        </w:rPr>
        <w:t> </w:t>
      </w:r>
      <w:r>
        <w:rPr>
          <w:vertAlign w:val="baseline"/>
        </w:rPr>
        <w:t>pode</w:t>
      </w:r>
      <w:r>
        <w:rPr>
          <w:spacing w:val="-1"/>
          <w:vertAlign w:val="baseline"/>
        </w:rPr>
        <w:t> </w:t>
      </w:r>
      <w:r>
        <w:rPr>
          <w:vertAlign w:val="baseline"/>
        </w:rPr>
        <w:t>ser alta, além de</w:t>
      </w:r>
      <w:r>
        <w:rPr>
          <w:spacing w:val="-1"/>
          <w:vertAlign w:val="baseline"/>
        </w:rPr>
        <w:t> </w:t>
      </w:r>
      <w:r>
        <w:rPr>
          <w:vertAlign w:val="baseline"/>
        </w:rPr>
        <w:t>haver também sinais de</w:t>
      </w:r>
      <w:r>
        <w:rPr>
          <w:spacing w:val="-1"/>
          <w:vertAlign w:val="baseline"/>
        </w:rPr>
        <w:t> </w:t>
      </w:r>
      <w:r>
        <w:rPr>
          <w:vertAlign w:val="baseline"/>
        </w:rPr>
        <w:t>sepse.</w:t>
      </w:r>
    </w:p>
    <w:p>
      <w:pPr>
        <w:pStyle w:val="BodyText"/>
        <w:spacing w:line="276" w:lineRule="auto" w:before="74"/>
        <w:ind w:right="487"/>
      </w:pPr>
      <w:r>
        <w:rPr/>
        <w:t>O</w:t>
      </w:r>
      <w:r>
        <w:rPr>
          <w:spacing w:val="-1"/>
        </w:rPr>
        <w:t> </w:t>
      </w:r>
      <w:r>
        <w:rPr/>
        <w:t>atrito pericárdico é</w:t>
      </w:r>
      <w:r>
        <w:rPr>
          <w:spacing w:val="-1"/>
        </w:rPr>
        <w:t> </w:t>
      </w:r>
      <w:r>
        <w:rPr/>
        <w:t>patognomônico de</w:t>
      </w:r>
      <w:r>
        <w:rPr>
          <w:spacing w:val="-1"/>
        </w:rPr>
        <w:t> </w:t>
      </w:r>
      <w:r>
        <w:rPr/>
        <w:t>pericardite</w:t>
      </w:r>
      <w:r>
        <w:rPr>
          <w:spacing w:val="-1"/>
        </w:rPr>
        <w:t> </w:t>
      </w:r>
      <w:r>
        <w:rPr/>
        <w:t>e</w:t>
      </w:r>
      <w:r>
        <w:rPr>
          <w:spacing w:val="-1"/>
        </w:rPr>
        <w:t> </w:t>
      </w:r>
      <w:r>
        <w:rPr/>
        <w:t>está</w:t>
      </w:r>
      <w:r>
        <w:rPr>
          <w:spacing w:val="-1"/>
        </w:rPr>
        <w:t> </w:t>
      </w:r>
      <w:r>
        <w:rPr/>
        <w:t>presente</w:t>
      </w:r>
      <w:r>
        <w:rPr>
          <w:spacing w:val="-1"/>
        </w:rPr>
        <w:t> </w:t>
      </w:r>
      <w:r>
        <w:rPr/>
        <w:t>em cerca</w:t>
      </w:r>
      <w:r>
        <w:rPr>
          <w:spacing w:val="-1"/>
        </w:rPr>
        <w:t> </w:t>
      </w:r>
      <w:r>
        <w:rPr/>
        <w:t>de</w:t>
      </w:r>
      <w:r>
        <w:rPr>
          <w:spacing w:val="-1"/>
        </w:rPr>
        <w:t> </w:t>
      </w:r>
      <w:r>
        <w:rPr/>
        <w:t>85% dos casos.</w:t>
      </w:r>
      <w:r>
        <w:rPr>
          <w:vertAlign w:val="superscript"/>
        </w:rPr>
        <w:t>10</w:t>
      </w:r>
      <w:r>
        <w:rPr>
          <w:vertAlign w:val="baseline"/>
        </w:rPr>
        <w:t> Sua presença confirma o diagnóstico, mas sua ausência não o exclui. O atrito é ouvido melhor na borda esternal esquerda, no final da expiração com o paciente inclinado para frente e o som lembra raspagem ou fricção. Em metade dos pacientes, o ritmo do atrito ocorre em três tempos, que correspondem ao som da fricção dos folhetos pericárdicos durante a sístole atrial (nos pacientes com ritmo sinusal), durante a sístole ventricular e durante o enchimento rápido dos ventrículos no início da diástole. Com menor frequência, o ritmo do atrito pode ser em um ou dois </w:t>
      </w:r>
      <w:r>
        <w:rPr>
          <w:spacing w:val="-2"/>
          <w:vertAlign w:val="baseline"/>
        </w:rPr>
        <w:t>tempos.</w:t>
      </w:r>
    </w:p>
    <w:p>
      <w:pPr>
        <w:pStyle w:val="BodyText"/>
        <w:spacing w:line="276" w:lineRule="auto"/>
        <w:ind w:right="491"/>
      </w:pPr>
      <w:r>
        <w:rPr/>
        <w:t>As características do atrito são mutáveis tanto na</w:t>
      </w:r>
      <w:r>
        <w:rPr>
          <w:spacing w:val="-3"/>
        </w:rPr>
        <w:t> </w:t>
      </w:r>
      <w:r>
        <w:rPr/>
        <w:t>intensidade</w:t>
      </w:r>
      <w:r>
        <w:rPr>
          <w:spacing w:val="-3"/>
        </w:rPr>
        <w:t> </w:t>
      </w:r>
      <w:r>
        <w:rPr/>
        <w:t>como na</w:t>
      </w:r>
      <w:r>
        <w:rPr>
          <w:spacing w:val="-3"/>
        </w:rPr>
        <w:t> </w:t>
      </w:r>
      <w:r>
        <w:rPr/>
        <w:t>sonoridade, podendo até</w:t>
      </w:r>
      <w:r>
        <w:rPr>
          <w:spacing w:val="-3"/>
        </w:rPr>
        <w:t> </w:t>
      </w:r>
      <w:r>
        <w:rPr/>
        <w:t>desaparecer em menos de 24 h. Portanto, pacientes com suspeita de pericardite, mas sem atrito, devem ser reexaminados várias vezes no mesmo dia.</w:t>
      </w:r>
    </w:p>
    <w:p>
      <w:pPr>
        <w:pStyle w:val="BodyText"/>
        <w:spacing w:line="276" w:lineRule="auto" w:before="48"/>
        <w:ind w:right="488"/>
      </w:pPr>
      <w:r>
        <w:rPr/>
        <w:t>A</w:t>
      </w:r>
      <w:r>
        <w:rPr>
          <w:spacing w:val="-4"/>
        </w:rPr>
        <w:t> </w:t>
      </w:r>
      <w:r>
        <w:rPr/>
        <w:t>presença</w:t>
      </w:r>
      <w:r>
        <w:rPr>
          <w:spacing w:val="-4"/>
        </w:rPr>
        <w:t> </w:t>
      </w:r>
      <w:r>
        <w:rPr/>
        <w:t>de</w:t>
      </w:r>
      <w:r>
        <w:rPr>
          <w:spacing w:val="-4"/>
        </w:rPr>
        <w:t> </w:t>
      </w:r>
      <w:r>
        <w:rPr/>
        <w:t>hipotensão, taquicardia, estase</w:t>
      </w:r>
      <w:r>
        <w:rPr>
          <w:spacing w:val="-4"/>
        </w:rPr>
        <w:t> </w:t>
      </w:r>
      <w:r>
        <w:rPr/>
        <w:t>jugular túrgida</w:t>
      </w:r>
      <w:r>
        <w:rPr>
          <w:spacing w:val="-4"/>
        </w:rPr>
        <w:t> </w:t>
      </w:r>
      <w:r>
        <w:rPr/>
        <w:t>e</w:t>
      </w:r>
      <w:r>
        <w:rPr>
          <w:spacing w:val="-4"/>
        </w:rPr>
        <w:t> </w:t>
      </w:r>
      <w:r>
        <w:rPr/>
        <w:t>pulso</w:t>
      </w:r>
      <w:r>
        <w:rPr>
          <w:spacing w:val="-1"/>
        </w:rPr>
        <w:t> </w:t>
      </w:r>
      <w:r>
        <w:rPr/>
        <w:t>paradoxal (diminuição</w:t>
      </w:r>
      <w:r>
        <w:rPr>
          <w:spacing w:val="-1"/>
        </w:rPr>
        <w:t> </w:t>
      </w:r>
      <w:r>
        <w:rPr/>
        <w:t>da</w:t>
      </w:r>
      <w:r>
        <w:rPr>
          <w:spacing w:val="-4"/>
        </w:rPr>
        <w:t> </w:t>
      </w:r>
      <w:r>
        <w:rPr/>
        <w:t>pressão</w:t>
      </w:r>
      <w:r>
        <w:rPr>
          <w:spacing w:val="-1"/>
        </w:rPr>
        <w:t> </w:t>
      </w:r>
      <w:r>
        <w:rPr/>
        <w:t>sistólica superior a 10 mmHg na inspiração em relação à pressão sistólica medida na expiração) sugere tamponamento cardíaco. Este</w:t>
      </w:r>
      <w:r>
        <w:rPr>
          <w:spacing w:val="-1"/>
        </w:rPr>
        <w:t> </w:t>
      </w:r>
      <w:r>
        <w:rPr/>
        <w:t>é</w:t>
      </w:r>
      <w:r>
        <w:rPr>
          <w:spacing w:val="-1"/>
        </w:rPr>
        <w:t> </w:t>
      </w:r>
      <w:r>
        <w:rPr/>
        <w:t>mais comum nos casos de</w:t>
      </w:r>
      <w:r>
        <w:rPr>
          <w:spacing w:val="-1"/>
        </w:rPr>
        <w:t> </w:t>
      </w:r>
      <w:r>
        <w:rPr/>
        <w:t>pericardite</w:t>
      </w:r>
      <w:r>
        <w:rPr>
          <w:spacing w:val="-1"/>
        </w:rPr>
        <w:t> </w:t>
      </w:r>
      <w:r>
        <w:rPr/>
        <w:t>purulenta, neoplásica</w:t>
      </w:r>
      <w:r>
        <w:rPr>
          <w:spacing w:val="-1"/>
        </w:rPr>
        <w:t> </w:t>
      </w:r>
      <w:r>
        <w:rPr/>
        <w:t>e</w:t>
      </w:r>
      <w:r>
        <w:rPr>
          <w:spacing w:val="-1"/>
        </w:rPr>
        <w:t> </w:t>
      </w:r>
      <w:r>
        <w:rPr/>
        <w:t>tuberculosa.</w:t>
      </w:r>
    </w:p>
    <w:p>
      <w:pPr>
        <w:pStyle w:val="BodyText"/>
        <w:spacing w:before="134"/>
        <w:ind w:left="0" w:firstLine="0"/>
        <w:jc w:val="left"/>
      </w:pPr>
    </w:p>
    <w:p>
      <w:pPr>
        <w:pStyle w:val="Heading5"/>
      </w:pPr>
      <w:r>
        <w:rPr>
          <w:color w:val="A26108"/>
          <w:spacing w:val="-2"/>
        </w:rPr>
        <w:t>Diagnóstico</w:t>
      </w:r>
    </w:p>
    <w:p>
      <w:pPr>
        <w:pStyle w:val="BodyText"/>
        <w:spacing w:line="280" w:lineRule="auto" w:before="138"/>
        <w:ind w:right="500"/>
      </w:pPr>
      <w:r>
        <w:rPr/>
        <w:t>O diagnóstico de pericardite é estabelecido quando o paciente apresenta dor torácica ou atrito com alterações eletrocardiográficas típicas, principalmente a elevação difusa do segmento ST. Em estudo de 300 pacientes, com diagnóstico de pericardite aguda, os achados mais frequentes foram dor torácica (98,3%), início agudo do quadro (89%) e elevação do segmento ST (89,3%).</w:t>
      </w:r>
      <w:r>
        <w:rPr>
          <w:vertAlign w:val="superscript"/>
        </w:rPr>
        <w:t>11</w:t>
      </w:r>
    </w:p>
    <w:p>
      <w:pPr>
        <w:pStyle w:val="BodyText"/>
        <w:spacing w:before="44"/>
        <w:ind w:left="414" w:firstLine="0"/>
      </w:pPr>
      <w:r>
        <w:rPr/>
        <w:t>As</w:t>
      </w:r>
      <w:r>
        <w:rPr>
          <w:spacing w:val="20"/>
        </w:rPr>
        <w:t> </w:t>
      </w:r>
      <w:r>
        <w:rPr/>
        <w:t>alterações</w:t>
      </w:r>
      <w:r>
        <w:rPr>
          <w:spacing w:val="22"/>
        </w:rPr>
        <w:t> </w:t>
      </w:r>
      <w:r>
        <w:rPr/>
        <w:t>eletrocardiográficas</w:t>
      </w:r>
      <w:r>
        <w:rPr>
          <w:spacing w:val="22"/>
        </w:rPr>
        <w:t> </w:t>
      </w:r>
      <w:r>
        <w:rPr/>
        <w:t>acontecem</w:t>
      </w:r>
      <w:r>
        <w:rPr>
          <w:spacing w:val="14"/>
        </w:rPr>
        <w:t> </w:t>
      </w:r>
      <w:r>
        <w:rPr/>
        <w:t>em</w:t>
      </w:r>
      <w:r>
        <w:rPr>
          <w:spacing w:val="15"/>
        </w:rPr>
        <w:t> </w:t>
      </w:r>
      <w:r>
        <w:rPr/>
        <w:t>pouco</w:t>
      </w:r>
      <w:r>
        <w:rPr>
          <w:spacing w:val="14"/>
        </w:rPr>
        <w:t> </w:t>
      </w:r>
      <w:r>
        <w:rPr/>
        <w:t>mais</w:t>
      </w:r>
      <w:r>
        <w:rPr>
          <w:spacing w:val="22"/>
        </w:rPr>
        <w:t> </w:t>
      </w:r>
      <w:r>
        <w:rPr/>
        <w:t>da</w:t>
      </w:r>
      <w:r>
        <w:rPr>
          <w:spacing w:val="12"/>
        </w:rPr>
        <w:t> </w:t>
      </w:r>
      <w:r>
        <w:rPr/>
        <w:t>metade</w:t>
      </w:r>
      <w:r>
        <w:rPr>
          <w:spacing w:val="12"/>
        </w:rPr>
        <w:t> </w:t>
      </w:r>
      <w:r>
        <w:rPr/>
        <w:t>dos</w:t>
      </w:r>
      <w:r>
        <w:rPr>
          <w:spacing w:val="22"/>
        </w:rPr>
        <w:t> </w:t>
      </w:r>
      <w:r>
        <w:rPr/>
        <w:t>casos</w:t>
      </w:r>
      <w:r>
        <w:rPr>
          <w:spacing w:val="22"/>
        </w:rPr>
        <w:t> </w:t>
      </w:r>
      <w:r>
        <w:rPr/>
        <w:t>e</w:t>
      </w:r>
      <w:r>
        <w:rPr>
          <w:spacing w:val="12"/>
        </w:rPr>
        <w:t> </w:t>
      </w:r>
      <w:r>
        <w:rPr/>
        <w:t>sua</w:t>
      </w:r>
      <w:r>
        <w:rPr>
          <w:spacing w:val="12"/>
        </w:rPr>
        <w:t> </w:t>
      </w:r>
      <w:r>
        <w:rPr/>
        <w:t>duração</w:t>
      </w:r>
      <w:r>
        <w:rPr>
          <w:spacing w:val="14"/>
        </w:rPr>
        <w:t> </w:t>
      </w:r>
      <w:r>
        <w:rPr/>
        <w:t>depende</w:t>
      </w:r>
      <w:r>
        <w:rPr>
          <w:spacing w:val="12"/>
        </w:rPr>
        <w:t> </w:t>
      </w:r>
      <w:r>
        <w:rPr>
          <w:spacing w:val="-5"/>
        </w:rPr>
        <w:t>do</w:t>
      </w:r>
    </w:p>
    <w:p>
      <w:pPr>
        <w:pStyle w:val="BodyText"/>
        <w:spacing w:after="0"/>
        <w:sectPr>
          <w:pgSz w:w="11900" w:h="16840"/>
          <w:pgMar w:top="220" w:bottom="280" w:left="566" w:right="141"/>
        </w:sectPr>
      </w:pPr>
    </w:p>
    <w:p>
      <w:pPr>
        <w:pStyle w:val="BodyText"/>
        <w:spacing w:line="280" w:lineRule="auto" w:before="80"/>
        <w:ind w:right="500" w:firstLine="0"/>
      </w:pPr>
      <w:r>
        <w:rPr/>
        <w:t>momento em que se instituem as medidas terapêuticas: quanto mais rápido o tratamento, mais breve a duração delas. Consistem em elevação difusa do segmento ST com concavidade para cima e elevação do intervalo PR em aVR e depressão nas demais nas derivações. A alteração do intervalo PR significa lesão atrial e é uma das primeiras manifestações a</w:t>
      </w:r>
      <w:r>
        <w:rPr>
          <w:spacing w:val="-9"/>
        </w:rPr>
        <w:t> </w:t>
      </w:r>
      <w:r>
        <w:rPr/>
        <w:t>acontecer.</w:t>
      </w:r>
      <w:r>
        <w:rPr>
          <w:vertAlign w:val="superscript"/>
        </w:rPr>
        <w:t>12</w:t>
      </w:r>
      <w:r>
        <w:rPr>
          <w:vertAlign w:val="baseline"/>
        </w:rPr>
        <w:t> Após algumas horas, ou</w:t>
      </w:r>
      <w:r>
        <w:rPr>
          <w:spacing w:val="-3"/>
          <w:vertAlign w:val="baseline"/>
        </w:rPr>
        <w:t> </w:t>
      </w:r>
      <w:r>
        <w:rPr>
          <w:vertAlign w:val="baseline"/>
        </w:rPr>
        <w:t>poucos dias, ocorre</w:t>
      </w:r>
      <w:r>
        <w:rPr>
          <w:spacing w:val="-6"/>
          <w:vertAlign w:val="baseline"/>
        </w:rPr>
        <w:t> </w:t>
      </w:r>
      <w:r>
        <w:rPr>
          <w:vertAlign w:val="baseline"/>
        </w:rPr>
        <w:t>normalização</w:t>
      </w:r>
      <w:r>
        <w:rPr>
          <w:spacing w:val="-3"/>
          <w:vertAlign w:val="baseline"/>
        </w:rPr>
        <w:t> </w:t>
      </w:r>
      <w:r>
        <w:rPr>
          <w:vertAlign w:val="baseline"/>
        </w:rPr>
        <w:t>das alterações do PR e ST e a seguir a onda T se inverte difusamente. Essa modificação precede a normalização eletrocardiográfica. As arritmias são pouco frequentes (7%) e</w:t>
      </w:r>
      <w:r>
        <w:rPr>
          <w:spacing w:val="-1"/>
          <w:vertAlign w:val="baseline"/>
        </w:rPr>
        <w:t> </w:t>
      </w:r>
      <w:r>
        <w:rPr>
          <w:vertAlign w:val="baseline"/>
        </w:rPr>
        <w:t>não ocorrem quando não há</w:t>
      </w:r>
      <w:r>
        <w:rPr>
          <w:spacing w:val="-1"/>
          <w:vertAlign w:val="baseline"/>
        </w:rPr>
        <w:t> </w:t>
      </w:r>
      <w:r>
        <w:rPr>
          <w:vertAlign w:val="baseline"/>
        </w:rPr>
        <w:t>cardiopatia</w:t>
      </w:r>
      <w:r>
        <w:rPr>
          <w:spacing w:val="-1"/>
          <w:vertAlign w:val="baseline"/>
        </w:rPr>
        <w:t> </w:t>
      </w:r>
      <w:r>
        <w:rPr>
          <w:vertAlign w:val="baseline"/>
        </w:rPr>
        <w:t>subjacente</w:t>
      </w:r>
      <w:r>
        <w:rPr>
          <w:spacing w:val="-1"/>
          <w:vertAlign w:val="baseline"/>
        </w:rPr>
        <w:t> </w:t>
      </w:r>
      <w:r>
        <w:rPr>
          <w:vertAlign w:val="baseline"/>
        </w:rPr>
        <w:t>(</w:t>
      </w:r>
      <w:r>
        <w:rPr>
          <w:color w:val="505050"/>
          <w:vertAlign w:val="baseline"/>
        </w:rPr>
        <w:t>Figura</w:t>
      </w:r>
      <w:r>
        <w:rPr>
          <w:color w:val="505050"/>
          <w:spacing w:val="-1"/>
          <w:vertAlign w:val="baseline"/>
        </w:rPr>
        <w:t> </w:t>
      </w:r>
      <w:r>
        <w:rPr>
          <w:color w:val="505050"/>
          <w:vertAlign w:val="baseline"/>
        </w:rPr>
        <w:t>51.1</w:t>
      </w:r>
      <w:r>
        <w:rPr>
          <w:vertAlign w:val="baseline"/>
        </w:rPr>
        <w:t>).</w:t>
      </w:r>
    </w:p>
    <w:p>
      <w:pPr>
        <w:pStyle w:val="BodyText"/>
        <w:spacing w:line="276" w:lineRule="auto" w:before="57"/>
        <w:ind w:right="487"/>
      </w:pPr>
      <w:r>
        <w:rPr/>
        <w:t>Marcadores cardíacos, como a troponina e a isoenzima da creatinoquinase (CK-MB, do inglês, </w:t>
      </w:r>
      <w:r>
        <w:rPr>
          <w:i/>
        </w:rPr>
        <w:t>creatine kinase isoenzyme MB</w:t>
      </w:r>
      <w:r>
        <w:rPr/>
        <w:t>), podem se elevar discretamente e refletem o envolvimento miocárdico. Leucocitose e marcadores inflamatórios, como reação em cadeia de polimerase (PCR, do inglês, </w:t>
      </w:r>
      <w:r>
        <w:rPr>
          <w:i/>
        </w:rPr>
        <w:t>polymerase chain reaction</w:t>
      </w:r>
      <w:r>
        <w:rPr/>
        <w:t>), velocidade de hemossedimentação (VHS) e mucoproteínas estão aumentados. Os exames laboratoriais não são imprescindíveis para a confirmação, ou seguimento da maioria dos casos de pericardite aguda não complicada. Nos casos em que não</w:t>
      </w:r>
      <w:r>
        <w:rPr>
          <w:spacing w:val="-2"/>
        </w:rPr>
        <w:t> </w:t>
      </w:r>
      <w:r>
        <w:rPr/>
        <w:t>há</w:t>
      </w:r>
      <w:r>
        <w:rPr>
          <w:spacing w:val="-5"/>
        </w:rPr>
        <w:t> </w:t>
      </w:r>
      <w:r>
        <w:rPr/>
        <w:t>resolução</w:t>
      </w:r>
      <w:r>
        <w:rPr>
          <w:spacing w:val="-2"/>
        </w:rPr>
        <w:t> </w:t>
      </w:r>
      <w:r>
        <w:rPr/>
        <w:t>adequada, ou</w:t>
      </w:r>
      <w:r>
        <w:rPr>
          <w:spacing w:val="-2"/>
        </w:rPr>
        <w:t> </w:t>
      </w:r>
      <w:r>
        <w:rPr/>
        <w:t>naqueles cuja</w:t>
      </w:r>
      <w:r>
        <w:rPr>
          <w:spacing w:val="-5"/>
        </w:rPr>
        <w:t> </w:t>
      </w:r>
      <w:r>
        <w:rPr/>
        <w:t>evolução</w:t>
      </w:r>
      <w:r>
        <w:rPr>
          <w:spacing w:val="-2"/>
        </w:rPr>
        <w:t> </w:t>
      </w:r>
      <w:r>
        <w:rPr/>
        <w:t>se</w:t>
      </w:r>
      <w:r>
        <w:rPr>
          <w:spacing w:val="-5"/>
        </w:rPr>
        <w:t> </w:t>
      </w:r>
      <w:r>
        <w:rPr/>
        <w:t>torna</w:t>
      </w:r>
      <w:r>
        <w:rPr>
          <w:spacing w:val="-5"/>
        </w:rPr>
        <w:t> </w:t>
      </w:r>
      <w:r>
        <w:rPr/>
        <w:t>atípica, os exames podem</w:t>
      </w:r>
      <w:r>
        <w:rPr>
          <w:spacing w:val="-2"/>
        </w:rPr>
        <w:t> </w:t>
      </w:r>
      <w:r>
        <w:rPr/>
        <w:t>ser de</w:t>
      </w:r>
      <w:r>
        <w:rPr>
          <w:spacing w:val="-5"/>
        </w:rPr>
        <w:t> </w:t>
      </w:r>
      <w:r>
        <w:rPr/>
        <w:t>utilidade.</w:t>
      </w:r>
    </w:p>
    <w:p>
      <w:pPr>
        <w:pStyle w:val="BodyText"/>
        <w:spacing w:line="276" w:lineRule="auto" w:before="49"/>
        <w:ind w:right="488"/>
      </w:pPr>
      <w:r>
        <w:rPr/>
        <w:t>O</w:t>
      </w:r>
      <w:r>
        <w:rPr>
          <w:spacing w:val="-1"/>
        </w:rPr>
        <w:t> </w:t>
      </w:r>
      <w:r>
        <w:rPr/>
        <w:t>ecocardiograma</w:t>
      </w:r>
      <w:r>
        <w:rPr>
          <w:spacing w:val="-1"/>
        </w:rPr>
        <w:t> </w:t>
      </w:r>
      <w:r>
        <w:rPr/>
        <w:t>é</w:t>
      </w:r>
      <w:r>
        <w:rPr>
          <w:spacing w:val="-1"/>
        </w:rPr>
        <w:t> </w:t>
      </w:r>
      <w:r>
        <w:rPr/>
        <w:t>igualmente</w:t>
      </w:r>
      <w:r>
        <w:rPr>
          <w:spacing w:val="-1"/>
        </w:rPr>
        <w:t> </w:t>
      </w:r>
      <w:r>
        <w:rPr/>
        <w:t>desnecessário nos casos de</w:t>
      </w:r>
      <w:r>
        <w:rPr>
          <w:spacing w:val="-1"/>
        </w:rPr>
        <w:t> </w:t>
      </w:r>
      <w:r>
        <w:rPr/>
        <w:t>pericardite</w:t>
      </w:r>
      <w:r>
        <w:rPr>
          <w:spacing w:val="-1"/>
        </w:rPr>
        <w:t> </w:t>
      </w:r>
      <w:r>
        <w:rPr/>
        <w:t>aguda</w:t>
      </w:r>
      <w:r>
        <w:rPr>
          <w:spacing w:val="-1"/>
        </w:rPr>
        <w:t> </w:t>
      </w:r>
      <w:r>
        <w:rPr/>
        <w:t>não complicada, mas é</w:t>
      </w:r>
      <w:r>
        <w:rPr>
          <w:spacing w:val="-1"/>
        </w:rPr>
        <w:t> </w:t>
      </w:r>
      <w:r>
        <w:rPr/>
        <w:t>de</w:t>
      </w:r>
      <w:r>
        <w:rPr>
          <w:spacing w:val="-1"/>
        </w:rPr>
        <w:t> </w:t>
      </w:r>
      <w:r>
        <w:rPr/>
        <w:t>grande importância quando o paciente apresenta sinais de tamponamento ou para avaliação de possíveis sequelas, como espessamento ou constrição. Os achados ecocardiográficos da pericardite aguda englobam a detecção do líquido que, na</w:t>
      </w:r>
      <w:r>
        <w:rPr>
          <w:spacing w:val="-1"/>
        </w:rPr>
        <w:t> </w:t>
      </w:r>
      <w:r>
        <w:rPr/>
        <w:t>maioria</w:t>
      </w:r>
      <w:r>
        <w:rPr>
          <w:spacing w:val="-1"/>
        </w:rPr>
        <w:t> </w:t>
      </w:r>
      <w:r>
        <w:rPr/>
        <w:t>das vezes, é</w:t>
      </w:r>
      <w:r>
        <w:rPr>
          <w:spacing w:val="-1"/>
        </w:rPr>
        <w:t> </w:t>
      </w:r>
      <w:r>
        <w:rPr/>
        <w:t>de</w:t>
      </w:r>
      <w:r>
        <w:rPr>
          <w:spacing w:val="-1"/>
        </w:rPr>
        <w:t> </w:t>
      </w:r>
      <w:r>
        <w:rPr/>
        <w:t>pequena</w:t>
      </w:r>
      <w:r>
        <w:rPr>
          <w:spacing w:val="-1"/>
        </w:rPr>
        <w:t> </w:t>
      </w:r>
      <w:r>
        <w:rPr/>
        <w:t>monta, mas pode</w:t>
      </w:r>
      <w:r>
        <w:rPr>
          <w:spacing w:val="-1"/>
        </w:rPr>
        <w:t> </w:t>
      </w:r>
      <w:r>
        <w:rPr/>
        <w:t>ser de</w:t>
      </w:r>
      <w:r>
        <w:rPr>
          <w:spacing w:val="-1"/>
        </w:rPr>
        <w:t> </w:t>
      </w:r>
      <w:r>
        <w:rPr/>
        <w:t>grande</w:t>
      </w:r>
      <w:r>
        <w:rPr>
          <w:spacing w:val="-1"/>
        </w:rPr>
        <w:t> </w:t>
      </w:r>
      <w:r>
        <w:rPr/>
        <w:t>volume</w:t>
      </w:r>
      <w:r>
        <w:rPr>
          <w:spacing w:val="-1"/>
        </w:rPr>
        <w:t> </w:t>
      </w:r>
      <w:r>
        <w:rPr/>
        <w:t>(</w:t>
      </w:r>
      <w:r>
        <w:rPr>
          <w:color w:val="505050"/>
        </w:rPr>
        <w:t>Figuras 51.2 </w:t>
      </w:r>
      <w:r>
        <w:rPr/>
        <w:t>e</w:t>
      </w:r>
      <w:r>
        <w:rPr>
          <w:spacing w:val="-1"/>
        </w:rPr>
        <w:t> </w:t>
      </w:r>
      <w:r>
        <w:rPr>
          <w:color w:val="505050"/>
        </w:rPr>
        <w:t>51.3</w:t>
      </w:r>
      <w:r>
        <w:rPr/>
        <w:t>).</w:t>
      </w:r>
    </w:p>
    <w:p>
      <w:pPr>
        <w:pStyle w:val="BodyText"/>
        <w:spacing w:line="276" w:lineRule="auto" w:before="64"/>
        <w:ind w:right="488"/>
      </w:pPr>
      <w:r>
        <w:rPr/>
        <w:t>A radiografia de tórax costuma ser normal, exceto nos casos de derrame moderado ou importante, em que há aumento da área cardíaca com desaparecimento de recessos entre as estruturas.</w:t>
      </w:r>
    </w:p>
    <w:p>
      <w:pPr>
        <w:pStyle w:val="BodyText"/>
        <w:spacing w:line="278" w:lineRule="auto" w:before="49"/>
        <w:ind w:right="497"/>
      </w:pPr>
      <w:r>
        <w:rPr/>
        <w:t>A pericardiocentese é de pequena importância no diagnóstico da pericardite aguda e é desnecessária nos casos não</w:t>
      </w:r>
      <w:r>
        <w:rPr>
          <w:spacing w:val="-2"/>
        </w:rPr>
        <w:t> </w:t>
      </w:r>
      <w:r>
        <w:rPr/>
        <w:t>complicados, mas é</w:t>
      </w:r>
      <w:r>
        <w:rPr>
          <w:spacing w:val="-4"/>
        </w:rPr>
        <w:t> </w:t>
      </w:r>
      <w:r>
        <w:rPr/>
        <w:t>de</w:t>
      </w:r>
      <w:r>
        <w:rPr>
          <w:spacing w:val="-4"/>
        </w:rPr>
        <w:t> </w:t>
      </w:r>
      <w:r>
        <w:rPr/>
        <w:t>grande</w:t>
      </w:r>
      <w:r>
        <w:rPr>
          <w:spacing w:val="-4"/>
        </w:rPr>
        <w:t> </w:t>
      </w:r>
      <w:r>
        <w:rPr/>
        <w:t>ajuda</w:t>
      </w:r>
      <w:r>
        <w:rPr>
          <w:spacing w:val="-4"/>
        </w:rPr>
        <w:t> </w:t>
      </w:r>
      <w:r>
        <w:rPr/>
        <w:t>no</w:t>
      </w:r>
      <w:r>
        <w:rPr>
          <w:spacing w:val="-2"/>
        </w:rPr>
        <w:t> </w:t>
      </w:r>
      <w:r>
        <w:rPr/>
        <w:t>diagnóstico</w:t>
      </w:r>
      <w:r>
        <w:rPr>
          <w:spacing w:val="-2"/>
        </w:rPr>
        <w:t> </w:t>
      </w:r>
      <w:r>
        <w:rPr/>
        <w:t>nos casos de</w:t>
      </w:r>
      <w:r>
        <w:rPr>
          <w:spacing w:val="-4"/>
        </w:rPr>
        <w:t> </w:t>
      </w:r>
      <w:r>
        <w:rPr/>
        <w:t>tamponamento</w:t>
      </w:r>
      <w:r>
        <w:rPr>
          <w:spacing w:val="-2"/>
        </w:rPr>
        <w:t> </w:t>
      </w:r>
      <w:r>
        <w:rPr/>
        <w:t>ou</w:t>
      </w:r>
      <w:r>
        <w:rPr>
          <w:spacing w:val="-2"/>
        </w:rPr>
        <w:t> </w:t>
      </w:r>
      <w:r>
        <w:rPr/>
        <w:t>quando</w:t>
      </w:r>
      <w:r>
        <w:rPr>
          <w:spacing w:val="-2"/>
        </w:rPr>
        <w:t> </w:t>
      </w:r>
      <w:r>
        <w:rPr/>
        <w:t>existe</w:t>
      </w:r>
      <w:r>
        <w:rPr>
          <w:spacing w:val="-4"/>
        </w:rPr>
        <w:t> </w:t>
      </w:r>
      <w:r>
        <w:rPr/>
        <w:t>a</w:t>
      </w:r>
      <w:r>
        <w:rPr>
          <w:spacing w:val="-4"/>
        </w:rPr>
        <w:t> </w:t>
      </w:r>
      <w:r>
        <w:rPr/>
        <w:t>suspeita</w:t>
      </w:r>
      <w:r>
        <w:rPr>
          <w:spacing w:val="-4"/>
        </w:rPr>
        <w:t> </w:t>
      </w:r>
      <w:r>
        <w:rPr/>
        <w:t>de pericardite</w:t>
      </w:r>
      <w:r>
        <w:rPr>
          <w:spacing w:val="-4"/>
        </w:rPr>
        <w:t> </w:t>
      </w:r>
      <w:r>
        <w:rPr/>
        <w:t>purulenta</w:t>
      </w:r>
      <w:r>
        <w:rPr>
          <w:spacing w:val="-4"/>
        </w:rPr>
        <w:t> </w:t>
      </w:r>
      <w:r>
        <w:rPr/>
        <w:t>ou</w:t>
      </w:r>
      <w:r>
        <w:rPr>
          <w:spacing w:val="-2"/>
        </w:rPr>
        <w:t> </w:t>
      </w:r>
      <w:r>
        <w:rPr/>
        <w:t>neoplasia. Quando</w:t>
      </w:r>
      <w:r>
        <w:rPr>
          <w:spacing w:val="-2"/>
        </w:rPr>
        <w:t> </w:t>
      </w:r>
      <w:r>
        <w:rPr/>
        <w:t>o</w:t>
      </w:r>
      <w:r>
        <w:rPr>
          <w:spacing w:val="-2"/>
        </w:rPr>
        <w:t> </w:t>
      </w:r>
      <w:r>
        <w:rPr/>
        <w:t>derrame</w:t>
      </w:r>
      <w:r>
        <w:rPr>
          <w:spacing w:val="-4"/>
        </w:rPr>
        <w:t> </w:t>
      </w:r>
      <w:r>
        <w:rPr/>
        <w:t>é</w:t>
      </w:r>
      <w:r>
        <w:rPr>
          <w:spacing w:val="-4"/>
        </w:rPr>
        <w:t> </w:t>
      </w:r>
      <w:r>
        <w:rPr/>
        <w:t>pequeno</w:t>
      </w:r>
      <w:r>
        <w:rPr>
          <w:spacing w:val="-2"/>
        </w:rPr>
        <w:t> </w:t>
      </w:r>
      <w:r>
        <w:rPr/>
        <w:t>ou</w:t>
      </w:r>
      <w:r>
        <w:rPr>
          <w:spacing w:val="-2"/>
        </w:rPr>
        <w:t> </w:t>
      </w:r>
      <w:r>
        <w:rPr/>
        <w:t>moderado, é</w:t>
      </w:r>
      <w:r>
        <w:rPr>
          <w:spacing w:val="-4"/>
        </w:rPr>
        <w:t> </w:t>
      </w:r>
      <w:r>
        <w:rPr/>
        <w:t>possível identificar a</w:t>
      </w:r>
      <w:r>
        <w:rPr>
          <w:spacing w:val="-4"/>
        </w:rPr>
        <w:t> </w:t>
      </w:r>
      <w:r>
        <w:rPr/>
        <w:t>etiologia</w:t>
      </w:r>
      <w:r>
        <w:rPr>
          <w:spacing w:val="-4"/>
        </w:rPr>
        <w:t> </w:t>
      </w:r>
      <w:r>
        <w:rPr/>
        <w:t>em 6% por meio do líquido pericárdico e em 5% por meio de fragmentos de pericárdio. Entretanto, quando há tamponamento, por meio</w:t>
      </w:r>
      <w:r>
        <w:rPr>
          <w:spacing w:val="-6"/>
        </w:rPr>
        <w:t> </w:t>
      </w:r>
      <w:r>
        <w:rPr/>
        <w:t>do</w:t>
      </w:r>
      <w:r>
        <w:rPr>
          <w:spacing w:val="-6"/>
        </w:rPr>
        <w:t> </w:t>
      </w:r>
      <w:r>
        <w:rPr/>
        <w:t>líquido</w:t>
      </w:r>
      <w:r>
        <w:rPr>
          <w:spacing w:val="-6"/>
        </w:rPr>
        <w:t> </w:t>
      </w:r>
      <w:r>
        <w:rPr/>
        <w:t>são</w:t>
      </w:r>
      <w:r>
        <w:rPr>
          <w:spacing w:val="-6"/>
        </w:rPr>
        <w:t> </w:t>
      </w:r>
      <w:r>
        <w:rPr/>
        <w:t>identificadas 29%</w:t>
      </w:r>
      <w:r>
        <w:rPr>
          <w:spacing w:val="-4"/>
        </w:rPr>
        <w:t> </w:t>
      </w:r>
      <w:r>
        <w:rPr/>
        <w:t>das etiologias e</w:t>
      </w:r>
      <w:r>
        <w:rPr>
          <w:spacing w:val="-9"/>
        </w:rPr>
        <w:t> </w:t>
      </w:r>
      <w:r>
        <w:rPr/>
        <w:t>por biopsia, 54%.</w:t>
      </w:r>
      <w:r>
        <w:rPr>
          <w:vertAlign w:val="superscript"/>
        </w:rPr>
        <w:t>13</w:t>
      </w:r>
      <w:r>
        <w:rPr>
          <w:vertAlign w:val="baseline"/>
        </w:rPr>
        <w:t> No</w:t>
      </w:r>
      <w:r>
        <w:rPr>
          <w:spacing w:val="-7"/>
          <w:vertAlign w:val="baseline"/>
        </w:rPr>
        <w:t> </w:t>
      </w:r>
      <w:r>
        <w:rPr>
          <w:vertAlign w:val="baseline"/>
        </w:rPr>
        <w:t>fluido</w:t>
      </w:r>
      <w:r>
        <w:rPr>
          <w:spacing w:val="-7"/>
          <w:vertAlign w:val="baseline"/>
        </w:rPr>
        <w:t> </w:t>
      </w:r>
      <w:r>
        <w:rPr>
          <w:vertAlign w:val="baseline"/>
        </w:rPr>
        <w:t>devem</w:t>
      </w:r>
      <w:r>
        <w:rPr>
          <w:spacing w:val="-7"/>
          <w:vertAlign w:val="baseline"/>
        </w:rPr>
        <w:t> </w:t>
      </w:r>
      <w:r>
        <w:rPr>
          <w:vertAlign w:val="baseline"/>
        </w:rPr>
        <w:t>ser analisados glicose, proteínas, desidrogenase</w:t>
      </w:r>
      <w:r>
        <w:rPr>
          <w:spacing w:val="-2"/>
          <w:vertAlign w:val="baseline"/>
        </w:rPr>
        <w:t> </w:t>
      </w:r>
      <w:r>
        <w:rPr>
          <w:vertAlign w:val="baseline"/>
        </w:rPr>
        <w:t>láctica, exame</w:t>
      </w:r>
      <w:r>
        <w:rPr>
          <w:spacing w:val="-2"/>
          <w:vertAlign w:val="baseline"/>
        </w:rPr>
        <w:t> </w:t>
      </w:r>
      <w:r>
        <w:rPr>
          <w:vertAlign w:val="baseline"/>
        </w:rPr>
        <w:t>citológico, bacterioscópico, pesquisa</w:t>
      </w:r>
      <w:r>
        <w:rPr>
          <w:spacing w:val="-2"/>
          <w:vertAlign w:val="baseline"/>
        </w:rPr>
        <w:t> </w:t>
      </w:r>
      <w:r>
        <w:rPr>
          <w:vertAlign w:val="baseline"/>
        </w:rPr>
        <w:t>de</w:t>
      </w:r>
      <w:r>
        <w:rPr>
          <w:spacing w:val="-2"/>
          <w:vertAlign w:val="baseline"/>
        </w:rPr>
        <w:t> </w:t>
      </w:r>
      <w:r>
        <w:rPr>
          <w:vertAlign w:val="baseline"/>
        </w:rPr>
        <w:t>bacilos álcool-acidorresistentes. Dependendo da suspeita etiológica e do aspecto do líquido, o material deve ser enviado para cultura. A dosagem de adenosina deaminase, disponível em vários laboratórios no Brasil, pode indicar a presença do </w:t>
      </w:r>
      <w:r>
        <w:rPr>
          <w:i/>
          <w:vertAlign w:val="baseline"/>
        </w:rPr>
        <w:t>Mycobacterium tuberculosis, </w:t>
      </w:r>
      <w:r>
        <w:rPr>
          <w:vertAlign w:val="baseline"/>
        </w:rPr>
        <w:t>quando a concentração é maior que 30 U/ </w:t>
      </w:r>
      <w:r>
        <w:rPr>
          <w:i/>
          <w:vertAlign w:val="baseline"/>
        </w:rPr>
        <w:t>ℓ </w:t>
      </w:r>
      <w:r>
        <w:rPr>
          <w:vertAlign w:val="baseline"/>
        </w:rPr>
        <w:t>. Outra forma de identificar o </w:t>
      </w:r>
      <w:r>
        <w:rPr>
          <w:i/>
          <w:vertAlign w:val="baseline"/>
        </w:rPr>
        <w:t>Mycobacterium </w:t>
      </w:r>
      <w:r>
        <w:rPr>
          <w:vertAlign w:val="baseline"/>
        </w:rPr>
        <w:t>é por meio de PCR.</w:t>
      </w:r>
      <w:r>
        <w:rPr>
          <w:vertAlign w:val="superscript"/>
        </w:rPr>
        <w:t>14–16</w:t>
      </w:r>
    </w:p>
    <w:p>
      <w:pPr>
        <w:pStyle w:val="BodyText"/>
        <w:spacing w:before="34"/>
        <w:ind w:left="0" w:firstLine="0"/>
        <w:jc w:val="left"/>
        <w:rPr>
          <w:sz w:val="20"/>
        </w:rPr>
      </w:pPr>
      <w:r>
        <w:rPr>
          <w:sz w:val="20"/>
        </w:rPr>
        <w:drawing>
          <wp:anchor distT="0" distB="0" distL="0" distR="0" allowOverlap="1" layoutInCell="1" locked="0" behindDoc="1" simplePos="0" relativeHeight="487594496">
            <wp:simplePos x="0" y="0"/>
            <wp:positionH relativeFrom="page">
              <wp:posOffset>1510169</wp:posOffset>
            </wp:positionH>
            <wp:positionV relativeFrom="paragraph">
              <wp:posOffset>183031</wp:posOffset>
            </wp:positionV>
            <wp:extent cx="4545513" cy="262947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4545513" cy="2629471"/>
                    </a:xfrm>
                    <a:prstGeom prst="rect">
                      <a:avLst/>
                    </a:prstGeom>
                  </pic:spPr>
                </pic:pic>
              </a:graphicData>
            </a:graphic>
          </wp:anchor>
        </w:drawing>
      </w:r>
    </w:p>
    <w:p>
      <w:pPr>
        <w:pStyle w:val="BodyText"/>
        <w:spacing w:before="10"/>
        <w:ind w:left="0" w:firstLine="0"/>
        <w:jc w:val="left"/>
      </w:pPr>
    </w:p>
    <w:p>
      <w:pPr>
        <w:spacing w:line="285" w:lineRule="auto" w:before="0"/>
        <w:ind w:left="68" w:right="508" w:firstLine="0"/>
        <w:jc w:val="both"/>
        <w:rPr>
          <w:rFonts w:ascii="Microsoft Sans Serif" w:hAnsi="Microsoft Sans Serif"/>
          <w:sz w:val="19"/>
        </w:rPr>
      </w:pPr>
      <w:r>
        <w:rPr>
          <w:rFonts w:ascii="Arial" w:hAnsi="Arial"/>
          <w:b/>
          <w:color w:val="242B67"/>
          <w:sz w:val="19"/>
        </w:rPr>
        <w:t>Figura</w:t>
      </w:r>
      <w:r>
        <w:rPr>
          <w:rFonts w:ascii="Arial" w:hAnsi="Arial"/>
          <w:b/>
          <w:color w:val="242B67"/>
          <w:spacing w:val="37"/>
          <w:sz w:val="19"/>
        </w:rPr>
        <w:t> </w:t>
      </w:r>
      <w:r>
        <w:rPr>
          <w:rFonts w:ascii="Arial" w:hAnsi="Arial"/>
          <w:b/>
          <w:color w:val="242B67"/>
          <w:sz w:val="19"/>
        </w:rPr>
        <w:t>51.1</w:t>
      </w:r>
      <w:r>
        <w:rPr>
          <w:rFonts w:ascii="Arial" w:hAnsi="Arial"/>
          <w:b/>
          <w:color w:val="242B67"/>
          <w:spacing w:val="39"/>
          <w:sz w:val="19"/>
        </w:rPr>
        <w:t> </w:t>
      </w:r>
      <w:r>
        <w:rPr>
          <w:rFonts w:ascii="Microsoft Sans Serif" w:hAnsi="Microsoft Sans Serif"/>
          <w:sz w:val="19"/>
        </w:rPr>
        <w:t>Eletrocardiograma</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paciente</w:t>
      </w:r>
      <w:r>
        <w:rPr>
          <w:rFonts w:ascii="Microsoft Sans Serif" w:hAnsi="Microsoft Sans Serif"/>
          <w:spacing w:val="40"/>
          <w:sz w:val="19"/>
        </w:rPr>
        <w:t> </w:t>
      </w:r>
      <w:r>
        <w:rPr>
          <w:rFonts w:ascii="Microsoft Sans Serif" w:hAnsi="Microsoft Sans Serif"/>
          <w:sz w:val="19"/>
        </w:rPr>
        <w:t>com</w:t>
      </w:r>
      <w:r>
        <w:rPr>
          <w:rFonts w:ascii="Microsoft Sans Serif" w:hAnsi="Microsoft Sans Serif"/>
          <w:spacing w:val="35"/>
          <w:sz w:val="19"/>
        </w:rPr>
        <w:t> </w:t>
      </w:r>
      <w:r>
        <w:rPr>
          <w:rFonts w:ascii="Microsoft Sans Serif" w:hAnsi="Microsoft Sans Serif"/>
          <w:sz w:val="19"/>
        </w:rPr>
        <w:t>pericardite</w:t>
      </w:r>
      <w:r>
        <w:rPr>
          <w:rFonts w:ascii="Microsoft Sans Serif" w:hAnsi="Microsoft Sans Serif"/>
          <w:spacing w:val="40"/>
          <w:sz w:val="19"/>
        </w:rPr>
        <w:t> </w:t>
      </w:r>
      <w:r>
        <w:rPr>
          <w:rFonts w:ascii="Microsoft Sans Serif" w:hAnsi="Microsoft Sans Serif"/>
          <w:sz w:val="19"/>
        </w:rPr>
        <w:t>aguda.</w:t>
      </w:r>
      <w:r>
        <w:rPr>
          <w:rFonts w:ascii="Microsoft Sans Serif" w:hAnsi="Microsoft Sans Serif"/>
          <w:spacing w:val="28"/>
          <w:sz w:val="19"/>
        </w:rPr>
        <w:t> </w:t>
      </w:r>
      <w:r>
        <w:rPr>
          <w:rFonts w:ascii="Microsoft Sans Serif" w:hAnsi="Microsoft Sans Serif"/>
          <w:sz w:val="19"/>
        </w:rPr>
        <w:t>As</w:t>
      </w:r>
      <w:r>
        <w:rPr>
          <w:rFonts w:ascii="Microsoft Sans Serif" w:hAnsi="Microsoft Sans Serif"/>
          <w:spacing w:val="35"/>
          <w:sz w:val="19"/>
        </w:rPr>
        <w:t> </w:t>
      </w:r>
      <w:r>
        <w:rPr>
          <w:rFonts w:ascii="Arial" w:hAnsi="Arial"/>
          <w:i/>
          <w:sz w:val="19"/>
        </w:rPr>
        <w:t>setas</w:t>
      </w:r>
      <w:r>
        <w:rPr>
          <w:rFonts w:ascii="Arial" w:hAnsi="Arial"/>
          <w:i/>
          <w:spacing w:val="30"/>
          <w:sz w:val="19"/>
        </w:rPr>
        <w:t> </w:t>
      </w:r>
      <w:r>
        <w:rPr>
          <w:rFonts w:ascii="Microsoft Sans Serif" w:hAnsi="Microsoft Sans Serif"/>
          <w:sz w:val="19"/>
        </w:rPr>
        <w:t>indicam</w:t>
      </w:r>
      <w:r>
        <w:rPr>
          <w:rFonts w:ascii="Microsoft Sans Serif" w:hAnsi="Microsoft Sans Serif"/>
          <w:spacing w:val="32"/>
          <w:sz w:val="19"/>
        </w:rPr>
        <w:t> </w:t>
      </w:r>
      <w:r>
        <w:rPr>
          <w:rFonts w:ascii="Microsoft Sans Serif" w:hAnsi="Microsoft Sans Serif"/>
          <w:sz w:val="19"/>
        </w:rPr>
        <w:t>o</w:t>
      </w:r>
      <w:r>
        <w:rPr>
          <w:rFonts w:ascii="Microsoft Sans Serif" w:hAnsi="Microsoft Sans Serif"/>
          <w:spacing w:val="39"/>
          <w:sz w:val="19"/>
        </w:rPr>
        <w:t> </w:t>
      </w:r>
      <w:r>
        <w:rPr>
          <w:rFonts w:ascii="Microsoft Sans Serif" w:hAnsi="Microsoft Sans Serif"/>
          <w:sz w:val="19"/>
        </w:rPr>
        <w:t>infradesnivelamento</w:t>
      </w:r>
      <w:r>
        <w:rPr>
          <w:rFonts w:ascii="Microsoft Sans Serif" w:hAnsi="Microsoft Sans Serif"/>
          <w:spacing w:val="39"/>
          <w:sz w:val="19"/>
        </w:rPr>
        <w:t> </w:t>
      </w:r>
      <w:r>
        <w:rPr>
          <w:rFonts w:ascii="Microsoft Sans Serif" w:hAnsi="Microsoft Sans Serif"/>
          <w:sz w:val="19"/>
        </w:rPr>
        <w:t>do</w:t>
      </w:r>
      <w:r>
        <w:rPr>
          <w:rFonts w:ascii="Microsoft Sans Serif" w:hAnsi="Microsoft Sans Serif"/>
          <w:spacing w:val="39"/>
          <w:sz w:val="19"/>
        </w:rPr>
        <w:t> </w:t>
      </w:r>
      <w:r>
        <w:rPr>
          <w:rFonts w:ascii="Microsoft Sans Serif" w:hAnsi="Microsoft Sans Serif"/>
          <w:sz w:val="19"/>
        </w:rPr>
        <w:t>intervalo PR e supradesnivelamento do segmento ST. (Cedida pelo Dr. Carlos Alberto Pastore, do Serviço de Eletrocardiografia do Instituto do Coração [InCor].)</w:t>
      </w:r>
    </w:p>
    <w:p>
      <w:pPr>
        <w:spacing w:after="0" w:line="285" w:lineRule="auto"/>
        <w:jc w:val="both"/>
        <w:rPr>
          <w:rFonts w:ascii="Microsoft Sans Serif" w:hAnsi="Microsoft Sans Serif"/>
          <w:sz w:val="19"/>
        </w:rPr>
        <w:sectPr>
          <w:pgSz w:w="11900" w:h="16840"/>
          <w:pgMar w:top="200" w:bottom="280" w:left="566" w:right="141"/>
        </w:sectPr>
      </w:pPr>
    </w:p>
    <w:p>
      <w:pPr>
        <w:spacing w:line="240" w:lineRule="auto"/>
        <w:ind w:left="2757" w:right="0" w:firstLine="0"/>
        <w:rPr>
          <w:rFonts w:ascii="Microsoft Sans Serif"/>
          <w:sz w:val="20"/>
        </w:rPr>
      </w:pPr>
      <w:r>
        <w:rPr>
          <w:rFonts w:ascii="Microsoft Sans Serif"/>
          <w:sz w:val="20"/>
        </w:rPr>
        <w:drawing>
          <wp:inline distT="0" distB="0" distL="0" distR="0">
            <wp:extent cx="3353088" cy="487165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3353088" cy="4871656"/>
                    </a:xfrm>
                    <a:prstGeom prst="rect">
                      <a:avLst/>
                    </a:prstGeom>
                  </pic:spPr>
                </pic:pic>
              </a:graphicData>
            </a:graphic>
          </wp:inline>
        </w:drawing>
      </w:r>
      <w:r>
        <w:rPr>
          <w:rFonts w:ascii="Microsoft Sans Serif"/>
          <w:sz w:val="20"/>
        </w:rPr>
      </w:r>
    </w:p>
    <w:p>
      <w:pPr>
        <w:pStyle w:val="BodyText"/>
        <w:spacing w:before="51"/>
        <w:ind w:left="0" w:firstLine="0"/>
        <w:jc w:val="left"/>
        <w:rPr>
          <w:rFonts w:ascii="Microsoft Sans Serif"/>
          <w:sz w:val="19"/>
        </w:rPr>
      </w:pPr>
    </w:p>
    <w:p>
      <w:pPr>
        <w:spacing w:line="283" w:lineRule="auto" w:before="1"/>
        <w:ind w:left="68" w:right="497" w:firstLine="0"/>
        <w:jc w:val="both"/>
        <w:rPr>
          <w:rFonts w:ascii="Microsoft Sans Serif" w:hAnsi="Microsoft Sans Serif"/>
          <w:sz w:val="19"/>
        </w:rPr>
      </w:pPr>
      <w:r>
        <w:rPr>
          <w:rFonts w:ascii="Arial" w:hAnsi="Arial"/>
          <w:b/>
          <w:color w:val="242B67"/>
          <w:sz w:val="19"/>
        </w:rPr>
        <w:t>Figura 51.2 </w:t>
      </w:r>
      <w:r>
        <w:rPr>
          <w:rFonts w:ascii="Microsoft Sans Serif" w:hAnsi="Microsoft Sans Serif"/>
          <w:sz w:val="19"/>
        </w:rPr>
        <w:t>Ecocardiograma bidimensional, em corte apical de quatro câmaras e transversal no nível da valva aórtica, mostrando derrame pericárdico importante (</w:t>
      </w:r>
      <w:r>
        <w:rPr>
          <w:rFonts w:ascii="Arial" w:hAnsi="Arial"/>
          <w:i/>
          <w:sz w:val="19"/>
        </w:rPr>
        <w:t>setas</w:t>
      </w:r>
      <w:r>
        <w:rPr>
          <w:rFonts w:ascii="Microsoft Sans Serif" w:hAnsi="Microsoft Sans Serif"/>
          <w:sz w:val="19"/>
        </w:rPr>
        <w:t>). AD = átrio direito; AE = átrio esquerdo; Ao = aorta; DP = derrame pericárdico; VD = ventrículo direito; VE = ventrículo esquerdo. (Cedida pelo Dr. João César Nunes Sbano, Serviço de Ecocardiografia do Instituto do Coração [InCor].)</w:t>
      </w:r>
    </w:p>
    <w:p>
      <w:pPr>
        <w:pStyle w:val="BodyText"/>
        <w:spacing w:before="29"/>
        <w:ind w:left="0" w:firstLine="0"/>
        <w:jc w:val="left"/>
        <w:rPr>
          <w:rFonts w:ascii="Microsoft Sans Serif"/>
          <w:sz w:val="20"/>
        </w:rPr>
      </w:pPr>
      <w:r>
        <w:rPr>
          <w:rFonts w:ascii="Microsoft Sans Serif"/>
          <w:sz w:val="20"/>
        </w:rPr>
        <w:drawing>
          <wp:anchor distT="0" distB="0" distL="0" distR="0" allowOverlap="1" layoutInCell="1" locked="0" behindDoc="1" simplePos="0" relativeHeight="487595008">
            <wp:simplePos x="0" y="0"/>
            <wp:positionH relativeFrom="page">
              <wp:posOffset>2049221</wp:posOffset>
            </wp:positionH>
            <wp:positionV relativeFrom="paragraph">
              <wp:posOffset>177545</wp:posOffset>
            </wp:positionV>
            <wp:extent cx="3475392" cy="238486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3475392" cy="2384869"/>
                    </a:xfrm>
                    <a:prstGeom prst="rect">
                      <a:avLst/>
                    </a:prstGeom>
                  </pic:spPr>
                </pic:pic>
              </a:graphicData>
            </a:graphic>
          </wp:anchor>
        </w:drawing>
      </w:r>
    </w:p>
    <w:p>
      <w:pPr>
        <w:pStyle w:val="BodyText"/>
        <w:spacing w:before="75"/>
        <w:ind w:left="0" w:firstLine="0"/>
        <w:jc w:val="left"/>
        <w:rPr>
          <w:rFonts w:ascii="Microsoft Sans Serif"/>
          <w:sz w:val="19"/>
        </w:rPr>
      </w:pPr>
    </w:p>
    <w:p>
      <w:pPr>
        <w:spacing w:line="283" w:lineRule="auto" w:before="1"/>
        <w:ind w:left="68" w:right="509" w:firstLine="0"/>
        <w:jc w:val="both"/>
        <w:rPr>
          <w:rFonts w:ascii="Microsoft Sans Serif" w:hAnsi="Microsoft Sans Serif"/>
          <w:sz w:val="19"/>
        </w:rPr>
      </w:pPr>
      <w:r>
        <w:rPr>
          <w:rFonts w:ascii="Arial" w:hAnsi="Arial"/>
          <w:b/>
          <w:color w:val="242B67"/>
          <w:sz w:val="19"/>
        </w:rPr>
        <w:t>Figura 51.3 </w:t>
      </w:r>
      <w:r>
        <w:rPr>
          <w:rFonts w:ascii="Microsoft Sans Serif" w:hAnsi="Microsoft Sans Serif"/>
          <w:sz w:val="19"/>
        </w:rPr>
        <w:t>Ecocardiograma modo M em corte transversal do ventrículo esquerdo (VE), mostrando derrame pericárdico moderado</w:t>
      </w:r>
      <w:r>
        <w:rPr>
          <w:rFonts w:ascii="Microsoft Sans Serif" w:hAnsi="Microsoft Sans Serif"/>
          <w:spacing w:val="30"/>
          <w:sz w:val="19"/>
        </w:rPr>
        <w:t> </w:t>
      </w:r>
      <w:r>
        <w:rPr>
          <w:rFonts w:ascii="Microsoft Sans Serif" w:hAnsi="Microsoft Sans Serif"/>
          <w:sz w:val="19"/>
        </w:rPr>
        <w:t>em</w:t>
      </w:r>
      <w:r>
        <w:rPr>
          <w:rFonts w:ascii="Microsoft Sans Serif" w:hAnsi="Microsoft Sans Serif"/>
          <w:spacing w:val="24"/>
          <w:sz w:val="19"/>
        </w:rPr>
        <w:t> </w:t>
      </w:r>
      <w:r>
        <w:rPr>
          <w:rFonts w:ascii="Microsoft Sans Serif" w:hAnsi="Microsoft Sans Serif"/>
          <w:sz w:val="19"/>
        </w:rPr>
        <w:t>região</w:t>
      </w:r>
      <w:r>
        <w:rPr>
          <w:rFonts w:ascii="Microsoft Sans Serif" w:hAnsi="Microsoft Sans Serif"/>
          <w:spacing w:val="30"/>
          <w:sz w:val="19"/>
        </w:rPr>
        <w:t> </w:t>
      </w:r>
      <w:r>
        <w:rPr>
          <w:rFonts w:ascii="Microsoft Sans Serif" w:hAnsi="Microsoft Sans Serif"/>
          <w:sz w:val="19"/>
        </w:rPr>
        <w:t>posterior</w:t>
      </w:r>
      <w:r>
        <w:rPr>
          <w:rFonts w:ascii="Microsoft Sans Serif" w:hAnsi="Microsoft Sans Serif"/>
          <w:spacing w:val="24"/>
          <w:sz w:val="19"/>
        </w:rPr>
        <w:t> </w:t>
      </w:r>
      <w:r>
        <w:rPr>
          <w:rFonts w:ascii="Microsoft Sans Serif" w:hAnsi="Microsoft Sans Serif"/>
          <w:sz w:val="19"/>
        </w:rPr>
        <w:t>(</w:t>
      </w:r>
      <w:r>
        <w:rPr>
          <w:rFonts w:ascii="Arial" w:hAnsi="Arial"/>
          <w:i/>
          <w:sz w:val="19"/>
        </w:rPr>
        <w:t>setas</w:t>
      </w:r>
      <w:r>
        <w:rPr>
          <w:rFonts w:ascii="Microsoft Sans Serif" w:hAnsi="Microsoft Sans Serif"/>
          <w:sz w:val="19"/>
        </w:rPr>
        <w:t>).</w:t>
      </w:r>
      <w:r>
        <w:rPr>
          <w:rFonts w:ascii="Microsoft Sans Serif" w:hAnsi="Microsoft Sans Serif"/>
          <w:spacing w:val="20"/>
          <w:sz w:val="19"/>
        </w:rPr>
        <w:t> </w:t>
      </w:r>
      <w:r>
        <w:rPr>
          <w:rFonts w:ascii="Microsoft Sans Serif" w:hAnsi="Microsoft Sans Serif"/>
          <w:sz w:val="19"/>
        </w:rPr>
        <w:t>(Cedida</w:t>
      </w:r>
      <w:r>
        <w:rPr>
          <w:rFonts w:ascii="Microsoft Sans Serif" w:hAnsi="Microsoft Sans Serif"/>
          <w:spacing w:val="34"/>
          <w:sz w:val="19"/>
        </w:rPr>
        <w:t> </w:t>
      </w:r>
      <w:r>
        <w:rPr>
          <w:rFonts w:ascii="Microsoft Sans Serif" w:hAnsi="Microsoft Sans Serif"/>
          <w:sz w:val="19"/>
        </w:rPr>
        <w:t>pelo</w:t>
      </w:r>
      <w:r>
        <w:rPr>
          <w:rFonts w:ascii="Microsoft Sans Serif" w:hAnsi="Microsoft Sans Serif"/>
          <w:spacing w:val="34"/>
          <w:sz w:val="19"/>
        </w:rPr>
        <w:t> </w:t>
      </w:r>
      <w:r>
        <w:rPr>
          <w:rFonts w:ascii="Microsoft Sans Serif" w:hAnsi="Microsoft Sans Serif"/>
          <w:sz w:val="19"/>
        </w:rPr>
        <w:t>Dr.</w:t>
      </w:r>
      <w:r>
        <w:rPr>
          <w:rFonts w:ascii="Microsoft Sans Serif" w:hAnsi="Microsoft Sans Serif"/>
          <w:spacing w:val="20"/>
          <w:sz w:val="19"/>
        </w:rPr>
        <w:t> </w:t>
      </w:r>
      <w:r>
        <w:rPr>
          <w:rFonts w:ascii="Microsoft Sans Serif" w:hAnsi="Microsoft Sans Serif"/>
          <w:sz w:val="19"/>
        </w:rPr>
        <w:t>Marcos</w:t>
      </w:r>
      <w:r>
        <w:rPr>
          <w:rFonts w:ascii="Microsoft Sans Serif" w:hAnsi="Microsoft Sans Serif"/>
          <w:spacing w:val="26"/>
          <w:sz w:val="19"/>
        </w:rPr>
        <w:t> </w:t>
      </w:r>
      <w:r>
        <w:rPr>
          <w:rFonts w:ascii="Microsoft Sans Serif" w:hAnsi="Microsoft Sans Serif"/>
          <w:sz w:val="19"/>
        </w:rPr>
        <w:t>Valério</w:t>
      </w:r>
      <w:r>
        <w:rPr>
          <w:rFonts w:ascii="Microsoft Sans Serif" w:hAnsi="Microsoft Sans Serif"/>
          <w:spacing w:val="34"/>
          <w:sz w:val="19"/>
        </w:rPr>
        <w:t> </w:t>
      </w:r>
      <w:r>
        <w:rPr>
          <w:rFonts w:ascii="Microsoft Sans Serif" w:hAnsi="Microsoft Sans Serif"/>
          <w:sz w:val="19"/>
        </w:rPr>
        <w:t>Resende,</w:t>
      </w:r>
      <w:r>
        <w:rPr>
          <w:rFonts w:ascii="Microsoft Sans Serif" w:hAnsi="Microsoft Sans Serif"/>
          <w:spacing w:val="20"/>
          <w:sz w:val="19"/>
        </w:rPr>
        <w:t> </w:t>
      </w:r>
      <w:r>
        <w:rPr>
          <w:rFonts w:ascii="Microsoft Sans Serif" w:hAnsi="Microsoft Sans Serif"/>
          <w:sz w:val="19"/>
        </w:rPr>
        <w:t>Serviço</w:t>
      </w:r>
      <w:r>
        <w:rPr>
          <w:rFonts w:ascii="Microsoft Sans Serif" w:hAnsi="Microsoft Sans Serif"/>
          <w:spacing w:val="34"/>
          <w:sz w:val="19"/>
        </w:rPr>
        <w:t> </w:t>
      </w:r>
      <w:r>
        <w:rPr>
          <w:rFonts w:ascii="Microsoft Sans Serif" w:hAnsi="Microsoft Sans Serif"/>
          <w:sz w:val="19"/>
        </w:rPr>
        <w:t>de</w:t>
      </w:r>
      <w:r>
        <w:rPr>
          <w:rFonts w:ascii="Microsoft Sans Serif" w:hAnsi="Microsoft Sans Serif"/>
          <w:spacing w:val="34"/>
          <w:sz w:val="19"/>
        </w:rPr>
        <w:t> </w:t>
      </w:r>
      <w:r>
        <w:rPr>
          <w:rFonts w:ascii="Microsoft Sans Serif" w:hAnsi="Microsoft Sans Serif"/>
          <w:sz w:val="19"/>
        </w:rPr>
        <w:t>Ecocardiografia</w:t>
      </w:r>
      <w:r>
        <w:rPr>
          <w:rFonts w:ascii="Microsoft Sans Serif" w:hAnsi="Microsoft Sans Serif"/>
          <w:spacing w:val="34"/>
          <w:sz w:val="19"/>
        </w:rPr>
        <w:t> </w:t>
      </w:r>
      <w:r>
        <w:rPr>
          <w:rFonts w:ascii="Microsoft Sans Serif" w:hAnsi="Microsoft Sans Serif"/>
          <w:sz w:val="19"/>
        </w:rPr>
        <w:t>do</w:t>
      </w:r>
      <w:r>
        <w:rPr>
          <w:rFonts w:ascii="Microsoft Sans Serif" w:hAnsi="Microsoft Sans Serif"/>
          <w:spacing w:val="34"/>
          <w:sz w:val="19"/>
        </w:rPr>
        <w:t> </w:t>
      </w:r>
      <w:r>
        <w:rPr>
          <w:rFonts w:ascii="Microsoft Sans Serif" w:hAnsi="Microsoft Sans Serif"/>
          <w:sz w:val="19"/>
        </w:rPr>
        <w:t>Instituto do Coração [InCor].)</w:t>
      </w:r>
    </w:p>
    <w:p>
      <w:pPr>
        <w:pStyle w:val="BodyText"/>
        <w:spacing w:before="67"/>
        <w:ind w:left="0" w:firstLine="0"/>
        <w:jc w:val="left"/>
        <w:rPr>
          <w:rFonts w:ascii="Microsoft Sans Serif"/>
          <w:sz w:val="19"/>
        </w:rPr>
      </w:pPr>
    </w:p>
    <w:p>
      <w:pPr>
        <w:pStyle w:val="BodyText"/>
        <w:spacing w:before="1"/>
        <w:ind w:left="414" w:firstLine="0"/>
      </w:pPr>
      <w:r>
        <w:rPr>
          <w:spacing w:val="-2"/>
        </w:rPr>
        <w:t>Histologicamente,</w:t>
      </w:r>
      <w:r>
        <w:rPr>
          <w:spacing w:val="4"/>
        </w:rPr>
        <w:t> </w:t>
      </w:r>
      <w:r>
        <w:rPr>
          <w:spacing w:val="-2"/>
        </w:rPr>
        <w:t>a</w:t>
      </w:r>
      <w:r>
        <w:rPr>
          <w:spacing w:val="-4"/>
        </w:rPr>
        <w:t> </w:t>
      </w:r>
      <w:r>
        <w:rPr>
          <w:spacing w:val="-2"/>
        </w:rPr>
        <w:t>pericardite</w:t>
      </w:r>
      <w:r>
        <w:rPr>
          <w:spacing w:val="-5"/>
        </w:rPr>
        <w:t> </w:t>
      </w:r>
      <w:r>
        <w:rPr>
          <w:spacing w:val="-2"/>
        </w:rPr>
        <w:t>se</w:t>
      </w:r>
      <w:r>
        <w:rPr>
          <w:spacing w:val="-4"/>
        </w:rPr>
        <w:t> </w:t>
      </w:r>
      <w:r>
        <w:rPr>
          <w:spacing w:val="-2"/>
        </w:rPr>
        <w:t>caracteriza</w:t>
      </w:r>
      <w:r>
        <w:rPr>
          <w:spacing w:val="-5"/>
        </w:rPr>
        <w:t> </w:t>
      </w:r>
      <w:r>
        <w:rPr>
          <w:spacing w:val="-2"/>
        </w:rPr>
        <w:t>por</w:t>
      </w:r>
      <w:r>
        <w:rPr>
          <w:spacing w:val="4"/>
        </w:rPr>
        <w:t> </w:t>
      </w:r>
      <w:r>
        <w:rPr>
          <w:spacing w:val="-2"/>
        </w:rPr>
        <w:t>hiperemia,</w:t>
      </w:r>
      <w:r>
        <w:rPr>
          <w:spacing w:val="7"/>
        </w:rPr>
        <w:t> </w:t>
      </w:r>
      <w:r>
        <w:rPr>
          <w:spacing w:val="-2"/>
        </w:rPr>
        <w:t>acúmulo de</w:t>
      </w:r>
      <w:r>
        <w:rPr>
          <w:spacing w:val="-4"/>
        </w:rPr>
        <w:t> </w:t>
      </w:r>
      <w:r>
        <w:rPr>
          <w:spacing w:val="-2"/>
        </w:rPr>
        <w:t>leucócitos</w:t>
      </w:r>
      <w:r>
        <w:rPr>
          <w:spacing w:val="6"/>
        </w:rPr>
        <w:t> </w:t>
      </w:r>
      <w:r>
        <w:rPr>
          <w:spacing w:val="-2"/>
        </w:rPr>
        <w:t>e</w:t>
      </w:r>
      <w:r>
        <w:rPr>
          <w:spacing w:val="-4"/>
        </w:rPr>
        <w:t> </w:t>
      </w:r>
      <w:r>
        <w:rPr>
          <w:spacing w:val="-2"/>
        </w:rPr>
        <w:t>deposição de</w:t>
      </w:r>
      <w:r>
        <w:rPr>
          <w:spacing w:val="-4"/>
        </w:rPr>
        <w:t> </w:t>
      </w:r>
      <w:r>
        <w:rPr>
          <w:spacing w:val="-2"/>
        </w:rPr>
        <w:t>fibrina.</w:t>
      </w:r>
    </w:p>
    <w:p>
      <w:pPr>
        <w:pStyle w:val="BodyText"/>
        <w:spacing w:line="276" w:lineRule="auto" w:before="88"/>
        <w:ind w:right="488"/>
      </w:pPr>
      <w:r>
        <w:rPr/>
        <w:t>A etiologia da pericardite tende a ser definida em maior porcentagem, quanto maior for o número de procedimentos, especialmente os invasivos, como pericardiocentese e pericardioscopia para biopsia pericárdica e epicárdica, bem como o uso de métodos de imunologia e de biologia molecular. Essas técnicas não estão disponíveis, universalmente, são caras e necessitam intervenções invasivas. Como a maioria dos casos de pericardite</w:t>
      </w:r>
      <w:r>
        <w:rPr>
          <w:spacing w:val="65"/>
        </w:rPr>
        <w:t> </w:t>
      </w:r>
      <w:r>
        <w:rPr/>
        <w:t>aguda</w:t>
      </w:r>
      <w:r>
        <w:rPr>
          <w:spacing w:val="65"/>
        </w:rPr>
        <w:t> </w:t>
      </w:r>
      <w:r>
        <w:rPr/>
        <w:t>se</w:t>
      </w:r>
      <w:r>
        <w:rPr>
          <w:spacing w:val="65"/>
        </w:rPr>
        <w:t> </w:t>
      </w:r>
      <w:r>
        <w:rPr/>
        <w:t>resolve</w:t>
      </w:r>
      <w:r>
        <w:rPr>
          <w:spacing w:val="65"/>
        </w:rPr>
        <w:t> </w:t>
      </w:r>
      <w:r>
        <w:rPr/>
        <w:t>com</w:t>
      </w:r>
      <w:r>
        <w:rPr>
          <w:spacing w:val="68"/>
        </w:rPr>
        <w:t> </w:t>
      </w:r>
      <w:r>
        <w:rPr/>
        <w:t>o</w:t>
      </w:r>
      <w:r>
        <w:rPr>
          <w:spacing w:val="68"/>
        </w:rPr>
        <w:t> </w:t>
      </w:r>
      <w:r>
        <w:rPr/>
        <w:t>uso</w:t>
      </w:r>
      <w:r>
        <w:rPr>
          <w:spacing w:val="68"/>
        </w:rPr>
        <w:t> </w:t>
      </w:r>
      <w:r>
        <w:rPr/>
        <w:t>de</w:t>
      </w:r>
      <w:r>
        <w:rPr>
          <w:spacing w:val="65"/>
        </w:rPr>
        <w:t> </w:t>
      </w:r>
      <w:r>
        <w:rPr/>
        <w:t>anti-inflamatórios</w:t>
      </w:r>
      <w:r>
        <w:rPr>
          <w:spacing w:val="77"/>
        </w:rPr>
        <w:t> </w:t>
      </w:r>
      <w:r>
        <w:rPr/>
        <w:t>não</w:t>
      </w:r>
      <w:r>
        <w:rPr>
          <w:spacing w:val="68"/>
        </w:rPr>
        <w:t> </w:t>
      </w:r>
      <w:r>
        <w:rPr/>
        <w:t>hormonais</w:t>
      </w:r>
      <w:r>
        <w:rPr>
          <w:spacing w:val="77"/>
        </w:rPr>
        <w:t> </w:t>
      </w:r>
      <w:r>
        <w:rPr/>
        <w:t>(AINHs),</w:t>
      </w:r>
      <w:r>
        <w:rPr>
          <w:spacing w:val="77"/>
        </w:rPr>
        <w:t> </w:t>
      </w:r>
      <w:r>
        <w:rPr/>
        <w:t>deve-se</w:t>
      </w:r>
      <w:r>
        <w:rPr>
          <w:spacing w:val="65"/>
        </w:rPr>
        <w:t> </w:t>
      </w:r>
      <w:r>
        <w:rPr/>
        <w:t>reservar</w:t>
      </w:r>
      <w:r>
        <w:rPr>
          <w:spacing w:val="74"/>
        </w:rPr>
        <w:t> </w:t>
      </w:r>
      <w:r>
        <w:rPr/>
        <w:t>o</w:t>
      </w:r>
    </w:p>
    <w:p>
      <w:pPr>
        <w:pStyle w:val="BodyText"/>
        <w:spacing w:after="0" w:line="276" w:lineRule="auto"/>
        <w:sectPr>
          <w:pgSz w:w="11900" w:h="16840"/>
          <w:pgMar w:top="280" w:bottom="280" w:left="566" w:right="141"/>
        </w:sectPr>
      </w:pPr>
    </w:p>
    <w:p>
      <w:pPr>
        <w:pStyle w:val="BodyText"/>
        <w:spacing w:before="79"/>
        <w:ind w:firstLine="0"/>
        <w:jc w:val="left"/>
      </w:pPr>
      <w:r>
        <w:rPr/>
        <w:t>diagnóstico</w:t>
      </w:r>
      <w:r>
        <w:rPr>
          <w:spacing w:val="-17"/>
        </w:rPr>
        <w:t> </w:t>
      </w:r>
      <w:r>
        <w:rPr/>
        <w:t>etiológico</w:t>
      </w:r>
      <w:r>
        <w:rPr>
          <w:spacing w:val="-14"/>
        </w:rPr>
        <w:t> </w:t>
      </w:r>
      <w:r>
        <w:rPr/>
        <w:t>para</w:t>
      </w:r>
      <w:r>
        <w:rPr>
          <w:spacing w:val="-15"/>
        </w:rPr>
        <w:t> </w:t>
      </w:r>
      <w:r>
        <w:rPr/>
        <w:t>casos</w:t>
      </w:r>
      <w:r>
        <w:rPr>
          <w:spacing w:val="-12"/>
        </w:rPr>
        <w:t> </w:t>
      </w:r>
      <w:r>
        <w:rPr/>
        <w:t>selecionados</w:t>
      </w:r>
      <w:r>
        <w:rPr>
          <w:spacing w:val="-9"/>
        </w:rPr>
        <w:t> </w:t>
      </w:r>
      <w:r>
        <w:rPr/>
        <w:t>ou</w:t>
      </w:r>
      <w:r>
        <w:rPr>
          <w:spacing w:val="-14"/>
        </w:rPr>
        <w:t> </w:t>
      </w:r>
      <w:r>
        <w:rPr/>
        <w:t>àqueles</w:t>
      </w:r>
      <w:r>
        <w:rPr>
          <w:spacing w:val="-8"/>
        </w:rPr>
        <w:t> </w:t>
      </w:r>
      <w:r>
        <w:rPr/>
        <w:t>que</w:t>
      </w:r>
      <w:r>
        <w:rPr>
          <w:spacing w:val="-15"/>
        </w:rPr>
        <w:t> </w:t>
      </w:r>
      <w:r>
        <w:rPr/>
        <w:t>não</w:t>
      </w:r>
      <w:r>
        <w:rPr>
          <w:spacing w:val="-14"/>
        </w:rPr>
        <w:t> </w:t>
      </w:r>
      <w:r>
        <w:rPr/>
        <w:t>respondem</w:t>
      </w:r>
      <w:r>
        <w:rPr>
          <w:spacing w:val="-14"/>
        </w:rPr>
        <w:t> </w:t>
      </w:r>
      <w:r>
        <w:rPr>
          <w:spacing w:val="-2"/>
        </w:rPr>
        <w:t>adequadamente.</w:t>
      </w:r>
      <w:r>
        <w:rPr>
          <w:spacing w:val="-2"/>
          <w:vertAlign w:val="superscript"/>
        </w:rPr>
        <w:t>17</w:t>
      </w:r>
    </w:p>
    <w:p>
      <w:pPr>
        <w:pStyle w:val="BodyText"/>
        <w:spacing w:before="175"/>
        <w:ind w:left="0" w:firstLine="0"/>
        <w:jc w:val="left"/>
      </w:pPr>
    </w:p>
    <w:p>
      <w:pPr>
        <w:pStyle w:val="Heading5"/>
        <w:spacing w:before="1"/>
      </w:pPr>
      <w:r>
        <w:rPr>
          <w:color w:val="A26108"/>
          <w:spacing w:val="-2"/>
        </w:rPr>
        <w:t>Tratamento</w:t>
      </w:r>
    </w:p>
    <w:p>
      <w:pPr>
        <w:pStyle w:val="BodyText"/>
        <w:spacing w:line="278" w:lineRule="auto" w:before="138"/>
        <w:ind w:right="488"/>
      </w:pPr>
      <w:r>
        <w:rPr/>
        <w:t>O tratamento dos casos não complicados é a administração de AINHs, que são eficazes tanto na redução da inflamação, como da dor. O fármaco mais estudado é o ibuprofeno, na dose de 1.600 a 3.200 mg/dia, mas a indometacina (75 a 225 mg/dia) e mesmo o ácido acetilsalicílico (AAS) (2 a 4 g/dia) são igualmente eficazes, bem tolerados e bastante estudados.</w:t>
      </w:r>
      <w:r>
        <w:rPr>
          <w:vertAlign w:val="superscript"/>
        </w:rPr>
        <w:t>18</w:t>
      </w:r>
      <w:r>
        <w:rPr>
          <w:vertAlign w:val="baseline"/>
        </w:rPr>
        <w:t> A demonstração de redução do fluxo coronário epicárdico, provocada pela indometacina, indica que ela deva ser evitada nas pericardites pós-infarto do miocárdio. Os inibidores da ciclo-oxigenase 2 (COX2) ainda não foram estudados nas pericardites.</w:t>
      </w:r>
    </w:p>
    <w:p>
      <w:pPr>
        <w:pStyle w:val="BodyText"/>
        <w:spacing w:line="283" w:lineRule="auto" w:before="49"/>
        <w:ind w:right="488"/>
      </w:pPr>
      <w:r>
        <w:rPr/>
        <w:t>Nos casos que não respondem aos AINHs ou nas pericardites recorrentes, foi demonstrado que a adição de colchicina (1,2 mg/dia em 2 vezes) aos AINHs potencializa o efeito anti-inflamatório.</w:t>
      </w:r>
      <w:r>
        <w:rPr>
          <w:vertAlign w:val="superscript"/>
        </w:rPr>
        <w:t>19,20</w:t>
      </w:r>
      <w:r>
        <w:rPr>
          <w:vertAlign w:val="baseline"/>
        </w:rPr>
        <w:t> Apesar do efeito na maioria</w:t>
      </w:r>
      <w:r>
        <w:rPr>
          <w:spacing w:val="-1"/>
          <w:vertAlign w:val="baseline"/>
        </w:rPr>
        <w:t> </w:t>
      </w:r>
      <w:r>
        <w:rPr>
          <w:vertAlign w:val="baseline"/>
        </w:rPr>
        <w:t>dos casos ser evidente</w:t>
      </w:r>
      <w:r>
        <w:rPr>
          <w:spacing w:val="-1"/>
          <w:vertAlign w:val="baseline"/>
        </w:rPr>
        <w:t> </w:t>
      </w:r>
      <w:r>
        <w:rPr>
          <w:vertAlign w:val="baseline"/>
        </w:rPr>
        <w:t>em 3 a</w:t>
      </w:r>
      <w:r>
        <w:rPr>
          <w:spacing w:val="-1"/>
          <w:vertAlign w:val="baseline"/>
        </w:rPr>
        <w:t> </w:t>
      </w:r>
      <w:r>
        <w:rPr>
          <w:vertAlign w:val="baseline"/>
        </w:rPr>
        <w:t>5 dias, a</w:t>
      </w:r>
      <w:r>
        <w:rPr>
          <w:spacing w:val="-1"/>
          <w:vertAlign w:val="baseline"/>
        </w:rPr>
        <w:t> </w:t>
      </w:r>
      <w:r>
        <w:rPr>
          <w:vertAlign w:val="baseline"/>
        </w:rPr>
        <w:t>duração do tratamento deve</w:t>
      </w:r>
      <w:r>
        <w:rPr>
          <w:spacing w:val="-1"/>
          <w:vertAlign w:val="baseline"/>
        </w:rPr>
        <w:t> </w:t>
      </w:r>
      <w:r>
        <w:rPr>
          <w:vertAlign w:val="baseline"/>
        </w:rPr>
        <w:t>ser de</w:t>
      </w:r>
      <w:r>
        <w:rPr>
          <w:spacing w:val="-1"/>
          <w:vertAlign w:val="baseline"/>
        </w:rPr>
        <w:t> </w:t>
      </w:r>
      <w:r>
        <w:rPr>
          <w:vertAlign w:val="baseline"/>
        </w:rPr>
        <w:t>7 a</w:t>
      </w:r>
      <w:r>
        <w:rPr>
          <w:spacing w:val="-1"/>
          <w:vertAlign w:val="baseline"/>
        </w:rPr>
        <w:t> </w:t>
      </w:r>
      <w:r>
        <w:rPr>
          <w:vertAlign w:val="baseline"/>
        </w:rPr>
        <w:t>14 dias. Autores defendem a continuidade do tratamento em doses menores por mais 1 ou 2 semanas, a fim de reduzir a possibilidade de </w:t>
      </w:r>
      <w:r>
        <w:rPr>
          <w:spacing w:val="-2"/>
          <w:vertAlign w:val="baseline"/>
        </w:rPr>
        <w:t>recorrência.</w:t>
      </w:r>
      <w:r>
        <w:rPr>
          <w:spacing w:val="-2"/>
          <w:vertAlign w:val="superscript"/>
        </w:rPr>
        <w:t>21</w:t>
      </w:r>
    </w:p>
    <w:p>
      <w:pPr>
        <w:pStyle w:val="BodyText"/>
        <w:spacing w:line="283" w:lineRule="auto" w:before="57"/>
        <w:ind w:right="488"/>
      </w:pPr>
      <w:r>
        <w:rPr/>
        <w:t>Embora</w:t>
      </w:r>
      <w:r>
        <w:rPr>
          <w:spacing w:val="-12"/>
        </w:rPr>
        <w:t> </w:t>
      </w:r>
      <w:r>
        <w:rPr/>
        <w:t>largamente</w:t>
      </w:r>
      <w:r>
        <w:rPr>
          <w:spacing w:val="-12"/>
        </w:rPr>
        <w:t> </w:t>
      </w:r>
      <w:r>
        <w:rPr/>
        <w:t>utilizado,</w:t>
      </w:r>
      <w:r>
        <w:rPr>
          <w:spacing w:val="-2"/>
        </w:rPr>
        <w:t> </w:t>
      </w:r>
      <w:r>
        <w:rPr/>
        <w:t>o</w:t>
      </w:r>
      <w:r>
        <w:rPr>
          <w:spacing w:val="-10"/>
        </w:rPr>
        <w:t> </w:t>
      </w:r>
      <w:r>
        <w:rPr/>
        <w:t>tratamento</w:t>
      </w:r>
      <w:r>
        <w:rPr>
          <w:spacing w:val="-10"/>
        </w:rPr>
        <w:t> </w:t>
      </w:r>
      <w:r>
        <w:rPr/>
        <w:t>com</w:t>
      </w:r>
      <w:r>
        <w:rPr>
          <w:spacing w:val="-10"/>
        </w:rPr>
        <w:t> </w:t>
      </w:r>
      <w:r>
        <w:rPr/>
        <w:t>corticoides</w:t>
      </w:r>
      <w:r>
        <w:rPr>
          <w:spacing w:val="-2"/>
        </w:rPr>
        <w:t> </w:t>
      </w:r>
      <w:r>
        <w:rPr/>
        <w:t>é</w:t>
      </w:r>
      <w:r>
        <w:rPr>
          <w:spacing w:val="-12"/>
        </w:rPr>
        <w:t> </w:t>
      </w:r>
      <w:r>
        <w:rPr/>
        <w:t>controverso.</w:t>
      </w:r>
      <w:r>
        <w:rPr>
          <w:spacing w:val="-2"/>
        </w:rPr>
        <w:t> </w:t>
      </w:r>
      <w:r>
        <w:rPr/>
        <w:t>A</w:t>
      </w:r>
      <w:r>
        <w:rPr>
          <w:spacing w:val="-12"/>
        </w:rPr>
        <w:t> </w:t>
      </w:r>
      <w:r>
        <w:rPr/>
        <w:t>administração</w:t>
      </w:r>
      <w:r>
        <w:rPr>
          <w:spacing w:val="-10"/>
        </w:rPr>
        <w:t> </w:t>
      </w:r>
      <w:r>
        <w:rPr/>
        <w:t>de</w:t>
      </w:r>
      <w:r>
        <w:rPr>
          <w:spacing w:val="-12"/>
        </w:rPr>
        <w:t> </w:t>
      </w:r>
      <w:r>
        <w:rPr/>
        <w:t>prednisona</w:t>
      </w:r>
      <w:r>
        <w:rPr>
          <w:spacing w:val="-12"/>
        </w:rPr>
        <w:t> </w:t>
      </w:r>
      <w:r>
        <w:rPr/>
        <w:t>esteve relacionada com maior chance de recorrência e estudos em animais demonstraram que, nas pericardites de causa viral, a</w:t>
      </w:r>
      <w:r>
        <w:rPr>
          <w:spacing w:val="-6"/>
        </w:rPr>
        <w:t> </w:t>
      </w:r>
      <w:r>
        <w:rPr/>
        <w:t>chance</w:t>
      </w:r>
      <w:r>
        <w:rPr>
          <w:spacing w:val="-6"/>
        </w:rPr>
        <w:t> </w:t>
      </w:r>
      <w:r>
        <w:rPr/>
        <w:t>de</w:t>
      </w:r>
      <w:r>
        <w:rPr>
          <w:spacing w:val="-6"/>
        </w:rPr>
        <w:t> </w:t>
      </w:r>
      <w:r>
        <w:rPr/>
        <w:t>exacerbação</w:t>
      </w:r>
      <w:r>
        <w:rPr>
          <w:spacing w:val="-4"/>
        </w:rPr>
        <w:t> </w:t>
      </w:r>
      <w:r>
        <w:rPr/>
        <w:t>é</w:t>
      </w:r>
      <w:r>
        <w:rPr>
          <w:spacing w:val="-6"/>
        </w:rPr>
        <w:t> </w:t>
      </w:r>
      <w:r>
        <w:rPr/>
        <w:t>maior. O</w:t>
      </w:r>
      <w:r>
        <w:rPr>
          <w:spacing w:val="-6"/>
        </w:rPr>
        <w:t> </w:t>
      </w:r>
      <w:r>
        <w:rPr/>
        <w:t>uso</w:t>
      </w:r>
      <w:r>
        <w:rPr>
          <w:spacing w:val="-4"/>
        </w:rPr>
        <w:t> </w:t>
      </w:r>
      <w:r>
        <w:rPr/>
        <w:t>de</w:t>
      </w:r>
      <w:r>
        <w:rPr>
          <w:spacing w:val="-6"/>
        </w:rPr>
        <w:t> </w:t>
      </w:r>
      <w:r>
        <w:rPr/>
        <w:t>corticoide</w:t>
      </w:r>
      <w:r>
        <w:rPr>
          <w:spacing w:val="-6"/>
        </w:rPr>
        <w:t> </w:t>
      </w:r>
      <w:r>
        <w:rPr/>
        <w:t>deve, portanto, ser reservado</w:t>
      </w:r>
      <w:r>
        <w:rPr>
          <w:spacing w:val="-4"/>
        </w:rPr>
        <w:t> </w:t>
      </w:r>
      <w:r>
        <w:rPr/>
        <w:t>aos casos em</w:t>
      </w:r>
      <w:r>
        <w:rPr>
          <w:spacing w:val="-4"/>
        </w:rPr>
        <w:t> </w:t>
      </w:r>
      <w:r>
        <w:rPr/>
        <w:t>que</w:t>
      </w:r>
      <w:r>
        <w:rPr>
          <w:spacing w:val="-6"/>
        </w:rPr>
        <w:t> </w:t>
      </w:r>
      <w:r>
        <w:rPr/>
        <w:t>o</w:t>
      </w:r>
      <w:r>
        <w:rPr>
          <w:spacing w:val="-4"/>
        </w:rPr>
        <w:t> </w:t>
      </w:r>
      <w:r>
        <w:rPr/>
        <w:t>AINH ou</w:t>
      </w:r>
      <w:r>
        <w:rPr>
          <w:spacing w:val="-3"/>
        </w:rPr>
        <w:t> </w:t>
      </w:r>
      <w:r>
        <w:rPr/>
        <w:t>a</w:t>
      </w:r>
      <w:r>
        <w:rPr>
          <w:spacing w:val="-5"/>
        </w:rPr>
        <w:t> </w:t>
      </w:r>
      <w:r>
        <w:rPr/>
        <w:t>associação</w:t>
      </w:r>
      <w:r>
        <w:rPr>
          <w:spacing w:val="-3"/>
        </w:rPr>
        <w:t> </w:t>
      </w:r>
      <w:r>
        <w:rPr/>
        <w:t>entre</w:t>
      </w:r>
      <w:r>
        <w:rPr>
          <w:spacing w:val="-5"/>
        </w:rPr>
        <w:t> </w:t>
      </w:r>
      <w:r>
        <w:rPr/>
        <w:t>AINH</w:t>
      </w:r>
      <w:r>
        <w:rPr>
          <w:spacing w:val="-5"/>
        </w:rPr>
        <w:t> </w:t>
      </w:r>
      <w:r>
        <w:rPr/>
        <w:t>e</w:t>
      </w:r>
      <w:r>
        <w:rPr>
          <w:spacing w:val="-5"/>
        </w:rPr>
        <w:t> </w:t>
      </w:r>
      <w:r>
        <w:rPr/>
        <w:t>colchicina</w:t>
      </w:r>
      <w:r>
        <w:rPr>
          <w:spacing w:val="-5"/>
        </w:rPr>
        <w:t> </w:t>
      </w:r>
      <w:r>
        <w:rPr/>
        <w:t>não</w:t>
      </w:r>
      <w:r>
        <w:rPr>
          <w:spacing w:val="-3"/>
        </w:rPr>
        <w:t> </w:t>
      </w:r>
      <w:r>
        <w:rPr/>
        <w:t>foram</w:t>
      </w:r>
      <w:r>
        <w:rPr>
          <w:spacing w:val="-3"/>
        </w:rPr>
        <w:t> </w:t>
      </w:r>
      <w:r>
        <w:rPr/>
        <w:t>eficazes.</w:t>
      </w:r>
      <w:r>
        <w:rPr>
          <w:vertAlign w:val="superscript"/>
        </w:rPr>
        <w:t>22,23</w:t>
      </w:r>
      <w:r>
        <w:rPr>
          <w:vertAlign w:val="baseline"/>
        </w:rPr>
        <w:t> A</w:t>
      </w:r>
      <w:r>
        <w:rPr>
          <w:spacing w:val="-5"/>
          <w:vertAlign w:val="baseline"/>
        </w:rPr>
        <w:t> </w:t>
      </w:r>
      <w:r>
        <w:rPr>
          <w:vertAlign w:val="baseline"/>
        </w:rPr>
        <w:t>indicação</w:t>
      </w:r>
      <w:r>
        <w:rPr>
          <w:spacing w:val="-3"/>
          <w:vertAlign w:val="baseline"/>
        </w:rPr>
        <w:t> </w:t>
      </w:r>
      <w:r>
        <w:rPr>
          <w:vertAlign w:val="baseline"/>
        </w:rPr>
        <w:t>mais precisa</w:t>
      </w:r>
      <w:r>
        <w:rPr>
          <w:spacing w:val="-5"/>
          <w:vertAlign w:val="baseline"/>
        </w:rPr>
        <w:t> </w:t>
      </w:r>
      <w:r>
        <w:rPr>
          <w:vertAlign w:val="baseline"/>
        </w:rPr>
        <w:t>de</w:t>
      </w:r>
      <w:r>
        <w:rPr>
          <w:spacing w:val="-5"/>
          <w:vertAlign w:val="baseline"/>
        </w:rPr>
        <w:t> </w:t>
      </w:r>
      <w:r>
        <w:rPr>
          <w:vertAlign w:val="baseline"/>
        </w:rPr>
        <w:t>corticoide</w:t>
      </w:r>
      <w:r>
        <w:rPr>
          <w:spacing w:val="-5"/>
          <w:vertAlign w:val="baseline"/>
        </w:rPr>
        <w:t> </w:t>
      </w:r>
      <w:r>
        <w:rPr>
          <w:vertAlign w:val="baseline"/>
        </w:rPr>
        <w:t>é</w:t>
      </w:r>
      <w:r>
        <w:rPr>
          <w:spacing w:val="-5"/>
          <w:vertAlign w:val="baseline"/>
        </w:rPr>
        <w:t> </w:t>
      </w:r>
      <w:r>
        <w:rPr>
          <w:vertAlign w:val="baseline"/>
        </w:rPr>
        <w:t>nos casos de</w:t>
      </w:r>
      <w:r>
        <w:rPr>
          <w:spacing w:val="-7"/>
          <w:vertAlign w:val="baseline"/>
        </w:rPr>
        <w:t> </w:t>
      </w:r>
      <w:r>
        <w:rPr>
          <w:vertAlign w:val="baseline"/>
        </w:rPr>
        <w:t>pericardite</w:t>
      </w:r>
      <w:r>
        <w:rPr>
          <w:spacing w:val="-7"/>
          <w:vertAlign w:val="baseline"/>
        </w:rPr>
        <w:t> </w:t>
      </w:r>
      <w:r>
        <w:rPr>
          <w:vertAlign w:val="baseline"/>
        </w:rPr>
        <w:t>tuberculosa, em</w:t>
      </w:r>
      <w:r>
        <w:rPr>
          <w:spacing w:val="-5"/>
          <w:vertAlign w:val="baseline"/>
        </w:rPr>
        <w:t> </w:t>
      </w:r>
      <w:r>
        <w:rPr>
          <w:vertAlign w:val="baseline"/>
        </w:rPr>
        <w:t>que</w:t>
      </w:r>
      <w:r>
        <w:rPr>
          <w:spacing w:val="-7"/>
          <w:vertAlign w:val="baseline"/>
        </w:rPr>
        <w:t> </w:t>
      </w:r>
      <w:r>
        <w:rPr>
          <w:vertAlign w:val="baseline"/>
        </w:rPr>
        <w:t>o</w:t>
      </w:r>
      <w:r>
        <w:rPr>
          <w:spacing w:val="-5"/>
          <w:vertAlign w:val="baseline"/>
        </w:rPr>
        <w:t> </w:t>
      </w:r>
      <w:r>
        <w:rPr>
          <w:vertAlign w:val="baseline"/>
        </w:rPr>
        <w:t>seu</w:t>
      </w:r>
      <w:r>
        <w:rPr>
          <w:spacing w:val="-5"/>
          <w:vertAlign w:val="baseline"/>
        </w:rPr>
        <w:t> </w:t>
      </w:r>
      <w:r>
        <w:rPr>
          <w:vertAlign w:val="baseline"/>
        </w:rPr>
        <w:t>uso</w:t>
      </w:r>
      <w:r>
        <w:rPr>
          <w:spacing w:val="-5"/>
          <w:vertAlign w:val="baseline"/>
        </w:rPr>
        <w:t> </w:t>
      </w:r>
      <w:r>
        <w:rPr>
          <w:vertAlign w:val="baseline"/>
        </w:rPr>
        <w:t>demonstrou</w:t>
      </w:r>
      <w:r>
        <w:rPr>
          <w:spacing w:val="-5"/>
          <w:vertAlign w:val="baseline"/>
        </w:rPr>
        <w:t> </w:t>
      </w:r>
      <w:r>
        <w:rPr>
          <w:vertAlign w:val="baseline"/>
        </w:rPr>
        <w:t>reduzir a</w:t>
      </w:r>
      <w:r>
        <w:rPr>
          <w:spacing w:val="-7"/>
          <w:vertAlign w:val="baseline"/>
        </w:rPr>
        <w:t> </w:t>
      </w:r>
      <w:r>
        <w:rPr>
          <w:vertAlign w:val="baseline"/>
        </w:rPr>
        <w:t>chance</w:t>
      </w:r>
      <w:r>
        <w:rPr>
          <w:spacing w:val="-7"/>
          <w:vertAlign w:val="baseline"/>
        </w:rPr>
        <w:t> </w:t>
      </w:r>
      <w:r>
        <w:rPr>
          <w:vertAlign w:val="baseline"/>
        </w:rPr>
        <w:t>de</w:t>
      </w:r>
      <w:r>
        <w:rPr>
          <w:spacing w:val="-7"/>
          <w:vertAlign w:val="baseline"/>
        </w:rPr>
        <w:t> </w:t>
      </w:r>
      <w:r>
        <w:rPr>
          <w:vertAlign w:val="baseline"/>
        </w:rPr>
        <w:t>evolução</w:t>
      </w:r>
      <w:r>
        <w:rPr>
          <w:spacing w:val="-5"/>
          <w:vertAlign w:val="baseline"/>
        </w:rPr>
        <w:t> </w:t>
      </w:r>
      <w:r>
        <w:rPr>
          <w:vertAlign w:val="baseline"/>
        </w:rPr>
        <w:t>para</w:t>
      </w:r>
      <w:r>
        <w:rPr>
          <w:spacing w:val="-7"/>
          <w:vertAlign w:val="baseline"/>
        </w:rPr>
        <w:t> </w:t>
      </w:r>
      <w:r>
        <w:rPr>
          <w:vertAlign w:val="baseline"/>
        </w:rPr>
        <w:t>pericardite</w:t>
      </w:r>
      <w:r>
        <w:rPr>
          <w:spacing w:val="-7"/>
          <w:vertAlign w:val="baseline"/>
        </w:rPr>
        <w:t> </w:t>
      </w:r>
      <w:r>
        <w:rPr>
          <w:vertAlign w:val="baseline"/>
        </w:rPr>
        <w:t>constritiva.</w:t>
      </w:r>
      <w:r>
        <w:rPr>
          <w:vertAlign w:val="superscript"/>
        </w:rPr>
        <w:t>24</w:t>
      </w:r>
    </w:p>
    <w:p>
      <w:pPr>
        <w:pStyle w:val="BodyText"/>
        <w:spacing w:line="280" w:lineRule="auto" w:before="41"/>
        <w:ind w:right="491"/>
      </w:pPr>
      <w:r>
        <w:rPr/>
        <w:t>A drenagem pericárdica está indicada nos casos de tamponamento, pericardite purulenta, derrame pericárdico recorrente</w:t>
      </w:r>
      <w:r>
        <w:rPr>
          <w:spacing w:val="-4"/>
        </w:rPr>
        <w:t> </w:t>
      </w:r>
      <w:r>
        <w:rPr/>
        <w:t>e</w:t>
      </w:r>
      <w:r>
        <w:rPr>
          <w:spacing w:val="-4"/>
        </w:rPr>
        <w:t> </w:t>
      </w:r>
      <w:r>
        <w:rPr/>
        <w:t>comprometimento</w:t>
      </w:r>
      <w:r>
        <w:rPr>
          <w:spacing w:val="-1"/>
        </w:rPr>
        <w:t> </w:t>
      </w:r>
      <w:r>
        <w:rPr/>
        <w:t>hemodinâmico</w:t>
      </w:r>
      <w:r>
        <w:rPr>
          <w:spacing w:val="-1"/>
        </w:rPr>
        <w:t> </w:t>
      </w:r>
      <w:r>
        <w:rPr/>
        <w:t>em</w:t>
      </w:r>
      <w:r>
        <w:rPr>
          <w:spacing w:val="-1"/>
        </w:rPr>
        <w:t> </w:t>
      </w:r>
      <w:r>
        <w:rPr/>
        <w:t>que</w:t>
      </w:r>
      <w:r>
        <w:rPr>
          <w:spacing w:val="-4"/>
        </w:rPr>
        <w:t> </w:t>
      </w:r>
      <w:r>
        <w:rPr/>
        <w:t>se</w:t>
      </w:r>
      <w:r>
        <w:rPr>
          <w:spacing w:val="-4"/>
        </w:rPr>
        <w:t> </w:t>
      </w:r>
      <w:r>
        <w:rPr/>
        <w:t>suspeita, ou</w:t>
      </w:r>
      <w:r>
        <w:rPr>
          <w:spacing w:val="-1"/>
        </w:rPr>
        <w:t> </w:t>
      </w:r>
      <w:r>
        <w:rPr/>
        <w:t>há</w:t>
      </w:r>
      <w:r>
        <w:rPr>
          <w:spacing w:val="-4"/>
        </w:rPr>
        <w:t> </w:t>
      </w:r>
      <w:r>
        <w:rPr/>
        <w:t>o</w:t>
      </w:r>
      <w:r>
        <w:rPr>
          <w:spacing w:val="-1"/>
        </w:rPr>
        <w:t> </w:t>
      </w:r>
      <w:r>
        <w:rPr/>
        <w:t>diagnóstico, de</w:t>
      </w:r>
      <w:r>
        <w:rPr>
          <w:spacing w:val="-4"/>
        </w:rPr>
        <w:t> </w:t>
      </w:r>
      <w:r>
        <w:rPr/>
        <w:t>tuberculose</w:t>
      </w:r>
      <w:r>
        <w:rPr>
          <w:spacing w:val="-4"/>
        </w:rPr>
        <w:t> </w:t>
      </w:r>
      <w:r>
        <w:rPr/>
        <w:t>ou</w:t>
      </w:r>
      <w:r>
        <w:rPr>
          <w:spacing w:val="-1"/>
        </w:rPr>
        <w:t> </w:t>
      </w:r>
      <w:r>
        <w:rPr/>
        <w:t>neoplasia e</w:t>
      </w:r>
      <w:r>
        <w:rPr>
          <w:spacing w:val="-8"/>
        </w:rPr>
        <w:t> </w:t>
      </w:r>
      <w:r>
        <w:rPr/>
        <w:t>a</w:t>
      </w:r>
      <w:r>
        <w:rPr>
          <w:spacing w:val="-8"/>
        </w:rPr>
        <w:t> </w:t>
      </w:r>
      <w:r>
        <w:rPr/>
        <w:t>pericardiocentese</w:t>
      </w:r>
      <w:r>
        <w:rPr>
          <w:spacing w:val="-8"/>
        </w:rPr>
        <w:t> </w:t>
      </w:r>
      <w:r>
        <w:rPr/>
        <w:t>pode</w:t>
      </w:r>
      <w:r>
        <w:rPr>
          <w:spacing w:val="-8"/>
        </w:rPr>
        <w:t> </w:t>
      </w:r>
      <w:r>
        <w:rPr/>
        <w:t>ser realizada</w:t>
      </w:r>
      <w:r>
        <w:rPr>
          <w:spacing w:val="-8"/>
        </w:rPr>
        <w:t> </w:t>
      </w:r>
      <w:r>
        <w:rPr/>
        <w:t>pelas vias apical, paraesternal</w:t>
      </w:r>
      <w:r>
        <w:rPr>
          <w:spacing w:val="-3"/>
        </w:rPr>
        <w:t> </w:t>
      </w:r>
      <w:r>
        <w:rPr/>
        <w:t>ou</w:t>
      </w:r>
      <w:r>
        <w:rPr>
          <w:spacing w:val="-5"/>
        </w:rPr>
        <w:t> </w:t>
      </w:r>
      <w:r>
        <w:rPr/>
        <w:t>subcostal, sempre</w:t>
      </w:r>
      <w:r>
        <w:rPr>
          <w:spacing w:val="-8"/>
        </w:rPr>
        <w:t> </w:t>
      </w:r>
      <w:r>
        <w:rPr/>
        <w:t>que</w:t>
      </w:r>
      <w:r>
        <w:rPr>
          <w:spacing w:val="-8"/>
        </w:rPr>
        <w:t> </w:t>
      </w:r>
      <w:r>
        <w:rPr/>
        <w:t>possível</w:t>
      </w:r>
      <w:r>
        <w:rPr>
          <w:spacing w:val="-3"/>
        </w:rPr>
        <w:t> </w:t>
      </w:r>
      <w:r>
        <w:rPr/>
        <w:t>guiada</w:t>
      </w:r>
      <w:r>
        <w:rPr>
          <w:spacing w:val="-8"/>
        </w:rPr>
        <w:t> </w:t>
      </w:r>
      <w:r>
        <w:rPr/>
        <w:t>por ecocardiograma. As complicações são raras e podem ser: laceração coronária, punção do ventrículo direito e </w:t>
      </w:r>
      <w:r>
        <w:rPr>
          <w:spacing w:val="-2"/>
        </w:rPr>
        <w:t>pneumotórax.</w:t>
      </w:r>
      <w:r>
        <w:rPr>
          <w:spacing w:val="-2"/>
          <w:vertAlign w:val="superscript"/>
        </w:rPr>
        <w:t>25,26</w:t>
      </w:r>
    </w:p>
    <w:p>
      <w:pPr>
        <w:pStyle w:val="BodyText"/>
        <w:spacing w:before="124"/>
        <w:ind w:left="0" w:firstLine="0"/>
        <w:jc w:val="left"/>
      </w:pPr>
    </w:p>
    <w:p>
      <w:pPr>
        <w:pStyle w:val="Heading5"/>
      </w:pPr>
      <w:r>
        <w:rPr>
          <w:color w:val="A26108"/>
          <w:spacing w:val="-2"/>
        </w:rPr>
        <w:t>Evolução</w:t>
      </w:r>
    </w:p>
    <w:p>
      <w:pPr>
        <w:pStyle w:val="BodyText"/>
        <w:spacing w:line="280" w:lineRule="auto" w:before="138"/>
        <w:ind w:right="491"/>
      </w:pPr>
      <w:r>
        <w:rPr/>
        <w:t>Na maioria dos pacientes, a evolução da pericardite é benigna e de curta duração, resolvendo-se em 1 ou 2 semanas. Mesmo o tratamento com AAS resolve cerca de 90% dos casos considerados não complicados na apresentação inicial, apenas em um pequeno número de pacientes houve persistência do derrame por algumas semanas. Além disso, apenas 13% dessa série de casos necessitaram de internação por falha de tratamento.</w:t>
      </w:r>
      <w:r>
        <w:rPr>
          <w:vertAlign w:val="superscript"/>
        </w:rPr>
        <w:t>8</w:t>
      </w:r>
    </w:p>
    <w:p>
      <w:pPr>
        <w:pStyle w:val="BodyText"/>
        <w:spacing w:line="276" w:lineRule="auto" w:before="59"/>
        <w:ind w:right="501"/>
      </w:pPr>
      <w:r>
        <w:rPr/>
        <w:t>A recorrência pode acontecer em até 30% dos casos, mas o seguimento é desnecessário, a não ser que os sintomas persistam ou voltem.</w:t>
      </w:r>
    </w:p>
    <w:p>
      <w:pPr>
        <w:pStyle w:val="BodyText"/>
        <w:spacing w:before="186"/>
        <w:ind w:left="0" w:firstLine="0"/>
        <w:jc w:val="left"/>
      </w:pPr>
    </w:p>
    <w:p>
      <w:pPr>
        <w:pStyle w:val="Heading4"/>
      </w:pPr>
      <w:r>
        <w:rPr>
          <w:color w:val="242B67"/>
        </w:rPr>
        <w:t>Pericardite </w:t>
      </w:r>
      <w:r>
        <w:rPr>
          <w:color w:val="242B67"/>
          <w:spacing w:val="-2"/>
        </w:rPr>
        <w:t>recorrente</w:t>
      </w:r>
    </w:p>
    <w:p>
      <w:pPr>
        <w:pStyle w:val="BodyText"/>
        <w:spacing w:line="283" w:lineRule="auto" w:before="132"/>
        <w:ind w:right="491"/>
      </w:pPr>
      <w:r>
        <w:rPr/>
        <w:t>Por pericardite recorrente, entende-se um ou mais episódios de inflamação do pericárdio após o desaparecimento ou inatividade do agente etiológico. Acontece entre 15 e 32% dos casos, meses ou anos após o episódio inicial.</w:t>
      </w:r>
      <w:r>
        <w:rPr>
          <w:vertAlign w:val="superscript"/>
        </w:rPr>
        <w:t>5,27–29</w:t>
      </w:r>
    </w:p>
    <w:p>
      <w:pPr>
        <w:pStyle w:val="BodyText"/>
        <w:spacing w:line="276" w:lineRule="auto" w:before="57"/>
        <w:ind w:right="498"/>
      </w:pPr>
      <w:r>
        <w:rPr/>
        <w:t>A pericardite recorrente é considerada um fenômeno autoimune e é mais comum em mulheres, em pacientes tratados previamente com corticoides e naqueles que já apresentaram um episódio de recorrência. A pericardite recorrente</w:t>
      </w:r>
      <w:r>
        <w:rPr>
          <w:spacing w:val="-9"/>
        </w:rPr>
        <w:t> </w:t>
      </w:r>
      <w:r>
        <w:rPr/>
        <w:t>está</w:t>
      </w:r>
      <w:r>
        <w:rPr>
          <w:spacing w:val="-9"/>
        </w:rPr>
        <w:t> </w:t>
      </w:r>
      <w:r>
        <w:rPr/>
        <w:t>mais frequentemente</w:t>
      </w:r>
      <w:r>
        <w:rPr>
          <w:spacing w:val="-9"/>
        </w:rPr>
        <w:t> </w:t>
      </w:r>
      <w:r>
        <w:rPr/>
        <w:t>associada</w:t>
      </w:r>
      <w:r>
        <w:rPr>
          <w:spacing w:val="-9"/>
        </w:rPr>
        <w:t> </w:t>
      </w:r>
      <w:r>
        <w:rPr/>
        <w:t>aos acometimentos do</w:t>
      </w:r>
      <w:r>
        <w:rPr>
          <w:spacing w:val="-6"/>
        </w:rPr>
        <w:t> </w:t>
      </w:r>
      <w:r>
        <w:rPr/>
        <w:t>pericárdio</w:t>
      </w:r>
      <w:r>
        <w:rPr>
          <w:spacing w:val="-6"/>
        </w:rPr>
        <w:t> </w:t>
      </w:r>
      <w:r>
        <w:rPr/>
        <w:t>secundário</w:t>
      </w:r>
      <w:r>
        <w:rPr>
          <w:spacing w:val="-6"/>
        </w:rPr>
        <w:t> </w:t>
      </w:r>
      <w:r>
        <w:rPr/>
        <w:t>às doenças autoimunes, como a artrite reumatoide, lúpus, esclerodermia e púrpura, mas acontece também quando a causa é idiopática, na síndrome pós-pericardiotomia, na síndrome de Dressler e também na reinfecção viral e costuma se resolver com nova</w:t>
      </w:r>
      <w:r>
        <w:rPr>
          <w:spacing w:val="-1"/>
        </w:rPr>
        <w:t> </w:t>
      </w:r>
      <w:r>
        <w:rPr/>
        <w:t>administração de</w:t>
      </w:r>
      <w:r>
        <w:rPr>
          <w:spacing w:val="-1"/>
        </w:rPr>
        <w:t> </w:t>
      </w:r>
      <w:r>
        <w:rPr/>
        <w:t>AINH, associação de</w:t>
      </w:r>
      <w:r>
        <w:rPr>
          <w:spacing w:val="-1"/>
        </w:rPr>
        <w:t> </w:t>
      </w:r>
      <w:r>
        <w:rPr/>
        <w:t>AINH</w:t>
      </w:r>
      <w:r>
        <w:rPr>
          <w:spacing w:val="-1"/>
        </w:rPr>
        <w:t> </w:t>
      </w:r>
      <w:r>
        <w:rPr/>
        <w:t>com colchicina</w:t>
      </w:r>
      <w:r>
        <w:rPr>
          <w:spacing w:val="-1"/>
        </w:rPr>
        <w:t> </w:t>
      </w:r>
      <w:r>
        <w:rPr/>
        <w:t>ou corticoide.</w:t>
      </w:r>
    </w:p>
    <w:p>
      <w:pPr>
        <w:pStyle w:val="BodyText"/>
        <w:spacing w:line="290" w:lineRule="auto" w:before="49"/>
        <w:ind w:right="488"/>
      </w:pPr>
      <w:r>
        <w:rPr/>
        <w:t>Pericardiectomia pode ser considerada, mas raramente consegue suprimir novos episódios, possivelmente pela permanência de antígenos no epicárdio.</w:t>
      </w:r>
      <w:r>
        <w:rPr>
          <w:vertAlign w:val="superscript"/>
        </w:rPr>
        <w:t>30</w:t>
      </w:r>
    </w:p>
    <w:p>
      <w:pPr>
        <w:pStyle w:val="BodyText"/>
        <w:spacing w:before="169"/>
        <w:ind w:left="0" w:firstLine="0"/>
        <w:jc w:val="left"/>
      </w:pPr>
    </w:p>
    <w:p>
      <w:pPr>
        <w:pStyle w:val="Heading4"/>
      </w:pPr>
      <w:r>
        <w:rPr>
          <w:color w:val="242B67"/>
        </w:rPr>
        <w:t>Pericardite </w:t>
      </w:r>
      <w:r>
        <w:rPr>
          <w:color w:val="242B67"/>
          <w:spacing w:val="-2"/>
        </w:rPr>
        <w:t>constritiva</w:t>
      </w:r>
    </w:p>
    <w:p>
      <w:pPr>
        <w:pStyle w:val="Heading4"/>
        <w:spacing w:after="0"/>
        <w:sectPr>
          <w:pgSz w:w="11900" w:h="16840"/>
          <w:pgMar w:top="220" w:bottom="280" w:left="566" w:right="141"/>
        </w:sectPr>
      </w:pPr>
    </w:p>
    <w:p>
      <w:pPr>
        <w:pStyle w:val="BodyText"/>
        <w:spacing w:line="278" w:lineRule="auto" w:before="64"/>
        <w:ind w:right="488"/>
      </w:pPr>
      <w:r>
        <w:rPr/>
        <w:t>Na</w:t>
      </w:r>
      <w:r>
        <w:rPr>
          <w:spacing w:val="-6"/>
        </w:rPr>
        <w:t> </w:t>
      </w:r>
      <w:r>
        <w:rPr/>
        <w:t>pericardite</w:t>
      </w:r>
      <w:r>
        <w:rPr>
          <w:spacing w:val="-6"/>
        </w:rPr>
        <w:t> </w:t>
      </w:r>
      <w:r>
        <w:rPr/>
        <w:t>constritiva</w:t>
      </w:r>
      <w:r>
        <w:rPr>
          <w:spacing w:val="-6"/>
        </w:rPr>
        <w:t> </w:t>
      </w:r>
      <w:r>
        <w:rPr/>
        <w:t>ocorrem</w:t>
      </w:r>
      <w:r>
        <w:rPr>
          <w:spacing w:val="-4"/>
        </w:rPr>
        <w:t> </w:t>
      </w:r>
      <w:r>
        <w:rPr/>
        <w:t>espessamento</w:t>
      </w:r>
      <w:r>
        <w:rPr>
          <w:spacing w:val="-4"/>
        </w:rPr>
        <w:t> </w:t>
      </w:r>
      <w:r>
        <w:rPr/>
        <w:t>e</w:t>
      </w:r>
      <w:r>
        <w:rPr>
          <w:spacing w:val="-6"/>
        </w:rPr>
        <w:t> </w:t>
      </w:r>
      <w:r>
        <w:rPr/>
        <w:t>adesão</w:t>
      </w:r>
      <w:r>
        <w:rPr>
          <w:spacing w:val="-4"/>
        </w:rPr>
        <w:t> </w:t>
      </w:r>
      <w:r>
        <w:rPr/>
        <w:t>dos folhetos do</w:t>
      </w:r>
      <w:r>
        <w:rPr>
          <w:spacing w:val="-4"/>
        </w:rPr>
        <w:t> </w:t>
      </w:r>
      <w:r>
        <w:rPr/>
        <w:t>pericárdico</w:t>
      </w:r>
      <w:r>
        <w:rPr>
          <w:spacing w:val="-4"/>
        </w:rPr>
        <w:t> </w:t>
      </w:r>
      <w:r>
        <w:rPr/>
        <w:t>levando</w:t>
      </w:r>
      <w:r>
        <w:rPr>
          <w:spacing w:val="-4"/>
        </w:rPr>
        <w:t> </w:t>
      </w:r>
      <w:r>
        <w:rPr/>
        <w:t>a</w:t>
      </w:r>
      <w:r>
        <w:rPr>
          <w:spacing w:val="-6"/>
        </w:rPr>
        <w:t> </w:t>
      </w:r>
      <w:r>
        <w:rPr/>
        <w:t>perda</w:t>
      </w:r>
      <w:r>
        <w:rPr>
          <w:spacing w:val="-6"/>
        </w:rPr>
        <w:t> </w:t>
      </w:r>
      <w:r>
        <w:rPr/>
        <w:t>completa de complacência e encarceramento do coração, restringindo o enchimento das câmaras. Como resultado, ocorre disfunção</w:t>
      </w:r>
      <w:r>
        <w:rPr>
          <w:spacing w:val="-1"/>
        </w:rPr>
        <w:t> </w:t>
      </w:r>
      <w:r>
        <w:rPr/>
        <w:t>biventricular mais pronunciada</w:t>
      </w:r>
      <w:r>
        <w:rPr>
          <w:spacing w:val="-3"/>
        </w:rPr>
        <w:t> </w:t>
      </w:r>
      <w:r>
        <w:rPr/>
        <w:t>no</w:t>
      </w:r>
      <w:r>
        <w:rPr>
          <w:spacing w:val="-1"/>
        </w:rPr>
        <w:t> </w:t>
      </w:r>
      <w:r>
        <w:rPr/>
        <w:t>ventrículo</w:t>
      </w:r>
      <w:r>
        <w:rPr>
          <w:spacing w:val="-1"/>
        </w:rPr>
        <w:t> </w:t>
      </w:r>
      <w:r>
        <w:rPr/>
        <w:t>direito</w:t>
      </w:r>
      <w:r>
        <w:rPr>
          <w:spacing w:val="-1"/>
        </w:rPr>
        <w:t> </w:t>
      </w:r>
      <w:r>
        <w:rPr/>
        <w:t>e</w:t>
      </w:r>
      <w:r>
        <w:rPr>
          <w:spacing w:val="-3"/>
        </w:rPr>
        <w:t> </w:t>
      </w:r>
      <w:r>
        <w:rPr/>
        <w:t>baixo</w:t>
      </w:r>
      <w:r>
        <w:rPr>
          <w:spacing w:val="-1"/>
        </w:rPr>
        <w:t> </w:t>
      </w:r>
      <w:r>
        <w:rPr/>
        <w:t>débito</w:t>
      </w:r>
      <w:r>
        <w:rPr>
          <w:spacing w:val="-1"/>
        </w:rPr>
        <w:t> </w:t>
      </w:r>
      <w:r>
        <w:rPr/>
        <w:t>sistêmico.</w:t>
      </w:r>
      <w:r>
        <w:rPr>
          <w:vertAlign w:val="superscript"/>
        </w:rPr>
        <w:t>31,32</w:t>
      </w:r>
      <w:r>
        <w:rPr>
          <w:vertAlign w:val="baseline"/>
        </w:rPr>
        <w:t> Ela</w:t>
      </w:r>
      <w:r>
        <w:rPr>
          <w:spacing w:val="-2"/>
          <w:vertAlign w:val="baseline"/>
        </w:rPr>
        <w:t> </w:t>
      </w:r>
      <w:r>
        <w:rPr>
          <w:vertAlign w:val="baseline"/>
        </w:rPr>
        <w:t>pode</w:t>
      </w:r>
      <w:r>
        <w:rPr>
          <w:spacing w:val="-2"/>
          <w:vertAlign w:val="baseline"/>
        </w:rPr>
        <w:t> </w:t>
      </w:r>
      <w:r>
        <w:rPr>
          <w:vertAlign w:val="baseline"/>
        </w:rPr>
        <w:t>ser resultante de uma única pericardite aguda e de grande intensidade ou o resultado de múltiplos episódios recorrentes, que levaram ao espessamento e adesão dos folhetos. O curso de instalação é lento, frequentemente silencioso e as manifestações aparecem muitos meses ou anos após o episódio inicial, embora a constrição também possa se instalar em poucos dias após o início dos sintomas.</w:t>
      </w:r>
    </w:p>
    <w:p>
      <w:pPr>
        <w:pStyle w:val="BodyText"/>
        <w:spacing w:line="283" w:lineRule="auto" w:before="63"/>
        <w:ind w:right="500"/>
      </w:pPr>
      <w:r>
        <w:rPr/>
        <w:t>As causas mais comuns, no Brasil, são a tuberculose e as pericardites idiopáticas; entre as demais etiologias estão</w:t>
      </w:r>
      <w:r>
        <w:rPr>
          <w:spacing w:val="-6"/>
        </w:rPr>
        <w:t> </w:t>
      </w:r>
      <w:r>
        <w:rPr/>
        <w:t>a</w:t>
      </w:r>
      <w:r>
        <w:rPr>
          <w:spacing w:val="-8"/>
        </w:rPr>
        <w:t> </w:t>
      </w:r>
      <w:r>
        <w:rPr/>
        <w:t>radioterapia</w:t>
      </w:r>
      <w:r>
        <w:rPr>
          <w:spacing w:val="-8"/>
        </w:rPr>
        <w:t> </w:t>
      </w:r>
      <w:r>
        <w:rPr/>
        <w:t>de</w:t>
      </w:r>
      <w:r>
        <w:rPr>
          <w:spacing w:val="-8"/>
        </w:rPr>
        <w:t> </w:t>
      </w:r>
      <w:r>
        <w:rPr/>
        <w:t>estruturas mediastinais ou</w:t>
      </w:r>
      <w:r>
        <w:rPr>
          <w:spacing w:val="-6"/>
        </w:rPr>
        <w:t> </w:t>
      </w:r>
      <w:r>
        <w:rPr/>
        <w:t>torácicas, a</w:t>
      </w:r>
      <w:r>
        <w:rPr>
          <w:spacing w:val="-8"/>
        </w:rPr>
        <w:t> </w:t>
      </w:r>
      <w:r>
        <w:rPr/>
        <w:t>uremia, a</w:t>
      </w:r>
      <w:r>
        <w:rPr>
          <w:spacing w:val="-8"/>
        </w:rPr>
        <w:t> </w:t>
      </w:r>
      <w:r>
        <w:rPr/>
        <w:t>pericardite</w:t>
      </w:r>
      <w:r>
        <w:rPr>
          <w:spacing w:val="-8"/>
        </w:rPr>
        <w:t> </w:t>
      </w:r>
      <w:r>
        <w:rPr/>
        <w:t>hemorrágica</w:t>
      </w:r>
      <w:r>
        <w:rPr>
          <w:spacing w:val="-8"/>
        </w:rPr>
        <w:t> </w:t>
      </w:r>
      <w:r>
        <w:rPr/>
        <w:t>e</w:t>
      </w:r>
      <w:r>
        <w:rPr>
          <w:spacing w:val="-8"/>
        </w:rPr>
        <w:t> </w:t>
      </w:r>
      <w:r>
        <w:rPr/>
        <w:t>o</w:t>
      </w:r>
      <w:r>
        <w:rPr>
          <w:spacing w:val="-6"/>
        </w:rPr>
        <w:t> </w:t>
      </w:r>
      <w:r>
        <w:rPr/>
        <w:t>hemopericárdio, estes geralmente pós-traumáticos ou pós-pericardiotomia.</w:t>
      </w:r>
      <w:r>
        <w:rPr>
          <w:vertAlign w:val="superscript"/>
        </w:rPr>
        <w:t>33–35</w:t>
      </w:r>
    </w:p>
    <w:p>
      <w:pPr>
        <w:pStyle w:val="BodyText"/>
        <w:spacing w:line="276" w:lineRule="auto" w:before="41"/>
        <w:ind w:right="497"/>
      </w:pPr>
      <w:r>
        <w:rPr/>
        <w:t>A pericardite constritiva se manifesta como um quadro de insuficiência cardíaca direita e de longa duração, geralmente com os sintomas estando presentes durante muito tempo até que se chegue ao diagnóstico. Como na pericardite</w:t>
      </w:r>
      <w:r>
        <w:rPr>
          <w:spacing w:val="-7"/>
        </w:rPr>
        <w:t> </w:t>
      </w:r>
      <w:r>
        <w:rPr/>
        <w:t>constritiva</w:t>
      </w:r>
      <w:r>
        <w:rPr>
          <w:spacing w:val="-7"/>
        </w:rPr>
        <w:t> </w:t>
      </w:r>
      <w:r>
        <w:rPr/>
        <w:t>e</w:t>
      </w:r>
      <w:r>
        <w:rPr>
          <w:spacing w:val="-7"/>
        </w:rPr>
        <w:t> </w:t>
      </w:r>
      <w:r>
        <w:rPr/>
        <w:t>na</w:t>
      </w:r>
      <w:r>
        <w:rPr>
          <w:spacing w:val="-7"/>
        </w:rPr>
        <w:t> </w:t>
      </w:r>
      <w:r>
        <w:rPr/>
        <w:t>cardiomiopatia</w:t>
      </w:r>
      <w:r>
        <w:rPr>
          <w:spacing w:val="-7"/>
        </w:rPr>
        <w:t> </w:t>
      </w:r>
      <w:r>
        <w:rPr/>
        <w:t>restritiva, o</w:t>
      </w:r>
      <w:r>
        <w:rPr>
          <w:spacing w:val="-5"/>
        </w:rPr>
        <w:t> </w:t>
      </w:r>
      <w:r>
        <w:rPr/>
        <w:t>enchimento</w:t>
      </w:r>
      <w:r>
        <w:rPr>
          <w:spacing w:val="-5"/>
        </w:rPr>
        <w:t> </w:t>
      </w:r>
      <w:r>
        <w:rPr/>
        <w:t>ventricular está</w:t>
      </w:r>
      <w:r>
        <w:rPr>
          <w:spacing w:val="-7"/>
        </w:rPr>
        <w:t> </w:t>
      </w:r>
      <w:r>
        <w:rPr/>
        <w:t>acentuadamente</w:t>
      </w:r>
      <w:r>
        <w:rPr>
          <w:spacing w:val="-7"/>
        </w:rPr>
        <w:t> </w:t>
      </w:r>
      <w:r>
        <w:rPr/>
        <w:t>diminuído, com frequência as duas doenças são confundidas.</w:t>
      </w:r>
    </w:p>
    <w:p>
      <w:pPr>
        <w:pStyle w:val="BodyText"/>
        <w:spacing w:line="280" w:lineRule="auto" w:before="64"/>
        <w:ind w:right="488"/>
      </w:pPr>
      <w:r>
        <w:rPr/>
        <w:t>Fisiopatologicamente, o encarceramento do coração isola-o das variações de pressão intratorácica durante a inspiração e a expiração. Durante a inspiração, a pressão intratorácica diminui, mas essa variação pressórica não é transmitida para as cavidades cardíacas e ocorre diminuição do fluxo para o coração esquerdo e aumento para o direito, ocorrendo o oposto na expiração.</w:t>
      </w:r>
      <w:r>
        <w:rPr>
          <w:vertAlign w:val="superscript"/>
        </w:rPr>
        <w:t>31,32</w:t>
      </w:r>
    </w:p>
    <w:p>
      <w:pPr>
        <w:pStyle w:val="BodyText"/>
        <w:spacing w:line="276" w:lineRule="auto" w:before="44"/>
        <w:ind w:right="491"/>
      </w:pPr>
      <w:r>
        <w:rPr/>
        <w:t>Os sinais clínicos são: hepatomegalia pulsátil, diminuição ou desaparecimento do impulso apical, um ruído protodiastólico (chamado </w:t>
      </w:r>
      <w:r>
        <w:rPr>
          <w:i/>
        </w:rPr>
        <w:t>knock </w:t>
      </w:r>
      <w:r>
        <w:rPr/>
        <w:t>pericárdico), nas jugulares um descenso Y proeminente (sinal de Friedreich) e o aumento ou ausência de queda durante a inspiração (sinal de Kussmaul).</w:t>
      </w:r>
    </w:p>
    <w:p>
      <w:pPr>
        <w:pStyle w:val="BodyText"/>
        <w:spacing w:line="290" w:lineRule="auto" w:before="64"/>
        <w:ind w:right="488"/>
      </w:pPr>
      <w:r>
        <w:rPr/>
        <w:t>O</w:t>
      </w:r>
      <w:r>
        <w:rPr>
          <w:spacing w:val="-3"/>
        </w:rPr>
        <w:t> </w:t>
      </w:r>
      <w:r>
        <w:rPr/>
        <w:t>eletrocardiograma</w:t>
      </w:r>
      <w:r>
        <w:rPr>
          <w:spacing w:val="-3"/>
        </w:rPr>
        <w:t> </w:t>
      </w:r>
      <w:r>
        <w:rPr/>
        <w:t>mostra</w:t>
      </w:r>
      <w:r>
        <w:rPr>
          <w:spacing w:val="-3"/>
        </w:rPr>
        <w:t> </w:t>
      </w:r>
      <w:r>
        <w:rPr/>
        <w:t>complexos de</w:t>
      </w:r>
      <w:r>
        <w:rPr>
          <w:spacing w:val="-3"/>
        </w:rPr>
        <w:t> </w:t>
      </w:r>
      <w:r>
        <w:rPr/>
        <w:t>baixa</w:t>
      </w:r>
      <w:r>
        <w:rPr>
          <w:spacing w:val="-3"/>
        </w:rPr>
        <w:t> </w:t>
      </w:r>
      <w:r>
        <w:rPr/>
        <w:t>voltagem, alterações inespecíficas do</w:t>
      </w:r>
      <w:r>
        <w:rPr>
          <w:spacing w:val="-1"/>
        </w:rPr>
        <w:t> </w:t>
      </w:r>
      <w:r>
        <w:rPr/>
        <w:t>segmento</w:t>
      </w:r>
      <w:r>
        <w:rPr>
          <w:spacing w:val="-1"/>
        </w:rPr>
        <w:t> </w:t>
      </w:r>
      <w:r>
        <w:rPr/>
        <w:t>ST e</w:t>
      </w:r>
      <w:r>
        <w:rPr>
          <w:spacing w:val="-3"/>
        </w:rPr>
        <w:t> </w:t>
      </w:r>
      <w:r>
        <w:rPr/>
        <w:t>onda</w:t>
      </w:r>
      <w:r>
        <w:rPr>
          <w:spacing w:val="-3"/>
        </w:rPr>
        <w:t> </w:t>
      </w:r>
      <w:r>
        <w:rPr/>
        <w:t>T e na radiografia de tórax podem ser vistos locais de calcificação na projeção do pericárdio.</w:t>
      </w:r>
      <w:r>
        <w:rPr>
          <w:vertAlign w:val="superscript"/>
        </w:rPr>
        <w:t>31</w:t>
      </w:r>
    </w:p>
    <w:p>
      <w:pPr>
        <w:pStyle w:val="BodyText"/>
        <w:spacing w:line="280" w:lineRule="auto" w:before="49"/>
        <w:ind w:right="487"/>
      </w:pPr>
      <w:r>
        <w:rPr/>
        <w:t>O</w:t>
      </w:r>
      <w:r>
        <w:rPr>
          <w:spacing w:val="-6"/>
        </w:rPr>
        <w:t> </w:t>
      </w:r>
      <w:r>
        <w:rPr/>
        <w:t>estudo</w:t>
      </w:r>
      <w:r>
        <w:rPr>
          <w:spacing w:val="-4"/>
        </w:rPr>
        <w:t> </w:t>
      </w:r>
      <w:r>
        <w:rPr/>
        <w:t>hemodinâmico</w:t>
      </w:r>
      <w:r>
        <w:rPr>
          <w:spacing w:val="-4"/>
        </w:rPr>
        <w:t> </w:t>
      </w:r>
      <w:r>
        <w:rPr/>
        <w:t>mostra, além</w:t>
      </w:r>
      <w:r>
        <w:rPr>
          <w:spacing w:val="-4"/>
        </w:rPr>
        <w:t> </w:t>
      </w:r>
      <w:r>
        <w:rPr/>
        <w:t>de</w:t>
      </w:r>
      <w:r>
        <w:rPr>
          <w:spacing w:val="-6"/>
        </w:rPr>
        <w:t> </w:t>
      </w:r>
      <w:r>
        <w:rPr/>
        <w:t>baixo</w:t>
      </w:r>
      <w:r>
        <w:rPr>
          <w:spacing w:val="-4"/>
        </w:rPr>
        <w:t> </w:t>
      </w:r>
      <w:r>
        <w:rPr/>
        <w:t>débito</w:t>
      </w:r>
      <w:r>
        <w:rPr>
          <w:spacing w:val="-4"/>
        </w:rPr>
        <w:t> </w:t>
      </w:r>
      <w:r>
        <w:rPr/>
        <w:t>cardíaco, um</w:t>
      </w:r>
      <w:r>
        <w:rPr>
          <w:spacing w:val="-4"/>
        </w:rPr>
        <w:t> </w:t>
      </w:r>
      <w:r>
        <w:rPr/>
        <w:t>descenso</w:t>
      </w:r>
      <w:r>
        <w:rPr>
          <w:spacing w:val="-3"/>
        </w:rPr>
        <w:t> </w:t>
      </w:r>
      <w:r>
        <w:rPr>
          <w:i/>
        </w:rPr>
        <w:t>x</w:t>
      </w:r>
      <w:r>
        <w:rPr>
          <w:i/>
          <w:spacing w:val="-7"/>
        </w:rPr>
        <w:t> </w:t>
      </w:r>
      <w:r>
        <w:rPr/>
        <w:t>proeminente</w:t>
      </w:r>
      <w:r>
        <w:rPr>
          <w:spacing w:val="-7"/>
        </w:rPr>
        <w:t> </w:t>
      </w:r>
      <w:r>
        <w:rPr/>
        <w:t>e</w:t>
      </w:r>
      <w:r>
        <w:rPr>
          <w:spacing w:val="-7"/>
        </w:rPr>
        <w:t> </w:t>
      </w:r>
      <w:r>
        <w:rPr/>
        <w:t>um</w:t>
      </w:r>
      <w:r>
        <w:rPr>
          <w:spacing w:val="-5"/>
        </w:rPr>
        <w:t> </w:t>
      </w:r>
      <w:r>
        <w:rPr/>
        <w:t>descenso</w:t>
      </w:r>
      <w:r>
        <w:rPr>
          <w:spacing w:val="-5"/>
        </w:rPr>
        <w:t> </w:t>
      </w:r>
      <w:r>
        <w:rPr>
          <w:i/>
        </w:rPr>
        <w:t>y </w:t>
      </w:r>
      <w:r>
        <w:rPr/>
        <w:t>na onda</w:t>
      </w:r>
      <w:r>
        <w:rPr>
          <w:spacing w:val="-11"/>
        </w:rPr>
        <w:t> </w:t>
      </w:r>
      <w:r>
        <w:rPr/>
        <w:t>de</w:t>
      </w:r>
      <w:r>
        <w:rPr>
          <w:spacing w:val="-11"/>
        </w:rPr>
        <w:t> </w:t>
      </w:r>
      <w:r>
        <w:rPr/>
        <w:t>pressão</w:t>
      </w:r>
      <w:r>
        <w:rPr>
          <w:spacing w:val="-8"/>
        </w:rPr>
        <w:t> </w:t>
      </w:r>
      <w:r>
        <w:rPr/>
        <w:t>atrial,</w:t>
      </w:r>
      <w:r>
        <w:rPr>
          <w:spacing w:val="-1"/>
        </w:rPr>
        <w:t> </w:t>
      </w:r>
      <w:r>
        <w:rPr/>
        <w:t>uma</w:t>
      </w:r>
      <w:r>
        <w:rPr>
          <w:spacing w:val="-11"/>
        </w:rPr>
        <w:t> </w:t>
      </w:r>
      <w:r>
        <w:rPr/>
        <w:t>onda</w:t>
      </w:r>
      <w:r>
        <w:rPr>
          <w:spacing w:val="-11"/>
        </w:rPr>
        <w:t> </w:t>
      </w:r>
      <w:r>
        <w:rPr/>
        <w:t>de</w:t>
      </w:r>
      <w:r>
        <w:rPr>
          <w:spacing w:val="-11"/>
        </w:rPr>
        <w:t> </w:t>
      </w:r>
      <w:r>
        <w:rPr/>
        <w:t>enchimento</w:t>
      </w:r>
      <w:r>
        <w:rPr>
          <w:spacing w:val="-8"/>
        </w:rPr>
        <w:t> </w:t>
      </w:r>
      <w:r>
        <w:rPr/>
        <w:t>ventricular</w:t>
      </w:r>
      <w:r>
        <w:rPr>
          <w:spacing w:val="-4"/>
        </w:rPr>
        <w:t> </w:t>
      </w:r>
      <w:r>
        <w:rPr/>
        <w:t>com</w:t>
      </w:r>
      <w:r>
        <w:rPr>
          <w:spacing w:val="-8"/>
        </w:rPr>
        <w:t> </w:t>
      </w:r>
      <w:r>
        <w:rPr/>
        <w:t>um</w:t>
      </w:r>
      <w:r>
        <w:rPr>
          <w:spacing w:val="-8"/>
        </w:rPr>
        <w:t> </w:t>
      </w:r>
      <w:r>
        <w:rPr/>
        <w:t>término</w:t>
      </w:r>
      <w:r>
        <w:rPr>
          <w:spacing w:val="-8"/>
        </w:rPr>
        <w:t> </w:t>
      </w:r>
      <w:r>
        <w:rPr/>
        <w:t>abrupto</w:t>
      </w:r>
      <w:r>
        <w:rPr>
          <w:spacing w:val="-8"/>
        </w:rPr>
        <w:t> </w:t>
      </w:r>
      <w:r>
        <w:rPr/>
        <w:t>do</w:t>
      </w:r>
      <w:r>
        <w:rPr>
          <w:spacing w:val="-8"/>
        </w:rPr>
        <w:t> </w:t>
      </w:r>
      <w:r>
        <w:rPr/>
        <w:t>enchimento</w:t>
      </w:r>
      <w:r>
        <w:rPr>
          <w:spacing w:val="-8"/>
        </w:rPr>
        <w:t> </w:t>
      </w:r>
      <w:r>
        <w:rPr/>
        <w:t>rápido,</w:t>
      </w:r>
      <w:r>
        <w:rPr>
          <w:spacing w:val="-1"/>
        </w:rPr>
        <w:t> </w:t>
      </w:r>
      <w:r>
        <w:rPr/>
        <w:t>levando ao</w:t>
      </w:r>
      <w:r>
        <w:rPr>
          <w:spacing w:val="-11"/>
        </w:rPr>
        <w:t> </w:t>
      </w:r>
      <w:r>
        <w:rPr/>
        <w:t>chamado</w:t>
      </w:r>
      <w:r>
        <w:rPr>
          <w:spacing w:val="-11"/>
        </w:rPr>
        <w:t> </w:t>
      </w:r>
      <w:r>
        <w:rPr/>
        <w:t>padrão</w:t>
      </w:r>
      <w:r>
        <w:rPr>
          <w:spacing w:val="-11"/>
        </w:rPr>
        <w:t> </w:t>
      </w:r>
      <w:r>
        <w:rPr>
          <w:i/>
        </w:rPr>
        <w:t>dip-plateau.</w:t>
      </w:r>
      <w:r>
        <w:rPr>
          <w:i/>
          <w:spacing w:val="-2"/>
        </w:rPr>
        <w:t> </w:t>
      </w:r>
      <w:r>
        <w:rPr/>
        <w:t>Ocorre</w:t>
      </w:r>
      <w:r>
        <w:rPr>
          <w:spacing w:val="-11"/>
        </w:rPr>
        <w:t> </w:t>
      </w:r>
      <w:r>
        <w:rPr/>
        <w:t>também</w:t>
      </w:r>
      <w:r>
        <w:rPr>
          <w:spacing w:val="-9"/>
        </w:rPr>
        <w:t> </w:t>
      </w:r>
      <w:r>
        <w:rPr/>
        <w:t>equalização</w:t>
      </w:r>
      <w:r>
        <w:rPr>
          <w:spacing w:val="-9"/>
        </w:rPr>
        <w:t> </w:t>
      </w:r>
      <w:r>
        <w:rPr/>
        <w:t>das</w:t>
      </w:r>
      <w:r>
        <w:rPr>
          <w:spacing w:val="-2"/>
        </w:rPr>
        <w:t> </w:t>
      </w:r>
      <w:r>
        <w:rPr/>
        <w:t>pressões</w:t>
      </w:r>
      <w:r>
        <w:rPr>
          <w:spacing w:val="-2"/>
        </w:rPr>
        <w:t> </w:t>
      </w:r>
      <w:r>
        <w:rPr/>
        <w:t>diastólicas</w:t>
      </w:r>
      <w:r>
        <w:rPr>
          <w:spacing w:val="-2"/>
        </w:rPr>
        <w:t> </w:t>
      </w:r>
      <w:r>
        <w:rPr/>
        <w:t>finais</w:t>
      </w:r>
      <w:r>
        <w:rPr>
          <w:spacing w:val="-2"/>
        </w:rPr>
        <w:t> </w:t>
      </w:r>
      <w:r>
        <w:rPr/>
        <w:t>dos</w:t>
      </w:r>
      <w:r>
        <w:rPr>
          <w:spacing w:val="-2"/>
        </w:rPr>
        <w:t> </w:t>
      </w:r>
      <w:r>
        <w:rPr/>
        <w:t>ventrículos</w:t>
      </w:r>
      <w:r>
        <w:rPr>
          <w:spacing w:val="-2"/>
        </w:rPr>
        <w:t> </w:t>
      </w:r>
      <w:r>
        <w:rPr/>
        <w:t>direito</w:t>
      </w:r>
      <w:r>
        <w:rPr>
          <w:spacing w:val="-9"/>
        </w:rPr>
        <w:t> </w:t>
      </w:r>
      <w:r>
        <w:rPr/>
        <w:t>e esquerdo (menos de 5 mmHg), queda da pressão capilar pulmonar.</w:t>
      </w:r>
      <w:r>
        <w:rPr>
          <w:vertAlign w:val="superscript"/>
        </w:rPr>
        <w:t>5</w:t>
      </w:r>
    </w:p>
    <w:p>
      <w:pPr>
        <w:pStyle w:val="BodyText"/>
        <w:spacing w:line="290" w:lineRule="auto" w:before="44"/>
        <w:ind w:right="494"/>
      </w:pPr>
      <w:r>
        <w:rPr/>
        <w:t>O ecocardiograma demonstra o espessamento pericárdico característico (</w:t>
      </w:r>
      <w:r>
        <w:rPr>
          <w:color w:val="505050"/>
        </w:rPr>
        <w:t>Figura 51.4</w:t>
      </w:r>
      <w:r>
        <w:rPr/>
        <w:t>), movimento septal paradoxal e enchimento acentuado da veia cava inferior.</w:t>
      </w:r>
      <w:r>
        <w:rPr>
          <w:vertAlign w:val="superscript"/>
        </w:rPr>
        <w:t>3</w:t>
      </w:r>
      <w:r>
        <w:rPr>
          <w:vertAlign w:val="superscript"/>
        </w:rPr>
        <w:t>6</w:t>
      </w:r>
    </w:p>
    <w:p>
      <w:pPr>
        <w:pStyle w:val="BodyText"/>
        <w:spacing w:line="276" w:lineRule="auto" w:before="48"/>
        <w:ind w:right="491"/>
      </w:pPr>
      <w:r>
        <w:rPr/>
        <w:t>Outras técnicas, como a tomografia computadorizada e a ressonância magnética, fornecem imagens com excelente</w:t>
      </w:r>
      <w:r>
        <w:rPr>
          <w:spacing w:val="-8"/>
        </w:rPr>
        <w:t> </w:t>
      </w:r>
      <w:r>
        <w:rPr/>
        <w:t>definição, permitindo</w:t>
      </w:r>
      <w:r>
        <w:rPr>
          <w:spacing w:val="-5"/>
        </w:rPr>
        <w:t> </w:t>
      </w:r>
      <w:r>
        <w:rPr/>
        <w:t>também</w:t>
      </w:r>
      <w:r>
        <w:rPr>
          <w:spacing w:val="-5"/>
        </w:rPr>
        <w:t> </w:t>
      </w:r>
      <w:r>
        <w:rPr/>
        <w:t>uma</w:t>
      </w:r>
      <w:r>
        <w:rPr>
          <w:spacing w:val="-8"/>
        </w:rPr>
        <w:t> </w:t>
      </w:r>
      <w:r>
        <w:rPr/>
        <w:t>avaliação</w:t>
      </w:r>
      <w:r>
        <w:rPr>
          <w:spacing w:val="-5"/>
        </w:rPr>
        <w:t> </w:t>
      </w:r>
      <w:r>
        <w:rPr/>
        <w:t>adequada</w:t>
      </w:r>
      <w:r>
        <w:rPr>
          <w:spacing w:val="-8"/>
        </w:rPr>
        <w:t> </w:t>
      </w:r>
      <w:r>
        <w:rPr/>
        <w:t>do</w:t>
      </w:r>
      <w:r>
        <w:rPr>
          <w:spacing w:val="-5"/>
        </w:rPr>
        <w:t> </w:t>
      </w:r>
      <w:r>
        <w:rPr/>
        <w:t>espessamento</w:t>
      </w:r>
      <w:r>
        <w:rPr>
          <w:spacing w:val="-5"/>
        </w:rPr>
        <w:t> </w:t>
      </w:r>
      <w:r>
        <w:rPr/>
        <w:t>pericárdico.</w:t>
      </w:r>
    </w:p>
    <w:p>
      <w:pPr>
        <w:pStyle w:val="BodyText"/>
        <w:spacing w:line="285" w:lineRule="auto" w:before="49"/>
        <w:ind w:right="488"/>
      </w:pPr>
      <w:r>
        <w:rPr/>
        <w:t>O</w:t>
      </w:r>
      <w:r>
        <w:rPr>
          <w:spacing w:val="-1"/>
        </w:rPr>
        <w:t> </w:t>
      </w:r>
      <w:r>
        <w:rPr/>
        <w:t>tratamento dos casos leves ou moderados responde</w:t>
      </w:r>
      <w:r>
        <w:rPr>
          <w:spacing w:val="-1"/>
        </w:rPr>
        <w:t> </w:t>
      </w:r>
      <w:r>
        <w:rPr/>
        <w:t>ao uso de</w:t>
      </w:r>
      <w:r>
        <w:rPr>
          <w:spacing w:val="-1"/>
        </w:rPr>
        <w:t> </w:t>
      </w:r>
      <w:r>
        <w:rPr/>
        <w:t>diuréticos, mas a</w:t>
      </w:r>
      <w:r>
        <w:rPr>
          <w:spacing w:val="-1"/>
        </w:rPr>
        <w:t> </w:t>
      </w:r>
      <w:r>
        <w:rPr/>
        <w:t>pericardiectomia</w:t>
      </w:r>
      <w:r>
        <w:rPr>
          <w:spacing w:val="-1"/>
        </w:rPr>
        <w:t> </w:t>
      </w:r>
      <w:r>
        <w:rPr/>
        <w:t>está</w:t>
      </w:r>
      <w:r>
        <w:rPr>
          <w:spacing w:val="-1"/>
        </w:rPr>
        <w:t> </w:t>
      </w:r>
      <w:r>
        <w:rPr/>
        <w:t>sempre indicada</w:t>
      </w:r>
      <w:r>
        <w:rPr>
          <w:spacing w:val="-3"/>
        </w:rPr>
        <w:t> </w:t>
      </w:r>
      <w:r>
        <w:rPr/>
        <w:t>quando</w:t>
      </w:r>
      <w:r>
        <w:rPr>
          <w:spacing w:val="-1"/>
        </w:rPr>
        <w:t> </w:t>
      </w:r>
      <w:r>
        <w:rPr/>
        <w:t>há</w:t>
      </w:r>
      <w:r>
        <w:rPr>
          <w:spacing w:val="-3"/>
        </w:rPr>
        <w:t> </w:t>
      </w:r>
      <w:r>
        <w:rPr/>
        <w:t>demonstração</w:t>
      </w:r>
      <w:r>
        <w:rPr>
          <w:spacing w:val="-1"/>
        </w:rPr>
        <w:t> </w:t>
      </w:r>
      <w:r>
        <w:rPr/>
        <w:t>de</w:t>
      </w:r>
      <w:r>
        <w:rPr>
          <w:spacing w:val="-3"/>
        </w:rPr>
        <w:t> </w:t>
      </w:r>
      <w:r>
        <w:rPr/>
        <w:t>constrição.</w:t>
      </w:r>
      <w:r>
        <w:rPr>
          <w:vertAlign w:val="superscript"/>
        </w:rPr>
        <w:t>37,38</w:t>
      </w:r>
      <w:r>
        <w:rPr>
          <w:vertAlign w:val="baseline"/>
        </w:rPr>
        <w:t> A</w:t>
      </w:r>
      <w:r>
        <w:rPr>
          <w:spacing w:val="-3"/>
          <w:vertAlign w:val="baseline"/>
        </w:rPr>
        <w:t> </w:t>
      </w:r>
      <w:r>
        <w:rPr>
          <w:vertAlign w:val="baseline"/>
        </w:rPr>
        <w:t>mortalidade</w:t>
      </w:r>
      <w:r>
        <w:rPr>
          <w:spacing w:val="-3"/>
          <w:vertAlign w:val="baseline"/>
        </w:rPr>
        <w:t> </w:t>
      </w:r>
      <w:r>
        <w:rPr>
          <w:vertAlign w:val="baseline"/>
        </w:rPr>
        <w:t>peroperatória</w:t>
      </w:r>
      <w:r>
        <w:rPr>
          <w:spacing w:val="-3"/>
          <w:vertAlign w:val="baseline"/>
        </w:rPr>
        <w:t> </w:t>
      </w:r>
      <w:r>
        <w:rPr>
          <w:vertAlign w:val="baseline"/>
        </w:rPr>
        <w:t>é</w:t>
      </w:r>
      <w:r>
        <w:rPr>
          <w:spacing w:val="-3"/>
          <w:vertAlign w:val="baseline"/>
        </w:rPr>
        <w:t> </w:t>
      </w:r>
      <w:r>
        <w:rPr>
          <w:vertAlign w:val="baseline"/>
        </w:rPr>
        <w:t>em</w:t>
      </w:r>
      <w:r>
        <w:rPr>
          <w:spacing w:val="-1"/>
          <w:vertAlign w:val="baseline"/>
        </w:rPr>
        <w:t> </w:t>
      </w:r>
      <w:r>
        <w:rPr>
          <w:vertAlign w:val="baseline"/>
        </w:rPr>
        <w:t>torno</w:t>
      </w:r>
      <w:r>
        <w:rPr>
          <w:spacing w:val="-1"/>
          <w:vertAlign w:val="baseline"/>
        </w:rPr>
        <w:t> </w:t>
      </w:r>
      <w:r>
        <w:rPr>
          <w:vertAlign w:val="baseline"/>
        </w:rPr>
        <w:t>de</w:t>
      </w:r>
      <w:r>
        <w:rPr>
          <w:spacing w:val="-3"/>
          <w:vertAlign w:val="baseline"/>
        </w:rPr>
        <w:t> </w:t>
      </w:r>
      <w:r>
        <w:rPr>
          <w:vertAlign w:val="baseline"/>
        </w:rPr>
        <w:t>5% e</w:t>
      </w:r>
      <w:r>
        <w:rPr>
          <w:spacing w:val="-3"/>
          <w:vertAlign w:val="baseline"/>
        </w:rPr>
        <w:t> </w:t>
      </w:r>
      <w:r>
        <w:rPr>
          <w:vertAlign w:val="baseline"/>
        </w:rPr>
        <w:t>o</w:t>
      </w:r>
      <w:r>
        <w:rPr>
          <w:spacing w:val="-1"/>
          <w:vertAlign w:val="baseline"/>
        </w:rPr>
        <w:t> </w:t>
      </w:r>
      <w:r>
        <w:rPr>
          <w:vertAlign w:val="baseline"/>
        </w:rPr>
        <w:t>prognóstico a longo prazo está relacionado com a doença de base, sendo pior nas pericardites constritivas secundárias a radioterapia (sobrevida em 7 anos de 27%) e melhor nas idiopáticas (sobrevida em 7 anos de 88%).</w:t>
      </w:r>
      <w:r>
        <w:rPr>
          <w:vertAlign w:val="superscript"/>
        </w:rPr>
        <w:t>39</w:t>
      </w:r>
    </w:p>
    <w:p>
      <w:pPr>
        <w:pStyle w:val="BodyText"/>
        <w:spacing w:before="20"/>
        <w:ind w:left="0" w:firstLine="0"/>
        <w:jc w:val="left"/>
        <w:rPr>
          <w:sz w:val="20"/>
        </w:rPr>
      </w:pPr>
      <w:r>
        <w:rPr>
          <w:sz w:val="20"/>
        </w:rPr>
        <w:drawing>
          <wp:anchor distT="0" distB="0" distL="0" distR="0" allowOverlap="1" layoutInCell="1" locked="0" behindDoc="1" simplePos="0" relativeHeight="487595520">
            <wp:simplePos x="0" y="0"/>
            <wp:positionH relativeFrom="page">
              <wp:posOffset>2201786</wp:posOffset>
            </wp:positionH>
            <wp:positionV relativeFrom="paragraph">
              <wp:posOffset>174384</wp:posOffset>
            </wp:positionV>
            <wp:extent cx="3159453" cy="237467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3159453" cy="2374677"/>
                    </a:xfrm>
                    <a:prstGeom prst="rect">
                      <a:avLst/>
                    </a:prstGeom>
                  </pic:spPr>
                </pic:pic>
              </a:graphicData>
            </a:graphic>
          </wp:anchor>
        </w:drawing>
      </w:r>
    </w:p>
    <w:p>
      <w:pPr>
        <w:pStyle w:val="BodyText"/>
        <w:spacing w:before="8"/>
        <w:ind w:left="0" w:firstLine="0"/>
        <w:jc w:val="left"/>
      </w:pPr>
    </w:p>
    <w:p>
      <w:pPr>
        <w:spacing w:line="285" w:lineRule="auto" w:before="0"/>
        <w:ind w:left="68" w:right="497" w:firstLine="0"/>
        <w:jc w:val="left"/>
        <w:rPr>
          <w:rFonts w:ascii="Microsoft Sans Serif" w:hAnsi="Microsoft Sans Serif"/>
          <w:sz w:val="19"/>
        </w:rPr>
      </w:pPr>
      <w:r>
        <w:rPr>
          <w:rFonts w:ascii="Arial" w:hAnsi="Arial"/>
          <w:b/>
          <w:color w:val="242B67"/>
          <w:sz w:val="19"/>
        </w:rPr>
        <w:t>Figura</w:t>
      </w:r>
      <w:r>
        <w:rPr>
          <w:rFonts w:ascii="Arial" w:hAnsi="Arial"/>
          <w:b/>
          <w:color w:val="242B67"/>
          <w:spacing w:val="23"/>
          <w:sz w:val="19"/>
        </w:rPr>
        <w:t> </w:t>
      </w:r>
      <w:r>
        <w:rPr>
          <w:rFonts w:ascii="Arial" w:hAnsi="Arial"/>
          <w:b/>
          <w:color w:val="242B67"/>
          <w:sz w:val="19"/>
        </w:rPr>
        <w:t>51.4</w:t>
      </w:r>
      <w:r>
        <w:rPr>
          <w:rFonts w:ascii="Arial" w:hAnsi="Arial"/>
          <w:b/>
          <w:color w:val="242B67"/>
          <w:spacing w:val="23"/>
          <w:sz w:val="19"/>
        </w:rPr>
        <w:t> </w:t>
      </w:r>
      <w:r>
        <w:rPr>
          <w:rFonts w:ascii="Microsoft Sans Serif" w:hAnsi="Microsoft Sans Serif"/>
          <w:sz w:val="19"/>
        </w:rPr>
        <w:t>Espessamento</w:t>
      </w:r>
      <w:r>
        <w:rPr>
          <w:rFonts w:ascii="Microsoft Sans Serif" w:hAnsi="Microsoft Sans Serif"/>
          <w:spacing w:val="25"/>
          <w:sz w:val="19"/>
        </w:rPr>
        <w:t> </w:t>
      </w:r>
      <w:r>
        <w:rPr>
          <w:rFonts w:ascii="Microsoft Sans Serif" w:hAnsi="Microsoft Sans Serif"/>
          <w:sz w:val="19"/>
        </w:rPr>
        <w:t>pericárdico</w:t>
      </w:r>
      <w:r>
        <w:rPr>
          <w:rFonts w:ascii="Microsoft Sans Serif" w:hAnsi="Microsoft Sans Serif"/>
          <w:spacing w:val="25"/>
          <w:sz w:val="19"/>
        </w:rPr>
        <w:t> </w:t>
      </w:r>
      <w:r>
        <w:rPr>
          <w:rFonts w:ascii="Microsoft Sans Serif" w:hAnsi="Microsoft Sans Serif"/>
          <w:sz w:val="19"/>
        </w:rPr>
        <w:t>(</w:t>
      </w:r>
      <w:r>
        <w:rPr>
          <w:rFonts w:ascii="Arial" w:hAnsi="Arial"/>
          <w:i/>
          <w:sz w:val="19"/>
        </w:rPr>
        <w:t>setas</w:t>
      </w:r>
      <w:r>
        <w:rPr>
          <w:rFonts w:ascii="Microsoft Sans Serif" w:hAnsi="Microsoft Sans Serif"/>
          <w:sz w:val="19"/>
        </w:rPr>
        <w:t>)</w:t>
      </w:r>
      <w:r>
        <w:rPr>
          <w:rFonts w:ascii="Microsoft Sans Serif" w:hAnsi="Microsoft Sans Serif"/>
          <w:spacing w:val="23"/>
          <w:sz w:val="19"/>
        </w:rPr>
        <w:t> </w:t>
      </w:r>
      <w:r>
        <w:rPr>
          <w:rFonts w:ascii="Microsoft Sans Serif" w:hAnsi="Microsoft Sans Serif"/>
          <w:sz w:val="19"/>
        </w:rPr>
        <w:t>em</w:t>
      </w:r>
      <w:r>
        <w:rPr>
          <w:rFonts w:ascii="Microsoft Sans Serif" w:hAnsi="Microsoft Sans Serif"/>
          <w:spacing w:val="23"/>
          <w:sz w:val="19"/>
        </w:rPr>
        <w:t> </w:t>
      </w:r>
      <w:r>
        <w:rPr>
          <w:rFonts w:ascii="Microsoft Sans Serif" w:hAnsi="Microsoft Sans Serif"/>
          <w:sz w:val="19"/>
        </w:rPr>
        <w:t>corte</w:t>
      </w:r>
      <w:r>
        <w:rPr>
          <w:rFonts w:ascii="Microsoft Sans Serif" w:hAnsi="Microsoft Sans Serif"/>
          <w:spacing w:val="31"/>
          <w:sz w:val="19"/>
        </w:rPr>
        <w:t> </w:t>
      </w:r>
      <w:r>
        <w:rPr>
          <w:rFonts w:ascii="Microsoft Sans Serif" w:hAnsi="Microsoft Sans Serif"/>
          <w:sz w:val="19"/>
        </w:rPr>
        <w:t>longitudinal</w:t>
      </w:r>
      <w:r>
        <w:rPr>
          <w:rFonts w:ascii="Microsoft Sans Serif" w:hAnsi="Microsoft Sans Serif"/>
          <w:spacing w:val="31"/>
          <w:sz w:val="19"/>
        </w:rPr>
        <w:t> </w:t>
      </w:r>
      <w:r>
        <w:rPr>
          <w:rFonts w:ascii="Microsoft Sans Serif" w:hAnsi="Microsoft Sans Serif"/>
          <w:sz w:val="19"/>
        </w:rPr>
        <w:t>paraesternal</w:t>
      </w:r>
      <w:r>
        <w:rPr>
          <w:rFonts w:ascii="Microsoft Sans Serif" w:hAnsi="Microsoft Sans Serif"/>
          <w:spacing w:val="31"/>
          <w:sz w:val="19"/>
        </w:rPr>
        <w:t> </w:t>
      </w:r>
      <w:r>
        <w:rPr>
          <w:rFonts w:ascii="Microsoft Sans Serif" w:hAnsi="Microsoft Sans Serif"/>
          <w:sz w:val="19"/>
        </w:rPr>
        <w:t>do</w:t>
      </w:r>
      <w:r>
        <w:rPr>
          <w:rFonts w:ascii="Microsoft Sans Serif" w:hAnsi="Microsoft Sans Serif"/>
          <w:spacing w:val="31"/>
          <w:sz w:val="19"/>
        </w:rPr>
        <w:t> </w:t>
      </w:r>
      <w:r>
        <w:rPr>
          <w:rFonts w:ascii="Microsoft Sans Serif" w:hAnsi="Microsoft Sans Serif"/>
          <w:sz w:val="19"/>
        </w:rPr>
        <w:t>ecocardiograma</w:t>
      </w:r>
      <w:r>
        <w:rPr>
          <w:rFonts w:ascii="Microsoft Sans Serif" w:hAnsi="Microsoft Sans Serif"/>
          <w:spacing w:val="31"/>
          <w:sz w:val="19"/>
        </w:rPr>
        <w:t> </w:t>
      </w:r>
      <w:r>
        <w:rPr>
          <w:rFonts w:ascii="Microsoft Sans Serif" w:hAnsi="Microsoft Sans Serif"/>
          <w:sz w:val="19"/>
        </w:rPr>
        <w:t>bidimensional. AE</w:t>
      </w:r>
      <w:r>
        <w:rPr>
          <w:rFonts w:ascii="Microsoft Sans Serif" w:hAnsi="Microsoft Sans Serif"/>
          <w:spacing w:val="23"/>
          <w:sz w:val="19"/>
        </w:rPr>
        <w:t> </w:t>
      </w:r>
      <w:r>
        <w:rPr>
          <w:rFonts w:ascii="Microsoft Sans Serif" w:hAnsi="Microsoft Sans Serif"/>
          <w:sz w:val="19"/>
        </w:rPr>
        <w:t>= átrio</w:t>
      </w:r>
      <w:r>
        <w:rPr>
          <w:rFonts w:ascii="Microsoft Sans Serif" w:hAnsi="Microsoft Sans Serif"/>
          <w:spacing w:val="33"/>
          <w:sz w:val="19"/>
        </w:rPr>
        <w:t> </w:t>
      </w:r>
      <w:r>
        <w:rPr>
          <w:rFonts w:ascii="Microsoft Sans Serif" w:hAnsi="Microsoft Sans Serif"/>
          <w:sz w:val="19"/>
        </w:rPr>
        <w:t>esquerdo;</w:t>
      </w:r>
      <w:r>
        <w:rPr>
          <w:rFonts w:ascii="Microsoft Sans Serif" w:hAnsi="Microsoft Sans Serif"/>
          <w:spacing w:val="20"/>
          <w:sz w:val="19"/>
        </w:rPr>
        <w:t> </w:t>
      </w:r>
      <w:r>
        <w:rPr>
          <w:rFonts w:ascii="Microsoft Sans Serif" w:hAnsi="Microsoft Sans Serif"/>
          <w:sz w:val="19"/>
        </w:rPr>
        <w:t>Ao</w:t>
      </w:r>
      <w:r>
        <w:rPr>
          <w:rFonts w:ascii="Microsoft Sans Serif" w:hAnsi="Microsoft Sans Serif"/>
          <w:spacing w:val="33"/>
          <w:sz w:val="19"/>
        </w:rPr>
        <w:t> </w:t>
      </w:r>
      <w:r>
        <w:rPr>
          <w:rFonts w:ascii="Microsoft Sans Serif" w:hAnsi="Microsoft Sans Serif"/>
          <w:sz w:val="19"/>
        </w:rPr>
        <w:t>=</w:t>
      </w:r>
      <w:r>
        <w:rPr>
          <w:rFonts w:ascii="Microsoft Sans Serif" w:hAnsi="Microsoft Sans Serif"/>
          <w:spacing w:val="26"/>
          <w:sz w:val="19"/>
        </w:rPr>
        <w:t> </w:t>
      </w:r>
      <w:r>
        <w:rPr>
          <w:rFonts w:ascii="Microsoft Sans Serif" w:hAnsi="Microsoft Sans Serif"/>
          <w:sz w:val="19"/>
        </w:rPr>
        <w:t>aorta;</w:t>
      </w:r>
      <w:r>
        <w:rPr>
          <w:rFonts w:ascii="Microsoft Sans Serif" w:hAnsi="Microsoft Sans Serif"/>
          <w:spacing w:val="20"/>
          <w:sz w:val="19"/>
        </w:rPr>
        <w:t> </w:t>
      </w:r>
      <w:r>
        <w:rPr>
          <w:rFonts w:ascii="Microsoft Sans Serif" w:hAnsi="Microsoft Sans Serif"/>
          <w:sz w:val="19"/>
        </w:rPr>
        <w:t>VD</w:t>
      </w:r>
      <w:r>
        <w:rPr>
          <w:rFonts w:ascii="Microsoft Sans Serif" w:hAnsi="Microsoft Sans Serif"/>
          <w:spacing w:val="33"/>
          <w:sz w:val="19"/>
        </w:rPr>
        <w:t> </w:t>
      </w:r>
      <w:r>
        <w:rPr>
          <w:rFonts w:ascii="Microsoft Sans Serif" w:hAnsi="Microsoft Sans Serif"/>
          <w:sz w:val="19"/>
        </w:rPr>
        <w:t>=</w:t>
      </w:r>
      <w:r>
        <w:rPr>
          <w:rFonts w:ascii="Microsoft Sans Serif" w:hAnsi="Microsoft Sans Serif"/>
          <w:spacing w:val="26"/>
          <w:sz w:val="19"/>
        </w:rPr>
        <w:t> </w:t>
      </w:r>
      <w:r>
        <w:rPr>
          <w:rFonts w:ascii="Microsoft Sans Serif" w:hAnsi="Microsoft Sans Serif"/>
          <w:sz w:val="19"/>
        </w:rPr>
        <w:t>ventrículo</w:t>
      </w:r>
      <w:r>
        <w:rPr>
          <w:rFonts w:ascii="Microsoft Sans Serif" w:hAnsi="Microsoft Sans Serif"/>
          <w:spacing w:val="33"/>
          <w:sz w:val="19"/>
        </w:rPr>
        <w:t> </w:t>
      </w:r>
      <w:r>
        <w:rPr>
          <w:rFonts w:ascii="Microsoft Sans Serif" w:hAnsi="Microsoft Sans Serif"/>
          <w:sz w:val="19"/>
        </w:rPr>
        <w:t>direito;</w:t>
      </w:r>
      <w:r>
        <w:rPr>
          <w:rFonts w:ascii="Microsoft Sans Serif" w:hAnsi="Microsoft Sans Serif"/>
          <w:spacing w:val="20"/>
          <w:sz w:val="19"/>
        </w:rPr>
        <w:t> </w:t>
      </w:r>
      <w:r>
        <w:rPr>
          <w:rFonts w:ascii="Microsoft Sans Serif" w:hAnsi="Microsoft Sans Serif"/>
          <w:sz w:val="19"/>
        </w:rPr>
        <w:t>VE</w:t>
      </w:r>
      <w:r>
        <w:rPr>
          <w:rFonts w:ascii="Microsoft Sans Serif" w:hAnsi="Microsoft Sans Serif"/>
          <w:spacing w:val="26"/>
          <w:sz w:val="19"/>
        </w:rPr>
        <w:t> </w:t>
      </w:r>
      <w:r>
        <w:rPr>
          <w:rFonts w:ascii="Microsoft Sans Serif" w:hAnsi="Microsoft Sans Serif"/>
          <w:sz w:val="19"/>
        </w:rPr>
        <w:t>=</w:t>
      </w:r>
      <w:r>
        <w:rPr>
          <w:rFonts w:ascii="Microsoft Sans Serif" w:hAnsi="Microsoft Sans Serif"/>
          <w:spacing w:val="26"/>
          <w:sz w:val="19"/>
        </w:rPr>
        <w:t> </w:t>
      </w:r>
      <w:r>
        <w:rPr>
          <w:rFonts w:ascii="Microsoft Sans Serif" w:hAnsi="Microsoft Sans Serif"/>
          <w:sz w:val="19"/>
        </w:rPr>
        <w:t>ventrículo</w:t>
      </w:r>
      <w:r>
        <w:rPr>
          <w:rFonts w:ascii="Microsoft Sans Serif" w:hAnsi="Microsoft Sans Serif"/>
          <w:spacing w:val="33"/>
          <w:sz w:val="19"/>
        </w:rPr>
        <w:t> </w:t>
      </w:r>
      <w:r>
        <w:rPr>
          <w:rFonts w:ascii="Microsoft Sans Serif" w:hAnsi="Microsoft Sans Serif"/>
          <w:sz w:val="19"/>
        </w:rPr>
        <w:t>esquerdo.</w:t>
      </w:r>
      <w:r>
        <w:rPr>
          <w:rFonts w:ascii="Microsoft Sans Serif" w:hAnsi="Microsoft Sans Serif"/>
          <w:spacing w:val="20"/>
          <w:sz w:val="19"/>
        </w:rPr>
        <w:t> </w:t>
      </w:r>
      <w:r>
        <w:rPr>
          <w:rFonts w:ascii="Microsoft Sans Serif" w:hAnsi="Microsoft Sans Serif"/>
          <w:sz w:val="19"/>
        </w:rPr>
        <w:t>(Cedida</w:t>
      </w:r>
      <w:r>
        <w:rPr>
          <w:rFonts w:ascii="Microsoft Sans Serif" w:hAnsi="Microsoft Sans Serif"/>
          <w:spacing w:val="33"/>
          <w:sz w:val="19"/>
        </w:rPr>
        <w:t> </w:t>
      </w:r>
      <w:r>
        <w:rPr>
          <w:rFonts w:ascii="Microsoft Sans Serif" w:hAnsi="Microsoft Sans Serif"/>
          <w:sz w:val="19"/>
        </w:rPr>
        <w:t>pelo</w:t>
      </w:r>
      <w:r>
        <w:rPr>
          <w:rFonts w:ascii="Microsoft Sans Serif" w:hAnsi="Microsoft Sans Serif"/>
          <w:spacing w:val="34"/>
          <w:sz w:val="19"/>
        </w:rPr>
        <w:t> </w:t>
      </w:r>
      <w:r>
        <w:rPr>
          <w:rFonts w:ascii="Microsoft Sans Serif" w:hAnsi="Microsoft Sans Serif"/>
          <w:sz w:val="19"/>
        </w:rPr>
        <w:t>Dr.</w:t>
      </w:r>
      <w:r>
        <w:rPr>
          <w:rFonts w:ascii="Microsoft Sans Serif" w:hAnsi="Microsoft Sans Serif"/>
          <w:spacing w:val="19"/>
          <w:sz w:val="19"/>
        </w:rPr>
        <w:t> </w:t>
      </w:r>
      <w:r>
        <w:rPr>
          <w:rFonts w:ascii="Microsoft Sans Serif" w:hAnsi="Microsoft Sans Serif"/>
          <w:sz w:val="19"/>
        </w:rPr>
        <w:t>Marcos</w:t>
      </w:r>
      <w:r>
        <w:rPr>
          <w:rFonts w:ascii="Microsoft Sans Serif" w:hAnsi="Microsoft Sans Serif"/>
          <w:spacing w:val="26"/>
          <w:sz w:val="19"/>
        </w:rPr>
        <w:t> </w:t>
      </w:r>
      <w:r>
        <w:rPr>
          <w:rFonts w:ascii="Microsoft Sans Serif" w:hAnsi="Microsoft Sans Serif"/>
          <w:sz w:val="19"/>
        </w:rPr>
        <w:t>Valério</w:t>
      </w:r>
      <w:r>
        <w:rPr>
          <w:rFonts w:ascii="Microsoft Sans Serif" w:hAnsi="Microsoft Sans Serif"/>
          <w:spacing w:val="34"/>
          <w:sz w:val="19"/>
        </w:rPr>
        <w:t> </w:t>
      </w:r>
      <w:r>
        <w:rPr>
          <w:rFonts w:ascii="Microsoft Sans Serif" w:hAnsi="Microsoft Sans Serif"/>
          <w:spacing w:val="-2"/>
          <w:sz w:val="19"/>
        </w:rPr>
        <w:t>Resende,</w:t>
      </w:r>
    </w:p>
    <w:p>
      <w:pPr>
        <w:spacing w:after="0" w:line="285" w:lineRule="auto"/>
        <w:jc w:val="left"/>
        <w:rPr>
          <w:rFonts w:ascii="Microsoft Sans Serif" w:hAnsi="Microsoft Sans Serif"/>
          <w:sz w:val="19"/>
        </w:rPr>
        <w:sectPr>
          <w:pgSz w:w="11900" w:h="16840"/>
          <w:pgMar w:top="220" w:bottom="280" w:left="566" w:right="141"/>
        </w:sectPr>
      </w:pPr>
    </w:p>
    <w:p>
      <w:pPr>
        <w:spacing w:before="73"/>
        <w:ind w:left="68" w:right="0" w:firstLine="0"/>
        <w:jc w:val="left"/>
        <w:rPr>
          <w:rFonts w:ascii="Microsoft Sans Serif" w:hAnsi="Microsoft Sans Serif"/>
          <w:sz w:val="19"/>
        </w:rPr>
      </w:pPr>
      <w:r>
        <w:rPr>
          <w:rFonts w:ascii="Microsoft Sans Serif" w:hAnsi="Microsoft Sans Serif"/>
          <w:sz w:val="19"/>
        </w:rPr>
        <w:t>do</w:t>
      </w:r>
      <w:r>
        <w:rPr>
          <w:rFonts w:ascii="Microsoft Sans Serif" w:hAnsi="Microsoft Sans Serif"/>
          <w:spacing w:val="15"/>
          <w:sz w:val="19"/>
        </w:rPr>
        <w:t> </w:t>
      </w:r>
      <w:r>
        <w:rPr>
          <w:rFonts w:ascii="Microsoft Sans Serif" w:hAnsi="Microsoft Sans Serif"/>
          <w:sz w:val="19"/>
        </w:rPr>
        <w:t>Serviço</w:t>
      </w:r>
      <w:r>
        <w:rPr>
          <w:rFonts w:ascii="Microsoft Sans Serif" w:hAnsi="Microsoft Sans Serif"/>
          <w:spacing w:val="16"/>
          <w:sz w:val="19"/>
        </w:rPr>
        <w:t> </w:t>
      </w:r>
      <w:r>
        <w:rPr>
          <w:rFonts w:ascii="Microsoft Sans Serif" w:hAnsi="Microsoft Sans Serif"/>
          <w:sz w:val="19"/>
        </w:rPr>
        <w:t>de</w:t>
      </w:r>
      <w:r>
        <w:rPr>
          <w:rFonts w:ascii="Microsoft Sans Serif" w:hAnsi="Microsoft Sans Serif"/>
          <w:spacing w:val="16"/>
          <w:sz w:val="19"/>
        </w:rPr>
        <w:t> </w:t>
      </w:r>
      <w:r>
        <w:rPr>
          <w:rFonts w:ascii="Microsoft Sans Serif" w:hAnsi="Microsoft Sans Serif"/>
          <w:sz w:val="19"/>
        </w:rPr>
        <w:t>Ecocardiografia</w:t>
      </w:r>
      <w:r>
        <w:rPr>
          <w:rFonts w:ascii="Microsoft Sans Serif" w:hAnsi="Microsoft Sans Serif"/>
          <w:spacing w:val="16"/>
          <w:sz w:val="19"/>
        </w:rPr>
        <w:t> </w:t>
      </w:r>
      <w:r>
        <w:rPr>
          <w:rFonts w:ascii="Microsoft Sans Serif" w:hAnsi="Microsoft Sans Serif"/>
          <w:sz w:val="19"/>
        </w:rPr>
        <w:t>do</w:t>
      </w:r>
      <w:r>
        <w:rPr>
          <w:rFonts w:ascii="Microsoft Sans Serif" w:hAnsi="Microsoft Sans Serif"/>
          <w:spacing w:val="16"/>
          <w:sz w:val="19"/>
        </w:rPr>
        <w:t> </w:t>
      </w:r>
      <w:r>
        <w:rPr>
          <w:rFonts w:ascii="Microsoft Sans Serif" w:hAnsi="Microsoft Sans Serif"/>
          <w:sz w:val="19"/>
        </w:rPr>
        <w:t>Instituto</w:t>
      </w:r>
      <w:r>
        <w:rPr>
          <w:rFonts w:ascii="Microsoft Sans Serif" w:hAnsi="Microsoft Sans Serif"/>
          <w:spacing w:val="16"/>
          <w:sz w:val="19"/>
        </w:rPr>
        <w:t> </w:t>
      </w:r>
      <w:r>
        <w:rPr>
          <w:rFonts w:ascii="Microsoft Sans Serif" w:hAnsi="Microsoft Sans Serif"/>
          <w:sz w:val="19"/>
        </w:rPr>
        <w:t>do</w:t>
      </w:r>
      <w:r>
        <w:rPr>
          <w:rFonts w:ascii="Microsoft Sans Serif" w:hAnsi="Microsoft Sans Serif"/>
          <w:spacing w:val="16"/>
          <w:sz w:val="19"/>
        </w:rPr>
        <w:t> </w:t>
      </w:r>
      <w:r>
        <w:rPr>
          <w:rFonts w:ascii="Microsoft Sans Serif" w:hAnsi="Microsoft Sans Serif"/>
          <w:sz w:val="19"/>
        </w:rPr>
        <w:t>Coração</w:t>
      </w:r>
      <w:r>
        <w:rPr>
          <w:rFonts w:ascii="Microsoft Sans Serif" w:hAnsi="Microsoft Sans Serif"/>
          <w:spacing w:val="15"/>
          <w:sz w:val="19"/>
        </w:rPr>
        <w:t> </w:t>
      </w:r>
      <w:r>
        <w:rPr>
          <w:rFonts w:ascii="Microsoft Sans Serif" w:hAnsi="Microsoft Sans Serif"/>
          <w:spacing w:val="-2"/>
          <w:sz w:val="19"/>
        </w:rPr>
        <w:t>[InCor].)</w:t>
      </w:r>
    </w:p>
    <w:p>
      <w:pPr>
        <w:spacing w:after="0"/>
        <w:jc w:val="left"/>
        <w:rPr>
          <w:rFonts w:ascii="Microsoft Sans Serif" w:hAnsi="Microsoft Sans Serif"/>
          <w:sz w:val="19"/>
        </w:rPr>
        <w:sectPr>
          <w:pgSz w:w="11900" w:h="16840"/>
          <w:pgMar w:top="220" w:bottom="280" w:left="566" w:right="141"/>
        </w:sectPr>
      </w:pPr>
    </w:p>
    <w:p>
      <w:pPr>
        <w:pStyle w:val="Heading1"/>
        <w:spacing w:line="345" w:lineRule="auto"/>
        <w:ind w:right="6808"/>
      </w:pPr>
      <w:r>
        <w:rPr/>
        <mc:AlternateContent>
          <mc:Choice Requires="wps">
            <w:drawing>
              <wp:anchor distT="0" distB="0" distL="0" distR="0" allowOverlap="1" layoutInCell="1" locked="0" behindDoc="0" simplePos="0" relativeHeight="15736832">
                <wp:simplePos x="0" y="0"/>
                <wp:positionH relativeFrom="page">
                  <wp:posOffset>401543</wp:posOffset>
                </wp:positionH>
                <wp:positionV relativeFrom="paragraph">
                  <wp:posOffset>481035</wp:posOffset>
                </wp:positionV>
                <wp:extent cx="6753225" cy="1079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7.876801pt;width:531.731217pt;height:.8008pt;mso-position-horizontal-relative:page;mso-position-vertical-relative:paragraph;z-index:15736832" id="docshape11" filled="true" fillcolor="#242b67" stroked="false">
                <v:fill type="solid"/>
                <w10:wrap type="none"/>
              </v:rect>
            </w:pict>
          </mc:Fallback>
        </mc:AlternateContent>
      </w:r>
      <w:r>
        <w:rPr/>
        <mc:AlternateContent>
          <mc:Choice Requires="wps">
            <w:drawing>
              <wp:anchor distT="0" distB="0" distL="0" distR="0" allowOverlap="1" layoutInCell="1" locked="0" behindDoc="0" simplePos="0" relativeHeight="15737344">
                <wp:simplePos x="0" y="0"/>
                <wp:positionH relativeFrom="page">
                  <wp:posOffset>401543</wp:posOffset>
                </wp:positionH>
                <wp:positionV relativeFrom="paragraph">
                  <wp:posOffset>1009883</wp:posOffset>
                </wp:positionV>
                <wp:extent cx="6753225" cy="1079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79.518402pt;width:531.731217pt;height:.8008pt;mso-position-horizontal-relative:page;mso-position-vertical-relative:paragraph;z-index:15737344" id="docshape12" filled="true" fillcolor="#242b67" stroked="false">
                <v:fill type="solid"/>
                <w10:wrap type="none"/>
              </v:rect>
            </w:pict>
          </mc:Fallback>
        </mc:AlternateContent>
      </w:r>
      <w:r>
        <w:rPr>
          <w:color w:val="A26108"/>
        </w:rPr>
        <w:t>Capítulo 52 Trauma </w:t>
      </w:r>
      <w:r>
        <w:rPr>
          <w:color w:val="A26108"/>
        </w:rPr>
        <w:t>Cardíaco</w:t>
      </w:r>
    </w:p>
    <w:p>
      <w:pPr>
        <w:spacing w:line="270" w:lineRule="exact" w:before="0"/>
        <w:ind w:left="68" w:right="0" w:firstLine="0"/>
        <w:jc w:val="left"/>
        <w:rPr>
          <w:rFonts w:ascii="Arial"/>
          <w:i/>
          <w:sz w:val="25"/>
        </w:rPr>
      </w:pPr>
      <w:r>
        <w:rPr>
          <w:rFonts w:ascii="Arial"/>
          <w:i/>
          <w:sz w:val="25"/>
        </w:rPr>
        <w:t>Leonardo</w:t>
      </w:r>
      <w:r>
        <w:rPr>
          <w:rFonts w:ascii="Arial"/>
          <w:i/>
          <w:spacing w:val="17"/>
          <w:sz w:val="25"/>
        </w:rPr>
        <w:t> </w:t>
      </w:r>
      <w:r>
        <w:rPr>
          <w:rFonts w:ascii="Arial"/>
          <w:i/>
          <w:sz w:val="25"/>
        </w:rPr>
        <w:t>Fernando</w:t>
      </w:r>
      <w:r>
        <w:rPr>
          <w:rFonts w:ascii="Arial"/>
          <w:i/>
          <w:spacing w:val="17"/>
          <w:sz w:val="25"/>
        </w:rPr>
        <w:t> </w:t>
      </w:r>
      <w:r>
        <w:rPr>
          <w:rFonts w:ascii="Arial"/>
          <w:i/>
          <w:sz w:val="25"/>
        </w:rPr>
        <w:t>Ferrari</w:t>
      </w:r>
      <w:r>
        <w:rPr>
          <w:rFonts w:ascii="Arial"/>
          <w:i/>
          <w:spacing w:val="17"/>
          <w:sz w:val="25"/>
        </w:rPr>
        <w:t> </w:t>
      </w:r>
      <w:r>
        <w:rPr>
          <w:rFonts w:ascii="Arial"/>
          <w:i/>
          <w:sz w:val="25"/>
        </w:rPr>
        <w:t>Nogueira</w:t>
      </w:r>
      <w:r>
        <w:rPr>
          <w:rFonts w:ascii="Arial"/>
          <w:i/>
          <w:spacing w:val="18"/>
          <w:sz w:val="25"/>
        </w:rPr>
        <w:t> </w:t>
      </w:r>
      <w:r>
        <w:rPr>
          <w:rFonts w:ascii="Arial"/>
          <w:i/>
          <w:sz w:val="25"/>
        </w:rPr>
        <w:t>e</w:t>
      </w:r>
      <w:r>
        <w:rPr>
          <w:rFonts w:ascii="Arial"/>
          <w:i/>
          <w:spacing w:val="17"/>
          <w:sz w:val="25"/>
        </w:rPr>
        <w:t> </w:t>
      </w:r>
      <w:r>
        <w:rPr>
          <w:rFonts w:ascii="Arial"/>
          <w:i/>
          <w:sz w:val="25"/>
        </w:rPr>
        <w:t>Antonio</w:t>
      </w:r>
      <w:r>
        <w:rPr>
          <w:rFonts w:ascii="Arial"/>
          <w:i/>
          <w:spacing w:val="17"/>
          <w:sz w:val="25"/>
        </w:rPr>
        <w:t> </w:t>
      </w:r>
      <w:r>
        <w:rPr>
          <w:rFonts w:ascii="Arial"/>
          <w:i/>
          <w:sz w:val="25"/>
        </w:rPr>
        <w:t>Carlos</w:t>
      </w:r>
      <w:r>
        <w:rPr>
          <w:rFonts w:ascii="Arial"/>
          <w:i/>
          <w:spacing w:val="17"/>
          <w:sz w:val="25"/>
        </w:rPr>
        <w:t> </w:t>
      </w:r>
      <w:r>
        <w:rPr>
          <w:rFonts w:ascii="Arial"/>
          <w:i/>
          <w:sz w:val="25"/>
        </w:rPr>
        <w:t>Palandri</w:t>
      </w:r>
      <w:r>
        <w:rPr>
          <w:rFonts w:ascii="Arial"/>
          <w:i/>
          <w:spacing w:val="18"/>
          <w:sz w:val="25"/>
        </w:rPr>
        <w:t> </w:t>
      </w:r>
      <w:r>
        <w:rPr>
          <w:rFonts w:ascii="Arial"/>
          <w:i/>
          <w:spacing w:val="-2"/>
          <w:sz w:val="25"/>
        </w:rPr>
        <w:t>Chagas</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spacing w:before="1"/>
      </w:pPr>
      <w:r>
        <w:rPr>
          <w:color w:val="242B67"/>
          <w:spacing w:val="-2"/>
        </w:rPr>
        <w:t>Introdução</w:t>
      </w:r>
    </w:p>
    <w:p>
      <w:pPr>
        <w:pStyle w:val="BodyText"/>
        <w:spacing w:line="278" w:lineRule="auto" w:before="131"/>
        <w:ind w:right="488"/>
      </w:pPr>
      <w:r>
        <w:rPr/>
        <w:t>A violência em grandes centros urbanos vem sendo alvo de preocupação crescente da população brasileira. O trauma</w:t>
      </w:r>
      <w:r>
        <w:rPr>
          <w:spacing w:val="-2"/>
        </w:rPr>
        <w:t> </w:t>
      </w:r>
      <w:r>
        <w:rPr/>
        <w:t>mata</w:t>
      </w:r>
      <w:r>
        <w:rPr>
          <w:spacing w:val="-2"/>
        </w:rPr>
        <w:t> </w:t>
      </w:r>
      <w:r>
        <w:rPr/>
        <w:t>mais de</w:t>
      </w:r>
      <w:r>
        <w:rPr>
          <w:spacing w:val="-2"/>
        </w:rPr>
        <w:t> </w:t>
      </w:r>
      <w:r>
        <w:rPr/>
        <w:t>130.000 pessoas por ano no Brasil, ocupa</w:t>
      </w:r>
      <w:r>
        <w:rPr>
          <w:spacing w:val="-2"/>
        </w:rPr>
        <w:t> </w:t>
      </w:r>
      <w:r>
        <w:rPr/>
        <w:t>a</w:t>
      </w:r>
      <w:r>
        <w:rPr>
          <w:spacing w:val="-2"/>
        </w:rPr>
        <w:t> </w:t>
      </w:r>
      <w:r>
        <w:rPr/>
        <w:t>terceira</w:t>
      </w:r>
      <w:r>
        <w:rPr>
          <w:spacing w:val="-2"/>
        </w:rPr>
        <w:t> </w:t>
      </w:r>
      <w:r>
        <w:rPr/>
        <w:t>posição no </w:t>
      </w:r>
      <w:r>
        <w:rPr>
          <w:i/>
        </w:rPr>
        <w:t>ranking</w:t>
      </w:r>
      <w:r>
        <w:rPr>
          <w:i/>
          <w:spacing w:val="-1"/>
        </w:rPr>
        <w:t> </w:t>
      </w:r>
      <w:r>
        <w:rPr/>
        <w:t>de</w:t>
      </w:r>
      <w:r>
        <w:rPr>
          <w:spacing w:val="-3"/>
        </w:rPr>
        <w:t> </w:t>
      </w:r>
      <w:r>
        <w:rPr/>
        <w:t>mortalidade</w:t>
      </w:r>
      <w:r>
        <w:rPr>
          <w:spacing w:val="-3"/>
        </w:rPr>
        <w:t> </w:t>
      </w:r>
      <w:r>
        <w:rPr/>
        <w:t>total e perde apenas para doenças cardiovasculares e neoplasias. Esses números são crescentes e nos últimos 3 anos ultrapassaram as 150.000 mortes anuais, havendo uma concentração na faixa etária dos 15 aos 49 anos.</w:t>
      </w:r>
      <w:r>
        <w:rPr>
          <w:vertAlign w:val="superscript"/>
        </w:rPr>
        <w:t>1</w:t>
      </w:r>
      <w:r>
        <w:rPr>
          <w:vertAlign w:val="baseline"/>
        </w:rPr>
        <w:t> Isso provoca</w:t>
      </w:r>
      <w:r>
        <w:rPr>
          <w:spacing w:val="-7"/>
          <w:vertAlign w:val="baseline"/>
        </w:rPr>
        <w:t> </w:t>
      </w:r>
      <w:r>
        <w:rPr>
          <w:vertAlign w:val="baseline"/>
        </w:rPr>
        <w:t>uma</w:t>
      </w:r>
      <w:r>
        <w:rPr>
          <w:spacing w:val="-7"/>
          <w:vertAlign w:val="baseline"/>
        </w:rPr>
        <w:t> </w:t>
      </w:r>
      <w:r>
        <w:rPr>
          <w:vertAlign w:val="baseline"/>
        </w:rPr>
        <w:t>perda</w:t>
      </w:r>
      <w:r>
        <w:rPr>
          <w:spacing w:val="-7"/>
          <w:vertAlign w:val="baseline"/>
        </w:rPr>
        <w:t> </w:t>
      </w:r>
      <w:r>
        <w:rPr>
          <w:vertAlign w:val="baseline"/>
        </w:rPr>
        <w:t>no</w:t>
      </w:r>
      <w:r>
        <w:rPr>
          <w:spacing w:val="-4"/>
          <w:vertAlign w:val="baseline"/>
        </w:rPr>
        <w:t> </w:t>
      </w:r>
      <w:r>
        <w:rPr>
          <w:vertAlign w:val="baseline"/>
        </w:rPr>
        <w:t>potencial</w:t>
      </w:r>
      <w:r>
        <w:rPr>
          <w:spacing w:val="-2"/>
          <w:vertAlign w:val="baseline"/>
        </w:rPr>
        <w:t> </w:t>
      </w:r>
      <w:r>
        <w:rPr>
          <w:vertAlign w:val="baseline"/>
        </w:rPr>
        <w:t>produtivo</w:t>
      </w:r>
      <w:r>
        <w:rPr>
          <w:spacing w:val="-4"/>
          <w:vertAlign w:val="baseline"/>
        </w:rPr>
        <w:t> </w:t>
      </w:r>
      <w:r>
        <w:rPr>
          <w:vertAlign w:val="baseline"/>
        </w:rPr>
        <w:t>do</w:t>
      </w:r>
      <w:r>
        <w:rPr>
          <w:spacing w:val="-4"/>
          <w:vertAlign w:val="baseline"/>
        </w:rPr>
        <w:t> </w:t>
      </w:r>
      <w:r>
        <w:rPr>
          <w:vertAlign w:val="baseline"/>
        </w:rPr>
        <w:t>país, já</w:t>
      </w:r>
      <w:r>
        <w:rPr>
          <w:spacing w:val="-7"/>
          <w:vertAlign w:val="baseline"/>
        </w:rPr>
        <w:t> </w:t>
      </w:r>
      <w:r>
        <w:rPr>
          <w:vertAlign w:val="baseline"/>
        </w:rPr>
        <w:t>que</w:t>
      </w:r>
      <w:r>
        <w:rPr>
          <w:spacing w:val="-7"/>
          <w:vertAlign w:val="baseline"/>
        </w:rPr>
        <w:t> </w:t>
      </w:r>
      <w:r>
        <w:rPr>
          <w:vertAlign w:val="baseline"/>
        </w:rPr>
        <w:t>acomete</w:t>
      </w:r>
      <w:r>
        <w:rPr>
          <w:spacing w:val="-7"/>
          <w:vertAlign w:val="baseline"/>
        </w:rPr>
        <w:t> </w:t>
      </w:r>
      <w:r>
        <w:rPr>
          <w:vertAlign w:val="baseline"/>
        </w:rPr>
        <w:t>a</w:t>
      </w:r>
      <w:r>
        <w:rPr>
          <w:spacing w:val="-7"/>
          <w:vertAlign w:val="baseline"/>
        </w:rPr>
        <w:t> </w:t>
      </w:r>
      <w:r>
        <w:rPr>
          <w:vertAlign w:val="baseline"/>
        </w:rPr>
        <w:t>faixa</w:t>
      </w:r>
      <w:r>
        <w:rPr>
          <w:spacing w:val="-7"/>
          <w:vertAlign w:val="baseline"/>
        </w:rPr>
        <w:t> </w:t>
      </w:r>
      <w:r>
        <w:rPr>
          <w:vertAlign w:val="baseline"/>
        </w:rPr>
        <w:t>etária</w:t>
      </w:r>
      <w:r>
        <w:rPr>
          <w:spacing w:val="-7"/>
          <w:vertAlign w:val="baseline"/>
        </w:rPr>
        <w:t> </w:t>
      </w:r>
      <w:r>
        <w:rPr>
          <w:vertAlign w:val="baseline"/>
        </w:rPr>
        <w:t>de</w:t>
      </w:r>
      <w:r>
        <w:rPr>
          <w:spacing w:val="-7"/>
          <w:vertAlign w:val="baseline"/>
        </w:rPr>
        <w:t> </w:t>
      </w:r>
      <w:r>
        <w:rPr>
          <w:vertAlign w:val="baseline"/>
        </w:rPr>
        <w:t>maior produção</w:t>
      </w:r>
      <w:r>
        <w:rPr>
          <w:spacing w:val="-4"/>
          <w:vertAlign w:val="baseline"/>
        </w:rPr>
        <w:t> </w:t>
      </w:r>
      <w:r>
        <w:rPr>
          <w:vertAlign w:val="baseline"/>
        </w:rPr>
        <w:t>socioeconômica e cultural.</w:t>
      </w:r>
    </w:p>
    <w:p>
      <w:pPr>
        <w:pStyle w:val="BodyText"/>
        <w:spacing w:line="278" w:lineRule="auto"/>
        <w:ind w:right="488"/>
      </w:pPr>
      <w:r>
        <w:rPr/>
        <w:t>Nos EUA, estima-se</w:t>
      </w:r>
      <w:r>
        <w:rPr>
          <w:spacing w:val="-1"/>
        </w:rPr>
        <w:t> </w:t>
      </w:r>
      <w:r>
        <w:rPr/>
        <w:t>que</w:t>
      </w:r>
      <w:r>
        <w:rPr>
          <w:spacing w:val="-1"/>
        </w:rPr>
        <w:t> </w:t>
      </w:r>
      <w:r>
        <w:rPr/>
        <w:t>até</w:t>
      </w:r>
      <w:r>
        <w:rPr>
          <w:spacing w:val="-1"/>
        </w:rPr>
        <w:t> </w:t>
      </w:r>
      <w:r>
        <w:rPr/>
        <w:t>15% da</w:t>
      </w:r>
      <w:r>
        <w:rPr>
          <w:spacing w:val="-1"/>
        </w:rPr>
        <w:t> </w:t>
      </w:r>
      <w:r>
        <w:rPr/>
        <w:t>mortalidade</w:t>
      </w:r>
      <w:r>
        <w:rPr>
          <w:spacing w:val="-1"/>
        </w:rPr>
        <w:t> </w:t>
      </w:r>
      <w:r>
        <w:rPr/>
        <w:t>por trauma</w:t>
      </w:r>
      <w:r>
        <w:rPr>
          <w:spacing w:val="-1"/>
        </w:rPr>
        <w:t> </w:t>
      </w:r>
      <w:r>
        <w:rPr/>
        <w:t>seja</w:t>
      </w:r>
      <w:r>
        <w:rPr>
          <w:spacing w:val="-1"/>
        </w:rPr>
        <w:t> </w:t>
      </w:r>
      <w:r>
        <w:rPr/>
        <w:t>causada</w:t>
      </w:r>
      <w:r>
        <w:rPr>
          <w:spacing w:val="-1"/>
        </w:rPr>
        <w:t> </w:t>
      </w:r>
      <w:r>
        <w:rPr/>
        <w:t>por lesão cardíaca, número que</w:t>
      </w:r>
      <w:r>
        <w:rPr>
          <w:spacing w:val="-1"/>
        </w:rPr>
        <w:t> </w:t>
      </w:r>
      <w:r>
        <w:rPr/>
        <w:t>pode se elevar a até 70% em levantamentos associados a acidentes automobilísticos.</w:t>
      </w:r>
      <w:r>
        <w:rPr>
          <w:vertAlign w:val="superscript"/>
        </w:rPr>
        <w:t>2</w:t>
      </w:r>
      <w:r>
        <w:rPr>
          <w:vertAlign w:val="baseline"/>
        </w:rPr>
        <w:t> O mecanismo e a energia cinética do</w:t>
      </w:r>
      <w:r>
        <w:rPr>
          <w:spacing w:val="-2"/>
          <w:vertAlign w:val="baseline"/>
        </w:rPr>
        <w:t> </w:t>
      </w:r>
      <w:r>
        <w:rPr>
          <w:vertAlign w:val="baseline"/>
        </w:rPr>
        <w:t>trauma</w:t>
      </w:r>
      <w:r>
        <w:rPr>
          <w:spacing w:val="-4"/>
          <w:vertAlign w:val="baseline"/>
        </w:rPr>
        <w:t> </w:t>
      </w:r>
      <w:r>
        <w:rPr>
          <w:vertAlign w:val="baseline"/>
        </w:rPr>
        <w:t>irão</w:t>
      </w:r>
      <w:r>
        <w:rPr>
          <w:spacing w:val="-2"/>
          <w:vertAlign w:val="baseline"/>
        </w:rPr>
        <w:t> </w:t>
      </w:r>
      <w:r>
        <w:rPr>
          <w:vertAlign w:val="baseline"/>
        </w:rPr>
        <w:t>definir o</w:t>
      </w:r>
      <w:r>
        <w:rPr>
          <w:spacing w:val="-2"/>
          <w:vertAlign w:val="baseline"/>
        </w:rPr>
        <w:t> </w:t>
      </w:r>
      <w:r>
        <w:rPr>
          <w:vertAlign w:val="baseline"/>
        </w:rPr>
        <w:t>potencial acometimento</w:t>
      </w:r>
      <w:r>
        <w:rPr>
          <w:spacing w:val="-2"/>
          <w:vertAlign w:val="baseline"/>
        </w:rPr>
        <w:t> </w:t>
      </w:r>
      <w:r>
        <w:rPr>
          <w:vertAlign w:val="baseline"/>
        </w:rPr>
        <w:t>cardíaco, que, quando</w:t>
      </w:r>
      <w:r>
        <w:rPr>
          <w:spacing w:val="-2"/>
          <w:vertAlign w:val="baseline"/>
        </w:rPr>
        <w:t> </w:t>
      </w:r>
      <w:r>
        <w:rPr>
          <w:vertAlign w:val="baseline"/>
        </w:rPr>
        <w:t>existir, determinará</w:t>
      </w:r>
      <w:r>
        <w:rPr>
          <w:spacing w:val="-4"/>
          <w:vertAlign w:val="baseline"/>
        </w:rPr>
        <w:t> </w:t>
      </w:r>
      <w:r>
        <w:rPr>
          <w:vertAlign w:val="baseline"/>
        </w:rPr>
        <w:t>um</w:t>
      </w:r>
      <w:r>
        <w:rPr>
          <w:spacing w:val="-2"/>
          <w:vertAlign w:val="baseline"/>
        </w:rPr>
        <w:t> </w:t>
      </w:r>
      <w:r>
        <w:rPr>
          <w:vertAlign w:val="baseline"/>
        </w:rPr>
        <w:t>pior prognóstico. O atendimento inicial ao paciente politraumatizado adequado, seguindo os preceitos do Advanced Trauma Life Support (ATLS), e</w:t>
      </w:r>
      <w:r>
        <w:rPr>
          <w:spacing w:val="-2"/>
          <w:vertAlign w:val="baseline"/>
        </w:rPr>
        <w:t> </w:t>
      </w:r>
      <w:r>
        <w:rPr>
          <w:vertAlign w:val="baseline"/>
        </w:rPr>
        <w:t>o adequado transporte</w:t>
      </w:r>
      <w:r>
        <w:rPr>
          <w:spacing w:val="-2"/>
          <w:vertAlign w:val="baseline"/>
        </w:rPr>
        <w:t> </w:t>
      </w:r>
      <w:r>
        <w:rPr>
          <w:vertAlign w:val="baseline"/>
        </w:rPr>
        <w:t>do paciente</w:t>
      </w:r>
      <w:r>
        <w:rPr>
          <w:spacing w:val="-2"/>
          <w:vertAlign w:val="baseline"/>
        </w:rPr>
        <w:t> </w:t>
      </w:r>
      <w:r>
        <w:rPr>
          <w:vertAlign w:val="baseline"/>
        </w:rPr>
        <w:t>a</w:t>
      </w:r>
      <w:r>
        <w:rPr>
          <w:spacing w:val="-2"/>
          <w:vertAlign w:val="baseline"/>
        </w:rPr>
        <w:t> </w:t>
      </w:r>
      <w:r>
        <w:rPr>
          <w:vertAlign w:val="baseline"/>
        </w:rPr>
        <w:t>centro de</w:t>
      </w:r>
      <w:r>
        <w:rPr>
          <w:spacing w:val="-2"/>
          <w:vertAlign w:val="baseline"/>
        </w:rPr>
        <w:t> </w:t>
      </w:r>
      <w:r>
        <w:rPr>
          <w:vertAlign w:val="baseline"/>
        </w:rPr>
        <w:t>referência</w:t>
      </w:r>
      <w:r>
        <w:rPr>
          <w:spacing w:val="-2"/>
          <w:vertAlign w:val="baseline"/>
        </w:rPr>
        <w:t> </w:t>
      </w:r>
      <w:r>
        <w:rPr>
          <w:vertAlign w:val="baseline"/>
        </w:rPr>
        <w:t>em trauma, serão imprescindíveis para o correto manejo desse doente.</w:t>
      </w:r>
    </w:p>
    <w:p>
      <w:pPr>
        <w:pStyle w:val="BodyText"/>
        <w:spacing w:line="276" w:lineRule="auto" w:before="66"/>
        <w:ind w:right="491"/>
      </w:pPr>
      <w:r>
        <w:rPr/>
        <w:t>Neste</w:t>
      </w:r>
      <w:r>
        <w:rPr>
          <w:spacing w:val="-7"/>
        </w:rPr>
        <w:t> </w:t>
      </w:r>
      <w:r>
        <w:rPr/>
        <w:t>capítulo</w:t>
      </w:r>
      <w:r>
        <w:rPr>
          <w:spacing w:val="-5"/>
        </w:rPr>
        <w:t> </w:t>
      </w:r>
      <w:r>
        <w:rPr/>
        <w:t>serão</w:t>
      </w:r>
      <w:r>
        <w:rPr>
          <w:spacing w:val="-5"/>
        </w:rPr>
        <w:t> </w:t>
      </w:r>
      <w:r>
        <w:rPr/>
        <w:t>discutidas a</w:t>
      </w:r>
      <w:r>
        <w:rPr>
          <w:spacing w:val="-7"/>
        </w:rPr>
        <w:t> </w:t>
      </w:r>
      <w:r>
        <w:rPr/>
        <w:t>classificação</w:t>
      </w:r>
      <w:r>
        <w:rPr>
          <w:spacing w:val="-5"/>
        </w:rPr>
        <w:t> </w:t>
      </w:r>
      <w:r>
        <w:rPr/>
        <w:t>do</w:t>
      </w:r>
      <w:r>
        <w:rPr>
          <w:spacing w:val="-5"/>
        </w:rPr>
        <w:t> </w:t>
      </w:r>
      <w:r>
        <w:rPr/>
        <w:t>trauma</w:t>
      </w:r>
      <w:r>
        <w:rPr>
          <w:spacing w:val="-7"/>
        </w:rPr>
        <w:t> </w:t>
      </w:r>
      <w:r>
        <w:rPr/>
        <w:t>cardíaco, quais lesões cardíacas podem</w:t>
      </w:r>
      <w:r>
        <w:rPr>
          <w:spacing w:val="-5"/>
        </w:rPr>
        <w:t> </w:t>
      </w:r>
      <w:r>
        <w:rPr/>
        <w:t>ocorrer devido ao trauma e suas abordagens iniciais.</w:t>
      </w:r>
    </w:p>
    <w:p>
      <w:pPr>
        <w:pStyle w:val="BodyText"/>
        <w:spacing w:before="185"/>
        <w:ind w:left="0" w:firstLine="0"/>
        <w:jc w:val="left"/>
      </w:pPr>
    </w:p>
    <w:p>
      <w:pPr>
        <w:pStyle w:val="Heading4"/>
      </w:pPr>
      <w:r>
        <w:rPr>
          <w:color w:val="242B67"/>
        </w:rPr>
        <w:t>Classificação e quadro </w:t>
      </w:r>
      <w:r>
        <w:rPr>
          <w:color w:val="242B67"/>
          <w:spacing w:val="-2"/>
        </w:rPr>
        <w:t>clínico</w:t>
      </w:r>
    </w:p>
    <w:p>
      <w:pPr>
        <w:pStyle w:val="BodyText"/>
        <w:spacing w:line="276" w:lineRule="auto" w:before="132"/>
        <w:ind w:right="488"/>
      </w:pPr>
      <w:r>
        <w:rPr/>
        <w:t>O</w:t>
      </w:r>
      <w:r>
        <w:rPr>
          <w:spacing w:val="-5"/>
        </w:rPr>
        <w:t> </w:t>
      </w:r>
      <w:r>
        <w:rPr/>
        <w:t>trauma</w:t>
      </w:r>
      <w:r>
        <w:rPr>
          <w:spacing w:val="-5"/>
        </w:rPr>
        <w:t> </w:t>
      </w:r>
      <w:r>
        <w:rPr/>
        <w:t>cardíaco</w:t>
      </w:r>
      <w:r>
        <w:rPr>
          <w:spacing w:val="-2"/>
        </w:rPr>
        <w:t> </w:t>
      </w:r>
      <w:r>
        <w:rPr/>
        <w:t>será</w:t>
      </w:r>
      <w:r>
        <w:rPr>
          <w:spacing w:val="-5"/>
        </w:rPr>
        <w:t> </w:t>
      </w:r>
      <w:r>
        <w:rPr/>
        <w:t>classificado</w:t>
      </w:r>
      <w:r>
        <w:rPr>
          <w:spacing w:val="-2"/>
        </w:rPr>
        <w:t> </w:t>
      </w:r>
      <w:r>
        <w:rPr/>
        <w:t>de</w:t>
      </w:r>
      <w:r>
        <w:rPr>
          <w:spacing w:val="-5"/>
        </w:rPr>
        <w:t> </w:t>
      </w:r>
      <w:r>
        <w:rPr/>
        <w:t>acordo</w:t>
      </w:r>
      <w:r>
        <w:rPr>
          <w:spacing w:val="-2"/>
        </w:rPr>
        <w:t> </w:t>
      </w:r>
      <w:r>
        <w:rPr/>
        <w:t>com</w:t>
      </w:r>
      <w:r>
        <w:rPr>
          <w:spacing w:val="-2"/>
        </w:rPr>
        <w:t> </w:t>
      </w:r>
      <w:r>
        <w:rPr/>
        <w:t>o</w:t>
      </w:r>
      <w:r>
        <w:rPr>
          <w:spacing w:val="-2"/>
        </w:rPr>
        <w:t> </w:t>
      </w:r>
      <w:r>
        <w:rPr/>
        <w:t>mecanismo</w:t>
      </w:r>
      <w:r>
        <w:rPr>
          <w:spacing w:val="-2"/>
        </w:rPr>
        <w:t> </w:t>
      </w:r>
      <w:r>
        <w:rPr/>
        <w:t>etiológico</w:t>
      </w:r>
      <w:r>
        <w:rPr>
          <w:spacing w:val="-2"/>
        </w:rPr>
        <w:t> </w:t>
      </w:r>
      <w:r>
        <w:rPr/>
        <w:t>da</w:t>
      </w:r>
      <w:r>
        <w:rPr>
          <w:spacing w:val="-5"/>
        </w:rPr>
        <w:t> </w:t>
      </w:r>
      <w:r>
        <w:rPr/>
        <w:t>lesão: penetrante, não</w:t>
      </w:r>
      <w:r>
        <w:rPr>
          <w:spacing w:val="-2"/>
        </w:rPr>
        <w:t> </w:t>
      </w:r>
      <w:r>
        <w:rPr/>
        <w:t>penetrante ou fechado, metabólico, por lesão elétrica</w:t>
      </w:r>
      <w:r>
        <w:rPr>
          <w:spacing w:val="-2"/>
        </w:rPr>
        <w:t> </w:t>
      </w:r>
      <w:r>
        <w:rPr/>
        <w:t>e</w:t>
      </w:r>
      <w:r>
        <w:rPr>
          <w:spacing w:val="-2"/>
        </w:rPr>
        <w:t> </w:t>
      </w:r>
      <w:r>
        <w:rPr/>
        <w:t>outros; sendo os dois primeiros de</w:t>
      </w:r>
      <w:r>
        <w:rPr>
          <w:spacing w:val="-2"/>
        </w:rPr>
        <w:t> </w:t>
      </w:r>
      <w:r>
        <w:rPr/>
        <w:t>maior relevância.</w:t>
      </w:r>
    </w:p>
    <w:p>
      <w:pPr>
        <w:pStyle w:val="BodyText"/>
        <w:spacing w:line="280" w:lineRule="auto" w:before="48"/>
        <w:ind w:right="491"/>
      </w:pPr>
      <w:r>
        <w:rPr/>
        <w:t>Toda lesão traumática extensa, mesmo quando não acomete o tórax diretamente, é capaz de promover lesão cardíaca. Um paciente exposto a uma grande lesão como o grande queimado, politraumatizado, lesão elétrica com alta voltagem e síndrome da resposta inflamatória sistêmica, apresenta enorme liberação de mediadores inflamatórios. A liberação de citocinas como interleucina-1 (IL-1), IL-6 e IL-10, fator de necrose tumoral e catecolaminas, parece</w:t>
      </w:r>
      <w:r>
        <w:rPr>
          <w:spacing w:val="-5"/>
        </w:rPr>
        <w:t> </w:t>
      </w:r>
      <w:r>
        <w:rPr/>
        <w:t>ser a</w:t>
      </w:r>
      <w:r>
        <w:rPr>
          <w:spacing w:val="-5"/>
        </w:rPr>
        <w:t> </w:t>
      </w:r>
      <w:r>
        <w:rPr/>
        <w:t>responsável pela</w:t>
      </w:r>
      <w:r>
        <w:rPr>
          <w:spacing w:val="-5"/>
        </w:rPr>
        <w:t> </w:t>
      </w:r>
      <w:r>
        <w:rPr/>
        <w:t>lesão</w:t>
      </w:r>
      <w:r>
        <w:rPr>
          <w:spacing w:val="-2"/>
        </w:rPr>
        <w:t> </w:t>
      </w:r>
      <w:r>
        <w:rPr/>
        <w:t>miocárdica</w:t>
      </w:r>
      <w:r>
        <w:rPr>
          <w:spacing w:val="-5"/>
        </w:rPr>
        <w:t> </w:t>
      </w:r>
      <w:r>
        <w:rPr/>
        <w:t>que</w:t>
      </w:r>
      <w:r>
        <w:rPr>
          <w:spacing w:val="-5"/>
        </w:rPr>
        <w:t> </w:t>
      </w:r>
      <w:r>
        <w:rPr/>
        <w:t>pode</w:t>
      </w:r>
      <w:r>
        <w:rPr>
          <w:spacing w:val="-5"/>
        </w:rPr>
        <w:t> </w:t>
      </w:r>
      <w:r>
        <w:rPr/>
        <w:t>culminar com</w:t>
      </w:r>
      <w:r>
        <w:rPr>
          <w:spacing w:val="-2"/>
        </w:rPr>
        <w:t> </w:t>
      </w:r>
      <w:r>
        <w:rPr/>
        <w:t>a</w:t>
      </w:r>
      <w:r>
        <w:rPr>
          <w:spacing w:val="-5"/>
        </w:rPr>
        <w:t> </w:t>
      </w:r>
      <w:r>
        <w:rPr/>
        <w:t>falência</w:t>
      </w:r>
      <w:r>
        <w:rPr>
          <w:spacing w:val="-5"/>
        </w:rPr>
        <w:t> </w:t>
      </w:r>
      <w:r>
        <w:rPr/>
        <w:t>cardíaca.</w:t>
      </w:r>
      <w:r>
        <w:rPr>
          <w:vertAlign w:val="superscript"/>
        </w:rPr>
        <w:t>3</w:t>
      </w:r>
    </w:p>
    <w:p>
      <w:pPr>
        <w:pStyle w:val="BodyText"/>
        <w:spacing w:line="276" w:lineRule="auto" w:before="55"/>
        <w:ind w:right="497"/>
      </w:pPr>
      <w:r>
        <w:rPr/>
        <w:t>Quando uma</w:t>
      </w:r>
      <w:r>
        <w:rPr>
          <w:spacing w:val="-1"/>
        </w:rPr>
        <w:t> </w:t>
      </w:r>
      <w:r>
        <w:rPr/>
        <w:t>corrente</w:t>
      </w:r>
      <w:r>
        <w:rPr>
          <w:spacing w:val="-1"/>
        </w:rPr>
        <w:t> </w:t>
      </w:r>
      <w:r>
        <w:rPr/>
        <w:t>elétrica</w:t>
      </w:r>
      <w:r>
        <w:rPr>
          <w:spacing w:val="-1"/>
        </w:rPr>
        <w:t> </w:t>
      </w:r>
      <w:r>
        <w:rPr/>
        <w:t>inclui o coração no circuito, além das lesões cardíacas secundárias à</w:t>
      </w:r>
      <w:r>
        <w:rPr>
          <w:spacing w:val="-1"/>
        </w:rPr>
        <w:t> </w:t>
      </w:r>
      <w:r>
        <w:rPr/>
        <w:t>inflamação, poderá haver lesão direta do miocárdio. Arritmias ventriculares complexas, necrose de tecido muscular, isquemia miocárdica, hipertensão aguda</w:t>
      </w:r>
      <w:r>
        <w:rPr>
          <w:spacing w:val="-3"/>
        </w:rPr>
        <w:t> </w:t>
      </w:r>
      <w:r>
        <w:rPr/>
        <w:t>por vasoconstrição periférica</w:t>
      </w:r>
      <w:r>
        <w:rPr>
          <w:spacing w:val="-3"/>
        </w:rPr>
        <w:t> </w:t>
      </w:r>
      <w:r>
        <w:rPr/>
        <w:t>e</w:t>
      </w:r>
      <w:r>
        <w:rPr>
          <w:spacing w:val="-3"/>
        </w:rPr>
        <w:t> </w:t>
      </w:r>
      <w:r>
        <w:rPr/>
        <w:t>até</w:t>
      </w:r>
      <w:r>
        <w:rPr>
          <w:spacing w:val="-3"/>
        </w:rPr>
        <w:t> </w:t>
      </w:r>
      <w:r>
        <w:rPr/>
        <w:t>parada</w:t>
      </w:r>
      <w:r>
        <w:rPr>
          <w:spacing w:val="-3"/>
        </w:rPr>
        <w:t> </w:t>
      </w:r>
      <w:r>
        <w:rPr/>
        <w:t>cardiorrespiratória</w:t>
      </w:r>
      <w:r>
        <w:rPr>
          <w:spacing w:val="-3"/>
        </w:rPr>
        <w:t> </w:t>
      </w:r>
      <w:r>
        <w:rPr/>
        <w:t>poderão ocorrer.</w:t>
      </w:r>
    </w:p>
    <w:p>
      <w:pPr>
        <w:pStyle w:val="BodyText"/>
        <w:spacing w:line="276" w:lineRule="auto" w:before="64"/>
        <w:ind w:right="497"/>
      </w:pPr>
      <w:r>
        <w:rPr/>
        <w:t>Traumas cardíacos iatrogênicos são afecções raras. Lesões e perfurações cardíacas por cateteres venosos centrais são descritas e são de difícil diagnóstico. A perfuração de artéria coronária durante cineangiocoronariografia ou angioplastia requer diagnóstico e ação imediatos. Quando não passíveis de correção durante</w:t>
      </w:r>
      <w:r>
        <w:rPr>
          <w:spacing w:val="-8"/>
        </w:rPr>
        <w:t> </w:t>
      </w:r>
      <w:r>
        <w:rPr/>
        <w:t>o</w:t>
      </w:r>
      <w:r>
        <w:rPr>
          <w:spacing w:val="-6"/>
        </w:rPr>
        <w:t> </w:t>
      </w:r>
      <w:r>
        <w:rPr/>
        <w:t>procedimento</w:t>
      </w:r>
      <w:r>
        <w:rPr>
          <w:spacing w:val="-6"/>
        </w:rPr>
        <w:t> </w:t>
      </w:r>
      <w:r>
        <w:rPr/>
        <w:t>angiográfico, podem</w:t>
      </w:r>
      <w:r>
        <w:rPr>
          <w:spacing w:val="-6"/>
        </w:rPr>
        <w:t> </w:t>
      </w:r>
      <w:r>
        <w:rPr/>
        <w:t>ser catastróficos e</w:t>
      </w:r>
      <w:r>
        <w:rPr>
          <w:spacing w:val="-8"/>
        </w:rPr>
        <w:t> </w:t>
      </w:r>
      <w:r>
        <w:rPr/>
        <w:t>necessitam</w:t>
      </w:r>
      <w:r>
        <w:rPr>
          <w:spacing w:val="-6"/>
        </w:rPr>
        <w:t> </w:t>
      </w:r>
      <w:r>
        <w:rPr/>
        <w:t>de</w:t>
      </w:r>
      <w:r>
        <w:rPr>
          <w:spacing w:val="-8"/>
        </w:rPr>
        <w:t> </w:t>
      </w:r>
      <w:r>
        <w:rPr/>
        <w:t>intervenção</w:t>
      </w:r>
      <w:r>
        <w:rPr>
          <w:spacing w:val="-6"/>
        </w:rPr>
        <w:t> </w:t>
      </w:r>
      <w:r>
        <w:rPr/>
        <w:t>cirúrgica</w:t>
      </w:r>
      <w:r>
        <w:rPr>
          <w:spacing w:val="-8"/>
        </w:rPr>
        <w:t> </w:t>
      </w:r>
      <w:r>
        <w:rPr/>
        <w:t>de</w:t>
      </w:r>
      <w:r>
        <w:rPr>
          <w:spacing w:val="-8"/>
        </w:rPr>
        <w:t> </w:t>
      </w:r>
      <w:r>
        <w:rPr/>
        <w:t>emergência.</w:t>
      </w:r>
    </w:p>
    <w:p>
      <w:pPr>
        <w:pStyle w:val="BodyText"/>
        <w:spacing w:before="134"/>
        <w:ind w:left="0" w:firstLine="0"/>
        <w:jc w:val="left"/>
      </w:pPr>
    </w:p>
    <w:p>
      <w:pPr>
        <w:pStyle w:val="Heading5"/>
      </w:pPr>
      <w:r>
        <w:rPr>
          <w:color w:val="A26108"/>
        </w:rPr>
        <w:t>Trauma</w:t>
      </w:r>
      <w:r>
        <w:rPr>
          <w:color w:val="A26108"/>
          <w:spacing w:val="25"/>
        </w:rPr>
        <w:t> </w:t>
      </w:r>
      <w:r>
        <w:rPr>
          <w:color w:val="A26108"/>
        </w:rPr>
        <w:t>cardíaco</w:t>
      </w:r>
      <w:r>
        <w:rPr>
          <w:color w:val="A26108"/>
          <w:spacing w:val="25"/>
        </w:rPr>
        <w:t> </w:t>
      </w:r>
      <w:r>
        <w:rPr>
          <w:color w:val="A26108"/>
          <w:spacing w:val="-2"/>
        </w:rPr>
        <w:t>penetrante</w:t>
      </w:r>
    </w:p>
    <w:p>
      <w:pPr>
        <w:pStyle w:val="BodyText"/>
        <w:spacing w:line="280" w:lineRule="auto" w:before="122"/>
        <w:ind w:right="491"/>
      </w:pPr>
      <w:r>
        <w:rPr/>
        <w:t>A imensa maioria das lesões cardíacas penetrantes relevantes não chega ao hospital, tendo como desfecho o óbito</w:t>
      </w:r>
      <w:r>
        <w:rPr>
          <w:spacing w:val="-4"/>
        </w:rPr>
        <w:t> </w:t>
      </w:r>
      <w:r>
        <w:rPr/>
        <w:t>ainda</w:t>
      </w:r>
      <w:r>
        <w:rPr>
          <w:spacing w:val="-6"/>
        </w:rPr>
        <w:t> </w:t>
      </w:r>
      <w:r>
        <w:rPr/>
        <w:t>antes da</w:t>
      </w:r>
      <w:r>
        <w:rPr>
          <w:spacing w:val="-6"/>
        </w:rPr>
        <w:t> </w:t>
      </w:r>
      <w:r>
        <w:rPr/>
        <w:t>chegada</w:t>
      </w:r>
      <w:r>
        <w:rPr>
          <w:spacing w:val="-6"/>
        </w:rPr>
        <w:t> </w:t>
      </w:r>
      <w:r>
        <w:rPr/>
        <w:t>de</w:t>
      </w:r>
      <w:r>
        <w:rPr>
          <w:spacing w:val="-6"/>
        </w:rPr>
        <w:t> </w:t>
      </w:r>
      <w:r>
        <w:rPr/>
        <w:t>atendimento</w:t>
      </w:r>
      <w:r>
        <w:rPr>
          <w:spacing w:val="-4"/>
        </w:rPr>
        <w:t> </w:t>
      </w:r>
      <w:r>
        <w:rPr/>
        <w:t>médico. Aqueles que</w:t>
      </w:r>
      <w:r>
        <w:rPr>
          <w:spacing w:val="-6"/>
        </w:rPr>
        <w:t> </w:t>
      </w:r>
      <w:r>
        <w:rPr/>
        <w:t>chegam</w:t>
      </w:r>
      <w:r>
        <w:rPr>
          <w:spacing w:val="-4"/>
        </w:rPr>
        <w:t> </w:t>
      </w:r>
      <w:r>
        <w:rPr/>
        <w:t>a</w:t>
      </w:r>
      <w:r>
        <w:rPr>
          <w:spacing w:val="-6"/>
        </w:rPr>
        <w:t> </w:t>
      </w:r>
      <w:r>
        <w:rPr/>
        <w:t>receber o</w:t>
      </w:r>
      <w:r>
        <w:rPr>
          <w:spacing w:val="-4"/>
        </w:rPr>
        <w:t> </w:t>
      </w:r>
      <w:r>
        <w:rPr/>
        <w:t>atendimento</w:t>
      </w:r>
      <w:r>
        <w:rPr>
          <w:spacing w:val="-4"/>
        </w:rPr>
        <w:t> </w:t>
      </w:r>
      <w:r>
        <w:rPr/>
        <w:t>pré-hospitalar e são transferidos para um centro de referência em trauma normalmente apresentam lesões menos graves, mas mesmo assim com altíssima mortalidade.</w:t>
      </w:r>
      <w:r>
        <w:rPr>
          <w:vertAlign w:val="superscript"/>
        </w:rPr>
        <w:t>4</w:t>
      </w:r>
    </w:p>
    <w:p>
      <w:pPr>
        <w:pStyle w:val="BodyText"/>
        <w:spacing w:after="0" w:line="280" w:lineRule="auto"/>
        <w:sectPr>
          <w:pgSz w:w="11900" w:h="16840"/>
          <w:pgMar w:top="1060" w:bottom="280" w:left="566" w:right="141"/>
        </w:sectPr>
      </w:pPr>
    </w:p>
    <w:p>
      <w:pPr>
        <w:pStyle w:val="BodyText"/>
        <w:spacing w:line="280" w:lineRule="auto" w:before="68"/>
        <w:ind w:right="491"/>
      </w:pPr>
      <w:r>
        <w:rPr/>
        <w:t>As etiologias mais comuns das lesões são armas de fogo e armas brancas. A localização da lesão no tórax relaciona-se</w:t>
      </w:r>
      <w:r>
        <w:rPr>
          <w:spacing w:val="-2"/>
        </w:rPr>
        <w:t> </w:t>
      </w:r>
      <w:r>
        <w:rPr/>
        <w:t>com a</w:t>
      </w:r>
      <w:r>
        <w:rPr>
          <w:spacing w:val="-2"/>
        </w:rPr>
        <w:t> </w:t>
      </w:r>
      <w:r>
        <w:rPr/>
        <w:t>anatomia</w:t>
      </w:r>
      <w:r>
        <w:rPr>
          <w:spacing w:val="-2"/>
        </w:rPr>
        <w:t> </w:t>
      </w:r>
      <w:r>
        <w:rPr/>
        <w:t>da</w:t>
      </w:r>
      <w:r>
        <w:rPr>
          <w:spacing w:val="-2"/>
        </w:rPr>
        <w:t> </w:t>
      </w:r>
      <w:r>
        <w:rPr/>
        <w:t>lesão cardíaca, principalmente</w:t>
      </w:r>
      <w:r>
        <w:rPr>
          <w:spacing w:val="-2"/>
        </w:rPr>
        <w:t> </w:t>
      </w:r>
      <w:r>
        <w:rPr/>
        <w:t>nas lesões por armas brancas. Nas lesões por armas de fogo, a inspeção minuciosa da pele para reconhecer os orifícios de entrada e, quando existir, de saída, é importante para a suspeita da lesão cardíaca e das possíveis estruturas lesadas.</w:t>
      </w:r>
      <w:r>
        <w:rPr>
          <w:vertAlign w:val="superscript"/>
        </w:rPr>
        <w:t>5</w:t>
      </w:r>
    </w:p>
    <w:p>
      <w:pPr>
        <w:pStyle w:val="BodyText"/>
        <w:spacing w:line="276" w:lineRule="auto" w:before="60"/>
        <w:ind w:right="491"/>
      </w:pPr>
      <w:r>
        <w:rPr/>
        <w:t>O</w:t>
      </w:r>
      <w:r>
        <w:rPr>
          <w:spacing w:val="-3"/>
        </w:rPr>
        <w:t> </w:t>
      </w:r>
      <w:r>
        <w:rPr/>
        <w:t>trauma</w:t>
      </w:r>
      <w:r>
        <w:rPr>
          <w:spacing w:val="-3"/>
        </w:rPr>
        <w:t> </w:t>
      </w:r>
      <w:r>
        <w:rPr/>
        <w:t>cardíaco por arma</w:t>
      </w:r>
      <w:r>
        <w:rPr>
          <w:spacing w:val="-3"/>
        </w:rPr>
        <w:t> </w:t>
      </w:r>
      <w:r>
        <w:rPr/>
        <w:t>de</w:t>
      </w:r>
      <w:r>
        <w:rPr>
          <w:spacing w:val="-3"/>
        </w:rPr>
        <w:t> </w:t>
      </w:r>
      <w:r>
        <w:rPr/>
        <w:t>fogo provoca</w:t>
      </w:r>
      <w:r>
        <w:rPr>
          <w:spacing w:val="-3"/>
        </w:rPr>
        <w:t> </w:t>
      </w:r>
      <w:r>
        <w:rPr/>
        <w:t>lesões mais extensas, com grandes hemorragias e</w:t>
      </w:r>
      <w:r>
        <w:rPr>
          <w:spacing w:val="-3"/>
        </w:rPr>
        <w:t> </w:t>
      </w:r>
      <w:r>
        <w:rPr/>
        <w:t>potencial muito elevado de óbito. Pode provocar lesão miocárdica perfurante ou tangencial, lesão de grandes vasos e normalmente lesão do pericárdio. Requer sempre medidas iniciais que garantam a vida, reanimação volêmica e hemostasia até o tratamento definitivo.</w:t>
      </w:r>
    </w:p>
    <w:p>
      <w:pPr>
        <w:pStyle w:val="BodyText"/>
        <w:spacing w:line="276" w:lineRule="auto" w:before="48"/>
        <w:ind w:right="497"/>
      </w:pPr>
      <w:r>
        <w:rPr/>
        <w:t>As lesões cardíacas ocasionadas por armas brancas tendem a ser menos catastróficas, mas podem se agravar tardiamente. Uma lesão miocárdica que transfixe o ventrículo esquerdo, após a retirada da lâmina, pode impedir grandes hemorragias devido à elasticidade das fibras musculares. Porém, um sangramento constante associado à lesão do pericárdio de</w:t>
      </w:r>
      <w:r>
        <w:rPr>
          <w:spacing w:val="-3"/>
        </w:rPr>
        <w:t> </w:t>
      </w:r>
      <w:r>
        <w:rPr/>
        <w:t>pequena</w:t>
      </w:r>
      <w:r>
        <w:rPr>
          <w:spacing w:val="-3"/>
        </w:rPr>
        <w:t> </w:t>
      </w:r>
      <w:r>
        <w:rPr/>
        <w:t>extensão pode</w:t>
      </w:r>
      <w:r>
        <w:rPr>
          <w:spacing w:val="-3"/>
        </w:rPr>
        <w:t> </w:t>
      </w:r>
      <w:r>
        <w:rPr/>
        <w:t>levar ao tamponamento cardíaco.</w:t>
      </w:r>
    </w:p>
    <w:p>
      <w:pPr>
        <w:pStyle w:val="BodyText"/>
        <w:spacing w:line="280" w:lineRule="auto"/>
        <w:ind w:right="491"/>
      </w:pPr>
      <w:r>
        <w:rPr/>
        <w:t>A</w:t>
      </w:r>
      <w:r>
        <w:rPr>
          <w:spacing w:val="-6"/>
        </w:rPr>
        <w:t> </w:t>
      </w:r>
      <w:r>
        <w:rPr/>
        <w:t>existência</w:t>
      </w:r>
      <w:r>
        <w:rPr>
          <w:spacing w:val="-6"/>
        </w:rPr>
        <w:t> </w:t>
      </w:r>
      <w:r>
        <w:rPr/>
        <w:t>dos sinais clássicos de</w:t>
      </w:r>
      <w:r>
        <w:rPr>
          <w:spacing w:val="-6"/>
        </w:rPr>
        <w:t> </w:t>
      </w:r>
      <w:r>
        <w:rPr/>
        <w:t>tamponamento</w:t>
      </w:r>
      <w:r>
        <w:rPr>
          <w:spacing w:val="-3"/>
        </w:rPr>
        <w:t> </w:t>
      </w:r>
      <w:r>
        <w:rPr/>
        <w:t>cardíaco</w:t>
      </w:r>
      <w:r>
        <w:rPr>
          <w:spacing w:val="-3"/>
        </w:rPr>
        <w:t> </w:t>
      </w:r>
      <w:r>
        <w:rPr/>
        <w:t>levantará</w:t>
      </w:r>
      <w:r>
        <w:rPr>
          <w:spacing w:val="-6"/>
        </w:rPr>
        <w:t> </w:t>
      </w:r>
      <w:r>
        <w:rPr/>
        <w:t>a</w:t>
      </w:r>
      <w:r>
        <w:rPr>
          <w:spacing w:val="-6"/>
        </w:rPr>
        <w:t> </w:t>
      </w:r>
      <w:r>
        <w:rPr/>
        <w:t>suspeita</w:t>
      </w:r>
      <w:r>
        <w:rPr>
          <w:spacing w:val="-6"/>
        </w:rPr>
        <w:t> </w:t>
      </w:r>
      <w:r>
        <w:rPr/>
        <w:t>clínica, porém</w:t>
      </w:r>
      <w:r>
        <w:rPr>
          <w:spacing w:val="-3"/>
        </w:rPr>
        <w:t> </w:t>
      </w:r>
      <w:r>
        <w:rPr/>
        <w:t>a</w:t>
      </w:r>
      <w:r>
        <w:rPr>
          <w:spacing w:val="-6"/>
        </w:rPr>
        <w:t> </w:t>
      </w:r>
      <w:r>
        <w:rPr/>
        <w:t>tríade</w:t>
      </w:r>
      <w:r>
        <w:rPr>
          <w:spacing w:val="-6"/>
        </w:rPr>
        <w:t> </w:t>
      </w:r>
      <w:r>
        <w:rPr/>
        <w:t>de</w:t>
      </w:r>
      <w:r>
        <w:rPr>
          <w:spacing w:val="-6"/>
        </w:rPr>
        <w:t> </w:t>
      </w:r>
      <w:r>
        <w:rPr/>
        <w:t>Beck (hipotensão, abafamento de bulhas e estase jugular), pulso paradoxal e sinal de Kussmaul ocorrem em menos de 10% dos casos.</w:t>
      </w:r>
      <w:r>
        <w:rPr>
          <w:vertAlign w:val="superscript"/>
        </w:rPr>
        <w:t>6</w:t>
      </w:r>
      <w:r>
        <w:rPr>
          <w:vertAlign w:val="baseline"/>
        </w:rPr>
        <w:t> Um paciente</w:t>
      </w:r>
      <w:r>
        <w:rPr>
          <w:spacing w:val="-3"/>
          <w:vertAlign w:val="baseline"/>
        </w:rPr>
        <w:t> </w:t>
      </w:r>
      <w:r>
        <w:rPr>
          <w:vertAlign w:val="baseline"/>
        </w:rPr>
        <w:t>com choque</w:t>
      </w:r>
      <w:r>
        <w:rPr>
          <w:spacing w:val="-3"/>
          <w:vertAlign w:val="baseline"/>
        </w:rPr>
        <w:t> </w:t>
      </w:r>
      <w:r>
        <w:rPr>
          <w:vertAlign w:val="baseline"/>
        </w:rPr>
        <w:t>hipovolêmico apresentará</w:t>
      </w:r>
      <w:r>
        <w:rPr>
          <w:spacing w:val="-3"/>
          <w:vertAlign w:val="baseline"/>
        </w:rPr>
        <w:t> </w:t>
      </w:r>
      <w:r>
        <w:rPr>
          <w:vertAlign w:val="baseline"/>
        </w:rPr>
        <w:t>aumentos cíclicos da</w:t>
      </w:r>
      <w:r>
        <w:rPr>
          <w:spacing w:val="-3"/>
          <w:vertAlign w:val="baseline"/>
        </w:rPr>
        <w:t> </w:t>
      </w:r>
      <w:r>
        <w:rPr>
          <w:vertAlign w:val="baseline"/>
        </w:rPr>
        <w:t>pressão venosa</w:t>
      </w:r>
      <w:r>
        <w:rPr>
          <w:spacing w:val="-3"/>
          <w:vertAlign w:val="baseline"/>
        </w:rPr>
        <w:t> </w:t>
      </w:r>
      <w:r>
        <w:rPr>
          <w:vertAlign w:val="baseline"/>
        </w:rPr>
        <w:t>central e da pressão de pulso após cada fase de reanimação volêmica. Assim, a elevação da pressão venosa central e a redução</w:t>
      </w:r>
      <w:r>
        <w:rPr>
          <w:spacing w:val="-6"/>
          <w:vertAlign w:val="baseline"/>
        </w:rPr>
        <w:t> </w:t>
      </w:r>
      <w:r>
        <w:rPr>
          <w:vertAlign w:val="baseline"/>
        </w:rPr>
        <w:t>da</w:t>
      </w:r>
      <w:r>
        <w:rPr>
          <w:spacing w:val="-9"/>
          <w:vertAlign w:val="baseline"/>
        </w:rPr>
        <w:t> </w:t>
      </w:r>
      <w:r>
        <w:rPr>
          <w:vertAlign w:val="baseline"/>
        </w:rPr>
        <w:t>pressão</w:t>
      </w:r>
      <w:r>
        <w:rPr>
          <w:spacing w:val="-6"/>
          <w:vertAlign w:val="baseline"/>
        </w:rPr>
        <w:t> </w:t>
      </w:r>
      <w:r>
        <w:rPr>
          <w:vertAlign w:val="baseline"/>
        </w:rPr>
        <w:t>de</w:t>
      </w:r>
      <w:r>
        <w:rPr>
          <w:spacing w:val="-9"/>
          <w:vertAlign w:val="baseline"/>
        </w:rPr>
        <w:t> </w:t>
      </w:r>
      <w:r>
        <w:rPr>
          <w:vertAlign w:val="baseline"/>
        </w:rPr>
        <w:t>pulso</w:t>
      </w:r>
      <w:r>
        <w:rPr>
          <w:spacing w:val="-6"/>
          <w:vertAlign w:val="baseline"/>
        </w:rPr>
        <w:t> </w:t>
      </w:r>
      <w:r>
        <w:rPr>
          <w:vertAlign w:val="baseline"/>
        </w:rPr>
        <w:t>após fase</w:t>
      </w:r>
      <w:r>
        <w:rPr>
          <w:spacing w:val="-9"/>
          <w:vertAlign w:val="baseline"/>
        </w:rPr>
        <w:t> </w:t>
      </w:r>
      <w:r>
        <w:rPr>
          <w:vertAlign w:val="baseline"/>
        </w:rPr>
        <w:t>rápida</w:t>
      </w:r>
      <w:r>
        <w:rPr>
          <w:spacing w:val="-9"/>
          <w:vertAlign w:val="baseline"/>
        </w:rPr>
        <w:t> </w:t>
      </w:r>
      <w:r>
        <w:rPr>
          <w:vertAlign w:val="baseline"/>
        </w:rPr>
        <w:t>de</w:t>
      </w:r>
      <w:r>
        <w:rPr>
          <w:spacing w:val="-9"/>
          <w:vertAlign w:val="baseline"/>
        </w:rPr>
        <w:t> </w:t>
      </w:r>
      <w:r>
        <w:rPr>
          <w:vertAlign w:val="baseline"/>
        </w:rPr>
        <w:t>cristaloide</w:t>
      </w:r>
      <w:r>
        <w:rPr>
          <w:spacing w:val="-9"/>
          <w:vertAlign w:val="baseline"/>
        </w:rPr>
        <w:t> </w:t>
      </w:r>
      <w:r>
        <w:rPr>
          <w:vertAlign w:val="baseline"/>
        </w:rPr>
        <w:t>é</w:t>
      </w:r>
      <w:r>
        <w:rPr>
          <w:spacing w:val="-9"/>
          <w:vertAlign w:val="baseline"/>
        </w:rPr>
        <w:t> </w:t>
      </w:r>
      <w:r>
        <w:rPr>
          <w:vertAlign w:val="baseline"/>
        </w:rPr>
        <w:t>uma</w:t>
      </w:r>
      <w:r>
        <w:rPr>
          <w:spacing w:val="-9"/>
          <w:vertAlign w:val="baseline"/>
        </w:rPr>
        <w:t> </w:t>
      </w:r>
      <w:r>
        <w:rPr>
          <w:vertAlign w:val="baseline"/>
        </w:rPr>
        <w:t>grande</w:t>
      </w:r>
      <w:r>
        <w:rPr>
          <w:spacing w:val="-9"/>
          <w:vertAlign w:val="baseline"/>
        </w:rPr>
        <w:t> </w:t>
      </w:r>
      <w:r>
        <w:rPr>
          <w:vertAlign w:val="baseline"/>
        </w:rPr>
        <w:t>suspeita</w:t>
      </w:r>
      <w:r>
        <w:rPr>
          <w:spacing w:val="-9"/>
          <w:vertAlign w:val="baseline"/>
        </w:rPr>
        <w:t> </w:t>
      </w:r>
      <w:r>
        <w:rPr>
          <w:vertAlign w:val="baseline"/>
        </w:rPr>
        <w:t>clínica</w:t>
      </w:r>
      <w:r>
        <w:rPr>
          <w:spacing w:val="-9"/>
          <w:vertAlign w:val="baseline"/>
        </w:rPr>
        <w:t> </w:t>
      </w:r>
      <w:r>
        <w:rPr>
          <w:vertAlign w:val="baseline"/>
        </w:rPr>
        <w:t>de</w:t>
      </w:r>
      <w:r>
        <w:rPr>
          <w:spacing w:val="-9"/>
          <w:vertAlign w:val="baseline"/>
        </w:rPr>
        <w:t> </w:t>
      </w:r>
      <w:r>
        <w:rPr>
          <w:vertAlign w:val="baseline"/>
        </w:rPr>
        <w:t>tamponamento</w:t>
      </w:r>
      <w:r>
        <w:rPr>
          <w:spacing w:val="-6"/>
          <w:vertAlign w:val="baseline"/>
        </w:rPr>
        <w:t> </w:t>
      </w:r>
      <w:r>
        <w:rPr>
          <w:vertAlign w:val="baseline"/>
        </w:rPr>
        <w:t>cardíaco no</w:t>
      </w:r>
      <w:r>
        <w:rPr>
          <w:spacing w:val="-3"/>
          <w:vertAlign w:val="baseline"/>
        </w:rPr>
        <w:t> </w:t>
      </w:r>
      <w:r>
        <w:rPr>
          <w:vertAlign w:val="baseline"/>
        </w:rPr>
        <w:t>trauma. O</w:t>
      </w:r>
      <w:r>
        <w:rPr>
          <w:spacing w:val="-5"/>
          <w:vertAlign w:val="baseline"/>
        </w:rPr>
        <w:t> </w:t>
      </w:r>
      <w:r>
        <w:rPr>
          <w:vertAlign w:val="baseline"/>
        </w:rPr>
        <w:t>tamponamento</w:t>
      </w:r>
      <w:r>
        <w:rPr>
          <w:spacing w:val="-3"/>
          <w:vertAlign w:val="baseline"/>
        </w:rPr>
        <w:t> </w:t>
      </w:r>
      <w:r>
        <w:rPr>
          <w:vertAlign w:val="baseline"/>
        </w:rPr>
        <w:t>cardíaco</w:t>
      </w:r>
      <w:r>
        <w:rPr>
          <w:spacing w:val="-3"/>
          <w:vertAlign w:val="baseline"/>
        </w:rPr>
        <w:t> </w:t>
      </w:r>
      <w:r>
        <w:rPr>
          <w:vertAlign w:val="baseline"/>
        </w:rPr>
        <w:t>pode</w:t>
      </w:r>
      <w:r>
        <w:rPr>
          <w:spacing w:val="-5"/>
          <w:vertAlign w:val="baseline"/>
        </w:rPr>
        <w:t> </w:t>
      </w:r>
      <w:r>
        <w:rPr>
          <w:vertAlign w:val="baseline"/>
        </w:rPr>
        <w:t>ocorrer em</w:t>
      </w:r>
      <w:r>
        <w:rPr>
          <w:spacing w:val="-3"/>
          <w:vertAlign w:val="baseline"/>
        </w:rPr>
        <w:t> </w:t>
      </w:r>
      <w:r>
        <w:rPr>
          <w:vertAlign w:val="baseline"/>
        </w:rPr>
        <w:t>mais da</w:t>
      </w:r>
      <w:r>
        <w:rPr>
          <w:spacing w:val="-5"/>
          <w:vertAlign w:val="baseline"/>
        </w:rPr>
        <w:t> </w:t>
      </w:r>
      <w:r>
        <w:rPr>
          <w:vertAlign w:val="baseline"/>
        </w:rPr>
        <w:t>metade</w:t>
      </w:r>
      <w:r>
        <w:rPr>
          <w:spacing w:val="-5"/>
          <w:vertAlign w:val="baseline"/>
        </w:rPr>
        <w:t> </w:t>
      </w:r>
      <w:r>
        <w:rPr>
          <w:vertAlign w:val="baseline"/>
        </w:rPr>
        <w:t>dos casos com</w:t>
      </w:r>
      <w:r>
        <w:rPr>
          <w:spacing w:val="-3"/>
          <w:vertAlign w:val="baseline"/>
        </w:rPr>
        <w:t> </w:t>
      </w:r>
      <w:r>
        <w:rPr>
          <w:vertAlign w:val="baseline"/>
        </w:rPr>
        <w:t>trauma</w:t>
      </w:r>
      <w:r>
        <w:rPr>
          <w:spacing w:val="-5"/>
          <w:vertAlign w:val="baseline"/>
        </w:rPr>
        <w:t> </w:t>
      </w:r>
      <w:r>
        <w:rPr>
          <w:vertAlign w:val="baseline"/>
        </w:rPr>
        <w:t>cardíaco</w:t>
      </w:r>
      <w:r>
        <w:rPr>
          <w:spacing w:val="-3"/>
          <w:vertAlign w:val="baseline"/>
        </w:rPr>
        <w:t> </w:t>
      </w:r>
      <w:r>
        <w:rPr>
          <w:vertAlign w:val="baseline"/>
        </w:rPr>
        <w:t>penetrante.</w:t>
      </w:r>
      <w:r>
        <w:rPr>
          <w:vertAlign w:val="superscript"/>
        </w:rPr>
        <w:t>7</w:t>
      </w:r>
    </w:p>
    <w:p>
      <w:pPr>
        <w:pStyle w:val="BodyText"/>
        <w:spacing w:before="134"/>
        <w:ind w:left="0" w:firstLine="0"/>
        <w:jc w:val="left"/>
      </w:pPr>
    </w:p>
    <w:p>
      <w:pPr>
        <w:pStyle w:val="Heading5"/>
        <w:spacing w:before="1"/>
      </w:pPr>
      <w:r>
        <w:rPr>
          <w:color w:val="A26108"/>
        </w:rPr>
        <w:t>Trauma</w:t>
      </w:r>
      <w:r>
        <w:rPr>
          <w:color w:val="A26108"/>
          <w:spacing w:val="21"/>
        </w:rPr>
        <w:t> </w:t>
      </w:r>
      <w:r>
        <w:rPr>
          <w:color w:val="A26108"/>
        </w:rPr>
        <w:t>cardíaco</w:t>
      </w:r>
      <w:r>
        <w:rPr>
          <w:color w:val="A26108"/>
          <w:spacing w:val="21"/>
        </w:rPr>
        <w:t> </w:t>
      </w:r>
      <w:r>
        <w:rPr>
          <w:color w:val="A26108"/>
        </w:rPr>
        <w:t>não</w:t>
      </w:r>
      <w:r>
        <w:rPr>
          <w:color w:val="A26108"/>
          <w:spacing w:val="21"/>
        </w:rPr>
        <w:t> </w:t>
      </w:r>
      <w:r>
        <w:rPr>
          <w:color w:val="A26108"/>
          <w:spacing w:val="-2"/>
        </w:rPr>
        <w:t>penetrante</w:t>
      </w:r>
    </w:p>
    <w:p>
      <w:pPr>
        <w:pStyle w:val="BodyText"/>
        <w:spacing w:line="283" w:lineRule="auto" w:before="122"/>
        <w:ind w:right="490"/>
      </w:pPr>
      <w:r>
        <w:rPr/>
        <w:t>O trauma cardíaco não penetrante ou trauma cardíaco fechado foi, por muito tempo, chamado de </w:t>
      </w:r>
      <w:r>
        <w:rPr>
          <w:i/>
        </w:rPr>
        <w:t>contusão cardíaca</w:t>
      </w:r>
      <w:r>
        <w:rPr/>
        <w:t>, porém desde 1992 esse termo vem sendo abandonado por causar confusão na determinação da real lesão existente no coração.</w:t>
      </w:r>
      <w:r>
        <w:rPr>
          <w:vertAlign w:val="superscript"/>
        </w:rPr>
        <w:t>8</w:t>
      </w:r>
    </w:p>
    <w:p>
      <w:pPr>
        <w:pStyle w:val="BodyText"/>
        <w:spacing w:line="276" w:lineRule="auto" w:before="56"/>
        <w:ind w:right="488"/>
      </w:pPr>
      <w:r>
        <w:rPr/>
        <w:t>As lesões no trauma cardíaco fechado passaram a ser descritas conforme o acometimento cardíaco: ruptura de parede livre, ruptura de septo interventricular, insuficiência cardíaca, trombose coronariana, arritmias complexas e com alterações discretas de eletrocardiograma (ECG).</w:t>
      </w:r>
    </w:p>
    <w:p>
      <w:pPr>
        <w:pStyle w:val="BodyText"/>
        <w:spacing w:line="283" w:lineRule="auto"/>
        <w:ind w:right="488"/>
      </w:pPr>
      <w:r>
        <w:rPr/>
        <w:t>A lesão do miocárdio causada pelo trauma fechado é muito semelhante às alterações anatomopatológicas da isquemia. Observou-se intensa necrose de miócitos com hemorragias e infiltrado leucocitário, promovendo fibrose </w:t>
      </w:r>
      <w:r>
        <w:rPr>
          <w:spacing w:val="-2"/>
        </w:rPr>
        <w:t>local.</w:t>
      </w:r>
      <w:r>
        <w:rPr>
          <w:spacing w:val="-2"/>
          <w:vertAlign w:val="superscript"/>
        </w:rPr>
        <w:t>9</w:t>
      </w:r>
    </w:p>
    <w:p>
      <w:pPr>
        <w:pStyle w:val="BodyText"/>
        <w:spacing w:line="276" w:lineRule="auto" w:before="41"/>
        <w:ind w:right="488"/>
      </w:pPr>
      <w:r>
        <w:rPr/>
        <w:t>O trauma torácico de alta energia é capaz de provocar a compressão do coração entre o esterno e a coluna vertebral. Essa compressão, quando ocorre na fase de contração isovolêmica, em que as válvulas aórtica e mitral estão fechadas, leva a intenso aumento pressórico nas câmaras cardíacas e pode acarretar rupturas de septo interventricular, de parede livre de ventrículo ou das estruturas valvares.</w:t>
      </w:r>
    </w:p>
    <w:p>
      <w:pPr>
        <w:pStyle w:val="BodyText"/>
        <w:spacing w:line="285" w:lineRule="auto" w:before="64"/>
        <w:ind w:right="488"/>
      </w:pPr>
      <w:r>
        <w:rPr/>
        <w:t>Uma série clássica de análise de necropsias pós-trauma torácico fechado mostrou que a causa da morte, na maioria</w:t>
      </w:r>
      <w:r>
        <w:rPr>
          <w:spacing w:val="-2"/>
        </w:rPr>
        <w:t> </w:t>
      </w:r>
      <w:r>
        <w:rPr/>
        <w:t>dos casos, foi a</w:t>
      </w:r>
      <w:r>
        <w:rPr>
          <w:spacing w:val="-2"/>
        </w:rPr>
        <w:t> </w:t>
      </w:r>
      <w:r>
        <w:rPr/>
        <w:t>ruptura</w:t>
      </w:r>
      <w:r>
        <w:rPr>
          <w:spacing w:val="-2"/>
        </w:rPr>
        <w:t> </w:t>
      </w:r>
      <w:r>
        <w:rPr/>
        <w:t>do ventrículo esquerdo, com lesão da</w:t>
      </w:r>
      <w:r>
        <w:rPr>
          <w:spacing w:val="-2"/>
        </w:rPr>
        <w:t> </w:t>
      </w:r>
      <w:r>
        <w:rPr/>
        <w:t>aorta</w:t>
      </w:r>
      <w:r>
        <w:rPr>
          <w:spacing w:val="-2"/>
        </w:rPr>
        <w:t> </w:t>
      </w:r>
      <w:r>
        <w:rPr/>
        <w:t>associada</w:t>
      </w:r>
      <w:r>
        <w:rPr>
          <w:spacing w:val="-2"/>
        </w:rPr>
        <w:t> </w:t>
      </w:r>
      <w:r>
        <w:rPr/>
        <w:t>em mais de</w:t>
      </w:r>
      <w:r>
        <w:rPr>
          <w:spacing w:val="-2"/>
        </w:rPr>
        <w:t> </w:t>
      </w:r>
      <w:r>
        <w:rPr/>
        <w:t>20% das vezes.</w:t>
      </w:r>
      <w:r>
        <w:rPr>
          <w:vertAlign w:val="superscript"/>
        </w:rPr>
        <w:t>10</w:t>
      </w:r>
      <w:r>
        <w:rPr>
          <w:vertAlign w:val="baseline"/>
        </w:rPr>
        <w:t> Já</w:t>
      </w:r>
      <w:r>
        <w:rPr>
          <w:spacing w:val="-6"/>
          <w:vertAlign w:val="baseline"/>
        </w:rPr>
        <w:t> </w:t>
      </w:r>
      <w:r>
        <w:rPr>
          <w:vertAlign w:val="baseline"/>
        </w:rPr>
        <w:t>em</w:t>
      </w:r>
      <w:r>
        <w:rPr>
          <w:spacing w:val="-4"/>
          <w:vertAlign w:val="baseline"/>
        </w:rPr>
        <w:t> </w:t>
      </w:r>
      <w:r>
        <w:rPr>
          <w:vertAlign w:val="baseline"/>
        </w:rPr>
        <w:t>outra</w:t>
      </w:r>
      <w:r>
        <w:rPr>
          <w:spacing w:val="-6"/>
          <w:vertAlign w:val="baseline"/>
        </w:rPr>
        <w:t> </w:t>
      </w:r>
      <w:r>
        <w:rPr>
          <w:vertAlign w:val="baseline"/>
        </w:rPr>
        <w:t>série</w:t>
      </w:r>
      <w:r>
        <w:rPr>
          <w:spacing w:val="-6"/>
          <w:vertAlign w:val="baseline"/>
        </w:rPr>
        <w:t> </w:t>
      </w:r>
      <w:r>
        <w:rPr>
          <w:vertAlign w:val="baseline"/>
        </w:rPr>
        <w:t>de</w:t>
      </w:r>
      <w:r>
        <w:rPr>
          <w:spacing w:val="-6"/>
          <w:vertAlign w:val="baseline"/>
        </w:rPr>
        <w:t> </w:t>
      </w:r>
      <w:r>
        <w:rPr>
          <w:vertAlign w:val="baseline"/>
        </w:rPr>
        <w:t>casos, dessa</w:t>
      </w:r>
      <w:r>
        <w:rPr>
          <w:spacing w:val="-6"/>
          <w:vertAlign w:val="baseline"/>
        </w:rPr>
        <w:t> </w:t>
      </w:r>
      <w:r>
        <w:rPr>
          <w:vertAlign w:val="baseline"/>
        </w:rPr>
        <w:t>vez</w:t>
      </w:r>
      <w:r>
        <w:rPr>
          <w:spacing w:val="-6"/>
          <w:vertAlign w:val="baseline"/>
        </w:rPr>
        <w:t> </w:t>
      </w:r>
      <w:r>
        <w:rPr>
          <w:vertAlign w:val="baseline"/>
        </w:rPr>
        <w:t>com</w:t>
      </w:r>
      <w:r>
        <w:rPr>
          <w:spacing w:val="-4"/>
          <w:vertAlign w:val="baseline"/>
        </w:rPr>
        <w:t> </w:t>
      </w:r>
      <w:r>
        <w:rPr>
          <w:vertAlign w:val="baseline"/>
        </w:rPr>
        <w:t>pacientes admitidos com</w:t>
      </w:r>
      <w:r>
        <w:rPr>
          <w:spacing w:val="-4"/>
          <w:vertAlign w:val="baseline"/>
        </w:rPr>
        <w:t> </w:t>
      </w:r>
      <w:r>
        <w:rPr>
          <w:vertAlign w:val="baseline"/>
        </w:rPr>
        <w:t>vida</w:t>
      </w:r>
      <w:r>
        <w:rPr>
          <w:spacing w:val="-6"/>
          <w:vertAlign w:val="baseline"/>
        </w:rPr>
        <w:t> </w:t>
      </w:r>
      <w:r>
        <w:rPr>
          <w:vertAlign w:val="baseline"/>
        </w:rPr>
        <w:t>após trauma</w:t>
      </w:r>
      <w:r>
        <w:rPr>
          <w:spacing w:val="-6"/>
          <w:vertAlign w:val="baseline"/>
        </w:rPr>
        <w:t> </w:t>
      </w:r>
      <w:r>
        <w:rPr>
          <w:vertAlign w:val="baseline"/>
        </w:rPr>
        <w:t>torácico</w:t>
      </w:r>
      <w:r>
        <w:rPr>
          <w:spacing w:val="-3"/>
          <w:vertAlign w:val="baseline"/>
        </w:rPr>
        <w:t> </w:t>
      </w:r>
      <w:r>
        <w:rPr>
          <w:vertAlign w:val="baseline"/>
        </w:rPr>
        <w:t>fechado, mostrou</w:t>
      </w:r>
      <w:r>
        <w:rPr>
          <w:spacing w:val="-3"/>
          <w:vertAlign w:val="baseline"/>
        </w:rPr>
        <w:t> </w:t>
      </w:r>
      <w:r>
        <w:rPr>
          <w:vertAlign w:val="baseline"/>
        </w:rPr>
        <w:t>que a</w:t>
      </w:r>
      <w:r>
        <w:rPr>
          <w:spacing w:val="-4"/>
          <w:vertAlign w:val="baseline"/>
        </w:rPr>
        <w:t> </w:t>
      </w:r>
      <w:r>
        <w:rPr>
          <w:vertAlign w:val="baseline"/>
        </w:rPr>
        <w:t>maioria</w:t>
      </w:r>
      <w:r>
        <w:rPr>
          <w:spacing w:val="-4"/>
          <w:vertAlign w:val="baseline"/>
        </w:rPr>
        <w:t> </w:t>
      </w:r>
      <w:r>
        <w:rPr>
          <w:vertAlign w:val="baseline"/>
        </w:rPr>
        <w:t>das rupturas cardíacas ocorre</w:t>
      </w:r>
      <w:r>
        <w:rPr>
          <w:spacing w:val="-4"/>
          <w:vertAlign w:val="baseline"/>
        </w:rPr>
        <w:t> </w:t>
      </w:r>
      <w:r>
        <w:rPr>
          <w:vertAlign w:val="baseline"/>
        </w:rPr>
        <w:t>em</w:t>
      </w:r>
      <w:r>
        <w:rPr>
          <w:spacing w:val="-1"/>
          <w:vertAlign w:val="baseline"/>
        </w:rPr>
        <w:t> </w:t>
      </w:r>
      <w:r>
        <w:rPr>
          <w:vertAlign w:val="baseline"/>
        </w:rPr>
        <w:t>câmeras de</w:t>
      </w:r>
      <w:r>
        <w:rPr>
          <w:spacing w:val="-4"/>
          <w:vertAlign w:val="baseline"/>
        </w:rPr>
        <w:t> </w:t>
      </w:r>
      <w:r>
        <w:rPr>
          <w:vertAlign w:val="baseline"/>
        </w:rPr>
        <w:t>baixa</w:t>
      </w:r>
      <w:r>
        <w:rPr>
          <w:spacing w:val="-4"/>
          <w:vertAlign w:val="baseline"/>
        </w:rPr>
        <w:t> </w:t>
      </w:r>
      <w:r>
        <w:rPr>
          <w:vertAlign w:val="baseline"/>
        </w:rPr>
        <w:t>pressão: átrios direito, esquerdo</w:t>
      </w:r>
      <w:r>
        <w:rPr>
          <w:spacing w:val="-1"/>
          <w:vertAlign w:val="baseline"/>
        </w:rPr>
        <w:t> </w:t>
      </w:r>
      <w:r>
        <w:rPr>
          <w:vertAlign w:val="baseline"/>
        </w:rPr>
        <w:t>e</w:t>
      </w:r>
      <w:r>
        <w:rPr>
          <w:spacing w:val="-4"/>
          <w:vertAlign w:val="baseline"/>
        </w:rPr>
        <w:t> </w:t>
      </w:r>
      <w:r>
        <w:rPr>
          <w:vertAlign w:val="baseline"/>
        </w:rPr>
        <w:t>ventrículo</w:t>
      </w:r>
      <w:r>
        <w:rPr>
          <w:spacing w:val="-1"/>
          <w:vertAlign w:val="baseline"/>
        </w:rPr>
        <w:t> </w:t>
      </w:r>
      <w:r>
        <w:rPr>
          <w:vertAlign w:val="baseline"/>
        </w:rPr>
        <w:t>direito.</w:t>
      </w:r>
      <w:r>
        <w:rPr>
          <w:vertAlign w:val="superscript"/>
        </w:rPr>
        <w:t>11</w:t>
      </w:r>
    </w:p>
    <w:p>
      <w:pPr>
        <w:pStyle w:val="BodyText"/>
        <w:spacing w:line="276" w:lineRule="auto" w:before="39"/>
        <w:ind w:right="491"/>
      </w:pPr>
      <w:r>
        <w:rPr/>
        <w:t>O trauma direto ou ainda uma desaceleração brusca pode levar também à ruptura de grandes vasos, com consequente hemomediastino e tamponamento cardíaco, situação em que o paciente chega ao serviço de saúde já sem vida na maioria dos casos.</w:t>
      </w:r>
    </w:p>
    <w:p>
      <w:pPr>
        <w:pStyle w:val="BodyText"/>
        <w:spacing w:line="290" w:lineRule="auto" w:before="64"/>
        <w:ind w:right="491"/>
      </w:pPr>
      <w:r>
        <w:rPr/>
        <w:t>As valvas cardíacas mais acometidas são</w:t>
      </w:r>
      <w:r>
        <w:rPr>
          <w:spacing w:val="-1"/>
        </w:rPr>
        <w:t> </w:t>
      </w:r>
      <w:r>
        <w:rPr/>
        <w:t>respectivamente</w:t>
      </w:r>
      <w:r>
        <w:rPr>
          <w:spacing w:val="-3"/>
        </w:rPr>
        <w:t> </w:t>
      </w:r>
      <w:r>
        <w:rPr/>
        <w:t>a</w:t>
      </w:r>
      <w:r>
        <w:rPr>
          <w:spacing w:val="-3"/>
        </w:rPr>
        <w:t> </w:t>
      </w:r>
      <w:r>
        <w:rPr/>
        <w:t>aórtica, a</w:t>
      </w:r>
      <w:r>
        <w:rPr>
          <w:spacing w:val="-3"/>
        </w:rPr>
        <w:t> </w:t>
      </w:r>
      <w:r>
        <w:rPr/>
        <w:t>mitral e</w:t>
      </w:r>
      <w:r>
        <w:rPr>
          <w:spacing w:val="-3"/>
        </w:rPr>
        <w:t> </w:t>
      </w:r>
      <w:r>
        <w:rPr/>
        <w:t>a</w:t>
      </w:r>
      <w:r>
        <w:rPr>
          <w:spacing w:val="-3"/>
        </w:rPr>
        <w:t> </w:t>
      </w:r>
      <w:r>
        <w:rPr/>
        <w:t>tricúspide, com</w:t>
      </w:r>
      <w:r>
        <w:rPr>
          <w:spacing w:val="-1"/>
        </w:rPr>
        <w:t> </w:t>
      </w:r>
      <w:r>
        <w:rPr/>
        <w:t>potencial lesão de cordoalhas tendíneas, folhetos valvares e músculos papilares.</w:t>
      </w:r>
      <w:r>
        <w:rPr>
          <w:vertAlign w:val="superscript"/>
        </w:rPr>
        <w:t>12</w:t>
      </w:r>
    </w:p>
    <w:p>
      <w:pPr>
        <w:pStyle w:val="BodyText"/>
        <w:spacing w:line="278" w:lineRule="auto" w:before="49"/>
        <w:ind w:right="497"/>
      </w:pPr>
      <w:r>
        <w:rPr/>
        <w:t>A</w:t>
      </w:r>
      <w:r>
        <w:rPr>
          <w:spacing w:val="-2"/>
        </w:rPr>
        <w:t> </w:t>
      </w:r>
      <w:r>
        <w:rPr/>
        <w:t>lesão traumática</w:t>
      </w:r>
      <w:r>
        <w:rPr>
          <w:spacing w:val="-2"/>
        </w:rPr>
        <w:t> </w:t>
      </w:r>
      <w:r>
        <w:rPr/>
        <w:t>pode</w:t>
      </w:r>
      <w:r>
        <w:rPr>
          <w:spacing w:val="-2"/>
        </w:rPr>
        <w:t> </w:t>
      </w:r>
      <w:r>
        <w:rPr/>
        <w:t>acarretar trombose</w:t>
      </w:r>
      <w:r>
        <w:rPr>
          <w:spacing w:val="-2"/>
        </w:rPr>
        <w:t> </w:t>
      </w:r>
      <w:r>
        <w:rPr/>
        <w:t>coronariana</w:t>
      </w:r>
      <w:r>
        <w:rPr>
          <w:spacing w:val="-2"/>
        </w:rPr>
        <w:t> </w:t>
      </w:r>
      <w:r>
        <w:rPr/>
        <w:t>e</w:t>
      </w:r>
      <w:r>
        <w:rPr>
          <w:spacing w:val="-2"/>
        </w:rPr>
        <w:t> </w:t>
      </w:r>
      <w:r>
        <w:rPr/>
        <w:t>infarto agudo do miocárdio, com alterações clássicas de exames subsidiários. Nesses casos, a clínica da dor torácica, o ECG e curva de marcadores de necrose miocárdica</w:t>
      </w:r>
      <w:r>
        <w:rPr>
          <w:spacing w:val="-2"/>
        </w:rPr>
        <w:t> </w:t>
      </w:r>
      <w:r>
        <w:rPr/>
        <w:t>mais específicos ajudarão a</w:t>
      </w:r>
      <w:r>
        <w:rPr>
          <w:spacing w:val="-2"/>
        </w:rPr>
        <w:t> </w:t>
      </w:r>
      <w:r>
        <w:rPr/>
        <w:t>diferenciar um quadro anginoso da</w:t>
      </w:r>
      <w:r>
        <w:rPr>
          <w:spacing w:val="-2"/>
        </w:rPr>
        <w:t> </w:t>
      </w:r>
      <w:r>
        <w:rPr/>
        <w:t>dor causada</w:t>
      </w:r>
      <w:r>
        <w:rPr>
          <w:spacing w:val="-2"/>
        </w:rPr>
        <w:t> </w:t>
      </w:r>
      <w:r>
        <w:rPr/>
        <w:t>pelo trauma</w:t>
      </w:r>
      <w:r>
        <w:rPr>
          <w:spacing w:val="-2"/>
        </w:rPr>
        <w:t> </w:t>
      </w:r>
      <w:r>
        <w:rPr/>
        <w:t>torácico.</w:t>
      </w:r>
      <w:r>
        <w:rPr>
          <w:vertAlign w:val="superscript"/>
        </w:rPr>
        <w:t>13</w:t>
      </w:r>
      <w:r>
        <w:rPr>
          <w:vertAlign w:val="baseline"/>
        </w:rPr>
        <w:t> Em alguns casos pode ocorrer um infarto agudo do miocárdio durante a condução de um automóvel, ocasionando acidente grave e dificuldade para diferenciar se o trauma causou o infarto agudo do miocárdio ou se ocorreu o </w:t>
      </w:r>
      <w:r>
        <w:rPr>
          <w:spacing w:val="-2"/>
          <w:vertAlign w:val="baseline"/>
        </w:rPr>
        <w:t>inverso.</w:t>
      </w:r>
    </w:p>
    <w:p>
      <w:pPr>
        <w:pStyle w:val="BodyText"/>
        <w:spacing w:line="276" w:lineRule="auto" w:before="49"/>
        <w:ind w:right="488"/>
      </w:pPr>
      <w:r>
        <w:rPr/>
        <w:t>As arritmias também são descritas no trauma cardíaco fechado, sendo sua ocorrência de extrema importância para</w:t>
      </w:r>
      <w:r>
        <w:rPr>
          <w:spacing w:val="-1"/>
        </w:rPr>
        <w:t> </w:t>
      </w:r>
      <w:r>
        <w:rPr/>
        <w:t>definição de</w:t>
      </w:r>
      <w:r>
        <w:rPr>
          <w:spacing w:val="-1"/>
        </w:rPr>
        <w:t> </w:t>
      </w:r>
      <w:r>
        <w:rPr/>
        <w:t>prognóstico e</w:t>
      </w:r>
      <w:r>
        <w:rPr>
          <w:spacing w:val="-1"/>
        </w:rPr>
        <w:t> </w:t>
      </w:r>
      <w:r>
        <w:rPr/>
        <w:t>conduta</w:t>
      </w:r>
      <w:r>
        <w:rPr>
          <w:spacing w:val="-1"/>
        </w:rPr>
        <w:t> </w:t>
      </w:r>
      <w:r>
        <w:rPr/>
        <w:t>desse</w:t>
      </w:r>
      <w:r>
        <w:rPr>
          <w:spacing w:val="-1"/>
        </w:rPr>
        <w:t> </w:t>
      </w:r>
      <w:r>
        <w:rPr/>
        <w:t>paciente. A</w:t>
      </w:r>
      <w:r>
        <w:rPr>
          <w:spacing w:val="-1"/>
        </w:rPr>
        <w:t> </w:t>
      </w:r>
      <w:r>
        <w:rPr/>
        <w:t>arritmia</w:t>
      </w:r>
      <w:r>
        <w:rPr>
          <w:spacing w:val="-1"/>
        </w:rPr>
        <w:t> </w:t>
      </w:r>
      <w:r>
        <w:rPr/>
        <w:t>mais comum no trauma</w:t>
      </w:r>
      <w:r>
        <w:rPr>
          <w:spacing w:val="-1"/>
        </w:rPr>
        <w:t> </w:t>
      </w:r>
      <w:r>
        <w:rPr/>
        <w:t>cardíaco é</w:t>
      </w:r>
      <w:r>
        <w:rPr>
          <w:spacing w:val="-1"/>
        </w:rPr>
        <w:t> </w:t>
      </w:r>
      <w:r>
        <w:rPr/>
        <w:t>a</w:t>
      </w:r>
      <w:r>
        <w:rPr>
          <w:spacing w:val="-1"/>
        </w:rPr>
        <w:t> </w:t>
      </w:r>
      <w:r>
        <w:rPr/>
        <w:t>taquicardia</w:t>
      </w:r>
    </w:p>
    <w:p>
      <w:pPr>
        <w:pStyle w:val="BodyText"/>
        <w:spacing w:after="0" w:line="276" w:lineRule="auto"/>
        <w:sectPr>
          <w:pgSz w:w="11900" w:h="16840"/>
          <w:pgMar w:top="220" w:bottom="0" w:left="566" w:right="141"/>
        </w:sectPr>
      </w:pPr>
    </w:p>
    <w:p>
      <w:pPr>
        <w:pStyle w:val="BodyText"/>
        <w:spacing w:line="278" w:lineRule="auto" w:before="64"/>
        <w:ind w:right="497" w:firstLine="0"/>
      </w:pPr>
      <w:r>
        <w:rPr/>
        <w:t>sinusal, seguida da extrassistolia ventricular, podendo ocorrer taquicardias ventriculares não sustentadas. A fisiopatologia das arritmias ventriculares é decorrente da lesão miocárdica, da isquemia e diretamente do trauma. Distúrbios de condução também podem ocorrer, assim como bloqueios atrioventriculares. As taquicardias supraventriculares, apesar de mais raras, já foram relatadas.</w:t>
      </w:r>
    </w:p>
    <w:p>
      <w:pPr>
        <w:pStyle w:val="BodyText"/>
        <w:spacing w:line="283" w:lineRule="auto" w:before="57"/>
        <w:ind w:right="488"/>
      </w:pPr>
      <w:r>
        <w:rPr/>
        <w:t>O </w:t>
      </w:r>
      <w:r>
        <w:rPr>
          <w:i/>
        </w:rPr>
        <w:t>commotio cordis </w:t>
      </w:r>
      <w:r>
        <w:rPr/>
        <w:t>é um colapso circulatório imediato após trauma torácico de intensidade desproporcional à gravidade do quadro, e decorre de arritmias ventriculares complexas. Foi descrito como morte súbita, após pequenos traumas torácicos, durante</w:t>
      </w:r>
      <w:r>
        <w:rPr>
          <w:spacing w:val="-4"/>
        </w:rPr>
        <w:t> </w:t>
      </w:r>
      <w:r>
        <w:rPr/>
        <w:t>atividades esportivas em</w:t>
      </w:r>
      <w:r>
        <w:rPr>
          <w:spacing w:val="-1"/>
        </w:rPr>
        <w:t> </w:t>
      </w:r>
      <w:r>
        <w:rPr/>
        <w:t>jovens com</w:t>
      </w:r>
      <w:r>
        <w:rPr>
          <w:spacing w:val="-1"/>
        </w:rPr>
        <w:t> </w:t>
      </w:r>
      <w:r>
        <w:rPr/>
        <w:t>coração</w:t>
      </w:r>
      <w:r>
        <w:rPr>
          <w:spacing w:val="-1"/>
        </w:rPr>
        <w:t> </w:t>
      </w:r>
      <w:r>
        <w:rPr/>
        <w:t>estruturalmente</w:t>
      </w:r>
      <w:r>
        <w:rPr>
          <w:spacing w:val="-4"/>
        </w:rPr>
        <w:t> </w:t>
      </w:r>
      <w:r>
        <w:rPr/>
        <w:t>normal.</w:t>
      </w:r>
      <w:r>
        <w:rPr>
          <w:vertAlign w:val="superscript"/>
        </w:rPr>
        <w:t>14,15</w:t>
      </w:r>
    </w:p>
    <w:p>
      <w:pPr>
        <w:pStyle w:val="BodyText"/>
        <w:spacing w:line="280" w:lineRule="auto" w:before="41"/>
        <w:ind w:right="498"/>
      </w:pPr>
      <w:r>
        <w:rPr/>
        <w:t>A lesão do pericárdio ocorre mais comumente na face lateral esquerda, podendo haver lesão do nervo frênico. Assim, a paralisia diafragmática esquerda pode ser indício de acometimento pericárdico. Lacerações extensas podem</w:t>
      </w:r>
      <w:r>
        <w:rPr>
          <w:spacing w:val="-6"/>
        </w:rPr>
        <w:t> </w:t>
      </w:r>
      <w:r>
        <w:rPr/>
        <w:t>provocar</w:t>
      </w:r>
      <w:r>
        <w:rPr>
          <w:spacing w:val="-1"/>
        </w:rPr>
        <w:t> </w:t>
      </w:r>
      <w:r>
        <w:rPr/>
        <w:t>herniação</w:t>
      </w:r>
      <w:r>
        <w:rPr>
          <w:spacing w:val="-6"/>
        </w:rPr>
        <w:t> </w:t>
      </w:r>
      <w:r>
        <w:rPr/>
        <w:t>cardíaca</w:t>
      </w:r>
      <w:r>
        <w:rPr>
          <w:spacing w:val="-8"/>
        </w:rPr>
        <w:t> </w:t>
      </w:r>
      <w:r>
        <w:rPr/>
        <w:t>com</w:t>
      </w:r>
      <w:r>
        <w:rPr>
          <w:spacing w:val="-6"/>
        </w:rPr>
        <w:t> </w:t>
      </w:r>
      <w:r>
        <w:rPr/>
        <w:t>grave</w:t>
      </w:r>
      <w:r>
        <w:rPr>
          <w:spacing w:val="-8"/>
        </w:rPr>
        <w:t> </w:t>
      </w:r>
      <w:r>
        <w:rPr/>
        <w:t>acometimento</w:t>
      </w:r>
      <w:r>
        <w:rPr>
          <w:spacing w:val="-6"/>
        </w:rPr>
        <w:t> </w:t>
      </w:r>
      <w:r>
        <w:rPr/>
        <w:t>hemodinâmico, necessitando</w:t>
      </w:r>
      <w:r>
        <w:rPr>
          <w:spacing w:val="-6"/>
        </w:rPr>
        <w:t> </w:t>
      </w:r>
      <w:r>
        <w:rPr/>
        <w:t>de</w:t>
      </w:r>
      <w:r>
        <w:rPr>
          <w:spacing w:val="-8"/>
        </w:rPr>
        <w:t> </w:t>
      </w:r>
      <w:r>
        <w:rPr/>
        <w:t>correção</w:t>
      </w:r>
      <w:r>
        <w:rPr>
          <w:spacing w:val="-6"/>
        </w:rPr>
        <w:t> </w:t>
      </w:r>
      <w:r>
        <w:rPr/>
        <w:t>cirúrgica</w:t>
      </w:r>
      <w:r>
        <w:rPr>
          <w:spacing w:val="-8"/>
        </w:rPr>
        <w:t> </w:t>
      </w:r>
      <w:r>
        <w:rPr/>
        <w:t>de emergência. Nas lesões menores, a conduta tende a ser expectante, com observação cuidadosa ao aparecimento de derrame pericárdico devido ao processo inflamatório. A pericardite pós-trauma ocorre nas primeiras 48 h, com caráter benigno e resolução espontânea.</w:t>
      </w:r>
      <w:r>
        <w:rPr>
          <w:vertAlign w:val="superscript"/>
        </w:rPr>
        <w:t>16</w:t>
      </w:r>
      <w:r>
        <w:rPr>
          <w:vertAlign w:val="baseline"/>
        </w:rPr>
        <w:t> Uma velocidade maior de acúmulo do derrame pericárdico pode ocorrer em processos inflamatórios mais intensos, levando a quadro de tamponamento cardíaco.</w:t>
      </w:r>
      <w:r>
        <w:rPr>
          <w:vertAlign w:val="superscript"/>
        </w:rPr>
        <w:t>17</w:t>
      </w:r>
    </w:p>
    <w:p>
      <w:pPr>
        <w:pStyle w:val="BodyText"/>
        <w:spacing w:line="276" w:lineRule="auto" w:before="60"/>
        <w:ind w:right="488"/>
      </w:pPr>
      <w:r>
        <w:rPr/>
        <w:t>Os sinais e sintomas que o paciente apresenta variam conforme a lesão acometida. A dor torácica anginosa ocorre no quadro de trombose coronária, com alterações eletrocardiográficas isquêmicas e alterações dos marcadores de necrose miocárdica. Os quadros de disfunção valvar ou lesão miocárdica se apresentam como uma insuficiência cardíaca aguda, com sinais de hipervolemia e baixo débito cardíaco. Nas rupturas cardíacas e lacerações, o</w:t>
      </w:r>
      <w:r>
        <w:rPr>
          <w:spacing w:val="-4"/>
        </w:rPr>
        <w:t> </w:t>
      </w:r>
      <w:r>
        <w:rPr/>
        <w:t>paciente</w:t>
      </w:r>
      <w:r>
        <w:rPr>
          <w:spacing w:val="-6"/>
        </w:rPr>
        <w:t> </w:t>
      </w:r>
      <w:r>
        <w:rPr/>
        <w:t>é</w:t>
      </w:r>
      <w:r>
        <w:rPr>
          <w:spacing w:val="-6"/>
        </w:rPr>
        <w:t> </w:t>
      </w:r>
      <w:r>
        <w:rPr/>
        <w:t>admitido</w:t>
      </w:r>
      <w:r>
        <w:rPr>
          <w:spacing w:val="-4"/>
        </w:rPr>
        <w:t> </w:t>
      </w:r>
      <w:r>
        <w:rPr/>
        <w:t>em</w:t>
      </w:r>
      <w:r>
        <w:rPr>
          <w:spacing w:val="-4"/>
        </w:rPr>
        <w:t> </w:t>
      </w:r>
      <w:r>
        <w:rPr/>
        <w:t>estado</w:t>
      </w:r>
      <w:r>
        <w:rPr>
          <w:spacing w:val="-4"/>
        </w:rPr>
        <w:t> </w:t>
      </w:r>
      <w:r>
        <w:rPr/>
        <w:t>crítico, com</w:t>
      </w:r>
      <w:r>
        <w:rPr>
          <w:spacing w:val="-4"/>
        </w:rPr>
        <w:t> </w:t>
      </w:r>
      <w:r>
        <w:rPr/>
        <w:t>grandes hemorragias ou</w:t>
      </w:r>
      <w:r>
        <w:rPr>
          <w:spacing w:val="-4"/>
        </w:rPr>
        <w:t> </w:t>
      </w:r>
      <w:r>
        <w:rPr/>
        <w:t>tamponamento</w:t>
      </w:r>
      <w:r>
        <w:rPr>
          <w:spacing w:val="-4"/>
        </w:rPr>
        <w:t> </w:t>
      </w:r>
      <w:r>
        <w:rPr/>
        <w:t>cardíaco.</w:t>
      </w:r>
    </w:p>
    <w:p>
      <w:pPr>
        <w:pStyle w:val="BodyText"/>
        <w:spacing w:before="186"/>
        <w:ind w:left="0" w:firstLine="0"/>
        <w:jc w:val="left"/>
      </w:pPr>
    </w:p>
    <w:p>
      <w:pPr>
        <w:pStyle w:val="Heading4"/>
      </w:pPr>
      <w:r>
        <w:rPr>
          <w:color w:val="242B67"/>
          <w:spacing w:val="-2"/>
        </w:rPr>
        <w:t>Tratamento</w:t>
      </w:r>
    </w:p>
    <w:p>
      <w:pPr>
        <w:pStyle w:val="Heading5"/>
        <w:spacing w:before="177"/>
      </w:pPr>
      <w:r>
        <w:rPr>
          <w:color w:val="A26108"/>
        </w:rPr>
        <w:t>Avaliação</w:t>
      </w:r>
      <w:r>
        <w:rPr>
          <w:color w:val="A26108"/>
          <w:spacing w:val="30"/>
        </w:rPr>
        <w:t> </w:t>
      </w:r>
      <w:r>
        <w:rPr>
          <w:color w:val="A26108"/>
          <w:spacing w:val="-2"/>
        </w:rPr>
        <w:t>inicial</w:t>
      </w:r>
    </w:p>
    <w:p>
      <w:pPr>
        <w:pStyle w:val="BodyText"/>
        <w:spacing w:line="276" w:lineRule="auto" w:before="139"/>
        <w:ind w:right="498"/>
      </w:pPr>
      <w:r>
        <w:rPr/>
        <w:t>O</w:t>
      </w:r>
      <w:r>
        <w:rPr>
          <w:spacing w:val="-11"/>
        </w:rPr>
        <w:t> </w:t>
      </w:r>
      <w:r>
        <w:rPr/>
        <w:t>atendimento</w:t>
      </w:r>
      <w:r>
        <w:rPr>
          <w:spacing w:val="-8"/>
        </w:rPr>
        <w:t> </w:t>
      </w:r>
      <w:r>
        <w:rPr/>
        <w:t>inicial</w:t>
      </w:r>
      <w:r>
        <w:rPr>
          <w:spacing w:val="-6"/>
        </w:rPr>
        <w:t> </w:t>
      </w:r>
      <w:r>
        <w:rPr/>
        <w:t>ao</w:t>
      </w:r>
      <w:r>
        <w:rPr>
          <w:spacing w:val="-8"/>
        </w:rPr>
        <w:t> </w:t>
      </w:r>
      <w:r>
        <w:rPr/>
        <w:t>paciente</w:t>
      </w:r>
      <w:r>
        <w:rPr>
          <w:spacing w:val="-11"/>
        </w:rPr>
        <w:t> </w:t>
      </w:r>
      <w:r>
        <w:rPr/>
        <w:t>com</w:t>
      </w:r>
      <w:r>
        <w:rPr>
          <w:spacing w:val="-8"/>
        </w:rPr>
        <w:t> </w:t>
      </w:r>
      <w:r>
        <w:rPr/>
        <w:t>trauma</w:t>
      </w:r>
      <w:r>
        <w:rPr>
          <w:spacing w:val="-11"/>
        </w:rPr>
        <w:t> </w:t>
      </w:r>
      <w:r>
        <w:rPr/>
        <w:t>cardíaco</w:t>
      </w:r>
      <w:r>
        <w:rPr>
          <w:spacing w:val="-8"/>
        </w:rPr>
        <w:t> </w:t>
      </w:r>
      <w:r>
        <w:rPr/>
        <w:t>deve</w:t>
      </w:r>
      <w:r>
        <w:rPr>
          <w:spacing w:val="-11"/>
        </w:rPr>
        <w:t> </w:t>
      </w:r>
      <w:r>
        <w:rPr/>
        <w:t>respeitar</w:t>
      </w:r>
      <w:r>
        <w:rPr>
          <w:spacing w:val="-3"/>
        </w:rPr>
        <w:t> </w:t>
      </w:r>
      <w:r>
        <w:rPr/>
        <w:t>a</w:t>
      </w:r>
      <w:r>
        <w:rPr>
          <w:spacing w:val="-11"/>
        </w:rPr>
        <w:t> </w:t>
      </w:r>
      <w:r>
        <w:rPr/>
        <w:t>avaliação</w:t>
      </w:r>
      <w:r>
        <w:rPr>
          <w:spacing w:val="-8"/>
        </w:rPr>
        <w:t> </w:t>
      </w:r>
      <w:r>
        <w:rPr/>
        <w:t>preconizada</w:t>
      </w:r>
      <w:r>
        <w:rPr>
          <w:spacing w:val="-11"/>
        </w:rPr>
        <w:t> </w:t>
      </w:r>
      <w:r>
        <w:rPr/>
        <w:t>pelo</w:t>
      </w:r>
      <w:r>
        <w:rPr>
          <w:spacing w:val="-8"/>
        </w:rPr>
        <w:t> </w:t>
      </w:r>
      <w:r>
        <w:rPr/>
        <w:t>ATLS.</w:t>
      </w:r>
      <w:r>
        <w:rPr>
          <w:spacing w:val="-1"/>
        </w:rPr>
        <w:t> </w:t>
      </w:r>
      <w:r>
        <w:rPr/>
        <w:t>Após avaliação do ABC (A = vias respiratórias; B = respiração; C = cardiovascular) e garantida a estabilização ventilatória e hemodinâmica, é que se iniciarão as avaliações secundárias. Em casos críticos, como na parada cardiorrespiratória e no tamponamento cardíaco, o trauma torácico e as medidas terapêuticas serão avaliados primariamente por causar instabilidade hemodinâmica.</w:t>
      </w:r>
    </w:p>
    <w:p>
      <w:pPr>
        <w:pStyle w:val="BodyText"/>
        <w:spacing w:line="276" w:lineRule="auto" w:before="64"/>
        <w:ind w:right="490"/>
      </w:pPr>
      <w:r>
        <w:rPr/>
        <w:t>A ultrassonografia FAST (do inglês, </w:t>
      </w:r>
      <w:r>
        <w:rPr>
          <w:i/>
        </w:rPr>
        <w:t>focused assessment with sonography for trauma</w:t>
      </w:r>
      <w:r>
        <w:rPr/>
        <w:t>) no trauma vem sendo cada</w:t>
      </w:r>
      <w:r>
        <w:rPr>
          <w:spacing w:val="-4"/>
        </w:rPr>
        <w:t> </w:t>
      </w:r>
      <w:r>
        <w:rPr/>
        <w:t>vez</w:t>
      </w:r>
      <w:r>
        <w:rPr>
          <w:spacing w:val="-4"/>
        </w:rPr>
        <w:t> </w:t>
      </w:r>
      <w:r>
        <w:rPr/>
        <w:t>mais utilizada</w:t>
      </w:r>
      <w:r>
        <w:rPr>
          <w:spacing w:val="-4"/>
        </w:rPr>
        <w:t> </w:t>
      </w:r>
      <w:r>
        <w:rPr/>
        <w:t>na</w:t>
      </w:r>
      <w:r>
        <w:rPr>
          <w:spacing w:val="-4"/>
        </w:rPr>
        <w:t> </w:t>
      </w:r>
      <w:r>
        <w:rPr/>
        <w:t>sala</w:t>
      </w:r>
      <w:r>
        <w:rPr>
          <w:spacing w:val="-4"/>
        </w:rPr>
        <w:t> </w:t>
      </w:r>
      <w:r>
        <w:rPr/>
        <w:t>de</w:t>
      </w:r>
      <w:r>
        <w:rPr>
          <w:spacing w:val="-4"/>
        </w:rPr>
        <w:t> </w:t>
      </w:r>
      <w:r>
        <w:rPr/>
        <w:t>emergência. A</w:t>
      </w:r>
      <w:r>
        <w:rPr>
          <w:spacing w:val="-4"/>
        </w:rPr>
        <w:t> </w:t>
      </w:r>
      <w:r>
        <w:rPr/>
        <w:t>avaliação</w:t>
      </w:r>
      <w:r>
        <w:rPr>
          <w:spacing w:val="-1"/>
        </w:rPr>
        <w:t> </w:t>
      </w:r>
      <w:r>
        <w:rPr/>
        <w:t>de</w:t>
      </w:r>
      <w:r>
        <w:rPr>
          <w:spacing w:val="-4"/>
        </w:rPr>
        <w:t> </w:t>
      </w:r>
      <w:r>
        <w:rPr/>
        <w:t>quatro</w:t>
      </w:r>
      <w:r>
        <w:rPr>
          <w:spacing w:val="-1"/>
        </w:rPr>
        <w:t> </w:t>
      </w:r>
      <w:r>
        <w:rPr/>
        <w:t>pontos ultrassonográficos inclui a</w:t>
      </w:r>
      <w:r>
        <w:rPr>
          <w:spacing w:val="-4"/>
        </w:rPr>
        <w:t> </w:t>
      </w:r>
      <w:r>
        <w:rPr/>
        <w:t>observação de fluidos no pericárdio pela janela subxifoide. Quando ocorre, faz-se o diagnóstico de trauma cardíaco com possibilidade de tamponamento cardíaco.</w:t>
      </w:r>
    </w:p>
    <w:p>
      <w:pPr>
        <w:pStyle w:val="BodyText"/>
        <w:spacing w:line="276" w:lineRule="auto" w:before="49"/>
        <w:ind w:right="498"/>
      </w:pPr>
      <w:r>
        <w:rPr/>
        <w:t>O ecocardiograma transtorácico deve ser realizado na suspeita de disfunção ventricular secundária ao trauma, bem como na suspeita de lesão valvar. Pode ser necessária a realização de ecocardiograma transesofágico para melhor acurácia do método.</w:t>
      </w:r>
    </w:p>
    <w:p>
      <w:pPr>
        <w:pStyle w:val="BodyText"/>
        <w:spacing w:before="134"/>
        <w:ind w:left="0" w:firstLine="0"/>
        <w:jc w:val="left"/>
      </w:pPr>
    </w:p>
    <w:p>
      <w:pPr>
        <w:pStyle w:val="Heading5"/>
      </w:pPr>
      <w:r>
        <w:rPr>
          <w:color w:val="A26108"/>
        </w:rPr>
        <w:t>Avaliação</w:t>
      </w:r>
      <w:r>
        <w:rPr>
          <w:color w:val="A26108"/>
          <w:spacing w:val="20"/>
        </w:rPr>
        <w:t> </w:t>
      </w:r>
      <w:r>
        <w:rPr>
          <w:color w:val="A26108"/>
        </w:rPr>
        <w:t>no</w:t>
      </w:r>
      <w:r>
        <w:rPr>
          <w:color w:val="A26108"/>
          <w:spacing w:val="20"/>
        </w:rPr>
        <w:t> </w:t>
      </w:r>
      <w:r>
        <w:rPr>
          <w:color w:val="A26108"/>
        </w:rPr>
        <w:t>trauma</w:t>
      </w:r>
      <w:r>
        <w:rPr>
          <w:color w:val="A26108"/>
          <w:spacing w:val="20"/>
        </w:rPr>
        <w:t> </w:t>
      </w:r>
      <w:r>
        <w:rPr>
          <w:color w:val="A26108"/>
        </w:rPr>
        <w:t>cardíaco</w:t>
      </w:r>
      <w:r>
        <w:rPr>
          <w:color w:val="A26108"/>
          <w:spacing w:val="20"/>
        </w:rPr>
        <w:t> </w:t>
      </w:r>
      <w:r>
        <w:rPr>
          <w:color w:val="A26108"/>
        </w:rPr>
        <w:t>não</w:t>
      </w:r>
      <w:r>
        <w:rPr>
          <w:color w:val="A26108"/>
          <w:spacing w:val="20"/>
        </w:rPr>
        <w:t> </w:t>
      </w:r>
      <w:r>
        <w:rPr>
          <w:color w:val="A26108"/>
          <w:spacing w:val="-2"/>
        </w:rPr>
        <w:t>penetrante</w:t>
      </w:r>
    </w:p>
    <w:p>
      <w:pPr>
        <w:pStyle w:val="BodyText"/>
        <w:spacing w:line="278" w:lineRule="auto" w:before="138"/>
        <w:ind w:right="491"/>
      </w:pPr>
      <w:r>
        <w:rPr/>
        <w:t>O quadro clínico deve nortear a avaliação do paciente com trauma torácico fechado, porém o ECG de 12 derivações deve fazer parte de toda avaliação. Um ECG normal sem nenhum outro sintoma cardiovascular determina</w:t>
      </w:r>
      <w:r>
        <w:rPr>
          <w:spacing w:val="-5"/>
        </w:rPr>
        <w:t> </w:t>
      </w:r>
      <w:r>
        <w:rPr/>
        <w:t>um</w:t>
      </w:r>
      <w:r>
        <w:rPr>
          <w:spacing w:val="-2"/>
        </w:rPr>
        <w:t> </w:t>
      </w:r>
      <w:r>
        <w:rPr/>
        <w:t>ótimo</w:t>
      </w:r>
      <w:r>
        <w:rPr>
          <w:spacing w:val="-2"/>
        </w:rPr>
        <w:t> </w:t>
      </w:r>
      <w:r>
        <w:rPr/>
        <w:t>prognóstico. Por outro</w:t>
      </w:r>
      <w:r>
        <w:rPr>
          <w:spacing w:val="-2"/>
        </w:rPr>
        <w:t> </w:t>
      </w:r>
      <w:r>
        <w:rPr/>
        <w:t>lado, o</w:t>
      </w:r>
      <w:r>
        <w:rPr>
          <w:spacing w:val="-2"/>
        </w:rPr>
        <w:t> </w:t>
      </w:r>
      <w:r>
        <w:rPr/>
        <w:t>ECG</w:t>
      </w:r>
      <w:r>
        <w:rPr>
          <w:spacing w:val="-5"/>
        </w:rPr>
        <w:t> </w:t>
      </w:r>
      <w:r>
        <w:rPr/>
        <w:t>com</w:t>
      </w:r>
      <w:r>
        <w:rPr>
          <w:spacing w:val="-2"/>
        </w:rPr>
        <w:t> </w:t>
      </w:r>
      <w:r>
        <w:rPr/>
        <w:t>alguma</w:t>
      </w:r>
      <w:r>
        <w:rPr>
          <w:spacing w:val="-5"/>
        </w:rPr>
        <w:t> </w:t>
      </w:r>
      <w:r>
        <w:rPr/>
        <w:t>alteração</w:t>
      </w:r>
      <w:r>
        <w:rPr>
          <w:spacing w:val="-2"/>
        </w:rPr>
        <w:t> </w:t>
      </w:r>
      <w:r>
        <w:rPr/>
        <w:t>indica</w:t>
      </w:r>
      <w:r>
        <w:rPr>
          <w:spacing w:val="-5"/>
        </w:rPr>
        <w:t> </w:t>
      </w:r>
      <w:r>
        <w:rPr/>
        <w:t>a</w:t>
      </w:r>
      <w:r>
        <w:rPr>
          <w:spacing w:val="-5"/>
        </w:rPr>
        <w:t> </w:t>
      </w:r>
      <w:r>
        <w:rPr/>
        <w:t>observação</w:t>
      </w:r>
      <w:r>
        <w:rPr>
          <w:spacing w:val="-2"/>
        </w:rPr>
        <w:t> </w:t>
      </w:r>
      <w:r>
        <w:rPr/>
        <w:t>por pelo</w:t>
      </w:r>
      <w:r>
        <w:rPr>
          <w:spacing w:val="-2"/>
        </w:rPr>
        <w:t> </w:t>
      </w:r>
      <w:r>
        <w:rPr/>
        <w:t>menos 24 h, período em que complicações arritmogênicas podem ocorrer. Podem ser observados ao ECG a extrassistolia ventricular, distúrbios de condução com bradiarritmias e alterações da repolarização ventricular. Alterações eletrocardiográficas indicam pior prognóstico, com a possibilidade de aparecimento de arritmias ventriculares complexas (taquicardia ventricular ou fibrilação ventricular).</w:t>
      </w:r>
      <w:r>
        <w:rPr>
          <w:vertAlign w:val="superscript"/>
        </w:rPr>
        <w:t>18</w:t>
      </w:r>
    </w:p>
    <w:p>
      <w:pPr>
        <w:pStyle w:val="BodyText"/>
        <w:spacing w:line="280" w:lineRule="auto" w:before="63"/>
        <w:ind w:right="488"/>
      </w:pPr>
      <w:r>
        <w:rPr/>
        <w:t>Os marcadores de necrose miocárdica não devem ser utilizados como rotina no trauma cardíaco fechado. A elevação</w:t>
      </w:r>
      <w:r>
        <w:rPr>
          <w:spacing w:val="-3"/>
        </w:rPr>
        <w:t> </w:t>
      </w:r>
      <w:r>
        <w:rPr/>
        <w:t>de</w:t>
      </w:r>
      <w:r>
        <w:rPr>
          <w:spacing w:val="-5"/>
        </w:rPr>
        <w:t> </w:t>
      </w:r>
      <w:r>
        <w:rPr/>
        <w:t>creatinofosfoquinase</w:t>
      </w:r>
      <w:r>
        <w:rPr>
          <w:spacing w:val="-6"/>
        </w:rPr>
        <w:t> </w:t>
      </w:r>
      <w:r>
        <w:rPr/>
        <w:t>e</w:t>
      </w:r>
      <w:r>
        <w:rPr>
          <w:spacing w:val="-5"/>
        </w:rPr>
        <w:t> </w:t>
      </w:r>
      <w:r>
        <w:rPr/>
        <w:t>sua</w:t>
      </w:r>
      <w:r>
        <w:rPr>
          <w:spacing w:val="-6"/>
        </w:rPr>
        <w:t> </w:t>
      </w:r>
      <w:r>
        <w:rPr/>
        <w:t>fração</w:t>
      </w:r>
      <w:r>
        <w:rPr>
          <w:spacing w:val="-3"/>
        </w:rPr>
        <w:t> </w:t>
      </w:r>
      <w:r>
        <w:rPr/>
        <w:t>MB não</w:t>
      </w:r>
      <w:r>
        <w:rPr>
          <w:spacing w:val="-3"/>
        </w:rPr>
        <w:t> </w:t>
      </w:r>
      <w:r>
        <w:rPr/>
        <w:t>se</w:t>
      </w:r>
      <w:r>
        <w:rPr>
          <w:spacing w:val="-5"/>
        </w:rPr>
        <w:t> </w:t>
      </w:r>
      <w:r>
        <w:rPr/>
        <w:t>relacionaram</w:t>
      </w:r>
      <w:r>
        <w:rPr>
          <w:spacing w:val="-3"/>
        </w:rPr>
        <w:t> </w:t>
      </w:r>
      <w:r>
        <w:rPr/>
        <w:t>com</w:t>
      </w:r>
      <w:r>
        <w:rPr>
          <w:spacing w:val="-3"/>
        </w:rPr>
        <w:t> </w:t>
      </w:r>
      <w:r>
        <w:rPr/>
        <w:t>pior prognóstico.</w:t>
      </w:r>
      <w:r>
        <w:rPr>
          <w:vertAlign w:val="superscript"/>
        </w:rPr>
        <w:t>19</w:t>
      </w:r>
      <w:r>
        <w:rPr>
          <w:vertAlign w:val="baseline"/>
        </w:rPr>
        <w:t> A</w:t>
      </w:r>
      <w:r>
        <w:rPr>
          <w:spacing w:val="-5"/>
          <w:vertAlign w:val="baseline"/>
        </w:rPr>
        <w:t> </w:t>
      </w:r>
      <w:r>
        <w:rPr>
          <w:vertAlign w:val="baseline"/>
        </w:rPr>
        <w:t>troponina, apesar de ser mais específica da lesão miocárdica, também não indicou pior morbidade ou mortalidade, quando avaliada isoladamente, apesar de apresentar ótimo valor preditivo negativo quando associado ao ECG.</w:t>
      </w:r>
      <w:r>
        <w:rPr>
          <w:vertAlign w:val="superscript"/>
        </w:rPr>
        <w:t>20</w:t>
      </w:r>
      <w:r>
        <w:rPr>
          <w:vertAlign w:val="baseline"/>
        </w:rPr>
        <w:t> Assim, os marcadores</w:t>
      </w:r>
      <w:r>
        <w:rPr>
          <w:spacing w:val="-2"/>
          <w:vertAlign w:val="baseline"/>
        </w:rPr>
        <w:t> </w:t>
      </w:r>
      <w:r>
        <w:rPr>
          <w:vertAlign w:val="baseline"/>
        </w:rPr>
        <w:t>de</w:t>
      </w:r>
      <w:r>
        <w:rPr>
          <w:spacing w:val="-12"/>
          <w:vertAlign w:val="baseline"/>
        </w:rPr>
        <w:t> </w:t>
      </w:r>
      <w:r>
        <w:rPr>
          <w:vertAlign w:val="baseline"/>
        </w:rPr>
        <w:t>necrose</w:t>
      </w:r>
      <w:r>
        <w:rPr>
          <w:spacing w:val="-12"/>
          <w:vertAlign w:val="baseline"/>
        </w:rPr>
        <w:t> </w:t>
      </w:r>
      <w:r>
        <w:rPr>
          <w:vertAlign w:val="baseline"/>
        </w:rPr>
        <w:t>miocárdica</w:t>
      </w:r>
      <w:r>
        <w:rPr>
          <w:spacing w:val="-12"/>
          <w:vertAlign w:val="baseline"/>
        </w:rPr>
        <w:t> </w:t>
      </w:r>
      <w:r>
        <w:rPr>
          <w:vertAlign w:val="baseline"/>
        </w:rPr>
        <w:t>devem</w:t>
      </w:r>
      <w:r>
        <w:rPr>
          <w:spacing w:val="-9"/>
          <w:vertAlign w:val="baseline"/>
        </w:rPr>
        <w:t> </w:t>
      </w:r>
      <w:r>
        <w:rPr>
          <w:vertAlign w:val="baseline"/>
        </w:rPr>
        <w:t>ser</w:t>
      </w:r>
      <w:r>
        <w:rPr>
          <w:spacing w:val="-4"/>
          <w:vertAlign w:val="baseline"/>
        </w:rPr>
        <w:t> </w:t>
      </w:r>
      <w:r>
        <w:rPr>
          <w:vertAlign w:val="baseline"/>
        </w:rPr>
        <w:t>utilizados</w:t>
      </w:r>
      <w:r>
        <w:rPr>
          <w:spacing w:val="-2"/>
          <w:vertAlign w:val="baseline"/>
        </w:rPr>
        <w:t> </w:t>
      </w:r>
      <w:r>
        <w:rPr>
          <w:vertAlign w:val="baseline"/>
        </w:rPr>
        <w:t>apenas</w:t>
      </w:r>
      <w:r>
        <w:rPr>
          <w:spacing w:val="-2"/>
          <w:vertAlign w:val="baseline"/>
        </w:rPr>
        <w:t> </w:t>
      </w:r>
      <w:r>
        <w:rPr>
          <w:vertAlign w:val="baseline"/>
        </w:rPr>
        <w:t>naqueles</w:t>
      </w:r>
      <w:r>
        <w:rPr>
          <w:spacing w:val="-2"/>
          <w:vertAlign w:val="baseline"/>
        </w:rPr>
        <w:t> </w:t>
      </w:r>
      <w:r>
        <w:rPr>
          <w:vertAlign w:val="baseline"/>
        </w:rPr>
        <w:t>pacientes</w:t>
      </w:r>
      <w:r>
        <w:rPr>
          <w:spacing w:val="-2"/>
          <w:vertAlign w:val="baseline"/>
        </w:rPr>
        <w:t> </w:t>
      </w:r>
      <w:r>
        <w:rPr>
          <w:vertAlign w:val="baseline"/>
        </w:rPr>
        <w:t>com</w:t>
      </w:r>
      <w:r>
        <w:rPr>
          <w:spacing w:val="-9"/>
          <w:vertAlign w:val="baseline"/>
        </w:rPr>
        <w:t> </w:t>
      </w:r>
      <w:r>
        <w:rPr>
          <w:vertAlign w:val="baseline"/>
        </w:rPr>
        <w:t>suspeita</w:t>
      </w:r>
      <w:r>
        <w:rPr>
          <w:spacing w:val="-12"/>
          <w:vertAlign w:val="baseline"/>
        </w:rPr>
        <w:t> </w:t>
      </w:r>
      <w:r>
        <w:rPr>
          <w:vertAlign w:val="baseline"/>
        </w:rPr>
        <w:t>de</w:t>
      </w:r>
      <w:r>
        <w:rPr>
          <w:spacing w:val="-12"/>
          <w:vertAlign w:val="baseline"/>
        </w:rPr>
        <w:t> </w:t>
      </w:r>
      <w:r>
        <w:rPr>
          <w:vertAlign w:val="baseline"/>
        </w:rPr>
        <w:t>quadro</w:t>
      </w:r>
      <w:r>
        <w:rPr>
          <w:spacing w:val="-9"/>
          <w:vertAlign w:val="baseline"/>
        </w:rPr>
        <w:t> </w:t>
      </w:r>
      <w:r>
        <w:rPr>
          <w:vertAlign w:val="baseline"/>
        </w:rPr>
        <w:t>anginoso associado ao trauma, dando-se preferência à mensuração da troponina.</w:t>
      </w:r>
    </w:p>
    <w:p>
      <w:pPr>
        <w:pStyle w:val="BodyText"/>
        <w:spacing w:after="0" w:line="280" w:lineRule="auto"/>
        <w:sectPr>
          <w:pgSz w:w="11900" w:h="16840"/>
          <w:pgMar w:top="220" w:bottom="280" w:left="566" w:right="141"/>
        </w:sectPr>
      </w:pPr>
    </w:p>
    <w:p>
      <w:pPr>
        <w:pStyle w:val="Heading5"/>
        <w:spacing w:before="84"/>
      </w:pPr>
      <w:r>
        <w:rPr>
          <w:color w:val="A26108"/>
        </w:rPr>
        <w:t>Tratamento</w:t>
      </w:r>
      <w:r>
        <w:rPr>
          <w:color w:val="A26108"/>
          <w:spacing w:val="34"/>
        </w:rPr>
        <w:t> </w:t>
      </w:r>
      <w:r>
        <w:rPr>
          <w:color w:val="A26108"/>
          <w:spacing w:val="-2"/>
        </w:rPr>
        <w:t>cirúrgico</w:t>
      </w:r>
    </w:p>
    <w:p>
      <w:pPr>
        <w:pStyle w:val="BodyText"/>
        <w:spacing w:line="283" w:lineRule="auto" w:before="138"/>
        <w:ind w:right="491"/>
      </w:pPr>
      <w:r>
        <w:rPr/>
        <w:t>Após avaliação</w:t>
      </w:r>
      <w:r>
        <w:rPr>
          <w:spacing w:val="-1"/>
        </w:rPr>
        <w:t> </w:t>
      </w:r>
      <w:r>
        <w:rPr/>
        <w:t>inicial pré-hospitalar e</w:t>
      </w:r>
      <w:r>
        <w:rPr>
          <w:spacing w:val="-4"/>
        </w:rPr>
        <w:t> </w:t>
      </w:r>
      <w:r>
        <w:rPr/>
        <w:t>estabilização, é</w:t>
      </w:r>
      <w:r>
        <w:rPr>
          <w:spacing w:val="-4"/>
        </w:rPr>
        <w:t> </w:t>
      </w:r>
      <w:r>
        <w:rPr/>
        <w:t>importante</w:t>
      </w:r>
      <w:r>
        <w:rPr>
          <w:spacing w:val="-4"/>
        </w:rPr>
        <w:t> </w:t>
      </w:r>
      <w:r>
        <w:rPr/>
        <w:t>o</w:t>
      </w:r>
      <w:r>
        <w:rPr>
          <w:spacing w:val="-1"/>
        </w:rPr>
        <w:t> </w:t>
      </w:r>
      <w:r>
        <w:rPr/>
        <w:t>rápido</w:t>
      </w:r>
      <w:r>
        <w:rPr>
          <w:spacing w:val="-1"/>
        </w:rPr>
        <w:t> </w:t>
      </w:r>
      <w:r>
        <w:rPr/>
        <w:t>transporte</w:t>
      </w:r>
      <w:r>
        <w:rPr>
          <w:spacing w:val="-4"/>
        </w:rPr>
        <w:t> </w:t>
      </w:r>
      <w:r>
        <w:rPr/>
        <w:t>para</w:t>
      </w:r>
      <w:r>
        <w:rPr>
          <w:spacing w:val="-4"/>
        </w:rPr>
        <w:t> </w:t>
      </w:r>
      <w:r>
        <w:rPr/>
        <w:t>centro</w:t>
      </w:r>
      <w:r>
        <w:rPr>
          <w:spacing w:val="-1"/>
        </w:rPr>
        <w:t> </w:t>
      </w:r>
      <w:r>
        <w:rPr/>
        <w:t>habilitado</w:t>
      </w:r>
      <w:r>
        <w:rPr>
          <w:spacing w:val="-1"/>
        </w:rPr>
        <w:t> </w:t>
      </w:r>
      <w:r>
        <w:rPr/>
        <w:t>em trauma. Quando</w:t>
      </w:r>
      <w:r>
        <w:rPr>
          <w:spacing w:val="-2"/>
        </w:rPr>
        <w:t> </w:t>
      </w:r>
      <w:r>
        <w:rPr/>
        <w:t>a</w:t>
      </w:r>
      <w:r>
        <w:rPr>
          <w:spacing w:val="-4"/>
        </w:rPr>
        <w:t> </w:t>
      </w:r>
      <w:r>
        <w:rPr/>
        <w:t>abordagem</w:t>
      </w:r>
      <w:r>
        <w:rPr>
          <w:spacing w:val="-2"/>
        </w:rPr>
        <w:t> </w:t>
      </w:r>
      <w:r>
        <w:rPr/>
        <w:t>cirúrgica</w:t>
      </w:r>
      <w:r>
        <w:rPr>
          <w:spacing w:val="-4"/>
        </w:rPr>
        <w:t> </w:t>
      </w:r>
      <w:r>
        <w:rPr/>
        <w:t>for indicada, a</w:t>
      </w:r>
      <w:r>
        <w:rPr>
          <w:spacing w:val="-4"/>
        </w:rPr>
        <w:t> </w:t>
      </w:r>
      <w:r>
        <w:rPr/>
        <w:t>rápida</w:t>
      </w:r>
      <w:r>
        <w:rPr>
          <w:spacing w:val="-4"/>
        </w:rPr>
        <w:t> </w:t>
      </w:r>
      <w:r>
        <w:rPr/>
        <w:t>transferência</w:t>
      </w:r>
      <w:r>
        <w:rPr>
          <w:spacing w:val="-4"/>
        </w:rPr>
        <w:t> </w:t>
      </w:r>
      <w:r>
        <w:rPr/>
        <w:t>para</w:t>
      </w:r>
      <w:r>
        <w:rPr>
          <w:spacing w:val="-4"/>
        </w:rPr>
        <w:t> </w:t>
      </w:r>
      <w:r>
        <w:rPr/>
        <w:t>sala</w:t>
      </w:r>
      <w:r>
        <w:rPr>
          <w:spacing w:val="-4"/>
        </w:rPr>
        <w:t> </w:t>
      </w:r>
      <w:r>
        <w:rPr/>
        <w:t>cirúrgica</w:t>
      </w:r>
      <w:r>
        <w:rPr>
          <w:spacing w:val="-4"/>
        </w:rPr>
        <w:t> </w:t>
      </w:r>
      <w:r>
        <w:rPr/>
        <w:t>trouxe</w:t>
      </w:r>
      <w:r>
        <w:rPr>
          <w:spacing w:val="-4"/>
        </w:rPr>
        <w:t> </w:t>
      </w:r>
      <w:r>
        <w:rPr/>
        <w:t>benefícios aos desfechos desse paciente.</w:t>
      </w:r>
      <w:r>
        <w:rPr>
          <w:vertAlign w:val="superscript"/>
        </w:rPr>
        <w:t>21</w:t>
      </w:r>
    </w:p>
    <w:p>
      <w:pPr>
        <w:pStyle w:val="BodyText"/>
        <w:spacing w:line="276" w:lineRule="auto" w:before="40"/>
        <w:ind w:right="501"/>
      </w:pPr>
      <w:r>
        <w:rPr/>
        <w:t>A</w:t>
      </w:r>
      <w:r>
        <w:rPr>
          <w:spacing w:val="-5"/>
        </w:rPr>
        <w:t> </w:t>
      </w:r>
      <w:r>
        <w:rPr/>
        <w:t>pericardiocentese</w:t>
      </w:r>
      <w:r>
        <w:rPr>
          <w:spacing w:val="-5"/>
        </w:rPr>
        <w:t> </w:t>
      </w:r>
      <w:r>
        <w:rPr/>
        <w:t>não</w:t>
      </w:r>
      <w:r>
        <w:rPr>
          <w:spacing w:val="-3"/>
        </w:rPr>
        <w:t> </w:t>
      </w:r>
      <w:r>
        <w:rPr/>
        <w:t>tem</w:t>
      </w:r>
      <w:r>
        <w:rPr>
          <w:spacing w:val="-3"/>
        </w:rPr>
        <w:t> </w:t>
      </w:r>
      <w:r>
        <w:rPr/>
        <w:t>indicação</w:t>
      </w:r>
      <w:r>
        <w:rPr>
          <w:spacing w:val="-3"/>
        </w:rPr>
        <w:t> </w:t>
      </w:r>
      <w:r>
        <w:rPr/>
        <w:t>clara</w:t>
      </w:r>
      <w:r>
        <w:rPr>
          <w:spacing w:val="-5"/>
        </w:rPr>
        <w:t> </w:t>
      </w:r>
      <w:r>
        <w:rPr/>
        <w:t>no</w:t>
      </w:r>
      <w:r>
        <w:rPr>
          <w:spacing w:val="-3"/>
        </w:rPr>
        <w:t> </w:t>
      </w:r>
      <w:r>
        <w:rPr/>
        <w:t>trauma. Mesmo</w:t>
      </w:r>
      <w:r>
        <w:rPr>
          <w:spacing w:val="-3"/>
        </w:rPr>
        <w:t> </w:t>
      </w:r>
      <w:r>
        <w:rPr/>
        <w:t>em</w:t>
      </w:r>
      <w:r>
        <w:rPr>
          <w:spacing w:val="-3"/>
        </w:rPr>
        <w:t> </w:t>
      </w:r>
      <w:r>
        <w:rPr/>
        <w:t>casos de</w:t>
      </w:r>
      <w:r>
        <w:rPr>
          <w:spacing w:val="-5"/>
        </w:rPr>
        <w:t> </w:t>
      </w:r>
      <w:r>
        <w:rPr/>
        <w:t>tamponamento</w:t>
      </w:r>
      <w:r>
        <w:rPr>
          <w:spacing w:val="-3"/>
        </w:rPr>
        <w:t> </w:t>
      </w:r>
      <w:r>
        <w:rPr/>
        <w:t>cardíaco, a</w:t>
      </w:r>
      <w:r>
        <w:rPr>
          <w:spacing w:val="-5"/>
        </w:rPr>
        <w:t> </w:t>
      </w:r>
      <w:r>
        <w:rPr/>
        <w:t>simples punção pericárdica pode não ser efetiva na descompressão cardíaca, já que o volume e velocidade de formação do derrame podem ser grandes, além de haver coágulos.</w:t>
      </w:r>
    </w:p>
    <w:p>
      <w:pPr>
        <w:pStyle w:val="BodyText"/>
        <w:spacing w:line="276" w:lineRule="auto"/>
        <w:ind w:right="488"/>
      </w:pPr>
      <w:r>
        <w:rPr/>
        <w:t>A janela pericárdica com intenção diagnóstica vem sendo cada vez menos utilizada por substituição pela ecocardiografia. Seu uso acaba se restringindo à descompressão cardíaca em tamponamento cardíaco na sala de emergência, como ponte à toracotomia em centro cirúrgico.</w:t>
      </w:r>
    </w:p>
    <w:p>
      <w:pPr>
        <w:pStyle w:val="BodyText"/>
        <w:spacing w:line="278" w:lineRule="auto"/>
        <w:ind w:right="488"/>
      </w:pPr>
      <w:r>
        <w:rPr/>
        <w:t>O tratamento definitivo das afecções com indicação cirúrgica inclui grande exposição do coração via esternotomia mediana ou toracotomia anterolateral esquerda. A inspeção do coração em local cirúrgico e descompressão de tamponamento cardíaco são as primeiras medidas tomadas. As rafias de rupturas cardíacas e correções de lesões valvares devem ser realizadas por cirurgião experiente, com o intuito de evitar aumento de lacerações ou ligaduras inadvertidas de artérias coronárias.</w:t>
      </w:r>
      <w:r>
        <w:rPr>
          <w:vertAlign w:val="superscript"/>
        </w:rPr>
        <w:t>7</w:t>
      </w:r>
      <w:r>
        <w:rPr>
          <w:vertAlign w:val="baseline"/>
        </w:rPr>
        <w:t> Em caso de inabilidade do cirurgião em um primeiro momento, deve-se</w:t>
      </w:r>
      <w:r>
        <w:rPr>
          <w:spacing w:val="-3"/>
          <w:vertAlign w:val="baseline"/>
        </w:rPr>
        <w:t> </w:t>
      </w:r>
      <w:r>
        <w:rPr>
          <w:vertAlign w:val="baseline"/>
        </w:rPr>
        <w:t>realizar compressão digital ou uso de</w:t>
      </w:r>
      <w:r>
        <w:rPr>
          <w:spacing w:val="-3"/>
          <w:vertAlign w:val="baseline"/>
        </w:rPr>
        <w:t> </w:t>
      </w:r>
      <w:r>
        <w:rPr>
          <w:vertAlign w:val="baseline"/>
        </w:rPr>
        <w:t>sonda</w:t>
      </w:r>
      <w:r>
        <w:rPr>
          <w:spacing w:val="-3"/>
          <w:vertAlign w:val="baseline"/>
        </w:rPr>
        <w:t> </w:t>
      </w:r>
      <w:r>
        <w:rPr>
          <w:vertAlign w:val="baseline"/>
        </w:rPr>
        <w:t>de</w:t>
      </w:r>
      <w:r>
        <w:rPr>
          <w:spacing w:val="-3"/>
          <w:vertAlign w:val="baseline"/>
        </w:rPr>
        <w:t> </w:t>
      </w:r>
      <w:r>
        <w:rPr>
          <w:vertAlign w:val="baseline"/>
        </w:rPr>
        <w:t>Foley para</w:t>
      </w:r>
      <w:r>
        <w:rPr>
          <w:spacing w:val="-3"/>
          <w:vertAlign w:val="baseline"/>
        </w:rPr>
        <w:t> </w:t>
      </w:r>
      <w:r>
        <w:rPr>
          <w:vertAlign w:val="baseline"/>
        </w:rPr>
        <w:t>hemostasia</w:t>
      </w:r>
      <w:r>
        <w:rPr>
          <w:spacing w:val="-3"/>
          <w:vertAlign w:val="baseline"/>
        </w:rPr>
        <w:t> </w:t>
      </w:r>
      <w:r>
        <w:rPr>
          <w:vertAlign w:val="baseline"/>
        </w:rPr>
        <w:t>até</w:t>
      </w:r>
      <w:r>
        <w:rPr>
          <w:spacing w:val="-3"/>
          <w:vertAlign w:val="baseline"/>
        </w:rPr>
        <w:t> </w:t>
      </w:r>
      <w:r>
        <w:rPr>
          <w:vertAlign w:val="baseline"/>
        </w:rPr>
        <w:t>a</w:t>
      </w:r>
      <w:r>
        <w:rPr>
          <w:spacing w:val="-3"/>
          <w:vertAlign w:val="baseline"/>
        </w:rPr>
        <w:t> </w:t>
      </w:r>
      <w:r>
        <w:rPr>
          <w:vertAlign w:val="baseline"/>
        </w:rPr>
        <w:t>chegada</w:t>
      </w:r>
      <w:r>
        <w:rPr>
          <w:spacing w:val="-3"/>
          <w:vertAlign w:val="baseline"/>
        </w:rPr>
        <w:t> </w:t>
      </w:r>
      <w:r>
        <w:rPr>
          <w:vertAlign w:val="baseline"/>
        </w:rPr>
        <w:t>de</w:t>
      </w:r>
      <w:r>
        <w:rPr>
          <w:spacing w:val="-3"/>
          <w:vertAlign w:val="baseline"/>
        </w:rPr>
        <w:t> </w:t>
      </w:r>
      <w:r>
        <w:rPr>
          <w:vertAlign w:val="baseline"/>
        </w:rPr>
        <w:t>cirurgião </w:t>
      </w:r>
      <w:r>
        <w:rPr>
          <w:spacing w:val="-2"/>
          <w:vertAlign w:val="baseline"/>
        </w:rPr>
        <w:t>experiente.</w:t>
      </w:r>
    </w:p>
    <w:p>
      <w:pPr>
        <w:pStyle w:val="BodyText"/>
        <w:spacing w:after="0" w:line="278" w:lineRule="auto"/>
        <w:sectPr>
          <w:pgSz w:w="11900" w:h="16840"/>
          <w:pgMar w:top="200" w:bottom="280" w:left="566" w:right="141"/>
        </w:sectPr>
      </w:pPr>
    </w:p>
    <w:p>
      <w:pPr>
        <w:pStyle w:val="Heading1"/>
      </w:pPr>
      <w:r>
        <w:rPr>
          <w:color w:val="A26108"/>
        </w:rPr>
        <w:t>Capítulo</w:t>
      </w:r>
      <w:r>
        <w:rPr>
          <w:color w:val="A26108"/>
          <w:spacing w:val="24"/>
        </w:rPr>
        <w:t> </w:t>
      </w:r>
      <w:r>
        <w:rPr>
          <w:color w:val="A26108"/>
          <w:spacing w:val="-5"/>
        </w:rPr>
        <w:t>53</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597056">
                <wp:simplePos x="0" y="0"/>
                <wp:positionH relativeFrom="page">
                  <wp:posOffset>401543</wp:posOffset>
                </wp:positionH>
                <wp:positionV relativeFrom="paragraph">
                  <wp:posOffset>64325</wp:posOffset>
                </wp:positionV>
                <wp:extent cx="6753225" cy="1079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719424;mso-wrap-distance-left:0;mso-wrap-distance-right:0" id="docshape13" filled="true" fillcolor="#242b67" stroked="false">
                <v:fill type="solid"/>
                <w10:wrap type="topAndBottom"/>
              </v:rect>
            </w:pict>
          </mc:Fallback>
        </mc:AlternateContent>
      </w:r>
    </w:p>
    <w:p>
      <w:pPr>
        <w:pStyle w:val="Heading1"/>
        <w:spacing w:before="138"/>
      </w:pPr>
      <w:r>
        <w:rPr>
          <w:color w:val="A26108"/>
        </w:rPr>
        <w:t>Disfunção</w:t>
      </w:r>
      <w:r>
        <w:rPr>
          <w:color w:val="A26108"/>
          <w:spacing w:val="6"/>
        </w:rPr>
        <w:t> </w:t>
      </w:r>
      <w:r>
        <w:rPr>
          <w:color w:val="A26108"/>
        </w:rPr>
        <w:t>Endotelial</w:t>
      </w:r>
      <w:r>
        <w:rPr>
          <w:color w:val="A26108"/>
          <w:spacing w:val="6"/>
        </w:rPr>
        <w:t> </w:t>
      </w:r>
      <w:r>
        <w:rPr>
          <w:color w:val="A26108"/>
        </w:rPr>
        <w:t>e</w:t>
      </w:r>
      <w:r>
        <w:rPr>
          <w:color w:val="A26108"/>
          <w:spacing w:val="6"/>
        </w:rPr>
        <w:t> </w:t>
      </w:r>
      <w:r>
        <w:rPr>
          <w:color w:val="A26108"/>
          <w:spacing w:val="-2"/>
        </w:rPr>
        <w:t>Aterosclerose</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597568">
                <wp:simplePos x="0" y="0"/>
                <wp:positionH relativeFrom="page">
                  <wp:posOffset>401543</wp:posOffset>
                </wp:positionH>
                <wp:positionV relativeFrom="paragraph">
                  <wp:posOffset>64503</wp:posOffset>
                </wp:positionV>
                <wp:extent cx="6753225" cy="1079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78985pt;width:531.731217pt;height:.8008pt;mso-position-horizontal-relative:page;mso-position-vertical-relative:paragraph;z-index:-15718912;mso-wrap-distance-left:0;mso-wrap-distance-right:0" id="docshape14" filled="true" fillcolor="#242b67" stroked="false">
                <v:fill type="solid"/>
                <w10:wrap type="topAndBottom"/>
              </v:rect>
            </w:pict>
          </mc:Fallback>
        </mc:AlternateContent>
      </w:r>
    </w:p>
    <w:p>
      <w:pPr>
        <w:spacing w:before="118"/>
        <w:ind w:left="68" w:right="0" w:firstLine="0"/>
        <w:jc w:val="left"/>
        <w:rPr>
          <w:rFonts w:ascii="Arial" w:hAnsi="Arial"/>
          <w:i/>
          <w:sz w:val="25"/>
        </w:rPr>
      </w:pPr>
      <w:r>
        <w:rPr>
          <w:rFonts w:ascii="Arial" w:hAnsi="Arial"/>
          <w:i/>
          <w:sz w:val="25"/>
        </w:rPr>
        <w:t>Tatiana</w:t>
      </w:r>
      <w:r>
        <w:rPr>
          <w:rFonts w:ascii="Arial" w:hAnsi="Arial"/>
          <w:i/>
          <w:spacing w:val="15"/>
          <w:sz w:val="25"/>
        </w:rPr>
        <w:t> </w:t>
      </w:r>
      <w:r>
        <w:rPr>
          <w:rFonts w:ascii="Arial" w:hAnsi="Arial"/>
          <w:i/>
          <w:sz w:val="25"/>
        </w:rPr>
        <w:t>de</w:t>
      </w:r>
      <w:r>
        <w:rPr>
          <w:rFonts w:ascii="Arial" w:hAnsi="Arial"/>
          <w:i/>
          <w:spacing w:val="15"/>
          <w:sz w:val="25"/>
        </w:rPr>
        <w:t> </w:t>
      </w:r>
      <w:r>
        <w:rPr>
          <w:rFonts w:ascii="Arial" w:hAnsi="Arial"/>
          <w:i/>
          <w:sz w:val="25"/>
        </w:rPr>
        <w:t>Fátima</w:t>
      </w:r>
      <w:r>
        <w:rPr>
          <w:rFonts w:ascii="Arial" w:hAnsi="Arial"/>
          <w:i/>
          <w:spacing w:val="16"/>
          <w:sz w:val="25"/>
        </w:rPr>
        <w:t> </w:t>
      </w:r>
      <w:r>
        <w:rPr>
          <w:rFonts w:ascii="Arial" w:hAnsi="Arial"/>
          <w:i/>
          <w:sz w:val="25"/>
        </w:rPr>
        <w:t>Gonçalves</w:t>
      </w:r>
      <w:r>
        <w:rPr>
          <w:rFonts w:ascii="Arial" w:hAnsi="Arial"/>
          <w:i/>
          <w:spacing w:val="15"/>
          <w:sz w:val="25"/>
        </w:rPr>
        <w:t> </w:t>
      </w:r>
      <w:r>
        <w:rPr>
          <w:rFonts w:ascii="Arial" w:hAnsi="Arial"/>
          <w:i/>
          <w:sz w:val="25"/>
        </w:rPr>
        <w:t>Galvão</w:t>
      </w:r>
      <w:r>
        <w:rPr>
          <w:rFonts w:ascii="Arial" w:hAnsi="Arial"/>
          <w:i/>
          <w:spacing w:val="15"/>
          <w:sz w:val="25"/>
        </w:rPr>
        <w:t> </w:t>
      </w:r>
      <w:r>
        <w:rPr>
          <w:rFonts w:ascii="Arial" w:hAnsi="Arial"/>
          <w:i/>
          <w:sz w:val="25"/>
        </w:rPr>
        <w:t>e</w:t>
      </w:r>
      <w:r>
        <w:rPr>
          <w:rFonts w:ascii="Arial" w:hAnsi="Arial"/>
          <w:i/>
          <w:spacing w:val="16"/>
          <w:sz w:val="25"/>
        </w:rPr>
        <w:t> </w:t>
      </w:r>
      <w:r>
        <w:rPr>
          <w:rFonts w:ascii="Arial" w:hAnsi="Arial"/>
          <w:i/>
          <w:sz w:val="25"/>
        </w:rPr>
        <w:t>Antonio</w:t>
      </w:r>
      <w:r>
        <w:rPr>
          <w:rFonts w:ascii="Arial" w:hAnsi="Arial"/>
          <w:i/>
          <w:spacing w:val="15"/>
          <w:sz w:val="25"/>
        </w:rPr>
        <w:t> </w:t>
      </w:r>
      <w:r>
        <w:rPr>
          <w:rFonts w:ascii="Arial" w:hAnsi="Arial"/>
          <w:i/>
          <w:sz w:val="25"/>
        </w:rPr>
        <w:t>Carlos</w:t>
      </w:r>
      <w:r>
        <w:rPr>
          <w:rFonts w:ascii="Arial" w:hAnsi="Arial"/>
          <w:i/>
          <w:spacing w:val="16"/>
          <w:sz w:val="25"/>
        </w:rPr>
        <w:t> </w:t>
      </w:r>
      <w:r>
        <w:rPr>
          <w:rFonts w:ascii="Arial" w:hAnsi="Arial"/>
          <w:i/>
          <w:sz w:val="25"/>
        </w:rPr>
        <w:t>Palandri</w:t>
      </w:r>
      <w:r>
        <w:rPr>
          <w:rFonts w:ascii="Arial" w:hAnsi="Arial"/>
          <w:i/>
          <w:spacing w:val="15"/>
          <w:sz w:val="25"/>
        </w:rPr>
        <w:t> </w:t>
      </w:r>
      <w:r>
        <w:rPr>
          <w:rFonts w:ascii="Arial" w:hAnsi="Arial"/>
          <w:i/>
          <w:spacing w:val="-2"/>
          <w:sz w:val="25"/>
        </w:rPr>
        <w:t>Chagas</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pPr>
      <w:r>
        <w:rPr>
          <w:color w:val="242B67"/>
          <w:spacing w:val="-2"/>
        </w:rPr>
        <w:t>Introdução</w:t>
      </w:r>
    </w:p>
    <w:p>
      <w:pPr>
        <w:pStyle w:val="BodyText"/>
        <w:spacing w:line="280" w:lineRule="auto" w:before="132"/>
        <w:ind w:right="497"/>
      </w:pPr>
      <w:r>
        <w:rPr/>
        <w:t>A</w:t>
      </w:r>
      <w:r>
        <w:rPr>
          <w:spacing w:val="-4"/>
        </w:rPr>
        <w:t> </w:t>
      </w:r>
      <w:r>
        <w:rPr/>
        <w:t>aterosclerose, doença</w:t>
      </w:r>
      <w:r>
        <w:rPr>
          <w:spacing w:val="-4"/>
        </w:rPr>
        <w:t> </w:t>
      </w:r>
      <w:r>
        <w:rPr/>
        <w:t>progressiva</w:t>
      </w:r>
      <w:r>
        <w:rPr>
          <w:spacing w:val="-4"/>
        </w:rPr>
        <w:t> </w:t>
      </w:r>
      <w:r>
        <w:rPr/>
        <w:t>caracterizada</w:t>
      </w:r>
      <w:r>
        <w:rPr>
          <w:spacing w:val="-4"/>
        </w:rPr>
        <w:t> </w:t>
      </w:r>
      <w:r>
        <w:rPr/>
        <w:t>pelo</w:t>
      </w:r>
      <w:r>
        <w:rPr>
          <w:spacing w:val="-2"/>
        </w:rPr>
        <w:t> </w:t>
      </w:r>
      <w:r>
        <w:rPr/>
        <w:t>acúmulo</w:t>
      </w:r>
      <w:r>
        <w:rPr>
          <w:spacing w:val="-2"/>
        </w:rPr>
        <w:t> </w:t>
      </w:r>
      <w:r>
        <w:rPr/>
        <w:t>de</w:t>
      </w:r>
      <w:r>
        <w:rPr>
          <w:spacing w:val="-4"/>
        </w:rPr>
        <w:t> </w:t>
      </w:r>
      <w:r>
        <w:rPr/>
        <w:t>lipídios e</w:t>
      </w:r>
      <w:r>
        <w:rPr>
          <w:spacing w:val="-4"/>
        </w:rPr>
        <w:t> </w:t>
      </w:r>
      <w:r>
        <w:rPr/>
        <w:t>componentes fibrosos em</w:t>
      </w:r>
      <w:r>
        <w:rPr>
          <w:spacing w:val="-2"/>
        </w:rPr>
        <w:t> </w:t>
      </w:r>
      <w:r>
        <w:rPr/>
        <w:t>grandes artérias, é a causa primária de doença arterial coronariana e acidente vascular cerebral (AVC), sendo responsável por aproximadamente</w:t>
      </w:r>
      <w:r>
        <w:rPr>
          <w:spacing w:val="-7"/>
        </w:rPr>
        <w:t> </w:t>
      </w:r>
      <w:r>
        <w:rPr/>
        <w:t>50%</w:t>
      </w:r>
      <w:r>
        <w:rPr>
          <w:spacing w:val="-1"/>
        </w:rPr>
        <w:t> </w:t>
      </w:r>
      <w:r>
        <w:rPr/>
        <w:t>das mortes em</w:t>
      </w:r>
      <w:r>
        <w:rPr>
          <w:spacing w:val="-4"/>
        </w:rPr>
        <w:t> </w:t>
      </w:r>
      <w:r>
        <w:rPr/>
        <w:t>países ocidentais.</w:t>
      </w:r>
      <w:r>
        <w:rPr>
          <w:vertAlign w:val="superscript"/>
        </w:rPr>
        <w:t>1</w:t>
      </w:r>
      <w:r>
        <w:rPr>
          <w:vertAlign w:val="baseline"/>
        </w:rPr>
        <w:t> Por esse</w:t>
      </w:r>
      <w:r>
        <w:rPr>
          <w:spacing w:val="-8"/>
          <w:vertAlign w:val="baseline"/>
        </w:rPr>
        <w:t> </w:t>
      </w:r>
      <w:r>
        <w:rPr>
          <w:vertAlign w:val="baseline"/>
        </w:rPr>
        <w:t>motivo, há</w:t>
      </w:r>
      <w:r>
        <w:rPr>
          <w:spacing w:val="-8"/>
          <w:vertAlign w:val="baseline"/>
        </w:rPr>
        <w:t> </w:t>
      </w:r>
      <w:r>
        <w:rPr>
          <w:vertAlign w:val="baseline"/>
        </w:rPr>
        <w:t>grande</w:t>
      </w:r>
      <w:r>
        <w:rPr>
          <w:spacing w:val="-8"/>
          <w:vertAlign w:val="baseline"/>
        </w:rPr>
        <w:t> </w:t>
      </w:r>
      <w:r>
        <w:rPr>
          <w:vertAlign w:val="baseline"/>
        </w:rPr>
        <w:t>interesse</w:t>
      </w:r>
      <w:r>
        <w:rPr>
          <w:spacing w:val="-8"/>
          <w:vertAlign w:val="baseline"/>
        </w:rPr>
        <w:t> </w:t>
      </w:r>
      <w:r>
        <w:rPr>
          <w:vertAlign w:val="baseline"/>
        </w:rPr>
        <w:t>na</w:t>
      </w:r>
      <w:r>
        <w:rPr>
          <w:spacing w:val="-8"/>
          <w:vertAlign w:val="baseline"/>
        </w:rPr>
        <w:t> </w:t>
      </w:r>
      <w:r>
        <w:rPr>
          <w:vertAlign w:val="baseline"/>
        </w:rPr>
        <w:t>elucidação</w:t>
      </w:r>
      <w:r>
        <w:rPr>
          <w:spacing w:val="-5"/>
          <w:vertAlign w:val="baseline"/>
        </w:rPr>
        <w:t> </w:t>
      </w:r>
      <w:r>
        <w:rPr>
          <w:vertAlign w:val="baseline"/>
        </w:rPr>
        <w:t>da etiopatogenia da aterosclerose.</w:t>
      </w:r>
    </w:p>
    <w:p>
      <w:pPr>
        <w:pStyle w:val="BodyText"/>
        <w:spacing w:line="285" w:lineRule="auto" w:before="60"/>
        <w:ind w:right="497"/>
      </w:pPr>
      <w:r>
        <w:rPr/>
        <w:t>Uma grande evolução no conhecimento sobre a fisiopatologia da aterosclerose ocorreu somente no século 20, apesar de</w:t>
      </w:r>
      <w:r>
        <w:rPr>
          <w:spacing w:val="-5"/>
        </w:rPr>
        <w:t> </w:t>
      </w:r>
      <w:r>
        <w:rPr/>
        <w:t>a</w:t>
      </w:r>
      <w:r>
        <w:rPr>
          <w:spacing w:val="-5"/>
        </w:rPr>
        <w:t> </w:t>
      </w:r>
      <w:r>
        <w:rPr/>
        <w:t>doença</w:t>
      </w:r>
      <w:r>
        <w:rPr>
          <w:spacing w:val="-5"/>
        </w:rPr>
        <w:t> </w:t>
      </w:r>
      <w:r>
        <w:rPr/>
        <w:t>ter sido</w:t>
      </w:r>
      <w:r>
        <w:rPr>
          <w:spacing w:val="-2"/>
        </w:rPr>
        <w:t> </w:t>
      </w:r>
      <w:r>
        <w:rPr/>
        <w:t>observada</w:t>
      </w:r>
      <w:r>
        <w:rPr>
          <w:spacing w:val="-5"/>
        </w:rPr>
        <w:t> </w:t>
      </w:r>
      <w:r>
        <w:rPr/>
        <w:t>já</w:t>
      </w:r>
      <w:r>
        <w:rPr>
          <w:spacing w:val="-5"/>
        </w:rPr>
        <w:t> </w:t>
      </w:r>
      <w:r>
        <w:rPr/>
        <w:t>em</w:t>
      </w:r>
      <w:r>
        <w:rPr>
          <w:spacing w:val="-2"/>
        </w:rPr>
        <w:t> </w:t>
      </w:r>
      <w:r>
        <w:rPr/>
        <w:t>múmias egípcias.</w:t>
      </w:r>
      <w:r>
        <w:rPr>
          <w:vertAlign w:val="superscript"/>
        </w:rPr>
        <w:t>2</w:t>
      </w:r>
      <w:r>
        <w:rPr>
          <w:vertAlign w:val="baseline"/>
        </w:rPr>
        <w:t> Atualmente, a</w:t>
      </w:r>
      <w:r>
        <w:rPr>
          <w:spacing w:val="-3"/>
          <w:vertAlign w:val="baseline"/>
        </w:rPr>
        <w:t> </w:t>
      </w:r>
      <w:r>
        <w:rPr>
          <w:vertAlign w:val="baseline"/>
        </w:rPr>
        <w:t>hipótese</w:t>
      </w:r>
      <w:r>
        <w:rPr>
          <w:spacing w:val="-3"/>
          <w:vertAlign w:val="baseline"/>
        </w:rPr>
        <w:t> </w:t>
      </w:r>
      <w:r>
        <w:rPr>
          <w:vertAlign w:val="baseline"/>
        </w:rPr>
        <w:t>mais aceita</w:t>
      </w:r>
      <w:r>
        <w:rPr>
          <w:spacing w:val="-3"/>
          <w:vertAlign w:val="baseline"/>
        </w:rPr>
        <w:t> </w:t>
      </w:r>
      <w:r>
        <w:rPr>
          <w:vertAlign w:val="baseline"/>
        </w:rPr>
        <w:t>da</w:t>
      </w:r>
      <w:r>
        <w:rPr>
          <w:spacing w:val="-3"/>
          <w:vertAlign w:val="baseline"/>
        </w:rPr>
        <w:t> </w:t>
      </w:r>
      <w:r>
        <w:rPr>
          <w:vertAlign w:val="baseline"/>
        </w:rPr>
        <w:t>aterogênese</w:t>
      </w:r>
      <w:r>
        <w:rPr>
          <w:spacing w:val="-3"/>
          <w:vertAlign w:val="baseline"/>
        </w:rPr>
        <w:t> </w:t>
      </w:r>
      <w:r>
        <w:rPr>
          <w:vertAlign w:val="baseline"/>
        </w:rPr>
        <w:t>é a</w:t>
      </w:r>
      <w:r>
        <w:rPr>
          <w:spacing w:val="-3"/>
          <w:vertAlign w:val="baseline"/>
        </w:rPr>
        <w:t> </w:t>
      </w:r>
      <w:r>
        <w:rPr>
          <w:vertAlign w:val="baseline"/>
        </w:rPr>
        <w:t>elaborada</w:t>
      </w:r>
      <w:r>
        <w:rPr>
          <w:spacing w:val="-3"/>
          <w:vertAlign w:val="baseline"/>
        </w:rPr>
        <w:t> </w:t>
      </w:r>
      <w:r>
        <w:rPr>
          <w:vertAlign w:val="baseline"/>
        </w:rPr>
        <w:t>por Ross,</w:t>
      </w:r>
      <w:r>
        <w:rPr>
          <w:vertAlign w:val="superscript"/>
        </w:rPr>
        <w:t>3</w:t>
      </w:r>
      <w:r>
        <w:rPr>
          <w:vertAlign w:val="baseline"/>
        </w:rPr>
        <w:t> que</w:t>
      </w:r>
      <w:r>
        <w:rPr>
          <w:spacing w:val="-4"/>
          <w:vertAlign w:val="baseline"/>
        </w:rPr>
        <w:t> </w:t>
      </w:r>
      <w:r>
        <w:rPr>
          <w:vertAlign w:val="baseline"/>
        </w:rPr>
        <w:t>integrou</w:t>
      </w:r>
      <w:r>
        <w:rPr>
          <w:spacing w:val="-1"/>
          <w:vertAlign w:val="baseline"/>
        </w:rPr>
        <w:t> </w:t>
      </w:r>
      <w:r>
        <w:rPr>
          <w:vertAlign w:val="baseline"/>
        </w:rPr>
        <w:t>duas antigas hipóteses e</w:t>
      </w:r>
      <w:r>
        <w:rPr>
          <w:spacing w:val="-4"/>
          <w:vertAlign w:val="baseline"/>
        </w:rPr>
        <w:t> </w:t>
      </w:r>
      <w:r>
        <w:rPr>
          <w:vertAlign w:val="baseline"/>
        </w:rPr>
        <w:t>postulou</w:t>
      </w:r>
      <w:r>
        <w:rPr>
          <w:spacing w:val="-1"/>
          <w:vertAlign w:val="baseline"/>
        </w:rPr>
        <w:t> </w:t>
      </w:r>
      <w:r>
        <w:rPr>
          <w:vertAlign w:val="baseline"/>
        </w:rPr>
        <w:t>um</w:t>
      </w:r>
      <w:r>
        <w:rPr>
          <w:spacing w:val="-1"/>
          <w:vertAlign w:val="baseline"/>
        </w:rPr>
        <w:t> </w:t>
      </w:r>
      <w:r>
        <w:rPr>
          <w:vertAlign w:val="baseline"/>
        </w:rPr>
        <w:t>complexo</w:t>
      </w:r>
      <w:r>
        <w:rPr>
          <w:spacing w:val="-1"/>
          <w:vertAlign w:val="baseline"/>
        </w:rPr>
        <w:t> </w:t>
      </w:r>
      <w:r>
        <w:rPr>
          <w:vertAlign w:val="baseline"/>
        </w:rPr>
        <w:t>mecanismo</w:t>
      </w:r>
      <w:r>
        <w:rPr>
          <w:spacing w:val="-1"/>
          <w:vertAlign w:val="baseline"/>
        </w:rPr>
        <w:t> </w:t>
      </w:r>
      <w:r>
        <w:rPr>
          <w:vertAlign w:val="baseline"/>
        </w:rPr>
        <w:t>de</w:t>
      </w:r>
      <w:r>
        <w:rPr>
          <w:spacing w:val="-4"/>
          <w:vertAlign w:val="baseline"/>
        </w:rPr>
        <w:t> </w:t>
      </w:r>
      <w:r>
        <w:rPr>
          <w:vertAlign w:val="baseline"/>
        </w:rPr>
        <w:t>resposta</w:t>
      </w:r>
      <w:r>
        <w:rPr>
          <w:spacing w:val="-4"/>
          <w:vertAlign w:val="baseline"/>
        </w:rPr>
        <w:t> </w:t>
      </w:r>
      <w:r>
        <w:rPr>
          <w:vertAlign w:val="baseline"/>
        </w:rPr>
        <w:t>à</w:t>
      </w:r>
      <w:r>
        <w:rPr>
          <w:spacing w:val="-4"/>
          <w:vertAlign w:val="baseline"/>
        </w:rPr>
        <w:t> </w:t>
      </w:r>
      <w:r>
        <w:rPr>
          <w:vertAlign w:val="baseline"/>
        </w:rPr>
        <w:t>lesão vascular como fator inicial para o desenvolvimento da placa aterosclerótica.</w:t>
      </w:r>
    </w:p>
    <w:p>
      <w:pPr>
        <w:pStyle w:val="BodyText"/>
        <w:spacing w:line="285" w:lineRule="auto" w:before="54"/>
        <w:ind w:right="491"/>
      </w:pPr>
      <w:r>
        <w:rPr/>
        <w:t>A aterosclerose, atualmente, é considerada uma doença inflamatória, e não simplesmente o resultado do acúmulo passivo de lipídios na parede arterial.</w:t>
      </w:r>
      <w:r>
        <w:rPr>
          <w:vertAlign w:val="superscript"/>
        </w:rPr>
        <w:t>4–6</w:t>
      </w:r>
      <w:r>
        <w:rPr>
          <w:vertAlign w:val="baseline"/>
        </w:rPr>
        <w:t> Os avanços recentes no estudo da aterosclerose possibilitam que seja conceituada como doença multifatorial e progressiva, que envolve inflamação crônica em todos os seus estágios, desde o início até sua progressão, que, eventualmente, culmina com ruptura da placa.</w:t>
      </w:r>
      <w:r>
        <w:rPr>
          <w:vertAlign w:val="superscript"/>
        </w:rPr>
        <w:t>7</w:t>
      </w:r>
    </w:p>
    <w:p>
      <w:pPr>
        <w:pStyle w:val="BodyText"/>
        <w:spacing w:line="276" w:lineRule="auto" w:before="38"/>
        <w:ind w:right="497"/>
      </w:pPr>
      <w:r>
        <w:rPr/>
        <w:t>Segundo a hipótese de resposta à lesão, o processo de aterosclerose inicia-se com a agressão do endotélio por fatores diversos, como estresse mecânico e a lipoproteína de baixa densidade (LDL) oxidada.</w:t>
      </w:r>
    </w:p>
    <w:p>
      <w:pPr>
        <w:pStyle w:val="BodyText"/>
        <w:spacing w:line="285" w:lineRule="auto"/>
        <w:ind w:right="488"/>
      </w:pPr>
      <w:r>
        <w:rPr/>
        <w:t>O endotélio lesado, mas sem alteração morfológica, passa a apresentar disfunção, que pode se manifestar de maneiras distintas.</w:t>
      </w:r>
      <w:r>
        <w:rPr>
          <w:vertAlign w:val="superscript"/>
        </w:rPr>
        <w:t>8</w:t>
      </w:r>
      <w:r>
        <w:rPr>
          <w:vertAlign w:val="baseline"/>
        </w:rPr>
        <w:t> Essa disfunção endotelial causaria inicialmente maior aprisionamento de LDL no espaço subendotelial</w:t>
      </w:r>
      <w:r>
        <w:rPr>
          <w:vertAlign w:val="superscript"/>
        </w:rPr>
        <w:t>9</w:t>
      </w:r>
      <w:r>
        <w:rPr>
          <w:vertAlign w:val="baseline"/>
        </w:rPr>
        <w:t> e o surgimento de moléculas de adesão leucocitária na superfície endotelial. Essas moléculas são responsáveis pela atração de monócitos e linfócitos para a parede arterial.</w:t>
      </w:r>
    </w:p>
    <w:p>
      <w:pPr>
        <w:pStyle w:val="BodyText"/>
        <w:spacing w:line="280" w:lineRule="auto" w:before="38"/>
        <w:ind w:right="491"/>
      </w:pPr>
      <w:r>
        <w:rPr/>
        <w:t>Sabe-se atualmente que o recrutamento de leucócitos mononucleares para a camada íntima dos vasos é um evento celular precoce que ocorre no ateroma em formação. Trabalhos realizados nos últimos anos demonstraram expressão de</w:t>
      </w:r>
      <w:r>
        <w:rPr>
          <w:spacing w:val="-1"/>
        </w:rPr>
        <w:t> </w:t>
      </w:r>
      <w:r>
        <w:rPr/>
        <w:t>várias moléculas de</w:t>
      </w:r>
      <w:r>
        <w:rPr>
          <w:spacing w:val="-1"/>
        </w:rPr>
        <w:t> </w:t>
      </w:r>
      <w:r>
        <w:rPr/>
        <w:t>adesão na</w:t>
      </w:r>
      <w:r>
        <w:rPr>
          <w:spacing w:val="-1"/>
        </w:rPr>
        <w:t> </w:t>
      </w:r>
      <w:r>
        <w:rPr/>
        <w:t>superfície</w:t>
      </w:r>
      <w:r>
        <w:rPr>
          <w:spacing w:val="-1"/>
        </w:rPr>
        <w:t> </w:t>
      </w:r>
      <w:r>
        <w:rPr/>
        <w:t>de</w:t>
      </w:r>
      <w:r>
        <w:rPr>
          <w:spacing w:val="-1"/>
        </w:rPr>
        <w:t> </w:t>
      </w:r>
      <w:r>
        <w:rPr/>
        <w:t>células endoteliais; essas moléculas medeiam a</w:t>
      </w:r>
      <w:r>
        <w:rPr>
          <w:spacing w:val="-1"/>
        </w:rPr>
        <w:t> </w:t>
      </w:r>
      <w:r>
        <w:rPr/>
        <w:t>interação do endotélio vascular com os leucócitos.</w:t>
      </w:r>
      <w:r>
        <w:rPr>
          <w:vertAlign w:val="superscript"/>
        </w:rPr>
        <w:t>10</w:t>
      </w:r>
      <w:r>
        <w:rPr>
          <w:vertAlign w:val="baseline"/>
        </w:rPr>
        <w:t> Os leucócitos penetram na íntima por meio de ligação e passagem pela camada de células endoteliais. Múltiplos receptores leucocitários interagem de maneira sequencial com moléculas de adesão vascular durante o processo de migração.</w:t>
      </w:r>
      <w:r>
        <w:rPr>
          <w:vertAlign w:val="superscript"/>
        </w:rPr>
        <w:t>11</w:t>
      </w:r>
      <w:r>
        <w:rPr>
          <w:vertAlign w:val="baseline"/>
        </w:rPr>
        <w:t> No endotélio, moléculas de adesão da família das selectinas (E-selectina e P-selectina) podem ligar-se a leucócitos na existência de fluxo e mediar eventos iniciais de rolamento.</w:t>
      </w:r>
      <w:r>
        <w:rPr>
          <w:spacing w:val="-3"/>
          <w:vertAlign w:val="baseline"/>
        </w:rPr>
        <w:t> </w:t>
      </w:r>
      <w:r>
        <w:rPr>
          <w:vertAlign w:val="baseline"/>
        </w:rPr>
        <w:t>Após</w:t>
      </w:r>
      <w:r>
        <w:rPr>
          <w:spacing w:val="-3"/>
          <w:vertAlign w:val="baseline"/>
        </w:rPr>
        <w:t> </w:t>
      </w:r>
      <w:r>
        <w:rPr>
          <w:vertAlign w:val="baseline"/>
        </w:rPr>
        <w:t>a</w:t>
      </w:r>
      <w:r>
        <w:rPr>
          <w:spacing w:val="-13"/>
          <w:vertAlign w:val="baseline"/>
        </w:rPr>
        <w:t> </w:t>
      </w:r>
      <w:r>
        <w:rPr>
          <w:vertAlign w:val="baseline"/>
        </w:rPr>
        <w:t>ativação</w:t>
      </w:r>
      <w:r>
        <w:rPr>
          <w:spacing w:val="-11"/>
          <w:vertAlign w:val="baseline"/>
        </w:rPr>
        <w:t> </w:t>
      </w:r>
      <w:r>
        <w:rPr>
          <w:vertAlign w:val="baseline"/>
        </w:rPr>
        <w:t>leucocitária,</w:t>
      </w:r>
      <w:r>
        <w:rPr>
          <w:spacing w:val="-3"/>
          <w:vertAlign w:val="baseline"/>
        </w:rPr>
        <w:t> </w:t>
      </w:r>
      <w:r>
        <w:rPr>
          <w:vertAlign w:val="baseline"/>
        </w:rPr>
        <w:t>outras</w:t>
      </w:r>
      <w:r>
        <w:rPr>
          <w:spacing w:val="-3"/>
          <w:vertAlign w:val="baseline"/>
        </w:rPr>
        <w:t> </w:t>
      </w:r>
      <w:r>
        <w:rPr>
          <w:vertAlign w:val="baseline"/>
        </w:rPr>
        <w:t>moléculas</w:t>
      </w:r>
      <w:r>
        <w:rPr>
          <w:spacing w:val="-3"/>
          <w:vertAlign w:val="baseline"/>
        </w:rPr>
        <w:t> </w:t>
      </w:r>
      <w:r>
        <w:rPr>
          <w:vertAlign w:val="baseline"/>
        </w:rPr>
        <w:t>endoteliais,</w:t>
      </w:r>
      <w:r>
        <w:rPr>
          <w:spacing w:val="-3"/>
          <w:vertAlign w:val="baseline"/>
        </w:rPr>
        <w:t> </w:t>
      </w:r>
      <w:r>
        <w:rPr>
          <w:vertAlign w:val="baseline"/>
        </w:rPr>
        <w:t>tais</w:t>
      </w:r>
      <w:r>
        <w:rPr>
          <w:spacing w:val="-3"/>
          <w:vertAlign w:val="baseline"/>
        </w:rPr>
        <w:t> </w:t>
      </w:r>
      <w:r>
        <w:rPr>
          <w:vertAlign w:val="baseline"/>
        </w:rPr>
        <w:t>como</w:t>
      </w:r>
      <w:r>
        <w:rPr>
          <w:spacing w:val="-11"/>
          <w:vertAlign w:val="baseline"/>
        </w:rPr>
        <w:t> </w:t>
      </w:r>
      <w:r>
        <w:rPr>
          <w:vertAlign w:val="baseline"/>
        </w:rPr>
        <w:t>as</w:t>
      </w:r>
      <w:r>
        <w:rPr>
          <w:spacing w:val="-3"/>
          <w:vertAlign w:val="baseline"/>
        </w:rPr>
        <w:t> </w:t>
      </w:r>
      <w:r>
        <w:rPr>
          <w:vertAlign w:val="baseline"/>
        </w:rPr>
        <w:t>moléculas</w:t>
      </w:r>
      <w:r>
        <w:rPr>
          <w:spacing w:val="-3"/>
          <w:vertAlign w:val="baseline"/>
        </w:rPr>
        <w:t> </w:t>
      </w:r>
      <w:r>
        <w:rPr>
          <w:vertAlign w:val="baseline"/>
        </w:rPr>
        <w:t>de</w:t>
      </w:r>
      <w:r>
        <w:rPr>
          <w:spacing w:val="-13"/>
          <w:vertAlign w:val="baseline"/>
        </w:rPr>
        <w:t> </w:t>
      </w:r>
      <w:r>
        <w:rPr>
          <w:vertAlign w:val="baseline"/>
        </w:rPr>
        <w:t>adesão</w:t>
      </w:r>
      <w:r>
        <w:rPr>
          <w:spacing w:val="-11"/>
          <w:vertAlign w:val="baseline"/>
        </w:rPr>
        <w:t> </w:t>
      </w:r>
      <w:r>
        <w:rPr>
          <w:vertAlign w:val="baseline"/>
        </w:rPr>
        <w:t>intercelular do tipo 1 (ICAM-1 e ICAM-2) e a molécula de adesão à célula vascular do tipo 1 (VCAM-1), também começam a participar do processo de ativação inflamatória. Essas moléculas possibilitam adesão estável dos leucócitos e subsequente passagem entre as células endoteliais. Há ainda outras moléculas de adesão endotelial, tais como a proteína de adesão vascular do tipo 1 (VAP-1)</w:t>
      </w:r>
      <w:r>
        <w:rPr>
          <w:vertAlign w:val="superscript"/>
        </w:rPr>
        <w:t>12</w:t>
      </w:r>
      <w:r>
        <w:rPr>
          <w:vertAlign w:val="baseline"/>
        </w:rPr>
        <w:t> e o CD-73,</w:t>
      </w:r>
      <w:r>
        <w:rPr>
          <w:vertAlign w:val="superscript"/>
        </w:rPr>
        <w:t>13</w:t>
      </w:r>
      <w:r>
        <w:rPr>
          <w:vertAlign w:val="baseline"/>
        </w:rPr>
        <w:t> que estão também envolvidas na interação entre os leucócitos e a célula endotelial.</w:t>
      </w:r>
    </w:p>
    <w:p>
      <w:pPr>
        <w:pStyle w:val="BodyText"/>
        <w:spacing w:line="280" w:lineRule="auto" w:before="45"/>
        <w:ind w:right="487"/>
      </w:pPr>
      <w:r>
        <w:rPr/>
        <w:t>Dessas moléculas de adesão, a VCAM-1 é de particular importância, nos estágios iniciais da aterosclerose. A VCAM-1 liga-se ao antígeno tardio do tipo 4 (VLA-4), expresso seletivamente por vários tipos de leucócitos recrutados durante</w:t>
      </w:r>
      <w:r>
        <w:rPr>
          <w:spacing w:val="-6"/>
        </w:rPr>
        <w:t> </w:t>
      </w:r>
      <w:r>
        <w:rPr/>
        <w:t>a</w:t>
      </w:r>
      <w:r>
        <w:rPr>
          <w:spacing w:val="-6"/>
        </w:rPr>
        <w:t> </w:t>
      </w:r>
      <w:r>
        <w:rPr/>
        <w:t>formação</w:t>
      </w:r>
      <w:r>
        <w:rPr>
          <w:spacing w:val="-3"/>
        </w:rPr>
        <w:t> </w:t>
      </w:r>
      <w:r>
        <w:rPr/>
        <w:t>das estrias gordurosas, as quais são</w:t>
      </w:r>
      <w:r>
        <w:rPr>
          <w:spacing w:val="-3"/>
        </w:rPr>
        <w:t> </w:t>
      </w:r>
      <w:r>
        <w:rPr/>
        <w:t>as lesões precursoras do</w:t>
      </w:r>
      <w:r>
        <w:rPr>
          <w:spacing w:val="-3"/>
        </w:rPr>
        <w:t> </w:t>
      </w:r>
      <w:r>
        <w:rPr/>
        <w:t>ateroma.</w:t>
      </w:r>
      <w:r>
        <w:rPr>
          <w:vertAlign w:val="superscript"/>
        </w:rPr>
        <w:t>14</w:t>
      </w:r>
      <w:r>
        <w:rPr>
          <w:vertAlign w:val="baseline"/>
        </w:rPr>
        <w:t> Monócitos e leucócitos</w:t>
      </w:r>
      <w:r>
        <w:rPr>
          <w:spacing w:val="-6"/>
          <w:vertAlign w:val="baseline"/>
        </w:rPr>
        <w:t> </w:t>
      </w:r>
      <w:r>
        <w:rPr>
          <w:vertAlign w:val="baseline"/>
        </w:rPr>
        <w:t>circulantes</w:t>
      </w:r>
      <w:r>
        <w:rPr>
          <w:spacing w:val="-5"/>
          <w:vertAlign w:val="baseline"/>
        </w:rPr>
        <w:t> </w:t>
      </w:r>
      <w:r>
        <w:rPr>
          <w:vertAlign w:val="baseline"/>
        </w:rPr>
        <w:t>(que</w:t>
      </w:r>
      <w:r>
        <w:rPr>
          <w:spacing w:val="-15"/>
          <w:vertAlign w:val="baseline"/>
        </w:rPr>
        <w:t> </w:t>
      </w:r>
      <w:r>
        <w:rPr>
          <w:vertAlign w:val="baseline"/>
        </w:rPr>
        <w:t>se</w:t>
      </w:r>
      <w:r>
        <w:rPr>
          <w:spacing w:val="-14"/>
          <w:vertAlign w:val="baseline"/>
        </w:rPr>
        <w:t> </w:t>
      </w:r>
      <w:r>
        <w:rPr>
          <w:vertAlign w:val="baseline"/>
        </w:rPr>
        <w:t>acumulam</w:t>
      </w:r>
      <w:r>
        <w:rPr>
          <w:spacing w:val="-13"/>
          <w:vertAlign w:val="baseline"/>
        </w:rPr>
        <w:t> </w:t>
      </w:r>
      <w:r>
        <w:rPr>
          <w:vertAlign w:val="baseline"/>
        </w:rPr>
        <w:t>precocemente</w:t>
      </w:r>
      <w:r>
        <w:rPr>
          <w:spacing w:val="-15"/>
          <w:vertAlign w:val="baseline"/>
        </w:rPr>
        <w:t> </w:t>
      </w:r>
      <w:r>
        <w:rPr>
          <w:vertAlign w:val="baseline"/>
        </w:rPr>
        <w:t>em</w:t>
      </w:r>
      <w:r>
        <w:rPr>
          <w:spacing w:val="-12"/>
          <w:vertAlign w:val="baseline"/>
        </w:rPr>
        <w:t> </w:t>
      </w:r>
      <w:r>
        <w:rPr>
          <w:vertAlign w:val="baseline"/>
        </w:rPr>
        <w:t>modelos</w:t>
      </w:r>
      <w:r>
        <w:rPr>
          <w:spacing w:val="-5"/>
          <w:vertAlign w:val="baseline"/>
        </w:rPr>
        <w:t> </w:t>
      </w:r>
      <w:r>
        <w:rPr>
          <w:vertAlign w:val="baseline"/>
        </w:rPr>
        <w:t>de</w:t>
      </w:r>
      <w:r>
        <w:rPr>
          <w:spacing w:val="-15"/>
          <w:vertAlign w:val="baseline"/>
        </w:rPr>
        <w:t> </w:t>
      </w:r>
      <w:r>
        <w:rPr>
          <w:vertAlign w:val="baseline"/>
        </w:rPr>
        <w:t>aterosclerose</w:t>
      </w:r>
      <w:r>
        <w:rPr>
          <w:spacing w:val="-14"/>
          <w:vertAlign w:val="baseline"/>
        </w:rPr>
        <w:t> </w:t>
      </w:r>
      <w:r>
        <w:rPr>
          <w:vertAlign w:val="baseline"/>
        </w:rPr>
        <w:t>experimental)</w:t>
      </w:r>
      <w:r>
        <w:rPr>
          <w:spacing w:val="-7"/>
          <w:vertAlign w:val="baseline"/>
        </w:rPr>
        <w:t> </w:t>
      </w:r>
      <w:r>
        <w:rPr>
          <w:vertAlign w:val="baseline"/>
        </w:rPr>
        <w:t>expressam</w:t>
      </w:r>
      <w:r>
        <w:rPr>
          <w:spacing w:val="-13"/>
          <w:vertAlign w:val="baseline"/>
        </w:rPr>
        <w:t> </w:t>
      </w:r>
      <w:r>
        <w:rPr>
          <w:vertAlign w:val="baseline"/>
        </w:rPr>
        <w:t>VLA-</w:t>
      </w:r>
    </w:p>
    <w:p>
      <w:pPr>
        <w:pStyle w:val="BodyText"/>
        <w:spacing w:line="283" w:lineRule="auto" w:before="0"/>
        <w:ind w:right="497" w:firstLine="0"/>
      </w:pPr>
      <w:r>
        <w:rPr/>
        <w:t>4. Coelhos alimentados com dieta rica em colesterol e camundongos deficientes em apolipoproteína E (sendo ambos então suscetíveis ao desenvolvimento de</w:t>
      </w:r>
      <w:r>
        <w:rPr>
          <w:spacing w:val="-2"/>
        </w:rPr>
        <w:t> </w:t>
      </w:r>
      <w:r>
        <w:rPr/>
        <w:t>hiperlipidemia</w:t>
      </w:r>
      <w:r>
        <w:rPr>
          <w:spacing w:val="-2"/>
        </w:rPr>
        <w:t> </w:t>
      </w:r>
      <w:r>
        <w:rPr/>
        <w:t>e</w:t>
      </w:r>
      <w:r>
        <w:rPr>
          <w:spacing w:val="-2"/>
        </w:rPr>
        <w:t> </w:t>
      </w:r>
      <w:r>
        <w:rPr/>
        <w:t>ateroma) expressam VCAM-1 precocemente, nos locais</w:t>
      </w:r>
      <w:r>
        <w:rPr>
          <w:spacing w:val="40"/>
        </w:rPr>
        <w:t> </w:t>
      </w:r>
      <w:r>
        <w:rPr/>
        <w:t>de</w:t>
      </w:r>
      <w:r>
        <w:rPr>
          <w:spacing w:val="31"/>
        </w:rPr>
        <w:t> </w:t>
      </w:r>
      <w:r>
        <w:rPr/>
        <w:t>formação</w:t>
      </w:r>
      <w:r>
        <w:rPr>
          <w:spacing w:val="34"/>
        </w:rPr>
        <w:t> </w:t>
      </w:r>
      <w:r>
        <w:rPr/>
        <w:t>da</w:t>
      </w:r>
      <w:r>
        <w:rPr>
          <w:spacing w:val="31"/>
        </w:rPr>
        <w:t> </w:t>
      </w:r>
      <w:r>
        <w:rPr/>
        <w:t>lesão.</w:t>
      </w:r>
      <w:r>
        <w:rPr>
          <w:vertAlign w:val="superscript"/>
        </w:rPr>
        <w:t>15</w:t>
      </w:r>
      <w:r>
        <w:rPr>
          <w:spacing w:val="40"/>
          <w:vertAlign w:val="baseline"/>
        </w:rPr>
        <w:t> </w:t>
      </w:r>
      <w:r>
        <w:rPr>
          <w:vertAlign w:val="baseline"/>
        </w:rPr>
        <w:t>Em</w:t>
      </w:r>
      <w:r>
        <w:rPr>
          <w:spacing w:val="36"/>
          <w:vertAlign w:val="baseline"/>
        </w:rPr>
        <w:t> </w:t>
      </w:r>
      <w:r>
        <w:rPr>
          <w:vertAlign w:val="baseline"/>
        </w:rPr>
        <w:t>coelhos</w:t>
      </w:r>
      <w:r>
        <w:rPr>
          <w:spacing w:val="40"/>
          <w:vertAlign w:val="baseline"/>
        </w:rPr>
        <w:t> </w:t>
      </w:r>
      <w:r>
        <w:rPr>
          <w:vertAlign w:val="baseline"/>
        </w:rPr>
        <w:t>que</w:t>
      </w:r>
      <w:r>
        <w:rPr>
          <w:spacing w:val="34"/>
          <w:vertAlign w:val="baseline"/>
        </w:rPr>
        <w:t> </w:t>
      </w:r>
      <w:r>
        <w:rPr>
          <w:vertAlign w:val="baseline"/>
        </w:rPr>
        <w:t>consomem</w:t>
      </w:r>
      <w:r>
        <w:rPr>
          <w:spacing w:val="36"/>
          <w:vertAlign w:val="baseline"/>
        </w:rPr>
        <w:t> </w:t>
      </w:r>
      <w:r>
        <w:rPr>
          <w:vertAlign w:val="baseline"/>
        </w:rPr>
        <w:t>uma</w:t>
      </w:r>
      <w:r>
        <w:rPr>
          <w:spacing w:val="34"/>
          <w:vertAlign w:val="baseline"/>
        </w:rPr>
        <w:t> </w:t>
      </w:r>
      <w:r>
        <w:rPr>
          <w:vertAlign w:val="baseline"/>
        </w:rPr>
        <w:t>dieta</w:t>
      </w:r>
      <w:r>
        <w:rPr>
          <w:spacing w:val="34"/>
          <w:vertAlign w:val="baseline"/>
        </w:rPr>
        <w:t> </w:t>
      </w:r>
      <w:r>
        <w:rPr>
          <w:vertAlign w:val="baseline"/>
        </w:rPr>
        <w:t>rica</w:t>
      </w:r>
      <w:r>
        <w:rPr>
          <w:spacing w:val="34"/>
          <w:vertAlign w:val="baseline"/>
        </w:rPr>
        <w:t> </w:t>
      </w:r>
      <w:r>
        <w:rPr>
          <w:vertAlign w:val="baseline"/>
        </w:rPr>
        <w:t>em</w:t>
      </w:r>
      <w:r>
        <w:rPr>
          <w:spacing w:val="36"/>
          <w:vertAlign w:val="baseline"/>
        </w:rPr>
        <w:t> </w:t>
      </w:r>
      <w:r>
        <w:rPr>
          <w:vertAlign w:val="baseline"/>
        </w:rPr>
        <w:t>colesterol</w:t>
      </w:r>
      <w:r>
        <w:rPr>
          <w:spacing w:val="40"/>
          <w:vertAlign w:val="baseline"/>
        </w:rPr>
        <w:t> </w:t>
      </w:r>
      <w:r>
        <w:rPr>
          <w:vertAlign w:val="baseline"/>
        </w:rPr>
        <w:t>e</w:t>
      </w:r>
      <w:r>
        <w:rPr>
          <w:spacing w:val="34"/>
          <w:vertAlign w:val="baseline"/>
        </w:rPr>
        <w:t> </w:t>
      </w:r>
      <w:r>
        <w:rPr>
          <w:vertAlign w:val="baseline"/>
        </w:rPr>
        <w:t>gordura</w:t>
      </w:r>
      <w:r>
        <w:rPr>
          <w:spacing w:val="34"/>
          <w:vertAlign w:val="baseline"/>
        </w:rPr>
        <w:t> </w:t>
      </w:r>
      <w:r>
        <w:rPr>
          <w:vertAlign w:val="baseline"/>
        </w:rPr>
        <w:t>saturada,</w:t>
      </w:r>
      <w:r>
        <w:rPr>
          <w:spacing w:val="40"/>
          <w:vertAlign w:val="baseline"/>
        </w:rPr>
        <w:t> </w:t>
      </w:r>
      <w:r>
        <w:rPr>
          <w:vertAlign w:val="baseline"/>
        </w:rPr>
        <w:t>a</w:t>
      </w:r>
    </w:p>
    <w:p>
      <w:pPr>
        <w:pStyle w:val="BodyText"/>
        <w:spacing w:after="0" w:line="283" w:lineRule="auto"/>
        <w:sectPr>
          <w:pgSz w:w="11900" w:h="16840"/>
          <w:pgMar w:top="1060" w:bottom="280" w:left="566" w:right="141"/>
        </w:sectPr>
      </w:pPr>
    </w:p>
    <w:p>
      <w:pPr>
        <w:pStyle w:val="BodyText"/>
        <w:spacing w:line="285" w:lineRule="auto" w:before="85"/>
        <w:ind w:right="497" w:firstLine="0"/>
      </w:pPr>
      <w:r>
        <w:rPr/>
        <w:t>expressão focal de VCAM-1 pelas células endoteliais aórticas precede a adesão de monócitos.</w:t>
      </w:r>
      <w:r>
        <w:rPr>
          <w:vertAlign w:val="superscript"/>
        </w:rPr>
        <w:t>16</w:t>
      </w:r>
      <w:r>
        <w:rPr>
          <w:vertAlign w:val="baseline"/>
        </w:rPr>
        <w:t> Já</w:t>
      </w:r>
      <w:r>
        <w:rPr>
          <w:spacing w:val="-1"/>
          <w:vertAlign w:val="baseline"/>
        </w:rPr>
        <w:t> </w:t>
      </w:r>
      <w:r>
        <w:rPr>
          <w:vertAlign w:val="baseline"/>
        </w:rPr>
        <w:t>são conhecidos os fatores que sinalizam um aumento focal na expressão de VCAM-1 nos locais de formação da lesão.</w:t>
      </w:r>
      <w:r>
        <w:rPr>
          <w:vertAlign w:val="superscript"/>
        </w:rPr>
        <w:t>9,13,16,17</w:t>
      </w:r>
      <w:r>
        <w:rPr>
          <w:vertAlign w:val="baseline"/>
        </w:rPr>
        <w:t> Lipoproteínas modificadas, por exemplo, contêm moléculas de lisofosfatidilcolina, que podem aumentar a transcrição do gene da VCAM-1.</w:t>
      </w:r>
      <w:r>
        <w:rPr>
          <w:vertAlign w:val="superscript"/>
        </w:rPr>
        <w:t>17</w:t>
      </w:r>
      <w:r>
        <w:rPr>
          <w:vertAlign w:val="baseline"/>
        </w:rPr>
        <w:t> Citocinas produzidas localmente em resposta a estímulos lesivos, tais como lipoproteínas</w:t>
      </w:r>
      <w:r>
        <w:rPr>
          <w:spacing w:val="-4"/>
          <w:vertAlign w:val="baseline"/>
        </w:rPr>
        <w:t> </w:t>
      </w:r>
      <w:r>
        <w:rPr>
          <w:vertAlign w:val="baseline"/>
        </w:rPr>
        <w:t>modificadas,</w:t>
      </w:r>
      <w:r>
        <w:rPr>
          <w:spacing w:val="-4"/>
          <w:vertAlign w:val="baseline"/>
        </w:rPr>
        <w:t> </w:t>
      </w:r>
      <w:r>
        <w:rPr>
          <w:vertAlign w:val="baseline"/>
        </w:rPr>
        <w:t>também</w:t>
      </w:r>
      <w:r>
        <w:rPr>
          <w:spacing w:val="-11"/>
          <w:vertAlign w:val="baseline"/>
        </w:rPr>
        <w:t> </w:t>
      </w:r>
      <w:r>
        <w:rPr>
          <w:vertAlign w:val="baseline"/>
        </w:rPr>
        <w:t>podem</w:t>
      </w:r>
      <w:r>
        <w:rPr>
          <w:spacing w:val="-11"/>
          <w:vertAlign w:val="baseline"/>
        </w:rPr>
        <w:t> </w:t>
      </w:r>
      <w:r>
        <w:rPr>
          <w:vertAlign w:val="baseline"/>
        </w:rPr>
        <w:t>induzir</w:t>
      </w:r>
      <w:r>
        <w:rPr>
          <w:spacing w:val="-6"/>
          <w:vertAlign w:val="baseline"/>
        </w:rPr>
        <w:t> </w:t>
      </w:r>
      <w:r>
        <w:rPr>
          <w:vertAlign w:val="baseline"/>
        </w:rPr>
        <w:t>expressão</w:t>
      </w:r>
      <w:r>
        <w:rPr>
          <w:spacing w:val="-11"/>
          <w:vertAlign w:val="baseline"/>
        </w:rPr>
        <w:t> </w:t>
      </w:r>
      <w:r>
        <w:rPr>
          <w:vertAlign w:val="baseline"/>
        </w:rPr>
        <w:t>de</w:t>
      </w:r>
      <w:r>
        <w:rPr>
          <w:spacing w:val="-13"/>
          <w:vertAlign w:val="baseline"/>
        </w:rPr>
        <w:t> </w:t>
      </w:r>
      <w:r>
        <w:rPr>
          <w:vertAlign w:val="baseline"/>
        </w:rPr>
        <w:t>moléculas</w:t>
      </w:r>
      <w:r>
        <w:rPr>
          <w:spacing w:val="-4"/>
          <w:vertAlign w:val="baseline"/>
        </w:rPr>
        <w:t> </w:t>
      </w:r>
      <w:r>
        <w:rPr>
          <w:vertAlign w:val="baseline"/>
        </w:rPr>
        <w:t>de</w:t>
      </w:r>
      <w:r>
        <w:rPr>
          <w:spacing w:val="-13"/>
          <w:vertAlign w:val="baseline"/>
        </w:rPr>
        <w:t> </w:t>
      </w:r>
      <w:r>
        <w:rPr>
          <w:vertAlign w:val="baseline"/>
        </w:rPr>
        <w:t>adesão,</w:t>
      </w:r>
      <w:r>
        <w:rPr>
          <w:spacing w:val="-4"/>
          <w:vertAlign w:val="baseline"/>
        </w:rPr>
        <w:t> </w:t>
      </w:r>
      <w:r>
        <w:rPr>
          <w:vertAlign w:val="baseline"/>
        </w:rPr>
        <w:t>englobando</w:t>
      </w:r>
      <w:r>
        <w:rPr>
          <w:spacing w:val="-11"/>
          <w:vertAlign w:val="baseline"/>
        </w:rPr>
        <w:t> </w:t>
      </w:r>
      <w:r>
        <w:rPr>
          <w:vertAlign w:val="baseline"/>
        </w:rPr>
        <w:t>a</w:t>
      </w:r>
      <w:r>
        <w:rPr>
          <w:spacing w:val="-13"/>
          <w:vertAlign w:val="baseline"/>
        </w:rPr>
        <w:t> </w:t>
      </w:r>
      <w:r>
        <w:rPr>
          <w:vertAlign w:val="baseline"/>
        </w:rPr>
        <w:t>VCAM-1.</w:t>
      </w:r>
      <w:r>
        <w:rPr>
          <w:vertAlign w:val="superscript"/>
        </w:rPr>
        <w:t>10,14,18</w:t>
      </w:r>
      <w:r>
        <w:rPr>
          <w:vertAlign w:val="baseline"/>
        </w:rPr>
        <w:t> Por outro lado, a regulação da expressão de moléculas de adesão também pode sofrer um controle negativo. Por exemplo, demonstrou-se que o NO pode reduzir a adesão leucocitária às artérias.</w:t>
      </w:r>
      <w:r>
        <w:rPr>
          <w:vertAlign w:val="superscript"/>
        </w:rPr>
        <w:t>19,20</w:t>
      </w:r>
      <w:r>
        <w:rPr>
          <w:vertAlign w:val="baseline"/>
        </w:rPr>
        <w:t> Estudos posteriores confirmaram</w:t>
      </w:r>
      <w:r>
        <w:rPr>
          <w:spacing w:val="-2"/>
          <w:vertAlign w:val="baseline"/>
        </w:rPr>
        <w:t> </w:t>
      </w:r>
      <w:r>
        <w:rPr>
          <w:vertAlign w:val="baseline"/>
        </w:rPr>
        <w:t>que</w:t>
      </w:r>
      <w:r>
        <w:rPr>
          <w:spacing w:val="-5"/>
          <w:vertAlign w:val="baseline"/>
        </w:rPr>
        <w:t> </w:t>
      </w:r>
      <w:r>
        <w:rPr>
          <w:vertAlign w:val="baseline"/>
        </w:rPr>
        <w:t>o</w:t>
      </w:r>
      <w:r>
        <w:rPr>
          <w:spacing w:val="-2"/>
          <w:vertAlign w:val="baseline"/>
        </w:rPr>
        <w:t> </w:t>
      </w:r>
      <w:r>
        <w:rPr>
          <w:vertAlign w:val="baseline"/>
        </w:rPr>
        <w:t>NO</w:t>
      </w:r>
      <w:r>
        <w:rPr>
          <w:spacing w:val="-5"/>
          <w:vertAlign w:val="baseline"/>
        </w:rPr>
        <w:t> </w:t>
      </w:r>
      <w:r>
        <w:rPr>
          <w:vertAlign w:val="baseline"/>
        </w:rPr>
        <w:t>pode</w:t>
      </w:r>
      <w:r>
        <w:rPr>
          <w:spacing w:val="-5"/>
          <w:vertAlign w:val="baseline"/>
        </w:rPr>
        <w:t> </w:t>
      </w:r>
      <w:r>
        <w:rPr>
          <w:vertAlign w:val="baseline"/>
        </w:rPr>
        <w:t>reduzir a</w:t>
      </w:r>
      <w:r>
        <w:rPr>
          <w:spacing w:val="-5"/>
          <w:vertAlign w:val="baseline"/>
        </w:rPr>
        <w:t> </w:t>
      </w:r>
      <w:r>
        <w:rPr>
          <w:vertAlign w:val="baseline"/>
        </w:rPr>
        <w:t>adesão</w:t>
      </w:r>
      <w:r>
        <w:rPr>
          <w:spacing w:val="-2"/>
          <w:vertAlign w:val="baseline"/>
        </w:rPr>
        <w:t> </w:t>
      </w:r>
      <w:r>
        <w:rPr>
          <w:vertAlign w:val="baseline"/>
        </w:rPr>
        <w:t>de</w:t>
      </w:r>
      <w:r>
        <w:rPr>
          <w:spacing w:val="-5"/>
          <w:vertAlign w:val="baseline"/>
        </w:rPr>
        <w:t> </w:t>
      </w:r>
      <w:r>
        <w:rPr>
          <w:vertAlign w:val="baseline"/>
        </w:rPr>
        <w:t>leucócitos mononucleares a</w:t>
      </w:r>
      <w:r>
        <w:rPr>
          <w:spacing w:val="-5"/>
          <w:vertAlign w:val="baseline"/>
        </w:rPr>
        <w:t> </w:t>
      </w:r>
      <w:r>
        <w:rPr>
          <w:vertAlign w:val="baseline"/>
        </w:rPr>
        <w:t>células endoteliais humanas.</w:t>
      </w:r>
      <w:r>
        <w:rPr>
          <w:vertAlign w:val="superscript"/>
        </w:rPr>
        <w:t>21</w:t>
      </w:r>
    </w:p>
    <w:p>
      <w:pPr>
        <w:pStyle w:val="BodyText"/>
        <w:spacing w:line="285" w:lineRule="auto" w:before="60"/>
        <w:ind w:right="498"/>
      </w:pPr>
      <w:r>
        <w:rPr/>
        <w:t>Após adentrar o ateroma nascente (mediante adesão às células endoteliais e penetração na camada íntima por diapedese entre as junções intercelulares),</w:t>
      </w:r>
      <w:r>
        <w:rPr>
          <w:vertAlign w:val="superscript"/>
        </w:rPr>
        <w:t>22</w:t>
      </w:r>
      <w:r>
        <w:rPr>
          <w:vertAlign w:val="baseline"/>
        </w:rPr>
        <w:t> os leucócitos mononucleares transformam-se em células espumosas, por meio de acúmulo de lipídios.</w:t>
      </w:r>
      <w:r>
        <w:rPr>
          <w:vertAlign w:val="superscript"/>
        </w:rPr>
        <w:t>23</w:t>
      </w:r>
      <w:r>
        <w:rPr>
          <w:vertAlign w:val="baseline"/>
        </w:rPr>
        <w:t> Recentemente, considerável esclarecimento a respeito da base molecular do acúmulo lipídico pelos macrófagos vem sendo obtido. Várias moléculas da superfície celular, que se ligam seletivamente a formas modificadas de lipoproteínas (seja por peroxidação, lipólise ou proteólise), foram identificadas. Elas incluem os receptores </w:t>
      </w:r>
      <w:r>
        <w:rPr>
          <w:i/>
          <w:vertAlign w:val="baseline"/>
        </w:rPr>
        <w:t>scavenger </w:t>
      </w:r>
      <w:r>
        <w:rPr>
          <w:vertAlign w:val="baseline"/>
        </w:rPr>
        <w:t>de macrófagos,</w:t>
      </w:r>
      <w:r>
        <w:rPr>
          <w:vertAlign w:val="superscript"/>
        </w:rPr>
        <w:t>24</w:t>
      </w:r>
      <w:r>
        <w:rPr>
          <w:vertAlign w:val="baseline"/>
        </w:rPr>
        <w:t> o CD36</w:t>
      </w:r>
      <w:r>
        <w:rPr>
          <w:vertAlign w:val="superscript"/>
        </w:rPr>
        <w:t>25</w:t>
      </w:r>
      <w:r>
        <w:rPr>
          <w:vertAlign w:val="baseline"/>
        </w:rPr>
        <w:t> e o CD68.</w:t>
      </w:r>
      <w:r>
        <w:rPr>
          <w:vertAlign w:val="superscript"/>
        </w:rPr>
        <w:t>26</w:t>
      </w:r>
    </w:p>
    <w:p>
      <w:pPr>
        <w:pStyle w:val="BodyText"/>
        <w:spacing w:line="278" w:lineRule="auto" w:before="34"/>
        <w:ind w:right="497"/>
      </w:pPr>
      <w:r>
        <w:rPr/>
        <w:t>O acúmulo de células espumosas, característico das estrias gordurosas, pode ser reversível e não causar consequências clínicas.</w:t>
      </w:r>
      <w:r>
        <w:rPr>
          <w:vertAlign w:val="superscript"/>
        </w:rPr>
        <w:t>23</w:t>
      </w:r>
      <w:r>
        <w:rPr>
          <w:vertAlign w:val="baseline"/>
        </w:rPr>
        <w:t> Entretanto, o acúmulo de macrófagos dentro da camada íntima significa um primeiro estágio, que predispõe à progressão do ateroma e à evolução para uma placa mais fibrosa e eventualmente mais complicada, que pode ocasionar consequências clínicas. O acúmulo de células musculares lisas, as quais irão produzir macromoléculas da matriz extracelular, pode contribuir de modo importante para a formação de lesões fibrosas durante essa fase de progressão do ateroma.</w:t>
      </w:r>
    </w:p>
    <w:p>
      <w:pPr>
        <w:pStyle w:val="BodyText"/>
        <w:ind w:left="414" w:firstLine="0"/>
      </w:pPr>
      <w:r>
        <w:rPr/>
        <w:t>Na</w:t>
      </w:r>
      <w:r>
        <w:rPr>
          <w:spacing w:val="-12"/>
        </w:rPr>
        <w:t> </w:t>
      </w:r>
      <w:r>
        <w:rPr>
          <w:color w:val="505050"/>
        </w:rPr>
        <w:t>Tabela</w:t>
      </w:r>
      <w:r>
        <w:rPr>
          <w:color w:val="505050"/>
          <w:spacing w:val="-9"/>
        </w:rPr>
        <w:t> </w:t>
      </w:r>
      <w:r>
        <w:rPr>
          <w:color w:val="505050"/>
        </w:rPr>
        <w:t>53.1</w:t>
      </w:r>
      <w:r>
        <w:rPr>
          <w:color w:val="505050"/>
          <w:spacing w:val="-6"/>
        </w:rPr>
        <w:t> </w:t>
      </w:r>
      <w:r>
        <w:rPr/>
        <w:t>encontram-se,</w:t>
      </w:r>
      <w:r>
        <w:rPr>
          <w:spacing w:val="1"/>
        </w:rPr>
        <w:t> </w:t>
      </w:r>
      <w:r>
        <w:rPr/>
        <w:t>de</w:t>
      </w:r>
      <w:r>
        <w:rPr>
          <w:spacing w:val="-9"/>
        </w:rPr>
        <w:t> </w:t>
      </w:r>
      <w:r>
        <w:rPr/>
        <w:t>maneira</w:t>
      </w:r>
      <w:r>
        <w:rPr>
          <w:spacing w:val="-9"/>
        </w:rPr>
        <w:t> </w:t>
      </w:r>
      <w:r>
        <w:rPr/>
        <w:t>resumida,</w:t>
      </w:r>
      <w:r>
        <w:rPr>
          <w:spacing w:val="1"/>
        </w:rPr>
        <w:t> </w:t>
      </w:r>
      <w:r>
        <w:rPr/>
        <w:t>os</w:t>
      </w:r>
      <w:r>
        <w:rPr>
          <w:spacing w:val="1"/>
        </w:rPr>
        <w:t> </w:t>
      </w:r>
      <w:r>
        <w:rPr/>
        <w:t>passos</w:t>
      </w:r>
      <w:r>
        <w:rPr>
          <w:spacing w:val="1"/>
        </w:rPr>
        <w:t> </w:t>
      </w:r>
      <w:r>
        <w:rPr/>
        <w:t>para</w:t>
      </w:r>
      <w:r>
        <w:rPr>
          <w:spacing w:val="-10"/>
        </w:rPr>
        <w:t> </w:t>
      </w:r>
      <w:r>
        <w:rPr/>
        <w:t>a</w:t>
      </w:r>
      <w:r>
        <w:rPr>
          <w:spacing w:val="-9"/>
        </w:rPr>
        <w:t> </w:t>
      </w:r>
      <w:r>
        <w:rPr/>
        <w:t>formação</w:t>
      </w:r>
      <w:r>
        <w:rPr>
          <w:spacing w:val="-6"/>
        </w:rPr>
        <w:t> </w:t>
      </w:r>
      <w:r>
        <w:rPr/>
        <w:t>da</w:t>
      </w:r>
      <w:r>
        <w:rPr>
          <w:spacing w:val="-9"/>
        </w:rPr>
        <w:t> </w:t>
      </w:r>
      <w:r>
        <w:rPr/>
        <w:t>estria</w:t>
      </w:r>
      <w:r>
        <w:rPr>
          <w:spacing w:val="-9"/>
        </w:rPr>
        <w:t> </w:t>
      </w:r>
      <w:r>
        <w:rPr>
          <w:spacing w:val="-2"/>
        </w:rPr>
        <w:t>gordurosa.</w:t>
      </w:r>
    </w:p>
    <w:p>
      <w:pPr>
        <w:pStyle w:val="BodyText"/>
        <w:spacing w:line="280" w:lineRule="auto" w:before="88"/>
        <w:ind w:right="491"/>
      </w:pPr>
      <w:r>
        <w:rPr/>
        <w:t>Alguns anos atrás, um desnudamento do endotélio era considerado o responsável por ocasionar a adesão plaquetária, degranulação e liberação de mediadores fibrinogênicos, tais como o fator de crescimento derivado de plaquetas (PDGF, </w:t>
      </w:r>
      <w:r>
        <w:rPr>
          <w:i/>
        </w:rPr>
        <w:t>platelet-derived growth factor</w:t>
      </w:r>
      <w:r>
        <w:rPr/>
        <w:t>). Atualmente, sabe-se que a formação do ateroma pode ocorrer sem descamação endotelial,</w:t>
      </w:r>
      <w:r>
        <w:rPr>
          <w:vertAlign w:val="superscript"/>
        </w:rPr>
        <w:t>28,29</w:t>
      </w:r>
      <w:r>
        <w:rPr>
          <w:vertAlign w:val="baseline"/>
        </w:rPr>
        <w:t> mas sim na vigência de uma disfunção do endotélio.</w:t>
      </w:r>
    </w:p>
    <w:p>
      <w:pPr>
        <w:pStyle w:val="BodyText"/>
        <w:spacing w:line="283" w:lineRule="auto" w:before="59"/>
        <w:ind w:right="488"/>
      </w:pPr>
      <w:r>
        <w:rPr/>
        <w:t>Até</w:t>
      </w:r>
      <w:r>
        <w:rPr>
          <w:spacing w:val="-4"/>
        </w:rPr>
        <w:t> </w:t>
      </w:r>
      <w:r>
        <w:rPr/>
        <w:t>algum</w:t>
      </w:r>
      <w:r>
        <w:rPr>
          <w:spacing w:val="-1"/>
        </w:rPr>
        <w:t> </w:t>
      </w:r>
      <w:r>
        <w:rPr/>
        <w:t>tempo, o</w:t>
      </w:r>
      <w:r>
        <w:rPr>
          <w:spacing w:val="-1"/>
        </w:rPr>
        <w:t> </w:t>
      </w:r>
      <w:r>
        <w:rPr/>
        <w:t>endotélio</w:t>
      </w:r>
      <w:r>
        <w:rPr>
          <w:spacing w:val="-1"/>
        </w:rPr>
        <w:t> </w:t>
      </w:r>
      <w:r>
        <w:rPr/>
        <w:t>era</w:t>
      </w:r>
      <w:r>
        <w:rPr>
          <w:spacing w:val="-4"/>
        </w:rPr>
        <w:t> </w:t>
      </w:r>
      <w:r>
        <w:rPr/>
        <w:t>considerado</w:t>
      </w:r>
      <w:r>
        <w:rPr>
          <w:spacing w:val="-1"/>
        </w:rPr>
        <w:t> </w:t>
      </w:r>
      <w:r>
        <w:rPr/>
        <w:t>simplesmente</w:t>
      </w:r>
      <w:r>
        <w:rPr>
          <w:spacing w:val="-4"/>
        </w:rPr>
        <w:t> </w:t>
      </w:r>
      <w:r>
        <w:rPr/>
        <w:t>uma</w:t>
      </w:r>
      <w:r>
        <w:rPr>
          <w:spacing w:val="-4"/>
        </w:rPr>
        <w:t> </w:t>
      </w:r>
      <w:r>
        <w:rPr/>
        <w:t>barreira</w:t>
      </w:r>
      <w:r>
        <w:rPr>
          <w:spacing w:val="-4"/>
        </w:rPr>
        <w:t> </w:t>
      </w:r>
      <w:r>
        <w:rPr/>
        <w:t>não</w:t>
      </w:r>
      <w:r>
        <w:rPr>
          <w:spacing w:val="-1"/>
        </w:rPr>
        <w:t> </w:t>
      </w:r>
      <w:r>
        <w:rPr/>
        <w:t>trombogênica</w:t>
      </w:r>
      <w:r>
        <w:rPr>
          <w:spacing w:val="-4"/>
        </w:rPr>
        <w:t> </w:t>
      </w:r>
      <w:r>
        <w:rPr/>
        <w:t>que</w:t>
      </w:r>
      <w:r>
        <w:rPr>
          <w:spacing w:val="-4"/>
        </w:rPr>
        <w:t> </w:t>
      </w:r>
      <w:r>
        <w:rPr/>
        <w:t>possibilitava</w:t>
      </w:r>
      <w:r>
        <w:rPr>
          <w:spacing w:val="-4"/>
        </w:rPr>
        <w:t> </w:t>
      </w:r>
      <w:r>
        <w:rPr/>
        <w:t>a difusão de substâncias, separando o sangue do músculo liso vascular; e o controle vascular era atribuído primordialmente ao sistema nervoso simpático e a hormônios vasoativos circulantes.</w:t>
      </w:r>
      <w:r>
        <w:rPr>
          <w:vertAlign w:val="superscript"/>
        </w:rPr>
        <w:t>30</w:t>
      </w:r>
      <w:r>
        <w:rPr>
          <w:vertAlign w:val="baseline"/>
        </w:rPr>
        <w:t> A descoberta de que o endotélio sintetiza importantes vasodilatadores, tais como o fator relaxante derivado do endotélio</w:t>
      </w:r>
      <w:r>
        <w:rPr>
          <w:vertAlign w:val="superscript"/>
        </w:rPr>
        <w:t>30</w:t>
      </w:r>
      <w:r>
        <w:rPr>
          <w:vertAlign w:val="baseline"/>
        </w:rPr>
        <w:t> e a prostaciclina,</w:t>
      </w:r>
      <w:r>
        <w:rPr>
          <w:vertAlign w:val="superscript"/>
        </w:rPr>
        <w:t>31</w:t>
      </w:r>
      <w:r>
        <w:rPr>
          <w:vertAlign w:val="baseline"/>
        </w:rPr>
        <w:t> despertou enorme interesse na função endotelial e no seu papel sobre o controle vascular, tanto em situações fisiológicas quanto em processos patológicos, como as síndromes coronarianas agudas, por exemplo. Atualmente, sabe-se que o endotélio influencia não somente o tônus vascular, mas também o remodelamento vascular, pela produção de substâncias promotoras e inibidoras do seu crescimento, além dos processos de hemostasia e trombose, por meio de efeitos antiplaquetários, anticoagulantes e fibrinolíticos.</w:t>
      </w:r>
      <w:r>
        <w:rPr>
          <w:vertAlign w:val="superscript"/>
        </w:rPr>
        <w:t>30</w:t>
      </w:r>
    </w:p>
    <w:p>
      <w:pPr>
        <w:pStyle w:val="BodyText"/>
        <w:spacing w:before="81"/>
        <w:ind w:left="0" w:firstLine="0"/>
        <w:jc w:val="left"/>
      </w:pPr>
    </w:p>
    <w:p>
      <w:pPr>
        <w:spacing w:before="0"/>
        <w:ind w:left="68" w:right="0" w:firstLine="0"/>
        <w:jc w:val="both"/>
        <w:rPr>
          <w:rFonts w:ascii="Microsoft Sans Serif"/>
          <w:sz w:val="23"/>
        </w:rPr>
      </w:pPr>
      <w:r>
        <w:rPr>
          <w:rFonts w:ascii="Arial"/>
          <w:b/>
          <w:color w:val="242B67"/>
          <w:sz w:val="23"/>
        </w:rPr>
        <w:t>Tabela</w:t>
      </w:r>
      <w:r>
        <w:rPr>
          <w:rFonts w:ascii="Arial"/>
          <w:b/>
          <w:color w:val="242B67"/>
          <w:spacing w:val="-7"/>
          <w:sz w:val="23"/>
        </w:rPr>
        <w:t> </w:t>
      </w:r>
      <w:r>
        <w:rPr>
          <w:rFonts w:ascii="Arial"/>
          <w:b/>
          <w:color w:val="242B67"/>
          <w:sz w:val="23"/>
        </w:rPr>
        <w:t>53.1</w:t>
      </w:r>
      <w:r>
        <w:rPr>
          <w:rFonts w:ascii="Arial"/>
          <w:b/>
          <w:color w:val="242B67"/>
          <w:spacing w:val="-7"/>
          <w:sz w:val="23"/>
        </w:rPr>
        <w:t> </w:t>
      </w:r>
      <w:r>
        <w:rPr>
          <w:rFonts w:ascii="Microsoft Sans Serif"/>
          <w:sz w:val="23"/>
        </w:rPr>
        <w:t>Desenvolvimento</w:t>
      </w:r>
      <w:r>
        <w:rPr>
          <w:rFonts w:ascii="Microsoft Sans Serif"/>
          <w:spacing w:val="-4"/>
          <w:sz w:val="23"/>
        </w:rPr>
        <w:t> </w:t>
      </w:r>
      <w:r>
        <w:rPr>
          <w:rFonts w:ascii="Microsoft Sans Serif"/>
          <w:sz w:val="23"/>
        </w:rPr>
        <w:t>da</w:t>
      </w:r>
      <w:r>
        <w:rPr>
          <w:rFonts w:ascii="Microsoft Sans Serif"/>
          <w:spacing w:val="-4"/>
          <w:sz w:val="23"/>
        </w:rPr>
        <w:t> </w:t>
      </w:r>
      <w:r>
        <w:rPr>
          <w:rFonts w:ascii="Microsoft Sans Serif"/>
          <w:sz w:val="23"/>
        </w:rPr>
        <w:t>estria</w:t>
      </w:r>
      <w:r>
        <w:rPr>
          <w:rFonts w:ascii="Microsoft Sans Serif"/>
          <w:spacing w:val="-4"/>
          <w:sz w:val="23"/>
        </w:rPr>
        <w:t> </w:t>
      </w:r>
      <w:r>
        <w:rPr>
          <w:rFonts w:ascii="Microsoft Sans Serif"/>
          <w:spacing w:val="-2"/>
          <w:sz w:val="23"/>
        </w:rPr>
        <w:t>gordurosa.</w:t>
      </w:r>
    </w:p>
    <w:p>
      <w:pPr>
        <w:pStyle w:val="BodyText"/>
        <w:spacing w:before="1"/>
        <w:ind w:left="0" w:firstLine="0"/>
        <w:jc w:val="left"/>
        <w:rPr>
          <w:rFonts w:ascii="Microsoft Sans Serif"/>
          <w:sz w:val="14"/>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6366"/>
      </w:tblGrid>
      <w:tr>
        <w:trPr>
          <w:trHeight w:val="430" w:hRule="atLeast"/>
        </w:trPr>
        <w:tc>
          <w:tcPr>
            <w:tcW w:w="4252" w:type="dxa"/>
            <w:tcBorders>
              <w:top w:val="nil"/>
              <w:left w:val="nil"/>
            </w:tcBorders>
            <w:shd w:val="clear" w:color="auto" w:fill="242B67"/>
          </w:tcPr>
          <w:p>
            <w:pPr>
              <w:pStyle w:val="TableParagraph"/>
              <w:spacing w:before="91"/>
              <w:ind w:left="67"/>
              <w:rPr>
                <w:rFonts w:ascii="Arial"/>
                <w:b/>
                <w:sz w:val="21"/>
              </w:rPr>
            </w:pPr>
            <w:r>
              <w:rPr>
                <w:rFonts w:ascii="Arial"/>
                <w:b/>
                <w:color w:val="FFFFFF"/>
                <w:spacing w:val="-2"/>
                <w:w w:val="105"/>
                <w:sz w:val="21"/>
              </w:rPr>
              <w:t>Etapa</w:t>
            </w:r>
          </w:p>
        </w:tc>
        <w:tc>
          <w:tcPr>
            <w:tcW w:w="6366" w:type="dxa"/>
            <w:tcBorders>
              <w:top w:val="nil"/>
              <w:right w:val="nil"/>
            </w:tcBorders>
            <w:shd w:val="clear" w:color="auto" w:fill="242B67"/>
          </w:tcPr>
          <w:p>
            <w:pPr>
              <w:pStyle w:val="TableParagraph"/>
              <w:spacing w:before="91"/>
              <w:ind w:left="66"/>
              <w:rPr>
                <w:rFonts w:ascii="Arial"/>
                <w:b/>
                <w:sz w:val="21"/>
              </w:rPr>
            </w:pPr>
            <w:r>
              <w:rPr>
                <w:rFonts w:ascii="Arial"/>
                <w:b/>
                <w:color w:val="FFFFFF"/>
                <w:spacing w:val="-2"/>
                <w:w w:val="105"/>
                <w:sz w:val="21"/>
              </w:rPr>
              <w:t>Passos</w:t>
            </w:r>
          </w:p>
        </w:tc>
      </w:tr>
      <w:tr>
        <w:trPr>
          <w:trHeight w:val="428" w:hRule="atLeast"/>
        </w:trPr>
        <w:tc>
          <w:tcPr>
            <w:tcW w:w="4252" w:type="dxa"/>
            <w:tcBorders>
              <w:left w:val="nil"/>
            </w:tcBorders>
            <w:shd w:val="clear" w:color="auto" w:fill="EDECF3"/>
          </w:tcPr>
          <w:p>
            <w:pPr>
              <w:pStyle w:val="TableParagraph"/>
              <w:ind w:left="67"/>
              <w:rPr>
                <w:sz w:val="21"/>
              </w:rPr>
            </w:pPr>
            <w:r>
              <w:rPr>
                <w:spacing w:val="-10"/>
                <w:w w:val="105"/>
                <w:sz w:val="21"/>
              </w:rPr>
              <w:t>1</w:t>
            </w:r>
          </w:p>
        </w:tc>
        <w:tc>
          <w:tcPr>
            <w:tcW w:w="6366" w:type="dxa"/>
            <w:tcBorders>
              <w:right w:val="nil"/>
            </w:tcBorders>
            <w:shd w:val="clear" w:color="auto" w:fill="EDECF3"/>
          </w:tcPr>
          <w:p>
            <w:pPr>
              <w:pStyle w:val="TableParagraph"/>
              <w:ind w:left="66"/>
              <w:rPr>
                <w:sz w:val="21"/>
              </w:rPr>
            </w:pPr>
            <w:r>
              <w:rPr>
                <w:w w:val="105"/>
                <w:sz w:val="21"/>
              </w:rPr>
              <w:t>Transporte</w:t>
            </w:r>
            <w:r>
              <w:rPr>
                <w:spacing w:val="24"/>
                <w:w w:val="105"/>
                <w:sz w:val="21"/>
              </w:rPr>
              <w:t> </w:t>
            </w:r>
            <w:r>
              <w:rPr>
                <w:w w:val="105"/>
                <w:sz w:val="21"/>
              </w:rPr>
              <w:t>da</w:t>
            </w:r>
            <w:r>
              <w:rPr>
                <w:spacing w:val="25"/>
                <w:w w:val="105"/>
                <w:sz w:val="21"/>
              </w:rPr>
              <w:t> </w:t>
            </w:r>
            <w:r>
              <w:rPr>
                <w:spacing w:val="-2"/>
                <w:w w:val="105"/>
                <w:sz w:val="21"/>
              </w:rPr>
              <w:t>lipoproteína</w:t>
            </w:r>
          </w:p>
        </w:tc>
      </w:tr>
      <w:tr>
        <w:trPr>
          <w:trHeight w:val="428" w:hRule="atLeast"/>
        </w:trPr>
        <w:tc>
          <w:tcPr>
            <w:tcW w:w="4252" w:type="dxa"/>
            <w:tcBorders>
              <w:left w:val="nil"/>
            </w:tcBorders>
            <w:shd w:val="clear" w:color="auto" w:fill="EDECF3"/>
          </w:tcPr>
          <w:p>
            <w:pPr>
              <w:pStyle w:val="TableParagraph"/>
              <w:ind w:left="67"/>
              <w:rPr>
                <w:sz w:val="21"/>
              </w:rPr>
            </w:pPr>
            <w:r>
              <w:rPr>
                <w:spacing w:val="-10"/>
                <w:w w:val="105"/>
                <w:sz w:val="21"/>
              </w:rPr>
              <w:t>2</w:t>
            </w:r>
          </w:p>
        </w:tc>
        <w:tc>
          <w:tcPr>
            <w:tcW w:w="6366" w:type="dxa"/>
            <w:tcBorders>
              <w:right w:val="nil"/>
            </w:tcBorders>
            <w:shd w:val="clear" w:color="auto" w:fill="EDECF3"/>
          </w:tcPr>
          <w:p>
            <w:pPr>
              <w:pStyle w:val="TableParagraph"/>
              <w:ind w:left="66"/>
              <w:rPr>
                <w:sz w:val="21"/>
              </w:rPr>
            </w:pPr>
            <w:r>
              <w:rPr>
                <w:w w:val="105"/>
                <w:sz w:val="21"/>
              </w:rPr>
              <w:t>Retenção</w:t>
            </w:r>
            <w:r>
              <w:rPr>
                <w:spacing w:val="22"/>
                <w:w w:val="105"/>
                <w:sz w:val="21"/>
              </w:rPr>
              <w:t> </w:t>
            </w:r>
            <w:r>
              <w:rPr>
                <w:w w:val="105"/>
                <w:sz w:val="21"/>
              </w:rPr>
              <w:t>da</w:t>
            </w:r>
            <w:r>
              <w:rPr>
                <w:spacing w:val="22"/>
                <w:w w:val="105"/>
                <w:sz w:val="21"/>
              </w:rPr>
              <w:t> </w:t>
            </w:r>
            <w:r>
              <w:rPr>
                <w:spacing w:val="-2"/>
                <w:w w:val="105"/>
                <w:sz w:val="21"/>
              </w:rPr>
              <w:t>lipoproteína</w:t>
            </w:r>
          </w:p>
        </w:tc>
      </w:tr>
      <w:tr>
        <w:trPr>
          <w:trHeight w:val="428" w:hRule="atLeast"/>
        </w:trPr>
        <w:tc>
          <w:tcPr>
            <w:tcW w:w="4252" w:type="dxa"/>
            <w:tcBorders>
              <w:left w:val="nil"/>
            </w:tcBorders>
            <w:shd w:val="clear" w:color="auto" w:fill="EDECF3"/>
          </w:tcPr>
          <w:p>
            <w:pPr>
              <w:pStyle w:val="TableParagraph"/>
              <w:ind w:left="67"/>
              <w:rPr>
                <w:sz w:val="21"/>
              </w:rPr>
            </w:pPr>
            <w:r>
              <w:rPr>
                <w:spacing w:val="-10"/>
                <w:w w:val="105"/>
                <w:sz w:val="21"/>
              </w:rPr>
              <w:t>3</w:t>
            </w:r>
          </w:p>
        </w:tc>
        <w:tc>
          <w:tcPr>
            <w:tcW w:w="6366" w:type="dxa"/>
            <w:tcBorders>
              <w:right w:val="nil"/>
            </w:tcBorders>
            <w:shd w:val="clear" w:color="auto" w:fill="EDECF3"/>
          </w:tcPr>
          <w:p>
            <w:pPr>
              <w:pStyle w:val="TableParagraph"/>
              <w:ind w:left="66"/>
              <w:rPr>
                <w:sz w:val="21"/>
              </w:rPr>
            </w:pPr>
            <w:r>
              <w:rPr>
                <w:w w:val="105"/>
                <w:sz w:val="21"/>
              </w:rPr>
              <w:t>Modificação</w:t>
            </w:r>
            <w:r>
              <w:rPr>
                <w:spacing w:val="15"/>
                <w:w w:val="105"/>
                <w:sz w:val="21"/>
              </w:rPr>
              <w:t> </w:t>
            </w:r>
            <w:r>
              <w:rPr>
                <w:w w:val="105"/>
                <w:sz w:val="21"/>
              </w:rPr>
              <w:t>da</w:t>
            </w:r>
            <w:r>
              <w:rPr>
                <w:spacing w:val="16"/>
                <w:w w:val="105"/>
                <w:sz w:val="21"/>
              </w:rPr>
              <w:t> </w:t>
            </w:r>
            <w:r>
              <w:rPr>
                <w:spacing w:val="-2"/>
                <w:w w:val="105"/>
                <w:sz w:val="21"/>
              </w:rPr>
              <w:t>lipoproteína</w:t>
            </w:r>
          </w:p>
        </w:tc>
      </w:tr>
      <w:tr>
        <w:trPr>
          <w:trHeight w:val="428" w:hRule="atLeast"/>
        </w:trPr>
        <w:tc>
          <w:tcPr>
            <w:tcW w:w="4252" w:type="dxa"/>
            <w:tcBorders>
              <w:left w:val="nil"/>
            </w:tcBorders>
            <w:shd w:val="clear" w:color="auto" w:fill="EDECF3"/>
          </w:tcPr>
          <w:p>
            <w:pPr>
              <w:pStyle w:val="TableParagraph"/>
              <w:ind w:left="67"/>
              <w:rPr>
                <w:sz w:val="21"/>
              </w:rPr>
            </w:pPr>
            <w:r>
              <w:rPr>
                <w:spacing w:val="-10"/>
                <w:w w:val="105"/>
                <w:sz w:val="21"/>
              </w:rPr>
              <w:t>4</w:t>
            </w:r>
          </w:p>
        </w:tc>
        <w:tc>
          <w:tcPr>
            <w:tcW w:w="6366" w:type="dxa"/>
            <w:tcBorders>
              <w:right w:val="nil"/>
            </w:tcBorders>
            <w:shd w:val="clear" w:color="auto" w:fill="EDECF3"/>
          </w:tcPr>
          <w:p>
            <w:pPr>
              <w:pStyle w:val="TableParagraph"/>
              <w:ind w:left="66"/>
              <w:rPr>
                <w:sz w:val="21"/>
              </w:rPr>
            </w:pPr>
            <w:r>
              <w:rPr>
                <w:w w:val="105"/>
                <w:sz w:val="21"/>
              </w:rPr>
              <w:t>Aderência</w:t>
            </w:r>
            <w:r>
              <w:rPr>
                <w:spacing w:val="20"/>
                <w:w w:val="105"/>
                <w:sz w:val="21"/>
              </w:rPr>
              <w:t> </w:t>
            </w:r>
            <w:r>
              <w:rPr>
                <w:w w:val="105"/>
                <w:sz w:val="21"/>
              </w:rPr>
              <w:t>de</w:t>
            </w:r>
            <w:r>
              <w:rPr>
                <w:spacing w:val="21"/>
                <w:w w:val="105"/>
                <w:sz w:val="21"/>
              </w:rPr>
              <w:t> </w:t>
            </w:r>
            <w:r>
              <w:rPr>
                <w:spacing w:val="-2"/>
                <w:w w:val="105"/>
                <w:sz w:val="21"/>
              </w:rPr>
              <w:t>monócitos</w:t>
            </w:r>
          </w:p>
        </w:tc>
      </w:tr>
      <w:tr>
        <w:trPr>
          <w:trHeight w:val="428" w:hRule="atLeast"/>
        </w:trPr>
        <w:tc>
          <w:tcPr>
            <w:tcW w:w="4252" w:type="dxa"/>
            <w:tcBorders>
              <w:left w:val="nil"/>
            </w:tcBorders>
            <w:shd w:val="clear" w:color="auto" w:fill="EDECF3"/>
          </w:tcPr>
          <w:p>
            <w:pPr>
              <w:pStyle w:val="TableParagraph"/>
              <w:ind w:left="67"/>
              <w:rPr>
                <w:sz w:val="21"/>
              </w:rPr>
            </w:pPr>
            <w:r>
              <w:rPr>
                <w:spacing w:val="-10"/>
                <w:w w:val="105"/>
                <w:sz w:val="21"/>
              </w:rPr>
              <w:t>5</w:t>
            </w:r>
          </w:p>
        </w:tc>
        <w:tc>
          <w:tcPr>
            <w:tcW w:w="6366" w:type="dxa"/>
            <w:tcBorders>
              <w:right w:val="nil"/>
            </w:tcBorders>
            <w:shd w:val="clear" w:color="auto" w:fill="EDECF3"/>
          </w:tcPr>
          <w:p>
            <w:pPr>
              <w:pStyle w:val="TableParagraph"/>
              <w:ind w:left="66"/>
              <w:rPr>
                <w:sz w:val="21"/>
              </w:rPr>
            </w:pPr>
            <w:r>
              <w:rPr>
                <w:w w:val="105"/>
                <w:sz w:val="21"/>
              </w:rPr>
              <w:t>Migração</w:t>
            </w:r>
            <w:r>
              <w:rPr>
                <w:spacing w:val="16"/>
                <w:w w:val="105"/>
                <w:sz w:val="21"/>
              </w:rPr>
              <w:t> </w:t>
            </w:r>
            <w:r>
              <w:rPr>
                <w:w w:val="105"/>
                <w:sz w:val="21"/>
              </w:rPr>
              <w:t>de</w:t>
            </w:r>
            <w:r>
              <w:rPr>
                <w:spacing w:val="16"/>
                <w:w w:val="105"/>
                <w:sz w:val="21"/>
              </w:rPr>
              <w:t> </w:t>
            </w:r>
            <w:r>
              <w:rPr>
                <w:spacing w:val="-2"/>
                <w:w w:val="105"/>
                <w:sz w:val="21"/>
              </w:rPr>
              <w:t>monócitos</w:t>
            </w:r>
          </w:p>
        </w:tc>
      </w:tr>
      <w:tr>
        <w:trPr>
          <w:trHeight w:val="428" w:hRule="atLeast"/>
        </w:trPr>
        <w:tc>
          <w:tcPr>
            <w:tcW w:w="4252" w:type="dxa"/>
            <w:tcBorders>
              <w:left w:val="nil"/>
            </w:tcBorders>
            <w:shd w:val="clear" w:color="auto" w:fill="EDECF3"/>
          </w:tcPr>
          <w:p>
            <w:pPr>
              <w:pStyle w:val="TableParagraph"/>
              <w:ind w:left="67"/>
              <w:rPr>
                <w:sz w:val="21"/>
              </w:rPr>
            </w:pPr>
            <w:r>
              <w:rPr>
                <w:spacing w:val="-10"/>
                <w:w w:val="105"/>
                <w:sz w:val="21"/>
              </w:rPr>
              <w:t>6</w:t>
            </w:r>
          </w:p>
        </w:tc>
        <w:tc>
          <w:tcPr>
            <w:tcW w:w="6366" w:type="dxa"/>
            <w:tcBorders>
              <w:right w:val="nil"/>
            </w:tcBorders>
            <w:shd w:val="clear" w:color="auto" w:fill="EDECF3"/>
          </w:tcPr>
          <w:p>
            <w:pPr>
              <w:pStyle w:val="TableParagraph"/>
              <w:ind w:left="66"/>
              <w:rPr>
                <w:sz w:val="21"/>
              </w:rPr>
            </w:pPr>
            <w:r>
              <w:rPr>
                <w:w w:val="105"/>
                <w:sz w:val="21"/>
              </w:rPr>
              <w:t>Diferenciação</w:t>
            </w:r>
            <w:r>
              <w:rPr>
                <w:spacing w:val="27"/>
                <w:w w:val="105"/>
                <w:sz w:val="21"/>
              </w:rPr>
              <w:t> </w:t>
            </w:r>
            <w:r>
              <w:rPr>
                <w:w w:val="105"/>
                <w:sz w:val="21"/>
              </w:rPr>
              <w:t>dos</w:t>
            </w:r>
            <w:r>
              <w:rPr>
                <w:spacing w:val="24"/>
                <w:w w:val="105"/>
                <w:sz w:val="21"/>
              </w:rPr>
              <w:t> </w:t>
            </w:r>
            <w:r>
              <w:rPr>
                <w:spacing w:val="-2"/>
                <w:w w:val="105"/>
                <w:sz w:val="21"/>
              </w:rPr>
              <w:t>monócitos</w:t>
            </w:r>
          </w:p>
        </w:tc>
      </w:tr>
      <w:tr>
        <w:trPr>
          <w:trHeight w:val="430" w:hRule="atLeast"/>
        </w:trPr>
        <w:tc>
          <w:tcPr>
            <w:tcW w:w="4252" w:type="dxa"/>
            <w:tcBorders>
              <w:left w:val="nil"/>
              <w:bottom w:val="nil"/>
            </w:tcBorders>
            <w:shd w:val="clear" w:color="auto" w:fill="EDECF3"/>
          </w:tcPr>
          <w:p>
            <w:pPr>
              <w:pStyle w:val="TableParagraph"/>
              <w:ind w:left="67"/>
              <w:rPr>
                <w:sz w:val="21"/>
              </w:rPr>
            </w:pPr>
            <w:r>
              <w:rPr>
                <w:spacing w:val="-10"/>
                <w:w w:val="105"/>
                <w:sz w:val="21"/>
              </w:rPr>
              <w:t>7</w:t>
            </w:r>
          </w:p>
        </w:tc>
        <w:tc>
          <w:tcPr>
            <w:tcW w:w="6366" w:type="dxa"/>
            <w:tcBorders>
              <w:bottom w:val="nil"/>
              <w:right w:val="nil"/>
            </w:tcBorders>
            <w:shd w:val="clear" w:color="auto" w:fill="EDECF3"/>
          </w:tcPr>
          <w:p>
            <w:pPr>
              <w:pStyle w:val="TableParagraph"/>
              <w:ind w:left="66"/>
              <w:rPr>
                <w:sz w:val="21"/>
              </w:rPr>
            </w:pPr>
            <w:r>
              <w:rPr>
                <w:w w:val="105"/>
                <w:sz w:val="21"/>
              </w:rPr>
              <w:t>Formação</w:t>
            </w:r>
            <w:r>
              <w:rPr>
                <w:spacing w:val="17"/>
                <w:w w:val="105"/>
                <w:sz w:val="21"/>
              </w:rPr>
              <w:t> </w:t>
            </w:r>
            <w:r>
              <w:rPr>
                <w:w w:val="105"/>
                <w:sz w:val="21"/>
              </w:rPr>
              <w:t>das</w:t>
            </w:r>
            <w:r>
              <w:rPr>
                <w:spacing w:val="13"/>
                <w:w w:val="105"/>
                <w:sz w:val="21"/>
              </w:rPr>
              <w:t> </w:t>
            </w:r>
            <w:r>
              <w:rPr>
                <w:w w:val="105"/>
                <w:sz w:val="21"/>
              </w:rPr>
              <w:t>células</w:t>
            </w:r>
            <w:r>
              <w:rPr>
                <w:spacing w:val="13"/>
                <w:w w:val="105"/>
                <w:sz w:val="21"/>
              </w:rPr>
              <w:t> </w:t>
            </w:r>
            <w:r>
              <w:rPr>
                <w:spacing w:val="-2"/>
                <w:w w:val="105"/>
                <w:sz w:val="21"/>
              </w:rPr>
              <w:t>espumosas</w:t>
            </w:r>
          </w:p>
        </w:tc>
      </w:tr>
    </w:tbl>
    <w:p>
      <w:pPr>
        <w:pStyle w:val="BodyText"/>
        <w:spacing w:line="276" w:lineRule="auto" w:before="157"/>
        <w:ind w:right="488"/>
      </w:pPr>
      <w:r>
        <w:rPr/>
        <w:t>Entre as alterações causadas pela existência de LDL oxidada está também a produção de interleucina-1, que estimula migração e proliferação das células musculares lisas da camada média arterial. Estas, ao migrarem para a</w:t>
      </w:r>
    </w:p>
    <w:p>
      <w:pPr>
        <w:pStyle w:val="BodyText"/>
        <w:spacing w:after="0" w:line="276" w:lineRule="auto"/>
        <w:sectPr>
          <w:pgSz w:w="11900" w:h="16840"/>
          <w:pgMar w:top="220" w:bottom="280" w:left="566" w:right="141"/>
        </w:sectPr>
      </w:pPr>
    </w:p>
    <w:p>
      <w:pPr>
        <w:pStyle w:val="BodyText"/>
        <w:spacing w:line="285" w:lineRule="auto" w:before="61"/>
        <w:ind w:right="497" w:firstLine="0"/>
      </w:pPr>
      <w:r>
        <w:rPr/>
        <w:t>íntima, passam</w:t>
      </w:r>
      <w:r>
        <w:rPr>
          <w:spacing w:val="-3"/>
        </w:rPr>
        <w:t> </w:t>
      </w:r>
      <w:r>
        <w:rPr/>
        <w:t>a</w:t>
      </w:r>
      <w:r>
        <w:rPr>
          <w:spacing w:val="-6"/>
        </w:rPr>
        <w:t> </w:t>
      </w:r>
      <w:r>
        <w:rPr/>
        <w:t>produzir não</w:t>
      </w:r>
      <w:r>
        <w:rPr>
          <w:spacing w:val="-3"/>
        </w:rPr>
        <w:t> </w:t>
      </w:r>
      <w:r>
        <w:rPr/>
        <w:t>só</w:t>
      </w:r>
      <w:r>
        <w:rPr>
          <w:spacing w:val="-3"/>
        </w:rPr>
        <w:t> </w:t>
      </w:r>
      <w:r>
        <w:rPr/>
        <w:t>citocinas e</w:t>
      </w:r>
      <w:r>
        <w:rPr>
          <w:spacing w:val="-6"/>
        </w:rPr>
        <w:t> </w:t>
      </w:r>
      <w:r>
        <w:rPr/>
        <w:t>fatores de</w:t>
      </w:r>
      <w:r>
        <w:rPr>
          <w:spacing w:val="-6"/>
        </w:rPr>
        <w:t> </w:t>
      </w:r>
      <w:r>
        <w:rPr/>
        <w:t>crescimento, mas também</w:t>
      </w:r>
      <w:r>
        <w:rPr>
          <w:spacing w:val="-3"/>
        </w:rPr>
        <w:t> </w:t>
      </w:r>
      <w:r>
        <w:rPr/>
        <w:t>a</w:t>
      </w:r>
      <w:r>
        <w:rPr>
          <w:spacing w:val="-6"/>
        </w:rPr>
        <w:t> </w:t>
      </w:r>
      <w:r>
        <w:rPr/>
        <w:t>matriz</w:t>
      </w:r>
      <w:r>
        <w:rPr>
          <w:spacing w:val="-6"/>
        </w:rPr>
        <w:t> </w:t>
      </w:r>
      <w:r>
        <w:rPr/>
        <w:t>extracelular que</w:t>
      </w:r>
      <w:r>
        <w:rPr>
          <w:spacing w:val="-6"/>
        </w:rPr>
        <w:t> </w:t>
      </w:r>
      <w:r>
        <w:rPr/>
        <w:t>formará parte da capa fibrosa da placa aterosclerótica madura.</w:t>
      </w:r>
      <w:r>
        <w:rPr>
          <w:vertAlign w:val="superscript"/>
        </w:rPr>
        <w:t>32</w:t>
      </w:r>
      <w:r>
        <w:rPr>
          <w:vertAlign w:val="baseline"/>
        </w:rPr>
        <w:t> A disfunção endotelial induzida pela LDL oxidada pode causar também a</w:t>
      </w:r>
      <w:r>
        <w:rPr>
          <w:spacing w:val="-2"/>
          <w:vertAlign w:val="baseline"/>
        </w:rPr>
        <w:t> </w:t>
      </w:r>
      <w:r>
        <w:rPr>
          <w:vertAlign w:val="baseline"/>
        </w:rPr>
        <w:t>formação de</w:t>
      </w:r>
      <w:r>
        <w:rPr>
          <w:spacing w:val="-2"/>
          <w:vertAlign w:val="baseline"/>
        </w:rPr>
        <w:t> </w:t>
      </w:r>
      <w:r>
        <w:rPr>
          <w:vertAlign w:val="baseline"/>
        </w:rPr>
        <w:t>microtrombos de</w:t>
      </w:r>
      <w:r>
        <w:rPr>
          <w:spacing w:val="-2"/>
          <w:vertAlign w:val="baseline"/>
        </w:rPr>
        <w:t> </w:t>
      </w:r>
      <w:r>
        <w:rPr>
          <w:vertAlign w:val="baseline"/>
        </w:rPr>
        <w:t>plaquetas, que</w:t>
      </w:r>
      <w:r>
        <w:rPr>
          <w:spacing w:val="-2"/>
          <w:vertAlign w:val="baseline"/>
        </w:rPr>
        <w:t> </w:t>
      </w:r>
      <w:r>
        <w:rPr>
          <w:vertAlign w:val="baseline"/>
        </w:rPr>
        <w:t>também irão produzir fatores de</w:t>
      </w:r>
      <w:r>
        <w:rPr>
          <w:spacing w:val="-2"/>
          <w:vertAlign w:val="baseline"/>
        </w:rPr>
        <w:t> </w:t>
      </w:r>
      <w:r>
        <w:rPr>
          <w:vertAlign w:val="baseline"/>
        </w:rPr>
        <w:t>crescimento, como o PDGF.</w:t>
      </w:r>
      <w:r>
        <w:rPr>
          <w:vertAlign w:val="superscript"/>
        </w:rPr>
        <w:t>33</w:t>
      </w:r>
    </w:p>
    <w:p>
      <w:pPr>
        <w:pStyle w:val="BodyText"/>
        <w:spacing w:before="182"/>
        <w:ind w:left="0" w:firstLine="0"/>
        <w:jc w:val="left"/>
      </w:pPr>
    </w:p>
    <w:p>
      <w:pPr>
        <w:pStyle w:val="Heading4"/>
        <w:jc w:val="both"/>
      </w:pPr>
      <w:r>
        <w:rPr>
          <w:color w:val="242B67"/>
        </w:rPr>
        <w:t>Anatomia da placa </w:t>
      </w:r>
      <w:r>
        <w:rPr>
          <w:color w:val="242B67"/>
          <w:spacing w:val="-2"/>
        </w:rPr>
        <w:t>aterosclerótica</w:t>
      </w:r>
    </w:p>
    <w:p>
      <w:pPr>
        <w:pStyle w:val="BodyText"/>
        <w:spacing w:line="280" w:lineRule="auto" w:before="132"/>
        <w:ind w:right="497"/>
      </w:pPr>
      <w:r>
        <w:rPr/>
        <w:t>A evolução da lesão aterosclerótica de estria gordurosa até placa fibrosa é bastante lenta. Estudos patológicos demonstraram, em homens e animais, que o crescimento da placa aterosclerótica ocorre inicialmente em direção à porção externa do vaso.</w:t>
      </w:r>
      <w:r>
        <w:rPr>
          <w:vertAlign w:val="superscript"/>
        </w:rPr>
        <w:t>34</w:t>
      </w:r>
      <w:r>
        <w:rPr>
          <w:vertAlign w:val="baseline"/>
        </w:rPr>
        <w:t> Glagov </w:t>
      </w:r>
      <w:r>
        <w:rPr>
          <w:i/>
          <w:vertAlign w:val="baseline"/>
        </w:rPr>
        <w:t>et al.</w:t>
      </w:r>
      <w:r>
        <w:rPr>
          <w:vertAlign w:val="superscript"/>
        </w:rPr>
        <w:t>35</w:t>
      </w:r>
      <w:r>
        <w:rPr>
          <w:vertAlign w:val="baseline"/>
        </w:rPr>
        <w:t> demonstraram remodelamento da parede arterial em placas ateroscleróticas, com</w:t>
      </w:r>
      <w:r>
        <w:rPr>
          <w:spacing w:val="-4"/>
          <w:vertAlign w:val="baseline"/>
        </w:rPr>
        <w:t> </w:t>
      </w:r>
      <w:r>
        <w:rPr>
          <w:vertAlign w:val="baseline"/>
        </w:rPr>
        <w:t>expansão</w:t>
      </w:r>
      <w:r>
        <w:rPr>
          <w:spacing w:val="-4"/>
          <w:vertAlign w:val="baseline"/>
        </w:rPr>
        <w:t> </w:t>
      </w:r>
      <w:r>
        <w:rPr>
          <w:vertAlign w:val="baseline"/>
        </w:rPr>
        <w:t>da</w:t>
      </w:r>
      <w:r>
        <w:rPr>
          <w:spacing w:val="-6"/>
          <w:vertAlign w:val="baseline"/>
        </w:rPr>
        <w:t> </w:t>
      </w:r>
      <w:r>
        <w:rPr>
          <w:vertAlign w:val="baseline"/>
        </w:rPr>
        <w:t>parede</w:t>
      </w:r>
      <w:r>
        <w:rPr>
          <w:spacing w:val="-6"/>
          <w:vertAlign w:val="baseline"/>
        </w:rPr>
        <w:t> </w:t>
      </w:r>
      <w:r>
        <w:rPr>
          <w:vertAlign w:val="baseline"/>
        </w:rPr>
        <w:t>no</w:t>
      </w:r>
      <w:r>
        <w:rPr>
          <w:spacing w:val="-4"/>
          <w:vertAlign w:val="baseline"/>
        </w:rPr>
        <w:t> </w:t>
      </w:r>
      <w:r>
        <w:rPr>
          <w:vertAlign w:val="baseline"/>
        </w:rPr>
        <w:t>sentido</w:t>
      </w:r>
      <w:r>
        <w:rPr>
          <w:spacing w:val="-4"/>
          <w:vertAlign w:val="baseline"/>
        </w:rPr>
        <w:t> </w:t>
      </w:r>
      <w:r>
        <w:rPr>
          <w:vertAlign w:val="baseline"/>
        </w:rPr>
        <w:t>externo</w:t>
      </w:r>
      <w:r>
        <w:rPr>
          <w:spacing w:val="-4"/>
          <w:vertAlign w:val="baseline"/>
        </w:rPr>
        <w:t> </w:t>
      </w:r>
      <w:r>
        <w:rPr>
          <w:vertAlign w:val="baseline"/>
        </w:rPr>
        <w:t>e</w:t>
      </w:r>
      <w:r>
        <w:rPr>
          <w:spacing w:val="-6"/>
          <w:vertAlign w:val="baseline"/>
        </w:rPr>
        <w:t> </w:t>
      </w:r>
      <w:r>
        <w:rPr>
          <w:vertAlign w:val="baseline"/>
        </w:rPr>
        <w:t>preservação</w:t>
      </w:r>
      <w:r>
        <w:rPr>
          <w:spacing w:val="-4"/>
          <w:vertAlign w:val="baseline"/>
        </w:rPr>
        <w:t> </w:t>
      </w:r>
      <w:r>
        <w:rPr>
          <w:vertAlign w:val="baseline"/>
        </w:rPr>
        <w:t>do</w:t>
      </w:r>
      <w:r>
        <w:rPr>
          <w:spacing w:val="-4"/>
          <w:vertAlign w:val="baseline"/>
        </w:rPr>
        <w:t> </w:t>
      </w:r>
      <w:r>
        <w:rPr>
          <w:vertAlign w:val="baseline"/>
        </w:rPr>
        <w:t>lúmen</w:t>
      </w:r>
      <w:r>
        <w:rPr>
          <w:spacing w:val="-4"/>
          <w:vertAlign w:val="baseline"/>
        </w:rPr>
        <w:t> </w:t>
      </w:r>
      <w:r>
        <w:rPr>
          <w:vertAlign w:val="baseline"/>
        </w:rPr>
        <w:t>no</w:t>
      </w:r>
      <w:r>
        <w:rPr>
          <w:spacing w:val="-4"/>
          <w:vertAlign w:val="baseline"/>
        </w:rPr>
        <w:t> </w:t>
      </w:r>
      <w:r>
        <w:rPr>
          <w:vertAlign w:val="baseline"/>
        </w:rPr>
        <w:t>início</w:t>
      </w:r>
      <w:r>
        <w:rPr>
          <w:spacing w:val="-4"/>
          <w:vertAlign w:val="baseline"/>
        </w:rPr>
        <w:t> </w:t>
      </w:r>
      <w:r>
        <w:rPr>
          <w:vertAlign w:val="baseline"/>
        </w:rPr>
        <w:t>do</w:t>
      </w:r>
      <w:r>
        <w:rPr>
          <w:spacing w:val="-4"/>
          <w:vertAlign w:val="baseline"/>
        </w:rPr>
        <w:t> </w:t>
      </w:r>
      <w:r>
        <w:rPr>
          <w:vertAlign w:val="baseline"/>
        </w:rPr>
        <w:t>processo. Logo, a placa</w:t>
      </w:r>
      <w:r>
        <w:rPr>
          <w:spacing w:val="-1"/>
          <w:vertAlign w:val="baseline"/>
        </w:rPr>
        <w:t> </w:t>
      </w:r>
      <w:r>
        <w:rPr>
          <w:vertAlign w:val="baseline"/>
        </w:rPr>
        <w:t>pode</w:t>
      </w:r>
      <w:r>
        <w:rPr>
          <w:spacing w:val="-1"/>
          <w:vertAlign w:val="baseline"/>
        </w:rPr>
        <w:t> </w:t>
      </w:r>
      <w:r>
        <w:rPr>
          <w:vertAlign w:val="baseline"/>
        </w:rPr>
        <w:t>passar anos nesse</w:t>
      </w:r>
      <w:r>
        <w:rPr>
          <w:spacing w:val="-1"/>
          <w:vertAlign w:val="baseline"/>
        </w:rPr>
        <w:t> </w:t>
      </w:r>
      <w:r>
        <w:rPr>
          <w:vertAlign w:val="baseline"/>
        </w:rPr>
        <w:t>processo contínuo de</w:t>
      </w:r>
      <w:r>
        <w:rPr>
          <w:spacing w:val="-1"/>
          <w:vertAlign w:val="baseline"/>
        </w:rPr>
        <w:t> </w:t>
      </w:r>
      <w:r>
        <w:rPr>
          <w:vertAlign w:val="baseline"/>
        </w:rPr>
        <w:t>remodelamento até</w:t>
      </w:r>
      <w:r>
        <w:rPr>
          <w:spacing w:val="-1"/>
          <w:vertAlign w:val="baseline"/>
        </w:rPr>
        <w:t> </w:t>
      </w:r>
      <w:r>
        <w:rPr>
          <w:vertAlign w:val="baseline"/>
        </w:rPr>
        <w:t>apresentar estenose</w:t>
      </w:r>
      <w:r>
        <w:rPr>
          <w:spacing w:val="-1"/>
          <w:vertAlign w:val="baseline"/>
        </w:rPr>
        <w:t> </w:t>
      </w:r>
      <w:r>
        <w:rPr>
          <w:vertAlign w:val="baseline"/>
        </w:rPr>
        <w:t>luminal.</w:t>
      </w:r>
    </w:p>
    <w:p>
      <w:pPr>
        <w:pStyle w:val="BodyText"/>
        <w:spacing w:line="283" w:lineRule="auto" w:before="54"/>
        <w:ind w:right="491"/>
      </w:pPr>
      <w:r>
        <w:rPr/>
        <w:t>A placa aterosclerótica madura apresenta, além de células, dois componentes estruturais distintos: um núcleo lipídico, pouco denso, e a capa fibrosa, que é seu componente fibrótico. Esse componente fibroso representa cerca de</w:t>
      </w:r>
      <w:r>
        <w:rPr>
          <w:spacing w:val="-3"/>
        </w:rPr>
        <w:t> </w:t>
      </w:r>
      <w:r>
        <w:rPr/>
        <w:t>70% do tamanho total da</w:t>
      </w:r>
      <w:r>
        <w:rPr>
          <w:spacing w:val="-3"/>
        </w:rPr>
        <w:t> </w:t>
      </w:r>
      <w:r>
        <w:rPr/>
        <w:t>placa,</w:t>
      </w:r>
      <w:r>
        <w:rPr>
          <w:vertAlign w:val="superscript"/>
        </w:rPr>
        <w:t>36</w:t>
      </w:r>
      <w:r>
        <w:rPr>
          <w:vertAlign w:val="baseline"/>
        </w:rPr>
        <w:t> e</w:t>
      </w:r>
      <w:r>
        <w:rPr>
          <w:spacing w:val="-3"/>
          <w:vertAlign w:val="baseline"/>
        </w:rPr>
        <w:t> </w:t>
      </w:r>
      <w:r>
        <w:rPr>
          <w:vertAlign w:val="baseline"/>
        </w:rPr>
        <w:t>quanto maior, menos propensa</w:t>
      </w:r>
      <w:r>
        <w:rPr>
          <w:spacing w:val="-3"/>
          <w:vertAlign w:val="baseline"/>
        </w:rPr>
        <w:t> </w:t>
      </w:r>
      <w:r>
        <w:rPr>
          <w:vertAlign w:val="baseline"/>
        </w:rPr>
        <w:t>ao rompimento é</w:t>
      </w:r>
      <w:r>
        <w:rPr>
          <w:spacing w:val="-3"/>
          <w:vertAlign w:val="baseline"/>
        </w:rPr>
        <w:t> </w:t>
      </w:r>
      <w:r>
        <w:rPr>
          <w:vertAlign w:val="baseline"/>
        </w:rPr>
        <w:t>a</w:t>
      </w:r>
      <w:r>
        <w:rPr>
          <w:spacing w:val="-3"/>
          <w:vertAlign w:val="baseline"/>
        </w:rPr>
        <w:t> </w:t>
      </w:r>
      <w:r>
        <w:rPr>
          <w:vertAlign w:val="baseline"/>
        </w:rPr>
        <w:t>placa</w:t>
      </w:r>
      <w:r>
        <w:rPr>
          <w:spacing w:val="-3"/>
          <w:vertAlign w:val="baseline"/>
        </w:rPr>
        <w:t> </w:t>
      </w:r>
      <w:r>
        <w:rPr>
          <w:vertAlign w:val="baseline"/>
        </w:rPr>
        <w:t>aterosclerótica.</w:t>
      </w:r>
    </w:p>
    <w:p>
      <w:pPr>
        <w:pStyle w:val="BodyText"/>
        <w:spacing w:line="276" w:lineRule="auto" w:before="41"/>
        <w:ind w:right="497"/>
      </w:pPr>
      <w:r>
        <w:rPr/>
        <w:t>A capa fibrosa é formada basicamente por células musculares lisas, matriz extracelular e células inflamatórias. A matriz consiste em colágeno, elastina, proteoglicanos e microfibrilas proteicas. Citocinas e fatores de crescimento regulam a síntese dos componentes da matriz. O colágeno, principal componente da matriz, tem sua síntese estimulada pelo fator de crescimento transformador beta (TGF-beta) e inibida por interferona gama.</w:t>
      </w:r>
    </w:p>
    <w:p>
      <w:pPr>
        <w:pStyle w:val="BodyText"/>
        <w:spacing w:line="278" w:lineRule="auto" w:before="64"/>
        <w:ind w:right="497"/>
      </w:pPr>
      <w:r>
        <w:rPr/>
        <w:t>O</w:t>
      </w:r>
      <w:r>
        <w:rPr>
          <w:spacing w:val="-1"/>
        </w:rPr>
        <w:t> </w:t>
      </w:r>
      <w:r>
        <w:rPr/>
        <w:t>núcleo lipídico é hipocelular e rico em lipídios extracelulares, principalmente cristais e ésteres de colesterol. Sua</w:t>
      </w:r>
      <w:r>
        <w:rPr>
          <w:spacing w:val="-6"/>
        </w:rPr>
        <w:t> </w:t>
      </w:r>
      <w:r>
        <w:rPr/>
        <w:t>patogênese</w:t>
      </w:r>
      <w:r>
        <w:rPr>
          <w:spacing w:val="-6"/>
        </w:rPr>
        <w:t> </w:t>
      </w:r>
      <w:r>
        <w:rPr/>
        <w:t>é</w:t>
      </w:r>
      <w:r>
        <w:rPr>
          <w:spacing w:val="-6"/>
        </w:rPr>
        <w:t> </w:t>
      </w:r>
      <w:r>
        <w:rPr/>
        <w:t>controversa, pois pode</w:t>
      </w:r>
      <w:r>
        <w:rPr>
          <w:spacing w:val="-6"/>
        </w:rPr>
        <w:t> </w:t>
      </w:r>
      <w:r>
        <w:rPr/>
        <w:t>derivar tanto</w:t>
      </w:r>
      <w:r>
        <w:rPr>
          <w:spacing w:val="-4"/>
        </w:rPr>
        <w:t> </w:t>
      </w:r>
      <w:r>
        <w:rPr/>
        <w:t>dos lipídios aprisionados no</w:t>
      </w:r>
      <w:r>
        <w:rPr>
          <w:spacing w:val="-4"/>
        </w:rPr>
        <w:t> </w:t>
      </w:r>
      <w:r>
        <w:rPr/>
        <w:t>extracelular como</w:t>
      </w:r>
      <w:r>
        <w:rPr>
          <w:spacing w:val="-4"/>
        </w:rPr>
        <w:t> </w:t>
      </w:r>
      <w:r>
        <w:rPr/>
        <w:t>da</w:t>
      </w:r>
      <w:r>
        <w:rPr>
          <w:spacing w:val="-6"/>
        </w:rPr>
        <w:t> </w:t>
      </w:r>
      <w:r>
        <w:rPr/>
        <w:t>necrose</w:t>
      </w:r>
      <w:r>
        <w:rPr>
          <w:spacing w:val="-6"/>
        </w:rPr>
        <w:t> </w:t>
      </w:r>
      <w:r>
        <w:rPr/>
        <w:t>ou apoptose</w:t>
      </w:r>
      <w:r>
        <w:rPr>
          <w:spacing w:val="-8"/>
        </w:rPr>
        <w:t> </w:t>
      </w:r>
      <w:r>
        <w:rPr/>
        <w:t>das células espumosas.</w:t>
      </w:r>
      <w:r>
        <w:rPr>
          <w:vertAlign w:val="superscript"/>
        </w:rPr>
        <w:t>37</w:t>
      </w:r>
      <w:r>
        <w:rPr>
          <w:vertAlign w:val="baseline"/>
        </w:rPr>
        <w:t> O</w:t>
      </w:r>
      <w:r>
        <w:rPr>
          <w:spacing w:val="-6"/>
          <w:vertAlign w:val="baseline"/>
        </w:rPr>
        <w:t> </w:t>
      </w:r>
      <w:r>
        <w:rPr>
          <w:vertAlign w:val="baseline"/>
        </w:rPr>
        <w:t>conteúdo</w:t>
      </w:r>
      <w:r>
        <w:rPr>
          <w:spacing w:val="-3"/>
          <w:vertAlign w:val="baseline"/>
        </w:rPr>
        <w:t> </w:t>
      </w:r>
      <w:r>
        <w:rPr>
          <w:vertAlign w:val="baseline"/>
        </w:rPr>
        <w:t>desse</w:t>
      </w:r>
      <w:r>
        <w:rPr>
          <w:spacing w:val="-5"/>
          <w:vertAlign w:val="baseline"/>
        </w:rPr>
        <w:t> </w:t>
      </w:r>
      <w:r>
        <w:rPr>
          <w:vertAlign w:val="baseline"/>
        </w:rPr>
        <w:t>núcleo</w:t>
      </w:r>
      <w:r>
        <w:rPr>
          <w:spacing w:val="-3"/>
          <w:vertAlign w:val="baseline"/>
        </w:rPr>
        <w:t> </w:t>
      </w:r>
      <w:r>
        <w:rPr>
          <w:vertAlign w:val="baseline"/>
        </w:rPr>
        <w:t>lipídico</w:t>
      </w:r>
      <w:r>
        <w:rPr>
          <w:spacing w:val="-3"/>
          <w:vertAlign w:val="baseline"/>
        </w:rPr>
        <w:t> </w:t>
      </w:r>
      <w:r>
        <w:rPr>
          <w:vertAlign w:val="baseline"/>
        </w:rPr>
        <w:t>é</w:t>
      </w:r>
      <w:r>
        <w:rPr>
          <w:spacing w:val="-5"/>
          <w:vertAlign w:val="baseline"/>
        </w:rPr>
        <w:t> </w:t>
      </w:r>
      <w:r>
        <w:rPr>
          <w:vertAlign w:val="baseline"/>
        </w:rPr>
        <w:t>altamente</w:t>
      </w:r>
      <w:r>
        <w:rPr>
          <w:spacing w:val="-5"/>
          <w:vertAlign w:val="baseline"/>
        </w:rPr>
        <w:t> </w:t>
      </w:r>
      <w:r>
        <w:rPr>
          <w:vertAlign w:val="baseline"/>
        </w:rPr>
        <w:t>trombogênico. Quando</w:t>
      </w:r>
      <w:r>
        <w:rPr>
          <w:spacing w:val="-3"/>
          <w:vertAlign w:val="baseline"/>
        </w:rPr>
        <w:t> </w:t>
      </w:r>
      <w:r>
        <w:rPr>
          <w:vertAlign w:val="baseline"/>
        </w:rPr>
        <w:t>em</w:t>
      </w:r>
      <w:r>
        <w:rPr>
          <w:spacing w:val="-3"/>
          <w:vertAlign w:val="baseline"/>
        </w:rPr>
        <w:t> </w:t>
      </w:r>
      <w:r>
        <w:rPr>
          <w:vertAlign w:val="baseline"/>
        </w:rPr>
        <w:t>contato com a corrente sanguínea, por ruptura da capa fibrosa ou erosão endotelial, ocorrem os fenômenos de adesão e agregação plaquetária, produção de trombina e fibrina, com formação de trombo sobrejacente, que representa o ponto inicial comum das síndromes isquêmicas coronarianas agudas.</w:t>
      </w:r>
    </w:p>
    <w:p>
      <w:pPr>
        <w:pStyle w:val="BodyText"/>
        <w:spacing w:before="187"/>
        <w:ind w:left="0" w:firstLine="0"/>
        <w:jc w:val="left"/>
      </w:pPr>
    </w:p>
    <w:p>
      <w:pPr>
        <w:pStyle w:val="Heading4"/>
        <w:jc w:val="both"/>
      </w:pPr>
      <w:r>
        <w:rPr>
          <w:color w:val="242B67"/>
        </w:rPr>
        <w:t>Instabilização da placa </w:t>
      </w:r>
      <w:r>
        <w:rPr>
          <w:color w:val="242B67"/>
          <w:spacing w:val="-2"/>
        </w:rPr>
        <w:t>aterosclerótica</w:t>
      </w:r>
    </w:p>
    <w:p>
      <w:pPr>
        <w:pStyle w:val="BodyText"/>
        <w:spacing w:line="280" w:lineRule="auto" w:before="132"/>
        <w:ind w:right="491"/>
      </w:pPr>
      <w:r>
        <w:rPr/>
        <w:t>De fato, a placa aterosclerótica pode permanecer clinicamente silente por décadas. Repentinamente, a lesão clinicamente silente pode desencadear manifestação aguda de aterosclerose, tal como infarto agudo do miocárdio (IAM), angina ou AVC. Trabalhos recentes buscaram esclarecer os mecanismos moleculares que ocasionariam a transição de uma placa crônica para a sua agudização.</w:t>
      </w:r>
      <w:r>
        <w:rPr>
          <w:vertAlign w:val="superscript"/>
        </w:rPr>
        <w:t>38</w:t>
      </w:r>
      <w:r>
        <w:rPr>
          <w:vertAlign w:val="baseline"/>
        </w:rPr>
        <w:t> As evidências encontradas sugerem a ocorrência de trombose como a causa da maioria das manifestações agudas da aterosclerose. Antigamente, acreditava-se que artérias com estenoses de alto grau provocassem trombose, que por sua vez causaria as manifestações agudas da aterosclerose. Atualmente, assume-se que o grau de obstrução luminal ocasionada pelo ateroma exibe pouca correlação com sua propensão a ocasionar trombose.</w:t>
      </w:r>
      <w:r>
        <w:rPr>
          <w:vertAlign w:val="superscript"/>
        </w:rPr>
        <w:t>39</w:t>
      </w:r>
      <w:r>
        <w:rPr>
          <w:vertAlign w:val="baseline"/>
        </w:rPr>
        <w:t> Conforme demonstrado angiograficamente, muitos IAM originam-se</w:t>
      </w:r>
      <w:r>
        <w:rPr>
          <w:spacing w:val="-1"/>
          <w:vertAlign w:val="baseline"/>
        </w:rPr>
        <w:t> </w:t>
      </w:r>
      <w:r>
        <w:rPr>
          <w:vertAlign w:val="baseline"/>
        </w:rPr>
        <w:t>de</w:t>
      </w:r>
      <w:r>
        <w:rPr>
          <w:spacing w:val="-1"/>
          <w:vertAlign w:val="baseline"/>
        </w:rPr>
        <w:t> </w:t>
      </w:r>
      <w:r>
        <w:rPr>
          <w:vertAlign w:val="baseline"/>
        </w:rPr>
        <w:t>lesões arteriais que</w:t>
      </w:r>
      <w:r>
        <w:rPr>
          <w:spacing w:val="-1"/>
          <w:vertAlign w:val="baseline"/>
        </w:rPr>
        <w:t> </w:t>
      </w:r>
      <w:r>
        <w:rPr>
          <w:vertAlign w:val="baseline"/>
        </w:rPr>
        <w:t>produzem pouco ou nenhum estreitamento do diâmetro arterial.</w:t>
      </w:r>
    </w:p>
    <w:p>
      <w:pPr>
        <w:pStyle w:val="BodyText"/>
        <w:spacing w:line="280" w:lineRule="auto" w:before="49"/>
        <w:ind w:right="497"/>
      </w:pPr>
      <w:r>
        <w:rPr/>
        <w:t>A formação do trombo parece estar relacionada com a ruptura do ateroma, ocasionada principalmente por estresse</w:t>
      </w:r>
      <w:r>
        <w:rPr>
          <w:spacing w:val="-6"/>
        </w:rPr>
        <w:t> </w:t>
      </w:r>
      <w:r>
        <w:rPr/>
        <w:t>físico. Além</w:t>
      </w:r>
      <w:r>
        <w:rPr>
          <w:spacing w:val="-3"/>
        </w:rPr>
        <w:t> </w:t>
      </w:r>
      <w:r>
        <w:rPr/>
        <w:t>disso, o</w:t>
      </w:r>
      <w:r>
        <w:rPr>
          <w:spacing w:val="-3"/>
        </w:rPr>
        <w:t> </w:t>
      </w:r>
      <w:r>
        <w:rPr/>
        <w:t>estresse</w:t>
      </w:r>
      <w:r>
        <w:rPr>
          <w:spacing w:val="-6"/>
        </w:rPr>
        <w:t> </w:t>
      </w:r>
      <w:r>
        <w:rPr/>
        <w:t>mecânico</w:t>
      </w:r>
      <w:r>
        <w:rPr>
          <w:spacing w:val="-3"/>
        </w:rPr>
        <w:t> </w:t>
      </w:r>
      <w:r>
        <w:rPr/>
        <w:t>imposto</w:t>
      </w:r>
      <w:r>
        <w:rPr>
          <w:spacing w:val="-3"/>
        </w:rPr>
        <w:t> </w:t>
      </w:r>
      <w:r>
        <w:rPr/>
        <w:t>ao</w:t>
      </w:r>
      <w:r>
        <w:rPr>
          <w:spacing w:val="-3"/>
        </w:rPr>
        <w:t> </w:t>
      </w:r>
      <w:r>
        <w:rPr/>
        <w:t>ateroma</w:t>
      </w:r>
      <w:r>
        <w:rPr>
          <w:spacing w:val="-6"/>
        </w:rPr>
        <w:t> </w:t>
      </w:r>
      <w:r>
        <w:rPr/>
        <w:t>parece</w:t>
      </w:r>
      <w:r>
        <w:rPr>
          <w:spacing w:val="-6"/>
        </w:rPr>
        <w:t> </w:t>
      </w:r>
      <w:r>
        <w:rPr/>
        <w:t>ser maior no</w:t>
      </w:r>
      <w:r>
        <w:rPr>
          <w:spacing w:val="-3"/>
        </w:rPr>
        <w:t> </w:t>
      </w:r>
      <w:r>
        <w:rPr/>
        <w:t>caso</w:t>
      </w:r>
      <w:r>
        <w:rPr>
          <w:spacing w:val="-3"/>
        </w:rPr>
        <w:t> </w:t>
      </w:r>
      <w:r>
        <w:rPr/>
        <w:t>de</w:t>
      </w:r>
      <w:r>
        <w:rPr>
          <w:spacing w:val="-6"/>
        </w:rPr>
        <w:t> </w:t>
      </w:r>
      <w:r>
        <w:rPr/>
        <w:t>lesões menores do que no de lesões maiores. A alteração da placa ocasionando trombose pode ser também uma erosão superficial, expondo colágeno (que</w:t>
      </w:r>
      <w:r>
        <w:rPr>
          <w:spacing w:val="-2"/>
        </w:rPr>
        <w:t> </w:t>
      </w:r>
      <w:r>
        <w:rPr/>
        <w:t>é</w:t>
      </w:r>
      <w:r>
        <w:rPr>
          <w:spacing w:val="-2"/>
        </w:rPr>
        <w:t> </w:t>
      </w:r>
      <w:r>
        <w:rPr/>
        <w:t>trombogênico) da</w:t>
      </w:r>
      <w:r>
        <w:rPr>
          <w:spacing w:val="-2"/>
        </w:rPr>
        <w:t> </w:t>
      </w:r>
      <w:r>
        <w:rPr/>
        <w:t>membrana</w:t>
      </w:r>
      <w:r>
        <w:rPr>
          <w:spacing w:val="-2"/>
        </w:rPr>
        <w:t> </w:t>
      </w:r>
      <w:r>
        <w:rPr/>
        <w:t>basal da</w:t>
      </w:r>
      <w:r>
        <w:rPr>
          <w:spacing w:val="-2"/>
        </w:rPr>
        <w:t> </w:t>
      </w:r>
      <w:r>
        <w:rPr/>
        <w:t>camada</w:t>
      </w:r>
      <w:r>
        <w:rPr>
          <w:spacing w:val="-2"/>
        </w:rPr>
        <w:t> </w:t>
      </w:r>
      <w:r>
        <w:rPr/>
        <w:t>íntima. Adicionalmente, a</w:t>
      </w:r>
      <w:r>
        <w:rPr>
          <w:spacing w:val="-2"/>
        </w:rPr>
        <w:t> </w:t>
      </w:r>
      <w:r>
        <w:rPr/>
        <w:t>ruptura</w:t>
      </w:r>
      <w:r>
        <w:rPr>
          <w:spacing w:val="-2"/>
        </w:rPr>
        <w:t> </w:t>
      </w:r>
      <w:r>
        <w:rPr/>
        <w:t>da</w:t>
      </w:r>
      <w:r>
        <w:rPr>
          <w:spacing w:val="-2"/>
        </w:rPr>
        <w:t> </w:t>
      </w:r>
      <w:r>
        <w:rPr/>
        <w:t>placa fibrosa pode propiciar contato do sangue com material trombogênico, como o fator tecidual, por exemplo, que é elaborado</w:t>
      </w:r>
      <w:r>
        <w:rPr>
          <w:spacing w:val="-3"/>
        </w:rPr>
        <w:t> </w:t>
      </w:r>
      <w:r>
        <w:rPr/>
        <w:t>por macrófagos dentro</w:t>
      </w:r>
      <w:r>
        <w:rPr>
          <w:spacing w:val="-3"/>
        </w:rPr>
        <w:t> </w:t>
      </w:r>
      <w:r>
        <w:rPr/>
        <w:t>do</w:t>
      </w:r>
      <w:r>
        <w:rPr>
          <w:spacing w:val="-3"/>
        </w:rPr>
        <w:t> </w:t>
      </w:r>
      <w:r>
        <w:rPr/>
        <w:t>núcleo</w:t>
      </w:r>
      <w:r>
        <w:rPr>
          <w:spacing w:val="-3"/>
        </w:rPr>
        <w:t> </w:t>
      </w:r>
      <w:r>
        <w:rPr/>
        <w:t>lipídico</w:t>
      </w:r>
      <w:r>
        <w:rPr>
          <w:spacing w:val="-3"/>
        </w:rPr>
        <w:t> </w:t>
      </w:r>
      <w:r>
        <w:rPr/>
        <w:t>da</w:t>
      </w:r>
      <w:r>
        <w:rPr>
          <w:spacing w:val="-6"/>
        </w:rPr>
        <w:t> </w:t>
      </w:r>
      <w:r>
        <w:rPr/>
        <w:t>placa.</w:t>
      </w:r>
      <w:r>
        <w:rPr>
          <w:vertAlign w:val="superscript"/>
        </w:rPr>
        <w:t>40</w:t>
      </w:r>
      <w:r>
        <w:rPr>
          <w:vertAlign w:val="baseline"/>
        </w:rPr>
        <w:t> Na</w:t>
      </w:r>
      <w:r>
        <w:rPr>
          <w:spacing w:val="-4"/>
          <w:vertAlign w:val="baseline"/>
        </w:rPr>
        <w:t> </w:t>
      </w:r>
      <w:r>
        <w:rPr>
          <w:vertAlign w:val="baseline"/>
        </w:rPr>
        <w:t>maioria</w:t>
      </w:r>
      <w:r>
        <w:rPr>
          <w:spacing w:val="-4"/>
          <w:vertAlign w:val="baseline"/>
        </w:rPr>
        <w:t> </w:t>
      </w:r>
      <w:r>
        <w:rPr>
          <w:vertAlign w:val="baseline"/>
        </w:rPr>
        <w:t>dos IAM, uma</w:t>
      </w:r>
      <w:r>
        <w:rPr>
          <w:spacing w:val="-4"/>
          <w:vertAlign w:val="baseline"/>
        </w:rPr>
        <w:t> </w:t>
      </w:r>
      <w:r>
        <w:rPr>
          <w:vertAlign w:val="baseline"/>
        </w:rPr>
        <w:t>placa</w:t>
      </w:r>
      <w:r>
        <w:rPr>
          <w:spacing w:val="-4"/>
          <w:vertAlign w:val="baseline"/>
        </w:rPr>
        <w:t> </w:t>
      </w:r>
      <w:r>
        <w:rPr>
          <w:vertAlign w:val="baseline"/>
        </w:rPr>
        <w:t>com</w:t>
      </w:r>
      <w:r>
        <w:rPr>
          <w:spacing w:val="-1"/>
          <w:vertAlign w:val="baseline"/>
        </w:rPr>
        <w:t> </w:t>
      </w:r>
      <w:r>
        <w:rPr>
          <w:vertAlign w:val="baseline"/>
        </w:rPr>
        <w:t>a</w:t>
      </w:r>
      <w:r>
        <w:rPr>
          <w:spacing w:val="-4"/>
          <w:vertAlign w:val="baseline"/>
        </w:rPr>
        <w:t> </w:t>
      </w:r>
      <w:r>
        <w:rPr>
          <w:vertAlign w:val="baseline"/>
        </w:rPr>
        <w:t>capa</w:t>
      </w:r>
      <w:r>
        <w:rPr>
          <w:spacing w:val="-4"/>
          <w:vertAlign w:val="baseline"/>
        </w:rPr>
        <w:t> </w:t>
      </w:r>
      <w:r>
        <w:rPr>
          <w:vertAlign w:val="baseline"/>
        </w:rPr>
        <w:t>fibrosa rompida ou que sofreu erosão aparece na base de um trombo oclusivo.</w:t>
      </w:r>
      <w:r>
        <w:rPr>
          <w:vertAlign w:val="superscript"/>
        </w:rPr>
        <w:t>41</w:t>
      </w:r>
    </w:p>
    <w:p>
      <w:pPr>
        <w:pStyle w:val="BodyText"/>
        <w:spacing w:line="278" w:lineRule="auto" w:before="61"/>
        <w:ind w:right="497"/>
      </w:pPr>
      <w:r>
        <w:rPr/>
        <w:t>A</w:t>
      </w:r>
      <w:r>
        <w:rPr>
          <w:spacing w:val="-2"/>
        </w:rPr>
        <w:t> </w:t>
      </w:r>
      <w:r>
        <w:rPr/>
        <w:t>quantidade</w:t>
      </w:r>
      <w:r>
        <w:rPr>
          <w:spacing w:val="-2"/>
        </w:rPr>
        <w:t> </w:t>
      </w:r>
      <w:r>
        <w:rPr/>
        <w:t>de</w:t>
      </w:r>
      <w:r>
        <w:rPr>
          <w:spacing w:val="-2"/>
        </w:rPr>
        <w:t> </w:t>
      </w:r>
      <w:r>
        <w:rPr/>
        <w:t>colágeno na</w:t>
      </w:r>
      <w:r>
        <w:rPr>
          <w:spacing w:val="-2"/>
        </w:rPr>
        <w:t> </w:t>
      </w:r>
      <w:r>
        <w:rPr/>
        <w:t>capa</w:t>
      </w:r>
      <w:r>
        <w:rPr>
          <w:spacing w:val="-2"/>
        </w:rPr>
        <w:t> </w:t>
      </w:r>
      <w:r>
        <w:rPr/>
        <w:t>fibrosa, determinante</w:t>
      </w:r>
      <w:r>
        <w:rPr>
          <w:spacing w:val="-2"/>
        </w:rPr>
        <w:t> </w:t>
      </w:r>
      <w:r>
        <w:rPr/>
        <w:t>da</w:t>
      </w:r>
      <w:r>
        <w:rPr>
          <w:spacing w:val="-2"/>
        </w:rPr>
        <w:t> </w:t>
      </w:r>
      <w:r>
        <w:rPr/>
        <w:t>força</w:t>
      </w:r>
      <w:r>
        <w:rPr>
          <w:spacing w:val="-2"/>
        </w:rPr>
        <w:t> </w:t>
      </w:r>
      <w:r>
        <w:rPr/>
        <w:t>tênsil da</w:t>
      </w:r>
      <w:r>
        <w:rPr>
          <w:spacing w:val="-2"/>
        </w:rPr>
        <w:t> </w:t>
      </w:r>
      <w:r>
        <w:rPr/>
        <w:t>placa, também depende</w:t>
      </w:r>
      <w:r>
        <w:rPr>
          <w:spacing w:val="-2"/>
        </w:rPr>
        <w:t> </w:t>
      </w:r>
      <w:r>
        <w:rPr/>
        <w:t>de</w:t>
      </w:r>
      <w:r>
        <w:rPr>
          <w:spacing w:val="-2"/>
        </w:rPr>
        <w:t> </w:t>
      </w:r>
      <w:r>
        <w:rPr/>
        <w:t>processos de degradação. Várias enzimas especializadas podem degradar colágeno, elastina e outros constituintes da matriz extracelular arterial. Leucócitos e</w:t>
      </w:r>
      <w:r>
        <w:rPr>
          <w:spacing w:val="-6"/>
        </w:rPr>
        <w:t> </w:t>
      </w:r>
      <w:r>
        <w:rPr/>
        <w:t>células musculares lisas dentro</w:t>
      </w:r>
      <w:r>
        <w:rPr>
          <w:spacing w:val="-4"/>
        </w:rPr>
        <w:t> </w:t>
      </w:r>
      <w:r>
        <w:rPr/>
        <w:t>do</w:t>
      </w:r>
      <w:r>
        <w:rPr>
          <w:spacing w:val="-4"/>
        </w:rPr>
        <w:t> </w:t>
      </w:r>
      <w:r>
        <w:rPr/>
        <w:t>ateroma</w:t>
      </w:r>
      <w:r>
        <w:rPr>
          <w:spacing w:val="-6"/>
        </w:rPr>
        <w:t> </w:t>
      </w:r>
      <w:r>
        <w:rPr/>
        <w:t>podem</w:t>
      </w:r>
      <w:r>
        <w:rPr>
          <w:spacing w:val="-4"/>
        </w:rPr>
        <w:t> </w:t>
      </w:r>
      <w:r>
        <w:rPr/>
        <w:t>produzir algumas das enzimas que degradam a matriz extracelular. Estudos </w:t>
      </w:r>
      <w:r>
        <w:rPr>
          <w:i/>
        </w:rPr>
        <w:t>in vitro </w:t>
      </w:r>
      <w:r>
        <w:rPr/>
        <w:t>evidenciaram que mediadores inflamatórios, tais como as citocinas, podem regular a expressão de genes que codificam metaloproteinases da matriz.</w:t>
      </w:r>
      <w:r>
        <w:rPr>
          <w:vertAlign w:val="superscript"/>
        </w:rPr>
        <w:t>42</w:t>
      </w:r>
      <w:r>
        <w:rPr>
          <w:vertAlign w:val="baseline"/>
        </w:rPr>
        <w:t> Recentemente, foi demonstrada a existência de potentes elastases e catepsinas em macrófagos e células musculares lisas em placas ateroscleróticas humanas avançadas. Além disso, patologistas categorizam as placas como aquelas exibindo sinais</w:t>
      </w:r>
    </w:p>
    <w:p>
      <w:pPr>
        <w:pStyle w:val="BodyText"/>
        <w:spacing w:after="0" w:line="278" w:lineRule="auto"/>
        <w:sectPr>
          <w:pgSz w:w="11900" w:h="16840"/>
          <w:pgMar w:top="220" w:bottom="280" w:left="566" w:right="141"/>
        </w:sectPr>
      </w:pPr>
    </w:p>
    <w:p>
      <w:pPr>
        <w:pStyle w:val="BodyText"/>
        <w:spacing w:line="283" w:lineRule="auto" w:before="74"/>
        <w:ind w:right="498" w:firstLine="0"/>
      </w:pPr>
      <w:r>
        <w:rPr/>
        <w:t>de</w:t>
      </w:r>
      <w:r>
        <w:rPr>
          <w:spacing w:val="-9"/>
        </w:rPr>
        <w:t> </w:t>
      </w:r>
      <w:r>
        <w:rPr/>
        <w:t>estabilidade</w:t>
      </w:r>
      <w:r>
        <w:rPr>
          <w:spacing w:val="-9"/>
        </w:rPr>
        <w:t> </w:t>
      </w:r>
      <w:r>
        <w:rPr/>
        <w:t>(principalmente</w:t>
      </w:r>
      <w:r>
        <w:rPr>
          <w:spacing w:val="-9"/>
        </w:rPr>
        <w:t> </w:t>
      </w:r>
      <w:r>
        <w:rPr/>
        <w:t>uma</w:t>
      </w:r>
      <w:r>
        <w:rPr>
          <w:spacing w:val="-9"/>
        </w:rPr>
        <w:t> </w:t>
      </w:r>
      <w:r>
        <w:rPr/>
        <w:t>capa</w:t>
      </w:r>
      <w:r>
        <w:rPr>
          <w:spacing w:val="-9"/>
        </w:rPr>
        <w:t> </w:t>
      </w:r>
      <w:r>
        <w:rPr/>
        <w:t>fibrosa</w:t>
      </w:r>
      <w:r>
        <w:rPr>
          <w:spacing w:val="-9"/>
        </w:rPr>
        <w:t> </w:t>
      </w:r>
      <w:r>
        <w:rPr/>
        <w:t>espessa)</w:t>
      </w:r>
      <w:r>
        <w:rPr>
          <w:spacing w:val="-1"/>
        </w:rPr>
        <w:t> </w:t>
      </w:r>
      <w:r>
        <w:rPr/>
        <w:t>e</w:t>
      </w:r>
      <w:r>
        <w:rPr>
          <w:spacing w:val="-9"/>
        </w:rPr>
        <w:t> </w:t>
      </w:r>
      <w:r>
        <w:rPr/>
        <w:t>aquelas vulneráveis à</w:t>
      </w:r>
      <w:r>
        <w:rPr>
          <w:spacing w:val="-9"/>
        </w:rPr>
        <w:t> </w:t>
      </w:r>
      <w:r>
        <w:rPr/>
        <w:t>ruptura</w:t>
      </w:r>
      <w:r>
        <w:rPr>
          <w:spacing w:val="-9"/>
        </w:rPr>
        <w:t> </w:t>
      </w:r>
      <w:r>
        <w:rPr/>
        <w:t>(aquelas que</w:t>
      </w:r>
      <w:r>
        <w:rPr>
          <w:spacing w:val="-9"/>
        </w:rPr>
        <w:t> </w:t>
      </w:r>
      <w:r>
        <w:rPr/>
        <w:t>exibem</w:t>
      </w:r>
      <w:r>
        <w:rPr>
          <w:spacing w:val="-6"/>
        </w:rPr>
        <w:t> </w:t>
      </w:r>
      <w:r>
        <w:rPr/>
        <w:t>capa fibrosa fina e escasso esqueleto de colágeno ao exame patológico).</w:t>
      </w:r>
    </w:p>
    <w:p>
      <w:pPr>
        <w:pStyle w:val="BodyText"/>
        <w:spacing w:line="276" w:lineRule="auto" w:before="41"/>
        <w:ind w:right="491"/>
      </w:pPr>
      <w:r>
        <w:rPr/>
        <w:t>Assim, passa-se a entender a aterosclerose não apenas como consequência de distúrbios no metabolismo lipídico, mas como um processo complexo, que envolve a participação do sistema inflamatório e a ocorrência de disfunção endotelial. Esse recente aprendizado a respeito da fisiopatologia da aterosclerose possibilita a realização de</w:t>
      </w:r>
      <w:r>
        <w:rPr>
          <w:spacing w:val="-4"/>
        </w:rPr>
        <w:t> </w:t>
      </w:r>
      <w:r>
        <w:rPr/>
        <w:t>estudos a</w:t>
      </w:r>
      <w:r>
        <w:rPr>
          <w:spacing w:val="-4"/>
        </w:rPr>
        <w:t> </w:t>
      </w:r>
      <w:r>
        <w:rPr/>
        <w:t>respeito</w:t>
      </w:r>
      <w:r>
        <w:rPr>
          <w:spacing w:val="-1"/>
        </w:rPr>
        <w:t> </w:t>
      </w:r>
      <w:r>
        <w:rPr/>
        <w:t>de</w:t>
      </w:r>
      <w:r>
        <w:rPr>
          <w:spacing w:val="-4"/>
        </w:rPr>
        <w:t> </w:t>
      </w:r>
      <w:r>
        <w:rPr/>
        <w:t>novos tratamentos e</w:t>
      </w:r>
      <w:r>
        <w:rPr>
          <w:spacing w:val="-4"/>
        </w:rPr>
        <w:t> </w:t>
      </w:r>
      <w:r>
        <w:rPr/>
        <w:t>medidas preventivas no</w:t>
      </w:r>
      <w:r>
        <w:rPr>
          <w:spacing w:val="-1"/>
        </w:rPr>
        <w:t> </w:t>
      </w:r>
      <w:r>
        <w:rPr/>
        <w:t>campo</w:t>
      </w:r>
      <w:r>
        <w:rPr>
          <w:spacing w:val="-1"/>
        </w:rPr>
        <w:t> </w:t>
      </w:r>
      <w:r>
        <w:rPr/>
        <w:t>da</w:t>
      </w:r>
      <w:r>
        <w:rPr>
          <w:spacing w:val="-4"/>
        </w:rPr>
        <w:t> </w:t>
      </w:r>
      <w:r>
        <w:rPr/>
        <w:t>doença</w:t>
      </w:r>
      <w:r>
        <w:rPr>
          <w:spacing w:val="-4"/>
        </w:rPr>
        <w:t> </w:t>
      </w:r>
      <w:r>
        <w:rPr/>
        <w:t>arterial coronariana.</w:t>
      </w:r>
    </w:p>
    <w:p>
      <w:pPr>
        <w:pStyle w:val="BodyText"/>
        <w:spacing w:after="0" w:line="276" w:lineRule="auto"/>
        <w:sectPr>
          <w:pgSz w:w="11900" w:h="16840"/>
          <w:pgMar w:top="220" w:bottom="280" w:left="566" w:right="141"/>
        </w:sectPr>
      </w:pPr>
    </w:p>
    <w:p>
      <w:pPr>
        <w:pStyle w:val="Heading1"/>
      </w:pPr>
      <w:r>
        <w:rPr>
          <w:color w:val="A26108"/>
        </w:rPr>
        <w:t>Capítulo</w:t>
      </w:r>
      <w:r>
        <w:rPr>
          <w:color w:val="A26108"/>
          <w:spacing w:val="24"/>
        </w:rPr>
        <w:t> </w:t>
      </w:r>
      <w:r>
        <w:rPr>
          <w:color w:val="A26108"/>
          <w:spacing w:val="-5"/>
        </w:rPr>
        <w:t>54</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598080">
                <wp:simplePos x="0" y="0"/>
                <wp:positionH relativeFrom="page">
                  <wp:posOffset>401543</wp:posOffset>
                </wp:positionH>
                <wp:positionV relativeFrom="paragraph">
                  <wp:posOffset>64325</wp:posOffset>
                </wp:positionV>
                <wp:extent cx="6753225" cy="1079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718400;mso-wrap-distance-left:0;mso-wrap-distance-right:0" id="docshape15" filled="true" fillcolor="#242b67" stroked="false">
                <v:fill type="solid"/>
                <w10:wrap type="topAndBottom"/>
              </v:rect>
            </w:pict>
          </mc:Fallback>
        </mc:AlternateContent>
      </w:r>
    </w:p>
    <w:p>
      <w:pPr>
        <w:pStyle w:val="Heading1"/>
        <w:spacing w:line="273" w:lineRule="auto" w:before="138" w:after="19"/>
      </w:pPr>
      <w:r>
        <w:rPr>
          <w:color w:val="A26108"/>
        </w:rPr>
        <w:t>Prevenção e Tratamento da </w:t>
      </w:r>
      <w:r>
        <w:rPr>
          <w:color w:val="A26108"/>
        </w:rPr>
        <w:t>Doença </w:t>
      </w:r>
      <w:r>
        <w:rPr>
          <w:color w:val="A26108"/>
          <w:spacing w:val="-2"/>
        </w:rPr>
        <w:t>Aterosclerótica</w:t>
      </w:r>
    </w:p>
    <w:p>
      <w:pPr>
        <w:spacing w:line="20" w:lineRule="exact"/>
        <w:ind w:left="66" w:right="0" w:firstLine="0"/>
        <w:rPr>
          <w:rFonts w:ascii="Microsoft Sans Serif"/>
          <w:sz w:val="2"/>
        </w:rPr>
      </w:pPr>
      <w:r>
        <w:rPr>
          <w:rFonts w:ascii="Microsoft Sans Serif"/>
          <w:sz w:val="2"/>
        </w:rPr>
        <mc:AlternateContent>
          <mc:Choice Requires="wps">
            <w:drawing>
              <wp:inline distT="0" distB="0" distL="0" distR="0">
                <wp:extent cx="6753225" cy="10795"/>
                <wp:effectExtent l="0" t="0" r="0" b="0"/>
                <wp:docPr id="24" name="Group 24"/>
                <wp:cNvGraphicFramePr>
                  <a:graphicFrameLocks/>
                </wp:cNvGraphicFramePr>
                <a:graphic>
                  <a:graphicData uri="http://schemas.microsoft.com/office/word/2010/wordprocessingGroup">
                    <wpg:wgp>
                      <wpg:cNvPr id="24" name="Group 24"/>
                      <wpg:cNvGrpSpPr/>
                      <wpg:grpSpPr>
                        <a:xfrm>
                          <a:off x="0" y="0"/>
                          <a:ext cx="6753225" cy="10795"/>
                          <a:chExt cx="6753225" cy="10795"/>
                        </a:xfrm>
                      </wpg:grpSpPr>
                      <wps:wsp>
                        <wps:cNvPr id="25" name="Graphic 25"/>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wpg:wgp>
                  </a:graphicData>
                </a:graphic>
              </wp:inline>
            </w:drawing>
          </mc:Choice>
          <mc:Fallback>
            <w:pict>
              <v:group style="width:531.75pt;height:.85pt;mso-position-horizontal-relative:char;mso-position-vertical-relative:line" id="docshapegroup16" coordorigin="0,0" coordsize="10635,17">
                <v:rect style="position:absolute;left:0;top:0;width:10635;height:17" id="docshape17" filled="true" fillcolor="#242b67" stroked="false">
                  <v:fill type="solid"/>
                </v:rect>
              </v:group>
            </w:pict>
          </mc:Fallback>
        </mc:AlternateContent>
      </w:r>
      <w:r>
        <w:rPr>
          <w:rFonts w:ascii="Microsoft Sans Serif"/>
          <w:sz w:val="2"/>
        </w:rPr>
      </w:r>
    </w:p>
    <w:p>
      <w:pPr>
        <w:spacing w:before="114"/>
        <w:ind w:left="68" w:right="0" w:firstLine="0"/>
        <w:jc w:val="left"/>
        <w:rPr>
          <w:rFonts w:ascii="Arial" w:hAnsi="Arial"/>
          <w:i/>
          <w:sz w:val="25"/>
        </w:rPr>
      </w:pPr>
      <w:r>
        <w:rPr>
          <w:rFonts w:ascii="Arial" w:hAnsi="Arial"/>
          <w:i/>
          <w:sz w:val="25"/>
        </w:rPr>
        <w:t>Paulo</w:t>
      </w:r>
      <w:r>
        <w:rPr>
          <w:rFonts w:ascii="Arial" w:hAnsi="Arial"/>
          <w:i/>
          <w:spacing w:val="14"/>
          <w:sz w:val="25"/>
        </w:rPr>
        <w:t> </w:t>
      </w:r>
      <w:r>
        <w:rPr>
          <w:rFonts w:ascii="Arial" w:hAnsi="Arial"/>
          <w:i/>
          <w:sz w:val="25"/>
        </w:rPr>
        <w:t>Magno</w:t>
      </w:r>
      <w:r>
        <w:rPr>
          <w:rFonts w:ascii="Arial" w:hAnsi="Arial"/>
          <w:i/>
          <w:spacing w:val="15"/>
          <w:sz w:val="25"/>
        </w:rPr>
        <w:t> </w:t>
      </w:r>
      <w:r>
        <w:rPr>
          <w:rFonts w:ascii="Arial" w:hAnsi="Arial"/>
          <w:i/>
          <w:sz w:val="25"/>
        </w:rPr>
        <w:t>Martins</w:t>
      </w:r>
      <w:r>
        <w:rPr>
          <w:rFonts w:ascii="Arial" w:hAnsi="Arial"/>
          <w:i/>
          <w:spacing w:val="14"/>
          <w:sz w:val="25"/>
        </w:rPr>
        <w:t> </w:t>
      </w:r>
      <w:r>
        <w:rPr>
          <w:rFonts w:ascii="Arial" w:hAnsi="Arial"/>
          <w:i/>
          <w:sz w:val="25"/>
        </w:rPr>
        <w:t>Dourado,</w:t>
      </w:r>
      <w:r>
        <w:rPr>
          <w:rFonts w:ascii="Arial" w:hAnsi="Arial"/>
          <w:i/>
          <w:spacing w:val="15"/>
          <w:sz w:val="25"/>
        </w:rPr>
        <w:t> </w:t>
      </w:r>
      <w:r>
        <w:rPr>
          <w:rFonts w:ascii="Arial" w:hAnsi="Arial"/>
          <w:i/>
          <w:sz w:val="25"/>
        </w:rPr>
        <w:t>Paulo</w:t>
      </w:r>
      <w:r>
        <w:rPr>
          <w:rFonts w:ascii="Arial" w:hAnsi="Arial"/>
          <w:i/>
          <w:spacing w:val="14"/>
          <w:sz w:val="25"/>
        </w:rPr>
        <w:t> </w:t>
      </w:r>
      <w:r>
        <w:rPr>
          <w:rFonts w:ascii="Arial" w:hAnsi="Arial"/>
          <w:i/>
          <w:sz w:val="25"/>
        </w:rPr>
        <w:t>José</w:t>
      </w:r>
      <w:r>
        <w:rPr>
          <w:rFonts w:ascii="Arial" w:hAnsi="Arial"/>
          <w:i/>
          <w:spacing w:val="15"/>
          <w:sz w:val="25"/>
        </w:rPr>
        <w:t> </w:t>
      </w:r>
      <w:r>
        <w:rPr>
          <w:rFonts w:ascii="Arial" w:hAnsi="Arial"/>
          <w:i/>
          <w:sz w:val="25"/>
        </w:rPr>
        <w:t>Bertini</w:t>
      </w:r>
      <w:r>
        <w:rPr>
          <w:rFonts w:ascii="Arial" w:hAnsi="Arial"/>
          <w:i/>
          <w:spacing w:val="14"/>
          <w:sz w:val="25"/>
        </w:rPr>
        <w:t> </w:t>
      </w:r>
      <w:r>
        <w:rPr>
          <w:rFonts w:ascii="Arial" w:hAnsi="Arial"/>
          <w:i/>
          <w:sz w:val="25"/>
        </w:rPr>
        <w:t>e</w:t>
      </w:r>
      <w:r>
        <w:rPr>
          <w:rFonts w:ascii="Arial" w:hAnsi="Arial"/>
          <w:i/>
          <w:spacing w:val="15"/>
          <w:sz w:val="25"/>
        </w:rPr>
        <w:t> </w:t>
      </w:r>
      <w:r>
        <w:rPr>
          <w:rFonts w:ascii="Arial" w:hAnsi="Arial"/>
          <w:i/>
          <w:sz w:val="25"/>
        </w:rPr>
        <w:t>Antonio</w:t>
      </w:r>
      <w:r>
        <w:rPr>
          <w:rFonts w:ascii="Arial" w:hAnsi="Arial"/>
          <w:i/>
          <w:spacing w:val="14"/>
          <w:sz w:val="25"/>
        </w:rPr>
        <w:t> </w:t>
      </w:r>
      <w:r>
        <w:rPr>
          <w:rFonts w:ascii="Arial" w:hAnsi="Arial"/>
          <w:i/>
          <w:sz w:val="25"/>
        </w:rPr>
        <w:t>Carlos</w:t>
      </w:r>
      <w:r>
        <w:rPr>
          <w:rFonts w:ascii="Arial" w:hAnsi="Arial"/>
          <w:i/>
          <w:spacing w:val="15"/>
          <w:sz w:val="25"/>
        </w:rPr>
        <w:t> </w:t>
      </w:r>
      <w:r>
        <w:rPr>
          <w:rFonts w:ascii="Arial" w:hAnsi="Arial"/>
          <w:i/>
          <w:sz w:val="25"/>
        </w:rPr>
        <w:t>Palandri</w:t>
      </w:r>
      <w:r>
        <w:rPr>
          <w:rFonts w:ascii="Arial" w:hAnsi="Arial"/>
          <w:i/>
          <w:spacing w:val="15"/>
          <w:sz w:val="25"/>
        </w:rPr>
        <w:t> </w:t>
      </w:r>
      <w:r>
        <w:rPr>
          <w:rFonts w:ascii="Arial" w:hAnsi="Arial"/>
          <w:i/>
          <w:spacing w:val="-2"/>
          <w:sz w:val="25"/>
        </w:rPr>
        <w:t>Chagas</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pPr>
      <w:r>
        <w:rPr>
          <w:color w:val="242B67"/>
          <w:spacing w:val="-2"/>
        </w:rPr>
        <w:t>Introdução</w:t>
      </w:r>
    </w:p>
    <w:p>
      <w:pPr>
        <w:pStyle w:val="BodyText"/>
        <w:spacing w:line="280" w:lineRule="auto" w:before="132"/>
        <w:ind w:right="497"/>
      </w:pPr>
      <w:r>
        <w:rPr/>
        <w:t>A aterosclerose é uma doença sistêmica da parede vascular que ocorre principalmente na aorta, nas carótidas, nas coronárias e nas artérias periféricas.</w:t>
      </w:r>
      <w:r>
        <w:rPr>
          <w:vertAlign w:val="superscript"/>
        </w:rPr>
        <w:t>1</w:t>
      </w:r>
      <w:r>
        <w:rPr>
          <w:vertAlign w:val="baseline"/>
        </w:rPr>
        <w:t> A ateromatose está associada a inúmeras alterações estruturais e funcionais que</w:t>
      </w:r>
      <w:r>
        <w:rPr>
          <w:spacing w:val="-5"/>
          <w:vertAlign w:val="baseline"/>
        </w:rPr>
        <w:t> </w:t>
      </w:r>
      <w:r>
        <w:rPr>
          <w:vertAlign w:val="baseline"/>
        </w:rPr>
        <w:t>ocorrem</w:t>
      </w:r>
      <w:r>
        <w:rPr>
          <w:spacing w:val="-3"/>
          <w:vertAlign w:val="baseline"/>
        </w:rPr>
        <w:t> </w:t>
      </w:r>
      <w:r>
        <w:rPr>
          <w:vertAlign w:val="baseline"/>
        </w:rPr>
        <w:t>na</w:t>
      </w:r>
      <w:r>
        <w:rPr>
          <w:spacing w:val="-5"/>
          <w:vertAlign w:val="baseline"/>
        </w:rPr>
        <w:t> </w:t>
      </w:r>
      <w:r>
        <w:rPr>
          <w:vertAlign w:val="baseline"/>
        </w:rPr>
        <w:t>parede</w:t>
      </w:r>
      <w:r>
        <w:rPr>
          <w:spacing w:val="-5"/>
          <w:vertAlign w:val="baseline"/>
        </w:rPr>
        <w:t> </w:t>
      </w:r>
      <w:r>
        <w:rPr>
          <w:vertAlign w:val="baseline"/>
        </w:rPr>
        <w:t>arterial: disfunção</w:t>
      </w:r>
      <w:r>
        <w:rPr>
          <w:spacing w:val="-3"/>
          <w:vertAlign w:val="baseline"/>
        </w:rPr>
        <w:t> </w:t>
      </w:r>
      <w:r>
        <w:rPr>
          <w:vertAlign w:val="baseline"/>
        </w:rPr>
        <w:t>endotelial, acúmulo</w:t>
      </w:r>
      <w:r>
        <w:rPr>
          <w:spacing w:val="-3"/>
          <w:vertAlign w:val="baseline"/>
        </w:rPr>
        <w:t> </w:t>
      </w:r>
      <w:r>
        <w:rPr>
          <w:vertAlign w:val="baseline"/>
        </w:rPr>
        <w:t>de</w:t>
      </w:r>
      <w:r>
        <w:rPr>
          <w:spacing w:val="-5"/>
          <w:vertAlign w:val="baseline"/>
        </w:rPr>
        <w:t> </w:t>
      </w:r>
      <w:r>
        <w:rPr>
          <w:vertAlign w:val="baseline"/>
        </w:rPr>
        <w:t>lipoproteína</w:t>
      </w:r>
      <w:r>
        <w:rPr>
          <w:spacing w:val="-5"/>
          <w:vertAlign w:val="baseline"/>
        </w:rPr>
        <w:t> </w:t>
      </w:r>
      <w:r>
        <w:rPr>
          <w:vertAlign w:val="baseline"/>
        </w:rPr>
        <w:t>de</w:t>
      </w:r>
      <w:r>
        <w:rPr>
          <w:spacing w:val="-5"/>
          <w:vertAlign w:val="baseline"/>
        </w:rPr>
        <w:t> </w:t>
      </w:r>
      <w:r>
        <w:rPr>
          <w:vertAlign w:val="baseline"/>
        </w:rPr>
        <w:t>baixa</w:t>
      </w:r>
      <w:r>
        <w:rPr>
          <w:spacing w:val="-5"/>
          <w:vertAlign w:val="baseline"/>
        </w:rPr>
        <w:t> </w:t>
      </w:r>
      <w:r>
        <w:rPr>
          <w:vertAlign w:val="baseline"/>
        </w:rPr>
        <w:t>densidade</w:t>
      </w:r>
      <w:r>
        <w:rPr>
          <w:spacing w:val="-5"/>
          <w:vertAlign w:val="baseline"/>
        </w:rPr>
        <w:t> </w:t>
      </w:r>
      <w:r>
        <w:rPr>
          <w:vertAlign w:val="baseline"/>
        </w:rPr>
        <w:t>(LDL) oxidada,</w:t>
      </w:r>
      <w:r>
        <w:rPr>
          <w:spacing w:val="-1"/>
          <w:vertAlign w:val="baseline"/>
        </w:rPr>
        <w:t> </w:t>
      </w:r>
      <w:r>
        <w:rPr>
          <w:vertAlign w:val="baseline"/>
        </w:rPr>
        <w:t>elevada</w:t>
      </w:r>
      <w:r>
        <w:rPr>
          <w:spacing w:val="-11"/>
          <w:vertAlign w:val="baseline"/>
        </w:rPr>
        <w:t> </w:t>
      </w:r>
      <w:r>
        <w:rPr>
          <w:vertAlign w:val="baseline"/>
        </w:rPr>
        <w:t>concentração</w:t>
      </w:r>
      <w:r>
        <w:rPr>
          <w:spacing w:val="-9"/>
          <w:vertAlign w:val="baseline"/>
        </w:rPr>
        <w:t> </w:t>
      </w:r>
      <w:r>
        <w:rPr>
          <w:vertAlign w:val="baseline"/>
        </w:rPr>
        <w:t>de</w:t>
      </w:r>
      <w:r>
        <w:rPr>
          <w:spacing w:val="-11"/>
          <w:vertAlign w:val="baseline"/>
        </w:rPr>
        <w:t> </w:t>
      </w:r>
      <w:r>
        <w:rPr>
          <w:vertAlign w:val="baseline"/>
        </w:rPr>
        <w:t>macrófagos,</w:t>
      </w:r>
      <w:r>
        <w:rPr>
          <w:spacing w:val="-1"/>
          <w:vertAlign w:val="baseline"/>
        </w:rPr>
        <w:t> </w:t>
      </w:r>
      <w:r>
        <w:rPr>
          <w:vertAlign w:val="baseline"/>
        </w:rPr>
        <w:t>neutrófilos</w:t>
      </w:r>
      <w:r>
        <w:rPr>
          <w:spacing w:val="-1"/>
          <w:vertAlign w:val="baseline"/>
        </w:rPr>
        <w:t> </w:t>
      </w:r>
      <w:r>
        <w:rPr>
          <w:vertAlign w:val="baseline"/>
        </w:rPr>
        <w:t>e</w:t>
      </w:r>
      <w:r>
        <w:rPr>
          <w:spacing w:val="-11"/>
          <w:vertAlign w:val="baseline"/>
        </w:rPr>
        <w:t> </w:t>
      </w:r>
      <w:r>
        <w:rPr>
          <w:vertAlign w:val="baseline"/>
        </w:rPr>
        <w:t>linfócitos</w:t>
      </w:r>
      <w:r>
        <w:rPr>
          <w:spacing w:val="-1"/>
          <w:vertAlign w:val="baseline"/>
        </w:rPr>
        <w:t> </w:t>
      </w:r>
      <w:r>
        <w:rPr>
          <w:vertAlign w:val="baseline"/>
        </w:rPr>
        <w:t>T,</w:t>
      </w:r>
      <w:r>
        <w:rPr>
          <w:spacing w:val="-1"/>
          <w:vertAlign w:val="baseline"/>
        </w:rPr>
        <w:t> </w:t>
      </w:r>
      <w:r>
        <w:rPr>
          <w:vertAlign w:val="baseline"/>
        </w:rPr>
        <w:t>bem</w:t>
      </w:r>
      <w:r>
        <w:rPr>
          <w:spacing w:val="-9"/>
          <w:vertAlign w:val="baseline"/>
        </w:rPr>
        <w:t> </w:t>
      </w:r>
      <w:r>
        <w:rPr>
          <w:vertAlign w:val="baseline"/>
        </w:rPr>
        <w:t>como</w:t>
      </w:r>
      <w:r>
        <w:rPr>
          <w:spacing w:val="-9"/>
          <w:vertAlign w:val="baseline"/>
        </w:rPr>
        <w:t> </w:t>
      </w:r>
      <w:r>
        <w:rPr>
          <w:vertAlign w:val="baseline"/>
        </w:rPr>
        <w:t>migração</w:t>
      </w:r>
      <w:r>
        <w:rPr>
          <w:spacing w:val="-9"/>
          <w:vertAlign w:val="baseline"/>
        </w:rPr>
        <w:t> </w:t>
      </w:r>
      <w:r>
        <w:rPr>
          <w:vertAlign w:val="baseline"/>
        </w:rPr>
        <w:t>de</w:t>
      </w:r>
      <w:r>
        <w:rPr>
          <w:spacing w:val="-11"/>
          <w:vertAlign w:val="baseline"/>
        </w:rPr>
        <w:t> </w:t>
      </w:r>
      <w:r>
        <w:rPr>
          <w:vertAlign w:val="baseline"/>
        </w:rPr>
        <w:t>células</w:t>
      </w:r>
      <w:r>
        <w:rPr>
          <w:spacing w:val="-1"/>
          <w:vertAlign w:val="baseline"/>
        </w:rPr>
        <w:t> </w:t>
      </w:r>
      <w:r>
        <w:rPr>
          <w:vertAlign w:val="baseline"/>
        </w:rPr>
        <w:t>musculares lisas. Essas condições associadas são algumas das mais importantes disfunções que ocorrem na progressão da doença arterial coronariana (DAC).</w:t>
      </w:r>
      <w:r>
        <w:rPr>
          <w:vertAlign w:val="superscript"/>
        </w:rPr>
        <w:t>2,3</w:t>
      </w:r>
      <w:r>
        <w:rPr>
          <w:vertAlign w:val="baseline"/>
        </w:rPr>
        <w:t> Apesar de a existência de estenose luminal por placa aterosclerótica e vasoconstrição anormal ser basicamente a causa de sintomas das doenças cardiovasculares (DCV), é a superimposição de um trombo por erosão ou ruptura de uma ou mais placas que causa a maior parte dos sintomas ou manifestações clínicas mais graves dessas doenças. Portanto, a trombose coronariana é a principal responsável pelas síndromes coronarianas agudas (SCA): angina instável, infarto agudo do miocárdio ou morte súbita.</w:t>
      </w:r>
      <w:r>
        <w:rPr>
          <w:vertAlign w:val="superscript"/>
        </w:rPr>
        <w:t>4–6</w:t>
      </w:r>
      <w:r>
        <w:rPr>
          <w:vertAlign w:val="baseline"/>
        </w:rPr>
        <w:t> Apenas cerca de 50% dos casos de DCV estão relacionados com a hipercolesterolemia; portanto, a aterosclerose atualmente</w:t>
      </w:r>
      <w:r>
        <w:rPr>
          <w:spacing w:val="-9"/>
          <w:vertAlign w:val="baseline"/>
        </w:rPr>
        <w:t> </w:t>
      </w:r>
      <w:r>
        <w:rPr>
          <w:vertAlign w:val="baseline"/>
        </w:rPr>
        <w:t>é</w:t>
      </w:r>
      <w:r>
        <w:rPr>
          <w:spacing w:val="-9"/>
          <w:vertAlign w:val="baseline"/>
        </w:rPr>
        <w:t> </w:t>
      </w:r>
      <w:r>
        <w:rPr>
          <w:vertAlign w:val="baseline"/>
        </w:rPr>
        <w:t>considerada</w:t>
      </w:r>
      <w:r>
        <w:rPr>
          <w:spacing w:val="-9"/>
          <w:vertAlign w:val="baseline"/>
        </w:rPr>
        <w:t> </w:t>
      </w:r>
      <w:r>
        <w:rPr>
          <w:vertAlign w:val="baseline"/>
        </w:rPr>
        <w:t>uma</w:t>
      </w:r>
      <w:r>
        <w:rPr>
          <w:spacing w:val="-9"/>
          <w:vertAlign w:val="baseline"/>
        </w:rPr>
        <w:t> </w:t>
      </w:r>
      <w:r>
        <w:rPr>
          <w:vertAlign w:val="baseline"/>
        </w:rPr>
        <w:t>doença</w:t>
      </w:r>
      <w:r>
        <w:rPr>
          <w:spacing w:val="-9"/>
          <w:vertAlign w:val="baseline"/>
        </w:rPr>
        <w:t> </w:t>
      </w:r>
      <w:r>
        <w:rPr>
          <w:vertAlign w:val="baseline"/>
        </w:rPr>
        <w:t>inflamatória</w:t>
      </w:r>
      <w:r>
        <w:rPr>
          <w:spacing w:val="-9"/>
          <w:vertAlign w:val="baseline"/>
        </w:rPr>
        <w:t> </w:t>
      </w:r>
      <w:r>
        <w:rPr>
          <w:vertAlign w:val="baseline"/>
        </w:rPr>
        <w:t>e</w:t>
      </w:r>
      <w:r>
        <w:rPr>
          <w:spacing w:val="-9"/>
          <w:vertAlign w:val="baseline"/>
        </w:rPr>
        <w:t> </w:t>
      </w:r>
      <w:r>
        <w:rPr>
          <w:vertAlign w:val="baseline"/>
        </w:rPr>
        <w:t>não</w:t>
      </w:r>
      <w:r>
        <w:rPr>
          <w:spacing w:val="-6"/>
          <w:vertAlign w:val="baseline"/>
        </w:rPr>
        <w:t> </w:t>
      </w:r>
      <w:r>
        <w:rPr>
          <w:vertAlign w:val="baseline"/>
        </w:rPr>
        <w:t>ocorre</w:t>
      </w:r>
      <w:r>
        <w:rPr>
          <w:spacing w:val="-9"/>
          <w:vertAlign w:val="baseline"/>
        </w:rPr>
        <w:t> </w:t>
      </w:r>
      <w:r>
        <w:rPr>
          <w:vertAlign w:val="baseline"/>
        </w:rPr>
        <w:t>apenas pelo</w:t>
      </w:r>
      <w:r>
        <w:rPr>
          <w:spacing w:val="-6"/>
          <w:vertAlign w:val="baseline"/>
        </w:rPr>
        <w:t> </w:t>
      </w:r>
      <w:r>
        <w:rPr>
          <w:vertAlign w:val="baseline"/>
        </w:rPr>
        <w:t>depósito</w:t>
      </w:r>
      <w:r>
        <w:rPr>
          <w:spacing w:val="-6"/>
          <w:vertAlign w:val="baseline"/>
        </w:rPr>
        <w:t> </w:t>
      </w:r>
      <w:r>
        <w:rPr>
          <w:vertAlign w:val="baseline"/>
        </w:rPr>
        <w:t>de</w:t>
      </w:r>
      <w:r>
        <w:rPr>
          <w:spacing w:val="-9"/>
          <w:vertAlign w:val="baseline"/>
        </w:rPr>
        <w:t> </w:t>
      </w:r>
      <w:r>
        <w:rPr>
          <w:vertAlign w:val="baseline"/>
        </w:rPr>
        <w:t>lipídios na</w:t>
      </w:r>
      <w:r>
        <w:rPr>
          <w:spacing w:val="-9"/>
          <w:vertAlign w:val="baseline"/>
        </w:rPr>
        <w:t> </w:t>
      </w:r>
      <w:r>
        <w:rPr>
          <w:vertAlign w:val="baseline"/>
        </w:rPr>
        <w:t>parede</w:t>
      </w:r>
      <w:r>
        <w:rPr>
          <w:spacing w:val="-9"/>
          <w:vertAlign w:val="baseline"/>
        </w:rPr>
        <w:t> </w:t>
      </w:r>
      <w:r>
        <w:rPr>
          <w:vertAlign w:val="baseline"/>
        </w:rPr>
        <w:t>do</w:t>
      </w:r>
      <w:r>
        <w:rPr>
          <w:spacing w:val="-6"/>
          <w:vertAlign w:val="baseline"/>
        </w:rPr>
        <w:t> </w:t>
      </w:r>
      <w:r>
        <w:rPr>
          <w:vertAlign w:val="baseline"/>
        </w:rPr>
        <w:t>vaso.</w:t>
      </w:r>
      <w:r>
        <w:rPr>
          <w:vertAlign w:val="superscript"/>
        </w:rPr>
        <w:t>3</w:t>
      </w:r>
      <w:r>
        <w:rPr>
          <w:vertAlign w:val="baseline"/>
        </w:rPr>
        <w:t> Caso se consiga modificar seletivamente os componentes deletérios que levam à inflamação nas artérias e manter seus</w:t>
      </w:r>
      <w:r>
        <w:rPr>
          <w:spacing w:val="-2"/>
          <w:vertAlign w:val="baseline"/>
        </w:rPr>
        <w:t> </w:t>
      </w:r>
      <w:r>
        <w:rPr>
          <w:vertAlign w:val="baseline"/>
        </w:rPr>
        <w:t>aspectos</w:t>
      </w:r>
      <w:r>
        <w:rPr>
          <w:spacing w:val="-2"/>
          <w:vertAlign w:val="baseline"/>
        </w:rPr>
        <w:t> </w:t>
      </w:r>
      <w:r>
        <w:rPr>
          <w:vertAlign w:val="baseline"/>
        </w:rPr>
        <w:t>protetores</w:t>
      </w:r>
      <w:r>
        <w:rPr>
          <w:spacing w:val="-2"/>
          <w:vertAlign w:val="baseline"/>
        </w:rPr>
        <w:t> </w:t>
      </w:r>
      <w:r>
        <w:rPr>
          <w:vertAlign w:val="baseline"/>
        </w:rPr>
        <w:t>intactos,</w:t>
      </w:r>
      <w:r>
        <w:rPr>
          <w:spacing w:val="-2"/>
          <w:vertAlign w:val="baseline"/>
        </w:rPr>
        <w:t> </w:t>
      </w:r>
      <w:r>
        <w:rPr>
          <w:vertAlign w:val="baseline"/>
        </w:rPr>
        <w:t>podem-se</w:t>
      </w:r>
      <w:r>
        <w:rPr>
          <w:spacing w:val="-12"/>
          <w:vertAlign w:val="baseline"/>
        </w:rPr>
        <w:t> </w:t>
      </w:r>
      <w:r>
        <w:rPr>
          <w:vertAlign w:val="baseline"/>
        </w:rPr>
        <w:t>criar</w:t>
      </w:r>
      <w:r>
        <w:rPr>
          <w:spacing w:val="-5"/>
          <w:vertAlign w:val="baseline"/>
        </w:rPr>
        <w:t> </w:t>
      </w:r>
      <w:r>
        <w:rPr>
          <w:vertAlign w:val="baseline"/>
        </w:rPr>
        <w:t>novos</w:t>
      </w:r>
      <w:r>
        <w:rPr>
          <w:spacing w:val="-2"/>
          <w:vertAlign w:val="baseline"/>
        </w:rPr>
        <w:t> </w:t>
      </w:r>
      <w:r>
        <w:rPr>
          <w:vertAlign w:val="baseline"/>
        </w:rPr>
        <w:t>métodos</w:t>
      </w:r>
      <w:r>
        <w:rPr>
          <w:spacing w:val="-2"/>
          <w:vertAlign w:val="baseline"/>
        </w:rPr>
        <w:t> </w:t>
      </w:r>
      <w:r>
        <w:rPr>
          <w:vertAlign w:val="baseline"/>
        </w:rPr>
        <w:t>de</w:t>
      </w:r>
      <w:r>
        <w:rPr>
          <w:spacing w:val="-12"/>
          <w:vertAlign w:val="baseline"/>
        </w:rPr>
        <w:t> </w:t>
      </w:r>
      <w:r>
        <w:rPr>
          <w:vertAlign w:val="baseline"/>
        </w:rPr>
        <w:t>diagnóstico</w:t>
      </w:r>
      <w:r>
        <w:rPr>
          <w:spacing w:val="-9"/>
          <w:vertAlign w:val="baseline"/>
        </w:rPr>
        <w:t> </w:t>
      </w:r>
      <w:r>
        <w:rPr>
          <w:vertAlign w:val="baseline"/>
        </w:rPr>
        <w:t>e</w:t>
      </w:r>
      <w:r>
        <w:rPr>
          <w:spacing w:val="-12"/>
          <w:vertAlign w:val="baseline"/>
        </w:rPr>
        <w:t> </w:t>
      </w:r>
      <w:r>
        <w:rPr>
          <w:vertAlign w:val="baseline"/>
        </w:rPr>
        <w:t>intervenção</w:t>
      </w:r>
      <w:r>
        <w:rPr>
          <w:spacing w:val="-9"/>
          <w:vertAlign w:val="baseline"/>
        </w:rPr>
        <w:t> </w:t>
      </w:r>
      <w:r>
        <w:rPr>
          <w:vertAlign w:val="baseline"/>
        </w:rPr>
        <w:t>em</w:t>
      </w:r>
      <w:r>
        <w:rPr>
          <w:spacing w:val="-9"/>
          <w:vertAlign w:val="baseline"/>
        </w:rPr>
        <w:t> </w:t>
      </w:r>
      <w:r>
        <w:rPr>
          <w:vertAlign w:val="baseline"/>
        </w:rPr>
        <w:t>todos</w:t>
      </w:r>
      <w:r>
        <w:rPr>
          <w:spacing w:val="-2"/>
          <w:vertAlign w:val="baseline"/>
        </w:rPr>
        <w:t> </w:t>
      </w:r>
      <w:r>
        <w:rPr>
          <w:vertAlign w:val="baseline"/>
        </w:rPr>
        <w:t>os</w:t>
      </w:r>
      <w:r>
        <w:rPr>
          <w:spacing w:val="-2"/>
          <w:vertAlign w:val="baseline"/>
        </w:rPr>
        <w:t> </w:t>
      </w:r>
      <w:r>
        <w:rPr>
          <w:vertAlign w:val="baseline"/>
        </w:rPr>
        <w:t>pacientes com DCV.</w:t>
      </w:r>
      <w:r>
        <w:rPr>
          <w:vertAlign w:val="superscript"/>
        </w:rPr>
        <w:t>3</w:t>
      </w:r>
    </w:p>
    <w:p>
      <w:pPr>
        <w:pStyle w:val="BodyText"/>
        <w:spacing w:before="188"/>
        <w:ind w:left="0" w:firstLine="0"/>
        <w:jc w:val="left"/>
      </w:pPr>
    </w:p>
    <w:p>
      <w:pPr>
        <w:pStyle w:val="Heading4"/>
      </w:pPr>
      <w:r>
        <w:rPr>
          <w:color w:val="242B67"/>
        </w:rPr>
        <w:t>Dados </w:t>
      </w:r>
      <w:r>
        <w:rPr>
          <w:color w:val="242B67"/>
          <w:spacing w:val="-2"/>
        </w:rPr>
        <w:t>epidemiológicos</w:t>
      </w:r>
    </w:p>
    <w:p>
      <w:pPr>
        <w:pStyle w:val="BodyText"/>
        <w:spacing w:line="283" w:lineRule="auto" w:before="148"/>
        <w:ind w:right="497"/>
      </w:pPr>
      <w:r>
        <w:rPr/>
        <w:t>As DCV são a principal causa de morte, tanto em homens como mulheres, no mundo ocidental. Informações estatísticas dos EUA apontam prevalência da doença em 34% de toda a população.</w:t>
      </w:r>
      <w:r>
        <w:rPr>
          <w:vertAlign w:val="superscript"/>
        </w:rPr>
        <w:t>7</w:t>
      </w:r>
      <w:r>
        <w:rPr>
          <w:vertAlign w:val="baseline"/>
        </w:rPr>
        <w:t> A DAC equivale a 53% de todos</w:t>
      </w:r>
      <w:r>
        <w:rPr>
          <w:spacing w:val="25"/>
          <w:vertAlign w:val="baseline"/>
        </w:rPr>
        <w:t> </w:t>
      </w:r>
      <w:r>
        <w:rPr>
          <w:vertAlign w:val="baseline"/>
        </w:rPr>
        <w:t>os</w:t>
      </w:r>
      <w:r>
        <w:rPr>
          <w:spacing w:val="25"/>
          <w:vertAlign w:val="baseline"/>
        </w:rPr>
        <w:t> </w:t>
      </w:r>
      <w:r>
        <w:rPr>
          <w:vertAlign w:val="baseline"/>
        </w:rPr>
        <w:t>eventos</w:t>
      </w:r>
      <w:r>
        <w:rPr>
          <w:spacing w:val="25"/>
          <w:vertAlign w:val="baseline"/>
        </w:rPr>
        <w:t> </w:t>
      </w:r>
      <w:r>
        <w:rPr>
          <w:vertAlign w:val="baseline"/>
        </w:rPr>
        <w:t>cardiovasculares</w:t>
      </w:r>
      <w:r>
        <w:rPr>
          <w:spacing w:val="25"/>
          <w:vertAlign w:val="baseline"/>
        </w:rPr>
        <w:t> </w:t>
      </w:r>
      <w:r>
        <w:rPr>
          <w:vertAlign w:val="baseline"/>
        </w:rPr>
        <w:t>em</w:t>
      </w:r>
      <w:r>
        <w:rPr>
          <w:spacing w:val="17"/>
          <w:vertAlign w:val="baseline"/>
        </w:rPr>
        <w:t> </w:t>
      </w:r>
      <w:r>
        <w:rPr>
          <w:vertAlign w:val="baseline"/>
        </w:rPr>
        <w:t>homens</w:t>
      </w:r>
      <w:r>
        <w:rPr>
          <w:spacing w:val="25"/>
          <w:vertAlign w:val="baseline"/>
        </w:rPr>
        <w:t> </w:t>
      </w:r>
      <w:r>
        <w:rPr>
          <w:vertAlign w:val="baseline"/>
        </w:rPr>
        <w:t>e</w:t>
      </w:r>
      <w:r>
        <w:rPr>
          <w:spacing w:val="15"/>
          <w:vertAlign w:val="baseline"/>
        </w:rPr>
        <w:t> </w:t>
      </w:r>
      <w:r>
        <w:rPr>
          <w:vertAlign w:val="baseline"/>
        </w:rPr>
        <w:t>mulheres</w:t>
      </w:r>
      <w:r>
        <w:rPr>
          <w:spacing w:val="25"/>
          <w:vertAlign w:val="baseline"/>
        </w:rPr>
        <w:t> </w:t>
      </w:r>
      <w:r>
        <w:rPr>
          <w:vertAlign w:val="baseline"/>
        </w:rPr>
        <w:t>com</w:t>
      </w:r>
      <w:r>
        <w:rPr>
          <w:spacing w:val="17"/>
          <w:vertAlign w:val="baseline"/>
        </w:rPr>
        <w:t> </w:t>
      </w:r>
      <w:r>
        <w:rPr>
          <w:vertAlign w:val="baseline"/>
        </w:rPr>
        <w:t>menos</w:t>
      </w:r>
      <w:r>
        <w:rPr>
          <w:spacing w:val="25"/>
          <w:vertAlign w:val="baseline"/>
        </w:rPr>
        <w:t> </w:t>
      </w:r>
      <w:r>
        <w:rPr>
          <w:vertAlign w:val="baseline"/>
        </w:rPr>
        <w:t>de</w:t>
      </w:r>
      <w:r>
        <w:rPr>
          <w:spacing w:val="15"/>
          <w:vertAlign w:val="baseline"/>
        </w:rPr>
        <w:t> </w:t>
      </w:r>
      <w:r>
        <w:rPr>
          <w:vertAlign w:val="baseline"/>
        </w:rPr>
        <w:t>75</w:t>
      </w:r>
      <w:r>
        <w:rPr>
          <w:spacing w:val="17"/>
          <w:vertAlign w:val="baseline"/>
        </w:rPr>
        <w:t> </w:t>
      </w:r>
      <w:r>
        <w:rPr>
          <w:vertAlign w:val="baseline"/>
        </w:rPr>
        <w:t>anos,</w:t>
      </w:r>
      <w:r>
        <w:rPr>
          <w:spacing w:val="25"/>
          <w:vertAlign w:val="baseline"/>
        </w:rPr>
        <w:t> </w:t>
      </w:r>
      <w:r>
        <w:rPr>
          <w:vertAlign w:val="baseline"/>
        </w:rPr>
        <w:t>e</w:t>
      </w:r>
      <w:r>
        <w:rPr>
          <w:spacing w:val="15"/>
          <w:vertAlign w:val="baseline"/>
        </w:rPr>
        <w:t> </w:t>
      </w:r>
      <w:r>
        <w:rPr>
          <w:vertAlign w:val="baseline"/>
        </w:rPr>
        <w:t>estima-se</w:t>
      </w:r>
      <w:r>
        <w:rPr>
          <w:spacing w:val="15"/>
          <w:vertAlign w:val="baseline"/>
        </w:rPr>
        <w:t> </w:t>
      </w:r>
      <w:r>
        <w:rPr>
          <w:vertAlign w:val="baseline"/>
        </w:rPr>
        <w:t>que</w:t>
      </w:r>
      <w:r>
        <w:rPr>
          <w:spacing w:val="15"/>
          <w:vertAlign w:val="baseline"/>
        </w:rPr>
        <w:t> </w:t>
      </w:r>
      <w:r>
        <w:rPr>
          <w:vertAlign w:val="baseline"/>
        </w:rPr>
        <w:t>haja</w:t>
      </w:r>
      <w:r>
        <w:rPr>
          <w:spacing w:val="15"/>
          <w:vertAlign w:val="baseline"/>
        </w:rPr>
        <w:t> </w:t>
      </w:r>
      <w:r>
        <w:rPr>
          <w:vertAlign w:val="baseline"/>
        </w:rPr>
        <w:t>cerca</w:t>
      </w:r>
      <w:r>
        <w:rPr>
          <w:spacing w:val="15"/>
          <w:vertAlign w:val="baseline"/>
        </w:rPr>
        <w:t> </w:t>
      </w:r>
      <w:r>
        <w:rPr>
          <w:vertAlign w:val="baseline"/>
        </w:rPr>
        <w:t>de</w:t>
      </w:r>
    </w:p>
    <w:p>
      <w:pPr>
        <w:pStyle w:val="BodyText"/>
        <w:spacing w:line="285" w:lineRule="auto" w:before="9"/>
        <w:ind w:right="497" w:firstLine="0"/>
      </w:pPr>
      <w:r>
        <w:rPr/>
        <w:t>700.000 novos casos de SCA por ano, além de 500.000 casos recorrentes.</w:t>
      </w:r>
      <w:r>
        <w:rPr>
          <w:vertAlign w:val="superscript"/>
        </w:rPr>
        <w:t>7</w:t>
      </w:r>
      <w:r>
        <w:rPr>
          <w:vertAlign w:val="baseline"/>
        </w:rPr>
        <w:t> Em segundo lugar entre as DCV, a incidência de acidente vascular cerebral (AVC) por ano naquele país é de 700.000 casos, sendo a terceira causa de morte</w:t>
      </w:r>
      <w:r>
        <w:rPr>
          <w:spacing w:val="-8"/>
          <w:vertAlign w:val="baseline"/>
        </w:rPr>
        <w:t> </w:t>
      </w:r>
      <w:r>
        <w:rPr>
          <w:vertAlign w:val="baseline"/>
        </w:rPr>
        <w:t>e</w:t>
      </w:r>
      <w:r>
        <w:rPr>
          <w:spacing w:val="-8"/>
          <w:vertAlign w:val="baseline"/>
        </w:rPr>
        <w:t> </w:t>
      </w:r>
      <w:r>
        <w:rPr>
          <w:vertAlign w:val="baseline"/>
        </w:rPr>
        <w:t>a</w:t>
      </w:r>
      <w:r>
        <w:rPr>
          <w:spacing w:val="-8"/>
          <w:vertAlign w:val="baseline"/>
        </w:rPr>
        <w:t> </w:t>
      </w:r>
      <w:r>
        <w:rPr>
          <w:vertAlign w:val="baseline"/>
        </w:rPr>
        <w:t>principal</w:t>
      </w:r>
      <w:r>
        <w:rPr>
          <w:spacing w:val="-3"/>
          <w:vertAlign w:val="baseline"/>
        </w:rPr>
        <w:t> </w:t>
      </w:r>
      <w:r>
        <w:rPr>
          <w:vertAlign w:val="baseline"/>
        </w:rPr>
        <w:t>doença</w:t>
      </w:r>
      <w:r>
        <w:rPr>
          <w:spacing w:val="-8"/>
          <w:vertAlign w:val="baseline"/>
        </w:rPr>
        <w:t> </w:t>
      </w:r>
      <w:r>
        <w:rPr>
          <w:vertAlign w:val="baseline"/>
        </w:rPr>
        <w:t>incapacitante.</w:t>
      </w:r>
      <w:r>
        <w:rPr>
          <w:vertAlign w:val="superscript"/>
        </w:rPr>
        <w:t>7</w:t>
      </w:r>
      <w:r>
        <w:rPr>
          <w:vertAlign w:val="baseline"/>
        </w:rPr>
        <w:t> Também</w:t>
      </w:r>
      <w:r>
        <w:rPr>
          <w:spacing w:val="-5"/>
          <w:vertAlign w:val="baseline"/>
        </w:rPr>
        <w:t> </w:t>
      </w:r>
      <w:r>
        <w:rPr>
          <w:vertAlign w:val="baseline"/>
        </w:rPr>
        <w:t>no</w:t>
      </w:r>
      <w:r>
        <w:rPr>
          <w:spacing w:val="-5"/>
          <w:vertAlign w:val="baseline"/>
        </w:rPr>
        <w:t> </w:t>
      </w:r>
      <w:r>
        <w:rPr>
          <w:vertAlign w:val="baseline"/>
        </w:rPr>
        <w:t>Brasil, as DCV</w:t>
      </w:r>
      <w:r>
        <w:rPr>
          <w:spacing w:val="-7"/>
          <w:vertAlign w:val="baseline"/>
        </w:rPr>
        <w:t> </w:t>
      </w:r>
      <w:r>
        <w:rPr>
          <w:vertAlign w:val="baseline"/>
        </w:rPr>
        <w:t>são</w:t>
      </w:r>
      <w:r>
        <w:rPr>
          <w:spacing w:val="-5"/>
          <w:vertAlign w:val="baseline"/>
        </w:rPr>
        <w:t> </w:t>
      </w:r>
      <w:r>
        <w:rPr>
          <w:vertAlign w:val="baseline"/>
        </w:rPr>
        <w:t>a</w:t>
      </w:r>
      <w:r>
        <w:rPr>
          <w:spacing w:val="-7"/>
          <w:vertAlign w:val="baseline"/>
        </w:rPr>
        <w:t> </w:t>
      </w:r>
      <w:r>
        <w:rPr>
          <w:vertAlign w:val="baseline"/>
        </w:rPr>
        <w:t>principal</w:t>
      </w:r>
      <w:r>
        <w:rPr>
          <w:spacing w:val="-2"/>
          <w:vertAlign w:val="baseline"/>
        </w:rPr>
        <w:t> </w:t>
      </w:r>
      <w:r>
        <w:rPr>
          <w:vertAlign w:val="baseline"/>
        </w:rPr>
        <w:t>causa</w:t>
      </w:r>
      <w:r>
        <w:rPr>
          <w:spacing w:val="-7"/>
          <w:vertAlign w:val="baseline"/>
        </w:rPr>
        <w:t> </w:t>
      </w:r>
      <w:r>
        <w:rPr>
          <w:vertAlign w:val="baseline"/>
        </w:rPr>
        <w:t>de</w:t>
      </w:r>
      <w:r>
        <w:rPr>
          <w:spacing w:val="-7"/>
          <w:vertAlign w:val="baseline"/>
        </w:rPr>
        <w:t> </w:t>
      </w:r>
      <w:r>
        <w:rPr>
          <w:vertAlign w:val="baseline"/>
        </w:rPr>
        <w:t>morte</w:t>
      </w:r>
      <w:r>
        <w:rPr>
          <w:spacing w:val="-7"/>
          <w:vertAlign w:val="baseline"/>
        </w:rPr>
        <w:t> </w:t>
      </w:r>
      <w:r>
        <w:rPr>
          <w:vertAlign w:val="baseline"/>
        </w:rPr>
        <w:t>em</w:t>
      </w:r>
      <w:r>
        <w:rPr>
          <w:spacing w:val="-5"/>
          <w:vertAlign w:val="baseline"/>
        </w:rPr>
        <w:t> </w:t>
      </w:r>
      <w:r>
        <w:rPr>
          <w:vertAlign w:val="baseline"/>
        </w:rPr>
        <w:t>indivíduos com mais de 40 anos, com predominância das doenças cerebrovasculares.</w:t>
      </w:r>
      <w:r>
        <w:rPr>
          <w:vertAlign w:val="superscript"/>
        </w:rPr>
        <w:t>8,9</w:t>
      </w:r>
      <w:r>
        <w:rPr>
          <w:vertAlign w:val="baseline"/>
        </w:rPr>
        <w:t> Assim como na maioria dos países desenvolvidos, também em nosso país a mortalidade global por doenças circulatórias, isquêmicas do coração e cerebrovasculares diminuiu progressivamente nas últimas décadas.</w:t>
      </w:r>
      <w:r>
        <w:rPr>
          <w:vertAlign w:val="superscript"/>
        </w:rPr>
        <w:t>9</w:t>
      </w:r>
    </w:p>
    <w:p>
      <w:pPr>
        <w:pStyle w:val="BodyText"/>
        <w:spacing w:before="170"/>
        <w:ind w:left="0" w:firstLine="0"/>
        <w:jc w:val="left"/>
      </w:pPr>
    </w:p>
    <w:p>
      <w:pPr>
        <w:pStyle w:val="Heading4"/>
        <w:spacing w:before="1"/>
      </w:pPr>
      <w:r>
        <w:rPr>
          <w:color w:val="242B67"/>
        </w:rPr>
        <w:t>Placa </w:t>
      </w:r>
      <w:r>
        <w:rPr>
          <w:color w:val="242B67"/>
          <w:spacing w:val="-2"/>
        </w:rPr>
        <w:t>vulnerável</w:t>
      </w:r>
    </w:p>
    <w:p>
      <w:pPr>
        <w:pStyle w:val="BodyText"/>
        <w:spacing w:before="131"/>
        <w:ind w:left="414" w:firstLine="0"/>
        <w:jc w:val="left"/>
      </w:pPr>
      <w:r>
        <w:rPr>
          <w:spacing w:val="-2"/>
        </w:rPr>
        <w:t>Os</w:t>
      </w:r>
      <w:r>
        <w:rPr>
          <w:spacing w:val="5"/>
        </w:rPr>
        <w:t> </w:t>
      </w:r>
      <w:r>
        <w:rPr>
          <w:spacing w:val="-2"/>
        </w:rPr>
        <w:t>principais</w:t>
      </w:r>
      <w:r>
        <w:rPr>
          <w:spacing w:val="5"/>
        </w:rPr>
        <w:t> </w:t>
      </w:r>
      <w:r>
        <w:rPr>
          <w:spacing w:val="-2"/>
        </w:rPr>
        <w:t>componentes</w:t>
      </w:r>
      <w:r>
        <w:rPr>
          <w:spacing w:val="5"/>
        </w:rPr>
        <w:t> </w:t>
      </w:r>
      <w:r>
        <w:rPr>
          <w:spacing w:val="-2"/>
        </w:rPr>
        <w:t>da</w:t>
      </w:r>
      <w:r>
        <w:rPr>
          <w:spacing w:val="-6"/>
        </w:rPr>
        <w:t> </w:t>
      </w:r>
      <w:r>
        <w:rPr>
          <w:spacing w:val="-2"/>
        </w:rPr>
        <w:t>placa</w:t>
      </w:r>
      <w:r>
        <w:rPr>
          <w:spacing w:val="-6"/>
        </w:rPr>
        <w:t> </w:t>
      </w:r>
      <w:r>
        <w:rPr>
          <w:spacing w:val="-2"/>
        </w:rPr>
        <w:t>aterosclerótica</w:t>
      </w:r>
      <w:r>
        <w:rPr>
          <w:spacing w:val="-5"/>
        </w:rPr>
        <w:t> </w:t>
      </w:r>
      <w:r>
        <w:rPr>
          <w:spacing w:val="-4"/>
        </w:rPr>
        <w:t>são:</w:t>
      </w:r>
    </w:p>
    <w:p>
      <w:pPr>
        <w:pStyle w:val="ListParagraph"/>
        <w:numPr>
          <w:ilvl w:val="0"/>
          <w:numId w:val="14"/>
        </w:numPr>
        <w:tabs>
          <w:tab w:pos="397" w:val="left" w:leader="none"/>
        </w:tabs>
        <w:spacing w:line="240" w:lineRule="auto" w:before="200" w:after="0"/>
        <w:ind w:left="397" w:right="0" w:hanging="329"/>
        <w:jc w:val="left"/>
        <w:rPr>
          <w:sz w:val="23"/>
        </w:rPr>
      </w:pPr>
      <w:r>
        <w:rPr>
          <w:sz w:val="23"/>
        </w:rPr>
        <w:t>O</w:t>
      </w:r>
      <w:r>
        <w:rPr>
          <w:spacing w:val="-16"/>
          <w:sz w:val="23"/>
        </w:rPr>
        <w:t> </w:t>
      </w:r>
      <w:r>
        <w:rPr>
          <w:sz w:val="23"/>
        </w:rPr>
        <w:t>núcleo</w:t>
      </w:r>
      <w:r>
        <w:rPr>
          <w:spacing w:val="-10"/>
          <w:sz w:val="23"/>
        </w:rPr>
        <w:t> </w:t>
      </w:r>
      <w:r>
        <w:rPr>
          <w:sz w:val="23"/>
        </w:rPr>
        <w:t>lipídico,</w:t>
      </w:r>
      <w:r>
        <w:rPr>
          <w:spacing w:val="-4"/>
          <w:sz w:val="23"/>
        </w:rPr>
        <w:t> </w:t>
      </w:r>
      <w:r>
        <w:rPr>
          <w:sz w:val="23"/>
        </w:rPr>
        <w:t>que</w:t>
      </w:r>
      <w:r>
        <w:rPr>
          <w:spacing w:val="-13"/>
          <w:sz w:val="23"/>
        </w:rPr>
        <w:t> </w:t>
      </w:r>
      <w:r>
        <w:rPr>
          <w:sz w:val="23"/>
        </w:rPr>
        <w:t>compreende</w:t>
      </w:r>
      <w:r>
        <w:rPr>
          <w:spacing w:val="-14"/>
          <w:sz w:val="23"/>
        </w:rPr>
        <w:t> </w:t>
      </w:r>
      <w:r>
        <w:rPr>
          <w:sz w:val="23"/>
        </w:rPr>
        <w:t>colesterol</w:t>
      </w:r>
      <w:r>
        <w:rPr>
          <w:spacing w:val="-8"/>
          <w:sz w:val="23"/>
        </w:rPr>
        <w:t> </w:t>
      </w:r>
      <w:r>
        <w:rPr>
          <w:sz w:val="23"/>
        </w:rPr>
        <w:t>cristalino,</w:t>
      </w:r>
      <w:r>
        <w:rPr>
          <w:spacing w:val="-4"/>
          <w:sz w:val="23"/>
        </w:rPr>
        <w:t> </w:t>
      </w:r>
      <w:r>
        <w:rPr>
          <w:sz w:val="23"/>
        </w:rPr>
        <w:t>ésteres</w:t>
      </w:r>
      <w:r>
        <w:rPr>
          <w:spacing w:val="-4"/>
          <w:sz w:val="23"/>
        </w:rPr>
        <w:t> </w:t>
      </w:r>
      <w:r>
        <w:rPr>
          <w:sz w:val="23"/>
        </w:rPr>
        <w:t>de</w:t>
      </w:r>
      <w:r>
        <w:rPr>
          <w:spacing w:val="-13"/>
          <w:sz w:val="23"/>
        </w:rPr>
        <w:t> </w:t>
      </w:r>
      <w:r>
        <w:rPr>
          <w:sz w:val="23"/>
        </w:rPr>
        <w:t>colesterol</w:t>
      </w:r>
      <w:r>
        <w:rPr>
          <w:spacing w:val="-8"/>
          <w:sz w:val="23"/>
        </w:rPr>
        <w:t> </w:t>
      </w:r>
      <w:r>
        <w:rPr>
          <w:sz w:val="23"/>
        </w:rPr>
        <w:t>e</w:t>
      </w:r>
      <w:r>
        <w:rPr>
          <w:spacing w:val="-13"/>
          <w:sz w:val="23"/>
        </w:rPr>
        <w:t> </w:t>
      </w:r>
      <w:r>
        <w:rPr>
          <w:spacing w:val="-2"/>
          <w:sz w:val="23"/>
        </w:rPr>
        <w:t>fosfolipídios</w:t>
      </w:r>
    </w:p>
    <w:p>
      <w:pPr>
        <w:pStyle w:val="ListParagraph"/>
        <w:numPr>
          <w:ilvl w:val="0"/>
          <w:numId w:val="14"/>
        </w:numPr>
        <w:tabs>
          <w:tab w:pos="431" w:val="left" w:leader="none"/>
        </w:tabs>
        <w:spacing w:line="276" w:lineRule="auto" w:before="56" w:after="0"/>
        <w:ind w:left="68" w:right="489" w:firstLine="0"/>
        <w:jc w:val="left"/>
        <w:rPr>
          <w:sz w:val="23"/>
        </w:rPr>
      </w:pPr>
      <w:r>
        <w:rPr>
          <w:sz w:val="23"/>
        </w:rPr>
        <w:t>A</w:t>
      </w:r>
      <w:r>
        <w:rPr>
          <w:spacing w:val="19"/>
          <w:sz w:val="23"/>
        </w:rPr>
        <w:t> </w:t>
      </w:r>
      <w:r>
        <w:rPr>
          <w:sz w:val="23"/>
        </w:rPr>
        <w:t>capa</w:t>
      </w:r>
      <w:r>
        <w:rPr>
          <w:spacing w:val="19"/>
          <w:sz w:val="23"/>
        </w:rPr>
        <w:t> </w:t>
      </w:r>
      <w:r>
        <w:rPr>
          <w:sz w:val="23"/>
        </w:rPr>
        <w:t>fibrosa,</w:t>
      </w:r>
      <w:r>
        <w:rPr>
          <w:spacing w:val="29"/>
          <w:sz w:val="23"/>
        </w:rPr>
        <w:t> </w:t>
      </w:r>
      <w:r>
        <w:rPr>
          <w:sz w:val="23"/>
        </w:rPr>
        <w:t>composta</w:t>
      </w:r>
      <w:r>
        <w:rPr>
          <w:spacing w:val="19"/>
          <w:sz w:val="23"/>
        </w:rPr>
        <w:t> </w:t>
      </w:r>
      <w:r>
        <w:rPr>
          <w:sz w:val="23"/>
        </w:rPr>
        <w:t>por</w:t>
      </w:r>
      <w:r>
        <w:rPr>
          <w:spacing w:val="26"/>
          <w:sz w:val="23"/>
        </w:rPr>
        <w:t> </w:t>
      </w:r>
      <w:r>
        <w:rPr>
          <w:sz w:val="23"/>
        </w:rPr>
        <w:t>matriz</w:t>
      </w:r>
      <w:r>
        <w:rPr>
          <w:spacing w:val="19"/>
          <w:sz w:val="23"/>
        </w:rPr>
        <w:t> </w:t>
      </w:r>
      <w:r>
        <w:rPr>
          <w:sz w:val="23"/>
        </w:rPr>
        <w:t>de</w:t>
      </w:r>
      <w:r>
        <w:rPr>
          <w:spacing w:val="19"/>
          <w:sz w:val="23"/>
        </w:rPr>
        <w:t> </w:t>
      </w:r>
      <w:r>
        <w:rPr>
          <w:sz w:val="23"/>
        </w:rPr>
        <w:t>tecido</w:t>
      </w:r>
      <w:r>
        <w:rPr>
          <w:spacing w:val="21"/>
          <w:sz w:val="23"/>
        </w:rPr>
        <w:t> </w:t>
      </w:r>
      <w:r>
        <w:rPr>
          <w:sz w:val="23"/>
        </w:rPr>
        <w:t>conjuntivo</w:t>
      </w:r>
      <w:r>
        <w:rPr>
          <w:spacing w:val="21"/>
          <w:sz w:val="23"/>
        </w:rPr>
        <w:t> </w:t>
      </w:r>
      <w:r>
        <w:rPr>
          <w:sz w:val="23"/>
        </w:rPr>
        <w:t>extracelular,</w:t>
      </w:r>
      <w:r>
        <w:rPr>
          <w:spacing w:val="29"/>
          <w:sz w:val="23"/>
        </w:rPr>
        <w:t> </w:t>
      </w:r>
      <w:r>
        <w:rPr>
          <w:sz w:val="23"/>
        </w:rPr>
        <w:t>incluindo</w:t>
      </w:r>
      <w:r>
        <w:rPr>
          <w:spacing w:val="21"/>
          <w:sz w:val="23"/>
        </w:rPr>
        <w:t> </w:t>
      </w:r>
      <w:r>
        <w:rPr>
          <w:sz w:val="23"/>
        </w:rPr>
        <w:t>colágeno,</w:t>
      </w:r>
      <w:r>
        <w:rPr>
          <w:spacing w:val="29"/>
          <w:sz w:val="23"/>
        </w:rPr>
        <w:t> </w:t>
      </w:r>
      <w:r>
        <w:rPr>
          <w:sz w:val="23"/>
        </w:rPr>
        <w:t>proteoglicanos</w:t>
      </w:r>
      <w:r>
        <w:rPr>
          <w:spacing w:val="29"/>
          <w:sz w:val="23"/>
        </w:rPr>
        <w:t> </w:t>
      </w:r>
      <w:r>
        <w:rPr>
          <w:sz w:val="23"/>
        </w:rPr>
        <w:t>e </w:t>
      </w:r>
      <w:r>
        <w:rPr>
          <w:spacing w:val="-2"/>
          <w:sz w:val="23"/>
        </w:rPr>
        <w:t>fibronectina</w:t>
      </w:r>
    </w:p>
    <w:p>
      <w:pPr>
        <w:pStyle w:val="ListParagraph"/>
        <w:numPr>
          <w:ilvl w:val="0"/>
          <w:numId w:val="14"/>
        </w:numPr>
        <w:tabs>
          <w:tab w:pos="397" w:val="left" w:leader="none"/>
        </w:tabs>
        <w:spacing w:line="240" w:lineRule="auto" w:before="48" w:after="0"/>
        <w:ind w:left="397" w:right="0" w:hanging="329"/>
        <w:jc w:val="left"/>
        <w:rPr>
          <w:sz w:val="23"/>
        </w:rPr>
      </w:pPr>
      <w:r>
        <w:rPr>
          <w:sz w:val="23"/>
        </w:rPr>
        <w:t>Células</w:t>
      </w:r>
      <w:r>
        <w:rPr>
          <w:spacing w:val="-5"/>
          <w:sz w:val="23"/>
        </w:rPr>
        <w:t> </w:t>
      </w:r>
      <w:r>
        <w:rPr>
          <w:sz w:val="23"/>
        </w:rPr>
        <w:t>inflamatórias,</w:t>
      </w:r>
      <w:r>
        <w:rPr>
          <w:spacing w:val="-3"/>
          <w:sz w:val="23"/>
        </w:rPr>
        <w:t> </w:t>
      </w:r>
      <w:r>
        <w:rPr>
          <w:sz w:val="23"/>
        </w:rPr>
        <w:t>como</w:t>
      </w:r>
      <w:r>
        <w:rPr>
          <w:spacing w:val="-10"/>
          <w:sz w:val="23"/>
        </w:rPr>
        <w:t> </w:t>
      </w:r>
      <w:r>
        <w:rPr>
          <w:sz w:val="23"/>
        </w:rPr>
        <w:t>macrófagos</w:t>
      </w:r>
      <w:r>
        <w:rPr>
          <w:spacing w:val="-3"/>
          <w:sz w:val="23"/>
        </w:rPr>
        <w:t> </w:t>
      </w:r>
      <w:r>
        <w:rPr>
          <w:sz w:val="23"/>
        </w:rPr>
        <w:t>e</w:t>
      </w:r>
      <w:r>
        <w:rPr>
          <w:spacing w:val="-13"/>
          <w:sz w:val="23"/>
        </w:rPr>
        <w:t> </w:t>
      </w:r>
      <w:r>
        <w:rPr>
          <w:sz w:val="23"/>
        </w:rPr>
        <w:t>linfócitos</w:t>
      </w:r>
      <w:r>
        <w:rPr>
          <w:spacing w:val="-3"/>
          <w:sz w:val="23"/>
        </w:rPr>
        <w:t> </w:t>
      </w:r>
      <w:r>
        <w:rPr>
          <w:sz w:val="23"/>
        </w:rPr>
        <w:t>T,</w:t>
      </w:r>
      <w:r>
        <w:rPr>
          <w:spacing w:val="-3"/>
          <w:sz w:val="23"/>
        </w:rPr>
        <w:t> </w:t>
      </w:r>
      <w:r>
        <w:rPr>
          <w:sz w:val="23"/>
        </w:rPr>
        <w:t>que</w:t>
      </w:r>
      <w:r>
        <w:rPr>
          <w:spacing w:val="-12"/>
          <w:sz w:val="23"/>
        </w:rPr>
        <w:t> </w:t>
      </w:r>
      <w:r>
        <w:rPr>
          <w:sz w:val="23"/>
        </w:rPr>
        <w:t>produzem</w:t>
      </w:r>
      <w:r>
        <w:rPr>
          <w:spacing w:val="-10"/>
          <w:sz w:val="23"/>
        </w:rPr>
        <w:t> </w:t>
      </w:r>
      <w:r>
        <w:rPr>
          <w:sz w:val="23"/>
        </w:rPr>
        <w:t>várias</w:t>
      </w:r>
      <w:r>
        <w:rPr>
          <w:spacing w:val="-3"/>
          <w:sz w:val="23"/>
        </w:rPr>
        <w:t> </w:t>
      </w:r>
      <w:r>
        <w:rPr>
          <w:sz w:val="23"/>
        </w:rPr>
        <w:t>enzimas</w:t>
      </w:r>
      <w:r>
        <w:rPr>
          <w:spacing w:val="-3"/>
          <w:sz w:val="23"/>
        </w:rPr>
        <w:t> </w:t>
      </w:r>
      <w:r>
        <w:rPr>
          <w:sz w:val="23"/>
        </w:rPr>
        <w:t>e</w:t>
      </w:r>
      <w:r>
        <w:rPr>
          <w:spacing w:val="-13"/>
          <w:sz w:val="23"/>
        </w:rPr>
        <w:t> </w:t>
      </w:r>
      <w:r>
        <w:rPr>
          <w:sz w:val="23"/>
        </w:rPr>
        <w:t>fatores</w:t>
      </w:r>
      <w:r>
        <w:rPr>
          <w:spacing w:val="-2"/>
          <w:sz w:val="23"/>
        </w:rPr>
        <w:t> procoagulantes.</w:t>
      </w:r>
      <w:r>
        <w:rPr>
          <w:spacing w:val="-2"/>
          <w:sz w:val="23"/>
          <w:vertAlign w:val="superscript"/>
        </w:rPr>
        <w:t>2</w:t>
      </w:r>
    </w:p>
    <w:p>
      <w:pPr>
        <w:pStyle w:val="ListParagraph"/>
        <w:spacing w:after="0" w:line="240" w:lineRule="auto"/>
        <w:jc w:val="left"/>
        <w:rPr>
          <w:sz w:val="23"/>
        </w:rPr>
        <w:sectPr>
          <w:pgSz w:w="11900" w:h="16840"/>
          <w:pgMar w:top="1060" w:bottom="280" w:left="566" w:right="141"/>
        </w:sectPr>
      </w:pPr>
    </w:p>
    <w:p>
      <w:pPr>
        <w:pStyle w:val="BodyText"/>
        <w:spacing w:line="290" w:lineRule="auto" w:before="68"/>
        <w:ind w:right="491"/>
      </w:pPr>
      <w:r>
        <w:rPr/>
        <w:t>Proporções variáveis desses componentes ocorrem</w:t>
      </w:r>
      <w:r>
        <w:rPr>
          <w:spacing w:val="-7"/>
        </w:rPr>
        <w:t> </w:t>
      </w:r>
      <w:r>
        <w:rPr/>
        <w:t>em</w:t>
      </w:r>
      <w:r>
        <w:rPr>
          <w:spacing w:val="-7"/>
        </w:rPr>
        <w:t> </w:t>
      </w:r>
      <w:r>
        <w:rPr/>
        <w:t>diferentes placas e</w:t>
      </w:r>
      <w:r>
        <w:rPr>
          <w:spacing w:val="-10"/>
        </w:rPr>
        <w:t> </w:t>
      </w:r>
      <w:r>
        <w:rPr/>
        <w:t>definem</w:t>
      </w:r>
      <w:r>
        <w:rPr>
          <w:spacing w:val="-7"/>
        </w:rPr>
        <w:t> </w:t>
      </w:r>
      <w:r>
        <w:rPr/>
        <w:t>a</w:t>
      </w:r>
      <w:r>
        <w:rPr>
          <w:spacing w:val="-10"/>
        </w:rPr>
        <w:t> </w:t>
      </w:r>
      <w:r>
        <w:rPr/>
        <w:t>probabilidade</w:t>
      </w:r>
      <w:r>
        <w:rPr>
          <w:spacing w:val="-10"/>
        </w:rPr>
        <w:t> </w:t>
      </w:r>
      <w:r>
        <w:rPr/>
        <w:t>de</w:t>
      </w:r>
      <w:r>
        <w:rPr>
          <w:spacing w:val="-10"/>
        </w:rPr>
        <w:t> </w:t>
      </w:r>
      <w:r>
        <w:rPr/>
        <w:t>um</w:t>
      </w:r>
      <w:r>
        <w:rPr>
          <w:spacing w:val="-7"/>
        </w:rPr>
        <w:t> </w:t>
      </w:r>
      <w:r>
        <w:rPr/>
        <w:t>amplo espectro de lesões.</w:t>
      </w:r>
      <w:r>
        <w:rPr>
          <w:vertAlign w:val="superscript"/>
        </w:rPr>
        <w:t>1,4</w:t>
      </w:r>
    </w:p>
    <w:p>
      <w:pPr>
        <w:pStyle w:val="BodyText"/>
        <w:spacing w:line="283" w:lineRule="auto" w:before="49"/>
        <w:ind w:right="488"/>
      </w:pPr>
      <w:r>
        <w:rPr/>
        <w:t>Evidências</w:t>
      </w:r>
      <w:r>
        <w:rPr>
          <w:spacing w:val="-5"/>
        </w:rPr>
        <w:t> </w:t>
      </w:r>
      <w:r>
        <w:rPr/>
        <w:t>indicam</w:t>
      </w:r>
      <w:r>
        <w:rPr>
          <w:spacing w:val="-13"/>
        </w:rPr>
        <w:t> </w:t>
      </w:r>
      <w:r>
        <w:rPr/>
        <w:t>que</w:t>
      </w:r>
      <w:r>
        <w:rPr>
          <w:spacing w:val="-15"/>
        </w:rPr>
        <w:t> </w:t>
      </w:r>
      <w:r>
        <w:rPr/>
        <w:t>tanto</w:t>
      </w:r>
      <w:r>
        <w:rPr>
          <w:spacing w:val="-12"/>
        </w:rPr>
        <w:t> </w:t>
      </w:r>
      <w:r>
        <w:rPr/>
        <w:t>as</w:t>
      </w:r>
      <w:r>
        <w:rPr>
          <w:spacing w:val="-5"/>
        </w:rPr>
        <w:t> </w:t>
      </w:r>
      <w:r>
        <w:rPr/>
        <w:t>propriedades</w:t>
      </w:r>
      <w:r>
        <w:rPr>
          <w:spacing w:val="-5"/>
        </w:rPr>
        <w:t> </w:t>
      </w:r>
      <w:r>
        <w:rPr/>
        <w:t>intrínsecas</w:t>
      </w:r>
      <w:r>
        <w:rPr>
          <w:spacing w:val="-5"/>
        </w:rPr>
        <w:t> </w:t>
      </w:r>
      <w:r>
        <w:rPr/>
        <w:t>da</w:t>
      </w:r>
      <w:r>
        <w:rPr>
          <w:spacing w:val="-15"/>
        </w:rPr>
        <w:t> </w:t>
      </w:r>
      <w:r>
        <w:rPr/>
        <w:t>placa</w:t>
      </w:r>
      <w:r>
        <w:rPr>
          <w:spacing w:val="-14"/>
        </w:rPr>
        <w:t> </w:t>
      </w:r>
      <w:r>
        <w:rPr/>
        <w:t>(vulnerabilidade)</w:t>
      </w:r>
      <w:r>
        <w:rPr>
          <w:spacing w:val="-7"/>
        </w:rPr>
        <w:t> </w:t>
      </w:r>
      <w:r>
        <w:rPr/>
        <w:t>como</w:t>
      </w:r>
      <w:r>
        <w:rPr>
          <w:spacing w:val="-13"/>
        </w:rPr>
        <w:t> </w:t>
      </w:r>
      <w:r>
        <w:rPr/>
        <w:t>forças</w:t>
      </w:r>
      <w:r>
        <w:rPr>
          <w:spacing w:val="-5"/>
        </w:rPr>
        <w:t> </w:t>
      </w:r>
      <w:r>
        <w:rPr/>
        <w:t>extrínsecas</w:t>
      </w:r>
      <w:r>
        <w:rPr>
          <w:spacing w:val="-5"/>
        </w:rPr>
        <w:t> </w:t>
      </w:r>
      <w:r>
        <w:rPr/>
        <w:t>que agem sobre ela levam ao risco de ruptura, sendo os principais determinantes de eventos isquêmicos futuros.</w:t>
      </w:r>
      <w:r>
        <w:rPr>
          <w:vertAlign w:val="superscript"/>
        </w:rPr>
        <w:t>4</w:t>
      </w:r>
      <w:r>
        <w:rPr>
          <w:vertAlign w:val="baseline"/>
        </w:rPr>
        <w:t> As placas propensas a ruptura em artérias coronárias, chamadas de alto risco ou vulneráveis, têm as seguintes características: tendem a ser maiores, geralmente com remodelamento positivo, grande núcleo lipídico ocupando mais de 40% do volume total da placa, alto conteúdo de macrófagos, com infiltração destas e de outras células inflamatórias na capa fibrosa e adventícia, apresentam capa fina e têm maior neovascularização.</w:t>
      </w:r>
      <w:r>
        <w:rPr>
          <w:vertAlign w:val="superscript"/>
        </w:rPr>
        <w:t>4,5,10–12</w:t>
      </w:r>
      <w:r>
        <w:rPr>
          <w:vertAlign w:val="baseline"/>
        </w:rPr>
        <w:t> Um núcleo lipídico grande e excêntrico pode conferir desequilíbrio mecânico à placa pelo estresse circunferencial às regiões mais propensas à ruptura.</w:t>
      </w:r>
      <w:r>
        <w:rPr>
          <w:vertAlign w:val="superscript"/>
        </w:rPr>
        <w:t>12</w:t>
      </w:r>
    </w:p>
    <w:p>
      <w:pPr>
        <w:pStyle w:val="BodyText"/>
        <w:spacing w:line="283" w:lineRule="auto" w:before="34"/>
        <w:ind w:right="497"/>
      </w:pPr>
      <w:r>
        <w:rPr/>
        <w:t>Desde os estudos anatomopatológicos de Davies </w:t>
      </w:r>
      <w:r>
        <w:rPr>
          <w:i/>
        </w:rPr>
        <w:t>et al. </w:t>
      </w:r>
      <w:r>
        <w:rPr/>
        <w:t>estabeleceu-se o conceito de que a ruptura de placas ateroscleróticas precipita a formação de trombos oclusivos, o que leva ao IAM.</w:t>
      </w:r>
      <w:r>
        <w:rPr>
          <w:vertAlign w:val="superscript"/>
        </w:rPr>
        <w:t>13</w:t>
      </w:r>
      <w:r>
        <w:rPr>
          <w:vertAlign w:val="baseline"/>
        </w:rPr>
        <w:t> A ruptura, com consequente trombose, também foi descrita em mortes de causas não cardíacas na ausência de sintomas de infarto agudo do miocárdio</w:t>
      </w:r>
      <w:r>
        <w:rPr>
          <w:spacing w:val="-8"/>
          <w:vertAlign w:val="baseline"/>
        </w:rPr>
        <w:t> </w:t>
      </w:r>
      <w:r>
        <w:rPr>
          <w:vertAlign w:val="baseline"/>
        </w:rPr>
        <w:t>(IAM). Sabe-se</w:t>
      </w:r>
      <w:r>
        <w:rPr>
          <w:spacing w:val="-11"/>
          <w:vertAlign w:val="baseline"/>
        </w:rPr>
        <w:t> </w:t>
      </w:r>
      <w:r>
        <w:rPr>
          <w:vertAlign w:val="baseline"/>
        </w:rPr>
        <w:t>hoje</w:t>
      </w:r>
      <w:r>
        <w:rPr>
          <w:spacing w:val="-11"/>
          <w:vertAlign w:val="baseline"/>
        </w:rPr>
        <w:t> </w:t>
      </w:r>
      <w:r>
        <w:rPr>
          <w:vertAlign w:val="baseline"/>
        </w:rPr>
        <w:t>que</w:t>
      </w:r>
      <w:r>
        <w:rPr>
          <w:spacing w:val="-11"/>
          <w:vertAlign w:val="baseline"/>
        </w:rPr>
        <w:t> </w:t>
      </w:r>
      <w:r>
        <w:rPr>
          <w:vertAlign w:val="baseline"/>
        </w:rPr>
        <w:t>placas com</w:t>
      </w:r>
      <w:r>
        <w:rPr>
          <w:spacing w:val="-8"/>
          <w:vertAlign w:val="baseline"/>
        </w:rPr>
        <w:t> </w:t>
      </w:r>
      <w:r>
        <w:rPr>
          <w:vertAlign w:val="baseline"/>
        </w:rPr>
        <w:t>elevado</w:t>
      </w:r>
      <w:r>
        <w:rPr>
          <w:spacing w:val="-8"/>
          <w:vertAlign w:val="baseline"/>
        </w:rPr>
        <w:t> </w:t>
      </w:r>
      <w:r>
        <w:rPr>
          <w:vertAlign w:val="baseline"/>
        </w:rPr>
        <w:t>conteúdo</w:t>
      </w:r>
      <w:r>
        <w:rPr>
          <w:spacing w:val="-8"/>
          <w:vertAlign w:val="baseline"/>
        </w:rPr>
        <w:t> </w:t>
      </w:r>
      <w:r>
        <w:rPr>
          <w:vertAlign w:val="baseline"/>
        </w:rPr>
        <w:t>lipídico</w:t>
      </w:r>
      <w:r>
        <w:rPr>
          <w:spacing w:val="-8"/>
          <w:vertAlign w:val="baseline"/>
        </w:rPr>
        <w:t> </w:t>
      </w:r>
      <w:r>
        <w:rPr>
          <w:vertAlign w:val="baseline"/>
        </w:rPr>
        <w:t>são</w:t>
      </w:r>
      <w:r>
        <w:rPr>
          <w:spacing w:val="-8"/>
          <w:vertAlign w:val="baseline"/>
        </w:rPr>
        <w:t> </w:t>
      </w:r>
      <w:r>
        <w:rPr>
          <w:vertAlign w:val="baseline"/>
        </w:rPr>
        <w:t>mais trombogênicas que</w:t>
      </w:r>
      <w:r>
        <w:rPr>
          <w:spacing w:val="-11"/>
          <w:vertAlign w:val="baseline"/>
        </w:rPr>
        <w:t> </w:t>
      </w:r>
      <w:r>
        <w:rPr>
          <w:vertAlign w:val="baseline"/>
        </w:rPr>
        <w:t>as fibróticas, provavelmente pela alta concentração de fator tecidual.</w:t>
      </w:r>
      <w:r>
        <w:rPr>
          <w:vertAlign w:val="superscript"/>
        </w:rPr>
        <w:t>6</w:t>
      </w:r>
      <w:r>
        <w:rPr>
          <w:vertAlign w:val="baseline"/>
        </w:rPr>
        <w:t> Os macrófagos são a principal fonte desse fator trombogênico. Trombose</w:t>
      </w:r>
      <w:r>
        <w:rPr>
          <w:spacing w:val="-7"/>
          <w:vertAlign w:val="baseline"/>
        </w:rPr>
        <w:t> </w:t>
      </w:r>
      <w:r>
        <w:rPr>
          <w:vertAlign w:val="baseline"/>
        </w:rPr>
        <w:t>coronariana</w:t>
      </w:r>
      <w:r>
        <w:rPr>
          <w:spacing w:val="-7"/>
          <w:vertAlign w:val="baseline"/>
        </w:rPr>
        <w:t> </w:t>
      </w:r>
      <w:r>
        <w:rPr>
          <w:vertAlign w:val="baseline"/>
        </w:rPr>
        <w:t>tem</w:t>
      </w:r>
      <w:r>
        <w:rPr>
          <w:spacing w:val="-4"/>
          <w:vertAlign w:val="baseline"/>
        </w:rPr>
        <w:t> </w:t>
      </w:r>
      <w:r>
        <w:rPr>
          <w:vertAlign w:val="baseline"/>
        </w:rPr>
        <w:t>sido</w:t>
      </w:r>
      <w:r>
        <w:rPr>
          <w:spacing w:val="-4"/>
          <w:vertAlign w:val="baseline"/>
        </w:rPr>
        <w:t> </w:t>
      </w:r>
      <w:r>
        <w:rPr>
          <w:vertAlign w:val="baseline"/>
        </w:rPr>
        <w:t>observada</w:t>
      </w:r>
      <w:r>
        <w:rPr>
          <w:spacing w:val="-7"/>
          <w:vertAlign w:val="baseline"/>
        </w:rPr>
        <w:t> </w:t>
      </w:r>
      <w:r>
        <w:rPr>
          <w:vertAlign w:val="baseline"/>
        </w:rPr>
        <w:t>sobrepondo</w:t>
      </w:r>
      <w:r>
        <w:rPr>
          <w:spacing w:val="-4"/>
          <w:vertAlign w:val="baseline"/>
        </w:rPr>
        <w:t> </w:t>
      </w:r>
      <w:r>
        <w:rPr>
          <w:vertAlign w:val="baseline"/>
        </w:rPr>
        <w:t>placas ateroscleróticas em</w:t>
      </w:r>
      <w:r>
        <w:rPr>
          <w:spacing w:val="-4"/>
          <w:vertAlign w:val="baseline"/>
        </w:rPr>
        <w:t> </w:t>
      </w:r>
      <w:r>
        <w:rPr>
          <w:vertAlign w:val="baseline"/>
        </w:rPr>
        <w:t>cerca</w:t>
      </w:r>
      <w:r>
        <w:rPr>
          <w:spacing w:val="-7"/>
          <w:vertAlign w:val="baseline"/>
        </w:rPr>
        <w:t> </w:t>
      </w:r>
      <w:r>
        <w:rPr>
          <w:vertAlign w:val="baseline"/>
        </w:rPr>
        <w:t>de</w:t>
      </w:r>
      <w:r>
        <w:rPr>
          <w:spacing w:val="-7"/>
          <w:vertAlign w:val="baseline"/>
        </w:rPr>
        <w:t> </w:t>
      </w:r>
      <w:r>
        <w:rPr>
          <w:vertAlign w:val="baseline"/>
        </w:rPr>
        <w:t>20</w:t>
      </w:r>
      <w:r>
        <w:rPr>
          <w:spacing w:val="-4"/>
          <w:vertAlign w:val="baseline"/>
        </w:rPr>
        <w:t> </w:t>
      </w:r>
      <w:r>
        <w:rPr>
          <w:vertAlign w:val="baseline"/>
        </w:rPr>
        <w:t>a</w:t>
      </w:r>
      <w:r>
        <w:rPr>
          <w:spacing w:val="-7"/>
          <w:vertAlign w:val="baseline"/>
        </w:rPr>
        <w:t> </w:t>
      </w:r>
      <w:r>
        <w:rPr>
          <w:vertAlign w:val="baseline"/>
        </w:rPr>
        <w:t>40% de casos, mesmo sem ruptura da capa fibrosa.</w:t>
      </w:r>
      <w:r>
        <w:rPr>
          <w:vertAlign w:val="superscript"/>
        </w:rPr>
        <w:t>13,14</w:t>
      </w:r>
      <w:r>
        <w:rPr>
          <w:vertAlign w:val="baseline"/>
        </w:rPr>
        <w:t> Esses trombos ocorrem em placas que sofrem erosões superficiais, geralmente</w:t>
      </w:r>
      <w:r>
        <w:rPr>
          <w:spacing w:val="-10"/>
          <w:vertAlign w:val="baseline"/>
        </w:rPr>
        <w:t> </w:t>
      </w:r>
      <w:r>
        <w:rPr>
          <w:vertAlign w:val="baseline"/>
        </w:rPr>
        <w:t>mais comuns em</w:t>
      </w:r>
      <w:r>
        <w:rPr>
          <w:spacing w:val="-8"/>
          <w:vertAlign w:val="baseline"/>
        </w:rPr>
        <w:t> </w:t>
      </w:r>
      <w:r>
        <w:rPr>
          <w:vertAlign w:val="baseline"/>
        </w:rPr>
        <w:t>indivíduos jovens vítimas de</w:t>
      </w:r>
      <w:r>
        <w:rPr>
          <w:spacing w:val="-10"/>
          <w:vertAlign w:val="baseline"/>
        </w:rPr>
        <w:t> </w:t>
      </w:r>
      <w:r>
        <w:rPr>
          <w:vertAlign w:val="baseline"/>
        </w:rPr>
        <w:t>morte</w:t>
      </w:r>
      <w:r>
        <w:rPr>
          <w:spacing w:val="-10"/>
          <w:vertAlign w:val="baseline"/>
        </w:rPr>
        <w:t> </w:t>
      </w:r>
      <w:r>
        <w:rPr>
          <w:vertAlign w:val="baseline"/>
        </w:rPr>
        <w:t>súbita, fumantes e</w:t>
      </w:r>
      <w:r>
        <w:rPr>
          <w:spacing w:val="-10"/>
          <w:vertAlign w:val="baseline"/>
        </w:rPr>
        <w:t> </w:t>
      </w:r>
      <w:r>
        <w:rPr>
          <w:vertAlign w:val="baseline"/>
        </w:rPr>
        <w:t>mulheres.</w:t>
      </w:r>
      <w:r>
        <w:rPr>
          <w:vertAlign w:val="superscript"/>
        </w:rPr>
        <w:t>14</w:t>
      </w:r>
      <w:r>
        <w:rPr>
          <w:spacing w:val="-1"/>
          <w:vertAlign w:val="baseline"/>
        </w:rPr>
        <w:t> </w:t>
      </w:r>
      <w:r>
        <w:rPr>
          <w:vertAlign w:val="baseline"/>
        </w:rPr>
        <w:t>Apesar de</w:t>
      </w:r>
      <w:r>
        <w:rPr>
          <w:spacing w:val="-5"/>
          <w:vertAlign w:val="baseline"/>
        </w:rPr>
        <w:t> </w:t>
      </w:r>
      <w:r>
        <w:rPr>
          <w:vertAlign w:val="baseline"/>
        </w:rPr>
        <w:t>o</w:t>
      </w:r>
      <w:r>
        <w:rPr>
          <w:spacing w:val="-3"/>
          <w:vertAlign w:val="baseline"/>
        </w:rPr>
        <w:t> </w:t>
      </w:r>
      <w:r>
        <w:rPr>
          <w:vertAlign w:val="baseline"/>
        </w:rPr>
        <w:t>mecanismo</w:t>
      </w:r>
      <w:r>
        <w:rPr>
          <w:spacing w:val="-3"/>
          <w:vertAlign w:val="baseline"/>
        </w:rPr>
        <w:t> </w:t>
      </w:r>
      <w:r>
        <w:rPr>
          <w:vertAlign w:val="baseline"/>
        </w:rPr>
        <w:t>que</w:t>
      </w:r>
      <w:r>
        <w:rPr>
          <w:spacing w:val="-5"/>
          <w:vertAlign w:val="baseline"/>
        </w:rPr>
        <w:t> </w:t>
      </w:r>
      <w:r>
        <w:rPr>
          <w:vertAlign w:val="baseline"/>
        </w:rPr>
        <w:t>leva</w:t>
      </w:r>
      <w:r>
        <w:rPr>
          <w:spacing w:val="-5"/>
          <w:vertAlign w:val="baseline"/>
        </w:rPr>
        <w:t> </w:t>
      </w:r>
      <w:r>
        <w:rPr>
          <w:vertAlign w:val="baseline"/>
        </w:rPr>
        <w:t>a</w:t>
      </w:r>
      <w:r>
        <w:rPr>
          <w:spacing w:val="-5"/>
          <w:vertAlign w:val="baseline"/>
        </w:rPr>
        <w:t> </w:t>
      </w:r>
      <w:r>
        <w:rPr>
          <w:vertAlign w:val="baseline"/>
        </w:rPr>
        <w:t>essa</w:t>
      </w:r>
      <w:r>
        <w:rPr>
          <w:spacing w:val="-5"/>
          <w:vertAlign w:val="baseline"/>
        </w:rPr>
        <w:t> </w:t>
      </w:r>
      <w:r>
        <w:rPr>
          <w:vertAlign w:val="baseline"/>
        </w:rPr>
        <w:t>trombose</w:t>
      </w:r>
      <w:r>
        <w:rPr>
          <w:spacing w:val="-5"/>
          <w:vertAlign w:val="baseline"/>
        </w:rPr>
        <w:t> </w:t>
      </w:r>
      <w:r>
        <w:rPr>
          <w:vertAlign w:val="baseline"/>
        </w:rPr>
        <w:t>não</w:t>
      </w:r>
      <w:r>
        <w:rPr>
          <w:spacing w:val="-3"/>
          <w:vertAlign w:val="baseline"/>
        </w:rPr>
        <w:t> </w:t>
      </w:r>
      <w:r>
        <w:rPr>
          <w:vertAlign w:val="baseline"/>
        </w:rPr>
        <w:t>estar totalmente</w:t>
      </w:r>
      <w:r>
        <w:rPr>
          <w:spacing w:val="-5"/>
          <w:vertAlign w:val="baseline"/>
        </w:rPr>
        <w:t> </w:t>
      </w:r>
      <w:r>
        <w:rPr>
          <w:vertAlign w:val="baseline"/>
        </w:rPr>
        <w:t>elucidado, provavelmente</w:t>
      </w:r>
      <w:r>
        <w:rPr>
          <w:spacing w:val="-5"/>
          <w:vertAlign w:val="baseline"/>
        </w:rPr>
        <w:t> </w:t>
      </w:r>
      <w:r>
        <w:rPr>
          <w:vertAlign w:val="baseline"/>
        </w:rPr>
        <w:t>fontes circulantes de</w:t>
      </w:r>
      <w:r>
        <w:rPr>
          <w:spacing w:val="-5"/>
          <w:vertAlign w:val="baseline"/>
        </w:rPr>
        <w:t> </w:t>
      </w:r>
      <w:r>
        <w:rPr>
          <w:vertAlign w:val="baseline"/>
        </w:rPr>
        <w:t>fator tecidual, além daqueles fatores derivados da placa, contribuem para trombose em locais onde existe denudação endotelial pela sua erosão.</w:t>
      </w:r>
      <w:r>
        <w:rPr>
          <w:vertAlign w:val="superscript"/>
        </w:rPr>
        <w:t>15</w:t>
      </w:r>
    </w:p>
    <w:p>
      <w:pPr>
        <w:pStyle w:val="BodyText"/>
        <w:spacing w:line="280" w:lineRule="auto" w:before="58"/>
        <w:ind w:right="491"/>
      </w:pPr>
      <w:r>
        <w:rPr/>
        <w:t>As placas vulneráveis de artérias coronárias são geralmente pouco estenóticas e contêm grande conteúdo lipídico. Em contraste, as placas mais graves localizadas em carótidas são severamente estenóticas, heterogêneas, com predomínio de fibrose, e não necessariamente ricas em lipídios. Essas características levaram ao conceito de placas de </w:t>
      </w:r>
      <w:r>
        <w:rPr>
          <w:i/>
        </w:rPr>
        <w:t>alto risco</w:t>
      </w:r>
      <w:r>
        <w:rPr/>
        <w:t>, e não de </w:t>
      </w:r>
      <w:r>
        <w:rPr>
          <w:i/>
        </w:rPr>
        <w:t>vulneráveis</w:t>
      </w:r>
      <w:r>
        <w:rPr/>
        <w:t>, nesses locais.</w:t>
      </w:r>
      <w:r>
        <w:rPr>
          <w:vertAlign w:val="superscript"/>
        </w:rPr>
        <w:t>16</w:t>
      </w:r>
      <w:r>
        <w:rPr>
          <w:vertAlign w:val="baseline"/>
        </w:rPr>
        <w:t> A ruptura da placa em carótidas geralmente ocorre por um</w:t>
      </w:r>
      <w:r>
        <w:rPr>
          <w:spacing w:val="-10"/>
          <w:vertAlign w:val="baseline"/>
        </w:rPr>
        <w:t> </w:t>
      </w:r>
      <w:r>
        <w:rPr>
          <w:vertAlign w:val="baseline"/>
        </w:rPr>
        <w:t>hematoma</w:t>
      </w:r>
      <w:r>
        <w:rPr>
          <w:spacing w:val="-12"/>
          <w:vertAlign w:val="baseline"/>
        </w:rPr>
        <w:t> </w:t>
      </w:r>
      <w:r>
        <w:rPr>
          <w:vertAlign w:val="baseline"/>
        </w:rPr>
        <w:t>intramural</w:t>
      </w:r>
      <w:r>
        <w:rPr>
          <w:spacing w:val="-8"/>
          <w:vertAlign w:val="baseline"/>
        </w:rPr>
        <w:t> </w:t>
      </w:r>
      <w:r>
        <w:rPr>
          <w:vertAlign w:val="baseline"/>
        </w:rPr>
        <w:t>ou</w:t>
      </w:r>
      <w:r>
        <w:rPr>
          <w:spacing w:val="-10"/>
          <w:vertAlign w:val="baseline"/>
        </w:rPr>
        <w:t> </w:t>
      </w:r>
      <w:r>
        <w:rPr>
          <w:vertAlign w:val="baseline"/>
        </w:rPr>
        <w:t>dissecção,</w:t>
      </w:r>
      <w:r>
        <w:rPr>
          <w:spacing w:val="-3"/>
          <w:vertAlign w:val="baseline"/>
        </w:rPr>
        <w:t> </w:t>
      </w:r>
      <w:r>
        <w:rPr>
          <w:vertAlign w:val="baseline"/>
        </w:rPr>
        <w:t>provavelmente</w:t>
      </w:r>
      <w:r>
        <w:rPr>
          <w:spacing w:val="-12"/>
          <w:vertAlign w:val="baseline"/>
        </w:rPr>
        <w:t> </w:t>
      </w:r>
      <w:r>
        <w:rPr>
          <w:vertAlign w:val="baseline"/>
        </w:rPr>
        <w:t>relacionada</w:t>
      </w:r>
      <w:r>
        <w:rPr>
          <w:spacing w:val="-12"/>
          <w:vertAlign w:val="baseline"/>
        </w:rPr>
        <w:t> </w:t>
      </w:r>
      <w:r>
        <w:rPr>
          <w:vertAlign w:val="baseline"/>
        </w:rPr>
        <w:t>com</w:t>
      </w:r>
      <w:r>
        <w:rPr>
          <w:spacing w:val="-10"/>
          <w:vertAlign w:val="baseline"/>
        </w:rPr>
        <w:t> </w:t>
      </w:r>
      <w:r>
        <w:rPr>
          <w:vertAlign w:val="baseline"/>
        </w:rPr>
        <w:t>o</w:t>
      </w:r>
      <w:r>
        <w:rPr>
          <w:spacing w:val="-10"/>
          <w:vertAlign w:val="baseline"/>
        </w:rPr>
        <w:t> </w:t>
      </w:r>
      <w:r>
        <w:rPr>
          <w:vertAlign w:val="baseline"/>
        </w:rPr>
        <w:t>impacto</w:t>
      </w:r>
      <w:r>
        <w:rPr>
          <w:spacing w:val="-10"/>
          <w:vertAlign w:val="baseline"/>
        </w:rPr>
        <w:t> </w:t>
      </w:r>
      <w:r>
        <w:rPr>
          <w:vertAlign w:val="baseline"/>
        </w:rPr>
        <w:t>do</w:t>
      </w:r>
      <w:r>
        <w:rPr>
          <w:spacing w:val="-10"/>
          <w:vertAlign w:val="baseline"/>
        </w:rPr>
        <w:t> </w:t>
      </w:r>
      <w:r>
        <w:rPr>
          <w:vertAlign w:val="baseline"/>
        </w:rPr>
        <w:t>sangue</w:t>
      </w:r>
      <w:r>
        <w:rPr>
          <w:spacing w:val="-12"/>
          <w:vertAlign w:val="baseline"/>
        </w:rPr>
        <w:t> </w:t>
      </w:r>
      <w:r>
        <w:rPr>
          <w:vertAlign w:val="baseline"/>
        </w:rPr>
        <w:t>durante</w:t>
      </w:r>
      <w:r>
        <w:rPr>
          <w:spacing w:val="-12"/>
          <w:vertAlign w:val="baseline"/>
        </w:rPr>
        <w:t> </w:t>
      </w:r>
      <w:r>
        <w:rPr>
          <w:vertAlign w:val="baseline"/>
        </w:rPr>
        <w:t>a</w:t>
      </w:r>
      <w:r>
        <w:rPr>
          <w:spacing w:val="-12"/>
          <w:vertAlign w:val="baseline"/>
        </w:rPr>
        <w:t> </w:t>
      </w:r>
      <w:r>
        <w:rPr>
          <w:vertAlign w:val="baseline"/>
        </w:rPr>
        <w:t>sístole</w:t>
      </w:r>
      <w:r>
        <w:rPr>
          <w:spacing w:val="-12"/>
          <w:vertAlign w:val="baseline"/>
        </w:rPr>
        <w:t> </w:t>
      </w:r>
      <w:r>
        <w:rPr>
          <w:vertAlign w:val="baseline"/>
        </w:rPr>
        <w:t>contra a resistência de importante estenose. Os processos de aterosclerose e trombose com frequência se correlacionam, e por esse motivo deveriam ser integrados em um único termo chamado aterotrombose.</w:t>
      </w:r>
      <w:r>
        <w:rPr>
          <w:vertAlign w:val="superscript"/>
        </w:rPr>
        <w:t>16</w:t>
      </w:r>
      <w:r>
        <w:rPr>
          <w:vertAlign w:val="baseline"/>
        </w:rPr>
        <w:t> Na </w:t>
      </w:r>
      <w:r>
        <w:rPr>
          <w:color w:val="505050"/>
          <w:vertAlign w:val="baseline"/>
        </w:rPr>
        <w:t>Figura 54.1 </w:t>
      </w:r>
      <w:r>
        <w:rPr>
          <w:vertAlign w:val="baseline"/>
        </w:rPr>
        <w:t>são resumidos os principais aspectos relacionados com a</w:t>
      </w:r>
      <w:r>
        <w:rPr>
          <w:spacing w:val="-3"/>
          <w:vertAlign w:val="baseline"/>
        </w:rPr>
        <w:t> </w:t>
      </w:r>
      <w:r>
        <w:rPr>
          <w:vertAlign w:val="baseline"/>
        </w:rPr>
        <w:t>instabilização da</w:t>
      </w:r>
      <w:r>
        <w:rPr>
          <w:spacing w:val="-3"/>
          <w:vertAlign w:val="baseline"/>
        </w:rPr>
        <w:t> </w:t>
      </w:r>
      <w:r>
        <w:rPr>
          <w:vertAlign w:val="baseline"/>
        </w:rPr>
        <w:t>placa</w:t>
      </w:r>
      <w:r>
        <w:rPr>
          <w:spacing w:val="-3"/>
          <w:vertAlign w:val="baseline"/>
        </w:rPr>
        <w:t> </w:t>
      </w:r>
      <w:r>
        <w:rPr>
          <w:vertAlign w:val="baseline"/>
        </w:rPr>
        <w:t>aterosclerótica.</w:t>
      </w:r>
    </w:p>
    <w:p>
      <w:pPr>
        <w:pStyle w:val="BodyText"/>
        <w:spacing w:before="1"/>
        <w:ind w:left="0" w:firstLine="0"/>
        <w:jc w:val="left"/>
        <w:rPr>
          <w:sz w:val="20"/>
        </w:rPr>
      </w:pPr>
      <w:r>
        <w:rPr>
          <w:sz w:val="20"/>
        </w:rPr>
        <w:drawing>
          <wp:anchor distT="0" distB="0" distL="0" distR="0" allowOverlap="1" layoutInCell="1" locked="0" behindDoc="1" simplePos="0" relativeHeight="487599104">
            <wp:simplePos x="0" y="0"/>
            <wp:positionH relativeFrom="page">
              <wp:posOffset>1306753</wp:posOffset>
            </wp:positionH>
            <wp:positionV relativeFrom="paragraph">
              <wp:posOffset>162476</wp:posOffset>
            </wp:positionV>
            <wp:extent cx="4963382" cy="301675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3" cstate="print"/>
                    <a:stretch>
                      <a:fillRect/>
                    </a:stretch>
                  </pic:blipFill>
                  <pic:spPr>
                    <a:xfrm>
                      <a:off x="0" y="0"/>
                      <a:ext cx="4963382" cy="3016758"/>
                    </a:xfrm>
                    <a:prstGeom prst="rect">
                      <a:avLst/>
                    </a:prstGeom>
                  </pic:spPr>
                </pic:pic>
              </a:graphicData>
            </a:graphic>
          </wp:anchor>
        </w:drawing>
      </w:r>
    </w:p>
    <w:p>
      <w:pPr>
        <w:pStyle w:val="BodyText"/>
        <w:spacing w:before="10"/>
        <w:ind w:left="0" w:firstLine="0"/>
        <w:jc w:val="left"/>
      </w:pPr>
    </w:p>
    <w:p>
      <w:pPr>
        <w:spacing w:line="302" w:lineRule="auto" w:before="0"/>
        <w:ind w:left="68" w:right="502" w:firstLine="0"/>
        <w:jc w:val="both"/>
        <w:rPr>
          <w:rFonts w:ascii="Microsoft Sans Serif" w:hAnsi="Microsoft Sans Serif"/>
          <w:sz w:val="19"/>
        </w:rPr>
      </w:pPr>
      <w:r>
        <w:rPr>
          <w:rFonts w:ascii="Arial" w:hAnsi="Arial"/>
          <w:b/>
          <w:color w:val="242B67"/>
          <w:sz w:val="19"/>
        </w:rPr>
        <w:t>Figura 54.1 </w:t>
      </w:r>
      <w:r>
        <w:rPr>
          <w:rFonts w:ascii="Microsoft Sans Serif" w:hAnsi="Microsoft Sans Serif"/>
          <w:sz w:val="19"/>
        </w:rPr>
        <w:t>Esquema dos vários fatores envolvidos no complexo processo de instabilização da placa. MMP = metaloproteinases de matriz; PAI-1 = inibidor do ativador de plasminogênio 1; RLO</w:t>
      </w:r>
      <w:r>
        <w:rPr>
          <w:rFonts w:ascii="Microsoft Sans Serif" w:hAnsi="Microsoft Sans Serif"/>
          <w:sz w:val="19"/>
          <w:vertAlign w:val="subscript"/>
        </w:rPr>
        <w:t>2</w:t>
      </w:r>
      <w:r>
        <w:rPr>
          <w:rFonts w:ascii="Microsoft Sans Serif" w:hAnsi="Microsoft Sans Serif"/>
          <w:sz w:val="19"/>
          <w:vertAlign w:val="baseline"/>
        </w:rPr>
        <w:t> = radicais livres de oxigênio; tPA = ativador tecidual</w:t>
      </w:r>
      <w:r>
        <w:rPr>
          <w:rFonts w:ascii="Microsoft Sans Serif" w:hAnsi="Microsoft Sans Serif"/>
          <w:spacing w:val="40"/>
          <w:sz w:val="19"/>
          <w:vertAlign w:val="baseline"/>
        </w:rPr>
        <w:t> </w:t>
      </w:r>
      <w:r>
        <w:rPr>
          <w:rFonts w:ascii="Microsoft Sans Serif" w:hAnsi="Microsoft Sans Serif"/>
          <w:sz w:val="19"/>
          <w:vertAlign w:val="baseline"/>
        </w:rPr>
        <w:t>do</w:t>
      </w:r>
      <w:r>
        <w:rPr>
          <w:rFonts w:ascii="Microsoft Sans Serif" w:hAnsi="Microsoft Sans Serif"/>
          <w:spacing w:val="40"/>
          <w:sz w:val="19"/>
          <w:vertAlign w:val="baseline"/>
        </w:rPr>
        <w:t> </w:t>
      </w:r>
      <w:r>
        <w:rPr>
          <w:rFonts w:ascii="Microsoft Sans Serif" w:hAnsi="Microsoft Sans Serif"/>
          <w:sz w:val="19"/>
          <w:vertAlign w:val="baseline"/>
        </w:rPr>
        <w:t>plasminogênio. (Adaptada</w:t>
      </w:r>
      <w:r>
        <w:rPr>
          <w:rFonts w:ascii="Microsoft Sans Serif" w:hAnsi="Microsoft Sans Serif"/>
          <w:spacing w:val="40"/>
          <w:sz w:val="19"/>
          <w:vertAlign w:val="baseline"/>
        </w:rPr>
        <w:t> </w:t>
      </w:r>
      <w:r>
        <w:rPr>
          <w:rFonts w:ascii="Microsoft Sans Serif" w:hAnsi="Microsoft Sans Serif"/>
          <w:sz w:val="19"/>
          <w:vertAlign w:val="baseline"/>
        </w:rPr>
        <w:t>de</w:t>
      </w:r>
      <w:r>
        <w:rPr>
          <w:rFonts w:ascii="Microsoft Sans Serif" w:hAnsi="Microsoft Sans Serif"/>
          <w:spacing w:val="40"/>
          <w:sz w:val="19"/>
          <w:vertAlign w:val="baseline"/>
        </w:rPr>
        <w:t> </w:t>
      </w:r>
      <w:r>
        <w:rPr>
          <w:rFonts w:ascii="Microsoft Sans Serif" w:hAnsi="Microsoft Sans Serif"/>
          <w:sz w:val="19"/>
          <w:vertAlign w:val="baseline"/>
        </w:rPr>
        <w:t>Da</w:t>
      </w:r>
      <w:r>
        <w:rPr>
          <w:rFonts w:ascii="Microsoft Sans Serif" w:hAnsi="Microsoft Sans Serif"/>
          <w:spacing w:val="40"/>
          <w:sz w:val="19"/>
          <w:vertAlign w:val="baseline"/>
        </w:rPr>
        <w:t> </w:t>
      </w:r>
      <w:r>
        <w:rPr>
          <w:rFonts w:ascii="Microsoft Sans Serif" w:hAnsi="Microsoft Sans Serif"/>
          <w:sz w:val="19"/>
          <w:vertAlign w:val="baseline"/>
        </w:rPr>
        <w:t>Luz </w:t>
      </w:r>
      <w:r>
        <w:rPr>
          <w:rFonts w:ascii="Arial" w:hAnsi="Arial"/>
          <w:i/>
          <w:sz w:val="19"/>
          <w:vertAlign w:val="baseline"/>
        </w:rPr>
        <w:t>et al</w:t>
      </w:r>
      <w:r>
        <w:rPr>
          <w:rFonts w:ascii="Microsoft Sans Serif" w:hAnsi="Microsoft Sans Serif"/>
          <w:sz w:val="19"/>
          <w:vertAlign w:val="baseline"/>
        </w:rPr>
        <w:t>.)</w:t>
      </w:r>
      <w:r>
        <w:rPr>
          <w:rFonts w:ascii="Microsoft Sans Serif" w:hAnsi="Microsoft Sans Serif"/>
          <w:sz w:val="19"/>
          <w:vertAlign w:val="superscript"/>
        </w:rPr>
        <w:t>17</w:t>
      </w:r>
    </w:p>
    <w:p>
      <w:pPr>
        <w:pStyle w:val="BodyText"/>
        <w:spacing w:before="209"/>
        <w:ind w:left="0" w:firstLine="0"/>
        <w:jc w:val="left"/>
        <w:rPr>
          <w:rFonts w:ascii="Microsoft Sans Serif"/>
          <w:sz w:val="19"/>
        </w:rPr>
      </w:pPr>
    </w:p>
    <w:p>
      <w:pPr>
        <w:pStyle w:val="Heading4"/>
        <w:jc w:val="both"/>
      </w:pPr>
      <w:r>
        <w:rPr>
          <w:color w:val="242B67"/>
        </w:rPr>
        <w:t>Categorias de fatores de </w:t>
      </w:r>
      <w:r>
        <w:rPr>
          <w:color w:val="242B67"/>
          <w:spacing w:val="-2"/>
        </w:rPr>
        <w:t>risco</w:t>
      </w:r>
    </w:p>
    <w:p>
      <w:pPr>
        <w:pStyle w:val="Heading4"/>
        <w:spacing w:after="0"/>
        <w:jc w:val="both"/>
        <w:sectPr>
          <w:pgSz w:w="11900" w:h="16840"/>
          <w:pgMar w:top="220" w:bottom="280" w:left="566" w:right="141"/>
        </w:sectPr>
      </w:pPr>
    </w:p>
    <w:p>
      <w:pPr>
        <w:pStyle w:val="BodyText"/>
        <w:spacing w:line="278" w:lineRule="auto" w:before="67"/>
        <w:ind w:right="487"/>
      </w:pPr>
      <w:r>
        <w:rPr/>
        <w:t>O conceito de fatores de risco foi baseado principalmente nos resultados dos últimos 60 anos do Estudo de Framingham,</w:t>
      </w:r>
      <w:r>
        <w:rPr>
          <w:spacing w:val="-2"/>
        </w:rPr>
        <w:t> </w:t>
      </w:r>
      <w:r>
        <w:rPr/>
        <w:t>e</w:t>
      </w:r>
      <w:r>
        <w:rPr>
          <w:spacing w:val="-12"/>
        </w:rPr>
        <w:t> </w:t>
      </w:r>
      <w:r>
        <w:rPr/>
        <w:t>atualmente</w:t>
      </w:r>
      <w:r>
        <w:rPr>
          <w:spacing w:val="-12"/>
        </w:rPr>
        <w:t> </w:t>
      </w:r>
      <w:r>
        <w:rPr/>
        <w:t>é</w:t>
      </w:r>
      <w:r>
        <w:rPr>
          <w:spacing w:val="-12"/>
        </w:rPr>
        <w:t> </w:t>
      </w:r>
      <w:r>
        <w:rPr/>
        <w:t>fortemente</w:t>
      </w:r>
      <w:r>
        <w:rPr>
          <w:spacing w:val="-12"/>
        </w:rPr>
        <w:t> </w:t>
      </w:r>
      <w:r>
        <w:rPr/>
        <w:t>aceito</w:t>
      </w:r>
      <w:r>
        <w:rPr>
          <w:spacing w:val="-10"/>
        </w:rPr>
        <w:t> </w:t>
      </w:r>
      <w:r>
        <w:rPr/>
        <w:t>e</w:t>
      </w:r>
      <w:r>
        <w:rPr>
          <w:spacing w:val="-12"/>
        </w:rPr>
        <w:t> </w:t>
      </w:r>
      <w:r>
        <w:rPr/>
        <w:t>utilizado.</w:t>
      </w:r>
      <w:r>
        <w:rPr>
          <w:vertAlign w:val="superscript"/>
        </w:rPr>
        <w:t>18</w:t>
      </w:r>
      <w:r>
        <w:rPr>
          <w:spacing w:val="-2"/>
          <w:vertAlign w:val="baseline"/>
        </w:rPr>
        <w:t> </w:t>
      </w:r>
      <w:r>
        <w:rPr>
          <w:vertAlign w:val="baseline"/>
        </w:rPr>
        <w:t>Várias</w:t>
      </w:r>
      <w:r>
        <w:rPr>
          <w:spacing w:val="-1"/>
          <w:vertAlign w:val="baseline"/>
        </w:rPr>
        <w:t> </w:t>
      </w:r>
      <w:r>
        <w:rPr>
          <w:vertAlign w:val="baseline"/>
        </w:rPr>
        <w:t>evidências</w:t>
      </w:r>
      <w:r>
        <w:rPr>
          <w:spacing w:val="-1"/>
          <w:vertAlign w:val="baseline"/>
        </w:rPr>
        <w:t> </w:t>
      </w:r>
      <w:r>
        <w:rPr>
          <w:vertAlign w:val="baseline"/>
        </w:rPr>
        <w:t>definem</w:t>
      </w:r>
      <w:r>
        <w:rPr>
          <w:spacing w:val="-8"/>
          <w:vertAlign w:val="baseline"/>
        </w:rPr>
        <w:t> </w:t>
      </w:r>
      <w:r>
        <w:rPr>
          <w:vertAlign w:val="baseline"/>
        </w:rPr>
        <w:t>alguns</w:t>
      </w:r>
      <w:r>
        <w:rPr>
          <w:spacing w:val="-1"/>
          <w:vertAlign w:val="baseline"/>
        </w:rPr>
        <w:t> </w:t>
      </w:r>
      <w:r>
        <w:rPr>
          <w:vertAlign w:val="baseline"/>
        </w:rPr>
        <w:t>fatores</w:t>
      </w:r>
      <w:r>
        <w:rPr>
          <w:spacing w:val="-1"/>
          <w:vertAlign w:val="baseline"/>
        </w:rPr>
        <w:t> </w:t>
      </w:r>
      <w:r>
        <w:rPr>
          <w:vertAlign w:val="baseline"/>
        </w:rPr>
        <w:t>de</w:t>
      </w:r>
      <w:r>
        <w:rPr>
          <w:spacing w:val="-10"/>
          <w:vertAlign w:val="baseline"/>
        </w:rPr>
        <w:t> </w:t>
      </w:r>
      <w:r>
        <w:rPr>
          <w:vertAlign w:val="baseline"/>
        </w:rPr>
        <w:t>risco</w:t>
      </w:r>
      <w:r>
        <w:rPr>
          <w:spacing w:val="-8"/>
          <w:vertAlign w:val="baseline"/>
        </w:rPr>
        <w:t> </w:t>
      </w:r>
      <w:r>
        <w:rPr>
          <w:vertAlign w:val="baseline"/>
        </w:rPr>
        <w:t>como independentes e maiores, sendo diretamente causadores de DAC; além disso, a modificação destes leva à redução de eventos coronarianos mais graves. Essa classe engloba o tabagismo, a pressão arterial elevada, o colesterol elevado (particularmente a fração LDL) e o diabetes. A lipoproteína de alta densidade (HDL) colesterol baixo, principalmente por estudos epidemiológicos, como o Prospective Cardiovascular Münster Study (PROCAM), tem estreita relação com maior incidência de DAC.</w:t>
      </w:r>
      <w:r>
        <w:rPr>
          <w:vertAlign w:val="superscript"/>
        </w:rPr>
        <w:t>19</w:t>
      </w:r>
      <w:r>
        <w:rPr>
          <w:vertAlign w:val="baseline"/>
        </w:rPr>
        <w:t> Magalhães,</w:t>
      </w:r>
      <w:r>
        <w:rPr>
          <w:vertAlign w:val="superscript"/>
        </w:rPr>
        <w:t>20</w:t>
      </w:r>
      <w:r>
        <w:rPr>
          <w:vertAlign w:val="baseline"/>
        </w:rPr>
        <w:t> avaliando pacientes submetidos à cirurgia de revascularização</w:t>
      </w:r>
      <w:r>
        <w:rPr>
          <w:spacing w:val="-5"/>
          <w:vertAlign w:val="baseline"/>
        </w:rPr>
        <w:t> </w:t>
      </w:r>
      <w:r>
        <w:rPr>
          <w:vertAlign w:val="baseline"/>
        </w:rPr>
        <w:t>miocárdica, demonstrou</w:t>
      </w:r>
      <w:r>
        <w:rPr>
          <w:spacing w:val="-5"/>
          <w:vertAlign w:val="baseline"/>
        </w:rPr>
        <w:t> </w:t>
      </w:r>
      <w:r>
        <w:rPr>
          <w:vertAlign w:val="baseline"/>
        </w:rPr>
        <w:t>que</w:t>
      </w:r>
      <w:r>
        <w:rPr>
          <w:spacing w:val="-8"/>
          <w:vertAlign w:val="baseline"/>
        </w:rPr>
        <w:t> </w:t>
      </w:r>
      <w:r>
        <w:rPr>
          <w:vertAlign w:val="baseline"/>
        </w:rPr>
        <w:t>HDL</w:t>
      </w:r>
      <w:r>
        <w:rPr>
          <w:spacing w:val="-1"/>
          <w:vertAlign w:val="baseline"/>
        </w:rPr>
        <w:t> </w:t>
      </w:r>
      <w:r>
        <w:rPr>
          <w:vertAlign w:val="baseline"/>
        </w:rPr>
        <w:t>abaixo</w:t>
      </w:r>
      <w:r>
        <w:rPr>
          <w:spacing w:val="-5"/>
          <w:vertAlign w:val="baseline"/>
        </w:rPr>
        <w:t> </w:t>
      </w:r>
      <w:r>
        <w:rPr>
          <w:vertAlign w:val="baseline"/>
        </w:rPr>
        <w:t>de</w:t>
      </w:r>
      <w:r>
        <w:rPr>
          <w:spacing w:val="-8"/>
          <w:vertAlign w:val="baseline"/>
        </w:rPr>
        <w:t> </w:t>
      </w:r>
      <w:r>
        <w:rPr>
          <w:vertAlign w:val="baseline"/>
        </w:rPr>
        <w:t>35</w:t>
      </w:r>
      <w:r>
        <w:rPr>
          <w:spacing w:val="-5"/>
          <w:vertAlign w:val="baseline"/>
        </w:rPr>
        <w:t> </w:t>
      </w:r>
      <w:r>
        <w:rPr>
          <w:vertAlign w:val="baseline"/>
        </w:rPr>
        <w:t>mg/d</w:t>
      </w:r>
      <w:r>
        <w:rPr>
          <w:i/>
          <w:vertAlign w:val="baseline"/>
        </w:rPr>
        <w:t>ℓ</w:t>
      </w:r>
      <w:r>
        <w:rPr>
          <w:i/>
          <w:spacing w:val="-1"/>
          <w:vertAlign w:val="baseline"/>
        </w:rPr>
        <w:t> </w:t>
      </w:r>
      <w:r>
        <w:rPr>
          <w:vertAlign w:val="baseline"/>
        </w:rPr>
        <w:t>foi</w:t>
      </w:r>
      <w:r>
        <w:rPr>
          <w:spacing w:val="-1"/>
          <w:vertAlign w:val="baseline"/>
        </w:rPr>
        <w:t> </w:t>
      </w:r>
      <w:r>
        <w:rPr>
          <w:vertAlign w:val="baseline"/>
        </w:rPr>
        <w:t>o</w:t>
      </w:r>
      <w:r>
        <w:rPr>
          <w:spacing w:val="-4"/>
          <w:vertAlign w:val="baseline"/>
        </w:rPr>
        <w:t> </w:t>
      </w:r>
      <w:r>
        <w:rPr>
          <w:vertAlign w:val="baseline"/>
        </w:rPr>
        <w:t>único</w:t>
      </w:r>
      <w:r>
        <w:rPr>
          <w:spacing w:val="-4"/>
          <w:vertAlign w:val="baseline"/>
        </w:rPr>
        <w:t> </w:t>
      </w:r>
      <w:r>
        <w:rPr>
          <w:vertAlign w:val="baseline"/>
        </w:rPr>
        <w:t>fator de</w:t>
      </w:r>
      <w:r>
        <w:rPr>
          <w:spacing w:val="-6"/>
          <w:vertAlign w:val="baseline"/>
        </w:rPr>
        <w:t> </w:t>
      </w:r>
      <w:r>
        <w:rPr>
          <w:vertAlign w:val="baseline"/>
        </w:rPr>
        <w:t>risco</w:t>
      </w:r>
      <w:r>
        <w:rPr>
          <w:spacing w:val="-4"/>
          <w:vertAlign w:val="baseline"/>
        </w:rPr>
        <w:t> </w:t>
      </w:r>
      <w:r>
        <w:rPr>
          <w:vertAlign w:val="baseline"/>
        </w:rPr>
        <w:t>independente</w:t>
      </w:r>
      <w:r>
        <w:rPr>
          <w:spacing w:val="-6"/>
          <w:vertAlign w:val="baseline"/>
        </w:rPr>
        <w:t> </w:t>
      </w:r>
      <w:r>
        <w:rPr>
          <w:vertAlign w:val="baseline"/>
        </w:rPr>
        <w:t>para mortalidade em 5 anos. A idade avançada é também um fator de risco maior, de acordo com estudos epidemiológicos, apesar de não estar relacionada como causa direta, mas sim por maior tempo de exposição aos fatores agressores para instalação da aterosclerose.</w:t>
      </w:r>
      <w:r>
        <w:rPr>
          <w:vertAlign w:val="superscript"/>
        </w:rPr>
        <w:t>18</w:t>
      </w:r>
      <w:r>
        <w:rPr>
          <w:vertAlign w:val="baseline"/>
        </w:rPr>
        <w:t> Além desses fatores de risco tradicionais e maiores, existem outros considerados como</w:t>
      </w:r>
      <w:r>
        <w:rPr>
          <w:spacing w:val="-7"/>
          <w:vertAlign w:val="baseline"/>
        </w:rPr>
        <w:t> </w:t>
      </w:r>
      <w:r>
        <w:rPr>
          <w:vertAlign w:val="baseline"/>
        </w:rPr>
        <w:t>condicionais, por</w:t>
      </w:r>
      <w:r>
        <w:rPr>
          <w:spacing w:val="-3"/>
          <w:vertAlign w:val="baseline"/>
        </w:rPr>
        <w:t> </w:t>
      </w:r>
      <w:r>
        <w:rPr>
          <w:vertAlign w:val="baseline"/>
        </w:rPr>
        <w:t>exemplo, elevação</w:t>
      </w:r>
      <w:r>
        <w:rPr>
          <w:spacing w:val="-7"/>
          <w:vertAlign w:val="baseline"/>
        </w:rPr>
        <w:t> </w:t>
      </w:r>
      <w:r>
        <w:rPr>
          <w:vertAlign w:val="baseline"/>
        </w:rPr>
        <w:t>de</w:t>
      </w:r>
      <w:r>
        <w:rPr>
          <w:spacing w:val="-10"/>
          <w:vertAlign w:val="baseline"/>
        </w:rPr>
        <w:t> </w:t>
      </w:r>
      <w:r>
        <w:rPr>
          <w:vertAlign w:val="baseline"/>
        </w:rPr>
        <w:t>triglicerídios, partículas LDL</w:t>
      </w:r>
      <w:r>
        <w:rPr>
          <w:spacing w:val="-3"/>
          <w:vertAlign w:val="baseline"/>
        </w:rPr>
        <w:t> </w:t>
      </w:r>
      <w:r>
        <w:rPr>
          <w:vertAlign w:val="baseline"/>
        </w:rPr>
        <w:t>pequenas e</w:t>
      </w:r>
      <w:r>
        <w:rPr>
          <w:spacing w:val="-10"/>
          <w:vertAlign w:val="baseline"/>
        </w:rPr>
        <w:t> </w:t>
      </w:r>
      <w:r>
        <w:rPr>
          <w:vertAlign w:val="baseline"/>
        </w:rPr>
        <w:t>densas, homocisteína, lipoproteína (a) (Lpa), fatores protrombóticos e inflamatórios. Outros fatores, como obesidade, inatividade física, variáveis socioeconômicas e de comportamento, além de raça e sexo, são considerados como predisponentes e contribuem para o desenvolvimento de aterosclerose, bem como de desencadeamento de eventos. Embora a identificação desses fatores de risco tradicionais não defina todo risco de DAC, a ausência dos fatores maiores identifica indivíduos com baixo risco. A existência de múltiplos fatores de risco está associada a aumento substancial</w:t>
      </w:r>
      <w:r>
        <w:rPr>
          <w:spacing w:val="-1"/>
          <w:vertAlign w:val="baseline"/>
        </w:rPr>
        <w:t> </w:t>
      </w:r>
      <w:r>
        <w:rPr>
          <w:vertAlign w:val="baseline"/>
        </w:rPr>
        <w:t>no</w:t>
      </w:r>
      <w:r>
        <w:rPr>
          <w:spacing w:val="-3"/>
          <w:vertAlign w:val="baseline"/>
        </w:rPr>
        <w:t> </w:t>
      </w:r>
      <w:r>
        <w:rPr>
          <w:vertAlign w:val="baseline"/>
        </w:rPr>
        <w:t>risco</w:t>
      </w:r>
      <w:r>
        <w:rPr>
          <w:spacing w:val="-3"/>
          <w:vertAlign w:val="baseline"/>
        </w:rPr>
        <w:t> </w:t>
      </w:r>
      <w:r>
        <w:rPr>
          <w:vertAlign w:val="baseline"/>
        </w:rPr>
        <w:t>de</w:t>
      </w:r>
      <w:r>
        <w:rPr>
          <w:spacing w:val="-6"/>
          <w:vertAlign w:val="baseline"/>
        </w:rPr>
        <w:t> </w:t>
      </w:r>
      <w:r>
        <w:rPr>
          <w:vertAlign w:val="baseline"/>
        </w:rPr>
        <w:t>eventos cardíacos subsequentes, além</w:t>
      </w:r>
      <w:r>
        <w:rPr>
          <w:spacing w:val="-3"/>
          <w:vertAlign w:val="baseline"/>
        </w:rPr>
        <w:t> </w:t>
      </w:r>
      <w:r>
        <w:rPr>
          <w:vertAlign w:val="baseline"/>
        </w:rPr>
        <w:t>de</w:t>
      </w:r>
      <w:r>
        <w:rPr>
          <w:spacing w:val="-6"/>
          <w:vertAlign w:val="baseline"/>
        </w:rPr>
        <w:t> </w:t>
      </w:r>
      <w:r>
        <w:rPr>
          <w:vertAlign w:val="baseline"/>
        </w:rPr>
        <w:t>a</w:t>
      </w:r>
      <w:r>
        <w:rPr>
          <w:spacing w:val="-6"/>
          <w:vertAlign w:val="baseline"/>
        </w:rPr>
        <w:t> </w:t>
      </w:r>
      <w:r>
        <w:rPr>
          <w:vertAlign w:val="baseline"/>
        </w:rPr>
        <w:t>coexistência</w:t>
      </w:r>
      <w:r>
        <w:rPr>
          <w:spacing w:val="-6"/>
          <w:vertAlign w:val="baseline"/>
        </w:rPr>
        <w:t> </w:t>
      </w:r>
      <w:r>
        <w:rPr>
          <w:vertAlign w:val="baseline"/>
        </w:rPr>
        <w:t>de</w:t>
      </w:r>
      <w:r>
        <w:rPr>
          <w:spacing w:val="-6"/>
          <w:vertAlign w:val="baseline"/>
        </w:rPr>
        <w:t> </w:t>
      </w:r>
      <w:r>
        <w:rPr>
          <w:vertAlign w:val="baseline"/>
        </w:rPr>
        <w:t>fatores de</w:t>
      </w:r>
      <w:r>
        <w:rPr>
          <w:spacing w:val="-6"/>
          <w:vertAlign w:val="baseline"/>
        </w:rPr>
        <w:t> </w:t>
      </w:r>
      <w:r>
        <w:rPr>
          <w:vertAlign w:val="baseline"/>
        </w:rPr>
        <w:t>risco</w:t>
      </w:r>
      <w:r>
        <w:rPr>
          <w:spacing w:val="-3"/>
          <w:vertAlign w:val="baseline"/>
        </w:rPr>
        <w:t> </w:t>
      </w:r>
      <w:r>
        <w:rPr>
          <w:vertAlign w:val="baseline"/>
        </w:rPr>
        <w:t>determinar maior possibilidade de DAC, sendo frequentemente multiplicativo.</w:t>
      </w:r>
      <w:r>
        <w:rPr>
          <w:vertAlign w:val="superscript"/>
        </w:rPr>
        <w:t>21</w:t>
      </w:r>
    </w:p>
    <w:p>
      <w:pPr>
        <w:pStyle w:val="BodyText"/>
        <w:spacing w:line="280" w:lineRule="auto" w:before="81"/>
        <w:ind w:right="491"/>
      </w:pPr>
      <w:r>
        <w:rPr/>
        <w:t>O estudo de caso-controle INTERHEART, conduzido em 52 países, foi realizado para determinar a associação de</w:t>
      </w:r>
      <w:r>
        <w:rPr>
          <w:spacing w:val="-1"/>
        </w:rPr>
        <w:t> </w:t>
      </w:r>
      <w:r>
        <w:rPr/>
        <w:t>fatores de</w:t>
      </w:r>
      <w:r>
        <w:rPr>
          <w:spacing w:val="-1"/>
        </w:rPr>
        <w:t> </w:t>
      </w:r>
      <w:r>
        <w:rPr/>
        <w:t>risco e</w:t>
      </w:r>
      <w:r>
        <w:rPr>
          <w:spacing w:val="-1"/>
        </w:rPr>
        <w:t> </w:t>
      </w:r>
      <w:r>
        <w:rPr/>
        <w:t>infarto agudo do miocárdio, a</w:t>
      </w:r>
      <w:r>
        <w:rPr>
          <w:spacing w:val="-1"/>
        </w:rPr>
        <w:t> </w:t>
      </w:r>
      <w:r>
        <w:rPr/>
        <w:t>fim de</w:t>
      </w:r>
      <w:r>
        <w:rPr>
          <w:spacing w:val="-1"/>
        </w:rPr>
        <w:t> </w:t>
      </w:r>
      <w:r>
        <w:rPr/>
        <w:t>definir de</w:t>
      </w:r>
      <w:r>
        <w:rPr>
          <w:spacing w:val="-1"/>
        </w:rPr>
        <w:t> </w:t>
      </w:r>
      <w:r>
        <w:rPr/>
        <w:t>maneira</w:t>
      </w:r>
      <w:r>
        <w:rPr>
          <w:spacing w:val="-1"/>
        </w:rPr>
        <w:t> </w:t>
      </w:r>
      <w:r>
        <w:rPr/>
        <w:t>consistente</w:t>
      </w:r>
      <w:r>
        <w:rPr>
          <w:spacing w:val="-1"/>
        </w:rPr>
        <w:t> </w:t>
      </w:r>
      <w:r>
        <w:rPr/>
        <w:t>e</w:t>
      </w:r>
      <w:r>
        <w:rPr>
          <w:spacing w:val="-1"/>
        </w:rPr>
        <w:t> </w:t>
      </w:r>
      <w:r>
        <w:rPr/>
        <w:t>globalizada</w:t>
      </w:r>
      <w:r>
        <w:rPr>
          <w:spacing w:val="-1"/>
        </w:rPr>
        <w:t> </w:t>
      </w:r>
      <w:r>
        <w:rPr/>
        <w:t>quais são os fatores de risco responsáveis por esse evento.</w:t>
      </w:r>
      <w:r>
        <w:rPr>
          <w:vertAlign w:val="superscript"/>
        </w:rPr>
        <w:t>22</w:t>
      </w:r>
      <w:r>
        <w:rPr>
          <w:vertAlign w:val="baseline"/>
        </w:rPr>
        <w:t> Os resultados mostraram que apenas nove facilmente mensuráveis são responsáveis por praticamente 90% dos casos de IAM. O preditor de risco mais importante foi a relação APOB/APOA1 (um marcador mais confiável do risco relacionado com o colesterol), seguido por tabagismo ativo. A obesidade abdominal foi definida como um fator de risco mais importante que a definição do índice de massa corpórea (IMC), e o estresse psicológico foi confirmado como um FR independente. Apenas cinco destes (tabagismo, lipídios séricos, hipertensão, diabetes e obesidade) são responsáveis por cerca de 80% dos casos de IAM.</w:t>
      </w:r>
      <w:r>
        <w:rPr>
          <w:vertAlign w:val="superscript"/>
        </w:rPr>
        <w:t>22</w:t>
      </w:r>
      <w:r>
        <w:rPr>
          <w:vertAlign w:val="baseline"/>
        </w:rPr>
        <w:t> Outros fatores, como consumo elevado de frutas e vegetais, atividade física moderada ou vigorosa e consumo moderado de bebidas alcoólicas, foram considerados como protetores, reduzindo a incidência de IAM.</w:t>
      </w:r>
      <w:r>
        <w:rPr>
          <w:vertAlign w:val="superscript"/>
        </w:rPr>
        <w:t>22</w:t>
      </w:r>
      <w:r>
        <w:rPr>
          <w:vertAlign w:val="baseline"/>
        </w:rPr>
        <w:t> Os resultados mais importantes, com respectivas </w:t>
      </w:r>
      <w:r>
        <w:rPr>
          <w:i/>
          <w:vertAlign w:val="baseline"/>
        </w:rPr>
        <w:t>odds ratio </w:t>
      </w:r>
      <w:r>
        <w:rPr>
          <w:vertAlign w:val="baseline"/>
        </w:rPr>
        <w:t>(OR), ou razões de chances, são demonstrados na </w:t>
      </w:r>
      <w:r>
        <w:rPr>
          <w:color w:val="505050"/>
          <w:vertAlign w:val="baseline"/>
        </w:rPr>
        <w:t>Tabela 54.1</w:t>
      </w:r>
      <w:r>
        <w:rPr>
          <w:vertAlign w:val="baseline"/>
        </w:rPr>
        <w:t>.</w:t>
      </w:r>
    </w:p>
    <w:p>
      <w:pPr>
        <w:pStyle w:val="BodyText"/>
        <w:spacing w:before="120"/>
        <w:ind w:left="0" w:firstLine="0"/>
        <w:jc w:val="left"/>
      </w:pPr>
    </w:p>
    <w:p>
      <w:pPr>
        <w:pStyle w:val="Heading5"/>
      </w:pPr>
      <w:r>
        <w:rPr>
          <w:color w:val="A26108"/>
        </w:rPr>
        <w:t>Avaliação</w:t>
      </w:r>
      <w:r>
        <w:rPr>
          <w:color w:val="A26108"/>
          <w:spacing w:val="18"/>
        </w:rPr>
        <w:t> </w:t>
      </w:r>
      <w:r>
        <w:rPr>
          <w:color w:val="A26108"/>
        </w:rPr>
        <w:t>do</w:t>
      </w:r>
      <w:r>
        <w:rPr>
          <w:color w:val="A26108"/>
          <w:spacing w:val="19"/>
        </w:rPr>
        <w:t> </w:t>
      </w:r>
      <w:r>
        <w:rPr>
          <w:color w:val="A26108"/>
        </w:rPr>
        <w:t>risco</w:t>
      </w:r>
      <w:r>
        <w:rPr>
          <w:color w:val="A26108"/>
          <w:spacing w:val="18"/>
        </w:rPr>
        <w:t> </w:t>
      </w:r>
      <w:r>
        <w:rPr>
          <w:color w:val="A26108"/>
          <w:spacing w:val="-2"/>
        </w:rPr>
        <w:t>global</w:t>
      </w:r>
    </w:p>
    <w:p>
      <w:pPr>
        <w:pStyle w:val="BodyText"/>
        <w:spacing w:line="278" w:lineRule="auto" w:before="122"/>
        <w:ind w:right="491"/>
      </w:pPr>
      <w:r>
        <w:rPr/>
        <w:t>Em</w:t>
      </w:r>
      <w:r>
        <w:rPr>
          <w:spacing w:val="-8"/>
        </w:rPr>
        <w:t> </w:t>
      </w:r>
      <w:r>
        <w:rPr/>
        <w:t>contraste</w:t>
      </w:r>
      <w:r>
        <w:rPr>
          <w:spacing w:val="-11"/>
        </w:rPr>
        <w:t> </w:t>
      </w:r>
      <w:r>
        <w:rPr/>
        <w:t>com</w:t>
      </w:r>
      <w:r>
        <w:rPr>
          <w:spacing w:val="-8"/>
        </w:rPr>
        <w:t> </w:t>
      </w:r>
      <w:r>
        <w:rPr/>
        <w:t>a</w:t>
      </w:r>
      <w:r>
        <w:rPr>
          <w:spacing w:val="-11"/>
        </w:rPr>
        <w:t> </w:t>
      </w:r>
      <w:r>
        <w:rPr/>
        <w:t>relativa</w:t>
      </w:r>
      <w:r>
        <w:rPr>
          <w:spacing w:val="-11"/>
        </w:rPr>
        <w:t> </w:t>
      </w:r>
      <w:r>
        <w:rPr/>
        <w:t>facilidade</w:t>
      </w:r>
      <w:r>
        <w:rPr>
          <w:spacing w:val="-11"/>
        </w:rPr>
        <w:t> </w:t>
      </w:r>
      <w:r>
        <w:rPr/>
        <w:t>em</w:t>
      </w:r>
      <w:r>
        <w:rPr>
          <w:spacing w:val="-8"/>
        </w:rPr>
        <w:t> </w:t>
      </w:r>
      <w:r>
        <w:rPr/>
        <w:t>reconhecer</w:t>
      </w:r>
      <w:r>
        <w:rPr>
          <w:spacing w:val="-3"/>
        </w:rPr>
        <w:t> </w:t>
      </w:r>
      <w:r>
        <w:rPr/>
        <w:t>e</w:t>
      </w:r>
      <w:r>
        <w:rPr>
          <w:spacing w:val="-11"/>
        </w:rPr>
        <w:t> </w:t>
      </w:r>
      <w:r>
        <w:rPr/>
        <w:t>definir</w:t>
      </w:r>
      <w:r>
        <w:rPr>
          <w:spacing w:val="-3"/>
        </w:rPr>
        <w:t> </w:t>
      </w:r>
      <w:r>
        <w:rPr/>
        <w:t>o</w:t>
      </w:r>
      <w:r>
        <w:rPr>
          <w:spacing w:val="-8"/>
        </w:rPr>
        <w:t> </w:t>
      </w:r>
      <w:r>
        <w:rPr/>
        <w:t>tratamento</w:t>
      </w:r>
      <w:r>
        <w:rPr>
          <w:spacing w:val="-8"/>
        </w:rPr>
        <w:t> </w:t>
      </w:r>
      <w:r>
        <w:rPr/>
        <w:t>e</w:t>
      </w:r>
      <w:r>
        <w:rPr>
          <w:spacing w:val="-11"/>
        </w:rPr>
        <w:t> </w:t>
      </w:r>
      <w:r>
        <w:rPr/>
        <w:t>a</w:t>
      </w:r>
      <w:r>
        <w:rPr>
          <w:spacing w:val="-11"/>
        </w:rPr>
        <w:t> </w:t>
      </w:r>
      <w:r>
        <w:rPr/>
        <w:t>prevenção</w:t>
      </w:r>
      <w:r>
        <w:rPr>
          <w:spacing w:val="-8"/>
        </w:rPr>
        <w:t> </w:t>
      </w:r>
      <w:r>
        <w:rPr/>
        <w:t>de</w:t>
      </w:r>
      <w:r>
        <w:rPr>
          <w:spacing w:val="-11"/>
        </w:rPr>
        <w:t> </w:t>
      </w:r>
      <w:r>
        <w:rPr/>
        <w:t>eventos</w:t>
      </w:r>
      <w:r>
        <w:rPr>
          <w:spacing w:val="-1"/>
        </w:rPr>
        <w:t> </w:t>
      </w:r>
      <w:r>
        <w:rPr/>
        <w:t>futuros</w:t>
      </w:r>
      <w:r>
        <w:rPr>
          <w:spacing w:val="-1"/>
        </w:rPr>
        <w:t> </w:t>
      </w:r>
      <w:r>
        <w:rPr/>
        <w:t>em paciente com DCV, o desafio está em detectar, prevenir e tratar a população que não apresente sintomas, ou esteja sob alto risco para ocorrência de eventos. Existem vários modelos matemáticos que incorporam avaliação dos fatores de</w:t>
      </w:r>
      <w:r>
        <w:rPr>
          <w:spacing w:val="-8"/>
        </w:rPr>
        <w:t> </w:t>
      </w:r>
      <w:r>
        <w:rPr/>
        <w:t>risco</w:t>
      </w:r>
      <w:r>
        <w:rPr>
          <w:spacing w:val="-5"/>
        </w:rPr>
        <w:t> </w:t>
      </w:r>
      <w:r>
        <w:rPr/>
        <w:t>maiores para</w:t>
      </w:r>
      <w:r>
        <w:rPr>
          <w:spacing w:val="-8"/>
        </w:rPr>
        <w:t> </w:t>
      </w:r>
      <w:r>
        <w:rPr/>
        <w:t>DAC para</w:t>
      </w:r>
      <w:r>
        <w:rPr>
          <w:spacing w:val="-8"/>
        </w:rPr>
        <w:t> </w:t>
      </w:r>
      <w:r>
        <w:rPr/>
        <w:t>calcular níveis de</w:t>
      </w:r>
      <w:r>
        <w:rPr>
          <w:spacing w:val="-8"/>
        </w:rPr>
        <w:t> </w:t>
      </w:r>
      <w:r>
        <w:rPr/>
        <w:t>risco</w:t>
      </w:r>
      <w:r>
        <w:rPr>
          <w:spacing w:val="-5"/>
        </w:rPr>
        <w:t> </w:t>
      </w:r>
      <w:r>
        <w:rPr/>
        <w:t>em</w:t>
      </w:r>
      <w:r>
        <w:rPr>
          <w:spacing w:val="-5"/>
        </w:rPr>
        <w:t> </w:t>
      </w:r>
      <w:r>
        <w:rPr/>
        <w:t>geral</w:t>
      </w:r>
      <w:r>
        <w:rPr>
          <w:spacing w:val="-3"/>
        </w:rPr>
        <w:t> </w:t>
      </w:r>
      <w:r>
        <w:rPr/>
        <w:t>(baixo, intermediário</w:t>
      </w:r>
      <w:r>
        <w:rPr>
          <w:spacing w:val="-5"/>
        </w:rPr>
        <w:t> </w:t>
      </w:r>
      <w:r>
        <w:rPr/>
        <w:t>ou</w:t>
      </w:r>
      <w:r>
        <w:rPr>
          <w:spacing w:val="-5"/>
        </w:rPr>
        <w:t> </w:t>
      </w:r>
      <w:r>
        <w:rPr/>
        <w:t>elevado), além</w:t>
      </w:r>
      <w:r>
        <w:rPr>
          <w:spacing w:val="-5"/>
        </w:rPr>
        <w:t> </w:t>
      </w:r>
      <w:r>
        <w:rPr/>
        <w:t>de estimativa do percentual de risco anual (risco absoluto) de eventos futuros.</w:t>
      </w:r>
      <w:r>
        <w:rPr>
          <w:vertAlign w:val="superscript"/>
        </w:rPr>
        <w:t>18,21</w:t>
      </w:r>
      <w:r>
        <w:rPr>
          <w:vertAlign w:val="baseline"/>
        </w:rPr>
        <w:t> O mais utilizado atualmente, publicado nas mais recentes </w:t>
      </w:r>
      <w:r>
        <w:rPr>
          <w:i/>
          <w:vertAlign w:val="baseline"/>
        </w:rPr>
        <w:t>guidelines </w:t>
      </w:r>
      <w:r>
        <w:rPr>
          <w:vertAlign w:val="baseline"/>
        </w:rPr>
        <w:t>(Sociedade Europeia de Cardiologia e National Cholesterol Education Program-Adult Treatment Panel – NCEP-ATP III) e referendado pela Sociedade Brasileira de Cardiologia, utiliza um escore derivado do estudo de Framingham (ERF), que estima o risco de um evento cardíaco em 10 anos, dividindo os pacientes em riscos baixo, intermediário e elevado, além de especificar diferentes intensidades de tratamento para cada subgrupo.</w:t>
      </w:r>
      <w:r>
        <w:rPr>
          <w:vertAlign w:val="superscript"/>
        </w:rPr>
        <w:t>18,23,24</w:t>
      </w:r>
    </w:p>
    <w:p>
      <w:pPr>
        <w:pStyle w:val="BodyText"/>
        <w:spacing w:before="110"/>
        <w:ind w:left="0" w:firstLine="0"/>
        <w:jc w:val="left"/>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1"/>
        </w:rPr>
        <w:t> </w:t>
      </w:r>
      <w:r>
        <w:rPr>
          <w:rFonts w:ascii="Arial" w:hAnsi="Arial"/>
          <w:b/>
          <w:color w:val="242B67"/>
        </w:rPr>
        <w:t>54.1</w:t>
      </w:r>
      <w:r>
        <w:rPr>
          <w:rFonts w:ascii="Arial" w:hAnsi="Arial"/>
          <w:b/>
          <w:color w:val="242B67"/>
          <w:spacing w:val="-2"/>
        </w:rPr>
        <w:t> </w:t>
      </w:r>
      <w:r>
        <w:rPr>
          <w:rFonts w:ascii="Microsoft Sans Serif" w:hAnsi="Microsoft Sans Serif"/>
        </w:rPr>
        <w:t>Fatores</w:t>
      </w:r>
      <w:r>
        <w:rPr>
          <w:rFonts w:ascii="Microsoft Sans Serif" w:hAnsi="Microsoft Sans Serif"/>
          <w:spacing w:val="-2"/>
        </w:rPr>
        <w:t> </w:t>
      </w:r>
      <w:r>
        <w:rPr>
          <w:rFonts w:ascii="Microsoft Sans Serif" w:hAnsi="Microsoft Sans Serif"/>
        </w:rPr>
        <w:t>de</w:t>
      </w:r>
      <w:r>
        <w:rPr>
          <w:rFonts w:ascii="Microsoft Sans Serif" w:hAnsi="Microsoft Sans Serif"/>
          <w:spacing w:val="1"/>
        </w:rPr>
        <w:t> </w:t>
      </w:r>
      <w:r>
        <w:rPr>
          <w:rFonts w:ascii="Microsoft Sans Serif" w:hAnsi="Microsoft Sans Serif"/>
        </w:rPr>
        <w:t>risco</w:t>
      </w:r>
      <w:r>
        <w:rPr>
          <w:rFonts w:ascii="Microsoft Sans Serif" w:hAnsi="Microsoft Sans Serif"/>
          <w:spacing w:val="1"/>
        </w:rPr>
        <w:t> </w:t>
      </w:r>
      <w:r>
        <w:rPr>
          <w:rFonts w:ascii="Microsoft Sans Serif" w:hAnsi="Microsoft Sans Serif"/>
        </w:rPr>
        <w:t>atribuídos</w:t>
      </w:r>
      <w:r>
        <w:rPr>
          <w:rFonts w:ascii="Microsoft Sans Serif" w:hAnsi="Microsoft Sans Serif"/>
          <w:spacing w:val="-2"/>
        </w:rPr>
        <w:t> </w:t>
      </w:r>
      <w:r>
        <w:rPr>
          <w:rFonts w:ascii="Microsoft Sans Serif" w:hAnsi="Microsoft Sans Serif"/>
        </w:rPr>
        <w:t>a</w:t>
      </w:r>
      <w:r>
        <w:rPr>
          <w:rFonts w:ascii="Microsoft Sans Serif" w:hAnsi="Microsoft Sans Serif"/>
          <w:spacing w:val="1"/>
        </w:rPr>
        <w:t> </w:t>
      </w:r>
      <w:r>
        <w:rPr>
          <w:rFonts w:ascii="Microsoft Sans Serif" w:hAnsi="Microsoft Sans Serif"/>
        </w:rPr>
        <w:t>infarto</w:t>
      </w:r>
      <w:r>
        <w:rPr>
          <w:rFonts w:ascii="Microsoft Sans Serif" w:hAnsi="Microsoft Sans Serif"/>
          <w:spacing w:val="1"/>
        </w:rPr>
        <w:t> </w:t>
      </w:r>
      <w:r>
        <w:rPr>
          <w:rFonts w:ascii="Microsoft Sans Serif" w:hAnsi="Microsoft Sans Serif"/>
        </w:rPr>
        <w:t>agudo</w:t>
      </w:r>
      <w:r>
        <w:rPr>
          <w:rFonts w:ascii="Microsoft Sans Serif" w:hAnsi="Microsoft Sans Serif"/>
          <w:spacing w:val="1"/>
        </w:rPr>
        <w:t> </w:t>
      </w:r>
      <w:r>
        <w:rPr>
          <w:rFonts w:ascii="Microsoft Sans Serif" w:hAnsi="Microsoft Sans Serif"/>
        </w:rPr>
        <w:t>do</w:t>
      </w:r>
      <w:r>
        <w:rPr>
          <w:rFonts w:ascii="Microsoft Sans Serif" w:hAnsi="Microsoft Sans Serif"/>
          <w:spacing w:val="1"/>
        </w:rPr>
        <w:t> </w:t>
      </w:r>
      <w:r>
        <w:rPr>
          <w:rFonts w:ascii="Microsoft Sans Serif" w:hAnsi="Microsoft Sans Serif"/>
        </w:rPr>
        <w:t>miocárdio</w:t>
      </w:r>
      <w:r>
        <w:rPr>
          <w:rFonts w:ascii="Microsoft Sans Serif" w:hAnsi="Microsoft Sans Serif"/>
          <w:spacing w:val="1"/>
        </w:rPr>
        <w:t> </w:t>
      </w:r>
      <w:r>
        <w:rPr>
          <w:rFonts w:ascii="Microsoft Sans Serif" w:hAnsi="Microsoft Sans Serif"/>
        </w:rPr>
        <w:t>(estudo</w:t>
      </w:r>
      <w:r>
        <w:rPr>
          <w:rFonts w:ascii="Microsoft Sans Serif" w:hAnsi="Microsoft Sans Serif"/>
          <w:spacing w:val="1"/>
        </w:rPr>
        <w:t> </w:t>
      </w:r>
      <w:r>
        <w:rPr>
          <w:rFonts w:ascii="Microsoft Sans Serif" w:hAnsi="Microsoft Sans Serif"/>
          <w:spacing w:val="-2"/>
        </w:rPr>
        <w:t>INTERHEART).</w:t>
      </w:r>
      <w:r>
        <w:rPr>
          <w:rFonts w:ascii="Microsoft Sans Serif" w:hAnsi="Microsoft Sans Serif"/>
          <w:spacing w:val="-2"/>
          <w:vertAlign w:val="superscript"/>
        </w:rPr>
        <w:t>22</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724"/>
        <w:gridCol w:w="1602"/>
        <w:gridCol w:w="1586"/>
        <w:gridCol w:w="3692"/>
      </w:tblGrid>
      <w:tr>
        <w:trPr>
          <w:trHeight w:val="1343" w:hRule="atLeast"/>
        </w:trPr>
        <w:tc>
          <w:tcPr>
            <w:tcW w:w="3724" w:type="dxa"/>
            <w:tcBorders>
              <w:top w:val="nil"/>
              <w:left w:val="nil"/>
            </w:tcBorders>
            <w:shd w:val="clear" w:color="auto" w:fill="242B67"/>
          </w:tcPr>
          <w:p>
            <w:pPr>
              <w:pStyle w:val="TableParagraph"/>
              <w:spacing w:before="0"/>
              <w:ind w:left="0"/>
              <w:rPr>
                <w:sz w:val="21"/>
              </w:rPr>
            </w:pPr>
          </w:p>
          <w:p>
            <w:pPr>
              <w:pStyle w:val="TableParagraph"/>
              <w:spacing w:before="0"/>
              <w:ind w:left="0"/>
              <w:rPr>
                <w:sz w:val="21"/>
              </w:rPr>
            </w:pPr>
          </w:p>
          <w:p>
            <w:pPr>
              <w:pStyle w:val="TableParagraph"/>
              <w:spacing w:before="0"/>
              <w:ind w:left="0"/>
              <w:rPr>
                <w:sz w:val="21"/>
              </w:rPr>
            </w:pPr>
          </w:p>
          <w:p>
            <w:pPr>
              <w:pStyle w:val="TableParagraph"/>
              <w:spacing w:before="53"/>
              <w:ind w:left="0"/>
              <w:rPr>
                <w:sz w:val="21"/>
              </w:rPr>
            </w:pPr>
          </w:p>
          <w:p>
            <w:pPr>
              <w:pStyle w:val="TableParagraph"/>
              <w:spacing w:before="0"/>
              <w:ind w:left="67"/>
              <w:rPr>
                <w:rFonts w:ascii="Arial"/>
                <w:b/>
                <w:sz w:val="21"/>
              </w:rPr>
            </w:pPr>
            <w:r>
              <w:rPr>
                <w:rFonts w:ascii="Arial"/>
                <w:b/>
                <w:color w:val="FFFFFF"/>
                <w:w w:val="105"/>
                <w:sz w:val="21"/>
              </w:rPr>
              <w:t>Fator</w:t>
            </w:r>
            <w:r>
              <w:rPr>
                <w:rFonts w:ascii="Arial"/>
                <w:b/>
                <w:color w:val="FFFFFF"/>
                <w:spacing w:val="-10"/>
                <w:w w:val="105"/>
                <w:sz w:val="21"/>
              </w:rPr>
              <w:t> </w:t>
            </w:r>
            <w:r>
              <w:rPr>
                <w:rFonts w:ascii="Arial"/>
                <w:b/>
                <w:color w:val="FFFFFF"/>
                <w:w w:val="105"/>
                <w:sz w:val="21"/>
              </w:rPr>
              <w:t>de </w:t>
            </w:r>
            <w:r>
              <w:rPr>
                <w:rFonts w:ascii="Arial"/>
                <w:b/>
                <w:color w:val="FFFFFF"/>
                <w:spacing w:val="-2"/>
                <w:w w:val="105"/>
                <w:sz w:val="21"/>
              </w:rPr>
              <w:t>risco</w:t>
            </w:r>
          </w:p>
        </w:tc>
        <w:tc>
          <w:tcPr>
            <w:tcW w:w="1602" w:type="dxa"/>
            <w:tcBorders>
              <w:top w:val="nil"/>
            </w:tcBorders>
            <w:shd w:val="clear" w:color="auto" w:fill="242B67"/>
          </w:tcPr>
          <w:p>
            <w:pPr>
              <w:pStyle w:val="TableParagraph"/>
              <w:spacing w:before="0"/>
              <w:ind w:left="0"/>
              <w:rPr>
                <w:sz w:val="21"/>
              </w:rPr>
            </w:pPr>
          </w:p>
          <w:p>
            <w:pPr>
              <w:pStyle w:val="TableParagraph"/>
              <w:spacing w:before="224"/>
              <w:ind w:left="0"/>
              <w:rPr>
                <w:sz w:val="21"/>
              </w:rPr>
            </w:pPr>
          </w:p>
          <w:p>
            <w:pPr>
              <w:pStyle w:val="TableParagraph"/>
              <w:spacing w:line="302" w:lineRule="auto" w:before="0"/>
              <w:ind w:right="240"/>
              <w:rPr>
                <w:rFonts w:ascii="Arial" w:hAnsi="Arial"/>
                <w:b/>
                <w:sz w:val="21"/>
              </w:rPr>
            </w:pPr>
            <w:r>
              <w:rPr>
                <w:rFonts w:ascii="Arial" w:hAnsi="Arial"/>
                <w:b/>
                <w:color w:val="FFFFFF"/>
                <w:w w:val="105"/>
                <w:sz w:val="21"/>
              </w:rPr>
              <w:t>Indivíduos-controle</w:t>
            </w:r>
            <w:r>
              <w:rPr>
                <w:rFonts w:ascii="Arial" w:hAnsi="Arial"/>
                <w:b/>
                <w:color w:val="FFFFFF"/>
                <w:spacing w:val="-16"/>
                <w:w w:val="105"/>
                <w:sz w:val="21"/>
              </w:rPr>
              <w:t> </w:t>
            </w:r>
            <w:r>
              <w:rPr>
                <w:rFonts w:ascii="Arial" w:hAnsi="Arial"/>
                <w:b/>
                <w:color w:val="FFFFFF"/>
                <w:w w:val="105"/>
                <w:sz w:val="21"/>
              </w:rPr>
              <w:t>(%)</w:t>
            </w:r>
          </w:p>
        </w:tc>
        <w:tc>
          <w:tcPr>
            <w:tcW w:w="1586" w:type="dxa"/>
            <w:tcBorders>
              <w:top w:val="nil"/>
            </w:tcBorders>
            <w:shd w:val="clear" w:color="auto" w:fill="242B67"/>
          </w:tcPr>
          <w:p>
            <w:pPr>
              <w:pStyle w:val="TableParagraph"/>
              <w:spacing w:before="0"/>
              <w:ind w:left="0"/>
              <w:rPr>
                <w:sz w:val="21"/>
              </w:rPr>
            </w:pPr>
          </w:p>
          <w:p>
            <w:pPr>
              <w:pStyle w:val="TableParagraph"/>
              <w:spacing w:before="0"/>
              <w:ind w:left="0"/>
              <w:rPr>
                <w:sz w:val="21"/>
              </w:rPr>
            </w:pPr>
          </w:p>
          <w:p>
            <w:pPr>
              <w:pStyle w:val="TableParagraph"/>
              <w:spacing w:before="0"/>
              <w:ind w:left="0"/>
              <w:rPr>
                <w:sz w:val="21"/>
              </w:rPr>
            </w:pPr>
          </w:p>
          <w:p>
            <w:pPr>
              <w:pStyle w:val="TableParagraph"/>
              <w:spacing w:before="53"/>
              <w:ind w:left="0"/>
              <w:rPr>
                <w:sz w:val="21"/>
              </w:rPr>
            </w:pPr>
          </w:p>
          <w:p>
            <w:pPr>
              <w:pStyle w:val="TableParagraph"/>
              <w:spacing w:before="0"/>
              <w:rPr>
                <w:rFonts w:ascii="Arial"/>
                <w:b/>
                <w:sz w:val="21"/>
              </w:rPr>
            </w:pPr>
            <w:r>
              <w:rPr>
                <w:rFonts w:ascii="Arial"/>
                <w:b/>
                <w:color w:val="FFFFFF"/>
                <w:w w:val="105"/>
                <w:sz w:val="21"/>
              </w:rPr>
              <w:t>Casos</w:t>
            </w:r>
            <w:r>
              <w:rPr>
                <w:rFonts w:ascii="Arial"/>
                <w:b/>
                <w:color w:val="FFFFFF"/>
                <w:spacing w:val="7"/>
                <w:w w:val="105"/>
                <w:sz w:val="21"/>
              </w:rPr>
              <w:t> </w:t>
            </w:r>
            <w:r>
              <w:rPr>
                <w:rFonts w:ascii="Arial"/>
                <w:b/>
                <w:color w:val="FFFFFF"/>
                <w:spacing w:val="-5"/>
                <w:w w:val="105"/>
                <w:sz w:val="21"/>
              </w:rPr>
              <w:t>(%)</w:t>
            </w:r>
          </w:p>
        </w:tc>
        <w:tc>
          <w:tcPr>
            <w:tcW w:w="3692" w:type="dxa"/>
            <w:tcBorders>
              <w:top w:val="nil"/>
              <w:right w:val="nil"/>
            </w:tcBorders>
            <w:shd w:val="clear" w:color="auto" w:fill="242B67"/>
          </w:tcPr>
          <w:p>
            <w:pPr>
              <w:pStyle w:val="TableParagraph"/>
              <w:spacing w:before="91"/>
              <w:ind w:left="64"/>
              <w:rPr>
                <w:rFonts w:ascii="Arial"/>
                <w:b/>
                <w:i/>
                <w:sz w:val="21"/>
              </w:rPr>
            </w:pPr>
            <w:r>
              <w:rPr>
                <w:rFonts w:ascii="Arial"/>
                <w:b/>
                <w:i/>
                <w:color w:val="FFFFFF"/>
                <w:w w:val="105"/>
                <w:sz w:val="21"/>
              </w:rPr>
              <w:t>Odds</w:t>
            </w:r>
            <w:r>
              <w:rPr>
                <w:rFonts w:ascii="Arial"/>
                <w:b/>
                <w:i/>
                <w:color w:val="FFFFFF"/>
                <w:spacing w:val="-6"/>
                <w:w w:val="105"/>
                <w:sz w:val="21"/>
              </w:rPr>
              <w:t> </w:t>
            </w:r>
            <w:r>
              <w:rPr>
                <w:rFonts w:ascii="Arial"/>
                <w:b/>
                <w:i/>
                <w:color w:val="FFFFFF"/>
                <w:spacing w:val="-4"/>
                <w:w w:val="105"/>
                <w:sz w:val="21"/>
              </w:rPr>
              <w:t>ratio</w:t>
            </w:r>
          </w:p>
          <w:p>
            <w:pPr>
              <w:pStyle w:val="TableParagraph"/>
              <w:spacing w:line="302" w:lineRule="auto" w:before="63"/>
              <w:ind w:left="64"/>
              <w:rPr>
                <w:rFonts w:ascii="Arial" w:hAnsi="Arial"/>
                <w:b/>
                <w:sz w:val="21"/>
              </w:rPr>
            </w:pPr>
            <w:r>
              <w:rPr>
                <w:rFonts w:ascii="Arial" w:hAnsi="Arial"/>
                <w:b/>
                <w:color w:val="FFFFFF"/>
                <w:w w:val="105"/>
                <w:sz w:val="21"/>
              </w:rPr>
              <w:t>99%</w:t>
            </w:r>
            <w:r>
              <w:rPr>
                <w:rFonts w:ascii="Arial" w:hAnsi="Arial"/>
                <w:b/>
                <w:color w:val="FFFFFF"/>
                <w:spacing w:val="-4"/>
                <w:w w:val="105"/>
                <w:sz w:val="21"/>
              </w:rPr>
              <w:t> </w:t>
            </w:r>
            <w:r>
              <w:rPr>
                <w:rFonts w:ascii="Arial" w:hAnsi="Arial"/>
                <w:b/>
                <w:color w:val="FFFFFF"/>
                <w:w w:val="105"/>
                <w:sz w:val="21"/>
              </w:rPr>
              <w:t>intervalo</w:t>
            </w:r>
            <w:r>
              <w:rPr>
                <w:rFonts w:ascii="Arial" w:hAnsi="Arial"/>
                <w:b/>
                <w:color w:val="FFFFFF"/>
                <w:spacing w:val="-8"/>
                <w:w w:val="105"/>
                <w:sz w:val="21"/>
              </w:rPr>
              <w:t> </w:t>
            </w:r>
            <w:r>
              <w:rPr>
                <w:rFonts w:ascii="Arial" w:hAnsi="Arial"/>
                <w:b/>
                <w:color w:val="FFFFFF"/>
                <w:w w:val="105"/>
                <w:sz w:val="21"/>
              </w:rPr>
              <w:t>de </w:t>
            </w:r>
            <w:r>
              <w:rPr>
                <w:rFonts w:ascii="Arial" w:hAnsi="Arial"/>
                <w:b/>
                <w:color w:val="FFFFFF"/>
                <w:w w:val="105"/>
                <w:sz w:val="21"/>
              </w:rPr>
              <w:t>confiança </w:t>
            </w:r>
            <w:r>
              <w:rPr>
                <w:rFonts w:ascii="Arial" w:hAnsi="Arial"/>
                <w:b/>
                <w:color w:val="FFFFFF"/>
                <w:spacing w:val="-2"/>
                <w:w w:val="105"/>
                <w:sz w:val="21"/>
              </w:rPr>
              <w:t>ajustado</w:t>
            </w:r>
          </w:p>
          <w:p>
            <w:pPr>
              <w:pStyle w:val="TableParagraph"/>
              <w:spacing w:before="0"/>
              <w:ind w:left="64"/>
              <w:rPr>
                <w:rFonts w:ascii="Arial"/>
                <w:b/>
                <w:sz w:val="21"/>
              </w:rPr>
            </w:pPr>
            <w:r>
              <w:rPr>
                <w:rFonts w:ascii="Arial"/>
                <w:b/>
                <w:color w:val="FFFFFF"/>
                <w:w w:val="105"/>
                <w:sz w:val="21"/>
              </w:rPr>
              <w:t>Todos</w:t>
            </w:r>
            <w:r>
              <w:rPr>
                <w:rFonts w:ascii="Arial"/>
                <w:b/>
                <w:color w:val="FFFFFF"/>
                <w:spacing w:val="-13"/>
                <w:w w:val="105"/>
                <w:sz w:val="21"/>
              </w:rPr>
              <w:t> </w:t>
            </w:r>
            <w:r>
              <w:rPr>
                <w:rFonts w:ascii="Arial"/>
                <w:b/>
                <w:color w:val="FFFFFF"/>
                <w:w w:val="105"/>
                <w:sz w:val="21"/>
              </w:rPr>
              <w:t>os</w:t>
            </w:r>
            <w:r>
              <w:rPr>
                <w:rFonts w:ascii="Arial"/>
                <w:b/>
                <w:color w:val="FFFFFF"/>
                <w:spacing w:val="-12"/>
                <w:w w:val="105"/>
                <w:sz w:val="21"/>
              </w:rPr>
              <w:t> </w:t>
            </w:r>
            <w:r>
              <w:rPr>
                <w:rFonts w:ascii="Arial"/>
                <w:b/>
                <w:color w:val="FFFFFF"/>
                <w:spacing w:val="-2"/>
                <w:w w:val="105"/>
                <w:sz w:val="21"/>
              </w:rPr>
              <w:t>fatores</w:t>
            </w:r>
          </w:p>
        </w:tc>
      </w:tr>
      <w:tr>
        <w:trPr>
          <w:trHeight w:val="428" w:hRule="atLeast"/>
        </w:trPr>
        <w:tc>
          <w:tcPr>
            <w:tcW w:w="3724" w:type="dxa"/>
            <w:tcBorders>
              <w:left w:val="nil"/>
            </w:tcBorders>
            <w:shd w:val="clear" w:color="auto" w:fill="EDECF3"/>
          </w:tcPr>
          <w:p>
            <w:pPr>
              <w:pStyle w:val="TableParagraph"/>
              <w:ind w:left="67"/>
              <w:rPr>
                <w:sz w:val="21"/>
              </w:rPr>
            </w:pPr>
            <w:r>
              <w:rPr>
                <w:spacing w:val="-2"/>
                <w:w w:val="105"/>
                <w:sz w:val="21"/>
              </w:rPr>
              <w:t>APOB/APOA1</w:t>
            </w:r>
          </w:p>
        </w:tc>
        <w:tc>
          <w:tcPr>
            <w:tcW w:w="1602" w:type="dxa"/>
            <w:shd w:val="clear" w:color="auto" w:fill="EDECF3"/>
          </w:tcPr>
          <w:p>
            <w:pPr>
              <w:pStyle w:val="TableParagraph"/>
              <w:rPr>
                <w:sz w:val="21"/>
              </w:rPr>
            </w:pPr>
            <w:r>
              <w:rPr>
                <w:spacing w:val="-4"/>
                <w:w w:val="105"/>
                <w:sz w:val="21"/>
              </w:rPr>
              <w:t>20,0</w:t>
            </w:r>
          </w:p>
        </w:tc>
        <w:tc>
          <w:tcPr>
            <w:tcW w:w="1586" w:type="dxa"/>
            <w:shd w:val="clear" w:color="auto" w:fill="EDECF3"/>
          </w:tcPr>
          <w:p>
            <w:pPr>
              <w:pStyle w:val="TableParagraph"/>
              <w:rPr>
                <w:sz w:val="21"/>
              </w:rPr>
            </w:pPr>
            <w:r>
              <w:rPr>
                <w:spacing w:val="-4"/>
                <w:w w:val="105"/>
                <w:sz w:val="21"/>
              </w:rPr>
              <w:t>33,5</w:t>
            </w:r>
          </w:p>
        </w:tc>
        <w:tc>
          <w:tcPr>
            <w:tcW w:w="3692" w:type="dxa"/>
            <w:tcBorders>
              <w:right w:val="nil"/>
            </w:tcBorders>
            <w:shd w:val="clear" w:color="auto" w:fill="EDECF3"/>
          </w:tcPr>
          <w:p>
            <w:pPr>
              <w:pStyle w:val="TableParagraph"/>
              <w:ind w:left="64"/>
              <w:rPr>
                <w:sz w:val="21"/>
              </w:rPr>
            </w:pPr>
            <w:r>
              <w:rPr>
                <w:w w:val="105"/>
                <w:sz w:val="21"/>
              </w:rPr>
              <w:t>3,25</w:t>
            </w:r>
            <w:r>
              <w:rPr>
                <w:spacing w:val="27"/>
                <w:w w:val="105"/>
                <w:sz w:val="21"/>
              </w:rPr>
              <w:t> </w:t>
            </w:r>
            <w:r>
              <w:rPr>
                <w:w w:val="105"/>
                <w:sz w:val="21"/>
              </w:rPr>
              <w:t>(2,81,</w:t>
            </w:r>
            <w:r>
              <w:rPr>
                <w:spacing w:val="22"/>
                <w:w w:val="105"/>
                <w:sz w:val="21"/>
              </w:rPr>
              <w:t> </w:t>
            </w:r>
            <w:r>
              <w:rPr>
                <w:spacing w:val="-2"/>
                <w:w w:val="105"/>
                <w:sz w:val="21"/>
              </w:rPr>
              <w:t>3,76)</w:t>
            </w:r>
          </w:p>
        </w:tc>
      </w:tr>
      <w:tr>
        <w:trPr>
          <w:trHeight w:val="96" w:hRule="atLeast"/>
        </w:trPr>
        <w:tc>
          <w:tcPr>
            <w:tcW w:w="3724" w:type="dxa"/>
            <w:tcBorders>
              <w:left w:val="nil"/>
              <w:bottom w:val="nil"/>
            </w:tcBorders>
            <w:shd w:val="clear" w:color="auto" w:fill="EDECF3"/>
          </w:tcPr>
          <w:p>
            <w:pPr>
              <w:pStyle w:val="TableParagraph"/>
              <w:spacing w:before="0"/>
              <w:ind w:left="0"/>
              <w:rPr>
                <w:rFonts w:ascii="Times New Roman"/>
                <w:sz w:val="4"/>
              </w:rPr>
            </w:pPr>
          </w:p>
        </w:tc>
        <w:tc>
          <w:tcPr>
            <w:tcW w:w="1602" w:type="dxa"/>
            <w:tcBorders>
              <w:bottom w:val="nil"/>
            </w:tcBorders>
            <w:shd w:val="clear" w:color="auto" w:fill="EDECF3"/>
          </w:tcPr>
          <w:p>
            <w:pPr>
              <w:pStyle w:val="TableParagraph"/>
              <w:spacing w:before="0"/>
              <w:ind w:left="0"/>
              <w:rPr>
                <w:rFonts w:ascii="Times New Roman"/>
                <w:sz w:val="4"/>
              </w:rPr>
            </w:pPr>
          </w:p>
        </w:tc>
        <w:tc>
          <w:tcPr>
            <w:tcW w:w="1586" w:type="dxa"/>
            <w:tcBorders>
              <w:bottom w:val="nil"/>
            </w:tcBorders>
            <w:shd w:val="clear" w:color="auto" w:fill="EDECF3"/>
          </w:tcPr>
          <w:p>
            <w:pPr>
              <w:pStyle w:val="TableParagraph"/>
              <w:spacing w:before="0"/>
              <w:ind w:left="0"/>
              <w:rPr>
                <w:rFonts w:ascii="Times New Roman"/>
                <w:sz w:val="4"/>
              </w:rPr>
            </w:pPr>
          </w:p>
        </w:tc>
        <w:tc>
          <w:tcPr>
            <w:tcW w:w="3692" w:type="dxa"/>
            <w:tcBorders>
              <w:bottom w:val="nil"/>
              <w:right w:val="nil"/>
            </w:tcBorders>
            <w:shd w:val="clear" w:color="auto" w:fill="EDECF3"/>
          </w:tcPr>
          <w:p>
            <w:pPr>
              <w:pStyle w:val="TableParagraph"/>
              <w:spacing w:before="0"/>
              <w:ind w:left="0"/>
              <w:rPr>
                <w:rFonts w:ascii="Times New Roman"/>
                <w:sz w:val="4"/>
              </w:rPr>
            </w:pPr>
          </w:p>
        </w:tc>
      </w:tr>
    </w:tbl>
    <w:p>
      <w:pPr>
        <w:pStyle w:val="TableParagraph"/>
        <w:spacing w:after="0"/>
        <w:rPr>
          <w:rFonts w:ascii="Times New Roman"/>
          <w:sz w:val="4"/>
        </w:rPr>
        <w:sectPr>
          <w:pgSz w:w="11900" w:h="16840"/>
          <w:pgMar w:top="22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724"/>
        <w:gridCol w:w="1602"/>
        <w:gridCol w:w="1586"/>
        <w:gridCol w:w="3708"/>
      </w:tblGrid>
      <w:tr>
        <w:trPr>
          <w:trHeight w:val="427" w:hRule="atLeast"/>
        </w:trPr>
        <w:tc>
          <w:tcPr>
            <w:tcW w:w="3724" w:type="dxa"/>
            <w:tcBorders>
              <w:top w:val="nil"/>
              <w:left w:val="nil"/>
            </w:tcBorders>
            <w:shd w:val="clear" w:color="auto" w:fill="EDECF3"/>
          </w:tcPr>
          <w:p>
            <w:pPr>
              <w:pStyle w:val="TableParagraph"/>
              <w:spacing w:before="91"/>
              <w:ind w:left="67"/>
              <w:rPr>
                <w:sz w:val="21"/>
              </w:rPr>
            </w:pPr>
            <w:r>
              <w:rPr>
                <w:spacing w:val="-2"/>
                <w:w w:val="105"/>
                <w:sz w:val="21"/>
              </w:rPr>
              <w:t>Tabagismo</w:t>
            </w:r>
          </w:p>
        </w:tc>
        <w:tc>
          <w:tcPr>
            <w:tcW w:w="1602" w:type="dxa"/>
            <w:tcBorders>
              <w:top w:val="nil"/>
            </w:tcBorders>
            <w:shd w:val="clear" w:color="auto" w:fill="EDECF3"/>
          </w:tcPr>
          <w:p>
            <w:pPr>
              <w:pStyle w:val="TableParagraph"/>
              <w:spacing w:before="91"/>
              <w:rPr>
                <w:sz w:val="21"/>
              </w:rPr>
            </w:pPr>
            <w:r>
              <w:rPr>
                <w:spacing w:val="-4"/>
                <w:w w:val="105"/>
                <w:sz w:val="21"/>
              </w:rPr>
              <w:t>26,8</w:t>
            </w:r>
          </w:p>
        </w:tc>
        <w:tc>
          <w:tcPr>
            <w:tcW w:w="1586" w:type="dxa"/>
            <w:tcBorders>
              <w:top w:val="nil"/>
            </w:tcBorders>
            <w:shd w:val="clear" w:color="auto" w:fill="EDECF3"/>
          </w:tcPr>
          <w:p>
            <w:pPr>
              <w:pStyle w:val="TableParagraph"/>
              <w:spacing w:before="91"/>
              <w:rPr>
                <w:sz w:val="21"/>
              </w:rPr>
            </w:pPr>
            <w:r>
              <w:rPr>
                <w:spacing w:val="-4"/>
                <w:w w:val="105"/>
                <w:sz w:val="21"/>
              </w:rPr>
              <w:t>45,2</w:t>
            </w:r>
          </w:p>
        </w:tc>
        <w:tc>
          <w:tcPr>
            <w:tcW w:w="3708" w:type="dxa"/>
            <w:tcBorders>
              <w:top w:val="nil"/>
              <w:right w:val="nil"/>
            </w:tcBorders>
            <w:shd w:val="clear" w:color="auto" w:fill="EDECF3"/>
          </w:tcPr>
          <w:p>
            <w:pPr>
              <w:pStyle w:val="TableParagraph"/>
              <w:spacing w:before="91"/>
              <w:ind w:left="64"/>
              <w:rPr>
                <w:sz w:val="21"/>
              </w:rPr>
            </w:pPr>
            <w:r>
              <w:rPr>
                <w:w w:val="105"/>
                <w:sz w:val="21"/>
              </w:rPr>
              <w:t>2,87</w:t>
            </w:r>
            <w:r>
              <w:rPr>
                <w:spacing w:val="27"/>
                <w:w w:val="105"/>
                <w:sz w:val="21"/>
              </w:rPr>
              <w:t> </w:t>
            </w:r>
            <w:r>
              <w:rPr>
                <w:w w:val="105"/>
                <w:sz w:val="21"/>
              </w:rPr>
              <w:t>(2,58,</w:t>
            </w:r>
            <w:r>
              <w:rPr>
                <w:spacing w:val="22"/>
                <w:w w:val="105"/>
                <w:sz w:val="21"/>
              </w:rPr>
              <w:t> </w:t>
            </w:r>
            <w:r>
              <w:rPr>
                <w:spacing w:val="-2"/>
                <w:w w:val="105"/>
                <w:sz w:val="21"/>
              </w:rPr>
              <w:t>3,19)</w:t>
            </w:r>
          </w:p>
        </w:tc>
      </w:tr>
      <w:tr>
        <w:trPr>
          <w:trHeight w:val="428" w:hRule="atLeast"/>
        </w:trPr>
        <w:tc>
          <w:tcPr>
            <w:tcW w:w="3724" w:type="dxa"/>
            <w:tcBorders>
              <w:left w:val="nil"/>
            </w:tcBorders>
            <w:shd w:val="clear" w:color="auto" w:fill="EDECF3"/>
          </w:tcPr>
          <w:p>
            <w:pPr>
              <w:pStyle w:val="TableParagraph"/>
              <w:ind w:left="67"/>
              <w:rPr>
                <w:sz w:val="21"/>
              </w:rPr>
            </w:pPr>
            <w:r>
              <w:rPr>
                <w:spacing w:val="-2"/>
                <w:w w:val="105"/>
                <w:sz w:val="21"/>
              </w:rPr>
              <w:t>Diabetes</w:t>
            </w:r>
          </w:p>
        </w:tc>
        <w:tc>
          <w:tcPr>
            <w:tcW w:w="1602" w:type="dxa"/>
            <w:shd w:val="clear" w:color="auto" w:fill="EDECF3"/>
          </w:tcPr>
          <w:p>
            <w:pPr>
              <w:pStyle w:val="TableParagraph"/>
              <w:rPr>
                <w:sz w:val="21"/>
              </w:rPr>
            </w:pPr>
            <w:r>
              <w:rPr>
                <w:spacing w:val="-5"/>
                <w:w w:val="105"/>
                <w:sz w:val="21"/>
              </w:rPr>
              <w:t>7,5</w:t>
            </w:r>
          </w:p>
        </w:tc>
        <w:tc>
          <w:tcPr>
            <w:tcW w:w="1586" w:type="dxa"/>
            <w:shd w:val="clear" w:color="auto" w:fill="EDECF3"/>
          </w:tcPr>
          <w:p>
            <w:pPr>
              <w:pStyle w:val="TableParagraph"/>
              <w:rPr>
                <w:sz w:val="21"/>
              </w:rPr>
            </w:pPr>
            <w:r>
              <w:rPr>
                <w:spacing w:val="-4"/>
                <w:w w:val="105"/>
                <w:sz w:val="21"/>
              </w:rPr>
              <w:t>18,4</w:t>
            </w:r>
          </w:p>
        </w:tc>
        <w:tc>
          <w:tcPr>
            <w:tcW w:w="3708" w:type="dxa"/>
            <w:tcBorders>
              <w:right w:val="nil"/>
            </w:tcBorders>
            <w:shd w:val="clear" w:color="auto" w:fill="EDECF3"/>
          </w:tcPr>
          <w:p>
            <w:pPr>
              <w:pStyle w:val="TableParagraph"/>
              <w:ind w:left="64"/>
              <w:rPr>
                <w:sz w:val="21"/>
              </w:rPr>
            </w:pPr>
            <w:r>
              <w:rPr>
                <w:w w:val="105"/>
                <w:sz w:val="21"/>
              </w:rPr>
              <w:t>2,37</w:t>
            </w:r>
            <w:r>
              <w:rPr>
                <w:spacing w:val="27"/>
                <w:w w:val="105"/>
                <w:sz w:val="21"/>
              </w:rPr>
              <w:t> </w:t>
            </w:r>
            <w:r>
              <w:rPr>
                <w:w w:val="105"/>
                <w:sz w:val="21"/>
              </w:rPr>
              <w:t>(2,07,</w:t>
            </w:r>
            <w:r>
              <w:rPr>
                <w:spacing w:val="22"/>
                <w:w w:val="105"/>
                <w:sz w:val="21"/>
              </w:rPr>
              <w:t> </w:t>
            </w:r>
            <w:r>
              <w:rPr>
                <w:spacing w:val="-2"/>
                <w:w w:val="105"/>
                <w:sz w:val="21"/>
              </w:rPr>
              <w:t>2,71)</w:t>
            </w:r>
          </w:p>
        </w:tc>
      </w:tr>
      <w:tr>
        <w:trPr>
          <w:trHeight w:val="428" w:hRule="atLeast"/>
        </w:trPr>
        <w:tc>
          <w:tcPr>
            <w:tcW w:w="3724" w:type="dxa"/>
            <w:tcBorders>
              <w:left w:val="nil"/>
            </w:tcBorders>
            <w:shd w:val="clear" w:color="auto" w:fill="EDECF3"/>
          </w:tcPr>
          <w:p>
            <w:pPr>
              <w:pStyle w:val="TableParagraph"/>
              <w:ind w:left="67"/>
              <w:rPr>
                <w:sz w:val="21"/>
              </w:rPr>
            </w:pPr>
            <w:r>
              <w:rPr>
                <w:spacing w:val="-2"/>
                <w:w w:val="105"/>
                <w:sz w:val="21"/>
              </w:rPr>
              <w:t>Hipertensão</w:t>
            </w:r>
          </w:p>
        </w:tc>
        <w:tc>
          <w:tcPr>
            <w:tcW w:w="1602" w:type="dxa"/>
            <w:shd w:val="clear" w:color="auto" w:fill="EDECF3"/>
          </w:tcPr>
          <w:p>
            <w:pPr>
              <w:pStyle w:val="TableParagraph"/>
              <w:rPr>
                <w:sz w:val="21"/>
              </w:rPr>
            </w:pPr>
            <w:r>
              <w:rPr>
                <w:spacing w:val="-4"/>
                <w:w w:val="105"/>
                <w:sz w:val="21"/>
              </w:rPr>
              <w:t>21,9</w:t>
            </w:r>
          </w:p>
        </w:tc>
        <w:tc>
          <w:tcPr>
            <w:tcW w:w="1586" w:type="dxa"/>
            <w:shd w:val="clear" w:color="auto" w:fill="EDECF3"/>
          </w:tcPr>
          <w:p>
            <w:pPr>
              <w:pStyle w:val="TableParagraph"/>
              <w:rPr>
                <w:sz w:val="21"/>
              </w:rPr>
            </w:pPr>
            <w:r>
              <w:rPr>
                <w:spacing w:val="-4"/>
                <w:w w:val="105"/>
                <w:sz w:val="21"/>
              </w:rPr>
              <w:t>39,0</w:t>
            </w:r>
          </w:p>
        </w:tc>
        <w:tc>
          <w:tcPr>
            <w:tcW w:w="3708" w:type="dxa"/>
            <w:tcBorders>
              <w:right w:val="nil"/>
            </w:tcBorders>
            <w:shd w:val="clear" w:color="auto" w:fill="EDECF3"/>
          </w:tcPr>
          <w:p>
            <w:pPr>
              <w:pStyle w:val="TableParagraph"/>
              <w:ind w:left="64"/>
              <w:rPr>
                <w:sz w:val="21"/>
              </w:rPr>
            </w:pPr>
            <w:r>
              <w:rPr>
                <w:w w:val="105"/>
                <w:sz w:val="21"/>
              </w:rPr>
              <w:t>1,91</w:t>
            </w:r>
            <w:r>
              <w:rPr>
                <w:spacing w:val="27"/>
                <w:w w:val="105"/>
                <w:sz w:val="21"/>
              </w:rPr>
              <w:t> </w:t>
            </w:r>
            <w:r>
              <w:rPr>
                <w:w w:val="105"/>
                <w:sz w:val="21"/>
              </w:rPr>
              <w:t>(1,74,</w:t>
            </w:r>
            <w:r>
              <w:rPr>
                <w:spacing w:val="22"/>
                <w:w w:val="105"/>
                <w:sz w:val="21"/>
              </w:rPr>
              <w:t> </w:t>
            </w:r>
            <w:r>
              <w:rPr>
                <w:spacing w:val="-2"/>
                <w:w w:val="105"/>
                <w:sz w:val="21"/>
              </w:rPr>
              <w:t>2,10)</w:t>
            </w:r>
          </w:p>
        </w:tc>
      </w:tr>
      <w:tr>
        <w:trPr>
          <w:trHeight w:val="428" w:hRule="atLeast"/>
        </w:trPr>
        <w:tc>
          <w:tcPr>
            <w:tcW w:w="3724" w:type="dxa"/>
            <w:tcBorders>
              <w:left w:val="nil"/>
            </w:tcBorders>
            <w:shd w:val="clear" w:color="auto" w:fill="EDECF3"/>
          </w:tcPr>
          <w:p>
            <w:pPr>
              <w:pStyle w:val="TableParagraph"/>
              <w:ind w:left="67"/>
              <w:rPr>
                <w:sz w:val="21"/>
              </w:rPr>
            </w:pPr>
            <w:r>
              <w:rPr>
                <w:w w:val="105"/>
                <w:sz w:val="21"/>
              </w:rPr>
              <w:t>Obesidade</w:t>
            </w:r>
            <w:r>
              <w:rPr>
                <w:spacing w:val="33"/>
                <w:w w:val="105"/>
                <w:sz w:val="21"/>
              </w:rPr>
              <w:t> </w:t>
            </w:r>
            <w:r>
              <w:rPr>
                <w:spacing w:val="-2"/>
                <w:w w:val="105"/>
                <w:sz w:val="21"/>
              </w:rPr>
              <w:t>abdominal</w:t>
            </w:r>
          </w:p>
        </w:tc>
        <w:tc>
          <w:tcPr>
            <w:tcW w:w="1602" w:type="dxa"/>
            <w:shd w:val="clear" w:color="auto" w:fill="EDECF3"/>
          </w:tcPr>
          <w:p>
            <w:pPr>
              <w:pStyle w:val="TableParagraph"/>
              <w:rPr>
                <w:sz w:val="21"/>
              </w:rPr>
            </w:pPr>
            <w:r>
              <w:rPr>
                <w:spacing w:val="-4"/>
                <w:w w:val="105"/>
                <w:sz w:val="21"/>
              </w:rPr>
              <w:t>33,3</w:t>
            </w:r>
          </w:p>
        </w:tc>
        <w:tc>
          <w:tcPr>
            <w:tcW w:w="1586" w:type="dxa"/>
            <w:shd w:val="clear" w:color="auto" w:fill="EDECF3"/>
          </w:tcPr>
          <w:p>
            <w:pPr>
              <w:pStyle w:val="TableParagraph"/>
              <w:rPr>
                <w:sz w:val="21"/>
              </w:rPr>
            </w:pPr>
            <w:r>
              <w:rPr>
                <w:spacing w:val="-4"/>
                <w:w w:val="105"/>
                <w:sz w:val="21"/>
              </w:rPr>
              <w:t>46,3</w:t>
            </w:r>
          </w:p>
        </w:tc>
        <w:tc>
          <w:tcPr>
            <w:tcW w:w="3708" w:type="dxa"/>
            <w:tcBorders>
              <w:right w:val="nil"/>
            </w:tcBorders>
            <w:shd w:val="clear" w:color="auto" w:fill="EDECF3"/>
          </w:tcPr>
          <w:p>
            <w:pPr>
              <w:pStyle w:val="TableParagraph"/>
              <w:ind w:left="64"/>
              <w:rPr>
                <w:sz w:val="21"/>
              </w:rPr>
            </w:pPr>
            <w:r>
              <w:rPr>
                <w:w w:val="105"/>
                <w:sz w:val="21"/>
              </w:rPr>
              <w:t>1,62</w:t>
            </w:r>
            <w:r>
              <w:rPr>
                <w:spacing w:val="27"/>
                <w:w w:val="105"/>
                <w:sz w:val="21"/>
              </w:rPr>
              <w:t> </w:t>
            </w:r>
            <w:r>
              <w:rPr>
                <w:w w:val="105"/>
                <w:sz w:val="21"/>
              </w:rPr>
              <w:t>(1,45,</w:t>
            </w:r>
            <w:r>
              <w:rPr>
                <w:spacing w:val="22"/>
                <w:w w:val="105"/>
                <w:sz w:val="21"/>
              </w:rPr>
              <w:t> </w:t>
            </w:r>
            <w:r>
              <w:rPr>
                <w:spacing w:val="-2"/>
                <w:w w:val="105"/>
                <w:sz w:val="21"/>
              </w:rPr>
              <w:t>1,80)</w:t>
            </w:r>
          </w:p>
        </w:tc>
      </w:tr>
      <w:tr>
        <w:trPr>
          <w:trHeight w:val="428" w:hRule="atLeast"/>
        </w:trPr>
        <w:tc>
          <w:tcPr>
            <w:tcW w:w="3724" w:type="dxa"/>
            <w:tcBorders>
              <w:left w:val="nil"/>
            </w:tcBorders>
            <w:shd w:val="clear" w:color="auto" w:fill="EDECF3"/>
          </w:tcPr>
          <w:p>
            <w:pPr>
              <w:pStyle w:val="TableParagraph"/>
              <w:ind w:left="67"/>
              <w:rPr>
                <w:sz w:val="21"/>
              </w:rPr>
            </w:pPr>
            <w:r>
              <w:rPr>
                <w:spacing w:val="-2"/>
                <w:w w:val="105"/>
                <w:sz w:val="21"/>
              </w:rPr>
              <w:t>Psicossocial</w:t>
            </w:r>
          </w:p>
        </w:tc>
        <w:tc>
          <w:tcPr>
            <w:tcW w:w="1602" w:type="dxa"/>
            <w:shd w:val="clear" w:color="auto" w:fill="EDECF3"/>
          </w:tcPr>
          <w:p>
            <w:pPr>
              <w:pStyle w:val="TableParagraph"/>
              <w:rPr>
                <w:sz w:val="21"/>
              </w:rPr>
            </w:pPr>
            <w:r>
              <w:rPr>
                <w:w w:val="195"/>
                <w:sz w:val="21"/>
              </w:rPr>
              <w:t>–</w:t>
            </w:r>
          </w:p>
        </w:tc>
        <w:tc>
          <w:tcPr>
            <w:tcW w:w="1586" w:type="dxa"/>
            <w:shd w:val="clear" w:color="auto" w:fill="EDECF3"/>
          </w:tcPr>
          <w:p>
            <w:pPr>
              <w:pStyle w:val="TableParagraph"/>
              <w:rPr>
                <w:sz w:val="21"/>
              </w:rPr>
            </w:pPr>
            <w:r>
              <w:rPr>
                <w:w w:val="195"/>
                <w:sz w:val="21"/>
              </w:rPr>
              <w:t>–</w:t>
            </w:r>
          </w:p>
        </w:tc>
        <w:tc>
          <w:tcPr>
            <w:tcW w:w="3708" w:type="dxa"/>
            <w:tcBorders>
              <w:right w:val="nil"/>
            </w:tcBorders>
            <w:shd w:val="clear" w:color="auto" w:fill="EDECF3"/>
          </w:tcPr>
          <w:p>
            <w:pPr>
              <w:pStyle w:val="TableParagraph"/>
              <w:ind w:left="64"/>
              <w:rPr>
                <w:sz w:val="21"/>
              </w:rPr>
            </w:pPr>
            <w:r>
              <w:rPr>
                <w:w w:val="105"/>
                <w:sz w:val="21"/>
              </w:rPr>
              <w:t>2,67</w:t>
            </w:r>
            <w:r>
              <w:rPr>
                <w:spacing w:val="27"/>
                <w:w w:val="105"/>
                <w:sz w:val="21"/>
              </w:rPr>
              <w:t> </w:t>
            </w:r>
            <w:r>
              <w:rPr>
                <w:w w:val="105"/>
                <w:sz w:val="21"/>
              </w:rPr>
              <w:t>(2,21,</w:t>
            </w:r>
            <w:r>
              <w:rPr>
                <w:spacing w:val="22"/>
                <w:w w:val="105"/>
                <w:sz w:val="21"/>
              </w:rPr>
              <w:t> </w:t>
            </w:r>
            <w:r>
              <w:rPr>
                <w:spacing w:val="-2"/>
                <w:w w:val="105"/>
                <w:sz w:val="21"/>
              </w:rPr>
              <w:t>3,22)</w:t>
            </w:r>
          </w:p>
        </w:tc>
      </w:tr>
      <w:tr>
        <w:trPr>
          <w:trHeight w:val="428" w:hRule="atLeast"/>
        </w:trPr>
        <w:tc>
          <w:tcPr>
            <w:tcW w:w="3724" w:type="dxa"/>
            <w:tcBorders>
              <w:left w:val="nil"/>
            </w:tcBorders>
            <w:shd w:val="clear" w:color="auto" w:fill="EDECF3"/>
          </w:tcPr>
          <w:p>
            <w:pPr>
              <w:pStyle w:val="TableParagraph"/>
              <w:ind w:left="67"/>
              <w:rPr>
                <w:sz w:val="21"/>
              </w:rPr>
            </w:pPr>
            <w:r>
              <w:rPr>
                <w:w w:val="105"/>
                <w:sz w:val="21"/>
              </w:rPr>
              <w:t>Vegetais</w:t>
            </w:r>
            <w:r>
              <w:rPr>
                <w:spacing w:val="12"/>
                <w:w w:val="105"/>
                <w:sz w:val="21"/>
              </w:rPr>
              <w:t> </w:t>
            </w:r>
            <w:r>
              <w:rPr>
                <w:w w:val="105"/>
                <w:sz w:val="21"/>
              </w:rPr>
              <w:t>e</w:t>
            </w:r>
            <w:r>
              <w:rPr>
                <w:spacing w:val="16"/>
                <w:w w:val="105"/>
                <w:sz w:val="21"/>
              </w:rPr>
              <w:t> </w:t>
            </w:r>
            <w:r>
              <w:rPr>
                <w:spacing w:val="-2"/>
                <w:w w:val="105"/>
                <w:sz w:val="21"/>
              </w:rPr>
              <w:t>frutas</w:t>
            </w:r>
          </w:p>
        </w:tc>
        <w:tc>
          <w:tcPr>
            <w:tcW w:w="1602" w:type="dxa"/>
            <w:shd w:val="clear" w:color="auto" w:fill="EDECF3"/>
          </w:tcPr>
          <w:p>
            <w:pPr>
              <w:pStyle w:val="TableParagraph"/>
              <w:rPr>
                <w:sz w:val="21"/>
              </w:rPr>
            </w:pPr>
            <w:r>
              <w:rPr>
                <w:spacing w:val="-4"/>
                <w:w w:val="105"/>
                <w:sz w:val="21"/>
              </w:rPr>
              <w:t>42,4</w:t>
            </w:r>
          </w:p>
        </w:tc>
        <w:tc>
          <w:tcPr>
            <w:tcW w:w="1586" w:type="dxa"/>
            <w:shd w:val="clear" w:color="auto" w:fill="EDECF3"/>
          </w:tcPr>
          <w:p>
            <w:pPr>
              <w:pStyle w:val="TableParagraph"/>
              <w:rPr>
                <w:sz w:val="21"/>
              </w:rPr>
            </w:pPr>
            <w:r>
              <w:rPr>
                <w:spacing w:val="-4"/>
                <w:w w:val="105"/>
                <w:sz w:val="21"/>
              </w:rPr>
              <w:t>35,8</w:t>
            </w:r>
          </w:p>
        </w:tc>
        <w:tc>
          <w:tcPr>
            <w:tcW w:w="3708" w:type="dxa"/>
            <w:tcBorders>
              <w:right w:val="nil"/>
            </w:tcBorders>
            <w:shd w:val="clear" w:color="auto" w:fill="EDECF3"/>
          </w:tcPr>
          <w:p>
            <w:pPr>
              <w:pStyle w:val="TableParagraph"/>
              <w:ind w:left="64"/>
              <w:rPr>
                <w:sz w:val="21"/>
              </w:rPr>
            </w:pPr>
            <w:r>
              <w:rPr>
                <w:w w:val="105"/>
                <w:sz w:val="21"/>
              </w:rPr>
              <w:t>0,70</w:t>
            </w:r>
            <w:r>
              <w:rPr>
                <w:spacing w:val="27"/>
                <w:w w:val="105"/>
                <w:sz w:val="21"/>
              </w:rPr>
              <w:t> </w:t>
            </w:r>
            <w:r>
              <w:rPr>
                <w:w w:val="105"/>
                <w:sz w:val="21"/>
              </w:rPr>
              <w:t>(0,62,</w:t>
            </w:r>
            <w:r>
              <w:rPr>
                <w:spacing w:val="22"/>
                <w:w w:val="105"/>
                <w:sz w:val="21"/>
              </w:rPr>
              <w:t> </w:t>
            </w:r>
            <w:r>
              <w:rPr>
                <w:spacing w:val="-2"/>
                <w:w w:val="105"/>
                <w:sz w:val="21"/>
              </w:rPr>
              <w:t>0,79)</w:t>
            </w:r>
          </w:p>
        </w:tc>
      </w:tr>
      <w:tr>
        <w:trPr>
          <w:trHeight w:val="428" w:hRule="atLeast"/>
        </w:trPr>
        <w:tc>
          <w:tcPr>
            <w:tcW w:w="3724" w:type="dxa"/>
            <w:tcBorders>
              <w:left w:val="nil"/>
            </w:tcBorders>
            <w:shd w:val="clear" w:color="auto" w:fill="EDECF3"/>
          </w:tcPr>
          <w:p>
            <w:pPr>
              <w:pStyle w:val="TableParagraph"/>
              <w:ind w:left="67"/>
              <w:rPr>
                <w:sz w:val="21"/>
              </w:rPr>
            </w:pPr>
            <w:r>
              <w:rPr>
                <w:spacing w:val="-2"/>
                <w:w w:val="105"/>
                <w:sz w:val="21"/>
              </w:rPr>
              <w:t>Exercício</w:t>
            </w:r>
          </w:p>
        </w:tc>
        <w:tc>
          <w:tcPr>
            <w:tcW w:w="1602" w:type="dxa"/>
            <w:shd w:val="clear" w:color="auto" w:fill="EDECF3"/>
          </w:tcPr>
          <w:p>
            <w:pPr>
              <w:pStyle w:val="TableParagraph"/>
              <w:rPr>
                <w:sz w:val="21"/>
              </w:rPr>
            </w:pPr>
            <w:r>
              <w:rPr>
                <w:spacing w:val="-4"/>
                <w:w w:val="105"/>
                <w:sz w:val="21"/>
              </w:rPr>
              <w:t>19,3</w:t>
            </w:r>
          </w:p>
        </w:tc>
        <w:tc>
          <w:tcPr>
            <w:tcW w:w="1586" w:type="dxa"/>
            <w:shd w:val="clear" w:color="auto" w:fill="EDECF3"/>
          </w:tcPr>
          <w:p>
            <w:pPr>
              <w:pStyle w:val="TableParagraph"/>
              <w:rPr>
                <w:sz w:val="21"/>
              </w:rPr>
            </w:pPr>
            <w:r>
              <w:rPr>
                <w:spacing w:val="-4"/>
                <w:w w:val="105"/>
                <w:sz w:val="21"/>
              </w:rPr>
              <w:t>14,3</w:t>
            </w:r>
          </w:p>
        </w:tc>
        <w:tc>
          <w:tcPr>
            <w:tcW w:w="3708" w:type="dxa"/>
            <w:tcBorders>
              <w:right w:val="nil"/>
            </w:tcBorders>
            <w:shd w:val="clear" w:color="auto" w:fill="EDECF3"/>
          </w:tcPr>
          <w:p>
            <w:pPr>
              <w:pStyle w:val="TableParagraph"/>
              <w:ind w:left="64"/>
              <w:rPr>
                <w:sz w:val="21"/>
              </w:rPr>
            </w:pPr>
            <w:r>
              <w:rPr>
                <w:w w:val="105"/>
                <w:sz w:val="21"/>
              </w:rPr>
              <w:t>0,86</w:t>
            </w:r>
            <w:r>
              <w:rPr>
                <w:spacing w:val="27"/>
                <w:w w:val="105"/>
                <w:sz w:val="21"/>
              </w:rPr>
              <w:t> </w:t>
            </w:r>
            <w:r>
              <w:rPr>
                <w:w w:val="105"/>
                <w:sz w:val="21"/>
              </w:rPr>
              <w:t>(0,76,</w:t>
            </w:r>
            <w:r>
              <w:rPr>
                <w:spacing w:val="22"/>
                <w:w w:val="105"/>
                <w:sz w:val="21"/>
              </w:rPr>
              <w:t> </w:t>
            </w:r>
            <w:r>
              <w:rPr>
                <w:spacing w:val="-2"/>
                <w:w w:val="105"/>
                <w:sz w:val="21"/>
              </w:rPr>
              <w:t>0,97)</w:t>
            </w:r>
          </w:p>
        </w:tc>
      </w:tr>
      <w:tr>
        <w:trPr>
          <w:trHeight w:val="428" w:hRule="atLeast"/>
        </w:trPr>
        <w:tc>
          <w:tcPr>
            <w:tcW w:w="3724" w:type="dxa"/>
            <w:tcBorders>
              <w:left w:val="nil"/>
            </w:tcBorders>
            <w:shd w:val="clear" w:color="auto" w:fill="EDECF3"/>
          </w:tcPr>
          <w:p>
            <w:pPr>
              <w:pStyle w:val="TableParagraph"/>
              <w:ind w:left="67"/>
              <w:rPr>
                <w:sz w:val="21"/>
              </w:rPr>
            </w:pPr>
            <w:r>
              <w:rPr>
                <w:spacing w:val="-2"/>
                <w:sz w:val="21"/>
              </w:rPr>
              <w:t>Álcool</w:t>
            </w:r>
          </w:p>
        </w:tc>
        <w:tc>
          <w:tcPr>
            <w:tcW w:w="1602" w:type="dxa"/>
            <w:shd w:val="clear" w:color="auto" w:fill="EDECF3"/>
          </w:tcPr>
          <w:p>
            <w:pPr>
              <w:pStyle w:val="TableParagraph"/>
              <w:rPr>
                <w:sz w:val="21"/>
              </w:rPr>
            </w:pPr>
            <w:r>
              <w:rPr>
                <w:spacing w:val="-4"/>
                <w:w w:val="105"/>
                <w:sz w:val="21"/>
              </w:rPr>
              <w:t>24,5</w:t>
            </w:r>
          </w:p>
        </w:tc>
        <w:tc>
          <w:tcPr>
            <w:tcW w:w="1586" w:type="dxa"/>
            <w:shd w:val="clear" w:color="auto" w:fill="EDECF3"/>
          </w:tcPr>
          <w:p>
            <w:pPr>
              <w:pStyle w:val="TableParagraph"/>
              <w:rPr>
                <w:sz w:val="21"/>
              </w:rPr>
            </w:pPr>
            <w:r>
              <w:rPr>
                <w:spacing w:val="-4"/>
                <w:w w:val="105"/>
                <w:sz w:val="21"/>
              </w:rPr>
              <w:t>24,0</w:t>
            </w:r>
          </w:p>
        </w:tc>
        <w:tc>
          <w:tcPr>
            <w:tcW w:w="3708" w:type="dxa"/>
            <w:tcBorders>
              <w:right w:val="nil"/>
            </w:tcBorders>
            <w:shd w:val="clear" w:color="auto" w:fill="EDECF3"/>
          </w:tcPr>
          <w:p>
            <w:pPr>
              <w:pStyle w:val="TableParagraph"/>
              <w:ind w:left="64"/>
              <w:rPr>
                <w:sz w:val="21"/>
              </w:rPr>
            </w:pPr>
            <w:r>
              <w:rPr>
                <w:w w:val="105"/>
                <w:sz w:val="21"/>
              </w:rPr>
              <w:t>0,91</w:t>
            </w:r>
            <w:r>
              <w:rPr>
                <w:spacing w:val="27"/>
                <w:w w:val="105"/>
                <w:sz w:val="21"/>
              </w:rPr>
              <w:t> </w:t>
            </w:r>
            <w:r>
              <w:rPr>
                <w:w w:val="105"/>
                <w:sz w:val="21"/>
              </w:rPr>
              <w:t>(0,82,</w:t>
            </w:r>
            <w:r>
              <w:rPr>
                <w:spacing w:val="22"/>
                <w:w w:val="105"/>
                <w:sz w:val="21"/>
              </w:rPr>
              <w:t> </w:t>
            </w:r>
            <w:r>
              <w:rPr>
                <w:spacing w:val="-2"/>
                <w:w w:val="105"/>
                <w:sz w:val="21"/>
              </w:rPr>
              <w:t>1,02)</w:t>
            </w:r>
          </w:p>
        </w:tc>
      </w:tr>
      <w:tr>
        <w:trPr>
          <w:trHeight w:val="428" w:hRule="atLeast"/>
        </w:trPr>
        <w:tc>
          <w:tcPr>
            <w:tcW w:w="6912" w:type="dxa"/>
            <w:gridSpan w:val="3"/>
            <w:tcBorders>
              <w:left w:val="nil"/>
            </w:tcBorders>
            <w:shd w:val="clear" w:color="auto" w:fill="EDECF3"/>
          </w:tcPr>
          <w:p>
            <w:pPr>
              <w:pStyle w:val="TableParagraph"/>
              <w:ind w:left="67"/>
              <w:rPr>
                <w:sz w:val="21"/>
              </w:rPr>
            </w:pPr>
            <w:r>
              <w:rPr>
                <w:w w:val="105"/>
                <w:sz w:val="21"/>
              </w:rPr>
              <w:t>Todos</w:t>
            </w:r>
            <w:r>
              <w:rPr>
                <w:spacing w:val="12"/>
                <w:w w:val="105"/>
                <w:sz w:val="21"/>
              </w:rPr>
              <w:t> </w:t>
            </w:r>
            <w:r>
              <w:rPr>
                <w:spacing w:val="-2"/>
                <w:w w:val="105"/>
                <w:sz w:val="21"/>
              </w:rPr>
              <w:t>combinados</w:t>
            </w:r>
          </w:p>
        </w:tc>
        <w:tc>
          <w:tcPr>
            <w:tcW w:w="3708" w:type="dxa"/>
            <w:tcBorders>
              <w:right w:val="nil"/>
            </w:tcBorders>
            <w:shd w:val="clear" w:color="auto" w:fill="EDECF3"/>
          </w:tcPr>
          <w:p>
            <w:pPr>
              <w:pStyle w:val="TableParagraph"/>
              <w:ind w:left="64"/>
              <w:rPr>
                <w:sz w:val="21"/>
              </w:rPr>
            </w:pPr>
            <w:r>
              <w:rPr>
                <w:w w:val="105"/>
                <w:sz w:val="21"/>
              </w:rPr>
              <w:t>129,2</w:t>
            </w:r>
            <w:r>
              <w:rPr>
                <w:spacing w:val="29"/>
                <w:w w:val="105"/>
                <w:sz w:val="21"/>
              </w:rPr>
              <w:t> </w:t>
            </w:r>
            <w:r>
              <w:rPr>
                <w:w w:val="105"/>
                <w:sz w:val="21"/>
              </w:rPr>
              <w:t>(90,2,</w:t>
            </w:r>
            <w:r>
              <w:rPr>
                <w:spacing w:val="25"/>
                <w:w w:val="105"/>
                <w:sz w:val="21"/>
              </w:rPr>
              <w:t> </w:t>
            </w:r>
            <w:r>
              <w:rPr>
                <w:spacing w:val="-2"/>
                <w:w w:val="105"/>
                <w:sz w:val="21"/>
              </w:rPr>
              <w:t>185,0)</w:t>
            </w:r>
          </w:p>
        </w:tc>
      </w:tr>
      <w:tr>
        <w:trPr>
          <w:trHeight w:val="430" w:hRule="atLeast"/>
        </w:trPr>
        <w:tc>
          <w:tcPr>
            <w:tcW w:w="6912" w:type="dxa"/>
            <w:gridSpan w:val="3"/>
            <w:tcBorders>
              <w:left w:val="nil"/>
              <w:bottom w:val="nil"/>
            </w:tcBorders>
            <w:shd w:val="clear" w:color="auto" w:fill="EDECF3"/>
          </w:tcPr>
          <w:p>
            <w:pPr>
              <w:pStyle w:val="TableParagraph"/>
              <w:ind w:left="67"/>
              <w:rPr>
                <w:sz w:val="21"/>
              </w:rPr>
            </w:pPr>
            <w:r>
              <w:rPr>
                <w:w w:val="105"/>
                <w:sz w:val="21"/>
              </w:rPr>
              <w:t>Todos</w:t>
            </w:r>
            <w:r>
              <w:rPr>
                <w:spacing w:val="17"/>
                <w:w w:val="105"/>
                <w:sz w:val="21"/>
              </w:rPr>
              <w:t> </w:t>
            </w:r>
            <w:r>
              <w:rPr>
                <w:w w:val="105"/>
                <w:sz w:val="21"/>
              </w:rPr>
              <w:t>combinados</w:t>
            </w:r>
            <w:r>
              <w:rPr>
                <w:spacing w:val="18"/>
                <w:w w:val="105"/>
                <w:sz w:val="21"/>
              </w:rPr>
              <w:t> </w:t>
            </w:r>
            <w:r>
              <w:rPr>
                <w:spacing w:val="-2"/>
                <w:w w:val="105"/>
                <w:sz w:val="21"/>
              </w:rPr>
              <w:t>(extremos)</w:t>
            </w:r>
          </w:p>
        </w:tc>
        <w:tc>
          <w:tcPr>
            <w:tcW w:w="3708" w:type="dxa"/>
            <w:tcBorders>
              <w:bottom w:val="nil"/>
              <w:right w:val="nil"/>
            </w:tcBorders>
            <w:shd w:val="clear" w:color="auto" w:fill="EDECF3"/>
          </w:tcPr>
          <w:p>
            <w:pPr>
              <w:pStyle w:val="TableParagraph"/>
              <w:ind w:left="64"/>
              <w:rPr>
                <w:sz w:val="21"/>
              </w:rPr>
            </w:pPr>
            <w:r>
              <w:rPr>
                <w:w w:val="105"/>
                <w:sz w:val="21"/>
              </w:rPr>
              <w:t>333,7</w:t>
            </w:r>
            <w:r>
              <w:rPr>
                <w:spacing w:val="31"/>
                <w:w w:val="105"/>
                <w:sz w:val="21"/>
              </w:rPr>
              <w:t> </w:t>
            </w:r>
            <w:r>
              <w:rPr>
                <w:w w:val="105"/>
                <w:sz w:val="21"/>
              </w:rPr>
              <w:t>(230,2,</w:t>
            </w:r>
            <w:r>
              <w:rPr>
                <w:spacing w:val="27"/>
                <w:w w:val="105"/>
                <w:sz w:val="21"/>
              </w:rPr>
              <w:t> </w:t>
            </w:r>
            <w:r>
              <w:rPr>
                <w:spacing w:val="-2"/>
                <w:w w:val="105"/>
                <w:sz w:val="21"/>
              </w:rPr>
              <w:t>483,9)</w:t>
            </w:r>
          </w:p>
        </w:tc>
      </w:tr>
    </w:tbl>
    <w:p>
      <w:pPr>
        <w:spacing w:before="185"/>
        <w:ind w:left="68" w:right="0" w:firstLine="0"/>
        <w:jc w:val="left"/>
        <w:rPr>
          <w:rFonts w:ascii="Microsoft Sans Serif" w:hAnsi="Microsoft Sans Serif"/>
          <w:sz w:val="19"/>
        </w:rPr>
      </w:pPr>
      <w:r>
        <w:rPr>
          <w:rFonts w:ascii="Microsoft Sans Serif" w:hAnsi="Microsoft Sans Serif"/>
          <w:sz w:val="19"/>
        </w:rPr>
        <w:t>APO</w:t>
      </w:r>
      <w:r>
        <w:rPr>
          <w:rFonts w:ascii="Microsoft Sans Serif" w:hAnsi="Microsoft Sans Serif"/>
          <w:spacing w:val="-6"/>
          <w:sz w:val="19"/>
        </w:rPr>
        <w:t> </w:t>
      </w:r>
      <w:r>
        <w:rPr>
          <w:rFonts w:ascii="Microsoft Sans Serif" w:hAnsi="Microsoft Sans Serif"/>
          <w:sz w:val="19"/>
        </w:rPr>
        <w:t>= </w:t>
      </w:r>
      <w:r>
        <w:rPr>
          <w:rFonts w:ascii="Microsoft Sans Serif" w:hAnsi="Microsoft Sans Serif"/>
          <w:spacing w:val="-2"/>
          <w:sz w:val="19"/>
        </w:rPr>
        <w:t>apolipoproteína.</w:t>
      </w:r>
    </w:p>
    <w:p>
      <w:pPr>
        <w:pStyle w:val="BodyText"/>
        <w:spacing w:before="107"/>
        <w:ind w:left="0" w:firstLine="0"/>
        <w:jc w:val="left"/>
        <w:rPr>
          <w:rFonts w:ascii="Microsoft Sans Serif"/>
          <w:sz w:val="19"/>
        </w:rPr>
      </w:pPr>
    </w:p>
    <w:p>
      <w:pPr>
        <w:pStyle w:val="BodyText"/>
        <w:spacing w:line="278" w:lineRule="auto" w:before="0"/>
        <w:ind w:right="491"/>
      </w:pPr>
      <w:r>
        <w:rPr/>
        <w:t>De acordo com novos conhecimentos, Greenland </w:t>
      </w:r>
      <w:r>
        <w:rPr>
          <w:i/>
        </w:rPr>
        <w:t>et al. </w:t>
      </w:r>
      <w:r>
        <w:rPr/>
        <w:t>sugeriram modificações na avaliação inicial do risco global, bem como procedimentos adicionais não invasivos, visando a melhor definição do risco de eventos coronarianos em indivíduos assintomáticos.</w:t>
      </w:r>
      <w:r>
        <w:rPr>
          <w:vertAlign w:val="superscript"/>
        </w:rPr>
        <w:t>21</w:t>
      </w:r>
      <w:r>
        <w:rPr>
          <w:vertAlign w:val="baseline"/>
        </w:rPr>
        <w:t> Essa nova análise sugere que os indivíduos de baixo risco são</w:t>
      </w:r>
      <w:r>
        <w:rPr>
          <w:spacing w:val="40"/>
          <w:vertAlign w:val="baseline"/>
        </w:rPr>
        <w:t> </w:t>
      </w:r>
      <w:r>
        <w:rPr>
          <w:vertAlign w:val="baseline"/>
        </w:rPr>
        <w:t>aqueles com menos de 6% de risco de eventos em 10 anos (ou até 0,6% por ano), sendo geralmente livres de quaisquer fatores de risco maiores independentes. Quando apresentam uma taxa de risco entre 6 e 20%, em 10 anos, são considerados como de risco intermediário, e aqui estão incluídos indivíduos com, pelo menos, um fator</w:t>
      </w:r>
      <w:r>
        <w:rPr>
          <w:spacing w:val="40"/>
          <w:vertAlign w:val="baseline"/>
        </w:rPr>
        <w:t> </w:t>
      </w:r>
      <w:r>
        <w:rPr>
          <w:vertAlign w:val="baseline"/>
        </w:rPr>
        <w:t>de risco maior positivo. Aqueles com risco superior a 20% em 10 anos (ou mais de 2% de risco anual) são considerados como</w:t>
      </w:r>
      <w:r>
        <w:rPr>
          <w:spacing w:val="-2"/>
          <w:vertAlign w:val="baseline"/>
        </w:rPr>
        <w:t> </w:t>
      </w:r>
      <w:r>
        <w:rPr>
          <w:vertAlign w:val="baseline"/>
        </w:rPr>
        <w:t>de</w:t>
      </w:r>
      <w:r>
        <w:rPr>
          <w:spacing w:val="-5"/>
          <w:vertAlign w:val="baseline"/>
        </w:rPr>
        <w:t> </w:t>
      </w:r>
      <w:r>
        <w:rPr>
          <w:vertAlign w:val="baseline"/>
        </w:rPr>
        <w:t>risco</w:t>
      </w:r>
      <w:r>
        <w:rPr>
          <w:spacing w:val="-2"/>
          <w:vertAlign w:val="baseline"/>
        </w:rPr>
        <w:t> </w:t>
      </w:r>
      <w:r>
        <w:rPr>
          <w:vertAlign w:val="baseline"/>
        </w:rPr>
        <w:t>elevado, com</w:t>
      </w:r>
      <w:r>
        <w:rPr>
          <w:spacing w:val="-2"/>
          <w:vertAlign w:val="baseline"/>
        </w:rPr>
        <w:t> </w:t>
      </w:r>
      <w:r>
        <w:rPr>
          <w:vertAlign w:val="baseline"/>
        </w:rPr>
        <w:t>nível de</w:t>
      </w:r>
      <w:r>
        <w:rPr>
          <w:spacing w:val="-5"/>
          <w:vertAlign w:val="baseline"/>
        </w:rPr>
        <w:t> </w:t>
      </w:r>
      <w:r>
        <w:rPr>
          <w:vertAlign w:val="baseline"/>
        </w:rPr>
        <w:t>risco</w:t>
      </w:r>
      <w:r>
        <w:rPr>
          <w:spacing w:val="-2"/>
          <w:vertAlign w:val="baseline"/>
        </w:rPr>
        <w:t> </w:t>
      </w:r>
      <w:r>
        <w:rPr>
          <w:vertAlign w:val="baseline"/>
        </w:rPr>
        <w:t>semelhante</w:t>
      </w:r>
      <w:r>
        <w:rPr>
          <w:spacing w:val="-5"/>
          <w:vertAlign w:val="baseline"/>
        </w:rPr>
        <w:t> </w:t>
      </w:r>
      <w:r>
        <w:rPr>
          <w:vertAlign w:val="baseline"/>
        </w:rPr>
        <w:t>aos indivíduos com</w:t>
      </w:r>
      <w:r>
        <w:rPr>
          <w:spacing w:val="-2"/>
          <w:vertAlign w:val="baseline"/>
        </w:rPr>
        <w:t> </w:t>
      </w:r>
      <w:r>
        <w:rPr>
          <w:vertAlign w:val="baseline"/>
        </w:rPr>
        <w:t>DAC estável estabelecida.</w:t>
      </w:r>
    </w:p>
    <w:p>
      <w:pPr>
        <w:pStyle w:val="BodyText"/>
        <w:spacing w:line="280" w:lineRule="auto" w:before="44"/>
        <w:ind w:right="488"/>
      </w:pPr>
      <w:r>
        <w:rPr/>
        <w:t>Após o</w:t>
      </w:r>
      <w:r>
        <w:rPr>
          <w:spacing w:val="-8"/>
        </w:rPr>
        <w:t> </w:t>
      </w:r>
      <w:r>
        <w:rPr/>
        <w:t>cálculo</w:t>
      </w:r>
      <w:r>
        <w:rPr>
          <w:spacing w:val="-8"/>
        </w:rPr>
        <w:t> </w:t>
      </w:r>
      <w:r>
        <w:rPr/>
        <w:t>inicial</w:t>
      </w:r>
      <w:r>
        <w:rPr>
          <w:spacing w:val="-5"/>
        </w:rPr>
        <w:t> </w:t>
      </w:r>
      <w:r>
        <w:rPr/>
        <w:t>do</w:t>
      </w:r>
      <w:r>
        <w:rPr>
          <w:spacing w:val="-8"/>
        </w:rPr>
        <w:t> </w:t>
      </w:r>
      <w:r>
        <w:rPr/>
        <w:t>risco</w:t>
      </w:r>
      <w:r>
        <w:rPr>
          <w:spacing w:val="-8"/>
        </w:rPr>
        <w:t> </w:t>
      </w:r>
      <w:r>
        <w:rPr/>
        <w:t>absoluto</w:t>
      </w:r>
      <w:r>
        <w:rPr>
          <w:spacing w:val="-8"/>
        </w:rPr>
        <w:t> </w:t>
      </w:r>
      <w:r>
        <w:rPr/>
        <w:t>global, o</w:t>
      </w:r>
      <w:r>
        <w:rPr>
          <w:spacing w:val="-8"/>
        </w:rPr>
        <w:t> </w:t>
      </w:r>
      <w:r>
        <w:rPr/>
        <w:t>próximo</w:t>
      </w:r>
      <w:r>
        <w:rPr>
          <w:spacing w:val="-8"/>
        </w:rPr>
        <w:t> </w:t>
      </w:r>
      <w:r>
        <w:rPr/>
        <w:t>passo</w:t>
      </w:r>
      <w:r>
        <w:rPr>
          <w:spacing w:val="-8"/>
        </w:rPr>
        <w:t> </w:t>
      </w:r>
      <w:r>
        <w:rPr/>
        <w:t>é</w:t>
      </w:r>
      <w:r>
        <w:rPr>
          <w:spacing w:val="-10"/>
        </w:rPr>
        <w:t> </w:t>
      </w:r>
      <w:r>
        <w:rPr/>
        <w:t>determinar</w:t>
      </w:r>
      <w:r>
        <w:rPr>
          <w:spacing w:val="-3"/>
        </w:rPr>
        <w:t> </w:t>
      </w:r>
      <w:r>
        <w:rPr/>
        <w:t>qual</w:t>
      </w:r>
      <w:r>
        <w:rPr>
          <w:spacing w:val="-5"/>
        </w:rPr>
        <w:t> </w:t>
      </w:r>
      <w:r>
        <w:rPr/>
        <w:t>a</w:t>
      </w:r>
      <w:r>
        <w:rPr>
          <w:spacing w:val="-10"/>
        </w:rPr>
        <w:t> </w:t>
      </w:r>
      <w:r>
        <w:rPr/>
        <w:t>intervenção</w:t>
      </w:r>
      <w:r>
        <w:rPr>
          <w:spacing w:val="-8"/>
        </w:rPr>
        <w:t> </w:t>
      </w:r>
      <w:r>
        <w:rPr/>
        <w:t>apropriada</w:t>
      </w:r>
      <w:r>
        <w:rPr>
          <w:spacing w:val="-10"/>
        </w:rPr>
        <w:t> </w:t>
      </w:r>
      <w:r>
        <w:rPr/>
        <w:t>para esse</w:t>
      </w:r>
      <w:r>
        <w:rPr>
          <w:spacing w:val="-5"/>
        </w:rPr>
        <w:t> </w:t>
      </w:r>
      <w:r>
        <w:rPr/>
        <w:t>indivíduo, ou</w:t>
      </w:r>
      <w:r>
        <w:rPr>
          <w:spacing w:val="-3"/>
        </w:rPr>
        <w:t> </w:t>
      </w:r>
      <w:r>
        <w:rPr/>
        <w:t>mesmo</w:t>
      </w:r>
      <w:r>
        <w:rPr>
          <w:spacing w:val="-3"/>
        </w:rPr>
        <w:t> </w:t>
      </w:r>
      <w:r>
        <w:rPr/>
        <w:t>a</w:t>
      </w:r>
      <w:r>
        <w:rPr>
          <w:spacing w:val="-5"/>
        </w:rPr>
        <w:t> </w:t>
      </w:r>
      <w:r>
        <w:rPr/>
        <w:t>necessidade</w:t>
      </w:r>
      <w:r>
        <w:rPr>
          <w:spacing w:val="-5"/>
        </w:rPr>
        <w:t> </w:t>
      </w:r>
      <w:r>
        <w:rPr/>
        <w:t>de</w:t>
      </w:r>
      <w:r>
        <w:rPr>
          <w:spacing w:val="-5"/>
        </w:rPr>
        <w:t> </w:t>
      </w:r>
      <w:r>
        <w:rPr/>
        <w:t>testes adicionais. Esses autores propõem</w:t>
      </w:r>
      <w:r>
        <w:rPr>
          <w:spacing w:val="-3"/>
        </w:rPr>
        <w:t> </w:t>
      </w:r>
      <w:r>
        <w:rPr/>
        <w:t>que</w:t>
      </w:r>
      <w:r>
        <w:rPr>
          <w:spacing w:val="-5"/>
        </w:rPr>
        <w:t> </w:t>
      </w:r>
      <w:r>
        <w:rPr/>
        <w:t>indivíduos assintomáticos que tenham um baixo escore de risco e ausência de fatores para DAC (não fumantes, colesterol total [CT] &lt; 200 mg/d</w:t>
      </w:r>
      <w:r>
        <w:rPr>
          <w:i/>
        </w:rPr>
        <w:t>ℓ</w:t>
      </w:r>
      <w:r>
        <w:rPr/>
        <w:t>, HDL-colesterol superior a 40 mg/d</w:t>
      </w:r>
      <w:r>
        <w:rPr>
          <w:i/>
        </w:rPr>
        <w:t>ℓ</w:t>
      </w:r>
      <w:r>
        <w:rPr/>
        <w:t>, pressão arterial inferior a 120/80 mmHg, sem intolerância à glicose, IMC inferior a 25 kg/m</w:t>
      </w:r>
      <w:r>
        <w:rPr>
          <w:vertAlign w:val="superscript"/>
        </w:rPr>
        <w:t>2</w:t>
      </w:r>
      <w:r>
        <w:rPr>
          <w:vertAlign w:val="baseline"/>
        </w:rPr>
        <w:t> e sem história de DAC precoce familiar) são considerados de </w:t>
      </w:r>
      <w:r>
        <w:rPr>
          <w:i/>
          <w:vertAlign w:val="baseline"/>
        </w:rPr>
        <w:t>baixo risco </w:t>
      </w:r>
      <w:r>
        <w:rPr>
          <w:vertAlign w:val="baseline"/>
        </w:rPr>
        <w:t>para desenvolvimento de DAC.</w:t>
      </w:r>
      <w:r>
        <w:rPr>
          <w:vertAlign w:val="superscript"/>
        </w:rPr>
        <w:t>21</w:t>
      </w:r>
      <w:r>
        <w:rPr>
          <w:vertAlign w:val="baseline"/>
        </w:rPr>
        <w:t> Traduzindo os resultados do National Health and Nutrition Examination Survey (NHANES) III, esses indivíduos perfazem 35% da população adulta dos EUA e apresentam uma probabilidade de eventos sérios, como morte ou IAM, inferior a 5 a 6% em 10 anos. A curto prazo, devem ser orientados quanto à prevenção geral da população e não necessitam de outros métodos de avaliação cardiológica, podendo ser reavaliados em 5 anos.</w:t>
      </w:r>
      <w:r>
        <w:rPr>
          <w:vertAlign w:val="superscript"/>
        </w:rPr>
        <w:t>21</w:t>
      </w:r>
    </w:p>
    <w:p>
      <w:pPr>
        <w:pStyle w:val="BodyText"/>
        <w:spacing w:line="278" w:lineRule="auto" w:before="61"/>
        <w:ind w:right="487"/>
      </w:pPr>
      <w:r>
        <w:rPr/>
        <w:t>No outro extremo da análise de risco global estão os indivíduos sintomáticos ou assintomáticos chamados de </w:t>
      </w:r>
      <w:r>
        <w:rPr>
          <w:i/>
        </w:rPr>
        <w:t>alto</w:t>
      </w:r>
      <w:r>
        <w:rPr>
          <w:i/>
          <w:spacing w:val="-5"/>
        </w:rPr>
        <w:t> </w:t>
      </w:r>
      <w:r>
        <w:rPr>
          <w:i/>
        </w:rPr>
        <w:t>risco</w:t>
      </w:r>
      <w:r>
        <w:rPr/>
        <w:t>. São pacientes portadores de DAC ou outra forma de doença aterosclerótica definida, diabetes tipo 2 ou idosos com múltiplos fatores de risco. De acordo com as </w:t>
      </w:r>
      <w:r>
        <w:rPr>
          <w:i/>
        </w:rPr>
        <w:t>guidelines </w:t>
      </w:r>
      <w:r>
        <w:rPr/>
        <w:t>do Adult Treatment Panel (ATP-III) e o VII Joint National Committee (JNC-VII), indivíduos assintomáticos de alto risco devem ser agressivamente tratados tanto com mudanças de hábitos quanto com medicamentos, para que todos os fatores de risco sejam controlados. Estima-se, pela</w:t>
      </w:r>
      <w:r>
        <w:rPr>
          <w:spacing w:val="-6"/>
        </w:rPr>
        <w:t> </w:t>
      </w:r>
      <w:r>
        <w:rPr/>
        <w:t>análise</w:t>
      </w:r>
      <w:r>
        <w:rPr>
          <w:spacing w:val="-6"/>
        </w:rPr>
        <w:t> </w:t>
      </w:r>
      <w:r>
        <w:rPr/>
        <w:t>do</w:t>
      </w:r>
      <w:r>
        <w:rPr>
          <w:spacing w:val="-3"/>
        </w:rPr>
        <w:t> </w:t>
      </w:r>
      <w:r>
        <w:rPr/>
        <w:t>NHANES III, que</w:t>
      </w:r>
      <w:r>
        <w:rPr>
          <w:spacing w:val="-6"/>
        </w:rPr>
        <w:t> </w:t>
      </w:r>
      <w:r>
        <w:rPr/>
        <w:t>25% da</w:t>
      </w:r>
      <w:r>
        <w:rPr>
          <w:spacing w:val="-6"/>
        </w:rPr>
        <w:t> </w:t>
      </w:r>
      <w:r>
        <w:rPr/>
        <w:t>população</w:t>
      </w:r>
      <w:r>
        <w:rPr>
          <w:spacing w:val="-3"/>
        </w:rPr>
        <w:t> </w:t>
      </w:r>
      <w:r>
        <w:rPr/>
        <w:t>americana</w:t>
      </w:r>
      <w:r>
        <w:rPr>
          <w:spacing w:val="-6"/>
        </w:rPr>
        <w:t> </w:t>
      </w:r>
      <w:r>
        <w:rPr/>
        <w:t>adulta</w:t>
      </w:r>
      <w:r>
        <w:rPr>
          <w:spacing w:val="-6"/>
        </w:rPr>
        <w:t> </w:t>
      </w:r>
      <w:r>
        <w:rPr/>
        <w:t>com</w:t>
      </w:r>
      <w:r>
        <w:rPr>
          <w:spacing w:val="-3"/>
        </w:rPr>
        <w:t> </w:t>
      </w:r>
      <w:r>
        <w:rPr/>
        <w:t>mais de</w:t>
      </w:r>
      <w:r>
        <w:rPr>
          <w:spacing w:val="-6"/>
        </w:rPr>
        <w:t> </w:t>
      </w:r>
      <w:r>
        <w:rPr/>
        <w:t>20</w:t>
      </w:r>
      <w:r>
        <w:rPr>
          <w:spacing w:val="-3"/>
        </w:rPr>
        <w:t> </w:t>
      </w:r>
      <w:r>
        <w:rPr/>
        <w:t>anos se</w:t>
      </w:r>
      <w:r>
        <w:rPr>
          <w:spacing w:val="-6"/>
        </w:rPr>
        <w:t> </w:t>
      </w:r>
      <w:r>
        <w:rPr/>
        <w:t>enquadre nessa faixa de risco, com probabilidade de 2% ou frequentemente acima de 3% de eventos mais sérios por ano.</w:t>
      </w:r>
      <w:r>
        <w:rPr>
          <w:vertAlign w:val="superscript"/>
        </w:rPr>
        <w:t>21</w:t>
      </w:r>
      <w:r>
        <w:rPr>
          <w:vertAlign w:val="baseline"/>
        </w:rPr>
        <w:t> Portanto, se</w:t>
      </w:r>
      <w:r>
        <w:rPr>
          <w:spacing w:val="-2"/>
          <w:vertAlign w:val="baseline"/>
        </w:rPr>
        <w:t> </w:t>
      </w:r>
      <w:r>
        <w:rPr>
          <w:vertAlign w:val="baseline"/>
        </w:rPr>
        <w:t>acatados esses dados, pode-se</w:t>
      </w:r>
      <w:r>
        <w:rPr>
          <w:spacing w:val="-2"/>
          <w:vertAlign w:val="baseline"/>
        </w:rPr>
        <w:t> </w:t>
      </w:r>
      <w:r>
        <w:rPr>
          <w:vertAlign w:val="baseline"/>
        </w:rPr>
        <w:t>estratificar aproximadamente</w:t>
      </w:r>
      <w:r>
        <w:rPr>
          <w:spacing w:val="-2"/>
          <w:vertAlign w:val="baseline"/>
        </w:rPr>
        <w:t> </w:t>
      </w:r>
      <w:r>
        <w:rPr>
          <w:vertAlign w:val="baseline"/>
        </w:rPr>
        <w:t>60% da</w:t>
      </w:r>
      <w:r>
        <w:rPr>
          <w:spacing w:val="-2"/>
          <w:vertAlign w:val="baseline"/>
        </w:rPr>
        <w:t> </w:t>
      </w:r>
      <w:r>
        <w:rPr>
          <w:vertAlign w:val="baseline"/>
        </w:rPr>
        <w:t>população adulta</w:t>
      </w:r>
      <w:r>
        <w:rPr>
          <w:spacing w:val="-2"/>
          <w:vertAlign w:val="baseline"/>
        </w:rPr>
        <w:t> </w:t>
      </w:r>
      <w:r>
        <w:rPr>
          <w:vertAlign w:val="baseline"/>
        </w:rPr>
        <w:t>norte-americana simplesmente</w:t>
      </w:r>
      <w:r>
        <w:rPr>
          <w:spacing w:val="-8"/>
          <w:vertAlign w:val="baseline"/>
        </w:rPr>
        <w:t> </w:t>
      </w:r>
      <w:r>
        <w:rPr>
          <w:vertAlign w:val="baseline"/>
        </w:rPr>
        <w:t>com</w:t>
      </w:r>
      <w:r>
        <w:rPr>
          <w:spacing w:val="-5"/>
          <w:vertAlign w:val="baseline"/>
        </w:rPr>
        <w:t> </w:t>
      </w:r>
      <w:r>
        <w:rPr>
          <w:vertAlign w:val="baseline"/>
        </w:rPr>
        <w:t>uma</w:t>
      </w:r>
      <w:r>
        <w:rPr>
          <w:spacing w:val="-8"/>
          <w:vertAlign w:val="baseline"/>
        </w:rPr>
        <w:t> </w:t>
      </w:r>
      <w:r>
        <w:rPr>
          <w:vertAlign w:val="baseline"/>
        </w:rPr>
        <w:t>boa</w:t>
      </w:r>
      <w:r>
        <w:rPr>
          <w:spacing w:val="-8"/>
          <w:vertAlign w:val="baseline"/>
        </w:rPr>
        <w:t> </w:t>
      </w:r>
      <w:r>
        <w:rPr>
          <w:vertAlign w:val="baseline"/>
        </w:rPr>
        <w:t>avaliação</w:t>
      </w:r>
      <w:r>
        <w:rPr>
          <w:spacing w:val="-5"/>
          <w:vertAlign w:val="baseline"/>
        </w:rPr>
        <w:t> </w:t>
      </w:r>
      <w:r>
        <w:rPr>
          <w:vertAlign w:val="baseline"/>
        </w:rPr>
        <w:t>inicial</w:t>
      </w:r>
      <w:r>
        <w:rPr>
          <w:spacing w:val="-2"/>
          <w:vertAlign w:val="baseline"/>
        </w:rPr>
        <w:t> </w:t>
      </w:r>
      <w:r>
        <w:rPr>
          <w:vertAlign w:val="baseline"/>
        </w:rPr>
        <w:t>de</w:t>
      </w:r>
      <w:r>
        <w:rPr>
          <w:spacing w:val="-8"/>
          <w:vertAlign w:val="baseline"/>
        </w:rPr>
        <w:t> </w:t>
      </w:r>
      <w:r>
        <w:rPr>
          <w:vertAlign w:val="baseline"/>
        </w:rPr>
        <w:t>consultório, com</w:t>
      </w:r>
      <w:r>
        <w:rPr>
          <w:spacing w:val="-5"/>
          <w:vertAlign w:val="baseline"/>
        </w:rPr>
        <w:t> </w:t>
      </w:r>
      <w:r>
        <w:rPr>
          <w:vertAlign w:val="baseline"/>
        </w:rPr>
        <w:t>análise</w:t>
      </w:r>
      <w:r>
        <w:rPr>
          <w:spacing w:val="-8"/>
          <w:vertAlign w:val="baseline"/>
        </w:rPr>
        <w:t> </w:t>
      </w:r>
      <w:r>
        <w:rPr>
          <w:vertAlign w:val="baseline"/>
        </w:rPr>
        <w:t>de</w:t>
      </w:r>
      <w:r>
        <w:rPr>
          <w:spacing w:val="-8"/>
          <w:vertAlign w:val="baseline"/>
        </w:rPr>
        <w:t> </w:t>
      </w:r>
      <w:r>
        <w:rPr>
          <w:vertAlign w:val="baseline"/>
        </w:rPr>
        <w:t>história</w:t>
      </w:r>
      <w:r>
        <w:rPr>
          <w:spacing w:val="-8"/>
          <w:vertAlign w:val="baseline"/>
        </w:rPr>
        <w:t> </w:t>
      </w:r>
      <w:r>
        <w:rPr>
          <w:vertAlign w:val="baseline"/>
        </w:rPr>
        <w:t>clínica, exame</w:t>
      </w:r>
      <w:r>
        <w:rPr>
          <w:spacing w:val="-8"/>
          <w:vertAlign w:val="baseline"/>
        </w:rPr>
        <w:t> </w:t>
      </w:r>
      <w:r>
        <w:rPr>
          <w:vertAlign w:val="baseline"/>
        </w:rPr>
        <w:t>físico</w:t>
      </w:r>
      <w:r>
        <w:rPr>
          <w:spacing w:val="-5"/>
          <w:vertAlign w:val="baseline"/>
        </w:rPr>
        <w:t> </w:t>
      </w:r>
      <w:r>
        <w:rPr>
          <w:vertAlign w:val="baseline"/>
        </w:rPr>
        <w:t>e</w:t>
      </w:r>
      <w:r>
        <w:rPr>
          <w:spacing w:val="-8"/>
          <w:vertAlign w:val="baseline"/>
        </w:rPr>
        <w:t> </w:t>
      </w:r>
      <w:r>
        <w:rPr>
          <w:vertAlign w:val="baseline"/>
        </w:rPr>
        <w:t>testes de baixo custo.</w:t>
      </w:r>
    </w:p>
    <w:p>
      <w:pPr>
        <w:pStyle w:val="BodyText"/>
        <w:spacing w:line="278" w:lineRule="auto" w:before="39"/>
        <w:ind w:right="490"/>
      </w:pPr>
      <w:r>
        <w:rPr/>
        <w:t>Uma terceira classe assintomática, definida na primeira avaliação, são os indivíduos chamados de </w:t>
      </w:r>
      <w:r>
        <w:rPr>
          <w:i/>
        </w:rPr>
        <w:t>risco intermediário</w:t>
      </w:r>
      <w:r>
        <w:rPr/>
        <w:t>, que têm pelo menos um ou mais fatores maiores e que perfazem os 40% restantes da população adulta.</w:t>
      </w:r>
      <w:r>
        <w:rPr>
          <w:vertAlign w:val="superscript"/>
        </w:rPr>
        <w:t>21</w:t>
      </w:r>
      <w:r>
        <w:rPr>
          <w:vertAlign w:val="baseline"/>
        </w:rPr>
        <w:t> Esses pacientes devem ser encorajados à mudança de hábitos de vida e a receber orientação dietética. Muitos pacientes situados nessa classe intermediária podem necessitar de tratamento com drogas hipolipemiantes, principalmente</w:t>
      </w:r>
      <w:r>
        <w:rPr>
          <w:spacing w:val="-14"/>
          <w:vertAlign w:val="baseline"/>
        </w:rPr>
        <w:t> </w:t>
      </w:r>
      <w:r>
        <w:rPr>
          <w:vertAlign w:val="baseline"/>
        </w:rPr>
        <w:t>aqueles</w:t>
      </w:r>
      <w:r>
        <w:rPr>
          <w:spacing w:val="-4"/>
          <w:vertAlign w:val="baseline"/>
        </w:rPr>
        <w:t> </w:t>
      </w:r>
      <w:r>
        <w:rPr>
          <w:vertAlign w:val="baseline"/>
        </w:rPr>
        <w:t>com</w:t>
      </w:r>
      <w:r>
        <w:rPr>
          <w:spacing w:val="-11"/>
          <w:vertAlign w:val="baseline"/>
        </w:rPr>
        <w:t> </w:t>
      </w:r>
      <w:r>
        <w:rPr>
          <w:vertAlign w:val="baseline"/>
        </w:rPr>
        <w:t>maiores</w:t>
      </w:r>
      <w:r>
        <w:rPr>
          <w:spacing w:val="-4"/>
          <w:vertAlign w:val="baseline"/>
        </w:rPr>
        <w:t> </w:t>
      </w:r>
      <w:r>
        <w:rPr>
          <w:vertAlign w:val="baseline"/>
        </w:rPr>
        <w:t>valores</w:t>
      </w:r>
      <w:r>
        <w:rPr>
          <w:spacing w:val="-4"/>
          <w:vertAlign w:val="baseline"/>
        </w:rPr>
        <w:t> </w:t>
      </w:r>
      <w:r>
        <w:rPr>
          <w:vertAlign w:val="baseline"/>
        </w:rPr>
        <w:t>lipídicos.</w:t>
      </w:r>
      <w:r>
        <w:rPr>
          <w:spacing w:val="-4"/>
          <w:vertAlign w:val="baseline"/>
        </w:rPr>
        <w:t> </w:t>
      </w:r>
      <w:r>
        <w:rPr>
          <w:vertAlign w:val="baseline"/>
        </w:rPr>
        <w:t>Evidências</w:t>
      </w:r>
      <w:r>
        <w:rPr>
          <w:spacing w:val="-4"/>
          <w:vertAlign w:val="baseline"/>
        </w:rPr>
        <w:t> </w:t>
      </w:r>
      <w:r>
        <w:rPr>
          <w:vertAlign w:val="baseline"/>
        </w:rPr>
        <w:t>que</w:t>
      </w:r>
      <w:r>
        <w:rPr>
          <w:spacing w:val="-14"/>
          <w:vertAlign w:val="baseline"/>
        </w:rPr>
        <w:t> </w:t>
      </w:r>
      <w:r>
        <w:rPr>
          <w:vertAlign w:val="baseline"/>
        </w:rPr>
        <w:t>definem</w:t>
      </w:r>
      <w:r>
        <w:rPr>
          <w:spacing w:val="-11"/>
          <w:vertAlign w:val="baseline"/>
        </w:rPr>
        <w:t> </w:t>
      </w:r>
      <w:r>
        <w:rPr>
          <w:vertAlign w:val="baseline"/>
        </w:rPr>
        <w:t>pesquisa</w:t>
      </w:r>
      <w:r>
        <w:rPr>
          <w:spacing w:val="-14"/>
          <w:vertAlign w:val="baseline"/>
        </w:rPr>
        <w:t> </w:t>
      </w:r>
      <w:r>
        <w:rPr>
          <w:vertAlign w:val="baseline"/>
        </w:rPr>
        <w:t>subsequente</w:t>
      </w:r>
      <w:r>
        <w:rPr>
          <w:spacing w:val="-14"/>
          <w:vertAlign w:val="baseline"/>
        </w:rPr>
        <w:t> </w:t>
      </w:r>
      <w:r>
        <w:rPr>
          <w:vertAlign w:val="baseline"/>
        </w:rPr>
        <w:t>com</w:t>
      </w:r>
      <w:r>
        <w:rPr>
          <w:spacing w:val="-11"/>
          <w:vertAlign w:val="baseline"/>
        </w:rPr>
        <w:t> </w:t>
      </w:r>
      <w:r>
        <w:rPr>
          <w:vertAlign w:val="baseline"/>
        </w:rPr>
        <w:t>testes</w:t>
      </w:r>
      <w:r>
        <w:rPr>
          <w:spacing w:val="-4"/>
          <w:vertAlign w:val="baseline"/>
        </w:rPr>
        <w:t> </w:t>
      </w:r>
      <w:r>
        <w:rPr>
          <w:vertAlign w:val="baseline"/>
        </w:rPr>
        <w:t>não invasivos, tanto</w:t>
      </w:r>
      <w:r>
        <w:rPr>
          <w:spacing w:val="-1"/>
          <w:vertAlign w:val="baseline"/>
        </w:rPr>
        <w:t> </w:t>
      </w:r>
      <w:r>
        <w:rPr>
          <w:vertAlign w:val="baseline"/>
        </w:rPr>
        <w:t>de</w:t>
      </w:r>
      <w:r>
        <w:rPr>
          <w:spacing w:val="-4"/>
          <w:vertAlign w:val="baseline"/>
        </w:rPr>
        <w:t> </w:t>
      </w:r>
      <w:r>
        <w:rPr>
          <w:vertAlign w:val="baseline"/>
        </w:rPr>
        <w:t>avaliação</w:t>
      </w:r>
      <w:r>
        <w:rPr>
          <w:spacing w:val="-1"/>
          <w:vertAlign w:val="baseline"/>
        </w:rPr>
        <w:t> </w:t>
      </w:r>
      <w:r>
        <w:rPr>
          <w:vertAlign w:val="baseline"/>
        </w:rPr>
        <w:t>de</w:t>
      </w:r>
      <w:r>
        <w:rPr>
          <w:spacing w:val="-4"/>
          <w:vertAlign w:val="baseline"/>
        </w:rPr>
        <w:t> </w:t>
      </w:r>
      <w:r>
        <w:rPr>
          <w:vertAlign w:val="baseline"/>
        </w:rPr>
        <w:t>isquemia</w:t>
      </w:r>
      <w:r>
        <w:rPr>
          <w:spacing w:val="-4"/>
          <w:vertAlign w:val="baseline"/>
        </w:rPr>
        <w:t> </w:t>
      </w:r>
      <w:r>
        <w:rPr>
          <w:vertAlign w:val="baseline"/>
        </w:rPr>
        <w:t>silenciosa</w:t>
      </w:r>
      <w:r>
        <w:rPr>
          <w:spacing w:val="-4"/>
          <w:vertAlign w:val="baseline"/>
        </w:rPr>
        <w:t> </w:t>
      </w:r>
      <w:r>
        <w:rPr>
          <w:vertAlign w:val="baseline"/>
        </w:rPr>
        <w:t>como</w:t>
      </w:r>
      <w:r>
        <w:rPr>
          <w:spacing w:val="-1"/>
          <w:vertAlign w:val="baseline"/>
        </w:rPr>
        <w:t> </w:t>
      </w:r>
      <w:r>
        <w:rPr>
          <w:vertAlign w:val="baseline"/>
        </w:rPr>
        <w:t>para</w:t>
      </w:r>
      <w:r>
        <w:rPr>
          <w:spacing w:val="-4"/>
          <w:vertAlign w:val="baseline"/>
        </w:rPr>
        <w:t> </w:t>
      </w:r>
      <w:r>
        <w:rPr>
          <w:vertAlign w:val="baseline"/>
        </w:rPr>
        <w:t>detecção</w:t>
      </w:r>
      <w:r>
        <w:rPr>
          <w:spacing w:val="-1"/>
          <w:vertAlign w:val="baseline"/>
        </w:rPr>
        <w:t> </w:t>
      </w:r>
      <w:r>
        <w:rPr>
          <w:vertAlign w:val="baseline"/>
        </w:rPr>
        <w:t>de</w:t>
      </w:r>
      <w:r>
        <w:rPr>
          <w:spacing w:val="-4"/>
          <w:vertAlign w:val="baseline"/>
        </w:rPr>
        <w:t> </w:t>
      </w:r>
      <w:r>
        <w:rPr>
          <w:vertAlign w:val="baseline"/>
        </w:rPr>
        <w:t>placa</w:t>
      </w:r>
      <w:r>
        <w:rPr>
          <w:spacing w:val="-4"/>
          <w:vertAlign w:val="baseline"/>
        </w:rPr>
        <w:t> </w:t>
      </w:r>
      <w:r>
        <w:rPr>
          <w:vertAlign w:val="baseline"/>
        </w:rPr>
        <w:t>aterosclerótica, nesses indivíduos de</w:t>
      </w:r>
      <w:r>
        <w:rPr>
          <w:spacing w:val="40"/>
          <w:vertAlign w:val="baseline"/>
        </w:rPr>
        <w:t> </w:t>
      </w:r>
      <w:r>
        <w:rPr>
          <w:vertAlign w:val="baseline"/>
        </w:rPr>
        <w:t>risco</w:t>
      </w:r>
      <w:r>
        <w:rPr>
          <w:spacing w:val="40"/>
          <w:vertAlign w:val="baseline"/>
        </w:rPr>
        <w:t> </w:t>
      </w:r>
      <w:r>
        <w:rPr>
          <w:vertAlign w:val="baseline"/>
        </w:rPr>
        <w:t>intermediário,</w:t>
      </w:r>
      <w:r>
        <w:rPr>
          <w:spacing w:val="62"/>
          <w:vertAlign w:val="baseline"/>
        </w:rPr>
        <w:t> </w:t>
      </w:r>
      <w:r>
        <w:rPr>
          <w:vertAlign w:val="baseline"/>
        </w:rPr>
        <w:t>foram</w:t>
      </w:r>
      <w:r>
        <w:rPr>
          <w:spacing w:val="40"/>
          <w:vertAlign w:val="baseline"/>
        </w:rPr>
        <w:t> </w:t>
      </w:r>
      <w:r>
        <w:rPr>
          <w:vertAlign w:val="baseline"/>
        </w:rPr>
        <w:t>revisadas</w:t>
      </w:r>
      <w:r>
        <w:rPr>
          <w:spacing w:val="62"/>
          <w:vertAlign w:val="baseline"/>
        </w:rPr>
        <w:t> </w:t>
      </w:r>
      <w:r>
        <w:rPr>
          <w:vertAlign w:val="baseline"/>
        </w:rPr>
        <w:t>amplamente</w:t>
      </w:r>
      <w:r>
        <w:rPr>
          <w:spacing w:val="40"/>
          <w:vertAlign w:val="baseline"/>
        </w:rPr>
        <w:t> </w:t>
      </w:r>
      <w:r>
        <w:rPr>
          <w:vertAlign w:val="baseline"/>
        </w:rPr>
        <w:t>na</w:t>
      </w:r>
      <w:r>
        <w:rPr>
          <w:spacing w:val="40"/>
          <w:vertAlign w:val="baseline"/>
        </w:rPr>
        <w:t> </w:t>
      </w:r>
      <w:r>
        <w:rPr>
          <w:vertAlign w:val="baseline"/>
        </w:rPr>
        <w:t>V</w:t>
      </w:r>
      <w:r>
        <w:rPr>
          <w:spacing w:val="40"/>
          <w:vertAlign w:val="baseline"/>
        </w:rPr>
        <w:t> </w:t>
      </w:r>
      <w:r>
        <w:rPr>
          <w:vertAlign w:val="baseline"/>
        </w:rPr>
        <w:t>Conferência</w:t>
      </w:r>
      <w:r>
        <w:rPr>
          <w:spacing w:val="40"/>
          <w:vertAlign w:val="baseline"/>
        </w:rPr>
        <w:t> </w:t>
      </w:r>
      <w:r>
        <w:rPr>
          <w:vertAlign w:val="baseline"/>
        </w:rPr>
        <w:t>sobre</w:t>
      </w:r>
      <w:r>
        <w:rPr>
          <w:spacing w:val="40"/>
          <w:vertAlign w:val="baseline"/>
        </w:rPr>
        <w:t> </w:t>
      </w:r>
      <w:r>
        <w:rPr>
          <w:vertAlign w:val="baseline"/>
        </w:rPr>
        <w:t>Prevenção,</w:t>
      </w:r>
      <w:r>
        <w:rPr>
          <w:spacing w:val="62"/>
          <w:vertAlign w:val="baseline"/>
        </w:rPr>
        <w:t> </w:t>
      </w:r>
      <w:r>
        <w:rPr>
          <w:vertAlign w:val="baseline"/>
        </w:rPr>
        <w:t>da</w:t>
      </w:r>
      <w:r>
        <w:rPr>
          <w:spacing w:val="40"/>
          <w:vertAlign w:val="baseline"/>
        </w:rPr>
        <w:t> </w:t>
      </w:r>
      <w:r>
        <w:rPr>
          <w:vertAlign w:val="baseline"/>
        </w:rPr>
        <w:t>American</w:t>
      </w:r>
      <w:r>
        <w:rPr>
          <w:spacing w:val="40"/>
          <w:vertAlign w:val="baseline"/>
        </w:rPr>
        <w:t> </w:t>
      </w:r>
      <w:r>
        <w:rPr>
          <w:vertAlign w:val="baseline"/>
        </w:rPr>
        <w:t>Heart</w:t>
      </w:r>
    </w:p>
    <w:p>
      <w:pPr>
        <w:pStyle w:val="BodyText"/>
        <w:spacing w:after="0" w:line="278" w:lineRule="auto"/>
        <w:sectPr>
          <w:type w:val="continuous"/>
          <w:pgSz w:w="11900" w:h="16840"/>
          <w:pgMar w:top="260" w:bottom="280" w:left="566" w:right="141"/>
        </w:sectPr>
      </w:pPr>
    </w:p>
    <w:p>
      <w:pPr>
        <w:pStyle w:val="BodyText"/>
        <w:spacing w:before="94"/>
        <w:ind w:firstLine="0"/>
      </w:pPr>
      <w:r>
        <w:rPr/>
        <w:t>Association</w:t>
      </w:r>
      <w:r>
        <w:rPr>
          <w:spacing w:val="-14"/>
        </w:rPr>
        <w:t> </w:t>
      </w:r>
      <w:r>
        <w:rPr>
          <w:spacing w:val="-2"/>
        </w:rPr>
        <w:t>(AHA).</w:t>
      </w:r>
      <w:r>
        <w:rPr>
          <w:spacing w:val="-2"/>
          <w:vertAlign w:val="superscript"/>
        </w:rPr>
        <w:t>25</w:t>
      </w:r>
    </w:p>
    <w:p>
      <w:pPr>
        <w:pStyle w:val="BodyText"/>
        <w:spacing w:line="280" w:lineRule="auto" w:before="111"/>
        <w:ind w:right="491"/>
      </w:pPr>
      <w:r>
        <w:rPr/>
        <w:t>Em vista de novos estudos demonstrando maiores evidências dos benefícios que a redução mais intensiva do colesterol traria à população em geral e principalmente àqueles em risco elevado, foi publicada uma revisão do NCEP-ATP III.</w:t>
      </w:r>
      <w:r>
        <w:rPr>
          <w:vertAlign w:val="superscript"/>
        </w:rPr>
        <w:t>26</w:t>
      </w:r>
      <w:r>
        <w:rPr>
          <w:vertAlign w:val="baseline"/>
        </w:rPr>
        <w:t> Nessa revisão ficou confirmado que as modificações de estilo de vida, com dieta saudável e exercícios físicos, mantêm-se como essencial no manuseio do colesterol, e que aqueles com risco elevado devem manter</w:t>
      </w:r>
      <w:r>
        <w:rPr>
          <w:spacing w:val="-15"/>
          <w:vertAlign w:val="baseline"/>
        </w:rPr>
        <w:t> </w:t>
      </w:r>
      <w:r>
        <w:rPr>
          <w:vertAlign w:val="baseline"/>
        </w:rPr>
        <w:t>LDL-colesterol inferior a 100 mg/d</w:t>
      </w:r>
      <w:r>
        <w:rPr>
          <w:spacing w:val="-15"/>
          <w:vertAlign w:val="baseline"/>
        </w:rPr>
        <w:t> </w:t>
      </w:r>
      <w:r>
        <w:rPr>
          <w:i/>
          <w:vertAlign w:val="baseline"/>
        </w:rPr>
        <w:t>ℓ</w:t>
      </w:r>
      <w:r>
        <w:rPr>
          <w:i/>
          <w:spacing w:val="-14"/>
          <w:vertAlign w:val="baseline"/>
        </w:rPr>
        <w:t> </w:t>
      </w:r>
      <w:r>
        <w:rPr>
          <w:vertAlign w:val="baseline"/>
        </w:rPr>
        <w:t>. Houve a inclusão dos pacientes com diabetes nesse grupo de alto risco, confirmando os benefícios do tratamento nessa</w:t>
      </w:r>
      <w:r>
        <w:rPr>
          <w:spacing w:val="-2"/>
          <w:vertAlign w:val="baseline"/>
        </w:rPr>
        <w:t> </w:t>
      </w:r>
      <w:r>
        <w:rPr>
          <w:vertAlign w:val="baseline"/>
        </w:rPr>
        <w:t>população.</w:t>
      </w:r>
      <w:r>
        <w:rPr>
          <w:vertAlign w:val="superscript"/>
        </w:rPr>
        <w:t>26</w:t>
      </w:r>
      <w:r>
        <w:rPr>
          <w:vertAlign w:val="baseline"/>
        </w:rPr>
        <w:t> As principais modificações dessa</w:t>
      </w:r>
      <w:r>
        <w:rPr>
          <w:spacing w:val="-3"/>
          <w:vertAlign w:val="baseline"/>
        </w:rPr>
        <w:t> </w:t>
      </w:r>
      <w:r>
        <w:rPr>
          <w:vertAlign w:val="baseline"/>
        </w:rPr>
        <w:t>revisão</w:t>
      </w:r>
      <w:r>
        <w:rPr>
          <w:spacing w:val="-1"/>
          <w:vertAlign w:val="baseline"/>
        </w:rPr>
        <w:t> </w:t>
      </w:r>
      <w:r>
        <w:rPr>
          <w:vertAlign w:val="baseline"/>
        </w:rPr>
        <w:t>foram as seguintes: na população de risco muito elevado, principalmente naqueles com DAC instalada, a meta de LDL-colesterol a ser tentada com auxílio principalmente das estatinas deve ser inferior a 70 mg/d</w:t>
      </w:r>
      <w:r>
        <w:rPr>
          <w:i/>
          <w:vertAlign w:val="baseline"/>
        </w:rPr>
        <w:t>ℓ</w:t>
      </w:r>
      <w:r>
        <w:rPr>
          <w:vertAlign w:val="baseline"/>
        </w:rPr>
        <w:t>, mesmo nos que já estejam</w:t>
      </w:r>
      <w:r>
        <w:rPr>
          <w:spacing w:val="-8"/>
          <w:vertAlign w:val="baseline"/>
        </w:rPr>
        <w:t> </w:t>
      </w:r>
      <w:r>
        <w:rPr>
          <w:vertAlign w:val="baseline"/>
        </w:rPr>
        <w:t>com valores abaixo de 100 mg/d</w:t>
      </w:r>
      <w:r>
        <w:rPr>
          <w:spacing w:val="-15"/>
          <w:vertAlign w:val="baseline"/>
        </w:rPr>
        <w:t> </w:t>
      </w:r>
      <w:r>
        <w:rPr>
          <w:i/>
          <w:vertAlign w:val="baseline"/>
        </w:rPr>
        <w:t>ℓ</w:t>
      </w:r>
      <w:r>
        <w:rPr>
          <w:i/>
          <w:spacing w:val="-14"/>
          <w:vertAlign w:val="baseline"/>
        </w:rPr>
        <w:t> </w:t>
      </w:r>
      <w:r>
        <w:rPr>
          <w:vertAlign w:val="baseline"/>
        </w:rPr>
        <w:t>.</w:t>
      </w:r>
      <w:r>
        <w:rPr>
          <w:vertAlign w:val="superscript"/>
        </w:rPr>
        <w:t>26</w:t>
      </w:r>
      <w:r>
        <w:rPr>
          <w:vertAlign w:val="baseline"/>
        </w:rPr>
        <w:t> Naqueles caracterizados pelo ERF entre os de risco intermediário permanece</w:t>
      </w:r>
      <w:r>
        <w:rPr>
          <w:spacing w:val="-15"/>
          <w:vertAlign w:val="baseline"/>
        </w:rPr>
        <w:t> </w:t>
      </w:r>
      <w:r>
        <w:rPr>
          <w:vertAlign w:val="baseline"/>
        </w:rPr>
        <w:t>a meta de LDL-colesterol inferior a 130 mg/d</w:t>
      </w:r>
      <w:r>
        <w:rPr>
          <w:spacing w:val="-15"/>
          <w:vertAlign w:val="baseline"/>
        </w:rPr>
        <w:t> </w:t>
      </w:r>
      <w:r>
        <w:rPr>
          <w:i/>
          <w:vertAlign w:val="baseline"/>
        </w:rPr>
        <w:t>ℓ</w:t>
      </w:r>
      <w:r>
        <w:rPr>
          <w:i/>
          <w:spacing w:val="-14"/>
          <w:vertAlign w:val="baseline"/>
        </w:rPr>
        <w:t> </w:t>
      </w:r>
      <w:r>
        <w:rPr>
          <w:vertAlign w:val="baseline"/>
        </w:rPr>
        <w:t>, porém estipulando como opção ideal menos de 100 mg/d</w:t>
      </w:r>
      <w:r>
        <w:rPr>
          <w:i/>
          <w:vertAlign w:val="baseline"/>
        </w:rPr>
        <w:t>ℓ</w:t>
      </w:r>
      <w:r>
        <w:rPr>
          <w:vertAlign w:val="baseline"/>
        </w:rPr>
        <w:t>. Além dessas diferenças em relação à</w:t>
      </w:r>
      <w:r>
        <w:rPr>
          <w:spacing w:val="-2"/>
          <w:vertAlign w:val="baseline"/>
        </w:rPr>
        <w:t> </w:t>
      </w:r>
      <w:r>
        <w:rPr>
          <w:vertAlign w:val="baseline"/>
        </w:rPr>
        <w:t>análise</w:t>
      </w:r>
      <w:r>
        <w:rPr>
          <w:spacing w:val="-2"/>
          <w:vertAlign w:val="baseline"/>
        </w:rPr>
        <w:t> </w:t>
      </w:r>
      <w:r>
        <w:rPr>
          <w:vertAlign w:val="baseline"/>
        </w:rPr>
        <w:t>de</w:t>
      </w:r>
      <w:r>
        <w:rPr>
          <w:spacing w:val="-2"/>
          <w:vertAlign w:val="baseline"/>
        </w:rPr>
        <w:t> </w:t>
      </w:r>
      <w:r>
        <w:rPr>
          <w:vertAlign w:val="baseline"/>
        </w:rPr>
        <w:t>risco, nos indivíduos considerados como de</w:t>
      </w:r>
      <w:r>
        <w:rPr>
          <w:spacing w:val="-2"/>
          <w:vertAlign w:val="baseline"/>
        </w:rPr>
        <w:t> </w:t>
      </w:r>
      <w:r>
        <w:rPr>
          <w:vertAlign w:val="baseline"/>
        </w:rPr>
        <w:t>alto risco, com dosagem elevada de triglicerídios e/ou HDL-colesterol reduzido, deve ser considerada a adição de fibratos ou de ácido nicotínico ao uso de estatina previamente prescrita.</w:t>
      </w:r>
      <w:r>
        <w:rPr>
          <w:vertAlign w:val="superscript"/>
        </w:rPr>
        <w:t>26</w:t>
      </w:r>
      <w:r>
        <w:rPr>
          <w:vertAlign w:val="baseline"/>
        </w:rPr>
        <w:t> Posteriormente, a Sociedade Brasileira de Cardiologia publicou nova diretriz, que, além de referendar essas sugestões de tratamento em relação às categorias de risco baixo, intermediário, elevado ou muito elevado, trouxe a novidade de agregar, à análise do risco global, fatores ou exames subsidiários chamados de agravantes.</w:t>
      </w:r>
      <w:r>
        <w:rPr>
          <w:vertAlign w:val="superscript"/>
        </w:rPr>
        <w:t>27</w:t>
      </w:r>
      <w:r>
        <w:rPr>
          <w:vertAlign w:val="baseline"/>
        </w:rPr>
        <w:t> Essa avaliação pelo ERF é menos precisa nos indivíduos de risco intermediário (nos quais ocorre a maioria dos eventos), na avaliação do risco cardiovascular a curto prazo e nos jovens e em mulheres.</w:t>
      </w:r>
      <w:r>
        <w:rPr>
          <w:vertAlign w:val="superscript"/>
        </w:rPr>
        <w:t>27</w:t>
      </w:r>
      <w:r>
        <w:rPr>
          <w:vertAlign w:val="baseline"/>
        </w:rPr>
        <w:t> Os agravantes que levam os indivíduos de baixo e médio riscos, pelo escore, a uma categoria de risco imediatamente superior estão relacionados a seguir:</w:t>
      </w:r>
      <w:r>
        <w:rPr>
          <w:vertAlign w:val="superscript"/>
        </w:rPr>
        <w:t>27</w:t>
      </w:r>
    </w:p>
    <w:p>
      <w:pPr>
        <w:pStyle w:val="ListParagraph"/>
        <w:numPr>
          <w:ilvl w:val="0"/>
          <w:numId w:val="15"/>
        </w:numPr>
        <w:tabs>
          <w:tab w:pos="410" w:val="left" w:leader="none"/>
        </w:tabs>
        <w:spacing w:line="276" w:lineRule="auto" w:before="175" w:after="0"/>
        <w:ind w:left="68" w:right="493" w:firstLine="0"/>
        <w:jc w:val="left"/>
        <w:rPr>
          <w:sz w:val="23"/>
        </w:rPr>
      </w:pPr>
      <w:r>
        <w:rPr>
          <w:sz w:val="23"/>
        </w:rPr>
        <w:t>História familiar de doença coronária prematura (parente de primeiro grau masculino &lt; 55 anos ou feminino &lt; 65 anos)</w:t>
      </w:r>
    </w:p>
    <w:p>
      <w:pPr>
        <w:pStyle w:val="ListParagraph"/>
        <w:numPr>
          <w:ilvl w:val="0"/>
          <w:numId w:val="15"/>
        </w:numPr>
        <w:tabs>
          <w:tab w:pos="397" w:val="left" w:leader="none"/>
        </w:tabs>
        <w:spacing w:line="240" w:lineRule="auto" w:before="16" w:after="0"/>
        <w:ind w:left="397" w:right="0" w:hanging="329"/>
        <w:jc w:val="left"/>
        <w:rPr>
          <w:sz w:val="23"/>
        </w:rPr>
      </w:pPr>
      <w:r>
        <w:rPr>
          <w:sz w:val="23"/>
        </w:rPr>
        <w:t>Síndrome</w:t>
      </w:r>
      <w:r>
        <w:rPr>
          <w:spacing w:val="-13"/>
          <w:sz w:val="23"/>
        </w:rPr>
        <w:t> </w:t>
      </w:r>
      <w:r>
        <w:rPr>
          <w:spacing w:val="-2"/>
          <w:sz w:val="23"/>
        </w:rPr>
        <w:t>metabólica</w:t>
      </w:r>
    </w:p>
    <w:p>
      <w:pPr>
        <w:pStyle w:val="ListParagraph"/>
        <w:numPr>
          <w:ilvl w:val="0"/>
          <w:numId w:val="15"/>
        </w:numPr>
        <w:tabs>
          <w:tab w:pos="397" w:val="left" w:leader="none"/>
        </w:tabs>
        <w:spacing w:line="240" w:lineRule="auto" w:before="72" w:after="0"/>
        <w:ind w:left="397" w:right="0" w:hanging="329"/>
        <w:jc w:val="left"/>
        <w:rPr>
          <w:sz w:val="23"/>
        </w:rPr>
      </w:pPr>
      <w:r>
        <w:rPr>
          <w:sz w:val="23"/>
        </w:rPr>
        <w:t>Micro</w:t>
      </w:r>
      <w:r>
        <w:rPr>
          <w:spacing w:val="-7"/>
          <w:sz w:val="23"/>
        </w:rPr>
        <w:t> </w:t>
      </w:r>
      <w:r>
        <w:rPr>
          <w:sz w:val="23"/>
        </w:rPr>
        <w:t>ou</w:t>
      </w:r>
      <w:r>
        <w:rPr>
          <w:spacing w:val="-7"/>
          <w:sz w:val="23"/>
        </w:rPr>
        <w:t> </w:t>
      </w:r>
      <w:r>
        <w:rPr>
          <w:sz w:val="23"/>
        </w:rPr>
        <w:t>macroalbuminúria</w:t>
      </w:r>
      <w:r>
        <w:rPr>
          <w:spacing w:val="-10"/>
          <w:sz w:val="23"/>
        </w:rPr>
        <w:t> </w:t>
      </w:r>
      <w:r>
        <w:rPr>
          <w:sz w:val="23"/>
        </w:rPr>
        <w:t>(&gt;</w:t>
      </w:r>
      <w:r>
        <w:rPr>
          <w:spacing w:val="-6"/>
          <w:sz w:val="23"/>
        </w:rPr>
        <w:t> </w:t>
      </w:r>
      <w:r>
        <w:rPr>
          <w:sz w:val="23"/>
        </w:rPr>
        <w:t>30</w:t>
      </w:r>
      <w:r>
        <w:rPr>
          <w:spacing w:val="-6"/>
          <w:sz w:val="23"/>
        </w:rPr>
        <w:t> </w:t>
      </w:r>
      <w:r>
        <w:rPr>
          <w:spacing w:val="-2"/>
          <w:sz w:val="23"/>
        </w:rPr>
        <w:t>mg/min)</w:t>
      </w:r>
    </w:p>
    <w:p>
      <w:pPr>
        <w:pStyle w:val="ListParagraph"/>
        <w:numPr>
          <w:ilvl w:val="0"/>
          <w:numId w:val="15"/>
        </w:numPr>
        <w:tabs>
          <w:tab w:pos="397" w:val="left" w:leader="none"/>
        </w:tabs>
        <w:spacing w:line="240" w:lineRule="auto" w:before="56" w:after="0"/>
        <w:ind w:left="397" w:right="0" w:hanging="329"/>
        <w:jc w:val="left"/>
        <w:rPr>
          <w:sz w:val="23"/>
        </w:rPr>
      </w:pPr>
      <w:r>
        <w:rPr>
          <w:spacing w:val="-2"/>
          <w:sz w:val="23"/>
        </w:rPr>
        <w:t>Hipertrofia</w:t>
      </w:r>
      <w:r>
        <w:rPr>
          <w:sz w:val="23"/>
        </w:rPr>
        <w:t> </w:t>
      </w:r>
      <w:r>
        <w:rPr>
          <w:spacing w:val="-2"/>
          <w:sz w:val="23"/>
        </w:rPr>
        <w:t>ventricular</w:t>
      </w:r>
      <w:r>
        <w:rPr>
          <w:spacing w:val="10"/>
          <w:sz w:val="23"/>
        </w:rPr>
        <w:t> </w:t>
      </w:r>
      <w:r>
        <w:rPr>
          <w:spacing w:val="-2"/>
          <w:sz w:val="23"/>
        </w:rPr>
        <w:t>esquerda</w:t>
      </w:r>
    </w:p>
    <w:p>
      <w:pPr>
        <w:pStyle w:val="ListParagraph"/>
        <w:numPr>
          <w:ilvl w:val="0"/>
          <w:numId w:val="15"/>
        </w:numPr>
        <w:tabs>
          <w:tab w:pos="397" w:val="left" w:leader="none"/>
        </w:tabs>
        <w:spacing w:line="240" w:lineRule="auto" w:before="56" w:after="0"/>
        <w:ind w:left="397" w:right="0" w:hanging="329"/>
        <w:jc w:val="left"/>
        <w:rPr>
          <w:sz w:val="23"/>
        </w:rPr>
      </w:pPr>
      <w:r>
        <w:rPr>
          <w:sz w:val="23"/>
        </w:rPr>
        <w:t>Insuficiência</w:t>
      </w:r>
      <w:r>
        <w:rPr>
          <w:spacing w:val="-14"/>
          <w:sz w:val="23"/>
        </w:rPr>
        <w:t> </w:t>
      </w:r>
      <w:r>
        <w:rPr>
          <w:sz w:val="23"/>
        </w:rPr>
        <w:t>renal</w:t>
      </w:r>
      <w:r>
        <w:rPr>
          <w:spacing w:val="-6"/>
          <w:sz w:val="23"/>
        </w:rPr>
        <w:t> </w:t>
      </w:r>
      <w:r>
        <w:rPr>
          <w:sz w:val="23"/>
        </w:rPr>
        <w:t>crônica</w:t>
      </w:r>
      <w:r>
        <w:rPr>
          <w:spacing w:val="-11"/>
          <w:sz w:val="23"/>
        </w:rPr>
        <w:t> </w:t>
      </w:r>
      <w:r>
        <w:rPr>
          <w:sz w:val="23"/>
        </w:rPr>
        <w:t>(creatinina</w:t>
      </w:r>
      <w:r>
        <w:rPr>
          <w:spacing w:val="-11"/>
          <w:sz w:val="23"/>
        </w:rPr>
        <w:t> </w:t>
      </w:r>
      <w:r>
        <w:rPr>
          <w:sz w:val="23"/>
        </w:rPr>
        <w:t>≥</w:t>
      </w:r>
      <w:r>
        <w:rPr>
          <w:spacing w:val="-5"/>
          <w:sz w:val="23"/>
        </w:rPr>
        <w:t> </w:t>
      </w:r>
      <w:r>
        <w:rPr>
          <w:sz w:val="23"/>
        </w:rPr>
        <w:t>1,5</w:t>
      </w:r>
      <w:r>
        <w:rPr>
          <w:spacing w:val="-9"/>
          <w:sz w:val="23"/>
        </w:rPr>
        <w:t> </w:t>
      </w:r>
      <w:r>
        <w:rPr>
          <w:sz w:val="23"/>
        </w:rPr>
        <w:t>mg/d</w:t>
      </w:r>
      <w:r>
        <w:rPr>
          <w:i/>
          <w:sz w:val="23"/>
        </w:rPr>
        <w:t>ℓ</w:t>
      </w:r>
      <w:r>
        <w:rPr>
          <w:i/>
          <w:spacing w:val="-6"/>
          <w:sz w:val="23"/>
        </w:rPr>
        <w:t> </w:t>
      </w:r>
      <w:r>
        <w:rPr>
          <w:sz w:val="23"/>
        </w:rPr>
        <w:t>ou</w:t>
      </w:r>
      <w:r>
        <w:rPr>
          <w:spacing w:val="-9"/>
          <w:sz w:val="23"/>
        </w:rPr>
        <w:t> </w:t>
      </w:r>
      <w:r>
        <w:rPr>
          <w:i/>
          <w:sz w:val="23"/>
        </w:rPr>
        <w:t>clearance</w:t>
      </w:r>
      <w:r>
        <w:rPr>
          <w:i/>
          <w:spacing w:val="-11"/>
          <w:sz w:val="23"/>
        </w:rPr>
        <w:t> </w:t>
      </w:r>
      <w:r>
        <w:rPr>
          <w:sz w:val="23"/>
        </w:rPr>
        <w:t>de</w:t>
      </w:r>
      <w:r>
        <w:rPr>
          <w:spacing w:val="-12"/>
          <w:sz w:val="23"/>
        </w:rPr>
        <w:t> </w:t>
      </w:r>
      <w:r>
        <w:rPr>
          <w:sz w:val="23"/>
        </w:rPr>
        <w:t>creatinina</w:t>
      </w:r>
      <w:r>
        <w:rPr>
          <w:spacing w:val="-11"/>
          <w:sz w:val="23"/>
        </w:rPr>
        <w:t> </w:t>
      </w:r>
      <w:r>
        <w:rPr>
          <w:sz w:val="23"/>
        </w:rPr>
        <w:t>&lt;</w:t>
      </w:r>
      <w:r>
        <w:rPr>
          <w:spacing w:val="-8"/>
          <w:sz w:val="23"/>
        </w:rPr>
        <w:t> </w:t>
      </w:r>
      <w:r>
        <w:rPr>
          <w:sz w:val="23"/>
        </w:rPr>
        <w:t>60</w:t>
      </w:r>
      <w:r>
        <w:rPr>
          <w:spacing w:val="-8"/>
          <w:sz w:val="23"/>
        </w:rPr>
        <w:t> </w:t>
      </w:r>
      <w:r>
        <w:rPr>
          <w:spacing w:val="-2"/>
          <w:sz w:val="23"/>
        </w:rPr>
        <w:t>m</w:t>
      </w:r>
      <w:r>
        <w:rPr>
          <w:i/>
          <w:spacing w:val="-2"/>
          <w:sz w:val="23"/>
        </w:rPr>
        <w:t>ℓ</w:t>
      </w:r>
      <w:r>
        <w:rPr>
          <w:spacing w:val="-2"/>
          <w:sz w:val="23"/>
        </w:rPr>
        <w:t>/min)</w:t>
      </w:r>
    </w:p>
    <w:p>
      <w:pPr>
        <w:pStyle w:val="ListParagraph"/>
        <w:numPr>
          <w:ilvl w:val="0"/>
          <w:numId w:val="15"/>
        </w:numPr>
        <w:tabs>
          <w:tab w:pos="397" w:val="left" w:leader="none"/>
        </w:tabs>
        <w:spacing w:line="240" w:lineRule="auto" w:before="72" w:after="0"/>
        <w:ind w:left="397" w:right="0" w:hanging="329"/>
        <w:jc w:val="left"/>
        <w:rPr>
          <w:sz w:val="23"/>
        </w:rPr>
      </w:pPr>
      <w:r>
        <w:rPr>
          <w:sz w:val="23"/>
        </w:rPr>
        <w:t>Proteína</w:t>
      </w:r>
      <w:r>
        <w:rPr>
          <w:spacing w:val="-11"/>
          <w:sz w:val="23"/>
        </w:rPr>
        <w:t> </w:t>
      </w:r>
      <w:r>
        <w:rPr>
          <w:sz w:val="23"/>
        </w:rPr>
        <w:t>C</w:t>
      </w:r>
      <w:r>
        <w:rPr>
          <w:spacing w:val="1"/>
          <w:sz w:val="23"/>
        </w:rPr>
        <w:t> </w:t>
      </w:r>
      <w:r>
        <w:rPr>
          <w:sz w:val="23"/>
        </w:rPr>
        <w:t>reativa</w:t>
      </w:r>
      <w:r>
        <w:rPr>
          <w:spacing w:val="-9"/>
          <w:sz w:val="23"/>
        </w:rPr>
        <w:t> </w:t>
      </w:r>
      <w:r>
        <w:rPr>
          <w:sz w:val="23"/>
        </w:rPr>
        <w:t>de</w:t>
      </w:r>
      <w:r>
        <w:rPr>
          <w:spacing w:val="-9"/>
          <w:sz w:val="23"/>
        </w:rPr>
        <w:t> </w:t>
      </w:r>
      <w:r>
        <w:rPr>
          <w:sz w:val="23"/>
        </w:rPr>
        <w:t>alta</w:t>
      </w:r>
      <w:r>
        <w:rPr>
          <w:spacing w:val="-9"/>
          <w:sz w:val="23"/>
        </w:rPr>
        <w:t> </w:t>
      </w:r>
      <w:r>
        <w:rPr>
          <w:sz w:val="23"/>
        </w:rPr>
        <w:t>sensibilidade</w:t>
      </w:r>
      <w:r>
        <w:rPr>
          <w:spacing w:val="-8"/>
          <w:sz w:val="23"/>
        </w:rPr>
        <w:t> </w:t>
      </w:r>
      <w:r>
        <w:rPr>
          <w:sz w:val="23"/>
        </w:rPr>
        <w:t>&gt;</w:t>
      </w:r>
      <w:r>
        <w:rPr>
          <w:spacing w:val="-6"/>
          <w:sz w:val="23"/>
        </w:rPr>
        <w:t> </w:t>
      </w:r>
      <w:r>
        <w:rPr>
          <w:sz w:val="23"/>
        </w:rPr>
        <w:t>3</w:t>
      </w:r>
      <w:r>
        <w:rPr>
          <w:spacing w:val="-6"/>
          <w:sz w:val="23"/>
        </w:rPr>
        <w:t> </w:t>
      </w:r>
      <w:r>
        <w:rPr>
          <w:sz w:val="23"/>
        </w:rPr>
        <w:t>mg/</w:t>
      </w:r>
      <w:r>
        <w:rPr>
          <w:i/>
          <w:sz w:val="23"/>
        </w:rPr>
        <w:t>ℓ</w:t>
      </w:r>
      <w:r>
        <w:rPr>
          <w:i/>
          <w:spacing w:val="-4"/>
          <w:sz w:val="23"/>
        </w:rPr>
        <w:t> </w:t>
      </w:r>
      <w:r>
        <w:rPr>
          <w:sz w:val="23"/>
        </w:rPr>
        <w:t>(na</w:t>
      </w:r>
      <w:r>
        <w:rPr>
          <w:spacing w:val="-9"/>
          <w:sz w:val="23"/>
        </w:rPr>
        <w:t> </w:t>
      </w:r>
      <w:r>
        <w:rPr>
          <w:sz w:val="23"/>
        </w:rPr>
        <w:t>ausência</w:t>
      </w:r>
      <w:r>
        <w:rPr>
          <w:spacing w:val="-9"/>
          <w:sz w:val="23"/>
        </w:rPr>
        <w:t> </w:t>
      </w:r>
      <w:r>
        <w:rPr>
          <w:sz w:val="23"/>
        </w:rPr>
        <w:t>de</w:t>
      </w:r>
      <w:r>
        <w:rPr>
          <w:spacing w:val="-8"/>
          <w:sz w:val="23"/>
        </w:rPr>
        <w:t> </w:t>
      </w:r>
      <w:r>
        <w:rPr>
          <w:sz w:val="23"/>
        </w:rPr>
        <w:t>etiologia</w:t>
      </w:r>
      <w:r>
        <w:rPr>
          <w:spacing w:val="-9"/>
          <w:sz w:val="23"/>
        </w:rPr>
        <w:t> </w:t>
      </w:r>
      <w:r>
        <w:rPr>
          <w:sz w:val="23"/>
        </w:rPr>
        <w:t>não</w:t>
      </w:r>
      <w:r>
        <w:rPr>
          <w:spacing w:val="-6"/>
          <w:sz w:val="23"/>
        </w:rPr>
        <w:t> </w:t>
      </w:r>
      <w:r>
        <w:rPr>
          <w:spacing w:val="-2"/>
          <w:sz w:val="23"/>
        </w:rPr>
        <w:t>aterosclerótica)</w:t>
      </w:r>
    </w:p>
    <w:p>
      <w:pPr>
        <w:pStyle w:val="ListParagraph"/>
        <w:numPr>
          <w:ilvl w:val="0"/>
          <w:numId w:val="15"/>
        </w:numPr>
        <w:tabs>
          <w:tab w:pos="397" w:val="left" w:leader="none"/>
        </w:tabs>
        <w:spacing w:line="240" w:lineRule="auto" w:before="56" w:after="0"/>
        <w:ind w:left="397" w:right="0" w:hanging="329"/>
        <w:jc w:val="left"/>
        <w:rPr>
          <w:sz w:val="23"/>
        </w:rPr>
      </w:pPr>
      <w:r>
        <w:rPr>
          <w:spacing w:val="-2"/>
          <w:sz w:val="23"/>
        </w:rPr>
        <w:t>Exame</w:t>
      </w:r>
      <w:r>
        <w:rPr>
          <w:spacing w:val="-9"/>
          <w:sz w:val="23"/>
        </w:rPr>
        <w:t> </w:t>
      </w:r>
      <w:r>
        <w:rPr>
          <w:spacing w:val="-2"/>
          <w:sz w:val="23"/>
        </w:rPr>
        <w:t>complementar</w:t>
      </w:r>
      <w:r>
        <w:rPr>
          <w:spacing w:val="-1"/>
          <w:sz w:val="23"/>
        </w:rPr>
        <w:t> </w:t>
      </w:r>
      <w:r>
        <w:rPr>
          <w:spacing w:val="-2"/>
          <w:sz w:val="23"/>
        </w:rPr>
        <w:t>com</w:t>
      </w:r>
      <w:r>
        <w:rPr>
          <w:spacing w:val="-6"/>
          <w:sz w:val="23"/>
        </w:rPr>
        <w:t> </w:t>
      </w:r>
      <w:r>
        <w:rPr>
          <w:spacing w:val="-2"/>
          <w:sz w:val="23"/>
        </w:rPr>
        <w:t>evidência</w:t>
      </w:r>
      <w:r>
        <w:rPr>
          <w:spacing w:val="-8"/>
          <w:sz w:val="23"/>
        </w:rPr>
        <w:t> </w:t>
      </w:r>
      <w:r>
        <w:rPr>
          <w:spacing w:val="-2"/>
          <w:sz w:val="23"/>
        </w:rPr>
        <w:t>de</w:t>
      </w:r>
      <w:r>
        <w:rPr>
          <w:spacing w:val="-9"/>
          <w:sz w:val="23"/>
        </w:rPr>
        <w:t> </w:t>
      </w:r>
      <w:r>
        <w:rPr>
          <w:spacing w:val="-2"/>
          <w:sz w:val="23"/>
        </w:rPr>
        <w:t>doença</w:t>
      </w:r>
      <w:r>
        <w:rPr>
          <w:spacing w:val="-8"/>
          <w:sz w:val="23"/>
        </w:rPr>
        <w:t> </w:t>
      </w:r>
      <w:r>
        <w:rPr>
          <w:spacing w:val="-2"/>
          <w:sz w:val="23"/>
        </w:rPr>
        <w:t>aterosclerótica</w:t>
      </w:r>
      <w:r>
        <w:rPr>
          <w:spacing w:val="-8"/>
          <w:sz w:val="23"/>
        </w:rPr>
        <w:t> </w:t>
      </w:r>
      <w:r>
        <w:rPr>
          <w:spacing w:val="-2"/>
          <w:sz w:val="23"/>
        </w:rPr>
        <w:t>subclínica:</w:t>
      </w:r>
    </w:p>
    <w:p>
      <w:pPr>
        <w:pStyle w:val="ListParagraph"/>
        <w:numPr>
          <w:ilvl w:val="1"/>
          <w:numId w:val="15"/>
        </w:numPr>
        <w:tabs>
          <w:tab w:pos="807" w:val="left" w:leader="none"/>
        </w:tabs>
        <w:spacing w:line="240" w:lineRule="auto" w:before="71" w:after="0"/>
        <w:ind w:left="807" w:right="0" w:hanging="393"/>
        <w:jc w:val="left"/>
        <w:rPr>
          <w:sz w:val="23"/>
        </w:rPr>
      </w:pPr>
      <w:r>
        <w:rPr>
          <w:sz w:val="23"/>
        </w:rPr>
        <w:t>Escore</w:t>
      </w:r>
      <w:r>
        <w:rPr>
          <w:spacing w:val="-9"/>
          <w:sz w:val="23"/>
        </w:rPr>
        <w:t> </w:t>
      </w:r>
      <w:r>
        <w:rPr>
          <w:sz w:val="23"/>
        </w:rPr>
        <w:t>de</w:t>
      </w:r>
      <w:r>
        <w:rPr>
          <w:spacing w:val="-8"/>
          <w:sz w:val="23"/>
        </w:rPr>
        <w:t> </w:t>
      </w:r>
      <w:r>
        <w:rPr>
          <w:sz w:val="23"/>
        </w:rPr>
        <w:t>cálcio</w:t>
      </w:r>
      <w:r>
        <w:rPr>
          <w:spacing w:val="-6"/>
          <w:sz w:val="23"/>
        </w:rPr>
        <w:t> </w:t>
      </w:r>
      <w:r>
        <w:rPr>
          <w:sz w:val="23"/>
        </w:rPr>
        <w:t>coronário</w:t>
      </w:r>
      <w:r>
        <w:rPr>
          <w:spacing w:val="-6"/>
          <w:sz w:val="23"/>
        </w:rPr>
        <w:t> </w:t>
      </w:r>
      <w:r>
        <w:rPr>
          <w:sz w:val="23"/>
        </w:rPr>
        <w:t>&gt;</w:t>
      </w:r>
      <w:r>
        <w:rPr>
          <w:spacing w:val="-5"/>
          <w:sz w:val="23"/>
        </w:rPr>
        <w:t> </w:t>
      </w:r>
      <w:r>
        <w:rPr>
          <w:sz w:val="23"/>
        </w:rPr>
        <w:t>100</w:t>
      </w:r>
      <w:r>
        <w:rPr>
          <w:spacing w:val="-5"/>
          <w:sz w:val="23"/>
        </w:rPr>
        <w:t> </w:t>
      </w:r>
      <w:r>
        <w:rPr>
          <w:sz w:val="23"/>
        </w:rPr>
        <w:t>ou</w:t>
      </w:r>
      <w:r>
        <w:rPr>
          <w:spacing w:val="-6"/>
          <w:sz w:val="23"/>
        </w:rPr>
        <w:t> </w:t>
      </w:r>
      <w:r>
        <w:rPr>
          <w:sz w:val="23"/>
        </w:rPr>
        <w:t>&gt;</w:t>
      </w:r>
      <w:r>
        <w:rPr>
          <w:spacing w:val="-5"/>
          <w:sz w:val="23"/>
        </w:rPr>
        <w:t> </w:t>
      </w:r>
      <w:r>
        <w:rPr>
          <w:sz w:val="23"/>
        </w:rPr>
        <w:t>percentil</w:t>
      </w:r>
      <w:r>
        <w:rPr>
          <w:spacing w:val="-3"/>
          <w:sz w:val="23"/>
        </w:rPr>
        <w:t> </w:t>
      </w:r>
      <w:r>
        <w:rPr>
          <w:sz w:val="23"/>
        </w:rPr>
        <w:t>75</w:t>
      </w:r>
      <w:r>
        <w:rPr>
          <w:spacing w:val="-6"/>
          <w:sz w:val="23"/>
        </w:rPr>
        <w:t> </w:t>
      </w:r>
      <w:r>
        <w:rPr>
          <w:sz w:val="23"/>
        </w:rPr>
        <w:t>para</w:t>
      </w:r>
      <w:r>
        <w:rPr>
          <w:spacing w:val="-8"/>
          <w:sz w:val="23"/>
        </w:rPr>
        <w:t> </w:t>
      </w:r>
      <w:r>
        <w:rPr>
          <w:sz w:val="23"/>
        </w:rPr>
        <w:t>idade</w:t>
      </w:r>
      <w:r>
        <w:rPr>
          <w:spacing w:val="-9"/>
          <w:sz w:val="23"/>
        </w:rPr>
        <w:t> </w:t>
      </w:r>
      <w:r>
        <w:rPr>
          <w:sz w:val="23"/>
        </w:rPr>
        <w:t>ou</w:t>
      </w:r>
      <w:r>
        <w:rPr>
          <w:spacing w:val="-5"/>
          <w:sz w:val="23"/>
        </w:rPr>
        <w:t> </w:t>
      </w:r>
      <w:r>
        <w:rPr>
          <w:spacing w:val="-4"/>
          <w:sz w:val="23"/>
        </w:rPr>
        <w:t>sexo</w:t>
      </w:r>
    </w:p>
    <w:p>
      <w:pPr>
        <w:pStyle w:val="ListParagraph"/>
        <w:numPr>
          <w:ilvl w:val="1"/>
          <w:numId w:val="15"/>
        </w:numPr>
        <w:tabs>
          <w:tab w:pos="807" w:val="left" w:leader="none"/>
        </w:tabs>
        <w:spacing w:line="240" w:lineRule="auto" w:before="56" w:after="0"/>
        <w:ind w:left="807" w:right="0" w:hanging="393"/>
        <w:jc w:val="left"/>
        <w:rPr>
          <w:sz w:val="23"/>
        </w:rPr>
      </w:pPr>
      <w:r>
        <w:rPr>
          <w:sz w:val="23"/>
        </w:rPr>
        <w:t>Espessamento</w:t>
      </w:r>
      <w:r>
        <w:rPr>
          <w:spacing w:val="-8"/>
          <w:sz w:val="23"/>
        </w:rPr>
        <w:t> </w:t>
      </w:r>
      <w:r>
        <w:rPr>
          <w:sz w:val="23"/>
        </w:rPr>
        <w:t>de</w:t>
      </w:r>
      <w:r>
        <w:rPr>
          <w:spacing w:val="-10"/>
          <w:sz w:val="23"/>
        </w:rPr>
        <w:t> </w:t>
      </w:r>
      <w:r>
        <w:rPr>
          <w:sz w:val="23"/>
        </w:rPr>
        <w:t>carótida</w:t>
      </w:r>
      <w:r>
        <w:rPr>
          <w:spacing w:val="-10"/>
          <w:sz w:val="23"/>
        </w:rPr>
        <w:t> </w:t>
      </w:r>
      <w:r>
        <w:rPr>
          <w:sz w:val="23"/>
        </w:rPr>
        <w:t>(IMT</w:t>
      </w:r>
      <w:r>
        <w:rPr>
          <w:spacing w:val="-2"/>
          <w:sz w:val="23"/>
        </w:rPr>
        <w:t> </w:t>
      </w:r>
      <w:r>
        <w:rPr>
          <w:sz w:val="23"/>
        </w:rPr>
        <w:t>–</w:t>
      </w:r>
      <w:r>
        <w:rPr>
          <w:spacing w:val="-7"/>
          <w:sz w:val="23"/>
        </w:rPr>
        <w:t> </w:t>
      </w:r>
      <w:r>
        <w:rPr>
          <w:sz w:val="23"/>
        </w:rPr>
        <w:t>espessura</w:t>
      </w:r>
      <w:r>
        <w:rPr>
          <w:spacing w:val="-10"/>
          <w:sz w:val="23"/>
        </w:rPr>
        <w:t> </w:t>
      </w:r>
      <w:r>
        <w:rPr>
          <w:sz w:val="23"/>
        </w:rPr>
        <w:t>mediointimal,</w:t>
      </w:r>
      <w:r>
        <w:rPr>
          <w:spacing w:val="1"/>
          <w:sz w:val="23"/>
        </w:rPr>
        <w:t> </w:t>
      </w:r>
      <w:r>
        <w:rPr>
          <w:i/>
          <w:sz w:val="23"/>
        </w:rPr>
        <w:t>intima-media</w:t>
      </w:r>
      <w:r>
        <w:rPr>
          <w:i/>
          <w:spacing w:val="-8"/>
          <w:sz w:val="23"/>
        </w:rPr>
        <w:t> </w:t>
      </w:r>
      <w:r>
        <w:rPr>
          <w:i/>
          <w:sz w:val="23"/>
        </w:rPr>
        <w:t>thickness</w:t>
      </w:r>
      <w:r>
        <w:rPr>
          <w:sz w:val="23"/>
        </w:rPr>
        <w:t>)</w:t>
      </w:r>
      <w:r>
        <w:rPr>
          <w:spacing w:val="-2"/>
          <w:sz w:val="23"/>
        </w:rPr>
        <w:t> </w:t>
      </w:r>
      <w:r>
        <w:rPr>
          <w:sz w:val="23"/>
        </w:rPr>
        <w:t>máximo</w:t>
      </w:r>
      <w:r>
        <w:rPr>
          <w:spacing w:val="-8"/>
          <w:sz w:val="23"/>
        </w:rPr>
        <w:t> </w:t>
      </w:r>
      <w:r>
        <w:rPr>
          <w:sz w:val="23"/>
        </w:rPr>
        <w:t>&gt;</w:t>
      </w:r>
      <w:r>
        <w:rPr>
          <w:spacing w:val="-6"/>
          <w:sz w:val="23"/>
        </w:rPr>
        <w:t> </w:t>
      </w:r>
      <w:r>
        <w:rPr>
          <w:sz w:val="23"/>
        </w:rPr>
        <w:t>1</w:t>
      </w:r>
      <w:r>
        <w:rPr>
          <w:spacing w:val="-7"/>
          <w:sz w:val="23"/>
        </w:rPr>
        <w:t> </w:t>
      </w:r>
      <w:r>
        <w:rPr>
          <w:spacing w:val="-5"/>
          <w:sz w:val="23"/>
        </w:rPr>
        <w:t>mm</w:t>
      </w:r>
    </w:p>
    <w:p>
      <w:pPr>
        <w:pStyle w:val="ListParagraph"/>
        <w:numPr>
          <w:ilvl w:val="1"/>
          <w:numId w:val="15"/>
        </w:numPr>
        <w:tabs>
          <w:tab w:pos="807" w:val="left" w:leader="none"/>
        </w:tabs>
        <w:spacing w:line="240" w:lineRule="auto" w:before="72" w:after="0"/>
        <w:ind w:left="807" w:right="0" w:hanging="393"/>
        <w:jc w:val="left"/>
        <w:rPr>
          <w:sz w:val="23"/>
        </w:rPr>
      </w:pPr>
      <w:r>
        <w:rPr>
          <w:sz w:val="23"/>
        </w:rPr>
        <w:t>Índice</w:t>
      </w:r>
      <w:r>
        <w:rPr>
          <w:spacing w:val="-11"/>
          <w:sz w:val="23"/>
        </w:rPr>
        <w:t> </w:t>
      </w:r>
      <w:r>
        <w:rPr>
          <w:sz w:val="23"/>
        </w:rPr>
        <w:t>tornozelo-braquial</w:t>
      </w:r>
      <w:r>
        <w:rPr>
          <w:spacing w:val="-5"/>
          <w:sz w:val="23"/>
        </w:rPr>
        <w:t> </w:t>
      </w:r>
      <w:r>
        <w:rPr>
          <w:sz w:val="23"/>
        </w:rPr>
        <w:t>(ITB)</w:t>
      </w:r>
      <w:r>
        <w:rPr>
          <w:spacing w:val="-3"/>
          <w:sz w:val="23"/>
        </w:rPr>
        <w:t> </w:t>
      </w:r>
      <w:r>
        <w:rPr>
          <w:sz w:val="23"/>
        </w:rPr>
        <w:t>&lt;</w:t>
      </w:r>
      <w:r>
        <w:rPr>
          <w:spacing w:val="-6"/>
          <w:sz w:val="23"/>
        </w:rPr>
        <w:t> </w:t>
      </w:r>
      <w:r>
        <w:rPr>
          <w:spacing w:val="-4"/>
          <w:sz w:val="23"/>
        </w:rPr>
        <w:t>0,9.</w:t>
      </w:r>
    </w:p>
    <w:p>
      <w:pPr>
        <w:pStyle w:val="BodyText"/>
        <w:spacing w:before="225"/>
        <w:ind w:left="0" w:firstLine="0"/>
        <w:jc w:val="left"/>
      </w:pPr>
    </w:p>
    <w:p>
      <w:pPr>
        <w:pStyle w:val="Heading4"/>
      </w:pPr>
      <w:r>
        <w:rPr>
          <w:color w:val="242B67"/>
        </w:rPr>
        <w:t>Mudança no estilo de </w:t>
      </w:r>
      <w:r>
        <w:rPr>
          <w:color w:val="242B67"/>
          <w:spacing w:val="-4"/>
        </w:rPr>
        <w:t>vida</w:t>
      </w:r>
    </w:p>
    <w:p>
      <w:pPr>
        <w:pStyle w:val="BodyText"/>
        <w:spacing w:line="280" w:lineRule="auto" w:before="132"/>
        <w:ind w:right="488"/>
      </w:pPr>
      <w:r>
        <w:rPr/>
        <w:t>Intervenções em</w:t>
      </w:r>
      <w:r>
        <w:rPr>
          <w:spacing w:val="-8"/>
        </w:rPr>
        <w:t> </w:t>
      </w:r>
      <w:r>
        <w:rPr/>
        <w:t>relação</w:t>
      </w:r>
      <w:r>
        <w:rPr>
          <w:spacing w:val="-8"/>
        </w:rPr>
        <w:t> </w:t>
      </w:r>
      <w:r>
        <w:rPr/>
        <w:t>à</w:t>
      </w:r>
      <w:r>
        <w:rPr>
          <w:spacing w:val="-10"/>
        </w:rPr>
        <w:t> </w:t>
      </w:r>
      <w:r>
        <w:rPr/>
        <w:t>interrupção</w:t>
      </w:r>
      <w:r>
        <w:rPr>
          <w:spacing w:val="-8"/>
        </w:rPr>
        <w:t> </w:t>
      </w:r>
      <w:r>
        <w:rPr/>
        <w:t>do</w:t>
      </w:r>
      <w:r>
        <w:rPr>
          <w:spacing w:val="-8"/>
        </w:rPr>
        <w:t> </w:t>
      </w:r>
      <w:r>
        <w:rPr/>
        <w:t>tabagismo, orientação</w:t>
      </w:r>
      <w:r>
        <w:rPr>
          <w:spacing w:val="-8"/>
        </w:rPr>
        <w:t> </w:t>
      </w:r>
      <w:r>
        <w:rPr/>
        <w:t>de</w:t>
      </w:r>
      <w:r>
        <w:rPr>
          <w:spacing w:val="-10"/>
        </w:rPr>
        <w:t> </w:t>
      </w:r>
      <w:r>
        <w:rPr/>
        <w:t>dietas saudáveis, controle</w:t>
      </w:r>
      <w:r>
        <w:rPr>
          <w:spacing w:val="-10"/>
        </w:rPr>
        <w:t> </w:t>
      </w:r>
      <w:r>
        <w:rPr/>
        <w:t>de</w:t>
      </w:r>
      <w:r>
        <w:rPr>
          <w:spacing w:val="-10"/>
        </w:rPr>
        <w:t> </w:t>
      </w:r>
      <w:r>
        <w:rPr/>
        <w:t>peso</w:t>
      </w:r>
      <w:r>
        <w:rPr>
          <w:spacing w:val="-8"/>
        </w:rPr>
        <w:t> </w:t>
      </w:r>
      <w:r>
        <w:rPr/>
        <w:t>corpóreo</w:t>
      </w:r>
      <w:r>
        <w:rPr>
          <w:spacing w:val="-8"/>
        </w:rPr>
        <w:t> </w:t>
      </w:r>
      <w:r>
        <w:rPr/>
        <w:t>e atividades físicas são o fundamento da cardiologia preventiva e com elevada relação de custo-efetividade. Devem ser implantadas em toda a população, independentemente de fatores socioeconômicos ou intensidade de risco </w:t>
      </w:r>
      <w:r>
        <w:rPr>
          <w:spacing w:val="-2"/>
        </w:rPr>
        <w:t>cardiovascular.</w:t>
      </w:r>
      <w:r>
        <w:rPr>
          <w:spacing w:val="-2"/>
          <w:vertAlign w:val="superscript"/>
        </w:rPr>
        <w:t>28</w:t>
      </w:r>
    </w:p>
    <w:p>
      <w:pPr>
        <w:pStyle w:val="BodyText"/>
        <w:spacing w:before="129"/>
        <w:ind w:left="0" w:firstLine="0"/>
        <w:jc w:val="left"/>
      </w:pPr>
    </w:p>
    <w:p>
      <w:pPr>
        <w:pStyle w:val="Heading5"/>
      </w:pPr>
      <w:r>
        <w:rPr>
          <w:color w:val="A26108"/>
          <w:spacing w:val="-2"/>
        </w:rPr>
        <w:t>Tabagismo</w:t>
      </w:r>
    </w:p>
    <w:p>
      <w:pPr>
        <w:pStyle w:val="BodyText"/>
        <w:spacing w:line="283" w:lineRule="auto" w:before="138"/>
        <w:ind w:right="491"/>
      </w:pPr>
      <w:r>
        <w:rPr/>
        <w:t>Cerca de 20% de todas as mortes cardiovasculares estão relacionadas com o uso do tabaco, incluindo 148.000 entre fumantes ativos e 35.000 entre fumantes passivos.</w:t>
      </w:r>
      <w:r>
        <w:rPr>
          <w:vertAlign w:val="superscript"/>
        </w:rPr>
        <w:t>29</w:t>
      </w:r>
      <w:r>
        <w:rPr>
          <w:vertAlign w:val="baseline"/>
        </w:rPr>
        <w:t> Entre as pessoas que param de fumar, o risco de morte por DAC reduz</w:t>
      </w:r>
      <w:r>
        <w:rPr>
          <w:spacing w:val="-4"/>
          <w:vertAlign w:val="baseline"/>
        </w:rPr>
        <w:t> </w:t>
      </w:r>
      <w:r>
        <w:rPr>
          <w:vertAlign w:val="baseline"/>
        </w:rPr>
        <w:t>em</w:t>
      </w:r>
      <w:r>
        <w:rPr>
          <w:spacing w:val="-2"/>
          <w:vertAlign w:val="baseline"/>
        </w:rPr>
        <w:t> </w:t>
      </w:r>
      <w:r>
        <w:rPr>
          <w:vertAlign w:val="baseline"/>
        </w:rPr>
        <w:t>50% após 1</w:t>
      </w:r>
      <w:r>
        <w:rPr>
          <w:spacing w:val="-2"/>
          <w:vertAlign w:val="baseline"/>
        </w:rPr>
        <w:t> </w:t>
      </w:r>
      <w:r>
        <w:rPr>
          <w:vertAlign w:val="baseline"/>
        </w:rPr>
        <w:t>ano</w:t>
      </w:r>
      <w:r>
        <w:rPr>
          <w:spacing w:val="-2"/>
          <w:vertAlign w:val="baseline"/>
        </w:rPr>
        <w:t> </w:t>
      </w:r>
      <w:r>
        <w:rPr>
          <w:vertAlign w:val="baseline"/>
        </w:rPr>
        <w:t>em</w:t>
      </w:r>
      <w:r>
        <w:rPr>
          <w:spacing w:val="-2"/>
          <w:vertAlign w:val="baseline"/>
        </w:rPr>
        <w:t> </w:t>
      </w:r>
      <w:r>
        <w:rPr>
          <w:vertAlign w:val="baseline"/>
        </w:rPr>
        <w:t>relação</w:t>
      </w:r>
      <w:r>
        <w:rPr>
          <w:spacing w:val="-2"/>
          <w:vertAlign w:val="baseline"/>
        </w:rPr>
        <w:t> </w:t>
      </w:r>
      <w:r>
        <w:rPr>
          <w:vertAlign w:val="baseline"/>
        </w:rPr>
        <w:t>aos que</w:t>
      </w:r>
      <w:r>
        <w:rPr>
          <w:spacing w:val="-4"/>
          <w:vertAlign w:val="baseline"/>
        </w:rPr>
        <w:t> </w:t>
      </w:r>
      <w:r>
        <w:rPr>
          <w:vertAlign w:val="baseline"/>
        </w:rPr>
        <w:t>persistem</w:t>
      </w:r>
      <w:r>
        <w:rPr>
          <w:spacing w:val="-2"/>
          <w:vertAlign w:val="baseline"/>
        </w:rPr>
        <w:t> </w:t>
      </w:r>
      <w:r>
        <w:rPr>
          <w:vertAlign w:val="baseline"/>
        </w:rPr>
        <w:t>fumando.</w:t>
      </w:r>
      <w:r>
        <w:rPr>
          <w:vertAlign w:val="superscript"/>
        </w:rPr>
        <w:t>29</w:t>
      </w:r>
      <w:r>
        <w:rPr>
          <w:vertAlign w:val="baseline"/>
        </w:rPr>
        <w:t> Além</w:t>
      </w:r>
      <w:r>
        <w:rPr>
          <w:spacing w:val="-2"/>
          <w:vertAlign w:val="baseline"/>
        </w:rPr>
        <w:t> </w:t>
      </w:r>
      <w:r>
        <w:rPr>
          <w:vertAlign w:val="baseline"/>
        </w:rPr>
        <w:t>de</w:t>
      </w:r>
      <w:r>
        <w:rPr>
          <w:spacing w:val="-4"/>
          <w:vertAlign w:val="baseline"/>
        </w:rPr>
        <w:t> </w:t>
      </w:r>
      <w:r>
        <w:rPr>
          <w:vertAlign w:val="baseline"/>
        </w:rPr>
        <w:t>medidas governamentais de restrição a propagandas e vendas para menores de idade e da não utilização em espaços públicos, uma firme e decidida</w:t>
      </w:r>
      <w:r>
        <w:rPr>
          <w:spacing w:val="-3"/>
          <w:vertAlign w:val="baseline"/>
        </w:rPr>
        <w:t> </w:t>
      </w:r>
      <w:r>
        <w:rPr>
          <w:vertAlign w:val="baseline"/>
        </w:rPr>
        <w:t>orientação</w:t>
      </w:r>
      <w:r>
        <w:rPr>
          <w:spacing w:val="-1"/>
          <w:vertAlign w:val="baseline"/>
        </w:rPr>
        <w:t> </w:t>
      </w:r>
      <w:r>
        <w:rPr>
          <w:vertAlign w:val="baseline"/>
        </w:rPr>
        <w:t>do</w:t>
      </w:r>
      <w:r>
        <w:rPr>
          <w:spacing w:val="-1"/>
          <w:vertAlign w:val="baseline"/>
        </w:rPr>
        <w:t> </w:t>
      </w:r>
      <w:r>
        <w:rPr>
          <w:vertAlign w:val="baseline"/>
        </w:rPr>
        <w:t>médico</w:t>
      </w:r>
      <w:r>
        <w:rPr>
          <w:spacing w:val="-1"/>
          <w:vertAlign w:val="baseline"/>
        </w:rPr>
        <w:t> </w:t>
      </w:r>
      <w:r>
        <w:rPr>
          <w:vertAlign w:val="baseline"/>
        </w:rPr>
        <w:t>é</w:t>
      </w:r>
      <w:r>
        <w:rPr>
          <w:spacing w:val="-3"/>
          <w:vertAlign w:val="baseline"/>
        </w:rPr>
        <w:t> </w:t>
      </w:r>
      <w:r>
        <w:rPr>
          <w:vertAlign w:val="baseline"/>
        </w:rPr>
        <w:t>o</w:t>
      </w:r>
      <w:r>
        <w:rPr>
          <w:spacing w:val="-1"/>
          <w:vertAlign w:val="baseline"/>
        </w:rPr>
        <w:t> </w:t>
      </w:r>
      <w:r>
        <w:rPr>
          <w:vertAlign w:val="baseline"/>
        </w:rPr>
        <w:t>principal passo</w:t>
      </w:r>
      <w:r>
        <w:rPr>
          <w:spacing w:val="-1"/>
          <w:vertAlign w:val="baseline"/>
        </w:rPr>
        <w:t> </w:t>
      </w:r>
      <w:r>
        <w:rPr>
          <w:vertAlign w:val="baseline"/>
        </w:rPr>
        <w:t>inicial para</w:t>
      </w:r>
      <w:r>
        <w:rPr>
          <w:spacing w:val="-3"/>
          <w:vertAlign w:val="baseline"/>
        </w:rPr>
        <w:t> </w:t>
      </w:r>
      <w:r>
        <w:rPr>
          <w:vertAlign w:val="baseline"/>
        </w:rPr>
        <w:t>a</w:t>
      </w:r>
      <w:r>
        <w:rPr>
          <w:spacing w:val="-3"/>
          <w:vertAlign w:val="baseline"/>
        </w:rPr>
        <w:t> </w:t>
      </w:r>
      <w:r>
        <w:rPr>
          <w:vertAlign w:val="baseline"/>
        </w:rPr>
        <w:t>interrupção. A</w:t>
      </w:r>
      <w:r>
        <w:rPr>
          <w:spacing w:val="-3"/>
          <w:vertAlign w:val="baseline"/>
        </w:rPr>
        <w:t> </w:t>
      </w:r>
      <w:r>
        <w:rPr>
          <w:vertAlign w:val="baseline"/>
        </w:rPr>
        <w:t>utilização</w:t>
      </w:r>
      <w:r>
        <w:rPr>
          <w:spacing w:val="-1"/>
          <w:vertAlign w:val="baseline"/>
        </w:rPr>
        <w:t> </w:t>
      </w:r>
      <w:r>
        <w:rPr>
          <w:vertAlign w:val="baseline"/>
        </w:rPr>
        <w:t>de</w:t>
      </w:r>
      <w:r>
        <w:rPr>
          <w:spacing w:val="-3"/>
          <w:vertAlign w:val="baseline"/>
        </w:rPr>
        <w:t> </w:t>
      </w:r>
      <w:r>
        <w:rPr>
          <w:vertAlign w:val="baseline"/>
        </w:rPr>
        <w:t>repositores de</w:t>
      </w:r>
      <w:r>
        <w:rPr>
          <w:spacing w:val="-3"/>
          <w:vertAlign w:val="baseline"/>
        </w:rPr>
        <w:t> </w:t>
      </w:r>
      <w:r>
        <w:rPr>
          <w:vertAlign w:val="baseline"/>
        </w:rPr>
        <w:t>nicotina em adesivos ou goma de mascar pode duplicar as taxas de sucesso, além de fármacos como bupropiona e vareniclina poderem ser associados ao intuito de maximizar a resposta.</w:t>
      </w:r>
      <w:r>
        <w:rPr>
          <w:vertAlign w:val="superscript"/>
        </w:rPr>
        <w:t>29</w:t>
      </w:r>
    </w:p>
    <w:p>
      <w:pPr>
        <w:pStyle w:val="BodyText"/>
        <w:spacing w:before="127"/>
        <w:ind w:left="0" w:firstLine="0"/>
        <w:jc w:val="left"/>
      </w:pPr>
    </w:p>
    <w:p>
      <w:pPr>
        <w:pStyle w:val="Heading5"/>
      </w:pPr>
      <w:r>
        <w:rPr>
          <w:color w:val="A26108"/>
          <w:spacing w:val="-2"/>
        </w:rPr>
        <w:t>Obesidade</w:t>
      </w:r>
    </w:p>
    <w:p>
      <w:pPr>
        <w:pStyle w:val="Heading5"/>
        <w:spacing w:after="0"/>
        <w:sectPr>
          <w:pgSz w:w="11900" w:h="16840"/>
          <w:pgMar w:top="200" w:bottom="280" w:left="566" w:right="141"/>
        </w:sectPr>
      </w:pPr>
    </w:p>
    <w:p>
      <w:pPr>
        <w:pStyle w:val="BodyText"/>
        <w:spacing w:line="285" w:lineRule="auto" w:before="64"/>
        <w:ind w:right="491"/>
      </w:pPr>
      <w:r>
        <w:rPr/>
        <w:t>O</w:t>
      </w:r>
      <w:r>
        <w:rPr>
          <w:spacing w:val="-8"/>
        </w:rPr>
        <w:t> </w:t>
      </w:r>
      <w:r>
        <w:rPr/>
        <w:t>excesso</w:t>
      </w:r>
      <w:r>
        <w:rPr>
          <w:spacing w:val="-5"/>
        </w:rPr>
        <w:t> </w:t>
      </w:r>
      <w:r>
        <w:rPr/>
        <w:t>de</w:t>
      </w:r>
      <w:r>
        <w:rPr>
          <w:spacing w:val="-8"/>
        </w:rPr>
        <w:t> </w:t>
      </w:r>
      <w:r>
        <w:rPr/>
        <w:t>peso</w:t>
      </w:r>
      <w:r>
        <w:rPr>
          <w:spacing w:val="-5"/>
        </w:rPr>
        <w:t> </w:t>
      </w:r>
      <w:r>
        <w:rPr/>
        <w:t>corpóreo</w:t>
      </w:r>
      <w:r>
        <w:rPr>
          <w:spacing w:val="-5"/>
        </w:rPr>
        <w:t> </w:t>
      </w:r>
      <w:r>
        <w:rPr/>
        <w:t>é</w:t>
      </w:r>
      <w:r>
        <w:rPr>
          <w:spacing w:val="-8"/>
        </w:rPr>
        <w:t> </w:t>
      </w:r>
      <w:r>
        <w:rPr/>
        <w:t>um</w:t>
      </w:r>
      <w:r>
        <w:rPr>
          <w:spacing w:val="-5"/>
        </w:rPr>
        <w:t> </w:t>
      </w:r>
      <w:r>
        <w:rPr/>
        <w:t>fator de</w:t>
      </w:r>
      <w:r>
        <w:rPr>
          <w:spacing w:val="-8"/>
        </w:rPr>
        <w:t> </w:t>
      </w:r>
      <w:r>
        <w:rPr/>
        <w:t>risco</w:t>
      </w:r>
      <w:r>
        <w:rPr>
          <w:spacing w:val="-5"/>
        </w:rPr>
        <w:t> </w:t>
      </w:r>
      <w:r>
        <w:rPr/>
        <w:t>independente</w:t>
      </w:r>
      <w:r>
        <w:rPr>
          <w:spacing w:val="-8"/>
        </w:rPr>
        <w:t> </w:t>
      </w:r>
      <w:r>
        <w:rPr/>
        <w:t>para</w:t>
      </w:r>
      <w:r>
        <w:rPr>
          <w:spacing w:val="-8"/>
        </w:rPr>
        <w:t> </w:t>
      </w:r>
      <w:r>
        <w:rPr/>
        <w:t>DCV</w:t>
      </w:r>
      <w:r>
        <w:rPr>
          <w:spacing w:val="-8"/>
        </w:rPr>
        <w:t> </w:t>
      </w:r>
      <w:r>
        <w:rPr/>
        <w:t>e</w:t>
      </w:r>
      <w:r>
        <w:rPr>
          <w:spacing w:val="-8"/>
        </w:rPr>
        <w:t> </w:t>
      </w:r>
      <w:r>
        <w:rPr/>
        <w:t>está</w:t>
      </w:r>
      <w:r>
        <w:rPr>
          <w:spacing w:val="-8"/>
        </w:rPr>
        <w:t> </w:t>
      </w:r>
      <w:r>
        <w:rPr/>
        <w:t>correlacionado</w:t>
      </w:r>
      <w:r>
        <w:rPr>
          <w:spacing w:val="-5"/>
        </w:rPr>
        <w:t> </w:t>
      </w:r>
      <w:r>
        <w:rPr/>
        <w:t>com</w:t>
      </w:r>
      <w:r>
        <w:rPr>
          <w:spacing w:val="-5"/>
        </w:rPr>
        <w:t> </w:t>
      </w:r>
      <w:r>
        <w:rPr/>
        <w:t>outros, como hipertensão, dislipidemia e diabetes tipo 2.</w:t>
      </w:r>
      <w:r>
        <w:rPr>
          <w:vertAlign w:val="superscript"/>
        </w:rPr>
        <w:t>30</w:t>
      </w:r>
      <w:r>
        <w:rPr>
          <w:vertAlign w:val="baseline"/>
        </w:rPr>
        <w:t> Um IMC ideal e com menor risco de DCV se encontra entre 20 e 25 kg/m</w:t>
      </w:r>
      <w:r>
        <w:rPr>
          <w:vertAlign w:val="superscript"/>
        </w:rPr>
        <w:t>2</w:t>
      </w:r>
      <w:r>
        <w:rPr>
          <w:vertAlign w:val="baseline"/>
        </w:rPr>
        <w:t>. Quando a pessoa se encontra com sobrepeso (IMC superior a 25 e inferior a 30 kg/m</w:t>
      </w:r>
      <w:r>
        <w:rPr>
          <w:vertAlign w:val="superscript"/>
        </w:rPr>
        <w:t>2</w:t>
      </w:r>
      <w:r>
        <w:rPr>
          <w:vertAlign w:val="baseline"/>
        </w:rPr>
        <w:t>) e obesidade (IMC superior a 30 kg/m</w:t>
      </w:r>
      <w:r>
        <w:rPr>
          <w:vertAlign w:val="superscript"/>
        </w:rPr>
        <w:t>2</w:t>
      </w:r>
      <w:r>
        <w:rPr>
          <w:vertAlign w:val="baseline"/>
        </w:rPr>
        <w:t>), existe aumento progressivo de mortalidade, principalmente por DCV.</w:t>
      </w:r>
      <w:r>
        <w:rPr>
          <w:vertAlign w:val="superscript"/>
        </w:rPr>
        <w:t>28</w:t>
      </w:r>
      <w:r>
        <w:rPr>
          <w:vertAlign w:val="baseline"/>
        </w:rPr>
        <w:t> Obesidade central, definida por aumento de gordura intra-abdominal, está associada a fatores de risco adversos, como resistência à insulina, e</w:t>
      </w:r>
      <w:r>
        <w:rPr>
          <w:spacing w:val="-8"/>
          <w:vertAlign w:val="baseline"/>
        </w:rPr>
        <w:t> </w:t>
      </w:r>
      <w:r>
        <w:rPr>
          <w:vertAlign w:val="baseline"/>
        </w:rPr>
        <w:t>a</w:t>
      </w:r>
      <w:r>
        <w:rPr>
          <w:spacing w:val="-8"/>
          <w:vertAlign w:val="baseline"/>
        </w:rPr>
        <w:t> </w:t>
      </w:r>
      <w:r>
        <w:rPr>
          <w:vertAlign w:val="baseline"/>
        </w:rPr>
        <w:t>avaliação</w:t>
      </w:r>
      <w:r>
        <w:rPr>
          <w:spacing w:val="-6"/>
          <w:vertAlign w:val="baseline"/>
        </w:rPr>
        <w:t> </w:t>
      </w:r>
      <w:r>
        <w:rPr>
          <w:vertAlign w:val="baseline"/>
        </w:rPr>
        <w:t>de</w:t>
      </w:r>
      <w:r>
        <w:rPr>
          <w:spacing w:val="-8"/>
          <w:vertAlign w:val="baseline"/>
        </w:rPr>
        <w:t> </w:t>
      </w:r>
      <w:r>
        <w:rPr>
          <w:vertAlign w:val="baseline"/>
        </w:rPr>
        <w:t>circunferência</w:t>
      </w:r>
      <w:r>
        <w:rPr>
          <w:spacing w:val="-8"/>
          <w:vertAlign w:val="baseline"/>
        </w:rPr>
        <w:t> </w:t>
      </w:r>
      <w:r>
        <w:rPr>
          <w:vertAlign w:val="baseline"/>
        </w:rPr>
        <w:t>abdominal</w:t>
      </w:r>
      <w:r>
        <w:rPr>
          <w:spacing w:val="-4"/>
          <w:vertAlign w:val="baseline"/>
        </w:rPr>
        <w:t> </w:t>
      </w:r>
      <w:r>
        <w:rPr>
          <w:vertAlign w:val="baseline"/>
        </w:rPr>
        <w:t>ou</w:t>
      </w:r>
      <w:r>
        <w:rPr>
          <w:spacing w:val="-6"/>
          <w:vertAlign w:val="baseline"/>
        </w:rPr>
        <w:t> </w:t>
      </w:r>
      <w:r>
        <w:rPr>
          <w:vertAlign w:val="baseline"/>
        </w:rPr>
        <w:t>relação</w:t>
      </w:r>
      <w:r>
        <w:rPr>
          <w:spacing w:val="-6"/>
          <w:vertAlign w:val="baseline"/>
        </w:rPr>
        <w:t> </w:t>
      </w:r>
      <w:r>
        <w:rPr>
          <w:vertAlign w:val="baseline"/>
        </w:rPr>
        <w:t>cintura-quadril</w:t>
      </w:r>
      <w:r>
        <w:rPr>
          <w:spacing w:val="-4"/>
          <w:vertAlign w:val="baseline"/>
        </w:rPr>
        <w:t> </w:t>
      </w:r>
      <w:r>
        <w:rPr>
          <w:vertAlign w:val="baseline"/>
        </w:rPr>
        <w:t>está</w:t>
      </w:r>
      <w:r>
        <w:rPr>
          <w:spacing w:val="-8"/>
          <w:vertAlign w:val="baseline"/>
        </w:rPr>
        <w:t> </w:t>
      </w:r>
      <w:r>
        <w:rPr>
          <w:vertAlign w:val="baseline"/>
        </w:rPr>
        <w:t>mais fortemente</w:t>
      </w:r>
      <w:r>
        <w:rPr>
          <w:spacing w:val="-8"/>
          <w:vertAlign w:val="baseline"/>
        </w:rPr>
        <w:t> </w:t>
      </w:r>
      <w:r>
        <w:rPr>
          <w:vertAlign w:val="baseline"/>
        </w:rPr>
        <w:t>relacionada</w:t>
      </w:r>
      <w:r>
        <w:rPr>
          <w:spacing w:val="-8"/>
          <w:vertAlign w:val="baseline"/>
        </w:rPr>
        <w:t> </w:t>
      </w:r>
      <w:r>
        <w:rPr>
          <w:vertAlign w:val="baseline"/>
        </w:rPr>
        <w:t>com risco de DAC</w:t>
      </w:r>
      <w:r>
        <w:rPr>
          <w:spacing w:val="12"/>
          <w:vertAlign w:val="baseline"/>
        </w:rPr>
        <w:t> </w:t>
      </w:r>
      <w:r>
        <w:rPr>
          <w:vertAlign w:val="baseline"/>
        </w:rPr>
        <w:t>ou de qualquer</w:t>
      </w:r>
      <w:r>
        <w:rPr>
          <w:spacing w:val="9"/>
          <w:vertAlign w:val="baseline"/>
        </w:rPr>
        <w:t> </w:t>
      </w:r>
      <w:r>
        <w:rPr>
          <w:vertAlign w:val="baseline"/>
        </w:rPr>
        <w:t>DCV do que a simples</w:t>
      </w:r>
      <w:r>
        <w:rPr>
          <w:spacing w:val="12"/>
          <w:vertAlign w:val="baseline"/>
        </w:rPr>
        <w:t> </w:t>
      </w:r>
      <w:r>
        <w:rPr>
          <w:vertAlign w:val="baseline"/>
        </w:rPr>
        <w:t>obtenção de IMC.</w:t>
      </w:r>
      <w:r>
        <w:rPr>
          <w:vertAlign w:val="superscript"/>
        </w:rPr>
        <w:t>28</w:t>
      </w:r>
      <w:r>
        <w:rPr>
          <w:spacing w:val="11"/>
          <w:vertAlign w:val="baseline"/>
        </w:rPr>
        <w:t> </w:t>
      </w:r>
      <w:r>
        <w:rPr>
          <w:vertAlign w:val="baseline"/>
        </w:rPr>
        <w:t>Por</w:t>
      </w:r>
      <w:r>
        <w:rPr>
          <w:spacing w:val="9"/>
          <w:vertAlign w:val="baseline"/>
        </w:rPr>
        <w:t> </w:t>
      </w:r>
      <w:r>
        <w:rPr>
          <w:vertAlign w:val="baseline"/>
        </w:rPr>
        <w:t>outro lado,</w:t>
      </w:r>
      <w:r>
        <w:rPr>
          <w:spacing w:val="12"/>
          <w:vertAlign w:val="baseline"/>
        </w:rPr>
        <w:t> </w:t>
      </w:r>
      <w:r>
        <w:rPr>
          <w:vertAlign w:val="baseline"/>
        </w:rPr>
        <w:t>modesta redução no peso e</w:t>
      </w:r>
      <w:r>
        <w:rPr>
          <w:spacing w:val="-5"/>
          <w:vertAlign w:val="baseline"/>
        </w:rPr>
        <w:t> </w:t>
      </w:r>
      <w:r>
        <w:rPr>
          <w:vertAlign w:val="baseline"/>
        </w:rPr>
        <w:t>incremento</w:t>
      </w:r>
      <w:r>
        <w:rPr>
          <w:spacing w:val="-3"/>
          <w:vertAlign w:val="baseline"/>
        </w:rPr>
        <w:t> </w:t>
      </w:r>
      <w:r>
        <w:rPr>
          <w:vertAlign w:val="baseline"/>
        </w:rPr>
        <w:t>em</w:t>
      </w:r>
      <w:r>
        <w:rPr>
          <w:spacing w:val="-3"/>
          <w:vertAlign w:val="baseline"/>
        </w:rPr>
        <w:t> </w:t>
      </w:r>
      <w:r>
        <w:rPr>
          <w:vertAlign w:val="baseline"/>
        </w:rPr>
        <w:t>atividade</w:t>
      </w:r>
      <w:r>
        <w:rPr>
          <w:spacing w:val="-5"/>
          <w:vertAlign w:val="baseline"/>
        </w:rPr>
        <w:t> </w:t>
      </w:r>
      <w:r>
        <w:rPr>
          <w:vertAlign w:val="baseline"/>
        </w:rPr>
        <w:t>física</w:t>
      </w:r>
      <w:r>
        <w:rPr>
          <w:spacing w:val="-5"/>
          <w:vertAlign w:val="baseline"/>
        </w:rPr>
        <w:t> </w:t>
      </w:r>
      <w:r>
        <w:rPr>
          <w:vertAlign w:val="baseline"/>
        </w:rPr>
        <w:t>podem</w:t>
      </w:r>
      <w:r>
        <w:rPr>
          <w:spacing w:val="-3"/>
          <w:vertAlign w:val="baseline"/>
        </w:rPr>
        <w:t> </w:t>
      </w:r>
      <w:r>
        <w:rPr>
          <w:vertAlign w:val="baseline"/>
        </w:rPr>
        <w:t>levar à</w:t>
      </w:r>
      <w:r>
        <w:rPr>
          <w:spacing w:val="-5"/>
          <w:vertAlign w:val="baseline"/>
        </w:rPr>
        <w:t> </w:t>
      </w:r>
      <w:r>
        <w:rPr>
          <w:vertAlign w:val="baseline"/>
        </w:rPr>
        <w:t>redução</w:t>
      </w:r>
      <w:r>
        <w:rPr>
          <w:spacing w:val="-3"/>
          <w:vertAlign w:val="baseline"/>
        </w:rPr>
        <w:t> </w:t>
      </w:r>
      <w:r>
        <w:rPr>
          <w:vertAlign w:val="baseline"/>
        </w:rPr>
        <w:t>de</w:t>
      </w:r>
      <w:r>
        <w:rPr>
          <w:spacing w:val="-5"/>
          <w:vertAlign w:val="baseline"/>
        </w:rPr>
        <w:t> </w:t>
      </w:r>
      <w:r>
        <w:rPr>
          <w:vertAlign w:val="baseline"/>
        </w:rPr>
        <w:t>risco, por diminuírem</w:t>
      </w:r>
      <w:r>
        <w:rPr>
          <w:spacing w:val="-3"/>
          <w:vertAlign w:val="baseline"/>
        </w:rPr>
        <w:t> </w:t>
      </w:r>
      <w:r>
        <w:rPr>
          <w:vertAlign w:val="baseline"/>
        </w:rPr>
        <w:t>pressão</w:t>
      </w:r>
      <w:r>
        <w:rPr>
          <w:spacing w:val="-3"/>
          <w:vertAlign w:val="baseline"/>
        </w:rPr>
        <w:t> </w:t>
      </w:r>
      <w:r>
        <w:rPr>
          <w:vertAlign w:val="baseline"/>
        </w:rPr>
        <w:t>arterial, LDL-colesterol e triglicerídios,</w:t>
      </w:r>
      <w:r>
        <w:rPr>
          <w:spacing w:val="-3"/>
          <w:vertAlign w:val="baseline"/>
        </w:rPr>
        <w:t> </w:t>
      </w:r>
      <w:r>
        <w:rPr>
          <w:vertAlign w:val="baseline"/>
        </w:rPr>
        <w:t>além</w:t>
      </w:r>
      <w:r>
        <w:rPr>
          <w:spacing w:val="-10"/>
          <w:vertAlign w:val="baseline"/>
        </w:rPr>
        <w:t> </w:t>
      </w:r>
      <w:r>
        <w:rPr>
          <w:vertAlign w:val="baseline"/>
        </w:rPr>
        <w:t>de</w:t>
      </w:r>
      <w:r>
        <w:rPr>
          <w:spacing w:val="-12"/>
          <w:vertAlign w:val="baseline"/>
        </w:rPr>
        <w:t> </w:t>
      </w:r>
      <w:r>
        <w:rPr>
          <w:vertAlign w:val="baseline"/>
        </w:rPr>
        <w:t>elevação</w:t>
      </w:r>
      <w:r>
        <w:rPr>
          <w:spacing w:val="-10"/>
          <w:vertAlign w:val="baseline"/>
        </w:rPr>
        <w:t> </w:t>
      </w:r>
      <w:r>
        <w:rPr>
          <w:vertAlign w:val="baseline"/>
        </w:rPr>
        <w:t>do</w:t>
      </w:r>
      <w:r>
        <w:rPr>
          <w:spacing w:val="-10"/>
          <w:vertAlign w:val="baseline"/>
        </w:rPr>
        <w:t> </w:t>
      </w:r>
      <w:r>
        <w:rPr>
          <w:vertAlign w:val="baseline"/>
        </w:rPr>
        <w:t>HDL-colesterol.</w:t>
      </w:r>
      <w:r>
        <w:rPr>
          <w:spacing w:val="-3"/>
          <w:vertAlign w:val="baseline"/>
        </w:rPr>
        <w:t> </w:t>
      </w:r>
      <w:r>
        <w:rPr>
          <w:vertAlign w:val="baseline"/>
        </w:rPr>
        <w:t>Também</w:t>
      </w:r>
      <w:r>
        <w:rPr>
          <w:spacing w:val="-10"/>
          <w:vertAlign w:val="baseline"/>
        </w:rPr>
        <w:t> </w:t>
      </w:r>
      <w:r>
        <w:rPr>
          <w:vertAlign w:val="baseline"/>
        </w:rPr>
        <w:t>proporciona</w:t>
      </w:r>
      <w:r>
        <w:rPr>
          <w:spacing w:val="-12"/>
          <w:vertAlign w:val="baseline"/>
        </w:rPr>
        <w:t> </w:t>
      </w:r>
      <w:r>
        <w:rPr>
          <w:vertAlign w:val="baseline"/>
        </w:rPr>
        <w:t>uma</w:t>
      </w:r>
      <w:r>
        <w:rPr>
          <w:spacing w:val="-12"/>
          <w:vertAlign w:val="baseline"/>
        </w:rPr>
        <w:t> </w:t>
      </w:r>
      <w:r>
        <w:rPr>
          <w:vertAlign w:val="baseline"/>
        </w:rPr>
        <w:t>redução</w:t>
      </w:r>
      <w:r>
        <w:rPr>
          <w:spacing w:val="-10"/>
          <w:vertAlign w:val="baseline"/>
        </w:rPr>
        <w:t> </w:t>
      </w:r>
      <w:r>
        <w:rPr>
          <w:vertAlign w:val="baseline"/>
        </w:rPr>
        <w:t>de</w:t>
      </w:r>
      <w:r>
        <w:rPr>
          <w:spacing w:val="-12"/>
          <w:vertAlign w:val="baseline"/>
        </w:rPr>
        <w:t> </w:t>
      </w:r>
      <w:r>
        <w:rPr>
          <w:vertAlign w:val="baseline"/>
        </w:rPr>
        <w:t>intolerância</w:t>
      </w:r>
      <w:r>
        <w:rPr>
          <w:spacing w:val="-12"/>
          <w:vertAlign w:val="baseline"/>
        </w:rPr>
        <w:t> </w:t>
      </w:r>
      <w:r>
        <w:rPr>
          <w:vertAlign w:val="baseline"/>
        </w:rPr>
        <w:t>à</w:t>
      </w:r>
      <w:r>
        <w:rPr>
          <w:spacing w:val="-12"/>
          <w:vertAlign w:val="baseline"/>
        </w:rPr>
        <w:t> </w:t>
      </w:r>
      <w:r>
        <w:rPr>
          <w:vertAlign w:val="baseline"/>
        </w:rPr>
        <w:t>glicose.</w:t>
      </w:r>
      <w:r>
        <w:rPr>
          <w:vertAlign w:val="superscript"/>
        </w:rPr>
        <w:t>28</w:t>
      </w:r>
      <w:r>
        <w:rPr>
          <w:spacing w:val="-4"/>
          <w:vertAlign w:val="baseline"/>
        </w:rPr>
        <w:t> </w:t>
      </w:r>
      <w:r>
        <w:rPr>
          <w:vertAlign w:val="baseline"/>
        </w:rPr>
        <w:t>A utilização de modelos matemáticos estima que uma perda consistente de 10% do peso corpóreo em obesos pode reduzir a incidência de 12 a 38 casos/1.000 de DAC e 1 a 13 casos/1.000 de AVC.</w:t>
      </w:r>
      <w:r>
        <w:rPr>
          <w:vertAlign w:val="superscript"/>
        </w:rPr>
        <w:t>31</w:t>
      </w:r>
    </w:p>
    <w:p>
      <w:pPr>
        <w:pStyle w:val="BodyText"/>
        <w:spacing w:before="115"/>
        <w:ind w:left="0" w:firstLine="0"/>
        <w:jc w:val="left"/>
      </w:pPr>
    </w:p>
    <w:p>
      <w:pPr>
        <w:pStyle w:val="Heading5"/>
      </w:pPr>
      <w:r>
        <w:rPr>
          <w:color w:val="A26108"/>
          <w:spacing w:val="-2"/>
        </w:rPr>
        <w:t>Alimentação</w:t>
      </w:r>
    </w:p>
    <w:p>
      <w:pPr>
        <w:pStyle w:val="BodyText"/>
        <w:spacing w:line="280" w:lineRule="auto" w:before="138"/>
        <w:ind w:right="488"/>
      </w:pPr>
      <w:r>
        <w:rPr/>
        <w:t>Apesar de ser difícil fazer uma definição precisa da contribuição individual dos vários nutrientes para a aterosclerose, há grandes evidências de que uma dieta bem balanceada pode exercer impacto positivo no peso corpóreo, controle de pressão arterial e lipídios plasmáticos.</w:t>
      </w:r>
      <w:r>
        <w:rPr>
          <w:vertAlign w:val="superscript"/>
        </w:rPr>
        <w:t>29</w:t>
      </w:r>
      <w:r>
        <w:rPr>
          <w:vertAlign w:val="baseline"/>
        </w:rPr>
        <w:t> O consumo excessivo de colesterol e gorduras, principalmente saturadas e </w:t>
      </w:r>
      <w:r>
        <w:rPr>
          <w:i/>
          <w:vertAlign w:val="baseline"/>
        </w:rPr>
        <w:t>trans</w:t>
      </w:r>
      <w:r>
        <w:rPr>
          <w:vertAlign w:val="baseline"/>
        </w:rPr>
        <w:t>, está associado ao aumento de DAC e, portanto, deve ser evitado. A dieta do Mediterrâneo é um exemplo de dieta saudável, em que as gorduras saturadas são substituídas por poli-insaturadas com estímulo ao consumo de fibras e carboidratos complexos. Estudo observacional analisou a mortalidade entre idosos (homens e mulheres de 70 a 90 anos aparentemente saudáveis) com acompanhamento de 10 anos</w:t>
      </w:r>
      <w:r>
        <w:rPr>
          <w:vertAlign w:val="superscript"/>
        </w:rPr>
        <w:t>32</w:t>
      </w:r>
      <w:r>
        <w:rPr>
          <w:vertAlign w:val="baseline"/>
        </w:rPr>
        <w:t> e demonstrou que a adesão à dieta do Mediterrâneo, juntamente com atividades físicas, ausência de tabagismo e consumo moderado de álcool, levou à redução de mortalidade por DAC, DCV ou por câncer para 0,35 (95% intervalo de</w:t>
      </w:r>
      <w:r>
        <w:rPr>
          <w:spacing w:val="-1"/>
          <w:vertAlign w:val="baseline"/>
        </w:rPr>
        <w:t> </w:t>
      </w:r>
      <w:r>
        <w:rPr>
          <w:vertAlign w:val="baseline"/>
        </w:rPr>
        <w:t>confiança</w:t>
      </w:r>
      <w:r>
        <w:rPr>
          <w:spacing w:val="-1"/>
          <w:vertAlign w:val="baseline"/>
        </w:rPr>
        <w:t> </w:t>
      </w:r>
      <w:r>
        <w:rPr>
          <w:vertAlign w:val="baseline"/>
        </w:rPr>
        <w:t>0,28 a</w:t>
      </w:r>
      <w:r>
        <w:rPr>
          <w:spacing w:val="-1"/>
          <w:vertAlign w:val="baseline"/>
        </w:rPr>
        <w:t> </w:t>
      </w:r>
      <w:r>
        <w:rPr>
          <w:vertAlign w:val="baseline"/>
        </w:rPr>
        <w:t>0,44).</w:t>
      </w:r>
      <w:r>
        <w:rPr>
          <w:vertAlign w:val="superscript"/>
        </w:rPr>
        <w:t>32</w:t>
      </w:r>
      <w:r>
        <w:rPr>
          <w:vertAlign w:val="baseline"/>
        </w:rPr>
        <w:t> Orientação quanto à dieta com baixo teor de sal (cloreto de sódio inferior a 5 g/dia) deve ser estimulada pelos médicos. A associação de restrição de sódio a aumento no consumo de fibras, frutas, vegetais e</w:t>
      </w:r>
      <w:r>
        <w:rPr>
          <w:spacing w:val="-6"/>
          <w:vertAlign w:val="baseline"/>
        </w:rPr>
        <w:t> </w:t>
      </w:r>
      <w:r>
        <w:rPr>
          <w:vertAlign w:val="baseline"/>
        </w:rPr>
        <w:t>cálcio</w:t>
      </w:r>
      <w:r>
        <w:rPr>
          <w:spacing w:val="-3"/>
          <w:vertAlign w:val="baseline"/>
        </w:rPr>
        <w:t> </w:t>
      </w:r>
      <w:r>
        <w:rPr>
          <w:vertAlign w:val="baseline"/>
        </w:rPr>
        <w:t>foi mais eficaz</w:t>
      </w:r>
      <w:r>
        <w:rPr>
          <w:spacing w:val="-6"/>
          <w:vertAlign w:val="baseline"/>
        </w:rPr>
        <w:t> </w:t>
      </w:r>
      <w:r>
        <w:rPr>
          <w:vertAlign w:val="baseline"/>
        </w:rPr>
        <w:t>em</w:t>
      </w:r>
      <w:r>
        <w:rPr>
          <w:spacing w:val="-3"/>
          <w:vertAlign w:val="baseline"/>
        </w:rPr>
        <w:t> </w:t>
      </w:r>
      <w:r>
        <w:rPr>
          <w:vertAlign w:val="baseline"/>
        </w:rPr>
        <w:t>reduzir a</w:t>
      </w:r>
      <w:r>
        <w:rPr>
          <w:spacing w:val="-6"/>
          <w:vertAlign w:val="baseline"/>
        </w:rPr>
        <w:t> </w:t>
      </w:r>
      <w:r>
        <w:rPr>
          <w:vertAlign w:val="baseline"/>
        </w:rPr>
        <w:t>pressão</w:t>
      </w:r>
      <w:r>
        <w:rPr>
          <w:spacing w:val="-3"/>
          <w:vertAlign w:val="baseline"/>
        </w:rPr>
        <w:t> </w:t>
      </w:r>
      <w:r>
        <w:rPr>
          <w:vertAlign w:val="baseline"/>
        </w:rPr>
        <w:t>arterial que</w:t>
      </w:r>
      <w:r>
        <w:rPr>
          <w:spacing w:val="-6"/>
          <w:vertAlign w:val="baseline"/>
        </w:rPr>
        <w:t> </w:t>
      </w:r>
      <w:r>
        <w:rPr>
          <w:vertAlign w:val="baseline"/>
        </w:rPr>
        <w:t>a</w:t>
      </w:r>
      <w:r>
        <w:rPr>
          <w:spacing w:val="-6"/>
          <w:vertAlign w:val="baseline"/>
        </w:rPr>
        <w:t> </w:t>
      </w:r>
      <w:r>
        <w:rPr>
          <w:vertAlign w:val="baseline"/>
        </w:rPr>
        <w:t>restrição</w:t>
      </w:r>
      <w:r>
        <w:rPr>
          <w:spacing w:val="-3"/>
          <w:vertAlign w:val="baseline"/>
        </w:rPr>
        <w:t> </w:t>
      </w:r>
      <w:r>
        <w:rPr>
          <w:vertAlign w:val="baseline"/>
        </w:rPr>
        <w:t>isolada</w:t>
      </w:r>
      <w:r>
        <w:rPr>
          <w:spacing w:val="-6"/>
          <w:vertAlign w:val="baseline"/>
        </w:rPr>
        <w:t> </w:t>
      </w:r>
      <w:r>
        <w:rPr>
          <w:vertAlign w:val="baseline"/>
        </w:rPr>
        <w:t>de</w:t>
      </w:r>
      <w:r>
        <w:rPr>
          <w:spacing w:val="-6"/>
          <w:vertAlign w:val="baseline"/>
        </w:rPr>
        <w:t> </w:t>
      </w:r>
      <w:r>
        <w:rPr>
          <w:vertAlign w:val="baseline"/>
        </w:rPr>
        <w:t>sal no</w:t>
      </w:r>
      <w:r>
        <w:rPr>
          <w:spacing w:val="-3"/>
          <w:vertAlign w:val="baseline"/>
        </w:rPr>
        <w:t> </w:t>
      </w:r>
      <w:r>
        <w:rPr>
          <w:vertAlign w:val="baseline"/>
        </w:rPr>
        <w:t>estudo</w:t>
      </w:r>
      <w:r>
        <w:rPr>
          <w:spacing w:val="-3"/>
          <w:vertAlign w:val="baseline"/>
        </w:rPr>
        <w:t> </w:t>
      </w:r>
      <w:r>
        <w:rPr>
          <w:vertAlign w:val="baseline"/>
        </w:rPr>
        <w:t>Dietary Approaches to Stop Hypertension (DASH).</w:t>
      </w:r>
      <w:r>
        <w:rPr>
          <w:vertAlign w:val="superscript"/>
        </w:rPr>
        <w:t>33</w:t>
      </w:r>
    </w:p>
    <w:p>
      <w:pPr>
        <w:pStyle w:val="BodyText"/>
        <w:spacing w:before="131"/>
        <w:ind w:left="0" w:firstLine="0"/>
        <w:jc w:val="left"/>
      </w:pPr>
    </w:p>
    <w:p>
      <w:pPr>
        <w:pStyle w:val="Heading5"/>
      </w:pPr>
      <w:r>
        <w:rPr>
          <w:color w:val="A26108"/>
        </w:rPr>
        <w:t>Atividade</w:t>
      </w:r>
      <w:r>
        <w:rPr>
          <w:color w:val="A26108"/>
          <w:spacing w:val="29"/>
        </w:rPr>
        <w:t> </w:t>
      </w:r>
      <w:r>
        <w:rPr>
          <w:color w:val="A26108"/>
          <w:spacing w:val="-2"/>
        </w:rPr>
        <w:t>física</w:t>
      </w:r>
    </w:p>
    <w:p>
      <w:pPr>
        <w:pStyle w:val="BodyText"/>
        <w:spacing w:line="280" w:lineRule="auto" w:before="122"/>
        <w:ind w:right="497"/>
      </w:pPr>
      <w:r>
        <w:rPr/>
        <w:t>Várias evidências têm definido papel importante das atividades físicas em reduzir a incidência de doenças crônicas, tanto diretamente, com ação benéfica em níveis hormonais, como indiretamente no controle de peso corpóreo.</w:t>
      </w:r>
      <w:r>
        <w:rPr>
          <w:vertAlign w:val="superscript"/>
        </w:rPr>
        <w:t>29</w:t>
      </w:r>
      <w:r>
        <w:rPr>
          <w:spacing w:val="-5"/>
          <w:vertAlign w:val="baseline"/>
        </w:rPr>
        <w:t> </w:t>
      </w:r>
      <w:r>
        <w:rPr>
          <w:vertAlign w:val="baseline"/>
        </w:rPr>
        <w:t>Estudos</w:t>
      </w:r>
      <w:r>
        <w:rPr>
          <w:spacing w:val="-4"/>
          <w:vertAlign w:val="baseline"/>
        </w:rPr>
        <w:t> </w:t>
      </w:r>
      <w:r>
        <w:rPr>
          <w:vertAlign w:val="baseline"/>
        </w:rPr>
        <w:t>epidemiológicos</w:t>
      </w:r>
      <w:r>
        <w:rPr>
          <w:spacing w:val="-4"/>
          <w:vertAlign w:val="baseline"/>
        </w:rPr>
        <w:t> </w:t>
      </w:r>
      <w:r>
        <w:rPr>
          <w:vertAlign w:val="baseline"/>
        </w:rPr>
        <w:t>prospectivos</w:t>
      </w:r>
      <w:r>
        <w:rPr>
          <w:spacing w:val="-4"/>
          <w:vertAlign w:val="baseline"/>
        </w:rPr>
        <w:t> </w:t>
      </w:r>
      <w:r>
        <w:rPr>
          <w:vertAlign w:val="baseline"/>
        </w:rPr>
        <w:t>documentam</w:t>
      </w:r>
      <w:r>
        <w:rPr>
          <w:spacing w:val="-12"/>
          <w:vertAlign w:val="baseline"/>
        </w:rPr>
        <w:t> </w:t>
      </w:r>
      <w:r>
        <w:rPr>
          <w:vertAlign w:val="baseline"/>
        </w:rPr>
        <w:t>consistentemente</w:t>
      </w:r>
      <w:r>
        <w:rPr>
          <w:spacing w:val="-14"/>
          <w:vertAlign w:val="baseline"/>
        </w:rPr>
        <w:t> </w:t>
      </w:r>
      <w:r>
        <w:rPr>
          <w:vertAlign w:val="baseline"/>
        </w:rPr>
        <w:t>a</w:t>
      </w:r>
      <w:r>
        <w:rPr>
          <w:spacing w:val="-14"/>
          <w:vertAlign w:val="baseline"/>
        </w:rPr>
        <w:t> </w:t>
      </w:r>
      <w:r>
        <w:rPr>
          <w:vertAlign w:val="baseline"/>
        </w:rPr>
        <w:t>redução</w:t>
      </w:r>
      <w:r>
        <w:rPr>
          <w:spacing w:val="-11"/>
          <w:vertAlign w:val="baseline"/>
        </w:rPr>
        <w:t> </w:t>
      </w:r>
      <w:r>
        <w:rPr>
          <w:vertAlign w:val="baseline"/>
        </w:rPr>
        <w:t>da</w:t>
      </w:r>
      <w:r>
        <w:rPr>
          <w:spacing w:val="-14"/>
          <w:vertAlign w:val="baseline"/>
        </w:rPr>
        <w:t> </w:t>
      </w:r>
      <w:r>
        <w:rPr>
          <w:vertAlign w:val="baseline"/>
        </w:rPr>
        <w:t>incidência</w:t>
      </w:r>
      <w:r>
        <w:rPr>
          <w:spacing w:val="-14"/>
          <w:vertAlign w:val="baseline"/>
        </w:rPr>
        <w:t> </w:t>
      </w:r>
      <w:r>
        <w:rPr>
          <w:vertAlign w:val="baseline"/>
        </w:rPr>
        <w:t>de</w:t>
      </w:r>
      <w:r>
        <w:rPr>
          <w:spacing w:val="-14"/>
          <w:vertAlign w:val="baseline"/>
        </w:rPr>
        <w:t> </w:t>
      </w:r>
      <w:r>
        <w:rPr>
          <w:vertAlign w:val="baseline"/>
        </w:rPr>
        <w:t>DAC</w:t>
      </w:r>
      <w:r>
        <w:rPr>
          <w:spacing w:val="-4"/>
          <w:vertAlign w:val="baseline"/>
        </w:rPr>
        <w:t> </w:t>
      </w:r>
      <w:r>
        <w:rPr>
          <w:vertAlign w:val="baseline"/>
        </w:rPr>
        <w:t>e AVC em indivíduos fisicamente</w:t>
      </w:r>
      <w:r>
        <w:rPr>
          <w:spacing w:val="-2"/>
          <w:vertAlign w:val="baseline"/>
        </w:rPr>
        <w:t> </w:t>
      </w:r>
      <w:r>
        <w:rPr>
          <w:vertAlign w:val="baseline"/>
        </w:rPr>
        <w:t>ativos.</w:t>
      </w:r>
      <w:r>
        <w:rPr>
          <w:vertAlign w:val="superscript"/>
        </w:rPr>
        <w:t>22,34</w:t>
      </w:r>
      <w:r>
        <w:rPr>
          <w:vertAlign w:val="baseline"/>
        </w:rPr>
        <w:t> Inversamente, a inatividade física ou sedentarismo exagerado tem sido reconhecido como importante fator de risco cardiovascular, tanto independente como por interação de outros fatores, por exemplo, tendência ao sobrepeso. Apesar de o efeito benéfico do exercício físico ser progressivo, de acordo</w:t>
      </w:r>
      <w:r>
        <w:rPr>
          <w:spacing w:val="-1"/>
          <w:vertAlign w:val="baseline"/>
        </w:rPr>
        <w:t> </w:t>
      </w:r>
      <w:r>
        <w:rPr>
          <w:vertAlign w:val="baseline"/>
        </w:rPr>
        <w:t>com</w:t>
      </w:r>
      <w:r>
        <w:rPr>
          <w:spacing w:val="-1"/>
          <w:vertAlign w:val="baseline"/>
        </w:rPr>
        <w:t> </w:t>
      </w:r>
      <w:r>
        <w:rPr>
          <w:vertAlign w:val="baseline"/>
        </w:rPr>
        <w:t>sua</w:t>
      </w:r>
      <w:r>
        <w:rPr>
          <w:spacing w:val="-4"/>
          <w:vertAlign w:val="baseline"/>
        </w:rPr>
        <w:t> </w:t>
      </w:r>
      <w:r>
        <w:rPr>
          <w:vertAlign w:val="baseline"/>
        </w:rPr>
        <w:t>intensidade</w:t>
      </w:r>
      <w:r>
        <w:rPr>
          <w:spacing w:val="-4"/>
          <w:vertAlign w:val="baseline"/>
        </w:rPr>
        <w:t> </w:t>
      </w:r>
      <w:r>
        <w:rPr>
          <w:vertAlign w:val="baseline"/>
        </w:rPr>
        <w:t>e</w:t>
      </w:r>
      <w:r>
        <w:rPr>
          <w:spacing w:val="-4"/>
          <w:vertAlign w:val="baseline"/>
        </w:rPr>
        <w:t> </w:t>
      </w:r>
      <w:r>
        <w:rPr>
          <w:vertAlign w:val="baseline"/>
        </w:rPr>
        <w:t>duração, mesmo</w:t>
      </w:r>
      <w:r>
        <w:rPr>
          <w:spacing w:val="-1"/>
          <w:vertAlign w:val="baseline"/>
        </w:rPr>
        <w:t> </w:t>
      </w:r>
      <w:r>
        <w:rPr>
          <w:vertAlign w:val="baseline"/>
        </w:rPr>
        <w:t>esforços de</w:t>
      </w:r>
      <w:r>
        <w:rPr>
          <w:spacing w:val="-4"/>
          <w:vertAlign w:val="baseline"/>
        </w:rPr>
        <w:t> </w:t>
      </w:r>
      <w:r>
        <w:rPr>
          <w:vertAlign w:val="baseline"/>
        </w:rPr>
        <w:t>30</w:t>
      </w:r>
      <w:r>
        <w:rPr>
          <w:spacing w:val="-1"/>
          <w:vertAlign w:val="baseline"/>
        </w:rPr>
        <w:t> </w:t>
      </w:r>
      <w:r>
        <w:rPr>
          <w:vertAlign w:val="baseline"/>
        </w:rPr>
        <w:t>min</w:t>
      </w:r>
      <w:r>
        <w:rPr>
          <w:spacing w:val="-1"/>
          <w:vertAlign w:val="baseline"/>
        </w:rPr>
        <w:t> </w:t>
      </w:r>
      <w:r>
        <w:rPr>
          <w:vertAlign w:val="baseline"/>
        </w:rPr>
        <w:t>durante</w:t>
      </w:r>
      <w:r>
        <w:rPr>
          <w:spacing w:val="-4"/>
          <w:vertAlign w:val="baseline"/>
        </w:rPr>
        <w:t> </w:t>
      </w:r>
      <w:r>
        <w:rPr>
          <w:vertAlign w:val="baseline"/>
        </w:rPr>
        <w:t>5</w:t>
      </w:r>
      <w:r>
        <w:rPr>
          <w:spacing w:val="-1"/>
          <w:vertAlign w:val="baseline"/>
        </w:rPr>
        <w:t> </w:t>
      </w:r>
      <w:r>
        <w:rPr>
          <w:vertAlign w:val="baseline"/>
        </w:rPr>
        <w:t>vezes/semana</w:t>
      </w:r>
      <w:r>
        <w:rPr>
          <w:spacing w:val="-4"/>
          <w:vertAlign w:val="baseline"/>
        </w:rPr>
        <w:t> </w:t>
      </w:r>
      <w:r>
        <w:rPr>
          <w:vertAlign w:val="baseline"/>
        </w:rPr>
        <w:t>foram</w:t>
      </w:r>
      <w:r>
        <w:rPr>
          <w:spacing w:val="-1"/>
          <w:vertAlign w:val="baseline"/>
        </w:rPr>
        <w:t> </w:t>
      </w:r>
      <w:r>
        <w:rPr>
          <w:vertAlign w:val="baseline"/>
        </w:rPr>
        <w:t>relacionados com a redução de eventos cardiovasculares.</w:t>
      </w:r>
      <w:r>
        <w:rPr>
          <w:vertAlign w:val="superscript"/>
        </w:rPr>
        <w:t>34</w:t>
      </w:r>
      <w:r>
        <w:rPr>
          <w:vertAlign w:val="baseline"/>
        </w:rPr>
        <w:t> Além disso, outros fatores de risco cardiovascular, como diabetes, idade, tabagismo, sedentarismo e uremia, estão negativamente relacionados com os níveis de células progenitoras endoteliais (CPE). Zhang </w:t>
      </w:r>
      <w:r>
        <w:rPr>
          <w:i/>
          <w:vertAlign w:val="baseline"/>
        </w:rPr>
        <w:t>et al.</w:t>
      </w:r>
      <w:r>
        <w:rPr>
          <w:vertAlign w:val="superscript"/>
        </w:rPr>
        <w:t>35</w:t>
      </w:r>
      <w:r>
        <w:rPr>
          <w:vertAlign w:val="baseline"/>
        </w:rPr>
        <w:t> avaliaram a relação entre CPE e retinopatia diabética, utilizando um modelo de ratos portadores de</w:t>
      </w:r>
      <w:r>
        <w:rPr>
          <w:spacing w:val="-6"/>
          <w:vertAlign w:val="baseline"/>
        </w:rPr>
        <w:t> </w:t>
      </w:r>
      <w:r>
        <w:rPr>
          <w:vertAlign w:val="baseline"/>
        </w:rPr>
        <w:t>diabetes melito</w:t>
      </w:r>
      <w:r>
        <w:rPr>
          <w:spacing w:val="-3"/>
          <w:vertAlign w:val="baseline"/>
        </w:rPr>
        <w:t> </w:t>
      </w:r>
      <w:r>
        <w:rPr>
          <w:vertAlign w:val="baseline"/>
        </w:rPr>
        <w:t>tipo</w:t>
      </w:r>
      <w:r>
        <w:rPr>
          <w:spacing w:val="-3"/>
          <w:vertAlign w:val="baseline"/>
        </w:rPr>
        <w:t> </w:t>
      </w:r>
      <w:r>
        <w:rPr>
          <w:vertAlign w:val="baseline"/>
        </w:rPr>
        <w:t>I induzido</w:t>
      </w:r>
      <w:r>
        <w:rPr>
          <w:spacing w:val="-3"/>
          <w:vertAlign w:val="baseline"/>
        </w:rPr>
        <w:t> </w:t>
      </w:r>
      <w:r>
        <w:rPr>
          <w:vertAlign w:val="baseline"/>
        </w:rPr>
        <w:t>por estreptozotocina, e</w:t>
      </w:r>
      <w:r>
        <w:rPr>
          <w:spacing w:val="-6"/>
          <w:vertAlign w:val="baseline"/>
        </w:rPr>
        <w:t> </w:t>
      </w:r>
      <w:r>
        <w:rPr>
          <w:vertAlign w:val="baseline"/>
        </w:rPr>
        <w:t>encontraram</w:t>
      </w:r>
      <w:r>
        <w:rPr>
          <w:spacing w:val="-3"/>
          <w:vertAlign w:val="baseline"/>
        </w:rPr>
        <w:t> </w:t>
      </w:r>
      <w:r>
        <w:rPr>
          <w:vertAlign w:val="baseline"/>
        </w:rPr>
        <w:t>nesses ratos menores níveis de CPE quando comparados a ratos normais. A resistência à insulina prejudica a via de sinalização celular PI3K/Akt, que está relacionada com a proliferação de células endoteliais. Além disso, a translocação do transportador GLUT-4 para a membrana celular também é afetada, diminuindo a captação de glicose e, consequentemente, promovendo aumento da glicemia. A hiperglicemia impede o amadurecimento de CPE e sua capacidade de vasculogênese, além de estimular apoptose, aumentando a formação de espécies reativas de oxigênio.</w:t>
      </w:r>
      <w:r>
        <w:rPr>
          <w:vertAlign w:val="superscript"/>
        </w:rPr>
        <w:t>36</w:t>
      </w:r>
      <w:r>
        <w:rPr>
          <w:vertAlign w:val="baseline"/>
        </w:rPr>
        <w:t> Há vários trabalhos mostrando a importância da atividade física no recrutamento de CPE. Xia </w:t>
      </w:r>
      <w:r>
        <w:rPr>
          <w:i/>
          <w:vertAlign w:val="baseline"/>
        </w:rPr>
        <w:t>et al.</w:t>
      </w:r>
      <w:r>
        <w:rPr>
          <w:vertAlign w:val="superscript"/>
        </w:rPr>
        <w:t>37</w:t>
      </w:r>
      <w:r>
        <w:rPr>
          <w:vertAlign w:val="baseline"/>
        </w:rPr>
        <w:t> demonstraram</w:t>
      </w:r>
      <w:r>
        <w:rPr>
          <w:spacing w:val="-8"/>
          <w:vertAlign w:val="baseline"/>
        </w:rPr>
        <w:t> </w:t>
      </w:r>
      <w:r>
        <w:rPr>
          <w:vertAlign w:val="baseline"/>
        </w:rPr>
        <w:t>que</w:t>
      </w:r>
      <w:r>
        <w:rPr>
          <w:spacing w:val="-11"/>
          <w:vertAlign w:val="baseline"/>
        </w:rPr>
        <w:t> </w:t>
      </w:r>
      <w:r>
        <w:rPr>
          <w:vertAlign w:val="baseline"/>
        </w:rPr>
        <w:t>em</w:t>
      </w:r>
      <w:r>
        <w:rPr>
          <w:spacing w:val="-8"/>
          <w:vertAlign w:val="baseline"/>
        </w:rPr>
        <w:t> </w:t>
      </w:r>
      <w:r>
        <w:rPr>
          <w:vertAlign w:val="baseline"/>
        </w:rPr>
        <w:t>homens</w:t>
      </w:r>
      <w:r>
        <w:rPr>
          <w:spacing w:val="-1"/>
          <w:vertAlign w:val="baseline"/>
        </w:rPr>
        <w:t> </w:t>
      </w:r>
      <w:r>
        <w:rPr>
          <w:vertAlign w:val="baseline"/>
        </w:rPr>
        <w:t>idosos</w:t>
      </w:r>
      <w:r>
        <w:rPr>
          <w:spacing w:val="-1"/>
          <w:vertAlign w:val="baseline"/>
        </w:rPr>
        <w:t> </w:t>
      </w:r>
      <w:r>
        <w:rPr>
          <w:vertAlign w:val="baseline"/>
        </w:rPr>
        <w:t>a</w:t>
      </w:r>
      <w:r>
        <w:rPr>
          <w:spacing w:val="-11"/>
          <w:vertAlign w:val="baseline"/>
        </w:rPr>
        <w:t> </w:t>
      </w:r>
      <w:r>
        <w:rPr>
          <w:vertAlign w:val="baseline"/>
        </w:rPr>
        <w:t>atividade</w:t>
      </w:r>
      <w:r>
        <w:rPr>
          <w:spacing w:val="-11"/>
          <w:vertAlign w:val="baseline"/>
        </w:rPr>
        <w:t> </w:t>
      </w:r>
      <w:r>
        <w:rPr>
          <w:vertAlign w:val="baseline"/>
        </w:rPr>
        <w:t>física</w:t>
      </w:r>
      <w:r>
        <w:rPr>
          <w:spacing w:val="-11"/>
          <w:vertAlign w:val="baseline"/>
        </w:rPr>
        <w:t> </w:t>
      </w:r>
      <w:r>
        <w:rPr>
          <w:vertAlign w:val="baseline"/>
        </w:rPr>
        <w:t>aumentou</w:t>
      </w:r>
      <w:r>
        <w:rPr>
          <w:spacing w:val="-8"/>
          <w:vertAlign w:val="baseline"/>
        </w:rPr>
        <w:t> </w:t>
      </w:r>
      <w:r>
        <w:rPr>
          <w:vertAlign w:val="baseline"/>
        </w:rPr>
        <w:t>a</w:t>
      </w:r>
      <w:r>
        <w:rPr>
          <w:spacing w:val="-11"/>
          <w:vertAlign w:val="baseline"/>
        </w:rPr>
        <w:t> </w:t>
      </w:r>
      <w:r>
        <w:rPr>
          <w:vertAlign w:val="baseline"/>
        </w:rPr>
        <w:t>capacidade</w:t>
      </w:r>
      <w:r>
        <w:rPr>
          <w:spacing w:val="-11"/>
          <w:vertAlign w:val="baseline"/>
        </w:rPr>
        <w:t> </w:t>
      </w:r>
      <w:r>
        <w:rPr>
          <w:vertAlign w:val="baseline"/>
        </w:rPr>
        <w:t>de</w:t>
      </w:r>
      <w:r>
        <w:rPr>
          <w:spacing w:val="-11"/>
          <w:vertAlign w:val="baseline"/>
        </w:rPr>
        <w:t> </w:t>
      </w:r>
      <w:r>
        <w:rPr>
          <w:vertAlign w:val="baseline"/>
        </w:rPr>
        <w:t>regeneração</w:t>
      </w:r>
      <w:r>
        <w:rPr>
          <w:spacing w:val="-8"/>
          <w:vertAlign w:val="baseline"/>
        </w:rPr>
        <w:t> </w:t>
      </w:r>
      <w:r>
        <w:rPr>
          <w:vertAlign w:val="baseline"/>
        </w:rPr>
        <w:t>vascular</w:t>
      </w:r>
      <w:r>
        <w:rPr>
          <w:spacing w:val="-3"/>
          <w:vertAlign w:val="baseline"/>
        </w:rPr>
        <w:t> </w:t>
      </w:r>
      <w:r>
        <w:rPr>
          <w:vertAlign w:val="baseline"/>
        </w:rPr>
        <w:t>por</w:t>
      </w:r>
      <w:r>
        <w:rPr>
          <w:spacing w:val="-3"/>
          <w:vertAlign w:val="baseline"/>
        </w:rPr>
        <w:t> </w:t>
      </w:r>
      <w:r>
        <w:rPr>
          <w:vertAlign w:val="baseline"/>
        </w:rPr>
        <w:t>meio</w:t>
      </w:r>
      <w:r>
        <w:rPr>
          <w:spacing w:val="-8"/>
          <w:vertAlign w:val="baseline"/>
        </w:rPr>
        <w:t> </w:t>
      </w:r>
      <w:r>
        <w:rPr>
          <w:vertAlign w:val="baseline"/>
        </w:rPr>
        <w:t>de CPE e promoveu melhora da função endotelial. Porém, os estudos ainda são controversos sobre os efeitos de diferentes tipos de exercícios no recrutamento dessas células.</w:t>
      </w:r>
      <w:r>
        <w:rPr>
          <w:vertAlign w:val="superscript"/>
        </w:rPr>
        <w:t>38</w:t>
      </w:r>
      <w:r>
        <w:rPr>
          <w:vertAlign w:val="baseline"/>
        </w:rPr>
        <w:t> Também o treinamento, como parte de um programa de reabilitação, tem demonstrado redução na progressão ou regressão parcial na gravidade de aterosclerose</w:t>
      </w:r>
      <w:r>
        <w:rPr>
          <w:spacing w:val="26"/>
          <w:vertAlign w:val="baseline"/>
        </w:rPr>
        <w:t> </w:t>
      </w:r>
      <w:r>
        <w:rPr>
          <w:vertAlign w:val="baseline"/>
        </w:rPr>
        <w:t>coronariana.</w:t>
      </w:r>
      <w:r>
        <w:rPr>
          <w:spacing w:val="38"/>
          <w:vertAlign w:val="baseline"/>
        </w:rPr>
        <w:t> </w:t>
      </w:r>
      <w:r>
        <w:rPr>
          <w:vertAlign w:val="baseline"/>
        </w:rPr>
        <w:t>Cabe</w:t>
      </w:r>
      <w:r>
        <w:rPr>
          <w:spacing w:val="26"/>
          <w:vertAlign w:val="baseline"/>
        </w:rPr>
        <w:t> </w:t>
      </w:r>
      <w:r>
        <w:rPr>
          <w:vertAlign w:val="baseline"/>
        </w:rPr>
        <w:t>aos</w:t>
      </w:r>
      <w:r>
        <w:rPr>
          <w:spacing w:val="38"/>
          <w:vertAlign w:val="baseline"/>
        </w:rPr>
        <w:t> </w:t>
      </w:r>
      <w:r>
        <w:rPr>
          <w:vertAlign w:val="baseline"/>
        </w:rPr>
        <w:t>médicos,</w:t>
      </w:r>
      <w:r>
        <w:rPr>
          <w:spacing w:val="38"/>
          <w:vertAlign w:val="baseline"/>
        </w:rPr>
        <w:t> </w:t>
      </w:r>
      <w:r>
        <w:rPr>
          <w:vertAlign w:val="baseline"/>
        </w:rPr>
        <w:t>com</w:t>
      </w:r>
      <w:r>
        <w:rPr>
          <w:spacing w:val="29"/>
          <w:vertAlign w:val="baseline"/>
        </w:rPr>
        <w:t> </w:t>
      </w:r>
      <w:r>
        <w:rPr>
          <w:vertAlign w:val="baseline"/>
        </w:rPr>
        <w:t>o</w:t>
      </w:r>
      <w:r>
        <w:rPr>
          <w:spacing w:val="29"/>
          <w:vertAlign w:val="baseline"/>
        </w:rPr>
        <w:t> </w:t>
      </w:r>
      <w:r>
        <w:rPr>
          <w:vertAlign w:val="baseline"/>
        </w:rPr>
        <w:t>auxílio</w:t>
      </w:r>
      <w:r>
        <w:rPr>
          <w:spacing w:val="29"/>
          <w:vertAlign w:val="baseline"/>
        </w:rPr>
        <w:t> </w:t>
      </w:r>
      <w:r>
        <w:rPr>
          <w:vertAlign w:val="baseline"/>
        </w:rPr>
        <w:t>de</w:t>
      </w:r>
      <w:r>
        <w:rPr>
          <w:spacing w:val="26"/>
          <w:vertAlign w:val="baseline"/>
        </w:rPr>
        <w:t> </w:t>
      </w:r>
      <w:r>
        <w:rPr>
          <w:vertAlign w:val="baseline"/>
        </w:rPr>
        <w:t>uma</w:t>
      </w:r>
      <w:r>
        <w:rPr>
          <w:spacing w:val="26"/>
          <w:vertAlign w:val="baseline"/>
        </w:rPr>
        <w:t> </w:t>
      </w:r>
      <w:r>
        <w:rPr>
          <w:vertAlign w:val="baseline"/>
        </w:rPr>
        <w:t>equipe</w:t>
      </w:r>
      <w:r>
        <w:rPr>
          <w:spacing w:val="26"/>
          <w:vertAlign w:val="baseline"/>
        </w:rPr>
        <w:t> </w:t>
      </w:r>
      <w:r>
        <w:rPr>
          <w:vertAlign w:val="baseline"/>
        </w:rPr>
        <w:t>multiprofissional,</w:t>
      </w:r>
      <w:r>
        <w:rPr>
          <w:spacing w:val="38"/>
          <w:vertAlign w:val="baseline"/>
        </w:rPr>
        <w:t> </w:t>
      </w:r>
      <w:r>
        <w:rPr>
          <w:vertAlign w:val="baseline"/>
        </w:rPr>
        <w:t>uma</w:t>
      </w:r>
      <w:r>
        <w:rPr>
          <w:spacing w:val="26"/>
          <w:vertAlign w:val="baseline"/>
        </w:rPr>
        <w:t> </w:t>
      </w:r>
      <w:r>
        <w:rPr>
          <w:vertAlign w:val="baseline"/>
        </w:rPr>
        <w:t>proposta</w:t>
      </w:r>
      <w:r>
        <w:rPr>
          <w:spacing w:val="26"/>
          <w:vertAlign w:val="baseline"/>
        </w:rPr>
        <w:t> </w:t>
      </w:r>
      <w:r>
        <w:rPr>
          <w:vertAlign w:val="baseline"/>
        </w:rPr>
        <w:t>na</w:t>
      </w:r>
    </w:p>
    <w:p>
      <w:pPr>
        <w:pStyle w:val="BodyText"/>
        <w:spacing w:after="0" w:line="280" w:lineRule="auto"/>
        <w:sectPr>
          <w:pgSz w:w="11900" w:h="16840"/>
          <w:pgMar w:top="220" w:bottom="280" w:left="566" w:right="141"/>
        </w:sectPr>
      </w:pPr>
    </w:p>
    <w:p>
      <w:pPr>
        <w:pStyle w:val="BodyText"/>
        <w:spacing w:line="283" w:lineRule="auto" w:before="77"/>
        <w:ind w:firstLine="0"/>
        <w:jc w:val="left"/>
      </w:pPr>
      <w:r>
        <w:rPr/>
        <w:t>mudança de hábitos</w:t>
      </w:r>
      <w:r>
        <w:rPr>
          <w:spacing w:val="17"/>
        </w:rPr>
        <w:t> </w:t>
      </w:r>
      <w:r>
        <w:rPr/>
        <w:t>de vida,</w:t>
      </w:r>
      <w:r>
        <w:rPr>
          <w:spacing w:val="17"/>
        </w:rPr>
        <w:t> </w:t>
      </w:r>
      <w:r>
        <w:rPr/>
        <w:t>criando estímulos</w:t>
      </w:r>
      <w:r>
        <w:rPr>
          <w:spacing w:val="17"/>
        </w:rPr>
        <w:t> </w:t>
      </w:r>
      <w:r>
        <w:rPr/>
        <w:t>para prática persistente de atividades</w:t>
      </w:r>
      <w:r>
        <w:rPr>
          <w:spacing w:val="17"/>
        </w:rPr>
        <w:t> </w:t>
      </w:r>
      <w:r>
        <w:rPr/>
        <w:t>físicas</w:t>
      </w:r>
      <w:r>
        <w:rPr>
          <w:spacing w:val="17"/>
        </w:rPr>
        <w:t> </w:t>
      </w:r>
      <w:r>
        <w:rPr/>
        <w:t>em toda a população, principalmente</w:t>
      </w:r>
      <w:r>
        <w:rPr>
          <w:spacing w:val="-5"/>
        </w:rPr>
        <w:t> </w:t>
      </w:r>
      <w:r>
        <w:rPr/>
        <w:t>naqueles com</w:t>
      </w:r>
      <w:r>
        <w:rPr>
          <w:spacing w:val="-2"/>
        </w:rPr>
        <w:t> </w:t>
      </w:r>
      <w:r>
        <w:rPr/>
        <w:t>qualquer tipo</w:t>
      </w:r>
      <w:r>
        <w:rPr>
          <w:spacing w:val="-2"/>
        </w:rPr>
        <w:t> </w:t>
      </w:r>
      <w:r>
        <w:rPr/>
        <w:t>de</w:t>
      </w:r>
      <w:r>
        <w:rPr>
          <w:spacing w:val="-5"/>
        </w:rPr>
        <w:t> </w:t>
      </w:r>
      <w:r>
        <w:rPr/>
        <w:t>doença</w:t>
      </w:r>
      <w:r>
        <w:rPr>
          <w:spacing w:val="-5"/>
        </w:rPr>
        <w:t> </w:t>
      </w:r>
      <w:r>
        <w:rPr/>
        <w:t>aterosclerótica</w:t>
      </w:r>
      <w:r>
        <w:rPr>
          <w:spacing w:val="-5"/>
        </w:rPr>
        <w:t> </w:t>
      </w:r>
      <w:r>
        <w:rPr/>
        <w:t>instalada, mesmo</w:t>
      </w:r>
      <w:r>
        <w:rPr>
          <w:spacing w:val="-2"/>
        </w:rPr>
        <w:t> </w:t>
      </w:r>
      <w:r>
        <w:rPr/>
        <w:t>na</w:t>
      </w:r>
      <w:r>
        <w:rPr>
          <w:spacing w:val="-5"/>
        </w:rPr>
        <w:t> </w:t>
      </w:r>
      <w:r>
        <w:rPr/>
        <w:t>ausência</w:t>
      </w:r>
      <w:r>
        <w:rPr>
          <w:spacing w:val="-5"/>
        </w:rPr>
        <w:t> </w:t>
      </w:r>
      <w:r>
        <w:rPr/>
        <w:t>de</w:t>
      </w:r>
      <w:r>
        <w:rPr>
          <w:spacing w:val="-5"/>
        </w:rPr>
        <w:t> </w:t>
      </w:r>
      <w:r>
        <w:rPr/>
        <w:t>sintomas.</w:t>
      </w:r>
    </w:p>
    <w:p>
      <w:pPr>
        <w:pStyle w:val="BodyText"/>
        <w:spacing w:before="176"/>
        <w:ind w:left="0" w:firstLine="0"/>
        <w:jc w:val="left"/>
      </w:pPr>
    </w:p>
    <w:p>
      <w:pPr>
        <w:pStyle w:val="Heading4"/>
      </w:pPr>
      <w:r>
        <w:rPr>
          <w:color w:val="242B67"/>
        </w:rPr>
        <w:t>Hipertensão </w:t>
      </w:r>
      <w:r>
        <w:rPr>
          <w:color w:val="242B67"/>
          <w:spacing w:val="-2"/>
        </w:rPr>
        <w:t>arterial</w:t>
      </w:r>
    </w:p>
    <w:p>
      <w:pPr>
        <w:pStyle w:val="BodyText"/>
        <w:spacing w:line="280" w:lineRule="auto" w:before="132"/>
        <w:ind w:right="488"/>
      </w:pPr>
      <w:r>
        <w:rPr/>
        <w:t>A prevalência de hipertensão entre os adultos nos EUA é de aproximadamente 30%, e a incidência da hipertensão está crescendo em todo o mundo – a quantidade de hipertensos está se aproximando de 1 bilhão de pessoas.</w:t>
      </w:r>
      <w:r>
        <w:rPr>
          <w:vertAlign w:val="superscript"/>
        </w:rPr>
        <w:t>39,40</w:t>
      </w:r>
      <w:r>
        <w:rPr>
          <w:vertAlign w:val="baseline"/>
        </w:rPr>
        <w:t> A hipertensão está associada ao aumento substancial da morbimortalidade em todos os estratos de idade, e controle adequado da pressão arterial é alcançado em apenas uma minoria dos pacientes.</w:t>
      </w:r>
      <w:r>
        <w:rPr>
          <w:vertAlign w:val="superscript"/>
        </w:rPr>
        <w:t>41</w:t>
      </w:r>
      <w:r>
        <w:rPr>
          <w:vertAlign w:val="baseline"/>
        </w:rPr>
        <w:t> A hipertensão arterial</w:t>
      </w:r>
      <w:r>
        <w:rPr>
          <w:spacing w:val="-1"/>
          <w:vertAlign w:val="baseline"/>
        </w:rPr>
        <w:t> </w:t>
      </w:r>
      <w:r>
        <w:rPr>
          <w:vertAlign w:val="baseline"/>
        </w:rPr>
        <w:t>é</w:t>
      </w:r>
      <w:r>
        <w:rPr>
          <w:spacing w:val="-7"/>
          <w:vertAlign w:val="baseline"/>
        </w:rPr>
        <w:t> </w:t>
      </w:r>
      <w:r>
        <w:rPr>
          <w:vertAlign w:val="baseline"/>
        </w:rPr>
        <w:t>a</w:t>
      </w:r>
      <w:r>
        <w:rPr>
          <w:spacing w:val="-7"/>
          <w:vertAlign w:val="baseline"/>
        </w:rPr>
        <w:t> </w:t>
      </w:r>
      <w:r>
        <w:rPr>
          <w:vertAlign w:val="baseline"/>
        </w:rPr>
        <w:t>principal</w:t>
      </w:r>
      <w:r>
        <w:rPr>
          <w:spacing w:val="-1"/>
          <w:vertAlign w:val="baseline"/>
        </w:rPr>
        <w:t> </w:t>
      </w:r>
      <w:r>
        <w:rPr>
          <w:vertAlign w:val="baseline"/>
        </w:rPr>
        <w:t>causa</w:t>
      </w:r>
      <w:r>
        <w:rPr>
          <w:spacing w:val="-7"/>
          <w:vertAlign w:val="baseline"/>
        </w:rPr>
        <w:t> </w:t>
      </w:r>
      <w:r>
        <w:rPr>
          <w:vertAlign w:val="baseline"/>
        </w:rPr>
        <w:t>de</w:t>
      </w:r>
      <w:r>
        <w:rPr>
          <w:spacing w:val="-7"/>
          <w:vertAlign w:val="baseline"/>
        </w:rPr>
        <w:t> </w:t>
      </w:r>
      <w:r>
        <w:rPr>
          <w:vertAlign w:val="baseline"/>
        </w:rPr>
        <w:t>AVC e</w:t>
      </w:r>
      <w:r>
        <w:rPr>
          <w:spacing w:val="-7"/>
          <w:vertAlign w:val="baseline"/>
        </w:rPr>
        <w:t> </w:t>
      </w:r>
      <w:r>
        <w:rPr>
          <w:vertAlign w:val="baseline"/>
        </w:rPr>
        <w:t>contribui</w:t>
      </w:r>
      <w:r>
        <w:rPr>
          <w:spacing w:val="-1"/>
          <w:vertAlign w:val="baseline"/>
        </w:rPr>
        <w:t> </w:t>
      </w:r>
      <w:r>
        <w:rPr>
          <w:vertAlign w:val="baseline"/>
        </w:rPr>
        <w:t>para</w:t>
      </w:r>
      <w:r>
        <w:rPr>
          <w:spacing w:val="-7"/>
          <w:vertAlign w:val="baseline"/>
        </w:rPr>
        <w:t> </w:t>
      </w:r>
      <w:r>
        <w:rPr>
          <w:vertAlign w:val="baseline"/>
        </w:rPr>
        <w:t>aumento</w:t>
      </w:r>
      <w:r>
        <w:rPr>
          <w:spacing w:val="-5"/>
          <w:vertAlign w:val="baseline"/>
        </w:rPr>
        <w:t> </w:t>
      </w:r>
      <w:r>
        <w:rPr>
          <w:vertAlign w:val="baseline"/>
        </w:rPr>
        <w:t>de</w:t>
      </w:r>
      <w:r>
        <w:rPr>
          <w:spacing w:val="-7"/>
          <w:vertAlign w:val="baseline"/>
        </w:rPr>
        <w:t> </w:t>
      </w:r>
      <w:r>
        <w:rPr>
          <w:vertAlign w:val="baseline"/>
        </w:rPr>
        <w:t>risco</w:t>
      </w:r>
      <w:r>
        <w:rPr>
          <w:spacing w:val="-5"/>
          <w:vertAlign w:val="baseline"/>
        </w:rPr>
        <w:t> </w:t>
      </w:r>
      <w:r>
        <w:rPr>
          <w:vertAlign w:val="baseline"/>
        </w:rPr>
        <w:t>de</w:t>
      </w:r>
      <w:r>
        <w:rPr>
          <w:spacing w:val="-7"/>
          <w:vertAlign w:val="baseline"/>
        </w:rPr>
        <w:t> </w:t>
      </w:r>
      <w:r>
        <w:rPr>
          <w:vertAlign w:val="baseline"/>
        </w:rPr>
        <w:t>IAM recorrente</w:t>
      </w:r>
      <w:r>
        <w:rPr>
          <w:spacing w:val="-7"/>
          <w:vertAlign w:val="baseline"/>
        </w:rPr>
        <w:t> </w:t>
      </w:r>
      <w:r>
        <w:rPr>
          <w:vertAlign w:val="baseline"/>
        </w:rPr>
        <w:t>em</w:t>
      </w:r>
      <w:r>
        <w:rPr>
          <w:spacing w:val="-5"/>
          <w:vertAlign w:val="baseline"/>
        </w:rPr>
        <w:t> </w:t>
      </w:r>
      <w:r>
        <w:rPr>
          <w:vertAlign w:val="baseline"/>
        </w:rPr>
        <w:t>pacientes com</w:t>
      </w:r>
      <w:r>
        <w:rPr>
          <w:spacing w:val="-5"/>
          <w:vertAlign w:val="baseline"/>
        </w:rPr>
        <w:t> </w:t>
      </w:r>
      <w:r>
        <w:rPr>
          <w:vertAlign w:val="baseline"/>
        </w:rPr>
        <w:t>DAC. O tratamento de hipertensão arterial é importante estratégia de prevenção primária e secundária.</w:t>
      </w:r>
      <w:r>
        <w:rPr>
          <w:vertAlign w:val="superscript"/>
        </w:rPr>
        <w:t>28</w:t>
      </w:r>
      <w:r>
        <w:rPr>
          <w:vertAlign w:val="baseline"/>
        </w:rPr>
        <w:t> Vários estudos em pacientes coronarianos com</w:t>
      </w:r>
      <w:r>
        <w:rPr>
          <w:spacing w:val="-5"/>
          <w:vertAlign w:val="baseline"/>
        </w:rPr>
        <w:t> </w:t>
      </w:r>
      <w:r>
        <w:rPr>
          <w:vertAlign w:val="baseline"/>
        </w:rPr>
        <w:t>drogas redutoras de</w:t>
      </w:r>
      <w:r>
        <w:rPr>
          <w:spacing w:val="-8"/>
          <w:vertAlign w:val="baseline"/>
        </w:rPr>
        <w:t> </w:t>
      </w:r>
      <w:r>
        <w:rPr>
          <w:vertAlign w:val="baseline"/>
        </w:rPr>
        <w:t>pressão</w:t>
      </w:r>
      <w:r>
        <w:rPr>
          <w:spacing w:val="-5"/>
          <w:vertAlign w:val="baseline"/>
        </w:rPr>
        <w:t> </w:t>
      </w:r>
      <w:r>
        <w:rPr>
          <w:vertAlign w:val="baseline"/>
        </w:rPr>
        <w:t>arterial, principalmente</w:t>
      </w:r>
      <w:r>
        <w:rPr>
          <w:spacing w:val="-8"/>
          <w:vertAlign w:val="baseline"/>
        </w:rPr>
        <w:t> </w:t>
      </w:r>
      <w:r>
        <w:rPr>
          <w:vertAlign w:val="baseline"/>
        </w:rPr>
        <w:t>com</w:t>
      </w:r>
      <w:r>
        <w:rPr>
          <w:spacing w:val="-5"/>
          <w:vertAlign w:val="baseline"/>
        </w:rPr>
        <w:t> </w:t>
      </w:r>
      <w:r>
        <w:rPr>
          <w:vertAlign w:val="baseline"/>
        </w:rPr>
        <w:t>betabloqueadores e</w:t>
      </w:r>
      <w:r>
        <w:rPr>
          <w:spacing w:val="-8"/>
          <w:vertAlign w:val="baseline"/>
        </w:rPr>
        <w:t> </w:t>
      </w:r>
      <w:r>
        <w:rPr>
          <w:vertAlign w:val="baseline"/>
        </w:rPr>
        <w:t>inibidores da enzima conversora de angiotensina (IECA), particularmente após IAM, demonstraram redução em IAM recorrente e na mortalidade global.</w:t>
      </w:r>
      <w:r>
        <w:rPr>
          <w:vertAlign w:val="superscript"/>
        </w:rPr>
        <w:t>42</w:t>
      </w:r>
      <w:r>
        <w:rPr>
          <w:vertAlign w:val="baseline"/>
        </w:rPr>
        <w:t> Do mesmo modo, o tratamento da hipertensão arterial se mostra como importante redutor na incidência de AVC fatal ou não. Recomendações nacionais e internacionais propõem tratar pacientes com doença aterosclerótica instalada visando a uma pressão arterial inferior a 140/90 mmHg. Em indivíduos assintomáticos, existe consenso entre todas as recomendações de que a decisão de iniciar tratamento medicamentoso depende tanto do nível de pressão arterial como do risco global de DCV ou DAC, bem como da existência</w:t>
      </w:r>
      <w:r>
        <w:rPr>
          <w:spacing w:val="-3"/>
          <w:vertAlign w:val="baseline"/>
        </w:rPr>
        <w:t> </w:t>
      </w:r>
      <w:r>
        <w:rPr>
          <w:vertAlign w:val="baseline"/>
        </w:rPr>
        <w:t>de</w:t>
      </w:r>
      <w:r>
        <w:rPr>
          <w:spacing w:val="-3"/>
          <w:vertAlign w:val="baseline"/>
        </w:rPr>
        <w:t> </w:t>
      </w:r>
      <w:r>
        <w:rPr>
          <w:vertAlign w:val="baseline"/>
        </w:rPr>
        <w:t>DCV</w:t>
      </w:r>
      <w:r>
        <w:rPr>
          <w:spacing w:val="-3"/>
          <w:vertAlign w:val="baseline"/>
        </w:rPr>
        <w:t> </w:t>
      </w:r>
      <w:r>
        <w:rPr>
          <w:vertAlign w:val="baseline"/>
        </w:rPr>
        <w:t>subclínica</w:t>
      </w:r>
      <w:r>
        <w:rPr>
          <w:spacing w:val="-3"/>
          <w:vertAlign w:val="baseline"/>
        </w:rPr>
        <w:t> </w:t>
      </w:r>
      <w:r>
        <w:rPr>
          <w:vertAlign w:val="baseline"/>
        </w:rPr>
        <w:t>ou lesão em órgãos-alvo.</w:t>
      </w:r>
      <w:r>
        <w:rPr>
          <w:vertAlign w:val="superscript"/>
        </w:rPr>
        <w:t>28</w:t>
      </w:r>
      <w:r>
        <w:rPr>
          <w:vertAlign w:val="baseline"/>
        </w:rPr>
        <w:t> A</w:t>
      </w:r>
      <w:r>
        <w:rPr>
          <w:spacing w:val="-1"/>
          <w:vertAlign w:val="baseline"/>
        </w:rPr>
        <w:t> </w:t>
      </w:r>
      <w:r>
        <w:rPr>
          <w:vertAlign w:val="baseline"/>
        </w:rPr>
        <w:t>ocorrência</w:t>
      </w:r>
      <w:r>
        <w:rPr>
          <w:spacing w:val="-1"/>
          <w:vertAlign w:val="baseline"/>
        </w:rPr>
        <w:t> </w:t>
      </w:r>
      <w:r>
        <w:rPr>
          <w:vertAlign w:val="baseline"/>
        </w:rPr>
        <w:t>de</w:t>
      </w:r>
      <w:r>
        <w:rPr>
          <w:spacing w:val="-1"/>
          <w:vertAlign w:val="baseline"/>
        </w:rPr>
        <w:t> </w:t>
      </w:r>
      <w:r>
        <w:rPr>
          <w:vertAlign w:val="baseline"/>
        </w:rPr>
        <w:t>marcadores, como hipertrofia</w:t>
      </w:r>
      <w:r>
        <w:rPr>
          <w:spacing w:val="-1"/>
          <w:vertAlign w:val="baseline"/>
        </w:rPr>
        <w:t> </w:t>
      </w:r>
      <w:r>
        <w:rPr>
          <w:vertAlign w:val="baseline"/>
        </w:rPr>
        <w:t>ventricular esquerda, redução da taxa de filtração glomerular, proteinúria e alterações ao exame de fundo de olho, como hemorragia ou exsudatos, está associada a aumento de risco independentemente do nível de pressão arterial. A existência de microalbuminúria, tanto em diabéticos como não diabéticos, também se relaciona com pior prognóstico.</w:t>
      </w:r>
      <w:r>
        <w:rPr>
          <w:vertAlign w:val="superscript"/>
        </w:rPr>
        <w:t>28</w:t>
      </w:r>
      <w:r>
        <w:rPr>
          <w:vertAlign w:val="baseline"/>
        </w:rPr>
        <w:t> A</w:t>
      </w:r>
      <w:r>
        <w:rPr>
          <w:spacing w:val="-2"/>
          <w:vertAlign w:val="baseline"/>
        </w:rPr>
        <w:t> </w:t>
      </w:r>
      <w:r>
        <w:rPr>
          <w:vertAlign w:val="baseline"/>
        </w:rPr>
        <w:t>pressão arterial sistólica</w:t>
      </w:r>
      <w:r>
        <w:rPr>
          <w:spacing w:val="-1"/>
          <w:vertAlign w:val="baseline"/>
        </w:rPr>
        <w:t> </w:t>
      </w:r>
      <w:r>
        <w:rPr>
          <w:vertAlign w:val="baseline"/>
        </w:rPr>
        <w:t>tem sido definida</w:t>
      </w:r>
      <w:r>
        <w:rPr>
          <w:spacing w:val="-1"/>
          <w:vertAlign w:val="baseline"/>
        </w:rPr>
        <w:t> </w:t>
      </w:r>
      <w:r>
        <w:rPr>
          <w:vertAlign w:val="baseline"/>
        </w:rPr>
        <w:t>como preditor de</w:t>
      </w:r>
      <w:r>
        <w:rPr>
          <w:spacing w:val="-1"/>
          <w:vertAlign w:val="baseline"/>
        </w:rPr>
        <w:t> </w:t>
      </w:r>
      <w:r>
        <w:rPr>
          <w:vertAlign w:val="baseline"/>
        </w:rPr>
        <w:t>risco mais forte</w:t>
      </w:r>
      <w:r>
        <w:rPr>
          <w:spacing w:val="-1"/>
          <w:vertAlign w:val="baseline"/>
        </w:rPr>
        <w:t> </w:t>
      </w:r>
      <w:r>
        <w:rPr>
          <w:vertAlign w:val="baseline"/>
        </w:rPr>
        <w:t>que</w:t>
      </w:r>
      <w:r>
        <w:rPr>
          <w:spacing w:val="-1"/>
          <w:vertAlign w:val="baseline"/>
        </w:rPr>
        <w:t> </w:t>
      </w:r>
      <w:r>
        <w:rPr>
          <w:vertAlign w:val="baseline"/>
        </w:rPr>
        <w:t>a</w:t>
      </w:r>
      <w:r>
        <w:rPr>
          <w:spacing w:val="-1"/>
          <w:vertAlign w:val="baseline"/>
        </w:rPr>
        <w:t> </w:t>
      </w:r>
      <w:r>
        <w:rPr>
          <w:vertAlign w:val="baseline"/>
        </w:rPr>
        <w:t>diastólica, com evidências em</w:t>
      </w:r>
      <w:r>
        <w:rPr>
          <w:spacing w:val="-6"/>
          <w:vertAlign w:val="baseline"/>
        </w:rPr>
        <w:t> </w:t>
      </w:r>
      <w:r>
        <w:rPr>
          <w:vertAlign w:val="baseline"/>
        </w:rPr>
        <w:t>recentes estudos da</w:t>
      </w:r>
      <w:r>
        <w:rPr>
          <w:spacing w:val="-9"/>
          <w:vertAlign w:val="baseline"/>
        </w:rPr>
        <w:t> </w:t>
      </w:r>
      <w:r>
        <w:rPr>
          <w:vertAlign w:val="baseline"/>
        </w:rPr>
        <w:t>importância</w:t>
      </w:r>
      <w:r>
        <w:rPr>
          <w:spacing w:val="-9"/>
          <w:vertAlign w:val="baseline"/>
        </w:rPr>
        <w:t> </w:t>
      </w:r>
      <w:r>
        <w:rPr>
          <w:vertAlign w:val="baseline"/>
        </w:rPr>
        <w:t>do</w:t>
      </w:r>
      <w:r>
        <w:rPr>
          <w:spacing w:val="-6"/>
          <w:vertAlign w:val="baseline"/>
        </w:rPr>
        <w:t> </w:t>
      </w:r>
      <w:r>
        <w:rPr>
          <w:vertAlign w:val="baseline"/>
        </w:rPr>
        <w:t>controle</w:t>
      </w:r>
      <w:r>
        <w:rPr>
          <w:spacing w:val="-9"/>
          <w:vertAlign w:val="baseline"/>
        </w:rPr>
        <w:t> </w:t>
      </w:r>
      <w:r>
        <w:rPr>
          <w:vertAlign w:val="baseline"/>
        </w:rPr>
        <w:t>da</w:t>
      </w:r>
      <w:r>
        <w:rPr>
          <w:spacing w:val="-9"/>
          <w:vertAlign w:val="baseline"/>
        </w:rPr>
        <w:t> </w:t>
      </w:r>
      <w:r>
        <w:rPr>
          <w:vertAlign w:val="baseline"/>
        </w:rPr>
        <w:t>hipertensão</w:t>
      </w:r>
      <w:r>
        <w:rPr>
          <w:spacing w:val="-6"/>
          <w:vertAlign w:val="baseline"/>
        </w:rPr>
        <w:t> </w:t>
      </w:r>
      <w:r>
        <w:rPr>
          <w:vertAlign w:val="baseline"/>
        </w:rPr>
        <w:t>sistólica</w:t>
      </w:r>
      <w:r>
        <w:rPr>
          <w:spacing w:val="-9"/>
          <w:vertAlign w:val="baseline"/>
        </w:rPr>
        <w:t> </w:t>
      </w:r>
      <w:r>
        <w:rPr>
          <w:vertAlign w:val="baseline"/>
        </w:rPr>
        <w:t>isolada</w:t>
      </w:r>
      <w:r>
        <w:rPr>
          <w:spacing w:val="-9"/>
          <w:vertAlign w:val="baseline"/>
        </w:rPr>
        <w:t> </w:t>
      </w:r>
      <w:r>
        <w:rPr>
          <w:vertAlign w:val="baseline"/>
        </w:rPr>
        <w:t>na</w:t>
      </w:r>
      <w:r>
        <w:rPr>
          <w:spacing w:val="-9"/>
          <w:vertAlign w:val="baseline"/>
        </w:rPr>
        <w:t> </w:t>
      </w:r>
      <w:r>
        <w:rPr>
          <w:vertAlign w:val="baseline"/>
        </w:rPr>
        <w:t>prevenção</w:t>
      </w:r>
      <w:r>
        <w:rPr>
          <w:spacing w:val="-6"/>
          <w:vertAlign w:val="baseline"/>
        </w:rPr>
        <w:t> </w:t>
      </w:r>
      <w:r>
        <w:rPr>
          <w:vertAlign w:val="baseline"/>
        </w:rPr>
        <w:t>de</w:t>
      </w:r>
      <w:r>
        <w:rPr>
          <w:spacing w:val="-9"/>
          <w:vertAlign w:val="baseline"/>
        </w:rPr>
        <w:t> </w:t>
      </w:r>
      <w:r>
        <w:rPr>
          <w:vertAlign w:val="baseline"/>
        </w:rPr>
        <w:t>eventos, principalmente em indivíduos idosos.</w:t>
      </w:r>
      <w:r>
        <w:rPr>
          <w:vertAlign w:val="superscript"/>
        </w:rPr>
        <w:t>28</w:t>
      </w:r>
    </w:p>
    <w:p>
      <w:pPr>
        <w:pStyle w:val="BodyText"/>
        <w:spacing w:line="280" w:lineRule="auto" w:before="73"/>
        <w:ind w:right="497"/>
      </w:pPr>
      <w:r>
        <w:rPr/>
        <w:t>As metas de pressão arterial a serem alcançadas ainda não foram bem definidas por estudos randomizados, porém o risco de eventos cresce substancialmente de acordo com níveis progressivamente maiores de pressão arterial. Metas fixadas em nosso país pelas Diretrizes de Hipertensão Arterial da Sociedade Brasileira de Cardiologia são no mínimo para valores inferiores a 140/90 mmHg.</w:t>
      </w:r>
      <w:r>
        <w:rPr>
          <w:vertAlign w:val="superscript"/>
        </w:rPr>
        <w:t>43</w:t>
      </w:r>
      <w:r>
        <w:rPr>
          <w:vertAlign w:val="baseline"/>
        </w:rPr>
        <w:t> Reduções para níveis inferiores a 130/85 mmHg propiciam maior benefício em pacientes de alto risco cardiovascular, diabéticos em especial com microalbuminúria, com insuficiência</w:t>
      </w:r>
      <w:r>
        <w:rPr>
          <w:spacing w:val="-3"/>
          <w:vertAlign w:val="baseline"/>
        </w:rPr>
        <w:t> </w:t>
      </w:r>
      <w:r>
        <w:rPr>
          <w:vertAlign w:val="baseline"/>
        </w:rPr>
        <w:t>cardíaca, com nefropatia</w:t>
      </w:r>
      <w:r>
        <w:rPr>
          <w:spacing w:val="-3"/>
          <w:vertAlign w:val="baseline"/>
        </w:rPr>
        <w:t> </w:t>
      </w:r>
      <w:r>
        <w:rPr>
          <w:vertAlign w:val="baseline"/>
        </w:rPr>
        <w:t>e</w:t>
      </w:r>
      <w:r>
        <w:rPr>
          <w:spacing w:val="-3"/>
          <w:vertAlign w:val="baseline"/>
        </w:rPr>
        <w:t> </w:t>
      </w:r>
      <w:r>
        <w:rPr>
          <w:vertAlign w:val="baseline"/>
        </w:rPr>
        <w:t>na</w:t>
      </w:r>
      <w:r>
        <w:rPr>
          <w:spacing w:val="-3"/>
          <w:vertAlign w:val="baseline"/>
        </w:rPr>
        <w:t> </w:t>
      </w:r>
      <w:r>
        <w:rPr>
          <w:vertAlign w:val="baseline"/>
        </w:rPr>
        <w:t>prevenção primária</w:t>
      </w:r>
      <w:r>
        <w:rPr>
          <w:spacing w:val="-3"/>
          <w:vertAlign w:val="baseline"/>
        </w:rPr>
        <w:t> </w:t>
      </w:r>
      <w:r>
        <w:rPr>
          <w:vertAlign w:val="baseline"/>
        </w:rPr>
        <w:t>e</w:t>
      </w:r>
      <w:r>
        <w:rPr>
          <w:spacing w:val="-3"/>
          <w:vertAlign w:val="baseline"/>
        </w:rPr>
        <w:t> </w:t>
      </w:r>
      <w:r>
        <w:rPr>
          <w:vertAlign w:val="baseline"/>
        </w:rPr>
        <w:t>secundária</w:t>
      </w:r>
      <w:r>
        <w:rPr>
          <w:spacing w:val="-3"/>
          <w:vertAlign w:val="baseline"/>
        </w:rPr>
        <w:t> </w:t>
      </w:r>
      <w:r>
        <w:rPr>
          <w:vertAlign w:val="baseline"/>
        </w:rPr>
        <w:t>de</w:t>
      </w:r>
      <w:r>
        <w:rPr>
          <w:spacing w:val="-3"/>
          <w:vertAlign w:val="baseline"/>
        </w:rPr>
        <w:t> </w:t>
      </w:r>
      <w:r>
        <w:rPr>
          <w:vertAlign w:val="baseline"/>
        </w:rPr>
        <w:t>AVC.</w:t>
      </w:r>
      <w:r>
        <w:rPr>
          <w:vertAlign w:val="superscript"/>
        </w:rPr>
        <w:t>44</w:t>
      </w:r>
    </w:p>
    <w:p>
      <w:pPr>
        <w:pStyle w:val="BodyText"/>
        <w:spacing w:line="278" w:lineRule="auto" w:before="50"/>
        <w:ind w:right="488"/>
      </w:pPr>
      <w:r>
        <w:rPr/>
        <w:t>Várias classes de drogas anti-hipertensivas têm demonstrado em estudos randomizados o poder de reduzir a incidência de DAC ou DCV: diuréticos, betabloqueadores, antagonistas de cálcio, IECA ou antagonistas de receptores de</w:t>
      </w:r>
      <w:r>
        <w:rPr>
          <w:spacing w:val="-6"/>
        </w:rPr>
        <w:t> </w:t>
      </w:r>
      <w:r>
        <w:rPr/>
        <w:t>angiotensina. O</w:t>
      </w:r>
      <w:r>
        <w:rPr>
          <w:spacing w:val="-6"/>
        </w:rPr>
        <w:t> </w:t>
      </w:r>
      <w:r>
        <w:rPr/>
        <w:t>ponto</w:t>
      </w:r>
      <w:r>
        <w:rPr>
          <w:spacing w:val="-3"/>
        </w:rPr>
        <w:t> </w:t>
      </w:r>
      <w:r>
        <w:rPr/>
        <w:t>mais importante</w:t>
      </w:r>
      <w:r>
        <w:rPr>
          <w:spacing w:val="-6"/>
        </w:rPr>
        <w:t> </w:t>
      </w:r>
      <w:r>
        <w:rPr/>
        <w:t>é</w:t>
      </w:r>
      <w:r>
        <w:rPr>
          <w:spacing w:val="-6"/>
        </w:rPr>
        <w:t> </w:t>
      </w:r>
      <w:r>
        <w:rPr/>
        <w:t>que, independentemente</w:t>
      </w:r>
      <w:r>
        <w:rPr>
          <w:spacing w:val="-6"/>
        </w:rPr>
        <w:t> </w:t>
      </w:r>
      <w:r>
        <w:rPr/>
        <w:t>do</w:t>
      </w:r>
      <w:r>
        <w:rPr>
          <w:spacing w:val="-3"/>
        </w:rPr>
        <w:t> </w:t>
      </w:r>
      <w:r>
        <w:rPr/>
        <w:t>fármaco</w:t>
      </w:r>
      <w:r>
        <w:rPr>
          <w:spacing w:val="-3"/>
        </w:rPr>
        <w:t> </w:t>
      </w:r>
      <w:r>
        <w:rPr/>
        <w:t>escolhido, o</w:t>
      </w:r>
      <w:r>
        <w:rPr>
          <w:spacing w:val="-3"/>
        </w:rPr>
        <w:t> </w:t>
      </w:r>
      <w:r>
        <w:rPr/>
        <w:t>tratamento deve</w:t>
      </w:r>
      <w:r>
        <w:rPr>
          <w:spacing w:val="-9"/>
        </w:rPr>
        <w:t> </w:t>
      </w:r>
      <w:r>
        <w:rPr/>
        <w:t>ser</w:t>
      </w:r>
      <w:r>
        <w:rPr>
          <w:spacing w:val="-1"/>
        </w:rPr>
        <w:t> </w:t>
      </w:r>
      <w:r>
        <w:rPr/>
        <w:t>contínuo</w:t>
      </w:r>
      <w:r>
        <w:rPr>
          <w:spacing w:val="-6"/>
        </w:rPr>
        <w:t> </w:t>
      </w:r>
      <w:r>
        <w:rPr/>
        <w:t>e</w:t>
      </w:r>
      <w:r>
        <w:rPr>
          <w:spacing w:val="-9"/>
        </w:rPr>
        <w:t> </w:t>
      </w:r>
      <w:r>
        <w:rPr/>
        <w:t>eficaz</w:t>
      </w:r>
      <w:r>
        <w:rPr>
          <w:spacing w:val="-9"/>
        </w:rPr>
        <w:t> </w:t>
      </w:r>
      <w:r>
        <w:rPr/>
        <w:t>para</w:t>
      </w:r>
      <w:r>
        <w:rPr>
          <w:spacing w:val="-9"/>
        </w:rPr>
        <w:t> </w:t>
      </w:r>
      <w:r>
        <w:rPr/>
        <w:t>se</w:t>
      </w:r>
      <w:r>
        <w:rPr>
          <w:spacing w:val="-9"/>
        </w:rPr>
        <w:t> </w:t>
      </w:r>
      <w:r>
        <w:rPr/>
        <w:t>alcançarem</w:t>
      </w:r>
      <w:r>
        <w:rPr>
          <w:spacing w:val="-6"/>
        </w:rPr>
        <w:t> </w:t>
      </w:r>
      <w:r>
        <w:rPr/>
        <w:t>as metas preconizadas. Porém, os resultados ainda</w:t>
      </w:r>
      <w:r>
        <w:rPr>
          <w:spacing w:val="-9"/>
        </w:rPr>
        <w:t> </w:t>
      </w:r>
      <w:r>
        <w:rPr/>
        <w:t>são</w:t>
      </w:r>
      <w:r>
        <w:rPr>
          <w:spacing w:val="-6"/>
        </w:rPr>
        <w:t> </w:t>
      </w:r>
      <w:r>
        <w:rPr/>
        <w:t>limitados, pois estudos demonstram que apenas 34% estão com pressão arterial bem controlada e 25% estão medicados, mas sem controle efetivo.</w:t>
      </w:r>
      <w:r>
        <w:rPr>
          <w:vertAlign w:val="superscript"/>
        </w:rPr>
        <w:t>42</w:t>
      </w:r>
    </w:p>
    <w:p>
      <w:pPr>
        <w:pStyle w:val="BodyText"/>
        <w:spacing w:before="186"/>
        <w:ind w:left="0" w:firstLine="0"/>
        <w:jc w:val="left"/>
      </w:pPr>
    </w:p>
    <w:p>
      <w:pPr>
        <w:pStyle w:val="Heading4"/>
      </w:pPr>
      <w:r>
        <w:rPr>
          <w:color w:val="242B67"/>
          <w:spacing w:val="-2"/>
        </w:rPr>
        <w:t>Dislipidemia</w:t>
      </w:r>
    </w:p>
    <w:p>
      <w:pPr>
        <w:pStyle w:val="BodyText"/>
        <w:spacing w:line="280" w:lineRule="auto" w:before="148"/>
        <w:ind w:right="497"/>
      </w:pPr>
      <w:r>
        <w:rPr/>
        <w:t>Apesar de</w:t>
      </w:r>
      <w:r>
        <w:rPr>
          <w:spacing w:val="-2"/>
        </w:rPr>
        <w:t> </w:t>
      </w:r>
      <w:r>
        <w:rPr/>
        <w:t>evidências bem definidas sobre</w:t>
      </w:r>
      <w:r>
        <w:rPr>
          <w:spacing w:val="-2"/>
        </w:rPr>
        <w:t> </w:t>
      </w:r>
      <w:r>
        <w:rPr/>
        <w:t>orientação nutricional e</w:t>
      </w:r>
      <w:r>
        <w:rPr>
          <w:spacing w:val="-2"/>
        </w:rPr>
        <w:t> </w:t>
      </w:r>
      <w:r>
        <w:rPr/>
        <w:t>efetiva</w:t>
      </w:r>
      <w:r>
        <w:rPr>
          <w:spacing w:val="-2"/>
        </w:rPr>
        <w:t> </w:t>
      </w:r>
      <w:r>
        <w:rPr/>
        <w:t>redução com drogas hipolipemiantes atuais, estima-se</w:t>
      </w:r>
      <w:r>
        <w:rPr>
          <w:spacing w:val="-7"/>
        </w:rPr>
        <w:t> </w:t>
      </w:r>
      <w:r>
        <w:rPr/>
        <w:t>que</w:t>
      </w:r>
      <w:r>
        <w:rPr>
          <w:spacing w:val="-7"/>
        </w:rPr>
        <w:t> </w:t>
      </w:r>
      <w:r>
        <w:rPr/>
        <w:t>mais de</w:t>
      </w:r>
      <w:r>
        <w:rPr>
          <w:spacing w:val="-7"/>
        </w:rPr>
        <w:t> </w:t>
      </w:r>
      <w:r>
        <w:rPr/>
        <w:t>50%</w:t>
      </w:r>
      <w:r>
        <w:rPr>
          <w:spacing w:val="-1"/>
        </w:rPr>
        <w:t> </w:t>
      </w:r>
      <w:r>
        <w:rPr/>
        <w:t>da</w:t>
      </w:r>
      <w:r>
        <w:rPr>
          <w:spacing w:val="-7"/>
        </w:rPr>
        <w:t> </w:t>
      </w:r>
      <w:r>
        <w:rPr/>
        <w:t>população</w:t>
      </w:r>
      <w:r>
        <w:rPr>
          <w:spacing w:val="-4"/>
        </w:rPr>
        <w:t> </w:t>
      </w:r>
      <w:r>
        <w:rPr/>
        <w:t>mundial</w:t>
      </w:r>
      <w:r>
        <w:rPr>
          <w:spacing w:val="-1"/>
        </w:rPr>
        <w:t> </w:t>
      </w:r>
      <w:r>
        <w:rPr/>
        <w:t>tenha</w:t>
      </w:r>
      <w:r>
        <w:rPr>
          <w:spacing w:val="-7"/>
        </w:rPr>
        <w:t> </w:t>
      </w:r>
      <w:r>
        <w:rPr/>
        <w:t>valores acima</w:t>
      </w:r>
      <w:r>
        <w:rPr>
          <w:spacing w:val="-7"/>
        </w:rPr>
        <w:t> </w:t>
      </w:r>
      <w:r>
        <w:rPr/>
        <w:t>de</w:t>
      </w:r>
      <w:r>
        <w:rPr>
          <w:spacing w:val="-7"/>
        </w:rPr>
        <w:t> </w:t>
      </w:r>
      <w:r>
        <w:rPr/>
        <w:t>200</w:t>
      </w:r>
      <w:r>
        <w:rPr>
          <w:spacing w:val="-4"/>
        </w:rPr>
        <w:t> </w:t>
      </w:r>
      <w:r>
        <w:rPr/>
        <w:t>mg/d</w:t>
      </w:r>
      <w:r>
        <w:rPr>
          <w:i/>
        </w:rPr>
        <w:t>ℓ </w:t>
      </w:r>
      <w:r>
        <w:rPr/>
        <w:t>de</w:t>
      </w:r>
      <w:r>
        <w:rPr>
          <w:spacing w:val="-4"/>
        </w:rPr>
        <w:t> </w:t>
      </w:r>
      <w:r>
        <w:rPr/>
        <w:t>colesterol e</w:t>
      </w:r>
      <w:r>
        <w:rPr>
          <w:spacing w:val="-4"/>
        </w:rPr>
        <w:t> </w:t>
      </w:r>
      <w:r>
        <w:rPr/>
        <w:t>cerca</w:t>
      </w:r>
      <w:r>
        <w:rPr>
          <w:spacing w:val="-4"/>
        </w:rPr>
        <w:t> </w:t>
      </w:r>
      <w:r>
        <w:rPr/>
        <w:t>de 45% com valores de</w:t>
      </w:r>
      <w:r>
        <w:rPr>
          <w:spacing w:val="-2"/>
        </w:rPr>
        <w:t> </w:t>
      </w:r>
      <w:r>
        <w:rPr/>
        <w:t>LDL-colesterol superiores 130 mg/d</w:t>
      </w:r>
      <w:r>
        <w:rPr>
          <w:i/>
        </w:rPr>
        <w:t>ℓ</w:t>
      </w:r>
      <w:r>
        <w:rPr/>
        <w:t>.</w:t>
      </w:r>
      <w:r>
        <w:rPr>
          <w:vertAlign w:val="superscript"/>
        </w:rPr>
        <w:t>44</w:t>
      </w:r>
      <w:r>
        <w:rPr>
          <w:vertAlign w:val="baseline"/>
        </w:rPr>
        <w:t> Com o crescente</w:t>
      </w:r>
      <w:r>
        <w:rPr>
          <w:spacing w:val="-1"/>
          <w:vertAlign w:val="baseline"/>
        </w:rPr>
        <w:t> </w:t>
      </w:r>
      <w:r>
        <w:rPr>
          <w:vertAlign w:val="baseline"/>
        </w:rPr>
        <w:t>aumento de</w:t>
      </w:r>
      <w:r>
        <w:rPr>
          <w:spacing w:val="-1"/>
          <w:vertAlign w:val="baseline"/>
        </w:rPr>
        <w:t> </w:t>
      </w:r>
      <w:r>
        <w:rPr>
          <w:vertAlign w:val="baseline"/>
        </w:rPr>
        <w:t>incidência</w:t>
      </w:r>
      <w:r>
        <w:rPr>
          <w:spacing w:val="-1"/>
          <w:vertAlign w:val="baseline"/>
        </w:rPr>
        <w:t> </w:t>
      </w:r>
      <w:r>
        <w:rPr>
          <w:vertAlign w:val="baseline"/>
        </w:rPr>
        <w:t>da</w:t>
      </w:r>
      <w:r>
        <w:rPr>
          <w:spacing w:val="-1"/>
          <w:vertAlign w:val="baseline"/>
        </w:rPr>
        <w:t> </w:t>
      </w:r>
      <w:r>
        <w:rPr>
          <w:vertAlign w:val="baseline"/>
        </w:rPr>
        <w:t>obesidade em crianças e adolescentes, cerca de 10% deles, entre 12 e 19 anos de idade, apresentam níveis de colesterol superiores a</w:t>
      </w:r>
      <w:r>
        <w:rPr>
          <w:spacing w:val="-4"/>
          <w:vertAlign w:val="baseline"/>
        </w:rPr>
        <w:t> </w:t>
      </w:r>
      <w:r>
        <w:rPr>
          <w:vertAlign w:val="baseline"/>
        </w:rPr>
        <w:t>200</w:t>
      </w:r>
      <w:r>
        <w:rPr>
          <w:spacing w:val="-1"/>
          <w:vertAlign w:val="baseline"/>
        </w:rPr>
        <w:t> </w:t>
      </w:r>
      <w:r>
        <w:rPr>
          <w:vertAlign w:val="baseline"/>
        </w:rPr>
        <w:t>mg/d</w:t>
      </w:r>
      <w:r>
        <w:rPr>
          <w:i/>
          <w:vertAlign w:val="baseline"/>
        </w:rPr>
        <w:t>ℓ</w:t>
      </w:r>
      <w:r>
        <w:rPr>
          <w:vertAlign w:val="baseline"/>
        </w:rPr>
        <w:t>.</w:t>
      </w:r>
      <w:r>
        <w:rPr>
          <w:vertAlign w:val="superscript"/>
        </w:rPr>
        <w:t>44</w:t>
      </w:r>
      <w:r>
        <w:rPr>
          <w:vertAlign w:val="baseline"/>
        </w:rPr>
        <w:t> Níveis elevados de</w:t>
      </w:r>
      <w:r>
        <w:rPr>
          <w:spacing w:val="-1"/>
          <w:vertAlign w:val="baseline"/>
        </w:rPr>
        <w:t> </w:t>
      </w:r>
      <w:r>
        <w:rPr>
          <w:vertAlign w:val="baseline"/>
        </w:rPr>
        <w:t>colesterol, principalmente</w:t>
      </w:r>
      <w:r>
        <w:rPr>
          <w:spacing w:val="-1"/>
          <w:vertAlign w:val="baseline"/>
        </w:rPr>
        <w:t> </w:t>
      </w:r>
      <w:r>
        <w:rPr>
          <w:vertAlign w:val="baseline"/>
        </w:rPr>
        <w:t>de</w:t>
      </w:r>
      <w:r>
        <w:rPr>
          <w:spacing w:val="-1"/>
          <w:vertAlign w:val="baseline"/>
        </w:rPr>
        <w:t> </w:t>
      </w:r>
      <w:r>
        <w:rPr>
          <w:vertAlign w:val="baseline"/>
        </w:rPr>
        <w:t>sua</w:t>
      </w:r>
      <w:r>
        <w:rPr>
          <w:spacing w:val="-1"/>
          <w:vertAlign w:val="baseline"/>
        </w:rPr>
        <w:t> </w:t>
      </w:r>
      <w:r>
        <w:rPr>
          <w:vertAlign w:val="baseline"/>
        </w:rPr>
        <w:t>fração LDL, têm sido reconhecidos como</w:t>
      </w:r>
      <w:r>
        <w:rPr>
          <w:spacing w:val="-6"/>
          <w:vertAlign w:val="baseline"/>
        </w:rPr>
        <w:t> </w:t>
      </w:r>
      <w:r>
        <w:rPr>
          <w:vertAlign w:val="baseline"/>
        </w:rPr>
        <w:t>fatores de</w:t>
      </w:r>
      <w:r>
        <w:rPr>
          <w:spacing w:val="-8"/>
          <w:vertAlign w:val="baseline"/>
        </w:rPr>
        <w:t> </w:t>
      </w:r>
      <w:r>
        <w:rPr>
          <w:vertAlign w:val="baseline"/>
        </w:rPr>
        <w:t>risco</w:t>
      </w:r>
      <w:r>
        <w:rPr>
          <w:spacing w:val="-6"/>
          <w:vertAlign w:val="baseline"/>
        </w:rPr>
        <w:t> </w:t>
      </w:r>
      <w:r>
        <w:rPr>
          <w:vertAlign w:val="baseline"/>
        </w:rPr>
        <w:t>importantes e</w:t>
      </w:r>
      <w:r>
        <w:rPr>
          <w:spacing w:val="-8"/>
          <w:vertAlign w:val="baseline"/>
        </w:rPr>
        <w:t> </w:t>
      </w:r>
      <w:r>
        <w:rPr>
          <w:vertAlign w:val="baseline"/>
        </w:rPr>
        <w:t>independentes para</w:t>
      </w:r>
      <w:r>
        <w:rPr>
          <w:spacing w:val="-8"/>
          <w:vertAlign w:val="baseline"/>
        </w:rPr>
        <w:t> </w:t>
      </w:r>
      <w:r>
        <w:rPr>
          <w:vertAlign w:val="baseline"/>
        </w:rPr>
        <w:t>DAC e, em</w:t>
      </w:r>
      <w:r>
        <w:rPr>
          <w:spacing w:val="-6"/>
          <w:vertAlign w:val="baseline"/>
        </w:rPr>
        <w:t> </w:t>
      </w:r>
      <w:r>
        <w:rPr>
          <w:vertAlign w:val="baseline"/>
        </w:rPr>
        <w:t>menor</w:t>
      </w:r>
      <w:r>
        <w:rPr>
          <w:spacing w:val="-1"/>
          <w:vertAlign w:val="baseline"/>
        </w:rPr>
        <w:t> </w:t>
      </w:r>
      <w:r>
        <w:rPr>
          <w:vertAlign w:val="baseline"/>
        </w:rPr>
        <w:t>intensidade, para</w:t>
      </w:r>
      <w:r>
        <w:rPr>
          <w:spacing w:val="-8"/>
          <w:vertAlign w:val="baseline"/>
        </w:rPr>
        <w:t> </w:t>
      </w:r>
      <w:r>
        <w:rPr>
          <w:vertAlign w:val="baseline"/>
        </w:rPr>
        <w:t>outras DCV. A</w:t>
      </w:r>
      <w:r>
        <w:rPr>
          <w:spacing w:val="-8"/>
          <w:vertAlign w:val="baseline"/>
        </w:rPr>
        <w:t> </w:t>
      </w:r>
      <w:r>
        <w:rPr>
          <w:vertAlign w:val="baseline"/>
        </w:rPr>
        <w:t>relação entre</w:t>
      </w:r>
      <w:r>
        <w:rPr>
          <w:spacing w:val="-11"/>
          <w:vertAlign w:val="baseline"/>
        </w:rPr>
        <w:t> </w:t>
      </w:r>
      <w:r>
        <w:rPr>
          <w:vertAlign w:val="baseline"/>
        </w:rPr>
        <w:t>a</w:t>
      </w:r>
      <w:r>
        <w:rPr>
          <w:spacing w:val="-11"/>
          <w:vertAlign w:val="baseline"/>
        </w:rPr>
        <w:t> </w:t>
      </w:r>
      <w:r>
        <w:rPr>
          <w:vertAlign w:val="baseline"/>
        </w:rPr>
        <w:t>fração</w:t>
      </w:r>
      <w:r>
        <w:rPr>
          <w:spacing w:val="-9"/>
          <w:vertAlign w:val="baseline"/>
        </w:rPr>
        <w:t> </w:t>
      </w:r>
      <w:r>
        <w:rPr>
          <w:vertAlign w:val="baseline"/>
        </w:rPr>
        <w:t>HDL-colesterol</w:t>
      </w:r>
      <w:r>
        <w:rPr>
          <w:spacing w:val="-6"/>
          <w:vertAlign w:val="baseline"/>
        </w:rPr>
        <w:t> </w:t>
      </w:r>
      <w:r>
        <w:rPr>
          <w:vertAlign w:val="baseline"/>
        </w:rPr>
        <w:t>e</w:t>
      </w:r>
      <w:r>
        <w:rPr>
          <w:spacing w:val="-11"/>
          <w:vertAlign w:val="baseline"/>
        </w:rPr>
        <w:t> </w:t>
      </w:r>
      <w:r>
        <w:rPr>
          <w:vertAlign w:val="baseline"/>
        </w:rPr>
        <w:t>triglicerídios</w:t>
      </w:r>
      <w:r>
        <w:rPr>
          <w:spacing w:val="-1"/>
          <w:vertAlign w:val="baseline"/>
        </w:rPr>
        <w:t> </w:t>
      </w:r>
      <w:r>
        <w:rPr>
          <w:vertAlign w:val="baseline"/>
        </w:rPr>
        <w:t>com</w:t>
      </w:r>
      <w:r>
        <w:rPr>
          <w:spacing w:val="-9"/>
          <w:vertAlign w:val="baseline"/>
        </w:rPr>
        <w:t> </w:t>
      </w:r>
      <w:r>
        <w:rPr>
          <w:vertAlign w:val="baseline"/>
        </w:rPr>
        <w:t>doença</w:t>
      </w:r>
      <w:r>
        <w:rPr>
          <w:spacing w:val="-11"/>
          <w:vertAlign w:val="baseline"/>
        </w:rPr>
        <w:t> </w:t>
      </w:r>
      <w:r>
        <w:rPr>
          <w:vertAlign w:val="baseline"/>
        </w:rPr>
        <w:t>aterosclerótica</w:t>
      </w:r>
      <w:r>
        <w:rPr>
          <w:spacing w:val="-11"/>
          <w:vertAlign w:val="baseline"/>
        </w:rPr>
        <w:t> </w:t>
      </w:r>
      <w:r>
        <w:rPr>
          <w:vertAlign w:val="baseline"/>
        </w:rPr>
        <w:t>é</w:t>
      </w:r>
      <w:r>
        <w:rPr>
          <w:spacing w:val="-11"/>
          <w:vertAlign w:val="baseline"/>
        </w:rPr>
        <w:t> </w:t>
      </w:r>
      <w:r>
        <w:rPr>
          <w:vertAlign w:val="baseline"/>
        </w:rPr>
        <w:t>um</w:t>
      </w:r>
      <w:r>
        <w:rPr>
          <w:spacing w:val="-9"/>
          <w:vertAlign w:val="baseline"/>
        </w:rPr>
        <w:t> </w:t>
      </w:r>
      <w:r>
        <w:rPr>
          <w:vertAlign w:val="baseline"/>
        </w:rPr>
        <w:t>pouco</w:t>
      </w:r>
      <w:r>
        <w:rPr>
          <w:spacing w:val="-9"/>
          <w:vertAlign w:val="baseline"/>
        </w:rPr>
        <w:t> </w:t>
      </w:r>
      <w:r>
        <w:rPr>
          <w:vertAlign w:val="baseline"/>
        </w:rPr>
        <w:t>mais</w:t>
      </w:r>
      <w:r>
        <w:rPr>
          <w:spacing w:val="-1"/>
          <w:vertAlign w:val="baseline"/>
        </w:rPr>
        <w:t> </w:t>
      </w:r>
      <w:r>
        <w:rPr>
          <w:vertAlign w:val="baseline"/>
        </w:rPr>
        <w:t>complexa.</w:t>
      </w:r>
      <w:r>
        <w:rPr>
          <w:vertAlign w:val="superscript"/>
        </w:rPr>
        <w:t>28</w:t>
      </w:r>
      <w:r>
        <w:rPr>
          <w:spacing w:val="-2"/>
          <w:vertAlign w:val="baseline"/>
        </w:rPr>
        <w:t> </w:t>
      </w:r>
      <w:r>
        <w:rPr>
          <w:vertAlign w:val="baseline"/>
        </w:rPr>
        <w:t>Assim</w:t>
      </w:r>
      <w:r>
        <w:rPr>
          <w:spacing w:val="-9"/>
          <w:vertAlign w:val="baseline"/>
        </w:rPr>
        <w:t> </w:t>
      </w:r>
      <w:r>
        <w:rPr>
          <w:vertAlign w:val="baseline"/>
        </w:rPr>
        <w:t>como com</w:t>
      </w:r>
      <w:r>
        <w:rPr>
          <w:spacing w:val="-1"/>
          <w:vertAlign w:val="baseline"/>
        </w:rPr>
        <w:t> </w:t>
      </w:r>
      <w:r>
        <w:rPr>
          <w:vertAlign w:val="baseline"/>
        </w:rPr>
        <w:t>a</w:t>
      </w:r>
      <w:r>
        <w:rPr>
          <w:spacing w:val="-4"/>
          <w:vertAlign w:val="baseline"/>
        </w:rPr>
        <w:t> </w:t>
      </w:r>
      <w:r>
        <w:rPr>
          <w:vertAlign w:val="baseline"/>
        </w:rPr>
        <w:t>pressão</w:t>
      </w:r>
      <w:r>
        <w:rPr>
          <w:spacing w:val="-1"/>
          <w:vertAlign w:val="baseline"/>
        </w:rPr>
        <w:t> </w:t>
      </w:r>
      <w:r>
        <w:rPr>
          <w:vertAlign w:val="baseline"/>
        </w:rPr>
        <w:t>arterial, existe</w:t>
      </w:r>
      <w:r>
        <w:rPr>
          <w:spacing w:val="-4"/>
          <w:vertAlign w:val="baseline"/>
        </w:rPr>
        <w:t> </w:t>
      </w:r>
      <w:r>
        <w:rPr>
          <w:vertAlign w:val="baseline"/>
        </w:rPr>
        <w:t>uma</w:t>
      </w:r>
      <w:r>
        <w:rPr>
          <w:spacing w:val="-4"/>
          <w:vertAlign w:val="baseline"/>
        </w:rPr>
        <w:t> </w:t>
      </w:r>
      <w:r>
        <w:rPr>
          <w:vertAlign w:val="baseline"/>
        </w:rPr>
        <w:t>relação</w:t>
      </w:r>
      <w:r>
        <w:rPr>
          <w:spacing w:val="-1"/>
          <w:vertAlign w:val="baseline"/>
        </w:rPr>
        <w:t> </w:t>
      </w:r>
      <w:r>
        <w:rPr>
          <w:vertAlign w:val="baseline"/>
        </w:rPr>
        <w:t>linear entre</w:t>
      </w:r>
      <w:r>
        <w:rPr>
          <w:spacing w:val="-4"/>
          <w:vertAlign w:val="baseline"/>
        </w:rPr>
        <w:t> </w:t>
      </w:r>
      <w:r>
        <w:rPr>
          <w:vertAlign w:val="baseline"/>
        </w:rPr>
        <w:t>aumento</w:t>
      </w:r>
      <w:r>
        <w:rPr>
          <w:spacing w:val="-1"/>
          <w:vertAlign w:val="baseline"/>
        </w:rPr>
        <w:t> </w:t>
      </w:r>
      <w:r>
        <w:rPr>
          <w:vertAlign w:val="baseline"/>
        </w:rPr>
        <w:t>progressivo</w:t>
      </w:r>
      <w:r>
        <w:rPr>
          <w:spacing w:val="-1"/>
          <w:vertAlign w:val="baseline"/>
        </w:rPr>
        <w:t> </w:t>
      </w:r>
      <w:r>
        <w:rPr>
          <w:vertAlign w:val="baseline"/>
        </w:rPr>
        <w:t>de</w:t>
      </w:r>
      <w:r>
        <w:rPr>
          <w:spacing w:val="-4"/>
          <w:vertAlign w:val="baseline"/>
        </w:rPr>
        <w:t> </w:t>
      </w:r>
      <w:r>
        <w:rPr>
          <w:vertAlign w:val="baseline"/>
        </w:rPr>
        <w:t>risco</w:t>
      </w:r>
      <w:r>
        <w:rPr>
          <w:spacing w:val="-1"/>
          <w:vertAlign w:val="baseline"/>
        </w:rPr>
        <w:t> </w:t>
      </w:r>
      <w:r>
        <w:rPr>
          <w:vertAlign w:val="baseline"/>
        </w:rPr>
        <w:t>cardiovascular, principalmente para DAC, e níveis mais elevados de LDL-colesterol, a partir dos valores considerados normais.</w:t>
      </w:r>
    </w:p>
    <w:p>
      <w:pPr>
        <w:pStyle w:val="BodyText"/>
        <w:spacing w:line="290" w:lineRule="auto" w:before="50"/>
        <w:ind w:right="491"/>
      </w:pPr>
      <w:r>
        <w:rPr/>
        <w:t>Para</w:t>
      </w:r>
      <w:r>
        <w:rPr>
          <w:spacing w:val="-4"/>
        </w:rPr>
        <w:t> </w:t>
      </w:r>
      <w:r>
        <w:rPr/>
        <w:t>definição</w:t>
      </w:r>
      <w:r>
        <w:rPr>
          <w:spacing w:val="-2"/>
        </w:rPr>
        <w:t> </w:t>
      </w:r>
      <w:r>
        <w:rPr/>
        <w:t>de</w:t>
      </w:r>
      <w:r>
        <w:rPr>
          <w:spacing w:val="-4"/>
        </w:rPr>
        <w:t> </w:t>
      </w:r>
      <w:r>
        <w:rPr/>
        <w:t>tratamento</w:t>
      </w:r>
      <w:r>
        <w:rPr>
          <w:spacing w:val="-2"/>
        </w:rPr>
        <w:t> </w:t>
      </w:r>
      <w:r>
        <w:rPr/>
        <w:t>com</w:t>
      </w:r>
      <w:r>
        <w:rPr>
          <w:spacing w:val="-2"/>
        </w:rPr>
        <w:t> </w:t>
      </w:r>
      <w:r>
        <w:rPr/>
        <w:t>drogas hipolipemiantes, utiliza-se</w:t>
      </w:r>
      <w:r>
        <w:rPr>
          <w:spacing w:val="-4"/>
        </w:rPr>
        <w:t> </w:t>
      </w:r>
      <w:r>
        <w:rPr/>
        <w:t>análise</w:t>
      </w:r>
      <w:r>
        <w:rPr>
          <w:spacing w:val="-4"/>
        </w:rPr>
        <w:t> </w:t>
      </w:r>
      <w:r>
        <w:rPr/>
        <w:t>do</w:t>
      </w:r>
      <w:r>
        <w:rPr>
          <w:spacing w:val="-2"/>
        </w:rPr>
        <w:t> </w:t>
      </w:r>
      <w:r>
        <w:rPr/>
        <w:t>risco</w:t>
      </w:r>
      <w:r>
        <w:rPr>
          <w:spacing w:val="-2"/>
        </w:rPr>
        <w:t> </w:t>
      </w:r>
      <w:r>
        <w:rPr/>
        <w:t>global principalmente</w:t>
      </w:r>
      <w:r>
        <w:rPr>
          <w:spacing w:val="-4"/>
        </w:rPr>
        <w:t> </w:t>
      </w:r>
      <w:r>
        <w:rPr/>
        <w:t>com o escore</w:t>
      </w:r>
      <w:r>
        <w:rPr>
          <w:spacing w:val="-2"/>
        </w:rPr>
        <w:t> </w:t>
      </w:r>
      <w:r>
        <w:rPr/>
        <w:t>de</w:t>
      </w:r>
      <w:r>
        <w:rPr>
          <w:spacing w:val="-2"/>
        </w:rPr>
        <w:t> </w:t>
      </w:r>
      <w:r>
        <w:rPr/>
        <w:t>risco de</w:t>
      </w:r>
      <w:r>
        <w:rPr>
          <w:spacing w:val="-2"/>
        </w:rPr>
        <w:t> </w:t>
      </w:r>
      <w:r>
        <w:rPr/>
        <w:t>Framingham modificado pelo NCEP-ATP III.</w:t>
      </w:r>
      <w:r>
        <w:rPr>
          <w:vertAlign w:val="superscript"/>
        </w:rPr>
        <w:t>24</w:t>
      </w:r>
      <w:r>
        <w:rPr>
          <w:vertAlign w:val="baseline"/>
        </w:rPr>
        <w:t> De</w:t>
      </w:r>
      <w:r>
        <w:rPr>
          <w:spacing w:val="-1"/>
          <w:vertAlign w:val="baseline"/>
        </w:rPr>
        <w:t> </w:t>
      </w:r>
      <w:r>
        <w:rPr>
          <w:vertAlign w:val="baseline"/>
        </w:rPr>
        <w:t>acordo com esse</w:t>
      </w:r>
      <w:r>
        <w:rPr>
          <w:spacing w:val="-1"/>
          <w:vertAlign w:val="baseline"/>
        </w:rPr>
        <w:t> </w:t>
      </w:r>
      <w:r>
        <w:rPr>
          <w:vertAlign w:val="baseline"/>
        </w:rPr>
        <w:t>algoritmo, as pessoas são</w:t>
      </w:r>
    </w:p>
    <w:p>
      <w:pPr>
        <w:pStyle w:val="BodyText"/>
        <w:spacing w:after="0" w:line="290" w:lineRule="auto"/>
        <w:sectPr>
          <w:pgSz w:w="11900" w:h="16840"/>
          <w:pgMar w:top="200" w:bottom="280" w:left="566" w:right="141"/>
        </w:sectPr>
      </w:pPr>
    </w:p>
    <w:p>
      <w:pPr>
        <w:pStyle w:val="BodyText"/>
        <w:spacing w:before="77"/>
        <w:ind w:firstLine="0"/>
        <w:jc w:val="left"/>
      </w:pPr>
      <w:r>
        <w:rPr/>
        <w:t>colocadas</w:t>
      </w:r>
      <w:r>
        <w:rPr>
          <w:spacing w:val="-8"/>
        </w:rPr>
        <w:t> </w:t>
      </w:r>
      <w:r>
        <w:rPr/>
        <w:t>em</w:t>
      </w:r>
      <w:r>
        <w:rPr>
          <w:spacing w:val="-14"/>
        </w:rPr>
        <w:t> </w:t>
      </w:r>
      <w:r>
        <w:rPr/>
        <w:t>três</w:t>
      </w:r>
      <w:r>
        <w:rPr>
          <w:spacing w:val="-6"/>
        </w:rPr>
        <w:t> </w:t>
      </w:r>
      <w:r>
        <w:rPr/>
        <w:t>categorias</w:t>
      </w:r>
      <w:r>
        <w:rPr>
          <w:spacing w:val="-7"/>
        </w:rPr>
        <w:t> </w:t>
      </w:r>
      <w:r>
        <w:rPr/>
        <w:t>de</w:t>
      </w:r>
      <w:r>
        <w:rPr>
          <w:spacing w:val="-14"/>
        </w:rPr>
        <w:t> </w:t>
      </w:r>
      <w:r>
        <w:rPr>
          <w:spacing w:val="-2"/>
        </w:rPr>
        <w:t>risco:</w:t>
      </w:r>
    </w:p>
    <w:p>
      <w:pPr>
        <w:pStyle w:val="ListParagraph"/>
        <w:numPr>
          <w:ilvl w:val="0"/>
          <w:numId w:val="16"/>
        </w:numPr>
        <w:tabs>
          <w:tab w:pos="397" w:val="left" w:leader="none"/>
        </w:tabs>
        <w:spacing w:line="240" w:lineRule="auto" w:before="205" w:after="0"/>
        <w:ind w:left="397" w:right="0" w:hanging="329"/>
        <w:jc w:val="left"/>
        <w:rPr>
          <w:sz w:val="23"/>
        </w:rPr>
      </w:pPr>
      <w:r>
        <w:rPr>
          <w:spacing w:val="-2"/>
          <w:sz w:val="23"/>
        </w:rPr>
        <w:t>DAC</w:t>
      </w:r>
      <w:r>
        <w:rPr>
          <w:spacing w:val="4"/>
          <w:sz w:val="23"/>
        </w:rPr>
        <w:t> </w:t>
      </w:r>
      <w:r>
        <w:rPr>
          <w:spacing w:val="-2"/>
          <w:sz w:val="23"/>
        </w:rPr>
        <w:t>estabelecida</w:t>
      </w:r>
      <w:r>
        <w:rPr>
          <w:spacing w:val="-7"/>
          <w:sz w:val="23"/>
        </w:rPr>
        <w:t> </w:t>
      </w:r>
      <w:r>
        <w:rPr>
          <w:spacing w:val="-2"/>
          <w:sz w:val="23"/>
        </w:rPr>
        <w:t>e</w:t>
      </w:r>
      <w:r>
        <w:rPr>
          <w:spacing w:val="-6"/>
          <w:sz w:val="23"/>
        </w:rPr>
        <w:t> </w:t>
      </w:r>
      <w:r>
        <w:rPr>
          <w:spacing w:val="-2"/>
          <w:sz w:val="23"/>
        </w:rPr>
        <w:t>equivalente</w:t>
      </w:r>
      <w:r>
        <w:rPr>
          <w:spacing w:val="-7"/>
          <w:sz w:val="23"/>
        </w:rPr>
        <w:t> </w:t>
      </w:r>
      <w:r>
        <w:rPr>
          <w:spacing w:val="-2"/>
          <w:sz w:val="23"/>
        </w:rPr>
        <w:t>de</w:t>
      </w:r>
      <w:r>
        <w:rPr>
          <w:spacing w:val="-6"/>
          <w:sz w:val="23"/>
        </w:rPr>
        <w:t> </w:t>
      </w:r>
      <w:r>
        <w:rPr>
          <w:spacing w:val="-5"/>
          <w:sz w:val="23"/>
        </w:rPr>
        <w:t>DAC</w:t>
      </w:r>
    </w:p>
    <w:p>
      <w:pPr>
        <w:pStyle w:val="ListParagraph"/>
        <w:numPr>
          <w:ilvl w:val="0"/>
          <w:numId w:val="16"/>
        </w:numPr>
        <w:tabs>
          <w:tab w:pos="397" w:val="left" w:leader="none"/>
        </w:tabs>
        <w:spacing w:line="240" w:lineRule="auto" w:before="72" w:after="0"/>
        <w:ind w:left="397" w:right="0" w:hanging="329"/>
        <w:jc w:val="left"/>
        <w:rPr>
          <w:sz w:val="23"/>
        </w:rPr>
      </w:pPr>
      <w:r>
        <w:rPr>
          <w:sz w:val="23"/>
        </w:rPr>
        <w:t>Múltiplos</w:t>
      </w:r>
      <w:r>
        <w:rPr>
          <w:spacing w:val="5"/>
          <w:sz w:val="23"/>
        </w:rPr>
        <w:t> </w:t>
      </w:r>
      <w:r>
        <w:rPr>
          <w:sz w:val="23"/>
        </w:rPr>
        <w:t>(dois</w:t>
      </w:r>
      <w:r>
        <w:rPr>
          <w:spacing w:val="5"/>
          <w:sz w:val="23"/>
        </w:rPr>
        <w:t> </w:t>
      </w:r>
      <w:r>
        <w:rPr>
          <w:sz w:val="23"/>
        </w:rPr>
        <w:t>ou</w:t>
      </w:r>
      <w:r>
        <w:rPr>
          <w:spacing w:val="-3"/>
          <w:sz w:val="23"/>
        </w:rPr>
        <w:t> </w:t>
      </w:r>
      <w:r>
        <w:rPr>
          <w:sz w:val="23"/>
        </w:rPr>
        <w:t>mais)</w:t>
      </w:r>
      <w:r>
        <w:rPr>
          <w:spacing w:val="2"/>
          <w:sz w:val="23"/>
        </w:rPr>
        <w:t> </w:t>
      </w:r>
      <w:r>
        <w:rPr>
          <w:sz w:val="23"/>
        </w:rPr>
        <w:t>fatores</w:t>
      </w:r>
      <w:r>
        <w:rPr>
          <w:spacing w:val="5"/>
          <w:sz w:val="23"/>
        </w:rPr>
        <w:t> </w:t>
      </w:r>
      <w:r>
        <w:rPr>
          <w:sz w:val="23"/>
        </w:rPr>
        <w:t>de</w:t>
      </w:r>
      <w:r>
        <w:rPr>
          <w:spacing w:val="-5"/>
          <w:sz w:val="23"/>
        </w:rPr>
        <w:t> </w:t>
      </w:r>
      <w:r>
        <w:rPr>
          <w:spacing w:val="-4"/>
          <w:sz w:val="23"/>
        </w:rPr>
        <w:t>risco</w:t>
      </w:r>
    </w:p>
    <w:p>
      <w:pPr>
        <w:pStyle w:val="ListParagraph"/>
        <w:numPr>
          <w:ilvl w:val="0"/>
          <w:numId w:val="16"/>
        </w:numPr>
        <w:tabs>
          <w:tab w:pos="401" w:val="left" w:leader="none"/>
        </w:tabs>
        <w:spacing w:line="276" w:lineRule="auto" w:before="56" w:after="0"/>
        <w:ind w:left="68" w:right="502" w:firstLine="0"/>
        <w:jc w:val="left"/>
        <w:rPr>
          <w:sz w:val="23"/>
        </w:rPr>
      </w:pPr>
      <w:r>
        <w:rPr>
          <w:sz w:val="23"/>
        </w:rPr>
        <w:t>Zero</w:t>
      </w:r>
      <w:r>
        <w:rPr>
          <w:spacing w:val="-4"/>
          <w:sz w:val="23"/>
        </w:rPr>
        <w:t> </w:t>
      </w:r>
      <w:r>
        <w:rPr>
          <w:sz w:val="23"/>
        </w:rPr>
        <w:t>a</w:t>
      </w:r>
      <w:r>
        <w:rPr>
          <w:spacing w:val="-6"/>
          <w:sz w:val="23"/>
        </w:rPr>
        <w:t> </w:t>
      </w:r>
      <w:r>
        <w:rPr>
          <w:sz w:val="23"/>
        </w:rPr>
        <w:t>um</w:t>
      </w:r>
      <w:r>
        <w:rPr>
          <w:spacing w:val="-4"/>
          <w:sz w:val="23"/>
        </w:rPr>
        <w:t> </w:t>
      </w:r>
      <w:r>
        <w:rPr>
          <w:sz w:val="23"/>
        </w:rPr>
        <w:t>(0</w:t>
      </w:r>
      <w:r>
        <w:rPr>
          <w:spacing w:val="-4"/>
          <w:sz w:val="23"/>
        </w:rPr>
        <w:t> </w:t>
      </w:r>
      <w:r>
        <w:rPr>
          <w:sz w:val="23"/>
        </w:rPr>
        <w:t>a</w:t>
      </w:r>
      <w:r>
        <w:rPr>
          <w:spacing w:val="-6"/>
          <w:sz w:val="23"/>
        </w:rPr>
        <w:t> </w:t>
      </w:r>
      <w:r>
        <w:rPr>
          <w:sz w:val="23"/>
        </w:rPr>
        <w:t>1) fator de</w:t>
      </w:r>
      <w:r>
        <w:rPr>
          <w:spacing w:val="-6"/>
          <w:sz w:val="23"/>
        </w:rPr>
        <w:t> </w:t>
      </w:r>
      <w:r>
        <w:rPr>
          <w:sz w:val="23"/>
        </w:rPr>
        <w:t>risco. Equivalente</w:t>
      </w:r>
      <w:r>
        <w:rPr>
          <w:spacing w:val="-6"/>
          <w:sz w:val="23"/>
        </w:rPr>
        <w:t> </w:t>
      </w:r>
      <w:r>
        <w:rPr>
          <w:sz w:val="23"/>
        </w:rPr>
        <w:t>de</w:t>
      </w:r>
      <w:r>
        <w:rPr>
          <w:spacing w:val="-6"/>
          <w:sz w:val="23"/>
        </w:rPr>
        <w:t> </w:t>
      </w:r>
      <w:r>
        <w:rPr>
          <w:sz w:val="23"/>
        </w:rPr>
        <w:t>DAC inclui</w:t>
      </w:r>
      <w:r>
        <w:rPr>
          <w:spacing w:val="-1"/>
          <w:sz w:val="23"/>
        </w:rPr>
        <w:t> </w:t>
      </w:r>
      <w:r>
        <w:rPr>
          <w:sz w:val="23"/>
        </w:rPr>
        <w:t>doenças ateroscleróticas não</w:t>
      </w:r>
      <w:r>
        <w:rPr>
          <w:spacing w:val="-4"/>
          <w:sz w:val="23"/>
        </w:rPr>
        <w:t> </w:t>
      </w:r>
      <w:r>
        <w:rPr>
          <w:sz w:val="23"/>
        </w:rPr>
        <w:t>coronarianas, diabetes e múltiplos (dois ou mais) fatores de risco para DAC com risco entre 10 e 20% para DAC em 10 anos.</w:t>
      </w:r>
    </w:p>
    <w:p>
      <w:pPr>
        <w:pStyle w:val="BodyText"/>
        <w:spacing w:line="280" w:lineRule="auto" w:before="225"/>
        <w:ind w:right="491"/>
      </w:pPr>
      <w:r>
        <w:rPr/>
        <w:t>Todas as pessoas com DAC ou DAC-equivalente são consideradas de alto risco e devem ter como meta um valor</w:t>
      </w:r>
      <w:r>
        <w:rPr>
          <w:spacing w:val="-7"/>
        </w:rPr>
        <w:t> </w:t>
      </w:r>
      <w:r>
        <w:rPr/>
        <w:t>de LDL-colesterol inferior a 100 mg/d</w:t>
      </w:r>
      <w:r>
        <w:rPr>
          <w:spacing w:val="-15"/>
        </w:rPr>
        <w:t> </w:t>
      </w:r>
      <w:r>
        <w:rPr>
          <w:i/>
        </w:rPr>
        <w:t>ℓ</w:t>
      </w:r>
      <w:r>
        <w:rPr>
          <w:i/>
          <w:spacing w:val="39"/>
        </w:rPr>
        <w:t> </w:t>
      </w:r>
      <w:r>
        <w:rPr/>
        <w:t>com instituição imediata de dieta hipolipemiante. Ainda de acordo com o ATP III, não havia necessidade de se tratar indivíduos de alto risco com valores de LDL inferior a 100 mg/d</w:t>
      </w:r>
      <w:r>
        <w:rPr>
          <w:i/>
        </w:rPr>
        <w:t>ℓ</w:t>
      </w:r>
      <w:r>
        <w:rPr/>
        <w:t>, e, mesmo</w:t>
      </w:r>
      <w:r>
        <w:rPr>
          <w:spacing w:val="-1"/>
        </w:rPr>
        <w:t> </w:t>
      </w:r>
      <w:r>
        <w:rPr/>
        <w:t>naqueles com</w:t>
      </w:r>
      <w:r>
        <w:rPr>
          <w:spacing w:val="-1"/>
        </w:rPr>
        <w:t> </w:t>
      </w:r>
      <w:r>
        <w:rPr/>
        <w:t>níveis entre</w:t>
      </w:r>
      <w:r>
        <w:rPr>
          <w:spacing w:val="-3"/>
        </w:rPr>
        <w:t> </w:t>
      </w:r>
      <w:r>
        <w:rPr/>
        <w:t>100</w:t>
      </w:r>
      <w:r>
        <w:rPr>
          <w:spacing w:val="-1"/>
        </w:rPr>
        <w:t> </w:t>
      </w:r>
      <w:r>
        <w:rPr/>
        <w:t>e</w:t>
      </w:r>
      <w:r>
        <w:rPr>
          <w:spacing w:val="-3"/>
        </w:rPr>
        <w:t> </w:t>
      </w:r>
      <w:r>
        <w:rPr/>
        <w:t>129</w:t>
      </w:r>
      <w:r>
        <w:rPr>
          <w:spacing w:val="-1"/>
        </w:rPr>
        <w:t> </w:t>
      </w:r>
      <w:r>
        <w:rPr/>
        <w:t>mg/d</w:t>
      </w:r>
      <w:r>
        <w:rPr>
          <w:i/>
        </w:rPr>
        <w:t>ℓ</w:t>
      </w:r>
      <w:r>
        <w:rPr/>
        <w:t>, a</w:t>
      </w:r>
      <w:r>
        <w:rPr>
          <w:spacing w:val="-2"/>
        </w:rPr>
        <w:t> </w:t>
      </w:r>
      <w:r>
        <w:rPr/>
        <w:t>utilização de</w:t>
      </w:r>
      <w:r>
        <w:rPr>
          <w:spacing w:val="-2"/>
        </w:rPr>
        <w:t> </w:t>
      </w:r>
      <w:r>
        <w:rPr/>
        <w:t>drogas hipolipemiantes era</w:t>
      </w:r>
      <w:r>
        <w:rPr>
          <w:spacing w:val="-2"/>
        </w:rPr>
        <w:t> </w:t>
      </w:r>
      <w:r>
        <w:rPr/>
        <w:t>tida</w:t>
      </w:r>
      <w:r>
        <w:rPr>
          <w:spacing w:val="-2"/>
        </w:rPr>
        <w:t> </w:t>
      </w:r>
      <w:r>
        <w:rPr/>
        <w:t>como </w:t>
      </w:r>
      <w:r>
        <w:rPr>
          <w:spacing w:val="-2"/>
        </w:rPr>
        <w:t>opcional.</w:t>
      </w:r>
      <w:r>
        <w:rPr>
          <w:spacing w:val="-2"/>
          <w:vertAlign w:val="superscript"/>
        </w:rPr>
        <w:t>24</w:t>
      </w:r>
    </w:p>
    <w:p>
      <w:pPr>
        <w:pStyle w:val="BodyText"/>
        <w:spacing w:line="278" w:lineRule="auto" w:before="54"/>
        <w:ind w:right="487"/>
      </w:pPr>
      <w:r>
        <w:rPr/>
        <w:t>Como citado anteriormente, a partir dos últimos estudos publicados após o NCEP-ATP III, houve uma</w:t>
      </w:r>
      <w:r>
        <w:rPr>
          <w:spacing w:val="40"/>
        </w:rPr>
        <w:t> </w:t>
      </w:r>
      <w:r>
        <w:rPr/>
        <w:t>mudança de referenciais. Esses estudos incluíram o Heart Protection Study (HPS), o Prospective Study of Pravastatin</w:t>
      </w:r>
      <w:r>
        <w:rPr>
          <w:spacing w:val="-1"/>
        </w:rPr>
        <w:t> </w:t>
      </w:r>
      <w:r>
        <w:rPr/>
        <w:t>in</w:t>
      </w:r>
      <w:r>
        <w:rPr>
          <w:spacing w:val="-1"/>
        </w:rPr>
        <w:t> </w:t>
      </w:r>
      <w:r>
        <w:rPr/>
        <w:t>the</w:t>
      </w:r>
      <w:r>
        <w:rPr>
          <w:spacing w:val="-4"/>
        </w:rPr>
        <w:t> </w:t>
      </w:r>
      <w:r>
        <w:rPr/>
        <w:t>Elderly</w:t>
      </w:r>
      <w:r>
        <w:rPr>
          <w:spacing w:val="-1"/>
        </w:rPr>
        <w:t> </w:t>
      </w:r>
      <w:r>
        <w:rPr/>
        <w:t>at Risk</w:t>
      </w:r>
      <w:r>
        <w:rPr>
          <w:spacing w:val="-1"/>
        </w:rPr>
        <w:t> </w:t>
      </w:r>
      <w:r>
        <w:rPr/>
        <w:t>(PROSPER), o</w:t>
      </w:r>
      <w:r>
        <w:rPr>
          <w:spacing w:val="-1"/>
        </w:rPr>
        <w:t> </w:t>
      </w:r>
      <w:r>
        <w:rPr/>
        <w:t>Antihypertensive</w:t>
      </w:r>
      <w:r>
        <w:rPr>
          <w:spacing w:val="-4"/>
        </w:rPr>
        <w:t> </w:t>
      </w:r>
      <w:r>
        <w:rPr/>
        <w:t>and</w:t>
      </w:r>
      <w:r>
        <w:rPr>
          <w:spacing w:val="-1"/>
        </w:rPr>
        <w:t> </w:t>
      </w:r>
      <w:r>
        <w:rPr/>
        <w:t>Lipid-Lowering</w:t>
      </w:r>
      <w:r>
        <w:rPr>
          <w:spacing w:val="-1"/>
        </w:rPr>
        <w:t> </w:t>
      </w:r>
      <w:r>
        <w:rPr/>
        <w:t>Treatment to</w:t>
      </w:r>
      <w:r>
        <w:rPr>
          <w:spacing w:val="-1"/>
        </w:rPr>
        <w:t> </w:t>
      </w:r>
      <w:r>
        <w:rPr/>
        <w:t>Prevent Heart Attack Trial (ALLHAT), o Anglo-Scandinavian Cardiac Outcomes Trial-Lipid-Lowering Arm (ASCOT-LLA) e o Pravastatin or Atorvastatin Evaluation and Infection-Thrombolysis in Myocardial Infarction 22 (PROVE IT-TIMI 22) Trial.</w:t>
      </w:r>
      <w:r>
        <w:rPr>
          <w:vertAlign w:val="superscript"/>
        </w:rPr>
        <w:t>45–49</w:t>
      </w:r>
      <w:r>
        <w:rPr>
          <w:vertAlign w:val="baseline"/>
        </w:rPr>
        <w:t> Todos os estudos citados utilizaram as estatinas como drogas hipolipemiantes e demonstraram benefícios adicionais com redução de eventos cardiovasculares, particularmente naqueles indivíduos considerados de alto risco, inclusive para valores basais menores que 100 mg/d</w:t>
      </w:r>
      <w:r>
        <w:rPr>
          <w:i/>
          <w:vertAlign w:val="baseline"/>
        </w:rPr>
        <w:t>ℓ </w:t>
      </w:r>
      <w:r>
        <w:rPr>
          <w:vertAlign w:val="baseline"/>
        </w:rPr>
        <w:t>de LDL-colesterol. Há trabalhos avaliando o efeito</w:t>
      </w:r>
      <w:r>
        <w:rPr>
          <w:spacing w:val="-5"/>
          <w:vertAlign w:val="baseline"/>
        </w:rPr>
        <w:t> </w:t>
      </w:r>
      <w:r>
        <w:rPr>
          <w:vertAlign w:val="baseline"/>
        </w:rPr>
        <w:t>de</w:t>
      </w:r>
      <w:r>
        <w:rPr>
          <w:spacing w:val="-8"/>
          <w:vertAlign w:val="baseline"/>
        </w:rPr>
        <w:t> </w:t>
      </w:r>
      <w:r>
        <w:rPr>
          <w:vertAlign w:val="baseline"/>
        </w:rPr>
        <w:t>diferentes estatinas na</w:t>
      </w:r>
      <w:r>
        <w:rPr>
          <w:spacing w:val="-8"/>
          <w:vertAlign w:val="baseline"/>
        </w:rPr>
        <w:t> </w:t>
      </w:r>
      <w:r>
        <w:rPr>
          <w:vertAlign w:val="baseline"/>
        </w:rPr>
        <w:t>mobilização</w:t>
      </w:r>
      <w:r>
        <w:rPr>
          <w:spacing w:val="-5"/>
          <w:vertAlign w:val="baseline"/>
        </w:rPr>
        <w:t> </w:t>
      </w:r>
      <w:r>
        <w:rPr>
          <w:vertAlign w:val="baseline"/>
        </w:rPr>
        <w:t>de</w:t>
      </w:r>
      <w:r>
        <w:rPr>
          <w:spacing w:val="-8"/>
          <w:vertAlign w:val="baseline"/>
        </w:rPr>
        <w:t> </w:t>
      </w:r>
      <w:r>
        <w:rPr>
          <w:vertAlign w:val="baseline"/>
        </w:rPr>
        <w:t>CPE. Em</w:t>
      </w:r>
      <w:r>
        <w:rPr>
          <w:spacing w:val="-5"/>
          <w:vertAlign w:val="baseline"/>
        </w:rPr>
        <w:t> </w:t>
      </w:r>
      <w:r>
        <w:rPr>
          <w:vertAlign w:val="baseline"/>
        </w:rPr>
        <w:t>estudo</w:t>
      </w:r>
      <w:r>
        <w:rPr>
          <w:spacing w:val="-5"/>
          <w:vertAlign w:val="baseline"/>
        </w:rPr>
        <w:t> </w:t>
      </w:r>
      <w:r>
        <w:rPr>
          <w:vertAlign w:val="baseline"/>
        </w:rPr>
        <w:t>recente</w:t>
      </w:r>
      <w:r>
        <w:rPr>
          <w:spacing w:val="-8"/>
          <w:vertAlign w:val="baseline"/>
        </w:rPr>
        <w:t> </w:t>
      </w:r>
      <w:r>
        <w:rPr>
          <w:vertAlign w:val="baseline"/>
        </w:rPr>
        <w:t>de</w:t>
      </w:r>
      <w:r>
        <w:rPr>
          <w:spacing w:val="-8"/>
          <w:vertAlign w:val="baseline"/>
        </w:rPr>
        <w:t> </w:t>
      </w:r>
      <w:r>
        <w:rPr>
          <w:vertAlign w:val="baseline"/>
        </w:rPr>
        <w:t>Zhou</w:t>
      </w:r>
      <w:r>
        <w:rPr>
          <w:spacing w:val="-5"/>
          <w:vertAlign w:val="baseline"/>
        </w:rPr>
        <w:t> </w:t>
      </w:r>
      <w:r>
        <w:rPr>
          <w:i/>
          <w:vertAlign w:val="baseline"/>
        </w:rPr>
        <w:t>et</w:t>
      </w:r>
      <w:r>
        <w:rPr>
          <w:i/>
          <w:spacing w:val="-2"/>
          <w:vertAlign w:val="baseline"/>
        </w:rPr>
        <w:t> </w:t>
      </w:r>
      <w:r>
        <w:rPr>
          <w:i/>
          <w:vertAlign w:val="baseline"/>
        </w:rPr>
        <w:t>al.</w:t>
      </w:r>
      <w:r>
        <w:rPr>
          <w:vertAlign w:val="superscript"/>
        </w:rPr>
        <w:t>50</w:t>
      </w:r>
      <w:r>
        <w:rPr>
          <w:vertAlign w:val="baseline"/>
        </w:rPr>
        <w:t> foi</w:t>
      </w:r>
      <w:r>
        <w:rPr>
          <w:spacing w:val="-2"/>
          <w:vertAlign w:val="baseline"/>
        </w:rPr>
        <w:t> </w:t>
      </w:r>
      <w:r>
        <w:rPr>
          <w:vertAlign w:val="baseline"/>
        </w:rPr>
        <w:t>avaliada</w:t>
      </w:r>
      <w:r>
        <w:rPr>
          <w:spacing w:val="-8"/>
          <w:vertAlign w:val="baseline"/>
        </w:rPr>
        <w:t> </w:t>
      </w:r>
      <w:r>
        <w:rPr>
          <w:vertAlign w:val="baseline"/>
        </w:rPr>
        <w:t>a</w:t>
      </w:r>
      <w:r>
        <w:rPr>
          <w:spacing w:val="-8"/>
          <w:vertAlign w:val="baseline"/>
        </w:rPr>
        <w:t> </w:t>
      </w:r>
      <w:r>
        <w:rPr>
          <w:vertAlign w:val="baseline"/>
        </w:rPr>
        <w:t>influência</w:t>
      </w:r>
      <w:r>
        <w:rPr>
          <w:spacing w:val="-8"/>
          <w:vertAlign w:val="baseline"/>
        </w:rPr>
        <w:t> </w:t>
      </w:r>
      <w:r>
        <w:rPr>
          <w:vertAlign w:val="baseline"/>
        </w:rPr>
        <w:t>da rosuvastatina</w:t>
      </w:r>
      <w:r>
        <w:rPr>
          <w:spacing w:val="-8"/>
          <w:vertAlign w:val="baseline"/>
        </w:rPr>
        <w:t> </w:t>
      </w:r>
      <w:r>
        <w:rPr>
          <w:vertAlign w:val="baseline"/>
        </w:rPr>
        <w:t>sobre</w:t>
      </w:r>
      <w:r>
        <w:rPr>
          <w:spacing w:val="-8"/>
          <w:vertAlign w:val="baseline"/>
        </w:rPr>
        <w:t> </w:t>
      </w:r>
      <w:r>
        <w:rPr>
          <w:vertAlign w:val="baseline"/>
        </w:rPr>
        <w:t>CPE, sendo</w:t>
      </w:r>
      <w:r>
        <w:rPr>
          <w:spacing w:val="-5"/>
          <w:vertAlign w:val="baseline"/>
        </w:rPr>
        <w:t> </w:t>
      </w:r>
      <w:r>
        <w:rPr>
          <w:vertAlign w:val="baseline"/>
        </w:rPr>
        <w:t>encontrado</w:t>
      </w:r>
      <w:r>
        <w:rPr>
          <w:spacing w:val="-5"/>
          <w:vertAlign w:val="baseline"/>
        </w:rPr>
        <w:t> </w:t>
      </w:r>
      <w:r>
        <w:rPr>
          <w:vertAlign w:val="baseline"/>
        </w:rPr>
        <w:t>que</w:t>
      </w:r>
      <w:r>
        <w:rPr>
          <w:spacing w:val="-8"/>
          <w:vertAlign w:val="baseline"/>
        </w:rPr>
        <w:t> </w:t>
      </w:r>
      <w:r>
        <w:rPr>
          <w:vertAlign w:val="baseline"/>
        </w:rPr>
        <w:t>a</w:t>
      </w:r>
      <w:r>
        <w:rPr>
          <w:spacing w:val="-8"/>
          <w:vertAlign w:val="baseline"/>
        </w:rPr>
        <w:t> </w:t>
      </w:r>
      <w:r>
        <w:rPr>
          <w:vertAlign w:val="baseline"/>
        </w:rPr>
        <w:t>estatina</w:t>
      </w:r>
      <w:r>
        <w:rPr>
          <w:spacing w:val="-8"/>
          <w:vertAlign w:val="baseline"/>
        </w:rPr>
        <w:t> </w:t>
      </w:r>
      <w:r>
        <w:rPr>
          <w:vertAlign w:val="baseline"/>
        </w:rPr>
        <w:t>foi</w:t>
      </w:r>
      <w:r>
        <w:rPr>
          <w:spacing w:val="-2"/>
          <w:vertAlign w:val="baseline"/>
        </w:rPr>
        <w:t> </w:t>
      </w:r>
      <w:r>
        <w:rPr>
          <w:vertAlign w:val="baseline"/>
        </w:rPr>
        <w:t>capaz</w:t>
      </w:r>
      <w:r>
        <w:rPr>
          <w:spacing w:val="-8"/>
          <w:vertAlign w:val="baseline"/>
        </w:rPr>
        <w:t> </w:t>
      </w:r>
      <w:r>
        <w:rPr>
          <w:vertAlign w:val="baseline"/>
        </w:rPr>
        <w:t>de</w:t>
      </w:r>
      <w:r>
        <w:rPr>
          <w:spacing w:val="-8"/>
          <w:vertAlign w:val="baseline"/>
        </w:rPr>
        <w:t> </w:t>
      </w:r>
      <w:r>
        <w:rPr>
          <w:vertAlign w:val="baseline"/>
        </w:rPr>
        <w:t>aumentar o</w:t>
      </w:r>
      <w:r>
        <w:rPr>
          <w:spacing w:val="-5"/>
          <w:vertAlign w:val="baseline"/>
        </w:rPr>
        <w:t> </w:t>
      </w:r>
      <w:r>
        <w:rPr>
          <w:vertAlign w:val="baseline"/>
        </w:rPr>
        <w:t>recrutamento</w:t>
      </w:r>
      <w:r>
        <w:rPr>
          <w:spacing w:val="-5"/>
          <w:vertAlign w:val="baseline"/>
        </w:rPr>
        <w:t> </w:t>
      </w:r>
      <w:r>
        <w:rPr>
          <w:vertAlign w:val="baseline"/>
        </w:rPr>
        <w:t>de</w:t>
      </w:r>
      <w:r>
        <w:rPr>
          <w:spacing w:val="-8"/>
          <w:vertAlign w:val="baseline"/>
        </w:rPr>
        <w:t> </w:t>
      </w:r>
      <w:r>
        <w:rPr>
          <w:vertAlign w:val="baseline"/>
        </w:rPr>
        <w:t>CPE e</w:t>
      </w:r>
      <w:r>
        <w:rPr>
          <w:spacing w:val="-8"/>
          <w:vertAlign w:val="baseline"/>
        </w:rPr>
        <w:t> </w:t>
      </w:r>
      <w:r>
        <w:rPr>
          <w:vertAlign w:val="baseline"/>
        </w:rPr>
        <w:t>promover neovasculogênese</w:t>
      </w:r>
      <w:r>
        <w:rPr>
          <w:spacing w:val="-10"/>
          <w:vertAlign w:val="baseline"/>
        </w:rPr>
        <w:t> </w:t>
      </w:r>
      <w:r>
        <w:rPr>
          <w:vertAlign w:val="baseline"/>
        </w:rPr>
        <w:t>por</w:t>
      </w:r>
      <w:r>
        <w:rPr>
          <w:spacing w:val="-3"/>
          <w:vertAlign w:val="baseline"/>
        </w:rPr>
        <w:t> </w:t>
      </w:r>
      <w:r>
        <w:rPr>
          <w:vertAlign w:val="baseline"/>
        </w:rPr>
        <w:t>mecanismos dependentes de</w:t>
      </w:r>
      <w:r>
        <w:rPr>
          <w:spacing w:val="-10"/>
          <w:vertAlign w:val="baseline"/>
        </w:rPr>
        <w:t> </w:t>
      </w:r>
      <w:r>
        <w:rPr>
          <w:vertAlign w:val="baseline"/>
        </w:rPr>
        <w:t>eNOS. O</w:t>
      </w:r>
      <w:r>
        <w:rPr>
          <w:spacing w:val="-10"/>
          <w:vertAlign w:val="baseline"/>
        </w:rPr>
        <w:t> </w:t>
      </w:r>
      <w:r>
        <w:rPr>
          <w:vertAlign w:val="baseline"/>
        </w:rPr>
        <w:t>referendo</w:t>
      </w:r>
      <w:r>
        <w:rPr>
          <w:spacing w:val="-7"/>
          <w:vertAlign w:val="baseline"/>
        </w:rPr>
        <w:t> </w:t>
      </w:r>
      <w:r>
        <w:rPr>
          <w:vertAlign w:val="baseline"/>
        </w:rPr>
        <w:t>do</w:t>
      </w:r>
      <w:r>
        <w:rPr>
          <w:spacing w:val="-7"/>
          <w:vertAlign w:val="baseline"/>
        </w:rPr>
        <w:t> </w:t>
      </w:r>
      <w:r>
        <w:rPr>
          <w:vertAlign w:val="baseline"/>
        </w:rPr>
        <w:t>ATP</w:t>
      </w:r>
      <w:r>
        <w:rPr>
          <w:spacing w:val="-5"/>
          <w:vertAlign w:val="baseline"/>
        </w:rPr>
        <w:t> </w:t>
      </w:r>
      <w:r>
        <w:rPr>
          <w:vertAlign w:val="baseline"/>
        </w:rPr>
        <w:t>III</w:t>
      </w:r>
      <w:r>
        <w:rPr>
          <w:spacing w:val="-3"/>
          <w:vertAlign w:val="baseline"/>
        </w:rPr>
        <w:t> </w:t>
      </w:r>
      <w:r>
        <w:rPr>
          <w:vertAlign w:val="baseline"/>
        </w:rPr>
        <w:t>determina</w:t>
      </w:r>
      <w:r>
        <w:rPr>
          <w:spacing w:val="-10"/>
          <w:vertAlign w:val="baseline"/>
        </w:rPr>
        <w:t> </w:t>
      </w:r>
      <w:r>
        <w:rPr>
          <w:vertAlign w:val="baseline"/>
        </w:rPr>
        <w:t>meta</w:t>
      </w:r>
      <w:r>
        <w:rPr>
          <w:spacing w:val="-10"/>
          <w:vertAlign w:val="baseline"/>
        </w:rPr>
        <w:t> </w:t>
      </w:r>
      <w:r>
        <w:rPr>
          <w:vertAlign w:val="baseline"/>
        </w:rPr>
        <w:t>de</w:t>
      </w:r>
      <w:r>
        <w:rPr>
          <w:spacing w:val="-10"/>
          <w:vertAlign w:val="baseline"/>
        </w:rPr>
        <w:t> </w:t>
      </w:r>
      <w:r>
        <w:rPr>
          <w:vertAlign w:val="baseline"/>
        </w:rPr>
        <w:t>menos de</w:t>
      </w:r>
      <w:r>
        <w:rPr>
          <w:spacing w:val="-10"/>
          <w:vertAlign w:val="baseline"/>
        </w:rPr>
        <w:t> </w:t>
      </w:r>
      <w:r>
        <w:rPr>
          <w:vertAlign w:val="baseline"/>
        </w:rPr>
        <w:t>100 mg/d</w:t>
      </w:r>
      <w:r>
        <w:rPr>
          <w:i/>
          <w:vertAlign w:val="baseline"/>
        </w:rPr>
        <w:t>ℓ </w:t>
      </w:r>
      <w:r>
        <w:rPr>
          <w:vertAlign w:val="baseline"/>
        </w:rPr>
        <w:t>para o grupo de alto risco e mudanças principalmente na inclusão de indivíduos com diabetes tipo 2 nesse grupo, além de que idosos também se beneficiam com terapia redutora de colesterol.</w:t>
      </w:r>
      <w:r>
        <w:rPr>
          <w:vertAlign w:val="superscript"/>
        </w:rPr>
        <w:t>26</w:t>
      </w:r>
      <w:r>
        <w:rPr>
          <w:vertAlign w:val="baseline"/>
        </w:rPr>
        <w:t> O ponto mais importante desse documento se refere a um tratamento mais agressivo naqueles indivíduos considerados como de risco muito elevado, nos quais a meta de LDL-colesterol deve ser de menos de 70 mg/d</w:t>
      </w:r>
      <w:r>
        <w:rPr>
          <w:i/>
          <w:vertAlign w:val="baseline"/>
        </w:rPr>
        <w:t>ℓ</w:t>
      </w:r>
      <w:r>
        <w:rPr>
          <w:vertAlign w:val="baseline"/>
        </w:rPr>
        <w:t>.</w:t>
      </w:r>
      <w:r>
        <w:rPr>
          <w:vertAlign w:val="superscript"/>
        </w:rPr>
        <w:t>26</w:t>
      </w:r>
      <w:r>
        <w:rPr>
          <w:vertAlign w:val="baseline"/>
        </w:rPr>
        <w:t> Além disso, naqueles com níveis elevados de triglicerídios ou de HDL-colesterol reduzido, deve ser considerada a adição de um fibrato ou ácido nicotínico às vastatinas.</w:t>
      </w:r>
      <w:r>
        <w:rPr>
          <w:vertAlign w:val="superscript"/>
        </w:rPr>
        <w:t>26</w:t>
      </w:r>
      <w:r>
        <w:rPr>
          <w:vertAlign w:val="baseline"/>
        </w:rPr>
        <w:t> Entretanto, achados mais recentes sugerem que a relação entre HDL-C e risco cardiovascular é bem mais complexa, podendo ir além dos níveis de HDL-C no plasma. Um estudo voltado para observar as relações de</w:t>
      </w:r>
      <w:r>
        <w:rPr>
          <w:spacing w:val="-2"/>
          <w:vertAlign w:val="baseline"/>
        </w:rPr>
        <w:t> </w:t>
      </w:r>
      <w:r>
        <w:rPr>
          <w:vertAlign w:val="baseline"/>
        </w:rPr>
        <w:t>aumento de</w:t>
      </w:r>
      <w:r>
        <w:rPr>
          <w:spacing w:val="-2"/>
          <w:vertAlign w:val="baseline"/>
        </w:rPr>
        <w:t> </w:t>
      </w:r>
      <w:r>
        <w:rPr>
          <w:vertAlign w:val="baseline"/>
        </w:rPr>
        <w:t>concentração de</w:t>
      </w:r>
      <w:r>
        <w:rPr>
          <w:spacing w:val="-2"/>
          <w:vertAlign w:val="baseline"/>
        </w:rPr>
        <w:t> </w:t>
      </w:r>
      <w:r>
        <w:rPr>
          <w:vertAlign w:val="baseline"/>
        </w:rPr>
        <w:t>HDL-C com desfechos clínicos foi The</w:t>
      </w:r>
      <w:r>
        <w:rPr>
          <w:spacing w:val="-2"/>
          <w:vertAlign w:val="baseline"/>
        </w:rPr>
        <w:t> </w:t>
      </w:r>
      <w:r>
        <w:rPr>
          <w:vertAlign w:val="baseline"/>
        </w:rPr>
        <w:t>Investigation of Lipid Level Management Using Coronary Ultrasound to Assess Reduction of Atherosclerosis by CETP Inhibition and HDL Elevation (ILLUSTRATE), em que se utilizou o torcetrapibe, um inibidor da proteína de transferência de colesterol esterificado (CETP). Esse fármaco, apesar de aumentar expressivamente a concentração de HDL-C, não promoveu</w:t>
      </w:r>
      <w:r>
        <w:rPr>
          <w:spacing w:val="-2"/>
          <w:vertAlign w:val="baseline"/>
        </w:rPr>
        <w:t> </w:t>
      </w:r>
      <w:r>
        <w:rPr>
          <w:vertAlign w:val="baseline"/>
        </w:rPr>
        <w:t>os benefícios esperados de</w:t>
      </w:r>
      <w:r>
        <w:rPr>
          <w:spacing w:val="-5"/>
          <w:vertAlign w:val="baseline"/>
        </w:rPr>
        <w:t> </w:t>
      </w:r>
      <w:r>
        <w:rPr>
          <w:vertAlign w:val="baseline"/>
        </w:rPr>
        <w:t>redução</w:t>
      </w:r>
      <w:r>
        <w:rPr>
          <w:spacing w:val="-2"/>
          <w:vertAlign w:val="baseline"/>
        </w:rPr>
        <w:t> </w:t>
      </w:r>
      <w:r>
        <w:rPr>
          <w:vertAlign w:val="baseline"/>
        </w:rPr>
        <w:t>de</w:t>
      </w:r>
      <w:r>
        <w:rPr>
          <w:spacing w:val="-5"/>
          <w:vertAlign w:val="baseline"/>
        </w:rPr>
        <w:t> </w:t>
      </w:r>
      <w:r>
        <w:rPr>
          <w:vertAlign w:val="baseline"/>
        </w:rPr>
        <w:t>aterosclerose</w:t>
      </w:r>
      <w:r>
        <w:rPr>
          <w:spacing w:val="-5"/>
          <w:vertAlign w:val="baseline"/>
        </w:rPr>
        <w:t> </w:t>
      </w:r>
      <w:r>
        <w:rPr>
          <w:vertAlign w:val="baseline"/>
        </w:rPr>
        <w:t>e</w:t>
      </w:r>
      <w:r>
        <w:rPr>
          <w:spacing w:val="-5"/>
          <w:vertAlign w:val="baseline"/>
        </w:rPr>
        <w:t> </w:t>
      </w:r>
      <w:r>
        <w:rPr>
          <w:vertAlign w:val="baseline"/>
        </w:rPr>
        <w:t>de</w:t>
      </w:r>
      <w:r>
        <w:rPr>
          <w:spacing w:val="-5"/>
          <w:vertAlign w:val="baseline"/>
        </w:rPr>
        <w:t> </w:t>
      </w:r>
      <w:r>
        <w:rPr>
          <w:vertAlign w:val="baseline"/>
        </w:rPr>
        <w:t>desfechos clínicos; pelo</w:t>
      </w:r>
      <w:r>
        <w:rPr>
          <w:spacing w:val="-2"/>
          <w:vertAlign w:val="baseline"/>
        </w:rPr>
        <w:t> </w:t>
      </w:r>
      <w:r>
        <w:rPr>
          <w:vertAlign w:val="baseline"/>
        </w:rPr>
        <w:t>contrário, observaram-se</w:t>
      </w:r>
      <w:r>
        <w:rPr>
          <w:spacing w:val="-5"/>
          <w:vertAlign w:val="baseline"/>
        </w:rPr>
        <w:t> </w:t>
      </w:r>
      <w:r>
        <w:rPr>
          <w:vertAlign w:val="baseline"/>
        </w:rPr>
        <w:t>efeitos deletérios traduzidos por aumento</w:t>
      </w:r>
      <w:r>
        <w:rPr>
          <w:spacing w:val="-3"/>
          <w:vertAlign w:val="baseline"/>
        </w:rPr>
        <w:t> </w:t>
      </w:r>
      <w:r>
        <w:rPr>
          <w:vertAlign w:val="baseline"/>
        </w:rPr>
        <w:t>de</w:t>
      </w:r>
      <w:r>
        <w:rPr>
          <w:spacing w:val="-5"/>
          <w:vertAlign w:val="baseline"/>
        </w:rPr>
        <w:t> </w:t>
      </w:r>
      <w:r>
        <w:rPr>
          <w:vertAlign w:val="baseline"/>
        </w:rPr>
        <w:t>morte</w:t>
      </w:r>
      <w:r>
        <w:rPr>
          <w:spacing w:val="-5"/>
          <w:vertAlign w:val="baseline"/>
        </w:rPr>
        <w:t> </w:t>
      </w:r>
      <w:r>
        <w:rPr>
          <w:vertAlign w:val="baseline"/>
        </w:rPr>
        <w:t>cardiovascular entre</w:t>
      </w:r>
      <w:r>
        <w:rPr>
          <w:spacing w:val="-5"/>
          <w:vertAlign w:val="baseline"/>
        </w:rPr>
        <w:t> </w:t>
      </w:r>
      <w:r>
        <w:rPr>
          <w:vertAlign w:val="baseline"/>
        </w:rPr>
        <w:t>os pacientes que</w:t>
      </w:r>
      <w:r>
        <w:rPr>
          <w:spacing w:val="-5"/>
          <w:vertAlign w:val="baseline"/>
        </w:rPr>
        <w:t> </w:t>
      </w:r>
      <w:r>
        <w:rPr>
          <w:vertAlign w:val="baseline"/>
        </w:rPr>
        <w:t>utilizaram</w:t>
      </w:r>
      <w:r>
        <w:rPr>
          <w:spacing w:val="-3"/>
          <w:vertAlign w:val="baseline"/>
        </w:rPr>
        <w:t> </w:t>
      </w:r>
      <w:r>
        <w:rPr>
          <w:vertAlign w:val="baseline"/>
        </w:rPr>
        <w:t>o</w:t>
      </w:r>
      <w:r>
        <w:rPr>
          <w:spacing w:val="-3"/>
          <w:vertAlign w:val="baseline"/>
        </w:rPr>
        <w:t> </w:t>
      </w:r>
      <w:r>
        <w:rPr>
          <w:vertAlign w:val="baseline"/>
        </w:rPr>
        <w:t>fármaco, o que</w:t>
      </w:r>
      <w:r>
        <w:rPr>
          <w:spacing w:val="-1"/>
          <w:vertAlign w:val="baseline"/>
        </w:rPr>
        <w:t> </w:t>
      </w:r>
      <w:r>
        <w:rPr>
          <w:vertAlign w:val="baseline"/>
        </w:rPr>
        <w:t>obrigou a</w:t>
      </w:r>
      <w:r>
        <w:rPr>
          <w:spacing w:val="-1"/>
          <w:vertAlign w:val="baseline"/>
        </w:rPr>
        <w:t> </w:t>
      </w:r>
      <w:r>
        <w:rPr>
          <w:vertAlign w:val="baseline"/>
        </w:rPr>
        <w:t>uma</w:t>
      </w:r>
      <w:r>
        <w:rPr>
          <w:spacing w:val="-1"/>
          <w:vertAlign w:val="baseline"/>
        </w:rPr>
        <w:t> </w:t>
      </w:r>
      <w:r>
        <w:rPr>
          <w:vertAlign w:val="baseline"/>
        </w:rPr>
        <w:t>interrupção precoce</w:t>
      </w:r>
      <w:r>
        <w:rPr>
          <w:spacing w:val="-1"/>
          <w:vertAlign w:val="baseline"/>
        </w:rPr>
        <w:t> </w:t>
      </w:r>
      <w:r>
        <w:rPr>
          <w:vertAlign w:val="baseline"/>
        </w:rPr>
        <w:t>do estudo. Corroborando esses fatos, dados do recente</w:t>
      </w:r>
      <w:r>
        <w:rPr>
          <w:spacing w:val="-1"/>
          <w:vertAlign w:val="baseline"/>
        </w:rPr>
        <w:t> </w:t>
      </w:r>
      <w:r>
        <w:rPr>
          <w:vertAlign w:val="baseline"/>
        </w:rPr>
        <w:t>estudo Multi-Ethnic Study</w:t>
      </w:r>
      <w:r>
        <w:rPr>
          <w:spacing w:val="-8"/>
          <w:vertAlign w:val="baseline"/>
        </w:rPr>
        <w:t> </w:t>
      </w:r>
      <w:r>
        <w:rPr>
          <w:vertAlign w:val="baseline"/>
        </w:rPr>
        <w:t>of</w:t>
      </w:r>
      <w:r>
        <w:rPr>
          <w:spacing w:val="-3"/>
          <w:vertAlign w:val="baseline"/>
        </w:rPr>
        <w:t> </w:t>
      </w:r>
      <w:r>
        <w:rPr>
          <w:vertAlign w:val="baseline"/>
        </w:rPr>
        <w:t>Atherosclerosis (MESA),</w:t>
      </w:r>
      <w:r>
        <w:rPr>
          <w:vertAlign w:val="superscript"/>
        </w:rPr>
        <w:t>51</w:t>
      </w:r>
      <w:r>
        <w:rPr>
          <w:vertAlign w:val="baseline"/>
        </w:rPr>
        <w:t> em</w:t>
      </w:r>
      <w:r>
        <w:rPr>
          <w:spacing w:val="-4"/>
          <w:vertAlign w:val="baseline"/>
        </w:rPr>
        <w:t> </w:t>
      </w:r>
      <w:r>
        <w:rPr>
          <w:vertAlign w:val="baseline"/>
        </w:rPr>
        <w:t>que</w:t>
      </w:r>
      <w:r>
        <w:rPr>
          <w:spacing w:val="-6"/>
          <w:vertAlign w:val="baseline"/>
        </w:rPr>
        <w:t> </w:t>
      </w:r>
      <w:r>
        <w:rPr>
          <w:vertAlign w:val="baseline"/>
        </w:rPr>
        <w:t>se</w:t>
      </w:r>
      <w:r>
        <w:rPr>
          <w:spacing w:val="-6"/>
          <w:vertAlign w:val="baseline"/>
        </w:rPr>
        <w:t> </w:t>
      </w:r>
      <w:r>
        <w:rPr>
          <w:vertAlign w:val="baseline"/>
        </w:rPr>
        <w:t>compararam</w:t>
      </w:r>
      <w:r>
        <w:rPr>
          <w:spacing w:val="-4"/>
          <w:vertAlign w:val="baseline"/>
        </w:rPr>
        <w:t> </w:t>
      </w:r>
      <w:r>
        <w:rPr>
          <w:vertAlign w:val="baseline"/>
        </w:rPr>
        <w:t>eventos cardiovasculares com</w:t>
      </w:r>
      <w:r>
        <w:rPr>
          <w:spacing w:val="-4"/>
          <w:vertAlign w:val="baseline"/>
        </w:rPr>
        <w:t> </w:t>
      </w:r>
      <w:r>
        <w:rPr>
          <w:vertAlign w:val="baseline"/>
        </w:rPr>
        <w:t>concentração</w:t>
      </w:r>
      <w:r>
        <w:rPr>
          <w:spacing w:val="-4"/>
          <w:vertAlign w:val="baseline"/>
        </w:rPr>
        <w:t> </w:t>
      </w:r>
      <w:r>
        <w:rPr>
          <w:vertAlign w:val="baseline"/>
        </w:rPr>
        <w:t>de</w:t>
      </w:r>
      <w:r>
        <w:rPr>
          <w:spacing w:val="-6"/>
          <w:vertAlign w:val="baseline"/>
        </w:rPr>
        <w:t> </w:t>
      </w:r>
      <w:r>
        <w:rPr>
          <w:vertAlign w:val="baseline"/>
        </w:rPr>
        <w:t>HDL-C e com o número de partículas de HDL, comprovaram que as funções antiaterogênicas de HDL eram mais bem representadas por quantas partículas na realidade existiam, em vez do quanto de colesterol elas carregavam. Na verdade, não existe uma razão biológica plausível para se pensar que o colesterol que as partículas de HDL carregam seja uma boa medida, mas apenas o que é possível dosar laboratorialmente, de modo fácil, no momento. A simples dosagem do HDL-C, então, talvez não represente toda a complexidade das partículas de HDL e suas relações com processos ateroscleróticos.</w:t>
      </w:r>
    </w:p>
    <w:p>
      <w:pPr>
        <w:pStyle w:val="BodyText"/>
        <w:spacing w:before="202"/>
        <w:ind w:left="0" w:firstLine="0"/>
        <w:jc w:val="left"/>
      </w:pPr>
    </w:p>
    <w:p>
      <w:pPr>
        <w:pStyle w:val="Heading4"/>
      </w:pPr>
      <w:r>
        <w:rPr>
          <w:color w:val="242B67"/>
        </w:rPr>
        <w:t>Diabetes </w:t>
      </w:r>
      <w:r>
        <w:rPr>
          <w:color w:val="242B67"/>
          <w:spacing w:val="-2"/>
        </w:rPr>
        <w:t>melito</w:t>
      </w:r>
    </w:p>
    <w:p>
      <w:pPr>
        <w:pStyle w:val="BodyText"/>
        <w:spacing w:line="280" w:lineRule="auto" w:before="131"/>
        <w:ind w:right="488"/>
      </w:pPr>
      <w:r>
        <w:rPr/>
        <w:t>Evidências sugerem que a redução agressiva de glicose sanguínea com insulina em pacientes com IAM reduza mortalidade, tanto durante internação como após 1 ano de seguimento.</w:t>
      </w:r>
      <w:r>
        <w:rPr>
          <w:vertAlign w:val="superscript"/>
        </w:rPr>
        <w:t>28</w:t>
      </w:r>
      <w:r>
        <w:rPr>
          <w:vertAlign w:val="baseline"/>
        </w:rPr>
        <w:t> A </w:t>
      </w:r>
      <w:r>
        <w:rPr>
          <w:i/>
          <w:vertAlign w:val="baseline"/>
        </w:rPr>
        <w:t>guideline </w:t>
      </w:r>
      <w:r>
        <w:rPr>
          <w:vertAlign w:val="baseline"/>
        </w:rPr>
        <w:t>do American College of Cardiology/American Heart Association para o tratamento da insuficiência cardíaca crônica identificou o diabetes como um dos fatores de risco para falência cardíaca.</w:t>
      </w:r>
      <w:r>
        <w:rPr>
          <w:vertAlign w:val="superscript"/>
        </w:rPr>
        <w:t>52</w:t>
      </w:r>
      <w:r>
        <w:rPr>
          <w:vertAlign w:val="baseline"/>
        </w:rPr>
        <w:t> Em indivíduos com diabetes, mas sem evidência de doença vascular aterosclerótica, estudos randomizados têm demonstrado que o controle da glicemia promove redução de risco</w:t>
      </w:r>
      <w:r>
        <w:rPr>
          <w:spacing w:val="40"/>
          <w:vertAlign w:val="baseline"/>
        </w:rPr>
        <w:t> </w:t>
      </w:r>
      <w:r>
        <w:rPr>
          <w:vertAlign w:val="baseline"/>
        </w:rPr>
        <w:t>de</w:t>
      </w:r>
      <w:r>
        <w:rPr>
          <w:spacing w:val="39"/>
          <w:vertAlign w:val="baseline"/>
        </w:rPr>
        <w:t> </w:t>
      </w:r>
      <w:r>
        <w:rPr>
          <w:vertAlign w:val="baseline"/>
        </w:rPr>
        <w:t>complicações</w:t>
      </w:r>
      <w:r>
        <w:rPr>
          <w:spacing w:val="40"/>
          <w:vertAlign w:val="baseline"/>
        </w:rPr>
        <w:t> </w:t>
      </w:r>
      <w:r>
        <w:rPr>
          <w:vertAlign w:val="baseline"/>
        </w:rPr>
        <w:t>microvasculares</w:t>
      </w:r>
      <w:r>
        <w:rPr>
          <w:spacing w:val="40"/>
          <w:vertAlign w:val="baseline"/>
        </w:rPr>
        <w:t> </w:t>
      </w:r>
      <w:r>
        <w:rPr>
          <w:vertAlign w:val="baseline"/>
        </w:rPr>
        <w:t>tanto</w:t>
      </w:r>
      <w:r>
        <w:rPr>
          <w:spacing w:val="40"/>
          <w:vertAlign w:val="baseline"/>
        </w:rPr>
        <w:t> </w:t>
      </w:r>
      <w:r>
        <w:rPr>
          <w:vertAlign w:val="baseline"/>
        </w:rPr>
        <w:t>no</w:t>
      </w:r>
      <w:r>
        <w:rPr>
          <w:spacing w:val="40"/>
          <w:vertAlign w:val="baseline"/>
        </w:rPr>
        <w:t> </w:t>
      </w:r>
      <w:r>
        <w:rPr>
          <w:vertAlign w:val="baseline"/>
        </w:rPr>
        <w:t>diabetes</w:t>
      </w:r>
      <w:r>
        <w:rPr>
          <w:spacing w:val="40"/>
          <w:vertAlign w:val="baseline"/>
        </w:rPr>
        <w:t> </w:t>
      </w:r>
      <w:r>
        <w:rPr>
          <w:vertAlign w:val="baseline"/>
        </w:rPr>
        <w:t>tipo</w:t>
      </w:r>
      <w:r>
        <w:rPr>
          <w:spacing w:val="40"/>
          <w:vertAlign w:val="baseline"/>
        </w:rPr>
        <w:t> </w:t>
      </w:r>
      <w:r>
        <w:rPr>
          <w:vertAlign w:val="baseline"/>
        </w:rPr>
        <w:t>1</w:t>
      </w:r>
      <w:r>
        <w:rPr>
          <w:spacing w:val="40"/>
          <w:vertAlign w:val="baseline"/>
        </w:rPr>
        <w:t> </w:t>
      </w:r>
      <w:r>
        <w:rPr>
          <w:vertAlign w:val="baseline"/>
        </w:rPr>
        <w:t>como</w:t>
      </w:r>
      <w:r>
        <w:rPr>
          <w:spacing w:val="40"/>
          <w:vertAlign w:val="baseline"/>
        </w:rPr>
        <w:t> </w:t>
      </w:r>
      <w:r>
        <w:rPr>
          <w:vertAlign w:val="baseline"/>
        </w:rPr>
        <w:t>no</w:t>
      </w:r>
      <w:r>
        <w:rPr>
          <w:spacing w:val="40"/>
          <w:vertAlign w:val="baseline"/>
        </w:rPr>
        <w:t> </w:t>
      </w:r>
      <w:r>
        <w:rPr>
          <w:vertAlign w:val="baseline"/>
        </w:rPr>
        <w:t>tipo</w:t>
      </w:r>
      <w:r>
        <w:rPr>
          <w:spacing w:val="40"/>
          <w:vertAlign w:val="baseline"/>
        </w:rPr>
        <w:t> </w:t>
      </w:r>
      <w:r>
        <w:rPr>
          <w:vertAlign w:val="baseline"/>
        </w:rPr>
        <w:t>2.</w:t>
      </w:r>
      <w:r>
        <w:rPr>
          <w:spacing w:val="40"/>
          <w:vertAlign w:val="baseline"/>
        </w:rPr>
        <w:t> </w:t>
      </w:r>
      <w:r>
        <w:rPr>
          <w:vertAlign w:val="baseline"/>
        </w:rPr>
        <w:t>Novas</w:t>
      </w:r>
      <w:r>
        <w:rPr>
          <w:spacing w:val="40"/>
          <w:vertAlign w:val="baseline"/>
        </w:rPr>
        <w:t> </w:t>
      </w:r>
      <w:r>
        <w:rPr>
          <w:vertAlign w:val="baseline"/>
        </w:rPr>
        <w:t>drogas</w:t>
      </w:r>
      <w:r>
        <w:rPr>
          <w:spacing w:val="40"/>
          <w:vertAlign w:val="baseline"/>
        </w:rPr>
        <w:t> </w:t>
      </w:r>
      <w:r>
        <w:rPr>
          <w:vertAlign w:val="baseline"/>
        </w:rPr>
        <w:t>antidiabéticas</w:t>
      </w:r>
    </w:p>
    <w:p>
      <w:pPr>
        <w:pStyle w:val="BodyText"/>
        <w:spacing w:after="0" w:line="280" w:lineRule="auto"/>
        <w:sectPr>
          <w:pgSz w:w="11900" w:h="16840"/>
          <w:pgMar w:top="200" w:bottom="280" w:left="566" w:right="141"/>
        </w:sectPr>
      </w:pPr>
    </w:p>
    <w:p>
      <w:pPr>
        <w:pStyle w:val="BodyText"/>
        <w:spacing w:line="280" w:lineRule="auto" w:before="78"/>
        <w:ind w:right="496" w:firstLine="0"/>
      </w:pPr>
      <w:r>
        <w:rPr/>
        <w:t>demonstraram</w:t>
      </w:r>
      <w:r>
        <w:rPr>
          <w:spacing w:val="-6"/>
        </w:rPr>
        <w:t> </w:t>
      </w:r>
      <w:r>
        <w:rPr/>
        <w:t>suprimir</w:t>
      </w:r>
      <w:r>
        <w:rPr>
          <w:spacing w:val="-1"/>
        </w:rPr>
        <w:t> </w:t>
      </w:r>
      <w:r>
        <w:rPr/>
        <w:t>proliferação</w:t>
      </w:r>
      <w:r>
        <w:rPr>
          <w:spacing w:val="-6"/>
        </w:rPr>
        <w:t> </w:t>
      </w:r>
      <w:r>
        <w:rPr/>
        <w:t>neointimal, que</w:t>
      </w:r>
      <w:r>
        <w:rPr>
          <w:spacing w:val="-8"/>
        </w:rPr>
        <w:t> </w:t>
      </w:r>
      <w:r>
        <w:rPr/>
        <w:t>pode</w:t>
      </w:r>
      <w:r>
        <w:rPr>
          <w:spacing w:val="-8"/>
        </w:rPr>
        <w:t> </w:t>
      </w:r>
      <w:r>
        <w:rPr/>
        <w:t>estar</w:t>
      </w:r>
      <w:r>
        <w:rPr>
          <w:spacing w:val="-1"/>
        </w:rPr>
        <w:t> </w:t>
      </w:r>
      <w:r>
        <w:rPr/>
        <w:t>relacionada</w:t>
      </w:r>
      <w:r>
        <w:rPr>
          <w:spacing w:val="-8"/>
        </w:rPr>
        <w:t> </w:t>
      </w:r>
      <w:r>
        <w:rPr/>
        <w:t>com</w:t>
      </w:r>
      <w:r>
        <w:rPr>
          <w:spacing w:val="-6"/>
        </w:rPr>
        <w:t> </w:t>
      </w:r>
      <w:r>
        <w:rPr/>
        <w:t>a</w:t>
      </w:r>
      <w:r>
        <w:rPr>
          <w:spacing w:val="-8"/>
        </w:rPr>
        <w:t> </w:t>
      </w:r>
      <w:r>
        <w:rPr/>
        <w:t>melhoria</w:t>
      </w:r>
      <w:r>
        <w:rPr>
          <w:spacing w:val="-8"/>
        </w:rPr>
        <w:t> </w:t>
      </w:r>
      <w:r>
        <w:rPr/>
        <w:t>da</w:t>
      </w:r>
      <w:r>
        <w:rPr>
          <w:spacing w:val="-8"/>
        </w:rPr>
        <w:t> </w:t>
      </w:r>
      <w:r>
        <w:rPr/>
        <w:t>disfunção</w:t>
      </w:r>
      <w:r>
        <w:rPr>
          <w:spacing w:val="-6"/>
        </w:rPr>
        <w:t> </w:t>
      </w:r>
      <w:r>
        <w:rPr/>
        <w:t>endotelial. Particularmente</w:t>
      </w:r>
      <w:r>
        <w:rPr>
          <w:spacing w:val="-2"/>
        </w:rPr>
        <w:t> </w:t>
      </w:r>
      <w:r>
        <w:rPr/>
        <w:t>em pacientes com cardiomiopatia</w:t>
      </w:r>
      <w:r>
        <w:rPr>
          <w:spacing w:val="-2"/>
        </w:rPr>
        <w:t> </w:t>
      </w:r>
      <w:r>
        <w:rPr/>
        <w:t>isquêmica, essas drogas podem ser benéficas.</w:t>
      </w:r>
      <w:r>
        <w:rPr>
          <w:vertAlign w:val="superscript"/>
        </w:rPr>
        <w:t>53</w:t>
      </w:r>
      <w:r>
        <w:rPr>
          <w:vertAlign w:val="baseline"/>
        </w:rPr>
        <w:t> Apesar de ainda não haver estudos randomizados especificamente para redução de pressão arterial em pacientes com doença aterosclerótica</w:t>
      </w:r>
      <w:r>
        <w:rPr>
          <w:spacing w:val="-10"/>
          <w:vertAlign w:val="baseline"/>
        </w:rPr>
        <w:t> </w:t>
      </w:r>
      <w:r>
        <w:rPr>
          <w:vertAlign w:val="baseline"/>
        </w:rPr>
        <w:t>e</w:t>
      </w:r>
      <w:r>
        <w:rPr>
          <w:spacing w:val="-10"/>
          <w:vertAlign w:val="baseline"/>
        </w:rPr>
        <w:t> </w:t>
      </w:r>
      <w:r>
        <w:rPr>
          <w:vertAlign w:val="baseline"/>
        </w:rPr>
        <w:t>diabetes,</w:t>
      </w:r>
      <w:r>
        <w:rPr>
          <w:spacing w:val="-1"/>
          <w:vertAlign w:val="baseline"/>
        </w:rPr>
        <w:t> </w:t>
      </w:r>
      <w:r>
        <w:rPr>
          <w:vertAlign w:val="baseline"/>
        </w:rPr>
        <w:t>vários</w:t>
      </w:r>
      <w:r>
        <w:rPr>
          <w:spacing w:val="-1"/>
          <w:vertAlign w:val="baseline"/>
        </w:rPr>
        <w:t> </w:t>
      </w:r>
      <w:r>
        <w:rPr>
          <w:vertAlign w:val="baseline"/>
        </w:rPr>
        <w:t>subestudos</w:t>
      </w:r>
      <w:r>
        <w:rPr>
          <w:spacing w:val="-1"/>
          <w:vertAlign w:val="baseline"/>
        </w:rPr>
        <w:t> </w:t>
      </w:r>
      <w:r>
        <w:rPr>
          <w:vertAlign w:val="baseline"/>
        </w:rPr>
        <w:t>de</w:t>
      </w:r>
      <w:r>
        <w:rPr>
          <w:spacing w:val="-10"/>
          <w:vertAlign w:val="baseline"/>
        </w:rPr>
        <w:t> </w:t>
      </w:r>
      <w:r>
        <w:rPr>
          <w:vertAlign w:val="baseline"/>
        </w:rPr>
        <w:t>pacientes</w:t>
      </w:r>
      <w:r>
        <w:rPr>
          <w:spacing w:val="-1"/>
          <w:vertAlign w:val="baseline"/>
        </w:rPr>
        <w:t> </w:t>
      </w:r>
      <w:r>
        <w:rPr>
          <w:vertAlign w:val="baseline"/>
        </w:rPr>
        <w:t>diabéticos</w:t>
      </w:r>
      <w:r>
        <w:rPr>
          <w:spacing w:val="-1"/>
          <w:vertAlign w:val="baseline"/>
        </w:rPr>
        <w:t> </w:t>
      </w:r>
      <w:r>
        <w:rPr>
          <w:vertAlign w:val="baseline"/>
        </w:rPr>
        <w:t>com</w:t>
      </w:r>
      <w:r>
        <w:rPr>
          <w:spacing w:val="-7"/>
          <w:vertAlign w:val="baseline"/>
        </w:rPr>
        <w:t> </w:t>
      </w:r>
      <w:r>
        <w:rPr>
          <w:vertAlign w:val="baseline"/>
        </w:rPr>
        <w:t>IAM</w:t>
      </w:r>
      <w:r>
        <w:rPr>
          <w:spacing w:val="-3"/>
          <w:vertAlign w:val="baseline"/>
        </w:rPr>
        <w:t> </w:t>
      </w:r>
      <w:r>
        <w:rPr>
          <w:vertAlign w:val="baseline"/>
        </w:rPr>
        <w:t>mostraram</w:t>
      </w:r>
      <w:r>
        <w:rPr>
          <w:spacing w:val="-7"/>
          <w:vertAlign w:val="baseline"/>
        </w:rPr>
        <w:t> </w:t>
      </w:r>
      <w:r>
        <w:rPr>
          <w:vertAlign w:val="baseline"/>
        </w:rPr>
        <w:t>benefícios</w:t>
      </w:r>
      <w:r>
        <w:rPr>
          <w:spacing w:val="-1"/>
          <w:vertAlign w:val="baseline"/>
        </w:rPr>
        <w:t> </w:t>
      </w:r>
      <w:r>
        <w:rPr>
          <w:vertAlign w:val="baseline"/>
        </w:rPr>
        <w:t>com</w:t>
      </w:r>
      <w:r>
        <w:rPr>
          <w:spacing w:val="-7"/>
          <w:vertAlign w:val="baseline"/>
        </w:rPr>
        <w:t> </w:t>
      </w:r>
      <w:r>
        <w:rPr>
          <w:vertAlign w:val="baseline"/>
        </w:rPr>
        <w:t>utilização de betabloqueadores e IECA.</w:t>
      </w:r>
      <w:r>
        <w:rPr>
          <w:vertAlign w:val="superscript"/>
        </w:rPr>
        <w:t>28</w:t>
      </w:r>
      <w:r>
        <w:rPr>
          <w:vertAlign w:val="baseline"/>
        </w:rPr>
        <w:t> Análise de subgrupos em grandes estudos com vastatinas mostrou reduções de eventos semelhantes ou maiores entre os indivíduos diabéticos comparados aos não diabéticos.</w:t>
      </w:r>
      <w:r>
        <w:rPr>
          <w:vertAlign w:val="superscript"/>
        </w:rPr>
        <w:t>24</w:t>
      </w:r>
      <w:r>
        <w:rPr>
          <w:vertAlign w:val="baseline"/>
        </w:rPr>
        <w:t> O estudo com indivíduos diabéticos tipo</w:t>
      </w:r>
      <w:r>
        <w:rPr>
          <w:spacing w:val="-7"/>
          <w:vertAlign w:val="baseline"/>
        </w:rPr>
        <w:t> </w:t>
      </w:r>
      <w:r>
        <w:rPr>
          <w:vertAlign w:val="baseline"/>
        </w:rPr>
        <w:t>2</w:t>
      </w:r>
      <w:r>
        <w:rPr>
          <w:spacing w:val="-7"/>
          <w:vertAlign w:val="baseline"/>
        </w:rPr>
        <w:t> </w:t>
      </w:r>
      <w:r>
        <w:rPr>
          <w:vertAlign w:val="baseline"/>
        </w:rPr>
        <w:t>(United</w:t>
      </w:r>
      <w:r>
        <w:rPr>
          <w:spacing w:val="-7"/>
          <w:vertAlign w:val="baseline"/>
        </w:rPr>
        <w:t> </w:t>
      </w:r>
      <w:r>
        <w:rPr>
          <w:vertAlign w:val="baseline"/>
        </w:rPr>
        <w:t>Kingdom</w:t>
      </w:r>
      <w:r>
        <w:rPr>
          <w:spacing w:val="-7"/>
          <w:vertAlign w:val="baseline"/>
        </w:rPr>
        <w:t> </w:t>
      </w:r>
      <w:r>
        <w:rPr>
          <w:vertAlign w:val="baseline"/>
        </w:rPr>
        <w:t>Prospective</w:t>
      </w:r>
      <w:r>
        <w:rPr>
          <w:spacing w:val="-9"/>
          <w:vertAlign w:val="baseline"/>
        </w:rPr>
        <w:t> </w:t>
      </w:r>
      <w:r>
        <w:rPr>
          <w:vertAlign w:val="baseline"/>
        </w:rPr>
        <w:t>Diabetes Study</w:t>
      </w:r>
      <w:r>
        <w:rPr>
          <w:spacing w:val="-7"/>
          <w:vertAlign w:val="baseline"/>
        </w:rPr>
        <w:t> </w:t>
      </w:r>
      <w:r>
        <w:rPr>
          <w:vertAlign w:val="baseline"/>
        </w:rPr>
        <w:t>[UKPDS])</w:t>
      </w:r>
      <w:r>
        <w:rPr>
          <w:spacing w:val="-1"/>
          <w:vertAlign w:val="baseline"/>
        </w:rPr>
        <w:t> </w:t>
      </w:r>
      <w:r>
        <w:rPr>
          <w:vertAlign w:val="baseline"/>
        </w:rPr>
        <w:t>demonstrou</w:t>
      </w:r>
      <w:r>
        <w:rPr>
          <w:spacing w:val="-7"/>
          <w:vertAlign w:val="baseline"/>
        </w:rPr>
        <w:t> </w:t>
      </w:r>
      <w:r>
        <w:rPr>
          <w:vertAlign w:val="baseline"/>
        </w:rPr>
        <w:t>que</w:t>
      </w:r>
      <w:r>
        <w:rPr>
          <w:spacing w:val="-9"/>
          <w:vertAlign w:val="baseline"/>
        </w:rPr>
        <w:t> </w:t>
      </w:r>
      <w:r>
        <w:rPr>
          <w:vertAlign w:val="baseline"/>
        </w:rPr>
        <w:t>o</w:t>
      </w:r>
      <w:r>
        <w:rPr>
          <w:spacing w:val="-7"/>
          <w:vertAlign w:val="baseline"/>
        </w:rPr>
        <w:t> </w:t>
      </w:r>
      <w:r>
        <w:rPr>
          <w:vertAlign w:val="baseline"/>
        </w:rPr>
        <w:t>controle</w:t>
      </w:r>
      <w:r>
        <w:rPr>
          <w:spacing w:val="-9"/>
          <w:vertAlign w:val="baseline"/>
        </w:rPr>
        <w:t> </w:t>
      </w:r>
      <w:r>
        <w:rPr>
          <w:vertAlign w:val="baseline"/>
        </w:rPr>
        <w:t>da glicemia leva a uma tendência na redução de IAM, além de, um dado ainda mais importante, ao reduzir a pressão arterial desses indivíduos, ter havido significativa redução de risco de IAM.</w:t>
      </w:r>
      <w:r>
        <w:rPr>
          <w:vertAlign w:val="superscript"/>
        </w:rPr>
        <w:t>54</w:t>
      </w:r>
      <w:r>
        <w:rPr>
          <w:vertAlign w:val="baseline"/>
        </w:rPr>
        <w:t> Também, em pacientes diabéticos, observou-se</w:t>
      </w:r>
      <w:r>
        <w:rPr>
          <w:spacing w:val="-8"/>
          <w:vertAlign w:val="baseline"/>
        </w:rPr>
        <w:t> </w:t>
      </w:r>
      <w:r>
        <w:rPr>
          <w:vertAlign w:val="baseline"/>
        </w:rPr>
        <w:t>claramente</w:t>
      </w:r>
      <w:r>
        <w:rPr>
          <w:spacing w:val="-8"/>
          <w:vertAlign w:val="baseline"/>
        </w:rPr>
        <w:t> </w:t>
      </w:r>
      <w:r>
        <w:rPr>
          <w:vertAlign w:val="baseline"/>
        </w:rPr>
        <w:t>que</w:t>
      </w:r>
      <w:r>
        <w:rPr>
          <w:spacing w:val="-8"/>
          <w:vertAlign w:val="baseline"/>
        </w:rPr>
        <w:t> </w:t>
      </w:r>
      <w:r>
        <w:rPr>
          <w:vertAlign w:val="baseline"/>
        </w:rPr>
        <w:t>a</w:t>
      </w:r>
      <w:r>
        <w:rPr>
          <w:spacing w:val="-8"/>
          <w:vertAlign w:val="baseline"/>
        </w:rPr>
        <w:t> </w:t>
      </w:r>
      <w:r>
        <w:rPr>
          <w:vertAlign w:val="baseline"/>
        </w:rPr>
        <w:t>existência</w:t>
      </w:r>
      <w:r>
        <w:rPr>
          <w:spacing w:val="-8"/>
          <w:vertAlign w:val="baseline"/>
        </w:rPr>
        <w:t> </w:t>
      </w:r>
      <w:r>
        <w:rPr>
          <w:vertAlign w:val="baseline"/>
        </w:rPr>
        <w:t>de</w:t>
      </w:r>
      <w:r>
        <w:rPr>
          <w:spacing w:val="-8"/>
          <w:vertAlign w:val="baseline"/>
        </w:rPr>
        <w:t> </w:t>
      </w:r>
      <w:r>
        <w:rPr>
          <w:vertAlign w:val="baseline"/>
        </w:rPr>
        <w:t>partículas HDL disfuncionantes influencia</w:t>
      </w:r>
      <w:r>
        <w:rPr>
          <w:spacing w:val="-8"/>
          <w:vertAlign w:val="baseline"/>
        </w:rPr>
        <w:t> </w:t>
      </w:r>
      <w:r>
        <w:rPr>
          <w:vertAlign w:val="baseline"/>
        </w:rPr>
        <w:t>diretamente</w:t>
      </w:r>
      <w:r>
        <w:rPr>
          <w:spacing w:val="-8"/>
          <w:vertAlign w:val="baseline"/>
        </w:rPr>
        <w:t> </w:t>
      </w:r>
      <w:r>
        <w:rPr>
          <w:vertAlign w:val="baseline"/>
        </w:rPr>
        <w:t>menor produção de</w:t>
      </w:r>
      <w:r>
        <w:rPr>
          <w:spacing w:val="-7"/>
          <w:vertAlign w:val="baseline"/>
        </w:rPr>
        <w:t> </w:t>
      </w:r>
      <w:r>
        <w:rPr>
          <w:vertAlign w:val="baseline"/>
        </w:rPr>
        <w:t>óxido</w:t>
      </w:r>
      <w:r>
        <w:rPr>
          <w:spacing w:val="-4"/>
          <w:vertAlign w:val="baseline"/>
        </w:rPr>
        <w:t> </w:t>
      </w:r>
      <w:r>
        <w:rPr>
          <w:vertAlign w:val="baseline"/>
        </w:rPr>
        <w:t>nítrico</w:t>
      </w:r>
      <w:r>
        <w:rPr>
          <w:spacing w:val="-4"/>
          <w:vertAlign w:val="baseline"/>
        </w:rPr>
        <w:t> </w:t>
      </w:r>
      <w:r>
        <w:rPr>
          <w:vertAlign w:val="baseline"/>
        </w:rPr>
        <w:t>pelo</w:t>
      </w:r>
      <w:r>
        <w:rPr>
          <w:spacing w:val="-4"/>
          <w:vertAlign w:val="baseline"/>
        </w:rPr>
        <w:t> </w:t>
      </w:r>
      <w:r>
        <w:rPr>
          <w:vertAlign w:val="baseline"/>
        </w:rPr>
        <w:t>endotélio, levando</w:t>
      </w:r>
      <w:r>
        <w:rPr>
          <w:spacing w:val="-4"/>
          <w:vertAlign w:val="baseline"/>
        </w:rPr>
        <w:t> </w:t>
      </w:r>
      <w:r>
        <w:rPr>
          <w:vertAlign w:val="baseline"/>
        </w:rPr>
        <w:t>a</w:t>
      </w:r>
      <w:r>
        <w:rPr>
          <w:spacing w:val="-7"/>
          <w:vertAlign w:val="baseline"/>
        </w:rPr>
        <w:t> </w:t>
      </w:r>
      <w:r>
        <w:rPr>
          <w:vertAlign w:val="baseline"/>
        </w:rPr>
        <w:t>vasculatura</w:t>
      </w:r>
      <w:r>
        <w:rPr>
          <w:spacing w:val="-7"/>
          <w:vertAlign w:val="baseline"/>
        </w:rPr>
        <w:t> </w:t>
      </w:r>
      <w:r>
        <w:rPr>
          <w:vertAlign w:val="baseline"/>
        </w:rPr>
        <w:t>a</w:t>
      </w:r>
      <w:r>
        <w:rPr>
          <w:spacing w:val="-7"/>
          <w:vertAlign w:val="baseline"/>
        </w:rPr>
        <w:t> </w:t>
      </w:r>
      <w:r>
        <w:rPr>
          <w:vertAlign w:val="baseline"/>
        </w:rPr>
        <w:t>um</w:t>
      </w:r>
      <w:r>
        <w:rPr>
          <w:spacing w:val="-4"/>
          <w:vertAlign w:val="baseline"/>
        </w:rPr>
        <w:t> </w:t>
      </w:r>
      <w:r>
        <w:rPr>
          <w:vertAlign w:val="baseline"/>
        </w:rPr>
        <w:t>estado</w:t>
      </w:r>
      <w:r>
        <w:rPr>
          <w:spacing w:val="-4"/>
          <w:vertAlign w:val="baseline"/>
        </w:rPr>
        <w:t> </w:t>
      </w:r>
      <w:r>
        <w:rPr>
          <w:vertAlign w:val="baseline"/>
        </w:rPr>
        <w:t>preponderantemente</w:t>
      </w:r>
      <w:r>
        <w:rPr>
          <w:spacing w:val="-7"/>
          <w:vertAlign w:val="baseline"/>
        </w:rPr>
        <w:t> </w:t>
      </w:r>
      <w:r>
        <w:rPr>
          <w:vertAlign w:val="baseline"/>
        </w:rPr>
        <w:t>vasoconstritor, situação</w:t>
      </w:r>
      <w:r>
        <w:rPr>
          <w:spacing w:val="-4"/>
          <w:vertAlign w:val="baseline"/>
        </w:rPr>
        <w:t> </w:t>
      </w:r>
      <w:r>
        <w:rPr>
          <w:vertAlign w:val="baseline"/>
        </w:rPr>
        <w:t>que sabidamente propicia a aterosclerose. A taxa de HDL de pacientes com diabetes melito tipo 2 perde em muito a capacidade</w:t>
      </w:r>
      <w:r>
        <w:rPr>
          <w:spacing w:val="-5"/>
          <w:vertAlign w:val="baseline"/>
        </w:rPr>
        <w:t> </w:t>
      </w:r>
      <w:r>
        <w:rPr>
          <w:vertAlign w:val="baseline"/>
        </w:rPr>
        <w:t>de</w:t>
      </w:r>
      <w:r>
        <w:rPr>
          <w:spacing w:val="-5"/>
          <w:vertAlign w:val="baseline"/>
        </w:rPr>
        <w:t> </w:t>
      </w:r>
      <w:r>
        <w:rPr>
          <w:vertAlign w:val="baseline"/>
        </w:rPr>
        <w:t>estimular diretamente</w:t>
      </w:r>
      <w:r>
        <w:rPr>
          <w:spacing w:val="-5"/>
          <w:vertAlign w:val="baseline"/>
        </w:rPr>
        <w:t> </w:t>
      </w:r>
      <w:r>
        <w:rPr>
          <w:vertAlign w:val="baseline"/>
        </w:rPr>
        <w:t>a</w:t>
      </w:r>
      <w:r>
        <w:rPr>
          <w:spacing w:val="-5"/>
          <w:vertAlign w:val="baseline"/>
        </w:rPr>
        <w:t> </w:t>
      </w:r>
      <w:r>
        <w:rPr>
          <w:vertAlign w:val="baseline"/>
        </w:rPr>
        <w:t>produção</w:t>
      </w:r>
      <w:r>
        <w:rPr>
          <w:spacing w:val="-3"/>
          <w:vertAlign w:val="baseline"/>
        </w:rPr>
        <w:t> </w:t>
      </w:r>
      <w:r>
        <w:rPr>
          <w:vertAlign w:val="baseline"/>
        </w:rPr>
        <w:t>de</w:t>
      </w:r>
      <w:r>
        <w:rPr>
          <w:spacing w:val="-5"/>
          <w:vertAlign w:val="baseline"/>
        </w:rPr>
        <w:t> </w:t>
      </w:r>
      <w:r>
        <w:rPr>
          <w:vertAlign w:val="baseline"/>
        </w:rPr>
        <w:t>óxido</w:t>
      </w:r>
      <w:r>
        <w:rPr>
          <w:spacing w:val="-3"/>
          <w:vertAlign w:val="baseline"/>
        </w:rPr>
        <w:t> </w:t>
      </w:r>
      <w:r>
        <w:rPr>
          <w:vertAlign w:val="baseline"/>
        </w:rPr>
        <w:t>nítrico</w:t>
      </w:r>
      <w:r>
        <w:rPr>
          <w:spacing w:val="-3"/>
          <w:vertAlign w:val="baseline"/>
        </w:rPr>
        <w:t> </w:t>
      </w:r>
      <w:r>
        <w:rPr>
          <w:vertAlign w:val="baseline"/>
        </w:rPr>
        <w:t>endotelial vascular, em</w:t>
      </w:r>
      <w:r>
        <w:rPr>
          <w:spacing w:val="-3"/>
          <w:vertAlign w:val="baseline"/>
        </w:rPr>
        <w:t> </w:t>
      </w:r>
      <w:r>
        <w:rPr>
          <w:vertAlign w:val="baseline"/>
        </w:rPr>
        <w:t>contraste</w:t>
      </w:r>
      <w:r>
        <w:rPr>
          <w:spacing w:val="-5"/>
          <w:vertAlign w:val="baseline"/>
        </w:rPr>
        <w:t> </w:t>
      </w:r>
      <w:r>
        <w:rPr>
          <w:vertAlign w:val="baseline"/>
        </w:rPr>
        <w:t>marcante</w:t>
      </w:r>
      <w:r>
        <w:rPr>
          <w:spacing w:val="-5"/>
          <w:vertAlign w:val="baseline"/>
        </w:rPr>
        <w:t> </w:t>
      </w:r>
      <w:r>
        <w:rPr>
          <w:vertAlign w:val="baseline"/>
        </w:rPr>
        <w:t>com</w:t>
      </w:r>
      <w:r>
        <w:rPr>
          <w:spacing w:val="-3"/>
          <w:vertAlign w:val="baseline"/>
        </w:rPr>
        <w:t> </w:t>
      </w:r>
      <w:r>
        <w:rPr>
          <w:vertAlign w:val="baseline"/>
        </w:rPr>
        <w:t>os efeitos observados de HDL de indivíduos saudáveis.</w:t>
      </w:r>
      <w:r>
        <w:rPr>
          <w:vertAlign w:val="superscript"/>
        </w:rPr>
        <w:t>55</w:t>
      </w:r>
      <w:r>
        <w:rPr>
          <w:vertAlign w:val="baseline"/>
        </w:rPr>
        <w:t> O exercício físico, quando praticado de modo intenso e regular por longos períodos, pode levar tanto a um aumento no HDL-C como a melhora na reatividade vascular. Entretanto, sabe-se hoje em dia que o exercício físico promove precocemente benefícios nas lipoproteínas plasmáticas de pacientes com HDL-C baixo, como os portadores da síndrome metabólica, promovendo melhora substancial das características funcionais das partículas de HDL, antes mesmo de aumentar a concentração plasmática de HDL-C.</w:t>
      </w:r>
      <w:r>
        <w:rPr>
          <w:vertAlign w:val="superscript"/>
        </w:rPr>
        <w:t>56</w:t>
      </w:r>
    </w:p>
    <w:p>
      <w:pPr>
        <w:pStyle w:val="BodyText"/>
        <w:spacing w:before="187"/>
        <w:ind w:left="0" w:firstLine="0"/>
        <w:jc w:val="left"/>
      </w:pPr>
    </w:p>
    <w:p>
      <w:pPr>
        <w:pStyle w:val="Heading4"/>
        <w:jc w:val="both"/>
      </w:pPr>
      <w:r>
        <w:rPr>
          <w:color w:val="242B67"/>
        </w:rPr>
        <w:t>Tratamento </w:t>
      </w:r>
      <w:r>
        <w:rPr>
          <w:color w:val="242B67"/>
          <w:spacing w:val="-2"/>
        </w:rPr>
        <w:t>medicamentoso</w:t>
      </w:r>
    </w:p>
    <w:p>
      <w:pPr>
        <w:pStyle w:val="BodyText"/>
        <w:spacing w:line="280" w:lineRule="auto" w:before="132"/>
        <w:ind w:right="488"/>
      </w:pPr>
      <w:r>
        <w:rPr/>
        <w:t>A farmacoterapia cardiovascular continua a evoluir rapidamente, com novos agentes que são utilizados para preencher as lacunas existentes ou para diminuir as reações adversas das terapias existentes.</w:t>
      </w:r>
      <w:r>
        <w:rPr>
          <w:vertAlign w:val="superscript"/>
        </w:rPr>
        <w:t>57,58</w:t>
      </w:r>
      <w:r>
        <w:rPr>
          <w:vertAlign w:val="baseline"/>
        </w:rPr>
        <w:t> Em indivíduos</w:t>
      </w:r>
      <w:r>
        <w:rPr>
          <w:spacing w:val="40"/>
          <w:vertAlign w:val="baseline"/>
        </w:rPr>
        <w:t> </w:t>
      </w:r>
      <w:r>
        <w:rPr>
          <w:vertAlign w:val="baseline"/>
        </w:rPr>
        <w:t>com</w:t>
      </w:r>
      <w:r>
        <w:rPr>
          <w:spacing w:val="-11"/>
          <w:vertAlign w:val="baseline"/>
        </w:rPr>
        <w:t> </w:t>
      </w:r>
      <w:r>
        <w:rPr>
          <w:vertAlign w:val="baseline"/>
        </w:rPr>
        <w:t>alto</w:t>
      </w:r>
      <w:r>
        <w:rPr>
          <w:spacing w:val="-11"/>
          <w:vertAlign w:val="baseline"/>
        </w:rPr>
        <w:t> </w:t>
      </w:r>
      <w:r>
        <w:rPr>
          <w:vertAlign w:val="baseline"/>
        </w:rPr>
        <w:t>risco</w:t>
      </w:r>
      <w:r>
        <w:rPr>
          <w:spacing w:val="-11"/>
          <w:vertAlign w:val="baseline"/>
        </w:rPr>
        <w:t> </w:t>
      </w:r>
      <w:r>
        <w:rPr>
          <w:vertAlign w:val="baseline"/>
        </w:rPr>
        <w:t>para</w:t>
      </w:r>
      <w:r>
        <w:rPr>
          <w:spacing w:val="-13"/>
          <w:vertAlign w:val="baseline"/>
        </w:rPr>
        <w:t> </w:t>
      </w:r>
      <w:r>
        <w:rPr>
          <w:vertAlign w:val="baseline"/>
        </w:rPr>
        <w:t>desenvolvimento</w:t>
      </w:r>
      <w:r>
        <w:rPr>
          <w:spacing w:val="-11"/>
          <w:vertAlign w:val="baseline"/>
        </w:rPr>
        <w:t> </w:t>
      </w:r>
      <w:r>
        <w:rPr>
          <w:vertAlign w:val="baseline"/>
        </w:rPr>
        <w:t>de</w:t>
      </w:r>
      <w:r>
        <w:rPr>
          <w:spacing w:val="-13"/>
          <w:vertAlign w:val="baseline"/>
        </w:rPr>
        <w:t> </w:t>
      </w:r>
      <w:r>
        <w:rPr>
          <w:vertAlign w:val="baseline"/>
        </w:rPr>
        <w:t>DAC</w:t>
      </w:r>
      <w:r>
        <w:rPr>
          <w:spacing w:val="-4"/>
          <w:vertAlign w:val="baseline"/>
        </w:rPr>
        <w:t> </w:t>
      </w:r>
      <w:r>
        <w:rPr>
          <w:vertAlign w:val="baseline"/>
        </w:rPr>
        <w:t>ou</w:t>
      </w:r>
      <w:r>
        <w:rPr>
          <w:spacing w:val="-11"/>
          <w:vertAlign w:val="baseline"/>
        </w:rPr>
        <w:t> </w:t>
      </w:r>
      <w:r>
        <w:rPr>
          <w:vertAlign w:val="baseline"/>
        </w:rPr>
        <w:t>qualquer</w:t>
      </w:r>
      <w:r>
        <w:rPr>
          <w:spacing w:val="-6"/>
          <w:vertAlign w:val="baseline"/>
        </w:rPr>
        <w:t> </w:t>
      </w:r>
      <w:r>
        <w:rPr>
          <w:vertAlign w:val="baseline"/>
        </w:rPr>
        <w:t>outra</w:t>
      </w:r>
      <w:r>
        <w:rPr>
          <w:spacing w:val="-13"/>
          <w:vertAlign w:val="baseline"/>
        </w:rPr>
        <w:t> </w:t>
      </w:r>
      <w:r>
        <w:rPr>
          <w:vertAlign w:val="baseline"/>
        </w:rPr>
        <w:t>doença</w:t>
      </w:r>
      <w:r>
        <w:rPr>
          <w:spacing w:val="-13"/>
          <w:vertAlign w:val="baseline"/>
        </w:rPr>
        <w:t> </w:t>
      </w:r>
      <w:r>
        <w:rPr>
          <w:vertAlign w:val="baseline"/>
        </w:rPr>
        <w:t>vascular</w:t>
      </w:r>
      <w:r>
        <w:rPr>
          <w:spacing w:val="-6"/>
          <w:vertAlign w:val="baseline"/>
        </w:rPr>
        <w:t> </w:t>
      </w:r>
      <w:r>
        <w:rPr>
          <w:vertAlign w:val="baseline"/>
        </w:rPr>
        <w:t>aterosclerótica,</w:t>
      </w:r>
      <w:r>
        <w:rPr>
          <w:spacing w:val="-4"/>
          <w:vertAlign w:val="baseline"/>
        </w:rPr>
        <w:t> </w:t>
      </w:r>
      <w:r>
        <w:rPr>
          <w:vertAlign w:val="baseline"/>
        </w:rPr>
        <w:t>existem</w:t>
      </w:r>
      <w:r>
        <w:rPr>
          <w:spacing w:val="-11"/>
          <w:vertAlign w:val="baseline"/>
        </w:rPr>
        <w:t> </w:t>
      </w:r>
      <w:r>
        <w:rPr>
          <w:vertAlign w:val="baseline"/>
        </w:rPr>
        <w:t>evidências, por meio de estudos randomizados, do benefício no uso de ácido acetilsalicílico profilático na redução de risco.</w:t>
      </w:r>
      <w:r>
        <w:rPr>
          <w:vertAlign w:val="superscript"/>
        </w:rPr>
        <w:t>59</w:t>
      </w:r>
      <w:r>
        <w:rPr>
          <w:vertAlign w:val="baseline"/>
        </w:rPr>
        <w:t> Tendências crescentes em nível mundial sugerem que indivíduos em risco intermediário ou alto risco para eventos graves podem se beneficiar com a utilização de 75 a 160 mg/dia de ácido acetilsalicílico, mesmo sem doença aterosclerótica definida.</w:t>
      </w:r>
      <w:r>
        <w:rPr>
          <w:vertAlign w:val="superscript"/>
        </w:rPr>
        <w:t>28</w:t>
      </w:r>
      <w:r>
        <w:rPr>
          <w:vertAlign w:val="baseline"/>
        </w:rPr>
        <w:t> Para pacientes com DAC ou qualquer outra doença aterosclerótica, a utilização de ácido acetilsalicílico em dose igual ou maior que 75 mg/dia ou outra droga antiagregante plaquetária é universalmente recomendável.</w:t>
      </w:r>
      <w:r>
        <w:rPr>
          <w:spacing w:val="-1"/>
          <w:vertAlign w:val="baseline"/>
        </w:rPr>
        <w:t> </w:t>
      </w:r>
      <w:r>
        <w:rPr>
          <w:vertAlign w:val="baseline"/>
        </w:rPr>
        <w:t>Em</w:t>
      </w:r>
      <w:r>
        <w:rPr>
          <w:spacing w:val="-9"/>
          <w:vertAlign w:val="baseline"/>
        </w:rPr>
        <w:t> </w:t>
      </w:r>
      <w:r>
        <w:rPr>
          <w:vertAlign w:val="baseline"/>
        </w:rPr>
        <w:t>pacientes</w:t>
      </w:r>
      <w:r>
        <w:rPr>
          <w:spacing w:val="-1"/>
          <w:vertAlign w:val="baseline"/>
        </w:rPr>
        <w:t> </w:t>
      </w:r>
      <w:r>
        <w:rPr>
          <w:vertAlign w:val="baseline"/>
        </w:rPr>
        <w:t>com</w:t>
      </w:r>
      <w:r>
        <w:rPr>
          <w:spacing w:val="-9"/>
          <w:vertAlign w:val="baseline"/>
        </w:rPr>
        <w:t> </w:t>
      </w:r>
      <w:r>
        <w:rPr>
          <w:vertAlign w:val="baseline"/>
        </w:rPr>
        <w:t>síndromes</w:t>
      </w:r>
      <w:r>
        <w:rPr>
          <w:spacing w:val="-1"/>
          <w:vertAlign w:val="baseline"/>
        </w:rPr>
        <w:t> </w:t>
      </w:r>
      <w:r>
        <w:rPr>
          <w:vertAlign w:val="baseline"/>
        </w:rPr>
        <w:t>coronárias</w:t>
      </w:r>
      <w:r>
        <w:rPr>
          <w:spacing w:val="-1"/>
          <w:vertAlign w:val="baseline"/>
        </w:rPr>
        <w:t> </w:t>
      </w:r>
      <w:r>
        <w:rPr>
          <w:vertAlign w:val="baseline"/>
        </w:rPr>
        <w:t>agudas,</w:t>
      </w:r>
      <w:r>
        <w:rPr>
          <w:spacing w:val="-1"/>
          <w:vertAlign w:val="baseline"/>
        </w:rPr>
        <w:t> </w:t>
      </w:r>
      <w:r>
        <w:rPr>
          <w:vertAlign w:val="baseline"/>
        </w:rPr>
        <w:t>a</w:t>
      </w:r>
      <w:r>
        <w:rPr>
          <w:spacing w:val="-11"/>
          <w:vertAlign w:val="baseline"/>
        </w:rPr>
        <w:t> </w:t>
      </w:r>
      <w:r>
        <w:rPr>
          <w:vertAlign w:val="baseline"/>
        </w:rPr>
        <w:t>combinação</w:t>
      </w:r>
      <w:r>
        <w:rPr>
          <w:spacing w:val="-9"/>
          <w:vertAlign w:val="baseline"/>
        </w:rPr>
        <w:t> </w:t>
      </w:r>
      <w:r>
        <w:rPr>
          <w:vertAlign w:val="baseline"/>
        </w:rPr>
        <w:t>de</w:t>
      </w:r>
      <w:r>
        <w:rPr>
          <w:spacing w:val="-11"/>
          <w:vertAlign w:val="baseline"/>
        </w:rPr>
        <w:t> </w:t>
      </w:r>
      <w:r>
        <w:rPr>
          <w:vertAlign w:val="baseline"/>
        </w:rPr>
        <w:t>ácido</w:t>
      </w:r>
      <w:r>
        <w:rPr>
          <w:spacing w:val="-9"/>
          <w:vertAlign w:val="baseline"/>
        </w:rPr>
        <w:t> </w:t>
      </w:r>
      <w:r>
        <w:rPr>
          <w:vertAlign w:val="baseline"/>
        </w:rPr>
        <w:t>acetilsalicílico</w:t>
      </w:r>
      <w:r>
        <w:rPr>
          <w:spacing w:val="-9"/>
          <w:vertAlign w:val="baseline"/>
        </w:rPr>
        <w:t> </w:t>
      </w:r>
      <w:r>
        <w:rPr>
          <w:vertAlign w:val="baseline"/>
        </w:rPr>
        <w:t>e</w:t>
      </w:r>
      <w:r>
        <w:rPr>
          <w:spacing w:val="-11"/>
          <w:vertAlign w:val="baseline"/>
        </w:rPr>
        <w:t> </w:t>
      </w:r>
      <w:r>
        <w:rPr>
          <w:vertAlign w:val="baseline"/>
        </w:rPr>
        <w:t>clopidogrel demonstrou redução significativa de eventos cardíacos adversos.</w:t>
      </w:r>
      <w:r>
        <w:rPr>
          <w:vertAlign w:val="superscript"/>
        </w:rPr>
        <w:t>60,61</w:t>
      </w:r>
      <w:r>
        <w:rPr>
          <w:vertAlign w:val="baseline"/>
        </w:rPr>
        <w:t> Assim, nessa população, a terapia antiplaquetária dupla é a preferida. O mesmo não pode ser dito para pacientes com acidente vascular cerebral. Nestes, ácido acetilsalicílico e clopidogrel podem reduzir o risco de eventos recorrentes quando administrados individualmente, mas, em conjunto, essas drogas não incrementam a redução de taxas de eventos suficientes para justificar um risco maior de sangramento.</w:t>
      </w:r>
      <w:r>
        <w:rPr>
          <w:vertAlign w:val="superscript"/>
        </w:rPr>
        <w:t>62</w:t>
      </w:r>
    </w:p>
    <w:p>
      <w:pPr>
        <w:pStyle w:val="BodyText"/>
        <w:spacing w:line="280" w:lineRule="auto" w:before="72"/>
        <w:ind w:right="488"/>
      </w:pPr>
      <w:r>
        <w:rPr/>
        <w:t>Em uma</w:t>
      </w:r>
      <w:r>
        <w:rPr>
          <w:spacing w:val="-1"/>
        </w:rPr>
        <w:t> </w:t>
      </w:r>
      <w:r>
        <w:rPr/>
        <w:t>metanálise</w:t>
      </w:r>
      <w:r>
        <w:rPr>
          <w:spacing w:val="-1"/>
        </w:rPr>
        <w:t> </w:t>
      </w:r>
      <w:r>
        <w:rPr/>
        <w:t>de</w:t>
      </w:r>
      <w:r>
        <w:rPr>
          <w:spacing w:val="-1"/>
        </w:rPr>
        <w:t> </w:t>
      </w:r>
      <w:r>
        <w:rPr/>
        <w:t>uso de</w:t>
      </w:r>
      <w:r>
        <w:rPr>
          <w:spacing w:val="-1"/>
        </w:rPr>
        <w:t> </w:t>
      </w:r>
      <w:r>
        <w:rPr/>
        <w:t>betabloqueadores após IAM, existem fortes evidências sobre</w:t>
      </w:r>
      <w:r>
        <w:rPr>
          <w:spacing w:val="-1"/>
        </w:rPr>
        <w:t> </w:t>
      </w:r>
      <w:r>
        <w:rPr/>
        <w:t>a</w:t>
      </w:r>
      <w:r>
        <w:rPr>
          <w:spacing w:val="-1"/>
        </w:rPr>
        <w:t> </w:t>
      </w:r>
      <w:r>
        <w:rPr/>
        <w:t>redução de</w:t>
      </w:r>
      <w:r>
        <w:rPr>
          <w:spacing w:val="-1"/>
        </w:rPr>
        <w:t> </w:t>
      </w:r>
      <w:r>
        <w:rPr/>
        <w:t>morte por todas as causas, particularmente morte súbita cardíaca, bem como a redução de reinfarto não fatal.</w:t>
      </w:r>
      <w:r>
        <w:rPr>
          <w:vertAlign w:val="superscript"/>
        </w:rPr>
        <w:t>63</w:t>
      </w:r>
      <w:r>
        <w:rPr>
          <w:vertAlign w:val="baseline"/>
        </w:rPr>
        <w:t> Os benefícios foram maiores naqueles com disfunção ventricular ou com taquiarritmias ventriculares ou </w:t>
      </w:r>
      <w:r>
        <w:rPr>
          <w:spacing w:val="-2"/>
          <w:vertAlign w:val="baseline"/>
        </w:rPr>
        <w:t>supraventriculares.</w:t>
      </w:r>
    </w:p>
    <w:p>
      <w:pPr>
        <w:pStyle w:val="BodyText"/>
        <w:spacing w:line="283" w:lineRule="auto" w:before="44"/>
        <w:ind w:right="491"/>
      </w:pPr>
      <w:r>
        <w:rPr/>
        <w:t>Em outra metanálise, que avaliou a utilização de IECA em cerca de 100.000 pacientes, ficou confirmado o efeito protetor dessas drogas em eventos e mortalidade por todas as causas, em pacientes com IAM e sinais de insuficiência cardíaca (IC), com disfunção ventricular, mesmo na ausência de sintomas ou sinais de IC, ou mesmo naqueles com função ventricular preservada, mas de alto risco.</w:t>
      </w:r>
      <w:r>
        <w:rPr>
          <w:vertAlign w:val="superscript"/>
        </w:rPr>
        <w:t>64</w:t>
      </w:r>
      <w:r>
        <w:rPr>
          <w:vertAlign w:val="baseline"/>
        </w:rPr>
        <w:t> Pacientes com sinais de IC pós-IAM também se beneficiaram com o uso de antagonistas de receptores da angiotensina.</w:t>
      </w:r>
      <w:r>
        <w:rPr>
          <w:vertAlign w:val="superscript"/>
        </w:rPr>
        <w:t>65</w:t>
      </w:r>
    </w:p>
    <w:p>
      <w:pPr>
        <w:pStyle w:val="BodyText"/>
        <w:spacing w:line="283" w:lineRule="auto" w:before="57"/>
        <w:ind w:right="491"/>
      </w:pPr>
      <w:r>
        <w:rPr/>
        <w:t>Quanto</w:t>
      </w:r>
      <w:r>
        <w:rPr>
          <w:spacing w:val="-3"/>
        </w:rPr>
        <w:t> </w:t>
      </w:r>
      <w:r>
        <w:rPr/>
        <w:t>ao</w:t>
      </w:r>
      <w:r>
        <w:rPr>
          <w:spacing w:val="-3"/>
        </w:rPr>
        <w:t> </w:t>
      </w:r>
      <w:r>
        <w:rPr/>
        <w:t>uso</w:t>
      </w:r>
      <w:r>
        <w:rPr>
          <w:spacing w:val="-3"/>
        </w:rPr>
        <w:t> </w:t>
      </w:r>
      <w:r>
        <w:rPr/>
        <w:t>de</w:t>
      </w:r>
      <w:r>
        <w:rPr>
          <w:spacing w:val="-6"/>
        </w:rPr>
        <w:t> </w:t>
      </w:r>
      <w:r>
        <w:rPr/>
        <w:t>drogas hipolipemiantes, excetuando-se</w:t>
      </w:r>
      <w:r>
        <w:rPr>
          <w:spacing w:val="-6"/>
        </w:rPr>
        <w:t> </w:t>
      </w:r>
      <w:r>
        <w:rPr/>
        <w:t>os casos de</w:t>
      </w:r>
      <w:r>
        <w:rPr>
          <w:spacing w:val="-6"/>
        </w:rPr>
        <w:t> </w:t>
      </w:r>
      <w:r>
        <w:rPr/>
        <w:t>dislipidemia</w:t>
      </w:r>
      <w:r>
        <w:rPr>
          <w:spacing w:val="-6"/>
        </w:rPr>
        <w:t> </w:t>
      </w:r>
      <w:r>
        <w:rPr/>
        <w:t>familiar em</w:t>
      </w:r>
      <w:r>
        <w:rPr>
          <w:spacing w:val="-3"/>
        </w:rPr>
        <w:t> </w:t>
      </w:r>
      <w:r>
        <w:rPr/>
        <w:t>que</w:t>
      </w:r>
      <w:r>
        <w:rPr>
          <w:spacing w:val="-6"/>
        </w:rPr>
        <w:t> </w:t>
      </w:r>
      <w:r>
        <w:rPr/>
        <w:t>todos devem ser tratados, não</w:t>
      </w:r>
      <w:r>
        <w:rPr>
          <w:spacing w:val="-5"/>
        </w:rPr>
        <w:t> </w:t>
      </w:r>
      <w:r>
        <w:rPr/>
        <w:t>há</w:t>
      </w:r>
      <w:r>
        <w:rPr>
          <w:spacing w:val="-7"/>
        </w:rPr>
        <w:t> </w:t>
      </w:r>
      <w:r>
        <w:rPr/>
        <w:t>recomendação</w:t>
      </w:r>
      <w:r>
        <w:rPr>
          <w:spacing w:val="-5"/>
        </w:rPr>
        <w:t> </w:t>
      </w:r>
      <w:r>
        <w:rPr/>
        <w:t>da</w:t>
      </w:r>
      <w:r>
        <w:rPr>
          <w:spacing w:val="-7"/>
        </w:rPr>
        <w:t> </w:t>
      </w:r>
      <w:r>
        <w:rPr/>
        <w:t>utilização</w:t>
      </w:r>
      <w:r>
        <w:rPr>
          <w:spacing w:val="-5"/>
        </w:rPr>
        <w:t> </w:t>
      </w:r>
      <w:r>
        <w:rPr/>
        <w:t>indiscriminada</w:t>
      </w:r>
      <w:r>
        <w:rPr>
          <w:spacing w:val="-7"/>
        </w:rPr>
        <w:t> </w:t>
      </w:r>
      <w:r>
        <w:rPr/>
        <w:t>em</w:t>
      </w:r>
      <w:r>
        <w:rPr>
          <w:spacing w:val="-5"/>
        </w:rPr>
        <w:t> </w:t>
      </w:r>
      <w:r>
        <w:rPr/>
        <w:t>terapia</w:t>
      </w:r>
      <w:r>
        <w:rPr>
          <w:spacing w:val="-7"/>
        </w:rPr>
        <w:t> </w:t>
      </w:r>
      <w:r>
        <w:rPr/>
        <w:t>primária, devendo</w:t>
      </w:r>
      <w:r>
        <w:rPr>
          <w:spacing w:val="-5"/>
        </w:rPr>
        <w:t> </w:t>
      </w:r>
      <w:r>
        <w:rPr/>
        <w:t>ser baseada</w:t>
      </w:r>
      <w:r>
        <w:rPr>
          <w:spacing w:val="-7"/>
        </w:rPr>
        <w:t> </w:t>
      </w:r>
      <w:r>
        <w:rPr/>
        <w:t>na</w:t>
      </w:r>
      <w:r>
        <w:rPr>
          <w:spacing w:val="-7"/>
        </w:rPr>
        <w:t> </w:t>
      </w:r>
      <w:r>
        <w:rPr/>
        <w:t>análise de risco global</w:t>
      </w:r>
      <w:r>
        <w:rPr>
          <w:vertAlign w:val="superscript"/>
        </w:rPr>
        <w:t>66</w:t>
      </w:r>
      <w:r>
        <w:rPr>
          <w:vertAlign w:val="baseline"/>
        </w:rPr>
        <w:t> e na avaliação de possíveis efeitos adversos.</w:t>
      </w:r>
      <w:r>
        <w:rPr>
          <w:vertAlign w:val="superscript"/>
        </w:rPr>
        <w:t>67</w:t>
      </w:r>
    </w:p>
    <w:p>
      <w:pPr>
        <w:pStyle w:val="BodyText"/>
        <w:spacing w:before="178"/>
        <w:ind w:left="0" w:firstLine="0"/>
        <w:jc w:val="left"/>
      </w:pPr>
    </w:p>
    <w:p>
      <w:pPr>
        <w:pStyle w:val="Heading4"/>
        <w:jc w:val="both"/>
      </w:pPr>
      <w:r>
        <w:rPr>
          <w:color w:val="242B67"/>
        </w:rPr>
        <w:t>Considerações </w:t>
      </w:r>
      <w:r>
        <w:rPr>
          <w:color w:val="242B67"/>
          <w:spacing w:val="-2"/>
        </w:rPr>
        <w:t>finais</w:t>
      </w:r>
    </w:p>
    <w:p>
      <w:pPr>
        <w:pStyle w:val="Heading4"/>
        <w:spacing w:after="0"/>
        <w:jc w:val="both"/>
        <w:sectPr>
          <w:pgSz w:w="11900" w:h="16840"/>
          <w:pgMar w:top="200" w:bottom="280" w:left="566" w:right="141"/>
        </w:sectPr>
      </w:pPr>
    </w:p>
    <w:p>
      <w:pPr>
        <w:pStyle w:val="BodyText"/>
        <w:spacing w:line="276" w:lineRule="auto" w:before="60"/>
        <w:ind w:right="488"/>
      </w:pPr>
      <w:r>
        <w:rPr/>
        <w:t>A avaliação de fatores de risco, bem como seu controle com mudanças de estilo de vida ou utilização de medicamentos, deve ser encorajada visando a uma redução global de eventos cardiovasculares. Especificamente indivíduos com DAC ou outra doença aterosclerótica estabelecida, além daqueles caracterizados como de risco elevado, devem ser enfocados como prioridade por todos os clínicos ou cardiologistas, necessitando, além de mudanças no estilo de vida, redução da pressão arterial e do colesterol, bem como utilização de ácido acetilsalicílico, betabloqueadores e hipolipemiantes, principalmente as estatinas. Em relação aos indivíduos assintomáticos ou sem evidências de doença aterosclerótica, existe um consenso de que a necessidade de tratamento, tanto da pressão arterial como de lipídios, deve se basear em análise de risco multifatorial para DCV.</w:t>
      </w:r>
    </w:p>
    <w:p>
      <w:pPr>
        <w:pStyle w:val="BodyText"/>
        <w:spacing w:line="276" w:lineRule="auto" w:before="66"/>
        <w:ind w:right="488"/>
      </w:pPr>
      <w:r>
        <w:rPr/>
        <w:t>As sociedades médicas, bem como os órgãos governamentais, devem adotar programas de promoção de saúde global</w:t>
      </w:r>
      <w:r>
        <w:rPr>
          <w:spacing w:val="-2"/>
        </w:rPr>
        <w:t> </w:t>
      </w:r>
      <w:r>
        <w:rPr/>
        <w:t>para</w:t>
      </w:r>
      <w:r>
        <w:rPr>
          <w:spacing w:val="-7"/>
        </w:rPr>
        <w:t> </w:t>
      </w:r>
      <w:r>
        <w:rPr/>
        <w:t>a</w:t>
      </w:r>
      <w:r>
        <w:rPr>
          <w:spacing w:val="-7"/>
        </w:rPr>
        <w:t> </w:t>
      </w:r>
      <w:r>
        <w:rPr/>
        <w:t>população, incluindo:</w:t>
      </w:r>
      <w:r>
        <w:rPr>
          <w:spacing w:val="-2"/>
        </w:rPr>
        <w:t> </w:t>
      </w:r>
      <w:r>
        <w:rPr/>
        <w:t>redução</w:t>
      </w:r>
      <w:r>
        <w:rPr>
          <w:spacing w:val="-5"/>
        </w:rPr>
        <w:t> </w:t>
      </w:r>
      <w:r>
        <w:rPr/>
        <w:t>do</w:t>
      </w:r>
      <w:r>
        <w:rPr>
          <w:spacing w:val="-5"/>
        </w:rPr>
        <w:t> </w:t>
      </w:r>
      <w:r>
        <w:rPr/>
        <w:t>tabagismo, redução</w:t>
      </w:r>
      <w:r>
        <w:rPr>
          <w:spacing w:val="-5"/>
        </w:rPr>
        <w:t> </w:t>
      </w:r>
      <w:r>
        <w:rPr/>
        <w:t>de</w:t>
      </w:r>
      <w:r>
        <w:rPr>
          <w:spacing w:val="-7"/>
        </w:rPr>
        <w:t> </w:t>
      </w:r>
      <w:r>
        <w:rPr/>
        <w:t>gorduras saturadas e</w:t>
      </w:r>
      <w:r>
        <w:rPr>
          <w:spacing w:val="-7"/>
        </w:rPr>
        <w:t> </w:t>
      </w:r>
      <w:r>
        <w:rPr/>
        <w:t>sal</w:t>
      </w:r>
      <w:r>
        <w:rPr>
          <w:spacing w:val="-2"/>
        </w:rPr>
        <w:t> </w:t>
      </w:r>
      <w:r>
        <w:rPr/>
        <w:t>na</w:t>
      </w:r>
      <w:r>
        <w:rPr>
          <w:spacing w:val="-7"/>
        </w:rPr>
        <w:t> </w:t>
      </w:r>
      <w:r>
        <w:rPr/>
        <w:t>dieta, estímulo</w:t>
      </w:r>
      <w:r>
        <w:rPr>
          <w:spacing w:val="-5"/>
        </w:rPr>
        <w:t> </w:t>
      </w:r>
      <w:r>
        <w:rPr/>
        <w:t>ao consumo de frutas e vegetais e incentivo à redução de peso e à prática de exercícios físicos.</w:t>
      </w:r>
    </w:p>
    <w:p>
      <w:pPr>
        <w:pStyle w:val="BodyText"/>
        <w:spacing w:after="0" w:line="276" w:lineRule="auto"/>
        <w:sectPr>
          <w:pgSz w:w="11900" w:h="16840"/>
          <w:pgMar w:top="220" w:bottom="280" w:left="566" w:right="141"/>
        </w:sectPr>
      </w:pPr>
    </w:p>
    <w:p>
      <w:pPr>
        <w:pStyle w:val="Heading1"/>
      </w:pPr>
      <w:r>
        <w:rPr>
          <w:color w:val="A26108"/>
        </w:rPr>
        <w:t>Capítulo</w:t>
      </w:r>
      <w:r>
        <w:rPr>
          <w:color w:val="A26108"/>
          <w:spacing w:val="24"/>
        </w:rPr>
        <w:t> </w:t>
      </w:r>
      <w:r>
        <w:rPr>
          <w:color w:val="A26108"/>
          <w:spacing w:val="-5"/>
        </w:rPr>
        <w:t>55</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599616">
                <wp:simplePos x="0" y="0"/>
                <wp:positionH relativeFrom="page">
                  <wp:posOffset>401543</wp:posOffset>
                </wp:positionH>
                <wp:positionV relativeFrom="paragraph">
                  <wp:posOffset>64325</wp:posOffset>
                </wp:positionV>
                <wp:extent cx="6753225" cy="1079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716864;mso-wrap-distance-left:0;mso-wrap-distance-right:0" id="docshape18" filled="true" fillcolor="#242b67" stroked="false">
                <v:fill type="solid"/>
                <w10:wrap type="topAndBottom"/>
              </v:rect>
            </w:pict>
          </mc:Fallback>
        </mc:AlternateContent>
      </w:r>
    </w:p>
    <w:p>
      <w:pPr>
        <w:pStyle w:val="Heading1"/>
        <w:spacing w:before="138"/>
      </w:pPr>
      <w:r>
        <w:rPr>
          <w:color w:val="A26108"/>
        </w:rPr>
        <w:t>Síndromes</w:t>
      </w:r>
      <w:r>
        <w:rPr>
          <w:color w:val="A26108"/>
          <w:spacing w:val="18"/>
        </w:rPr>
        <w:t> </w:t>
      </w:r>
      <w:r>
        <w:rPr>
          <w:color w:val="A26108"/>
        </w:rPr>
        <w:t>Coronarianas</w:t>
      </w:r>
      <w:r>
        <w:rPr>
          <w:color w:val="A26108"/>
          <w:spacing w:val="18"/>
        </w:rPr>
        <w:t> </w:t>
      </w:r>
      <w:r>
        <w:rPr>
          <w:color w:val="A26108"/>
          <w:spacing w:val="-2"/>
        </w:rPr>
        <w:t>Agudas</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00128">
                <wp:simplePos x="0" y="0"/>
                <wp:positionH relativeFrom="page">
                  <wp:posOffset>401543</wp:posOffset>
                </wp:positionH>
                <wp:positionV relativeFrom="paragraph">
                  <wp:posOffset>64503</wp:posOffset>
                </wp:positionV>
                <wp:extent cx="6753225" cy="1079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78985pt;width:531.731217pt;height:.8008pt;mso-position-horizontal-relative:page;mso-position-vertical-relative:paragraph;z-index:-15716352;mso-wrap-distance-left:0;mso-wrap-distance-right:0" id="docshape19" filled="true" fillcolor="#242b67" stroked="false">
                <v:fill type="solid"/>
                <w10:wrap type="topAndBottom"/>
              </v:rect>
            </w:pict>
          </mc:Fallback>
        </mc:AlternateContent>
      </w:r>
    </w:p>
    <w:p>
      <w:pPr>
        <w:spacing w:line="360" w:lineRule="auto" w:before="118"/>
        <w:ind w:left="68" w:right="809" w:firstLine="0"/>
        <w:jc w:val="left"/>
        <w:rPr>
          <w:rFonts w:ascii="Arial" w:hAnsi="Arial"/>
          <w:i/>
          <w:sz w:val="25"/>
        </w:rPr>
      </w:pPr>
      <w:r>
        <w:rPr>
          <w:rFonts w:ascii="Arial" w:hAnsi="Arial"/>
          <w:i/>
          <w:sz w:val="25"/>
        </w:rPr>
        <w:t>Carlos Vicente Serrano Júnior, Gilson Soares Feitosa-Filho, Rony Lopes Lage e Cibele Larrosa Garzillo</w:t>
      </w:r>
    </w:p>
    <w:p>
      <w:pPr>
        <w:pStyle w:val="BodyText"/>
        <w:spacing w:before="0"/>
        <w:ind w:left="0" w:firstLine="0"/>
        <w:jc w:val="left"/>
        <w:rPr>
          <w:rFonts w:ascii="Arial"/>
          <w:i/>
          <w:sz w:val="25"/>
        </w:rPr>
      </w:pPr>
    </w:p>
    <w:p>
      <w:pPr>
        <w:pStyle w:val="BodyText"/>
        <w:spacing w:before="73"/>
        <w:ind w:left="0" w:firstLine="0"/>
        <w:jc w:val="left"/>
        <w:rPr>
          <w:rFonts w:ascii="Arial"/>
          <w:i/>
          <w:sz w:val="25"/>
        </w:rPr>
      </w:pPr>
    </w:p>
    <w:p>
      <w:pPr>
        <w:pStyle w:val="Heading4"/>
      </w:pPr>
      <w:r>
        <w:rPr>
          <w:color w:val="242B67"/>
          <w:spacing w:val="-2"/>
        </w:rPr>
        <w:t>Conceito</w:t>
      </w:r>
    </w:p>
    <w:p>
      <w:pPr>
        <w:spacing w:line="276" w:lineRule="auto" w:before="131"/>
        <w:ind w:left="68" w:right="487" w:firstLine="345"/>
        <w:jc w:val="both"/>
        <w:rPr>
          <w:sz w:val="23"/>
        </w:rPr>
      </w:pPr>
      <w:r>
        <w:rPr>
          <w:sz w:val="23"/>
        </w:rPr>
        <w:t>O</w:t>
      </w:r>
      <w:r>
        <w:rPr>
          <w:spacing w:val="-7"/>
          <w:sz w:val="23"/>
        </w:rPr>
        <w:t> </w:t>
      </w:r>
      <w:r>
        <w:rPr>
          <w:sz w:val="23"/>
        </w:rPr>
        <w:t>termo</w:t>
      </w:r>
      <w:r>
        <w:rPr>
          <w:spacing w:val="-5"/>
          <w:sz w:val="23"/>
        </w:rPr>
        <w:t> </w:t>
      </w:r>
      <w:r>
        <w:rPr>
          <w:sz w:val="23"/>
        </w:rPr>
        <w:t>síndrome</w:t>
      </w:r>
      <w:r>
        <w:rPr>
          <w:spacing w:val="-7"/>
          <w:sz w:val="23"/>
        </w:rPr>
        <w:t> </w:t>
      </w:r>
      <w:r>
        <w:rPr>
          <w:sz w:val="23"/>
        </w:rPr>
        <w:t>coronariana</w:t>
      </w:r>
      <w:r>
        <w:rPr>
          <w:spacing w:val="-7"/>
          <w:sz w:val="23"/>
        </w:rPr>
        <w:t> </w:t>
      </w:r>
      <w:r>
        <w:rPr>
          <w:sz w:val="23"/>
        </w:rPr>
        <w:t>aguda</w:t>
      </w:r>
      <w:r>
        <w:rPr>
          <w:spacing w:val="-7"/>
          <w:sz w:val="23"/>
        </w:rPr>
        <w:t> </w:t>
      </w:r>
      <w:r>
        <w:rPr>
          <w:sz w:val="23"/>
        </w:rPr>
        <w:t>(SCA) envolve</w:t>
      </w:r>
      <w:r>
        <w:rPr>
          <w:spacing w:val="-7"/>
          <w:sz w:val="23"/>
        </w:rPr>
        <w:t> </w:t>
      </w:r>
      <w:r>
        <w:rPr>
          <w:sz w:val="23"/>
        </w:rPr>
        <w:t>dois grandes grupos:</w:t>
      </w:r>
      <w:r>
        <w:rPr>
          <w:spacing w:val="-2"/>
          <w:sz w:val="23"/>
        </w:rPr>
        <w:t> </w:t>
      </w:r>
      <w:r>
        <w:rPr>
          <w:i/>
          <w:sz w:val="23"/>
        </w:rPr>
        <w:t>síndromes coronarianas agudas sem elevação</w:t>
      </w:r>
      <w:r>
        <w:rPr>
          <w:i/>
          <w:spacing w:val="-8"/>
          <w:sz w:val="23"/>
        </w:rPr>
        <w:t> </w:t>
      </w:r>
      <w:r>
        <w:rPr>
          <w:i/>
          <w:sz w:val="23"/>
        </w:rPr>
        <w:t>do</w:t>
      </w:r>
      <w:r>
        <w:rPr>
          <w:i/>
          <w:spacing w:val="-8"/>
          <w:sz w:val="23"/>
        </w:rPr>
        <w:t> </w:t>
      </w:r>
      <w:r>
        <w:rPr>
          <w:i/>
          <w:sz w:val="23"/>
        </w:rPr>
        <w:t>segmento</w:t>
      </w:r>
      <w:r>
        <w:rPr>
          <w:i/>
          <w:spacing w:val="-8"/>
          <w:sz w:val="23"/>
        </w:rPr>
        <w:t> </w:t>
      </w:r>
      <w:r>
        <w:rPr>
          <w:i/>
          <w:sz w:val="23"/>
        </w:rPr>
        <w:t>ST</w:t>
      </w:r>
      <w:r>
        <w:rPr>
          <w:sz w:val="23"/>
        </w:rPr>
        <w:t>, que</w:t>
      </w:r>
      <w:r>
        <w:rPr>
          <w:spacing w:val="-8"/>
          <w:sz w:val="23"/>
        </w:rPr>
        <w:t> </w:t>
      </w:r>
      <w:r>
        <w:rPr>
          <w:sz w:val="23"/>
        </w:rPr>
        <w:t>compreende</w:t>
      </w:r>
      <w:r>
        <w:rPr>
          <w:spacing w:val="-8"/>
          <w:sz w:val="23"/>
        </w:rPr>
        <w:t> </w:t>
      </w:r>
      <w:r>
        <w:rPr>
          <w:sz w:val="23"/>
        </w:rPr>
        <w:t>a</w:t>
      </w:r>
      <w:r>
        <w:rPr>
          <w:spacing w:val="-8"/>
          <w:sz w:val="23"/>
        </w:rPr>
        <w:t> </w:t>
      </w:r>
      <w:r>
        <w:rPr>
          <w:sz w:val="23"/>
        </w:rPr>
        <w:t>angina</w:t>
      </w:r>
      <w:r>
        <w:rPr>
          <w:spacing w:val="-8"/>
          <w:sz w:val="23"/>
        </w:rPr>
        <w:t> </w:t>
      </w:r>
      <w:r>
        <w:rPr>
          <w:sz w:val="23"/>
        </w:rPr>
        <w:t>instável</w:t>
      </w:r>
      <w:r>
        <w:rPr>
          <w:spacing w:val="-3"/>
          <w:sz w:val="23"/>
        </w:rPr>
        <w:t> </w:t>
      </w:r>
      <w:r>
        <w:rPr>
          <w:sz w:val="23"/>
        </w:rPr>
        <w:t>e</w:t>
      </w:r>
      <w:r>
        <w:rPr>
          <w:spacing w:val="-8"/>
          <w:sz w:val="23"/>
        </w:rPr>
        <w:t> </w:t>
      </w:r>
      <w:r>
        <w:rPr>
          <w:sz w:val="23"/>
        </w:rPr>
        <w:t>o</w:t>
      </w:r>
      <w:r>
        <w:rPr>
          <w:spacing w:val="-6"/>
          <w:sz w:val="23"/>
        </w:rPr>
        <w:t> </w:t>
      </w:r>
      <w:r>
        <w:rPr>
          <w:sz w:val="23"/>
        </w:rPr>
        <w:t>infarto</w:t>
      </w:r>
      <w:r>
        <w:rPr>
          <w:spacing w:val="-6"/>
          <w:sz w:val="23"/>
        </w:rPr>
        <w:t> </w:t>
      </w:r>
      <w:r>
        <w:rPr>
          <w:sz w:val="23"/>
        </w:rPr>
        <w:t>agudo</w:t>
      </w:r>
      <w:r>
        <w:rPr>
          <w:spacing w:val="-6"/>
          <w:sz w:val="23"/>
        </w:rPr>
        <w:t> </w:t>
      </w:r>
      <w:r>
        <w:rPr>
          <w:sz w:val="23"/>
        </w:rPr>
        <w:t>do</w:t>
      </w:r>
      <w:r>
        <w:rPr>
          <w:spacing w:val="-6"/>
          <w:sz w:val="23"/>
        </w:rPr>
        <w:t> </w:t>
      </w:r>
      <w:r>
        <w:rPr>
          <w:sz w:val="23"/>
        </w:rPr>
        <w:t>miocárdio</w:t>
      </w:r>
      <w:r>
        <w:rPr>
          <w:spacing w:val="-6"/>
          <w:sz w:val="23"/>
        </w:rPr>
        <w:t> </w:t>
      </w:r>
      <w:r>
        <w:rPr>
          <w:sz w:val="23"/>
        </w:rPr>
        <w:t>(IAM)</w:t>
      </w:r>
      <w:r>
        <w:rPr>
          <w:spacing w:val="-1"/>
          <w:sz w:val="23"/>
        </w:rPr>
        <w:t> </w:t>
      </w:r>
      <w:r>
        <w:rPr>
          <w:sz w:val="23"/>
        </w:rPr>
        <w:t>sem</w:t>
      </w:r>
      <w:r>
        <w:rPr>
          <w:spacing w:val="-6"/>
          <w:sz w:val="23"/>
        </w:rPr>
        <w:t> </w:t>
      </w:r>
      <w:r>
        <w:rPr>
          <w:sz w:val="23"/>
        </w:rPr>
        <w:t>elevação</w:t>
      </w:r>
      <w:r>
        <w:rPr>
          <w:spacing w:val="-6"/>
          <w:sz w:val="23"/>
        </w:rPr>
        <w:t> </w:t>
      </w:r>
      <w:r>
        <w:rPr>
          <w:sz w:val="23"/>
        </w:rPr>
        <w:t>do segmento ST, e as </w:t>
      </w:r>
      <w:r>
        <w:rPr>
          <w:i/>
          <w:sz w:val="23"/>
        </w:rPr>
        <w:t>síndromes coronarianas agudas com elevação do segmento ST</w:t>
      </w:r>
      <w:r>
        <w:rPr>
          <w:sz w:val="23"/>
        </w:rPr>
        <w:t>, ou IAM com elevação do segmento ST. Essa classificação tem importância na abordagem terapêutica e no prognóstico.</w:t>
      </w:r>
    </w:p>
    <w:p>
      <w:pPr>
        <w:pStyle w:val="BodyText"/>
        <w:spacing w:line="280" w:lineRule="auto"/>
        <w:ind w:right="492"/>
      </w:pPr>
      <w:r>
        <w:rPr/>
        <w:t>O</w:t>
      </w:r>
      <w:r>
        <w:rPr>
          <w:spacing w:val="-9"/>
        </w:rPr>
        <w:t> </w:t>
      </w:r>
      <w:r>
        <w:rPr/>
        <w:t>diagnóstico</w:t>
      </w:r>
      <w:r>
        <w:rPr>
          <w:spacing w:val="-6"/>
        </w:rPr>
        <w:t> </w:t>
      </w:r>
      <w:r>
        <w:rPr/>
        <w:t>de</w:t>
      </w:r>
      <w:r>
        <w:rPr>
          <w:spacing w:val="-9"/>
        </w:rPr>
        <w:t> </w:t>
      </w:r>
      <w:r>
        <w:rPr>
          <w:i/>
        </w:rPr>
        <w:t>angina</w:t>
      </w:r>
      <w:r>
        <w:rPr>
          <w:i/>
          <w:spacing w:val="-6"/>
        </w:rPr>
        <w:t> </w:t>
      </w:r>
      <w:r>
        <w:rPr>
          <w:i/>
        </w:rPr>
        <w:t>instável</w:t>
      </w:r>
      <w:r>
        <w:rPr>
          <w:i/>
          <w:spacing w:val="-2"/>
        </w:rPr>
        <w:t> </w:t>
      </w:r>
      <w:r>
        <w:rPr/>
        <w:t>é</w:t>
      </w:r>
      <w:r>
        <w:rPr>
          <w:spacing w:val="-6"/>
        </w:rPr>
        <w:t> </w:t>
      </w:r>
      <w:r>
        <w:rPr/>
        <w:t>essencialmente</w:t>
      </w:r>
      <w:r>
        <w:rPr>
          <w:spacing w:val="-6"/>
        </w:rPr>
        <w:t> </w:t>
      </w:r>
      <w:r>
        <w:rPr/>
        <w:t>clínico, com</w:t>
      </w:r>
      <w:r>
        <w:rPr>
          <w:spacing w:val="-4"/>
        </w:rPr>
        <w:t> </w:t>
      </w:r>
      <w:r>
        <w:rPr/>
        <w:t>base</w:t>
      </w:r>
      <w:r>
        <w:rPr>
          <w:spacing w:val="-6"/>
        </w:rPr>
        <w:t> </w:t>
      </w:r>
      <w:r>
        <w:rPr/>
        <w:t>na</w:t>
      </w:r>
      <w:r>
        <w:rPr>
          <w:spacing w:val="-6"/>
        </w:rPr>
        <w:t> </w:t>
      </w:r>
      <w:r>
        <w:rPr/>
        <w:t>história</w:t>
      </w:r>
      <w:r>
        <w:rPr>
          <w:spacing w:val="-6"/>
        </w:rPr>
        <w:t> </w:t>
      </w:r>
      <w:r>
        <w:rPr/>
        <w:t>de</w:t>
      </w:r>
      <w:r>
        <w:rPr>
          <w:spacing w:val="-6"/>
        </w:rPr>
        <w:t> </w:t>
      </w:r>
      <w:r>
        <w:rPr/>
        <w:t>dor torácica</w:t>
      </w:r>
      <w:r>
        <w:rPr>
          <w:spacing w:val="-6"/>
        </w:rPr>
        <w:t> </w:t>
      </w:r>
      <w:r>
        <w:rPr/>
        <w:t>e</w:t>
      </w:r>
      <w:r>
        <w:rPr>
          <w:spacing w:val="-6"/>
        </w:rPr>
        <w:t> </w:t>
      </w:r>
      <w:r>
        <w:rPr/>
        <w:t>na</w:t>
      </w:r>
      <w:r>
        <w:rPr>
          <w:spacing w:val="-6"/>
        </w:rPr>
        <w:t> </w:t>
      </w:r>
      <w:r>
        <w:rPr/>
        <w:t>exclusão</w:t>
      </w:r>
      <w:r>
        <w:rPr>
          <w:spacing w:val="-4"/>
        </w:rPr>
        <w:t> </w:t>
      </w:r>
      <w:r>
        <w:rPr/>
        <w:t>do diagnóstico de IAM, quando os marcadores de necrose miocárdica (isoenzima da creatinoquinase [CK-MB] e troponina) permanecem dentro da normalidade. São basicamente três tipos de apresentação: angina de repouso, angina de início recente e angina em crescendo (</w:t>
      </w:r>
      <w:r>
        <w:rPr>
          <w:color w:val="505050"/>
        </w:rPr>
        <w:t>Tabela 55.1</w:t>
      </w:r>
      <w:r>
        <w:rPr/>
        <w:t>).</w:t>
      </w:r>
      <w:r>
        <w:rPr>
          <w:vertAlign w:val="superscript"/>
        </w:rPr>
        <w:t>1,2</w:t>
      </w:r>
    </w:p>
    <w:p>
      <w:pPr>
        <w:pStyle w:val="BodyText"/>
        <w:spacing w:line="276" w:lineRule="auto" w:before="60"/>
        <w:ind w:right="488"/>
      </w:pPr>
      <w:r>
        <w:rPr/>
        <w:t>Os pacientes com SCA sem elevação do segmento ST que cursam com alteração dos marcadores de necrose miocárdica são definidos como portadores de infarto agudo do miocárdio sem supradesnível do segmento ST </w:t>
      </w:r>
      <w:r>
        <w:rPr>
          <w:spacing w:val="-2"/>
        </w:rPr>
        <w:t>(IAMSST).</w:t>
      </w:r>
    </w:p>
    <w:p>
      <w:pPr>
        <w:pStyle w:val="BodyText"/>
        <w:spacing w:line="276" w:lineRule="auto" w:before="48"/>
        <w:ind w:right="501"/>
      </w:pPr>
      <w:r>
        <w:rPr/>
        <w:t>Com o advento de</w:t>
      </w:r>
      <w:r>
        <w:rPr>
          <w:spacing w:val="-1"/>
        </w:rPr>
        <w:t> </w:t>
      </w:r>
      <w:r>
        <w:rPr/>
        <w:t>novas tecnologias, como os marcadores de</w:t>
      </w:r>
      <w:r>
        <w:rPr>
          <w:spacing w:val="-1"/>
        </w:rPr>
        <w:t> </w:t>
      </w:r>
      <w:r>
        <w:rPr/>
        <w:t>necrose</w:t>
      </w:r>
      <w:r>
        <w:rPr>
          <w:spacing w:val="-1"/>
        </w:rPr>
        <w:t> </w:t>
      </w:r>
      <w:r>
        <w:rPr/>
        <w:t>miocárdica</w:t>
      </w:r>
      <w:r>
        <w:rPr>
          <w:spacing w:val="-1"/>
        </w:rPr>
        <w:t> </w:t>
      </w:r>
      <w:r>
        <w:rPr/>
        <w:t>mais sensíveis e</w:t>
      </w:r>
      <w:r>
        <w:rPr>
          <w:spacing w:val="-1"/>
        </w:rPr>
        <w:t> </w:t>
      </w:r>
      <w:r>
        <w:rPr/>
        <w:t>específicos, podem-se</w:t>
      </w:r>
      <w:r>
        <w:rPr>
          <w:spacing w:val="-6"/>
        </w:rPr>
        <w:t> </w:t>
      </w:r>
      <w:r>
        <w:rPr/>
        <w:t>detectar pequenas áreas de</w:t>
      </w:r>
      <w:r>
        <w:rPr>
          <w:spacing w:val="-6"/>
        </w:rPr>
        <w:t> </w:t>
      </w:r>
      <w:r>
        <w:rPr/>
        <w:t>necrose</w:t>
      </w:r>
      <w:r>
        <w:rPr>
          <w:spacing w:val="-6"/>
        </w:rPr>
        <w:t> </w:t>
      </w:r>
      <w:r>
        <w:rPr/>
        <w:t>miocárdica, ou</w:t>
      </w:r>
      <w:r>
        <w:rPr>
          <w:spacing w:val="-3"/>
        </w:rPr>
        <w:t> </w:t>
      </w:r>
      <w:r>
        <w:rPr/>
        <w:t>seja, pequenos infartos, que</w:t>
      </w:r>
      <w:r>
        <w:rPr>
          <w:spacing w:val="-6"/>
        </w:rPr>
        <w:t> </w:t>
      </w:r>
      <w:r>
        <w:rPr/>
        <w:t>anteriormente</w:t>
      </w:r>
      <w:r>
        <w:rPr>
          <w:spacing w:val="-6"/>
        </w:rPr>
        <w:t> </w:t>
      </w:r>
      <w:r>
        <w:rPr/>
        <w:t>não</w:t>
      </w:r>
      <w:r>
        <w:rPr>
          <w:spacing w:val="-3"/>
        </w:rPr>
        <w:t> </w:t>
      </w:r>
      <w:r>
        <w:rPr/>
        <w:t>seriam </w:t>
      </w:r>
      <w:r>
        <w:rPr>
          <w:spacing w:val="-2"/>
        </w:rPr>
        <w:t>detectados.</w:t>
      </w:r>
    </w:p>
    <w:p>
      <w:pPr>
        <w:pStyle w:val="BodyText"/>
        <w:spacing w:line="278" w:lineRule="auto"/>
        <w:ind w:right="487"/>
      </w:pPr>
      <w:r>
        <w:rPr/>
        <w:t>O</w:t>
      </w:r>
      <w:r>
        <w:rPr>
          <w:spacing w:val="-9"/>
        </w:rPr>
        <w:t> </w:t>
      </w:r>
      <w:r>
        <w:rPr/>
        <w:t>infarto</w:t>
      </w:r>
      <w:r>
        <w:rPr>
          <w:spacing w:val="-6"/>
        </w:rPr>
        <w:t> </w:t>
      </w:r>
      <w:r>
        <w:rPr/>
        <w:t>agudo</w:t>
      </w:r>
      <w:r>
        <w:rPr>
          <w:spacing w:val="-6"/>
        </w:rPr>
        <w:t> </w:t>
      </w:r>
      <w:r>
        <w:rPr/>
        <w:t>do</w:t>
      </w:r>
      <w:r>
        <w:rPr>
          <w:spacing w:val="-6"/>
        </w:rPr>
        <w:t> </w:t>
      </w:r>
      <w:r>
        <w:rPr/>
        <w:t>miocárdio</w:t>
      </w:r>
      <w:r>
        <w:rPr>
          <w:spacing w:val="-6"/>
        </w:rPr>
        <w:t> </w:t>
      </w:r>
      <w:r>
        <w:rPr/>
        <w:t>com</w:t>
      </w:r>
      <w:r>
        <w:rPr>
          <w:spacing w:val="-6"/>
        </w:rPr>
        <w:t> </w:t>
      </w:r>
      <w:r>
        <w:rPr/>
        <w:t>supradesnível</w:t>
      </w:r>
      <w:r>
        <w:rPr>
          <w:spacing w:val="-3"/>
        </w:rPr>
        <w:t> </w:t>
      </w:r>
      <w:r>
        <w:rPr/>
        <w:t>do</w:t>
      </w:r>
      <w:r>
        <w:rPr>
          <w:spacing w:val="-6"/>
        </w:rPr>
        <w:t> </w:t>
      </w:r>
      <w:r>
        <w:rPr/>
        <w:t>segmento</w:t>
      </w:r>
      <w:r>
        <w:rPr>
          <w:spacing w:val="-6"/>
        </w:rPr>
        <w:t> </w:t>
      </w:r>
      <w:r>
        <w:rPr/>
        <w:t>ST</w:t>
      </w:r>
      <w:r>
        <w:rPr>
          <w:spacing w:val="-1"/>
        </w:rPr>
        <w:t> </w:t>
      </w:r>
      <w:r>
        <w:rPr/>
        <w:t>(IAMST), como</w:t>
      </w:r>
      <w:r>
        <w:rPr>
          <w:spacing w:val="-6"/>
        </w:rPr>
        <w:t> </w:t>
      </w:r>
      <w:r>
        <w:rPr/>
        <w:t>o</w:t>
      </w:r>
      <w:r>
        <w:rPr>
          <w:spacing w:val="-6"/>
        </w:rPr>
        <w:t> </w:t>
      </w:r>
      <w:r>
        <w:rPr/>
        <w:t>próprio</w:t>
      </w:r>
      <w:r>
        <w:rPr>
          <w:spacing w:val="-6"/>
        </w:rPr>
        <w:t> </w:t>
      </w:r>
      <w:r>
        <w:rPr/>
        <w:t>nome</w:t>
      </w:r>
      <w:r>
        <w:rPr>
          <w:spacing w:val="-9"/>
        </w:rPr>
        <w:t> </w:t>
      </w:r>
      <w:r>
        <w:rPr/>
        <w:t>indica, exige elevação</w:t>
      </w:r>
      <w:r>
        <w:rPr>
          <w:spacing w:val="-6"/>
        </w:rPr>
        <w:t> </w:t>
      </w:r>
      <w:r>
        <w:rPr/>
        <w:t>persistente</w:t>
      </w:r>
      <w:r>
        <w:rPr>
          <w:spacing w:val="-8"/>
        </w:rPr>
        <w:t> </w:t>
      </w:r>
      <w:r>
        <w:rPr/>
        <w:t>do</w:t>
      </w:r>
      <w:r>
        <w:rPr>
          <w:spacing w:val="-6"/>
        </w:rPr>
        <w:t> </w:t>
      </w:r>
      <w:r>
        <w:rPr/>
        <w:t>segmento</w:t>
      </w:r>
      <w:r>
        <w:rPr>
          <w:spacing w:val="-6"/>
        </w:rPr>
        <w:t> </w:t>
      </w:r>
      <w:r>
        <w:rPr/>
        <w:t>ST de</w:t>
      </w:r>
      <w:r>
        <w:rPr>
          <w:spacing w:val="-8"/>
        </w:rPr>
        <w:t> </w:t>
      </w:r>
      <w:r>
        <w:rPr/>
        <w:t>pelo</w:t>
      </w:r>
      <w:r>
        <w:rPr>
          <w:spacing w:val="-6"/>
        </w:rPr>
        <w:t> </w:t>
      </w:r>
      <w:r>
        <w:rPr/>
        <w:t>menos 1</w:t>
      </w:r>
      <w:r>
        <w:rPr>
          <w:spacing w:val="-6"/>
        </w:rPr>
        <w:t> </w:t>
      </w:r>
      <w:r>
        <w:rPr/>
        <w:t>mm</w:t>
      </w:r>
      <w:r>
        <w:rPr>
          <w:spacing w:val="-6"/>
        </w:rPr>
        <w:t> </w:t>
      </w:r>
      <w:r>
        <w:rPr/>
        <w:t>em</w:t>
      </w:r>
      <w:r>
        <w:rPr>
          <w:spacing w:val="-6"/>
        </w:rPr>
        <w:t> </w:t>
      </w:r>
      <w:r>
        <w:rPr/>
        <w:t>duas ou</w:t>
      </w:r>
      <w:r>
        <w:rPr>
          <w:spacing w:val="-6"/>
        </w:rPr>
        <w:t> </w:t>
      </w:r>
      <w:r>
        <w:rPr/>
        <w:t>mais derivações contíguas no</w:t>
      </w:r>
      <w:r>
        <w:rPr>
          <w:spacing w:val="-6"/>
        </w:rPr>
        <w:t> </w:t>
      </w:r>
      <w:r>
        <w:rPr/>
        <w:t>ECG</w:t>
      </w:r>
      <w:r>
        <w:rPr>
          <w:spacing w:val="-8"/>
        </w:rPr>
        <w:t> </w:t>
      </w:r>
      <w:r>
        <w:rPr/>
        <w:t>durante</w:t>
      </w:r>
      <w:r>
        <w:rPr>
          <w:spacing w:val="-8"/>
        </w:rPr>
        <w:t> </w:t>
      </w:r>
      <w:r>
        <w:rPr/>
        <w:t>a avaliação do paciente com dor torácica. Além disso, classifica-se a SCA como IAMST quando esta se apresentar com bloqueio de ramo esquerdo novo ou supostamente novo. Adicionalmente a essa classificação (IAMSST e IAMST), o IAM é classificado em vários tipos, conforme características clínicas, fisiopatológicas e diferenças no prognóstico (</w:t>
      </w:r>
      <w:r>
        <w:rPr>
          <w:color w:val="505050"/>
        </w:rPr>
        <w:t>Tabela 55.2</w:t>
      </w:r>
      <w:r>
        <w:rPr/>
        <w:t>), o que é definido como a classificação universal do infarto agudo do miocárdio.</w:t>
      </w:r>
      <w:r>
        <w:rPr>
          <w:vertAlign w:val="superscript"/>
        </w:rPr>
        <w:t>3</w:t>
      </w:r>
    </w:p>
    <w:p>
      <w:pPr>
        <w:pStyle w:val="BodyText"/>
        <w:spacing w:line="276" w:lineRule="auto" w:before="49"/>
        <w:ind w:right="487"/>
      </w:pPr>
      <w:r>
        <w:rPr/>
        <w:t>O</w:t>
      </w:r>
      <w:r>
        <w:rPr>
          <w:spacing w:val="-2"/>
        </w:rPr>
        <w:t> </w:t>
      </w:r>
      <w:r>
        <w:rPr/>
        <w:t>ECG</w:t>
      </w:r>
      <w:r>
        <w:rPr>
          <w:spacing w:val="-2"/>
        </w:rPr>
        <w:t> </w:t>
      </w:r>
      <w:r>
        <w:rPr/>
        <w:t>na</w:t>
      </w:r>
      <w:r>
        <w:rPr>
          <w:spacing w:val="-2"/>
        </w:rPr>
        <w:t> </w:t>
      </w:r>
      <w:r>
        <w:rPr/>
        <w:t>avaliação dos pacientes com suspeita</w:t>
      </w:r>
      <w:r>
        <w:rPr>
          <w:spacing w:val="-2"/>
        </w:rPr>
        <w:t> </w:t>
      </w:r>
      <w:r>
        <w:rPr/>
        <w:t>de</w:t>
      </w:r>
      <w:r>
        <w:rPr>
          <w:spacing w:val="-2"/>
        </w:rPr>
        <w:t> </w:t>
      </w:r>
      <w:r>
        <w:rPr/>
        <w:t>SCA</w:t>
      </w:r>
      <w:r>
        <w:rPr>
          <w:spacing w:val="-2"/>
        </w:rPr>
        <w:t> </w:t>
      </w:r>
      <w:r>
        <w:rPr/>
        <w:t>é</w:t>
      </w:r>
      <w:r>
        <w:rPr>
          <w:spacing w:val="-2"/>
        </w:rPr>
        <w:t> </w:t>
      </w:r>
      <w:r>
        <w:rPr/>
        <w:t>um </w:t>
      </w:r>
      <w:r>
        <w:rPr>
          <w:i/>
        </w:rPr>
        <w:t>divisor de</w:t>
      </w:r>
      <w:r>
        <w:rPr>
          <w:i/>
          <w:spacing w:val="-7"/>
        </w:rPr>
        <w:t> </w:t>
      </w:r>
      <w:r>
        <w:rPr>
          <w:i/>
        </w:rPr>
        <w:t>águas</w:t>
      </w:r>
      <w:r>
        <w:rPr/>
        <w:t>.</w:t>
      </w:r>
      <w:r>
        <w:rPr>
          <w:spacing w:val="13"/>
        </w:rPr>
        <w:t> </w:t>
      </w:r>
      <w:r>
        <w:rPr/>
        <w:t>Além de contribuir muito para o diagnóstico, orienta</w:t>
      </w:r>
      <w:r>
        <w:rPr>
          <w:spacing w:val="-2"/>
        </w:rPr>
        <w:t> </w:t>
      </w:r>
      <w:r>
        <w:rPr/>
        <w:t>de</w:t>
      </w:r>
      <w:r>
        <w:rPr>
          <w:spacing w:val="-2"/>
        </w:rPr>
        <w:t> </w:t>
      </w:r>
      <w:r>
        <w:rPr/>
        <w:t>modo simples e</w:t>
      </w:r>
      <w:r>
        <w:rPr>
          <w:spacing w:val="-2"/>
        </w:rPr>
        <w:t> </w:t>
      </w:r>
      <w:r>
        <w:rPr/>
        <w:t>rápido a</w:t>
      </w:r>
      <w:r>
        <w:rPr>
          <w:spacing w:val="-2"/>
        </w:rPr>
        <w:t> </w:t>
      </w:r>
      <w:r>
        <w:rPr/>
        <w:t>abordagem inicial dos pacientes com sintomas isquêmicos.</w:t>
      </w:r>
    </w:p>
    <w:p>
      <w:pPr>
        <w:pStyle w:val="BodyText"/>
        <w:spacing w:before="87"/>
        <w:ind w:left="0" w:firstLine="0"/>
        <w:jc w:val="left"/>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2"/>
          <w:sz w:val="23"/>
        </w:rPr>
        <w:t> </w:t>
      </w:r>
      <w:r>
        <w:rPr>
          <w:rFonts w:ascii="Arial" w:hAnsi="Arial"/>
          <w:b/>
          <w:color w:val="242B67"/>
          <w:sz w:val="23"/>
        </w:rPr>
        <w:t>55.1</w:t>
      </w:r>
      <w:r>
        <w:rPr>
          <w:rFonts w:ascii="Arial" w:hAnsi="Arial"/>
          <w:b/>
          <w:color w:val="242B67"/>
          <w:spacing w:val="-2"/>
          <w:sz w:val="23"/>
        </w:rPr>
        <w:t> </w:t>
      </w:r>
      <w:r>
        <w:rPr>
          <w:rFonts w:ascii="Microsoft Sans Serif" w:hAnsi="Microsoft Sans Serif"/>
          <w:sz w:val="23"/>
        </w:rPr>
        <w:t>Tipos</w:t>
      </w:r>
      <w:r>
        <w:rPr>
          <w:rFonts w:ascii="Microsoft Sans Serif" w:hAnsi="Microsoft Sans Serif"/>
          <w:spacing w:val="-3"/>
          <w:sz w:val="23"/>
        </w:rPr>
        <w:t> </w:t>
      </w:r>
      <w:r>
        <w:rPr>
          <w:rFonts w:ascii="Microsoft Sans Serif" w:hAnsi="Microsoft Sans Serif"/>
          <w:sz w:val="23"/>
        </w:rPr>
        <w:t>de</w:t>
      </w:r>
      <w:r>
        <w:rPr>
          <w:rFonts w:ascii="Microsoft Sans Serif" w:hAnsi="Microsoft Sans Serif"/>
          <w:spacing w:val="1"/>
          <w:sz w:val="23"/>
        </w:rPr>
        <w:t> </w:t>
      </w:r>
      <w:r>
        <w:rPr>
          <w:rFonts w:ascii="Microsoft Sans Serif" w:hAnsi="Microsoft Sans Serif"/>
          <w:sz w:val="23"/>
        </w:rPr>
        <w:t>apresentação de</w:t>
      </w:r>
      <w:r>
        <w:rPr>
          <w:rFonts w:ascii="Microsoft Sans Serif" w:hAnsi="Microsoft Sans Serif"/>
          <w:spacing w:val="1"/>
          <w:sz w:val="23"/>
        </w:rPr>
        <w:t> </w:t>
      </w:r>
      <w:r>
        <w:rPr>
          <w:rFonts w:ascii="Microsoft Sans Serif" w:hAnsi="Microsoft Sans Serif"/>
          <w:sz w:val="23"/>
        </w:rPr>
        <w:t>angina</w:t>
      </w:r>
      <w:r>
        <w:rPr>
          <w:rFonts w:ascii="Microsoft Sans Serif" w:hAnsi="Microsoft Sans Serif"/>
          <w:spacing w:val="1"/>
          <w:sz w:val="23"/>
        </w:rPr>
        <w:t> </w:t>
      </w:r>
      <w:r>
        <w:rPr>
          <w:rFonts w:ascii="Microsoft Sans Serif" w:hAnsi="Microsoft Sans Serif"/>
          <w:spacing w:val="-2"/>
          <w:sz w:val="23"/>
        </w:rPr>
        <w:t>instável.</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724"/>
        <w:gridCol w:w="6911"/>
      </w:tblGrid>
      <w:tr>
        <w:trPr>
          <w:trHeight w:val="430" w:hRule="atLeast"/>
        </w:trPr>
        <w:tc>
          <w:tcPr>
            <w:tcW w:w="3724" w:type="dxa"/>
            <w:tcBorders>
              <w:top w:val="nil"/>
              <w:left w:val="nil"/>
            </w:tcBorders>
            <w:shd w:val="clear" w:color="auto" w:fill="242B67"/>
          </w:tcPr>
          <w:p>
            <w:pPr>
              <w:pStyle w:val="TableParagraph"/>
              <w:spacing w:before="91"/>
              <w:ind w:left="67"/>
              <w:rPr>
                <w:rFonts w:ascii="Arial"/>
                <w:b/>
                <w:sz w:val="21"/>
              </w:rPr>
            </w:pPr>
            <w:r>
              <w:rPr>
                <w:rFonts w:ascii="Arial"/>
                <w:b/>
                <w:color w:val="FFFFFF"/>
                <w:w w:val="105"/>
                <w:sz w:val="21"/>
              </w:rPr>
              <w:t>Tipo</w:t>
            </w:r>
            <w:r>
              <w:rPr>
                <w:rFonts w:ascii="Arial"/>
                <w:b/>
                <w:color w:val="FFFFFF"/>
                <w:spacing w:val="-15"/>
                <w:w w:val="105"/>
                <w:sz w:val="21"/>
              </w:rPr>
              <w:t> </w:t>
            </w:r>
            <w:r>
              <w:rPr>
                <w:rFonts w:ascii="Arial"/>
                <w:b/>
                <w:color w:val="FFFFFF"/>
                <w:w w:val="105"/>
                <w:sz w:val="21"/>
              </w:rPr>
              <w:t>de</w:t>
            </w:r>
            <w:r>
              <w:rPr>
                <w:rFonts w:ascii="Arial"/>
                <w:b/>
                <w:color w:val="FFFFFF"/>
                <w:spacing w:val="-5"/>
                <w:w w:val="105"/>
                <w:sz w:val="21"/>
              </w:rPr>
              <w:t> </w:t>
            </w:r>
            <w:r>
              <w:rPr>
                <w:rFonts w:ascii="Arial"/>
                <w:b/>
                <w:color w:val="FFFFFF"/>
                <w:spacing w:val="-2"/>
                <w:w w:val="105"/>
                <w:sz w:val="21"/>
              </w:rPr>
              <w:t>angina</w:t>
            </w:r>
          </w:p>
        </w:tc>
        <w:tc>
          <w:tcPr>
            <w:tcW w:w="6911" w:type="dxa"/>
            <w:tcBorders>
              <w:top w:val="nil"/>
              <w:right w:val="nil"/>
            </w:tcBorders>
            <w:shd w:val="clear" w:color="auto" w:fill="242B67"/>
          </w:tcPr>
          <w:p>
            <w:pPr>
              <w:pStyle w:val="TableParagraph"/>
              <w:spacing w:before="91"/>
              <w:rPr>
                <w:rFonts w:ascii="Arial" w:hAnsi="Arial"/>
                <w:b/>
                <w:sz w:val="21"/>
              </w:rPr>
            </w:pPr>
            <w:r>
              <w:rPr>
                <w:rFonts w:ascii="Arial" w:hAnsi="Arial"/>
                <w:b/>
                <w:color w:val="FFFFFF"/>
                <w:spacing w:val="-2"/>
                <w:w w:val="105"/>
                <w:sz w:val="21"/>
              </w:rPr>
              <w:t>Característica</w:t>
            </w:r>
          </w:p>
        </w:tc>
      </w:tr>
      <w:tr>
        <w:trPr>
          <w:trHeight w:val="428" w:hRule="atLeast"/>
        </w:trPr>
        <w:tc>
          <w:tcPr>
            <w:tcW w:w="3724" w:type="dxa"/>
            <w:tcBorders>
              <w:left w:val="nil"/>
            </w:tcBorders>
            <w:shd w:val="clear" w:color="auto" w:fill="EDECF3"/>
          </w:tcPr>
          <w:p>
            <w:pPr>
              <w:pStyle w:val="TableParagraph"/>
              <w:ind w:left="67"/>
              <w:rPr>
                <w:sz w:val="21"/>
              </w:rPr>
            </w:pPr>
            <w:r>
              <w:rPr>
                <w:w w:val="105"/>
                <w:sz w:val="21"/>
              </w:rPr>
              <w:t>Angina</w:t>
            </w:r>
            <w:r>
              <w:rPr>
                <w:spacing w:val="15"/>
                <w:w w:val="105"/>
                <w:sz w:val="21"/>
              </w:rPr>
              <w:t> </w:t>
            </w:r>
            <w:r>
              <w:rPr>
                <w:w w:val="105"/>
                <w:sz w:val="21"/>
              </w:rPr>
              <w:t>de</w:t>
            </w:r>
            <w:r>
              <w:rPr>
                <w:spacing w:val="15"/>
                <w:w w:val="105"/>
                <w:sz w:val="21"/>
              </w:rPr>
              <w:t> </w:t>
            </w:r>
            <w:r>
              <w:rPr>
                <w:spacing w:val="-2"/>
                <w:w w:val="105"/>
                <w:sz w:val="21"/>
              </w:rPr>
              <w:t>repouso</w:t>
            </w:r>
          </w:p>
        </w:tc>
        <w:tc>
          <w:tcPr>
            <w:tcW w:w="6911" w:type="dxa"/>
            <w:tcBorders>
              <w:right w:val="nil"/>
            </w:tcBorders>
            <w:shd w:val="clear" w:color="auto" w:fill="EDECF3"/>
          </w:tcPr>
          <w:p>
            <w:pPr>
              <w:pStyle w:val="TableParagraph"/>
              <w:rPr>
                <w:sz w:val="21"/>
              </w:rPr>
            </w:pPr>
            <w:r>
              <w:rPr>
                <w:w w:val="105"/>
                <w:sz w:val="21"/>
              </w:rPr>
              <w:t>Angina</w:t>
            </w:r>
            <w:r>
              <w:rPr>
                <w:spacing w:val="21"/>
                <w:w w:val="105"/>
                <w:sz w:val="21"/>
              </w:rPr>
              <w:t> </w:t>
            </w:r>
            <w:r>
              <w:rPr>
                <w:w w:val="105"/>
                <w:sz w:val="21"/>
              </w:rPr>
              <w:t>iniciada</w:t>
            </w:r>
            <w:r>
              <w:rPr>
                <w:spacing w:val="21"/>
                <w:w w:val="105"/>
                <w:sz w:val="21"/>
              </w:rPr>
              <w:t> </w:t>
            </w:r>
            <w:r>
              <w:rPr>
                <w:w w:val="105"/>
                <w:sz w:val="21"/>
              </w:rPr>
              <w:t>ao</w:t>
            </w:r>
            <w:r>
              <w:rPr>
                <w:spacing w:val="22"/>
                <w:w w:val="105"/>
                <w:sz w:val="21"/>
              </w:rPr>
              <w:t> </w:t>
            </w:r>
            <w:r>
              <w:rPr>
                <w:w w:val="105"/>
                <w:sz w:val="21"/>
              </w:rPr>
              <w:t>repouso</w:t>
            </w:r>
            <w:r>
              <w:rPr>
                <w:spacing w:val="21"/>
                <w:w w:val="105"/>
                <w:sz w:val="21"/>
              </w:rPr>
              <w:t> </w:t>
            </w:r>
            <w:r>
              <w:rPr>
                <w:w w:val="105"/>
                <w:sz w:val="21"/>
              </w:rPr>
              <w:t>e</w:t>
            </w:r>
            <w:r>
              <w:rPr>
                <w:spacing w:val="22"/>
                <w:w w:val="105"/>
                <w:sz w:val="21"/>
              </w:rPr>
              <w:t> </w:t>
            </w:r>
            <w:r>
              <w:rPr>
                <w:w w:val="105"/>
                <w:sz w:val="21"/>
              </w:rPr>
              <w:t>prolongada,</w:t>
            </w:r>
            <w:r>
              <w:rPr>
                <w:spacing w:val="17"/>
                <w:w w:val="105"/>
                <w:sz w:val="21"/>
              </w:rPr>
              <w:t> </w:t>
            </w:r>
            <w:r>
              <w:rPr>
                <w:w w:val="105"/>
                <w:sz w:val="21"/>
              </w:rPr>
              <w:t>em</w:t>
            </w:r>
            <w:r>
              <w:rPr>
                <w:spacing w:val="6"/>
                <w:w w:val="105"/>
                <w:sz w:val="21"/>
              </w:rPr>
              <w:t> </w:t>
            </w:r>
            <w:r>
              <w:rPr>
                <w:w w:val="105"/>
                <w:sz w:val="21"/>
              </w:rPr>
              <w:t>geral</w:t>
            </w:r>
            <w:r>
              <w:rPr>
                <w:spacing w:val="13"/>
                <w:w w:val="105"/>
                <w:sz w:val="21"/>
              </w:rPr>
              <w:t> </w:t>
            </w:r>
            <w:r>
              <w:rPr>
                <w:w w:val="105"/>
                <w:sz w:val="21"/>
              </w:rPr>
              <w:t>&gt;</w:t>
            </w:r>
            <w:r>
              <w:rPr>
                <w:spacing w:val="14"/>
                <w:w w:val="105"/>
                <w:sz w:val="21"/>
              </w:rPr>
              <w:t> </w:t>
            </w:r>
            <w:r>
              <w:rPr>
                <w:w w:val="105"/>
                <w:sz w:val="21"/>
              </w:rPr>
              <w:t>20</w:t>
            </w:r>
            <w:r>
              <w:rPr>
                <w:spacing w:val="22"/>
                <w:w w:val="105"/>
                <w:sz w:val="21"/>
              </w:rPr>
              <w:t> </w:t>
            </w:r>
            <w:r>
              <w:rPr>
                <w:spacing w:val="-5"/>
                <w:w w:val="105"/>
                <w:sz w:val="21"/>
              </w:rPr>
              <w:t>min</w:t>
            </w:r>
          </w:p>
        </w:tc>
      </w:tr>
      <w:tr>
        <w:trPr>
          <w:trHeight w:val="732" w:hRule="atLeast"/>
        </w:trPr>
        <w:tc>
          <w:tcPr>
            <w:tcW w:w="3724" w:type="dxa"/>
            <w:tcBorders>
              <w:left w:val="nil"/>
            </w:tcBorders>
            <w:shd w:val="clear" w:color="auto" w:fill="EDECF3"/>
          </w:tcPr>
          <w:p>
            <w:pPr>
              <w:pStyle w:val="TableParagraph"/>
              <w:ind w:left="67"/>
              <w:rPr>
                <w:sz w:val="21"/>
              </w:rPr>
            </w:pPr>
            <w:r>
              <w:rPr>
                <w:w w:val="105"/>
                <w:sz w:val="21"/>
              </w:rPr>
              <w:t>Angina</w:t>
            </w:r>
            <w:r>
              <w:rPr>
                <w:spacing w:val="17"/>
                <w:w w:val="105"/>
                <w:sz w:val="21"/>
              </w:rPr>
              <w:t> </w:t>
            </w:r>
            <w:r>
              <w:rPr>
                <w:w w:val="105"/>
                <w:sz w:val="21"/>
              </w:rPr>
              <w:t>de</w:t>
            </w:r>
            <w:r>
              <w:rPr>
                <w:spacing w:val="18"/>
                <w:w w:val="105"/>
                <w:sz w:val="21"/>
              </w:rPr>
              <w:t> </w:t>
            </w:r>
            <w:r>
              <w:rPr>
                <w:w w:val="105"/>
                <w:sz w:val="21"/>
              </w:rPr>
              <w:t>início</w:t>
            </w:r>
            <w:r>
              <w:rPr>
                <w:spacing w:val="18"/>
                <w:w w:val="105"/>
                <w:sz w:val="21"/>
              </w:rPr>
              <w:t> </w:t>
            </w:r>
            <w:r>
              <w:rPr>
                <w:spacing w:val="-2"/>
                <w:w w:val="105"/>
                <w:sz w:val="21"/>
              </w:rPr>
              <w:t>recente</w:t>
            </w:r>
          </w:p>
        </w:tc>
        <w:tc>
          <w:tcPr>
            <w:tcW w:w="6911" w:type="dxa"/>
            <w:tcBorders>
              <w:right w:val="nil"/>
            </w:tcBorders>
            <w:shd w:val="clear" w:color="auto" w:fill="EDECF3"/>
          </w:tcPr>
          <w:p>
            <w:pPr>
              <w:pStyle w:val="TableParagraph"/>
              <w:spacing w:line="307" w:lineRule="auto"/>
              <w:rPr>
                <w:sz w:val="21"/>
              </w:rPr>
            </w:pPr>
            <w:r>
              <w:rPr>
                <w:w w:val="105"/>
                <w:sz w:val="21"/>
              </w:rPr>
              <w:t>Angina de início recente com intensidade de pelo menos Classe III </w:t>
            </w:r>
            <w:r>
              <w:rPr>
                <w:spacing w:val="-2"/>
                <w:w w:val="105"/>
                <w:sz w:val="21"/>
              </w:rPr>
              <w:t>(CCS)</w:t>
            </w:r>
          </w:p>
        </w:tc>
      </w:tr>
      <w:tr>
        <w:trPr>
          <w:trHeight w:val="734" w:hRule="atLeast"/>
        </w:trPr>
        <w:tc>
          <w:tcPr>
            <w:tcW w:w="3724" w:type="dxa"/>
            <w:tcBorders>
              <w:left w:val="nil"/>
              <w:bottom w:val="nil"/>
            </w:tcBorders>
            <w:shd w:val="clear" w:color="auto" w:fill="EDECF3"/>
          </w:tcPr>
          <w:p>
            <w:pPr>
              <w:pStyle w:val="TableParagraph"/>
              <w:ind w:left="67"/>
              <w:rPr>
                <w:sz w:val="21"/>
              </w:rPr>
            </w:pPr>
            <w:r>
              <w:rPr>
                <w:w w:val="105"/>
                <w:sz w:val="21"/>
              </w:rPr>
              <w:t>Angina</w:t>
            </w:r>
            <w:r>
              <w:rPr>
                <w:spacing w:val="15"/>
                <w:w w:val="105"/>
                <w:sz w:val="21"/>
              </w:rPr>
              <w:t> </w:t>
            </w:r>
            <w:r>
              <w:rPr>
                <w:w w:val="105"/>
                <w:sz w:val="21"/>
              </w:rPr>
              <w:t>em</w:t>
            </w:r>
            <w:r>
              <w:rPr>
                <w:spacing w:val="1"/>
                <w:w w:val="105"/>
                <w:sz w:val="21"/>
              </w:rPr>
              <w:t> </w:t>
            </w:r>
            <w:r>
              <w:rPr>
                <w:spacing w:val="-2"/>
                <w:w w:val="105"/>
                <w:sz w:val="21"/>
              </w:rPr>
              <w:t>crescendo</w:t>
            </w:r>
          </w:p>
        </w:tc>
        <w:tc>
          <w:tcPr>
            <w:tcW w:w="6911" w:type="dxa"/>
            <w:tcBorders>
              <w:bottom w:val="nil"/>
              <w:right w:val="nil"/>
            </w:tcBorders>
            <w:shd w:val="clear" w:color="auto" w:fill="EDECF3"/>
          </w:tcPr>
          <w:p>
            <w:pPr>
              <w:pStyle w:val="TableParagraph"/>
              <w:spacing w:line="307" w:lineRule="auto"/>
              <w:rPr>
                <w:sz w:val="21"/>
              </w:rPr>
            </w:pPr>
            <w:r>
              <w:rPr>
                <w:w w:val="105"/>
                <w:sz w:val="21"/>
              </w:rPr>
              <w:t>Angina prévia que muda seu padrão, tornando-se mais frequente,</w:t>
            </w:r>
            <w:r>
              <w:rPr>
                <w:spacing w:val="40"/>
                <w:w w:val="105"/>
                <w:sz w:val="21"/>
              </w:rPr>
              <w:t> </w:t>
            </w:r>
            <w:r>
              <w:rPr>
                <w:w w:val="105"/>
                <w:sz w:val="21"/>
              </w:rPr>
              <w:t>prolongada e mais intensa</w:t>
            </w:r>
          </w:p>
        </w:tc>
      </w:tr>
    </w:tbl>
    <w:p>
      <w:pPr>
        <w:pStyle w:val="BodyText"/>
        <w:spacing w:before="102"/>
        <w:ind w:left="0" w:firstLine="0"/>
        <w:jc w:val="left"/>
        <w:rPr>
          <w:rFonts w:ascii="Microsoft Sans Serif"/>
        </w:rPr>
      </w:pPr>
    </w:p>
    <w:p>
      <w:pPr>
        <w:pStyle w:val="BodyText"/>
        <w:spacing w:before="1"/>
        <w:ind w:firstLine="0"/>
        <w:jc w:val="left"/>
        <w:rPr>
          <w:rFonts w:ascii="Microsoft Sans Serif" w:hAnsi="Microsoft Sans Serif"/>
        </w:rPr>
      </w:pPr>
      <w:r>
        <w:rPr>
          <w:rFonts w:ascii="Arial" w:hAnsi="Arial"/>
          <w:b/>
          <w:color w:val="242B67"/>
        </w:rPr>
        <w:t>Tabela</w:t>
      </w:r>
      <w:r>
        <w:rPr>
          <w:rFonts w:ascii="Arial" w:hAnsi="Arial"/>
          <w:b/>
          <w:color w:val="242B67"/>
          <w:spacing w:val="-8"/>
        </w:rPr>
        <w:t> </w:t>
      </w:r>
      <w:r>
        <w:rPr>
          <w:rFonts w:ascii="Arial" w:hAnsi="Arial"/>
          <w:b/>
          <w:color w:val="242B67"/>
        </w:rPr>
        <w:t>55.2</w:t>
      </w:r>
      <w:r>
        <w:rPr>
          <w:rFonts w:ascii="Arial" w:hAnsi="Arial"/>
          <w:b/>
          <w:color w:val="242B67"/>
          <w:spacing w:val="-8"/>
        </w:rPr>
        <w:t> </w:t>
      </w:r>
      <w:r>
        <w:rPr>
          <w:rFonts w:ascii="Microsoft Sans Serif" w:hAnsi="Microsoft Sans Serif"/>
        </w:rPr>
        <w:t>Classificação</w:t>
      </w:r>
      <w:r>
        <w:rPr>
          <w:rFonts w:ascii="Microsoft Sans Serif" w:hAnsi="Microsoft Sans Serif"/>
          <w:spacing w:val="-5"/>
        </w:rPr>
        <w:t> </w:t>
      </w:r>
      <w:r>
        <w:rPr>
          <w:rFonts w:ascii="Microsoft Sans Serif" w:hAnsi="Microsoft Sans Serif"/>
        </w:rPr>
        <w:t>universal</w:t>
      </w:r>
      <w:r>
        <w:rPr>
          <w:rFonts w:ascii="Microsoft Sans Serif" w:hAnsi="Microsoft Sans Serif"/>
          <w:spacing w:val="-7"/>
        </w:rPr>
        <w:t> </w:t>
      </w:r>
      <w:r>
        <w:rPr>
          <w:rFonts w:ascii="Microsoft Sans Serif" w:hAnsi="Microsoft Sans Serif"/>
        </w:rPr>
        <w:t>do</w:t>
      </w:r>
      <w:r>
        <w:rPr>
          <w:rFonts w:ascii="Microsoft Sans Serif" w:hAnsi="Microsoft Sans Serif"/>
          <w:spacing w:val="-5"/>
        </w:rPr>
        <w:t> </w:t>
      </w:r>
      <w:r>
        <w:rPr>
          <w:rFonts w:ascii="Microsoft Sans Serif" w:hAnsi="Microsoft Sans Serif"/>
        </w:rPr>
        <w:t>infarto</w:t>
      </w:r>
      <w:r>
        <w:rPr>
          <w:rFonts w:ascii="Microsoft Sans Serif" w:hAnsi="Microsoft Sans Serif"/>
          <w:spacing w:val="-5"/>
        </w:rPr>
        <w:t> </w:t>
      </w:r>
      <w:r>
        <w:rPr>
          <w:rFonts w:ascii="Microsoft Sans Serif" w:hAnsi="Microsoft Sans Serif"/>
        </w:rPr>
        <w:t>agudo</w:t>
      </w:r>
      <w:r>
        <w:rPr>
          <w:rFonts w:ascii="Microsoft Sans Serif" w:hAnsi="Microsoft Sans Serif"/>
          <w:spacing w:val="-5"/>
        </w:rPr>
        <w:t> </w:t>
      </w:r>
      <w:r>
        <w:rPr>
          <w:rFonts w:ascii="Microsoft Sans Serif" w:hAnsi="Microsoft Sans Serif"/>
        </w:rPr>
        <w:t>do</w:t>
      </w:r>
      <w:r>
        <w:rPr>
          <w:rFonts w:ascii="Microsoft Sans Serif" w:hAnsi="Microsoft Sans Serif"/>
          <w:spacing w:val="-5"/>
        </w:rPr>
        <w:t> </w:t>
      </w:r>
      <w:r>
        <w:rPr>
          <w:rFonts w:ascii="Microsoft Sans Serif" w:hAnsi="Microsoft Sans Serif"/>
        </w:rPr>
        <w:t>miocárdio</w:t>
      </w:r>
      <w:r>
        <w:rPr>
          <w:rFonts w:ascii="Microsoft Sans Serif" w:hAnsi="Microsoft Sans Serif"/>
          <w:spacing w:val="-6"/>
        </w:rPr>
        <w:t> </w:t>
      </w:r>
      <w:r>
        <w:rPr>
          <w:rFonts w:ascii="Microsoft Sans Serif" w:hAnsi="Microsoft Sans Serif"/>
          <w:spacing w:val="-2"/>
        </w:rPr>
        <w:t>(IAM).</w:t>
      </w:r>
    </w:p>
    <w:p>
      <w:pPr>
        <w:pStyle w:val="BodyText"/>
        <w:spacing w:before="5"/>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195"/>
        <w:gridCol w:w="7439"/>
      </w:tblGrid>
      <w:tr>
        <w:trPr>
          <w:trHeight w:val="430" w:hRule="atLeast"/>
        </w:trPr>
        <w:tc>
          <w:tcPr>
            <w:tcW w:w="3195" w:type="dxa"/>
            <w:tcBorders>
              <w:top w:val="nil"/>
              <w:left w:val="nil"/>
            </w:tcBorders>
            <w:shd w:val="clear" w:color="auto" w:fill="242B67"/>
          </w:tcPr>
          <w:p>
            <w:pPr>
              <w:pStyle w:val="TableParagraph"/>
              <w:spacing w:before="91"/>
              <w:ind w:left="67"/>
              <w:rPr>
                <w:rFonts w:ascii="Arial"/>
                <w:b/>
                <w:sz w:val="21"/>
              </w:rPr>
            </w:pPr>
            <w:r>
              <w:rPr>
                <w:rFonts w:ascii="Arial"/>
                <w:b/>
                <w:color w:val="FFFFFF"/>
                <w:spacing w:val="-4"/>
                <w:w w:val="105"/>
                <w:sz w:val="21"/>
              </w:rPr>
              <w:t>Tipos</w:t>
            </w:r>
          </w:p>
        </w:tc>
        <w:tc>
          <w:tcPr>
            <w:tcW w:w="7439" w:type="dxa"/>
            <w:tcBorders>
              <w:top w:val="nil"/>
              <w:right w:val="nil"/>
            </w:tcBorders>
            <w:shd w:val="clear" w:color="auto" w:fill="242B67"/>
          </w:tcPr>
          <w:p>
            <w:pPr>
              <w:pStyle w:val="TableParagraph"/>
              <w:spacing w:before="91"/>
              <w:ind w:left="66"/>
              <w:rPr>
                <w:rFonts w:ascii="Arial" w:hAnsi="Arial"/>
                <w:b/>
                <w:sz w:val="21"/>
              </w:rPr>
            </w:pPr>
            <w:r>
              <w:rPr>
                <w:rFonts w:ascii="Arial" w:hAnsi="Arial"/>
                <w:b/>
                <w:color w:val="FFFFFF"/>
                <w:spacing w:val="-2"/>
                <w:w w:val="105"/>
                <w:sz w:val="21"/>
              </w:rPr>
              <w:t>Características</w:t>
            </w:r>
          </w:p>
        </w:tc>
      </w:tr>
      <w:tr>
        <w:trPr>
          <w:trHeight w:val="303" w:hRule="atLeast"/>
        </w:trPr>
        <w:tc>
          <w:tcPr>
            <w:tcW w:w="3195" w:type="dxa"/>
            <w:tcBorders>
              <w:left w:val="nil"/>
              <w:bottom w:val="nil"/>
            </w:tcBorders>
            <w:shd w:val="clear" w:color="auto" w:fill="EDECF3"/>
          </w:tcPr>
          <w:p>
            <w:pPr>
              <w:pStyle w:val="TableParagraph"/>
              <w:spacing w:before="0"/>
              <w:ind w:left="0"/>
              <w:rPr>
                <w:rFonts w:ascii="Times New Roman"/>
                <w:sz w:val="22"/>
              </w:rPr>
            </w:pPr>
          </w:p>
        </w:tc>
        <w:tc>
          <w:tcPr>
            <w:tcW w:w="7439" w:type="dxa"/>
            <w:tcBorders>
              <w:bottom w:val="nil"/>
              <w:right w:val="nil"/>
            </w:tcBorders>
            <w:shd w:val="clear" w:color="auto" w:fill="EDECF3"/>
          </w:tcPr>
          <w:p>
            <w:pPr>
              <w:pStyle w:val="TableParagraph"/>
              <w:spacing w:before="0"/>
              <w:ind w:left="0"/>
              <w:rPr>
                <w:rFonts w:ascii="Times New Roman"/>
                <w:sz w:val="22"/>
              </w:rPr>
            </w:pPr>
          </w:p>
        </w:tc>
      </w:tr>
    </w:tbl>
    <w:p>
      <w:pPr>
        <w:pStyle w:val="TableParagraph"/>
        <w:spacing w:after="0"/>
        <w:rPr>
          <w:rFonts w:ascii="Times New Roman"/>
          <w:sz w:val="22"/>
        </w:rPr>
        <w:sectPr>
          <w:pgSz w:w="11900" w:h="16840"/>
          <w:pgMar w:top="106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195"/>
        <w:gridCol w:w="7423"/>
      </w:tblGrid>
      <w:tr>
        <w:trPr>
          <w:trHeight w:val="2863" w:hRule="atLeast"/>
        </w:trPr>
        <w:tc>
          <w:tcPr>
            <w:tcW w:w="3195" w:type="dxa"/>
            <w:tcBorders>
              <w:top w:val="nil"/>
              <w:left w:val="nil"/>
            </w:tcBorders>
            <w:shd w:val="clear" w:color="auto" w:fill="EDECF3"/>
          </w:tcPr>
          <w:p>
            <w:pPr>
              <w:pStyle w:val="TableParagraph"/>
              <w:spacing w:before="93"/>
              <w:ind w:left="67"/>
              <w:rPr>
                <w:sz w:val="21"/>
              </w:rPr>
            </w:pPr>
            <w:r>
              <w:rPr>
                <w:w w:val="105"/>
                <w:sz w:val="21"/>
              </w:rPr>
              <w:t>Tipo</w:t>
            </w:r>
            <w:r>
              <w:rPr>
                <w:spacing w:val="7"/>
                <w:w w:val="105"/>
                <w:sz w:val="21"/>
              </w:rPr>
              <w:t> </w:t>
            </w:r>
            <w:r>
              <w:rPr>
                <w:w w:val="105"/>
                <w:sz w:val="21"/>
              </w:rPr>
              <w:t>1</w:t>
            </w:r>
            <w:r>
              <w:rPr>
                <w:spacing w:val="7"/>
                <w:w w:val="105"/>
                <w:sz w:val="21"/>
              </w:rPr>
              <w:t> </w:t>
            </w:r>
            <w:r>
              <w:rPr>
                <w:w w:val="105"/>
                <w:sz w:val="21"/>
              </w:rPr>
              <w:t>|</w:t>
            </w:r>
            <w:r>
              <w:rPr>
                <w:spacing w:val="8"/>
                <w:w w:val="105"/>
                <w:sz w:val="21"/>
              </w:rPr>
              <w:t> </w:t>
            </w:r>
            <w:r>
              <w:rPr>
                <w:w w:val="105"/>
                <w:sz w:val="21"/>
              </w:rPr>
              <w:t>IAM</w:t>
            </w:r>
            <w:r>
              <w:rPr>
                <w:spacing w:val="-5"/>
                <w:w w:val="105"/>
                <w:sz w:val="21"/>
              </w:rPr>
              <w:t> </w:t>
            </w:r>
            <w:r>
              <w:rPr>
                <w:spacing w:val="-2"/>
                <w:w w:val="105"/>
                <w:sz w:val="21"/>
              </w:rPr>
              <w:t>espontâneo</w:t>
            </w:r>
          </w:p>
        </w:tc>
        <w:tc>
          <w:tcPr>
            <w:tcW w:w="7423" w:type="dxa"/>
            <w:tcBorders>
              <w:top w:val="nil"/>
              <w:right w:val="nil"/>
            </w:tcBorders>
            <w:shd w:val="clear" w:color="auto" w:fill="EDECF3"/>
          </w:tcPr>
          <w:p>
            <w:pPr>
              <w:pStyle w:val="TableParagraph"/>
              <w:spacing w:line="307" w:lineRule="auto" w:before="93"/>
              <w:ind w:left="66" w:right="167"/>
              <w:rPr>
                <w:sz w:val="21"/>
              </w:rPr>
            </w:pPr>
            <w:r>
              <w:rPr>
                <w:w w:val="105"/>
                <w:sz w:val="21"/>
              </w:rPr>
              <w:t>Complicações na placa aterosclerótica (fissura, erosão ou dissecção),</w:t>
            </w:r>
            <w:r>
              <w:rPr>
                <w:spacing w:val="40"/>
                <w:w w:val="105"/>
                <w:sz w:val="21"/>
              </w:rPr>
              <w:t> </w:t>
            </w:r>
            <w:r>
              <w:rPr>
                <w:w w:val="105"/>
                <w:sz w:val="21"/>
              </w:rPr>
              <w:t>resultando em trombo intraluminal. O diagnóstico é feito quando há elevação dos marcadores de necrose miocárdica acima do percentil 99,</w:t>
            </w:r>
            <w:r>
              <w:rPr>
                <w:spacing w:val="40"/>
                <w:w w:val="105"/>
                <w:sz w:val="21"/>
              </w:rPr>
              <w:t> </w:t>
            </w:r>
            <w:r>
              <w:rPr>
                <w:w w:val="105"/>
                <w:sz w:val="21"/>
              </w:rPr>
              <w:t>associada</w:t>
            </w:r>
            <w:r>
              <w:rPr>
                <w:spacing w:val="40"/>
                <w:w w:val="105"/>
                <w:sz w:val="21"/>
              </w:rPr>
              <w:t> </w:t>
            </w:r>
            <w:r>
              <w:rPr>
                <w:w w:val="105"/>
                <w:sz w:val="21"/>
              </w:rPr>
              <w:t>a</w:t>
            </w:r>
            <w:r>
              <w:rPr>
                <w:spacing w:val="40"/>
                <w:w w:val="105"/>
                <w:sz w:val="21"/>
              </w:rPr>
              <w:t> </w:t>
            </w:r>
            <w:r>
              <w:rPr>
                <w:w w:val="105"/>
                <w:sz w:val="21"/>
              </w:rPr>
              <w:t>um</w:t>
            </w:r>
            <w:r>
              <w:rPr>
                <w:spacing w:val="24"/>
                <w:w w:val="105"/>
                <w:sz w:val="21"/>
              </w:rPr>
              <w:t> </w:t>
            </w:r>
            <w:r>
              <w:rPr>
                <w:w w:val="105"/>
                <w:sz w:val="21"/>
              </w:rPr>
              <w:t>dos</w:t>
            </w:r>
            <w:r>
              <w:rPr>
                <w:spacing w:val="37"/>
                <w:w w:val="105"/>
                <w:sz w:val="21"/>
              </w:rPr>
              <w:t> </w:t>
            </w:r>
            <w:r>
              <w:rPr>
                <w:w w:val="105"/>
                <w:sz w:val="21"/>
              </w:rPr>
              <w:t>seguintes</w:t>
            </w:r>
            <w:r>
              <w:rPr>
                <w:spacing w:val="37"/>
                <w:w w:val="105"/>
                <w:sz w:val="21"/>
              </w:rPr>
              <w:t> </w:t>
            </w:r>
            <w:r>
              <w:rPr>
                <w:w w:val="105"/>
                <w:sz w:val="21"/>
              </w:rPr>
              <w:t>fatores:</w:t>
            </w:r>
            <w:r>
              <w:rPr>
                <w:spacing w:val="37"/>
                <w:w w:val="105"/>
                <w:sz w:val="21"/>
              </w:rPr>
              <w:t> </w:t>
            </w:r>
            <w:r>
              <w:rPr>
                <w:w w:val="105"/>
                <w:sz w:val="21"/>
              </w:rPr>
              <w:t>sintomas</w:t>
            </w:r>
            <w:r>
              <w:rPr>
                <w:spacing w:val="37"/>
                <w:w w:val="105"/>
                <w:sz w:val="21"/>
              </w:rPr>
              <w:t> </w:t>
            </w:r>
            <w:r>
              <w:rPr>
                <w:w w:val="105"/>
                <w:sz w:val="21"/>
              </w:rPr>
              <w:t>de</w:t>
            </w:r>
            <w:r>
              <w:rPr>
                <w:spacing w:val="40"/>
                <w:w w:val="105"/>
                <w:sz w:val="21"/>
              </w:rPr>
              <w:t> </w:t>
            </w:r>
            <w:r>
              <w:rPr>
                <w:w w:val="105"/>
                <w:sz w:val="21"/>
              </w:rPr>
              <w:t>isquemia;</w:t>
            </w:r>
            <w:r>
              <w:rPr>
                <w:spacing w:val="37"/>
                <w:w w:val="105"/>
                <w:sz w:val="21"/>
              </w:rPr>
              <w:t> </w:t>
            </w:r>
            <w:r>
              <w:rPr>
                <w:w w:val="105"/>
                <w:sz w:val="21"/>
              </w:rPr>
              <w:t>BRE</w:t>
            </w:r>
            <w:r>
              <w:rPr>
                <w:w w:val="105"/>
                <w:sz w:val="21"/>
              </w:rPr>
              <w:t> novo</w:t>
            </w:r>
            <w:r>
              <w:rPr>
                <w:spacing w:val="40"/>
                <w:w w:val="105"/>
                <w:sz w:val="21"/>
              </w:rPr>
              <w:t> </w:t>
            </w:r>
            <w:r>
              <w:rPr>
                <w:w w:val="105"/>
                <w:sz w:val="21"/>
              </w:rPr>
              <w:t>ou</w:t>
            </w:r>
            <w:r>
              <w:rPr>
                <w:spacing w:val="40"/>
                <w:w w:val="105"/>
                <w:sz w:val="21"/>
              </w:rPr>
              <w:t> </w:t>
            </w:r>
            <w:r>
              <w:rPr>
                <w:w w:val="105"/>
                <w:sz w:val="21"/>
              </w:rPr>
              <w:t>alterações</w:t>
            </w:r>
            <w:r>
              <w:rPr>
                <w:spacing w:val="40"/>
                <w:w w:val="105"/>
                <w:sz w:val="21"/>
              </w:rPr>
              <w:t> </w:t>
            </w:r>
            <w:r>
              <w:rPr>
                <w:w w:val="105"/>
                <w:sz w:val="21"/>
              </w:rPr>
              <w:t>isquêmicas</w:t>
            </w:r>
            <w:r>
              <w:rPr>
                <w:spacing w:val="40"/>
                <w:w w:val="105"/>
                <w:sz w:val="21"/>
              </w:rPr>
              <w:t> </w:t>
            </w:r>
            <w:r>
              <w:rPr>
                <w:w w:val="105"/>
                <w:sz w:val="21"/>
              </w:rPr>
              <w:t>do</w:t>
            </w:r>
            <w:r>
              <w:rPr>
                <w:spacing w:val="40"/>
                <w:w w:val="105"/>
                <w:sz w:val="21"/>
              </w:rPr>
              <w:t> </w:t>
            </w:r>
            <w:r>
              <w:rPr>
                <w:w w:val="105"/>
                <w:sz w:val="21"/>
              </w:rPr>
              <w:t>segmento</w:t>
            </w:r>
            <w:r>
              <w:rPr>
                <w:spacing w:val="40"/>
                <w:w w:val="105"/>
                <w:sz w:val="21"/>
              </w:rPr>
              <w:t> </w:t>
            </w:r>
            <w:r>
              <w:rPr>
                <w:w w:val="105"/>
                <w:sz w:val="21"/>
              </w:rPr>
              <w:t>ST</w:t>
            </w:r>
            <w:r>
              <w:rPr>
                <w:spacing w:val="31"/>
                <w:w w:val="105"/>
                <w:sz w:val="21"/>
              </w:rPr>
              <w:t> </w:t>
            </w:r>
            <w:r>
              <w:rPr>
                <w:w w:val="105"/>
                <w:sz w:val="21"/>
              </w:rPr>
              <w:t>novas; desenvolvimento de onda Q patológica; documentação por exames de</w:t>
            </w:r>
            <w:r>
              <w:rPr>
                <w:spacing w:val="40"/>
                <w:w w:val="105"/>
                <w:sz w:val="21"/>
              </w:rPr>
              <w:t> </w:t>
            </w:r>
            <w:r>
              <w:rPr>
                <w:w w:val="105"/>
                <w:sz w:val="21"/>
              </w:rPr>
              <w:t>imagem de nova perda de viabilidade miocárdica ou alterações segmentares; identificação de trombo intracoronário em cineangiocoronariografia ou necropsia</w:t>
            </w:r>
          </w:p>
        </w:tc>
      </w:tr>
      <w:tr>
        <w:trPr>
          <w:trHeight w:val="1949" w:hRule="atLeast"/>
        </w:trPr>
        <w:tc>
          <w:tcPr>
            <w:tcW w:w="3195" w:type="dxa"/>
            <w:tcBorders>
              <w:left w:val="nil"/>
            </w:tcBorders>
            <w:shd w:val="clear" w:color="auto" w:fill="EDECF3"/>
          </w:tcPr>
          <w:p>
            <w:pPr>
              <w:pStyle w:val="TableParagraph"/>
              <w:spacing w:line="307" w:lineRule="auto"/>
              <w:ind w:left="67"/>
              <w:rPr>
                <w:sz w:val="21"/>
              </w:rPr>
            </w:pPr>
            <w:r>
              <w:rPr>
                <w:w w:val="105"/>
                <w:sz w:val="21"/>
              </w:rPr>
              <w:t>Tipo 2 | IAM</w:t>
            </w:r>
            <w:r>
              <w:rPr>
                <w:spacing w:val="-3"/>
                <w:w w:val="105"/>
                <w:sz w:val="21"/>
              </w:rPr>
              <w:t> </w:t>
            </w:r>
            <w:r>
              <w:rPr>
                <w:w w:val="105"/>
                <w:sz w:val="21"/>
              </w:rPr>
              <w:t>secundário </w:t>
            </w:r>
            <w:r>
              <w:rPr>
                <w:w w:val="105"/>
                <w:sz w:val="21"/>
              </w:rPr>
              <w:t>a desequilíbrio isquêmico</w:t>
            </w:r>
          </w:p>
        </w:tc>
        <w:tc>
          <w:tcPr>
            <w:tcW w:w="7423" w:type="dxa"/>
            <w:tcBorders>
              <w:right w:val="nil"/>
            </w:tcBorders>
            <w:shd w:val="clear" w:color="auto" w:fill="EDECF3"/>
          </w:tcPr>
          <w:p>
            <w:pPr>
              <w:pStyle w:val="TableParagraph"/>
              <w:spacing w:line="307" w:lineRule="auto"/>
              <w:ind w:left="66" w:right="411"/>
              <w:rPr>
                <w:sz w:val="21"/>
              </w:rPr>
            </w:pPr>
            <w:r>
              <w:rPr>
                <w:w w:val="105"/>
                <w:sz w:val="21"/>
              </w:rPr>
              <w:t>Lesão miocárdica com necrose por outro mecanismo que não aterosclerótico, contribuindo para desbalanço entre oferta</w:t>
            </w:r>
            <w:r>
              <w:rPr>
                <w:spacing w:val="40"/>
                <w:w w:val="105"/>
                <w:sz w:val="21"/>
              </w:rPr>
              <w:t> </w:t>
            </w:r>
            <w:r>
              <w:rPr>
                <w:w w:val="105"/>
                <w:sz w:val="21"/>
              </w:rPr>
              <w:t>e/ouconsumo de oxigênio (exemplos: disfunção endotelial, vasospasmo, anemia, taqui ou bradicardia, embolização coronária, taqui ou bradiarritmias, insuficiência respiratória, hipotensão e hipertensão</w:t>
            </w:r>
            <w:r>
              <w:rPr>
                <w:spacing w:val="40"/>
                <w:w w:val="105"/>
                <w:sz w:val="21"/>
              </w:rPr>
              <w:t> </w:t>
            </w:r>
            <w:r>
              <w:rPr>
                <w:w w:val="105"/>
                <w:sz w:val="21"/>
              </w:rPr>
              <w:t>associada</w:t>
            </w:r>
            <w:r>
              <w:rPr>
                <w:spacing w:val="40"/>
                <w:w w:val="105"/>
                <w:sz w:val="21"/>
              </w:rPr>
              <w:t> </w:t>
            </w:r>
            <w:r>
              <w:rPr>
                <w:w w:val="105"/>
                <w:sz w:val="21"/>
              </w:rPr>
              <w:t>ou</w:t>
            </w:r>
            <w:r>
              <w:rPr>
                <w:spacing w:val="40"/>
                <w:w w:val="105"/>
                <w:sz w:val="21"/>
              </w:rPr>
              <w:t> </w:t>
            </w:r>
            <w:r>
              <w:rPr>
                <w:w w:val="105"/>
                <w:sz w:val="21"/>
              </w:rPr>
              <w:t>não</w:t>
            </w:r>
            <w:r>
              <w:rPr>
                <w:spacing w:val="40"/>
                <w:w w:val="105"/>
                <w:sz w:val="21"/>
              </w:rPr>
              <w:t> </w:t>
            </w:r>
            <w:r>
              <w:rPr>
                <w:w w:val="105"/>
                <w:sz w:val="21"/>
              </w:rPr>
              <w:t>a</w:t>
            </w:r>
            <w:r>
              <w:rPr>
                <w:spacing w:val="40"/>
                <w:w w:val="105"/>
                <w:sz w:val="21"/>
              </w:rPr>
              <w:t> </w:t>
            </w:r>
            <w:r>
              <w:rPr>
                <w:w w:val="105"/>
                <w:sz w:val="21"/>
              </w:rPr>
              <w:t>hipertrofia</w:t>
            </w:r>
            <w:r>
              <w:rPr>
                <w:spacing w:val="40"/>
                <w:w w:val="105"/>
                <w:sz w:val="21"/>
              </w:rPr>
              <w:t> </w:t>
            </w:r>
            <w:r>
              <w:rPr>
                <w:w w:val="105"/>
                <w:sz w:val="21"/>
              </w:rPr>
              <w:t>ventricular)</w:t>
            </w:r>
          </w:p>
        </w:tc>
      </w:tr>
      <w:tr>
        <w:trPr>
          <w:trHeight w:val="1341" w:hRule="atLeast"/>
        </w:trPr>
        <w:tc>
          <w:tcPr>
            <w:tcW w:w="3195" w:type="dxa"/>
            <w:tcBorders>
              <w:left w:val="nil"/>
            </w:tcBorders>
            <w:shd w:val="clear" w:color="auto" w:fill="EDECF3"/>
          </w:tcPr>
          <w:p>
            <w:pPr>
              <w:pStyle w:val="TableParagraph"/>
              <w:ind w:left="67"/>
              <w:rPr>
                <w:sz w:val="21"/>
              </w:rPr>
            </w:pPr>
            <w:r>
              <w:rPr>
                <w:w w:val="105"/>
                <w:sz w:val="21"/>
              </w:rPr>
              <w:t>Tipo</w:t>
            </w:r>
            <w:r>
              <w:rPr>
                <w:spacing w:val="11"/>
                <w:w w:val="105"/>
                <w:sz w:val="21"/>
              </w:rPr>
              <w:t> </w:t>
            </w:r>
            <w:r>
              <w:rPr>
                <w:w w:val="105"/>
                <w:sz w:val="21"/>
              </w:rPr>
              <w:t>3</w:t>
            </w:r>
            <w:r>
              <w:rPr>
                <w:spacing w:val="12"/>
                <w:w w:val="105"/>
                <w:sz w:val="21"/>
              </w:rPr>
              <w:t> </w:t>
            </w:r>
            <w:r>
              <w:rPr>
                <w:w w:val="105"/>
                <w:sz w:val="21"/>
              </w:rPr>
              <w:t>|</w:t>
            </w:r>
            <w:r>
              <w:rPr>
                <w:spacing w:val="11"/>
                <w:w w:val="105"/>
                <w:sz w:val="21"/>
              </w:rPr>
              <w:t> </w:t>
            </w:r>
            <w:r>
              <w:rPr>
                <w:w w:val="105"/>
                <w:sz w:val="21"/>
              </w:rPr>
              <w:t>Morte</w:t>
            </w:r>
            <w:r>
              <w:rPr>
                <w:spacing w:val="12"/>
                <w:w w:val="105"/>
                <w:sz w:val="21"/>
              </w:rPr>
              <w:t> </w:t>
            </w:r>
            <w:r>
              <w:rPr>
                <w:w w:val="105"/>
                <w:sz w:val="21"/>
              </w:rPr>
              <w:t>devido</w:t>
            </w:r>
            <w:r>
              <w:rPr>
                <w:spacing w:val="11"/>
                <w:w w:val="105"/>
                <w:sz w:val="21"/>
              </w:rPr>
              <w:t> </w:t>
            </w:r>
            <w:r>
              <w:rPr>
                <w:w w:val="105"/>
                <w:sz w:val="21"/>
              </w:rPr>
              <w:t>a</w:t>
            </w:r>
            <w:r>
              <w:rPr>
                <w:spacing w:val="12"/>
                <w:w w:val="105"/>
                <w:sz w:val="21"/>
              </w:rPr>
              <w:t> </w:t>
            </w:r>
            <w:r>
              <w:rPr>
                <w:spacing w:val="-5"/>
                <w:w w:val="105"/>
                <w:sz w:val="21"/>
              </w:rPr>
              <w:t>IAM</w:t>
            </w:r>
          </w:p>
        </w:tc>
        <w:tc>
          <w:tcPr>
            <w:tcW w:w="7423" w:type="dxa"/>
            <w:tcBorders>
              <w:right w:val="nil"/>
            </w:tcBorders>
            <w:shd w:val="clear" w:color="auto" w:fill="EDECF3"/>
          </w:tcPr>
          <w:p>
            <w:pPr>
              <w:pStyle w:val="TableParagraph"/>
              <w:spacing w:line="307" w:lineRule="auto"/>
              <w:ind w:left="66" w:right="411"/>
              <w:rPr>
                <w:sz w:val="21"/>
              </w:rPr>
            </w:pPr>
            <w:r>
              <w:rPr>
                <w:w w:val="105"/>
                <w:sz w:val="21"/>
              </w:rPr>
              <w:t>Sintomas sugestivos de isquemia acompanhados de alterações isquêmicas novas no ECG ou BRE novo, porém sem biomarcadores disponíveis, porque não puderam ser obtidos ou porque a morte</w:t>
            </w:r>
            <w:r>
              <w:rPr>
                <w:spacing w:val="40"/>
                <w:w w:val="105"/>
                <w:sz w:val="21"/>
              </w:rPr>
              <w:t> </w:t>
            </w:r>
            <w:r>
              <w:rPr>
                <w:w w:val="105"/>
                <w:sz w:val="21"/>
              </w:rPr>
              <w:t>ocorreu antes que houvesse elevação dos mesmos</w:t>
            </w:r>
          </w:p>
        </w:tc>
      </w:tr>
      <w:tr>
        <w:trPr>
          <w:trHeight w:val="2862" w:hRule="atLeast"/>
        </w:trPr>
        <w:tc>
          <w:tcPr>
            <w:tcW w:w="3195" w:type="dxa"/>
            <w:tcBorders>
              <w:left w:val="nil"/>
            </w:tcBorders>
            <w:shd w:val="clear" w:color="auto" w:fill="EDECF3"/>
          </w:tcPr>
          <w:p>
            <w:pPr>
              <w:pStyle w:val="TableParagraph"/>
              <w:spacing w:line="307" w:lineRule="auto"/>
              <w:ind w:left="67" w:right="163"/>
              <w:rPr>
                <w:sz w:val="21"/>
              </w:rPr>
            </w:pPr>
            <w:r>
              <w:rPr>
                <w:w w:val="105"/>
                <w:sz w:val="21"/>
              </w:rPr>
              <w:t>Tipo 4 | IAM</w:t>
            </w:r>
            <w:r>
              <w:rPr>
                <w:spacing w:val="-2"/>
                <w:w w:val="105"/>
                <w:sz w:val="21"/>
              </w:rPr>
              <w:t> </w:t>
            </w:r>
            <w:r>
              <w:rPr>
                <w:w w:val="105"/>
                <w:sz w:val="21"/>
              </w:rPr>
              <w:t>relacionado com a intervenção coronariana </w:t>
            </w:r>
            <w:r>
              <w:rPr>
                <w:spacing w:val="-2"/>
                <w:w w:val="105"/>
                <w:sz w:val="21"/>
              </w:rPr>
              <w:t>percutânea</w:t>
            </w:r>
          </w:p>
        </w:tc>
        <w:tc>
          <w:tcPr>
            <w:tcW w:w="7423" w:type="dxa"/>
            <w:tcBorders>
              <w:right w:val="nil"/>
            </w:tcBorders>
            <w:shd w:val="clear" w:color="auto" w:fill="EDECF3"/>
          </w:tcPr>
          <w:p>
            <w:pPr>
              <w:pStyle w:val="TableParagraph"/>
              <w:spacing w:line="307" w:lineRule="auto"/>
              <w:ind w:left="66" w:right="167"/>
              <w:rPr>
                <w:sz w:val="21"/>
              </w:rPr>
            </w:pPr>
            <w:r>
              <w:rPr>
                <w:w w:val="105"/>
                <w:sz w:val="21"/>
              </w:rPr>
              <w:t>Elevação</w:t>
            </w:r>
            <w:r>
              <w:rPr>
                <w:spacing w:val="38"/>
                <w:w w:val="105"/>
                <w:sz w:val="21"/>
              </w:rPr>
              <w:t> </w:t>
            </w:r>
            <w:r>
              <w:rPr>
                <w:w w:val="105"/>
                <w:sz w:val="21"/>
              </w:rPr>
              <w:t>de</w:t>
            </w:r>
            <w:r>
              <w:rPr>
                <w:spacing w:val="38"/>
                <w:w w:val="105"/>
                <w:sz w:val="21"/>
              </w:rPr>
              <w:t> </w:t>
            </w:r>
            <w:r>
              <w:rPr>
                <w:w w:val="105"/>
                <w:sz w:val="21"/>
              </w:rPr>
              <w:t>troponina</w:t>
            </w:r>
            <w:r>
              <w:rPr>
                <w:spacing w:val="38"/>
                <w:w w:val="105"/>
                <w:sz w:val="21"/>
              </w:rPr>
              <w:t> </w:t>
            </w:r>
            <w:r>
              <w:rPr>
                <w:w w:val="105"/>
                <w:sz w:val="21"/>
              </w:rPr>
              <w:t>acima</w:t>
            </w:r>
            <w:r>
              <w:rPr>
                <w:spacing w:val="38"/>
                <w:w w:val="105"/>
                <w:sz w:val="21"/>
              </w:rPr>
              <w:t> </w:t>
            </w:r>
            <w:r>
              <w:rPr>
                <w:w w:val="105"/>
                <w:sz w:val="21"/>
              </w:rPr>
              <w:t>de</w:t>
            </w:r>
            <w:r>
              <w:rPr>
                <w:spacing w:val="38"/>
                <w:w w:val="105"/>
                <w:sz w:val="21"/>
              </w:rPr>
              <w:t> </w:t>
            </w:r>
            <w:r>
              <w:rPr>
                <w:w w:val="105"/>
                <w:sz w:val="21"/>
              </w:rPr>
              <w:t>5</w:t>
            </w:r>
            <w:r>
              <w:rPr>
                <w:spacing w:val="38"/>
                <w:w w:val="105"/>
                <w:sz w:val="21"/>
              </w:rPr>
              <w:t> </w:t>
            </w:r>
            <w:r>
              <w:rPr>
                <w:w w:val="105"/>
                <w:sz w:val="21"/>
              </w:rPr>
              <w:t>vezes o</w:t>
            </w:r>
            <w:r>
              <w:rPr>
                <w:spacing w:val="38"/>
                <w:w w:val="105"/>
                <w:sz w:val="21"/>
              </w:rPr>
              <w:t> </w:t>
            </w:r>
            <w:r>
              <w:rPr>
                <w:w w:val="105"/>
                <w:sz w:val="21"/>
              </w:rPr>
              <w:t>percentil 99</w:t>
            </w:r>
            <w:r>
              <w:rPr>
                <w:spacing w:val="38"/>
                <w:w w:val="105"/>
                <w:sz w:val="21"/>
              </w:rPr>
              <w:t> </w:t>
            </w:r>
            <w:r>
              <w:rPr>
                <w:w w:val="105"/>
                <w:sz w:val="21"/>
              </w:rPr>
              <w:t>em pacientes com valores basais normais ou aumento em 20% de troponina se os valores basais estavam elevados, porém estáveis ou em queda, associado a pelo menos um dos seguintes fatores: sintomas sugestivos de isquemia; nova alteração isquêmica ou BRE novo no ECG; perda de patência angiográfica de uma coronária ou ramo secundário ou</w:t>
            </w:r>
            <w:r>
              <w:rPr>
                <w:spacing w:val="40"/>
                <w:w w:val="105"/>
                <w:sz w:val="21"/>
              </w:rPr>
              <w:t> </w:t>
            </w:r>
            <w:r>
              <w:rPr>
                <w:w w:val="105"/>
                <w:sz w:val="21"/>
              </w:rPr>
              <w:t>persistente</w:t>
            </w:r>
            <w:r>
              <w:rPr>
                <w:spacing w:val="40"/>
                <w:w w:val="105"/>
                <w:sz w:val="21"/>
              </w:rPr>
              <w:t> </w:t>
            </w:r>
            <w:r>
              <w:rPr>
                <w:rFonts w:ascii="Arial" w:hAnsi="Arial"/>
                <w:i/>
                <w:w w:val="105"/>
                <w:sz w:val="21"/>
              </w:rPr>
              <w:t>slow-reflow</w:t>
            </w:r>
            <w:r>
              <w:rPr>
                <w:rFonts w:ascii="Arial" w:hAnsi="Arial"/>
                <w:i/>
                <w:spacing w:val="40"/>
                <w:w w:val="105"/>
                <w:sz w:val="21"/>
              </w:rPr>
              <w:t> </w:t>
            </w:r>
            <w:r>
              <w:rPr>
                <w:w w:val="105"/>
                <w:sz w:val="21"/>
              </w:rPr>
              <w:t>ou</w:t>
            </w:r>
            <w:r>
              <w:rPr>
                <w:spacing w:val="40"/>
                <w:w w:val="105"/>
                <w:sz w:val="21"/>
              </w:rPr>
              <w:t> </w:t>
            </w:r>
            <w:r>
              <w:rPr>
                <w:rFonts w:ascii="Arial" w:hAnsi="Arial"/>
                <w:i/>
                <w:w w:val="105"/>
                <w:sz w:val="21"/>
              </w:rPr>
              <w:t>no-reflow</w:t>
            </w:r>
            <w:r>
              <w:rPr>
                <w:rFonts w:ascii="Arial" w:hAnsi="Arial"/>
                <w:i/>
                <w:spacing w:val="40"/>
                <w:w w:val="105"/>
                <w:sz w:val="21"/>
              </w:rPr>
              <w:t> </w:t>
            </w:r>
            <w:r>
              <w:rPr>
                <w:w w:val="105"/>
                <w:sz w:val="21"/>
              </w:rPr>
              <w:t>ou</w:t>
            </w:r>
            <w:r>
              <w:rPr>
                <w:spacing w:val="40"/>
                <w:w w:val="105"/>
                <w:sz w:val="21"/>
              </w:rPr>
              <w:t> </w:t>
            </w:r>
            <w:r>
              <w:rPr>
                <w:w w:val="105"/>
                <w:sz w:val="21"/>
              </w:rPr>
              <w:t>embolização;</w:t>
            </w:r>
            <w:r>
              <w:rPr>
                <w:spacing w:val="40"/>
                <w:w w:val="105"/>
                <w:sz w:val="21"/>
              </w:rPr>
              <w:t> </w:t>
            </w:r>
            <w:r>
              <w:rPr>
                <w:w w:val="105"/>
                <w:sz w:val="21"/>
              </w:rPr>
              <w:t>exame</w:t>
            </w:r>
            <w:r>
              <w:rPr>
                <w:spacing w:val="40"/>
                <w:w w:val="105"/>
                <w:sz w:val="21"/>
              </w:rPr>
              <w:t> </w:t>
            </w:r>
            <w:r>
              <w:rPr>
                <w:w w:val="105"/>
                <w:sz w:val="21"/>
              </w:rPr>
              <w:t>de imagem demonstrando nova perda de miocárdio viável ou alteração segmentar nova</w:t>
            </w:r>
          </w:p>
        </w:tc>
      </w:tr>
      <w:tr>
        <w:trPr>
          <w:trHeight w:val="1037" w:hRule="atLeast"/>
        </w:trPr>
        <w:tc>
          <w:tcPr>
            <w:tcW w:w="3195" w:type="dxa"/>
            <w:tcBorders>
              <w:left w:val="nil"/>
            </w:tcBorders>
            <w:shd w:val="clear" w:color="auto" w:fill="EDECF3"/>
          </w:tcPr>
          <w:p>
            <w:pPr>
              <w:pStyle w:val="TableParagraph"/>
              <w:spacing w:line="307" w:lineRule="auto"/>
              <w:ind w:left="67"/>
              <w:rPr>
                <w:sz w:val="21"/>
              </w:rPr>
            </w:pPr>
            <w:r>
              <w:rPr>
                <w:w w:val="105"/>
                <w:sz w:val="21"/>
              </w:rPr>
              <w:t>Tipo 4b | IAM</w:t>
            </w:r>
            <w:r>
              <w:rPr>
                <w:spacing w:val="-4"/>
                <w:w w:val="105"/>
                <w:sz w:val="21"/>
              </w:rPr>
              <w:t> </w:t>
            </w:r>
            <w:r>
              <w:rPr>
                <w:w w:val="105"/>
                <w:sz w:val="21"/>
              </w:rPr>
              <w:t>associado </w:t>
            </w:r>
            <w:r>
              <w:rPr>
                <w:w w:val="105"/>
                <w:sz w:val="21"/>
              </w:rPr>
              <w:t>à trombose de stent</w:t>
            </w:r>
          </w:p>
        </w:tc>
        <w:tc>
          <w:tcPr>
            <w:tcW w:w="7423" w:type="dxa"/>
            <w:tcBorders>
              <w:right w:val="nil"/>
            </w:tcBorders>
            <w:shd w:val="clear" w:color="auto" w:fill="EDECF3"/>
          </w:tcPr>
          <w:p>
            <w:pPr>
              <w:pStyle w:val="TableParagraph"/>
              <w:spacing w:line="307" w:lineRule="auto"/>
              <w:ind w:left="66" w:right="167"/>
              <w:rPr>
                <w:sz w:val="21"/>
              </w:rPr>
            </w:pPr>
            <w:r>
              <w:rPr>
                <w:w w:val="105"/>
                <w:sz w:val="21"/>
              </w:rPr>
              <w:t>Detectado por angiografia ou necropsia no contexto de isquemia</w:t>
            </w:r>
            <w:r>
              <w:rPr>
                <w:spacing w:val="40"/>
                <w:w w:val="105"/>
                <w:sz w:val="21"/>
              </w:rPr>
              <w:t> </w:t>
            </w:r>
            <w:r>
              <w:rPr>
                <w:w w:val="105"/>
                <w:sz w:val="21"/>
              </w:rPr>
              <w:t>miocárdica e com aumento ou queda de biomarcadores cardíacos com</w:t>
            </w:r>
            <w:r>
              <w:rPr>
                <w:spacing w:val="40"/>
                <w:w w:val="105"/>
                <w:sz w:val="21"/>
              </w:rPr>
              <w:t> </w:t>
            </w:r>
            <w:r>
              <w:rPr>
                <w:w w:val="105"/>
                <w:sz w:val="21"/>
              </w:rPr>
              <w:t>pelo menos um valor acima do percentil 99</w:t>
            </w:r>
          </w:p>
        </w:tc>
      </w:tr>
      <w:tr>
        <w:trPr>
          <w:trHeight w:val="1951" w:hRule="atLeast"/>
        </w:trPr>
        <w:tc>
          <w:tcPr>
            <w:tcW w:w="3195" w:type="dxa"/>
            <w:tcBorders>
              <w:left w:val="nil"/>
              <w:bottom w:val="nil"/>
            </w:tcBorders>
            <w:shd w:val="clear" w:color="auto" w:fill="EDECF3"/>
          </w:tcPr>
          <w:p>
            <w:pPr>
              <w:pStyle w:val="TableParagraph"/>
              <w:spacing w:line="307" w:lineRule="auto"/>
              <w:ind w:left="67" w:right="141"/>
              <w:rPr>
                <w:sz w:val="21"/>
              </w:rPr>
            </w:pPr>
            <w:r>
              <w:rPr>
                <w:w w:val="105"/>
                <w:sz w:val="21"/>
              </w:rPr>
              <w:t>Tipo 5 | IAM relacionado com</w:t>
            </w:r>
            <w:r>
              <w:rPr>
                <w:spacing w:val="80"/>
                <w:w w:val="105"/>
                <w:sz w:val="21"/>
              </w:rPr>
              <w:t> </w:t>
            </w:r>
            <w:r>
              <w:rPr>
                <w:w w:val="105"/>
                <w:sz w:val="21"/>
              </w:rPr>
              <w:t>a cirurgia de revascularização </w:t>
            </w:r>
            <w:r>
              <w:rPr>
                <w:spacing w:val="-2"/>
                <w:w w:val="105"/>
                <w:sz w:val="21"/>
              </w:rPr>
              <w:t>miocárdica</w:t>
            </w:r>
          </w:p>
        </w:tc>
        <w:tc>
          <w:tcPr>
            <w:tcW w:w="7423" w:type="dxa"/>
            <w:tcBorders>
              <w:bottom w:val="nil"/>
              <w:right w:val="nil"/>
            </w:tcBorders>
            <w:shd w:val="clear" w:color="auto" w:fill="EDECF3"/>
          </w:tcPr>
          <w:p>
            <w:pPr>
              <w:pStyle w:val="TableParagraph"/>
              <w:spacing w:line="307" w:lineRule="auto"/>
              <w:ind w:left="66" w:right="167"/>
              <w:rPr>
                <w:sz w:val="21"/>
              </w:rPr>
            </w:pPr>
            <w:r>
              <w:rPr>
                <w:w w:val="105"/>
                <w:sz w:val="21"/>
              </w:rPr>
              <w:t>Elevação</w:t>
            </w:r>
            <w:r>
              <w:rPr>
                <w:spacing w:val="40"/>
                <w:w w:val="105"/>
                <w:sz w:val="21"/>
              </w:rPr>
              <w:t> </w:t>
            </w:r>
            <w:r>
              <w:rPr>
                <w:w w:val="105"/>
                <w:sz w:val="21"/>
              </w:rPr>
              <w:t>de</w:t>
            </w:r>
            <w:r>
              <w:rPr>
                <w:spacing w:val="40"/>
                <w:w w:val="105"/>
                <w:sz w:val="21"/>
              </w:rPr>
              <w:t> </w:t>
            </w:r>
            <w:r>
              <w:rPr>
                <w:w w:val="105"/>
                <w:sz w:val="21"/>
              </w:rPr>
              <w:t>biomarcadores</w:t>
            </w:r>
            <w:r>
              <w:rPr>
                <w:spacing w:val="37"/>
                <w:w w:val="105"/>
                <w:sz w:val="21"/>
              </w:rPr>
              <w:t> </w:t>
            </w:r>
            <w:r>
              <w:rPr>
                <w:w w:val="105"/>
                <w:sz w:val="21"/>
              </w:rPr>
              <w:t>cardíacos</w:t>
            </w:r>
            <w:r>
              <w:rPr>
                <w:spacing w:val="37"/>
                <w:w w:val="105"/>
                <w:sz w:val="21"/>
              </w:rPr>
              <w:t> </w:t>
            </w:r>
            <w:r>
              <w:rPr>
                <w:w w:val="105"/>
                <w:sz w:val="21"/>
              </w:rPr>
              <w:t>acima</w:t>
            </w:r>
            <w:r>
              <w:rPr>
                <w:spacing w:val="40"/>
                <w:w w:val="105"/>
                <w:sz w:val="21"/>
              </w:rPr>
              <w:t> </w:t>
            </w:r>
            <w:r>
              <w:rPr>
                <w:w w:val="105"/>
                <w:sz w:val="21"/>
              </w:rPr>
              <w:t>de</w:t>
            </w:r>
            <w:r>
              <w:rPr>
                <w:spacing w:val="40"/>
                <w:w w:val="105"/>
                <w:sz w:val="21"/>
              </w:rPr>
              <w:t> </w:t>
            </w:r>
            <w:r>
              <w:rPr>
                <w:w w:val="105"/>
                <w:sz w:val="21"/>
              </w:rPr>
              <w:t>10</w:t>
            </w:r>
            <w:r>
              <w:rPr>
                <w:spacing w:val="40"/>
                <w:w w:val="105"/>
                <w:sz w:val="21"/>
              </w:rPr>
              <w:t> </w:t>
            </w:r>
            <w:r>
              <w:rPr>
                <w:w w:val="105"/>
                <w:sz w:val="21"/>
              </w:rPr>
              <w:t>vezes</w:t>
            </w:r>
            <w:r>
              <w:rPr>
                <w:spacing w:val="37"/>
                <w:w w:val="105"/>
                <w:sz w:val="21"/>
              </w:rPr>
              <w:t> </w:t>
            </w:r>
            <w:r>
              <w:rPr>
                <w:w w:val="105"/>
                <w:sz w:val="21"/>
              </w:rPr>
              <w:t>o</w:t>
            </w:r>
            <w:r>
              <w:rPr>
                <w:spacing w:val="40"/>
                <w:w w:val="105"/>
                <w:sz w:val="21"/>
              </w:rPr>
              <w:t> </w:t>
            </w:r>
            <w:r>
              <w:rPr>
                <w:w w:val="105"/>
                <w:sz w:val="21"/>
              </w:rPr>
              <w:t>percentil 99 em pacientes com valores basais normais, associada a pelo menos um dos seguintes fatores: nova onda Q patológica ou BRE novo;</w:t>
            </w:r>
            <w:r>
              <w:rPr>
                <w:spacing w:val="40"/>
                <w:w w:val="105"/>
                <w:sz w:val="21"/>
              </w:rPr>
              <w:t> </w:t>
            </w:r>
            <w:r>
              <w:rPr>
                <w:w w:val="105"/>
                <w:sz w:val="21"/>
              </w:rPr>
              <w:t>documentação angiográfica de oclusão de coronária nativa ou ponte;</w:t>
            </w:r>
            <w:r>
              <w:rPr>
                <w:spacing w:val="80"/>
                <w:w w:val="105"/>
                <w:sz w:val="21"/>
              </w:rPr>
              <w:t> </w:t>
            </w:r>
            <w:r>
              <w:rPr>
                <w:w w:val="105"/>
                <w:sz w:val="21"/>
              </w:rPr>
              <w:t>exame de imagem demonstrando nova perda de miocárdio viável ou alteração segmentar nova</w:t>
            </w:r>
          </w:p>
        </w:tc>
      </w:tr>
    </w:tbl>
    <w:p>
      <w:pPr>
        <w:spacing w:before="185"/>
        <w:ind w:left="68" w:right="0" w:firstLine="0"/>
        <w:jc w:val="left"/>
        <w:rPr>
          <w:rFonts w:ascii="Microsoft Sans Serif" w:hAnsi="Microsoft Sans Serif"/>
          <w:sz w:val="19"/>
        </w:rPr>
      </w:pPr>
      <w:r>
        <w:rPr>
          <w:rFonts w:ascii="Microsoft Sans Serif" w:hAnsi="Microsoft Sans Serif"/>
          <w:sz w:val="19"/>
        </w:rPr>
        <w:t>BRE</w:t>
      </w:r>
      <w:r>
        <w:rPr>
          <w:rFonts w:ascii="Microsoft Sans Serif" w:hAnsi="Microsoft Sans Serif"/>
          <w:spacing w:val="11"/>
          <w:sz w:val="19"/>
        </w:rPr>
        <w:t> </w:t>
      </w:r>
      <w:r>
        <w:rPr>
          <w:rFonts w:ascii="Microsoft Sans Serif" w:hAnsi="Microsoft Sans Serif"/>
          <w:sz w:val="19"/>
        </w:rPr>
        <w:t>=</w:t>
      </w:r>
      <w:r>
        <w:rPr>
          <w:rFonts w:ascii="Microsoft Sans Serif" w:hAnsi="Microsoft Sans Serif"/>
          <w:spacing w:val="11"/>
          <w:sz w:val="19"/>
        </w:rPr>
        <w:t> </w:t>
      </w:r>
      <w:r>
        <w:rPr>
          <w:rFonts w:ascii="Microsoft Sans Serif" w:hAnsi="Microsoft Sans Serif"/>
          <w:sz w:val="19"/>
        </w:rPr>
        <w:t>bloqueio</w:t>
      </w:r>
      <w:r>
        <w:rPr>
          <w:rFonts w:ascii="Microsoft Sans Serif" w:hAnsi="Microsoft Sans Serif"/>
          <w:spacing w:val="17"/>
          <w:sz w:val="19"/>
        </w:rPr>
        <w:t> </w:t>
      </w:r>
      <w:r>
        <w:rPr>
          <w:rFonts w:ascii="Microsoft Sans Serif" w:hAnsi="Microsoft Sans Serif"/>
          <w:sz w:val="19"/>
        </w:rPr>
        <w:t>de</w:t>
      </w:r>
      <w:r>
        <w:rPr>
          <w:rFonts w:ascii="Microsoft Sans Serif" w:hAnsi="Microsoft Sans Serif"/>
          <w:spacing w:val="18"/>
          <w:sz w:val="19"/>
        </w:rPr>
        <w:t> </w:t>
      </w:r>
      <w:r>
        <w:rPr>
          <w:rFonts w:ascii="Microsoft Sans Serif" w:hAnsi="Microsoft Sans Serif"/>
          <w:sz w:val="19"/>
        </w:rPr>
        <w:t>ramo</w:t>
      </w:r>
      <w:r>
        <w:rPr>
          <w:rFonts w:ascii="Microsoft Sans Serif" w:hAnsi="Microsoft Sans Serif"/>
          <w:spacing w:val="18"/>
          <w:sz w:val="19"/>
        </w:rPr>
        <w:t> </w:t>
      </w:r>
      <w:r>
        <w:rPr>
          <w:rFonts w:ascii="Microsoft Sans Serif" w:hAnsi="Microsoft Sans Serif"/>
          <w:sz w:val="19"/>
        </w:rPr>
        <w:t>esquerdo;</w:t>
      </w:r>
      <w:r>
        <w:rPr>
          <w:rFonts w:ascii="Microsoft Sans Serif" w:hAnsi="Microsoft Sans Serif"/>
          <w:spacing w:val="4"/>
          <w:sz w:val="19"/>
        </w:rPr>
        <w:t> </w:t>
      </w:r>
      <w:r>
        <w:rPr>
          <w:rFonts w:ascii="Microsoft Sans Serif" w:hAnsi="Microsoft Sans Serif"/>
          <w:sz w:val="19"/>
        </w:rPr>
        <w:t>ECG</w:t>
      </w:r>
      <w:r>
        <w:rPr>
          <w:rFonts w:ascii="Microsoft Sans Serif" w:hAnsi="Microsoft Sans Serif"/>
          <w:spacing w:val="5"/>
          <w:sz w:val="19"/>
        </w:rPr>
        <w:t> </w:t>
      </w:r>
      <w:r>
        <w:rPr>
          <w:rFonts w:ascii="Microsoft Sans Serif" w:hAnsi="Microsoft Sans Serif"/>
          <w:sz w:val="19"/>
        </w:rPr>
        <w:t>=</w:t>
      </w:r>
      <w:r>
        <w:rPr>
          <w:rFonts w:ascii="Microsoft Sans Serif" w:hAnsi="Microsoft Sans Serif"/>
          <w:spacing w:val="11"/>
          <w:sz w:val="19"/>
        </w:rPr>
        <w:t> </w:t>
      </w:r>
      <w:r>
        <w:rPr>
          <w:rFonts w:ascii="Microsoft Sans Serif" w:hAnsi="Microsoft Sans Serif"/>
          <w:spacing w:val="-2"/>
          <w:sz w:val="19"/>
        </w:rPr>
        <w:t>eletrocardiograma.</w:t>
      </w:r>
    </w:p>
    <w:p>
      <w:pPr>
        <w:pStyle w:val="BodyText"/>
        <w:spacing w:before="0"/>
        <w:ind w:left="0" w:firstLine="0"/>
        <w:jc w:val="left"/>
        <w:rPr>
          <w:rFonts w:ascii="Microsoft Sans Serif"/>
          <w:sz w:val="19"/>
        </w:rPr>
      </w:pPr>
    </w:p>
    <w:p>
      <w:pPr>
        <w:pStyle w:val="BodyText"/>
        <w:spacing w:before="53"/>
        <w:ind w:left="0" w:firstLine="0"/>
        <w:jc w:val="left"/>
        <w:rPr>
          <w:rFonts w:ascii="Microsoft Sans Serif"/>
          <w:sz w:val="19"/>
        </w:rPr>
      </w:pPr>
    </w:p>
    <w:p>
      <w:pPr>
        <w:pStyle w:val="Heading4"/>
      </w:pPr>
      <w:r>
        <w:rPr>
          <w:color w:val="242B67"/>
          <w:spacing w:val="-2"/>
        </w:rPr>
        <w:t>Epidemiologia</w:t>
      </w:r>
    </w:p>
    <w:p>
      <w:pPr>
        <w:pStyle w:val="BodyText"/>
        <w:spacing w:line="276" w:lineRule="auto" w:before="132"/>
        <w:ind w:right="491"/>
      </w:pPr>
      <w:r>
        <w:rPr/>
        <w:t>O</w:t>
      </w:r>
      <w:r>
        <w:rPr>
          <w:spacing w:val="-1"/>
        </w:rPr>
        <w:t> </w:t>
      </w:r>
      <w:r>
        <w:rPr/>
        <w:t>IAM é</w:t>
      </w:r>
      <w:r>
        <w:rPr>
          <w:spacing w:val="-1"/>
        </w:rPr>
        <w:t> </w:t>
      </w:r>
      <w:r>
        <w:rPr/>
        <w:t>responsável por mais de</w:t>
      </w:r>
      <w:r>
        <w:rPr>
          <w:spacing w:val="-1"/>
        </w:rPr>
        <w:t> </w:t>
      </w:r>
      <w:r>
        <w:rPr/>
        <w:t>60.000 óbitos por ano no Brasil, sendo a</w:t>
      </w:r>
      <w:r>
        <w:rPr>
          <w:spacing w:val="-1"/>
        </w:rPr>
        <w:t> </w:t>
      </w:r>
      <w:r>
        <w:rPr/>
        <w:t>principal causa</w:t>
      </w:r>
      <w:r>
        <w:rPr>
          <w:spacing w:val="-1"/>
        </w:rPr>
        <w:t> </w:t>
      </w:r>
      <w:r>
        <w:rPr/>
        <w:t>isolada</w:t>
      </w:r>
      <w:r>
        <w:rPr>
          <w:spacing w:val="-1"/>
        </w:rPr>
        <w:t> </w:t>
      </w:r>
      <w:r>
        <w:rPr/>
        <w:t>de</w:t>
      </w:r>
      <w:r>
        <w:rPr>
          <w:spacing w:val="-1"/>
        </w:rPr>
        <w:t> </w:t>
      </w:r>
      <w:r>
        <w:rPr/>
        <w:t>morte</w:t>
      </w:r>
      <w:r>
        <w:rPr>
          <w:spacing w:val="-1"/>
        </w:rPr>
        <w:t> </w:t>
      </w:r>
      <w:r>
        <w:rPr/>
        <w:t>no país, o que coincide com dados de países desenvolvidos.</w:t>
      </w:r>
    </w:p>
    <w:p>
      <w:pPr>
        <w:pStyle w:val="BodyText"/>
        <w:spacing w:line="283" w:lineRule="auto" w:before="64"/>
        <w:ind w:right="488"/>
      </w:pPr>
      <w:r>
        <w:rPr/>
        <w:t>Não</w:t>
      </w:r>
      <w:r>
        <w:rPr>
          <w:spacing w:val="-4"/>
        </w:rPr>
        <w:t> </w:t>
      </w:r>
      <w:r>
        <w:rPr/>
        <w:t>se</w:t>
      </w:r>
      <w:r>
        <w:rPr>
          <w:spacing w:val="-6"/>
        </w:rPr>
        <w:t> </w:t>
      </w:r>
      <w:r>
        <w:rPr/>
        <w:t>conhece</w:t>
      </w:r>
      <w:r>
        <w:rPr>
          <w:spacing w:val="-6"/>
        </w:rPr>
        <w:t> </w:t>
      </w:r>
      <w:r>
        <w:rPr/>
        <w:t>o</w:t>
      </w:r>
      <w:r>
        <w:rPr>
          <w:spacing w:val="-4"/>
        </w:rPr>
        <w:t> </w:t>
      </w:r>
      <w:r>
        <w:rPr/>
        <w:t>número</w:t>
      </w:r>
      <w:r>
        <w:rPr>
          <w:spacing w:val="-4"/>
        </w:rPr>
        <w:t> </w:t>
      </w:r>
      <w:r>
        <w:rPr/>
        <w:t>de</w:t>
      </w:r>
      <w:r>
        <w:rPr>
          <w:spacing w:val="-6"/>
        </w:rPr>
        <w:t> </w:t>
      </w:r>
      <w:r>
        <w:rPr/>
        <w:t>infartos anualmente</w:t>
      </w:r>
      <w:r>
        <w:rPr>
          <w:spacing w:val="-6"/>
        </w:rPr>
        <w:t> </w:t>
      </w:r>
      <w:r>
        <w:rPr/>
        <w:t>no</w:t>
      </w:r>
      <w:r>
        <w:rPr>
          <w:spacing w:val="-4"/>
        </w:rPr>
        <w:t> </w:t>
      </w:r>
      <w:r>
        <w:rPr/>
        <w:t>Brasil. Estima-se</w:t>
      </w:r>
      <w:r>
        <w:rPr>
          <w:spacing w:val="-6"/>
        </w:rPr>
        <w:t> </w:t>
      </w:r>
      <w:r>
        <w:rPr/>
        <w:t>em</w:t>
      </w:r>
      <w:r>
        <w:rPr>
          <w:spacing w:val="-4"/>
        </w:rPr>
        <w:t> </w:t>
      </w:r>
      <w:r>
        <w:rPr/>
        <w:t>300</w:t>
      </w:r>
      <w:r>
        <w:rPr>
          <w:spacing w:val="-4"/>
        </w:rPr>
        <w:t> </w:t>
      </w:r>
      <w:r>
        <w:rPr/>
        <w:t>a</w:t>
      </w:r>
      <w:r>
        <w:rPr>
          <w:spacing w:val="-6"/>
        </w:rPr>
        <w:t> </w:t>
      </w:r>
      <w:r>
        <w:rPr/>
        <w:t>400</w:t>
      </w:r>
      <w:r>
        <w:rPr>
          <w:spacing w:val="-4"/>
        </w:rPr>
        <w:t> </w:t>
      </w:r>
      <w:r>
        <w:rPr/>
        <w:t>mil</w:t>
      </w:r>
      <w:r>
        <w:rPr>
          <w:spacing w:val="-1"/>
        </w:rPr>
        <w:t> </w:t>
      </w:r>
      <w:r>
        <w:rPr/>
        <w:t>casos anuais, ou</w:t>
      </w:r>
      <w:r>
        <w:rPr>
          <w:spacing w:val="-4"/>
        </w:rPr>
        <w:t> </w:t>
      </w:r>
      <w:r>
        <w:rPr/>
        <w:t>seja, a cada</w:t>
      </w:r>
      <w:r>
        <w:rPr>
          <w:spacing w:val="-8"/>
        </w:rPr>
        <w:t> </w:t>
      </w:r>
      <w:r>
        <w:rPr/>
        <w:t>cinco</w:t>
      </w:r>
      <w:r>
        <w:rPr>
          <w:spacing w:val="-6"/>
        </w:rPr>
        <w:t> </w:t>
      </w:r>
      <w:r>
        <w:rPr/>
        <w:t>a</w:t>
      </w:r>
      <w:r>
        <w:rPr>
          <w:spacing w:val="-8"/>
        </w:rPr>
        <w:t> </w:t>
      </w:r>
      <w:r>
        <w:rPr/>
        <w:t>sete</w:t>
      </w:r>
      <w:r>
        <w:rPr>
          <w:spacing w:val="-8"/>
        </w:rPr>
        <w:t> </w:t>
      </w:r>
      <w:r>
        <w:rPr/>
        <w:t>casos ocorre</w:t>
      </w:r>
      <w:r>
        <w:rPr>
          <w:spacing w:val="-8"/>
        </w:rPr>
        <w:t> </w:t>
      </w:r>
      <w:r>
        <w:rPr/>
        <w:t>um</w:t>
      </w:r>
      <w:r>
        <w:rPr>
          <w:spacing w:val="-6"/>
        </w:rPr>
        <w:t> </w:t>
      </w:r>
      <w:r>
        <w:rPr/>
        <w:t>óbito, conferindo</w:t>
      </w:r>
      <w:r>
        <w:rPr>
          <w:spacing w:val="-6"/>
        </w:rPr>
        <w:t> </w:t>
      </w:r>
      <w:r>
        <w:rPr/>
        <w:t>a</w:t>
      </w:r>
      <w:r>
        <w:rPr>
          <w:spacing w:val="-8"/>
        </w:rPr>
        <w:t> </w:t>
      </w:r>
      <w:r>
        <w:rPr/>
        <w:t>essa</w:t>
      </w:r>
      <w:r>
        <w:rPr>
          <w:spacing w:val="-8"/>
        </w:rPr>
        <w:t> </w:t>
      </w:r>
      <w:r>
        <w:rPr/>
        <w:t>doença</w:t>
      </w:r>
      <w:r>
        <w:rPr>
          <w:spacing w:val="-8"/>
        </w:rPr>
        <w:t> </w:t>
      </w:r>
      <w:r>
        <w:rPr/>
        <w:t>elevada</w:t>
      </w:r>
      <w:r>
        <w:rPr>
          <w:spacing w:val="-8"/>
        </w:rPr>
        <w:t> </w:t>
      </w:r>
      <w:r>
        <w:rPr/>
        <w:t>taxa</w:t>
      </w:r>
      <w:r>
        <w:rPr>
          <w:spacing w:val="-8"/>
        </w:rPr>
        <w:t> </w:t>
      </w:r>
      <w:r>
        <w:rPr/>
        <w:t>de</w:t>
      </w:r>
      <w:r>
        <w:rPr>
          <w:spacing w:val="-8"/>
        </w:rPr>
        <w:t> </w:t>
      </w:r>
      <w:r>
        <w:rPr/>
        <w:t>mortalidade, apesar</w:t>
      </w:r>
      <w:r>
        <w:rPr>
          <w:spacing w:val="-1"/>
        </w:rPr>
        <w:t> </w:t>
      </w:r>
      <w:r>
        <w:rPr/>
        <w:t>dos inúmeros avanços tecnológicos e</w:t>
      </w:r>
      <w:r>
        <w:rPr>
          <w:spacing w:val="-4"/>
        </w:rPr>
        <w:t> </w:t>
      </w:r>
      <w:r>
        <w:rPr/>
        <w:t>terapêuticos alcançados nas últimas décadas.</w:t>
      </w:r>
      <w:r>
        <w:rPr>
          <w:vertAlign w:val="superscript"/>
        </w:rPr>
        <w:t>2</w:t>
      </w:r>
    </w:p>
    <w:p>
      <w:pPr>
        <w:pStyle w:val="BodyText"/>
        <w:spacing w:line="276" w:lineRule="auto" w:before="57"/>
        <w:ind w:right="500"/>
      </w:pPr>
      <w:r>
        <w:rPr/>
        <w:t>A</w:t>
      </w:r>
      <w:r>
        <w:rPr>
          <w:spacing w:val="-4"/>
        </w:rPr>
        <w:t> </w:t>
      </w:r>
      <w:r>
        <w:rPr/>
        <w:t>mortalidade</w:t>
      </w:r>
      <w:r>
        <w:rPr>
          <w:spacing w:val="-4"/>
        </w:rPr>
        <w:t> </w:t>
      </w:r>
      <w:r>
        <w:rPr/>
        <w:t>hospitalar por IAM na</w:t>
      </w:r>
      <w:r>
        <w:rPr>
          <w:spacing w:val="-4"/>
        </w:rPr>
        <w:t> </w:t>
      </w:r>
      <w:r>
        <w:rPr/>
        <w:t>década</w:t>
      </w:r>
      <w:r>
        <w:rPr>
          <w:spacing w:val="-4"/>
        </w:rPr>
        <w:t> </w:t>
      </w:r>
      <w:r>
        <w:rPr/>
        <w:t>de</w:t>
      </w:r>
      <w:r>
        <w:rPr>
          <w:spacing w:val="-4"/>
        </w:rPr>
        <w:t> </w:t>
      </w:r>
      <w:r>
        <w:rPr/>
        <w:t>1950</w:t>
      </w:r>
      <w:r>
        <w:rPr>
          <w:spacing w:val="-1"/>
        </w:rPr>
        <w:t> </w:t>
      </w:r>
      <w:r>
        <w:rPr/>
        <w:t>situava-se</w:t>
      </w:r>
      <w:r>
        <w:rPr>
          <w:spacing w:val="-4"/>
        </w:rPr>
        <w:t> </w:t>
      </w:r>
      <w:r>
        <w:rPr/>
        <w:t>ao</w:t>
      </w:r>
      <w:r>
        <w:rPr>
          <w:spacing w:val="-1"/>
        </w:rPr>
        <w:t> </w:t>
      </w:r>
      <w:r>
        <w:rPr/>
        <w:t>redor de</w:t>
      </w:r>
      <w:r>
        <w:rPr>
          <w:spacing w:val="-4"/>
        </w:rPr>
        <w:t> </w:t>
      </w:r>
      <w:r>
        <w:rPr/>
        <w:t>30%. Com</w:t>
      </w:r>
      <w:r>
        <w:rPr>
          <w:spacing w:val="-1"/>
        </w:rPr>
        <w:t> </w:t>
      </w:r>
      <w:r>
        <w:rPr/>
        <w:t>o</w:t>
      </w:r>
      <w:r>
        <w:rPr>
          <w:spacing w:val="-1"/>
        </w:rPr>
        <w:t> </w:t>
      </w:r>
      <w:r>
        <w:rPr/>
        <w:t>advento</w:t>
      </w:r>
      <w:r>
        <w:rPr>
          <w:spacing w:val="-1"/>
        </w:rPr>
        <w:t> </w:t>
      </w:r>
      <w:r>
        <w:rPr/>
        <w:t>das unidades de tratamento intensivo (UTI) e em seguida das unidades coronarianas, na década de 1960 essa mortalidade caiu pela metade, fundamentalmente por conta do controle das arritmias.</w:t>
      </w:r>
    </w:p>
    <w:p>
      <w:pPr>
        <w:pStyle w:val="BodyText"/>
        <w:spacing w:after="0" w:line="276" w:lineRule="auto"/>
        <w:sectPr>
          <w:type w:val="continuous"/>
          <w:pgSz w:w="11900" w:h="16840"/>
          <w:pgMar w:top="260" w:bottom="280" w:left="566" w:right="141"/>
        </w:sectPr>
      </w:pPr>
    </w:p>
    <w:p>
      <w:pPr>
        <w:pStyle w:val="BodyText"/>
        <w:spacing w:line="290" w:lineRule="auto" w:before="67"/>
        <w:ind w:right="488"/>
      </w:pPr>
      <w:r>
        <w:rPr/>
        <w:t>A</w:t>
      </w:r>
      <w:r>
        <w:rPr>
          <w:spacing w:val="-5"/>
        </w:rPr>
        <w:t> </w:t>
      </w:r>
      <w:r>
        <w:rPr/>
        <w:t>partir da</w:t>
      </w:r>
      <w:r>
        <w:rPr>
          <w:spacing w:val="-5"/>
        </w:rPr>
        <w:t> </w:t>
      </w:r>
      <w:r>
        <w:rPr/>
        <w:t>década</w:t>
      </w:r>
      <w:r>
        <w:rPr>
          <w:spacing w:val="-5"/>
        </w:rPr>
        <w:t> </w:t>
      </w:r>
      <w:r>
        <w:rPr/>
        <w:t>de</w:t>
      </w:r>
      <w:r>
        <w:rPr>
          <w:spacing w:val="-5"/>
        </w:rPr>
        <w:t> </w:t>
      </w:r>
      <w:r>
        <w:rPr/>
        <w:t>1980, com</w:t>
      </w:r>
      <w:r>
        <w:rPr>
          <w:spacing w:val="-3"/>
        </w:rPr>
        <w:t> </w:t>
      </w:r>
      <w:r>
        <w:rPr/>
        <w:t>a</w:t>
      </w:r>
      <w:r>
        <w:rPr>
          <w:spacing w:val="-5"/>
        </w:rPr>
        <w:t> </w:t>
      </w:r>
      <w:r>
        <w:rPr/>
        <w:t>confirmação</w:t>
      </w:r>
      <w:r>
        <w:rPr>
          <w:spacing w:val="-3"/>
        </w:rPr>
        <w:t> </w:t>
      </w:r>
      <w:r>
        <w:rPr/>
        <w:t>dos benefícios da</w:t>
      </w:r>
      <w:r>
        <w:rPr>
          <w:spacing w:val="-5"/>
        </w:rPr>
        <w:t> </w:t>
      </w:r>
      <w:r>
        <w:rPr/>
        <w:t>recanalização</w:t>
      </w:r>
      <w:r>
        <w:rPr>
          <w:spacing w:val="-3"/>
        </w:rPr>
        <w:t> </w:t>
      </w:r>
      <w:r>
        <w:rPr/>
        <w:t>da</w:t>
      </w:r>
      <w:r>
        <w:rPr>
          <w:spacing w:val="-5"/>
        </w:rPr>
        <w:t> </w:t>
      </w:r>
      <w:r>
        <w:rPr/>
        <w:t>artéria</w:t>
      </w:r>
      <w:r>
        <w:rPr>
          <w:spacing w:val="-5"/>
        </w:rPr>
        <w:t> </w:t>
      </w:r>
      <w:r>
        <w:rPr/>
        <w:t>coronária</w:t>
      </w:r>
      <w:r>
        <w:rPr>
          <w:spacing w:val="-5"/>
        </w:rPr>
        <w:t> </w:t>
      </w:r>
      <w:r>
        <w:rPr/>
        <w:t>relacionada com o IAM, a mortalidade atingiu os atuais 6 a 10%.</w:t>
      </w:r>
      <w:r>
        <w:rPr>
          <w:vertAlign w:val="superscript"/>
        </w:rPr>
        <w:t>2,4</w:t>
      </w:r>
    </w:p>
    <w:p>
      <w:pPr>
        <w:pStyle w:val="BodyText"/>
        <w:spacing w:line="290" w:lineRule="auto" w:before="49"/>
        <w:ind w:right="501"/>
      </w:pPr>
      <w:r>
        <w:rPr/>
        <w:t>Estudos epidemiológicos revelam taxas de mortalidade geral ao redor de 30%; metade dos óbitos ocorre nas primeiras 2 h do evento e</w:t>
      </w:r>
      <w:r>
        <w:rPr>
          <w:spacing w:val="-2"/>
        </w:rPr>
        <w:t> </w:t>
      </w:r>
      <w:r>
        <w:rPr/>
        <w:t>14% dos acometidos morrem antes de</w:t>
      </w:r>
      <w:r>
        <w:rPr>
          <w:spacing w:val="-2"/>
        </w:rPr>
        <w:t> </w:t>
      </w:r>
      <w:r>
        <w:rPr/>
        <w:t>receber atendimento médico.</w:t>
      </w:r>
      <w:r>
        <w:rPr>
          <w:vertAlign w:val="superscript"/>
        </w:rPr>
        <w:t>5–7</w:t>
      </w:r>
    </w:p>
    <w:p>
      <w:pPr>
        <w:pStyle w:val="BodyText"/>
        <w:spacing w:before="170"/>
        <w:ind w:left="0" w:firstLine="0"/>
        <w:jc w:val="left"/>
      </w:pPr>
    </w:p>
    <w:p>
      <w:pPr>
        <w:pStyle w:val="Heading4"/>
      </w:pPr>
      <w:r>
        <w:rPr>
          <w:color w:val="242B67"/>
        </w:rPr>
        <w:t>Etiologia e </w:t>
      </w:r>
      <w:r>
        <w:rPr>
          <w:color w:val="242B67"/>
          <w:spacing w:val="-2"/>
        </w:rPr>
        <w:t>fisiopatologia</w:t>
      </w:r>
    </w:p>
    <w:p>
      <w:pPr>
        <w:pStyle w:val="BodyText"/>
        <w:spacing w:line="283" w:lineRule="auto" w:before="131"/>
        <w:ind w:right="497"/>
      </w:pPr>
      <w:r>
        <w:rPr/>
        <w:t>Episódios de isquemia podem ser provocados por aumento na demanda miocárdica de oxigênio, como, por exemplo, quando precipitada por hipertensão ou taquicardia, e/ou redução na oferta de oxigênio, como, por exemplo, pela redução no diâmetro do lúmen coronariano por trombos ou espasmo.</w:t>
      </w:r>
      <w:r>
        <w:rPr>
          <w:vertAlign w:val="superscript"/>
        </w:rPr>
        <w:t>1,8</w:t>
      </w:r>
    </w:p>
    <w:p>
      <w:pPr>
        <w:pStyle w:val="BodyText"/>
        <w:spacing w:line="276" w:lineRule="auto" w:before="41"/>
        <w:ind w:right="487"/>
      </w:pPr>
      <w:r>
        <w:rPr/>
        <w:t>Os</w:t>
      </w:r>
      <w:r>
        <w:rPr>
          <w:spacing w:val="-3"/>
        </w:rPr>
        <w:t> </w:t>
      </w:r>
      <w:r>
        <w:rPr/>
        <w:t>cinco</w:t>
      </w:r>
      <w:r>
        <w:rPr>
          <w:spacing w:val="-11"/>
        </w:rPr>
        <w:t> </w:t>
      </w:r>
      <w:r>
        <w:rPr/>
        <w:t>principais</w:t>
      </w:r>
      <w:r>
        <w:rPr>
          <w:spacing w:val="-3"/>
        </w:rPr>
        <w:t> </w:t>
      </w:r>
      <w:r>
        <w:rPr/>
        <w:t>mecanismos</w:t>
      </w:r>
      <w:r>
        <w:rPr>
          <w:spacing w:val="-3"/>
        </w:rPr>
        <w:t> </w:t>
      </w:r>
      <w:r>
        <w:rPr/>
        <w:t>fisiopatológicos</w:t>
      </w:r>
      <w:r>
        <w:rPr>
          <w:spacing w:val="-3"/>
        </w:rPr>
        <w:t> </w:t>
      </w:r>
      <w:r>
        <w:rPr/>
        <w:t>envolvidos</w:t>
      </w:r>
      <w:r>
        <w:rPr>
          <w:spacing w:val="-3"/>
        </w:rPr>
        <w:t> </w:t>
      </w:r>
      <w:r>
        <w:rPr/>
        <w:t>nas</w:t>
      </w:r>
      <w:r>
        <w:rPr>
          <w:spacing w:val="-3"/>
        </w:rPr>
        <w:t> </w:t>
      </w:r>
      <w:r>
        <w:rPr/>
        <w:t>SCA</w:t>
      </w:r>
      <w:r>
        <w:rPr>
          <w:spacing w:val="-13"/>
        </w:rPr>
        <w:t> </w:t>
      </w:r>
      <w:r>
        <w:rPr/>
        <w:t>são:</w:t>
      </w:r>
      <w:r>
        <w:rPr>
          <w:spacing w:val="-9"/>
        </w:rPr>
        <w:t> </w:t>
      </w:r>
      <w:r>
        <w:rPr/>
        <w:t>trombose,</w:t>
      </w:r>
      <w:r>
        <w:rPr>
          <w:spacing w:val="-3"/>
        </w:rPr>
        <w:t> </w:t>
      </w:r>
      <w:r>
        <w:rPr/>
        <w:t>obstrução</w:t>
      </w:r>
      <w:r>
        <w:rPr>
          <w:spacing w:val="-11"/>
        </w:rPr>
        <w:t> </w:t>
      </w:r>
      <w:r>
        <w:rPr/>
        <w:t>mecânica</w:t>
      </w:r>
      <w:r>
        <w:rPr>
          <w:spacing w:val="-13"/>
        </w:rPr>
        <w:t> </w:t>
      </w:r>
      <w:r>
        <w:rPr/>
        <w:t>(placa aterosclerótica), obstrução dinâmica</w:t>
      </w:r>
      <w:r>
        <w:rPr>
          <w:spacing w:val="-3"/>
        </w:rPr>
        <w:t> </w:t>
      </w:r>
      <w:r>
        <w:rPr/>
        <w:t>(espasmo), inflamação e</w:t>
      </w:r>
      <w:r>
        <w:rPr>
          <w:spacing w:val="-3"/>
        </w:rPr>
        <w:t> </w:t>
      </w:r>
      <w:r>
        <w:rPr/>
        <w:t>aumento do consumo miocárdico (angina</w:t>
      </w:r>
      <w:r>
        <w:rPr>
          <w:spacing w:val="-3"/>
        </w:rPr>
        <w:t> </w:t>
      </w:r>
      <w:r>
        <w:rPr/>
        <w:t>secundária, associada a anemia, hipertireoidismo, hipertensão mal controlada, entre outros).</w:t>
      </w:r>
    </w:p>
    <w:p>
      <w:pPr>
        <w:pStyle w:val="BodyText"/>
        <w:spacing w:line="276" w:lineRule="auto"/>
        <w:ind w:right="491"/>
      </w:pPr>
      <w:r>
        <w:rPr/>
        <w:t>O principal mecanismo fisiopatológico é a ruptura ou fissura de uma placa ateromatosa e a formação de um trombo</w:t>
      </w:r>
      <w:r>
        <w:rPr>
          <w:spacing w:val="-1"/>
        </w:rPr>
        <w:t> </w:t>
      </w:r>
      <w:r>
        <w:rPr/>
        <w:t>sobreposto. A</w:t>
      </w:r>
      <w:r>
        <w:rPr>
          <w:spacing w:val="-4"/>
        </w:rPr>
        <w:t> </w:t>
      </w:r>
      <w:r>
        <w:rPr/>
        <w:t>fissura</w:t>
      </w:r>
      <w:r>
        <w:rPr>
          <w:spacing w:val="-4"/>
        </w:rPr>
        <w:t> </w:t>
      </w:r>
      <w:r>
        <w:rPr/>
        <w:t>superficial de</w:t>
      </w:r>
      <w:r>
        <w:rPr>
          <w:spacing w:val="-4"/>
        </w:rPr>
        <w:t> </w:t>
      </w:r>
      <w:r>
        <w:rPr/>
        <w:t>uma</w:t>
      </w:r>
      <w:r>
        <w:rPr>
          <w:spacing w:val="-4"/>
        </w:rPr>
        <w:t> </w:t>
      </w:r>
      <w:r>
        <w:rPr/>
        <w:t>placa</w:t>
      </w:r>
      <w:r>
        <w:rPr>
          <w:spacing w:val="-4"/>
        </w:rPr>
        <w:t> </w:t>
      </w:r>
      <w:r>
        <w:rPr/>
        <w:t>promove</w:t>
      </w:r>
      <w:r>
        <w:rPr>
          <w:spacing w:val="-4"/>
        </w:rPr>
        <w:t> </w:t>
      </w:r>
      <w:r>
        <w:rPr/>
        <w:t>a</w:t>
      </w:r>
      <w:r>
        <w:rPr>
          <w:spacing w:val="-4"/>
        </w:rPr>
        <w:t> </w:t>
      </w:r>
      <w:r>
        <w:rPr/>
        <w:t>deposição</w:t>
      </w:r>
      <w:r>
        <w:rPr>
          <w:spacing w:val="-1"/>
        </w:rPr>
        <w:t> </w:t>
      </w:r>
      <w:r>
        <w:rPr/>
        <w:t>plaquetária. Nos pacientes com</w:t>
      </w:r>
      <w:r>
        <w:rPr>
          <w:spacing w:val="-1"/>
        </w:rPr>
        <w:t> </w:t>
      </w:r>
      <w:r>
        <w:rPr/>
        <w:t>angina instável há menos formação de trombo que em pacientes com IAMST, que em geral está associado a lesão arterial mais profunda e trombo oclusivo. O trombo associado a angina instável/IAMSST é branco e composto principalmente de plaquetas, enquanto o trombo nos pacientes com IAMST é vermelho e composto predominantemente</w:t>
      </w:r>
      <w:r>
        <w:rPr>
          <w:spacing w:val="-1"/>
        </w:rPr>
        <w:t> </w:t>
      </w:r>
      <w:r>
        <w:rPr/>
        <w:t>de</w:t>
      </w:r>
      <w:r>
        <w:rPr>
          <w:spacing w:val="-1"/>
        </w:rPr>
        <w:t> </w:t>
      </w:r>
      <w:r>
        <w:rPr/>
        <w:t>células sanguíneas envoltas em uma</w:t>
      </w:r>
      <w:r>
        <w:rPr>
          <w:spacing w:val="-1"/>
        </w:rPr>
        <w:t> </w:t>
      </w:r>
      <w:r>
        <w:rPr/>
        <w:t>malha</w:t>
      </w:r>
      <w:r>
        <w:rPr>
          <w:spacing w:val="-1"/>
        </w:rPr>
        <w:t> </w:t>
      </w:r>
      <w:r>
        <w:rPr/>
        <w:t>de</w:t>
      </w:r>
      <w:r>
        <w:rPr>
          <w:spacing w:val="-1"/>
        </w:rPr>
        <w:t> </w:t>
      </w:r>
      <w:r>
        <w:rPr/>
        <w:t>fibrina.</w:t>
      </w:r>
    </w:p>
    <w:p>
      <w:pPr>
        <w:pStyle w:val="BodyText"/>
        <w:spacing w:line="280" w:lineRule="auto"/>
        <w:ind w:right="491"/>
      </w:pPr>
      <w:r>
        <w:rPr/>
        <w:t>A inflamação tem uma importante função na aterosclerose. A ativação dos macrófagos desencadeia o processo inflamatório, levando a instabilidade da placa, estado pró-coagulante e eventos clínicos. A ruptura ou fissura da placa pode ser desencadeada pelo aumento do estresse por cisalhamento com mudanças súbitas na pressão e no tônus vasculares.</w:t>
      </w:r>
      <w:r>
        <w:rPr>
          <w:vertAlign w:val="superscript"/>
        </w:rPr>
        <w:t>9</w:t>
      </w:r>
      <w:r>
        <w:rPr>
          <w:vertAlign w:val="baseline"/>
        </w:rPr>
        <w:t> É mais frequente</w:t>
      </w:r>
      <w:r>
        <w:rPr>
          <w:spacing w:val="-2"/>
          <w:vertAlign w:val="baseline"/>
        </w:rPr>
        <w:t> </w:t>
      </w:r>
      <w:r>
        <w:rPr>
          <w:vertAlign w:val="baseline"/>
        </w:rPr>
        <w:t>em placas vulneráveis, com características bem definidas.</w:t>
      </w:r>
    </w:p>
    <w:p>
      <w:pPr>
        <w:pStyle w:val="BodyText"/>
        <w:spacing w:line="276" w:lineRule="auto" w:before="43"/>
        <w:ind w:right="497"/>
      </w:pPr>
      <w:r>
        <w:rPr/>
        <w:t>Os macrófagos produzem metaloproteases, enzimas que degradam a matriz extracelular. Os linfócitos T ativados também existem nos locais de</w:t>
      </w:r>
      <w:r>
        <w:rPr>
          <w:spacing w:val="-2"/>
        </w:rPr>
        <w:t> </w:t>
      </w:r>
      <w:r>
        <w:rPr/>
        <w:t>ruptura</w:t>
      </w:r>
      <w:r>
        <w:rPr>
          <w:spacing w:val="-2"/>
        </w:rPr>
        <w:t> </w:t>
      </w:r>
      <w:r>
        <w:rPr/>
        <w:t>da</w:t>
      </w:r>
      <w:r>
        <w:rPr>
          <w:spacing w:val="-2"/>
        </w:rPr>
        <w:t> </w:t>
      </w:r>
      <w:r>
        <w:rPr/>
        <w:t>placa</w:t>
      </w:r>
      <w:r>
        <w:rPr>
          <w:spacing w:val="-2"/>
        </w:rPr>
        <w:t> </w:t>
      </w:r>
      <w:r>
        <w:rPr/>
        <w:t>e</w:t>
      </w:r>
      <w:r>
        <w:rPr>
          <w:spacing w:val="-2"/>
        </w:rPr>
        <w:t> </w:t>
      </w:r>
      <w:r>
        <w:rPr/>
        <w:t>liberam citocinas, que</w:t>
      </w:r>
      <w:r>
        <w:rPr>
          <w:spacing w:val="-2"/>
        </w:rPr>
        <w:t> </w:t>
      </w:r>
      <w:r>
        <w:rPr/>
        <w:t>ativam ainda</w:t>
      </w:r>
      <w:r>
        <w:rPr>
          <w:spacing w:val="-2"/>
        </w:rPr>
        <w:t> </w:t>
      </w:r>
      <w:r>
        <w:rPr/>
        <w:t>mais os macrófagos, inibem a proliferação das células musculares lisas e deprimem a síntese de colágeno.</w:t>
      </w:r>
    </w:p>
    <w:p>
      <w:pPr>
        <w:pStyle w:val="BodyText"/>
        <w:spacing w:line="290" w:lineRule="auto"/>
        <w:ind w:right="488"/>
      </w:pPr>
      <w:r>
        <w:rPr/>
        <w:t>Níveis elevados de proteína C reativa e interleucina-6 (IL-6) têm sido encontrados em pacientes com angina instável e estão associados a taxas elevadas de morte, IAM intra-hospitalar e após 1 ano.</w:t>
      </w:r>
      <w:r>
        <w:rPr>
          <w:vertAlign w:val="superscript"/>
        </w:rPr>
        <w:t>10</w:t>
      </w:r>
    </w:p>
    <w:p>
      <w:pPr>
        <w:pStyle w:val="BodyText"/>
        <w:spacing w:line="276" w:lineRule="auto" w:before="32"/>
        <w:ind w:right="491"/>
      </w:pPr>
      <w:r>
        <w:rPr/>
        <w:t>Após a</w:t>
      </w:r>
      <w:r>
        <w:rPr>
          <w:spacing w:val="-1"/>
        </w:rPr>
        <w:t> </w:t>
      </w:r>
      <w:r>
        <w:rPr/>
        <w:t>ruptura</w:t>
      </w:r>
      <w:r>
        <w:rPr>
          <w:spacing w:val="-1"/>
        </w:rPr>
        <w:t> </w:t>
      </w:r>
      <w:r>
        <w:rPr/>
        <w:t>ou fissura</w:t>
      </w:r>
      <w:r>
        <w:rPr>
          <w:spacing w:val="-1"/>
        </w:rPr>
        <w:t> </w:t>
      </w:r>
      <w:r>
        <w:rPr/>
        <w:t>da</w:t>
      </w:r>
      <w:r>
        <w:rPr>
          <w:spacing w:val="-1"/>
        </w:rPr>
        <w:t> </w:t>
      </w:r>
      <w:r>
        <w:rPr/>
        <w:t>placa, proteínas de</w:t>
      </w:r>
      <w:r>
        <w:rPr>
          <w:spacing w:val="-1"/>
        </w:rPr>
        <w:t> </w:t>
      </w:r>
      <w:r>
        <w:rPr/>
        <w:t>adesão subendotelial, fator tecidual do colágeno e</w:t>
      </w:r>
      <w:r>
        <w:rPr>
          <w:spacing w:val="-1"/>
        </w:rPr>
        <w:t> </w:t>
      </w:r>
      <w:r>
        <w:rPr/>
        <w:t>fator de</w:t>
      </w:r>
      <w:r>
        <w:rPr>
          <w:spacing w:val="-1"/>
        </w:rPr>
        <w:t> </w:t>
      </w:r>
      <w:r>
        <w:rPr/>
        <w:t>von Willebrand são expostos e o fator tecidual é liberado. As plaquetas aderem às glicoproteínas Ia e Ib, mudando sua conformação e liberando serotonina, tromboxano A2 e adenosina difosfato (ADP). A liberação de fator tecidual combina com o fator VII, estimulando a cascata de coagulação extrínseca para formar trombina, um potente estimulador</w:t>
      </w:r>
      <w:r>
        <w:rPr>
          <w:spacing w:val="-4"/>
        </w:rPr>
        <w:t> </w:t>
      </w:r>
      <w:r>
        <w:rPr/>
        <w:t>da</w:t>
      </w:r>
      <w:r>
        <w:rPr>
          <w:spacing w:val="-11"/>
        </w:rPr>
        <w:t> </w:t>
      </w:r>
      <w:r>
        <w:rPr/>
        <w:t>agregação</w:t>
      </w:r>
      <w:r>
        <w:rPr>
          <w:spacing w:val="-9"/>
        </w:rPr>
        <w:t> </w:t>
      </w:r>
      <w:r>
        <w:rPr/>
        <w:t>plaquetária.</w:t>
      </w:r>
      <w:r>
        <w:rPr>
          <w:spacing w:val="-1"/>
        </w:rPr>
        <w:t> </w:t>
      </w:r>
      <w:r>
        <w:rPr/>
        <w:t>Na</w:t>
      </w:r>
      <w:r>
        <w:rPr>
          <w:spacing w:val="-11"/>
        </w:rPr>
        <w:t> </w:t>
      </w:r>
      <w:r>
        <w:rPr/>
        <w:t>superfície</w:t>
      </w:r>
      <w:r>
        <w:rPr>
          <w:spacing w:val="-11"/>
        </w:rPr>
        <w:t> </w:t>
      </w:r>
      <w:r>
        <w:rPr/>
        <w:t>plaquetária,</w:t>
      </w:r>
      <w:r>
        <w:rPr>
          <w:spacing w:val="-1"/>
        </w:rPr>
        <w:t> </w:t>
      </w:r>
      <w:r>
        <w:rPr/>
        <w:t>os</w:t>
      </w:r>
      <w:r>
        <w:rPr>
          <w:spacing w:val="-1"/>
        </w:rPr>
        <w:t> </w:t>
      </w:r>
      <w:r>
        <w:rPr/>
        <w:t>fatores</w:t>
      </w:r>
      <w:r>
        <w:rPr>
          <w:spacing w:val="-1"/>
        </w:rPr>
        <w:t> </w:t>
      </w:r>
      <w:r>
        <w:rPr/>
        <w:t>V</w:t>
      </w:r>
      <w:r>
        <w:rPr>
          <w:spacing w:val="-11"/>
        </w:rPr>
        <w:t> </w:t>
      </w:r>
      <w:r>
        <w:rPr/>
        <w:t>e</w:t>
      </w:r>
      <w:r>
        <w:rPr>
          <w:spacing w:val="-11"/>
        </w:rPr>
        <w:t> </w:t>
      </w:r>
      <w:r>
        <w:rPr/>
        <w:t>X</w:t>
      </w:r>
      <w:r>
        <w:rPr>
          <w:spacing w:val="-11"/>
        </w:rPr>
        <w:t> </w:t>
      </w:r>
      <w:r>
        <w:rPr/>
        <w:t>são</w:t>
      </w:r>
      <w:r>
        <w:rPr>
          <w:spacing w:val="-9"/>
        </w:rPr>
        <w:t> </w:t>
      </w:r>
      <w:r>
        <w:rPr/>
        <w:t>ativados</w:t>
      </w:r>
      <w:r>
        <w:rPr>
          <w:spacing w:val="-1"/>
        </w:rPr>
        <w:t> </w:t>
      </w:r>
      <w:r>
        <w:rPr/>
        <w:t>e</w:t>
      </w:r>
      <w:r>
        <w:rPr>
          <w:spacing w:val="-11"/>
        </w:rPr>
        <w:t> </w:t>
      </w:r>
      <w:r>
        <w:rPr/>
        <w:t>resultam</w:t>
      </w:r>
      <w:r>
        <w:rPr>
          <w:spacing w:val="-9"/>
        </w:rPr>
        <w:t> </w:t>
      </w:r>
      <w:r>
        <w:rPr/>
        <w:t>na</w:t>
      </w:r>
      <w:r>
        <w:rPr>
          <w:spacing w:val="-11"/>
        </w:rPr>
        <w:t> </w:t>
      </w:r>
      <w:r>
        <w:rPr/>
        <w:t>geração de mais trombina.</w:t>
      </w:r>
    </w:p>
    <w:p>
      <w:pPr>
        <w:pStyle w:val="BodyText"/>
        <w:spacing w:line="276" w:lineRule="auto"/>
        <w:ind w:right="488"/>
      </w:pPr>
      <w:r>
        <w:rPr/>
        <w:t>O trombo intracoronariano é visualizado em 35 a 52% nos pacientes com angina instável submetidos a angiografia</w:t>
      </w:r>
      <w:r>
        <w:rPr>
          <w:spacing w:val="-3"/>
        </w:rPr>
        <w:t> </w:t>
      </w:r>
      <w:r>
        <w:rPr/>
        <w:t>coronariana, elevando-se</w:t>
      </w:r>
      <w:r>
        <w:rPr>
          <w:spacing w:val="-3"/>
        </w:rPr>
        <w:t> </w:t>
      </w:r>
      <w:r>
        <w:rPr/>
        <w:t>esse</w:t>
      </w:r>
      <w:r>
        <w:rPr>
          <w:spacing w:val="-3"/>
        </w:rPr>
        <w:t> </w:t>
      </w:r>
      <w:r>
        <w:rPr/>
        <w:t>número para</w:t>
      </w:r>
      <w:r>
        <w:rPr>
          <w:spacing w:val="-3"/>
        </w:rPr>
        <w:t> </w:t>
      </w:r>
      <w:r>
        <w:rPr/>
        <w:t>70 a</w:t>
      </w:r>
      <w:r>
        <w:rPr>
          <w:spacing w:val="-3"/>
        </w:rPr>
        <w:t> </w:t>
      </w:r>
      <w:r>
        <w:rPr/>
        <w:t>93% quando ultrassom intracoronariano é</w:t>
      </w:r>
      <w:r>
        <w:rPr>
          <w:spacing w:val="-3"/>
        </w:rPr>
        <w:t> </w:t>
      </w:r>
      <w:r>
        <w:rPr/>
        <w:t>realizado. A existência de trombo na angiografia significa que a recorrência da isquemia e de IAM é maior.</w:t>
      </w:r>
    </w:p>
    <w:p>
      <w:pPr>
        <w:pStyle w:val="BodyText"/>
        <w:spacing w:line="276" w:lineRule="auto"/>
        <w:ind w:right="488"/>
      </w:pPr>
      <w:r>
        <w:rPr/>
        <w:t>Em 1959, Prinzmetal </w:t>
      </w:r>
      <w:r>
        <w:rPr>
          <w:i/>
        </w:rPr>
        <w:t>et al. </w:t>
      </w:r>
      <w:r>
        <w:rPr/>
        <w:t>descreveram um tipo variante de angina caracterizado por dor torácica predominantemente ao repouso e frequentemente associado à elevação do segmento ST no ECG. A hiperatividade vasomotora pode localizar-se em regiões com ateroma coronariano ou em segmentos normais angiograficamente. Quando há disfunção endotelial, estímulos com acetilcolina, que normalmente causariam vasodilatação, podem, portanto, causar vasoconstrição.</w:t>
      </w:r>
    </w:p>
    <w:p>
      <w:pPr>
        <w:pStyle w:val="BodyText"/>
        <w:spacing w:line="276" w:lineRule="auto" w:before="49"/>
        <w:ind w:right="488"/>
      </w:pPr>
      <w:r>
        <w:rPr/>
        <w:t>Se houver estenose aterosclerótica importante, particularmente nas lesões excêntricas com um arco de artéria capaz</w:t>
      </w:r>
      <w:r>
        <w:rPr>
          <w:spacing w:val="-4"/>
        </w:rPr>
        <w:t> </w:t>
      </w:r>
      <w:r>
        <w:rPr/>
        <w:t>de</w:t>
      </w:r>
      <w:r>
        <w:rPr>
          <w:spacing w:val="-4"/>
        </w:rPr>
        <w:t> </w:t>
      </w:r>
      <w:r>
        <w:rPr/>
        <w:t>contrair-se, tônus coronariano</w:t>
      </w:r>
      <w:r>
        <w:rPr>
          <w:spacing w:val="-1"/>
        </w:rPr>
        <w:t> </w:t>
      </w:r>
      <w:r>
        <w:rPr/>
        <w:t>aumentado</w:t>
      </w:r>
      <w:r>
        <w:rPr>
          <w:spacing w:val="-1"/>
        </w:rPr>
        <w:t> </w:t>
      </w:r>
      <w:r>
        <w:rPr/>
        <w:t>poderá</w:t>
      </w:r>
      <w:r>
        <w:rPr>
          <w:spacing w:val="-4"/>
        </w:rPr>
        <w:t> </w:t>
      </w:r>
      <w:r>
        <w:rPr/>
        <w:t>resultar em</w:t>
      </w:r>
      <w:r>
        <w:rPr>
          <w:spacing w:val="-1"/>
        </w:rPr>
        <w:t> </w:t>
      </w:r>
      <w:r>
        <w:rPr/>
        <w:t>redução</w:t>
      </w:r>
      <w:r>
        <w:rPr>
          <w:spacing w:val="-1"/>
        </w:rPr>
        <w:t> </w:t>
      </w:r>
      <w:r>
        <w:rPr/>
        <w:t>crítica</w:t>
      </w:r>
      <w:r>
        <w:rPr>
          <w:spacing w:val="-4"/>
        </w:rPr>
        <w:t> </w:t>
      </w:r>
      <w:r>
        <w:rPr/>
        <w:t>no</w:t>
      </w:r>
      <w:r>
        <w:rPr>
          <w:spacing w:val="-1"/>
        </w:rPr>
        <w:t> </w:t>
      </w:r>
      <w:r>
        <w:rPr/>
        <w:t>fluxo</w:t>
      </w:r>
      <w:r>
        <w:rPr>
          <w:spacing w:val="-1"/>
        </w:rPr>
        <w:t> </w:t>
      </w:r>
      <w:r>
        <w:rPr/>
        <w:t>coronariano.</w:t>
      </w:r>
    </w:p>
    <w:p>
      <w:pPr>
        <w:pStyle w:val="BodyText"/>
        <w:spacing w:before="185"/>
        <w:ind w:left="0" w:firstLine="0"/>
        <w:jc w:val="left"/>
      </w:pPr>
    </w:p>
    <w:p>
      <w:pPr>
        <w:pStyle w:val="Heading4"/>
      </w:pPr>
      <w:r>
        <w:rPr>
          <w:color w:val="242B67"/>
        </w:rPr>
        <w:t>Anatomia </w:t>
      </w:r>
      <w:r>
        <w:rPr>
          <w:color w:val="242B67"/>
          <w:spacing w:val="-2"/>
        </w:rPr>
        <w:t>patológica</w:t>
      </w:r>
    </w:p>
    <w:p>
      <w:pPr>
        <w:pStyle w:val="BodyText"/>
        <w:spacing w:line="276" w:lineRule="auto" w:before="132"/>
        <w:ind w:right="497"/>
      </w:pPr>
      <w:r>
        <w:rPr/>
        <w:t>As alterações patológicas nas SCA</w:t>
      </w:r>
      <w:r>
        <w:rPr>
          <w:spacing w:val="-3"/>
        </w:rPr>
        <w:t> </w:t>
      </w:r>
      <w:r>
        <w:rPr/>
        <w:t>são vistas principalmente</w:t>
      </w:r>
      <w:r>
        <w:rPr>
          <w:spacing w:val="-3"/>
        </w:rPr>
        <w:t> </w:t>
      </w:r>
      <w:r>
        <w:rPr/>
        <w:t>no IAM, que, como visto anteriormente, pode</w:t>
      </w:r>
      <w:r>
        <w:rPr>
          <w:spacing w:val="-3"/>
        </w:rPr>
        <w:t> </w:t>
      </w:r>
      <w:r>
        <w:rPr/>
        <w:t>ser dividido em IAMST e IAMSST. O IAMST, anteriormente chamado de infarto transmural, caracteriza-se geralmente</w:t>
      </w:r>
      <w:r>
        <w:rPr>
          <w:spacing w:val="24"/>
        </w:rPr>
        <w:t> </w:t>
      </w:r>
      <w:r>
        <w:rPr/>
        <w:t>por</w:t>
      </w:r>
      <w:r>
        <w:rPr>
          <w:spacing w:val="33"/>
        </w:rPr>
        <w:t> </w:t>
      </w:r>
      <w:r>
        <w:rPr/>
        <w:t>necrose</w:t>
      </w:r>
      <w:r>
        <w:rPr>
          <w:spacing w:val="24"/>
        </w:rPr>
        <w:t> </w:t>
      </w:r>
      <w:r>
        <w:rPr/>
        <w:t>de</w:t>
      </w:r>
      <w:r>
        <w:rPr>
          <w:spacing w:val="24"/>
        </w:rPr>
        <w:t> </w:t>
      </w:r>
      <w:r>
        <w:rPr/>
        <w:t>toda</w:t>
      </w:r>
      <w:r>
        <w:rPr>
          <w:spacing w:val="24"/>
        </w:rPr>
        <w:t> </w:t>
      </w:r>
      <w:r>
        <w:rPr/>
        <w:t>a</w:t>
      </w:r>
      <w:r>
        <w:rPr>
          <w:spacing w:val="24"/>
        </w:rPr>
        <w:t> </w:t>
      </w:r>
      <w:r>
        <w:rPr/>
        <w:t>espessura</w:t>
      </w:r>
      <w:r>
        <w:rPr>
          <w:spacing w:val="24"/>
        </w:rPr>
        <w:t> </w:t>
      </w:r>
      <w:r>
        <w:rPr/>
        <w:t>da</w:t>
      </w:r>
      <w:r>
        <w:rPr>
          <w:spacing w:val="24"/>
        </w:rPr>
        <w:t> </w:t>
      </w:r>
      <w:r>
        <w:rPr/>
        <w:t>parede</w:t>
      </w:r>
      <w:r>
        <w:rPr>
          <w:spacing w:val="24"/>
        </w:rPr>
        <w:t> </w:t>
      </w:r>
      <w:r>
        <w:rPr/>
        <w:t>miocárdica,</w:t>
      </w:r>
      <w:r>
        <w:rPr>
          <w:spacing w:val="36"/>
        </w:rPr>
        <w:t> </w:t>
      </w:r>
      <w:r>
        <w:rPr/>
        <w:t>ao</w:t>
      </w:r>
      <w:r>
        <w:rPr>
          <w:spacing w:val="27"/>
        </w:rPr>
        <w:t> </w:t>
      </w:r>
      <w:r>
        <w:rPr/>
        <w:t>passo</w:t>
      </w:r>
      <w:r>
        <w:rPr>
          <w:spacing w:val="27"/>
        </w:rPr>
        <w:t> </w:t>
      </w:r>
      <w:r>
        <w:rPr/>
        <w:t>que</w:t>
      </w:r>
      <w:r>
        <w:rPr>
          <w:spacing w:val="24"/>
        </w:rPr>
        <w:t> </w:t>
      </w:r>
      <w:r>
        <w:rPr/>
        <w:t>o</w:t>
      </w:r>
      <w:r>
        <w:rPr>
          <w:spacing w:val="27"/>
        </w:rPr>
        <w:t> </w:t>
      </w:r>
      <w:r>
        <w:rPr/>
        <w:t>IAMSST,</w:t>
      </w:r>
      <w:r>
        <w:rPr>
          <w:spacing w:val="36"/>
        </w:rPr>
        <w:t> </w:t>
      </w:r>
      <w:r>
        <w:rPr/>
        <w:t>antes</w:t>
      </w:r>
      <w:r>
        <w:rPr>
          <w:spacing w:val="36"/>
        </w:rPr>
        <w:t> </w:t>
      </w:r>
      <w:r>
        <w:rPr/>
        <w:t>chamado</w:t>
      </w:r>
      <w:r>
        <w:rPr>
          <w:spacing w:val="27"/>
        </w:rPr>
        <w:t> </w:t>
      </w:r>
      <w:r>
        <w:rPr/>
        <w:t>de</w:t>
      </w:r>
    </w:p>
    <w:p>
      <w:pPr>
        <w:pStyle w:val="BodyText"/>
        <w:spacing w:after="0" w:line="276" w:lineRule="auto"/>
        <w:sectPr>
          <w:pgSz w:w="11900" w:h="16840"/>
          <w:pgMar w:top="220" w:bottom="280" w:left="566" w:right="141"/>
        </w:sectPr>
      </w:pPr>
    </w:p>
    <w:p>
      <w:pPr>
        <w:pStyle w:val="BodyText"/>
        <w:spacing w:before="95"/>
        <w:ind w:firstLine="0"/>
        <w:jc w:val="left"/>
      </w:pPr>
      <w:r>
        <w:rPr>
          <w:spacing w:val="-2"/>
        </w:rPr>
        <w:t>infarto</w:t>
      </w:r>
      <w:r>
        <w:rPr>
          <w:spacing w:val="-8"/>
        </w:rPr>
        <w:t> </w:t>
      </w:r>
      <w:r>
        <w:rPr>
          <w:spacing w:val="-2"/>
        </w:rPr>
        <w:t>subendocárdico,</w:t>
      </w:r>
      <w:r>
        <w:rPr>
          <w:spacing w:val="2"/>
        </w:rPr>
        <w:t> </w:t>
      </w:r>
      <w:r>
        <w:rPr>
          <w:spacing w:val="-2"/>
        </w:rPr>
        <w:t>habitualmente</w:t>
      </w:r>
      <w:r>
        <w:rPr>
          <w:spacing w:val="-8"/>
        </w:rPr>
        <w:t> </w:t>
      </w:r>
      <w:r>
        <w:rPr>
          <w:spacing w:val="-2"/>
        </w:rPr>
        <w:t>acomete</w:t>
      </w:r>
      <w:r>
        <w:rPr>
          <w:spacing w:val="-8"/>
        </w:rPr>
        <w:t> </w:t>
      </w:r>
      <w:r>
        <w:rPr>
          <w:spacing w:val="-2"/>
        </w:rPr>
        <w:t>apenas</w:t>
      </w:r>
      <w:r>
        <w:rPr>
          <w:spacing w:val="2"/>
        </w:rPr>
        <w:t> </w:t>
      </w:r>
      <w:r>
        <w:rPr>
          <w:spacing w:val="-2"/>
        </w:rPr>
        <w:t>o</w:t>
      </w:r>
      <w:r>
        <w:rPr>
          <w:spacing w:val="-5"/>
        </w:rPr>
        <w:t> </w:t>
      </w:r>
      <w:r>
        <w:rPr>
          <w:spacing w:val="-2"/>
        </w:rPr>
        <w:t>subendocárdio.</w:t>
      </w:r>
      <w:r>
        <w:rPr>
          <w:spacing w:val="-2"/>
          <w:vertAlign w:val="superscript"/>
        </w:rPr>
        <w:t>11,12</w:t>
      </w:r>
    </w:p>
    <w:p>
      <w:pPr>
        <w:pStyle w:val="BodyText"/>
        <w:spacing w:before="180"/>
        <w:ind w:left="0" w:firstLine="0"/>
        <w:jc w:val="left"/>
      </w:pPr>
    </w:p>
    <w:p>
      <w:pPr>
        <w:pStyle w:val="Heading5"/>
      </w:pPr>
      <w:r>
        <w:rPr>
          <w:color w:val="A26108"/>
        </w:rPr>
        <w:t>Alterações</w:t>
      </w:r>
      <w:r>
        <w:rPr>
          <w:color w:val="A26108"/>
          <w:spacing w:val="32"/>
        </w:rPr>
        <w:t> </w:t>
      </w:r>
      <w:r>
        <w:rPr>
          <w:color w:val="A26108"/>
          <w:spacing w:val="-2"/>
        </w:rPr>
        <w:t>macroscópicas</w:t>
      </w:r>
    </w:p>
    <w:p>
      <w:pPr>
        <w:pStyle w:val="BodyText"/>
        <w:spacing w:line="276" w:lineRule="auto" w:before="139"/>
        <w:ind w:right="488"/>
      </w:pPr>
      <w:r>
        <w:rPr/>
        <w:t>As alterações macroscópicas do miocárdio são de difícil identificação, até que pelo menos 12 h tenham se passado</w:t>
      </w:r>
      <w:r>
        <w:rPr>
          <w:spacing w:val="-3"/>
        </w:rPr>
        <w:t> </w:t>
      </w:r>
      <w:r>
        <w:rPr/>
        <w:t>após o</w:t>
      </w:r>
      <w:r>
        <w:rPr>
          <w:spacing w:val="-3"/>
        </w:rPr>
        <w:t> </w:t>
      </w:r>
      <w:r>
        <w:rPr/>
        <w:t>início</w:t>
      </w:r>
      <w:r>
        <w:rPr>
          <w:spacing w:val="-3"/>
        </w:rPr>
        <w:t> </w:t>
      </w:r>
      <w:r>
        <w:rPr/>
        <w:t>da</w:t>
      </w:r>
      <w:r>
        <w:rPr>
          <w:spacing w:val="-6"/>
        </w:rPr>
        <w:t> </w:t>
      </w:r>
      <w:r>
        <w:rPr/>
        <w:t>necrose. Inicialmente, a</w:t>
      </w:r>
      <w:r>
        <w:rPr>
          <w:spacing w:val="-6"/>
        </w:rPr>
        <w:t> </w:t>
      </w:r>
      <w:r>
        <w:rPr/>
        <w:t>região</w:t>
      </w:r>
      <w:r>
        <w:rPr>
          <w:spacing w:val="-3"/>
        </w:rPr>
        <w:t> </w:t>
      </w:r>
      <w:r>
        <w:rPr/>
        <w:t>afetada</w:t>
      </w:r>
      <w:r>
        <w:rPr>
          <w:spacing w:val="-6"/>
        </w:rPr>
        <w:t> </w:t>
      </w:r>
      <w:r>
        <w:rPr/>
        <w:t>do</w:t>
      </w:r>
      <w:r>
        <w:rPr>
          <w:spacing w:val="-3"/>
        </w:rPr>
        <w:t> </w:t>
      </w:r>
      <w:r>
        <w:rPr/>
        <w:t>miocárdio</w:t>
      </w:r>
      <w:r>
        <w:rPr>
          <w:spacing w:val="-3"/>
        </w:rPr>
        <w:t> </w:t>
      </w:r>
      <w:r>
        <w:rPr/>
        <w:t>pode</w:t>
      </w:r>
      <w:r>
        <w:rPr>
          <w:spacing w:val="-6"/>
        </w:rPr>
        <w:t> </w:t>
      </w:r>
      <w:r>
        <w:rPr/>
        <w:t>ter aparência</w:t>
      </w:r>
      <w:r>
        <w:rPr>
          <w:spacing w:val="-6"/>
        </w:rPr>
        <w:t> </w:t>
      </w:r>
      <w:r>
        <w:rPr/>
        <w:t>pálida</w:t>
      </w:r>
      <w:r>
        <w:rPr>
          <w:spacing w:val="-6"/>
        </w:rPr>
        <w:t> </w:t>
      </w:r>
      <w:r>
        <w:rPr/>
        <w:t>e</w:t>
      </w:r>
      <w:r>
        <w:rPr>
          <w:spacing w:val="-6"/>
        </w:rPr>
        <w:t> </w:t>
      </w:r>
      <w:r>
        <w:rPr/>
        <w:t>levemente edemaciada. Cerca de 18 a 36 h após o infarto, o miocárdio é castanho ou vermelho-púrpura (devido a eritrócitos capturados), com um exsudato serofibrinoso evidente no epicárdio nos IAMST. Essas alterações persistem por aproximadamente 48 h; o infarto se torna, então, cinzento, e linhas finas, amarelas, secundárias ao infiltrado neutrofílico, aparecem em sua periferia.</w:t>
      </w:r>
    </w:p>
    <w:p>
      <w:pPr>
        <w:pStyle w:val="BodyText"/>
        <w:spacing w:line="283" w:lineRule="auto" w:before="48"/>
        <w:ind w:right="491"/>
      </w:pPr>
      <w:r>
        <w:rPr/>
        <w:t>Nos 8 a 10 dias subsequentes ao infarto, a espessura da parede cardíaca na área do infarto é reduzida, pois o músculo</w:t>
      </w:r>
      <w:r>
        <w:rPr>
          <w:spacing w:val="-6"/>
        </w:rPr>
        <w:t> </w:t>
      </w:r>
      <w:r>
        <w:rPr/>
        <w:t>necrosado</w:t>
      </w:r>
      <w:r>
        <w:rPr>
          <w:spacing w:val="-6"/>
        </w:rPr>
        <w:t> </w:t>
      </w:r>
      <w:r>
        <w:rPr/>
        <w:t>é</w:t>
      </w:r>
      <w:r>
        <w:rPr>
          <w:spacing w:val="-9"/>
        </w:rPr>
        <w:t> </w:t>
      </w:r>
      <w:r>
        <w:rPr/>
        <w:t>removido</w:t>
      </w:r>
      <w:r>
        <w:rPr>
          <w:spacing w:val="-6"/>
        </w:rPr>
        <w:t> </w:t>
      </w:r>
      <w:r>
        <w:rPr/>
        <w:t>pelas células mononucleares. A</w:t>
      </w:r>
      <w:r>
        <w:rPr>
          <w:spacing w:val="-9"/>
        </w:rPr>
        <w:t> </w:t>
      </w:r>
      <w:r>
        <w:rPr/>
        <w:t>cicatrização</w:t>
      </w:r>
      <w:r>
        <w:rPr>
          <w:spacing w:val="-6"/>
        </w:rPr>
        <w:t> </w:t>
      </w:r>
      <w:r>
        <w:rPr/>
        <w:t>completa</w:t>
      </w:r>
      <w:r>
        <w:rPr>
          <w:spacing w:val="-9"/>
        </w:rPr>
        <w:t> </w:t>
      </w:r>
      <w:r>
        <w:rPr/>
        <w:t>da</w:t>
      </w:r>
      <w:r>
        <w:rPr>
          <w:spacing w:val="-9"/>
        </w:rPr>
        <w:t> </w:t>
      </w:r>
      <w:r>
        <w:rPr/>
        <w:t>área</w:t>
      </w:r>
      <w:r>
        <w:rPr>
          <w:spacing w:val="-9"/>
        </w:rPr>
        <w:t> </w:t>
      </w:r>
      <w:r>
        <w:rPr/>
        <w:t>infartada</w:t>
      </w:r>
      <w:r>
        <w:rPr>
          <w:spacing w:val="-9"/>
        </w:rPr>
        <w:t> </w:t>
      </w:r>
      <w:r>
        <w:rPr/>
        <w:t>leva</w:t>
      </w:r>
      <w:r>
        <w:rPr>
          <w:spacing w:val="-9"/>
        </w:rPr>
        <w:t> </w:t>
      </w:r>
      <w:r>
        <w:rPr/>
        <w:t>de</w:t>
      </w:r>
      <w:r>
        <w:rPr>
          <w:spacing w:val="-9"/>
        </w:rPr>
        <w:t> </w:t>
      </w:r>
      <w:r>
        <w:rPr/>
        <w:t>2</w:t>
      </w:r>
      <w:r>
        <w:rPr>
          <w:spacing w:val="-6"/>
        </w:rPr>
        <w:t> </w:t>
      </w:r>
      <w:r>
        <w:rPr/>
        <w:t>a</w:t>
      </w:r>
      <w:r>
        <w:rPr>
          <w:spacing w:val="-9"/>
        </w:rPr>
        <w:t> </w:t>
      </w:r>
      <w:r>
        <w:rPr/>
        <w:t>3 </w:t>
      </w:r>
      <w:r>
        <w:rPr>
          <w:spacing w:val="-2"/>
        </w:rPr>
        <w:t>meses.</w:t>
      </w:r>
      <w:r>
        <w:rPr>
          <w:spacing w:val="-2"/>
          <w:vertAlign w:val="superscript"/>
        </w:rPr>
        <w:t>13</w:t>
      </w:r>
    </w:p>
    <w:p>
      <w:pPr>
        <w:pStyle w:val="BodyText"/>
        <w:spacing w:before="126"/>
        <w:ind w:left="0" w:firstLine="0"/>
        <w:jc w:val="left"/>
      </w:pPr>
    </w:p>
    <w:p>
      <w:pPr>
        <w:pStyle w:val="Heading5"/>
      </w:pPr>
      <w:r>
        <w:rPr>
          <w:color w:val="A26108"/>
        </w:rPr>
        <w:t>Alterações</w:t>
      </w:r>
      <w:r>
        <w:rPr>
          <w:color w:val="A26108"/>
          <w:spacing w:val="32"/>
        </w:rPr>
        <w:t> </w:t>
      </w:r>
      <w:r>
        <w:rPr>
          <w:color w:val="A26108"/>
          <w:spacing w:val="-2"/>
        </w:rPr>
        <w:t>microscópicas</w:t>
      </w:r>
    </w:p>
    <w:p>
      <w:pPr>
        <w:pStyle w:val="BodyText"/>
        <w:spacing w:line="278" w:lineRule="auto" w:before="139"/>
        <w:ind w:right="488"/>
      </w:pPr>
      <w:r>
        <w:rPr/>
        <w:t>As</w:t>
      </w:r>
      <w:r>
        <w:rPr>
          <w:spacing w:val="-1"/>
        </w:rPr>
        <w:t> </w:t>
      </w:r>
      <w:r>
        <w:rPr/>
        <w:t>alterações</w:t>
      </w:r>
      <w:r>
        <w:rPr>
          <w:spacing w:val="-1"/>
        </w:rPr>
        <w:t> </w:t>
      </w:r>
      <w:r>
        <w:rPr/>
        <w:t>microscópicas</w:t>
      </w:r>
      <w:r>
        <w:rPr>
          <w:spacing w:val="-1"/>
        </w:rPr>
        <w:t> </w:t>
      </w:r>
      <w:r>
        <w:rPr/>
        <w:t>mais</w:t>
      </w:r>
      <w:r>
        <w:rPr>
          <w:spacing w:val="-1"/>
        </w:rPr>
        <w:t> </w:t>
      </w:r>
      <w:r>
        <w:rPr/>
        <w:t>precoces</w:t>
      </w:r>
      <w:r>
        <w:rPr>
          <w:spacing w:val="-1"/>
        </w:rPr>
        <w:t> </w:t>
      </w:r>
      <w:r>
        <w:rPr/>
        <w:t>vistas</w:t>
      </w:r>
      <w:r>
        <w:rPr>
          <w:spacing w:val="-1"/>
        </w:rPr>
        <w:t> </w:t>
      </w:r>
      <w:r>
        <w:rPr/>
        <w:t>no</w:t>
      </w:r>
      <w:r>
        <w:rPr>
          <w:spacing w:val="-8"/>
        </w:rPr>
        <w:t> </w:t>
      </w:r>
      <w:r>
        <w:rPr/>
        <w:t>músculo</w:t>
      </w:r>
      <w:r>
        <w:rPr>
          <w:spacing w:val="-8"/>
        </w:rPr>
        <w:t> </w:t>
      </w:r>
      <w:r>
        <w:rPr/>
        <w:t>cardíaco</w:t>
      </w:r>
      <w:r>
        <w:rPr>
          <w:spacing w:val="-8"/>
        </w:rPr>
        <w:t> </w:t>
      </w:r>
      <w:r>
        <w:rPr/>
        <w:t>são:</w:t>
      </w:r>
      <w:r>
        <w:rPr>
          <w:spacing w:val="-6"/>
        </w:rPr>
        <w:t> </w:t>
      </w:r>
      <w:r>
        <w:rPr/>
        <w:t>redução</w:t>
      </w:r>
      <w:r>
        <w:rPr>
          <w:spacing w:val="-8"/>
        </w:rPr>
        <w:t> </w:t>
      </w:r>
      <w:r>
        <w:rPr/>
        <w:t>do</w:t>
      </w:r>
      <w:r>
        <w:rPr>
          <w:spacing w:val="-8"/>
        </w:rPr>
        <w:t> </w:t>
      </w:r>
      <w:r>
        <w:rPr/>
        <w:t>tamanho</w:t>
      </w:r>
      <w:r>
        <w:rPr>
          <w:spacing w:val="-8"/>
        </w:rPr>
        <w:t> </w:t>
      </w:r>
      <w:r>
        <w:rPr/>
        <w:t>e</w:t>
      </w:r>
      <w:r>
        <w:rPr>
          <w:spacing w:val="-11"/>
        </w:rPr>
        <w:t> </w:t>
      </w:r>
      <w:r>
        <w:rPr/>
        <w:t>do</w:t>
      </w:r>
      <w:r>
        <w:rPr>
          <w:spacing w:val="-8"/>
        </w:rPr>
        <w:t> </w:t>
      </w:r>
      <w:r>
        <w:rPr/>
        <w:t>número</w:t>
      </w:r>
      <w:r>
        <w:rPr>
          <w:spacing w:val="-8"/>
        </w:rPr>
        <w:t> </w:t>
      </w:r>
      <w:r>
        <w:rPr/>
        <w:t>de grânulos de glicogênio, edema intracelular, edema e distorção do sistema tubular transverso, retículo sarcoplasmático e mitocôndrias.</w:t>
      </w:r>
      <w:r>
        <w:rPr>
          <w:vertAlign w:val="superscript"/>
        </w:rPr>
        <w:t>14</w:t>
      </w:r>
      <w:r>
        <w:rPr>
          <w:vertAlign w:val="baseline"/>
        </w:rPr>
        <w:t> Essas alterações ocorrem nas primeiras 2 a 3 h de ligação de uma artéria coronária. Após 8 h, edema de interstício torna-se evidente, à medida que há infiltração de leucócitos polimorfonucleares neutrofílicos e hemácias; sobrevém, então, necrose do músculo cardíaco. Existem três padrões de necrose no IAM:</w:t>
      </w:r>
    </w:p>
    <w:p>
      <w:pPr>
        <w:pStyle w:val="ListParagraph"/>
        <w:numPr>
          <w:ilvl w:val="0"/>
          <w:numId w:val="17"/>
        </w:numPr>
        <w:tabs>
          <w:tab w:pos="441" w:val="left" w:leader="none"/>
        </w:tabs>
        <w:spacing w:line="283" w:lineRule="auto" w:before="161" w:after="0"/>
        <w:ind w:left="68" w:right="492" w:firstLine="0"/>
        <w:jc w:val="both"/>
        <w:rPr>
          <w:sz w:val="23"/>
        </w:rPr>
      </w:pPr>
      <w:r>
        <w:rPr>
          <w:sz w:val="23"/>
        </w:rPr>
        <w:t>Necrose de coagulação: resulta de isquemia grave e persistente, localizada, em geral, na região central do infarto; tem por consequência a paralisia de células musculares no estado de relaxamento e a distensão passiva de células musculares isquêmicas</w:t>
      </w:r>
      <w:r>
        <w:rPr>
          <w:sz w:val="23"/>
          <w:vertAlign w:val="superscript"/>
        </w:rPr>
        <w:t>15</w:t>
      </w:r>
    </w:p>
    <w:p>
      <w:pPr>
        <w:pStyle w:val="ListParagraph"/>
        <w:numPr>
          <w:ilvl w:val="0"/>
          <w:numId w:val="17"/>
        </w:numPr>
        <w:tabs>
          <w:tab w:pos="403" w:val="left" w:leader="none"/>
        </w:tabs>
        <w:spacing w:line="276" w:lineRule="auto" w:before="25" w:after="0"/>
        <w:ind w:left="68" w:right="489" w:firstLine="0"/>
        <w:jc w:val="both"/>
        <w:rPr>
          <w:sz w:val="23"/>
        </w:rPr>
      </w:pPr>
      <w:r>
        <w:rPr>
          <w:sz w:val="23"/>
        </w:rPr>
        <w:t>Necrose</w:t>
      </w:r>
      <w:r>
        <w:rPr>
          <w:spacing w:val="-1"/>
          <w:sz w:val="23"/>
        </w:rPr>
        <w:t> </w:t>
      </w:r>
      <w:r>
        <w:rPr>
          <w:sz w:val="23"/>
        </w:rPr>
        <w:t>com bandas de</w:t>
      </w:r>
      <w:r>
        <w:rPr>
          <w:spacing w:val="-1"/>
          <w:sz w:val="23"/>
        </w:rPr>
        <w:t> </w:t>
      </w:r>
      <w:r>
        <w:rPr>
          <w:sz w:val="23"/>
        </w:rPr>
        <w:t>contração: é</w:t>
      </w:r>
      <w:r>
        <w:rPr>
          <w:spacing w:val="-1"/>
          <w:sz w:val="23"/>
        </w:rPr>
        <w:t> </w:t>
      </w:r>
      <w:r>
        <w:rPr>
          <w:sz w:val="23"/>
        </w:rPr>
        <w:t>vista</w:t>
      </w:r>
      <w:r>
        <w:rPr>
          <w:spacing w:val="-1"/>
          <w:sz w:val="23"/>
        </w:rPr>
        <w:t> </w:t>
      </w:r>
      <w:r>
        <w:rPr>
          <w:sz w:val="23"/>
        </w:rPr>
        <w:t>na</w:t>
      </w:r>
      <w:r>
        <w:rPr>
          <w:spacing w:val="-1"/>
          <w:sz w:val="23"/>
        </w:rPr>
        <w:t> </w:t>
      </w:r>
      <w:r>
        <w:rPr>
          <w:sz w:val="23"/>
        </w:rPr>
        <w:t>periferia</w:t>
      </w:r>
      <w:r>
        <w:rPr>
          <w:spacing w:val="-1"/>
          <w:sz w:val="23"/>
        </w:rPr>
        <w:t> </w:t>
      </w:r>
      <w:r>
        <w:rPr>
          <w:sz w:val="23"/>
        </w:rPr>
        <w:t>de</w:t>
      </w:r>
      <w:r>
        <w:rPr>
          <w:spacing w:val="-1"/>
          <w:sz w:val="23"/>
        </w:rPr>
        <w:t> </w:t>
      </w:r>
      <w:r>
        <w:rPr>
          <w:sz w:val="23"/>
        </w:rPr>
        <w:t>infartos extensos e</w:t>
      </w:r>
      <w:r>
        <w:rPr>
          <w:spacing w:val="-1"/>
          <w:sz w:val="23"/>
        </w:rPr>
        <w:t> </w:t>
      </w:r>
      <w:r>
        <w:rPr>
          <w:sz w:val="23"/>
        </w:rPr>
        <w:t>resulta</w:t>
      </w:r>
      <w:r>
        <w:rPr>
          <w:spacing w:val="-1"/>
          <w:sz w:val="23"/>
        </w:rPr>
        <w:t> </w:t>
      </w:r>
      <w:r>
        <w:rPr>
          <w:sz w:val="23"/>
        </w:rPr>
        <w:t>de</w:t>
      </w:r>
      <w:r>
        <w:rPr>
          <w:spacing w:val="-1"/>
          <w:sz w:val="23"/>
        </w:rPr>
        <w:t> </w:t>
      </w:r>
      <w:r>
        <w:rPr>
          <w:sz w:val="23"/>
        </w:rPr>
        <w:t>isquemia</w:t>
      </w:r>
      <w:r>
        <w:rPr>
          <w:spacing w:val="-1"/>
          <w:sz w:val="23"/>
        </w:rPr>
        <w:t> </w:t>
      </w:r>
      <w:r>
        <w:rPr>
          <w:sz w:val="23"/>
        </w:rPr>
        <w:t>grave, seguida de refluxo. É também chamada de miocitólise coagulativa</w:t>
      </w:r>
    </w:p>
    <w:p>
      <w:pPr>
        <w:pStyle w:val="ListParagraph"/>
        <w:numPr>
          <w:ilvl w:val="0"/>
          <w:numId w:val="17"/>
        </w:numPr>
        <w:tabs>
          <w:tab w:pos="403" w:val="left" w:leader="none"/>
        </w:tabs>
        <w:spacing w:line="276" w:lineRule="auto" w:before="16" w:after="0"/>
        <w:ind w:left="68" w:right="489" w:firstLine="0"/>
        <w:jc w:val="both"/>
        <w:rPr>
          <w:sz w:val="23"/>
        </w:rPr>
      </w:pPr>
      <w:r>
        <w:rPr>
          <w:sz w:val="23"/>
        </w:rPr>
        <w:t>Miocitólise: geralmente, isquemia</w:t>
      </w:r>
      <w:r>
        <w:rPr>
          <w:spacing w:val="-5"/>
          <w:sz w:val="23"/>
        </w:rPr>
        <w:t> </w:t>
      </w:r>
      <w:r>
        <w:rPr>
          <w:sz w:val="23"/>
        </w:rPr>
        <w:t>sem</w:t>
      </w:r>
      <w:r>
        <w:rPr>
          <w:spacing w:val="-3"/>
          <w:sz w:val="23"/>
        </w:rPr>
        <w:t> </w:t>
      </w:r>
      <w:r>
        <w:rPr>
          <w:sz w:val="23"/>
        </w:rPr>
        <w:t>necrose</w:t>
      </w:r>
      <w:r>
        <w:rPr>
          <w:spacing w:val="-5"/>
          <w:sz w:val="23"/>
        </w:rPr>
        <w:t> </w:t>
      </w:r>
      <w:r>
        <w:rPr>
          <w:sz w:val="23"/>
        </w:rPr>
        <w:t>não</w:t>
      </w:r>
      <w:r>
        <w:rPr>
          <w:spacing w:val="-3"/>
          <w:sz w:val="23"/>
        </w:rPr>
        <w:t> </w:t>
      </w:r>
      <w:r>
        <w:rPr>
          <w:sz w:val="23"/>
        </w:rPr>
        <w:t>provoca</w:t>
      </w:r>
      <w:r>
        <w:rPr>
          <w:spacing w:val="-5"/>
          <w:sz w:val="23"/>
        </w:rPr>
        <w:t> </w:t>
      </w:r>
      <w:r>
        <w:rPr>
          <w:sz w:val="23"/>
        </w:rPr>
        <w:t>alterações agudas que</w:t>
      </w:r>
      <w:r>
        <w:rPr>
          <w:spacing w:val="-5"/>
          <w:sz w:val="23"/>
        </w:rPr>
        <w:t> </w:t>
      </w:r>
      <w:r>
        <w:rPr>
          <w:sz w:val="23"/>
        </w:rPr>
        <w:t>sejam</w:t>
      </w:r>
      <w:r>
        <w:rPr>
          <w:spacing w:val="-3"/>
          <w:sz w:val="23"/>
        </w:rPr>
        <w:t> </w:t>
      </w:r>
      <w:r>
        <w:rPr>
          <w:sz w:val="23"/>
        </w:rPr>
        <w:t>visíveis à</w:t>
      </w:r>
      <w:r>
        <w:rPr>
          <w:spacing w:val="-5"/>
          <w:sz w:val="23"/>
        </w:rPr>
        <w:t> </w:t>
      </w:r>
      <w:r>
        <w:rPr>
          <w:sz w:val="23"/>
        </w:rPr>
        <w:t>microscopia óptica. No entanto, isquemia grave e prolongada pode causar vacuolização do miócito, chamada, geralmente, de </w:t>
      </w:r>
      <w:r>
        <w:rPr>
          <w:spacing w:val="-2"/>
          <w:sz w:val="23"/>
        </w:rPr>
        <w:t>miocitólise.</w:t>
      </w:r>
    </w:p>
    <w:p>
      <w:pPr>
        <w:pStyle w:val="BodyText"/>
        <w:spacing w:before="185"/>
        <w:ind w:left="0" w:firstLine="0"/>
        <w:jc w:val="left"/>
      </w:pPr>
    </w:p>
    <w:p>
      <w:pPr>
        <w:pStyle w:val="Heading4"/>
        <w:spacing w:before="1"/>
      </w:pPr>
      <w:r>
        <w:rPr>
          <w:color w:val="242B67"/>
        </w:rPr>
        <w:t>Quadro </w:t>
      </w:r>
      <w:r>
        <w:rPr>
          <w:color w:val="242B67"/>
          <w:spacing w:val="-2"/>
        </w:rPr>
        <w:t>clínico</w:t>
      </w:r>
    </w:p>
    <w:p>
      <w:pPr>
        <w:pStyle w:val="Heading5"/>
        <w:spacing w:before="193"/>
      </w:pPr>
      <w:r>
        <w:rPr>
          <w:color w:val="A26108"/>
          <w:spacing w:val="-2"/>
        </w:rPr>
        <w:t>História</w:t>
      </w:r>
    </w:p>
    <w:p>
      <w:pPr>
        <w:pStyle w:val="BodyText"/>
        <w:spacing w:line="276" w:lineRule="auto" w:before="122"/>
        <w:ind w:right="488"/>
      </w:pPr>
      <w:r>
        <w:rPr/>
        <w:t>A</w:t>
      </w:r>
      <w:r>
        <w:rPr>
          <w:spacing w:val="-11"/>
        </w:rPr>
        <w:t> </w:t>
      </w:r>
      <w:r>
        <w:rPr/>
        <w:t>despeito</w:t>
      </w:r>
      <w:r>
        <w:rPr>
          <w:spacing w:val="-9"/>
        </w:rPr>
        <w:t> </w:t>
      </w:r>
      <w:r>
        <w:rPr/>
        <w:t>dos</w:t>
      </w:r>
      <w:r>
        <w:rPr>
          <w:spacing w:val="-2"/>
        </w:rPr>
        <w:t> </w:t>
      </w:r>
      <w:r>
        <w:rPr/>
        <w:t>recentes</w:t>
      </w:r>
      <w:r>
        <w:rPr>
          <w:spacing w:val="-2"/>
        </w:rPr>
        <w:t> </w:t>
      </w:r>
      <w:r>
        <w:rPr/>
        <w:t>avanços</w:t>
      </w:r>
      <w:r>
        <w:rPr>
          <w:spacing w:val="-2"/>
        </w:rPr>
        <w:t> </w:t>
      </w:r>
      <w:r>
        <w:rPr/>
        <w:t>na</w:t>
      </w:r>
      <w:r>
        <w:rPr>
          <w:spacing w:val="-11"/>
        </w:rPr>
        <w:t> </w:t>
      </w:r>
      <w:r>
        <w:rPr/>
        <w:t>detecção</w:t>
      </w:r>
      <w:r>
        <w:rPr>
          <w:spacing w:val="-9"/>
        </w:rPr>
        <w:t> </w:t>
      </w:r>
      <w:r>
        <w:rPr/>
        <w:t>laboratorial</w:t>
      </w:r>
      <w:r>
        <w:rPr>
          <w:spacing w:val="-7"/>
        </w:rPr>
        <w:t> </w:t>
      </w:r>
      <w:r>
        <w:rPr/>
        <w:t>de</w:t>
      </w:r>
      <w:r>
        <w:rPr>
          <w:spacing w:val="-11"/>
        </w:rPr>
        <w:t> </w:t>
      </w:r>
      <w:r>
        <w:rPr/>
        <w:t>SCA,</w:t>
      </w:r>
      <w:r>
        <w:rPr>
          <w:spacing w:val="-2"/>
        </w:rPr>
        <w:t> </w:t>
      </w:r>
      <w:r>
        <w:rPr/>
        <w:t>a</w:t>
      </w:r>
      <w:r>
        <w:rPr>
          <w:spacing w:val="-11"/>
        </w:rPr>
        <w:t> </w:t>
      </w:r>
      <w:r>
        <w:rPr/>
        <w:t>história</w:t>
      </w:r>
      <w:r>
        <w:rPr>
          <w:spacing w:val="-11"/>
        </w:rPr>
        <w:t> </w:t>
      </w:r>
      <w:r>
        <w:rPr/>
        <w:t>permanece</w:t>
      </w:r>
      <w:r>
        <w:rPr>
          <w:spacing w:val="-11"/>
        </w:rPr>
        <w:t> </w:t>
      </w:r>
      <w:r>
        <w:rPr/>
        <w:t>de</w:t>
      </w:r>
      <w:r>
        <w:rPr>
          <w:spacing w:val="-11"/>
        </w:rPr>
        <w:t> </w:t>
      </w:r>
      <w:r>
        <w:rPr/>
        <w:t>valor</w:t>
      </w:r>
      <w:r>
        <w:rPr>
          <w:spacing w:val="-4"/>
        </w:rPr>
        <w:t> </w:t>
      </w:r>
      <w:r>
        <w:rPr/>
        <w:t>substancial</w:t>
      </w:r>
      <w:r>
        <w:rPr>
          <w:spacing w:val="-7"/>
        </w:rPr>
        <w:t> </w:t>
      </w:r>
      <w:r>
        <w:rPr/>
        <w:t>para se estabelecer um diagnóstico. O quadro pode ser precedido de pródromos com um </w:t>
      </w:r>
      <w:r>
        <w:rPr>
          <w:i/>
        </w:rPr>
        <w:t>desconforto precordial </w:t>
      </w:r>
      <w:r>
        <w:rPr/>
        <w:t>inespecífico, porém o que caracteriza clinicamente a SCA é a dor. A dor é variável em intensidade; na maioria dos pacientes é intensa e algumas vezes intolerável. A dor é prolongada, com duração, em geral, de mais de 20 min, frequentemente estendendo-se por diversas horas. O desconforto é descrito como aperto, esmagamento, sufocamento ou compressão; geralmente, o paciente se queixa da sensação de forte peso ou aperto no peito. Habitualmente, a dor é retroesternal, e com frequência irradia-se para ambos os lados do tórax anterior, com predileção pelo lado esquerdo. Em alguns casos, a dor da SCA pode se iniciar no epigástrio e simular uma variedade de distúrbios abdominais, um fato que habitualmente confunde a SCA com indigestão. Em outros pacientes, o desconforto da SCA se irradia para os ombros, extremidades superiores, pescoço, maxilares e região interescapular, predominando, novamente, no lado esquerdo.</w:t>
      </w:r>
    </w:p>
    <w:p>
      <w:pPr>
        <w:pStyle w:val="BodyText"/>
        <w:spacing w:line="276" w:lineRule="auto" w:before="66"/>
        <w:ind w:right="491"/>
      </w:pPr>
      <w:r>
        <w:rPr/>
        <w:t>Em alguns pacientes, principalmente</w:t>
      </w:r>
      <w:r>
        <w:rPr>
          <w:spacing w:val="-3"/>
        </w:rPr>
        <w:t> </w:t>
      </w:r>
      <w:r>
        <w:rPr/>
        <w:t>idosos, mulheres e</w:t>
      </w:r>
      <w:r>
        <w:rPr>
          <w:spacing w:val="-3"/>
        </w:rPr>
        <w:t> </w:t>
      </w:r>
      <w:r>
        <w:rPr/>
        <w:t>diabéticos, a</w:t>
      </w:r>
      <w:r>
        <w:rPr>
          <w:spacing w:val="-3"/>
        </w:rPr>
        <w:t> </w:t>
      </w:r>
      <w:r>
        <w:rPr/>
        <w:t>manifestação pode</w:t>
      </w:r>
      <w:r>
        <w:rPr>
          <w:spacing w:val="-3"/>
        </w:rPr>
        <w:t> </w:t>
      </w:r>
      <w:r>
        <w:rPr/>
        <w:t>ser menos típica, com características não usuais da dor ou mesmo sem dor, apenas com manifestações como dispneia, fraqueza, síncope, náuseas, vômitos e/ou sudorese. Quando a dor é epigástrica e está associada a náuseas e vômitos, o quadro clínico pode facilmente ser confundido com colecistite, gastrite ou úlcera péptica agudas. A dor torácica pode ser classificada em quatro tipos (</w:t>
      </w:r>
      <w:r>
        <w:rPr>
          <w:color w:val="505050"/>
        </w:rPr>
        <w:t>Tabela 55.3</w:t>
      </w:r>
      <w:r>
        <w:rPr/>
        <w:t>), conforme suas características, visando otimizar a investigação diagnóstica e o tratamento dos pacientes que chegam à emergência.</w:t>
      </w:r>
    </w:p>
    <w:p>
      <w:pPr>
        <w:pStyle w:val="BodyText"/>
        <w:spacing w:after="0" w:line="276" w:lineRule="auto"/>
        <w:sectPr>
          <w:pgSz w:w="11900" w:h="16840"/>
          <w:pgMar w:top="200" w:bottom="280" w:left="566" w:right="141"/>
        </w:sectPr>
      </w:pPr>
    </w:p>
    <w:p>
      <w:pPr>
        <w:pStyle w:val="BodyText"/>
        <w:spacing w:line="276" w:lineRule="auto"/>
        <w:ind w:right="497"/>
      </w:pPr>
      <w:r>
        <w:rPr/>
        <w:t>A dissecção aguda da aorta é um diagnóstico diferencial importante, que pode ter manifestação idêntica. A dor da</w:t>
      </w:r>
      <w:r>
        <w:rPr>
          <w:spacing w:val="-11"/>
        </w:rPr>
        <w:t> </w:t>
      </w:r>
      <w:r>
        <w:rPr/>
        <w:t>dissecção,</w:t>
      </w:r>
      <w:r>
        <w:rPr>
          <w:spacing w:val="-1"/>
        </w:rPr>
        <w:t> </w:t>
      </w:r>
      <w:r>
        <w:rPr/>
        <w:t>no</w:t>
      </w:r>
      <w:r>
        <w:rPr>
          <w:spacing w:val="-8"/>
        </w:rPr>
        <w:t> </w:t>
      </w:r>
      <w:r>
        <w:rPr/>
        <w:t>entanto,</w:t>
      </w:r>
      <w:r>
        <w:rPr>
          <w:spacing w:val="-1"/>
        </w:rPr>
        <w:t> </w:t>
      </w:r>
      <w:r>
        <w:rPr/>
        <w:t>costuma</w:t>
      </w:r>
      <w:r>
        <w:rPr>
          <w:spacing w:val="-11"/>
        </w:rPr>
        <w:t> </w:t>
      </w:r>
      <w:r>
        <w:rPr/>
        <w:t>ser</w:t>
      </w:r>
      <w:r>
        <w:rPr>
          <w:spacing w:val="-3"/>
        </w:rPr>
        <w:t> </w:t>
      </w:r>
      <w:r>
        <w:rPr/>
        <w:t>lancinante,</w:t>
      </w:r>
      <w:r>
        <w:rPr>
          <w:spacing w:val="-1"/>
        </w:rPr>
        <w:t> </w:t>
      </w:r>
      <w:r>
        <w:rPr/>
        <w:t>muitas</w:t>
      </w:r>
      <w:r>
        <w:rPr>
          <w:spacing w:val="-1"/>
        </w:rPr>
        <w:t> </w:t>
      </w:r>
      <w:r>
        <w:rPr/>
        <w:t>vezes</w:t>
      </w:r>
      <w:r>
        <w:rPr>
          <w:spacing w:val="-1"/>
        </w:rPr>
        <w:t> </w:t>
      </w:r>
      <w:r>
        <w:rPr/>
        <w:t>com</w:t>
      </w:r>
      <w:r>
        <w:rPr>
          <w:spacing w:val="-8"/>
        </w:rPr>
        <w:t> </w:t>
      </w:r>
      <w:r>
        <w:rPr/>
        <w:t>irradiação</w:t>
      </w:r>
      <w:r>
        <w:rPr>
          <w:spacing w:val="-8"/>
        </w:rPr>
        <w:t> </w:t>
      </w:r>
      <w:r>
        <w:rPr/>
        <w:t>para</w:t>
      </w:r>
      <w:r>
        <w:rPr>
          <w:spacing w:val="-11"/>
        </w:rPr>
        <w:t> </w:t>
      </w:r>
      <w:r>
        <w:rPr/>
        <w:t>as</w:t>
      </w:r>
      <w:r>
        <w:rPr>
          <w:spacing w:val="-1"/>
        </w:rPr>
        <w:t> </w:t>
      </w:r>
      <w:r>
        <w:rPr/>
        <w:t>costas.</w:t>
      </w:r>
      <w:r>
        <w:rPr>
          <w:spacing w:val="-1"/>
        </w:rPr>
        <w:t> </w:t>
      </w:r>
      <w:r>
        <w:rPr/>
        <w:t>A</w:t>
      </w:r>
      <w:r>
        <w:rPr>
          <w:spacing w:val="-11"/>
        </w:rPr>
        <w:t> </w:t>
      </w:r>
      <w:r>
        <w:rPr/>
        <w:t>dor</w:t>
      </w:r>
      <w:r>
        <w:rPr>
          <w:spacing w:val="-3"/>
        </w:rPr>
        <w:t> </w:t>
      </w:r>
      <w:r>
        <w:rPr/>
        <w:t>das</w:t>
      </w:r>
      <w:r>
        <w:rPr>
          <w:spacing w:val="-1"/>
        </w:rPr>
        <w:t> </w:t>
      </w:r>
      <w:r>
        <w:rPr/>
        <w:t>articulações costocondrais (síndrome de Teitz) é localizada, em pontada, e piora com a digitopressão no local. A dor da pericardite aguda geralmente é inespecífica, com piora ao deitar e melhora ao sentar. No tromboembolismo pulmonar (TEP), há frequentemente descrição de dor torácica e dispneia, sendo um importante diagnóstico diferencial a ser afastado.</w:t>
      </w:r>
    </w:p>
    <w:p>
      <w:pPr>
        <w:pStyle w:val="BodyText"/>
        <w:spacing w:before="88"/>
        <w:ind w:left="0" w:firstLine="0"/>
        <w:jc w:val="left"/>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8"/>
        </w:rPr>
        <w:t> </w:t>
      </w:r>
      <w:r>
        <w:rPr>
          <w:rFonts w:ascii="Arial" w:hAnsi="Arial"/>
          <w:b/>
          <w:color w:val="242B67"/>
        </w:rPr>
        <w:t>55.3</w:t>
      </w:r>
      <w:r>
        <w:rPr>
          <w:rFonts w:ascii="Arial" w:hAnsi="Arial"/>
          <w:b/>
          <w:color w:val="242B67"/>
          <w:spacing w:val="-9"/>
        </w:rPr>
        <w:t> </w:t>
      </w:r>
      <w:r>
        <w:rPr>
          <w:rFonts w:ascii="Microsoft Sans Serif" w:hAnsi="Microsoft Sans Serif"/>
        </w:rPr>
        <w:t>Classificação</w:t>
      </w:r>
      <w:r>
        <w:rPr>
          <w:rFonts w:ascii="Microsoft Sans Serif" w:hAnsi="Microsoft Sans Serif"/>
          <w:spacing w:val="-5"/>
        </w:rPr>
        <w:t> </w:t>
      </w:r>
      <w:r>
        <w:rPr>
          <w:rFonts w:ascii="Microsoft Sans Serif" w:hAnsi="Microsoft Sans Serif"/>
        </w:rPr>
        <w:t>e</w:t>
      </w:r>
      <w:r>
        <w:rPr>
          <w:rFonts w:ascii="Microsoft Sans Serif" w:hAnsi="Microsoft Sans Serif"/>
          <w:spacing w:val="-5"/>
        </w:rPr>
        <w:t> </w:t>
      </w:r>
      <w:r>
        <w:rPr>
          <w:rFonts w:ascii="Microsoft Sans Serif" w:hAnsi="Microsoft Sans Serif"/>
        </w:rPr>
        <w:t>respectivas</w:t>
      </w:r>
      <w:r>
        <w:rPr>
          <w:rFonts w:ascii="Microsoft Sans Serif" w:hAnsi="Microsoft Sans Serif"/>
          <w:spacing w:val="-9"/>
        </w:rPr>
        <w:t> </w:t>
      </w:r>
      <w:r>
        <w:rPr>
          <w:rFonts w:ascii="Microsoft Sans Serif" w:hAnsi="Microsoft Sans Serif"/>
        </w:rPr>
        <w:t>definições</w:t>
      </w:r>
      <w:r>
        <w:rPr>
          <w:rFonts w:ascii="Microsoft Sans Serif" w:hAnsi="Microsoft Sans Serif"/>
          <w:spacing w:val="-8"/>
        </w:rPr>
        <w:t> </w:t>
      </w:r>
      <w:r>
        <w:rPr>
          <w:rFonts w:ascii="Microsoft Sans Serif" w:hAnsi="Microsoft Sans Serif"/>
        </w:rPr>
        <w:t>dos</w:t>
      </w:r>
      <w:r>
        <w:rPr>
          <w:rFonts w:ascii="Microsoft Sans Serif" w:hAnsi="Microsoft Sans Serif"/>
          <w:spacing w:val="-8"/>
        </w:rPr>
        <w:t> </w:t>
      </w:r>
      <w:r>
        <w:rPr>
          <w:rFonts w:ascii="Microsoft Sans Serif" w:hAnsi="Microsoft Sans Serif"/>
        </w:rPr>
        <w:t>diversos</w:t>
      </w:r>
      <w:r>
        <w:rPr>
          <w:rFonts w:ascii="Microsoft Sans Serif" w:hAnsi="Microsoft Sans Serif"/>
          <w:spacing w:val="-8"/>
        </w:rPr>
        <w:t> </w:t>
      </w:r>
      <w:r>
        <w:rPr>
          <w:rFonts w:ascii="Microsoft Sans Serif" w:hAnsi="Microsoft Sans Serif"/>
        </w:rPr>
        <w:t>tipos</w:t>
      </w:r>
      <w:r>
        <w:rPr>
          <w:rFonts w:ascii="Microsoft Sans Serif" w:hAnsi="Microsoft Sans Serif"/>
          <w:spacing w:val="-8"/>
        </w:rPr>
        <w:t> </w:t>
      </w:r>
      <w:r>
        <w:rPr>
          <w:rFonts w:ascii="Microsoft Sans Serif" w:hAnsi="Microsoft Sans Serif"/>
        </w:rPr>
        <w:t>de</w:t>
      </w:r>
      <w:r>
        <w:rPr>
          <w:rFonts w:ascii="Microsoft Sans Serif" w:hAnsi="Microsoft Sans Serif"/>
          <w:spacing w:val="-6"/>
        </w:rPr>
        <w:t> </w:t>
      </w:r>
      <w:r>
        <w:rPr>
          <w:rFonts w:ascii="Microsoft Sans Serif" w:hAnsi="Microsoft Sans Serif"/>
        </w:rPr>
        <w:t>dor</w:t>
      </w:r>
      <w:r>
        <w:rPr>
          <w:rFonts w:ascii="Microsoft Sans Serif" w:hAnsi="Microsoft Sans Serif"/>
          <w:spacing w:val="-1"/>
        </w:rPr>
        <w:t> </w:t>
      </w:r>
      <w:r>
        <w:rPr>
          <w:rFonts w:ascii="Microsoft Sans Serif" w:hAnsi="Microsoft Sans Serif"/>
          <w:spacing w:val="-2"/>
        </w:rPr>
        <w:t>torácica.</w:t>
      </w:r>
    </w:p>
    <w:p>
      <w:pPr>
        <w:pStyle w:val="BodyText"/>
        <w:spacing w:before="1"/>
        <w:ind w:left="0" w:firstLine="0"/>
        <w:jc w:val="left"/>
        <w:rPr>
          <w:rFonts w:ascii="Microsoft Sans Serif"/>
          <w:sz w:val="14"/>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309"/>
        <w:gridCol w:w="5309"/>
      </w:tblGrid>
      <w:tr>
        <w:trPr>
          <w:trHeight w:val="430" w:hRule="atLeast"/>
        </w:trPr>
        <w:tc>
          <w:tcPr>
            <w:tcW w:w="5309"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w w:val="105"/>
                <w:sz w:val="21"/>
              </w:rPr>
              <w:t>Tipo</w:t>
            </w:r>
            <w:r>
              <w:rPr>
                <w:rFonts w:ascii="Arial" w:hAnsi="Arial"/>
                <w:b/>
                <w:color w:val="FFFFFF"/>
                <w:spacing w:val="-16"/>
                <w:w w:val="105"/>
                <w:sz w:val="21"/>
              </w:rPr>
              <w:t> </w:t>
            </w:r>
            <w:r>
              <w:rPr>
                <w:rFonts w:ascii="Arial" w:hAnsi="Arial"/>
                <w:b/>
                <w:color w:val="FFFFFF"/>
                <w:w w:val="105"/>
                <w:sz w:val="21"/>
              </w:rPr>
              <w:t>de</w:t>
            </w:r>
            <w:r>
              <w:rPr>
                <w:rFonts w:ascii="Arial" w:hAnsi="Arial"/>
                <w:b/>
                <w:color w:val="FFFFFF"/>
                <w:spacing w:val="-7"/>
                <w:w w:val="105"/>
                <w:sz w:val="21"/>
              </w:rPr>
              <w:t> </w:t>
            </w:r>
            <w:r>
              <w:rPr>
                <w:rFonts w:ascii="Arial" w:hAnsi="Arial"/>
                <w:b/>
                <w:color w:val="FFFFFF"/>
                <w:w w:val="105"/>
                <w:sz w:val="21"/>
              </w:rPr>
              <w:t>dor</w:t>
            </w:r>
            <w:r>
              <w:rPr>
                <w:rFonts w:ascii="Arial" w:hAnsi="Arial"/>
                <w:b/>
                <w:color w:val="FFFFFF"/>
                <w:spacing w:val="-16"/>
                <w:w w:val="105"/>
                <w:sz w:val="21"/>
              </w:rPr>
              <w:t> </w:t>
            </w:r>
            <w:r>
              <w:rPr>
                <w:rFonts w:ascii="Arial" w:hAnsi="Arial"/>
                <w:b/>
                <w:color w:val="FFFFFF"/>
                <w:spacing w:val="-2"/>
                <w:w w:val="105"/>
                <w:sz w:val="21"/>
              </w:rPr>
              <w:t>torácica</w:t>
            </w:r>
          </w:p>
        </w:tc>
        <w:tc>
          <w:tcPr>
            <w:tcW w:w="5309" w:type="dxa"/>
            <w:tcBorders>
              <w:top w:val="nil"/>
              <w:right w:val="nil"/>
            </w:tcBorders>
            <w:shd w:val="clear" w:color="auto" w:fill="242B67"/>
          </w:tcPr>
          <w:p>
            <w:pPr>
              <w:pStyle w:val="TableParagraph"/>
              <w:spacing w:before="91"/>
              <w:ind w:left="66"/>
              <w:rPr>
                <w:rFonts w:ascii="Arial" w:hAnsi="Arial"/>
                <w:b/>
                <w:sz w:val="21"/>
              </w:rPr>
            </w:pPr>
            <w:r>
              <w:rPr>
                <w:rFonts w:ascii="Arial" w:hAnsi="Arial"/>
                <w:b/>
                <w:color w:val="FFFFFF"/>
                <w:spacing w:val="-2"/>
                <w:w w:val="105"/>
                <w:sz w:val="21"/>
              </w:rPr>
              <w:t>Definição</w:t>
            </w:r>
          </w:p>
        </w:tc>
      </w:tr>
      <w:tr>
        <w:trPr>
          <w:trHeight w:val="732" w:hRule="atLeast"/>
        </w:trPr>
        <w:tc>
          <w:tcPr>
            <w:tcW w:w="5309" w:type="dxa"/>
            <w:tcBorders>
              <w:left w:val="nil"/>
            </w:tcBorders>
            <w:shd w:val="clear" w:color="auto" w:fill="EDECF3"/>
          </w:tcPr>
          <w:p>
            <w:pPr>
              <w:pStyle w:val="TableParagraph"/>
              <w:ind w:left="67"/>
              <w:rPr>
                <w:sz w:val="21"/>
              </w:rPr>
            </w:pPr>
            <w:r>
              <w:rPr>
                <w:w w:val="105"/>
                <w:sz w:val="21"/>
              </w:rPr>
              <w:t>Dor</w:t>
            </w:r>
            <w:r>
              <w:rPr>
                <w:spacing w:val="17"/>
                <w:w w:val="105"/>
                <w:sz w:val="21"/>
              </w:rPr>
              <w:t> </w:t>
            </w:r>
            <w:r>
              <w:rPr>
                <w:w w:val="105"/>
                <w:sz w:val="21"/>
              </w:rPr>
              <w:t>tipo</w:t>
            </w:r>
            <w:r>
              <w:rPr>
                <w:spacing w:val="17"/>
                <w:w w:val="105"/>
                <w:sz w:val="21"/>
              </w:rPr>
              <w:t> </w:t>
            </w:r>
            <w:r>
              <w:rPr>
                <w:w w:val="105"/>
                <w:sz w:val="21"/>
              </w:rPr>
              <w:t>A</w:t>
            </w:r>
            <w:r>
              <w:rPr>
                <w:spacing w:val="9"/>
                <w:w w:val="105"/>
                <w:sz w:val="21"/>
              </w:rPr>
              <w:t> </w:t>
            </w:r>
            <w:r>
              <w:rPr>
                <w:w w:val="105"/>
                <w:sz w:val="21"/>
              </w:rPr>
              <w:t>(definitivamente</w:t>
            </w:r>
            <w:r>
              <w:rPr>
                <w:spacing w:val="17"/>
                <w:w w:val="105"/>
                <w:sz w:val="21"/>
              </w:rPr>
              <w:t> </w:t>
            </w:r>
            <w:r>
              <w:rPr>
                <w:spacing w:val="-2"/>
                <w:w w:val="105"/>
                <w:sz w:val="21"/>
              </w:rPr>
              <w:t>anginosa)</w:t>
            </w:r>
          </w:p>
        </w:tc>
        <w:tc>
          <w:tcPr>
            <w:tcW w:w="5309" w:type="dxa"/>
            <w:tcBorders>
              <w:right w:val="nil"/>
            </w:tcBorders>
            <w:shd w:val="clear" w:color="auto" w:fill="EDECF3"/>
          </w:tcPr>
          <w:p>
            <w:pPr>
              <w:pStyle w:val="TableParagraph"/>
              <w:spacing w:line="307" w:lineRule="auto"/>
              <w:ind w:left="66" w:right="284"/>
              <w:rPr>
                <w:sz w:val="21"/>
              </w:rPr>
            </w:pPr>
            <w:r>
              <w:rPr>
                <w:w w:val="105"/>
                <w:sz w:val="21"/>
              </w:rPr>
              <w:t>Dor torácica característica de SCA, independente dos exames complementares</w:t>
            </w:r>
          </w:p>
        </w:tc>
      </w:tr>
      <w:tr>
        <w:trPr>
          <w:trHeight w:val="1037" w:hRule="atLeast"/>
        </w:trPr>
        <w:tc>
          <w:tcPr>
            <w:tcW w:w="5309" w:type="dxa"/>
            <w:tcBorders>
              <w:left w:val="nil"/>
            </w:tcBorders>
            <w:shd w:val="clear" w:color="auto" w:fill="EDECF3"/>
          </w:tcPr>
          <w:p>
            <w:pPr>
              <w:pStyle w:val="TableParagraph"/>
              <w:ind w:left="67"/>
              <w:rPr>
                <w:sz w:val="21"/>
              </w:rPr>
            </w:pPr>
            <w:r>
              <w:rPr>
                <w:w w:val="105"/>
                <w:sz w:val="21"/>
              </w:rPr>
              <w:t>Dor</w:t>
            </w:r>
            <w:r>
              <w:rPr>
                <w:spacing w:val="19"/>
                <w:w w:val="105"/>
                <w:sz w:val="21"/>
              </w:rPr>
              <w:t> </w:t>
            </w:r>
            <w:r>
              <w:rPr>
                <w:w w:val="105"/>
                <w:sz w:val="21"/>
              </w:rPr>
              <w:t>tipo</w:t>
            </w:r>
            <w:r>
              <w:rPr>
                <w:spacing w:val="20"/>
                <w:w w:val="105"/>
                <w:sz w:val="21"/>
              </w:rPr>
              <w:t> </w:t>
            </w:r>
            <w:r>
              <w:rPr>
                <w:w w:val="105"/>
                <w:sz w:val="21"/>
              </w:rPr>
              <w:t>B</w:t>
            </w:r>
            <w:r>
              <w:rPr>
                <w:spacing w:val="10"/>
                <w:w w:val="105"/>
                <w:sz w:val="21"/>
              </w:rPr>
              <w:t> </w:t>
            </w:r>
            <w:r>
              <w:rPr>
                <w:w w:val="105"/>
                <w:sz w:val="21"/>
              </w:rPr>
              <w:t>(provavelmente</w:t>
            </w:r>
            <w:r>
              <w:rPr>
                <w:spacing w:val="20"/>
                <w:w w:val="105"/>
                <w:sz w:val="21"/>
              </w:rPr>
              <w:t> </w:t>
            </w:r>
            <w:r>
              <w:rPr>
                <w:spacing w:val="-2"/>
                <w:w w:val="105"/>
                <w:sz w:val="21"/>
              </w:rPr>
              <w:t>anginosa)</w:t>
            </w:r>
          </w:p>
        </w:tc>
        <w:tc>
          <w:tcPr>
            <w:tcW w:w="5309" w:type="dxa"/>
            <w:tcBorders>
              <w:right w:val="nil"/>
            </w:tcBorders>
            <w:shd w:val="clear" w:color="auto" w:fill="EDECF3"/>
          </w:tcPr>
          <w:p>
            <w:pPr>
              <w:pStyle w:val="TableParagraph"/>
              <w:spacing w:line="307" w:lineRule="auto"/>
              <w:ind w:left="66"/>
              <w:rPr>
                <w:sz w:val="21"/>
              </w:rPr>
            </w:pPr>
            <w:r>
              <w:rPr>
                <w:w w:val="105"/>
                <w:sz w:val="21"/>
              </w:rPr>
              <w:t>Dor torácica que faz da SCA a principal hipótese diagnóstica, mas que necessita de exames complementares para sua confirmação</w:t>
            </w:r>
          </w:p>
        </w:tc>
      </w:tr>
      <w:tr>
        <w:trPr>
          <w:trHeight w:val="1037" w:hRule="atLeast"/>
        </w:trPr>
        <w:tc>
          <w:tcPr>
            <w:tcW w:w="5309" w:type="dxa"/>
            <w:tcBorders>
              <w:left w:val="nil"/>
            </w:tcBorders>
            <w:shd w:val="clear" w:color="auto" w:fill="EDECF3"/>
          </w:tcPr>
          <w:p>
            <w:pPr>
              <w:pStyle w:val="TableParagraph"/>
              <w:ind w:left="67"/>
              <w:rPr>
                <w:sz w:val="21"/>
              </w:rPr>
            </w:pPr>
            <w:r>
              <w:rPr>
                <w:w w:val="105"/>
                <w:sz w:val="21"/>
              </w:rPr>
              <w:t>Dor</w:t>
            </w:r>
            <w:r>
              <w:rPr>
                <w:spacing w:val="19"/>
                <w:w w:val="105"/>
                <w:sz w:val="21"/>
              </w:rPr>
              <w:t> </w:t>
            </w:r>
            <w:r>
              <w:rPr>
                <w:w w:val="105"/>
                <w:sz w:val="21"/>
              </w:rPr>
              <w:t>tipo</w:t>
            </w:r>
            <w:r>
              <w:rPr>
                <w:spacing w:val="19"/>
                <w:w w:val="105"/>
                <w:sz w:val="21"/>
              </w:rPr>
              <w:t> </w:t>
            </w:r>
            <w:r>
              <w:rPr>
                <w:w w:val="105"/>
                <w:sz w:val="21"/>
              </w:rPr>
              <w:t>C</w:t>
            </w:r>
            <w:r>
              <w:rPr>
                <w:spacing w:val="15"/>
                <w:w w:val="105"/>
                <w:sz w:val="21"/>
              </w:rPr>
              <w:t> </w:t>
            </w:r>
            <w:r>
              <w:rPr>
                <w:w w:val="105"/>
                <w:sz w:val="21"/>
              </w:rPr>
              <w:t>(provavelmente</w:t>
            </w:r>
            <w:r>
              <w:rPr>
                <w:spacing w:val="20"/>
                <w:w w:val="105"/>
                <w:sz w:val="21"/>
              </w:rPr>
              <w:t> </w:t>
            </w:r>
            <w:r>
              <w:rPr>
                <w:w w:val="105"/>
                <w:sz w:val="21"/>
              </w:rPr>
              <w:t>não</w:t>
            </w:r>
            <w:r>
              <w:rPr>
                <w:spacing w:val="19"/>
                <w:w w:val="105"/>
                <w:sz w:val="21"/>
              </w:rPr>
              <w:t> </w:t>
            </w:r>
            <w:r>
              <w:rPr>
                <w:spacing w:val="-2"/>
                <w:w w:val="105"/>
                <w:sz w:val="21"/>
              </w:rPr>
              <w:t>anginosa)</w:t>
            </w:r>
          </w:p>
        </w:tc>
        <w:tc>
          <w:tcPr>
            <w:tcW w:w="5309" w:type="dxa"/>
            <w:tcBorders>
              <w:right w:val="nil"/>
            </w:tcBorders>
            <w:shd w:val="clear" w:color="auto" w:fill="EDECF3"/>
          </w:tcPr>
          <w:p>
            <w:pPr>
              <w:pStyle w:val="TableParagraph"/>
              <w:spacing w:line="307" w:lineRule="auto"/>
              <w:ind w:left="66"/>
              <w:rPr>
                <w:sz w:val="21"/>
              </w:rPr>
            </w:pPr>
            <w:r>
              <w:rPr>
                <w:w w:val="105"/>
                <w:sz w:val="21"/>
              </w:rPr>
              <w:t>Dor torácica que faz da SCA uma das hipóteses diagnósticas, mas que necessita de exames complementares para sua exclusão</w:t>
            </w:r>
          </w:p>
        </w:tc>
      </w:tr>
      <w:tr>
        <w:trPr>
          <w:trHeight w:val="734" w:hRule="atLeast"/>
        </w:trPr>
        <w:tc>
          <w:tcPr>
            <w:tcW w:w="5309" w:type="dxa"/>
            <w:tcBorders>
              <w:left w:val="nil"/>
              <w:bottom w:val="nil"/>
            </w:tcBorders>
            <w:shd w:val="clear" w:color="auto" w:fill="EDECF3"/>
          </w:tcPr>
          <w:p>
            <w:pPr>
              <w:pStyle w:val="TableParagraph"/>
              <w:ind w:left="67"/>
              <w:rPr>
                <w:sz w:val="21"/>
              </w:rPr>
            </w:pPr>
            <w:r>
              <w:rPr>
                <w:w w:val="105"/>
                <w:sz w:val="21"/>
              </w:rPr>
              <w:t>Dor</w:t>
            </w:r>
            <w:r>
              <w:rPr>
                <w:spacing w:val="17"/>
                <w:w w:val="105"/>
                <w:sz w:val="21"/>
              </w:rPr>
              <w:t> </w:t>
            </w:r>
            <w:r>
              <w:rPr>
                <w:w w:val="105"/>
                <w:sz w:val="21"/>
              </w:rPr>
              <w:t>tipo</w:t>
            </w:r>
            <w:r>
              <w:rPr>
                <w:spacing w:val="18"/>
                <w:w w:val="105"/>
                <w:sz w:val="21"/>
              </w:rPr>
              <w:t> </w:t>
            </w:r>
            <w:r>
              <w:rPr>
                <w:w w:val="105"/>
                <w:sz w:val="21"/>
              </w:rPr>
              <w:t>D</w:t>
            </w:r>
            <w:r>
              <w:rPr>
                <w:spacing w:val="13"/>
                <w:w w:val="105"/>
                <w:sz w:val="21"/>
              </w:rPr>
              <w:t> </w:t>
            </w:r>
            <w:r>
              <w:rPr>
                <w:w w:val="105"/>
                <w:sz w:val="21"/>
              </w:rPr>
              <w:t>(definitivamente</w:t>
            </w:r>
            <w:r>
              <w:rPr>
                <w:spacing w:val="18"/>
                <w:w w:val="105"/>
                <w:sz w:val="21"/>
              </w:rPr>
              <w:t> </w:t>
            </w:r>
            <w:r>
              <w:rPr>
                <w:w w:val="105"/>
                <w:sz w:val="21"/>
              </w:rPr>
              <w:t>não</w:t>
            </w:r>
            <w:r>
              <w:rPr>
                <w:spacing w:val="17"/>
                <w:w w:val="105"/>
                <w:sz w:val="21"/>
              </w:rPr>
              <w:t> </w:t>
            </w:r>
            <w:r>
              <w:rPr>
                <w:spacing w:val="-2"/>
                <w:w w:val="105"/>
                <w:sz w:val="21"/>
              </w:rPr>
              <w:t>anginosa)</w:t>
            </w:r>
          </w:p>
        </w:tc>
        <w:tc>
          <w:tcPr>
            <w:tcW w:w="5309" w:type="dxa"/>
            <w:tcBorders>
              <w:bottom w:val="nil"/>
              <w:right w:val="nil"/>
            </w:tcBorders>
            <w:shd w:val="clear" w:color="auto" w:fill="EDECF3"/>
          </w:tcPr>
          <w:p>
            <w:pPr>
              <w:pStyle w:val="TableParagraph"/>
              <w:spacing w:line="307" w:lineRule="auto"/>
              <w:ind w:left="66"/>
              <w:rPr>
                <w:sz w:val="21"/>
              </w:rPr>
            </w:pPr>
            <w:r>
              <w:rPr>
                <w:w w:val="105"/>
                <w:sz w:val="21"/>
              </w:rPr>
              <w:t>Dor torácica que não inclui a SCA como hipótese </w:t>
            </w:r>
            <w:r>
              <w:rPr>
                <w:spacing w:val="-2"/>
                <w:w w:val="105"/>
                <w:sz w:val="21"/>
              </w:rPr>
              <w:t>diagnóstica</w:t>
            </w:r>
          </w:p>
        </w:tc>
      </w:tr>
    </w:tbl>
    <w:p>
      <w:pPr>
        <w:spacing w:before="163"/>
        <w:ind w:left="68" w:right="0" w:firstLine="0"/>
        <w:jc w:val="left"/>
        <w:rPr>
          <w:rFonts w:ascii="Microsoft Sans Serif" w:hAnsi="Microsoft Sans Serif"/>
          <w:sz w:val="19"/>
        </w:rPr>
      </w:pPr>
      <w:r>
        <w:rPr>
          <w:rFonts w:ascii="Microsoft Sans Serif" w:hAnsi="Microsoft Sans Serif"/>
          <w:sz w:val="19"/>
        </w:rPr>
        <w:t>SCA</w:t>
      </w:r>
      <w:r>
        <w:rPr>
          <w:rFonts w:ascii="Microsoft Sans Serif" w:hAnsi="Microsoft Sans Serif"/>
          <w:spacing w:val="16"/>
          <w:sz w:val="19"/>
        </w:rPr>
        <w:t> </w:t>
      </w:r>
      <w:r>
        <w:rPr>
          <w:rFonts w:ascii="Microsoft Sans Serif" w:hAnsi="Microsoft Sans Serif"/>
          <w:sz w:val="19"/>
        </w:rPr>
        <w:t>=</w:t>
      </w:r>
      <w:r>
        <w:rPr>
          <w:rFonts w:ascii="Microsoft Sans Serif" w:hAnsi="Microsoft Sans Serif"/>
          <w:spacing w:val="16"/>
          <w:sz w:val="19"/>
        </w:rPr>
        <w:t> </w:t>
      </w:r>
      <w:r>
        <w:rPr>
          <w:rFonts w:ascii="Microsoft Sans Serif" w:hAnsi="Microsoft Sans Serif"/>
          <w:sz w:val="19"/>
        </w:rPr>
        <w:t>síndrome</w:t>
      </w:r>
      <w:r>
        <w:rPr>
          <w:rFonts w:ascii="Microsoft Sans Serif" w:hAnsi="Microsoft Sans Serif"/>
          <w:spacing w:val="23"/>
          <w:sz w:val="19"/>
        </w:rPr>
        <w:t> </w:t>
      </w:r>
      <w:r>
        <w:rPr>
          <w:rFonts w:ascii="Microsoft Sans Serif" w:hAnsi="Microsoft Sans Serif"/>
          <w:sz w:val="19"/>
        </w:rPr>
        <w:t>coronariana</w:t>
      </w:r>
      <w:r>
        <w:rPr>
          <w:rFonts w:ascii="Microsoft Sans Serif" w:hAnsi="Microsoft Sans Serif"/>
          <w:spacing w:val="23"/>
          <w:sz w:val="19"/>
        </w:rPr>
        <w:t> </w:t>
      </w:r>
      <w:r>
        <w:rPr>
          <w:rFonts w:ascii="Microsoft Sans Serif" w:hAnsi="Microsoft Sans Serif"/>
          <w:spacing w:val="-2"/>
          <w:sz w:val="19"/>
        </w:rPr>
        <w:t>aguda.</w:t>
      </w:r>
    </w:p>
    <w:p>
      <w:pPr>
        <w:pStyle w:val="BodyText"/>
        <w:spacing w:before="107"/>
        <w:ind w:left="0" w:firstLine="0"/>
        <w:jc w:val="left"/>
        <w:rPr>
          <w:rFonts w:ascii="Microsoft Sans Serif"/>
          <w:sz w:val="19"/>
        </w:rPr>
      </w:pPr>
    </w:p>
    <w:p>
      <w:pPr>
        <w:pStyle w:val="BodyText"/>
        <w:spacing w:line="280" w:lineRule="auto" w:before="0"/>
        <w:ind w:right="491"/>
      </w:pPr>
      <w:r>
        <w:rPr/>
        <w:t>Estudos populacionais sugerem</w:t>
      </w:r>
      <w:r>
        <w:rPr>
          <w:spacing w:val="-4"/>
        </w:rPr>
        <w:t> </w:t>
      </w:r>
      <w:r>
        <w:rPr/>
        <w:t>que</w:t>
      </w:r>
      <w:r>
        <w:rPr>
          <w:spacing w:val="-6"/>
        </w:rPr>
        <w:t> </w:t>
      </w:r>
      <w:r>
        <w:rPr/>
        <w:t>entre</w:t>
      </w:r>
      <w:r>
        <w:rPr>
          <w:spacing w:val="-6"/>
        </w:rPr>
        <w:t> </w:t>
      </w:r>
      <w:r>
        <w:rPr/>
        <w:t>20</w:t>
      </w:r>
      <w:r>
        <w:rPr>
          <w:spacing w:val="-4"/>
        </w:rPr>
        <w:t> </w:t>
      </w:r>
      <w:r>
        <w:rPr/>
        <w:t>e</w:t>
      </w:r>
      <w:r>
        <w:rPr>
          <w:spacing w:val="-6"/>
        </w:rPr>
        <w:t> </w:t>
      </w:r>
      <w:r>
        <w:rPr/>
        <w:t>60%</w:t>
      </w:r>
      <w:r>
        <w:rPr>
          <w:spacing w:val="-1"/>
        </w:rPr>
        <w:t> </w:t>
      </w:r>
      <w:r>
        <w:rPr/>
        <w:t>de</w:t>
      </w:r>
      <w:r>
        <w:rPr>
          <w:spacing w:val="-6"/>
        </w:rPr>
        <w:t> </w:t>
      </w:r>
      <w:r>
        <w:rPr/>
        <w:t>IAM não</w:t>
      </w:r>
      <w:r>
        <w:rPr>
          <w:spacing w:val="-4"/>
        </w:rPr>
        <w:t> </w:t>
      </w:r>
      <w:r>
        <w:rPr/>
        <w:t>fatais não</w:t>
      </w:r>
      <w:r>
        <w:rPr>
          <w:spacing w:val="-4"/>
        </w:rPr>
        <w:t> </w:t>
      </w:r>
      <w:r>
        <w:rPr/>
        <w:t>são</w:t>
      </w:r>
      <w:r>
        <w:rPr>
          <w:spacing w:val="-4"/>
        </w:rPr>
        <w:t> </w:t>
      </w:r>
      <w:r>
        <w:rPr/>
        <w:t>reconhecidos pelo</w:t>
      </w:r>
      <w:r>
        <w:rPr>
          <w:spacing w:val="-4"/>
        </w:rPr>
        <w:t> </w:t>
      </w:r>
      <w:r>
        <w:rPr/>
        <w:t>paciente</w:t>
      </w:r>
      <w:r>
        <w:rPr>
          <w:spacing w:val="-6"/>
        </w:rPr>
        <w:t> </w:t>
      </w:r>
      <w:r>
        <w:rPr/>
        <w:t>e</w:t>
      </w:r>
      <w:r>
        <w:rPr>
          <w:spacing w:val="-6"/>
        </w:rPr>
        <w:t> </w:t>
      </w:r>
      <w:r>
        <w:rPr/>
        <w:t>são descobertos subsequentemente apenas em ECG de rotina ou exames </w:t>
      </w:r>
      <w:r>
        <w:rPr>
          <w:i/>
        </w:rPr>
        <w:t>post mortem</w:t>
      </w:r>
      <w:r>
        <w:rPr/>
        <w:t>.</w:t>
      </w:r>
      <w:r>
        <w:rPr>
          <w:vertAlign w:val="superscript"/>
        </w:rPr>
        <w:t>16</w:t>
      </w:r>
      <w:r>
        <w:rPr>
          <w:vertAlign w:val="baseline"/>
        </w:rPr>
        <w:t> A metade desses infartos é verdadeiramente silenciosa, sendo os pacientes incapazes de se lembrarem de qualquer tipo de sintoma. A outra metade</w:t>
      </w:r>
      <w:r>
        <w:rPr>
          <w:spacing w:val="-2"/>
          <w:vertAlign w:val="baseline"/>
        </w:rPr>
        <w:t> </w:t>
      </w:r>
      <w:r>
        <w:rPr>
          <w:vertAlign w:val="baseline"/>
        </w:rPr>
        <w:t>apresenta</w:t>
      </w:r>
      <w:r>
        <w:rPr>
          <w:spacing w:val="-2"/>
          <w:vertAlign w:val="baseline"/>
        </w:rPr>
        <w:t> </w:t>
      </w:r>
      <w:r>
        <w:rPr>
          <w:vertAlign w:val="baseline"/>
        </w:rPr>
        <w:t>sintomas compatíveis de</w:t>
      </w:r>
      <w:r>
        <w:rPr>
          <w:spacing w:val="-2"/>
          <w:vertAlign w:val="baseline"/>
        </w:rPr>
        <w:t> </w:t>
      </w:r>
      <w:r>
        <w:rPr>
          <w:vertAlign w:val="baseline"/>
        </w:rPr>
        <w:t>IAM após a</w:t>
      </w:r>
      <w:r>
        <w:rPr>
          <w:spacing w:val="-2"/>
          <w:vertAlign w:val="baseline"/>
        </w:rPr>
        <w:t> </w:t>
      </w:r>
      <w:r>
        <w:rPr>
          <w:vertAlign w:val="baseline"/>
        </w:rPr>
        <w:t>realização do ECG</w:t>
      </w:r>
      <w:r>
        <w:rPr>
          <w:spacing w:val="-2"/>
          <w:vertAlign w:val="baseline"/>
        </w:rPr>
        <w:t> </w:t>
      </w:r>
      <w:r>
        <w:rPr>
          <w:vertAlign w:val="baseline"/>
        </w:rPr>
        <w:t>e</w:t>
      </w:r>
      <w:r>
        <w:rPr>
          <w:spacing w:val="-2"/>
          <w:vertAlign w:val="baseline"/>
        </w:rPr>
        <w:t> </w:t>
      </w:r>
      <w:r>
        <w:rPr>
          <w:vertAlign w:val="baseline"/>
        </w:rPr>
        <w:t>minuciosa</w:t>
      </w:r>
      <w:r>
        <w:rPr>
          <w:spacing w:val="-2"/>
          <w:vertAlign w:val="baseline"/>
        </w:rPr>
        <w:t> </w:t>
      </w:r>
      <w:r>
        <w:rPr>
          <w:vertAlign w:val="baseline"/>
        </w:rPr>
        <w:t>anamnese.</w:t>
      </w:r>
    </w:p>
    <w:p>
      <w:pPr>
        <w:pStyle w:val="BodyText"/>
        <w:spacing w:before="128"/>
        <w:ind w:left="0" w:firstLine="0"/>
        <w:jc w:val="left"/>
      </w:pPr>
    </w:p>
    <w:p>
      <w:pPr>
        <w:pStyle w:val="Heading5"/>
        <w:spacing w:before="1"/>
      </w:pPr>
      <w:r>
        <w:rPr>
          <w:color w:val="A26108"/>
        </w:rPr>
        <w:t>Exame</w:t>
      </w:r>
      <w:r>
        <w:rPr>
          <w:color w:val="A26108"/>
          <w:spacing w:val="21"/>
        </w:rPr>
        <w:t> </w:t>
      </w:r>
      <w:r>
        <w:rPr>
          <w:color w:val="A26108"/>
          <w:spacing w:val="-2"/>
        </w:rPr>
        <w:t>físico</w:t>
      </w:r>
    </w:p>
    <w:p>
      <w:pPr>
        <w:pStyle w:val="BodyText"/>
        <w:spacing w:line="278" w:lineRule="auto" w:before="138"/>
        <w:ind w:right="497"/>
      </w:pPr>
      <w:r>
        <w:rPr/>
        <w:t>O exame físico dos pacientes geralmente é inocente; porém, quando há falência de ventrículo esquerdo, vários sinais são importantes.</w:t>
      </w:r>
      <w:r>
        <w:rPr>
          <w:vertAlign w:val="superscript"/>
        </w:rPr>
        <w:t>15</w:t>
      </w:r>
      <w:r>
        <w:rPr>
          <w:vertAlign w:val="baseline"/>
        </w:rPr>
        <w:t> Normalmente o paciente infartado apresenta-se na emergência com sudorese, agitação psicomotora, taquipneia e frequência cardíaca, que pode variar de bradicardia importante para taquicardia, regular ou</w:t>
      </w:r>
      <w:r>
        <w:rPr>
          <w:spacing w:val="-8"/>
          <w:vertAlign w:val="baseline"/>
        </w:rPr>
        <w:t> </w:t>
      </w:r>
      <w:r>
        <w:rPr>
          <w:vertAlign w:val="baseline"/>
        </w:rPr>
        <w:t>irregular.</w:t>
      </w:r>
      <w:r>
        <w:rPr>
          <w:spacing w:val="-1"/>
          <w:vertAlign w:val="baseline"/>
        </w:rPr>
        <w:t> </w:t>
      </w:r>
      <w:r>
        <w:rPr>
          <w:vertAlign w:val="baseline"/>
        </w:rPr>
        <w:t>A</w:t>
      </w:r>
      <w:r>
        <w:rPr>
          <w:spacing w:val="-10"/>
          <w:vertAlign w:val="baseline"/>
        </w:rPr>
        <w:t> </w:t>
      </w:r>
      <w:r>
        <w:rPr>
          <w:vertAlign w:val="baseline"/>
        </w:rPr>
        <w:t>pressão</w:t>
      </w:r>
      <w:r>
        <w:rPr>
          <w:spacing w:val="-8"/>
          <w:vertAlign w:val="baseline"/>
        </w:rPr>
        <w:t> </w:t>
      </w:r>
      <w:r>
        <w:rPr>
          <w:vertAlign w:val="baseline"/>
        </w:rPr>
        <w:t>arterial</w:t>
      </w:r>
      <w:r>
        <w:rPr>
          <w:spacing w:val="-6"/>
          <w:vertAlign w:val="baseline"/>
        </w:rPr>
        <w:t> </w:t>
      </w:r>
      <w:r>
        <w:rPr>
          <w:vertAlign w:val="baseline"/>
        </w:rPr>
        <w:t>geralmente</w:t>
      </w:r>
      <w:r>
        <w:rPr>
          <w:spacing w:val="-10"/>
          <w:vertAlign w:val="baseline"/>
        </w:rPr>
        <w:t> </w:t>
      </w:r>
      <w:r>
        <w:rPr>
          <w:vertAlign w:val="baseline"/>
        </w:rPr>
        <w:t>é</w:t>
      </w:r>
      <w:r>
        <w:rPr>
          <w:spacing w:val="-10"/>
          <w:vertAlign w:val="baseline"/>
        </w:rPr>
        <w:t> </w:t>
      </w:r>
      <w:r>
        <w:rPr>
          <w:vertAlign w:val="baseline"/>
        </w:rPr>
        <w:t>normal</w:t>
      </w:r>
      <w:r>
        <w:rPr>
          <w:spacing w:val="-6"/>
          <w:vertAlign w:val="baseline"/>
        </w:rPr>
        <w:t> </w:t>
      </w:r>
      <w:r>
        <w:rPr>
          <w:vertAlign w:val="baseline"/>
        </w:rPr>
        <w:t>ou</w:t>
      </w:r>
      <w:r>
        <w:rPr>
          <w:spacing w:val="-8"/>
          <w:vertAlign w:val="baseline"/>
        </w:rPr>
        <w:t> </w:t>
      </w:r>
      <w:r>
        <w:rPr>
          <w:vertAlign w:val="baseline"/>
        </w:rPr>
        <w:t>um</w:t>
      </w:r>
      <w:r>
        <w:rPr>
          <w:spacing w:val="-8"/>
          <w:vertAlign w:val="baseline"/>
        </w:rPr>
        <w:t> </w:t>
      </w:r>
      <w:r>
        <w:rPr>
          <w:vertAlign w:val="baseline"/>
        </w:rPr>
        <w:t>pouco</w:t>
      </w:r>
      <w:r>
        <w:rPr>
          <w:spacing w:val="-8"/>
          <w:vertAlign w:val="baseline"/>
        </w:rPr>
        <w:t> </w:t>
      </w:r>
      <w:r>
        <w:rPr>
          <w:vertAlign w:val="baseline"/>
        </w:rPr>
        <w:t>elevada,</w:t>
      </w:r>
      <w:r>
        <w:rPr>
          <w:spacing w:val="-1"/>
          <w:vertAlign w:val="baseline"/>
        </w:rPr>
        <w:t> </w:t>
      </w:r>
      <w:r>
        <w:rPr>
          <w:vertAlign w:val="baseline"/>
        </w:rPr>
        <w:t>porém</w:t>
      </w:r>
      <w:r>
        <w:rPr>
          <w:spacing w:val="-8"/>
          <w:vertAlign w:val="baseline"/>
        </w:rPr>
        <w:t> </w:t>
      </w:r>
      <w:r>
        <w:rPr>
          <w:vertAlign w:val="baseline"/>
        </w:rPr>
        <w:t>pacientes</w:t>
      </w:r>
      <w:r>
        <w:rPr>
          <w:spacing w:val="-1"/>
          <w:vertAlign w:val="baseline"/>
        </w:rPr>
        <w:t> </w:t>
      </w:r>
      <w:r>
        <w:rPr>
          <w:vertAlign w:val="baseline"/>
        </w:rPr>
        <w:t>com</w:t>
      </w:r>
      <w:r>
        <w:rPr>
          <w:spacing w:val="-8"/>
          <w:vertAlign w:val="baseline"/>
        </w:rPr>
        <w:t> </w:t>
      </w:r>
      <w:r>
        <w:rPr>
          <w:vertAlign w:val="baseline"/>
        </w:rPr>
        <w:t>falência</w:t>
      </w:r>
      <w:r>
        <w:rPr>
          <w:spacing w:val="-10"/>
          <w:vertAlign w:val="baseline"/>
        </w:rPr>
        <w:t> </w:t>
      </w:r>
      <w:r>
        <w:rPr>
          <w:vertAlign w:val="baseline"/>
        </w:rPr>
        <w:t>ventricular esquerda apresentam-se hipotensos, às vezes com choque. Outros sinais importantes são: congestão pulmonar, dispneia, pulso fraco, oligúria, cianose, existência</w:t>
      </w:r>
      <w:r>
        <w:rPr>
          <w:spacing w:val="-2"/>
          <w:vertAlign w:val="baseline"/>
        </w:rPr>
        <w:t> </w:t>
      </w:r>
      <w:r>
        <w:rPr>
          <w:vertAlign w:val="baseline"/>
        </w:rPr>
        <w:t>da</w:t>
      </w:r>
      <w:r>
        <w:rPr>
          <w:spacing w:val="-2"/>
          <w:vertAlign w:val="baseline"/>
        </w:rPr>
        <w:t> </w:t>
      </w:r>
      <w:r>
        <w:rPr>
          <w:vertAlign w:val="baseline"/>
        </w:rPr>
        <w:t>terceira</w:t>
      </w:r>
      <w:r>
        <w:rPr>
          <w:spacing w:val="-2"/>
          <w:vertAlign w:val="baseline"/>
        </w:rPr>
        <w:t> </w:t>
      </w:r>
      <w:r>
        <w:rPr>
          <w:vertAlign w:val="baseline"/>
        </w:rPr>
        <w:t>bulha. Quase</w:t>
      </w:r>
      <w:r>
        <w:rPr>
          <w:spacing w:val="-2"/>
          <w:vertAlign w:val="baseline"/>
        </w:rPr>
        <w:t> </w:t>
      </w:r>
      <w:r>
        <w:rPr>
          <w:vertAlign w:val="baseline"/>
        </w:rPr>
        <w:t>sempre</w:t>
      </w:r>
      <w:r>
        <w:rPr>
          <w:spacing w:val="-2"/>
          <w:vertAlign w:val="baseline"/>
        </w:rPr>
        <w:t> </w:t>
      </w:r>
      <w:r>
        <w:rPr>
          <w:vertAlign w:val="baseline"/>
        </w:rPr>
        <w:t>há</w:t>
      </w:r>
      <w:r>
        <w:rPr>
          <w:spacing w:val="-2"/>
          <w:vertAlign w:val="baseline"/>
        </w:rPr>
        <w:t> </w:t>
      </w:r>
      <w:r>
        <w:rPr>
          <w:vertAlign w:val="baseline"/>
        </w:rPr>
        <w:t>uma</w:t>
      </w:r>
      <w:r>
        <w:rPr>
          <w:spacing w:val="-2"/>
          <w:vertAlign w:val="baseline"/>
        </w:rPr>
        <w:t> </w:t>
      </w:r>
      <w:r>
        <w:rPr>
          <w:vertAlign w:val="baseline"/>
        </w:rPr>
        <w:t>quarta</w:t>
      </w:r>
      <w:r>
        <w:rPr>
          <w:spacing w:val="-2"/>
          <w:vertAlign w:val="baseline"/>
        </w:rPr>
        <w:t> </w:t>
      </w:r>
      <w:r>
        <w:rPr>
          <w:vertAlign w:val="baseline"/>
        </w:rPr>
        <w:t>bulha, reflexo de uma disfunção diastólica aguda própria da isquemia. A dor à palpação do gradeado costal pode existir em até 15% dos IAM não complicados.</w:t>
      </w:r>
    </w:p>
    <w:p>
      <w:pPr>
        <w:pStyle w:val="BodyText"/>
        <w:spacing w:line="276" w:lineRule="auto" w:before="60"/>
        <w:ind w:right="500"/>
      </w:pPr>
      <w:r>
        <w:rPr/>
        <w:t>Na admissão, é importante palpar os pulsos periféricos e aferir pressão arterial em ambos os membros superiores, tendo em vista o diagnóstico diferencial com dissecção de aorta. Quando há predomínio de hipoxemia, sem ausculta compatível com congestão pulmonar, deve-se afastar o diagnóstico de TEP.</w:t>
      </w:r>
    </w:p>
    <w:p>
      <w:pPr>
        <w:pStyle w:val="BodyText"/>
        <w:spacing w:before="185"/>
        <w:ind w:left="0" w:firstLine="0"/>
        <w:jc w:val="left"/>
      </w:pPr>
    </w:p>
    <w:p>
      <w:pPr>
        <w:pStyle w:val="Heading4"/>
        <w:spacing w:before="1"/>
      </w:pPr>
      <w:r>
        <w:rPr>
          <w:color w:val="242B67"/>
        </w:rPr>
        <w:t>Diagnóstico </w:t>
      </w:r>
      <w:r>
        <w:rPr>
          <w:color w:val="242B67"/>
          <w:spacing w:val="-2"/>
        </w:rPr>
        <w:t>clínico</w:t>
      </w:r>
    </w:p>
    <w:p>
      <w:pPr>
        <w:pStyle w:val="BodyText"/>
        <w:spacing w:line="276" w:lineRule="auto" w:before="131"/>
        <w:ind w:right="489"/>
      </w:pPr>
      <w:r>
        <w:rPr/>
        <w:t>O diagnóstico das SCA embasa-se na história de desconforto torácico, alterações do ECG e dosagem de marcadores de</w:t>
      </w:r>
      <w:r>
        <w:rPr>
          <w:spacing w:val="-2"/>
        </w:rPr>
        <w:t> </w:t>
      </w:r>
      <w:r>
        <w:rPr/>
        <w:t>lesão miocárdica. A</w:t>
      </w:r>
      <w:r>
        <w:rPr>
          <w:spacing w:val="-2"/>
        </w:rPr>
        <w:t> </w:t>
      </w:r>
      <w:r>
        <w:rPr/>
        <w:t>história</w:t>
      </w:r>
      <w:r>
        <w:rPr>
          <w:spacing w:val="-2"/>
        </w:rPr>
        <w:t> </w:t>
      </w:r>
      <w:r>
        <w:rPr/>
        <w:t>e</w:t>
      </w:r>
      <w:r>
        <w:rPr>
          <w:spacing w:val="-2"/>
        </w:rPr>
        <w:t> </w:t>
      </w:r>
      <w:r>
        <w:rPr/>
        <w:t>o exame</w:t>
      </w:r>
      <w:r>
        <w:rPr>
          <w:spacing w:val="-2"/>
        </w:rPr>
        <w:t> </w:t>
      </w:r>
      <w:r>
        <w:rPr/>
        <w:t>físico de</w:t>
      </w:r>
      <w:r>
        <w:rPr>
          <w:spacing w:val="-2"/>
        </w:rPr>
        <w:t> </w:t>
      </w:r>
      <w:r>
        <w:rPr/>
        <w:t>pacientes com IAM foram previamente</w:t>
      </w:r>
      <w:r>
        <w:rPr>
          <w:spacing w:val="-2"/>
        </w:rPr>
        <w:t> </w:t>
      </w:r>
      <w:r>
        <w:rPr/>
        <w:t>detalhados. Dos três fatores, a história é, sem dúvida, o fator mais importante para o diagnóstico de SCA. Já o ECG é um divisor de águas. Com ele, determina-se qual a fisiopatologia predominante envolvida e, com isso, guia-se o tratamento. O</w:t>
      </w:r>
      <w:r>
        <w:rPr>
          <w:spacing w:val="-2"/>
        </w:rPr>
        <w:t> </w:t>
      </w:r>
      <w:r>
        <w:rPr/>
        <w:t>ECG</w:t>
      </w:r>
      <w:r>
        <w:rPr>
          <w:spacing w:val="-2"/>
        </w:rPr>
        <w:t> </w:t>
      </w:r>
      <w:r>
        <w:rPr/>
        <w:t>convencional é</w:t>
      </w:r>
      <w:r>
        <w:rPr>
          <w:spacing w:val="-2"/>
        </w:rPr>
        <w:t> </w:t>
      </w:r>
      <w:r>
        <w:rPr/>
        <w:t>um método diagnóstico não invasivo, barato, acessível e</w:t>
      </w:r>
      <w:r>
        <w:rPr>
          <w:spacing w:val="-2"/>
        </w:rPr>
        <w:t> </w:t>
      </w:r>
      <w:r>
        <w:rPr/>
        <w:t>amplamente</w:t>
      </w:r>
      <w:r>
        <w:rPr>
          <w:spacing w:val="-2"/>
        </w:rPr>
        <w:t> </w:t>
      </w:r>
      <w:r>
        <w:rPr/>
        <w:t>utilizado, principalmente nas salas de emergência. Ele está apto a nos auxiliar por demonstrar o tipo de lesão envolvida (trombo</w:t>
      </w:r>
      <w:r>
        <w:rPr>
          <w:spacing w:val="61"/>
        </w:rPr>
        <w:t> </w:t>
      </w:r>
      <w:r>
        <w:rPr/>
        <w:t>branco</w:t>
      </w:r>
      <w:r>
        <w:rPr>
          <w:spacing w:val="61"/>
        </w:rPr>
        <w:t> </w:t>
      </w:r>
      <w:r>
        <w:rPr/>
        <w:t>ou</w:t>
      </w:r>
      <w:r>
        <w:rPr>
          <w:spacing w:val="61"/>
        </w:rPr>
        <w:t> </w:t>
      </w:r>
      <w:r>
        <w:rPr/>
        <w:t>vermelho)</w:t>
      </w:r>
      <w:r>
        <w:rPr>
          <w:spacing w:val="67"/>
        </w:rPr>
        <w:t> </w:t>
      </w:r>
      <w:r>
        <w:rPr/>
        <w:t>e</w:t>
      </w:r>
      <w:r>
        <w:rPr>
          <w:spacing w:val="58"/>
        </w:rPr>
        <w:t> </w:t>
      </w:r>
      <w:r>
        <w:rPr/>
        <w:t>qual</w:t>
      </w:r>
      <w:r>
        <w:rPr>
          <w:spacing w:val="63"/>
        </w:rPr>
        <w:t> </w:t>
      </w:r>
      <w:r>
        <w:rPr/>
        <w:t>a</w:t>
      </w:r>
      <w:r>
        <w:rPr>
          <w:spacing w:val="58"/>
        </w:rPr>
        <w:t> </w:t>
      </w:r>
      <w:r>
        <w:rPr/>
        <w:t>artéria</w:t>
      </w:r>
      <w:r>
        <w:rPr>
          <w:spacing w:val="58"/>
        </w:rPr>
        <w:t> </w:t>
      </w:r>
      <w:r>
        <w:rPr/>
        <w:t>envolvida</w:t>
      </w:r>
      <w:r>
        <w:rPr>
          <w:spacing w:val="58"/>
        </w:rPr>
        <w:t> </w:t>
      </w:r>
      <w:r>
        <w:rPr/>
        <w:t>(as</w:t>
      </w:r>
      <w:r>
        <w:rPr>
          <w:spacing w:val="70"/>
        </w:rPr>
        <w:t> </w:t>
      </w:r>
      <w:r>
        <w:rPr/>
        <w:t>derivações</w:t>
      </w:r>
      <w:r>
        <w:rPr>
          <w:spacing w:val="70"/>
        </w:rPr>
        <w:t> </w:t>
      </w:r>
      <w:r>
        <w:rPr/>
        <w:t>eletrocardiográficas</w:t>
      </w:r>
      <w:r>
        <w:rPr>
          <w:spacing w:val="70"/>
        </w:rPr>
        <w:t> </w:t>
      </w:r>
      <w:r>
        <w:rPr/>
        <w:t>com</w:t>
      </w:r>
      <w:r>
        <w:rPr>
          <w:spacing w:val="61"/>
        </w:rPr>
        <w:t> </w:t>
      </w:r>
      <w:r>
        <w:rPr/>
        <w:t>alterações</w:t>
      </w:r>
    </w:p>
    <w:p>
      <w:pPr>
        <w:pStyle w:val="BodyText"/>
        <w:spacing w:after="0" w:line="276" w:lineRule="auto"/>
        <w:sectPr>
          <w:pgSz w:w="11900" w:h="16840"/>
          <w:pgMar w:top="220" w:bottom="280" w:left="566" w:right="141"/>
        </w:sectPr>
      </w:pPr>
    </w:p>
    <w:p>
      <w:pPr>
        <w:pStyle w:val="BodyText"/>
        <w:spacing w:line="276" w:lineRule="auto"/>
        <w:ind w:right="497" w:firstLine="0"/>
      </w:pPr>
      <w:r>
        <w:rPr/>
        <w:t>isquêmicas agudas correspondem</w:t>
      </w:r>
      <w:r>
        <w:rPr>
          <w:spacing w:val="-3"/>
        </w:rPr>
        <w:t> </w:t>
      </w:r>
      <w:r>
        <w:rPr/>
        <w:t>a</w:t>
      </w:r>
      <w:r>
        <w:rPr>
          <w:spacing w:val="-5"/>
        </w:rPr>
        <w:t> </w:t>
      </w:r>
      <w:r>
        <w:rPr/>
        <w:t>certas paredes do</w:t>
      </w:r>
      <w:r>
        <w:rPr>
          <w:spacing w:val="-3"/>
        </w:rPr>
        <w:t> </w:t>
      </w:r>
      <w:r>
        <w:rPr/>
        <w:t>coração, com</w:t>
      </w:r>
      <w:r>
        <w:rPr>
          <w:spacing w:val="-3"/>
        </w:rPr>
        <w:t> </w:t>
      </w:r>
      <w:r>
        <w:rPr/>
        <w:t>irrigação</w:t>
      </w:r>
      <w:r>
        <w:rPr>
          <w:spacing w:val="-3"/>
        </w:rPr>
        <w:t> </w:t>
      </w:r>
      <w:r>
        <w:rPr/>
        <w:t>determinada</w:t>
      </w:r>
      <w:r>
        <w:rPr>
          <w:spacing w:val="-5"/>
        </w:rPr>
        <w:t> </w:t>
      </w:r>
      <w:r>
        <w:rPr/>
        <w:t>por artérias específicas – </w:t>
      </w:r>
      <w:r>
        <w:rPr>
          <w:color w:val="505050"/>
        </w:rPr>
        <w:t>Tabela 55.4</w:t>
      </w:r>
      <w:r>
        <w:rPr/>
        <w:t>). Portanto, o ECG constitui o primeiro exame subsidiário para avaliar pacientes com desconforto precordial</w:t>
      </w:r>
      <w:r>
        <w:rPr>
          <w:spacing w:val="-4"/>
        </w:rPr>
        <w:t> </w:t>
      </w:r>
      <w:r>
        <w:rPr/>
        <w:t>na</w:t>
      </w:r>
      <w:r>
        <w:rPr>
          <w:spacing w:val="-9"/>
        </w:rPr>
        <w:t> </w:t>
      </w:r>
      <w:r>
        <w:rPr/>
        <w:t>sala</w:t>
      </w:r>
      <w:r>
        <w:rPr>
          <w:spacing w:val="-9"/>
        </w:rPr>
        <w:t> </w:t>
      </w:r>
      <w:r>
        <w:rPr/>
        <w:t>de</w:t>
      </w:r>
      <w:r>
        <w:rPr>
          <w:spacing w:val="-9"/>
        </w:rPr>
        <w:t> </w:t>
      </w:r>
      <w:r>
        <w:rPr/>
        <w:t>emergência. O</w:t>
      </w:r>
      <w:r>
        <w:rPr>
          <w:spacing w:val="-9"/>
        </w:rPr>
        <w:t> </w:t>
      </w:r>
      <w:r>
        <w:rPr/>
        <w:t>principal</w:t>
      </w:r>
      <w:r>
        <w:rPr>
          <w:spacing w:val="-4"/>
        </w:rPr>
        <w:t> </w:t>
      </w:r>
      <w:r>
        <w:rPr/>
        <w:t>critério</w:t>
      </w:r>
      <w:r>
        <w:rPr>
          <w:spacing w:val="-6"/>
        </w:rPr>
        <w:t> </w:t>
      </w:r>
      <w:r>
        <w:rPr/>
        <w:t>para</w:t>
      </w:r>
      <w:r>
        <w:rPr>
          <w:spacing w:val="-9"/>
        </w:rPr>
        <w:t> </w:t>
      </w:r>
      <w:r>
        <w:rPr/>
        <w:t>o</w:t>
      </w:r>
      <w:r>
        <w:rPr>
          <w:spacing w:val="-6"/>
        </w:rPr>
        <w:t> </w:t>
      </w:r>
      <w:r>
        <w:rPr/>
        <w:t>diagnóstico</w:t>
      </w:r>
      <w:r>
        <w:rPr>
          <w:spacing w:val="-6"/>
        </w:rPr>
        <w:t> </w:t>
      </w:r>
      <w:r>
        <w:rPr/>
        <w:t>de</w:t>
      </w:r>
      <w:r>
        <w:rPr>
          <w:spacing w:val="-9"/>
        </w:rPr>
        <w:t> </w:t>
      </w:r>
      <w:r>
        <w:rPr/>
        <w:t>IAMST</w:t>
      </w:r>
      <w:r>
        <w:rPr>
          <w:spacing w:val="-1"/>
        </w:rPr>
        <w:t> </w:t>
      </w:r>
      <w:r>
        <w:rPr/>
        <w:t>é</w:t>
      </w:r>
      <w:r>
        <w:rPr>
          <w:spacing w:val="-9"/>
        </w:rPr>
        <w:t> </w:t>
      </w:r>
      <w:r>
        <w:rPr/>
        <w:t>a</w:t>
      </w:r>
      <w:r>
        <w:rPr>
          <w:spacing w:val="-9"/>
        </w:rPr>
        <w:t> </w:t>
      </w:r>
      <w:r>
        <w:rPr/>
        <w:t>elevação</w:t>
      </w:r>
      <w:r>
        <w:rPr>
          <w:spacing w:val="-6"/>
        </w:rPr>
        <w:t> </w:t>
      </w:r>
      <w:r>
        <w:rPr/>
        <w:t>do</w:t>
      </w:r>
      <w:r>
        <w:rPr>
          <w:spacing w:val="-6"/>
        </w:rPr>
        <w:t> </w:t>
      </w:r>
      <w:r>
        <w:rPr/>
        <w:t>segmento</w:t>
      </w:r>
      <w:r>
        <w:rPr>
          <w:spacing w:val="-6"/>
        </w:rPr>
        <w:t> </w:t>
      </w:r>
      <w:r>
        <w:rPr/>
        <w:t>ST</w:t>
      </w:r>
      <w:r>
        <w:rPr>
          <w:spacing w:val="-1"/>
        </w:rPr>
        <w:t> </w:t>
      </w:r>
      <w:r>
        <w:rPr/>
        <w:t>de 1 mm ou mais em duas derivações consecutivas. Também se considera como IAMST a existência de bloqueio do ramo esquerdo (BRE) novo ou supostamente novo, junto a sintomas condizentes com isquemia. É importante afastar outras condições que elevam o segmento ST, como pericardite aguda, aneurisma ventricular esquerdo, sobrecarga</w:t>
      </w:r>
      <w:r>
        <w:rPr>
          <w:spacing w:val="-15"/>
        </w:rPr>
        <w:t> </w:t>
      </w:r>
      <w:r>
        <w:rPr/>
        <w:t>ventricular</w:t>
      </w:r>
      <w:r>
        <w:rPr>
          <w:spacing w:val="-14"/>
        </w:rPr>
        <w:t> </w:t>
      </w:r>
      <w:r>
        <w:rPr/>
        <w:t>esquerda</w:t>
      </w:r>
      <w:r>
        <w:rPr>
          <w:spacing w:val="-15"/>
        </w:rPr>
        <w:t> </w:t>
      </w:r>
      <w:r>
        <w:rPr/>
        <w:t>e</w:t>
      </w:r>
      <w:r>
        <w:rPr>
          <w:spacing w:val="-14"/>
        </w:rPr>
        <w:t> </w:t>
      </w:r>
      <w:r>
        <w:rPr/>
        <w:t>repolarização</w:t>
      </w:r>
      <w:r>
        <w:rPr>
          <w:spacing w:val="-14"/>
        </w:rPr>
        <w:t> </w:t>
      </w:r>
      <w:r>
        <w:rPr/>
        <w:t>precoce.</w:t>
      </w:r>
      <w:r>
        <w:rPr>
          <w:spacing w:val="-8"/>
        </w:rPr>
        <w:t> </w:t>
      </w:r>
      <w:r>
        <w:rPr/>
        <w:t>Os</w:t>
      </w:r>
      <w:r>
        <w:rPr>
          <w:spacing w:val="-8"/>
        </w:rPr>
        <w:t> </w:t>
      </w:r>
      <w:r>
        <w:rPr/>
        <w:t>pacientes</w:t>
      </w:r>
      <w:r>
        <w:rPr>
          <w:spacing w:val="-8"/>
        </w:rPr>
        <w:t> </w:t>
      </w:r>
      <w:r>
        <w:rPr/>
        <w:t>com</w:t>
      </w:r>
      <w:r>
        <w:rPr>
          <w:spacing w:val="-15"/>
        </w:rPr>
        <w:t> </w:t>
      </w:r>
      <w:r>
        <w:rPr/>
        <w:t>sintomatologia</w:t>
      </w:r>
      <w:r>
        <w:rPr>
          <w:spacing w:val="-14"/>
        </w:rPr>
        <w:t> </w:t>
      </w:r>
      <w:r>
        <w:rPr/>
        <w:t>compatível</w:t>
      </w:r>
      <w:r>
        <w:rPr>
          <w:spacing w:val="-11"/>
        </w:rPr>
        <w:t> </w:t>
      </w:r>
      <w:r>
        <w:rPr/>
        <w:t>com</w:t>
      </w:r>
      <w:r>
        <w:rPr>
          <w:spacing w:val="-15"/>
        </w:rPr>
        <w:t> </w:t>
      </w:r>
      <w:r>
        <w:rPr/>
        <w:t>isquemia miocárdica e BRE devem ser tratados de maneira semelhante àqueles com IAMST. O bloqueio do ramo direito (BRD) não dificulta a interpretação do ECG. Nos pacientes com IAMSST e angina instável as alterações do ECG são, principalmente, o infradesnível do segmento ST e/ou a inversão de onda T de pelo menos 0,5 mm. É importante frisar que o ECG normal não exclui diagnóstico de SCA, sendo uma das maneiras de apresentação das SCA sem supradesnível de ST.</w:t>
      </w:r>
    </w:p>
    <w:p>
      <w:pPr>
        <w:pStyle w:val="BodyText"/>
        <w:spacing w:before="88"/>
        <w:ind w:left="0" w:firstLine="0"/>
        <w:jc w:val="left"/>
      </w:pPr>
    </w:p>
    <w:p>
      <w:pPr>
        <w:pStyle w:val="BodyText"/>
        <w:spacing w:line="278" w:lineRule="auto" w:before="0"/>
        <w:ind w:right="497" w:firstLine="0"/>
        <w:jc w:val="left"/>
        <w:rPr>
          <w:rFonts w:ascii="Microsoft Sans Serif" w:hAnsi="Microsoft Sans Serif"/>
        </w:rPr>
      </w:pPr>
      <w:r>
        <w:rPr>
          <w:rFonts w:ascii="Arial" w:hAnsi="Arial"/>
          <w:b/>
          <w:color w:val="242B67"/>
        </w:rPr>
        <w:t>Tabela</w:t>
      </w:r>
      <w:r>
        <w:rPr>
          <w:rFonts w:ascii="Arial" w:hAnsi="Arial"/>
          <w:b/>
          <w:color w:val="242B67"/>
          <w:spacing w:val="-5"/>
        </w:rPr>
        <w:t> </w:t>
      </w:r>
      <w:r>
        <w:rPr>
          <w:rFonts w:ascii="Arial" w:hAnsi="Arial"/>
          <w:b/>
          <w:color w:val="242B67"/>
        </w:rPr>
        <w:t>55.4</w:t>
      </w:r>
      <w:r>
        <w:rPr>
          <w:rFonts w:ascii="Arial" w:hAnsi="Arial"/>
          <w:b/>
          <w:color w:val="242B67"/>
          <w:spacing w:val="-6"/>
        </w:rPr>
        <w:t> </w:t>
      </w:r>
      <w:r>
        <w:rPr>
          <w:rFonts w:ascii="Microsoft Sans Serif" w:hAnsi="Microsoft Sans Serif"/>
        </w:rPr>
        <w:t>Correlação</w:t>
      </w:r>
      <w:r>
        <w:rPr>
          <w:rFonts w:ascii="Microsoft Sans Serif" w:hAnsi="Microsoft Sans Serif"/>
          <w:spacing w:val="-3"/>
        </w:rPr>
        <w:t> </w:t>
      </w:r>
      <w:r>
        <w:rPr>
          <w:rFonts w:ascii="Microsoft Sans Serif" w:hAnsi="Microsoft Sans Serif"/>
        </w:rPr>
        <w:t>entre</w:t>
      </w:r>
      <w:r>
        <w:rPr>
          <w:rFonts w:ascii="Microsoft Sans Serif" w:hAnsi="Microsoft Sans Serif"/>
          <w:spacing w:val="-3"/>
        </w:rPr>
        <w:t> </w:t>
      </w:r>
      <w:r>
        <w:rPr>
          <w:rFonts w:ascii="Microsoft Sans Serif" w:hAnsi="Microsoft Sans Serif"/>
        </w:rPr>
        <w:t>derivações</w:t>
      </w:r>
      <w:r>
        <w:rPr>
          <w:rFonts w:ascii="Microsoft Sans Serif" w:hAnsi="Microsoft Sans Serif"/>
          <w:spacing w:val="-6"/>
        </w:rPr>
        <w:t> </w:t>
      </w:r>
      <w:r>
        <w:rPr>
          <w:rFonts w:ascii="Microsoft Sans Serif" w:hAnsi="Microsoft Sans Serif"/>
        </w:rPr>
        <w:t>eletrocardiográficas</w:t>
      </w:r>
      <w:r>
        <w:rPr>
          <w:rFonts w:ascii="Microsoft Sans Serif" w:hAnsi="Microsoft Sans Serif"/>
          <w:spacing w:val="-6"/>
        </w:rPr>
        <w:t> </w:t>
      </w:r>
      <w:r>
        <w:rPr>
          <w:rFonts w:ascii="Microsoft Sans Serif" w:hAnsi="Microsoft Sans Serif"/>
        </w:rPr>
        <w:t>com</w:t>
      </w:r>
      <w:r>
        <w:rPr>
          <w:rFonts w:ascii="Microsoft Sans Serif" w:hAnsi="Microsoft Sans Serif"/>
          <w:spacing w:val="-3"/>
        </w:rPr>
        <w:t> </w:t>
      </w:r>
      <w:r>
        <w:rPr>
          <w:rFonts w:ascii="Microsoft Sans Serif" w:hAnsi="Microsoft Sans Serif"/>
        </w:rPr>
        <w:t>alterações</w:t>
      </w:r>
      <w:r>
        <w:rPr>
          <w:rFonts w:ascii="Microsoft Sans Serif" w:hAnsi="Microsoft Sans Serif"/>
          <w:spacing w:val="-6"/>
        </w:rPr>
        <w:t> </w:t>
      </w:r>
      <w:r>
        <w:rPr>
          <w:rFonts w:ascii="Microsoft Sans Serif" w:hAnsi="Microsoft Sans Serif"/>
        </w:rPr>
        <w:t>isquêmicas</w:t>
      </w:r>
      <w:r>
        <w:rPr>
          <w:rFonts w:ascii="Microsoft Sans Serif" w:hAnsi="Microsoft Sans Serif"/>
          <w:spacing w:val="-6"/>
        </w:rPr>
        <w:t> </w:t>
      </w:r>
      <w:r>
        <w:rPr>
          <w:rFonts w:ascii="Microsoft Sans Serif" w:hAnsi="Microsoft Sans Serif"/>
        </w:rPr>
        <w:t>agudas</w:t>
      </w:r>
      <w:r>
        <w:rPr>
          <w:rFonts w:ascii="Microsoft Sans Serif" w:hAnsi="Microsoft Sans Serif"/>
          <w:spacing w:val="-6"/>
        </w:rPr>
        <w:t> </w:t>
      </w:r>
      <w:r>
        <w:rPr>
          <w:rFonts w:ascii="Microsoft Sans Serif" w:hAnsi="Microsoft Sans Serif"/>
        </w:rPr>
        <w:t>e território miocárdico acometido.</w:t>
      </w:r>
    </w:p>
    <w:p>
      <w:pPr>
        <w:pStyle w:val="BodyText"/>
        <w:spacing w:before="6"/>
        <w:ind w:left="0" w:firstLine="0"/>
        <w:jc w:val="left"/>
        <w:rPr>
          <w:rFonts w:ascii="Microsoft Sans Serif"/>
          <w:sz w:val="10"/>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516"/>
        <w:gridCol w:w="3492"/>
        <w:gridCol w:w="3612"/>
      </w:tblGrid>
      <w:tr>
        <w:trPr>
          <w:trHeight w:val="430" w:hRule="atLeast"/>
        </w:trPr>
        <w:tc>
          <w:tcPr>
            <w:tcW w:w="3516" w:type="dxa"/>
            <w:tcBorders>
              <w:top w:val="nil"/>
              <w:left w:val="nil"/>
            </w:tcBorders>
            <w:shd w:val="clear" w:color="auto" w:fill="242B67"/>
          </w:tcPr>
          <w:p>
            <w:pPr>
              <w:pStyle w:val="TableParagraph"/>
              <w:spacing w:before="91"/>
              <w:ind w:left="67"/>
              <w:rPr>
                <w:rFonts w:ascii="Arial"/>
                <w:b/>
                <w:sz w:val="21"/>
              </w:rPr>
            </w:pPr>
            <w:r>
              <w:rPr>
                <w:rFonts w:ascii="Arial"/>
                <w:b/>
                <w:color w:val="FFFFFF"/>
                <w:spacing w:val="-2"/>
                <w:w w:val="105"/>
                <w:sz w:val="21"/>
              </w:rPr>
              <w:t>Topografia</w:t>
            </w:r>
          </w:p>
        </w:tc>
        <w:tc>
          <w:tcPr>
            <w:tcW w:w="3492" w:type="dxa"/>
            <w:tcBorders>
              <w:top w:val="nil"/>
            </w:tcBorders>
            <w:shd w:val="clear" w:color="auto" w:fill="242B67"/>
          </w:tcPr>
          <w:p>
            <w:pPr>
              <w:pStyle w:val="TableParagraph"/>
              <w:spacing w:before="91"/>
              <w:rPr>
                <w:rFonts w:ascii="Arial" w:hAnsi="Arial"/>
                <w:b/>
                <w:sz w:val="21"/>
              </w:rPr>
            </w:pPr>
            <w:r>
              <w:rPr>
                <w:rFonts w:ascii="Arial" w:hAnsi="Arial"/>
                <w:b/>
                <w:color w:val="FFFFFF"/>
                <w:w w:val="105"/>
                <w:sz w:val="21"/>
              </w:rPr>
              <w:t>Derivações</w:t>
            </w:r>
            <w:r>
              <w:rPr>
                <w:rFonts w:ascii="Arial" w:hAnsi="Arial"/>
                <w:b/>
                <w:color w:val="FFFFFF"/>
                <w:spacing w:val="16"/>
                <w:w w:val="105"/>
                <w:sz w:val="21"/>
              </w:rPr>
              <w:t> </w:t>
            </w:r>
            <w:r>
              <w:rPr>
                <w:rFonts w:ascii="Arial" w:hAnsi="Arial"/>
                <w:b/>
                <w:color w:val="FFFFFF"/>
                <w:spacing w:val="-2"/>
                <w:w w:val="105"/>
                <w:sz w:val="21"/>
              </w:rPr>
              <w:t>alteradas</w:t>
            </w:r>
          </w:p>
        </w:tc>
        <w:tc>
          <w:tcPr>
            <w:tcW w:w="3612" w:type="dxa"/>
            <w:tcBorders>
              <w:top w:val="nil"/>
              <w:right w:val="nil"/>
            </w:tcBorders>
            <w:shd w:val="clear" w:color="auto" w:fill="242B67"/>
          </w:tcPr>
          <w:p>
            <w:pPr>
              <w:pStyle w:val="TableParagraph"/>
              <w:spacing w:before="91"/>
              <w:ind w:left="64"/>
              <w:rPr>
                <w:rFonts w:ascii="Arial" w:hAnsi="Arial"/>
                <w:b/>
                <w:sz w:val="21"/>
              </w:rPr>
            </w:pPr>
            <w:r>
              <w:rPr>
                <w:rFonts w:ascii="Arial" w:hAnsi="Arial"/>
                <w:b/>
                <w:color w:val="FFFFFF"/>
                <w:spacing w:val="-2"/>
                <w:w w:val="105"/>
                <w:sz w:val="21"/>
              </w:rPr>
              <w:t>Coronária</w:t>
            </w:r>
            <w:r>
              <w:rPr>
                <w:rFonts w:ascii="Arial" w:hAnsi="Arial"/>
                <w:b/>
                <w:color w:val="FFFFFF"/>
                <w:spacing w:val="-6"/>
                <w:w w:val="105"/>
                <w:sz w:val="21"/>
              </w:rPr>
              <w:t> </w:t>
            </w:r>
            <w:r>
              <w:rPr>
                <w:rFonts w:ascii="Arial" w:hAnsi="Arial"/>
                <w:b/>
                <w:color w:val="FFFFFF"/>
                <w:spacing w:val="-2"/>
                <w:w w:val="105"/>
                <w:sz w:val="21"/>
              </w:rPr>
              <w:t>relacionada</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Anterior</w:t>
            </w:r>
          </w:p>
        </w:tc>
        <w:tc>
          <w:tcPr>
            <w:tcW w:w="3492" w:type="dxa"/>
            <w:shd w:val="clear" w:color="auto" w:fill="EDECF3"/>
          </w:tcPr>
          <w:p>
            <w:pPr>
              <w:pStyle w:val="TableParagraph"/>
              <w:rPr>
                <w:sz w:val="21"/>
              </w:rPr>
            </w:pPr>
            <w:r>
              <w:rPr>
                <w:sz w:val="21"/>
              </w:rPr>
              <w:t>V1-</w:t>
            </w:r>
            <w:r>
              <w:rPr>
                <w:spacing w:val="-5"/>
                <w:sz w:val="21"/>
              </w:rPr>
              <w:t>V4</w:t>
            </w:r>
          </w:p>
        </w:tc>
        <w:tc>
          <w:tcPr>
            <w:tcW w:w="3612" w:type="dxa"/>
            <w:tcBorders>
              <w:right w:val="nil"/>
            </w:tcBorders>
            <w:shd w:val="clear" w:color="auto" w:fill="EDECF3"/>
          </w:tcPr>
          <w:p>
            <w:pPr>
              <w:pStyle w:val="TableParagraph"/>
              <w:ind w:left="64"/>
              <w:rPr>
                <w:sz w:val="21"/>
              </w:rPr>
            </w:pPr>
            <w:r>
              <w:rPr>
                <w:w w:val="105"/>
                <w:sz w:val="21"/>
              </w:rPr>
              <w:t>DA</w:t>
            </w:r>
            <w:r>
              <w:rPr>
                <w:spacing w:val="4"/>
                <w:w w:val="105"/>
                <w:sz w:val="21"/>
              </w:rPr>
              <w:t> </w:t>
            </w:r>
            <w:r>
              <w:rPr>
                <w:w w:val="105"/>
                <w:sz w:val="21"/>
              </w:rPr>
              <w:t>1/3</w:t>
            </w:r>
            <w:r>
              <w:rPr>
                <w:spacing w:val="12"/>
                <w:w w:val="105"/>
                <w:sz w:val="21"/>
              </w:rPr>
              <w:t> </w:t>
            </w:r>
            <w:r>
              <w:rPr>
                <w:spacing w:val="-2"/>
                <w:w w:val="105"/>
                <w:sz w:val="21"/>
              </w:rPr>
              <w:t>médio</w:t>
            </w:r>
          </w:p>
        </w:tc>
      </w:tr>
      <w:tr>
        <w:trPr>
          <w:trHeight w:val="428" w:hRule="atLeast"/>
        </w:trPr>
        <w:tc>
          <w:tcPr>
            <w:tcW w:w="3516" w:type="dxa"/>
            <w:tcBorders>
              <w:left w:val="nil"/>
            </w:tcBorders>
            <w:shd w:val="clear" w:color="auto" w:fill="EDECF3"/>
          </w:tcPr>
          <w:p>
            <w:pPr>
              <w:pStyle w:val="TableParagraph"/>
              <w:ind w:left="67"/>
              <w:rPr>
                <w:sz w:val="21"/>
              </w:rPr>
            </w:pPr>
            <w:r>
              <w:rPr>
                <w:w w:val="105"/>
                <w:sz w:val="21"/>
              </w:rPr>
              <w:t>Anterior</w:t>
            </w:r>
            <w:r>
              <w:rPr>
                <w:spacing w:val="24"/>
                <w:w w:val="105"/>
                <w:sz w:val="21"/>
              </w:rPr>
              <w:t> </w:t>
            </w:r>
            <w:r>
              <w:rPr>
                <w:spacing w:val="-2"/>
                <w:w w:val="105"/>
                <w:sz w:val="21"/>
              </w:rPr>
              <w:t>extenso</w:t>
            </w:r>
          </w:p>
        </w:tc>
        <w:tc>
          <w:tcPr>
            <w:tcW w:w="3492" w:type="dxa"/>
            <w:shd w:val="clear" w:color="auto" w:fill="EDECF3"/>
          </w:tcPr>
          <w:p>
            <w:pPr>
              <w:pStyle w:val="TableParagraph"/>
              <w:rPr>
                <w:sz w:val="21"/>
              </w:rPr>
            </w:pPr>
            <w:r>
              <w:rPr>
                <w:sz w:val="21"/>
              </w:rPr>
              <w:t>V1-</w:t>
            </w:r>
            <w:r>
              <w:rPr>
                <w:spacing w:val="-5"/>
                <w:sz w:val="21"/>
              </w:rPr>
              <w:t>V6</w:t>
            </w:r>
          </w:p>
        </w:tc>
        <w:tc>
          <w:tcPr>
            <w:tcW w:w="3612" w:type="dxa"/>
            <w:tcBorders>
              <w:right w:val="nil"/>
            </w:tcBorders>
            <w:shd w:val="clear" w:color="auto" w:fill="EDECF3"/>
          </w:tcPr>
          <w:p>
            <w:pPr>
              <w:pStyle w:val="TableParagraph"/>
              <w:ind w:left="64"/>
              <w:rPr>
                <w:sz w:val="21"/>
              </w:rPr>
            </w:pPr>
            <w:r>
              <w:rPr>
                <w:w w:val="105"/>
                <w:sz w:val="21"/>
              </w:rPr>
              <w:t>DA</w:t>
            </w:r>
            <w:r>
              <w:rPr>
                <w:spacing w:val="4"/>
                <w:w w:val="105"/>
                <w:sz w:val="21"/>
              </w:rPr>
              <w:t> </w:t>
            </w:r>
            <w:r>
              <w:rPr>
                <w:w w:val="105"/>
                <w:sz w:val="21"/>
              </w:rPr>
              <w:t>1/3</w:t>
            </w:r>
            <w:r>
              <w:rPr>
                <w:spacing w:val="12"/>
                <w:w w:val="105"/>
                <w:sz w:val="21"/>
              </w:rPr>
              <w:t> </w:t>
            </w:r>
            <w:r>
              <w:rPr>
                <w:spacing w:val="-2"/>
                <w:w w:val="105"/>
                <w:sz w:val="21"/>
              </w:rPr>
              <w:t>proximal</w:t>
            </w:r>
          </w:p>
        </w:tc>
      </w:tr>
      <w:tr>
        <w:trPr>
          <w:trHeight w:val="428" w:hRule="atLeast"/>
        </w:trPr>
        <w:tc>
          <w:tcPr>
            <w:tcW w:w="3516" w:type="dxa"/>
            <w:tcBorders>
              <w:left w:val="nil"/>
            </w:tcBorders>
            <w:shd w:val="clear" w:color="auto" w:fill="EDECF3"/>
          </w:tcPr>
          <w:p>
            <w:pPr>
              <w:pStyle w:val="TableParagraph"/>
              <w:ind w:left="67"/>
              <w:rPr>
                <w:sz w:val="21"/>
              </w:rPr>
            </w:pPr>
            <w:r>
              <w:rPr>
                <w:w w:val="105"/>
                <w:sz w:val="21"/>
              </w:rPr>
              <w:t>Inferior</w:t>
            </w:r>
            <w:r>
              <w:rPr>
                <w:spacing w:val="22"/>
                <w:w w:val="105"/>
                <w:sz w:val="21"/>
              </w:rPr>
              <w:t> </w:t>
            </w:r>
            <w:r>
              <w:rPr>
                <w:w w:val="105"/>
                <w:sz w:val="21"/>
              </w:rPr>
              <w:t>ou</w:t>
            </w:r>
            <w:r>
              <w:rPr>
                <w:spacing w:val="23"/>
                <w:w w:val="105"/>
                <w:sz w:val="21"/>
              </w:rPr>
              <w:t> </w:t>
            </w:r>
            <w:r>
              <w:rPr>
                <w:spacing w:val="-2"/>
                <w:w w:val="105"/>
                <w:sz w:val="21"/>
              </w:rPr>
              <w:t>diafragmático</w:t>
            </w:r>
          </w:p>
        </w:tc>
        <w:tc>
          <w:tcPr>
            <w:tcW w:w="3492" w:type="dxa"/>
            <w:shd w:val="clear" w:color="auto" w:fill="EDECF3"/>
          </w:tcPr>
          <w:p>
            <w:pPr>
              <w:pStyle w:val="TableParagraph"/>
              <w:rPr>
                <w:sz w:val="21"/>
              </w:rPr>
            </w:pPr>
            <w:r>
              <w:rPr>
                <w:w w:val="105"/>
                <w:sz w:val="21"/>
              </w:rPr>
              <w:t>DII,</w:t>
            </w:r>
            <w:r>
              <w:rPr>
                <w:spacing w:val="8"/>
                <w:w w:val="105"/>
                <w:sz w:val="21"/>
              </w:rPr>
              <w:t> </w:t>
            </w:r>
            <w:r>
              <w:rPr>
                <w:w w:val="105"/>
                <w:sz w:val="21"/>
              </w:rPr>
              <w:t>DIII</w:t>
            </w:r>
            <w:r>
              <w:rPr>
                <w:spacing w:val="8"/>
                <w:w w:val="105"/>
                <w:sz w:val="21"/>
              </w:rPr>
              <w:t> </w:t>
            </w:r>
            <w:r>
              <w:rPr>
                <w:w w:val="105"/>
                <w:sz w:val="21"/>
              </w:rPr>
              <w:t>e</w:t>
            </w:r>
            <w:r>
              <w:rPr>
                <w:spacing w:val="13"/>
                <w:w w:val="105"/>
                <w:sz w:val="21"/>
              </w:rPr>
              <w:t> </w:t>
            </w:r>
            <w:r>
              <w:rPr>
                <w:spacing w:val="-5"/>
                <w:w w:val="105"/>
                <w:sz w:val="21"/>
              </w:rPr>
              <w:t>aVF</w:t>
            </w:r>
          </w:p>
        </w:tc>
        <w:tc>
          <w:tcPr>
            <w:tcW w:w="3612" w:type="dxa"/>
            <w:tcBorders>
              <w:right w:val="nil"/>
            </w:tcBorders>
            <w:shd w:val="clear" w:color="auto" w:fill="EDECF3"/>
          </w:tcPr>
          <w:p>
            <w:pPr>
              <w:pStyle w:val="TableParagraph"/>
              <w:ind w:left="64"/>
              <w:rPr>
                <w:sz w:val="21"/>
              </w:rPr>
            </w:pPr>
            <w:r>
              <w:rPr>
                <w:w w:val="105"/>
                <w:sz w:val="21"/>
              </w:rPr>
              <w:t>CD</w:t>
            </w:r>
            <w:r>
              <w:rPr>
                <w:spacing w:val="7"/>
                <w:w w:val="105"/>
                <w:sz w:val="21"/>
              </w:rPr>
              <w:t> </w:t>
            </w:r>
            <w:r>
              <w:rPr>
                <w:w w:val="105"/>
                <w:sz w:val="21"/>
              </w:rPr>
              <w:t>ou</w:t>
            </w:r>
            <w:r>
              <w:rPr>
                <w:spacing w:val="11"/>
                <w:w w:val="105"/>
                <w:sz w:val="21"/>
              </w:rPr>
              <w:t> </w:t>
            </w:r>
            <w:r>
              <w:rPr>
                <w:spacing w:val="-5"/>
                <w:w w:val="105"/>
                <w:sz w:val="21"/>
              </w:rPr>
              <w:t>CX</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Lateral</w:t>
            </w:r>
          </w:p>
        </w:tc>
        <w:tc>
          <w:tcPr>
            <w:tcW w:w="3492" w:type="dxa"/>
            <w:shd w:val="clear" w:color="auto" w:fill="EDECF3"/>
          </w:tcPr>
          <w:p>
            <w:pPr>
              <w:pStyle w:val="TableParagraph"/>
              <w:rPr>
                <w:sz w:val="21"/>
              </w:rPr>
            </w:pPr>
            <w:r>
              <w:rPr>
                <w:w w:val="105"/>
                <w:sz w:val="21"/>
              </w:rPr>
              <w:t>V5,</w:t>
            </w:r>
            <w:r>
              <w:rPr>
                <w:spacing w:val="6"/>
                <w:w w:val="105"/>
                <w:sz w:val="21"/>
              </w:rPr>
              <w:t> </w:t>
            </w:r>
            <w:r>
              <w:rPr>
                <w:w w:val="105"/>
                <w:sz w:val="21"/>
              </w:rPr>
              <w:t>V6</w:t>
            </w:r>
            <w:r>
              <w:rPr>
                <w:spacing w:val="11"/>
                <w:w w:val="105"/>
                <w:sz w:val="21"/>
              </w:rPr>
              <w:t> </w:t>
            </w:r>
            <w:r>
              <w:rPr>
                <w:w w:val="105"/>
                <w:sz w:val="21"/>
              </w:rPr>
              <w:t>ou</w:t>
            </w:r>
            <w:r>
              <w:rPr>
                <w:spacing w:val="10"/>
                <w:w w:val="105"/>
                <w:sz w:val="21"/>
              </w:rPr>
              <w:t> </w:t>
            </w:r>
            <w:r>
              <w:rPr>
                <w:w w:val="105"/>
                <w:sz w:val="21"/>
              </w:rPr>
              <w:t>DI,</w:t>
            </w:r>
            <w:r>
              <w:rPr>
                <w:spacing w:val="7"/>
                <w:w w:val="105"/>
                <w:sz w:val="21"/>
              </w:rPr>
              <w:t> </w:t>
            </w:r>
            <w:r>
              <w:rPr>
                <w:spacing w:val="-5"/>
                <w:w w:val="105"/>
                <w:sz w:val="21"/>
              </w:rPr>
              <w:t>aVL</w:t>
            </w:r>
          </w:p>
        </w:tc>
        <w:tc>
          <w:tcPr>
            <w:tcW w:w="3612" w:type="dxa"/>
            <w:tcBorders>
              <w:right w:val="nil"/>
            </w:tcBorders>
            <w:shd w:val="clear" w:color="auto" w:fill="EDECF3"/>
          </w:tcPr>
          <w:p>
            <w:pPr>
              <w:pStyle w:val="TableParagraph"/>
              <w:ind w:left="64"/>
              <w:rPr>
                <w:sz w:val="21"/>
              </w:rPr>
            </w:pPr>
            <w:r>
              <w:rPr>
                <w:w w:val="105"/>
                <w:sz w:val="21"/>
              </w:rPr>
              <w:t>Dg,</w:t>
            </w:r>
            <w:r>
              <w:rPr>
                <w:spacing w:val="5"/>
                <w:w w:val="105"/>
                <w:sz w:val="21"/>
              </w:rPr>
              <w:t> </w:t>
            </w:r>
            <w:r>
              <w:rPr>
                <w:w w:val="105"/>
                <w:sz w:val="21"/>
              </w:rPr>
              <w:t>Mg</w:t>
            </w:r>
            <w:r>
              <w:rPr>
                <w:spacing w:val="10"/>
                <w:w w:val="105"/>
                <w:sz w:val="21"/>
              </w:rPr>
              <w:t> </w:t>
            </w:r>
            <w:r>
              <w:rPr>
                <w:w w:val="105"/>
                <w:sz w:val="21"/>
              </w:rPr>
              <w:t>ou</w:t>
            </w:r>
            <w:r>
              <w:rPr>
                <w:spacing w:val="10"/>
                <w:w w:val="105"/>
                <w:sz w:val="21"/>
              </w:rPr>
              <w:t> </w:t>
            </w:r>
            <w:r>
              <w:rPr>
                <w:spacing w:val="-2"/>
                <w:w w:val="105"/>
                <w:sz w:val="21"/>
              </w:rPr>
              <w:t>Dglis</w:t>
            </w:r>
          </w:p>
        </w:tc>
      </w:tr>
      <w:tr>
        <w:trPr>
          <w:trHeight w:val="428" w:hRule="atLeast"/>
        </w:trPr>
        <w:tc>
          <w:tcPr>
            <w:tcW w:w="3516" w:type="dxa"/>
            <w:tcBorders>
              <w:left w:val="nil"/>
            </w:tcBorders>
            <w:shd w:val="clear" w:color="auto" w:fill="EDECF3"/>
          </w:tcPr>
          <w:p>
            <w:pPr>
              <w:pStyle w:val="TableParagraph"/>
              <w:ind w:left="67"/>
              <w:rPr>
                <w:sz w:val="21"/>
              </w:rPr>
            </w:pPr>
            <w:r>
              <w:rPr>
                <w:w w:val="105"/>
                <w:sz w:val="21"/>
              </w:rPr>
              <w:t>Dorsal</w:t>
            </w:r>
            <w:r>
              <w:rPr>
                <w:spacing w:val="11"/>
                <w:w w:val="105"/>
                <w:sz w:val="21"/>
              </w:rPr>
              <w:t> </w:t>
            </w:r>
            <w:r>
              <w:rPr>
                <w:w w:val="105"/>
                <w:sz w:val="21"/>
              </w:rPr>
              <w:t>ou</w:t>
            </w:r>
            <w:r>
              <w:rPr>
                <w:spacing w:val="20"/>
                <w:w w:val="105"/>
                <w:sz w:val="21"/>
              </w:rPr>
              <w:t> </w:t>
            </w:r>
            <w:r>
              <w:rPr>
                <w:spacing w:val="-2"/>
                <w:w w:val="105"/>
                <w:sz w:val="21"/>
              </w:rPr>
              <w:t>posterior</w:t>
            </w:r>
          </w:p>
        </w:tc>
        <w:tc>
          <w:tcPr>
            <w:tcW w:w="3492" w:type="dxa"/>
            <w:shd w:val="clear" w:color="auto" w:fill="EDECF3"/>
          </w:tcPr>
          <w:p>
            <w:pPr>
              <w:pStyle w:val="TableParagraph"/>
              <w:rPr>
                <w:sz w:val="21"/>
              </w:rPr>
            </w:pPr>
            <w:r>
              <w:rPr>
                <w:w w:val="105"/>
                <w:sz w:val="21"/>
              </w:rPr>
              <w:t>V7,</w:t>
            </w:r>
            <w:r>
              <w:rPr>
                <w:spacing w:val="6"/>
                <w:w w:val="105"/>
                <w:sz w:val="21"/>
              </w:rPr>
              <w:t> </w:t>
            </w:r>
            <w:r>
              <w:rPr>
                <w:spacing w:val="-5"/>
                <w:w w:val="105"/>
                <w:sz w:val="21"/>
              </w:rPr>
              <w:t>V8</w:t>
            </w:r>
          </w:p>
        </w:tc>
        <w:tc>
          <w:tcPr>
            <w:tcW w:w="3612" w:type="dxa"/>
            <w:tcBorders>
              <w:right w:val="nil"/>
            </w:tcBorders>
            <w:shd w:val="clear" w:color="auto" w:fill="EDECF3"/>
          </w:tcPr>
          <w:p>
            <w:pPr>
              <w:pStyle w:val="TableParagraph"/>
              <w:ind w:left="64"/>
              <w:rPr>
                <w:sz w:val="21"/>
              </w:rPr>
            </w:pPr>
            <w:r>
              <w:rPr>
                <w:w w:val="105"/>
                <w:sz w:val="21"/>
              </w:rPr>
              <w:t>CD</w:t>
            </w:r>
            <w:r>
              <w:rPr>
                <w:spacing w:val="7"/>
                <w:w w:val="105"/>
                <w:sz w:val="21"/>
              </w:rPr>
              <w:t> </w:t>
            </w:r>
            <w:r>
              <w:rPr>
                <w:w w:val="105"/>
                <w:sz w:val="21"/>
              </w:rPr>
              <w:t>ou</w:t>
            </w:r>
            <w:r>
              <w:rPr>
                <w:spacing w:val="11"/>
                <w:w w:val="105"/>
                <w:sz w:val="21"/>
              </w:rPr>
              <w:t> </w:t>
            </w:r>
            <w:r>
              <w:rPr>
                <w:spacing w:val="-5"/>
                <w:w w:val="105"/>
                <w:sz w:val="21"/>
              </w:rPr>
              <w:t>CX</w:t>
            </w:r>
          </w:p>
        </w:tc>
      </w:tr>
      <w:tr>
        <w:trPr>
          <w:trHeight w:val="430" w:hRule="atLeast"/>
        </w:trPr>
        <w:tc>
          <w:tcPr>
            <w:tcW w:w="3516" w:type="dxa"/>
            <w:tcBorders>
              <w:left w:val="nil"/>
              <w:bottom w:val="nil"/>
            </w:tcBorders>
            <w:shd w:val="clear" w:color="auto" w:fill="EDECF3"/>
          </w:tcPr>
          <w:p>
            <w:pPr>
              <w:pStyle w:val="TableParagraph"/>
              <w:ind w:left="67"/>
              <w:rPr>
                <w:sz w:val="21"/>
              </w:rPr>
            </w:pPr>
            <w:r>
              <w:rPr>
                <w:w w:val="105"/>
                <w:sz w:val="21"/>
              </w:rPr>
              <w:t>Ventrículo</w:t>
            </w:r>
            <w:r>
              <w:rPr>
                <w:spacing w:val="37"/>
                <w:w w:val="105"/>
                <w:sz w:val="21"/>
              </w:rPr>
              <w:t> </w:t>
            </w:r>
            <w:r>
              <w:rPr>
                <w:spacing w:val="-2"/>
                <w:w w:val="105"/>
                <w:sz w:val="21"/>
              </w:rPr>
              <w:t>direito</w:t>
            </w:r>
          </w:p>
        </w:tc>
        <w:tc>
          <w:tcPr>
            <w:tcW w:w="3492" w:type="dxa"/>
            <w:tcBorders>
              <w:bottom w:val="nil"/>
            </w:tcBorders>
            <w:shd w:val="clear" w:color="auto" w:fill="EDECF3"/>
          </w:tcPr>
          <w:p>
            <w:pPr>
              <w:pStyle w:val="TableParagraph"/>
              <w:rPr>
                <w:sz w:val="21"/>
              </w:rPr>
            </w:pPr>
            <w:r>
              <w:rPr>
                <w:w w:val="105"/>
                <w:sz w:val="21"/>
              </w:rPr>
              <w:t>V3R</w:t>
            </w:r>
            <w:r>
              <w:rPr>
                <w:spacing w:val="5"/>
                <w:w w:val="105"/>
                <w:sz w:val="21"/>
              </w:rPr>
              <w:t> </w:t>
            </w:r>
            <w:r>
              <w:rPr>
                <w:w w:val="105"/>
                <w:sz w:val="21"/>
              </w:rPr>
              <w:t>e</w:t>
            </w:r>
            <w:r>
              <w:rPr>
                <w:spacing w:val="9"/>
                <w:w w:val="105"/>
                <w:sz w:val="21"/>
              </w:rPr>
              <w:t> </w:t>
            </w:r>
            <w:r>
              <w:rPr>
                <w:spacing w:val="-5"/>
                <w:w w:val="105"/>
                <w:sz w:val="21"/>
              </w:rPr>
              <w:t>V4R</w:t>
            </w:r>
          </w:p>
        </w:tc>
        <w:tc>
          <w:tcPr>
            <w:tcW w:w="3612" w:type="dxa"/>
            <w:tcBorders>
              <w:bottom w:val="nil"/>
              <w:right w:val="nil"/>
            </w:tcBorders>
            <w:shd w:val="clear" w:color="auto" w:fill="EDECF3"/>
          </w:tcPr>
          <w:p>
            <w:pPr>
              <w:pStyle w:val="TableParagraph"/>
              <w:ind w:left="64"/>
              <w:rPr>
                <w:sz w:val="21"/>
              </w:rPr>
            </w:pPr>
            <w:r>
              <w:rPr>
                <w:w w:val="105"/>
                <w:sz w:val="21"/>
              </w:rPr>
              <w:t>CD</w:t>
            </w:r>
            <w:r>
              <w:rPr>
                <w:spacing w:val="7"/>
                <w:w w:val="105"/>
                <w:sz w:val="21"/>
              </w:rPr>
              <w:t> </w:t>
            </w:r>
            <w:r>
              <w:rPr>
                <w:w w:val="105"/>
                <w:sz w:val="21"/>
              </w:rPr>
              <w:t>ou</w:t>
            </w:r>
            <w:r>
              <w:rPr>
                <w:spacing w:val="11"/>
                <w:w w:val="105"/>
                <w:sz w:val="21"/>
              </w:rPr>
              <w:t> </w:t>
            </w:r>
            <w:r>
              <w:rPr>
                <w:spacing w:val="-5"/>
                <w:w w:val="105"/>
                <w:sz w:val="21"/>
              </w:rPr>
              <w:t>CX</w:t>
            </w:r>
          </w:p>
        </w:tc>
      </w:tr>
    </w:tbl>
    <w:p>
      <w:pPr>
        <w:spacing w:line="285" w:lineRule="auto" w:before="164"/>
        <w:ind w:left="68" w:right="0" w:firstLine="0"/>
        <w:jc w:val="left"/>
        <w:rPr>
          <w:rFonts w:ascii="Microsoft Sans Serif" w:hAnsi="Microsoft Sans Serif"/>
          <w:sz w:val="19"/>
        </w:rPr>
      </w:pPr>
      <w:r>
        <w:rPr>
          <w:rFonts w:ascii="Microsoft Sans Serif" w:hAnsi="Microsoft Sans Serif"/>
          <w:sz w:val="19"/>
        </w:rPr>
        <w:t>DA = artéria</w:t>
      </w:r>
      <w:r>
        <w:rPr>
          <w:rFonts w:ascii="Microsoft Sans Serif" w:hAnsi="Microsoft Sans Serif"/>
          <w:spacing w:val="19"/>
          <w:sz w:val="19"/>
        </w:rPr>
        <w:t> </w:t>
      </w:r>
      <w:r>
        <w:rPr>
          <w:rFonts w:ascii="Microsoft Sans Serif" w:hAnsi="Microsoft Sans Serif"/>
          <w:sz w:val="19"/>
        </w:rPr>
        <w:t>descendente</w:t>
      </w:r>
      <w:r>
        <w:rPr>
          <w:rFonts w:ascii="Microsoft Sans Serif" w:hAnsi="Microsoft Sans Serif"/>
          <w:spacing w:val="19"/>
          <w:sz w:val="19"/>
        </w:rPr>
        <w:t> </w:t>
      </w:r>
      <w:r>
        <w:rPr>
          <w:rFonts w:ascii="Microsoft Sans Serif" w:hAnsi="Microsoft Sans Serif"/>
          <w:sz w:val="19"/>
        </w:rPr>
        <w:t>anterior; CD</w:t>
      </w:r>
      <w:r>
        <w:rPr>
          <w:rFonts w:ascii="Microsoft Sans Serif" w:hAnsi="Microsoft Sans Serif"/>
          <w:spacing w:val="19"/>
          <w:sz w:val="19"/>
        </w:rPr>
        <w:t> </w:t>
      </w:r>
      <w:r>
        <w:rPr>
          <w:rFonts w:ascii="Microsoft Sans Serif" w:hAnsi="Microsoft Sans Serif"/>
          <w:sz w:val="19"/>
        </w:rPr>
        <w:t>= coronária</w:t>
      </w:r>
      <w:r>
        <w:rPr>
          <w:rFonts w:ascii="Microsoft Sans Serif" w:hAnsi="Microsoft Sans Serif"/>
          <w:spacing w:val="19"/>
          <w:sz w:val="19"/>
        </w:rPr>
        <w:t> </w:t>
      </w:r>
      <w:r>
        <w:rPr>
          <w:rFonts w:ascii="Microsoft Sans Serif" w:hAnsi="Microsoft Sans Serif"/>
          <w:sz w:val="19"/>
        </w:rPr>
        <w:t>direita; CX = artéria</w:t>
      </w:r>
      <w:r>
        <w:rPr>
          <w:rFonts w:ascii="Microsoft Sans Serif" w:hAnsi="Microsoft Sans Serif"/>
          <w:spacing w:val="19"/>
          <w:sz w:val="19"/>
        </w:rPr>
        <w:t> </w:t>
      </w:r>
      <w:r>
        <w:rPr>
          <w:rFonts w:ascii="Microsoft Sans Serif" w:hAnsi="Microsoft Sans Serif"/>
          <w:sz w:val="19"/>
        </w:rPr>
        <w:t>circunflexa; Dg</w:t>
      </w:r>
      <w:r>
        <w:rPr>
          <w:rFonts w:ascii="Microsoft Sans Serif" w:hAnsi="Microsoft Sans Serif"/>
          <w:spacing w:val="19"/>
          <w:sz w:val="19"/>
        </w:rPr>
        <w:t> </w:t>
      </w:r>
      <w:r>
        <w:rPr>
          <w:rFonts w:ascii="Microsoft Sans Serif" w:hAnsi="Microsoft Sans Serif"/>
          <w:sz w:val="19"/>
        </w:rPr>
        <w:t>= diagonal; Mg</w:t>
      </w:r>
      <w:r>
        <w:rPr>
          <w:rFonts w:ascii="Microsoft Sans Serif" w:hAnsi="Microsoft Sans Serif"/>
          <w:spacing w:val="19"/>
          <w:sz w:val="19"/>
        </w:rPr>
        <w:t> </w:t>
      </w:r>
      <w:r>
        <w:rPr>
          <w:rFonts w:ascii="Microsoft Sans Serif" w:hAnsi="Microsoft Sans Serif"/>
          <w:sz w:val="19"/>
        </w:rPr>
        <w:t>= marginal; Dglis = </w:t>
      </w:r>
      <w:r>
        <w:rPr>
          <w:rFonts w:ascii="Microsoft Sans Serif" w:hAnsi="Microsoft Sans Serif"/>
          <w:spacing w:val="-2"/>
          <w:sz w:val="19"/>
        </w:rPr>
        <w:t>diagonalis.</w:t>
      </w:r>
    </w:p>
    <w:p>
      <w:pPr>
        <w:pStyle w:val="BodyText"/>
        <w:spacing w:before="66"/>
        <w:ind w:left="0" w:firstLine="0"/>
        <w:jc w:val="left"/>
        <w:rPr>
          <w:rFonts w:ascii="Microsoft Sans Serif"/>
          <w:sz w:val="19"/>
        </w:rPr>
      </w:pPr>
    </w:p>
    <w:p>
      <w:pPr>
        <w:pStyle w:val="BodyText"/>
        <w:spacing w:line="278" w:lineRule="auto" w:before="0"/>
        <w:ind w:right="487"/>
      </w:pPr>
      <w:r>
        <w:rPr/>
        <w:t>O</w:t>
      </w:r>
      <w:r>
        <w:rPr>
          <w:spacing w:val="-5"/>
        </w:rPr>
        <w:t> </w:t>
      </w:r>
      <w:r>
        <w:rPr/>
        <w:t>diagnóstico</w:t>
      </w:r>
      <w:r>
        <w:rPr>
          <w:spacing w:val="-2"/>
        </w:rPr>
        <w:t> </w:t>
      </w:r>
      <w:r>
        <w:rPr/>
        <w:t>de</w:t>
      </w:r>
      <w:r>
        <w:rPr>
          <w:spacing w:val="-5"/>
        </w:rPr>
        <w:t> </w:t>
      </w:r>
      <w:r>
        <w:rPr/>
        <w:t>SCA</w:t>
      </w:r>
      <w:r>
        <w:rPr>
          <w:spacing w:val="-5"/>
        </w:rPr>
        <w:t> </w:t>
      </w:r>
      <w:r>
        <w:rPr/>
        <w:t>é</w:t>
      </w:r>
      <w:r>
        <w:rPr>
          <w:spacing w:val="-5"/>
        </w:rPr>
        <w:t> </w:t>
      </w:r>
      <w:r>
        <w:rPr/>
        <w:t>determinado</w:t>
      </w:r>
      <w:r>
        <w:rPr>
          <w:spacing w:val="-2"/>
        </w:rPr>
        <w:t> </w:t>
      </w:r>
      <w:r>
        <w:rPr/>
        <w:t>pela</w:t>
      </w:r>
      <w:r>
        <w:rPr>
          <w:spacing w:val="-5"/>
        </w:rPr>
        <w:t> </w:t>
      </w:r>
      <w:r>
        <w:rPr/>
        <w:t>história</w:t>
      </w:r>
      <w:r>
        <w:rPr>
          <w:spacing w:val="-5"/>
        </w:rPr>
        <w:t> </w:t>
      </w:r>
      <w:r>
        <w:rPr/>
        <w:t>e</w:t>
      </w:r>
      <w:r>
        <w:rPr>
          <w:spacing w:val="-5"/>
        </w:rPr>
        <w:t> </w:t>
      </w:r>
      <w:r>
        <w:rPr/>
        <w:t>auxiliado</w:t>
      </w:r>
      <w:r>
        <w:rPr>
          <w:spacing w:val="-2"/>
        </w:rPr>
        <w:t> </w:t>
      </w:r>
      <w:r>
        <w:rPr/>
        <w:t>pelo</w:t>
      </w:r>
      <w:r>
        <w:rPr>
          <w:spacing w:val="-2"/>
        </w:rPr>
        <w:t> </w:t>
      </w:r>
      <w:r>
        <w:rPr/>
        <w:t>ECG. A</w:t>
      </w:r>
      <w:r>
        <w:rPr>
          <w:spacing w:val="-5"/>
        </w:rPr>
        <w:t> </w:t>
      </w:r>
      <w:r>
        <w:rPr/>
        <w:t>distinção</w:t>
      </w:r>
      <w:r>
        <w:rPr>
          <w:spacing w:val="-2"/>
        </w:rPr>
        <w:t> </w:t>
      </w:r>
      <w:r>
        <w:rPr/>
        <w:t>entre</w:t>
      </w:r>
      <w:r>
        <w:rPr>
          <w:spacing w:val="-5"/>
        </w:rPr>
        <w:t> </w:t>
      </w:r>
      <w:r>
        <w:rPr/>
        <w:t>angina</w:t>
      </w:r>
      <w:r>
        <w:rPr>
          <w:spacing w:val="-5"/>
        </w:rPr>
        <w:t> </w:t>
      </w:r>
      <w:r>
        <w:rPr/>
        <w:t>e</w:t>
      </w:r>
      <w:r>
        <w:rPr>
          <w:spacing w:val="-5"/>
        </w:rPr>
        <w:t> </w:t>
      </w:r>
      <w:r>
        <w:rPr/>
        <w:t>IAM é</w:t>
      </w:r>
      <w:r>
        <w:rPr>
          <w:spacing w:val="-5"/>
        </w:rPr>
        <w:t> </w:t>
      </w:r>
      <w:r>
        <w:rPr/>
        <w:t>feita pela mensuração de marcadores</w:t>
      </w:r>
      <w:r>
        <w:rPr>
          <w:spacing w:val="12"/>
        </w:rPr>
        <w:t> </w:t>
      </w:r>
      <w:r>
        <w:rPr/>
        <w:t>de lesão miocárdica.</w:t>
      </w:r>
      <w:r>
        <w:rPr>
          <w:spacing w:val="12"/>
        </w:rPr>
        <w:t> </w:t>
      </w:r>
      <w:r>
        <w:rPr/>
        <w:t>São dois</w:t>
      </w:r>
      <w:r>
        <w:rPr>
          <w:spacing w:val="12"/>
        </w:rPr>
        <w:t> </w:t>
      </w:r>
      <w:r>
        <w:rPr/>
        <w:t>os</w:t>
      </w:r>
      <w:r>
        <w:rPr>
          <w:spacing w:val="12"/>
        </w:rPr>
        <w:t> </w:t>
      </w:r>
      <w:r>
        <w:rPr/>
        <w:t>mais</w:t>
      </w:r>
      <w:r>
        <w:rPr>
          <w:spacing w:val="12"/>
        </w:rPr>
        <w:t> </w:t>
      </w:r>
      <w:r>
        <w:rPr/>
        <w:t>utilizados: CK-MB</w:t>
      </w:r>
      <w:r>
        <w:rPr>
          <w:spacing w:val="12"/>
        </w:rPr>
        <w:t> </w:t>
      </w:r>
      <w:r>
        <w:rPr/>
        <w:t>e troponina.</w:t>
      </w:r>
      <w:r>
        <w:rPr>
          <w:spacing w:val="12"/>
        </w:rPr>
        <w:t> </w:t>
      </w:r>
      <w:r>
        <w:rPr/>
        <w:t>A CK-MB é uma isoenzima da CK (creatinoquinase) que existe principalmente no miocárdio, mas também no músculo esquelético</w:t>
      </w:r>
      <w:r>
        <w:rPr>
          <w:spacing w:val="-2"/>
        </w:rPr>
        <w:t> </w:t>
      </w:r>
      <w:r>
        <w:rPr/>
        <w:t>(1</w:t>
      </w:r>
      <w:r>
        <w:rPr>
          <w:spacing w:val="-2"/>
        </w:rPr>
        <w:t> </w:t>
      </w:r>
      <w:r>
        <w:rPr/>
        <w:t>a</w:t>
      </w:r>
      <w:r>
        <w:rPr>
          <w:spacing w:val="-5"/>
        </w:rPr>
        <w:t> </w:t>
      </w:r>
      <w:r>
        <w:rPr/>
        <w:t>2%). Níveis elevados de</w:t>
      </w:r>
      <w:r>
        <w:rPr>
          <w:spacing w:val="-5"/>
        </w:rPr>
        <w:t> </w:t>
      </w:r>
      <w:r>
        <w:rPr/>
        <w:t>CK-MB podem</w:t>
      </w:r>
      <w:r>
        <w:rPr>
          <w:spacing w:val="-2"/>
        </w:rPr>
        <w:t> </w:t>
      </w:r>
      <w:r>
        <w:rPr/>
        <w:t>ser encontrados 4</w:t>
      </w:r>
      <w:r>
        <w:rPr>
          <w:spacing w:val="-2"/>
        </w:rPr>
        <w:t> </w:t>
      </w:r>
      <w:r>
        <w:rPr/>
        <w:t>a</w:t>
      </w:r>
      <w:r>
        <w:rPr>
          <w:spacing w:val="-5"/>
        </w:rPr>
        <w:t> </w:t>
      </w:r>
      <w:r>
        <w:rPr/>
        <w:t>6</w:t>
      </w:r>
      <w:r>
        <w:rPr>
          <w:spacing w:val="-2"/>
        </w:rPr>
        <w:t> </w:t>
      </w:r>
      <w:r>
        <w:rPr/>
        <w:t>h</w:t>
      </w:r>
      <w:r>
        <w:rPr>
          <w:spacing w:val="-2"/>
        </w:rPr>
        <w:t> </w:t>
      </w:r>
      <w:r>
        <w:rPr/>
        <w:t>após o</w:t>
      </w:r>
      <w:r>
        <w:rPr>
          <w:spacing w:val="-2"/>
        </w:rPr>
        <w:t> </w:t>
      </w:r>
      <w:r>
        <w:rPr/>
        <w:t>infarto, com</w:t>
      </w:r>
      <w:r>
        <w:rPr>
          <w:spacing w:val="-2"/>
        </w:rPr>
        <w:t> </w:t>
      </w:r>
      <w:r>
        <w:rPr/>
        <w:t>níveis de</w:t>
      </w:r>
      <w:r>
        <w:rPr>
          <w:spacing w:val="-5"/>
        </w:rPr>
        <w:t> </w:t>
      </w:r>
      <w:r>
        <w:rPr/>
        <w:t>pico entre 9 e 30 h, e retornando ao normal entre 48 e 72 h. Nos últimos anos, tem-se dado importância à dosagem de CK-MB massa, ao contrário da atividade, com sensibilidade maior. A CK-MB massa é importante também na diferenciação entre lesão miocárdica e lesão não miocárdica. Um dos critérios é o índice de CK-MB massa, calculado pela razão CK-MB massa/CK × 100. Razões acima de 20% são consideradas sugestivas de dano </w:t>
      </w:r>
      <w:r>
        <w:rPr>
          <w:spacing w:val="-2"/>
        </w:rPr>
        <w:t>miocárdico.</w:t>
      </w:r>
      <w:r>
        <w:rPr>
          <w:spacing w:val="-2"/>
          <w:vertAlign w:val="superscript"/>
        </w:rPr>
        <w:t>17</w:t>
      </w:r>
    </w:p>
    <w:p>
      <w:pPr>
        <w:pStyle w:val="BodyText"/>
        <w:spacing w:line="278" w:lineRule="auto" w:before="58"/>
        <w:ind w:right="497"/>
      </w:pPr>
      <w:r>
        <w:rPr/>
        <w:t>As troponinas são proteínas do complexo miofibrilar, o qual não existe no músculo liso. Existem três subunidades: T, I e C. Clinicamente, as mais importantes são a troponina T e a troponina I. As concentrações séricas de ambas começam a elevar-se em torno de 4 a 6 h após o IAM e permanecem elevadas por vários dias. A troponina T tende a atingir o pico mais tardiamente e permanece elevada por mais tempo que a troponina I. Dano miocárdico</w:t>
      </w:r>
      <w:r>
        <w:rPr>
          <w:spacing w:val="-5"/>
        </w:rPr>
        <w:t> </w:t>
      </w:r>
      <w:r>
        <w:rPr/>
        <w:t>de</w:t>
      </w:r>
      <w:r>
        <w:rPr>
          <w:spacing w:val="-8"/>
        </w:rPr>
        <w:t> </w:t>
      </w:r>
      <w:r>
        <w:rPr/>
        <w:t>origem</w:t>
      </w:r>
      <w:r>
        <w:rPr>
          <w:spacing w:val="-5"/>
        </w:rPr>
        <w:t> </w:t>
      </w:r>
      <w:r>
        <w:rPr/>
        <w:t>não</w:t>
      </w:r>
      <w:r>
        <w:rPr>
          <w:spacing w:val="-5"/>
        </w:rPr>
        <w:t> </w:t>
      </w:r>
      <w:r>
        <w:rPr/>
        <w:t>isquêmica</w:t>
      </w:r>
      <w:r>
        <w:rPr>
          <w:spacing w:val="-8"/>
        </w:rPr>
        <w:t> </w:t>
      </w:r>
      <w:r>
        <w:rPr/>
        <w:t>pode</w:t>
      </w:r>
      <w:r>
        <w:rPr>
          <w:spacing w:val="-8"/>
        </w:rPr>
        <w:t> </w:t>
      </w:r>
      <w:r>
        <w:rPr/>
        <w:t>ser responsável</w:t>
      </w:r>
      <w:r>
        <w:rPr>
          <w:spacing w:val="-3"/>
        </w:rPr>
        <w:t> </w:t>
      </w:r>
      <w:r>
        <w:rPr/>
        <w:t>pela</w:t>
      </w:r>
      <w:r>
        <w:rPr>
          <w:spacing w:val="-8"/>
        </w:rPr>
        <w:t> </w:t>
      </w:r>
      <w:r>
        <w:rPr/>
        <w:t>elevação</w:t>
      </w:r>
      <w:r>
        <w:rPr>
          <w:spacing w:val="-5"/>
        </w:rPr>
        <w:t> </w:t>
      </w:r>
      <w:r>
        <w:rPr/>
        <w:t>das troponinas T e</w:t>
      </w:r>
      <w:r>
        <w:rPr>
          <w:spacing w:val="-8"/>
        </w:rPr>
        <w:t> </w:t>
      </w:r>
      <w:r>
        <w:rPr/>
        <w:t>I (contusão</w:t>
      </w:r>
      <w:r>
        <w:rPr>
          <w:spacing w:val="-5"/>
        </w:rPr>
        <w:t> </w:t>
      </w:r>
      <w:r>
        <w:rPr/>
        <w:t>miocárdica, cirurgia cardíaca, ablação, choques de desfibrilador, miocardite e uso de agentes cardiotóxicos). Outras situações estão</w:t>
      </w:r>
      <w:r>
        <w:rPr>
          <w:spacing w:val="-2"/>
        </w:rPr>
        <w:t> </w:t>
      </w:r>
      <w:r>
        <w:rPr/>
        <w:t>associadas à</w:t>
      </w:r>
      <w:r>
        <w:rPr>
          <w:spacing w:val="-4"/>
        </w:rPr>
        <w:t> </w:t>
      </w:r>
      <w:r>
        <w:rPr/>
        <w:t>elevação</w:t>
      </w:r>
      <w:r>
        <w:rPr>
          <w:spacing w:val="-2"/>
        </w:rPr>
        <w:t> </w:t>
      </w:r>
      <w:r>
        <w:rPr/>
        <w:t>das troponinas, entre</w:t>
      </w:r>
      <w:r>
        <w:rPr>
          <w:spacing w:val="-4"/>
        </w:rPr>
        <w:t> </w:t>
      </w:r>
      <w:r>
        <w:rPr/>
        <w:t>elas insuficiência</w:t>
      </w:r>
      <w:r>
        <w:rPr>
          <w:spacing w:val="-4"/>
        </w:rPr>
        <w:t> </w:t>
      </w:r>
      <w:r>
        <w:rPr/>
        <w:t>cardíaca, sepse, insuficiência</w:t>
      </w:r>
      <w:r>
        <w:rPr>
          <w:spacing w:val="-4"/>
        </w:rPr>
        <w:t> </w:t>
      </w:r>
      <w:r>
        <w:rPr/>
        <w:t>renal, hipertensão pulmonar, TEP, doenças infiltrativas (amiloidose e sarcoidose), exercício extenuante, entre outros.</w:t>
      </w:r>
      <w:r>
        <w:rPr>
          <w:vertAlign w:val="superscript"/>
        </w:rPr>
        <w:t>3</w:t>
      </w:r>
      <w:r>
        <w:rPr>
          <w:vertAlign w:val="baseline"/>
        </w:rPr>
        <w:t> Em uma metanálise, Newby e Ohman observaram que as sensibilidades da troponina T e da CK-MB para o diagnóstico de IAM foram semelhantes (98 e 97%, respectivamente), porém a especificidade da troponina T foi menor que a da CK-MB (68 </w:t>
      </w:r>
      <w:r>
        <w:rPr>
          <w:i/>
          <w:vertAlign w:val="baseline"/>
        </w:rPr>
        <w:t>versus </w:t>
      </w:r>
      <w:r>
        <w:rPr>
          <w:vertAlign w:val="baseline"/>
        </w:rPr>
        <w:t>90%).</w:t>
      </w:r>
      <w:r>
        <w:rPr>
          <w:vertAlign w:val="superscript"/>
        </w:rPr>
        <w:t>18</w:t>
      </w:r>
      <w:r>
        <w:rPr>
          <w:vertAlign w:val="baseline"/>
        </w:rPr>
        <w:t> Há autores que sugerem que, como no IAMST já existe alteração diagnóstica, a dosagem</w:t>
      </w:r>
      <w:r>
        <w:rPr>
          <w:spacing w:val="-1"/>
          <w:vertAlign w:val="baseline"/>
        </w:rPr>
        <w:t> </w:t>
      </w:r>
      <w:r>
        <w:rPr>
          <w:vertAlign w:val="baseline"/>
        </w:rPr>
        <w:t>de</w:t>
      </w:r>
      <w:r>
        <w:rPr>
          <w:spacing w:val="-5"/>
          <w:vertAlign w:val="baseline"/>
        </w:rPr>
        <w:t> </w:t>
      </w:r>
      <w:r>
        <w:rPr>
          <w:vertAlign w:val="baseline"/>
        </w:rPr>
        <w:t>troponina</w:t>
      </w:r>
      <w:r>
        <w:rPr>
          <w:spacing w:val="-5"/>
          <w:vertAlign w:val="baseline"/>
        </w:rPr>
        <w:t> </w:t>
      </w:r>
      <w:r>
        <w:rPr>
          <w:vertAlign w:val="baseline"/>
        </w:rPr>
        <w:t>não</w:t>
      </w:r>
      <w:r>
        <w:rPr>
          <w:spacing w:val="-1"/>
          <w:vertAlign w:val="baseline"/>
        </w:rPr>
        <w:t> </w:t>
      </w:r>
      <w:r>
        <w:rPr>
          <w:vertAlign w:val="baseline"/>
        </w:rPr>
        <w:t>é</w:t>
      </w:r>
      <w:r>
        <w:rPr>
          <w:spacing w:val="-5"/>
          <w:vertAlign w:val="baseline"/>
        </w:rPr>
        <w:t> </w:t>
      </w:r>
      <w:r>
        <w:rPr>
          <w:vertAlign w:val="baseline"/>
        </w:rPr>
        <w:t>obrigatória, sendo</w:t>
      </w:r>
      <w:r>
        <w:rPr>
          <w:spacing w:val="-1"/>
          <w:vertAlign w:val="baseline"/>
        </w:rPr>
        <w:t> </w:t>
      </w:r>
      <w:r>
        <w:rPr>
          <w:vertAlign w:val="baseline"/>
        </w:rPr>
        <w:t>a</w:t>
      </w:r>
      <w:r>
        <w:rPr>
          <w:spacing w:val="-5"/>
          <w:vertAlign w:val="baseline"/>
        </w:rPr>
        <w:t> </w:t>
      </w:r>
      <w:r>
        <w:rPr>
          <w:vertAlign w:val="baseline"/>
        </w:rPr>
        <w:t>curva</w:t>
      </w:r>
      <w:r>
        <w:rPr>
          <w:spacing w:val="-5"/>
          <w:vertAlign w:val="baseline"/>
        </w:rPr>
        <w:t> </w:t>
      </w:r>
      <w:r>
        <w:rPr>
          <w:vertAlign w:val="baseline"/>
        </w:rPr>
        <w:t>da</w:t>
      </w:r>
      <w:r>
        <w:rPr>
          <w:spacing w:val="-5"/>
          <w:vertAlign w:val="baseline"/>
        </w:rPr>
        <w:t> </w:t>
      </w:r>
      <w:r>
        <w:rPr>
          <w:vertAlign w:val="baseline"/>
        </w:rPr>
        <w:t>CK-MB o</w:t>
      </w:r>
      <w:r>
        <w:rPr>
          <w:spacing w:val="-1"/>
          <w:vertAlign w:val="baseline"/>
        </w:rPr>
        <w:t> </w:t>
      </w:r>
      <w:r>
        <w:rPr>
          <w:vertAlign w:val="baseline"/>
        </w:rPr>
        <w:t>principal parâmetro</w:t>
      </w:r>
      <w:r>
        <w:rPr>
          <w:spacing w:val="-1"/>
          <w:vertAlign w:val="baseline"/>
        </w:rPr>
        <w:t> </w:t>
      </w:r>
      <w:r>
        <w:rPr>
          <w:vertAlign w:val="baseline"/>
        </w:rPr>
        <w:t>para</w:t>
      </w:r>
      <w:r>
        <w:rPr>
          <w:spacing w:val="-5"/>
          <w:vertAlign w:val="baseline"/>
        </w:rPr>
        <w:t> </w:t>
      </w:r>
      <w:r>
        <w:rPr>
          <w:vertAlign w:val="baseline"/>
        </w:rPr>
        <w:t>avaliar o</w:t>
      </w:r>
      <w:r>
        <w:rPr>
          <w:spacing w:val="-1"/>
          <w:vertAlign w:val="baseline"/>
        </w:rPr>
        <w:t> </w:t>
      </w:r>
      <w:r>
        <w:rPr>
          <w:vertAlign w:val="baseline"/>
        </w:rPr>
        <w:t>prognóstico desses pacientes.</w:t>
      </w:r>
    </w:p>
    <w:p>
      <w:pPr>
        <w:pStyle w:val="BodyText"/>
        <w:spacing w:before="64"/>
        <w:ind w:left="414" w:firstLine="0"/>
      </w:pPr>
      <w:r>
        <w:rPr/>
        <w:t>Um</w:t>
      </w:r>
      <w:r>
        <w:rPr>
          <w:spacing w:val="-6"/>
        </w:rPr>
        <w:t> </w:t>
      </w:r>
      <w:r>
        <w:rPr/>
        <w:t>terceiro</w:t>
      </w:r>
      <w:r>
        <w:rPr>
          <w:spacing w:val="-3"/>
        </w:rPr>
        <w:t> </w:t>
      </w:r>
      <w:r>
        <w:rPr/>
        <w:t>marcador</w:t>
      </w:r>
      <w:r>
        <w:rPr>
          <w:spacing w:val="3"/>
        </w:rPr>
        <w:t> </w:t>
      </w:r>
      <w:r>
        <w:rPr/>
        <w:t>de</w:t>
      </w:r>
      <w:r>
        <w:rPr>
          <w:spacing w:val="-6"/>
        </w:rPr>
        <w:t> </w:t>
      </w:r>
      <w:r>
        <w:rPr/>
        <w:t>lesão</w:t>
      </w:r>
      <w:r>
        <w:rPr>
          <w:spacing w:val="-3"/>
        </w:rPr>
        <w:t> </w:t>
      </w:r>
      <w:r>
        <w:rPr/>
        <w:t>miocárdica</w:t>
      </w:r>
      <w:r>
        <w:rPr>
          <w:spacing w:val="-6"/>
        </w:rPr>
        <w:t> </w:t>
      </w:r>
      <w:r>
        <w:rPr/>
        <w:t>é</w:t>
      </w:r>
      <w:r>
        <w:rPr>
          <w:spacing w:val="-6"/>
        </w:rPr>
        <w:t> </w:t>
      </w:r>
      <w:r>
        <w:rPr/>
        <w:t>a</w:t>
      </w:r>
      <w:r>
        <w:rPr>
          <w:spacing w:val="-6"/>
        </w:rPr>
        <w:t> </w:t>
      </w:r>
      <w:r>
        <w:rPr/>
        <w:t>mioglobina,</w:t>
      </w:r>
      <w:r>
        <w:rPr>
          <w:spacing w:val="5"/>
        </w:rPr>
        <w:t> </w:t>
      </w:r>
      <w:r>
        <w:rPr/>
        <w:t>que</w:t>
      </w:r>
      <w:r>
        <w:rPr>
          <w:spacing w:val="-6"/>
        </w:rPr>
        <w:t> </w:t>
      </w:r>
      <w:r>
        <w:rPr/>
        <w:t>é</w:t>
      </w:r>
      <w:r>
        <w:rPr>
          <w:spacing w:val="-6"/>
        </w:rPr>
        <w:t> </w:t>
      </w:r>
      <w:r>
        <w:rPr/>
        <w:t>sensível,</w:t>
      </w:r>
      <w:r>
        <w:rPr>
          <w:spacing w:val="4"/>
        </w:rPr>
        <w:t> </w:t>
      </w:r>
      <w:r>
        <w:rPr/>
        <w:t>porém</w:t>
      </w:r>
      <w:r>
        <w:rPr>
          <w:spacing w:val="-3"/>
        </w:rPr>
        <w:t> </w:t>
      </w:r>
      <w:r>
        <w:rPr/>
        <w:t>não</w:t>
      </w:r>
      <w:r>
        <w:rPr>
          <w:spacing w:val="-3"/>
        </w:rPr>
        <w:t> </w:t>
      </w:r>
      <w:r>
        <w:rPr/>
        <w:t>específica</w:t>
      </w:r>
      <w:r>
        <w:rPr>
          <w:spacing w:val="-6"/>
        </w:rPr>
        <w:t> </w:t>
      </w:r>
      <w:r>
        <w:rPr/>
        <w:t>para</w:t>
      </w:r>
      <w:r>
        <w:rPr>
          <w:spacing w:val="-6"/>
        </w:rPr>
        <w:t> </w:t>
      </w:r>
      <w:r>
        <w:rPr/>
        <w:t>o</w:t>
      </w:r>
      <w:r>
        <w:rPr>
          <w:spacing w:val="-2"/>
        </w:rPr>
        <w:t> músculo</w:t>
      </w:r>
    </w:p>
    <w:p>
      <w:pPr>
        <w:pStyle w:val="BodyText"/>
        <w:spacing w:after="0"/>
        <w:sectPr>
          <w:pgSz w:w="11900" w:h="16840"/>
          <w:pgMar w:top="220" w:bottom="280" w:left="566" w:right="141"/>
        </w:sectPr>
      </w:pPr>
    </w:p>
    <w:p>
      <w:pPr>
        <w:pStyle w:val="BodyText"/>
        <w:spacing w:line="273" w:lineRule="auto" w:before="70"/>
        <w:ind w:right="500" w:firstLine="0"/>
      </w:pPr>
      <w:r>
        <w:rPr/>
        <w:t>cardíaco. A</w:t>
      </w:r>
      <w:r>
        <w:rPr>
          <w:spacing w:val="-10"/>
        </w:rPr>
        <w:t> </w:t>
      </w:r>
      <w:r>
        <w:rPr/>
        <w:t>mioglobina</w:t>
      </w:r>
      <w:r>
        <w:rPr>
          <w:spacing w:val="-10"/>
        </w:rPr>
        <w:t> </w:t>
      </w:r>
      <w:r>
        <w:rPr/>
        <w:t>apresenta</w:t>
      </w:r>
      <w:r>
        <w:rPr>
          <w:spacing w:val="-10"/>
        </w:rPr>
        <w:t> </w:t>
      </w:r>
      <w:r>
        <w:rPr/>
        <w:t>aumento</w:t>
      </w:r>
      <w:r>
        <w:rPr>
          <w:spacing w:val="-7"/>
        </w:rPr>
        <w:t> </w:t>
      </w:r>
      <w:r>
        <w:rPr/>
        <w:t>sérico</w:t>
      </w:r>
      <w:r>
        <w:rPr>
          <w:spacing w:val="-7"/>
        </w:rPr>
        <w:t> </w:t>
      </w:r>
      <w:r>
        <w:rPr/>
        <w:t>dentro</w:t>
      </w:r>
      <w:r>
        <w:rPr>
          <w:spacing w:val="-7"/>
        </w:rPr>
        <w:t> </w:t>
      </w:r>
      <w:r>
        <w:rPr/>
        <w:t>de</w:t>
      </w:r>
      <w:r>
        <w:rPr>
          <w:spacing w:val="-10"/>
        </w:rPr>
        <w:t> </w:t>
      </w:r>
      <w:r>
        <w:rPr/>
        <w:t>1</w:t>
      </w:r>
      <w:r>
        <w:rPr>
          <w:spacing w:val="-7"/>
        </w:rPr>
        <w:t> </w:t>
      </w:r>
      <w:r>
        <w:rPr/>
        <w:t>a</w:t>
      </w:r>
      <w:r>
        <w:rPr>
          <w:spacing w:val="-10"/>
        </w:rPr>
        <w:t> </w:t>
      </w:r>
      <w:r>
        <w:rPr/>
        <w:t>3</w:t>
      </w:r>
      <w:r>
        <w:rPr>
          <w:spacing w:val="-7"/>
        </w:rPr>
        <w:t> </w:t>
      </w:r>
      <w:r>
        <w:rPr/>
        <w:t>h</w:t>
      </w:r>
      <w:r>
        <w:rPr>
          <w:spacing w:val="-7"/>
        </w:rPr>
        <w:t> </w:t>
      </w:r>
      <w:r>
        <w:rPr/>
        <w:t>do</w:t>
      </w:r>
      <w:r>
        <w:rPr>
          <w:spacing w:val="-7"/>
        </w:rPr>
        <w:t> </w:t>
      </w:r>
      <w:r>
        <w:rPr/>
        <w:t>início</w:t>
      </w:r>
      <w:r>
        <w:rPr>
          <w:spacing w:val="-7"/>
        </w:rPr>
        <w:t> </w:t>
      </w:r>
      <w:r>
        <w:rPr/>
        <w:t>da</w:t>
      </w:r>
      <w:r>
        <w:rPr>
          <w:spacing w:val="-10"/>
        </w:rPr>
        <w:t> </w:t>
      </w:r>
      <w:r>
        <w:rPr/>
        <w:t>dor, porém</w:t>
      </w:r>
      <w:r>
        <w:rPr>
          <w:spacing w:val="-7"/>
        </w:rPr>
        <w:t> </w:t>
      </w:r>
      <w:r>
        <w:rPr/>
        <w:t>apresenta</w:t>
      </w:r>
      <w:r>
        <w:rPr>
          <w:spacing w:val="-10"/>
        </w:rPr>
        <w:t> </w:t>
      </w:r>
      <w:r>
        <w:rPr/>
        <w:t>queda</w:t>
      </w:r>
      <w:r>
        <w:rPr>
          <w:spacing w:val="-10"/>
        </w:rPr>
        <w:t> </w:t>
      </w:r>
      <w:r>
        <w:rPr/>
        <w:t>precoce. O valor preditivo negativo é alto; ou seja, se a mioglobina for negativa, pode-se descartar o IAM. Sua mensuração de rotina geralmente não está disponível.</w:t>
      </w:r>
    </w:p>
    <w:p>
      <w:pPr>
        <w:pStyle w:val="BodyText"/>
        <w:spacing w:line="276" w:lineRule="auto" w:before="66"/>
        <w:ind w:right="488"/>
      </w:pPr>
      <w:r>
        <w:rPr/>
        <w:t>Os pacientes com angina instável não apresentam aumento sérico dos marcadores de lesão miocárdica. Não é recomendada a utilização de desidrogenase láctica (DHL) ou aspartato aminotransferase (AST) para detecção de necrose miocárdica em pacientes com suspeita de SCA.</w:t>
      </w:r>
    </w:p>
    <w:p>
      <w:pPr>
        <w:pStyle w:val="BodyText"/>
        <w:spacing w:line="278" w:lineRule="auto" w:before="48"/>
        <w:ind w:right="498"/>
      </w:pPr>
      <w:r>
        <w:rPr/>
        <w:t>Nos primeiros 10 min de avaliação da suspeita de SCA, devem ser realizados ECG, exames laboratoriais contendo marcadores miocárdicos, hemograma, ureia, creatinina, eletrólitos e coagulograma. Uma radiografia de tórax</w:t>
      </w:r>
      <w:r>
        <w:rPr>
          <w:spacing w:val="-4"/>
        </w:rPr>
        <w:t> </w:t>
      </w:r>
      <w:r>
        <w:rPr/>
        <w:t>deve</w:t>
      </w:r>
      <w:r>
        <w:rPr>
          <w:spacing w:val="-6"/>
        </w:rPr>
        <w:t> </w:t>
      </w:r>
      <w:r>
        <w:rPr/>
        <w:t>estar disponível</w:t>
      </w:r>
      <w:r>
        <w:rPr>
          <w:spacing w:val="-1"/>
        </w:rPr>
        <w:t> </w:t>
      </w:r>
      <w:r>
        <w:rPr/>
        <w:t>em, no</w:t>
      </w:r>
      <w:r>
        <w:rPr>
          <w:spacing w:val="-4"/>
        </w:rPr>
        <w:t> </w:t>
      </w:r>
      <w:r>
        <w:rPr/>
        <w:t>máximo, 30</w:t>
      </w:r>
      <w:r>
        <w:rPr>
          <w:spacing w:val="-4"/>
        </w:rPr>
        <w:t> </w:t>
      </w:r>
      <w:r>
        <w:rPr/>
        <w:t>min</w:t>
      </w:r>
      <w:r>
        <w:rPr>
          <w:spacing w:val="-4"/>
        </w:rPr>
        <w:t> </w:t>
      </w:r>
      <w:r>
        <w:rPr/>
        <w:t>e</w:t>
      </w:r>
      <w:r>
        <w:rPr>
          <w:spacing w:val="-6"/>
        </w:rPr>
        <w:t> </w:t>
      </w:r>
      <w:r>
        <w:rPr/>
        <w:t>serve</w:t>
      </w:r>
      <w:r>
        <w:rPr>
          <w:spacing w:val="-6"/>
        </w:rPr>
        <w:t> </w:t>
      </w:r>
      <w:r>
        <w:rPr/>
        <w:t>principalmente</w:t>
      </w:r>
      <w:r>
        <w:rPr>
          <w:spacing w:val="-6"/>
        </w:rPr>
        <w:t> </w:t>
      </w:r>
      <w:r>
        <w:rPr/>
        <w:t>para</w:t>
      </w:r>
      <w:r>
        <w:rPr>
          <w:spacing w:val="-6"/>
        </w:rPr>
        <w:t> </w:t>
      </w:r>
      <w:r>
        <w:rPr/>
        <w:t>afastar a</w:t>
      </w:r>
      <w:r>
        <w:rPr>
          <w:spacing w:val="-6"/>
        </w:rPr>
        <w:t> </w:t>
      </w:r>
      <w:r>
        <w:rPr/>
        <w:t>possibilidade</w:t>
      </w:r>
      <w:r>
        <w:rPr>
          <w:spacing w:val="-6"/>
        </w:rPr>
        <w:t> </w:t>
      </w:r>
      <w:r>
        <w:rPr/>
        <w:t>de</w:t>
      </w:r>
      <w:r>
        <w:rPr>
          <w:spacing w:val="-6"/>
        </w:rPr>
        <w:t> </w:t>
      </w:r>
      <w:r>
        <w:rPr/>
        <w:t>dissecção aguda</w:t>
      </w:r>
      <w:r>
        <w:rPr>
          <w:spacing w:val="-8"/>
        </w:rPr>
        <w:t> </w:t>
      </w:r>
      <w:r>
        <w:rPr/>
        <w:t>de</w:t>
      </w:r>
      <w:r>
        <w:rPr>
          <w:spacing w:val="-8"/>
        </w:rPr>
        <w:t> </w:t>
      </w:r>
      <w:r>
        <w:rPr/>
        <w:t>aorta</w:t>
      </w:r>
      <w:r>
        <w:rPr>
          <w:spacing w:val="-8"/>
        </w:rPr>
        <w:t> </w:t>
      </w:r>
      <w:r>
        <w:rPr/>
        <w:t>nos casos em</w:t>
      </w:r>
      <w:r>
        <w:rPr>
          <w:spacing w:val="-5"/>
        </w:rPr>
        <w:t> </w:t>
      </w:r>
      <w:r>
        <w:rPr/>
        <w:t>que</w:t>
      </w:r>
      <w:r>
        <w:rPr>
          <w:spacing w:val="-8"/>
        </w:rPr>
        <w:t> </w:t>
      </w:r>
      <w:r>
        <w:rPr/>
        <w:t>exista</w:t>
      </w:r>
      <w:r>
        <w:rPr>
          <w:spacing w:val="-8"/>
        </w:rPr>
        <w:t> </w:t>
      </w:r>
      <w:r>
        <w:rPr/>
        <w:t>alguma</w:t>
      </w:r>
      <w:r>
        <w:rPr>
          <w:spacing w:val="-8"/>
        </w:rPr>
        <w:t> </w:t>
      </w:r>
      <w:r>
        <w:rPr/>
        <w:t>dúvida. De</w:t>
      </w:r>
      <w:r>
        <w:rPr>
          <w:spacing w:val="-8"/>
        </w:rPr>
        <w:t> </w:t>
      </w:r>
      <w:r>
        <w:rPr/>
        <w:t>posse</w:t>
      </w:r>
      <w:r>
        <w:rPr>
          <w:spacing w:val="-8"/>
        </w:rPr>
        <w:t> </w:t>
      </w:r>
      <w:r>
        <w:rPr/>
        <w:t>dos dados clínicos, é</w:t>
      </w:r>
      <w:r>
        <w:rPr>
          <w:spacing w:val="-8"/>
        </w:rPr>
        <w:t> </w:t>
      </w:r>
      <w:r>
        <w:rPr/>
        <w:t>possível</w:t>
      </w:r>
      <w:r>
        <w:rPr>
          <w:spacing w:val="-2"/>
        </w:rPr>
        <w:t> </w:t>
      </w:r>
      <w:r>
        <w:rPr/>
        <w:t>diagnosticar SCA</w:t>
      </w:r>
      <w:r>
        <w:rPr>
          <w:spacing w:val="-8"/>
        </w:rPr>
        <w:t> </w:t>
      </w:r>
      <w:r>
        <w:rPr/>
        <w:t>e, com o ECG, dividi-la nos dois grupos: IAMST ou IAMSST/angina instável. No segundo caso, ou seja, não havendo supradesnível de segmento ST em duas derivações contíguas, deve-se estratificar o risco em alto, moderado ou baixo. Existem várias possibilidades de</w:t>
      </w:r>
      <w:r>
        <w:rPr>
          <w:spacing w:val="-1"/>
        </w:rPr>
        <w:t> </w:t>
      </w:r>
      <w:r>
        <w:rPr/>
        <w:t>estratificação. Uma</w:t>
      </w:r>
      <w:r>
        <w:rPr>
          <w:spacing w:val="-1"/>
        </w:rPr>
        <w:t> </w:t>
      </w:r>
      <w:r>
        <w:rPr/>
        <w:t>delas está</w:t>
      </w:r>
      <w:r>
        <w:rPr>
          <w:spacing w:val="-1"/>
        </w:rPr>
        <w:t> </w:t>
      </w:r>
      <w:r>
        <w:rPr/>
        <w:t>exibida</w:t>
      </w:r>
      <w:r>
        <w:rPr>
          <w:spacing w:val="-1"/>
        </w:rPr>
        <w:t> </w:t>
      </w:r>
      <w:r>
        <w:rPr/>
        <w:t>na</w:t>
      </w:r>
      <w:r>
        <w:rPr>
          <w:spacing w:val="-1"/>
        </w:rPr>
        <w:t> </w:t>
      </w:r>
      <w:r>
        <w:rPr>
          <w:color w:val="505050"/>
        </w:rPr>
        <w:t>Tabela</w:t>
      </w:r>
      <w:r>
        <w:rPr>
          <w:color w:val="505050"/>
          <w:spacing w:val="-1"/>
        </w:rPr>
        <w:t> </w:t>
      </w:r>
      <w:r>
        <w:rPr>
          <w:color w:val="505050"/>
        </w:rPr>
        <w:t>55.5</w:t>
      </w:r>
      <w:r>
        <w:rPr/>
        <w:t>.</w:t>
      </w:r>
      <w:r>
        <w:rPr>
          <w:vertAlign w:val="superscript"/>
        </w:rPr>
        <w:t>19</w:t>
      </w:r>
    </w:p>
    <w:p>
      <w:pPr>
        <w:pStyle w:val="BodyText"/>
        <w:spacing w:line="276" w:lineRule="auto" w:before="63"/>
        <w:ind w:right="488"/>
      </w:pPr>
      <w:r>
        <w:rPr/>
        <w:t>Todos os pacientes de alto risco e, sempre que possível, os de risco intermediário devem ser submetidos a estudo hemodinâmico precoce (nas primeiras 48 h), conforme será discutido de modo mais amplo adiante. Nos pacientes classificados como de</w:t>
      </w:r>
      <w:r>
        <w:rPr>
          <w:spacing w:val="-2"/>
        </w:rPr>
        <w:t> </w:t>
      </w:r>
      <w:r>
        <w:rPr/>
        <w:t>risco moderado em serviços sem disponibilidade</w:t>
      </w:r>
      <w:r>
        <w:rPr>
          <w:spacing w:val="-2"/>
        </w:rPr>
        <w:t> </w:t>
      </w:r>
      <w:r>
        <w:rPr/>
        <w:t>de</w:t>
      </w:r>
      <w:r>
        <w:rPr>
          <w:spacing w:val="-2"/>
        </w:rPr>
        <w:t> </w:t>
      </w:r>
      <w:r>
        <w:rPr/>
        <w:t>hemodinâmica</w:t>
      </w:r>
      <w:r>
        <w:rPr>
          <w:spacing w:val="-2"/>
        </w:rPr>
        <w:t> </w:t>
      </w:r>
      <w:r>
        <w:rPr/>
        <w:t>ou que</w:t>
      </w:r>
      <w:r>
        <w:rPr>
          <w:spacing w:val="-2"/>
        </w:rPr>
        <w:t> </w:t>
      </w:r>
      <w:r>
        <w:rPr/>
        <w:t>tenham grande chance de nefropatia por contraste, ou ainda em pacientes classificados como de baixo risco, com muitos fatores de risco associados, pode-se dispor de alguns exames de estratificação não invasiva, desde que já se tenha afastado convenientemente o IAM. São eles: teste de esforço, ecocardiograma com estresse e cintigrafia com </w:t>
      </w:r>
      <w:r>
        <w:rPr>
          <w:spacing w:val="-2"/>
        </w:rPr>
        <w:t>estresse.</w:t>
      </w:r>
    </w:p>
    <w:p>
      <w:pPr>
        <w:pStyle w:val="BodyText"/>
        <w:spacing w:before="186"/>
        <w:ind w:left="0" w:firstLine="0"/>
        <w:jc w:val="left"/>
      </w:pPr>
    </w:p>
    <w:p>
      <w:pPr>
        <w:pStyle w:val="Heading4"/>
        <w:jc w:val="both"/>
      </w:pPr>
      <w:r>
        <w:rPr>
          <w:color w:val="242B67"/>
        </w:rPr>
        <w:t>Tratamento </w:t>
      </w:r>
      <w:r>
        <w:rPr>
          <w:color w:val="242B67"/>
          <w:spacing w:val="-2"/>
        </w:rPr>
        <w:t>clínico</w:t>
      </w:r>
    </w:p>
    <w:p>
      <w:pPr>
        <w:pStyle w:val="Heading5"/>
        <w:spacing w:line="266" w:lineRule="auto" w:before="178"/>
        <w:ind w:right="570"/>
        <w:jc w:val="both"/>
      </w:pPr>
      <w:r>
        <w:rPr>
          <w:color w:val="A26108"/>
        </w:rPr>
        <w:t>Primeira abordagem comum das síndromes coronarianas agudas com </w:t>
      </w:r>
      <w:r>
        <w:rPr>
          <w:color w:val="A26108"/>
        </w:rPr>
        <w:t>e sem supradesnível de ST</w:t>
      </w:r>
    </w:p>
    <w:p>
      <w:pPr>
        <w:pStyle w:val="BodyText"/>
        <w:spacing w:line="276" w:lineRule="auto" w:before="101"/>
        <w:ind w:right="500"/>
      </w:pPr>
      <w:r>
        <w:rPr/>
        <w:t>A primeira abordagem ao paciente com suspeita de SCA é semelhante, apresentando ou não, no ECG, supradesnível do segmento ST. Envolve a oferta dos itens citados a seguir.</w:t>
      </w:r>
    </w:p>
    <w:p>
      <w:pPr>
        <w:pStyle w:val="BodyText"/>
        <w:spacing w:before="87"/>
        <w:ind w:left="0" w:firstLine="0"/>
        <w:jc w:val="left"/>
      </w:pPr>
    </w:p>
    <w:p>
      <w:pPr>
        <w:pStyle w:val="BodyText"/>
        <w:spacing w:line="278" w:lineRule="auto" w:before="0"/>
        <w:ind w:firstLine="0"/>
        <w:jc w:val="left"/>
        <w:rPr>
          <w:rFonts w:ascii="Microsoft Sans Serif" w:hAnsi="Microsoft Sans Serif"/>
        </w:rPr>
      </w:pPr>
      <w:r>
        <w:rPr>
          <w:rFonts w:ascii="Arial" w:hAnsi="Arial"/>
          <w:b/>
          <w:color w:val="242B67"/>
        </w:rPr>
        <w:t>Tabela</w:t>
      </w:r>
      <w:r>
        <w:rPr>
          <w:rFonts w:ascii="Arial" w:hAnsi="Arial"/>
          <w:b/>
          <w:color w:val="242B67"/>
          <w:spacing w:val="-3"/>
        </w:rPr>
        <w:t> </w:t>
      </w:r>
      <w:r>
        <w:rPr>
          <w:rFonts w:ascii="Arial" w:hAnsi="Arial"/>
          <w:b/>
          <w:color w:val="242B67"/>
        </w:rPr>
        <w:t>55.5</w:t>
      </w:r>
      <w:r>
        <w:rPr>
          <w:rFonts w:ascii="Arial" w:hAnsi="Arial"/>
          <w:b/>
          <w:color w:val="242B67"/>
          <w:spacing w:val="-4"/>
        </w:rPr>
        <w:t> </w:t>
      </w:r>
      <w:r>
        <w:rPr>
          <w:rFonts w:ascii="Microsoft Sans Serif" w:hAnsi="Microsoft Sans Serif"/>
        </w:rPr>
        <w:t>Classificação</w:t>
      </w:r>
      <w:r>
        <w:rPr>
          <w:rFonts w:ascii="Microsoft Sans Serif" w:hAnsi="Microsoft Sans Serif"/>
          <w:spacing w:val="-1"/>
        </w:rPr>
        <w:t> </w:t>
      </w:r>
      <w:r>
        <w:rPr>
          <w:rFonts w:ascii="Microsoft Sans Serif" w:hAnsi="Microsoft Sans Serif"/>
        </w:rPr>
        <w:t>das</w:t>
      </w:r>
      <w:r>
        <w:rPr>
          <w:rFonts w:ascii="Microsoft Sans Serif" w:hAnsi="Microsoft Sans Serif"/>
          <w:spacing w:val="-4"/>
        </w:rPr>
        <w:t> </w:t>
      </w:r>
      <w:r>
        <w:rPr>
          <w:rFonts w:ascii="Microsoft Sans Serif" w:hAnsi="Microsoft Sans Serif"/>
        </w:rPr>
        <w:t>síndromes</w:t>
      </w:r>
      <w:r>
        <w:rPr>
          <w:rFonts w:ascii="Microsoft Sans Serif" w:hAnsi="Microsoft Sans Serif"/>
          <w:spacing w:val="-4"/>
        </w:rPr>
        <w:t> </w:t>
      </w:r>
      <w:r>
        <w:rPr>
          <w:rFonts w:ascii="Microsoft Sans Serif" w:hAnsi="Microsoft Sans Serif"/>
        </w:rPr>
        <w:t>coronarianas</w:t>
      </w:r>
      <w:r>
        <w:rPr>
          <w:rFonts w:ascii="Microsoft Sans Serif" w:hAnsi="Microsoft Sans Serif"/>
          <w:spacing w:val="-4"/>
        </w:rPr>
        <w:t> </w:t>
      </w:r>
      <w:r>
        <w:rPr>
          <w:rFonts w:ascii="Microsoft Sans Serif" w:hAnsi="Microsoft Sans Serif"/>
        </w:rPr>
        <w:t>agudas</w:t>
      </w:r>
      <w:r>
        <w:rPr>
          <w:rFonts w:ascii="Microsoft Sans Serif" w:hAnsi="Microsoft Sans Serif"/>
          <w:spacing w:val="-4"/>
        </w:rPr>
        <w:t> </w:t>
      </w:r>
      <w:r>
        <w:rPr>
          <w:rFonts w:ascii="Microsoft Sans Serif" w:hAnsi="Microsoft Sans Serif"/>
        </w:rPr>
        <w:t>quanto</w:t>
      </w:r>
      <w:r>
        <w:rPr>
          <w:rFonts w:ascii="Microsoft Sans Serif" w:hAnsi="Microsoft Sans Serif"/>
          <w:spacing w:val="-1"/>
        </w:rPr>
        <w:t> </w:t>
      </w:r>
      <w:r>
        <w:rPr>
          <w:rFonts w:ascii="Microsoft Sans Serif" w:hAnsi="Microsoft Sans Serif"/>
        </w:rPr>
        <w:t>ao</w:t>
      </w:r>
      <w:r>
        <w:rPr>
          <w:rFonts w:ascii="Microsoft Sans Serif" w:hAnsi="Microsoft Sans Serif"/>
          <w:spacing w:val="-1"/>
        </w:rPr>
        <w:t> </w:t>
      </w:r>
      <w:r>
        <w:rPr>
          <w:rFonts w:ascii="Microsoft Sans Serif" w:hAnsi="Microsoft Sans Serif"/>
        </w:rPr>
        <w:t>risco</w:t>
      </w:r>
      <w:r>
        <w:rPr>
          <w:rFonts w:ascii="Microsoft Sans Serif" w:hAnsi="Microsoft Sans Serif"/>
          <w:spacing w:val="-1"/>
        </w:rPr>
        <w:t> </w:t>
      </w:r>
      <w:r>
        <w:rPr>
          <w:rFonts w:ascii="Microsoft Sans Serif" w:hAnsi="Microsoft Sans Serif"/>
        </w:rPr>
        <w:t>de</w:t>
      </w:r>
      <w:r>
        <w:rPr>
          <w:rFonts w:ascii="Microsoft Sans Serif" w:hAnsi="Microsoft Sans Serif"/>
          <w:spacing w:val="-1"/>
        </w:rPr>
        <w:t> </w:t>
      </w:r>
      <w:r>
        <w:rPr>
          <w:rFonts w:ascii="Microsoft Sans Serif" w:hAnsi="Microsoft Sans Serif"/>
        </w:rPr>
        <w:t>eventos</w:t>
      </w:r>
      <w:r>
        <w:rPr>
          <w:rFonts w:ascii="Microsoft Sans Serif" w:hAnsi="Microsoft Sans Serif"/>
          <w:spacing w:val="-4"/>
        </w:rPr>
        <w:t> </w:t>
      </w:r>
      <w:r>
        <w:rPr>
          <w:rFonts w:ascii="Microsoft Sans Serif" w:hAnsi="Microsoft Sans Serif"/>
        </w:rPr>
        <w:t>adversos (American College of Cardiology).</w:t>
      </w:r>
    </w:p>
    <w:p>
      <w:pPr>
        <w:pStyle w:val="BodyText"/>
        <w:spacing w:before="3"/>
        <w:ind w:left="0" w:firstLine="0"/>
        <w:jc w:val="left"/>
        <w:rPr>
          <w:rFonts w:ascii="Microsoft Sans Serif"/>
          <w:sz w:val="11"/>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4244"/>
        <w:gridCol w:w="2122"/>
      </w:tblGrid>
      <w:tr>
        <w:trPr>
          <w:trHeight w:val="430" w:hRule="atLeast"/>
        </w:trPr>
        <w:tc>
          <w:tcPr>
            <w:tcW w:w="4252" w:type="dxa"/>
            <w:tcBorders>
              <w:top w:val="nil"/>
              <w:left w:val="nil"/>
            </w:tcBorders>
            <w:shd w:val="clear" w:color="auto" w:fill="242B67"/>
          </w:tcPr>
          <w:p>
            <w:pPr>
              <w:pStyle w:val="TableParagraph"/>
              <w:spacing w:before="91"/>
              <w:ind w:left="67"/>
              <w:rPr>
                <w:rFonts w:ascii="Arial"/>
                <w:b/>
                <w:sz w:val="21"/>
              </w:rPr>
            </w:pPr>
            <w:r>
              <w:rPr>
                <w:rFonts w:ascii="Arial"/>
                <w:b/>
                <w:color w:val="FFFFFF"/>
                <w:w w:val="105"/>
                <w:sz w:val="21"/>
              </w:rPr>
              <w:t>Alto </w:t>
            </w:r>
            <w:r>
              <w:rPr>
                <w:rFonts w:ascii="Arial"/>
                <w:b/>
                <w:color w:val="FFFFFF"/>
                <w:spacing w:val="-2"/>
                <w:w w:val="105"/>
                <w:sz w:val="21"/>
              </w:rPr>
              <w:t>risco</w:t>
            </w:r>
          </w:p>
        </w:tc>
        <w:tc>
          <w:tcPr>
            <w:tcW w:w="4244" w:type="dxa"/>
            <w:tcBorders>
              <w:top w:val="nil"/>
            </w:tcBorders>
            <w:shd w:val="clear" w:color="auto" w:fill="242B67"/>
          </w:tcPr>
          <w:p>
            <w:pPr>
              <w:pStyle w:val="TableParagraph"/>
              <w:spacing w:before="91"/>
              <w:ind w:left="66"/>
              <w:rPr>
                <w:rFonts w:ascii="Arial" w:hAnsi="Arial"/>
                <w:b/>
                <w:sz w:val="21"/>
              </w:rPr>
            </w:pPr>
            <w:r>
              <w:rPr>
                <w:rFonts w:ascii="Arial" w:hAnsi="Arial"/>
                <w:b/>
                <w:color w:val="FFFFFF"/>
                <w:w w:val="105"/>
                <w:sz w:val="21"/>
              </w:rPr>
              <w:t>Risco</w:t>
            </w:r>
            <w:r>
              <w:rPr>
                <w:rFonts w:ascii="Arial" w:hAnsi="Arial"/>
                <w:b/>
                <w:color w:val="FFFFFF"/>
                <w:spacing w:val="4"/>
                <w:w w:val="105"/>
                <w:sz w:val="21"/>
              </w:rPr>
              <w:t> </w:t>
            </w:r>
            <w:r>
              <w:rPr>
                <w:rFonts w:ascii="Arial" w:hAnsi="Arial"/>
                <w:b/>
                <w:color w:val="FFFFFF"/>
                <w:spacing w:val="-2"/>
                <w:w w:val="105"/>
                <w:sz w:val="21"/>
              </w:rPr>
              <w:t>intermediário</w:t>
            </w:r>
          </w:p>
        </w:tc>
        <w:tc>
          <w:tcPr>
            <w:tcW w:w="2122" w:type="dxa"/>
            <w:tcBorders>
              <w:top w:val="nil"/>
              <w:right w:val="nil"/>
            </w:tcBorders>
            <w:shd w:val="clear" w:color="auto" w:fill="242B67"/>
          </w:tcPr>
          <w:p>
            <w:pPr>
              <w:pStyle w:val="TableParagraph"/>
              <w:spacing w:before="91"/>
              <w:ind w:left="66"/>
              <w:rPr>
                <w:rFonts w:ascii="Arial"/>
                <w:b/>
                <w:sz w:val="21"/>
              </w:rPr>
            </w:pPr>
            <w:r>
              <w:rPr>
                <w:rFonts w:ascii="Arial"/>
                <w:b/>
                <w:color w:val="FFFFFF"/>
                <w:w w:val="105"/>
                <w:sz w:val="21"/>
              </w:rPr>
              <w:t>Baixo</w:t>
            </w:r>
            <w:r>
              <w:rPr>
                <w:rFonts w:ascii="Arial"/>
                <w:b/>
                <w:color w:val="FFFFFF"/>
                <w:spacing w:val="4"/>
                <w:w w:val="105"/>
                <w:sz w:val="21"/>
              </w:rPr>
              <w:t> </w:t>
            </w:r>
            <w:r>
              <w:rPr>
                <w:rFonts w:ascii="Arial"/>
                <w:b/>
                <w:color w:val="FFFFFF"/>
                <w:spacing w:val="-4"/>
                <w:w w:val="105"/>
                <w:sz w:val="21"/>
              </w:rPr>
              <w:t>risco</w:t>
            </w:r>
          </w:p>
        </w:tc>
      </w:tr>
      <w:tr>
        <w:trPr>
          <w:trHeight w:val="1597" w:hRule="atLeast"/>
        </w:trPr>
        <w:tc>
          <w:tcPr>
            <w:tcW w:w="4252" w:type="dxa"/>
            <w:tcBorders>
              <w:left w:val="nil"/>
            </w:tcBorders>
            <w:shd w:val="clear" w:color="auto" w:fill="EDECF3"/>
          </w:tcPr>
          <w:p>
            <w:pPr>
              <w:pStyle w:val="TableParagraph"/>
              <w:spacing w:line="307" w:lineRule="auto" w:before="93"/>
              <w:ind w:left="67"/>
              <w:rPr>
                <w:sz w:val="21"/>
              </w:rPr>
            </w:pPr>
            <w:r>
              <w:rPr>
                <w:w w:val="105"/>
                <w:sz w:val="21"/>
              </w:rPr>
              <w:t>Sintomas isquêmicos agravando-se nas últimas 48 h</w:t>
            </w:r>
          </w:p>
        </w:tc>
        <w:tc>
          <w:tcPr>
            <w:tcW w:w="4244" w:type="dxa"/>
            <w:shd w:val="clear" w:color="auto" w:fill="EDECF3"/>
          </w:tcPr>
          <w:p>
            <w:pPr>
              <w:pStyle w:val="TableParagraph"/>
              <w:spacing w:line="307" w:lineRule="auto" w:before="93"/>
              <w:ind w:left="66"/>
              <w:rPr>
                <w:sz w:val="21"/>
              </w:rPr>
            </w:pPr>
            <w:r>
              <w:rPr>
                <w:w w:val="105"/>
                <w:sz w:val="21"/>
              </w:rPr>
              <w:t>IAM ou revascularização prévia ou </w:t>
            </w:r>
            <w:r>
              <w:rPr>
                <w:spacing w:val="-2"/>
                <w:w w:val="105"/>
                <w:sz w:val="21"/>
              </w:rPr>
              <w:t>diabetes</w:t>
            </w:r>
          </w:p>
          <w:p>
            <w:pPr>
              <w:pStyle w:val="TableParagraph"/>
              <w:spacing w:before="128"/>
              <w:ind w:left="66"/>
              <w:rPr>
                <w:sz w:val="21"/>
              </w:rPr>
            </w:pPr>
            <w:r>
              <w:rPr>
                <w:w w:val="105"/>
                <w:sz w:val="21"/>
              </w:rPr>
              <w:t>Doença</w:t>
            </w:r>
            <w:r>
              <w:rPr>
                <w:spacing w:val="31"/>
                <w:w w:val="105"/>
                <w:sz w:val="21"/>
              </w:rPr>
              <w:t> </w:t>
            </w:r>
            <w:r>
              <w:rPr>
                <w:w w:val="105"/>
                <w:sz w:val="21"/>
              </w:rPr>
              <w:t>cerebrovascular</w:t>
            </w:r>
            <w:r>
              <w:rPr>
                <w:spacing w:val="31"/>
                <w:w w:val="105"/>
                <w:sz w:val="21"/>
              </w:rPr>
              <w:t> </w:t>
            </w:r>
            <w:r>
              <w:rPr>
                <w:w w:val="105"/>
                <w:sz w:val="21"/>
              </w:rPr>
              <w:t>ou</w:t>
            </w:r>
            <w:r>
              <w:rPr>
                <w:spacing w:val="31"/>
                <w:w w:val="105"/>
                <w:sz w:val="21"/>
              </w:rPr>
              <w:t> </w:t>
            </w:r>
            <w:r>
              <w:rPr>
                <w:spacing w:val="-2"/>
                <w:w w:val="105"/>
                <w:sz w:val="21"/>
              </w:rPr>
              <w:t>periférica</w:t>
            </w:r>
          </w:p>
          <w:p>
            <w:pPr>
              <w:pStyle w:val="TableParagraph"/>
              <w:spacing w:before="195"/>
              <w:ind w:left="66"/>
              <w:rPr>
                <w:sz w:val="21"/>
              </w:rPr>
            </w:pPr>
            <w:r>
              <w:rPr>
                <w:w w:val="105"/>
                <w:sz w:val="21"/>
              </w:rPr>
              <w:t>Uso</w:t>
            </w:r>
            <w:r>
              <w:rPr>
                <w:spacing w:val="12"/>
                <w:w w:val="105"/>
                <w:sz w:val="21"/>
              </w:rPr>
              <w:t> </w:t>
            </w:r>
            <w:r>
              <w:rPr>
                <w:w w:val="105"/>
                <w:sz w:val="21"/>
              </w:rPr>
              <w:t>de</w:t>
            </w:r>
            <w:r>
              <w:rPr>
                <w:spacing w:val="12"/>
                <w:w w:val="105"/>
                <w:sz w:val="21"/>
              </w:rPr>
              <w:t> </w:t>
            </w:r>
            <w:r>
              <w:rPr>
                <w:spacing w:val="-5"/>
                <w:w w:val="105"/>
                <w:sz w:val="21"/>
              </w:rPr>
              <w:t>AAS</w:t>
            </w:r>
          </w:p>
        </w:tc>
        <w:tc>
          <w:tcPr>
            <w:tcW w:w="2122" w:type="dxa"/>
            <w:tcBorders>
              <w:right w:val="nil"/>
            </w:tcBorders>
            <w:shd w:val="clear" w:color="auto" w:fill="EDECF3"/>
          </w:tcPr>
          <w:p>
            <w:pPr>
              <w:pStyle w:val="TableParagraph"/>
              <w:spacing w:line="307" w:lineRule="auto" w:before="93"/>
              <w:ind w:left="66" w:right="58"/>
              <w:rPr>
                <w:sz w:val="21"/>
              </w:rPr>
            </w:pPr>
            <w:r>
              <w:rPr>
                <w:w w:val="105"/>
                <w:sz w:val="21"/>
              </w:rPr>
              <w:t>Sem nenhum desses </w:t>
            </w:r>
            <w:r>
              <w:rPr>
                <w:w w:val="105"/>
                <w:sz w:val="21"/>
              </w:rPr>
              <w:t>achados</w:t>
            </w:r>
          </w:p>
        </w:tc>
      </w:tr>
      <w:tr>
        <w:trPr>
          <w:trHeight w:val="1469" w:hRule="atLeast"/>
        </w:trPr>
        <w:tc>
          <w:tcPr>
            <w:tcW w:w="4252" w:type="dxa"/>
            <w:tcBorders>
              <w:left w:val="nil"/>
            </w:tcBorders>
            <w:shd w:val="clear" w:color="auto" w:fill="EDECF3"/>
          </w:tcPr>
          <w:p>
            <w:pPr>
              <w:pStyle w:val="TableParagraph"/>
              <w:spacing w:line="307" w:lineRule="auto" w:before="93"/>
              <w:ind w:left="67" w:right="274"/>
              <w:rPr>
                <w:sz w:val="21"/>
              </w:rPr>
            </w:pPr>
            <w:r>
              <w:rPr>
                <w:w w:val="105"/>
                <w:sz w:val="21"/>
              </w:rPr>
              <w:t>Dor contínua em repouso por mais de 20 min</w:t>
            </w:r>
          </w:p>
        </w:tc>
        <w:tc>
          <w:tcPr>
            <w:tcW w:w="4244" w:type="dxa"/>
            <w:shd w:val="clear" w:color="auto" w:fill="EDECF3"/>
          </w:tcPr>
          <w:p>
            <w:pPr>
              <w:pStyle w:val="TableParagraph"/>
              <w:spacing w:line="307" w:lineRule="auto" w:before="93"/>
              <w:ind w:left="66" w:right="207"/>
              <w:rPr>
                <w:sz w:val="21"/>
              </w:rPr>
            </w:pPr>
            <w:r>
              <w:rPr>
                <w:w w:val="105"/>
                <w:sz w:val="21"/>
              </w:rPr>
              <w:t>Angina de repouso que dura mais </w:t>
            </w:r>
            <w:r>
              <w:rPr>
                <w:w w:val="105"/>
                <w:sz w:val="21"/>
              </w:rPr>
              <w:t>que 20 min, agora resolvida</w:t>
            </w:r>
          </w:p>
          <w:p>
            <w:pPr>
              <w:pStyle w:val="TableParagraph"/>
              <w:spacing w:line="307" w:lineRule="auto" w:before="128"/>
              <w:ind w:left="66" w:right="207"/>
              <w:rPr>
                <w:sz w:val="21"/>
              </w:rPr>
            </w:pPr>
            <w:r>
              <w:rPr>
                <w:w w:val="105"/>
                <w:sz w:val="21"/>
              </w:rPr>
              <w:t>Angina de repouso que dura menos </w:t>
            </w:r>
            <w:r>
              <w:rPr>
                <w:w w:val="105"/>
                <w:sz w:val="21"/>
              </w:rPr>
              <w:t>de 20 min ou que responde a nitrato</w:t>
            </w:r>
          </w:p>
        </w:tc>
        <w:tc>
          <w:tcPr>
            <w:tcW w:w="2122" w:type="dxa"/>
            <w:tcBorders>
              <w:right w:val="nil"/>
            </w:tcBorders>
            <w:shd w:val="clear" w:color="auto" w:fill="EDECF3"/>
          </w:tcPr>
          <w:p>
            <w:pPr>
              <w:pStyle w:val="TableParagraph"/>
              <w:spacing w:line="307" w:lineRule="auto" w:before="93"/>
              <w:ind w:left="66" w:right="58"/>
              <w:rPr>
                <w:sz w:val="21"/>
              </w:rPr>
            </w:pPr>
            <w:r>
              <w:rPr>
                <w:w w:val="105"/>
                <w:sz w:val="21"/>
              </w:rPr>
              <w:t>Sem nenhum desses </w:t>
            </w:r>
            <w:r>
              <w:rPr>
                <w:w w:val="105"/>
                <w:sz w:val="21"/>
              </w:rPr>
              <w:t>achados</w:t>
            </w:r>
          </w:p>
        </w:tc>
      </w:tr>
      <w:tr>
        <w:trPr>
          <w:trHeight w:val="732" w:hRule="atLeast"/>
        </w:trPr>
        <w:tc>
          <w:tcPr>
            <w:tcW w:w="4252" w:type="dxa"/>
            <w:tcBorders>
              <w:left w:val="nil"/>
            </w:tcBorders>
            <w:shd w:val="clear" w:color="auto" w:fill="EDECF3"/>
          </w:tcPr>
          <w:p>
            <w:pPr>
              <w:pStyle w:val="TableParagraph"/>
              <w:spacing w:before="93"/>
              <w:ind w:left="67"/>
              <w:rPr>
                <w:sz w:val="21"/>
              </w:rPr>
            </w:pPr>
            <w:r>
              <w:rPr>
                <w:w w:val="105"/>
                <w:sz w:val="21"/>
              </w:rPr>
              <w:t>Idade</w:t>
            </w:r>
            <w:r>
              <w:rPr>
                <w:spacing w:val="14"/>
                <w:w w:val="105"/>
                <w:sz w:val="21"/>
              </w:rPr>
              <w:t> </w:t>
            </w:r>
            <w:r>
              <w:rPr>
                <w:w w:val="105"/>
                <w:sz w:val="21"/>
              </w:rPr>
              <w:t>&gt;</w:t>
            </w:r>
            <w:r>
              <w:rPr>
                <w:spacing w:val="11"/>
                <w:w w:val="105"/>
                <w:sz w:val="21"/>
              </w:rPr>
              <w:t> </w:t>
            </w:r>
            <w:r>
              <w:rPr>
                <w:w w:val="105"/>
                <w:sz w:val="21"/>
              </w:rPr>
              <w:t>75</w:t>
            </w:r>
            <w:r>
              <w:rPr>
                <w:spacing w:val="17"/>
                <w:w w:val="105"/>
                <w:sz w:val="21"/>
              </w:rPr>
              <w:t> </w:t>
            </w:r>
            <w:r>
              <w:rPr>
                <w:spacing w:val="-4"/>
                <w:w w:val="105"/>
                <w:sz w:val="21"/>
              </w:rPr>
              <w:t>anos</w:t>
            </w:r>
          </w:p>
        </w:tc>
        <w:tc>
          <w:tcPr>
            <w:tcW w:w="4244" w:type="dxa"/>
            <w:shd w:val="clear" w:color="auto" w:fill="EDECF3"/>
          </w:tcPr>
          <w:p>
            <w:pPr>
              <w:pStyle w:val="TableParagraph"/>
              <w:spacing w:before="93"/>
              <w:ind w:left="66"/>
              <w:rPr>
                <w:sz w:val="21"/>
              </w:rPr>
            </w:pPr>
            <w:r>
              <w:rPr>
                <w:w w:val="105"/>
                <w:sz w:val="21"/>
              </w:rPr>
              <w:t>Idade</w:t>
            </w:r>
            <w:r>
              <w:rPr>
                <w:spacing w:val="14"/>
                <w:w w:val="105"/>
                <w:sz w:val="21"/>
              </w:rPr>
              <w:t> </w:t>
            </w:r>
            <w:r>
              <w:rPr>
                <w:w w:val="105"/>
                <w:sz w:val="21"/>
              </w:rPr>
              <w:t>&gt;</w:t>
            </w:r>
            <w:r>
              <w:rPr>
                <w:spacing w:val="11"/>
                <w:w w:val="105"/>
                <w:sz w:val="21"/>
              </w:rPr>
              <w:t> </w:t>
            </w:r>
            <w:r>
              <w:rPr>
                <w:w w:val="105"/>
                <w:sz w:val="21"/>
              </w:rPr>
              <w:t>70</w:t>
            </w:r>
            <w:r>
              <w:rPr>
                <w:spacing w:val="17"/>
                <w:w w:val="105"/>
                <w:sz w:val="21"/>
              </w:rPr>
              <w:t> </w:t>
            </w:r>
            <w:r>
              <w:rPr>
                <w:spacing w:val="-4"/>
                <w:w w:val="105"/>
                <w:sz w:val="21"/>
              </w:rPr>
              <w:t>anos</w:t>
            </w:r>
          </w:p>
        </w:tc>
        <w:tc>
          <w:tcPr>
            <w:tcW w:w="2122" w:type="dxa"/>
            <w:tcBorders>
              <w:right w:val="nil"/>
            </w:tcBorders>
            <w:shd w:val="clear" w:color="auto" w:fill="EDECF3"/>
          </w:tcPr>
          <w:p>
            <w:pPr>
              <w:pStyle w:val="TableParagraph"/>
              <w:spacing w:line="307" w:lineRule="auto" w:before="93"/>
              <w:ind w:left="66" w:right="58"/>
              <w:rPr>
                <w:sz w:val="21"/>
              </w:rPr>
            </w:pPr>
            <w:r>
              <w:rPr>
                <w:w w:val="105"/>
                <w:sz w:val="21"/>
              </w:rPr>
              <w:t>Sem nenhum desses </w:t>
            </w:r>
            <w:r>
              <w:rPr>
                <w:w w:val="105"/>
                <w:sz w:val="21"/>
              </w:rPr>
              <w:t>achados</w:t>
            </w:r>
          </w:p>
        </w:tc>
      </w:tr>
      <w:tr>
        <w:trPr>
          <w:trHeight w:val="732" w:hRule="atLeast"/>
        </w:trPr>
        <w:tc>
          <w:tcPr>
            <w:tcW w:w="4252" w:type="dxa"/>
            <w:tcBorders>
              <w:left w:val="nil"/>
            </w:tcBorders>
            <w:shd w:val="clear" w:color="auto" w:fill="EDECF3"/>
          </w:tcPr>
          <w:p>
            <w:pPr>
              <w:pStyle w:val="TableParagraph"/>
              <w:spacing w:line="307" w:lineRule="auto" w:before="93"/>
              <w:ind w:left="67"/>
              <w:rPr>
                <w:sz w:val="21"/>
              </w:rPr>
            </w:pPr>
            <w:r>
              <w:rPr>
                <w:w w:val="105"/>
                <w:sz w:val="21"/>
              </w:rPr>
              <w:t>Edema pulmonar relacionado com a </w:t>
            </w:r>
            <w:r>
              <w:rPr>
                <w:spacing w:val="-2"/>
                <w:w w:val="105"/>
                <w:sz w:val="21"/>
              </w:rPr>
              <w:t>isquemia</w:t>
            </w:r>
          </w:p>
        </w:tc>
        <w:tc>
          <w:tcPr>
            <w:tcW w:w="4244" w:type="dxa"/>
            <w:shd w:val="clear" w:color="auto" w:fill="EDECF3"/>
          </w:tcPr>
          <w:p>
            <w:pPr>
              <w:pStyle w:val="TableParagraph"/>
              <w:spacing w:before="93"/>
              <w:ind w:left="66"/>
              <w:rPr>
                <w:sz w:val="21"/>
              </w:rPr>
            </w:pPr>
            <w:r>
              <w:rPr>
                <w:w w:val="195"/>
                <w:sz w:val="21"/>
              </w:rPr>
              <w:t>–</w:t>
            </w:r>
          </w:p>
        </w:tc>
        <w:tc>
          <w:tcPr>
            <w:tcW w:w="2122" w:type="dxa"/>
            <w:tcBorders>
              <w:right w:val="nil"/>
            </w:tcBorders>
            <w:shd w:val="clear" w:color="auto" w:fill="EDECF3"/>
          </w:tcPr>
          <w:p>
            <w:pPr>
              <w:pStyle w:val="TableParagraph"/>
              <w:spacing w:before="93"/>
              <w:ind w:left="66"/>
              <w:rPr>
                <w:sz w:val="21"/>
              </w:rPr>
            </w:pPr>
            <w:r>
              <w:rPr>
                <w:w w:val="195"/>
                <w:sz w:val="21"/>
              </w:rPr>
              <w:t>–</w:t>
            </w:r>
          </w:p>
        </w:tc>
      </w:tr>
      <w:tr>
        <w:trPr>
          <w:trHeight w:val="876" w:hRule="atLeast"/>
        </w:trPr>
        <w:tc>
          <w:tcPr>
            <w:tcW w:w="4252" w:type="dxa"/>
            <w:tcBorders>
              <w:left w:val="nil"/>
            </w:tcBorders>
            <w:shd w:val="clear" w:color="auto" w:fill="EDECF3"/>
          </w:tcPr>
          <w:p>
            <w:pPr>
              <w:pStyle w:val="TableParagraph"/>
              <w:spacing w:line="307" w:lineRule="auto" w:before="93"/>
              <w:ind w:left="67"/>
              <w:rPr>
                <w:sz w:val="21"/>
              </w:rPr>
            </w:pPr>
            <w:r>
              <w:rPr>
                <w:w w:val="105"/>
                <w:sz w:val="21"/>
              </w:rPr>
              <w:t>Sopro de insuficiência mitral recente ou </w:t>
            </w:r>
            <w:r>
              <w:rPr>
                <w:spacing w:val="-2"/>
                <w:w w:val="105"/>
                <w:sz w:val="21"/>
              </w:rPr>
              <w:t>agravado</w:t>
            </w:r>
          </w:p>
        </w:tc>
        <w:tc>
          <w:tcPr>
            <w:tcW w:w="4244" w:type="dxa"/>
            <w:shd w:val="clear" w:color="auto" w:fill="EDECF3"/>
          </w:tcPr>
          <w:p>
            <w:pPr>
              <w:pStyle w:val="TableParagraph"/>
              <w:spacing w:before="93"/>
              <w:ind w:left="66"/>
              <w:rPr>
                <w:sz w:val="21"/>
              </w:rPr>
            </w:pPr>
            <w:r>
              <w:rPr>
                <w:w w:val="195"/>
                <w:sz w:val="21"/>
              </w:rPr>
              <w:t>–</w:t>
            </w:r>
          </w:p>
        </w:tc>
        <w:tc>
          <w:tcPr>
            <w:tcW w:w="2122" w:type="dxa"/>
            <w:tcBorders>
              <w:right w:val="nil"/>
            </w:tcBorders>
            <w:shd w:val="clear" w:color="auto" w:fill="EDECF3"/>
          </w:tcPr>
          <w:p>
            <w:pPr>
              <w:pStyle w:val="TableParagraph"/>
              <w:spacing w:before="93"/>
              <w:ind w:left="66"/>
              <w:rPr>
                <w:sz w:val="21"/>
              </w:rPr>
            </w:pPr>
            <w:r>
              <w:rPr>
                <w:w w:val="195"/>
                <w:sz w:val="21"/>
              </w:rPr>
              <w:t>–</w:t>
            </w:r>
          </w:p>
        </w:tc>
      </w:tr>
      <w:tr>
        <w:trPr>
          <w:trHeight w:val="428" w:hRule="atLeast"/>
        </w:trPr>
        <w:tc>
          <w:tcPr>
            <w:tcW w:w="4252" w:type="dxa"/>
            <w:tcBorders>
              <w:left w:val="nil"/>
            </w:tcBorders>
            <w:shd w:val="clear" w:color="auto" w:fill="EDECF3"/>
          </w:tcPr>
          <w:p>
            <w:pPr>
              <w:pStyle w:val="TableParagraph"/>
              <w:spacing w:before="93"/>
              <w:ind w:left="67"/>
              <w:rPr>
                <w:sz w:val="21"/>
              </w:rPr>
            </w:pPr>
            <w:r>
              <w:rPr>
                <w:w w:val="105"/>
                <w:sz w:val="21"/>
              </w:rPr>
              <w:t>Terceira</w:t>
            </w:r>
            <w:r>
              <w:rPr>
                <w:spacing w:val="18"/>
                <w:w w:val="105"/>
                <w:sz w:val="21"/>
              </w:rPr>
              <w:t> </w:t>
            </w:r>
            <w:r>
              <w:rPr>
                <w:w w:val="105"/>
                <w:sz w:val="21"/>
              </w:rPr>
              <w:t>bulha</w:t>
            </w:r>
            <w:r>
              <w:rPr>
                <w:spacing w:val="19"/>
                <w:w w:val="105"/>
                <w:sz w:val="21"/>
              </w:rPr>
              <w:t> </w:t>
            </w:r>
            <w:r>
              <w:rPr>
                <w:w w:val="105"/>
                <w:sz w:val="21"/>
              </w:rPr>
              <w:t>ou</w:t>
            </w:r>
            <w:r>
              <w:rPr>
                <w:spacing w:val="19"/>
                <w:w w:val="105"/>
                <w:sz w:val="21"/>
              </w:rPr>
              <w:t> </w:t>
            </w:r>
            <w:r>
              <w:rPr>
                <w:spacing w:val="-2"/>
                <w:w w:val="105"/>
                <w:sz w:val="21"/>
              </w:rPr>
              <w:t>estertores</w:t>
            </w:r>
          </w:p>
        </w:tc>
        <w:tc>
          <w:tcPr>
            <w:tcW w:w="4244" w:type="dxa"/>
            <w:shd w:val="clear" w:color="auto" w:fill="EDECF3"/>
          </w:tcPr>
          <w:p>
            <w:pPr>
              <w:pStyle w:val="TableParagraph"/>
              <w:spacing w:before="93"/>
              <w:ind w:left="66"/>
              <w:rPr>
                <w:sz w:val="21"/>
              </w:rPr>
            </w:pPr>
            <w:r>
              <w:rPr>
                <w:w w:val="195"/>
                <w:sz w:val="21"/>
              </w:rPr>
              <w:t>–</w:t>
            </w:r>
          </w:p>
        </w:tc>
        <w:tc>
          <w:tcPr>
            <w:tcW w:w="2122" w:type="dxa"/>
            <w:tcBorders>
              <w:right w:val="nil"/>
            </w:tcBorders>
            <w:shd w:val="clear" w:color="auto" w:fill="EDECF3"/>
          </w:tcPr>
          <w:p>
            <w:pPr>
              <w:pStyle w:val="TableParagraph"/>
              <w:spacing w:before="93"/>
              <w:ind w:left="66"/>
              <w:rPr>
                <w:sz w:val="21"/>
              </w:rPr>
            </w:pPr>
            <w:r>
              <w:rPr>
                <w:w w:val="195"/>
                <w:sz w:val="21"/>
              </w:rPr>
              <w:t>–</w:t>
            </w:r>
          </w:p>
        </w:tc>
      </w:tr>
    </w:tbl>
    <w:p>
      <w:pPr>
        <w:pStyle w:val="TableParagraph"/>
        <w:spacing w:after="0"/>
        <w:rPr>
          <w:sz w:val="21"/>
        </w:rPr>
        <w:sectPr>
          <w:pgSz w:w="11900" w:h="16840"/>
          <w:pgMar w:top="22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4244"/>
        <w:gridCol w:w="2122"/>
      </w:tblGrid>
      <w:tr>
        <w:trPr>
          <w:trHeight w:val="423" w:hRule="atLeast"/>
        </w:trPr>
        <w:tc>
          <w:tcPr>
            <w:tcW w:w="4252" w:type="dxa"/>
            <w:tcBorders>
              <w:top w:val="nil"/>
              <w:left w:val="nil"/>
            </w:tcBorders>
            <w:shd w:val="clear" w:color="auto" w:fill="EDECF3"/>
          </w:tcPr>
          <w:p>
            <w:pPr>
              <w:pStyle w:val="TableParagraph"/>
              <w:spacing w:before="88"/>
              <w:ind w:left="67"/>
              <w:rPr>
                <w:sz w:val="21"/>
              </w:rPr>
            </w:pPr>
            <w:r>
              <w:rPr>
                <w:spacing w:val="2"/>
                <w:sz w:val="21"/>
              </w:rPr>
              <w:t>Hipotensão,</w:t>
            </w:r>
            <w:r>
              <w:rPr>
                <w:spacing w:val="72"/>
                <w:sz w:val="21"/>
              </w:rPr>
              <w:t> </w:t>
            </w:r>
            <w:r>
              <w:rPr>
                <w:spacing w:val="2"/>
                <w:sz w:val="21"/>
              </w:rPr>
              <w:t>bradicardia,</w:t>
            </w:r>
            <w:r>
              <w:rPr>
                <w:spacing w:val="73"/>
                <w:sz w:val="21"/>
              </w:rPr>
              <w:t> </w:t>
            </w:r>
            <w:r>
              <w:rPr>
                <w:spacing w:val="-2"/>
                <w:sz w:val="21"/>
              </w:rPr>
              <w:t>taquicardia</w:t>
            </w:r>
          </w:p>
        </w:tc>
        <w:tc>
          <w:tcPr>
            <w:tcW w:w="4244" w:type="dxa"/>
            <w:tcBorders>
              <w:top w:val="nil"/>
            </w:tcBorders>
            <w:shd w:val="clear" w:color="auto" w:fill="EDECF3"/>
          </w:tcPr>
          <w:p>
            <w:pPr>
              <w:pStyle w:val="TableParagraph"/>
              <w:spacing w:before="88"/>
              <w:ind w:left="66"/>
              <w:rPr>
                <w:sz w:val="21"/>
              </w:rPr>
            </w:pPr>
            <w:r>
              <w:rPr>
                <w:w w:val="195"/>
                <w:sz w:val="21"/>
              </w:rPr>
              <w:t>–</w:t>
            </w:r>
          </w:p>
        </w:tc>
        <w:tc>
          <w:tcPr>
            <w:tcW w:w="2122" w:type="dxa"/>
            <w:tcBorders>
              <w:top w:val="nil"/>
              <w:right w:val="nil"/>
            </w:tcBorders>
            <w:shd w:val="clear" w:color="auto" w:fill="EDECF3"/>
          </w:tcPr>
          <w:p>
            <w:pPr>
              <w:pStyle w:val="TableParagraph"/>
              <w:spacing w:before="88"/>
              <w:ind w:left="66"/>
              <w:rPr>
                <w:sz w:val="21"/>
              </w:rPr>
            </w:pPr>
            <w:r>
              <w:rPr>
                <w:w w:val="195"/>
                <w:sz w:val="21"/>
              </w:rPr>
              <w:t>–</w:t>
            </w:r>
          </w:p>
        </w:tc>
      </w:tr>
      <w:tr>
        <w:trPr>
          <w:trHeight w:val="732" w:hRule="atLeast"/>
        </w:trPr>
        <w:tc>
          <w:tcPr>
            <w:tcW w:w="4252" w:type="dxa"/>
            <w:tcBorders>
              <w:left w:val="nil"/>
            </w:tcBorders>
            <w:shd w:val="clear" w:color="auto" w:fill="EDECF3"/>
          </w:tcPr>
          <w:p>
            <w:pPr>
              <w:pStyle w:val="TableParagraph"/>
              <w:spacing w:line="307" w:lineRule="auto"/>
              <w:ind w:left="67"/>
              <w:rPr>
                <w:sz w:val="21"/>
              </w:rPr>
            </w:pPr>
            <w:r>
              <w:rPr>
                <w:w w:val="105"/>
                <w:sz w:val="21"/>
              </w:rPr>
              <w:t>Angina de repouso com </w:t>
            </w:r>
            <w:r>
              <w:rPr>
                <w:w w:val="105"/>
                <w:sz w:val="21"/>
              </w:rPr>
              <w:t>alterações dinâmicas de ST &gt; 0,05 mm</w:t>
            </w:r>
          </w:p>
        </w:tc>
        <w:tc>
          <w:tcPr>
            <w:tcW w:w="4244" w:type="dxa"/>
            <w:shd w:val="clear" w:color="auto" w:fill="EDECF3"/>
          </w:tcPr>
          <w:p>
            <w:pPr>
              <w:pStyle w:val="TableParagraph"/>
              <w:spacing w:line="307" w:lineRule="auto"/>
              <w:ind w:left="66"/>
              <w:rPr>
                <w:sz w:val="21"/>
              </w:rPr>
            </w:pPr>
            <w:r>
              <w:rPr>
                <w:w w:val="105"/>
                <w:sz w:val="21"/>
              </w:rPr>
              <w:t>Ondas T invertidas &gt; 0,2 mm Ondas Q </w:t>
            </w:r>
            <w:r>
              <w:rPr>
                <w:spacing w:val="-2"/>
                <w:w w:val="105"/>
                <w:sz w:val="21"/>
              </w:rPr>
              <w:t>patológicas</w:t>
            </w:r>
          </w:p>
        </w:tc>
        <w:tc>
          <w:tcPr>
            <w:tcW w:w="2122" w:type="dxa"/>
            <w:tcBorders>
              <w:right w:val="nil"/>
            </w:tcBorders>
            <w:shd w:val="clear" w:color="auto" w:fill="EDECF3"/>
          </w:tcPr>
          <w:p>
            <w:pPr>
              <w:pStyle w:val="TableParagraph"/>
              <w:spacing w:line="307" w:lineRule="auto"/>
              <w:ind w:left="66" w:right="58"/>
              <w:rPr>
                <w:sz w:val="21"/>
              </w:rPr>
            </w:pPr>
            <w:r>
              <w:rPr>
                <w:w w:val="105"/>
                <w:sz w:val="21"/>
              </w:rPr>
              <w:t>Sem nenhum desses </w:t>
            </w:r>
            <w:r>
              <w:rPr>
                <w:w w:val="105"/>
                <w:sz w:val="21"/>
              </w:rPr>
              <w:t>achados</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Bloqueio</w:t>
            </w:r>
            <w:r>
              <w:rPr>
                <w:spacing w:val="20"/>
                <w:w w:val="105"/>
                <w:sz w:val="21"/>
              </w:rPr>
              <w:t> </w:t>
            </w:r>
            <w:r>
              <w:rPr>
                <w:w w:val="105"/>
                <w:sz w:val="21"/>
              </w:rPr>
              <w:t>de</w:t>
            </w:r>
            <w:r>
              <w:rPr>
                <w:spacing w:val="21"/>
                <w:w w:val="105"/>
                <w:sz w:val="21"/>
              </w:rPr>
              <w:t> </w:t>
            </w:r>
            <w:r>
              <w:rPr>
                <w:w w:val="105"/>
                <w:sz w:val="21"/>
              </w:rPr>
              <w:t>ramo</w:t>
            </w:r>
            <w:r>
              <w:rPr>
                <w:spacing w:val="21"/>
                <w:w w:val="105"/>
                <w:sz w:val="21"/>
              </w:rPr>
              <w:t> </w:t>
            </w:r>
            <w:r>
              <w:rPr>
                <w:w w:val="105"/>
                <w:sz w:val="21"/>
              </w:rPr>
              <w:t>esquerdo</w:t>
            </w:r>
            <w:r>
              <w:rPr>
                <w:spacing w:val="20"/>
                <w:w w:val="105"/>
                <w:sz w:val="21"/>
              </w:rPr>
              <w:t> </w:t>
            </w:r>
            <w:r>
              <w:rPr>
                <w:spacing w:val="-2"/>
                <w:w w:val="105"/>
                <w:sz w:val="21"/>
              </w:rPr>
              <w:t>recente</w:t>
            </w:r>
          </w:p>
        </w:tc>
        <w:tc>
          <w:tcPr>
            <w:tcW w:w="4244" w:type="dxa"/>
            <w:shd w:val="clear" w:color="auto" w:fill="EDECF3"/>
          </w:tcPr>
          <w:p>
            <w:pPr>
              <w:pStyle w:val="TableParagraph"/>
              <w:ind w:left="66"/>
              <w:rPr>
                <w:sz w:val="21"/>
              </w:rPr>
            </w:pPr>
            <w:r>
              <w:rPr>
                <w:w w:val="195"/>
                <w:sz w:val="21"/>
              </w:rPr>
              <w:t>–</w:t>
            </w:r>
          </w:p>
        </w:tc>
        <w:tc>
          <w:tcPr>
            <w:tcW w:w="2122" w:type="dxa"/>
            <w:tcBorders>
              <w:right w:val="nil"/>
            </w:tcBorders>
            <w:shd w:val="clear" w:color="auto" w:fill="EDECF3"/>
          </w:tcPr>
          <w:p>
            <w:pPr>
              <w:pStyle w:val="TableParagraph"/>
              <w:ind w:left="66"/>
              <w:rPr>
                <w:sz w:val="21"/>
              </w:rPr>
            </w:pPr>
            <w:r>
              <w:rPr>
                <w:w w:val="195"/>
                <w:sz w:val="21"/>
              </w:rPr>
              <w:t>–</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Taquicardia</w:t>
            </w:r>
            <w:r>
              <w:rPr>
                <w:spacing w:val="29"/>
                <w:w w:val="105"/>
                <w:sz w:val="21"/>
              </w:rPr>
              <w:t> </w:t>
            </w:r>
            <w:r>
              <w:rPr>
                <w:w w:val="105"/>
                <w:sz w:val="21"/>
              </w:rPr>
              <w:t>ventricular</w:t>
            </w:r>
            <w:r>
              <w:rPr>
                <w:spacing w:val="30"/>
                <w:w w:val="105"/>
                <w:sz w:val="21"/>
              </w:rPr>
              <w:t> </w:t>
            </w:r>
            <w:r>
              <w:rPr>
                <w:spacing w:val="-2"/>
                <w:w w:val="105"/>
                <w:sz w:val="21"/>
              </w:rPr>
              <w:t>sustentada</w:t>
            </w:r>
          </w:p>
        </w:tc>
        <w:tc>
          <w:tcPr>
            <w:tcW w:w="4244" w:type="dxa"/>
            <w:shd w:val="clear" w:color="auto" w:fill="EDECF3"/>
          </w:tcPr>
          <w:p>
            <w:pPr>
              <w:pStyle w:val="TableParagraph"/>
              <w:ind w:left="66"/>
              <w:rPr>
                <w:sz w:val="21"/>
              </w:rPr>
            </w:pPr>
            <w:r>
              <w:rPr>
                <w:w w:val="195"/>
                <w:sz w:val="21"/>
              </w:rPr>
              <w:t>–</w:t>
            </w:r>
          </w:p>
        </w:tc>
        <w:tc>
          <w:tcPr>
            <w:tcW w:w="2122" w:type="dxa"/>
            <w:tcBorders>
              <w:right w:val="nil"/>
            </w:tcBorders>
            <w:shd w:val="clear" w:color="auto" w:fill="EDECF3"/>
          </w:tcPr>
          <w:p>
            <w:pPr>
              <w:pStyle w:val="TableParagraph"/>
              <w:ind w:left="66"/>
              <w:rPr>
                <w:sz w:val="21"/>
              </w:rPr>
            </w:pPr>
            <w:r>
              <w:rPr>
                <w:w w:val="195"/>
                <w:sz w:val="21"/>
              </w:rPr>
              <w:t>–</w:t>
            </w:r>
          </w:p>
        </w:tc>
      </w:tr>
      <w:tr>
        <w:trPr>
          <w:trHeight w:val="734" w:hRule="atLeast"/>
        </w:trPr>
        <w:tc>
          <w:tcPr>
            <w:tcW w:w="4252" w:type="dxa"/>
            <w:tcBorders>
              <w:left w:val="nil"/>
              <w:bottom w:val="nil"/>
            </w:tcBorders>
            <w:shd w:val="clear" w:color="auto" w:fill="EDECF3"/>
          </w:tcPr>
          <w:p>
            <w:pPr>
              <w:pStyle w:val="TableParagraph"/>
              <w:spacing w:line="304" w:lineRule="auto"/>
              <w:ind w:left="67"/>
              <w:rPr>
                <w:sz w:val="21"/>
              </w:rPr>
            </w:pPr>
            <w:r>
              <w:rPr>
                <w:w w:val="105"/>
                <w:sz w:val="21"/>
              </w:rPr>
              <w:t>Elevação importante da troponina (&gt; 0,1 </w:t>
            </w:r>
            <w:r>
              <w:rPr>
                <w:spacing w:val="-2"/>
                <w:w w:val="105"/>
                <w:sz w:val="21"/>
              </w:rPr>
              <w:t>ng/m</w:t>
            </w:r>
            <w:r>
              <w:rPr>
                <w:rFonts w:ascii="Arial" w:hAnsi="Arial"/>
                <w:i/>
                <w:spacing w:val="-2"/>
                <w:w w:val="105"/>
                <w:sz w:val="21"/>
              </w:rPr>
              <w:t>ℓ</w:t>
            </w:r>
            <w:r>
              <w:rPr>
                <w:spacing w:val="-2"/>
                <w:w w:val="105"/>
                <w:sz w:val="21"/>
              </w:rPr>
              <w:t>)</w:t>
            </w:r>
          </w:p>
        </w:tc>
        <w:tc>
          <w:tcPr>
            <w:tcW w:w="4244" w:type="dxa"/>
            <w:tcBorders>
              <w:bottom w:val="nil"/>
            </w:tcBorders>
            <w:shd w:val="clear" w:color="auto" w:fill="EDECF3"/>
          </w:tcPr>
          <w:p>
            <w:pPr>
              <w:pStyle w:val="TableParagraph"/>
              <w:spacing w:line="304" w:lineRule="auto"/>
              <w:ind w:left="66" w:right="207"/>
              <w:rPr>
                <w:sz w:val="21"/>
              </w:rPr>
            </w:pPr>
            <w:r>
              <w:rPr>
                <w:w w:val="105"/>
                <w:sz w:val="21"/>
              </w:rPr>
              <w:t>Elevação discreta da troponina (entre 0,01 e 0,1 ng/m</w:t>
            </w:r>
            <w:r>
              <w:rPr>
                <w:rFonts w:ascii="Arial" w:hAnsi="Arial"/>
                <w:i/>
                <w:w w:val="105"/>
                <w:sz w:val="21"/>
              </w:rPr>
              <w:t>ℓ</w:t>
            </w:r>
            <w:r>
              <w:rPr>
                <w:w w:val="105"/>
                <w:sz w:val="21"/>
              </w:rPr>
              <w:t>)</w:t>
            </w:r>
          </w:p>
        </w:tc>
        <w:tc>
          <w:tcPr>
            <w:tcW w:w="2122" w:type="dxa"/>
            <w:tcBorders>
              <w:bottom w:val="nil"/>
              <w:right w:val="nil"/>
            </w:tcBorders>
            <w:shd w:val="clear" w:color="auto" w:fill="EDECF3"/>
          </w:tcPr>
          <w:p>
            <w:pPr>
              <w:pStyle w:val="TableParagraph"/>
              <w:spacing w:line="307" w:lineRule="auto"/>
              <w:ind w:left="66" w:right="58"/>
              <w:rPr>
                <w:sz w:val="21"/>
              </w:rPr>
            </w:pPr>
            <w:r>
              <w:rPr>
                <w:w w:val="105"/>
                <w:sz w:val="21"/>
              </w:rPr>
              <w:t>Sem nenhum desses </w:t>
            </w:r>
            <w:r>
              <w:rPr>
                <w:w w:val="105"/>
                <w:sz w:val="21"/>
              </w:rPr>
              <w:t>achados</w:t>
            </w:r>
          </w:p>
        </w:tc>
      </w:tr>
    </w:tbl>
    <w:p>
      <w:pPr>
        <w:spacing w:before="184"/>
        <w:ind w:left="68" w:right="0" w:firstLine="0"/>
        <w:jc w:val="left"/>
        <w:rPr>
          <w:rFonts w:ascii="Microsoft Sans Serif" w:hAnsi="Microsoft Sans Serif"/>
          <w:sz w:val="19"/>
        </w:rPr>
      </w:pPr>
      <w:r>
        <w:rPr>
          <w:rFonts w:ascii="Microsoft Sans Serif" w:hAnsi="Microsoft Sans Serif"/>
          <w:sz w:val="19"/>
        </w:rPr>
        <w:t>AAS</w:t>
      </w:r>
      <w:r>
        <w:rPr>
          <w:rFonts w:ascii="Microsoft Sans Serif" w:hAnsi="Microsoft Sans Serif"/>
          <w:spacing w:val="9"/>
          <w:sz w:val="19"/>
        </w:rPr>
        <w:t> </w:t>
      </w:r>
      <w:r>
        <w:rPr>
          <w:rFonts w:ascii="Microsoft Sans Serif" w:hAnsi="Microsoft Sans Serif"/>
          <w:sz w:val="19"/>
        </w:rPr>
        <w:t>=</w:t>
      </w:r>
      <w:r>
        <w:rPr>
          <w:rFonts w:ascii="Microsoft Sans Serif" w:hAnsi="Microsoft Sans Serif"/>
          <w:spacing w:val="9"/>
          <w:sz w:val="19"/>
        </w:rPr>
        <w:t> </w:t>
      </w:r>
      <w:r>
        <w:rPr>
          <w:rFonts w:ascii="Microsoft Sans Serif" w:hAnsi="Microsoft Sans Serif"/>
          <w:sz w:val="19"/>
        </w:rPr>
        <w:t>ácido</w:t>
      </w:r>
      <w:r>
        <w:rPr>
          <w:rFonts w:ascii="Microsoft Sans Serif" w:hAnsi="Microsoft Sans Serif"/>
          <w:spacing w:val="15"/>
          <w:sz w:val="19"/>
        </w:rPr>
        <w:t> </w:t>
      </w:r>
      <w:r>
        <w:rPr>
          <w:rFonts w:ascii="Microsoft Sans Serif" w:hAnsi="Microsoft Sans Serif"/>
          <w:sz w:val="19"/>
        </w:rPr>
        <w:t>acetilsalicílico;</w:t>
      </w:r>
      <w:r>
        <w:rPr>
          <w:rFonts w:ascii="Microsoft Sans Serif" w:hAnsi="Microsoft Sans Serif"/>
          <w:spacing w:val="3"/>
          <w:sz w:val="19"/>
        </w:rPr>
        <w:t> </w:t>
      </w:r>
      <w:r>
        <w:rPr>
          <w:rFonts w:ascii="Microsoft Sans Serif" w:hAnsi="Microsoft Sans Serif"/>
          <w:sz w:val="19"/>
        </w:rPr>
        <w:t>IAM</w:t>
      </w:r>
      <w:r>
        <w:rPr>
          <w:rFonts w:ascii="Microsoft Sans Serif" w:hAnsi="Microsoft Sans Serif"/>
          <w:spacing w:val="9"/>
          <w:sz w:val="19"/>
        </w:rPr>
        <w:t> </w:t>
      </w:r>
      <w:r>
        <w:rPr>
          <w:rFonts w:ascii="Microsoft Sans Serif" w:hAnsi="Microsoft Sans Serif"/>
          <w:sz w:val="19"/>
        </w:rPr>
        <w:t>=</w:t>
      </w:r>
      <w:r>
        <w:rPr>
          <w:rFonts w:ascii="Microsoft Sans Serif" w:hAnsi="Microsoft Sans Serif"/>
          <w:spacing w:val="9"/>
          <w:sz w:val="19"/>
        </w:rPr>
        <w:t> </w:t>
      </w:r>
      <w:r>
        <w:rPr>
          <w:rFonts w:ascii="Microsoft Sans Serif" w:hAnsi="Microsoft Sans Serif"/>
          <w:sz w:val="19"/>
        </w:rPr>
        <w:t>infarto</w:t>
      </w:r>
      <w:r>
        <w:rPr>
          <w:rFonts w:ascii="Microsoft Sans Serif" w:hAnsi="Microsoft Sans Serif"/>
          <w:spacing w:val="16"/>
          <w:sz w:val="19"/>
        </w:rPr>
        <w:t> </w:t>
      </w:r>
      <w:r>
        <w:rPr>
          <w:rFonts w:ascii="Microsoft Sans Serif" w:hAnsi="Microsoft Sans Serif"/>
          <w:sz w:val="19"/>
        </w:rPr>
        <w:t>agudo</w:t>
      </w:r>
      <w:r>
        <w:rPr>
          <w:rFonts w:ascii="Microsoft Sans Serif" w:hAnsi="Microsoft Sans Serif"/>
          <w:spacing w:val="15"/>
          <w:sz w:val="19"/>
        </w:rPr>
        <w:t> </w:t>
      </w:r>
      <w:r>
        <w:rPr>
          <w:rFonts w:ascii="Microsoft Sans Serif" w:hAnsi="Microsoft Sans Serif"/>
          <w:sz w:val="19"/>
        </w:rPr>
        <w:t>do</w:t>
      </w:r>
      <w:r>
        <w:rPr>
          <w:rFonts w:ascii="Microsoft Sans Serif" w:hAnsi="Microsoft Sans Serif"/>
          <w:spacing w:val="15"/>
          <w:sz w:val="19"/>
        </w:rPr>
        <w:t> </w:t>
      </w:r>
      <w:r>
        <w:rPr>
          <w:rFonts w:ascii="Microsoft Sans Serif" w:hAnsi="Microsoft Sans Serif"/>
          <w:spacing w:val="-2"/>
          <w:sz w:val="19"/>
        </w:rPr>
        <w:t>miocárdio.</w:t>
      </w:r>
    </w:p>
    <w:p>
      <w:pPr>
        <w:pStyle w:val="BodyText"/>
        <w:spacing w:before="107"/>
        <w:ind w:left="0" w:firstLine="0"/>
        <w:jc w:val="left"/>
        <w:rPr>
          <w:rFonts w:ascii="Microsoft Sans Serif"/>
          <w:sz w:val="19"/>
        </w:rPr>
      </w:pPr>
    </w:p>
    <w:p>
      <w:pPr>
        <w:pStyle w:val="Heading7"/>
      </w:pPr>
      <w:r>
        <w:rPr>
          <w:color w:val="242B67"/>
          <w:spacing w:val="-2"/>
        </w:rPr>
        <w:t>Oxigênio</w:t>
      </w:r>
    </w:p>
    <w:p>
      <w:pPr>
        <w:pStyle w:val="BodyText"/>
        <w:spacing w:line="290" w:lineRule="auto" w:before="126"/>
        <w:ind w:right="490"/>
      </w:pPr>
      <w:r>
        <w:rPr/>
        <w:t>A todos os pacientes deve ser ofertado oxigênio suplementar por cateter nasal, 2 ou 4 </w:t>
      </w:r>
      <w:r>
        <w:rPr>
          <w:i/>
        </w:rPr>
        <w:t>ℓ</w:t>
      </w:r>
      <w:r>
        <w:rPr/>
        <w:t>/min, por 2 a 3 h ou enquanto persistir hipoxemia ao ar ambiente.</w:t>
      </w:r>
      <w:r>
        <w:rPr>
          <w:vertAlign w:val="superscript"/>
        </w:rPr>
        <w:t>20,21</w:t>
      </w:r>
    </w:p>
    <w:p>
      <w:pPr>
        <w:pStyle w:val="Heading7"/>
        <w:spacing w:before="257"/>
      </w:pPr>
      <w:r>
        <w:rPr>
          <w:color w:val="242B67"/>
          <w:spacing w:val="-2"/>
        </w:rPr>
        <w:t>Nitrato</w:t>
      </w:r>
    </w:p>
    <w:p>
      <w:pPr>
        <w:pStyle w:val="BodyText"/>
        <w:spacing w:line="278" w:lineRule="auto" w:before="143"/>
        <w:ind w:right="497"/>
      </w:pPr>
      <w:r>
        <w:rPr/>
        <w:t>Dinitrato de isossorbida deve ser administrado precocemente ao paciente com suspeita de SCA, preferencialmente logo após a realização do ECG, caso este possa ser feito rapidamente. Os nitratos são usados principalmente</w:t>
      </w:r>
      <w:r>
        <w:rPr>
          <w:spacing w:val="-9"/>
        </w:rPr>
        <w:t> </w:t>
      </w:r>
      <w:r>
        <w:rPr/>
        <w:t>para</w:t>
      </w:r>
      <w:r>
        <w:rPr>
          <w:spacing w:val="-9"/>
        </w:rPr>
        <w:t> </w:t>
      </w:r>
      <w:r>
        <w:rPr/>
        <w:t>controlar</w:t>
      </w:r>
      <w:r>
        <w:rPr>
          <w:spacing w:val="-2"/>
        </w:rPr>
        <w:t> </w:t>
      </w:r>
      <w:r>
        <w:rPr/>
        <w:t>a</w:t>
      </w:r>
      <w:r>
        <w:rPr>
          <w:spacing w:val="-9"/>
        </w:rPr>
        <w:t> </w:t>
      </w:r>
      <w:r>
        <w:rPr/>
        <w:t>dor</w:t>
      </w:r>
      <w:r>
        <w:rPr>
          <w:spacing w:val="-2"/>
        </w:rPr>
        <w:t> </w:t>
      </w:r>
      <w:r>
        <w:rPr/>
        <w:t>por</w:t>
      </w:r>
      <w:r>
        <w:rPr>
          <w:spacing w:val="-2"/>
        </w:rPr>
        <w:t> </w:t>
      </w:r>
      <w:r>
        <w:rPr/>
        <w:t>eventual</w:t>
      </w:r>
      <w:r>
        <w:rPr>
          <w:spacing w:val="-4"/>
        </w:rPr>
        <w:t> </w:t>
      </w:r>
      <w:r>
        <w:rPr/>
        <w:t>espasmo</w:t>
      </w:r>
      <w:r>
        <w:rPr>
          <w:spacing w:val="-6"/>
        </w:rPr>
        <w:t> </w:t>
      </w:r>
      <w:r>
        <w:rPr/>
        <w:t>coronariano</w:t>
      </w:r>
      <w:r>
        <w:rPr>
          <w:spacing w:val="-6"/>
        </w:rPr>
        <w:t> </w:t>
      </w:r>
      <w:r>
        <w:rPr/>
        <w:t>e</w:t>
      </w:r>
      <w:r>
        <w:rPr>
          <w:spacing w:val="-9"/>
        </w:rPr>
        <w:t> </w:t>
      </w:r>
      <w:r>
        <w:rPr/>
        <w:t>controle</w:t>
      </w:r>
      <w:r>
        <w:rPr>
          <w:spacing w:val="-9"/>
        </w:rPr>
        <w:t> </w:t>
      </w:r>
      <w:r>
        <w:rPr/>
        <w:t>da</w:t>
      </w:r>
      <w:r>
        <w:rPr>
          <w:spacing w:val="-9"/>
        </w:rPr>
        <w:t> </w:t>
      </w:r>
      <w:r>
        <w:rPr/>
        <w:t>pressão</w:t>
      </w:r>
      <w:r>
        <w:rPr>
          <w:spacing w:val="-6"/>
        </w:rPr>
        <w:t> </w:t>
      </w:r>
      <w:r>
        <w:rPr/>
        <w:t>arterial. Deve</w:t>
      </w:r>
      <w:r>
        <w:rPr>
          <w:spacing w:val="-9"/>
        </w:rPr>
        <w:t> </w:t>
      </w:r>
      <w:r>
        <w:rPr/>
        <w:t>ser</w:t>
      </w:r>
      <w:r>
        <w:rPr>
          <w:spacing w:val="-2"/>
        </w:rPr>
        <w:t> </w:t>
      </w:r>
      <w:r>
        <w:rPr/>
        <w:t>usado na</w:t>
      </w:r>
      <w:r>
        <w:rPr>
          <w:spacing w:val="-9"/>
        </w:rPr>
        <w:t> </w:t>
      </w:r>
      <w:r>
        <w:rPr/>
        <w:t>formulação</w:t>
      </w:r>
      <w:r>
        <w:rPr>
          <w:spacing w:val="-7"/>
        </w:rPr>
        <w:t> </w:t>
      </w:r>
      <w:r>
        <w:rPr/>
        <w:t>sublingual. Está</w:t>
      </w:r>
      <w:r>
        <w:rPr>
          <w:spacing w:val="-9"/>
        </w:rPr>
        <w:t> </w:t>
      </w:r>
      <w:r>
        <w:rPr/>
        <w:t>contraindicado</w:t>
      </w:r>
      <w:r>
        <w:rPr>
          <w:spacing w:val="-7"/>
        </w:rPr>
        <w:t> </w:t>
      </w:r>
      <w:r>
        <w:rPr/>
        <w:t>quando</w:t>
      </w:r>
      <w:r>
        <w:rPr>
          <w:spacing w:val="-7"/>
        </w:rPr>
        <w:t> </w:t>
      </w:r>
      <w:r>
        <w:rPr/>
        <w:t>há</w:t>
      </w:r>
      <w:r>
        <w:rPr>
          <w:spacing w:val="-9"/>
        </w:rPr>
        <w:t> </w:t>
      </w:r>
      <w:r>
        <w:rPr/>
        <w:t>pressão</w:t>
      </w:r>
      <w:r>
        <w:rPr>
          <w:spacing w:val="-7"/>
        </w:rPr>
        <w:t> </w:t>
      </w:r>
      <w:r>
        <w:rPr/>
        <w:t>sistólica</w:t>
      </w:r>
      <w:r>
        <w:rPr>
          <w:spacing w:val="-9"/>
        </w:rPr>
        <w:t> </w:t>
      </w:r>
      <w:r>
        <w:rPr/>
        <w:t>inferior</w:t>
      </w:r>
      <w:r>
        <w:rPr>
          <w:spacing w:val="-2"/>
        </w:rPr>
        <w:t> </w:t>
      </w:r>
      <w:r>
        <w:rPr/>
        <w:t>a</w:t>
      </w:r>
      <w:r>
        <w:rPr>
          <w:spacing w:val="-9"/>
        </w:rPr>
        <w:t> </w:t>
      </w:r>
      <w:r>
        <w:rPr/>
        <w:t>100</w:t>
      </w:r>
      <w:r>
        <w:rPr>
          <w:spacing w:val="-7"/>
        </w:rPr>
        <w:t> </w:t>
      </w:r>
      <w:r>
        <w:rPr/>
        <w:t>mmHg, IAM</w:t>
      </w:r>
      <w:r>
        <w:rPr>
          <w:spacing w:val="-2"/>
        </w:rPr>
        <w:t> </w:t>
      </w:r>
      <w:r>
        <w:rPr/>
        <w:t>de</w:t>
      </w:r>
      <w:r>
        <w:rPr>
          <w:spacing w:val="-9"/>
        </w:rPr>
        <w:t> </w:t>
      </w:r>
      <w:r>
        <w:rPr/>
        <w:t>ventrículo direito ou uso de sildenafila nas últimas 24 h. A dose de dinitrato de isossorbida é de 5 mg, com intervalos de 5 min, e no máximo 15 mg. Assim que possível, o paciente poderá receber infusão contínua de nitroglicerina intravenosa, em uma dose inicial de 10 mg/min, tendo sua velocidade de administração aumentada em 5 mg/min a cada 5 a 10 min, até que cesse a dor, surjam sintomas relacionados com o fármaco (p. ex., cefaleia) ou se reduza a pressão arterial em 10% se o paciente for normotenso ou 30% se for hipertenso.</w:t>
      </w:r>
      <w:r>
        <w:rPr>
          <w:vertAlign w:val="superscript"/>
        </w:rPr>
        <w:t>20,21</w:t>
      </w:r>
    </w:p>
    <w:p>
      <w:pPr>
        <w:pStyle w:val="BodyText"/>
        <w:spacing w:before="1"/>
        <w:ind w:left="0" w:firstLine="0"/>
        <w:jc w:val="left"/>
      </w:pPr>
    </w:p>
    <w:p>
      <w:pPr>
        <w:pStyle w:val="Heading7"/>
      </w:pPr>
      <w:r>
        <w:rPr>
          <w:color w:val="242B67"/>
          <w:spacing w:val="-2"/>
        </w:rPr>
        <w:t>Morfina</w:t>
      </w:r>
    </w:p>
    <w:p>
      <w:pPr>
        <w:pStyle w:val="BodyText"/>
        <w:spacing w:line="280" w:lineRule="auto" w:before="143"/>
        <w:ind w:right="491"/>
      </w:pPr>
      <w:r>
        <w:rPr/>
        <w:t>O sulfato de morfina, usado por via intravenosa (IV), fica reservado às situações em que a dor não cessou apesar do uso do nitrato, o que é muito frequente. Podem ser administradas doses de 2 em 2 mg IV até que o sintoma</w:t>
      </w:r>
      <w:r>
        <w:rPr>
          <w:spacing w:val="-9"/>
        </w:rPr>
        <w:t> </w:t>
      </w:r>
      <w:r>
        <w:rPr/>
        <w:t>doloroso</w:t>
      </w:r>
      <w:r>
        <w:rPr>
          <w:spacing w:val="-7"/>
        </w:rPr>
        <w:t> </w:t>
      </w:r>
      <w:r>
        <w:rPr/>
        <w:t>desapareça. A</w:t>
      </w:r>
      <w:r>
        <w:rPr>
          <w:spacing w:val="-9"/>
        </w:rPr>
        <w:t> </w:t>
      </w:r>
      <w:r>
        <w:rPr/>
        <w:t>subdosagem</w:t>
      </w:r>
      <w:r>
        <w:rPr>
          <w:spacing w:val="-7"/>
        </w:rPr>
        <w:t> </w:t>
      </w:r>
      <w:r>
        <w:rPr/>
        <w:t>de</w:t>
      </w:r>
      <w:r>
        <w:rPr>
          <w:spacing w:val="-9"/>
        </w:rPr>
        <w:t> </w:t>
      </w:r>
      <w:r>
        <w:rPr/>
        <w:t>morfina</w:t>
      </w:r>
      <w:r>
        <w:rPr>
          <w:spacing w:val="-9"/>
        </w:rPr>
        <w:t> </w:t>
      </w:r>
      <w:r>
        <w:rPr/>
        <w:t>é</w:t>
      </w:r>
      <w:r>
        <w:rPr>
          <w:spacing w:val="-9"/>
        </w:rPr>
        <w:t> </w:t>
      </w:r>
      <w:r>
        <w:rPr/>
        <w:t>comum</w:t>
      </w:r>
      <w:r>
        <w:rPr>
          <w:spacing w:val="-7"/>
        </w:rPr>
        <w:t> </w:t>
      </w:r>
      <w:r>
        <w:rPr/>
        <w:t>e</w:t>
      </w:r>
      <w:r>
        <w:rPr>
          <w:spacing w:val="-9"/>
        </w:rPr>
        <w:t> </w:t>
      </w:r>
      <w:r>
        <w:rPr/>
        <w:t>deve</w:t>
      </w:r>
      <w:r>
        <w:rPr>
          <w:spacing w:val="-9"/>
        </w:rPr>
        <w:t> </w:t>
      </w:r>
      <w:r>
        <w:rPr/>
        <w:t>ser</w:t>
      </w:r>
      <w:r>
        <w:rPr>
          <w:spacing w:val="-2"/>
        </w:rPr>
        <w:t> </w:t>
      </w:r>
      <w:r>
        <w:rPr/>
        <w:t>combatida, pois leva</w:t>
      </w:r>
      <w:r>
        <w:rPr>
          <w:spacing w:val="-9"/>
        </w:rPr>
        <w:t> </w:t>
      </w:r>
      <w:r>
        <w:rPr/>
        <w:t>à</w:t>
      </w:r>
      <w:r>
        <w:rPr>
          <w:spacing w:val="-9"/>
        </w:rPr>
        <w:t> </w:t>
      </w:r>
      <w:r>
        <w:rPr/>
        <w:t>permanência</w:t>
      </w:r>
      <w:r>
        <w:rPr>
          <w:spacing w:val="-9"/>
        </w:rPr>
        <w:t> </w:t>
      </w:r>
      <w:r>
        <w:rPr/>
        <w:t>da dor, podendo aumentar o consumo miocárdico de oxigênio.</w:t>
      </w:r>
      <w:r>
        <w:rPr>
          <w:vertAlign w:val="superscript"/>
        </w:rPr>
        <w:t>20,21</w:t>
      </w:r>
    </w:p>
    <w:p>
      <w:pPr>
        <w:pStyle w:val="BodyText"/>
        <w:spacing w:before="3"/>
        <w:ind w:left="0" w:firstLine="0"/>
        <w:jc w:val="left"/>
      </w:pPr>
    </w:p>
    <w:p>
      <w:pPr>
        <w:pStyle w:val="Heading7"/>
      </w:pPr>
      <w:r>
        <w:rPr>
          <w:color w:val="242B67"/>
          <w:spacing w:val="-2"/>
        </w:rPr>
        <w:t>Betabloqueador</w:t>
      </w:r>
    </w:p>
    <w:p>
      <w:pPr>
        <w:pStyle w:val="BodyText"/>
        <w:spacing w:line="280" w:lineRule="auto" w:before="126"/>
        <w:ind w:right="488"/>
      </w:pPr>
      <w:r>
        <w:rPr/>
        <w:t>Todos os pacientes com SCA devem receber betabloqueadores com o objetivo de diminuir a frequência cardíaca, reduzindo assim o consumo miocárdico de oxigênio. O uso imediato intravenoso é opcional e decidido após julgamento clínico de caso a caso. Em virtude do estudo COMMIT,</w:t>
      </w:r>
      <w:r>
        <w:rPr>
          <w:vertAlign w:val="superscript"/>
        </w:rPr>
        <w:t>22</w:t>
      </w:r>
      <w:r>
        <w:rPr>
          <w:vertAlign w:val="baseline"/>
        </w:rPr>
        <w:t> o amplo uso de betabloqueador intravenoso foi reduzido e, geralmente, limitado aos casos em que haja importante hipertensão, arritmias recorrentes ou dor refratária às medidas iniciais.</w:t>
      </w:r>
      <w:r>
        <w:rPr>
          <w:vertAlign w:val="superscript"/>
        </w:rPr>
        <w:t>23</w:t>
      </w:r>
      <w:r>
        <w:rPr>
          <w:vertAlign w:val="baseline"/>
        </w:rPr>
        <w:t> No entanto, o betabloqueador faz-se necessário sempre, pelo menos por via oral, salvo se existirem contraindicações específicas à medicação, como asma, doença pulmonar obstrutiva crônica descompensada, insuficiência arterial periférica grave, bradicardia, hipotensão, entre outros. Os antagonistas de cálcio, como diltiazem ou verapamil, são opções aos betabloqueadores quando existirem contraindicações específicas, pela habilidade de também reduzirem a frequência cardíaca do paciente e, com isso, diminuírem o consumo miocárdico de oxigênio.</w:t>
      </w:r>
      <w:r>
        <w:rPr>
          <w:vertAlign w:val="superscript"/>
        </w:rPr>
        <w:t>20,21</w:t>
      </w:r>
    </w:p>
    <w:p>
      <w:pPr>
        <w:pStyle w:val="BodyText"/>
        <w:spacing w:before="21"/>
        <w:ind w:left="0" w:firstLine="0"/>
        <w:jc w:val="left"/>
      </w:pPr>
    </w:p>
    <w:p>
      <w:pPr>
        <w:pStyle w:val="Heading7"/>
      </w:pPr>
      <w:r>
        <w:rPr>
          <w:color w:val="242B67"/>
        </w:rPr>
        <w:t>Antiagregação </w:t>
      </w:r>
      <w:r>
        <w:rPr>
          <w:color w:val="242B67"/>
          <w:spacing w:val="-2"/>
        </w:rPr>
        <w:t>plaquetária</w:t>
      </w:r>
    </w:p>
    <w:p>
      <w:pPr>
        <w:pStyle w:val="BodyText"/>
        <w:spacing w:line="280" w:lineRule="auto" w:before="126"/>
        <w:ind w:right="500"/>
      </w:pPr>
      <w:r>
        <w:rPr/>
        <w:t>O ácido acetilsalicílico (AAS) deve ser ministrado macerado, na dose inicial de 160 a 325 mg, por via oral, assim que o paciente for recebido no pronto-socorro com dor sugestiva de isquemia miocárdica. Trata-se de um antiagregante</w:t>
      </w:r>
      <w:r>
        <w:rPr>
          <w:spacing w:val="-8"/>
        </w:rPr>
        <w:t> </w:t>
      </w:r>
      <w:r>
        <w:rPr/>
        <w:t>plaquetário</w:t>
      </w:r>
      <w:r>
        <w:rPr>
          <w:spacing w:val="-5"/>
        </w:rPr>
        <w:t> </w:t>
      </w:r>
      <w:r>
        <w:rPr/>
        <w:t>que</w:t>
      </w:r>
      <w:r>
        <w:rPr>
          <w:spacing w:val="-8"/>
        </w:rPr>
        <w:t> </w:t>
      </w:r>
      <w:r>
        <w:rPr/>
        <w:t>age</w:t>
      </w:r>
      <w:r>
        <w:rPr>
          <w:spacing w:val="-8"/>
        </w:rPr>
        <w:t> </w:t>
      </w:r>
      <w:r>
        <w:rPr/>
        <w:t>pela</w:t>
      </w:r>
      <w:r>
        <w:rPr>
          <w:spacing w:val="-8"/>
        </w:rPr>
        <w:t> </w:t>
      </w:r>
      <w:r>
        <w:rPr/>
        <w:t>inibição</w:t>
      </w:r>
      <w:r>
        <w:rPr>
          <w:spacing w:val="-5"/>
        </w:rPr>
        <w:t> </w:t>
      </w:r>
      <w:r>
        <w:rPr/>
        <w:t>da</w:t>
      </w:r>
      <w:r>
        <w:rPr>
          <w:spacing w:val="-8"/>
        </w:rPr>
        <w:t> </w:t>
      </w:r>
      <w:r>
        <w:rPr/>
        <w:t>ciclo-oxigenase</w:t>
      </w:r>
      <w:r>
        <w:rPr>
          <w:spacing w:val="-8"/>
        </w:rPr>
        <w:t> </w:t>
      </w:r>
      <w:r>
        <w:rPr/>
        <w:t>plaquetária. No</w:t>
      </w:r>
      <w:r>
        <w:rPr>
          <w:spacing w:val="-5"/>
        </w:rPr>
        <w:t> </w:t>
      </w:r>
      <w:r>
        <w:rPr/>
        <w:t>Brasil, utilizam-se</w:t>
      </w:r>
      <w:r>
        <w:rPr>
          <w:spacing w:val="-8"/>
        </w:rPr>
        <w:t> </w:t>
      </w:r>
      <w:r>
        <w:rPr/>
        <w:t>200</w:t>
      </w:r>
      <w:r>
        <w:rPr>
          <w:spacing w:val="-5"/>
        </w:rPr>
        <w:t> </w:t>
      </w:r>
      <w:r>
        <w:rPr/>
        <w:t>mg</w:t>
      </w:r>
      <w:r>
        <w:rPr>
          <w:spacing w:val="-5"/>
        </w:rPr>
        <w:t> </w:t>
      </w:r>
      <w:r>
        <w:rPr/>
        <w:t>como dose</w:t>
      </w:r>
      <w:r>
        <w:rPr>
          <w:spacing w:val="-7"/>
        </w:rPr>
        <w:t> </w:t>
      </w:r>
      <w:r>
        <w:rPr/>
        <w:t>inicial.</w:t>
      </w:r>
      <w:r>
        <w:rPr>
          <w:vertAlign w:val="superscript"/>
        </w:rPr>
        <w:t>20,21</w:t>
      </w:r>
      <w:r>
        <w:rPr>
          <w:vertAlign w:val="baseline"/>
        </w:rPr>
        <w:t> Para</w:t>
      </w:r>
      <w:r>
        <w:rPr>
          <w:spacing w:val="-2"/>
          <w:vertAlign w:val="baseline"/>
        </w:rPr>
        <w:t> </w:t>
      </w:r>
      <w:r>
        <w:rPr>
          <w:vertAlign w:val="baseline"/>
        </w:rPr>
        <w:t>os dias seguintes (e</w:t>
      </w:r>
      <w:r>
        <w:rPr>
          <w:spacing w:val="-2"/>
          <w:vertAlign w:val="baseline"/>
        </w:rPr>
        <w:t> </w:t>
      </w:r>
      <w:r>
        <w:rPr>
          <w:vertAlign w:val="baseline"/>
        </w:rPr>
        <w:t>a</w:t>
      </w:r>
      <w:r>
        <w:rPr>
          <w:spacing w:val="-2"/>
          <w:vertAlign w:val="baseline"/>
        </w:rPr>
        <w:t> </w:t>
      </w:r>
      <w:r>
        <w:rPr>
          <w:vertAlign w:val="baseline"/>
        </w:rPr>
        <w:t>partir de</w:t>
      </w:r>
      <w:r>
        <w:rPr>
          <w:spacing w:val="-2"/>
          <w:vertAlign w:val="baseline"/>
        </w:rPr>
        <w:t> </w:t>
      </w:r>
      <w:r>
        <w:rPr>
          <w:vertAlign w:val="baseline"/>
        </w:rPr>
        <w:t>então indefinidamente) deve</w:t>
      </w:r>
      <w:r>
        <w:rPr>
          <w:spacing w:val="-2"/>
          <w:vertAlign w:val="baseline"/>
        </w:rPr>
        <w:t> </w:t>
      </w:r>
      <w:r>
        <w:rPr>
          <w:vertAlign w:val="baseline"/>
        </w:rPr>
        <w:t>ser mantida</w:t>
      </w:r>
      <w:r>
        <w:rPr>
          <w:spacing w:val="-2"/>
          <w:vertAlign w:val="baseline"/>
        </w:rPr>
        <w:t> </w:t>
      </w:r>
      <w:r>
        <w:rPr>
          <w:vertAlign w:val="baseline"/>
        </w:rPr>
        <w:t>uma</w:t>
      </w:r>
      <w:r>
        <w:rPr>
          <w:spacing w:val="-2"/>
          <w:vertAlign w:val="baseline"/>
        </w:rPr>
        <w:t> </w:t>
      </w:r>
      <w:r>
        <w:rPr>
          <w:vertAlign w:val="baseline"/>
        </w:rPr>
        <w:t>dose</w:t>
      </w:r>
      <w:r>
        <w:rPr>
          <w:spacing w:val="-2"/>
          <w:vertAlign w:val="baseline"/>
        </w:rPr>
        <w:t> </w:t>
      </w:r>
      <w:r>
        <w:rPr>
          <w:vertAlign w:val="baseline"/>
        </w:rPr>
        <w:t>menor (em geral 100 mg/dia). Só há uma contraindicação absoluta ao uso de AAS: alergia à medicação. Outras condições são</w:t>
      </w:r>
    </w:p>
    <w:p>
      <w:pPr>
        <w:pStyle w:val="BodyText"/>
        <w:spacing w:after="0" w:line="280" w:lineRule="auto"/>
        <w:sectPr>
          <w:type w:val="continuous"/>
          <w:pgSz w:w="11900" w:h="16840"/>
          <w:pgMar w:top="260" w:bottom="280" w:left="566" w:right="141"/>
        </w:sectPr>
      </w:pPr>
    </w:p>
    <w:p>
      <w:pPr>
        <w:pStyle w:val="BodyText"/>
        <w:spacing w:line="283" w:lineRule="auto" w:before="77"/>
        <w:ind w:right="496" w:firstLine="0"/>
      </w:pPr>
      <w:r>
        <w:rPr/>
        <w:t>contraindicações relativas, e</w:t>
      </w:r>
      <w:r>
        <w:rPr>
          <w:spacing w:val="-6"/>
        </w:rPr>
        <w:t> </w:t>
      </w:r>
      <w:r>
        <w:rPr/>
        <w:t>devem</w:t>
      </w:r>
      <w:r>
        <w:rPr>
          <w:spacing w:val="-4"/>
        </w:rPr>
        <w:t> </w:t>
      </w:r>
      <w:r>
        <w:rPr/>
        <w:t>ser pesados os prós e</w:t>
      </w:r>
      <w:r>
        <w:rPr>
          <w:spacing w:val="-6"/>
        </w:rPr>
        <w:t> </w:t>
      </w:r>
      <w:r>
        <w:rPr/>
        <w:t>os contras para</w:t>
      </w:r>
      <w:r>
        <w:rPr>
          <w:spacing w:val="-6"/>
        </w:rPr>
        <w:t> </w:t>
      </w:r>
      <w:r>
        <w:rPr/>
        <w:t>seu</w:t>
      </w:r>
      <w:r>
        <w:rPr>
          <w:spacing w:val="-4"/>
        </w:rPr>
        <w:t> </w:t>
      </w:r>
      <w:r>
        <w:rPr/>
        <w:t>uso</w:t>
      </w:r>
      <w:r>
        <w:rPr>
          <w:spacing w:val="-4"/>
        </w:rPr>
        <w:t> </w:t>
      </w:r>
      <w:r>
        <w:rPr/>
        <w:t>em</w:t>
      </w:r>
      <w:r>
        <w:rPr>
          <w:spacing w:val="-4"/>
        </w:rPr>
        <w:t> </w:t>
      </w:r>
      <w:r>
        <w:rPr/>
        <w:t>cada</w:t>
      </w:r>
      <w:r>
        <w:rPr>
          <w:spacing w:val="-6"/>
        </w:rPr>
        <w:t> </w:t>
      </w:r>
      <w:r>
        <w:rPr/>
        <w:t>caso: sangramento</w:t>
      </w:r>
      <w:r>
        <w:rPr>
          <w:spacing w:val="-4"/>
        </w:rPr>
        <w:t> </w:t>
      </w:r>
      <w:r>
        <w:rPr/>
        <w:t>ativo, hemofilia, úlcera péptica ativa ou alta probabilidade de sangramento gastrintestinal ou geniturinário.</w:t>
      </w:r>
      <w:r>
        <w:rPr>
          <w:vertAlign w:val="superscript"/>
        </w:rPr>
        <w:t>20,21</w:t>
      </w:r>
      <w:r>
        <w:rPr>
          <w:vertAlign w:val="baseline"/>
        </w:rPr>
        <w:t> É demonstrado pelo estudo Second International Study of Infarct Survival (ISIS-2) que o AAS reduz a mortalidade em torno de 20% isoladamente, quase tanto quanto a estreptoquinase. A associação de ambos reduz a mortalidade do IAM em 42%.</w:t>
      </w:r>
      <w:r>
        <w:rPr>
          <w:vertAlign w:val="superscript"/>
        </w:rPr>
        <w:t>24</w:t>
      </w:r>
    </w:p>
    <w:p>
      <w:pPr>
        <w:pStyle w:val="BodyText"/>
        <w:spacing w:line="278" w:lineRule="auto" w:before="62"/>
        <w:ind w:right="497"/>
      </w:pPr>
      <w:r>
        <w:rPr/>
        <w:t>Nos dias atuais, um segundo antiagregante faz-se necessário no tratamento de todos os pacientes com SCA. Este pode ser, dentre os disponíveis no Brasil, o clopidogrel, o prasugrel ou o ticagrelor. Esses fármacos são antagonistas do</w:t>
      </w:r>
      <w:r>
        <w:rPr>
          <w:spacing w:val="-6"/>
        </w:rPr>
        <w:t> </w:t>
      </w:r>
      <w:r>
        <w:rPr/>
        <w:t>receptor</w:t>
      </w:r>
      <w:r>
        <w:rPr>
          <w:spacing w:val="-1"/>
        </w:rPr>
        <w:t> </w:t>
      </w:r>
      <w:r>
        <w:rPr/>
        <w:t>P2Y12</w:t>
      </w:r>
      <w:r>
        <w:rPr>
          <w:spacing w:val="-6"/>
        </w:rPr>
        <w:t> </w:t>
      </w:r>
      <w:r>
        <w:rPr/>
        <w:t>da</w:t>
      </w:r>
      <w:r>
        <w:rPr>
          <w:spacing w:val="-8"/>
        </w:rPr>
        <w:t> </w:t>
      </w:r>
      <w:r>
        <w:rPr/>
        <w:t>adenosina</w:t>
      </w:r>
      <w:r>
        <w:rPr>
          <w:spacing w:val="-8"/>
        </w:rPr>
        <w:t> </w:t>
      </w:r>
      <w:r>
        <w:rPr/>
        <w:t>difosfato</w:t>
      </w:r>
      <w:r>
        <w:rPr>
          <w:spacing w:val="-6"/>
        </w:rPr>
        <w:t> </w:t>
      </w:r>
      <w:r>
        <w:rPr/>
        <w:t>(ADP), inibindo</w:t>
      </w:r>
      <w:r>
        <w:rPr>
          <w:spacing w:val="-6"/>
        </w:rPr>
        <w:t> </w:t>
      </w:r>
      <w:r>
        <w:rPr/>
        <w:t>a</w:t>
      </w:r>
      <w:r>
        <w:rPr>
          <w:spacing w:val="-8"/>
        </w:rPr>
        <w:t> </w:t>
      </w:r>
      <w:r>
        <w:rPr/>
        <w:t>ativação</w:t>
      </w:r>
      <w:r>
        <w:rPr>
          <w:spacing w:val="-6"/>
        </w:rPr>
        <w:t> </w:t>
      </w:r>
      <w:r>
        <w:rPr/>
        <w:t>e</w:t>
      </w:r>
      <w:r>
        <w:rPr>
          <w:spacing w:val="-8"/>
        </w:rPr>
        <w:t> </w:t>
      </w:r>
      <w:r>
        <w:rPr/>
        <w:t>agregação</w:t>
      </w:r>
      <w:r>
        <w:rPr>
          <w:spacing w:val="-6"/>
        </w:rPr>
        <w:t> </w:t>
      </w:r>
      <w:r>
        <w:rPr/>
        <w:t>plaquetária</w:t>
      </w:r>
      <w:r>
        <w:rPr>
          <w:spacing w:val="-8"/>
        </w:rPr>
        <w:t> </w:t>
      </w:r>
      <w:r>
        <w:rPr/>
        <w:t>mediada por ADP (</w:t>
      </w:r>
      <w:r>
        <w:rPr>
          <w:color w:val="505050"/>
        </w:rPr>
        <w:t>Tabela 55.6</w:t>
      </w:r>
      <w:r>
        <w:rPr/>
        <w:t>).</w:t>
      </w:r>
      <w:r>
        <w:rPr>
          <w:vertAlign w:val="superscript"/>
        </w:rPr>
        <w:t>1</w:t>
      </w:r>
      <w:r>
        <w:rPr>
          <w:vertAlign w:val="baseline"/>
        </w:rPr>
        <w:t> Os inibidores de GP IIbIIIa (abciximabe, tirofibana) têm sido menos utilizados mais recentemente, ficando mais restritos ao uso em sala de hemodinâmica, especialmente após identificação de árvore coronariana muito rica em trombos.</w:t>
      </w:r>
    </w:p>
    <w:p>
      <w:pPr>
        <w:pStyle w:val="BodyText"/>
        <w:spacing w:line="276" w:lineRule="auto"/>
        <w:ind w:right="491"/>
      </w:pPr>
      <w:r>
        <w:rPr/>
        <w:t>Na SCA com supra-ST, a escolha pelo 2</w:t>
      </w:r>
      <w:r>
        <w:rPr>
          <w:u w:val="single"/>
          <w:vertAlign w:val="superscript"/>
        </w:rPr>
        <w:t>o</w:t>
      </w:r>
      <w:r>
        <w:rPr>
          <w:vertAlign w:val="baseline"/>
        </w:rPr>
        <w:t> antiagregante plaquetário recai sobre o clopidogrel, que foi o único antagonista de P2Y12 testado nessa condição até o momento.</w:t>
      </w:r>
    </w:p>
    <w:p>
      <w:pPr>
        <w:pStyle w:val="BodyText"/>
        <w:spacing w:before="24"/>
        <w:ind w:left="0" w:firstLine="0"/>
        <w:jc w:val="left"/>
      </w:pPr>
    </w:p>
    <w:p>
      <w:pPr>
        <w:pStyle w:val="Heading7"/>
      </w:pPr>
      <w:r>
        <w:rPr>
          <w:color w:val="242B67"/>
          <w:spacing w:val="-2"/>
        </w:rPr>
        <w:t>Anticoagulação</w:t>
      </w:r>
    </w:p>
    <w:p>
      <w:pPr>
        <w:pStyle w:val="BodyText"/>
        <w:spacing w:line="276" w:lineRule="auto" w:before="126"/>
        <w:ind w:right="491"/>
      </w:pPr>
      <w:r>
        <w:rPr/>
        <w:t>A anticoagulação com HNF (heparina não fracionada), HBPM (heparina de baixo peso molecular) ou fondaparinux deve ser administrada a todos os pacientes com SCA.</w:t>
      </w:r>
    </w:p>
    <w:p>
      <w:pPr>
        <w:pStyle w:val="BodyText"/>
        <w:spacing w:line="276" w:lineRule="auto"/>
        <w:ind w:right="490"/>
      </w:pPr>
      <w:r>
        <w:rPr/>
        <w:t>A dose de HNF é de 60 UI/kg (máximo de 4.000 UI) em </w:t>
      </w:r>
      <w:r>
        <w:rPr>
          <w:i/>
        </w:rPr>
        <w:t>bolus </w:t>
      </w:r>
      <w:r>
        <w:rPr/>
        <w:t>seguida de infusão contínua de 12 UI/kg/h (máximo de 1.000 UI/h). Deve-se realizar tempo de tromboplastina parcial ativada (TTPA) de 6/6 h e ajustar a infusão, conforme o resultado, objetivando TTPA de 50 a 70 segundos.</w:t>
      </w:r>
    </w:p>
    <w:p>
      <w:pPr>
        <w:pStyle w:val="BodyText"/>
        <w:spacing w:line="283" w:lineRule="auto" w:before="48"/>
        <w:ind w:right="491"/>
      </w:pPr>
      <w:r>
        <w:rPr/>
        <w:t>A dose de enoxaparina é de 1 mg/kg, via subcutânea, de 12/12 h. Não é necessário o monitoramento com TTPA;</w:t>
      </w:r>
      <w:r>
        <w:rPr>
          <w:spacing w:val="-8"/>
        </w:rPr>
        <w:t> </w:t>
      </w:r>
      <w:r>
        <w:rPr/>
        <w:t>porém, a dose deve ser corrigida em pacientes com insuficiência renal (creatinina acima de 2 mg/d</w:t>
      </w:r>
      <w:r>
        <w:rPr>
          <w:spacing w:val="-15"/>
        </w:rPr>
        <w:t> </w:t>
      </w:r>
      <w:r>
        <w:rPr>
          <w:i/>
        </w:rPr>
        <w:t>ℓ </w:t>
      </w:r>
      <w:r>
        <w:rPr/>
        <w:t>e/ou </w:t>
      </w:r>
      <w:r>
        <w:rPr>
          <w:i/>
        </w:rPr>
        <w:t>clearance</w:t>
      </w:r>
      <w:r>
        <w:rPr>
          <w:i/>
          <w:spacing w:val="-7"/>
        </w:rPr>
        <w:t> </w:t>
      </w:r>
      <w:r>
        <w:rPr/>
        <w:t>inferior a</w:t>
      </w:r>
      <w:r>
        <w:rPr>
          <w:spacing w:val="-7"/>
        </w:rPr>
        <w:t> </w:t>
      </w:r>
      <w:r>
        <w:rPr/>
        <w:t>30</w:t>
      </w:r>
      <w:r>
        <w:rPr>
          <w:spacing w:val="-4"/>
        </w:rPr>
        <w:t> </w:t>
      </w:r>
      <w:r>
        <w:rPr/>
        <w:t>m</w:t>
      </w:r>
      <w:r>
        <w:rPr>
          <w:i/>
        </w:rPr>
        <w:t>ℓ</w:t>
      </w:r>
      <w:r>
        <w:rPr/>
        <w:t>/min) e</w:t>
      </w:r>
      <w:r>
        <w:rPr>
          <w:spacing w:val="-7"/>
        </w:rPr>
        <w:t> </w:t>
      </w:r>
      <w:r>
        <w:rPr/>
        <w:t>em</w:t>
      </w:r>
      <w:r>
        <w:rPr>
          <w:spacing w:val="-4"/>
        </w:rPr>
        <w:t> </w:t>
      </w:r>
      <w:r>
        <w:rPr/>
        <w:t>pacientes idosos.</w:t>
      </w:r>
      <w:r>
        <w:rPr>
          <w:vertAlign w:val="superscript"/>
        </w:rPr>
        <w:t>21</w:t>
      </w:r>
      <w:r>
        <w:rPr>
          <w:vertAlign w:val="baseline"/>
        </w:rPr>
        <w:t> O</w:t>
      </w:r>
      <w:r>
        <w:rPr>
          <w:spacing w:val="-7"/>
          <w:vertAlign w:val="baseline"/>
        </w:rPr>
        <w:t> </w:t>
      </w:r>
      <w:r>
        <w:rPr>
          <w:vertAlign w:val="baseline"/>
        </w:rPr>
        <w:t>estudo</w:t>
      </w:r>
      <w:r>
        <w:rPr>
          <w:spacing w:val="-4"/>
          <w:vertAlign w:val="baseline"/>
        </w:rPr>
        <w:t> </w:t>
      </w:r>
      <w:r>
        <w:rPr>
          <w:vertAlign w:val="baseline"/>
        </w:rPr>
        <w:t>SYNERGY</w:t>
      </w:r>
      <w:r>
        <w:rPr>
          <w:spacing w:val="-7"/>
          <w:vertAlign w:val="baseline"/>
        </w:rPr>
        <w:t> </w:t>
      </w:r>
      <w:r>
        <w:rPr>
          <w:vertAlign w:val="baseline"/>
        </w:rPr>
        <w:t>mostrou</w:t>
      </w:r>
      <w:r>
        <w:rPr>
          <w:spacing w:val="-4"/>
          <w:vertAlign w:val="baseline"/>
        </w:rPr>
        <w:t> </w:t>
      </w:r>
      <w:r>
        <w:rPr>
          <w:vertAlign w:val="baseline"/>
        </w:rPr>
        <w:t>que</w:t>
      </w:r>
      <w:r>
        <w:rPr>
          <w:spacing w:val="-7"/>
          <w:vertAlign w:val="baseline"/>
        </w:rPr>
        <w:t> </w:t>
      </w:r>
      <w:r>
        <w:rPr>
          <w:vertAlign w:val="baseline"/>
        </w:rPr>
        <w:t>mais importante</w:t>
      </w:r>
      <w:r>
        <w:rPr>
          <w:spacing w:val="-7"/>
          <w:vertAlign w:val="baseline"/>
        </w:rPr>
        <w:t> </w:t>
      </w:r>
      <w:r>
        <w:rPr>
          <w:vertAlign w:val="baseline"/>
        </w:rPr>
        <w:t>do</w:t>
      </w:r>
      <w:r>
        <w:rPr>
          <w:spacing w:val="-4"/>
          <w:vertAlign w:val="baseline"/>
        </w:rPr>
        <w:t> </w:t>
      </w:r>
      <w:r>
        <w:rPr>
          <w:vertAlign w:val="baseline"/>
        </w:rPr>
        <w:t>que saber qual</w:t>
      </w:r>
      <w:r>
        <w:rPr>
          <w:spacing w:val="-2"/>
          <w:vertAlign w:val="baseline"/>
        </w:rPr>
        <w:t> </w:t>
      </w:r>
      <w:r>
        <w:rPr>
          <w:vertAlign w:val="baseline"/>
        </w:rPr>
        <w:t>o</w:t>
      </w:r>
      <w:r>
        <w:rPr>
          <w:spacing w:val="-5"/>
          <w:vertAlign w:val="baseline"/>
        </w:rPr>
        <w:t> </w:t>
      </w:r>
      <w:r>
        <w:rPr>
          <w:vertAlign w:val="baseline"/>
        </w:rPr>
        <w:t>tipo</w:t>
      </w:r>
      <w:r>
        <w:rPr>
          <w:spacing w:val="-5"/>
          <w:vertAlign w:val="baseline"/>
        </w:rPr>
        <w:t> </w:t>
      </w:r>
      <w:r>
        <w:rPr>
          <w:vertAlign w:val="baseline"/>
        </w:rPr>
        <w:t>de</w:t>
      </w:r>
      <w:r>
        <w:rPr>
          <w:spacing w:val="-8"/>
          <w:vertAlign w:val="baseline"/>
        </w:rPr>
        <w:t> </w:t>
      </w:r>
      <w:r>
        <w:rPr>
          <w:vertAlign w:val="baseline"/>
        </w:rPr>
        <w:t>heparina</w:t>
      </w:r>
      <w:r>
        <w:rPr>
          <w:spacing w:val="-8"/>
          <w:vertAlign w:val="baseline"/>
        </w:rPr>
        <w:t> </w:t>
      </w:r>
      <w:r>
        <w:rPr>
          <w:vertAlign w:val="baseline"/>
        </w:rPr>
        <w:t>escolher para</w:t>
      </w:r>
      <w:r>
        <w:rPr>
          <w:spacing w:val="-8"/>
          <w:vertAlign w:val="baseline"/>
        </w:rPr>
        <w:t> </w:t>
      </w:r>
      <w:r>
        <w:rPr>
          <w:vertAlign w:val="baseline"/>
        </w:rPr>
        <w:t>o</w:t>
      </w:r>
      <w:r>
        <w:rPr>
          <w:spacing w:val="-5"/>
          <w:vertAlign w:val="baseline"/>
        </w:rPr>
        <w:t> </w:t>
      </w:r>
      <w:r>
        <w:rPr>
          <w:vertAlign w:val="baseline"/>
        </w:rPr>
        <w:t>tratamento</w:t>
      </w:r>
      <w:r>
        <w:rPr>
          <w:spacing w:val="-5"/>
          <w:vertAlign w:val="baseline"/>
        </w:rPr>
        <w:t> </w:t>
      </w:r>
      <w:r>
        <w:rPr>
          <w:vertAlign w:val="baseline"/>
        </w:rPr>
        <w:t>da</w:t>
      </w:r>
      <w:r>
        <w:rPr>
          <w:spacing w:val="-8"/>
          <w:vertAlign w:val="baseline"/>
        </w:rPr>
        <w:t> </w:t>
      </w:r>
      <w:r>
        <w:rPr>
          <w:vertAlign w:val="baseline"/>
        </w:rPr>
        <w:t>SCA</w:t>
      </w:r>
      <w:r>
        <w:rPr>
          <w:spacing w:val="-8"/>
          <w:vertAlign w:val="baseline"/>
        </w:rPr>
        <w:t> </w:t>
      </w:r>
      <w:r>
        <w:rPr>
          <w:vertAlign w:val="baseline"/>
        </w:rPr>
        <w:t>sem</w:t>
      </w:r>
      <w:r>
        <w:rPr>
          <w:spacing w:val="-5"/>
          <w:vertAlign w:val="baseline"/>
        </w:rPr>
        <w:t> </w:t>
      </w:r>
      <w:r>
        <w:rPr>
          <w:vertAlign w:val="baseline"/>
        </w:rPr>
        <w:t>supradesnível</w:t>
      </w:r>
      <w:r>
        <w:rPr>
          <w:spacing w:val="-2"/>
          <w:vertAlign w:val="baseline"/>
        </w:rPr>
        <w:t> </w:t>
      </w:r>
      <w:r>
        <w:rPr>
          <w:vertAlign w:val="baseline"/>
        </w:rPr>
        <w:t>é</w:t>
      </w:r>
      <w:r>
        <w:rPr>
          <w:spacing w:val="-8"/>
          <w:vertAlign w:val="baseline"/>
        </w:rPr>
        <w:t> </w:t>
      </w:r>
      <w:r>
        <w:rPr>
          <w:vertAlign w:val="baseline"/>
        </w:rPr>
        <w:t>o</w:t>
      </w:r>
      <w:r>
        <w:rPr>
          <w:spacing w:val="-5"/>
          <w:vertAlign w:val="baseline"/>
        </w:rPr>
        <w:t> </w:t>
      </w:r>
      <w:r>
        <w:rPr>
          <w:vertAlign w:val="baseline"/>
        </w:rPr>
        <w:t>fundamento</w:t>
      </w:r>
      <w:r>
        <w:rPr>
          <w:spacing w:val="-5"/>
          <w:vertAlign w:val="baseline"/>
        </w:rPr>
        <w:t> </w:t>
      </w:r>
      <w:r>
        <w:rPr>
          <w:vertAlign w:val="baseline"/>
        </w:rPr>
        <w:t>de</w:t>
      </w:r>
      <w:r>
        <w:rPr>
          <w:spacing w:val="-8"/>
          <w:vertAlign w:val="baseline"/>
        </w:rPr>
        <w:t> </w:t>
      </w:r>
      <w:r>
        <w:rPr>
          <w:vertAlign w:val="baseline"/>
        </w:rPr>
        <w:t>nunca</w:t>
      </w:r>
      <w:r>
        <w:rPr>
          <w:spacing w:val="-8"/>
          <w:vertAlign w:val="baseline"/>
        </w:rPr>
        <w:t> </w:t>
      </w:r>
      <w:r>
        <w:rPr>
          <w:vertAlign w:val="baseline"/>
        </w:rPr>
        <w:t>alterar o tipo de heparina escolhida (não fracionada ou baixo peso) em uma mesma internação.</w:t>
      </w:r>
      <w:r>
        <w:rPr>
          <w:vertAlign w:val="superscript"/>
        </w:rPr>
        <w:t>25</w:t>
      </w:r>
    </w:p>
    <w:p>
      <w:pPr>
        <w:pStyle w:val="BodyText"/>
        <w:spacing w:line="278" w:lineRule="auto" w:before="57"/>
        <w:ind w:right="487"/>
      </w:pPr>
      <w:r>
        <w:rPr/>
        <w:t>O único inibidor seletivo do fator X ativado (Xa) disponível para uso é o fondaparinux. A atividade antitrombótica de fondaparinux é o resultado da inibição seletiva do Fator Xa mediada pela antitrombina III (ATIII). Por meio da ligação seletiva à ATIII, fondaparinux potencializa (em aproximadamente 300 vezes) a neutralização fisiológica do Fator Xa pela ATIII. A neutralização do Fator Xa interrompe a cascata da coagulação sanguínea e assim inibe a formação de trombina e o desenvolvimento do trombo. Ele pode ser usado como opção para anticoagulação (2,5 mg subcutâneo 1 vez/dia),</w:t>
      </w:r>
      <w:r>
        <w:rPr>
          <w:vertAlign w:val="superscript"/>
        </w:rPr>
        <w:t>1</w:t>
      </w:r>
      <w:r>
        <w:rPr>
          <w:vertAlign w:val="baseline"/>
        </w:rPr>
        <w:t> mas seu uso é contraindicado para pacientes com IAM com supra-ST com estratégia de angioplastia primária.</w:t>
      </w:r>
    </w:p>
    <w:p>
      <w:pPr>
        <w:pStyle w:val="BodyText"/>
        <w:spacing w:line="280" w:lineRule="auto" w:before="47"/>
        <w:ind w:right="491"/>
      </w:pPr>
      <w:r>
        <w:rPr/>
        <w:t>Nos pacientes submetidos a angioplastia sem complicações, a heparinização deve ser descontinuada após o procedimento. Naqueles em que se opte apenas pelo tratamento medicamentoso, deve-se manter heparina não fracionada por 48 h. Quando o paciente estiver em uso de enoxaparina ou fondaparinux, estes devem ser mantidos durante a internação, por no máximo 8 dias.</w:t>
      </w:r>
      <w:r>
        <w:rPr>
          <w:vertAlign w:val="superscript"/>
        </w:rPr>
        <w:t>1</w:t>
      </w:r>
    </w:p>
    <w:p>
      <w:pPr>
        <w:pStyle w:val="BodyText"/>
        <w:spacing w:before="19"/>
        <w:ind w:left="0" w:firstLine="0"/>
        <w:jc w:val="left"/>
      </w:pPr>
    </w:p>
    <w:p>
      <w:pPr>
        <w:pStyle w:val="Heading7"/>
        <w:spacing w:before="1"/>
      </w:pPr>
      <w:r>
        <w:rPr>
          <w:color w:val="242B67"/>
        </w:rPr>
        <w:t>Estratificação </w:t>
      </w:r>
      <w:r>
        <w:rPr>
          <w:color w:val="242B67"/>
          <w:spacing w:val="-2"/>
        </w:rPr>
        <w:t>invasiva</w:t>
      </w:r>
    </w:p>
    <w:p>
      <w:pPr>
        <w:pStyle w:val="BodyText"/>
        <w:spacing w:line="280" w:lineRule="auto" w:before="126"/>
        <w:ind w:right="491"/>
      </w:pPr>
      <w:r>
        <w:rPr/>
        <w:t>Na SCA sem supradesnível, a estratificação invasiva deve ser realizada precocemente (dentro das primeiras 48 h)</w:t>
      </w:r>
      <w:r>
        <w:rPr>
          <w:spacing w:val="-1"/>
        </w:rPr>
        <w:t> </w:t>
      </w:r>
      <w:r>
        <w:rPr/>
        <w:t>nos pacientes considerados de</w:t>
      </w:r>
      <w:r>
        <w:rPr>
          <w:spacing w:val="-9"/>
        </w:rPr>
        <w:t> </w:t>
      </w:r>
      <w:r>
        <w:rPr/>
        <w:t>alto</w:t>
      </w:r>
      <w:r>
        <w:rPr>
          <w:spacing w:val="-6"/>
        </w:rPr>
        <w:t> </w:t>
      </w:r>
      <w:r>
        <w:rPr/>
        <w:t>risco. O</w:t>
      </w:r>
      <w:r>
        <w:rPr>
          <w:spacing w:val="-9"/>
        </w:rPr>
        <w:t> </w:t>
      </w:r>
      <w:r>
        <w:rPr/>
        <w:t>estudo</w:t>
      </w:r>
      <w:r>
        <w:rPr>
          <w:spacing w:val="-6"/>
        </w:rPr>
        <w:t> </w:t>
      </w:r>
      <w:r>
        <w:rPr/>
        <w:t>hemodinâmico</w:t>
      </w:r>
      <w:r>
        <w:rPr>
          <w:spacing w:val="-6"/>
        </w:rPr>
        <w:t> </w:t>
      </w:r>
      <w:r>
        <w:rPr/>
        <w:t>de</w:t>
      </w:r>
      <w:r>
        <w:rPr>
          <w:spacing w:val="-9"/>
        </w:rPr>
        <w:t> </w:t>
      </w:r>
      <w:r>
        <w:rPr/>
        <w:t>urgência</w:t>
      </w:r>
      <w:r>
        <w:rPr>
          <w:spacing w:val="-9"/>
        </w:rPr>
        <w:t> </w:t>
      </w:r>
      <w:r>
        <w:rPr/>
        <w:t>só</w:t>
      </w:r>
      <w:r>
        <w:rPr>
          <w:spacing w:val="-6"/>
        </w:rPr>
        <w:t> </w:t>
      </w:r>
      <w:r>
        <w:rPr/>
        <w:t>é</w:t>
      </w:r>
      <w:r>
        <w:rPr>
          <w:spacing w:val="-9"/>
        </w:rPr>
        <w:t> </w:t>
      </w:r>
      <w:r>
        <w:rPr/>
        <w:t>realizado</w:t>
      </w:r>
      <w:r>
        <w:rPr>
          <w:spacing w:val="-6"/>
        </w:rPr>
        <w:t> </w:t>
      </w:r>
      <w:r>
        <w:rPr/>
        <w:t>nos casos em</w:t>
      </w:r>
      <w:r>
        <w:rPr>
          <w:spacing w:val="-6"/>
        </w:rPr>
        <w:t> </w:t>
      </w:r>
      <w:r>
        <w:rPr/>
        <w:t>que</w:t>
      </w:r>
      <w:r>
        <w:rPr>
          <w:spacing w:val="-9"/>
        </w:rPr>
        <w:t> </w:t>
      </w:r>
      <w:r>
        <w:rPr/>
        <w:t>há instabilidade hemodinâmica, ou elétrica, ou dor refratária/recorrente apesar de tratamento medicamentoso máximo oferecido. Os pacientes de</w:t>
      </w:r>
      <w:r>
        <w:rPr>
          <w:spacing w:val="-4"/>
        </w:rPr>
        <w:t> </w:t>
      </w:r>
      <w:r>
        <w:rPr/>
        <w:t>risco</w:t>
      </w:r>
      <w:r>
        <w:rPr>
          <w:spacing w:val="-1"/>
        </w:rPr>
        <w:t> </w:t>
      </w:r>
      <w:r>
        <w:rPr/>
        <w:t>intermediário</w:t>
      </w:r>
      <w:r>
        <w:rPr>
          <w:spacing w:val="-1"/>
        </w:rPr>
        <w:t> </w:t>
      </w:r>
      <w:r>
        <w:rPr/>
        <w:t>podem</w:t>
      </w:r>
      <w:r>
        <w:rPr>
          <w:spacing w:val="-1"/>
        </w:rPr>
        <w:t> </w:t>
      </w:r>
      <w:r>
        <w:rPr/>
        <w:t>realizar estratificação</w:t>
      </w:r>
      <w:r>
        <w:rPr>
          <w:spacing w:val="-1"/>
        </w:rPr>
        <w:t> </w:t>
      </w:r>
      <w:r>
        <w:rPr/>
        <w:t>invasiva</w:t>
      </w:r>
      <w:r>
        <w:rPr>
          <w:spacing w:val="-4"/>
        </w:rPr>
        <w:t> </w:t>
      </w:r>
      <w:r>
        <w:rPr/>
        <w:t>ou</w:t>
      </w:r>
      <w:r>
        <w:rPr>
          <w:spacing w:val="-1"/>
        </w:rPr>
        <w:t> </w:t>
      </w:r>
      <w:r>
        <w:rPr/>
        <w:t>não</w:t>
      </w:r>
      <w:r>
        <w:rPr>
          <w:spacing w:val="-1"/>
        </w:rPr>
        <w:t> </w:t>
      </w:r>
      <w:r>
        <w:rPr/>
        <w:t>invasiva</w:t>
      </w:r>
      <w:r>
        <w:rPr>
          <w:spacing w:val="-4"/>
        </w:rPr>
        <w:t> </w:t>
      </w:r>
      <w:r>
        <w:rPr/>
        <w:t>precoces.</w:t>
      </w:r>
      <w:r>
        <w:rPr>
          <w:vertAlign w:val="superscript"/>
        </w:rPr>
        <w:t>1</w:t>
      </w:r>
    </w:p>
    <w:p>
      <w:pPr>
        <w:pStyle w:val="BodyText"/>
        <w:spacing w:before="82"/>
        <w:ind w:left="0" w:firstLine="0"/>
        <w:jc w:val="left"/>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4"/>
        </w:rPr>
        <w:t> </w:t>
      </w:r>
      <w:r>
        <w:rPr>
          <w:rFonts w:ascii="Arial" w:hAnsi="Arial"/>
          <w:b/>
          <w:color w:val="242B67"/>
        </w:rPr>
        <w:t>55.6</w:t>
      </w:r>
      <w:r>
        <w:rPr>
          <w:rFonts w:ascii="Arial" w:hAnsi="Arial"/>
          <w:b/>
          <w:color w:val="242B67"/>
          <w:spacing w:val="-2"/>
        </w:rPr>
        <w:t> </w:t>
      </w:r>
      <w:r>
        <w:rPr>
          <w:rFonts w:ascii="Microsoft Sans Serif" w:hAnsi="Microsoft Sans Serif"/>
        </w:rPr>
        <w:t>Doses</w:t>
      </w:r>
      <w:r>
        <w:rPr>
          <w:rFonts w:ascii="Microsoft Sans Serif" w:hAnsi="Microsoft Sans Serif"/>
          <w:spacing w:val="-3"/>
        </w:rPr>
        <w:t> </w:t>
      </w:r>
      <w:r>
        <w:rPr>
          <w:rFonts w:ascii="Microsoft Sans Serif" w:hAnsi="Microsoft Sans Serif"/>
        </w:rPr>
        <w:t>de</w:t>
      </w:r>
      <w:r>
        <w:rPr>
          <w:rFonts w:ascii="Microsoft Sans Serif" w:hAnsi="Microsoft Sans Serif"/>
          <w:spacing w:val="1"/>
        </w:rPr>
        <w:t> </w:t>
      </w:r>
      <w:r>
        <w:rPr>
          <w:rFonts w:ascii="Microsoft Sans Serif" w:hAnsi="Microsoft Sans Serif"/>
        </w:rPr>
        <w:t>ataque e</w:t>
      </w:r>
      <w:r>
        <w:rPr>
          <w:rFonts w:ascii="Microsoft Sans Serif" w:hAnsi="Microsoft Sans Serif"/>
          <w:spacing w:val="1"/>
        </w:rPr>
        <w:t> </w:t>
      </w:r>
      <w:r>
        <w:rPr>
          <w:rFonts w:ascii="Microsoft Sans Serif" w:hAnsi="Microsoft Sans Serif"/>
        </w:rPr>
        <w:t>manutenção dos</w:t>
      </w:r>
      <w:r>
        <w:rPr>
          <w:rFonts w:ascii="Microsoft Sans Serif" w:hAnsi="Microsoft Sans Serif"/>
          <w:spacing w:val="-2"/>
        </w:rPr>
        <w:t> </w:t>
      </w:r>
      <w:r>
        <w:rPr>
          <w:rFonts w:ascii="Microsoft Sans Serif" w:hAnsi="Microsoft Sans Serif"/>
        </w:rPr>
        <w:t>antagonistas</w:t>
      </w:r>
      <w:r>
        <w:rPr>
          <w:rFonts w:ascii="Microsoft Sans Serif" w:hAnsi="Microsoft Sans Serif"/>
          <w:spacing w:val="-2"/>
        </w:rPr>
        <w:t> </w:t>
      </w:r>
      <w:r>
        <w:rPr>
          <w:rFonts w:ascii="Microsoft Sans Serif" w:hAnsi="Microsoft Sans Serif"/>
        </w:rPr>
        <w:t>do receptor</w:t>
      </w:r>
      <w:r>
        <w:rPr>
          <w:rFonts w:ascii="Microsoft Sans Serif" w:hAnsi="Microsoft Sans Serif"/>
          <w:spacing w:val="5"/>
        </w:rPr>
        <w:t> </w:t>
      </w:r>
      <w:r>
        <w:rPr>
          <w:rFonts w:ascii="Microsoft Sans Serif" w:hAnsi="Microsoft Sans Serif"/>
        </w:rPr>
        <w:t>da ADP</w:t>
      </w:r>
      <w:r>
        <w:rPr>
          <w:rFonts w:ascii="Microsoft Sans Serif" w:hAnsi="Microsoft Sans Serif"/>
          <w:spacing w:val="8"/>
        </w:rPr>
        <w:t> </w:t>
      </w:r>
      <w:r>
        <w:rPr>
          <w:rFonts w:ascii="Microsoft Sans Serif" w:hAnsi="Microsoft Sans Serif"/>
          <w:spacing w:val="-2"/>
        </w:rPr>
        <w:t>plaquetária.</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516"/>
        <w:gridCol w:w="3492"/>
        <w:gridCol w:w="3612"/>
      </w:tblGrid>
      <w:tr>
        <w:trPr>
          <w:trHeight w:val="430" w:hRule="atLeast"/>
        </w:trPr>
        <w:tc>
          <w:tcPr>
            <w:tcW w:w="3516"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pacing w:val="-2"/>
                <w:w w:val="105"/>
                <w:sz w:val="21"/>
              </w:rPr>
              <w:t>Medicação</w:t>
            </w:r>
          </w:p>
        </w:tc>
        <w:tc>
          <w:tcPr>
            <w:tcW w:w="3492" w:type="dxa"/>
            <w:tcBorders>
              <w:top w:val="nil"/>
            </w:tcBorders>
            <w:shd w:val="clear" w:color="auto" w:fill="242B67"/>
          </w:tcPr>
          <w:p>
            <w:pPr>
              <w:pStyle w:val="TableParagraph"/>
              <w:spacing w:before="91"/>
              <w:rPr>
                <w:rFonts w:ascii="Arial"/>
                <w:b/>
                <w:sz w:val="21"/>
              </w:rPr>
            </w:pPr>
            <w:r>
              <w:rPr>
                <w:rFonts w:ascii="Arial"/>
                <w:b/>
                <w:color w:val="FFFFFF"/>
                <w:spacing w:val="-2"/>
                <w:w w:val="105"/>
                <w:sz w:val="21"/>
              </w:rPr>
              <w:t>Ataque</w:t>
            </w:r>
          </w:p>
        </w:tc>
        <w:tc>
          <w:tcPr>
            <w:tcW w:w="3612" w:type="dxa"/>
            <w:tcBorders>
              <w:top w:val="nil"/>
              <w:right w:val="nil"/>
            </w:tcBorders>
            <w:shd w:val="clear" w:color="auto" w:fill="242B67"/>
          </w:tcPr>
          <w:p>
            <w:pPr>
              <w:pStyle w:val="TableParagraph"/>
              <w:spacing w:before="91"/>
              <w:ind w:left="64"/>
              <w:rPr>
                <w:rFonts w:ascii="Arial" w:hAnsi="Arial"/>
                <w:b/>
                <w:sz w:val="21"/>
              </w:rPr>
            </w:pPr>
            <w:r>
              <w:rPr>
                <w:rFonts w:ascii="Arial" w:hAnsi="Arial"/>
                <w:b/>
                <w:color w:val="FFFFFF"/>
                <w:w w:val="105"/>
                <w:sz w:val="21"/>
              </w:rPr>
              <w:t>Manutenção</w:t>
            </w:r>
            <w:r>
              <w:rPr>
                <w:rFonts w:ascii="Arial" w:hAnsi="Arial"/>
                <w:b/>
                <w:color w:val="FFFFFF"/>
                <w:spacing w:val="-13"/>
                <w:w w:val="105"/>
                <w:sz w:val="21"/>
              </w:rPr>
              <w:t> </w:t>
            </w:r>
            <w:r>
              <w:rPr>
                <w:rFonts w:ascii="Arial" w:hAnsi="Arial"/>
                <w:b/>
                <w:color w:val="FFFFFF"/>
                <w:w w:val="105"/>
                <w:sz w:val="21"/>
              </w:rPr>
              <w:t>por</w:t>
            </w:r>
            <w:r>
              <w:rPr>
                <w:rFonts w:ascii="Arial" w:hAnsi="Arial"/>
                <w:b/>
                <w:color w:val="FFFFFF"/>
                <w:spacing w:val="-11"/>
                <w:w w:val="105"/>
                <w:sz w:val="21"/>
              </w:rPr>
              <w:t> </w:t>
            </w:r>
            <w:r>
              <w:rPr>
                <w:rFonts w:ascii="Arial" w:hAnsi="Arial"/>
                <w:b/>
                <w:color w:val="FFFFFF"/>
                <w:w w:val="105"/>
                <w:sz w:val="21"/>
              </w:rPr>
              <w:t>1</w:t>
            </w:r>
            <w:r>
              <w:rPr>
                <w:rFonts w:ascii="Arial" w:hAnsi="Arial"/>
                <w:b/>
                <w:color w:val="FFFFFF"/>
                <w:spacing w:val="-2"/>
                <w:w w:val="105"/>
                <w:sz w:val="21"/>
              </w:rPr>
              <w:t> </w:t>
            </w:r>
            <w:r>
              <w:rPr>
                <w:rFonts w:ascii="Arial" w:hAnsi="Arial"/>
                <w:b/>
                <w:color w:val="FFFFFF"/>
                <w:spacing w:val="-5"/>
                <w:w w:val="105"/>
                <w:sz w:val="21"/>
              </w:rPr>
              <w:t>ano</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Clopidogrel*</w:t>
            </w:r>
          </w:p>
        </w:tc>
        <w:tc>
          <w:tcPr>
            <w:tcW w:w="3492" w:type="dxa"/>
            <w:shd w:val="clear" w:color="auto" w:fill="EDECF3"/>
          </w:tcPr>
          <w:p>
            <w:pPr>
              <w:pStyle w:val="TableParagraph"/>
              <w:rPr>
                <w:sz w:val="21"/>
              </w:rPr>
            </w:pPr>
            <w:r>
              <w:rPr>
                <w:w w:val="105"/>
                <w:sz w:val="21"/>
              </w:rPr>
              <w:t>300</w:t>
            </w:r>
            <w:r>
              <w:rPr>
                <w:spacing w:val="19"/>
                <w:w w:val="105"/>
                <w:sz w:val="21"/>
              </w:rPr>
              <w:t> </w:t>
            </w:r>
            <w:r>
              <w:rPr>
                <w:spacing w:val="-5"/>
                <w:w w:val="105"/>
                <w:sz w:val="21"/>
              </w:rPr>
              <w:t>mg</w:t>
            </w:r>
          </w:p>
        </w:tc>
        <w:tc>
          <w:tcPr>
            <w:tcW w:w="3612" w:type="dxa"/>
            <w:tcBorders>
              <w:right w:val="nil"/>
            </w:tcBorders>
            <w:shd w:val="clear" w:color="auto" w:fill="EDECF3"/>
          </w:tcPr>
          <w:p>
            <w:pPr>
              <w:pStyle w:val="TableParagraph"/>
              <w:ind w:left="64"/>
              <w:rPr>
                <w:sz w:val="21"/>
              </w:rPr>
            </w:pPr>
            <w:r>
              <w:rPr>
                <w:w w:val="105"/>
                <w:sz w:val="21"/>
              </w:rPr>
              <w:t>75</w:t>
            </w:r>
            <w:r>
              <w:rPr>
                <w:spacing w:val="8"/>
                <w:w w:val="105"/>
                <w:sz w:val="21"/>
              </w:rPr>
              <w:t> </w:t>
            </w:r>
            <w:r>
              <w:rPr>
                <w:w w:val="105"/>
                <w:sz w:val="21"/>
              </w:rPr>
              <w:t>mg</w:t>
            </w:r>
            <w:r>
              <w:rPr>
                <w:spacing w:val="8"/>
                <w:w w:val="105"/>
                <w:sz w:val="21"/>
              </w:rPr>
              <w:t> </w:t>
            </w:r>
            <w:r>
              <w:rPr>
                <w:w w:val="105"/>
                <w:sz w:val="21"/>
              </w:rPr>
              <w:t>1</w:t>
            </w:r>
            <w:r>
              <w:rPr>
                <w:spacing w:val="8"/>
                <w:w w:val="105"/>
                <w:sz w:val="21"/>
              </w:rPr>
              <w:t> </w:t>
            </w:r>
            <w:r>
              <w:rPr>
                <w:spacing w:val="-2"/>
                <w:w w:val="105"/>
                <w:sz w:val="21"/>
              </w:rPr>
              <w:t>vez/dia</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Prasugrel**</w:t>
            </w:r>
          </w:p>
        </w:tc>
        <w:tc>
          <w:tcPr>
            <w:tcW w:w="3492" w:type="dxa"/>
            <w:shd w:val="clear" w:color="auto" w:fill="EDECF3"/>
          </w:tcPr>
          <w:p>
            <w:pPr>
              <w:pStyle w:val="TableParagraph"/>
              <w:rPr>
                <w:sz w:val="21"/>
              </w:rPr>
            </w:pPr>
            <w:r>
              <w:rPr>
                <w:w w:val="105"/>
                <w:sz w:val="21"/>
              </w:rPr>
              <w:t>60</w:t>
            </w:r>
            <w:r>
              <w:rPr>
                <w:spacing w:val="14"/>
                <w:w w:val="105"/>
                <w:sz w:val="21"/>
              </w:rPr>
              <w:t> </w:t>
            </w:r>
            <w:r>
              <w:rPr>
                <w:spacing w:val="-5"/>
                <w:w w:val="105"/>
                <w:sz w:val="21"/>
              </w:rPr>
              <w:t>mg</w:t>
            </w:r>
          </w:p>
        </w:tc>
        <w:tc>
          <w:tcPr>
            <w:tcW w:w="3612" w:type="dxa"/>
            <w:tcBorders>
              <w:right w:val="nil"/>
            </w:tcBorders>
            <w:shd w:val="clear" w:color="auto" w:fill="EDECF3"/>
          </w:tcPr>
          <w:p>
            <w:pPr>
              <w:pStyle w:val="TableParagraph"/>
              <w:ind w:left="64"/>
              <w:rPr>
                <w:sz w:val="21"/>
              </w:rPr>
            </w:pPr>
            <w:r>
              <w:rPr>
                <w:w w:val="105"/>
                <w:sz w:val="21"/>
              </w:rPr>
              <w:t>10</w:t>
            </w:r>
            <w:r>
              <w:rPr>
                <w:spacing w:val="8"/>
                <w:w w:val="105"/>
                <w:sz w:val="21"/>
              </w:rPr>
              <w:t> </w:t>
            </w:r>
            <w:r>
              <w:rPr>
                <w:w w:val="105"/>
                <w:sz w:val="21"/>
              </w:rPr>
              <w:t>mg</w:t>
            </w:r>
            <w:r>
              <w:rPr>
                <w:spacing w:val="8"/>
                <w:w w:val="105"/>
                <w:sz w:val="21"/>
              </w:rPr>
              <w:t> </w:t>
            </w:r>
            <w:r>
              <w:rPr>
                <w:w w:val="105"/>
                <w:sz w:val="21"/>
              </w:rPr>
              <w:t>1</w:t>
            </w:r>
            <w:r>
              <w:rPr>
                <w:spacing w:val="8"/>
                <w:w w:val="105"/>
                <w:sz w:val="21"/>
              </w:rPr>
              <w:t> </w:t>
            </w:r>
            <w:r>
              <w:rPr>
                <w:spacing w:val="-2"/>
                <w:w w:val="105"/>
                <w:sz w:val="21"/>
              </w:rPr>
              <w:t>vez/dia</w:t>
            </w:r>
          </w:p>
        </w:tc>
      </w:tr>
      <w:tr>
        <w:trPr>
          <w:trHeight w:val="430" w:hRule="atLeast"/>
        </w:trPr>
        <w:tc>
          <w:tcPr>
            <w:tcW w:w="3516" w:type="dxa"/>
            <w:tcBorders>
              <w:left w:val="nil"/>
              <w:bottom w:val="nil"/>
            </w:tcBorders>
            <w:shd w:val="clear" w:color="auto" w:fill="EDECF3"/>
          </w:tcPr>
          <w:p>
            <w:pPr>
              <w:pStyle w:val="TableParagraph"/>
              <w:ind w:left="67"/>
              <w:rPr>
                <w:sz w:val="21"/>
              </w:rPr>
            </w:pPr>
            <w:r>
              <w:rPr>
                <w:spacing w:val="-2"/>
                <w:w w:val="105"/>
                <w:sz w:val="21"/>
              </w:rPr>
              <w:t>Ticagrelor</w:t>
            </w:r>
          </w:p>
        </w:tc>
        <w:tc>
          <w:tcPr>
            <w:tcW w:w="3492" w:type="dxa"/>
            <w:tcBorders>
              <w:bottom w:val="nil"/>
            </w:tcBorders>
            <w:shd w:val="clear" w:color="auto" w:fill="EDECF3"/>
          </w:tcPr>
          <w:p>
            <w:pPr>
              <w:pStyle w:val="TableParagraph"/>
              <w:rPr>
                <w:sz w:val="21"/>
              </w:rPr>
            </w:pPr>
            <w:r>
              <w:rPr>
                <w:w w:val="105"/>
                <w:sz w:val="21"/>
              </w:rPr>
              <w:t>180</w:t>
            </w:r>
            <w:r>
              <w:rPr>
                <w:spacing w:val="19"/>
                <w:w w:val="105"/>
                <w:sz w:val="21"/>
              </w:rPr>
              <w:t> </w:t>
            </w:r>
            <w:r>
              <w:rPr>
                <w:spacing w:val="-5"/>
                <w:w w:val="105"/>
                <w:sz w:val="21"/>
              </w:rPr>
              <w:t>mg</w:t>
            </w:r>
          </w:p>
        </w:tc>
        <w:tc>
          <w:tcPr>
            <w:tcW w:w="3612" w:type="dxa"/>
            <w:tcBorders>
              <w:bottom w:val="nil"/>
              <w:right w:val="nil"/>
            </w:tcBorders>
            <w:shd w:val="clear" w:color="auto" w:fill="EDECF3"/>
          </w:tcPr>
          <w:p>
            <w:pPr>
              <w:pStyle w:val="TableParagraph"/>
              <w:ind w:left="64"/>
              <w:rPr>
                <w:sz w:val="21"/>
              </w:rPr>
            </w:pPr>
            <w:r>
              <w:rPr>
                <w:w w:val="105"/>
                <w:sz w:val="21"/>
              </w:rPr>
              <w:t>90</w:t>
            </w:r>
            <w:r>
              <w:rPr>
                <w:spacing w:val="13"/>
                <w:w w:val="105"/>
                <w:sz w:val="21"/>
              </w:rPr>
              <w:t> </w:t>
            </w:r>
            <w:r>
              <w:rPr>
                <w:w w:val="105"/>
                <w:sz w:val="21"/>
              </w:rPr>
              <w:t>mg</w:t>
            </w:r>
            <w:r>
              <w:rPr>
                <w:spacing w:val="14"/>
                <w:w w:val="105"/>
                <w:sz w:val="21"/>
              </w:rPr>
              <w:t> </w:t>
            </w:r>
            <w:r>
              <w:rPr>
                <w:w w:val="105"/>
                <w:sz w:val="21"/>
              </w:rPr>
              <w:t>12/12</w:t>
            </w:r>
            <w:r>
              <w:rPr>
                <w:spacing w:val="13"/>
                <w:w w:val="105"/>
                <w:sz w:val="21"/>
              </w:rPr>
              <w:t> </w:t>
            </w:r>
            <w:r>
              <w:rPr>
                <w:spacing w:val="-10"/>
                <w:w w:val="105"/>
                <w:sz w:val="21"/>
              </w:rPr>
              <w:t>h</w:t>
            </w:r>
          </w:p>
        </w:tc>
      </w:tr>
    </w:tbl>
    <w:p>
      <w:pPr>
        <w:pStyle w:val="TableParagraph"/>
        <w:spacing w:after="0"/>
        <w:rPr>
          <w:sz w:val="21"/>
        </w:rPr>
        <w:sectPr>
          <w:pgSz w:w="11900" w:h="16840"/>
          <w:pgMar w:top="200" w:bottom="280" w:left="566" w:right="141"/>
        </w:sectPr>
      </w:pPr>
    </w:p>
    <w:p>
      <w:pPr>
        <w:spacing w:line="285" w:lineRule="auto" w:before="88"/>
        <w:ind w:left="68" w:right="497" w:firstLine="0"/>
        <w:jc w:val="left"/>
        <w:rPr>
          <w:rFonts w:ascii="Microsoft Sans Serif" w:hAnsi="Microsoft Sans Serif"/>
          <w:sz w:val="19"/>
        </w:rPr>
      </w:pPr>
      <w:r>
        <w:rPr>
          <w:rFonts w:ascii="Microsoft Sans Serif" w:hAnsi="Microsoft Sans Serif"/>
          <w:sz w:val="19"/>
        </w:rPr>
        <w:t>*Pode-se</w:t>
      </w:r>
      <w:r>
        <w:rPr>
          <w:rFonts w:ascii="Microsoft Sans Serif" w:hAnsi="Microsoft Sans Serif"/>
          <w:spacing w:val="28"/>
          <w:sz w:val="19"/>
        </w:rPr>
        <w:t> </w:t>
      </w:r>
      <w:r>
        <w:rPr>
          <w:rFonts w:ascii="Microsoft Sans Serif" w:hAnsi="Microsoft Sans Serif"/>
          <w:sz w:val="19"/>
        </w:rPr>
        <w:t>aumentar</w:t>
      </w:r>
      <w:r>
        <w:rPr>
          <w:rFonts w:ascii="Microsoft Sans Serif" w:hAnsi="Microsoft Sans Serif"/>
          <w:spacing w:val="21"/>
          <w:sz w:val="19"/>
        </w:rPr>
        <w:t> </w:t>
      </w:r>
      <w:r>
        <w:rPr>
          <w:rFonts w:ascii="Microsoft Sans Serif" w:hAnsi="Microsoft Sans Serif"/>
          <w:sz w:val="19"/>
        </w:rPr>
        <w:t>a</w:t>
      </w:r>
      <w:r>
        <w:rPr>
          <w:rFonts w:ascii="Microsoft Sans Serif" w:hAnsi="Microsoft Sans Serif"/>
          <w:spacing w:val="28"/>
          <w:sz w:val="19"/>
        </w:rPr>
        <w:t> </w:t>
      </w:r>
      <w:r>
        <w:rPr>
          <w:rFonts w:ascii="Microsoft Sans Serif" w:hAnsi="Microsoft Sans Serif"/>
          <w:sz w:val="19"/>
        </w:rPr>
        <w:t>dose</w:t>
      </w:r>
      <w:r>
        <w:rPr>
          <w:rFonts w:ascii="Microsoft Sans Serif" w:hAnsi="Microsoft Sans Serif"/>
          <w:spacing w:val="28"/>
          <w:sz w:val="19"/>
        </w:rPr>
        <w:t> </w:t>
      </w:r>
      <w:r>
        <w:rPr>
          <w:rFonts w:ascii="Microsoft Sans Serif" w:hAnsi="Microsoft Sans Serif"/>
          <w:sz w:val="19"/>
        </w:rPr>
        <w:t>de</w:t>
      </w:r>
      <w:r>
        <w:rPr>
          <w:rFonts w:ascii="Microsoft Sans Serif" w:hAnsi="Microsoft Sans Serif"/>
          <w:spacing w:val="28"/>
          <w:sz w:val="19"/>
        </w:rPr>
        <w:t> </w:t>
      </w:r>
      <w:r>
        <w:rPr>
          <w:rFonts w:ascii="Microsoft Sans Serif" w:hAnsi="Microsoft Sans Serif"/>
          <w:sz w:val="19"/>
        </w:rPr>
        <w:t>ataque</w:t>
      </w:r>
      <w:r>
        <w:rPr>
          <w:rFonts w:ascii="Microsoft Sans Serif" w:hAnsi="Microsoft Sans Serif"/>
          <w:spacing w:val="28"/>
          <w:sz w:val="19"/>
        </w:rPr>
        <w:t> </w:t>
      </w:r>
      <w:r>
        <w:rPr>
          <w:rFonts w:ascii="Microsoft Sans Serif" w:hAnsi="Microsoft Sans Serif"/>
          <w:sz w:val="19"/>
        </w:rPr>
        <w:t>do</w:t>
      </w:r>
      <w:r>
        <w:rPr>
          <w:rFonts w:ascii="Microsoft Sans Serif" w:hAnsi="Microsoft Sans Serif"/>
          <w:spacing w:val="28"/>
          <w:sz w:val="19"/>
        </w:rPr>
        <w:t> </w:t>
      </w:r>
      <w:r>
        <w:rPr>
          <w:rFonts w:ascii="Microsoft Sans Serif" w:hAnsi="Microsoft Sans Serif"/>
          <w:sz w:val="19"/>
        </w:rPr>
        <w:t>clopidogrel</w:t>
      </w:r>
      <w:r>
        <w:rPr>
          <w:rFonts w:ascii="Microsoft Sans Serif" w:hAnsi="Microsoft Sans Serif"/>
          <w:spacing w:val="28"/>
          <w:sz w:val="19"/>
        </w:rPr>
        <w:t> </w:t>
      </w:r>
      <w:r>
        <w:rPr>
          <w:rFonts w:ascii="Microsoft Sans Serif" w:hAnsi="Microsoft Sans Serif"/>
          <w:sz w:val="19"/>
        </w:rPr>
        <w:t>para</w:t>
      </w:r>
      <w:r>
        <w:rPr>
          <w:rFonts w:ascii="Microsoft Sans Serif" w:hAnsi="Microsoft Sans Serif"/>
          <w:spacing w:val="28"/>
          <w:sz w:val="19"/>
        </w:rPr>
        <w:t> </w:t>
      </w:r>
      <w:r>
        <w:rPr>
          <w:rFonts w:ascii="Microsoft Sans Serif" w:hAnsi="Microsoft Sans Serif"/>
          <w:sz w:val="19"/>
        </w:rPr>
        <w:t>600</w:t>
      </w:r>
      <w:r>
        <w:rPr>
          <w:rFonts w:ascii="Microsoft Sans Serif" w:hAnsi="Microsoft Sans Serif"/>
          <w:spacing w:val="28"/>
          <w:sz w:val="19"/>
        </w:rPr>
        <w:t> </w:t>
      </w:r>
      <w:r>
        <w:rPr>
          <w:rFonts w:ascii="Microsoft Sans Serif" w:hAnsi="Microsoft Sans Serif"/>
          <w:sz w:val="19"/>
        </w:rPr>
        <w:t>mg,</w:t>
      </w:r>
      <w:r>
        <w:rPr>
          <w:rFonts w:ascii="Microsoft Sans Serif" w:hAnsi="Microsoft Sans Serif"/>
          <w:spacing w:val="13"/>
          <w:sz w:val="19"/>
        </w:rPr>
        <w:t> </w:t>
      </w:r>
      <w:r>
        <w:rPr>
          <w:rFonts w:ascii="Microsoft Sans Serif" w:hAnsi="Microsoft Sans Serif"/>
          <w:sz w:val="19"/>
        </w:rPr>
        <w:t>quando</w:t>
      </w:r>
      <w:r>
        <w:rPr>
          <w:rFonts w:ascii="Microsoft Sans Serif" w:hAnsi="Microsoft Sans Serif"/>
          <w:spacing w:val="28"/>
          <w:sz w:val="19"/>
        </w:rPr>
        <w:t> </w:t>
      </w:r>
      <w:r>
        <w:rPr>
          <w:rFonts w:ascii="Microsoft Sans Serif" w:hAnsi="Microsoft Sans Serif"/>
          <w:sz w:val="19"/>
        </w:rPr>
        <w:t>o</w:t>
      </w:r>
      <w:r>
        <w:rPr>
          <w:rFonts w:ascii="Microsoft Sans Serif" w:hAnsi="Microsoft Sans Serif"/>
          <w:spacing w:val="28"/>
          <w:sz w:val="19"/>
        </w:rPr>
        <w:t> </w:t>
      </w:r>
      <w:r>
        <w:rPr>
          <w:rFonts w:ascii="Microsoft Sans Serif" w:hAnsi="Microsoft Sans Serif"/>
          <w:sz w:val="19"/>
        </w:rPr>
        <w:t>momento</w:t>
      </w:r>
      <w:r>
        <w:rPr>
          <w:rFonts w:ascii="Microsoft Sans Serif" w:hAnsi="Microsoft Sans Serif"/>
          <w:spacing w:val="28"/>
          <w:sz w:val="19"/>
        </w:rPr>
        <w:t> </w:t>
      </w:r>
      <w:r>
        <w:rPr>
          <w:rFonts w:ascii="Microsoft Sans Serif" w:hAnsi="Microsoft Sans Serif"/>
          <w:sz w:val="19"/>
        </w:rPr>
        <w:t>inicial</w:t>
      </w:r>
      <w:r>
        <w:rPr>
          <w:rFonts w:ascii="Microsoft Sans Serif" w:hAnsi="Microsoft Sans Serif"/>
          <w:spacing w:val="28"/>
          <w:sz w:val="19"/>
        </w:rPr>
        <w:t> </w:t>
      </w:r>
      <w:r>
        <w:rPr>
          <w:rFonts w:ascii="Microsoft Sans Serif" w:hAnsi="Microsoft Sans Serif"/>
          <w:sz w:val="19"/>
        </w:rPr>
        <w:t>de</w:t>
      </w:r>
      <w:r>
        <w:rPr>
          <w:rFonts w:ascii="Microsoft Sans Serif" w:hAnsi="Microsoft Sans Serif"/>
          <w:spacing w:val="28"/>
          <w:sz w:val="19"/>
        </w:rPr>
        <w:t> </w:t>
      </w:r>
      <w:r>
        <w:rPr>
          <w:rFonts w:ascii="Microsoft Sans Serif" w:hAnsi="Microsoft Sans Serif"/>
          <w:sz w:val="19"/>
        </w:rPr>
        <w:t>uso</w:t>
      </w:r>
      <w:r>
        <w:rPr>
          <w:rFonts w:ascii="Microsoft Sans Serif" w:hAnsi="Microsoft Sans Serif"/>
          <w:spacing w:val="28"/>
          <w:sz w:val="19"/>
        </w:rPr>
        <w:t> </w:t>
      </w:r>
      <w:r>
        <w:rPr>
          <w:rFonts w:ascii="Microsoft Sans Serif" w:hAnsi="Microsoft Sans Serif"/>
          <w:sz w:val="19"/>
        </w:rPr>
        <w:t>for</w:t>
      </w:r>
      <w:r>
        <w:rPr>
          <w:rFonts w:ascii="Microsoft Sans Serif" w:hAnsi="Microsoft Sans Serif"/>
          <w:spacing w:val="21"/>
          <w:sz w:val="19"/>
        </w:rPr>
        <w:t> </w:t>
      </w:r>
      <w:r>
        <w:rPr>
          <w:rFonts w:ascii="Microsoft Sans Serif" w:hAnsi="Microsoft Sans Serif"/>
          <w:sz w:val="19"/>
        </w:rPr>
        <w:t>poucas</w:t>
      </w:r>
      <w:r>
        <w:rPr>
          <w:rFonts w:ascii="Microsoft Sans Serif" w:hAnsi="Microsoft Sans Serif"/>
          <w:spacing w:val="21"/>
          <w:sz w:val="19"/>
        </w:rPr>
        <w:t> </w:t>
      </w:r>
      <w:r>
        <w:rPr>
          <w:rFonts w:ascii="Microsoft Sans Serif" w:hAnsi="Microsoft Sans Serif"/>
          <w:sz w:val="19"/>
        </w:rPr>
        <w:t>horas antes de</w:t>
      </w:r>
      <w:r>
        <w:rPr>
          <w:rFonts w:ascii="Microsoft Sans Serif" w:hAnsi="Microsoft Sans Serif"/>
          <w:spacing w:val="36"/>
          <w:sz w:val="19"/>
        </w:rPr>
        <w:t> </w:t>
      </w:r>
      <w:r>
        <w:rPr>
          <w:rFonts w:ascii="Microsoft Sans Serif" w:hAnsi="Microsoft Sans Serif"/>
          <w:sz w:val="19"/>
        </w:rPr>
        <w:t>cateterismo</w:t>
      </w:r>
      <w:r>
        <w:rPr>
          <w:rFonts w:ascii="Microsoft Sans Serif" w:hAnsi="Microsoft Sans Serif"/>
          <w:spacing w:val="36"/>
          <w:sz w:val="19"/>
        </w:rPr>
        <w:t> </w:t>
      </w:r>
      <w:r>
        <w:rPr>
          <w:rFonts w:ascii="Microsoft Sans Serif" w:hAnsi="Microsoft Sans Serif"/>
          <w:sz w:val="19"/>
        </w:rPr>
        <w:t>com provável</w:t>
      </w:r>
      <w:r>
        <w:rPr>
          <w:rFonts w:ascii="Microsoft Sans Serif" w:hAnsi="Microsoft Sans Serif"/>
          <w:spacing w:val="36"/>
          <w:sz w:val="19"/>
        </w:rPr>
        <w:t> </w:t>
      </w:r>
      <w:r>
        <w:rPr>
          <w:rFonts w:ascii="Microsoft Sans Serif" w:hAnsi="Microsoft Sans Serif"/>
          <w:sz w:val="19"/>
        </w:rPr>
        <w:t>angioplastia. **O prasugrel</w:t>
      </w:r>
      <w:r>
        <w:rPr>
          <w:rFonts w:ascii="Microsoft Sans Serif" w:hAnsi="Microsoft Sans Serif"/>
          <w:spacing w:val="36"/>
          <w:sz w:val="19"/>
        </w:rPr>
        <w:t> </w:t>
      </w:r>
      <w:r>
        <w:rPr>
          <w:rFonts w:ascii="Microsoft Sans Serif" w:hAnsi="Microsoft Sans Serif"/>
          <w:sz w:val="19"/>
        </w:rPr>
        <w:t>é</w:t>
      </w:r>
      <w:r>
        <w:rPr>
          <w:rFonts w:ascii="Microsoft Sans Serif" w:hAnsi="Microsoft Sans Serif"/>
          <w:spacing w:val="36"/>
          <w:sz w:val="19"/>
        </w:rPr>
        <w:t> </w:t>
      </w:r>
      <w:r>
        <w:rPr>
          <w:rFonts w:ascii="Microsoft Sans Serif" w:hAnsi="Microsoft Sans Serif"/>
          <w:sz w:val="19"/>
        </w:rPr>
        <w:t>contraindicado</w:t>
      </w:r>
      <w:r>
        <w:rPr>
          <w:rFonts w:ascii="Microsoft Sans Serif" w:hAnsi="Microsoft Sans Serif"/>
          <w:spacing w:val="36"/>
          <w:sz w:val="19"/>
        </w:rPr>
        <w:t> </w:t>
      </w:r>
      <w:r>
        <w:rPr>
          <w:rFonts w:ascii="Microsoft Sans Serif" w:hAnsi="Microsoft Sans Serif"/>
          <w:sz w:val="19"/>
        </w:rPr>
        <w:t>em pacientes com histórico</w:t>
      </w:r>
      <w:r>
        <w:rPr>
          <w:rFonts w:ascii="Microsoft Sans Serif" w:hAnsi="Microsoft Sans Serif"/>
          <w:spacing w:val="36"/>
          <w:sz w:val="19"/>
        </w:rPr>
        <w:t> </w:t>
      </w:r>
      <w:r>
        <w:rPr>
          <w:rFonts w:ascii="Microsoft Sans Serif" w:hAnsi="Microsoft Sans Serif"/>
          <w:sz w:val="19"/>
        </w:rPr>
        <w:t>de</w:t>
      </w:r>
      <w:r>
        <w:rPr>
          <w:rFonts w:ascii="Microsoft Sans Serif" w:hAnsi="Microsoft Sans Serif"/>
          <w:spacing w:val="36"/>
          <w:sz w:val="19"/>
        </w:rPr>
        <w:t> </w:t>
      </w:r>
      <w:r>
        <w:rPr>
          <w:rFonts w:ascii="Microsoft Sans Serif" w:hAnsi="Microsoft Sans Serif"/>
          <w:sz w:val="19"/>
        </w:rPr>
        <w:t>ataque isquêmico</w:t>
      </w:r>
      <w:r>
        <w:rPr>
          <w:rFonts w:ascii="Microsoft Sans Serif" w:hAnsi="Microsoft Sans Serif"/>
          <w:spacing w:val="32"/>
          <w:sz w:val="19"/>
        </w:rPr>
        <w:t> </w:t>
      </w:r>
      <w:r>
        <w:rPr>
          <w:rFonts w:ascii="Microsoft Sans Serif" w:hAnsi="Microsoft Sans Serif"/>
          <w:sz w:val="19"/>
        </w:rPr>
        <w:t>transitório</w:t>
      </w:r>
      <w:r>
        <w:rPr>
          <w:rFonts w:ascii="Microsoft Sans Serif" w:hAnsi="Microsoft Sans Serif"/>
          <w:spacing w:val="32"/>
          <w:sz w:val="19"/>
        </w:rPr>
        <w:t> </w:t>
      </w:r>
      <w:r>
        <w:rPr>
          <w:rFonts w:ascii="Microsoft Sans Serif" w:hAnsi="Microsoft Sans Serif"/>
          <w:sz w:val="19"/>
        </w:rPr>
        <w:t>(AIT) ou</w:t>
      </w:r>
      <w:r>
        <w:rPr>
          <w:rFonts w:ascii="Microsoft Sans Serif" w:hAnsi="Microsoft Sans Serif"/>
          <w:spacing w:val="32"/>
          <w:sz w:val="19"/>
        </w:rPr>
        <w:t> </w:t>
      </w:r>
      <w:r>
        <w:rPr>
          <w:rFonts w:ascii="Microsoft Sans Serif" w:hAnsi="Microsoft Sans Serif"/>
          <w:sz w:val="19"/>
        </w:rPr>
        <w:t>acidente</w:t>
      </w:r>
      <w:r>
        <w:rPr>
          <w:rFonts w:ascii="Microsoft Sans Serif" w:hAnsi="Microsoft Sans Serif"/>
          <w:spacing w:val="32"/>
          <w:sz w:val="19"/>
        </w:rPr>
        <w:t> </w:t>
      </w:r>
      <w:r>
        <w:rPr>
          <w:rFonts w:ascii="Microsoft Sans Serif" w:hAnsi="Microsoft Sans Serif"/>
          <w:sz w:val="19"/>
        </w:rPr>
        <w:t>vascular cerebral</w:t>
      </w:r>
      <w:r>
        <w:rPr>
          <w:rFonts w:ascii="Microsoft Sans Serif" w:hAnsi="Microsoft Sans Serif"/>
          <w:spacing w:val="32"/>
          <w:sz w:val="19"/>
        </w:rPr>
        <w:t> </w:t>
      </w:r>
      <w:r>
        <w:rPr>
          <w:rFonts w:ascii="Microsoft Sans Serif" w:hAnsi="Microsoft Sans Serif"/>
          <w:sz w:val="19"/>
        </w:rPr>
        <w:t>(AVC); nos pacientes com idade</w:t>
      </w:r>
      <w:r>
        <w:rPr>
          <w:rFonts w:ascii="Microsoft Sans Serif" w:hAnsi="Microsoft Sans Serif"/>
          <w:spacing w:val="32"/>
          <w:sz w:val="19"/>
        </w:rPr>
        <w:t> </w:t>
      </w:r>
      <w:r>
        <w:rPr>
          <w:rFonts w:ascii="Microsoft Sans Serif" w:hAnsi="Microsoft Sans Serif"/>
          <w:sz w:val="19"/>
        </w:rPr>
        <w:t>superior a</w:t>
      </w:r>
      <w:r>
        <w:rPr>
          <w:rFonts w:ascii="Microsoft Sans Serif" w:hAnsi="Microsoft Sans Serif"/>
          <w:spacing w:val="32"/>
          <w:sz w:val="19"/>
        </w:rPr>
        <w:t> </w:t>
      </w:r>
      <w:r>
        <w:rPr>
          <w:rFonts w:ascii="Microsoft Sans Serif" w:hAnsi="Microsoft Sans Serif"/>
          <w:sz w:val="19"/>
        </w:rPr>
        <w:t>75</w:t>
      </w:r>
      <w:r>
        <w:rPr>
          <w:rFonts w:ascii="Microsoft Sans Serif" w:hAnsi="Microsoft Sans Serif"/>
          <w:spacing w:val="32"/>
          <w:sz w:val="19"/>
        </w:rPr>
        <w:t> </w:t>
      </w:r>
      <w:r>
        <w:rPr>
          <w:rFonts w:ascii="Microsoft Sans Serif" w:hAnsi="Microsoft Sans Serif"/>
          <w:sz w:val="19"/>
        </w:rPr>
        <w:t>anos, ele habitualmente</w:t>
      </w:r>
      <w:r>
        <w:rPr>
          <w:rFonts w:ascii="Microsoft Sans Serif" w:hAnsi="Microsoft Sans Serif"/>
          <w:spacing w:val="20"/>
          <w:sz w:val="19"/>
        </w:rPr>
        <w:t> </w:t>
      </w:r>
      <w:r>
        <w:rPr>
          <w:rFonts w:ascii="Microsoft Sans Serif" w:hAnsi="Microsoft Sans Serif"/>
          <w:sz w:val="19"/>
        </w:rPr>
        <w:t>não</w:t>
      </w:r>
      <w:r>
        <w:rPr>
          <w:rFonts w:ascii="Microsoft Sans Serif" w:hAnsi="Microsoft Sans Serif"/>
          <w:spacing w:val="20"/>
          <w:sz w:val="19"/>
        </w:rPr>
        <w:t> </w:t>
      </w:r>
      <w:r>
        <w:rPr>
          <w:rFonts w:ascii="Microsoft Sans Serif" w:hAnsi="Microsoft Sans Serif"/>
          <w:sz w:val="19"/>
        </w:rPr>
        <w:t>é</w:t>
      </w:r>
      <w:r>
        <w:rPr>
          <w:rFonts w:ascii="Microsoft Sans Serif" w:hAnsi="Microsoft Sans Serif"/>
          <w:spacing w:val="20"/>
          <w:sz w:val="19"/>
        </w:rPr>
        <w:t> </w:t>
      </w:r>
      <w:r>
        <w:rPr>
          <w:rFonts w:ascii="Microsoft Sans Serif" w:hAnsi="Microsoft Sans Serif"/>
          <w:sz w:val="19"/>
        </w:rPr>
        <w:t>prescrito, devido</w:t>
      </w:r>
      <w:r>
        <w:rPr>
          <w:rFonts w:ascii="Microsoft Sans Serif" w:hAnsi="Microsoft Sans Serif"/>
          <w:spacing w:val="20"/>
          <w:sz w:val="19"/>
        </w:rPr>
        <w:t> </w:t>
      </w:r>
      <w:r>
        <w:rPr>
          <w:rFonts w:ascii="Microsoft Sans Serif" w:hAnsi="Microsoft Sans Serif"/>
          <w:sz w:val="19"/>
        </w:rPr>
        <w:t>ao</w:t>
      </w:r>
      <w:r>
        <w:rPr>
          <w:rFonts w:ascii="Microsoft Sans Serif" w:hAnsi="Microsoft Sans Serif"/>
          <w:spacing w:val="20"/>
          <w:sz w:val="19"/>
        </w:rPr>
        <w:t> </w:t>
      </w:r>
      <w:r>
        <w:rPr>
          <w:rFonts w:ascii="Microsoft Sans Serif" w:hAnsi="Microsoft Sans Serif"/>
          <w:sz w:val="19"/>
        </w:rPr>
        <w:t>aumento</w:t>
      </w:r>
      <w:r>
        <w:rPr>
          <w:rFonts w:ascii="Microsoft Sans Serif" w:hAnsi="Microsoft Sans Serif"/>
          <w:spacing w:val="20"/>
          <w:sz w:val="19"/>
        </w:rPr>
        <w:t> </w:t>
      </w:r>
      <w:r>
        <w:rPr>
          <w:rFonts w:ascii="Microsoft Sans Serif" w:hAnsi="Microsoft Sans Serif"/>
          <w:sz w:val="19"/>
        </w:rPr>
        <w:t>do</w:t>
      </w:r>
      <w:r>
        <w:rPr>
          <w:rFonts w:ascii="Microsoft Sans Serif" w:hAnsi="Microsoft Sans Serif"/>
          <w:spacing w:val="20"/>
          <w:sz w:val="19"/>
        </w:rPr>
        <w:t> </w:t>
      </w:r>
      <w:r>
        <w:rPr>
          <w:rFonts w:ascii="Microsoft Sans Serif" w:hAnsi="Microsoft Sans Serif"/>
          <w:sz w:val="19"/>
        </w:rPr>
        <w:t>risco</w:t>
      </w:r>
      <w:r>
        <w:rPr>
          <w:rFonts w:ascii="Microsoft Sans Serif" w:hAnsi="Microsoft Sans Serif"/>
          <w:spacing w:val="20"/>
          <w:sz w:val="19"/>
        </w:rPr>
        <w:t> </w:t>
      </w:r>
      <w:r>
        <w:rPr>
          <w:rFonts w:ascii="Microsoft Sans Serif" w:hAnsi="Microsoft Sans Serif"/>
          <w:sz w:val="19"/>
        </w:rPr>
        <w:t>de</w:t>
      </w:r>
      <w:r>
        <w:rPr>
          <w:rFonts w:ascii="Microsoft Sans Serif" w:hAnsi="Microsoft Sans Serif"/>
          <w:spacing w:val="20"/>
          <w:sz w:val="19"/>
        </w:rPr>
        <w:t> </w:t>
      </w:r>
      <w:r>
        <w:rPr>
          <w:rFonts w:ascii="Microsoft Sans Serif" w:hAnsi="Microsoft Sans Serif"/>
          <w:sz w:val="19"/>
        </w:rPr>
        <w:t>sangramento</w:t>
      </w:r>
      <w:r>
        <w:rPr>
          <w:rFonts w:ascii="Microsoft Sans Serif" w:hAnsi="Microsoft Sans Serif"/>
          <w:spacing w:val="20"/>
          <w:sz w:val="19"/>
        </w:rPr>
        <w:t> </w:t>
      </w:r>
      <w:r>
        <w:rPr>
          <w:rFonts w:ascii="Microsoft Sans Serif" w:hAnsi="Microsoft Sans Serif"/>
          <w:sz w:val="19"/>
        </w:rPr>
        <w:t>no</w:t>
      </w:r>
      <w:r>
        <w:rPr>
          <w:rFonts w:ascii="Microsoft Sans Serif" w:hAnsi="Microsoft Sans Serif"/>
          <w:spacing w:val="20"/>
          <w:sz w:val="19"/>
        </w:rPr>
        <w:t> </w:t>
      </w:r>
      <w:r>
        <w:rPr>
          <w:rFonts w:ascii="Microsoft Sans Serif" w:hAnsi="Microsoft Sans Serif"/>
          <w:sz w:val="19"/>
        </w:rPr>
        <w:t>sistema</w:t>
      </w:r>
      <w:r>
        <w:rPr>
          <w:rFonts w:ascii="Microsoft Sans Serif" w:hAnsi="Microsoft Sans Serif"/>
          <w:spacing w:val="20"/>
          <w:sz w:val="19"/>
        </w:rPr>
        <w:t> </w:t>
      </w:r>
      <w:r>
        <w:rPr>
          <w:rFonts w:ascii="Microsoft Sans Serif" w:hAnsi="Microsoft Sans Serif"/>
          <w:sz w:val="19"/>
        </w:rPr>
        <w:t>nervoso</w:t>
      </w:r>
      <w:r>
        <w:rPr>
          <w:rFonts w:ascii="Microsoft Sans Serif" w:hAnsi="Microsoft Sans Serif"/>
          <w:spacing w:val="20"/>
          <w:sz w:val="19"/>
        </w:rPr>
        <w:t> </w:t>
      </w:r>
      <w:r>
        <w:rPr>
          <w:rFonts w:ascii="Microsoft Sans Serif" w:hAnsi="Microsoft Sans Serif"/>
          <w:sz w:val="19"/>
        </w:rPr>
        <w:t>central. ADP = adenosina </w:t>
      </w:r>
      <w:r>
        <w:rPr>
          <w:rFonts w:ascii="Microsoft Sans Serif" w:hAnsi="Microsoft Sans Serif"/>
          <w:spacing w:val="-2"/>
          <w:sz w:val="19"/>
        </w:rPr>
        <w:t>difosfato.</w:t>
      </w:r>
    </w:p>
    <w:p>
      <w:pPr>
        <w:pStyle w:val="BodyText"/>
        <w:spacing w:before="177"/>
        <w:ind w:left="0" w:firstLine="0"/>
        <w:jc w:val="left"/>
        <w:rPr>
          <w:rFonts w:ascii="Microsoft Sans Serif"/>
          <w:sz w:val="19"/>
        </w:rPr>
      </w:pPr>
    </w:p>
    <w:p>
      <w:pPr>
        <w:pStyle w:val="Heading5"/>
        <w:spacing w:line="266" w:lineRule="auto"/>
        <w:ind w:right="809"/>
      </w:pPr>
      <w:r>
        <w:rPr>
          <w:color w:val="A26108"/>
        </w:rPr>
        <w:t>Abordagem específica do infarto agudo do miocárdio </w:t>
      </w:r>
      <w:r>
        <w:rPr>
          <w:color w:val="A26108"/>
        </w:rPr>
        <w:t>com supradesnível do segmento ST</w:t>
      </w:r>
    </w:p>
    <w:p>
      <w:pPr>
        <w:pStyle w:val="Heading7"/>
        <w:spacing w:before="102"/>
      </w:pPr>
      <w:r>
        <w:rPr>
          <w:color w:val="242B67"/>
          <w:spacing w:val="-2"/>
        </w:rPr>
        <w:t>Fibrinolíticos</w:t>
      </w:r>
    </w:p>
    <w:p>
      <w:pPr>
        <w:pStyle w:val="BodyText"/>
        <w:spacing w:line="280" w:lineRule="auto" w:before="126"/>
        <w:ind w:right="490"/>
      </w:pPr>
      <w:r>
        <w:rPr/>
        <w:t>Com o propósito de se tentar dissolver o trombo intracoronariano, restituindo assim o fluxo anterógrado, no final da década de 1950 iniciava-se a utilização de estreptoquinase intravenosa no tratamento de indivíduos com IAM.</w:t>
      </w:r>
      <w:r>
        <w:rPr>
          <w:vertAlign w:val="superscript"/>
        </w:rPr>
        <w:t>23</w:t>
      </w:r>
      <w:r>
        <w:rPr>
          <w:vertAlign w:val="baseline"/>
        </w:rPr>
        <w:t> Foi em 1986, com a publicação do estudo do Gruppo Italiano per lo Studio della Streptokinasi nell’Infarto Miocardico (GISSI-1), que pela primeira vez se demonstrou que o tratamento com fibrinolítico diminuía a mortalidade em pacientes com IAMST.</w:t>
      </w:r>
      <w:r>
        <w:rPr>
          <w:vertAlign w:val="superscript"/>
        </w:rPr>
        <w:t>26</w:t>
      </w:r>
      <w:r>
        <w:rPr>
          <w:vertAlign w:val="baseline"/>
        </w:rPr>
        <w:t> Os fibrinolíticos não devem ser usados em SCA sem supradesnível de</w:t>
      </w:r>
      <w:r>
        <w:rPr>
          <w:spacing w:val="40"/>
          <w:vertAlign w:val="baseline"/>
        </w:rPr>
        <w:t> </w:t>
      </w:r>
      <w:r>
        <w:rPr>
          <w:spacing w:val="-4"/>
          <w:vertAlign w:val="baseline"/>
        </w:rPr>
        <w:t>ST.</w:t>
      </w:r>
    </w:p>
    <w:p>
      <w:pPr>
        <w:pStyle w:val="BodyText"/>
        <w:spacing w:line="276" w:lineRule="auto"/>
        <w:ind w:right="488"/>
      </w:pPr>
      <w:r>
        <w:rPr/>
        <w:t>Tempo é um importante fator de sucesso da trombólise. Quanto menos tempo tiver decorrido entre o início da dor e</w:t>
      </w:r>
      <w:r>
        <w:rPr>
          <w:spacing w:val="-5"/>
        </w:rPr>
        <w:t> </w:t>
      </w:r>
      <w:r>
        <w:rPr/>
        <w:t>a</w:t>
      </w:r>
      <w:r>
        <w:rPr>
          <w:spacing w:val="-5"/>
        </w:rPr>
        <w:t> </w:t>
      </w:r>
      <w:r>
        <w:rPr/>
        <w:t>trombólise, maiores são</w:t>
      </w:r>
      <w:r>
        <w:rPr>
          <w:spacing w:val="-2"/>
        </w:rPr>
        <w:t> </w:t>
      </w:r>
      <w:r>
        <w:rPr/>
        <w:t>as chances de</w:t>
      </w:r>
      <w:r>
        <w:rPr>
          <w:spacing w:val="-5"/>
        </w:rPr>
        <w:t> </w:t>
      </w:r>
      <w:r>
        <w:rPr/>
        <w:t>sucesso. A</w:t>
      </w:r>
      <w:r>
        <w:rPr>
          <w:spacing w:val="-5"/>
        </w:rPr>
        <w:t> </w:t>
      </w:r>
      <w:r>
        <w:rPr/>
        <w:t>trombólise</w:t>
      </w:r>
      <w:r>
        <w:rPr>
          <w:spacing w:val="-5"/>
        </w:rPr>
        <w:t> </w:t>
      </w:r>
      <w:r>
        <w:rPr/>
        <w:t>está</w:t>
      </w:r>
      <w:r>
        <w:rPr>
          <w:spacing w:val="-5"/>
        </w:rPr>
        <w:t> </w:t>
      </w:r>
      <w:r>
        <w:rPr/>
        <w:t>indicada</w:t>
      </w:r>
      <w:r>
        <w:rPr>
          <w:spacing w:val="-5"/>
        </w:rPr>
        <w:t> </w:t>
      </w:r>
      <w:r>
        <w:rPr/>
        <w:t>nas primeiras 12</w:t>
      </w:r>
      <w:r>
        <w:rPr>
          <w:spacing w:val="-2"/>
        </w:rPr>
        <w:t> </w:t>
      </w:r>
      <w:r>
        <w:rPr/>
        <w:t>h</w:t>
      </w:r>
      <w:r>
        <w:rPr>
          <w:spacing w:val="-2"/>
        </w:rPr>
        <w:t> </w:t>
      </w:r>
      <w:r>
        <w:rPr/>
        <w:t>de</w:t>
      </w:r>
      <w:r>
        <w:rPr>
          <w:spacing w:val="-5"/>
        </w:rPr>
        <w:t> </w:t>
      </w:r>
      <w:r>
        <w:rPr/>
        <w:t>dor. Como demonstração de eficiência de cada serviço, deve-se sempre objetivar a administração da trombólise em, no máximo, 30 min da</w:t>
      </w:r>
      <w:r>
        <w:rPr>
          <w:spacing w:val="-3"/>
        </w:rPr>
        <w:t> </w:t>
      </w:r>
      <w:r>
        <w:rPr/>
        <w:t>chegada</w:t>
      </w:r>
      <w:r>
        <w:rPr>
          <w:spacing w:val="-3"/>
        </w:rPr>
        <w:t> </w:t>
      </w:r>
      <w:r>
        <w:rPr/>
        <w:t>do paciente</w:t>
      </w:r>
      <w:r>
        <w:rPr>
          <w:spacing w:val="-3"/>
        </w:rPr>
        <w:t> </w:t>
      </w:r>
      <w:r>
        <w:rPr/>
        <w:t>à</w:t>
      </w:r>
      <w:r>
        <w:rPr>
          <w:spacing w:val="-3"/>
        </w:rPr>
        <w:t> </w:t>
      </w:r>
      <w:r>
        <w:rPr/>
        <w:t>emergência. É o que</w:t>
      </w:r>
      <w:r>
        <w:rPr>
          <w:spacing w:val="-3"/>
        </w:rPr>
        <w:t> </w:t>
      </w:r>
      <w:r>
        <w:rPr/>
        <w:t>se</w:t>
      </w:r>
      <w:r>
        <w:rPr>
          <w:spacing w:val="-3"/>
        </w:rPr>
        <w:t> </w:t>
      </w:r>
      <w:r>
        <w:rPr/>
        <w:t>chama</w:t>
      </w:r>
      <w:r>
        <w:rPr>
          <w:spacing w:val="-3"/>
        </w:rPr>
        <w:t> </w:t>
      </w:r>
      <w:r>
        <w:rPr/>
        <w:t>de</w:t>
      </w:r>
      <w:r>
        <w:rPr>
          <w:spacing w:val="-3"/>
        </w:rPr>
        <w:t> </w:t>
      </w:r>
      <w:r>
        <w:rPr/>
        <w:t>tempo porta-agulha</w:t>
      </w:r>
      <w:r>
        <w:rPr>
          <w:spacing w:val="-3"/>
        </w:rPr>
        <w:t> </w:t>
      </w:r>
      <w:r>
        <w:rPr/>
        <w:t>inferior a</w:t>
      </w:r>
      <w:r>
        <w:rPr>
          <w:spacing w:val="-3"/>
        </w:rPr>
        <w:t> </w:t>
      </w:r>
      <w:r>
        <w:rPr/>
        <w:t>30 min.</w:t>
      </w:r>
    </w:p>
    <w:p>
      <w:pPr>
        <w:pStyle w:val="BodyText"/>
        <w:spacing w:line="283" w:lineRule="auto" w:before="49"/>
        <w:ind w:right="487"/>
      </w:pPr>
      <w:r>
        <w:rPr/>
        <w:t>Os pacientes submetidos à fibrinólise devem receber AAS 200 mg na admissão, seguido de dose de ataque de clopidogrel (300 mg em paciente</w:t>
      </w:r>
      <w:r>
        <w:rPr>
          <w:spacing w:val="-3"/>
        </w:rPr>
        <w:t> </w:t>
      </w:r>
      <w:r>
        <w:rPr/>
        <w:t>com idade</w:t>
      </w:r>
      <w:r>
        <w:rPr>
          <w:spacing w:val="-3"/>
        </w:rPr>
        <w:t> </w:t>
      </w:r>
      <w:r>
        <w:rPr/>
        <w:t># 75 anos, ou 75 mg nos com idade</w:t>
      </w:r>
      <w:r>
        <w:rPr>
          <w:spacing w:val="-3"/>
        </w:rPr>
        <w:t> </w:t>
      </w:r>
      <w:r>
        <w:rPr/>
        <w:t>&gt; 75 anos). O</w:t>
      </w:r>
      <w:r>
        <w:rPr>
          <w:spacing w:val="-3"/>
        </w:rPr>
        <w:t> </w:t>
      </w:r>
      <w:r>
        <w:rPr/>
        <w:t>clopidogrel (75 mg) deve ser mantido por no mínimo 14 dias após trombólise, e seu uso pode ser estendido por até 1 ano.</w:t>
      </w:r>
      <w:r>
        <w:rPr>
          <w:vertAlign w:val="superscript"/>
        </w:rPr>
        <w:t>6</w:t>
      </w:r>
    </w:p>
    <w:p>
      <w:pPr>
        <w:pStyle w:val="BodyText"/>
        <w:spacing w:line="297" w:lineRule="auto" w:before="57"/>
        <w:ind w:right="491"/>
        <w:jc w:val="right"/>
      </w:pPr>
      <w:r>
        <w:rPr/>
        <w:t>A</w:t>
      </w:r>
      <w:r>
        <w:rPr>
          <w:spacing w:val="-11"/>
        </w:rPr>
        <w:t> </w:t>
      </w:r>
      <w:r>
        <w:rPr/>
        <w:t>seguir,</w:t>
      </w:r>
      <w:r>
        <w:rPr>
          <w:spacing w:val="-2"/>
        </w:rPr>
        <w:t> </w:t>
      </w:r>
      <w:r>
        <w:rPr/>
        <w:t>são</w:t>
      </w:r>
      <w:r>
        <w:rPr>
          <w:spacing w:val="-9"/>
        </w:rPr>
        <w:t> </w:t>
      </w:r>
      <w:r>
        <w:rPr/>
        <w:t>apresentadas</w:t>
      </w:r>
      <w:r>
        <w:rPr>
          <w:spacing w:val="-2"/>
        </w:rPr>
        <w:t> </w:t>
      </w:r>
      <w:r>
        <w:rPr/>
        <w:t>as</w:t>
      </w:r>
      <w:r>
        <w:rPr>
          <w:spacing w:val="-2"/>
        </w:rPr>
        <w:t> </w:t>
      </w:r>
      <w:r>
        <w:rPr/>
        <w:t>contraindicações</w:t>
      </w:r>
      <w:r>
        <w:rPr>
          <w:spacing w:val="-2"/>
        </w:rPr>
        <w:t> </w:t>
      </w:r>
      <w:r>
        <w:rPr/>
        <w:t>relativas</w:t>
      </w:r>
      <w:r>
        <w:rPr>
          <w:spacing w:val="-2"/>
        </w:rPr>
        <w:t> </w:t>
      </w:r>
      <w:r>
        <w:rPr/>
        <w:t>e</w:t>
      </w:r>
      <w:r>
        <w:rPr>
          <w:spacing w:val="-11"/>
        </w:rPr>
        <w:t> </w:t>
      </w:r>
      <w:r>
        <w:rPr/>
        <w:t>absolutas</w:t>
      </w:r>
      <w:r>
        <w:rPr>
          <w:spacing w:val="-2"/>
        </w:rPr>
        <w:t> </w:t>
      </w:r>
      <w:r>
        <w:rPr/>
        <w:t>ao</w:t>
      </w:r>
      <w:r>
        <w:rPr>
          <w:spacing w:val="-9"/>
        </w:rPr>
        <w:t> </w:t>
      </w:r>
      <w:r>
        <w:rPr/>
        <w:t>emprego</w:t>
      </w:r>
      <w:r>
        <w:rPr>
          <w:spacing w:val="-9"/>
        </w:rPr>
        <w:t> </w:t>
      </w:r>
      <w:r>
        <w:rPr/>
        <w:t>dos</w:t>
      </w:r>
      <w:r>
        <w:rPr>
          <w:spacing w:val="-2"/>
        </w:rPr>
        <w:t> </w:t>
      </w:r>
      <w:r>
        <w:rPr/>
        <w:t>fibrinolíticos</w:t>
      </w:r>
      <w:r>
        <w:rPr>
          <w:spacing w:val="-2"/>
        </w:rPr>
        <w:t> </w:t>
      </w:r>
      <w:r>
        <w:rPr/>
        <w:t>(</w:t>
      </w:r>
      <w:r>
        <w:rPr>
          <w:color w:val="505050"/>
        </w:rPr>
        <w:t>Tabela</w:t>
      </w:r>
      <w:r>
        <w:rPr>
          <w:color w:val="505050"/>
          <w:spacing w:val="-11"/>
        </w:rPr>
        <w:t> </w:t>
      </w:r>
      <w:r>
        <w:rPr>
          <w:color w:val="505050"/>
        </w:rPr>
        <w:t>55.7</w:t>
      </w:r>
      <w:r>
        <w:rPr/>
        <w:t>). A escolha do agente fibrinolítico depende da análise individual dos riscos e benefícios, da disponibilidade e do custo.</w:t>
      </w:r>
      <w:r>
        <w:rPr>
          <w:spacing w:val="12"/>
        </w:rPr>
        <w:t> </w:t>
      </w:r>
      <w:r>
        <w:rPr/>
        <w:t>A</w:t>
      </w:r>
      <w:r>
        <w:rPr>
          <w:spacing w:val="4"/>
        </w:rPr>
        <w:t> </w:t>
      </w:r>
      <w:r>
        <w:rPr/>
        <w:t>preferência</w:t>
      </w:r>
      <w:r>
        <w:rPr>
          <w:spacing w:val="5"/>
        </w:rPr>
        <w:t> </w:t>
      </w:r>
      <w:r>
        <w:rPr/>
        <w:t>é</w:t>
      </w:r>
      <w:r>
        <w:rPr>
          <w:spacing w:val="4"/>
        </w:rPr>
        <w:t> </w:t>
      </w:r>
      <w:r>
        <w:rPr/>
        <w:t>administrar</w:t>
      </w:r>
      <w:r>
        <w:rPr>
          <w:spacing w:val="12"/>
        </w:rPr>
        <w:t> </w:t>
      </w:r>
      <w:r>
        <w:rPr/>
        <w:t>um</w:t>
      </w:r>
      <w:r>
        <w:rPr>
          <w:spacing w:val="7"/>
        </w:rPr>
        <w:t> </w:t>
      </w:r>
      <w:r>
        <w:rPr/>
        <w:t>agente</w:t>
      </w:r>
      <w:r>
        <w:rPr>
          <w:spacing w:val="5"/>
        </w:rPr>
        <w:t> </w:t>
      </w:r>
      <w:r>
        <w:rPr/>
        <w:t>fibrino-específico</w:t>
      </w:r>
      <w:r>
        <w:rPr>
          <w:spacing w:val="7"/>
        </w:rPr>
        <w:t> </w:t>
      </w:r>
      <w:r>
        <w:rPr/>
        <w:t>(tenecteplase,</w:t>
      </w:r>
      <w:r>
        <w:rPr>
          <w:spacing w:val="14"/>
        </w:rPr>
        <w:t> </w:t>
      </w:r>
      <w:r>
        <w:rPr/>
        <w:t>alteplase,</w:t>
      </w:r>
      <w:r>
        <w:rPr>
          <w:spacing w:val="14"/>
        </w:rPr>
        <w:t> </w:t>
      </w:r>
      <w:r>
        <w:rPr/>
        <w:t>reteplase)</w:t>
      </w:r>
      <w:r>
        <w:rPr>
          <w:spacing w:val="12"/>
        </w:rPr>
        <w:t> </w:t>
      </w:r>
      <w:r>
        <w:rPr/>
        <w:t>em</w:t>
      </w:r>
      <w:r>
        <w:rPr>
          <w:spacing w:val="7"/>
        </w:rPr>
        <w:t> </w:t>
      </w:r>
      <w:r>
        <w:rPr/>
        <w:t>relação</w:t>
      </w:r>
      <w:r>
        <w:rPr>
          <w:spacing w:val="7"/>
        </w:rPr>
        <w:t> </w:t>
      </w:r>
      <w:r>
        <w:rPr>
          <w:spacing w:val="-5"/>
        </w:rPr>
        <w:t>aos</w:t>
      </w:r>
    </w:p>
    <w:p>
      <w:pPr>
        <w:pStyle w:val="BodyText"/>
        <w:spacing w:line="242" w:lineRule="exact" w:before="0"/>
        <w:ind w:left="0" w:right="509" w:firstLine="0"/>
        <w:jc w:val="right"/>
      </w:pPr>
      <w:r>
        <w:rPr/>
        <w:t>não</w:t>
      </w:r>
      <w:r>
        <w:rPr>
          <w:spacing w:val="-4"/>
        </w:rPr>
        <w:t> </w:t>
      </w:r>
      <w:r>
        <w:rPr/>
        <w:t>fibrino-específicos.</w:t>
      </w:r>
      <w:r>
        <w:rPr>
          <w:spacing w:val="6"/>
        </w:rPr>
        <w:t> </w:t>
      </w:r>
      <w:r>
        <w:rPr/>
        <w:t>Os</w:t>
      </w:r>
      <w:r>
        <w:rPr>
          <w:spacing w:val="6"/>
        </w:rPr>
        <w:t> </w:t>
      </w:r>
      <w:r>
        <w:rPr/>
        <w:t>regimes</w:t>
      </w:r>
      <w:r>
        <w:rPr>
          <w:spacing w:val="6"/>
        </w:rPr>
        <w:t> </w:t>
      </w:r>
      <w:r>
        <w:rPr/>
        <w:t>de</w:t>
      </w:r>
      <w:r>
        <w:rPr>
          <w:spacing w:val="-4"/>
        </w:rPr>
        <w:t> </w:t>
      </w:r>
      <w:r>
        <w:rPr/>
        <w:t>administração</w:t>
      </w:r>
      <w:r>
        <w:rPr>
          <w:spacing w:val="-1"/>
        </w:rPr>
        <w:t> </w:t>
      </w:r>
      <w:r>
        <w:rPr/>
        <w:t>dos</w:t>
      </w:r>
      <w:r>
        <w:rPr>
          <w:spacing w:val="6"/>
        </w:rPr>
        <w:t> </w:t>
      </w:r>
      <w:r>
        <w:rPr/>
        <w:t>fibrinolíticos</w:t>
      </w:r>
      <w:r>
        <w:rPr>
          <w:spacing w:val="6"/>
        </w:rPr>
        <w:t> </w:t>
      </w:r>
      <w:r>
        <w:rPr/>
        <w:t>para</w:t>
      </w:r>
      <w:r>
        <w:rPr>
          <w:spacing w:val="-4"/>
        </w:rPr>
        <w:t> </w:t>
      </w:r>
      <w:r>
        <w:rPr/>
        <w:t>o</w:t>
      </w:r>
      <w:r>
        <w:rPr>
          <w:spacing w:val="-2"/>
        </w:rPr>
        <w:t> </w:t>
      </w:r>
      <w:r>
        <w:rPr/>
        <w:t>tratamento</w:t>
      </w:r>
      <w:r>
        <w:rPr>
          <w:spacing w:val="-1"/>
        </w:rPr>
        <w:t> </w:t>
      </w:r>
      <w:r>
        <w:rPr/>
        <w:t>do</w:t>
      </w:r>
      <w:r>
        <w:rPr>
          <w:spacing w:val="-2"/>
        </w:rPr>
        <w:t> </w:t>
      </w:r>
      <w:r>
        <w:rPr/>
        <w:t>IAMST</w:t>
      </w:r>
      <w:r>
        <w:rPr>
          <w:spacing w:val="4"/>
        </w:rPr>
        <w:t> </w:t>
      </w:r>
      <w:r>
        <w:rPr/>
        <w:t>estão</w:t>
      </w:r>
      <w:r>
        <w:rPr>
          <w:spacing w:val="-1"/>
        </w:rPr>
        <w:t> </w:t>
      </w:r>
      <w:r>
        <w:rPr>
          <w:spacing w:val="-2"/>
        </w:rPr>
        <w:t>listados</w:t>
      </w:r>
    </w:p>
    <w:p>
      <w:pPr>
        <w:pStyle w:val="BodyText"/>
        <w:spacing w:line="280" w:lineRule="auto" w:before="40"/>
        <w:ind w:right="497" w:firstLine="0"/>
      </w:pPr>
      <w:r>
        <w:rPr/>
        <w:t>a seguir (</w:t>
      </w:r>
      <w:r>
        <w:rPr>
          <w:color w:val="505050"/>
        </w:rPr>
        <w:t>Tabela 55.8</w:t>
      </w:r>
      <w:r>
        <w:rPr/>
        <w:t>). A heparinização deve ser mantida por no mínimo 48 h, e de preferência por toda a internação (máximo de 8 dias) ou até a revascularização ser realizada.</w:t>
      </w:r>
      <w:r>
        <w:rPr>
          <w:vertAlign w:val="superscript"/>
        </w:rPr>
        <w:t>6</w:t>
      </w:r>
      <w:r>
        <w:rPr>
          <w:vertAlign w:val="baseline"/>
        </w:rPr>
        <w:t> Pode ser utilizada enoxaparina intravenosa (30 mg em </w:t>
      </w:r>
      <w:r>
        <w:rPr>
          <w:i/>
          <w:vertAlign w:val="baseline"/>
        </w:rPr>
        <w:t>bolus</w:t>
      </w:r>
      <w:r>
        <w:rPr>
          <w:vertAlign w:val="baseline"/>
        </w:rPr>
        <w:t>) seguida de administração subcutânea (15 min após </w:t>
      </w:r>
      <w:r>
        <w:rPr>
          <w:i/>
          <w:vertAlign w:val="baseline"/>
        </w:rPr>
        <w:t>bolus</w:t>
      </w:r>
      <w:r>
        <w:rPr>
          <w:vertAlign w:val="baseline"/>
        </w:rPr>
        <w:t>, 1 mg/kg 12/12 h), ou HNF (posologia semelhante ao IAMSST, objetivando TTPA de 50 a 70 segundos). Quando realizada trombólise com estreptoquinase, pode-se</w:t>
      </w:r>
      <w:r>
        <w:rPr>
          <w:spacing w:val="-2"/>
          <w:vertAlign w:val="baseline"/>
        </w:rPr>
        <w:t> </w:t>
      </w:r>
      <w:r>
        <w:rPr>
          <w:vertAlign w:val="baseline"/>
        </w:rPr>
        <w:t>utilizar fondaparinux</w:t>
      </w:r>
      <w:r>
        <w:rPr>
          <w:vertAlign w:val="superscript"/>
        </w:rPr>
        <w:t>27</w:t>
      </w:r>
      <w:r>
        <w:rPr>
          <w:vertAlign w:val="baseline"/>
        </w:rPr>
        <w:t> para</w:t>
      </w:r>
      <w:r>
        <w:rPr>
          <w:spacing w:val="-2"/>
          <w:vertAlign w:val="baseline"/>
        </w:rPr>
        <w:t> </w:t>
      </w:r>
      <w:r>
        <w:rPr>
          <w:vertAlign w:val="baseline"/>
        </w:rPr>
        <w:t>anticoagulação (2,5 mg em </w:t>
      </w:r>
      <w:r>
        <w:rPr>
          <w:i/>
          <w:vertAlign w:val="baseline"/>
        </w:rPr>
        <w:t>bolus </w:t>
      </w:r>
      <w:r>
        <w:rPr>
          <w:vertAlign w:val="baseline"/>
        </w:rPr>
        <w:t>intravenoso, seguido de</w:t>
      </w:r>
      <w:r>
        <w:rPr>
          <w:spacing w:val="-1"/>
          <w:vertAlign w:val="baseline"/>
        </w:rPr>
        <w:t> </w:t>
      </w:r>
      <w:r>
        <w:rPr>
          <w:vertAlign w:val="baseline"/>
        </w:rPr>
        <w:t>2,5 mg subcutâneo 1 vez/dia).</w:t>
      </w:r>
    </w:p>
    <w:p>
      <w:pPr>
        <w:pStyle w:val="BodyText"/>
        <w:spacing w:before="25"/>
        <w:ind w:left="0" w:firstLine="0"/>
        <w:jc w:val="left"/>
      </w:pPr>
    </w:p>
    <w:p>
      <w:pPr>
        <w:pStyle w:val="Heading7"/>
        <w:jc w:val="both"/>
      </w:pPr>
      <w:r>
        <w:rPr>
          <w:color w:val="242B67"/>
        </w:rPr>
        <w:t>Intervenção coronariana </w:t>
      </w:r>
      <w:r>
        <w:rPr>
          <w:color w:val="242B67"/>
          <w:spacing w:val="-2"/>
        </w:rPr>
        <w:t>percutânea</w:t>
      </w:r>
    </w:p>
    <w:p>
      <w:pPr>
        <w:pStyle w:val="BodyText"/>
        <w:spacing w:line="278" w:lineRule="auto" w:before="126"/>
        <w:ind w:right="488"/>
      </w:pPr>
      <w:r>
        <w:rPr/>
        <w:t>A intervenção coronariana percutânea no IAMST pode ser dividida em primária, de resgate (quando não há critérios de reperfusão após trombólise) e aquela praticada de maneira eletiva após trombólise. A intervenção coronariana primária compreende o uso de cateter-balão, preferencialmente associado ao implante de </w:t>
      </w:r>
      <w:r>
        <w:rPr>
          <w:i/>
        </w:rPr>
        <w:t>stent </w:t>
      </w:r>
      <w:r>
        <w:rPr/>
        <w:t>coronariano. Idealmente, o procedimento deve ser realizado nas primeiras 12 h após o início da dor. Em pacientes admitidos entre 12 e 24 hapós início do IAM, porém com persistência de sintomas, o procedimento pode ser considerado.</w:t>
      </w:r>
      <w:r>
        <w:rPr>
          <w:vertAlign w:val="superscript"/>
        </w:rPr>
        <w:t>6</w:t>
      </w:r>
      <w:r>
        <w:rPr>
          <w:vertAlign w:val="baseline"/>
        </w:rPr>
        <w:t> Essa técnica, quando rapidamente disponível, constitui-se na melhor opção para a obtenção da reperfusão coronariana. A intervenção coronariana percutânea é preferível à fibrinólise se no serviço existir laboratório de hemodinâmica experiente e for possível efetivar a reperfusão mecânica em menos de 90 min da chegada do paciente. O implante de </w:t>
      </w:r>
      <w:r>
        <w:rPr>
          <w:i/>
          <w:vertAlign w:val="baseline"/>
        </w:rPr>
        <w:t>stents </w:t>
      </w:r>
      <w:r>
        <w:rPr>
          <w:vertAlign w:val="baseline"/>
        </w:rPr>
        <w:t>coronarianos pode ser realizado com segurança, de acordo com o perfil angiográfico de cada caso. Todos os pacientes admitidos no hospital por IAMST, que tenham sido submetidos à trombólise química, devem realizar cateterismo diagnóstico eletivo antes da alta hospitalar.</w:t>
      </w:r>
      <w:r>
        <w:rPr>
          <w:vertAlign w:val="superscript"/>
        </w:rPr>
        <w:t>20</w:t>
      </w:r>
    </w:p>
    <w:p>
      <w:pPr>
        <w:pStyle w:val="BodyText"/>
        <w:spacing w:before="91"/>
        <w:ind w:left="0" w:firstLine="0"/>
        <w:jc w:val="left"/>
      </w:pPr>
    </w:p>
    <w:p>
      <w:pPr>
        <w:pStyle w:val="BodyText"/>
        <w:spacing w:before="1"/>
        <w:ind w:firstLine="0"/>
        <w:rPr>
          <w:rFonts w:ascii="Microsoft Sans Serif" w:hAnsi="Microsoft Sans Serif"/>
        </w:rPr>
      </w:pPr>
      <w:r>
        <w:rPr>
          <w:rFonts w:ascii="Arial" w:hAnsi="Arial"/>
          <w:b/>
          <w:color w:val="242B67"/>
        </w:rPr>
        <w:t>Tabela</w:t>
      </w:r>
      <w:r>
        <w:rPr>
          <w:rFonts w:ascii="Arial" w:hAnsi="Arial"/>
          <w:b/>
          <w:color w:val="242B67"/>
          <w:spacing w:val="-7"/>
        </w:rPr>
        <w:t> </w:t>
      </w:r>
      <w:r>
        <w:rPr>
          <w:rFonts w:ascii="Arial" w:hAnsi="Arial"/>
          <w:b/>
          <w:color w:val="242B67"/>
        </w:rPr>
        <w:t>55.7</w:t>
      </w:r>
      <w:r>
        <w:rPr>
          <w:rFonts w:ascii="Arial" w:hAnsi="Arial"/>
          <w:b/>
          <w:color w:val="242B67"/>
          <w:spacing w:val="-8"/>
        </w:rPr>
        <w:t> </w:t>
      </w:r>
      <w:r>
        <w:rPr>
          <w:rFonts w:ascii="Microsoft Sans Serif" w:hAnsi="Microsoft Sans Serif"/>
        </w:rPr>
        <w:t>Contraindicações</w:t>
      </w:r>
      <w:r>
        <w:rPr>
          <w:rFonts w:ascii="Microsoft Sans Serif" w:hAnsi="Microsoft Sans Serif"/>
          <w:spacing w:val="-7"/>
        </w:rPr>
        <w:t> </w:t>
      </w:r>
      <w:r>
        <w:rPr>
          <w:rFonts w:ascii="Microsoft Sans Serif" w:hAnsi="Microsoft Sans Serif"/>
        </w:rPr>
        <w:t>absolutas</w:t>
      </w:r>
      <w:r>
        <w:rPr>
          <w:rFonts w:ascii="Microsoft Sans Serif" w:hAnsi="Microsoft Sans Serif"/>
          <w:spacing w:val="-8"/>
        </w:rPr>
        <w:t> </w:t>
      </w:r>
      <w:r>
        <w:rPr>
          <w:rFonts w:ascii="Microsoft Sans Serif" w:hAnsi="Microsoft Sans Serif"/>
        </w:rPr>
        <w:t>e</w:t>
      </w:r>
      <w:r>
        <w:rPr>
          <w:rFonts w:ascii="Microsoft Sans Serif" w:hAnsi="Microsoft Sans Serif"/>
          <w:spacing w:val="-4"/>
        </w:rPr>
        <w:t> </w:t>
      </w:r>
      <w:r>
        <w:rPr>
          <w:rFonts w:ascii="Microsoft Sans Serif" w:hAnsi="Microsoft Sans Serif"/>
        </w:rPr>
        <w:t>relativas</w:t>
      </w:r>
      <w:r>
        <w:rPr>
          <w:rFonts w:ascii="Microsoft Sans Serif" w:hAnsi="Microsoft Sans Serif"/>
          <w:spacing w:val="-8"/>
        </w:rPr>
        <w:t> </w:t>
      </w:r>
      <w:r>
        <w:rPr>
          <w:rFonts w:ascii="Microsoft Sans Serif" w:hAnsi="Microsoft Sans Serif"/>
        </w:rPr>
        <w:t>à</w:t>
      </w:r>
      <w:r>
        <w:rPr>
          <w:rFonts w:ascii="Microsoft Sans Serif" w:hAnsi="Microsoft Sans Serif"/>
          <w:spacing w:val="-4"/>
        </w:rPr>
        <w:t> </w:t>
      </w:r>
      <w:r>
        <w:rPr>
          <w:rFonts w:ascii="Microsoft Sans Serif" w:hAnsi="Microsoft Sans Serif"/>
        </w:rPr>
        <w:t>trombólise</w:t>
      </w:r>
      <w:r>
        <w:rPr>
          <w:rFonts w:ascii="Microsoft Sans Serif" w:hAnsi="Microsoft Sans Serif"/>
          <w:spacing w:val="-5"/>
        </w:rPr>
        <w:t> </w:t>
      </w:r>
      <w:r>
        <w:rPr>
          <w:rFonts w:ascii="Microsoft Sans Serif" w:hAnsi="Microsoft Sans Serif"/>
          <w:spacing w:val="-2"/>
        </w:rPr>
        <w:t>química.</w:t>
      </w:r>
    </w:p>
    <w:p>
      <w:pPr>
        <w:pStyle w:val="BodyText"/>
        <w:spacing w:before="5"/>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309"/>
        <w:gridCol w:w="5293"/>
      </w:tblGrid>
      <w:tr>
        <w:trPr>
          <w:trHeight w:val="430" w:hRule="atLeast"/>
        </w:trPr>
        <w:tc>
          <w:tcPr>
            <w:tcW w:w="5309"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pacing w:val="2"/>
                <w:sz w:val="21"/>
              </w:rPr>
              <w:t>Contraindicações</w:t>
            </w:r>
            <w:r>
              <w:rPr>
                <w:rFonts w:ascii="Arial" w:hAnsi="Arial"/>
                <w:b/>
                <w:color w:val="FFFFFF"/>
                <w:spacing w:val="52"/>
                <w:sz w:val="21"/>
              </w:rPr>
              <w:t> </w:t>
            </w:r>
            <w:r>
              <w:rPr>
                <w:rFonts w:ascii="Arial" w:hAnsi="Arial"/>
                <w:b/>
                <w:color w:val="FFFFFF"/>
                <w:spacing w:val="-2"/>
                <w:sz w:val="21"/>
              </w:rPr>
              <w:t>absolutas</w:t>
            </w:r>
          </w:p>
        </w:tc>
        <w:tc>
          <w:tcPr>
            <w:tcW w:w="5293" w:type="dxa"/>
            <w:tcBorders>
              <w:top w:val="nil"/>
              <w:right w:val="nil"/>
            </w:tcBorders>
            <w:shd w:val="clear" w:color="auto" w:fill="242B67"/>
          </w:tcPr>
          <w:p>
            <w:pPr>
              <w:pStyle w:val="TableParagraph"/>
              <w:spacing w:before="91"/>
              <w:ind w:left="66"/>
              <w:rPr>
                <w:rFonts w:ascii="Arial" w:hAnsi="Arial"/>
                <w:b/>
                <w:sz w:val="21"/>
              </w:rPr>
            </w:pPr>
            <w:r>
              <w:rPr>
                <w:rFonts w:ascii="Arial" w:hAnsi="Arial"/>
                <w:b/>
                <w:color w:val="FFFFFF"/>
                <w:spacing w:val="2"/>
                <w:sz w:val="21"/>
              </w:rPr>
              <w:t>Contraindicações</w:t>
            </w:r>
            <w:r>
              <w:rPr>
                <w:rFonts w:ascii="Arial" w:hAnsi="Arial"/>
                <w:b/>
                <w:color w:val="FFFFFF"/>
                <w:spacing w:val="52"/>
                <w:sz w:val="21"/>
              </w:rPr>
              <w:t> </w:t>
            </w:r>
            <w:r>
              <w:rPr>
                <w:rFonts w:ascii="Arial" w:hAnsi="Arial"/>
                <w:b/>
                <w:color w:val="FFFFFF"/>
                <w:spacing w:val="-2"/>
                <w:sz w:val="21"/>
              </w:rPr>
              <w:t>relativas</w:t>
            </w:r>
          </w:p>
        </w:tc>
      </w:tr>
      <w:tr>
        <w:trPr>
          <w:trHeight w:val="616" w:hRule="atLeast"/>
        </w:trPr>
        <w:tc>
          <w:tcPr>
            <w:tcW w:w="5309" w:type="dxa"/>
            <w:tcBorders>
              <w:left w:val="nil"/>
              <w:bottom w:val="nil"/>
            </w:tcBorders>
            <w:shd w:val="clear" w:color="auto" w:fill="EDECF3"/>
          </w:tcPr>
          <w:p>
            <w:pPr>
              <w:pStyle w:val="TableParagraph"/>
              <w:ind w:left="67"/>
              <w:rPr>
                <w:sz w:val="21"/>
              </w:rPr>
            </w:pPr>
            <w:r>
              <w:rPr>
                <w:w w:val="105"/>
                <w:sz w:val="21"/>
              </w:rPr>
              <w:t>AVC</w:t>
            </w:r>
            <w:r>
              <w:rPr>
                <w:spacing w:val="16"/>
                <w:w w:val="105"/>
                <w:sz w:val="21"/>
              </w:rPr>
              <w:t> </w:t>
            </w:r>
            <w:r>
              <w:rPr>
                <w:w w:val="105"/>
                <w:sz w:val="21"/>
              </w:rPr>
              <w:t>hemorrágico</w:t>
            </w:r>
            <w:r>
              <w:rPr>
                <w:spacing w:val="21"/>
                <w:w w:val="105"/>
                <w:sz w:val="21"/>
              </w:rPr>
              <w:t> </w:t>
            </w:r>
            <w:r>
              <w:rPr>
                <w:w w:val="105"/>
                <w:sz w:val="21"/>
              </w:rPr>
              <w:t>em</w:t>
            </w:r>
            <w:r>
              <w:rPr>
                <w:spacing w:val="6"/>
                <w:w w:val="105"/>
                <w:sz w:val="21"/>
              </w:rPr>
              <w:t> </w:t>
            </w:r>
            <w:r>
              <w:rPr>
                <w:w w:val="105"/>
                <w:sz w:val="21"/>
              </w:rPr>
              <w:t>qualquer</w:t>
            </w:r>
            <w:r>
              <w:rPr>
                <w:spacing w:val="21"/>
                <w:w w:val="105"/>
                <w:sz w:val="21"/>
              </w:rPr>
              <w:t> </w:t>
            </w:r>
            <w:r>
              <w:rPr>
                <w:spacing w:val="-2"/>
                <w:w w:val="105"/>
                <w:sz w:val="21"/>
              </w:rPr>
              <w:t>tempo</w:t>
            </w:r>
          </w:p>
        </w:tc>
        <w:tc>
          <w:tcPr>
            <w:tcW w:w="5293" w:type="dxa"/>
            <w:tcBorders>
              <w:bottom w:val="nil"/>
              <w:right w:val="nil"/>
            </w:tcBorders>
            <w:shd w:val="clear" w:color="auto" w:fill="EDECF3"/>
          </w:tcPr>
          <w:p>
            <w:pPr>
              <w:pStyle w:val="TableParagraph"/>
              <w:ind w:left="66"/>
              <w:rPr>
                <w:sz w:val="21"/>
              </w:rPr>
            </w:pPr>
            <w:r>
              <w:rPr>
                <w:w w:val="105"/>
                <w:sz w:val="21"/>
              </w:rPr>
              <w:t>Ataque</w:t>
            </w:r>
            <w:r>
              <w:rPr>
                <w:spacing w:val="16"/>
                <w:w w:val="105"/>
                <w:sz w:val="21"/>
              </w:rPr>
              <w:t> </w:t>
            </w:r>
            <w:r>
              <w:rPr>
                <w:w w:val="105"/>
                <w:sz w:val="21"/>
              </w:rPr>
              <w:t>isquêmico</w:t>
            </w:r>
            <w:r>
              <w:rPr>
                <w:spacing w:val="17"/>
                <w:w w:val="105"/>
                <w:sz w:val="21"/>
              </w:rPr>
              <w:t> </w:t>
            </w:r>
            <w:r>
              <w:rPr>
                <w:w w:val="105"/>
                <w:sz w:val="21"/>
              </w:rPr>
              <w:t>transitório</w:t>
            </w:r>
            <w:r>
              <w:rPr>
                <w:spacing w:val="17"/>
                <w:w w:val="105"/>
                <w:sz w:val="21"/>
              </w:rPr>
              <w:t> </w:t>
            </w:r>
            <w:r>
              <w:rPr>
                <w:w w:val="105"/>
                <w:sz w:val="21"/>
              </w:rPr>
              <w:t>nos</w:t>
            </w:r>
            <w:r>
              <w:rPr>
                <w:spacing w:val="12"/>
                <w:w w:val="105"/>
                <w:sz w:val="21"/>
              </w:rPr>
              <w:t> </w:t>
            </w:r>
            <w:r>
              <w:rPr>
                <w:w w:val="105"/>
                <w:sz w:val="21"/>
              </w:rPr>
              <w:t>últimos</w:t>
            </w:r>
            <w:r>
              <w:rPr>
                <w:spacing w:val="13"/>
                <w:w w:val="105"/>
                <w:sz w:val="21"/>
              </w:rPr>
              <w:t> </w:t>
            </w:r>
            <w:r>
              <w:rPr>
                <w:w w:val="105"/>
                <w:sz w:val="21"/>
              </w:rPr>
              <w:t>6</w:t>
            </w:r>
            <w:r>
              <w:rPr>
                <w:spacing w:val="17"/>
                <w:w w:val="105"/>
                <w:sz w:val="21"/>
              </w:rPr>
              <w:t> </w:t>
            </w:r>
            <w:r>
              <w:rPr>
                <w:spacing w:val="-2"/>
                <w:w w:val="105"/>
                <w:sz w:val="21"/>
              </w:rPr>
              <w:t>meses</w:t>
            </w:r>
          </w:p>
        </w:tc>
      </w:tr>
    </w:tbl>
    <w:p>
      <w:pPr>
        <w:pStyle w:val="TableParagraph"/>
        <w:spacing w:after="0"/>
        <w:rPr>
          <w:sz w:val="21"/>
        </w:rPr>
        <w:sectPr>
          <w:pgSz w:w="11900" w:h="16840"/>
          <w:pgMar w:top="200" w:bottom="0" w:left="566" w:right="141"/>
        </w:sectPr>
      </w:pPr>
    </w:p>
    <w:p>
      <w:pPr>
        <w:spacing w:before="85"/>
        <w:ind w:left="134" w:right="0" w:firstLine="0"/>
        <w:jc w:val="left"/>
        <w:rPr>
          <w:rFonts w:ascii="Microsoft Sans Serif" w:hAnsi="Microsoft Sans Serif"/>
          <w:sz w:val="21"/>
        </w:rPr>
      </w:pPr>
      <w:r>
        <w:rPr>
          <w:rFonts w:ascii="Microsoft Sans Serif" w:hAnsi="Microsoft Sans Serif"/>
          <w:w w:val="105"/>
          <w:sz w:val="21"/>
        </w:rPr>
        <w:t>AVC</w:t>
      </w:r>
      <w:r>
        <w:rPr>
          <w:rFonts w:ascii="Microsoft Sans Serif" w:hAnsi="Microsoft Sans Serif"/>
          <w:spacing w:val="5"/>
          <w:w w:val="105"/>
          <w:sz w:val="21"/>
        </w:rPr>
        <w:t> </w:t>
      </w:r>
      <w:r>
        <w:rPr>
          <w:rFonts w:ascii="Microsoft Sans Serif" w:hAnsi="Microsoft Sans Serif"/>
          <w:w w:val="105"/>
          <w:sz w:val="21"/>
        </w:rPr>
        <w:t>isquêmico</w:t>
      </w:r>
      <w:r>
        <w:rPr>
          <w:rFonts w:ascii="Microsoft Sans Serif" w:hAnsi="Microsoft Sans Serif"/>
          <w:spacing w:val="9"/>
          <w:w w:val="105"/>
          <w:sz w:val="21"/>
        </w:rPr>
        <w:t> </w:t>
      </w:r>
      <w:r>
        <w:rPr>
          <w:rFonts w:ascii="Microsoft Sans Serif" w:hAnsi="Microsoft Sans Serif"/>
          <w:w w:val="105"/>
          <w:sz w:val="21"/>
        </w:rPr>
        <w:t>nos</w:t>
      </w:r>
      <w:r>
        <w:rPr>
          <w:rFonts w:ascii="Microsoft Sans Serif" w:hAnsi="Microsoft Sans Serif"/>
          <w:spacing w:val="5"/>
          <w:w w:val="105"/>
          <w:sz w:val="21"/>
        </w:rPr>
        <w:t> </w:t>
      </w:r>
      <w:r>
        <w:rPr>
          <w:rFonts w:ascii="Microsoft Sans Serif" w:hAnsi="Microsoft Sans Serif"/>
          <w:w w:val="105"/>
          <w:sz w:val="21"/>
        </w:rPr>
        <w:t>últimos</w:t>
      </w:r>
      <w:r>
        <w:rPr>
          <w:rFonts w:ascii="Microsoft Sans Serif" w:hAnsi="Microsoft Sans Serif"/>
          <w:spacing w:val="5"/>
          <w:w w:val="105"/>
          <w:sz w:val="21"/>
        </w:rPr>
        <w:t> </w:t>
      </w:r>
      <w:r>
        <w:rPr>
          <w:rFonts w:ascii="Microsoft Sans Serif" w:hAnsi="Microsoft Sans Serif"/>
          <w:w w:val="105"/>
          <w:sz w:val="21"/>
        </w:rPr>
        <w:t>6</w:t>
      </w:r>
      <w:r>
        <w:rPr>
          <w:rFonts w:ascii="Microsoft Sans Serif" w:hAnsi="Microsoft Sans Serif"/>
          <w:spacing w:val="9"/>
          <w:w w:val="105"/>
          <w:sz w:val="21"/>
        </w:rPr>
        <w:t> </w:t>
      </w:r>
      <w:r>
        <w:rPr>
          <w:rFonts w:ascii="Microsoft Sans Serif" w:hAnsi="Microsoft Sans Serif"/>
          <w:spacing w:val="-2"/>
          <w:w w:val="105"/>
          <w:sz w:val="21"/>
        </w:rPr>
        <w:t>meses</w:t>
      </w:r>
    </w:p>
    <w:p>
      <w:pPr>
        <w:spacing w:line="307" w:lineRule="auto" w:before="194"/>
        <w:ind w:left="134" w:right="206" w:firstLine="0"/>
        <w:jc w:val="left"/>
        <w:rPr>
          <w:rFonts w:ascii="Microsoft Sans Serif" w:hAnsi="Microsoft Sans Serif"/>
          <w:sz w:val="21"/>
        </w:rPr>
      </w:pPr>
      <w:r>
        <w:rPr>
          <w:rFonts w:ascii="Microsoft Sans Serif" w:hAnsi="Microsoft Sans Serif"/>
          <w:w w:val="105"/>
          <w:sz w:val="21"/>
        </w:rPr>
        <w:t>Recente trauma maior/cirurgia nos últimos 3 </w:t>
      </w:r>
      <w:r>
        <w:rPr>
          <w:rFonts w:ascii="Microsoft Sans Serif" w:hAnsi="Microsoft Sans Serif"/>
          <w:spacing w:val="-4"/>
          <w:w w:val="105"/>
          <w:sz w:val="21"/>
        </w:rPr>
        <w:t>meses</w:t>
      </w:r>
    </w:p>
    <w:p>
      <w:pPr>
        <w:spacing w:before="129"/>
        <w:ind w:left="134" w:right="0" w:firstLine="0"/>
        <w:jc w:val="left"/>
        <w:rPr>
          <w:rFonts w:ascii="Microsoft Sans Serif" w:hAnsi="Microsoft Sans Serif"/>
          <w:sz w:val="21"/>
        </w:rPr>
      </w:pPr>
      <w:r>
        <w:rPr>
          <w:rFonts w:ascii="Microsoft Sans Serif" w:hAnsi="Microsoft Sans Serif"/>
          <w:w w:val="105"/>
          <w:sz w:val="21"/>
        </w:rPr>
        <w:t>Sangramento</w:t>
      </w:r>
      <w:r>
        <w:rPr>
          <w:rFonts w:ascii="Microsoft Sans Serif" w:hAnsi="Microsoft Sans Serif"/>
          <w:spacing w:val="23"/>
          <w:w w:val="105"/>
          <w:sz w:val="21"/>
        </w:rPr>
        <w:t> </w:t>
      </w:r>
      <w:r>
        <w:rPr>
          <w:rFonts w:ascii="Microsoft Sans Serif" w:hAnsi="Microsoft Sans Serif"/>
          <w:w w:val="105"/>
          <w:sz w:val="21"/>
        </w:rPr>
        <w:t>gastrintestinal</w:t>
      </w:r>
      <w:r>
        <w:rPr>
          <w:rFonts w:ascii="Microsoft Sans Serif" w:hAnsi="Microsoft Sans Serif"/>
          <w:spacing w:val="14"/>
          <w:w w:val="105"/>
          <w:sz w:val="21"/>
        </w:rPr>
        <w:t> </w:t>
      </w:r>
      <w:r>
        <w:rPr>
          <w:rFonts w:ascii="Microsoft Sans Serif" w:hAnsi="Microsoft Sans Serif"/>
          <w:w w:val="105"/>
          <w:sz w:val="21"/>
        </w:rPr>
        <w:t>no</w:t>
      </w:r>
      <w:r>
        <w:rPr>
          <w:rFonts w:ascii="Microsoft Sans Serif" w:hAnsi="Microsoft Sans Serif"/>
          <w:spacing w:val="23"/>
          <w:w w:val="105"/>
          <w:sz w:val="21"/>
        </w:rPr>
        <w:t> </w:t>
      </w:r>
      <w:r>
        <w:rPr>
          <w:rFonts w:ascii="Microsoft Sans Serif" w:hAnsi="Microsoft Sans Serif"/>
          <w:w w:val="105"/>
          <w:sz w:val="21"/>
        </w:rPr>
        <w:t>último</w:t>
      </w:r>
      <w:r>
        <w:rPr>
          <w:rFonts w:ascii="Microsoft Sans Serif" w:hAnsi="Microsoft Sans Serif"/>
          <w:spacing w:val="23"/>
          <w:w w:val="105"/>
          <w:sz w:val="21"/>
        </w:rPr>
        <w:t> </w:t>
      </w:r>
      <w:r>
        <w:rPr>
          <w:rFonts w:ascii="Microsoft Sans Serif" w:hAnsi="Microsoft Sans Serif"/>
          <w:spacing w:val="-5"/>
          <w:w w:val="105"/>
          <w:sz w:val="21"/>
        </w:rPr>
        <w:t>mês</w:t>
      </w:r>
    </w:p>
    <w:p>
      <w:pPr>
        <w:spacing w:line="307" w:lineRule="auto" w:before="194"/>
        <w:ind w:left="134" w:right="0" w:firstLine="0"/>
        <w:jc w:val="left"/>
        <w:rPr>
          <w:rFonts w:ascii="Microsoft Sans Serif" w:hAnsi="Microsoft Sans Serif"/>
          <w:sz w:val="21"/>
        </w:rPr>
      </w:pPr>
      <w:r>
        <w:rPr>
          <w:rFonts w:ascii="Microsoft Sans Serif" w:hAnsi="Microsoft Sans Serif"/>
          <w:w w:val="105"/>
          <w:sz w:val="21"/>
        </w:rPr>
        <w:t>Discrasia sanguínea ou sangramento ativo (exceto </w:t>
      </w:r>
      <w:r>
        <w:rPr>
          <w:rFonts w:ascii="Microsoft Sans Serif" w:hAnsi="Microsoft Sans Serif"/>
          <w:spacing w:val="-2"/>
          <w:w w:val="105"/>
          <w:sz w:val="21"/>
        </w:rPr>
        <w:t>menstruação)</w:t>
      </w:r>
    </w:p>
    <w:p>
      <w:pPr>
        <w:spacing w:line="436" w:lineRule="auto" w:before="145"/>
        <w:ind w:left="134" w:right="1469" w:firstLine="0"/>
        <w:jc w:val="left"/>
        <w:rPr>
          <w:rFonts w:ascii="Microsoft Sans Serif" w:hAnsi="Microsoft Sans Serif"/>
          <w:sz w:val="21"/>
        </w:rPr>
      </w:pPr>
      <w:r>
        <w:rPr>
          <w:rFonts w:ascii="Microsoft Sans Serif" w:hAnsi="Microsoft Sans Serif"/>
          <w:w w:val="105"/>
          <w:sz w:val="21"/>
        </w:rPr>
        <w:t>Suspeita de dissecção </w:t>
      </w:r>
      <w:r>
        <w:rPr>
          <w:rFonts w:ascii="Microsoft Sans Serif" w:hAnsi="Microsoft Sans Serif"/>
          <w:w w:val="105"/>
          <w:sz w:val="21"/>
        </w:rPr>
        <w:t>aórtica Doença terminal</w:t>
      </w:r>
    </w:p>
    <w:p>
      <w:pPr>
        <w:spacing w:before="85"/>
        <w:ind w:left="134" w:right="0" w:firstLine="0"/>
        <w:jc w:val="left"/>
        <w:rPr>
          <w:rFonts w:ascii="Microsoft Sans Serif"/>
          <w:sz w:val="21"/>
        </w:rPr>
      </w:pPr>
      <w:r>
        <w:rPr/>
        <w:br w:type="column"/>
      </w:r>
      <w:r>
        <w:rPr>
          <w:rFonts w:ascii="Microsoft Sans Serif"/>
          <w:w w:val="105"/>
          <w:sz w:val="21"/>
        </w:rPr>
        <w:t>Terapia</w:t>
      </w:r>
      <w:r>
        <w:rPr>
          <w:rFonts w:ascii="Microsoft Sans Serif"/>
          <w:spacing w:val="27"/>
          <w:w w:val="105"/>
          <w:sz w:val="21"/>
        </w:rPr>
        <w:t> </w:t>
      </w:r>
      <w:r>
        <w:rPr>
          <w:rFonts w:ascii="Microsoft Sans Serif"/>
          <w:w w:val="105"/>
          <w:sz w:val="21"/>
        </w:rPr>
        <w:t>com</w:t>
      </w:r>
      <w:r>
        <w:rPr>
          <w:rFonts w:ascii="Microsoft Sans Serif"/>
          <w:spacing w:val="11"/>
          <w:w w:val="105"/>
          <w:sz w:val="21"/>
        </w:rPr>
        <w:t> </w:t>
      </w:r>
      <w:r>
        <w:rPr>
          <w:rFonts w:ascii="Microsoft Sans Serif"/>
          <w:w w:val="105"/>
          <w:sz w:val="21"/>
        </w:rPr>
        <w:t>anticoagulante</w:t>
      </w:r>
      <w:r>
        <w:rPr>
          <w:rFonts w:ascii="Microsoft Sans Serif"/>
          <w:spacing w:val="28"/>
          <w:w w:val="105"/>
          <w:sz w:val="21"/>
        </w:rPr>
        <w:t> </w:t>
      </w:r>
      <w:r>
        <w:rPr>
          <w:rFonts w:ascii="Microsoft Sans Serif"/>
          <w:spacing w:val="-4"/>
          <w:w w:val="105"/>
          <w:sz w:val="21"/>
        </w:rPr>
        <w:t>oral</w:t>
      </w:r>
    </w:p>
    <w:p>
      <w:pPr>
        <w:spacing w:line="436" w:lineRule="auto" w:before="194"/>
        <w:ind w:left="134" w:right="0" w:firstLine="0"/>
        <w:jc w:val="left"/>
        <w:rPr>
          <w:rFonts w:ascii="Microsoft Sans Serif" w:hAnsi="Microsoft Sans Serif"/>
          <w:sz w:val="21"/>
        </w:rPr>
      </w:pPr>
      <w:r>
        <w:rPr>
          <w:rFonts w:ascii="Microsoft Sans Serif" w:hAnsi="Microsoft Sans Serif"/>
          <w:w w:val="105"/>
          <w:sz w:val="21"/>
        </w:rPr>
        <w:t>Gravidez ou período pós-parto na última semana Reanimação cardiopulmonar traumática</w:t>
      </w:r>
    </w:p>
    <w:p>
      <w:pPr>
        <w:spacing w:line="307" w:lineRule="auto" w:before="0"/>
        <w:ind w:left="134" w:right="729" w:firstLine="0"/>
        <w:jc w:val="left"/>
        <w:rPr>
          <w:rFonts w:ascii="Microsoft Sans Serif" w:hAnsi="Microsoft Sans Serif"/>
          <w:sz w:val="21"/>
        </w:rPr>
      </w:pPr>
      <w:r>
        <w:rPr>
          <w:rFonts w:ascii="Microsoft Sans Serif" w:hAnsi="Microsoft Sans Serif"/>
          <w:w w:val="105"/>
          <w:sz w:val="21"/>
        </w:rPr>
        <w:t>Pressão sistólica &gt; 180 mmHg ou pressão diastólica &gt; 110 mmHg</w:t>
      </w:r>
    </w:p>
    <w:p>
      <w:pPr>
        <w:spacing w:line="436" w:lineRule="auto" w:before="144"/>
        <w:ind w:left="134" w:right="2903" w:firstLine="0"/>
        <w:jc w:val="left"/>
        <w:rPr>
          <w:rFonts w:ascii="Microsoft Sans Serif" w:hAnsi="Microsoft Sans Serif"/>
          <w:sz w:val="21"/>
        </w:rPr>
      </w:pPr>
      <w:r>
        <w:rPr>
          <w:rFonts w:ascii="Microsoft Sans Serif" w:hAnsi="Microsoft Sans Serif"/>
          <w:w w:val="105"/>
          <w:sz w:val="21"/>
        </w:rPr>
        <w:t>Doença hepática </w:t>
      </w:r>
      <w:r>
        <w:rPr>
          <w:rFonts w:ascii="Microsoft Sans Serif" w:hAnsi="Microsoft Sans Serif"/>
          <w:w w:val="105"/>
          <w:sz w:val="21"/>
        </w:rPr>
        <w:t>avançada Endocardite infecciosa Úlcera péptica ativa</w:t>
      </w:r>
    </w:p>
    <w:p>
      <w:pPr>
        <w:spacing w:line="307" w:lineRule="auto" w:before="0"/>
        <w:ind w:left="134" w:right="729" w:firstLine="0"/>
        <w:jc w:val="left"/>
        <w:rPr>
          <w:rFonts w:ascii="Microsoft Sans Serif" w:hAnsi="Microsoft Sans Serif"/>
          <w:sz w:val="21"/>
        </w:rPr>
      </w:pPr>
      <w:r>
        <w:rPr>
          <w:rFonts w:ascii="Microsoft Sans Serif" w:hAnsi="Microsoft Sans Serif"/>
          <w:w w:val="105"/>
          <w:sz w:val="21"/>
        </w:rPr>
        <w:t>Exposição prévia a estreptoquinase (mais de 5 </w:t>
      </w:r>
      <w:r>
        <w:rPr>
          <w:rFonts w:ascii="Microsoft Sans Serif" w:hAnsi="Microsoft Sans Serif"/>
          <w:spacing w:val="-4"/>
          <w:w w:val="105"/>
          <w:sz w:val="21"/>
        </w:rPr>
        <w:t>dias)</w:t>
      </w:r>
    </w:p>
    <w:p>
      <w:pPr>
        <w:spacing w:after="0" w:line="307" w:lineRule="auto"/>
        <w:jc w:val="left"/>
        <w:rPr>
          <w:rFonts w:ascii="Microsoft Sans Serif" w:hAnsi="Microsoft Sans Serif"/>
          <w:sz w:val="21"/>
        </w:rPr>
        <w:sectPr>
          <w:pgSz w:w="11900" w:h="16840"/>
          <w:pgMar w:top="280" w:bottom="280" w:left="566" w:right="141"/>
          <w:cols w:num="2" w:equalWidth="0">
            <w:col w:w="5269" w:space="48"/>
            <w:col w:w="5876"/>
          </w:cols>
        </w:sectPr>
      </w:pPr>
    </w:p>
    <w:p>
      <w:pPr>
        <w:spacing w:before="211"/>
        <w:ind w:left="68" w:right="0" w:firstLine="0"/>
        <w:jc w:val="left"/>
        <w:rPr>
          <w:rFonts w:ascii="Microsoft Sans Serif"/>
          <w:sz w:val="19"/>
        </w:rPr>
      </w:pPr>
      <w:r>
        <w:rPr>
          <w:rFonts w:ascii="Microsoft Sans Serif"/>
          <w:sz w:val="19"/>
        </w:rPr>
        <mc:AlternateContent>
          <mc:Choice Requires="wps">
            <w:drawing>
              <wp:anchor distT="0" distB="0" distL="0" distR="0" allowOverlap="1" layoutInCell="1" locked="0" behindDoc="1" simplePos="0" relativeHeight="482802176">
                <wp:simplePos x="0" y="0"/>
                <wp:positionH relativeFrom="page">
                  <wp:posOffset>401535</wp:posOffset>
                </wp:positionH>
                <wp:positionV relativeFrom="page">
                  <wp:posOffset>177812</wp:posOffset>
                </wp:positionV>
                <wp:extent cx="6732905" cy="259778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732905" cy="2597785"/>
                        </a:xfrm>
                        <a:custGeom>
                          <a:avLst/>
                          <a:gdLst/>
                          <a:ahLst/>
                          <a:cxnLst/>
                          <a:rect l="l" t="t" r="r" b="b"/>
                          <a:pathLst>
                            <a:path w="6732905" h="2597785">
                              <a:moveTo>
                                <a:pt x="6732651" y="0"/>
                              </a:moveTo>
                              <a:lnTo>
                                <a:pt x="3366325" y="0"/>
                              </a:lnTo>
                              <a:lnTo>
                                <a:pt x="0" y="0"/>
                              </a:lnTo>
                              <a:lnTo>
                                <a:pt x="0" y="2597442"/>
                              </a:lnTo>
                              <a:lnTo>
                                <a:pt x="3366325" y="2597442"/>
                              </a:lnTo>
                              <a:lnTo>
                                <a:pt x="6732651" y="2597442"/>
                              </a:lnTo>
                              <a:lnTo>
                                <a:pt x="6732651" y="0"/>
                              </a:lnTo>
                              <a:close/>
                            </a:path>
                          </a:pathLst>
                        </a:custGeom>
                        <a:solidFill>
                          <a:srgbClr val="EDECF3"/>
                        </a:solidFill>
                      </wps:spPr>
                      <wps:bodyPr wrap="square" lIns="0" tIns="0" rIns="0" bIns="0" rtlCol="0">
                        <a:prstTxWarp prst="textNoShape">
                          <a:avLst/>
                        </a:prstTxWarp>
                        <a:noAutofit/>
                      </wps:bodyPr>
                    </wps:wsp>
                  </a:graphicData>
                </a:graphic>
              </wp:anchor>
            </w:drawing>
          </mc:Choice>
          <mc:Fallback>
            <w:pict>
              <v:shape style="position:absolute;margin-left:31.617001pt;margin-top:14.00096pt;width:530.15pt;height:204.55pt;mso-position-horizontal-relative:page;mso-position-vertical-relative:page;z-index:-20514304" id="docshape20" coordorigin="632,280" coordsize="10603,4091" path="m11235,280l5934,280,632,280,632,4370,5934,4370,11235,4370,11235,280xe" filled="true" fillcolor="#edecf3" stroked="false">
                <v:path arrowok="t"/>
                <v:fill type="solid"/>
                <w10:wrap type="none"/>
              </v:shape>
            </w:pict>
          </mc:Fallback>
        </mc:AlternateContent>
      </w:r>
      <w:r>
        <w:rPr>
          <w:rFonts w:ascii="Microsoft Sans Serif"/>
          <w:sz w:val="19"/>
        </w:rPr>
        <w:t>AVC</w:t>
      </w:r>
      <w:r>
        <w:rPr>
          <w:rFonts w:ascii="Microsoft Sans Serif"/>
          <w:spacing w:val="16"/>
          <w:sz w:val="19"/>
        </w:rPr>
        <w:t> </w:t>
      </w:r>
      <w:r>
        <w:rPr>
          <w:rFonts w:ascii="Microsoft Sans Serif"/>
          <w:sz w:val="19"/>
        </w:rPr>
        <w:t>=</w:t>
      </w:r>
      <w:r>
        <w:rPr>
          <w:rFonts w:ascii="Microsoft Sans Serif"/>
          <w:spacing w:val="10"/>
          <w:sz w:val="19"/>
        </w:rPr>
        <w:t> </w:t>
      </w:r>
      <w:r>
        <w:rPr>
          <w:rFonts w:ascii="Microsoft Sans Serif"/>
          <w:sz w:val="19"/>
        </w:rPr>
        <w:t>acidente</w:t>
      </w:r>
      <w:r>
        <w:rPr>
          <w:rFonts w:ascii="Microsoft Sans Serif"/>
          <w:spacing w:val="17"/>
          <w:sz w:val="19"/>
        </w:rPr>
        <w:t> </w:t>
      </w:r>
      <w:r>
        <w:rPr>
          <w:rFonts w:ascii="Microsoft Sans Serif"/>
          <w:sz w:val="19"/>
        </w:rPr>
        <w:t>vascular</w:t>
      </w:r>
      <w:r>
        <w:rPr>
          <w:rFonts w:ascii="Microsoft Sans Serif"/>
          <w:spacing w:val="10"/>
          <w:sz w:val="19"/>
        </w:rPr>
        <w:t> </w:t>
      </w:r>
      <w:r>
        <w:rPr>
          <w:rFonts w:ascii="Microsoft Sans Serif"/>
          <w:spacing w:val="-2"/>
          <w:sz w:val="19"/>
        </w:rPr>
        <w:t>cerebral.</w:t>
      </w:r>
    </w:p>
    <w:p>
      <w:pPr>
        <w:pStyle w:val="BodyText"/>
        <w:spacing w:before="153"/>
        <w:ind w:left="0" w:firstLine="0"/>
        <w:jc w:val="left"/>
        <w:rPr>
          <w:rFonts w:ascii="Microsoft Sans Serif"/>
          <w:sz w:val="19"/>
        </w:rPr>
      </w:pPr>
    </w:p>
    <w:p>
      <w:pPr>
        <w:pStyle w:val="BodyText"/>
        <w:spacing w:before="1"/>
        <w:ind w:firstLine="0"/>
        <w:jc w:val="left"/>
        <w:rPr>
          <w:rFonts w:ascii="Microsoft Sans Serif" w:hAnsi="Microsoft Sans Serif"/>
        </w:rPr>
      </w:pPr>
      <w:r>
        <w:rPr>
          <w:rFonts w:ascii="Arial" w:hAnsi="Arial"/>
          <w:b/>
          <w:color w:val="242B67"/>
        </w:rPr>
        <w:t>Tabela</w:t>
      </w:r>
      <w:r>
        <w:rPr>
          <w:rFonts w:ascii="Arial" w:hAnsi="Arial"/>
          <w:b/>
          <w:color w:val="242B67"/>
          <w:spacing w:val="-1"/>
        </w:rPr>
        <w:t> </w:t>
      </w:r>
      <w:r>
        <w:rPr>
          <w:rFonts w:ascii="Arial" w:hAnsi="Arial"/>
          <w:b/>
          <w:color w:val="242B67"/>
        </w:rPr>
        <w:t>55.8</w:t>
      </w:r>
      <w:r>
        <w:rPr>
          <w:rFonts w:ascii="Arial" w:hAnsi="Arial"/>
          <w:b/>
          <w:color w:val="242B67"/>
          <w:spacing w:val="-2"/>
        </w:rPr>
        <w:t> </w:t>
      </w:r>
      <w:r>
        <w:rPr>
          <w:rFonts w:ascii="Microsoft Sans Serif" w:hAnsi="Microsoft Sans Serif"/>
        </w:rPr>
        <w:t>Principais</w:t>
      </w:r>
      <w:r>
        <w:rPr>
          <w:rFonts w:ascii="Microsoft Sans Serif" w:hAnsi="Microsoft Sans Serif"/>
          <w:spacing w:val="-2"/>
        </w:rPr>
        <w:t> </w:t>
      </w:r>
      <w:r>
        <w:rPr>
          <w:rFonts w:ascii="Microsoft Sans Serif" w:hAnsi="Microsoft Sans Serif"/>
        </w:rPr>
        <w:t>trombolíticos</w:t>
      </w:r>
      <w:r>
        <w:rPr>
          <w:rFonts w:ascii="Microsoft Sans Serif" w:hAnsi="Microsoft Sans Serif"/>
          <w:spacing w:val="-2"/>
        </w:rPr>
        <w:t> </w:t>
      </w:r>
      <w:r>
        <w:rPr>
          <w:rFonts w:ascii="Microsoft Sans Serif" w:hAnsi="Microsoft Sans Serif"/>
        </w:rPr>
        <w:t>e</w:t>
      </w:r>
      <w:r>
        <w:rPr>
          <w:rFonts w:ascii="Microsoft Sans Serif" w:hAnsi="Microsoft Sans Serif"/>
          <w:spacing w:val="1"/>
        </w:rPr>
        <w:t> </w:t>
      </w:r>
      <w:r>
        <w:rPr>
          <w:rFonts w:ascii="Microsoft Sans Serif" w:hAnsi="Microsoft Sans Serif"/>
        </w:rPr>
        <w:t>suas</w:t>
      </w:r>
      <w:r>
        <w:rPr>
          <w:rFonts w:ascii="Microsoft Sans Serif" w:hAnsi="Microsoft Sans Serif"/>
          <w:spacing w:val="-2"/>
        </w:rPr>
        <w:t> </w:t>
      </w:r>
      <w:r>
        <w:rPr>
          <w:rFonts w:ascii="Microsoft Sans Serif" w:hAnsi="Microsoft Sans Serif"/>
        </w:rPr>
        <w:t>formas</w:t>
      </w:r>
      <w:r>
        <w:rPr>
          <w:rFonts w:ascii="Microsoft Sans Serif" w:hAnsi="Microsoft Sans Serif"/>
          <w:spacing w:val="-2"/>
        </w:rPr>
        <w:t> </w:t>
      </w:r>
      <w:r>
        <w:rPr>
          <w:rFonts w:ascii="Microsoft Sans Serif" w:hAnsi="Microsoft Sans Serif"/>
        </w:rPr>
        <w:t>de</w:t>
      </w:r>
      <w:r>
        <w:rPr>
          <w:rFonts w:ascii="Microsoft Sans Serif" w:hAnsi="Microsoft Sans Serif"/>
          <w:spacing w:val="1"/>
        </w:rPr>
        <w:t> </w:t>
      </w:r>
      <w:r>
        <w:rPr>
          <w:rFonts w:ascii="Microsoft Sans Serif" w:hAnsi="Microsoft Sans Serif"/>
          <w:spacing w:val="-2"/>
        </w:rPr>
        <w:t>administração.</w:t>
      </w:r>
    </w:p>
    <w:p>
      <w:pPr>
        <w:pStyle w:val="BodyText"/>
        <w:spacing w:before="5"/>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667"/>
        <w:gridCol w:w="7952"/>
      </w:tblGrid>
      <w:tr>
        <w:trPr>
          <w:trHeight w:val="430" w:hRule="atLeast"/>
        </w:trPr>
        <w:tc>
          <w:tcPr>
            <w:tcW w:w="2667"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pacing w:val="-2"/>
                <w:w w:val="105"/>
                <w:sz w:val="21"/>
              </w:rPr>
              <w:t>Trombolítico</w:t>
            </w:r>
          </w:p>
        </w:tc>
        <w:tc>
          <w:tcPr>
            <w:tcW w:w="7952" w:type="dxa"/>
            <w:tcBorders>
              <w:top w:val="nil"/>
              <w:right w:val="nil"/>
            </w:tcBorders>
            <w:shd w:val="clear" w:color="auto" w:fill="242B67"/>
          </w:tcPr>
          <w:p>
            <w:pPr>
              <w:pStyle w:val="TableParagraph"/>
              <w:spacing w:before="91"/>
              <w:rPr>
                <w:rFonts w:ascii="Arial"/>
                <w:b/>
                <w:sz w:val="21"/>
              </w:rPr>
            </w:pPr>
            <w:r>
              <w:rPr>
                <w:rFonts w:ascii="Arial"/>
                <w:b/>
                <w:color w:val="FFFFFF"/>
                <w:spacing w:val="-2"/>
                <w:w w:val="105"/>
                <w:sz w:val="21"/>
              </w:rPr>
              <w:t>Tratamento</w:t>
            </w:r>
          </w:p>
        </w:tc>
      </w:tr>
      <w:tr>
        <w:trPr>
          <w:trHeight w:val="428" w:hRule="atLeast"/>
        </w:trPr>
        <w:tc>
          <w:tcPr>
            <w:tcW w:w="2667" w:type="dxa"/>
            <w:tcBorders>
              <w:left w:val="nil"/>
            </w:tcBorders>
            <w:shd w:val="clear" w:color="auto" w:fill="EDECF3"/>
          </w:tcPr>
          <w:p>
            <w:pPr>
              <w:pStyle w:val="TableParagraph"/>
              <w:ind w:left="67"/>
              <w:rPr>
                <w:sz w:val="21"/>
              </w:rPr>
            </w:pPr>
            <w:r>
              <w:rPr>
                <w:spacing w:val="-2"/>
                <w:w w:val="105"/>
                <w:sz w:val="21"/>
              </w:rPr>
              <w:t>Estreptoquinase</w:t>
            </w:r>
          </w:p>
        </w:tc>
        <w:tc>
          <w:tcPr>
            <w:tcW w:w="7952" w:type="dxa"/>
            <w:tcBorders>
              <w:right w:val="nil"/>
            </w:tcBorders>
            <w:shd w:val="clear" w:color="auto" w:fill="EDECF3"/>
          </w:tcPr>
          <w:p>
            <w:pPr>
              <w:pStyle w:val="TableParagraph"/>
              <w:spacing w:before="89"/>
              <w:rPr>
                <w:sz w:val="21"/>
              </w:rPr>
            </w:pPr>
            <w:r>
              <w:rPr>
                <w:w w:val="105"/>
                <w:sz w:val="21"/>
              </w:rPr>
              <w:t>1,5</w:t>
            </w:r>
            <w:r>
              <w:rPr>
                <w:spacing w:val="13"/>
                <w:w w:val="105"/>
                <w:sz w:val="21"/>
              </w:rPr>
              <w:t> </w:t>
            </w:r>
            <w:r>
              <w:rPr>
                <w:w w:val="105"/>
                <w:sz w:val="21"/>
              </w:rPr>
              <w:t>milhão</w:t>
            </w:r>
            <w:r>
              <w:rPr>
                <w:spacing w:val="14"/>
                <w:w w:val="105"/>
                <w:sz w:val="21"/>
              </w:rPr>
              <w:t> </w:t>
            </w:r>
            <w:r>
              <w:rPr>
                <w:w w:val="105"/>
                <w:sz w:val="21"/>
              </w:rPr>
              <w:t>de</w:t>
            </w:r>
            <w:r>
              <w:rPr>
                <w:spacing w:val="14"/>
                <w:w w:val="105"/>
                <w:sz w:val="21"/>
              </w:rPr>
              <w:t> </w:t>
            </w:r>
            <w:r>
              <w:rPr>
                <w:w w:val="105"/>
                <w:sz w:val="21"/>
              </w:rPr>
              <w:t>UI</w:t>
            </w:r>
            <w:r>
              <w:rPr>
                <w:spacing w:val="9"/>
                <w:w w:val="105"/>
                <w:sz w:val="21"/>
              </w:rPr>
              <w:t> </w:t>
            </w:r>
            <w:r>
              <w:rPr>
                <w:w w:val="105"/>
                <w:sz w:val="21"/>
              </w:rPr>
              <w:t>em</w:t>
            </w:r>
            <w:r>
              <w:rPr>
                <w:spacing w:val="1"/>
                <w:w w:val="105"/>
                <w:sz w:val="21"/>
              </w:rPr>
              <w:t> </w:t>
            </w:r>
            <w:r>
              <w:rPr>
                <w:w w:val="105"/>
                <w:sz w:val="21"/>
              </w:rPr>
              <w:t>soro</w:t>
            </w:r>
            <w:r>
              <w:rPr>
                <w:spacing w:val="13"/>
                <w:w w:val="105"/>
                <w:sz w:val="21"/>
              </w:rPr>
              <w:t> </w:t>
            </w:r>
            <w:r>
              <w:rPr>
                <w:w w:val="105"/>
                <w:sz w:val="21"/>
              </w:rPr>
              <w:t>fisiológico</w:t>
            </w:r>
            <w:r>
              <w:rPr>
                <w:spacing w:val="14"/>
                <w:w w:val="105"/>
                <w:sz w:val="21"/>
              </w:rPr>
              <w:t> </w:t>
            </w:r>
            <w:r>
              <w:rPr>
                <w:w w:val="105"/>
                <w:sz w:val="21"/>
              </w:rPr>
              <w:t>0,9%</w:t>
            </w:r>
            <w:r>
              <w:rPr>
                <w:spacing w:val="4"/>
                <w:w w:val="105"/>
                <w:sz w:val="21"/>
              </w:rPr>
              <w:t> </w:t>
            </w:r>
            <w:r>
              <w:rPr>
                <w:w w:val="105"/>
                <w:sz w:val="21"/>
              </w:rPr>
              <w:t>100</w:t>
            </w:r>
            <w:r>
              <w:rPr>
                <w:spacing w:val="14"/>
                <w:w w:val="105"/>
                <w:sz w:val="21"/>
              </w:rPr>
              <w:t> </w:t>
            </w:r>
            <w:r>
              <w:rPr>
                <w:w w:val="105"/>
                <w:sz w:val="21"/>
              </w:rPr>
              <w:t>m</w:t>
            </w:r>
            <w:r>
              <w:rPr>
                <w:rFonts w:ascii="Arial" w:hAnsi="Arial"/>
                <w:i/>
                <w:w w:val="105"/>
                <w:sz w:val="21"/>
              </w:rPr>
              <w:t>ℓ</w:t>
            </w:r>
            <w:r>
              <w:rPr>
                <w:rFonts w:ascii="Arial" w:hAnsi="Arial"/>
                <w:i/>
                <w:spacing w:val="-3"/>
                <w:w w:val="105"/>
                <w:sz w:val="21"/>
              </w:rPr>
              <w:t> </w:t>
            </w:r>
            <w:r>
              <w:rPr>
                <w:w w:val="105"/>
                <w:sz w:val="21"/>
              </w:rPr>
              <w:t>em</w:t>
            </w:r>
            <w:r>
              <w:rPr>
                <w:spacing w:val="1"/>
                <w:w w:val="105"/>
                <w:sz w:val="21"/>
              </w:rPr>
              <w:t> </w:t>
            </w:r>
            <w:r>
              <w:rPr>
                <w:w w:val="105"/>
                <w:sz w:val="21"/>
              </w:rPr>
              <w:t>60</w:t>
            </w:r>
            <w:r>
              <w:rPr>
                <w:spacing w:val="14"/>
                <w:w w:val="105"/>
                <w:sz w:val="21"/>
              </w:rPr>
              <w:t> </w:t>
            </w:r>
            <w:r>
              <w:rPr>
                <w:spacing w:val="-5"/>
                <w:w w:val="105"/>
                <w:sz w:val="21"/>
              </w:rPr>
              <w:t>min</w:t>
            </w:r>
          </w:p>
        </w:tc>
      </w:tr>
      <w:tr>
        <w:trPr>
          <w:trHeight w:val="732" w:hRule="atLeast"/>
        </w:trPr>
        <w:tc>
          <w:tcPr>
            <w:tcW w:w="2667" w:type="dxa"/>
            <w:tcBorders>
              <w:left w:val="nil"/>
            </w:tcBorders>
            <w:shd w:val="clear" w:color="auto" w:fill="EDECF3"/>
          </w:tcPr>
          <w:p>
            <w:pPr>
              <w:pStyle w:val="TableParagraph"/>
              <w:ind w:left="67"/>
              <w:rPr>
                <w:sz w:val="21"/>
              </w:rPr>
            </w:pPr>
            <w:r>
              <w:rPr>
                <w:w w:val="105"/>
                <w:sz w:val="21"/>
              </w:rPr>
              <w:t>Alteplase</w:t>
            </w:r>
            <w:r>
              <w:rPr>
                <w:spacing w:val="15"/>
                <w:w w:val="105"/>
                <w:sz w:val="21"/>
              </w:rPr>
              <w:t> </w:t>
            </w:r>
            <w:r>
              <w:rPr>
                <w:spacing w:val="-2"/>
                <w:w w:val="105"/>
                <w:sz w:val="21"/>
              </w:rPr>
              <w:t>(tPA)</w:t>
            </w:r>
          </w:p>
        </w:tc>
        <w:tc>
          <w:tcPr>
            <w:tcW w:w="7952" w:type="dxa"/>
            <w:tcBorders>
              <w:right w:val="nil"/>
            </w:tcBorders>
            <w:shd w:val="clear" w:color="auto" w:fill="EDECF3"/>
          </w:tcPr>
          <w:p>
            <w:pPr>
              <w:pStyle w:val="TableParagraph"/>
              <w:spacing w:line="307" w:lineRule="auto"/>
              <w:ind w:right="85"/>
              <w:rPr>
                <w:sz w:val="21"/>
              </w:rPr>
            </w:pPr>
            <w:r>
              <w:rPr>
                <w:w w:val="105"/>
                <w:sz w:val="21"/>
              </w:rPr>
              <w:t>15 mg IV em bolus, seguidos de 0,75 mg/kg em 30 min e então 0,5 mg/kg em</w:t>
            </w:r>
            <w:r>
              <w:rPr>
                <w:spacing w:val="40"/>
                <w:w w:val="105"/>
                <w:sz w:val="21"/>
              </w:rPr>
              <w:t> </w:t>
            </w:r>
            <w:r>
              <w:rPr>
                <w:w w:val="105"/>
                <w:sz w:val="21"/>
              </w:rPr>
              <w:t>60 min</w:t>
            </w:r>
          </w:p>
        </w:tc>
      </w:tr>
      <w:tr>
        <w:trPr>
          <w:trHeight w:val="428" w:hRule="atLeast"/>
        </w:trPr>
        <w:tc>
          <w:tcPr>
            <w:tcW w:w="2667" w:type="dxa"/>
            <w:tcBorders>
              <w:left w:val="nil"/>
            </w:tcBorders>
            <w:shd w:val="clear" w:color="auto" w:fill="EDECF3"/>
          </w:tcPr>
          <w:p>
            <w:pPr>
              <w:pStyle w:val="TableParagraph"/>
              <w:ind w:left="67"/>
              <w:rPr>
                <w:sz w:val="21"/>
              </w:rPr>
            </w:pPr>
            <w:r>
              <w:rPr>
                <w:w w:val="105"/>
                <w:sz w:val="21"/>
              </w:rPr>
              <w:t>Reteplase</w:t>
            </w:r>
            <w:r>
              <w:rPr>
                <w:spacing w:val="27"/>
                <w:w w:val="105"/>
                <w:sz w:val="21"/>
              </w:rPr>
              <w:t> </w:t>
            </w:r>
            <w:r>
              <w:rPr>
                <w:spacing w:val="-4"/>
                <w:w w:val="105"/>
                <w:sz w:val="21"/>
              </w:rPr>
              <w:t>(rPA)</w:t>
            </w:r>
          </w:p>
        </w:tc>
        <w:tc>
          <w:tcPr>
            <w:tcW w:w="7952" w:type="dxa"/>
            <w:tcBorders>
              <w:right w:val="nil"/>
            </w:tcBorders>
            <w:shd w:val="clear" w:color="auto" w:fill="EDECF3"/>
          </w:tcPr>
          <w:p>
            <w:pPr>
              <w:pStyle w:val="TableParagraph"/>
              <w:rPr>
                <w:sz w:val="21"/>
              </w:rPr>
            </w:pPr>
            <w:r>
              <w:rPr>
                <w:w w:val="105"/>
                <w:sz w:val="21"/>
              </w:rPr>
              <w:t>10</w:t>
            </w:r>
            <w:r>
              <w:rPr>
                <w:spacing w:val="21"/>
                <w:w w:val="105"/>
                <w:sz w:val="21"/>
              </w:rPr>
              <w:t> </w:t>
            </w:r>
            <w:r>
              <w:rPr>
                <w:w w:val="105"/>
                <w:sz w:val="21"/>
              </w:rPr>
              <w:t>unidades</w:t>
            </w:r>
            <w:r>
              <w:rPr>
                <w:spacing w:val="18"/>
                <w:w w:val="105"/>
                <w:sz w:val="21"/>
              </w:rPr>
              <w:t> </w:t>
            </w:r>
            <w:r>
              <w:rPr>
                <w:w w:val="105"/>
                <w:sz w:val="21"/>
              </w:rPr>
              <w:t>+</w:t>
            </w:r>
            <w:r>
              <w:rPr>
                <w:spacing w:val="15"/>
                <w:w w:val="105"/>
                <w:sz w:val="21"/>
              </w:rPr>
              <w:t> </w:t>
            </w:r>
            <w:r>
              <w:rPr>
                <w:w w:val="105"/>
                <w:sz w:val="21"/>
              </w:rPr>
              <w:t>10</w:t>
            </w:r>
            <w:r>
              <w:rPr>
                <w:spacing w:val="22"/>
                <w:w w:val="105"/>
                <w:sz w:val="21"/>
              </w:rPr>
              <w:t> </w:t>
            </w:r>
            <w:r>
              <w:rPr>
                <w:w w:val="105"/>
                <w:sz w:val="21"/>
              </w:rPr>
              <w:t>unidades</w:t>
            </w:r>
            <w:r>
              <w:rPr>
                <w:spacing w:val="17"/>
                <w:w w:val="105"/>
                <w:sz w:val="21"/>
              </w:rPr>
              <w:t> </w:t>
            </w:r>
            <w:r>
              <w:rPr>
                <w:w w:val="105"/>
                <w:sz w:val="21"/>
              </w:rPr>
              <w:t>IV</w:t>
            </w:r>
            <w:r>
              <w:rPr>
                <w:spacing w:val="13"/>
                <w:w w:val="105"/>
                <w:sz w:val="21"/>
              </w:rPr>
              <w:t> </w:t>
            </w:r>
            <w:r>
              <w:rPr>
                <w:w w:val="105"/>
                <w:sz w:val="21"/>
              </w:rPr>
              <w:t>em</w:t>
            </w:r>
            <w:r>
              <w:rPr>
                <w:spacing w:val="7"/>
                <w:w w:val="105"/>
                <w:sz w:val="21"/>
              </w:rPr>
              <w:t> </w:t>
            </w:r>
            <w:r>
              <w:rPr>
                <w:w w:val="105"/>
                <w:sz w:val="21"/>
              </w:rPr>
              <w:t>duplo</w:t>
            </w:r>
            <w:r>
              <w:rPr>
                <w:spacing w:val="22"/>
                <w:w w:val="105"/>
                <w:sz w:val="21"/>
              </w:rPr>
              <w:t> </w:t>
            </w:r>
            <w:r>
              <w:rPr>
                <w:w w:val="105"/>
                <w:sz w:val="21"/>
              </w:rPr>
              <w:t>bolus,</w:t>
            </w:r>
            <w:r>
              <w:rPr>
                <w:spacing w:val="17"/>
                <w:w w:val="105"/>
                <w:sz w:val="21"/>
              </w:rPr>
              <w:t> </w:t>
            </w:r>
            <w:r>
              <w:rPr>
                <w:w w:val="105"/>
                <w:sz w:val="21"/>
              </w:rPr>
              <w:t>separadas</w:t>
            </w:r>
            <w:r>
              <w:rPr>
                <w:spacing w:val="18"/>
                <w:w w:val="105"/>
                <w:sz w:val="21"/>
              </w:rPr>
              <w:t> </w:t>
            </w:r>
            <w:r>
              <w:rPr>
                <w:w w:val="105"/>
                <w:sz w:val="21"/>
              </w:rPr>
              <w:t>por</w:t>
            </w:r>
            <w:r>
              <w:rPr>
                <w:spacing w:val="22"/>
                <w:w w:val="105"/>
                <w:sz w:val="21"/>
              </w:rPr>
              <w:t> </w:t>
            </w:r>
            <w:r>
              <w:rPr>
                <w:w w:val="105"/>
                <w:sz w:val="21"/>
              </w:rPr>
              <w:t>30</w:t>
            </w:r>
            <w:r>
              <w:rPr>
                <w:spacing w:val="22"/>
                <w:w w:val="105"/>
                <w:sz w:val="21"/>
              </w:rPr>
              <w:t> </w:t>
            </w:r>
            <w:r>
              <w:rPr>
                <w:spacing w:val="-5"/>
                <w:w w:val="105"/>
                <w:sz w:val="21"/>
              </w:rPr>
              <w:t>min</w:t>
            </w:r>
          </w:p>
        </w:tc>
      </w:tr>
      <w:tr>
        <w:trPr>
          <w:trHeight w:val="2176" w:hRule="atLeast"/>
        </w:trPr>
        <w:tc>
          <w:tcPr>
            <w:tcW w:w="2667" w:type="dxa"/>
            <w:tcBorders>
              <w:left w:val="nil"/>
              <w:bottom w:val="nil"/>
            </w:tcBorders>
            <w:shd w:val="clear" w:color="auto" w:fill="EDECF3"/>
          </w:tcPr>
          <w:p>
            <w:pPr>
              <w:pStyle w:val="TableParagraph"/>
              <w:ind w:left="67"/>
              <w:rPr>
                <w:sz w:val="21"/>
              </w:rPr>
            </w:pPr>
            <w:r>
              <w:rPr>
                <w:spacing w:val="2"/>
                <w:sz w:val="21"/>
              </w:rPr>
              <w:t>Tenecteplase</w:t>
            </w:r>
            <w:r>
              <w:rPr>
                <w:spacing w:val="72"/>
                <w:sz w:val="21"/>
              </w:rPr>
              <w:t> </w:t>
            </w:r>
            <w:r>
              <w:rPr>
                <w:spacing w:val="-4"/>
                <w:sz w:val="21"/>
              </w:rPr>
              <w:t>(TNK)</w:t>
            </w:r>
          </w:p>
        </w:tc>
        <w:tc>
          <w:tcPr>
            <w:tcW w:w="7952" w:type="dxa"/>
            <w:tcBorders>
              <w:bottom w:val="nil"/>
              <w:right w:val="nil"/>
            </w:tcBorders>
            <w:shd w:val="clear" w:color="auto" w:fill="EDECF3"/>
          </w:tcPr>
          <w:p>
            <w:pPr>
              <w:pStyle w:val="TableParagraph"/>
              <w:spacing w:line="432" w:lineRule="auto" w:before="89"/>
              <w:ind w:right="4706"/>
              <w:rPr>
                <w:sz w:val="21"/>
              </w:rPr>
            </w:pPr>
            <w:r>
              <w:rPr>
                <w:rFonts w:ascii="Arial" w:hAnsi="Arial"/>
                <w:i/>
                <w:w w:val="105"/>
                <w:sz w:val="21"/>
              </w:rPr>
              <w:t>Bolus </w:t>
            </w:r>
            <w:r>
              <w:rPr>
                <w:w w:val="105"/>
                <w:sz w:val="21"/>
              </w:rPr>
              <w:t>único: 30 mg se &lt; 60 </w:t>
            </w:r>
            <w:r>
              <w:rPr>
                <w:w w:val="105"/>
                <w:sz w:val="21"/>
              </w:rPr>
              <w:t>kg 35 mg se entre 60 e 70 kg</w:t>
            </w:r>
          </w:p>
          <w:p>
            <w:pPr>
              <w:pStyle w:val="TableParagraph"/>
              <w:spacing w:before="6"/>
              <w:rPr>
                <w:sz w:val="21"/>
              </w:rPr>
            </w:pPr>
            <w:r>
              <w:rPr>
                <w:w w:val="105"/>
                <w:sz w:val="21"/>
              </w:rPr>
              <w:t>40</w:t>
            </w:r>
            <w:r>
              <w:rPr>
                <w:spacing w:val="13"/>
                <w:w w:val="105"/>
                <w:sz w:val="21"/>
              </w:rPr>
              <w:t> </w:t>
            </w:r>
            <w:r>
              <w:rPr>
                <w:w w:val="105"/>
                <w:sz w:val="21"/>
              </w:rPr>
              <w:t>mg</w:t>
            </w:r>
            <w:r>
              <w:rPr>
                <w:spacing w:val="13"/>
                <w:w w:val="105"/>
                <w:sz w:val="21"/>
              </w:rPr>
              <w:t> </w:t>
            </w:r>
            <w:r>
              <w:rPr>
                <w:w w:val="105"/>
                <w:sz w:val="21"/>
              </w:rPr>
              <w:t>se</w:t>
            </w:r>
            <w:r>
              <w:rPr>
                <w:spacing w:val="13"/>
                <w:w w:val="105"/>
                <w:sz w:val="21"/>
              </w:rPr>
              <w:t> </w:t>
            </w:r>
            <w:r>
              <w:rPr>
                <w:w w:val="105"/>
                <w:sz w:val="21"/>
              </w:rPr>
              <w:t>entre</w:t>
            </w:r>
            <w:r>
              <w:rPr>
                <w:spacing w:val="13"/>
                <w:w w:val="105"/>
                <w:sz w:val="21"/>
              </w:rPr>
              <w:t> </w:t>
            </w:r>
            <w:r>
              <w:rPr>
                <w:w w:val="105"/>
                <w:sz w:val="21"/>
              </w:rPr>
              <w:t>70</w:t>
            </w:r>
            <w:r>
              <w:rPr>
                <w:spacing w:val="13"/>
                <w:w w:val="105"/>
                <w:sz w:val="21"/>
              </w:rPr>
              <w:t> </w:t>
            </w:r>
            <w:r>
              <w:rPr>
                <w:w w:val="105"/>
                <w:sz w:val="21"/>
              </w:rPr>
              <w:t>e</w:t>
            </w:r>
            <w:r>
              <w:rPr>
                <w:spacing w:val="13"/>
                <w:w w:val="105"/>
                <w:sz w:val="21"/>
              </w:rPr>
              <w:t> </w:t>
            </w:r>
            <w:r>
              <w:rPr>
                <w:w w:val="105"/>
                <w:sz w:val="21"/>
              </w:rPr>
              <w:t>80</w:t>
            </w:r>
            <w:r>
              <w:rPr>
                <w:spacing w:val="13"/>
                <w:w w:val="105"/>
                <w:sz w:val="21"/>
              </w:rPr>
              <w:t> </w:t>
            </w:r>
            <w:r>
              <w:rPr>
                <w:spacing w:val="-7"/>
                <w:w w:val="105"/>
                <w:sz w:val="21"/>
              </w:rPr>
              <w:t>kg</w:t>
            </w:r>
          </w:p>
          <w:p>
            <w:pPr>
              <w:pStyle w:val="TableParagraph"/>
              <w:spacing w:before="194"/>
              <w:rPr>
                <w:sz w:val="21"/>
              </w:rPr>
            </w:pPr>
            <w:r>
              <w:rPr>
                <w:w w:val="105"/>
                <w:sz w:val="21"/>
              </w:rPr>
              <w:t>45</w:t>
            </w:r>
            <w:r>
              <w:rPr>
                <w:spacing w:val="13"/>
                <w:w w:val="105"/>
                <w:sz w:val="21"/>
              </w:rPr>
              <w:t> </w:t>
            </w:r>
            <w:r>
              <w:rPr>
                <w:w w:val="105"/>
                <w:sz w:val="21"/>
              </w:rPr>
              <w:t>mg</w:t>
            </w:r>
            <w:r>
              <w:rPr>
                <w:spacing w:val="13"/>
                <w:w w:val="105"/>
                <w:sz w:val="21"/>
              </w:rPr>
              <w:t> </w:t>
            </w:r>
            <w:r>
              <w:rPr>
                <w:w w:val="105"/>
                <w:sz w:val="21"/>
              </w:rPr>
              <w:t>se</w:t>
            </w:r>
            <w:r>
              <w:rPr>
                <w:spacing w:val="13"/>
                <w:w w:val="105"/>
                <w:sz w:val="21"/>
              </w:rPr>
              <w:t> </w:t>
            </w:r>
            <w:r>
              <w:rPr>
                <w:w w:val="105"/>
                <w:sz w:val="21"/>
              </w:rPr>
              <w:t>entre</w:t>
            </w:r>
            <w:r>
              <w:rPr>
                <w:spacing w:val="13"/>
                <w:w w:val="105"/>
                <w:sz w:val="21"/>
              </w:rPr>
              <w:t> </w:t>
            </w:r>
            <w:r>
              <w:rPr>
                <w:w w:val="105"/>
                <w:sz w:val="21"/>
              </w:rPr>
              <w:t>80</w:t>
            </w:r>
            <w:r>
              <w:rPr>
                <w:spacing w:val="13"/>
                <w:w w:val="105"/>
                <w:sz w:val="21"/>
              </w:rPr>
              <w:t> </w:t>
            </w:r>
            <w:r>
              <w:rPr>
                <w:w w:val="105"/>
                <w:sz w:val="21"/>
              </w:rPr>
              <w:t>e</w:t>
            </w:r>
            <w:r>
              <w:rPr>
                <w:spacing w:val="13"/>
                <w:w w:val="105"/>
                <w:sz w:val="21"/>
              </w:rPr>
              <w:t> </w:t>
            </w:r>
            <w:r>
              <w:rPr>
                <w:w w:val="105"/>
                <w:sz w:val="21"/>
              </w:rPr>
              <w:t>90</w:t>
            </w:r>
            <w:r>
              <w:rPr>
                <w:spacing w:val="13"/>
                <w:w w:val="105"/>
                <w:sz w:val="21"/>
              </w:rPr>
              <w:t> </w:t>
            </w:r>
            <w:r>
              <w:rPr>
                <w:spacing w:val="-7"/>
                <w:w w:val="105"/>
                <w:sz w:val="21"/>
              </w:rPr>
              <w:t>kg</w:t>
            </w:r>
          </w:p>
          <w:p>
            <w:pPr>
              <w:pStyle w:val="TableParagraph"/>
              <w:spacing w:before="211"/>
              <w:rPr>
                <w:sz w:val="21"/>
              </w:rPr>
            </w:pPr>
            <w:r>
              <w:rPr>
                <w:w w:val="105"/>
                <w:sz w:val="21"/>
              </w:rPr>
              <w:t>50</w:t>
            </w:r>
            <w:r>
              <w:rPr>
                <w:spacing w:val="9"/>
                <w:w w:val="105"/>
                <w:sz w:val="21"/>
              </w:rPr>
              <w:t> </w:t>
            </w:r>
            <w:r>
              <w:rPr>
                <w:w w:val="105"/>
                <w:sz w:val="21"/>
              </w:rPr>
              <w:t>mg</w:t>
            </w:r>
            <w:r>
              <w:rPr>
                <w:spacing w:val="10"/>
                <w:w w:val="105"/>
                <w:sz w:val="21"/>
              </w:rPr>
              <w:t> </w:t>
            </w:r>
            <w:r>
              <w:rPr>
                <w:w w:val="105"/>
                <w:sz w:val="21"/>
              </w:rPr>
              <w:t>se</w:t>
            </w:r>
            <w:r>
              <w:rPr>
                <w:spacing w:val="10"/>
                <w:w w:val="105"/>
                <w:sz w:val="21"/>
              </w:rPr>
              <w:t> </w:t>
            </w:r>
            <w:r>
              <w:rPr>
                <w:w w:val="105"/>
                <w:sz w:val="21"/>
              </w:rPr>
              <w:t>&gt;</w:t>
            </w:r>
            <w:r>
              <w:rPr>
                <w:spacing w:val="5"/>
                <w:w w:val="105"/>
                <w:sz w:val="21"/>
              </w:rPr>
              <w:t> </w:t>
            </w:r>
            <w:r>
              <w:rPr>
                <w:w w:val="105"/>
                <w:sz w:val="21"/>
              </w:rPr>
              <w:t>90</w:t>
            </w:r>
            <w:r>
              <w:rPr>
                <w:spacing w:val="9"/>
                <w:w w:val="105"/>
                <w:sz w:val="21"/>
              </w:rPr>
              <w:t> </w:t>
            </w:r>
            <w:r>
              <w:rPr>
                <w:spacing w:val="-5"/>
                <w:w w:val="105"/>
                <w:sz w:val="21"/>
              </w:rPr>
              <w:t>kg</w:t>
            </w:r>
          </w:p>
        </w:tc>
      </w:tr>
    </w:tbl>
    <w:p>
      <w:pPr>
        <w:spacing w:before="163"/>
        <w:ind w:left="68" w:right="0" w:firstLine="0"/>
        <w:jc w:val="left"/>
        <w:rPr>
          <w:rFonts w:ascii="Microsoft Sans Serif"/>
          <w:sz w:val="19"/>
        </w:rPr>
      </w:pPr>
      <w:r>
        <w:rPr>
          <w:rFonts w:ascii="Microsoft Sans Serif"/>
          <w:sz w:val="19"/>
        </w:rPr>
        <w:t>IV</w:t>
      </w:r>
      <w:r>
        <w:rPr>
          <w:rFonts w:ascii="Microsoft Sans Serif"/>
          <w:spacing w:val="-3"/>
          <w:sz w:val="19"/>
        </w:rPr>
        <w:t> </w:t>
      </w:r>
      <w:r>
        <w:rPr>
          <w:rFonts w:ascii="Microsoft Sans Serif"/>
          <w:sz w:val="19"/>
        </w:rPr>
        <w:t>=</w:t>
      </w:r>
      <w:r>
        <w:rPr>
          <w:rFonts w:ascii="Microsoft Sans Serif"/>
          <w:spacing w:val="-2"/>
          <w:sz w:val="19"/>
        </w:rPr>
        <w:t> </w:t>
      </w:r>
      <w:r>
        <w:rPr>
          <w:rFonts w:ascii="Microsoft Sans Serif"/>
          <w:sz w:val="19"/>
        </w:rPr>
        <w:t>via</w:t>
      </w:r>
      <w:r>
        <w:rPr>
          <w:rFonts w:ascii="Microsoft Sans Serif"/>
          <w:spacing w:val="3"/>
          <w:sz w:val="19"/>
        </w:rPr>
        <w:t> </w:t>
      </w:r>
      <w:r>
        <w:rPr>
          <w:rFonts w:ascii="Microsoft Sans Serif"/>
          <w:spacing w:val="-2"/>
          <w:sz w:val="19"/>
        </w:rPr>
        <w:t>intravenosa.</w:t>
      </w:r>
    </w:p>
    <w:p>
      <w:pPr>
        <w:pStyle w:val="BodyText"/>
        <w:spacing w:before="107"/>
        <w:ind w:left="0" w:firstLine="0"/>
        <w:jc w:val="left"/>
        <w:rPr>
          <w:rFonts w:ascii="Microsoft Sans Serif"/>
          <w:sz w:val="19"/>
        </w:rPr>
      </w:pPr>
    </w:p>
    <w:p>
      <w:pPr>
        <w:pStyle w:val="BodyText"/>
        <w:spacing w:line="283" w:lineRule="auto" w:before="0"/>
        <w:ind w:right="488"/>
      </w:pPr>
      <w:r>
        <w:rPr/>
        <w:t>Nos pacientes com IAMST que apresentam choque cardiogênico ou insuficiência cardíaca aguda grave, a angioplastia</w:t>
      </w:r>
      <w:r>
        <w:rPr>
          <w:spacing w:val="-4"/>
        </w:rPr>
        <w:t> </w:t>
      </w:r>
      <w:r>
        <w:rPr/>
        <w:t>deve</w:t>
      </w:r>
      <w:r>
        <w:rPr>
          <w:spacing w:val="-4"/>
        </w:rPr>
        <w:t> </w:t>
      </w:r>
      <w:r>
        <w:rPr/>
        <w:t>ser realizada, independentemente</w:t>
      </w:r>
      <w:r>
        <w:rPr>
          <w:spacing w:val="-4"/>
        </w:rPr>
        <w:t> </w:t>
      </w:r>
      <w:r>
        <w:rPr/>
        <w:t>do</w:t>
      </w:r>
      <w:r>
        <w:rPr>
          <w:spacing w:val="-1"/>
        </w:rPr>
        <w:t> </w:t>
      </w:r>
      <w:r>
        <w:rPr/>
        <w:t>intervalo</w:t>
      </w:r>
      <w:r>
        <w:rPr>
          <w:spacing w:val="-1"/>
        </w:rPr>
        <w:t> </w:t>
      </w:r>
      <w:r>
        <w:rPr/>
        <w:t>de</w:t>
      </w:r>
      <w:r>
        <w:rPr>
          <w:spacing w:val="-4"/>
        </w:rPr>
        <w:t> </w:t>
      </w:r>
      <w:r>
        <w:rPr/>
        <w:t>tempo</w:t>
      </w:r>
      <w:r>
        <w:rPr>
          <w:spacing w:val="-1"/>
        </w:rPr>
        <w:t> </w:t>
      </w:r>
      <w:r>
        <w:rPr/>
        <w:t>decorrido</w:t>
      </w:r>
      <w:r>
        <w:rPr>
          <w:spacing w:val="-1"/>
        </w:rPr>
        <w:t> </w:t>
      </w:r>
      <w:r>
        <w:rPr/>
        <w:t>desde</w:t>
      </w:r>
      <w:r>
        <w:rPr>
          <w:spacing w:val="-4"/>
        </w:rPr>
        <w:t> </w:t>
      </w:r>
      <w:r>
        <w:rPr/>
        <w:t>o</w:t>
      </w:r>
      <w:r>
        <w:rPr>
          <w:spacing w:val="-1"/>
        </w:rPr>
        <w:t> </w:t>
      </w:r>
      <w:r>
        <w:rPr/>
        <w:t>início</w:t>
      </w:r>
      <w:r>
        <w:rPr>
          <w:spacing w:val="-1"/>
        </w:rPr>
        <w:t> </w:t>
      </w:r>
      <w:r>
        <w:rPr/>
        <w:t>dos sintomas de </w:t>
      </w:r>
      <w:r>
        <w:rPr>
          <w:spacing w:val="-2"/>
        </w:rPr>
        <w:t>IAM.</w:t>
      </w:r>
      <w:r>
        <w:rPr>
          <w:spacing w:val="-2"/>
          <w:vertAlign w:val="superscript"/>
        </w:rPr>
        <w:t>6</w:t>
      </w:r>
    </w:p>
    <w:p>
      <w:pPr>
        <w:pStyle w:val="BodyText"/>
        <w:spacing w:line="278" w:lineRule="auto" w:before="57"/>
        <w:ind w:right="497"/>
      </w:pPr>
      <w:r>
        <w:rPr/>
        <w:t>Além do AAS 200 mg na admissão hospitalar, os pacientes submetidos à angioplastia primária devem receber dose de ataque de um antagonista de ADP o mais precoce possível (ou no momento da angioplastia), com manutenção</w:t>
      </w:r>
      <w:r>
        <w:rPr>
          <w:spacing w:val="-3"/>
        </w:rPr>
        <w:t> </w:t>
      </w:r>
      <w:r>
        <w:rPr/>
        <w:t>do</w:t>
      </w:r>
      <w:r>
        <w:rPr>
          <w:spacing w:val="-3"/>
        </w:rPr>
        <w:t> </w:t>
      </w:r>
      <w:r>
        <w:rPr/>
        <w:t>mesmo</w:t>
      </w:r>
      <w:r>
        <w:rPr>
          <w:spacing w:val="-3"/>
        </w:rPr>
        <w:t> </w:t>
      </w:r>
      <w:r>
        <w:rPr/>
        <w:t>por 1</w:t>
      </w:r>
      <w:r>
        <w:rPr>
          <w:spacing w:val="-3"/>
        </w:rPr>
        <w:t> </w:t>
      </w:r>
      <w:r>
        <w:rPr/>
        <w:t>ano</w:t>
      </w:r>
      <w:r>
        <w:rPr>
          <w:spacing w:val="-3"/>
        </w:rPr>
        <w:t> </w:t>
      </w:r>
      <w:r>
        <w:rPr/>
        <w:t>após o</w:t>
      </w:r>
      <w:r>
        <w:rPr>
          <w:spacing w:val="-3"/>
        </w:rPr>
        <w:t> </w:t>
      </w:r>
      <w:r>
        <w:rPr/>
        <w:t>procedimento</w:t>
      </w:r>
      <w:r>
        <w:rPr>
          <w:spacing w:val="-3"/>
        </w:rPr>
        <w:t> </w:t>
      </w:r>
      <w:r>
        <w:rPr/>
        <w:t>quando</w:t>
      </w:r>
      <w:r>
        <w:rPr>
          <w:spacing w:val="-3"/>
        </w:rPr>
        <w:t> </w:t>
      </w:r>
      <w:r>
        <w:rPr/>
        <w:t>utilizado</w:t>
      </w:r>
      <w:r>
        <w:rPr>
          <w:spacing w:val="-2"/>
        </w:rPr>
        <w:t> </w:t>
      </w:r>
      <w:r>
        <w:rPr>
          <w:i/>
        </w:rPr>
        <w:t>stent </w:t>
      </w:r>
      <w:r>
        <w:rPr/>
        <w:t>convencional e</w:t>
      </w:r>
      <w:r>
        <w:rPr>
          <w:spacing w:val="-4"/>
        </w:rPr>
        <w:t> </w:t>
      </w:r>
      <w:r>
        <w:rPr/>
        <w:t>por pelo</w:t>
      </w:r>
      <w:r>
        <w:rPr>
          <w:spacing w:val="-1"/>
        </w:rPr>
        <w:t> </w:t>
      </w:r>
      <w:r>
        <w:rPr/>
        <w:t>menos 1</w:t>
      </w:r>
      <w:r>
        <w:rPr>
          <w:spacing w:val="-1"/>
        </w:rPr>
        <w:t> </w:t>
      </w:r>
      <w:r>
        <w:rPr/>
        <w:t>ano quando</w:t>
      </w:r>
      <w:r>
        <w:rPr>
          <w:spacing w:val="-15"/>
        </w:rPr>
        <w:t> </w:t>
      </w:r>
      <w:r>
        <w:rPr/>
        <w:t>utilizado</w:t>
      </w:r>
      <w:r>
        <w:rPr>
          <w:spacing w:val="-14"/>
        </w:rPr>
        <w:t> </w:t>
      </w:r>
      <w:r>
        <w:rPr/>
        <w:t>o</w:t>
      </w:r>
      <w:r>
        <w:rPr>
          <w:spacing w:val="-13"/>
        </w:rPr>
        <w:t> </w:t>
      </w:r>
      <w:r>
        <w:rPr/>
        <w:t>farmacológico,</w:t>
      </w:r>
      <w:r>
        <w:rPr>
          <w:spacing w:val="-6"/>
        </w:rPr>
        <w:t> </w:t>
      </w:r>
      <w:r>
        <w:rPr/>
        <w:t>semelhante</w:t>
      </w:r>
      <w:r>
        <w:rPr>
          <w:spacing w:val="-15"/>
        </w:rPr>
        <w:t> </w:t>
      </w:r>
      <w:r>
        <w:rPr/>
        <w:t>ao</w:t>
      </w:r>
      <w:r>
        <w:rPr>
          <w:spacing w:val="-13"/>
        </w:rPr>
        <w:t> </w:t>
      </w:r>
      <w:r>
        <w:rPr/>
        <w:t>esquema</w:t>
      </w:r>
      <w:r>
        <w:rPr>
          <w:spacing w:val="-15"/>
        </w:rPr>
        <w:t> </w:t>
      </w:r>
      <w:r>
        <w:rPr/>
        <w:t>exemplificado</w:t>
      </w:r>
      <w:r>
        <w:rPr>
          <w:spacing w:val="-13"/>
        </w:rPr>
        <w:t> </w:t>
      </w:r>
      <w:r>
        <w:rPr/>
        <w:t>na</w:t>
      </w:r>
      <w:r>
        <w:rPr>
          <w:spacing w:val="-15"/>
        </w:rPr>
        <w:t> </w:t>
      </w:r>
      <w:r>
        <w:rPr>
          <w:color w:val="505050"/>
        </w:rPr>
        <w:t>Tabela</w:t>
      </w:r>
      <w:r>
        <w:rPr>
          <w:color w:val="505050"/>
          <w:spacing w:val="-14"/>
        </w:rPr>
        <w:t> </w:t>
      </w:r>
      <w:r>
        <w:rPr>
          <w:color w:val="505050"/>
        </w:rPr>
        <w:t>55.6</w:t>
      </w:r>
      <w:r>
        <w:rPr/>
        <w:t>.</w:t>
      </w:r>
      <w:r>
        <w:rPr>
          <w:spacing w:val="-6"/>
        </w:rPr>
        <w:t> </w:t>
      </w:r>
      <w:r>
        <w:rPr/>
        <w:t>Deve-se</w:t>
      </w:r>
      <w:r>
        <w:rPr>
          <w:spacing w:val="-15"/>
        </w:rPr>
        <w:t> </w:t>
      </w:r>
      <w:r>
        <w:rPr/>
        <w:t>dar</w:t>
      </w:r>
      <w:r>
        <w:rPr>
          <w:spacing w:val="-8"/>
        </w:rPr>
        <w:t> </w:t>
      </w:r>
      <w:r>
        <w:rPr/>
        <w:t>preferência</w:t>
      </w:r>
      <w:r>
        <w:rPr>
          <w:spacing w:val="-15"/>
        </w:rPr>
        <w:t> </w:t>
      </w:r>
      <w:r>
        <w:rPr/>
        <w:t>ao uso dos </w:t>
      </w:r>
      <w:r>
        <w:rPr>
          <w:i/>
        </w:rPr>
        <w:t>stents </w:t>
      </w:r>
      <w:r>
        <w:rPr/>
        <w:t>convencionais aos farmacológicos</w:t>
      </w:r>
      <w:r>
        <w:rPr>
          <w:vertAlign w:val="superscript"/>
        </w:rPr>
        <w:t>6</w:t>
      </w:r>
      <w:r>
        <w:rPr>
          <w:vertAlign w:val="baseline"/>
        </w:rPr>
        <w:t> em algumas situações, entre elas pacientes com alto risco de sangramento</w:t>
      </w:r>
      <w:r>
        <w:rPr>
          <w:spacing w:val="-9"/>
          <w:vertAlign w:val="baseline"/>
        </w:rPr>
        <w:t> </w:t>
      </w:r>
      <w:r>
        <w:rPr>
          <w:vertAlign w:val="baseline"/>
        </w:rPr>
        <w:t>ou</w:t>
      </w:r>
      <w:r>
        <w:rPr>
          <w:spacing w:val="-9"/>
          <w:vertAlign w:val="baseline"/>
        </w:rPr>
        <w:t> </w:t>
      </w:r>
      <w:r>
        <w:rPr>
          <w:vertAlign w:val="baseline"/>
        </w:rPr>
        <w:t>quando</w:t>
      </w:r>
      <w:r>
        <w:rPr>
          <w:spacing w:val="-9"/>
          <w:vertAlign w:val="baseline"/>
        </w:rPr>
        <w:t> </w:t>
      </w:r>
      <w:r>
        <w:rPr>
          <w:vertAlign w:val="baseline"/>
        </w:rPr>
        <w:t>não</w:t>
      </w:r>
      <w:r>
        <w:rPr>
          <w:spacing w:val="-9"/>
          <w:vertAlign w:val="baseline"/>
        </w:rPr>
        <w:t> </w:t>
      </w:r>
      <w:r>
        <w:rPr>
          <w:vertAlign w:val="baseline"/>
        </w:rPr>
        <w:t>há</w:t>
      </w:r>
      <w:r>
        <w:rPr>
          <w:spacing w:val="-11"/>
          <w:vertAlign w:val="baseline"/>
        </w:rPr>
        <w:t> </w:t>
      </w:r>
      <w:r>
        <w:rPr>
          <w:vertAlign w:val="baseline"/>
        </w:rPr>
        <w:t>possibilidade</w:t>
      </w:r>
      <w:r>
        <w:rPr>
          <w:spacing w:val="-11"/>
          <w:vertAlign w:val="baseline"/>
        </w:rPr>
        <w:t> </w:t>
      </w:r>
      <w:r>
        <w:rPr>
          <w:vertAlign w:val="baseline"/>
        </w:rPr>
        <w:t>de</w:t>
      </w:r>
      <w:r>
        <w:rPr>
          <w:spacing w:val="-11"/>
          <w:vertAlign w:val="baseline"/>
        </w:rPr>
        <w:t> </w:t>
      </w:r>
      <w:r>
        <w:rPr>
          <w:vertAlign w:val="baseline"/>
        </w:rPr>
        <w:t>manter</w:t>
      </w:r>
      <w:r>
        <w:rPr>
          <w:spacing w:val="-3"/>
          <w:vertAlign w:val="baseline"/>
        </w:rPr>
        <w:t> </w:t>
      </w:r>
      <w:r>
        <w:rPr>
          <w:vertAlign w:val="baseline"/>
        </w:rPr>
        <w:t>a</w:t>
      </w:r>
      <w:r>
        <w:rPr>
          <w:spacing w:val="-11"/>
          <w:vertAlign w:val="baseline"/>
        </w:rPr>
        <w:t> </w:t>
      </w:r>
      <w:r>
        <w:rPr>
          <w:vertAlign w:val="baseline"/>
        </w:rPr>
        <w:t>dupla</w:t>
      </w:r>
      <w:r>
        <w:rPr>
          <w:spacing w:val="-11"/>
          <w:vertAlign w:val="baseline"/>
        </w:rPr>
        <w:t> </w:t>
      </w:r>
      <w:r>
        <w:rPr>
          <w:vertAlign w:val="baseline"/>
        </w:rPr>
        <w:t>antiagregação</w:t>
      </w:r>
      <w:r>
        <w:rPr>
          <w:spacing w:val="-9"/>
          <w:vertAlign w:val="baseline"/>
        </w:rPr>
        <w:t> </w:t>
      </w:r>
      <w:r>
        <w:rPr>
          <w:vertAlign w:val="baseline"/>
        </w:rPr>
        <w:t>pelo</w:t>
      </w:r>
      <w:r>
        <w:rPr>
          <w:spacing w:val="-9"/>
          <w:vertAlign w:val="baseline"/>
        </w:rPr>
        <w:t> </w:t>
      </w:r>
      <w:r>
        <w:rPr>
          <w:vertAlign w:val="baseline"/>
        </w:rPr>
        <w:t>tempo</w:t>
      </w:r>
      <w:r>
        <w:rPr>
          <w:spacing w:val="-9"/>
          <w:vertAlign w:val="baseline"/>
        </w:rPr>
        <w:t> </w:t>
      </w:r>
      <w:r>
        <w:rPr>
          <w:vertAlign w:val="baseline"/>
        </w:rPr>
        <w:t>necessário</w:t>
      </w:r>
      <w:r>
        <w:rPr>
          <w:spacing w:val="-9"/>
          <w:vertAlign w:val="baseline"/>
        </w:rPr>
        <w:t> </w:t>
      </w:r>
      <w:r>
        <w:rPr>
          <w:vertAlign w:val="baseline"/>
        </w:rPr>
        <w:t>(pacientes</w:t>
      </w:r>
      <w:r>
        <w:rPr>
          <w:spacing w:val="-1"/>
          <w:vertAlign w:val="baseline"/>
        </w:rPr>
        <w:t> </w:t>
      </w:r>
      <w:r>
        <w:rPr>
          <w:vertAlign w:val="baseline"/>
        </w:rPr>
        <w:t>com perspectiva de procedimentos invasivos ou cirúrgicos no ano seguinte).</w:t>
      </w:r>
    </w:p>
    <w:p>
      <w:pPr>
        <w:pStyle w:val="BodyText"/>
        <w:spacing w:line="290" w:lineRule="auto" w:before="46"/>
        <w:ind w:right="491"/>
      </w:pPr>
      <w:r>
        <w:rPr/>
        <w:t>Durante a angioplastia deve ser usada anticoagulação com HNF ou enoxaparina. Não deve ser utilizado </w:t>
      </w:r>
      <w:r>
        <w:rPr>
          <w:spacing w:val="-2"/>
        </w:rPr>
        <w:t>fondaparinux.</w:t>
      </w:r>
      <w:r>
        <w:rPr>
          <w:spacing w:val="-2"/>
          <w:vertAlign w:val="superscript"/>
        </w:rPr>
        <w:t>6,27</w:t>
      </w:r>
    </w:p>
    <w:p>
      <w:pPr>
        <w:pStyle w:val="BodyText"/>
        <w:spacing w:before="9"/>
        <w:ind w:left="0" w:firstLine="0"/>
        <w:jc w:val="left"/>
      </w:pPr>
    </w:p>
    <w:p>
      <w:pPr>
        <w:pStyle w:val="Heading7"/>
      </w:pPr>
      <w:r>
        <w:rPr>
          <w:color w:val="242B67"/>
        </w:rPr>
        <w:t>Critérios de </w:t>
      </w:r>
      <w:r>
        <w:rPr>
          <w:color w:val="242B67"/>
          <w:spacing w:val="-2"/>
        </w:rPr>
        <w:t>reperfusão</w:t>
      </w:r>
    </w:p>
    <w:p>
      <w:pPr>
        <w:pStyle w:val="BodyText"/>
        <w:spacing w:line="276" w:lineRule="auto" w:before="126"/>
        <w:ind w:right="488"/>
      </w:pPr>
      <w:r>
        <w:rPr/>
        <w:t>Após a</w:t>
      </w:r>
      <w:r>
        <w:rPr>
          <w:spacing w:val="-9"/>
        </w:rPr>
        <w:t> </w:t>
      </w:r>
      <w:r>
        <w:rPr/>
        <w:t>realização</w:t>
      </w:r>
      <w:r>
        <w:rPr>
          <w:spacing w:val="-6"/>
        </w:rPr>
        <w:t> </w:t>
      </w:r>
      <w:r>
        <w:rPr/>
        <w:t>da</w:t>
      </w:r>
      <w:r>
        <w:rPr>
          <w:spacing w:val="-9"/>
        </w:rPr>
        <w:t> </w:t>
      </w:r>
      <w:r>
        <w:rPr/>
        <w:t>reperfusão</w:t>
      </w:r>
      <w:r>
        <w:rPr>
          <w:spacing w:val="-6"/>
        </w:rPr>
        <w:t> </w:t>
      </w:r>
      <w:r>
        <w:rPr/>
        <w:t>coronária, seja</w:t>
      </w:r>
      <w:r>
        <w:rPr>
          <w:spacing w:val="-9"/>
        </w:rPr>
        <w:t> </w:t>
      </w:r>
      <w:r>
        <w:rPr/>
        <w:t>por</w:t>
      </w:r>
      <w:r>
        <w:rPr>
          <w:spacing w:val="-1"/>
        </w:rPr>
        <w:t> </w:t>
      </w:r>
      <w:r>
        <w:rPr/>
        <w:t>trombólise, seja</w:t>
      </w:r>
      <w:r>
        <w:rPr>
          <w:spacing w:val="-9"/>
        </w:rPr>
        <w:t> </w:t>
      </w:r>
      <w:r>
        <w:rPr/>
        <w:t>pela</w:t>
      </w:r>
      <w:r>
        <w:rPr>
          <w:spacing w:val="-9"/>
        </w:rPr>
        <w:t> </w:t>
      </w:r>
      <w:r>
        <w:rPr/>
        <w:t>angioplastia</w:t>
      </w:r>
      <w:r>
        <w:rPr>
          <w:spacing w:val="-9"/>
        </w:rPr>
        <w:t> </w:t>
      </w:r>
      <w:r>
        <w:rPr/>
        <w:t>primária, considera-se</w:t>
      </w:r>
      <w:r>
        <w:rPr>
          <w:spacing w:val="-9"/>
        </w:rPr>
        <w:t> </w:t>
      </w:r>
      <w:r>
        <w:rPr/>
        <w:t>que o paciente foi reperfundido com sucesso quando observados:</w:t>
      </w:r>
    </w:p>
    <w:p>
      <w:pPr>
        <w:pStyle w:val="ListParagraph"/>
        <w:numPr>
          <w:ilvl w:val="0"/>
          <w:numId w:val="18"/>
        </w:numPr>
        <w:tabs>
          <w:tab w:pos="397" w:val="left" w:leader="none"/>
        </w:tabs>
        <w:spacing w:line="240" w:lineRule="auto" w:before="161" w:after="0"/>
        <w:ind w:left="397" w:right="0" w:hanging="329"/>
        <w:jc w:val="left"/>
        <w:rPr>
          <w:sz w:val="23"/>
        </w:rPr>
      </w:pPr>
      <w:r>
        <w:rPr>
          <w:spacing w:val="-2"/>
          <w:sz w:val="23"/>
        </w:rPr>
        <w:t>Diminuição ou</w:t>
      </w:r>
      <w:r>
        <w:rPr>
          <w:spacing w:val="-1"/>
          <w:sz w:val="23"/>
        </w:rPr>
        <w:t> </w:t>
      </w:r>
      <w:r>
        <w:rPr>
          <w:spacing w:val="-2"/>
          <w:sz w:val="23"/>
        </w:rPr>
        <w:t>desaparecimento súbito</w:t>
      </w:r>
      <w:r>
        <w:rPr>
          <w:spacing w:val="-1"/>
          <w:sz w:val="23"/>
        </w:rPr>
        <w:t> </w:t>
      </w:r>
      <w:r>
        <w:rPr>
          <w:spacing w:val="-2"/>
          <w:sz w:val="23"/>
        </w:rPr>
        <w:t>da</w:t>
      </w:r>
      <w:r>
        <w:rPr>
          <w:spacing w:val="-4"/>
          <w:sz w:val="23"/>
        </w:rPr>
        <w:t> </w:t>
      </w:r>
      <w:r>
        <w:rPr>
          <w:spacing w:val="-5"/>
          <w:sz w:val="23"/>
        </w:rPr>
        <w:t>dor</w:t>
      </w:r>
    </w:p>
    <w:p>
      <w:pPr>
        <w:pStyle w:val="ListParagraph"/>
        <w:numPr>
          <w:ilvl w:val="0"/>
          <w:numId w:val="18"/>
        </w:numPr>
        <w:tabs>
          <w:tab w:pos="404" w:val="left" w:leader="none"/>
        </w:tabs>
        <w:spacing w:line="240" w:lineRule="auto" w:before="72" w:after="0"/>
        <w:ind w:left="404" w:right="0" w:hanging="336"/>
        <w:jc w:val="left"/>
        <w:rPr>
          <w:sz w:val="23"/>
        </w:rPr>
      </w:pPr>
      <w:r>
        <w:rPr>
          <w:sz w:val="23"/>
        </w:rPr>
        <w:t>Normalização</w:t>
      </w:r>
      <w:r>
        <w:rPr>
          <w:spacing w:val="-2"/>
          <w:sz w:val="23"/>
        </w:rPr>
        <w:t> </w:t>
      </w:r>
      <w:r>
        <w:rPr>
          <w:sz w:val="23"/>
        </w:rPr>
        <w:t>ou</w:t>
      </w:r>
      <w:r>
        <w:rPr>
          <w:spacing w:val="-1"/>
          <w:sz w:val="23"/>
        </w:rPr>
        <w:t> </w:t>
      </w:r>
      <w:r>
        <w:rPr>
          <w:sz w:val="23"/>
        </w:rPr>
        <w:t>redução</w:t>
      </w:r>
      <w:r>
        <w:rPr>
          <w:spacing w:val="-1"/>
          <w:sz w:val="23"/>
        </w:rPr>
        <w:t> </w:t>
      </w:r>
      <w:r>
        <w:rPr>
          <w:sz w:val="23"/>
        </w:rPr>
        <w:t>do</w:t>
      </w:r>
      <w:r>
        <w:rPr>
          <w:spacing w:val="-1"/>
          <w:sz w:val="23"/>
        </w:rPr>
        <w:t> </w:t>
      </w:r>
      <w:r>
        <w:rPr>
          <w:sz w:val="23"/>
        </w:rPr>
        <w:t>supradesnível</w:t>
      </w:r>
      <w:r>
        <w:rPr>
          <w:spacing w:val="2"/>
          <w:sz w:val="23"/>
        </w:rPr>
        <w:t> </w:t>
      </w:r>
      <w:r>
        <w:rPr>
          <w:sz w:val="23"/>
        </w:rPr>
        <w:t>do</w:t>
      </w:r>
      <w:r>
        <w:rPr>
          <w:spacing w:val="-1"/>
          <w:sz w:val="23"/>
        </w:rPr>
        <w:t> </w:t>
      </w:r>
      <w:r>
        <w:rPr>
          <w:sz w:val="23"/>
        </w:rPr>
        <w:t>segmento</w:t>
      </w:r>
      <w:r>
        <w:rPr>
          <w:spacing w:val="-1"/>
          <w:sz w:val="23"/>
        </w:rPr>
        <w:t> </w:t>
      </w:r>
      <w:r>
        <w:rPr>
          <w:sz w:val="23"/>
        </w:rPr>
        <w:t>ST</w:t>
      </w:r>
      <w:r>
        <w:rPr>
          <w:spacing w:val="4"/>
          <w:sz w:val="23"/>
        </w:rPr>
        <w:t> </w:t>
      </w:r>
      <w:r>
        <w:rPr>
          <w:sz w:val="23"/>
        </w:rPr>
        <w:t>70%</w:t>
      </w:r>
      <w:r>
        <w:rPr>
          <w:spacing w:val="2"/>
          <w:sz w:val="23"/>
        </w:rPr>
        <w:t> </w:t>
      </w:r>
      <w:r>
        <w:rPr>
          <w:sz w:val="23"/>
        </w:rPr>
        <w:t>em</w:t>
      </w:r>
      <w:r>
        <w:rPr>
          <w:spacing w:val="-1"/>
          <w:sz w:val="23"/>
        </w:rPr>
        <w:t> </w:t>
      </w:r>
      <w:r>
        <w:rPr>
          <w:sz w:val="23"/>
        </w:rPr>
        <w:t>relação</w:t>
      </w:r>
      <w:r>
        <w:rPr>
          <w:spacing w:val="-1"/>
          <w:sz w:val="23"/>
        </w:rPr>
        <w:t> </w:t>
      </w:r>
      <w:r>
        <w:rPr>
          <w:sz w:val="23"/>
        </w:rPr>
        <w:t>ao</w:t>
      </w:r>
      <w:r>
        <w:rPr>
          <w:spacing w:val="-1"/>
          <w:sz w:val="23"/>
        </w:rPr>
        <w:t> </w:t>
      </w:r>
      <w:r>
        <w:rPr>
          <w:sz w:val="23"/>
        </w:rPr>
        <w:t>ECG</w:t>
      </w:r>
      <w:r>
        <w:rPr>
          <w:spacing w:val="-4"/>
          <w:sz w:val="23"/>
        </w:rPr>
        <w:t> </w:t>
      </w:r>
      <w:r>
        <w:rPr>
          <w:sz w:val="23"/>
        </w:rPr>
        <w:t>inicial,</w:t>
      </w:r>
      <w:r>
        <w:rPr>
          <w:spacing w:val="7"/>
          <w:sz w:val="23"/>
        </w:rPr>
        <w:t> </w:t>
      </w:r>
      <w:r>
        <w:rPr>
          <w:sz w:val="23"/>
        </w:rPr>
        <w:t>no</w:t>
      </w:r>
      <w:r>
        <w:rPr>
          <w:spacing w:val="-1"/>
          <w:sz w:val="23"/>
        </w:rPr>
        <w:t> </w:t>
      </w:r>
      <w:r>
        <w:rPr>
          <w:sz w:val="23"/>
        </w:rPr>
        <w:t>ECG</w:t>
      </w:r>
      <w:r>
        <w:rPr>
          <w:spacing w:val="-3"/>
          <w:sz w:val="23"/>
        </w:rPr>
        <w:t> </w:t>
      </w:r>
      <w:r>
        <w:rPr>
          <w:spacing w:val="-2"/>
          <w:sz w:val="23"/>
        </w:rPr>
        <w:t>realizado</w:t>
      </w:r>
    </w:p>
    <w:p>
      <w:pPr>
        <w:pStyle w:val="ListParagraph"/>
        <w:spacing w:after="0" w:line="240" w:lineRule="auto"/>
        <w:jc w:val="left"/>
        <w:rPr>
          <w:sz w:val="23"/>
        </w:rPr>
        <w:sectPr>
          <w:type w:val="continuous"/>
          <w:pgSz w:w="11900" w:h="16840"/>
          <w:pgMar w:top="1060" w:bottom="0" w:left="566" w:right="141"/>
        </w:sectPr>
      </w:pPr>
    </w:p>
    <w:p>
      <w:pPr>
        <w:pStyle w:val="BodyText"/>
        <w:spacing w:line="271" w:lineRule="auto"/>
        <w:ind w:right="497" w:firstLine="0"/>
        <w:jc w:val="left"/>
      </w:pPr>
      <w:r>
        <w:rPr/>
        <w:t>90 min após início da</w:t>
      </w:r>
      <w:r>
        <w:rPr>
          <w:spacing w:val="-1"/>
        </w:rPr>
        <w:t> </w:t>
      </w:r>
      <w:r>
        <w:rPr/>
        <w:t>infusão do trombolítico (estreptoquinase</w:t>
      </w:r>
      <w:r>
        <w:rPr>
          <w:spacing w:val="-1"/>
        </w:rPr>
        <w:t> </w:t>
      </w:r>
      <w:r>
        <w:rPr/>
        <w:t>ou t-PA), ou 60 min após o término da</w:t>
      </w:r>
      <w:r>
        <w:rPr>
          <w:spacing w:val="-1"/>
        </w:rPr>
        <w:t> </w:t>
      </w:r>
      <w:r>
        <w:rPr/>
        <w:t>angioplastia ou infusão de TNK</w:t>
      </w:r>
    </w:p>
    <w:p>
      <w:pPr>
        <w:pStyle w:val="ListParagraph"/>
        <w:numPr>
          <w:ilvl w:val="0"/>
          <w:numId w:val="18"/>
        </w:numPr>
        <w:tabs>
          <w:tab w:pos="397" w:val="left" w:leader="none"/>
        </w:tabs>
        <w:spacing w:line="240" w:lineRule="auto" w:before="20" w:after="0"/>
        <w:ind w:left="397" w:right="0" w:hanging="329"/>
        <w:jc w:val="left"/>
        <w:rPr>
          <w:sz w:val="23"/>
        </w:rPr>
      </w:pPr>
      <w:r>
        <w:rPr>
          <w:sz w:val="23"/>
        </w:rPr>
        <w:t>Pico</w:t>
      </w:r>
      <w:r>
        <w:rPr>
          <w:spacing w:val="-1"/>
          <w:sz w:val="23"/>
        </w:rPr>
        <w:t> </w:t>
      </w:r>
      <w:r>
        <w:rPr>
          <w:sz w:val="23"/>
        </w:rPr>
        <w:t>de</w:t>
      </w:r>
      <w:r>
        <w:rPr>
          <w:spacing w:val="-4"/>
          <w:sz w:val="23"/>
        </w:rPr>
        <w:t> </w:t>
      </w:r>
      <w:r>
        <w:rPr>
          <w:sz w:val="23"/>
        </w:rPr>
        <w:t>CK-MB</w:t>
      </w:r>
      <w:r>
        <w:rPr>
          <w:spacing w:val="8"/>
          <w:sz w:val="23"/>
        </w:rPr>
        <w:t> </w:t>
      </w:r>
      <w:r>
        <w:rPr>
          <w:sz w:val="23"/>
        </w:rPr>
        <w:t>até</w:t>
      </w:r>
      <w:r>
        <w:rPr>
          <w:spacing w:val="-4"/>
          <w:sz w:val="23"/>
        </w:rPr>
        <w:t> </w:t>
      </w:r>
      <w:r>
        <w:rPr>
          <w:sz w:val="23"/>
        </w:rPr>
        <w:t>12</w:t>
      </w:r>
      <w:r>
        <w:rPr>
          <w:spacing w:val="-1"/>
          <w:sz w:val="23"/>
        </w:rPr>
        <w:t> </w:t>
      </w:r>
      <w:r>
        <w:rPr>
          <w:sz w:val="23"/>
        </w:rPr>
        <w:t>h a</w:t>
      </w:r>
      <w:r>
        <w:rPr>
          <w:spacing w:val="-4"/>
          <w:sz w:val="23"/>
        </w:rPr>
        <w:t> </w:t>
      </w:r>
      <w:r>
        <w:rPr>
          <w:sz w:val="23"/>
        </w:rPr>
        <w:t>partir</w:t>
      </w:r>
      <w:r>
        <w:rPr>
          <w:spacing w:val="5"/>
          <w:sz w:val="23"/>
        </w:rPr>
        <w:t> </w:t>
      </w:r>
      <w:r>
        <w:rPr>
          <w:sz w:val="23"/>
        </w:rPr>
        <w:t>da</w:t>
      </w:r>
      <w:r>
        <w:rPr>
          <w:spacing w:val="-4"/>
          <w:sz w:val="23"/>
        </w:rPr>
        <w:t> </w:t>
      </w:r>
      <w:r>
        <w:rPr>
          <w:sz w:val="23"/>
        </w:rPr>
        <w:t>primeira</w:t>
      </w:r>
      <w:r>
        <w:rPr>
          <w:spacing w:val="-3"/>
          <w:sz w:val="23"/>
        </w:rPr>
        <w:t> </w:t>
      </w:r>
      <w:r>
        <w:rPr>
          <w:spacing w:val="-2"/>
          <w:sz w:val="23"/>
        </w:rPr>
        <w:t>medida</w:t>
      </w:r>
    </w:p>
    <w:p>
      <w:pPr>
        <w:pStyle w:val="ListParagraph"/>
        <w:numPr>
          <w:ilvl w:val="0"/>
          <w:numId w:val="18"/>
        </w:numPr>
        <w:tabs>
          <w:tab w:pos="476" w:val="left" w:leader="none"/>
        </w:tabs>
        <w:spacing w:line="276" w:lineRule="auto" w:before="72" w:after="0"/>
        <w:ind w:left="68" w:right="489" w:firstLine="0"/>
        <w:jc w:val="left"/>
        <w:rPr>
          <w:sz w:val="23"/>
        </w:rPr>
      </w:pPr>
      <w:r>
        <w:rPr>
          <w:sz w:val="23"/>
        </w:rPr>
        <w:t>Arritmias</w:t>
      </w:r>
      <w:r>
        <w:rPr>
          <w:spacing w:val="75"/>
          <w:sz w:val="23"/>
        </w:rPr>
        <w:t> </w:t>
      </w:r>
      <w:r>
        <w:rPr>
          <w:sz w:val="23"/>
        </w:rPr>
        <w:t>de</w:t>
      </w:r>
      <w:r>
        <w:rPr>
          <w:spacing w:val="40"/>
          <w:sz w:val="23"/>
        </w:rPr>
        <w:t> </w:t>
      </w:r>
      <w:r>
        <w:rPr>
          <w:sz w:val="23"/>
        </w:rPr>
        <w:t>reperfusão</w:t>
      </w:r>
      <w:r>
        <w:rPr>
          <w:spacing w:val="40"/>
          <w:sz w:val="23"/>
        </w:rPr>
        <w:t> </w:t>
      </w:r>
      <w:r>
        <w:rPr>
          <w:sz w:val="23"/>
        </w:rPr>
        <w:t>(ritmo</w:t>
      </w:r>
      <w:r>
        <w:rPr>
          <w:spacing w:val="40"/>
          <w:sz w:val="23"/>
        </w:rPr>
        <w:t> </w:t>
      </w:r>
      <w:r>
        <w:rPr>
          <w:sz w:val="23"/>
        </w:rPr>
        <w:t>idioventricular</w:t>
      </w:r>
      <w:r>
        <w:rPr>
          <w:spacing w:val="73"/>
          <w:sz w:val="23"/>
        </w:rPr>
        <w:t> </w:t>
      </w:r>
      <w:r>
        <w:rPr>
          <w:sz w:val="23"/>
        </w:rPr>
        <w:t>acelerado,</w:t>
      </w:r>
      <w:r>
        <w:rPr>
          <w:spacing w:val="75"/>
          <w:sz w:val="23"/>
        </w:rPr>
        <w:t> </w:t>
      </w:r>
      <w:r>
        <w:rPr>
          <w:sz w:val="23"/>
        </w:rPr>
        <w:t>bradiarritmias</w:t>
      </w:r>
      <w:r>
        <w:rPr>
          <w:spacing w:val="75"/>
          <w:sz w:val="23"/>
        </w:rPr>
        <w:t> </w:t>
      </w:r>
      <w:r>
        <w:rPr>
          <w:sz w:val="23"/>
        </w:rPr>
        <w:t>e</w:t>
      </w:r>
      <w:r>
        <w:rPr>
          <w:spacing w:val="40"/>
          <w:sz w:val="23"/>
        </w:rPr>
        <w:t> </w:t>
      </w:r>
      <w:r>
        <w:rPr>
          <w:sz w:val="23"/>
        </w:rPr>
        <w:t>aparecimento</w:t>
      </w:r>
      <w:r>
        <w:rPr>
          <w:spacing w:val="40"/>
          <w:sz w:val="23"/>
        </w:rPr>
        <w:t> </w:t>
      </w:r>
      <w:r>
        <w:rPr>
          <w:sz w:val="23"/>
        </w:rPr>
        <w:t>ou</w:t>
      </w:r>
      <w:r>
        <w:rPr>
          <w:spacing w:val="40"/>
          <w:sz w:val="23"/>
        </w:rPr>
        <w:t> </w:t>
      </w:r>
      <w:r>
        <w:rPr>
          <w:sz w:val="23"/>
        </w:rPr>
        <w:t>reversão</w:t>
      </w:r>
      <w:r>
        <w:rPr>
          <w:spacing w:val="40"/>
          <w:sz w:val="23"/>
        </w:rPr>
        <w:t> </w:t>
      </w:r>
      <w:r>
        <w:rPr>
          <w:sz w:val="23"/>
        </w:rPr>
        <w:t>de </w:t>
      </w:r>
      <w:r>
        <w:rPr>
          <w:spacing w:val="-2"/>
          <w:sz w:val="23"/>
        </w:rPr>
        <w:t>bloqueios).</w:t>
      </w:r>
    </w:p>
    <w:p>
      <w:pPr>
        <w:pStyle w:val="BodyText"/>
        <w:spacing w:before="134"/>
        <w:ind w:left="0" w:firstLine="0"/>
        <w:jc w:val="left"/>
      </w:pPr>
    </w:p>
    <w:p>
      <w:pPr>
        <w:pStyle w:val="Heading5"/>
      </w:pPr>
      <w:r>
        <w:rPr>
          <w:color w:val="A26108"/>
        </w:rPr>
        <w:t>Tratamento</w:t>
      </w:r>
      <w:r>
        <w:rPr>
          <w:color w:val="A26108"/>
          <w:spacing w:val="29"/>
        </w:rPr>
        <w:t> </w:t>
      </w:r>
      <w:r>
        <w:rPr>
          <w:color w:val="A26108"/>
        </w:rPr>
        <w:t>após</w:t>
      </w:r>
      <w:r>
        <w:rPr>
          <w:color w:val="A26108"/>
          <w:spacing w:val="29"/>
        </w:rPr>
        <w:t> </w:t>
      </w:r>
      <w:r>
        <w:rPr>
          <w:color w:val="A26108"/>
        </w:rPr>
        <w:t>estabilidade</w:t>
      </w:r>
      <w:r>
        <w:rPr>
          <w:color w:val="A26108"/>
          <w:spacing w:val="29"/>
        </w:rPr>
        <w:t> </w:t>
      </w:r>
      <w:r>
        <w:rPr>
          <w:color w:val="A26108"/>
          <w:spacing w:val="-2"/>
        </w:rPr>
        <w:t>clínica</w:t>
      </w:r>
    </w:p>
    <w:p>
      <w:pPr>
        <w:pStyle w:val="Heading7"/>
        <w:spacing w:before="138"/>
      </w:pPr>
      <w:r>
        <w:rPr>
          <w:color w:val="242B67"/>
        </w:rPr>
        <w:t>Inibidores da enzima conversora de </w:t>
      </w:r>
      <w:r>
        <w:rPr>
          <w:color w:val="242B67"/>
          <w:spacing w:val="-2"/>
        </w:rPr>
        <w:t>angiotensina</w:t>
      </w:r>
    </w:p>
    <w:p>
      <w:pPr>
        <w:pStyle w:val="BodyText"/>
        <w:spacing w:line="278" w:lineRule="auto" w:before="127"/>
        <w:ind w:right="491"/>
      </w:pPr>
      <w:r>
        <w:rPr/>
        <w:t>Os inibidores da</w:t>
      </w:r>
      <w:r>
        <w:rPr>
          <w:spacing w:val="-7"/>
        </w:rPr>
        <w:t> </w:t>
      </w:r>
      <w:r>
        <w:rPr/>
        <w:t>enzima</w:t>
      </w:r>
      <w:r>
        <w:rPr>
          <w:spacing w:val="-7"/>
        </w:rPr>
        <w:t> </w:t>
      </w:r>
      <w:r>
        <w:rPr/>
        <w:t>conversora</w:t>
      </w:r>
      <w:r>
        <w:rPr>
          <w:spacing w:val="-7"/>
        </w:rPr>
        <w:t> </w:t>
      </w:r>
      <w:r>
        <w:rPr/>
        <w:t>de</w:t>
      </w:r>
      <w:r>
        <w:rPr>
          <w:spacing w:val="-7"/>
        </w:rPr>
        <w:t> </w:t>
      </w:r>
      <w:r>
        <w:rPr/>
        <w:t>angiotensina</w:t>
      </w:r>
      <w:r>
        <w:rPr>
          <w:spacing w:val="-7"/>
        </w:rPr>
        <w:t> </w:t>
      </w:r>
      <w:r>
        <w:rPr/>
        <w:t>(IECA) devem</w:t>
      </w:r>
      <w:r>
        <w:rPr>
          <w:spacing w:val="-5"/>
        </w:rPr>
        <w:t> </w:t>
      </w:r>
      <w:r>
        <w:rPr/>
        <w:t>ser iniciados no</w:t>
      </w:r>
      <w:r>
        <w:rPr>
          <w:spacing w:val="-5"/>
        </w:rPr>
        <w:t> </w:t>
      </w:r>
      <w:r>
        <w:rPr/>
        <w:t>IAM geralmente</w:t>
      </w:r>
      <w:r>
        <w:rPr>
          <w:spacing w:val="-7"/>
        </w:rPr>
        <w:t> </w:t>
      </w:r>
      <w:r>
        <w:rPr/>
        <w:t>6</w:t>
      </w:r>
      <w:r>
        <w:rPr>
          <w:spacing w:val="-5"/>
        </w:rPr>
        <w:t> </w:t>
      </w:r>
      <w:r>
        <w:rPr/>
        <w:t>h</w:t>
      </w:r>
      <w:r>
        <w:rPr>
          <w:spacing w:val="-5"/>
        </w:rPr>
        <w:t> </w:t>
      </w:r>
      <w:r>
        <w:rPr/>
        <w:t>após o início do quadro álgico, já com o paciente estável, de preferência nas primeiras 24 h de IAM. Eles agem favoravelmente</w:t>
      </w:r>
      <w:r>
        <w:rPr>
          <w:spacing w:val="-1"/>
        </w:rPr>
        <w:t> </w:t>
      </w:r>
      <w:r>
        <w:rPr/>
        <w:t>no processo de</w:t>
      </w:r>
      <w:r>
        <w:rPr>
          <w:spacing w:val="-1"/>
        </w:rPr>
        <w:t> </w:t>
      </w:r>
      <w:r>
        <w:rPr/>
        <w:t>remodelação ventricular.</w:t>
      </w:r>
      <w:r>
        <w:rPr>
          <w:vertAlign w:val="superscript"/>
        </w:rPr>
        <w:t>28,29</w:t>
      </w:r>
      <w:r>
        <w:rPr>
          <w:vertAlign w:val="baseline"/>
        </w:rPr>
        <w:t> O</w:t>
      </w:r>
      <w:r>
        <w:rPr>
          <w:spacing w:val="-1"/>
          <w:vertAlign w:val="baseline"/>
        </w:rPr>
        <w:t> </w:t>
      </w:r>
      <w:r>
        <w:rPr>
          <w:vertAlign w:val="baseline"/>
        </w:rPr>
        <w:t>IECA</w:t>
      </w:r>
      <w:r>
        <w:rPr>
          <w:spacing w:val="-1"/>
          <w:vertAlign w:val="baseline"/>
        </w:rPr>
        <w:t> </w:t>
      </w:r>
      <w:r>
        <w:rPr>
          <w:vertAlign w:val="baseline"/>
        </w:rPr>
        <w:t>mais frequentemente</w:t>
      </w:r>
      <w:r>
        <w:rPr>
          <w:spacing w:val="-1"/>
          <w:vertAlign w:val="baseline"/>
        </w:rPr>
        <w:t> </w:t>
      </w:r>
      <w:r>
        <w:rPr>
          <w:vertAlign w:val="baseline"/>
        </w:rPr>
        <w:t>usado é</w:t>
      </w:r>
      <w:r>
        <w:rPr>
          <w:spacing w:val="-1"/>
          <w:vertAlign w:val="baseline"/>
        </w:rPr>
        <w:t> </w:t>
      </w:r>
      <w:r>
        <w:rPr>
          <w:vertAlign w:val="baseline"/>
        </w:rPr>
        <w:t>o captopril, por ser um</w:t>
      </w:r>
      <w:r>
        <w:rPr>
          <w:spacing w:val="-3"/>
          <w:vertAlign w:val="baseline"/>
        </w:rPr>
        <w:t> </w:t>
      </w:r>
      <w:r>
        <w:rPr>
          <w:vertAlign w:val="baseline"/>
        </w:rPr>
        <w:t>fármaco</w:t>
      </w:r>
      <w:r>
        <w:rPr>
          <w:spacing w:val="-3"/>
          <w:vertAlign w:val="baseline"/>
        </w:rPr>
        <w:t> </w:t>
      </w:r>
      <w:r>
        <w:rPr>
          <w:vertAlign w:val="baseline"/>
        </w:rPr>
        <w:t>já</w:t>
      </w:r>
      <w:r>
        <w:rPr>
          <w:spacing w:val="-5"/>
          <w:vertAlign w:val="baseline"/>
        </w:rPr>
        <w:t> </w:t>
      </w:r>
      <w:r>
        <w:rPr>
          <w:vertAlign w:val="baseline"/>
        </w:rPr>
        <w:t>bem</w:t>
      </w:r>
      <w:r>
        <w:rPr>
          <w:spacing w:val="-3"/>
          <w:vertAlign w:val="baseline"/>
        </w:rPr>
        <w:t> </w:t>
      </w:r>
      <w:r>
        <w:rPr>
          <w:vertAlign w:val="baseline"/>
        </w:rPr>
        <w:t>estudado</w:t>
      </w:r>
      <w:r>
        <w:rPr>
          <w:spacing w:val="-3"/>
          <w:vertAlign w:val="baseline"/>
        </w:rPr>
        <w:t> </w:t>
      </w:r>
      <w:r>
        <w:rPr>
          <w:vertAlign w:val="baseline"/>
        </w:rPr>
        <w:t>e</w:t>
      </w:r>
      <w:r>
        <w:rPr>
          <w:spacing w:val="-5"/>
          <w:vertAlign w:val="baseline"/>
        </w:rPr>
        <w:t> </w:t>
      </w:r>
      <w:r>
        <w:rPr>
          <w:vertAlign w:val="baseline"/>
        </w:rPr>
        <w:t>por sua</w:t>
      </w:r>
      <w:r>
        <w:rPr>
          <w:spacing w:val="-5"/>
          <w:vertAlign w:val="baseline"/>
        </w:rPr>
        <w:t> </w:t>
      </w:r>
      <w:r>
        <w:rPr>
          <w:vertAlign w:val="baseline"/>
        </w:rPr>
        <w:t>posologia</w:t>
      </w:r>
      <w:r>
        <w:rPr>
          <w:spacing w:val="-5"/>
          <w:vertAlign w:val="baseline"/>
        </w:rPr>
        <w:t> </w:t>
      </w:r>
      <w:r>
        <w:rPr>
          <w:vertAlign w:val="baseline"/>
        </w:rPr>
        <w:t>com</w:t>
      </w:r>
      <w:r>
        <w:rPr>
          <w:spacing w:val="-3"/>
          <w:vertAlign w:val="baseline"/>
        </w:rPr>
        <w:t> </w:t>
      </w:r>
      <w:r>
        <w:rPr>
          <w:vertAlign w:val="baseline"/>
        </w:rPr>
        <w:t>meia-vida</w:t>
      </w:r>
      <w:r>
        <w:rPr>
          <w:spacing w:val="-5"/>
          <w:vertAlign w:val="baseline"/>
        </w:rPr>
        <w:t> </w:t>
      </w:r>
      <w:r>
        <w:rPr>
          <w:vertAlign w:val="baseline"/>
        </w:rPr>
        <w:t>mais curta. Se, à</w:t>
      </w:r>
      <w:r>
        <w:rPr>
          <w:spacing w:val="-5"/>
          <w:vertAlign w:val="baseline"/>
        </w:rPr>
        <w:t> </w:t>
      </w:r>
      <w:r>
        <w:rPr>
          <w:vertAlign w:val="baseline"/>
        </w:rPr>
        <w:t>realização</w:t>
      </w:r>
      <w:r>
        <w:rPr>
          <w:spacing w:val="-3"/>
          <w:vertAlign w:val="baseline"/>
        </w:rPr>
        <w:t> </w:t>
      </w:r>
      <w:r>
        <w:rPr>
          <w:vertAlign w:val="baseline"/>
        </w:rPr>
        <w:t>de</w:t>
      </w:r>
      <w:r>
        <w:rPr>
          <w:spacing w:val="-5"/>
          <w:vertAlign w:val="baseline"/>
        </w:rPr>
        <w:t> </w:t>
      </w:r>
      <w:r>
        <w:rPr>
          <w:vertAlign w:val="baseline"/>
        </w:rPr>
        <w:t>ecocardiograma após o</w:t>
      </w:r>
      <w:r>
        <w:rPr>
          <w:spacing w:val="-6"/>
          <w:vertAlign w:val="baseline"/>
        </w:rPr>
        <w:t> </w:t>
      </w:r>
      <w:r>
        <w:rPr>
          <w:vertAlign w:val="baseline"/>
        </w:rPr>
        <w:t>IAM, ficar</w:t>
      </w:r>
      <w:r>
        <w:rPr>
          <w:spacing w:val="-1"/>
          <w:vertAlign w:val="baseline"/>
        </w:rPr>
        <w:t> </w:t>
      </w:r>
      <w:r>
        <w:rPr>
          <w:vertAlign w:val="baseline"/>
        </w:rPr>
        <w:t>documentado</w:t>
      </w:r>
      <w:r>
        <w:rPr>
          <w:spacing w:val="-6"/>
          <w:vertAlign w:val="baseline"/>
        </w:rPr>
        <w:t> </w:t>
      </w:r>
      <w:r>
        <w:rPr>
          <w:vertAlign w:val="baseline"/>
        </w:rPr>
        <w:t>que</w:t>
      </w:r>
      <w:r>
        <w:rPr>
          <w:spacing w:val="-8"/>
          <w:vertAlign w:val="baseline"/>
        </w:rPr>
        <w:t> </w:t>
      </w:r>
      <w:r>
        <w:rPr>
          <w:vertAlign w:val="baseline"/>
        </w:rPr>
        <w:t>não</w:t>
      </w:r>
      <w:r>
        <w:rPr>
          <w:spacing w:val="-6"/>
          <w:vertAlign w:val="baseline"/>
        </w:rPr>
        <w:t> </w:t>
      </w:r>
      <w:r>
        <w:rPr>
          <w:vertAlign w:val="baseline"/>
        </w:rPr>
        <w:t>há</w:t>
      </w:r>
      <w:r>
        <w:rPr>
          <w:spacing w:val="-8"/>
          <w:vertAlign w:val="baseline"/>
        </w:rPr>
        <w:t> </w:t>
      </w:r>
      <w:r>
        <w:rPr>
          <w:vertAlign w:val="baseline"/>
        </w:rPr>
        <w:t>área</w:t>
      </w:r>
      <w:r>
        <w:rPr>
          <w:spacing w:val="-8"/>
          <w:vertAlign w:val="baseline"/>
        </w:rPr>
        <w:t> </w:t>
      </w:r>
      <w:r>
        <w:rPr>
          <w:vertAlign w:val="baseline"/>
        </w:rPr>
        <w:t>hipo</w:t>
      </w:r>
      <w:r>
        <w:rPr>
          <w:spacing w:val="-6"/>
          <w:vertAlign w:val="baseline"/>
        </w:rPr>
        <w:t> </w:t>
      </w:r>
      <w:r>
        <w:rPr>
          <w:vertAlign w:val="baseline"/>
        </w:rPr>
        <w:t>ou</w:t>
      </w:r>
      <w:r>
        <w:rPr>
          <w:spacing w:val="-6"/>
          <w:vertAlign w:val="baseline"/>
        </w:rPr>
        <w:t> </w:t>
      </w:r>
      <w:r>
        <w:rPr>
          <w:vertAlign w:val="baseline"/>
        </w:rPr>
        <w:t>acinética, o</w:t>
      </w:r>
      <w:r>
        <w:rPr>
          <w:spacing w:val="-6"/>
          <w:vertAlign w:val="baseline"/>
        </w:rPr>
        <w:t> </w:t>
      </w:r>
      <w:r>
        <w:rPr>
          <w:vertAlign w:val="baseline"/>
        </w:rPr>
        <w:t>IECA</w:t>
      </w:r>
      <w:r>
        <w:rPr>
          <w:spacing w:val="-8"/>
          <w:vertAlign w:val="baseline"/>
        </w:rPr>
        <w:t> </w:t>
      </w:r>
      <w:r>
        <w:rPr>
          <w:vertAlign w:val="baseline"/>
        </w:rPr>
        <w:t>deve</w:t>
      </w:r>
      <w:r>
        <w:rPr>
          <w:spacing w:val="-8"/>
          <w:vertAlign w:val="baseline"/>
        </w:rPr>
        <w:t> </w:t>
      </w:r>
      <w:r>
        <w:rPr>
          <w:vertAlign w:val="baseline"/>
        </w:rPr>
        <w:t>ser</w:t>
      </w:r>
      <w:r>
        <w:rPr>
          <w:spacing w:val="-1"/>
          <w:vertAlign w:val="baseline"/>
        </w:rPr>
        <w:t> </w:t>
      </w:r>
      <w:r>
        <w:rPr>
          <w:vertAlign w:val="baseline"/>
        </w:rPr>
        <w:t>descontinuado, a</w:t>
      </w:r>
      <w:r>
        <w:rPr>
          <w:spacing w:val="-8"/>
          <w:vertAlign w:val="baseline"/>
        </w:rPr>
        <w:t> </w:t>
      </w:r>
      <w:r>
        <w:rPr>
          <w:vertAlign w:val="baseline"/>
        </w:rPr>
        <w:t>menos que</w:t>
      </w:r>
      <w:r>
        <w:rPr>
          <w:spacing w:val="-8"/>
          <w:vertAlign w:val="baseline"/>
        </w:rPr>
        <w:t> </w:t>
      </w:r>
      <w:r>
        <w:rPr>
          <w:vertAlign w:val="baseline"/>
        </w:rPr>
        <w:t>ele tenha outra indicação que não a disfunção ventricular. Quando houver disfunção ventricular, o uso do IECA é mandatório e se dará por tempo indefinido. Os antagonistas dos receptores AT1 da angiotensina II são opções quando o paciente não tolera o IECA, geralmente por tosse seca.</w:t>
      </w:r>
    </w:p>
    <w:p>
      <w:pPr>
        <w:pStyle w:val="BodyText"/>
        <w:spacing w:before="3"/>
        <w:ind w:left="0" w:firstLine="0"/>
        <w:jc w:val="left"/>
      </w:pPr>
    </w:p>
    <w:p>
      <w:pPr>
        <w:pStyle w:val="Heading7"/>
        <w:spacing w:before="1"/>
      </w:pPr>
      <w:r>
        <w:rPr>
          <w:color w:val="242B67"/>
          <w:spacing w:val="-2"/>
        </w:rPr>
        <w:t>Estatinas</w:t>
      </w:r>
    </w:p>
    <w:p>
      <w:pPr>
        <w:pStyle w:val="BodyText"/>
        <w:spacing w:line="280" w:lineRule="auto" w:before="142"/>
        <w:ind w:right="491"/>
      </w:pPr>
      <w:r>
        <w:rPr/>
        <w:t>Não existem estudos comprovando benefício do uso de estatinas nas primeiras horas do IAM. Até há pouco tempo, o maior benefício do uso da estatina, na fase ainda hospitalar, ocorria graças à maior adesão ao tratamento, quando já em acompanhamento ambulatorial. A última diretriz brasileira de dislipidemias sugere, a exemplo das mais recentes recomendações em todo o mundo, que a lipoproteína de baixa densidade (LDL), alvo nos pacientes com SCA, deve ser inferior a 70 mg/d</w:t>
      </w:r>
      <w:r>
        <w:rPr>
          <w:spacing w:val="-15"/>
        </w:rPr>
        <w:t> </w:t>
      </w:r>
      <w:r>
        <w:rPr>
          <w:i/>
        </w:rPr>
        <w:t>ℓ</w:t>
      </w:r>
      <w:r>
        <w:rPr>
          <w:i/>
          <w:spacing w:val="-14"/>
        </w:rPr>
        <w:t> </w:t>
      </w:r>
      <w:r>
        <w:rPr/>
        <w:t>, usando como evidência principalmente o estudo PROVE IT.</w:t>
      </w:r>
      <w:r>
        <w:rPr>
          <w:vertAlign w:val="superscript"/>
        </w:rPr>
        <w:t>30,31</w:t>
      </w:r>
      <w:r>
        <w:rPr>
          <w:vertAlign w:val="baseline"/>
        </w:rPr>
        <w:t> A solicitação</w:t>
      </w:r>
      <w:r>
        <w:rPr>
          <w:spacing w:val="-4"/>
          <w:vertAlign w:val="baseline"/>
        </w:rPr>
        <w:t> </w:t>
      </w:r>
      <w:r>
        <w:rPr>
          <w:vertAlign w:val="baseline"/>
        </w:rPr>
        <w:t>do</w:t>
      </w:r>
      <w:r>
        <w:rPr>
          <w:spacing w:val="-4"/>
          <w:vertAlign w:val="baseline"/>
        </w:rPr>
        <w:t> </w:t>
      </w:r>
      <w:r>
        <w:rPr>
          <w:vertAlign w:val="baseline"/>
        </w:rPr>
        <w:t>perfil</w:t>
      </w:r>
      <w:r>
        <w:rPr>
          <w:spacing w:val="-1"/>
          <w:vertAlign w:val="baseline"/>
        </w:rPr>
        <w:t> </w:t>
      </w:r>
      <w:r>
        <w:rPr>
          <w:vertAlign w:val="baseline"/>
        </w:rPr>
        <w:t>lipídico</w:t>
      </w:r>
      <w:r>
        <w:rPr>
          <w:spacing w:val="-4"/>
          <w:vertAlign w:val="baseline"/>
        </w:rPr>
        <w:t> </w:t>
      </w:r>
      <w:r>
        <w:rPr>
          <w:vertAlign w:val="baseline"/>
        </w:rPr>
        <w:t>deve</w:t>
      </w:r>
      <w:r>
        <w:rPr>
          <w:spacing w:val="-6"/>
          <w:vertAlign w:val="baseline"/>
        </w:rPr>
        <w:t> </w:t>
      </w:r>
      <w:r>
        <w:rPr>
          <w:vertAlign w:val="baseline"/>
        </w:rPr>
        <w:t>ser feita</w:t>
      </w:r>
      <w:r>
        <w:rPr>
          <w:spacing w:val="-6"/>
          <w:vertAlign w:val="baseline"/>
        </w:rPr>
        <w:t> </w:t>
      </w:r>
      <w:r>
        <w:rPr>
          <w:vertAlign w:val="baseline"/>
        </w:rPr>
        <w:t>o</w:t>
      </w:r>
      <w:r>
        <w:rPr>
          <w:spacing w:val="-4"/>
          <w:vertAlign w:val="baseline"/>
        </w:rPr>
        <w:t> </w:t>
      </w:r>
      <w:r>
        <w:rPr>
          <w:vertAlign w:val="baseline"/>
        </w:rPr>
        <w:t>quanto</w:t>
      </w:r>
      <w:r>
        <w:rPr>
          <w:spacing w:val="-4"/>
          <w:vertAlign w:val="baseline"/>
        </w:rPr>
        <w:t> </w:t>
      </w:r>
      <w:r>
        <w:rPr>
          <w:vertAlign w:val="baseline"/>
        </w:rPr>
        <w:t>antes, uma</w:t>
      </w:r>
      <w:r>
        <w:rPr>
          <w:spacing w:val="-6"/>
          <w:vertAlign w:val="baseline"/>
        </w:rPr>
        <w:t> </w:t>
      </w:r>
      <w:r>
        <w:rPr>
          <w:vertAlign w:val="baseline"/>
        </w:rPr>
        <w:t>vez</w:t>
      </w:r>
      <w:r>
        <w:rPr>
          <w:spacing w:val="-6"/>
          <w:vertAlign w:val="baseline"/>
        </w:rPr>
        <w:t> </w:t>
      </w:r>
      <w:r>
        <w:rPr>
          <w:vertAlign w:val="baseline"/>
        </w:rPr>
        <w:t>que</w:t>
      </w:r>
      <w:r>
        <w:rPr>
          <w:spacing w:val="-6"/>
          <w:vertAlign w:val="baseline"/>
        </w:rPr>
        <w:t> </w:t>
      </w:r>
      <w:r>
        <w:rPr>
          <w:vertAlign w:val="baseline"/>
        </w:rPr>
        <w:t>todo</w:t>
      </w:r>
      <w:r>
        <w:rPr>
          <w:spacing w:val="-4"/>
          <w:vertAlign w:val="baseline"/>
        </w:rPr>
        <w:t> </w:t>
      </w:r>
      <w:r>
        <w:rPr>
          <w:vertAlign w:val="baseline"/>
        </w:rPr>
        <w:t>o</w:t>
      </w:r>
      <w:r>
        <w:rPr>
          <w:spacing w:val="-4"/>
          <w:vertAlign w:val="baseline"/>
        </w:rPr>
        <w:t> </w:t>
      </w:r>
      <w:r>
        <w:rPr>
          <w:vertAlign w:val="baseline"/>
        </w:rPr>
        <w:t>perfil</w:t>
      </w:r>
      <w:r>
        <w:rPr>
          <w:spacing w:val="-1"/>
          <w:vertAlign w:val="baseline"/>
        </w:rPr>
        <w:t> </w:t>
      </w:r>
      <w:r>
        <w:rPr>
          <w:vertAlign w:val="baseline"/>
        </w:rPr>
        <w:t>lipídico</w:t>
      </w:r>
      <w:r>
        <w:rPr>
          <w:spacing w:val="-4"/>
          <w:vertAlign w:val="baseline"/>
        </w:rPr>
        <w:t> </w:t>
      </w:r>
      <w:r>
        <w:rPr>
          <w:vertAlign w:val="baseline"/>
        </w:rPr>
        <w:t>fica</w:t>
      </w:r>
      <w:r>
        <w:rPr>
          <w:spacing w:val="-6"/>
          <w:vertAlign w:val="baseline"/>
        </w:rPr>
        <w:t> </w:t>
      </w:r>
      <w:r>
        <w:rPr>
          <w:vertAlign w:val="baseline"/>
        </w:rPr>
        <w:t>suprimido</w:t>
      </w:r>
      <w:r>
        <w:rPr>
          <w:spacing w:val="-4"/>
          <w:vertAlign w:val="baseline"/>
        </w:rPr>
        <w:t> </w:t>
      </w:r>
      <w:r>
        <w:rPr>
          <w:vertAlign w:val="baseline"/>
        </w:rPr>
        <w:t>após 24 h do IAM, tornando todos os lipídios artificialmente baixos. A estatina deve ser introduzida de modo precoce, necessariamente antes do 10</w:t>
      </w:r>
      <w:r>
        <w:rPr>
          <w:u w:val="single"/>
          <w:vertAlign w:val="superscript"/>
        </w:rPr>
        <w:t>o</w:t>
      </w:r>
      <w:r>
        <w:rPr>
          <w:vertAlign w:val="baseline"/>
        </w:rPr>
        <w:t> dia de IAM, ou antes da alta hospitalar.</w:t>
      </w:r>
    </w:p>
    <w:p>
      <w:pPr>
        <w:pStyle w:val="BodyText"/>
        <w:spacing w:before="176"/>
        <w:ind w:left="0" w:firstLine="0"/>
        <w:jc w:val="left"/>
      </w:pPr>
    </w:p>
    <w:p>
      <w:pPr>
        <w:pStyle w:val="Heading4"/>
      </w:pPr>
      <w:r>
        <w:rPr>
          <w:color w:val="242B67"/>
        </w:rPr>
        <w:t>Tratamento </w:t>
      </w:r>
      <w:r>
        <w:rPr>
          <w:color w:val="242B67"/>
          <w:spacing w:val="-2"/>
        </w:rPr>
        <w:t>cirúrgico</w:t>
      </w:r>
    </w:p>
    <w:p>
      <w:pPr>
        <w:pStyle w:val="BodyText"/>
        <w:spacing w:line="276" w:lineRule="auto" w:before="132"/>
        <w:ind w:right="488"/>
      </w:pPr>
      <w:r>
        <w:rPr/>
        <w:t>O</w:t>
      </w:r>
      <w:r>
        <w:rPr>
          <w:spacing w:val="-8"/>
        </w:rPr>
        <w:t> </w:t>
      </w:r>
      <w:r>
        <w:rPr/>
        <w:t>tratamento</w:t>
      </w:r>
      <w:r>
        <w:rPr>
          <w:spacing w:val="-6"/>
        </w:rPr>
        <w:t> </w:t>
      </w:r>
      <w:r>
        <w:rPr/>
        <w:t>cirúrgico</w:t>
      </w:r>
      <w:r>
        <w:rPr>
          <w:spacing w:val="-6"/>
        </w:rPr>
        <w:t> </w:t>
      </w:r>
      <w:r>
        <w:rPr/>
        <w:t>do</w:t>
      </w:r>
      <w:r>
        <w:rPr>
          <w:spacing w:val="-6"/>
        </w:rPr>
        <w:t> </w:t>
      </w:r>
      <w:r>
        <w:rPr/>
        <w:t>IAM</w:t>
      </w:r>
      <w:r>
        <w:rPr>
          <w:spacing w:val="-1"/>
        </w:rPr>
        <w:t> </w:t>
      </w:r>
      <w:r>
        <w:rPr/>
        <w:t>tem</w:t>
      </w:r>
      <w:r>
        <w:rPr>
          <w:spacing w:val="-6"/>
        </w:rPr>
        <w:t> </w:t>
      </w:r>
      <w:r>
        <w:rPr/>
        <w:t>sido</w:t>
      </w:r>
      <w:r>
        <w:rPr>
          <w:spacing w:val="-6"/>
        </w:rPr>
        <w:t> </w:t>
      </w:r>
      <w:r>
        <w:rPr/>
        <w:t>amplamente</w:t>
      </w:r>
      <w:r>
        <w:rPr>
          <w:spacing w:val="-8"/>
        </w:rPr>
        <w:t> </w:t>
      </w:r>
      <w:r>
        <w:rPr/>
        <w:t>discutido</w:t>
      </w:r>
      <w:r>
        <w:rPr>
          <w:spacing w:val="-6"/>
        </w:rPr>
        <w:t> </w:t>
      </w:r>
      <w:r>
        <w:rPr/>
        <w:t>com</w:t>
      </w:r>
      <w:r>
        <w:rPr>
          <w:spacing w:val="-6"/>
        </w:rPr>
        <w:t> </w:t>
      </w:r>
      <w:r>
        <w:rPr/>
        <w:t>base</w:t>
      </w:r>
      <w:r>
        <w:rPr>
          <w:spacing w:val="-8"/>
        </w:rPr>
        <w:t> </w:t>
      </w:r>
      <w:r>
        <w:rPr/>
        <w:t>em</w:t>
      </w:r>
      <w:r>
        <w:rPr>
          <w:spacing w:val="-6"/>
        </w:rPr>
        <w:t> </w:t>
      </w:r>
      <w:r>
        <w:rPr/>
        <w:t>observações clínicas, sem</w:t>
      </w:r>
      <w:r>
        <w:rPr>
          <w:spacing w:val="-6"/>
        </w:rPr>
        <w:t> </w:t>
      </w:r>
      <w:r>
        <w:rPr/>
        <w:t>que</w:t>
      </w:r>
      <w:r>
        <w:rPr>
          <w:spacing w:val="-8"/>
        </w:rPr>
        <w:t> </w:t>
      </w:r>
      <w:r>
        <w:rPr/>
        <w:t>haja consenso sobre seus riscos e benefícios. O intervalo entre o IAM e o procedimento é motivo de muita discussão. Dados sugerem</w:t>
      </w:r>
      <w:r>
        <w:rPr>
          <w:spacing w:val="-1"/>
        </w:rPr>
        <w:t> </w:t>
      </w:r>
      <w:r>
        <w:rPr/>
        <w:t>que</w:t>
      </w:r>
      <w:r>
        <w:rPr>
          <w:spacing w:val="-4"/>
        </w:rPr>
        <w:t> </w:t>
      </w:r>
      <w:r>
        <w:rPr/>
        <w:t>o</w:t>
      </w:r>
      <w:r>
        <w:rPr>
          <w:spacing w:val="-1"/>
        </w:rPr>
        <w:t> </w:t>
      </w:r>
      <w:r>
        <w:rPr/>
        <w:t>tempo</w:t>
      </w:r>
      <w:r>
        <w:rPr>
          <w:spacing w:val="-1"/>
        </w:rPr>
        <w:t> </w:t>
      </w:r>
      <w:r>
        <w:rPr/>
        <w:t>decorrido</w:t>
      </w:r>
      <w:r>
        <w:rPr>
          <w:spacing w:val="-1"/>
        </w:rPr>
        <w:t> </w:t>
      </w:r>
      <w:r>
        <w:rPr/>
        <w:t>entre</w:t>
      </w:r>
      <w:r>
        <w:rPr>
          <w:spacing w:val="-4"/>
        </w:rPr>
        <w:t> </w:t>
      </w:r>
      <w:r>
        <w:rPr/>
        <w:t>o</w:t>
      </w:r>
      <w:r>
        <w:rPr>
          <w:spacing w:val="-1"/>
        </w:rPr>
        <w:t> </w:t>
      </w:r>
      <w:r>
        <w:rPr/>
        <w:t>IAM e</w:t>
      </w:r>
      <w:r>
        <w:rPr>
          <w:spacing w:val="-4"/>
        </w:rPr>
        <w:t> </w:t>
      </w:r>
      <w:r>
        <w:rPr/>
        <w:t>a</w:t>
      </w:r>
      <w:r>
        <w:rPr>
          <w:spacing w:val="-4"/>
        </w:rPr>
        <w:t> </w:t>
      </w:r>
      <w:r>
        <w:rPr/>
        <w:t>operação</w:t>
      </w:r>
      <w:r>
        <w:rPr>
          <w:spacing w:val="-1"/>
        </w:rPr>
        <w:t> </w:t>
      </w:r>
      <w:r>
        <w:rPr/>
        <w:t>é</w:t>
      </w:r>
      <w:r>
        <w:rPr>
          <w:spacing w:val="-4"/>
        </w:rPr>
        <w:t> </w:t>
      </w:r>
      <w:r>
        <w:rPr/>
        <w:t>um</w:t>
      </w:r>
      <w:r>
        <w:rPr>
          <w:spacing w:val="-1"/>
        </w:rPr>
        <w:t> </w:t>
      </w:r>
      <w:r>
        <w:rPr/>
        <w:t>fator determinante</w:t>
      </w:r>
      <w:r>
        <w:rPr>
          <w:spacing w:val="-4"/>
        </w:rPr>
        <w:t> </w:t>
      </w:r>
      <w:r>
        <w:rPr/>
        <w:t>na</w:t>
      </w:r>
      <w:r>
        <w:rPr>
          <w:spacing w:val="-4"/>
        </w:rPr>
        <w:t> </w:t>
      </w:r>
      <w:r>
        <w:rPr/>
        <w:t>evolução</w:t>
      </w:r>
      <w:r>
        <w:rPr>
          <w:spacing w:val="-1"/>
        </w:rPr>
        <w:t> </w:t>
      </w:r>
      <w:r>
        <w:rPr/>
        <w:t>do</w:t>
      </w:r>
      <w:r>
        <w:rPr>
          <w:spacing w:val="-1"/>
        </w:rPr>
        <w:t> </w:t>
      </w:r>
      <w:r>
        <w:rPr/>
        <w:t>paciente.</w:t>
      </w:r>
    </w:p>
    <w:p>
      <w:pPr>
        <w:pStyle w:val="BodyText"/>
        <w:spacing w:line="290" w:lineRule="auto" w:before="64"/>
        <w:ind w:right="491"/>
      </w:pPr>
      <w:r>
        <w:rPr/>
        <w:t>Durante muito tempo, a cirurgia precoce foi considerada de risco. Entretanto, mais recentemente têm sido registrados baixos índices de</w:t>
      </w:r>
      <w:r>
        <w:rPr>
          <w:spacing w:val="-2"/>
        </w:rPr>
        <w:t> </w:t>
      </w:r>
      <w:r>
        <w:rPr/>
        <w:t>morbidade</w:t>
      </w:r>
      <w:r>
        <w:rPr>
          <w:spacing w:val="-2"/>
        </w:rPr>
        <w:t> </w:t>
      </w:r>
      <w:r>
        <w:rPr/>
        <w:t>e</w:t>
      </w:r>
      <w:r>
        <w:rPr>
          <w:spacing w:val="-2"/>
        </w:rPr>
        <w:t> </w:t>
      </w:r>
      <w:r>
        <w:rPr/>
        <w:t>mortalidade</w:t>
      </w:r>
      <w:r>
        <w:rPr>
          <w:spacing w:val="-2"/>
        </w:rPr>
        <w:t> </w:t>
      </w:r>
      <w:r>
        <w:rPr/>
        <w:t>em pacientes operados nos primeiros dias após o IAM.</w:t>
      </w:r>
      <w:r>
        <w:rPr>
          <w:vertAlign w:val="superscript"/>
        </w:rPr>
        <w:t>32</w:t>
      </w:r>
    </w:p>
    <w:p>
      <w:pPr>
        <w:pStyle w:val="BodyText"/>
        <w:spacing w:before="33"/>
        <w:ind w:left="414" w:firstLine="0"/>
      </w:pPr>
      <w:r>
        <w:rPr/>
        <w:t>As</w:t>
      </w:r>
      <w:r>
        <w:rPr>
          <w:spacing w:val="-7"/>
        </w:rPr>
        <w:t> </w:t>
      </w:r>
      <w:r>
        <w:rPr/>
        <w:t>indicações</w:t>
      </w:r>
      <w:r>
        <w:rPr>
          <w:spacing w:val="-6"/>
        </w:rPr>
        <w:t> </w:t>
      </w:r>
      <w:r>
        <w:rPr/>
        <w:t>atuais</w:t>
      </w:r>
      <w:r>
        <w:rPr>
          <w:spacing w:val="-6"/>
        </w:rPr>
        <w:t> </w:t>
      </w:r>
      <w:r>
        <w:rPr/>
        <w:t>de</w:t>
      </w:r>
      <w:r>
        <w:rPr>
          <w:spacing w:val="-14"/>
        </w:rPr>
        <w:t> </w:t>
      </w:r>
      <w:r>
        <w:rPr/>
        <w:t>cirurgia</w:t>
      </w:r>
      <w:r>
        <w:rPr>
          <w:spacing w:val="-14"/>
        </w:rPr>
        <w:t> </w:t>
      </w:r>
      <w:r>
        <w:rPr/>
        <w:t>de</w:t>
      </w:r>
      <w:r>
        <w:rPr>
          <w:spacing w:val="-15"/>
        </w:rPr>
        <w:t> </w:t>
      </w:r>
      <w:r>
        <w:rPr/>
        <w:t>emergência</w:t>
      </w:r>
      <w:r>
        <w:rPr>
          <w:spacing w:val="-14"/>
        </w:rPr>
        <w:t> </w:t>
      </w:r>
      <w:r>
        <w:rPr/>
        <w:t>em</w:t>
      </w:r>
      <w:r>
        <w:rPr>
          <w:spacing w:val="-12"/>
        </w:rPr>
        <w:t> </w:t>
      </w:r>
      <w:r>
        <w:rPr/>
        <w:t>pacientes</w:t>
      </w:r>
      <w:r>
        <w:rPr>
          <w:spacing w:val="-6"/>
        </w:rPr>
        <w:t> </w:t>
      </w:r>
      <w:r>
        <w:rPr/>
        <w:t>com</w:t>
      </w:r>
      <w:r>
        <w:rPr>
          <w:spacing w:val="-13"/>
        </w:rPr>
        <w:t> </w:t>
      </w:r>
      <w:r>
        <w:rPr/>
        <w:t>IAM</w:t>
      </w:r>
      <w:r>
        <w:rPr>
          <w:spacing w:val="-7"/>
        </w:rPr>
        <w:t> </w:t>
      </w:r>
      <w:r>
        <w:rPr>
          <w:spacing w:val="-4"/>
        </w:rPr>
        <w:t>são:</w:t>
      </w:r>
    </w:p>
    <w:p>
      <w:pPr>
        <w:pStyle w:val="ListParagraph"/>
        <w:numPr>
          <w:ilvl w:val="0"/>
          <w:numId w:val="18"/>
        </w:numPr>
        <w:tabs>
          <w:tab w:pos="397" w:val="left" w:leader="none"/>
        </w:tabs>
        <w:spacing w:line="240" w:lineRule="auto" w:before="200" w:after="0"/>
        <w:ind w:left="397" w:right="0" w:hanging="329"/>
        <w:jc w:val="left"/>
        <w:rPr>
          <w:sz w:val="23"/>
        </w:rPr>
      </w:pPr>
      <w:r>
        <w:rPr>
          <w:sz w:val="23"/>
        </w:rPr>
        <w:t>Insuficiência</w:t>
      </w:r>
      <w:r>
        <w:rPr>
          <w:spacing w:val="-12"/>
          <w:sz w:val="23"/>
        </w:rPr>
        <w:t> </w:t>
      </w:r>
      <w:r>
        <w:rPr>
          <w:sz w:val="23"/>
        </w:rPr>
        <w:t>mitral</w:t>
      </w:r>
      <w:r>
        <w:rPr>
          <w:spacing w:val="-5"/>
          <w:sz w:val="23"/>
        </w:rPr>
        <w:t> </w:t>
      </w:r>
      <w:r>
        <w:rPr>
          <w:sz w:val="23"/>
        </w:rPr>
        <w:t>aguda</w:t>
      </w:r>
      <w:r>
        <w:rPr>
          <w:spacing w:val="-9"/>
          <w:sz w:val="23"/>
        </w:rPr>
        <w:t> </w:t>
      </w:r>
      <w:r>
        <w:rPr>
          <w:sz w:val="23"/>
        </w:rPr>
        <w:t>(por</w:t>
      </w:r>
      <w:r>
        <w:rPr>
          <w:spacing w:val="-2"/>
          <w:sz w:val="23"/>
        </w:rPr>
        <w:t> </w:t>
      </w:r>
      <w:r>
        <w:rPr>
          <w:sz w:val="23"/>
        </w:rPr>
        <w:t>isquemia</w:t>
      </w:r>
      <w:r>
        <w:rPr>
          <w:spacing w:val="-10"/>
          <w:sz w:val="23"/>
        </w:rPr>
        <w:t> </w:t>
      </w:r>
      <w:r>
        <w:rPr>
          <w:sz w:val="23"/>
        </w:rPr>
        <w:t>ou</w:t>
      </w:r>
      <w:r>
        <w:rPr>
          <w:spacing w:val="-7"/>
          <w:sz w:val="23"/>
        </w:rPr>
        <w:t> </w:t>
      </w:r>
      <w:r>
        <w:rPr>
          <w:sz w:val="23"/>
        </w:rPr>
        <w:t>ruptura</w:t>
      </w:r>
      <w:r>
        <w:rPr>
          <w:spacing w:val="-10"/>
          <w:sz w:val="23"/>
        </w:rPr>
        <w:t> </w:t>
      </w:r>
      <w:r>
        <w:rPr>
          <w:sz w:val="23"/>
        </w:rPr>
        <w:t>de</w:t>
      </w:r>
      <w:r>
        <w:rPr>
          <w:spacing w:val="-9"/>
          <w:sz w:val="23"/>
        </w:rPr>
        <w:t> </w:t>
      </w:r>
      <w:r>
        <w:rPr>
          <w:spacing w:val="-2"/>
          <w:sz w:val="23"/>
        </w:rPr>
        <w:t>cordoalha)</w:t>
      </w:r>
    </w:p>
    <w:p>
      <w:pPr>
        <w:pStyle w:val="ListParagraph"/>
        <w:numPr>
          <w:ilvl w:val="0"/>
          <w:numId w:val="18"/>
        </w:numPr>
        <w:tabs>
          <w:tab w:pos="397" w:val="left" w:leader="none"/>
        </w:tabs>
        <w:spacing w:line="240" w:lineRule="auto" w:before="72" w:after="0"/>
        <w:ind w:left="397" w:right="0" w:hanging="329"/>
        <w:jc w:val="left"/>
        <w:rPr>
          <w:sz w:val="23"/>
        </w:rPr>
      </w:pPr>
      <w:r>
        <w:rPr>
          <w:spacing w:val="-4"/>
          <w:sz w:val="23"/>
        </w:rPr>
        <w:t>Comunicação</w:t>
      </w:r>
      <w:r>
        <w:rPr>
          <w:spacing w:val="9"/>
          <w:sz w:val="23"/>
        </w:rPr>
        <w:t> </w:t>
      </w:r>
      <w:r>
        <w:rPr>
          <w:spacing w:val="-2"/>
          <w:sz w:val="23"/>
        </w:rPr>
        <w:t>interventricular</w:t>
      </w:r>
    </w:p>
    <w:p>
      <w:pPr>
        <w:pStyle w:val="ListParagraph"/>
        <w:numPr>
          <w:ilvl w:val="0"/>
          <w:numId w:val="18"/>
        </w:numPr>
        <w:tabs>
          <w:tab w:pos="397" w:val="left" w:leader="none"/>
        </w:tabs>
        <w:spacing w:line="240" w:lineRule="auto" w:before="56" w:after="0"/>
        <w:ind w:left="397" w:right="0" w:hanging="329"/>
        <w:jc w:val="left"/>
        <w:rPr>
          <w:sz w:val="23"/>
        </w:rPr>
      </w:pPr>
      <w:r>
        <w:rPr>
          <w:sz w:val="23"/>
        </w:rPr>
        <w:t>Ruptura</w:t>
      </w:r>
      <w:r>
        <w:rPr>
          <w:spacing w:val="-9"/>
          <w:sz w:val="23"/>
        </w:rPr>
        <w:t> </w:t>
      </w:r>
      <w:r>
        <w:rPr>
          <w:sz w:val="23"/>
        </w:rPr>
        <w:t>da</w:t>
      </w:r>
      <w:r>
        <w:rPr>
          <w:spacing w:val="-9"/>
          <w:sz w:val="23"/>
        </w:rPr>
        <w:t> </w:t>
      </w:r>
      <w:r>
        <w:rPr>
          <w:sz w:val="23"/>
        </w:rPr>
        <w:t>parede</w:t>
      </w:r>
      <w:r>
        <w:rPr>
          <w:spacing w:val="-8"/>
          <w:sz w:val="23"/>
        </w:rPr>
        <w:t> </w:t>
      </w:r>
      <w:r>
        <w:rPr>
          <w:spacing w:val="-2"/>
          <w:sz w:val="23"/>
        </w:rPr>
        <w:t>ventricular</w:t>
      </w:r>
    </w:p>
    <w:p>
      <w:pPr>
        <w:pStyle w:val="ListParagraph"/>
        <w:numPr>
          <w:ilvl w:val="0"/>
          <w:numId w:val="18"/>
        </w:numPr>
        <w:tabs>
          <w:tab w:pos="397" w:val="left" w:leader="none"/>
        </w:tabs>
        <w:spacing w:line="240" w:lineRule="auto" w:before="72" w:after="0"/>
        <w:ind w:left="397" w:right="0" w:hanging="329"/>
        <w:jc w:val="left"/>
        <w:rPr>
          <w:sz w:val="23"/>
        </w:rPr>
      </w:pPr>
      <w:r>
        <w:rPr>
          <w:sz w:val="23"/>
        </w:rPr>
        <w:t>Angina</w:t>
      </w:r>
      <w:r>
        <w:rPr>
          <w:spacing w:val="-15"/>
          <w:sz w:val="23"/>
        </w:rPr>
        <w:t> </w:t>
      </w:r>
      <w:r>
        <w:rPr>
          <w:sz w:val="23"/>
        </w:rPr>
        <w:t>pós-IAM</w:t>
      </w:r>
      <w:r>
        <w:rPr>
          <w:spacing w:val="-4"/>
          <w:sz w:val="23"/>
        </w:rPr>
        <w:t> </w:t>
      </w:r>
      <w:r>
        <w:rPr>
          <w:sz w:val="23"/>
        </w:rPr>
        <w:t>refratária</w:t>
      </w:r>
      <w:r>
        <w:rPr>
          <w:spacing w:val="-13"/>
          <w:sz w:val="23"/>
        </w:rPr>
        <w:t> </w:t>
      </w:r>
      <w:r>
        <w:rPr>
          <w:sz w:val="23"/>
        </w:rPr>
        <w:t>ao</w:t>
      </w:r>
      <w:r>
        <w:rPr>
          <w:spacing w:val="-9"/>
          <w:sz w:val="23"/>
        </w:rPr>
        <w:t> </w:t>
      </w:r>
      <w:r>
        <w:rPr>
          <w:sz w:val="23"/>
        </w:rPr>
        <w:t>tratamento</w:t>
      </w:r>
      <w:r>
        <w:rPr>
          <w:spacing w:val="-10"/>
          <w:sz w:val="23"/>
        </w:rPr>
        <w:t> </w:t>
      </w:r>
      <w:r>
        <w:rPr>
          <w:sz w:val="23"/>
        </w:rPr>
        <w:t>clínico</w:t>
      </w:r>
      <w:r>
        <w:rPr>
          <w:spacing w:val="-10"/>
          <w:sz w:val="23"/>
        </w:rPr>
        <w:t> </w:t>
      </w:r>
      <w:r>
        <w:rPr>
          <w:sz w:val="23"/>
        </w:rPr>
        <w:t>com</w:t>
      </w:r>
      <w:r>
        <w:rPr>
          <w:spacing w:val="-9"/>
          <w:sz w:val="23"/>
        </w:rPr>
        <w:t> </w:t>
      </w:r>
      <w:r>
        <w:rPr>
          <w:sz w:val="23"/>
        </w:rPr>
        <w:t>lesões</w:t>
      </w:r>
      <w:r>
        <w:rPr>
          <w:spacing w:val="-3"/>
          <w:sz w:val="23"/>
        </w:rPr>
        <w:t> </w:t>
      </w:r>
      <w:r>
        <w:rPr>
          <w:sz w:val="23"/>
        </w:rPr>
        <w:t>de</w:t>
      </w:r>
      <w:r>
        <w:rPr>
          <w:spacing w:val="-12"/>
          <w:sz w:val="23"/>
        </w:rPr>
        <w:t> </w:t>
      </w:r>
      <w:r>
        <w:rPr>
          <w:sz w:val="23"/>
        </w:rPr>
        <w:t>padrão</w:t>
      </w:r>
      <w:r>
        <w:rPr>
          <w:spacing w:val="-9"/>
          <w:sz w:val="23"/>
        </w:rPr>
        <w:t> </w:t>
      </w:r>
      <w:r>
        <w:rPr>
          <w:spacing w:val="-2"/>
          <w:sz w:val="23"/>
        </w:rPr>
        <w:t>cirúrgico.</w:t>
      </w:r>
    </w:p>
    <w:p>
      <w:pPr>
        <w:pStyle w:val="BodyText"/>
        <w:spacing w:before="225"/>
        <w:ind w:left="0" w:firstLine="0"/>
        <w:jc w:val="left"/>
      </w:pPr>
    </w:p>
    <w:p>
      <w:pPr>
        <w:pStyle w:val="Heading4"/>
      </w:pPr>
      <w:r>
        <w:rPr>
          <w:color w:val="242B67"/>
          <w:spacing w:val="-2"/>
        </w:rPr>
        <w:t>Prognóstico</w:t>
      </w:r>
    </w:p>
    <w:p>
      <w:pPr>
        <w:pStyle w:val="BodyText"/>
        <w:spacing w:line="276" w:lineRule="auto" w:before="131"/>
        <w:ind w:right="497"/>
      </w:pPr>
      <w:r>
        <w:rPr/>
        <w:t>O prognóstico de pacientes com SCA depende de vários fatores, como diabetes, função ventricular esquerda, idade, função</w:t>
      </w:r>
      <w:r>
        <w:rPr>
          <w:spacing w:val="-1"/>
        </w:rPr>
        <w:t> </w:t>
      </w:r>
      <w:r>
        <w:rPr/>
        <w:t>renal, entre</w:t>
      </w:r>
      <w:r>
        <w:rPr>
          <w:spacing w:val="-4"/>
        </w:rPr>
        <w:t> </w:t>
      </w:r>
      <w:r>
        <w:rPr/>
        <w:t>outros. No</w:t>
      </w:r>
      <w:r>
        <w:rPr>
          <w:spacing w:val="-1"/>
        </w:rPr>
        <w:t> </w:t>
      </w:r>
      <w:r>
        <w:rPr/>
        <w:t>entanto, o</w:t>
      </w:r>
      <w:r>
        <w:rPr>
          <w:spacing w:val="-1"/>
        </w:rPr>
        <w:t> </w:t>
      </w:r>
      <w:r>
        <w:rPr/>
        <w:t>principal fator corrigível é</w:t>
      </w:r>
      <w:r>
        <w:rPr>
          <w:spacing w:val="-4"/>
        </w:rPr>
        <w:t> </w:t>
      </w:r>
      <w:r>
        <w:rPr/>
        <w:t>muito</w:t>
      </w:r>
      <w:r>
        <w:rPr>
          <w:spacing w:val="-1"/>
        </w:rPr>
        <w:t> </w:t>
      </w:r>
      <w:r>
        <w:rPr/>
        <w:t>claro: tempo</w:t>
      </w:r>
      <w:r>
        <w:rPr>
          <w:spacing w:val="-1"/>
        </w:rPr>
        <w:t> </w:t>
      </w:r>
      <w:r>
        <w:rPr/>
        <w:t>entre</w:t>
      </w:r>
      <w:r>
        <w:rPr>
          <w:spacing w:val="-4"/>
        </w:rPr>
        <w:t> </w:t>
      </w:r>
      <w:r>
        <w:rPr/>
        <w:t>a</w:t>
      </w:r>
      <w:r>
        <w:rPr>
          <w:spacing w:val="-4"/>
        </w:rPr>
        <w:t> </w:t>
      </w:r>
      <w:r>
        <w:rPr/>
        <w:t>dor e</w:t>
      </w:r>
      <w:r>
        <w:rPr>
          <w:spacing w:val="-4"/>
        </w:rPr>
        <w:t> </w:t>
      </w:r>
      <w:r>
        <w:rPr/>
        <w:t>o</w:t>
      </w:r>
      <w:r>
        <w:rPr>
          <w:spacing w:val="-1"/>
        </w:rPr>
        <w:t> </w:t>
      </w:r>
      <w:r>
        <w:rPr/>
        <w:t>início do</w:t>
      </w:r>
      <w:r>
        <w:rPr>
          <w:spacing w:val="-4"/>
        </w:rPr>
        <w:t> </w:t>
      </w:r>
      <w:r>
        <w:rPr/>
        <w:t>tratamento</w:t>
      </w:r>
      <w:r>
        <w:rPr>
          <w:spacing w:val="-4"/>
        </w:rPr>
        <w:t> </w:t>
      </w:r>
      <w:r>
        <w:rPr/>
        <w:t>adequado. Assim, um</w:t>
      </w:r>
      <w:r>
        <w:rPr>
          <w:spacing w:val="-4"/>
        </w:rPr>
        <w:t> </w:t>
      </w:r>
      <w:r>
        <w:rPr/>
        <w:t>diagnóstico</w:t>
      </w:r>
      <w:r>
        <w:rPr>
          <w:spacing w:val="-4"/>
        </w:rPr>
        <w:t> </w:t>
      </w:r>
      <w:r>
        <w:rPr/>
        <w:t>rápido</w:t>
      </w:r>
      <w:r>
        <w:rPr>
          <w:spacing w:val="-4"/>
        </w:rPr>
        <w:t> </w:t>
      </w:r>
      <w:r>
        <w:rPr/>
        <w:t>e</w:t>
      </w:r>
      <w:r>
        <w:rPr>
          <w:spacing w:val="-7"/>
        </w:rPr>
        <w:t> </w:t>
      </w:r>
      <w:r>
        <w:rPr/>
        <w:t>o</w:t>
      </w:r>
      <w:r>
        <w:rPr>
          <w:spacing w:val="-4"/>
        </w:rPr>
        <w:t> </w:t>
      </w:r>
      <w:r>
        <w:rPr/>
        <w:t>tratamento</w:t>
      </w:r>
      <w:r>
        <w:rPr>
          <w:spacing w:val="-4"/>
        </w:rPr>
        <w:t> </w:t>
      </w:r>
      <w:r>
        <w:rPr/>
        <w:t>adequado</w:t>
      </w:r>
      <w:r>
        <w:rPr>
          <w:spacing w:val="-4"/>
        </w:rPr>
        <w:t> </w:t>
      </w:r>
      <w:r>
        <w:rPr/>
        <w:t>são</w:t>
      </w:r>
      <w:r>
        <w:rPr>
          <w:spacing w:val="-4"/>
        </w:rPr>
        <w:t> </w:t>
      </w:r>
      <w:r>
        <w:rPr/>
        <w:t>fundamentais para</w:t>
      </w:r>
      <w:r>
        <w:rPr>
          <w:spacing w:val="-7"/>
        </w:rPr>
        <w:t> </w:t>
      </w:r>
      <w:r>
        <w:rPr/>
        <w:t>se</w:t>
      </w:r>
      <w:r>
        <w:rPr>
          <w:spacing w:val="-7"/>
        </w:rPr>
        <w:t> </w:t>
      </w:r>
      <w:r>
        <w:rPr/>
        <w:t>reduzir a morbidade e a mortalidade dos pacientes com SCA e devem ser motivos de educação continuada entre todos os profissionais envolvidos em emergências.</w:t>
      </w:r>
    </w:p>
    <w:p>
      <w:pPr>
        <w:pStyle w:val="BodyText"/>
        <w:spacing w:after="0" w:line="276" w:lineRule="auto"/>
        <w:sectPr>
          <w:pgSz w:w="11900" w:h="16840"/>
          <w:pgMar w:top="220" w:bottom="280" w:left="566" w:right="141"/>
        </w:sectPr>
      </w:pPr>
    </w:p>
    <w:p>
      <w:pPr>
        <w:pStyle w:val="Heading1"/>
      </w:pPr>
      <w:r>
        <w:rPr>
          <w:color w:val="A26108"/>
        </w:rPr>
        <w:t>Capítulo</w:t>
      </w:r>
      <w:r>
        <w:rPr>
          <w:color w:val="A26108"/>
          <w:spacing w:val="24"/>
        </w:rPr>
        <w:t> </w:t>
      </w:r>
      <w:r>
        <w:rPr>
          <w:color w:val="A26108"/>
          <w:spacing w:val="-5"/>
        </w:rPr>
        <w:t>56</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01152">
                <wp:simplePos x="0" y="0"/>
                <wp:positionH relativeFrom="page">
                  <wp:posOffset>401543</wp:posOffset>
                </wp:positionH>
                <wp:positionV relativeFrom="paragraph">
                  <wp:posOffset>64325</wp:posOffset>
                </wp:positionV>
                <wp:extent cx="6753225" cy="1079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715328;mso-wrap-distance-left:0;mso-wrap-distance-right:0" id="docshape21" filled="true" fillcolor="#242b67" stroked="false">
                <v:fill type="solid"/>
                <w10:wrap type="topAndBottom"/>
              </v:rect>
            </w:pict>
          </mc:Fallback>
        </mc:AlternateContent>
      </w:r>
    </w:p>
    <w:p>
      <w:pPr>
        <w:pStyle w:val="Heading1"/>
        <w:spacing w:before="138"/>
      </w:pPr>
      <w:r>
        <w:rPr>
          <w:color w:val="A26108"/>
        </w:rPr>
        <w:t>Cardiopatia</w:t>
      </w:r>
      <w:r>
        <w:rPr>
          <w:color w:val="A26108"/>
          <w:spacing w:val="6"/>
        </w:rPr>
        <w:t> </w:t>
      </w:r>
      <w:r>
        <w:rPr>
          <w:color w:val="A26108"/>
        </w:rPr>
        <w:t>Isquêmica</w:t>
      </w:r>
      <w:r>
        <w:rPr>
          <w:color w:val="A26108"/>
          <w:spacing w:val="6"/>
        </w:rPr>
        <w:t> </w:t>
      </w:r>
      <w:r>
        <w:rPr>
          <w:color w:val="A26108"/>
          <w:spacing w:val="-2"/>
        </w:rPr>
        <w:t>Crônica</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01664">
                <wp:simplePos x="0" y="0"/>
                <wp:positionH relativeFrom="page">
                  <wp:posOffset>401543</wp:posOffset>
                </wp:positionH>
                <wp:positionV relativeFrom="paragraph">
                  <wp:posOffset>64503</wp:posOffset>
                </wp:positionV>
                <wp:extent cx="6753225" cy="1079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78985pt;width:531.731217pt;height:.8008pt;mso-position-horizontal-relative:page;mso-position-vertical-relative:paragraph;z-index:-15714816;mso-wrap-distance-left:0;mso-wrap-distance-right:0" id="docshape22" filled="true" fillcolor="#242b67" stroked="false">
                <v:fill type="solid"/>
                <w10:wrap type="topAndBottom"/>
              </v:rect>
            </w:pict>
          </mc:Fallback>
        </mc:AlternateContent>
      </w:r>
    </w:p>
    <w:p>
      <w:pPr>
        <w:spacing w:before="118"/>
        <w:ind w:left="68" w:right="0" w:firstLine="0"/>
        <w:jc w:val="left"/>
        <w:rPr>
          <w:rFonts w:ascii="Arial" w:hAnsi="Arial"/>
          <w:i/>
          <w:sz w:val="25"/>
        </w:rPr>
      </w:pPr>
      <w:r>
        <w:rPr>
          <w:rFonts w:ascii="Arial" w:hAnsi="Arial"/>
          <w:i/>
          <w:sz w:val="25"/>
        </w:rPr>
        <w:t>João</w:t>
      </w:r>
      <w:r>
        <w:rPr>
          <w:rFonts w:ascii="Arial" w:hAnsi="Arial"/>
          <w:i/>
          <w:spacing w:val="16"/>
          <w:sz w:val="25"/>
        </w:rPr>
        <w:t> </w:t>
      </w:r>
      <w:r>
        <w:rPr>
          <w:rFonts w:ascii="Arial" w:hAnsi="Arial"/>
          <w:i/>
          <w:sz w:val="25"/>
        </w:rPr>
        <w:t>Fernando</w:t>
      </w:r>
      <w:r>
        <w:rPr>
          <w:rFonts w:ascii="Arial" w:hAnsi="Arial"/>
          <w:i/>
          <w:spacing w:val="16"/>
          <w:sz w:val="25"/>
        </w:rPr>
        <w:t> </w:t>
      </w:r>
      <w:r>
        <w:rPr>
          <w:rFonts w:ascii="Arial" w:hAnsi="Arial"/>
          <w:i/>
          <w:sz w:val="25"/>
        </w:rPr>
        <w:t>Monteiro</w:t>
      </w:r>
      <w:r>
        <w:rPr>
          <w:rFonts w:ascii="Arial" w:hAnsi="Arial"/>
          <w:i/>
          <w:spacing w:val="16"/>
          <w:sz w:val="25"/>
        </w:rPr>
        <w:t> </w:t>
      </w:r>
      <w:r>
        <w:rPr>
          <w:rFonts w:ascii="Arial" w:hAnsi="Arial"/>
          <w:i/>
          <w:sz w:val="25"/>
        </w:rPr>
        <w:t>Ferreira,</w:t>
      </w:r>
      <w:r>
        <w:rPr>
          <w:rFonts w:ascii="Arial" w:hAnsi="Arial"/>
          <w:i/>
          <w:spacing w:val="17"/>
          <w:sz w:val="25"/>
        </w:rPr>
        <w:t> </w:t>
      </w:r>
      <w:r>
        <w:rPr>
          <w:rFonts w:ascii="Arial" w:hAnsi="Arial"/>
          <w:i/>
          <w:sz w:val="25"/>
        </w:rPr>
        <w:t>Miguel</w:t>
      </w:r>
      <w:r>
        <w:rPr>
          <w:rFonts w:ascii="Arial" w:hAnsi="Arial"/>
          <w:i/>
          <w:spacing w:val="16"/>
          <w:sz w:val="25"/>
        </w:rPr>
        <w:t> </w:t>
      </w:r>
      <w:r>
        <w:rPr>
          <w:rFonts w:ascii="Arial" w:hAnsi="Arial"/>
          <w:i/>
          <w:sz w:val="25"/>
        </w:rPr>
        <w:t>Antonio</w:t>
      </w:r>
      <w:r>
        <w:rPr>
          <w:rFonts w:ascii="Arial" w:hAnsi="Arial"/>
          <w:i/>
          <w:spacing w:val="16"/>
          <w:sz w:val="25"/>
        </w:rPr>
        <w:t> </w:t>
      </w:r>
      <w:r>
        <w:rPr>
          <w:rFonts w:ascii="Arial" w:hAnsi="Arial"/>
          <w:i/>
          <w:sz w:val="25"/>
        </w:rPr>
        <w:t>Moretti</w:t>
      </w:r>
      <w:r>
        <w:rPr>
          <w:rFonts w:ascii="Arial" w:hAnsi="Arial"/>
          <w:i/>
          <w:spacing w:val="16"/>
          <w:sz w:val="25"/>
        </w:rPr>
        <w:t> </w:t>
      </w:r>
      <w:r>
        <w:rPr>
          <w:rFonts w:ascii="Arial" w:hAnsi="Arial"/>
          <w:i/>
          <w:sz w:val="25"/>
        </w:rPr>
        <w:t>e</w:t>
      </w:r>
      <w:r>
        <w:rPr>
          <w:rFonts w:ascii="Arial" w:hAnsi="Arial"/>
          <w:i/>
          <w:spacing w:val="17"/>
          <w:sz w:val="25"/>
        </w:rPr>
        <w:t> </w:t>
      </w:r>
      <w:r>
        <w:rPr>
          <w:rFonts w:ascii="Arial" w:hAnsi="Arial"/>
          <w:i/>
          <w:sz w:val="25"/>
        </w:rPr>
        <w:t>Luiz</w:t>
      </w:r>
      <w:r>
        <w:rPr>
          <w:rFonts w:ascii="Arial" w:hAnsi="Arial"/>
          <w:i/>
          <w:spacing w:val="10"/>
          <w:sz w:val="25"/>
        </w:rPr>
        <w:t> </w:t>
      </w:r>
      <w:r>
        <w:rPr>
          <w:rFonts w:ascii="Arial" w:hAnsi="Arial"/>
          <w:i/>
          <w:sz w:val="25"/>
        </w:rPr>
        <w:t>Antonio</w:t>
      </w:r>
      <w:r>
        <w:rPr>
          <w:rFonts w:ascii="Arial" w:hAnsi="Arial"/>
          <w:i/>
          <w:spacing w:val="16"/>
          <w:sz w:val="25"/>
        </w:rPr>
        <w:t> </w:t>
      </w:r>
      <w:r>
        <w:rPr>
          <w:rFonts w:ascii="Arial" w:hAnsi="Arial"/>
          <w:i/>
          <w:sz w:val="25"/>
        </w:rPr>
        <w:t>Machado</w:t>
      </w:r>
      <w:r>
        <w:rPr>
          <w:rFonts w:ascii="Arial" w:hAnsi="Arial"/>
          <w:i/>
          <w:spacing w:val="17"/>
          <w:sz w:val="25"/>
        </w:rPr>
        <w:t> </w:t>
      </w:r>
      <w:r>
        <w:rPr>
          <w:rFonts w:ascii="Arial" w:hAnsi="Arial"/>
          <w:i/>
          <w:spacing w:val="-2"/>
          <w:sz w:val="25"/>
        </w:rPr>
        <w:t>César</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pPr>
      <w:r>
        <w:rPr>
          <w:color w:val="242B67"/>
          <w:spacing w:val="-2"/>
        </w:rPr>
        <w:t>Introdução</w:t>
      </w:r>
    </w:p>
    <w:p>
      <w:pPr>
        <w:pStyle w:val="BodyText"/>
        <w:spacing w:line="278" w:lineRule="auto" w:before="132"/>
        <w:ind w:right="491"/>
      </w:pPr>
      <w:r>
        <w:rPr/>
        <w:t>A</w:t>
      </w:r>
      <w:r>
        <w:rPr>
          <w:spacing w:val="-8"/>
        </w:rPr>
        <w:t> </w:t>
      </w:r>
      <w:r>
        <w:rPr/>
        <w:t>primeira</w:t>
      </w:r>
      <w:r>
        <w:rPr>
          <w:spacing w:val="-8"/>
        </w:rPr>
        <w:t> </w:t>
      </w:r>
      <w:r>
        <w:rPr/>
        <w:t>descrição</w:t>
      </w:r>
      <w:r>
        <w:rPr>
          <w:spacing w:val="-4"/>
        </w:rPr>
        <w:t> </w:t>
      </w:r>
      <w:r>
        <w:rPr/>
        <w:t>de</w:t>
      </w:r>
      <w:r>
        <w:rPr>
          <w:spacing w:val="-8"/>
        </w:rPr>
        <w:t> </w:t>
      </w:r>
      <w:r>
        <w:rPr/>
        <w:t>dor torácica</w:t>
      </w:r>
      <w:r>
        <w:rPr>
          <w:spacing w:val="-8"/>
        </w:rPr>
        <w:t> </w:t>
      </w:r>
      <w:r>
        <w:rPr/>
        <w:t>relacionada</w:t>
      </w:r>
      <w:r>
        <w:rPr>
          <w:spacing w:val="-8"/>
        </w:rPr>
        <w:t> </w:t>
      </w:r>
      <w:r>
        <w:rPr/>
        <w:t>com</w:t>
      </w:r>
      <w:r>
        <w:rPr>
          <w:spacing w:val="-5"/>
        </w:rPr>
        <w:t> </w:t>
      </w:r>
      <w:r>
        <w:rPr/>
        <w:t>o</w:t>
      </w:r>
      <w:r>
        <w:rPr>
          <w:spacing w:val="-4"/>
        </w:rPr>
        <w:t> </w:t>
      </w:r>
      <w:r>
        <w:rPr/>
        <w:t>termo</w:t>
      </w:r>
      <w:r>
        <w:rPr>
          <w:spacing w:val="-4"/>
        </w:rPr>
        <w:t> </w:t>
      </w:r>
      <w:r>
        <w:rPr/>
        <w:t>angina</w:t>
      </w:r>
      <w:r>
        <w:rPr>
          <w:spacing w:val="-8"/>
        </w:rPr>
        <w:t> </w:t>
      </w:r>
      <w:r>
        <w:rPr/>
        <w:t>de</w:t>
      </w:r>
      <w:r>
        <w:rPr>
          <w:spacing w:val="-8"/>
        </w:rPr>
        <w:t> </w:t>
      </w:r>
      <w:r>
        <w:rPr/>
        <w:t>peito</w:t>
      </w:r>
      <w:r>
        <w:rPr>
          <w:spacing w:val="-4"/>
        </w:rPr>
        <w:t> </w:t>
      </w:r>
      <w:r>
        <w:rPr/>
        <w:t>foi</w:t>
      </w:r>
      <w:r>
        <w:rPr>
          <w:spacing w:val="-2"/>
        </w:rPr>
        <w:t> </w:t>
      </w:r>
      <w:r>
        <w:rPr/>
        <w:t>feita</w:t>
      </w:r>
      <w:r>
        <w:rPr>
          <w:spacing w:val="-8"/>
        </w:rPr>
        <w:t> </w:t>
      </w:r>
      <w:r>
        <w:rPr/>
        <w:t>por Willian</w:t>
      </w:r>
      <w:r>
        <w:rPr>
          <w:spacing w:val="-4"/>
        </w:rPr>
        <w:t> </w:t>
      </w:r>
      <w:r>
        <w:rPr/>
        <w:t>Heberden</w:t>
      </w:r>
      <w:r>
        <w:rPr>
          <w:spacing w:val="-4"/>
        </w:rPr>
        <w:t> </w:t>
      </w:r>
      <w:r>
        <w:rPr/>
        <w:t>em conferência realizada na cidade de Londres em 1768. Iniciou-se, a partir de então, uma longa caminhada para o desenvolvimento do conhecimento dessa doença, desde a identificação de fatores desencadeantes por John Hunter (1794), ao relatar que a angina poderia ser deflagrada por emoções, seguido por Edward Jenner e Caleb Parry (1822), ao estabelecerem como etiologia a doença das artérias coronárias, e chegando a Allan Burns (1964), que levantou a possibilidade de que obstruções e espasmo coronário alteram o fluxo para o miocárdio, promovendo a angina de peito. Atualmente, com a aquisição de inúmeros métodos, como eletrocardiografia, coronariografia e outros exames de</w:t>
      </w:r>
      <w:r>
        <w:rPr>
          <w:spacing w:val="-2"/>
        </w:rPr>
        <w:t> </w:t>
      </w:r>
      <w:r>
        <w:rPr/>
        <w:t>imagem disponíveis, chegou-se</w:t>
      </w:r>
      <w:r>
        <w:rPr>
          <w:spacing w:val="-2"/>
        </w:rPr>
        <w:t> </w:t>
      </w:r>
      <w:r>
        <w:rPr/>
        <w:t>a</w:t>
      </w:r>
      <w:r>
        <w:rPr>
          <w:spacing w:val="-2"/>
        </w:rPr>
        <w:t> </w:t>
      </w:r>
      <w:r>
        <w:rPr/>
        <w:t>um avançado grau de</w:t>
      </w:r>
      <w:r>
        <w:rPr>
          <w:spacing w:val="-2"/>
        </w:rPr>
        <w:t> </w:t>
      </w:r>
      <w:r>
        <w:rPr/>
        <w:t>conhecimento sobre</w:t>
      </w:r>
      <w:r>
        <w:rPr>
          <w:spacing w:val="-2"/>
        </w:rPr>
        <w:t> </w:t>
      </w:r>
      <w:r>
        <w:rPr/>
        <w:t>a</w:t>
      </w:r>
      <w:r>
        <w:rPr>
          <w:spacing w:val="-2"/>
        </w:rPr>
        <w:t> </w:t>
      </w:r>
      <w:r>
        <w:rPr/>
        <w:t>doença</w:t>
      </w:r>
      <w:r>
        <w:rPr>
          <w:spacing w:val="-2"/>
        </w:rPr>
        <w:t> </w:t>
      </w:r>
      <w:r>
        <w:rPr/>
        <w:t>coronária</w:t>
      </w:r>
      <w:r>
        <w:rPr>
          <w:spacing w:val="-2"/>
        </w:rPr>
        <w:t> </w:t>
      </w:r>
      <w:r>
        <w:rPr/>
        <w:t>e sua principal apresentação, a insuficiência coronariana.</w:t>
      </w:r>
      <w:r>
        <w:rPr>
          <w:vertAlign w:val="superscript"/>
        </w:rPr>
        <w:t>1</w:t>
      </w:r>
    </w:p>
    <w:p>
      <w:pPr>
        <w:pStyle w:val="BodyText"/>
        <w:spacing w:line="280" w:lineRule="auto" w:before="58"/>
        <w:ind w:right="491"/>
      </w:pPr>
      <w:r>
        <w:rPr/>
        <w:t>A</w:t>
      </w:r>
      <w:r>
        <w:rPr>
          <w:spacing w:val="-7"/>
        </w:rPr>
        <w:t> </w:t>
      </w:r>
      <w:r>
        <w:rPr/>
        <w:t>doença</w:t>
      </w:r>
      <w:r>
        <w:rPr>
          <w:spacing w:val="-7"/>
        </w:rPr>
        <w:t> </w:t>
      </w:r>
      <w:r>
        <w:rPr/>
        <w:t>isquêmica</w:t>
      </w:r>
      <w:r>
        <w:rPr>
          <w:spacing w:val="-7"/>
        </w:rPr>
        <w:t> </w:t>
      </w:r>
      <w:r>
        <w:rPr/>
        <w:t>cardíaca</w:t>
      </w:r>
      <w:r>
        <w:rPr>
          <w:spacing w:val="-7"/>
        </w:rPr>
        <w:t> </w:t>
      </w:r>
      <w:r>
        <w:rPr/>
        <w:t>e</w:t>
      </w:r>
      <w:r>
        <w:rPr>
          <w:spacing w:val="-7"/>
        </w:rPr>
        <w:t> </w:t>
      </w:r>
      <w:r>
        <w:rPr/>
        <w:t>demais doenças cardiovasculares de</w:t>
      </w:r>
      <w:r>
        <w:rPr>
          <w:spacing w:val="-7"/>
        </w:rPr>
        <w:t> </w:t>
      </w:r>
      <w:r>
        <w:rPr/>
        <w:t>origem</w:t>
      </w:r>
      <w:r>
        <w:rPr>
          <w:spacing w:val="-4"/>
        </w:rPr>
        <w:t> </w:t>
      </w:r>
      <w:r>
        <w:rPr/>
        <w:t>aterosclerótica</w:t>
      </w:r>
      <w:r>
        <w:rPr>
          <w:spacing w:val="-7"/>
        </w:rPr>
        <w:t> </w:t>
      </w:r>
      <w:r>
        <w:rPr/>
        <w:t>são</w:t>
      </w:r>
      <w:r>
        <w:rPr>
          <w:spacing w:val="-4"/>
        </w:rPr>
        <w:t> </w:t>
      </w:r>
      <w:r>
        <w:rPr/>
        <w:t>consideradas um dos maiores problemas de</w:t>
      </w:r>
      <w:r>
        <w:rPr>
          <w:spacing w:val="-8"/>
        </w:rPr>
        <w:t> </w:t>
      </w:r>
      <w:r>
        <w:rPr/>
        <w:t>saúde</w:t>
      </w:r>
      <w:r>
        <w:rPr>
          <w:spacing w:val="-8"/>
        </w:rPr>
        <w:t> </w:t>
      </w:r>
      <w:r>
        <w:rPr/>
        <w:t>no</w:t>
      </w:r>
      <w:r>
        <w:rPr>
          <w:spacing w:val="-5"/>
        </w:rPr>
        <w:t> </w:t>
      </w:r>
      <w:r>
        <w:rPr/>
        <w:t>Brasil</w:t>
      </w:r>
      <w:r>
        <w:rPr>
          <w:spacing w:val="-3"/>
        </w:rPr>
        <w:t> </w:t>
      </w:r>
      <w:r>
        <w:rPr/>
        <w:t>e</w:t>
      </w:r>
      <w:r>
        <w:rPr>
          <w:spacing w:val="-8"/>
        </w:rPr>
        <w:t> </w:t>
      </w:r>
      <w:r>
        <w:rPr/>
        <w:t>no</w:t>
      </w:r>
      <w:r>
        <w:rPr>
          <w:spacing w:val="-5"/>
        </w:rPr>
        <w:t> </w:t>
      </w:r>
      <w:r>
        <w:rPr/>
        <w:t>mundo, sendo</w:t>
      </w:r>
      <w:r>
        <w:rPr>
          <w:spacing w:val="-5"/>
        </w:rPr>
        <w:t> </w:t>
      </w:r>
      <w:r>
        <w:rPr/>
        <w:t>a</w:t>
      </w:r>
      <w:r>
        <w:rPr>
          <w:spacing w:val="-8"/>
        </w:rPr>
        <w:t> </w:t>
      </w:r>
      <w:r>
        <w:rPr/>
        <w:t>principal</w:t>
      </w:r>
      <w:r>
        <w:rPr>
          <w:spacing w:val="-3"/>
        </w:rPr>
        <w:t> </w:t>
      </w:r>
      <w:r>
        <w:rPr/>
        <w:t>causa</w:t>
      </w:r>
      <w:r>
        <w:rPr>
          <w:spacing w:val="-8"/>
        </w:rPr>
        <w:t> </w:t>
      </w:r>
      <w:r>
        <w:rPr/>
        <w:t>de</w:t>
      </w:r>
      <w:r>
        <w:rPr>
          <w:spacing w:val="-8"/>
        </w:rPr>
        <w:t> </w:t>
      </w:r>
      <w:r>
        <w:rPr/>
        <w:t>morte</w:t>
      </w:r>
      <w:r>
        <w:rPr>
          <w:spacing w:val="-8"/>
        </w:rPr>
        <w:t> </w:t>
      </w:r>
      <w:r>
        <w:rPr/>
        <w:t>e</w:t>
      </w:r>
      <w:r>
        <w:rPr>
          <w:spacing w:val="-8"/>
        </w:rPr>
        <w:t> </w:t>
      </w:r>
      <w:r>
        <w:rPr/>
        <w:t>invalidez. As doenças do aparelho circulatório representam 32% das causas de morte no Brasil, sendo 28% na cidade de São Paulo.</w:t>
      </w:r>
      <w:r>
        <w:rPr>
          <w:vertAlign w:val="superscript"/>
        </w:rPr>
        <w:t>2,3</w:t>
      </w:r>
      <w:r>
        <w:rPr>
          <w:vertAlign w:val="baseline"/>
        </w:rPr>
        <w:t> Nos EUA, dentre todas as causas, estima-se em 40,6% a morte por doença cardiovascular, com mais de 12 milhões de portadores de doença coronária isquêmica.</w:t>
      </w:r>
      <w:r>
        <w:rPr>
          <w:vertAlign w:val="superscript"/>
        </w:rPr>
        <w:t>4</w:t>
      </w:r>
      <w:r>
        <w:rPr>
          <w:vertAlign w:val="baseline"/>
        </w:rPr>
        <w:t> Compreende-se, portanto, a importância do entendimento da doença coronária e suas apresentações, na busca de sua identificação e instituição de tratamento.</w:t>
      </w:r>
    </w:p>
    <w:p>
      <w:pPr>
        <w:pStyle w:val="BodyText"/>
        <w:spacing w:before="186"/>
        <w:ind w:left="0" w:firstLine="0"/>
        <w:jc w:val="left"/>
      </w:pPr>
    </w:p>
    <w:p>
      <w:pPr>
        <w:pStyle w:val="Heading4"/>
      </w:pPr>
      <w:r>
        <w:rPr>
          <w:color w:val="242B67"/>
        </w:rPr>
        <w:t>Anatomia e </w:t>
      </w:r>
      <w:r>
        <w:rPr>
          <w:color w:val="242B67"/>
          <w:spacing w:val="-2"/>
        </w:rPr>
        <w:t>fisiologia</w:t>
      </w:r>
    </w:p>
    <w:p>
      <w:pPr>
        <w:pStyle w:val="BodyText"/>
        <w:spacing w:line="276" w:lineRule="auto" w:before="132"/>
        <w:ind w:right="491"/>
      </w:pPr>
      <w:r>
        <w:rPr/>
        <w:t>O coração é um órgão aeróbico, obtendo sua energia quase que exclusivamente da oxidação, de modo que o aporte de oxigênio é crucial para a manutenção do metabolismo basal e da atividade contrátil e elétrica das células miocárdicas. O coração, ao utilizar-se do metabolismo aeróbico, extrai e utiliza a maioria do oxigênio contido no suprimento de sangue trazido pelas artérias coronárias, sendo que um aumento do consumo de oxigênio pelo miocárdio resulta em um aumento proporcional do fluxo sanguíneo coronário, que, controlado por vários fatores, possibilita aumentar em até seis vezes o fluxo de repouso, advindo o conceito de reserva coronária, ou seja, a capacidade</w:t>
      </w:r>
      <w:r>
        <w:rPr>
          <w:spacing w:val="-4"/>
        </w:rPr>
        <w:t> </w:t>
      </w:r>
      <w:r>
        <w:rPr/>
        <w:t>de</w:t>
      </w:r>
      <w:r>
        <w:rPr>
          <w:spacing w:val="-4"/>
        </w:rPr>
        <w:t> </w:t>
      </w:r>
      <w:r>
        <w:rPr/>
        <w:t>se</w:t>
      </w:r>
      <w:r>
        <w:rPr>
          <w:spacing w:val="-4"/>
        </w:rPr>
        <w:t> </w:t>
      </w:r>
      <w:r>
        <w:rPr/>
        <w:t>prover oxigenação</w:t>
      </w:r>
      <w:r>
        <w:rPr>
          <w:spacing w:val="-2"/>
        </w:rPr>
        <w:t> </w:t>
      </w:r>
      <w:r>
        <w:rPr/>
        <w:t>adicional ao</w:t>
      </w:r>
      <w:r>
        <w:rPr>
          <w:spacing w:val="-2"/>
        </w:rPr>
        <w:t> </w:t>
      </w:r>
      <w:r>
        <w:rPr/>
        <w:t>miocárdio</w:t>
      </w:r>
      <w:r>
        <w:rPr>
          <w:spacing w:val="-2"/>
        </w:rPr>
        <w:t> </w:t>
      </w:r>
      <w:r>
        <w:rPr/>
        <w:t>frente</w:t>
      </w:r>
      <w:r>
        <w:rPr>
          <w:spacing w:val="-4"/>
        </w:rPr>
        <w:t> </w:t>
      </w:r>
      <w:r>
        <w:rPr/>
        <w:t>ao</w:t>
      </w:r>
      <w:r>
        <w:rPr>
          <w:spacing w:val="-2"/>
        </w:rPr>
        <w:t> </w:t>
      </w:r>
      <w:r>
        <w:rPr/>
        <w:t>aumento</w:t>
      </w:r>
      <w:r>
        <w:rPr>
          <w:spacing w:val="-2"/>
        </w:rPr>
        <w:t> </w:t>
      </w:r>
      <w:r>
        <w:rPr/>
        <w:t>de</w:t>
      </w:r>
      <w:r>
        <w:rPr>
          <w:spacing w:val="-4"/>
        </w:rPr>
        <w:t> </w:t>
      </w:r>
      <w:r>
        <w:rPr/>
        <w:t>consumo.</w:t>
      </w:r>
    </w:p>
    <w:p>
      <w:pPr>
        <w:pStyle w:val="BodyText"/>
        <w:spacing w:line="290" w:lineRule="auto"/>
        <w:ind w:right="500"/>
      </w:pPr>
      <w:r>
        <w:rPr/>
        <w:t>Vários</w:t>
      </w:r>
      <w:r>
        <w:rPr>
          <w:spacing w:val="-1"/>
        </w:rPr>
        <w:t> </w:t>
      </w:r>
      <w:r>
        <w:rPr/>
        <w:t>são</w:t>
      </w:r>
      <w:r>
        <w:rPr>
          <w:spacing w:val="-8"/>
        </w:rPr>
        <w:t> </w:t>
      </w:r>
      <w:r>
        <w:rPr/>
        <w:t>os</w:t>
      </w:r>
      <w:r>
        <w:rPr>
          <w:spacing w:val="-1"/>
        </w:rPr>
        <w:t> </w:t>
      </w:r>
      <w:r>
        <w:rPr/>
        <w:t>fatores</w:t>
      </w:r>
      <w:r>
        <w:rPr>
          <w:spacing w:val="-1"/>
        </w:rPr>
        <w:t> </w:t>
      </w:r>
      <w:r>
        <w:rPr/>
        <w:t>que</w:t>
      </w:r>
      <w:r>
        <w:rPr>
          <w:spacing w:val="-10"/>
        </w:rPr>
        <w:t> </w:t>
      </w:r>
      <w:r>
        <w:rPr/>
        <w:t>influenciam</w:t>
      </w:r>
      <w:r>
        <w:rPr>
          <w:spacing w:val="-8"/>
        </w:rPr>
        <w:t> </w:t>
      </w:r>
      <w:r>
        <w:rPr/>
        <w:t>o</w:t>
      </w:r>
      <w:r>
        <w:rPr>
          <w:spacing w:val="-8"/>
        </w:rPr>
        <w:t> </w:t>
      </w:r>
      <w:r>
        <w:rPr/>
        <w:t>fluxo</w:t>
      </w:r>
      <w:r>
        <w:rPr>
          <w:spacing w:val="-8"/>
        </w:rPr>
        <w:t> </w:t>
      </w:r>
      <w:r>
        <w:rPr/>
        <w:t>sanguíneo</w:t>
      </w:r>
      <w:r>
        <w:rPr>
          <w:spacing w:val="-8"/>
        </w:rPr>
        <w:t> </w:t>
      </w:r>
      <w:r>
        <w:rPr/>
        <w:t>coronário</w:t>
      </w:r>
      <w:r>
        <w:rPr>
          <w:spacing w:val="-8"/>
        </w:rPr>
        <w:t> </w:t>
      </w:r>
      <w:r>
        <w:rPr/>
        <w:t>–</w:t>
      </w:r>
      <w:r>
        <w:rPr>
          <w:spacing w:val="-8"/>
        </w:rPr>
        <w:t> </w:t>
      </w:r>
      <w:r>
        <w:rPr/>
        <w:t>anatômicos,</w:t>
      </w:r>
      <w:r>
        <w:rPr>
          <w:spacing w:val="-1"/>
        </w:rPr>
        <w:t> </w:t>
      </w:r>
      <w:r>
        <w:rPr/>
        <w:t>físicos,</w:t>
      </w:r>
      <w:r>
        <w:rPr>
          <w:spacing w:val="-1"/>
        </w:rPr>
        <w:t> </w:t>
      </w:r>
      <w:r>
        <w:rPr/>
        <w:t>metabólicos,</w:t>
      </w:r>
      <w:r>
        <w:rPr>
          <w:spacing w:val="-1"/>
        </w:rPr>
        <w:t> </w:t>
      </w:r>
      <w:r>
        <w:rPr/>
        <w:t>humorais e</w:t>
      </w:r>
      <w:r>
        <w:rPr>
          <w:spacing w:val="-1"/>
        </w:rPr>
        <w:t> </w:t>
      </w:r>
      <w:r>
        <w:rPr/>
        <w:t>neurais – com o objetivo de</w:t>
      </w:r>
      <w:r>
        <w:rPr>
          <w:spacing w:val="-1"/>
        </w:rPr>
        <w:t> </w:t>
      </w:r>
      <w:r>
        <w:rPr/>
        <w:t>garantir o suprimento das necessidades de</w:t>
      </w:r>
      <w:r>
        <w:rPr>
          <w:spacing w:val="-1"/>
        </w:rPr>
        <w:t> </w:t>
      </w:r>
      <w:r>
        <w:rPr/>
        <w:t>oxigênio do miocárdio.</w:t>
      </w:r>
      <w:r>
        <w:rPr>
          <w:vertAlign w:val="superscript"/>
        </w:rPr>
        <w:t>5</w:t>
      </w:r>
    </w:p>
    <w:p>
      <w:pPr>
        <w:pStyle w:val="BodyText"/>
        <w:spacing w:before="118"/>
        <w:ind w:left="0" w:firstLine="0"/>
        <w:jc w:val="left"/>
      </w:pPr>
    </w:p>
    <w:p>
      <w:pPr>
        <w:pStyle w:val="Heading5"/>
      </w:pPr>
      <w:r>
        <w:rPr>
          <w:color w:val="A26108"/>
          <w:spacing w:val="-2"/>
        </w:rPr>
        <w:t>Anatomia</w:t>
      </w:r>
    </w:p>
    <w:p>
      <w:pPr>
        <w:pStyle w:val="BodyText"/>
        <w:spacing w:line="276" w:lineRule="auto" w:before="138"/>
        <w:ind w:right="498"/>
      </w:pPr>
      <w:r>
        <w:rPr/>
        <w:t>O sangue oxigenado afeta as células miocárdicas por um fluxo que ocorre por meio de um conjunto de vasos sanguíneos específicos, chamados de</w:t>
      </w:r>
      <w:r>
        <w:rPr>
          <w:spacing w:val="-4"/>
        </w:rPr>
        <w:t> </w:t>
      </w:r>
      <w:r>
        <w:rPr/>
        <w:t>artérias e</w:t>
      </w:r>
      <w:r>
        <w:rPr>
          <w:spacing w:val="-4"/>
        </w:rPr>
        <w:t> </w:t>
      </w:r>
      <w:r>
        <w:rPr/>
        <w:t>veias coronárias, distribuídas de</w:t>
      </w:r>
      <w:r>
        <w:rPr>
          <w:spacing w:val="-4"/>
        </w:rPr>
        <w:t> </w:t>
      </w:r>
      <w:r>
        <w:rPr/>
        <w:t>modo</w:t>
      </w:r>
      <w:r>
        <w:rPr>
          <w:spacing w:val="-1"/>
        </w:rPr>
        <w:t> </w:t>
      </w:r>
      <w:r>
        <w:rPr/>
        <w:t>a</w:t>
      </w:r>
      <w:r>
        <w:rPr>
          <w:spacing w:val="-4"/>
        </w:rPr>
        <w:t> </w:t>
      </w:r>
      <w:r>
        <w:rPr/>
        <w:t>irrigar todos os territórios. Apesar</w:t>
      </w:r>
      <w:r>
        <w:rPr>
          <w:spacing w:val="-8"/>
        </w:rPr>
        <w:t> </w:t>
      </w:r>
      <w:r>
        <w:rPr/>
        <w:t>de</w:t>
      </w:r>
      <w:r>
        <w:rPr>
          <w:spacing w:val="-15"/>
        </w:rPr>
        <w:t> </w:t>
      </w:r>
      <w:r>
        <w:rPr/>
        <w:t>existirem</w:t>
      </w:r>
      <w:r>
        <w:rPr>
          <w:spacing w:val="-12"/>
        </w:rPr>
        <w:t> </w:t>
      </w:r>
      <w:r>
        <w:rPr/>
        <w:t>diferenças</w:t>
      </w:r>
      <w:r>
        <w:rPr>
          <w:spacing w:val="-5"/>
        </w:rPr>
        <w:t> </w:t>
      </w:r>
      <w:r>
        <w:rPr/>
        <w:t>anatômicas</w:t>
      </w:r>
      <w:r>
        <w:rPr>
          <w:spacing w:val="-5"/>
        </w:rPr>
        <w:t> </w:t>
      </w:r>
      <w:r>
        <w:rPr/>
        <w:t>individuais,</w:t>
      </w:r>
      <w:r>
        <w:rPr>
          <w:spacing w:val="-5"/>
        </w:rPr>
        <w:t> </w:t>
      </w:r>
      <w:r>
        <w:rPr/>
        <w:t>podemos</w:t>
      </w:r>
      <w:r>
        <w:rPr>
          <w:spacing w:val="-5"/>
        </w:rPr>
        <w:t> </w:t>
      </w:r>
      <w:r>
        <w:rPr/>
        <w:t>proceder</w:t>
      </w:r>
      <w:r>
        <w:rPr>
          <w:spacing w:val="-8"/>
        </w:rPr>
        <w:t> </w:t>
      </w:r>
      <w:r>
        <w:rPr/>
        <w:t>a</w:t>
      </w:r>
      <w:r>
        <w:rPr>
          <w:spacing w:val="-15"/>
        </w:rPr>
        <w:t> </w:t>
      </w:r>
      <w:r>
        <w:rPr/>
        <w:t>uma</w:t>
      </w:r>
      <w:r>
        <w:rPr>
          <w:spacing w:val="-14"/>
        </w:rPr>
        <w:t> </w:t>
      </w:r>
      <w:r>
        <w:rPr/>
        <w:t>descrição</w:t>
      </w:r>
      <w:r>
        <w:rPr>
          <w:spacing w:val="-12"/>
        </w:rPr>
        <w:t> </w:t>
      </w:r>
      <w:r>
        <w:rPr/>
        <w:t>padronizada</w:t>
      </w:r>
      <w:r>
        <w:rPr>
          <w:spacing w:val="-15"/>
        </w:rPr>
        <w:t> </w:t>
      </w:r>
      <w:r>
        <w:rPr/>
        <w:t>da</w:t>
      </w:r>
      <w:r>
        <w:rPr>
          <w:spacing w:val="-14"/>
        </w:rPr>
        <w:t> </w:t>
      </w:r>
      <w:r>
        <w:rPr/>
        <w:t>anatomia coronária. Existem dois óstios na raiz de aorta dando origem à coronária direita e à esquerda. Essas artérias inicialmente têm um percurso epicárdico, ou seja, sobre a superfície do coração, para a seguir penetrarem no miocárdio e assumirem um percurso intramiocárdico.</w:t>
      </w:r>
    </w:p>
    <w:p>
      <w:pPr>
        <w:pStyle w:val="BodyText"/>
        <w:spacing w:line="276" w:lineRule="auto" w:before="49"/>
        <w:ind w:right="488"/>
      </w:pPr>
      <w:r>
        <w:rPr/>
        <w:t>A</w:t>
      </w:r>
      <w:r>
        <w:rPr>
          <w:spacing w:val="-11"/>
        </w:rPr>
        <w:t> </w:t>
      </w:r>
      <w:r>
        <w:rPr/>
        <w:t>coronária</w:t>
      </w:r>
      <w:r>
        <w:rPr>
          <w:spacing w:val="-11"/>
        </w:rPr>
        <w:t> </w:t>
      </w:r>
      <w:r>
        <w:rPr/>
        <w:t>esquerda</w:t>
      </w:r>
      <w:r>
        <w:rPr>
          <w:spacing w:val="-11"/>
        </w:rPr>
        <w:t> </w:t>
      </w:r>
      <w:r>
        <w:rPr/>
        <w:t>começa</w:t>
      </w:r>
      <w:r>
        <w:rPr>
          <w:spacing w:val="-11"/>
        </w:rPr>
        <w:t> </w:t>
      </w:r>
      <w:r>
        <w:rPr/>
        <w:t>no</w:t>
      </w:r>
      <w:r>
        <w:rPr>
          <w:spacing w:val="-9"/>
        </w:rPr>
        <w:t> </w:t>
      </w:r>
      <w:r>
        <w:rPr/>
        <w:t>seio</w:t>
      </w:r>
      <w:r>
        <w:rPr>
          <w:spacing w:val="-9"/>
        </w:rPr>
        <w:t> </w:t>
      </w:r>
      <w:r>
        <w:rPr/>
        <w:t>de</w:t>
      </w:r>
      <w:r>
        <w:rPr>
          <w:spacing w:val="-11"/>
        </w:rPr>
        <w:t> </w:t>
      </w:r>
      <w:r>
        <w:rPr/>
        <w:t>valsava</w:t>
      </w:r>
      <w:r>
        <w:rPr>
          <w:spacing w:val="-11"/>
        </w:rPr>
        <w:t> </w:t>
      </w:r>
      <w:r>
        <w:rPr/>
        <w:t>anterior</w:t>
      </w:r>
      <w:r>
        <w:rPr>
          <w:spacing w:val="-4"/>
        </w:rPr>
        <w:t> </w:t>
      </w:r>
      <w:r>
        <w:rPr/>
        <w:t>esquerdo</w:t>
      </w:r>
      <w:r>
        <w:rPr>
          <w:spacing w:val="-9"/>
        </w:rPr>
        <w:t> </w:t>
      </w:r>
      <w:r>
        <w:rPr/>
        <w:t>e</w:t>
      </w:r>
      <w:r>
        <w:rPr>
          <w:spacing w:val="-11"/>
        </w:rPr>
        <w:t> </w:t>
      </w:r>
      <w:r>
        <w:rPr/>
        <w:t>acompanha</w:t>
      </w:r>
      <w:r>
        <w:rPr>
          <w:spacing w:val="-11"/>
        </w:rPr>
        <w:t> </w:t>
      </w:r>
      <w:r>
        <w:rPr/>
        <w:t>o</w:t>
      </w:r>
      <w:r>
        <w:rPr>
          <w:spacing w:val="-9"/>
        </w:rPr>
        <w:t> </w:t>
      </w:r>
      <w:r>
        <w:rPr/>
        <w:t>sulco</w:t>
      </w:r>
      <w:r>
        <w:rPr>
          <w:spacing w:val="-9"/>
        </w:rPr>
        <w:t> </w:t>
      </w:r>
      <w:r>
        <w:rPr/>
        <w:t>atrioventricular</w:t>
      </w:r>
      <w:r>
        <w:rPr>
          <w:spacing w:val="-4"/>
        </w:rPr>
        <w:t> </w:t>
      </w:r>
      <w:r>
        <w:rPr/>
        <w:t>antes</w:t>
      </w:r>
      <w:r>
        <w:rPr>
          <w:spacing w:val="-1"/>
        </w:rPr>
        <w:t> </w:t>
      </w:r>
      <w:r>
        <w:rPr/>
        <w:t>de se</w:t>
      </w:r>
      <w:r>
        <w:rPr>
          <w:spacing w:val="-6"/>
        </w:rPr>
        <w:t> </w:t>
      </w:r>
      <w:r>
        <w:rPr/>
        <w:t>dividir nas artérias descendente</w:t>
      </w:r>
      <w:r>
        <w:rPr>
          <w:spacing w:val="-6"/>
        </w:rPr>
        <w:t> </w:t>
      </w:r>
      <w:r>
        <w:rPr/>
        <w:t>anterior e</w:t>
      </w:r>
      <w:r>
        <w:rPr>
          <w:spacing w:val="-6"/>
        </w:rPr>
        <w:t> </w:t>
      </w:r>
      <w:r>
        <w:rPr/>
        <w:t>circunflexa. A</w:t>
      </w:r>
      <w:r>
        <w:rPr>
          <w:spacing w:val="-6"/>
        </w:rPr>
        <w:t> </w:t>
      </w:r>
      <w:r>
        <w:rPr/>
        <w:t>artéria</w:t>
      </w:r>
      <w:r>
        <w:rPr>
          <w:spacing w:val="-6"/>
        </w:rPr>
        <w:t> </w:t>
      </w:r>
      <w:r>
        <w:rPr/>
        <w:t>descendente</w:t>
      </w:r>
      <w:r>
        <w:rPr>
          <w:spacing w:val="-6"/>
        </w:rPr>
        <w:t> </w:t>
      </w:r>
      <w:r>
        <w:rPr/>
        <w:t>anterior curva-se, anteriormente, ao redor da base da artéria pulmonar, perfundindo o septo interventricular e porções do ventrículo esquerdo e direito.</w:t>
      </w:r>
    </w:p>
    <w:p>
      <w:pPr>
        <w:pStyle w:val="BodyText"/>
        <w:spacing w:after="0" w:line="276" w:lineRule="auto"/>
        <w:sectPr>
          <w:pgSz w:w="11900" w:h="16840"/>
          <w:pgMar w:top="1060" w:bottom="280" w:left="566" w:right="141"/>
        </w:sectPr>
      </w:pPr>
    </w:p>
    <w:p>
      <w:pPr>
        <w:pStyle w:val="BodyText"/>
        <w:spacing w:line="276" w:lineRule="auto" w:before="66"/>
        <w:ind w:right="497" w:firstLine="0"/>
      </w:pPr>
      <w:r>
        <w:rPr/>
        <w:t>A artéria circunflexa curva-se para a esquerda no sulco atrioventricular, emergindo por debaixo do átrio esquerdo, descendo em direção ao ápice, irrigando a superfície lateral, posterior e inferior do coração. A coronária direita emerge do seio de valsalva anterior direito, penetrando no sulco atrioventricular direito. Curva-se para a direita ao redor da borda do coração, onde pode dar origem aos ramos descendente e ventricular posterior. Frequentemente nutre a maior parte da parede basal e inferior do ventrículo esquerdo, metade posterior do septo interventricular e uma porção do ventrículo direito.</w:t>
      </w:r>
    </w:p>
    <w:p>
      <w:pPr>
        <w:pStyle w:val="BodyText"/>
        <w:spacing w:line="290" w:lineRule="auto" w:before="67"/>
        <w:ind w:right="488"/>
      </w:pPr>
      <w:r>
        <w:rPr/>
        <w:t>As veias coronárias seguem a distribuição das artérias coronárias, unindo-se no final em uma desembocadura única, o seio coronário, que drena para o interior do átrio direito.</w:t>
      </w:r>
      <w:r>
        <w:rPr>
          <w:vertAlign w:val="superscript"/>
        </w:rPr>
        <w:t>6</w:t>
      </w:r>
    </w:p>
    <w:p>
      <w:pPr>
        <w:pStyle w:val="BodyText"/>
        <w:spacing w:line="278" w:lineRule="auto" w:before="33"/>
        <w:ind w:right="491"/>
      </w:pPr>
      <w:r>
        <w:rPr/>
        <w:t>Existe ainda uma rede de vasos microscópicos preexistentes que não dispõem de células musculares lisas em sua parede, chamada de circulação colateral. São comunicações anastomóticas sem leito capilar entre porções de uma mesma artéria ou entre diferentes artérias. Os estímulos responsáveis pela formação e desenvolvimento da circulação coronária colateral não são todos conhecidos, sendo considerada a hipoxia o maior fator. A pressão e dilatação inicial sobre esses vasos sem componente muscular levam a alterações da sua estrutura, seguidas do desenvolvimento de grandes vasos com células musculares e, portanto, responsivos a estímulos de dilatação e constrição. Estima-se que curtos episódios de isquemia servem para estimular a formação de colaterais.</w:t>
      </w:r>
      <w:r>
        <w:rPr>
          <w:vertAlign w:val="superscript"/>
        </w:rPr>
        <w:t>5</w:t>
      </w:r>
    </w:p>
    <w:p>
      <w:pPr>
        <w:pStyle w:val="BodyText"/>
        <w:spacing w:before="132"/>
        <w:ind w:left="0" w:firstLine="0"/>
        <w:jc w:val="left"/>
      </w:pPr>
    </w:p>
    <w:p>
      <w:pPr>
        <w:pStyle w:val="Heading5"/>
        <w:jc w:val="both"/>
      </w:pPr>
      <w:r>
        <w:rPr>
          <w:color w:val="A26108"/>
        </w:rPr>
        <w:t>Determinantes</w:t>
      </w:r>
      <w:r>
        <w:rPr>
          <w:color w:val="A26108"/>
          <w:spacing w:val="23"/>
        </w:rPr>
        <w:t> </w:t>
      </w:r>
      <w:r>
        <w:rPr>
          <w:color w:val="A26108"/>
        </w:rPr>
        <w:t>da</w:t>
      </w:r>
      <w:r>
        <w:rPr>
          <w:color w:val="A26108"/>
          <w:spacing w:val="24"/>
        </w:rPr>
        <w:t> </w:t>
      </w:r>
      <w:r>
        <w:rPr>
          <w:color w:val="A26108"/>
        </w:rPr>
        <w:t>oxigenação</w:t>
      </w:r>
      <w:r>
        <w:rPr>
          <w:color w:val="A26108"/>
          <w:spacing w:val="23"/>
        </w:rPr>
        <w:t> </w:t>
      </w:r>
      <w:r>
        <w:rPr>
          <w:color w:val="A26108"/>
        </w:rPr>
        <w:t>do</w:t>
      </w:r>
      <w:r>
        <w:rPr>
          <w:color w:val="A26108"/>
          <w:spacing w:val="24"/>
        </w:rPr>
        <w:t> </w:t>
      </w:r>
      <w:r>
        <w:rPr>
          <w:color w:val="A26108"/>
        </w:rPr>
        <w:t>miocárdio</w:t>
      </w:r>
      <w:r>
        <w:rPr>
          <w:color w:val="A26108"/>
          <w:spacing w:val="23"/>
        </w:rPr>
        <w:t> </w:t>
      </w:r>
      <w:r>
        <w:rPr>
          <w:color w:val="A26108"/>
        </w:rPr>
        <w:t>e</w:t>
      </w:r>
      <w:r>
        <w:rPr>
          <w:color w:val="A26108"/>
          <w:spacing w:val="24"/>
        </w:rPr>
        <w:t> </w:t>
      </w:r>
      <w:r>
        <w:rPr>
          <w:color w:val="A26108"/>
        </w:rPr>
        <w:t>circulação</w:t>
      </w:r>
      <w:r>
        <w:rPr>
          <w:color w:val="A26108"/>
          <w:spacing w:val="23"/>
        </w:rPr>
        <w:t> </w:t>
      </w:r>
      <w:r>
        <w:rPr>
          <w:color w:val="A26108"/>
          <w:spacing w:val="-2"/>
        </w:rPr>
        <w:t>coronária</w:t>
      </w:r>
    </w:p>
    <w:p>
      <w:pPr>
        <w:pStyle w:val="BodyText"/>
        <w:spacing w:line="283" w:lineRule="auto" w:before="138"/>
        <w:ind w:right="488"/>
      </w:pPr>
      <w:r>
        <w:rPr/>
        <w:t>Vários fatores anatômicos e funcionais influenciam a oferta e o consumo de oxigênio da célula miocárdica (</w:t>
      </w:r>
      <w:r>
        <w:rPr>
          <w:color w:val="505050"/>
        </w:rPr>
        <w:t>Figura</w:t>
      </w:r>
      <w:r>
        <w:rPr>
          <w:color w:val="505050"/>
          <w:spacing w:val="-8"/>
        </w:rPr>
        <w:t> </w:t>
      </w:r>
      <w:r>
        <w:rPr>
          <w:color w:val="505050"/>
        </w:rPr>
        <w:t>56.1</w:t>
      </w:r>
      <w:r>
        <w:rPr/>
        <w:t>). Os fatores determinantes da</w:t>
      </w:r>
      <w:r>
        <w:rPr>
          <w:spacing w:val="-4"/>
        </w:rPr>
        <w:t> </w:t>
      </w:r>
      <w:r>
        <w:rPr/>
        <w:t>oferta</w:t>
      </w:r>
      <w:r>
        <w:rPr>
          <w:spacing w:val="-4"/>
        </w:rPr>
        <w:t> </w:t>
      </w:r>
      <w:r>
        <w:rPr/>
        <w:t>de</w:t>
      </w:r>
      <w:r>
        <w:rPr>
          <w:spacing w:val="-4"/>
        </w:rPr>
        <w:t> </w:t>
      </w:r>
      <w:r>
        <w:rPr/>
        <w:t>oxigênio</w:t>
      </w:r>
      <w:r>
        <w:rPr>
          <w:spacing w:val="-1"/>
        </w:rPr>
        <w:t> </w:t>
      </w:r>
      <w:r>
        <w:rPr/>
        <w:t>são</w:t>
      </w:r>
      <w:r>
        <w:rPr>
          <w:spacing w:val="-1"/>
        </w:rPr>
        <w:t> </w:t>
      </w:r>
      <w:r>
        <w:rPr/>
        <w:t>a</w:t>
      </w:r>
      <w:r>
        <w:rPr>
          <w:spacing w:val="-4"/>
        </w:rPr>
        <w:t> </w:t>
      </w:r>
      <w:r>
        <w:rPr/>
        <w:t>capacidade</w:t>
      </w:r>
      <w:r>
        <w:rPr>
          <w:spacing w:val="-4"/>
        </w:rPr>
        <w:t> </w:t>
      </w:r>
      <w:r>
        <w:rPr/>
        <w:t>do</w:t>
      </w:r>
      <w:r>
        <w:rPr>
          <w:spacing w:val="-1"/>
        </w:rPr>
        <w:t> </w:t>
      </w:r>
      <w:r>
        <w:rPr/>
        <w:t>sangue</w:t>
      </w:r>
      <w:r>
        <w:rPr>
          <w:spacing w:val="-4"/>
        </w:rPr>
        <w:t> </w:t>
      </w:r>
      <w:r>
        <w:rPr/>
        <w:t>em</w:t>
      </w:r>
      <w:r>
        <w:rPr>
          <w:spacing w:val="-1"/>
        </w:rPr>
        <w:t> </w:t>
      </w:r>
      <w:r>
        <w:rPr/>
        <w:t>conduzir O</w:t>
      </w:r>
      <w:r>
        <w:rPr>
          <w:vertAlign w:val="subscript"/>
        </w:rPr>
        <w:t>2</w:t>
      </w:r>
      <w:r>
        <w:rPr>
          <w:vertAlign w:val="baseline"/>
        </w:rPr>
        <w:t> e</w:t>
      </w:r>
      <w:r>
        <w:rPr>
          <w:spacing w:val="-4"/>
          <w:vertAlign w:val="baseline"/>
        </w:rPr>
        <w:t> </w:t>
      </w:r>
      <w:r>
        <w:rPr>
          <w:vertAlign w:val="baseline"/>
        </w:rPr>
        <w:t>o</w:t>
      </w:r>
      <w:r>
        <w:rPr>
          <w:spacing w:val="-1"/>
          <w:vertAlign w:val="baseline"/>
        </w:rPr>
        <w:t> </w:t>
      </w:r>
      <w:r>
        <w:rPr>
          <w:vertAlign w:val="baseline"/>
        </w:rPr>
        <w:t>fluxo coronário.</w:t>
      </w:r>
      <w:r>
        <w:rPr>
          <w:spacing w:val="-2"/>
          <w:vertAlign w:val="baseline"/>
        </w:rPr>
        <w:t> </w:t>
      </w:r>
      <w:r>
        <w:rPr>
          <w:vertAlign w:val="baseline"/>
        </w:rPr>
        <w:t>Exemplo</w:t>
      </w:r>
      <w:r>
        <w:rPr>
          <w:spacing w:val="-9"/>
          <w:vertAlign w:val="baseline"/>
        </w:rPr>
        <w:t> </w:t>
      </w:r>
      <w:r>
        <w:rPr>
          <w:vertAlign w:val="baseline"/>
        </w:rPr>
        <w:t>de</w:t>
      </w:r>
      <w:r>
        <w:rPr>
          <w:spacing w:val="-11"/>
          <w:vertAlign w:val="baseline"/>
        </w:rPr>
        <w:t> </w:t>
      </w:r>
      <w:r>
        <w:rPr>
          <w:vertAlign w:val="baseline"/>
        </w:rPr>
        <w:t>alterações</w:t>
      </w:r>
      <w:r>
        <w:rPr>
          <w:spacing w:val="-2"/>
          <w:vertAlign w:val="baseline"/>
        </w:rPr>
        <w:t> </w:t>
      </w:r>
      <w:r>
        <w:rPr>
          <w:vertAlign w:val="baseline"/>
        </w:rPr>
        <w:t>da</w:t>
      </w:r>
      <w:r>
        <w:rPr>
          <w:spacing w:val="-11"/>
          <w:vertAlign w:val="baseline"/>
        </w:rPr>
        <w:t> </w:t>
      </w:r>
      <w:r>
        <w:rPr>
          <w:vertAlign w:val="baseline"/>
        </w:rPr>
        <w:t>condução</w:t>
      </w:r>
      <w:r>
        <w:rPr>
          <w:spacing w:val="-9"/>
          <w:vertAlign w:val="baseline"/>
        </w:rPr>
        <w:t> </w:t>
      </w:r>
      <w:r>
        <w:rPr>
          <w:vertAlign w:val="baseline"/>
        </w:rPr>
        <w:t>são</w:t>
      </w:r>
      <w:r>
        <w:rPr>
          <w:spacing w:val="-9"/>
          <w:vertAlign w:val="baseline"/>
        </w:rPr>
        <w:t> </w:t>
      </w:r>
      <w:r>
        <w:rPr>
          <w:vertAlign w:val="baseline"/>
        </w:rPr>
        <w:t>os</w:t>
      </w:r>
      <w:r>
        <w:rPr>
          <w:spacing w:val="-2"/>
          <w:vertAlign w:val="baseline"/>
        </w:rPr>
        <w:t> </w:t>
      </w:r>
      <w:r>
        <w:rPr>
          <w:vertAlign w:val="baseline"/>
        </w:rPr>
        <w:t>distúrbios</w:t>
      </w:r>
      <w:r>
        <w:rPr>
          <w:spacing w:val="-2"/>
          <w:vertAlign w:val="baseline"/>
        </w:rPr>
        <w:t> </w:t>
      </w:r>
      <w:r>
        <w:rPr>
          <w:vertAlign w:val="baseline"/>
        </w:rPr>
        <w:t>do</w:t>
      </w:r>
      <w:r>
        <w:rPr>
          <w:spacing w:val="-9"/>
          <w:vertAlign w:val="baseline"/>
        </w:rPr>
        <w:t> </w:t>
      </w:r>
      <w:r>
        <w:rPr>
          <w:vertAlign w:val="baseline"/>
        </w:rPr>
        <w:t>transporte</w:t>
      </w:r>
      <w:r>
        <w:rPr>
          <w:spacing w:val="-11"/>
          <w:vertAlign w:val="baseline"/>
        </w:rPr>
        <w:t> </w:t>
      </w:r>
      <w:r>
        <w:rPr>
          <w:vertAlign w:val="baseline"/>
        </w:rPr>
        <w:t>de</w:t>
      </w:r>
      <w:r>
        <w:rPr>
          <w:spacing w:val="-11"/>
          <w:vertAlign w:val="baseline"/>
        </w:rPr>
        <w:t> </w:t>
      </w:r>
      <w:r>
        <w:rPr>
          <w:vertAlign w:val="baseline"/>
        </w:rPr>
        <w:t>oxigênio</w:t>
      </w:r>
      <w:r>
        <w:rPr>
          <w:spacing w:val="-9"/>
          <w:vertAlign w:val="baseline"/>
        </w:rPr>
        <w:t> </w:t>
      </w:r>
      <w:r>
        <w:rPr>
          <w:vertAlign w:val="baseline"/>
        </w:rPr>
        <w:t>pelas</w:t>
      </w:r>
      <w:r>
        <w:rPr>
          <w:spacing w:val="-2"/>
          <w:vertAlign w:val="baseline"/>
        </w:rPr>
        <w:t> </w:t>
      </w:r>
      <w:r>
        <w:rPr>
          <w:vertAlign w:val="baseline"/>
        </w:rPr>
        <w:t>hemácias,</w:t>
      </w:r>
      <w:r>
        <w:rPr>
          <w:spacing w:val="-2"/>
          <w:vertAlign w:val="baseline"/>
        </w:rPr>
        <w:t> </w:t>
      </w:r>
      <w:r>
        <w:rPr>
          <w:vertAlign w:val="baseline"/>
        </w:rPr>
        <w:t>quer</w:t>
      </w:r>
      <w:r>
        <w:rPr>
          <w:spacing w:val="-4"/>
          <w:vertAlign w:val="baseline"/>
        </w:rPr>
        <w:t> </w:t>
      </w:r>
      <w:r>
        <w:rPr>
          <w:vertAlign w:val="baseline"/>
        </w:rPr>
        <w:t>pela redução da concentração sérica destas, como na anemia, quer por anomalias congênitas ou adquiridas da hemoglobina, como</w:t>
      </w:r>
      <w:r>
        <w:rPr>
          <w:spacing w:val="-1"/>
          <w:vertAlign w:val="baseline"/>
        </w:rPr>
        <w:t> </w:t>
      </w:r>
      <w:r>
        <w:rPr>
          <w:vertAlign w:val="baseline"/>
        </w:rPr>
        <w:t>na</w:t>
      </w:r>
      <w:r>
        <w:rPr>
          <w:spacing w:val="-3"/>
          <w:vertAlign w:val="baseline"/>
        </w:rPr>
        <w:t> </w:t>
      </w:r>
      <w:r>
        <w:rPr>
          <w:vertAlign w:val="baseline"/>
        </w:rPr>
        <w:t>anemia</w:t>
      </w:r>
      <w:r>
        <w:rPr>
          <w:spacing w:val="-3"/>
          <w:vertAlign w:val="baseline"/>
        </w:rPr>
        <w:t> </w:t>
      </w:r>
      <w:r>
        <w:rPr>
          <w:vertAlign w:val="baseline"/>
        </w:rPr>
        <w:t>falciforme, na</w:t>
      </w:r>
      <w:r>
        <w:rPr>
          <w:spacing w:val="-3"/>
          <w:vertAlign w:val="baseline"/>
        </w:rPr>
        <w:t> </w:t>
      </w:r>
      <w:r>
        <w:rPr>
          <w:vertAlign w:val="baseline"/>
        </w:rPr>
        <w:t>intoxicação</w:t>
      </w:r>
      <w:r>
        <w:rPr>
          <w:spacing w:val="-1"/>
          <w:vertAlign w:val="baseline"/>
        </w:rPr>
        <w:t> </w:t>
      </w:r>
      <w:r>
        <w:rPr>
          <w:vertAlign w:val="baseline"/>
        </w:rPr>
        <w:t>por monóxido</w:t>
      </w:r>
      <w:r>
        <w:rPr>
          <w:spacing w:val="-1"/>
          <w:vertAlign w:val="baseline"/>
        </w:rPr>
        <w:t> </w:t>
      </w:r>
      <w:r>
        <w:rPr>
          <w:vertAlign w:val="baseline"/>
        </w:rPr>
        <w:t>de</w:t>
      </w:r>
      <w:r>
        <w:rPr>
          <w:spacing w:val="-3"/>
          <w:vertAlign w:val="baseline"/>
        </w:rPr>
        <w:t> </w:t>
      </w:r>
      <w:r>
        <w:rPr>
          <w:vertAlign w:val="baseline"/>
        </w:rPr>
        <w:t>carbono</w:t>
      </w:r>
      <w:r>
        <w:rPr>
          <w:spacing w:val="-1"/>
          <w:vertAlign w:val="baseline"/>
        </w:rPr>
        <w:t> </w:t>
      </w:r>
      <w:r>
        <w:rPr>
          <w:vertAlign w:val="baseline"/>
        </w:rPr>
        <w:t>e</w:t>
      </w:r>
      <w:r>
        <w:rPr>
          <w:spacing w:val="-3"/>
          <w:vertAlign w:val="baseline"/>
        </w:rPr>
        <w:t> </w:t>
      </w:r>
      <w:r>
        <w:rPr>
          <w:vertAlign w:val="baseline"/>
        </w:rPr>
        <w:t>na</w:t>
      </w:r>
      <w:r>
        <w:rPr>
          <w:spacing w:val="-3"/>
          <w:vertAlign w:val="baseline"/>
        </w:rPr>
        <w:t> </w:t>
      </w:r>
      <w:r>
        <w:rPr>
          <w:vertAlign w:val="baseline"/>
        </w:rPr>
        <w:t>meta-hemoglobinemia. Já os determinantes do fluxo coronário são a diferença de pressão entre a raiz da aorta e o átrio direito, as características da</w:t>
      </w:r>
      <w:r>
        <w:rPr>
          <w:spacing w:val="-7"/>
          <w:vertAlign w:val="baseline"/>
        </w:rPr>
        <w:t> </w:t>
      </w:r>
      <w:r>
        <w:rPr>
          <w:vertAlign w:val="baseline"/>
        </w:rPr>
        <w:t>fase</w:t>
      </w:r>
      <w:r>
        <w:rPr>
          <w:spacing w:val="-7"/>
          <w:vertAlign w:val="baseline"/>
        </w:rPr>
        <w:t> </w:t>
      </w:r>
      <w:r>
        <w:rPr>
          <w:vertAlign w:val="baseline"/>
        </w:rPr>
        <w:t>diastólica</w:t>
      </w:r>
      <w:r>
        <w:rPr>
          <w:spacing w:val="-7"/>
          <w:vertAlign w:val="baseline"/>
        </w:rPr>
        <w:t> </w:t>
      </w:r>
      <w:r>
        <w:rPr>
          <w:vertAlign w:val="baseline"/>
        </w:rPr>
        <w:t>e</w:t>
      </w:r>
      <w:r>
        <w:rPr>
          <w:spacing w:val="-7"/>
          <w:vertAlign w:val="baseline"/>
        </w:rPr>
        <w:t> </w:t>
      </w:r>
      <w:r>
        <w:rPr>
          <w:vertAlign w:val="baseline"/>
        </w:rPr>
        <w:t>a</w:t>
      </w:r>
      <w:r>
        <w:rPr>
          <w:spacing w:val="-7"/>
          <w:vertAlign w:val="baseline"/>
        </w:rPr>
        <w:t> </w:t>
      </w:r>
      <w:r>
        <w:rPr>
          <w:vertAlign w:val="baseline"/>
        </w:rPr>
        <w:t>resistência</w:t>
      </w:r>
      <w:r>
        <w:rPr>
          <w:spacing w:val="-7"/>
          <w:vertAlign w:val="baseline"/>
        </w:rPr>
        <w:t> </w:t>
      </w:r>
      <w:r>
        <w:rPr>
          <w:vertAlign w:val="baseline"/>
        </w:rPr>
        <w:t>vascular coronária. Os fatores que</w:t>
      </w:r>
      <w:r>
        <w:rPr>
          <w:spacing w:val="-7"/>
          <w:vertAlign w:val="baseline"/>
        </w:rPr>
        <w:t> </w:t>
      </w:r>
      <w:r>
        <w:rPr>
          <w:vertAlign w:val="baseline"/>
        </w:rPr>
        <w:t>influenciam</w:t>
      </w:r>
      <w:r>
        <w:rPr>
          <w:spacing w:val="-4"/>
          <w:vertAlign w:val="baseline"/>
        </w:rPr>
        <w:t> </w:t>
      </w:r>
      <w:r>
        <w:rPr>
          <w:vertAlign w:val="baseline"/>
        </w:rPr>
        <w:t>o</w:t>
      </w:r>
      <w:r>
        <w:rPr>
          <w:spacing w:val="-4"/>
          <w:vertAlign w:val="baseline"/>
        </w:rPr>
        <w:t> </w:t>
      </w:r>
      <w:r>
        <w:rPr>
          <w:vertAlign w:val="baseline"/>
        </w:rPr>
        <w:t>consumo</w:t>
      </w:r>
      <w:r>
        <w:rPr>
          <w:spacing w:val="-4"/>
          <w:vertAlign w:val="baseline"/>
        </w:rPr>
        <w:t> </w:t>
      </w:r>
      <w:r>
        <w:rPr>
          <w:vertAlign w:val="baseline"/>
        </w:rPr>
        <w:t>de</w:t>
      </w:r>
      <w:r>
        <w:rPr>
          <w:spacing w:val="-7"/>
          <w:vertAlign w:val="baseline"/>
        </w:rPr>
        <w:t> </w:t>
      </w:r>
      <w:r>
        <w:rPr>
          <w:vertAlign w:val="baseline"/>
        </w:rPr>
        <w:t>O</w:t>
      </w:r>
      <w:r>
        <w:rPr>
          <w:vertAlign w:val="subscript"/>
        </w:rPr>
        <w:t>2</w:t>
      </w:r>
      <w:r>
        <w:rPr>
          <w:vertAlign w:val="baseline"/>
        </w:rPr>
        <w:t> são a frequência cardíaca, a tensão sistólica sobre a parede do ventrículo e a força de contratilidade.</w:t>
      </w:r>
      <w:r>
        <w:rPr>
          <w:vertAlign w:val="superscript"/>
        </w:rPr>
        <w:t>7</w:t>
      </w:r>
    </w:p>
    <w:p>
      <w:pPr>
        <w:pStyle w:val="BodyText"/>
        <w:spacing w:before="7"/>
        <w:ind w:left="0" w:firstLine="0"/>
        <w:jc w:val="left"/>
        <w:rPr>
          <w:sz w:val="19"/>
        </w:rPr>
      </w:pPr>
      <w:r>
        <w:rPr>
          <w:sz w:val="19"/>
        </w:rPr>
        <w:drawing>
          <wp:anchor distT="0" distB="0" distL="0" distR="0" allowOverlap="1" layoutInCell="1" locked="0" behindDoc="1" simplePos="0" relativeHeight="487602176">
            <wp:simplePos x="0" y="0"/>
            <wp:positionH relativeFrom="page">
              <wp:posOffset>1276235</wp:posOffset>
            </wp:positionH>
            <wp:positionV relativeFrom="paragraph">
              <wp:posOffset>158886</wp:posOffset>
            </wp:positionV>
            <wp:extent cx="5014333" cy="262947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4" cstate="print"/>
                    <a:stretch>
                      <a:fillRect/>
                    </a:stretch>
                  </pic:blipFill>
                  <pic:spPr>
                    <a:xfrm>
                      <a:off x="0" y="0"/>
                      <a:ext cx="5014333" cy="2629471"/>
                    </a:xfrm>
                    <a:prstGeom prst="rect">
                      <a:avLst/>
                    </a:prstGeom>
                  </pic:spPr>
                </pic:pic>
              </a:graphicData>
            </a:graphic>
          </wp:anchor>
        </w:drawing>
      </w:r>
    </w:p>
    <w:p>
      <w:pPr>
        <w:pStyle w:val="BodyText"/>
        <w:spacing w:before="11"/>
        <w:ind w:left="0" w:firstLine="0"/>
        <w:jc w:val="left"/>
      </w:pPr>
    </w:p>
    <w:p>
      <w:pPr>
        <w:spacing w:line="285" w:lineRule="auto" w:before="0"/>
        <w:ind w:left="68" w:right="503" w:firstLine="0"/>
        <w:jc w:val="both"/>
        <w:rPr>
          <w:rFonts w:ascii="Microsoft Sans Serif" w:hAnsi="Microsoft Sans Serif"/>
          <w:sz w:val="19"/>
        </w:rPr>
      </w:pPr>
      <w:r>
        <w:rPr>
          <w:rFonts w:ascii="Arial" w:hAnsi="Arial"/>
          <w:b/>
          <w:color w:val="242B67"/>
          <w:sz w:val="19"/>
        </w:rPr>
        <w:t>Figura 56.1 </w:t>
      </w:r>
      <w:r>
        <w:rPr>
          <w:rFonts w:ascii="Microsoft Sans Serif" w:hAnsi="Microsoft Sans Serif"/>
          <w:sz w:val="19"/>
        </w:rPr>
        <w:t>Fatores de influência sobre oferta e consumo de oxigênio pelo miocárdio. AD = átrio direito; Ao = aorta; FC = frequência cardíaca.</w:t>
      </w:r>
    </w:p>
    <w:p>
      <w:pPr>
        <w:pStyle w:val="BodyText"/>
        <w:ind w:left="0" w:firstLine="0"/>
        <w:jc w:val="left"/>
        <w:rPr>
          <w:rFonts w:ascii="Microsoft Sans Serif"/>
          <w:sz w:val="19"/>
        </w:rPr>
      </w:pPr>
    </w:p>
    <w:p>
      <w:pPr>
        <w:pStyle w:val="BodyText"/>
        <w:spacing w:line="276" w:lineRule="auto" w:before="1"/>
        <w:ind w:right="497"/>
      </w:pPr>
      <w:r>
        <w:rPr/>
        <w:t>A circulação coronária é um sistema regido pelas leis da física, que garantem o suprimento de oxigênio às células miocárdicas. Este ocorre pelo fluxo de sangue por meio de um conjunto de vasos sanguíneos (coronárias). O fluxo é resultado da pressão de perfusão – no caso, um gradiente de pressão entre as pontas do sistema (aorta e átrio direito) – e da resistência coronária – no caso, a somatória das resistências dos vasos epicárdicos, intramiocárdicos e arteríolas:</w:t>
      </w:r>
    </w:p>
    <w:p>
      <w:pPr>
        <w:pStyle w:val="BodyText"/>
        <w:spacing w:after="0" w:line="276" w:lineRule="auto"/>
        <w:sectPr>
          <w:pgSz w:w="11900" w:h="16840"/>
          <w:pgMar w:top="220" w:bottom="280" w:left="566" w:right="141"/>
        </w:sectPr>
      </w:pPr>
    </w:p>
    <w:p>
      <w:pPr>
        <w:spacing w:line="240" w:lineRule="auto"/>
        <w:ind w:left="1700" w:right="0" w:firstLine="0"/>
        <w:rPr>
          <w:sz w:val="20"/>
        </w:rPr>
      </w:pPr>
      <w:r>
        <w:rPr>
          <w:sz w:val="20"/>
        </w:rPr>
        <w:drawing>
          <wp:inline distT="0" distB="0" distL="0" distR="0">
            <wp:extent cx="4698452" cy="63188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5" cstate="print"/>
                    <a:stretch>
                      <a:fillRect/>
                    </a:stretch>
                  </pic:blipFill>
                  <pic:spPr>
                    <a:xfrm>
                      <a:off x="0" y="0"/>
                      <a:ext cx="4698452" cy="631888"/>
                    </a:xfrm>
                    <a:prstGeom prst="rect">
                      <a:avLst/>
                    </a:prstGeom>
                  </pic:spPr>
                </pic:pic>
              </a:graphicData>
            </a:graphic>
          </wp:inline>
        </w:drawing>
      </w:r>
      <w:r>
        <w:rPr>
          <w:sz w:val="20"/>
        </w:rPr>
      </w:r>
    </w:p>
    <w:p>
      <w:pPr>
        <w:pStyle w:val="BodyText"/>
        <w:spacing w:before="12"/>
        <w:ind w:left="0" w:firstLine="0"/>
        <w:jc w:val="left"/>
      </w:pPr>
    </w:p>
    <w:p>
      <w:pPr>
        <w:pStyle w:val="BodyText"/>
        <w:spacing w:before="0"/>
        <w:ind w:left="414" w:firstLine="0"/>
      </w:pPr>
      <w:r>
        <w:rPr/>
        <w:t>Em</w:t>
      </w:r>
      <w:r>
        <w:rPr>
          <w:spacing w:val="2"/>
        </w:rPr>
        <w:t> </w:t>
      </w:r>
      <w:r>
        <w:rPr/>
        <w:t>que</w:t>
      </w:r>
      <w:r>
        <w:rPr>
          <w:spacing w:val="-1"/>
        </w:rPr>
        <w:t> </w:t>
      </w:r>
      <w:r>
        <w:rPr/>
        <w:t>P</w:t>
      </w:r>
      <w:r>
        <w:rPr>
          <w:spacing w:val="5"/>
        </w:rPr>
        <w:t> </w:t>
      </w:r>
      <w:r>
        <w:rPr/>
        <w:t>=</w:t>
      </w:r>
      <w:r>
        <w:rPr>
          <w:spacing w:val="3"/>
        </w:rPr>
        <w:t> </w:t>
      </w:r>
      <w:r>
        <w:rPr/>
        <w:t>pressão</w:t>
      </w:r>
      <w:r>
        <w:rPr>
          <w:spacing w:val="2"/>
        </w:rPr>
        <w:t> </w:t>
      </w:r>
      <w:r>
        <w:rPr/>
        <w:t>e</w:t>
      </w:r>
      <w:r>
        <w:rPr>
          <w:spacing w:val="-1"/>
        </w:rPr>
        <w:t> </w:t>
      </w:r>
      <w:r>
        <w:rPr/>
        <w:t>R</w:t>
      </w:r>
      <w:r>
        <w:rPr>
          <w:spacing w:val="11"/>
        </w:rPr>
        <w:t> </w:t>
      </w:r>
      <w:r>
        <w:rPr/>
        <w:t>=</w:t>
      </w:r>
      <w:r>
        <w:rPr>
          <w:spacing w:val="3"/>
        </w:rPr>
        <w:t> </w:t>
      </w:r>
      <w:r>
        <w:rPr>
          <w:spacing w:val="-2"/>
        </w:rPr>
        <w:t>resistência.</w:t>
      </w:r>
    </w:p>
    <w:p>
      <w:pPr>
        <w:pStyle w:val="BodyText"/>
        <w:spacing w:line="276" w:lineRule="auto" w:before="104"/>
        <w:ind w:right="491"/>
      </w:pPr>
      <w:r>
        <w:rPr/>
        <w:t>A</w:t>
      </w:r>
      <w:r>
        <w:rPr>
          <w:spacing w:val="-10"/>
        </w:rPr>
        <w:t> </w:t>
      </w:r>
      <w:r>
        <w:rPr/>
        <w:t>pressão</w:t>
      </w:r>
      <w:r>
        <w:rPr>
          <w:spacing w:val="-8"/>
        </w:rPr>
        <w:t> </w:t>
      </w:r>
      <w:r>
        <w:rPr/>
        <w:t>de</w:t>
      </w:r>
      <w:r>
        <w:rPr>
          <w:spacing w:val="-10"/>
        </w:rPr>
        <w:t> </w:t>
      </w:r>
      <w:r>
        <w:rPr/>
        <w:t>perfusão</w:t>
      </w:r>
      <w:r>
        <w:rPr>
          <w:spacing w:val="-8"/>
        </w:rPr>
        <w:t> </w:t>
      </w:r>
      <w:r>
        <w:rPr/>
        <w:t>é</w:t>
      </w:r>
      <w:r>
        <w:rPr>
          <w:spacing w:val="-10"/>
        </w:rPr>
        <w:t> </w:t>
      </w:r>
      <w:r>
        <w:rPr/>
        <w:t>criada</w:t>
      </w:r>
      <w:r>
        <w:rPr>
          <w:spacing w:val="-10"/>
        </w:rPr>
        <w:t> </w:t>
      </w:r>
      <w:r>
        <w:rPr/>
        <w:t>fundamentalmente</w:t>
      </w:r>
      <w:r>
        <w:rPr>
          <w:spacing w:val="-10"/>
        </w:rPr>
        <w:t> </w:t>
      </w:r>
      <w:r>
        <w:rPr/>
        <w:t>durante</w:t>
      </w:r>
      <w:r>
        <w:rPr>
          <w:spacing w:val="-10"/>
        </w:rPr>
        <w:t> </w:t>
      </w:r>
      <w:r>
        <w:rPr/>
        <w:t>a</w:t>
      </w:r>
      <w:r>
        <w:rPr>
          <w:spacing w:val="-10"/>
        </w:rPr>
        <w:t> </w:t>
      </w:r>
      <w:r>
        <w:rPr/>
        <w:t>diástole</w:t>
      </w:r>
      <w:r>
        <w:rPr>
          <w:spacing w:val="-10"/>
        </w:rPr>
        <w:t> </w:t>
      </w:r>
      <w:r>
        <w:rPr/>
        <w:t>para</w:t>
      </w:r>
      <w:r>
        <w:rPr>
          <w:spacing w:val="-10"/>
        </w:rPr>
        <w:t> </w:t>
      </w:r>
      <w:r>
        <w:rPr/>
        <w:t>o</w:t>
      </w:r>
      <w:r>
        <w:rPr>
          <w:spacing w:val="-8"/>
        </w:rPr>
        <w:t> </w:t>
      </w:r>
      <w:r>
        <w:rPr/>
        <w:t>ventrículo</w:t>
      </w:r>
      <w:r>
        <w:rPr>
          <w:spacing w:val="-8"/>
        </w:rPr>
        <w:t> </w:t>
      </w:r>
      <w:r>
        <w:rPr/>
        <w:t>esquerdo, no</w:t>
      </w:r>
      <w:r>
        <w:rPr>
          <w:spacing w:val="-8"/>
        </w:rPr>
        <w:t> </w:t>
      </w:r>
      <w:r>
        <w:rPr/>
        <w:t>momento</w:t>
      </w:r>
      <w:r>
        <w:rPr>
          <w:spacing w:val="-8"/>
        </w:rPr>
        <w:t> </w:t>
      </w:r>
      <w:r>
        <w:rPr/>
        <w:t>em que a válvula aórtica está fechada. A pressão diastólica da aorta se transmite para os seios de valsalva e óstios das coronárias. Há ainda uma particularidade anatômica, a formação de um pequeno reservatório pela morfologia do arco aórtico e seio de Valsalva, facilitando a uniformidade do fluxo coronário durante a diástole.</w:t>
      </w:r>
    </w:p>
    <w:p>
      <w:pPr>
        <w:pStyle w:val="BodyText"/>
        <w:spacing w:line="276" w:lineRule="auto" w:before="49"/>
        <w:ind w:right="491"/>
      </w:pPr>
      <w:r>
        <w:rPr/>
        <w:t>A resistência coronária é determinada pelos diversos segmentos anatômicos da circulação coronária, sendo divididos em porção epicárdica, intramiocárdica e arteríolas pré-capilares. Os vasos epicárdicos funcionam como vasos de condutância, já que correspondem a apenas 2 a 5% da resistência total do sistema. Portanto, os maiores determinantes da resistência coronária são a porção intramiocárdica e as arteríolas. A porção intramiocárdica sofre grande</w:t>
      </w:r>
      <w:r>
        <w:rPr>
          <w:spacing w:val="-9"/>
        </w:rPr>
        <w:t> </w:t>
      </w:r>
      <w:r>
        <w:rPr/>
        <w:t>influência</w:t>
      </w:r>
      <w:r>
        <w:rPr>
          <w:spacing w:val="-9"/>
        </w:rPr>
        <w:t> </w:t>
      </w:r>
      <w:r>
        <w:rPr/>
        <w:t>do</w:t>
      </w:r>
      <w:r>
        <w:rPr>
          <w:spacing w:val="-6"/>
        </w:rPr>
        <w:t> </w:t>
      </w:r>
      <w:r>
        <w:rPr/>
        <w:t>ciclo</w:t>
      </w:r>
      <w:r>
        <w:rPr>
          <w:spacing w:val="-6"/>
        </w:rPr>
        <w:t> </w:t>
      </w:r>
      <w:r>
        <w:rPr/>
        <w:t>cardíaco, já</w:t>
      </w:r>
      <w:r>
        <w:rPr>
          <w:spacing w:val="-9"/>
        </w:rPr>
        <w:t> </w:t>
      </w:r>
      <w:r>
        <w:rPr/>
        <w:t>que</w:t>
      </w:r>
      <w:r>
        <w:rPr>
          <w:spacing w:val="-9"/>
        </w:rPr>
        <w:t> </w:t>
      </w:r>
      <w:r>
        <w:rPr/>
        <w:t>a</w:t>
      </w:r>
      <w:r>
        <w:rPr>
          <w:spacing w:val="-9"/>
        </w:rPr>
        <w:t> </w:t>
      </w:r>
      <w:r>
        <w:rPr/>
        <w:t>contração</w:t>
      </w:r>
      <w:r>
        <w:rPr>
          <w:spacing w:val="-6"/>
        </w:rPr>
        <w:t> </w:t>
      </w:r>
      <w:r>
        <w:rPr/>
        <w:t>da</w:t>
      </w:r>
      <w:r>
        <w:rPr>
          <w:spacing w:val="-9"/>
        </w:rPr>
        <w:t> </w:t>
      </w:r>
      <w:r>
        <w:rPr/>
        <w:t>massa</w:t>
      </w:r>
      <w:r>
        <w:rPr>
          <w:spacing w:val="-9"/>
        </w:rPr>
        <w:t> </w:t>
      </w:r>
      <w:r>
        <w:rPr/>
        <w:t>miocárdica</w:t>
      </w:r>
      <w:r>
        <w:rPr>
          <w:spacing w:val="-9"/>
        </w:rPr>
        <w:t> </w:t>
      </w:r>
      <w:r>
        <w:rPr/>
        <w:t>durante</w:t>
      </w:r>
      <w:r>
        <w:rPr>
          <w:spacing w:val="-9"/>
        </w:rPr>
        <w:t> </w:t>
      </w:r>
      <w:r>
        <w:rPr/>
        <w:t>a</w:t>
      </w:r>
      <w:r>
        <w:rPr>
          <w:spacing w:val="-9"/>
        </w:rPr>
        <w:t> </w:t>
      </w:r>
      <w:r>
        <w:rPr/>
        <w:t>sístole</w:t>
      </w:r>
      <w:r>
        <w:rPr>
          <w:spacing w:val="-9"/>
        </w:rPr>
        <w:t> </w:t>
      </w:r>
      <w:r>
        <w:rPr/>
        <w:t>promove</w:t>
      </w:r>
      <w:r>
        <w:rPr>
          <w:spacing w:val="-9"/>
        </w:rPr>
        <w:t> </w:t>
      </w:r>
      <w:r>
        <w:rPr/>
        <w:t>a</w:t>
      </w:r>
      <w:r>
        <w:rPr>
          <w:spacing w:val="-9"/>
        </w:rPr>
        <w:t> </w:t>
      </w:r>
      <w:r>
        <w:rPr/>
        <w:t>compressão desses vasos com consequente redução de fluxo, fazendo com que o fluxo coronário ocorra preferencialmente na diástole. Já as arteríolas servem como vasos de regulação fina regional, direcionando o fluxo para as diferentes regiões do miocárdio.</w:t>
      </w:r>
    </w:p>
    <w:p>
      <w:pPr>
        <w:pStyle w:val="BodyText"/>
        <w:spacing w:line="290" w:lineRule="auto"/>
        <w:ind w:right="491"/>
      </w:pPr>
      <w:r>
        <w:rPr/>
        <w:t>Vários fatores influem na pressão de perfusão e resistência coronária, controlando o fluxo sanguíneo coronário e garantindo a perfusão miocárdica, estando descritos a seguir.</w:t>
      </w:r>
      <w:r>
        <w:rPr>
          <w:vertAlign w:val="superscript"/>
        </w:rPr>
        <w:t>5,8</w:t>
      </w:r>
    </w:p>
    <w:p>
      <w:pPr>
        <w:pStyle w:val="BodyText"/>
        <w:spacing w:before="8"/>
        <w:ind w:left="0" w:firstLine="0"/>
        <w:jc w:val="left"/>
      </w:pPr>
    </w:p>
    <w:p>
      <w:pPr>
        <w:pStyle w:val="Heading7"/>
      </w:pPr>
      <w:r>
        <w:rPr>
          <w:color w:val="242B67"/>
        </w:rPr>
        <w:t>Fatores </w:t>
      </w:r>
      <w:r>
        <w:rPr>
          <w:color w:val="242B67"/>
          <w:spacing w:val="-2"/>
        </w:rPr>
        <w:t>hemodinâmicos</w:t>
      </w:r>
    </w:p>
    <w:p>
      <w:pPr>
        <w:pStyle w:val="BodyText"/>
        <w:spacing w:line="276" w:lineRule="auto" w:before="127"/>
        <w:ind w:right="491"/>
      </w:pPr>
      <w:r>
        <w:rPr/>
        <w:t>O gradiente pressórico entre a aorta e a pressão diastólica do ventrículo esquerdo e o tempo de diástole é o maior determinante do fluxo sanguíneo coronário. Entretanto, alterações como elevação da pressão diastólica do ventrículo</w:t>
      </w:r>
      <w:r>
        <w:rPr>
          <w:spacing w:val="-6"/>
        </w:rPr>
        <w:t> </w:t>
      </w:r>
      <w:r>
        <w:rPr/>
        <w:t>esquerdo</w:t>
      </w:r>
      <w:r>
        <w:rPr>
          <w:spacing w:val="-6"/>
        </w:rPr>
        <w:t> </w:t>
      </w:r>
      <w:r>
        <w:rPr/>
        <w:t>ou</w:t>
      </w:r>
      <w:r>
        <w:rPr>
          <w:spacing w:val="-6"/>
        </w:rPr>
        <w:t> </w:t>
      </w:r>
      <w:r>
        <w:rPr/>
        <w:t>redução</w:t>
      </w:r>
      <w:r>
        <w:rPr>
          <w:spacing w:val="-6"/>
        </w:rPr>
        <w:t> </w:t>
      </w:r>
      <w:r>
        <w:rPr/>
        <w:t>da</w:t>
      </w:r>
      <w:r>
        <w:rPr>
          <w:spacing w:val="-9"/>
        </w:rPr>
        <w:t> </w:t>
      </w:r>
      <w:r>
        <w:rPr/>
        <w:t>pressão</w:t>
      </w:r>
      <w:r>
        <w:rPr>
          <w:spacing w:val="-6"/>
        </w:rPr>
        <w:t> </w:t>
      </w:r>
      <w:r>
        <w:rPr/>
        <w:t>de</w:t>
      </w:r>
      <w:r>
        <w:rPr>
          <w:spacing w:val="-9"/>
        </w:rPr>
        <w:t> </w:t>
      </w:r>
      <w:r>
        <w:rPr/>
        <w:t>perfusão</w:t>
      </w:r>
      <w:r>
        <w:rPr>
          <w:spacing w:val="-6"/>
        </w:rPr>
        <w:t> </w:t>
      </w:r>
      <w:r>
        <w:rPr/>
        <w:t>não</w:t>
      </w:r>
      <w:r>
        <w:rPr>
          <w:spacing w:val="-6"/>
        </w:rPr>
        <w:t> </w:t>
      </w:r>
      <w:r>
        <w:rPr/>
        <w:t>levam</w:t>
      </w:r>
      <w:r>
        <w:rPr>
          <w:spacing w:val="-6"/>
        </w:rPr>
        <w:t> </w:t>
      </w:r>
      <w:r>
        <w:rPr/>
        <w:t>necessariamente</w:t>
      </w:r>
      <w:r>
        <w:rPr>
          <w:spacing w:val="-9"/>
        </w:rPr>
        <w:t> </w:t>
      </w:r>
      <w:r>
        <w:rPr/>
        <w:t>à</w:t>
      </w:r>
      <w:r>
        <w:rPr>
          <w:spacing w:val="-9"/>
        </w:rPr>
        <w:t> </w:t>
      </w:r>
      <w:r>
        <w:rPr/>
        <w:t>diminuição</w:t>
      </w:r>
      <w:r>
        <w:rPr>
          <w:spacing w:val="-6"/>
        </w:rPr>
        <w:t> </w:t>
      </w:r>
      <w:r>
        <w:rPr/>
        <w:t>do</w:t>
      </w:r>
      <w:r>
        <w:rPr>
          <w:spacing w:val="-6"/>
        </w:rPr>
        <w:t> </w:t>
      </w:r>
      <w:r>
        <w:rPr/>
        <w:t>fluxo</w:t>
      </w:r>
      <w:r>
        <w:rPr>
          <w:spacing w:val="-6"/>
        </w:rPr>
        <w:t> </w:t>
      </w:r>
      <w:r>
        <w:rPr/>
        <w:t>coronário. Em geral, mecanismos compensadores, como alteração do tônus coronário, são suficientes para sustentar o fluxo coronário, sendo necessário obstrução coronária ou vasoconstrição para causar significativo decréscimo do fluxo </w:t>
      </w:r>
      <w:r>
        <w:rPr>
          <w:spacing w:val="-2"/>
        </w:rPr>
        <w:t>coronário.</w:t>
      </w:r>
    </w:p>
    <w:p>
      <w:pPr>
        <w:pStyle w:val="BodyText"/>
        <w:spacing w:before="24"/>
        <w:ind w:left="0" w:firstLine="0"/>
        <w:jc w:val="left"/>
      </w:pPr>
    </w:p>
    <w:p>
      <w:pPr>
        <w:pStyle w:val="Heading7"/>
        <w:spacing w:before="1"/>
      </w:pPr>
      <w:r>
        <w:rPr>
          <w:color w:val="242B67"/>
        </w:rPr>
        <w:t>Fatores metabólicos e </w:t>
      </w:r>
      <w:r>
        <w:rPr>
          <w:color w:val="242B67"/>
          <w:spacing w:val="-2"/>
        </w:rPr>
        <w:t>humorais</w:t>
      </w:r>
    </w:p>
    <w:p>
      <w:pPr>
        <w:pStyle w:val="BodyText"/>
        <w:spacing w:line="278" w:lineRule="auto" w:before="126"/>
        <w:ind w:right="497"/>
      </w:pPr>
      <w:r>
        <w:rPr/>
        <w:t>O</w:t>
      </w:r>
      <w:r>
        <w:rPr>
          <w:spacing w:val="-3"/>
        </w:rPr>
        <w:t> </w:t>
      </w:r>
      <w:r>
        <w:rPr/>
        <w:t>fluxo coronário normalmente</w:t>
      </w:r>
      <w:r>
        <w:rPr>
          <w:spacing w:val="-3"/>
        </w:rPr>
        <w:t> </w:t>
      </w:r>
      <w:r>
        <w:rPr/>
        <w:t>aumenta</w:t>
      </w:r>
      <w:r>
        <w:rPr>
          <w:spacing w:val="-3"/>
        </w:rPr>
        <w:t> </w:t>
      </w:r>
      <w:r>
        <w:rPr/>
        <w:t>linearmente</w:t>
      </w:r>
      <w:r>
        <w:rPr>
          <w:spacing w:val="-3"/>
        </w:rPr>
        <w:t> </w:t>
      </w:r>
      <w:r>
        <w:rPr/>
        <w:t>com o aumento das necessidades de</w:t>
      </w:r>
      <w:r>
        <w:rPr>
          <w:spacing w:val="-3"/>
        </w:rPr>
        <w:t> </w:t>
      </w:r>
      <w:r>
        <w:rPr/>
        <w:t>oxigênio, sendo seus principais determinantes os fatores relacionados com o consumo de oxigênio (massa miocárdica, tensão da parede do ventricular, estado inotrópico, frequência cardíaca) e a vasodilatação. Vários mediadores responsáveis foram identificados, como o oxigênio, o dióxido de carbono e outros metabólitos vasodilatadores. Entre estes últimos, destaca-se</w:t>
      </w:r>
      <w:r>
        <w:rPr>
          <w:spacing w:val="-10"/>
        </w:rPr>
        <w:t> </w:t>
      </w:r>
      <w:r>
        <w:rPr/>
        <w:t>a</w:t>
      </w:r>
      <w:r>
        <w:rPr>
          <w:spacing w:val="-10"/>
        </w:rPr>
        <w:t> </w:t>
      </w:r>
      <w:r>
        <w:rPr/>
        <w:t>adenosina, derivada</w:t>
      </w:r>
      <w:r>
        <w:rPr>
          <w:spacing w:val="-10"/>
        </w:rPr>
        <w:t> </w:t>
      </w:r>
      <w:r>
        <w:rPr/>
        <w:t>da</w:t>
      </w:r>
      <w:r>
        <w:rPr>
          <w:spacing w:val="-10"/>
        </w:rPr>
        <w:t> </w:t>
      </w:r>
      <w:r>
        <w:rPr/>
        <w:t>quebra</w:t>
      </w:r>
      <w:r>
        <w:rPr>
          <w:spacing w:val="-10"/>
        </w:rPr>
        <w:t> </w:t>
      </w:r>
      <w:r>
        <w:rPr/>
        <w:t>do</w:t>
      </w:r>
      <w:r>
        <w:rPr>
          <w:spacing w:val="-7"/>
        </w:rPr>
        <w:t> </w:t>
      </w:r>
      <w:r>
        <w:rPr/>
        <w:t>AMP</w:t>
      </w:r>
      <w:r>
        <w:rPr>
          <w:spacing w:val="-5"/>
        </w:rPr>
        <w:t> </w:t>
      </w:r>
      <w:r>
        <w:rPr/>
        <w:t>ciclíco, como</w:t>
      </w:r>
      <w:r>
        <w:rPr>
          <w:spacing w:val="-7"/>
        </w:rPr>
        <w:t> </w:t>
      </w:r>
      <w:r>
        <w:rPr/>
        <w:t>um</w:t>
      </w:r>
      <w:r>
        <w:rPr>
          <w:spacing w:val="-7"/>
        </w:rPr>
        <w:t> </w:t>
      </w:r>
      <w:r>
        <w:rPr/>
        <w:t>dos principais vasodilatadores coronários.</w:t>
      </w:r>
      <w:r>
        <w:rPr>
          <w:vertAlign w:val="superscript"/>
        </w:rPr>
        <w:t>9–11</w:t>
      </w:r>
      <w:r>
        <w:rPr>
          <w:vertAlign w:val="baseline"/>
        </w:rPr>
        <w:t> A tensão de oxigênio parece influenciar a resistência coronária secundariamente pela liberação de outros mediadores, mais que por sua ação direta. A liberação local de angiotensina II também pode auxiliar a modular o fluxo coronário, por sua ação direta vasoconstritora, mas também secundariamente pela ação cronotrópica, inotrópica e pelo estímulo da liberação de prostaglandina E</w:t>
      </w:r>
      <w:r>
        <w:rPr>
          <w:vertAlign w:val="subscript"/>
        </w:rPr>
        <w:t>2</w:t>
      </w:r>
      <w:r>
        <w:rPr>
          <w:vertAlign w:val="baseline"/>
        </w:rPr>
        <w:t> e F. Apesar de muitas prostaglandinas produzirem vasodilatação</w:t>
      </w:r>
      <w:r>
        <w:rPr>
          <w:spacing w:val="-12"/>
          <w:vertAlign w:val="baseline"/>
        </w:rPr>
        <w:t> </w:t>
      </w:r>
      <w:r>
        <w:rPr>
          <w:vertAlign w:val="baseline"/>
        </w:rPr>
        <w:t>coronária,</w:t>
      </w:r>
      <w:r>
        <w:rPr>
          <w:spacing w:val="-6"/>
          <w:vertAlign w:val="baseline"/>
        </w:rPr>
        <w:t> </w:t>
      </w:r>
      <w:r>
        <w:rPr>
          <w:vertAlign w:val="baseline"/>
        </w:rPr>
        <w:t>especialmente</w:t>
      </w:r>
      <w:r>
        <w:rPr>
          <w:spacing w:val="-15"/>
          <w:vertAlign w:val="baseline"/>
        </w:rPr>
        <w:t> </w:t>
      </w:r>
      <w:r>
        <w:rPr>
          <w:vertAlign w:val="baseline"/>
        </w:rPr>
        <w:t>PGI</w:t>
      </w:r>
      <w:r>
        <w:rPr>
          <w:vertAlign w:val="subscript"/>
        </w:rPr>
        <w:t>2</w:t>
      </w:r>
      <w:r>
        <w:rPr>
          <w:vertAlign w:val="baseline"/>
        </w:rPr>
        <w:t>,</w:t>
      </w:r>
      <w:r>
        <w:rPr>
          <w:spacing w:val="-5"/>
          <w:vertAlign w:val="baseline"/>
        </w:rPr>
        <w:t> </w:t>
      </w:r>
      <w:r>
        <w:rPr>
          <w:vertAlign w:val="baseline"/>
        </w:rPr>
        <w:t>não</w:t>
      </w:r>
      <w:r>
        <w:rPr>
          <w:spacing w:val="-12"/>
          <w:vertAlign w:val="baseline"/>
        </w:rPr>
        <w:t> </w:t>
      </w:r>
      <w:r>
        <w:rPr>
          <w:vertAlign w:val="baseline"/>
        </w:rPr>
        <w:t>existe</w:t>
      </w:r>
      <w:r>
        <w:rPr>
          <w:spacing w:val="-15"/>
          <w:vertAlign w:val="baseline"/>
        </w:rPr>
        <w:t> </w:t>
      </w:r>
      <w:r>
        <w:rPr>
          <w:vertAlign w:val="baseline"/>
        </w:rPr>
        <w:t>até</w:t>
      </w:r>
      <w:r>
        <w:rPr>
          <w:spacing w:val="-14"/>
          <w:vertAlign w:val="baseline"/>
        </w:rPr>
        <w:t> </w:t>
      </w:r>
      <w:r>
        <w:rPr>
          <w:vertAlign w:val="baseline"/>
        </w:rPr>
        <w:t>o</w:t>
      </w:r>
      <w:r>
        <w:rPr>
          <w:spacing w:val="-12"/>
          <w:vertAlign w:val="baseline"/>
        </w:rPr>
        <w:t> </w:t>
      </w:r>
      <w:r>
        <w:rPr>
          <w:vertAlign w:val="baseline"/>
        </w:rPr>
        <w:t>momento</w:t>
      </w:r>
      <w:r>
        <w:rPr>
          <w:spacing w:val="-12"/>
          <w:vertAlign w:val="baseline"/>
        </w:rPr>
        <w:t> </w:t>
      </w:r>
      <w:r>
        <w:rPr>
          <w:vertAlign w:val="baseline"/>
        </w:rPr>
        <w:t>comprovação</w:t>
      </w:r>
      <w:r>
        <w:rPr>
          <w:spacing w:val="-12"/>
          <w:vertAlign w:val="baseline"/>
        </w:rPr>
        <w:t> </w:t>
      </w:r>
      <w:r>
        <w:rPr>
          <w:vertAlign w:val="baseline"/>
        </w:rPr>
        <w:t>de</w:t>
      </w:r>
      <w:r>
        <w:rPr>
          <w:spacing w:val="-15"/>
          <w:vertAlign w:val="baseline"/>
        </w:rPr>
        <w:t> </w:t>
      </w:r>
      <w:r>
        <w:rPr>
          <w:vertAlign w:val="baseline"/>
        </w:rPr>
        <w:t>sua</w:t>
      </w:r>
      <w:r>
        <w:rPr>
          <w:spacing w:val="-14"/>
          <w:vertAlign w:val="baseline"/>
        </w:rPr>
        <w:t> </w:t>
      </w:r>
      <w:r>
        <w:rPr>
          <w:vertAlign w:val="baseline"/>
        </w:rPr>
        <w:t>importância</w:t>
      </w:r>
      <w:r>
        <w:rPr>
          <w:spacing w:val="-14"/>
          <w:vertAlign w:val="baseline"/>
        </w:rPr>
        <w:t> </w:t>
      </w:r>
      <w:r>
        <w:rPr>
          <w:vertAlign w:val="baseline"/>
        </w:rPr>
        <w:t>no</w:t>
      </w:r>
      <w:r>
        <w:rPr>
          <w:spacing w:val="-12"/>
          <w:vertAlign w:val="baseline"/>
        </w:rPr>
        <w:t> </w:t>
      </w:r>
      <w:r>
        <w:rPr>
          <w:vertAlign w:val="baseline"/>
        </w:rPr>
        <w:t>controle da circulação coronária normal. Entretanto, alguns estudos destacam o tromboxano A2 como um potente vasoconstritor coronário nos pacientes portadores de doença coronária. Serotonina e vasopressina também produzem vasoconstrição, porém com efeitos mediados pela função endotelial, como será discutido posteriormente.</w:t>
      </w:r>
      <w:r>
        <w:rPr>
          <w:vertAlign w:val="superscript"/>
        </w:rPr>
        <w:t>12</w:t>
      </w:r>
      <w:r>
        <w:rPr>
          <w:vertAlign w:val="baseline"/>
        </w:rPr>
        <w:t> Alguns íons também podem interferir na circulação coronária, apesar de não estar estabelecida sua importância: o cálcio promove vasoconstrição; o magnésio, vasodilatação; o potássio tem resposta dose-dependente (doses baixas levam à vasodilatação, doses altas, à vasoconstrição), enquanto o sódio não tem influência. O</w:t>
      </w:r>
      <w:r>
        <w:rPr>
          <w:spacing w:val="-10"/>
          <w:vertAlign w:val="baseline"/>
        </w:rPr>
        <w:t> </w:t>
      </w:r>
      <w:r>
        <w:rPr>
          <w:vertAlign w:val="baseline"/>
        </w:rPr>
        <w:t>hormônio</w:t>
      </w:r>
      <w:r>
        <w:rPr>
          <w:spacing w:val="-8"/>
          <w:vertAlign w:val="baseline"/>
        </w:rPr>
        <w:t> </w:t>
      </w:r>
      <w:r>
        <w:rPr>
          <w:vertAlign w:val="baseline"/>
        </w:rPr>
        <w:t>tireoidiano</w:t>
      </w:r>
      <w:r>
        <w:rPr>
          <w:spacing w:val="-8"/>
          <w:vertAlign w:val="baseline"/>
        </w:rPr>
        <w:t> </w:t>
      </w:r>
      <w:r>
        <w:rPr>
          <w:vertAlign w:val="baseline"/>
        </w:rPr>
        <w:t>produz</w:t>
      </w:r>
      <w:r>
        <w:rPr>
          <w:spacing w:val="-10"/>
          <w:vertAlign w:val="baseline"/>
        </w:rPr>
        <w:t> </w:t>
      </w:r>
      <w:r>
        <w:rPr>
          <w:vertAlign w:val="baseline"/>
        </w:rPr>
        <w:t>vasodilatação</w:t>
      </w:r>
      <w:r>
        <w:rPr>
          <w:spacing w:val="-8"/>
          <w:vertAlign w:val="baseline"/>
        </w:rPr>
        <w:t> </w:t>
      </w:r>
      <w:r>
        <w:rPr>
          <w:vertAlign w:val="baseline"/>
        </w:rPr>
        <w:t>secundária</w:t>
      </w:r>
      <w:r>
        <w:rPr>
          <w:spacing w:val="-10"/>
          <w:vertAlign w:val="baseline"/>
        </w:rPr>
        <w:t> </w:t>
      </w:r>
      <w:r>
        <w:rPr>
          <w:vertAlign w:val="baseline"/>
        </w:rPr>
        <w:t>ao</w:t>
      </w:r>
      <w:r>
        <w:rPr>
          <w:spacing w:val="-8"/>
          <w:vertAlign w:val="baseline"/>
        </w:rPr>
        <w:t> </w:t>
      </w:r>
      <w:r>
        <w:rPr>
          <w:vertAlign w:val="baseline"/>
        </w:rPr>
        <w:t>aumento</w:t>
      </w:r>
      <w:r>
        <w:rPr>
          <w:spacing w:val="-8"/>
          <w:vertAlign w:val="baseline"/>
        </w:rPr>
        <w:t> </w:t>
      </w:r>
      <w:r>
        <w:rPr>
          <w:vertAlign w:val="baseline"/>
        </w:rPr>
        <w:t>do</w:t>
      </w:r>
      <w:r>
        <w:rPr>
          <w:spacing w:val="-8"/>
          <w:vertAlign w:val="baseline"/>
        </w:rPr>
        <w:t> </w:t>
      </w:r>
      <w:r>
        <w:rPr>
          <w:vertAlign w:val="baseline"/>
        </w:rPr>
        <w:t>consumo</w:t>
      </w:r>
      <w:r>
        <w:rPr>
          <w:spacing w:val="-8"/>
          <w:vertAlign w:val="baseline"/>
        </w:rPr>
        <w:t> </w:t>
      </w:r>
      <w:r>
        <w:rPr>
          <w:vertAlign w:val="baseline"/>
        </w:rPr>
        <w:t>de</w:t>
      </w:r>
      <w:r>
        <w:rPr>
          <w:spacing w:val="-10"/>
          <w:vertAlign w:val="baseline"/>
        </w:rPr>
        <w:t> </w:t>
      </w:r>
      <w:r>
        <w:rPr>
          <w:vertAlign w:val="baseline"/>
        </w:rPr>
        <w:t>oxigênio</w:t>
      </w:r>
      <w:r>
        <w:rPr>
          <w:spacing w:val="-8"/>
          <w:vertAlign w:val="baseline"/>
        </w:rPr>
        <w:t> </w:t>
      </w:r>
      <w:r>
        <w:rPr>
          <w:vertAlign w:val="baseline"/>
        </w:rPr>
        <w:t>pelos seus efeitos na</w:t>
      </w:r>
      <w:r>
        <w:rPr>
          <w:spacing w:val="-2"/>
          <w:vertAlign w:val="baseline"/>
        </w:rPr>
        <w:t> </w:t>
      </w:r>
      <w:r>
        <w:rPr>
          <w:vertAlign w:val="baseline"/>
        </w:rPr>
        <w:t>frequência</w:t>
      </w:r>
      <w:r>
        <w:rPr>
          <w:spacing w:val="-2"/>
          <w:vertAlign w:val="baseline"/>
        </w:rPr>
        <w:t> </w:t>
      </w:r>
      <w:r>
        <w:rPr>
          <w:vertAlign w:val="baseline"/>
        </w:rPr>
        <w:t>cardíaca</w:t>
      </w:r>
      <w:r>
        <w:rPr>
          <w:spacing w:val="-2"/>
          <w:vertAlign w:val="baseline"/>
        </w:rPr>
        <w:t> </w:t>
      </w:r>
      <w:r>
        <w:rPr>
          <w:vertAlign w:val="baseline"/>
        </w:rPr>
        <w:t>e</w:t>
      </w:r>
      <w:r>
        <w:rPr>
          <w:spacing w:val="-2"/>
          <w:vertAlign w:val="baseline"/>
        </w:rPr>
        <w:t> </w:t>
      </w:r>
      <w:r>
        <w:rPr>
          <w:vertAlign w:val="baseline"/>
        </w:rPr>
        <w:t>contratilidade</w:t>
      </w:r>
      <w:r>
        <w:rPr>
          <w:spacing w:val="-2"/>
          <w:vertAlign w:val="baseline"/>
        </w:rPr>
        <w:t> </w:t>
      </w:r>
      <w:r>
        <w:rPr>
          <w:vertAlign w:val="baseline"/>
        </w:rPr>
        <w:t>miocárdica, o mesmo ocorrendo com o glucagon. As catecolaminas, como norepinefrina e epinefrina, estimulam receptores a dos vasos coronários, promovendo vasoconstrição direta, mas também indiretamente levam à vasodilatação, pelo aumento do consumo de oxigênio. Já a dopamina tem seu efeito relacionado com dose</w:t>
      </w:r>
      <w:r>
        <w:rPr>
          <w:spacing w:val="-3"/>
          <w:vertAlign w:val="baseline"/>
        </w:rPr>
        <w:t> </w:t>
      </w:r>
      <w:r>
        <w:rPr>
          <w:vertAlign w:val="baseline"/>
        </w:rPr>
        <w:t>administrada, mas em geral provoca</w:t>
      </w:r>
      <w:r>
        <w:rPr>
          <w:spacing w:val="-3"/>
          <w:vertAlign w:val="baseline"/>
        </w:rPr>
        <w:t> </w:t>
      </w:r>
      <w:r>
        <w:rPr>
          <w:vertAlign w:val="baseline"/>
        </w:rPr>
        <w:t>vasodilatação coronária.</w:t>
      </w:r>
    </w:p>
    <w:p>
      <w:pPr>
        <w:pStyle w:val="BodyText"/>
        <w:spacing w:after="0" w:line="278" w:lineRule="auto"/>
        <w:sectPr>
          <w:pgSz w:w="11900" w:h="16840"/>
          <w:pgMar w:top="280" w:bottom="280" w:left="566" w:right="141"/>
        </w:sectPr>
      </w:pPr>
    </w:p>
    <w:p>
      <w:pPr>
        <w:pStyle w:val="Heading7"/>
        <w:spacing w:before="66"/>
      </w:pPr>
      <w:r>
        <w:rPr>
          <w:color w:val="242B67"/>
        </w:rPr>
        <w:t>Fatores </w:t>
      </w:r>
      <w:r>
        <w:rPr>
          <w:color w:val="242B67"/>
          <w:spacing w:val="-2"/>
        </w:rPr>
        <w:t>neurais</w:t>
      </w:r>
    </w:p>
    <w:p>
      <w:pPr>
        <w:pStyle w:val="BodyText"/>
        <w:spacing w:line="278" w:lineRule="auto" w:before="127"/>
        <w:ind w:right="491"/>
      </w:pPr>
      <w:r>
        <w:rPr/>
        <w:t>Os vasos coronários e o miocárdio são ricamente inervados tanto por terminações simpáticas quanto parassimpáticas, com suas ações exercendo importante influência no tônus vasomotor. A inervação simpática do coração e dos vasos coronários se origina no plexo cervical e nos quatro primeiros gânglios simpáticos torácicos. As fibras simpáticas inervam vasos coronários epicárdicos e intramiocárdicos. Os grandes vasos possuem receptores a e b</w:t>
      </w:r>
      <w:r>
        <w:rPr>
          <w:vertAlign w:val="subscript"/>
        </w:rPr>
        <w:t>2</w:t>
      </w:r>
      <w:r>
        <w:rPr>
          <w:vertAlign w:val="baseline"/>
        </w:rPr>
        <w:t>, enquanto nos pequenos vasos predominam receptores b</w:t>
      </w:r>
      <w:r>
        <w:rPr>
          <w:vertAlign w:val="subscript"/>
        </w:rPr>
        <w:t>2</w:t>
      </w:r>
      <w:r>
        <w:rPr>
          <w:vertAlign w:val="baseline"/>
        </w:rPr>
        <w:t>. O estímulo simpático produz vasoconstrição</w:t>
      </w:r>
      <w:r>
        <w:rPr>
          <w:spacing w:val="-10"/>
          <w:vertAlign w:val="baseline"/>
        </w:rPr>
        <w:t> </w:t>
      </w:r>
      <w:r>
        <w:rPr>
          <w:vertAlign w:val="baseline"/>
        </w:rPr>
        <w:t>das</w:t>
      </w:r>
      <w:r>
        <w:rPr>
          <w:spacing w:val="-3"/>
          <w:vertAlign w:val="baseline"/>
        </w:rPr>
        <w:t> </w:t>
      </w:r>
      <w:r>
        <w:rPr>
          <w:vertAlign w:val="baseline"/>
        </w:rPr>
        <w:t>artérias</w:t>
      </w:r>
      <w:r>
        <w:rPr>
          <w:spacing w:val="-3"/>
          <w:vertAlign w:val="baseline"/>
        </w:rPr>
        <w:t> </w:t>
      </w:r>
      <w:r>
        <w:rPr>
          <w:vertAlign w:val="baseline"/>
        </w:rPr>
        <w:t>coronárias,</w:t>
      </w:r>
      <w:r>
        <w:rPr>
          <w:spacing w:val="-3"/>
          <w:vertAlign w:val="baseline"/>
        </w:rPr>
        <w:t> </w:t>
      </w:r>
      <w:r>
        <w:rPr>
          <w:vertAlign w:val="baseline"/>
        </w:rPr>
        <w:t>ação</w:t>
      </w:r>
      <w:r>
        <w:rPr>
          <w:spacing w:val="-10"/>
          <w:vertAlign w:val="baseline"/>
        </w:rPr>
        <w:t> </w:t>
      </w:r>
      <w:r>
        <w:rPr>
          <w:vertAlign w:val="baseline"/>
        </w:rPr>
        <w:t>que</w:t>
      </w:r>
      <w:r>
        <w:rPr>
          <w:spacing w:val="-13"/>
          <w:vertAlign w:val="baseline"/>
        </w:rPr>
        <w:t> </w:t>
      </w:r>
      <w:r>
        <w:rPr>
          <w:vertAlign w:val="baseline"/>
        </w:rPr>
        <w:t>geralmente</w:t>
      </w:r>
      <w:r>
        <w:rPr>
          <w:spacing w:val="-13"/>
          <w:vertAlign w:val="baseline"/>
        </w:rPr>
        <w:t> </w:t>
      </w:r>
      <w:r>
        <w:rPr>
          <w:vertAlign w:val="baseline"/>
        </w:rPr>
        <w:t>é</w:t>
      </w:r>
      <w:r>
        <w:rPr>
          <w:spacing w:val="-13"/>
          <w:vertAlign w:val="baseline"/>
        </w:rPr>
        <w:t> </w:t>
      </w:r>
      <w:r>
        <w:rPr>
          <w:vertAlign w:val="baseline"/>
        </w:rPr>
        <w:t>atenuada</w:t>
      </w:r>
      <w:r>
        <w:rPr>
          <w:spacing w:val="-13"/>
          <w:vertAlign w:val="baseline"/>
        </w:rPr>
        <w:t> </w:t>
      </w:r>
      <w:r>
        <w:rPr>
          <w:vertAlign w:val="baseline"/>
        </w:rPr>
        <w:t>pela</w:t>
      </w:r>
      <w:r>
        <w:rPr>
          <w:spacing w:val="-13"/>
          <w:vertAlign w:val="baseline"/>
        </w:rPr>
        <w:t> </w:t>
      </w:r>
      <w:r>
        <w:rPr>
          <w:vertAlign w:val="baseline"/>
        </w:rPr>
        <w:t>vasodilatação</w:t>
      </w:r>
      <w:r>
        <w:rPr>
          <w:spacing w:val="-10"/>
          <w:vertAlign w:val="baseline"/>
        </w:rPr>
        <w:t> </w:t>
      </w:r>
      <w:r>
        <w:rPr>
          <w:vertAlign w:val="baseline"/>
        </w:rPr>
        <w:t>secundária</w:t>
      </w:r>
      <w:r>
        <w:rPr>
          <w:spacing w:val="-13"/>
          <w:vertAlign w:val="baseline"/>
        </w:rPr>
        <w:t> </w:t>
      </w:r>
      <w:r>
        <w:rPr>
          <w:vertAlign w:val="baseline"/>
        </w:rPr>
        <w:t>ao</w:t>
      </w:r>
      <w:r>
        <w:rPr>
          <w:spacing w:val="-10"/>
          <w:vertAlign w:val="baseline"/>
        </w:rPr>
        <w:t> </w:t>
      </w:r>
      <w:r>
        <w:rPr>
          <w:vertAlign w:val="baseline"/>
        </w:rPr>
        <w:t>aumento</w:t>
      </w:r>
      <w:r>
        <w:rPr>
          <w:spacing w:val="-10"/>
          <w:vertAlign w:val="baseline"/>
        </w:rPr>
        <w:t> </w:t>
      </w:r>
      <w:r>
        <w:rPr>
          <w:vertAlign w:val="baseline"/>
        </w:rPr>
        <w:t>do metabolismo miocárdico devido à resposta concomitante de aumento da frequência cardíaca e da contratilidade miocárdica. Já os receptores b</w:t>
      </w:r>
      <w:r>
        <w:rPr>
          <w:vertAlign w:val="subscript"/>
        </w:rPr>
        <w:t>1</w:t>
      </w:r>
      <w:r>
        <w:rPr>
          <w:vertAlign w:val="baseline"/>
        </w:rPr>
        <w:t> e b</w:t>
      </w:r>
      <w:r>
        <w:rPr>
          <w:vertAlign w:val="subscript"/>
        </w:rPr>
        <w:t>2</w:t>
      </w:r>
      <w:r>
        <w:rPr>
          <w:vertAlign w:val="baseline"/>
        </w:rPr>
        <w:t> nas pequenas artérias medeiam vasodilatação. A inervação parassimpática do coração é realizada pelo nervo vago. Existe constatação experimental de que o estímulo vagal promove vasodilatação direta coronária mediada pela acetilcolina. Em organismos normais, o estímulo vagal promove bradicardia e diminuição da contratilidade miocárdica, resultando em vasoconstrição secundária. Apesar da influência discreta da inervação autonômica direta das coronárias sobre o fluxo coronário, existem outros tipos de modulação, além de esta também poder ser desencadeada por ação reflexa. O sistema simpático é estimulado em resposta a alterações da pressão arterial, por via reflexa de baroceptores existentes no seio carotídeo, assim como quimioceptores carotídeos (que podem detectar acidose, hipoxia, hipercapnia), levando a efeito vasodilatador mediado</w:t>
      </w:r>
      <w:r>
        <w:rPr>
          <w:spacing w:val="-11"/>
          <w:vertAlign w:val="baseline"/>
        </w:rPr>
        <w:t> </w:t>
      </w:r>
      <w:r>
        <w:rPr>
          <w:vertAlign w:val="baseline"/>
        </w:rPr>
        <w:t>pelo</w:t>
      </w:r>
      <w:r>
        <w:rPr>
          <w:spacing w:val="-11"/>
          <w:vertAlign w:val="baseline"/>
        </w:rPr>
        <w:t> </w:t>
      </w:r>
      <w:r>
        <w:rPr>
          <w:vertAlign w:val="baseline"/>
        </w:rPr>
        <w:t>vago.</w:t>
      </w:r>
      <w:r>
        <w:rPr>
          <w:spacing w:val="-4"/>
          <w:vertAlign w:val="baseline"/>
        </w:rPr>
        <w:t> </w:t>
      </w:r>
      <w:r>
        <w:rPr>
          <w:vertAlign w:val="baseline"/>
        </w:rPr>
        <w:t>Existem</w:t>
      </w:r>
      <w:r>
        <w:rPr>
          <w:spacing w:val="-11"/>
          <w:vertAlign w:val="baseline"/>
        </w:rPr>
        <w:t> </w:t>
      </w:r>
      <w:r>
        <w:rPr>
          <w:vertAlign w:val="baseline"/>
        </w:rPr>
        <w:t>ainda</w:t>
      </w:r>
      <w:r>
        <w:rPr>
          <w:spacing w:val="-13"/>
          <w:vertAlign w:val="baseline"/>
        </w:rPr>
        <w:t> </w:t>
      </w:r>
      <w:r>
        <w:rPr>
          <w:vertAlign w:val="baseline"/>
        </w:rPr>
        <w:t>evidências</w:t>
      </w:r>
      <w:r>
        <w:rPr>
          <w:spacing w:val="-4"/>
          <w:vertAlign w:val="baseline"/>
        </w:rPr>
        <w:t> </w:t>
      </w:r>
      <w:r>
        <w:rPr>
          <w:vertAlign w:val="baseline"/>
        </w:rPr>
        <w:t>discretas</w:t>
      </w:r>
      <w:r>
        <w:rPr>
          <w:spacing w:val="-4"/>
          <w:vertAlign w:val="baseline"/>
        </w:rPr>
        <w:t> </w:t>
      </w:r>
      <w:r>
        <w:rPr>
          <w:vertAlign w:val="baseline"/>
        </w:rPr>
        <w:t>de</w:t>
      </w:r>
      <w:r>
        <w:rPr>
          <w:spacing w:val="-13"/>
          <w:vertAlign w:val="baseline"/>
        </w:rPr>
        <w:t> </w:t>
      </w:r>
      <w:r>
        <w:rPr>
          <w:vertAlign w:val="baseline"/>
        </w:rPr>
        <w:t>constrição</w:t>
      </w:r>
      <w:r>
        <w:rPr>
          <w:spacing w:val="-11"/>
          <w:vertAlign w:val="baseline"/>
        </w:rPr>
        <w:t> </w:t>
      </w:r>
      <w:r>
        <w:rPr>
          <w:vertAlign w:val="baseline"/>
        </w:rPr>
        <w:t>coronária</w:t>
      </w:r>
      <w:r>
        <w:rPr>
          <w:spacing w:val="-13"/>
          <w:vertAlign w:val="baseline"/>
        </w:rPr>
        <w:t> </w:t>
      </w:r>
      <w:r>
        <w:rPr>
          <w:vertAlign w:val="baseline"/>
        </w:rPr>
        <w:t>reflexa</w:t>
      </w:r>
      <w:r>
        <w:rPr>
          <w:spacing w:val="-13"/>
          <w:vertAlign w:val="baseline"/>
        </w:rPr>
        <w:t> </w:t>
      </w:r>
      <w:r>
        <w:rPr>
          <w:vertAlign w:val="baseline"/>
        </w:rPr>
        <w:t>desencadeada</w:t>
      </w:r>
      <w:r>
        <w:rPr>
          <w:spacing w:val="-13"/>
          <w:vertAlign w:val="baseline"/>
        </w:rPr>
        <w:t> </w:t>
      </w:r>
      <w:r>
        <w:rPr>
          <w:vertAlign w:val="baseline"/>
        </w:rPr>
        <w:t>por</w:t>
      </w:r>
      <w:r>
        <w:rPr>
          <w:spacing w:val="-6"/>
          <w:vertAlign w:val="baseline"/>
        </w:rPr>
        <w:t> </w:t>
      </w:r>
      <w:r>
        <w:rPr>
          <w:vertAlign w:val="baseline"/>
        </w:rPr>
        <w:t>fenômenos periféricos, como quando há gastrite ou colecistite.</w:t>
      </w:r>
    </w:p>
    <w:p>
      <w:pPr>
        <w:pStyle w:val="BodyText"/>
        <w:spacing w:before="123"/>
        <w:ind w:left="0" w:firstLine="0"/>
        <w:jc w:val="left"/>
      </w:pPr>
    </w:p>
    <w:p>
      <w:pPr>
        <w:pStyle w:val="Heading5"/>
      </w:pPr>
      <w:r>
        <w:rPr>
          <w:color w:val="A26108"/>
        </w:rPr>
        <w:t>Autorregulação</w:t>
      </w:r>
      <w:r>
        <w:rPr>
          <w:color w:val="A26108"/>
          <w:spacing w:val="24"/>
        </w:rPr>
        <w:t> </w:t>
      </w:r>
      <w:r>
        <w:rPr>
          <w:color w:val="A26108"/>
        </w:rPr>
        <w:t>do</w:t>
      </w:r>
      <w:r>
        <w:rPr>
          <w:color w:val="A26108"/>
          <w:spacing w:val="24"/>
        </w:rPr>
        <w:t> </w:t>
      </w:r>
      <w:r>
        <w:rPr>
          <w:color w:val="A26108"/>
        </w:rPr>
        <w:t>fluxo</w:t>
      </w:r>
      <w:r>
        <w:rPr>
          <w:color w:val="A26108"/>
          <w:spacing w:val="24"/>
        </w:rPr>
        <w:t> </w:t>
      </w:r>
      <w:r>
        <w:rPr>
          <w:color w:val="A26108"/>
          <w:spacing w:val="-2"/>
        </w:rPr>
        <w:t>coronário</w:t>
      </w:r>
    </w:p>
    <w:p>
      <w:pPr>
        <w:pStyle w:val="BodyText"/>
        <w:spacing w:line="278" w:lineRule="auto" w:before="138"/>
        <w:ind w:right="497"/>
      </w:pPr>
      <w:r>
        <w:rPr/>
        <w:t>A autorregulação coronária é o fenômeno que preserva o fluxo em situações nas quais ocorrem alterações súbitas e transitórias da pressão de perfusão. Com um nível de pressão entre 60 e 130 mmHg, consegue-se manter constante o fluxo coronário. Esse mecanismo é mais eficiente no subepicárdio, sendo explicado por dois mecanismos: miogênico (fenômeno Bayliss), com vasoconstrição da musculatura lisa vascular e aumento da pressão de perfusão; e controle metabólico, pelo qual a hipoxia estimularia o acúmulo de metabólicos vasodilatadores, aumentando o fluxo coronário.</w:t>
      </w:r>
      <w:r>
        <w:rPr>
          <w:vertAlign w:val="superscript"/>
        </w:rPr>
        <w:t>5</w:t>
      </w:r>
    </w:p>
    <w:p>
      <w:pPr>
        <w:pStyle w:val="BodyText"/>
        <w:spacing w:before="134"/>
        <w:ind w:left="0" w:firstLine="0"/>
        <w:jc w:val="left"/>
      </w:pPr>
    </w:p>
    <w:p>
      <w:pPr>
        <w:pStyle w:val="Heading5"/>
      </w:pPr>
      <w:r>
        <w:rPr>
          <w:color w:val="A26108"/>
        </w:rPr>
        <w:t>Papel</w:t>
      </w:r>
      <w:r>
        <w:rPr>
          <w:color w:val="A26108"/>
          <w:spacing w:val="13"/>
        </w:rPr>
        <w:t> </w:t>
      </w:r>
      <w:r>
        <w:rPr>
          <w:color w:val="A26108"/>
        </w:rPr>
        <w:t>do</w:t>
      </w:r>
      <w:r>
        <w:rPr>
          <w:color w:val="A26108"/>
          <w:spacing w:val="14"/>
        </w:rPr>
        <w:t> </w:t>
      </w:r>
      <w:r>
        <w:rPr>
          <w:color w:val="A26108"/>
          <w:spacing w:val="-2"/>
        </w:rPr>
        <w:t>endotélio</w:t>
      </w:r>
    </w:p>
    <w:p>
      <w:pPr>
        <w:pStyle w:val="BodyText"/>
        <w:spacing w:line="278" w:lineRule="auto" w:before="138"/>
        <w:ind w:right="497"/>
      </w:pPr>
      <w:r>
        <w:rPr/>
        <w:t>A camada interna dos vasos sanguíneos, denominada endotélio, é recoberta por células epiteliais especiais. Trata-se de uma monocamada pavimentosa entre o sangue circulante e a camada média do músculo liso vascular. Mas seu</w:t>
      </w:r>
      <w:r>
        <w:rPr>
          <w:spacing w:val="-7"/>
        </w:rPr>
        <w:t> </w:t>
      </w:r>
      <w:r>
        <w:rPr/>
        <w:t>papel</w:t>
      </w:r>
      <w:r>
        <w:rPr>
          <w:spacing w:val="-5"/>
        </w:rPr>
        <w:t> </w:t>
      </w:r>
      <w:r>
        <w:rPr/>
        <w:t>não</w:t>
      </w:r>
      <w:r>
        <w:rPr>
          <w:spacing w:val="-7"/>
        </w:rPr>
        <w:t> </w:t>
      </w:r>
      <w:r>
        <w:rPr/>
        <w:t>se</w:t>
      </w:r>
      <w:r>
        <w:rPr>
          <w:spacing w:val="-10"/>
        </w:rPr>
        <w:t> </w:t>
      </w:r>
      <w:r>
        <w:rPr/>
        <w:t>resume</w:t>
      </w:r>
      <w:r>
        <w:rPr>
          <w:spacing w:val="-10"/>
        </w:rPr>
        <w:t> </w:t>
      </w:r>
      <w:r>
        <w:rPr/>
        <w:t>apenas a</w:t>
      </w:r>
      <w:r>
        <w:rPr>
          <w:spacing w:val="-10"/>
        </w:rPr>
        <w:t> </w:t>
      </w:r>
      <w:r>
        <w:rPr/>
        <w:t>ser</w:t>
      </w:r>
      <w:r>
        <w:rPr>
          <w:spacing w:val="-2"/>
        </w:rPr>
        <w:t> </w:t>
      </w:r>
      <w:r>
        <w:rPr/>
        <w:t>uma</w:t>
      </w:r>
      <w:r>
        <w:rPr>
          <w:spacing w:val="-10"/>
        </w:rPr>
        <w:t> </w:t>
      </w:r>
      <w:r>
        <w:rPr/>
        <w:t>simples camada</w:t>
      </w:r>
      <w:r>
        <w:rPr>
          <w:spacing w:val="-10"/>
        </w:rPr>
        <w:t> </w:t>
      </w:r>
      <w:r>
        <w:rPr/>
        <w:t>de</w:t>
      </w:r>
      <w:r>
        <w:rPr>
          <w:spacing w:val="-10"/>
        </w:rPr>
        <w:t> </w:t>
      </w:r>
      <w:r>
        <w:rPr/>
        <w:t>revestimento, sendo</w:t>
      </w:r>
      <w:r>
        <w:rPr>
          <w:spacing w:val="-7"/>
        </w:rPr>
        <w:t> </w:t>
      </w:r>
      <w:r>
        <w:rPr/>
        <w:t>atribuídas à</w:t>
      </w:r>
      <w:r>
        <w:rPr>
          <w:spacing w:val="-10"/>
        </w:rPr>
        <w:t> </w:t>
      </w:r>
      <w:r>
        <w:rPr/>
        <w:t>célula</w:t>
      </w:r>
      <w:r>
        <w:rPr>
          <w:spacing w:val="-10"/>
        </w:rPr>
        <w:t> </w:t>
      </w:r>
      <w:r>
        <w:rPr/>
        <w:t>endotelial várias funções: metabolismo de substâncias vasoativas, inativação da norepinefrina, serotonina e bradicinina e formação de prostaglandinas. Atualmente considerado um órgão endócrino ativo, sintetiza e libera substâncias vasoativas que modulam o tônus, calibre vascular e fluxo sanguíneo em resposta a estímulos humorais, neurais e mecânicos, sendo fundamental no controle da circulação.</w:t>
      </w:r>
      <w:r>
        <w:rPr>
          <w:vertAlign w:val="superscript"/>
        </w:rPr>
        <w:t>13,14</w:t>
      </w:r>
    </w:p>
    <w:p>
      <w:pPr>
        <w:pStyle w:val="BodyText"/>
        <w:spacing w:line="276" w:lineRule="auto" w:before="47"/>
        <w:ind w:right="491"/>
      </w:pPr>
      <w:r>
        <w:rPr/>
        <w:t>Dentre</w:t>
      </w:r>
      <w:r>
        <w:rPr>
          <w:spacing w:val="-15"/>
        </w:rPr>
        <w:t> </w:t>
      </w:r>
      <w:r>
        <w:rPr/>
        <w:t>as</w:t>
      </w:r>
      <w:r>
        <w:rPr>
          <w:spacing w:val="-5"/>
        </w:rPr>
        <w:t> </w:t>
      </w:r>
      <w:r>
        <w:rPr/>
        <w:t>várias</w:t>
      </w:r>
      <w:r>
        <w:rPr>
          <w:spacing w:val="-6"/>
        </w:rPr>
        <w:t> </w:t>
      </w:r>
      <w:r>
        <w:rPr/>
        <w:t>substâncias</w:t>
      </w:r>
      <w:r>
        <w:rPr>
          <w:spacing w:val="-6"/>
        </w:rPr>
        <w:t> </w:t>
      </w:r>
      <w:r>
        <w:rPr/>
        <w:t>produzidas</w:t>
      </w:r>
      <w:r>
        <w:rPr>
          <w:spacing w:val="-6"/>
        </w:rPr>
        <w:t> </w:t>
      </w:r>
      <w:r>
        <w:rPr/>
        <w:t>pelo</w:t>
      </w:r>
      <w:r>
        <w:rPr>
          <w:spacing w:val="-12"/>
        </w:rPr>
        <w:t> </w:t>
      </w:r>
      <w:r>
        <w:rPr/>
        <w:t>endotélio,</w:t>
      </w:r>
      <w:r>
        <w:rPr>
          <w:spacing w:val="-6"/>
        </w:rPr>
        <w:t> </w:t>
      </w:r>
      <w:r>
        <w:rPr/>
        <w:t>destacam-se</w:t>
      </w:r>
      <w:r>
        <w:rPr>
          <w:spacing w:val="-15"/>
        </w:rPr>
        <w:t> </w:t>
      </w:r>
      <w:r>
        <w:rPr/>
        <w:t>os</w:t>
      </w:r>
      <w:r>
        <w:rPr>
          <w:spacing w:val="-5"/>
        </w:rPr>
        <w:t> </w:t>
      </w:r>
      <w:r>
        <w:rPr/>
        <w:t>fatores</w:t>
      </w:r>
      <w:r>
        <w:rPr>
          <w:spacing w:val="-6"/>
        </w:rPr>
        <w:t> </w:t>
      </w:r>
      <w:r>
        <w:rPr/>
        <w:t>relaxantes</w:t>
      </w:r>
      <w:r>
        <w:rPr>
          <w:spacing w:val="-6"/>
        </w:rPr>
        <w:t> </w:t>
      </w:r>
      <w:r>
        <w:rPr/>
        <w:t>derivados</w:t>
      </w:r>
      <w:r>
        <w:rPr>
          <w:spacing w:val="-6"/>
        </w:rPr>
        <w:t> </w:t>
      </w:r>
      <w:r>
        <w:rPr/>
        <w:t>do</w:t>
      </w:r>
      <w:r>
        <w:rPr>
          <w:spacing w:val="-12"/>
        </w:rPr>
        <w:t> </w:t>
      </w:r>
      <w:r>
        <w:rPr/>
        <w:t>endotélio (EDRF) – óxido nítrico, prostaciclina – e os fatores constritores derivados do endotélio (EDCF) – endotelina, tromboxano, PGH</w:t>
      </w:r>
      <w:r>
        <w:rPr>
          <w:vertAlign w:val="subscript"/>
        </w:rPr>
        <w:t>2</w:t>
      </w:r>
      <w:r>
        <w:rPr>
          <w:vertAlign w:val="baseline"/>
        </w:rPr>
        <w:t>.</w:t>
      </w:r>
    </w:p>
    <w:p>
      <w:pPr>
        <w:pStyle w:val="BodyText"/>
        <w:spacing w:line="290" w:lineRule="auto" w:before="81"/>
        <w:ind w:right="491"/>
      </w:pPr>
      <w:r>
        <w:rPr/>
        <w:t>O endotélio tem ação fisiológica protetora do vaso sanguíneo, já que com endotélio preservado há produção normal</w:t>
      </w:r>
      <w:r>
        <w:rPr>
          <w:spacing w:val="-3"/>
        </w:rPr>
        <w:t> </w:t>
      </w:r>
      <w:r>
        <w:rPr/>
        <w:t>de</w:t>
      </w:r>
      <w:r>
        <w:rPr>
          <w:spacing w:val="-8"/>
        </w:rPr>
        <w:t> </w:t>
      </w:r>
      <w:r>
        <w:rPr/>
        <w:t>óxido</w:t>
      </w:r>
      <w:r>
        <w:rPr>
          <w:spacing w:val="-5"/>
        </w:rPr>
        <w:t> </w:t>
      </w:r>
      <w:r>
        <w:rPr/>
        <w:t>nítrico</w:t>
      </w:r>
      <w:r>
        <w:rPr>
          <w:spacing w:val="-5"/>
        </w:rPr>
        <w:t> </w:t>
      </w:r>
      <w:r>
        <w:rPr/>
        <w:t>e</w:t>
      </w:r>
      <w:r>
        <w:rPr>
          <w:spacing w:val="-8"/>
        </w:rPr>
        <w:t> </w:t>
      </w:r>
      <w:r>
        <w:rPr/>
        <w:t>PGI</w:t>
      </w:r>
      <w:r>
        <w:rPr>
          <w:vertAlign w:val="subscript"/>
        </w:rPr>
        <w:t>2</w:t>
      </w:r>
      <w:r>
        <w:rPr>
          <w:vertAlign w:val="baseline"/>
        </w:rPr>
        <w:t>, inibição</w:t>
      </w:r>
      <w:r>
        <w:rPr>
          <w:spacing w:val="-5"/>
          <w:vertAlign w:val="baseline"/>
        </w:rPr>
        <w:t> </w:t>
      </w:r>
      <w:r>
        <w:rPr>
          <w:vertAlign w:val="baseline"/>
        </w:rPr>
        <w:t>da</w:t>
      </w:r>
      <w:r>
        <w:rPr>
          <w:spacing w:val="-9"/>
          <w:vertAlign w:val="baseline"/>
        </w:rPr>
        <w:t> </w:t>
      </w:r>
      <w:r>
        <w:rPr>
          <w:vertAlign w:val="baseline"/>
        </w:rPr>
        <w:t>adesão</w:t>
      </w:r>
      <w:r>
        <w:rPr>
          <w:spacing w:val="-5"/>
          <w:vertAlign w:val="baseline"/>
        </w:rPr>
        <w:t> </w:t>
      </w:r>
      <w:r>
        <w:rPr>
          <w:vertAlign w:val="baseline"/>
        </w:rPr>
        <w:t>e</w:t>
      </w:r>
      <w:r>
        <w:rPr>
          <w:spacing w:val="-9"/>
          <w:vertAlign w:val="baseline"/>
        </w:rPr>
        <w:t> </w:t>
      </w:r>
      <w:r>
        <w:rPr>
          <w:vertAlign w:val="baseline"/>
        </w:rPr>
        <w:t>agregação</w:t>
      </w:r>
      <w:r>
        <w:rPr>
          <w:spacing w:val="-5"/>
          <w:vertAlign w:val="baseline"/>
        </w:rPr>
        <w:t> </w:t>
      </w:r>
      <w:r>
        <w:rPr>
          <w:vertAlign w:val="baseline"/>
        </w:rPr>
        <w:t>plaquetária</w:t>
      </w:r>
      <w:r>
        <w:rPr>
          <w:spacing w:val="-9"/>
          <w:vertAlign w:val="baseline"/>
        </w:rPr>
        <w:t> </w:t>
      </w:r>
      <w:r>
        <w:rPr>
          <w:vertAlign w:val="baseline"/>
        </w:rPr>
        <w:t>e</w:t>
      </w:r>
      <w:r>
        <w:rPr>
          <w:spacing w:val="-9"/>
          <w:vertAlign w:val="baseline"/>
        </w:rPr>
        <w:t> </w:t>
      </w:r>
      <w:r>
        <w:rPr>
          <w:vertAlign w:val="baseline"/>
        </w:rPr>
        <w:t>relaxamento</w:t>
      </w:r>
      <w:r>
        <w:rPr>
          <w:spacing w:val="-5"/>
          <w:vertAlign w:val="baseline"/>
        </w:rPr>
        <w:t> </w:t>
      </w:r>
      <w:r>
        <w:rPr>
          <w:vertAlign w:val="baseline"/>
        </w:rPr>
        <w:t>inicial</w:t>
      </w:r>
      <w:r>
        <w:rPr>
          <w:spacing w:val="-3"/>
          <w:vertAlign w:val="baseline"/>
        </w:rPr>
        <w:t> </w:t>
      </w:r>
      <w:r>
        <w:rPr>
          <w:vertAlign w:val="baseline"/>
        </w:rPr>
        <w:t>da</w:t>
      </w:r>
      <w:r>
        <w:rPr>
          <w:spacing w:val="-9"/>
          <w:vertAlign w:val="baseline"/>
        </w:rPr>
        <w:t> </w:t>
      </w:r>
      <w:r>
        <w:rPr>
          <w:vertAlign w:val="baseline"/>
        </w:rPr>
        <w:t>musculatura</w:t>
      </w:r>
      <w:r>
        <w:rPr>
          <w:spacing w:val="-9"/>
          <w:vertAlign w:val="baseline"/>
        </w:rPr>
        <w:t> </w:t>
      </w:r>
      <w:r>
        <w:rPr>
          <w:vertAlign w:val="baseline"/>
        </w:rPr>
        <w:t>lisa </w:t>
      </w:r>
      <w:r>
        <w:rPr>
          <w:spacing w:val="-2"/>
          <w:vertAlign w:val="baseline"/>
        </w:rPr>
        <w:t>arterial.</w:t>
      </w:r>
      <w:r>
        <w:rPr>
          <w:spacing w:val="-2"/>
          <w:vertAlign w:val="superscript"/>
        </w:rPr>
        <w:t>15</w:t>
      </w:r>
    </w:p>
    <w:p>
      <w:pPr>
        <w:pStyle w:val="BodyText"/>
        <w:spacing w:line="283" w:lineRule="auto" w:before="32"/>
        <w:ind w:right="491"/>
      </w:pPr>
      <w:r>
        <w:rPr/>
        <w:t>O</w:t>
      </w:r>
      <w:r>
        <w:rPr>
          <w:spacing w:val="-2"/>
        </w:rPr>
        <w:t> </w:t>
      </w:r>
      <w:r>
        <w:rPr/>
        <w:t>estudo clássico de</w:t>
      </w:r>
      <w:r>
        <w:rPr>
          <w:spacing w:val="-1"/>
        </w:rPr>
        <w:t> </w:t>
      </w:r>
      <w:r>
        <w:rPr/>
        <w:t>Furchgott e</w:t>
      </w:r>
      <w:r>
        <w:rPr>
          <w:spacing w:val="-1"/>
        </w:rPr>
        <w:t> </w:t>
      </w:r>
      <w:r>
        <w:rPr/>
        <w:t>Zawadzki demonstrou a</w:t>
      </w:r>
      <w:r>
        <w:rPr>
          <w:spacing w:val="-1"/>
        </w:rPr>
        <w:t> </w:t>
      </w:r>
      <w:r>
        <w:rPr/>
        <w:t>importância</w:t>
      </w:r>
      <w:r>
        <w:rPr>
          <w:spacing w:val="-1"/>
        </w:rPr>
        <w:t> </w:t>
      </w:r>
      <w:r>
        <w:rPr/>
        <w:t>da</w:t>
      </w:r>
      <w:r>
        <w:rPr>
          <w:spacing w:val="-1"/>
        </w:rPr>
        <w:t> </w:t>
      </w:r>
      <w:r>
        <w:rPr/>
        <w:t>mediação do endotélio, pela</w:t>
      </w:r>
      <w:r>
        <w:rPr>
          <w:spacing w:val="-1"/>
        </w:rPr>
        <w:t> </w:t>
      </w:r>
      <w:r>
        <w:rPr/>
        <w:t>liberação de EDRF, nas respostas vasculares. Quando um anel arterial com endotélio íntegro era submetido à ação da acetilcolina, ocorria</w:t>
      </w:r>
      <w:r>
        <w:rPr>
          <w:spacing w:val="-4"/>
        </w:rPr>
        <w:t> </w:t>
      </w:r>
      <w:r>
        <w:rPr/>
        <w:t>vasodilatação, enquanto</w:t>
      </w:r>
      <w:r>
        <w:rPr>
          <w:spacing w:val="-1"/>
        </w:rPr>
        <w:t> </w:t>
      </w:r>
      <w:r>
        <w:rPr/>
        <w:t>na</w:t>
      </w:r>
      <w:r>
        <w:rPr>
          <w:spacing w:val="-4"/>
        </w:rPr>
        <w:t> </w:t>
      </w:r>
      <w:r>
        <w:rPr/>
        <w:t>situação</w:t>
      </w:r>
      <w:r>
        <w:rPr>
          <w:spacing w:val="-1"/>
        </w:rPr>
        <w:t> </w:t>
      </w:r>
      <w:r>
        <w:rPr/>
        <w:t>de</w:t>
      </w:r>
      <w:r>
        <w:rPr>
          <w:spacing w:val="-4"/>
        </w:rPr>
        <w:t> </w:t>
      </w:r>
      <w:r>
        <w:rPr/>
        <w:t>endotélio</w:t>
      </w:r>
      <w:r>
        <w:rPr>
          <w:spacing w:val="-1"/>
        </w:rPr>
        <w:t> </w:t>
      </w:r>
      <w:r>
        <w:rPr/>
        <w:t>lesado</w:t>
      </w:r>
      <w:r>
        <w:rPr>
          <w:spacing w:val="-1"/>
        </w:rPr>
        <w:t> </w:t>
      </w:r>
      <w:r>
        <w:rPr/>
        <w:t>ocorria</w:t>
      </w:r>
      <w:r>
        <w:rPr>
          <w:spacing w:val="-4"/>
        </w:rPr>
        <w:t> </w:t>
      </w:r>
      <w:r>
        <w:rPr/>
        <w:t>vasoconstrição.</w:t>
      </w:r>
      <w:r>
        <w:rPr>
          <w:vertAlign w:val="superscript"/>
        </w:rPr>
        <w:t>16</w:t>
      </w:r>
    </w:p>
    <w:p>
      <w:pPr>
        <w:pStyle w:val="BodyText"/>
        <w:spacing w:line="276" w:lineRule="auto" w:before="57"/>
        <w:ind w:right="491"/>
      </w:pPr>
      <w:r>
        <w:rPr/>
        <w:t>Portanto, o endotélio tem importante influência no controle do tônus vascular coronário e no controle do fluxo coronário, o que pode ser comprovado por meio da análise da medida do diâmetro da artéria coronária epicárdica em resposta à acetilcolina, demonstrando-se a integridade funcional do endotélio vascular.</w:t>
      </w:r>
    </w:p>
    <w:p>
      <w:pPr>
        <w:pStyle w:val="BodyText"/>
        <w:spacing w:before="134"/>
        <w:ind w:left="0" w:firstLine="0"/>
        <w:jc w:val="left"/>
      </w:pPr>
    </w:p>
    <w:p>
      <w:pPr>
        <w:pStyle w:val="Heading5"/>
      </w:pPr>
      <w:r>
        <w:rPr>
          <w:color w:val="A26108"/>
        </w:rPr>
        <w:t>Distribuição</w:t>
      </w:r>
      <w:r>
        <w:rPr>
          <w:color w:val="A26108"/>
          <w:spacing w:val="20"/>
        </w:rPr>
        <w:t> </w:t>
      </w:r>
      <w:r>
        <w:rPr>
          <w:color w:val="A26108"/>
        </w:rPr>
        <w:t>do</w:t>
      </w:r>
      <w:r>
        <w:rPr>
          <w:color w:val="A26108"/>
          <w:spacing w:val="21"/>
        </w:rPr>
        <w:t> </w:t>
      </w:r>
      <w:r>
        <w:rPr>
          <w:color w:val="A26108"/>
        </w:rPr>
        <w:t>fluxo</w:t>
      </w:r>
      <w:r>
        <w:rPr>
          <w:color w:val="A26108"/>
          <w:spacing w:val="21"/>
        </w:rPr>
        <w:t> </w:t>
      </w:r>
      <w:r>
        <w:rPr>
          <w:color w:val="A26108"/>
          <w:spacing w:val="-2"/>
        </w:rPr>
        <w:t>coronário</w:t>
      </w:r>
    </w:p>
    <w:p>
      <w:pPr>
        <w:pStyle w:val="Heading5"/>
        <w:spacing w:after="0"/>
        <w:sectPr>
          <w:pgSz w:w="11900" w:h="16840"/>
          <w:pgMar w:top="220" w:bottom="280" w:left="566" w:right="141"/>
        </w:sectPr>
      </w:pPr>
    </w:p>
    <w:p>
      <w:pPr>
        <w:pStyle w:val="Heading7"/>
        <w:spacing w:before="65"/>
      </w:pPr>
      <w:r>
        <w:rPr>
          <w:color w:val="242B67"/>
        </w:rPr>
        <w:t>Subendocárdio e </w:t>
      </w:r>
      <w:r>
        <w:rPr>
          <w:color w:val="242B67"/>
          <w:spacing w:val="-2"/>
        </w:rPr>
        <w:t>subepicárdio</w:t>
      </w:r>
    </w:p>
    <w:p>
      <w:pPr>
        <w:pStyle w:val="BodyText"/>
        <w:spacing w:line="276" w:lineRule="auto" w:before="127"/>
        <w:ind w:right="491"/>
      </w:pPr>
      <w:r>
        <w:rPr/>
        <w:t>Modelos experimentais demonstram</w:t>
      </w:r>
      <w:r>
        <w:rPr>
          <w:spacing w:val="-7"/>
        </w:rPr>
        <w:t> </w:t>
      </w:r>
      <w:r>
        <w:rPr/>
        <w:t>que</w:t>
      </w:r>
      <w:r>
        <w:rPr>
          <w:spacing w:val="-9"/>
        </w:rPr>
        <w:t> </w:t>
      </w:r>
      <w:r>
        <w:rPr/>
        <w:t>o</w:t>
      </w:r>
      <w:r>
        <w:rPr>
          <w:spacing w:val="-7"/>
        </w:rPr>
        <w:t> </w:t>
      </w:r>
      <w:r>
        <w:rPr/>
        <w:t>consumo</w:t>
      </w:r>
      <w:r>
        <w:rPr>
          <w:spacing w:val="-7"/>
        </w:rPr>
        <w:t> </w:t>
      </w:r>
      <w:r>
        <w:rPr/>
        <w:t>de</w:t>
      </w:r>
      <w:r>
        <w:rPr>
          <w:spacing w:val="-9"/>
        </w:rPr>
        <w:t> </w:t>
      </w:r>
      <w:r>
        <w:rPr/>
        <w:t>oxigênio</w:t>
      </w:r>
      <w:r>
        <w:rPr>
          <w:spacing w:val="-7"/>
        </w:rPr>
        <w:t> </w:t>
      </w:r>
      <w:r>
        <w:rPr/>
        <w:t>miocárdico</w:t>
      </w:r>
      <w:r>
        <w:rPr>
          <w:spacing w:val="-7"/>
        </w:rPr>
        <w:t> </w:t>
      </w:r>
      <w:r>
        <w:rPr/>
        <w:t>no</w:t>
      </w:r>
      <w:r>
        <w:rPr>
          <w:spacing w:val="-7"/>
        </w:rPr>
        <w:t> </w:t>
      </w:r>
      <w:r>
        <w:rPr/>
        <w:t>repouso</w:t>
      </w:r>
      <w:r>
        <w:rPr>
          <w:spacing w:val="-7"/>
        </w:rPr>
        <w:t> </w:t>
      </w:r>
      <w:r>
        <w:rPr/>
        <w:t>é</w:t>
      </w:r>
      <w:r>
        <w:rPr>
          <w:spacing w:val="-9"/>
        </w:rPr>
        <w:t> </w:t>
      </w:r>
      <w:r>
        <w:rPr/>
        <w:t>de</w:t>
      </w:r>
      <w:r>
        <w:rPr>
          <w:spacing w:val="-9"/>
        </w:rPr>
        <w:t> </w:t>
      </w:r>
      <w:r>
        <w:rPr/>
        <w:t>10</w:t>
      </w:r>
      <w:r>
        <w:rPr>
          <w:spacing w:val="-7"/>
        </w:rPr>
        <w:t> </w:t>
      </w:r>
      <w:r>
        <w:rPr/>
        <w:t>a</w:t>
      </w:r>
      <w:r>
        <w:rPr>
          <w:spacing w:val="-9"/>
        </w:rPr>
        <w:t> </w:t>
      </w:r>
      <w:r>
        <w:rPr/>
        <w:t>30%</w:t>
      </w:r>
      <w:r>
        <w:rPr>
          <w:spacing w:val="-4"/>
        </w:rPr>
        <w:t> </w:t>
      </w:r>
      <w:r>
        <w:rPr/>
        <w:t>maior</w:t>
      </w:r>
      <w:r>
        <w:rPr>
          <w:spacing w:val="-1"/>
        </w:rPr>
        <w:t> </w:t>
      </w:r>
      <w:r>
        <w:rPr/>
        <w:t>no subendocárdio do que no subepicárdio; ou seja, o subendocárdio proporcionalmente recebe um fluxo maior de sangue. Entretanto, durante condições em que há aumento do consumo de oxigênio, o fluxo sanguíneo coronário torna-se igual nas diferentes camadas do miocárdio. Já outros estudos em humanos normais sugerem que ocorre distribuição homogênea do fluxo coronário nas diversas camadas do miocárdio quando em repouso. Também há evidências de que o subendocárdio do ventrículo esquerdo tem vasculatura mais densa e maior pressão intramiocárdica, estresse de parede e consumo de oxigênio do que o subepicárdio, além de sofrer forças de compressão extravascular maiores durante a sístole.</w:t>
      </w:r>
    </w:p>
    <w:p>
      <w:pPr>
        <w:pStyle w:val="BodyText"/>
        <w:spacing w:line="276" w:lineRule="auto"/>
        <w:ind w:right="491"/>
      </w:pPr>
      <w:r>
        <w:rPr/>
        <w:t>Devido a</w:t>
      </w:r>
      <w:r>
        <w:rPr>
          <w:spacing w:val="-1"/>
        </w:rPr>
        <w:t> </w:t>
      </w:r>
      <w:r>
        <w:rPr/>
        <w:t>essas condições fisiológicas díspares entre</w:t>
      </w:r>
      <w:r>
        <w:rPr>
          <w:spacing w:val="-1"/>
        </w:rPr>
        <w:t> </w:t>
      </w:r>
      <w:r>
        <w:rPr/>
        <w:t>o subendocárdio e</w:t>
      </w:r>
      <w:r>
        <w:rPr>
          <w:spacing w:val="-1"/>
        </w:rPr>
        <w:t> </w:t>
      </w:r>
      <w:r>
        <w:rPr/>
        <w:t>subepicárdio, compreende-se</w:t>
      </w:r>
      <w:r>
        <w:rPr>
          <w:spacing w:val="-1"/>
        </w:rPr>
        <w:t> </w:t>
      </w:r>
      <w:r>
        <w:rPr/>
        <w:t>por que</w:t>
      </w:r>
      <w:r>
        <w:rPr>
          <w:spacing w:val="-1"/>
        </w:rPr>
        <w:t> </w:t>
      </w:r>
      <w:r>
        <w:rPr/>
        <w:t>o subendocárdio é especialmente sensível a taquicardia, hipertrofia miocárdica e condições de aumento da pressão diastólica, culminando em isquemia</w:t>
      </w:r>
      <w:r>
        <w:rPr>
          <w:spacing w:val="-3"/>
        </w:rPr>
        <w:t> </w:t>
      </w:r>
      <w:r>
        <w:rPr/>
        <w:t>miocárdica</w:t>
      </w:r>
      <w:r>
        <w:rPr>
          <w:spacing w:val="-3"/>
        </w:rPr>
        <w:t> </w:t>
      </w:r>
      <w:r>
        <w:rPr/>
        <w:t>anterior e</w:t>
      </w:r>
      <w:r>
        <w:rPr>
          <w:spacing w:val="-3"/>
        </w:rPr>
        <w:t> </w:t>
      </w:r>
      <w:r>
        <w:rPr/>
        <w:t>de</w:t>
      </w:r>
      <w:r>
        <w:rPr>
          <w:spacing w:val="-3"/>
        </w:rPr>
        <w:t> </w:t>
      </w:r>
      <w:r>
        <w:rPr/>
        <w:t>maior intensidade</w:t>
      </w:r>
      <w:r>
        <w:rPr>
          <w:spacing w:val="-3"/>
        </w:rPr>
        <w:t> </w:t>
      </w:r>
      <w:r>
        <w:rPr/>
        <w:t>do que</w:t>
      </w:r>
      <w:r>
        <w:rPr>
          <w:spacing w:val="-3"/>
        </w:rPr>
        <w:t> </w:t>
      </w:r>
      <w:r>
        <w:rPr/>
        <w:t>ocorre</w:t>
      </w:r>
      <w:r>
        <w:rPr>
          <w:spacing w:val="-3"/>
        </w:rPr>
        <w:t> </w:t>
      </w:r>
      <w:r>
        <w:rPr/>
        <w:t>no epicárdio.</w:t>
      </w:r>
    </w:p>
    <w:p>
      <w:pPr>
        <w:pStyle w:val="BodyText"/>
        <w:spacing w:before="8"/>
        <w:ind w:left="0" w:firstLine="0"/>
        <w:jc w:val="left"/>
      </w:pPr>
    </w:p>
    <w:p>
      <w:pPr>
        <w:pStyle w:val="Heading7"/>
      </w:pPr>
      <w:r>
        <w:rPr>
          <w:color w:val="242B67"/>
        </w:rPr>
        <w:t>Ventrículo esquerdo e ventrículo </w:t>
      </w:r>
      <w:r>
        <w:rPr>
          <w:color w:val="242B67"/>
          <w:spacing w:val="-2"/>
        </w:rPr>
        <w:t>direito</w:t>
      </w:r>
    </w:p>
    <w:p>
      <w:pPr>
        <w:pStyle w:val="BodyText"/>
        <w:spacing w:line="278" w:lineRule="auto" w:before="143"/>
        <w:ind w:right="488"/>
      </w:pPr>
      <w:r>
        <w:rPr/>
        <w:t>Durante a sístole ventricular, a pressão intramiocárdica do ventrículo esquerdo excede a pressão sistólica aórtica, quase</w:t>
      </w:r>
      <w:r>
        <w:rPr>
          <w:spacing w:val="-11"/>
        </w:rPr>
        <w:t> </w:t>
      </w:r>
      <w:r>
        <w:rPr/>
        <w:t>impedindo</w:t>
      </w:r>
      <w:r>
        <w:rPr>
          <w:spacing w:val="-8"/>
        </w:rPr>
        <w:t> </w:t>
      </w:r>
      <w:r>
        <w:rPr/>
        <w:t>o</w:t>
      </w:r>
      <w:r>
        <w:rPr>
          <w:spacing w:val="-8"/>
        </w:rPr>
        <w:t> </w:t>
      </w:r>
      <w:r>
        <w:rPr/>
        <w:t>fluxo</w:t>
      </w:r>
      <w:r>
        <w:rPr>
          <w:spacing w:val="-8"/>
        </w:rPr>
        <w:t> </w:t>
      </w:r>
      <w:r>
        <w:rPr/>
        <w:t>coronário. Consequentemente, o</w:t>
      </w:r>
      <w:r>
        <w:rPr>
          <w:spacing w:val="-8"/>
        </w:rPr>
        <w:t> </w:t>
      </w:r>
      <w:r>
        <w:rPr/>
        <w:t>ventrículo</w:t>
      </w:r>
      <w:r>
        <w:rPr>
          <w:spacing w:val="-8"/>
        </w:rPr>
        <w:t> </w:t>
      </w:r>
      <w:r>
        <w:rPr/>
        <w:t>esquerdo</w:t>
      </w:r>
      <w:r>
        <w:rPr>
          <w:spacing w:val="-8"/>
        </w:rPr>
        <w:t> </w:t>
      </w:r>
      <w:r>
        <w:rPr/>
        <w:t>recebe</w:t>
      </w:r>
      <w:r>
        <w:rPr>
          <w:spacing w:val="-11"/>
        </w:rPr>
        <w:t> </w:t>
      </w:r>
      <w:r>
        <w:rPr/>
        <w:t>a</w:t>
      </w:r>
      <w:r>
        <w:rPr>
          <w:spacing w:val="-11"/>
        </w:rPr>
        <w:t> </w:t>
      </w:r>
      <w:r>
        <w:rPr/>
        <w:t>maior</w:t>
      </w:r>
      <w:r>
        <w:rPr>
          <w:spacing w:val="-3"/>
        </w:rPr>
        <w:t> </w:t>
      </w:r>
      <w:r>
        <w:rPr/>
        <w:t>parte</w:t>
      </w:r>
      <w:r>
        <w:rPr>
          <w:spacing w:val="-11"/>
        </w:rPr>
        <w:t> </w:t>
      </w:r>
      <w:r>
        <w:rPr/>
        <w:t>do</w:t>
      </w:r>
      <w:r>
        <w:rPr>
          <w:spacing w:val="-8"/>
        </w:rPr>
        <w:t> </w:t>
      </w:r>
      <w:r>
        <w:rPr/>
        <w:t>fluxo sanguíneo</w:t>
      </w:r>
      <w:r>
        <w:rPr>
          <w:spacing w:val="-1"/>
        </w:rPr>
        <w:t> </w:t>
      </w:r>
      <w:r>
        <w:rPr/>
        <w:t>durante</w:t>
      </w:r>
      <w:r>
        <w:rPr>
          <w:spacing w:val="-4"/>
        </w:rPr>
        <w:t> </w:t>
      </w:r>
      <w:r>
        <w:rPr/>
        <w:t>a</w:t>
      </w:r>
      <w:r>
        <w:rPr>
          <w:spacing w:val="-4"/>
        </w:rPr>
        <w:t> </w:t>
      </w:r>
      <w:r>
        <w:rPr/>
        <w:t>diástole. Já</w:t>
      </w:r>
      <w:r>
        <w:rPr>
          <w:spacing w:val="-4"/>
        </w:rPr>
        <w:t> </w:t>
      </w:r>
      <w:r>
        <w:rPr/>
        <w:t>o</w:t>
      </w:r>
      <w:r>
        <w:rPr>
          <w:spacing w:val="-1"/>
        </w:rPr>
        <w:t> </w:t>
      </w:r>
      <w:r>
        <w:rPr/>
        <w:t>ventrículo</w:t>
      </w:r>
      <w:r>
        <w:rPr>
          <w:spacing w:val="-1"/>
        </w:rPr>
        <w:t> </w:t>
      </w:r>
      <w:r>
        <w:rPr/>
        <w:t>direito, por ter menor massa</w:t>
      </w:r>
      <w:r>
        <w:rPr>
          <w:spacing w:val="-4"/>
        </w:rPr>
        <w:t> </w:t>
      </w:r>
      <w:r>
        <w:rPr/>
        <w:t>muscular, sofrer menos a</w:t>
      </w:r>
      <w:r>
        <w:rPr>
          <w:spacing w:val="-4"/>
        </w:rPr>
        <w:t> </w:t>
      </w:r>
      <w:r>
        <w:rPr/>
        <w:t>ação</w:t>
      </w:r>
      <w:r>
        <w:rPr>
          <w:spacing w:val="-1"/>
        </w:rPr>
        <w:t> </w:t>
      </w:r>
      <w:r>
        <w:rPr/>
        <w:t>das forças da contração miocárdica, acaba recebendo fluxo sanguíneo mais equalizado, tanto durante a sístole como na diástole. A curva comparando o fluxo coronário durante o ciclo cardíaco nas artérias coronárias esquerda e direita foi demonstrada por Berne e Levy.</w:t>
      </w:r>
      <w:r>
        <w:rPr>
          <w:vertAlign w:val="superscript"/>
        </w:rPr>
        <w:t>8</w:t>
      </w:r>
    </w:p>
    <w:p>
      <w:pPr>
        <w:pStyle w:val="BodyText"/>
        <w:spacing w:before="186"/>
        <w:ind w:left="0" w:firstLine="0"/>
        <w:jc w:val="left"/>
      </w:pPr>
    </w:p>
    <w:p>
      <w:pPr>
        <w:pStyle w:val="Heading4"/>
      </w:pPr>
      <w:r>
        <w:rPr>
          <w:color w:val="242B67"/>
        </w:rPr>
        <w:t>Conceito e </w:t>
      </w:r>
      <w:r>
        <w:rPr>
          <w:color w:val="242B67"/>
          <w:spacing w:val="-2"/>
        </w:rPr>
        <w:t>fisiopatologia</w:t>
      </w:r>
    </w:p>
    <w:p>
      <w:pPr>
        <w:pStyle w:val="BodyText"/>
        <w:spacing w:line="280" w:lineRule="auto" w:before="132"/>
        <w:ind w:right="490"/>
      </w:pPr>
      <w:r>
        <w:rPr/>
        <w:t>A insuficiência coronária se caracteriza por um desequilíbrio entre a oferta e o consumo de oxigênio (O</w:t>
      </w:r>
      <w:r>
        <w:rPr>
          <w:vertAlign w:val="subscript"/>
        </w:rPr>
        <w:t>2</w:t>
      </w:r>
      <w:r>
        <w:rPr>
          <w:vertAlign w:val="baseline"/>
        </w:rPr>
        <w:t>) pelo miocárdio consequente a alterações em qualquer ponto da circulação coronária, desde a origem das artérias coronárias até</w:t>
      </w:r>
      <w:r>
        <w:rPr>
          <w:spacing w:val="-2"/>
          <w:vertAlign w:val="baseline"/>
        </w:rPr>
        <w:t> </w:t>
      </w:r>
      <w:r>
        <w:rPr>
          <w:vertAlign w:val="baseline"/>
        </w:rPr>
        <w:t>distúrbios da</w:t>
      </w:r>
      <w:r>
        <w:rPr>
          <w:spacing w:val="-2"/>
          <w:vertAlign w:val="baseline"/>
        </w:rPr>
        <w:t> </w:t>
      </w:r>
      <w:r>
        <w:rPr>
          <w:vertAlign w:val="baseline"/>
        </w:rPr>
        <w:t>microcirculação, causando isquemia</w:t>
      </w:r>
      <w:r>
        <w:rPr>
          <w:spacing w:val="-2"/>
          <w:vertAlign w:val="baseline"/>
        </w:rPr>
        <w:t> </w:t>
      </w:r>
      <w:r>
        <w:rPr>
          <w:vertAlign w:val="baseline"/>
        </w:rPr>
        <w:t>celular com acometimento regional transmural ou isquemias focais com perda gradativa de músculo cardíaco.</w:t>
      </w:r>
    </w:p>
    <w:p>
      <w:pPr>
        <w:pStyle w:val="BodyText"/>
        <w:spacing w:line="283" w:lineRule="auto" w:before="59"/>
        <w:ind w:right="488"/>
      </w:pPr>
      <w:r>
        <w:rPr/>
        <w:t>Vários fatores que influenciam a oferta e o consumo de oxigênio pela célula miocárdica estão apresentados na </w:t>
      </w:r>
      <w:r>
        <w:rPr>
          <w:color w:val="505050"/>
        </w:rPr>
        <w:t>Figura</w:t>
      </w:r>
      <w:r>
        <w:rPr>
          <w:color w:val="505050"/>
          <w:spacing w:val="-11"/>
        </w:rPr>
        <w:t> </w:t>
      </w:r>
      <w:r>
        <w:rPr>
          <w:color w:val="505050"/>
        </w:rPr>
        <w:t>56.1</w:t>
      </w:r>
      <w:r>
        <w:rPr/>
        <w:t>, desde</w:t>
      </w:r>
      <w:r>
        <w:rPr>
          <w:spacing w:val="-4"/>
        </w:rPr>
        <w:t> </w:t>
      </w:r>
      <w:r>
        <w:rPr/>
        <w:t>alterações anatômicas (obstrução</w:t>
      </w:r>
      <w:r>
        <w:rPr>
          <w:spacing w:val="-1"/>
        </w:rPr>
        <w:t> </w:t>
      </w:r>
      <w:r>
        <w:rPr/>
        <w:t>coronária) até</w:t>
      </w:r>
      <w:r>
        <w:rPr>
          <w:spacing w:val="-4"/>
        </w:rPr>
        <w:t> </w:t>
      </w:r>
      <w:r>
        <w:rPr/>
        <w:t>funcionais.</w:t>
      </w:r>
      <w:r>
        <w:rPr>
          <w:vertAlign w:val="superscript"/>
        </w:rPr>
        <w:t>17</w:t>
      </w:r>
      <w:r>
        <w:rPr>
          <w:vertAlign w:val="baseline"/>
        </w:rPr>
        <w:t> Os fatores determinantes da</w:t>
      </w:r>
      <w:r>
        <w:rPr>
          <w:spacing w:val="-4"/>
          <w:vertAlign w:val="baseline"/>
        </w:rPr>
        <w:t> </w:t>
      </w:r>
      <w:r>
        <w:rPr>
          <w:vertAlign w:val="baseline"/>
        </w:rPr>
        <w:t>oferta de oxigênio são a capacidade de condução de O</w:t>
      </w:r>
      <w:r>
        <w:rPr>
          <w:vertAlign w:val="subscript"/>
        </w:rPr>
        <w:t>2</w:t>
      </w:r>
      <w:r>
        <w:rPr>
          <w:vertAlign w:val="baseline"/>
        </w:rPr>
        <w:t> e fluxo coronário. Exemplo de alterações da condução são os distúrbios do transporte de oxigênio pelas hemácias, quer pela redução da concentração sérica destas, como na anemia, quer por anomalias congênitas ou adquiridas da hemoglobina, como na anemia falciforme, na intoxicação por monóxido de</w:t>
      </w:r>
      <w:r>
        <w:rPr>
          <w:spacing w:val="-1"/>
          <w:vertAlign w:val="baseline"/>
        </w:rPr>
        <w:t> </w:t>
      </w:r>
      <w:r>
        <w:rPr>
          <w:vertAlign w:val="baseline"/>
        </w:rPr>
        <w:t>carbono e</w:t>
      </w:r>
      <w:r>
        <w:rPr>
          <w:spacing w:val="-1"/>
          <w:vertAlign w:val="baseline"/>
        </w:rPr>
        <w:t> </w:t>
      </w:r>
      <w:r>
        <w:rPr>
          <w:vertAlign w:val="baseline"/>
        </w:rPr>
        <w:t>na</w:t>
      </w:r>
      <w:r>
        <w:rPr>
          <w:spacing w:val="-1"/>
          <w:vertAlign w:val="baseline"/>
        </w:rPr>
        <w:t> </w:t>
      </w:r>
      <w:r>
        <w:rPr>
          <w:vertAlign w:val="baseline"/>
        </w:rPr>
        <w:t>metaemoglobinemia. Já</w:t>
      </w:r>
      <w:r>
        <w:rPr>
          <w:spacing w:val="-1"/>
          <w:vertAlign w:val="baseline"/>
        </w:rPr>
        <w:t> </w:t>
      </w:r>
      <w:r>
        <w:rPr>
          <w:vertAlign w:val="baseline"/>
        </w:rPr>
        <w:t>o fluxo coronário tem como seus determinantes a</w:t>
      </w:r>
      <w:r>
        <w:rPr>
          <w:spacing w:val="-1"/>
          <w:vertAlign w:val="baseline"/>
        </w:rPr>
        <w:t> </w:t>
      </w:r>
      <w:r>
        <w:rPr>
          <w:vertAlign w:val="baseline"/>
        </w:rPr>
        <w:t>diferença de pressão entre a raiz da aorta e o átrio direito, as características da fase diastólica e a resistência vascular coronária. Os fatores que influenciam o consumo de O</w:t>
      </w:r>
      <w:r>
        <w:rPr>
          <w:vertAlign w:val="subscript"/>
        </w:rPr>
        <w:t>2</w:t>
      </w:r>
      <w:r>
        <w:rPr>
          <w:vertAlign w:val="baseline"/>
        </w:rPr>
        <w:t> são frequência cardíaca, tensão sistólica sobre a parede do ventrículo e força de contratilidade.</w:t>
      </w:r>
      <w:r>
        <w:rPr>
          <w:vertAlign w:val="superscript"/>
        </w:rPr>
        <w:t>5</w:t>
      </w:r>
    </w:p>
    <w:p>
      <w:pPr>
        <w:pStyle w:val="BodyText"/>
        <w:spacing w:line="280" w:lineRule="auto" w:before="43"/>
        <w:ind w:right="491"/>
      </w:pPr>
      <w:r>
        <w:rPr/>
        <w:t>Uma das principais causas da insuficiência coronariana é a redução do fluxo coronário por um obstáculo fixo causado</w:t>
      </w:r>
      <w:r>
        <w:rPr>
          <w:spacing w:val="-3"/>
        </w:rPr>
        <w:t> </w:t>
      </w:r>
      <w:r>
        <w:rPr/>
        <w:t>por uma</w:t>
      </w:r>
      <w:r>
        <w:rPr>
          <w:spacing w:val="-6"/>
        </w:rPr>
        <w:t> </w:t>
      </w:r>
      <w:r>
        <w:rPr/>
        <w:t>placa</w:t>
      </w:r>
      <w:r>
        <w:rPr>
          <w:spacing w:val="-6"/>
        </w:rPr>
        <w:t> </w:t>
      </w:r>
      <w:r>
        <w:rPr/>
        <w:t>aterosclerótica</w:t>
      </w:r>
      <w:r>
        <w:rPr>
          <w:spacing w:val="-6"/>
        </w:rPr>
        <w:t> </w:t>
      </w:r>
      <w:r>
        <w:rPr/>
        <w:t>nos vasos de</w:t>
      </w:r>
      <w:r>
        <w:rPr>
          <w:spacing w:val="-6"/>
        </w:rPr>
        <w:t> </w:t>
      </w:r>
      <w:r>
        <w:rPr/>
        <w:t>resistência</w:t>
      </w:r>
      <w:r>
        <w:rPr>
          <w:spacing w:val="-6"/>
        </w:rPr>
        <w:t> </w:t>
      </w:r>
      <w:r>
        <w:rPr/>
        <w:t>R1. Uma</w:t>
      </w:r>
      <w:r>
        <w:rPr>
          <w:spacing w:val="-6"/>
        </w:rPr>
        <w:t> </w:t>
      </w:r>
      <w:r>
        <w:rPr/>
        <w:t>redução</w:t>
      </w:r>
      <w:r>
        <w:rPr>
          <w:spacing w:val="-3"/>
        </w:rPr>
        <w:t> </w:t>
      </w:r>
      <w:r>
        <w:rPr/>
        <w:t>de</w:t>
      </w:r>
      <w:r>
        <w:rPr>
          <w:spacing w:val="-6"/>
        </w:rPr>
        <w:t> </w:t>
      </w:r>
      <w:r>
        <w:rPr/>
        <w:t>50% na</w:t>
      </w:r>
      <w:r>
        <w:rPr>
          <w:spacing w:val="-6"/>
        </w:rPr>
        <w:t> </w:t>
      </w:r>
      <w:r>
        <w:rPr/>
        <w:t>área</w:t>
      </w:r>
      <w:r>
        <w:rPr>
          <w:spacing w:val="-6"/>
        </w:rPr>
        <w:t> </w:t>
      </w:r>
      <w:r>
        <w:rPr/>
        <w:t>do</w:t>
      </w:r>
      <w:r>
        <w:rPr>
          <w:spacing w:val="-3"/>
        </w:rPr>
        <w:t> </w:t>
      </w:r>
      <w:r>
        <w:rPr/>
        <w:t>lúmen</w:t>
      </w:r>
      <w:r>
        <w:rPr>
          <w:spacing w:val="-3"/>
        </w:rPr>
        <w:t> </w:t>
      </w:r>
      <w:r>
        <w:rPr/>
        <w:t>vascular associada a um aumento do consumo de O</w:t>
      </w:r>
      <w:r>
        <w:rPr>
          <w:vertAlign w:val="subscript"/>
        </w:rPr>
        <w:t>2</w:t>
      </w:r>
      <w:r>
        <w:rPr>
          <w:vertAlign w:val="baseline"/>
        </w:rPr>
        <w:t> já é suficiente para provocar isquemia miocárdica. Esta aparecerá com menores consumos de</w:t>
      </w:r>
      <w:r>
        <w:rPr>
          <w:spacing w:val="-1"/>
          <w:vertAlign w:val="baseline"/>
        </w:rPr>
        <w:t> </w:t>
      </w:r>
      <w:r>
        <w:rPr>
          <w:vertAlign w:val="baseline"/>
        </w:rPr>
        <w:t>oxigênio quanto maior for a</w:t>
      </w:r>
      <w:r>
        <w:rPr>
          <w:spacing w:val="-1"/>
          <w:vertAlign w:val="baseline"/>
        </w:rPr>
        <w:t> </w:t>
      </w:r>
      <w:r>
        <w:rPr>
          <w:vertAlign w:val="baseline"/>
        </w:rPr>
        <w:t>redução do lúmen vascular. A</w:t>
      </w:r>
      <w:r>
        <w:rPr>
          <w:spacing w:val="-1"/>
          <w:vertAlign w:val="baseline"/>
        </w:rPr>
        <w:t> </w:t>
      </w:r>
      <w:r>
        <w:rPr>
          <w:vertAlign w:val="baseline"/>
        </w:rPr>
        <w:t>redução do fluxo coronário pode também ocorrer por alterações do tônus vascular e espasmo na artéria coronária, este último caracterizando a chamada angina de Prinzmetal. Em alguns pacientes, quando submetidos ao monitoramento eletrocardiográfico de 24</w:t>
      </w:r>
      <w:r>
        <w:rPr>
          <w:spacing w:val="-7"/>
          <w:vertAlign w:val="baseline"/>
        </w:rPr>
        <w:t> </w:t>
      </w:r>
      <w:r>
        <w:rPr>
          <w:vertAlign w:val="baseline"/>
        </w:rPr>
        <w:t>h, observamos alterações do</w:t>
      </w:r>
      <w:r>
        <w:rPr>
          <w:spacing w:val="-7"/>
          <w:vertAlign w:val="baseline"/>
        </w:rPr>
        <w:t> </w:t>
      </w:r>
      <w:r>
        <w:rPr>
          <w:vertAlign w:val="baseline"/>
        </w:rPr>
        <w:t>segmento</w:t>
      </w:r>
      <w:r>
        <w:rPr>
          <w:spacing w:val="-7"/>
          <w:vertAlign w:val="baseline"/>
        </w:rPr>
        <w:t> </w:t>
      </w:r>
      <w:r>
        <w:rPr>
          <w:vertAlign w:val="baseline"/>
        </w:rPr>
        <w:t>ST</w:t>
      </w:r>
      <w:r>
        <w:rPr>
          <w:spacing w:val="-2"/>
          <w:vertAlign w:val="baseline"/>
        </w:rPr>
        <w:t> </w:t>
      </w:r>
      <w:r>
        <w:rPr>
          <w:vertAlign w:val="baseline"/>
        </w:rPr>
        <w:t>(supra</w:t>
      </w:r>
      <w:r>
        <w:rPr>
          <w:spacing w:val="-9"/>
          <w:vertAlign w:val="baseline"/>
        </w:rPr>
        <w:t> </w:t>
      </w:r>
      <w:r>
        <w:rPr>
          <w:vertAlign w:val="baseline"/>
        </w:rPr>
        <w:t>ou</w:t>
      </w:r>
      <w:r>
        <w:rPr>
          <w:spacing w:val="-7"/>
          <w:vertAlign w:val="baseline"/>
        </w:rPr>
        <w:t> </w:t>
      </w:r>
      <w:r>
        <w:rPr>
          <w:vertAlign w:val="baseline"/>
        </w:rPr>
        <w:t>infradesnivelamento)</w:t>
      </w:r>
      <w:r>
        <w:rPr>
          <w:spacing w:val="-2"/>
          <w:vertAlign w:val="baseline"/>
        </w:rPr>
        <w:t> </w:t>
      </w:r>
      <w:r>
        <w:rPr>
          <w:vertAlign w:val="baseline"/>
        </w:rPr>
        <w:t>na</w:t>
      </w:r>
      <w:r>
        <w:rPr>
          <w:spacing w:val="-9"/>
          <w:vertAlign w:val="baseline"/>
        </w:rPr>
        <w:t> </w:t>
      </w:r>
      <w:r>
        <w:rPr>
          <w:vertAlign w:val="baseline"/>
        </w:rPr>
        <w:t>ausência</w:t>
      </w:r>
      <w:r>
        <w:rPr>
          <w:spacing w:val="-9"/>
          <w:vertAlign w:val="baseline"/>
        </w:rPr>
        <w:t> </w:t>
      </w:r>
      <w:r>
        <w:rPr>
          <w:vertAlign w:val="baseline"/>
        </w:rPr>
        <w:t>de</w:t>
      </w:r>
      <w:r>
        <w:rPr>
          <w:spacing w:val="-9"/>
          <w:vertAlign w:val="baseline"/>
        </w:rPr>
        <w:t> </w:t>
      </w:r>
      <w:r>
        <w:rPr>
          <w:vertAlign w:val="baseline"/>
        </w:rPr>
        <w:t>sintomas, situação</w:t>
      </w:r>
      <w:r>
        <w:rPr>
          <w:spacing w:val="-7"/>
          <w:vertAlign w:val="baseline"/>
        </w:rPr>
        <w:t> </w:t>
      </w:r>
      <w:r>
        <w:rPr>
          <w:vertAlign w:val="baseline"/>
        </w:rPr>
        <w:t>essa denominada de isquemia silenciosa.</w:t>
      </w:r>
      <w:r>
        <w:rPr>
          <w:vertAlign w:val="superscript"/>
        </w:rPr>
        <w:t>18,19</w:t>
      </w:r>
    </w:p>
    <w:p>
      <w:pPr>
        <w:pStyle w:val="BodyText"/>
        <w:spacing w:before="176"/>
        <w:ind w:left="0" w:firstLine="0"/>
        <w:jc w:val="left"/>
      </w:pPr>
    </w:p>
    <w:p>
      <w:pPr>
        <w:pStyle w:val="Heading4"/>
      </w:pPr>
      <w:r>
        <w:rPr>
          <w:color w:val="242B67"/>
          <w:spacing w:val="-2"/>
        </w:rPr>
        <w:t>Etiologia</w:t>
      </w:r>
    </w:p>
    <w:p>
      <w:pPr>
        <w:pStyle w:val="BodyText"/>
        <w:spacing w:line="276" w:lineRule="auto" w:before="131"/>
        <w:ind w:right="488"/>
      </w:pPr>
      <w:r>
        <w:rPr/>
        <w:t>A insuficiência coronária crônica pode ser classificada em obstrutiva ou não obstrutiva, conforme a existência ou</w:t>
      </w:r>
      <w:r>
        <w:rPr>
          <w:spacing w:val="-1"/>
        </w:rPr>
        <w:t> </w:t>
      </w:r>
      <w:r>
        <w:rPr/>
        <w:t>não</w:t>
      </w:r>
      <w:r>
        <w:rPr>
          <w:spacing w:val="-1"/>
        </w:rPr>
        <w:t> </w:t>
      </w:r>
      <w:r>
        <w:rPr/>
        <w:t>de</w:t>
      </w:r>
      <w:r>
        <w:rPr>
          <w:spacing w:val="-3"/>
        </w:rPr>
        <w:t> </w:t>
      </w:r>
      <w:r>
        <w:rPr/>
        <w:t>redução</w:t>
      </w:r>
      <w:r>
        <w:rPr>
          <w:spacing w:val="-1"/>
        </w:rPr>
        <w:t> </w:t>
      </w:r>
      <w:r>
        <w:rPr/>
        <w:t>do</w:t>
      </w:r>
      <w:r>
        <w:rPr>
          <w:spacing w:val="-1"/>
        </w:rPr>
        <w:t> </w:t>
      </w:r>
      <w:r>
        <w:rPr/>
        <w:t>lúmen</w:t>
      </w:r>
      <w:r>
        <w:rPr>
          <w:spacing w:val="-1"/>
        </w:rPr>
        <w:t> </w:t>
      </w:r>
      <w:r>
        <w:rPr/>
        <w:t>do</w:t>
      </w:r>
      <w:r>
        <w:rPr>
          <w:spacing w:val="-1"/>
        </w:rPr>
        <w:t> </w:t>
      </w:r>
      <w:r>
        <w:rPr/>
        <w:t>vaso. O</w:t>
      </w:r>
      <w:r>
        <w:rPr>
          <w:spacing w:val="-3"/>
        </w:rPr>
        <w:t> </w:t>
      </w:r>
      <w:r>
        <w:rPr/>
        <w:t>principal processo</w:t>
      </w:r>
      <w:r>
        <w:rPr>
          <w:spacing w:val="-1"/>
        </w:rPr>
        <w:t> </w:t>
      </w:r>
      <w:r>
        <w:rPr/>
        <w:t>etiopatogênico</w:t>
      </w:r>
      <w:r>
        <w:rPr>
          <w:spacing w:val="-1"/>
        </w:rPr>
        <w:t> </w:t>
      </w:r>
      <w:r>
        <w:rPr/>
        <w:t>da</w:t>
      </w:r>
      <w:r>
        <w:rPr>
          <w:spacing w:val="-3"/>
        </w:rPr>
        <w:t> </w:t>
      </w:r>
      <w:r>
        <w:rPr/>
        <w:t>doença</w:t>
      </w:r>
      <w:r>
        <w:rPr>
          <w:spacing w:val="-3"/>
        </w:rPr>
        <w:t> </w:t>
      </w:r>
      <w:r>
        <w:rPr/>
        <w:t>coronária</w:t>
      </w:r>
      <w:r>
        <w:rPr>
          <w:spacing w:val="-3"/>
        </w:rPr>
        <w:t> </w:t>
      </w:r>
      <w:r>
        <w:rPr/>
        <w:t>é</w:t>
      </w:r>
      <w:r>
        <w:rPr>
          <w:spacing w:val="-3"/>
        </w:rPr>
        <w:t> </w:t>
      </w:r>
      <w:r>
        <w:rPr/>
        <w:t>a</w:t>
      </w:r>
      <w:r>
        <w:rPr>
          <w:spacing w:val="-3"/>
        </w:rPr>
        <w:t> </w:t>
      </w:r>
      <w:r>
        <w:rPr/>
        <w:t>forma</w:t>
      </w:r>
      <w:r>
        <w:rPr>
          <w:spacing w:val="-3"/>
        </w:rPr>
        <w:t> </w:t>
      </w:r>
      <w:r>
        <w:rPr/>
        <w:t>obstrutiva pela aterosclerose, tema de capítulos específicos nesta publicação. Esse é um processo multifatorial ainda não completamente</w:t>
      </w:r>
      <w:r>
        <w:rPr>
          <w:spacing w:val="63"/>
        </w:rPr>
        <w:t> </w:t>
      </w:r>
      <w:r>
        <w:rPr/>
        <w:t>conhecido,</w:t>
      </w:r>
      <w:r>
        <w:rPr>
          <w:spacing w:val="75"/>
        </w:rPr>
        <w:t> </w:t>
      </w:r>
      <w:r>
        <w:rPr/>
        <w:t>com</w:t>
      </w:r>
      <w:r>
        <w:rPr>
          <w:spacing w:val="66"/>
        </w:rPr>
        <w:t> </w:t>
      </w:r>
      <w:r>
        <w:rPr/>
        <w:t>mecanismos</w:t>
      </w:r>
      <w:r>
        <w:rPr>
          <w:spacing w:val="75"/>
        </w:rPr>
        <w:t> </w:t>
      </w:r>
      <w:r>
        <w:rPr/>
        <w:t>de</w:t>
      </w:r>
      <w:r>
        <w:rPr>
          <w:spacing w:val="63"/>
        </w:rPr>
        <w:t> </w:t>
      </w:r>
      <w:r>
        <w:rPr/>
        <w:t>resposta</w:t>
      </w:r>
      <w:r>
        <w:rPr>
          <w:spacing w:val="63"/>
        </w:rPr>
        <w:t> </w:t>
      </w:r>
      <w:r>
        <w:rPr/>
        <w:t>à</w:t>
      </w:r>
      <w:r>
        <w:rPr>
          <w:spacing w:val="63"/>
        </w:rPr>
        <w:t> </w:t>
      </w:r>
      <w:r>
        <w:rPr/>
        <w:t>lesão,</w:t>
      </w:r>
      <w:r>
        <w:rPr>
          <w:spacing w:val="75"/>
        </w:rPr>
        <w:t> </w:t>
      </w:r>
      <w:r>
        <w:rPr/>
        <w:t>atividade</w:t>
      </w:r>
      <w:r>
        <w:rPr>
          <w:spacing w:val="63"/>
        </w:rPr>
        <w:t> </w:t>
      </w:r>
      <w:r>
        <w:rPr/>
        <w:t>imunoinflamatória,</w:t>
      </w:r>
      <w:r>
        <w:rPr>
          <w:spacing w:val="75"/>
        </w:rPr>
        <w:t> </w:t>
      </w:r>
      <w:r>
        <w:rPr/>
        <w:t>lipogênica</w:t>
      </w:r>
      <w:r>
        <w:rPr>
          <w:spacing w:val="63"/>
        </w:rPr>
        <w:t> </w:t>
      </w:r>
      <w:r>
        <w:rPr/>
        <w:t>e</w:t>
      </w:r>
    </w:p>
    <w:p>
      <w:pPr>
        <w:pStyle w:val="BodyText"/>
        <w:spacing w:after="0" w:line="276" w:lineRule="auto"/>
        <w:sectPr>
          <w:pgSz w:w="11900" w:h="16840"/>
          <w:pgMar w:top="220" w:bottom="280" w:left="566" w:right="141"/>
        </w:sectPr>
      </w:pPr>
    </w:p>
    <w:p>
      <w:pPr>
        <w:pStyle w:val="BodyText"/>
        <w:spacing w:line="278" w:lineRule="auto" w:before="77"/>
        <w:ind w:right="497" w:firstLine="0"/>
      </w:pPr>
      <w:r>
        <w:rPr/>
        <w:t>infecciosa. As consequências da aterosclerose são: obstrução de artérias coronárias epicárdicas, disfunção endotelial, alteração da agregabilidade plaquetária, trombose e espasmo. Essas alterações, em conjunto, levam à perda da reserva funcional coronária pelo aumento da resistência proximal devido a estenose fixa e aumento da resistência pelos aspectos funcionais, como alteração do tônus vascular e agregação celular, tornando o fluxo coronário sensível a alterações de pressão no óstio coronário, e assim promovendo o declínio da pressão de perfusão nos segmentos distais da circulação coronária. A doença tem caráter evolutivo, com progressão da obstrução</w:t>
      </w:r>
      <w:r>
        <w:rPr>
          <w:spacing w:val="-8"/>
        </w:rPr>
        <w:t> </w:t>
      </w:r>
      <w:r>
        <w:rPr/>
        <w:t>até</w:t>
      </w:r>
      <w:r>
        <w:rPr>
          <w:spacing w:val="-10"/>
        </w:rPr>
        <w:t> </w:t>
      </w:r>
      <w:r>
        <w:rPr/>
        <w:t>oclusão</w:t>
      </w:r>
      <w:r>
        <w:rPr>
          <w:spacing w:val="-8"/>
        </w:rPr>
        <w:t> </w:t>
      </w:r>
      <w:r>
        <w:rPr/>
        <w:t>do</w:t>
      </w:r>
      <w:r>
        <w:rPr>
          <w:spacing w:val="-8"/>
        </w:rPr>
        <w:t> </w:t>
      </w:r>
      <w:r>
        <w:rPr/>
        <w:t>lúmen</w:t>
      </w:r>
      <w:r>
        <w:rPr>
          <w:spacing w:val="-8"/>
        </w:rPr>
        <w:t> </w:t>
      </w:r>
      <w:r>
        <w:rPr/>
        <w:t>coronário</w:t>
      </w:r>
      <w:r>
        <w:rPr>
          <w:spacing w:val="-8"/>
        </w:rPr>
        <w:t> </w:t>
      </w:r>
      <w:r>
        <w:rPr/>
        <w:t>e</w:t>
      </w:r>
      <w:r>
        <w:rPr>
          <w:spacing w:val="-10"/>
        </w:rPr>
        <w:t> </w:t>
      </w:r>
      <w:r>
        <w:rPr/>
        <w:t>risco</w:t>
      </w:r>
      <w:r>
        <w:rPr>
          <w:spacing w:val="-8"/>
        </w:rPr>
        <w:t> </w:t>
      </w:r>
      <w:r>
        <w:rPr/>
        <w:t>de</w:t>
      </w:r>
      <w:r>
        <w:rPr>
          <w:spacing w:val="-10"/>
        </w:rPr>
        <w:t> </w:t>
      </w:r>
      <w:r>
        <w:rPr/>
        <w:t>instabilização</w:t>
      </w:r>
      <w:r>
        <w:rPr>
          <w:spacing w:val="-8"/>
        </w:rPr>
        <w:t> </w:t>
      </w:r>
      <w:r>
        <w:rPr/>
        <w:t>das placas, levando</w:t>
      </w:r>
      <w:r>
        <w:rPr>
          <w:spacing w:val="-8"/>
        </w:rPr>
        <w:t> </w:t>
      </w:r>
      <w:r>
        <w:rPr/>
        <w:t>aos eventos agudos (infarto</w:t>
      </w:r>
      <w:r>
        <w:rPr>
          <w:spacing w:val="-8"/>
        </w:rPr>
        <w:t> </w:t>
      </w:r>
      <w:r>
        <w:rPr/>
        <w:t>e angina instável).</w:t>
      </w:r>
      <w:r>
        <w:rPr>
          <w:vertAlign w:val="superscript"/>
        </w:rPr>
        <w:t>15,20</w:t>
      </w:r>
    </w:p>
    <w:p>
      <w:pPr>
        <w:pStyle w:val="BodyText"/>
        <w:spacing w:line="276" w:lineRule="auto" w:before="68"/>
        <w:ind w:right="491"/>
      </w:pPr>
      <w:r>
        <w:rPr/>
        <w:t>Os chamados fatores de</w:t>
      </w:r>
      <w:r>
        <w:rPr>
          <w:spacing w:val="-7"/>
        </w:rPr>
        <w:t> </w:t>
      </w:r>
      <w:r>
        <w:rPr/>
        <w:t>risco</w:t>
      </w:r>
      <w:r>
        <w:rPr>
          <w:spacing w:val="-5"/>
        </w:rPr>
        <w:t> </w:t>
      </w:r>
      <w:r>
        <w:rPr/>
        <w:t>para</w:t>
      </w:r>
      <w:r>
        <w:rPr>
          <w:spacing w:val="-7"/>
        </w:rPr>
        <w:t> </w:t>
      </w:r>
      <w:r>
        <w:rPr/>
        <w:t>a</w:t>
      </w:r>
      <w:r>
        <w:rPr>
          <w:spacing w:val="-7"/>
        </w:rPr>
        <w:t> </w:t>
      </w:r>
      <w:r>
        <w:rPr/>
        <w:t>doença</w:t>
      </w:r>
      <w:r>
        <w:rPr>
          <w:spacing w:val="-7"/>
        </w:rPr>
        <w:t> </w:t>
      </w:r>
      <w:r>
        <w:rPr/>
        <w:t>aterosclerótica</w:t>
      </w:r>
      <w:r>
        <w:rPr>
          <w:spacing w:val="-7"/>
        </w:rPr>
        <w:t> </w:t>
      </w:r>
      <w:r>
        <w:rPr/>
        <w:t>têm</w:t>
      </w:r>
      <w:r>
        <w:rPr>
          <w:spacing w:val="-5"/>
        </w:rPr>
        <w:t> </w:t>
      </w:r>
      <w:r>
        <w:rPr/>
        <w:t>papel</w:t>
      </w:r>
      <w:r>
        <w:rPr>
          <w:spacing w:val="-2"/>
        </w:rPr>
        <w:t> </w:t>
      </w:r>
      <w:r>
        <w:rPr/>
        <w:t>fundamental</w:t>
      </w:r>
      <w:r>
        <w:rPr>
          <w:spacing w:val="-2"/>
        </w:rPr>
        <w:t> </w:t>
      </w:r>
      <w:r>
        <w:rPr/>
        <w:t>tanto</w:t>
      </w:r>
      <w:r>
        <w:rPr>
          <w:spacing w:val="-5"/>
        </w:rPr>
        <w:t> </w:t>
      </w:r>
      <w:r>
        <w:rPr/>
        <w:t>na</w:t>
      </w:r>
      <w:r>
        <w:rPr>
          <w:spacing w:val="-7"/>
        </w:rPr>
        <w:t> </w:t>
      </w:r>
      <w:r>
        <w:rPr/>
        <w:t>etiopatogenia, como na determinação da suspeita diagnóstica, quanto na abordagem terapêutica, assumindo importância capital para a prevenção primária ou secundária. Os principais desses fatores de risco para doença coronária estão descritos na </w:t>
      </w:r>
      <w:r>
        <w:rPr>
          <w:color w:val="505050"/>
        </w:rPr>
        <w:t>Tabela 56.1</w:t>
      </w:r>
      <w:r>
        <w:rPr/>
        <w:t>.</w:t>
      </w:r>
    </w:p>
    <w:p>
      <w:pPr>
        <w:pStyle w:val="BodyText"/>
        <w:spacing w:line="280" w:lineRule="auto" w:before="48"/>
        <w:ind w:right="488"/>
      </w:pPr>
      <w:r>
        <w:rPr/>
        <w:t>Em 1960, foi descrita pela primeira vez a associação entre níveis séricos elevados de colesterol e doença aterosclerótica. O estudo “The Lipid Research Clinics Coronary Primary Prevention Trial”</w:t>
      </w:r>
      <w:r>
        <w:rPr>
          <w:vertAlign w:val="superscript"/>
        </w:rPr>
        <w:t>21</w:t>
      </w:r>
      <w:r>
        <w:rPr>
          <w:vertAlign w:val="baseline"/>
        </w:rPr>
        <w:t> encontrou forte relação entre níveis elevados de LDL-colesterol e a incidência de doença coronária. Seguiram-se estudos de prevenção primária (WOSCOPS)</w:t>
      </w:r>
      <w:r>
        <w:rPr>
          <w:vertAlign w:val="superscript"/>
        </w:rPr>
        <w:t>22</w:t>
      </w:r>
      <w:r>
        <w:rPr>
          <w:vertAlign w:val="baseline"/>
        </w:rPr>
        <w:t> e secundária (LIPID,</w:t>
      </w:r>
      <w:r>
        <w:rPr>
          <w:vertAlign w:val="superscript"/>
        </w:rPr>
        <w:t>23</w:t>
      </w:r>
      <w:r>
        <w:rPr>
          <w:vertAlign w:val="baseline"/>
        </w:rPr>
        <w:t> 4S,</w:t>
      </w:r>
      <w:r>
        <w:rPr>
          <w:vertAlign w:val="superscript"/>
        </w:rPr>
        <w:t>24</w:t>
      </w:r>
      <w:r>
        <w:rPr>
          <w:vertAlign w:val="baseline"/>
        </w:rPr>
        <w:t> CARE,</w:t>
      </w:r>
      <w:r>
        <w:rPr>
          <w:vertAlign w:val="superscript"/>
        </w:rPr>
        <w:t>25</w:t>
      </w:r>
      <w:r>
        <w:rPr>
          <w:vertAlign w:val="baseline"/>
        </w:rPr>
        <w:t> e HPS),</w:t>
      </w:r>
      <w:r>
        <w:rPr>
          <w:vertAlign w:val="superscript"/>
        </w:rPr>
        <w:t>26</w:t>
      </w:r>
      <w:r>
        <w:rPr>
          <w:vertAlign w:val="baseline"/>
        </w:rPr>
        <w:t> confirmando a redução de eventos e morte por doença coronária após intervenção medicamentosa e não medicamentosa sobre a </w:t>
      </w:r>
      <w:r>
        <w:rPr>
          <w:spacing w:val="-2"/>
          <w:vertAlign w:val="baseline"/>
        </w:rPr>
        <w:t>hipercolesterolemia.</w:t>
      </w:r>
    </w:p>
    <w:p>
      <w:pPr>
        <w:pStyle w:val="BodyText"/>
        <w:spacing w:line="283" w:lineRule="auto" w:before="66"/>
        <w:ind w:right="488"/>
      </w:pPr>
      <w:r>
        <w:rPr/>
        <w:t>O risco de aterosclerose é duas a três vezes maior em diabéticos que em não diabéticos, o que independe de outros fatores de risco. Portanto, são recomendadas medidas preventivas para o diagnóstico e o início precoce de controle da doença, procurando impedir o aparecimento e a progressão da aterosclerose.</w:t>
      </w:r>
      <w:r>
        <w:rPr>
          <w:vertAlign w:val="superscript"/>
        </w:rPr>
        <w:t>27,28</w:t>
      </w:r>
    </w:p>
    <w:p>
      <w:pPr>
        <w:pStyle w:val="BodyText"/>
        <w:spacing w:before="63"/>
        <w:ind w:left="0" w:firstLine="0"/>
        <w:jc w:val="left"/>
      </w:pPr>
    </w:p>
    <w:p>
      <w:pPr>
        <w:pStyle w:val="BodyText"/>
        <w:spacing w:before="0"/>
        <w:ind w:firstLine="0"/>
        <w:rPr>
          <w:rFonts w:ascii="Microsoft Sans Serif" w:hAnsi="Microsoft Sans Serif"/>
        </w:rPr>
      </w:pPr>
      <w:r>
        <w:rPr>
          <w:rFonts w:ascii="Arial" w:hAnsi="Arial"/>
          <w:b/>
          <w:color w:val="242B67"/>
        </w:rPr>
        <w:t>Tabela</w:t>
      </w:r>
      <w:r>
        <w:rPr>
          <w:rFonts w:ascii="Arial" w:hAnsi="Arial"/>
          <w:b/>
          <w:color w:val="242B67"/>
          <w:spacing w:val="-3"/>
        </w:rPr>
        <w:t> </w:t>
      </w:r>
      <w:r>
        <w:rPr>
          <w:rFonts w:ascii="Arial" w:hAnsi="Arial"/>
          <w:b/>
          <w:color w:val="242B67"/>
        </w:rPr>
        <w:t>56.1</w:t>
      </w:r>
      <w:r>
        <w:rPr>
          <w:rFonts w:ascii="Arial" w:hAnsi="Arial"/>
          <w:b/>
          <w:color w:val="242B67"/>
          <w:spacing w:val="-3"/>
        </w:rPr>
        <w:t> </w:t>
      </w:r>
      <w:r>
        <w:rPr>
          <w:rFonts w:ascii="Microsoft Sans Serif" w:hAnsi="Microsoft Sans Serif"/>
        </w:rPr>
        <w:t>Fatores</w:t>
      </w:r>
      <w:r>
        <w:rPr>
          <w:rFonts w:ascii="Microsoft Sans Serif" w:hAnsi="Microsoft Sans Serif"/>
          <w:spacing w:val="-3"/>
        </w:rPr>
        <w:t> </w:t>
      </w:r>
      <w:r>
        <w:rPr>
          <w:rFonts w:ascii="Microsoft Sans Serif" w:hAnsi="Microsoft Sans Serif"/>
        </w:rPr>
        <w:t>de risco para</w:t>
      </w:r>
      <w:r>
        <w:rPr>
          <w:rFonts w:ascii="Microsoft Sans Serif" w:hAnsi="Microsoft Sans Serif"/>
          <w:spacing w:val="-1"/>
        </w:rPr>
        <w:t> </w:t>
      </w:r>
      <w:r>
        <w:rPr>
          <w:rFonts w:ascii="Microsoft Sans Serif" w:hAnsi="Microsoft Sans Serif"/>
        </w:rPr>
        <w:t>doença aterosclerótica </w:t>
      </w:r>
      <w:r>
        <w:rPr>
          <w:rFonts w:ascii="Microsoft Sans Serif" w:hAnsi="Microsoft Sans Serif"/>
          <w:spacing w:val="-2"/>
        </w:rPr>
        <w:t>coronária.</w:t>
      </w:r>
    </w:p>
    <w:p>
      <w:pPr>
        <w:pStyle w:val="BodyText"/>
        <w:spacing w:before="5" w:after="1"/>
        <w:ind w:left="0" w:firstLine="0"/>
        <w:jc w:val="left"/>
        <w:rPr>
          <w:rFonts w:ascii="Microsoft Sans Serif"/>
          <w:sz w:val="15"/>
        </w:rPr>
      </w:pPr>
    </w:p>
    <w:tbl>
      <w:tblPr>
        <w:tblW w:w="0" w:type="auto"/>
        <w:jc w:val="left"/>
        <w:tblInd w:w="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82"/>
        <w:gridCol w:w="4220"/>
      </w:tblGrid>
      <w:tr>
        <w:trPr>
          <w:trHeight w:val="430" w:hRule="atLeast"/>
        </w:trPr>
        <w:tc>
          <w:tcPr>
            <w:tcW w:w="6382" w:type="dxa"/>
            <w:tcBorders>
              <w:bottom w:val="single" w:sz="8" w:space="0" w:color="FFFFFF"/>
              <w:right w:val="single" w:sz="8" w:space="0" w:color="FFFFFF"/>
            </w:tcBorders>
            <w:shd w:val="clear" w:color="auto" w:fill="242B67"/>
          </w:tcPr>
          <w:p>
            <w:pPr>
              <w:pStyle w:val="TableParagraph"/>
              <w:spacing w:before="91"/>
              <w:ind w:left="67"/>
              <w:rPr>
                <w:rFonts w:ascii="Arial"/>
                <w:b/>
                <w:sz w:val="21"/>
              </w:rPr>
            </w:pPr>
            <w:r>
              <w:rPr>
                <w:rFonts w:ascii="Arial"/>
                <w:b/>
                <w:color w:val="FFFFFF"/>
                <w:spacing w:val="-2"/>
                <w:w w:val="105"/>
                <w:sz w:val="21"/>
              </w:rPr>
              <w:t>Tradicionais</w:t>
            </w:r>
          </w:p>
        </w:tc>
        <w:tc>
          <w:tcPr>
            <w:tcW w:w="4220" w:type="dxa"/>
            <w:tcBorders>
              <w:left w:val="single" w:sz="8" w:space="0" w:color="FFFFFF"/>
              <w:bottom w:val="single" w:sz="8" w:space="0" w:color="FFFFFF"/>
            </w:tcBorders>
            <w:shd w:val="clear" w:color="auto" w:fill="242B67"/>
          </w:tcPr>
          <w:p>
            <w:pPr>
              <w:pStyle w:val="TableParagraph"/>
              <w:spacing w:before="91"/>
              <w:ind w:left="66"/>
              <w:rPr>
                <w:rFonts w:ascii="Arial"/>
                <w:b/>
                <w:sz w:val="21"/>
              </w:rPr>
            </w:pPr>
            <w:r>
              <w:rPr>
                <w:rFonts w:ascii="Arial"/>
                <w:b/>
                <w:color w:val="FFFFFF"/>
                <w:spacing w:val="-2"/>
                <w:w w:val="105"/>
                <w:sz w:val="21"/>
              </w:rPr>
              <w:t>Novos</w:t>
            </w:r>
          </w:p>
        </w:tc>
      </w:tr>
      <w:tr>
        <w:trPr>
          <w:trHeight w:val="427" w:hRule="atLeast"/>
        </w:trPr>
        <w:tc>
          <w:tcPr>
            <w:tcW w:w="6382" w:type="dxa"/>
            <w:tcBorders>
              <w:top w:val="single" w:sz="8" w:space="0" w:color="FFFFFF"/>
              <w:right w:val="single" w:sz="8" w:space="0" w:color="FFFFFF"/>
            </w:tcBorders>
            <w:shd w:val="clear" w:color="auto" w:fill="EDECF3"/>
          </w:tcPr>
          <w:p>
            <w:pPr>
              <w:pStyle w:val="TableParagraph"/>
              <w:spacing w:before="93"/>
              <w:ind w:left="67"/>
              <w:rPr>
                <w:sz w:val="21"/>
              </w:rPr>
            </w:pPr>
            <w:r>
              <w:rPr>
                <w:w w:val="105"/>
                <w:sz w:val="21"/>
              </w:rPr>
              <w:t>Sexo</w:t>
            </w:r>
            <w:r>
              <w:rPr>
                <w:spacing w:val="10"/>
                <w:w w:val="105"/>
                <w:sz w:val="21"/>
              </w:rPr>
              <w:t> </w:t>
            </w:r>
            <w:r>
              <w:rPr>
                <w:w w:val="105"/>
                <w:sz w:val="21"/>
              </w:rPr>
              <w:t>e</w:t>
            </w:r>
            <w:r>
              <w:rPr>
                <w:spacing w:val="10"/>
                <w:w w:val="105"/>
                <w:sz w:val="21"/>
              </w:rPr>
              <w:t> </w:t>
            </w:r>
            <w:r>
              <w:rPr>
                <w:spacing w:val="-2"/>
                <w:w w:val="105"/>
                <w:sz w:val="21"/>
              </w:rPr>
              <w:t>idade</w:t>
            </w:r>
          </w:p>
        </w:tc>
        <w:tc>
          <w:tcPr>
            <w:tcW w:w="4220" w:type="dxa"/>
            <w:tcBorders>
              <w:top w:val="single" w:sz="8" w:space="0" w:color="FFFFFF"/>
              <w:left w:val="single" w:sz="8" w:space="0" w:color="FFFFFF"/>
            </w:tcBorders>
            <w:shd w:val="clear" w:color="auto" w:fill="EDECF3"/>
          </w:tcPr>
          <w:p>
            <w:pPr>
              <w:pStyle w:val="TableParagraph"/>
              <w:spacing w:before="93"/>
              <w:ind w:left="66"/>
              <w:rPr>
                <w:sz w:val="21"/>
              </w:rPr>
            </w:pPr>
            <w:r>
              <w:rPr>
                <w:spacing w:val="-2"/>
                <w:w w:val="105"/>
                <w:sz w:val="21"/>
              </w:rPr>
              <w:t>Homocisteína</w:t>
            </w:r>
          </w:p>
        </w:tc>
      </w:tr>
      <w:tr>
        <w:trPr>
          <w:trHeight w:val="440" w:hRule="atLeast"/>
        </w:trPr>
        <w:tc>
          <w:tcPr>
            <w:tcW w:w="6382" w:type="dxa"/>
            <w:tcBorders>
              <w:right w:val="single" w:sz="8" w:space="0" w:color="FFFFFF"/>
            </w:tcBorders>
            <w:shd w:val="clear" w:color="auto" w:fill="EDECF3"/>
          </w:tcPr>
          <w:p>
            <w:pPr>
              <w:pStyle w:val="TableParagraph"/>
              <w:spacing w:before="98"/>
              <w:ind w:left="67"/>
              <w:rPr>
                <w:sz w:val="21"/>
              </w:rPr>
            </w:pPr>
            <w:r>
              <w:rPr>
                <w:spacing w:val="-2"/>
                <w:sz w:val="21"/>
              </w:rPr>
              <w:t>Dislipidemia</w:t>
            </w:r>
          </w:p>
        </w:tc>
        <w:tc>
          <w:tcPr>
            <w:tcW w:w="4220" w:type="dxa"/>
            <w:tcBorders>
              <w:left w:val="single" w:sz="8" w:space="0" w:color="FFFFFF"/>
            </w:tcBorders>
            <w:shd w:val="clear" w:color="auto" w:fill="EDECF3"/>
          </w:tcPr>
          <w:p>
            <w:pPr>
              <w:pStyle w:val="TableParagraph"/>
              <w:spacing w:before="98"/>
              <w:ind w:left="66"/>
              <w:rPr>
                <w:sz w:val="21"/>
              </w:rPr>
            </w:pPr>
            <w:r>
              <w:rPr>
                <w:w w:val="105"/>
                <w:sz w:val="21"/>
              </w:rPr>
              <w:t>Lipoproteína</w:t>
            </w:r>
            <w:r>
              <w:rPr>
                <w:spacing w:val="60"/>
                <w:w w:val="105"/>
                <w:sz w:val="21"/>
              </w:rPr>
              <w:t> </w:t>
            </w:r>
            <w:r>
              <w:rPr>
                <w:spacing w:val="-5"/>
                <w:w w:val="105"/>
                <w:sz w:val="21"/>
              </w:rPr>
              <w:t>(a)</w:t>
            </w:r>
          </w:p>
        </w:tc>
      </w:tr>
      <w:tr>
        <w:trPr>
          <w:trHeight w:val="808" w:hRule="atLeast"/>
        </w:trPr>
        <w:tc>
          <w:tcPr>
            <w:tcW w:w="6382" w:type="dxa"/>
            <w:tcBorders>
              <w:right w:val="single" w:sz="8" w:space="0" w:color="FFFFFF"/>
            </w:tcBorders>
            <w:shd w:val="clear" w:color="auto" w:fill="EDECF3"/>
          </w:tcPr>
          <w:p>
            <w:pPr>
              <w:pStyle w:val="TableParagraph"/>
              <w:spacing w:before="106"/>
              <w:ind w:left="67"/>
              <w:rPr>
                <w:sz w:val="21"/>
              </w:rPr>
            </w:pPr>
            <w:r>
              <w:rPr>
                <w:spacing w:val="-2"/>
                <w:w w:val="105"/>
                <w:sz w:val="21"/>
              </w:rPr>
              <w:t>Tabagismo</w:t>
            </w:r>
          </w:p>
          <w:p>
            <w:pPr>
              <w:pStyle w:val="TableParagraph"/>
              <w:spacing w:before="195"/>
              <w:ind w:left="67"/>
              <w:rPr>
                <w:sz w:val="21"/>
              </w:rPr>
            </w:pPr>
            <w:r>
              <w:rPr>
                <w:w w:val="105"/>
                <w:sz w:val="21"/>
              </w:rPr>
              <w:t>Síndrome</w:t>
            </w:r>
            <w:r>
              <w:rPr>
                <w:spacing w:val="28"/>
                <w:w w:val="105"/>
                <w:sz w:val="21"/>
              </w:rPr>
              <w:t> </w:t>
            </w:r>
            <w:r>
              <w:rPr>
                <w:spacing w:val="-2"/>
                <w:w w:val="105"/>
                <w:sz w:val="21"/>
              </w:rPr>
              <w:t>metabólica</w:t>
            </w:r>
          </w:p>
        </w:tc>
        <w:tc>
          <w:tcPr>
            <w:tcW w:w="4220" w:type="dxa"/>
            <w:tcBorders>
              <w:left w:val="single" w:sz="8" w:space="0" w:color="FFFFFF"/>
            </w:tcBorders>
            <w:shd w:val="clear" w:color="auto" w:fill="EDECF3"/>
          </w:tcPr>
          <w:p>
            <w:pPr>
              <w:pStyle w:val="TableParagraph"/>
              <w:spacing w:line="307" w:lineRule="auto" w:before="106"/>
              <w:ind w:left="66" w:right="913"/>
              <w:rPr>
                <w:sz w:val="21"/>
              </w:rPr>
            </w:pPr>
            <w:r>
              <w:rPr>
                <w:w w:val="105"/>
                <w:sz w:val="21"/>
              </w:rPr>
              <w:t>Marcadores inflamatórios (PCR-</w:t>
            </w:r>
            <w:r>
              <w:rPr>
                <w:spacing w:val="-2"/>
                <w:w w:val="105"/>
                <w:sz w:val="21"/>
              </w:rPr>
              <w:t>fibrinogênio)</w:t>
            </w:r>
          </w:p>
        </w:tc>
      </w:tr>
      <w:tr>
        <w:trPr>
          <w:trHeight w:val="432" w:hRule="atLeast"/>
        </w:trPr>
        <w:tc>
          <w:tcPr>
            <w:tcW w:w="6382" w:type="dxa"/>
            <w:tcBorders>
              <w:right w:val="single" w:sz="8" w:space="0" w:color="FFFFFF"/>
            </w:tcBorders>
            <w:shd w:val="clear" w:color="auto" w:fill="EDECF3"/>
          </w:tcPr>
          <w:p>
            <w:pPr>
              <w:pStyle w:val="TableParagraph"/>
              <w:numPr>
                <w:ilvl w:val="0"/>
                <w:numId w:val="19"/>
              </w:numPr>
              <w:tabs>
                <w:tab w:pos="211" w:val="left" w:leader="none"/>
              </w:tabs>
              <w:spacing w:line="240" w:lineRule="auto" w:before="162" w:after="0"/>
              <w:ind w:left="211" w:right="0" w:hanging="144"/>
              <w:jc w:val="left"/>
              <w:rPr>
                <w:sz w:val="21"/>
              </w:rPr>
            </w:pPr>
            <w:r>
              <w:rPr>
                <w:w w:val="105"/>
                <w:sz w:val="21"/>
              </w:rPr>
              <w:t>Diabetes</w:t>
            </w:r>
            <w:r>
              <w:rPr>
                <w:spacing w:val="22"/>
                <w:w w:val="105"/>
                <w:sz w:val="21"/>
              </w:rPr>
              <w:t> </w:t>
            </w:r>
            <w:r>
              <w:rPr>
                <w:spacing w:val="-2"/>
                <w:w w:val="105"/>
                <w:sz w:val="21"/>
              </w:rPr>
              <w:t>melito</w:t>
            </w:r>
          </w:p>
        </w:tc>
        <w:tc>
          <w:tcPr>
            <w:tcW w:w="4220" w:type="dxa"/>
            <w:tcBorders>
              <w:left w:val="single" w:sz="8" w:space="0" w:color="FFFFFF"/>
            </w:tcBorders>
            <w:shd w:val="clear" w:color="auto" w:fill="EDECF3"/>
          </w:tcPr>
          <w:p>
            <w:pPr>
              <w:pStyle w:val="TableParagraph"/>
              <w:spacing w:before="34"/>
              <w:ind w:left="66"/>
              <w:rPr>
                <w:sz w:val="21"/>
              </w:rPr>
            </w:pPr>
            <w:r>
              <w:rPr>
                <w:w w:val="105"/>
                <w:sz w:val="21"/>
              </w:rPr>
              <w:t>Função</w:t>
            </w:r>
            <w:r>
              <w:rPr>
                <w:spacing w:val="17"/>
                <w:w w:val="105"/>
                <w:sz w:val="21"/>
              </w:rPr>
              <w:t> </w:t>
            </w:r>
            <w:r>
              <w:rPr>
                <w:spacing w:val="-2"/>
                <w:w w:val="105"/>
                <w:sz w:val="21"/>
              </w:rPr>
              <w:t>fibrinolítica</w:t>
            </w:r>
          </w:p>
        </w:tc>
      </w:tr>
      <w:tr>
        <w:trPr>
          <w:trHeight w:val="584" w:hRule="atLeast"/>
        </w:trPr>
        <w:tc>
          <w:tcPr>
            <w:tcW w:w="6382" w:type="dxa"/>
            <w:tcBorders>
              <w:right w:val="single" w:sz="8" w:space="0" w:color="FFFFFF"/>
            </w:tcBorders>
            <w:shd w:val="clear" w:color="auto" w:fill="EDECF3"/>
          </w:tcPr>
          <w:p>
            <w:pPr>
              <w:pStyle w:val="TableParagraph"/>
              <w:numPr>
                <w:ilvl w:val="0"/>
                <w:numId w:val="20"/>
              </w:numPr>
              <w:tabs>
                <w:tab w:pos="211" w:val="left" w:leader="none"/>
              </w:tabs>
              <w:spacing w:line="240" w:lineRule="auto" w:before="162" w:after="0"/>
              <w:ind w:left="211" w:right="0" w:hanging="144"/>
              <w:jc w:val="left"/>
              <w:rPr>
                <w:sz w:val="21"/>
              </w:rPr>
            </w:pPr>
            <w:r>
              <w:rPr>
                <w:w w:val="105"/>
                <w:sz w:val="21"/>
              </w:rPr>
              <w:t>Resistência</w:t>
            </w:r>
            <w:r>
              <w:rPr>
                <w:spacing w:val="15"/>
                <w:w w:val="105"/>
                <w:sz w:val="21"/>
              </w:rPr>
              <w:t> </w:t>
            </w:r>
            <w:r>
              <w:rPr>
                <w:w w:val="105"/>
                <w:sz w:val="21"/>
              </w:rPr>
              <w:t>à</w:t>
            </w:r>
            <w:r>
              <w:rPr>
                <w:spacing w:val="16"/>
                <w:w w:val="105"/>
                <w:sz w:val="21"/>
              </w:rPr>
              <w:t> </w:t>
            </w:r>
            <w:r>
              <w:rPr>
                <w:spacing w:val="-2"/>
                <w:w w:val="105"/>
                <w:sz w:val="21"/>
              </w:rPr>
              <w:t>insulina</w:t>
            </w:r>
          </w:p>
        </w:tc>
        <w:tc>
          <w:tcPr>
            <w:tcW w:w="4220" w:type="dxa"/>
            <w:tcBorders>
              <w:left w:val="single" w:sz="8" w:space="0" w:color="FFFFFF"/>
            </w:tcBorders>
            <w:shd w:val="clear" w:color="auto" w:fill="EDECF3"/>
          </w:tcPr>
          <w:p>
            <w:pPr>
              <w:pStyle w:val="TableParagraph"/>
              <w:spacing w:before="30"/>
              <w:ind w:left="66"/>
              <w:rPr>
                <w:sz w:val="21"/>
              </w:rPr>
            </w:pPr>
            <w:r>
              <w:rPr>
                <w:w w:val="105"/>
                <w:sz w:val="21"/>
              </w:rPr>
              <w:t>Infecção</w:t>
            </w:r>
            <w:r>
              <w:rPr>
                <w:spacing w:val="20"/>
                <w:w w:val="105"/>
                <w:sz w:val="21"/>
              </w:rPr>
              <w:t> </w:t>
            </w:r>
            <w:r>
              <w:rPr>
                <w:w w:val="105"/>
                <w:sz w:val="21"/>
              </w:rPr>
              <w:t>(</w:t>
            </w:r>
            <w:r>
              <w:rPr>
                <w:rFonts w:ascii="Arial" w:hAnsi="Arial"/>
                <w:i/>
                <w:w w:val="105"/>
                <w:sz w:val="21"/>
              </w:rPr>
              <w:t>Clamydia</w:t>
            </w:r>
            <w:r>
              <w:rPr>
                <w:rFonts w:ascii="Arial" w:hAnsi="Arial"/>
                <w:i/>
                <w:spacing w:val="17"/>
                <w:w w:val="105"/>
                <w:sz w:val="21"/>
              </w:rPr>
              <w:t> </w:t>
            </w:r>
            <w:r>
              <w:rPr>
                <w:rFonts w:ascii="Arial" w:hAnsi="Arial"/>
                <w:i/>
                <w:spacing w:val="-2"/>
                <w:w w:val="105"/>
                <w:sz w:val="21"/>
              </w:rPr>
              <w:t>pneumoniae</w:t>
            </w:r>
            <w:r>
              <w:rPr>
                <w:spacing w:val="-2"/>
                <w:w w:val="105"/>
                <w:sz w:val="21"/>
              </w:rPr>
              <w:t>,</w:t>
            </w:r>
          </w:p>
          <w:p>
            <w:pPr>
              <w:pStyle w:val="TableParagraph"/>
              <w:spacing w:line="226" w:lineRule="exact" w:before="67"/>
              <w:ind w:left="66"/>
              <w:rPr>
                <w:sz w:val="21"/>
              </w:rPr>
            </w:pPr>
            <w:r>
              <w:rPr>
                <w:spacing w:val="-2"/>
                <w:w w:val="105"/>
                <w:sz w:val="21"/>
              </w:rPr>
              <w:t>citomegalovírus)</w:t>
            </w:r>
          </w:p>
        </w:tc>
      </w:tr>
      <w:tr>
        <w:trPr>
          <w:trHeight w:val="344" w:hRule="atLeast"/>
        </w:trPr>
        <w:tc>
          <w:tcPr>
            <w:tcW w:w="6382" w:type="dxa"/>
            <w:tcBorders>
              <w:right w:val="single" w:sz="8" w:space="0" w:color="FFFFFF"/>
            </w:tcBorders>
            <w:shd w:val="clear" w:color="auto" w:fill="EDECF3"/>
          </w:tcPr>
          <w:p>
            <w:pPr>
              <w:pStyle w:val="TableParagraph"/>
              <w:spacing w:before="10"/>
              <w:ind w:left="67"/>
              <w:rPr>
                <w:sz w:val="21"/>
              </w:rPr>
            </w:pPr>
            <w:r>
              <w:rPr>
                <w:w w:val="105"/>
                <w:sz w:val="21"/>
              </w:rPr>
              <w:t>Hipertensão</w:t>
            </w:r>
            <w:r>
              <w:rPr>
                <w:spacing w:val="37"/>
                <w:w w:val="105"/>
                <w:sz w:val="21"/>
              </w:rPr>
              <w:t> </w:t>
            </w:r>
            <w:r>
              <w:rPr>
                <w:spacing w:val="-2"/>
                <w:w w:val="105"/>
                <w:sz w:val="21"/>
              </w:rPr>
              <w:t>arterial</w:t>
            </w:r>
          </w:p>
        </w:tc>
        <w:tc>
          <w:tcPr>
            <w:tcW w:w="4220" w:type="dxa"/>
            <w:tcBorders>
              <w:left w:val="single" w:sz="8" w:space="0" w:color="FFFFFF"/>
            </w:tcBorders>
            <w:shd w:val="clear" w:color="auto" w:fill="EDECF3"/>
          </w:tcPr>
          <w:p>
            <w:pPr>
              <w:pStyle w:val="TableParagraph"/>
              <w:spacing w:before="0"/>
              <w:ind w:left="0"/>
              <w:rPr>
                <w:rFonts w:ascii="Times New Roman"/>
                <w:sz w:val="22"/>
              </w:rPr>
            </w:pPr>
          </w:p>
        </w:tc>
      </w:tr>
      <w:tr>
        <w:trPr>
          <w:trHeight w:val="435" w:hRule="atLeast"/>
        </w:trPr>
        <w:tc>
          <w:tcPr>
            <w:tcW w:w="6382" w:type="dxa"/>
            <w:tcBorders>
              <w:right w:val="single" w:sz="8" w:space="0" w:color="FFFFFF"/>
            </w:tcBorders>
            <w:shd w:val="clear" w:color="auto" w:fill="EDECF3"/>
          </w:tcPr>
          <w:p>
            <w:pPr>
              <w:pStyle w:val="TableParagraph"/>
              <w:spacing w:before="98"/>
              <w:ind w:left="67"/>
              <w:rPr>
                <w:sz w:val="21"/>
              </w:rPr>
            </w:pPr>
            <w:r>
              <w:rPr>
                <w:w w:val="105"/>
                <w:sz w:val="21"/>
              </w:rPr>
              <w:t>História</w:t>
            </w:r>
            <w:r>
              <w:rPr>
                <w:spacing w:val="20"/>
                <w:w w:val="105"/>
                <w:sz w:val="21"/>
              </w:rPr>
              <w:t> </w:t>
            </w:r>
            <w:r>
              <w:rPr>
                <w:w w:val="105"/>
                <w:sz w:val="21"/>
              </w:rPr>
              <w:t>familiar</w:t>
            </w:r>
            <w:r>
              <w:rPr>
                <w:spacing w:val="20"/>
                <w:w w:val="105"/>
                <w:sz w:val="21"/>
              </w:rPr>
              <w:t> </w:t>
            </w:r>
            <w:r>
              <w:rPr>
                <w:w w:val="105"/>
                <w:sz w:val="21"/>
              </w:rPr>
              <w:t>de</w:t>
            </w:r>
            <w:r>
              <w:rPr>
                <w:spacing w:val="20"/>
                <w:w w:val="105"/>
                <w:sz w:val="21"/>
              </w:rPr>
              <w:t> </w:t>
            </w:r>
            <w:r>
              <w:rPr>
                <w:w w:val="105"/>
                <w:sz w:val="21"/>
              </w:rPr>
              <w:t>doença</w:t>
            </w:r>
            <w:r>
              <w:rPr>
                <w:spacing w:val="21"/>
                <w:w w:val="105"/>
                <w:sz w:val="21"/>
              </w:rPr>
              <w:t> </w:t>
            </w:r>
            <w:r>
              <w:rPr>
                <w:w w:val="105"/>
                <w:sz w:val="21"/>
              </w:rPr>
              <w:t>coronária</w:t>
            </w:r>
            <w:r>
              <w:rPr>
                <w:spacing w:val="20"/>
                <w:w w:val="105"/>
                <w:sz w:val="21"/>
              </w:rPr>
              <w:t> </w:t>
            </w:r>
            <w:r>
              <w:rPr>
                <w:spacing w:val="-2"/>
                <w:w w:val="105"/>
                <w:sz w:val="21"/>
              </w:rPr>
              <w:t>precoce</w:t>
            </w:r>
          </w:p>
        </w:tc>
        <w:tc>
          <w:tcPr>
            <w:tcW w:w="4220" w:type="dxa"/>
            <w:tcBorders>
              <w:left w:val="single" w:sz="8" w:space="0" w:color="FFFFFF"/>
            </w:tcBorders>
            <w:shd w:val="clear" w:color="auto" w:fill="EDECF3"/>
          </w:tcPr>
          <w:p>
            <w:pPr>
              <w:pStyle w:val="TableParagraph"/>
              <w:spacing w:before="0"/>
              <w:ind w:left="0"/>
              <w:rPr>
                <w:rFonts w:ascii="Times New Roman"/>
                <w:sz w:val="22"/>
              </w:rPr>
            </w:pPr>
          </w:p>
        </w:tc>
      </w:tr>
    </w:tbl>
    <w:p>
      <w:pPr>
        <w:spacing w:before="165"/>
        <w:ind w:left="68" w:right="0" w:firstLine="0"/>
        <w:jc w:val="both"/>
        <w:rPr>
          <w:rFonts w:ascii="Microsoft Sans Serif" w:hAnsi="Microsoft Sans Serif"/>
          <w:sz w:val="19"/>
        </w:rPr>
      </w:pPr>
      <w:r>
        <w:rPr>
          <w:rFonts w:ascii="Microsoft Sans Serif" w:hAnsi="Microsoft Sans Serif"/>
          <w:sz w:val="19"/>
        </w:rPr>
        <w:t>PCR</w:t>
      </w:r>
      <w:r>
        <w:rPr>
          <w:rFonts w:ascii="Microsoft Sans Serif" w:hAnsi="Microsoft Sans Serif"/>
          <w:spacing w:val="11"/>
          <w:sz w:val="19"/>
        </w:rPr>
        <w:t> </w:t>
      </w:r>
      <w:r>
        <w:rPr>
          <w:rFonts w:ascii="Microsoft Sans Serif" w:hAnsi="Microsoft Sans Serif"/>
          <w:sz w:val="19"/>
        </w:rPr>
        <w:t>=</w:t>
      </w:r>
      <w:r>
        <w:rPr>
          <w:rFonts w:ascii="Microsoft Sans Serif" w:hAnsi="Microsoft Sans Serif"/>
          <w:spacing w:val="5"/>
          <w:sz w:val="19"/>
        </w:rPr>
        <w:t> </w:t>
      </w:r>
      <w:r>
        <w:rPr>
          <w:rFonts w:ascii="Microsoft Sans Serif" w:hAnsi="Microsoft Sans Serif"/>
          <w:sz w:val="19"/>
        </w:rPr>
        <w:t>proteína</w:t>
      </w:r>
      <w:r>
        <w:rPr>
          <w:rFonts w:ascii="Microsoft Sans Serif" w:hAnsi="Microsoft Sans Serif"/>
          <w:spacing w:val="11"/>
          <w:sz w:val="19"/>
        </w:rPr>
        <w:t> </w:t>
      </w:r>
      <w:r>
        <w:rPr>
          <w:rFonts w:ascii="Microsoft Sans Serif" w:hAnsi="Microsoft Sans Serif"/>
          <w:sz w:val="19"/>
        </w:rPr>
        <w:t>C</w:t>
      </w:r>
      <w:r>
        <w:rPr>
          <w:rFonts w:ascii="Microsoft Sans Serif" w:hAnsi="Microsoft Sans Serif"/>
          <w:spacing w:val="11"/>
          <w:sz w:val="19"/>
        </w:rPr>
        <w:t> </w:t>
      </w:r>
      <w:r>
        <w:rPr>
          <w:rFonts w:ascii="Microsoft Sans Serif" w:hAnsi="Microsoft Sans Serif"/>
          <w:spacing w:val="-2"/>
          <w:sz w:val="19"/>
        </w:rPr>
        <w:t>reativa.</w:t>
      </w:r>
    </w:p>
    <w:p>
      <w:pPr>
        <w:pStyle w:val="BodyText"/>
        <w:spacing w:before="107"/>
        <w:ind w:left="0" w:firstLine="0"/>
        <w:jc w:val="left"/>
        <w:rPr>
          <w:rFonts w:ascii="Microsoft Sans Serif"/>
          <w:sz w:val="19"/>
        </w:rPr>
      </w:pPr>
    </w:p>
    <w:p>
      <w:pPr>
        <w:pStyle w:val="BodyText"/>
        <w:spacing w:line="283" w:lineRule="auto" w:before="0"/>
        <w:ind w:right="491"/>
      </w:pPr>
      <w:r>
        <w:rPr/>
        <w:t>A</w:t>
      </w:r>
      <w:r>
        <w:rPr>
          <w:spacing w:val="-15"/>
        </w:rPr>
        <w:t> </w:t>
      </w:r>
      <w:r>
        <w:rPr/>
        <w:t>hipertensão</w:t>
      </w:r>
      <w:r>
        <w:rPr>
          <w:spacing w:val="-14"/>
        </w:rPr>
        <w:t> </w:t>
      </w:r>
      <w:r>
        <w:rPr/>
        <w:t>arterial</w:t>
      </w:r>
      <w:r>
        <w:rPr>
          <w:spacing w:val="-14"/>
        </w:rPr>
        <w:t> </w:t>
      </w:r>
      <w:r>
        <w:rPr/>
        <w:t>acomete</w:t>
      </w:r>
      <w:r>
        <w:rPr>
          <w:spacing w:val="-14"/>
        </w:rPr>
        <w:t> </w:t>
      </w:r>
      <w:r>
        <w:rPr/>
        <w:t>aproximadamente</w:t>
      </w:r>
      <w:r>
        <w:rPr>
          <w:spacing w:val="-14"/>
        </w:rPr>
        <w:t> </w:t>
      </w:r>
      <w:r>
        <w:rPr/>
        <w:t>20%</w:t>
      </w:r>
      <w:r>
        <w:rPr>
          <w:spacing w:val="-11"/>
        </w:rPr>
        <w:t> </w:t>
      </w:r>
      <w:r>
        <w:rPr/>
        <w:t>da</w:t>
      </w:r>
      <w:r>
        <w:rPr>
          <w:spacing w:val="-15"/>
        </w:rPr>
        <w:t> </w:t>
      </w:r>
      <w:r>
        <w:rPr/>
        <w:t>população</w:t>
      </w:r>
      <w:r>
        <w:rPr>
          <w:spacing w:val="-13"/>
        </w:rPr>
        <w:t> </w:t>
      </w:r>
      <w:r>
        <w:rPr/>
        <w:t>adulta.</w:t>
      </w:r>
      <w:r>
        <w:rPr>
          <w:spacing w:val="-7"/>
        </w:rPr>
        <w:t> </w:t>
      </w:r>
      <w:r>
        <w:rPr/>
        <w:t>Em</w:t>
      </w:r>
      <w:r>
        <w:rPr>
          <w:spacing w:val="-14"/>
        </w:rPr>
        <w:t> </w:t>
      </w:r>
      <w:r>
        <w:rPr/>
        <w:t>1966,</w:t>
      </w:r>
      <w:r>
        <w:rPr>
          <w:spacing w:val="-7"/>
        </w:rPr>
        <w:t> </w:t>
      </w:r>
      <w:r>
        <w:rPr/>
        <w:t>o</w:t>
      </w:r>
      <w:r>
        <w:rPr>
          <w:spacing w:val="-14"/>
        </w:rPr>
        <w:t> </w:t>
      </w:r>
      <w:r>
        <w:rPr/>
        <w:t>Veterans</w:t>
      </w:r>
      <w:r>
        <w:rPr>
          <w:spacing w:val="-7"/>
        </w:rPr>
        <w:t> </w:t>
      </w:r>
      <w:r>
        <w:rPr/>
        <w:t>Administration Cooperative Study Group</w:t>
      </w:r>
      <w:r>
        <w:rPr>
          <w:vertAlign w:val="superscript"/>
        </w:rPr>
        <w:t>29</w:t>
      </w:r>
      <w:r>
        <w:rPr>
          <w:vertAlign w:val="baseline"/>
        </w:rPr>
        <w:t> foi o primeiro estudo a demonstrar a redução da mortalidade cardiovascular com o emprego de terapia anti-hipertensiva. Vários outros estudos demonstraram a relação entre hipertensão arterial e doença</w:t>
      </w:r>
      <w:r>
        <w:rPr>
          <w:spacing w:val="-4"/>
          <w:vertAlign w:val="baseline"/>
        </w:rPr>
        <w:t> </w:t>
      </w:r>
      <w:r>
        <w:rPr>
          <w:vertAlign w:val="baseline"/>
        </w:rPr>
        <w:t>coronária, como</w:t>
      </w:r>
      <w:r>
        <w:rPr>
          <w:spacing w:val="-2"/>
          <w:vertAlign w:val="baseline"/>
        </w:rPr>
        <w:t> </w:t>
      </w:r>
      <w:r>
        <w:rPr>
          <w:vertAlign w:val="baseline"/>
        </w:rPr>
        <w:t>o</w:t>
      </w:r>
      <w:r>
        <w:rPr>
          <w:spacing w:val="-2"/>
          <w:vertAlign w:val="baseline"/>
        </w:rPr>
        <w:t> </w:t>
      </w:r>
      <w:r>
        <w:rPr>
          <w:vertAlign w:val="baseline"/>
        </w:rPr>
        <w:t>de</w:t>
      </w:r>
      <w:r>
        <w:rPr>
          <w:spacing w:val="-4"/>
          <w:vertAlign w:val="baseline"/>
        </w:rPr>
        <w:t> </w:t>
      </w:r>
      <w:r>
        <w:rPr>
          <w:vertAlign w:val="baseline"/>
        </w:rPr>
        <w:t>Siegel </w:t>
      </w:r>
      <w:r>
        <w:rPr>
          <w:i/>
          <w:vertAlign w:val="baseline"/>
        </w:rPr>
        <w:t>et</w:t>
      </w:r>
      <w:r>
        <w:rPr>
          <w:i/>
          <w:spacing w:val="-3"/>
          <w:vertAlign w:val="baseline"/>
        </w:rPr>
        <w:t> </w:t>
      </w:r>
      <w:r>
        <w:rPr>
          <w:i/>
          <w:vertAlign w:val="baseline"/>
        </w:rPr>
        <w:t>al.</w:t>
      </w:r>
      <w:r>
        <w:rPr>
          <w:vertAlign w:val="baseline"/>
        </w:rPr>
        <w:t>,</w:t>
      </w:r>
      <w:r>
        <w:rPr>
          <w:vertAlign w:val="superscript"/>
        </w:rPr>
        <w:t>30</w:t>
      </w:r>
      <w:r>
        <w:rPr>
          <w:vertAlign w:val="baseline"/>
        </w:rPr>
        <w:t> fazendo com que</w:t>
      </w:r>
      <w:r>
        <w:rPr>
          <w:spacing w:val="-3"/>
          <w:vertAlign w:val="baseline"/>
        </w:rPr>
        <w:t> </w:t>
      </w:r>
      <w:r>
        <w:rPr>
          <w:vertAlign w:val="baseline"/>
        </w:rPr>
        <w:t>o diagnóstico e</w:t>
      </w:r>
      <w:r>
        <w:rPr>
          <w:spacing w:val="-3"/>
          <w:vertAlign w:val="baseline"/>
        </w:rPr>
        <w:t> </w:t>
      </w:r>
      <w:r>
        <w:rPr>
          <w:vertAlign w:val="baseline"/>
        </w:rPr>
        <w:t>controle</w:t>
      </w:r>
      <w:r>
        <w:rPr>
          <w:spacing w:val="-3"/>
          <w:vertAlign w:val="baseline"/>
        </w:rPr>
        <w:t> </w:t>
      </w:r>
      <w:r>
        <w:rPr>
          <w:vertAlign w:val="baseline"/>
        </w:rPr>
        <w:t>da</w:t>
      </w:r>
      <w:r>
        <w:rPr>
          <w:spacing w:val="-3"/>
          <w:vertAlign w:val="baseline"/>
        </w:rPr>
        <w:t> </w:t>
      </w:r>
      <w:r>
        <w:rPr>
          <w:vertAlign w:val="baseline"/>
        </w:rPr>
        <w:t>hipertensão arterial sejam recomendados para</w:t>
      </w:r>
      <w:r>
        <w:rPr>
          <w:spacing w:val="-1"/>
          <w:vertAlign w:val="baseline"/>
        </w:rPr>
        <w:t> </w:t>
      </w:r>
      <w:r>
        <w:rPr>
          <w:vertAlign w:val="baseline"/>
        </w:rPr>
        <w:t>a</w:t>
      </w:r>
      <w:r>
        <w:rPr>
          <w:spacing w:val="-1"/>
          <w:vertAlign w:val="baseline"/>
        </w:rPr>
        <w:t> </w:t>
      </w:r>
      <w:r>
        <w:rPr>
          <w:vertAlign w:val="baseline"/>
        </w:rPr>
        <w:t>prevenção e</w:t>
      </w:r>
      <w:r>
        <w:rPr>
          <w:spacing w:val="-1"/>
          <w:vertAlign w:val="baseline"/>
        </w:rPr>
        <w:t> </w:t>
      </w:r>
      <w:r>
        <w:rPr>
          <w:vertAlign w:val="baseline"/>
        </w:rPr>
        <w:t>controle</w:t>
      </w:r>
      <w:r>
        <w:rPr>
          <w:spacing w:val="-1"/>
          <w:vertAlign w:val="baseline"/>
        </w:rPr>
        <w:t> </w:t>
      </w:r>
      <w:r>
        <w:rPr>
          <w:vertAlign w:val="baseline"/>
        </w:rPr>
        <w:t>da</w:t>
      </w:r>
      <w:r>
        <w:rPr>
          <w:spacing w:val="-1"/>
          <w:vertAlign w:val="baseline"/>
        </w:rPr>
        <w:t> </w:t>
      </w:r>
      <w:r>
        <w:rPr>
          <w:vertAlign w:val="baseline"/>
        </w:rPr>
        <w:t>progressão da</w:t>
      </w:r>
      <w:r>
        <w:rPr>
          <w:spacing w:val="-1"/>
          <w:vertAlign w:val="baseline"/>
        </w:rPr>
        <w:t> </w:t>
      </w:r>
      <w:r>
        <w:rPr>
          <w:vertAlign w:val="baseline"/>
        </w:rPr>
        <w:t>doença</w:t>
      </w:r>
      <w:r>
        <w:rPr>
          <w:spacing w:val="-1"/>
          <w:vertAlign w:val="baseline"/>
        </w:rPr>
        <w:t> </w:t>
      </w:r>
      <w:r>
        <w:rPr>
          <w:vertAlign w:val="baseline"/>
        </w:rPr>
        <w:t>coronária.</w:t>
      </w:r>
    </w:p>
    <w:p>
      <w:pPr>
        <w:pStyle w:val="BodyText"/>
        <w:spacing w:line="278" w:lineRule="auto" w:before="57"/>
        <w:ind w:right="491"/>
      </w:pPr>
      <w:r>
        <w:rPr/>
        <w:t>A frequente associação entre hipertensão arterial e diabetes melito levantou a possibilidade de haver algum mecanismo</w:t>
      </w:r>
      <w:r>
        <w:rPr>
          <w:spacing w:val="-3"/>
        </w:rPr>
        <w:t> </w:t>
      </w:r>
      <w:r>
        <w:rPr/>
        <w:t>em</w:t>
      </w:r>
      <w:r>
        <w:rPr>
          <w:spacing w:val="-3"/>
        </w:rPr>
        <w:t> </w:t>
      </w:r>
      <w:r>
        <w:rPr/>
        <w:t>comum, e</w:t>
      </w:r>
      <w:r>
        <w:rPr>
          <w:spacing w:val="-5"/>
        </w:rPr>
        <w:t> </w:t>
      </w:r>
      <w:r>
        <w:rPr/>
        <w:t>de</w:t>
      </w:r>
      <w:r>
        <w:rPr>
          <w:spacing w:val="-5"/>
        </w:rPr>
        <w:t> </w:t>
      </w:r>
      <w:r>
        <w:rPr/>
        <w:t>fato, posteriormente, se</w:t>
      </w:r>
      <w:r>
        <w:rPr>
          <w:spacing w:val="-5"/>
        </w:rPr>
        <w:t> </w:t>
      </w:r>
      <w:r>
        <w:rPr/>
        <w:t>evoluiu</w:t>
      </w:r>
      <w:r>
        <w:rPr>
          <w:spacing w:val="-3"/>
        </w:rPr>
        <w:t> </w:t>
      </w:r>
      <w:r>
        <w:rPr/>
        <w:t>esse</w:t>
      </w:r>
      <w:r>
        <w:rPr>
          <w:spacing w:val="-5"/>
        </w:rPr>
        <w:t> </w:t>
      </w:r>
      <w:r>
        <w:rPr/>
        <w:t>conceito</w:t>
      </w:r>
      <w:r>
        <w:rPr>
          <w:spacing w:val="-3"/>
        </w:rPr>
        <w:t> </w:t>
      </w:r>
      <w:r>
        <w:rPr/>
        <w:t>com</w:t>
      </w:r>
      <w:r>
        <w:rPr>
          <w:spacing w:val="-3"/>
        </w:rPr>
        <w:t> </w:t>
      </w:r>
      <w:r>
        <w:rPr/>
        <w:t>a</w:t>
      </w:r>
      <w:r>
        <w:rPr>
          <w:spacing w:val="-5"/>
        </w:rPr>
        <w:t> </w:t>
      </w:r>
      <w:r>
        <w:rPr/>
        <w:t>identificação</w:t>
      </w:r>
      <w:r>
        <w:rPr>
          <w:spacing w:val="-3"/>
        </w:rPr>
        <w:t> </w:t>
      </w:r>
      <w:r>
        <w:rPr/>
        <w:t>da</w:t>
      </w:r>
      <w:r>
        <w:rPr>
          <w:spacing w:val="-5"/>
        </w:rPr>
        <w:t> </w:t>
      </w:r>
      <w:r>
        <w:rPr/>
        <w:t>maior resistência à</w:t>
      </w:r>
      <w:r>
        <w:rPr>
          <w:spacing w:val="-5"/>
        </w:rPr>
        <w:t> </w:t>
      </w:r>
      <w:r>
        <w:rPr/>
        <w:t>insulina</w:t>
      </w:r>
      <w:r>
        <w:rPr>
          <w:spacing w:val="-5"/>
        </w:rPr>
        <w:t> </w:t>
      </w:r>
      <w:r>
        <w:rPr/>
        <w:t>como</w:t>
      </w:r>
      <w:r>
        <w:rPr>
          <w:spacing w:val="-3"/>
        </w:rPr>
        <w:t> </w:t>
      </w:r>
      <w:r>
        <w:rPr/>
        <w:t>um</w:t>
      </w:r>
      <w:r>
        <w:rPr>
          <w:spacing w:val="-3"/>
        </w:rPr>
        <w:t> </w:t>
      </w:r>
      <w:r>
        <w:rPr/>
        <w:t>denominador comum. Em</w:t>
      </w:r>
      <w:r>
        <w:rPr>
          <w:spacing w:val="-3"/>
        </w:rPr>
        <w:t> </w:t>
      </w:r>
      <w:r>
        <w:rPr/>
        <w:t>1988, Reaven</w:t>
      </w:r>
      <w:r>
        <w:rPr>
          <w:spacing w:val="-3"/>
        </w:rPr>
        <w:t> </w:t>
      </w:r>
      <w:r>
        <w:rPr/>
        <w:t>caracterizou</w:t>
      </w:r>
      <w:r>
        <w:rPr>
          <w:spacing w:val="-3"/>
        </w:rPr>
        <w:t> </w:t>
      </w:r>
      <w:r>
        <w:rPr/>
        <w:t>a</w:t>
      </w:r>
      <w:r>
        <w:rPr>
          <w:spacing w:val="-5"/>
        </w:rPr>
        <w:t> </w:t>
      </w:r>
      <w:r>
        <w:rPr/>
        <w:t>síndrome</w:t>
      </w:r>
      <w:r>
        <w:rPr>
          <w:spacing w:val="-5"/>
        </w:rPr>
        <w:t> </w:t>
      </w:r>
      <w:r>
        <w:rPr/>
        <w:t>metabólica, inicialmente</w:t>
      </w:r>
      <w:r>
        <w:rPr>
          <w:spacing w:val="-5"/>
        </w:rPr>
        <w:t> </w:t>
      </w:r>
      <w:r>
        <w:rPr/>
        <w:t>com a</w:t>
      </w:r>
      <w:r>
        <w:rPr>
          <w:spacing w:val="-6"/>
        </w:rPr>
        <w:t> </w:t>
      </w:r>
      <w:r>
        <w:rPr/>
        <w:t>associação</w:t>
      </w:r>
      <w:r>
        <w:rPr>
          <w:spacing w:val="-3"/>
        </w:rPr>
        <w:t> </w:t>
      </w:r>
      <w:r>
        <w:rPr/>
        <w:t>de</w:t>
      </w:r>
      <w:r>
        <w:rPr>
          <w:spacing w:val="-6"/>
        </w:rPr>
        <w:t> </w:t>
      </w:r>
      <w:r>
        <w:rPr/>
        <w:t>fatores de</w:t>
      </w:r>
      <w:r>
        <w:rPr>
          <w:spacing w:val="-6"/>
        </w:rPr>
        <w:t> </w:t>
      </w:r>
      <w:r>
        <w:rPr/>
        <w:t>risco</w:t>
      </w:r>
      <w:r>
        <w:rPr>
          <w:spacing w:val="-3"/>
        </w:rPr>
        <w:t> </w:t>
      </w:r>
      <w:r>
        <w:rPr/>
        <w:t>cardiovascular, como</w:t>
      </w:r>
      <w:r>
        <w:rPr>
          <w:spacing w:val="-3"/>
        </w:rPr>
        <w:t> </w:t>
      </w:r>
      <w:r>
        <w:rPr/>
        <w:t>a</w:t>
      </w:r>
      <w:r>
        <w:rPr>
          <w:spacing w:val="-6"/>
        </w:rPr>
        <w:t> </w:t>
      </w:r>
      <w:r>
        <w:rPr/>
        <w:t>hipertensão</w:t>
      </w:r>
      <w:r>
        <w:rPr>
          <w:spacing w:val="-3"/>
        </w:rPr>
        <w:t> </w:t>
      </w:r>
      <w:r>
        <w:rPr/>
        <w:t>arterial e</w:t>
      </w:r>
      <w:r>
        <w:rPr>
          <w:spacing w:val="-6"/>
        </w:rPr>
        <w:t> </w:t>
      </w:r>
      <w:r>
        <w:rPr/>
        <w:t>a</w:t>
      </w:r>
      <w:r>
        <w:rPr>
          <w:spacing w:val="-6"/>
        </w:rPr>
        <w:t> </w:t>
      </w:r>
      <w:r>
        <w:rPr/>
        <w:t>intolerância</w:t>
      </w:r>
      <w:r>
        <w:rPr>
          <w:spacing w:val="-6"/>
        </w:rPr>
        <w:t> </w:t>
      </w:r>
      <w:r>
        <w:rPr/>
        <w:t>à</w:t>
      </w:r>
      <w:r>
        <w:rPr>
          <w:spacing w:val="-6"/>
        </w:rPr>
        <w:t> </w:t>
      </w:r>
      <w:r>
        <w:rPr/>
        <w:t>glicose. Atualmente, a síndrome metabólica é considerada precursora do desenvolvimento da doença cardiovascular e do diabetes melito, estando diretamente relacionada com o desenvolvimento dessas doenças e suas consequências.</w:t>
      </w:r>
      <w:r>
        <w:rPr>
          <w:vertAlign w:val="superscript"/>
        </w:rPr>
        <w:t>31–33</w:t>
      </w:r>
      <w:r>
        <w:rPr>
          <w:vertAlign w:val="baseline"/>
        </w:rPr>
        <w:t> Desse modo, está bem determinado o aumento do risco de complicações macrovasculares quando existe síndrome metabólica, mesmo na</w:t>
      </w:r>
      <w:r>
        <w:rPr>
          <w:spacing w:val="-1"/>
          <w:vertAlign w:val="baseline"/>
        </w:rPr>
        <w:t> </w:t>
      </w:r>
      <w:r>
        <w:rPr>
          <w:vertAlign w:val="baseline"/>
        </w:rPr>
        <w:t>ausência</w:t>
      </w:r>
      <w:r>
        <w:rPr>
          <w:spacing w:val="-1"/>
          <w:vertAlign w:val="baseline"/>
        </w:rPr>
        <w:t> </w:t>
      </w:r>
      <w:r>
        <w:rPr>
          <w:vertAlign w:val="baseline"/>
        </w:rPr>
        <w:t>de</w:t>
      </w:r>
      <w:r>
        <w:rPr>
          <w:spacing w:val="-1"/>
          <w:vertAlign w:val="baseline"/>
        </w:rPr>
        <w:t> </w:t>
      </w:r>
      <w:r>
        <w:rPr>
          <w:vertAlign w:val="baseline"/>
        </w:rPr>
        <w:t>diabetes. Os critérios diagnósticos da</w:t>
      </w:r>
      <w:r>
        <w:rPr>
          <w:spacing w:val="-1"/>
          <w:vertAlign w:val="baseline"/>
        </w:rPr>
        <w:t> </w:t>
      </w:r>
      <w:r>
        <w:rPr>
          <w:vertAlign w:val="baseline"/>
        </w:rPr>
        <w:t>síndrome</w:t>
      </w:r>
      <w:r>
        <w:rPr>
          <w:spacing w:val="-1"/>
          <w:vertAlign w:val="baseline"/>
        </w:rPr>
        <w:t> </w:t>
      </w:r>
      <w:r>
        <w:rPr>
          <w:vertAlign w:val="baseline"/>
        </w:rPr>
        <w:t>metabólica</w:t>
      </w:r>
      <w:r>
        <w:rPr>
          <w:spacing w:val="-1"/>
          <w:vertAlign w:val="baseline"/>
        </w:rPr>
        <w:t> </w:t>
      </w:r>
      <w:r>
        <w:rPr>
          <w:vertAlign w:val="baseline"/>
        </w:rPr>
        <w:t>estão descritos na</w:t>
      </w:r>
      <w:r>
        <w:rPr>
          <w:spacing w:val="-1"/>
          <w:vertAlign w:val="baseline"/>
        </w:rPr>
        <w:t> </w:t>
      </w:r>
      <w:r>
        <w:rPr>
          <w:color w:val="505050"/>
          <w:vertAlign w:val="baseline"/>
        </w:rPr>
        <w:t>Tabela</w:t>
      </w:r>
      <w:r>
        <w:rPr>
          <w:color w:val="505050"/>
          <w:spacing w:val="-1"/>
          <w:vertAlign w:val="baseline"/>
        </w:rPr>
        <w:t> </w:t>
      </w:r>
      <w:r>
        <w:rPr>
          <w:color w:val="505050"/>
          <w:vertAlign w:val="baseline"/>
        </w:rPr>
        <w:t>56.2</w:t>
      </w:r>
      <w:r>
        <w:rPr>
          <w:vertAlign w:val="baseline"/>
        </w:rPr>
        <w:t>.</w:t>
      </w:r>
    </w:p>
    <w:p>
      <w:pPr>
        <w:pStyle w:val="BodyText"/>
        <w:spacing w:after="0" w:line="278" w:lineRule="auto"/>
        <w:sectPr>
          <w:pgSz w:w="11900" w:h="16840"/>
          <w:pgMar w:top="200" w:bottom="280" w:left="566" w:right="141"/>
        </w:sectPr>
      </w:pPr>
    </w:p>
    <w:p>
      <w:pPr>
        <w:pStyle w:val="BodyText"/>
        <w:spacing w:line="283" w:lineRule="auto" w:before="63"/>
        <w:ind w:right="497"/>
      </w:pPr>
      <w:r>
        <w:rPr/>
        <w:t>O tabagismo se coloca como um dos maiores fatores de risco para a doença coronária, apesar de isso ser totalmente modificável. Os mecanismos que justificam sua aterogênese são as alterações do HDL/LDL, o desenvolvimento</w:t>
      </w:r>
      <w:r>
        <w:rPr>
          <w:spacing w:val="-2"/>
        </w:rPr>
        <w:t> </w:t>
      </w:r>
      <w:r>
        <w:rPr/>
        <w:t>de</w:t>
      </w:r>
      <w:r>
        <w:rPr>
          <w:spacing w:val="-5"/>
        </w:rPr>
        <w:t> </w:t>
      </w:r>
      <w:r>
        <w:rPr/>
        <w:t>taquicardia, a</w:t>
      </w:r>
      <w:r>
        <w:rPr>
          <w:spacing w:val="-5"/>
        </w:rPr>
        <w:t> </w:t>
      </w:r>
      <w:r>
        <w:rPr/>
        <w:t>hipertensão</w:t>
      </w:r>
      <w:r>
        <w:rPr>
          <w:spacing w:val="-2"/>
        </w:rPr>
        <w:t> </w:t>
      </w:r>
      <w:r>
        <w:rPr/>
        <w:t>arterial, além</w:t>
      </w:r>
      <w:r>
        <w:rPr>
          <w:spacing w:val="-2"/>
        </w:rPr>
        <w:t> </w:t>
      </w:r>
      <w:r>
        <w:rPr/>
        <w:t>do</w:t>
      </w:r>
      <w:r>
        <w:rPr>
          <w:spacing w:val="-2"/>
        </w:rPr>
        <w:t> </w:t>
      </w:r>
      <w:r>
        <w:rPr/>
        <w:t>aumento</w:t>
      </w:r>
      <w:r>
        <w:rPr>
          <w:spacing w:val="-2"/>
        </w:rPr>
        <w:t> </w:t>
      </w:r>
      <w:r>
        <w:rPr/>
        <w:t>da</w:t>
      </w:r>
      <w:r>
        <w:rPr>
          <w:spacing w:val="-5"/>
        </w:rPr>
        <w:t> </w:t>
      </w:r>
      <w:r>
        <w:rPr/>
        <w:t>agregação</w:t>
      </w:r>
      <w:r>
        <w:rPr>
          <w:spacing w:val="-2"/>
        </w:rPr>
        <w:t> </w:t>
      </w:r>
      <w:r>
        <w:rPr/>
        <w:t>plaquetária.</w:t>
      </w:r>
      <w:r>
        <w:rPr>
          <w:vertAlign w:val="superscript"/>
        </w:rPr>
        <w:t>34</w:t>
      </w:r>
    </w:p>
    <w:p>
      <w:pPr>
        <w:pStyle w:val="BodyText"/>
        <w:spacing w:line="280" w:lineRule="auto" w:before="57"/>
        <w:ind w:right="491"/>
      </w:pPr>
      <w:r>
        <w:rPr/>
        <w:t>Outros processos inflamatórios (arterites) podem também reduzir o lúmen das artérias coronárias, assim como alterações da microcirculação por hipertrofia ventricular esquerda e a síndrome X. A síndrome X é definida pela comprovação</w:t>
      </w:r>
      <w:r>
        <w:rPr>
          <w:spacing w:val="-6"/>
        </w:rPr>
        <w:t> </w:t>
      </w:r>
      <w:r>
        <w:rPr/>
        <w:t>de</w:t>
      </w:r>
      <w:r>
        <w:rPr>
          <w:spacing w:val="-8"/>
        </w:rPr>
        <w:t> </w:t>
      </w:r>
      <w:r>
        <w:rPr/>
        <w:t>isquemia</w:t>
      </w:r>
      <w:r>
        <w:rPr>
          <w:spacing w:val="-8"/>
        </w:rPr>
        <w:t> </w:t>
      </w:r>
      <w:r>
        <w:rPr/>
        <w:t>miocárdica</w:t>
      </w:r>
      <w:r>
        <w:rPr>
          <w:spacing w:val="-8"/>
        </w:rPr>
        <w:t> </w:t>
      </w:r>
      <w:r>
        <w:rPr/>
        <w:t>por</w:t>
      </w:r>
      <w:r>
        <w:rPr>
          <w:spacing w:val="-1"/>
        </w:rPr>
        <w:t> </w:t>
      </w:r>
      <w:r>
        <w:rPr/>
        <w:t>meio</w:t>
      </w:r>
      <w:r>
        <w:rPr>
          <w:spacing w:val="-6"/>
        </w:rPr>
        <w:t> </w:t>
      </w:r>
      <w:r>
        <w:rPr/>
        <w:t>de</w:t>
      </w:r>
      <w:r>
        <w:rPr>
          <w:spacing w:val="-8"/>
        </w:rPr>
        <w:t> </w:t>
      </w:r>
      <w:r>
        <w:rPr/>
        <w:t>métodos de</w:t>
      </w:r>
      <w:r>
        <w:rPr>
          <w:spacing w:val="-8"/>
        </w:rPr>
        <w:t> </w:t>
      </w:r>
      <w:r>
        <w:rPr/>
        <w:t>investigação</w:t>
      </w:r>
      <w:r>
        <w:rPr>
          <w:spacing w:val="-6"/>
        </w:rPr>
        <w:t> </w:t>
      </w:r>
      <w:r>
        <w:rPr/>
        <w:t>(eletrocardiográficos ou</w:t>
      </w:r>
      <w:r>
        <w:rPr>
          <w:spacing w:val="-6"/>
        </w:rPr>
        <w:t> </w:t>
      </w:r>
      <w:r>
        <w:rPr/>
        <w:t>pela</w:t>
      </w:r>
      <w:r>
        <w:rPr>
          <w:spacing w:val="-8"/>
        </w:rPr>
        <w:t> </w:t>
      </w:r>
      <w:r>
        <w:rPr/>
        <w:t>cintigrafia de</w:t>
      </w:r>
      <w:r>
        <w:rPr>
          <w:spacing w:val="-7"/>
        </w:rPr>
        <w:t> </w:t>
      </w:r>
      <w:r>
        <w:rPr/>
        <w:t>perfusão</w:t>
      </w:r>
      <w:r>
        <w:rPr>
          <w:spacing w:val="-5"/>
        </w:rPr>
        <w:t> </w:t>
      </w:r>
      <w:r>
        <w:rPr/>
        <w:t>miocárdica) na</w:t>
      </w:r>
      <w:r>
        <w:rPr>
          <w:spacing w:val="-7"/>
        </w:rPr>
        <w:t> </w:t>
      </w:r>
      <w:r>
        <w:rPr/>
        <w:t>ausência</w:t>
      </w:r>
      <w:r>
        <w:rPr>
          <w:spacing w:val="-7"/>
        </w:rPr>
        <w:t> </w:t>
      </w:r>
      <w:r>
        <w:rPr/>
        <w:t>de</w:t>
      </w:r>
      <w:r>
        <w:rPr>
          <w:spacing w:val="-7"/>
        </w:rPr>
        <w:t> </w:t>
      </w:r>
      <w:r>
        <w:rPr/>
        <w:t>lesões obstrutivas das artérias coronárias à</w:t>
      </w:r>
      <w:r>
        <w:rPr>
          <w:spacing w:val="-7"/>
        </w:rPr>
        <w:t> </w:t>
      </w:r>
      <w:r>
        <w:rPr/>
        <w:t>coronariografia.</w:t>
      </w:r>
      <w:r>
        <w:rPr>
          <w:vertAlign w:val="superscript"/>
        </w:rPr>
        <w:t>17</w:t>
      </w:r>
      <w:r>
        <w:rPr>
          <w:spacing w:val="-1"/>
          <w:vertAlign w:val="baseline"/>
        </w:rPr>
        <w:t> </w:t>
      </w:r>
      <w:r>
        <w:rPr>
          <w:vertAlign w:val="baseline"/>
        </w:rPr>
        <w:t>É</w:t>
      </w:r>
      <w:r>
        <w:rPr>
          <w:spacing w:val="-3"/>
          <w:vertAlign w:val="baseline"/>
        </w:rPr>
        <w:t> </w:t>
      </w:r>
      <w:r>
        <w:rPr>
          <w:vertAlign w:val="baseline"/>
        </w:rPr>
        <w:t>interpretada como uma doença da microcirculação coronária, com disfunção endotelial ou alteração do tônus vascular. Anomalias anatômicas também podem levar à insuficiência coronária, como, por exemplo, a origem anômala da coronária esquerda a partir da aorta ou do tronco da artéria pulmonar.</w:t>
      </w:r>
      <w:r>
        <w:rPr>
          <w:vertAlign w:val="superscript"/>
        </w:rPr>
        <w:t>35</w:t>
      </w:r>
      <w:r>
        <w:rPr>
          <w:vertAlign w:val="baseline"/>
        </w:rPr>
        <w:t> As causas de insuficiência coronariana obstrutiva e não obstrutiva estão listadas na </w:t>
      </w:r>
      <w:r>
        <w:rPr>
          <w:color w:val="505050"/>
          <w:vertAlign w:val="baseline"/>
        </w:rPr>
        <w:t>Tabela 56.3</w:t>
      </w:r>
      <w:r>
        <w:rPr>
          <w:vertAlign w:val="baseline"/>
        </w:rPr>
        <w:t>.</w:t>
      </w:r>
    </w:p>
    <w:p>
      <w:pPr>
        <w:pStyle w:val="BodyText"/>
        <w:spacing w:before="176"/>
        <w:ind w:left="0" w:firstLine="0"/>
        <w:jc w:val="left"/>
      </w:pPr>
    </w:p>
    <w:p>
      <w:pPr>
        <w:pStyle w:val="Heading4"/>
      </w:pPr>
      <w:r>
        <w:rPr>
          <w:color w:val="242B67"/>
        </w:rPr>
        <w:t>Apresentação </w:t>
      </w:r>
      <w:r>
        <w:rPr>
          <w:color w:val="242B67"/>
          <w:spacing w:val="-2"/>
        </w:rPr>
        <w:t>clínica</w:t>
      </w:r>
    </w:p>
    <w:p>
      <w:pPr>
        <w:pStyle w:val="BodyText"/>
        <w:spacing w:line="276" w:lineRule="auto" w:before="132"/>
        <w:ind w:right="491"/>
      </w:pPr>
      <w:r>
        <w:rPr/>
        <w:t>As apresentações clínicas da insuficiência coronariana crônica são a angina de peito, a isquemia silenciosa, o equivalente</w:t>
      </w:r>
      <w:r>
        <w:rPr>
          <w:spacing w:val="-1"/>
        </w:rPr>
        <w:t> </w:t>
      </w:r>
      <w:r>
        <w:rPr/>
        <w:t>isquêmico e</w:t>
      </w:r>
      <w:r>
        <w:rPr>
          <w:spacing w:val="-1"/>
        </w:rPr>
        <w:t> </w:t>
      </w:r>
      <w:r>
        <w:rPr/>
        <w:t>a</w:t>
      </w:r>
      <w:r>
        <w:rPr>
          <w:spacing w:val="-1"/>
        </w:rPr>
        <w:t> </w:t>
      </w:r>
      <w:r>
        <w:rPr/>
        <w:t>insuficiência</w:t>
      </w:r>
      <w:r>
        <w:rPr>
          <w:spacing w:val="-1"/>
        </w:rPr>
        <w:t> </w:t>
      </w:r>
      <w:r>
        <w:rPr/>
        <w:t>cardíaca</w:t>
      </w:r>
      <w:r>
        <w:rPr>
          <w:spacing w:val="-1"/>
        </w:rPr>
        <w:t> </w:t>
      </w:r>
      <w:r>
        <w:rPr/>
        <w:t>pela</w:t>
      </w:r>
      <w:r>
        <w:rPr>
          <w:spacing w:val="-1"/>
        </w:rPr>
        <w:t> </w:t>
      </w:r>
      <w:r>
        <w:rPr/>
        <w:t>cardiopatia</w:t>
      </w:r>
      <w:r>
        <w:rPr>
          <w:spacing w:val="-1"/>
        </w:rPr>
        <w:t> </w:t>
      </w:r>
      <w:r>
        <w:rPr/>
        <w:t>isquêmica.</w:t>
      </w:r>
    </w:p>
    <w:p>
      <w:pPr>
        <w:pStyle w:val="BodyText"/>
        <w:spacing w:line="278" w:lineRule="auto" w:before="48"/>
        <w:ind w:right="488"/>
      </w:pPr>
      <w:r>
        <w:rPr/>
        <w:t>A</w:t>
      </w:r>
      <w:r>
        <w:rPr>
          <w:spacing w:val="-9"/>
        </w:rPr>
        <w:t> </w:t>
      </w:r>
      <w:r>
        <w:rPr/>
        <w:t>principal</w:t>
      </w:r>
      <w:r>
        <w:rPr>
          <w:spacing w:val="-4"/>
        </w:rPr>
        <w:t> </w:t>
      </w:r>
      <w:r>
        <w:rPr/>
        <w:t>manifestação</w:t>
      </w:r>
      <w:r>
        <w:rPr>
          <w:spacing w:val="-6"/>
        </w:rPr>
        <w:t> </w:t>
      </w:r>
      <w:r>
        <w:rPr/>
        <w:t>é</w:t>
      </w:r>
      <w:r>
        <w:rPr>
          <w:spacing w:val="-9"/>
        </w:rPr>
        <w:t> </w:t>
      </w:r>
      <w:r>
        <w:rPr/>
        <w:t>a</w:t>
      </w:r>
      <w:r>
        <w:rPr>
          <w:spacing w:val="-9"/>
        </w:rPr>
        <w:t> </w:t>
      </w:r>
      <w:r>
        <w:rPr/>
        <w:t>angina</w:t>
      </w:r>
      <w:r>
        <w:rPr>
          <w:spacing w:val="-9"/>
        </w:rPr>
        <w:t> </w:t>
      </w:r>
      <w:r>
        <w:rPr/>
        <w:t>de</w:t>
      </w:r>
      <w:r>
        <w:rPr>
          <w:spacing w:val="-9"/>
        </w:rPr>
        <w:t> </w:t>
      </w:r>
      <w:r>
        <w:rPr/>
        <w:t>peito. A</w:t>
      </w:r>
      <w:r>
        <w:rPr>
          <w:spacing w:val="-9"/>
        </w:rPr>
        <w:t> </w:t>
      </w:r>
      <w:r>
        <w:rPr/>
        <w:t>história</w:t>
      </w:r>
      <w:r>
        <w:rPr>
          <w:spacing w:val="-9"/>
        </w:rPr>
        <w:t> </w:t>
      </w:r>
      <w:r>
        <w:rPr/>
        <w:t>clínica</w:t>
      </w:r>
      <w:r>
        <w:rPr>
          <w:spacing w:val="-9"/>
        </w:rPr>
        <w:t> </w:t>
      </w:r>
      <w:r>
        <w:rPr/>
        <w:t>típica</w:t>
      </w:r>
      <w:r>
        <w:rPr>
          <w:spacing w:val="-9"/>
        </w:rPr>
        <w:t> </w:t>
      </w:r>
      <w:r>
        <w:rPr/>
        <w:t>caracteriza-se</w:t>
      </w:r>
      <w:r>
        <w:rPr>
          <w:spacing w:val="-9"/>
        </w:rPr>
        <w:t> </w:t>
      </w:r>
      <w:r>
        <w:rPr/>
        <w:t>por</w:t>
      </w:r>
      <w:r>
        <w:rPr>
          <w:spacing w:val="-1"/>
        </w:rPr>
        <w:t> </w:t>
      </w:r>
      <w:r>
        <w:rPr/>
        <w:t>episódios transitórios de desconforto ou dor torácica na face anterior do tórax, geralmente retroesternal ou precordial, normalmente desencadeada pelo esforço físico. Geralmente o desconforto é descrito pelo paciente como aperto, queimação, opressão, constrição ou mesmo dor, podendo irradiar para um ou ambos os braços (geralmente para o esquerdo), pescoço, mandíbula</w:t>
      </w:r>
      <w:r>
        <w:rPr>
          <w:spacing w:val="-3"/>
        </w:rPr>
        <w:t> </w:t>
      </w:r>
      <w:r>
        <w:rPr/>
        <w:t>ou</w:t>
      </w:r>
      <w:r>
        <w:rPr>
          <w:spacing w:val="-1"/>
        </w:rPr>
        <w:t> </w:t>
      </w:r>
      <w:r>
        <w:rPr/>
        <w:t>para</w:t>
      </w:r>
      <w:r>
        <w:rPr>
          <w:spacing w:val="-3"/>
        </w:rPr>
        <w:t> </w:t>
      </w:r>
      <w:r>
        <w:rPr/>
        <w:t>a</w:t>
      </w:r>
      <w:r>
        <w:rPr>
          <w:spacing w:val="-3"/>
        </w:rPr>
        <w:t> </w:t>
      </w:r>
      <w:r>
        <w:rPr/>
        <w:t>região</w:t>
      </w:r>
      <w:r>
        <w:rPr>
          <w:spacing w:val="-1"/>
        </w:rPr>
        <w:t> </w:t>
      </w:r>
      <w:r>
        <w:rPr/>
        <w:t>posterior do</w:t>
      </w:r>
      <w:r>
        <w:rPr>
          <w:spacing w:val="-1"/>
        </w:rPr>
        <w:t> </w:t>
      </w:r>
      <w:r>
        <w:rPr/>
        <w:t>tórax. Excepcionalmente, o</w:t>
      </w:r>
      <w:r>
        <w:rPr>
          <w:spacing w:val="-1"/>
        </w:rPr>
        <w:t> </w:t>
      </w:r>
      <w:r>
        <w:rPr/>
        <w:t>único</w:t>
      </w:r>
      <w:r>
        <w:rPr>
          <w:spacing w:val="-1"/>
        </w:rPr>
        <w:t> </w:t>
      </w:r>
      <w:r>
        <w:rPr/>
        <w:t>local do</w:t>
      </w:r>
      <w:r>
        <w:rPr>
          <w:spacing w:val="-1"/>
        </w:rPr>
        <w:t> </w:t>
      </w:r>
      <w:r>
        <w:rPr/>
        <w:t>sintoma</w:t>
      </w:r>
      <w:r>
        <w:rPr>
          <w:spacing w:val="-3"/>
        </w:rPr>
        <w:t> </w:t>
      </w:r>
      <w:r>
        <w:rPr/>
        <w:t>corresponde</w:t>
      </w:r>
      <w:r>
        <w:rPr>
          <w:spacing w:val="-3"/>
        </w:rPr>
        <w:t> </w:t>
      </w:r>
      <w:r>
        <w:rPr/>
        <w:t>à dor irradiada. Assim, só desconforto ou dor no membro superior esquerdo, ou só na mandíbula, por exemplo, podem ser manifestação de angina. O que se considera como típico é o acontecimento de sintomas com as características anteriores, na</w:t>
      </w:r>
      <w:r>
        <w:rPr>
          <w:spacing w:val="-10"/>
        </w:rPr>
        <w:t> </w:t>
      </w:r>
      <w:r>
        <w:rPr/>
        <w:t>maioria</w:t>
      </w:r>
      <w:r>
        <w:rPr>
          <w:spacing w:val="-10"/>
        </w:rPr>
        <w:t> </w:t>
      </w:r>
      <w:r>
        <w:rPr/>
        <w:t>das vezes localizados na</w:t>
      </w:r>
      <w:r>
        <w:rPr>
          <w:spacing w:val="-10"/>
        </w:rPr>
        <w:t> </w:t>
      </w:r>
      <w:r>
        <w:rPr/>
        <w:t>região</w:t>
      </w:r>
      <w:r>
        <w:rPr>
          <w:spacing w:val="-8"/>
        </w:rPr>
        <w:t> </w:t>
      </w:r>
      <w:r>
        <w:rPr/>
        <w:t>retroesternal</w:t>
      </w:r>
      <w:r>
        <w:rPr>
          <w:spacing w:val="-5"/>
        </w:rPr>
        <w:t> </w:t>
      </w:r>
      <w:r>
        <w:rPr/>
        <w:t>e</w:t>
      </w:r>
      <w:r>
        <w:rPr>
          <w:spacing w:val="-10"/>
        </w:rPr>
        <w:t> </w:t>
      </w:r>
      <w:r>
        <w:rPr/>
        <w:t>com</w:t>
      </w:r>
      <w:r>
        <w:rPr>
          <w:spacing w:val="-8"/>
        </w:rPr>
        <w:t> </w:t>
      </w:r>
      <w:r>
        <w:rPr/>
        <w:t>a</w:t>
      </w:r>
      <w:r>
        <w:rPr>
          <w:spacing w:val="-10"/>
        </w:rPr>
        <w:t> </w:t>
      </w:r>
      <w:r>
        <w:rPr/>
        <w:t>irradiação</w:t>
      </w:r>
      <w:r>
        <w:rPr>
          <w:spacing w:val="-8"/>
        </w:rPr>
        <w:t> </w:t>
      </w:r>
      <w:r>
        <w:rPr/>
        <w:t>mais frequente para o membro superior esquerdo até o cotovelo, durando geralmente de 5 a 20 min, dependendo do que desencadeou</w:t>
      </w:r>
      <w:r>
        <w:rPr>
          <w:spacing w:val="-1"/>
        </w:rPr>
        <w:t> </w:t>
      </w:r>
      <w:r>
        <w:rPr/>
        <w:t>o</w:t>
      </w:r>
      <w:r>
        <w:rPr>
          <w:spacing w:val="-1"/>
        </w:rPr>
        <w:t> </w:t>
      </w:r>
      <w:r>
        <w:rPr/>
        <w:t>quadro. A</w:t>
      </w:r>
      <w:r>
        <w:rPr>
          <w:spacing w:val="-4"/>
        </w:rPr>
        <w:t> </w:t>
      </w:r>
      <w:r>
        <w:rPr/>
        <w:t>dor é</w:t>
      </w:r>
      <w:r>
        <w:rPr>
          <w:spacing w:val="-4"/>
        </w:rPr>
        <w:t> </w:t>
      </w:r>
      <w:r>
        <w:rPr/>
        <w:t>de</w:t>
      </w:r>
      <w:r>
        <w:rPr>
          <w:spacing w:val="-4"/>
        </w:rPr>
        <w:t> </w:t>
      </w:r>
      <w:r>
        <w:rPr/>
        <w:t>intensidade</w:t>
      </w:r>
      <w:r>
        <w:rPr>
          <w:spacing w:val="-4"/>
        </w:rPr>
        <w:t> </w:t>
      </w:r>
      <w:r>
        <w:rPr/>
        <w:t>variável, melhorando</w:t>
      </w:r>
      <w:r>
        <w:rPr>
          <w:spacing w:val="-1"/>
        </w:rPr>
        <w:t> </w:t>
      </w:r>
      <w:r>
        <w:rPr/>
        <w:t>ou</w:t>
      </w:r>
      <w:r>
        <w:rPr>
          <w:spacing w:val="-1"/>
        </w:rPr>
        <w:t> </w:t>
      </w:r>
      <w:r>
        <w:rPr/>
        <w:t>cessando</w:t>
      </w:r>
      <w:r>
        <w:rPr>
          <w:spacing w:val="-1"/>
        </w:rPr>
        <w:t> </w:t>
      </w:r>
      <w:r>
        <w:rPr/>
        <w:t>com</w:t>
      </w:r>
      <w:r>
        <w:rPr>
          <w:spacing w:val="-1"/>
        </w:rPr>
        <w:t> </w:t>
      </w:r>
      <w:r>
        <w:rPr/>
        <w:t>o</w:t>
      </w:r>
      <w:r>
        <w:rPr>
          <w:spacing w:val="-1"/>
        </w:rPr>
        <w:t> </w:t>
      </w:r>
      <w:r>
        <w:rPr/>
        <w:t>repouso</w:t>
      </w:r>
      <w:r>
        <w:rPr>
          <w:spacing w:val="-1"/>
        </w:rPr>
        <w:t> </w:t>
      </w:r>
      <w:r>
        <w:rPr/>
        <w:t>ou</w:t>
      </w:r>
      <w:r>
        <w:rPr>
          <w:spacing w:val="-1"/>
        </w:rPr>
        <w:t> </w:t>
      </w:r>
      <w:r>
        <w:rPr/>
        <w:t>o</w:t>
      </w:r>
      <w:r>
        <w:rPr>
          <w:spacing w:val="-1"/>
        </w:rPr>
        <w:t> </w:t>
      </w:r>
      <w:r>
        <w:rPr/>
        <w:t>uso</w:t>
      </w:r>
      <w:r>
        <w:rPr>
          <w:spacing w:val="-1"/>
        </w:rPr>
        <w:t> </w:t>
      </w:r>
      <w:r>
        <w:rPr/>
        <w:t>de</w:t>
      </w:r>
      <w:r>
        <w:rPr>
          <w:spacing w:val="-4"/>
        </w:rPr>
        <w:t> </w:t>
      </w:r>
      <w:r>
        <w:rPr/>
        <w:t>nitrato sublingual, e a intensidade não se relaciona com maior ou menor comprometimento das artérias coronárias. Cansaço, dispneia e palpitações podem estar associados.</w:t>
      </w:r>
      <w:r>
        <w:rPr>
          <w:vertAlign w:val="superscript"/>
        </w:rPr>
        <w:t>36</w:t>
      </w:r>
    </w:p>
    <w:p>
      <w:pPr>
        <w:pStyle w:val="BodyText"/>
        <w:spacing w:before="73"/>
        <w:ind w:left="0" w:firstLine="0"/>
        <w:jc w:val="left"/>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3"/>
          <w:sz w:val="23"/>
        </w:rPr>
        <w:t> </w:t>
      </w:r>
      <w:r>
        <w:rPr>
          <w:rFonts w:ascii="Arial" w:hAnsi="Arial"/>
          <w:b/>
          <w:color w:val="242B67"/>
          <w:sz w:val="23"/>
        </w:rPr>
        <w:t>56.2</w:t>
      </w:r>
      <w:r>
        <w:rPr>
          <w:rFonts w:ascii="Arial" w:hAnsi="Arial"/>
          <w:b/>
          <w:color w:val="242B67"/>
          <w:spacing w:val="-3"/>
          <w:sz w:val="23"/>
        </w:rPr>
        <w:t> </w:t>
      </w:r>
      <w:r>
        <w:rPr>
          <w:rFonts w:ascii="Microsoft Sans Serif" w:hAnsi="Microsoft Sans Serif"/>
          <w:sz w:val="23"/>
        </w:rPr>
        <w:t>Critérios</w:t>
      </w:r>
      <w:r>
        <w:rPr>
          <w:rFonts w:ascii="Microsoft Sans Serif" w:hAnsi="Microsoft Sans Serif"/>
          <w:spacing w:val="-4"/>
          <w:sz w:val="23"/>
        </w:rPr>
        <w:t> </w:t>
      </w:r>
      <w:r>
        <w:rPr>
          <w:rFonts w:ascii="Microsoft Sans Serif" w:hAnsi="Microsoft Sans Serif"/>
          <w:sz w:val="23"/>
        </w:rPr>
        <w:t>diagnósticos</w:t>
      </w:r>
      <w:r>
        <w:rPr>
          <w:rFonts w:ascii="Microsoft Sans Serif" w:hAnsi="Microsoft Sans Serif"/>
          <w:spacing w:val="-3"/>
          <w:sz w:val="23"/>
        </w:rPr>
        <w:t> </w:t>
      </w:r>
      <w:r>
        <w:rPr>
          <w:rFonts w:ascii="Microsoft Sans Serif" w:hAnsi="Microsoft Sans Serif"/>
          <w:sz w:val="23"/>
        </w:rPr>
        <w:t>da</w:t>
      </w:r>
      <w:r>
        <w:rPr>
          <w:rFonts w:ascii="Microsoft Sans Serif" w:hAnsi="Microsoft Sans Serif"/>
          <w:spacing w:val="-1"/>
          <w:sz w:val="23"/>
        </w:rPr>
        <w:t> </w:t>
      </w:r>
      <w:r>
        <w:rPr>
          <w:rFonts w:ascii="Microsoft Sans Serif" w:hAnsi="Microsoft Sans Serif"/>
          <w:sz w:val="23"/>
        </w:rPr>
        <w:t>síndrome </w:t>
      </w:r>
      <w:r>
        <w:rPr>
          <w:rFonts w:ascii="Microsoft Sans Serif" w:hAnsi="Microsoft Sans Serif"/>
          <w:spacing w:val="-2"/>
          <w:sz w:val="23"/>
        </w:rPr>
        <w:t>metabólica.</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724"/>
        <w:gridCol w:w="6895"/>
      </w:tblGrid>
      <w:tr>
        <w:trPr>
          <w:trHeight w:val="430" w:hRule="atLeast"/>
        </w:trPr>
        <w:tc>
          <w:tcPr>
            <w:tcW w:w="3724" w:type="dxa"/>
            <w:tcBorders>
              <w:top w:val="nil"/>
              <w:left w:val="nil"/>
            </w:tcBorders>
            <w:shd w:val="clear" w:color="auto" w:fill="242B67"/>
          </w:tcPr>
          <w:p>
            <w:pPr>
              <w:pStyle w:val="TableParagraph"/>
              <w:spacing w:before="91"/>
              <w:ind w:left="67"/>
              <w:rPr>
                <w:rFonts w:ascii="Arial"/>
                <w:b/>
                <w:sz w:val="21"/>
              </w:rPr>
            </w:pPr>
            <w:r>
              <w:rPr>
                <w:rFonts w:ascii="Arial"/>
                <w:b/>
                <w:color w:val="FFFFFF"/>
                <w:w w:val="105"/>
                <w:sz w:val="21"/>
              </w:rPr>
              <w:t>Fator</w:t>
            </w:r>
            <w:r>
              <w:rPr>
                <w:rFonts w:ascii="Arial"/>
                <w:b/>
                <w:color w:val="FFFFFF"/>
                <w:spacing w:val="-10"/>
                <w:w w:val="105"/>
                <w:sz w:val="21"/>
              </w:rPr>
              <w:t> </w:t>
            </w:r>
            <w:r>
              <w:rPr>
                <w:rFonts w:ascii="Arial"/>
                <w:b/>
                <w:color w:val="FFFFFF"/>
                <w:w w:val="105"/>
                <w:sz w:val="21"/>
              </w:rPr>
              <w:t>de </w:t>
            </w:r>
            <w:r>
              <w:rPr>
                <w:rFonts w:ascii="Arial"/>
                <w:b/>
                <w:color w:val="FFFFFF"/>
                <w:spacing w:val="-2"/>
                <w:w w:val="105"/>
                <w:sz w:val="21"/>
              </w:rPr>
              <w:t>risco</w:t>
            </w:r>
          </w:p>
        </w:tc>
        <w:tc>
          <w:tcPr>
            <w:tcW w:w="6895" w:type="dxa"/>
            <w:tcBorders>
              <w:top w:val="nil"/>
              <w:right w:val="nil"/>
            </w:tcBorders>
            <w:shd w:val="clear" w:color="auto" w:fill="242B67"/>
          </w:tcPr>
          <w:p>
            <w:pPr>
              <w:pStyle w:val="TableParagraph"/>
              <w:spacing w:before="91"/>
              <w:rPr>
                <w:rFonts w:ascii="Arial" w:hAnsi="Arial"/>
                <w:b/>
                <w:sz w:val="21"/>
              </w:rPr>
            </w:pPr>
            <w:r>
              <w:rPr>
                <w:rFonts w:ascii="Arial" w:hAnsi="Arial"/>
                <w:b/>
                <w:color w:val="FFFFFF"/>
                <w:w w:val="105"/>
                <w:sz w:val="21"/>
              </w:rPr>
              <w:t>Nível</w:t>
            </w:r>
            <w:r>
              <w:rPr>
                <w:rFonts w:ascii="Arial" w:hAnsi="Arial"/>
                <w:b/>
                <w:color w:val="FFFFFF"/>
                <w:spacing w:val="15"/>
                <w:w w:val="105"/>
                <w:sz w:val="21"/>
              </w:rPr>
              <w:t> </w:t>
            </w:r>
            <w:r>
              <w:rPr>
                <w:rFonts w:ascii="Arial" w:hAnsi="Arial"/>
                <w:b/>
                <w:color w:val="FFFFFF"/>
                <w:spacing w:val="-2"/>
                <w:w w:val="105"/>
                <w:sz w:val="21"/>
              </w:rPr>
              <w:t>definido</w:t>
            </w:r>
          </w:p>
        </w:tc>
      </w:tr>
      <w:tr>
        <w:trPr>
          <w:trHeight w:val="732" w:hRule="atLeast"/>
        </w:trPr>
        <w:tc>
          <w:tcPr>
            <w:tcW w:w="3724" w:type="dxa"/>
            <w:tcBorders>
              <w:left w:val="nil"/>
            </w:tcBorders>
            <w:shd w:val="clear" w:color="auto" w:fill="EDECF3"/>
          </w:tcPr>
          <w:p>
            <w:pPr>
              <w:pStyle w:val="TableParagraph"/>
              <w:ind w:left="67"/>
              <w:rPr>
                <w:sz w:val="21"/>
              </w:rPr>
            </w:pPr>
            <w:r>
              <w:rPr>
                <w:w w:val="105"/>
                <w:sz w:val="21"/>
              </w:rPr>
              <w:t>Obesidade</w:t>
            </w:r>
            <w:r>
              <w:rPr>
                <w:spacing w:val="33"/>
                <w:w w:val="105"/>
                <w:sz w:val="21"/>
              </w:rPr>
              <w:t> </w:t>
            </w:r>
            <w:r>
              <w:rPr>
                <w:spacing w:val="-2"/>
                <w:w w:val="105"/>
                <w:sz w:val="21"/>
              </w:rPr>
              <w:t>abdominal</w:t>
            </w:r>
          </w:p>
        </w:tc>
        <w:tc>
          <w:tcPr>
            <w:tcW w:w="6895" w:type="dxa"/>
            <w:tcBorders>
              <w:right w:val="nil"/>
            </w:tcBorders>
            <w:shd w:val="clear" w:color="auto" w:fill="EDECF3"/>
          </w:tcPr>
          <w:p>
            <w:pPr>
              <w:pStyle w:val="TableParagraph"/>
              <w:spacing w:line="307" w:lineRule="auto"/>
              <w:rPr>
                <w:sz w:val="21"/>
              </w:rPr>
            </w:pPr>
            <w:r>
              <w:rPr>
                <w:w w:val="105"/>
                <w:sz w:val="21"/>
              </w:rPr>
              <w:t>Circunferência abdominal &gt; 102 cm para homem e &gt; 88 cm para </w:t>
            </w:r>
            <w:r>
              <w:rPr>
                <w:spacing w:val="-2"/>
                <w:w w:val="105"/>
                <w:sz w:val="21"/>
              </w:rPr>
              <w:t>mulher</w:t>
            </w:r>
          </w:p>
        </w:tc>
      </w:tr>
      <w:tr>
        <w:trPr>
          <w:trHeight w:val="428" w:hRule="atLeast"/>
        </w:trPr>
        <w:tc>
          <w:tcPr>
            <w:tcW w:w="3724" w:type="dxa"/>
            <w:tcBorders>
              <w:left w:val="nil"/>
            </w:tcBorders>
            <w:shd w:val="clear" w:color="auto" w:fill="EDECF3"/>
          </w:tcPr>
          <w:p>
            <w:pPr>
              <w:pStyle w:val="TableParagraph"/>
              <w:ind w:left="67"/>
              <w:rPr>
                <w:sz w:val="21"/>
              </w:rPr>
            </w:pPr>
            <w:r>
              <w:rPr>
                <w:spacing w:val="-2"/>
                <w:w w:val="105"/>
                <w:sz w:val="21"/>
              </w:rPr>
              <w:t>Triglicerídios</w:t>
            </w:r>
          </w:p>
        </w:tc>
        <w:tc>
          <w:tcPr>
            <w:tcW w:w="6895" w:type="dxa"/>
            <w:tcBorders>
              <w:right w:val="nil"/>
            </w:tcBorders>
            <w:shd w:val="clear" w:color="auto" w:fill="EDECF3"/>
          </w:tcPr>
          <w:p>
            <w:pPr>
              <w:pStyle w:val="TableParagraph"/>
              <w:spacing w:before="89"/>
              <w:rPr>
                <w:rFonts w:ascii="Arial" w:hAnsi="Arial"/>
                <w:i/>
                <w:sz w:val="21"/>
              </w:rPr>
            </w:pPr>
            <w:r>
              <w:rPr>
                <w:w w:val="105"/>
                <w:sz w:val="21"/>
              </w:rPr>
              <w:t>&gt;</w:t>
            </w:r>
            <w:r>
              <w:rPr>
                <w:spacing w:val="8"/>
                <w:w w:val="105"/>
                <w:sz w:val="21"/>
              </w:rPr>
              <w:t> </w:t>
            </w:r>
            <w:r>
              <w:rPr>
                <w:w w:val="105"/>
                <w:sz w:val="21"/>
              </w:rPr>
              <w:t>150</w:t>
            </w:r>
            <w:r>
              <w:rPr>
                <w:spacing w:val="14"/>
                <w:w w:val="105"/>
                <w:sz w:val="21"/>
              </w:rPr>
              <w:t> </w:t>
            </w:r>
            <w:r>
              <w:rPr>
                <w:spacing w:val="-4"/>
                <w:w w:val="105"/>
                <w:sz w:val="21"/>
              </w:rPr>
              <w:t>mg/d</w:t>
            </w:r>
            <w:r>
              <w:rPr>
                <w:rFonts w:ascii="Arial" w:hAnsi="Arial"/>
                <w:i/>
                <w:spacing w:val="-4"/>
                <w:w w:val="105"/>
                <w:sz w:val="21"/>
              </w:rPr>
              <w:t>ℓ</w:t>
            </w:r>
          </w:p>
        </w:tc>
      </w:tr>
      <w:tr>
        <w:trPr>
          <w:trHeight w:val="428" w:hRule="atLeast"/>
        </w:trPr>
        <w:tc>
          <w:tcPr>
            <w:tcW w:w="3724" w:type="dxa"/>
            <w:tcBorders>
              <w:left w:val="nil"/>
            </w:tcBorders>
            <w:shd w:val="clear" w:color="auto" w:fill="EDECF3"/>
          </w:tcPr>
          <w:p>
            <w:pPr>
              <w:pStyle w:val="TableParagraph"/>
              <w:ind w:left="67"/>
              <w:rPr>
                <w:sz w:val="21"/>
              </w:rPr>
            </w:pPr>
            <w:r>
              <w:rPr>
                <w:sz w:val="21"/>
              </w:rPr>
              <w:t>Colesterol-</w:t>
            </w:r>
            <w:r>
              <w:rPr>
                <w:spacing w:val="-5"/>
                <w:sz w:val="21"/>
              </w:rPr>
              <w:t>HDL</w:t>
            </w:r>
          </w:p>
        </w:tc>
        <w:tc>
          <w:tcPr>
            <w:tcW w:w="6895" w:type="dxa"/>
            <w:tcBorders>
              <w:right w:val="nil"/>
            </w:tcBorders>
            <w:shd w:val="clear" w:color="auto" w:fill="EDECF3"/>
          </w:tcPr>
          <w:p>
            <w:pPr>
              <w:pStyle w:val="TableParagraph"/>
              <w:spacing w:before="89"/>
              <w:rPr>
                <w:sz w:val="21"/>
              </w:rPr>
            </w:pPr>
            <w:r>
              <w:rPr>
                <w:w w:val="105"/>
                <w:sz w:val="21"/>
              </w:rPr>
              <w:t>&lt;</w:t>
            </w:r>
            <w:r>
              <w:rPr>
                <w:spacing w:val="8"/>
                <w:w w:val="105"/>
                <w:sz w:val="21"/>
              </w:rPr>
              <w:t> </w:t>
            </w:r>
            <w:r>
              <w:rPr>
                <w:w w:val="105"/>
                <w:sz w:val="21"/>
              </w:rPr>
              <w:t>40</w:t>
            </w:r>
            <w:r>
              <w:rPr>
                <w:spacing w:val="15"/>
                <w:w w:val="105"/>
                <w:sz w:val="21"/>
              </w:rPr>
              <w:t> </w:t>
            </w:r>
            <w:r>
              <w:rPr>
                <w:w w:val="105"/>
                <w:sz w:val="21"/>
              </w:rPr>
              <w:t>mg/d</w:t>
            </w:r>
            <w:r>
              <w:rPr>
                <w:rFonts w:ascii="Arial" w:hAnsi="Arial"/>
                <w:i/>
                <w:w w:val="105"/>
                <w:sz w:val="21"/>
              </w:rPr>
              <w:t>ℓ</w:t>
            </w:r>
            <w:r>
              <w:rPr>
                <w:rFonts w:ascii="Arial" w:hAnsi="Arial"/>
                <w:i/>
                <w:spacing w:val="-2"/>
                <w:w w:val="105"/>
                <w:sz w:val="21"/>
              </w:rPr>
              <w:t> </w:t>
            </w:r>
            <w:r>
              <w:rPr>
                <w:w w:val="105"/>
                <w:sz w:val="21"/>
              </w:rPr>
              <w:t>para</w:t>
            </w:r>
            <w:r>
              <w:rPr>
                <w:spacing w:val="15"/>
                <w:w w:val="105"/>
                <w:sz w:val="21"/>
              </w:rPr>
              <w:t> </w:t>
            </w:r>
            <w:r>
              <w:rPr>
                <w:w w:val="105"/>
                <w:sz w:val="21"/>
              </w:rPr>
              <w:t>homem</w:t>
            </w:r>
            <w:r>
              <w:rPr>
                <w:spacing w:val="1"/>
                <w:w w:val="105"/>
                <w:sz w:val="21"/>
              </w:rPr>
              <w:t> </w:t>
            </w:r>
            <w:r>
              <w:rPr>
                <w:w w:val="105"/>
                <w:sz w:val="21"/>
              </w:rPr>
              <w:t>e</w:t>
            </w:r>
            <w:r>
              <w:rPr>
                <w:spacing w:val="15"/>
                <w:w w:val="105"/>
                <w:sz w:val="21"/>
              </w:rPr>
              <w:t> </w:t>
            </w:r>
            <w:r>
              <w:rPr>
                <w:w w:val="105"/>
                <w:sz w:val="21"/>
              </w:rPr>
              <w:t>&lt;</w:t>
            </w:r>
            <w:r>
              <w:rPr>
                <w:spacing w:val="8"/>
                <w:w w:val="105"/>
                <w:sz w:val="21"/>
              </w:rPr>
              <w:t> </w:t>
            </w:r>
            <w:r>
              <w:rPr>
                <w:w w:val="105"/>
                <w:sz w:val="21"/>
              </w:rPr>
              <w:t>50</w:t>
            </w:r>
            <w:r>
              <w:rPr>
                <w:spacing w:val="15"/>
                <w:w w:val="105"/>
                <w:sz w:val="21"/>
              </w:rPr>
              <w:t> </w:t>
            </w:r>
            <w:r>
              <w:rPr>
                <w:w w:val="105"/>
                <w:sz w:val="21"/>
              </w:rPr>
              <w:t>mg/d</w:t>
            </w:r>
            <w:r>
              <w:rPr>
                <w:rFonts w:ascii="Arial" w:hAnsi="Arial"/>
                <w:i/>
                <w:w w:val="105"/>
                <w:sz w:val="21"/>
              </w:rPr>
              <w:t>ℓ</w:t>
            </w:r>
            <w:r>
              <w:rPr>
                <w:rFonts w:ascii="Arial" w:hAnsi="Arial"/>
                <w:i/>
                <w:spacing w:val="-2"/>
                <w:w w:val="105"/>
                <w:sz w:val="21"/>
              </w:rPr>
              <w:t> </w:t>
            </w:r>
            <w:r>
              <w:rPr>
                <w:w w:val="105"/>
                <w:sz w:val="21"/>
              </w:rPr>
              <w:t>para</w:t>
            </w:r>
            <w:r>
              <w:rPr>
                <w:spacing w:val="15"/>
                <w:w w:val="105"/>
                <w:sz w:val="21"/>
              </w:rPr>
              <w:t> </w:t>
            </w:r>
            <w:r>
              <w:rPr>
                <w:spacing w:val="-2"/>
                <w:w w:val="105"/>
                <w:sz w:val="21"/>
              </w:rPr>
              <w:t>mulher</w:t>
            </w:r>
          </w:p>
        </w:tc>
      </w:tr>
      <w:tr>
        <w:trPr>
          <w:trHeight w:val="428" w:hRule="atLeast"/>
        </w:trPr>
        <w:tc>
          <w:tcPr>
            <w:tcW w:w="3724" w:type="dxa"/>
            <w:tcBorders>
              <w:left w:val="nil"/>
            </w:tcBorders>
            <w:shd w:val="clear" w:color="auto" w:fill="EDECF3"/>
          </w:tcPr>
          <w:p>
            <w:pPr>
              <w:pStyle w:val="TableParagraph"/>
              <w:ind w:left="67"/>
              <w:rPr>
                <w:sz w:val="21"/>
              </w:rPr>
            </w:pPr>
            <w:r>
              <w:rPr>
                <w:w w:val="105"/>
                <w:sz w:val="21"/>
              </w:rPr>
              <w:t>Pressão</w:t>
            </w:r>
            <w:r>
              <w:rPr>
                <w:spacing w:val="21"/>
                <w:w w:val="105"/>
                <w:sz w:val="21"/>
              </w:rPr>
              <w:t> </w:t>
            </w:r>
            <w:r>
              <w:rPr>
                <w:spacing w:val="-2"/>
                <w:w w:val="105"/>
                <w:sz w:val="21"/>
              </w:rPr>
              <w:t>arterial</w:t>
            </w:r>
          </w:p>
        </w:tc>
        <w:tc>
          <w:tcPr>
            <w:tcW w:w="6895" w:type="dxa"/>
            <w:tcBorders>
              <w:right w:val="nil"/>
            </w:tcBorders>
            <w:shd w:val="clear" w:color="auto" w:fill="EDECF3"/>
          </w:tcPr>
          <w:p>
            <w:pPr>
              <w:pStyle w:val="TableParagraph"/>
              <w:rPr>
                <w:sz w:val="21"/>
              </w:rPr>
            </w:pPr>
            <w:r>
              <w:rPr>
                <w:w w:val="105"/>
                <w:sz w:val="21"/>
              </w:rPr>
              <w:t>&gt;</w:t>
            </w:r>
            <w:r>
              <w:rPr>
                <w:spacing w:val="7"/>
                <w:w w:val="105"/>
                <w:sz w:val="21"/>
              </w:rPr>
              <w:t> </w:t>
            </w:r>
            <w:r>
              <w:rPr>
                <w:w w:val="105"/>
                <w:sz w:val="21"/>
              </w:rPr>
              <w:t>130</w:t>
            </w:r>
            <w:r>
              <w:rPr>
                <w:spacing w:val="13"/>
                <w:w w:val="105"/>
                <w:sz w:val="21"/>
              </w:rPr>
              <w:t> </w:t>
            </w:r>
            <w:r>
              <w:rPr>
                <w:w w:val="105"/>
                <w:sz w:val="21"/>
              </w:rPr>
              <w:t>×</w:t>
            </w:r>
            <w:r>
              <w:rPr>
                <w:spacing w:val="7"/>
                <w:w w:val="105"/>
                <w:sz w:val="21"/>
              </w:rPr>
              <w:t> </w:t>
            </w:r>
            <w:r>
              <w:rPr>
                <w:w w:val="105"/>
                <w:sz w:val="21"/>
              </w:rPr>
              <w:t>85</w:t>
            </w:r>
            <w:r>
              <w:rPr>
                <w:spacing w:val="14"/>
                <w:w w:val="105"/>
                <w:sz w:val="21"/>
              </w:rPr>
              <w:t> </w:t>
            </w:r>
            <w:r>
              <w:rPr>
                <w:spacing w:val="-4"/>
                <w:w w:val="105"/>
                <w:sz w:val="21"/>
              </w:rPr>
              <w:t>mmHg</w:t>
            </w:r>
          </w:p>
        </w:tc>
      </w:tr>
      <w:tr>
        <w:trPr>
          <w:trHeight w:val="430" w:hRule="atLeast"/>
        </w:trPr>
        <w:tc>
          <w:tcPr>
            <w:tcW w:w="3724" w:type="dxa"/>
            <w:tcBorders>
              <w:left w:val="nil"/>
              <w:bottom w:val="nil"/>
            </w:tcBorders>
            <w:shd w:val="clear" w:color="auto" w:fill="EDECF3"/>
          </w:tcPr>
          <w:p>
            <w:pPr>
              <w:pStyle w:val="TableParagraph"/>
              <w:ind w:left="67"/>
              <w:rPr>
                <w:sz w:val="21"/>
              </w:rPr>
            </w:pPr>
            <w:r>
              <w:rPr>
                <w:w w:val="105"/>
                <w:sz w:val="21"/>
              </w:rPr>
              <w:t>Glicose</w:t>
            </w:r>
            <w:r>
              <w:rPr>
                <w:spacing w:val="13"/>
                <w:w w:val="105"/>
                <w:sz w:val="21"/>
              </w:rPr>
              <w:t> </w:t>
            </w:r>
            <w:r>
              <w:rPr>
                <w:w w:val="105"/>
                <w:sz w:val="21"/>
              </w:rPr>
              <w:t>em </w:t>
            </w:r>
            <w:r>
              <w:rPr>
                <w:spacing w:val="-4"/>
                <w:w w:val="105"/>
                <w:sz w:val="21"/>
              </w:rPr>
              <w:t>jejum</w:t>
            </w:r>
          </w:p>
        </w:tc>
        <w:tc>
          <w:tcPr>
            <w:tcW w:w="6895" w:type="dxa"/>
            <w:tcBorders>
              <w:bottom w:val="nil"/>
              <w:right w:val="nil"/>
            </w:tcBorders>
            <w:shd w:val="clear" w:color="auto" w:fill="EDECF3"/>
          </w:tcPr>
          <w:p>
            <w:pPr>
              <w:pStyle w:val="TableParagraph"/>
              <w:spacing w:before="89"/>
              <w:rPr>
                <w:rFonts w:ascii="Arial" w:hAnsi="Arial"/>
                <w:i/>
                <w:sz w:val="21"/>
              </w:rPr>
            </w:pPr>
            <w:r>
              <w:rPr>
                <w:w w:val="105"/>
                <w:sz w:val="21"/>
              </w:rPr>
              <w:t>&gt;</w:t>
            </w:r>
            <w:r>
              <w:rPr>
                <w:spacing w:val="8"/>
                <w:w w:val="105"/>
                <w:sz w:val="21"/>
              </w:rPr>
              <w:t> </w:t>
            </w:r>
            <w:r>
              <w:rPr>
                <w:w w:val="105"/>
                <w:sz w:val="21"/>
              </w:rPr>
              <w:t>110</w:t>
            </w:r>
            <w:r>
              <w:rPr>
                <w:spacing w:val="14"/>
                <w:w w:val="105"/>
                <w:sz w:val="21"/>
              </w:rPr>
              <w:t> </w:t>
            </w:r>
            <w:r>
              <w:rPr>
                <w:spacing w:val="-4"/>
                <w:w w:val="105"/>
                <w:sz w:val="21"/>
              </w:rPr>
              <w:t>mg/d</w:t>
            </w:r>
            <w:r>
              <w:rPr>
                <w:rFonts w:ascii="Arial" w:hAnsi="Arial"/>
                <w:i/>
                <w:spacing w:val="-4"/>
                <w:w w:val="105"/>
                <w:sz w:val="21"/>
              </w:rPr>
              <w:t>ℓ</w:t>
            </w:r>
          </w:p>
        </w:tc>
      </w:tr>
    </w:tbl>
    <w:p>
      <w:pPr>
        <w:spacing w:before="164"/>
        <w:ind w:left="68" w:right="0" w:firstLine="0"/>
        <w:jc w:val="left"/>
        <w:rPr>
          <w:rFonts w:ascii="Microsoft Sans Serif" w:hAnsi="Microsoft Sans Serif"/>
          <w:sz w:val="19"/>
        </w:rPr>
      </w:pPr>
      <w:r>
        <w:rPr>
          <w:rFonts w:ascii="Microsoft Sans Serif" w:hAnsi="Microsoft Sans Serif"/>
          <w:sz w:val="19"/>
        </w:rPr>
        <w:t>Definição</w:t>
      </w:r>
      <w:r>
        <w:rPr>
          <w:rFonts w:ascii="Microsoft Sans Serif" w:hAnsi="Microsoft Sans Serif"/>
          <w:spacing w:val="18"/>
          <w:sz w:val="19"/>
        </w:rPr>
        <w:t> </w:t>
      </w:r>
      <w:r>
        <w:rPr>
          <w:rFonts w:ascii="Microsoft Sans Serif" w:hAnsi="Microsoft Sans Serif"/>
          <w:sz w:val="19"/>
        </w:rPr>
        <w:t>de</w:t>
      </w:r>
      <w:r>
        <w:rPr>
          <w:rFonts w:ascii="Microsoft Sans Serif" w:hAnsi="Microsoft Sans Serif"/>
          <w:spacing w:val="19"/>
          <w:sz w:val="19"/>
        </w:rPr>
        <w:t> </w:t>
      </w:r>
      <w:r>
        <w:rPr>
          <w:rFonts w:ascii="Microsoft Sans Serif" w:hAnsi="Microsoft Sans Serif"/>
          <w:sz w:val="19"/>
        </w:rPr>
        <w:t>síndrome</w:t>
      </w:r>
      <w:r>
        <w:rPr>
          <w:rFonts w:ascii="Microsoft Sans Serif" w:hAnsi="Microsoft Sans Serif"/>
          <w:spacing w:val="19"/>
          <w:sz w:val="19"/>
        </w:rPr>
        <w:t> </w:t>
      </w:r>
      <w:r>
        <w:rPr>
          <w:rFonts w:ascii="Microsoft Sans Serif" w:hAnsi="Microsoft Sans Serif"/>
          <w:sz w:val="19"/>
        </w:rPr>
        <w:t>metabólica:</w:t>
      </w:r>
      <w:r>
        <w:rPr>
          <w:rFonts w:ascii="Microsoft Sans Serif" w:hAnsi="Microsoft Sans Serif"/>
          <w:spacing w:val="6"/>
          <w:sz w:val="19"/>
        </w:rPr>
        <w:t> </w:t>
      </w:r>
      <w:r>
        <w:rPr>
          <w:rFonts w:ascii="Microsoft Sans Serif" w:hAnsi="Microsoft Sans Serif"/>
          <w:sz w:val="19"/>
        </w:rPr>
        <w:t>existência</w:t>
      </w:r>
      <w:r>
        <w:rPr>
          <w:rFonts w:ascii="Microsoft Sans Serif" w:hAnsi="Microsoft Sans Serif"/>
          <w:spacing w:val="19"/>
          <w:sz w:val="19"/>
        </w:rPr>
        <w:t> </w:t>
      </w:r>
      <w:r>
        <w:rPr>
          <w:rFonts w:ascii="Microsoft Sans Serif" w:hAnsi="Microsoft Sans Serif"/>
          <w:sz w:val="19"/>
        </w:rPr>
        <w:t>de</w:t>
      </w:r>
      <w:r>
        <w:rPr>
          <w:rFonts w:ascii="Microsoft Sans Serif" w:hAnsi="Microsoft Sans Serif"/>
          <w:spacing w:val="18"/>
          <w:sz w:val="19"/>
        </w:rPr>
        <w:t> </w:t>
      </w:r>
      <w:r>
        <w:rPr>
          <w:rFonts w:ascii="Microsoft Sans Serif" w:hAnsi="Microsoft Sans Serif"/>
          <w:sz w:val="19"/>
        </w:rPr>
        <w:t>três</w:t>
      </w:r>
      <w:r>
        <w:rPr>
          <w:rFonts w:ascii="Microsoft Sans Serif" w:hAnsi="Microsoft Sans Serif"/>
          <w:spacing w:val="13"/>
          <w:sz w:val="19"/>
        </w:rPr>
        <w:t> </w:t>
      </w:r>
      <w:r>
        <w:rPr>
          <w:rFonts w:ascii="Microsoft Sans Serif" w:hAnsi="Microsoft Sans Serif"/>
          <w:sz w:val="19"/>
        </w:rPr>
        <w:t>ou</w:t>
      </w:r>
      <w:r>
        <w:rPr>
          <w:rFonts w:ascii="Microsoft Sans Serif" w:hAnsi="Microsoft Sans Serif"/>
          <w:spacing w:val="18"/>
          <w:sz w:val="19"/>
        </w:rPr>
        <w:t> </w:t>
      </w:r>
      <w:r>
        <w:rPr>
          <w:rFonts w:ascii="Microsoft Sans Serif" w:hAnsi="Microsoft Sans Serif"/>
          <w:sz w:val="19"/>
        </w:rPr>
        <w:t>mais</w:t>
      </w:r>
      <w:r>
        <w:rPr>
          <w:rFonts w:ascii="Microsoft Sans Serif" w:hAnsi="Microsoft Sans Serif"/>
          <w:spacing w:val="13"/>
          <w:sz w:val="19"/>
        </w:rPr>
        <w:t> </w:t>
      </w:r>
      <w:r>
        <w:rPr>
          <w:rFonts w:ascii="Microsoft Sans Serif" w:hAnsi="Microsoft Sans Serif"/>
          <w:sz w:val="19"/>
        </w:rPr>
        <w:t>dos</w:t>
      </w:r>
      <w:r>
        <w:rPr>
          <w:rFonts w:ascii="Microsoft Sans Serif" w:hAnsi="Microsoft Sans Serif"/>
          <w:spacing w:val="12"/>
          <w:sz w:val="19"/>
        </w:rPr>
        <w:t> </w:t>
      </w:r>
      <w:r>
        <w:rPr>
          <w:rFonts w:ascii="Microsoft Sans Serif" w:hAnsi="Microsoft Sans Serif"/>
          <w:sz w:val="19"/>
        </w:rPr>
        <w:t>critérios.</w:t>
      </w:r>
      <w:r>
        <w:rPr>
          <w:rFonts w:ascii="Microsoft Sans Serif" w:hAnsi="Microsoft Sans Serif"/>
          <w:spacing w:val="6"/>
          <w:sz w:val="19"/>
        </w:rPr>
        <w:t> </w:t>
      </w:r>
      <w:r>
        <w:rPr>
          <w:rFonts w:ascii="Microsoft Sans Serif" w:hAnsi="Microsoft Sans Serif"/>
          <w:sz w:val="19"/>
        </w:rPr>
        <w:t>HDL</w:t>
      </w:r>
      <w:r>
        <w:rPr>
          <w:rFonts w:ascii="Microsoft Sans Serif" w:hAnsi="Microsoft Sans Serif"/>
          <w:spacing w:val="18"/>
          <w:sz w:val="19"/>
        </w:rPr>
        <w:t> </w:t>
      </w:r>
      <w:r>
        <w:rPr>
          <w:rFonts w:ascii="Microsoft Sans Serif" w:hAnsi="Microsoft Sans Serif"/>
          <w:sz w:val="19"/>
        </w:rPr>
        <w:t>=</w:t>
      </w:r>
      <w:r>
        <w:rPr>
          <w:rFonts w:ascii="Microsoft Sans Serif" w:hAnsi="Microsoft Sans Serif"/>
          <w:spacing w:val="13"/>
          <w:sz w:val="19"/>
        </w:rPr>
        <w:t> </w:t>
      </w:r>
      <w:r>
        <w:rPr>
          <w:rFonts w:ascii="Microsoft Sans Serif" w:hAnsi="Microsoft Sans Serif"/>
          <w:sz w:val="19"/>
        </w:rPr>
        <w:t>lipoproteína</w:t>
      </w:r>
      <w:r>
        <w:rPr>
          <w:rFonts w:ascii="Microsoft Sans Serif" w:hAnsi="Microsoft Sans Serif"/>
          <w:spacing w:val="19"/>
          <w:sz w:val="19"/>
        </w:rPr>
        <w:t> </w:t>
      </w:r>
      <w:r>
        <w:rPr>
          <w:rFonts w:ascii="Microsoft Sans Serif" w:hAnsi="Microsoft Sans Serif"/>
          <w:sz w:val="19"/>
        </w:rPr>
        <w:t>de</w:t>
      </w:r>
      <w:r>
        <w:rPr>
          <w:rFonts w:ascii="Microsoft Sans Serif" w:hAnsi="Microsoft Sans Serif"/>
          <w:spacing w:val="18"/>
          <w:sz w:val="19"/>
        </w:rPr>
        <w:t> </w:t>
      </w:r>
      <w:r>
        <w:rPr>
          <w:rFonts w:ascii="Microsoft Sans Serif" w:hAnsi="Microsoft Sans Serif"/>
          <w:sz w:val="19"/>
        </w:rPr>
        <w:t>alta</w:t>
      </w:r>
      <w:r>
        <w:rPr>
          <w:rFonts w:ascii="Microsoft Sans Serif" w:hAnsi="Microsoft Sans Serif"/>
          <w:spacing w:val="19"/>
          <w:sz w:val="19"/>
        </w:rPr>
        <w:t> </w:t>
      </w:r>
      <w:r>
        <w:rPr>
          <w:rFonts w:ascii="Microsoft Sans Serif" w:hAnsi="Microsoft Sans Serif"/>
          <w:spacing w:val="-2"/>
          <w:sz w:val="19"/>
        </w:rPr>
        <w:t>densidade.</w:t>
      </w:r>
    </w:p>
    <w:p>
      <w:pPr>
        <w:pStyle w:val="BodyText"/>
        <w:spacing w:before="154"/>
        <w:ind w:left="0" w:firstLine="0"/>
        <w:jc w:val="left"/>
        <w:rPr>
          <w:rFonts w:ascii="Microsoft Sans Serif"/>
          <w:sz w:val="19"/>
        </w:rPr>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9"/>
          <w:sz w:val="23"/>
        </w:rPr>
        <w:t> </w:t>
      </w:r>
      <w:r>
        <w:rPr>
          <w:rFonts w:ascii="Arial" w:hAnsi="Arial"/>
          <w:b/>
          <w:color w:val="242B67"/>
          <w:sz w:val="23"/>
        </w:rPr>
        <w:t>56.3</w:t>
      </w:r>
      <w:r>
        <w:rPr>
          <w:rFonts w:ascii="Arial" w:hAnsi="Arial"/>
          <w:b/>
          <w:color w:val="242B67"/>
          <w:spacing w:val="-9"/>
          <w:sz w:val="23"/>
        </w:rPr>
        <w:t> </w:t>
      </w:r>
      <w:r>
        <w:rPr>
          <w:rFonts w:ascii="Microsoft Sans Serif" w:hAnsi="Microsoft Sans Serif"/>
          <w:sz w:val="23"/>
        </w:rPr>
        <w:t>Causas</w:t>
      </w:r>
      <w:r>
        <w:rPr>
          <w:rFonts w:ascii="Microsoft Sans Serif" w:hAnsi="Microsoft Sans Serif"/>
          <w:spacing w:val="-8"/>
          <w:sz w:val="23"/>
        </w:rPr>
        <w:t> </w:t>
      </w:r>
      <w:r>
        <w:rPr>
          <w:rFonts w:ascii="Microsoft Sans Serif" w:hAnsi="Microsoft Sans Serif"/>
          <w:sz w:val="23"/>
        </w:rPr>
        <w:t>de</w:t>
      </w:r>
      <w:r>
        <w:rPr>
          <w:rFonts w:ascii="Microsoft Sans Serif" w:hAnsi="Microsoft Sans Serif"/>
          <w:spacing w:val="-7"/>
          <w:sz w:val="23"/>
        </w:rPr>
        <w:t> </w:t>
      </w:r>
      <w:r>
        <w:rPr>
          <w:rFonts w:ascii="Microsoft Sans Serif" w:hAnsi="Microsoft Sans Serif"/>
          <w:sz w:val="23"/>
        </w:rPr>
        <w:t>insuficiência</w:t>
      </w:r>
      <w:r>
        <w:rPr>
          <w:rFonts w:ascii="Microsoft Sans Serif" w:hAnsi="Microsoft Sans Serif"/>
          <w:spacing w:val="-6"/>
          <w:sz w:val="23"/>
        </w:rPr>
        <w:t> </w:t>
      </w:r>
      <w:r>
        <w:rPr>
          <w:rFonts w:ascii="Microsoft Sans Serif" w:hAnsi="Microsoft Sans Serif"/>
          <w:spacing w:val="-2"/>
          <w:sz w:val="23"/>
        </w:rPr>
        <w:t>coronariana.</w:t>
      </w:r>
    </w:p>
    <w:p>
      <w:pPr>
        <w:pStyle w:val="BodyText"/>
        <w:spacing w:before="5" w:after="1"/>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309"/>
        <w:gridCol w:w="5309"/>
      </w:tblGrid>
      <w:tr>
        <w:trPr>
          <w:trHeight w:val="430" w:hRule="atLeast"/>
        </w:trPr>
        <w:tc>
          <w:tcPr>
            <w:tcW w:w="5309" w:type="dxa"/>
            <w:tcBorders>
              <w:top w:val="nil"/>
              <w:left w:val="nil"/>
            </w:tcBorders>
            <w:shd w:val="clear" w:color="auto" w:fill="242B67"/>
          </w:tcPr>
          <w:p>
            <w:pPr>
              <w:pStyle w:val="TableParagraph"/>
              <w:spacing w:before="91"/>
              <w:ind w:left="67"/>
              <w:rPr>
                <w:rFonts w:ascii="Arial"/>
                <w:b/>
                <w:sz w:val="21"/>
              </w:rPr>
            </w:pPr>
            <w:r>
              <w:rPr>
                <w:rFonts w:ascii="Arial"/>
                <w:b/>
                <w:color w:val="FFFFFF"/>
                <w:spacing w:val="-2"/>
                <w:w w:val="105"/>
                <w:sz w:val="21"/>
              </w:rPr>
              <w:t>Obstrutiva</w:t>
            </w:r>
          </w:p>
        </w:tc>
        <w:tc>
          <w:tcPr>
            <w:tcW w:w="5309" w:type="dxa"/>
            <w:tcBorders>
              <w:top w:val="nil"/>
              <w:right w:val="nil"/>
            </w:tcBorders>
            <w:shd w:val="clear" w:color="auto" w:fill="242B67"/>
          </w:tcPr>
          <w:p>
            <w:pPr>
              <w:pStyle w:val="TableParagraph"/>
              <w:spacing w:before="91"/>
              <w:ind w:left="66"/>
              <w:rPr>
                <w:rFonts w:ascii="Arial" w:hAnsi="Arial"/>
                <w:b/>
                <w:sz w:val="21"/>
              </w:rPr>
            </w:pPr>
            <w:r>
              <w:rPr>
                <w:rFonts w:ascii="Arial" w:hAnsi="Arial"/>
                <w:b/>
                <w:color w:val="FFFFFF"/>
                <w:w w:val="105"/>
                <w:sz w:val="21"/>
              </w:rPr>
              <w:t>Não</w:t>
            </w:r>
            <w:r>
              <w:rPr>
                <w:rFonts w:ascii="Arial" w:hAnsi="Arial"/>
                <w:b/>
                <w:color w:val="FFFFFF"/>
                <w:spacing w:val="-2"/>
                <w:w w:val="105"/>
                <w:sz w:val="21"/>
              </w:rPr>
              <w:t> obstrutiva</w:t>
            </w:r>
          </w:p>
        </w:tc>
      </w:tr>
      <w:tr>
        <w:trPr>
          <w:trHeight w:val="2118" w:hRule="atLeast"/>
        </w:trPr>
        <w:tc>
          <w:tcPr>
            <w:tcW w:w="5309" w:type="dxa"/>
            <w:tcBorders>
              <w:left w:val="nil"/>
              <w:bottom w:val="nil"/>
            </w:tcBorders>
            <w:shd w:val="clear" w:color="auto" w:fill="EDECF3"/>
          </w:tcPr>
          <w:p>
            <w:pPr>
              <w:pStyle w:val="TableParagraph"/>
              <w:ind w:left="67"/>
              <w:rPr>
                <w:sz w:val="21"/>
              </w:rPr>
            </w:pPr>
            <w:r>
              <w:rPr>
                <w:spacing w:val="2"/>
                <w:sz w:val="21"/>
              </w:rPr>
              <w:t>Aterosclerose</w:t>
            </w:r>
            <w:r>
              <w:rPr>
                <w:spacing w:val="77"/>
                <w:sz w:val="21"/>
              </w:rPr>
              <w:t> </w:t>
            </w:r>
            <w:r>
              <w:rPr>
                <w:spacing w:val="-2"/>
                <w:sz w:val="21"/>
              </w:rPr>
              <w:t>coronária</w:t>
            </w:r>
          </w:p>
          <w:p>
            <w:pPr>
              <w:pStyle w:val="TableParagraph"/>
              <w:spacing w:line="307" w:lineRule="auto" w:before="195"/>
              <w:ind w:left="67" w:right="284"/>
              <w:rPr>
                <w:sz w:val="21"/>
              </w:rPr>
            </w:pPr>
            <w:r>
              <w:rPr>
                <w:w w:val="105"/>
                <w:sz w:val="21"/>
              </w:rPr>
              <w:t>Embolia coronária (trombo, tumor, cálcio, vegetação, cateterismo cardíaco)</w:t>
            </w:r>
          </w:p>
          <w:p>
            <w:pPr>
              <w:pStyle w:val="TableParagraph"/>
              <w:spacing w:line="307" w:lineRule="auto" w:before="144"/>
              <w:ind w:left="67" w:right="284"/>
              <w:rPr>
                <w:sz w:val="21"/>
              </w:rPr>
            </w:pPr>
            <w:r>
              <w:rPr>
                <w:w w:val="105"/>
                <w:sz w:val="21"/>
              </w:rPr>
              <w:t>Dissecção de artéria coronária (dissecção da </w:t>
            </w:r>
            <w:r>
              <w:rPr>
                <w:spacing w:val="-2"/>
                <w:w w:val="105"/>
                <w:sz w:val="21"/>
              </w:rPr>
              <w:t>aorta)</w:t>
            </w:r>
          </w:p>
        </w:tc>
        <w:tc>
          <w:tcPr>
            <w:tcW w:w="5309" w:type="dxa"/>
            <w:tcBorders>
              <w:bottom w:val="nil"/>
              <w:right w:val="nil"/>
            </w:tcBorders>
            <w:shd w:val="clear" w:color="auto" w:fill="EDECF3"/>
          </w:tcPr>
          <w:p>
            <w:pPr>
              <w:pStyle w:val="TableParagraph"/>
              <w:spacing w:line="307" w:lineRule="auto"/>
              <w:ind w:left="66" w:right="284"/>
              <w:rPr>
                <w:sz w:val="21"/>
              </w:rPr>
            </w:pPr>
            <w:r>
              <w:rPr>
                <w:w w:val="105"/>
                <w:sz w:val="21"/>
              </w:rPr>
              <w:t>Anomalias congênitas das artérias coronárias (artéria única, origem anômala, fístulas)</w:t>
            </w:r>
          </w:p>
          <w:p>
            <w:pPr>
              <w:pStyle w:val="TableParagraph"/>
              <w:spacing w:before="129"/>
              <w:ind w:left="66"/>
              <w:rPr>
                <w:sz w:val="21"/>
              </w:rPr>
            </w:pPr>
            <w:r>
              <w:rPr>
                <w:sz w:val="21"/>
              </w:rPr>
              <w:t>Espasmo</w:t>
            </w:r>
            <w:r>
              <w:rPr>
                <w:spacing w:val="66"/>
                <w:sz w:val="21"/>
              </w:rPr>
              <w:t> </w:t>
            </w:r>
            <w:r>
              <w:rPr>
                <w:sz w:val="21"/>
              </w:rPr>
              <w:t>coronário</w:t>
            </w:r>
            <w:r>
              <w:rPr>
                <w:spacing w:val="67"/>
                <w:sz w:val="21"/>
              </w:rPr>
              <w:t> </w:t>
            </w:r>
            <w:r>
              <w:rPr>
                <w:sz w:val="21"/>
              </w:rPr>
              <w:t>–</w:t>
            </w:r>
            <w:r>
              <w:rPr>
                <w:spacing w:val="66"/>
                <w:sz w:val="21"/>
              </w:rPr>
              <w:t> </w:t>
            </w:r>
            <w:r>
              <w:rPr>
                <w:sz w:val="21"/>
              </w:rPr>
              <w:t>ponte</w:t>
            </w:r>
            <w:r>
              <w:rPr>
                <w:spacing w:val="67"/>
                <w:sz w:val="21"/>
              </w:rPr>
              <w:t> </w:t>
            </w:r>
            <w:r>
              <w:rPr>
                <w:spacing w:val="-2"/>
                <w:sz w:val="21"/>
              </w:rPr>
              <w:t>miocárdica</w:t>
            </w:r>
          </w:p>
          <w:p>
            <w:pPr>
              <w:pStyle w:val="TableParagraph"/>
              <w:spacing w:line="430" w:lineRule="atLeast" w:before="18"/>
              <w:ind w:left="66" w:right="1308"/>
              <w:rPr>
                <w:sz w:val="21"/>
              </w:rPr>
            </w:pPr>
            <w:r>
              <w:rPr>
                <w:w w:val="105"/>
                <w:sz w:val="21"/>
              </w:rPr>
              <w:t>Hipertrofia de ventrículo esquerdo Estenose aórtica</w:t>
            </w:r>
          </w:p>
        </w:tc>
      </w:tr>
    </w:tbl>
    <w:p>
      <w:pPr>
        <w:pStyle w:val="TableParagraph"/>
        <w:spacing w:after="0" w:line="430" w:lineRule="atLeast"/>
        <w:rPr>
          <w:sz w:val="21"/>
        </w:rPr>
        <w:sectPr>
          <w:pgSz w:w="11900" w:h="16840"/>
          <w:pgMar w:top="220" w:bottom="0" w:left="566" w:right="141"/>
        </w:sectPr>
      </w:pPr>
    </w:p>
    <w:p>
      <w:pPr>
        <w:spacing w:line="240" w:lineRule="auto"/>
        <w:ind w:left="66" w:right="0" w:firstLine="0"/>
        <w:rPr>
          <w:rFonts w:ascii="Microsoft Sans Serif"/>
          <w:sz w:val="20"/>
        </w:rPr>
      </w:pPr>
      <w:r>
        <w:rPr>
          <w:rFonts w:ascii="Microsoft Sans Serif"/>
          <w:sz w:val="20"/>
        </w:rPr>
        <mc:AlternateContent>
          <mc:Choice Requires="wps">
            <w:drawing>
              <wp:inline distT="0" distB="0" distL="0" distR="0">
                <wp:extent cx="6743065" cy="1287780"/>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6743065" cy="1287780"/>
                        </a:xfrm>
                        <a:prstGeom prst="rect">
                          <a:avLst/>
                        </a:prstGeom>
                        <a:solidFill>
                          <a:srgbClr val="EDECF3"/>
                        </a:solidFill>
                      </wps:spPr>
                      <wps:txbx>
                        <w:txbxContent>
                          <w:p>
                            <w:pPr>
                              <w:tabs>
                                <w:tab w:pos="5385" w:val="left" w:leader="none"/>
                              </w:tabs>
                              <w:spacing w:before="88"/>
                              <w:ind w:left="67" w:right="0" w:firstLine="0"/>
                              <w:jc w:val="left"/>
                              <w:rPr>
                                <w:rFonts w:ascii="Microsoft Sans Serif" w:hAnsi="Microsoft Sans Serif"/>
                                <w:color w:val="000000"/>
                                <w:sz w:val="21"/>
                              </w:rPr>
                            </w:pPr>
                            <w:r>
                              <w:rPr>
                                <w:rFonts w:ascii="Microsoft Sans Serif" w:hAnsi="Microsoft Sans Serif"/>
                                <w:color w:val="000000"/>
                                <w:w w:val="105"/>
                                <w:sz w:val="21"/>
                              </w:rPr>
                              <w:t>Arterites</w:t>
                            </w:r>
                            <w:r>
                              <w:rPr>
                                <w:rFonts w:ascii="Microsoft Sans Serif" w:hAnsi="Microsoft Sans Serif"/>
                                <w:color w:val="000000"/>
                                <w:spacing w:val="18"/>
                                <w:w w:val="105"/>
                                <w:sz w:val="21"/>
                              </w:rPr>
                              <w:t> </w:t>
                            </w:r>
                            <w:r>
                              <w:rPr>
                                <w:rFonts w:ascii="Microsoft Sans Serif" w:hAnsi="Microsoft Sans Serif"/>
                                <w:color w:val="000000"/>
                                <w:w w:val="105"/>
                                <w:sz w:val="21"/>
                              </w:rPr>
                              <w:t>(lúpus</w:t>
                            </w:r>
                            <w:r>
                              <w:rPr>
                                <w:rFonts w:ascii="Microsoft Sans Serif" w:hAnsi="Microsoft Sans Serif"/>
                                <w:color w:val="000000"/>
                                <w:spacing w:val="18"/>
                                <w:w w:val="105"/>
                                <w:sz w:val="21"/>
                              </w:rPr>
                              <w:t> </w:t>
                            </w:r>
                            <w:r>
                              <w:rPr>
                                <w:rFonts w:ascii="Microsoft Sans Serif" w:hAnsi="Microsoft Sans Serif"/>
                                <w:color w:val="000000"/>
                                <w:w w:val="105"/>
                                <w:sz w:val="21"/>
                              </w:rPr>
                              <w:t>eritematoso</w:t>
                            </w:r>
                            <w:r>
                              <w:rPr>
                                <w:rFonts w:ascii="Microsoft Sans Serif" w:hAnsi="Microsoft Sans Serif"/>
                                <w:color w:val="000000"/>
                                <w:spacing w:val="23"/>
                                <w:w w:val="105"/>
                                <w:sz w:val="21"/>
                              </w:rPr>
                              <w:t> </w:t>
                            </w:r>
                            <w:r>
                              <w:rPr>
                                <w:rFonts w:ascii="Microsoft Sans Serif" w:hAnsi="Microsoft Sans Serif"/>
                                <w:color w:val="000000"/>
                                <w:w w:val="105"/>
                                <w:sz w:val="21"/>
                              </w:rPr>
                              <w:t>sistêmico,</w:t>
                            </w:r>
                            <w:r>
                              <w:rPr>
                                <w:rFonts w:ascii="Microsoft Sans Serif" w:hAnsi="Microsoft Sans Serif"/>
                                <w:color w:val="000000"/>
                                <w:spacing w:val="18"/>
                                <w:w w:val="105"/>
                                <w:sz w:val="21"/>
                              </w:rPr>
                              <w:t> </w:t>
                            </w:r>
                            <w:r>
                              <w:rPr>
                                <w:rFonts w:ascii="Microsoft Sans Serif" w:hAnsi="Microsoft Sans Serif"/>
                                <w:color w:val="000000"/>
                                <w:spacing w:val="-2"/>
                                <w:w w:val="105"/>
                                <w:sz w:val="21"/>
                              </w:rPr>
                              <w:t>poliarterite</w:t>
                            </w:r>
                            <w:r>
                              <w:rPr>
                                <w:rFonts w:ascii="Microsoft Sans Serif" w:hAnsi="Microsoft Sans Serif"/>
                                <w:color w:val="000000"/>
                                <w:sz w:val="21"/>
                              </w:rPr>
                              <w:tab/>
                            </w:r>
                            <w:r>
                              <w:rPr>
                                <w:rFonts w:ascii="Microsoft Sans Serif" w:hAnsi="Microsoft Sans Serif"/>
                                <w:color w:val="000000"/>
                                <w:spacing w:val="-2"/>
                                <w:w w:val="105"/>
                                <w:sz w:val="21"/>
                              </w:rPr>
                              <w:t>Tireotoxicose</w:t>
                            </w:r>
                          </w:p>
                          <w:p>
                            <w:pPr>
                              <w:tabs>
                                <w:tab w:pos="5385" w:val="left" w:leader="none"/>
                              </w:tabs>
                              <w:spacing w:line="307" w:lineRule="auto" w:before="64"/>
                              <w:ind w:left="67" w:right="1137" w:firstLine="0"/>
                              <w:jc w:val="left"/>
                              <w:rPr>
                                <w:rFonts w:ascii="Microsoft Sans Serif" w:hAnsi="Microsoft Sans Serif"/>
                                <w:color w:val="000000"/>
                                <w:sz w:val="21"/>
                              </w:rPr>
                            </w:pPr>
                            <w:r>
                              <w:rPr>
                                <w:rFonts w:ascii="Microsoft Sans Serif" w:hAnsi="Microsoft Sans Serif"/>
                                <w:color w:val="000000"/>
                                <w:w w:val="105"/>
                                <w:position w:val="13"/>
                                <w:sz w:val="21"/>
                              </w:rPr>
                              <w:t>nodosa, sífilis, doença de Takayasu)</w:t>
                            </w:r>
                            <w:r>
                              <w:rPr>
                                <w:rFonts w:ascii="Microsoft Sans Serif" w:hAnsi="Microsoft Sans Serif"/>
                                <w:color w:val="000000"/>
                                <w:position w:val="13"/>
                                <w:sz w:val="21"/>
                              </w:rPr>
                              <w:tab/>
                            </w:r>
                            <w:r>
                              <w:rPr>
                                <w:rFonts w:ascii="Microsoft Sans Serif" w:hAnsi="Microsoft Sans Serif"/>
                                <w:color w:val="000000"/>
                                <w:w w:val="105"/>
                                <w:sz w:val="21"/>
                              </w:rPr>
                              <w:t>Doença de pequenos vasos </w:t>
                            </w:r>
                            <w:r>
                              <w:rPr>
                                <w:rFonts w:ascii="Microsoft Sans Serif" w:hAnsi="Microsoft Sans Serif"/>
                                <w:color w:val="000000"/>
                                <w:w w:val="105"/>
                                <w:sz w:val="21"/>
                              </w:rPr>
                              <w:t>(cardiopatia Proliferação da íntima (terapia de radiação)</w:t>
                            </w:r>
                            <w:r>
                              <w:rPr>
                                <w:rFonts w:ascii="Microsoft Sans Serif" w:hAnsi="Microsoft Sans Serif"/>
                                <w:color w:val="000000"/>
                                <w:sz w:val="21"/>
                              </w:rPr>
                              <w:tab/>
                            </w:r>
                            <w:r>
                              <w:rPr>
                                <w:rFonts w:ascii="Microsoft Sans Serif" w:hAnsi="Microsoft Sans Serif"/>
                                <w:color w:val="000000"/>
                                <w:w w:val="105"/>
                                <w:sz w:val="21"/>
                              </w:rPr>
                              <w:t>hipertrófica, diabetes melito)</w:t>
                            </w:r>
                          </w:p>
                          <w:p>
                            <w:pPr>
                              <w:tabs>
                                <w:tab w:pos="5385" w:val="left" w:leader="none"/>
                              </w:tabs>
                              <w:spacing w:before="129"/>
                              <w:ind w:left="67" w:right="0" w:firstLine="0"/>
                              <w:jc w:val="left"/>
                              <w:rPr>
                                <w:rFonts w:ascii="Microsoft Sans Serif" w:hAnsi="Microsoft Sans Serif"/>
                                <w:color w:val="000000"/>
                                <w:sz w:val="21"/>
                              </w:rPr>
                            </w:pPr>
                            <w:r>
                              <w:rPr>
                                <w:rFonts w:ascii="Microsoft Sans Serif" w:hAnsi="Microsoft Sans Serif"/>
                                <w:color w:val="000000"/>
                                <w:w w:val="105"/>
                                <w:sz w:val="21"/>
                              </w:rPr>
                              <w:t>Trombose</w:t>
                            </w:r>
                            <w:r>
                              <w:rPr>
                                <w:rFonts w:ascii="Microsoft Sans Serif" w:hAnsi="Microsoft Sans Serif"/>
                                <w:color w:val="000000"/>
                                <w:spacing w:val="15"/>
                                <w:w w:val="105"/>
                                <w:sz w:val="21"/>
                              </w:rPr>
                              <w:t> </w:t>
                            </w:r>
                            <w:r>
                              <w:rPr>
                                <w:rFonts w:ascii="Microsoft Sans Serif" w:hAnsi="Microsoft Sans Serif"/>
                                <w:color w:val="000000"/>
                                <w:w w:val="105"/>
                                <w:sz w:val="21"/>
                              </w:rPr>
                              <w:t>sem</w:t>
                            </w:r>
                            <w:r>
                              <w:rPr>
                                <w:rFonts w:ascii="Microsoft Sans Serif" w:hAnsi="Microsoft Sans Serif"/>
                                <w:color w:val="000000"/>
                                <w:spacing w:val="1"/>
                                <w:w w:val="105"/>
                                <w:sz w:val="21"/>
                              </w:rPr>
                              <w:t> </w:t>
                            </w:r>
                            <w:r>
                              <w:rPr>
                                <w:rFonts w:ascii="Microsoft Sans Serif" w:hAnsi="Microsoft Sans Serif"/>
                                <w:color w:val="000000"/>
                                <w:w w:val="105"/>
                                <w:sz w:val="21"/>
                              </w:rPr>
                              <w:t>placa</w:t>
                            </w:r>
                            <w:r>
                              <w:rPr>
                                <w:rFonts w:ascii="Microsoft Sans Serif" w:hAnsi="Microsoft Sans Serif"/>
                                <w:color w:val="000000"/>
                                <w:spacing w:val="15"/>
                                <w:w w:val="105"/>
                                <w:sz w:val="21"/>
                              </w:rPr>
                              <w:t> </w:t>
                            </w:r>
                            <w:r>
                              <w:rPr>
                                <w:rFonts w:ascii="Microsoft Sans Serif" w:hAnsi="Microsoft Sans Serif"/>
                                <w:color w:val="000000"/>
                                <w:spacing w:val="-2"/>
                                <w:w w:val="105"/>
                                <w:sz w:val="21"/>
                              </w:rPr>
                              <w:t>adjacente</w:t>
                            </w:r>
                            <w:r>
                              <w:rPr>
                                <w:rFonts w:ascii="Microsoft Sans Serif" w:hAnsi="Microsoft Sans Serif"/>
                                <w:color w:val="000000"/>
                                <w:sz w:val="21"/>
                              </w:rPr>
                              <w:tab/>
                            </w:r>
                            <w:r>
                              <w:rPr>
                                <w:rFonts w:ascii="Microsoft Sans Serif" w:hAnsi="Microsoft Sans Serif"/>
                                <w:color w:val="000000"/>
                                <w:w w:val="105"/>
                                <w:sz w:val="21"/>
                              </w:rPr>
                              <w:t>Tóxicos</w:t>
                            </w:r>
                            <w:r>
                              <w:rPr>
                                <w:rFonts w:ascii="Microsoft Sans Serif" w:hAnsi="Microsoft Sans Serif"/>
                                <w:color w:val="000000"/>
                                <w:spacing w:val="26"/>
                                <w:w w:val="105"/>
                                <w:sz w:val="21"/>
                              </w:rPr>
                              <w:t> </w:t>
                            </w:r>
                            <w:r>
                              <w:rPr>
                                <w:rFonts w:ascii="Microsoft Sans Serif" w:hAnsi="Microsoft Sans Serif"/>
                                <w:color w:val="000000"/>
                                <w:w w:val="105"/>
                                <w:sz w:val="21"/>
                              </w:rPr>
                              <w:t>(cocaína,</w:t>
                            </w:r>
                            <w:r>
                              <w:rPr>
                                <w:rFonts w:ascii="Microsoft Sans Serif" w:hAnsi="Microsoft Sans Serif"/>
                                <w:color w:val="000000"/>
                                <w:spacing w:val="26"/>
                                <w:w w:val="105"/>
                                <w:sz w:val="21"/>
                              </w:rPr>
                              <w:t> </w:t>
                            </w:r>
                            <w:r>
                              <w:rPr>
                                <w:rFonts w:ascii="Microsoft Sans Serif" w:hAnsi="Microsoft Sans Serif"/>
                                <w:color w:val="000000"/>
                                <w:spacing w:val="-2"/>
                                <w:w w:val="105"/>
                                <w:sz w:val="21"/>
                              </w:rPr>
                              <w:t>anfetaminas)</w:t>
                            </w:r>
                          </w:p>
                          <w:p>
                            <w:pPr>
                              <w:tabs>
                                <w:tab w:pos="5385" w:val="left" w:leader="none"/>
                              </w:tabs>
                              <w:spacing w:before="66"/>
                              <w:ind w:left="67" w:right="0" w:firstLine="0"/>
                              <w:jc w:val="left"/>
                              <w:rPr>
                                <w:rFonts w:ascii="Microsoft Sans Serif" w:hAnsi="Microsoft Sans Serif"/>
                                <w:color w:val="000000"/>
                                <w:position w:val="-12"/>
                                <w:sz w:val="21"/>
                              </w:rPr>
                            </w:pPr>
                            <w:r>
                              <w:rPr>
                                <w:rFonts w:ascii="Microsoft Sans Serif" w:hAnsi="Microsoft Sans Serif"/>
                                <w:color w:val="000000"/>
                                <w:spacing w:val="2"/>
                                <w:sz w:val="21"/>
                              </w:rPr>
                              <w:t>(hipercoagubilidade,</w:t>
                            </w:r>
                            <w:r>
                              <w:rPr>
                                <w:rFonts w:ascii="Microsoft Sans Serif" w:hAnsi="Microsoft Sans Serif"/>
                                <w:color w:val="000000"/>
                                <w:spacing w:val="32"/>
                                <w:sz w:val="21"/>
                              </w:rPr>
                              <w:t>  </w:t>
                            </w:r>
                            <w:r>
                              <w:rPr>
                                <w:rFonts w:ascii="Microsoft Sans Serif" w:hAnsi="Microsoft Sans Serif"/>
                                <w:color w:val="000000"/>
                                <w:spacing w:val="-2"/>
                                <w:sz w:val="21"/>
                              </w:rPr>
                              <w:t>policitemia)</w:t>
                            </w:r>
                            <w:r>
                              <w:rPr>
                                <w:rFonts w:ascii="Microsoft Sans Serif" w:hAnsi="Microsoft Sans Serif"/>
                                <w:color w:val="000000"/>
                                <w:sz w:val="21"/>
                              </w:rPr>
                              <w:tab/>
                            </w:r>
                            <w:r>
                              <w:rPr>
                                <w:rFonts w:ascii="Microsoft Sans Serif" w:hAnsi="Microsoft Sans Serif"/>
                                <w:color w:val="000000"/>
                                <w:position w:val="-12"/>
                                <w:sz w:val="21"/>
                              </w:rPr>
                              <w:t>Síndrome</w:t>
                            </w:r>
                            <w:r>
                              <w:rPr>
                                <w:rFonts w:ascii="Microsoft Sans Serif" w:hAnsi="Microsoft Sans Serif"/>
                                <w:color w:val="000000"/>
                                <w:spacing w:val="76"/>
                                <w:position w:val="-12"/>
                                <w:sz w:val="21"/>
                              </w:rPr>
                              <w:t> </w:t>
                            </w:r>
                            <w:r>
                              <w:rPr>
                                <w:rFonts w:ascii="Microsoft Sans Serif" w:hAnsi="Microsoft Sans Serif"/>
                                <w:color w:val="000000"/>
                                <w:spacing w:val="-10"/>
                                <w:position w:val="-12"/>
                                <w:sz w:val="21"/>
                              </w:rPr>
                              <w:t>X</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530.950pt;height:101.4pt;mso-position-horizontal-relative:char;mso-position-vertical-relative:line" type="#_x0000_t202" id="docshape23" filled="true" fillcolor="#edecf3" stroked="false">
                <w10:anchorlock/>
                <v:textbox inset="0,0,0,0">
                  <w:txbxContent>
                    <w:p>
                      <w:pPr>
                        <w:tabs>
                          <w:tab w:pos="5385" w:val="left" w:leader="none"/>
                        </w:tabs>
                        <w:spacing w:before="88"/>
                        <w:ind w:left="67" w:right="0" w:firstLine="0"/>
                        <w:jc w:val="left"/>
                        <w:rPr>
                          <w:rFonts w:ascii="Microsoft Sans Serif" w:hAnsi="Microsoft Sans Serif"/>
                          <w:color w:val="000000"/>
                          <w:sz w:val="21"/>
                        </w:rPr>
                      </w:pPr>
                      <w:r>
                        <w:rPr>
                          <w:rFonts w:ascii="Microsoft Sans Serif" w:hAnsi="Microsoft Sans Serif"/>
                          <w:color w:val="000000"/>
                          <w:w w:val="105"/>
                          <w:sz w:val="21"/>
                        </w:rPr>
                        <w:t>Arterites</w:t>
                      </w:r>
                      <w:r>
                        <w:rPr>
                          <w:rFonts w:ascii="Microsoft Sans Serif" w:hAnsi="Microsoft Sans Serif"/>
                          <w:color w:val="000000"/>
                          <w:spacing w:val="18"/>
                          <w:w w:val="105"/>
                          <w:sz w:val="21"/>
                        </w:rPr>
                        <w:t> </w:t>
                      </w:r>
                      <w:r>
                        <w:rPr>
                          <w:rFonts w:ascii="Microsoft Sans Serif" w:hAnsi="Microsoft Sans Serif"/>
                          <w:color w:val="000000"/>
                          <w:w w:val="105"/>
                          <w:sz w:val="21"/>
                        </w:rPr>
                        <w:t>(lúpus</w:t>
                      </w:r>
                      <w:r>
                        <w:rPr>
                          <w:rFonts w:ascii="Microsoft Sans Serif" w:hAnsi="Microsoft Sans Serif"/>
                          <w:color w:val="000000"/>
                          <w:spacing w:val="18"/>
                          <w:w w:val="105"/>
                          <w:sz w:val="21"/>
                        </w:rPr>
                        <w:t> </w:t>
                      </w:r>
                      <w:r>
                        <w:rPr>
                          <w:rFonts w:ascii="Microsoft Sans Serif" w:hAnsi="Microsoft Sans Serif"/>
                          <w:color w:val="000000"/>
                          <w:w w:val="105"/>
                          <w:sz w:val="21"/>
                        </w:rPr>
                        <w:t>eritematoso</w:t>
                      </w:r>
                      <w:r>
                        <w:rPr>
                          <w:rFonts w:ascii="Microsoft Sans Serif" w:hAnsi="Microsoft Sans Serif"/>
                          <w:color w:val="000000"/>
                          <w:spacing w:val="23"/>
                          <w:w w:val="105"/>
                          <w:sz w:val="21"/>
                        </w:rPr>
                        <w:t> </w:t>
                      </w:r>
                      <w:r>
                        <w:rPr>
                          <w:rFonts w:ascii="Microsoft Sans Serif" w:hAnsi="Microsoft Sans Serif"/>
                          <w:color w:val="000000"/>
                          <w:w w:val="105"/>
                          <w:sz w:val="21"/>
                        </w:rPr>
                        <w:t>sistêmico,</w:t>
                      </w:r>
                      <w:r>
                        <w:rPr>
                          <w:rFonts w:ascii="Microsoft Sans Serif" w:hAnsi="Microsoft Sans Serif"/>
                          <w:color w:val="000000"/>
                          <w:spacing w:val="18"/>
                          <w:w w:val="105"/>
                          <w:sz w:val="21"/>
                        </w:rPr>
                        <w:t> </w:t>
                      </w:r>
                      <w:r>
                        <w:rPr>
                          <w:rFonts w:ascii="Microsoft Sans Serif" w:hAnsi="Microsoft Sans Serif"/>
                          <w:color w:val="000000"/>
                          <w:spacing w:val="-2"/>
                          <w:w w:val="105"/>
                          <w:sz w:val="21"/>
                        </w:rPr>
                        <w:t>poliarterite</w:t>
                      </w:r>
                      <w:r>
                        <w:rPr>
                          <w:rFonts w:ascii="Microsoft Sans Serif" w:hAnsi="Microsoft Sans Serif"/>
                          <w:color w:val="000000"/>
                          <w:sz w:val="21"/>
                        </w:rPr>
                        <w:tab/>
                      </w:r>
                      <w:r>
                        <w:rPr>
                          <w:rFonts w:ascii="Microsoft Sans Serif" w:hAnsi="Microsoft Sans Serif"/>
                          <w:color w:val="000000"/>
                          <w:spacing w:val="-2"/>
                          <w:w w:val="105"/>
                          <w:sz w:val="21"/>
                        </w:rPr>
                        <w:t>Tireotoxicose</w:t>
                      </w:r>
                    </w:p>
                    <w:p>
                      <w:pPr>
                        <w:tabs>
                          <w:tab w:pos="5385" w:val="left" w:leader="none"/>
                        </w:tabs>
                        <w:spacing w:line="307" w:lineRule="auto" w:before="64"/>
                        <w:ind w:left="67" w:right="1137" w:firstLine="0"/>
                        <w:jc w:val="left"/>
                        <w:rPr>
                          <w:rFonts w:ascii="Microsoft Sans Serif" w:hAnsi="Microsoft Sans Serif"/>
                          <w:color w:val="000000"/>
                          <w:sz w:val="21"/>
                        </w:rPr>
                      </w:pPr>
                      <w:r>
                        <w:rPr>
                          <w:rFonts w:ascii="Microsoft Sans Serif" w:hAnsi="Microsoft Sans Serif"/>
                          <w:color w:val="000000"/>
                          <w:w w:val="105"/>
                          <w:position w:val="13"/>
                          <w:sz w:val="21"/>
                        </w:rPr>
                        <w:t>nodosa, sífilis, doença de Takayasu)</w:t>
                      </w:r>
                      <w:r>
                        <w:rPr>
                          <w:rFonts w:ascii="Microsoft Sans Serif" w:hAnsi="Microsoft Sans Serif"/>
                          <w:color w:val="000000"/>
                          <w:position w:val="13"/>
                          <w:sz w:val="21"/>
                        </w:rPr>
                        <w:tab/>
                      </w:r>
                      <w:r>
                        <w:rPr>
                          <w:rFonts w:ascii="Microsoft Sans Serif" w:hAnsi="Microsoft Sans Serif"/>
                          <w:color w:val="000000"/>
                          <w:w w:val="105"/>
                          <w:sz w:val="21"/>
                        </w:rPr>
                        <w:t>Doença de pequenos vasos </w:t>
                      </w:r>
                      <w:r>
                        <w:rPr>
                          <w:rFonts w:ascii="Microsoft Sans Serif" w:hAnsi="Microsoft Sans Serif"/>
                          <w:color w:val="000000"/>
                          <w:w w:val="105"/>
                          <w:sz w:val="21"/>
                        </w:rPr>
                        <w:t>(cardiopatia Proliferação da íntima (terapia de radiação)</w:t>
                      </w:r>
                      <w:r>
                        <w:rPr>
                          <w:rFonts w:ascii="Microsoft Sans Serif" w:hAnsi="Microsoft Sans Serif"/>
                          <w:color w:val="000000"/>
                          <w:sz w:val="21"/>
                        </w:rPr>
                        <w:tab/>
                      </w:r>
                      <w:r>
                        <w:rPr>
                          <w:rFonts w:ascii="Microsoft Sans Serif" w:hAnsi="Microsoft Sans Serif"/>
                          <w:color w:val="000000"/>
                          <w:w w:val="105"/>
                          <w:sz w:val="21"/>
                        </w:rPr>
                        <w:t>hipertrófica, diabetes melito)</w:t>
                      </w:r>
                    </w:p>
                    <w:p>
                      <w:pPr>
                        <w:tabs>
                          <w:tab w:pos="5385" w:val="left" w:leader="none"/>
                        </w:tabs>
                        <w:spacing w:before="129"/>
                        <w:ind w:left="67" w:right="0" w:firstLine="0"/>
                        <w:jc w:val="left"/>
                        <w:rPr>
                          <w:rFonts w:ascii="Microsoft Sans Serif" w:hAnsi="Microsoft Sans Serif"/>
                          <w:color w:val="000000"/>
                          <w:sz w:val="21"/>
                        </w:rPr>
                      </w:pPr>
                      <w:r>
                        <w:rPr>
                          <w:rFonts w:ascii="Microsoft Sans Serif" w:hAnsi="Microsoft Sans Serif"/>
                          <w:color w:val="000000"/>
                          <w:w w:val="105"/>
                          <w:sz w:val="21"/>
                        </w:rPr>
                        <w:t>Trombose</w:t>
                      </w:r>
                      <w:r>
                        <w:rPr>
                          <w:rFonts w:ascii="Microsoft Sans Serif" w:hAnsi="Microsoft Sans Serif"/>
                          <w:color w:val="000000"/>
                          <w:spacing w:val="15"/>
                          <w:w w:val="105"/>
                          <w:sz w:val="21"/>
                        </w:rPr>
                        <w:t> </w:t>
                      </w:r>
                      <w:r>
                        <w:rPr>
                          <w:rFonts w:ascii="Microsoft Sans Serif" w:hAnsi="Microsoft Sans Serif"/>
                          <w:color w:val="000000"/>
                          <w:w w:val="105"/>
                          <w:sz w:val="21"/>
                        </w:rPr>
                        <w:t>sem</w:t>
                      </w:r>
                      <w:r>
                        <w:rPr>
                          <w:rFonts w:ascii="Microsoft Sans Serif" w:hAnsi="Microsoft Sans Serif"/>
                          <w:color w:val="000000"/>
                          <w:spacing w:val="1"/>
                          <w:w w:val="105"/>
                          <w:sz w:val="21"/>
                        </w:rPr>
                        <w:t> </w:t>
                      </w:r>
                      <w:r>
                        <w:rPr>
                          <w:rFonts w:ascii="Microsoft Sans Serif" w:hAnsi="Microsoft Sans Serif"/>
                          <w:color w:val="000000"/>
                          <w:w w:val="105"/>
                          <w:sz w:val="21"/>
                        </w:rPr>
                        <w:t>placa</w:t>
                      </w:r>
                      <w:r>
                        <w:rPr>
                          <w:rFonts w:ascii="Microsoft Sans Serif" w:hAnsi="Microsoft Sans Serif"/>
                          <w:color w:val="000000"/>
                          <w:spacing w:val="15"/>
                          <w:w w:val="105"/>
                          <w:sz w:val="21"/>
                        </w:rPr>
                        <w:t> </w:t>
                      </w:r>
                      <w:r>
                        <w:rPr>
                          <w:rFonts w:ascii="Microsoft Sans Serif" w:hAnsi="Microsoft Sans Serif"/>
                          <w:color w:val="000000"/>
                          <w:spacing w:val="-2"/>
                          <w:w w:val="105"/>
                          <w:sz w:val="21"/>
                        </w:rPr>
                        <w:t>adjacente</w:t>
                      </w:r>
                      <w:r>
                        <w:rPr>
                          <w:rFonts w:ascii="Microsoft Sans Serif" w:hAnsi="Microsoft Sans Serif"/>
                          <w:color w:val="000000"/>
                          <w:sz w:val="21"/>
                        </w:rPr>
                        <w:tab/>
                      </w:r>
                      <w:r>
                        <w:rPr>
                          <w:rFonts w:ascii="Microsoft Sans Serif" w:hAnsi="Microsoft Sans Serif"/>
                          <w:color w:val="000000"/>
                          <w:w w:val="105"/>
                          <w:sz w:val="21"/>
                        </w:rPr>
                        <w:t>Tóxicos</w:t>
                      </w:r>
                      <w:r>
                        <w:rPr>
                          <w:rFonts w:ascii="Microsoft Sans Serif" w:hAnsi="Microsoft Sans Serif"/>
                          <w:color w:val="000000"/>
                          <w:spacing w:val="26"/>
                          <w:w w:val="105"/>
                          <w:sz w:val="21"/>
                        </w:rPr>
                        <w:t> </w:t>
                      </w:r>
                      <w:r>
                        <w:rPr>
                          <w:rFonts w:ascii="Microsoft Sans Serif" w:hAnsi="Microsoft Sans Serif"/>
                          <w:color w:val="000000"/>
                          <w:w w:val="105"/>
                          <w:sz w:val="21"/>
                        </w:rPr>
                        <w:t>(cocaína,</w:t>
                      </w:r>
                      <w:r>
                        <w:rPr>
                          <w:rFonts w:ascii="Microsoft Sans Serif" w:hAnsi="Microsoft Sans Serif"/>
                          <w:color w:val="000000"/>
                          <w:spacing w:val="26"/>
                          <w:w w:val="105"/>
                          <w:sz w:val="21"/>
                        </w:rPr>
                        <w:t> </w:t>
                      </w:r>
                      <w:r>
                        <w:rPr>
                          <w:rFonts w:ascii="Microsoft Sans Serif" w:hAnsi="Microsoft Sans Serif"/>
                          <w:color w:val="000000"/>
                          <w:spacing w:val="-2"/>
                          <w:w w:val="105"/>
                          <w:sz w:val="21"/>
                        </w:rPr>
                        <w:t>anfetaminas)</w:t>
                      </w:r>
                    </w:p>
                    <w:p>
                      <w:pPr>
                        <w:tabs>
                          <w:tab w:pos="5385" w:val="left" w:leader="none"/>
                        </w:tabs>
                        <w:spacing w:before="66"/>
                        <w:ind w:left="67" w:right="0" w:firstLine="0"/>
                        <w:jc w:val="left"/>
                        <w:rPr>
                          <w:rFonts w:ascii="Microsoft Sans Serif" w:hAnsi="Microsoft Sans Serif"/>
                          <w:color w:val="000000"/>
                          <w:position w:val="-12"/>
                          <w:sz w:val="21"/>
                        </w:rPr>
                      </w:pPr>
                      <w:r>
                        <w:rPr>
                          <w:rFonts w:ascii="Microsoft Sans Serif" w:hAnsi="Microsoft Sans Serif"/>
                          <w:color w:val="000000"/>
                          <w:spacing w:val="2"/>
                          <w:sz w:val="21"/>
                        </w:rPr>
                        <w:t>(hipercoagubilidade,</w:t>
                      </w:r>
                      <w:r>
                        <w:rPr>
                          <w:rFonts w:ascii="Microsoft Sans Serif" w:hAnsi="Microsoft Sans Serif"/>
                          <w:color w:val="000000"/>
                          <w:spacing w:val="32"/>
                          <w:sz w:val="21"/>
                        </w:rPr>
                        <w:t>  </w:t>
                      </w:r>
                      <w:r>
                        <w:rPr>
                          <w:rFonts w:ascii="Microsoft Sans Serif" w:hAnsi="Microsoft Sans Serif"/>
                          <w:color w:val="000000"/>
                          <w:spacing w:val="-2"/>
                          <w:sz w:val="21"/>
                        </w:rPr>
                        <w:t>policitemia)</w:t>
                      </w:r>
                      <w:r>
                        <w:rPr>
                          <w:rFonts w:ascii="Microsoft Sans Serif" w:hAnsi="Microsoft Sans Serif"/>
                          <w:color w:val="000000"/>
                          <w:sz w:val="21"/>
                        </w:rPr>
                        <w:tab/>
                      </w:r>
                      <w:r>
                        <w:rPr>
                          <w:rFonts w:ascii="Microsoft Sans Serif" w:hAnsi="Microsoft Sans Serif"/>
                          <w:color w:val="000000"/>
                          <w:position w:val="-12"/>
                          <w:sz w:val="21"/>
                        </w:rPr>
                        <w:t>Síndrome</w:t>
                      </w:r>
                      <w:r>
                        <w:rPr>
                          <w:rFonts w:ascii="Microsoft Sans Serif" w:hAnsi="Microsoft Sans Serif"/>
                          <w:color w:val="000000"/>
                          <w:spacing w:val="76"/>
                          <w:position w:val="-12"/>
                          <w:sz w:val="21"/>
                        </w:rPr>
                        <w:t> </w:t>
                      </w:r>
                      <w:r>
                        <w:rPr>
                          <w:rFonts w:ascii="Microsoft Sans Serif" w:hAnsi="Microsoft Sans Serif"/>
                          <w:color w:val="000000"/>
                          <w:spacing w:val="-10"/>
                          <w:position w:val="-12"/>
                          <w:sz w:val="21"/>
                        </w:rPr>
                        <w:t>X</w:t>
                      </w:r>
                    </w:p>
                  </w:txbxContent>
                </v:textbox>
                <v:fill type="solid"/>
              </v:shape>
            </w:pict>
          </mc:Fallback>
        </mc:AlternateContent>
      </w:r>
      <w:r>
        <w:rPr>
          <w:rFonts w:ascii="Microsoft Sans Serif"/>
          <w:sz w:val="20"/>
        </w:rPr>
      </w:r>
    </w:p>
    <w:p>
      <w:pPr>
        <w:pStyle w:val="BodyText"/>
        <w:spacing w:line="283" w:lineRule="auto" w:before="126"/>
        <w:ind w:right="491"/>
      </w:pPr>
      <w:r>
        <w:rPr/>
        <w:t>A isquemia silenciosa é caracterizada pela documentação de isquemia miocárdica por qualquer método (eletrocardiográfico ou de imagem) na ausência de sintomas,</w:t>
      </w:r>
      <w:r>
        <w:rPr>
          <w:vertAlign w:val="superscript"/>
        </w:rPr>
        <w:t>37</w:t>
      </w:r>
      <w:r>
        <w:rPr>
          <w:vertAlign w:val="baseline"/>
        </w:rPr>
        <w:t> sendo a mais comum dentre as apresentações clínicas conhecidas da</w:t>
      </w:r>
      <w:r>
        <w:rPr>
          <w:spacing w:val="-7"/>
          <w:vertAlign w:val="baseline"/>
        </w:rPr>
        <w:t> </w:t>
      </w:r>
      <w:r>
        <w:rPr>
          <w:vertAlign w:val="baseline"/>
        </w:rPr>
        <w:t>insuficiência</w:t>
      </w:r>
      <w:r>
        <w:rPr>
          <w:spacing w:val="-7"/>
          <w:vertAlign w:val="baseline"/>
        </w:rPr>
        <w:t> </w:t>
      </w:r>
      <w:r>
        <w:rPr>
          <w:vertAlign w:val="baseline"/>
        </w:rPr>
        <w:t>coronariana.</w:t>
      </w:r>
      <w:r>
        <w:rPr>
          <w:vertAlign w:val="superscript"/>
        </w:rPr>
        <w:t>38–40</w:t>
      </w:r>
      <w:r>
        <w:rPr>
          <w:vertAlign w:val="baseline"/>
        </w:rPr>
        <w:t> Os mecanismos prováveis para</w:t>
      </w:r>
      <w:r>
        <w:rPr>
          <w:spacing w:val="-4"/>
          <w:vertAlign w:val="baseline"/>
        </w:rPr>
        <w:t> </w:t>
      </w:r>
      <w:r>
        <w:rPr>
          <w:vertAlign w:val="baseline"/>
        </w:rPr>
        <w:t>a</w:t>
      </w:r>
      <w:r>
        <w:rPr>
          <w:spacing w:val="-4"/>
          <w:vertAlign w:val="baseline"/>
        </w:rPr>
        <w:t> </w:t>
      </w:r>
      <w:r>
        <w:rPr>
          <w:vertAlign w:val="baseline"/>
        </w:rPr>
        <w:t>não</w:t>
      </w:r>
      <w:r>
        <w:rPr>
          <w:spacing w:val="-1"/>
          <w:vertAlign w:val="baseline"/>
        </w:rPr>
        <w:t> </w:t>
      </w:r>
      <w:r>
        <w:rPr>
          <w:vertAlign w:val="baseline"/>
        </w:rPr>
        <w:t>percepção</w:t>
      </w:r>
      <w:r>
        <w:rPr>
          <w:spacing w:val="-1"/>
          <w:vertAlign w:val="baseline"/>
        </w:rPr>
        <w:t> </w:t>
      </w:r>
      <w:r>
        <w:rPr>
          <w:vertAlign w:val="baseline"/>
        </w:rPr>
        <w:t>do</w:t>
      </w:r>
      <w:r>
        <w:rPr>
          <w:spacing w:val="-1"/>
          <w:vertAlign w:val="baseline"/>
        </w:rPr>
        <w:t> </w:t>
      </w:r>
      <w:r>
        <w:rPr>
          <w:vertAlign w:val="baseline"/>
        </w:rPr>
        <w:t>fenômeno isquêmico ainda não estão completamente esclarecidos. Maseri </w:t>
      </w:r>
      <w:r>
        <w:rPr>
          <w:i/>
          <w:vertAlign w:val="baseline"/>
        </w:rPr>
        <w:t>et al.</w:t>
      </w:r>
      <w:r>
        <w:rPr>
          <w:vertAlign w:val="superscript"/>
        </w:rPr>
        <w:t>37</w:t>
      </w:r>
      <w:r>
        <w:rPr>
          <w:vertAlign w:val="baseline"/>
        </w:rPr>
        <w:t> consideram a existência de defeitos no sistema de percepção da dor, maior liberação de endorfinas, degeneração das vias nociceptivas e alteração de baroceptores</w:t>
      </w:r>
      <w:r>
        <w:rPr>
          <w:spacing w:val="-1"/>
          <w:vertAlign w:val="baseline"/>
        </w:rPr>
        <w:t> </w:t>
      </w:r>
      <w:r>
        <w:rPr>
          <w:vertAlign w:val="baseline"/>
        </w:rPr>
        <w:t>como</w:t>
      </w:r>
      <w:r>
        <w:rPr>
          <w:spacing w:val="-8"/>
          <w:vertAlign w:val="baseline"/>
        </w:rPr>
        <w:t> </w:t>
      </w:r>
      <w:r>
        <w:rPr>
          <w:vertAlign w:val="baseline"/>
        </w:rPr>
        <w:t>algumas</w:t>
      </w:r>
      <w:r>
        <w:rPr>
          <w:spacing w:val="-1"/>
          <w:vertAlign w:val="baseline"/>
        </w:rPr>
        <w:t> </w:t>
      </w:r>
      <w:r>
        <w:rPr>
          <w:vertAlign w:val="baseline"/>
        </w:rPr>
        <w:t>das</w:t>
      </w:r>
      <w:r>
        <w:rPr>
          <w:spacing w:val="-1"/>
          <w:vertAlign w:val="baseline"/>
        </w:rPr>
        <w:t> </w:t>
      </w:r>
      <w:r>
        <w:rPr>
          <w:vertAlign w:val="baseline"/>
        </w:rPr>
        <w:t>explicações</w:t>
      </w:r>
      <w:r>
        <w:rPr>
          <w:spacing w:val="-1"/>
          <w:vertAlign w:val="baseline"/>
        </w:rPr>
        <w:t> </w:t>
      </w:r>
      <w:r>
        <w:rPr>
          <w:vertAlign w:val="baseline"/>
        </w:rPr>
        <w:t>para</w:t>
      </w:r>
      <w:r>
        <w:rPr>
          <w:spacing w:val="-11"/>
          <w:vertAlign w:val="baseline"/>
        </w:rPr>
        <w:t> </w:t>
      </w:r>
      <w:r>
        <w:rPr>
          <w:vertAlign w:val="baseline"/>
        </w:rPr>
        <w:t>tentar</w:t>
      </w:r>
      <w:r>
        <w:rPr>
          <w:spacing w:val="-3"/>
          <w:vertAlign w:val="baseline"/>
        </w:rPr>
        <w:t> </w:t>
      </w:r>
      <w:r>
        <w:rPr>
          <w:vertAlign w:val="baseline"/>
        </w:rPr>
        <w:t>justificar</w:t>
      </w:r>
      <w:r>
        <w:rPr>
          <w:spacing w:val="-3"/>
          <w:vertAlign w:val="baseline"/>
        </w:rPr>
        <w:t> </w:t>
      </w:r>
      <w:r>
        <w:rPr>
          <w:vertAlign w:val="baseline"/>
        </w:rPr>
        <w:t>a</w:t>
      </w:r>
      <w:r>
        <w:rPr>
          <w:spacing w:val="-11"/>
          <w:vertAlign w:val="baseline"/>
        </w:rPr>
        <w:t> </w:t>
      </w:r>
      <w:r>
        <w:rPr>
          <w:vertAlign w:val="baseline"/>
        </w:rPr>
        <w:t>ausência</w:t>
      </w:r>
      <w:r>
        <w:rPr>
          <w:spacing w:val="-11"/>
          <w:vertAlign w:val="baseline"/>
        </w:rPr>
        <w:t> </w:t>
      </w:r>
      <w:r>
        <w:rPr>
          <w:vertAlign w:val="baseline"/>
        </w:rPr>
        <w:t>de</w:t>
      </w:r>
      <w:r>
        <w:rPr>
          <w:spacing w:val="-11"/>
          <w:vertAlign w:val="baseline"/>
        </w:rPr>
        <w:t> </w:t>
      </w:r>
      <w:r>
        <w:rPr>
          <w:vertAlign w:val="baseline"/>
        </w:rPr>
        <w:t>angina.</w:t>
      </w:r>
      <w:r>
        <w:rPr>
          <w:spacing w:val="-1"/>
          <w:vertAlign w:val="baseline"/>
        </w:rPr>
        <w:t> </w:t>
      </w:r>
      <w:r>
        <w:rPr>
          <w:vertAlign w:val="baseline"/>
        </w:rPr>
        <w:t>A</w:t>
      </w:r>
      <w:r>
        <w:rPr>
          <w:spacing w:val="-11"/>
          <w:vertAlign w:val="baseline"/>
        </w:rPr>
        <w:t> </w:t>
      </w:r>
      <w:r>
        <w:rPr>
          <w:vertAlign w:val="baseline"/>
        </w:rPr>
        <w:t>implicação</w:t>
      </w:r>
      <w:r>
        <w:rPr>
          <w:spacing w:val="-8"/>
          <w:vertAlign w:val="baseline"/>
        </w:rPr>
        <w:t> </w:t>
      </w:r>
      <w:r>
        <w:rPr>
          <w:vertAlign w:val="baseline"/>
        </w:rPr>
        <w:t>prognóstica</w:t>
      </w:r>
      <w:r>
        <w:rPr>
          <w:spacing w:val="-11"/>
          <w:vertAlign w:val="baseline"/>
        </w:rPr>
        <w:t> </w:t>
      </w:r>
      <w:r>
        <w:rPr>
          <w:vertAlign w:val="baseline"/>
        </w:rPr>
        <w:t>da isquemia miocárdica foi estudada por vários autores,</w:t>
      </w:r>
      <w:r>
        <w:rPr>
          <w:vertAlign w:val="superscript"/>
        </w:rPr>
        <w:t>39–41</w:t>
      </w:r>
      <w:r>
        <w:rPr>
          <w:vertAlign w:val="baseline"/>
        </w:rPr>
        <w:t> demonstrando-se que os pacientes com episódios isquêmicos, mesmo que assintomáticos, têm pior prognóstico para eventos fatais e não fatais do que os pacientes livres de isquemia.</w:t>
      </w:r>
    </w:p>
    <w:p>
      <w:pPr>
        <w:pStyle w:val="BodyText"/>
        <w:spacing w:line="276" w:lineRule="auto" w:before="58"/>
        <w:ind w:right="488"/>
      </w:pPr>
      <w:r>
        <w:rPr/>
        <w:t>O</w:t>
      </w:r>
      <w:r>
        <w:rPr>
          <w:spacing w:val="-2"/>
        </w:rPr>
        <w:t> </w:t>
      </w:r>
      <w:r>
        <w:rPr/>
        <w:t>equivalente</w:t>
      </w:r>
      <w:r>
        <w:rPr>
          <w:spacing w:val="-2"/>
        </w:rPr>
        <w:t> </w:t>
      </w:r>
      <w:r>
        <w:rPr/>
        <w:t>isquêmico se</w:t>
      </w:r>
      <w:r>
        <w:rPr>
          <w:spacing w:val="-2"/>
        </w:rPr>
        <w:t> </w:t>
      </w:r>
      <w:r>
        <w:rPr/>
        <w:t>caracteriza</w:t>
      </w:r>
      <w:r>
        <w:rPr>
          <w:spacing w:val="-2"/>
        </w:rPr>
        <w:t> </w:t>
      </w:r>
      <w:r>
        <w:rPr/>
        <w:t>pela</w:t>
      </w:r>
      <w:r>
        <w:rPr>
          <w:spacing w:val="-2"/>
        </w:rPr>
        <w:t> </w:t>
      </w:r>
      <w:r>
        <w:rPr/>
        <w:t>existência</w:t>
      </w:r>
      <w:r>
        <w:rPr>
          <w:spacing w:val="-2"/>
        </w:rPr>
        <w:t> </w:t>
      </w:r>
      <w:r>
        <w:rPr/>
        <w:t>de</w:t>
      </w:r>
      <w:r>
        <w:rPr>
          <w:spacing w:val="-2"/>
        </w:rPr>
        <w:t> </w:t>
      </w:r>
      <w:r>
        <w:rPr/>
        <w:t>algum sinal ou sintoma</w:t>
      </w:r>
      <w:r>
        <w:rPr>
          <w:spacing w:val="-2"/>
        </w:rPr>
        <w:t> </w:t>
      </w:r>
      <w:r>
        <w:rPr/>
        <w:t>originado por um episódio de isquemia</w:t>
      </w:r>
      <w:r>
        <w:rPr>
          <w:spacing w:val="-9"/>
        </w:rPr>
        <w:t> </w:t>
      </w:r>
      <w:r>
        <w:rPr/>
        <w:t>que</w:t>
      </w:r>
      <w:r>
        <w:rPr>
          <w:spacing w:val="-9"/>
        </w:rPr>
        <w:t> </w:t>
      </w:r>
      <w:r>
        <w:rPr/>
        <w:t>não</w:t>
      </w:r>
      <w:r>
        <w:rPr>
          <w:spacing w:val="-7"/>
        </w:rPr>
        <w:t> </w:t>
      </w:r>
      <w:r>
        <w:rPr/>
        <w:t>o</w:t>
      </w:r>
      <w:r>
        <w:rPr>
          <w:spacing w:val="-7"/>
        </w:rPr>
        <w:t> </w:t>
      </w:r>
      <w:r>
        <w:rPr/>
        <w:t>quadro</w:t>
      </w:r>
      <w:r>
        <w:rPr>
          <w:spacing w:val="-7"/>
        </w:rPr>
        <w:t> </w:t>
      </w:r>
      <w:r>
        <w:rPr/>
        <w:t>de</w:t>
      </w:r>
      <w:r>
        <w:rPr>
          <w:spacing w:val="-9"/>
        </w:rPr>
        <w:t> </w:t>
      </w:r>
      <w:r>
        <w:rPr/>
        <w:t>dor</w:t>
      </w:r>
      <w:r>
        <w:rPr>
          <w:spacing w:val="-1"/>
        </w:rPr>
        <w:t> </w:t>
      </w:r>
      <w:r>
        <w:rPr/>
        <w:t>torácica</w:t>
      </w:r>
      <w:r>
        <w:rPr>
          <w:spacing w:val="-9"/>
        </w:rPr>
        <w:t> </w:t>
      </w:r>
      <w:r>
        <w:rPr/>
        <w:t>clássica</w:t>
      </w:r>
      <w:r>
        <w:rPr>
          <w:spacing w:val="-9"/>
        </w:rPr>
        <w:t> </w:t>
      </w:r>
      <w:r>
        <w:rPr/>
        <w:t>descrita</w:t>
      </w:r>
      <w:r>
        <w:rPr>
          <w:spacing w:val="-9"/>
        </w:rPr>
        <w:t> </w:t>
      </w:r>
      <w:r>
        <w:rPr/>
        <w:t>como</w:t>
      </w:r>
      <w:r>
        <w:rPr>
          <w:spacing w:val="-7"/>
        </w:rPr>
        <w:t> </w:t>
      </w:r>
      <w:r>
        <w:rPr/>
        <w:t>angina</w:t>
      </w:r>
      <w:r>
        <w:rPr>
          <w:spacing w:val="-9"/>
        </w:rPr>
        <w:t> </w:t>
      </w:r>
      <w:r>
        <w:rPr/>
        <w:t>de</w:t>
      </w:r>
      <w:r>
        <w:rPr>
          <w:spacing w:val="-9"/>
        </w:rPr>
        <w:t> </w:t>
      </w:r>
      <w:r>
        <w:rPr/>
        <w:t>peito. O</w:t>
      </w:r>
      <w:r>
        <w:rPr>
          <w:spacing w:val="-9"/>
        </w:rPr>
        <w:t> </w:t>
      </w:r>
      <w:r>
        <w:rPr/>
        <w:t>quadro</w:t>
      </w:r>
      <w:r>
        <w:rPr>
          <w:spacing w:val="-7"/>
        </w:rPr>
        <w:t> </w:t>
      </w:r>
      <w:r>
        <w:rPr/>
        <w:t>clínico</w:t>
      </w:r>
      <w:r>
        <w:rPr>
          <w:spacing w:val="-7"/>
        </w:rPr>
        <w:t> </w:t>
      </w:r>
      <w:r>
        <w:rPr/>
        <w:t>mais frequente</w:t>
      </w:r>
      <w:r>
        <w:rPr>
          <w:spacing w:val="-9"/>
        </w:rPr>
        <w:t> </w:t>
      </w:r>
      <w:r>
        <w:rPr/>
        <w:t>é a queixa de dispneia e sudorese desproporcionais ao esforço realizado.</w:t>
      </w:r>
    </w:p>
    <w:p>
      <w:pPr>
        <w:pStyle w:val="BodyText"/>
        <w:spacing w:before="185"/>
        <w:ind w:left="0" w:firstLine="0"/>
        <w:jc w:val="left"/>
      </w:pPr>
    </w:p>
    <w:p>
      <w:pPr>
        <w:pStyle w:val="Heading4"/>
      </w:pPr>
      <w:r>
        <w:rPr>
          <w:color w:val="242B67"/>
          <w:spacing w:val="-2"/>
        </w:rPr>
        <w:t>Diagnóstico</w:t>
      </w:r>
    </w:p>
    <w:p>
      <w:pPr>
        <w:pStyle w:val="BodyText"/>
        <w:spacing w:line="276" w:lineRule="auto" w:before="132"/>
        <w:ind w:right="491"/>
      </w:pPr>
      <w:r>
        <w:rPr/>
        <w:t>A angina de peito constitui a principal manifestação da insuficiência coronariana. A história clínica é o passo mais importante</w:t>
      </w:r>
      <w:r>
        <w:rPr>
          <w:spacing w:val="-2"/>
        </w:rPr>
        <w:t> </w:t>
      </w:r>
      <w:r>
        <w:rPr/>
        <w:t>na</w:t>
      </w:r>
      <w:r>
        <w:rPr>
          <w:spacing w:val="-2"/>
        </w:rPr>
        <w:t> </w:t>
      </w:r>
      <w:r>
        <w:rPr/>
        <w:t>avaliação de</w:t>
      </w:r>
      <w:r>
        <w:rPr>
          <w:spacing w:val="-2"/>
        </w:rPr>
        <w:t> </w:t>
      </w:r>
      <w:r>
        <w:rPr/>
        <w:t>um paciente</w:t>
      </w:r>
      <w:r>
        <w:rPr>
          <w:spacing w:val="-2"/>
        </w:rPr>
        <w:t> </w:t>
      </w:r>
      <w:r>
        <w:rPr/>
        <w:t>com dor torácica, o que, associado à</w:t>
      </w:r>
      <w:r>
        <w:rPr>
          <w:spacing w:val="-2"/>
        </w:rPr>
        <w:t> </w:t>
      </w:r>
      <w:r>
        <w:rPr/>
        <w:t>existência</w:t>
      </w:r>
      <w:r>
        <w:rPr>
          <w:spacing w:val="-2"/>
        </w:rPr>
        <w:t> </w:t>
      </w:r>
      <w:r>
        <w:rPr/>
        <w:t>dos chamados fatores de</w:t>
      </w:r>
      <w:r>
        <w:rPr>
          <w:spacing w:val="-9"/>
        </w:rPr>
        <w:t> </w:t>
      </w:r>
      <w:r>
        <w:rPr/>
        <w:t>risco</w:t>
      </w:r>
      <w:r>
        <w:rPr>
          <w:spacing w:val="-7"/>
        </w:rPr>
        <w:t> </w:t>
      </w:r>
      <w:r>
        <w:rPr/>
        <w:t>para</w:t>
      </w:r>
      <w:r>
        <w:rPr>
          <w:spacing w:val="-9"/>
        </w:rPr>
        <w:t> </w:t>
      </w:r>
      <w:r>
        <w:rPr/>
        <w:t>doença</w:t>
      </w:r>
      <w:r>
        <w:rPr>
          <w:spacing w:val="-9"/>
        </w:rPr>
        <w:t> </w:t>
      </w:r>
      <w:r>
        <w:rPr/>
        <w:t>aterosclerótica, possibilita</w:t>
      </w:r>
      <w:r>
        <w:rPr>
          <w:spacing w:val="-9"/>
        </w:rPr>
        <w:t> </w:t>
      </w:r>
      <w:r>
        <w:rPr/>
        <w:t>ao</w:t>
      </w:r>
      <w:r>
        <w:rPr>
          <w:spacing w:val="-7"/>
        </w:rPr>
        <w:t> </w:t>
      </w:r>
      <w:r>
        <w:rPr/>
        <w:t>clínico</w:t>
      </w:r>
      <w:r>
        <w:rPr>
          <w:spacing w:val="-7"/>
        </w:rPr>
        <w:t> </w:t>
      </w:r>
      <w:r>
        <w:rPr/>
        <w:t>estimar</w:t>
      </w:r>
      <w:r>
        <w:rPr>
          <w:spacing w:val="-2"/>
        </w:rPr>
        <w:t> </w:t>
      </w:r>
      <w:r>
        <w:rPr/>
        <w:t>a</w:t>
      </w:r>
      <w:r>
        <w:rPr>
          <w:spacing w:val="-9"/>
        </w:rPr>
        <w:t> </w:t>
      </w:r>
      <w:r>
        <w:rPr/>
        <w:t>probabilidade</w:t>
      </w:r>
      <w:r>
        <w:rPr>
          <w:spacing w:val="-9"/>
        </w:rPr>
        <w:t> </w:t>
      </w:r>
      <w:r>
        <w:rPr/>
        <w:t>de</w:t>
      </w:r>
      <w:r>
        <w:rPr>
          <w:spacing w:val="-9"/>
        </w:rPr>
        <w:t> </w:t>
      </w:r>
      <w:r>
        <w:rPr/>
        <w:t>ser</w:t>
      </w:r>
      <w:r>
        <w:rPr>
          <w:spacing w:val="-2"/>
        </w:rPr>
        <w:t> </w:t>
      </w:r>
      <w:r>
        <w:rPr/>
        <w:t>doença</w:t>
      </w:r>
      <w:r>
        <w:rPr>
          <w:spacing w:val="-9"/>
        </w:rPr>
        <w:t> </w:t>
      </w:r>
      <w:r>
        <w:rPr/>
        <w:t>coronária. O</w:t>
      </w:r>
      <w:r>
        <w:rPr>
          <w:spacing w:val="-9"/>
        </w:rPr>
        <w:t> </w:t>
      </w:r>
      <w:r>
        <w:rPr/>
        <w:t>exame físico frequentemente é normal. Entretanto, pode apresentar alterações durante a crise de isquemia, como sopros cardíacos ou sinais de congestão pulmonar. Conforme os dados obtidos, a dor torácica pode ser classificada em típica, atípica ou não cardíaca (</w:t>
      </w:r>
      <w:r>
        <w:rPr>
          <w:color w:val="505050"/>
        </w:rPr>
        <w:t>Tabela 56.4</w:t>
      </w:r>
      <w:r>
        <w:rPr/>
        <w:t>).</w:t>
      </w:r>
    </w:p>
    <w:p>
      <w:pPr>
        <w:pStyle w:val="BodyText"/>
        <w:spacing w:line="283" w:lineRule="auto"/>
        <w:ind w:right="488"/>
      </w:pPr>
      <w:r>
        <w:rPr/>
        <w:t>Uma</w:t>
      </w:r>
      <w:r>
        <w:rPr>
          <w:spacing w:val="-6"/>
        </w:rPr>
        <w:t> </w:t>
      </w:r>
      <w:r>
        <w:rPr/>
        <w:t>vez</w:t>
      </w:r>
      <w:r>
        <w:rPr>
          <w:spacing w:val="-6"/>
        </w:rPr>
        <w:t> </w:t>
      </w:r>
      <w:r>
        <w:rPr/>
        <w:t>caracterizado</w:t>
      </w:r>
      <w:r>
        <w:rPr>
          <w:spacing w:val="-4"/>
        </w:rPr>
        <w:t> </w:t>
      </w:r>
      <w:r>
        <w:rPr/>
        <w:t>o</w:t>
      </w:r>
      <w:r>
        <w:rPr>
          <w:spacing w:val="-4"/>
        </w:rPr>
        <w:t> </w:t>
      </w:r>
      <w:r>
        <w:rPr/>
        <w:t>diagnóstico</w:t>
      </w:r>
      <w:r>
        <w:rPr>
          <w:spacing w:val="-4"/>
        </w:rPr>
        <w:t> </w:t>
      </w:r>
      <w:r>
        <w:rPr/>
        <w:t>de</w:t>
      </w:r>
      <w:r>
        <w:rPr>
          <w:spacing w:val="-6"/>
        </w:rPr>
        <w:t> </w:t>
      </w:r>
      <w:r>
        <w:rPr/>
        <w:t>angina</w:t>
      </w:r>
      <w:r>
        <w:rPr>
          <w:spacing w:val="-6"/>
        </w:rPr>
        <w:t> </w:t>
      </w:r>
      <w:r>
        <w:rPr/>
        <w:t>estável, é</w:t>
      </w:r>
      <w:r>
        <w:rPr>
          <w:spacing w:val="-6"/>
        </w:rPr>
        <w:t> </w:t>
      </w:r>
      <w:r>
        <w:rPr/>
        <w:t>importante</w:t>
      </w:r>
      <w:r>
        <w:rPr>
          <w:spacing w:val="-6"/>
        </w:rPr>
        <w:t> </w:t>
      </w:r>
      <w:r>
        <w:rPr/>
        <w:t>proceder à</w:t>
      </w:r>
      <w:r>
        <w:rPr>
          <w:spacing w:val="-6"/>
        </w:rPr>
        <w:t> </w:t>
      </w:r>
      <w:r>
        <w:rPr/>
        <w:t>estratificação</w:t>
      </w:r>
      <w:r>
        <w:rPr>
          <w:spacing w:val="-4"/>
        </w:rPr>
        <w:t> </w:t>
      </w:r>
      <w:r>
        <w:rPr/>
        <w:t>com</w:t>
      </w:r>
      <w:r>
        <w:rPr>
          <w:spacing w:val="-4"/>
        </w:rPr>
        <w:t> </w:t>
      </w:r>
      <w:r>
        <w:rPr/>
        <w:t>relação</w:t>
      </w:r>
      <w:r>
        <w:rPr>
          <w:spacing w:val="-4"/>
        </w:rPr>
        <w:t> </w:t>
      </w:r>
      <w:r>
        <w:rPr/>
        <w:t>a</w:t>
      </w:r>
      <w:r>
        <w:rPr>
          <w:spacing w:val="-6"/>
        </w:rPr>
        <w:t> </w:t>
      </w:r>
      <w:r>
        <w:rPr/>
        <w:t>sua gravidade, sendo a classificação utilizada a da Sociedade Canadense de Cardiologia, que a qualifica em classes I a IV (</w:t>
      </w:r>
      <w:r>
        <w:rPr>
          <w:color w:val="505050"/>
        </w:rPr>
        <w:t>Tabela 56.5</w:t>
      </w:r>
      <w:r>
        <w:rPr/>
        <w:t>).</w:t>
      </w:r>
      <w:r>
        <w:rPr>
          <w:vertAlign w:val="superscript"/>
        </w:rPr>
        <w:t>42</w:t>
      </w:r>
    </w:p>
    <w:p>
      <w:pPr>
        <w:pStyle w:val="BodyText"/>
        <w:spacing w:line="280" w:lineRule="auto" w:before="41"/>
        <w:ind w:right="491"/>
      </w:pPr>
      <w:r>
        <w:rPr/>
        <w:t>Habitualmente</w:t>
      </w:r>
      <w:r>
        <w:rPr>
          <w:spacing w:val="-15"/>
        </w:rPr>
        <w:t> </w:t>
      </w:r>
      <w:r>
        <w:rPr/>
        <w:t>são</w:t>
      </w:r>
      <w:r>
        <w:rPr>
          <w:spacing w:val="-14"/>
        </w:rPr>
        <w:t> </w:t>
      </w:r>
      <w:r>
        <w:rPr/>
        <w:t>necessários</w:t>
      </w:r>
      <w:r>
        <w:rPr>
          <w:spacing w:val="-15"/>
        </w:rPr>
        <w:t> </w:t>
      </w:r>
      <w:r>
        <w:rPr/>
        <w:t>exames</w:t>
      </w:r>
      <w:r>
        <w:rPr>
          <w:spacing w:val="-10"/>
        </w:rPr>
        <w:t> </w:t>
      </w:r>
      <w:r>
        <w:rPr/>
        <w:t>complementares</w:t>
      </w:r>
      <w:r>
        <w:rPr>
          <w:spacing w:val="-7"/>
        </w:rPr>
        <w:t> </w:t>
      </w:r>
      <w:r>
        <w:rPr/>
        <w:t>para</w:t>
      </w:r>
      <w:r>
        <w:rPr>
          <w:spacing w:val="-15"/>
        </w:rPr>
        <w:t> </w:t>
      </w:r>
      <w:r>
        <w:rPr/>
        <w:t>a</w:t>
      </w:r>
      <w:r>
        <w:rPr>
          <w:spacing w:val="-14"/>
        </w:rPr>
        <w:t> </w:t>
      </w:r>
      <w:r>
        <w:rPr/>
        <w:t>confirmação</w:t>
      </w:r>
      <w:r>
        <w:rPr>
          <w:spacing w:val="-14"/>
        </w:rPr>
        <w:t> </w:t>
      </w:r>
      <w:r>
        <w:rPr/>
        <w:t>diagnóstica</w:t>
      </w:r>
      <w:r>
        <w:rPr>
          <w:spacing w:val="-15"/>
        </w:rPr>
        <w:t> </w:t>
      </w:r>
      <w:r>
        <w:rPr/>
        <w:t>ou</w:t>
      </w:r>
      <w:r>
        <w:rPr>
          <w:spacing w:val="-14"/>
        </w:rPr>
        <w:t> </w:t>
      </w:r>
      <w:r>
        <w:rPr/>
        <w:t>estratificação</w:t>
      </w:r>
      <w:r>
        <w:rPr>
          <w:spacing w:val="-14"/>
        </w:rPr>
        <w:t> </w:t>
      </w:r>
      <w:r>
        <w:rPr/>
        <w:t>de</w:t>
      </w:r>
      <w:r>
        <w:rPr>
          <w:spacing w:val="-15"/>
        </w:rPr>
        <w:t> </w:t>
      </w:r>
      <w:r>
        <w:rPr/>
        <w:t>risco da</w:t>
      </w:r>
      <w:r>
        <w:rPr>
          <w:spacing w:val="-1"/>
        </w:rPr>
        <w:t> </w:t>
      </w:r>
      <w:r>
        <w:rPr/>
        <w:t>insuficiência</w:t>
      </w:r>
      <w:r>
        <w:rPr>
          <w:spacing w:val="-1"/>
        </w:rPr>
        <w:t> </w:t>
      </w:r>
      <w:r>
        <w:rPr/>
        <w:t>coronariana. O</w:t>
      </w:r>
      <w:r>
        <w:rPr>
          <w:spacing w:val="-1"/>
        </w:rPr>
        <w:t> </w:t>
      </w:r>
      <w:r>
        <w:rPr/>
        <w:t>eletrocardiograma</w:t>
      </w:r>
      <w:r>
        <w:rPr>
          <w:spacing w:val="-1"/>
        </w:rPr>
        <w:t> </w:t>
      </w:r>
      <w:r>
        <w:rPr/>
        <w:t>convencional é</w:t>
      </w:r>
      <w:r>
        <w:rPr>
          <w:spacing w:val="-1"/>
        </w:rPr>
        <w:t> </w:t>
      </w:r>
      <w:r>
        <w:rPr/>
        <w:t>exame</w:t>
      </w:r>
      <w:r>
        <w:rPr>
          <w:spacing w:val="-1"/>
        </w:rPr>
        <w:t> </w:t>
      </w:r>
      <w:r>
        <w:rPr/>
        <w:t>obrigatório em todos os pacientes, apesar de se encontrarem anormalidades em apenas 50% dos casos, sendo mais comuns as alterações da repolarização </w:t>
      </w:r>
      <w:r>
        <w:rPr>
          <w:spacing w:val="-2"/>
        </w:rPr>
        <w:t>ventricular.</w:t>
      </w:r>
      <w:r>
        <w:rPr>
          <w:spacing w:val="-2"/>
          <w:vertAlign w:val="superscript"/>
        </w:rPr>
        <w:t>43</w:t>
      </w:r>
    </w:p>
    <w:p>
      <w:pPr>
        <w:pStyle w:val="BodyText"/>
        <w:spacing w:before="82"/>
        <w:ind w:left="0" w:firstLine="0"/>
        <w:jc w:val="left"/>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7"/>
          <w:sz w:val="23"/>
        </w:rPr>
        <w:t> </w:t>
      </w:r>
      <w:r>
        <w:rPr>
          <w:rFonts w:ascii="Arial" w:hAnsi="Arial"/>
          <w:b/>
          <w:color w:val="242B67"/>
          <w:sz w:val="23"/>
        </w:rPr>
        <w:t>56.4</w:t>
      </w:r>
      <w:r>
        <w:rPr>
          <w:rFonts w:ascii="Arial" w:hAnsi="Arial"/>
          <w:b/>
          <w:color w:val="242B67"/>
          <w:spacing w:val="-8"/>
          <w:sz w:val="23"/>
        </w:rPr>
        <w:t> </w:t>
      </w:r>
      <w:r>
        <w:rPr>
          <w:rFonts w:ascii="Microsoft Sans Serif" w:hAnsi="Microsoft Sans Serif"/>
          <w:sz w:val="23"/>
        </w:rPr>
        <w:t>Classificação</w:t>
      </w:r>
      <w:r>
        <w:rPr>
          <w:rFonts w:ascii="Microsoft Sans Serif" w:hAnsi="Microsoft Sans Serif"/>
          <w:spacing w:val="-5"/>
          <w:sz w:val="23"/>
        </w:rPr>
        <w:t> </w:t>
      </w:r>
      <w:r>
        <w:rPr>
          <w:rFonts w:ascii="Microsoft Sans Serif" w:hAnsi="Microsoft Sans Serif"/>
          <w:sz w:val="23"/>
        </w:rPr>
        <w:t>clínica</w:t>
      </w:r>
      <w:r>
        <w:rPr>
          <w:rFonts w:ascii="Microsoft Sans Serif" w:hAnsi="Microsoft Sans Serif"/>
          <w:spacing w:val="-5"/>
          <w:sz w:val="23"/>
        </w:rPr>
        <w:t> </w:t>
      </w:r>
      <w:r>
        <w:rPr>
          <w:rFonts w:ascii="Microsoft Sans Serif" w:hAnsi="Microsoft Sans Serif"/>
          <w:sz w:val="23"/>
        </w:rPr>
        <w:t>da</w:t>
      </w:r>
      <w:r>
        <w:rPr>
          <w:rFonts w:ascii="Microsoft Sans Serif" w:hAnsi="Microsoft Sans Serif"/>
          <w:spacing w:val="-5"/>
          <w:sz w:val="23"/>
        </w:rPr>
        <w:t> </w:t>
      </w:r>
      <w:r>
        <w:rPr>
          <w:rFonts w:ascii="Microsoft Sans Serif" w:hAnsi="Microsoft Sans Serif"/>
          <w:sz w:val="23"/>
        </w:rPr>
        <w:t>dor</w:t>
      </w:r>
      <w:r>
        <w:rPr>
          <w:rFonts w:ascii="Microsoft Sans Serif" w:hAnsi="Microsoft Sans Serif"/>
          <w:spacing w:val="-1"/>
          <w:sz w:val="23"/>
        </w:rPr>
        <w:t> </w:t>
      </w:r>
      <w:r>
        <w:rPr>
          <w:rFonts w:ascii="Microsoft Sans Serif" w:hAnsi="Microsoft Sans Serif"/>
          <w:spacing w:val="-2"/>
          <w:sz w:val="23"/>
        </w:rPr>
        <w:t>torácica.</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6366"/>
      </w:tblGrid>
      <w:tr>
        <w:trPr>
          <w:trHeight w:val="734" w:hRule="atLeast"/>
        </w:trPr>
        <w:tc>
          <w:tcPr>
            <w:tcW w:w="4252" w:type="dxa"/>
            <w:tcBorders>
              <w:top w:val="nil"/>
              <w:left w:val="nil"/>
            </w:tcBorders>
            <w:shd w:val="clear" w:color="auto" w:fill="EDECF3"/>
          </w:tcPr>
          <w:p>
            <w:pPr>
              <w:pStyle w:val="TableParagraph"/>
              <w:spacing w:before="91"/>
              <w:ind w:left="67"/>
              <w:rPr>
                <w:rFonts w:ascii="Arial" w:hAnsi="Arial"/>
                <w:b/>
                <w:sz w:val="21"/>
              </w:rPr>
            </w:pPr>
            <w:r>
              <w:rPr>
                <w:rFonts w:ascii="Arial" w:hAnsi="Arial"/>
                <w:b/>
                <w:w w:val="105"/>
                <w:sz w:val="21"/>
              </w:rPr>
              <w:t>Angina</w:t>
            </w:r>
            <w:r>
              <w:rPr>
                <w:rFonts w:ascii="Arial" w:hAnsi="Arial"/>
                <w:b/>
                <w:spacing w:val="-2"/>
                <w:w w:val="105"/>
                <w:sz w:val="21"/>
              </w:rPr>
              <w:t> </w:t>
            </w:r>
            <w:r>
              <w:rPr>
                <w:rFonts w:ascii="Arial" w:hAnsi="Arial"/>
                <w:b/>
                <w:w w:val="105"/>
                <w:sz w:val="21"/>
              </w:rPr>
              <w:t>típica</w:t>
            </w:r>
            <w:r>
              <w:rPr>
                <w:rFonts w:ascii="Arial" w:hAnsi="Arial"/>
                <w:b/>
                <w:spacing w:val="-1"/>
                <w:w w:val="105"/>
                <w:sz w:val="21"/>
              </w:rPr>
              <w:t> </w:t>
            </w:r>
            <w:r>
              <w:rPr>
                <w:rFonts w:ascii="Arial" w:hAnsi="Arial"/>
                <w:b/>
                <w:spacing w:val="-2"/>
                <w:w w:val="105"/>
                <w:sz w:val="21"/>
              </w:rPr>
              <w:t>definitiva</w:t>
            </w:r>
          </w:p>
        </w:tc>
        <w:tc>
          <w:tcPr>
            <w:tcW w:w="6366" w:type="dxa"/>
            <w:tcBorders>
              <w:top w:val="nil"/>
              <w:right w:val="nil"/>
            </w:tcBorders>
            <w:shd w:val="clear" w:color="auto" w:fill="EDECF3"/>
          </w:tcPr>
          <w:p>
            <w:pPr>
              <w:pStyle w:val="TableParagraph"/>
              <w:spacing w:line="307" w:lineRule="auto" w:before="94"/>
              <w:ind w:left="66"/>
              <w:rPr>
                <w:sz w:val="21"/>
              </w:rPr>
            </w:pPr>
            <w:r>
              <w:rPr>
                <w:w w:val="105"/>
                <w:sz w:val="21"/>
              </w:rPr>
              <w:t>Desconforto subesternal provocado por esforço ou estresse</w:t>
            </w:r>
            <w:r>
              <w:rPr>
                <w:spacing w:val="40"/>
                <w:w w:val="105"/>
                <w:sz w:val="21"/>
              </w:rPr>
              <w:t> </w:t>
            </w:r>
            <w:r>
              <w:rPr>
                <w:w w:val="105"/>
                <w:sz w:val="21"/>
              </w:rPr>
              <w:t>emocional. Alívio com repouso ou nitrato sublingual</w:t>
            </w:r>
          </w:p>
        </w:tc>
      </w:tr>
      <w:tr>
        <w:trPr>
          <w:trHeight w:val="428" w:hRule="atLeast"/>
        </w:trPr>
        <w:tc>
          <w:tcPr>
            <w:tcW w:w="4252" w:type="dxa"/>
            <w:tcBorders>
              <w:left w:val="nil"/>
            </w:tcBorders>
            <w:shd w:val="clear" w:color="auto" w:fill="EDECF3"/>
          </w:tcPr>
          <w:p>
            <w:pPr>
              <w:pStyle w:val="TableParagraph"/>
              <w:spacing w:before="89"/>
              <w:ind w:left="67"/>
              <w:rPr>
                <w:rFonts w:ascii="Arial" w:hAnsi="Arial"/>
                <w:b/>
                <w:sz w:val="21"/>
              </w:rPr>
            </w:pPr>
            <w:r>
              <w:rPr>
                <w:rFonts w:ascii="Arial" w:hAnsi="Arial"/>
                <w:b/>
                <w:w w:val="105"/>
                <w:sz w:val="21"/>
              </w:rPr>
              <w:t>Angina</w:t>
            </w:r>
            <w:r>
              <w:rPr>
                <w:rFonts w:ascii="Arial" w:hAnsi="Arial"/>
                <w:b/>
                <w:spacing w:val="-2"/>
                <w:w w:val="105"/>
                <w:sz w:val="21"/>
              </w:rPr>
              <w:t> </w:t>
            </w:r>
            <w:r>
              <w:rPr>
                <w:rFonts w:ascii="Arial" w:hAnsi="Arial"/>
                <w:b/>
                <w:w w:val="105"/>
                <w:sz w:val="21"/>
              </w:rPr>
              <w:t>típica</w:t>
            </w:r>
            <w:r>
              <w:rPr>
                <w:rFonts w:ascii="Arial" w:hAnsi="Arial"/>
                <w:b/>
                <w:spacing w:val="-1"/>
                <w:w w:val="105"/>
                <w:sz w:val="21"/>
              </w:rPr>
              <w:t> </w:t>
            </w:r>
            <w:r>
              <w:rPr>
                <w:rFonts w:ascii="Arial" w:hAnsi="Arial"/>
                <w:b/>
                <w:spacing w:val="-2"/>
                <w:w w:val="105"/>
                <w:sz w:val="21"/>
              </w:rPr>
              <w:t>provável</w:t>
            </w:r>
          </w:p>
        </w:tc>
        <w:tc>
          <w:tcPr>
            <w:tcW w:w="6366" w:type="dxa"/>
            <w:tcBorders>
              <w:right w:val="nil"/>
            </w:tcBorders>
            <w:shd w:val="clear" w:color="auto" w:fill="EDECF3"/>
          </w:tcPr>
          <w:p>
            <w:pPr>
              <w:pStyle w:val="TableParagraph"/>
              <w:ind w:left="66"/>
              <w:rPr>
                <w:sz w:val="21"/>
              </w:rPr>
            </w:pPr>
            <w:r>
              <w:rPr>
                <w:w w:val="105"/>
                <w:sz w:val="21"/>
              </w:rPr>
              <w:t>Reúne</w:t>
            </w:r>
            <w:r>
              <w:rPr>
                <w:spacing w:val="28"/>
                <w:w w:val="105"/>
                <w:sz w:val="21"/>
              </w:rPr>
              <w:t> </w:t>
            </w:r>
            <w:r>
              <w:rPr>
                <w:w w:val="105"/>
                <w:sz w:val="21"/>
              </w:rPr>
              <w:t>duas</w:t>
            </w:r>
            <w:r>
              <w:rPr>
                <w:spacing w:val="23"/>
                <w:w w:val="105"/>
                <w:sz w:val="21"/>
              </w:rPr>
              <w:t> </w:t>
            </w:r>
            <w:r>
              <w:rPr>
                <w:w w:val="105"/>
                <w:sz w:val="21"/>
              </w:rPr>
              <w:t>das</w:t>
            </w:r>
            <w:r>
              <w:rPr>
                <w:spacing w:val="23"/>
                <w:w w:val="105"/>
                <w:sz w:val="21"/>
              </w:rPr>
              <w:t> </w:t>
            </w:r>
            <w:r>
              <w:rPr>
                <w:w w:val="105"/>
                <w:sz w:val="21"/>
              </w:rPr>
              <w:t>características</w:t>
            </w:r>
            <w:r>
              <w:rPr>
                <w:spacing w:val="23"/>
                <w:w w:val="105"/>
                <w:sz w:val="21"/>
              </w:rPr>
              <w:t> </w:t>
            </w:r>
            <w:r>
              <w:rPr>
                <w:w w:val="105"/>
                <w:sz w:val="21"/>
              </w:rPr>
              <w:t>da</w:t>
            </w:r>
            <w:r>
              <w:rPr>
                <w:spacing w:val="28"/>
                <w:w w:val="105"/>
                <w:sz w:val="21"/>
              </w:rPr>
              <w:t> </w:t>
            </w:r>
            <w:r>
              <w:rPr>
                <w:w w:val="105"/>
                <w:sz w:val="21"/>
              </w:rPr>
              <w:t>típica</w:t>
            </w:r>
            <w:r>
              <w:rPr>
                <w:spacing w:val="28"/>
                <w:w w:val="105"/>
                <w:sz w:val="21"/>
              </w:rPr>
              <w:t> </w:t>
            </w:r>
            <w:r>
              <w:rPr>
                <w:spacing w:val="-2"/>
                <w:w w:val="105"/>
                <w:sz w:val="21"/>
              </w:rPr>
              <w:t>definitiva</w:t>
            </w:r>
          </w:p>
        </w:tc>
      </w:tr>
      <w:tr>
        <w:trPr>
          <w:trHeight w:val="430" w:hRule="atLeast"/>
        </w:trPr>
        <w:tc>
          <w:tcPr>
            <w:tcW w:w="4252" w:type="dxa"/>
            <w:tcBorders>
              <w:left w:val="nil"/>
              <w:bottom w:val="nil"/>
            </w:tcBorders>
            <w:shd w:val="clear" w:color="auto" w:fill="EDECF3"/>
          </w:tcPr>
          <w:p>
            <w:pPr>
              <w:pStyle w:val="TableParagraph"/>
              <w:spacing w:before="89"/>
              <w:ind w:left="67"/>
              <w:rPr>
                <w:rFonts w:ascii="Arial" w:hAnsi="Arial"/>
                <w:b/>
                <w:sz w:val="21"/>
              </w:rPr>
            </w:pPr>
            <w:r>
              <w:rPr>
                <w:rFonts w:ascii="Arial" w:hAnsi="Arial"/>
                <w:b/>
                <w:w w:val="105"/>
                <w:sz w:val="21"/>
              </w:rPr>
              <w:t>Dor</w:t>
            </w:r>
            <w:r>
              <w:rPr>
                <w:rFonts w:ascii="Arial" w:hAnsi="Arial"/>
                <w:b/>
                <w:spacing w:val="-6"/>
                <w:w w:val="105"/>
                <w:sz w:val="21"/>
              </w:rPr>
              <w:t> </w:t>
            </w:r>
            <w:r>
              <w:rPr>
                <w:rFonts w:ascii="Arial" w:hAnsi="Arial"/>
                <w:b/>
                <w:w w:val="105"/>
                <w:sz w:val="21"/>
              </w:rPr>
              <w:t>torácica</w:t>
            </w:r>
            <w:r>
              <w:rPr>
                <w:rFonts w:ascii="Arial" w:hAnsi="Arial"/>
                <w:b/>
                <w:spacing w:val="5"/>
                <w:w w:val="105"/>
                <w:sz w:val="21"/>
              </w:rPr>
              <w:t> </w:t>
            </w:r>
            <w:r>
              <w:rPr>
                <w:rFonts w:ascii="Arial" w:hAnsi="Arial"/>
                <w:b/>
                <w:w w:val="105"/>
                <w:sz w:val="21"/>
              </w:rPr>
              <w:t>não</w:t>
            </w:r>
            <w:r>
              <w:rPr>
                <w:rFonts w:ascii="Arial" w:hAnsi="Arial"/>
                <w:b/>
                <w:spacing w:val="-6"/>
                <w:w w:val="105"/>
                <w:sz w:val="21"/>
              </w:rPr>
              <w:t> </w:t>
            </w:r>
            <w:r>
              <w:rPr>
                <w:rFonts w:ascii="Arial" w:hAnsi="Arial"/>
                <w:b/>
                <w:spacing w:val="-2"/>
                <w:w w:val="105"/>
                <w:sz w:val="21"/>
              </w:rPr>
              <w:t>cardíaca</w:t>
            </w:r>
          </w:p>
        </w:tc>
        <w:tc>
          <w:tcPr>
            <w:tcW w:w="6366" w:type="dxa"/>
            <w:tcBorders>
              <w:bottom w:val="nil"/>
              <w:right w:val="nil"/>
            </w:tcBorders>
            <w:shd w:val="clear" w:color="auto" w:fill="EDECF3"/>
          </w:tcPr>
          <w:p>
            <w:pPr>
              <w:pStyle w:val="TableParagraph"/>
              <w:ind w:left="66"/>
              <w:rPr>
                <w:sz w:val="21"/>
              </w:rPr>
            </w:pPr>
            <w:r>
              <w:rPr>
                <w:w w:val="105"/>
                <w:sz w:val="21"/>
              </w:rPr>
              <w:t>Reúne</w:t>
            </w:r>
            <w:r>
              <w:rPr>
                <w:spacing w:val="22"/>
                <w:w w:val="105"/>
                <w:sz w:val="21"/>
              </w:rPr>
              <w:t> </w:t>
            </w:r>
            <w:r>
              <w:rPr>
                <w:w w:val="105"/>
                <w:sz w:val="21"/>
              </w:rPr>
              <w:t>uma</w:t>
            </w:r>
            <w:r>
              <w:rPr>
                <w:spacing w:val="23"/>
                <w:w w:val="105"/>
                <w:sz w:val="21"/>
              </w:rPr>
              <w:t> </w:t>
            </w:r>
            <w:r>
              <w:rPr>
                <w:w w:val="105"/>
                <w:sz w:val="21"/>
              </w:rPr>
              <w:t>ou</w:t>
            </w:r>
            <w:r>
              <w:rPr>
                <w:spacing w:val="23"/>
                <w:w w:val="105"/>
                <w:sz w:val="21"/>
              </w:rPr>
              <w:t> </w:t>
            </w:r>
            <w:r>
              <w:rPr>
                <w:w w:val="105"/>
                <w:sz w:val="21"/>
              </w:rPr>
              <w:t>nenhuma</w:t>
            </w:r>
            <w:r>
              <w:rPr>
                <w:spacing w:val="22"/>
                <w:w w:val="105"/>
                <w:sz w:val="21"/>
              </w:rPr>
              <w:t> </w:t>
            </w:r>
            <w:r>
              <w:rPr>
                <w:w w:val="105"/>
                <w:sz w:val="21"/>
              </w:rPr>
              <w:t>das</w:t>
            </w:r>
            <w:r>
              <w:rPr>
                <w:spacing w:val="18"/>
                <w:w w:val="105"/>
                <w:sz w:val="21"/>
              </w:rPr>
              <w:t> </w:t>
            </w:r>
            <w:r>
              <w:rPr>
                <w:w w:val="105"/>
                <w:sz w:val="21"/>
              </w:rPr>
              <w:t>características</w:t>
            </w:r>
            <w:r>
              <w:rPr>
                <w:spacing w:val="18"/>
                <w:w w:val="105"/>
                <w:sz w:val="21"/>
              </w:rPr>
              <w:t> </w:t>
            </w:r>
            <w:r>
              <w:rPr>
                <w:w w:val="105"/>
                <w:sz w:val="21"/>
              </w:rPr>
              <w:t>da</w:t>
            </w:r>
            <w:r>
              <w:rPr>
                <w:spacing w:val="23"/>
                <w:w w:val="105"/>
                <w:sz w:val="21"/>
              </w:rPr>
              <w:t> </w:t>
            </w:r>
            <w:r>
              <w:rPr>
                <w:spacing w:val="-2"/>
                <w:w w:val="105"/>
                <w:sz w:val="21"/>
              </w:rPr>
              <w:t>típica</w:t>
            </w:r>
          </w:p>
        </w:tc>
      </w:tr>
    </w:tbl>
    <w:p>
      <w:pPr>
        <w:pStyle w:val="BodyText"/>
        <w:spacing w:before="102"/>
        <w:ind w:left="0" w:firstLine="0"/>
        <w:jc w:val="left"/>
        <w:rPr>
          <w:rFonts w:ascii="Microsoft Sans Serif"/>
        </w:rPr>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6"/>
        </w:rPr>
        <w:t> </w:t>
      </w:r>
      <w:r>
        <w:rPr>
          <w:rFonts w:ascii="Arial" w:hAnsi="Arial"/>
          <w:b/>
          <w:color w:val="242B67"/>
        </w:rPr>
        <w:t>56.5</w:t>
      </w:r>
      <w:r>
        <w:rPr>
          <w:rFonts w:ascii="Arial" w:hAnsi="Arial"/>
          <w:b/>
          <w:color w:val="242B67"/>
          <w:spacing w:val="-7"/>
        </w:rPr>
        <w:t> </w:t>
      </w:r>
      <w:r>
        <w:rPr>
          <w:rFonts w:ascii="Microsoft Sans Serif" w:hAnsi="Microsoft Sans Serif"/>
        </w:rPr>
        <w:t>Classificação</w:t>
      </w:r>
      <w:r>
        <w:rPr>
          <w:rFonts w:ascii="Microsoft Sans Serif" w:hAnsi="Microsoft Sans Serif"/>
          <w:spacing w:val="-4"/>
        </w:rPr>
        <w:t> </w:t>
      </w:r>
      <w:r>
        <w:rPr>
          <w:rFonts w:ascii="Microsoft Sans Serif" w:hAnsi="Microsoft Sans Serif"/>
        </w:rPr>
        <w:t>da</w:t>
      </w:r>
      <w:r>
        <w:rPr>
          <w:rFonts w:ascii="Microsoft Sans Serif" w:hAnsi="Microsoft Sans Serif"/>
          <w:spacing w:val="-4"/>
        </w:rPr>
        <w:t> </w:t>
      </w:r>
      <w:r>
        <w:rPr>
          <w:rFonts w:ascii="Microsoft Sans Serif" w:hAnsi="Microsoft Sans Serif"/>
        </w:rPr>
        <w:t>angina</w:t>
      </w:r>
      <w:r>
        <w:rPr>
          <w:rFonts w:ascii="Microsoft Sans Serif" w:hAnsi="Microsoft Sans Serif"/>
          <w:spacing w:val="-3"/>
        </w:rPr>
        <w:t> </w:t>
      </w:r>
      <w:r>
        <w:rPr>
          <w:rFonts w:ascii="Microsoft Sans Serif" w:hAnsi="Microsoft Sans Serif"/>
        </w:rPr>
        <w:t>de</w:t>
      </w:r>
      <w:r>
        <w:rPr>
          <w:rFonts w:ascii="Microsoft Sans Serif" w:hAnsi="Microsoft Sans Serif"/>
          <w:spacing w:val="-4"/>
        </w:rPr>
        <w:t> </w:t>
      </w:r>
      <w:r>
        <w:rPr>
          <w:rFonts w:ascii="Microsoft Sans Serif" w:hAnsi="Microsoft Sans Serif"/>
        </w:rPr>
        <w:t>peito</w:t>
      </w:r>
      <w:r>
        <w:rPr>
          <w:rFonts w:ascii="Microsoft Sans Serif" w:hAnsi="Microsoft Sans Serif"/>
          <w:spacing w:val="-4"/>
        </w:rPr>
        <w:t> </w:t>
      </w:r>
      <w:r>
        <w:rPr>
          <w:rFonts w:ascii="Microsoft Sans Serif" w:hAnsi="Microsoft Sans Serif"/>
        </w:rPr>
        <w:t>da</w:t>
      </w:r>
      <w:r>
        <w:rPr>
          <w:rFonts w:ascii="Microsoft Sans Serif" w:hAnsi="Microsoft Sans Serif"/>
          <w:spacing w:val="-4"/>
        </w:rPr>
        <w:t> </w:t>
      </w:r>
      <w:r>
        <w:rPr>
          <w:rFonts w:ascii="Microsoft Sans Serif" w:hAnsi="Microsoft Sans Serif"/>
        </w:rPr>
        <w:t>Sociedade</w:t>
      </w:r>
      <w:r>
        <w:rPr>
          <w:rFonts w:ascii="Microsoft Sans Serif" w:hAnsi="Microsoft Sans Serif"/>
          <w:spacing w:val="-3"/>
        </w:rPr>
        <w:t> </w:t>
      </w:r>
      <w:r>
        <w:rPr>
          <w:rFonts w:ascii="Microsoft Sans Serif" w:hAnsi="Microsoft Sans Serif"/>
        </w:rPr>
        <w:t>Canadense</w:t>
      </w:r>
      <w:r>
        <w:rPr>
          <w:rFonts w:ascii="Microsoft Sans Serif" w:hAnsi="Microsoft Sans Serif"/>
          <w:spacing w:val="-4"/>
        </w:rPr>
        <w:t> </w:t>
      </w:r>
      <w:r>
        <w:rPr>
          <w:rFonts w:ascii="Microsoft Sans Serif" w:hAnsi="Microsoft Sans Serif"/>
        </w:rPr>
        <w:t>de</w:t>
      </w:r>
      <w:r>
        <w:rPr>
          <w:rFonts w:ascii="Microsoft Sans Serif" w:hAnsi="Microsoft Sans Serif"/>
          <w:spacing w:val="-4"/>
        </w:rPr>
        <w:t> </w:t>
      </w:r>
      <w:r>
        <w:rPr>
          <w:rFonts w:ascii="Microsoft Sans Serif" w:hAnsi="Microsoft Sans Serif"/>
          <w:spacing w:val="-2"/>
        </w:rPr>
        <w:t>Cardiologia.</w:t>
      </w:r>
    </w:p>
    <w:p>
      <w:pPr>
        <w:pStyle w:val="BodyText"/>
        <w:spacing w:before="5" w:after="1"/>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138"/>
        <w:gridCol w:w="8480"/>
      </w:tblGrid>
      <w:tr>
        <w:trPr>
          <w:trHeight w:val="734" w:hRule="atLeast"/>
        </w:trPr>
        <w:tc>
          <w:tcPr>
            <w:tcW w:w="2138" w:type="dxa"/>
            <w:tcBorders>
              <w:top w:val="nil"/>
              <w:left w:val="nil"/>
            </w:tcBorders>
            <w:shd w:val="clear" w:color="auto" w:fill="EDECF3"/>
          </w:tcPr>
          <w:p>
            <w:pPr>
              <w:pStyle w:val="TableParagraph"/>
              <w:spacing w:before="91"/>
              <w:ind w:left="67"/>
              <w:rPr>
                <w:rFonts w:ascii="Arial"/>
                <w:b/>
                <w:sz w:val="21"/>
              </w:rPr>
            </w:pPr>
            <w:r>
              <w:rPr>
                <w:rFonts w:ascii="Arial"/>
                <w:b/>
                <w:w w:val="105"/>
                <w:sz w:val="21"/>
              </w:rPr>
              <w:t>Classe</w:t>
            </w:r>
            <w:r>
              <w:rPr>
                <w:rFonts w:ascii="Arial"/>
                <w:b/>
                <w:spacing w:val="21"/>
                <w:w w:val="105"/>
                <w:sz w:val="21"/>
              </w:rPr>
              <w:t> </w:t>
            </w:r>
            <w:r>
              <w:rPr>
                <w:rFonts w:ascii="Arial"/>
                <w:b/>
                <w:spacing w:val="-10"/>
                <w:w w:val="105"/>
                <w:sz w:val="21"/>
              </w:rPr>
              <w:t>I</w:t>
            </w:r>
          </w:p>
        </w:tc>
        <w:tc>
          <w:tcPr>
            <w:tcW w:w="8480" w:type="dxa"/>
            <w:tcBorders>
              <w:top w:val="nil"/>
              <w:right w:val="nil"/>
            </w:tcBorders>
            <w:shd w:val="clear" w:color="auto" w:fill="EDECF3"/>
          </w:tcPr>
          <w:p>
            <w:pPr>
              <w:pStyle w:val="TableParagraph"/>
              <w:spacing w:line="307" w:lineRule="auto" w:before="94"/>
              <w:ind w:right="75"/>
              <w:rPr>
                <w:sz w:val="21"/>
              </w:rPr>
            </w:pPr>
            <w:r>
              <w:rPr>
                <w:w w:val="105"/>
                <w:sz w:val="21"/>
              </w:rPr>
              <w:t>Atividades</w:t>
            </w:r>
            <w:r>
              <w:rPr>
                <w:spacing w:val="23"/>
                <w:w w:val="105"/>
                <w:sz w:val="21"/>
              </w:rPr>
              <w:t> </w:t>
            </w:r>
            <w:r>
              <w:rPr>
                <w:w w:val="105"/>
                <w:sz w:val="21"/>
              </w:rPr>
              <w:t>físicas</w:t>
            </w:r>
            <w:r>
              <w:rPr>
                <w:spacing w:val="23"/>
                <w:w w:val="105"/>
                <w:sz w:val="21"/>
              </w:rPr>
              <w:t> </w:t>
            </w:r>
            <w:r>
              <w:rPr>
                <w:w w:val="105"/>
                <w:sz w:val="21"/>
              </w:rPr>
              <w:t>comuns</w:t>
            </w:r>
            <w:r>
              <w:rPr>
                <w:spacing w:val="23"/>
                <w:w w:val="105"/>
                <w:sz w:val="21"/>
              </w:rPr>
              <w:t> </w:t>
            </w:r>
            <w:r>
              <w:rPr>
                <w:w w:val="105"/>
                <w:sz w:val="21"/>
              </w:rPr>
              <w:t>não</w:t>
            </w:r>
            <w:r>
              <w:rPr>
                <w:spacing w:val="28"/>
                <w:w w:val="105"/>
                <w:sz w:val="21"/>
              </w:rPr>
              <w:t> </w:t>
            </w:r>
            <w:r>
              <w:rPr>
                <w:w w:val="105"/>
                <w:sz w:val="21"/>
              </w:rPr>
              <w:t>causam angina.</w:t>
            </w:r>
            <w:r>
              <w:rPr>
                <w:spacing w:val="23"/>
                <w:w w:val="105"/>
                <w:sz w:val="21"/>
              </w:rPr>
              <w:t> </w:t>
            </w:r>
            <w:r>
              <w:rPr>
                <w:w w:val="105"/>
                <w:sz w:val="21"/>
              </w:rPr>
              <w:t>Angina</w:t>
            </w:r>
            <w:r>
              <w:rPr>
                <w:spacing w:val="28"/>
                <w:w w:val="105"/>
                <w:sz w:val="21"/>
              </w:rPr>
              <w:t> </w:t>
            </w:r>
            <w:r>
              <w:rPr>
                <w:w w:val="105"/>
                <w:sz w:val="21"/>
              </w:rPr>
              <w:t>ocorre</w:t>
            </w:r>
            <w:r>
              <w:rPr>
                <w:spacing w:val="28"/>
                <w:w w:val="105"/>
                <w:sz w:val="21"/>
              </w:rPr>
              <w:t> </w:t>
            </w:r>
            <w:r>
              <w:rPr>
                <w:w w:val="105"/>
                <w:sz w:val="21"/>
              </w:rPr>
              <w:t>com esforço</w:t>
            </w:r>
            <w:r>
              <w:rPr>
                <w:spacing w:val="28"/>
                <w:w w:val="105"/>
                <w:sz w:val="21"/>
              </w:rPr>
              <w:t> </w:t>
            </w:r>
            <w:r>
              <w:rPr>
                <w:w w:val="105"/>
                <w:sz w:val="21"/>
              </w:rPr>
              <w:t>intenso e prolongado</w:t>
            </w:r>
          </w:p>
        </w:tc>
      </w:tr>
      <w:tr>
        <w:trPr>
          <w:trHeight w:val="428" w:hRule="atLeast"/>
        </w:trPr>
        <w:tc>
          <w:tcPr>
            <w:tcW w:w="2138" w:type="dxa"/>
            <w:tcBorders>
              <w:left w:val="nil"/>
            </w:tcBorders>
            <w:shd w:val="clear" w:color="auto" w:fill="EDECF3"/>
          </w:tcPr>
          <w:p>
            <w:pPr>
              <w:pStyle w:val="TableParagraph"/>
              <w:spacing w:before="89"/>
              <w:ind w:left="67"/>
              <w:rPr>
                <w:rFonts w:ascii="Arial"/>
                <w:b/>
                <w:sz w:val="21"/>
              </w:rPr>
            </w:pPr>
            <w:r>
              <w:rPr>
                <w:rFonts w:ascii="Arial"/>
                <w:b/>
                <w:w w:val="105"/>
                <w:sz w:val="21"/>
              </w:rPr>
              <w:t>Classe</w:t>
            </w:r>
            <w:r>
              <w:rPr>
                <w:rFonts w:ascii="Arial"/>
                <w:b/>
                <w:spacing w:val="21"/>
                <w:w w:val="105"/>
                <w:sz w:val="21"/>
              </w:rPr>
              <w:t> </w:t>
            </w:r>
            <w:r>
              <w:rPr>
                <w:rFonts w:ascii="Arial"/>
                <w:b/>
                <w:spacing w:val="-5"/>
                <w:w w:val="105"/>
                <w:sz w:val="21"/>
              </w:rPr>
              <w:t>II</w:t>
            </w:r>
          </w:p>
        </w:tc>
        <w:tc>
          <w:tcPr>
            <w:tcW w:w="8480" w:type="dxa"/>
            <w:tcBorders>
              <w:right w:val="nil"/>
            </w:tcBorders>
            <w:shd w:val="clear" w:color="auto" w:fill="EDECF3"/>
          </w:tcPr>
          <w:p>
            <w:pPr>
              <w:pStyle w:val="TableParagraph"/>
              <w:rPr>
                <w:sz w:val="21"/>
              </w:rPr>
            </w:pPr>
            <w:r>
              <w:rPr>
                <w:w w:val="105"/>
                <w:sz w:val="21"/>
              </w:rPr>
              <w:t>Leve</w:t>
            </w:r>
            <w:r>
              <w:rPr>
                <w:spacing w:val="18"/>
                <w:w w:val="105"/>
                <w:sz w:val="21"/>
              </w:rPr>
              <w:t> </w:t>
            </w:r>
            <w:r>
              <w:rPr>
                <w:w w:val="105"/>
                <w:sz w:val="21"/>
              </w:rPr>
              <w:t>limitação</w:t>
            </w:r>
            <w:r>
              <w:rPr>
                <w:spacing w:val="19"/>
                <w:w w:val="105"/>
                <w:sz w:val="21"/>
              </w:rPr>
              <w:t> </w:t>
            </w:r>
            <w:r>
              <w:rPr>
                <w:w w:val="105"/>
                <w:sz w:val="21"/>
              </w:rPr>
              <w:t>das</w:t>
            </w:r>
            <w:r>
              <w:rPr>
                <w:spacing w:val="14"/>
                <w:w w:val="105"/>
                <w:sz w:val="21"/>
              </w:rPr>
              <w:t> </w:t>
            </w:r>
            <w:r>
              <w:rPr>
                <w:w w:val="105"/>
                <w:sz w:val="21"/>
              </w:rPr>
              <w:t>atividades</w:t>
            </w:r>
            <w:r>
              <w:rPr>
                <w:spacing w:val="14"/>
                <w:w w:val="105"/>
                <w:sz w:val="21"/>
              </w:rPr>
              <w:t> </w:t>
            </w:r>
            <w:r>
              <w:rPr>
                <w:spacing w:val="-2"/>
                <w:w w:val="105"/>
                <w:sz w:val="21"/>
              </w:rPr>
              <w:t>habituais</w:t>
            </w:r>
          </w:p>
        </w:tc>
      </w:tr>
      <w:tr>
        <w:trPr>
          <w:trHeight w:val="428" w:hRule="atLeast"/>
        </w:trPr>
        <w:tc>
          <w:tcPr>
            <w:tcW w:w="2138" w:type="dxa"/>
            <w:tcBorders>
              <w:left w:val="nil"/>
            </w:tcBorders>
            <w:shd w:val="clear" w:color="auto" w:fill="EDECF3"/>
          </w:tcPr>
          <w:p>
            <w:pPr>
              <w:pStyle w:val="TableParagraph"/>
              <w:spacing w:before="89"/>
              <w:ind w:left="67"/>
              <w:rPr>
                <w:rFonts w:ascii="Arial"/>
                <w:b/>
                <w:sz w:val="21"/>
              </w:rPr>
            </w:pPr>
            <w:r>
              <w:rPr>
                <w:rFonts w:ascii="Arial"/>
                <w:b/>
                <w:w w:val="105"/>
                <w:sz w:val="21"/>
              </w:rPr>
              <w:t>Classe</w:t>
            </w:r>
            <w:r>
              <w:rPr>
                <w:rFonts w:ascii="Arial"/>
                <w:b/>
                <w:spacing w:val="21"/>
                <w:w w:val="105"/>
                <w:sz w:val="21"/>
              </w:rPr>
              <w:t> </w:t>
            </w:r>
            <w:r>
              <w:rPr>
                <w:rFonts w:ascii="Arial"/>
                <w:b/>
                <w:spacing w:val="-5"/>
                <w:w w:val="105"/>
                <w:sz w:val="21"/>
              </w:rPr>
              <w:t>III</w:t>
            </w:r>
          </w:p>
        </w:tc>
        <w:tc>
          <w:tcPr>
            <w:tcW w:w="8480" w:type="dxa"/>
            <w:tcBorders>
              <w:right w:val="nil"/>
            </w:tcBorders>
            <w:shd w:val="clear" w:color="auto" w:fill="EDECF3"/>
          </w:tcPr>
          <w:p>
            <w:pPr>
              <w:pStyle w:val="TableParagraph"/>
              <w:rPr>
                <w:sz w:val="21"/>
              </w:rPr>
            </w:pPr>
            <w:r>
              <w:rPr>
                <w:w w:val="105"/>
                <w:sz w:val="21"/>
              </w:rPr>
              <w:t>Grande</w:t>
            </w:r>
            <w:r>
              <w:rPr>
                <w:spacing w:val="21"/>
                <w:w w:val="105"/>
                <w:sz w:val="21"/>
              </w:rPr>
              <w:t> </w:t>
            </w:r>
            <w:r>
              <w:rPr>
                <w:w w:val="105"/>
                <w:sz w:val="21"/>
              </w:rPr>
              <w:t>limitação</w:t>
            </w:r>
            <w:r>
              <w:rPr>
                <w:spacing w:val="22"/>
                <w:w w:val="105"/>
                <w:sz w:val="21"/>
              </w:rPr>
              <w:t> </w:t>
            </w:r>
            <w:r>
              <w:rPr>
                <w:w w:val="105"/>
                <w:sz w:val="21"/>
              </w:rPr>
              <w:t>das</w:t>
            </w:r>
            <w:r>
              <w:rPr>
                <w:spacing w:val="17"/>
                <w:w w:val="105"/>
                <w:sz w:val="21"/>
              </w:rPr>
              <w:t> </w:t>
            </w:r>
            <w:r>
              <w:rPr>
                <w:w w:val="105"/>
                <w:sz w:val="21"/>
              </w:rPr>
              <w:t>atividades</w:t>
            </w:r>
            <w:r>
              <w:rPr>
                <w:spacing w:val="17"/>
                <w:w w:val="105"/>
                <w:sz w:val="21"/>
              </w:rPr>
              <w:t> </w:t>
            </w:r>
            <w:r>
              <w:rPr>
                <w:spacing w:val="-2"/>
                <w:w w:val="105"/>
                <w:sz w:val="21"/>
              </w:rPr>
              <w:t>habituais</w:t>
            </w:r>
          </w:p>
        </w:tc>
      </w:tr>
      <w:tr>
        <w:trPr>
          <w:trHeight w:val="374" w:hRule="atLeast"/>
        </w:trPr>
        <w:tc>
          <w:tcPr>
            <w:tcW w:w="2138" w:type="dxa"/>
            <w:tcBorders>
              <w:left w:val="nil"/>
              <w:bottom w:val="nil"/>
            </w:tcBorders>
            <w:shd w:val="clear" w:color="auto" w:fill="EDECF3"/>
          </w:tcPr>
          <w:p>
            <w:pPr>
              <w:pStyle w:val="TableParagraph"/>
              <w:spacing w:before="0"/>
              <w:ind w:left="0"/>
              <w:rPr>
                <w:rFonts w:ascii="Times New Roman"/>
                <w:sz w:val="22"/>
              </w:rPr>
            </w:pPr>
          </w:p>
        </w:tc>
        <w:tc>
          <w:tcPr>
            <w:tcW w:w="8480" w:type="dxa"/>
            <w:tcBorders>
              <w:bottom w:val="nil"/>
              <w:right w:val="nil"/>
            </w:tcBorders>
            <w:shd w:val="clear" w:color="auto" w:fill="EDECF3"/>
          </w:tcPr>
          <w:p>
            <w:pPr>
              <w:pStyle w:val="TableParagraph"/>
              <w:spacing w:before="0"/>
              <w:ind w:left="0"/>
              <w:rPr>
                <w:rFonts w:ascii="Times New Roman"/>
                <w:sz w:val="22"/>
              </w:rPr>
            </w:pPr>
          </w:p>
        </w:tc>
      </w:tr>
    </w:tbl>
    <w:p>
      <w:pPr>
        <w:pStyle w:val="TableParagraph"/>
        <w:spacing w:after="0"/>
        <w:rPr>
          <w:rFonts w:ascii="Times New Roman"/>
          <w:sz w:val="22"/>
        </w:rPr>
        <w:sectPr>
          <w:pgSz w:w="11900" w:h="16840"/>
          <w:pgMar w:top="280" w:bottom="0" w:left="566" w:right="141"/>
        </w:sectPr>
      </w:pPr>
    </w:p>
    <w:p>
      <w:pPr>
        <w:spacing w:line="240" w:lineRule="auto"/>
        <w:ind w:left="66" w:right="0" w:firstLine="0"/>
        <w:rPr>
          <w:rFonts w:ascii="Microsoft Sans Serif"/>
          <w:sz w:val="20"/>
        </w:rPr>
      </w:pPr>
      <w:r>
        <w:rPr>
          <w:rFonts w:ascii="Microsoft Sans Serif"/>
          <w:sz w:val="20"/>
        </w:rPr>
        <mc:AlternateContent>
          <mc:Choice Requires="wps">
            <w:drawing>
              <wp:inline distT="0" distB="0" distL="0" distR="0">
                <wp:extent cx="6732905" cy="462915"/>
                <wp:effectExtent l="9525" t="0" r="0" b="3809"/>
                <wp:docPr id="35" name="Group 35"/>
                <wp:cNvGraphicFramePr>
                  <a:graphicFrameLocks/>
                </wp:cNvGraphicFramePr>
                <a:graphic>
                  <a:graphicData uri="http://schemas.microsoft.com/office/word/2010/wordprocessingGroup">
                    <wpg:wgp>
                      <wpg:cNvPr id="35" name="Group 35"/>
                      <wpg:cNvGrpSpPr/>
                      <wpg:grpSpPr>
                        <a:xfrm>
                          <a:off x="0" y="0"/>
                          <a:ext cx="6732905" cy="462915"/>
                          <a:chExt cx="6732905" cy="462915"/>
                        </a:xfrm>
                      </wpg:grpSpPr>
                      <wps:wsp>
                        <wps:cNvPr id="36" name="Graphic 36"/>
                        <wps:cNvSpPr/>
                        <wps:spPr>
                          <a:xfrm>
                            <a:off x="-7" y="6"/>
                            <a:ext cx="6732905" cy="462915"/>
                          </a:xfrm>
                          <a:custGeom>
                            <a:avLst/>
                            <a:gdLst/>
                            <a:ahLst/>
                            <a:cxnLst/>
                            <a:rect l="l" t="t" r="r" b="b"/>
                            <a:pathLst>
                              <a:path w="6732905" h="462915">
                                <a:moveTo>
                                  <a:pt x="6732651" y="0"/>
                                </a:moveTo>
                                <a:lnTo>
                                  <a:pt x="1352638" y="0"/>
                                </a:lnTo>
                                <a:lnTo>
                                  <a:pt x="0" y="0"/>
                                </a:lnTo>
                                <a:lnTo>
                                  <a:pt x="0" y="462902"/>
                                </a:lnTo>
                                <a:lnTo>
                                  <a:pt x="1352638" y="462902"/>
                                </a:lnTo>
                                <a:lnTo>
                                  <a:pt x="6732651" y="462902"/>
                                </a:lnTo>
                                <a:lnTo>
                                  <a:pt x="6732651" y="0"/>
                                </a:lnTo>
                                <a:close/>
                              </a:path>
                            </a:pathLst>
                          </a:custGeom>
                          <a:solidFill>
                            <a:srgbClr val="EDECF3"/>
                          </a:solidFill>
                        </wps:spPr>
                        <wps:bodyPr wrap="square" lIns="0" tIns="0" rIns="0" bIns="0" rtlCol="0">
                          <a:prstTxWarp prst="textNoShape">
                            <a:avLst/>
                          </a:prstTxWarp>
                          <a:noAutofit/>
                        </wps:bodyPr>
                      </wps:wsp>
                      <wps:wsp>
                        <wps:cNvPr id="37" name="Textbox 37"/>
                        <wps:cNvSpPr txBox="1"/>
                        <wps:spPr>
                          <a:xfrm>
                            <a:off x="43064" y="52924"/>
                            <a:ext cx="654685" cy="154940"/>
                          </a:xfrm>
                          <a:prstGeom prst="rect">
                            <a:avLst/>
                          </a:prstGeom>
                        </wps:spPr>
                        <wps:txbx>
                          <w:txbxContent>
                            <w:p>
                              <w:pPr>
                                <w:spacing w:before="0"/>
                                <w:ind w:left="0" w:right="0" w:firstLine="0"/>
                                <w:jc w:val="left"/>
                                <w:rPr>
                                  <w:rFonts w:ascii="Arial"/>
                                  <w:b/>
                                  <w:sz w:val="21"/>
                                </w:rPr>
                              </w:pPr>
                              <w:r>
                                <w:rPr>
                                  <w:rFonts w:ascii="Arial"/>
                                  <w:b/>
                                  <w:w w:val="105"/>
                                  <w:sz w:val="21"/>
                                </w:rPr>
                                <w:t>Classe</w:t>
                              </w:r>
                              <w:r>
                                <w:rPr>
                                  <w:rFonts w:ascii="Arial"/>
                                  <w:b/>
                                  <w:spacing w:val="21"/>
                                  <w:w w:val="105"/>
                                  <w:sz w:val="21"/>
                                </w:rPr>
                                <w:t> </w:t>
                              </w:r>
                              <w:r>
                                <w:rPr>
                                  <w:rFonts w:ascii="Arial"/>
                                  <w:b/>
                                  <w:spacing w:val="-5"/>
                                  <w:w w:val="105"/>
                                  <w:sz w:val="21"/>
                                </w:rPr>
                                <w:t>IV</w:t>
                              </w:r>
                            </w:p>
                          </w:txbxContent>
                        </wps:txbx>
                        <wps:bodyPr wrap="square" lIns="0" tIns="0" rIns="0" bIns="0" rtlCol="0">
                          <a:noAutofit/>
                        </wps:bodyPr>
                      </wps:wsp>
                      <wps:wsp>
                        <wps:cNvPr id="38" name="Textbox 38"/>
                        <wps:cNvSpPr txBox="1"/>
                        <wps:spPr>
                          <a:xfrm>
                            <a:off x="1405865" y="52924"/>
                            <a:ext cx="4878705" cy="347980"/>
                          </a:xfrm>
                          <a:prstGeom prst="rect">
                            <a:avLst/>
                          </a:prstGeom>
                        </wps:spPr>
                        <wps:txbx>
                          <w:txbxContent>
                            <w:p>
                              <w:pPr>
                                <w:spacing w:before="3"/>
                                <w:ind w:left="0" w:right="0" w:firstLine="0"/>
                                <w:jc w:val="left"/>
                                <w:rPr>
                                  <w:rFonts w:ascii="Microsoft Sans Serif"/>
                                  <w:sz w:val="21"/>
                                </w:rPr>
                              </w:pPr>
                              <w:r>
                                <w:rPr>
                                  <w:rFonts w:ascii="Microsoft Sans Serif"/>
                                  <w:w w:val="105"/>
                                  <w:sz w:val="21"/>
                                </w:rPr>
                                <w:t>Incapacidade</w:t>
                              </w:r>
                              <w:r>
                                <w:rPr>
                                  <w:rFonts w:ascii="Microsoft Sans Serif"/>
                                  <w:spacing w:val="30"/>
                                  <w:w w:val="105"/>
                                  <w:sz w:val="21"/>
                                </w:rPr>
                                <w:t> </w:t>
                              </w:r>
                              <w:r>
                                <w:rPr>
                                  <w:rFonts w:ascii="Microsoft Sans Serif"/>
                                  <w:w w:val="105"/>
                                  <w:sz w:val="21"/>
                                </w:rPr>
                                <w:t>de</w:t>
                              </w:r>
                              <w:r>
                                <w:rPr>
                                  <w:rFonts w:ascii="Microsoft Sans Serif"/>
                                  <w:spacing w:val="30"/>
                                  <w:w w:val="105"/>
                                  <w:sz w:val="21"/>
                                </w:rPr>
                                <w:t> </w:t>
                              </w:r>
                              <w:r>
                                <w:rPr>
                                  <w:rFonts w:ascii="Microsoft Sans Serif"/>
                                  <w:w w:val="105"/>
                                  <w:sz w:val="21"/>
                                </w:rPr>
                                <w:t>desempenhar</w:t>
                              </w:r>
                              <w:r>
                                <w:rPr>
                                  <w:rFonts w:ascii="Microsoft Sans Serif"/>
                                  <w:spacing w:val="30"/>
                                  <w:w w:val="105"/>
                                  <w:sz w:val="21"/>
                                </w:rPr>
                                <w:t> </w:t>
                              </w:r>
                              <w:r>
                                <w:rPr>
                                  <w:rFonts w:ascii="Microsoft Sans Serif"/>
                                  <w:w w:val="105"/>
                                  <w:sz w:val="21"/>
                                </w:rPr>
                                <w:t>qualquer</w:t>
                              </w:r>
                              <w:r>
                                <w:rPr>
                                  <w:rFonts w:ascii="Microsoft Sans Serif"/>
                                  <w:spacing w:val="31"/>
                                  <w:w w:val="105"/>
                                  <w:sz w:val="21"/>
                                </w:rPr>
                                <w:t> </w:t>
                              </w:r>
                              <w:r>
                                <w:rPr>
                                  <w:rFonts w:ascii="Microsoft Sans Serif"/>
                                  <w:w w:val="105"/>
                                  <w:sz w:val="21"/>
                                </w:rPr>
                                <w:t>atividade.</w:t>
                              </w:r>
                              <w:r>
                                <w:rPr>
                                  <w:rFonts w:ascii="Microsoft Sans Serif"/>
                                  <w:spacing w:val="25"/>
                                  <w:w w:val="105"/>
                                  <w:sz w:val="21"/>
                                </w:rPr>
                                <w:t> </w:t>
                              </w:r>
                              <w:r>
                                <w:rPr>
                                  <w:rFonts w:ascii="Microsoft Sans Serif"/>
                                  <w:w w:val="105"/>
                                  <w:sz w:val="21"/>
                                </w:rPr>
                                <w:t>Angina</w:t>
                              </w:r>
                              <w:r>
                                <w:rPr>
                                  <w:rFonts w:ascii="Microsoft Sans Serif"/>
                                  <w:spacing w:val="30"/>
                                  <w:w w:val="105"/>
                                  <w:sz w:val="21"/>
                                </w:rPr>
                                <w:t> </w:t>
                              </w:r>
                              <w:r>
                                <w:rPr>
                                  <w:rFonts w:ascii="Microsoft Sans Serif"/>
                                  <w:w w:val="105"/>
                                  <w:sz w:val="21"/>
                                </w:rPr>
                                <w:t>pode</w:t>
                              </w:r>
                              <w:r>
                                <w:rPr>
                                  <w:rFonts w:ascii="Microsoft Sans Serif"/>
                                  <w:spacing w:val="31"/>
                                  <w:w w:val="105"/>
                                  <w:sz w:val="21"/>
                                </w:rPr>
                                <w:t> </w:t>
                              </w:r>
                              <w:r>
                                <w:rPr>
                                  <w:rFonts w:ascii="Microsoft Sans Serif"/>
                                  <w:w w:val="105"/>
                                  <w:sz w:val="21"/>
                                </w:rPr>
                                <w:t>ocorrer</w:t>
                              </w:r>
                              <w:r>
                                <w:rPr>
                                  <w:rFonts w:ascii="Microsoft Sans Serif"/>
                                  <w:spacing w:val="30"/>
                                  <w:w w:val="105"/>
                                  <w:sz w:val="21"/>
                                </w:rPr>
                                <w:t> </w:t>
                              </w:r>
                              <w:r>
                                <w:rPr>
                                  <w:rFonts w:ascii="Microsoft Sans Serif"/>
                                  <w:spacing w:val="-5"/>
                                  <w:w w:val="105"/>
                                  <w:sz w:val="21"/>
                                </w:rPr>
                                <w:t>em</w:t>
                              </w:r>
                            </w:p>
                            <w:p>
                              <w:pPr>
                                <w:spacing w:before="67"/>
                                <w:ind w:left="0" w:right="0" w:firstLine="0"/>
                                <w:jc w:val="left"/>
                                <w:rPr>
                                  <w:rFonts w:ascii="Microsoft Sans Serif"/>
                                  <w:sz w:val="21"/>
                                </w:rPr>
                              </w:pPr>
                              <w:r>
                                <w:rPr>
                                  <w:rFonts w:ascii="Microsoft Sans Serif"/>
                                  <w:spacing w:val="-2"/>
                                  <w:w w:val="105"/>
                                  <w:sz w:val="21"/>
                                </w:rPr>
                                <w:t>repouso</w:t>
                              </w:r>
                            </w:p>
                          </w:txbxContent>
                        </wps:txbx>
                        <wps:bodyPr wrap="square" lIns="0" tIns="0" rIns="0" bIns="0" rtlCol="0">
                          <a:noAutofit/>
                        </wps:bodyPr>
                      </wps:wsp>
                    </wpg:wgp>
                  </a:graphicData>
                </a:graphic>
              </wp:inline>
            </w:drawing>
          </mc:Choice>
          <mc:Fallback>
            <w:pict>
              <v:group style="width:530.15pt;height:36.450pt;mso-position-horizontal-relative:char;mso-position-vertical-relative:line" id="docshapegroup24" coordorigin="0,0" coordsize="10603,729">
                <v:shape style="position:absolute;left:-1;top:0;width:10603;height:729" id="docshape25" coordorigin="0,0" coordsize="10603,729" path="m10603,0l2130,0,0,0,0,729,2130,729,10603,729,10603,0xe" filled="true" fillcolor="#edecf3" stroked="false">
                  <v:path arrowok="t"/>
                  <v:fill type="solid"/>
                </v:shape>
                <v:shape style="position:absolute;left:67;top:83;width:1031;height:244" type="#_x0000_t202" id="docshape26" filled="false" stroked="false">
                  <v:textbox inset="0,0,0,0">
                    <w:txbxContent>
                      <w:p>
                        <w:pPr>
                          <w:spacing w:before="0"/>
                          <w:ind w:left="0" w:right="0" w:firstLine="0"/>
                          <w:jc w:val="left"/>
                          <w:rPr>
                            <w:rFonts w:ascii="Arial"/>
                            <w:b/>
                            <w:sz w:val="21"/>
                          </w:rPr>
                        </w:pPr>
                        <w:r>
                          <w:rPr>
                            <w:rFonts w:ascii="Arial"/>
                            <w:b/>
                            <w:w w:val="105"/>
                            <w:sz w:val="21"/>
                          </w:rPr>
                          <w:t>Classe</w:t>
                        </w:r>
                        <w:r>
                          <w:rPr>
                            <w:rFonts w:ascii="Arial"/>
                            <w:b/>
                            <w:spacing w:val="21"/>
                            <w:w w:val="105"/>
                            <w:sz w:val="21"/>
                          </w:rPr>
                          <w:t> </w:t>
                        </w:r>
                        <w:r>
                          <w:rPr>
                            <w:rFonts w:ascii="Arial"/>
                            <w:b/>
                            <w:spacing w:val="-5"/>
                            <w:w w:val="105"/>
                            <w:sz w:val="21"/>
                          </w:rPr>
                          <w:t>IV</w:t>
                        </w:r>
                      </w:p>
                    </w:txbxContent>
                  </v:textbox>
                  <w10:wrap type="none"/>
                </v:shape>
                <v:shape style="position:absolute;left:2213;top:83;width:7683;height:548" type="#_x0000_t202" id="docshape27" filled="false" stroked="false">
                  <v:textbox inset="0,0,0,0">
                    <w:txbxContent>
                      <w:p>
                        <w:pPr>
                          <w:spacing w:before="3"/>
                          <w:ind w:left="0" w:right="0" w:firstLine="0"/>
                          <w:jc w:val="left"/>
                          <w:rPr>
                            <w:rFonts w:ascii="Microsoft Sans Serif"/>
                            <w:sz w:val="21"/>
                          </w:rPr>
                        </w:pPr>
                        <w:r>
                          <w:rPr>
                            <w:rFonts w:ascii="Microsoft Sans Serif"/>
                            <w:w w:val="105"/>
                            <w:sz w:val="21"/>
                          </w:rPr>
                          <w:t>Incapacidade</w:t>
                        </w:r>
                        <w:r>
                          <w:rPr>
                            <w:rFonts w:ascii="Microsoft Sans Serif"/>
                            <w:spacing w:val="30"/>
                            <w:w w:val="105"/>
                            <w:sz w:val="21"/>
                          </w:rPr>
                          <w:t> </w:t>
                        </w:r>
                        <w:r>
                          <w:rPr>
                            <w:rFonts w:ascii="Microsoft Sans Serif"/>
                            <w:w w:val="105"/>
                            <w:sz w:val="21"/>
                          </w:rPr>
                          <w:t>de</w:t>
                        </w:r>
                        <w:r>
                          <w:rPr>
                            <w:rFonts w:ascii="Microsoft Sans Serif"/>
                            <w:spacing w:val="30"/>
                            <w:w w:val="105"/>
                            <w:sz w:val="21"/>
                          </w:rPr>
                          <w:t> </w:t>
                        </w:r>
                        <w:r>
                          <w:rPr>
                            <w:rFonts w:ascii="Microsoft Sans Serif"/>
                            <w:w w:val="105"/>
                            <w:sz w:val="21"/>
                          </w:rPr>
                          <w:t>desempenhar</w:t>
                        </w:r>
                        <w:r>
                          <w:rPr>
                            <w:rFonts w:ascii="Microsoft Sans Serif"/>
                            <w:spacing w:val="30"/>
                            <w:w w:val="105"/>
                            <w:sz w:val="21"/>
                          </w:rPr>
                          <w:t> </w:t>
                        </w:r>
                        <w:r>
                          <w:rPr>
                            <w:rFonts w:ascii="Microsoft Sans Serif"/>
                            <w:w w:val="105"/>
                            <w:sz w:val="21"/>
                          </w:rPr>
                          <w:t>qualquer</w:t>
                        </w:r>
                        <w:r>
                          <w:rPr>
                            <w:rFonts w:ascii="Microsoft Sans Serif"/>
                            <w:spacing w:val="31"/>
                            <w:w w:val="105"/>
                            <w:sz w:val="21"/>
                          </w:rPr>
                          <w:t> </w:t>
                        </w:r>
                        <w:r>
                          <w:rPr>
                            <w:rFonts w:ascii="Microsoft Sans Serif"/>
                            <w:w w:val="105"/>
                            <w:sz w:val="21"/>
                          </w:rPr>
                          <w:t>atividade.</w:t>
                        </w:r>
                        <w:r>
                          <w:rPr>
                            <w:rFonts w:ascii="Microsoft Sans Serif"/>
                            <w:spacing w:val="25"/>
                            <w:w w:val="105"/>
                            <w:sz w:val="21"/>
                          </w:rPr>
                          <w:t> </w:t>
                        </w:r>
                        <w:r>
                          <w:rPr>
                            <w:rFonts w:ascii="Microsoft Sans Serif"/>
                            <w:w w:val="105"/>
                            <w:sz w:val="21"/>
                          </w:rPr>
                          <w:t>Angina</w:t>
                        </w:r>
                        <w:r>
                          <w:rPr>
                            <w:rFonts w:ascii="Microsoft Sans Serif"/>
                            <w:spacing w:val="30"/>
                            <w:w w:val="105"/>
                            <w:sz w:val="21"/>
                          </w:rPr>
                          <w:t> </w:t>
                        </w:r>
                        <w:r>
                          <w:rPr>
                            <w:rFonts w:ascii="Microsoft Sans Serif"/>
                            <w:w w:val="105"/>
                            <w:sz w:val="21"/>
                          </w:rPr>
                          <w:t>pode</w:t>
                        </w:r>
                        <w:r>
                          <w:rPr>
                            <w:rFonts w:ascii="Microsoft Sans Serif"/>
                            <w:spacing w:val="31"/>
                            <w:w w:val="105"/>
                            <w:sz w:val="21"/>
                          </w:rPr>
                          <w:t> </w:t>
                        </w:r>
                        <w:r>
                          <w:rPr>
                            <w:rFonts w:ascii="Microsoft Sans Serif"/>
                            <w:w w:val="105"/>
                            <w:sz w:val="21"/>
                          </w:rPr>
                          <w:t>ocorrer</w:t>
                        </w:r>
                        <w:r>
                          <w:rPr>
                            <w:rFonts w:ascii="Microsoft Sans Serif"/>
                            <w:spacing w:val="30"/>
                            <w:w w:val="105"/>
                            <w:sz w:val="21"/>
                          </w:rPr>
                          <w:t> </w:t>
                        </w:r>
                        <w:r>
                          <w:rPr>
                            <w:rFonts w:ascii="Microsoft Sans Serif"/>
                            <w:spacing w:val="-5"/>
                            <w:w w:val="105"/>
                            <w:sz w:val="21"/>
                          </w:rPr>
                          <w:t>em</w:t>
                        </w:r>
                      </w:p>
                      <w:p>
                        <w:pPr>
                          <w:spacing w:before="67"/>
                          <w:ind w:left="0" w:right="0" w:firstLine="0"/>
                          <w:jc w:val="left"/>
                          <w:rPr>
                            <w:rFonts w:ascii="Microsoft Sans Serif"/>
                            <w:sz w:val="21"/>
                          </w:rPr>
                        </w:pPr>
                        <w:r>
                          <w:rPr>
                            <w:rFonts w:ascii="Microsoft Sans Serif"/>
                            <w:spacing w:val="-2"/>
                            <w:w w:val="105"/>
                            <w:sz w:val="21"/>
                          </w:rPr>
                          <w:t>repouso</w:t>
                        </w:r>
                      </w:p>
                    </w:txbxContent>
                  </v:textbox>
                  <w10:wrap type="none"/>
                </v:shape>
              </v:group>
            </w:pict>
          </mc:Fallback>
        </mc:AlternateContent>
      </w:r>
      <w:r>
        <w:rPr>
          <w:rFonts w:ascii="Microsoft Sans Serif"/>
          <w:sz w:val="20"/>
        </w:rPr>
      </w:r>
    </w:p>
    <w:p>
      <w:pPr>
        <w:pStyle w:val="BodyText"/>
        <w:spacing w:line="278" w:lineRule="auto" w:before="122"/>
        <w:ind w:right="488"/>
      </w:pPr>
      <w:r>
        <w:rPr/>
        <w:t>O eletrocardiograma de esforço é o método complementar mais utilizado no diagnóstico, prognóstico e para a análise dos tipos de tratamento da insuficiência coronária crônica, sendo caminhar na esteira rolante o modo mais utilizado e o de melhor mimetismo com as atividades físicas habituais. Com sensibilidade de 55 a 70% e especificidade</w:t>
      </w:r>
      <w:r>
        <w:rPr>
          <w:spacing w:val="-7"/>
        </w:rPr>
        <w:t> </w:t>
      </w:r>
      <w:r>
        <w:rPr/>
        <w:t>em</w:t>
      </w:r>
      <w:r>
        <w:rPr>
          <w:spacing w:val="-4"/>
        </w:rPr>
        <w:t> </w:t>
      </w:r>
      <w:r>
        <w:rPr/>
        <w:t>torno</w:t>
      </w:r>
      <w:r>
        <w:rPr>
          <w:spacing w:val="-4"/>
        </w:rPr>
        <w:t> </w:t>
      </w:r>
      <w:r>
        <w:rPr/>
        <w:t>de</w:t>
      </w:r>
      <w:r>
        <w:rPr>
          <w:spacing w:val="-7"/>
        </w:rPr>
        <w:t> </w:t>
      </w:r>
      <w:r>
        <w:rPr/>
        <w:t>85%, é</w:t>
      </w:r>
      <w:r>
        <w:rPr>
          <w:spacing w:val="-7"/>
        </w:rPr>
        <w:t> </w:t>
      </w:r>
      <w:r>
        <w:rPr/>
        <w:t>o</w:t>
      </w:r>
      <w:r>
        <w:rPr>
          <w:spacing w:val="-4"/>
        </w:rPr>
        <w:t> </w:t>
      </w:r>
      <w:r>
        <w:rPr/>
        <w:t>método</w:t>
      </w:r>
      <w:r>
        <w:rPr>
          <w:spacing w:val="-4"/>
        </w:rPr>
        <w:t> </w:t>
      </w:r>
      <w:r>
        <w:rPr/>
        <w:t>mais adequado</w:t>
      </w:r>
      <w:r>
        <w:rPr>
          <w:spacing w:val="-4"/>
        </w:rPr>
        <w:t> </w:t>
      </w:r>
      <w:r>
        <w:rPr/>
        <w:t>para</w:t>
      </w:r>
      <w:r>
        <w:rPr>
          <w:spacing w:val="-7"/>
        </w:rPr>
        <w:t> </w:t>
      </w:r>
      <w:r>
        <w:rPr/>
        <w:t>avaliação</w:t>
      </w:r>
      <w:r>
        <w:rPr>
          <w:spacing w:val="-4"/>
        </w:rPr>
        <w:t> </w:t>
      </w:r>
      <w:r>
        <w:rPr/>
        <w:t>populacional. O</w:t>
      </w:r>
      <w:r>
        <w:rPr>
          <w:spacing w:val="-7"/>
        </w:rPr>
        <w:t> </w:t>
      </w:r>
      <w:r>
        <w:rPr/>
        <w:t>principal</w:t>
      </w:r>
      <w:r>
        <w:rPr>
          <w:spacing w:val="-1"/>
        </w:rPr>
        <w:t> </w:t>
      </w:r>
      <w:r>
        <w:rPr/>
        <w:t>critério</w:t>
      </w:r>
      <w:r>
        <w:rPr>
          <w:spacing w:val="-4"/>
        </w:rPr>
        <w:t> </w:t>
      </w:r>
      <w:r>
        <w:rPr/>
        <w:t>para</w:t>
      </w:r>
      <w:r>
        <w:rPr>
          <w:spacing w:val="-7"/>
        </w:rPr>
        <w:t> </w:t>
      </w:r>
      <w:r>
        <w:rPr/>
        <w:t>o diagnóstico de</w:t>
      </w:r>
      <w:r>
        <w:rPr>
          <w:spacing w:val="-2"/>
        </w:rPr>
        <w:t> </w:t>
      </w:r>
      <w:r>
        <w:rPr/>
        <w:t>isquemia</w:t>
      </w:r>
      <w:r>
        <w:rPr>
          <w:spacing w:val="-2"/>
        </w:rPr>
        <w:t> </w:t>
      </w:r>
      <w:r>
        <w:rPr/>
        <w:t>miocárdica</w:t>
      </w:r>
      <w:r>
        <w:rPr>
          <w:spacing w:val="-2"/>
        </w:rPr>
        <w:t> </w:t>
      </w:r>
      <w:r>
        <w:rPr/>
        <w:t>é</w:t>
      </w:r>
      <w:r>
        <w:rPr>
          <w:spacing w:val="-2"/>
        </w:rPr>
        <w:t> </w:t>
      </w:r>
      <w:r>
        <w:rPr/>
        <w:t>o infradesnivelamento transitório do segmento ST &lt; 1 mm. A</w:t>
      </w:r>
      <w:r>
        <w:rPr>
          <w:spacing w:val="-2"/>
        </w:rPr>
        <w:t> </w:t>
      </w:r>
      <w:r>
        <w:rPr/>
        <w:t>concomitância com outros sinais e sintomas durante o exame melhora a sensibilidade do método. É importante salientar que esse teste possibilita reconhecer os pacientes de alto risco (testes alterados com carga baixa, existência de hipotensão e congestão pulmonar) com probabilidade</w:t>
      </w:r>
      <w:r>
        <w:rPr>
          <w:spacing w:val="-1"/>
        </w:rPr>
        <w:t> </w:t>
      </w:r>
      <w:r>
        <w:rPr/>
        <w:t>de</w:t>
      </w:r>
      <w:r>
        <w:rPr>
          <w:spacing w:val="-1"/>
        </w:rPr>
        <w:t> </w:t>
      </w:r>
      <w:r>
        <w:rPr/>
        <w:t>infarto e/ou morte, nesses casos, maior até</w:t>
      </w:r>
      <w:r>
        <w:rPr>
          <w:spacing w:val="-1"/>
        </w:rPr>
        <w:t> </w:t>
      </w:r>
      <w:r>
        <w:rPr/>
        <w:t>que</w:t>
      </w:r>
      <w:r>
        <w:rPr>
          <w:spacing w:val="-1"/>
        </w:rPr>
        <w:t> </w:t>
      </w:r>
      <w:r>
        <w:rPr/>
        <w:t>20% em 1 ano.</w:t>
      </w:r>
      <w:r>
        <w:rPr>
          <w:vertAlign w:val="superscript"/>
        </w:rPr>
        <w:t>44</w:t>
      </w:r>
    </w:p>
    <w:p>
      <w:pPr>
        <w:pStyle w:val="BodyText"/>
        <w:spacing w:line="278" w:lineRule="auto" w:before="60"/>
        <w:ind w:right="488"/>
      </w:pPr>
      <w:r>
        <w:rPr/>
        <w:t>O</w:t>
      </w:r>
      <w:r>
        <w:rPr>
          <w:spacing w:val="-5"/>
        </w:rPr>
        <w:t> </w:t>
      </w:r>
      <w:r>
        <w:rPr/>
        <w:t>ecocardiograma</w:t>
      </w:r>
      <w:r>
        <w:rPr>
          <w:spacing w:val="-5"/>
        </w:rPr>
        <w:t> </w:t>
      </w:r>
      <w:r>
        <w:rPr/>
        <w:t>de</w:t>
      </w:r>
      <w:r>
        <w:rPr>
          <w:spacing w:val="-5"/>
        </w:rPr>
        <w:t> </w:t>
      </w:r>
      <w:r>
        <w:rPr/>
        <w:t>repouso</w:t>
      </w:r>
      <w:r>
        <w:rPr>
          <w:spacing w:val="-3"/>
        </w:rPr>
        <w:t> </w:t>
      </w:r>
      <w:r>
        <w:rPr/>
        <w:t>pode</w:t>
      </w:r>
      <w:r>
        <w:rPr>
          <w:spacing w:val="-5"/>
        </w:rPr>
        <w:t> </w:t>
      </w:r>
      <w:r>
        <w:rPr/>
        <w:t>ser útil para</w:t>
      </w:r>
      <w:r>
        <w:rPr>
          <w:spacing w:val="-5"/>
        </w:rPr>
        <w:t> </w:t>
      </w:r>
      <w:r>
        <w:rPr/>
        <w:t>mostrar alterações da</w:t>
      </w:r>
      <w:r>
        <w:rPr>
          <w:spacing w:val="-5"/>
        </w:rPr>
        <w:t> </w:t>
      </w:r>
      <w:r>
        <w:rPr/>
        <w:t>contratilidade</w:t>
      </w:r>
      <w:r>
        <w:rPr>
          <w:spacing w:val="-5"/>
        </w:rPr>
        <w:t> </w:t>
      </w:r>
      <w:r>
        <w:rPr/>
        <w:t>segmentar miocárdica, que é</w:t>
      </w:r>
      <w:r>
        <w:rPr>
          <w:spacing w:val="-9"/>
        </w:rPr>
        <w:t> </w:t>
      </w:r>
      <w:r>
        <w:rPr/>
        <w:t>compatível</w:t>
      </w:r>
      <w:r>
        <w:rPr>
          <w:spacing w:val="-5"/>
        </w:rPr>
        <w:t> </w:t>
      </w:r>
      <w:r>
        <w:rPr/>
        <w:t>com</w:t>
      </w:r>
      <w:r>
        <w:rPr>
          <w:spacing w:val="-7"/>
        </w:rPr>
        <w:t> </w:t>
      </w:r>
      <w:r>
        <w:rPr/>
        <w:t>sequela</w:t>
      </w:r>
      <w:r>
        <w:rPr>
          <w:spacing w:val="-9"/>
        </w:rPr>
        <w:t> </w:t>
      </w:r>
      <w:r>
        <w:rPr/>
        <w:t>regional, característica</w:t>
      </w:r>
      <w:r>
        <w:rPr>
          <w:spacing w:val="-9"/>
        </w:rPr>
        <w:t> </w:t>
      </w:r>
      <w:r>
        <w:rPr/>
        <w:t>da</w:t>
      </w:r>
      <w:r>
        <w:rPr>
          <w:spacing w:val="-9"/>
        </w:rPr>
        <w:t> </w:t>
      </w:r>
      <w:r>
        <w:rPr/>
        <w:t>ocorrência</w:t>
      </w:r>
      <w:r>
        <w:rPr>
          <w:spacing w:val="-9"/>
        </w:rPr>
        <w:t> </w:t>
      </w:r>
      <w:r>
        <w:rPr/>
        <w:t>da</w:t>
      </w:r>
      <w:r>
        <w:rPr>
          <w:spacing w:val="-9"/>
        </w:rPr>
        <w:t> </w:t>
      </w:r>
      <w:r>
        <w:rPr/>
        <w:t>doença</w:t>
      </w:r>
      <w:r>
        <w:rPr>
          <w:spacing w:val="-9"/>
        </w:rPr>
        <w:t> </w:t>
      </w:r>
      <w:r>
        <w:rPr/>
        <w:t>coronária. Um</w:t>
      </w:r>
      <w:r>
        <w:rPr>
          <w:spacing w:val="-7"/>
        </w:rPr>
        <w:t> </w:t>
      </w:r>
      <w:r>
        <w:rPr/>
        <w:t>exame</w:t>
      </w:r>
      <w:r>
        <w:rPr>
          <w:spacing w:val="-9"/>
        </w:rPr>
        <w:t> </w:t>
      </w:r>
      <w:r>
        <w:rPr/>
        <w:t>normal</w:t>
      </w:r>
      <w:r>
        <w:rPr>
          <w:spacing w:val="-5"/>
        </w:rPr>
        <w:t> </w:t>
      </w:r>
      <w:r>
        <w:rPr/>
        <w:t>não</w:t>
      </w:r>
      <w:r>
        <w:rPr>
          <w:spacing w:val="-7"/>
        </w:rPr>
        <w:t> </w:t>
      </w:r>
      <w:r>
        <w:rPr/>
        <w:t>afasta</w:t>
      </w:r>
      <w:r>
        <w:rPr>
          <w:spacing w:val="-9"/>
        </w:rPr>
        <w:t> </w:t>
      </w:r>
      <w:r>
        <w:rPr/>
        <w:t>a doença,</w:t>
      </w:r>
      <w:r>
        <w:rPr>
          <w:spacing w:val="-1"/>
        </w:rPr>
        <w:t> </w:t>
      </w:r>
      <w:r>
        <w:rPr/>
        <w:t>sendo</w:t>
      </w:r>
      <w:r>
        <w:rPr>
          <w:spacing w:val="-9"/>
        </w:rPr>
        <w:t> </w:t>
      </w:r>
      <w:r>
        <w:rPr/>
        <w:t>importante</w:t>
      </w:r>
      <w:r>
        <w:rPr>
          <w:spacing w:val="-11"/>
        </w:rPr>
        <w:t> </w:t>
      </w:r>
      <w:r>
        <w:rPr/>
        <w:t>avaliar</w:t>
      </w:r>
      <w:r>
        <w:rPr>
          <w:spacing w:val="-3"/>
        </w:rPr>
        <w:t> </w:t>
      </w:r>
      <w:r>
        <w:rPr/>
        <w:t>a</w:t>
      </w:r>
      <w:r>
        <w:rPr>
          <w:spacing w:val="-11"/>
        </w:rPr>
        <w:t> </w:t>
      </w:r>
      <w:r>
        <w:rPr/>
        <w:t>função</w:t>
      </w:r>
      <w:r>
        <w:rPr>
          <w:spacing w:val="-9"/>
        </w:rPr>
        <w:t> </w:t>
      </w:r>
      <w:r>
        <w:rPr/>
        <w:t>diastólica</w:t>
      </w:r>
      <w:r>
        <w:rPr>
          <w:spacing w:val="-11"/>
        </w:rPr>
        <w:t> </w:t>
      </w:r>
      <w:r>
        <w:rPr/>
        <w:t>do</w:t>
      </w:r>
      <w:r>
        <w:rPr>
          <w:spacing w:val="-9"/>
        </w:rPr>
        <w:t> </w:t>
      </w:r>
      <w:r>
        <w:rPr/>
        <w:t>ventrículo</w:t>
      </w:r>
      <w:r>
        <w:rPr>
          <w:spacing w:val="-9"/>
        </w:rPr>
        <w:t> </w:t>
      </w:r>
      <w:r>
        <w:rPr/>
        <w:t>esquerdo.</w:t>
      </w:r>
      <w:r>
        <w:rPr>
          <w:spacing w:val="-1"/>
        </w:rPr>
        <w:t> </w:t>
      </w:r>
      <w:r>
        <w:rPr/>
        <w:t>Alteração</w:t>
      </w:r>
      <w:r>
        <w:rPr>
          <w:spacing w:val="-9"/>
        </w:rPr>
        <w:t> </w:t>
      </w:r>
      <w:r>
        <w:rPr/>
        <w:t>no</w:t>
      </w:r>
      <w:r>
        <w:rPr>
          <w:spacing w:val="-9"/>
        </w:rPr>
        <w:t> </w:t>
      </w:r>
      <w:r>
        <w:rPr/>
        <w:t>relaxamento</w:t>
      </w:r>
      <w:r>
        <w:rPr>
          <w:spacing w:val="-9"/>
        </w:rPr>
        <w:t> </w:t>
      </w:r>
      <w:r>
        <w:rPr/>
        <w:t>ventricular</w:t>
      </w:r>
      <w:r>
        <w:rPr>
          <w:spacing w:val="-3"/>
        </w:rPr>
        <w:t> </w:t>
      </w:r>
      <w:r>
        <w:rPr/>
        <w:t>é encontrada na maioria dos pacientes com doença coronária, embora não seja um sintoma específico, pois também ocorre na hipertrofia ventricular esquerda, em miocardiopatias e em pessoas acima de 65 anos. De modo geral, o ecocardiograma</w:t>
      </w:r>
      <w:r>
        <w:rPr>
          <w:spacing w:val="-9"/>
        </w:rPr>
        <w:t> </w:t>
      </w:r>
      <w:r>
        <w:rPr/>
        <w:t>de</w:t>
      </w:r>
      <w:r>
        <w:rPr>
          <w:spacing w:val="-9"/>
        </w:rPr>
        <w:t> </w:t>
      </w:r>
      <w:r>
        <w:rPr/>
        <w:t>repouso</w:t>
      </w:r>
      <w:r>
        <w:rPr>
          <w:spacing w:val="-6"/>
        </w:rPr>
        <w:t> </w:t>
      </w:r>
      <w:r>
        <w:rPr/>
        <w:t>tem</w:t>
      </w:r>
      <w:r>
        <w:rPr>
          <w:spacing w:val="-6"/>
        </w:rPr>
        <w:t> </w:t>
      </w:r>
      <w:r>
        <w:rPr/>
        <w:t>importância</w:t>
      </w:r>
      <w:r>
        <w:rPr>
          <w:spacing w:val="-9"/>
        </w:rPr>
        <w:t> </w:t>
      </w:r>
      <w:r>
        <w:rPr/>
        <w:t>no</w:t>
      </w:r>
      <w:r>
        <w:rPr>
          <w:spacing w:val="-6"/>
        </w:rPr>
        <w:t> </w:t>
      </w:r>
      <w:r>
        <w:rPr/>
        <w:t>diagnóstico</w:t>
      </w:r>
      <w:r>
        <w:rPr>
          <w:spacing w:val="-6"/>
        </w:rPr>
        <w:t> </w:t>
      </w:r>
      <w:r>
        <w:rPr/>
        <w:t>diferencial</w:t>
      </w:r>
      <w:r>
        <w:rPr>
          <w:spacing w:val="-3"/>
        </w:rPr>
        <w:t> </w:t>
      </w:r>
      <w:r>
        <w:rPr/>
        <w:t>de</w:t>
      </w:r>
      <w:r>
        <w:rPr>
          <w:spacing w:val="-9"/>
        </w:rPr>
        <w:t> </w:t>
      </w:r>
      <w:r>
        <w:rPr/>
        <w:t>precordialgia</w:t>
      </w:r>
      <w:r>
        <w:rPr>
          <w:spacing w:val="-9"/>
        </w:rPr>
        <w:t> </w:t>
      </w:r>
      <w:r>
        <w:rPr/>
        <w:t>e</w:t>
      </w:r>
      <w:r>
        <w:rPr>
          <w:spacing w:val="-9"/>
        </w:rPr>
        <w:t> </w:t>
      </w:r>
      <w:r>
        <w:rPr/>
        <w:t>na</w:t>
      </w:r>
      <w:r>
        <w:rPr>
          <w:spacing w:val="-9"/>
        </w:rPr>
        <w:t> </w:t>
      </w:r>
      <w:r>
        <w:rPr/>
        <w:t>detecção</w:t>
      </w:r>
      <w:r>
        <w:rPr>
          <w:spacing w:val="-6"/>
        </w:rPr>
        <w:t> </w:t>
      </w:r>
      <w:r>
        <w:rPr/>
        <w:t>de</w:t>
      </w:r>
      <w:r>
        <w:rPr>
          <w:spacing w:val="-9"/>
        </w:rPr>
        <w:t> </w:t>
      </w:r>
      <w:r>
        <w:rPr/>
        <w:t>disfunções sistólicas e diastólicas do ventrículo esquerdo. No entanto, o ecocardiograma com estresse (físico ou químico), principalmente</w:t>
      </w:r>
      <w:r>
        <w:rPr>
          <w:spacing w:val="-3"/>
        </w:rPr>
        <w:t> </w:t>
      </w:r>
      <w:r>
        <w:rPr/>
        <w:t>com</w:t>
      </w:r>
      <w:r>
        <w:rPr>
          <w:spacing w:val="-1"/>
        </w:rPr>
        <w:t> </w:t>
      </w:r>
      <w:r>
        <w:rPr/>
        <w:t>o</w:t>
      </w:r>
      <w:r>
        <w:rPr>
          <w:spacing w:val="-1"/>
        </w:rPr>
        <w:t> </w:t>
      </w:r>
      <w:r>
        <w:rPr/>
        <w:t>uso</w:t>
      </w:r>
      <w:r>
        <w:rPr>
          <w:spacing w:val="-1"/>
        </w:rPr>
        <w:t> </w:t>
      </w:r>
      <w:r>
        <w:rPr/>
        <w:t>da</w:t>
      </w:r>
      <w:r>
        <w:rPr>
          <w:spacing w:val="-3"/>
        </w:rPr>
        <w:t> </w:t>
      </w:r>
      <w:r>
        <w:rPr/>
        <w:t>dobutamina, pode</w:t>
      </w:r>
      <w:r>
        <w:rPr>
          <w:spacing w:val="-3"/>
        </w:rPr>
        <w:t> </w:t>
      </w:r>
      <w:r>
        <w:rPr/>
        <w:t>mostrar, durante</w:t>
      </w:r>
      <w:r>
        <w:rPr>
          <w:spacing w:val="-3"/>
        </w:rPr>
        <w:t> </w:t>
      </w:r>
      <w:r>
        <w:rPr/>
        <w:t>o</w:t>
      </w:r>
      <w:r>
        <w:rPr>
          <w:spacing w:val="-1"/>
        </w:rPr>
        <w:t> </w:t>
      </w:r>
      <w:r>
        <w:rPr/>
        <w:t>estresse, alterações da</w:t>
      </w:r>
      <w:r>
        <w:rPr>
          <w:spacing w:val="-3"/>
        </w:rPr>
        <w:t> </w:t>
      </w:r>
      <w:r>
        <w:rPr/>
        <w:t>contratilidade</w:t>
      </w:r>
      <w:r>
        <w:rPr>
          <w:spacing w:val="-3"/>
        </w:rPr>
        <w:t> </w:t>
      </w:r>
      <w:r>
        <w:rPr/>
        <w:t>miocárdica sugestivas de isquemia miocárdica. Por isso, vem sendo cada vez mais utilizado com boa sensibilidade e especificidade na detecção e estratificação da doença coronária.</w:t>
      </w:r>
      <w:r>
        <w:rPr>
          <w:vertAlign w:val="superscript"/>
        </w:rPr>
        <w:t>45</w:t>
      </w:r>
      <w:r>
        <w:rPr>
          <w:vertAlign w:val="baseline"/>
        </w:rPr>
        <w:t> O exame pode ser realizado com esforço ou estresse farmacológico, mais comumente dobutamina e atropina em nosso meio. Constitui-se uma opção ao teste ergométrico nas situações em que</w:t>
      </w:r>
      <w:r>
        <w:rPr>
          <w:spacing w:val="-1"/>
          <w:vertAlign w:val="baseline"/>
        </w:rPr>
        <w:t> </w:t>
      </w:r>
      <w:r>
        <w:rPr>
          <w:vertAlign w:val="baseline"/>
        </w:rPr>
        <w:t>o esforço é</w:t>
      </w:r>
      <w:r>
        <w:rPr>
          <w:spacing w:val="-1"/>
          <w:vertAlign w:val="baseline"/>
        </w:rPr>
        <w:t> </w:t>
      </w:r>
      <w:r>
        <w:rPr>
          <w:vertAlign w:val="baseline"/>
        </w:rPr>
        <w:t>contraindicado ou alterações eletrocardiográficas basais dificultam a interpretação do teste (bloqueio de ramo esquerdo, sobrecarga de ventrículo esquerdo, ritmo de marca-passo, alterações de</w:t>
      </w:r>
      <w:r>
        <w:rPr>
          <w:spacing w:val="-9"/>
          <w:vertAlign w:val="baseline"/>
        </w:rPr>
        <w:t> </w:t>
      </w:r>
      <w:r>
        <w:rPr>
          <w:vertAlign w:val="baseline"/>
        </w:rPr>
        <w:t>repolarização</w:t>
      </w:r>
      <w:r>
        <w:rPr>
          <w:spacing w:val="-6"/>
          <w:vertAlign w:val="baseline"/>
        </w:rPr>
        <w:t> </w:t>
      </w:r>
      <w:r>
        <w:rPr>
          <w:vertAlign w:val="baseline"/>
        </w:rPr>
        <w:t>ventricular, efeito</w:t>
      </w:r>
      <w:r>
        <w:rPr>
          <w:spacing w:val="-6"/>
          <w:vertAlign w:val="baseline"/>
        </w:rPr>
        <w:t> </w:t>
      </w:r>
      <w:r>
        <w:rPr>
          <w:vertAlign w:val="baseline"/>
        </w:rPr>
        <w:t>de</w:t>
      </w:r>
      <w:r>
        <w:rPr>
          <w:spacing w:val="-9"/>
          <w:vertAlign w:val="baseline"/>
        </w:rPr>
        <w:t> </w:t>
      </w:r>
      <w:r>
        <w:rPr>
          <w:vertAlign w:val="baseline"/>
        </w:rPr>
        <w:t>digital). Vários estudos demonstram</w:t>
      </w:r>
      <w:r>
        <w:rPr>
          <w:spacing w:val="-7"/>
          <w:vertAlign w:val="baseline"/>
        </w:rPr>
        <w:t> </w:t>
      </w:r>
      <w:r>
        <w:rPr>
          <w:vertAlign w:val="baseline"/>
        </w:rPr>
        <w:t>sensibilidade</w:t>
      </w:r>
      <w:r>
        <w:rPr>
          <w:spacing w:val="-9"/>
          <w:vertAlign w:val="baseline"/>
        </w:rPr>
        <w:t> </w:t>
      </w:r>
      <w:r>
        <w:rPr>
          <w:vertAlign w:val="baseline"/>
        </w:rPr>
        <w:t>e</w:t>
      </w:r>
      <w:r>
        <w:rPr>
          <w:spacing w:val="-9"/>
          <w:vertAlign w:val="baseline"/>
        </w:rPr>
        <w:t> </w:t>
      </w:r>
      <w:r>
        <w:rPr>
          <w:vertAlign w:val="baseline"/>
        </w:rPr>
        <w:t>especificidade maiores que o teste de esforço convencional,</w:t>
      </w:r>
      <w:r>
        <w:rPr>
          <w:vertAlign w:val="superscript"/>
        </w:rPr>
        <w:t>46</w:t>
      </w:r>
      <w:r>
        <w:rPr>
          <w:vertAlign w:val="baseline"/>
        </w:rPr>
        <w:t> com a vantagem de localizar a área isquêmica, de estimar sua gravidade e extensão e ao mesmo tempo de avaliar a função do ventrículo esquerdo. Indicam risco elevado de complicações a detecção de isquemia importante e/ou extensa, isquemia em diferentes territórios, particularmente em</w:t>
      </w:r>
      <w:r>
        <w:rPr>
          <w:spacing w:val="-1"/>
          <w:vertAlign w:val="baseline"/>
        </w:rPr>
        <w:t> </w:t>
      </w:r>
      <w:r>
        <w:rPr>
          <w:vertAlign w:val="baseline"/>
        </w:rPr>
        <w:t>parede</w:t>
      </w:r>
      <w:r>
        <w:rPr>
          <w:spacing w:val="-4"/>
          <w:vertAlign w:val="baseline"/>
        </w:rPr>
        <w:t> </w:t>
      </w:r>
      <w:r>
        <w:rPr>
          <w:vertAlign w:val="baseline"/>
        </w:rPr>
        <w:t>anterior, isquemia</w:t>
      </w:r>
      <w:r>
        <w:rPr>
          <w:spacing w:val="-4"/>
          <w:vertAlign w:val="baseline"/>
        </w:rPr>
        <w:t> </w:t>
      </w:r>
      <w:r>
        <w:rPr>
          <w:vertAlign w:val="baseline"/>
        </w:rPr>
        <w:t>com</w:t>
      </w:r>
      <w:r>
        <w:rPr>
          <w:spacing w:val="-1"/>
          <w:vertAlign w:val="baseline"/>
        </w:rPr>
        <w:t> </w:t>
      </w:r>
      <w:r>
        <w:rPr>
          <w:vertAlign w:val="baseline"/>
        </w:rPr>
        <w:t>baixas doses de</w:t>
      </w:r>
      <w:r>
        <w:rPr>
          <w:spacing w:val="-4"/>
          <w:vertAlign w:val="baseline"/>
        </w:rPr>
        <w:t> </w:t>
      </w:r>
      <w:r>
        <w:rPr>
          <w:vertAlign w:val="baseline"/>
        </w:rPr>
        <w:t>dobutamina</w:t>
      </w:r>
      <w:r>
        <w:rPr>
          <w:spacing w:val="-4"/>
          <w:vertAlign w:val="baseline"/>
        </w:rPr>
        <w:t> </w:t>
      </w:r>
      <w:r>
        <w:rPr>
          <w:vertAlign w:val="baseline"/>
        </w:rPr>
        <w:t>(&lt;</w:t>
      </w:r>
      <w:r>
        <w:rPr>
          <w:spacing w:val="-1"/>
          <w:vertAlign w:val="baseline"/>
        </w:rPr>
        <w:t> </w:t>
      </w:r>
      <w:r>
        <w:rPr>
          <w:vertAlign w:val="baseline"/>
        </w:rPr>
        <w:t>10</w:t>
      </w:r>
      <w:r>
        <w:rPr>
          <w:spacing w:val="-1"/>
          <w:vertAlign w:val="baseline"/>
        </w:rPr>
        <w:t> </w:t>
      </w:r>
      <w:r>
        <w:rPr>
          <w:vertAlign w:val="baseline"/>
        </w:rPr>
        <w:t>mg/kg/min) ou</w:t>
      </w:r>
      <w:r>
        <w:rPr>
          <w:spacing w:val="-1"/>
          <w:vertAlign w:val="baseline"/>
        </w:rPr>
        <w:t> </w:t>
      </w:r>
      <w:r>
        <w:rPr>
          <w:vertAlign w:val="baseline"/>
        </w:rPr>
        <w:t>com</w:t>
      </w:r>
      <w:r>
        <w:rPr>
          <w:spacing w:val="-1"/>
          <w:vertAlign w:val="baseline"/>
        </w:rPr>
        <w:t> </w:t>
      </w:r>
      <w:r>
        <w:rPr>
          <w:vertAlign w:val="baseline"/>
        </w:rPr>
        <w:t>frequência</w:t>
      </w:r>
      <w:r>
        <w:rPr>
          <w:spacing w:val="-4"/>
          <w:vertAlign w:val="baseline"/>
        </w:rPr>
        <w:t> </w:t>
      </w:r>
      <w:r>
        <w:rPr>
          <w:vertAlign w:val="baseline"/>
        </w:rPr>
        <w:t>cardíaca</w:t>
      </w:r>
      <w:r>
        <w:rPr>
          <w:spacing w:val="-4"/>
          <w:vertAlign w:val="baseline"/>
        </w:rPr>
        <w:t> </w:t>
      </w:r>
      <w:r>
        <w:rPr>
          <w:vertAlign w:val="baseline"/>
        </w:rPr>
        <w:t>baixa (&lt; 120 bpm), disfunção sistólica do ventrículo esquerdo e insuficiência mitral.</w:t>
      </w:r>
    </w:p>
    <w:p>
      <w:pPr>
        <w:pStyle w:val="BodyText"/>
        <w:spacing w:line="278" w:lineRule="auto" w:before="33"/>
        <w:ind w:right="488"/>
      </w:pPr>
      <w:r>
        <w:rPr/>
        <w:t>A</w:t>
      </w:r>
      <w:r>
        <w:rPr>
          <w:spacing w:val="-4"/>
        </w:rPr>
        <w:t> </w:t>
      </w:r>
      <w:r>
        <w:rPr/>
        <w:t>cintigrafia</w:t>
      </w:r>
      <w:r>
        <w:rPr>
          <w:spacing w:val="-4"/>
        </w:rPr>
        <w:t> </w:t>
      </w:r>
      <w:r>
        <w:rPr/>
        <w:t>de</w:t>
      </w:r>
      <w:r>
        <w:rPr>
          <w:spacing w:val="-4"/>
        </w:rPr>
        <w:t> </w:t>
      </w:r>
      <w:r>
        <w:rPr/>
        <w:t>perfusão</w:t>
      </w:r>
      <w:r>
        <w:rPr>
          <w:spacing w:val="-1"/>
        </w:rPr>
        <w:t> </w:t>
      </w:r>
      <w:r>
        <w:rPr/>
        <w:t>miocárdica</w:t>
      </w:r>
      <w:r>
        <w:rPr>
          <w:spacing w:val="-4"/>
        </w:rPr>
        <w:t> </w:t>
      </w:r>
      <w:r>
        <w:rPr/>
        <w:t>tem</w:t>
      </w:r>
      <w:r>
        <w:rPr>
          <w:spacing w:val="-1"/>
        </w:rPr>
        <w:t> </w:t>
      </w:r>
      <w:r>
        <w:rPr/>
        <w:t>indicações para</w:t>
      </w:r>
      <w:r>
        <w:rPr>
          <w:spacing w:val="-4"/>
        </w:rPr>
        <w:t> </w:t>
      </w:r>
      <w:r>
        <w:rPr/>
        <w:t>diagnóstico, avaliação</w:t>
      </w:r>
      <w:r>
        <w:rPr>
          <w:spacing w:val="-1"/>
        </w:rPr>
        <w:t> </w:t>
      </w:r>
      <w:r>
        <w:rPr/>
        <w:t>do</w:t>
      </w:r>
      <w:r>
        <w:rPr>
          <w:spacing w:val="-1"/>
        </w:rPr>
        <w:t> </w:t>
      </w:r>
      <w:r>
        <w:rPr/>
        <w:t>tratamento</w:t>
      </w:r>
      <w:r>
        <w:rPr>
          <w:spacing w:val="-1"/>
        </w:rPr>
        <w:t> </w:t>
      </w:r>
      <w:r>
        <w:rPr/>
        <w:t>e</w:t>
      </w:r>
      <w:r>
        <w:rPr>
          <w:spacing w:val="-4"/>
        </w:rPr>
        <w:t> </w:t>
      </w:r>
      <w:r>
        <w:rPr/>
        <w:t>prognóstico</w:t>
      </w:r>
      <w:r>
        <w:rPr>
          <w:spacing w:val="-1"/>
        </w:rPr>
        <w:t> </w:t>
      </w:r>
      <w:r>
        <w:rPr/>
        <w:t>da doença coronária por meio da análise de disfunção ventricular e detecção de isquemia e viabilidade miocárdica. Porém, devido ao alto custo do método, à semelhança do ecocardiograma de estresse, a cintigrafia de perfusão miocárdica</w:t>
      </w:r>
      <w:r>
        <w:rPr>
          <w:spacing w:val="-6"/>
        </w:rPr>
        <w:t> </w:t>
      </w:r>
      <w:r>
        <w:rPr/>
        <w:t>é</w:t>
      </w:r>
      <w:r>
        <w:rPr>
          <w:spacing w:val="-6"/>
        </w:rPr>
        <w:t> </w:t>
      </w:r>
      <w:r>
        <w:rPr/>
        <w:t>uma</w:t>
      </w:r>
      <w:r>
        <w:rPr>
          <w:spacing w:val="-6"/>
        </w:rPr>
        <w:t> </w:t>
      </w:r>
      <w:r>
        <w:rPr/>
        <w:t>alternativa</w:t>
      </w:r>
      <w:r>
        <w:rPr>
          <w:spacing w:val="-6"/>
        </w:rPr>
        <w:t> </w:t>
      </w:r>
      <w:r>
        <w:rPr/>
        <w:t>ao</w:t>
      </w:r>
      <w:r>
        <w:rPr>
          <w:spacing w:val="-2"/>
        </w:rPr>
        <w:t> </w:t>
      </w:r>
      <w:r>
        <w:rPr/>
        <w:t>teste</w:t>
      </w:r>
      <w:r>
        <w:rPr>
          <w:spacing w:val="-6"/>
        </w:rPr>
        <w:t> </w:t>
      </w:r>
      <w:r>
        <w:rPr/>
        <w:t>de</w:t>
      </w:r>
      <w:r>
        <w:rPr>
          <w:spacing w:val="-6"/>
        </w:rPr>
        <w:t> </w:t>
      </w:r>
      <w:r>
        <w:rPr/>
        <w:t>esforço</w:t>
      </w:r>
      <w:r>
        <w:rPr>
          <w:spacing w:val="-2"/>
        </w:rPr>
        <w:t> </w:t>
      </w:r>
      <w:r>
        <w:rPr/>
        <w:t>convencional para</w:t>
      </w:r>
      <w:r>
        <w:rPr>
          <w:spacing w:val="-6"/>
        </w:rPr>
        <w:t> </w:t>
      </w:r>
      <w:r>
        <w:rPr/>
        <w:t>o</w:t>
      </w:r>
      <w:r>
        <w:rPr>
          <w:spacing w:val="-2"/>
        </w:rPr>
        <w:t> </w:t>
      </w:r>
      <w:r>
        <w:rPr/>
        <w:t>diagnóstico</w:t>
      </w:r>
      <w:r>
        <w:rPr>
          <w:spacing w:val="-2"/>
        </w:rPr>
        <w:t> </w:t>
      </w:r>
      <w:r>
        <w:rPr/>
        <w:t>e</w:t>
      </w:r>
      <w:r>
        <w:rPr>
          <w:spacing w:val="-6"/>
        </w:rPr>
        <w:t> </w:t>
      </w:r>
      <w:r>
        <w:rPr/>
        <w:t>estratificação</w:t>
      </w:r>
      <w:r>
        <w:rPr>
          <w:spacing w:val="-2"/>
        </w:rPr>
        <w:t> </w:t>
      </w:r>
      <w:r>
        <w:rPr/>
        <w:t>de</w:t>
      </w:r>
      <w:r>
        <w:rPr>
          <w:spacing w:val="-6"/>
        </w:rPr>
        <w:t> </w:t>
      </w:r>
      <w:r>
        <w:rPr/>
        <w:t>risco</w:t>
      </w:r>
      <w:r>
        <w:rPr>
          <w:spacing w:val="-2"/>
        </w:rPr>
        <w:t> </w:t>
      </w:r>
      <w:r>
        <w:rPr/>
        <w:t>da</w:t>
      </w:r>
      <w:r>
        <w:rPr>
          <w:spacing w:val="-6"/>
        </w:rPr>
        <w:t> </w:t>
      </w:r>
      <w:r>
        <w:rPr/>
        <w:t>doença coronária, aumentando a acurácia diagnóstica e fornecendo a intensidade, localização e extensão da isquemia. Seu uso</w:t>
      </w:r>
      <w:r>
        <w:rPr>
          <w:spacing w:val="-3"/>
        </w:rPr>
        <w:t> </w:t>
      </w:r>
      <w:r>
        <w:rPr/>
        <w:t>está</w:t>
      </w:r>
      <w:r>
        <w:rPr>
          <w:spacing w:val="-5"/>
        </w:rPr>
        <w:t> </w:t>
      </w:r>
      <w:r>
        <w:rPr/>
        <w:t>indicado</w:t>
      </w:r>
      <w:r>
        <w:rPr>
          <w:spacing w:val="-3"/>
        </w:rPr>
        <w:t> </w:t>
      </w:r>
      <w:r>
        <w:rPr/>
        <w:t>em</w:t>
      </w:r>
      <w:r>
        <w:rPr>
          <w:spacing w:val="-3"/>
        </w:rPr>
        <w:t> </w:t>
      </w:r>
      <w:r>
        <w:rPr/>
        <w:t>casos específicos, como, por exemplo, na</w:t>
      </w:r>
      <w:r>
        <w:rPr>
          <w:spacing w:val="-5"/>
        </w:rPr>
        <w:t> </w:t>
      </w:r>
      <w:r>
        <w:rPr/>
        <w:t>avaliação</w:t>
      </w:r>
      <w:r>
        <w:rPr>
          <w:spacing w:val="-3"/>
        </w:rPr>
        <w:t> </w:t>
      </w:r>
      <w:r>
        <w:rPr/>
        <w:t>de</w:t>
      </w:r>
      <w:r>
        <w:rPr>
          <w:spacing w:val="-5"/>
        </w:rPr>
        <w:t> </w:t>
      </w:r>
      <w:r>
        <w:rPr/>
        <w:t>pacientes assintomáticos submetidos a avaliações</w:t>
      </w:r>
      <w:r>
        <w:rPr>
          <w:spacing w:val="-3"/>
        </w:rPr>
        <w:t> </w:t>
      </w:r>
      <w:r>
        <w:rPr/>
        <w:t>periódicas</w:t>
      </w:r>
      <w:r>
        <w:rPr>
          <w:spacing w:val="-3"/>
        </w:rPr>
        <w:t> </w:t>
      </w:r>
      <w:r>
        <w:rPr/>
        <w:t>e</w:t>
      </w:r>
      <w:r>
        <w:rPr>
          <w:spacing w:val="-12"/>
        </w:rPr>
        <w:t> </w:t>
      </w:r>
      <w:r>
        <w:rPr/>
        <w:t>que</w:t>
      </w:r>
      <w:r>
        <w:rPr>
          <w:spacing w:val="-13"/>
        </w:rPr>
        <w:t> </w:t>
      </w:r>
      <w:r>
        <w:rPr/>
        <w:t>apresentam</w:t>
      </w:r>
      <w:r>
        <w:rPr>
          <w:spacing w:val="-10"/>
        </w:rPr>
        <w:t> </w:t>
      </w:r>
      <w:r>
        <w:rPr/>
        <w:t>eletrocardiograma</w:t>
      </w:r>
      <w:r>
        <w:rPr>
          <w:spacing w:val="-12"/>
        </w:rPr>
        <w:t> </w:t>
      </w:r>
      <w:r>
        <w:rPr/>
        <w:t>de</w:t>
      </w:r>
      <w:r>
        <w:rPr>
          <w:spacing w:val="-13"/>
        </w:rPr>
        <w:t> </w:t>
      </w:r>
      <w:r>
        <w:rPr/>
        <w:t>esforço</w:t>
      </w:r>
      <w:r>
        <w:rPr>
          <w:spacing w:val="-10"/>
        </w:rPr>
        <w:t> </w:t>
      </w:r>
      <w:r>
        <w:rPr/>
        <w:t>positivo,</w:t>
      </w:r>
      <w:r>
        <w:rPr>
          <w:spacing w:val="-3"/>
        </w:rPr>
        <w:t> </w:t>
      </w:r>
      <w:r>
        <w:rPr/>
        <w:t>pacientes</w:t>
      </w:r>
      <w:r>
        <w:rPr>
          <w:spacing w:val="-3"/>
        </w:rPr>
        <w:t> </w:t>
      </w:r>
      <w:r>
        <w:rPr/>
        <w:t>com</w:t>
      </w:r>
      <w:r>
        <w:rPr>
          <w:spacing w:val="-10"/>
        </w:rPr>
        <w:t> </w:t>
      </w:r>
      <w:r>
        <w:rPr/>
        <w:t>eletrocardiograma</w:t>
      </w:r>
      <w:r>
        <w:rPr>
          <w:spacing w:val="-12"/>
        </w:rPr>
        <w:t> </w:t>
      </w:r>
      <w:r>
        <w:rPr/>
        <w:t>não interpretável (BRE) impedindo avaliação do segmento ST, e em pacientes com impossibilidade física de realizar um teste de esforço.</w:t>
      </w:r>
      <w:r>
        <w:rPr>
          <w:vertAlign w:val="superscript"/>
        </w:rPr>
        <w:t>47</w:t>
      </w:r>
      <w:r>
        <w:rPr>
          <w:vertAlign w:val="baseline"/>
        </w:rPr>
        <w:t> A cintigrafia é realizada pelo método planar ou, preferencialmente, tomográfico (SPECT), sendo que técnicas quantitativas aplicadas à cintigrafia planar elevam a sensibilidade para 90% e a especificidade para 80%. Quando o método tomográfico é sincronizado ao ECG (GATED-SPECT), é possível avaliar concomitantemente a função sistólica global e regional do ventrículo esquerdo. O exame pode ser realizado com vários radiofármacos (geralmente</w:t>
      </w:r>
      <w:r>
        <w:rPr>
          <w:spacing w:val="-5"/>
          <w:vertAlign w:val="baseline"/>
        </w:rPr>
        <w:t> </w:t>
      </w:r>
      <w:r>
        <w:rPr>
          <w:vertAlign w:val="baseline"/>
        </w:rPr>
        <w:t>tálio-201</w:t>
      </w:r>
      <w:r>
        <w:rPr>
          <w:spacing w:val="-3"/>
          <w:vertAlign w:val="baseline"/>
        </w:rPr>
        <w:t> </w:t>
      </w:r>
      <w:r>
        <w:rPr>
          <w:vertAlign w:val="baseline"/>
        </w:rPr>
        <w:t>ou</w:t>
      </w:r>
      <w:r>
        <w:rPr>
          <w:spacing w:val="-3"/>
          <w:vertAlign w:val="baseline"/>
        </w:rPr>
        <w:t> </w:t>
      </w:r>
      <w:r>
        <w:rPr>
          <w:vertAlign w:val="baseline"/>
        </w:rPr>
        <w:t>tecnécio-99m) e</w:t>
      </w:r>
      <w:r>
        <w:rPr>
          <w:spacing w:val="-5"/>
          <w:vertAlign w:val="baseline"/>
        </w:rPr>
        <w:t> </w:t>
      </w:r>
      <w:r>
        <w:rPr>
          <w:vertAlign w:val="baseline"/>
        </w:rPr>
        <w:t>pode</w:t>
      </w:r>
      <w:r>
        <w:rPr>
          <w:spacing w:val="-5"/>
          <w:vertAlign w:val="baseline"/>
        </w:rPr>
        <w:t> </w:t>
      </w:r>
      <w:r>
        <w:rPr>
          <w:vertAlign w:val="baseline"/>
        </w:rPr>
        <w:t>ser feito</w:t>
      </w:r>
      <w:r>
        <w:rPr>
          <w:spacing w:val="-3"/>
          <w:vertAlign w:val="baseline"/>
        </w:rPr>
        <w:t> </w:t>
      </w:r>
      <w:r>
        <w:rPr>
          <w:vertAlign w:val="baseline"/>
        </w:rPr>
        <w:t>em</w:t>
      </w:r>
      <w:r>
        <w:rPr>
          <w:spacing w:val="-3"/>
          <w:vertAlign w:val="baseline"/>
        </w:rPr>
        <w:t> </w:t>
      </w:r>
      <w:r>
        <w:rPr>
          <w:vertAlign w:val="baseline"/>
        </w:rPr>
        <w:t>repouso</w:t>
      </w:r>
      <w:r>
        <w:rPr>
          <w:spacing w:val="-3"/>
          <w:vertAlign w:val="baseline"/>
        </w:rPr>
        <w:t> </w:t>
      </w:r>
      <w:r>
        <w:rPr>
          <w:vertAlign w:val="baseline"/>
        </w:rPr>
        <w:t>ou</w:t>
      </w:r>
      <w:r>
        <w:rPr>
          <w:spacing w:val="-3"/>
          <w:vertAlign w:val="baseline"/>
        </w:rPr>
        <w:t> </w:t>
      </w:r>
      <w:r>
        <w:rPr>
          <w:vertAlign w:val="baseline"/>
        </w:rPr>
        <w:t>com</w:t>
      </w:r>
      <w:r>
        <w:rPr>
          <w:spacing w:val="-3"/>
          <w:vertAlign w:val="baseline"/>
        </w:rPr>
        <w:t> </w:t>
      </w:r>
      <w:r>
        <w:rPr>
          <w:vertAlign w:val="baseline"/>
        </w:rPr>
        <w:t>estresse</w:t>
      </w:r>
      <w:r>
        <w:rPr>
          <w:spacing w:val="-5"/>
          <w:vertAlign w:val="baseline"/>
        </w:rPr>
        <w:t> </w:t>
      </w:r>
      <w:r>
        <w:rPr>
          <w:vertAlign w:val="baseline"/>
        </w:rPr>
        <w:t>físico</w:t>
      </w:r>
      <w:r>
        <w:rPr>
          <w:spacing w:val="-3"/>
          <w:vertAlign w:val="baseline"/>
        </w:rPr>
        <w:t> </w:t>
      </w:r>
      <w:r>
        <w:rPr>
          <w:vertAlign w:val="baseline"/>
        </w:rPr>
        <w:t>ou farmacológico, mais comumente dipiridamol, adenosina ou dobutamina. A intensidade, extensão, localização e o número</w:t>
      </w:r>
      <w:r>
        <w:rPr>
          <w:spacing w:val="-6"/>
          <w:vertAlign w:val="baseline"/>
        </w:rPr>
        <w:t> </w:t>
      </w:r>
      <w:r>
        <w:rPr>
          <w:vertAlign w:val="baseline"/>
        </w:rPr>
        <w:t>de</w:t>
      </w:r>
      <w:r>
        <w:rPr>
          <w:spacing w:val="-9"/>
          <w:vertAlign w:val="baseline"/>
        </w:rPr>
        <w:t> </w:t>
      </w:r>
      <w:r>
        <w:rPr>
          <w:vertAlign w:val="baseline"/>
        </w:rPr>
        <w:t>defeitos reversíveis de</w:t>
      </w:r>
      <w:r>
        <w:rPr>
          <w:spacing w:val="-9"/>
          <w:vertAlign w:val="baseline"/>
        </w:rPr>
        <w:t> </w:t>
      </w:r>
      <w:r>
        <w:rPr>
          <w:vertAlign w:val="baseline"/>
        </w:rPr>
        <w:t>perfusão</w:t>
      </w:r>
      <w:r>
        <w:rPr>
          <w:spacing w:val="-6"/>
          <w:vertAlign w:val="baseline"/>
        </w:rPr>
        <w:t> </w:t>
      </w:r>
      <w:r>
        <w:rPr>
          <w:vertAlign w:val="baseline"/>
        </w:rPr>
        <w:t>são</w:t>
      </w:r>
      <w:r>
        <w:rPr>
          <w:spacing w:val="-6"/>
          <w:vertAlign w:val="baseline"/>
        </w:rPr>
        <w:t> </w:t>
      </w:r>
      <w:r>
        <w:rPr>
          <w:vertAlign w:val="baseline"/>
        </w:rPr>
        <w:t>valorizados para</w:t>
      </w:r>
      <w:r>
        <w:rPr>
          <w:spacing w:val="-9"/>
          <w:vertAlign w:val="baseline"/>
        </w:rPr>
        <w:t> </w:t>
      </w:r>
      <w:r>
        <w:rPr>
          <w:vertAlign w:val="baseline"/>
        </w:rPr>
        <w:t>a</w:t>
      </w:r>
      <w:r>
        <w:rPr>
          <w:spacing w:val="-9"/>
          <w:vertAlign w:val="baseline"/>
        </w:rPr>
        <w:t> </w:t>
      </w:r>
      <w:r>
        <w:rPr>
          <w:vertAlign w:val="baseline"/>
        </w:rPr>
        <w:t>determinação</w:t>
      </w:r>
      <w:r>
        <w:rPr>
          <w:spacing w:val="-6"/>
          <w:vertAlign w:val="baseline"/>
        </w:rPr>
        <w:t> </w:t>
      </w:r>
      <w:r>
        <w:rPr>
          <w:vertAlign w:val="baseline"/>
        </w:rPr>
        <w:t>do</w:t>
      </w:r>
      <w:r>
        <w:rPr>
          <w:spacing w:val="-6"/>
          <w:vertAlign w:val="baseline"/>
        </w:rPr>
        <w:t> </w:t>
      </w:r>
      <w:r>
        <w:rPr>
          <w:vertAlign w:val="baseline"/>
        </w:rPr>
        <w:t>risco</w:t>
      </w:r>
      <w:r>
        <w:rPr>
          <w:spacing w:val="-6"/>
          <w:vertAlign w:val="baseline"/>
        </w:rPr>
        <w:t> </w:t>
      </w:r>
      <w:r>
        <w:rPr>
          <w:vertAlign w:val="baseline"/>
        </w:rPr>
        <w:t>de</w:t>
      </w:r>
      <w:r>
        <w:rPr>
          <w:spacing w:val="-9"/>
          <w:vertAlign w:val="baseline"/>
        </w:rPr>
        <w:t> </w:t>
      </w:r>
      <w:r>
        <w:rPr>
          <w:vertAlign w:val="baseline"/>
        </w:rPr>
        <w:t>eventos, a</w:t>
      </w:r>
      <w:r>
        <w:rPr>
          <w:spacing w:val="-9"/>
          <w:vertAlign w:val="baseline"/>
        </w:rPr>
        <w:t> </w:t>
      </w:r>
      <w:r>
        <w:rPr>
          <w:vertAlign w:val="baseline"/>
        </w:rPr>
        <w:t>par</w:t>
      </w:r>
      <w:r>
        <w:rPr>
          <w:spacing w:val="-1"/>
          <w:vertAlign w:val="baseline"/>
        </w:rPr>
        <w:t> </w:t>
      </w:r>
      <w:r>
        <w:rPr>
          <w:vertAlign w:val="baseline"/>
        </w:rPr>
        <w:t>da</w:t>
      </w:r>
      <w:r>
        <w:rPr>
          <w:spacing w:val="-9"/>
          <w:vertAlign w:val="baseline"/>
        </w:rPr>
        <w:t> </w:t>
      </w:r>
      <w:r>
        <w:rPr>
          <w:vertAlign w:val="baseline"/>
        </w:rPr>
        <w:t>função do ventrículo esquerdo, da ocorrência ou não de dilatação transitória do mesmo e de captação pulmonar do radiofármaco. O</w:t>
      </w:r>
      <w:r>
        <w:rPr>
          <w:spacing w:val="-4"/>
          <w:vertAlign w:val="baseline"/>
        </w:rPr>
        <w:t> </w:t>
      </w:r>
      <w:r>
        <w:rPr>
          <w:vertAlign w:val="baseline"/>
        </w:rPr>
        <w:t>valor preditivo</w:t>
      </w:r>
      <w:r>
        <w:rPr>
          <w:spacing w:val="-2"/>
          <w:vertAlign w:val="baseline"/>
        </w:rPr>
        <w:t> </w:t>
      </w:r>
      <w:r>
        <w:rPr>
          <w:vertAlign w:val="baseline"/>
        </w:rPr>
        <w:t>negativo</w:t>
      </w:r>
      <w:r>
        <w:rPr>
          <w:spacing w:val="-2"/>
          <w:vertAlign w:val="baseline"/>
        </w:rPr>
        <w:t> </w:t>
      </w:r>
      <w:r>
        <w:rPr>
          <w:vertAlign w:val="baseline"/>
        </w:rPr>
        <w:t>para</w:t>
      </w:r>
      <w:r>
        <w:rPr>
          <w:spacing w:val="-4"/>
          <w:vertAlign w:val="baseline"/>
        </w:rPr>
        <w:t> </w:t>
      </w:r>
      <w:r>
        <w:rPr>
          <w:vertAlign w:val="baseline"/>
        </w:rPr>
        <w:t>indicar a</w:t>
      </w:r>
      <w:r>
        <w:rPr>
          <w:spacing w:val="-4"/>
          <w:vertAlign w:val="baseline"/>
        </w:rPr>
        <w:t> </w:t>
      </w:r>
      <w:r>
        <w:rPr>
          <w:vertAlign w:val="baseline"/>
        </w:rPr>
        <w:t>necessidade</w:t>
      </w:r>
      <w:r>
        <w:rPr>
          <w:spacing w:val="-4"/>
          <w:vertAlign w:val="baseline"/>
        </w:rPr>
        <w:t> </w:t>
      </w:r>
      <w:r>
        <w:rPr>
          <w:vertAlign w:val="baseline"/>
        </w:rPr>
        <w:t>de</w:t>
      </w:r>
      <w:r>
        <w:rPr>
          <w:spacing w:val="-4"/>
          <w:vertAlign w:val="baseline"/>
        </w:rPr>
        <w:t> </w:t>
      </w:r>
      <w:r>
        <w:rPr>
          <w:vertAlign w:val="baseline"/>
        </w:rPr>
        <w:t>revascularização</w:t>
      </w:r>
      <w:r>
        <w:rPr>
          <w:spacing w:val="-2"/>
          <w:vertAlign w:val="baseline"/>
        </w:rPr>
        <w:t> </w:t>
      </w:r>
      <w:r>
        <w:rPr>
          <w:vertAlign w:val="baseline"/>
        </w:rPr>
        <w:t>miocárdica</w:t>
      </w:r>
      <w:r>
        <w:rPr>
          <w:spacing w:val="-4"/>
          <w:vertAlign w:val="baseline"/>
        </w:rPr>
        <w:t> </w:t>
      </w:r>
      <w:r>
        <w:rPr>
          <w:vertAlign w:val="baseline"/>
        </w:rPr>
        <w:t>é</w:t>
      </w:r>
      <w:r>
        <w:rPr>
          <w:spacing w:val="-4"/>
          <w:vertAlign w:val="baseline"/>
        </w:rPr>
        <w:t> </w:t>
      </w:r>
      <w:r>
        <w:rPr>
          <w:vertAlign w:val="baseline"/>
        </w:rPr>
        <w:t>bastante</w:t>
      </w:r>
      <w:r>
        <w:rPr>
          <w:spacing w:val="-4"/>
          <w:vertAlign w:val="baseline"/>
        </w:rPr>
        <w:t> </w:t>
      </w:r>
      <w:r>
        <w:rPr>
          <w:vertAlign w:val="baseline"/>
        </w:rPr>
        <w:t>alto, possibilitando rápida definição de prognóstico favorável e possibilitando que se reduzam internações desnecessárias. O exame com estresse pode ser realizado precocemente com segurança e também tem alto valor prognóstico: ausência de alterações implica risco de eventos graves de aproximadamente 1 a 2% em 1 ano, elevando-se para ao redor de 20 a 25% quando há defeitos reversíveis de perfusão.</w:t>
      </w:r>
      <w:r>
        <w:rPr>
          <w:vertAlign w:val="superscript"/>
        </w:rPr>
        <w:t>48,49</w:t>
      </w:r>
    </w:p>
    <w:p>
      <w:pPr>
        <w:pStyle w:val="BodyText"/>
        <w:spacing w:before="44"/>
        <w:ind w:left="414" w:firstLine="0"/>
      </w:pPr>
      <w:r>
        <w:rPr/>
        <w:t>A</w:t>
      </w:r>
      <w:r>
        <w:rPr>
          <w:spacing w:val="36"/>
        </w:rPr>
        <w:t> </w:t>
      </w:r>
      <w:r>
        <w:rPr/>
        <w:t>cintigrafia</w:t>
      </w:r>
      <w:r>
        <w:rPr>
          <w:spacing w:val="39"/>
        </w:rPr>
        <w:t> </w:t>
      </w:r>
      <w:r>
        <w:rPr/>
        <w:t>de</w:t>
      </w:r>
      <w:r>
        <w:rPr>
          <w:spacing w:val="39"/>
        </w:rPr>
        <w:t> </w:t>
      </w:r>
      <w:r>
        <w:rPr/>
        <w:t>perfusão</w:t>
      </w:r>
      <w:r>
        <w:rPr>
          <w:spacing w:val="42"/>
        </w:rPr>
        <w:t> </w:t>
      </w:r>
      <w:r>
        <w:rPr/>
        <w:t>miocárdica</w:t>
      </w:r>
      <w:r>
        <w:rPr>
          <w:spacing w:val="39"/>
        </w:rPr>
        <w:t> </w:t>
      </w:r>
      <w:r>
        <w:rPr/>
        <w:t>e</w:t>
      </w:r>
      <w:r>
        <w:rPr>
          <w:spacing w:val="39"/>
        </w:rPr>
        <w:t> </w:t>
      </w:r>
      <w:r>
        <w:rPr/>
        <w:t>o</w:t>
      </w:r>
      <w:r>
        <w:rPr>
          <w:spacing w:val="42"/>
        </w:rPr>
        <w:t> </w:t>
      </w:r>
      <w:r>
        <w:rPr/>
        <w:t>ecocardiograma</w:t>
      </w:r>
      <w:r>
        <w:rPr>
          <w:spacing w:val="39"/>
        </w:rPr>
        <w:t> </w:t>
      </w:r>
      <w:r>
        <w:rPr/>
        <w:t>de</w:t>
      </w:r>
      <w:r>
        <w:rPr>
          <w:spacing w:val="39"/>
        </w:rPr>
        <w:t> </w:t>
      </w:r>
      <w:r>
        <w:rPr/>
        <w:t>estresse</w:t>
      </w:r>
      <w:r>
        <w:rPr>
          <w:spacing w:val="39"/>
        </w:rPr>
        <w:t> </w:t>
      </w:r>
      <w:r>
        <w:rPr/>
        <w:t>têm</w:t>
      </w:r>
      <w:r>
        <w:rPr>
          <w:spacing w:val="41"/>
        </w:rPr>
        <w:t> </w:t>
      </w:r>
      <w:r>
        <w:rPr/>
        <w:t>mostrado</w:t>
      </w:r>
      <w:r>
        <w:rPr>
          <w:spacing w:val="42"/>
        </w:rPr>
        <w:t> </w:t>
      </w:r>
      <w:r>
        <w:rPr/>
        <w:t>acurácias</w:t>
      </w:r>
      <w:r>
        <w:rPr>
          <w:spacing w:val="51"/>
        </w:rPr>
        <w:t> </w:t>
      </w:r>
      <w:r>
        <w:rPr>
          <w:spacing w:val="-2"/>
        </w:rPr>
        <w:t>diagnósticas</w:t>
      </w:r>
    </w:p>
    <w:p>
      <w:pPr>
        <w:pStyle w:val="BodyText"/>
        <w:spacing w:after="0"/>
        <w:sectPr>
          <w:pgSz w:w="11900" w:h="16840"/>
          <w:pgMar w:top="280" w:bottom="280" w:left="566" w:right="141"/>
        </w:sectPr>
      </w:pPr>
    </w:p>
    <w:p>
      <w:pPr>
        <w:pStyle w:val="BodyText"/>
        <w:spacing w:line="290" w:lineRule="auto" w:before="62"/>
        <w:ind w:right="500" w:firstLine="0"/>
      </w:pPr>
      <w:r>
        <w:rPr/>
        <w:t>semelhantes para</w:t>
      </w:r>
      <w:r>
        <w:rPr>
          <w:spacing w:val="-1"/>
        </w:rPr>
        <w:t> </w:t>
      </w:r>
      <w:r>
        <w:rPr/>
        <w:t>a</w:t>
      </w:r>
      <w:r>
        <w:rPr>
          <w:spacing w:val="-1"/>
        </w:rPr>
        <w:t> </w:t>
      </w:r>
      <w:r>
        <w:rPr/>
        <w:t>detecção de</w:t>
      </w:r>
      <w:r>
        <w:rPr>
          <w:spacing w:val="-1"/>
        </w:rPr>
        <w:t> </w:t>
      </w:r>
      <w:r>
        <w:rPr/>
        <w:t>doença</w:t>
      </w:r>
      <w:r>
        <w:rPr>
          <w:spacing w:val="-1"/>
        </w:rPr>
        <w:t> </w:t>
      </w:r>
      <w:r>
        <w:rPr/>
        <w:t>coronária</w:t>
      </w:r>
      <w:r>
        <w:rPr>
          <w:spacing w:val="-1"/>
        </w:rPr>
        <w:t> </w:t>
      </w:r>
      <w:r>
        <w:rPr/>
        <w:t>em pacientes estáveis. Os dados disponíveis mostram que</w:t>
      </w:r>
      <w:r>
        <w:rPr>
          <w:spacing w:val="-1"/>
        </w:rPr>
        <w:t> </w:t>
      </w:r>
      <w:r>
        <w:rPr/>
        <w:t>ambos os testes proporcionam informações prognósticas de valor,</w:t>
      </w:r>
      <w:r>
        <w:rPr>
          <w:vertAlign w:val="superscript"/>
        </w:rPr>
        <w:t>49,50</w:t>
      </w:r>
      <w:r>
        <w:rPr>
          <w:vertAlign w:val="baseline"/>
        </w:rPr>
        <w:t> com alguma superioridade da cintigrafia de esforço com</w:t>
      </w:r>
      <w:r>
        <w:rPr>
          <w:spacing w:val="-8"/>
          <w:vertAlign w:val="baseline"/>
        </w:rPr>
        <w:t> </w:t>
      </w:r>
      <w:r>
        <w:rPr>
          <w:vertAlign w:val="baseline"/>
        </w:rPr>
        <w:t>tálio</w:t>
      </w:r>
      <w:r>
        <w:rPr>
          <w:spacing w:val="-8"/>
          <w:vertAlign w:val="baseline"/>
        </w:rPr>
        <w:t> </w:t>
      </w:r>
      <w:r>
        <w:rPr>
          <w:vertAlign w:val="baseline"/>
        </w:rPr>
        <w:t>sobre</w:t>
      </w:r>
      <w:r>
        <w:rPr>
          <w:spacing w:val="-11"/>
          <w:vertAlign w:val="baseline"/>
        </w:rPr>
        <w:t> </w:t>
      </w:r>
      <w:r>
        <w:rPr>
          <w:vertAlign w:val="baseline"/>
        </w:rPr>
        <w:t>o</w:t>
      </w:r>
      <w:r>
        <w:rPr>
          <w:spacing w:val="-8"/>
          <w:vertAlign w:val="baseline"/>
        </w:rPr>
        <w:t> </w:t>
      </w:r>
      <w:r>
        <w:rPr>
          <w:vertAlign w:val="baseline"/>
        </w:rPr>
        <w:t>ecocardiograma</w:t>
      </w:r>
      <w:r>
        <w:rPr>
          <w:spacing w:val="-11"/>
          <w:vertAlign w:val="baseline"/>
        </w:rPr>
        <w:t> </w:t>
      </w:r>
      <w:r>
        <w:rPr>
          <w:vertAlign w:val="baseline"/>
        </w:rPr>
        <w:t>de</w:t>
      </w:r>
      <w:r>
        <w:rPr>
          <w:spacing w:val="-11"/>
          <w:vertAlign w:val="baseline"/>
        </w:rPr>
        <w:t> </w:t>
      </w:r>
      <w:r>
        <w:rPr>
          <w:vertAlign w:val="baseline"/>
        </w:rPr>
        <w:t>esforço</w:t>
      </w:r>
      <w:r>
        <w:rPr>
          <w:spacing w:val="-8"/>
          <w:vertAlign w:val="baseline"/>
        </w:rPr>
        <w:t> </w:t>
      </w:r>
      <w:r>
        <w:rPr>
          <w:vertAlign w:val="baseline"/>
        </w:rPr>
        <w:t>em</w:t>
      </w:r>
      <w:r>
        <w:rPr>
          <w:spacing w:val="-8"/>
          <w:vertAlign w:val="baseline"/>
        </w:rPr>
        <w:t> </w:t>
      </w:r>
      <w:r>
        <w:rPr>
          <w:vertAlign w:val="baseline"/>
        </w:rPr>
        <w:t>um</w:t>
      </w:r>
      <w:r>
        <w:rPr>
          <w:spacing w:val="-8"/>
          <w:vertAlign w:val="baseline"/>
        </w:rPr>
        <w:t> </w:t>
      </w:r>
      <w:r>
        <w:rPr>
          <w:vertAlign w:val="baseline"/>
        </w:rPr>
        <w:t>estudo.</w:t>
      </w:r>
      <w:r>
        <w:rPr>
          <w:vertAlign w:val="superscript"/>
        </w:rPr>
        <w:t>49</w:t>
      </w:r>
      <w:r>
        <w:rPr>
          <w:spacing w:val="-2"/>
          <w:vertAlign w:val="baseline"/>
        </w:rPr>
        <w:t> </w:t>
      </w:r>
      <w:r>
        <w:rPr>
          <w:vertAlign w:val="baseline"/>
        </w:rPr>
        <w:t>A</w:t>
      </w:r>
      <w:r>
        <w:rPr>
          <w:spacing w:val="-11"/>
          <w:vertAlign w:val="baseline"/>
        </w:rPr>
        <w:t> </w:t>
      </w:r>
      <w:r>
        <w:rPr>
          <w:vertAlign w:val="baseline"/>
        </w:rPr>
        <w:t>adição</w:t>
      </w:r>
      <w:r>
        <w:rPr>
          <w:spacing w:val="-8"/>
          <w:vertAlign w:val="baseline"/>
        </w:rPr>
        <w:t> </w:t>
      </w:r>
      <w:r>
        <w:rPr>
          <w:vertAlign w:val="baseline"/>
        </w:rPr>
        <w:t>da</w:t>
      </w:r>
      <w:r>
        <w:rPr>
          <w:spacing w:val="-11"/>
          <w:vertAlign w:val="baseline"/>
        </w:rPr>
        <w:t> </w:t>
      </w:r>
      <w:r>
        <w:rPr>
          <w:vertAlign w:val="baseline"/>
        </w:rPr>
        <w:t>cintigrafia</w:t>
      </w:r>
      <w:r>
        <w:rPr>
          <w:spacing w:val="-11"/>
          <w:vertAlign w:val="baseline"/>
        </w:rPr>
        <w:t> </w:t>
      </w:r>
      <w:r>
        <w:rPr>
          <w:vertAlign w:val="baseline"/>
        </w:rPr>
        <w:t>quando</w:t>
      </w:r>
      <w:r>
        <w:rPr>
          <w:spacing w:val="-8"/>
          <w:vertAlign w:val="baseline"/>
        </w:rPr>
        <w:t> </w:t>
      </w:r>
      <w:r>
        <w:rPr>
          <w:vertAlign w:val="baseline"/>
        </w:rPr>
        <w:t>o</w:t>
      </w:r>
      <w:r>
        <w:rPr>
          <w:spacing w:val="-8"/>
          <w:vertAlign w:val="baseline"/>
        </w:rPr>
        <w:t> </w:t>
      </w:r>
      <w:r>
        <w:rPr>
          <w:vertAlign w:val="baseline"/>
        </w:rPr>
        <w:t>ecocardiograma</w:t>
      </w:r>
      <w:r>
        <w:rPr>
          <w:spacing w:val="-11"/>
          <w:vertAlign w:val="baseline"/>
        </w:rPr>
        <w:t> </w:t>
      </w:r>
      <w:r>
        <w:rPr>
          <w:vertAlign w:val="baseline"/>
        </w:rPr>
        <w:t>com dobutamina-atropina</w:t>
      </w:r>
      <w:r>
        <w:rPr>
          <w:spacing w:val="-10"/>
          <w:vertAlign w:val="baseline"/>
        </w:rPr>
        <w:t> </w:t>
      </w:r>
      <w:r>
        <w:rPr>
          <w:vertAlign w:val="baseline"/>
        </w:rPr>
        <w:t>não</w:t>
      </w:r>
      <w:r>
        <w:rPr>
          <w:spacing w:val="-8"/>
          <w:vertAlign w:val="baseline"/>
        </w:rPr>
        <w:t> </w:t>
      </w:r>
      <w:r>
        <w:rPr>
          <w:vertAlign w:val="baseline"/>
        </w:rPr>
        <w:t>atingir</w:t>
      </w:r>
      <w:r>
        <w:rPr>
          <w:spacing w:val="-3"/>
          <w:vertAlign w:val="baseline"/>
        </w:rPr>
        <w:t> </w:t>
      </w:r>
      <w:r>
        <w:rPr>
          <w:vertAlign w:val="baseline"/>
        </w:rPr>
        <w:t>a</w:t>
      </w:r>
      <w:r>
        <w:rPr>
          <w:spacing w:val="-10"/>
          <w:vertAlign w:val="baseline"/>
        </w:rPr>
        <w:t> </w:t>
      </w:r>
      <w:r>
        <w:rPr>
          <w:vertAlign w:val="baseline"/>
        </w:rPr>
        <w:t>frequência</w:t>
      </w:r>
      <w:r>
        <w:rPr>
          <w:spacing w:val="-10"/>
          <w:vertAlign w:val="baseline"/>
        </w:rPr>
        <w:t> </w:t>
      </w:r>
      <w:r>
        <w:rPr>
          <w:vertAlign w:val="baseline"/>
        </w:rPr>
        <w:t>cardíaca</w:t>
      </w:r>
      <w:r>
        <w:rPr>
          <w:spacing w:val="-10"/>
          <w:vertAlign w:val="baseline"/>
        </w:rPr>
        <w:t> </w:t>
      </w:r>
      <w:r>
        <w:rPr>
          <w:vertAlign w:val="baseline"/>
        </w:rPr>
        <w:t>preconizada</w:t>
      </w:r>
      <w:r>
        <w:rPr>
          <w:spacing w:val="-10"/>
          <w:vertAlign w:val="baseline"/>
        </w:rPr>
        <w:t> </w:t>
      </w:r>
      <w:r>
        <w:rPr>
          <w:vertAlign w:val="baseline"/>
        </w:rPr>
        <w:t>pode</w:t>
      </w:r>
      <w:r>
        <w:rPr>
          <w:spacing w:val="-10"/>
          <w:vertAlign w:val="baseline"/>
        </w:rPr>
        <w:t> </w:t>
      </w:r>
      <w:r>
        <w:rPr>
          <w:vertAlign w:val="baseline"/>
        </w:rPr>
        <w:t>aumentar</w:t>
      </w:r>
      <w:r>
        <w:rPr>
          <w:spacing w:val="-3"/>
          <w:vertAlign w:val="baseline"/>
        </w:rPr>
        <w:t> </w:t>
      </w:r>
      <w:r>
        <w:rPr>
          <w:vertAlign w:val="baseline"/>
        </w:rPr>
        <w:t>a</w:t>
      </w:r>
      <w:r>
        <w:rPr>
          <w:spacing w:val="-10"/>
          <w:vertAlign w:val="baseline"/>
        </w:rPr>
        <w:t> </w:t>
      </w:r>
      <w:r>
        <w:rPr>
          <w:vertAlign w:val="baseline"/>
        </w:rPr>
        <w:t>capacidade</w:t>
      </w:r>
      <w:r>
        <w:rPr>
          <w:spacing w:val="-10"/>
          <w:vertAlign w:val="baseline"/>
        </w:rPr>
        <w:t> </w:t>
      </w:r>
      <w:r>
        <w:rPr>
          <w:vertAlign w:val="baseline"/>
        </w:rPr>
        <w:t>de</w:t>
      </w:r>
      <w:r>
        <w:rPr>
          <w:spacing w:val="-10"/>
          <w:vertAlign w:val="baseline"/>
        </w:rPr>
        <w:t> </w:t>
      </w:r>
      <w:r>
        <w:rPr>
          <w:vertAlign w:val="baseline"/>
        </w:rPr>
        <w:t>prever</w:t>
      </w:r>
      <w:r>
        <w:rPr>
          <w:spacing w:val="-3"/>
          <w:vertAlign w:val="baseline"/>
        </w:rPr>
        <w:t> </w:t>
      </w:r>
      <w:r>
        <w:rPr>
          <w:vertAlign w:val="baseline"/>
        </w:rPr>
        <w:t>eventos.</w:t>
      </w:r>
      <w:r>
        <w:rPr>
          <w:vertAlign w:val="superscript"/>
        </w:rPr>
        <w:t>50</w:t>
      </w:r>
    </w:p>
    <w:p>
      <w:pPr>
        <w:pStyle w:val="BodyText"/>
        <w:spacing w:line="276" w:lineRule="auto" w:before="48"/>
        <w:ind w:right="488"/>
      </w:pPr>
      <w:r>
        <w:rPr/>
        <w:t>O monitoramento eletrocardiográfico de 24 h está indicado em pacientes com suspeita de angina de etiologia vasoespástica e no diagnóstico e quantificação da isquemia silenciosa. Esse método é feito pelo sistema Holter, analisando</w:t>
      </w:r>
      <w:r>
        <w:rPr>
          <w:spacing w:val="-3"/>
        </w:rPr>
        <w:t> </w:t>
      </w:r>
      <w:r>
        <w:rPr/>
        <w:t>as alterações do</w:t>
      </w:r>
      <w:r>
        <w:rPr>
          <w:spacing w:val="-3"/>
        </w:rPr>
        <w:t> </w:t>
      </w:r>
      <w:r>
        <w:rPr/>
        <w:t>ritmo</w:t>
      </w:r>
      <w:r>
        <w:rPr>
          <w:spacing w:val="-3"/>
        </w:rPr>
        <w:t> </w:t>
      </w:r>
      <w:r>
        <w:rPr/>
        <w:t>e</w:t>
      </w:r>
      <w:r>
        <w:rPr>
          <w:spacing w:val="-5"/>
        </w:rPr>
        <w:t> </w:t>
      </w:r>
      <w:r>
        <w:rPr/>
        <w:t>as variações do</w:t>
      </w:r>
      <w:r>
        <w:rPr>
          <w:spacing w:val="-3"/>
        </w:rPr>
        <w:t> </w:t>
      </w:r>
      <w:r>
        <w:rPr/>
        <w:t>segmento</w:t>
      </w:r>
      <w:r>
        <w:rPr>
          <w:spacing w:val="-3"/>
        </w:rPr>
        <w:t> </w:t>
      </w:r>
      <w:r>
        <w:rPr/>
        <w:t>ST. De</w:t>
      </w:r>
      <w:r>
        <w:rPr>
          <w:spacing w:val="-5"/>
        </w:rPr>
        <w:t> </w:t>
      </w:r>
      <w:r>
        <w:rPr/>
        <w:t>acordo</w:t>
      </w:r>
      <w:r>
        <w:rPr>
          <w:spacing w:val="-3"/>
        </w:rPr>
        <w:t> </w:t>
      </w:r>
      <w:r>
        <w:rPr/>
        <w:t>com</w:t>
      </w:r>
      <w:r>
        <w:rPr>
          <w:spacing w:val="-3"/>
        </w:rPr>
        <w:t> </w:t>
      </w:r>
      <w:r>
        <w:rPr/>
        <w:t>o</w:t>
      </w:r>
      <w:r>
        <w:rPr>
          <w:spacing w:val="-3"/>
        </w:rPr>
        <w:t> </w:t>
      </w:r>
      <w:r>
        <w:rPr/>
        <w:t>Consenso</w:t>
      </w:r>
      <w:r>
        <w:rPr>
          <w:spacing w:val="-3"/>
        </w:rPr>
        <w:t> </w:t>
      </w:r>
      <w:r>
        <w:rPr/>
        <w:t>SOCESP–SBC sobre Eletrocardiografia</w:t>
      </w:r>
      <w:r>
        <w:rPr>
          <w:spacing w:val="-3"/>
        </w:rPr>
        <w:t> </w:t>
      </w:r>
      <w:r>
        <w:rPr/>
        <w:t>pelo</w:t>
      </w:r>
      <w:r>
        <w:rPr>
          <w:spacing w:val="-1"/>
        </w:rPr>
        <w:t> </w:t>
      </w:r>
      <w:r>
        <w:rPr/>
        <w:t>Sistema</w:t>
      </w:r>
      <w:r>
        <w:rPr>
          <w:spacing w:val="-3"/>
        </w:rPr>
        <w:t> </w:t>
      </w:r>
      <w:r>
        <w:rPr/>
        <w:t>Holter, as indicações do</w:t>
      </w:r>
      <w:r>
        <w:rPr>
          <w:spacing w:val="-1"/>
        </w:rPr>
        <w:t> </w:t>
      </w:r>
      <w:r>
        <w:rPr/>
        <w:t>Holter para</w:t>
      </w:r>
      <w:r>
        <w:rPr>
          <w:spacing w:val="-3"/>
        </w:rPr>
        <w:t> </w:t>
      </w:r>
      <w:r>
        <w:rPr/>
        <w:t>a</w:t>
      </w:r>
      <w:r>
        <w:rPr>
          <w:spacing w:val="-3"/>
        </w:rPr>
        <w:t> </w:t>
      </w:r>
      <w:r>
        <w:rPr/>
        <w:t>detecção</w:t>
      </w:r>
      <w:r>
        <w:rPr>
          <w:spacing w:val="-1"/>
        </w:rPr>
        <w:t> </w:t>
      </w:r>
      <w:r>
        <w:rPr/>
        <w:t>de</w:t>
      </w:r>
      <w:r>
        <w:rPr>
          <w:spacing w:val="-3"/>
        </w:rPr>
        <w:t> </w:t>
      </w:r>
      <w:r>
        <w:rPr/>
        <w:t>isquemia</w:t>
      </w:r>
      <w:r>
        <w:rPr>
          <w:spacing w:val="-3"/>
        </w:rPr>
        <w:t> </w:t>
      </w:r>
      <w:r>
        <w:rPr/>
        <w:t>miocárdica</w:t>
      </w:r>
      <w:r>
        <w:rPr>
          <w:spacing w:val="-3"/>
        </w:rPr>
        <w:t> </w:t>
      </w:r>
      <w:r>
        <w:rPr/>
        <w:t>são:</w:t>
      </w:r>
    </w:p>
    <w:p>
      <w:pPr>
        <w:pStyle w:val="ListParagraph"/>
        <w:numPr>
          <w:ilvl w:val="0"/>
          <w:numId w:val="21"/>
        </w:numPr>
        <w:tabs>
          <w:tab w:pos="397" w:val="left" w:leader="none"/>
        </w:tabs>
        <w:spacing w:line="240" w:lineRule="auto" w:before="161" w:after="0"/>
        <w:ind w:left="397" w:right="0" w:hanging="329"/>
        <w:jc w:val="left"/>
        <w:rPr>
          <w:sz w:val="23"/>
        </w:rPr>
      </w:pPr>
      <w:r>
        <w:rPr>
          <w:sz w:val="23"/>
        </w:rPr>
        <w:t>Classe</w:t>
      </w:r>
      <w:r>
        <w:rPr>
          <w:spacing w:val="-11"/>
          <w:sz w:val="23"/>
        </w:rPr>
        <w:t> </w:t>
      </w:r>
      <w:r>
        <w:rPr>
          <w:sz w:val="23"/>
        </w:rPr>
        <w:t>I:</w:t>
      </w:r>
      <w:r>
        <w:rPr>
          <w:spacing w:val="-5"/>
          <w:sz w:val="23"/>
        </w:rPr>
        <w:t> </w:t>
      </w:r>
      <w:r>
        <w:rPr>
          <w:sz w:val="23"/>
        </w:rPr>
        <w:t>suspeita</w:t>
      </w:r>
      <w:r>
        <w:rPr>
          <w:spacing w:val="-10"/>
          <w:sz w:val="23"/>
        </w:rPr>
        <w:t> </w:t>
      </w:r>
      <w:r>
        <w:rPr>
          <w:sz w:val="23"/>
        </w:rPr>
        <w:t>de</w:t>
      </w:r>
      <w:r>
        <w:rPr>
          <w:spacing w:val="-10"/>
          <w:sz w:val="23"/>
        </w:rPr>
        <w:t> </w:t>
      </w:r>
      <w:r>
        <w:rPr>
          <w:sz w:val="23"/>
        </w:rPr>
        <w:t>angina</w:t>
      </w:r>
      <w:r>
        <w:rPr>
          <w:spacing w:val="-11"/>
          <w:sz w:val="23"/>
        </w:rPr>
        <w:t> </w:t>
      </w:r>
      <w:r>
        <w:rPr>
          <w:sz w:val="23"/>
        </w:rPr>
        <w:t>vasoespástica, não</w:t>
      </w:r>
      <w:r>
        <w:rPr>
          <w:spacing w:val="-8"/>
          <w:sz w:val="23"/>
        </w:rPr>
        <w:t> </w:t>
      </w:r>
      <w:r>
        <w:rPr>
          <w:sz w:val="23"/>
        </w:rPr>
        <w:t>esclarecida</w:t>
      </w:r>
      <w:r>
        <w:rPr>
          <w:spacing w:val="-10"/>
          <w:sz w:val="23"/>
        </w:rPr>
        <w:t> </w:t>
      </w:r>
      <w:r>
        <w:rPr>
          <w:sz w:val="23"/>
        </w:rPr>
        <w:t>por</w:t>
      </w:r>
      <w:r>
        <w:rPr>
          <w:spacing w:val="-3"/>
          <w:sz w:val="23"/>
        </w:rPr>
        <w:t> </w:t>
      </w:r>
      <w:r>
        <w:rPr>
          <w:sz w:val="23"/>
        </w:rPr>
        <w:t>outros métodos </w:t>
      </w:r>
      <w:r>
        <w:rPr>
          <w:spacing w:val="-2"/>
          <w:sz w:val="23"/>
        </w:rPr>
        <w:t>diagnósticos</w:t>
      </w:r>
    </w:p>
    <w:p>
      <w:pPr>
        <w:pStyle w:val="ListParagraph"/>
        <w:numPr>
          <w:ilvl w:val="0"/>
          <w:numId w:val="21"/>
        </w:numPr>
        <w:tabs>
          <w:tab w:pos="397" w:val="left" w:leader="none"/>
        </w:tabs>
        <w:spacing w:line="240" w:lineRule="auto" w:before="55" w:after="0"/>
        <w:ind w:left="397" w:right="0" w:hanging="329"/>
        <w:jc w:val="left"/>
        <w:rPr>
          <w:sz w:val="23"/>
        </w:rPr>
      </w:pPr>
      <w:r>
        <w:rPr>
          <w:sz w:val="23"/>
        </w:rPr>
        <w:t>Classe</w:t>
      </w:r>
      <w:r>
        <w:rPr>
          <w:spacing w:val="-13"/>
          <w:sz w:val="23"/>
        </w:rPr>
        <w:t> </w:t>
      </w:r>
      <w:r>
        <w:rPr>
          <w:sz w:val="23"/>
        </w:rPr>
        <w:t>II:</w:t>
      </w:r>
      <w:r>
        <w:rPr>
          <w:spacing w:val="-5"/>
          <w:sz w:val="23"/>
        </w:rPr>
        <w:t> </w:t>
      </w:r>
      <w:r>
        <w:rPr>
          <w:sz w:val="23"/>
        </w:rPr>
        <w:t>dor</w:t>
      </w:r>
      <w:r>
        <w:rPr>
          <w:spacing w:val="-3"/>
          <w:sz w:val="23"/>
        </w:rPr>
        <w:t> </w:t>
      </w:r>
      <w:r>
        <w:rPr>
          <w:sz w:val="23"/>
        </w:rPr>
        <w:t>precordial</w:t>
      </w:r>
      <w:r>
        <w:rPr>
          <w:spacing w:val="-5"/>
          <w:sz w:val="23"/>
        </w:rPr>
        <w:t> </w:t>
      </w:r>
      <w:r>
        <w:rPr>
          <w:sz w:val="23"/>
        </w:rPr>
        <w:t>sugestiva</w:t>
      </w:r>
      <w:r>
        <w:rPr>
          <w:spacing w:val="-10"/>
          <w:sz w:val="23"/>
        </w:rPr>
        <w:t> </w:t>
      </w:r>
      <w:r>
        <w:rPr>
          <w:sz w:val="23"/>
        </w:rPr>
        <w:t>em</w:t>
      </w:r>
      <w:r>
        <w:rPr>
          <w:spacing w:val="-8"/>
          <w:sz w:val="23"/>
        </w:rPr>
        <w:t> </w:t>
      </w:r>
      <w:r>
        <w:rPr>
          <w:sz w:val="23"/>
        </w:rPr>
        <w:t>indivíduos</w:t>
      </w:r>
      <w:r>
        <w:rPr>
          <w:spacing w:val="-1"/>
          <w:sz w:val="23"/>
        </w:rPr>
        <w:t> </w:t>
      </w:r>
      <w:r>
        <w:rPr>
          <w:sz w:val="23"/>
        </w:rPr>
        <w:t>incapazes de</w:t>
      </w:r>
      <w:r>
        <w:rPr>
          <w:spacing w:val="-10"/>
          <w:sz w:val="23"/>
        </w:rPr>
        <w:t> </w:t>
      </w:r>
      <w:r>
        <w:rPr>
          <w:sz w:val="23"/>
        </w:rPr>
        <w:t>realizar</w:t>
      </w:r>
      <w:r>
        <w:rPr>
          <w:spacing w:val="-3"/>
          <w:sz w:val="23"/>
        </w:rPr>
        <w:t> </w:t>
      </w:r>
      <w:r>
        <w:rPr>
          <w:sz w:val="23"/>
        </w:rPr>
        <w:t>teste</w:t>
      </w:r>
      <w:r>
        <w:rPr>
          <w:spacing w:val="-10"/>
          <w:sz w:val="23"/>
        </w:rPr>
        <w:t> </w:t>
      </w:r>
      <w:r>
        <w:rPr>
          <w:sz w:val="23"/>
        </w:rPr>
        <w:t>de</w:t>
      </w:r>
      <w:r>
        <w:rPr>
          <w:spacing w:val="-10"/>
          <w:sz w:val="23"/>
        </w:rPr>
        <w:t> </w:t>
      </w:r>
      <w:r>
        <w:rPr>
          <w:spacing w:val="-2"/>
          <w:sz w:val="23"/>
        </w:rPr>
        <w:t>esforço</w:t>
      </w:r>
    </w:p>
    <w:p>
      <w:pPr>
        <w:pStyle w:val="ListParagraph"/>
        <w:numPr>
          <w:ilvl w:val="0"/>
          <w:numId w:val="21"/>
        </w:numPr>
        <w:tabs>
          <w:tab w:pos="428" w:val="left" w:leader="none"/>
        </w:tabs>
        <w:spacing w:line="290" w:lineRule="auto" w:before="72" w:after="0"/>
        <w:ind w:left="68" w:right="492" w:firstLine="0"/>
        <w:jc w:val="left"/>
        <w:rPr>
          <w:sz w:val="23"/>
        </w:rPr>
      </w:pPr>
      <w:r>
        <w:rPr>
          <w:sz w:val="23"/>
        </w:rPr>
        <w:t>Classe</w:t>
      </w:r>
      <w:r>
        <w:rPr>
          <w:spacing w:val="22"/>
          <w:sz w:val="23"/>
        </w:rPr>
        <w:t> </w:t>
      </w:r>
      <w:r>
        <w:rPr>
          <w:sz w:val="23"/>
        </w:rPr>
        <w:t>III:</w:t>
      </w:r>
      <w:r>
        <w:rPr>
          <w:spacing w:val="28"/>
          <w:sz w:val="23"/>
        </w:rPr>
        <w:t> </w:t>
      </w:r>
      <w:r>
        <w:rPr>
          <w:sz w:val="23"/>
        </w:rPr>
        <w:t>avaliação</w:t>
      </w:r>
      <w:r>
        <w:rPr>
          <w:spacing w:val="26"/>
          <w:sz w:val="23"/>
        </w:rPr>
        <w:t> </w:t>
      </w:r>
      <w:r>
        <w:rPr>
          <w:sz w:val="23"/>
        </w:rPr>
        <w:t>de</w:t>
      </w:r>
      <w:r>
        <w:rPr>
          <w:spacing w:val="22"/>
          <w:sz w:val="23"/>
        </w:rPr>
        <w:t> </w:t>
      </w:r>
      <w:r>
        <w:rPr>
          <w:sz w:val="23"/>
        </w:rPr>
        <w:t>rotina</w:t>
      </w:r>
      <w:r>
        <w:rPr>
          <w:spacing w:val="22"/>
          <w:sz w:val="23"/>
        </w:rPr>
        <w:t> </w:t>
      </w:r>
      <w:r>
        <w:rPr>
          <w:sz w:val="23"/>
        </w:rPr>
        <w:t>da</w:t>
      </w:r>
      <w:r>
        <w:rPr>
          <w:spacing w:val="22"/>
          <w:sz w:val="23"/>
        </w:rPr>
        <w:t> </w:t>
      </w:r>
      <w:r>
        <w:rPr>
          <w:sz w:val="23"/>
        </w:rPr>
        <w:t>dor</w:t>
      </w:r>
      <w:r>
        <w:rPr>
          <w:spacing w:val="31"/>
          <w:sz w:val="23"/>
        </w:rPr>
        <w:t> </w:t>
      </w:r>
      <w:r>
        <w:rPr>
          <w:sz w:val="23"/>
        </w:rPr>
        <w:t>torácica</w:t>
      </w:r>
      <w:r>
        <w:rPr>
          <w:spacing w:val="22"/>
          <w:sz w:val="23"/>
        </w:rPr>
        <w:t> </w:t>
      </w:r>
      <w:r>
        <w:rPr>
          <w:sz w:val="23"/>
        </w:rPr>
        <w:t>ou</w:t>
      </w:r>
      <w:r>
        <w:rPr>
          <w:spacing w:val="26"/>
          <w:sz w:val="23"/>
        </w:rPr>
        <w:t> </w:t>
      </w:r>
      <w:r>
        <w:rPr>
          <w:sz w:val="23"/>
        </w:rPr>
        <w:t>para</w:t>
      </w:r>
      <w:r>
        <w:rPr>
          <w:spacing w:val="22"/>
          <w:sz w:val="23"/>
        </w:rPr>
        <w:t> </w:t>
      </w:r>
      <w:r>
        <w:rPr>
          <w:sz w:val="23"/>
        </w:rPr>
        <w:t>a</w:t>
      </w:r>
      <w:r>
        <w:rPr>
          <w:spacing w:val="22"/>
          <w:sz w:val="23"/>
        </w:rPr>
        <w:t> </w:t>
      </w:r>
      <w:r>
        <w:rPr>
          <w:sz w:val="23"/>
        </w:rPr>
        <w:t>detecção</w:t>
      </w:r>
      <w:r>
        <w:rPr>
          <w:spacing w:val="26"/>
          <w:sz w:val="23"/>
        </w:rPr>
        <w:t> </w:t>
      </w:r>
      <w:r>
        <w:rPr>
          <w:sz w:val="23"/>
        </w:rPr>
        <w:t>de</w:t>
      </w:r>
      <w:r>
        <w:rPr>
          <w:spacing w:val="22"/>
          <w:sz w:val="23"/>
        </w:rPr>
        <w:t> </w:t>
      </w:r>
      <w:r>
        <w:rPr>
          <w:sz w:val="23"/>
        </w:rPr>
        <w:t>isquemia</w:t>
      </w:r>
      <w:r>
        <w:rPr>
          <w:spacing w:val="22"/>
          <w:sz w:val="23"/>
        </w:rPr>
        <w:t> </w:t>
      </w:r>
      <w:r>
        <w:rPr>
          <w:sz w:val="23"/>
        </w:rPr>
        <w:t>miocárdica</w:t>
      </w:r>
      <w:r>
        <w:rPr>
          <w:spacing w:val="22"/>
          <w:sz w:val="23"/>
        </w:rPr>
        <w:t> </w:t>
      </w:r>
      <w:r>
        <w:rPr>
          <w:sz w:val="23"/>
        </w:rPr>
        <w:t>no</w:t>
      </w:r>
      <w:r>
        <w:rPr>
          <w:spacing w:val="26"/>
          <w:sz w:val="23"/>
        </w:rPr>
        <w:t> </w:t>
      </w:r>
      <w:r>
        <w:rPr>
          <w:sz w:val="23"/>
        </w:rPr>
        <w:t>pós-infarto</w:t>
      </w:r>
      <w:r>
        <w:rPr>
          <w:spacing w:val="26"/>
          <w:sz w:val="23"/>
        </w:rPr>
        <w:t> </w:t>
      </w:r>
      <w:r>
        <w:rPr>
          <w:sz w:val="23"/>
        </w:rPr>
        <w:t>do miocárdio, pós-revascularização do miocárdio e em pré-reabilitação física.</w:t>
      </w:r>
      <w:r>
        <w:rPr>
          <w:sz w:val="23"/>
          <w:vertAlign w:val="superscript"/>
        </w:rPr>
        <w:t>51</w:t>
      </w:r>
    </w:p>
    <w:p>
      <w:pPr>
        <w:pStyle w:val="BodyText"/>
        <w:spacing w:line="278" w:lineRule="auto" w:before="209"/>
        <w:ind w:right="497"/>
      </w:pPr>
      <w:r>
        <w:rPr/>
        <w:t>A</w:t>
      </w:r>
      <w:r>
        <w:rPr>
          <w:spacing w:val="-4"/>
        </w:rPr>
        <w:t> </w:t>
      </w:r>
      <w:r>
        <w:rPr/>
        <w:t>ressonância</w:t>
      </w:r>
      <w:r>
        <w:rPr>
          <w:spacing w:val="-4"/>
        </w:rPr>
        <w:t> </w:t>
      </w:r>
      <w:r>
        <w:rPr/>
        <w:t>magnética</w:t>
      </w:r>
      <w:r>
        <w:rPr>
          <w:spacing w:val="-4"/>
        </w:rPr>
        <w:t> </w:t>
      </w:r>
      <w:r>
        <w:rPr/>
        <w:t>(RM) é</w:t>
      </w:r>
      <w:r>
        <w:rPr>
          <w:spacing w:val="-4"/>
        </w:rPr>
        <w:t> </w:t>
      </w:r>
      <w:r>
        <w:rPr/>
        <w:t>um</w:t>
      </w:r>
      <w:r>
        <w:rPr>
          <w:spacing w:val="-1"/>
        </w:rPr>
        <w:t> </w:t>
      </w:r>
      <w:r>
        <w:rPr/>
        <w:t>método</w:t>
      </w:r>
      <w:r>
        <w:rPr>
          <w:spacing w:val="-1"/>
        </w:rPr>
        <w:t> </w:t>
      </w:r>
      <w:r>
        <w:rPr/>
        <w:t>promissor para</w:t>
      </w:r>
      <w:r>
        <w:rPr>
          <w:spacing w:val="-4"/>
        </w:rPr>
        <w:t> </w:t>
      </w:r>
      <w:r>
        <w:rPr/>
        <w:t>a</w:t>
      </w:r>
      <w:r>
        <w:rPr>
          <w:spacing w:val="-4"/>
        </w:rPr>
        <w:t> </w:t>
      </w:r>
      <w:r>
        <w:rPr/>
        <w:t>análise</w:t>
      </w:r>
      <w:r>
        <w:rPr>
          <w:spacing w:val="-4"/>
        </w:rPr>
        <w:t> </w:t>
      </w:r>
      <w:r>
        <w:rPr/>
        <w:t>de</w:t>
      </w:r>
      <w:r>
        <w:rPr>
          <w:spacing w:val="-4"/>
        </w:rPr>
        <w:t> </w:t>
      </w:r>
      <w:r>
        <w:rPr/>
        <w:t>isquemia</w:t>
      </w:r>
      <w:r>
        <w:rPr>
          <w:spacing w:val="-4"/>
        </w:rPr>
        <w:t> </w:t>
      </w:r>
      <w:r>
        <w:rPr/>
        <w:t>e</w:t>
      </w:r>
      <w:r>
        <w:rPr>
          <w:spacing w:val="-4"/>
        </w:rPr>
        <w:t> </w:t>
      </w:r>
      <w:r>
        <w:rPr/>
        <w:t>viabilidade</w:t>
      </w:r>
      <w:r>
        <w:rPr>
          <w:spacing w:val="-4"/>
        </w:rPr>
        <w:t> </w:t>
      </w:r>
      <w:r>
        <w:rPr/>
        <w:t>miocárdica. As experiências iniciais, usando estímulo farmacológico com dobutamina ou dipiridamol, têm propiciado resultados superponíveis aos da medicina nuclear. Mais recentemente, usando contrastes paramagnéticos e técnicas de angiorressonância das artérias coronárias, relatam-se progressos importantes, embora não transponíveis ainda para a atividade clínica diária. Recentemente, foi observado que é possível detectar necrose e diferenciá-la de músculo isquêmico. Séries bem documentadas já revelaram que, quando a RM mostra viabilidade, há recuperação da contratilidade</w:t>
      </w:r>
      <w:r>
        <w:rPr>
          <w:spacing w:val="-15"/>
        </w:rPr>
        <w:t> </w:t>
      </w:r>
      <w:r>
        <w:rPr/>
        <w:t>global</w:t>
      </w:r>
      <w:r>
        <w:rPr>
          <w:spacing w:val="-14"/>
        </w:rPr>
        <w:t> </w:t>
      </w:r>
      <w:r>
        <w:rPr/>
        <w:t>e</w:t>
      </w:r>
      <w:r>
        <w:rPr>
          <w:spacing w:val="-14"/>
        </w:rPr>
        <w:t> </w:t>
      </w:r>
      <w:r>
        <w:rPr/>
        <w:t>regional</w:t>
      </w:r>
      <w:r>
        <w:rPr>
          <w:spacing w:val="-11"/>
        </w:rPr>
        <w:t> </w:t>
      </w:r>
      <w:r>
        <w:rPr/>
        <w:t>do</w:t>
      </w:r>
      <w:r>
        <w:rPr>
          <w:spacing w:val="-14"/>
        </w:rPr>
        <w:t> </w:t>
      </w:r>
      <w:r>
        <w:rPr/>
        <w:t>ventrículo</w:t>
      </w:r>
      <w:r>
        <w:rPr>
          <w:spacing w:val="-14"/>
        </w:rPr>
        <w:t> </w:t>
      </w:r>
      <w:r>
        <w:rPr/>
        <w:t>após</w:t>
      </w:r>
      <w:r>
        <w:rPr>
          <w:spacing w:val="-7"/>
        </w:rPr>
        <w:t> </w:t>
      </w:r>
      <w:r>
        <w:rPr/>
        <w:t>a</w:t>
      </w:r>
      <w:r>
        <w:rPr>
          <w:spacing w:val="-15"/>
        </w:rPr>
        <w:t> </w:t>
      </w:r>
      <w:r>
        <w:rPr/>
        <w:t>revascularização</w:t>
      </w:r>
      <w:r>
        <w:rPr>
          <w:spacing w:val="-13"/>
        </w:rPr>
        <w:t> </w:t>
      </w:r>
      <w:r>
        <w:rPr/>
        <w:t>miocárdica,</w:t>
      </w:r>
      <w:r>
        <w:rPr>
          <w:spacing w:val="-7"/>
        </w:rPr>
        <w:t> </w:t>
      </w:r>
      <w:r>
        <w:rPr/>
        <w:t>o</w:t>
      </w:r>
      <w:r>
        <w:rPr>
          <w:spacing w:val="-14"/>
        </w:rPr>
        <w:t> </w:t>
      </w:r>
      <w:r>
        <w:rPr/>
        <w:t>contrário</w:t>
      </w:r>
      <w:r>
        <w:rPr>
          <w:spacing w:val="-14"/>
        </w:rPr>
        <w:t> </w:t>
      </w:r>
      <w:r>
        <w:rPr/>
        <w:t>acontecendo</w:t>
      </w:r>
      <w:r>
        <w:rPr>
          <w:spacing w:val="-14"/>
        </w:rPr>
        <w:t> </w:t>
      </w:r>
      <w:r>
        <w:rPr/>
        <w:t>quando</w:t>
      </w:r>
      <w:r>
        <w:rPr>
          <w:spacing w:val="-14"/>
        </w:rPr>
        <w:t> </w:t>
      </w:r>
      <w:r>
        <w:rPr/>
        <w:t>as imagens demonstram existir somente</w:t>
      </w:r>
      <w:r>
        <w:rPr>
          <w:spacing w:val="-1"/>
        </w:rPr>
        <w:t> </w:t>
      </w:r>
      <w:r>
        <w:rPr/>
        <w:t>fibrose. Desse</w:t>
      </w:r>
      <w:r>
        <w:rPr>
          <w:spacing w:val="-1"/>
        </w:rPr>
        <w:t> </w:t>
      </w:r>
      <w:r>
        <w:rPr/>
        <w:t>modo, a</w:t>
      </w:r>
      <w:r>
        <w:rPr>
          <w:spacing w:val="-1"/>
        </w:rPr>
        <w:t> </w:t>
      </w:r>
      <w:r>
        <w:rPr/>
        <w:t>identificação de</w:t>
      </w:r>
      <w:r>
        <w:rPr>
          <w:spacing w:val="-1"/>
        </w:rPr>
        <w:t> </w:t>
      </w:r>
      <w:r>
        <w:rPr/>
        <w:t>miocárdio viável à</w:t>
      </w:r>
      <w:r>
        <w:rPr>
          <w:spacing w:val="-1"/>
        </w:rPr>
        <w:t> </w:t>
      </w:r>
      <w:r>
        <w:rPr/>
        <w:t>RM é</w:t>
      </w:r>
      <w:r>
        <w:rPr>
          <w:spacing w:val="-1"/>
        </w:rPr>
        <w:t> </w:t>
      </w:r>
      <w:r>
        <w:rPr/>
        <w:t>um método útil, sendo também uma grande vantagem suas imagens serem muito fidedignas à anatomia miocárdica, possibilitando a detecção de aneurisma.</w:t>
      </w:r>
      <w:r>
        <w:rPr>
          <w:vertAlign w:val="superscript"/>
        </w:rPr>
        <w:t>52</w:t>
      </w:r>
    </w:p>
    <w:p>
      <w:pPr>
        <w:pStyle w:val="BodyText"/>
        <w:spacing w:line="276" w:lineRule="auto" w:before="55"/>
        <w:ind w:right="497"/>
      </w:pPr>
      <w:r>
        <w:rPr/>
        <w:t>A</w:t>
      </w:r>
      <w:r>
        <w:rPr>
          <w:spacing w:val="-3"/>
        </w:rPr>
        <w:t> </w:t>
      </w:r>
      <w:r>
        <w:rPr/>
        <w:t>tomografia</w:t>
      </w:r>
      <w:r>
        <w:rPr>
          <w:spacing w:val="-3"/>
        </w:rPr>
        <w:t> </w:t>
      </w:r>
      <w:r>
        <w:rPr/>
        <w:t>computadorizada</w:t>
      </w:r>
      <w:r>
        <w:rPr>
          <w:spacing w:val="-3"/>
        </w:rPr>
        <w:t> </w:t>
      </w:r>
      <w:r>
        <w:rPr/>
        <w:t>(TC), assim</w:t>
      </w:r>
      <w:r>
        <w:rPr>
          <w:spacing w:val="-1"/>
        </w:rPr>
        <w:t> </w:t>
      </w:r>
      <w:r>
        <w:rPr/>
        <w:t>como</w:t>
      </w:r>
      <w:r>
        <w:rPr>
          <w:spacing w:val="-1"/>
        </w:rPr>
        <w:t> </w:t>
      </w:r>
      <w:r>
        <w:rPr/>
        <w:t>a</w:t>
      </w:r>
      <w:r>
        <w:rPr>
          <w:spacing w:val="-3"/>
        </w:rPr>
        <w:t> </w:t>
      </w:r>
      <w:r>
        <w:rPr/>
        <w:t>ressonância</w:t>
      </w:r>
      <w:r>
        <w:rPr>
          <w:spacing w:val="-3"/>
        </w:rPr>
        <w:t> </w:t>
      </w:r>
      <w:r>
        <w:rPr/>
        <w:t>magnética, tem</w:t>
      </w:r>
      <w:r>
        <w:rPr>
          <w:spacing w:val="-1"/>
        </w:rPr>
        <w:t> </w:t>
      </w:r>
      <w:r>
        <w:rPr/>
        <w:t>evoluído</w:t>
      </w:r>
      <w:r>
        <w:rPr>
          <w:spacing w:val="-1"/>
        </w:rPr>
        <w:t> </w:t>
      </w:r>
      <w:r>
        <w:rPr/>
        <w:t>em</w:t>
      </w:r>
      <w:r>
        <w:rPr>
          <w:spacing w:val="-1"/>
        </w:rPr>
        <w:t> </w:t>
      </w:r>
      <w:r>
        <w:rPr/>
        <w:t>relação</w:t>
      </w:r>
      <w:r>
        <w:rPr>
          <w:spacing w:val="-1"/>
        </w:rPr>
        <w:t> </w:t>
      </w:r>
      <w:r>
        <w:rPr/>
        <w:t>a</w:t>
      </w:r>
      <w:r>
        <w:rPr>
          <w:spacing w:val="-3"/>
        </w:rPr>
        <w:t> </w:t>
      </w:r>
      <w:r>
        <w:rPr/>
        <w:t>imagens não invasivas do coração. Por também ainda enfrentar dificuldades na aquisição de imagens em movimento, algumas evoluções na técnica vêm surgindo, principalmente o desenvolvimento dos tomógrafos de múltiplos detectores. Atualmente, a TC possibilita a obtenção do escore de cálcio e de imagens coronárias, chamada de angiotomografia coronária. Com base nos resultados de importantes estudos, podem-se aceitar as seguintes afirmações sobre o uso clínico do escore de cálcio: escore negativo implica baixa probabilidade de doença coronária; escore positivo confirma o diagnóstico de aterosclerose coronária; o valor do escore determina risco de eventos; e sua quantificação pode alterar a conduta em pacientes de risco intermediário. A existência de grandes cargas de cálcio detectadas pela determinação do escore de cálcio não deve ser utilizada como indicativo de coronariografia,</w:t>
      </w:r>
      <w:r>
        <w:rPr>
          <w:spacing w:val="-2"/>
        </w:rPr>
        <w:t> </w:t>
      </w:r>
      <w:r>
        <w:rPr/>
        <w:t>e</w:t>
      </w:r>
      <w:r>
        <w:rPr>
          <w:spacing w:val="-12"/>
        </w:rPr>
        <w:t> </w:t>
      </w:r>
      <w:r>
        <w:rPr/>
        <w:t>também</w:t>
      </w:r>
      <w:r>
        <w:rPr>
          <w:spacing w:val="-9"/>
        </w:rPr>
        <w:t> </w:t>
      </w:r>
      <w:r>
        <w:rPr/>
        <w:t>não</w:t>
      </w:r>
      <w:r>
        <w:rPr>
          <w:spacing w:val="-9"/>
        </w:rPr>
        <w:t> </w:t>
      </w:r>
      <w:r>
        <w:rPr/>
        <w:t>está</w:t>
      </w:r>
      <w:r>
        <w:rPr>
          <w:spacing w:val="-12"/>
        </w:rPr>
        <w:t> </w:t>
      </w:r>
      <w:r>
        <w:rPr/>
        <w:t>indicada</w:t>
      </w:r>
      <w:r>
        <w:rPr>
          <w:spacing w:val="-12"/>
        </w:rPr>
        <w:t> </w:t>
      </w:r>
      <w:r>
        <w:rPr/>
        <w:t>para</w:t>
      </w:r>
      <w:r>
        <w:rPr>
          <w:spacing w:val="-12"/>
        </w:rPr>
        <w:t> </w:t>
      </w:r>
      <w:r>
        <w:rPr/>
        <w:t>pacientes</w:t>
      </w:r>
      <w:r>
        <w:rPr>
          <w:spacing w:val="-2"/>
        </w:rPr>
        <w:t> </w:t>
      </w:r>
      <w:r>
        <w:rPr/>
        <w:t>com</w:t>
      </w:r>
      <w:r>
        <w:rPr>
          <w:spacing w:val="-9"/>
        </w:rPr>
        <w:t> </w:t>
      </w:r>
      <w:r>
        <w:rPr/>
        <w:t>baixo</w:t>
      </w:r>
      <w:r>
        <w:rPr>
          <w:spacing w:val="-9"/>
        </w:rPr>
        <w:t> </w:t>
      </w:r>
      <w:r>
        <w:rPr/>
        <w:t>risco</w:t>
      </w:r>
      <w:r>
        <w:rPr>
          <w:spacing w:val="-9"/>
        </w:rPr>
        <w:t> </w:t>
      </w:r>
      <w:r>
        <w:rPr/>
        <w:t>de</w:t>
      </w:r>
      <w:r>
        <w:rPr>
          <w:spacing w:val="-12"/>
        </w:rPr>
        <w:t> </w:t>
      </w:r>
      <w:r>
        <w:rPr/>
        <w:t>doença</w:t>
      </w:r>
      <w:r>
        <w:rPr>
          <w:spacing w:val="-12"/>
        </w:rPr>
        <w:t> </w:t>
      </w:r>
      <w:r>
        <w:rPr/>
        <w:t>coronária.</w:t>
      </w:r>
      <w:r>
        <w:rPr>
          <w:spacing w:val="-2"/>
        </w:rPr>
        <w:t> </w:t>
      </w:r>
      <w:r>
        <w:rPr/>
        <w:t>Até</w:t>
      </w:r>
      <w:r>
        <w:rPr>
          <w:spacing w:val="-12"/>
        </w:rPr>
        <w:t> </w:t>
      </w:r>
      <w:r>
        <w:rPr/>
        <w:t>o</w:t>
      </w:r>
      <w:r>
        <w:rPr>
          <w:spacing w:val="-9"/>
        </w:rPr>
        <w:t> </w:t>
      </w:r>
      <w:r>
        <w:rPr/>
        <w:t>momento,</w:t>
      </w:r>
      <w:r>
        <w:rPr>
          <w:spacing w:val="-2"/>
        </w:rPr>
        <w:t> </w:t>
      </w:r>
      <w:r>
        <w:rPr/>
        <w:t>as evidências mostram que a avaliação do escore de cálcio pode ser útil para melhorar a avaliação de indivíduos com risco intermediário (10 a 20%), possibilitando sua transferência para alto risco e consequente indicação do uso de antiagregante</w:t>
      </w:r>
      <w:r>
        <w:rPr>
          <w:spacing w:val="-8"/>
        </w:rPr>
        <w:t> </w:t>
      </w:r>
      <w:r>
        <w:rPr/>
        <w:t>plaquetário</w:t>
      </w:r>
      <w:r>
        <w:rPr>
          <w:spacing w:val="-6"/>
        </w:rPr>
        <w:t> </w:t>
      </w:r>
      <w:r>
        <w:rPr/>
        <w:t>e</w:t>
      </w:r>
      <w:r>
        <w:rPr>
          <w:spacing w:val="-8"/>
        </w:rPr>
        <w:t> </w:t>
      </w:r>
      <w:r>
        <w:rPr/>
        <w:t>medidas de</w:t>
      </w:r>
      <w:r>
        <w:rPr>
          <w:spacing w:val="-8"/>
        </w:rPr>
        <w:t> </w:t>
      </w:r>
      <w:r>
        <w:rPr/>
        <w:t>prevenção</w:t>
      </w:r>
      <w:r>
        <w:rPr>
          <w:spacing w:val="-6"/>
        </w:rPr>
        <w:t> </w:t>
      </w:r>
      <w:r>
        <w:rPr/>
        <w:t>secundária. Com</w:t>
      </w:r>
      <w:r>
        <w:rPr>
          <w:spacing w:val="-6"/>
        </w:rPr>
        <w:t> </w:t>
      </w:r>
      <w:r>
        <w:rPr/>
        <w:t>relação</w:t>
      </w:r>
      <w:r>
        <w:rPr>
          <w:spacing w:val="-6"/>
        </w:rPr>
        <w:t> </w:t>
      </w:r>
      <w:r>
        <w:rPr/>
        <w:t>à</w:t>
      </w:r>
      <w:r>
        <w:rPr>
          <w:spacing w:val="-8"/>
        </w:rPr>
        <w:t> </w:t>
      </w:r>
      <w:r>
        <w:rPr/>
        <w:t>angiotomografia</w:t>
      </w:r>
      <w:r>
        <w:rPr>
          <w:spacing w:val="-8"/>
        </w:rPr>
        <w:t> </w:t>
      </w:r>
      <w:r>
        <w:rPr/>
        <w:t>coronária, embora</w:t>
      </w:r>
      <w:r>
        <w:rPr>
          <w:spacing w:val="-8"/>
        </w:rPr>
        <w:t> </w:t>
      </w:r>
      <w:r>
        <w:rPr/>
        <w:t>os resultados com os tomógrafos de múltiplos detectores sejam promissores, ainda não há evidência formal para a indicação desse exame para substituir a coronariografia na avaliação da doença coronária.</w:t>
      </w:r>
      <w:r>
        <w:rPr>
          <w:vertAlign w:val="superscript"/>
        </w:rPr>
        <w:t>53–55</w:t>
      </w:r>
    </w:p>
    <w:p>
      <w:pPr>
        <w:pStyle w:val="BodyText"/>
        <w:spacing w:line="276" w:lineRule="auto" w:before="67"/>
        <w:ind w:right="488"/>
      </w:pPr>
      <w:r>
        <w:rPr/>
        <w:t>A</w:t>
      </w:r>
      <w:r>
        <w:rPr>
          <w:spacing w:val="-5"/>
        </w:rPr>
        <w:t> </w:t>
      </w:r>
      <w:r>
        <w:rPr/>
        <w:t>avaliação</w:t>
      </w:r>
      <w:r>
        <w:rPr>
          <w:spacing w:val="-3"/>
        </w:rPr>
        <w:t> </w:t>
      </w:r>
      <w:r>
        <w:rPr/>
        <w:t>clínica, portanto, é</w:t>
      </w:r>
      <w:r>
        <w:rPr>
          <w:spacing w:val="-5"/>
        </w:rPr>
        <w:t> </w:t>
      </w:r>
      <w:r>
        <w:rPr/>
        <w:t>fundamental para</w:t>
      </w:r>
      <w:r>
        <w:rPr>
          <w:spacing w:val="-5"/>
        </w:rPr>
        <w:t> </w:t>
      </w:r>
      <w:r>
        <w:rPr/>
        <w:t>determinar a</w:t>
      </w:r>
      <w:r>
        <w:rPr>
          <w:spacing w:val="-5"/>
        </w:rPr>
        <w:t> </w:t>
      </w:r>
      <w:r>
        <w:rPr/>
        <w:t>probabilidade</w:t>
      </w:r>
      <w:r>
        <w:rPr>
          <w:spacing w:val="-5"/>
        </w:rPr>
        <w:t> </w:t>
      </w:r>
      <w:r>
        <w:rPr/>
        <w:t>de</w:t>
      </w:r>
      <w:r>
        <w:rPr>
          <w:spacing w:val="-5"/>
        </w:rPr>
        <w:t> </w:t>
      </w:r>
      <w:r>
        <w:rPr/>
        <w:t>estarmos diante</w:t>
      </w:r>
      <w:r>
        <w:rPr>
          <w:spacing w:val="-5"/>
        </w:rPr>
        <w:t> </w:t>
      </w:r>
      <w:r>
        <w:rPr/>
        <w:t>de</w:t>
      </w:r>
      <w:r>
        <w:rPr>
          <w:spacing w:val="-5"/>
        </w:rPr>
        <w:t> </w:t>
      </w:r>
      <w:r>
        <w:rPr/>
        <w:t>um</w:t>
      </w:r>
      <w:r>
        <w:rPr>
          <w:spacing w:val="-3"/>
        </w:rPr>
        <w:t> </w:t>
      </w:r>
      <w:r>
        <w:rPr/>
        <w:t>paciente com</w:t>
      </w:r>
      <w:r>
        <w:rPr>
          <w:spacing w:val="-3"/>
        </w:rPr>
        <w:t> </w:t>
      </w:r>
      <w:r>
        <w:rPr/>
        <w:t>insuficiência</w:t>
      </w:r>
      <w:r>
        <w:rPr>
          <w:spacing w:val="-6"/>
        </w:rPr>
        <w:t> </w:t>
      </w:r>
      <w:r>
        <w:rPr/>
        <w:t>coronariana</w:t>
      </w:r>
      <w:r>
        <w:rPr>
          <w:spacing w:val="-6"/>
        </w:rPr>
        <w:t> </w:t>
      </w:r>
      <w:r>
        <w:rPr/>
        <w:t>e</w:t>
      </w:r>
      <w:r>
        <w:rPr>
          <w:spacing w:val="-6"/>
        </w:rPr>
        <w:t> </w:t>
      </w:r>
      <w:r>
        <w:rPr/>
        <w:t>seu</w:t>
      </w:r>
      <w:r>
        <w:rPr>
          <w:spacing w:val="-3"/>
        </w:rPr>
        <w:t> </w:t>
      </w:r>
      <w:r>
        <w:rPr/>
        <w:t>potencial</w:t>
      </w:r>
      <w:r>
        <w:rPr>
          <w:spacing w:val="-1"/>
        </w:rPr>
        <w:t> </w:t>
      </w:r>
      <w:r>
        <w:rPr/>
        <w:t>risco. Os pacientes com</w:t>
      </w:r>
      <w:r>
        <w:rPr>
          <w:spacing w:val="-3"/>
        </w:rPr>
        <w:t> </w:t>
      </w:r>
      <w:r>
        <w:rPr/>
        <w:t>suspeita</w:t>
      </w:r>
      <w:r>
        <w:rPr>
          <w:spacing w:val="-6"/>
        </w:rPr>
        <w:t> </w:t>
      </w:r>
      <w:r>
        <w:rPr/>
        <w:t>de</w:t>
      </w:r>
      <w:r>
        <w:rPr>
          <w:spacing w:val="-6"/>
        </w:rPr>
        <w:t> </w:t>
      </w:r>
      <w:r>
        <w:rPr/>
        <w:t>insuficiência</w:t>
      </w:r>
      <w:r>
        <w:rPr>
          <w:spacing w:val="-6"/>
        </w:rPr>
        <w:t> </w:t>
      </w:r>
      <w:r>
        <w:rPr/>
        <w:t>coronariana</w:t>
      </w:r>
      <w:r>
        <w:rPr>
          <w:spacing w:val="-6"/>
        </w:rPr>
        <w:t> </w:t>
      </w:r>
      <w:r>
        <w:rPr/>
        <w:t>ou</w:t>
      </w:r>
      <w:r>
        <w:rPr>
          <w:spacing w:val="-3"/>
        </w:rPr>
        <w:t> </w:t>
      </w:r>
      <w:r>
        <w:rPr/>
        <w:t>com apresentação</w:t>
      </w:r>
      <w:r>
        <w:rPr>
          <w:spacing w:val="-5"/>
        </w:rPr>
        <w:t> </w:t>
      </w:r>
      <w:r>
        <w:rPr/>
        <w:t>clínica</w:t>
      </w:r>
      <w:r>
        <w:rPr>
          <w:spacing w:val="-7"/>
        </w:rPr>
        <w:t> </w:t>
      </w:r>
      <w:r>
        <w:rPr/>
        <w:t>de</w:t>
      </w:r>
      <w:r>
        <w:rPr>
          <w:spacing w:val="-7"/>
        </w:rPr>
        <w:t> </w:t>
      </w:r>
      <w:r>
        <w:rPr/>
        <w:t>baixo</w:t>
      </w:r>
      <w:r>
        <w:rPr>
          <w:spacing w:val="-5"/>
        </w:rPr>
        <w:t> </w:t>
      </w:r>
      <w:r>
        <w:rPr/>
        <w:t>risco</w:t>
      </w:r>
      <w:r>
        <w:rPr>
          <w:spacing w:val="-5"/>
        </w:rPr>
        <w:t> </w:t>
      </w:r>
      <w:r>
        <w:rPr/>
        <w:t>devem</w:t>
      </w:r>
      <w:r>
        <w:rPr>
          <w:spacing w:val="-5"/>
        </w:rPr>
        <w:t> </w:t>
      </w:r>
      <w:r>
        <w:rPr/>
        <w:t>ter seu</w:t>
      </w:r>
      <w:r>
        <w:rPr>
          <w:spacing w:val="-5"/>
        </w:rPr>
        <w:t> </w:t>
      </w:r>
      <w:r>
        <w:rPr/>
        <w:t>diagnóstico</w:t>
      </w:r>
      <w:r>
        <w:rPr>
          <w:spacing w:val="-5"/>
        </w:rPr>
        <w:t> </w:t>
      </w:r>
      <w:r>
        <w:rPr/>
        <w:t>confirmado</w:t>
      </w:r>
      <w:r>
        <w:rPr>
          <w:spacing w:val="-5"/>
        </w:rPr>
        <w:t> </w:t>
      </w:r>
      <w:r>
        <w:rPr/>
        <w:t>por exames de</w:t>
      </w:r>
      <w:r>
        <w:rPr>
          <w:spacing w:val="-7"/>
        </w:rPr>
        <w:t> </w:t>
      </w:r>
      <w:r>
        <w:rPr/>
        <w:t>avaliação</w:t>
      </w:r>
      <w:r>
        <w:rPr>
          <w:spacing w:val="-5"/>
        </w:rPr>
        <w:t> </w:t>
      </w:r>
      <w:r>
        <w:rPr/>
        <w:t>funcional, como o teste ergométrico, o ecocardiograma de estresse ou a cintigrafia. Os pacientes com apresentação inicial de alto risco (angina de início recente, progressiva ou limitante, acompanhada de insuficiência cardíaca ou arritmia grave) devem</w:t>
      </w:r>
      <w:r>
        <w:rPr>
          <w:spacing w:val="-1"/>
        </w:rPr>
        <w:t> </w:t>
      </w:r>
      <w:r>
        <w:rPr/>
        <w:t>ser encaminhados para</w:t>
      </w:r>
      <w:r>
        <w:rPr>
          <w:spacing w:val="-4"/>
        </w:rPr>
        <w:t> </w:t>
      </w:r>
      <w:r>
        <w:rPr/>
        <w:t>avaliação</w:t>
      </w:r>
      <w:r>
        <w:rPr>
          <w:spacing w:val="-1"/>
        </w:rPr>
        <w:t> </w:t>
      </w:r>
      <w:r>
        <w:rPr/>
        <w:t>anatômica</w:t>
      </w:r>
      <w:r>
        <w:rPr>
          <w:spacing w:val="-4"/>
        </w:rPr>
        <w:t> </w:t>
      </w:r>
      <w:r>
        <w:rPr/>
        <w:t>por meio</w:t>
      </w:r>
      <w:r>
        <w:rPr>
          <w:spacing w:val="-1"/>
        </w:rPr>
        <w:t> </w:t>
      </w:r>
      <w:r>
        <w:rPr/>
        <w:t>da</w:t>
      </w:r>
      <w:r>
        <w:rPr>
          <w:spacing w:val="-4"/>
        </w:rPr>
        <w:t> </w:t>
      </w:r>
      <w:r>
        <w:rPr/>
        <w:t>coronariografia.</w:t>
      </w:r>
    </w:p>
    <w:p>
      <w:pPr>
        <w:pStyle w:val="BodyText"/>
        <w:spacing w:line="276" w:lineRule="auto"/>
        <w:ind w:right="488"/>
      </w:pPr>
      <w:r>
        <w:rPr/>
        <w:t>As </w:t>
      </w:r>
      <w:r>
        <w:rPr>
          <w:color w:val="505050"/>
        </w:rPr>
        <w:t>Figuras 56.2 </w:t>
      </w:r>
      <w:r>
        <w:rPr/>
        <w:t>e</w:t>
      </w:r>
      <w:r>
        <w:rPr>
          <w:spacing w:val="-3"/>
        </w:rPr>
        <w:t> </w:t>
      </w:r>
      <w:r>
        <w:rPr>
          <w:color w:val="505050"/>
        </w:rPr>
        <w:t>56.3 </w:t>
      </w:r>
      <w:r>
        <w:rPr/>
        <w:t>descrevem os algoritmos com as recomendações da American Heart Association para a abordagem e diagnóstico do paciente com insuficiência coronariana.</w:t>
      </w:r>
    </w:p>
    <w:p>
      <w:pPr>
        <w:pStyle w:val="BodyText"/>
        <w:spacing w:before="185"/>
        <w:ind w:left="0" w:firstLine="0"/>
        <w:jc w:val="left"/>
      </w:pPr>
    </w:p>
    <w:p>
      <w:pPr>
        <w:pStyle w:val="Heading4"/>
        <w:jc w:val="both"/>
      </w:pPr>
      <w:r>
        <w:rPr>
          <w:color w:val="242B67"/>
        </w:rPr>
        <w:t>Estratificação de risco </w:t>
      </w:r>
      <w:r>
        <w:rPr>
          <w:color w:val="242B67"/>
          <w:spacing w:val="-2"/>
        </w:rPr>
        <w:t>cardíaco</w:t>
      </w:r>
    </w:p>
    <w:p>
      <w:pPr>
        <w:pStyle w:val="BodyText"/>
        <w:spacing w:line="276" w:lineRule="auto" w:before="132"/>
        <w:ind w:right="500"/>
      </w:pPr>
      <w:r>
        <w:rPr/>
        <w:t>Após o diagnóstico, a estratificação de risco é fundamental por sua implicação terapêutica. Assim, para os pacientes</w:t>
      </w:r>
      <w:r>
        <w:rPr>
          <w:spacing w:val="13"/>
        </w:rPr>
        <w:t> </w:t>
      </w:r>
      <w:r>
        <w:rPr/>
        <w:t>com diagnóstico firmado de insuficiência coronariana com apresentação clínica e exames</w:t>
      </w:r>
      <w:r>
        <w:rPr>
          <w:spacing w:val="13"/>
        </w:rPr>
        <w:t> </w:t>
      </w:r>
      <w:r>
        <w:rPr/>
        <w:t>caracterizados</w:t>
      </w:r>
    </w:p>
    <w:p>
      <w:pPr>
        <w:pStyle w:val="BodyText"/>
        <w:spacing w:after="0" w:line="276" w:lineRule="auto"/>
        <w:sectPr>
          <w:pgSz w:w="11900" w:h="16840"/>
          <w:pgMar w:top="220" w:bottom="280" w:left="566" w:right="141"/>
        </w:sectPr>
      </w:pPr>
    </w:p>
    <w:p>
      <w:pPr>
        <w:pStyle w:val="BodyText"/>
        <w:spacing w:line="276" w:lineRule="auto" w:before="80"/>
        <w:ind w:right="497" w:firstLine="0"/>
      </w:pPr>
      <w:r>
        <w:rPr/>
        <w:t>como</w:t>
      </w:r>
      <w:r>
        <w:rPr>
          <w:spacing w:val="-7"/>
        </w:rPr>
        <w:t> </w:t>
      </w:r>
      <w:r>
        <w:rPr/>
        <w:t>de</w:t>
      </w:r>
      <w:r>
        <w:rPr>
          <w:spacing w:val="-10"/>
        </w:rPr>
        <w:t> </w:t>
      </w:r>
      <w:r>
        <w:rPr/>
        <w:t>baixo</w:t>
      </w:r>
      <w:r>
        <w:rPr>
          <w:spacing w:val="-7"/>
        </w:rPr>
        <w:t> </w:t>
      </w:r>
      <w:r>
        <w:rPr/>
        <w:t>risco</w:t>
      </w:r>
      <w:r>
        <w:rPr>
          <w:spacing w:val="-7"/>
        </w:rPr>
        <w:t> </w:t>
      </w:r>
      <w:r>
        <w:rPr/>
        <w:t>está</w:t>
      </w:r>
      <w:r>
        <w:rPr>
          <w:spacing w:val="-10"/>
        </w:rPr>
        <w:t> </w:t>
      </w:r>
      <w:r>
        <w:rPr/>
        <w:t>indicado</w:t>
      </w:r>
      <w:r>
        <w:rPr>
          <w:spacing w:val="-7"/>
        </w:rPr>
        <w:t> </w:t>
      </w:r>
      <w:r>
        <w:rPr/>
        <w:t>o</w:t>
      </w:r>
      <w:r>
        <w:rPr>
          <w:spacing w:val="-7"/>
        </w:rPr>
        <w:t> </w:t>
      </w:r>
      <w:r>
        <w:rPr/>
        <w:t>tratamento</w:t>
      </w:r>
      <w:r>
        <w:rPr>
          <w:spacing w:val="-7"/>
        </w:rPr>
        <w:t> </w:t>
      </w:r>
      <w:r>
        <w:rPr/>
        <w:t>medicamentoso, seguido</w:t>
      </w:r>
      <w:r>
        <w:rPr>
          <w:spacing w:val="-7"/>
        </w:rPr>
        <w:t> </w:t>
      </w:r>
      <w:r>
        <w:rPr/>
        <w:t>de</w:t>
      </w:r>
      <w:r>
        <w:rPr>
          <w:spacing w:val="-10"/>
        </w:rPr>
        <w:t> </w:t>
      </w:r>
      <w:r>
        <w:rPr/>
        <w:t>reavaliação</w:t>
      </w:r>
      <w:r>
        <w:rPr>
          <w:spacing w:val="-7"/>
        </w:rPr>
        <w:t> </w:t>
      </w:r>
      <w:r>
        <w:rPr/>
        <w:t>por</w:t>
      </w:r>
      <w:r>
        <w:rPr>
          <w:spacing w:val="-2"/>
        </w:rPr>
        <w:t> </w:t>
      </w:r>
      <w:r>
        <w:rPr/>
        <w:t>estratificação</w:t>
      </w:r>
      <w:r>
        <w:rPr>
          <w:spacing w:val="-7"/>
        </w:rPr>
        <w:t> </w:t>
      </w:r>
      <w:r>
        <w:rPr/>
        <w:t>funcional. Os pacientes estratificados como de baixo risco têm bom prognóstico e podem ser seguidos clinicamente sem a necessidade de cinecoronariografia ou tratamento invasivo.</w:t>
      </w:r>
    </w:p>
    <w:p>
      <w:pPr>
        <w:pStyle w:val="BodyText"/>
        <w:spacing w:line="276" w:lineRule="auto" w:before="64"/>
        <w:ind w:right="501"/>
      </w:pPr>
      <w:r>
        <w:rPr/>
        <w:t>Na</w:t>
      </w:r>
      <w:r>
        <w:rPr>
          <w:spacing w:val="-4"/>
        </w:rPr>
        <w:t> </w:t>
      </w:r>
      <w:r>
        <w:rPr/>
        <w:t>avaliação</w:t>
      </w:r>
      <w:r>
        <w:rPr>
          <w:spacing w:val="-1"/>
        </w:rPr>
        <w:t> </w:t>
      </w:r>
      <w:r>
        <w:rPr/>
        <w:t>do</w:t>
      </w:r>
      <w:r>
        <w:rPr>
          <w:spacing w:val="-1"/>
        </w:rPr>
        <w:t> </w:t>
      </w:r>
      <w:r>
        <w:rPr/>
        <w:t>paciente</w:t>
      </w:r>
      <w:r>
        <w:rPr>
          <w:spacing w:val="-4"/>
        </w:rPr>
        <w:t> </w:t>
      </w:r>
      <w:r>
        <w:rPr/>
        <w:t>levamos em</w:t>
      </w:r>
      <w:r>
        <w:rPr>
          <w:spacing w:val="-2"/>
        </w:rPr>
        <w:t> </w:t>
      </w:r>
      <w:r>
        <w:rPr/>
        <w:t>conta</w:t>
      </w:r>
      <w:r>
        <w:rPr>
          <w:spacing w:val="-4"/>
        </w:rPr>
        <w:t> </w:t>
      </w:r>
      <w:r>
        <w:rPr/>
        <w:t>o</w:t>
      </w:r>
      <w:r>
        <w:rPr>
          <w:spacing w:val="-1"/>
        </w:rPr>
        <w:t> </w:t>
      </w:r>
      <w:r>
        <w:rPr/>
        <w:t>tipo</w:t>
      </w:r>
      <w:r>
        <w:rPr>
          <w:spacing w:val="-1"/>
        </w:rPr>
        <w:t> </w:t>
      </w:r>
      <w:r>
        <w:rPr/>
        <w:t>de</w:t>
      </w:r>
      <w:r>
        <w:rPr>
          <w:spacing w:val="-4"/>
        </w:rPr>
        <w:t> </w:t>
      </w:r>
      <w:r>
        <w:rPr/>
        <w:t>angina</w:t>
      </w:r>
      <w:r>
        <w:rPr>
          <w:spacing w:val="-4"/>
        </w:rPr>
        <w:t> </w:t>
      </w:r>
      <w:r>
        <w:rPr/>
        <w:t>(conforme</w:t>
      </w:r>
      <w:r>
        <w:rPr>
          <w:spacing w:val="-4"/>
        </w:rPr>
        <w:t> </w:t>
      </w:r>
      <w:r>
        <w:rPr/>
        <w:t>classificação</w:t>
      </w:r>
      <w:r>
        <w:rPr>
          <w:spacing w:val="-1"/>
        </w:rPr>
        <w:t> </w:t>
      </w:r>
      <w:r>
        <w:rPr/>
        <w:t>de</w:t>
      </w:r>
      <w:r>
        <w:rPr>
          <w:spacing w:val="-4"/>
        </w:rPr>
        <w:t> </w:t>
      </w:r>
      <w:r>
        <w:rPr/>
        <w:t>Braunwald), alterações ao</w:t>
      </w:r>
      <w:r>
        <w:rPr>
          <w:spacing w:val="-3"/>
        </w:rPr>
        <w:t> </w:t>
      </w:r>
      <w:r>
        <w:rPr/>
        <w:t>ECG</w:t>
      </w:r>
      <w:r>
        <w:rPr>
          <w:spacing w:val="-6"/>
        </w:rPr>
        <w:t> </w:t>
      </w:r>
      <w:r>
        <w:rPr/>
        <w:t>convencional, refratariedade</w:t>
      </w:r>
      <w:r>
        <w:rPr>
          <w:spacing w:val="-6"/>
        </w:rPr>
        <w:t> </w:t>
      </w:r>
      <w:r>
        <w:rPr/>
        <w:t>à</w:t>
      </w:r>
      <w:r>
        <w:rPr>
          <w:spacing w:val="-6"/>
        </w:rPr>
        <w:t> </w:t>
      </w:r>
      <w:r>
        <w:rPr/>
        <w:t>medicação, função</w:t>
      </w:r>
      <w:r>
        <w:rPr>
          <w:spacing w:val="-3"/>
        </w:rPr>
        <w:t> </w:t>
      </w:r>
      <w:r>
        <w:rPr/>
        <w:t>ventricular esquerda</w:t>
      </w:r>
      <w:r>
        <w:rPr>
          <w:spacing w:val="-6"/>
        </w:rPr>
        <w:t> </w:t>
      </w:r>
      <w:r>
        <w:rPr/>
        <w:t>e</w:t>
      </w:r>
      <w:r>
        <w:rPr>
          <w:spacing w:val="-6"/>
        </w:rPr>
        <w:t> </w:t>
      </w:r>
      <w:r>
        <w:rPr/>
        <w:t>provas funcionais de</w:t>
      </w:r>
      <w:r>
        <w:rPr>
          <w:spacing w:val="-6"/>
        </w:rPr>
        <w:t> </w:t>
      </w:r>
      <w:r>
        <w:rPr/>
        <w:t>isquemia.</w:t>
      </w:r>
    </w:p>
    <w:p>
      <w:pPr>
        <w:pStyle w:val="BodyText"/>
        <w:spacing w:before="48"/>
        <w:ind w:left="414" w:firstLine="0"/>
      </w:pPr>
      <w:r>
        <w:rPr/>
        <w:t>São</w:t>
      </w:r>
      <w:r>
        <w:rPr>
          <w:spacing w:val="-9"/>
        </w:rPr>
        <w:t> </w:t>
      </w:r>
      <w:r>
        <w:rPr/>
        <w:t>considerados</w:t>
      </w:r>
      <w:r>
        <w:rPr>
          <w:spacing w:val="-2"/>
        </w:rPr>
        <w:t> </w:t>
      </w:r>
      <w:r>
        <w:rPr/>
        <w:t>de</w:t>
      </w:r>
      <w:r>
        <w:rPr>
          <w:spacing w:val="-11"/>
        </w:rPr>
        <w:t> </w:t>
      </w:r>
      <w:r>
        <w:rPr/>
        <w:t>alto</w:t>
      </w:r>
      <w:r>
        <w:rPr>
          <w:spacing w:val="-9"/>
        </w:rPr>
        <w:t> </w:t>
      </w:r>
      <w:r>
        <w:rPr/>
        <w:t>risco</w:t>
      </w:r>
      <w:r>
        <w:rPr>
          <w:spacing w:val="-9"/>
        </w:rPr>
        <w:t> </w:t>
      </w:r>
      <w:r>
        <w:rPr/>
        <w:t>os</w:t>
      </w:r>
      <w:r>
        <w:rPr>
          <w:spacing w:val="-1"/>
        </w:rPr>
        <w:t> </w:t>
      </w:r>
      <w:r>
        <w:rPr/>
        <w:t>pacientes</w:t>
      </w:r>
      <w:r>
        <w:rPr>
          <w:spacing w:val="-2"/>
        </w:rPr>
        <w:t> </w:t>
      </w:r>
      <w:r>
        <w:rPr/>
        <w:t>com</w:t>
      </w:r>
      <w:r>
        <w:rPr>
          <w:spacing w:val="-8"/>
        </w:rPr>
        <w:t> </w:t>
      </w:r>
      <w:r>
        <w:rPr/>
        <w:t>as</w:t>
      </w:r>
      <w:r>
        <w:rPr>
          <w:spacing w:val="-2"/>
        </w:rPr>
        <w:t> </w:t>
      </w:r>
      <w:r>
        <w:rPr/>
        <w:t>seguintes</w:t>
      </w:r>
      <w:r>
        <w:rPr>
          <w:spacing w:val="-1"/>
        </w:rPr>
        <w:t> </w:t>
      </w:r>
      <w:r>
        <w:rPr>
          <w:spacing w:val="-2"/>
        </w:rPr>
        <w:t>características:</w:t>
      </w:r>
    </w:p>
    <w:p>
      <w:pPr>
        <w:pStyle w:val="ListParagraph"/>
        <w:numPr>
          <w:ilvl w:val="0"/>
          <w:numId w:val="21"/>
        </w:numPr>
        <w:tabs>
          <w:tab w:pos="397" w:val="left" w:leader="none"/>
        </w:tabs>
        <w:spacing w:line="240" w:lineRule="auto" w:before="200" w:after="0"/>
        <w:ind w:left="397" w:right="0" w:hanging="329"/>
        <w:jc w:val="left"/>
        <w:rPr>
          <w:sz w:val="23"/>
        </w:rPr>
      </w:pPr>
      <w:r>
        <w:rPr>
          <w:sz w:val="23"/>
        </w:rPr>
        <w:t>Angina</w:t>
      </w:r>
      <w:r>
        <w:rPr>
          <w:spacing w:val="-15"/>
          <w:sz w:val="23"/>
        </w:rPr>
        <w:t> </w:t>
      </w:r>
      <w:r>
        <w:rPr>
          <w:sz w:val="23"/>
        </w:rPr>
        <w:t>refratária</w:t>
      </w:r>
      <w:r>
        <w:rPr>
          <w:spacing w:val="-14"/>
          <w:sz w:val="23"/>
        </w:rPr>
        <w:t> </w:t>
      </w:r>
      <w:r>
        <w:rPr>
          <w:sz w:val="23"/>
        </w:rPr>
        <w:t>ao</w:t>
      </w:r>
      <w:r>
        <w:rPr>
          <w:spacing w:val="-14"/>
          <w:sz w:val="23"/>
        </w:rPr>
        <w:t> </w:t>
      </w:r>
      <w:r>
        <w:rPr>
          <w:sz w:val="23"/>
        </w:rPr>
        <w:t>tratamento</w:t>
      </w:r>
      <w:r>
        <w:rPr>
          <w:spacing w:val="-12"/>
          <w:sz w:val="23"/>
        </w:rPr>
        <w:t> </w:t>
      </w:r>
      <w:r>
        <w:rPr>
          <w:spacing w:val="-2"/>
          <w:sz w:val="23"/>
        </w:rPr>
        <w:t>medicamentoso</w:t>
      </w:r>
    </w:p>
    <w:p>
      <w:pPr>
        <w:pStyle w:val="ListParagraph"/>
        <w:numPr>
          <w:ilvl w:val="0"/>
          <w:numId w:val="21"/>
        </w:numPr>
        <w:tabs>
          <w:tab w:pos="397" w:val="left" w:leader="none"/>
        </w:tabs>
        <w:spacing w:line="240" w:lineRule="auto" w:before="72" w:after="0"/>
        <w:ind w:left="397" w:right="0" w:hanging="329"/>
        <w:jc w:val="left"/>
        <w:rPr>
          <w:sz w:val="23"/>
        </w:rPr>
      </w:pPr>
      <w:r>
        <w:rPr>
          <w:sz w:val="23"/>
        </w:rPr>
        <w:t>Isquemia</w:t>
      </w:r>
      <w:r>
        <w:rPr>
          <w:spacing w:val="-11"/>
          <w:sz w:val="23"/>
        </w:rPr>
        <w:t> </w:t>
      </w:r>
      <w:r>
        <w:rPr>
          <w:sz w:val="23"/>
        </w:rPr>
        <w:t>em</w:t>
      </w:r>
      <w:r>
        <w:rPr>
          <w:spacing w:val="-8"/>
          <w:sz w:val="23"/>
        </w:rPr>
        <w:t> </w:t>
      </w:r>
      <w:r>
        <w:rPr>
          <w:sz w:val="23"/>
        </w:rPr>
        <w:t>múltiplas derivações</w:t>
      </w:r>
      <w:r>
        <w:rPr>
          <w:spacing w:val="-1"/>
          <w:sz w:val="23"/>
        </w:rPr>
        <w:t> </w:t>
      </w:r>
      <w:r>
        <w:rPr>
          <w:sz w:val="23"/>
        </w:rPr>
        <w:t>do</w:t>
      </w:r>
      <w:r>
        <w:rPr>
          <w:spacing w:val="-8"/>
          <w:sz w:val="23"/>
        </w:rPr>
        <w:t> </w:t>
      </w:r>
      <w:r>
        <w:rPr>
          <w:sz w:val="23"/>
        </w:rPr>
        <w:t>ECG</w:t>
      </w:r>
      <w:r>
        <w:rPr>
          <w:spacing w:val="-10"/>
          <w:sz w:val="23"/>
        </w:rPr>
        <w:t> </w:t>
      </w:r>
      <w:r>
        <w:rPr>
          <w:spacing w:val="-2"/>
          <w:sz w:val="23"/>
        </w:rPr>
        <w:t>convencional</w:t>
      </w:r>
    </w:p>
    <w:p>
      <w:pPr>
        <w:pStyle w:val="BodyText"/>
        <w:spacing w:before="59"/>
        <w:ind w:left="0" w:firstLine="0"/>
        <w:jc w:val="left"/>
        <w:rPr>
          <w:sz w:val="20"/>
        </w:rPr>
      </w:pPr>
      <w:r>
        <w:rPr>
          <w:sz w:val="20"/>
        </w:rPr>
        <w:drawing>
          <wp:anchor distT="0" distB="0" distL="0" distR="0" allowOverlap="1" layoutInCell="1" locked="0" behindDoc="1" simplePos="0" relativeHeight="487603712">
            <wp:simplePos x="0" y="0"/>
            <wp:positionH relativeFrom="page">
              <wp:posOffset>401556</wp:posOffset>
            </wp:positionH>
            <wp:positionV relativeFrom="paragraph">
              <wp:posOffset>198755</wp:posOffset>
            </wp:positionV>
            <wp:extent cx="6764977" cy="550164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6" cstate="print"/>
                    <a:stretch>
                      <a:fillRect/>
                    </a:stretch>
                  </pic:blipFill>
                  <pic:spPr>
                    <a:xfrm>
                      <a:off x="0" y="0"/>
                      <a:ext cx="6764977" cy="5501640"/>
                    </a:xfrm>
                    <a:prstGeom prst="rect">
                      <a:avLst/>
                    </a:prstGeom>
                  </pic:spPr>
                </pic:pic>
              </a:graphicData>
            </a:graphic>
          </wp:anchor>
        </w:drawing>
      </w:r>
    </w:p>
    <w:p>
      <w:pPr>
        <w:spacing w:line="285" w:lineRule="auto" w:before="261"/>
        <w:ind w:left="68" w:right="497" w:firstLine="0"/>
        <w:jc w:val="both"/>
        <w:rPr>
          <w:rFonts w:ascii="Microsoft Sans Serif" w:hAnsi="Microsoft Sans Serif"/>
          <w:sz w:val="19"/>
        </w:rPr>
      </w:pPr>
      <w:r>
        <w:rPr>
          <w:rFonts w:ascii="Arial" w:hAnsi="Arial"/>
          <w:b/>
          <w:color w:val="242B67"/>
          <w:sz w:val="19"/>
        </w:rPr>
        <w:t>Figura 56.2</w:t>
      </w:r>
      <w:r>
        <w:rPr>
          <w:rFonts w:ascii="Arial" w:hAnsi="Arial"/>
          <w:b/>
          <w:color w:val="242B67"/>
          <w:spacing w:val="35"/>
          <w:sz w:val="19"/>
        </w:rPr>
        <w:t> </w:t>
      </w:r>
      <w:r>
        <w:rPr>
          <w:rFonts w:ascii="Microsoft Sans Serif" w:hAnsi="Microsoft Sans Serif"/>
          <w:sz w:val="19"/>
        </w:rPr>
        <w:t>Fluxograma</w:t>
      </w:r>
      <w:r>
        <w:rPr>
          <w:rFonts w:ascii="Microsoft Sans Serif" w:hAnsi="Microsoft Sans Serif"/>
          <w:spacing w:val="37"/>
          <w:sz w:val="19"/>
        </w:rPr>
        <w:t> </w:t>
      </w:r>
      <w:r>
        <w:rPr>
          <w:rFonts w:ascii="Microsoft Sans Serif" w:hAnsi="Microsoft Sans Serif"/>
          <w:sz w:val="19"/>
        </w:rPr>
        <w:t>de</w:t>
      </w:r>
      <w:r>
        <w:rPr>
          <w:rFonts w:ascii="Microsoft Sans Serif" w:hAnsi="Microsoft Sans Serif"/>
          <w:spacing w:val="37"/>
          <w:sz w:val="19"/>
        </w:rPr>
        <w:t> </w:t>
      </w:r>
      <w:r>
        <w:rPr>
          <w:rFonts w:ascii="Microsoft Sans Serif" w:hAnsi="Microsoft Sans Serif"/>
          <w:sz w:val="19"/>
        </w:rPr>
        <w:t>atendimento</w:t>
      </w:r>
      <w:r>
        <w:rPr>
          <w:rFonts w:ascii="Microsoft Sans Serif" w:hAnsi="Microsoft Sans Serif"/>
          <w:spacing w:val="37"/>
          <w:sz w:val="19"/>
        </w:rPr>
        <w:t> </w:t>
      </w:r>
      <w:r>
        <w:rPr>
          <w:rFonts w:ascii="Microsoft Sans Serif" w:hAnsi="Microsoft Sans Serif"/>
          <w:sz w:val="19"/>
        </w:rPr>
        <w:t>do</w:t>
      </w:r>
      <w:r>
        <w:rPr>
          <w:rFonts w:ascii="Microsoft Sans Serif" w:hAnsi="Microsoft Sans Serif"/>
          <w:spacing w:val="37"/>
          <w:sz w:val="19"/>
        </w:rPr>
        <w:t> </w:t>
      </w:r>
      <w:r>
        <w:rPr>
          <w:rFonts w:ascii="Microsoft Sans Serif" w:hAnsi="Microsoft Sans Serif"/>
          <w:sz w:val="19"/>
        </w:rPr>
        <w:t>paciente</w:t>
      </w:r>
      <w:r>
        <w:rPr>
          <w:rFonts w:ascii="Microsoft Sans Serif" w:hAnsi="Microsoft Sans Serif"/>
          <w:spacing w:val="37"/>
          <w:sz w:val="19"/>
        </w:rPr>
        <w:t> </w:t>
      </w:r>
      <w:r>
        <w:rPr>
          <w:rFonts w:ascii="Microsoft Sans Serif" w:hAnsi="Microsoft Sans Serif"/>
          <w:sz w:val="19"/>
        </w:rPr>
        <w:t>com</w:t>
      </w:r>
      <w:r>
        <w:rPr>
          <w:rFonts w:ascii="Microsoft Sans Serif" w:hAnsi="Microsoft Sans Serif"/>
          <w:spacing w:val="30"/>
          <w:sz w:val="19"/>
        </w:rPr>
        <w:t> </w:t>
      </w:r>
      <w:r>
        <w:rPr>
          <w:rFonts w:ascii="Microsoft Sans Serif" w:hAnsi="Microsoft Sans Serif"/>
          <w:sz w:val="19"/>
        </w:rPr>
        <w:t>suspeita</w:t>
      </w:r>
      <w:r>
        <w:rPr>
          <w:rFonts w:ascii="Microsoft Sans Serif" w:hAnsi="Microsoft Sans Serif"/>
          <w:spacing w:val="37"/>
          <w:sz w:val="19"/>
        </w:rPr>
        <w:t> </w:t>
      </w:r>
      <w:r>
        <w:rPr>
          <w:rFonts w:ascii="Microsoft Sans Serif" w:hAnsi="Microsoft Sans Serif"/>
          <w:sz w:val="19"/>
        </w:rPr>
        <w:t>de</w:t>
      </w:r>
      <w:r>
        <w:rPr>
          <w:rFonts w:ascii="Microsoft Sans Serif" w:hAnsi="Microsoft Sans Serif"/>
          <w:spacing w:val="37"/>
          <w:sz w:val="19"/>
        </w:rPr>
        <w:t> </w:t>
      </w:r>
      <w:r>
        <w:rPr>
          <w:rFonts w:ascii="Microsoft Sans Serif" w:hAnsi="Microsoft Sans Serif"/>
          <w:sz w:val="19"/>
        </w:rPr>
        <w:t>insuficiência</w:t>
      </w:r>
      <w:r>
        <w:rPr>
          <w:rFonts w:ascii="Microsoft Sans Serif" w:hAnsi="Microsoft Sans Serif"/>
          <w:spacing w:val="37"/>
          <w:sz w:val="19"/>
        </w:rPr>
        <w:t> </w:t>
      </w:r>
      <w:r>
        <w:rPr>
          <w:rFonts w:ascii="Microsoft Sans Serif" w:hAnsi="Microsoft Sans Serif"/>
          <w:sz w:val="19"/>
        </w:rPr>
        <w:t>coronária.</w:t>
      </w:r>
      <w:r>
        <w:rPr>
          <w:rFonts w:ascii="Microsoft Sans Serif" w:hAnsi="Microsoft Sans Serif"/>
          <w:spacing w:val="22"/>
          <w:sz w:val="19"/>
        </w:rPr>
        <w:t> </w:t>
      </w:r>
      <w:r>
        <w:rPr>
          <w:rFonts w:ascii="Microsoft Sans Serif" w:hAnsi="Microsoft Sans Serif"/>
          <w:sz w:val="19"/>
        </w:rPr>
        <w:t>ECG</w:t>
      </w:r>
      <w:r>
        <w:rPr>
          <w:rFonts w:ascii="Microsoft Sans Serif" w:hAnsi="Microsoft Sans Serif"/>
          <w:spacing w:val="22"/>
          <w:sz w:val="19"/>
        </w:rPr>
        <w:t> </w:t>
      </w:r>
      <w:r>
        <w:rPr>
          <w:rFonts w:ascii="Microsoft Sans Serif" w:hAnsi="Microsoft Sans Serif"/>
          <w:sz w:val="19"/>
        </w:rPr>
        <w:t>=</w:t>
      </w:r>
      <w:r>
        <w:rPr>
          <w:rFonts w:ascii="Microsoft Sans Serif" w:hAnsi="Microsoft Sans Serif"/>
          <w:spacing w:val="29"/>
          <w:sz w:val="19"/>
        </w:rPr>
        <w:t> </w:t>
      </w:r>
      <w:r>
        <w:rPr>
          <w:rFonts w:ascii="Microsoft Sans Serif" w:hAnsi="Microsoft Sans Serif"/>
          <w:sz w:val="19"/>
        </w:rPr>
        <w:t>eletrocardiograma; VE = ventrículo esquerdo.</w:t>
      </w:r>
    </w:p>
    <w:p>
      <w:pPr>
        <w:spacing w:after="0" w:line="285" w:lineRule="auto"/>
        <w:jc w:val="both"/>
        <w:rPr>
          <w:rFonts w:ascii="Microsoft Sans Serif" w:hAnsi="Microsoft Sans Serif"/>
          <w:sz w:val="19"/>
        </w:rPr>
        <w:sectPr>
          <w:pgSz w:w="11900" w:h="16840"/>
          <w:pgMar w:top="200" w:bottom="280" w:left="566" w:right="141"/>
        </w:sectPr>
      </w:pPr>
    </w:p>
    <w:p>
      <w:pPr>
        <w:spacing w:line="240" w:lineRule="auto"/>
        <w:ind w:left="1571" w:right="0" w:firstLine="0"/>
        <w:rPr>
          <w:rFonts w:ascii="Microsoft Sans Serif"/>
          <w:sz w:val="20"/>
        </w:rPr>
      </w:pPr>
      <w:r>
        <w:rPr>
          <w:rFonts w:ascii="Microsoft Sans Serif"/>
          <w:sz w:val="20"/>
        </w:rPr>
        <w:drawing>
          <wp:inline distT="0" distB="0" distL="0" distR="0">
            <wp:extent cx="4851263" cy="651252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7" cstate="print"/>
                    <a:stretch>
                      <a:fillRect/>
                    </a:stretch>
                  </pic:blipFill>
                  <pic:spPr>
                    <a:xfrm>
                      <a:off x="0" y="0"/>
                      <a:ext cx="4851263" cy="6512528"/>
                    </a:xfrm>
                    <a:prstGeom prst="rect">
                      <a:avLst/>
                    </a:prstGeom>
                  </pic:spPr>
                </pic:pic>
              </a:graphicData>
            </a:graphic>
          </wp:inline>
        </w:drawing>
      </w:r>
      <w:r>
        <w:rPr>
          <w:rFonts w:ascii="Microsoft Sans Serif"/>
          <w:sz w:val="20"/>
        </w:rPr>
      </w:r>
    </w:p>
    <w:p>
      <w:pPr>
        <w:pStyle w:val="BodyText"/>
        <w:spacing w:before="38"/>
        <w:ind w:left="0" w:firstLine="0"/>
        <w:jc w:val="left"/>
        <w:rPr>
          <w:rFonts w:ascii="Microsoft Sans Serif"/>
          <w:sz w:val="19"/>
        </w:rPr>
      </w:pPr>
    </w:p>
    <w:p>
      <w:pPr>
        <w:spacing w:before="1"/>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6"/>
          <w:sz w:val="19"/>
        </w:rPr>
        <w:t> </w:t>
      </w:r>
      <w:r>
        <w:rPr>
          <w:rFonts w:ascii="Arial" w:hAnsi="Arial"/>
          <w:b/>
          <w:color w:val="242B67"/>
          <w:sz w:val="19"/>
        </w:rPr>
        <w:t>56.3</w:t>
      </w:r>
      <w:r>
        <w:rPr>
          <w:rFonts w:ascii="Arial" w:hAnsi="Arial"/>
          <w:b/>
          <w:color w:val="242B67"/>
          <w:spacing w:val="17"/>
          <w:sz w:val="19"/>
        </w:rPr>
        <w:t> </w:t>
      </w:r>
      <w:r>
        <w:rPr>
          <w:rFonts w:ascii="Microsoft Sans Serif" w:hAnsi="Microsoft Sans Serif"/>
          <w:sz w:val="19"/>
        </w:rPr>
        <w:t>Avaliação</w:t>
      </w:r>
      <w:r>
        <w:rPr>
          <w:rFonts w:ascii="Microsoft Sans Serif" w:hAnsi="Microsoft Sans Serif"/>
          <w:spacing w:val="19"/>
          <w:sz w:val="19"/>
        </w:rPr>
        <w:t> </w:t>
      </w:r>
      <w:r>
        <w:rPr>
          <w:rFonts w:ascii="Microsoft Sans Serif" w:hAnsi="Microsoft Sans Serif"/>
          <w:sz w:val="19"/>
        </w:rPr>
        <w:t>funcional</w:t>
      </w:r>
      <w:r>
        <w:rPr>
          <w:rFonts w:ascii="Microsoft Sans Serif" w:hAnsi="Microsoft Sans Serif"/>
          <w:spacing w:val="19"/>
          <w:sz w:val="19"/>
        </w:rPr>
        <w:t> </w:t>
      </w:r>
      <w:r>
        <w:rPr>
          <w:rFonts w:ascii="Microsoft Sans Serif" w:hAnsi="Microsoft Sans Serif"/>
          <w:sz w:val="19"/>
        </w:rPr>
        <w:t>e</w:t>
      </w:r>
      <w:r>
        <w:rPr>
          <w:rFonts w:ascii="Microsoft Sans Serif" w:hAnsi="Microsoft Sans Serif"/>
          <w:spacing w:val="19"/>
          <w:sz w:val="19"/>
        </w:rPr>
        <w:t> </w:t>
      </w:r>
      <w:r>
        <w:rPr>
          <w:rFonts w:ascii="Microsoft Sans Serif" w:hAnsi="Microsoft Sans Serif"/>
          <w:sz w:val="19"/>
        </w:rPr>
        <w:t>angiográfica</w:t>
      </w:r>
      <w:r>
        <w:rPr>
          <w:rFonts w:ascii="Microsoft Sans Serif" w:hAnsi="Microsoft Sans Serif"/>
          <w:spacing w:val="19"/>
          <w:sz w:val="19"/>
        </w:rPr>
        <w:t> </w:t>
      </w:r>
      <w:r>
        <w:rPr>
          <w:rFonts w:ascii="Microsoft Sans Serif" w:hAnsi="Microsoft Sans Serif"/>
          <w:sz w:val="19"/>
        </w:rPr>
        <w:t>da</w:t>
      </w:r>
      <w:r>
        <w:rPr>
          <w:rFonts w:ascii="Microsoft Sans Serif" w:hAnsi="Microsoft Sans Serif"/>
          <w:spacing w:val="19"/>
          <w:sz w:val="19"/>
        </w:rPr>
        <w:t> </w:t>
      </w:r>
      <w:r>
        <w:rPr>
          <w:rFonts w:ascii="Microsoft Sans Serif" w:hAnsi="Microsoft Sans Serif"/>
          <w:sz w:val="19"/>
        </w:rPr>
        <w:t>doença</w:t>
      </w:r>
      <w:r>
        <w:rPr>
          <w:rFonts w:ascii="Microsoft Sans Serif" w:hAnsi="Microsoft Sans Serif"/>
          <w:spacing w:val="19"/>
          <w:sz w:val="19"/>
        </w:rPr>
        <w:t> </w:t>
      </w:r>
      <w:r>
        <w:rPr>
          <w:rFonts w:ascii="Microsoft Sans Serif" w:hAnsi="Microsoft Sans Serif"/>
          <w:sz w:val="19"/>
        </w:rPr>
        <w:t>coronária.</w:t>
      </w:r>
      <w:r>
        <w:rPr>
          <w:rFonts w:ascii="Microsoft Sans Serif" w:hAnsi="Microsoft Sans Serif"/>
          <w:spacing w:val="5"/>
          <w:sz w:val="19"/>
        </w:rPr>
        <w:t> </w:t>
      </w:r>
      <w:r>
        <w:rPr>
          <w:rFonts w:ascii="Microsoft Sans Serif" w:hAnsi="Microsoft Sans Serif"/>
          <w:sz w:val="19"/>
        </w:rPr>
        <w:t>ECG</w:t>
      </w:r>
      <w:r>
        <w:rPr>
          <w:rFonts w:ascii="Microsoft Sans Serif" w:hAnsi="Microsoft Sans Serif"/>
          <w:spacing w:val="6"/>
          <w:sz w:val="19"/>
        </w:rPr>
        <w:t> </w:t>
      </w:r>
      <w:r>
        <w:rPr>
          <w:rFonts w:ascii="Microsoft Sans Serif" w:hAnsi="Microsoft Sans Serif"/>
          <w:sz w:val="19"/>
        </w:rPr>
        <w:t>=</w:t>
      </w:r>
      <w:r>
        <w:rPr>
          <w:rFonts w:ascii="Microsoft Sans Serif" w:hAnsi="Microsoft Sans Serif"/>
          <w:spacing w:val="12"/>
          <w:sz w:val="19"/>
        </w:rPr>
        <w:t> </w:t>
      </w:r>
      <w:r>
        <w:rPr>
          <w:rFonts w:ascii="Microsoft Sans Serif" w:hAnsi="Microsoft Sans Serif"/>
          <w:spacing w:val="-2"/>
          <w:sz w:val="19"/>
        </w:rPr>
        <w:t>eletrocardiograma.</w:t>
      </w:r>
    </w:p>
    <w:p>
      <w:pPr>
        <w:pStyle w:val="BodyText"/>
        <w:spacing w:before="106"/>
        <w:ind w:left="0" w:firstLine="0"/>
        <w:jc w:val="left"/>
        <w:rPr>
          <w:rFonts w:ascii="Microsoft Sans Serif"/>
          <w:sz w:val="19"/>
        </w:rPr>
      </w:pPr>
    </w:p>
    <w:p>
      <w:pPr>
        <w:pStyle w:val="ListParagraph"/>
        <w:numPr>
          <w:ilvl w:val="0"/>
          <w:numId w:val="21"/>
        </w:numPr>
        <w:tabs>
          <w:tab w:pos="395" w:val="left" w:leader="none"/>
        </w:tabs>
        <w:spacing w:line="240" w:lineRule="auto" w:before="0" w:after="0"/>
        <w:ind w:left="395" w:right="0" w:hanging="327"/>
        <w:jc w:val="both"/>
        <w:rPr>
          <w:sz w:val="23"/>
        </w:rPr>
      </w:pPr>
      <w:r>
        <w:rPr>
          <w:sz w:val="23"/>
        </w:rPr>
        <w:t>Função</w:t>
      </w:r>
      <w:r>
        <w:rPr>
          <w:spacing w:val="-15"/>
          <w:sz w:val="23"/>
        </w:rPr>
        <w:t> </w:t>
      </w:r>
      <w:r>
        <w:rPr>
          <w:sz w:val="23"/>
        </w:rPr>
        <w:t>ventricular</w:t>
      </w:r>
      <w:r>
        <w:rPr>
          <w:spacing w:val="-8"/>
          <w:sz w:val="23"/>
        </w:rPr>
        <w:t> </w:t>
      </w:r>
      <w:r>
        <w:rPr>
          <w:sz w:val="23"/>
        </w:rPr>
        <w:t>esquerda</w:t>
      </w:r>
      <w:r>
        <w:rPr>
          <w:spacing w:val="-14"/>
          <w:sz w:val="23"/>
        </w:rPr>
        <w:t> </w:t>
      </w:r>
      <w:r>
        <w:rPr>
          <w:sz w:val="23"/>
        </w:rPr>
        <w:t>deprimida</w:t>
      </w:r>
      <w:r>
        <w:rPr>
          <w:spacing w:val="-15"/>
          <w:sz w:val="23"/>
        </w:rPr>
        <w:t> </w:t>
      </w:r>
      <w:r>
        <w:rPr>
          <w:sz w:val="23"/>
        </w:rPr>
        <w:t>(&lt;</w:t>
      </w:r>
      <w:r>
        <w:rPr>
          <w:spacing w:val="-11"/>
          <w:sz w:val="23"/>
        </w:rPr>
        <w:t> </w:t>
      </w:r>
      <w:r>
        <w:rPr>
          <w:sz w:val="23"/>
        </w:rPr>
        <w:t>50%),</w:t>
      </w:r>
      <w:r>
        <w:rPr>
          <w:spacing w:val="-6"/>
          <w:sz w:val="23"/>
        </w:rPr>
        <w:t> </w:t>
      </w:r>
      <w:r>
        <w:rPr>
          <w:sz w:val="23"/>
        </w:rPr>
        <w:t>avaliada</w:t>
      </w:r>
      <w:r>
        <w:rPr>
          <w:spacing w:val="-15"/>
          <w:sz w:val="23"/>
        </w:rPr>
        <w:t> </w:t>
      </w:r>
      <w:r>
        <w:rPr>
          <w:sz w:val="23"/>
        </w:rPr>
        <w:t>pelo</w:t>
      </w:r>
      <w:r>
        <w:rPr>
          <w:spacing w:val="-12"/>
          <w:sz w:val="23"/>
        </w:rPr>
        <w:t> </w:t>
      </w:r>
      <w:r>
        <w:rPr>
          <w:sz w:val="23"/>
        </w:rPr>
        <w:t>ecocardiograma</w:t>
      </w:r>
      <w:r>
        <w:rPr>
          <w:spacing w:val="-15"/>
          <w:sz w:val="23"/>
        </w:rPr>
        <w:t> </w:t>
      </w:r>
      <w:r>
        <w:rPr>
          <w:sz w:val="23"/>
        </w:rPr>
        <w:t>ou</w:t>
      </w:r>
      <w:r>
        <w:rPr>
          <w:spacing w:val="-12"/>
          <w:sz w:val="23"/>
        </w:rPr>
        <w:t> </w:t>
      </w:r>
      <w:r>
        <w:rPr>
          <w:sz w:val="23"/>
        </w:rPr>
        <w:t>radioisótopo</w:t>
      </w:r>
      <w:r>
        <w:rPr>
          <w:spacing w:val="-13"/>
          <w:sz w:val="23"/>
        </w:rPr>
        <w:t> </w:t>
      </w:r>
      <w:r>
        <w:rPr>
          <w:sz w:val="23"/>
        </w:rPr>
        <w:t>(p.</w:t>
      </w:r>
      <w:r>
        <w:rPr>
          <w:spacing w:val="-6"/>
          <w:sz w:val="23"/>
        </w:rPr>
        <w:t> </w:t>
      </w:r>
      <w:r>
        <w:rPr>
          <w:sz w:val="23"/>
        </w:rPr>
        <w:t>ex.,</w:t>
      </w:r>
      <w:r>
        <w:rPr>
          <w:spacing w:val="-5"/>
          <w:sz w:val="23"/>
        </w:rPr>
        <w:t> </w:t>
      </w:r>
      <w:r>
        <w:rPr>
          <w:spacing w:val="-2"/>
          <w:sz w:val="23"/>
        </w:rPr>
        <w:t>GATED)</w:t>
      </w:r>
    </w:p>
    <w:p>
      <w:pPr>
        <w:pStyle w:val="ListParagraph"/>
        <w:numPr>
          <w:ilvl w:val="0"/>
          <w:numId w:val="21"/>
        </w:numPr>
        <w:tabs>
          <w:tab w:pos="421" w:val="left" w:leader="none"/>
        </w:tabs>
        <w:spacing w:line="276" w:lineRule="auto" w:before="72" w:after="0"/>
        <w:ind w:left="68" w:right="489" w:firstLine="0"/>
        <w:jc w:val="both"/>
        <w:rPr>
          <w:sz w:val="23"/>
        </w:rPr>
      </w:pPr>
      <w:r>
        <w:rPr>
          <w:sz w:val="23"/>
        </w:rPr>
        <w:t>Alteração em prova funcional de isquemia, como o teste ergométrico e o estudo radioisotópico de cintigrafia miocárdica</w:t>
      </w:r>
      <w:r>
        <w:rPr>
          <w:spacing w:val="-1"/>
          <w:sz w:val="23"/>
        </w:rPr>
        <w:t> </w:t>
      </w:r>
      <w:r>
        <w:rPr>
          <w:sz w:val="23"/>
        </w:rPr>
        <w:t>(tálio, Mibi): alteração do segmento ST com carga</w:t>
      </w:r>
      <w:r>
        <w:rPr>
          <w:spacing w:val="-1"/>
          <w:sz w:val="23"/>
        </w:rPr>
        <w:t> </w:t>
      </w:r>
      <w:r>
        <w:rPr>
          <w:sz w:val="23"/>
        </w:rPr>
        <w:t>baixa, queda</w:t>
      </w:r>
      <w:r>
        <w:rPr>
          <w:spacing w:val="-1"/>
          <w:sz w:val="23"/>
        </w:rPr>
        <w:t> </w:t>
      </w:r>
      <w:r>
        <w:rPr>
          <w:sz w:val="23"/>
        </w:rPr>
        <w:t>da</w:t>
      </w:r>
      <w:r>
        <w:rPr>
          <w:spacing w:val="-1"/>
          <w:sz w:val="23"/>
        </w:rPr>
        <w:t> </w:t>
      </w:r>
      <w:r>
        <w:rPr>
          <w:sz w:val="23"/>
        </w:rPr>
        <w:t>pressão arterial durante</w:t>
      </w:r>
      <w:r>
        <w:rPr>
          <w:spacing w:val="-1"/>
          <w:sz w:val="23"/>
        </w:rPr>
        <w:t> </w:t>
      </w:r>
      <w:r>
        <w:rPr>
          <w:sz w:val="23"/>
        </w:rPr>
        <w:t>o exercício, falha ao executar exercício de até 6 min, extensas áreas de isquemia à cintigrafia miocárdica, sendo este último considerado o método com melhor correlação com o prognóstico.</w:t>
      </w:r>
    </w:p>
    <w:p>
      <w:pPr>
        <w:pStyle w:val="BodyText"/>
        <w:spacing w:line="276" w:lineRule="auto" w:before="225"/>
        <w:ind w:right="501"/>
      </w:pPr>
      <w:r>
        <w:rPr/>
        <w:t>Esses pacientes de alto risco devem ser encaminhados para a coronariografia, para que os dados anatômicos, clínicos e funcionais associados possam determinar entre o tratamento medicamentoso e a revascularização cirúrgica ou por cateter.</w:t>
      </w:r>
    </w:p>
    <w:p>
      <w:pPr>
        <w:pStyle w:val="BodyText"/>
        <w:spacing w:before="185"/>
        <w:ind w:left="0" w:firstLine="0"/>
        <w:jc w:val="left"/>
      </w:pPr>
    </w:p>
    <w:p>
      <w:pPr>
        <w:pStyle w:val="Heading4"/>
      </w:pPr>
      <w:r>
        <w:rPr>
          <w:color w:val="242B67"/>
          <w:spacing w:val="-2"/>
        </w:rPr>
        <w:t>Tratamento</w:t>
      </w:r>
    </w:p>
    <w:p>
      <w:pPr>
        <w:pStyle w:val="BodyText"/>
        <w:spacing w:line="276" w:lineRule="auto" w:before="132"/>
        <w:ind w:right="491"/>
      </w:pPr>
      <w:r>
        <w:rPr/>
        <w:t>A</w:t>
      </w:r>
      <w:r>
        <w:rPr>
          <w:spacing w:val="-13"/>
        </w:rPr>
        <w:t> </w:t>
      </w:r>
      <w:r>
        <w:rPr/>
        <w:t>angina</w:t>
      </w:r>
      <w:r>
        <w:rPr>
          <w:spacing w:val="-13"/>
        </w:rPr>
        <w:t> </w:t>
      </w:r>
      <w:r>
        <w:rPr/>
        <w:t>estável</w:t>
      </w:r>
      <w:r>
        <w:rPr>
          <w:spacing w:val="-8"/>
        </w:rPr>
        <w:t> </w:t>
      </w:r>
      <w:r>
        <w:rPr/>
        <w:t>é</w:t>
      </w:r>
      <w:r>
        <w:rPr>
          <w:spacing w:val="-13"/>
        </w:rPr>
        <w:t> </w:t>
      </w:r>
      <w:r>
        <w:rPr/>
        <w:t>uma</w:t>
      </w:r>
      <w:r>
        <w:rPr>
          <w:spacing w:val="-13"/>
        </w:rPr>
        <w:t> </w:t>
      </w:r>
      <w:r>
        <w:rPr/>
        <w:t>condição</w:t>
      </w:r>
      <w:r>
        <w:rPr>
          <w:spacing w:val="-10"/>
        </w:rPr>
        <w:t> </w:t>
      </w:r>
      <w:r>
        <w:rPr/>
        <w:t>clínica</w:t>
      </w:r>
      <w:r>
        <w:rPr>
          <w:spacing w:val="-13"/>
        </w:rPr>
        <w:t> </w:t>
      </w:r>
      <w:r>
        <w:rPr/>
        <w:t>bem</w:t>
      </w:r>
      <w:r>
        <w:rPr>
          <w:spacing w:val="-10"/>
        </w:rPr>
        <w:t> </w:t>
      </w:r>
      <w:r>
        <w:rPr/>
        <w:t>definida,</w:t>
      </w:r>
      <w:r>
        <w:rPr>
          <w:spacing w:val="-3"/>
        </w:rPr>
        <w:t> </w:t>
      </w:r>
      <w:r>
        <w:rPr/>
        <w:t>porém</w:t>
      </w:r>
      <w:r>
        <w:rPr>
          <w:spacing w:val="-10"/>
        </w:rPr>
        <w:t> </w:t>
      </w:r>
      <w:r>
        <w:rPr/>
        <w:t>com</w:t>
      </w:r>
      <w:r>
        <w:rPr>
          <w:spacing w:val="-10"/>
        </w:rPr>
        <w:t> </w:t>
      </w:r>
      <w:r>
        <w:rPr/>
        <w:t>espectro</w:t>
      </w:r>
      <w:r>
        <w:rPr>
          <w:spacing w:val="-10"/>
        </w:rPr>
        <w:t> </w:t>
      </w:r>
      <w:r>
        <w:rPr/>
        <w:t>prognóstico</w:t>
      </w:r>
      <w:r>
        <w:rPr>
          <w:spacing w:val="-10"/>
        </w:rPr>
        <w:t> </w:t>
      </w:r>
      <w:r>
        <w:rPr/>
        <w:t>variável.</w:t>
      </w:r>
      <w:r>
        <w:rPr>
          <w:spacing w:val="-3"/>
        </w:rPr>
        <w:t> </w:t>
      </w:r>
      <w:r>
        <w:rPr/>
        <w:t>Seu</w:t>
      </w:r>
      <w:r>
        <w:rPr>
          <w:spacing w:val="-10"/>
        </w:rPr>
        <w:t> </w:t>
      </w:r>
      <w:r>
        <w:rPr/>
        <w:t>tratamento tem</w:t>
      </w:r>
      <w:r>
        <w:rPr>
          <w:spacing w:val="-4"/>
        </w:rPr>
        <w:t> </w:t>
      </w:r>
      <w:r>
        <w:rPr/>
        <w:t>os seguintes objetivos:</w:t>
      </w:r>
      <w:r>
        <w:rPr>
          <w:spacing w:val="-1"/>
        </w:rPr>
        <w:t> </w:t>
      </w:r>
      <w:r>
        <w:rPr/>
        <w:t>aliviar os sintomas, reduzir eventos mórbidos, tratar condições que</w:t>
      </w:r>
      <w:r>
        <w:rPr>
          <w:spacing w:val="-6"/>
        </w:rPr>
        <w:t> </w:t>
      </w:r>
      <w:r>
        <w:rPr/>
        <w:t>promovam</w:t>
      </w:r>
      <w:r>
        <w:rPr>
          <w:spacing w:val="-4"/>
        </w:rPr>
        <w:t> </w:t>
      </w:r>
      <w:r>
        <w:rPr/>
        <w:t>angina</w:t>
      </w:r>
      <w:r>
        <w:rPr>
          <w:spacing w:val="-6"/>
        </w:rPr>
        <w:t> </w:t>
      </w:r>
      <w:r>
        <w:rPr/>
        <w:t>e modificar os fatores de risco.</w:t>
      </w:r>
    </w:p>
    <w:p>
      <w:pPr>
        <w:pStyle w:val="BodyText"/>
        <w:ind w:left="414" w:firstLine="0"/>
      </w:pPr>
      <w:r>
        <w:rPr/>
        <w:t>O</w:t>
      </w:r>
      <w:r>
        <w:rPr>
          <w:spacing w:val="-14"/>
        </w:rPr>
        <w:t> </w:t>
      </w:r>
      <w:r>
        <w:rPr/>
        <w:t>tratamento</w:t>
      </w:r>
      <w:r>
        <w:rPr>
          <w:spacing w:val="-12"/>
        </w:rPr>
        <w:t> </w:t>
      </w:r>
      <w:r>
        <w:rPr/>
        <w:t>da</w:t>
      </w:r>
      <w:r>
        <w:rPr>
          <w:spacing w:val="-14"/>
        </w:rPr>
        <w:t> </w:t>
      </w:r>
      <w:r>
        <w:rPr/>
        <w:t>angina</w:t>
      </w:r>
      <w:r>
        <w:rPr>
          <w:spacing w:val="-14"/>
        </w:rPr>
        <w:t> </w:t>
      </w:r>
      <w:r>
        <w:rPr/>
        <w:t>estável</w:t>
      </w:r>
      <w:r>
        <w:rPr>
          <w:spacing w:val="-9"/>
        </w:rPr>
        <w:t> </w:t>
      </w:r>
      <w:r>
        <w:rPr/>
        <w:t>pode</w:t>
      </w:r>
      <w:r>
        <w:rPr>
          <w:spacing w:val="-14"/>
        </w:rPr>
        <w:t> </w:t>
      </w:r>
      <w:r>
        <w:rPr/>
        <w:t>ser</w:t>
      </w:r>
      <w:r>
        <w:rPr>
          <w:spacing w:val="-7"/>
        </w:rPr>
        <w:t> </w:t>
      </w:r>
      <w:r>
        <w:rPr/>
        <w:t>medicamentoso</w:t>
      </w:r>
      <w:r>
        <w:rPr>
          <w:spacing w:val="-12"/>
        </w:rPr>
        <w:t> </w:t>
      </w:r>
      <w:r>
        <w:rPr/>
        <w:t>ou</w:t>
      </w:r>
      <w:r>
        <w:rPr>
          <w:spacing w:val="-11"/>
        </w:rPr>
        <w:t> </w:t>
      </w:r>
      <w:r>
        <w:rPr/>
        <w:t>por</w:t>
      </w:r>
      <w:r>
        <w:rPr>
          <w:spacing w:val="-7"/>
        </w:rPr>
        <w:t> </w:t>
      </w:r>
      <w:r>
        <w:rPr/>
        <w:t>procedimentos</w:t>
      </w:r>
      <w:r>
        <w:rPr>
          <w:spacing w:val="-4"/>
        </w:rPr>
        <w:t> </w:t>
      </w:r>
      <w:r>
        <w:rPr/>
        <w:t>de</w:t>
      </w:r>
      <w:r>
        <w:rPr>
          <w:spacing w:val="-14"/>
        </w:rPr>
        <w:t> </w:t>
      </w:r>
      <w:r>
        <w:rPr/>
        <w:t>revascularização</w:t>
      </w:r>
      <w:r>
        <w:rPr>
          <w:spacing w:val="-12"/>
        </w:rPr>
        <w:t> </w:t>
      </w:r>
      <w:r>
        <w:rPr/>
        <w:t>do</w:t>
      </w:r>
      <w:r>
        <w:rPr>
          <w:spacing w:val="-11"/>
        </w:rPr>
        <w:t> </w:t>
      </w:r>
      <w:r>
        <w:rPr>
          <w:spacing w:val="-2"/>
        </w:rPr>
        <w:t>miocárdio</w:t>
      </w:r>
    </w:p>
    <w:p>
      <w:pPr>
        <w:pStyle w:val="BodyText"/>
        <w:spacing w:after="0"/>
        <w:sectPr>
          <w:pgSz w:w="11900" w:h="16840"/>
          <w:pgMar w:top="280" w:bottom="280" w:left="566" w:right="141"/>
        </w:sectPr>
      </w:pPr>
    </w:p>
    <w:p>
      <w:pPr>
        <w:pStyle w:val="BodyText"/>
        <w:spacing w:line="276" w:lineRule="auto" w:before="78"/>
        <w:ind w:right="497" w:firstLine="0"/>
      </w:pPr>
      <w:r>
        <w:rPr/>
        <w:t>(cirúrgico ou por cateter). Por ser a taxa anual de eventos estimada entre 1,6 a 4,0%, e os sintomas geralmente serem bem controlados com fármacos, a realização de cinecoronariografia e o tratamento cirúrgico/angioplastia coronária</w:t>
      </w:r>
      <w:r>
        <w:rPr>
          <w:spacing w:val="-1"/>
        </w:rPr>
        <w:t> </w:t>
      </w:r>
      <w:r>
        <w:rPr/>
        <w:t>não trazem maiores benefícios quando comparados ao tratamento medicamentoso para</w:t>
      </w:r>
      <w:r>
        <w:rPr>
          <w:spacing w:val="-1"/>
        </w:rPr>
        <w:t> </w:t>
      </w:r>
      <w:r>
        <w:rPr/>
        <w:t>uma</w:t>
      </w:r>
      <w:r>
        <w:rPr>
          <w:spacing w:val="-1"/>
        </w:rPr>
        <w:t> </w:t>
      </w:r>
      <w:r>
        <w:rPr/>
        <w:t>grande</w:t>
      </w:r>
      <w:r>
        <w:rPr>
          <w:spacing w:val="-1"/>
        </w:rPr>
        <w:t> </w:t>
      </w:r>
      <w:r>
        <w:rPr/>
        <w:t>parte dos pacientes. Assim, a</w:t>
      </w:r>
      <w:r>
        <w:rPr>
          <w:spacing w:val="-1"/>
        </w:rPr>
        <w:t> </w:t>
      </w:r>
      <w:r>
        <w:rPr/>
        <w:t>terapia</w:t>
      </w:r>
      <w:r>
        <w:rPr>
          <w:spacing w:val="-1"/>
        </w:rPr>
        <w:t> </w:t>
      </w:r>
      <w:r>
        <w:rPr/>
        <w:t>medicamentosa</w:t>
      </w:r>
      <w:r>
        <w:rPr>
          <w:spacing w:val="-1"/>
        </w:rPr>
        <w:t> </w:t>
      </w:r>
      <w:r>
        <w:rPr/>
        <w:t>é</w:t>
      </w:r>
      <w:r>
        <w:rPr>
          <w:spacing w:val="-1"/>
        </w:rPr>
        <w:t> </w:t>
      </w:r>
      <w:r>
        <w:rPr/>
        <w:t>a</w:t>
      </w:r>
      <w:r>
        <w:rPr>
          <w:spacing w:val="-1"/>
        </w:rPr>
        <w:t> </w:t>
      </w:r>
      <w:r>
        <w:rPr/>
        <w:t>primeira</w:t>
      </w:r>
      <w:r>
        <w:rPr>
          <w:spacing w:val="-1"/>
        </w:rPr>
        <w:t> </w:t>
      </w:r>
      <w:r>
        <w:rPr/>
        <w:t>opção de</w:t>
      </w:r>
      <w:r>
        <w:rPr>
          <w:spacing w:val="-1"/>
        </w:rPr>
        <w:t> </w:t>
      </w:r>
      <w:r>
        <w:rPr/>
        <w:t>tratamento, ficando a</w:t>
      </w:r>
      <w:r>
        <w:rPr>
          <w:spacing w:val="-1"/>
        </w:rPr>
        <w:t> </w:t>
      </w:r>
      <w:r>
        <w:rPr/>
        <w:t>cinecoronariografia</w:t>
      </w:r>
      <w:r>
        <w:rPr>
          <w:spacing w:val="-1"/>
        </w:rPr>
        <w:t> </w:t>
      </w:r>
      <w:r>
        <w:rPr/>
        <w:t>e</w:t>
      </w:r>
      <w:r>
        <w:rPr>
          <w:spacing w:val="-1"/>
        </w:rPr>
        <w:t> </w:t>
      </w:r>
      <w:r>
        <w:rPr/>
        <w:t>a terapêutica invasiva reservadas para os pacientes considerados de alto risco ou refratários à medicação. Assim, a estratificação do risco coronário na</w:t>
      </w:r>
      <w:r>
        <w:rPr>
          <w:spacing w:val="-2"/>
        </w:rPr>
        <w:t> </w:t>
      </w:r>
      <w:r>
        <w:rPr/>
        <w:t>angina</w:t>
      </w:r>
      <w:r>
        <w:rPr>
          <w:spacing w:val="-2"/>
        </w:rPr>
        <w:t> </w:t>
      </w:r>
      <w:r>
        <w:rPr/>
        <w:t>estável, distinguindo pacientes de</w:t>
      </w:r>
      <w:r>
        <w:rPr>
          <w:spacing w:val="-2"/>
        </w:rPr>
        <w:t> </w:t>
      </w:r>
      <w:r>
        <w:rPr/>
        <w:t>baixo e</w:t>
      </w:r>
      <w:r>
        <w:rPr>
          <w:spacing w:val="-2"/>
        </w:rPr>
        <w:t> </w:t>
      </w:r>
      <w:r>
        <w:rPr/>
        <w:t>alto risco, é</w:t>
      </w:r>
      <w:r>
        <w:rPr>
          <w:spacing w:val="-2"/>
        </w:rPr>
        <w:t> </w:t>
      </w:r>
      <w:r>
        <w:rPr/>
        <w:t>fundamental para a manipulação e a decisão quanto ao tipo de tratamento a ser instituído.</w:t>
      </w:r>
    </w:p>
    <w:p>
      <w:pPr>
        <w:pStyle w:val="BodyText"/>
        <w:spacing w:before="134"/>
        <w:ind w:left="0" w:firstLine="0"/>
        <w:jc w:val="left"/>
      </w:pPr>
    </w:p>
    <w:p>
      <w:pPr>
        <w:pStyle w:val="Heading5"/>
      </w:pPr>
      <w:r>
        <w:rPr>
          <w:color w:val="A26108"/>
        </w:rPr>
        <w:t>Tratamento</w:t>
      </w:r>
      <w:r>
        <w:rPr>
          <w:color w:val="A26108"/>
          <w:spacing w:val="34"/>
        </w:rPr>
        <w:t> </w:t>
      </w:r>
      <w:r>
        <w:rPr>
          <w:color w:val="A26108"/>
          <w:spacing w:val="-2"/>
        </w:rPr>
        <w:t>medicamentoso</w:t>
      </w:r>
    </w:p>
    <w:p>
      <w:pPr>
        <w:pStyle w:val="BodyText"/>
        <w:spacing w:line="283" w:lineRule="auto" w:before="138"/>
        <w:ind w:right="488"/>
      </w:pPr>
      <w:r>
        <w:rPr/>
        <w:t>O tratamento clínico é baseado nos seguintes pontos: identificação e tratamento de condições que provoquem/piorem a angina; antiagregantes plaquetários; fármacos antianginosos; e controle dos fatores de risco/prevenção secundária, que estão descritos a seguir.</w:t>
      </w:r>
      <w:r>
        <w:rPr>
          <w:vertAlign w:val="superscript"/>
        </w:rPr>
        <w:t>5</w:t>
      </w:r>
      <w:r>
        <w:rPr>
          <w:vertAlign w:val="superscript"/>
        </w:rPr>
        <w:t>6</w:t>
      </w:r>
      <w:r>
        <w:rPr>
          <w:vertAlign w:val="superscript"/>
        </w:rPr>
        <w:t>–</w:t>
      </w:r>
      <w:r>
        <w:rPr>
          <w:vertAlign w:val="superscript"/>
        </w:rPr>
        <w:t>5</w:t>
      </w:r>
      <w:r>
        <w:rPr>
          <w:vertAlign w:val="superscript"/>
        </w:rPr>
        <w:t>8</w:t>
      </w:r>
    </w:p>
    <w:p>
      <w:pPr>
        <w:pStyle w:val="BodyText"/>
        <w:spacing w:before="1"/>
        <w:ind w:left="0" w:firstLine="0"/>
        <w:jc w:val="left"/>
      </w:pPr>
    </w:p>
    <w:p>
      <w:pPr>
        <w:pStyle w:val="Heading7"/>
      </w:pPr>
      <w:r>
        <w:rPr>
          <w:color w:val="242B67"/>
        </w:rPr>
        <w:t>Fatores desencadeadores ou agravantes da isquemia </w:t>
      </w:r>
      <w:r>
        <w:rPr>
          <w:color w:val="242B67"/>
          <w:spacing w:val="-2"/>
        </w:rPr>
        <w:t>miocárdica</w:t>
      </w:r>
    </w:p>
    <w:p>
      <w:pPr>
        <w:pStyle w:val="BodyText"/>
        <w:spacing w:line="276" w:lineRule="auto" w:before="142"/>
        <w:ind w:right="500"/>
      </w:pPr>
      <w:r>
        <w:rPr/>
        <w:t>Fatores como hipertensão arterial, arritmias, anemia, tireotoxicose e outros estados hiperdinâmicos (febre, hipovolemia, choque) devem ser identificados e</w:t>
      </w:r>
      <w:r>
        <w:rPr>
          <w:spacing w:val="-1"/>
        </w:rPr>
        <w:t> </w:t>
      </w:r>
      <w:r>
        <w:rPr/>
        <w:t>imediatamente</w:t>
      </w:r>
      <w:r>
        <w:rPr>
          <w:spacing w:val="-1"/>
        </w:rPr>
        <w:t> </w:t>
      </w:r>
      <w:r>
        <w:rPr/>
        <w:t>tratados.</w:t>
      </w:r>
    </w:p>
    <w:p>
      <w:pPr>
        <w:pStyle w:val="BodyText"/>
        <w:spacing w:before="8"/>
        <w:ind w:left="0" w:firstLine="0"/>
        <w:jc w:val="left"/>
      </w:pPr>
    </w:p>
    <w:p>
      <w:pPr>
        <w:pStyle w:val="Heading7"/>
      </w:pPr>
      <w:r>
        <w:rPr>
          <w:color w:val="242B67"/>
        </w:rPr>
        <w:t>Antiagregantes </w:t>
      </w:r>
      <w:r>
        <w:rPr>
          <w:color w:val="242B67"/>
          <w:spacing w:val="-2"/>
        </w:rPr>
        <w:t>plaquetários</w:t>
      </w:r>
    </w:p>
    <w:p>
      <w:pPr>
        <w:pStyle w:val="BodyText"/>
        <w:spacing w:line="280" w:lineRule="auto" w:before="127"/>
        <w:ind w:right="491"/>
      </w:pPr>
      <w:r>
        <w:rPr/>
        <mc:AlternateContent>
          <mc:Choice Requires="wps">
            <w:drawing>
              <wp:anchor distT="0" distB="0" distL="0" distR="0" allowOverlap="1" layoutInCell="1" locked="0" behindDoc="0" simplePos="0" relativeHeight="15745024">
                <wp:simplePos x="0" y="0"/>
                <wp:positionH relativeFrom="page">
                  <wp:posOffset>5061063</wp:posOffset>
                </wp:positionH>
                <wp:positionV relativeFrom="paragraph">
                  <wp:posOffset>959820</wp:posOffset>
                </wp:positionV>
                <wp:extent cx="41275" cy="1079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1275" cy="10795"/>
                        </a:xfrm>
                        <a:custGeom>
                          <a:avLst/>
                          <a:gdLst/>
                          <a:ahLst/>
                          <a:cxnLst/>
                          <a:rect l="l" t="t" r="r" b="b"/>
                          <a:pathLst>
                            <a:path w="41275" h="10795">
                              <a:moveTo>
                                <a:pt x="40680" y="10170"/>
                              </a:moveTo>
                              <a:lnTo>
                                <a:pt x="0" y="10170"/>
                              </a:lnTo>
                              <a:lnTo>
                                <a:pt x="0" y="0"/>
                              </a:lnTo>
                              <a:lnTo>
                                <a:pt x="40680" y="0"/>
                              </a:lnTo>
                              <a:lnTo>
                                <a:pt x="40680" y="101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8.508942pt;margin-top:75.576439pt;width:3.2032pt;height:.8008pt;mso-position-horizontal-relative:page;mso-position-vertical-relative:paragraph;z-index:15745024" id="docshape28" filled="true" fillcolor="#000000" stroked="false">
                <v:fill type="solid"/>
                <w10:wrap type="none"/>
              </v:rect>
            </w:pict>
          </mc:Fallback>
        </mc:AlternateContent>
      </w:r>
      <w:r>
        <w:rPr/>
        <w:t>O ácido acetilsalicílico é efetivo nos pacientes com quadros coronarianos agudos, como a angina instável e o infarto</w:t>
      </w:r>
      <w:r>
        <w:rPr>
          <w:spacing w:val="-2"/>
        </w:rPr>
        <w:t> </w:t>
      </w:r>
      <w:r>
        <w:rPr/>
        <w:t>agudo</w:t>
      </w:r>
      <w:r>
        <w:rPr>
          <w:spacing w:val="-2"/>
        </w:rPr>
        <w:t> </w:t>
      </w:r>
      <w:r>
        <w:rPr/>
        <w:t>do</w:t>
      </w:r>
      <w:r>
        <w:rPr>
          <w:spacing w:val="-2"/>
        </w:rPr>
        <w:t> </w:t>
      </w:r>
      <w:r>
        <w:rPr/>
        <w:t>miocárdio. Posteriormente, demonstrou-se</w:t>
      </w:r>
      <w:r>
        <w:rPr>
          <w:spacing w:val="-5"/>
        </w:rPr>
        <w:t> </w:t>
      </w:r>
      <w:r>
        <w:rPr/>
        <w:t>que</w:t>
      </w:r>
      <w:r>
        <w:rPr>
          <w:spacing w:val="-5"/>
        </w:rPr>
        <w:t> </w:t>
      </w:r>
      <w:r>
        <w:rPr/>
        <w:t>o</w:t>
      </w:r>
      <w:r>
        <w:rPr>
          <w:spacing w:val="-2"/>
        </w:rPr>
        <w:t> </w:t>
      </w:r>
      <w:r>
        <w:rPr/>
        <w:t>benefício</w:t>
      </w:r>
      <w:r>
        <w:rPr>
          <w:spacing w:val="-2"/>
        </w:rPr>
        <w:t> </w:t>
      </w:r>
      <w:r>
        <w:rPr/>
        <w:t>do</w:t>
      </w:r>
      <w:r>
        <w:rPr>
          <w:spacing w:val="-2"/>
        </w:rPr>
        <w:t> </w:t>
      </w:r>
      <w:r>
        <w:rPr/>
        <w:t>seu</w:t>
      </w:r>
      <w:r>
        <w:rPr>
          <w:spacing w:val="-2"/>
        </w:rPr>
        <w:t> </w:t>
      </w:r>
      <w:r>
        <w:rPr/>
        <w:t>uso</w:t>
      </w:r>
      <w:r>
        <w:rPr>
          <w:spacing w:val="-2"/>
        </w:rPr>
        <w:t> </w:t>
      </w:r>
      <w:r>
        <w:rPr/>
        <w:t>se</w:t>
      </w:r>
      <w:r>
        <w:rPr>
          <w:spacing w:val="-5"/>
        </w:rPr>
        <w:t> </w:t>
      </w:r>
      <w:r>
        <w:rPr/>
        <w:t>estende</w:t>
      </w:r>
      <w:r>
        <w:rPr>
          <w:spacing w:val="-5"/>
        </w:rPr>
        <w:t> </w:t>
      </w:r>
      <w:r>
        <w:rPr/>
        <w:t>para</w:t>
      </w:r>
      <w:r>
        <w:rPr>
          <w:spacing w:val="-5"/>
        </w:rPr>
        <w:t> </w:t>
      </w:r>
      <w:r>
        <w:rPr/>
        <w:t>os pacientes com doença coronariana estável, reduzindo eventos primários (infarto agudo do miocárdio e morte súbita) e secundários (eventos vasculares, AVC e</w:t>
      </w:r>
      <w:r>
        <w:rPr>
          <w:spacing w:val="-2"/>
        </w:rPr>
        <w:t> </w:t>
      </w:r>
      <w:r>
        <w:rPr/>
        <w:t>mortalidade</w:t>
      </w:r>
      <w:r>
        <w:rPr>
          <w:spacing w:val="-2"/>
        </w:rPr>
        <w:t> </w:t>
      </w:r>
      <w:r>
        <w:rPr/>
        <w:t>geral).</w:t>
      </w:r>
      <w:r>
        <w:rPr>
          <w:vertAlign w:val="superscript"/>
        </w:rPr>
        <w:t>59</w:t>
      </w:r>
      <w:r>
        <w:rPr>
          <w:vertAlign w:val="baseline"/>
        </w:rPr>
        <w:t> Portanto, está</w:t>
      </w:r>
      <w:r>
        <w:rPr>
          <w:spacing w:val="-2"/>
          <w:vertAlign w:val="baseline"/>
        </w:rPr>
        <w:t> </w:t>
      </w:r>
      <w:r>
        <w:rPr>
          <w:vertAlign w:val="baseline"/>
        </w:rPr>
        <w:t>indicado na</w:t>
      </w:r>
      <w:r>
        <w:rPr>
          <w:spacing w:val="-2"/>
          <w:vertAlign w:val="baseline"/>
        </w:rPr>
        <w:t> </w:t>
      </w:r>
      <w:r>
        <w:rPr>
          <w:vertAlign w:val="baseline"/>
        </w:rPr>
        <w:t>angina</w:t>
      </w:r>
      <w:r>
        <w:rPr>
          <w:spacing w:val="-2"/>
          <w:vertAlign w:val="baseline"/>
        </w:rPr>
        <w:t> </w:t>
      </w:r>
      <w:r>
        <w:rPr>
          <w:vertAlign w:val="baseline"/>
        </w:rPr>
        <w:t>estável, na</w:t>
      </w:r>
      <w:r>
        <w:rPr>
          <w:spacing w:val="-2"/>
          <w:vertAlign w:val="baseline"/>
        </w:rPr>
        <w:t> </w:t>
      </w:r>
      <w:r>
        <w:rPr>
          <w:vertAlign w:val="baseline"/>
        </w:rPr>
        <w:t>dose</w:t>
      </w:r>
      <w:r>
        <w:rPr>
          <w:spacing w:val="-2"/>
          <w:vertAlign w:val="baseline"/>
        </w:rPr>
        <w:t> </w:t>
      </w:r>
      <w:r>
        <w:rPr>
          <w:vertAlign w:val="baseline"/>
        </w:rPr>
        <w:t>de 75 a 325 mg/dia. O uso de clopidogrel ou ticlodipina é considerado como de 2</w:t>
      </w:r>
      <w:r>
        <w:rPr>
          <w:vertAlign w:val="superscript"/>
        </w:rPr>
        <w:t>a</w:t>
      </w:r>
      <w:r>
        <w:rPr>
          <w:vertAlign w:val="baseline"/>
        </w:rPr>
        <w:t> opção, no caso de contraindicação ao uso do ácido acetilsalicílico. O clopidogrel demonstrou sua eficiência no CAPRIE, um estudo que o comparou com</w:t>
      </w:r>
      <w:r>
        <w:rPr>
          <w:spacing w:val="-1"/>
          <w:vertAlign w:val="baseline"/>
        </w:rPr>
        <w:t> </w:t>
      </w:r>
      <w:r>
        <w:rPr>
          <w:vertAlign w:val="baseline"/>
        </w:rPr>
        <w:t>o</w:t>
      </w:r>
      <w:r>
        <w:rPr>
          <w:spacing w:val="-1"/>
          <w:vertAlign w:val="baseline"/>
        </w:rPr>
        <w:t> </w:t>
      </w:r>
      <w:r>
        <w:rPr>
          <w:vertAlign w:val="baseline"/>
        </w:rPr>
        <w:t>ácido</w:t>
      </w:r>
      <w:r>
        <w:rPr>
          <w:spacing w:val="-1"/>
          <w:vertAlign w:val="baseline"/>
        </w:rPr>
        <w:t> </w:t>
      </w:r>
      <w:r>
        <w:rPr>
          <w:vertAlign w:val="baseline"/>
        </w:rPr>
        <w:t>acetilsalicílico</w:t>
      </w:r>
      <w:r>
        <w:rPr>
          <w:spacing w:val="-1"/>
          <w:vertAlign w:val="baseline"/>
        </w:rPr>
        <w:t> </w:t>
      </w:r>
      <w:r>
        <w:rPr>
          <w:vertAlign w:val="baseline"/>
        </w:rPr>
        <w:t>em</w:t>
      </w:r>
      <w:r>
        <w:rPr>
          <w:spacing w:val="-1"/>
          <w:vertAlign w:val="baseline"/>
        </w:rPr>
        <w:t> </w:t>
      </w:r>
      <w:r>
        <w:rPr>
          <w:vertAlign w:val="baseline"/>
        </w:rPr>
        <w:t>mais de</w:t>
      </w:r>
      <w:r>
        <w:rPr>
          <w:spacing w:val="-4"/>
          <w:vertAlign w:val="baseline"/>
        </w:rPr>
        <w:t> </w:t>
      </w:r>
      <w:r>
        <w:rPr>
          <w:vertAlign w:val="baseline"/>
        </w:rPr>
        <w:t>19.000</w:t>
      </w:r>
      <w:r>
        <w:rPr>
          <w:spacing w:val="-1"/>
          <w:vertAlign w:val="baseline"/>
        </w:rPr>
        <w:t> </w:t>
      </w:r>
      <w:r>
        <w:rPr>
          <w:vertAlign w:val="baseline"/>
        </w:rPr>
        <w:t>pacientes com</w:t>
      </w:r>
      <w:r>
        <w:rPr>
          <w:spacing w:val="-1"/>
          <w:vertAlign w:val="baseline"/>
        </w:rPr>
        <w:t> </w:t>
      </w:r>
      <w:r>
        <w:rPr>
          <w:vertAlign w:val="baseline"/>
        </w:rPr>
        <w:t>risco</w:t>
      </w:r>
      <w:r>
        <w:rPr>
          <w:spacing w:val="-1"/>
          <w:vertAlign w:val="baseline"/>
        </w:rPr>
        <w:t> </w:t>
      </w:r>
      <w:r>
        <w:rPr>
          <w:vertAlign w:val="baseline"/>
        </w:rPr>
        <w:t>aumentado</w:t>
      </w:r>
      <w:r>
        <w:rPr>
          <w:spacing w:val="-1"/>
          <w:vertAlign w:val="baseline"/>
        </w:rPr>
        <w:t> </w:t>
      </w:r>
      <w:r>
        <w:rPr>
          <w:vertAlign w:val="baseline"/>
        </w:rPr>
        <w:t>de</w:t>
      </w:r>
      <w:r>
        <w:rPr>
          <w:spacing w:val="-4"/>
          <w:vertAlign w:val="baseline"/>
        </w:rPr>
        <w:t> </w:t>
      </w:r>
      <w:r>
        <w:rPr>
          <w:vertAlign w:val="baseline"/>
        </w:rPr>
        <w:t>aterosclerose, demonstrando</w:t>
      </w:r>
      <w:r>
        <w:rPr>
          <w:spacing w:val="-1"/>
          <w:vertAlign w:val="baseline"/>
        </w:rPr>
        <w:t> </w:t>
      </w:r>
      <w:r>
        <w:rPr>
          <w:vertAlign w:val="baseline"/>
        </w:rPr>
        <w:t>que o</w:t>
      </w:r>
      <w:r>
        <w:rPr>
          <w:spacing w:val="-5"/>
          <w:vertAlign w:val="baseline"/>
        </w:rPr>
        <w:t> </w:t>
      </w:r>
      <w:r>
        <w:rPr>
          <w:vertAlign w:val="baseline"/>
        </w:rPr>
        <w:t>mesmo</w:t>
      </w:r>
      <w:r>
        <w:rPr>
          <w:spacing w:val="-5"/>
          <w:vertAlign w:val="baseline"/>
        </w:rPr>
        <w:t> </w:t>
      </w:r>
      <w:r>
        <w:rPr>
          <w:vertAlign w:val="baseline"/>
        </w:rPr>
        <w:t>foi</w:t>
      </w:r>
      <w:r>
        <w:rPr>
          <w:spacing w:val="-3"/>
          <w:vertAlign w:val="baseline"/>
        </w:rPr>
        <w:t> </w:t>
      </w:r>
      <w:r>
        <w:rPr>
          <w:vertAlign w:val="baseline"/>
        </w:rPr>
        <w:t>mais efetivo</w:t>
      </w:r>
      <w:r>
        <w:rPr>
          <w:spacing w:val="-5"/>
          <w:vertAlign w:val="baseline"/>
        </w:rPr>
        <w:t> </w:t>
      </w:r>
      <w:r>
        <w:rPr>
          <w:vertAlign w:val="baseline"/>
        </w:rPr>
        <w:t>na</w:t>
      </w:r>
      <w:r>
        <w:rPr>
          <w:spacing w:val="-8"/>
          <w:vertAlign w:val="baseline"/>
        </w:rPr>
        <w:t> </w:t>
      </w:r>
      <w:r>
        <w:rPr>
          <w:vertAlign w:val="baseline"/>
        </w:rPr>
        <w:t>prevenção</w:t>
      </w:r>
      <w:r>
        <w:rPr>
          <w:spacing w:val="-5"/>
          <w:vertAlign w:val="baseline"/>
        </w:rPr>
        <w:t> </w:t>
      </w:r>
      <w:r>
        <w:rPr>
          <w:vertAlign w:val="baseline"/>
        </w:rPr>
        <w:t>de</w:t>
      </w:r>
      <w:r>
        <w:rPr>
          <w:spacing w:val="-8"/>
          <w:vertAlign w:val="baseline"/>
        </w:rPr>
        <w:t> </w:t>
      </w:r>
      <w:r>
        <w:rPr>
          <w:vertAlign w:val="baseline"/>
        </w:rPr>
        <w:t>eventos cardiovasculares. Entretanto, as recomendações ainda</w:t>
      </w:r>
      <w:r>
        <w:rPr>
          <w:spacing w:val="-8"/>
          <w:vertAlign w:val="baseline"/>
        </w:rPr>
        <w:t> </w:t>
      </w:r>
      <w:r>
        <w:rPr>
          <w:vertAlign w:val="baseline"/>
        </w:rPr>
        <w:t>mantêm</w:t>
      </w:r>
      <w:r>
        <w:rPr>
          <w:spacing w:val="-5"/>
          <w:vertAlign w:val="baseline"/>
        </w:rPr>
        <w:t> </w:t>
      </w:r>
      <w:r>
        <w:rPr>
          <w:vertAlign w:val="baseline"/>
        </w:rPr>
        <w:t>o ácido acetilsalicílico como a droga de primeira escolha.</w:t>
      </w:r>
      <w:r>
        <w:rPr>
          <w:vertAlign w:val="superscript"/>
        </w:rPr>
        <w:t>60</w:t>
      </w:r>
      <w:r>
        <w:rPr>
          <w:vertAlign w:val="baseline"/>
        </w:rPr>
        <w:t> Já o uso de outras drogas com ação na agregação plaquetária, como os inibidores da</w:t>
      </w:r>
      <w:r>
        <w:rPr>
          <w:spacing w:val="-3"/>
          <w:vertAlign w:val="baseline"/>
        </w:rPr>
        <w:t> </w:t>
      </w:r>
      <w:r>
        <w:rPr>
          <w:vertAlign w:val="baseline"/>
        </w:rPr>
        <w:t>glicoproteína</w:t>
      </w:r>
      <w:r>
        <w:rPr>
          <w:spacing w:val="-3"/>
          <w:vertAlign w:val="baseline"/>
        </w:rPr>
        <w:t> </w:t>
      </w:r>
      <w:r>
        <w:rPr>
          <w:vertAlign w:val="baseline"/>
        </w:rPr>
        <w:t>IIb-IIIa, ainda</w:t>
      </w:r>
      <w:r>
        <w:rPr>
          <w:spacing w:val="-3"/>
          <w:vertAlign w:val="baseline"/>
        </w:rPr>
        <w:t> </w:t>
      </w:r>
      <w:r>
        <w:rPr>
          <w:vertAlign w:val="baseline"/>
        </w:rPr>
        <w:t>não demonstrou benefício nos quadros estáveis.</w:t>
      </w:r>
    </w:p>
    <w:p>
      <w:pPr>
        <w:pStyle w:val="BodyText"/>
        <w:spacing w:before="20"/>
        <w:ind w:left="0" w:firstLine="0"/>
        <w:jc w:val="left"/>
      </w:pPr>
    </w:p>
    <w:p>
      <w:pPr>
        <w:pStyle w:val="Heading7"/>
      </w:pPr>
      <w:r>
        <w:rPr>
          <w:color w:val="242B67"/>
          <w:spacing w:val="-2"/>
        </w:rPr>
        <w:t>Antianginosos</w:t>
      </w:r>
    </w:p>
    <w:p>
      <w:pPr>
        <w:pStyle w:val="BodyText"/>
        <w:spacing w:line="276" w:lineRule="auto" w:before="127"/>
        <w:ind w:right="497"/>
      </w:pPr>
      <w:r>
        <w:rPr/>
        <w:t>Quatro classes de agentes são largamente utilizadas, individualmente ou em associação: nitratos, betabloqueadores, bloqueadores de canal de cálcio e a trimetazidina. Quanto à escolha do esquema terapêutico, todos os fármacos são efetivos, sem haver demonstração de superioridade de algum grupo sobre os outros. Entretanto, para o imediato alívio do episódio anginoso agudo, principalmente desencadeado por esforços, a única droga comprovadamente efetiva é a nitroglicerina sublingual ou em </w:t>
      </w:r>
      <w:r>
        <w:rPr>
          <w:i/>
        </w:rPr>
        <w:t>spray</w:t>
      </w:r>
      <w:r>
        <w:rPr/>
        <w:t>. Assim, inicialmente é indicada a monoterapia</w:t>
      </w:r>
      <w:r>
        <w:rPr>
          <w:spacing w:val="-4"/>
        </w:rPr>
        <w:t> </w:t>
      </w:r>
      <w:r>
        <w:rPr/>
        <w:t>com</w:t>
      </w:r>
      <w:r>
        <w:rPr>
          <w:spacing w:val="-2"/>
        </w:rPr>
        <w:t> </w:t>
      </w:r>
      <w:r>
        <w:rPr/>
        <w:t>um</w:t>
      </w:r>
      <w:r>
        <w:rPr>
          <w:spacing w:val="-2"/>
        </w:rPr>
        <w:t> </w:t>
      </w:r>
      <w:r>
        <w:rPr/>
        <w:t>dos três primeiros fármacos, levando</w:t>
      </w:r>
      <w:r>
        <w:rPr>
          <w:spacing w:val="-2"/>
        </w:rPr>
        <w:t> </w:t>
      </w:r>
      <w:r>
        <w:rPr/>
        <w:t>em</w:t>
      </w:r>
      <w:r>
        <w:rPr>
          <w:spacing w:val="-2"/>
        </w:rPr>
        <w:t> </w:t>
      </w:r>
      <w:r>
        <w:rPr/>
        <w:t>conta</w:t>
      </w:r>
      <w:r>
        <w:rPr>
          <w:spacing w:val="-4"/>
        </w:rPr>
        <w:t> </w:t>
      </w:r>
      <w:r>
        <w:rPr/>
        <w:t>o</w:t>
      </w:r>
      <w:r>
        <w:rPr>
          <w:spacing w:val="-2"/>
        </w:rPr>
        <w:t> </w:t>
      </w:r>
      <w:r>
        <w:rPr/>
        <w:t>uso</w:t>
      </w:r>
      <w:r>
        <w:rPr>
          <w:spacing w:val="-2"/>
        </w:rPr>
        <w:t> </w:t>
      </w:r>
      <w:r>
        <w:rPr/>
        <w:t>racional e</w:t>
      </w:r>
      <w:r>
        <w:rPr>
          <w:spacing w:val="-4"/>
        </w:rPr>
        <w:t> </w:t>
      </w:r>
      <w:r>
        <w:rPr/>
        <w:t>a</w:t>
      </w:r>
      <w:r>
        <w:rPr>
          <w:spacing w:val="-4"/>
        </w:rPr>
        <w:t> </w:t>
      </w:r>
      <w:r>
        <w:rPr/>
        <w:t>individualização</w:t>
      </w:r>
      <w:r>
        <w:rPr>
          <w:spacing w:val="-2"/>
        </w:rPr>
        <w:t> </w:t>
      </w:r>
      <w:r>
        <w:rPr/>
        <w:t>do</w:t>
      </w:r>
      <w:r>
        <w:rPr>
          <w:spacing w:val="-2"/>
        </w:rPr>
        <w:t> </w:t>
      </w:r>
      <w:r>
        <w:rPr/>
        <w:t>caso. A individualização do tratamento é baseada na ocorrência de doenças associadas: uso de betabloqueadores em arritmias e hipertensão arterial; bloqueadores de canal de cálcio em espasmo coronário, doença pulmonar, vasculopatia arterial, hipertensão arterial; e nitratos em disfunção ventricular esquerda e espasmo coronário. Em casos refratários, pode-se iniciar a bi ou a triterapia, sendo que a associação nitrato com betabloqueadores se mostrou</w:t>
      </w:r>
      <w:r>
        <w:rPr>
          <w:spacing w:val="-6"/>
        </w:rPr>
        <w:t> </w:t>
      </w:r>
      <w:r>
        <w:rPr/>
        <w:t>superior</w:t>
      </w:r>
      <w:r>
        <w:rPr>
          <w:spacing w:val="-1"/>
        </w:rPr>
        <w:t> </w:t>
      </w:r>
      <w:r>
        <w:rPr/>
        <w:t>por</w:t>
      </w:r>
      <w:r>
        <w:rPr>
          <w:spacing w:val="-1"/>
        </w:rPr>
        <w:t> </w:t>
      </w:r>
      <w:r>
        <w:rPr/>
        <w:t>aumentar</w:t>
      </w:r>
      <w:r>
        <w:rPr>
          <w:spacing w:val="-1"/>
        </w:rPr>
        <w:t> </w:t>
      </w:r>
      <w:r>
        <w:rPr/>
        <w:t>a</w:t>
      </w:r>
      <w:r>
        <w:rPr>
          <w:spacing w:val="-9"/>
        </w:rPr>
        <w:t> </w:t>
      </w:r>
      <w:r>
        <w:rPr/>
        <w:t>tolerância</w:t>
      </w:r>
      <w:r>
        <w:rPr>
          <w:spacing w:val="-9"/>
        </w:rPr>
        <w:t> </w:t>
      </w:r>
      <w:r>
        <w:rPr/>
        <w:t>ao</w:t>
      </w:r>
      <w:r>
        <w:rPr>
          <w:spacing w:val="-6"/>
        </w:rPr>
        <w:t> </w:t>
      </w:r>
      <w:r>
        <w:rPr/>
        <w:t>exercício. Portanto, deve-se</w:t>
      </w:r>
      <w:r>
        <w:rPr>
          <w:spacing w:val="-9"/>
        </w:rPr>
        <w:t> </w:t>
      </w:r>
      <w:r>
        <w:rPr/>
        <w:t>levar</w:t>
      </w:r>
      <w:r>
        <w:rPr>
          <w:spacing w:val="-1"/>
        </w:rPr>
        <w:t> </w:t>
      </w:r>
      <w:r>
        <w:rPr/>
        <w:t>em</w:t>
      </w:r>
      <w:r>
        <w:rPr>
          <w:spacing w:val="-6"/>
        </w:rPr>
        <w:t> </w:t>
      </w:r>
      <w:r>
        <w:rPr/>
        <w:t>conta</w:t>
      </w:r>
      <w:r>
        <w:rPr>
          <w:spacing w:val="-9"/>
        </w:rPr>
        <w:t> </w:t>
      </w:r>
      <w:r>
        <w:rPr/>
        <w:t>a</w:t>
      </w:r>
      <w:r>
        <w:rPr>
          <w:spacing w:val="-9"/>
        </w:rPr>
        <w:t> </w:t>
      </w:r>
      <w:r>
        <w:rPr/>
        <w:t>intensidade</w:t>
      </w:r>
      <w:r>
        <w:rPr>
          <w:spacing w:val="-9"/>
        </w:rPr>
        <w:t> </w:t>
      </w:r>
      <w:r>
        <w:rPr/>
        <w:t>do</w:t>
      </w:r>
      <w:r>
        <w:rPr>
          <w:spacing w:val="-6"/>
        </w:rPr>
        <w:t> </w:t>
      </w:r>
      <w:r>
        <w:rPr/>
        <w:t>sintoma, a</w:t>
      </w:r>
      <w:r>
        <w:rPr>
          <w:spacing w:val="-1"/>
        </w:rPr>
        <w:t> </w:t>
      </w:r>
      <w:r>
        <w:rPr/>
        <w:t>função ventricular esquerda, as doenças associadas, os efeitos colaterais e</w:t>
      </w:r>
      <w:r>
        <w:rPr>
          <w:spacing w:val="-1"/>
        </w:rPr>
        <w:t> </w:t>
      </w:r>
      <w:r>
        <w:rPr/>
        <w:t>a</w:t>
      </w:r>
      <w:r>
        <w:rPr>
          <w:spacing w:val="-1"/>
        </w:rPr>
        <w:t> </w:t>
      </w:r>
      <w:r>
        <w:rPr/>
        <w:t>aderência</w:t>
      </w:r>
      <w:r>
        <w:rPr>
          <w:spacing w:val="-1"/>
        </w:rPr>
        <w:t> </w:t>
      </w:r>
      <w:r>
        <w:rPr/>
        <w:t>do paciente</w:t>
      </w:r>
      <w:r>
        <w:rPr>
          <w:spacing w:val="-1"/>
        </w:rPr>
        <w:t> </w:t>
      </w:r>
      <w:r>
        <w:rPr/>
        <w:t>para</w:t>
      </w:r>
      <w:r>
        <w:rPr>
          <w:spacing w:val="-1"/>
        </w:rPr>
        <w:t> </w:t>
      </w:r>
      <w:r>
        <w:rPr/>
        <w:t>a</w:t>
      </w:r>
      <w:r>
        <w:rPr>
          <w:spacing w:val="-1"/>
        </w:rPr>
        <w:t> </w:t>
      </w:r>
      <w:r>
        <w:rPr/>
        <w:t>escolha do esquema terapêutico (</w:t>
      </w:r>
      <w:r>
        <w:rPr>
          <w:color w:val="505050"/>
        </w:rPr>
        <w:t>Tabela 56.6</w:t>
      </w:r>
      <w:r>
        <w:rPr/>
        <w:t>).</w:t>
      </w:r>
    </w:p>
    <w:p>
      <w:pPr>
        <w:pStyle w:val="BodyText"/>
        <w:spacing w:before="70"/>
        <w:ind w:left="0" w:firstLine="0"/>
        <w:jc w:val="left"/>
      </w:pPr>
    </w:p>
    <w:p>
      <w:pPr>
        <w:pStyle w:val="Heading9"/>
      </w:pPr>
      <w:r>
        <w:rPr>
          <w:color w:val="A26108"/>
          <w:spacing w:val="-2"/>
        </w:rPr>
        <w:t>Nitratos</w:t>
      </w:r>
    </w:p>
    <w:p>
      <w:pPr>
        <w:pStyle w:val="BodyText"/>
        <w:spacing w:line="276" w:lineRule="auto" w:before="116"/>
        <w:ind w:right="487"/>
      </w:pPr>
      <w:r>
        <w:rPr/>
        <w:t>São os mais antigos fármacos antianginosos. Sua absorção pode ocorrer por via sublingual, oral, por </w:t>
      </w:r>
      <w:r>
        <w:rPr>
          <w:i/>
        </w:rPr>
        <w:t>spray</w:t>
      </w:r>
      <w:r>
        <w:rPr>
          <w:i/>
          <w:spacing w:val="40"/>
        </w:rPr>
        <w:t> </w:t>
      </w:r>
      <w:r>
        <w:rPr/>
        <w:t>nasal ou por meio da pele. Após ser absorvido, ocorre a metabolização hepática, podendo haver uma ou mais passagens pelo fígado conforme o tipo de nitrato. Seus metabólitos aumentam o GMP cíclico das células musculares lisas da vasculatura com consequente produção de NO, levando ao efeito vasodilatador. A ação anti-inflamatória</w:t>
      </w:r>
      <w:r>
        <w:rPr>
          <w:spacing w:val="28"/>
        </w:rPr>
        <w:t> </w:t>
      </w:r>
      <w:r>
        <w:rPr/>
        <w:t>e</w:t>
      </w:r>
      <w:r>
        <w:rPr>
          <w:spacing w:val="28"/>
        </w:rPr>
        <w:t> </w:t>
      </w:r>
      <w:r>
        <w:rPr/>
        <w:t>antitrombótica</w:t>
      </w:r>
      <w:r>
        <w:rPr>
          <w:spacing w:val="28"/>
        </w:rPr>
        <w:t> </w:t>
      </w:r>
      <w:r>
        <w:rPr/>
        <w:t>dos</w:t>
      </w:r>
      <w:r>
        <w:rPr>
          <w:spacing w:val="39"/>
        </w:rPr>
        <w:t> </w:t>
      </w:r>
      <w:r>
        <w:rPr/>
        <w:t>nitratos</w:t>
      </w:r>
      <w:r>
        <w:rPr>
          <w:spacing w:val="39"/>
        </w:rPr>
        <w:t> </w:t>
      </w:r>
      <w:r>
        <w:rPr/>
        <w:t>já</w:t>
      </w:r>
      <w:r>
        <w:rPr>
          <w:spacing w:val="28"/>
        </w:rPr>
        <w:t> </w:t>
      </w:r>
      <w:r>
        <w:rPr/>
        <w:t>foi</w:t>
      </w:r>
      <w:r>
        <w:rPr>
          <w:spacing w:val="33"/>
        </w:rPr>
        <w:t> </w:t>
      </w:r>
      <w:r>
        <w:rPr/>
        <w:t>descrita,</w:t>
      </w:r>
      <w:r>
        <w:rPr>
          <w:spacing w:val="39"/>
        </w:rPr>
        <w:t> </w:t>
      </w:r>
      <w:r>
        <w:rPr/>
        <w:t>porém</w:t>
      </w:r>
      <w:r>
        <w:rPr>
          <w:spacing w:val="30"/>
        </w:rPr>
        <w:t> </w:t>
      </w:r>
      <w:r>
        <w:rPr/>
        <w:t>necessita</w:t>
      </w:r>
      <w:r>
        <w:rPr>
          <w:spacing w:val="28"/>
        </w:rPr>
        <w:t> </w:t>
      </w:r>
      <w:r>
        <w:rPr/>
        <w:t>de</w:t>
      </w:r>
      <w:r>
        <w:rPr>
          <w:spacing w:val="28"/>
        </w:rPr>
        <w:t> </w:t>
      </w:r>
      <w:r>
        <w:rPr/>
        <w:t>maiores</w:t>
      </w:r>
      <w:r>
        <w:rPr>
          <w:spacing w:val="39"/>
        </w:rPr>
        <w:t> </w:t>
      </w:r>
      <w:r>
        <w:rPr/>
        <w:t>esclarecimentos</w:t>
      </w:r>
      <w:r>
        <w:rPr>
          <w:spacing w:val="39"/>
        </w:rPr>
        <w:t> </w:t>
      </w:r>
      <w:r>
        <w:rPr/>
        <w:t>quanto</w:t>
      </w:r>
      <w:r>
        <w:rPr>
          <w:spacing w:val="30"/>
        </w:rPr>
        <w:t> </w:t>
      </w:r>
      <w:r>
        <w:rPr/>
        <w:t>à</w:t>
      </w:r>
    </w:p>
    <w:p>
      <w:pPr>
        <w:pStyle w:val="BodyText"/>
        <w:spacing w:after="0" w:line="276" w:lineRule="auto"/>
        <w:sectPr>
          <w:pgSz w:w="11900" w:h="16840"/>
          <w:pgMar w:top="200" w:bottom="280" w:left="566" w:right="141"/>
        </w:sectPr>
      </w:pPr>
    </w:p>
    <w:p>
      <w:pPr>
        <w:pStyle w:val="BodyText"/>
        <w:spacing w:before="79"/>
        <w:ind w:firstLine="0"/>
        <w:jc w:val="left"/>
      </w:pPr>
      <w:r>
        <w:rPr>
          <w:spacing w:val="-2"/>
        </w:rPr>
        <w:t>relevância</w:t>
      </w:r>
      <w:r>
        <w:rPr>
          <w:spacing w:val="-4"/>
        </w:rPr>
        <w:t> </w:t>
      </w:r>
      <w:r>
        <w:rPr>
          <w:spacing w:val="-2"/>
        </w:rPr>
        <w:t>clínica</w:t>
      </w:r>
      <w:r>
        <w:rPr>
          <w:spacing w:val="-3"/>
        </w:rPr>
        <w:t> </w:t>
      </w:r>
      <w:r>
        <w:rPr>
          <w:spacing w:val="-2"/>
        </w:rPr>
        <w:t>desses</w:t>
      </w:r>
      <w:r>
        <w:rPr>
          <w:spacing w:val="8"/>
        </w:rPr>
        <w:t> </w:t>
      </w:r>
      <w:r>
        <w:rPr>
          <w:spacing w:val="-2"/>
        </w:rPr>
        <w:t>achados.</w:t>
      </w:r>
    </w:p>
    <w:p>
      <w:pPr>
        <w:pStyle w:val="BodyText"/>
        <w:spacing w:before="124"/>
        <w:ind w:left="0" w:firstLine="0"/>
        <w:jc w:val="left"/>
      </w:pPr>
    </w:p>
    <w:p>
      <w:pPr>
        <w:pStyle w:val="BodyText"/>
        <w:spacing w:line="278" w:lineRule="auto" w:before="0"/>
        <w:ind w:right="809" w:firstLine="0"/>
        <w:jc w:val="left"/>
        <w:rPr>
          <w:rFonts w:ascii="Microsoft Sans Serif" w:hAnsi="Microsoft Sans Serif"/>
        </w:rPr>
      </w:pPr>
      <w:r>
        <w:rPr>
          <w:rFonts w:ascii="Arial" w:hAnsi="Arial"/>
          <w:b/>
          <w:color w:val="242B67"/>
        </w:rPr>
        <w:t>Tabela</w:t>
      </w:r>
      <w:r>
        <w:rPr>
          <w:rFonts w:ascii="Arial" w:hAnsi="Arial"/>
          <w:b/>
          <w:color w:val="242B67"/>
          <w:spacing w:val="-4"/>
        </w:rPr>
        <w:t> </w:t>
      </w:r>
      <w:r>
        <w:rPr>
          <w:rFonts w:ascii="Arial" w:hAnsi="Arial"/>
          <w:b/>
          <w:color w:val="242B67"/>
        </w:rPr>
        <w:t>56.6</w:t>
      </w:r>
      <w:r>
        <w:rPr>
          <w:rFonts w:ascii="Arial" w:hAnsi="Arial"/>
          <w:b/>
          <w:color w:val="242B67"/>
          <w:spacing w:val="-5"/>
        </w:rPr>
        <w:t> </w:t>
      </w:r>
      <w:r>
        <w:rPr>
          <w:rFonts w:ascii="Microsoft Sans Serif" w:hAnsi="Microsoft Sans Serif"/>
        </w:rPr>
        <w:t>Opções</w:t>
      </w:r>
      <w:r>
        <w:rPr>
          <w:rFonts w:ascii="Microsoft Sans Serif" w:hAnsi="Microsoft Sans Serif"/>
          <w:spacing w:val="-4"/>
        </w:rPr>
        <w:t> </w:t>
      </w:r>
      <w:r>
        <w:rPr>
          <w:rFonts w:ascii="Microsoft Sans Serif" w:hAnsi="Microsoft Sans Serif"/>
        </w:rPr>
        <w:t>de</w:t>
      </w:r>
      <w:r>
        <w:rPr>
          <w:rFonts w:ascii="Microsoft Sans Serif" w:hAnsi="Microsoft Sans Serif"/>
          <w:spacing w:val="-2"/>
        </w:rPr>
        <w:t> </w:t>
      </w:r>
      <w:r>
        <w:rPr>
          <w:rFonts w:ascii="Microsoft Sans Serif" w:hAnsi="Microsoft Sans Serif"/>
        </w:rPr>
        <w:t>tratamento</w:t>
      </w:r>
      <w:r>
        <w:rPr>
          <w:rFonts w:ascii="Microsoft Sans Serif" w:hAnsi="Microsoft Sans Serif"/>
          <w:spacing w:val="-2"/>
        </w:rPr>
        <w:t> </w:t>
      </w:r>
      <w:r>
        <w:rPr>
          <w:rFonts w:ascii="Microsoft Sans Serif" w:hAnsi="Microsoft Sans Serif"/>
        </w:rPr>
        <w:t>medicamentoso</w:t>
      </w:r>
      <w:r>
        <w:rPr>
          <w:rFonts w:ascii="Microsoft Sans Serif" w:hAnsi="Microsoft Sans Serif"/>
          <w:spacing w:val="-2"/>
        </w:rPr>
        <w:t> </w:t>
      </w:r>
      <w:r>
        <w:rPr>
          <w:rFonts w:ascii="Microsoft Sans Serif" w:hAnsi="Microsoft Sans Serif"/>
        </w:rPr>
        <w:t>em</w:t>
      </w:r>
      <w:r>
        <w:rPr>
          <w:rFonts w:ascii="Microsoft Sans Serif" w:hAnsi="Microsoft Sans Serif"/>
          <w:spacing w:val="-2"/>
        </w:rPr>
        <w:t> </w:t>
      </w:r>
      <w:r>
        <w:rPr>
          <w:rFonts w:ascii="Microsoft Sans Serif" w:hAnsi="Microsoft Sans Serif"/>
        </w:rPr>
        <w:t>pacientes</w:t>
      </w:r>
      <w:r>
        <w:rPr>
          <w:rFonts w:ascii="Microsoft Sans Serif" w:hAnsi="Microsoft Sans Serif"/>
          <w:spacing w:val="-4"/>
        </w:rPr>
        <w:t> </w:t>
      </w:r>
      <w:r>
        <w:rPr>
          <w:rFonts w:ascii="Microsoft Sans Serif" w:hAnsi="Microsoft Sans Serif"/>
        </w:rPr>
        <w:t>com</w:t>
      </w:r>
      <w:r>
        <w:rPr>
          <w:rFonts w:ascii="Microsoft Sans Serif" w:hAnsi="Microsoft Sans Serif"/>
          <w:spacing w:val="-2"/>
        </w:rPr>
        <w:t> </w:t>
      </w:r>
      <w:r>
        <w:rPr>
          <w:rFonts w:ascii="Microsoft Sans Serif" w:hAnsi="Microsoft Sans Serif"/>
        </w:rPr>
        <w:t>angina</w:t>
      </w:r>
      <w:r>
        <w:rPr>
          <w:rFonts w:ascii="Microsoft Sans Serif" w:hAnsi="Microsoft Sans Serif"/>
          <w:spacing w:val="-2"/>
        </w:rPr>
        <w:t> </w:t>
      </w:r>
      <w:r>
        <w:rPr>
          <w:rFonts w:ascii="Microsoft Sans Serif" w:hAnsi="Microsoft Sans Serif"/>
        </w:rPr>
        <w:t>estável</w:t>
      </w:r>
      <w:r>
        <w:rPr>
          <w:rFonts w:ascii="Microsoft Sans Serif" w:hAnsi="Microsoft Sans Serif"/>
          <w:spacing w:val="-4"/>
        </w:rPr>
        <w:t> </w:t>
      </w:r>
      <w:r>
        <w:rPr>
          <w:rFonts w:ascii="Microsoft Sans Serif" w:hAnsi="Microsoft Sans Serif"/>
        </w:rPr>
        <w:t>conforme doenças associadas.</w:t>
      </w:r>
    </w:p>
    <w:p>
      <w:pPr>
        <w:pStyle w:val="BodyText"/>
        <w:spacing w:before="6" w:after="1"/>
        <w:ind w:left="0" w:firstLine="0"/>
        <w:jc w:val="left"/>
        <w:rPr>
          <w:rFonts w:ascii="Microsoft Sans Serif"/>
          <w:sz w:val="10"/>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234"/>
        <w:gridCol w:w="1633"/>
        <w:gridCol w:w="1825"/>
        <w:gridCol w:w="1697"/>
        <w:gridCol w:w="1601"/>
        <w:gridCol w:w="1625"/>
      </w:tblGrid>
      <w:tr>
        <w:trPr>
          <w:trHeight w:val="430" w:hRule="atLeast"/>
        </w:trPr>
        <w:tc>
          <w:tcPr>
            <w:tcW w:w="2234" w:type="dxa"/>
            <w:vMerge w:val="restart"/>
            <w:tcBorders>
              <w:top w:val="nil"/>
              <w:left w:val="nil"/>
            </w:tcBorders>
            <w:shd w:val="clear" w:color="auto" w:fill="242B67"/>
          </w:tcPr>
          <w:p>
            <w:pPr>
              <w:pStyle w:val="TableParagraph"/>
              <w:spacing w:before="0"/>
              <w:ind w:left="0"/>
              <w:rPr>
                <w:sz w:val="21"/>
              </w:rPr>
            </w:pPr>
          </w:p>
          <w:p>
            <w:pPr>
              <w:pStyle w:val="TableParagraph"/>
              <w:spacing w:before="64"/>
              <w:ind w:left="0"/>
              <w:rPr>
                <w:sz w:val="21"/>
              </w:rPr>
            </w:pPr>
          </w:p>
          <w:p>
            <w:pPr>
              <w:pStyle w:val="TableParagraph"/>
              <w:spacing w:before="0"/>
              <w:ind w:left="67"/>
              <w:rPr>
                <w:rFonts w:ascii="Arial" w:hAnsi="Arial"/>
                <w:b/>
                <w:sz w:val="21"/>
              </w:rPr>
            </w:pPr>
            <w:r>
              <w:rPr>
                <w:rFonts w:ascii="Arial" w:hAnsi="Arial"/>
                <w:b/>
                <w:color w:val="FFFFFF"/>
                <w:w w:val="105"/>
                <w:sz w:val="21"/>
              </w:rPr>
              <w:t>Doença</w:t>
            </w:r>
            <w:r>
              <w:rPr>
                <w:rFonts w:ascii="Arial" w:hAnsi="Arial"/>
                <w:b/>
                <w:color w:val="FFFFFF"/>
                <w:spacing w:val="-1"/>
                <w:w w:val="105"/>
                <w:sz w:val="21"/>
              </w:rPr>
              <w:t> </w:t>
            </w:r>
            <w:r>
              <w:rPr>
                <w:rFonts w:ascii="Arial" w:hAnsi="Arial"/>
                <w:b/>
                <w:color w:val="FFFFFF"/>
                <w:spacing w:val="-2"/>
                <w:w w:val="105"/>
                <w:sz w:val="21"/>
              </w:rPr>
              <w:t>associada</w:t>
            </w:r>
          </w:p>
        </w:tc>
        <w:tc>
          <w:tcPr>
            <w:tcW w:w="1633" w:type="dxa"/>
            <w:vMerge w:val="restart"/>
            <w:tcBorders>
              <w:top w:val="nil"/>
            </w:tcBorders>
            <w:shd w:val="clear" w:color="auto" w:fill="242B67"/>
          </w:tcPr>
          <w:p>
            <w:pPr>
              <w:pStyle w:val="TableParagraph"/>
              <w:spacing w:before="0"/>
              <w:ind w:left="0"/>
              <w:rPr>
                <w:sz w:val="21"/>
              </w:rPr>
            </w:pPr>
          </w:p>
          <w:p>
            <w:pPr>
              <w:pStyle w:val="TableParagraph"/>
              <w:spacing w:before="64"/>
              <w:ind w:left="0"/>
              <w:rPr>
                <w:sz w:val="21"/>
              </w:rPr>
            </w:pPr>
          </w:p>
          <w:p>
            <w:pPr>
              <w:pStyle w:val="TableParagraph"/>
              <w:spacing w:before="0"/>
              <w:ind w:left="66"/>
              <w:rPr>
                <w:rFonts w:ascii="Arial"/>
                <w:b/>
                <w:sz w:val="21"/>
              </w:rPr>
            </w:pPr>
            <w:r>
              <w:rPr>
                <w:rFonts w:ascii="Arial"/>
                <w:b/>
                <w:color w:val="FFFFFF"/>
                <w:spacing w:val="-2"/>
                <w:w w:val="105"/>
                <w:sz w:val="21"/>
              </w:rPr>
              <w:t>Nitratos</w:t>
            </w:r>
          </w:p>
        </w:tc>
        <w:tc>
          <w:tcPr>
            <w:tcW w:w="1825" w:type="dxa"/>
            <w:vMerge w:val="restart"/>
            <w:tcBorders>
              <w:top w:val="nil"/>
            </w:tcBorders>
            <w:shd w:val="clear" w:color="auto" w:fill="242B67"/>
          </w:tcPr>
          <w:p>
            <w:pPr>
              <w:pStyle w:val="TableParagraph"/>
              <w:spacing w:before="0"/>
              <w:ind w:left="0"/>
              <w:rPr>
                <w:sz w:val="21"/>
              </w:rPr>
            </w:pPr>
          </w:p>
          <w:p>
            <w:pPr>
              <w:pStyle w:val="TableParagraph"/>
              <w:spacing w:before="64"/>
              <w:ind w:left="0"/>
              <w:rPr>
                <w:sz w:val="21"/>
              </w:rPr>
            </w:pPr>
          </w:p>
          <w:p>
            <w:pPr>
              <w:pStyle w:val="TableParagraph"/>
              <w:spacing w:before="0"/>
              <w:ind w:left="66"/>
              <w:rPr>
                <w:rFonts w:ascii="Arial"/>
                <w:b/>
                <w:sz w:val="21"/>
              </w:rPr>
            </w:pPr>
            <w:r>
              <w:rPr>
                <w:rFonts w:ascii="Arial"/>
                <w:b/>
                <w:color w:val="FFFFFF"/>
                <w:spacing w:val="-2"/>
                <w:w w:val="105"/>
                <w:sz w:val="21"/>
              </w:rPr>
              <w:t>Betabloqueador</w:t>
            </w:r>
          </w:p>
        </w:tc>
        <w:tc>
          <w:tcPr>
            <w:tcW w:w="4923" w:type="dxa"/>
            <w:gridSpan w:val="3"/>
            <w:tcBorders>
              <w:top w:val="nil"/>
              <w:right w:val="nil"/>
            </w:tcBorders>
            <w:shd w:val="clear" w:color="auto" w:fill="242B67"/>
          </w:tcPr>
          <w:p>
            <w:pPr>
              <w:pStyle w:val="TableParagraph"/>
              <w:spacing w:before="91"/>
              <w:ind w:left="1299"/>
              <w:rPr>
                <w:rFonts w:ascii="Arial" w:hAnsi="Arial"/>
                <w:b/>
                <w:sz w:val="21"/>
              </w:rPr>
            </w:pPr>
            <w:r>
              <w:rPr>
                <w:rFonts w:ascii="Arial" w:hAnsi="Arial"/>
                <w:b/>
                <w:color w:val="FFFFFF"/>
                <w:w w:val="105"/>
                <w:sz w:val="21"/>
              </w:rPr>
              <w:t>Antagonista</w:t>
            </w:r>
            <w:r>
              <w:rPr>
                <w:rFonts w:ascii="Arial" w:hAnsi="Arial"/>
                <w:b/>
                <w:color w:val="FFFFFF"/>
                <w:spacing w:val="-3"/>
                <w:w w:val="105"/>
                <w:sz w:val="21"/>
              </w:rPr>
              <w:t> </w:t>
            </w:r>
            <w:r>
              <w:rPr>
                <w:rFonts w:ascii="Arial" w:hAnsi="Arial"/>
                <w:b/>
                <w:color w:val="FFFFFF"/>
                <w:w w:val="105"/>
                <w:sz w:val="21"/>
              </w:rPr>
              <w:t>do</w:t>
            </w:r>
            <w:r>
              <w:rPr>
                <w:rFonts w:ascii="Arial" w:hAnsi="Arial"/>
                <w:b/>
                <w:color w:val="FFFFFF"/>
                <w:spacing w:val="-13"/>
                <w:w w:val="105"/>
                <w:sz w:val="21"/>
              </w:rPr>
              <w:t> </w:t>
            </w:r>
            <w:r>
              <w:rPr>
                <w:rFonts w:ascii="Arial" w:hAnsi="Arial"/>
                <w:b/>
                <w:color w:val="FFFFFF"/>
                <w:spacing w:val="-2"/>
                <w:w w:val="105"/>
                <w:sz w:val="21"/>
              </w:rPr>
              <w:t>cálcio</w:t>
            </w:r>
          </w:p>
        </w:tc>
      </w:tr>
      <w:tr>
        <w:trPr>
          <w:trHeight w:val="428" w:hRule="atLeast"/>
        </w:trPr>
        <w:tc>
          <w:tcPr>
            <w:tcW w:w="2234" w:type="dxa"/>
            <w:vMerge/>
            <w:tcBorders>
              <w:top w:val="nil"/>
              <w:left w:val="nil"/>
            </w:tcBorders>
            <w:shd w:val="clear" w:color="auto" w:fill="242B67"/>
          </w:tcPr>
          <w:p>
            <w:pPr>
              <w:rPr>
                <w:sz w:val="2"/>
                <w:szCs w:val="2"/>
              </w:rPr>
            </w:pPr>
          </w:p>
        </w:tc>
        <w:tc>
          <w:tcPr>
            <w:tcW w:w="1633" w:type="dxa"/>
            <w:vMerge/>
            <w:tcBorders>
              <w:top w:val="nil"/>
            </w:tcBorders>
            <w:shd w:val="clear" w:color="auto" w:fill="242B67"/>
          </w:tcPr>
          <w:p>
            <w:pPr>
              <w:rPr>
                <w:sz w:val="2"/>
                <w:szCs w:val="2"/>
              </w:rPr>
            </w:pPr>
          </w:p>
        </w:tc>
        <w:tc>
          <w:tcPr>
            <w:tcW w:w="1825" w:type="dxa"/>
            <w:vMerge/>
            <w:tcBorders>
              <w:top w:val="nil"/>
            </w:tcBorders>
            <w:shd w:val="clear" w:color="auto" w:fill="242B67"/>
          </w:tcPr>
          <w:p>
            <w:pPr>
              <w:rPr>
                <w:sz w:val="2"/>
                <w:szCs w:val="2"/>
              </w:rPr>
            </w:pPr>
          </w:p>
        </w:tc>
        <w:tc>
          <w:tcPr>
            <w:tcW w:w="1697" w:type="dxa"/>
            <w:shd w:val="clear" w:color="auto" w:fill="242B67"/>
          </w:tcPr>
          <w:p>
            <w:pPr>
              <w:pStyle w:val="TableParagraph"/>
              <w:spacing w:before="89"/>
              <w:ind w:left="67"/>
              <w:rPr>
                <w:rFonts w:ascii="Arial"/>
                <w:b/>
                <w:sz w:val="21"/>
              </w:rPr>
            </w:pPr>
            <w:r>
              <w:rPr>
                <w:rFonts w:ascii="Arial"/>
                <w:b/>
                <w:color w:val="FFFFFF"/>
                <w:spacing w:val="-2"/>
                <w:w w:val="105"/>
                <w:sz w:val="21"/>
              </w:rPr>
              <w:t>Nifedipino</w:t>
            </w:r>
          </w:p>
        </w:tc>
        <w:tc>
          <w:tcPr>
            <w:tcW w:w="1601" w:type="dxa"/>
            <w:shd w:val="clear" w:color="auto" w:fill="242B67"/>
          </w:tcPr>
          <w:p>
            <w:pPr>
              <w:pStyle w:val="TableParagraph"/>
              <w:spacing w:before="89"/>
              <w:ind w:left="68"/>
              <w:rPr>
                <w:rFonts w:ascii="Arial"/>
                <w:b/>
                <w:sz w:val="21"/>
              </w:rPr>
            </w:pPr>
            <w:r>
              <w:rPr>
                <w:rFonts w:ascii="Arial"/>
                <w:b/>
                <w:color w:val="FFFFFF"/>
                <w:spacing w:val="-2"/>
                <w:w w:val="105"/>
                <w:sz w:val="21"/>
              </w:rPr>
              <w:t>Diltiazem</w:t>
            </w:r>
          </w:p>
        </w:tc>
        <w:tc>
          <w:tcPr>
            <w:tcW w:w="1625" w:type="dxa"/>
            <w:tcBorders>
              <w:right w:val="nil"/>
            </w:tcBorders>
            <w:shd w:val="clear" w:color="auto" w:fill="242B67"/>
          </w:tcPr>
          <w:p>
            <w:pPr>
              <w:pStyle w:val="TableParagraph"/>
              <w:spacing w:before="89"/>
              <w:ind w:left="68"/>
              <w:rPr>
                <w:rFonts w:ascii="Arial"/>
                <w:b/>
                <w:sz w:val="21"/>
              </w:rPr>
            </w:pPr>
            <w:r>
              <w:rPr>
                <w:rFonts w:ascii="Arial"/>
                <w:b/>
                <w:color w:val="FFFFFF"/>
                <w:spacing w:val="-2"/>
                <w:w w:val="105"/>
                <w:sz w:val="21"/>
              </w:rPr>
              <w:t>Verapamil</w:t>
            </w:r>
          </w:p>
        </w:tc>
      </w:tr>
      <w:tr>
        <w:trPr>
          <w:trHeight w:val="428" w:hRule="atLeast"/>
        </w:trPr>
        <w:tc>
          <w:tcPr>
            <w:tcW w:w="2234" w:type="dxa"/>
            <w:tcBorders>
              <w:left w:val="nil"/>
            </w:tcBorders>
            <w:shd w:val="clear" w:color="auto" w:fill="EDECF3"/>
          </w:tcPr>
          <w:p>
            <w:pPr>
              <w:pStyle w:val="TableParagraph"/>
              <w:spacing w:before="93"/>
              <w:ind w:left="67"/>
              <w:rPr>
                <w:sz w:val="21"/>
              </w:rPr>
            </w:pPr>
            <w:r>
              <w:rPr>
                <w:spacing w:val="-2"/>
                <w:w w:val="105"/>
                <w:sz w:val="21"/>
              </w:rPr>
              <w:t>Nenhuma</w:t>
            </w:r>
          </w:p>
        </w:tc>
        <w:tc>
          <w:tcPr>
            <w:tcW w:w="1633" w:type="dxa"/>
            <w:shd w:val="clear" w:color="auto" w:fill="EDECF3"/>
          </w:tcPr>
          <w:p>
            <w:pPr>
              <w:pStyle w:val="TableParagraph"/>
              <w:spacing w:before="93"/>
              <w:ind w:left="66"/>
              <w:rPr>
                <w:sz w:val="21"/>
              </w:rPr>
            </w:pPr>
            <w:r>
              <w:rPr>
                <w:spacing w:val="-5"/>
                <w:w w:val="105"/>
                <w:sz w:val="21"/>
              </w:rPr>
              <w:t>+++</w:t>
            </w:r>
          </w:p>
        </w:tc>
        <w:tc>
          <w:tcPr>
            <w:tcW w:w="1825" w:type="dxa"/>
            <w:shd w:val="clear" w:color="auto" w:fill="EDECF3"/>
          </w:tcPr>
          <w:p>
            <w:pPr>
              <w:pStyle w:val="TableParagraph"/>
              <w:spacing w:before="93"/>
              <w:ind w:left="66"/>
              <w:rPr>
                <w:sz w:val="21"/>
              </w:rPr>
            </w:pPr>
            <w:r>
              <w:rPr>
                <w:spacing w:val="-5"/>
                <w:w w:val="105"/>
                <w:sz w:val="21"/>
              </w:rPr>
              <w:t>+++</w:t>
            </w:r>
          </w:p>
        </w:tc>
        <w:tc>
          <w:tcPr>
            <w:tcW w:w="1697" w:type="dxa"/>
            <w:shd w:val="clear" w:color="auto" w:fill="EDECF3"/>
          </w:tcPr>
          <w:p>
            <w:pPr>
              <w:pStyle w:val="TableParagraph"/>
              <w:spacing w:before="93"/>
              <w:ind w:left="67"/>
              <w:rPr>
                <w:sz w:val="21"/>
              </w:rPr>
            </w:pPr>
            <w:r>
              <w:rPr>
                <w:spacing w:val="-5"/>
                <w:w w:val="105"/>
                <w:sz w:val="21"/>
              </w:rPr>
              <w:t>++</w:t>
            </w:r>
          </w:p>
        </w:tc>
        <w:tc>
          <w:tcPr>
            <w:tcW w:w="1601" w:type="dxa"/>
            <w:shd w:val="clear" w:color="auto" w:fill="EDECF3"/>
          </w:tcPr>
          <w:p>
            <w:pPr>
              <w:pStyle w:val="TableParagraph"/>
              <w:spacing w:before="93"/>
              <w:ind w:left="68"/>
              <w:rPr>
                <w:sz w:val="21"/>
              </w:rPr>
            </w:pPr>
            <w:r>
              <w:rPr>
                <w:spacing w:val="-5"/>
                <w:w w:val="105"/>
                <w:sz w:val="21"/>
              </w:rPr>
              <w:t>+++</w:t>
            </w:r>
          </w:p>
        </w:tc>
        <w:tc>
          <w:tcPr>
            <w:tcW w:w="1625" w:type="dxa"/>
            <w:tcBorders>
              <w:right w:val="nil"/>
            </w:tcBorders>
            <w:shd w:val="clear" w:color="auto" w:fill="EDECF3"/>
          </w:tcPr>
          <w:p>
            <w:pPr>
              <w:pStyle w:val="TableParagraph"/>
              <w:spacing w:before="93"/>
              <w:ind w:left="68"/>
              <w:rPr>
                <w:sz w:val="21"/>
              </w:rPr>
            </w:pPr>
            <w:r>
              <w:rPr>
                <w:spacing w:val="-5"/>
                <w:w w:val="105"/>
                <w:sz w:val="21"/>
              </w:rPr>
              <w:t>+++</w:t>
            </w:r>
          </w:p>
        </w:tc>
      </w:tr>
      <w:tr>
        <w:trPr>
          <w:trHeight w:val="428" w:hRule="atLeast"/>
        </w:trPr>
        <w:tc>
          <w:tcPr>
            <w:tcW w:w="2234" w:type="dxa"/>
            <w:tcBorders>
              <w:left w:val="nil"/>
            </w:tcBorders>
            <w:shd w:val="clear" w:color="auto" w:fill="EDECF3"/>
          </w:tcPr>
          <w:p>
            <w:pPr>
              <w:pStyle w:val="TableParagraph"/>
              <w:spacing w:before="93"/>
              <w:ind w:left="67"/>
              <w:rPr>
                <w:sz w:val="21"/>
              </w:rPr>
            </w:pPr>
            <w:r>
              <w:rPr>
                <w:w w:val="105"/>
                <w:sz w:val="21"/>
              </w:rPr>
              <w:t>Hipertensão</w:t>
            </w:r>
            <w:r>
              <w:rPr>
                <w:spacing w:val="37"/>
                <w:w w:val="105"/>
                <w:sz w:val="21"/>
              </w:rPr>
              <w:t> </w:t>
            </w:r>
            <w:r>
              <w:rPr>
                <w:spacing w:val="-2"/>
                <w:w w:val="105"/>
                <w:sz w:val="21"/>
              </w:rPr>
              <w:t>arterial</w:t>
            </w:r>
          </w:p>
        </w:tc>
        <w:tc>
          <w:tcPr>
            <w:tcW w:w="1633" w:type="dxa"/>
            <w:shd w:val="clear" w:color="auto" w:fill="EDECF3"/>
          </w:tcPr>
          <w:p>
            <w:pPr>
              <w:pStyle w:val="TableParagraph"/>
              <w:spacing w:before="93"/>
              <w:ind w:left="66"/>
              <w:rPr>
                <w:sz w:val="21"/>
              </w:rPr>
            </w:pPr>
            <w:r>
              <w:rPr>
                <w:spacing w:val="-10"/>
                <w:w w:val="105"/>
                <w:sz w:val="21"/>
              </w:rPr>
              <w:t>+</w:t>
            </w:r>
          </w:p>
        </w:tc>
        <w:tc>
          <w:tcPr>
            <w:tcW w:w="1825" w:type="dxa"/>
            <w:shd w:val="clear" w:color="auto" w:fill="EDECF3"/>
          </w:tcPr>
          <w:p>
            <w:pPr>
              <w:pStyle w:val="TableParagraph"/>
              <w:spacing w:before="93"/>
              <w:ind w:left="66"/>
              <w:rPr>
                <w:sz w:val="21"/>
              </w:rPr>
            </w:pPr>
            <w:r>
              <w:rPr>
                <w:spacing w:val="-5"/>
                <w:w w:val="105"/>
                <w:sz w:val="21"/>
              </w:rPr>
              <w:t>+++</w:t>
            </w:r>
          </w:p>
        </w:tc>
        <w:tc>
          <w:tcPr>
            <w:tcW w:w="1697" w:type="dxa"/>
            <w:shd w:val="clear" w:color="auto" w:fill="EDECF3"/>
          </w:tcPr>
          <w:p>
            <w:pPr>
              <w:pStyle w:val="TableParagraph"/>
              <w:spacing w:before="93"/>
              <w:ind w:left="67"/>
              <w:rPr>
                <w:sz w:val="21"/>
              </w:rPr>
            </w:pPr>
            <w:r>
              <w:rPr>
                <w:spacing w:val="-5"/>
                <w:w w:val="105"/>
                <w:sz w:val="21"/>
              </w:rPr>
              <w:t>+++</w:t>
            </w:r>
          </w:p>
        </w:tc>
        <w:tc>
          <w:tcPr>
            <w:tcW w:w="1601" w:type="dxa"/>
            <w:shd w:val="clear" w:color="auto" w:fill="EDECF3"/>
          </w:tcPr>
          <w:p>
            <w:pPr>
              <w:pStyle w:val="TableParagraph"/>
              <w:spacing w:before="93"/>
              <w:ind w:left="68"/>
              <w:rPr>
                <w:sz w:val="21"/>
              </w:rPr>
            </w:pPr>
            <w:r>
              <w:rPr>
                <w:spacing w:val="-5"/>
                <w:w w:val="105"/>
                <w:sz w:val="21"/>
              </w:rPr>
              <w:t>+++</w:t>
            </w:r>
          </w:p>
        </w:tc>
        <w:tc>
          <w:tcPr>
            <w:tcW w:w="1625" w:type="dxa"/>
            <w:tcBorders>
              <w:right w:val="nil"/>
            </w:tcBorders>
            <w:shd w:val="clear" w:color="auto" w:fill="EDECF3"/>
          </w:tcPr>
          <w:p>
            <w:pPr>
              <w:pStyle w:val="TableParagraph"/>
              <w:spacing w:before="93"/>
              <w:ind w:left="68"/>
              <w:rPr>
                <w:sz w:val="21"/>
              </w:rPr>
            </w:pPr>
            <w:r>
              <w:rPr>
                <w:spacing w:val="-5"/>
                <w:w w:val="105"/>
                <w:sz w:val="21"/>
              </w:rPr>
              <w:t>+++</w:t>
            </w:r>
          </w:p>
        </w:tc>
      </w:tr>
      <w:tr>
        <w:trPr>
          <w:trHeight w:val="428" w:hRule="atLeast"/>
        </w:trPr>
        <w:tc>
          <w:tcPr>
            <w:tcW w:w="2234" w:type="dxa"/>
            <w:tcBorders>
              <w:left w:val="nil"/>
            </w:tcBorders>
            <w:shd w:val="clear" w:color="auto" w:fill="EDECF3"/>
          </w:tcPr>
          <w:p>
            <w:pPr>
              <w:pStyle w:val="TableParagraph"/>
              <w:spacing w:before="93"/>
              <w:ind w:left="67"/>
              <w:rPr>
                <w:sz w:val="21"/>
              </w:rPr>
            </w:pPr>
            <w:r>
              <w:rPr>
                <w:w w:val="105"/>
                <w:sz w:val="21"/>
              </w:rPr>
              <w:t>IAM</w:t>
            </w:r>
            <w:r>
              <w:rPr>
                <w:spacing w:val="-8"/>
                <w:w w:val="105"/>
                <w:sz w:val="21"/>
              </w:rPr>
              <w:t> </w:t>
            </w:r>
            <w:r>
              <w:rPr>
                <w:spacing w:val="-2"/>
                <w:w w:val="105"/>
                <w:sz w:val="21"/>
              </w:rPr>
              <w:t>recente</w:t>
            </w:r>
          </w:p>
        </w:tc>
        <w:tc>
          <w:tcPr>
            <w:tcW w:w="1633" w:type="dxa"/>
            <w:shd w:val="clear" w:color="auto" w:fill="EDECF3"/>
          </w:tcPr>
          <w:p>
            <w:pPr>
              <w:pStyle w:val="TableParagraph"/>
              <w:spacing w:before="93"/>
              <w:ind w:left="66"/>
              <w:rPr>
                <w:sz w:val="21"/>
              </w:rPr>
            </w:pPr>
            <w:r>
              <w:rPr>
                <w:spacing w:val="-5"/>
                <w:w w:val="105"/>
                <w:sz w:val="21"/>
              </w:rPr>
              <w:t>+++</w:t>
            </w:r>
          </w:p>
        </w:tc>
        <w:tc>
          <w:tcPr>
            <w:tcW w:w="1825" w:type="dxa"/>
            <w:shd w:val="clear" w:color="auto" w:fill="EDECF3"/>
          </w:tcPr>
          <w:p>
            <w:pPr>
              <w:pStyle w:val="TableParagraph"/>
              <w:spacing w:before="93"/>
              <w:ind w:left="66"/>
              <w:rPr>
                <w:sz w:val="21"/>
              </w:rPr>
            </w:pPr>
            <w:r>
              <w:rPr>
                <w:spacing w:val="-5"/>
                <w:w w:val="105"/>
                <w:sz w:val="21"/>
              </w:rPr>
              <w:t>+++</w:t>
            </w:r>
          </w:p>
        </w:tc>
        <w:tc>
          <w:tcPr>
            <w:tcW w:w="1697" w:type="dxa"/>
            <w:shd w:val="clear" w:color="auto" w:fill="EDECF3"/>
          </w:tcPr>
          <w:p>
            <w:pPr>
              <w:pStyle w:val="TableParagraph"/>
              <w:spacing w:before="93"/>
              <w:ind w:left="67"/>
              <w:rPr>
                <w:sz w:val="21"/>
              </w:rPr>
            </w:pPr>
            <w:r>
              <w:rPr>
                <w:spacing w:val="-10"/>
                <w:w w:val="105"/>
                <w:sz w:val="21"/>
              </w:rPr>
              <w:t>0</w:t>
            </w:r>
          </w:p>
        </w:tc>
        <w:tc>
          <w:tcPr>
            <w:tcW w:w="1601" w:type="dxa"/>
            <w:shd w:val="clear" w:color="auto" w:fill="EDECF3"/>
          </w:tcPr>
          <w:p>
            <w:pPr>
              <w:pStyle w:val="TableParagraph"/>
              <w:spacing w:before="93"/>
              <w:ind w:left="68"/>
              <w:rPr>
                <w:sz w:val="21"/>
              </w:rPr>
            </w:pPr>
            <w:r>
              <w:rPr>
                <w:spacing w:val="-10"/>
                <w:w w:val="105"/>
                <w:sz w:val="21"/>
              </w:rPr>
              <w:t>0</w:t>
            </w:r>
          </w:p>
        </w:tc>
        <w:tc>
          <w:tcPr>
            <w:tcW w:w="1625" w:type="dxa"/>
            <w:tcBorders>
              <w:right w:val="nil"/>
            </w:tcBorders>
            <w:shd w:val="clear" w:color="auto" w:fill="EDECF3"/>
          </w:tcPr>
          <w:p>
            <w:pPr>
              <w:pStyle w:val="TableParagraph"/>
              <w:spacing w:before="93"/>
              <w:ind w:left="68"/>
              <w:rPr>
                <w:sz w:val="21"/>
              </w:rPr>
            </w:pPr>
            <w:r>
              <w:rPr>
                <w:spacing w:val="-10"/>
                <w:w w:val="105"/>
                <w:sz w:val="21"/>
              </w:rPr>
              <w:t>+</w:t>
            </w:r>
          </w:p>
        </w:tc>
      </w:tr>
      <w:tr>
        <w:trPr>
          <w:trHeight w:val="732" w:hRule="atLeast"/>
        </w:trPr>
        <w:tc>
          <w:tcPr>
            <w:tcW w:w="2234" w:type="dxa"/>
            <w:tcBorders>
              <w:left w:val="nil"/>
            </w:tcBorders>
            <w:shd w:val="clear" w:color="auto" w:fill="EDECF3"/>
          </w:tcPr>
          <w:p>
            <w:pPr>
              <w:pStyle w:val="TableParagraph"/>
              <w:spacing w:line="307" w:lineRule="auto" w:before="93"/>
              <w:ind w:left="67"/>
              <w:rPr>
                <w:sz w:val="21"/>
              </w:rPr>
            </w:pPr>
            <w:r>
              <w:rPr>
                <w:w w:val="105"/>
                <w:sz w:val="21"/>
              </w:rPr>
              <w:t>Disfunção de ventrículo </w:t>
            </w:r>
            <w:r>
              <w:rPr>
                <w:w w:val="105"/>
                <w:sz w:val="21"/>
              </w:rPr>
              <w:t>esquerdo</w:t>
            </w:r>
          </w:p>
        </w:tc>
        <w:tc>
          <w:tcPr>
            <w:tcW w:w="1633" w:type="dxa"/>
            <w:shd w:val="clear" w:color="auto" w:fill="EDECF3"/>
          </w:tcPr>
          <w:p>
            <w:pPr>
              <w:pStyle w:val="TableParagraph"/>
              <w:spacing w:before="93"/>
              <w:ind w:left="66"/>
              <w:rPr>
                <w:sz w:val="21"/>
              </w:rPr>
            </w:pPr>
            <w:r>
              <w:rPr>
                <w:spacing w:val="-5"/>
                <w:w w:val="105"/>
                <w:sz w:val="21"/>
              </w:rPr>
              <w:t>+++</w:t>
            </w:r>
          </w:p>
        </w:tc>
        <w:tc>
          <w:tcPr>
            <w:tcW w:w="1825" w:type="dxa"/>
            <w:shd w:val="clear" w:color="auto" w:fill="EDECF3"/>
          </w:tcPr>
          <w:p>
            <w:pPr>
              <w:pStyle w:val="TableParagraph"/>
              <w:spacing w:before="93"/>
              <w:ind w:left="66"/>
              <w:rPr>
                <w:sz w:val="21"/>
              </w:rPr>
            </w:pPr>
            <w:r>
              <w:rPr>
                <w:spacing w:val="-10"/>
                <w:w w:val="105"/>
                <w:sz w:val="21"/>
              </w:rPr>
              <w:t>+</w:t>
            </w:r>
          </w:p>
        </w:tc>
        <w:tc>
          <w:tcPr>
            <w:tcW w:w="1697" w:type="dxa"/>
            <w:shd w:val="clear" w:color="auto" w:fill="EDECF3"/>
          </w:tcPr>
          <w:p>
            <w:pPr>
              <w:pStyle w:val="TableParagraph"/>
              <w:spacing w:before="93"/>
              <w:ind w:left="67"/>
              <w:rPr>
                <w:sz w:val="21"/>
              </w:rPr>
            </w:pPr>
            <w:r>
              <w:rPr>
                <w:spacing w:val="-5"/>
                <w:w w:val="105"/>
                <w:sz w:val="21"/>
              </w:rPr>
              <w:t>0*</w:t>
            </w:r>
          </w:p>
        </w:tc>
        <w:tc>
          <w:tcPr>
            <w:tcW w:w="1601" w:type="dxa"/>
            <w:shd w:val="clear" w:color="auto" w:fill="EDECF3"/>
          </w:tcPr>
          <w:p>
            <w:pPr>
              <w:pStyle w:val="TableParagraph"/>
              <w:spacing w:before="93"/>
              <w:ind w:left="68"/>
              <w:rPr>
                <w:sz w:val="21"/>
              </w:rPr>
            </w:pPr>
            <w:r>
              <w:rPr>
                <w:spacing w:val="-10"/>
                <w:w w:val="105"/>
                <w:sz w:val="21"/>
              </w:rPr>
              <w:t>0</w:t>
            </w:r>
          </w:p>
        </w:tc>
        <w:tc>
          <w:tcPr>
            <w:tcW w:w="1625" w:type="dxa"/>
            <w:tcBorders>
              <w:right w:val="nil"/>
            </w:tcBorders>
            <w:shd w:val="clear" w:color="auto" w:fill="EDECF3"/>
          </w:tcPr>
          <w:p>
            <w:pPr>
              <w:pStyle w:val="TableParagraph"/>
              <w:spacing w:before="93"/>
              <w:ind w:left="68"/>
              <w:rPr>
                <w:sz w:val="21"/>
              </w:rPr>
            </w:pPr>
            <w:r>
              <w:rPr>
                <w:spacing w:val="-10"/>
                <w:w w:val="105"/>
                <w:sz w:val="21"/>
              </w:rPr>
              <w:t>0</w:t>
            </w:r>
          </w:p>
        </w:tc>
      </w:tr>
      <w:tr>
        <w:trPr>
          <w:trHeight w:val="428" w:hRule="atLeast"/>
        </w:trPr>
        <w:tc>
          <w:tcPr>
            <w:tcW w:w="2234" w:type="dxa"/>
            <w:tcBorders>
              <w:left w:val="nil"/>
            </w:tcBorders>
            <w:shd w:val="clear" w:color="auto" w:fill="EDECF3"/>
          </w:tcPr>
          <w:p>
            <w:pPr>
              <w:pStyle w:val="TableParagraph"/>
              <w:spacing w:before="93"/>
              <w:ind w:left="67"/>
              <w:rPr>
                <w:sz w:val="21"/>
              </w:rPr>
            </w:pPr>
            <w:r>
              <w:rPr>
                <w:spacing w:val="-2"/>
                <w:w w:val="105"/>
                <w:sz w:val="21"/>
              </w:rPr>
              <w:t>Arritmia</w:t>
            </w:r>
          </w:p>
        </w:tc>
        <w:tc>
          <w:tcPr>
            <w:tcW w:w="1633" w:type="dxa"/>
            <w:shd w:val="clear" w:color="auto" w:fill="EDECF3"/>
          </w:tcPr>
          <w:p>
            <w:pPr>
              <w:pStyle w:val="TableParagraph"/>
              <w:spacing w:before="93"/>
              <w:ind w:left="66"/>
              <w:rPr>
                <w:sz w:val="21"/>
              </w:rPr>
            </w:pPr>
            <w:r>
              <w:rPr>
                <w:spacing w:val="-10"/>
                <w:w w:val="105"/>
                <w:sz w:val="21"/>
              </w:rPr>
              <w:t>+</w:t>
            </w:r>
          </w:p>
        </w:tc>
        <w:tc>
          <w:tcPr>
            <w:tcW w:w="1825" w:type="dxa"/>
            <w:shd w:val="clear" w:color="auto" w:fill="EDECF3"/>
          </w:tcPr>
          <w:p>
            <w:pPr>
              <w:pStyle w:val="TableParagraph"/>
              <w:spacing w:before="93"/>
              <w:ind w:left="66"/>
              <w:rPr>
                <w:sz w:val="21"/>
              </w:rPr>
            </w:pPr>
            <w:r>
              <w:rPr>
                <w:spacing w:val="-5"/>
                <w:w w:val="105"/>
                <w:sz w:val="21"/>
              </w:rPr>
              <w:t>+++</w:t>
            </w:r>
          </w:p>
        </w:tc>
        <w:tc>
          <w:tcPr>
            <w:tcW w:w="1697" w:type="dxa"/>
            <w:shd w:val="clear" w:color="auto" w:fill="EDECF3"/>
          </w:tcPr>
          <w:p>
            <w:pPr>
              <w:pStyle w:val="TableParagraph"/>
              <w:spacing w:before="93"/>
              <w:ind w:left="67"/>
              <w:rPr>
                <w:sz w:val="21"/>
              </w:rPr>
            </w:pPr>
            <w:r>
              <w:rPr>
                <w:spacing w:val="-10"/>
                <w:w w:val="105"/>
                <w:sz w:val="21"/>
              </w:rPr>
              <w:t>0</w:t>
            </w:r>
          </w:p>
        </w:tc>
        <w:tc>
          <w:tcPr>
            <w:tcW w:w="1601" w:type="dxa"/>
            <w:shd w:val="clear" w:color="auto" w:fill="EDECF3"/>
          </w:tcPr>
          <w:p>
            <w:pPr>
              <w:pStyle w:val="TableParagraph"/>
              <w:spacing w:before="93"/>
              <w:ind w:left="68"/>
              <w:rPr>
                <w:sz w:val="21"/>
              </w:rPr>
            </w:pPr>
            <w:r>
              <w:rPr>
                <w:spacing w:val="-5"/>
                <w:w w:val="105"/>
                <w:sz w:val="21"/>
              </w:rPr>
              <w:t>+++</w:t>
            </w:r>
          </w:p>
        </w:tc>
        <w:tc>
          <w:tcPr>
            <w:tcW w:w="1625" w:type="dxa"/>
            <w:tcBorders>
              <w:right w:val="nil"/>
            </w:tcBorders>
            <w:shd w:val="clear" w:color="auto" w:fill="EDECF3"/>
          </w:tcPr>
          <w:p>
            <w:pPr>
              <w:pStyle w:val="TableParagraph"/>
              <w:spacing w:before="93"/>
              <w:ind w:left="68"/>
              <w:rPr>
                <w:sz w:val="21"/>
              </w:rPr>
            </w:pPr>
            <w:r>
              <w:rPr>
                <w:spacing w:val="-5"/>
                <w:w w:val="105"/>
                <w:sz w:val="21"/>
              </w:rPr>
              <w:t>+++</w:t>
            </w:r>
          </w:p>
        </w:tc>
      </w:tr>
      <w:tr>
        <w:trPr>
          <w:trHeight w:val="428" w:hRule="atLeast"/>
        </w:trPr>
        <w:tc>
          <w:tcPr>
            <w:tcW w:w="2234" w:type="dxa"/>
            <w:tcBorders>
              <w:left w:val="nil"/>
            </w:tcBorders>
            <w:shd w:val="clear" w:color="auto" w:fill="EDECF3"/>
          </w:tcPr>
          <w:p>
            <w:pPr>
              <w:pStyle w:val="TableParagraph"/>
              <w:spacing w:before="93"/>
              <w:ind w:left="67"/>
              <w:rPr>
                <w:sz w:val="21"/>
              </w:rPr>
            </w:pPr>
            <w:r>
              <w:rPr>
                <w:spacing w:val="-4"/>
                <w:w w:val="105"/>
                <w:sz w:val="21"/>
              </w:rPr>
              <w:t>DPOC</w:t>
            </w:r>
          </w:p>
        </w:tc>
        <w:tc>
          <w:tcPr>
            <w:tcW w:w="1633" w:type="dxa"/>
            <w:shd w:val="clear" w:color="auto" w:fill="EDECF3"/>
          </w:tcPr>
          <w:p>
            <w:pPr>
              <w:pStyle w:val="TableParagraph"/>
              <w:spacing w:before="93"/>
              <w:ind w:left="66"/>
              <w:rPr>
                <w:sz w:val="21"/>
              </w:rPr>
            </w:pPr>
            <w:r>
              <w:rPr>
                <w:spacing w:val="-5"/>
                <w:w w:val="105"/>
                <w:sz w:val="21"/>
              </w:rPr>
              <w:t>+++</w:t>
            </w:r>
          </w:p>
        </w:tc>
        <w:tc>
          <w:tcPr>
            <w:tcW w:w="1825" w:type="dxa"/>
            <w:shd w:val="clear" w:color="auto" w:fill="EDECF3"/>
          </w:tcPr>
          <w:p>
            <w:pPr>
              <w:pStyle w:val="TableParagraph"/>
              <w:spacing w:before="93"/>
              <w:ind w:left="66"/>
              <w:rPr>
                <w:sz w:val="21"/>
              </w:rPr>
            </w:pPr>
            <w:r>
              <w:rPr>
                <w:spacing w:val="-10"/>
                <w:w w:val="105"/>
                <w:sz w:val="21"/>
              </w:rPr>
              <w:t>0</w:t>
            </w:r>
          </w:p>
        </w:tc>
        <w:tc>
          <w:tcPr>
            <w:tcW w:w="1697" w:type="dxa"/>
            <w:shd w:val="clear" w:color="auto" w:fill="EDECF3"/>
          </w:tcPr>
          <w:p>
            <w:pPr>
              <w:pStyle w:val="TableParagraph"/>
              <w:spacing w:before="93"/>
              <w:ind w:left="67"/>
              <w:rPr>
                <w:sz w:val="21"/>
              </w:rPr>
            </w:pPr>
            <w:r>
              <w:rPr>
                <w:spacing w:val="-5"/>
                <w:w w:val="105"/>
                <w:sz w:val="21"/>
              </w:rPr>
              <w:t>+++</w:t>
            </w:r>
          </w:p>
        </w:tc>
        <w:tc>
          <w:tcPr>
            <w:tcW w:w="1601" w:type="dxa"/>
            <w:shd w:val="clear" w:color="auto" w:fill="EDECF3"/>
          </w:tcPr>
          <w:p>
            <w:pPr>
              <w:pStyle w:val="TableParagraph"/>
              <w:spacing w:before="93"/>
              <w:ind w:left="68"/>
              <w:rPr>
                <w:sz w:val="21"/>
              </w:rPr>
            </w:pPr>
            <w:r>
              <w:rPr>
                <w:spacing w:val="-5"/>
                <w:w w:val="105"/>
                <w:sz w:val="21"/>
              </w:rPr>
              <w:t>+++</w:t>
            </w:r>
          </w:p>
        </w:tc>
        <w:tc>
          <w:tcPr>
            <w:tcW w:w="1625" w:type="dxa"/>
            <w:tcBorders>
              <w:right w:val="nil"/>
            </w:tcBorders>
            <w:shd w:val="clear" w:color="auto" w:fill="EDECF3"/>
          </w:tcPr>
          <w:p>
            <w:pPr>
              <w:pStyle w:val="TableParagraph"/>
              <w:spacing w:before="93"/>
              <w:ind w:left="68"/>
              <w:rPr>
                <w:sz w:val="21"/>
              </w:rPr>
            </w:pPr>
            <w:r>
              <w:rPr>
                <w:spacing w:val="-5"/>
                <w:w w:val="105"/>
                <w:sz w:val="21"/>
              </w:rPr>
              <w:t>+++</w:t>
            </w:r>
          </w:p>
        </w:tc>
      </w:tr>
      <w:tr>
        <w:trPr>
          <w:trHeight w:val="732" w:hRule="atLeast"/>
        </w:trPr>
        <w:tc>
          <w:tcPr>
            <w:tcW w:w="2234" w:type="dxa"/>
            <w:tcBorders>
              <w:left w:val="nil"/>
            </w:tcBorders>
            <w:shd w:val="clear" w:color="auto" w:fill="EDECF3"/>
          </w:tcPr>
          <w:p>
            <w:pPr>
              <w:pStyle w:val="TableParagraph"/>
              <w:spacing w:line="307" w:lineRule="auto" w:before="93"/>
              <w:ind w:left="67" w:right="106"/>
              <w:rPr>
                <w:sz w:val="21"/>
              </w:rPr>
            </w:pPr>
            <w:r>
              <w:rPr>
                <w:spacing w:val="-2"/>
                <w:sz w:val="21"/>
              </w:rPr>
              <w:t>Vasculopatia </w:t>
            </w:r>
            <w:r>
              <w:rPr>
                <w:spacing w:val="-2"/>
                <w:w w:val="105"/>
                <w:sz w:val="21"/>
              </w:rPr>
              <w:t>periférica</w:t>
            </w:r>
          </w:p>
        </w:tc>
        <w:tc>
          <w:tcPr>
            <w:tcW w:w="1633" w:type="dxa"/>
            <w:shd w:val="clear" w:color="auto" w:fill="EDECF3"/>
          </w:tcPr>
          <w:p>
            <w:pPr>
              <w:pStyle w:val="TableParagraph"/>
              <w:spacing w:before="93"/>
              <w:ind w:left="66"/>
              <w:rPr>
                <w:sz w:val="21"/>
              </w:rPr>
            </w:pPr>
            <w:r>
              <w:rPr>
                <w:spacing w:val="-5"/>
                <w:w w:val="105"/>
                <w:sz w:val="21"/>
              </w:rPr>
              <w:t>+++</w:t>
            </w:r>
          </w:p>
        </w:tc>
        <w:tc>
          <w:tcPr>
            <w:tcW w:w="1825" w:type="dxa"/>
            <w:shd w:val="clear" w:color="auto" w:fill="EDECF3"/>
          </w:tcPr>
          <w:p>
            <w:pPr>
              <w:pStyle w:val="TableParagraph"/>
              <w:spacing w:before="93"/>
              <w:ind w:left="66"/>
              <w:rPr>
                <w:sz w:val="21"/>
              </w:rPr>
            </w:pPr>
            <w:r>
              <w:rPr>
                <w:spacing w:val="-5"/>
                <w:w w:val="105"/>
                <w:sz w:val="21"/>
              </w:rPr>
              <w:t>+++</w:t>
            </w:r>
          </w:p>
        </w:tc>
        <w:tc>
          <w:tcPr>
            <w:tcW w:w="1697" w:type="dxa"/>
            <w:shd w:val="clear" w:color="auto" w:fill="EDECF3"/>
          </w:tcPr>
          <w:p>
            <w:pPr>
              <w:pStyle w:val="TableParagraph"/>
              <w:spacing w:before="93"/>
              <w:ind w:left="67"/>
              <w:rPr>
                <w:sz w:val="21"/>
              </w:rPr>
            </w:pPr>
            <w:r>
              <w:rPr>
                <w:spacing w:val="-5"/>
                <w:w w:val="105"/>
                <w:sz w:val="21"/>
              </w:rPr>
              <w:t>+++</w:t>
            </w:r>
          </w:p>
        </w:tc>
        <w:tc>
          <w:tcPr>
            <w:tcW w:w="1601" w:type="dxa"/>
            <w:shd w:val="clear" w:color="auto" w:fill="EDECF3"/>
          </w:tcPr>
          <w:p>
            <w:pPr>
              <w:pStyle w:val="TableParagraph"/>
              <w:spacing w:before="93"/>
              <w:ind w:left="68"/>
              <w:rPr>
                <w:sz w:val="21"/>
              </w:rPr>
            </w:pPr>
            <w:r>
              <w:rPr>
                <w:spacing w:val="-5"/>
                <w:w w:val="105"/>
                <w:sz w:val="21"/>
              </w:rPr>
              <w:t>+++</w:t>
            </w:r>
          </w:p>
        </w:tc>
        <w:tc>
          <w:tcPr>
            <w:tcW w:w="1625" w:type="dxa"/>
            <w:tcBorders>
              <w:right w:val="nil"/>
            </w:tcBorders>
            <w:shd w:val="clear" w:color="auto" w:fill="EDECF3"/>
          </w:tcPr>
          <w:p>
            <w:pPr>
              <w:pStyle w:val="TableParagraph"/>
              <w:spacing w:before="93"/>
              <w:ind w:left="68"/>
              <w:rPr>
                <w:sz w:val="21"/>
              </w:rPr>
            </w:pPr>
            <w:r>
              <w:rPr>
                <w:spacing w:val="-5"/>
                <w:w w:val="105"/>
                <w:sz w:val="21"/>
              </w:rPr>
              <w:t>+++</w:t>
            </w:r>
          </w:p>
        </w:tc>
      </w:tr>
      <w:tr>
        <w:trPr>
          <w:trHeight w:val="428" w:hRule="atLeast"/>
        </w:trPr>
        <w:tc>
          <w:tcPr>
            <w:tcW w:w="2234" w:type="dxa"/>
            <w:tcBorders>
              <w:left w:val="nil"/>
            </w:tcBorders>
            <w:shd w:val="clear" w:color="auto" w:fill="EDECF3"/>
          </w:tcPr>
          <w:p>
            <w:pPr>
              <w:pStyle w:val="TableParagraph"/>
              <w:spacing w:before="93"/>
              <w:ind w:left="67"/>
              <w:rPr>
                <w:sz w:val="21"/>
              </w:rPr>
            </w:pPr>
            <w:r>
              <w:rPr>
                <w:w w:val="105"/>
                <w:sz w:val="21"/>
              </w:rPr>
              <w:t>Diabetes</w:t>
            </w:r>
            <w:r>
              <w:rPr>
                <w:spacing w:val="22"/>
                <w:w w:val="105"/>
                <w:sz w:val="21"/>
              </w:rPr>
              <w:t> </w:t>
            </w:r>
            <w:r>
              <w:rPr>
                <w:spacing w:val="-2"/>
                <w:w w:val="105"/>
                <w:sz w:val="21"/>
              </w:rPr>
              <w:t>melito</w:t>
            </w:r>
          </w:p>
        </w:tc>
        <w:tc>
          <w:tcPr>
            <w:tcW w:w="1633" w:type="dxa"/>
            <w:shd w:val="clear" w:color="auto" w:fill="EDECF3"/>
          </w:tcPr>
          <w:p>
            <w:pPr>
              <w:pStyle w:val="TableParagraph"/>
              <w:spacing w:before="93"/>
              <w:ind w:left="66"/>
              <w:rPr>
                <w:sz w:val="21"/>
              </w:rPr>
            </w:pPr>
            <w:r>
              <w:rPr>
                <w:spacing w:val="-5"/>
                <w:w w:val="105"/>
                <w:sz w:val="21"/>
              </w:rPr>
              <w:t>+++</w:t>
            </w:r>
          </w:p>
        </w:tc>
        <w:tc>
          <w:tcPr>
            <w:tcW w:w="1825" w:type="dxa"/>
            <w:shd w:val="clear" w:color="auto" w:fill="EDECF3"/>
          </w:tcPr>
          <w:p>
            <w:pPr>
              <w:pStyle w:val="TableParagraph"/>
              <w:spacing w:before="93"/>
              <w:ind w:left="66"/>
              <w:rPr>
                <w:sz w:val="21"/>
              </w:rPr>
            </w:pPr>
            <w:r>
              <w:rPr>
                <w:spacing w:val="-5"/>
                <w:w w:val="105"/>
                <w:sz w:val="21"/>
              </w:rPr>
              <w:t>++</w:t>
            </w:r>
          </w:p>
        </w:tc>
        <w:tc>
          <w:tcPr>
            <w:tcW w:w="1697" w:type="dxa"/>
            <w:shd w:val="clear" w:color="auto" w:fill="EDECF3"/>
          </w:tcPr>
          <w:p>
            <w:pPr>
              <w:pStyle w:val="TableParagraph"/>
              <w:spacing w:before="93"/>
              <w:ind w:left="67"/>
              <w:rPr>
                <w:sz w:val="21"/>
              </w:rPr>
            </w:pPr>
            <w:r>
              <w:rPr>
                <w:spacing w:val="-5"/>
                <w:w w:val="105"/>
                <w:sz w:val="21"/>
              </w:rPr>
              <w:t>+++</w:t>
            </w:r>
          </w:p>
        </w:tc>
        <w:tc>
          <w:tcPr>
            <w:tcW w:w="1601" w:type="dxa"/>
            <w:shd w:val="clear" w:color="auto" w:fill="EDECF3"/>
          </w:tcPr>
          <w:p>
            <w:pPr>
              <w:pStyle w:val="TableParagraph"/>
              <w:spacing w:before="93"/>
              <w:ind w:left="68"/>
              <w:rPr>
                <w:sz w:val="21"/>
              </w:rPr>
            </w:pPr>
            <w:r>
              <w:rPr>
                <w:spacing w:val="-5"/>
                <w:w w:val="105"/>
                <w:sz w:val="21"/>
              </w:rPr>
              <w:t>+++</w:t>
            </w:r>
          </w:p>
        </w:tc>
        <w:tc>
          <w:tcPr>
            <w:tcW w:w="1625" w:type="dxa"/>
            <w:tcBorders>
              <w:right w:val="nil"/>
            </w:tcBorders>
            <w:shd w:val="clear" w:color="auto" w:fill="EDECF3"/>
          </w:tcPr>
          <w:p>
            <w:pPr>
              <w:pStyle w:val="TableParagraph"/>
              <w:spacing w:before="93"/>
              <w:ind w:left="68"/>
              <w:rPr>
                <w:sz w:val="21"/>
              </w:rPr>
            </w:pPr>
            <w:r>
              <w:rPr>
                <w:spacing w:val="-5"/>
                <w:w w:val="105"/>
                <w:sz w:val="21"/>
              </w:rPr>
              <w:t>+++</w:t>
            </w:r>
          </w:p>
        </w:tc>
      </w:tr>
      <w:tr>
        <w:trPr>
          <w:trHeight w:val="428" w:hRule="atLeast"/>
        </w:trPr>
        <w:tc>
          <w:tcPr>
            <w:tcW w:w="2234" w:type="dxa"/>
            <w:tcBorders>
              <w:left w:val="nil"/>
            </w:tcBorders>
            <w:shd w:val="clear" w:color="auto" w:fill="EDECF3"/>
          </w:tcPr>
          <w:p>
            <w:pPr>
              <w:pStyle w:val="TableParagraph"/>
              <w:spacing w:before="93"/>
              <w:ind w:left="67"/>
              <w:rPr>
                <w:sz w:val="21"/>
              </w:rPr>
            </w:pPr>
            <w:r>
              <w:rPr>
                <w:spacing w:val="2"/>
                <w:sz w:val="21"/>
              </w:rPr>
              <w:t>Insuficiência</w:t>
            </w:r>
            <w:r>
              <w:rPr>
                <w:spacing w:val="60"/>
                <w:sz w:val="21"/>
              </w:rPr>
              <w:t> </w:t>
            </w:r>
            <w:r>
              <w:rPr>
                <w:spacing w:val="-4"/>
                <w:sz w:val="21"/>
              </w:rPr>
              <w:t>renal</w:t>
            </w:r>
          </w:p>
        </w:tc>
        <w:tc>
          <w:tcPr>
            <w:tcW w:w="1633" w:type="dxa"/>
            <w:shd w:val="clear" w:color="auto" w:fill="EDECF3"/>
          </w:tcPr>
          <w:p>
            <w:pPr>
              <w:pStyle w:val="TableParagraph"/>
              <w:spacing w:before="93"/>
              <w:ind w:left="66"/>
              <w:rPr>
                <w:sz w:val="21"/>
              </w:rPr>
            </w:pPr>
            <w:r>
              <w:rPr>
                <w:spacing w:val="-5"/>
                <w:w w:val="105"/>
                <w:sz w:val="21"/>
              </w:rPr>
              <w:t>+++</w:t>
            </w:r>
          </w:p>
        </w:tc>
        <w:tc>
          <w:tcPr>
            <w:tcW w:w="1825" w:type="dxa"/>
            <w:shd w:val="clear" w:color="auto" w:fill="EDECF3"/>
          </w:tcPr>
          <w:p>
            <w:pPr>
              <w:pStyle w:val="TableParagraph"/>
              <w:spacing w:before="93"/>
              <w:ind w:left="66"/>
              <w:rPr>
                <w:sz w:val="21"/>
              </w:rPr>
            </w:pPr>
            <w:r>
              <w:rPr>
                <w:spacing w:val="-10"/>
                <w:w w:val="105"/>
                <w:sz w:val="21"/>
              </w:rPr>
              <w:t>+</w:t>
            </w:r>
          </w:p>
        </w:tc>
        <w:tc>
          <w:tcPr>
            <w:tcW w:w="1697" w:type="dxa"/>
            <w:shd w:val="clear" w:color="auto" w:fill="EDECF3"/>
          </w:tcPr>
          <w:p>
            <w:pPr>
              <w:pStyle w:val="TableParagraph"/>
              <w:spacing w:before="93"/>
              <w:ind w:left="67"/>
              <w:rPr>
                <w:sz w:val="21"/>
              </w:rPr>
            </w:pPr>
            <w:r>
              <w:rPr>
                <w:spacing w:val="-5"/>
                <w:w w:val="105"/>
                <w:sz w:val="21"/>
              </w:rPr>
              <w:t>+++</w:t>
            </w:r>
          </w:p>
        </w:tc>
        <w:tc>
          <w:tcPr>
            <w:tcW w:w="1601" w:type="dxa"/>
            <w:shd w:val="clear" w:color="auto" w:fill="EDECF3"/>
          </w:tcPr>
          <w:p>
            <w:pPr>
              <w:pStyle w:val="TableParagraph"/>
              <w:spacing w:before="93"/>
              <w:ind w:left="68"/>
              <w:rPr>
                <w:sz w:val="21"/>
              </w:rPr>
            </w:pPr>
            <w:r>
              <w:rPr>
                <w:spacing w:val="-5"/>
                <w:w w:val="105"/>
                <w:sz w:val="21"/>
              </w:rPr>
              <w:t>+++</w:t>
            </w:r>
          </w:p>
        </w:tc>
        <w:tc>
          <w:tcPr>
            <w:tcW w:w="1625" w:type="dxa"/>
            <w:tcBorders>
              <w:right w:val="nil"/>
            </w:tcBorders>
            <w:shd w:val="clear" w:color="auto" w:fill="EDECF3"/>
          </w:tcPr>
          <w:p>
            <w:pPr>
              <w:pStyle w:val="TableParagraph"/>
              <w:spacing w:before="93"/>
              <w:ind w:left="68"/>
              <w:rPr>
                <w:sz w:val="21"/>
              </w:rPr>
            </w:pPr>
            <w:r>
              <w:rPr>
                <w:spacing w:val="-5"/>
                <w:w w:val="105"/>
                <w:sz w:val="21"/>
              </w:rPr>
              <w:t>+++</w:t>
            </w:r>
          </w:p>
        </w:tc>
      </w:tr>
      <w:tr>
        <w:trPr>
          <w:trHeight w:val="734" w:hRule="atLeast"/>
        </w:trPr>
        <w:tc>
          <w:tcPr>
            <w:tcW w:w="2234" w:type="dxa"/>
            <w:tcBorders>
              <w:left w:val="nil"/>
              <w:bottom w:val="nil"/>
            </w:tcBorders>
            <w:shd w:val="clear" w:color="auto" w:fill="EDECF3"/>
          </w:tcPr>
          <w:p>
            <w:pPr>
              <w:pStyle w:val="TableParagraph"/>
              <w:spacing w:line="307" w:lineRule="auto" w:before="93"/>
              <w:ind w:left="67"/>
              <w:rPr>
                <w:sz w:val="21"/>
              </w:rPr>
            </w:pPr>
            <w:r>
              <w:rPr>
                <w:spacing w:val="-2"/>
                <w:sz w:val="21"/>
              </w:rPr>
              <w:t>Bradicardia/bloqueio </w:t>
            </w:r>
            <w:r>
              <w:rPr>
                <w:spacing w:val="-2"/>
                <w:w w:val="105"/>
                <w:sz w:val="21"/>
              </w:rPr>
              <w:t>atrioventricular</w:t>
            </w:r>
          </w:p>
        </w:tc>
        <w:tc>
          <w:tcPr>
            <w:tcW w:w="1633" w:type="dxa"/>
            <w:tcBorders>
              <w:bottom w:val="nil"/>
            </w:tcBorders>
            <w:shd w:val="clear" w:color="auto" w:fill="EDECF3"/>
          </w:tcPr>
          <w:p>
            <w:pPr>
              <w:pStyle w:val="TableParagraph"/>
              <w:spacing w:before="93"/>
              <w:ind w:left="66"/>
              <w:rPr>
                <w:sz w:val="21"/>
              </w:rPr>
            </w:pPr>
            <w:r>
              <w:rPr>
                <w:spacing w:val="-5"/>
                <w:w w:val="105"/>
                <w:sz w:val="21"/>
              </w:rPr>
              <w:t>+++</w:t>
            </w:r>
          </w:p>
        </w:tc>
        <w:tc>
          <w:tcPr>
            <w:tcW w:w="1825" w:type="dxa"/>
            <w:tcBorders>
              <w:bottom w:val="nil"/>
            </w:tcBorders>
            <w:shd w:val="clear" w:color="auto" w:fill="EDECF3"/>
          </w:tcPr>
          <w:p>
            <w:pPr>
              <w:pStyle w:val="TableParagraph"/>
              <w:spacing w:before="93"/>
              <w:ind w:left="66"/>
              <w:rPr>
                <w:sz w:val="21"/>
              </w:rPr>
            </w:pPr>
            <w:r>
              <w:rPr>
                <w:spacing w:val="-10"/>
                <w:w w:val="105"/>
                <w:sz w:val="21"/>
              </w:rPr>
              <w:t>0</w:t>
            </w:r>
          </w:p>
        </w:tc>
        <w:tc>
          <w:tcPr>
            <w:tcW w:w="1697" w:type="dxa"/>
            <w:tcBorders>
              <w:bottom w:val="nil"/>
            </w:tcBorders>
            <w:shd w:val="clear" w:color="auto" w:fill="EDECF3"/>
          </w:tcPr>
          <w:p>
            <w:pPr>
              <w:pStyle w:val="TableParagraph"/>
              <w:spacing w:before="93"/>
              <w:ind w:left="67"/>
              <w:rPr>
                <w:sz w:val="21"/>
              </w:rPr>
            </w:pPr>
            <w:r>
              <w:rPr>
                <w:spacing w:val="-5"/>
                <w:w w:val="105"/>
                <w:sz w:val="21"/>
              </w:rPr>
              <w:t>+++</w:t>
            </w:r>
          </w:p>
        </w:tc>
        <w:tc>
          <w:tcPr>
            <w:tcW w:w="1601" w:type="dxa"/>
            <w:tcBorders>
              <w:bottom w:val="nil"/>
            </w:tcBorders>
            <w:shd w:val="clear" w:color="auto" w:fill="EDECF3"/>
          </w:tcPr>
          <w:p>
            <w:pPr>
              <w:pStyle w:val="TableParagraph"/>
              <w:spacing w:before="93"/>
              <w:ind w:left="68"/>
              <w:rPr>
                <w:sz w:val="21"/>
              </w:rPr>
            </w:pPr>
            <w:r>
              <w:rPr>
                <w:spacing w:val="-10"/>
                <w:w w:val="105"/>
                <w:sz w:val="21"/>
              </w:rPr>
              <w:t>0</w:t>
            </w:r>
          </w:p>
        </w:tc>
        <w:tc>
          <w:tcPr>
            <w:tcW w:w="1625" w:type="dxa"/>
            <w:tcBorders>
              <w:bottom w:val="nil"/>
              <w:right w:val="nil"/>
            </w:tcBorders>
            <w:shd w:val="clear" w:color="auto" w:fill="EDECF3"/>
          </w:tcPr>
          <w:p>
            <w:pPr>
              <w:pStyle w:val="TableParagraph"/>
              <w:spacing w:before="93"/>
              <w:ind w:left="68"/>
              <w:rPr>
                <w:sz w:val="21"/>
              </w:rPr>
            </w:pPr>
            <w:r>
              <w:rPr>
                <w:spacing w:val="-10"/>
                <w:w w:val="105"/>
                <w:sz w:val="21"/>
              </w:rPr>
              <w:t>0</w:t>
            </w:r>
          </w:p>
        </w:tc>
      </w:tr>
    </w:tbl>
    <w:p>
      <w:pPr>
        <w:spacing w:line="285" w:lineRule="auto" w:before="167"/>
        <w:ind w:left="68" w:right="658" w:firstLine="0"/>
        <w:jc w:val="both"/>
        <w:rPr>
          <w:rFonts w:ascii="Microsoft Sans Serif" w:hAnsi="Microsoft Sans Serif"/>
          <w:sz w:val="19"/>
        </w:rPr>
      </w:pPr>
      <w:r>
        <w:rPr>
          <w:rFonts w:ascii="Microsoft Sans Serif" w:hAnsi="Microsoft Sans Serif"/>
          <w:sz w:val="19"/>
        </w:rPr>
        <w:t>+++ = muito efetivo; ++ = moderadamente efetivo; + = pouco efetivo; 0 = deve ser evitado. *Anlodipino pode ser utilizado. IAM = infarto</w:t>
      </w:r>
      <w:r>
        <w:rPr>
          <w:rFonts w:ascii="Microsoft Sans Serif" w:hAnsi="Microsoft Sans Serif"/>
          <w:spacing w:val="21"/>
          <w:sz w:val="19"/>
        </w:rPr>
        <w:t> </w:t>
      </w:r>
      <w:r>
        <w:rPr>
          <w:rFonts w:ascii="Microsoft Sans Serif" w:hAnsi="Microsoft Sans Serif"/>
          <w:sz w:val="19"/>
        </w:rPr>
        <w:t>agudo</w:t>
      </w:r>
      <w:r>
        <w:rPr>
          <w:rFonts w:ascii="Microsoft Sans Serif" w:hAnsi="Microsoft Sans Serif"/>
          <w:spacing w:val="21"/>
          <w:sz w:val="19"/>
        </w:rPr>
        <w:t> </w:t>
      </w:r>
      <w:r>
        <w:rPr>
          <w:rFonts w:ascii="Microsoft Sans Serif" w:hAnsi="Microsoft Sans Serif"/>
          <w:sz w:val="19"/>
        </w:rPr>
        <w:t>do</w:t>
      </w:r>
      <w:r>
        <w:rPr>
          <w:rFonts w:ascii="Microsoft Sans Serif" w:hAnsi="Microsoft Sans Serif"/>
          <w:spacing w:val="21"/>
          <w:sz w:val="19"/>
        </w:rPr>
        <w:t> </w:t>
      </w:r>
      <w:r>
        <w:rPr>
          <w:rFonts w:ascii="Microsoft Sans Serif" w:hAnsi="Microsoft Sans Serif"/>
          <w:sz w:val="19"/>
        </w:rPr>
        <w:t>miocárdio; DPOC</w:t>
      </w:r>
      <w:r>
        <w:rPr>
          <w:rFonts w:ascii="Microsoft Sans Serif" w:hAnsi="Microsoft Sans Serif"/>
          <w:spacing w:val="21"/>
          <w:sz w:val="19"/>
        </w:rPr>
        <w:t> </w:t>
      </w:r>
      <w:r>
        <w:rPr>
          <w:rFonts w:ascii="Microsoft Sans Serif" w:hAnsi="Microsoft Sans Serif"/>
          <w:sz w:val="19"/>
        </w:rPr>
        <w:t>= doenças pulmonar obstrutiva</w:t>
      </w:r>
      <w:r>
        <w:rPr>
          <w:rFonts w:ascii="Microsoft Sans Serif" w:hAnsi="Microsoft Sans Serif"/>
          <w:spacing w:val="21"/>
          <w:sz w:val="19"/>
        </w:rPr>
        <w:t> </w:t>
      </w:r>
      <w:r>
        <w:rPr>
          <w:rFonts w:ascii="Microsoft Sans Serif" w:hAnsi="Microsoft Sans Serif"/>
          <w:sz w:val="19"/>
        </w:rPr>
        <w:t>crônica. (Fonte: Thadani</w:t>
      </w:r>
      <w:r>
        <w:rPr>
          <w:rFonts w:ascii="Microsoft Sans Serif" w:hAnsi="Microsoft Sans Serif"/>
          <w:spacing w:val="21"/>
          <w:sz w:val="19"/>
        </w:rPr>
        <w:t> </w:t>
      </w:r>
      <w:r>
        <w:rPr>
          <w:rFonts w:ascii="Microsoft Sans Serif" w:hAnsi="Microsoft Sans Serif"/>
          <w:sz w:val="19"/>
        </w:rPr>
        <w:t>U. Am J Cardiol. 1997; 79 [12B]: 24-30.)</w:t>
      </w:r>
    </w:p>
    <w:p>
      <w:pPr>
        <w:pStyle w:val="BodyText"/>
        <w:spacing w:before="67"/>
        <w:ind w:left="0" w:firstLine="0"/>
        <w:jc w:val="left"/>
        <w:rPr>
          <w:rFonts w:ascii="Microsoft Sans Serif"/>
          <w:sz w:val="19"/>
        </w:rPr>
      </w:pPr>
    </w:p>
    <w:p>
      <w:pPr>
        <w:pStyle w:val="BodyText"/>
        <w:spacing w:line="278" w:lineRule="auto" w:before="0"/>
        <w:ind w:right="491"/>
      </w:pPr>
      <w:r>
        <w:rPr/>
        <w:t>Os nitratos atuam tanto diminuindo o consumo de O</w:t>
      </w:r>
      <w:r>
        <w:rPr>
          <w:vertAlign w:val="subscript"/>
        </w:rPr>
        <w:t>2</w:t>
      </w:r>
      <w:r>
        <w:rPr>
          <w:vertAlign w:val="baseline"/>
        </w:rPr>
        <w:t> pelo miocárdio como aumentando sua oferta. A redução do consumo é consequência da venodilatação sistêmica com diminuição da pré-carga, levando a queda da pressão diastólica e tensão da parede do ventrículo esquerdo. Ocorre ainda queda da pós-carga (vasodilatação arterial sistêmica) e resistência periférica, diminuindo o trabalho cardíaco. O aumento da oferta ocorre pela dilatação das artérias coronárias epicárdicas, dilatação de pequenas artérias subendocárdicas e aumento do fluxo de colaterais (</w:t>
      </w:r>
      <w:r>
        <w:rPr>
          <w:color w:val="505050"/>
          <w:vertAlign w:val="baseline"/>
        </w:rPr>
        <w:t>Tabela 56.7</w:t>
      </w:r>
      <w:r>
        <w:rPr>
          <w:vertAlign w:val="baseline"/>
        </w:rPr>
        <w:t>).</w:t>
      </w:r>
    </w:p>
    <w:p>
      <w:pPr>
        <w:pStyle w:val="BodyText"/>
        <w:spacing w:line="276" w:lineRule="auto"/>
        <w:ind w:right="488"/>
      </w:pPr>
      <w:r>
        <w:rPr/>
        <w:t>Existem preparações de curta e longa duração de efeitos. As de curta duração são administradas por via sublingual, por </w:t>
      </w:r>
      <w:r>
        <w:rPr>
          <w:i/>
        </w:rPr>
        <w:t>spray </w:t>
      </w:r>
      <w:r>
        <w:rPr/>
        <w:t>nasal ou intravenoso, com ação imediata, sendo indicadas para o tratamento do episódio anginoso. Já as de longa duração são indicadas na profilaxia da isquemia miocárdica, podendo ser administradas por via oral ou transcutânea. No Brasil os fármacos mais utilizados são: propatilnitrato, que pode ser utilizado por via sublingual ou oral na dose habitual de 20 a 30 mg, dinitrato de isossorbida (apresentação sublingual de 2,5 mg ou via oral de 20 ou 40 mg), com dose de 60 a 120 mg/dia, mononitrato de isossorbida (20 ou 40 mg), na dose via oral</w:t>
      </w:r>
      <w:r>
        <w:rPr>
          <w:spacing w:val="-2"/>
        </w:rPr>
        <w:t> </w:t>
      </w:r>
      <w:r>
        <w:rPr/>
        <w:t>de</w:t>
      </w:r>
      <w:r>
        <w:rPr>
          <w:spacing w:val="-7"/>
        </w:rPr>
        <w:t> </w:t>
      </w:r>
      <w:r>
        <w:rPr/>
        <w:t>60</w:t>
      </w:r>
      <w:r>
        <w:rPr>
          <w:spacing w:val="-4"/>
        </w:rPr>
        <w:t> </w:t>
      </w:r>
      <w:r>
        <w:rPr/>
        <w:t>a</w:t>
      </w:r>
      <w:r>
        <w:rPr>
          <w:spacing w:val="-7"/>
        </w:rPr>
        <w:t> </w:t>
      </w:r>
      <w:r>
        <w:rPr/>
        <w:t>120</w:t>
      </w:r>
      <w:r>
        <w:rPr>
          <w:spacing w:val="-4"/>
        </w:rPr>
        <w:t> </w:t>
      </w:r>
      <w:r>
        <w:rPr/>
        <w:t>mg/dia</w:t>
      </w:r>
      <w:r>
        <w:rPr>
          <w:spacing w:val="-7"/>
        </w:rPr>
        <w:t> </w:t>
      </w:r>
      <w:r>
        <w:rPr/>
        <w:t>ou</w:t>
      </w:r>
      <w:r>
        <w:rPr>
          <w:spacing w:val="-4"/>
        </w:rPr>
        <w:t> </w:t>
      </w:r>
      <w:r>
        <w:rPr/>
        <w:t>intravenosa</w:t>
      </w:r>
      <w:r>
        <w:rPr>
          <w:spacing w:val="-7"/>
        </w:rPr>
        <w:t> </w:t>
      </w:r>
      <w:r>
        <w:rPr/>
        <w:t>na</w:t>
      </w:r>
      <w:r>
        <w:rPr>
          <w:spacing w:val="-7"/>
        </w:rPr>
        <w:t> </w:t>
      </w:r>
      <w:r>
        <w:rPr/>
        <w:t>dose</w:t>
      </w:r>
      <w:r>
        <w:rPr>
          <w:spacing w:val="-7"/>
        </w:rPr>
        <w:t> </w:t>
      </w:r>
      <w:r>
        <w:rPr/>
        <w:t>média</w:t>
      </w:r>
      <w:r>
        <w:rPr>
          <w:spacing w:val="-7"/>
        </w:rPr>
        <w:t> </w:t>
      </w:r>
      <w:r>
        <w:rPr/>
        <w:t>de</w:t>
      </w:r>
      <w:r>
        <w:rPr>
          <w:spacing w:val="-7"/>
        </w:rPr>
        <w:t> </w:t>
      </w:r>
      <w:r>
        <w:rPr/>
        <w:t>240</w:t>
      </w:r>
      <w:r>
        <w:rPr>
          <w:spacing w:val="-4"/>
        </w:rPr>
        <w:t> </w:t>
      </w:r>
      <w:r>
        <w:rPr/>
        <w:t>mg</w:t>
      </w:r>
      <w:r>
        <w:rPr>
          <w:spacing w:val="-4"/>
        </w:rPr>
        <w:t> </w:t>
      </w:r>
      <w:r>
        <w:rPr/>
        <w:t>nas 24</w:t>
      </w:r>
      <w:r>
        <w:rPr>
          <w:spacing w:val="-4"/>
        </w:rPr>
        <w:t> </w:t>
      </w:r>
      <w:r>
        <w:rPr/>
        <w:t>h, e</w:t>
      </w:r>
      <w:r>
        <w:rPr>
          <w:spacing w:val="-7"/>
        </w:rPr>
        <w:t> </w:t>
      </w:r>
      <w:r>
        <w:rPr/>
        <w:t>nitroglicerina</w:t>
      </w:r>
      <w:r>
        <w:rPr>
          <w:spacing w:val="-7"/>
        </w:rPr>
        <w:t> </w:t>
      </w:r>
      <w:r>
        <w:rPr/>
        <w:t>transdérmica</w:t>
      </w:r>
      <w:r>
        <w:rPr>
          <w:spacing w:val="-7"/>
        </w:rPr>
        <w:t> </w:t>
      </w:r>
      <w:r>
        <w:rPr/>
        <w:t>(</w:t>
      </w:r>
      <w:r>
        <w:rPr>
          <w:i/>
        </w:rPr>
        <w:t>patches </w:t>
      </w:r>
      <w:r>
        <w:rPr/>
        <w:t>de 16 e 32 mg) e intravenosa com dose titulada.</w:t>
      </w:r>
    </w:p>
    <w:p>
      <w:pPr>
        <w:pStyle w:val="BodyText"/>
        <w:spacing w:line="276" w:lineRule="auto" w:before="66"/>
        <w:ind w:right="491"/>
      </w:pPr>
      <w:r>
        <w:rPr/>
        <w:t>Os principais efeitos colaterais são cefaleia, habitualmente controlada com analgésicos, náuseas, hipotensão arterial</w:t>
      </w:r>
      <w:r>
        <w:rPr>
          <w:spacing w:val="-7"/>
        </w:rPr>
        <w:t> </w:t>
      </w:r>
      <w:r>
        <w:rPr/>
        <w:t>e</w:t>
      </w:r>
      <w:r>
        <w:rPr>
          <w:spacing w:val="-12"/>
        </w:rPr>
        <w:t> </w:t>
      </w:r>
      <w:r>
        <w:rPr/>
        <w:t>raramente</w:t>
      </w:r>
      <w:r>
        <w:rPr>
          <w:spacing w:val="-12"/>
        </w:rPr>
        <w:t> </w:t>
      </w:r>
      <w:r>
        <w:rPr/>
        <w:t>meta-hemoglobinemia.</w:t>
      </w:r>
      <w:r>
        <w:rPr>
          <w:spacing w:val="-2"/>
        </w:rPr>
        <w:t> </w:t>
      </w:r>
      <w:r>
        <w:rPr/>
        <w:t>Um</w:t>
      </w:r>
      <w:r>
        <w:rPr>
          <w:spacing w:val="-10"/>
        </w:rPr>
        <w:t> </w:t>
      </w:r>
      <w:r>
        <w:rPr/>
        <w:t>importante</w:t>
      </w:r>
      <w:r>
        <w:rPr>
          <w:spacing w:val="-12"/>
        </w:rPr>
        <w:t> </w:t>
      </w:r>
      <w:r>
        <w:rPr/>
        <w:t>problema</w:t>
      </w:r>
      <w:r>
        <w:rPr>
          <w:spacing w:val="-12"/>
        </w:rPr>
        <w:t> </w:t>
      </w:r>
      <w:r>
        <w:rPr/>
        <w:t>com</w:t>
      </w:r>
      <w:r>
        <w:rPr>
          <w:spacing w:val="-10"/>
        </w:rPr>
        <w:t> </w:t>
      </w:r>
      <w:r>
        <w:rPr/>
        <w:t>o</w:t>
      </w:r>
      <w:r>
        <w:rPr>
          <w:spacing w:val="-10"/>
        </w:rPr>
        <w:t> </w:t>
      </w:r>
      <w:r>
        <w:rPr/>
        <w:t>uso</w:t>
      </w:r>
      <w:r>
        <w:rPr>
          <w:spacing w:val="-10"/>
        </w:rPr>
        <w:t> </w:t>
      </w:r>
      <w:r>
        <w:rPr/>
        <w:t>dos</w:t>
      </w:r>
      <w:r>
        <w:rPr>
          <w:spacing w:val="-2"/>
        </w:rPr>
        <w:t> </w:t>
      </w:r>
      <w:r>
        <w:rPr/>
        <w:t>nitratos</w:t>
      </w:r>
      <w:r>
        <w:rPr>
          <w:spacing w:val="-2"/>
        </w:rPr>
        <w:t> </w:t>
      </w:r>
      <w:r>
        <w:rPr/>
        <w:t>é</w:t>
      </w:r>
      <w:r>
        <w:rPr>
          <w:spacing w:val="-12"/>
        </w:rPr>
        <w:t> </w:t>
      </w:r>
      <w:r>
        <w:rPr/>
        <w:t>o</w:t>
      </w:r>
      <w:r>
        <w:rPr>
          <w:spacing w:val="-10"/>
        </w:rPr>
        <w:t> </w:t>
      </w:r>
      <w:r>
        <w:rPr/>
        <w:t>desenvolvimento</w:t>
      </w:r>
      <w:r>
        <w:rPr>
          <w:spacing w:val="-10"/>
        </w:rPr>
        <w:t> </w:t>
      </w:r>
      <w:r>
        <w:rPr/>
        <w:t>da tolerância, fazendo com que ocorra uma diminuição do efeito terapêutico hemodinâmico e antianginoso com o seu uso continuado. Estima-se que, com a administração transcutânea e intravenosa contínua em 24 h, já exista o fenômeno da tolerância. O mesmo ocorreria com as apresentações por via oral com três a quatro semanas de uso. Portanto, é recomendado que os nitratos sejam administrados de modo intermitente ou com esquema de uma dose livre</w:t>
      </w:r>
      <w:r>
        <w:rPr>
          <w:spacing w:val="-4"/>
        </w:rPr>
        <w:t> </w:t>
      </w:r>
      <w:r>
        <w:rPr/>
        <w:t>diariamente. Não</w:t>
      </w:r>
      <w:r>
        <w:rPr>
          <w:spacing w:val="-1"/>
        </w:rPr>
        <w:t> </w:t>
      </w:r>
      <w:r>
        <w:rPr/>
        <w:t>há</w:t>
      </w:r>
      <w:r>
        <w:rPr>
          <w:spacing w:val="-4"/>
        </w:rPr>
        <w:t> </w:t>
      </w:r>
      <w:r>
        <w:rPr/>
        <w:t>indicação</w:t>
      </w:r>
      <w:r>
        <w:rPr>
          <w:spacing w:val="-1"/>
        </w:rPr>
        <w:t> </w:t>
      </w:r>
      <w:r>
        <w:rPr/>
        <w:t>para</w:t>
      </w:r>
      <w:r>
        <w:rPr>
          <w:spacing w:val="-4"/>
        </w:rPr>
        <w:t> </w:t>
      </w:r>
      <w:r>
        <w:rPr/>
        <w:t>o</w:t>
      </w:r>
      <w:r>
        <w:rPr>
          <w:spacing w:val="-1"/>
        </w:rPr>
        <w:t> </w:t>
      </w:r>
      <w:r>
        <w:rPr/>
        <w:t>uso</w:t>
      </w:r>
      <w:r>
        <w:rPr>
          <w:spacing w:val="-1"/>
        </w:rPr>
        <w:t> </w:t>
      </w:r>
      <w:r>
        <w:rPr/>
        <w:t>prolongado, exceto</w:t>
      </w:r>
      <w:r>
        <w:rPr>
          <w:spacing w:val="-1"/>
        </w:rPr>
        <w:t> </w:t>
      </w:r>
      <w:r>
        <w:rPr/>
        <w:t>quando</w:t>
      </w:r>
      <w:r>
        <w:rPr>
          <w:spacing w:val="-1"/>
        </w:rPr>
        <w:t> </w:t>
      </w:r>
      <w:r>
        <w:rPr/>
        <w:t>há</w:t>
      </w:r>
      <w:r>
        <w:rPr>
          <w:spacing w:val="-4"/>
        </w:rPr>
        <w:t> </w:t>
      </w:r>
      <w:r>
        <w:rPr/>
        <w:t>necessidade</w:t>
      </w:r>
      <w:r>
        <w:rPr>
          <w:spacing w:val="-4"/>
        </w:rPr>
        <w:t> </w:t>
      </w:r>
      <w:r>
        <w:rPr/>
        <w:t>pelos sintomas.</w:t>
      </w:r>
    </w:p>
    <w:p>
      <w:pPr>
        <w:pStyle w:val="BodyText"/>
        <w:spacing w:before="71"/>
        <w:ind w:left="0" w:firstLine="0"/>
        <w:jc w:val="left"/>
      </w:pPr>
    </w:p>
    <w:p>
      <w:pPr>
        <w:pStyle w:val="BodyText"/>
        <w:spacing w:before="0"/>
        <w:ind w:firstLine="0"/>
        <w:rPr>
          <w:rFonts w:ascii="Microsoft Sans Serif" w:hAnsi="Microsoft Sans Serif"/>
        </w:rPr>
      </w:pPr>
      <w:r>
        <w:rPr>
          <w:rFonts w:ascii="Arial" w:hAnsi="Arial"/>
          <w:b/>
          <w:color w:val="242B67"/>
        </w:rPr>
        <w:t>Tabela</w:t>
      </w:r>
      <w:r>
        <w:rPr>
          <w:rFonts w:ascii="Arial" w:hAnsi="Arial"/>
          <w:b/>
          <w:color w:val="242B67"/>
          <w:spacing w:val="-3"/>
        </w:rPr>
        <w:t> </w:t>
      </w:r>
      <w:r>
        <w:rPr>
          <w:rFonts w:ascii="Arial" w:hAnsi="Arial"/>
          <w:b/>
          <w:color w:val="242B67"/>
        </w:rPr>
        <w:t>56.7</w:t>
      </w:r>
      <w:r>
        <w:rPr>
          <w:rFonts w:ascii="Arial" w:hAnsi="Arial"/>
          <w:b/>
          <w:color w:val="242B67"/>
          <w:spacing w:val="-3"/>
        </w:rPr>
        <w:t> </w:t>
      </w:r>
      <w:r>
        <w:rPr>
          <w:rFonts w:ascii="Microsoft Sans Serif" w:hAnsi="Microsoft Sans Serif"/>
        </w:rPr>
        <w:t>Mecanismos</w:t>
      </w:r>
      <w:r>
        <w:rPr>
          <w:rFonts w:ascii="Microsoft Sans Serif" w:hAnsi="Microsoft Sans Serif"/>
          <w:spacing w:val="-4"/>
        </w:rPr>
        <w:t> </w:t>
      </w:r>
      <w:r>
        <w:rPr>
          <w:rFonts w:ascii="Microsoft Sans Serif" w:hAnsi="Microsoft Sans Serif"/>
        </w:rPr>
        <w:t>de ação</w:t>
      </w:r>
      <w:r>
        <w:rPr>
          <w:rFonts w:ascii="Microsoft Sans Serif" w:hAnsi="Microsoft Sans Serif"/>
          <w:spacing w:val="-1"/>
        </w:rPr>
        <w:t> </w:t>
      </w:r>
      <w:r>
        <w:rPr>
          <w:rFonts w:ascii="Microsoft Sans Serif" w:hAnsi="Microsoft Sans Serif"/>
        </w:rPr>
        <w:t>dos</w:t>
      </w:r>
      <w:r>
        <w:rPr>
          <w:rFonts w:ascii="Microsoft Sans Serif" w:hAnsi="Microsoft Sans Serif"/>
          <w:spacing w:val="-3"/>
        </w:rPr>
        <w:t> </w:t>
      </w:r>
      <w:r>
        <w:rPr>
          <w:rFonts w:ascii="Microsoft Sans Serif" w:hAnsi="Microsoft Sans Serif"/>
        </w:rPr>
        <w:t>nitratos</w:t>
      </w:r>
      <w:r>
        <w:rPr>
          <w:rFonts w:ascii="Microsoft Sans Serif" w:hAnsi="Microsoft Sans Serif"/>
          <w:spacing w:val="-3"/>
        </w:rPr>
        <w:t> </w:t>
      </w:r>
      <w:r>
        <w:rPr>
          <w:rFonts w:ascii="Microsoft Sans Serif" w:hAnsi="Microsoft Sans Serif"/>
        </w:rPr>
        <w:t>na</w:t>
      </w:r>
      <w:r>
        <w:rPr>
          <w:rFonts w:ascii="Microsoft Sans Serif" w:hAnsi="Microsoft Sans Serif"/>
          <w:spacing w:val="-1"/>
        </w:rPr>
        <w:t> </w:t>
      </w:r>
      <w:r>
        <w:rPr>
          <w:rFonts w:ascii="Microsoft Sans Serif" w:hAnsi="Microsoft Sans Serif"/>
        </w:rPr>
        <w:t>angina de</w:t>
      </w:r>
      <w:r>
        <w:rPr>
          <w:rFonts w:ascii="Microsoft Sans Serif" w:hAnsi="Microsoft Sans Serif"/>
          <w:spacing w:val="-1"/>
        </w:rPr>
        <w:t> </w:t>
      </w:r>
      <w:r>
        <w:rPr>
          <w:rFonts w:ascii="Microsoft Sans Serif" w:hAnsi="Microsoft Sans Serif"/>
          <w:spacing w:val="-2"/>
        </w:rPr>
        <w:t>peito.</w:t>
      </w:r>
    </w:p>
    <w:p>
      <w:pPr>
        <w:pStyle w:val="BodyText"/>
        <w:spacing w:before="4"/>
        <w:ind w:left="0" w:firstLine="0"/>
        <w:jc w:val="left"/>
        <w:rPr>
          <w:rFonts w:ascii="Microsoft Sans Serif"/>
          <w:sz w:val="13"/>
        </w:rPr>
      </w:pPr>
      <w:r>
        <w:rPr>
          <w:rFonts w:ascii="Microsoft Sans Serif"/>
          <w:sz w:val="13"/>
        </w:rPr>
        <mc:AlternateContent>
          <mc:Choice Requires="wps">
            <w:drawing>
              <wp:anchor distT="0" distB="0" distL="0" distR="0" allowOverlap="1" layoutInCell="1" locked="0" behindDoc="1" simplePos="0" relativeHeight="487604736">
                <wp:simplePos x="0" y="0"/>
                <wp:positionH relativeFrom="page">
                  <wp:posOffset>401535</wp:posOffset>
                </wp:positionH>
                <wp:positionV relativeFrom="paragraph">
                  <wp:posOffset>111216</wp:posOffset>
                </wp:positionV>
                <wp:extent cx="6732905" cy="5969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732905" cy="59690"/>
                        </a:xfrm>
                        <a:custGeom>
                          <a:avLst/>
                          <a:gdLst/>
                          <a:ahLst/>
                          <a:cxnLst/>
                          <a:rect l="l" t="t" r="r" b="b"/>
                          <a:pathLst>
                            <a:path w="6732905" h="59690">
                              <a:moveTo>
                                <a:pt x="6732651" y="0"/>
                              </a:moveTo>
                              <a:lnTo>
                                <a:pt x="4444365" y="0"/>
                              </a:lnTo>
                              <a:lnTo>
                                <a:pt x="2227262" y="0"/>
                              </a:lnTo>
                              <a:lnTo>
                                <a:pt x="0" y="0"/>
                              </a:lnTo>
                              <a:lnTo>
                                <a:pt x="0" y="59499"/>
                              </a:lnTo>
                              <a:lnTo>
                                <a:pt x="2227262" y="59499"/>
                              </a:lnTo>
                              <a:lnTo>
                                <a:pt x="4444365" y="59499"/>
                              </a:lnTo>
                              <a:lnTo>
                                <a:pt x="6732651" y="59499"/>
                              </a:lnTo>
                              <a:lnTo>
                                <a:pt x="6732651" y="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shape style="position:absolute;margin-left:31.617001pt;margin-top:8.757191pt;width:530.15pt;height:4.7pt;mso-position-horizontal-relative:page;mso-position-vertical-relative:paragraph;z-index:-15711744;mso-wrap-distance-left:0;mso-wrap-distance-right:0" id="docshape29" coordorigin="632,175" coordsize="10603,94" path="m11235,175l7631,175,4140,175,632,175,632,269,4140,269,7631,269,11235,269,11235,175xe" filled="true" fillcolor="#242b67" stroked="false">
                <v:path arrowok="t"/>
                <v:fill type="solid"/>
                <w10:wrap type="topAndBottom"/>
              </v:shape>
            </w:pict>
          </mc:Fallback>
        </mc:AlternateContent>
      </w:r>
    </w:p>
    <w:p>
      <w:pPr>
        <w:pStyle w:val="BodyText"/>
        <w:spacing w:after="0"/>
        <w:jc w:val="left"/>
        <w:rPr>
          <w:rFonts w:ascii="Microsoft Sans Serif"/>
          <w:sz w:val="13"/>
        </w:rPr>
        <w:sectPr>
          <w:pgSz w:w="11900" w:h="16840"/>
          <w:pgMar w:top="20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516"/>
        <w:gridCol w:w="3492"/>
        <w:gridCol w:w="3612"/>
      </w:tblGrid>
      <w:tr>
        <w:trPr>
          <w:trHeight w:val="416" w:hRule="atLeast"/>
        </w:trPr>
        <w:tc>
          <w:tcPr>
            <w:tcW w:w="3516" w:type="dxa"/>
            <w:tcBorders>
              <w:top w:val="nil"/>
              <w:left w:val="nil"/>
            </w:tcBorders>
            <w:shd w:val="clear" w:color="auto" w:fill="242B67"/>
          </w:tcPr>
          <w:p>
            <w:pPr>
              <w:pStyle w:val="TableParagraph"/>
              <w:spacing w:before="77"/>
              <w:ind w:left="67"/>
              <w:rPr>
                <w:rFonts w:ascii="Arial"/>
                <w:b/>
                <w:sz w:val="21"/>
              </w:rPr>
            </w:pPr>
            <w:r>
              <w:rPr>
                <w:rFonts w:ascii="Arial"/>
                <w:b/>
                <w:color w:val="FFFFFF"/>
                <w:spacing w:val="-2"/>
                <w:w w:val="105"/>
                <w:sz w:val="21"/>
              </w:rPr>
              <w:t>Evento</w:t>
            </w:r>
          </w:p>
        </w:tc>
        <w:tc>
          <w:tcPr>
            <w:tcW w:w="3492" w:type="dxa"/>
            <w:tcBorders>
              <w:top w:val="nil"/>
            </w:tcBorders>
            <w:shd w:val="clear" w:color="auto" w:fill="242B67"/>
          </w:tcPr>
          <w:p>
            <w:pPr>
              <w:pStyle w:val="TableParagraph"/>
              <w:spacing w:before="77"/>
              <w:rPr>
                <w:rFonts w:ascii="Arial" w:hAnsi="Arial"/>
                <w:b/>
                <w:sz w:val="21"/>
              </w:rPr>
            </w:pPr>
            <w:r>
              <w:rPr>
                <w:rFonts w:ascii="Arial" w:hAnsi="Arial"/>
                <w:b/>
                <w:color w:val="FFFFFF"/>
                <w:spacing w:val="-4"/>
                <w:w w:val="105"/>
                <w:sz w:val="21"/>
              </w:rPr>
              <w:t>Ação</w:t>
            </w:r>
          </w:p>
        </w:tc>
        <w:tc>
          <w:tcPr>
            <w:tcW w:w="3612" w:type="dxa"/>
            <w:tcBorders>
              <w:top w:val="nil"/>
              <w:right w:val="nil"/>
            </w:tcBorders>
            <w:shd w:val="clear" w:color="auto" w:fill="242B67"/>
          </w:tcPr>
          <w:p>
            <w:pPr>
              <w:pStyle w:val="TableParagraph"/>
              <w:spacing w:before="77"/>
              <w:ind w:left="64"/>
              <w:rPr>
                <w:rFonts w:ascii="Arial"/>
                <w:b/>
                <w:sz w:val="21"/>
              </w:rPr>
            </w:pPr>
            <w:r>
              <w:rPr>
                <w:rFonts w:ascii="Arial"/>
                <w:b/>
                <w:color w:val="FFFFFF"/>
                <w:spacing w:val="-2"/>
                <w:w w:val="105"/>
                <w:sz w:val="21"/>
              </w:rPr>
              <w:t>Efeito</w:t>
            </w:r>
          </w:p>
        </w:tc>
      </w:tr>
      <w:tr>
        <w:trPr>
          <w:trHeight w:val="428" w:hRule="atLeast"/>
        </w:trPr>
        <w:tc>
          <w:tcPr>
            <w:tcW w:w="3516" w:type="dxa"/>
            <w:vMerge w:val="restart"/>
            <w:tcBorders>
              <w:left w:val="nil"/>
            </w:tcBorders>
            <w:shd w:val="clear" w:color="auto" w:fill="EDECF3"/>
          </w:tcPr>
          <w:p>
            <w:pPr>
              <w:pStyle w:val="TableParagraph"/>
              <w:spacing w:before="95"/>
              <w:ind w:left="67"/>
              <w:rPr>
                <w:sz w:val="21"/>
              </w:rPr>
            </w:pPr>
            <w:r>
              <w:rPr>
                <w:w w:val="105"/>
                <w:sz w:val="21"/>
              </w:rPr>
              <w:t>Aumento</w:t>
            </w:r>
            <w:r>
              <w:rPr>
                <w:spacing w:val="17"/>
                <w:w w:val="105"/>
                <w:sz w:val="21"/>
              </w:rPr>
              <w:t> </w:t>
            </w:r>
            <w:r>
              <w:rPr>
                <w:w w:val="105"/>
                <w:sz w:val="21"/>
              </w:rPr>
              <w:t>da</w:t>
            </w:r>
            <w:r>
              <w:rPr>
                <w:spacing w:val="17"/>
                <w:w w:val="105"/>
                <w:sz w:val="21"/>
              </w:rPr>
              <w:t> </w:t>
            </w:r>
            <w:r>
              <w:rPr>
                <w:w w:val="105"/>
                <w:sz w:val="21"/>
              </w:rPr>
              <w:t>oferta</w:t>
            </w:r>
            <w:r>
              <w:rPr>
                <w:spacing w:val="17"/>
                <w:w w:val="105"/>
                <w:sz w:val="21"/>
              </w:rPr>
              <w:t> </w:t>
            </w:r>
            <w:r>
              <w:rPr>
                <w:w w:val="105"/>
                <w:sz w:val="21"/>
              </w:rPr>
              <w:t>de</w:t>
            </w:r>
            <w:r>
              <w:rPr>
                <w:spacing w:val="17"/>
                <w:w w:val="105"/>
                <w:sz w:val="21"/>
              </w:rPr>
              <w:t> </w:t>
            </w:r>
            <w:r>
              <w:rPr>
                <w:spacing w:val="-5"/>
                <w:w w:val="105"/>
                <w:sz w:val="21"/>
              </w:rPr>
              <w:t>O</w:t>
            </w:r>
            <w:r>
              <w:rPr>
                <w:spacing w:val="-5"/>
                <w:w w:val="105"/>
                <w:sz w:val="21"/>
                <w:vertAlign w:val="subscript"/>
              </w:rPr>
              <w:t>2</w:t>
            </w:r>
          </w:p>
        </w:tc>
        <w:tc>
          <w:tcPr>
            <w:tcW w:w="3492" w:type="dxa"/>
            <w:shd w:val="clear" w:color="auto" w:fill="EDECF3"/>
          </w:tcPr>
          <w:p>
            <w:pPr>
              <w:pStyle w:val="TableParagraph"/>
              <w:spacing w:before="93"/>
              <w:rPr>
                <w:sz w:val="21"/>
              </w:rPr>
            </w:pPr>
            <w:r>
              <w:rPr>
                <w:w w:val="105"/>
                <w:sz w:val="21"/>
              </w:rPr>
              <w:t>Dilata</w:t>
            </w:r>
            <w:r>
              <w:rPr>
                <w:spacing w:val="17"/>
                <w:w w:val="105"/>
                <w:sz w:val="21"/>
              </w:rPr>
              <w:t> </w:t>
            </w:r>
            <w:r>
              <w:rPr>
                <w:w w:val="105"/>
                <w:sz w:val="21"/>
              </w:rPr>
              <w:t>a</w:t>
            </w:r>
            <w:r>
              <w:rPr>
                <w:spacing w:val="17"/>
                <w:w w:val="105"/>
                <w:sz w:val="21"/>
              </w:rPr>
              <w:t> </w:t>
            </w:r>
            <w:r>
              <w:rPr>
                <w:w w:val="105"/>
                <w:sz w:val="21"/>
              </w:rPr>
              <w:t>estenose</w:t>
            </w:r>
            <w:r>
              <w:rPr>
                <w:spacing w:val="17"/>
                <w:w w:val="105"/>
                <w:sz w:val="21"/>
              </w:rPr>
              <w:t> </w:t>
            </w:r>
            <w:r>
              <w:rPr>
                <w:spacing w:val="-2"/>
                <w:w w:val="105"/>
                <w:sz w:val="21"/>
              </w:rPr>
              <w:t>coronária</w:t>
            </w:r>
          </w:p>
        </w:tc>
        <w:tc>
          <w:tcPr>
            <w:tcW w:w="3612" w:type="dxa"/>
            <w:tcBorders>
              <w:right w:val="nil"/>
            </w:tcBorders>
            <w:shd w:val="clear" w:color="auto" w:fill="EDECF3"/>
          </w:tcPr>
          <w:p>
            <w:pPr>
              <w:pStyle w:val="TableParagraph"/>
              <w:spacing w:before="93"/>
              <w:rPr>
                <w:sz w:val="21"/>
              </w:rPr>
            </w:pPr>
            <w:r>
              <w:rPr>
                <w:w w:val="105"/>
                <w:sz w:val="21"/>
              </w:rPr>
              <w:t>Aumento</w:t>
            </w:r>
            <w:r>
              <w:rPr>
                <w:spacing w:val="13"/>
                <w:w w:val="105"/>
                <w:sz w:val="21"/>
              </w:rPr>
              <w:t> </w:t>
            </w:r>
            <w:r>
              <w:rPr>
                <w:w w:val="105"/>
                <w:sz w:val="21"/>
              </w:rPr>
              <w:t>do</w:t>
            </w:r>
            <w:r>
              <w:rPr>
                <w:spacing w:val="13"/>
                <w:w w:val="105"/>
                <w:sz w:val="21"/>
              </w:rPr>
              <w:t> </w:t>
            </w:r>
            <w:r>
              <w:rPr>
                <w:w w:val="105"/>
                <w:sz w:val="21"/>
              </w:rPr>
              <w:t>fluxo</w:t>
            </w:r>
            <w:r>
              <w:rPr>
                <w:spacing w:val="14"/>
                <w:w w:val="105"/>
                <w:sz w:val="21"/>
              </w:rPr>
              <w:t> </w:t>
            </w:r>
            <w:r>
              <w:rPr>
                <w:spacing w:val="-2"/>
                <w:w w:val="105"/>
                <w:sz w:val="21"/>
              </w:rPr>
              <w:t>coronário</w:t>
            </w:r>
          </w:p>
        </w:tc>
      </w:tr>
      <w:tr>
        <w:trPr>
          <w:trHeight w:val="428" w:hRule="atLeast"/>
        </w:trPr>
        <w:tc>
          <w:tcPr>
            <w:tcW w:w="3516" w:type="dxa"/>
            <w:vMerge/>
            <w:tcBorders>
              <w:top w:val="nil"/>
              <w:left w:val="nil"/>
            </w:tcBorders>
            <w:shd w:val="clear" w:color="auto" w:fill="EDECF3"/>
          </w:tcPr>
          <w:p>
            <w:pPr>
              <w:rPr>
                <w:sz w:val="2"/>
                <w:szCs w:val="2"/>
              </w:rPr>
            </w:pPr>
          </w:p>
        </w:tc>
        <w:tc>
          <w:tcPr>
            <w:tcW w:w="3492" w:type="dxa"/>
            <w:shd w:val="clear" w:color="auto" w:fill="EDECF3"/>
          </w:tcPr>
          <w:p>
            <w:pPr>
              <w:pStyle w:val="TableParagraph"/>
              <w:spacing w:before="93"/>
              <w:rPr>
                <w:sz w:val="21"/>
              </w:rPr>
            </w:pPr>
            <w:r>
              <w:rPr>
                <w:w w:val="105"/>
                <w:sz w:val="21"/>
              </w:rPr>
              <w:t>Dilata</w:t>
            </w:r>
            <w:r>
              <w:rPr>
                <w:spacing w:val="22"/>
                <w:w w:val="105"/>
                <w:sz w:val="21"/>
              </w:rPr>
              <w:t> </w:t>
            </w:r>
            <w:r>
              <w:rPr>
                <w:w w:val="105"/>
                <w:sz w:val="21"/>
              </w:rPr>
              <w:t>as</w:t>
            </w:r>
            <w:r>
              <w:rPr>
                <w:spacing w:val="18"/>
                <w:w w:val="105"/>
                <w:sz w:val="21"/>
              </w:rPr>
              <w:t> </w:t>
            </w:r>
            <w:r>
              <w:rPr>
                <w:w w:val="105"/>
                <w:sz w:val="21"/>
              </w:rPr>
              <w:t>coronárias</w:t>
            </w:r>
            <w:r>
              <w:rPr>
                <w:spacing w:val="18"/>
                <w:w w:val="105"/>
                <w:sz w:val="21"/>
              </w:rPr>
              <w:t> </w:t>
            </w:r>
            <w:r>
              <w:rPr>
                <w:spacing w:val="-2"/>
                <w:w w:val="105"/>
                <w:sz w:val="21"/>
              </w:rPr>
              <w:t>epicárdicas</w:t>
            </w:r>
          </w:p>
        </w:tc>
        <w:tc>
          <w:tcPr>
            <w:tcW w:w="3612" w:type="dxa"/>
            <w:tcBorders>
              <w:right w:val="nil"/>
            </w:tcBorders>
            <w:shd w:val="clear" w:color="auto" w:fill="EDECF3"/>
          </w:tcPr>
          <w:p>
            <w:pPr>
              <w:pStyle w:val="TableParagraph"/>
              <w:spacing w:before="93"/>
              <w:rPr>
                <w:sz w:val="21"/>
              </w:rPr>
            </w:pPr>
            <w:r>
              <w:rPr>
                <w:w w:val="105"/>
                <w:sz w:val="21"/>
              </w:rPr>
              <w:t>Aumento</w:t>
            </w:r>
            <w:r>
              <w:rPr>
                <w:spacing w:val="13"/>
                <w:w w:val="105"/>
                <w:sz w:val="21"/>
              </w:rPr>
              <w:t> </w:t>
            </w:r>
            <w:r>
              <w:rPr>
                <w:w w:val="105"/>
                <w:sz w:val="21"/>
              </w:rPr>
              <w:t>do</w:t>
            </w:r>
            <w:r>
              <w:rPr>
                <w:spacing w:val="13"/>
                <w:w w:val="105"/>
                <w:sz w:val="21"/>
              </w:rPr>
              <w:t> </w:t>
            </w:r>
            <w:r>
              <w:rPr>
                <w:w w:val="105"/>
                <w:sz w:val="21"/>
              </w:rPr>
              <w:t>fluxo</w:t>
            </w:r>
            <w:r>
              <w:rPr>
                <w:spacing w:val="14"/>
                <w:w w:val="105"/>
                <w:sz w:val="21"/>
              </w:rPr>
              <w:t> </w:t>
            </w:r>
            <w:r>
              <w:rPr>
                <w:spacing w:val="-2"/>
                <w:w w:val="105"/>
                <w:sz w:val="21"/>
              </w:rPr>
              <w:t>coronário</w:t>
            </w:r>
          </w:p>
        </w:tc>
      </w:tr>
      <w:tr>
        <w:trPr>
          <w:trHeight w:val="732" w:hRule="atLeast"/>
        </w:trPr>
        <w:tc>
          <w:tcPr>
            <w:tcW w:w="3516" w:type="dxa"/>
            <w:vMerge/>
            <w:tcBorders>
              <w:top w:val="nil"/>
              <w:left w:val="nil"/>
            </w:tcBorders>
            <w:shd w:val="clear" w:color="auto" w:fill="EDECF3"/>
          </w:tcPr>
          <w:p>
            <w:pPr>
              <w:rPr>
                <w:sz w:val="2"/>
                <w:szCs w:val="2"/>
              </w:rPr>
            </w:pPr>
          </w:p>
        </w:tc>
        <w:tc>
          <w:tcPr>
            <w:tcW w:w="3492" w:type="dxa"/>
            <w:shd w:val="clear" w:color="auto" w:fill="EDECF3"/>
          </w:tcPr>
          <w:p>
            <w:pPr>
              <w:pStyle w:val="TableParagraph"/>
              <w:spacing w:line="307" w:lineRule="auto" w:before="93"/>
              <w:rPr>
                <w:sz w:val="21"/>
              </w:rPr>
            </w:pPr>
            <w:r>
              <w:rPr>
                <w:w w:val="105"/>
                <w:sz w:val="21"/>
              </w:rPr>
              <w:t>Diminui a pressão diastólica do ventrículo esquerdo</w:t>
            </w:r>
          </w:p>
        </w:tc>
        <w:tc>
          <w:tcPr>
            <w:tcW w:w="3612" w:type="dxa"/>
            <w:tcBorders>
              <w:right w:val="nil"/>
            </w:tcBorders>
            <w:shd w:val="clear" w:color="auto" w:fill="EDECF3"/>
          </w:tcPr>
          <w:p>
            <w:pPr>
              <w:pStyle w:val="TableParagraph"/>
              <w:spacing w:before="93"/>
              <w:ind w:left="64"/>
              <w:rPr>
                <w:sz w:val="21"/>
              </w:rPr>
            </w:pPr>
            <w:r>
              <w:rPr>
                <w:w w:val="105"/>
                <w:sz w:val="21"/>
              </w:rPr>
              <w:t>Melhora</w:t>
            </w:r>
            <w:r>
              <w:rPr>
                <w:spacing w:val="15"/>
                <w:w w:val="105"/>
                <w:sz w:val="21"/>
              </w:rPr>
              <w:t> </w:t>
            </w:r>
            <w:r>
              <w:rPr>
                <w:w w:val="105"/>
                <w:sz w:val="21"/>
              </w:rPr>
              <w:t>do</w:t>
            </w:r>
            <w:r>
              <w:rPr>
                <w:spacing w:val="15"/>
                <w:w w:val="105"/>
                <w:sz w:val="21"/>
              </w:rPr>
              <w:t> </w:t>
            </w:r>
            <w:r>
              <w:rPr>
                <w:w w:val="105"/>
                <w:sz w:val="21"/>
              </w:rPr>
              <w:t>fluxo</w:t>
            </w:r>
            <w:r>
              <w:rPr>
                <w:spacing w:val="15"/>
                <w:w w:val="105"/>
                <w:sz w:val="21"/>
              </w:rPr>
              <w:t> </w:t>
            </w:r>
            <w:r>
              <w:rPr>
                <w:spacing w:val="-2"/>
                <w:w w:val="105"/>
                <w:sz w:val="21"/>
              </w:rPr>
              <w:t>subendocárdico</w:t>
            </w:r>
          </w:p>
        </w:tc>
      </w:tr>
      <w:tr>
        <w:trPr>
          <w:trHeight w:val="428" w:hRule="atLeast"/>
        </w:trPr>
        <w:tc>
          <w:tcPr>
            <w:tcW w:w="3516" w:type="dxa"/>
            <w:vMerge/>
            <w:tcBorders>
              <w:top w:val="nil"/>
              <w:left w:val="nil"/>
            </w:tcBorders>
            <w:shd w:val="clear" w:color="auto" w:fill="EDECF3"/>
          </w:tcPr>
          <w:p>
            <w:pPr>
              <w:rPr>
                <w:sz w:val="2"/>
                <w:szCs w:val="2"/>
              </w:rPr>
            </w:pPr>
          </w:p>
        </w:tc>
        <w:tc>
          <w:tcPr>
            <w:tcW w:w="3492" w:type="dxa"/>
            <w:shd w:val="clear" w:color="auto" w:fill="EDECF3"/>
          </w:tcPr>
          <w:p>
            <w:pPr>
              <w:pStyle w:val="TableParagraph"/>
              <w:spacing w:before="93"/>
              <w:rPr>
                <w:sz w:val="21"/>
              </w:rPr>
            </w:pPr>
            <w:r>
              <w:rPr>
                <w:w w:val="105"/>
                <w:sz w:val="21"/>
              </w:rPr>
              <w:t>Inibe</w:t>
            </w:r>
            <w:r>
              <w:rPr>
                <w:spacing w:val="14"/>
                <w:w w:val="105"/>
                <w:sz w:val="21"/>
              </w:rPr>
              <w:t> </w:t>
            </w:r>
            <w:r>
              <w:rPr>
                <w:w w:val="105"/>
                <w:sz w:val="21"/>
              </w:rPr>
              <w:t>o</w:t>
            </w:r>
            <w:r>
              <w:rPr>
                <w:spacing w:val="15"/>
                <w:w w:val="105"/>
                <w:sz w:val="21"/>
              </w:rPr>
              <w:t> </w:t>
            </w:r>
            <w:r>
              <w:rPr>
                <w:w w:val="105"/>
                <w:sz w:val="21"/>
              </w:rPr>
              <w:t>espasmo</w:t>
            </w:r>
            <w:r>
              <w:rPr>
                <w:spacing w:val="15"/>
                <w:w w:val="105"/>
                <w:sz w:val="21"/>
              </w:rPr>
              <w:t> </w:t>
            </w:r>
            <w:r>
              <w:rPr>
                <w:spacing w:val="-2"/>
                <w:w w:val="105"/>
                <w:sz w:val="21"/>
              </w:rPr>
              <w:t>coronário</w:t>
            </w:r>
          </w:p>
        </w:tc>
        <w:tc>
          <w:tcPr>
            <w:tcW w:w="3612" w:type="dxa"/>
            <w:tcBorders>
              <w:right w:val="nil"/>
            </w:tcBorders>
            <w:shd w:val="clear" w:color="auto" w:fill="EDECF3"/>
          </w:tcPr>
          <w:p>
            <w:pPr>
              <w:pStyle w:val="TableParagraph"/>
              <w:spacing w:before="93"/>
              <w:rPr>
                <w:sz w:val="21"/>
              </w:rPr>
            </w:pPr>
            <w:r>
              <w:rPr>
                <w:w w:val="105"/>
                <w:sz w:val="21"/>
              </w:rPr>
              <w:t>Melhora</w:t>
            </w:r>
            <w:r>
              <w:rPr>
                <w:spacing w:val="15"/>
                <w:w w:val="105"/>
                <w:sz w:val="21"/>
              </w:rPr>
              <w:t> </w:t>
            </w:r>
            <w:r>
              <w:rPr>
                <w:w w:val="105"/>
                <w:sz w:val="21"/>
              </w:rPr>
              <w:t>do</w:t>
            </w:r>
            <w:r>
              <w:rPr>
                <w:spacing w:val="15"/>
                <w:w w:val="105"/>
                <w:sz w:val="21"/>
              </w:rPr>
              <w:t> </w:t>
            </w:r>
            <w:r>
              <w:rPr>
                <w:w w:val="105"/>
                <w:sz w:val="21"/>
              </w:rPr>
              <w:t>fluxo</w:t>
            </w:r>
            <w:r>
              <w:rPr>
                <w:spacing w:val="15"/>
                <w:w w:val="105"/>
                <w:sz w:val="21"/>
              </w:rPr>
              <w:t> </w:t>
            </w:r>
            <w:r>
              <w:rPr>
                <w:spacing w:val="-2"/>
                <w:w w:val="105"/>
                <w:sz w:val="21"/>
              </w:rPr>
              <w:t>coronário</w:t>
            </w:r>
          </w:p>
        </w:tc>
      </w:tr>
      <w:tr>
        <w:trPr>
          <w:trHeight w:val="732" w:hRule="atLeast"/>
        </w:trPr>
        <w:tc>
          <w:tcPr>
            <w:tcW w:w="3516" w:type="dxa"/>
            <w:vMerge w:val="restart"/>
            <w:tcBorders>
              <w:left w:val="nil"/>
              <w:bottom w:val="nil"/>
            </w:tcBorders>
            <w:shd w:val="clear" w:color="auto" w:fill="EDECF3"/>
          </w:tcPr>
          <w:p>
            <w:pPr>
              <w:pStyle w:val="TableParagraph"/>
              <w:spacing w:before="95"/>
              <w:ind w:left="67"/>
              <w:rPr>
                <w:sz w:val="21"/>
              </w:rPr>
            </w:pPr>
            <w:r>
              <w:rPr>
                <w:w w:val="105"/>
                <w:sz w:val="21"/>
              </w:rPr>
              <w:t>Diminuição</w:t>
            </w:r>
            <w:r>
              <w:rPr>
                <w:spacing w:val="12"/>
                <w:w w:val="105"/>
                <w:sz w:val="21"/>
              </w:rPr>
              <w:t> </w:t>
            </w:r>
            <w:r>
              <w:rPr>
                <w:w w:val="105"/>
                <w:sz w:val="21"/>
              </w:rPr>
              <w:t>do</w:t>
            </w:r>
            <w:r>
              <w:rPr>
                <w:spacing w:val="13"/>
                <w:w w:val="105"/>
                <w:sz w:val="21"/>
              </w:rPr>
              <w:t> </w:t>
            </w:r>
            <w:r>
              <w:rPr>
                <w:w w:val="105"/>
                <w:sz w:val="21"/>
              </w:rPr>
              <w:t>consumo</w:t>
            </w:r>
            <w:r>
              <w:rPr>
                <w:spacing w:val="13"/>
                <w:w w:val="105"/>
                <w:sz w:val="21"/>
              </w:rPr>
              <w:t> </w:t>
            </w:r>
            <w:r>
              <w:rPr>
                <w:w w:val="105"/>
                <w:sz w:val="21"/>
              </w:rPr>
              <w:t>de</w:t>
            </w:r>
            <w:r>
              <w:rPr>
                <w:spacing w:val="12"/>
                <w:w w:val="105"/>
                <w:sz w:val="21"/>
              </w:rPr>
              <w:t> </w:t>
            </w:r>
            <w:r>
              <w:rPr>
                <w:spacing w:val="-5"/>
                <w:w w:val="105"/>
                <w:sz w:val="21"/>
              </w:rPr>
              <w:t>O</w:t>
            </w:r>
            <w:r>
              <w:rPr>
                <w:spacing w:val="-5"/>
                <w:w w:val="105"/>
                <w:sz w:val="21"/>
                <w:vertAlign w:val="subscript"/>
              </w:rPr>
              <w:t>2</w:t>
            </w:r>
          </w:p>
        </w:tc>
        <w:tc>
          <w:tcPr>
            <w:tcW w:w="3492" w:type="dxa"/>
            <w:shd w:val="clear" w:color="auto" w:fill="EDECF3"/>
          </w:tcPr>
          <w:p>
            <w:pPr>
              <w:pStyle w:val="TableParagraph"/>
              <w:spacing w:before="93"/>
              <w:rPr>
                <w:sz w:val="21"/>
              </w:rPr>
            </w:pPr>
            <w:r>
              <w:rPr>
                <w:w w:val="105"/>
                <w:sz w:val="21"/>
              </w:rPr>
              <w:t>Diminui</w:t>
            </w:r>
            <w:r>
              <w:rPr>
                <w:spacing w:val="8"/>
                <w:w w:val="105"/>
                <w:sz w:val="21"/>
              </w:rPr>
              <w:t> </w:t>
            </w:r>
            <w:r>
              <w:rPr>
                <w:w w:val="105"/>
                <w:sz w:val="21"/>
              </w:rPr>
              <w:t>o</w:t>
            </w:r>
            <w:r>
              <w:rPr>
                <w:spacing w:val="17"/>
                <w:w w:val="105"/>
                <w:sz w:val="21"/>
              </w:rPr>
              <w:t> </w:t>
            </w:r>
            <w:r>
              <w:rPr>
                <w:w w:val="105"/>
                <w:sz w:val="21"/>
              </w:rPr>
              <w:t>retorno</w:t>
            </w:r>
            <w:r>
              <w:rPr>
                <w:spacing w:val="17"/>
                <w:w w:val="105"/>
                <w:sz w:val="21"/>
              </w:rPr>
              <w:t> </w:t>
            </w:r>
            <w:r>
              <w:rPr>
                <w:spacing w:val="-2"/>
                <w:w w:val="105"/>
                <w:sz w:val="21"/>
              </w:rPr>
              <w:t>venoso</w:t>
            </w:r>
          </w:p>
        </w:tc>
        <w:tc>
          <w:tcPr>
            <w:tcW w:w="3612" w:type="dxa"/>
            <w:tcBorders>
              <w:right w:val="nil"/>
            </w:tcBorders>
            <w:shd w:val="clear" w:color="auto" w:fill="EDECF3"/>
          </w:tcPr>
          <w:p>
            <w:pPr>
              <w:pStyle w:val="TableParagraph"/>
              <w:spacing w:line="307" w:lineRule="auto" w:before="93"/>
              <w:ind w:left="64"/>
              <w:rPr>
                <w:sz w:val="21"/>
              </w:rPr>
            </w:pPr>
            <w:r>
              <w:rPr>
                <w:w w:val="105"/>
                <w:sz w:val="21"/>
              </w:rPr>
              <w:t>Redução da tensão da parede </w:t>
            </w:r>
            <w:r>
              <w:rPr>
                <w:w w:val="105"/>
                <w:sz w:val="21"/>
              </w:rPr>
              <w:t>do ventrículo esquerdo</w:t>
            </w:r>
          </w:p>
        </w:tc>
      </w:tr>
      <w:tr>
        <w:trPr>
          <w:trHeight w:val="428" w:hRule="atLeast"/>
        </w:trPr>
        <w:tc>
          <w:tcPr>
            <w:tcW w:w="3516" w:type="dxa"/>
            <w:vMerge/>
            <w:tcBorders>
              <w:top w:val="nil"/>
              <w:left w:val="nil"/>
              <w:bottom w:val="nil"/>
            </w:tcBorders>
            <w:shd w:val="clear" w:color="auto" w:fill="EDECF3"/>
          </w:tcPr>
          <w:p>
            <w:pPr>
              <w:rPr>
                <w:sz w:val="2"/>
                <w:szCs w:val="2"/>
              </w:rPr>
            </w:pPr>
          </w:p>
        </w:tc>
        <w:tc>
          <w:tcPr>
            <w:tcW w:w="3492" w:type="dxa"/>
            <w:shd w:val="clear" w:color="auto" w:fill="EDECF3"/>
          </w:tcPr>
          <w:p>
            <w:pPr>
              <w:pStyle w:val="TableParagraph"/>
              <w:spacing w:before="93"/>
              <w:rPr>
                <w:sz w:val="21"/>
              </w:rPr>
            </w:pPr>
            <w:r>
              <w:rPr>
                <w:w w:val="105"/>
                <w:sz w:val="21"/>
              </w:rPr>
              <w:t>Diminui</w:t>
            </w:r>
            <w:r>
              <w:rPr>
                <w:spacing w:val="5"/>
                <w:w w:val="105"/>
                <w:sz w:val="21"/>
              </w:rPr>
              <w:t> </w:t>
            </w:r>
            <w:r>
              <w:rPr>
                <w:w w:val="105"/>
                <w:sz w:val="21"/>
              </w:rPr>
              <w:t>a</w:t>
            </w:r>
            <w:r>
              <w:rPr>
                <w:spacing w:val="14"/>
                <w:w w:val="105"/>
                <w:sz w:val="21"/>
              </w:rPr>
              <w:t> </w:t>
            </w:r>
            <w:r>
              <w:rPr>
                <w:w w:val="105"/>
                <w:sz w:val="21"/>
              </w:rPr>
              <w:t>resistência</w:t>
            </w:r>
            <w:r>
              <w:rPr>
                <w:spacing w:val="14"/>
                <w:w w:val="105"/>
                <w:sz w:val="21"/>
              </w:rPr>
              <w:t> </w:t>
            </w:r>
            <w:r>
              <w:rPr>
                <w:spacing w:val="-2"/>
                <w:w w:val="105"/>
                <w:sz w:val="21"/>
              </w:rPr>
              <w:t>arterial</w:t>
            </w:r>
          </w:p>
        </w:tc>
        <w:tc>
          <w:tcPr>
            <w:tcW w:w="3612" w:type="dxa"/>
            <w:tcBorders>
              <w:right w:val="nil"/>
            </w:tcBorders>
            <w:shd w:val="clear" w:color="auto" w:fill="EDECF3"/>
          </w:tcPr>
          <w:p>
            <w:pPr>
              <w:pStyle w:val="TableParagraph"/>
              <w:spacing w:before="93"/>
              <w:rPr>
                <w:sz w:val="21"/>
              </w:rPr>
            </w:pPr>
            <w:r>
              <w:rPr>
                <w:w w:val="105"/>
                <w:sz w:val="21"/>
              </w:rPr>
              <w:t>Redução</w:t>
            </w:r>
            <w:r>
              <w:rPr>
                <w:spacing w:val="29"/>
                <w:w w:val="105"/>
                <w:sz w:val="21"/>
              </w:rPr>
              <w:t> </w:t>
            </w:r>
            <w:r>
              <w:rPr>
                <w:w w:val="105"/>
                <w:sz w:val="21"/>
              </w:rPr>
              <w:t>do</w:t>
            </w:r>
            <w:r>
              <w:rPr>
                <w:spacing w:val="29"/>
                <w:w w:val="105"/>
                <w:sz w:val="21"/>
              </w:rPr>
              <w:t> </w:t>
            </w:r>
            <w:r>
              <w:rPr>
                <w:w w:val="105"/>
                <w:sz w:val="21"/>
              </w:rPr>
              <w:t>pós-</w:t>
            </w:r>
            <w:r>
              <w:rPr>
                <w:spacing w:val="-2"/>
                <w:w w:val="105"/>
                <w:sz w:val="21"/>
              </w:rPr>
              <w:t>carga</w:t>
            </w:r>
          </w:p>
        </w:tc>
      </w:tr>
      <w:tr>
        <w:trPr>
          <w:trHeight w:val="430" w:hRule="atLeast"/>
        </w:trPr>
        <w:tc>
          <w:tcPr>
            <w:tcW w:w="3516" w:type="dxa"/>
            <w:vMerge/>
            <w:tcBorders>
              <w:top w:val="nil"/>
              <w:left w:val="nil"/>
              <w:bottom w:val="nil"/>
            </w:tcBorders>
            <w:shd w:val="clear" w:color="auto" w:fill="EDECF3"/>
          </w:tcPr>
          <w:p>
            <w:pPr>
              <w:rPr>
                <w:sz w:val="2"/>
                <w:szCs w:val="2"/>
              </w:rPr>
            </w:pPr>
          </w:p>
        </w:tc>
        <w:tc>
          <w:tcPr>
            <w:tcW w:w="3492" w:type="dxa"/>
            <w:tcBorders>
              <w:bottom w:val="nil"/>
            </w:tcBorders>
            <w:shd w:val="clear" w:color="auto" w:fill="EDECF3"/>
          </w:tcPr>
          <w:p>
            <w:pPr>
              <w:pStyle w:val="TableParagraph"/>
              <w:spacing w:before="93"/>
              <w:rPr>
                <w:sz w:val="21"/>
              </w:rPr>
            </w:pPr>
            <w:r>
              <w:rPr>
                <w:w w:val="105"/>
                <w:sz w:val="21"/>
              </w:rPr>
              <w:t>Diminui</w:t>
            </w:r>
            <w:r>
              <w:rPr>
                <w:spacing w:val="6"/>
                <w:w w:val="105"/>
                <w:sz w:val="21"/>
              </w:rPr>
              <w:t> </w:t>
            </w:r>
            <w:r>
              <w:rPr>
                <w:w w:val="105"/>
                <w:sz w:val="21"/>
              </w:rPr>
              <w:t>a</w:t>
            </w:r>
            <w:r>
              <w:rPr>
                <w:spacing w:val="15"/>
                <w:w w:val="105"/>
                <w:sz w:val="21"/>
              </w:rPr>
              <w:t> </w:t>
            </w:r>
            <w:r>
              <w:rPr>
                <w:w w:val="105"/>
                <w:sz w:val="21"/>
              </w:rPr>
              <w:t>pressão</w:t>
            </w:r>
            <w:r>
              <w:rPr>
                <w:spacing w:val="15"/>
                <w:w w:val="105"/>
                <w:sz w:val="21"/>
              </w:rPr>
              <w:t> </w:t>
            </w:r>
            <w:r>
              <w:rPr>
                <w:spacing w:val="-2"/>
                <w:w w:val="105"/>
                <w:sz w:val="21"/>
              </w:rPr>
              <w:t>sistólica</w:t>
            </w:r>
          </w:p>
        </w:tc>
        <w:tc>
          <w:tcPr>
            <w:tcW w:w="3612" w:type="dxa"/>
            <w:tcBorders>
              <w:bottom w:val="nil"/>
              <w:right w:val="nil"/>
            </w:tcBorders>
            <w:shd w:val="clear" w:color="auto" w:fill="EDECF3"/>
          </w:tcPr>
          <w:p>
            <w:pPr>
              <w:pStyle w:val="TableParagraph"/>
              <w:spacing w:before="93"/>
              <w:rPr>
                <w:sz w:val="21"/>
              </w:rPr>
            </w:pPr>
            <w:r>
              <w:rPr>
                <w:w w:val="105"/>
                <w:sz w:val="21"/>
              </w:rPr>
              <w:t>Redução</w:t>
            </w:r>
            <w:r>
              <w:rPr>
                <w:spacing w:val="29"/>
                <w:w w:val="105"/>
                <w:sz w:val="21"/>
              </w:rPr>
              <w:t> </w:t>
            </w:r>
            <w:r>
              <w:rPr>
                <w:w w:val="105"/>
                <w:sz w:val="21"/>
              </w:rPr>
              <w:t>do</w:t>
            </w:r>
            <w:r>
              <w:rPr>
                <w:spacing w:val="29"/>
                <w:w w:val="105"/>
                <w:sz w:val="21"/>
              </w:rPr>
              <w:t> </w:t>
            </w:r>
            <w:r>
              <w:rPr>
                <w:w w:val="105"/>
                <w:sz w:val="21"/>
              </w:rPr>
              <w:t>pós-</w:t>
            </w:r>
            <w:r>
              <w:rPr>
                <w:spacing w:val="-2"/>
                <w:w w:val="105"/>
                <w:sz w:val="21"/>
              </w:rPr>
              <w:t>carga</w:t>
            </w:r>
          </w:p>
        </w:tc>
      </w:tr>
    </w:tbl>
    <w:p>
      <w:pPr>
        <w:spacing w:before="186"/>
        <w:ind w:left="68" w:right="0" w:firstLine="0"/>
        <w:jc w:val="left"/>
        <w:rPr>
          <w:rFonts w:ascii="Microsoft Sans Serif" w:hAnsi="Microsoft Sans Serif"/>
          <w:sz w:val="19"/>
        </w:rPr>
      </w:pPr>
      <w:r>
        <w:rPr>
          <w:rFonts w:ascii="Microsoft Sans Serif" w:hAnsi="Microsoft Sans Serif"/>
          <w:sz w:val="19"/>
        </w:rPr>
        <w:t>Adaptada</w:t>
      </w:r>
      <w:r>
        <w:rPr>
          <w:rFonts w:ascii="Microsoft Sans Serif" w:hAnsi="Microsoft Sans Serif"/>
          <w:spacing w:val="20"/>
          <w:sz w:val="19"/>
        </w:rPr>
        <w:t> </w:t>
      </w:r>
      <w:r>
        <w:rPr>
          <w:rFonts w:ascii="Microsoft Sans Serif" w:hAnsi="Microsoft Sans Serif"/>
          <w:sz w:val="19"/>
        </w:rPr>
        <w:t>de</w:t>
      </w:r>
      <w:r>
        <w:rPr>
          <w:rFonts w:ascii="Microsoft Sans Serif" w:hAnsi="Microsoft Sans Serif"/>
          <w:spacing w:val="20"/>
          <w:sz w:val="19"/>
        </w:rPr>
        <w:t> </w:t>
      </w:r>
      <w:r>
        <w:rPr>
          <w:rFonts w:ascii="Microsoft Sans Serif" w:hAnsi="Microsoft Sans Serif"/>
          <w:sz w:val="19"/>
        </w:rPr>
        <w:t>Thadani</w:t>
      </w:r>
      <w:r>
        <w:rPr>
          <w:rFonts w:ascii="Microsoft Sans Serif" w:hAnsi="Microsoft Sans Serif"/>
          <w:spacing w:val="20"/>
          <w:sz w:val="19"/>
        </w:rPr>
        <w:t> </w:t>
      </w:r>
      <w:r>
        <w:rPr>
          <w:rFonts w:ascii="Microsoft Sans Serif" w:hAnsi="Microsoft Sans Serif"/>
          <w:sz w:val="19"/>
        </w:rPr>
        <w:t>U.</w:t>
      </w:r>
      <w:r>
        <w:rPr>
          <w:rFonts w:ascii="Microsoft Sans Serif" w:hAnsi="Microsoft Sans Serif"/>
          <w:spacing w:val="6"/>
          <w:sz w:val="19"/>
        </w:rPr>
        <w:t> </w:t>
      </w:r>
      <w:r>
        <w:rPr>
          <w:rFonts w:ascii="Microsoft Sans Serif" w:hAnsi="Microsoft Sans Serif"/>
          <w:sz w:val="19"/>
        </w:rPr>
        <w:t>Am</w:t>
      </w:r>
      <w:r>
        <w:rPr>
          <w:rFonts w:ascii="Microsoft Sans Serif" w:hAnsi="Microsoft Sans Serif"/>
          <w:spacing w:val="14"/>
          <w:sz w:val="19"/>
        </w:rPr>
        <w:t> </w:t>
      </w:r>
      <w:r>
        <w:rPr>
          <w:rFonts w:ascii="Microsoft Sans Serif" w:hAnsi="Microsoft Sans Serif"/>
          <w:sz w:val="19"/>
        </w:rPr>
        <w:t>J</w:t>
      </w:r>
      <w:r>
        <w:rPr>
          <w:rFonts w:ascii="Microsoft Sans Serif" w:hAnsi="Microsoft Sans Serif"/>
          <w:spacing w:val="13"/>
          <w:sz w:val="19"/>
        </w:rPr>
        <w:t> </w:t>
      </w:r>
      <w:r>
        <w:rPr>
          <w:rFonts w:ascii="Microsoft Sans Serif" w:hAnsi="Microsoft Sans Serif"/>
          <w:sz w:val="19"/>
        </w:rPr>
        <w:t>Cardiol.</w:t>
      </w:r>
      <w:r>
        <w:rPr>
          <w:rFonts w:ascii="Microsoft Sans Serif" w:hAnsi="Microsoft Sans Serif"/>
          <w:spacing w:val="7"/>
          <w:sz w:val="19"/>
        </w:rPr>
        <w:t> </w:t>
      </w:r>
      <w:r>
        <w:rPr>
          <w:rFonts w:ascii="Microsoft Sans Serif" w:hAnsi="Microsoft Sans Serif"/>
          <w:sz w:val="19"/>
        </w:rPr>
        <w:t>1997;</w:t>
      </w:r>
      <w:r>
        <w:rPr>
          <w:rFonts w:ascii="Microsoft Sans Serif" w:hAnsi="Microsoft Sans Serif"/>
          <w:spacing w:val="6"/>
          <w:sz w:val="19"/>
        </w:rPr>
        <w:t> </w:t>
      </w:r>
      <w:r>
        <w:rPr>
          <w:rFonts w:ascii="Microsoft Sans Serif" w:hAnsi="Microsoft Sans Serif"/>
          <w:sz w:val="19"/>
        </w:rPr>
        <w:t>79</w:t>
      </w:r>
      <w:r>
        <w:rPr>
          <w:rFonts w:ascii="Microsoft Sans Serif" w:hAnsi="Microsoft Sans Serif"/>
          <w:spacing w:val="20"/>
          <w:sz w:val="19"/>
        </w:rPr>
        <w:t> </w:t>
      </w:r>
      <w:r>
        <w:rPr>
          <w:rFonts w:ascii="Microsoft Sans Serif" w:hAnsi="Microsoft Sans Serif"/>
          <w:sz w:val="19"/>
        </w:rPr>
        <w:t>(12B):</w:t>
      </w:r>
      <w:r>
        <w:rPr>
          <w:rFonts w:ascii="Microsoft Sans Serif" w:hAnsi="Microsoft Sans Serif"/>
          <w:spacing w:val="7"/>
          <w:sz w:val="19"/>
        </w:rPr>
        <w:t> </w:t>
      </w:r>
      <w:r>
        <w:rPr>
          <w:rFonts w:ascii="Microsoft Sans Serif" w:hAnsi="Microsoft Sans Serif"/>
          <w:sz w:val="19"/>
        </w:rPr>
        <w:t>24-</w:t>
      </w:r>
      <w:r>
        <w:rPr>
          <w:rFonts w:ascii="Microsoft Sans Serif" w:hAnsi="Microsoft Sans Serif"/>
          <w:spacing w:val="-5"/>
          <w:sz w:val="19"/>
        </w:rPr>
        <w:t>30.</w:t>
      </w:r>
    </w:p>
    <w:p>
      <w:pPr>
        <w:pStyle w:val="BodyText"/>
        <w:spacing w:before="151"/>
        <w:ind w:left="0" w:firstLine="0"/>
        <w:jc w:val="left"/>
        <w:rPr>
          <w:rFonts w:ascii="Microsoft Sans Serif"/>
          <w:sz w:val="19"/>
        </w:rPr>
      </w:pPr>
    </w:p>
    <w:p>
      <w:pPr>
        <w:pStyle w:val="Heading9"/>
      </w:pPr>
      <w:r>
        <w:rPr>
          <w:color w:val="A26108"/>
          <w:spacing w:val="-2"/>
        </w:rPr>
        <w:t>Betabloqueadores</w:t>
      </w:r>
    </w:p>
    <w:p>
      <w:pPr>
        <w:pStyle w:val="BodyText"/>
        <w:spacing w:line="283" w:lineRule="auto" w:before="116"/>
        <w:ind w:right="491"/>
      </w:pPr>
      <w:r>
        <w:rPr/>
        <w:t>São os fármacos mais utilizados no tratamento de uma grande variedade de doenças cardíacas. Todos atuam bloqueando receptores β-adrenérgicos, existindo receptores β</w:t>
      </w:r>
      <w:r>
        <w:rPr>
          <w:vertAlign w:val="subscript"/>
        </w:rPr>
        <w:t>1</w:t>
      </w:r>
      <w:r>
        <w:rPr>
          <w:vertAlign w:val="baseline"/>
        </w:rPr>
        <w:t> (no coração) e β</w:t>
      </w:r>
      <w:r>
        <w:rPr>
          <w:vertAlign w:val="subscript"/>
        </w:rPr>
        <w:t>2</w:t>
      </w:r>
      <w:r>
        <w:rPr>
          <w:vertAlign w:val="baseline"/>
        </w:rPr>
        <w:t> (na vasculatura periférica e na musculatura brônquica). Diminuem o consumo de O</w:t>
      </w:r>
      <w:r>
        <w:rPr>
          <w:vertAlign w:val="subscript"/>
        </w:rPr>
        <w:t>2</w:t>
      </w:r>
      <w:r>
        <w:rPr>
          <w:vertAlign w:val="baseline"/>
        </w:rPr>
        <w:t> pelo miocárdio por reduzir a frequência cardíaca, contratilidade</w:t>
      </w:r>
      <w:r>
        <w:rPr>
          <w:spacing w:val="-5"/>
          <w:vertAlign w:val="baseline"/>
        </w:rPr>
        <w:t> </w:t>
      </w:r>
      <w:r>
        <w:rPr>
          <w:vertAlign w:val="baseline"/>
        </w:rPr>
        <w:t>e</w:t>
      </w:r>
      <w:r>
        <w:rPr>
          <w:spacing w:val="-5"/>
          <w:vertAlign w:val="baseline"/>
        </w:rPr>
        <w:t> </w:t>
      </w:r>
      <w:r>
        <w:rPr>
          <w:vertAlign w:val="baseline"/>
        </w:rPr>
        <w:t>pressão</w:t>
      </w:r>
      <w:r>
        <w:rPr>
          <w:spacing w:val="-2"/>
          <w:vertAlign w:val="baseline"/>
        </w:rPr>
        <w:t> </w:t>
      </w:r>
      <w:r>
        <w:rPr>
          <w:vertAlign w:val="baseline"/>
        </w:rPr>
        <w:t>arterial. Todas as apresentações melhoram</w:t>
      </w:r>
      <w:r>
        <w:rPr>
          <w:spacing w:val="-2"/>
          <w:vertAlign w:val="baseline"/>
        </w:rPr>
        <w:t> </w:t>
      </w:r>
      <w:r>
        <w:rPr>
          <w:vertAlign w:val="baseline"/>
        </w:rPr>
        <w:t>a</w:t>
      </w:r>
      <w:r>
        <w:rPr>
          <w:spacing w:val="-5"/>
          <w:vertAlign w:val="baseline"/>
        </w:rPr>
        <w:t> </w:t>
      </w:r>
      <w:r>
        <w:rPr>
          <w:vertAlign w:val="baseline"/>
        </w:rPr>
        <w:t>tolerância</w:t>
      </w:r>
      <w:r>
        <w:rPr>
          <w:spacing w:val="-5"/>
          <w:vertAlign w:val="baseline"/>
        </w:rPr>
        <w:t> </w:t>
      </w:r>
      <w:r>
        <w:rPr>
          <w:vertAlign w:val="baseline"/>
        </w:rPr>
        <w:t>ao</w:t>
      </w:r>
      <w:r>
        <w:rPr>
          <w:spacing w:val="-2"/>
          <w:vertAlign w:val="baseline"/>
        </w:rPr>
        <w:t> </w:t>
      </w:r>
      <w:r>
        <w:rPr>
          <w:vertAlign w:val="baseline"/>
        </w:rPr>
        <w:t>exercício, sendo</w:t>
      </w:r>
      <w:r>
        <w:rPr>
          <w:spacing w:val="-2"/>
          <w:vertAlign w:val="baseline"/>
        </w:rPr>
        <w:t> </w:t>
      </w:r>
      <w:r>
        <w:rPr>
          <w:vertAlign w:val="baseline"/>
        </w:rPr>
        <w:t>esse</w:t>
      </w:r>
      <w:r>
        <w:rPr>
          <w:spacing w:val="-5"/>
          <w:vertAlign w:val="baseline"/>
        </w:rPr>
        <w:t> </w:t>
      </w:r>
      <w:r>
        <w:rPr>
          <w:vertAlign w:val="baseline"/>
        </w:rPr>
        <w:t>efeito</w:t>
      </w:r>
      <w:r>
        <w:rPr>
          <w:spacing w:val="-2"/>
          <w:vertAlign w:val="baseline"/>
        </w:rPr>
        <w:t> </w:t>
      </w:r>
      <w:r>
        <w:rPr>
          <w:vertAlign w:val="baseline"/>
        </w:rPr>
        <w:t>mais predominante nas formas sem ação simpaticomimética intrínseca (</w:t>
      </w:r>
      <w:r>
        <w:rPr>
          <w:color w:val="505050"/>
          <w:vertAlign w:val="baseline"/>
        </w:rPr>
        <w:t>Tabela 56.8</w:t>
      </w:r>
      <w:r>
        <w:rPr>
          <w:vertAlign w:val="baseline"/>
        </w:rPr>
        <w:t>).</w:t>
      </w:r>
    </w:p>
    <w:p>
      <w:pPr>
        <w:pStyle w:val="BodyText"/>
        <w:spacing w:line="276" w:lineRule="auto" w:before="42"/>
        <w:ind w:right="497"/>
      </w:pPr>
      <w:r>
        <w:rPr/>
        <w:t>Existe um grande número de fármacos e apresentações comerciais deste grupo, podendo ser administrados por via intravenosa ou oral.</w:t>
      </w:r>
      <w:r>
        <w:rPr>
          <w:spacing w:val="11"/>
        </w:rPr>
        <w:t> </w:t>
      </w:r>
      <w:r>
        <w:rPr/>
        <w:t>No Brasil os</w:t>
      </w:r>
      <w:r>
        <w:rPr>
          <w:spacing w:val="11"/>
        </w:rPr>
        <w:t> </w:t>
      </w:r>
      <w:r>
        <w:rPr/>
        <w:t>fármacos</w:t>
      </w:r>
      <w:r>
        <w:rPr>
          <w:spacing w:val="11"/>
        </w:rPr>
        <w:t> </w:t>
      </w:r>
      <w:r>
        <w:rPr/>
        <w:t>mais</w:t>
      </w:r>
      <w:r>
        <w:rPr>
          <w:spacing w:val="11"/>
        </w:rPr>
        <w:t> </w:t>
      </w:r>
      <w:r>
        <w:rPr/>
        <w:t>utilizados</w:t>
      </w:r>
      <w:r>
        <w:rPr>
          <w:spacing w:val="11"/>
        </w:rPr>
        <w:t> </w:t>
      </w:r>
      <w:r>
        <w:rPr/>
        <w:t>são o propranolol,</w:t>
      </w:r>
      <w:r>
        <w:rPr>
          <w:spacing w:val="11"/>
        </w:rPr>
        <w:t> </w:t>
      </w:r>
      <w:r>
        <w:rPr/>
        <w:t>com dose via oral habitual de 80 a 240 mg/dia, existindo também apresentação intravenosa, o atenolol, com dose de 25 a 200 mg/dia, o metoprolol, com apresentação intravenosa</w:t>
      </w:r>
      <w:r>
        <w:rPr>
          <w:spacing w:val="-2"/>
        </w:rPr>
        <w:t> </w:t>
      </w:r>
      <w:r>
        <w:rPr/>
        <w:t>(1 a</w:t>
      </w:r>
      <w:r>
        <w:rPr>
          <w:spacing w:val="-2"/>
        </w:rPr>
        <w:t> </w:t>
      </w:r>
      <w:r>
        <w:rPr/>
        <w:t>2 mg/min até</w:t>
      </w:r>
      <w:r>
        <w:rPr>
          <w:spacing w:val="-2"/>
        </w:rPr>
        <w:t> </w:t>
      </w:r>
      <w:r>
        <w:rPr/>
        <w:t>15 mg) ou oral com dose</w:t>
      </w:r>
      <w:r>
        <w:rPr>
          <w:spacing w:val="-2"/>
        </w:rPr>
        <w:t> </w:t>
      </w:r>
      <w:r>
        <w:rPr/>
        <w:t>média</w:t>
      </w:r>
      <w:r>
        <w:rPr>
          <w:spacing w:val="-2"/>
        </w:rPr>
        <w:t> </w:t>
      </w:r>
      <w:r>
        <w:rPr/>
        <w:t>de</w:t>
      </w:r>
      <w:r>
        <w:rPr>
          <w:spacing w:val="-2"/>
        </w:rPr>
        <w:t> </w:t>
      </w:r>
      <w:r>
        <w:rPr/>
        <w:t>200 mg/dia, e</w:t>
      </w:r>
      <w:r>
        <w:rPr>
          <w:spacing w:val="-2"/>
        </w:rPr>
        <w:t> </w:t>
      </w:r>
      <w:r>
        <w:rPr/>
        <w:t>o nadolol (40 ou 80 mg), com dose por via oral de 40 a 240 mg/dia.</w:t>
      </w:r>
    </w:p>
    <w:p>
      <w:pPr>
        <w:pStyle w:val="BodyText"/>
        <w:spacing w:line="276" w:lineRule="auto" w:before="64"/>
        <w:ind w:right="502"/>
      </w:pPr>
      <w:r>
        <w:rPr/>
        <w:t>Os principais efeitos colaterais são o desencadeamento de insuficiência cardíaca no início do tratamento, bradiarritmias, broncospasmo, sonolência/insônia, depressão, impotência sexual e efeito negativo sobre perfil lipídico. A</w:t>
      </w:r>
      <w:r>
        <w:rPr>
          <w:spacing w:val="-8"/>
        </w:rPr>
        <w:t> </w:t>
      </w:r>
      <w:r>
        <w:rPr/>
        <w:t>disfunção</w:t>
      </w:r>
      <w:r>
        <w:rPr>
          <w:spacing w:val="-5"/>
        </w:rPr>
        <w:t> </w:t>
      </w:r>
      <w:r>
        <w:rPr/>
        <w:t>ventricular esquerda, antes vista</w:t>
      </w:r>
      <w:r>
        <w:rPr>
          <w:spacing w:val="-8"/>
        </w:rPr>
        <w:t> </w:t>
      </w:r>
      <w:r>
        <w:rPr/>
        <w:t>como</w:t>
      </w:r>
      <w:r>
        <w:rPr>
          <w:spacing w:val="-5"/>
        </w:rPr>
        <w:t> </w:t>
      </w:r>
      <w:r>
        <w:rPr/>
        <w:t>contraindicação, hoje</w:t>
      </w:r>
      <w:r>
        <w:rPr>
          <w:spacing w:val="-8"/>
        </w:rPr>
        <w:t> </w:t>
      </w:r>
      <w:r>
        <w:rPr/>
        <w:t>é</w:t>
      </w:r>
      <w:r>
        <w:rPr>
          <w:spacing w:val="-8"/>
        </w:rPr>
        <w:t> </w:t>
      </w:r>
      <w:r>
        <w:rPr/>
        <w:t>a</w:t>
      </w:r>
      <w:r>
        <w:rPr>
          <w:spacing w:val="-8"/>
        </w:rPr>
        <w:t> </w:t>
      </w:r>
      <w:r>
        <w:rPr/>
        <w:t>situação</w:t>
      </w:r>
      <w:r>
        <w:rPr>
          <w:spacing w:val="-5"/>
        </w:rPr>
        <w:t> </w:t>
      </w:r>
      <w:r>
        <w:rPr/>
        <w:t>com</w:t>
      </w:r>
      <w:r>
        <w:rPr>
          <w:spacing w:val="-5"/>
        </w:rPr>
        <w:t> </w:t>
      </w:r>
      <w:r>
        <w:rPr/>
        <w:t>maior benefício da utilização desses fármacos, principalmente daqueles que também levam ao bloqueio a-adrenérgico periférico, como o carvedilol.</w:t>
      </w:r>
    </w:p>
    <w:p>
      <w:pPr>
        <w:pStyle w:val="BodyText"/>
        <w:spacing w:before="72"/>
        <w:ind w:left="0" w:firstLine="0"/>
        <w:jc w:val="left"/>
      </w:pPr>
    </w:p>
    <w:p>
      <w:pPr>
        <w:pStyle w:val="BodyText"/>
        <w:spacing w:line="278" w:lineRule="auto" w:before="0"/>
        <w:ind w:right="809" w:firstLine="0"/>
        <w:jc w:val="left"/>
        <w:rPr>
          <w:rFonts w:ascii="Microsoft Sans Serif" w:hAnsi="Microsoft Sans Serif"/>
        </w:rPr>
      </w:pPr>
      <w:r>
        <w:rPr>
          <w:rFonts w:ascii="Arial" w:hAnsi="Arial"/>
          <w:b/>
          <w:color w:val="242B67"/>
        </w:rPr>
        <w:t>Tabela</w:t>
      </w:r>
      <w:r>
        <w:rPr>
          <w:rFonts w:ascii="Arial" w:hAnsi="Arial"/>
          <w:b/>
          <w:color w:val="242B67"/>
          <w:spacing w:val="-3"/>
        </w:rPr>
        <w:t> </w:t>
      </w:r>
      <w:r>
        <w:rPr>
          <w:rFonts w:ascii="Arial" w:hAnsi="Arial"/>
          <w:b/>
          <w:color w:val="242B67"/>
        </w:rPr>
        <w:t>56.8</w:t>
      </w:r>
      <w:r>
        <w:rPr>
          <w:rFonts w:ascii="Arial" w:hAnsi="Arial"/>
          <w:b/>
          <w:color w:val="242B67"/>
          <w:spacing w:val="-4"/>
        </w:rPr>
        <w:t> </w:t>
      </w:r>
      <w:r>
        <w:rPr>
          <w:rFonts w:ascii="Microsoft Sans Serif" w:hAnsi="Microsoft Sans Serif"/>
        </w:rPr>
        <w:t>Mecanismo</w:t>
      </w:r>
      <w:r>
        <w:rPr>
          <w:rFonts w:ascii="Microsoft Sans Serif" w:hAnsi="Microsoft Sans Serif"/>
          <w:spacing w:val="-1"/>
        </w:rPr>
        <w:t> </w:t>
      </w:r>
      <w:r>
        <w:rPr>
          <w:rFonts w:ascii="Microsoft Sans Serif" w:hAnsi="Microsoft Sans Serif"/>
        </w:rPr>
        <w:t>de</w:t>
      </w:r>
      <w:r>
        <w:rPr>
          <w:rFonts w:ascii="Microsoft Sans Serif" w:hAnsi="Microsoft Sans Serif"/>
          <w:spacing w:val="-1"/>
        </w:rPr>
        <w:t> </w:t>
      </w:r>
      <w:r>
        <w:rPr>
          <w:rFonts w:ascii="Microsoft Sans Serif" w:hAnsi="Microsoft Sans Serif"/>
        </w:rPr>
        <w:t>ação</w:t>
      </w:r>
      <w:r>
        <w:rPr>
          <w:rFonts w:ascii="Microsoft Sans Serif" w:hAnsi="Microsoft Sans Serif"/>
          <w:spacing w:val="-1"/>
        </w:rPr>
        <w:t> </w:t>
      </w:r>
      <w:r>
        <w:rPr>
          <w:rFonts w:ascii="Microsoft Sans Serif" w:hAnsi="Microsoft Sans Serif"/>
        </w:rPr>
        <w:t>dos</w:t>
      </w:r>
      <w:r>
        <w:rPr>
          <w:rFonts w:ascii="Microsoft Sans Serif" w:hAnsi="Microsoft Sans Serif"/>
          <w:spacing w:val="-4"/>
        </w:rPr>
        <w:t> </w:t>
      </w:r>
      <w:r>
        <w:rPr>
          <w:rFonts w:ascii="Microsoft Sans Serif" w:hAnsi="Microsoft Sans Serif"/>
        </w:rPr>
        <w:t>betabloqueadores</w:t>
      </w:r>
      <w:r>
        <w:rPr>
          <w:rFonts w:ascii="Microsoft Sans Serif" w:hAnsi="Microsoft Sans Serif"/>
          <w:spacing w:val="-4"/>
        </w:rPr>
        <w:t> </w:t>
      </w:r>
      <w:r>
        <w:rPr>
          <w:rFonts w:ascii="Microsoft Sans Serif" w:hAnsi="Microsoft Sans Serif"/>
        </w:rPr>
        <w:t>e</w:t>
      </w:r>
      <w:r>
        <w:rPr>
          <w:rFonts w:ascii="Microsoft Sans Serif" w:hAnsi="Microsoft Sans Serif"/>
          <w:spacing w:val="-1"/>
        </w:rPr>
        <w:t> </w:t>
      </w:r>
      <w:r>
        <w:rPr>
          <w:rFonts w:ascii="Microsoft Sans Serif" w:hAnsi="Microsoft Sans Serif"/>
        </w:rPr>
        <w:t>dos</w:t>
      </w:r>
      <w:r>
        <w:rPr>
          <w:rFonts w:ascii="Microsoft Sans Serif" w:hAnsi="Microsoft Sans Serif"/>
          <w:spacing w:val="-4"/>
        </w:rPr>
        <w:t> </w:t>
      </w:r>
      <w:r>
        <w:rPr>
          <w:rFonts w:ascii="Microsoft Sans Serif" w:hAnsi="Microsoft Sans Serif"/>
        </w:rPr>
        <w:t>antagonistas</w:t>
      </w:r>
      <w:r>
        <w:rPr>
          <w:rFonts w:ascii="Microsoft Sans Serif" w:hAnsi="Microsoft Sans Serif"/>
          <w:spacing w:val="-4"/>
        </w:rPr>
        <w:t> </w:t>
      </w:r>
      <w:r>
        <w:rPr>
          <w:rFonts w:ascii="Microsoft Sans Serif" w:hAnsi="Microsoft Sans Serif"/>
        </w:rPr>
        <w:t>do</w:t>
      </w:r>
      <w:r>
        <w:rPr>
          <w:rFonts w:ascii="Microsoft Sans Serif" w:hAnsi="Microsoft Sans Serif"/>
          <w:spacing w:val="-1"/>
        </w:rPr>
        <w:t> </w:t>
      </w:r>
      <w:r>
        <w:rPr>
          <w:rFonts w:ascii="Microsoft Sans Serif" w:hAnsi="Microsoft Sans Serif"/>
        </w:rPr>
        <w:t>cálcio</w:t>
      </w:r>
      <w:r>
        <w:rPr>
          <w:rFonts w:ascii="Microsoft Sans Serif" w:hAnsi="Microsoft Sans Serif"/>
          <w:spacing w:val="-1"/>
        </w:rPr>
        <w:t> </w:t>
      </w:r>
      <w:r>
        <w:rPr>
          <w:rFonts w:ascii="Microsoft Sans Serif" w:hAnsi="Microsoft Sans Serif"/>
        </w:rPr>
        <w:t>na</w:t>
      </w:r>
      <w:r>
        <w:rPr>
          <w:rFonts w:ascii="Microsoft Sans Serif" w:hAnsi="Microsoft Sans Serif"/>
          <w:spacing w:val="-1"/>
        </w:rPr>
        <w:t> </w:t>
      </w:r>
      <w:r>
        <w:rPr>
          <w:rFonts w:ascii="Microsoft Sans Serif" w:hAnsi="Microsoft Sans Serif"/>
        </w:rPr>
        <w:t>angina</w:t>
      </w:r>
      <w:r>
        <w:rPr>
          <w:rFonts w:ascii="Microsoft Sans Serif" w:hAnsi="Microsoft Sans Serif"/>
          <w:spacing w:val="-1"/>
        </w:rPr>
        <w:t> </w:t>
      </w:r>
      <w:r>
        <w:rPr>
          <w:rFonts w:ascii="Microsoft Sans Serif" w:hAnsi="Microsoft Sans Serif"/>
        </w:rPr>
        <w:t>de </w:t>
      </w:r>
      <w:r>
        <w:rPr>
          <w:rFonts w:ascii="Microsoft Sans Serif" w:hAnsi="Microsoft Sans Serif"/>
          <w:spacing w:val="-2"/>
        </w:rPr>
        <w:t>peito.</w:t>
      </w:r>
    </w:p>
    <w:p>
      <w:pPr>
        <w:pStyle w:val="BodyText"/>
        <w:spacing w:before="10"/>
        <w:ind w:left="0" w:firstLine="0"/>
        <w:jc w:val="left"/>
        <w:rPr>
          <w:rFonts w:ascii="Microsoft Sans Serif"/>
          <w:sz w:val="11"/>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516"/>
        <w:gridCol w:w="3492"/>
        <w:gridCol w:w="3612"/>
      </w:tblGrid>
      <w:tr>
        <w:trPr>
          <w:trHeight w:val="446" w:hRule="atLeast"/>
        </w:trPr>
        <w:tc>
          <w:tcPr>
            <w:tcW w:w="3516" w:type="dxa"/>
            <w:tcBorders>
              <w:top w:val="nil"/>
              <w:left w:val="nil"/>
            </w:tcBorders>
            <w:shd w:val="clear" w:color="auto" w:fill="242B67"/>
          </w:tcPr>
          <w:p>
            <w:pPr>
              <w:pStyle w:val="TableParagraph"/>
              <w:spacing w:before="108"/>
              <w:ind w:left="67"/>
              <w:rPr>
                <w:rFonts w:ascii="Arial"/>
                <w:b/>
                <w:sz w:val="21"/>
              </w:rPr>
            </w:pPr>
            <w:r>
              <w:rPr>
                <w:rFonts w:ascii="Arial"/>
                <w:b/>
                <w:color w:val="FFFFFF"/>
                <w:spacing w:val="-2"/>
                <w:w w:val="105"/>
                <w:sz w:val="21"/>
              </w:rPr>
              <w:t>Agentes</w:t>
            </w:r>
          </w:p>
        </w:tc>
        <w:tc>
          <w:tcPr>
            <w:tcW w:w="3492" w:type="dxa"/>
            <w:tcBorders>
              <w:top w:val="nil"/>
            </w:tcBorders>
            <w:shd w:val="clear" w:color="auto" w:fill="242B67"/>
          </w:tcPr>
          <w:p>
            <w:pPr>
              <w:pStyle w:val="TableParagraph"/>
              <w:spacing w:before="93"/>
              <w:rPr>
                <w:rFonts w:ascii="Arial" w:hAnsi="Arial"/>
                <w:b/>
                <w:sz w:val="21"/>
              </w:rPr>
            </w:pPr>
            <w:r>
              <w:rPr>
                <w:rFonts w:ascii="Arial" w:hAnsi="Arial"/>
                <w:b/>
                <w:color w:val="FFFFFF"/>
                <w:w w:val="105"/>
                <w:sz w:val="21"/>
              </w:rPr>
              <w:t>Redução</w:t>
            </w:r>
            <w:r>
              <w:rPr>
                <w:rFonts w:ascii="Arial" w:hAnsi="Arial"/>
                <w:b/>
                <w:color w:val="FFFFFF"/>
                <w:spacing w:val="-14"/>
                <w:w w:val="105"/>
                <w:sz w:val="21"/>
              </w:rPr>
              <w:t> </w:t>
            </w:r>
            <w:r>
              <w:rPr>
                <w:rFonts w:ascii="Arial" w:hAnsi="Arial"/>
                <w:b/>
                <w:color w:val="FFFFFF"/>
                <w:w w:val="105"/>
                <w:sz w:val="21"/>
              </w:rPr>
              <w:t>do</w:t>
            </w:r>
            <w:r>
              <w:rPr>
                <w:rFonts w:ascii="Arial" w:hAnsi="Arial"/>
                <w:b/>
                <w:color w:val="FFFFFF"/>
                <w:spacing w:val="-14"/>
                <w:w w:val="105"/>
                <w:sz w:val="21"/>
              </w:rPr>
              <w:t> </w:t>
            </w:r>
            <w:r>
              <w:rPr>
                <w:rFonts w:ascii="Arial" w:hAnsi="Arial"/>
                <w:b/>
                <w:color w:val="FFFFFF"/>
                <w:w w:val="105"/>
                <w:sz w:val="21"/>
              </w:rPr>
              <w:t>consumo</w:t>
            </w:r>
            <w:r>
              <w:rPr>
                <w:rFonts w:ascii="Arial" w:hAnsi="Arial"/>
                <w:b/>
                <w:color w:val="FFFFFF"/>
                <w:spacing w:val="-14"/>
                <w:w w:val="105"/>
                <w:sz w:val="21"/>
              </w:rPr>
              <w:t> </w:t>
            </w:r>
            <w:r>
              <w:rPr>
                <w:rFonts w:ascii="Arial" w:hAnsi="Arial"/>
                <w:b/>
                <w:color w:val="FFFFFF"/>
                <w:w w:val="105"/>
                <w:sz w:val="21"/>
              </w:rPr>
              <w:t>de</w:t>
            </w:r>
            <w:r>
              <w:rPr>
                <w:rFonts w:ascii="Arial" w:hAnsi="Arial"/>
                <w:b/>
                <w:color w:val="FFFFFF"/>
                <w:spacing w:val="-5"/>
                <w:w w:val="105"/>
                <w:sz w:val="21"/>
              </w:rPr>
              <w:t> O</w:t>
            </w:r>
            <w:r>
              <w:rPr>
                <w:rFonts w:ascii="Arial" w:hAnsi="Arial"/>
                <w:b/>
                <w:color w:val="FFFFFF"/>
                <w:spacing w:val="-5"/>
                <w:w w:val="105"/>
                <w:sz w:val="21"/>
                <w:vertAlign w:val="subscript"/>
              </w:rPr>
              <w:t>2</w:t>
            </w:r>
          </w:p>
        </w:tc>
        <w:tc>
          <w:tcPr>
            <w:tcW w:w="3612" w:type="dxa"/>
            <w:tcBorders>
              <w:top w:val="nil"/>
              <w:right w:val="nil"/>
            </w:tcBorders>
            <w:shd w:val="clear" w:color="auto" w:fill="242B67"/>
          </w:tcPr>
          <w:p>
            <w:pPr>
              <w:pStyle w:val="TableParagraph"/>
              <w:spacing w:before="108"/>
              <w:ind w:left="64"/>
              <w:rPr>
                <w:rFonts w:ascii="Arial" w:hAnsi="Arial"/>
                <w:b/>
                <w:sz w:val="21"/>
              </w:rPr>
            </w:pPr>
            <w:r>
              <w:rPr>
                <w:rFonts w:ascii="Arial" w:hAnsi="Arial"/>
                <w:b/>
                <w:color w:val="FFFFFF"/>
                <w:w w:val="105"/>
                <w:sz w:val="21"/>
              </w:rPr>
              <w:t>Aumento</w:t>
            </w:r>
            <w:r>
              <w:rPr>
                <w:rFonts w:ascii="Arial" w:hAnsi="Arial"/>
                <w:b/>
                <w:color w:val="FFFFFF"/>
                <w:spacing w:val="-11"/>
                <w:w w:val="105"/>
                <w:sz w:val="21"/>
              </w:rPr>
              <w:t> </w:t>
            </w:r>
            <w:r>
              <w:rPr>
                <w:rFonts w:ascii="Arial" w:hAnsi="Arial"/>
                <w:b/>
                <w:color w:val="FFFFFF"/>
                <w:w w:val="105"/>
                <w:sz w:val="21"/>
              </w:rPr>
              <w:t>do</w:t>
            </w:r>
            <w:r>
              <w:rPr>
                <w:rFonts w:ascii="Arial" w:hAnsi="Arial"/>
                <w:b/>
                <w:color w:val="FFFFFF"/>
                <w:spacing w:val="-10"/>
                <w:w w:val="105"/>
                <w:sz w:val="21"/>
              </w:rPr>
              <w:t> </w:t>
            </w:r>
            <w:r>
              <w:rPr>
                <w:rFonts w:ascii="Arial" w:hAnsi="Arial"/>
                <w:b/>
                <w:color w:val="FFFFFF"/>
                <w:w w:val="105"/>
                <w:sz w:val="21"/>
              </w:rPr>
              <w:t>fluxo</w:t>
            </w:r>
            <w:r>
              <w:rPr>
                <w:rFonts w:ascii="Arial" w:hAnsi="Arial"/>
                <w:b/>
                <w:color w:val="FFFFFF"/>
                <w:spacing w:val="-11"/>
                <w:w w:val="105"/>
                <w:sz w:val="21"/>
              </w:rPr>
              <w:t> </w:t>
            </w:r>
            <w:r>
              <w:rPr>
                <w:rFonts w:ascii="Arial" w:hAnsi="Arial"/>
                <w:b/>
                <w:color w:val="FFFFFF"/>
                <w:spacing w:val="-2"/>
                <w:w w:val="105"/>
                <w:sz w:val="21"/>
              </w:rPr>
              <w:t>coronário</w:t>
            </w:r>
          </w:p>
        </w:tc>
      </w:tr>
      <w:tr>
        <w:trPr>
          <w:trHeight w:val="732" w:hRule="atLeast"/>
        </w:trPr>
        <w:tc>
          <w:tcPr>
            <w:tcW w:w="3516" w:type="dxa"/>
            <w:vMerge w:val="restart"/>
            <w:tcBorders>
              <w:left w:val="nil"/>
            </w:tcBorders>
            <w:shd w:val="clear" w:color="auto" w:fill="EDECF3"/>
          </w:tcPr>
          <w:p>
            <w:pPr>
              <w:pStyle w:val="TableParagraph"/>
              <w:spacing w:before="93"/>
              <w:ind w:left="67"/>
              <w:rPr>
                <w:sz w:val="21"/>
              </w:rPr>
            </w:pPr>
            <w:r>
              <w:rPr>
                <w:spacing w:val="-2"/>
                <w:w w:val="105"/>
                <w:sz w:val="21"/>
              </w:rPr>
              <w:t>Betabloqueadores</w:t>
            </w:r>
          </w:p>
        </w:tc>
        <w:tc>
          <w:tcPr>
            <w:tcW w:w="3492" w:type="dxa"/>
            <w:shd w:val="clear" w:color="auto" w:fill="EDECF3"/>
          </w:tcPr>
          <w:p>
            <w:pPr>
              <w:pStyle w:val="TableParagraph"/>
              <w:spacing w:line="307" w:lineRule="auto" w:before="93"/>
              <w:rPr>
                <w:sz w:val="21"/>
              </w:rPr>
            </w:pPr>
            <w:r>
              <w:rPr>
                <w:w w:val="105"/>
                <w:sz w:val="21"/>
              </w:rPr>
              <w:t>Reduz frequência cardíaca, contratilidade, pressão arterial</w:t>
            </w:r>
          </w:p>
        </w:tc>
        <w:tc>
          <w:tcPr>
            <w:tcW w:w="3612" w:type="dxa"/>
            <w:tcBorders>
              <w:right w:val="nil"/>
            </w:tcBorders>
            <w:shd w:val="clear" w:color="auto" w:fill="EDECF3"/>
          </w:tcPr>
          <w:p>
            <w:pPr>
              <w:pStyle w:val="TableParagraph"/>
              <w:spacing w:line="307" w:lineRule="auto" w:before="93"/>
              <w:ind w:left="64"/>
              <w:rPr>
                <w:sz w:val="21"/>
              </w:rPr>
            </w:pPr>
            <w:r>
              <w:rPr>
                <w:w w:val="105"/>
                <w:sz w:val="21"/>
              </w:rPr>
              <w:t>Aumenta período diastólico/tempo de perfusão coronariana</w:t>
            </w:r>
          </w:p>
        </w:tc>
      </w:tr>
      <w:tr>
        <w:trPr>
          <w:trHeight w:val="732" w:hRule="atLeast"/>
        </w:trPr>
        <w:tc>
          <w:tcPr>
            <w:tcW w:w="3516" w:type="dxa"/>
            <w:vMerge/>
            <w:tcBorders>
              <w:top w:val="nil"/>
              <w:left w:val="nil"/>
            </w:tcBorders>
            <w:shd w:val="clear" w:color="auto" w:fill="EDECF3"/>
          </w:tcPr>
          <w:p>
            <w:pPr>
              <w:rPr>
                <w:sz w:val="2"/>
                <w:szCs w:val="2"/>
              </w:rPr>
            </w:pPr>
          </w:p>
        </w:tc>
        <w:tc>
          <w:tcPr>
            <w:tcW w:w="3492" w:type="dxa"/>
            <w:shd w:val="clear" w:color="auto" w:fill="EDECF3"/>
          </w:tcPr>
          <w:p>
            <w:pPr>
              <w:pStyle w:val="TableParagraph"/>
              <w:spacing w:line="307" w:lineRule="auto" w:before="93"/>
              <w:ind w:right="248"/>
              <w:rPr>
                <w:sz w:val="21"/>
              </w:rPr>
            </w:pPr>
            <w:r>
              <w:rPr>
                <w:w w:val="105"/>
                <w:sz w:val="21"/>
              </w:rPr>
              <w:t>Reduz liberação de </w:t>
            </w:r>
            <w:r>
              <w:rPr>
                <w:w w:val="105"/>
                <w:sz w:val="21"/>
              </w:rPr>
              <w:t>ácidos graxos durante exercício</w:t>
            </w:r>
          </w:p>
        </w:tc>
        <w:tc>
          <w:tcPr>
            <w:tcW w:w="3612" w:type="dxa"/>
            <w:tcBorders>
              <w:right w:val="nil"/>
            </w:tcBorders>
            <w:shd w:val="clear" w:color="auto" w:fill="EDECF3"/>
          </w:tcPr>
          <w:p>
            <w:pPr>
              <w:pStyle w:val="TableParagraph"/>
              <w:spacing w:line="307" w:lineRule="auto" w:before="93"/>
              <w:ind w:left="64" w:right="128"/>
              <w:rPr>
                <w:sz w:val="21"/>
              </w:rPr>
            </w:pPr>
            <w:r>
              <w:rPr>
                <w:w w:val="105"/>
                <w:sz w:val="21"/>
              </w:rPr>
              <w:t>Reduz constrição </w:t>
            </w:r>
            <w:r>
              <w:rPr>
                <w:w w:val="105"/>
                <w:sz w:val="21"/>
              </w:rPr>
              <w:t>coronária durante exercício</w:t>
            </w:r>
          </w:p>
        </w:tc>
      </w:tr>
      <w:tr>
        <w:trPr>
          <w:trHeight w:val="732" w:hRule="atLeast"/>
        </w:trPr>
        <w:tc>
          <w:tcPr>
            <w:tcW w:w="3516" w:type="dxa"/>
            <w:vMerge w:val="restart"/>
            <w:tcBorders>
              <w:left w:val="nil"/>
              <w:bottom w:val="nil"/>
            </w:tcBorders>
            <w:shd w:val="clear" w:color="auto" w:fill="EDECF3"/>
          </w:tcPr>
          <w:p>
            <w:pPr>
              <w:pStyle w:val="TableParagraph"/>
              <w:spacing w:before="93"/>
              <w:ind w:left="67"/>
              <w:rPr>
                <w:sz w:val="21"/>
              </w:rPr>
            </w:pPr>
            <w:r>
              <w:rPr>
                <w:w w:val="105"/>
                <w:sz w:val="21"/>
              </w:rPr>
              <w:t>Antagonistas</w:t>
            </w:r>
            <w:r>
              <w:rPr>
                <w:spacing w:val="20"/>
                <w:w w:val="105"/>
                <w:sz w:val="21"/>
              </w:rPr>
              <w:t> </w:t>
            </w:r>
            <w:r>
              <w:rPr>
                <w:w w:val="105"/>
                <w:sz w:val="21"/>
              </w:rPr>
              <w:t>do</w:t>
            </w:r>
            <w:r>
              <w:rPr>
                <w:spacing w:val="25"/>
                <w:w w:val="105"/>
                <w:sz w:val="21"/>
              </w:rPr>
              <w:t> </w:t>
            </w:r>
            <w:r>
              <w:rPr>
                <w:spacing w:val="-2"/>
                <w:w w:val="105"/>
                <w:sz w:val="21"/>
              </w:rPr>
              <w:t>cálcio</w:t>
            </w:r>
          </w:p>
        </w:tc>
        <w:tc>
          <w:tcPr>
            <w:tcW w:w="3492" w:type="dxa"/>
            <w:shd w:val="clear" w:color="auto" w:fill="EDECF3"/>
          </w:tcPr>
          <w:p>
            <w:pPr>
              <w:pStyle w:val="TableParagraph"/>
              <w:spacing w:line="307" w:lineRule="auto" w:before="93"/>
              <w:ind w:right="112"/>
              <w:rPr>
                <w:sz w:val="21"/>
              </w:rPr>
            </w:pPr>
            <w:r>
              <w:rPr>
                <w:w w:val="105"/>
                <w:sz w:val="21"/>
              </w:rPr>
              <w:t>Dilatação arterial reduzindo pós-</w:t>
            </w:r>
            <w:r>
              <w:rPr>
                <w:spacing w:val="-4"/>
                <w:w w:val="105"/>
                <w:sz w:val="21"/>
              </w:rPr>
              <w:t>carga</w:t>
            </w:r>
          </w:p>
        </w:tc>
        <w:tc>
          <w:tcPr>
            <w:tcW w:w="3612" w:type="dxa"/>
            <w:tcBorders>
              <w:right w:val="nil"/>
            </w:tcBorders>
            <w:shd w:val="clear" w:color="auto" w:fill="EDECF3"/>
          </w:tcPr>
          <w:p>
            <w:pPr>
              <w:pStyle w:val="TableParagraph"/>
              <w:spacing w:before="93"/>
              <w:ind w:left="64"/>
              <w:rPr>
                <w:sz w:val="21"/>
              </w:rPr>
            </w:pPr>
            <w:r>
              <w:rPr>
                <w:spacing w:val="2"/>
                <w:sz w:val="21"/>
              </w:rPr>
              <w:t>Vasodilatação</w:t>
            </w:r>
            <w:r>
              <w:rPr>
                <w:spacing w:val="73"/>
                <w:sz w:val="21"/>
              </w:rPr>
              <w:t> </w:t>
            </w:r>
            <w:r>
              <w:rPr>
                <w:spacing w:val="-2"/>
                <w:sz w:val="21"/>
              </w:rPr>
              <w:t>coronária</w:t>
            </w:r>
          </w:p>
        </w:tc>
      </w:tr>
      <w:tr>
        <w:trPr>
          <w:trHeight w:val="732" w:hRule="atLeast"/>
        </w:trPr>
        <w:tc>
          <w:tcPr>
            <w:tcW w:w="3516" w:type="dxa"/>
            <w:vMerge/>
            <w:tcBorders>
              <w:top w:val="nil"/>
              <w:left w:val="nil"/>
              <w:bottom w:val="nil"/>
            </w:tcBorders>
            <w:shd w:val="clear" w:color="auto" w:fill="EDECF3"/>
          </w:tcPr>
          <w:p>
            <w:pPr>
              <w:rPr>
                <w:sz w:val="2"/>
                <w:szCs w:val="2"/>
              </w:rPr>
            </w:pPr>
          </w:p>
        </w:tc>
        <w:tc>
          <w:tcPr>
            <w:tcW w:w="3492" w:type="dxa"/>
            <w:shd w:val="clear" w:color="auto" w:fill="EDECF3"/>
          </w:tcPr>
          <w:p>
            <w:pPr>
              <w:pStyle w:val="TableParagraph"/>
              <w:spacing w:line="307" w:lineRule="auto" w:before="93"/>
              <w:rPr>
                <w:sz w:val="21"/>
              </w:rPr>
            </w:pPr>
            <w:r>
              <w:rPr>
                <w:w w:val="105"/>
                <w:sz w:val="21"/>
              </w:rPr>
              <w:t>Redução da pressão </w:t>
            </w:r>
            <w:r>
              <w:rPr>
                <w:w w:val="105"/>
                <w:sz w:val="21"/>
              </w:rPr>
              <w:t>arterial reduzindo pós-carga</w:t>
            </w:r>
          </w:p>
        </w:tc>
        <w:tc>
          <w:tcPr>
            <w:tcW w:w="3612" w:type="dxa"/>
            <w:tcBorders>
              <w:right w:val="nil"/>
            </w:tcBorders>
            <w:shd w:val="clear" w:color="auto" w:fill="EDECF3"/>
          </w:tcPr>
          <w:p>
            <w:pPr>
              <w:pStyle w:val="TableParagraph"/>
              <w:spacing w:before="93"/>
              <w:ind w:left="64"/>
              <w:rPr>
                <w:sz w:val="21"/>
              </w:rPr>
            </w:pPr>
            <w:r>
              <w:rPr>
                <w:w w:val="105"/>
                <w:sz w:val="21"/>
              </w:rPr>
              <w:t>Prevenção</w:t>
            </w:r>
            <w:r>
              <w:rPr>
                <w:spacing w:val="23"/>
                <w:w w:val="105"/>
                <w:sz w:val="21"/>
              </w:rPr>
              <w:t> </w:t>
            </w:r>
            <w:r>
              <w:rPr>
                <w:w w:val="105"/>
                <w:sz w:val="21"/>
              </w:rPr>
              <w:t>espasmo</w:t>
            </w:r>
            <w:r>
              <w:rPr>
                <w:spacing w:val="24"/>
                <w:w w:val="105"/>
                <w:sz w:val="21"/>
              </w:rPr>
              <w:t> </w:t>
            </w:r>
            <w:r>
              <w:rPr>
                <w:spacing w:val="-2"/>
                <w:w w:val="105"/>
                <w:sz w:val="21"/>
              </w:rPr>
              <w:t>coronário</w:t>
            </w:r>
          </w:p>
        </w:tc>
      </w:tr>
      <w:tr>
        <w:trPr>
          <w:trHeight w:val="428" w:hRule="atLeast"/>
        </w:trPr>
        <w:tc>
          <w:tcPr>
            <w:tcW w:w="3516" w:type="dxa"/>
            <w:vMerge/>
            <w:tcBorders>
              <w:top w:val="nil"/>
              <w:left w:val="nil"/>
              <w:bottom w:val="nil"/>
            </w:tcBorders>
            <w:shd w:val="clear" w:color="auto" w:fill="EDECF3"/>
          </w:tcPr>
          <w:p>
            <w:pPr>
              <w:rPr>
                <w:sz w:val="2"/>
                <w:szCs w:val="2"/>
              </w:rPr>
            </w:pPr>
          </w:p>
        </w:tc>
        <w:tc>
          <w:tcPr>
            <w:tcW w:w="3492" w:type="dxa"/>
            <w:shd w:val="clear" w:color="auto" w:fill="EDECF3"/>
          </w:tcPr>
          <w:p>
            <w:pPr>
              <w:pStyle w:val="TableParagraph"/>
              <w:spacing w:before="93"/>
              <w:rPr>
                <w:sz w:val="21"/>
              </w:rPr>
            </w:pPr>
            <w:r>
              <w:rPr>
                <w:w w:val="105"/>
                <w:sz w:val="21"/>
              </w:rPr>
              <w:t>Redução</w:t>
            </w:r>
            <w:r>
              <w:rPr>
                <w:spacing w:val="28"/>
                <w:w w:val="105"/>
                <w:sz w:val="21"/>
              </w:rPr>
              <w:t> </w:t>
            </w:r>
            <w:r>
              <w:rPr>
                <w:spacing w:val="-2"/>
                <w:w w:val="105"/>
                <w:sz w:val="21"/>
              </w:rPr>
              <w:t>contratilidade*</w:t>
            </w:r>
          </w:p>
        </w:tc>
        <w:tc>
          <w:tcPr>
            <w:tcW w:w="3612" w:type="dxa"/>
            <w:tcBorders>
              <w:right w:val="nil"/>
            </w:tcBorders>
            <w:shd w:val="clear" w:color="auto" w:fill="EDECF3"/>
          </w:tcPr>
          <w:p>
            <w:pPr>
              <w:pStyle w:val="TableParagraph"/>
              <w:spacing w:before="93"/>
              <w:rPr>
                <w:sz w:val="21"/>
              </w:rPr>
            </w:pPr>
            <w:r>
              <w:rPr>
                <w:w w:val="195"/>
                <w:sz w:val="21"/>
              </w:rPr>
              <w:t>–</w:t>
            </w:r>
          </w:p>
        </w:tc>
      </w:tr>
      <w:tr>
        <w:trPr>
          <w:trHeight w:val="734" w:hRule="atLeast"/>
        </w:trPr>
        <w:tc>
          <w:tcPr>
            <w:tcW w:w="3516" w:type="dxa"/>
            <w:vMerge/>
            <w:tcBorders>
              <w:top w:val="nil"/>
              <w:left w:val="nil"/>
              <w:bottom w:val="nil"/>
            </w:tcBorders>
            <w:shd w:val="clear" w:color="auto" w:fill="EDECF3"/>
          </w:tcPr>
          <w:p>
            <w:pPr>
              <w:rPr>
                <w:sz w:val="2"/>
                <w:szCs w:val="2"/>
              </w:rPr>
            </w:pPr>
          </w:p>
        </w:tc>
        <w:tc>
          <w:tcPr>
            <w:tcW w:w="3492" w:type="dxa"/>
            <w:tcBorders>
              <w:bottom w:val="nil"/>
            </w:tcBorders>
            <w:shd w:val="clear" w:color="auto" w:fill="EDECF3"/>
          </w:tcPr>
          <w:p>
            <w:pPr>
              <w:pStyle w:val="TableParagraph"/>
              <w:spacing w:line="307" w:lineRule="auto" w:before="93"/>
              <w:ind w:right="248"/>
              <w:rPr>
                <w:sz w:val="21"/>
              </w:rPr>
            </w:pPr>
            <w:r>
              <w:rPr>
                <w:w w:val="105"/>
                <w:sz w:val="21"/>
              </w:rPr>
              <w:t>Redução da </w:t>
            </w:r>
            <w:r>
              <w:rPr>
                <w:w w:val="105"/>
                <w:sz w:val="21"/>
              </w:rPr>
              <w:t>frequência </w:t>
            </w:r>
            <w:r>
              <w:rPr>
                <w:spacing w:val="-2"/>
                <w:w w:val="105"/>
                <w:sz w:val="21"/>
              </w:rPr>
              <w:t>cardíaca*</w:t>
            </w:r>
          </w:p>
        </w:tc>
        <w:tc>
          <w:tcPr>
            <w:tcW w:w="3612" w:type="dxa"/>
            <w:tcBorders>
              <w:bottom w:val="nil"/>
              <w:right w:val="nil"/>
            </w:tcBorders>
            <w:shd w:val="clear" w:color="auto" w:fill="EDECF3"/>
          </w:tcPr>
          <w:p>
            <w:pPr>
              <w:pStyle w:val="TableParagraph"/>
              <w:spacing w:before="93"/>
              <w:ind w:left="64"/>
              <w:rPr>
                <w:sz w:val="21"/>
              </w:rPr>
            </w:pPr>
            <w:r>
              <w:rPr>
                <w:w w:val="195"/>
                <w:sz w:val="21"/>
              </w:rPr>
              <w:t>–</w:t>
            </w:r>
          </w:p>
        </w:tc>
      </w:tr>
    </w:tbl>
    <w:p>
      <w:pPr>
        <w:spacing w:before="166"/>
        <w:ind w:left="68" w:right="0" w:firstLine="0"/>
        <w:jc w:val="left"/>
        <w:rPr>
          <w:rFonts w:ascii="Microsoft Sans Serif" w:hAnsi="Microsoft Sans Serif"/>
          <w:sz w:val="19"/>
        </w:rPr>
      </w:pPr>
      <w:r>
        <w:rPr>
          <w:rFonts w:ascii="Microsoft Sans Serif" w:hAnsi="Microsoft Sans Serif"/>
          <w:sz w:val="19"/>
        </w:rPr>
        <w:t>*Ações</w:t>
      </w:r>
      <w:r>
        <w:rPr>
          <w:rFonts w:ascii="Microsoft Sans Serif" w:hAnsi="Microsoft Sans Serif"/>
          <w:spacing w:val="12"/>
          <w:sz w:val="19"/>
        </w:rPr>
        <w:t> </w:t>
      </w:r>
      <w:r>
        <w:rPr>
          <w:rFonts w:ascii="Microsoft Sans Serif" w:hAnsi="Microsoft Sans Serif"/>
          <w:sz w:val="19"/>
        </w:rPr>
        <w:t>do</w:t>
      </w:r>
      <w:r>
        <w:rPr>
          <w:rFonts w:ascii="Microsoft Sans Serif" w:hAnsi="Microsoft Sans Serif"/>
          <w:spacing w:val="21"/>
          <w:sz w:val="19"/>
        </w:rPr>
        <w:t> </w:t>
      </w:r>
      <w:r>
        <w:rPr>
          <w:rFonts w:ascii="Microsoft Sans Serif" w:hAnsi="Microsoft Sans Serif"/>
          <w:sz w:val="19"/>
        </w:rPr>
        <w:t>verapamil</w:t>
      </w:r>
      <w:r>
        <w:rPr>
          <w:rFonts w:ascii="Microsoft Sans Serif" w:hAnsi="Microsoft Sans Serif"/>
          <w:spacing w:val="21"/>
          <w:sz w:val="19"/>
        </w:rPr>
        <w:t> </w:t>
      </w:r>
      <w:r>
        <w:rPr>
          <w:rFonts w:ascii="Microsoft Sans Serif" w:hAnsi="Microsoft Sans Serif"/>
          <w:sz w:val="19"/>
        </w:rPr>
        <w:t>e</w:t>
      </w:r>
      <w:r>
        <w:rPr>
          <w:rFonts w:ascii="Microsoft Sans Serif" w:hAnsi="Microsoft Sans Serif"/>
          <w:spacing w:val="21"/>
          <w:sz w:val="19"/>
        </w:rPr>
        <w:t> </w:t>
      </w:r>
      <w:r>
        <w:rPr>
          <w:rFonts w:ascii="Microsoft Sans Serif" w:hAnsi="Microsoft Sans Serif"/>
          <w:sz w:val="19"/>
        </w:rPr>
        <w:t>diltiazem.</w:t>
      </w:r>
      <w:r>
        <w:rPr>
          <w:rFonts w:ascii="Microsoft Sans Serif" w:hAnsi="Microsoft Sans Serif"/>
          <w:spacing w:val="8"/>
          <w:sz w:val="19"/>
        </w:rPr>
        <w:t> </w:t>
      </w:r>
      <w:r>
        <w:rPr>
          <w:rFonts w:ascii="Microsoft Sans Serif" w:hAnsi="Microsoft Sans Serif"/>
          <w:sz w:val="19"/>
        </w:rPr>
        <w:t>(Adaptada</w:t>
      </w:r>
      <w:r>
        <w:rPr>
          <w:rFonts w:ascii="Microsoft Sans Serif" w:hAnsi="Microsoft Sans Serif"/>
          <w:spacing w:val="21"/>
          <w:sz w:val="19"/>
        </w:rPr>
        <w:t> </w:t>
      </w:r>
      <w:r>
        <w:rPr>
          <w:rFonts w:ascii="Microsoft Sans Serif" w:hAnsi="Microsoft Sans Serif"/>
          <w:sz w:val="19"/>
        </w:rPr>
        <w:t>deThadani</w:t>
      </w:r>
      <w:r>
        <w:rPr>
          <w:rFonts w:ascii="Microsoft Sans Serif" w:hAnsi="Microsoft Sans Serif"/>
          <w:spacing w:val="21"/>
          <w:sz w:val="19"/>
        </w:rPr>
        <w:t> </w:t>
      </w:r>
      <w:r>
        <w:rPr>
          <w:rFonts w:ascii="Microsoft Sans Serif" w:hAnsi="Microsoft Sans Serif"/>
          <w:sz w:val="19"/>
        </w:rPr>
        <w:t>U.</w:t>
      </w:r>
      <w:r>
        <w:rPr>
          <w:rFonts w:ascii="Microsoft Sans Serif" w:hAnsi="Microsoft Sans Serif"/>
          <w:spacing w:val="7"/>
          <w:sz w:val="19"/>
        </w:rPr>
        <w:t> </w:t>
      </w:r>
      <w:r>
        <w:rPr>
          <w:rFonts w:ascii="Microsoft Sans Serif" w:hAnsi="Microsoft Sans Serif"/>
          <w:sz w:val="19"/>
        </w:rPr>
        <w:t>Am</w:t>
      </w:r>
      <w:r>
        <w:rPr>
          <w:rFonts w:ascii="Microsoft Sans Serif" w:hAnsi="Microsoft Sans Serif"/>
          <w:spacing w:val="15"/>
          <w:sz w:val="19"/>
        </w:rPr>
        <w:t> </w:t>
      </w:r>
      <w:r>
        <w:rPr>
          <w:rFonts w:ascii="Microsoft Sans Serif" w:hAnsi="Microsoft Sans Serif"/>
          <w:sz w:val="19"/>
        </w:rPr>
        <w:t>J</w:t>
      </w:r>
      <w:r>
        <w:rPr>
          <w:rFonts w:ascii="Microsoft Sans Serif" w:hAnsi="Microsoft Sans Serif"/>
          <w:spacing w:val="14"/>
          <w:sz w:val="19"/>
        </w:rPr>
        <w:t> </w:t>
      </w:r>
      <w:r>
        <w:rPr>
          <w:rFonts w:ascii="Microsoft Sans Serif" w:hAnsi="Microsoft Sans Serif"/>
          <w:sz w:val="19"/>
        </w:rPr>
        <w:t>Cardiol.</w:t>
      </w:r>
      <w:r>
        <w:rPr>
          <w:rFonts w:ascii="Microsoft Sans Serif" w:hAnsi="Microsoft Sans Serif"/>
          <w:spacing w:val="7"/>
          <w:sz w:val="19"/>
        </w:rPr>
        <w:t> </w:t>
      </w:r>
      <w:r>
        <w:rPr>
          <w:rFonts w:ascii="Microsoft Sans Serif" w:hAnsi="Microsoft Sans Serif"/>
          <w:sz w:val="19"/>
        </w:rPr>
        <w:t>1997;</w:t>
      </w:r>
      <w:r>
        <w:rPr>
          <w:rFonts w:ascii="Microsoft Sans Serif" w:hAnsi="Microsoft Sans Serif"/>
          <w:spacing w:val="8"/>
          <w:sz w:val="19"/>
        </w:rPr>
        <w:t> </w:t>
      </w:r>
      <w:r>
        <w:rPr>
          <w:rFonts w:ascii="Microsoft Sans Serif" w:hAnsi="Microsoft Sans Serif"/>
          <w:sz w:val="19"/>
        </w:rPr>
        <w:t>79</w:t>
      </w:r>
      <w:r>
        <w:rPr>
          <w:rFonts w:ascii="Microsoft Sans Serif" w:hAnsi="Microsoft Sans Serif"/>
          <w:spacing w:val="21"/>
          <w:sz w:val="19"/>
        </w:rPr>
        <w:t> </w:t>
      </w:r>
      <w:r>
        <w:rPr>
          <w:rFonts w:ascii="Microsoft Sans Serif" w:hAnsi="Microsoft Sans Serif"/>
          <w:sz w:val="19"/>
        </w:rPr>
        <w:t>[12B]:</w:t>
      </w:r>
      <w:r>
        <w:rPr>
          <w:rFonts w:ascii="Microsoft Sans Serif" w:hAnsi="Microsoft Sans Serif"/>
          <w:spacing w:val="8"/>
          <w:sz w:val="19"/>
        </w:rPr>
        <w:t> </w:t>
      </w:r>
      <w:r>
        <w:rPr>
          <w:rFonts w:ascii="Microsoft Sans Serif" w:hAnsi="Microsoft Sans Serif"/>
          <w:sz w:val="19"/>
        </w:rPr>
        <w:t>24-</w:t>
      </w:r>
      <w:r>
        <w:rPr>
          <w:rFonts w:ascii="Microsoft Sans Serif" w:hAnsi="Microsoft Sans Serif"/>
          <w:spacing w:val="-4"/>
          <w:sz w:val="19"/>
        </w:rPr>
        <w:t>30.)</w:t>
      </w:r>
    </w:p>
    <w:p>
      <w:pPr>
        <w:spacing w:after="0"/>
        <w:jc w:val="left"/>
        <w:rPr>
          <w:rFonts w:ascii="Microsoft Sans Serif" w:hAnsi="Microsoft Sans Serif"/>
          <w:sz w:val="19"/>
        </w:rPr>
        <w:sectPr>
          <w:pgSz w:w="11900" w:h="16840"/>
          <w:pgMar w:top="260" w:bottom="280" w:left="566" w:right="141"/>
        </w:sectPr>
      </w:pPr>
    </w:p>
    <w:p>
      <w:pPr>
        <w:pStyle w:val="Heading9"/>
        <w:spacing w:before="71"/>
      </w:pPr>
      <w:r>
        <w:rPr>
          <w:color w:val="A26108"/>
        </w:rPr>
        <w:t>Bloqueadores</w:t>
      </w:r>
      <w:r>
        <w:rPr>
          <w:color w:val="A26108"/>
          <w:spacing w:val="15"/>
        </w:rPr>
        <w:t> </w:t>
      </w:r>
      <w:r>
        <w:rPr>
          <w:color w:val="A26108"/>
        </w:rPr>
        <w:t>de</w:t>
      </w:r>
      <w:r>
        <w:rPr>
          <w:color w:val="A26108"/>
          <w:spacing w:val="15"/>
        </w:rPr>
        <w:t> </w:t>
      </w:r>
      <w:r>
        <w:rPr>
          <w:color w:val="A26108"/>
        </w:rPr>
        <w:t>canal</w:t>
      </w:r>
      <w:r>
        <w:rPr>
          <w:color w:val="A26108"/>
          <w:spacing w:val="16"/>
        </w:rPr>
        <w:t> </w:t>
      </w:r>
      <w:r>
        <w:rPr>
          <w:color w:val="A26108"/>
        </w:rPr>
        <w:t>de</w:t>
      </w:r>
      <w:r>
        <w:rPr>
          <w:color w:val="A26108"/>
          <w:spacing w:val="15"/>
        </w:rPr>
        <w:t> </w:t>
      </w:r>
      <w:r>
        <w:rPr>
          <w:color w:val="A26108"/>
          <w:spacing w:val="-2"/>
        </w:rPr>
        <w:t>cálcio</w:t>
      </w:r>
    </w:p>
    <w:p>
      <w:pPr>
        <w:pStyle w:val="BodyText"/>
        <w:spacing w:line="276" w:lineRule="auto" w:before="117"/>
        <w:ind w:right="488"/>
      </w:pPr>
      <w:r>
        <w:rPr/>
        <w:t>Diferentemente</w:t>
      </w:r>
      <w:r>
        <w:rPr>
          <w:spacing w:val="-4"/>
        </w:rPr>
        <w:t> </w:t>
      </w:r>
      <w:r>
        <w:rPr/>
        <w:t>dos betabloqueadores, os bloqueadores de</w:t>
      </w:r>
      <w:r>
        <w:rPr>
          <w:spacing w:val="-4"/>
        </w:rPr>
        <w:t> </w:t>
      </w:r>
      <w:r>
        <w:rPr/>
        <w:t>canal de</w:t>
      </w:r>
      <w:r>
        <w:rPr>
          <w:spacing w:val="-4"/>
        </w:rPr>
        <w:t> </w:t>
      </w:r>
      <w:r>
        <w:rPr/>
        <w:t>cálcio</w:t>
      </w:r>
      <w:r>
        <w:rPr>
          <w:spacing w:val="-2"/>
        </w:rPr>
        <w:t> </w:t>
      </w:r>
      <w:r>
        <w:rPr/>
        <w:t>constituem</w:t>
      </w:r>
      <w:r>
        <w:rPr>
          <w:spacing w:val="-2"/>
        </w:rPr>
        <w:t> </w:t>
      </w:r>
      <w:r>
        <w:rPr/>
        <w:t>um</w:t>
      </w:r>
      <w:r>
        <w:rPr>
          <w:spacing w:val="-2"/>
        </w:rPr>
        <w:t> </w:t>
      </w:r>
      <w:r>
        <w:rPr/>
        <w:t>grupo</w:t>
      </w:r>
      <w:r>
        <w:rPr>
          <w:spacing w:val="-2"/>
        </w:rPr>
        <w:t> </w:t>
      </w:r>
      <w:r>
        <w:rPr/>
        <w:t>heterogêneo</w:t>
      </w:r>
      <w:r>
        <w:rPr>
          <w:spacing w:val="-2"/>
        </w:rPr>
        <w:t> </w:t>
      </w:r>
      <w:r>
        <w:rPr/>
        <w:t>de fármacos. Podem ser divididos em seletivos e não seletivos para o miocárdio e classificados em 3 classes: di-hidropiridínicos, benzotiazepinos (diltiazem) e fenilalquilaminas (verapamil).</w:t>
      </w:r>
    </w:p>
    <w:p>
      <w:pPr>
        <w:pStyle w:val="BodyText"/>
        <w:spacing w:line="278" w:lineRule="auto" w:before="48"/>
        <w:ind w:right="488"/>
      </w:pPr>
      <w:r>
        <w:rPr/>
        <w:t>Atuam diminuindo o consumo e aumentando a oferta de O</w:t>
      </w:r>
      <w:r>
        <w:rPr>
          <w:vertAlign w:val="subscript"/>
        </w:rPr>
        <w:t>2</w:t>
      </w:r>
      <w:r>
        <w:rPr>
          <w:vertAlign w:val="baseline"/>
        </w:rPr>
        <w:t> para o miocárdio por sua ação na musculatura lisa arterial sistêmica e coronária e efeito cronotrópico e inotrópico negativo sobre o músculo cardíaco. O efeito vasodilatador</w:t>
      </w:r>
      <w:r>
        <w:rPr>
          <w:spacing w:val="-3"/>
          <w:vertAlign w:val="baseline"/>
        </w:rPr>
        <w:t> </w:t>
      </w:r>
      <w:r>
        <w:rPr>
          <w:vertAlign w:val="baseline"/>
        </w:rPr>
        <w:t>é</w:t>
      </w:r>
      <w:r>
        <w:rPr>
          <w:spacing w:val="-11"/>
          <w:vertAlign w:val="baseline"/>
        </w:rPr>
        <w:t> </w:t>
      </w:r>
      <w:r>
        <w:rPr>
          <w:vertAlign w:val="baseline"/>
        </w:rPr>
        <w:t>importante,</w:t>
      </w:r>
      <w:r>
        <w:rPr>
          <w:spacing w:val="-1"/>
          <w:vertAlign w:val="baseline"/>
        </w:rPr>
        <w:t> </w:t>
      </w:r>
      <w:r>
        <w:rPr>
          <w:vertAlign w:val="baseline"/>
        </w:rPr>
        <w:t>além</w:t>
      </w:r>
      <w:r>
        <w:rPr>
          <w:spacing w:val="-8"/>
          <w:vertAlign w:val="baseline"/>
        </w:rPr>
        <w:t> </w:t>
      </w:r>
      <w:r>
        <w:rPr>
          <w:vertAlign w:val="baseline"/>
        </w:rPr>
        <w:t>da</w:t>
      </w:r>
      <w:r>
        <w:rPr>
          <w:spacing w:val="-11"/>
          <w:vertAlign w:val="baseline"/>
        </w:rPr>
        <w:t> </w:t>
      </w:r>
      <w:r>
        <w:rPr>
          <w:vertAlign w:val="baseline"/>
        </w:rPr>
        <w:t>diminuição</w:t>
      </w:r>
      <w:r>
        <w:rPr>
          <w:spacing w:val="-8"/>
          <w:vertAlign w:val="baseline"/>
        </w:rPr>
        <w:t> </w:t>
      </w:r>
      <w:r>
        <w:rPr>
          <w:vertAlign w:val="baseline"/>
        </w:rPr>
        <w:t>da</w:t>
      </w:r>
      <w:r>
        <w:rPr>
          <w:spacing w:val="-11"/>
          <w:vertAlign w:val="baseline"/>
        </w:rPr>
        <w:t> </w:t>
      </w:r>
      <w:r>
        <w:rPr>
          <w:vertAlign w:val="baseline"/>
        </w:rPr>
        <w:t>contratilidade</w:t>
      </w:r>
      <w:r>
        <w:rPr>
          <w:spacing w:val="-11"/>
          <w:vertAlign w:val="baseline"/>
        </w:rPr>
        <w:t> </w:t>
      </w:r>
      <w:r>
        <w:rPr>
          <w:vertAlign w:val="baseline"/>
        </w:rPr>
        <w:t>com</w:t>
      </w:r>
      <w:r>
        <w:rPr>
          <w:spacing w:val="-8"/>
          <w:vertAlign w:val="baseline"/>
        </w:rPr>
        <w:t> </w:t>
      </w:r>
      <w:r>
        <w:rPr>
          <w:vertAlign w:val="baseline"/>
        </w:rPr>
        <w:t>verapamil</w:t>
      </w:r>
      <w:r>
        <w:rPr>
          <w:spacing w:val="-6"/>
          <w:vertAlign w:val="baseline"/>
        </w:rPr>
        <w:t> </w:t>
      </w:r>
      <w:r>
        <w:rPr>
          <w:vertAlign w:val="baseline"/>
        </w:rPr>
        <w:t>e</w:t>
      </w:r>
      <w:r>
        <w:rPr>
          <w:spacing w:val="-11"/>
          <w:vertAlign w:val="baseline"/>
        </w:rPr>
        <w:t> </w:t>
      </w:r>
      <w:r>
        <w:rPr>
          <w:vertAlign w:val="baseline"/>
        </w:rPr>
        <w:t>a</w:t>
      </w:r>
      <w:r>
        <w:rPr>
          <w:spacing w:val="-11"/>
          <w:vertAlign w:val="baseline"/>
        </w:rPr>
        <w:t> </w:t>
      </w:r>
      <w:r>
        <w:rPr>
          <w:vertAlign w:val="baseline"/>
        </w:rPr>
        <w:t>ação</w:t>
      </w:r>
      <w:r>
        <w:rPr>
          <w:spacing w:val="-8"/>
          <w:vertAlign w:val="baseline"/>
        </w:rPr>
        <w:t> </w:t>
      </w:r>
      <w:r>
        <w:rPr>
          <w:vertAlign w:val="baseline"/>
        </w:rPr>
        <w:t>cronotrópica</w:t>
      </w:r>
      <w:r>
        <w:rPr>
          <w:spacing w:val="-11"/>
          <w:vertAlign w:val="baseline"/>
        </w:rPr>
        <w:t> </w:t>
      </w:r>
      <w:r>
        <w:rPr>
          <w:vertAlign w:val="baseline"/>
        </w:rPr>
        <w:t>negativa</w:t>
      </w:r>
      <w:r>
        <w:rPr>
          <w:spacing w:val="-11"/>
          <w:vertAlign w:val="baseline"/>
        </w:rPr>
        <w:t> </w:t>
      </w:r>
      <w:r>
        <w:rPr>
          <w:vertAlign w:val="baseline"/>
        </w:rPr>
        <w:t>com verapamil</w:t>
      </w:r>
      <w:r>
        <w:rPr>
          <w:spacing w:val="-2"/>
          <w:vertAlign w:val="baseline"/>
        </w:rPr>
        <w:t> </w:t>
      </w:r>
      <w:r>
        <w:rPr>
          <w:vertAlign w:val="baseline"/>
        </w:rPr>
        <w:t>e</w:t>
      </w:r>
      <w:r>
        <w:rPr>
          <w:spacing w:val="-7"/>
          <w:vertAlign w:val="baseline"/>
        </w:rPr>
        <w:t> </w:t>
      </w:r>
      <w:r>
        <w:rPr>
          <w:vertAlign w:val="baseline"/>
        </w:rPr>
        <w:t>diltiazem. São</w:t>
      </w:r>
      <w:r>
        <w:rPr>
          <w:spacing w:val="-4"/>
          <w:vertAlign w:val="baseline"/>
        </w:rPr>
        <w:t> </w:t>
      </w:r>
      <w:r>
        <w:rPr>
          <w:vertAlign w:val="baseline"/>
        </w:rPr>
        <w:t>os fármacos de</w:t>
      </w:r>
      <w:r>
        <w:rPr>
          <w:spacing w:val="-7"/>
          <w:vertAlign w:val="baseline"/>
        </w:rPr>
        <w:t> </w:t>
      </w:r>
      <w:r>
        <w:rPr>
          <w:vertAlign w:val="baseline"/>
        </w:rPr>
        <w:t>escolha</w:t>
      </w:r>
      <w:r>
        <w:rPr>
          <w:spacing w:val="-7"/>
          <w:vertAlign w:val="baseline"/>
        </w:rPr>
        <w:t> </w:t>
      </w:r>
      <w:r>
        <w:rPr>
          <w:vertAlign w:val="baseline"/>
        </w:rPr>
        <w:t>no</w:t>
      </w:r>
      <w:r>
        <w:rPr>
          <w:spacing w:val="-4"/>
          <w:vertAlign w:val="baseline"/>
        </w:rPr>
        <w:t> </w:t>
      </w:r>
      <w:r>
        <w:rPr>
          <w:vertAlign w:val="baseline"/>
        </w:rPr>
        <w:t>tratamento</w:t>
      </w:r>
      <w:r>
        <w:rPr>
          <w:spacing w:val="-4"/>
          <w:vertAlign w:val="baseline"/>
        </w:rPr>
        <w:t> </w:t>
      </w:r>
      <w:r>
        <w:rPr>
          <w:vertAlign w:val="baseline"/>
        </w:rPr>
        <w:t>da</w:t>
      </w:r>
      <w:r>
        <w:rPr>
          <w:spacing w:val="-7"/>
          <w:vertAlign w:val="baseline"/>
        </w:rPr>
        <w:t> </w:t>
      </w:r>
      <w:r>
        <w:rPr>
          <w:vertAlign w:val="baseline"/>
        </w:rPr>
        <w:t>angina</w:t>
      </w:r>
      <w:r>
        <w:rPr>
          <w:spacing w:val="-7"/>
          <w:vertAlign w:val="baseline"/>
        </w:rPr>
        <w:t> </w:t>
      </w:r>
      <w:r>
        <w:rPr>
          <w:vertAlign w:val="baseline"/>
        </w:rPr>
        <w:t>variante</w:t>
      </w:r>
      <w:r>
        <w:rPr>
          <w:spacing w:val="-7"/>
          <w:vertAlign w:val="baseline"/>
        </w:rPr>
        <w:t> </w:t>
      </w:r>
      <w:r>
        <w:rPr>
          <w:vertAlign w:val="baseline"/>
        </w:rPr>
        <w:t>de</w:t>
      </w:r>
      <w:r>
        <w:rPr>
          <w:spacing w:val="-7"/>
          <w:vertAlign w:val="baseline"/>
        </w:rPr>
        <w:t> </w:t>
      </w:r>
      <w:r>
        <w:rPr>
          <w:vertAlign w:val="baseline"/>
        </w:rPr>
        <w:t>Prinzmetal, sendo</w:t>
      </w:r>
      <w:r>
        <w:rPr>
          <w:spacing w:val="-4"/>
          <w:vertAlign w:val="baseline"/>
        </w:rPr>
        <w:t> </w:t>
      </w:r>
      <w:r>
        <w:rPr>
          <w:vertAlign w:val="baseline"/>
        </w:rPr>
        <w:t>altamente efetivos no controle dos sintomas e episódios isquêmicos. A associação dos bloqueadores de canal de cálcio di-hidropiridínicos e dos betabloqueadores se destaca pela atenuação da taquicardia reflexa, prevenção de vasoconstrição e aumento da tolerância ao exercício (</w:t>
      </w:r>
      <w:r>
        <w:rPr>
          <w:color w:val="505050"/>
          <w:vertAlign w:val="baseline"/>
        </w:rPr>
        <w:t>Tabela 56.8</w:t>
      </w:r>
      <w:r>
        <w:rPr>
          <w:vertAlign w:val="baseline"/>
        </w:rPr>
        <w:t>).</w:t>
      </w:r>
    </w:p>
    <w:p>
      <w:pPr>
        <w:pStyle w:val="BodyText"/>
        <w:spacing w:line="276" w:lineRule="auto" w:before="63"/>
        <w:ind w:right="488"/>
      </w:pPr>
      <w:r>
        <w:rPr/>
        <w:t>Dentre os fármacos mais utilizados, o anlodipino é o que apresenta o melhor perfil farmacocinético na dose de 2,5 a</w:t>
      </w:r>
      <w:r>
        <w:rPr>
          <w:spacing w:val="-3"/>
        </w:rPr>
        <w:t> </w:t>
      </w:r>
      <w:r>
        <w:rPr/>
        <w:t>10 mg/dia</w:t>
      </w:r>
      <w:r>
        <w:rPr>
          <w:spacing w:val="-3"/>
        </w:rPr>
        <w:t> </w:t>
      </w:r>
      <w:r>
        <w:rPr/>
        <w:t>por via</w:t>
      </w:r>
      <w:r>
        <w:rPr>
          <w:spacing w:val="-3"/>
        </w:rPr>
        <w:t> </w:t>
      </w:r>
      <w:r>
        <w:rPr/>
        <w:t>oral.</w:t>
      </w:r>
      <w:r>
        <w:rPr>
          <w:spacing w:val="8"/>
        </w:rPr>
        <w:t> </w:t>
      </w:r>
      <w:r>
        <w:rPr/>
        <w:t>Também são utilizados</w:t>
      </w:r>
      <w:r>
        <w:rPr>
          <w:spacing w:val="8"/>
        </w:rPr>
        <w:t> </w:t>
      </w:r>
      <w:r>
        <w:rPr/>
        <w:t>o verapamil (80,</w:t>
      </w:r>
      <w:r>
        <w:rPr>
          <w:spacing w:val="8"/>
        </w:rPr>
        <w:t> </w:t>
      </w:r>
      <w:r>
        <w:rPr/>
        <w:t>120 e</w:t>
      </w:r>
      <w:r>
        <w:rPr>
          <w:spacing w:val="-3"/>
        </w:rPr>
        <w:t> </w:t>
      </w:r>
      <w:r>
        <w:rPr/>
        <w:t>240 mg),</w:t>
      </w:r>
      <w:r>
        <w:rPr>
          <w:spacing w:val="8"/>
        </w:rPr>
        <w:t> </w:t>
      </w:r>
      <w:r>
        <w:rPr/>
        <w:t>na</w:t>
      </w:r>
      <w:r>
        <w:rPr>
          <w:spacing w:val="-3"/>
        </w:rPr>
        <w:t> </w:t>
      </w:r>
      <w:r>
        <w:rPr/>
        <w:t>dose</w:t>
      </w:r>
      <w:r>
        <w:rPr>
          <w:spacing w:val="-3"/>
        </w:rPr>
        <w:t> </w:t>
      </w:r>
      <w:r>
        <w:rPr/>
        <w:t>de</w:t>
      </w:r>
      <w:r>
        <w:rPr>
          <w:spacing w:val="-3"/>
        </w:rPr>
        <w:t> </w:t>
      </w:r>
      <w:r>
        <w:rPr/>
        <w:t>240 a</w:t>
      </w:r>
      <w:r>
        <w:rPr>
          <w:spacing w:val="-3"/>
        </w:rPr>
        <w:t> </w:t>
      </w:r>
      <w:r>
        <w:rPr/>
        <w:t>480 mg/dia, e o diltiazem (30, 60, 90, 120 e 180 mg), na dose de 90 a 360 mg/dia. Os efeitos colaterais mais comuns são cefaleia, edema</w:t>
      </w:r>
      <w:r>
        <w:rPr>
          <w:spacing w:val="-2"/>
        </w:rPr>
        <w:t> </w:t>
      </w:r>
      <w:r>
        <w:rPr/>
        <w:t>de</w:t>
      </w:r>
      <w:r>
        <w:rPr>
          <w:spacing w:val="-2"/>
        </w:rPr>
        <w:t> </w:t>
      </w:r>
      <w:r>
        <w:rPr/>
        <w:t>membros inferiores, rubor facial, além de</w:t>
      </w:r>
      <w:r>
        <w:rPr>
          <w:spacing w:val="-2"/>
        </w:rPr>
        <w:t> </w:t>
      </w:r>
      <w:r>
        <w:rPr/>
        <w:t>hipotensão arterial e</w:t>
      </w:r>
      <w:r>
        <w:rPr>
          <w:spacing w:val="-2"/>
        </w:rPr>
        <w:t> </w:t>
      </w:r>
      <w:r>
        <w:rPr/>
        <w:t>obstipação intestinal.</w:t>
      </w:r>
    </w:p>
    <w:p>
      <w:pPr>
        <w:pStyle w:val="BodyText"/>
        <w:spacing w:before="68"/>
        <w:ind w:left="0" w:firstLine="0"/>
        <w:jc w:val="left"/>
      </w:pPr>
    </w:p>
    <w:p>
      <w:pPr>
        <w:pStyle w:val="Heading9"/>
        <w:spacing w:before="1"/>
      </w:pPr>
      <w:r>
        <w:rPr>
          <w:color w:val="A26108"/>
          <w:spacing w:val="-2"/>
        </w:rPr>
        <w:t>Trimetazidina</w:t>
      </w:r>
    </w:p>
    <w:p>
      <w:pPr>
        <w:pStyle w:val="BodyText"/>
        <w:spacing w:line="280" w:lineRule="auto" w:before="116"/>
        <w:ind w:right="488"/>
      </w:pPr>
      <w:r>
        <w:rPr/>
        <w:t>Agente metabólico, sem ação hemodinâmica, protege as células das consequências da isquemia por inibir a enzima 3-cetoacil-CoA tiolase, impedindo a oxidação de ácidos graxos e a produção de íons hidrogênio. Em condições de hipoxia, aumenta a produção de ATP e reduz o dano metabólico da isquemia por desvio da via metabólica para a glicólise. Alguns estudos compararam a trimetazidina com betabloqueador demonstrando ação clínica semelhante no tempo de isquemia durante teste ergométrico, assim como resultados benéficos quanto a controle de sintomas quando associada a outros antianginosos.</w:t>
      </w:r>
      <w:r>
        <w:rPr>
          <w:vertAlign w:val="superscript"/>
        </w:rPr>
        <w:t>61</w:t>
      </w:r>
      <w:r>
        <w:rPr>
          <w:vertAlign w:val="baseline"/>
        </w:rPr>
        <w:t> A única apresentação comercial disponível até o momento é o Vastarel</w:t>
      </w:r>
      <w:r>
        <w:rPr>
          <w:vertAlign w:val="superscript"/>
        </w:rPr>
        <w:t>®</w:t>
      </w:r>
      <w:r>
        <w:rPr>
          <w:vertAlign w:val="baseline"/>
        </w:rPr>
        <w:t> (20 mg), com a dose recomendada de três comprimidos ao dia.</w:t>
      </w:r>
    </w:p>
    <w:p>
      <w:pPr>
        <w:pStyle w:val="BodyText"/>
        <w:spacing w:line="280" w:lineRule="auto" w:before="44"/>
        <w:ind w:right="488"/>
      </w:pPr>
      <w:r>
        <w:rPr/>
        <w:t>Está bem estabelecido que as modificações dos fatores de risco são benéficas na redução da mortalidade e morbidade dos pacientes. Como já descrito anteriormente, a importância do controle da pressão arterial e do diabetes melito, a diminuição dos níveis de colesterol (LDL &lt; 100 mg/d</w:t>
      </w:r>
      <w:r>
        <w:rPr>
          <w:i/>
        </w:rPr>
        <w:t>ℓ </w:t>
      </w:r>
      <w:r>
        <w:rPr/>
        <w:t>e HDL &gt; 40 mg/d</w:t>
      </w:r>
      <w:r>
        <w:rPr>
          <w:i/>
        </w:rPr>
        <w:t>ℓ</w:t>
      </w:r>
      <w:r>
        <w:rPr/>
        <w:t>), o uso rotineiro de vastatinas independentemente do perfil lipídico (resultados do estudo HPS)</w:t>
      </w:r>
      <w:r>
        <w:rPr>
          <w:vertAlign w:val="superscript"/>
        </w:rPr>
        <w:t>26</w:t>
      </w:r>
      <w:r>
        <w:rPr>
          <w:vertAlign w:val="baseline"/>
        </w:rPr>
        <w:t> e a interrupção do tabagismo têm demonstrado aumentar a sobrevida e diminuir eventos coronários. A síndrome metabólica deve ser identificada e tratada, tanto com abordagem dos fatores ambientais, em particular a obesidade e o sedentarismo, como por intervenções dirigidas à</w:t>
      </w:r>
      <w:r>
        <w:rPr>
          <w:spacing w:val="-6"/>
          <w:vertAlign w:val="baseline"/>
        </w:rPr>
        <w:t> </w:t>
      </w:r>
      <w:r>
        <w:rPr>
          <w:vertAlign w:val="baseline"/>
        </w:rPr>
        <w:t>melhora</w:t>
      </w:r>
      <w:r>
        <w:rPr>
          <w:spacing w:val="-6"/>
          <w:vertAlign w:val="baseline"/>
        </w:rPr>
        <w:t> </w:t>
      </w:r>
      <w:r>
        <w:rPr>
          <w:vertAlign w:val="baseline"/>
        </w:rPr>
        <w:t>da</w:t>
      </w:r>
      <w:r>
        <w:rPr>
          <w:spacing w:val="-6"/>
          <w:vertAlign w:val="baseline"/>
        </w:rPr>
        <w:t> </w:t>
      </w:r>
      <w:r>
        <w:rPr>
          <w:vertAlign w:val="baseline"/>
        </w:rPr>
        <w:t>sensibilidade</w:t>
      </w:r>
      <w:r>
        <w:rPr>
          <w:spacing w:val="-6"/>
          <w:vertAlign w:val="baseline"/>
        </w:rPr>
        <w:t> </w:t>
      </w:r>
      <w:r>
        <w:rPr>
          <w:vertAlign w:val="baseline"/>
        </w:rPr>
        <w:t>periférica</w:t>
      </w:r>
      <w:r>
        <w:rPr>
          <w:spacing w:val="-6"/>
          <w:vertAlign w:val="baseline"/>
        </w:rPr>
        <w:t> </w:t>
      </w:r>
      <w:r>
        <w:rPr>
          <w:vertAlign w:val="baseline"/>
        </w:rPr>
        <w:t>à</w:t>
      </w:r>
      <w:r>
        <w:rPr>
          <w:spacing w:val="-6"/>
          <w:vertAlign w:val="baseline"/>
        </w:rPr>
        <w:t> </w:t>
      </w:r>
      <w:r>
        <w:rPr>
          <w:vertAlign w:val="baseline"/>
        </w:rPr>
        <w:t>insulina</w:t>
      </w:r>
      <w:r>
        <w:rPr>
          <w:spacing w:val="-6"/>
          <w:vertAlign w:val="baseline"/>
        </w:rPr>
        <w:t> </w:t>
      </w:r>
      <w:r>
        <w:rPr>
          <w:vertAlign w:val="baseline"/>
        </w:rPr>
        <w:t>com</w:t>
      </w:r>
      <w:r>
        <w:rPr>
          <w:spacing w:val="-2"/>
          <w:vertAlign w:val="baseline"/>
        </w:rPr>
        <w:t> </w:t>
      </w:r>
      <w:r>
        <w:rPr>
          <w:vertAlign w:val="baseline"/>
        </w:rPr>
        <w:t>controle</w:t>
      </w:r>
      <w:r>
        <w:rPr>
          <w:spacing w:val="-6"/>
          <w:vertAlign w:val="baseline"/>
        </w:rPr>
        <w:t> </w:t>
      </w:r>
      <w:r>
        <w:rPr>
          <w:vertAlign w:val="baseline"/>
        </w:rPr>
        <w:t>do</w:t>
      </w:r>
      <w:r>
        <w:rPr>
          <w:spacing w:val="-2"/>
          <w:vertAlign w:val="baseline"/>
        </w:rPr>
        <w:t> </w:t>
      </w:r>
      <w:r>
        <w:rPr>
          <w:vertAlign w:val="baseline"/>
        </w:rPr>
        <w:t>diabetes melito</w:t>
      </w:r>
      <w:r>
        <w:rPr>
          <w:spacing w:val="-2"/>
          <w:vertAlign w:val="baseline"/>
        </w:rPr>
        <w:t> </w:t>
      </w:r>
      <w:r>
        <w:rPr>
          <w:vertAlign w:val="baseline"/>
        </w:rPr>
        <w:t>(metformina e tiazolidinadionas) e à melhora do perfil lipídico (vastatinas e fibratos).</w:t>
      </w:r>
      <w:r>
        <w:rPr>
          <w:vertAlign w:val="superscript"/>
        </w:rPr>
        <w:t>62–64</w:t>
      </w:r>
      <w:r>
        <w:rPr>
          <w:vertAlign w:val="baseline"/>
        </w:rPr>
        <w:t> A terapêutica de reposição hormonal em</w:t>
      </w:r>
      <w:r>
        <w:rPr>
          <w:spacing w:val="-11"/>
          <w:vertAlign w:val="baseline"/>
        </w:rPr>
        <w:t> </w:t>
      </w:r>
      <w:r>
        <w:rPr>
          <w:vertAlign w:val="baseline"/>
        </w:rPr>
        <w:t>mulheres</w:t>
      </w:r>
      <w:r>
        <w:rPr>
          <w:spacing w:val="-3"/>
          <w:vertAlign w:val="baseline"/>
        </w:rPr>
        <w:t> </w:t>
      </w:r>
      <w:r>
        <w:rPr>
          <w:vertAlign w:val="baseline"/>
        </w:rPr>
        <w:t>menopausadas</w:t>
      </w:r>
      <w:r>
        <w:rPr>
          <w:spacing w:val="-3"/>
          <w:vertAlign w:val="baseline"/>
        </w:rPr>
        <w:t> </w:t>
      </w:r>
      <w:r>
        <w:rPr>
          <w:vertAlign w:val="baseline"/>
        </w:rPr>
        <w:t>ainda</w:t>
      </w:r>
      <w:r>
        <w:rPr>
          <w:spacing w:val="-13"/>
          <w:vertAlign w:val="baseline"/>
        </w:rPr>
        <w:t> </w:t>
      </w:r>
      <w:r>
        <w:rPr>
          <w:vertAlign w:val="baseline"/>
        </w:rPr>
        <w:t>permanece</w:t>
      </w:r>
      <w:r>
        <w:rPr>
          <w:spacing w:val="-13"/>
          <w:vertAlign w:val="baseline"/>
        </w:rPr>
        <w:t> </w:t>
      </w:r>
      <w:r>
        <w:rPr>
          <w:vertAlign w:val="baseline"/>
        </w:rPr>
        <w:t>controversa,</w:t>
      </w:r>
      <w:r>
        <w:rPr>
          <w:spacing w:val="-3"/>
          <w:vertAlign w:val="baseline"/>
        </w:rPr>
        <w:t> </w:t>
      </w:r>
      <w:r>
        <w:rPr>
          <w:vertAlign w:val="baseline"/>
        </w:rPr>
        <w:t>principalmente</w:t>
      </w:r>
      <w:r>
        <w:rPr>
          <w:spacing w:val="-13"/>
          <w:vertAlign w:val="baseline"/>
        </w:rPr>
        <w:t> </w:t>
      </w:r>
      <w:r>
        <w:rPr>
          <w:vertAlign w:val="baseline"/>
        </w:rPr>
        <w:t>após</w:t>
      </w:r>
      <w:r>
        <w:rPr>
          <w:spacing w:val="-3"/>
          <w:vertAlign w:val="baseline"/>
        </w:rPr>
        <w:t> </w:t>
      </w:r>
      <w:r>
        <w:rPr>
          <w:vertAlign w:val="baseline"/>
        </w:rPr>
        <w:t>a</w:t>
      </w:r>
      <w:r>
        <w:rPr>
          <w:spacing w:val="-13"/>
          <w:vertAlign w:val="baseline"/>
        </w:rPr>
        <w:t> </w:t>
      </w:r>
      <w:r>
        <w:rPr>
          <w:vertAlign w:val="baseline"/>
        </w:rPr>
        <w:t>divulgação</w:t>
      </w:r>
      <w:r>
        <w:rPr>
          <w:spacing w:val="-11"/>
          <w:vertAlign w:val="baseline"/>
        </w:rPr>
        <w:t> </w:t>
      </w:r>
      <w:r>
        <w:rPr>
          <w:vertAlign w:val="baseline"/>
        </w:rPr>
        <w:t>do</w:t>
      </w:r>
      <w:r>
        <w:rPr>
          <w:spacing w:val="-11"/>
          <w:vertAlign w:val="baseline"/>
        </w:rPr>
        <w:t> </w:t>
      </w:r>
      <w:r>
        <w:rPr>
          <w:vertAlign w:val="baseline"/>
        </w:rPr>
        <w:t>estudo</w:t>
      </w:r>
      <w:r>
        <w:rPr>
          <w:spacing w:val="-11"/>
          <w:vertAlign w:val="baseline"/>
        </w:rPr>
        <w:t> </w:t>
      </w:r>
      <w:r>
        <w:rPr>
          <w:vertAlign w:val="baseline"/>
        </w:rPr>
        <w:t>HERS,</w:t>
      </w:r>
      <w:r>
        <w:rPr>
          <w:vertAlign w:val="superscript"/>
        </w:rPr>
        <w:t>65</w:t>
      </w:r>
      <w:r>
        <w:rPr>
          <w:spacing w:val="-6"/>
          <w:vertAlign w:val="baseline"/>
        </w:rPr>
        <w:t> </w:t>
      </w:r>
      <w:r>
        <w:rPr>
          <w:vertAlign w:val="baseline"/>
        </w:rPr>
        <w:t>que demonstrou</w:t>
      </w:r>
      <w:r>
        <w:rPr>
          <w:spacing w:val="-2"/>
          <w:vertAlign w:val="baseline"/>
        </w:rPr>
        <w:t> </w:t>
      </w:r>
      <w:r>
        <w:rPr>
          <w:vertAlign w:val="baseline"/>
        </w:rPr>
        <w:t>maior incidência</w:t>
      </w:r>
      <w:r>
        <w:rPr>
          <w:spacing w:val="-5"/>
          <w:vertAlign w:val="baseline"/>
        </w:rPr>
        <w:t> </w:t>
      </w:r>
      <w:r>
        <w:rPr>
          <w:vertAlign w:val="baseline"/>
        </w:rPr>
        <w:t>de</w:t>
      </w:r>
      <w:r>
        <w:rPr>
          <w:spacing w:val="-5"/>
          <w:vertAlign w:val="baseline"/>
        </w:rPr>
        <w:t> </w:t>
      </w:r>
      <w:r>
        <w:rPr>
          <w:vertAlign w:val="baseline"/>
        </w:rPr>
        <w:t>fenômenos trombóticos nas pacientes que</w:t>
      </w:r>
      <w:r>
        <w:rPr>
          <w:spacing w:val="-5"/>
          <w:vertAlign w:val="baseline"/>
        </w:rPr>
        <w:t> </w:t>
      </w:r>
      <w:r>
        <w:rPr>
          <w:vertAlign w:val="baseline"/>
        </w:rPr>
        <w:t>iniciaram</w:t>
      </w:r>
      <w:r>
        <w:rPr>
          <w:spacing w:val="-2"/>
          <w:vertAlign w:val="baseline"/>
        </w:rPr>
        <w:t> </w:t>
      </w:r>
      <w:r>
        <w:rPr>
          <w:vertAlign w:val="baseline"/>
        </w:rPr>
        <w:t>a</w:t>
      </w:r>
      <w:r>
        <w:rPr>
          <w:spacing w:val="-5"/>
          <w:vertAlign w:val="baseline"/>
        </w:rPr>
        <w:t> </w:t>
      </w:r>
      <w:r>
        <w:rPr>
          <w:vertAlign w:val="baseline"/>
        </w:rPr>
        <w:t>reposição</w:t>
      </w:r>
      <w:r>
        <w:rPr>
          <w:spacing w:val="-2"/>
          <w:vertAlign w:val="baseline"/>
        </w:rPr>
        <w:t> </w:t>
      </w:r>
      <w:r>
        <w:rPr>
          <w:vertAlign w:val="baseline"/>
        </w:rPr>
        <w:t>hormonal.</w:t>
      </w:r>
    </w:p>
    <w:p>
      <w:pPr>
        <w:pStyle w:val="BodyText"/>
        <w:spacing w:before="21"/>
        <w:ind w:left="0" w:firstLine="0"/>
        <w:jc w:val="left"/>
      </w:pPr>
    </w:p>
    <w:p>
      <w:pPr>
        <w:pStyle w:val="Heading7"/>
      </w:pPr>
      <w:r>
        <w:rPr>
          <w:color w:val="242B67"/>
        </w:rPr>
        <w:t>Situações </w:t>
      </w:r>
      <w:r>
        <w:rPr>
          <w:color w:val="242B67"/>
          <w:spacing w:val="-2"/>
        </w:rPr>
        <w:t>especiais</w:t>
      </w:r>
    </w:p>
    <w:p>
      <w:pPr>
        <w:pStyle w:val="Heading9"/>
        <w:spacing w:before="123"/>
      </w:pPr>
      <w:r>
        <w:rPr>
          <w:color w:val="A26108"/>
          <w:spacing w:val="-2"/>
        </w:rPr>
        <w:t>Idosos</w:t>
      </w:r>
    </w:p>
    <w:p>
      <w:pPr>
        <w:pStyle w:val="BodyText"/>
        <w:spacing w:line="276" w:lineRule="auto" w:before="116"/>
        <w:ind w:right="488"/>
      </w:pPr>
      <w:r>
        <w:rPr/>
        <w:t>A insuficiência coronariana é comum no grupo de pacientes com mais de 65 anos. Esta pode ser acompanhada ou não de sintomas, sendo que os fatores de risco, como hipertensão arterial e dislipidemia, têm importância</w:t>
      </w:r>
      <w:r>
        <w:rPr>
          <w:spacing w:val="40"/>
        </w:rPr>
        <w:t> </w:t>
      </w:r>
      <w:r>
        <w:rPr/>
        <w:t>similar aos das pessoas com menos de 65 anos. Soma-se ainda a inatividade e outras doenças associadas mais prevalentes com o aumento da idade, além da própria gravidade da doença. O esquema terapêutico não difere do utilizado</w:t>
      </w:r>
      <w:r>
        <w:rPr>
          <w:spacing w:val="-2"/>
        </w:rPr>
        <w:t> </w:t>
      </w:r>
      <w:r>
        <w:rPr/>
        <w:t>em</w:t>
      </w:r>
      <w:r>
        <w:rPr>
          <w:spacing w:val="-2"/>
        </w:rPr>
        <w:t> </w:t>
      </w:r>
      <w:r>
        <w:rPr/>
        <w:t>outros pacientes, apenas com</w:t>
      </w:r>
      <w:r>
        <w:rPr>
          <w:spacing w:val="-2"/>
        </w:rPr>
        <w:t> </w:t>
      </w:r>
      <w:r>
        <w:rPr/>
        <w:t>a</w:t>
      </w:r>
      <w:r>
        <w:rPr>
          <w:spacing w:val="-5"/>
        </w:rPr>
        <w:t> </w:t>
      </w:r>
      <w:r>
        <w:rPr/>
        <w:t>particularidade</w:t>
      </w:r>
      <w:r>
        <w:rPr>
          <w:spacing w:val="-5"/>
        </w:rPr>
        <w:t> </w:t>
      </w:r>
      <w:r>
        <w:rPr/>
        <w:t>do</w:t>
      </w:r>
      <w:r>
        <w:rPr>
          <w:spacing w:val="-2"/>
        </w:rPr>
        <w:t> </w:t>
      </w:r>
      <w:r>
        <w:rPr/>
        <w:t>uso</w:t>
      </w:r>
      <w:r>
        <w:rPr>
          <w:spacing w:val="-2"/>
        </w:rPr>
        <w:t> </w:t>
      </w:r>
      <w:r>
        <w:rPr/>
        <w:t>de</w:t>
      </w:r>
      <w:r>
        <w:rPr>
          <w:spacing w:val="-5"/>
        </w:rPr>
        <w:t> </w:t>
      </w:r>
      <w:r>
        <w:rPr/>
        <w:t>doses menores, devido</w:t>
      </w:r>
      <w:r>
        <w:rPr>
          <w:spacing w:val="-2"/>
        </w:rPr>
        <w:t> </w:t>
      </w:r>
      <w:r>
        <w:rPr/>
        <w:t>à</w:t>
      </w:r>
      <w:r>
        <w:rPr>
          <w:spacing w:val="-5"/>
        </w:rPr>
        <w:t> </w:t>
      </w:r>
      <w:r>
        <w:rPr/>
        <w:t>maior possibilidade de efeitos colaterais. Deve-se dar atenção especial aos idosos quanto ao diagnóstico de estenose aórtica concomitante</w:t>
      </w:r>
      <w:r>
        <w:rPr>
          <w:spacing w:val="-2"/>
        </w:rPr>
        <w:t> </w:t>
      </w:r>
      <w:r>
        <w:rPr/>
        <w:t>à</w:t>
      </w:r>
      <w:r>
        <w:rPr>
          <w:spacing w:val="-2"/>
        </w:rPr>
        <w:t> </w:t>
      </w:r>
      <w:r>
        <w:rPr/>
        <w:t>doença</w:t>
      </w:r>
      <w:r>
        <w:rPr>
          <w:spacing w:val="-2"/>
        </w:rPr>
        <w:t> </w:t>
      </w:r>
      <w:r>
        <w:rPr/>
        <w:t>coronária</w:t>
      </w:r>
      <w:r>
        <w:rPr>
          <w:spacing w:val="-2"/>
        </w:rPr>
        <w:t> </w:t>
      </w:r>
      <w:r>
        <w:rPr/>
        <w:t>ou como diagnóstico diferencial de</w:t>
      </w:r>
      <w:r>
        <w:rPr>
          <w:spacing w:val="-2"/>
        </w:rPr>
        <w:t> </w:t>
      </w:r>
      <w:r>
        <w:rPr/>
        <w:t>angina.</w:t>
      </w:r>
    </w:p>
    <w:p>
      <w:pPr>
        <w:pStyle w:val="BodyText"/>
        <w:spacing w:before="69"/>
        <w:ind w:left="0" w:firstLine="0"/>
        <w:jc w:val="left"/>
      </w:pPr>
    </w:p>
    <w:p>
      <w:pPr>
        <w:pStyle w:val="Heading9"/>
      </w:pPr>
      <w:r>
        <w:rPr>
          <w:color w:val="A26108"/>
        </w:rPr>
        <w:t>Isquemia</w:t>
      </w:r>
      <w:r>
        <w:rPr>
          <w:color w:val="A26108"/>
          <w:spacing w:val="22"/>
        </w:rPr>
        <w:t> </w:t>
      </w:r>
      <w:r>
        <w:rPr>
          <w:color w:val="A26108"/>
          <w:spacing w:val="-2"/>
        </w:rPr>
        <w:t>silenciosa</w:t>
      </w:r>
    </w:p>
    <w:p>
      <w:pPr>
        <w:pStyle w:val="BodyText"/>
        <w:spacing w:line="276" w:lineRule="auto" w:before="101"/>
        <w:ind w:right="491"/>
      </w:pPr>
      <w:r>
        <w:rPr/>
        <w:t>O paciente com angina estável habitualmente apresenta variação no limiar de isquemia, tanto com quanto sem sintomas. A</w:t>
      </w:r>
      <w:r>
        <w:rPr>
          <w:spacing w:val="-8"/>
        </w:rPr>
        <w:t> </w:t>
      </w:r>
      <w:r>
        <w:rPr/>
        <w:t>isquemia</w:t>
      </w:r>
      <w:r>
        <w:rPr>
          <w:spacing w:val="-8"/>
        </w:rPr>
        <w:t> </w:t>
      </w:r>
      <w:r>
        <w:rPr/>
        <w:t>silenciosa</w:t>
      </w:r>
      <w:r>
        <w:rPr>
          <w:spacing w:val="-8"/>
        </w:rPr>
        <w:t> </w:t>
      </w:r>
      <w:r>
        <w:rPr/>
        <w:t>identificada</w:t>
      </w:r>
      <w:r>
        <w:rPr>
          <w:spacing w:val="-8"/>
        </w:rPr>
        <w:t> </w:t>
      </w:r>
      <w:r>
        <w:rPr/>
        <w:t>pela</w:t>
      </w:r>
      <w:r>
        <w:rPr>
          <w:spacing w:val="-8"/>
        </w:rPr>
        <w:t> </w:t>
      </w:r>
      <w:r>
        <w:rPr/>
        <w:t>cintigrafia</w:t>
      </w:r>
      <w:r>
        <w:rPr>
          <w:spacing w:val="-8"/>
        </w:rPr>
        <w:t> </w:t>
      </w:r>
      <w:r>
        <w:rPr/>
        <w:t>miocárdica</w:t>
      </w:r>
      <w:r>
        <w:rPr>
          <w:spacing w:val="-8"/>
        </w:rPr>
        <w:t> </w:t>
      </w:r>
      <w:r>
        <w:rPr/>
        <w:t>ou</w:t>
      </w:r>
      <w:r>
        <w:rPr>
          <w:spacing w:val="-6"/>
        </w:rPr>
        <w:t> </w:t>
      </w:r>
      <w:r>
        <w:rPr/>
        <w:t>Holter</w:t>
      </w:r>
      <w:r>
        <w:rPr>
          <w:spacing w:val="-1"/>
        </w:rPr>
        <w:t> </w:t>
      </w:r>
      <w:r>
        <w:rPr/>
        <w:t>pode</w:t>
      </w:r>
      <w:r>
        <w:rPr>
          <w:spacing w:val="-8"/>
        </w:rPr>
        <w:t> </w:t>
      </w:r>
      <w:r>
        <w:rPr/>
        <w:t>chegar</w:t>
      </w:r>
      <w:r>
        <w:rPr>
          <w:spacing w:val="-1"/>
        </w:rPr>
        <w:t> </w:t>
      </w:r>
      <w:r>
        <w:rPr/>
        <w:t>a</w:t>
      </w:r>
      <w:r>
        <w:rPr>
          <w:spacing w:val="-8"/>
        </w:rPr>
        <w:t> </w:t>
      </w:r>
      <w:r>
        <w:rPr/>
        <w:t>50%</w:t>
      </w:r>
      <w:r>
        <w:rPr>
          <w:spacing w:val="-3"/>
        </w:rPr>
        <w:t> </w:t>
      </w:r>
      <w:r>
        <w:rPr/>
        <w:t>dos episódios isquêmicos, levando igualmente a produção de lactato, liberação de potássio, alteração da motilidade ventricular esquerda,</w:t>
      </w:r>
      <w:r>
        <w:rPr>
          <w:spacing w:val="14"/>
        </w:rPr>
        <w:t> </w:t>
      </w:r>
      <w:r>
        <w:rPr/>
        <w:t>aumento da pressão diastólica de VE e queda do débito cardíaco.</w:t>
      </w:r>
      <w:r>
        <w:rPr>
          <w:spacing w:val="14"/>
        </w:rPr>
        <w:t> </w:t>
      </w:r>
      <w:r>
        <w:rPr/>
        <w:t>A exposição crônica à isquemia leva a</w:t>
      </w:r>
    </w:p>
    <w:p>
      <w:pPr>
        <w:pStyle w:val="BodyText"/>
        <w:spacing w:after="0" w:line="276" w:lineRule="auto"/>
        <w:sectPr>
          <w:pgSz w:w="11900" w:h="16840"/>
          <w:pgMar w:top="200" w:bottom="280" w:left="566" w:right="141"/>
        </w:sectPr>
      </w:pPr>
    </w:p>
    <w:p>
      <w:pPr>
        <w:pStyle w:val="BodyText"/>
        <w:spacing w:line="278" w:lineRule="auto" w:before="67"/>
        <w:ind w:right="497" w:firstLine="0"/>
      </w:pPr>
      <w:r>
        <w:rPr/>
        <w:t>fibrose e desenvolvimento da miocardiopatia. Há ainda, nos pacientes com isquemia silenciosa, maior risco de apresentarem infarto agudo do miocárdio, quando comparados com indivíduos sem isquemia (22% </w:t>
      </w:r>
      <w:r>
        <w:rPr>
          <w:i/>
        </w:rPr>
        <w:t>vs. </w:t>
      </w:r>
      <w:r>
        <w:rPr/>
        <w:t>4%). Portanto, recomenda-se o controle tanto dos episódios sintomáticos como dos assintomáticos, utilizando-se o mesmo esquema terapêutico.</w:t>
      </w:r>
    </w:p>
    <w:p>
      <w:pPr>
        <w:pStyle w:val="BodyText"/>
        <w:ind w:left="0" w:firstLine="0"/>
        <w:jc w:val="left"/>
      </w:pPr>
    </w:p>
    <w:p>
      <w:pPr>
        <w:pStyle w:val="Heading9"/>
      </w:pPr>
      <w:r>
        <w:rPr>
          <w:color w:val="A26108"/>
          <w:spacing w:val="-2"/>
        </w:rPr>
        <w:t>Mulheres</w:t>
      </w:r>
    </w:p>
    <w:p>
      <w:pPr>
        <w:pStyle w:val="BodyText"/>
        <w:spacing w:line="280" w:lineRule="auto" w:before="117"/>
        <w:ind w:right="500"/>
      </w:pPr>
      <w:r>
        <w:rPr/>
        <w:t>Costuma ser difícil o diagnóstico de doença coronária nas mulheres, tanto pela diversidade dos sintomas relatados como</w:t>
      </w:r>
      <w:r>
        <w:rPr>
          <w:spacing w:val="-5"/>
        </w:rPr>
        <w:t> </w:t>
      </w:r>
      <w:r>
        <w:rPr/>
        <w:t>pela</w:t>
      </w:r>
      <w:r>
        <w:rPr>
          <w:spacing w:val="-7"/>
        </w:rPr>
        <w:t> </w:t>
      </w:r>
      <w:r>
        <w:rPr/>
        <w:t>alteração</w:t>
      </w:r>
      <w:r>
        <w:rPr>
          <w:spacing w:val="-5"/>
        </w:rPr>
        <w:t> </w:t>
      </w:r>
      <w:r>
        <w:rPr/>
        <w:t>da</w:t>
      </w:r>
      <w:r>
        <w:rPr>
          <w:spacing w:val="-7"/>
        </w:rPr>
        <w:t> </w:t>
      </w:r>
      <w:r>
        <w:rPr/>
        <w:t>especificidade</w:t>
      </w:r>
      <w:r>
        <w:rPr>
          <w:spacing w:val="-7"/>
        </w:rPr>
        <w:t> </w:t>
      </w:r>
      <w:r>
        <w:rPr/>
        <w:t>das provas funcionais de</w:t>
      </w:r>
      <w:r>
        <w:rPr>
          <w:spacing w:val="-7"/>
        </w:rPr>
        <w:t> </w:t>
      </w:r>
      <w:r>
        <w:rPr/>
        <w:t>isquemia. Em</w:t>
      </w:r>
      <w:r>
        <w:rPr>
          <w:spacing w:val="-5"/>
        </w:rPr>
        <w:t> </w:t>
      </w:r>
      <w:r>
        <w:rPr/>
        <w:t>termos de</w:t>
      </w:r>
      <w:r>
        <w:rPr>
          <w:spacing w:val="-7"/>
        </w:rPr>
        <w:t> </w:t>
      </w:r>
      <w:r>
        <w:rPr/>
        <w:t>prevenção, deve-se</w:t>
      </w:r>
      <w:r>
        <w:rPr>
          <w:spacing w:val="-10"/>
        </w:rPr>
        <w:t> </w:t>
      </w:r>
      <w:r>
        <w:rPr/>
        <w:t>adotar</w:t>
      </w:r>
      <w:r>
        <w:rPr>
          <w:spacing w:val="-3"/>
        </w:rPr>
        <w:t> </w:t>
      </w:r>
      <w:r>
        <w:rPr/>
        <w:t>a</w:t>
      </w:r>
      <w:r>
        <w:rPr>
          <w:spacing w:val="-10"/>
        </w:rPr>
        <w:t> </w:t>
      </w:r>
      <w:r>
        <w:rPr/>
        <w:t>mesma</w:t>
      </w:r>
      <w:r>
        <w:rPr>
          <w:spacing w:val="-10"/>
        </w:rPr>
        <w:t> </w:t>
      </w:r>
      <w:r>
        <w:rPr/>
        <w:t>estratégia</w:t>
      </w:r>
      <w:r>
        <w:rPr>
          <w:spacing w:val="-10"/>
        </w:rPr>
        <w:t> </w:t>
      </w:r>
      <w:r>
        <w:rPr/>
        <w:t>que</w:t>
      </w:r>
      <w:r>
        <w:rPr>
          <w:spacing w:val="-10"/>
        </w:rPr>
        <w:t> </w:t>
      </w:r>
      <w:r>
        <w:rPr/>
        <w:t>se</w:t>
      </w:r>
      <w:r>
        <w:rPr>
          <w:spacing w:val="-10"/>
        </w:rPr>
        <w:t> </w:t>
      </w:r>
      <w:r>
        <w:rPr/>
        <w:t>utiliza</w:t>
      </w:r>
      <w:r>
        <w:rPr>
          <w:spacing w:val="-10"/>
        </w:rPr>
        <w:t> </w:t>
      </w:r>
      <w:r>
        <w:rPr/>
        <w:t>para</w:t>
      </w:r>
      <w:r>
        <w:rPr>
          <w:spacing w:val="-10"/>
        </w:rPr>
        <w:t> </w:t>
      </w:r>
      <w:r>
        <w:rPr/>
        <w:t>os homens, ficando</w:t>
      </w:r>
      <w:r>
        <w:rPr>
          <w:spacing w:val="-8"/>
        </w:rPr>
        <w:t> </w:t>
      </w:r>
      <w:r>
        <w:rPr/>
        <w:t>uma</w:t>
      </w:r>
      <w:r>
        <w:rPr>
          <w:spacing w:val="-10"/>
        </w:rPr>
        <w:t> </w:t>
      </w:r>
      <w:r>
        <w:rPr/>
        <w:t>grande</w:t>
      </w:r>
      <w:r>
        <w:rPr>
          <w:spacing w:val="-10"/>
        </w:rPr>
        <w:t> </w:t>
      </w:r>
      <w:r>
        <w:rPr/>
        <w:t>dúvida</w:t>
      </w:r>
      <w:r>
        <w:rPr>
          <w:spacing w:val="-10"/>
        </w:rPr>
        <w:t> </w:t>
      </w:r>
      <w:r>
        <w:rPr/>
        <w:t>quanto</w:t>
      </w:r>
      <w:r>
        <w:rPr>
          <w:spacing w:val="-8"/>
        </w:rPr>
        <w:t> </w:t>
      </w:r>
      <w:r>
        <w:rPr/>
        <w:t>ao</w:t>
      </w:r>
      <w:r>
        <w:rPr>
          <w:spacing w:val="-8"/>
        </w:rPr>
        <w:t> </w:t>
      </w:r>
      <w:r>
        <w:rPr/>
        <w:t>eventual</w:t>
      </w:r>
      <w:r>
        <w:rPr>
          <w:spacing w:val="-5"/>
        </w:rPr>
        <w:t> </w:t>
      </w:r>
      <w:r>
        <w:rPr/>
        <w:t>benefício da reposição hormonal, no momento contraindicada para as mulheres com doença coronária e que não usavam estrógenos até então.</w:t>
      </w:r>
      <w:r>
        <w:rPr>
          <w:vertAlign w:val="superscript"/>
        </w:rPr>
        <w:t>65</w:t>
      </w:r>
    </w:p>
    <w:p>
      <w:pPr>
        <w:pStyle w:val="BodyText"/>
        <w:spacing w:before="42"/>
        <w:ind w:left="0" w:firstLine="0"/>
        <w:jc w:val="left"/>
      </w:pPr>
    </w:p>
    <w:p>
      <w:pPr>
        <w:pStyle w:val="Heading9"/>
      </w:pPr>
      <w:r>
        <w:rPr>
          <w:color w:val="A26108"/>
        </w:rPr>
        <w:t>Inibidores</w:t>
      </w:r>
      <w:r>
        <w:rPr>
          <w:color w:val="A26108"/>
          <w:spacing w:val="14"/>
        </w:rPr>
        <w:t> </w:t>
      </w:r>
      <w:r>
        <w:rPr>
          <w:color w:val="A26108"/>
        </w:rPr>
        <w:t>da</w:t>
      </w:r>
      <w:r>
        <w:rPr>
          <w:color w:val="A26108"/>
          <w:spacing w:val="14"/>
        </w:rPr>
        <w:t> </w:t>
      </w:r>
      <w:r>
        <w:rPr>
          <w:color w:val="A26108"/>
        </w:rPr>
        <w:t>enzima</w:t>
      </w:r>
      <w:r>
        <w:rPr>
          <w:color w:val="A26108"/>
          <w:spacing w:val="14"/>
        </w:rPr>
        <w:t> </w:t>
      </w:r>
      <w:r>
        <w:rPr>
          <w:color w:val="A26108"/>
        </w:rPr>
        <w:t>de</w:t>
      </w:r>
      <w:r>
        <w:rPr>
          <w:color w:val="A26108"/>
          <w:spacing w:val="14"/>
        </w:rPr>
        <w:t> </w:t>
      </w:r>
      <w:r>
        <w:rPr>
          <w:color w:val="A26108"/>
          <w:spacing w:val="-2"/>
        </w:rPr>
        <w:t>conversão</w:t>
      </w:r>
    </w:p>
    <w:p>
      <w:pPr>
        <w:pStyle w:val="BodyText"/>
        <w:spacing w:line="278" w:lineRule="auto" w:before="117"/>
        <w:ind w:right="487"/>
      </w:pPr>
      <w:r>
        <w:rPr/>
        <w:t>Os resultados do estudo HOPE (Heart Outcomes Prevention Evaluation) demonstram que o uso de inibidor de enzima de conversão reduz a incidência de morte cardiovascular, infarto do miocárdio e acidente vascular cerebral em</w:t>
      </w:r>
      <w:r>
        <w:rPr>
          <w:spacing w:val="-3"/>
        </w:rPr>
        <w:t> </w:t>
      </w:r>
      <w:r>
        <w:rPr/>
        <w:t>paciente</w:t>
      </w:r>
      <w:r>
        <w:rPr>
          <w:spacing w:val="-6"/>
        </w:rPr>
        <w:t> </w:t>
      </w:r>
      <w:r>
        <w:rPr/>
        <w:t>de</w:t>
      </w:r>
      <w:r>
        <w:rPr>
          <w:spacing w:val="-6"/>
        </w:rPr>
        <w:t> </w:t>
      </w:r>
      <w:r>
        <w:rPr/>
        <w:t>alto</w:t>
      </w:r>
      <w:r>
        <w:rPr>
          <w:spacing w:val="-3"/>
        </w:rPr>
        <w:t> </w:t>
      </w:r>
      <w:r>
        <w:rPr/>
        <w:t>risco</w:t>
      </w:r>
      <w:r>
        <w:rPr>
          <w:spacing w:val="-3"/>
        </w:rPr>
        <w:t> </w:t>
      </w:r>
      <w:r>
        <w:rPr/>
        <w:t>para</w:t>
      </w:r>
      <w:r>
        <w:rPr>
          <w:spacing w:val="-6"/>
        </w:rPr>
        <w:t> </w:t>
      </w:r>
      <w:r>
        <w:rPr/>
        <w:t>doença</w:t>
      </w:r>
      <w:r>
        <w:rPr>
          <w:spacing w:val="-6"/>
        </w:rPr>
        <w:t> </w:t>
      </w:r>
      <w:r>
        <w:rPr/>
        <w:t>aterosclerótica</w:t>
      </w:r>
      <w:r>
        <w:rPr>
          <w:spacing w:val="-6"/>
        </w:rPr>
        <w:t> </w:t>
      </w:r>
      <w:r>
        <w:rPr/>
        <w:t>com</w:t>
      </w:r>
      <w:r>
        <w:rPr>
          <w:spacing w:val="-3"/>
        </w:rPr>
        <w:t> </w:t>
      </w:r>
      <w:r>
        <w:rPr/>
        <w:t>função</w:t>
      </w:r>
      <w:r>
        <w:rPr>
          <w:spacing w:val="-3"/>
        </w:rPr>
        <w:t> </w:t>
      </w:r>
      <w:r>
        <w:rPr/>
        <w:t>ventricular esquerda</w:t>
      </w:r>
      <w:r>
        <w:rPr>
          <w:spacing w:val="-6"/>
        </w:rPr>
        <w:t> </w:t>
      </w:r>
      <w:r>
        <w:rPr/>
        <w:t>preservada. Um</w:t>
      </w:r>
      <w:r>
        <w:rPr>
          <w:spacing w:val="-3"/>
        </w:rPr>
        <w:t> </w:t>
      </w:r>
      <w:r>
        <w:rPr/>
        <w:t>subestudo, o MicroHOPE, demonstrou benefícios expressivos para proteção cardíaca e renal em pacientes diabéticos, com redução de risco de eventos</w:t>
      </w:r>
      <w:r>
        <w:rPr>
          <w:spacing w:val="11"/>
        </w:rPr>
        <w:t> </w:t>
      </w:r>
      <w:r>
        <w:rPr/>
        <w:t>em torno de 25%.</w:t>
      </w:r>
      <w:r>
        <w:rPr>
          <w:spacing w:val="11"/>
        </w:rPr>
        <w:t> </w:t>
      </w:r>
      <w:r>
        <w:rPr/>
        <w:t>Com base nesses</w:t>
      </w:r>
      <w:r>
        <w:rPr>
          <w:spacing w:val="11"/>
        </w:rPr>
        <w:t> </w:t>
      </w:r>
      <w:r>
        <w:rPr/>
        <w:t>dados,</w:t>
      </w:r>
      <w:r>
        <w:rPr>
          <w:spacing w:val="11"/>
        </w:rPr>
        <w:t> </w:t>
      </w:r>
      <w:r>
        <w:rPr/>
        <w:t>passou-se a indicar o uso dessa droga,</w:t>
      </w:r>
      <w:r>
        <w:rPr>
          <w:spacing w:val="11"/>
        </w:rPr>
        <w:t> </w:t>
      </w:r>
      <w:r>
        <w:rPr/>
        <w:t>com a</w:t>
      </w:r>
      <w:r>
        <w:rPr>
          <w:spacing w:val="-15"/>
        </w:rPr>
        <w:t> </w:t>
      </w:r>
      <w:r>
        <w:rPr/>
        <w:t>classe</w:t>
      </w:r>
      <w:r>
        <w:rPr>
          <w:spacing w:val="-14"/>
        </w:rPr>
        <w:t> </w:t>
      </w:r>
      <w:r>
        <w:rPr/>
        <w:t>I</w:t>
      </w:r>
      <w:r>
        <w:rPr>
          <w:spacing w:val="-9"/>
        </w:rPr>
        <w:t> </w:t>
      </w:r>
      <w:r>
        <w:rPr/>
        <w:t>de</w:t>
      </w:r>
      <w:r>
        <w:rPr>
          <w:spacing w:val="-15"/>
        </w:rPr>
        <w:t> </w:t>
      </w:r>
      <w:r>
        <w:rPr/>
        <w:t>recomendação</w:t>
      </w:r>
      <w:r>
        <w:rPr>
          <w:spacing w:val="-12"/>
        </w:rPr>
        <w:t> </w:t>
      </w:r>
      <w:r>
        <w:rPr/>
        <w:t>em</w:t>
      </w:r>
      <w:r>
        <w:rPr>
          <w:spacing w:val="-13"/>
        </w:rPr>
        <w:t> </w:t>
      </w:r>
      <w:r>
        <w:rPr/>
        <w:t>pacientes</w:t>
      </w:r>
      <w:r>
        <w:rPr>
          <w:spacing w:val="-6"/>
        </w:rPr>
        <w:t> </w:t>
      </w:r>
      <w:r>
        <w:rPr/>
        <w:t>com</w:t>
      </w:r>
      <w:r>
        <w:rPr>
          <w:spacing w:val="-13"/>
        </w:rPr>
        <w:t> </w:t>
      </w:r>
      <w:r>
        <w:rPr/>
        <w:t>doença</w:t>
      </w:r>
      <w:r>
        <w:rPr>
          <w:spacing w:val="-15"/>
        </w:rPr>
        <w:t> </w:t>
      </w:r>
      <w:r>
        <w:rPr/>
        <w:t>coronária</w:t>
      </w:r>
      <w:r>
        <w:rPr>
          <w:spacing w:val="-14"/>
        </w:rPr>
        <w:t> </w:t>
      </w:r>
      <w:r>
        <w:rPr/>
        <w:t>documentada</w:t>
      </w:r>
      <w:r>
        <w:rPr>
          <w:spacing w:val="-15"/>
        </w:rPr>
        <w:t> </w:t>
      </w:r>
      <w:r>
        <w:rPr/>
        <w:t>que</w:t>
      </w:r>
      <w:r>
        <w:rPr>
          <w:spacing w:val="-14"/>
        </w:rPr>
        <w:t> </w:t>
      </w:r>
      <w:r>
        <w:rPr/>
        <w:t>também</w:t>
      </w:r>
      <w:r>
        <w:rPr>
          <w:spacing w:val="-12"/>
        </w:rPr>
        <w:t> </w:t>
      </w:r>
      <w:r>
        <w:rPr/>
        <w:t>tenham</w:t>
      </w:r>
      <w:r>
        <w:rPr>
          <w:spacing w:val="-13"/>
        </w:rPr>
        <w:t> </w:t>
      </w:r>
      <w:r>
        <w:rPr/>
        <w:t>diabetes</w:t>
      </w:r>
      <w:r>
        <w:rPr>
          <w:spacing w:val="-6"/>
        </w:rPr>
        <w:t> </w:t>
      </w:r>
      <w:r>
        <w:rPr/>
        <w:t>melito</w:t>
      </w:r>
      <w:r>
        <w:rPr>
          <w:spacing w:val="-13"/>
        </w:rPr>
        <w:t> </w:t>
      </w:r>
      <w:r>
        <w:rPr/>
        <w:t>ou disfunção ventricular esquerda, e com a classe II nos demais pacientes com diagnóstico de doença aterosclerótica </w:t>
      </w:r>
      <w:r>
        <w:rPr>
          <w:spacing w:val="-2"/>
        </w:rPr>
        <w:t>coronária.</w:t>
      </w:r>
      <w:r>
        <w:rPr>
          <w:spacing w:val="-2"/>
          <w:vertAlign w:val="superscript"/>
        </w:rPr>
        <w:t>66,67</w:t>
      </w:r>
    </w:p>
    <w:p>
      <w:pPr>
        <w:pStyle w:val="BodyText"/>
        <w:spacing w:before="129"/>
        <w:ind w:left="0" w:firstLine="0"/>
        <w:jc w:val="left"/>
      </w:pPr>
    </w:p>
    <w:p>
      <w:pPr>
        <w:pStyle w:val="Heading5"/>
      </w:pPr>
      <w:r>
        <w:rPr>
          <w:color w:val="A26108"/>
        </w:rPr>
        <w:t>Tratamento</w:t>
      </w:r>
      <w:r>
        <w:rPr>
          <w:color w:val="A26108"/>
          <w:spacing w:val="24"/>
        </w:rPr>
        <w:t> </w:t>
      </w:r>
      <w:r>
        <w:rPr>
          <w:color w:val="A26108"/>
        </w:rPr>
        <w:t>por</w:t>
      </w:r>
      <w:r>
        <w:rPr>
          <w:color w:val="A26108"/>
          <w:spacing w:val="24"/>
        </w:rPr>
        <w:t> </w:t>
      </w:r>
      <w:r>
        <w:rPr>
          <w:color w:val="A26108"/>
        </w:rPr>
        <w:t>métodos</w:t>
      </w:r>
      <w:r>
        <w:rPr>
          <w:color w:val="A26108"/>
          <w:spacing w:val="25"/>
        </w:rPr>
        <w:t> </w:t>
      </w:r>
      <w:r>
        <w:rPr>
          <w:color w:val="A26108"/>
          <w:spacing w:val="-2"/>
        </w:rPr>
        <w:t>invasivos</w:t>
      </w:r>
    </w:p>
    <w:p>
      <w:pPr>
        <w:pStyle w:val="BodyText"/>
        <w:spacing w:line="278" w:lineRule="auto" w:before="138"/>
        <w:ind w:right="497"/>
      </w:pPr>
      <w:r>
        <w:rPr/>
        <w:t>Por mais que se tente definir situações nas quais é preferível modificar o grau das obstruções existentes nas coronárias</w:t>
      </w:r>
      <w:r>
        <w:rPr>
          <w:spacing w:val="-6"/>
        </w:rPr>
        <w:t> </w:t>
      </w:r>
      <w:r>
        <w:rPr/>
        <w:t>epicárdicas</w:t>
      </w:r>
      <w:r>
        <w:rPr>
          <w:spacing w:val="-5"/>
        </w:rPr>
        <w:t> </w:t>
      </w:r>
      <w:r>
        <w:rPr/>
        <w:t>utilizando</w:t>
      </w:r>
      <w:r>
        <w:rPr>
          <w:spacing w:val="-13"/>
        </w:rPr>
        <w:t> </w:t>
      </w:r>
      <w:r>
        <w:rPr/>
        <w:t>cateteres-balão,</w:t>
      </w:r>
      <w:r>
        <w:rPr>
          <w:spacing w:val="-5"/>
        </w:rPr>
        <w:t> </w:t>
      </w:r>
      <w:r>
        <w:rPr/>
        <w:t>ou</w:t>
      </w:r>
      <w:r>
        <w:rPr>
          <w:spacing w:val="-13"/>
        </w:rPr>
        <w:t> </w:t>
      </w:r>
      <w:r>
        <w:rPr/>
        <w:t>então</w:t>
      </w:r>
      <w:r>
        <w:rPr>
          <w:spacing w:val="-13"/>
        </w:rPr>
        <w:t> </w:t>
      </w:r>
      <w:r>
        <w:rPr/>
        <w:t>criar</w:t>
      </w:r>
      <w:r>
        <w:rPr>
          <w:spacing w:val="-8"/>
        </w:rPr>
        <w:t> </w:t>
      </w:r>
      <w:r>
        <w:rPr/>
        <w:t>vias</w:t>
      </w:r>
      <w:r>
        <w:rPr>
          <w:spacing w:val="-5"/>
        </w:rPr>
        <w:t> </w:t>
      </w:r>
      <w:r>
        <w:rPr/>
        <w:t>alternativas</w:t>
      </w:r>
      <w:r>
        <w:rPr>
          <w:spacing w:val="-5"/>
        </w:rPr>
        <w:t> </w:t>
      </w:r>
      <w:r>
        <w:rPr/>
        <w:t>para</w:t>
      </w:r>
      <w:r>
        <w:rPr>
          <w:spacing w:val="-15"/>
        </w:rPr>
        <w:t> </w:t>
      </w:r>
      <w:r>
        <w:rPr/>
        <w:t>restabelecer</w:t>
      </w:r>
      <w:r>
        <w:rPr>
          <w:spacing w:val="-7"/>
        </w:rPr>
        <w:t> </w:t>
      </w:r>
      <w:r>
        <w:rPr/>
        <w:t>o</w:t>
      </w:r>
      <w:r>
        <w:rPr>
          <w:spacing w:val="-13"/>
        </w:rPr>
        <w:t> </w:t>
      </w:r>
      <w:r>
        <w:rPr/>
        <w:t>fluxo</w:t>
      </w:r>
      <w:r>
        <w:rPr>
          <w:spacing w:val="-13"/>
        </w:rPr>
        <w:t> </w:t>
      </w:r>
      <w:r>
        <w:rPr/>
        <w:t>sanguíneo para os territórios miocárdicos sob risco utilizando enxertos arteriais ou venosos pela técnica de toracotomia convencional ou microtoracotomia, não se pode considerar essas técnicas como alternativas, mas sim como complementares ao tratamento medicamentoso, tanto para reduzir mortalidade e infarto quanto para melhora da qualidade</w:t>
      </w:r>
      <w:r>
        <w:rPr>
          <w:spacing w:val="-8"/>
        </w:rPr>
        <w:t> </w:t>
      </w:r>
      <w:r>
        <w:rPr/>
        <w:t>de</w:t>
      </w:r>
      <w:r>
        <w:rPr>
          <w:spacing w:val="-8"/>
        </w:rPr>
        <w:t> </w:t>
      </w:r>
      <w:r>
        <w:rPr/>
        <w:t>vida. Há</w:t>
      </w:r>
      <w:r>
        <w:rPr>
          <w:spacing w:val="-8"/>
        </w:rPr>
        <w:t> </w:t>
      </w:r>
      <w:r>
        <w:rPr/>
        <w:t>grande</w:t>
      </w:r>
      <w:r>
        <w:rPr>
          <w:spacing w:val="-8"/>
        </w:rPr>
        <w:t> </w:t>
      </w:r>
      <w:r>
        <w:rPr/>
        <w:t>dificuldade</w:t>
      </w:r>
      <w:r>
        <w:rPr>
          <w:spacing w:val="-8"/>
        </w:rPr>
        <w:t> </w:t>
      </w:r>
      <w:r>
        <w:rPr/>
        <w:t>para</w:t>
      </w:r>
      <w:r>
        <w:rPr>
          <w:spacing w:val="-8"/>
        </w:rPr>
        <w:t> </w:t>
      </w:r>
      <w:r>
        <w:rPr/>
        <w:t>se</w:t>
      </w:r>
      <w:r>
        <w:rPr>
          <w:spacing w:val="-8"/>
        </w:rPr>
        <w:t> </w:t>
      </w:r>
      <w:r>
        <w:rPr/>
        <w:t>interpretar resultados de</w:t>
      </w:r>
      <w:r>
        <w:rPr>
          <w:spacing w:val="-8"/>
        </w:rPr>
        <w:t> </w:t>
      </w:r>
      <w:r>
        <w:rPr/>
        <w:t>estudos que</w:t>
      </w:r>
      <w:r>
        <w:rPr>
          <w:spacing w:val="-8"/>
        </w:rPr>
        <w:t> </w:t>
      </w:r>
      <w:r>
        <w:rPr/>
        <w:t>foram</w:t>
      </w:r>
      <w:r>
        <w:rPr>
          <w:spacing w:val="-5"/>
        </w:rPr>
        <w:t> </w:t>
      </w:r>
      <w:r>
        <w:rPr/>
        <w:t>realizados nas décadas de 1970 e 1980, caso das comparações entre tratamento clínico e cirúrgico, em especial o estudo CASS,</w:t>
      </w:r>
      <w:r>
        <w:rPr>
          <w:vertAlign w:val="superscript"/>
        </w:rPr>
        <w:t>68</w:t>
      </w:r>
      <w:r>
        <w:rPr>
          <w:vertAlign w:val="baseline"/>
        </w:rPr>
        <w:t> e os realizados na década de 1990, caso dos estudos comparativos entre tratamento clínico e angioplastia transluminal coronária, como o BARI e o MASS.</w:t>
      </w:r>
      <w:r>
        <w:rPr>
          <w:vertAlign w:val="superscript"/>
        </w:rPr>
        <w:t>69,70</w:t>
      </w:r>
      <w:r>
        <w:rPr>
          <w:vertAlign w:val="baseline"/>
        </w:rPr>
        <w:t> Primeiro, porque as técnicas cirúrgicas são hoje melhores do que no passado, implicando menor morbimortalidade. Segundo, porque os cateteres têm tido mudanças técnicas incrivelmente</w:t>
      </w:r>
      <w:r>
        <w:rPr>
          <w:spacing w:val="-1"/>
          <w:vertAlign w:val="baseline"/>
        </w:rPr>
        <w:t> </w:t>
      </w:r>
      <w:r>
        <w:rPr>
          <w:vertAlign w:val="baseline"/>
        </w:rPr>
        <w:t>rápidas, como o uso dos </w:t>
      </w:r>
      <w:r>
        <w:rPr>
          <w:i/>
          <w:vertAlign w:val="baseline"/>
        </w:rPr>
        <w:t>stents </w:t>
      </w:r>
      <w:r>
        <w:rPr>
          <w:vertAlign w:val="baseline"/>
        </w:rPr>
        <w:t>intracoronários (mais recentemente os </w:t>
      </w:r>
      <w:r>
        <w:rPr>
          <w:i/>
          <w:vertAlign w:val="baseline"/>
        </w:rPr>
        <w:t>stents </w:t>
      </w:r>
      <w:r>
        <w:rPr>
          <w:vertAlign w:val="baseline"/>
        </w:rPr>
        <w:t>revestidos), o que torna inviáveis</w:t>
      </w:r>
      <w:r>
        <w:rPr>
          <w:spacing w:val="-5"/>
          <w:vertAlign w:val="baseline"/>
        </w:rPr>
        <w:t> </w:t>
      </w:r>
      <w:r>
        <w:rPr>
          <w:vertAlign w:val="baseline"/>
        </w:rPr>
        <w:t>essas</w:t>
      </w:r>
      <w:r>
        <w:rPr>
          <w:spacing w:val="-5"/>
          <w:vertAlign w:val="baseline"/>
        </w:rPr>
        <w:t> </w:t>
      </w:r>
      <w:r>
        <w:rPr>
          <w:vertAlign w:val="baseline"/>
        </w:rPr>
        <w:t>comparações.</w:t>
      </w:r>
      <w:r>
        <w:rPr>
          <w:spacing w:val="-5"/>
          <w:vertAlign w:val="baseline"/>
        </w:rPr>
        <w:t> </w:t>
      </w:r>
      <w:r>
        <w:rPr>
          <w:vertAlign w:val="baseline"/>
        </w:rPr>
        <w:t>Além</w:t>
      </w:r>
      <w:r>
        <w:rPr>
          <w:spacing w:val="-11"/>
          <w:vertAlign w:val="baseline"/>
        </w:rPr>
        <w:t> </w:t>
      </w:r>
      <w:r>
        <w:rPr>
          <w:vertAlign w:val="baseline"/>
        </w:rPr>
        <w:t>disso,</w:t>
      </w:r>
      <w:r>
        <w:rPr>
          <w:spacing w:val="-5"/>
          <w:vertAlign w:val="baseline"/>
        </w:rPr>
        <w:t> </w:t>
      </w:r>
      <w:r>
        <w:rPr>
          <w:vertAlign w:val="baseline"/>
        </w:rPr>
        <w:t>o</w:t>
      </w:r>
      <w:r>
        <w:rPr>
          <w:spacing w:val="-11"/>
          <w:vertAlign w:val="baseline"/>
        </w:rPr>
        <w:t> </w:t>
      </w:r>
      <w:r>
        <w:rPr>
          <w:vertAlign w:val="baseline"/>
        </w:rPr>
        <w:t>grande</w:t>
      </w:r>
      <w:r>
        <w:rPr>
          <w:spacing w:val="-14"/>
          <w:vertAlign w:val="baseline"/>
        </w:rPr>
        <w:t> </w:t>
      </w:r>
      <w:r>
        <w:rPr>
          <w:vertAlign w:val="baseline"/>
        </w:rPr>
        <w:t>avanço</w:t>
      </w:r>
      <w:r>
        <w:rPr>
          <w:spacing w:val="-11"/>
          <w:vertAlign w:val="baseline"/>
        </w:rPr>
        <w:t> </w:t>
      </w:r>
      <w:r>
        <w:rPr>
          <w:vertAlign w:val="baseline"/>
        </w:rPr>
        <w:t>no</w:t>
      </w:r>
      <w:r>
        <w:rPr>
          <w:spacing w:val="-11"/>
          <w:vertAlign w:val="baseline"/>
        </w:rPr>
        <w:t> </w:t>
      </w:r>
      <w:r>
        <w:rPr>
          <w:vertAlign w:val="baseline"/>
        </w:rPr>
        <w:t>entendimento</w:t>
      </w:r>
      <w:r>
        <w:rPr>
          <w:spacing w:val="-11"/>
          <w:vertAlign w:val="baseline"/>
        </w:rPr>
        <w:t> </w:t>
      </w:r>
      <w:r>
        <w:rPr>
          <w:vertAlign w:val="baseline"/>
        </w:rPr>
        <w:t>da</w:t>
      </w:r>
      <w:r>
        <w:rPr>
          <w:spacing w:val="-14"/>
          <w:vertAlign w:val="baseline"/>
        </w:rPr>
        <w:t> </w:t>
      </w:r>
      <w:r>
        <w:rPr>
          <w:vertAlign w:val="baseline"/>
        </w:rPr>
        <w:t>fisiopatologia</w:t>
      </w:r>
      <w:r>
        <w:rPr>
          <w:spacing w:val="-14"/>
          <w:vertAlign w:val="baseline"/>
        </w:rPr>
        <w:t> </w:t>
      </w:r>
      <w:r>
        <w:rPr>
          <w:vertAlign w:val="baseline"/>
        </w:rPr>
        <w:t>da</w:t>
      </w:r>
      <w:r>
        <w:rPr>
          <w:spacing w:val="-14"/>
          <w:vertAlign w:val="baseline"/>
        </w:rPr>
        <w:t> </w:t>
      </w:r>
      <w:r>
        <w:rPr>
          <w:vertAlign w:val="baseline"/>
        </w:rPr>
        <w:t>evolução</w:t>
      </w:r>
      <w:r>
        <w:rPr>
          <w:spacing w:val="-11"/>
          <w:vertAlign w:val="baseline"/>
        </w:rPr>
        <w:t> </w:t>
      </w:r>
      <w:r>
        <w:rPr>
          <w:vertAlign w:val="baseline"/>
        </w:rPr>
        <w:t>da</w:t>
      </w:r>
      <w:r>
        <w:rPr>
          <w:spacing w:val="-14"/>
          <w:vertAlign w:val="baseline"/>
        </w:rPr>
        <w:t> </w:t>
      </w:r>
      <w:r>
        <w:rPr>
          <w:vertAlign w:val="baseline"/>
        </w:rPr>
        <w:t>doença aterosclerótica e dos fatores envolvidos na precipitação dos quadros agudos possibilitou o desenvolvimento de inúmeros novos fármacos, em especial as vastatinas, que têm alterado de modo altamente significativo a evolução dessa doença em consecutivos estudos com número muito grande de pacientes. Outra grande dificuldade é a definição, em estudos pregressos, de pacientes multiarteriais, baseando-se na existência de lesões $ 50% de obstrução. Um paciente com obstruções de 50% nas três coronárias principais e ausência de isquemia em testes funcionais tem prognóstico de evento futuro, incluindo morte, bem diferente de outro com 95% em artérias interventricular anterior (descendente anterior) e coronária direita dominante, muito embora o primeiro seja triarterial e o segundo biarterial. Por exemplo, pelo estudo CASS seria prudente indicar a cirurgia para o primeiro, principalmente se a lesão da artéria interventricular anterior for no seu início, enquanto o segundo não teria benefícios. Sem nos alongarmos nessa</w:t>
      </w:r>
      <w:r>
        <w:rPr>
          <w:spacing w:val="-1"/>
          <w:vertAlign w:val="baseline"/>
        </w:rPr>
        <w:t> </w:t>
      </w:r>
      <w:r>
        <w:rPr>
          <w:vertAlign w:val="baseline"/>
        </w:rPr>
        <w:t>discussão, tem importância</w:t>
      </w:r>
      <w:r>
        <w:rPr>
          <w:spacing w:val="-1"/>
          <w:vertAlign w:val="baseline"/>
        </w:rPr>
        <w:t> </w:t>
      </w:r>
      <w:r>
        <w:rPr>
          <w:vertAlign w:val="baseline"/>
        </w:rPr>
        <w:t>a</w:t>
      </w:r>
      <w:r>
        <w:rPr>
          <w:spacing w:val="-1"/>
          <w:vertAlign w:val="baseline"/>
        </w:rPr>
        <w:t> </w:t>
      </w:r>
      <w:r>
        <w:rPr>
          <w:vertAlign w:val="baseline"/>
        </w:rPr>
        <w:t>existência</w:t>
      </w:r>
      <w:r>
        <w:rPr>
          <w:spacing w:val="-1"/>
          <w:vertAlign w:val="baseline"/>
        </w:rPr>
        <w:t> </w:t>
      </w:r>
      <w:r>
        <w:rPr>
          <w:vertAlign w:val="baseline"/>
        </w:rPr>
        <w:t>de: isquemia</w:t>
      </w:r>
      <w:r>
        <w:rPr>
          <w:spacing w:val="-1"/>
          <w:vertAlign w:val="baseline"/>
        </w:rPr>
        <w:t> </w:t>
      </w:r>
      <w:r>
        <w:rPr>
          <w:vertAlign w:val="baseline"/>
        </w:rPr>
        <w:t>em provas funcionais, disfunção ventricular esquerda, lesão de tronco de artéria coronária esquerda, sintomas não controlados com o tratamento e muita limitação das atividades habituais, idade biológica do paciente e experiência dos hemodinamicistas e</w:t>
      </w:r>
      <w:r>
        <w:rPr>
          <w:spacing w:val="-2"/>
          <w:vertAlign w:val="baseline"/>
        </w:rPr>
        <w:t> </w:t>
      </w:r>
      <w:r>
        <w:rPr>
          <w:vertAlign w:val="baseline"/>
        </w:rPr>
        <w:t>cirurgiões do local. Assim considerando, quando se</w:t>
      </w:r>
      <w:r>
        <w:rPr>
          <w:spacing w:val="-2"/>
          <w:vertAlign w:val="baseline"/>
        </w:rPr>
        <w:t> </w:t>
      </w:r>
      <w:r>
        <w:rPr>
          <w:vertAlign w:val="baseline"/>
        </w:rPr>
        <w:t>decide</w:t>
      </w:r>
      <w:r>
        <w:rPr>
          <w:spacing w:val="-2"/>
          <w:vertAlign w:val="baseline"/>
        </w:rPr>
        <w:t> </w:t>
      </w:r>
      <w:r>
        <w:rPr>
          <w:vertAlign w:val="baseline"/>
        </w:rPr>
        <w:t>pela</w:t>
      </w:r>
      <w:r>
        <w:rPr>
          <w:spacing w:val="-2"/>
          <w:vertAlign w:val="baseline"/>
        </w:rPr>
        <w:t> </w:t>
      </w:r>
      <w:r>
        <w:rPr>
          <w:vertAlign w:val="baseline"/>
        </w:rPr>
        <w:t>intervenção, os pacientes com lesão em uma artéria são, frequentemente, tratados com angioplastia. No caso de lesões biarteriais, ambas as técnicas podem ser indicadas, dando-se preferência para a cirurgia. Em lesões de três artérias principais ou necessidade</w:t>
      </w:r>
      <w:r>
        <w:rPr>
          <w:spacing w:val="70"/>
          <w:vertAlign w:val="baseline"/>
        </w:rPr>
        <w:t> </w:t>
      </w:r>
      <w:r>
        <w:rPr>
          <w:vertAlign w:val="baseline"/>
        </w:rPr>
        <w:t>de</w:t>
      </w:r>
      <w:r>
        <w:rPr>
          <w:spacing w:val="70"/>
          <w:vertAlign w:val="baseline"/>
        </w:rPr>
        <w:t> </w:t>
      </w:r>
      <w:r>
        <w:rPr>
          <w:vertAlign w:val="baseline"/>
        </w:rPr>
        <w:t>revascularizar</w:t>
      </w:r>
      <w:r>
        <w:rPr>
          <w:spacing w:val="79"/>
          <w:vertAlign w:val="baseline"/>
        </w:rPr>
        <w:t> </w:t>
      </w:r>
      <w:r>
        <w:rPr>
          <w:vertAlign w:val="baseline"/>
        </w:rPr>
        <w:t>vários</w:t>
      </w:r>
      <w:r>
        <w:rPr>
          <w:spacing w:val="80"/>
          <w:vertAlign w:val="baseline"/>
        </w:rPr>
        <w:t> </w:t>
      </w:r>
      <w:r>
        <w:rPr>
          <w:vertAlign w:val="baseline"/>
        </w:rPr>
        <w:t>segmentos</w:t>
      </w:r>
      <w:r>
        <w:rPr>
          <w:spacing w:val="80"/>
          <w:vertAlign w:val="baseline"/>
        </w:rPr>
        <w:t> </w:t>
      </w:r>
      <w:r>
        <w:rPr>
          <w:vertAlign w:val="baseline"/>
        </w:rPr>
        <w:t>arteriais</w:t>
      </w:r>
      <w:r>
        <w:rPr>
          <w:spacing w:val="80"/>
          <w:vertAlign w:val="baseline"/>
        </w:rPr>
        <w:t> </w:t>
      </w:r>
      <w:r>
        <w:rPr>
          <w:vertAlign w:val="baseline"/>
        </w:rPr>
        <w:t>não</w:t>
      </w:r>
      <w:r>
        <w:rPr>
          <w:spacing w:val="73"/>
          <w:vertAlign w:val="baseline"/>
        </w:rPr>
        <w:t> </w:t>
      </w:r>
      <w:r>
        <w:rPr>
          <w:vertAlign w:val="baseline"/>
        </w:rPr>
        <w:t>principais,</w:t>
      </w:r>
      <w:r>
        <w:rPr>
          <w:spacing w:val="80"/>
          <w:vertAlign w:val="baseline"/>
        </w:rPr>
        <w:t> </w:t>
      </w:r>
      <w:r>
        <w:rPr>
          <w:vertAlign w:val="baseline"/>
        </w:rPr>
        <w:t>a</w:t>
      </w:r>
      <w:r>
        <w:rPr>
          <w:spacing w:val="70"/>
          <w:vertAlign w:val="baseline"/>
        </w:rPr>
        <w:t> </w:t>
      </w:r>
      <w:r>
        <w:rPr>
          <w:vertAlign w:val="baseline"/>
        </w:rPr>
        <w:t>cirurgia</w:t>
      </w:r>
      <w:r>
        <w:rPr>
          <w:spacing w:val="70"/>
          <w:vertAlign w:val="baseline"/>
        </w:rPr>
        <w:t> </w:t>
      </w:r>
      <w:r>
        <w:rPr>
          <w:vertAlign w:val="baseline"/>
        </w:rPr>
        <w:t>é</w:t>
      </w:r>
      <w:r>
        <w:rPr>
          <w:spacing w:val="70"/>
          <w:vertAlign w:val="baseline"/>
        </w:rPr>
        <w:t> </w:t>
      </w:r>
      <w:r>
        <w:rPr>
          <w:vertAlign w:val="baseline"/>
        </w:rPr>
        <w:t>certamente</w:t>
      </w:r>
      <w:r>
        <w:rPr>
          <w:spacing w:val="70"/>
          <w:vertAlign w:val="baseline"/>
        </w:rPr>
        <w:t> </w:t>
      </w:r>
      <w:r>
        <w:rPr>
          <w:vertAlign w:val="baseline"/>
        </w:rPr>
        <w:t>preferida.</w:t>
      </w:r>
    </w:p>
    <w:p>
      <w:pPr>
        <w:pStyle w:val="BodyText"/>
        <w:spacing w:after="0" w:line="278" w:lineRule="auto"/>
        <w:sectPr>
          <w:pgSz w:w="11900" w:h="16840"/>
          <w:pgMar w:top="200" w:bottom="280" w:left="566" w:right="141"/>
        </w:sectPr>
      </w:pPr>
    </w:p>
    <w:p>
      <w:pPr>
        <w:pStyle w:val="BodyText"/>
        <w:spacing w:line="278" w:lineRule="auto" w:before="75"/>
        <w:ind w:right="497" w:firstLine="0"/>
      </w:pPr>
      <w:r>
        <w:rPr/>
        <w:t>Lembramos que a variabilidade anatômica das lesões coronárias, seus graus de obstruções, os vários graus de disfunção</w:t>
      </w:r>
      <w:r>
        <w:rPr>
          <w:spacing w:val="-5"/>
        </w:rPr>
        <w:t> </w:t>
      </w:r>
      <w:r>
        <w:rPr/>
        <w:t>ventricular, as variações dos segmentos miocárdicos com</w:t>
      </w:r>
      <w:r>
        <w:rPr>
          <w:spacing w:val="-5"/>
        </w:rPr>
        <w:t> </w:t>
      </w:r>
      <w:r>
        <w:rPr/>
        <w:t>isquemia, os fatores associados e</w:t>
      </w:r>
      <w:r>
        <w:rPr>
          <w:spacing w:val="-8"/>
        </w:rPr>
        <w:t> </w:t>
      </w:r>
      <w:r>
        <w:rPr/>
        <w:t>a</w:t>
      </w:r>
      <w:r>
        <w:rPr>
          <w:spacing w:val="-8"/>
        </w:rPr>
        <w:t> </w:t>
      </w:r>
      <w:r>
        <w:rPr/>
        <w:t>experiência dos serviços nas técnicas de</w:t>
      </w:r>
      <w:r>
        <w:rPr>
          <w:spacing w:val="-5"/>
        </w:rPr>
        <w:t> </w:t>
      </w:r>
      <w:r>
        <w:rPr/>
        <w:t>revascularização</w:t>
      </w:r>
      <w:r>
        <w:rPr>
          <w:spacing w:val="-3"/>
        </w:rPr>
        <w:t> </w:t>
      </w:r>
      <w:r>
        <w:rPr/>
        <w:t>frequentemente</w:t>
      </w:r>
      <w:r>
        <w:rPr>
          <w:spacing w:val="-5"/>
        </w:rPr>
        <w:t> </w:t>
      </w:r>
      <w:r>
        <w:rPr/>
        <w:t>tornam</w:t>
      </w:r>
      <w:r>
        <w:rPr>
          <w:spacing w:val="-3"/>
        </w:rPr>
        <w:t> </w:t>
      </w:r>
      <w:r>
        <w:rPr/>
        <w:t>a</w:t>
      </w:r>
      <w:r>
        <w:rPr>
          <w:spacing w:val="-5"/>
        </w:rPr>
        <w:t> </w:t>
      </w:r>
      <w:r>
        <w:rPr/>
        <w:t>indicação</w:t>
      </w:r>
      <w:r>
        <w:rPr>
          <w:spacing w:val="-3"/>
        </w:rPr>
        <w:t> </w:t>
      </w:r>
      <w:r>
        <w:rPr/>
        <w:t>da</w:t>
      </w:r>
      <w:r>
        <w:rPr>
          <w:spacing w:val="-5"/>
        </w:rPr>
        <w:t> </w:t>
      </w:r>
      <w:r>
        <w:rPr/>
        <w:t>revascularização</w:t>
      </w:r>
      <w:r>
        <w:rPr>
          <w:spacing w:val="-3"/>
        </w:rPr>
        <w:t> </w:t>
      </w:r>
      <w:r>
        <w:rPr/>
        <w:t>do</w:t>
      </w:r>
      <w:r>
        <w:rPr>
          <w:spacing w:val="-3"/>
        </w:rPr>
        <w:t> </w:t>
      </w:r>
      <w:r>
        <w:rPr/>
        <w:t>miocárdio uma</w:t>
      </w:r>
      <w:r>
        <w:rPr>
          <w:spacing w:val="-7"/>
        </w:rPr>
        <w:t> </w:t>
      </w:r>
      <w:r>
        <w:rPr/>
        <w:t>decisão</w:t>
      </w:r>
      <w:r>
        <w:rPr>
          <w:spacing w:val="-4"/>
        </w:rPr>
        <w:t> </w:t>
      </w:r>
      <w:r>
        <w:rPr/>
        <w:t>altamente</w:t>
      </w:r>
      <w:r>
        <w:rPr>
          <w:spacing w:val="-7"/>
        </w:rPr>
        <w:t> </w:t>
      </w:r>
      <w:r>
        <w:rPr/>
        <w:t>individualizada.</w:t>
      </w:r>
      <w:r>
        <w:rPr>
          <w:vertAlign w:val="superscript"/>
        </w:rPr>
        <w:t>71</w:t>
      </w:r>
      <w:r>
        <w:rPr>
          <w:vertAlign w:val="baseline"/>
        </w:rPr>
        <w:t> O</w:t>
      </w:r>
      <w:r>
        <w:rPr>
          <w:spacing w:val="-5"/>
          <w:vertAlign w:val="baseline"/>
        </w:rPr>
        <w:t> </w:t>
      </w:r>
      <w:r>
        <w:rPr>
          <w:vertAlign w:val="baseline"/>
        </w:rPr>
        <w:t>que</w:t>
      </w:r>
      <w:r>
        <w:rPr>
          <w:spacing w:val="-5"/>
          <w:vertAlign w:val="baseline"/>
        </w:rPr>
        <w:t> </w:t>
      </w:r>
      <w:r>
        <w:rPr>
          <w:vertAlign w:val="baseline"/>
        </w:rPr>
        <w:t>se</w:t>
      </w:r>
      <w:r>
        <w:rPr>
          <w:spacing w:val="-5"/>
          <w:vertAlign w:val="baseline"/>
        </w:rPr>
        <w:t> </w:t>
      </w:r>
      <w:r>
        <w:rPr>
          <w:vertAlign w:val="baseline"/>
        </w:rPr>
        <w:t>observa</w:t>
      </w:r>
      <w:r>
        <w:rPr>
          <w:spacing w:val="-5"/>
          <w:vertAlign w:val="baseline"/>
        </w:rPr>
        <w:t> </w:t>
      </w:r>
      <w:r>
        <w:rPr>
          <w:vertAlign w:val="baseline"/>
        </w:rPr>
        <w:t>cada</w:t>
      </w:r>
      <w:r>
        <w:rPr>
          <w:spacing w:val="-5"/>
          <w:vertAlign w:val="baseline"/>
        </w:rPr>
        <w:t> </w:t>
      </w:r>
      <w:r>
        <w:rPr>
          <w:vertAlign w:val="baseline"/>
        </w:rPr>
        <w:t>vez</w:t>
      </w:r>
      <w:r>
        <w:rPr>
          <w:spacing w:val="-5"/>
          <w:vertAlign w:val="baseline"/>
        </w:rPr>
        <w:t> </w:t>
      </w:r>
      <w:r>
        <w:rPr>
          <w:vertAlign w:val="baseline"/>
        </w:rPr>
        <w:t>mais é</w:t>
      </w:r>
      <w:r>
        <w:rPr>
          <w:spacing w:val="-5"/>
          <w:vertAlign w:val="baseline"/>
        </w:rPr>
        <w:t> </w:t>
      </w:r>
      <w:r>
        <w:rPr>
          <w:vertAlign w:val="baseline"/>
        </w:rPr>
        <w:t>a</w:t>
      </w:r>
      <w:r>
        <w:rPr>
          <w:spacing w:val="-5"/>
          <w:vertAlign w:val="baseline"/>
        </w:rPr>
        <w:t> </w:t>
      </w:r>
      <w:r>
        <w:rPr>
          <w:vertAlign w:val="baseline"/>
        </w:rPr>
        <w:t>indicação</w:t>
      </w:r>
      <w:r>
        <w:rPr>
          <w:spacing w:val="-3"/>
          <w:vertAlign w:val="baseline"/>
        </w:rPr>
        <w:t> </w:t>
      </w:r>
      <w:r>
        <w:rPr>
          <w:vertAlign w:val="baseline"/>
        </w:rPr>
        <w:t>de</w:t>
      </w:r>
      <w:r>
        <w:rPr>
          <w:spacing w:val="-5"/>
          <w:vertAlign w:val="baseline"/>
        </w:rPr>
        <w:t> </w:t>
      </w:r>
      <w:r>
        <w:rPr>
          <w:vertAlign w:val="baseline"/>
        </w:rPr>
        <w:t>procedimentos invasivos em</w:t>
      </w:r>
      <w:r>
        <w:rPr>
          <w:spacing w:val="-15"/>
          <w:vertAlign w:val="baseline"/>
        </w:rPr>
        <w:t> </w:t>
      </w:r>
      <w:r>
        <w:rPr>
          <w:vertAlign w:val="baseline"/>
        </w:rPr>
        <w:t>paciente</w:t>
      </w:r>
      <w:r>
        <w:rPr>
          <w:spacing w:val="-14"/>
          <w:vertAlign w:val="baseline"/>
        </w:rPr>
        <w:t> </w:t>
      </w:r>
      <w:r>
        <w:rPr>
          <w:vertAlign w:val="baseline"/>
        </w:rPr>
        <w:t>com</w:t>
      </w:r>
      <w:r>
        <w:rPr>
          <w:spacing w:val="-15"/>
          <w:vertAlign w:val="baseline"/>
        </w:rPr>
        <w:t> </w:t>
      </w:r>
      <w:r>
        <w:rPr>
          <w:vertAlign w:val="baseline"/>
        </w:rPr>
        <w:t>doença</w:t>
      </w:r>
      <w:r>
        <w:rPr>
          <w:spacing w:val="-14"/>
          <w:vertAlign w:val="baseline"/>
        </w:rPr>
        <w:t> </w:t>
      </w:r>
      <w:r>
        <w:rPr>
          <w:vertAlign w:val="baseline"/>
        </w:rPr>
        <w:t>de</w:t>
      </w:r>
      <w:r>
        <w:rPr>
          <w:spacing w:val="-14"/>
          <w:vertAlign w:val="baseline"/>
        </w:rPr>
        <w:t> </w:t>
      </w:r>
      <w:r>
        <w:rPr>
          <w:vertAlign w:val="baseline"/>
        </w:rPr>
        <w:t>maior</w:t>
      </w:r>
      <w:r>
        <w:rPr>
          <w:spacing w:val="-15"/>
          <w:vertAlign w:val="baseline"/>
        </w:rPr>
        <w:t> </w:t>
      </w:r>
      <w:r>
        <w:rPr>
          <w:vertAlign w:val="baseline"/>
        </w:rPr>
        <w:t>gravidade</w:t>
      </w:r>
      <w:r>
        <w:rPr>
          <w:spacing w:val="-14"/>
          <w:vertAlign w:val="baseline"/>
        </w:rPr>
        <w:t> </w:t>
      </w:r>
      <w:r>
        <w:rPr>
          <w:vertAlign w:val="baseline"/>
        </w:rPr>
        <w:t>e</w:t>
      </w:r>
      <w:r>
        <w:rPr>
          <w:spacing w:val="-14"/>
          <w:vertAlign w:val="baseline"/>
        </w:rPr>
        <w:t> </w:t>
      </w:r>
      <w:r>
        <w:rPr>
          <w:vertAlign w:val="baseline"/>
        </w:rPr>
        <w:t>a</w:t>
      </w:r>
      <w:r>
        <w:rPr>
          <w:spacing w:val="-15"/>
          <w:vertAlign w:val="baseline"/>
        </w:rPr>
        <w:t> </w:t>
      </w:r>
      <w:r>
        <w:rPr>
          <w:vertAlign w:val="baseline"/>
        </w:rPr>
        <w:t>manutenção</w:t>
      </w:r>
      <w:r>
        <w:rPr>
          <w:spacing w:val="-14"/>
          <w:vertAlign w:val="baseline"/>
        </w:rPr>
        <w:t> </w:t>
      </w:r>
      <w:r>
        <w:rPr>
          <w:vertAlign w:val="baseline"/>
        </w:rPr>
        <w:t>do</w:t>
      </w:r>
      <w:r>
        <w:rPr>
          <w:spacing w:val="-14"/>
          <w:vertAlign w:val="baseline"/>
        </w:rPr>
        <w:t> </w:t>
      </w:r>
      <w:r>
        <w:rPr>
          <w:vertAlign w:val="baseline"/>
        </w:rPr>
        <w:t>tratamento</w:t>
      </w:r>
      <w:r>
        <w:rPr>
          <w:spacing w:val="-14"/>
          <w:vertAlign w:val="baseline"/>
        </w:rPr>
        <w:t> </w:t>
      </w:r>
      <w:r>
        <w:rPr>
          <w:vertAlign w:val="baseline"/>
        </w:rPr>
        <w:t>medicamentoso</w:t>
      </w:r>
      <w:r>
        <w:rPr>
          <w:spacing w:val="-14"/>
          <w:vertAlign w:val="baseline"/>
        </w:rPr>
        <w:t> </w:t>
      </w:r>
      <w:r>
        <w:rPr>
          <w:vertAlign w:val="baseline"/>
        </w:rPr>
        <w:t>em</w:t>
      </w:r>
      <w:r>
        <w:rPr>
          <w:spacing w:val="-14"/>
          <w:vertAlign w:val="baseline"/>
        </w:rPr>
        <w:t> </w:t>
      </w:r>
      <w:r>
        <w:rPr>
          <w:vertAlign w:val="baseline"/>
        </w:rPr>
        <w:t>pacientes</w:t>
      </w:r>
      <w:r>
        <w:rPr>
          <w:spacing w:val="-7"/>
          <w:vertAlign w:val="baseline"/>
        </w:rPr>
        <w:t> </w:t>
      </w:r>
      <w:r>
        <w:rPr>
          <w:vertAlign w:val="baseline"/>
        </w:rPr>
        <w:t>com</w:t>
      </w:r>
      <w:r>
        <w:rPr>
          <w:spacing w:val="-14"/>
          <w:vertAlign w:val="baseline"/>
        </w:rPr>
        <w:t> </w:t>
      </w:r>
      <w:r>
        <w:rPr>
          <w:vertAlign w:val="baseline"/>
        </w:rPr>
        <w:t>função ventricular preservada na ausência de grandes segmentos miocárdicos com isquemia. Nesse último caso, o mais importante</w:t>
      </w:r>
      <w:r>
        <w:rPr>
          <w:spacing w:val="-9"/>
          <w:vertAlign w:val="baseline"/>
        </w:rPr>
        <w:t> </w:t>
      </w:r>
      <w:r>
        <w:rPr>
          <w:vertAlign w:val="baseline"/>
        </w:rPr>
        <w:t>é</w:t>
      </w:r>
      <w:r>
        <w:rPr>
          <w:spacing w:val="-9"/>
          <w:vertAlign w:val="baseline"/>
        </w:rPr>
        <w:t> </w:t>
      </w:r>
      <w:r>
        <w:rPr>
          <w:vertAlign w:val="baseline"/>
        </w:rPr>
        <w:t>a</w:t>
      </w:r>
      <w:r>
        <w:rPr>
          <w:spacing w:val="-9"/>
          <w:vertAlign w:val="baseline"/>
        </w:rPr>
        <w:t> </w:t>
      </w:r>
      <w:r>
        <w:rPr>
          <w:vertAlign w:val="baseline"/>
        </w:rPr>
        <w:t>orientação</w:t>
      </w:r>
      <w:r>
        <w:rPr>
          <w:spacing w:val="-5"/>
          <w:vertAlign w:val="baseline"/>
        </w:rPr>
        <w:t> </w:t>
      </w:r>
      <w:r>
        <w:rPr>
          <w:vertAlign w:val="baseline"/>
        </w:rPr>
        <w:t>para</w:t>
      </w:r>
      <w:r>
        <w:rPr>
          <w:spacing w:val="-9"/>
          <w:vertAlign w:val="baseline"/>
        </w:rPr>
        <w:t> </w:t>
      </w:r>
      <w:r>
        <w:rPr>
          <w:vertAlign w:val="baseline"/>
        </w:rPr>
        <w:t>o</w:t>
      </w:r>
      <w:r>
        <w:rPr>
          <w:spacing w:val="-5"/>
          <w:vertAlign w:val="baseline"/>
        </w:rPr>
        <w:t> </w:t>
      </w:r>
      <w:r>
        <w:rPr>
          <w:vertAlign w:val="baseline"/>
        </w:rPr>
        <w:t>paciente</w:t>
      </w:r>
      <w:r>
        <w:rPr>
          <w:spacing w:val="-9"/>
          <w:vertAlign w:val="baseline"/>
        </w:rPr>
        <w:t> </w:t>
      </w:r>
      <w:r>
        <w:rPr>
          <w:vertAlign w:val="baseline"/>
        </w:rPr>
        <w:t>observar e</w:t>
      </w:r>
      <w:r>
        <w:rPr>
          <w:spacing w:val="-9"/>
          <w:vertAlign w:val="baseline"/>
        </w:rPr>
        <w:t> </w:t>
      </w:r>
      <w:r>
        <w:rPr>
          <w:vertAlign w:val="baseline"/>
        </w:rPr>
        <w:t>relatar o</w:t>
      </w:r>
      <w:r>
        <w:rPr>
          <w:spacing w:val="-5"/>
          <w:vertAlign w:val="baseline"/>
        </w:rPr>
        <w:t> </w:t>
      </w:r>
      <w:r>
        <w:rPr>
          <w:vertAlign w:val="baseline"/>
        </w:rPr>
        <w:t>aparecimento</w:t>
      </w:r>
      <w:r>
        <w:rPr>
          <w:spacing w:val="-5"/>
          <w:vertAlign w:val="baseline"/>
        </w:rPr>
        <w:t> </w:t>
      </w:r>
      <w:r>
        <w:rPr>
          <w:vertAlign w:val="baseline"/>
        </w:rPr>
        <w:t>de</w:t>
      </w:r>
      <w:r>
        <w:rPr>
          <w:spacing w:val="-9"/>
          <w:vertAlign w:val="baseline"/>
        </w:rPr>
        <w:t> </w:t>
      </w:r>
      <w:r>
        <w:rPr>
          <w:vertAlign w:val="baseline"/>
        </w:rPr>
        <w:t>sintomas, por menores que</w:t>
      </w:r>
      <w:r>
        <w:rPr>
          <w:spacing w:val="-9"/>
          <w:vertAlign w:val="baseline"/>
        </w:rPr>
        <w:t> </w:t>
      </w:r>
      <w:r>
        <w:rPr>
          <w:vertAlign w:val="baseline"/>
        </w:rPr>
        <w:t>sejam, e</w:t>
      </w:r>
      <w:r>
        <w:rPr>
          <w:spacing w:val="-9"/>
          <w:vertAlign w:val="baseline"/>
        </w:rPr>
        <w:t> </w:t>
      </w:r>
      <w:r>
        <w:rPr>
          <w:vertAlign w:val="baseline"/>
        </w:rPr>
        <w:t>a rápida intervenção quando se comprova isquemia miocárdica silenciosa significativa por meio de métodos de avaliação</w:t>
      </w:r>
      <w:r>
        <w:rPr>
          <w:spacing w:val="-6"/>
          <w:vertAlign w:val="baseline"/>
        </w:rPr>
        <w:t> </w:t>
      </w:r>
      <w:r>
        <w:rPr>
          <w:vertAlign w:val="baseline"/>
        </w:rPr>
        <w:t>funcional. Embora</w:t>
      </w:r>
      <w:r>
        <w:rPr>
          <w:spacing w:val="-8"/>
          <w:vertAlign w:val="baseline"/>
        </w:rPr>
        <w:t> </w:t>
      </w:r>
      <w:r>
        <w:rPr>
          <w:vertAlign w:val="baseline"/>
        </w:rPr>
        <w:t>tratar isquemia</w:t>
      </w:r>
      <w:r>
        <w:rPr>
          <w:spacing w:val="-8"/>
          <w:vertAlign w:val="baseline"/>
        </w:rPr>
        <w:t> </w:t>
      </w:r>
      <w:r>
        <w:rPr>
          <w:vertAlign w:val="baseline"/>
        </w:rPr>
        <w:t>silenciosa</w:t>
      </w:r>
      <w:r>
        <w:rPr>
          <w:spacing w:val="-8"/>
          <w:vertAlign w:val="baseline"/>
        </w:rPr>
        <w:t> </w:t>
      </w:r>
      <w:r>
        <w:rPr>
          <w:vertAlign w:val="baseline"/>
        </w:rPr>
        <w:t>possa</w:t>
      </w:r>
      <w:r>
        <w:rPr>
          <w:spacing w:val="-8"/>
          <w:vertAlign w:val="baseline"/>
        </w:rPr>
        <w:t> </w:t>
      </w:r>
      <w:r>
        <w:rPr>
          <w:vertAlign w:val="baseline"/>
        </w:rPr>
        <w:t>trazer discussão, muitos estudos têm</w:t>
      </w:r>
      <w:r>
        <w:rPr>
          <w:spacing w:val="-6"/>
          <w:vertAlign w:val="baseline"/>
        </w:rPr>
        <w:t> </w:t>
      </w:r>
      <w:r>
        <w:rPr>
          <w:vertAlign w:val="baseline"/>
        </w:rPr>
        <w:t>demonstrado</w:t>
      </w:r>
      <w:r>
        <w:rPr>
          <w:spacing w:val="-6"/>
          <w:vertAlign w:val="baseline"/>
        </w:rPr>
        <w:t> </w:t>
      </w:r>
      <w:r>
        <w:rPr>
          <w:vertAlign w:val="baseline"/>
        </w:rPr>
        <w:t>sua importância em prognosticar o acontecimento de eventos futuros, principalmente quando se utiliza a cintigrafia de perfusão</w:t>
      </w:r>
      <w:r>
        <w:rPr>
          <w:spacing w:val="-4"/>
          <w:vertAlign w:val="baseline"/>
        </w:rPr>
        <w:t> </w:t>
      </w:r>
      <w:r>
        <w:rPr>
          <w:vertAlign w:val="baseline"/>
        </w:rPr>
        <w:t>miocárdica</w:t>
      </w:r>
      <w:r>
        <w:rPr>
          <w:spacing w:val="-7"/>
          <w:vertAlign w:val="baseline"/>
        </w:rPr>
        <w:t> </w:t>
      </w:r>
      <w:r>
        <w:rPr>
          <w:vertAlign w:val="baseline"/>
        </w:rPr>
        <w:t>e</w:t>
      </w:r>
      <w:r>
        <w:rPr>
          <w:spacing w:val="-7"/>
          <w:vertAlign w:val="baseline"/>
        </w:rPr>
        <w:t> </w:t>
      </w:r>
      <w:r>
        <w:rPr>
          <w:vertAlign w:val="baseline"/>
        </w:rPr>
        <w:t>o</w:t>
      </w:r>
      <w:r>
        <w:rPr>
          <w:spacing w:val="-4"/>
          <w:vertAlign w:val="baseline"/>
        </w:rPr>
        <w:t> </w:t>
      </w:r>
      <w:r>
        <w:rPr>
          <w:vertAlign w:val="baseline"/>
        </w:rPr>
        <w:t>ecocardiograma</w:t>
      </w:r>
      <w:r>
        <w:rPr>
          <w:spacing w:val="-7"/>
          <w:vertAlign w:val="baseline"/>
        </w:rPr>
        <w:t> </w:t>
      </w:r>
      <w:r>
        <w:rPr>
          <w:vertAlign w:val="baseline"/>
        </w:rPr>
        <w:t>de</w:t>
      </w:r>
      <w:r>
        <w:rPr>
          <w:spacing w:val="-7"/>
          <w:vertAlign w:val="baseline"/>
        </w:rPr>
        <w:t> </w:t>
      </w:r>
      <w:r>
        <w:rPr>
          <w:vertAlign w:val="baseline"/>
        </w:rPr>
        <w:t>estresse</w:t>
      </w:r>
      <w:r>
        <w:rPr>
          <w:spacing w:val="-7"/>
          <w:vertAlign w:val="baseline"/>
        </w:rPr>
        <w:t> </w:t>
      </w:r>
      <w:r>
        <w:rPr>
          <w:vertAlign w:val="baseline"/>
        </w:rPr>
        <w:t>para</w:t>
      </w:r>
      <w:r>
        <w:rPr>
          <w:spacing w:val="-7"/>
          <w:vertAlign w:val="baseline"/>
        </w:rPr>
        <w:t> </w:t>
      </w:r>
      <w:r>
        <w:rPr>
          <w:vertAlign w:val="baseline"/>
        </w:rPr>
        <w:t>sua</w:t>
      </w:r>
      <w:r>
        <w:rPr>
          <w:spacing w:val="-7"/>
          <w:vertAlign w:val="baseline"/>
        </w:rPr>
        <w:t> </w:t>
      </w:r>
      <w:r>
        <w:rPr>
          <w:vertAlign w:val="baseline"/>
        </w:rPr>
        <w:t>detecção, pois ambos os métodos são</w:t>
      </w:r>
      <w:r>
        <w:rPr>
          <w:spacing w:val="-4"/>
          <w:vertAlign w:val="baseline"/>
        </w:rPr>
        <w:t> </w:t>
      </w:r>
      <w:r>
        <w:rPr>
          <w:vertAlign w:val="baseline"/>
        </w:rPr>
        <w:t>mais sensíveis e também mais específicos como indicadores de eventos do que o teste de esforço e o eletrocardiograma de longa duração pelo sistema Holter.</w:t>
      </w:r>
    </w:p>
    <w:p>
      <w:pPr>
        <w:pStyle w:val="BodyText"/>
        <w:spacing w:line="276" w:lineRule="auto" w:before="46"/>
        <w:ind w:right="488"/>
      </w:pPr>
      <w:r>
        <w:rPr/>
        <w:t>Assim, os pacientes triarteriais com disfunção ventricular esquerda e os com lesão de tronco de coronária esquerda</w:t>
      </w:r>
      <w:r>
        <w:rPr>
          <w:spacing w:val="-10"/>
        </w:rPr>
        <w:t> </w:t>
      </w:r>
      <w:r>
        <w:rPr/>
        <w:t>são</w:t>
      </w:r>
      <w:r>
        <w:rPr>
          <w:spacing w:val="-8"/>
        </w:rPr>
        <w:t> </w:t>
      </w:r>
      <w:r>
        <w:rPr/>
        <w:t>os de</w:t>
      </w:r>
      <w:r>
        <w:rPr>
          <w:spacing w:val="-10"/>
        </w:rPr>
        <w:t> </w:t>
      </w:r>
      <w:r>
        <w:rPr/>
        <w:t>pior</w:t>
      </w:r>
      <w:r>
        <w:rPr>
          <w:spacing w:val="-3"/>
        </w:rPr>
        <w:t> </w:t>
      </w:r>
      <w:r>
        <w:rPr/>
        <w:t>evolução, enquanto</w:t>
      </w:r>
      <w:r>
        <w:rPr>
          <w:spacing w:val="-8"/>
        </w:rPr>
        <w:t> </w:t>
      </w:r>
      <w:r>
        <w:rPr/>
        <w:t>uni, bi</w:t>
      </w:r>
      <w:r>
        <w:rPr>
          <w:spacing w:val="-5"/>
        </w:rPr>
        <w:t> </w:t>
      </w:r>
      <w:r>
        <w:rPr/>
        <w:t>ou</w:t>
      </w:r>
      <w:r>
        <w:rPr>
          <w:spacing w:val="-8"/>
        </w:rPr>
        <w:t> </w:t>
      </w:r>
      <w:r>
        <w:rPr/>
        <w:t>triarteriais com</w:t>
      </w:r>
      <w:r>
        <w:rPr>
          <w:spacing w:val="-8"/>
        </w:rPr>
        <w:t> </w:t>
      </w:r>
      <w:r>
        <w:rPr/>
        <w:t>função</w:t>
      </w:r>
      <w:r>
        <w:rPr>
          <w:spacing w:val="-8"/>
        </w:rPr>
        <w:t> </w:t>
      </w:r>
      <w:r>
        <w:rPr/>
        <w:t>ventricular</w:t>
      </w:r>
      <w:r>
        <w:rPr>
          <w:spacing w:val="-3"/>
        </w:rPr>
        <w:t> </w:t>
      </w:r>
      <w:r>
        <w:rPr/>
        <w:t>esquerda</w:t>
      </w:r>
      <w:r>
        <w:rPr>
          <w:spacing w:val="-10"/>
        </w:rPr>
        <w:t> </w:t>
      </w:r>
      <w:r>
        <w:rPr/>
        <w:t>preservada</w:t>
      </w:r>
      <w:r>
        <w:rPr>
          <w:spacing w:val="-10"/>
        </w:rPr>
        <w:t> </w:t>
      </w:r>
      <w:r>
        <w:rPr/>
        <w:t>são</w:t>
      </w:r>
      <w:r>
        <w:rPr>
          <w:spacing w:val="-8"/>
        </w:rPr>
        <w:t> </w:t>
      </w:r>
      <w:r>
        <w:rPr/>
        <w:t>de melhor</w:t>
      </w:r>
      <w:r>
        <w:rPr>
          <w:spacing w:val="-1"/>
        </w:rPr>
        <w:t> </w:t>
      </w:r>
      <w:r>
        <w:rPr/>
        <w:t>prognóstico. Nos casos considerados de</w:t>
      </w:r>
      <w:r>
        <w:rPr>
          <w:spacing w:val="-9"/>
        </w:rPr>
        <w:t> </w:t>
      </w:r>
      <w:r>
        <w:rPr/>
        <w:t>alto</w:t>
      </w:r>
      <w:r>
        <w:rPr>
          <w:spacing w:val="-7"/>
        </w:rPr>
        <w:t> </w:t>
      </w:r>
      <w:r>
        <w:rPr/>
        <w:t>risco, é</w:t>
      </w:r>
      <w:r>
        <w:rPr>
          <w:spacing w:val="-9"/>
        </w:rPr>
        <w:t> </w:t>
      </w:r>
      <w:r>
        <w:rPr/>
        <w:t>indicada</w:t>
      </w:r>
      <w:r>
        <w:rPr>
          <w:spacing w:val="-9"/>
        </w:rPr>
        <w:t> </w:t>
      </w:r>
      <w:r>
        <w:rPr/>
        <w:t>a</w:t>
      </w:r>
      <w:r>
        <w:rPr>
          <w:spacing w:val="-9"/>
        </w:rPr>
        <w:t> </w:t>
      </w:r>
      <w:r>
        <w:rPr/>
        <w:t>cinecoronariografia, e, conforme</w:t>
      </w:r>
      <w:r>
        <w:rPr>
          <w:spacing w:val="-9"/>
        </w:rPr>
        <w:t> </w:t>
      </w:r>
      <w:r>
        <w:rPr/>
        <w:t>a</w:t>
      </w:r>
      <w:r>
        <w:rPr>
          <w:spacing w:val="-9"/>
        </w:rPr>
        <w:t> </w:t>
      </w:r>
      <w:r>
        <w:rPr/>
        <w:t>avaliação da</w:t>
      </w:r>
      <w:r>
        <w:rPr>
          <w:spacing w:val="-12"/>
        </w:rPr>
        <w:t> </w:t>
      </w:r>
      <w:r>
        <w:rPr/>
        <w:t>anatomia</w:t>
      </w:r>
      <w:r>
        <w:rPr>
          <w:spacing w:val="-12"/>
        </w:rPr>
        <w:t> </w:t>
      </w:r>
      <w:r>
        <w:rPr/>
        <w:t>coronária,</w:t>
      </w:r>
      <w:r>
        <w:rPr>
          <w:spacing w:val="-2"/>
        </w:rPr>
        <w:t> </w:t>
      </w:r>
      <w:r>
        <w:rPr/>
        <w:t>função</w:t>
      </w:r>
      <w:r>
        <w:rPr>
          <w:spacing w:val="-9"/>
        </w:rPr>
        <w:t> </w:t>
      </w:r>
      <w:r>
        <w:rPr/>
        <w:t>ventricular</w:t>
      </w:r>
      <w:r>
        <w:rPr>
          <w:spacing w:val="-4"/>
        </w:rPr>
        <w:t> </w:t>
      </w:r>
      <w:r>
        <w:rPr/>
        <w:t>e</w:t>
      </w:r>
      <w:r>
        <w:rPr>
          <w:spacing w:val="-12"/>
        </w:rPr>
        <w:t> </w:t>
      </w:r>
      <w:r>
        <w:rPr/>
        <w:t>demais</w:t>
      </w:r>
      <w:r>
        <w:rPr>
          <w:spacing w:val="-2"/>
        </w:rPr>
        <w:t> </w:t>
      </w:r>
      <w:r>
        <w:rPr/>
        <w:t>condições</w:t>
      </w:r>
      <w:r>
        <w:rPr>
          <w:spacing w:val="-2"/>
        </w:rPr>
        <w:t> </w:t>
      </w:r>
      <w:r>
        <w:rPr/>
        <w:t>clínicas</w:t>
      </w:r>
      <w:r>
        <w:rPr>
          <w:spacing w:val="-2"/>
        </w:rPr>
        <w:t> </w:t>
      </w:r>
      <w:r>
        <w:rPr/>
        <w:t>do</w:t>
      </w:r>
      <w:r>
        <w:rPr>
          <w:spacing w:val="-9"/>
        </w:rPr>
        <w:t> </w:t>
      </w:r>
      <w:r>
        <w:rPr/>
        <w:t>paciente,</w:t>
      </w:r>
      <w:r>
        <w:rPr>
          <w:spacing w:val="-2"/>
        </w:rPr>
        <w:t> </w:t>
      </w:r>
      <w:r>
        <w:rPr/>
        <w:t>se</w:t>
      </w:r>
      <w:r>
        <w:rPr>
          <w:spacing w:val="-12"/>
        </w:rPr>
        <w:t> </w:t>
      </w:r>
      <w:r>
        <w:rPr/>
        <w:t>opta</w:t>
      </w:r>
      <w:r>
        <w:rPr>
          <w:spacing w:val="-12"/>
        </w:rPr>
        <w:t> </w:t>
      </w:r>
      <w:r>
        <w:rPr/>
        <w:t>pelo</w:t>
      </w:r>
      <w:r>
        <w:rPr>
          <w:spacing w:val="-9"/>
        </w:rPr>
        <w:t> </w:t>
      </w:r>
      <w:r>
        <w:rPr/>
        <w:t>tratamento</w:t>
      </w:r>
      <w:r>
        <w:rPr>
          <w:spacing w:val="-9"/>
        </w:rPr>
        <w:t> </w:t>
      </w:r>
      <w:r>
        <w:rPr/>
        <w:t>cirúrgico ou pela angioplastia coronária.</w:t>
      </w:r>
    </w:p>
    <w:p>
      <w:pPr>
        <w:pStyle w:val="BodyText"/>
        <w:spacing w:line="276" w:lineRule="auto" w:before="48"/>
        <w:ind w:right="488"/>
      </w:pPr>
      <w:r>
        <w:rPr/>
        <w:t>O tratamento cirúrgico apresenta maior benefício nos pacientes com acometimento do tronco da coronária esquerda, triarteriais, e disfunção ventricular esquerda. A angioplastia coronária tem aumentado o seu leque de indicações com a</w:t>
      </w:r>
      <w:r>
        <w:rPr>
          <w:spacing w:val="-1"/>
        </w:rPr>
        <w:t> </w:t>
      </w:r>
      <w:r>
        <w:rPr/>
        <w:t>melhora</w:t>
      </w:r>
      <w:r>
        <w:rPr>
          <w:spacing w:val="-1"/>
        </w:rPr>
        <w:t> </w:t>
      </w:r>
      <w:r>
        <w:rPr/>
        <w:t>técnica</w:t>
      </w:r>
      <w:r>
        <w:rPr>
          <w:spacing w:val="-1"/>
        </w:rPr>
        <w:t> </w:t>
      </w:r>
      <w:r>
        <w:rPr/>
        <w:t>dos cateteres e</w:t>
      </w:r>
      <w:r>
        <w:rPr>
          <w:spacing w:val="-1"/>
        </w:rPr>
        <w:t> </w:t>
      </w:r>
      <w:r>
        <w:rPr/>
        <w:t>balões, e</w:t>
      </w:r>
      <w:r>
        <w:rPr>
          <w:spacing w:val="-1"/>
        </w:rPr>
        <w:t> </w:t>
      </w:r>
      <w:r>
        <w:rPr/>
        <w:t>principalmente</w:t>
      </w:r>
      <w:r>
        <w:rPr>
          <w:spacing w:val="-1"/>
        </w:rPr>
        <w:t> </w:t>
      </w:r>
      <w:r>
        <w:rPr/>
        <w:t>com a</w:t>
      </w:r>
      <w:r>
        <w:rPr>
          <w:spacing w:val="-1"/>
        </w:rPr>
        <w:t> </w:t>
      </w:r>
      <w:r>
        <w:rPr/>
        <w:t>redução da</w:t>
      </w:r>
      <w:r>
        <w:rPr>
          <w:spacing w:val="-1"/>
        </w:rPr>
        <w:t> </w:t>
      </w:r>
      <w:r>
        <w:rPr/>
        <w:t>reestenose</w:t>
      </w:r>
      <w:r>
        <w:rPr>
          <w:spacing w:val="-1"/>
        </w:rPr>
        <w:t> </w:t>
      </w:r>
      <w:r>
        <w:rPr/>
        <w:t>na</w:t>
      </w:r>
      <w:r>
        <w:rPr>
          <w:spacing w:val="-1"/>
        </w:rPr>
        <w:t> </w:t>
      </w:r>
      <w:r>
        <w:rPr/>
        <w:t>era</w:t>
      </w:r>
      <w:r>
        <w:rPr>
          <w:spacing w:val="-1"/>
        </w:rPr>
        <w:t> </w:t>
      </w:r>
      <w:r>
        <w:rPr/>
        <w:t>pós-</w:t>
      </w:r>
      <w:r>
        <w:rPr>
          <w:i/>
        </w:rPr>
        <w:t>stent</w:t>
      </w:r>
      <w:r>
        <w:rPr/>
        <w:t>. Tem suas maiores indicações em pacientes uniarteriais considerados de alto risco, nos quais melhorou os sintomas e</w:t>
      </w:r>
      <w:r>
        <w:rPr>
          <w:spacing w:val="-2"/>
        </w:rPr>
        <w:t> </w:t>
      </w:r>
      <w:r>
        <w:rPr/>
        <w:t>a</w:t>
      </w:r>
      <w:r>
        <w:rPr>
          <w:spacing w:val="-2"/>
        </w:rPr>
        <w:t> </w:t>
      </w:r>
      <w:r>
        <w:rPr/>
        <w:t>tolerância</w:t>
      </w:r>
      <w:r>
        <w:rPr>
          <w:spacing w:val="-2"/>
        </w:rPr>
        <w:t> </w:t>
      </w:r>
      <w:r>
        <w:rPr/>
        <w:t>ao esforço, ou nos casos de</w:t>
      </w:r>
      <w:r>
        <w:rPr>
          <w:spacing w:val="-2"/>
        </w:rPr>
        <w:t> </w:t>
      </w:r>
      <w:r>
        <w:rPr/>
        <w:t>baixo risco, porém refratários ao tratamento medicamentoso.</w:t>
      </w:r>
    </w:p>
    <w:p>
      <w:pPr>
        <w:pStyle w:val="BodyText"/>
        <w:spacing w:line="278" w:lineRule="auto"/>
        <w:ind w:right="487"/>
      </w:pPr>
      <w:r>
        <w:rPr/>
        <w:t>Para situações muito especiais, técnicas alternativas têm sido propostas há vários anos, como nos casos de angina</w:t>
      </w:r>
      <w:r>
        <w:rPr>
          <w:spacing w:val="-10"/>
        </w:rPr>
        <w:t> </w:t>
      </w:r>
      <w:r>
        <w:rPr/>
        <w:t>intratável</w:t>
      </w:r>
      <w:r>
        <w:rPr>
          <w:spacing w:val="-4"/>
        </w:rPr>
        <w:t> </w:t>
      </w:r>
      <w:r>
        <w:rPr/>
        <w:t>com</w:t>
      </w:r>
      <w:r>
        <w:rPr>
          <w:spacing w:val="-7"/>
        </w:rPr>
        <w:t> </w:t>
      </w:r>
      <w:r>
        <w:rPr/>
        <w:t>medicamentos e</w:t>
      </w:r>
      <w:r>
        <w:rPr>
          <w:spacing w:val="-10"/>
        </w:rPr>
        <w:t> </w:t>
      </w:r>
      <w:r>
        <w:rPr/>
        <w:t>com</w:t>
      </w:r>
      <w:r>
        <w:rPr>
          <w:spacing w:val="-7"/>
        </w:rPr>
        <w:t> </w:t>
      </w:r>
      <w:r>
        <w:rPr/>
        <w:t>impossibilidade</w:t>
      </w:r>
      <w:r>
        <w:rPr>
          <w:spacing w:val="-10"/>
        </w:rPr>
        <w:t> </w:t>
      </w:r>
      <w:r>
        <w:rPr/>
        <w:t>de</w:t>
      </w:r>
      <w:r>
        <w:rPr>
          <w:spacing w:val="-10"/>
        </w:rPr>
        <w:t> </w:t>
      </w:r>
      <w:r>
        <w:rPr/>
        <w:t>abordagem</w:t>
      </w:r>
      <w:r>
        <w:rPr>
          <w:spacing w:val="-7"/>
        </w:rPr>
        <w:t> </w:t>
      </w:r>
      <w:r>
        <w:rPr/>
        <w:t>invasiva</w:t>
      </w:r>
      <w:r>
        <w:rPr>
          <w:spacing w:val="-10"/>
        </w:rPr>
        <w:t> </w:t>
      </w:r>
      <w:r>
        <w:rPr/>
        <w:t>pelas técnicas atuais. Embora</w:t>
      </w:r>
      <w:r>
        <w:rPr>
          <w:spacing w:val="-10"/>
        </w:rPr>
        <w:t> </w:t>
      </w:r>
      <w:r>
        <w:rPr/>
        <w:t>já disponível</w:t>
      </w:r>
      <w:r>
        <w:rPr>
          <w:spacing w:val="-3"/>
        </w:rPr>
        <w:t> </w:t>
      </w:r>
      <w:r>
        <w:rPr/>
        <w:t>há</w:t>
      </w:r>
      <w:r>
        <w:rPr>
          <w:spacing w:val="-8"/>
        </w:rPr>
        <w:t> </w:t>
      </w:r>
      <w:r>
        <w:rPr/>
        <w:t>vários anos, a</w:t>
      </w:r>
      <w:r>
        <w:rPr>
          <w:spacing w:val="-8"/>
        </w:rPr>
        <w:t> </w:t>
      </w:r>
      <w:r>
        <w:rPr/>
        <w:t>utilização</w:t>
      </w:r>
      <w:r>
        <w:rPr>
          <w:spacing w:val="-6"/>
        </w:rPr>
        <w:t> </w:t>
      </w:r>
      <w:r>
        <w:rPr/>
        <w:t>do</w:t>
      </w:r>
      <w:r>
        <w:rPr>
          <w:spacing w:val="-5"/>
        </w:rPr>
        <w:t> </w:t>
      </w:r>
      <w:r>
        <w:rPr>
          <w:i/>
        </w:rPr>
        <w:t>laser </w:t>
      </w:r>
      <w:r>
        <w:rPr/>
        <w:t>para</w:t>
      </w:r>
      <w:r>
        <w:rPr>
          <w:spacing w:val="-6"/>
        </w:rPr>
        <w:t> </w:t>
      </w:r>
      <w:r>
        <w:rPr/>
        <w:t>produzir pequenos canais de</w:t>
      </w:r>
      <w:r>
        <w:rPr>
          <w:spacing w:val="-6"/>
        </w:rPr>
        <w:t> </w:t>
      </w:r>
      <w:r>
        <w:rPr/>
        <w:t>comunicação</w:t>
      </w:r>
      <w:r>
        <w:rPr>
          <w:spacing w:val="-3"/>
        </w:rPr>
        <w:t> </w:t>
      </w:r>
      <w:r>
        <w:rPr/>
        <w:t>dentro</w:t>
      </w:r>
      <w:r>
        <w:rPr>
          <w:spacing w:val="-3"/>
        </w:rPr>
        <w:t> </w:t>
      </w:r>
      <w:r>
        <w:rPr/>
        <w:t>do</w:t>
      </w:r>
      <w:r>
        <w:rPr>
          <w:spacing w:val="-3"/>
        </w:rPr>
        <w:t> </w:t>
      </w:r>
      <w:r>
        <w:rPr/>
        <w:t>miocárdio até a cavidade ventricular, com o tórax aberto e aplicando os raios do epicárdio em direção à cavidade ventricular, tem ganhado impulso com os novos aparelhos e novos tipos de raios </w:t>
      </w:r>
      <w:r>
        <w:rPr>
          <w:i/>
        </w:rPr>
        <w:t>laser</w:t>
      </w:r>
      <w:r>
        <w:rPr/>
        <w:t>. Alguns centros da América do Norte têm</w:t>
      </w:r>
      <w:r>
        <w:rPr>
          <w:spacing w:val="-5"/>
        </w:rPr>
        <w:t> </w:t>
      </w:r>
      <w:r>
        <w:rPr/>
        <w:t>mostrado</w:t>
      </w:r>
      <w:r>
        <w:rPr>
          <w:spacing w:val="-5"/>
        </w:rPr>
        <w:t> </w:t>
      </w:r>
      <w:r>
        <w:rPr/>
        <w:t>melhora</w:t>
      </w:r>
      <w:r>
        <w:rPr>
          <w:spacing w:val="-8"/>
        </w:rPr>
        <w:t> </w:t>
      </w:r>
      <w:r>
        <w:rPr/>
        <w:t>dos sintomas em</w:t>
      </w:r>
      <w:r>
        <w:rPr>
          <w:spacing w:val="-5"/>
        </w:rPr>
        <w:t> </w:t>
      </w:r>
      <w:r>
        <w:rPr/>
        <w:t>boa</w:t>
      </w:r>
      <w:r>
        <w:rPr>
          <w:spacing w:val="-8"/>
        </w:rPr>
        <w:t> </w:t>
      </w:r>
      <w:r>
        <w:rPr/>
        <w:t>parte</w:t>
      </w:r>
      <w:r>
        <w:rPr>
          <w:spacing w:val="-8"/>
        </w:rPr>
        <w:t> </w:t>
      </w:r>
      <w:r>
        <w:rPr/>
        <w:t>dos pacientes tratados e</w:t>
      </w:r>
      <w:r>
        <w:rPr>
          <w:spacing w:val="-8"/>
        </w:rPr>
        <w:t> </w:t>
      </w:r>
      <w:r>
        <w:rPr/>
        <w:t>comprovado</w:t>
      </w:r>
      <w:r>
        <w:rPr>
          <w:spacing w:val="-5"/>
        </w:rPr>
        <w:t> </w:t>
      </w:r>
      <w:r>
        <w:rPr/>
        <w:t>a</w:t>
      </w:r>
      <w:r>
        <w:rPr>
          <w:spacing w:val="-8"/>
        </w:rPr>
        <w:t> </w:t>
      </w:r>
      <w:r>
        <w:rPr/>
        <w:t>melhora</w:t>
      </w:r>
      <w:r>
        <w:rPr>
          <w:spacing w:val="-8"/>
        </w:rPr>
        <w:t> </w:t>
      </w:r>
      <w:r>
        <w:rPr/>
        <w:t>da</w:t>
      </w:r>
      <w:r>
        <w:rPr>
          <w:spacing w:val="-8"/>
        </w:rPr>
        <w:t> </w:t>
      </w:r>
      <w:r>
        <w:rPr/>
        <w:t>isquemia</w:t>
      </w:r>
      <w:r>
        <w:rPr>
          <w:spacing w:val="-8"/>
        </w:rPr>
        <w:t> </w:t>
      </w:r>
      <w:r>
        <w:rPr/>
        <w:t>tanto por cintigrafia</w:t>
      </w:r>
      <w:r>
        <w:rPr>
          <w:spacing w:val="-2"/>
        </w:rPr>
        <w:t> </w:t>
      </w:r>
      <w:r>
        <w:rPr/>
        <w:t>quanto pelo eco de</w:t>
      </w:r>
      <w:r>
        <w:rPr>
          <w:spacing w:val="-2"/>
        </w:rPr>
        <w:t> </w:t>
      </w:r>
      <w:r>
        <w:rPr/>
        <w:t>estresse,</w:t>
      </w:r>
      <w:r>
        <w:rPr>
          <w:vertAlign w:val="superscript"/>
        </w:rPr>
        <w:t>72</w:t>
      </w:r>
      <w:r>
        <w:rPr>
          <w:vertAlign w:val="baseline"/>
        </w:rPr>
        <w:t> sendo esta também a experiência do nosso centro.</w:t>
      </w:r>
      <w:r>
        <w:rPr>
          <w:vertAlign w:val="superscript"/>
        </w:rPr>
        <w:t>73</w:t>
      </w:r>
      <w:r>
        <w:rPr>
          <w:vertAlign w:val="baseline"/>
        </w:rPr>
        <w:t> No momento está em curso estudo com a utilização do </w:t>
      </w:r>
      <w:r>
        <w:rPr>
          <w:i/>
          <w:vertAlign w:val="baseline"/>
        </w:rPr>
        <w:t>laser </w:t>
      </w:r>
      <w:r>
        <w:rPr>
          <w:vertAlign w:val="baseline"/>
        </w:rPr>
        <w:t>por cateter, aplicando-o do endocárdio em direção ao epicárdio, com resultados iniciais promissores.</w:t>
      </w:r>
      <w:r>
        <w:rPr>
          <w:vertAlign w:val="superscript"/>
        </w:rPr>
        <w:t>74–76</w:t>
      </w:r>
      <w:r>
        <w:rPr>
          <w:vertAlign w:val="baseline"/>
        </w:rPr>
        <w:t> A </w:t>
      </w:r>
      <w:r>
        <w:rPr>
          <w:color w:val="505050"/>
          <w:vertAlign w:val="baseline"/>
        </w:rPr>
        <w:t>Figura 56.4 </w:t>
      </w:r>
      <w:r>
        <w:rPr>
          <w:vertAlign w:val="baseline"/>
        </w:rPr>
        <w:t>apresenta algoritmo de tratamento da insuficiência coronariana </w:t>
      </w:r>
      <w:r>
        <w:rPr>
          <w:spacing w:val="-2"/>
          <w:vertAlign w:val="baseline"/>
        </w:rPr>
        <w:t>crônica.</w:t>
      </w:r>
    </w:p>
    <w:p>
      <w:pPr>
        <w:pStyle w:val="BodyText"/>
        <w:spacing w:before="192"/>
        <w:ind w:left="0" w:firstLine="0"/>
        <w:jc w:val="left"/>
      </w:pPr>
    </w:p>
    <w:p>
      <w:pPr>
        <w:pStyle w:val="Heading4"/>
        <w:spacing w:before="1"/>
        <w:jc w:val="both"/>
      </w:pPr>
      <w:r>
        <w:rPr>
          <w:color w:val="242B67"/>
        </w:rPr>
        <w:t>Terapia </w:t>
      </w:r>
      <w:r>
        <w:rPr>
          <w:color w:val="242B67"/>
          <w:spacing w:val="-2"/>
        </w:rPr>
        <w:t>celular</w:t>
      </w:r>
    </w:p>
    <w:p>
      <w:pPr>
        <w:pStyle w:val="BodyText"/>
        <w:spacing w:line="278" w:lineRule="auto" w:before="131"/>
        <w:ind w:right="488"/>
      </w:pPr>
      <w:r>
        <w:rPr/>
        <w:t>Recentemente, a utilização terapêutica de células-tronco passou a ser investigada, principalmente na isquemia miocárdica</w:t>
      </w:r>
      <w:r>
        <w:rPr>
          <w:spacing w:val="-8"/>
        </w:rPr>
        <w:t> </w:t>
      </w:r>
      <w:r>
        <w:rPr/>
        <w:t>e</w:t>
      </w:r>
      <w:r>
        <w:rPr>
          <w:spacing w:val="-8"/>
        </w:rPr>
        <w:t> </w:t>
      </w:r>
      <w:r>
        <w:rPr/>
        <w:t>na</w:t>
      </w:r>
      <w:r>
        <w:rPr>
          <w:spacing w:val="-8"/>
        </w:rPr>
        <w:t> </w:t>
      </w:r>
      <w:r>
        <w:rPr/>
        <w:t>disfunção</w:t>
      </w:r>
      <w:r>
        <w:rPr>
          <w:spacing w:val="-5"/>
        </w:rPr>
        <w:t> </w:t>
      </w:r>
      <w:r>
        <w:rPr/>
        <w:t>ventricular esquerda, baseada</w:t>
      </w:r>
      <w:r>
        <w:rPr>
          <w:spacing w:val="-8"/>
        </w:rPr>
        <w:t> </w:t>
      </w:r>
      <w:r>
        <w:rPr/>
        <w:t>na</w:t>
      </w:r>
      <w:r>
        <w:rPr>
          <w:spacing w:val="-8"/>
        </w:rPr>
        <w:t> </w:t>
      </w:r>
      <w:r>
        <w:rPr/>
        <w:t>possibilidade</w:t>
      </w:r>
      <w:r>
        <w:rPr>
          <w:spacing w:val="-8"/>
        </w:rPr>
        <w:t> </w:t>
      </w:r>
      <w:r>
        <w:rPr/>
        <w:t>de</w:t>
      </w:r>
      <w:r>
        <w:rPr>
          <w:spacing w:val="-8"/>
        </w:rPr>
        <w:t> </w:t>
      </w:r>
      <w:r>
        <w:rPr/>
        <w:t>formação</w:t>
      </w:r>
      <w:r>
        <w:rPr>
          <w:spacing w:val="-5"/>
        </w:rPr>
        <w:t> </w:t>
      </w:r>
      <w:r>
        <w:rPr/>
        <w:t>de</w:t>
      </w:r>
      <w:r>
        <w:rPr>
          <w:spacing w:val="-8"/>
        </w:rPr>
        <w:t> </w:t>
      </w:r>
      <w:r>
        <w:rPr/>
        <w:t>novas células miocárdicas e vasos. Resultados iniciais demonstram o aumento da fração de ejeção do ventrículo esquerdo, melhora da motilidade regional e aumento do fluxo coronário. Protocolos vêm utilizando de modo combinado a cirurgia de revascularização do miocárdio com a terapia celular com célula-tronco com o objetivo de neoangiogênese. Apesar dos resultados iniciais promissores, ainda se trata de pesquisas com número pequeno de pacientes, e que terão que ser validadas por novos estudos duplos-cegos, randomizados e controlados por placebo. Concluindo, no contexto prático, ainda não existem evidências que justifiquem o uso de terapia gênica ou celular na doença coronária.</w:t>
      </w:r>
      <w:r>
        <w:rPr>
          <w:vertAlign w:val="superscript"/>
        </w:rPr>
        <w:t>75</w:t>
      </w:r>
      <w:r>
        <w:rPr>
          <w:vertAlign w:val="baseline"/>
        </w:rPr>
        <w:t> Maiores informações sobre</w:t>
      </w:r>
      <w:r>
        <w:rPr>
          <w:spacing w:val="-4"/>
          <w:vertAlign w:val="baseline"/>
        </w:rPr>
        <w:t> </w:t>
      </w:r>
      <w:r>
        <w:rPr>
          <w:vertAlign w:val="baseline"/>
        </w:rPr>
        <w:t>terapia</w:t>
      </w:r>
      <w:r>
        <w:rPr>
          <w:spacing w:val="-4"/>
          <w:vertAlign w:val="baseline"/>
        </w:rPr>
        <w:t> </w:t>
      </w:r>
      <w:r>
        <w:rPr>
          <w:vertAlign w:val="baseline"/>
        </w:rPr>
        <w:t>gênica</w:t>
      </w:r>
      <w:r>
        <w:rPr>
          <w:spacing w:val="-4"/>
          <w:vertAlign w:val="baseline"/>
        </w:rPr>
        <w:t> </w:t>
      </w:r>
      <w:r>
        <w:rPr>
          <w:vertAlign w:val="baseline"/>
        </w:rPr>
        <w:t>e</w:t>
      </w:r>
      <w:r>
        <w:rPr>
          <w:spacing w:val="-4"/>
          <w:vertAlign w:val="baseline"/>
        </w:rPr>
        <w:t> </w:t>
      </w:r>
      <w:r>
        <w:rPr>
          <w:vertAlign w:val="baseline"/>
        </w:rPr>
        <w:t>celular estão</w:t>
      </w:r>
      <w:r>
        <w:rPr>
          <w:spacing w:val="-1"/>
          <w:vertAlign w:val="baseline"/>
        </w:rPr>
        <w:t> </w:t>
      </w:r>
      <w:r>
        <w:rPr>
          <w:vertAlign w:val="baseline"/>
        </w:rPr>
        <w:t>disponíveis em</w:t>
      </w:r>
      <w:r>
        <w:rPr>
          <w:spacing w:val="-1"/>
          <w:vertAlign w:val="baseline"/>
        </w:rPr>
        <w:t> </w:t>
      </w:r>
      <w:r>
        <w:rPr>
          <w:vertAlign w:val="baseline"/>
        </w:rPr>
        <w:t>capítulo</w:t>
      </w:r>
      <w:r>
        <w:rPr>
          <w:spacing w:val="-1"/>
          <w:vertAlign w:val="baseline"/>
        </w:rPr>
        <w:t> </w:t>
      </w:r>
      <w:r>
        <w:rPr>
          <w:vertAlign w:val="baseline"/>
        </w:rPr>
        <w:t>específico</w:t>
      </w:r>
      <w:r>
        <w:rPr>
          <w:spacing w:val="-1"/>
          <w:vertAlign w:val="baseline"/>
        </w:rPr>
        <w:t> </w:t>
      </w:r>
      <w:r>
        <w:rPr>
          <w:vertAlign w:val="baseline"/>
        </w:rPr>
        <w:t>desta</w:t>
      </w:r>
      <w:r>
        <w:rPr>
          <w:spacing w:val="-4"/>
          <w:vertAlign w:val="baseline"/>
        </w:rPr>
        <w:t> </w:t>
      </w:r>
      <w:r>
        <w:rPr>
          <w:vertAlign w:val="baseline"/>
        </w:rPr>
        <w:t>publicação.</w:t>
      </w:r>
    </w:p>
    <w:p>
      <w:pPr>
        <w:pStyle w:val="BodyText"/>
        <w:spacing w:after="0" w:line="278" w:lineRule="auto"/>
        <w:sectPr>
          <w:pgSz w:w="11900" w:h="16840"/>
          <w:pgMar w:top="200" w:bottom="280" w:left="566" w:right="141"/>
        </w:sectPr>
      </w:pPr>
    </w:p>
    <w:p>
      <w:pPr>
        <w:spacing w:line="240" w:lineRule="auto"/>
        <w:ind w:left="1427" w:right="0" w:firstLine="0"/>
        <w:rPr>
          <w:sz w:val="20"/>
        </w:rPr>
      </w:pPr>
      <w:r>
        <w:rPr>
          <w:sz w:val="20"/>
        </w:rPr>
        <w:drawing>
          <wp:inline distT="0" distB="0" distL="0" distR="0">
            <wp:extent cx="5034729" cy="740940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8" cstate="print"/>
                    <a:stretch>
                      <a:fillRect/>
                    </a:stretch>
                  </pic:blipFill>
                  <pic:spPr>
                    <a:xfrm>
                      <a:off x="0" y="0"/>
                      <a:ext cx="5034729" cy="7409402"/>
                    </a:xfrm>
                    <a:prstGeom prst="rect">
                      <a:avLst/>
                    </a:prstGeom>
                  </pic:spPr>
                </pic:pic>
              </a:graphicData>
            </a:graphic>
          </wp:inline>
        </w:drawing>
      </w:r>
      <w:r>
        <w:rPr>
          <w:sz w:val="20"/>
        </w:rPr>
      </w:r>
    </w:p>
    <w:p>
      <w:pPr>
        <w:pStyle w:val="BodyText"/>
        <w:spacing w:before="25"/>
        <w:ind w:left="0" w:firstLine="0"/>
        <w:jc w:val="left"/>
        <w:rPr>
          <w:sz w:val="19"/>
        </w:rPr>
      </w:pPr>
    </w:p>
    <w:p>
      <w:pPr>
        <w:spacing w:line="285" w:lineRule="auto"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40"/>
          <w:sz w:val="19"/>
        </w:rPr>
        <w:t> </w:t>
      </w:r>
      <w:r>
        <w:rPr>
          <w:rFonts w:ascii="Arial" w:hAnsi="Arial"/>
          <w:b/>
          <w:color w:val="242B67"/>
          <w:sz w:val="19"/>
        </w:rPr>
        <w:t>56.4</w:t>
      </w:r>
      <w:r>
        <w:rPr>
          <w:rFonts w:ascii="Arial" w:hAnsi="Arial"/>
          <w:b/>
          <w:color w:val="242B67"/>
          <w:spacing w:val="40"/>
          <w:sz w:val="19"/>
        </w:rPr>
        <w:t> </w:t>
      </w:r>
      <w:r>
        <w:rPr>
          <w:rFonts w:ascii="Microsoft Sans Serif" w:hAnsi="Microsoft Sans Serif"/>
          <w:sz w:val="19"/>
        </w:rPr>
        <w:t>Tratamento</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insuficiência</w:t>
      </w:r>
      <w:r>
        <w:rPr>
          <w:rFonts w:ascii="Microsoft Sans Serif" w:hAnsi="Microsoft Sans Serif"/>
          <w:spacing w:val="40"/>
          <w:sz w:val="19"/>
        </w:rPr>
        <w:t> </w:t>
      </w:r>
      <w:r>
        <w:rPr>
          <w:rFonts w:ascii="Microsoft Sans Serif" w:hAnsi="Microsoft Sans Serif"/>
          <w:sz w:val="19"/>
        </w:rPr>
        <w:t>coronariana</w:t>
      </w:r>
      <w:r>
        <w:rPr>
          <w:rFonts w:ascii="Microsoft Sans Serif" w:hAnsi="Microsoft Sans Serif"/>
          <w:spacing w:val="40"/>
          <w:sz w:val="19"/>
        </w:rPr>
        <w:t> </w:t>
      </w:r>
      <w:r>
        <w:rPr>
          <w:rFonts w:ascii="Microsoft Sans Serif" w:hAnsi="Microsoft Sans Serif"/>
          <w:sz w:val="19"/>
        </w:rPr>
        <w:t>crônica.</w:t>
      </w:r>
      <w:r>
        <w:rPr>
          <w:rFonts w:ascii="Microsoft Sans Serif" w:hAnsi="Microsoft Sans Serif"/>
          <w:spacing w:val="40"/>
          <w:sz w:val="19"/>
        </w:rPr>
        <w:t> </w:t>
      </w:r>
      <w:r>
        <w:rPr>
          <w:rFonts w:ascii="Microsoft Sans Serif" w:hAnsi="Microsoft Sans Serif"/>
          <w:sz w:val="19"/>
        </w:rPr>
        <w:t>AAS</w:t>
      </w:r>
      <w:r>
        <w:rPr>
          <w:rFonts w:ascii="Microsoft Sans Serif" w:hAnsi="Microsoft Sans Serif"/>
          <w:spacing w:val="40"/>
          <w:sz w:val="19"/>
        </w:rPr>
        <w:t> </w:t>
      </w:r>
      <w:r>
        <w:rPr>
          <w:rFonts w:ascii="Microsoft Sans Serif" w:hAnsi="Microsoft Sans Serif"/>
          <w:sz w:val="19"/>
        </w:rPr>
        <w:t>=</w:t>
      </w:r>
      <w:r>
        <w:rPr>
          <w:rFonts w:ascii="Microsoft Sans Serif" w:hAnsi="Microsoft Sans Serif"/>
          <w:spacing w:val="40"/>
          <w:sz w:val="19"/>
        </w:rPr>
        <w:t> </w:t>
      </w:r>
      <w:r>
        <w:rPr>
          <w:rFonts w:ascii="Microsoft Sans Serif" w:hAnsi="Microsoft Sans Serif"/>
          <w:sz w:val="19"/>
        </w:rPr>
        <w:t>ácido</w:t>
      </w:r>
      <w:r>
        <w:rPr>
          <w:rFonts w:ascii="Microsoft Sans Serif" w:hAnsi="Microsoft Sans Serif"/>
          <w:spacing w:val="40"/>
          <w:sz w:val="19"/>
        </w:rPr>
        <w:t> </w:t>
      </w:r>
      <w:r>
        <w:rPr>
          <w:rFonts w:ascii="Microsoft Sans Serif" w:hAnsi="Microsoft Sans Serif"/>
          <w:sz w:val="19"/>
        </w:rPr>
        <w:t>acetilsalicílico;</w:t>
      </w:r>
      <w:r>
        <w:rPr>
          <w:rFonts w:ascii="Microsoft Sans Serif" w:hAnsi="Microsoft Sans Serif"/>
          <w:spacing w:val="40"/>
          <w:sz w:val="19"/>
        </w:rPr>
        <w:t> </w:t>
      </w:r>
      <w:r>
        <w:rPr>
          <w:rFonts w:ascii="Microsoft Sans Serif" w:hAnsi="Microsoft Sans Serif"/>
          <w:sz w:val="19"/>
        </w:rPr>
        <w:t>HAS</w:t>
      </w:r>
      <w:r>
        <w:rPr>
          <w:rFonts w:ascii="Microsoft Sans Serif" w:hAnsi="Microsoft Sans Serif"/>
          <w:spacing w:val="40"/>
          <w:sz w:val="19"/>
        </w:rPr>
        <w:t> </w:t>
      </w:r>
      <w:r>
        <w:rPr>
          <w:rFonts w:ascii="Microsoft Sans Serif" w:hAnsi="Microsoft Sans Serif"/>
          <w:sz w:val="19"/>
        </w:rPr>
        <w:t>=</w:t>
      </w:r>
      <w:r>
        <w:rPr>
          <w:rFonts w:ascii="Microsoft Sans Serif" w:hAnsi="Microsoft Sans Serif"/>
          <w:spacing w:val="40"/>
          <w:sz w:val="19"/>
        </w:rPr>
        <w:t> </w:t>
      </w:r>
      <w:r>
        <w:rPr>
          <w:rFonts w:ascii="Microsoft Sans Serif" w:hAnsi="Microsoft Sans Serif"/>
          <w:sz w:val="19"/>
        </w:rPr>
        <w:t>hipertensão</w:t>
      </w:r>
      <w:r>
        <w:rPr>
          <w:rFonts w:ascii="Microsoft Sans Serif" w:hAnsi="Microsoft Sans Serif"/>
          <w:spacing w:val="40"/>
          <w:sz w:val="19"/>
        </w:rPr>
        <w:t> </w:t>
      </w:r>
      <w:r>
        <w:rPr>
          <w:rFonts w:ascii="Microsoft Sans Serif" w:hAnsi="Microsoft Sans Serif"/>
          <w:sz w:val="19"/>
        </w:rPr>
        <w:t>arterial</w:t>
      </w:r>
      <w:r>
        <w:rPr>
          <w:rFonts w:ascii="Microsoft Sans Serif" w:hAnsi="Microsoft Sans Serif"/>
          <w:spacing w:val="40"/>
          <w:sz w:val="19"/>
        </w:rPr>
        <w:t> </w:t>
      </w:r>
      <w:r>
        <w:rPr>
          <w:rFonts w:ascii="Microsoft Sans Serif" w:hAnsi="Microsoft Sans Serif"/>
          <w:spacing w:val="-2"/>
          <w:sz w:val="19"/>
        </w:rPr>
        <w:t>sistêmica.</w:t>
      </w:r>
    </w:p>
    <w:p>
      <w:pPr>
        <w:spacing w:after="0" w:line="285" w:lineRule="auto"/>
        <w:jc w:val="left"/>
        <w:rPr>
          <w:rFonts w:ascii="Microsoft Sans Serif" w:hAnsi="Microsoft Sans Serif"/>
          <w:sz w:val="19"/>
        </w:rPr>
        <w:sectPr>
          <w:pgSz w:w="11900" w:h="16840"/>
          <w:pgMar w:top="280" w:bottom="280" w:left="566" w:right="141"/>
        </w:sectPr>
      </w:pPr>
    </w:p>
    <w:p>
      <w:pPr>
        <w:pStyle w:val="Heading1"/>
        <w:spacing w:line="345" w:lineRule="auto"/>
        <w:ind w:right="5812"/>
      </w:pPr>
      <w:r>
        <w:rPr/>
        <mc:AlternateContent>
          <mc:Choice Requires="wps">
            <w:drawing>
              <wp:anchor distT="0" distB="0" distL="0" distR="0" allowOverlap="1" layoutInCell="1" locked="0" behindDoc="0" simplePos="0" relativeHeight="15746048">
                <wp:simplePos x="0" y="0"/>
                <wp:positionH relativeFrom="page">
                  <wp:posOffset>401543</wp:posOffset>
                </wp:positionH>
                <wp:positionV relativeFrom="paragraph">
                  <wp:posOffset>481035</wp:posOffset>
                </wp:positionV>
                <wp:extent cx="6753225" cy="1079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7.876801pt;width:531.731217pt;height:.8008pt;mso-position-horizontal-relative:page;mso-position-vertical-relative:paragraph;z-index:15746048" id="docshape30" filled="true" fillcolor="#242b67" stroked="false">
                <v:fill type="solid"/>
                <w10:wrap type="none"/>
              </v:rect>
            </w:pict>
          </mc:Fallback>
        </mc:AlternateContent>
      </w:r>
      <w:r>
        <w:rPr/>
        <mc:AlternateContent>
          <mc:Choice Requires="wps">
            <w:drawing>
              <wp:anchor distT="0" distB="0" distL="0" distR="0" allowOverlap="1" layoutInCell="1" locked="0" behindDoc="0" simplePos="0" relativeHeight="15746560">
                <wp:simplePos x="0" y="0"/>
                <wp:positionH relativeFrom="page">
                  <wp:posOffset>401543</wp:posOffset>
                </wp:positionH>
                <wp:positionV relativeFrom="paragraph">
                  <wp:posOffset>1009883</wp:posOffset>
                </wp:positionV>
                <wp:extent cx="6753225" cy="1079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79.518402pt;width:531.731217pt;height:.8008pt;mso-position-horizontal-relative:page;mso-position-vertical-relative:paragraph;z-index:15746560" id="docshape31" filled="true" fillcolor="#242b67" stroked="false">
                <v:fill type="solid"/>
                <w10:wrap type="none"/>
              </v:rect>
            </w:pict>
          </mc:Fallback>
        </mc:AlternateContent>
      </w:r>
      <w:r>
        <w:rPr>
          <w:color w:val="A26108"/>
        </w:rPr>
        <w:t>Capítulo 57 Hipertensão</w:t>
      </w:r>
      <w:r>
        <w:rPr>
          <w:color w:val="A26108"/>
          <w:spacing w:val="-18"/>
        </w:rPr>
        <w:t> </w:t>
      </w:r>
      <w:r>
        <w:rPr>
          <w:color w:val="A26108"/>
        </w:rPr>
        <w:t>Arterial</w:t>
      </w:r>
    </w:p>
    <w:p>
      <w:pPr>
        <w:spacing w:line="270" w:lineRule="exact" w:before="0"/>
        <w:ind w:left="68" w:right="0" w:firstLine="0"/>
        <w:jc w:val="left"/>
        <w:rPr>
          <w:rFonts w:ascii="Arial"/>
          <w:i/>
          <w:sz w:val="25"/>
        </w:rPr>
      </w:pPr>
      <w:r>
        <w:rPr>
          <w:rFonts w:ascii="Arial"/>
          <w:i/>
          <w:sz w:val="25"/>
        </w:rPr>
        <w:t>Heno</w:t>
      </w:r>
      <w:r>
        <w:rPr>
          <w:rFonts w:ascii="Arial"/>
          <w:i/>
          <w:spacing w:val="14"/>
          <w:sz w:val="25"/>
        </w:rPr>
        <w:t> </w:t>
      </w:r>
      <w:r>
        <w:rPr>
          <w:rFonts w:ascii="Arial"/>
          <w:i/>
          <w:sz w:val="25"/>
        </w:rPr>
        <w:t>Ferreira</w:t>
      </w:r>
      <w:r>
        <w:rPr>
          <w:rFonts w:ascii="Arial"/>
          <w:i/>
          <w:spacing w:val="14"/>
          <w:sz w:val="25"/>
        </w:rPr>
        <w:t> </w:t>
      </w:r>
      <w:r>
        <w:rPr>
          <w:rFonts w:ascii="Arial"/>
          <w:i/>
          <w:sz w:val="25"/>
        </w:rPr>
        <w:t>Lopes</w:t>
      </w:r>
      <w:r>
        <w:rPr>
          <w:rFonts w:ascii="Arial"/>
          <w:i/>
          <w:spacing w:val="15"/>
          <w:sz w:val="25"/>
        </w:rPr>
        <w:t> </w:t>
      </w:r>
      <w:r>
        <w:rPr>
          <w:rFonts w:ascii="Arial"/>
          <w:i/>
          <w:sz w:val="25"/>
        </w:rPr>
        <w:t>e</w:t>
      </w:r>
      <w:r>
        <w:rPr>
          <w:rFonts w:ascii="Arial"/>
          <w:i/>
          <w:spacing w:val="14"/>
          <w:sz w:val="25"/>
        </w:rPr>
        <w:t> </w:t>
      </w:r>
      <w:r>
        <w:rPr>
          <w:rFonts w:ascii="Arial"/>
          <w:i/>
          <w:sz w:val="25"/>
        </w:rPr>
        <w:t>Luciano</w:t>
      </w:r>
      <w:r>
        <w:rPr>
          <w:rFonts w:ascii="Arial"/>
          <w:i/>
          <w:spacing w:val="15"/>
          <w:sz w:val="25"/>
        </w:rPr>
        <w:t> </w:t>
      </w:r>
      <w:r>
        <w:rPr>
          <w:rFonts w:ascii="Arial"/>
          <w:i/>
          <w:sz w:val="25"/>
        </w:rPr>
        <w:t>Ferreira</w:t>
      </w:r>
      <w:r>
        <w:rPr>
          <w:rFonts w:ascii="Arial"/>
          <w:i/>
          <w:spacing w:val="14"/>
          <w:sz w:val="25"/>
        </w:rPr>
        <w:t> </w:t>
      </w:r>
      <w:r>
        <w:rPr>
          <w:rFonts w:ascii="Arial"/>
          <w:i/>
          <w:spacing w:val="-2"/>
          <w:sz w:val="25"/>
        </w:rPr>
        <w:t>Drager</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spacing w:before="1"/>
      </w:pPr>
      <w:r>
        <w:rPr>
          <w:color w:val="242B67"/>
          <w:spacing w:val="-2"/>
        </w:rPr>
        <w:t>Introdução</w:t>
      </w:r>
    </w:p>
    <w:p>
      <w:pPr>
        <w:pStyle w:val="BodyText"/>
        <w:spacing w:line="278" w:lineRule="auto" w:before="131"/>
        <w:ind w:right="497"/>
      </w:pPr>
      <w:r>
        <w:rPr/>
        <w:t>A título de conceituação, a hipertensão arterial sistêmica (HAS) pode ser traduzida como o aumento dos níveis pressóricos acima do recomendado para uma determinada faixa etária e condição clínica. Para o seu diagnóstico, deverão ser realizadas no mínimo duas medidas da pressão arterial com intervalo de 1 a 2 min entre elas. Dessa maneira, o achado de medida da pressão arterial sistólica maior que 140 mmHg e/ou pressão arterial diastólica maior que 90 mmHg para o indivíduo adulto, com base na média de duas ou mais medidas em diferentes visitas, com técnica</w:t>
      </w:r>
      <w:r>
        <w:rPr>
          <w:spacing w:val="-3"/>
        </w:rPr>
        <w:t> </w:t>
      </w:r>
      <w:r>
        <w:rPr/>
        <w:t>e</w:t>
      </w:r>
      <w:r>
        <w:rPr>
          <w:spacing w:val="-3"/>
        </w:rPr>
        <w:t> </w:t>
      </w:r>
      <w:r>
        <w:rPr/>
        <w:t>aparelho calibrado (ver adiante) e</w:t>
      </w:r>
      <w:r>
        <w:rPr>
          <w:spacing w:val="-3"/>
        </w:rPr>
        <w:t> </w:t>
      </w:r>
      <w:r>
        <w:rPr/>
        <w:t>com o indivíduo em posição sentada</w:t>
      </w:r>
      <w:r>
        <w:rPr>
          <w:spacing w:val="-3"/>
        </w:rPr>
        <w:t> </w:t>
      </w:r>
      <w:r>
        <w:rPr/>
        <w:t>define</w:t>
      </w:r>
      <w:r>
        <w:rPr>
          <w:spacing w:val="-3"/>
        </w:rPr>
        <w:t> </w:t>
      </w:r>
      <w:r>
        <w:rPr/>
        <w:t>o diagnóstico.</w:t>
      </w:r>
      <w:r>
        <w:rPr>
          <w:vertAlign w:val="superscript"/>
        </w:rPr>
        <w:t>1</w:t>
      </w:r>
    </w:p>
    <w:p>
      <w:pPr>
        <w:pStyle w:val="BodyText"/>
        <w:spacing w:line="280" w:lineRule="auto"/>
        <w:ind w:right="487"/>
      </w:pPr>
      <w:r>
        <w:rPr/>
        <w:t>A HAS é indiscutivelmente um dos problemas de saúde pública mais importantes no mundo. Apresenta alta prevalência (no Brasil, de 22 a 44%)</w:t>
      </w:r>
      <w:r>
        <w:rPr>
          <w:vertAlign w:val="superscript"/>
        </w:rPr>
        <w:t>2,3</w:t>
      </w:r>
      <w:r>
        <w:rPr>
          <w:vertAlign w:val="baseline"/>
        </w:rPr>
        <w:t> e uma baixa porcentagem de controle com os tratamentos adotados (nos EUA, em torno de 30%) quando se considera o limite superior de 140 mmHg de pressão sistólica e 90 mmHg de pressão diastólica.</w:t>
      </w:r>
      <w:r>
        <w:rPr>
          <w:vertAlign w:val="superscript"/>
        </w:rPr>
        <w:t>4</w:t>
      </w:r>
      <w:r>
        <w:rPr>
          <w:vertAlign w:val="baseline"/>
        </w:rPr>
        <w:t> Ainda existe uma grande porcentagem de indivíduos que desconhecem sua condição de portadores da doença, e, dos que têm conhecimento, 40% ainda não estão em tratamento. Dentre as causas desse desconhecimento, podem ser destacados o fato de a doença ser assintomática e a ausência de um contínuo esforço que</w:t>
      </w:r>
      <w:r>
        <w:rPr>
          <w:spacing w:val="-8"/>
          <w:vertAlign w:val="baseline"/>
        </w:rPr>
        <w:t> </w:t>
      </w:r>
      <w:r>
        <w:rPr>
          <w:vertAlign w:val="baseline"/>
        </w:rPr>
        <w:t>vise</w:t>
      </w:r>
      <w:r>
        <w:rPr>
          <w:spacing w:val="-8"/>
          <w:vertAlign w:val="baseline"/>
        </w:rPr>
        <w:t> </w:t>
      </w:r>
      <w:r>
        <w:rPr>
          <w:vertAlign w:val="baseline"/>
        </w:rPr>
        <w:t>à</w:t>
      </w:r>
      <w:r>
        <w:rPr>
          <w:spacing w:val="-8"/>
          <w:vertAlign w:val="baseline"/>
        </w:rPr>
        <w:t> </w:t>
      </w:r>
      <w:r>
        <w:rPr>
          <w:vertAlign w:val="baseline"/>
        </w:rPr>
        <w:t>divulgação, ao</w:t>
      </w:r>
      <w:r>
        <w:rPr>
          <w:spacing w:val="-5"/>
          <w:vertAlign w:val="baseline"/>
        </w:rPr>
        <w:t> </w:t>
      </w:r>
      <w:r>
        <w:rPr>
          <w:vertAlign w:val="baseline"/>
        </w:rPr>
        <w:t>conhecimento</w:t>
      </w:r>
      <w:r>
        <w:rPr>
          <w:spacing w:val="-5"/>
          <w:vertAlign w:val="baseline"/>
        </w:rPr>
        <w:t> </w:t>
      </w:r>
      <w:r>
        <w:rPr>
          <w:vertAlign w:val="baseline"/>
        </w:rPr>
        <w:t>e</w:t>
      </w:r>
      <w:r>
        <w:rPr>
          <w:spacing w:val="-8"/>
          <w:vertAlign w:val="baseline"/>
        </w:rPr>
        <w:t> </w:t>
      </w:r>
      <w:r>
        <w:rPr>
          <w:vertAlign w:val="baseline"/>
        </w:rPr>
        <w:t>à</w:t>
      </w:r>
      <w:r>
        <w:rPr>
          <w:spacing w:val="-8"/>
          <w:vertAlign w:val="baseline"/>
        </w:rPr>
        <w:t> </w:t>
      </w:r>
      <w:r>
        <w:rPr>
          <w:vertAlign w:val="baseline"/>
        </w:rPr>
        <w:t>facilitação</w:t>
      </w:r>
      <w:r>
        <w:rPr>
          <w:spacing w:val="-5"/>
          <w:vertAlign w:val="baseline"/>
        </w:rPr>
        <w:t> </w:t>
      </w:r>
      <w:r>
        <w:rPr>
          <w:vertAlign w:val="baseline"/>
        </w:rPr>
        <w:t>do</w:t>
      </w:r>
      <w:r>
        <w:rPr>
          <w:spacing w:val="-5"/>
          <w:vertAlign w:val="baseline"/>
        </w:rPr>
        <w:t> </w:t>
      </w:r>
      <w:r>
        <w:rPr>
          <w:vertAlign w:val="baseline"/>
        </w:rPr>
        <w:t>acesso</w:t>
      </w:r>
      <w:r>
        <w:rPr>
          <w:spacing w:val="-5"/>
          <w:vertAlign w:val="baseline"/>
        </w:rPr>
        <w:t> </w:t>
      </w:r>
      <w:r>
        <w:rPr>
          <w:vertAlign w:val="baseline"/>
        </w:rPr>
        <w:t>da</w:t>
      </w:r>
      <w:r>
        <w:rPr>
          <w:spacing w:val="-8"/>
          <w:vertAlign w:val="baseline"/>
        </w:rPr>
        <w:t> </w:t>
      </w:r>
      <w:r>
        <w:rPr>
          <w:vertAlign w:val="baseline"/>
        </w:rPr>
        <w:t>população</w:t>
      </w:r>
      <w:r>
        <w:rPr>
          <w:spacing w:val="-5"/>
          <w:vertAlign w:val="baseline"/>
        </w:rPr>
        <w:t> </w:t>
      </w:r>
      <w:r>
        <w:rPr>
          <w:vertAlign w:val="baseline"/>
        </w:rPr>
        <w:t>ao</w:t>
      </w:r>
      <w:r>
        <w:rPr>
          <w:spacing w:val="-5"/>
          <w:vertAlign w:val="baseline"/>
        </w:rPr>
        <w:t> </w:t>
      </w:r>
      <w:r>
        <w:rPr>
          <w:vertAlign w:val="baseline"/>
        </w:rPr>
        <w:t>Sistema</w:t>
      </w:r>
      <w:r>
        <w:rPr>
          <w:spacing w:val="-8"/>
          <w:vertAlign w:val="baseline"/>
        </w:rPr>
        <w:t> </w:t>
      </w:r>
      <w:r>
        <w:rPr>
          <w:vertAlign w:val="baseline"/>
        </w:rPr>
        <w:t>de</w:t>
      </w:r>
      <w:r>
        <w:rPr>
          <w:spacing w:val="-8"/>
          <w:vertAlign w:val="baseline"/>
        </w:rPr>
        <w:t> </w:t>
      </w:r>
      <w:r>
        <w:rPr>
          <w:vertAlign w:val="baseline"/>
        </w:rPr>
        <w:t>Saúde. Anualmente</w:t>
      </w:r>
      <w:r>
        <w:rPr>
          <w:spacing w:val="-8"/>
          <w:vertAlign w:val="baseline"/>
        </w:rPr>
        <w:t> </w:t>
      </w:r>
      <w:r>
        <w:rPr>
          <w:vertAlign w:val="baseline"/>
        </w:rPr>
        <w:t>há um gasto médio no Brasil de hospitalizações por hipertensão e suas complicações da ordem de 400 milhões de dólares.</w:t>
      </w:r>
      <w:r>
        <w:rPr>
          <w:vertAlign w:val="superscript"/>
        </w:rPr>
        <w:t>5</w:t>
      </w:r>
      <w:r>
        <w:rPr>
          <w:vertAlign w:val="baseline"/>
        </w:rPr>
        <w:t> Dados americanos mostram que a HAS, isoladamente, justifica cerca de 40% das mortes por acidente vascular cerebral e</w:t>
      </w:r>
      <w:r>
        <w:rPr>
          <w:spacing w:val="-4"/>
          <w:vertAlign w:val="baseline"/>
        </w:rPr>
        <w:t> </w:t>
      </w:r>
      <w:r>
        <w:rPr>
          <w:vertAlign w:val="baseline"/>
        </w:rPr>
        <w:t>25% das doenças coronarianas. Desse</w:t>
      </w:r>
      <w:r>
        <w:rPr>
          <w:spacing w:val="-4"/>
          <w:vertAlign w:val="baseline"/>
        </w:rPr>
        <w:t> </w:t>
      </w:r>
      <w:r>
        <w:rPr>
          <w:vertAlign w:val="baseline"/>
        </w:rPr>
        <w:t>modo, o</w:t>
      </w:r>
      <w:r>
        <w:rPr>
          <w:spacing w:val="-1"/>
          <w:vertAlign w:val="baseline"/>
        </w:rPr>
        <w:t> </w:t>
      </w:r>
      <w:r>
        <w:rPr>
          <w:vertAlign w:val="baseline"/>
        </w:rPr>
        <w:t>diagnóstico</w:t>
      </w:r>
      <w:r>
        <w:rPr>
          <w:spacing w:val="-1"/>
          <w:vertAlign w:val="baseline"/>
        </w:rPr>
        <w:t> </w:t>
      </w:r>
      <w:r>
        <w:rPr>
          <w:vertAlign w:val="baseline"/>
        </w:rPr>
        <w:t>e</w:t>
      </w:r>
      <w:r>
        <w:rPr>
          <w:spacing w:val="-4"/>
          <w:vertAlign w:val="baseline"/>
        </w:rPr>
        <w:t> </w:t>
      </w:r>
      <w:r>
        <w:rPr>
          <w:vertAlign w:val="baseline"/>
        </w:rPr>
        <w:t>o</w:t>
      </w:r>
      <w:r>
        <w:rPr>
          <w:spacing w:val="-1"/>
          <w:vertAlign w:val="baseline"/>
        </w:rPr>
        <w:t> </w:t>
      </w:r>
      <w:r>
        <w:rPr>
          <w:vertAlign w:val="baseline"/>
        </w:rPr>
        <w:t>tratamento</w:t>
      </w:r>
      <w:r>
        <w:rPr>
          <w:spacing w:val="-1"/>
          <w:vertAlign w:val="baseline"/>
        </w:rPr>
        <w:t> </w:t>
      </w:r>
      <w:r>
        <w:rPr>
          <w:vertAlign w:val="baseline"/>
        </w:rPr>
        <w:t>adequados da</w:t>
      </w:r>
      <w:r>
        <w:rPr>
          <w:spacing w:val="-4"/>
          <w:vertAlign w:val="baseline"/>
        </w:rPr>
        <w:t> </w:t>
      </w:r>
      <w:r>
        <w:rPr>
          <w:vertAlign w:val="baseline"/>
        </w:rPr>
        <w:t>doença hipertensiva causam impacto importante na morbidade e mortalidade cardiovasculares.</w:t>
      </w:r>
    </w:p>
    <w:p>
      <w:pPr>
        <w:pStyle w:val="BodyText"/>
        <w:spacing w:line="278" w:lineRule="auto" w:before="56"/>
        <w:ind w:right="491"/>
      </w:pPr>
      <w:r>
        <w:rPr/>
        <w:t>A prevalência da HAS aumenta com a idade, com a maior ingestão de sal e a elevação de peso corpóreo. Em mulheres, a prevalência da HAS apresenta um aumento significativo após os 50 anos, sendo essa mudança relacionada com alterações hormonais da menopausa. Assim, a relação mulher/homem passa de 0,6 a 0,7 na idade dos 30 anos para 1,1 a 1,2 na idade de 65 anos. A HAS, além de ser mais comum, é mais grave e apresenta maior taxa de mortalidade na raça negra.</w:t>
      </w:r>
      <w:r>
        <w:rPr>
          <w:vertAlign w:val="superscript"/>
        </w:rPr>
        <w:t>6</w:t>
      </w:r>
      <w:r>
        <w:rPr>
          <w:vertAlign w:val="baseline"/>
        </w:rPr>
        <w:t> Sabe-se que fatores genéticos estão estreitamente envolvidos na HAS, porém ainda não se sabe com clareza como esses fatores interferem na etiopatogênese da hipertensão. Sendo uma doença complexa, é predominantemente poligênica e tem interação direta com fatores ambientais. Casos de hipertensão monogênica – descritos neste capítulo – são raros e geralmente subdiagnosticados.</w:t>
      </w:r>
    </w:p>
    <w:p>
      <w:pPr>
        <w:pStyle w:val="BodyText"/>
        <w:spacing w:before="181"/>
        <w:ind w:left="0" w:firstLine="0"/>
        <w:jc w:val="left"/>
      </w:pPr>
    </w:p>
    <w:p>
      <w:pPr>
        <w:pStyle w:val="Heading4"/>
      </w:pPr>
      <w:r>
        <w:rPr>
          <w:color w:val="242B67"/>
        </w:rPr>
        <w:t>Medida da pressão </w:t>
      </w:r>
      <w:r>
        <w:rPr>
          <w:color w:val="242B67"/>
          <w:spacing w:val="-2"/>
        </w:rPr>
        <w:t>arterial</w:t>
      </w:r>
    </w:p>
    <w:p>
      <w:pPr>
        <w:pStyle w:val="BodyText"/>
        <w:spacing w:line="278" w:lineRule="auto" w:before="132"/>
        <w:ind w:right="497"/>
      </w:pPr>
      <w:r>
        <w:rPr/>
        <w:t>Apesar</w:t>
      </w:r>
      <w:r>
        <w:rPr>
          <w:spacing w:val="-3"/>
        </w:rPr>
        <w:t> </w:t>
      </w:r>
      <w:r>
        <w:rPr/>
        <w:t>de</w:t>
      </w:r>
      <w:r>
        <w:rPr>
          <w:spacing w:val="-10"/>
        </w:rPr>
        <w:t> </w:t>
      </w:r>
      <w:r>
        <w:rPr/>
        <w:t>muito</w:t>
      </w:r>
      <w:r>
        <w:rPr>
          <w:spacing w:val="-8"/>
        </w:rPr>
        <w:t> </w:t>
      </w:r>
      <w:r>
        <w:rPr/>
        <w:t>praticada, a</w:t>
      </w:r>
      <w:r>
        <w:rPr>
          <w:spacing w:val="-10"/>
        </w:rPr>
        <w:t> </w:t>
      </w:r>
      <w:r>
        <w:rPr/>
        <w:t>medida</w:t>
      </w:r>
      <w:r>
        <w:rPr>
          <w:spacing w:val="-10"/>
        </w:rPr>
        <w:t> </w:t>
      </w:r>
      <w:r>
        <w:rPr/>
        <w:t>da</w:t>
      </w:r>
      <w:r>
        <w:rPr>
          <w:spacing w:val="-10"/>
        </w:rPr>
        <w:t> </w:t>
      </w:r>
      <w:r>
        <w:rPr/>
        <w:t>pressão</w:t>
      </w:r>
      <w:r>
        <w:rPr>
          <w:spacing w:val="-8"/>
        </w:rPr>
        <w:t> </w:t>
      </w:r>
      <w:r>
        <w:rPr/>
        <w:t>arterial</w:t>
      </w:r>
      <w:r>
        <w:rPr>
          <w:spacing w:val="-5"/>
        </w:rPr>
        <w:t> </w:t>
      </w:r>
      <w:r>
        <w:rPr/>
        <w:t>é</w:t>
      </w:r>
      <w:r>
        <w:rPr>
          <w:spacing w:val="-10"/>
        </w:rPr>
        <w:t> </w:t>
      </w:r>
      <w:r>
        <w:rPr/>
        <w:t>geralmente</w:t>
      </w:r>
      <w:r>
        <w:rPr>
          <w:spacing w:val="-10"/>
        </w:rPr>
        <w:t> </w:t>
      </w:r>
      <w:r>
        <w:rPr/>
        <w:t>realizada</w:t>
      </w:r>
      <w:r>
        <w:rPr>
          <w:spacing w:val="-10"/>
        </w:rPr>
        <w:t> </w:t>
      </w:r>
      <w:r>
        <w:rPr/>
        <w:t>de</w:t>
      </w:r>
      <w:r>
        <w:rPr>
          <w:spacing w:val="-10"/>
        </w:rPr>
        <w:t> </w:t>
      </w:r>
      <w:r>
        <w:rPr/>
        <w:t>maneira</w:t>
      </w:r>
      <w:r>
        <w:rPr>
          <w:spacing w:val="-10"/>
        </w:rPr>
        <w:t> </w:t>
      </w:r>
      <w:r>
        <w:rPr/>
        <w:t>inadequada. Os erros, que começam na posição do paciente e no tamanho do manguito utilizado, podem ser evitados com o preparo adequado do paciente e o uso de técnica padronizada e de equipamento calibrado. O método mais utilizado é o indireto, mediante</w:t>
      </w:r>
      <w:r>
        <w:rPr>
          <w:spacing w:val="-2"/>
        </w:rPr>
        <w:t> </w:t>
      </w:r>
      <w:r>
        <w:rPr/>
        <w:t>técnica</w:t>
      </w:r>
      <w:r>
        <w:rPr>
          <w:spacing w:val="-2"/>
        </w:rPr>
        <w:t> </w:t>
      </w:r>
      <w:r>
        <w:rPr/>
        <w:t>auscultatória. Nesse</w:t>
      </w:r>
      <w:r>
        <w:rPr>
          <w:spacing w:val="-2"/>
        </w:rPr>
        <w:t> </w:t>
      </w:r>
      <w:r>
        <w:rPr/>
        <w:t>sentido, tanto o esfigmomanômetro de</w:t>
      </w:r>
      <w:r>
        <w:rPr>
          <w:spacing w:val="-2"/>
        </w:rPr>
        <w:t> </w:t>
      </w:r>
      <w:r>
        <w:rPr/>
        <w:t>coluna</w:t>
      </w:r>
      <w:r>
        <w:rPr>
          <w:spacing w:val="-2"/>
        </w:rPr>
        <w:t> </w:t>
      </w:r>
      <w:r>
        <w:rPr/>
        <w:t>de</w:t>
      </w:r>
      <w:r>
        <w:rPr>
          <w:spacing w:val="-2"/>
        </w:rPr>
        <w:t> </w:t>
      </w:r>
      <w:r>
        <w:rPr/>
        <w:t>mercúrio quanto o aparelho aneroide são adequados para uma medida confiável. Os esfigmomanômetros devem ser periodicamente testados e devidamente calibrados a intervalos de 6 a 12 meses.</w:t>
      </w:r>
      <w:r>
        <w:rPr>
          <w:vertAlign w:val="superscript"/>
        </w:rPr>
        <w:t>5</w:t>
      </w:r>
      <w:r>
        <w:rPr>
          <w:vertAlign w:val="baseline"/>
        </w:rPr>
        <w:t> Para a correta medida da pressão arterial, deve-se (</w:t>
      </w:r>
      <w:r>
        <w:rPr>
          <w:color w:val="505050"/>
          <w:vertAlign w:val="baseline"/>
        </w:rPr>
        <w:t>Figura 57.1</w:t>
      </w:r>
      <w:r>
        <w:rPr>
          <w:vertAlign w:val="baseline"/>
        </w:rPr>
        <w:t>):</w:t>
      </w:r>
    </w:p>
    <w:p>
      <w:pPr>
        <w:pStyle w:val="ListParagraph"/>
        <w:numPr>
          <w:ilvl w:val="0"/>
          <w:numId w:val="22"/>
        </w:numPr>
        <w:tabs>
          <w:tab w:pos="398" w:val="left" w:leader="none"/>
        </w:tabs>
        <w:spacing w:line="276" w:lineRule="auto" w:before="159" w:after="0"/>
        <w:ind w:left="68" w:right="489" w:firstLine="0"/>
        <w:jc w:val="left"/>
        <w:rPr>
          <w:sz w:val="23"/>
        </w:rPr>
      </w:pPr>
      <w:r>
        <w:rPr>
          <w:sz w:val="23"/>
        </w:rPr>
        <w:t>Explicar</w:t>
      </w:r>
      <w:r>
        <w:rPr>
          <w:spacing w:val="-3"/>
          <w:sz w:val="23"/>
        </w:rPr>
        <w:t> </w:t>
      </w:r>
      <w:r>
        <w:rPr>
          <w:sz w:val="23"/>
        </w:rPr>
        <w:t>o</w:t>
      </w:r>
      <w:r>
        <w:rPr>
          <w:spacing w:val="-7"/>
          <w:sz w:val="23"/>
        </w:rPr>
        <w:t> </w:t>
      </w:r>
      <w:r>
        <w:rPr>
          <w:sz w:val="23"/>
        </w:rPr>
        <w:t>procedimento</w:t>
      </w:r>
      <w:r>
        <w:rPr>
          <w:spacing w:val="-7"/>
          <w:sz w:val="23"/>
        </w:rPr>
        <w:t> </w:t>
      </w:r>
      <w:r>
        <w:rPr>
          <w:sz w:val="23"/>
        </w:rPr>
        <w:t>ao</w:t>
      </w:r>
      <w:r>
        <w:rPr>
          <w:spacing w:val="-7"/>
          <w:sz w:val="23"/>
        </w:rPr>
        <w:t> </w:t>
      </w:r>
      <w:r>
        <w:rPr>
          <w:sz w:val="23"/>
        </w:rPr>
        <w:t>paciente, orientando-o</w:t>
      </w:r>
      <w:r>
        <w:rPr>
          <w:spacing w:val="-7"/>
          <w:sz w:val="23"/>
        </w:rPr>
        <w:t> </w:t>
      </w:r>
      <w:r>
        <w:rPr>
          <w:sz w:val="23"/>
        </w:rPr>
        <w:t>a</w:t>
      </w:r>
      <w:r>
        <w:rPr>
          <w:spacing w:val="-10"/>
          <w:sz w:val="23"/>
        </w:rPr>
        <w:t> </w:t>
      </w:r>
      <w:r>
        <w:rPr>
          <w:sz w:val="23"/>
        </w:rPr>
        <w:t>não</w:t>
      </w:r>
      <w:r>
        <w:rPr>
          <w:spacing w:val="-7"/>
          <w:sz w:val="23"/>
        </w:rPr>
        <w:t> </w:t>
      </w:r>
      <w:r>
        <w:rPr>
          <w:sz w:val="23"/>
        </w:rPr>
        <w:t>falar. Deixá-lo</w:t>
      </w:r>
      <w:r>
        <w:rPr>
          <w:spacing w:val="-7"/>
          <w:sz w:val="23"/>
        </w:rPr>
        <w:t> </w:t>
      </w:r>
      <w:r>
        <w:rPr>
          <w:sz w:val="23"/>
        </w:rPr>
        <w:t>em</w:t>
      </w:r>
      <w:r>
        <w:rPr>
          <w:spacing w:val="-7"/>
          <w:sz w:val="23"/>
        </w:rPr>
        <w:t> </w:t>
      </w:r>
      <w:r>
        <w:rPr>
          <w:sz w:val="23"/>
        </w:rPr>
        <w:t>repouso</w:t>
      </w:r>
      <w:r>
        <w:rPr>
          <w:spacing w:val="-7"/>
          <w:sz w:val="23"/>
        </w:rPr>
        <w:t> </w:t>
      </w:r>
      <w:r>
        <w:rPr>
          <w:sz w:val="23"/>
        </w:rPr>
        <w:t>por</w:t>
      </w:r>
      <w:r>
        <w:rPr>
          <w:spacing w:val="-3"/>
          <w:sz w:val="23"/>
        </w:rPr>
        <w:t> </w:t>
      </w:r>
      <w:r>
        <w:rPr>
          <w:sz w:val="23"/>
        </w:rPr>
        <w:t>5</w:t>
      </w:r>
      <w:r>
        <w:rPr>
          <w:spacing w:val="-7"/>
          <w:sz w:val="23"/>
        </w:rPr>
        <w:t> </w:t>
      </w:r>
      <w:r>
        <w:rPr>
          <w:sz w:val="23"/>
        </w:rPr>
        <w:t>a</w:t>
      </w:r>
      <w:r>
        <w:rPr>
          <w:spacing w:val="-10"/>
          <w:sz w:val="23"/>
        </w:rPr>
        <w:t> </w:t>
      </w:r>
      <w:r>
        <w:rPr>
          <w:sz w:val="23"/>
        </w:rPr>
        <w:t>10</w:t>
      </w:r>
      <w:r>
        <w:rPr>
          <w:spacing w:val="-7"/>
          <w:sz w:val="23"/>
        </w:rPr>
        <w:t> </w:t>
      </w:r>
      <w:r>
        <w:rPr>
          <w:sz w:val="23"/>
        </w:rPr>
        <w:t>min</w:t>
      </w:r>
      <w:r>
        <w:rPr>
          <w:spacing w:val="-7"/>
          <w:sz w:val="23"/>
        </w:rPr>
        <w:t> </w:t>
      </w:r>
      <w:r>
        <w:rPr>
          <w:sz w:val="23"/>
        </w:rPr>
        <w:t>em</w:t>
      </w:r>
      <w:r>
        <w:rPr>
          <w:spacing w:val="-7"/>
          <w:sz w:val="23"/>
        </w:rPr>
        <w:t> </w:t>
      </w:r>
      <w:r>
        <w:rPr>
          <w:sz w:val="23"/>
        </w:rPr>
        <w:t>ambiente calmo, com temperatura agradável</w:t>
      </w:r>
    </w:p>
    <w:p>
      <w:pPr>
        <w:pStyle w:val="ListParagraph"/>
        <w:numPr>
          <w:ilvl w:val="0"/>
          <w:numId w:val="22"/>
        </w:numPr>
        <w:tabs>
          <w:tab w:pos="415" w:val="left" w:leader="none"/>
        </w:tabs>
        <w:spacing w:line="240" w:lineRule="auto" w:before="16" w:after="0"/>
        <w:ind w:left="415" w:right="0" w:hanging="347"/>
        <w:jc w:val="left"/>
        <w:rPr>
          <w:sz w:val="23"/>
        </w:rPr>
      </w:pPr>
      <w:r>
        <w:rPr>
          <w:sz w:val="23"/>
        </w:rPr>
        <w:t>Certificar-se</w:t>
      </w:r>
      <w:r>
        <w:rPr>
          <w:spacing w:val="4"/>
          <w:sz w:val="23"/>
        </w:rPr>
        <w:t> </w:t>
      </w:r>
      <w:r>
        <w:rPr>
          <w:sz w:val="23"/>
        </w:rPr>
        <w:t>de</w:t>
      </w:r>
      <w:r>
        <w:rPr>
          <w:spacing w:val="7"/>
          <w:sz w:val="23"/>
        </w:rPr>
        <w:t> </w:t>
      </w:r>
      <w:r>
        <w:rPr>
          <w:sz w:val="23"/>
        </w:rPr>
        <w:t>que</w:t>
      </w:r>
      <w:r>
        <w:rPr>
          <w:spacing w:val="7"/>
          <w:sz w:val="23"/>
        </w:rPr>
        <w:t> </w:t>
      </w:r>
      <w:r>
        <w:rPr>
          <w:sz w:val="23"/>
        </w:rPr>
        <w:t>o</w:t>
      </w:r>
      <w:r>
        <w:rPr>
          <w:spacing w:val="10"/>
          <w:sz w:val="23"/>
        </w:rPr>
        <w:t> </w:t>
      </w:r>
      <w:r>
        <w:rPr>
          <w:sz w:val="23"/>
        </w:rPr>
        <w:t>paciente</w:t>
      </w:r>
      <w:r>
        <w:rPr>
          <w:spacing w:val="6"/>
          <w:sz w:val="23"/>
        </w:rPr>
        <w:t> </w:t>
      </w:r>
      <w:r>
        <w:rPr>
          <w:sz w:val="23"/>
        </w:rPr>
        <w:t>não</w:t>
      </w:r>
      <w:r>
        <w:rPr>
          <w:spacing w:val="10"/>
          <w:sz w:val="23"/>
        </w:rPr>
        <w:t> </w:t>
      </w:r>
      <w:r>
        <w:rPr>
          <w:sz w:val="23"/>
        </w:rPr>
        <w:t>ingeriu</w:t>
      </w:r>
      <w:r>
        <w:rPr>
          <w:spacing w:val="9"/>
          <w:sz w:val="23"/>
        </w:rPr>
        <w:t> </w:t>
      </w:r>
      <w:r>
        <w:rPr>
          <w:sz w:val="23"/>
        </w:rPr>
        <w:t>bebidas</w:t>
      </w:r>
      <w:r>
        <w:rPr>
          <w:spacing w:val="17"/>
          <w:sz w:val="23"/>
        </w:rPr>
        <w:t> </w:t>
      </w:r>
      <w:r>
        <w:rPr>
          <w:sz w:val="23"/>
        </w:rPr>
        <w:t>alcoólicas,</w:t>
      </w:r>
      <w:r>
        <w:rPr>
          <w:spacing w:val="17"/>
          <w:sz w:val="23"/>
        </w:rPr>
        <w:t> </w:t>
      </w:r>
      <w:r>
        <w:rPr>
          <w:sz w:val="23"/>
        </w:rPr>
        <w:t>café,</w:t>
      </w:r>
      <w:r>
        <w:rPr>
          <w:spacing w:val="17"/>
          <w:sz w:val="23"/>
        </w:rPr>
        <w:t> </w:t>
      </w:r>
      <w:r>
        <w:rPr>
          <w:sz w:val="23"/>
        </w:rPr>
        <w:t>alimentos</w:t>
      </w:r>
      <w:r>
        <w:rPr>
          <w:spacing w:val="18"/>
          <w:sz w:val="23"/>
        </w:rPr>
        <w:t> </w:t>
      </w:r>
      <w:r>
        <w:rPr>
          <w:sz w:val="23"/>
        </w:rPr>
        <w:t>ou</w:t>
      </w:r>
      <w:r>
        <w:rPr>
          <w:spacing w:val="9"/>
          <w:sz w:val="23"/>
        </w:rPr>
        <w:t> </w:t>
      </w:r>
      <w:r>
        <w:rPr>
          <w:sz w:val="23"/>
        </w:rPr>
        <w:t>não</w:t>
      </w:r>
      <w:r>
        <w:rPr>
          <w:spacing w:val="9"/>
          <w:sz w:val="23"/>
        </w:rPr>
        <w:t> </w:t>
      </w:r>
      <w:r>
        <w:rPr>
          <w:sz w:val="23"/>
        </w:rPr>
        <w:t>fumou</w:t>
      </w:r>
      <w:r>
        <w:rPr>
          <w:spacing w:val="10"/>
          <w:sz w:val="23"/>
        </w:rPr>
        <w:t> </w:t>
      </w:r>
      <w:r>
        <w:rPr>
          <w:sz w:val="23"/>
        </w:rPr>
        <w:t>até</w:t>
      </w:r>
      <w:r>
        <w:rPr>
          <w:spacing w:val="7"/>
          <w:sz w:val="23"/>
        </w:rPr>
        <w:t> </w:t>
      </w:r>
      <w:r>
        <w:rPr>
          <w:sz w:val="23"/>
        </w:rPr>
        <w:t>30</w:t>
      </w:r>
      <w:r>
        <w:rPr>
          <w:spacing w:val="9"/>
          <w:sz w:val="23"/>
        </w:rPr>
        <w:t> </w:t>
      </w:r>
      <w:r>
        <w:rPr>
          <w:sz w:val="23"/>
        </w:rPr>
        <w:t>min</w:t>
      </w:r>
      <w:r>
        <w:rPr>
          <w:spacing w:val="10"/>
          <w:sz w:val="23"/>
        </w:rPr>
        <w:t> </w:t>
      </w:r>
      <w:r>
        <w:rPr>
          <w:spacing w:val="-2"/>
          <w:sz w:val="23"/>
        </w:rPr>
        <w:t>antes</w:t>
      </w:r>
    </w:p>
    <w:p>
      <w:pPr>
        <w:pStyle w:val="ListParagraph"/>
        <w:spacing w:after="0" w:line="240" w:lineRule="auto"/>
        <w:jc w:val="left"/>
        <w:rPr>
          <w:sz w:val="23"/>
        </w:rPr>
        <w:sectPr>
          <w:pgSz w:w="11900" w:h="16840"/>
          <w:pgMar w:top="1060" w:bottom="280" w:left="566" w:right="141"/>
        </w:sectPr>
      </w:pPr>
    </w:p>
    <w:p>
      <w:pPr>
        <w:pStyle w:val="BodyText"/>
        <w:spacing w:line="280" w:lineRule="auto" w:before="63"/>
        <w:ind w:right="501" w:firstLine="0"/>
      </w:pPr>
      <w:r>
        <w:rPr/>
        <w:t>das medidas, de que não está com a bexiga cheia e não praticou exercícios físicos cerca de 60 a 90 min antes do </w:t>
      </w:r>
      <w:r>
        <w:rPr>
          <w:spacing w:val="-2"/>
        </w:rPr>
        <w:t>procedimento</w:t>
      </w:r>
    </w:p>
    <w:p>
      <w:pPr>
        <w:pStyle w:val="ListParagraph"/>
        <w:numPr>
          <w:ilvl w:val="0"/>
          <w:numId w:val="22"/>
        </w:numPr>
        <w:tabs>
          <w:tab w:pos="407" w:val="left" w:leader="none"/>
        </w:tabs>
        <w:spacing w:line="276" w:lineRule="auto" w:before="11" w:after="0"/>
        <w:ind w:left="68" w:right="489" w:firstLine="0"/>
        <w:jc w:val="both"/>
        <w:rPr>
          <w:sz w:val="23"/>
        </w:rPr>
      </w:pPr>
      <w:r>
        <w:rPr>
          <w:sz w:val="23"/>
        </w:rPr>
        <w:t>Utilizar manguito adequado ao braço do paciente, cerca</w:t>
      </w:r>
      <w:r>
        <w:rPr>
          <w:spacing w:val="-2"/>
          <w:sz w:val="23"/>
        </w:rPr>
        <w:t> </w:t>
      </w:r>
      <w:r>
        <w:rPr>
          <w:sz w:val="23"/>
        </w:rPr>
        <w:t>de</w:t>
      </w:r>
      <w:r>
        <w:rPr>
          <w:spacing w:val="-2"/>
          <w:sz w:val="23"/>
        </w:rPr>
        <w:t> </w:t>
      </w:r>
      <w:r>
        <w:rPr>
          <w:sz w:val="23"/>
        </w:rPr>
        <w:t>2 a</w:t>
      </w:r>
      <w:r>
        <w:rPr>
          <w:spacing w:val="-2"/>
          <w:sz w:val="23"/>
        </w:rPr>
        <w:t> </w:t>
      </w:r>
      <w:r>
        <w:rPr>
          <w:sz w:val="23"/>
        </w:rPr>
        <w:t>3 cm acima</w:t>
      </w:r>
      <w:r>
        <w:rPr>
          <w:spacing w:val="-2"/>
          <w:sz w:val="23"/>
        </w:rPr>
        <w:t> </w:t>
      </w:r>
      <w:r>
        <w:rPr>
          <w:sz w:val="23"/>
        </w:rPr>
        <w:t>da</w:t>
      </w:r>
      <w:r>
        <w:rPr>
          <w:spacing w:val="-2"/>
          <w:sz w:val="23"/>
        </w:rPr>
        <w:t> </w:t>
      </w:r>
      <w:r>
        <w:rPr>
          <w:sz w:val="23"/>
        </w:rPr>
        <w:t>fossa</w:t>
      </w:r>
      <w:r>
        <w:rPr>
          <w:spacing w:val="-2"/>
          <w:sz w:val="23"/>
        </w:rPr>
        <w:t> </w:t>
      </w:r>
      <w:r>
        <w:rPr>
          <w:sz w:val="23"/>
        </w:rPr>
        <w:t>antecubital, centralizando a bolsa de borracha sobre a artéria braquial. A largura da bolsa de borracha deve corresponder a 40% da circunferência</w:t>
      </w:r>
      <w:r>
        <w:rPr>
          <w:spacing w:val="-3"/>
          <w:sz w:val="23"/>
        </w:rPr>
        <w:t> </w:t>
      </w:r>
      <w:r>
        <w:rPr>
          <w:sz w:val="23"/>
        </w:rPr>
        <w:t>do braço, e</w:t>
      </w:r>
      <w:r>
        <w:rPr>
          <w:spacing w:val="-3"/>
          <w:sz w:val="23"/>
        </w:rPr>
        <w:t> </w:t>
      </w:r>
      <w:r>
        <w:rPr>
          <w:sz w:val="23"/>
        </w:rPr>
        <w:t>seu comprimento, envolver pelo menos 80% do perímetro braquial</w:t>
      </w:r>
    </w:p>
    <w:p>
      <w:pPr>
        <w:pStyle w:val="ListParagraph"/>
        <w:numPr>
          <w:ilvl w:val="0"/>
          <w:numId w:val="22"/>
        </w:numPr>
        <w:tabs>
          <w:tab w:pos="416" w:val="left" w:leader="none"/>
        </w:tabs>
        <w:spacing w:line="276" w:lineRule="auto" w:before="32" w:after="0"/>
        <w:ind w:left="68" w:right="493" w:firstLine="0"/>
        <w:jc w:val="both"/>
        <w:rPr>
          <w:sz w:val="23"/>
        </w:rPr>
      </w:pPr>
      <w:r>
        <w:rPr>
          <w:sz w:val="23"/>
        </w:rPr>
        <w:t>Manter o braço do paciente na altura do coração, livre de roupas, com a palma da mão voltada para cima e o cotovelo ligeiramente fletido</w:t>
      </w:r>
    </w:p>
    <w:p>
      <w:pPr>
        <w:pStyle w:val="ListParagraph"/>
        <w:numPr>
          <w:ilvl w:val="0"/>
          <w:numId w:val="22"/>
        </w:numPr>
        <w:tabs>
          <w:tab w:pos="395" w:val="left" w:leader="none"/>
        </w:tabs>
        <w:spacing w:line="240" w:lineRule="auto" w:before="17" w:after="0"/>
        <w:ind w:left="395" w:right="0" w:hanging="327"/>
        <w:jc w:val="both"/>
        <w:rPr>
          <w:sz w:val="23"/>
        </w:rPr>
      </w:pPr>
      <w:r>
        <w:rPr>
          <w:sz w:val="23"/>
        </w:rPr>
        <w:t>Posicionar</w:t>
      </w:r>
      <w:r>
        <w:rPr>
          <w:spacing w:val="-5"/>
          <w:sz w:val="23"/>
        </w:rPr>
        <w:t> </w:t>
      </w:r>
      <w:r>
        <w:rPr>
          <w:sz w:val="23"/>
        </w:rPr>
        <w:t>os olhos ao</w:t>
      </w:r>
      <w:r>
        <w:rPr>
          <w:spacing w:val="-8"/>
          <w:sz w:val="23"/>
        </w:rPr>
        <w:t> </w:t>
      </w:r>
      <w:r>
        <w:rPr>
          <w:sz w:val="23"/>
        </w:rPr>
        <w:t>mesmo</w:t>
      </w:r>
      <w:r>
        <w:rPr>
          <w:spacing w:val="-8"/>
          <w:sz w:val="23"/>
        </w:rPr>
        <w:t> </w:t>
      </w:r>
      <w:r>
        <w:rPr>
          <w:sz w:val="23"/>
        </w:rPr>
        <w:t>nível</w:t>
      </w:r>
      <w:r>
        <w:rPr>
          <w:spacing w:val="-5"/>
          <w:sz w:val="23"/>
        </w:rPr>
        <w:t> </w:t>
      </w:r>
      <w:r>
        <w:rPr>
          <w:sz w:val="23"/>
        </w:rPr>
        <w:t>da</w:t>
      </w:r>
      <w:r>
        <w:rPr>
          <w:spacing w:val="-10"/>
          <w:sz w:val="23"/>
        </w:rPr>
        <w:t> </w:t>
      </w:r>
      <w:r>
        <w:rPr>
          <w:sz w:val="23"/>
        </w:rPr>
        <w:t>coluna</w:t>
      </w:r>
      <w:r>
        <w:rPr>
          <w:spacing w:val="-10"/>
          <w:sz w:val="23"/>
        </w:rPr>
        <w:t> </w:t>
      </w:r>
      <w:r>
        <w:rPr>
          <w:sz w:val="23"/>
        </w:rPr>
        <w:t>de</w:t>
      </w:r>
      <w:r>
        <w:rPr>
          <w:spacing w:val="-10"/>
          <w:sz w:val="23"/>
        </w:rPr>
        <w:t> </w:t>
      </w:r>
      <w:r>
        <w:rPr>
          <w:sz w:val="23"/>
        </w:rPr>
        <w:t>mercúrio</w:t>
      </w:r>
      <w:r>
        <w:rPr>
          <w:spacing w:val="-8"/>
          <w:sz w:val="23"/>
        </w:rPr>
        <w:t> </w:t>
      </w:r>
      <w:r>
        <w:rPr>
          <w:sz w:val="23"/>
        </w:rPr>
        <w:t>ou</w:t>
      </w:r>
      <w:r>
        <w:rPr>
          <w:spacing w:val="-7"/>
          <w:sz w:val="23"/>
        </w:rPr>
        <w:t> </w:t>
      </w:r>
      <w:r>
        <w:rPr>
          <w:sz w:val="23"/>
        </w:rPr>
        <w:t>do</w:t>
      </w:r>
      <w:r>
        <w:rPr>
          <w:spacing w:val="-8"/>
          <w:sz w:val="23"/>
        </w:rPr>
        <w:t> </w:t>
      </w:r>
      <w:r>
        <w:rPr>
          <w:sz w:val="23"/>
        </w:rPr>
        <w:t>mostrador</w:t>
      </w:r>
      <w:r>
        <w:rPr>
          <w:spacing w:val="-2"/>
          <w:sz w:val="23"/>
        </w:rPr>
        <w:t> </w:t>
      </w:r>
      <w:r>
        <w:rPr>
          <w:sz w:val="23"/>
        </w:rPr>
        <w:t>do</w:t>
      </w:r>
      <w:r>
        <w:rPr>
          <w:spacing w:val="-8"/>
          <w:sz w:val="23"/>
        </w:rPr>
        <w:t> </w:t>
      </w:r>
      <w:r>
        <w:rPr>
          <w:sz w:val="23"/>
        </w:rPr>
        <w:t>manômetro</w:t>
      </w:r>
      <w:r>
        <w:rPr>
          <w:spacing w:val="-7"/>
          <w:sz w:val="23"/>
        </w:rPr>
        <w:t> </w:t>
      </w:r>
      <w:r>
        <w:rPr>
          <w:spacing w:val="-2"/>
          <w:sz w:val="23"/>
        </w:rPr>
        <w:t>aneroide</w:t>
      </w:r>
    </w:p>
    <w:p>
      <w:pPr>
        <w:pStyle w:val="ListParagraph"/>
        <w:numPr>
          <w:ilvl w:val="0"/>
          <w:numId w:val="22"/>
        </w:numPr>
        <w:tabs>
          <w:tab w:pos="429" w:val="left" w:leader="none"/>
        </w:tabs>
        <w:spacing w:line="276" w:lineRule="auto" w:before="72" w:after="0"/>
        <w:ind w:left="68" w:right="495" w:firstLine="0"/>
        <w:jc w:val="both"/>
        <w:rPr>
          <w:sz w:val="23"/>
        </w:rPr>
      </w:pPr>
      <w:r>
        <w:rPr>
          <w:sz w:val="23"/>
        </w:rPr>
        <w:t>Palpar o pulso radial e inflar o manguito até o seu desaparecimento, para a estimativa da pressão sistólica; desinsuflar rapidamente e aguardar 1 min antes de insuflar novamente</w:t>
      </w:r>
    </w:p>
    <w:p>
      <w:pPr>
        <w:pStyle w:val="ListParagraph"/>
        <w:numPr>
          <w:ilvl w:val="0"/>
          <w:numId w:val="22"/>
        </w:numPr>
        <w:tabs>
          <w:tab w:pos="437" w:val="left" w:leader="none"/>
        </w:tabs>
        <w:spacing w:line="276" w:lineRule="auto" w:before="16" w:after="0"/>
        <w:ind w:left="68" w:right="492" w:firstLine="0"/>
        <w:jc w:val="both"/>
        <w:rPr>
          <w:sz w:val="23"/>
        </w:rPr>
      </w:pPr>
      <w:r>
        <w:rPr>
          <w:sz w:val="23"/>
        </w:rPr>
        <w:t>Posicionar a campânula do estetoscópio suavemente sobre a artéria braquial, na fossa antecubital, evitando compressão excessiva</w:t>
      </w:r>
    </w:p>
    <w:p>
      <w:pPr>
        <w:pStyle w:val="ListParagraph"/>
        <w:numPr>
          <w:ilvl w:val="0"/>
          <w:numId w:val="22"/>
        </w:numPr>
        <w:tabs>
          <w:tab w:pos="439" w:val="left" w:leader="none"/>
        </w:tabs>
        <w:spacing w:line="276" w:lineRule="auto" w:before="32" w:after="0"/>
        <w:ind w:left="68" w:right="492" w:firstLine="0"/>
        <w:jc w:val="both"/>
        <w:rPr>
          <w:sz w:val="23"/>
        </w:rPr>
      </w:pPr>
      <w:r>
        <w:rPr>
          <w:sz w:val="23"/>
        </w:rPr>
        <w:t>Inflar rapidamente, de 10 em 10 mmHg, até ultrapassar, de 20 a 30 mmHg, o nível estimado da pressão sistólica. Proceder à desinflação, com velocidade constante inicial de 2 a 4 mmHg por segundo. Após a identificação do som que determina a pressão sistólica, aumentar a velocidade para 5 a 6 mmHg para evitar congestão venosa e desconforto para o paciente</w:t>
      </w:r>
    </w:p>
    <w:p>
      <w:pPr>
        <w:pStyle w:val="ListParagraph"/>
        <w:numPr>
          <w:ilvl w:val="0"/>
          <w:numId w:val="22"/>
        </w:numPr>
        <w:tabs>
          <w:tab w:pos="400" w:val="left" w:leader="none"/>
        </w:tabs>
        <w:spacing w:line="276" w:lineRule="auto" w:before="17" w:after="0"/>
        <w:ind w:left="68" w:right="489" w:firstLine="0"/>
        <w:jc w:val="both"/>
        <w:rPr>
          <w:sz w:val="23"/>
        </w:rPr>
      </w:pPr>
      <w:r>
        <w:rPr>
          <w:sz w:val="23"/>
        </w:rPr>
        <w:t>Determinar a</w:t>
      </w:r>
      <w:r>
        <w:rPr>
          <w:spacing w:val="-3"/>
          <w:sz w:val="23"/>
        </w:rPr>
        <w:t> </w:t>
      </w:r>
      <w:r>
        <w:rPr>
          <w:sz w:val="23"/>
        </w:rPr>
        <w:t>pressão sistólica</w:t>
      </w:r>
      <w:r>
        <w:rPr>
          <w:spacing w:val="-3"/>
          <w:sz w:val="23"/>
        </w:rPr>
        <w:t> </w:t>
      </w:r>
      <w:r>
        <w:rPr>
          <w:sz w:val="23"/>
        </w:rPr>
        <w:t>no momento do aparecimento do primeiro som (fase</w:t>
      </w:r>
      <w:r>
        <w:rPr>
          <w:spacing w:val="-3"/>
          <w:sz w:val="23"/>
        </w:rPr>
        <w:t> </w:t>
      </w:r>
      <w:r>
        <w:rPr>
          <w:sz w:val="23"/>
        </w:rPr>
        <w:t>1 de</w:t>
      </w:r>
      <w:r>
        <w:rPr>
          <w:spacing w:val="-3"/>
          <w:sz w:val="23"/>
        </w:rPr>
        <w:t> </w:t>
      </w:r>
      <w:r>
        <w:rPr>
          <w:sz w:val="23"/>
        </w:rPr>
        <w:t>Korotkoff), seguido de batimentos regulares que</w:t>
      </w:r>
      <w:r>
        <w:rPr>
          <w:spacing w:val="-9"/>
          <w:sz w:val="23"/>
        </w:rPr>
        <w:t> </w:t>
      </w:r>
      <w:r>
        <w:rPr>
          <w:sz w:val="23"/>
        </w:rPr>
        <w:t>se</w:t>
      </w:r>
      <w:r>
        <w:rPr>
          <w:spacing w:val="-9"/>
          <w:sz w:val="23"/>
        </w:rPr>
        <w:t> </w:t>
      </w:r>
      <w:r>
        <w:rPr>
          <w:sz w:val="23"/>
        </w:rPr>
        <w:t>intensificam</w:t>
      </w:r>
      <w:r>
        <w:rPr>
          <w:spacing w:val="-6"/>
          <w:sz w:val="23"/>
        </w:rPr>
        <w:t> </w:t>
      </w:r>
      <w:r>
        <w:rPr>
          <w:sz w:val="23"/>
        </w:rPr>
        <w:t>com</w:t>
      </w:r>
      <w:r>
        <w:rPr>
          <w:spacing w:val="-6"/>
          <w:sz w:val="23"/>
        </w:rPr>
        <w:t> </w:t>
      </w:r>
      <w:r>
        <w:rPr>
          <w:sz w:val="23"/>
        </w:rPr>
        <w:t>o</w:t>
      </w:r>
      <w:r>
        <w:rPr>
          <w:spacing w:val="-6"/>
          <w:sz w:val="23"/>
        </w:rPr>
        <w:t> </w:t>
      </w:r>
      <w:r>
        <w:rPr>
          <w:sz w:val="23"/>
        </w:rPr>
        <w:t>aumento</w:t>
      </w:r>
      <w:r>
        <w:rPr>
          <w:spacing w:val="-6"/>
          <w:sz w:val="23"/>
        </w:rPr>
        <w:t> </w:t>
      </w:r>
      <w:r>
        <w:rPr>
          <w:sz w:val="23"/>
        </w:rPr>
        <w:t>da</w:t>
      </w:r>
      <w:r>
        <w:rPr>
          <w:spacing w:val="-9"/>
          <w:sz w:val="23"/>
        </w:rPr>
        <w:t> </w:t>
      </w:r>
      <w:r>
        <w:rPr>
          <w:sz w:val="23"/>
        </w:rPr>
        <w:t>velocidade</w:t>
      </w:r>
      <w:r>
        <w:rPr>
          <w:spacing w:val="-9"/>
          <w:sz w:val="23"/>
        </w:rPr>
        <w:t> </w:t>
      </w:r>
      <w:r>
        <w:rPr>
          <w:sz w:val="23"/>
        </w:rPr>
        <w:t>de</w:t>
      </w:r>
      <w:r>
        <w:rPr>
          <w:spacing w:val="-9"/>
          <w:sz w:val="23"/>
        </w:rPr>
        <w:t> </w:t>
      </w:r>
      <w:r>
        <w:rPr>
          <w:sz w:val="23"/>
        </w:rPr>
        <w:t>deflação. Determinar</w:t>
      </w:r>
      <w:r>
        <w:rPr>
          <w:spacing w:val="-1"/>
          <w:sz w:val="23"/>
        </w:rPr>
        <w:t> </w:t>
      </w:r>
      <w:r>
        <w:rPr>
          <w:sz w:val="23"/>
        </w:rPr>
        <w:t>a</w:t>
      </w:r>
      <w:r>
        <w:rPr>
          <w:spacing w:val="-9"/>
          <w:sz w:val="23"/>
        </w:rPr>
        <w:t> </w:t>
      </w:r>
      <w:r>
        <w:rPr>
          <w:sz w:val="23"/>
        </w:rPr>
        <w:t>pressão</w:t>
      </w:r>
      <w:r>
        <w:rPr>
          <w:spacing w:val="-6"/>
          <w:sz w:val="23"/>
        </w:rPr>
        <w:t> </w:t>
      </w:r>
      <w:r>
        <w:rPr>
          <w:sz w:val="23"/>
        </w:rPr>
        <w:t>diastólica no desaparecimento do som (fase 5 de Korotkoff). Auscultar cerca de 20 a 30 mmHg abaixo do último som para confirmar seu desaparecimento e</w:t>
      </w:r>
      <w:r>
        <w:rPr>
          <w:spacing w:val="-1"/>
          <w:sz w:val="23"/>
        </w:rPr>
        <w:t> </w:t>
      </w:r>
      <w:r>
        <w:rPr>
          <w:sz w:val="23"/>
        </w:rPr>
        <w:t>depois proceder à</w:t>
      </w:r>
      <w:r>
        <w:rPr>
          <w:spacing w:val="-1"/>
          <w:sz w:val="23"/>
        </w:rPr>
        <w:t> </w:t>
      </w:r>
      <w:r>
        <w:rPr>
          <w:sz w:val="23"/>
        </w:rPr>
        <w:t>deflação rápida</w:t>
      </w:r>
      <w:r>
        <w:rPr>
          <w:spacing w:val="-1"/>
          <w:sz w:val="23"/>
        </w:rPr>
        <w:t> </w:t>
      </w:r>
      <w:r>
        <w:rPr>
          <w:sz w:val="23"/>
        </w:rPr>
        <w:t>e</w:t>
      </w:r>
      <w:r>
        <w:rPr>
          <w:spacing w:val="-1"/>
          <w:sz w:val="23"/>
        </w:rPr>
        <w:t> </w:t>
      </w:r>
      <w:r>
        <w:rPr>
          <w:sz w:val="23"/>
        </w:rPr>
        <w:t>completa</w:t>
      </w:r>
    </w:p>
    <w:p>
      <w:pPr>
        <w:pStyle w:val="ListParagraph"/>
        <w:numPr>
          <w:ilvl w:val="0"/>
          <w:numId w:val="22"/>
        </w:numPr>
        <w:tabs>
          <w:tab w:pos="404" w:val="left" w:leader="none"/>
        </w:tabs>
        <w:spacing w:line="276" w:lineRule="auto" w:before="33" w:after="0"/>
        <w:ind w:left="68" w:right="492" w:firstLine="0"/>
        <w:jc w:val="both"/>
        <w:rPr>
          <w:sz w:val="23"/>
        </w:rPr>
      </w:pPr>
      <w:r>
        <w:rPr>
          <w:sz w:val="23"/>
        </w:rPr>
        <w:t>Registrar os valores das pressões sistólica</w:t>
      </w:r>
      <w:r>
        <w:rPr>
          <w:spacing w:val="-2"/>
          <w:sz w:val="23"/>
        </w:rPr>
        <w:t> </w:t>
      </w:r>
      <w:r>
        <w:rPr>
          <w:sz w:val="23"/>
        </w:rPr>
        <w:t>e</w:t>
      </w:r>
      <w:r>
        <w:rPr>
          <w:spacing w:val="-2"/>
          <w:sz w:val="23"/>
        </w:rPr>
        <w:t> </w:t>
      </w:r>
      <w:r>
        <w:rPr>
          <w:sz w:val="23"/>
        </w:rPr>
        <w:t>diastólica, complementando com a</w:t>
      </w:r>
      <w:r>
        <w:rPr>
          <w:spacing w:val="-2"/>
          <w:sz w:val="23"/>
        </w:rPr>
        <w:t> </w:t>
      </w:r>
      <w:r>
        <w:rPr>
          <w:sz w:val="23"/>
        </w:rPr>
        <w:t>posição do paciente, o tamanho do manguito e o braço em que foi feita a medida. Não arredondar os valores de pressão arterial para dígitos terminados em zero ou cinco</w:t>
      </w:r>
    </w:p>
    <w:p>
      <w:pPr>
        <w:pStyle w:val="ListParagraph"/>
        <w:numPr>
          <w:ilvl w:val="0"/>
          <w:numId w:val="22"/>
        </w:numPr>
        <w:tabs>
          <w:tab w:pos="395" w:val="left" w:leader="none"/>
        </w:tabs>
        <w:spacing w:line="240" w:lineRule="auto" w:before="16" w:after="0"/>
        <w:ind w:left="395" w:right="0" w:hanging="327"/>
        <w:jc w:val="both"/>
        <w:rPr>
          <w:sz w:val="23"/>
        </w:rPr>
      </w:pPr>
      <w:r>
        <w:rPr>
          <w:sz w:val="23"/>
        </w:rPr>
        <w:t>Esperar 1</w:t>
      </w:r>
      <w:r>
        <w:rPr>
          <w:spacing w:val="-5"/>
          <w:sz w:val="23"/>
        </w:rPr>
        <w:t> </w:t>
      </w:r>
      <w:r>
        <w:rPr>
          <w:sz w:val="23"/>
        </w:rPr>
        <w:t>a</w:t>
      </w:r>
      <w:r>
        <w:rPr>
          <w:spacing w:val="-8"/>
          <w:sz w:val="23"/>
        </w:rPr>
        <w:t> </w:t>
      </w:r>
      <w:r>
        <w:rPr>
          <w:sz w:val="23"/>
        </w:rPr>
        <w:t>2</w:t>
      </w:r>
      <w:r>
        <w:rPr>
          <w:spacing w:val="-5"/>
          <w:sz w:val="23"/>
        </w:rPr>
        <w:t> </w:t>
      </w:r>
      <w:r>
        <w:rPr>
          <w:sz w:val="23"/>
        </w:rPr>
        <w:t>min</w:t>
      </w:r>
      <w:r>
        <w:rPr>
          <w:spacing w:val="-5"/>
          <w:sz w:val="23"/>
        </w:rPr>
        <w:t> </w:t>
      </w:r>
      <w:r>
        <w:rPr>
          <w:sz w:val="23"/>
        </w:rPr>
        <w:t>antes</w:t>
      </w:r>
      <w:r>
        <w:rPr>
          <w:spacing w:val="2"/>
          <w:sz w:val="23"/>
        </w:rPr>
        <w:t> </w:t>
      </w:r>
      <w:r>
        <w:rPr>
          <w:sz w:val="23"/>
        </w:rPr>
        <w:t>de</w:t>
      </w:r>
      <w:r>
        <w:rPr>
          <w:spacing w:val="-7"/>
          <w:sz w:val="23"/>
        </w:rPr>
        <w:t> </w:t>
      </w:r>
      <w:r>
        <w:rPr>
          <w:sz w:val="23"/>
        </w:rPr>
        <w:t>realizar novas</w:t>
      </w:r>
      <w:r>
        <w:rPr>
          <w:spacing w:val="3"/>
          <w:sz w:val="23"/>
        </w:rPr>
        <w:t> </w:t>
      </w:r>
      <w:r>
        <w:rPr>
          <w:spacing w:val="-2"/>
          <w:sz w:val="23"/>
        </w:rPr>
        <w:t>medidas</w:t>
      </w:r>
    </w:p>
    <w:p>
      <w:pPr>
        <w:pStyle w:val="ListParagraph"/>
        <w:numPr>
          <w:ilvl w:val="0"/>
          <w:numId w:val="22"/>
        </w:numPr>
        <w:tabs>
          <w:tab w:pos="451" w:val="left" w:leader="none"/>
        </w:tabs>
        <w:spacing w:line="276" w:lineRule="auto" w:before="56" w:after="0"/>
        <w:ind w:left="68" w:right="489" w:firstLine="0"/>
        <w:jc w:val="both"/>
        <w:rPr>
          <w:sz w:val="23"/>
        </w:rPr>
      </w:pPr>
      <w:r>
        <w:rPr>
          <w:sz w:val="23"/>
        </w:rPr>
        <w:t>O paciente deve ser informado sobre os valores obtidos da pressão arterial e a possível necessidade de </w:t>
      </w:r>
      <w:r>
        <w:rPr>
          <w:spacing w:val="-2"/>
          <w:sz w:val="23"/>
        </w:rPr>
        <w:t>acompanhamento.</w:t>
      </w:r>
    </w:p>
    <w:p>
      <w:pPr>
        <w:pStyle w:val="BodyText"/>
        <w:spacing w:before="133"/>
        <w:ind w:left="0" w:firstLine="0"/>
        <w:jc w:val="left"/>
      </w:pPr>
    </w:p>
    <w:p>
      <w:pPr>
        <w:pStyle w:val="Heading5"/>
        <w:spacing w:before="1"/>
        <w:jc w:val="both"/>
      </w:pPr>
      <w:r>
        <w:rPr>
          <w:color w:val="A26108"/>
        </w:rPr>
        <w:t>Dimensões</w:t>
      </w:r>
      <w:r>
        <w:rPr>
          <w:color w:val="A26108"/>
          <w:spacing w:val="21"/>
        </w:rPr>
        <w:t> </w:t>
      </w:r>
      <w:r>
        <w:rPr>
          <w:color w:val="A26108"/>
        </w:rPr>
        <w:t>do</w:t>
      </w:r>
      <w:r>
        <w:rPr>
          <w:color w:val="A26108"/>
          <w:spacing w:val="22"/>
        </w:rPr>
        <w:t> </w:t>
      </w:r>
      <w:r>
        <w:rPr>
          <w:color w:val="A26108"/>
          <w:spacing w:val="-2"/>
        </w:rPr>
        <w:t>manguito</w:t>
      </w:r>
    </w:p>
    <w:p>
      <w:pPr>
        <w:pStyle w:val="BodyText"/>
        <w:spacing w:line="280" w:lineRule="auto" w:before="138"/>
        <w:ind w:right="488"/>
      </w:pPr>
      <w:r>
        <w:rPr/>
        <w:t>Como</w:t>
      </w:r>
      <w:r>
        <w:rPr>
          <w:spacing w:val="-2"/>
        </w:rPr>
        <w:t> </w:t>
      </w:r>
      <w:r>
        <w:rPr/>
        <w:t>já</w:t>
      </w:r>
      <w:r>
        <w:rPr>
          <w:spacing w:val="-4"/>
        </w:rPr>
        <w:t> </w:t>
      </w:r>
      <w:r>
        <w:rPr/>
        <w:t>mencionado, o</w:t>
      </w:r>
      <w:r>
        <w:rPr>
          <w:spacing w:val="-2"/>
        </w:rPr>
        <w:t> </w:t>
      </w:r>
      <w:r>
        <w:rPr/>
        <w:t>manguito</w:t>
      </w:r>
      <w:r>
        <w:rPr>
          <w:spacing w:val="-2"/>
        </w:rPr>
        <w:t> </w:t>
      </w:r>
      <w:r>
        <w:rPr/>
        <w:t>deve</w:t>
      </w:r>
      <w:r>
        <w:rPr>
          <w:spacing w:val="-4"/>
        </w:rPr>
        <w:t> </w:t>
      </w:r>
      <w:r>
        <w:rPr/>
        <w:t>ser adequado</w:t>
      </w:r>
      <w:r>
        <w:rPr>
          <w:spacing w:val="-2"/>
        </w:rPr>
        <w:t> </w:t>
      </w:r>
      <w:r>
        <w:rPr/>
        <w:t>ao</w:t>
      </w:r>
      <w:r>
        <w:rPr>
          <w:spacing w:val="-2"/>
        </w:rPr>
        <w:t> </w:t>
      </w:r>
      <w:r>
        <w:rPr/>
        <w:t>braço</w:t>
      </w:r>
      <w:r>
        <w:rPr>
          <w:spacing w:val="-2"/>
        </w:rPr>
        <w:t> </w:t>
      </w:r>
      <w:r>
        <w:rPr/>
        <w:t>do</w:t>
      </w:r>
      <w:r>
        <w:rPr>
          <w:spacing w:val="-2"/>
        </w:rPr>
        <w:t> </w:t>
      </w:r>
      <w:r>
        <w:rPr/>
        <w:t>paciente. A</w:t>
      </w:r>
      <w:r>
        <w:rPr>
          <w:spacing w:val="-4"/>
        </w:rPr>
        <w:t> </w:t>
      </w:r>
      <w:r>
        <w:rPr/>
        <w:t>largura</w:t>
      </w:r>
      <w:r>
        <w:rPr>
          <w:spacing w:val="-4"/>
        </w:rPr>
        <w:t> </w:t>
      </w:r>
      <w:r>
        <w:rPr/>
        <w:t>da</w:t>
      </w:r>
      <w:r>
        <w:rPr>
          <w:spacing w:val="-4"/>
        </w:rPr>
        <w:t> </w:t>
      </w:r>
      <w:r>
        <w:rPr/>
        <w:t>bolsa</w:t>
      </w:r>
      <w:r>
        <w:rPr>
          <w:spacing w:val="-4"/>
        </w:rPr>
        <w:t> </w:t>
      </w:r>
      <w:r>
        <w:rPr/>
        <w:t>de</w:t>
      </w:r>
      <w:r>
        <w:rPr>
          <w:spacing w:val="-4"/>
        </w:rPr>
        <w:t> </w:t>
      </w:r>
      <w:r>
        <w:rPr/>
        <w:t>borracha</w:t>
      </w:r>
      <w:r>
        <w:rPr>
          <w:spacing w:val="-4"/>
        </w:rPr>
        <w:t> </w:t>
      </w:r>
      <w:r>
        <w:rPr/>
        <w:t>deve corresponder a 40% da circunferência do braço, e o seu comprimento, envolver pelo menos 80% do perímetro braquial. Internacionalmente, utilizam-se diferentes padrões de manguito, para criança até adulto jovem, para adultos de tamanhos diferentes e manguito para coxa (</w:t>
      </w:r>
      <w:r>
        <w:rPr>
          <w:color w:val="505050"/>
        </w:rPr>
        <w:t>Tabela 57.1</w:t>
      </w:r>
      <w:r>
        <w:rPr/>
        <w:t>).</w:t>
      </w:r>
      <w:r>
        <w:rPr>
          <w:vertAlign w:val="superscript"/>
        </w:rPr>
        <w:t>5,7</w:t>
      </w:r>
    </w:p>
    <w:p>
      <w:pPr>
        <w:pStyle w:val="BodyText"/>
        <w:spacing w:before="5"/>
        <w:ind w:left="0" w:firstLine="0"/>
        <w:jc w:val="left"/>
        <w:rPr>
          <w:sz w:val="20"/>
        </w:rPr>
      </w:pPr>
      <w:r>
        <w:rPr>
          <w:sz w:val="20"/>
        </w:rPr>
        <w:drawing>
          <wp:anchor distT="0" distB="0" distL="0" distR="0" allowOverlap="1" layoutInCell="1" locked="0" behindDoc="1" simplePos="0" relativeHeight="487606272">
            <wp:simplePos x="0" y="0"/>
            <wp:positionH relativeFrom="page">
              <wp:posOffset>2557754</wp:posOffset>
            </wp:positionH>
            <wp:positionV relativeFrom="paragraph">
              <wp:posOffset>164987</wp:posOffset>
            </wp:positionV>
            <wp:extent cx="2446016" cy="1997583"/>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9" cstate="print"/>
                    <a:stretch>
                      <a:fillRect/>
                    </a:stretch>
                  </pic:blipFill>
                  <pic:spPr>
                    <a:xfrm>
                      <a:off x="0" y="0"/>
                      <a:ext cx="2446016" cy="1997583"/>
                    </a:xfrm>
                    <a:prstGeom prst="rect">
                      <a:avLst/>
                    </a:prstGeom>
                  </pic:spPr>
                </pic:pic>
              </a:graphicData>
            </a:graphic>
          </wp:anchor>
        </w:drawing>
      </w:r>
    </w:p>
    <w:p>
      <w:pPr>
        <w:pStyle w:val="BodyText"/>
        <w:spacing w:before="29"/>
        <w:ind w:left="0" w:firstLine="0"/>
        <w:jc w:val="left"/>
      </w:pPr>
    </w:p>
    <w:p>
      <w:pPr>
        <w:spacing w:line="285" w:lineRule="auto" w:before="0"/>
        <w:ind w:left="68" w:right="508" w:firstLine="0"/>
        <w:jc w:val="both"/>
        <w:rPr>
          <w:rFonts w:ascii="Microsoft Sans Serif" w:hAnsi="Microsoft Sans Serif"/>
          <w:sz w:val="19"/>
        </w:rPr>
      </w:pPr>
      <w:r>
        <w:rPr>
          <w:rFonts w:ascii="Arial" w:hAnsi="Arial"/>
          <w:b/>
          <w:color w:val="242B67"/>
          <w:sz w:val="19"/>
        </w:rPr>
        <w:t>Figura</w:t>
      </w:r>
      <w:r>
        <w:rPr>
          <w:rFonts w:ascii="Arial" w:hAnsi="Arial"/>
          <w:b/>
          <w:color w:val="242B67"/>
          <w:spacing w:val="40"/>
          <w:sz w:val="19"/>
        </w:rPr>
        <w:t> </w:t>
      </w:r>
      <w:r>
        <w:rPr>
          <w:rFonts w:ascii="Arial" w:hAnsi="Arial"/>
          <w:b/>
          <w:color w:val="242B67"/>
          <w:sz w:val="19"/>
        </w:rPr>
        <w:t>57.1</w:t>
      </w:r>
      <w:r>
        <w:rPr>
          <w:rFonts w:ascii="Arial" w:hAnsi="Arial"/>
          <w:b/>
          <w:color w:val="242B67"/>
          <w:spacing w:val="40"/>
          <w:sz w:val="19"/>
        </w:rPr>
        <w:t> </w:t>
      </w:r>
      <w:r>
        <w:rPr>
          <w:rFonts w:ascii="Microsoft Sans Serif" w:hAnsi="Microsoft Sans Serif"/>
          <w:sz w:val="19"/>
        </w:rPr>
        <w:t>Postura</w:t>
      </w:r>
      <w:r>
        <w:rPr>
          <w:rFonts w:ascii="Microsoft Sans Serif" w:hAnsi="Microsoft Sans Serif"/>
          <w:spacing w:val="40"/>
          <w:sz w:val="19"/>
        </w:rPr>
        <w:t> </w:t>
      </w:r>
      <w:r>
        <w:rPr>
          <w:rFonts w:ascii="Microsoft Sans Serif" w:hAnsi="Microsoft Sans Serif"/>
          <w:sz w:val="19"/>
        </w:rPr>
        <w:t>adequada</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paciente</w:t>
      </w:r>
      <w:r>
        <w:rPr>
          <w:rFonts w:ascii="Microsoft Sans Serif" w:hAnsi="Microsoft Sans Serif"/>
          <w:spacing w:val="40"/>
          <w:sz w:val="19"/>
        </w:rPr>
        <w:t> </w:t>
      </w:r>
      <w:r>
        <w:rPr>
          <w:rFonts w:ascii="Microsoft Sans Serif" w:hAnsi="Microsoft Sans Serif"/>
          <w:sz w:val="19"/>
        </w:rPr>
        <w:t>para</w:t>
      </w:r>
      <w:r>
        <w:rPr>
          <w:rFonts w:ascii="Microsoft Sans Serif" w:hAnsi="Microsoft Sans Serif"/>
          <w:spacing w:val="40"/>
          <w:sz w:val="19"/>
        </w:rPr>
        <w:t> </w:t>
      </w:r>
      <w:r>
        <w:rPr>
          <w:rFonts w:ascii="Microsoft Sans Serif" w:hAnsi="Microsoft Sans Serif"/>
          <w:sz w:val="19"/>
        </w:rPr>
        <w:t>a</w:t>
      </w:r>
      <w:r>
        <w:rPr>
          <w:rFonts w:ascii="Microsoft Sans Serif" w:hAnsi="Microsoft Sans Serif"/>
          <w:spacing w:val="40"/>
          <w:sz w:val="19"/>
        </w:rPr>
        <w:t> </w:t>
      </w:r>
      <w:r>
        <w:rPr>
          <w:rFonts w:ascii="Microsoft Sans Serif" w:hAnsi="Microsoft Sans Serif"/>
          <w:sz w:val="19"/>
        </w:rPr>
        <w:t>aferição</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pressão</w:t>
      </w:r>
      <w:r>
        <w:rPr>
          <w:rFonts w:ascii="Microsoft Sans Serif" w:hAnsi="Microsoft Sans Serif"/>
          <w:spacing w:val="40"/>
          <w:sz w:val="19"/>
        </w:rPr>
        <w:t> </w:t>
      </w:r>
      <w:r>
        <w:rPr>
          <w:rFonts w:ascii="Microsoft Sans Serif" w:hAnsi="Microsoft Sans Serif"/>
          <w:sz w:val="19"/>
        </w:rPr>
        <w:t>arterial.</w:t>
      </w:r>
      <w:r>
        <w:rPr>
          <w:rFonts w:ascii="Microsoft Sans Serif" w:hAnsi="Microsoft Sans Serif"/>
          <w:spacing w:val="40"/>
          <w:sz w:val="19"/>
        </w:rPr>
        <w:t> </w:t>
      </w:r>
      <w:r>
        <w:rPr>
          <w:rFonts w:ascii="Microsoft Sans Serif" w:hAnsi="Microsoft Sans Serif"/>
          <w:sz w:val="19"/>
        </w:rPr>
        <w:t>Note</w:t>
      </w:r>
      <w:r>
        <w:rPr>
          <w:rFonts w:ascii="Microsoft Sans Serif" w:hAnsi="Microsoft Sans Serif"/>
          <w:spacing w:val="40"/>
          <w:sz w:val="19"/>
        </w:rPr>
        <w:t> </w:t>
      </w:r>
      <w:r>
        <w:rPr>
          <w:rFonts w:ascii="Microsoft Sans Serif" w:hAnsi="Microsoft Sans Serif"/>
          <w:sz w:val="19"/>
        </w:rPr>
        <w:t>que</w:t>
      </w:r>
      <w:r>
        <w:rPr>
          <w:rFonts w:ascii="Microsoft Sans Serif" w:hAnsi="Microsoft Sans Serif"/>
          <w:spacing w:val="40"/>
          <w:sz w:val="19"/>
        </w:rPr>
        <w:t> </w:t>
      </w:r>
      <w:r>
        <w:rPr>
          <w:rFonts w:ascii="Microsoft Sans Serif" w:hAnsi="Microsoft Sans Serif"/>
          <w:sz w:val="19"/>
        </w:rPr>
        <w:t>o</w:t>
      </w:r>
      <w:r>
        <w:rPr>
          <w:rFonts w:ascii="Microsoft Sans Serif" w:hAnsi="Microsoft Sans Serif"/>
          <w:spacing w:val="40"/>
          <w:sz w:val="19"/>
        </w:rPr>
        <w:t> </w:t>
      </w:r>
      <w:r>
        <w:rPr>
          <w:rFonts w:ascii="Microsoft Sans Serif" w:hAnsi="Microsoft Sans Serif"/>
          <w:sz w:val="19"/>
        </w:rPr>
        <w:t>braço</w:t>
      </w:r>
      <w:r>
        <w:rPr>
          <w:rFonts w:ascii="Microsoft Sans Serif" w:hAnsi="Microsoft Sans Serif"/>
          <w:spacing w:val="40"/>
          <w:sz w:val="19"/>
        </w:rPr>
        <w:t> </w:t>
      </w:r>
      <w:r>
        <w:rPr>
          <w:rFonts w:ascii="Microsoft Sans Serif" w:hAnsi="Microsoft Sans Serif"/>
          <w:sz w:val="19"/>
        </w:rPr>
        <w:t>está</w:t>
      </w:r>
      <w:r>
        <w:rPr>
          <w:rFonts w:ascii="Microsoft Sans Serif" w:hAnsi="Microsoft Sans Serif"/>
          <w:spacing w:val="40"/>
          <w:sz w:val="19"/>
        </w:rPr>
        <w:t> </w:t>
      </w:r>
      <w:r>
        <w:rPr>
          <w:rFonts w:ascii="Microsoft Sans Serif" w:hAnsi="Microsoft Sans Serif"/>
          <w:sz w:val="19"/>
        </w:rPr>
        <w:t>apoiado</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o manguito está colocado no nível do coração.</w:t>
      </w:r>
    </w:p>
    <w:p>
      <w:pPr>
        <w:pStyle w:val="BodyText"/>
        <w:spacing w:before="112"/>
        <w:ind w:left="0" w:firstLine="0"/>
        <w:jc w:val="left"/>
        <w:rPr>
          <w:rFonts w:ascii="Microsoft Sans Serif"/>
          <w:sz w:val="19"/>
        </w:rPr>
      </w:pPr>
    </w:p>
    <w:p>
      <w:pPr>
        <w:pStyle w:val="BodyText"/>
        <w:spacing w:before="1"/>
        <w:ind w:firstLine="0"/>
        <w:rPr>
          <w:rFonts w:ascii="Microsoft Sans Serif" w:hAnsi="Microsoft Sans Serif"/>
        </w:rPr>
      </w:pPr>
      <w:r>
        <w:rPr>
          <w:rFonts w:ascii="Arial" w:hAnsi="Arial"/>
          <w:b/>
          <w:color w:val="242B67"/>
        </w:rPr>
        <w:t>Tabela</w:t>
      </w:r>
      <w:r>
        <w:rPr>
          <w:rFonts w:ascii="Arial" w:hAnsi="Arial"/>
          <w:b/>
          <w:color w:val="242B67"/>
          <w:spacing w:val="-4"/>
        </w:rPr>
        <w:t> </w:t>
      </w:r>
      <w:r>
        <w:rPr>
          <w:rFonts w:ascii="Arial" w:hAnsi="Arial"/>
          <w:b/>
          <w:color w:val="242B67"/>
        </w:rPr>
        <w:t>57.1</w:t>
      </w:r>
      <w:r>
        <w:rPr>
          <w:rFonts w:ascii="Arial" w:hAnsi="Arial"/>
          <w:b/>
          <w:color w:val="242B67"/>
          <w:spacing w:val="-4"/>
        </w:rPr>
        <w:t> </w:t>
      </w:r>
      <w:r>
        <w:rPr>
          <w:rFonts w:ascii="Microsoft Sans Serif" w:hAnsi="Microsoft Sans Serif"/>
        </w:rPr>
        <w:t>Dimensões</w:t>
      </w:r>
      <w:r>
        <w:rPr>
          <w:rFonts w:ascii="Microsoft Sans Serif" w:hAnsi="Microsoft Sans Serif"/>
          <w:spacing w:val="-4"/>
        </w:rPr>
        <w:t> </w:t>
      </w:r>
      <w:r>
        <w:rPr>
          <w:rFonts w:ascii="Microsoft Sans Serif" w:hAnsi="Microsoft Sans Serif"/>
        </w:rPr>
        <w:t>do</w:t>
      </w:r>
      <w:r>
        <w:rPr>
          <w:rFonts w:ascii="Microsoft Sans Serif" w:hAnsi="Microsoft Sans Serif"/>
          <w:spacing w:val="-2"/>
        </w:rPr>
        <w:t> </w:t>
      </w:r>
      <w:r>
        <w:rPr>
          <w:rFonts w:ascii="Microsoft Sans Serif" w:hAnsi="Microsoft Sans Serif"/>
        </w:rPr>
        <w:t>manguito</w:t>
      </w:r>
      <w:r>
        <w:rPr>
          <w:rFonts w:ascii="Microsoft Sans Serif" w:hAnsi="Microsoft Sans Serif"/>
          <w:spacing w:val="-1"/>
        </w:rPr>
        <w:t> </w:t>
      </w:r>
      <w:r>
        <w:rPr>
          <w:rFonts w:ascii="Microsoft Sans Serif" w:hAnsi="Microsoft Sans Serif"/>
        </w:rPr>
        <w:t>de</w:t>
      </w:r>
      <w:r>
        <w:rPr>
          <w:rFonts w:ascii="Microsoft Sans Serif" w:hAnsi="Microsoft Sans Serif"/>
          <w:spacing w:val="-1"/>
        </w:rPr>
        <w:t> </w:t>
      </w:r>
      <w:r>
        <w:rPr>
          <w:rFonts w:ascii="Microsoft Sans Serif" w:hAnsi="Microsoft Sans Serif"/>
        </w:rPr>
        <w:t>acordo</w:t>
      </w:r>
      <w:r>
        <w:rPr>
          <w:rFonts w:ascii="Microsoft Sans Serif" w:hAnsi="Microsoft Sans Serif"/>
          <w:spacing w:val="-2"/>
        </w:rPr>
        <w:t> </w:t>
      </w:r>
      <w:r>
        <w:rPr>
          <w:rFonts w:ascii="Microsoft Sans Serif" w:hAnsi="Microsoft Sans Serif"/>
        </w:rPr>
        <w:t>com</w:t>
      </w:r>
      <w:r>
        <w:rPr>
          <w:rFonts w:ascii="Microsoft Sans Serif" w:hAnsi="Microsoft Sans Serif"/>
          <w:spacing w:val="-1"/>
        </w:rPr>
        <w:t> </w:t>
      </w:r>
      <w:r>
        <w:rPr>
          <w:rFonts w:ascii="Microsoft Sans Serif" w:hAnsi="Microsoft Sans Serif"/>
        </w:rPr>
        <w:t>a</w:t>
      </w:r>
      <w:r>
        <w:rPr>
          <w:rFonts w:ascii="Microsoft Sans Serif" w:hAnsi="Microsoft Sans Serif"/>
          <w:spacing w:val="-2"/>
        </w:rPr>
        <w:t> </w:t>
      </w:r>
      <w:r>
        <w:rPr>
          <w:rFonts w:ascii="Microsoft Sans Serif" w:hAnsi="Microsoft Sans Serif"/>
        </w:rPr>
        <w:t>circunferência</w:t>
      </w:r>
      <w:r>
        <w:rPr>
          <w:rFonts w:ascii="Microsoft Sans Serif" w:hAnsi="Microsoft Sans Serif"/>
          <w:spacing w:val="-1"/>
        </w:rPr>
        <w:t> </w:t>
      </w:r>
      <w:r>
        <w:rPr>
          <w:rFonts w:ascii="Microsoft Sans Serif" w:hAnsi="Microsoft Sans Serif"/>
        </w:rPr>
        <w:t>do</w:t>
      </w:r>
      <w:r>
        <w:rPr>
          <w:rFonts w:ascii="Microsoft Sans Serif" w:hAnsi="Microsoft Sans Serif"/>
          <w:spacing w:val="-1"/>
        </w:rPr>
        <w:t> </w:t>
      </w:r>
      <w:r>
        <w:rPr>
          <w:rFonts w:ascii="Microsoft Sans Serif" w:hAnsi="Microsoft Sans Serif"/>
          <w:spacing w:val="-2"/>
        </w:rPr>
        <w:t>membro.</w:t>
      </w:r>
    </w:p>
    <w:p>
      <w:pPr>
        <w:pStyle w:val="BodyText"/>
        <w:spacing w:before="5"/>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667"/>
        <w:gridCol w:w="2659"/>
        <w:gridCol w:w="2643"/>
        <w:gridCol w:w="2635"/>
      </w:tblGrid>
      <w:tr>
        <w:trPr>
          <w:trHeight w:val="734" w:hRule="atLeast"/>
        </w:trPr>
        <w:tc>
          <w:tcPr>
            <w:tcW w:w="2667" w:type="dxa"/>
            <w:tcBorders>
              <w:top w:val="nil"/>
              <w:left w:val="nil"/>
            </w:tcBorders>
            <w:shd w:val="clear" w:color="auto" w:fill="242B67"/>
          </w:tcPr>
          <w:p>
            <w:pPr>
              <w:pStyle w:val="TableParagraph"/>
              <w:spacing w:line="302" w:lineRule="auto" w:before="91"/>
              <w:ind w:left="67" w:right="150"/>
              <w:rPr>
                <w:rFonts w:ascii="Arial" w:hAnsi="Arial"/>
                <w:b/>
                <w:sz w:val="21"/>
              </w:rPr>
            </w:pPr>
            <w:r>
              <w:rPr>
                <w:rFonts w:ascii="Arial" w:hAnsi="Arial"/>
                <w:b/>
                <w:color w:val="FFFFFF"/>
                <w:w w:val="105"/>
                <w:sz w:val="21"/>
              </w:rPr>
              <w:t>Circunferência</w:t>
            </w:r>
            <w:r>
              <w:rPr>
                <w:rFonts w:ascii="Arial" w:hAnsi="Arial"/>
                <w:b/>
                <w:color w:val="FFFFFF"/>
                <w:spacing w:val="-16"/>
                <w:w w:val="105"/>
                <w:sz w:val="21"/>
              </w:rPr>
              <w:t> </w:t>
            </w:r>
            <w:r>
              <w:rPr>
                <w:rFonts w:ascii="Arial" w:hAnsi="Arial"/>
                <w:b/>
                <w:color w:val="FFFFFF"/>
                <w:w w:val="105"/>
                <w:sz w:val="21"/>
              </w:rPr>
              <w:t>do braço (cm)</w:t>
            </w:r>
          </w:p>
        </w:tc>
        <w:tc>
          <w:tcPr>
            <w:tcW w:w="2659" w:type="dxa"/>
            <w:tcBorders>
              <w:top w:val="nil"/>
            </w:tcBorders>
            <w:shd w:val="clear" w:color="auto" w:fill="242B67"/>
          </w:tcPr>
          <w:p>
            <w:pPr>
              <w:pStyle w:val="TableParagraph"/>
              <w:spacing w:line="302" w:lineRule="auto" w:before="91"/>
              <w:rPr>
                <w:rFonts w:ascii="Arial" w:hAnsi="Arial"/>
                <w:b/>
                <w:sz w:val="21"/>
              </w:rPr>
            </w:pPr>
            <w:r>
              <w:rPr>
                <w:rFonts w:ascii="Arial" w:hAnsi="Arial"/>
                <w:b/>
                <w:color w:val="FFFFFF"/>
                <w:spacing w:val="-2"/>
                <w:w w:val="105"/>
                <w:sz w:val="21"/>
              </w:rPr>
              <w:t>Denominação</w:t>
            </w:r>
            <w:r>
              <w:rPr>
                <w:rFonts w:ascii="Arial" w:hAnsi="Arial"/>
                <w:b/>
                <w:color w:val="FFFFFF"/>
                <w:spacing w:val="-14"/>
                <w:w w:val="105"/>
                <w:sz w:val="21"/>
              </w:rPr>
              <w:t> </w:t>
            </w:r>
            <w:r>
              <w:rPr>
                <w:rFonts w:ascii="Arial" w:hAnsi="Arial"/>
                <w:b/>
                <w:color w:val="FFFFFF"/>
                <w:spacing w:val="-2"/>
                <w:w w:val="105"/>
                <w:sz w:val="21"/>
              </w:rPr>
              <w:t>do manguito</w:t>
            </w:r>
          </w:p>
        </w:tc>
        <w:tc>
          <w:tcPr>
            <w:tcW w:w="2643" w:type="dxa"/>
            <w:tcBorders>
              <w:top w:val="nil"/>
            </w:tcBorders>
            <w:shd w:val="clear" w:color="auto" w:fill="242B67"/>
          </w:tcPr>
          <w:p>
            <w:pPr>
              <w:pStyle w:val="TableParagraph"/>
              <w:spacing w:line="302" w:lineRule="auto" w:before="91"/>
              <w:rPr>
                <w:rFonts w:ascii="Arial"/>
                <w:b/>
                <w:sz w:val="21"/>
              </w:rPr>
            </w:pPr>
            <w:r>
              <w:rPr>
                <w:rFonts w:ascii="Arial"/>
                <w:b/>
                <w:color w:val="FFFFFF"/>
                <w:spacing w:val="-2"/>
                <w:w w:val="105"/>
                <w:sz w:val="21"/>
              </w:rPr>
              <w:t>Largura</w:t>
            </w:r>
            <w:r>
              <w:rPr>
                <w:rFonts w:ascii="Arial"/>
                <w:b/>
                <w:color w:val="FFFFFF"/>
                <w:spacing w:val="-14"/>
                <w:w w:val="105"/>
                <w:sz w:val="21"/>
              </w:rPr>
              <w:t> </w:t>
            </w:r>
            <w:r>
              <w:rPr>
                <w:rFonts w:ascii="Arial"/>
                <w:b/>
                <w:color w:val="FFFFFF"/>
                <w:spacing w:val="-2"/>
                <w:w w:val="105"/>
                <w:sz w:val="21"/>
              </w:rPr>
              <w:t>do</w:t>
            </w:r>
            <w:r>
              <w:rPr>
                <w:rFonts w:ascii="Arial"/>
                <w:b/>
                <w:color w:val="FFFFFF"/>
                <w:spacing w:val="-13"/>
                <w:w w:val="105"/>
                <w:sz w:val="21"/>
              </w:rPr>
              <w:t> </w:t>
            </w:r>
            <w:r>
              <w:rPr>
                <w:rFonts w:ascii="Arial"/>
                <w:b/>
                <w:color w:val="FFFFFF"/>
                <w:spacing w:val="-2"/>
                <w:w w:val="105"/>
                <w:sz w:val="21"/>
              </w:rPr>
              <w:t>manguito </w:t>
            </w:r>
            <w:r>
              <w:rPr>
                <w:rFonts w:ascii="Arial"/>
                <w:b/>
                <w:color w:val="FFFFFF"/>
                <w:spacing w:val="-4"/>
                <w:w w:val="105"/>
                <w:sz w:val="21"/>
              </w:rPr>
              <w:t>(cm)</w:t>
            </w:r>
          </w:p>
        </w:tc>
        <w:tc>
          <w:tcPr>
            <w:tcW w:w="2635" w:type="dxa"/>
            <w:tcBorders>
              <w:top w:val="nil"/>
              <w:right w:val="nil"/>
            </w:tcBorders>
            <w:shd w:val="clear" w:color="auto" w:fill="242B67"/>
          </w:tcPr>
          <w:p>
            <w:pPr>
              <w:pStyle w:val="TableParagraph"/>
              <w:spacing w:line="302" w:lineRule="auto" w:before="91"/>
              <w:ind w:left="64" w:right="194"/>
              <w:rPr>
                <w:rFonts w:ascii="Arial"/>
                <w:b/>
                <w:sz w:val="21"/>
              </w:rPr>
            </w:pPr>
            <w:r>
              <w:rPr>
                <w:rFonts w:ascii="Arial"/>
                <w:b/>
                <w:color w:val="FFFFFF"/>
                <w:spacing w:val="-2"/>
                <w:w w:val="105"/>
                <w:sz w:val="21"/>
              </w:rPr>
              <w:t>Comprimento</w:t>
            </w:r>
            <w:r>
              <w:rPr>
                <w:rFonts w:ascii="Arial"/>
                <w:b/>
                <w:color w:val="FFFFFF"/>
                <w:spacing w:val="-14"/>
                <w:w w:val="105"/>
                <w:sz w:val="21"/>
              </w:rPr>
              <w:t> </w:t>
            </w:r>
            <w:r>
              <w:rPr>
                <w:rFonts w:ascii="Arial"/>
                <w:b/>
                <w:color w:val="FFFFFF"/>
                <w:spacing w:val="-2"/>
                <w:w w:val="105"/>
                <w:sz w:val="21"/>
              </w:rPr>
              <w:t>da</w:t>
            </w:r>
            <w:r>
              <w:rPr>
                <w:rFonts w:ascii="Arial"/>
                <w:b/>
                <w:color w:val="FFFFFF"/>
                <w:spacing w:val="-13"/>
                <w:w w:val="105"/>
                <w:sz w:val="21"/>
              </w:rPr>
              <w:t> </w:t>
            </w:r>
            <w:r>
              <w:rPr>
                <w:rFonts w:ascii="Arial"/>
                <w:b/>
                <w:color w:val="FFFFFF"/>
                <w:spacing w:val="-2"/>
                <w:w w:val="105"/>
                <w:sz w:val="21"/>
              </w:rPr>
              <w:t>bolsa </w:t>
            </w:r>
            <w:r>
              <w:rPr>
                <w:rFonts w:ascii="Arial"/>
                <w:b/>
                <w:color w:val="FFFFFF"/>
                <w:spacing w:val="-4"/>
                <w:w w:val="105"/>
                <w:sz w:val="21"/>
              </w:rPr>
              <w:t>(cm)</w:t>
            </w:r>
          </w:p>
        </w:tc>
      </w:tr>
      <w:tr>
        <w:trPr>
          <w:trHeight w:val="272" w:hRule="atLeast"/>
        </w:trPr>
        <w:tc>
          <w:tcPr>
            <w:tcW w:w="2667" w:type="dxa"/>
            <w:tcBorders>
              <w:left w:val="nil"/>
              <w:bottom w:val="nil"/>
            </w:tcBorders>
            <w:shd w:val="clear" w:color="auto" w:fill="EDECF3"/>
          </w:tcPr>
          <w:p>
            <w:pPr>
              <w:pStyle w:val="TableParagraph"/>
              <w:spacing w:before="0"/>
              <w:ind w:left="0"/>
              <w:rPr>
                <w:rFonts w:ascii="Times New Roman"/>
                <w:sz w:val="20"/>
              </w:rPr>
            </w:pPr>
          </w:p>
        </w:tc>
        <w:tc>
          <w:tcPr>
            <w:tcW w:w="2659" w:type="dxa"/>
            <w:tcBorders>
              <w:bottom w:val="nil"/>
            </w:tcBorders>
            <w:shd w:val="clear" w:color="auto" w:fill="EDECF3"/>
          </w:tcPr>
          <w:p>
            <w:pPr>
              <w:pStyle w:val="TableParagraph"/>
              <w:spacing w:before="0"/>
              <w:ind w:left="0"/>
              <w:rPr>
                <w:rFonts w:ascii="Times New Roman"/>
                <w:sz w:val="20"/>
              </w:rPr>
            </w:pPr>
          </w:p>
        </w:tc>
        <w:tc>
          <w:tcPr>
            <w:tcW w:w="2643" w:type="dxa"/>
            <w:tcBorders>
              <w:bottom w:val="nil"/>
            </w:tcBorders>
            <w:shd w:val="clear" w:color="auto" w:fill="EDECF3"/>
          </w:tcPr>
          <w:p>
            <w:pPr>
              <w:pStyle w:val="TableParagraph"/>
              <w:spacing w:before="0"/>
              <w:ind w:left="0"/>
              <w:rPr>
                <w:rFonts w:ascii="Times New Roman"/>
                <w:sz w:val="20"/>
              </w:rPr>
            </w:pPr>
          </w:p>
        </w:tc>
        <w:tc>
          <w:tcPr>
            <w:tcW w:w="2635" w:type="dxa"/>
            <w:tcBorders>
              <w:bottom w:val="nil"/>
              <w:right w:val="nil"/>
            </w:tcBorders>
            <w:shd w:val="clear" w:color="auto" w:fill="EDECF3"/>
          </w:tcPr>
          <w:p>
            <w:pPr>
              <w:pStyle w:val="TableParagraph"/>
              <w:spacing w:before="0"/>
              <w:ind w:left="0"/>
              <w:rPr>
                <w:rFonts w:ascii="Times New Roman"/>
                <w:sz w:val="20"/>
              </w:rPr>
            </w:pPr>
          </w:p>
        </w:tc>
      </w:tr>
    </w:tbl>
    <w:p>
      <w:pPr>
        <w:pStyle w:val="TableParagraph"/>
        <w:spacing w:after="0"/>
        <w:rPr>
          <w:rFonts w:ascii="Times New Roman"/>
          <w:sz w:val="20"/>
        </w:rPr>
        <w:sectPr>
          <w:pgSz w:w="11900" w:h="16840"/>
          <w:pgMar w:top="22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667"/>
        <w:gridCol w:w="2659"/>
        <w:gridCol w:w="2643"/>
        <w:gridCol w:w="2651"/>
      </w:tblGrid>
      <w:tr>
        <w:trPr>
          <w:trHeight w:val="428" w:hRule="atLeast"/>
        </w:trPr>
        <w:tc>
          <w:tcPr>
            <w:tcW w:w="2667" w:type="dxa"/>
            <w:tcBorders>
              <w:top w:val="nil"/>
              <w:left w:val="nil"/>
            </w:tcBorders>
            <w:shd w:val="clear" w:color="auto" w:fill="EDECF3"/>
          </w:tcPr>
          <w:p>
            <w:pPr>
              <w:pStyle w:val="TableParagraph"/>
              <w:ind w:left="67"/>
              <w:rPr>
                <w:sz w:val="21"/>
              </w:rPr>
            </w:pPr>
            <w:r>
              <w:rPr>
                <w:sz w:val="21"/>
              </w:rPr>
              <w:t>≤</w:t>
            </w:r>
            <w:r>
              <w:rPr>
                <w:spacing w:val="-4"/>
                <w:sz w:val="21"/>
              </w:rPr>
              <w:t> </w:t>
            </w:r>
            <w:r>
              <w:rPr>
                <w:spacing w:val="-10"/>
                <w:sz w:val="21"/>
              </w:rPr>
              <w:t>6</w:t>
            </w:r>
          </w:p>
        </w:tc>
        <w:tc>
          <w:tcPr>
            <w:tcW w:w="2659" w:type="dxa"/>
            <w:tcBorders>
              <w:top w:val="nil"/>
            </w:tcBorders>
            <w:shd w:val="clear" w:color="auto" w:fill="EDECF3"/>
          </w:tcPr>
          <w:p>
            <w:pPr>
              <w:pStyle w:val="TableParagraph"/>
              <w:rPr>
                <w:sz w:val="21"/>
              </w:rPr>
            </w:pPr>
            <w:r>
              <w:rPr>
                <w:sz w:val="21"/>
              </w:rPr>
              <w:t>Recém-</w:t>
            </w:r>
            <w:r>
              <w:rPr>
                <w:spacing w:val="-2"/>
                <w:sz w:val="21"/>
              </w:rPr>
              <w:t>nascido</w:t>
            </w:r>
          </w:p>
        </w:tc>
        <w:tc>
          <w:tcPr>
            <w:tcW w:w="2643" w:type="dxa"/>
            <w:tcBorders>
              <w:top w:val="nil"/>
            </w:tcBorders>
            <w:shd w:val="clear" w:color="auto" w:fill="EDECF3"/>
          </w:tcPr>
          <w:p>
            <w:pPr>
              <w:pStyle w:val="TableParagraph"/>
              <w:rPr>
                <w:sz w:val="21"/>
              </w:rPr>
            </w:pPr>
            <w:r>
              <w:rPr>
                <w:spacing w:val="-10"/>
                <w:w w:val="105"/>
                <w:sz w:val="21"/>
              </w:rPr>
              <w:t>3</w:t>
            </w:r>
          </w:p>
        </w:tc>
        <w:tc>
          <w:tcPr>
            <w:tcW w:w="2651" w:type="dxa"/>
            <w:tcBorders>
              <w:top w:val="nil"/>
              <w:right w:val="nil"/>
            </w:tcBorders>
            <w:shd w:val="clear" w:color="auto" w:fill="EDECF3"/>
          </w:tcPr>
          <w:p>
            <w:pPr>
              <w:pStyle w:val="TableParagraph"/>
              <w:ind w:left="64"/>
              <w:rPr>
                <w:sz w:val="21"/>
              </w:rPr>
            </w:pPr>
            <w:r>
              <w:rPr>
                <w:spacing w:val="-10"/>
                <w:w w:val="105"/>
                <w:sz w:val="21"/>
              </w:rPr>
              <w:t>6</w:t>
            </w:r>
          </w:p>
        </w:tc>
      </w:tr>
      <w:tr>
        <w:trPr>
          <w:trHeight w:val="428" w:hRule="atLeast"/>
        </w:trPr>
        <w:tc>
          <w:tcPr>
            <w:tcW w:w="2667" w:type="dxa"/>
            <w:tcBorders>
              <w:left w:val="nil"/>
            </w:tcBorders>
            <w:shd w:val="clear" w:color="auto" w:fill="EDECF3"/>
          </w:tcPr>
          <w:p>
            <w:pPr>
              <w:pStyle w:val="TableParagraph"/>
              <w:ind w:left="67"/>
              <w:rPr>
                <w:sz w:val="21"/>
              </w:rPr>
            </w:pPr>
            <w:r>
              <w:rPr>
                <w:w w:val="105"/>
                <w:sz w:val="21"/>
              </w:rPr>
              <w:t>6</w:t>
            </w:r>
            <w:r>
              <w:rPr>
                <w:spacing w:val="9"/>
                <w:w w:val="105"/>
                <w:sz w:val="21"/>
              </w:rPr>
              <w:t> </w:t>
            </w:r>
            <w:r>
              <w:rPr>
                <w:w w:val="105"/>
                <w:sz w:val="21"/>
              </w:rPr>
              <w:t>a</w:t>
            </w:r>
            <w:r>
              <w:rPr>
                <w:spacing w:val="10"/>
                <w:w w:val="105"/>
                <w:sz w:val="21"/>
              </w:rPr>
              <w:t> </w:t>
            </w:r>
            <w:r>
              <w:rPr>
                <w:spacing w:val="-5"/>
                <w:w w:val="105"/>
                <w:sz w:val="21"/>
              </w:rPr>
              <w:t>15</w:t>
            </w:r>
          </w:p>
        </w:tc>
        <w:tc>
          <w:tcPr>
            <w:tcW w:w="2659" w:type="dxa"/>
            <w:shd w:val="clear" w:color="auto" w:fill="EDECF3"/>
          </w:tcPr>
          <w:p>
            <w:pPr>
              <w:pStyle w:val="TableParagraph"/>
              <w:rPr>
                <w:sz w:val="21"/>
              </w:rPr>
            </w:pPr>
            <w:r>
              <w:rPr>
                <w:spacing w:val="-2"/>
                <w:w w:val="105"/>
                <w:sz w:val="21"/>
              </w:rPr>
              <w:t>Criança</w:t>
            </w:r>
          </w:p>
        </w:tc>
        <w:tc>
          <w:tcPr>
            <w:tcW w:w="2643" w:type="dxa"/>
            <w:shd w:val="clear" w:color="auto" w:fill="EDECF3"/>
          </w:tcPr>
          <w:p>
            <w:pPr>
              <w:pStyle w:val="TableParagraph"/>
              <w:rPr>
                <w:sz w:val="21"/>
              </w:rPr>
            </w:pPr>
            <w:r>
              <w:rPr>
                <w:spacing w:val="-10"/>
                <w:w w:val="105"/>
                <w:sz w:val="21"/>
              </w:rPr>
              <w:t>5</w:t>
            </w:r>
          </w:p>
        </w:tc>
        <w:tc>
          <w:tcPr>
            <w:tcW w:w="2651" w:type="dxa"/>
            <w:tcBorders>
              <w:right w:val="nil"/>
            </w:tcBorders>
            <w:shd w:val="clear" w:color="auto" w:fill="EDECF3"/>
          </w:tcPr>
          <w:p>
            <w:pPr>
              <w:pStyle w:val="TableParagraph"/>
              <w:ind w:left="64"/>
              <w:rPr>
                <w:sz w:val="21"/>
              </w:rPr>
            </w:pPr>
            <w:r>
              <w:rPr>
                <w:spacing w:val="-5"/>
                <w:w w:val="105"/>
                <w:sz w:val="21"/>
              </w:rPr>
              <w:t>15</w:t>
            </w:r>
          </w:p>
        </w:tc>
      </w:tr>
      <w:tr>
        <w:trPr>
          <w:trHeight w:val="428" w:hRule="atLeast"/>
        </w:trPr>
        <w:tc>
          <w:tcPr>
            <w:tcW w:w="2667" w:type="dxa"/>
            <w:tcBorders>
              <w:left w:val="nil"/>
            </w:tcBorders>
            <w:shd w:val="clear" w:color="auto" w:fill="EDECF3"/>
          </w:tcPr>
          <w:p>
            <w:pPr>
              <w:pStyle w:val="TableParagraph"/>
              <w:ind w:left="67"/>
              <w:rPr>
                <w:sz w:val="21"/>
              </w:rPr>
            </w:pPr>
            <w:r>
              <w:rPr>
                <w:w w:val="105"/>
                <w:sz w:val="21"/>
              </w:rPr>
              <w:t>16</w:t>
            </w:r>
            <w:r>
              <w:rPr>
                <w:spacing w:val="12"/>
                <w:w w:val="105"/>
                <w:sz w:val="21"/>
              </w:rPr>
              <w:t> </w:t>
            </w:r>
            <w:r>
              <w:rPr>
                <w:w w:val="105"/>
                <w:sz w:val="21"/>
              </w:rPr>
              <w:t>a</w:t>
            </w:r>
            <w:r>
              <w:rPr>
                <w:spacing w:val="12"/>
                <w:w w:val="105"/>
                <w:sz w:val="21"/>
              </w:rPr>
              <w:t> </w:t>
            </w:r>
            <w:r>
              <w:rPr>
                <w:spacing w:val="-5"/>
                <w:w w:val="105"/>
                <w:sz w:val="21"/>
              </w:rPr>
              <w:t>21</w:t>
            </w:r>
          </w:p>
        </w:tc>
        <w:tc>
          <w:tcPr>
            <w:tcW w:w="2659" w:type="dxa"/>
            <w:shd w:val="clear" w:color="auto" w:fill="EDECF3"/>
          </w:tcPr>
          <w:p>
            <w:pPr>
              <w:pStyle w:val="TableParagraph"/>
              <w:rPr>
                <w:sz w:val="21"/>
              </w:rPr>
            </w:pPr>
            <w:r>
              <w:rPr>
                <w:spacing w:val="-2"/>
                <w:w w:val="105"/>
                <w:sz w:val="21"/>
              </w:rPr>
              <w:t>Infantil</w:t>
            </w:r>
          </w:p>
        </w:tc>
        <w:tc>
          <w:tcPr>
            <w:tcW w:w="2643" w:type="dxa"/>
            <w:shd w:val="clear" w:color="auto" w:fill="EDECF3"/>
          </w:tcPr>
          <w:p>
            <w:pPr>
              <w:pStyle w:val="TableParagraph"/>
              <w:rPr>
                <w:sz w:val="21"/>
              </w:rPr>
            </w:pPr>
            <w:r>
              <w:rPr>
                <w:spacing w:val="-10"/>
                <w:w w:val="105"/>
                <w:sz w:val="21"/>
              </w:rPr>
              <w:t>8</w:t>
            </w:r>
          </w:p>
        </w:tc>
        <w:tc>
          <w:tcPr>
            <w:tcW w:w="2651" w:type="dxa"/>
            <w:tcBorders>
              <w:right w:val="nil"/>
            </w:tcBorders>
            <w:shd w:val="clear" w:color="auto" w:fill="EDECF3"/>
          </w:tcPr>
          <w:p>
            <w:pPr>
              <w:pStyle w:val="TableParagraph"/>
              <w:ind w:left="64"/>
              <w:rPr>
                <w:sz w:val="21"/>
              </w:rPr>
            </w:pPr>
            <w:r>
              <w:rPr>
                <w:spacing w:val="-5"/>
                <w:w w:val="105"/>
                <w:sz w:val="21"/>
              </w:rPr>
              <w:t>21</w:t>
            </w:r>
          </w:p>
        </w:tc>
      </w:tr>
      <w:tr>
        <w:trPr>
          <w:trHeight w:val="428" w:hRule="atLeast"/>
        </w:trPr>
        <w:tc>
          <w:tcPr>
            <w:tcW w:w="2667" w:type="dxa"/>
            <w:tcBorders>
              <w:left w:val="nil"/>
            </w:tcBorders>
            <w:shd w:val="clear" w:color="auto" w:fill="EDECF3"/>
          </w:tcPr>
          <w:p>
            <w:pPr>
              <w:pStyle w:val="TableParagraph"/>
              <w:ind w:left="67"/>
              <w:rPr>
                <w:sz w:val="21"/>
              </w:rPr>
            </w:pPr>
            <w:r>
              <w:rPr>
                <w:w w:val="105"/>
                <w:sz w:val="21"/>
              </w:rPr>
              <w:t>22</w:t>
            </w:r>
            <w:r>
              <w:rPr>
                <w:spacing w:val="12"/>
                <w:w w:val="105"/>
                <w:sz w:val="21"/>
              </w:rPr>
              <w:t> </w:t>
            </w:r>
            <w:r>
              <w:rPr>
                <w:w w:val="105"/>
                <w:sz w:val="21"/>
              </w:rPr>
              <w:t>a</w:t>
            </w:r>
            <w:r>
              <w:rPr>
                <w:spacing w:val="12"/>
                <w:w w:val="105"/>
                <w:sz w:val="21"/>
              </w:rPr>
              <w:t> </w:t>
            </w:r>
            <w:r>
              <w:rPr>
                <w:spacing w:val="-5"/>
                <w:w w:val="105"/>
                <w:sz w:val="21"/>
              </w:rPr>
              <w:t>26</w:t>
            </w:r>
          </w:p>
        </w:tc>
        <w:tc>
          <w:tcPr>
            <w:tcW w:w="2659" w:type="dxa"/>
            <w:shd w:val="clear" w:color="auto" w:fill="EDECF3"/>
          </w:tcPr>
          <w:p>
            <w:pPr>
              <w:pStyle w:val="TableParagraph"/>
              <w:rPr>
                <w:sz w:val="21"/>
              </w:rPr>
            </w:pPr>
            <w:r>
              <w:rPr>
                <w:w w:val="105"/>
                <w:sz w:val="21"/>
              </w:rPr>
              <w:t>Adulto</w:t>
            </w:r>
            <w:r>
              <w:rPr>
                <w:spacing w:val="13"/>
                <w:w w:val="105"/>
                <w:sz w:val="21"/>
              </w:rPr>
              <w:t> </w:t>
            </w:r>
            <w:r>
              <w:rPr>
                <w:spacing w:val="-2"/>
                <w:w w:val="105"/>
                <w:sz w:val="21"/>
              </w:rPr>
              <w:t>pequeno</w:t>
            </w:r>
          </w:p>
        </w:tc>
        <w:tc>
          <w:tcPr>
            <w:tcW w:w="2643" w:type="dxa"/>
            <w:shd w:val="clear" w:color="auto" w:fill="EDECF3"/>
          </w:tcPr>
          <w:p>
            <w:pPr>
              <w:pStyle w:val="TableParagraph"/>
              <w:rPr>
                <w:sz w:val="21"/>
              </w:rPr>
            </w:pPr>
            <w:r>
              <w:rPr>
                <w:spacing w:val="-5"/>
                <w:w w:val="105"/>
                <w:sz w:val="21"/>
              </w:rPr>
              <w:t>10</w:t>
            </w:r>
          </w:p>
        </w:tc>
        <w:tc>
          <w:tcPr>
            <w:tcW w:w="2651" w:type="dxa"/>
            <w:tcBorders>
              <w:right w:val="nil"/>
            </w:tcBorders>
            <w:shd w:val="clear" w:color="auto" w:fill="EDECF3"/>
          </w:tcPr>
          <w:p>
            <w:pPr>
              <w:pStyle w:val="TableParagraph"/>
              <w:ind w:left="64"/>
              <w:rPr>
                <w:sz w:val="21"/>
              </w:rPr>
            </w:pPr>
            <w:r>
              <w:rPr>
                <w:spacing w:val="-5"/>
                <w:w w:val="105"/>
                <w:sz w:val="21"/>
              </w:rPr>
              <w:t>24</w:t>
            </w:r>
          </w:p>
        </w:tc>
      </w:tr>
      <w:tr>
        <w:trPr>
          <w:trHeight w:val="428" w:hRule="atLeast"/>
        </w:trPr>
        <w:tc>
          <w:tcPr>
            <w:tcW w:w="2667" w:type="dxa"/>
            <w:tcBorders>
              <w:left w:val="nil"/>
            </w:tcBorders>
            <w:shd w:val="clear" w:color="auto" w:fill="EDECF3"/>
          </w:tcPr>
          <w:p>
            <w:pPr>
              <w:pStyle w:val="TableParagraph"/>
              <w:ind w:left="67"/>
              <w:rPr>
                <w:sz w:val="21"/>
              </w:rPr>
            </w:pPr>
            <w:r>
              <w:rPr>
                <w:w w:val="105"/>
                <w:sz w:val="21"/>
              </w:rPr>
              <w:t>27</w:t>
            </w:r>
            <w:r>
              <w:rPr>
                <w:spacing w:val="12"/>
                <w:w w:val="105"/>
                <w:sz w:val="21"/>
              </w:rPr>
              <w:t> </w:t>
            </w:r>
            <w:r>
              <w:rPr>
                <w:w w:val="105"/>
                <w:sz w:val="21"/>
              </w:rPr>
              <w:t>a</w:t>
            </w:r>
            <w:r>
              <w:rPr>
                <w:spacing w:val="12"/>
                <w:w w:val="105"/>
                <w:sz w:val="21"/>
              </w:rPr>
              <w:t> </w:t>
            </w:r>
            <w:r>
              <w:rPr>
                <w:spacing w:val="-5"/>
                <w:w w:val="105"/>
                <w:sz w:val="21"/>
              </w:rPr>
              <w:t>34</w:t>
            </w:r>
          </w:p>
        </w:tc>
        <w:tc>
          <w:tcPr>
            <w:tcW w:w="2659" w:type="dxa"/>
            <w:shd w:val="clear" w:color="auto" w:fill="EDECF3"/>
          </w:tcPr>
          <w:p>
            <w:pPr>
              <w:pStyle w:val="TableParagraph"/>
              <w:rPr>
                <w:sz w:val="21"/>
              </w:rPr>
            </w:pPr>
            <w:r>
              <w:rPr>
                <w:spacing w:val="-2"/>
                <w:w w:val="105"/>
                <w:sz w:val="21"/>
              </w:rPr>
              <w:t>Adulto</w:t>
            </w:r>
          </w:p>
        </w:tc>
        <w:tc>
          <w:tcPr>
            <w:tcW w:w="2643" w:type="dxa"/>
            <w:shd w:val="clear" w:color="auto" w:fill="EDECF3"/>
          </w:tcPr>
          <w:p>
            <w:pPr>
              <w:pStyle w:val="TableParagraph"/>
              <w:rPr>
                <w:sz w:val="21"/>
              </w:rPr>
            </w:pPr>
            <w:r>
              <w:rPr>
                <w:spacing w:val="-5"/>
                <w:w w:val="105"/>
                <w:sz w:val="21"/>
              </w:rPr>
              <w:t>13</w:t>
            </w:r>
          </w:p>
        </w:tc>
        <w:tc>
          <w:tcPr>
            <w:tcW w:w="2651" w:type="dxa"/>
            <w:tcBorders>
              <w:right w:val="nil"/>
            </w:tcBorders>
            <w:shd w:val="clear" w:color="auto" w:fill="EDECF3"/>
          </w:tcPr>
          <w:p>
            <w:pPr>
              <w:pStyle w:val="TableParagraph"/>
              <w:ind w:left="64"/>
              <w:rPr>
                <w:sz w:val="21"/>
              </w:rPr>
            </w:pPr>
            <w:r>
              <w:rPr>
                <w:spacing w:val="-5"/>
                <w:w w:val="105"/>
                <w:sz w:val="21"/>
              </w:rPr>
              <w:t>30</w:t>
            </w:r>
          </w:p>
        </w:tc>
      </w:tr>
      <w:tr>
        <w:trPr>
          <w:trHeight w:val="428" w:hRule="atLeast"/>
        </w:trPr>
        <w:tc>
          <w:tcPr>
            <w:tcW w:w="2667" w:type="dxa"/>
            <w:tcBorders>
              <w:left w:val="nil"/>
            </w:tcBorders>
            <w:shd w:val="clear" w:color="auto" w:fill="EDECF3"/>
          </w:tcPr>
          <w:p>
            <w:pPr>
              <w:pStyle w:val="TableParagraph"/>
              <w:ind w:left="67"/>
              <w:rPr>
                <w:sz w:val="21"/>
              </w:rPr>
            </w:pPr>
            <w:r>
              <w:rPr>
                <w:w w:val="105"/>
                <w:sz w:val="21"/>
              </w:rPr>
              <w:t>35</w:t>
            </w:r>
            <w:r>
              <w:rPr>
                <w:spacing w:val="12"/>
                <w:w w:val="105"/>
                <w:sz w:val="21"/>
              </w:rPr>
              <w:t> </w:t>
            </w:r>
            <w:r>
              <w:rPr>
                <w:w w:val="105"/>
                <w:sz w:val="21"/>
              </w:rPr>
              <w:t>a</w:t>
            </w:r>
            <w:r>
              <w:rPr>
                <w:spacing w:val="12"/>
                <w:w w:val="105"/>
                <w:sz w:val="21"/>
              </w:rPr>
              <w:t> </w:t>
            </w:r>
            <w:r>
              <w:rPr>
                <w:spacing w:val="-5"/>
                <w:w w:val="105"/>
                <w:sz w:val="21"/>
              </w:rPr>
              <w:t>44</w:t>
            </w:r>
          </w:p>
        </w:tc>
        <w:tc>
          <w:tcPr>
            <w:tcW w:w="2659" w:type="dxa"/>
            <w:shd w:val="clear" w:color="auto" w:fill="EDECF3"/>
          </w:tcPr>
          <w:p>
            <w:pPr>
              <w:pStyle w:val="TableParagraph"/>
              <w:rPr>
                <w:sz w:val="21"/>
              </w:rPr>
            </w:pPr>
            <w:r>
              <w:rPr>
                <w:w w:val="105"/>
                <w:sz w:val="21"/>
              </w:rPr>
              <w:t>Adulto</w:t>
            </w:r>
            <w:r>
              <w:rPr>
                <w:spacing w:val="13"/>
                <w:w w:val="105"/>
                <w:sz w:val="21"/>
              </w:rPr>
              <w:t> </w:t>
            </w:r>
            <w:r>
              <w:rPr>
                <w:spacing w:val="-2"/>
                <w:w w:val="105"/>
                <w:sz w:val="21"/>
              </w:rPr>
              <w:t>grande</w:t>
            </w:r>
          </w:p>
        </w:tc>
        <w:tc>
          <w:tcPr>
            <w:tcW w:w="2643" w:type="dxa"/>
            <w:shd w:val="clear" w:color="auto" w:fill="EDECF3"/>
          </w:tcPr>
          <w:p>
            <w:pPr>
              <w:pStyle w:val="TableParagraph"/>
              <w:rPr>
                <w:sz w:val="21"/>
              </w:rPr>
            </w:pPr>
            <w:r>
              <w:rPr>
                <w:spacing w:val="-5"/>
                <w:w w:val="105"/>
                <w:sz w:val="21"/>
              </w:rPr>
              <w:t>16</w:t>
            </w:r>
          </w:p>
        </w:tc>
        <w:tc>
          <w:tcPr>
            <w:tcW w:w="2651" w:type="dxa"/>
            <w:tcBorders>
              <w:right w:val="nil"/>
            </w:tcBorders>
            <w:shd w:val="clear" w:color="auto" w:fill="EDECF3"/>
          </w:tcPr>
          <w:p>
            <w:pPr>
              <w:pStyle w:val="TableParagraph"/>
              <w:ind w:left="64"/>
              <w:rPr>
                <w:sz w:val="21"/>
              </w:rPr>
            </w:pPr>
            <w:r>
              <w:rPr>
                <w:spacing w:val="-5"/>
                <w:w w:val="105"/>
                <w:sz w:val="21"/>
              </w:rPr>
              <w:t>38</w:t>
            </w:r>
          </w:p>
        </w:tc>
      </w:tr>
      <w:tr>
        <w:trPr>
          <w:trHeight w:val="430" w:hRule="atLeast"/>
        </w:trPr>
        <w:tc>
          <w:tcPr>
            <w:tcW w:w="2667" w:type="dxa"/>
            <w:tcBorders>
              <w:left w:val="nil"/>
              <w:bottom w:val="nil"/>
            </w:tcBorders>
            <w:shd w:val="clear" w:color="auto" w:fill="EDECF3"/>
          </w:tcPr>
          <w:p>
            <w:pPr>
              <w:pStyle w:val="TableParagraph"/>
              <w:ind w:left="67"/>
              <w:rPr>
                <w:sz w:val="21"/>
              </w:rPr>
            </w:pPr>
            <w:r>
              <w:rPr>
                <w:w w:val="105"/>
                <w:sz w:val="21"/>
              </w:rPr>
              <w:t>45</w:t>
            </w:r>
            <w:r>
              <w:rPr>
                <w:spacing w:val="12"/>
                <w:w w:val="105"/>
                <w:sz w:val="21"/>
              </w:rPr>
              <w:t> </w:t>
            </w:r>
            <w:r>
              <w:rPr>
                <w:w w:val="105"/>
                <w:sz w:val="21"/>
              </w:rPr>
              <w:t>a</w:t>
            </w:r>
            <w:r>
              <w:rPr>
                <w:spacing w:val="12"/>
                <w:w w:val="105"/>
                <w:sz w:val="21"/>
              </w:rPr>
              <w:t> </w:t>
            </w:r>
            <w:r>
              <w:rPr>
                <w:spacing w:val="-5"/>
                <w:w w:val="105"/>
                <w:sz w:val="21"/>
              </w:rPr>
              <w:t>52</w:t>
            </w:r>
          </w:p>
        </w:tc>
        <w:tc>
          <w:tcPr>
            <w:tcW w:w="2659" w:type="dxa"/>
            <w:tcBorders>
              <w:bottom w:val="nil"/>
            </w:tcBorders>
            <w:shd w:val="clear" w:color="auto" w:fill="EDECF3"/>
          </w:tcPr>
          <w:p>
            <w:pPr>
              <w:pStyle w:val="TableParagraph"/>
              <w:rPr>
                <w:sz w:val="21"/>
              </w:rPr>
            </w:pPr>
            <w:r>
              <w:rPr>
                <w:spacing w:val="-4"/>
                <w:w w:val="105"/>
                <w:sz w:val="21"/>
              </w:rPr>
              <w:t>Coxa</w:t>
            </w:r>
          </w:p>
        </w:tc>
        <w:tc>
          <w:tcPr>
            <w:tcW w:w="2643" w:type="dxa"/>
            <w:tcBorders>
              <w:bottom w:val="nil"/>
            </w:tcBorders>
            <w:shd w:val="clear" w:color="auto" w:fill="EDECF3"/>
          </w:tcPr>
          <w:p>
            <w:pPr>
              <w:pStyle w:val="TableParagraph"/>
              <w:rPr>
                <w:sz w:val="21"/>
              </w:rPr>
            </w:pPr>
            <w:r>
              <w:rPr>
                <w:spacing w:val="-5"/>
                <w:w w:val="105"/>
                <w:sz w:val="21"/>
              </w:rPr>
              <w:t>20</w:t>
            </w:r>
          </w:p>
        </w:tc>
        <w:tc>
          <w:tcPr>
            <w:tcW w:w="2651" w:type="dxa"/>
            <w:tcBorders>
              <w:bottom w:val="nil"/>
              <w:right w:val="nil"/>
            </w:tcBorders>
            <w:shd w:val="clear" w:color="auto" w:fill="EDECF3"/>
          </w:tcPr>
          <w:p>
            <w:pPr>
              <w:pStyle w:val="TableParagraph"/>
              <w:ind w:left="64"/>
              <w:rPr>
                <w:sz w:val="21"/>
              </w:rPr>
            </w:pPr>
            <w:r>
              <w:rPr>
                <w:spacing w:val="-5"/>
                <w:w w:val="105"/>
                <w:sz w:val="21"/>
              </w:rPr>
              <w:t>42</w:t>
            </w:r>
          </w:p>
        </w:tc>
      </w:tr>
    </w:tbl>
    <w:p>
      <w:pPr>
        <w:pStyle w:val="BodyText"/>
        <w:spacing w:before="124"/>
        <w:ind w:left="0" w:firstLine="0"/>
        <w:jc w:val="left"/>
        <w:rPr>
          <w:rFonts w:ascii="Microsoft Sans Serif"/>
          <w:sz w:val="33"/>
        </w:rPr>
      </w:pPr>
    </w:p>
    <w:p>
      <w:pPr>
        <w:pStyle w:val="Heading4"/>
        <w:spacing w:before="1"/>
      </w:pPr>
      <w:r>
        <w:rPr>
          <w:color w:val="242B67"/>
        </w:rPr>
        <w:t>Classificação da </w:t>
      </w:r>
      <w:r>
        <w:rPr>
          <w:color w:val="242B67"/>
          <w:spacing w:val="-2"/>
        </w:rPr>
        <w:t>hipertensão</w:t>
      </w:r>
    </w:p>
    <w:p>
      <w:pPr>
        <w:pStyle w:val="BodyText"/>
        <w:spacing w:line="283" w:lineRule="auto" w:before="131"/>
        <w:ind w:right="488"/>
      </w:pPr>
      <w:r>
        <w:rPr/>
        <w:t>A medida da pressão arterial é comprovadamente o elemento-chave para o estabelecimento do diagnóstico da HAS. As VI Diretrizes Brasileiras de Hipertensão Arterial classificam os níveis de pressão arterial, conforme a </w:t>
      </w:r>
      <w:r>
        <w:rPr>
          <w:color w:val="505050"/>
        </w:rPr>
        <w:t>Tabela 57.2</w:t>
      </w:r>
      <w:r>
        <w:rPr/>
        <w:t>. Essa mesma classificação é a adotada pela Sociedade Europeia de Hipertensão.</w:t>
      </w:r>
      <w:r>
        <w:rPr>
          <w:vertAlign w:val="superscript"/>
        </w:rPr>
        <w:t>8</w:t>
      </w:r>
    </w:p>
    <w:p>
      <w:pPr>
        <w:pStyle w:val="BodyText"/>
        <w:spacing w:line="290" w:lineRule="auto" w:before="57"/>
        <w:ind w:right="490"/>
      </w:pPr>
      <w:r>
        <w:rPr/>
        <w:t>O VII Joint National Committee (JNC) fornece uma classificação da HAS um pouco diferente, introduzindo novos conceitos para sua abordagem (</w:t>
      </w:r>
      <w:r>
        <w:rPr>
          <w:color w:val="505050"/>
        </w:rPr>
        <w:t>Tabela 57.3</w:t>
      </w:r>
      <w:r>
        <w:rPr/>
        <w:t>).</w:t>
      </w:r>
      <w:r>
        <w:rPr>
          <w:vertAlign w:val="superscript"/>
        </w:rPr>
        <w:t>1</w:t>
      </w:r>
    </w:p>
    <w:p>
      <w:pPr>
        <w:pStyle w:val="BodyText"/>
        <w:spacing w:before="118"/>
        <w:ind w:left="0" w:firstLine="0"/>
        <w:jc w:val="left"/>
      </w:pPr>
    </w:p>
    <w:p>
      <w:pPr>
        <w:pStyle w:val="Heading5"/>
      </w:pPr>
      <w:r>
        <w:rPr>
          <w:color w:val="A26108"/>
        </w:rPr>
        <w:t>Classificação</w:t>
      </w:r>
      <w:r>
        <w:rPr>
          <w:color w:val="A26108"/>
          <w:spacing w:val="24"/>
        </w:rPr>
        <w:t> </w:t>
      </w:r>
      <w:r>
        <w:rPr>
          <w:color w:val="A26108"/>
        </w:rPr>
        <w:t>segundo</w:t>
      </w:r>
      <w:r>
        <w:rPr>
          <w:color w:val="A26108"/>
          <w:spacing w:val="24"/>
        </w:rPr>
        <w:t> </w:t>
      </w:r>
      <w:r>
        <w:rPr>
          <w:color w:val="A26108"/>
        </w:rPr>
        <w:t>a</w:t>
      </w:r>
      <w:r>
        <w:rPr>
          <w:color w:val="A26108"/>
          <w:spacing w:val="24"/>
        </w:rPr>
        <w:t> </w:t>
      </w:r>
      <w:r>
        <w:rPr>
          <w:color w:val="A26108"/>
          <w:spacing w:val="-2"/>
        </w:rPr>
        <w:t>etiologia</w:t>
      </w:r>
    </w:p>
    <w:p>
      <w:pPr>
        <w:pStyle w:val="BodyText"/>
        <w:spacing w:line="276" w:lineRule="auto" w:before="138"/>
        <w:ind w:right="488"/>
      </w:pPr>
      <w:r>
        <w:rPr/>
        <w:t>De acordo com a etiologia, cerca de 90 a 95% dos pacientes hipertensos são considerados portadores de hipertensão</w:t>
      </w:r>
      <w:r>
        <w:rPr>
          <w:spacing w:val="-5"/>
        </w:rPr>
        <w:t> </w:t>
      </w:r>
      <w:r>
        <w:rPr/>
        <w:t>primária, ou</w:t>
      </w:r>
      <w:r>
        <w:rPr>
          <w:spacing w:val="-5"/>
        </w:rPr>
        <w:t> </w:t>
      </w:r>
      <w:r>
        <w:rPr/>
        <w:t>seja, de</w:t>
      </w:r>
      <w:r>
        <w:rPr>
          <w:spacing w:val="-7"/>
        </w:rPr>
        <w:t> </w:t>
      </w:r>
      <w:r>
        <w:rPr/>
        <w:t>hipertensão</w:t>
      </w:r>
      <w:r>
        <w:rPr>
          <w:spacing w:val="-5"/>
        </w:rPr>
        <w:t> </w:t>
      </w:r>
      <w:r>
        <w:rPr/>
        <w:t>cuja</w:t>
      </w:r>
      <w:r>
        <w:rPr>
          <w:spacing w:val="-7"/>
        </w:rPr>
        <w:t> </w:t>
      </w:r>
      <w:r>
        <w:rPr/>
        <w:t>causa</w:t>
      </w:r>
      <w:r>
        <w:rPr>
          <w:spacing w:val="-7"/>
        </w:rPr>
        <w:t> </w:t>
      </w:r>
      <w:r>
        <w:rPr/>
        <w:t>é</w:t>
      </w:r>
      <w:r>
        <w:rPr>
          <w:spacing w:val="-7"/>
        </w:rPr>
        <w:t> </w:t>
      </w:r>
      <w:r>
        <w:rPr/>
        <w:t>desconhecida. Porém, sabe-se</w:t>
      </w:r>
      <w:r>
        <w:rPr>
          <w:spacing w:val="-7"/>
        </w:rPr>
        <w:t> </w:t>
      </w:r>
      <w:r>
        <w:rPr/>
        <w:t>que</w:t>
      </w:r>
      <w:r>
        <w:rPr>
          <w:spacing w:val="-7"/>
        </w:rPr>
        <w:t> </w:t>
      </w:r>
      <w:r>
        <w:rPr/>
        <w:t>os fatores ambientais e genéticos envolvidos são fisiopatogênicos da HAS. Em 5% dos pacientes acometidos, a hipertensão é secundária, ou seja, são identificadas doenças responsáveis pela gênese da hipertensão. A HAS também pode ser classificada quanto aos níveis de pressão arterial e a ocorrência de fatores de risco, lesões de órgãos-alvo e doenças associadas (</w:t>
      </w:r>
      <w:r>
        <w:rPr>
          <w:color w:val="505050"/>
        </w:rPr>
        <w:t>Tabelas 57.2 </w:t>
      </w:r>
      <w:r>
        <w:rPr/>
        <w:t>e </w:t>
      </w:r>
      <w:r>
        <w:rPr>
          <w:color w:val="505050"/>
        </w:rPr>
        <w:t>57.3</w:t>
      </w:r>
      <w:r>
        <w:rPr/>
        <w:t>).</w:t>
      </w:r>
    </w:p>
    <w:p>
      <w:pPr>
        <w:pStyle w:val="BodyText"/>
        <w:spacing w:before="72"/>
        <w:ind w:left="0" w:firstLine="0"/>
        <w:jc w:val="left"/>
      </w:pPr>
    </w:p>
    <w:p>
      <w:pPr>
        <w:pStyle w:val="BodyText"/>
        <w:spacing w:line="278" w:lineRule="auto" w:before="0"/>
        <w:ind w:right="497" w:firstLine="0"/>
        <w:jc w:val="left"/>
        <w:rPr>
          <w:rFonts w:ascii="Microsoft Sans Serif" w:hAnsi="Microsoft Sans Serif"/>
        </w:rPr>
      </w:pPr>
      <w:r>
        <w:rPr>
          <w:rFonts w:ascii="Arial" w:hAnsi="Arial"/>
          <w:b/>
          <w:color w:val="242B67"/>
        </w:rPr>
        <w:t>Tabela</w:t>
      </w:r>
      <w:r>
        <w:rPr>
          <w:rFonts w:ascii="Arial" w:hAnsi="Arial"/>
          <w:b/>
          <w:color w:val="242B67"/>
          <w:spacing w:val="-5"/>
        </w:rPr>
        <w:t> </w:t>
      </w:r>
      <w:r>
        <w:rPr>
          <w:rFonts w:ascii="Arial" w:hAnsi="Arial"/>
          <w:b/>
          <w:color w:val="242B67"/>
        </w:rPr>
        <w:t>57.2</w:t>
      </w:r>
      <w:r>
        <w:rPr>
          <w:rFonts w:ascii="Arial" w:hAnsi="Arial"/>
          <w:b/>
          <w:color w:val="242B67"/>
          <w:spacing w:val="-6"/>
        </w:rPr>
        <w:t> </w:t>
      </w:r>
      <w:r>
        <w:rPr>
          <w:rFonts w:ascii="Microsoft Sans Serif" w:hAnsi="Microsoft Sans Serif"/>
        </w:rPr>
        <w:t>Classificação</w:t>
      </w:r>
      <w:r>
        <w:rPr>
          <w:rFonts w:ascii="Microsoft Sans Serif" w:hAnsi="Microsoft Sans Serif"/>
          <w:spacing w:val="-3"/>
        </w:rPr>
        <w:t> </w:t>
      </w:r>
      <w:r>
        <w:rPr>
          <w:rFonts w:ascii="Microsoft Sans Serif" w:hAnsi="Microsoft Sans Serif"/>
        </w:rPr>
        <w:t>da</w:t>
      </w:r>
      <w:r>
        <w:rPr>
          <w:rFonts w:ascii="Microsoft Sans Serif" w:hAnsi="Microsoft Sans Serif"/>
          <w:spacing w:val="-3"/>
        </w:rPr>
        <w:t> </w:t>
      </w:r>
      <w:r>
        <w:rPr>
          <w:rFonts w:ascii="Microsoft Sans Serif" w:hAnsi="Microsoft Sans Serif"/>
        </w:rPr>
        <w:t>pressão</w:t>
      </w:r>
      <w:r>
        <w:rPr>
          <w:rFonts w:ascii="Microsoft Sans Serif" w:hAnsi="Microsoft Sans Serif"/>
          <w:spacing w:val="-3"/>
        </w:rPr>
        <w:t> </w:t>
      </w:r>
      <w:r>
        <w:rPr>
          <w:rFonts w:ascii="Microsoft Sans Serif" w:hAnsi="Microsoft Sans Serif"/>
        </w:rPr>
        <w:t>arterial</w:t>
      </w:r>
      <w:r>
        <w:rPr>
          <w:rFonts w:ascii="Microsoft Sans Serif" w:hAnsi="Microsoft Sans Serif"/>
          <w:spacing w:val="-6"/>
        </w:rPr>
        <w:t> </w:t>
      </w:r>
      <w:r>
        <w:rPr>
          <w:rFonts w:ascii="Microsoft Sans Serif" w:hAnsi="Microsoft Sans Serif"/>
        </w:rPr>
        <w:t>segundo</w:t>
      </w:r>
      <w:r>
        <w:rPr>
          <w:rFonts w:ascii="Microsoft Sans Serif" w:hAnsi="Microsoft Sans Serif"/>
          <w:spacing w:val="-3"/>
        </w:rPr>
        <w:t> </w:t>
      </w:r>
      <w:r>
        <w:rPr>
          <w:rFonts w:ascii="Microsoft Sans Serif" w:hAnsi="Microsoft Sans Serif"/>
        </w:rPr>
        <w:t>os</w:t>
      </w:r>
      <w:r>
        <w:rPr>
          <w:rFonts w:ascii="Microsoft Sans Serif" w:hAnsi="Microsoft Sans Serif"/>
          <w:spacing w:val="-6"/>
        </w:rPr>
        <w:t> </w:t>
      </w:r>
      <w:r>
        <w:rPr>
          <w:rFonts w:ascii="Microsoft Sans Serif" w:hAnsi="Microsoft Sans Serif"/>
        </w:rPr>
        <w:t>valores</w:t>
      </w:r>
      <w:r>
        <w:rPr>
          <w:rFonts w:ascii="Microsoft Sans Serif" w:hAnsi="Microsoft Sans Serif"/>
          <w:spacing w:val="-6"/>
        </w:rPr>
        <w:t> </w:t>
      </w:r>
      <w:r>
        <w:rPr>
          <w:rFonts w:ascii="Microsoft Sans Serif" w:hAnsi="Microsoft Sans Serif"/>
        </w:rPr>
        <w:t>da</w:t>
      </w:r>
      <w:r>
        <w:rPr>
          <w:rFonts w:ascii="Microsoft Sans Serif" w:hAnsi="Microsoft Sans Serif"/>
          <w:spacing w:val="-3"/>
        </w:rPr>
        <w:t> </w:t>
      </w:r>
      <w:r>
        <w:rPr>
          <w:rFonts w:ascii="Microsoft Sans Serif" w:hAnsi="Microsoft Sans Serif"/>
        </w:rPr>
        <w:t>pressão</w:t>
      </w:r>
      <w:r>
        <w:rPr>
          <w:rFonts w:ascii="Microsoft Sans Serif" w:hAnsi="Microsoft Sans Serif"/>
          <w:spacing w:val="-3"/>
        </w:rPr>
        <w:t> </w:t>
      </w:r>
      <w:r>
        <w:rPr>
          <w:rFonts w:ascii="Microsoft Sans Serif" w:hAnsi="Microsoft Sans Serif"/>
        </w:rPr>
        <w:t>arterial</w:t>
      </w:r>
      <w:r>
        <w:rPr>
          <w:rFonts w:ascii="Microsoft Sans Serif" w:hAnsi="Microsoft Sans Serif"/>
          <w:spacing w:val="-6"/>
        </w:rPr>
        <w:t> </w:t>
      </w:r>
      <w:r>
        <w:rPr>
          <w:rFonts w:ascii="Microsoft Sans Serif" w:hAnsi="Microsoft Sans Serif"/>
        </w:rPr>
        <w:t>sistólica</w:t>
      </w:r>
      <w:r>
        <w:rPr>
          <w:rFonts w:ascii="Microsoft Sans Serif" w:hAnsi="Microsoft Sans Serif"/>
          <w:spacing w:val="-3"/>
        </w:rPr>
        <w:t> </w:t>
      </w:r>
      <w:r>
        <w:rPr>
          <w:rFonts w:ascii="Microsoft Sans Serif" w:hAnsi="Microsoft Sans Serif"/>
        </w:rPr>
        <w:t>e</w:t>
      </w:r>
      <w:r>
        <w:rPr>
          <w:rFonts w:ascii="Microsoft Sans Serif" w:hAnsi="Microsoft Sans Serif"/>
          <w:spacing w:val="-3"/>
        </w:rPr>
        <w:t> </w:t>
      </w:r>
      <w:r>
        <w:rPr>
          <w:rFonts w:ascii="Microsoft Sans Serif" w:hAnsi="Microsoft Sans Serif"/>
        </w:rPr>
        <w:t>da pressão diastólica, segundo as VI Diretrizes Brasileiras de Hipertensão Arterial.</w:t>
      </w:r>
    </w:p>
    <w:p>
      <w:pPr>
        <w:pStyle w:val="BodyText"/>
        <w:spacing w:before="11"/>
        <w:ind w:left="0" w:firstLine="0"/>
        <w:jc w:val="left"/>
        <w:rPr>
          <w:rFonts w:ascii="Microsoft Sans Serif"/>
          <w:sz w:val="11"/>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6366"/>
      </w:tblGrid>
      <w:tr>
        <w:trPr>
          <w:trHeight w:val="430" w:hRule="atLeast"/>
        </w:trPr>
        <w:tc>
          <w:tcPr>
            <w:tcW w:w="4252"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z w:val="21"/>
              </w:rPr>
              <w:t>Classificação</w:t>
            </w:r>
            <w:r>
              <w:rPr>
                <w:rFonts w:ascii="Arial" w:hAnsi="Arial"/>
                <w:b/>
                <w:color w:val="FFFFFF"/>
                <w:spacing w:val="47"/>
                <w:sz w:val="21"/>
              </w:rPr>
              <w:t> </w:t>
            </w:r>
            <w:r>
              <w:rPr>
                <w:rFonts w:ascii="Arial" w:hAnsi="Arial"/>
                <w:b/>
                <w:color w:val="FFFFFF"/>
                <w:sz w:val="21"/>
              </w:rPr>
              <w:t>da</w:t>
            </w:r>
            <w:r>
              <w:rPr>
                <w:rFonts w:ascii="Arial" w:hAnsi="Arial"/>
                <w:b/>
                <w:color w:val="FFFFFF"/>
                <w:spacing w:val="69"/>
                <w:sz w:val="21"/>
              </w:rPr>
              <w:t> </w:t>
            </w:r>
            <w:r>
              <w:rPr>
                <w:rFonts w:ascii="Arial" w:hAnsi="Arial"/>
                <w:b/>
                <w:color w:val="FFFFFF"/>
                <w:sz w:val="21"/>
              </w:rPr>
              <w:t>pressão</w:t>
            </w:r>
            <w:r>
              <w:rPr>
                <w:rFonts w:ascii="Arial" w:hAnsi="Arial"/>
                <w:b/>
                <w:color w:val="FFFFFF"/>
                <w:spacing w:val="47"/>
                <w:sz w:val="21"/>
              </w:rPr>
              <w:t> </w:t>
            </w:r>
            <w:r>
              <w:rPr>
                <w:rFonts w:ascii="Arial" w:hAnsi="Arial"/>
                <w:b/>
                <w:color w:val="FFFFFF"/>
                <w:spacing w:val="-2"/>
                <w:sz w:val="21"/>
              </w:rPr>
              <w:t>arterial</w:t>
            </w:r>
          </w:p>
        </w:tc>
        <w:tc>
          <w:tcPr>
            <w:tcW w:w="6366" w:type="dxa"/>
            <w:tcBorders>
              <w:top w:val="nil"/>
              <w:right w:val="nil"/>
            </w:tcBorders>
            <w:shd w:val="clear" w:color="auto" w:fill="242B67"/>
          </w:tcPr>
          <w:p>
            <w:pPr>
              <w:pStyle w:val="TableParagraph"/>
              <w:spacing w:before="91"/>
              <w:ind w:left="66"/>
              <w:rPr>
                <w:rFonts w:ascii="Arial" w:hAnsi="Arial"/>
                <w:b/>
                <w:sz w:val="21"/>
              </w:rPr>
            </w:pPr>
            <w:r>
              <w:rPr>
                <w:rFonts w:ascii="Arial" w:hAnsi="Arial"/>
                <w:b/>
                <w:color w:val="FFFFFF"/>
                <w:w w:val="105"/>
                <w:sz w:val="21"/>
              </w:rPr>
              <w:t>Pressão</w:t>
            </w:r>
            <w:r>
              <w:rPr>
                <w:rFonts w:ascii="Arial" w:hAnsi="Arial"/>
                <w:b/>
                <w:color w:val="FFFFFF"/>
                <w:spacing w:val="2"/>
                <w:w w:val="105"/>
                <w:sz w:val="21"/>
              </w:rPr>
              <w:t> </w:t>
            </w:r>
            <w:r>
              <w:rPr>
                <w:rFonts w:ascii="Arial" w:hAnsi="Arial"/>
                <w:b/>
                <w:color w:val="FFFFFF"/>
                <w:w w:val="105"/>
                <w:sz w:val="21"/>
              </w:rPr>
              <w:t>arterial</w:t>
            </w:r>
            <w:r>
              <w:rPr>
                <w:rFonts w:ascii="Arial" w:hAnsi="Arial"/>
                <w:b/>
                <w:color w:val="FFFFFF"/>
                <w:spacing w:val="11"/>
                <w:w w:val="105"/>
                <w:sz w:val="21"/>
              </w:rPr>
              <w:t> </w:t>
            </w:r>
            <w:r>
              <w:rPr>
                <w:rFonts w:ascii="Arial" w:hAnsi="Arial"/>
                <w:b/>
                <w:color w:val="FFFFFF"/>
                <w:w w:val="105"/>
                <w:sz w:val="21"/>
              </w:rPr>
              <w:t>sistólica</w:t>
            </w:r>
            <w:r>
              <w:rPr>
                <w:rFonts w:ascii="Arial" w:hAnsi="Arial"/>
                <w:b/>
                <w:color w:val="FFFFFF"/>
                <w:spacing w:val="15"/>
                <w:w w:val="105"/>
                <w:sz w:val="21"/>
              </w:rPr>
              <w:t> </w:t>
            </w:r>
            <w:r>
              <w:rPr>
                <w:rFonts w:ascii="Arial" w:hAnsi="Arial"/>
                <w:b/>
                <w:color w:val="FFFFFF"/>
                <w:w w:val="105"/>
                <w:sz w:val="21"/>
              </w:rPr>
              <w:t>e</w:t>
            </w:r>
            <w:r>
              <w:rPr>
                <w:rFonts w:ascii="Arial" w:hAnsi="Arial"/>
                <w:b/>
                <w:color w:val="FFFFFF"/>
                <w:spacing w:val="16"/>
                <w:w w:val="105"/>
                <w:sz w:val="21"/>
              </w:rPr>
              <w:t> </w:t>
            </w:r>
            <w:r>
              <w:rPr>
                <w:rFonts w:ascii="Arial" w:hAnsi="Arial"/>
                <w:b/>
                <w:color w:val="FFFFFF"/>
                <w:w w:val="105"/>
                <w:sz w:val="21"/>
              </w:rPr>
              <w:t>pressão</w:t>
            </w:r>
            <w:r>
              <w:rPr>
                <w:rFonts w:ascii="Arial" w:hAnsi="Arial"/>
                <w:b/>
                <w:color w:val="FFFFFF"/>
                <w:spacing w:val="2"/>
                <w:w w:val="105"/>
                <w:sz w:val="21"/>
              </w:rPr>
              <w:t> </w:t>
            </w:r>
            <w:r>
              <w:rPr>
                <w:rFonts w:ascii="Arial" w:hAnsi="Arial"/>
                <w:b/>
                <w:color w:val="FFFFFF"/>
                <w:w w:val="105"/>
                <w:sz w:val="21"/>
              </w:rPr>
              <w:t>arterial</w:t>
            </w:r>
            <w:r>
              <w:rPr>
                <w:rFonts w:ascii="Arial" w:hAnsi="Arial"/>
                <w:b/>
                <w:color w:val="FFFFFF"/>
                <w:spacing w:val="11"/>
                <w:w w:val="105"/>
                <w:sz w:val="21"/>
              </w:rPr>
              <w:t> </w:t>
            </w:r>
            <w:r>
              <w:rPr>
                <w:rFonts w:ascii="Arial" w:hAnsi="Arial"/>
                <w:b/>
                <w:color w:val="FFFFFF"/>
                <w:spacing w:val="-2"/>
                <w:w w:val="105"/>
                <w:sz w:val="21"/>
              </w:rPr>
              <w:t>diastólica</w:t>
            </w:r>
          </w:p>
        </w:tc>
      </w:tr>
      <w:tr>
        <w:trPr>
          <w:trHeight w:val="428" w:hRule="atLeast"/>
        </w:trPr>
        <w:tc>
          <w:tcPr>
            <w:tcW w:w="4252" w:type="dxa"/>
            <w:tcBorders>
              <w:left w:val="nil"/>
            </w:tcBorders>
            <w:shd w:val="clear" w:color="auto" w:fill="EDECF3"/>
          </w:tcPr>
          <w:p>
            <w:pPr>
              <w:pStyle w:val="TableParagraph"/>
              <w:ind w:left="67"/>
              <w:rPr>
                <w:sz w:val="21"/>
              </w:rPr>
            </w:pPr>
            <w:r>
              <w:rPr>
                <w:spacing w:val="-4"/>
                <w:w w:val="105"/>
                <w:sz w:val="21"/>
              </w:rPr>
              <w:t>Ótima</w:t>
            </w:r>
          </w:p>
        </w:tc>
        <w:tc>
          <w:tcPr>
            <w:tcW w:w="6366" w:type="dxa"/>
            <w:tcBorders>
              <w:right w:val="nil"/>
            </w:tcBorders>
            <w:shd w:val="clear" w:color="auto" w:fill="EDECF3"/>
          </w:tcPr>
          <w:p>
            <w:pPr>
              <w:pStyle w:val="TableParagraph"/>
              <w:ind w:left="66"/>
              <w:rPr>
                <w:sz w:val="21"/>
              </w:rPr>
            </w:pPr>
            <w:r>
              <w:rPr>
                <w:w w:val="105"/>
                <w:sz w:val="21"/>
              </w:rPr>
              <w:t>&lt;</w:t>
            </w:r>
            <w:r>
              <w:rPr>
                <w:spacing w:val="3"/>
                <w:w w:val="105"/>
                <w:sz w:val="21"/>
              </w:rPr>
              <w:t> </w:t>
            </w:r>
            <w:r>
              <w:rPr>
                <w:w w:val="105"/>
                <w:sz w:val="21"/>
              </w:rPr>
              <w:t>120</w:t>
            </w:r>
            <w:r>
              <w:rPr>
                <w:spacing w:val="8"/>
                <w:w w:val="105"/>
                <w:sz w:val="21"/>
              </w:rPr>
              <w:t> </w:t>
            </w:r>
            <w:r>
              <w:rPr>
                <w:w w:val="105"/>
                <w:sz w:val="21"/>
              </w:rPr>
              <w:t>mmHg</w:t>
            </w:r>
            <w:r>
              <w:rPr>
                <w:spacing w:val="9"/>
                <w:w w:val="105"/>
                <w:sz w:val="21"/>
              </w:rPr>
              <w:t> </w:t>
            </w:r>
            <w:r>
              <w:rPr>
                <w:w w:val="105"/>
                <w:sz w:val="21"/>
              </w:rPr>
              <w:t>e</w:t>
            </w:r>
            <w:r>
              <w:rPr>
                <w:spacing w:val="9"/>
                <w:w w:val="105"/>
                <w:sz w:val="21"/>
              </w:rPr>
              <w:t> </w:t>
            </w:r>
            <w:r>
              <w:rPr>
                <w:w w:val="105"/>
                <w:sz w:val="21"/>
              </w:rPr>
              <w:t>&lt;</w:t>
            </w:r>
            <w:r>
              <w:rPr>
                <w:spacing w:val="3"/>
                <w:w w:val="105"/>
                <w:sz w:val="21"/>
              </w:rPr>
              <w:t> </w:t>
            </w:r>
            <w:r>
              <w:rPr>
                <w:w w:val="105"/>
                <w:sz w:val="21"/>
              </w:rPr>
              <w:t>80</w:t>
            </w:r>
            <w:r>
              <w:rPr>
                <w:spacing w:val="8"/>
                <w:w w:val="105"/>
                <w:sz w:val="21"/>
              </w:rPr>
              <w:t> </w:t>
            </w:r>
            <w:r>
              <w:rPr>
                <w:spacing w:val="-4"/>
                <w:w w:val="105"/>
                <w:sz w:val="21"/>
              </w:rPr>
              <w:t>mmHg</w:t>
            </w:r>
          </w:p>
        </w:tc>
      </w:tr>
      <w:tr>
        <w:trPr>
          <w:trHeight w:val="428" w:hRule="atLeast"/>
        </w:trPr>
        <w:tc>
          <w:tcPr>
            <w:tcW w:w="4252" w:type="dxa"/>
            <w:tcBorders>
              <w:left w:val="nil"/>
            </w:tcBorders>
            <w:shd w:val="clear" w:color="auto" w:fill="EDECF3"/>
          </w:tcPr>
          <w:p>
            <w:pPr>
              <w:pStyle w:val="TableParagraph"/>
              <w:ind w:left="67"/>
              <w:rPr>
                <w:sz w:val="21"/>
              </w:rPr>
            </w:pPr>
            <w:r>
              <w:rPr>
                <w:spacing w:val="-2"/>
                <w:w w:val="105"/>
                <w:sz w:val="21"/>
              </w:rPr>
              <w:t>Normal</w:t>
            </w:r>
          </w:p>
        </w:tc>
        <w:tc>
          <w:tcPr>
            <w:tcW w:w="6366" w:type="dxa"/>
            <w:tcBorders>
              <w:right w:val="nil"/>
            </w:tcBorders>
            <w:shd w:val="clear" w:color="auto" w:fill="EDECF3"/>
          </w:tcPr>
          <w:p>
            <w:pPr>
              <w:pStyle w:val="TableParagraph"/>
              <w:ind w:left="66"/>
              <w:rPr>
                <w:sz w:val="21"/>
              </w:rPr>
            </w:pPr>
            <w:r>
              <w:rPr>
                <w:w w:val="105"/>
                <w:sz w:val="21"/>
              </w:rPr>
              <w:t>&lt;</w:t>
            </w:r>
            <w:r>
              <w:rPr>
                <w:spacing w:val="3"/>
                <w:w w:val="105"/>
                <w:sz w:val="21"/>
              </w:rPr>
              <w:t> </w:t>
            </w:r>
            <w:r>
              <w:rPr>
                <w:w w:val="105"/>
                <w:sz w:val="21"/>
              </w:rPr>
              <w:t>130</w:t>
            </w:r>
            <w:r>
              <w:rPr>
                <w:spacing w:val="8"/>
                <w:w w:val="105"/>
                <w:sz w:val="21"/>
              </w:rPr>
              <w:t> </w:t>
            </w:r>
            <w:r>
              <w:rPr>
                <w:w w:val="105"/>
                <w:sz w:val="21"/>
              </w:rPr>
              <w:t>mmHg</w:t>
            </w:r>
            <w:r>
              <w:rPr>
                <w:spacing w:val="9"/>
                <w:w w:val="105"/>
                <w:sz w:val="21"/>
              </w:rPr>
              <w:t> </w:t>
            </w:r>
            <w:r>
              <w:rPr>
                <w:w w:val="105"/>
                <w:sz w:val="21"/>
              </w:rPr>
              <w:t>e</w:t>
            </w:r>
            <w:r>
              <w:rPr>
                <w:spacing w:val="9"/>
                <w:w w:val="105"/>
                <w:sz w:val="21"/>
              </w:rPr>
              <w:t> </w:t>
            </w:r>
            <w:r>
              <w:rPr>
                <w:w w:val="105"/>
                <w:sz w:val="21"/>
              </w:rPr>
              <w:t>&lt;</w:t>
            </w:r>
            <w:r>
              <w:rPr>
                <w:spacing w:val="3"/>
                <w:w w:val="105"/>
                <w:sz w:val="21"/>
              </w:rPr>
              <w:t> </w:t>
            </w:r>
            <w:r>
              <w:rPr>
                <w:w w:val="105"/>
                <w:sz w:val="21"/>
              </w:rPr>
              <w:t>85</w:t>
            </w:r>
            <w:r>
              <w:rPr>
                <w:spacing w:val="8"/>
                <w:w w:val="105"/>
                <w:sz w:val="21"/>
              </w:rPr>
              <w:t> </w:t>
            </w:r>
            <w:r>
              <w:rPr>
                <w:spacing w:val="-4"/>
                <w:w w:val="105"/>
                <w:sz w:val="21"/>
              </w:rPr>
              <w:t>mmHg</w:t>
            </w:r>
          </w:p>
        </w:tc>
      </w:tr>
      <w:tr>
        <w:trPr>
          <w:trHeight w:val="428" w:hRule="atLeast"/>
        </w:trPr>
        <w:tc>
          <w:tcPr>
            <w:tcW w:w="4252" w:type="dxa"/>
            <w:tcBorders>
              <w:left w:val="nil"/>
            </w:tcBorders>
            <w:shd w:val="clear" w:color="auto" w:fill="EDECF3"/>
          </w:tcPr>
          <w:p>
            <w:pPr>
              <w:pStyle w:val="TableParagraph"/>
              <w:ind w:left="67"/>
              <w:rPr>
                <w:sz w:val="21"/>
              </w:rPr>
            </w:pPr>
            <w:r>
              <w:rPr>
                <w:spacing w:val="-2"/>
                <w:w w:val="105"/>
                <w:sz w:val="21"/>
              </w:rPr>
              <w:t>Limítrofe*</w:t>
            </w:r>
          </w:p>
        </w:tc>
        <w:tc>
          <w:tcPr>
            <w:tcW w:w="6366" w:type="dxa"/>
            <w:tcBorders>
              <w:right w:val="nil"/>
            </w:tcBorders>
            <w:shd w:val="clear" w:color="auto" w:fill="EDECF3"/>
          </w:tcPr>
          <w:p>
            <w:pPr>
              <w:pStyle w:val="TableParagraph"/>
              <w:ind w:left="66"/>
              <w:rPr>
                <w:sz w:val="21"/>
              </w:rPr>
            </w:pPr>
            <w:r>
              <w:rPr>
                <w:w w:val="105"/>
                <w:sz w:val="21"/>
              </w:rPr>
              <w:t>130</w:t>
            </w:r>
            <w:r>
              <w:rPr>
                <w:spacing w:val="11"/>
                <w:w w:val="105"/>
                <w:sz w:val="21"/>
              </w:rPr>
              <w:t> </w:t>
            </w:r>
            <w:r>
              <w:rPr>
                <w:w w:val="105"/>
                <w:sz w:val="21"/>
              </w:rPr>
              <w:t>a</w:t>
            </w:r>
            <w:r>
              <w:rPr>
                <w:spacing w:val="11"/>
                <w:w w:val="105"/>
                <w:sz w:val="21"/>
              </w:rPr>
              <w:t> </w:t>
            </w:r>
            <w:r>
              <w:rPr>
                <w:w w:val="105"/>
                <w:sz w:val="21"/>
              </w:rPr>
              <w:t>139</w:t>
            </w:r>
            <w:r>
              <w:rPr>
                <w:spacing w:val="12"/>
                <w:w w:val="105"/>
                <w:sz w:val="21"/>
              </w:rPr>
              <w:t> </w:t>
            </w:r>
            <w:r>
              <w:rPr>
                <w:w w:val="105"/>
                <w:sz w:val="21"/>
              </w:rPr>
              <w:t>mmHg</w:t>
            </w:r>
            <w:r>
              <w:rPr>
                <w:spacing w:val="11"/>
                <w:w w:val="105"/>
                <w:sz w:val="21"/>
              </w:rPr>
              <w:t> </w:t>
            </w:r>
            <w:r>
              <w:rPr>
                <w:w w:val="105"/>
                <w:sz w:val="21"/>
              </w:rPr>
              <w:t>ou</w:t>
            </w:r>
            <w:r>
              <w:rPr>
                <w:spacing w:val="12"/>
                <w:w w:val="105"/>
                <w:sz w:val="21"/>
              </w:rPr>
              <w:t> </w:t>
            </w:r>
            <w:r>
              <w:rPr>
                <w:w w:val="105"/>
                <w:sz w:val="21"/>
              </w:rPr>
              <w:t>85</w:t>
            </w:r>
            <w:r>
              <w:rPr>
                <w:spacing w:val="11"/>
                <w:w w:val="105"/>
                <w:sz w:val="21"/>
              </w:rPr>
              <w:t> </w:t>
            </w:r>
            <w:r>
              <w:rPr>
                <w:w w:val="105"/>
                <w:sz w:val="21"/>
              </w:rPr>
              <w:t>a</w:t>
            </w:r>
            <w:r>
              <w:rPr>
                <w:spacing w:val="12"/>
                <w:w w:val="105"/>
                <w:sz w:val="21"/>
              </w:rPr>
              <w:t> </w:t>
            </w:r>
            <w:r>
              <w:rPr>
                <w:w w:val="105"/>
                <w:sz w:val="21"/>
              </w:rPr>
              <w:t>89</w:t>
            </w:r>
            <w:r>
              <w:rPr>
                <w:spacing w:val="11"/>
                <w:w w:val="105"/>
                <w:sz w:val="21"/>
              </w:rPr>
              <w:t> </w:t>
            </w:r>
            <w:r>
              <w:rPr>
                <w:spacing w:val="-4"/>
                <w:w w:val="105"/>
                <w:sz w:val="21"/>
              </w:rPr>
              <w:t>mmHg</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Estágio</w:t>
            </w:r>
            <w:r>
              <w:rPr>
                <w:spacing w:val="14"/>
                <w:w w:val="105"/>
                <w:sz w:val="21"/>
              </w:rPr>
              <w:t> </w:t>
            </w:r>
            <w:r>
              <w:rPr>
                <w:spacing w:val="-10"/>
                <w:w w:val="105"/>
                <w:sz w:val="21"/>
              </w:rPr>
              <w:t>1</w:t>
            </w:r>
          </w:p>
        </w:tc>
        <w:tc>
          <w:tcPr>
            <w:tcW w:w="6366" w:type="dxa"/>
            <w:tcBorders>
              <w:right w:val="nil"/>
            </w:tcBorders>
            <w:shd w:val="clear" w:color="auto" w:fill="EDECF3"/>
          </w:tcPr>
          <w:p>
            <w:pPr>
              <w:pStyle w:val="TableParagraph"/>
              <w:ind w:left="66"/>
              <w:rPr>
                <w:sz w:val="21"/>
              </w:rPr>
            </w:pPr>
            <w:r>
              <w:rPr>
                <w:w w:val="105"/>
                <w:sz w:val="21"/>
              </w:rPr>
              <w:t>140</w:t>
            </w:r>
            <w:r>
              <w:rPr>
                <w:spacing w:val="11"/>
                <w:w w:val="105"/>
                <w:sz w:val="21"/>
              </w:rPr>
              <w:t> </w:t>
            </w:r>
            <w:r>
              <w:rPr>
                <w:w w:val="105"/>
                <w:sz w:val="21"/>
              </w:rPr>
              <w:t>a</w:t>
            </w:r>
            <w:r>
              <w:rPr>
                <w:spacing w:val="11"/>
                <w:w w:val="105"/>
                <w:sz w:val="21"/>
              </w:rPr>
              <w:t> </w:t>
            </w:r>
            <w:r>
              <w:rPr>
                <w:w w:val="105"/>
                <w:sz w:val="21"/>
              </w:rPr>
              <w:t>159</w:t>
            </w:r>
            <w:r>
              <w:rPr>
                <w:spacing w:val="12"/>
                <w:w w:val="105"/>
                <w:sz w:val="21"/>
              </w:rPr>
              <w:t> </w:t>
            </w:r>
            <w:r>
              <w:rPr>
                <w:w w:val="105"/>
                <w:sz w:val="21"/>
              </w:rPr>
              <w:t>mmHg</w:t>
            </w:r>
            <w:r>
              <w:rPr>
                <w:spacing w:val="11"/>
                <w:w w:val="105"/>
                <w:sz w:val="21"/>
              </w:rPr>
              <w:t> </w:t>
            </w:r>
            <w:r>
              <w:rPr>
                <w:w w:val="105"/>
                <w:sz w:val="21"/>
              </w:rPr>
              <w:t>ou</w:t>
            </w:r>
            <w:r>
              <w:rPr>
                <w:spacing w:val="12"/>
                <w:w w:val="105"/>
                <w:sz w:val="21"/>
              </w:rPr>
              <w:t> </w:t>
            </w:r>
            <w:r>
              <w:rPr>
                <w:w w:val="105"/>
                <w:sz w:val="21"/>
              </w:rPr>
              <w:t>90</w:t>
            </w:r>
            <w:r>
              <w:rPr>
                <w:spacing w:val="11"/>
                <w:w w:val="105"/>
                <w:sz w:val="21"/>
              </w:rPr>
              <w:t> </w:t>
            </w:r>
            <w:r>
              <w:rPr>
                <w:w w:val="105"/>
                <w:sz w:val="21"/>
              </w:rPr>
              <w:t>a</w:t>
            </w:r>
            <w:r>
              <w:rPr>
                <w:spacing w:val="12"/>
                <w:w w:val="105"/>
                <w:sz w:val="21"/>
              </w:rPr>
              <w:t> </w:t>
            </w:r>
            <w:r>
              <w:rPr>
                <w:w w:val="105"/>
                <w:sz w:val="21"/>
              </w:rPr>
              <w:t>99</w:t>
            </w:r>
            <w:r>
              <w:rPr>
                <w:spacing w:val="11"/>
                <w:w w:val="105"/>
                <w:sz w:val="21"/>
              </w:rPr>
              <w:t> </w:t>
            </w:r>
            <w:r>
              <w:rPr>
                <w:spacing w:val="-4"/>
                <w:w w:val="105"/>
                <w:sz w:val="21"/>
              </w:rPr>
              <w:t>mmHg</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Estágio</w:t>
            </w:r>
            <w:r>
              <w:rPr>
                <w:spacing w:val="14"/>
                <w:w w:val="105"/>
                <w:sz w:val="21"/>
              </w:rPr>
              <w:t> </w:t>
            </w:r>
            <w:r>
              <w:rPr>
                <w:spacing w:val="-10"/>
                <w:w w:val="105"/>
                <w:sz w:val="21"/>
              </w:rPr>
              <w:t>2</w:t>
            </w:r>
          </w:p>
        </w:tc>
        <w:tc>
          <w:tcPr>
            <w:tcW w:w="6366" w:type="dxa"/>
            <w:tcBorders>
              <w:right w:val="nil"/>
            </w:tcBorders>
            <w:shd w:val="clear" w:color="auto" w:fill="EDECF3"/>
          </w:tcPr>
          <w:p>
            <w:pPr>
              <w:pStyle w:val="TableParagraph"/>
              <w:ind w:left="66"/>
              <w:rPr>
                <w:sz w:val="21"/>
              </w:rPr>
            </w:pPr>
            <w:r>
              <w:rPr>
                <w:w w:val="105"/>
                <w:sz w:val="21"/>
              </w:rPr>
              <w:t>160</w:t>
            </w:r>
            <w:r>
              <w:rPr>
                <w:spacing w:val="12"/>
                <w:w w:val="105"/>
                <w:sz w:val="21"/>
              </w:rPr>
              <w:t> </w:t>
            </w:r>
            <w:r>
              <w:rPr>
                <w:w w:val="105"/>
                <w:sz w:val="21"/>
              </w:rPr>
              <w:t>a</w:t>
            </w:r>
            <w:r>
              <w:rPr>
                <w:spacing w:val="13"/>
                <w:w w:val="105"/>
                <w:sz w:val="21"/>
              </w:rPr>
              <w:t> </w:t>
            </w:r>
            <w:r>
              <w:rPr>
                <w:w w:val="105"/>
                <w:sz w:val="21"/>
              </w:rPr>
              <w:t>179</w:t>
            </w:r>
            <w:r>
              <w:rPr>
                <w:spacing w:val="12"/>
                <w:w w:val="105"/>
                <w:sz w:val="21"/>
              </w:rPr>
              <w:t> </w:t>
            </w:r>
            <w:r>
              <w:rPr>
                <w:w w:val="105"/>
                <w:sz w:val="21"/>
              </w:rPr>
              <w:t>mmHg</w:t>
            </w:r>
            <w:r>
              <w:rPr>
                <w:spacing w:val="13"/>
                <w:w w:val="105"/>
                <w:sz w:val="21"/>
              </w:rPr>
              <w:t> </w:t>
            </w:r>
            <w:r>
              <w:rPr>
                <w:w w:val="105"/>
                <w:sz w:val="21"/>
              </w:rPr>
              <w:t>ou</w:t>
            </w:r>
            <w:r>
              <w:rPr>
                <w:spacing w:val="13"/>
                <w:w w:val="105"/>
                <w:sz w:val="21"/>
              </w:rPr>
              <w:t> </w:t>
            </w:r>
            <w:r>
              <w:rPr>
                <w:w w:val="105"/>
                <w:sz w:val="21"/>
              </w:rPr>
              <w:t>100</w:t>
            </w:r>
            <w:r>
              <w:rPr>
                <w:spacing w:val="12"/>
                <w:w w:val="105"/>
                <w:sz w:val="21"/>
              </w:rPr>
              <w:t> </w:t>
            </w:r>
            <w:r>
              <w:rPr>
                <w:w w:val="105"/>
                <w:sz w:val="21"/>
              </w:rPr>
              <w:t>a</w:t>
            </w:r>
            <w:r>
              <w:rPr>
                <w:spacing w:val="13"/>
                <w:w w:val="105"/>
                <w:sz w:val="21"/>
              </w:rPr>
              <w:t> </w:t>
            </w:r>
            <w:r>
              <w:rPr>
                <w:w w:val="105"/>
                <w:sz w:val="21"/>
              </w:rPr>
              <w:t>109</w:t>
            </w:r>
            <w:r>
              <w:rPr>
                <w:spacing w:val="12"/>
                <w:w w:val="105"/>
                <w:sz w:val="21"/>
              </w:rPr>
              <w:t> </w:t>
            </w:r>
            <w:r>
              <w:rPr>
                <w:spacing w:val="-4"/>
                <w:w w:val="105"/>
                <w:sz w:val="21"/>
              </w:rPr>
              <w:t>mmHg</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Estágio</w:t>
            </w:r>
            <w:r>
              <w:rPr>
                <w:spacing w:val="14"/>
                <w:w w:val="105"/>
                <w:sz w:val="21"/>
              </w:rPr>
              <w:t> </w:t>
            </w:r>
            <w:r>
              <w:rPr>
                <w:spacing w:val="-10"/>
                <w:w w:val="105"/>
                <w:sz w:val="21"/>
              </w:rPr>
              <w:t>3</w:t>
            </w:r>
          </w:p>
        </w:tc>
        <w:tc>
          <w:tcPr>
            <w:tcW w:w="6366" w:type="dxa"/>
            <w:tcBorders>
              <w:right w:val="nil"/>
            </w:tcBorders>
            <w:shd w:val="clear" w:color="auto" w:fill="EDECF3"/>
          </w:tcPr>
          <w:p>
            <w:pPr>
              <w:pStyle w:val="TableParagraph"/>
              <w:ind w:left="66"/>
              <w:rPr>
                <w:sz w:val="21"/>
              </w:rPr>
            </w:pPr>
            <w:r>
              <w:rPr>
                <w:sz w:val="21"/>
              </w:rPr>
              <w:t>≥</w:t>
            </w:r>
            <w:r>
              <w:rPr>
                <w:spacing w:val="9"/>
                <w:sz w:val="21"/>
              </w:rPr>
              <w:t> </w:t>
            </w:r>
            <w:r>
              <w:rPr>
                <w:sz w:val="21"/>
              </w:rPr>
              <w:t>180</w:t>
            </w:r>
            <w:r>
              <w:rPr>
                <w:spacing w:val="26"/>
                <w:sz w:val="21"/>
              </w:rPr>
              <w:t> </w:t>
            </w:r>
            <w:r>
              <w:rPr>
                <w:sz w:val="21"/>
              </w:rPr>
              <w:t>mmHg</w:t>
            </w:r>
            <w:r>
              <w:rPr>
                <w:spacing w:val="27"/>
                <w:sz w:val="21"/>
              </w:rPr>
              <w:t> </w:t>
            </w:r>
            <w:r>
              <w:rPr>
                <w:sz w:val="21"/>
              </w:rPr>
              <w:t>ou</w:t>
            </w:r>
            <w:r>
              <w:rPr>
                <w:spacing w:val="26"/>
                <w:sz w:val="21"/>
              </w:rPr>
              <w:t> </w:t>
            </w:r>
            <w:r>
              <w:rPr>
                <w:sz w:val="21"/>
              </w:rPr>
              <w:t>≥</w:t>
            </w:r>
            <w:r>
              <w:rPr>
                <w:spacing w:val="9"/>
                <w:sz w:val="21"/>
              </w:rPr>
              <w:t> </w:t>
            </w:r>
            <w:r>
              <w:rPr>
                <w:sz w:val="21"/>
              </w:rPr>
              <w:t>110</w:t>
            </w:r>
            <w:r>
              <w:rPr>
                <w:spacing w:val="27"/>
                <w:sz w:val="21"/>
              </w:rPr>
              <w:t> </w:t>
            </w:r>
            <w:r>
              <w:rPr>
                <w:spacing w:val="-4"/>
                <w:sz w:val="21"/>
              </w:rPr>
              <w:t>mmHg</w:t>
            </w:r>
          </w:p>
        </w:tc>
      </w:tr>
      <w:tr>
        <w:trPr>
          <w:trHeight w:val="430" w:hRule="atLeast"/>
        </w:trPr>
        <w:tc>
          <w:tcPr>
            <w:tcW w:w="4252" w:type="dxa"/>
            <w:tcBorders>
              <w:left w:val="nil"/>
              <w:bottom w:val="nil"/>
            </w:tcBorders>
            <w:shd w:val="clear" w:color="auto" w:fill="EDECF3"/>
          </w:tcPr>
          <w:p>
            <w:pPr>
              <w:pStyle w:val="TableParagraph"/>
              <w:ind w:left="67"/>
              <w:rPr>
                <w:sz w:val="21"/>
              </w:rPr>
            </w:pPr>
            <w:r>
              <w:rPr>
                <w:w w:val="105"/>
                <w:sz w:val="21"/>
              </w:rPr>
              <w:t>HAS</w:t>
            </w:r>
            <w:r>
              <w:rPr>
                <w:spacing w:val="-1"/>
                <w:w w:val="105"/>
                <w:sz w:val="21"/>
              </w:rPr>
              <w:t> </w:t>
            </w:r>
            <w:r>
              <w:rPr>
                <w:w w:val="105"/>
                <w:sz w:val="21"/>
              </w:rPr>
              <w:t>sistólica</w:t>
            </w:r>
            <w:r>
              <w:rPr>
                <w:spacing w:val="6"/>
                <w:w w:val="105"/>
                <w:sz w:val="21"/>
              </w:rPr>
              <w:t> </w:t>
            </w:r>
            <w:r>
              <w:rPr>
                <w:spacing w:val="-2"/>
                <w:w w:val="105"/>
                <w:sz w:val="21"/>
              </w:rPr>
              <w:t>isolada</w:t>
            </w:r>
          </w:p>
        </w:tc>
        <w:tc>
          <w:tcPr>
            <w:tcW w:w="6366" w:type="dxa"/>
            <w:tcBorders>
              <w:bottom w:val="nil"/>
              <w:right w:val="nil"/>
            </w:tcBorders>
            <w:shd w:val="clear" w:color="auto" w:fill="EDECF3"/>
          </w:tcPr>
          <w:p>
            <w:pPr>
              <w:pStyle w:val="TableParagraph"/>
              <w:ind w:left="66"/>
              <w:rPr>
                <w:sz w:val="21"/>
              </w:rPr>
            </w:pPr>
            <w:r>
              <w:rPr>
                <w:sz w:val="21"/>
              </w:rPr>
              <w:t>≥</w:t>
            </w:r>
            <w:r>
              <w:rPr>
                <w:spacing w:val="6"/>
                <w:sz w:val="21"/>
              </w:rPr>
              <w:t> </w:t>
            </w:r>
            <w:r>
              <w:rPr>
                <w:sz w:val="21"/>
              </w:rPr>
              <w:t>140</w:t>
            </w:r>
            <w:r>
              <w:rPr>
                <w:spacing w:val="24"/>
                <w:sz w:val="21"/>
              </w:rPr>
              <w:t> </w:t>
            </w:r>
            <w:r>
              <w:rPr>
                <w:sz w:val="21"/>
              </w:rPr>
              <w:t>mmHg</w:t>
            </w:r>
            <w:r>
              <w:rPr>
                <w:spacing w:val="24"/>
                <w:sz w:val="21"/>
              </w:rPr>
              <w:t> </w:t>
            </w:r>
            <w:r>
              <w:rPr>
                <w:sz w:val="21"/>
              </w:rPr>
              <w:t>e</w:t>
            </w:r>
            <w:r>
              <w:rPr>
                <w:spacing w:val="24"/>
                <w:sz w:val="21"/>
              </w:rPr>
              <w:t> </w:t>
            </w:r>
            <w:r>
              <w:rPr>
                <w:sz w:val="21"/>
              </w:rPr>
              <w:t>&lt;</w:t>
            </w:r>
            <w:r>
              <w:rPr>
                <w:spacing w:val="17"/>
                <w:sz w:val="21"/>
              </w:rPr>
              <w:t> </w:t>
            </w:r>
            <w:r>
              <w:rPr>
                <w:sz w:val="21"/>
              </w:rPr>
              <w:t>90</w:t>
            </w:r>
            <w:r>
              <w:rPr>
                <w:spacing w:val="24"/>
                <w:sz w:val="21"/>
              </w:rPr>
              <w:t> </w:t>
            </w:r>
            <w:r>
              <w:rPr>
                <w:spacing w:val="-4"/>
                <w:sz w:val="21"/>
              </w:rPr>
              <w:t>mmHg</w:t>
            </w:r>
          </w:p>
        </w:tc>
      </w:tr>
    </w:tbl>
    <w:p>
      <w:pPr>
        <w:spacing w:before="164"/>
        <w:ind w:left="68" w:right="0" w:firstLine="0"/>
        <w:jc w:val="left"/>
        <w:rPr>
          <w:rFonts w:ascii="Microsoft Sans Serif" w:hAnsi="Microsoft Sans Serif"/>
          <w:sz w:val="19"/>
        </w:rPr>
      </w:pPr>
      <w:r>
        <w:rPr>
          <w:rFonts w:ascii="Microsoft Sans Serif" w:hAnsi="Microsoft Sans Serif"/>
          <w:sz w:val="19"/>
        </w:rPr>
        <w:t>*Pressão</w:t>
      </w:r>
      <w:r>
        <w:rPr>
          <w:rFonts w:ascii="Microsoft Sans Serif" w:hAnsi="Microsoft Sans Serif"/>
          <w:spacing w:val="21"/>
          <w:sz w:val="19"/>
        </w:rPr>
        <w:t> </w:t>
      </w:r>
      <w:r>
        <w:rPr>
          <w:rFonts w:ascii="Microsoft Sans Serif" w:hAnsi="Microsoft Sans Serif"/>
          <w:sz w:val="19"/>
        </w:rPr>
        <w:t>normal-alta</w:t>
      </w:r>
      <w:r>
        <w:rPr>
          <w:rFonts w:ascii="Microsoft Sans Serif" w:hAnsi="Microsoft Sans Serif"/>
          <w:spacing w:val="22"/>
          <w:sz w:val="19"/>
        </w:rPr>
        <w:t> </w:t>
      </w:r>
      <w:r>
        <w:rPr>
          <w:rFonts w:ascii="Microsoft Sans Serif" w:hAnsi="Microsoft Sans Serif"/>
          <w:sz w:val="19"/>
        </w:rPr>
        <w:t>ou</w:t>
      </w:r>
      <w:r>
        <w:rPr>
          <w:rFonts w:ascii="Microsoft Sans Serif" w:hAnsi="Microsoft Sans Serif"/>
          <w:spacing w:val="21"/>
          <w:sz w:val="19"/>
        </w:rPr>
        <w:t> </w:t>
      </w:r>
      <w:r>
        <w:rPr>
          <w:rFonts w:ascii="Microsoft Sans Serif" w:hAnsi="Microsoft Sans Serif"/>
          <w:sz w:val="19"/>
        </w:rPr>
        <w:t>pré-hipertensão</w:t>
      </w:r>
      <w:r>
        <w:rPr>
          <w:rFonts w:ascii="Microsoft Sans Serif" w:hAnsi="Microsoft Sans Serif"/>
          <w:spacing w:val="22"/>
          <w:sz w:val="19"/>
        </w:rPr>
        <w:t> </w:t>
      </w:r>
      <w:r>
        <w:rPr>
          <w:rFonts w:ascii="Microsoft Sans Serif" w:hAnsi="Microsoft Sans Serif"/>
          <w:sz w:val="19"/>
        </w:rPr>
        <w:t>são</w:t>
      </w:r>
      <w:r>
        <w:rPr>
          <w:rFonts w:ascii="Microsoft Sans Serif" w:hAnsi="Microsoft Sans Serif"/>
          <w:spacing w:val="21"/>
          <w:sz w:val="19"/>
        </w:rPr>
        <w:t> </w:t>
      </w:r>
      <w:r>
        <w:rPr>
          <w:rFonts w:ascii="Microsoft Sans Serif" w:hAnsi="Microsoft Sans Serif"/>
          <w:sz w:val="19"/>
        </w:rPr>
        <w:t>termos</w:t>
      </w:r>
      <w:r>
        <w:rPr>
          <w:rFonts w:ascii="Microsoft Sans Serif" w:hAnsi="Microsoft Sans Serif"/>
          <w:spacing w:val="15"/>
          <w:sz w:val="19"/>
        </w:rPr>
        <w:t> </w:t>
      </w:r>
      <w:r>
        <w:rPr>
          <w:rFonts w:ascii="Microsoft Sans Serif" w:hAnsi="Microsoft Sans Serif"/>
          <w:sz w:val="19"/>
        </w:rPr>
        <w:t>que</w:t>
      </w:r>
      <w:r>
        <w:rPr>
          <w:rFonts w:ascii="Microsoft Sans Serif" w:hAnsi="Microsoft Sans Serif"/>
          <w:spacing w:val="21"/>
          <w:sz w:val="19"/>
        </w:rPr>
        <w:t> </w:t>
      </w:r>
      <w:r>
        <w:rPr>
          <w:rFonts w:ascii="Microsoft Sans Serif" w:hAnsi="Microsoft Sans Serif"/>
          <w:sz w:val="19"/>
        </w:rPr>
        <w:t>se</w:t>
      </w:r>
      <w:r>
        <w:rPr>
          <w:rFonts w:ascii="Microsoft Sans Serif" w:hAnsi="Microsoft Sans Serif"/>
          <w:spacing w:val="22"/>
          <w:sz w:val="19"/>
        </w:rPr>
        <w:t> </w:t>
      </w:r>
      <w:r>
        <w:rPr>
          <w:rFonts w:ascii="Microsoft Sans Serif" w:hAnsi="Microsoft Sans Serif"/>
          <w:sz w:val="19"/>
        </w:rPr>
        <w:t>equivalem</w:t>
      </w:r>
      <w:r>
        <w:rPr>
          <w:rFonts w:ascii="Microsoft Sans Serif" w:hAnsi="Microsoft Sans Serif"/>
          <w:spacing w:val="14"/>
          <w:sz w:val="19"/>
        </w:rPr>
        <w:t> </w:t>
      </w:r>
      <w:r>
        <w:rPr>
          <w:rFonts w:ascii="Microsoft Sans Serif" w:hAnsi="Microsoft Sans Serif"/>
          <w:sz w:val="19"/>
        </w:rPr>
        <w:t>na</w:t>
      </w:r>
      <w:r>
        <w:rPr>
          <w:rFonts w:ascii="Microsoft Sans Serif" w:hAnsi="Microsoft Sans Serif"/>
          <w:spacing w:val="22"/>
          <w:sz w:val="19"/>
        </w:rPr>
        <w:t> </w:t>
      </w:r>
      <w:r>
        <w:rPr>
          <w:rFonts w:ascii="Microsoft Sans Serif" w:hAnsi="Microsoft Sans Serif"/>
          <w:sz w:val="19"/>
        </w:rPr>
        <w:t>literatura.</w:t>
      </w:r>
      <w:r>
        <w:rPr>
          <w:rFonts w:ascii="Microsoft Sans Serif" w:hAnsi="Microsoft Sans Serif"/>
          <w:spacing w:val="8"/>
          <w:sz w:val="19"/>
        </w:rPr>
        <w:t> </w:t>
      </w:r>
      <w:r>
        <w:rPr>
          <w:rFonts w:ascii="Microsoft Sans Serif" w:hAnsi="Microsoft Sans Serif"/>
          <w:sz w:val="19"/>
        </w:rPr>
        <w:t>HAS</w:t>
      </w:r>
      <w:r>
        <w:rPr>
          <w:rFonts w:ascii="Microsoft Sans Serif" w:hAnsi="Microsoft Sans Serif"/>
          <w:spacing w:val="14"/>
          <w:sz w:val="19"/>
        </w:rPr>
        <w:t> </w:t>
      </w:r>
      <w:r>
        <w:rPr>
          <w:rFonts w:ascii="Microsoft Sans Serif" w:hAnsi="Microsoft Sans Serif"/>
          <w:sz w:val="19"/>
        </w:rPr>
        <w:t>=</w:t>
      </w:r>
      <w:r>
        <w:rPr>
          <w:rFonts w:ascii="Microsoft Sans Serif" w:hAnsi="Microsoft Sans Serif"/>
          <w:spacing w:val="15"/>
          <w:sz w:val="19"/>
        </w:rPr>
        <w:t> </w:t>
      </w:r>
      <w:r>
        <w:rPr>
          <w:rFonts w:ascii="Microsoft Sans Serif" w:hAnsi="Microsoft Sans Serif"/>
          <w:sz w:val="19"/>
        </w:rPr>
        <w:t>hipertensão</w:t>
      </w:r>
      <w:r>
        <w:rPr>
          <w:rFonts w:ascii="Microsoft Sans Serif" w:hAnsi="Microsoft Sans Serif"/>
          <w:spacing w:val="21"/>
          <w:sz w:val="19"/>
        </w:rPr>
        <w:t> </w:t>
      </w:r>
      <w:r>
        <w:rPr>
          <w:rFonts w:ascii="Microsoft Sans Serif" w:hAnsi="Microsoft Sans Serif"/>
          <w:sz w:val="19"/>
        </w:rPr>
        <w:t>arterial</w:t>
      </w:r>
      <w:r>
        <w:rPr>
          <w:rFonts w:ascii="Microsoft Sans Serif" w:hAnsi="Microsoft Sans Serif"/>
          <w:spacing w:val="22"/>
          <w:sz w:val="19"/>
        </w:rPr>
        <w:t> </w:t>
      </w:r>
      <w:r>
        <w:rPr>
          <w:rFonts w:ascii="Microsoft Sans Serif" w:hAnsi="Microsoft Sans Serif"/>
          <w:spacing w:val="-2"/>
          <w:sz w:val="19"/>
        </w:rPr>
        <w:t>sistêmica.</w:t>
      </w:r>
    </w:p>
    <w:p>
      <w:pPr>
        <w:pStyle w:val="BodyText"/>
        <w:spacing w:before="170"/>
        <w:ind w:left="0" w:firstLine="0"/>
        <w:jc w:val="left"/>
        <w:rPr>
          <w:rFonts w:ascii="Microsoft Sans Serif"/>
          <w:sz w:val="19"/>
        </w:rPr>
      </w:pPr>
    </w:p>
    <w:p>
      <w:pPr>
        <w:pStyle w:val="BodyText"/>
        <w:spacing w:line="295" w:lineRule="auto" w:before="0"/>
        <w:ind w:right="497" w:firstLine="0"/>
        <w:jc w:val="left"/>
        <w:rPr>
          <w:rFonts w:ascii="Microsoft Sans Serif" w:hAnsi="Microsoft Sans Serif"/>
        </w:rPr>
      </w:pPr>
      <w:r>
        <w:rPr>
          <w:rFonts w:ascii="Arial" w:hAnsi="Arial"/>
          <w:b/>
          <w:color w:val="242B67"/>
        </w:rPr>
        <w:t>Tabela</w:t>
      </w:r>
      <w:r>
        <w:rPr>
          <w:rFonts w:ascii="Arial" w:hAnsi="Arial"/>
          <w:b/>
          <w:color w:val="242B67"/>
          <w:spacing w:val="-5"/>
        </w:rPr>
        <w:t> </w:t>
      </w:r>
      <w:r>
        <w:rPr>
          <w:rFonts w:ascii="Arial" w:hAnsi="Arial"/>
          <w:b/>
          <w:color w:val="242B67"/>
        </w:rPr>
        <w:t>57.3</w:t>
      </w:r>
      <w:r>
        <w:rPr>
          <w:rFonts w:ascii="Arial" w:hAnsi="Arial"/>
          <w:b/>
          <w:color w:val="242B67"/>
          <w:spacing w:val="-6"/>
        </w:rPr>
        <w:t> </w:t>
      </w:r>
      <w:r>
        <w:rPr>
          <w:rFonts w:ascii="Microsoft Sans Serif" w:hAnsi="Microsoft Sans Serif"/>
        </w:rPr>
        <w:t>Classificação</w:t>
      </w:r>
      <w:r>
        <w:rPr>
          <w:rFonts w:ascii="Microsoft Sans Serif" w:hAnsi="Microsoft Sans Serif"/>
          <w:spacing w:val="-3"/>
        </w:rPr>
        <w:t> </w:t>
      </w:r>
      <w:r>
        <w:rPr>
          <w:rFonts w:ascii="Microsoft Sans Serif" w:hAnsi="Microsoft Sans Serif"/>
        </w:rPr>
        <w:t>da</w:t>
      </w:r>
      <w:r>
        <w:rPr>
          <w:rFonts w:ascii="Microsoft Sans Serif" w:hAnsi="Microsoft Sans Serif"/>
          <w:spacing w:val="-3"/>
        </w:rPr>
        <w:t> </w:t>
      </w:r>
      <w:r>
        <w:rPr>
          <w:rFonts w:ascii="Microsoft Sans Serif" w:hAnsi="Microsoft Sans Serif"/>
        </w:rPr>
        <w:t>pressão</w:t>
      </w:r>
      <w:r>
        <w:rPr>
          <w:rFonts w:ascii="Microsoft Sans Serif" w:hAnsi="Microsoft Sans Serif"/>
          <w:spacing w:val="-3"/>
        </w:rPr>
        <w:t> </w:t>
      </w:r>
      <w:r>
        <w:rPr>
          <w:rFonts w:ascii="Microsoft Sans Serif" w:hAnsi="Microsoft Sans Serif"/>
        </w:rPr>
        <w:t>arterial</w:t>
      </w:r>
      <w:r>
        <w:rPr>
          <w:rFonts w:ascii="Microsoft Sans Serif" w:hAnsi="Microsoft Sans Serif"/>
          <w:spacing w:val="-6"/>
        </w:rPr>
        <w:t> </w:t>
      </w:r>
      <w:r>
        <w:rPr>
          <w:rFonts w:ascii="Microsoft Sans Serif" w:hAnsi="Microsoft Sans Serif"/>
        </w:rPr>
        <w:t>segundo</w:t>
      </w:r>
      <w:r>
        <w:rPr>
          <w:rFonts w:ascii="Microsoft Sans Serif" w:hAnsi="Microsoft Sans Serif"/>
          <w:spacing w:val="-3"/>
        </w:rPr>
        <w:t> </w:t>
      </w:r>
      <w:r>
        <w:rPr>
          <w:rFonts w:ascii="Microsoft Sans Serif" w:hAnsi="Microsoft Sans Serif"/>
        </w:rPr>
        <w:t>os</w:t>
      </w:r>
      <w:r>
        <w:rPr>
          <w:rFonts w:ascii="Microsoft Sans Serif" w:hAnsi="Microsoft Sans Serif"/>
          <w:spacing w:val="-6"/>
        </w:rPr>
        <w:t> </w:t>
      </w:r>
      <w:r>
        <w:rPr>
          <w:rFonts w:ascii="Microsoft Sans Serif" w:hAnsi="Microsoft Sans Serif"/>
        </w:rPr>
        <w:t>valores</w:t>
      </w:r>
      <w:r>
        <w:rPr>
          <w:rFonts w:ascii="Microsoft Sans Serif" w:hAnsi="Microsoft Sans Serif"/>
          <w:spacing w:val="-6"/>
        </w:rPr>
        <w:t> </w:t>
      </w:r>
      <w:r>
        <w:rPr>
          <w:rFonts w:ascii="Microsoft Sans Serif" w:hAnsi="Microsoft Sans Serif"/>
        </w:rPr>
        <w:t>da</w:t>
      </w:r>
      <w:r>
        <w:rPr>
          <w:rFonts w:ascii="Microsoft Sans Serif" w:hAnsi="Microsoft Sans Serif"/>
          <w:spacing w:val="-3"/>
        </w:rPr>
        <w:t> </w:t>
      </w:r>
      <w:r>
        <w:rPr>
          <w:rFonts w:ascii="Microsoft Sans Serif" w:hAnsi="Microsoft Sans Serif"/>
        </w:rPr>
        <w:t>pressão</w:t>
      </w:r>
      <w:r>
        <w:rPr>
          <w:rFonts w:ascii="Microsoft Sans Serif" w:hAnsi="Microsoft Sans Serif"/>
          <w:spacing w:val="-3"/>
        </w:rPr>
        <w:t> </w:t>
      </w:r>
      <w:r>
        <w:rPr>
          <w:rFonts w:ascii="Microsoft Sans Serif" w:hAnsi="Microsoft Sans Serif"/>
        </w:rPr>
        <w:t>arterial</w:t>
      </w:r>
      <w:r>
        <w:rPr>
          <w:rFonts w:ascii="Microsoft Sans Serif" w:hAnsi="Microsoft Sans Serif"/>
          <w:spacing w:val="-6"/>
        </w:rPr>
        <w:t> </w:t>
      </w:r>
      <w:r>
        <w:rPr>
          <w:rFonts w:ascii="Microsoft Sans Serif" w:hAnsi="Microsoft Sans Serif"/>
        </w:rPr>
        <w:t>sistólica</w:t>
      </w:r>
      <w:r>
        <w:rPr>
          <w:rFonts w:ascii="Microsoft Sans Serif" w:hAnsi="Microsoft Sans Serif"/>
          <w:spacing w:val="-3"/>
        </w:rPr>
        <w:t> </w:t>
      </w:r>
      <w:r>
        <w:rPr>
          <w:rFonts w:ascii="Microsoft Sans Serif" w:hAnsi="Microsoft Sans Serif"/>
        </w:rPr>
        <w:t>e</w:t>
      </w:r>
      <w:r>
        <w:rPr>
          <w:rFonts w:ascii="Microsoft Sans Serif" w:hAnsi="Microsoft Sans Serif"/>
          <w:spacing w:val="-3"/>
        </w:rPr>
        <w:t> </w:t>
      </w:r>
      <w:r>
        <w:rPr>
          <w:rFonts w:ascii="Microsoft Sans Serif" w:hAnsi="Microsoft Sans Serif"/>
        </w:rPr>
        <w:t>da pressão diastólica, segundo o VII Joint National Committee.</w:t>
      </w:r>
      <w:r>
        <w:rPr>
          <w:rFonts w:ascii="Microsoft Sans Serif" w:hAnsi="Microsoft Sans Serif"/>
          <w:vertAlign w:val="superscript"/>
        </w:rPr>
        <w:t>1</w:t>
      </w:r>
    </w:p>
    <w:p>
      <w:pPr>
        <w:pStyle w:val="BodyText"/>
        <w:spacing w:before="8" w:after="1"/>
        <w:ind w:left="0" w:firstLine="0"/>
        <w:jc w:val="left"/>
        <w:rPr>
          <w:rFonts w:ascii="Microsoft Sans Serif"/>
          <w:sz w:val="8"/>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6366"/>
      </w:tblGrid>
      <w:tr>
        <w:trPr>
          <w:trHeight w:val="430" w:hRule="atLeast"/>
        </w:trPr>
        <w:tc>
          <w:tcPr>
            <w:tcW w:w="4252"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z w:val="21"/>
              </w:rPr>
              <w:t>Classificação</w:t>
            </w:r>
            <w:r>
              <w:rPr>
                <w:rFonts w:ascii="Arial" w:hAnsi="Arial"/>
                <w:b/>
                <w:color w:val="FFFFFF"/>
                <w:spacing w:val="47"/>
                <w:sz w:val="21"/>
              </w:rPr>
              <w:t> </w:t>
            </w:r>
            <w:r>
              <w:rPr>
                <w:rFonts w:ascii="Arial" w:hAnsi="Arial"/>
                <w:b/>
                <w:color w:val="FFFFFF"/>
                <w:sz w:val="21"/>
              </w:rPr>
              <w:t>da</w:t>
            </w:r>
            <w:r>
              <w:rPr>
                <w:rFonts w:ascii="Arial" w:hAnsi="Arial"/>
                <w:b/>
                <w:color w:val="FFFFFF"/>
                <w:spacing w:val="69"/>
                <w:sz w:val="21"/>
              </w:rPr>
              <w:t> </w:t>
            </w:r>
            <w:r>
              <w:rPr>
                <w:rFonts w:ascii="Arial" w:hAnsi="Arial"/>
                <w:b/>
                <w:color w:val="FFFFFF"/>
                <w:sz w:val="21"/>
              </w:rPr>
              <w:t>pressão</w:t>
            </w:r>
            <w:r>
              <w:rPr>
                <w:rFonts w:ascii="Arial" w:hAnsi="Arial"/>
                <w:b/>
                <w:color w:val="FFFFFF"/>
                <w:spacing w:val="47"/>
                <w:sz w:val="21"/>
              </w:rPr>
              <w:t> </w:t>
            </w:r>
            <w:r>
              <w:rPr>
                <w:rFonts w:ascii="Arial" w:hAnsi="Arial"/>
                <w:b/>
                <w:color w:val="FFFFFF"/>
                <w:spacing w:val="-2"/>
                <w:sz w:val="21"/>
              </w:rPr>
              <w:t>arterial</w:t>
            </w:r>
          </w:p>
        </w:tc>
        <w:tc>
          <w:tcPr>
            <w:tcW w:w="6366" w:type="dxa"/>
            <w:tcBorders>
              <w:top w:val="nil"/>
              <w:right w:val="nil"/>
            </w:tcBorders>
            <w:shd w:val="clear" w:color="auto" w:fill="242B67"/>
          </w:tcPr>
          <w:p>
            <w:pPr>
              <w:pStyle w:val="TableParagraph"/>
              <w:spacing w:before="91"/>
              <w:ind w:left="66"/>
              <w:rPr>
                <w:rFonts w:ascii="Arial" w:hAnsi="Arial"/>
                <w:b/>
                <w:sz w:val="21"/>
              </w:rPr>
            </w:pPr>
            <w:r>
              <w:rPr>
                <w:rFonts w:ascii="Arial" w:hAnsi="Arial"/>
                <w:b/>
                <w:color w:val="FFFFFF"/>
                <w:w w:val="105"/>
                <w:sz w:val="21"/>
              </w:rPr>
              <w:t>Pressão</w:t>
            </w:r>
            <w:r>
              <w:rPr>
                <w:rFonts w:ascii="Arial" w:hAnsi="Arial"/>
                <w:b/>
                <w:color w:val="FFFFFF"/>
                <w:spacing w:val="2"/>
                <w:w w:val="105"/>
                <w:sz w:val="21"/>
              </w:rPr>
              <w:t> </w:t>
            </w:r>
            <w:r>
              <w:rPr>
                <w:rFonts w:ascii="Arial" w:hAnsi="Arial"/>
                <w:b/>
                <w:color w:val="FFFFFF"/>
                <w:w w:val="105"/>
                <w:sz w:val="21"/>
              </w:rPr>
              <w:t>arterial</w:t>
            </w:r>
            <w:r>
              <w:rPr>
                <w:rFonts w:ascii="Arial" w:hAnsi="Arial"/>
                <w:b/>
                <w:color w:val="FFFFFF"/>
                <w:spacing w:val="11"/>
                <w:w w:val="105"/>
                <w:sz w:val="21"/>
              </w:rPr>
              <w:t> </w:t>
            </w:r>
            <w:r>
              <w:rPr>
                <w:rFonts w:ascii="Arial" w:hAnsi="Arial"/>
                <w:b/>
                <w:color w:val="FFFFFF"/>
                <w:w w:val="105"/>
                <w:sz w:val="21"/>
              </w:rPr>
              <w:t>sistólica</w:t>
            </w:r>
            <w:r>
              <w:rPr>
                <w:rFonts w:ascii="Arial" w:hAnsi="Arial"/>
                <w:b/>
                <w:color w:val="FFFFFF"/>
                <w:spacing w:val="15"/>
                <w:w w:val="105"/>
                <w:sz w:val="21"/>
              </w:rPr>
              <w:t> </w:t>
            </w:r>
            <w:r>
              <w:rPr>
                <w:rFonts w:ascii="Arial" w:hAnsi="Arial"/>
                <w:b/>
                <w:color w:val="FFFFFF"/>
                <w:w w:val="105"/>
                <w:sz w:val="21"/>
              </w:rPr>
              <w:t>e</w:t>
            </w:r>
            <w:r>
              <w:rPr>
                <w:rFonts w:ascii="Arial" w:hAnsi="Arial"/>
                <w:b/>
                <w:color w:val="FFFFFF"/>
                <w:spacing w:val="16"/>
                <w:w w:val="105"/>
                <w:sz w:val="21"/>
              </w:rPr>
              <w:t> </w:t>
            </w:r>
            <w:r>
              <w:rPr>
                <w:rFonts w:ascii="Arial" w:hAnsi="Arial"/>
                <w:b/>
                <w:color w:val="FFFFFF"/>
                <w:w w:val="105"/>
                <w:sz w:val="21"/>
              </w:rPr>
              <w:t>pressão</w:t>
            </w:r>
            <w:r>
              <w:rPr>
                <w:rFonts w:ascii="Arial" w:hAnsi="Arial"/>
                <w:b/>
                <w:color w:val="FFFFFF"/>
                <w:spacing w:val="2"/>
                <w:w w:val="105"/>
                <w:sz w:val="21"/>
              </w:rPr>
              <w:t> </w:t>
            </w:r>
            <w:r>
              <w:rPr>
                <w:rFonts w:ascii="Arial" w:hAnsi="Arial"/>
                <w:b/>
                <w:color w:val="FFFFFF"/>
                <w:w w:val="105"/>
                <w:sz w:val="21"/>
              </w:rPr>
              <w:t>arterial</w:t>
            </w:r>
            <w:r>
              <w:rPr>
                <w:rFonts w:ascii="Arial" w:hAnsi="Arial"/>
                <w:b/>
                <w:color w:val="FFFFFF"/>
                <w:spacing w:val="11"/>
                <w:w w:val="105"/>
                <w:sz w:val="21"/>
              </w:rPr>
              <w:t> </w:t>
            </w:r>
            <w:r>
              <w:rPr>
                <w:rFonts w:ascii="Arial" w:hAnsi="Arial"/>
                <w:b/>
                <w:color w:val="FFFFFF"/>
                <w:spacing w:val="-2"/>
                <w:w w:val="105"/>
                <w:sz w:val="21"/>
              </w:rPr>
              <w:t>diastólica</w:t>
            </w:r>
          </w:p>
        </w:tc>
      </w:tr>
      <w:tr>
        <w:trPr>
          <w:trHeight w:val="428" w:hRule="atLeast"/>
        </w:trPr>
        <w:tc>
          <w:tcPr>
            <w:tcW w:w="4252" w:type="dxa"/>
            <w:tcBorders>
              <w:left w:val="nil"/>
            </w:tcBorders>
            <w:shd w:val="clear" w:color="auto" w:fill="EDECF3"/>
          </w:tcPr>
          <w:p>
            <w:pPr>
              <w:pStyle w:val="TableParagraph"/>
              <w:ind w:left="67"/>
              <w:rPr>
                <w:sz w:val="21"/>
              </w:rPr>
            </w:pPr>
            <w:r>
              <w:rPr>
                <w:spacing w:val="-2"/>
                <w:w w:val="105"/>
                <w:sz w:val="21"/>
              </w:rPr>
              <w:t>Normal</w:t>
            </w:r>
          </w:p>
        </w:tc>
        <w:tc>
          <w:tcPr>
            <w:tcW w:w="6366" w:type="dxa"/>
            <w:tcBorders>
              <w:right w:val="nil"/>
            </w:tcBorders>
            <w:shd w:val="clear" w:color="auto" w:fill="EDECF3"/>
          </w:tcPr>
          <w:p>
            <w:pPr>
              <w:pStyle w:val="TableParagraph"/>
              <w:ind w:left="66"/>
              <w:rPr>
                <w:sz w:val="21"/>
              </w:rPr>
            </w:pPr>
            <w:r>
              <w:rPr>
                <w:w w:val="105"/>
                <w:sz w:val="21"/>
              </w:rPr>
              <w:t>&lt;</w:t>
            </w:r>
            <w:r>
              <w:rPr>
                <w:spacing w:val="3"/>
                <w:w w:val="105"/>
                <w:sz w:val="21"/>
              </w:rPr>
              <w:t> </w:t>
            </w:r>
            <w:r>
              <w:rPr>
                <w:w w:val="105"/>
                <w:sz w:val="21"/>
              </w:rPr>
              <w:t>120</w:t>
            </w:r>
            <w:r>
              <w:rPr>
                <w:spacing w:val="8"/>
                <w:w w:val="105"/>
                <w:sz w:val="21"/>
              </w:rPr>
              <w:t> </w:t>
            </w:r>
            <w:r>
              <w:rPr>
                <w:w w:val="105"/>
                <w:sz w:val="21"/>
              </w:rPr>
              <w:t>mmHg</w:t>
            </w:r>
            <w:r>
              <w:rPr>
                <w:spacing w:val="9"/>
                <w:w w:val="105"/>
                <w:sz w:val="21"/>
              </w:rPr>
              <w:t> </w:t>
            </w:r>
            <w:r>
              <w:rPr>
                <w:w w:val="105"/>
                <w:sz w:val="21"/>
              </w:rPr>
              <w:t>e</w:t>
            </w:r>
            <w:r>
              <w:rPr>
                <w:spacing w:val="9"/>
                <w:w w:val="105"/>
                <w:sz w:val="21"/>
              </w:rPr>
              <w:t> </w:t>
            </w:r>
            <w:r>
              <w:rPr>
                <w:w w:val="105"/>
                <w:sz w:val="21"/>
              </w:rPr>
              <w:t>&lt;</w:t>
            </w:r>
            <w:r>
              <w:rPr>
                <w:spacing w:val="3"/>
                <w:w w:val="105"/>
                <w:sz w:val="21"/>
              </w:rPr>
              <w:t> </w:t>
            </w:r>
            <w:r>
              <w:rPr>
                <w:w w:val="105"/>
                <w:sz w:val="21"/>
              </w:rPr>
              <w:t>80</w:t>
            </w:r>
            <w:r>
              <w:rPr>
                <w:spacing w:val="8"/>
                <w:w w:val="105"/>
                <w:sz w:val="21"/>
              </w:rPr>
              <w:t> </w:t>
            </w:r>
            <w:r>
              <w:rPr>
                <w:spacing w:val="-4"/>
                <w:w w:val="105"/>
                <w:sz w:val="21"/>
              </w:rPr>
              <w:t>mmHg</w:t>
            </w:r>
          </w:p>
        </w:tc>
      </w:tr>
      <w:tr>
        <w:trPr>
          <w:trHeight w:val="428" w:hRule="atLeast"/>
        </w:trPr>
        <w:tc>
          <w:tcPr>
            <w:tcW w:w="4252" w:type="dxa"/>
            <w:tcBorders>
              <w:left w:val="nil"/>
            </w:tcBorders>
            <w:shd w:val="clear" w:color="auto" w:fill="EDECF3"/>
          </w:tcPr>
          <w:p>
            <w:pPr>
              <w:pStyle w:val="TableParagraph"/>
              <w:ind w:left="67"/>
              <w:rPr>
                <w:sz w:val="21"/>
              </w:rPr>
            </w:pPr>
            <w:r>
              <w:rPr>
                <w:sz w:val="21"/>
              </w:rPr>
              <w:t>Pré-</w:t>
            </w:r>
            <w:r>
              <w:rPr>
                <w:spacing w:val="-2"/>
                <w:sz w:val="21"/>
              </w:rPr>
              <w:t>hipertensão*</w:t>
            </w:r>
          </w:p>
        </w:tc>
        <w:tc>
          <w:tcPr>
            <w:tcW w:w="6366" w:type="dxa"/>
            <w:tcBorders>
              <w:right w:val="nil"/>
            </w:tcBorders>
            <w:shd w:val="clear" w:color="auto" w:fill="EDECF3"/>
          </w:tcPr>
          <w:p>
            <w:pPr>
              <w:pStyle w:val="TableParagraph"/>
              <w:ind w:left="66"/>
              <w:rPr>
                <w:sz w:val="21"/>
              </w:rPr>
            </w:pPr>
            <w:r>
              <w:rPr>
                <w:w w:val="105"/>
                <w:sz w:val="21"/>
              </w:rPr>
              <w:t>120</w:t>
            </w:r>
            <w:r>
              <w:rPr>
                <w:spacing w:val="11"/>
                <w:w w:val="105"/>
                <w:sz w:val="21"/>
              </w:rPr>
              <w:t> </w:t>
            </w:r>
            <w:r>
              <w:rPr>
                <w:w w:val="105"/>
                <w:sz w:val="21"/>
              </w:rPr>
              <w:t>a</w:t>
            </w:r>
            <w:r>
              <w:rPr>
                <w:spacing w:val="11"/>
                <w:w w:val="105"/>
                <w:sz w:val="21"/>
              </w:rPr>
              <w:t> </w:t>
            </w:r>
            <w:r>
              <w:rPr>
                <w:w w:val="105"/>
                <w:sz w:val="21"/>
              </w:rPr>
              <w:t>139</w:t>
            </w:r>
            <w:r>
              <w:rPr>
                <w:spacing w:val="12"/>
                <w:w w:val="105"/>
                <w:sz w:val="21"/>
              </w:rPr>
              <w:t> </w:t>
            </w:r>
            <w:r>
              <w:rPr>
                <w:w w:val="105"/>
                <w:sz w:val="21"/>
              </w:rPr>
              <w:t>mmHg</w:t>
            </w:r>
            <w:r>
              <w:rPr>
                <w:spacing w:val="11"/>
                <w:w w:val="105"/>
                <w:sz w:val="21"/>
              </w:rPr>
              <w:t> </w:t>
            </w:r>
            <w:r>
              <w:rPr>
                <w:w w:val="105"/>
                <w:sz w:val="21"/>
              </w:rPr>
              <w:t>ou</w:t>
            </w:r>
            <w:r>
              <w:rPr>
                <w:spacing w:val="12"/>
                <w:w w:val="105"/>
                <w:sz w:val="21"/>
              </w:rPr>
              <w:t> </w:t>
            </w:r>
            <w:r>
              <w:rPr>
                <w:w w:val="105"/>
                <w:sz w:val="21"/>
              </w:rPr>
              <w:t>80</w:t>
            </w:r>
            <w:r>
              <w:rPr>
                <w:spacing w:val="11"/>
                <w:w w:val="105"/>
                <w:sz w:val="21"/>
              </w:rPr>
              <w:t> </w:t>
            </w:r>
            <w:r>
              <w:rPr>
                <w:w w:val="105"/>
                <w:sz w:val="21"/>
              </w:rPr>
              <w:t>a</w:t>
            </w:r>
            <w:r>
              <w:rPr>
                <w:spacing w:val="12"/>
                <w:w w:val="105"/>
                <w:sz w:val="21"/>
              </w:rPr>
              <w:t> </w:t>
            </w:r>
            <w:r>
              <w:rPr>
                <w:w w:val="105"/>
                <w:sz w:val="21"/>
              </w:rPr>
              <w:t>89</w:t>
            </w:r>
            <w:r>
              <w:rPr>
                <w:spacing w:val="11"/>
                <w:w w:val="105"/>
                <w:sz w:val="21"/>
              </w:rPr>
              <w:t> </w:t>
            </w:r>
            <w:r>
              <w:rPr>
                <w:spacing w:val="-4"/>
                <w:w w:val="105"/>
                <w:sz w:val="21"/>
              </w:rPr>
              <w:t>mmHg</w:t>
            </w:r>
          </w:p>
        </w:tc>
      </w:tr>
      <w:tr>
        <w:trPr>
          <w:trHeight w:val="337" w:hRule="atLeast"/>
        </w:trPr>
        <w:tc>
          <w:tcPr>
            <w:tcW w:w="4252" w:type="dxa"/>
            <w:tcBorders>
              <w:left w:val="nil"/>
              <w:bottom w:val="nil"/>
            </w:tcBorders>
            <w:shd w:val="clear" w:color="auto" w:fill="EDECF3"/>
          </w:tcPr>
          <w:p>
            <w:pPr>
              <w:pStyle w:val="TableParagraph"/>
              <w:spacing w:before="0"/>
              <w:ind w:left="0"/>
              <w:rPr>
                <w:rFonts w:ascii="Times New Roman"/>
                <w:sz w:val="22"/>
              </w:rPr>
            </w:pPr>
          </w:p>
        </w:tc>
        <w:tc>
          <w:tcPr>
            <w:tcW w:w="6366" w:type="dxa"/>
            <w:tcBorders>
              <w:bottom w:val="nil"/>
              <w:right w:val="nil"/>
            </w:tcBorders>
            <w:shd w:val="clear" w:color="auto" w:fill="EDECF3"/>
          </w:tcPr>
          <w:p>
            <w:pPr>
              <w:pStyle w:val="TableParagraph"/>
              <w:spacing w:before="0"/>
              <w:ind w:left="0"/>
              <w:rPr>
                <w:rFonts w:ascii="Times New Roman"/>
                <w:sz w:val="22"/>
              </w:rPr>
            </w:pPr>
          </w:p>
        </w:tc>
      </w:tr>
    </w:tbl>
    <w:p>
      <w:pPr>
        <w:pStyle w:val="TableParagraph"/>
        <w:spacing w:after="0"/>
        <w:rPr>
          <w:rFonts w:ascii="Times New Roman"/>
          <w:sz w:val="22"/>
        </w:rPr>
        <w:sectPr>
          <w:type w:val="continuous"/>
          <w:pgSz w:w="11900" w:h="16840"/>
          <w:pgMar w:top="26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6366"/>
      </w:tblGrid>
      <w:tr>
        <w:trPr>
          <w:trHeight w:val="411" w:hRule="atLeast"/>
        </w:trPr>
        <w:tc>
          <w:tcPr>
            <w:tcW w:w="4252" w:type="dxa"/>
            <w:tcBorders>
              <w:top w:val="nil"/>
              <w:left w:val="nil"/>
            </w:tcBorders>
            <w:shd w:val="clear" w:color="auto" w:fill="EDECF3"/>
          </w:tcPr>
          <w:p>
            <w:pPr>
              <w:pStyle w:val="TableParagraph"/>
              <w:spacing w:before="91"/>
              <w:ind w:left="67"/>
              <w:rPr>
                <w:sz w:val="21"/>
              </w:rPr>
            </w:pPr>
            <w:r>
              <w:rPr>
                <w:w w:val="105"/>
                <w:sz w:val="21"/>
              </w:rPr>
              <w:t>Hipertensão</w:t>
            </w:r>
            <w:r>
              <w:rPr>
                <w:spacing w:val="30"/>
                <w:w w:val="105"/>
                <w:sz w:val="21"/>
              </w:rPr>
              <w:t> </w:t>
            </w:r>
            <w:r>
              <w:rPr>
                <w:w w:val="105"/>
                <w:sz w:val="21"/>
              </w:rPr>
              <w:t>estágio</w:t>
            </w:r>
            <w:r>
              <w:rPr>
                <w:spacing w:val="31"/>
                <w:w w:val="105"/>
                <w:sz w:val="21"/>
              </w:rPr>
              <w:t> </w:t>
            </w:r>
            <w:r>
              <w:rPr>
                <w:spacing w:val="-10"/>
                <w:w w:val="105"/>
                <w:sz w:val="21"/>
              </w:rPr>
              <w:t>1</w:t>
            </w:r>
          </w:p>
        </w:tc>
        <w:tc>
          <w:tcPr>
            <w:tcW w:w="6366" w:type="dxa"/>
            <w:tcBorders>
              <w:top w:val="nil"/>
              <w:right w:val="nil"/>
            </w:tcBorders>
            <w:shd w:val="clear" w:color="auto" w:fill="EDECF3"/>
          </w:tcPr>
          <w:p>
            <w:pPr>
              <w:pStyle w:val="TableParagraph"/>
              <w:spacing w:before="91"/>
              <w:ind w:left="66"/>
              <w:rPr>
                <w:sz w:val="21"/>
              </w:rPr>
            </w:pPr>
            <w:r>
              <w:rPr>
                <w:w w:val="105"/>
                <w:sz w:val="21"/>
              </w:rPr>
              <w:t>140</w:t>
            </w:r>
            <w:r>
              <w:rPr>
                <w:spacing w:val="11"/>
                <w:w w:val="105"/>
                <w:sz w:val="21"/>
              </w:rPr>
              <w:t> </w:t>
            </w:r>
            <w:r>
              <w:rPr>
                <w:w w:val="105"/>
                <w:sz w:val="21"/>
              </w:rPr>
              <w:t>a</w:t>
            </w:r>
            <w:r>
              <w:rPr>
                <w:spacing w:val="11"/>
                <w:w w:val="105"/>
                <w:sz w:val="21"/>
              </w:rPr>
              <w:t> </w:t>
            </w:r>
            <w:r>
              <w:rPr>
                <w:w w:val="105"/>
                <w:sz w:val="21"/>
              </w:rPr>
              <w:t>159</w:t>
            </w:r>
            <w:r>
              <w:rPr>
                <w:spacing w:val="12"/>
                <w:w w:val="105"/>
                <w:sz w:val="21"/>
              </w:rPr>
              <w:t> </w:t>
            </w:r>
            <w:r>
              <w:rPr>
                <w:w w:val="105"/>
                <w:sz w:val="21"/>
              </w:rPr>
              <w:t>mmHg</w:t>
            </w:r>
            <w:r>
              <w:rPr>
                <w:spacing w:val="11"/>
                <w:w w:val="105"/>
                <w:sz w:val="21"/>
              </w:rPr>
              <w:t> </w:t>
            </w:r>
            <w:r>
              <w:rPr>
                <w:w w:val="105"/>
                <w:sz w:val="21"/>
              </w:rPr>
              <w:t>ou</w:t>
            </w:r>
            <w:r>
              <w:rPr>
                <w:spacing w:val="12"/>
                <w:w w:val="105"/>
                <w:sz w:val="21"/>
              </w:rPr>
              <w:t> </w:t>
            </w:r>
            <w:r>
              <w:rPr>
                <w:w w:val="105"/>
                <w:sz w:val="21"/>
              </w:rPr>
              <w:t>90</w:t>
            </w:r>
            <w:r>
              <w:rPr>
                <w:spacing w:val="11"/>
                <w:w w:val="105"/>
                <w:sz w:val="21"/>
              </w:rPr>
              <w:t> </w:t>
            </w:r>
            <w:r>
              <w:rPr>
                <w:w w:val="105"/>
                <w:sz w:val="21"/>
              </w:rPr>
              <w:t>a</w:t>
            </w:r>
            <w:r>
              <w:rPr>
                <w:spacing w:val="12"/>
                <w:w w:val="105"/>
                <w:sz w:val="21"/>
              </w:rPr>
              <w:t> </w:t>
            </w:r>
            <w:r>
              <w:rPr>
                <w:w w:val="105"/>
                <w:sz w:val="21"/>
              </w:rPr>
              <w:t>99</w:t>
            </w:r>
            <w:r>
              <w:rPr>
                <w:spacing w:val="11"/>
                <w:w w:val="105"/>
                <w:sz w:val="21"/>
              </w:rPr>
              <w:t> </w:t>
            </w:r>
            <w:r>
              <w:rPr>
                <w:spacing w:val="-4"/>
                <w:w w:val="105"/>
                <w:sz w:val="21"/>
              </w:rPr>
              <w:t>mmHg</w:t>
            </w:r>
          </w:p>
        </w:tc>
      </w:tr>
      <w:tr>
        <w:trPr>
          <w:trHeight w:val="430" w:hRule="atLeast"/>
        </w:trPr>
        <w:tc>
          <w:tcPr>
            <w:tcW w:w="4252" w:type="dxa"/>
            <w:tcBorders>
              <w:left w:val="nil"/>
              <w:bottom w:val="nil"/>
            </w:tcBorders>
            <w:shd w:val="clear" w:color="auto" w:fill="EDECF3"/>
          </w:tcPr>
          <w:p>
            <w:pPr>
              <w:pStyle w:val="TableParagraph"/>
              <w:ind w:left="67"/>
              <w:rPr>
                <w:sz w:val="21"/>
              </w:rPr>
            </w:pPr>
            <w:r>
              <w:rPr>
                <w:w w:val="105"/>
                <w:sz w:val="21"/>
              </w:rPr>
              <w:t>Hipertensão</w:t>
            </w:r>
            <w:r>
              <w:rPr>
                <w:spacing w:val="30"/>
                <w:w w:val="105"/>
                <w:sz w:val="21"/>
              </w:rPr>
              <w:t> </w:t>
            </w:r>
            <w:r>
              <w:rPr>
                <w:w w:val="105"/>
                <w:sz w:val="21"/>
              </w:rPr>
              <w:t>estágio</w:t>
            </w:r>
            <w:r>
              <w:rPr>
                <w:spacing w:val="31"/>
                <w:w w:val="105"/>
                <w:sz w:val="21"/>
              </w:rPr>
              <w:t> </w:t>
            </w:r>
            <w:r>
              <w:rPr>
                <w:spacing w:val="-10"/>
                <w:w w:val="105"/>
                <w:sz w:val="21"/>
              </w:rPr>
              <w:t>2</w:t>
            </w:r>
          </w:p>
        </w:tc>
        <w:tc>
          <w:tcPr>
            <w:tcW w:w="6366" w:type="dxa"/>
            <w:tcBorders>
              <w:bottom w:val="nil"/>
              <w:right w:val="nil"/>
            </w:tcBorders>
            <w:shd w:val="clear" w:color="auto" w:fill="EDECF3"/>
          </w:tcPr>
          <w:p>
            <w:pPr>
              <w:pStyle w:val="TableParagraph"/>
              <w:ind w:left="66"/>
              <w:rPr>
                <w:sz w:val="21"/>
              </w:rPr>
            </w:pPr>
            <w:r>
              <w:rPr>
                <w:sz w:val="21"/>
              </w:rPr>
              <w:t>≥</w:t>
            </w:r>
            <w:r>
              <w:rPr>
                <w:spacing w:val="9"/>
                <w:sz w:val="21"/>
              </w:rPr>
              <w:t> </w:t>
            </w:r>
            <w:r>
              <w:rPr>
                <w:sz w:val="21"/>
              </w:rPr>
              <w:t>160</w:t>
            </w:r>
            <w:r>
              <w:rPr>
                <w:spacing w:val="26"/>
                <w:sz w:val="21"/>
              </w:rPr>
              <w:t> </w:t>
            </w:r>
            <w:r>
              <w:rPr>
                <w:sz w:val="21"/>
              </w:rPr>
              <w:t>mmHg</w:t>
            </w:r>
            <w:r>
              <w:rPr>
                <w:spacing w:val="27"/>
                <w:sz w:val="21"/>
              </w:rPr>
              <w:t> </w:t>
            </w:r>
            <w:r>
              <w:rPr>
                <w:sz w:val="21"/>
              </w:rPr>
              <w:t>ou</w:t>
            </w:r>
            <w:r>
              <w:rPr>
                <w:spacing w:val="26"/>
                <w:sz w:val="21"/>
              </w:rPr>
              <w:t> </w:t>
            </w:r>
            <w:r>
              <w:rPr>
                <w:sz w:val="21"/>
              </w:rPr>
              <w:t>≥</w:t>
            </w:r>
            <w:r>
              <w:rPr>
                <w:spacing w:val="9"/>
                <w:sz w:val="21"/>
              </w:rPr>
              <w:t> </w:t>
            </w:r>
            <w:r>
              <w:rPr>
                <w:sz w:val="21"/>
              </w:rPr>
              <w:t>100</w:t>
            </w:r>
            <w:r>
              <w:rPr>
                <w:spacing w:val="27"/>
                <w:sz w:val="21"/>
              </w:rPr>
              <w:t> </w:t>
            </w:r>
            <w:r>
              <w:rPr>
                <w:spacing w:val="-4"/>
                <w:sz w:val="21"/>
              </w:rPr>
              <w:t>mmHg</w:t>
            </w:r>
          </w:p>
        </w:tc>
      </w:tr>
    </w:tbl>
    <w:p>
      <w:pPr>
        <w:spacing w:line="285" w:lineRule="auto" w:before="182"/>
        <w:ind w:left="68" w:right="497" w:firstLine="0"/>
        <w:jc w:val="left"/>
        <w:rPr>
          <w:rFonts w:ascii="Microsoft Sans Serif" w:hAnsi="Microsoft Sans Serif"/>
          <w:sz w:val="19"/>
        </w:rPr>
      </w:pPr>
      <w:r>
        <w:rPr>
          <w:rFonts w:ascii="Microsoft Sans Serif" w:hAnsi="Microsoft Sans Serif"/>
          <w:sz w:val="19"/>
        </w:rPr>
        <w:t>*O termo</w:t>
      </w:r>
      <w:r>
        <w:rPr>
          <w:rFonts w:ascii="Microsoft Sans Serif" w:hAnsi="Microsoft Sans Serif"/>
          <w:spacing w:val="19"/>
          <w:sz w:val="19"/>
        </w:rPr>
        <w:t> </w:t>
      </w:r>
      <w:r>
        <w:rPr>
          <w:rFonts w:ascii="Microsoft Sans Serif" w:hAnsi="Microsoft Sans Serif"/>
          <w:sz w:val="19"/>
        </w:rPr>
        <w:t>pré-hipertensão</w:t>
      </w:r>
      <w:r>
        <w:rPr>
          <w:rFonts w:ascii="Microsoft Sans Serif" w:hAnsi="Microsoft Sans Serif"/>
          <w:spacing w:val="19"/>
          <w:sz w:val="19"/>
        </w:rPr>
        <w:t> </w:t>
      </w:r>
      <w:r>
        <w:rPr>
          <w:rFonts w:ascii="Microsoft Sans Serif" w:hAnsi="Microsoft Sans Serif"/>
          <w:sz w:val="19"/>
        </w:rPr>
        <w:t>foi</w:t>
      </w:r>
      <w:r>
        <w:rPr>
          <w:rFonts w:ascii="Microsoft Sans Serif" w:hAnsi="Microsoft Sans Serif"/>
          <w:spacing w:val="19"/>
          <w:sz w:val="19"/>
        </w:rPr>
        <w:t> </w:t>
      </w:r>
      <w:r>
        <w:rPr>
          <w:rFonts w:ascii="Microsoft Sans Serif" w:hAnsi="Microsoft Sans Serif"/>
          <w:sz w:val="19"/>
        </w:rPr>
        <w:t>introduzido</w:t>
      </w:r>
      <w:r>
        <w:rPr>
          <w:rFonts w:ascii="Microsoft Sans Serif" w:hAnsi="Microsoft Sans Serif"/>
          <w:spacing w:val="19"/>
          <w:sz w:val="19"/>
        </w:rPr>
        <w:t> </w:t>
      </w:r>
      <w:r>
        <w:rPr>
          <w:rFonts w:ascii="Microsoft Sans Serif" w:hAnsi="Microsoft Sans Serif"/>
          <w:sz w:val="19"/>
        </w:rPr>
        <w:t>como</w:t>
      </w:r>
      <w:r>
        <w:rPr>
          <w:rFonts w:ascii="Microsoft Sans Serif" w:hAnsi="Microsoft Sans Serif"/>
          <w:spacing w:val="19"/>
          <w:sz w:val="19"/>
        </w:rPr>
        <w:t> </w:t>
      </w:r>
      <w:r>
        <w:rPr>
          <w:rFonts w:ascii="Microsoft Sans Serif" w:hAnsi="Microsoft Sans Serif"/>
          <w:sz w:val="19"/>
        </w:rPr>
        <w:t>maneira</w:t>
      </w:r>
      <w:r>
        <w:rPr>
          <w:rFonts w:ascii="Microsoft Sans Serif" w:hAnsi="Microsoft Sans Serif"/>
          <w:spacing w:val="19"/>
          <w:sz w:val="19"/>
        </w:rPr>
        <w:t> </w:t>
      </w:r>
      <w:r>
        <w:rPr>
          <w:rFonts w:ascii="Microsoft Sans Serif" w:hAnsi="Microsoft Sans Serif"/>
          <w:sz w:val="19"/>
        </w:rPr>
        <w:t>de</w:t>
      </w:r>
      <w:r>
        <w:rPr>
          <w:rFonts w:ascii="Microsoft Sans Serif" w:hAnsi="Microsoft Sans Serif"/>
          <w:spacing w:val="19"/>
          <w:sz w:val="19"/>
        </w:rPr>
        <w:t> </w:t>
      </w:r>
      <w:r>
        <w:rPr>
          <w:rFonts w:ascii="Microsoft Sans Serif" w:hAnsi="Microsoft Sans Serif"/>
          <w:sz w:val="19"/>
        </w:rPr>
        <w:t>alertar o</w:t>
      </w:r>
      <w:r>
        <w:rPr>
          <w:rFonts w:ascii="Microsoft Sans Serif" w:hAnsi="Microsoft Sans Serif"/>
          <w:spacing w:val="19"/>
          <w:sz w:val="19"/>
        </w:rPr>
        <w:t> </w:t>
      </w:r>
      <w:r>
        <w:rPr>
          <w:rFonts w:ascii="Microsoft Sans Serif" w:hAnsi="Microsoft Sans Serif"/>
          <w:sz w:val="19"/>
        </w:rPr>
        <w:t>médico</w:t>
      </w:r>
      <w:r>
        <w:rPr>
          <w:rFonts w:ascii="Microsoft Sans Serif" w:hAnsi="Microsoft Sans Serif"/>
          <w:spacing w:val="19"/>
          <w:sz w:val="19"/>
        </w:rPr>
        <w:t> </w:t>
      </w:r>
      <w:r>
        <w:rPr>
          <w:rFonts w:ascii="Microsoft Sans Serif" w:hAnsi="Microsoft Sans Serif"/>
          <w:sz w:val="19"/>
        </w:rPr>
        <w:t>para</w:t>
      </w:r>
      <w:r>
        <w:rPr>
          <w:rFonts w:ascii="Microsoft Sans Serif" w:hAnsi="Microsoft Sans Serif"/>
          <w:spacing w:val="19"/>
          <w:sz w:val="19"/>
        </w:rPr>
        <w:t> </w:t>
      </w:r>
      <w:r>
        <w:rPr>
          <w:rFonts w:ascii="Microsoft Sans Serif" w:hAnsi="Microsoft Sans Serif"/>
          <w:sz w:val="19"/>
        </w:rPr>
        <w:t>a</w:t>
      </w:r>
      <w:r>
        <w:rPr>
          <w:rFonts w:ascii="Microsoft Sans Serif" w:hAnsi="Microsoft Sans Serif"/>
          <w:spacing w:val="19"/>
          <w:sz w:val="19"/>
        </w:rPr>
        <w:t> </w:t>
      </w:r>
      <w:r>
        <w:rPr>
          <w:rFonts w:ascii="Microsoft Sans Serif" w:hAnsi="Microsoft Sans Serif"/>
          <w:sz w:val="19"/>
        </w:rPr>
        <w:t>promoção</w:t>
      </w:r>
      <w:r>
        <w:rPr>
          <w:rFonts w:ascii="Microsoft Sans Serif" w:hAnsi="Microsoft Sans Serif"/>
          <w:spacing w:val="19"/>
          <w:sz w:val="19"/>
        </w:rPr>
        <w:t> </w:t>
      </w:r>
      <w:r>
        <w:rPr>
          <w:rFonts w:ascii="Microsoft Sans Serif" w:hAnsi="Microsoft Sans Serif"/>
          <w:sz w:val="19"/>
        </w:rPr>
        <w:t>de</w:t>
      </w:r>
      <w:r>
        <w:rPr>
          <w:rFonts w:ascii="Microsoft Sans Serif" w:hAnsi="Microsoft Sans Serif"/>
          <w:spacing w:val="19"/>
          <w:sz w:val="19"/>
        </w:rPr>
        <w:t> </w:t>
      </w:r>
      <w:r>
        <w:rPr>
          <w:rFonts w:ascii="Microsoft Sans Serif" w:hAnsi="Microsoft Sans Serif"/>
          <w:sz w:val="19"/>
        </w:rPr>
        <w:t>modificações no</w:t>
      </w:r>
      <w:r>
        <w:rPr>
          <w:rFonts w:ascii="Microsoft Sans Serif" w:hAnsi="Microsoft Sans Serif"/>
          <w:spacing w:val="19"/>
          <w:sz w:val="19"/>
        </w:rPr>
        <w:t> </w:t>
      </w:r>
      <w:r>
        <w:rPr>
          <w:rFonts w:ascii="Microsoft Sans Serif" w:hAnsi="Microsoft Sans Serif"/>
          <w:sz w:val="19"/>
        </w:rPr>
        <w:t>estilo</w:t>
      </w:r>
      <w:r>
        <w:rPr>
          <w:rFonts w:ascii="Microsoft Sans Serif" w:hAnsi="Microsoft Sans Serif"/>
          <w:spacing w:val="19"/>
          <w:sz w:val="19"/>
        </w:rPr>
        <w:t> </w:t>
      </w:r>
      <w:r>
        <w:rPr>
          <w:rFonts w:ascii="Microsoft Sans Serif" w:hAnsi="Microsoft Sans Serif"/>
          <w:sz w:val="19"/>
        </w:rPr>
        <w:t>de vida, já</w:t>
      </w:r>
      <w:r>
        <w:rPr>
          <w:rFonts w:ascii="Microsoft Sans Serif" w:hAnsi="Microsoft Sans Serif"/>
          <w:spacing w:val="32"/>
          <w:sz w:val="19"/>
        </w:rPr>
        <w:t> </w:t>
      </w:r>
      <w:r>
        <w:rPr>
          <w:rFonts w:ascii="Microsoft Sans Serif" w:hAnsi="Microsoft Sans Serif"/>
          <w:sz w:val="19"/>
        </w:rPr>
        <w:t>que</w:t>
      </w:r>
      <w:r>
        <w:rPr>
          <w:rFonts w:ascii="Microsoft Sans Serif" w:hAnsi="Microsoft Sans Serif"/>
          <w:spacing w:val="32"/>
          <w:sz w:val="19"/>
        </w:rPr>
        <w:t> </w:t>
      </w:r>
      <w:r>
        <w:rPr>
          <w:rFonts w:ascii="Microsoft Sans Serif" w:hAnsi="Microsoft Sans Serif"/>
          <w:sz w:val="19"/>
        </w:rPr>
        <w:t>pacientes com esses níveis pressóricos têm um risco</w:t>
      </w:r>
      <w:r>
        <w:rPr>
          <w:rFonts w:ascii="Microsoft Sans Serif" w:hAnsi="Microsoft Sans Serif"/>
          <w:spacing w:val="32"/>
          <w:sz w:val="19"/>
        </w:rPr>
        <w:t> </w:t>
      </w:r>
      <w:r>
        <w:rPr>
          <w:rFonts w:ascii="Microsoft Sans Serif" w:hAnsi="Microsoft Sans Serif"/>
          <w:sz w:val="19"/>
        </w:rPr>
        <w:t>duas vezes maior de</w:t>
      </w:r>
      <w:r>
        <w:rPr>
          <w:rFonts w:ascii="Microsoft Sans Serif" w:hAnsi="Microsoft Sans Serif"/>
          <w:spacing w:val="32"/>
          <w:sz w:val="19"/>
        </w:rPr>
        <w:t> </w:t>
      </w:r>
      <w:r>
        <w:rPr>
          <w:rFonts w:ascii="Microsoft Sans Serif" w:hAnsi="Microsoft Sans Serif"/>
          <w:sz w:val="19"/>
        </w:rPr>
        <w:t>incidência</w:t>
      </w:r>
      <w:r>
        <w:rPr>
          <w:rFonts w:ascii="Microsoft Sans Serif" w:hAnsi="Microsoft Sans Serif"/>
          <w:spacing w:val="32"/>
          <w:sz w:val="19"/>
        </w:rPr>
        <w:t> </w:t>
      </w:r>
      <w:r>
        <w:rPr>
          <w:rFonts w:ascii="Microsoft Sans Serif" w:hAnsi="Microsoft Sans Serif"/>
          <w:sz w:val="19"/>
        </w:rPr>
        <w:t>de</w:t>
      </w:r>
      <w:r>
        <w:rPr>
          <w:rFonts w:ascii="Microsoft Sans Serif" w:hAnsi="Microsoft Sans Serif"/>
          <w:spacing w:val="32"/>
          <w:sz w:val="19"/>
        </w:rPr>
        <w:t> </w:t>
      </w:r>
      <w:r>
        <w:rPr>
          <w:rFonts w:ascii="Microsoft Sans Serif" w:hAnsi="Microsoft Sans Serif"/>
          <w:sz w:val="19"/>
        </w:rPr>
        <w:t>doenças cardiovasculares</w:t>
      </w:r>
      <w:r>
        <w:rPr>
          <w:rFonts w:ascii="Microsoft Sans Serif" w:hAnsi="Microsoft Sans Serif"/>
          <w:spacing w:val="27"/>
          <w:sz w:val="19"/>
        </w:rPr>
        <w:t> </w:t>
      </w:r>
      <w:r>
        <w:rPr>
          <w:rFonts w:ascii="Microsoft Sans Serif" w:hAnsi="Microsoft Sans Serif"/>
          <w:sz w:val="19"/>
        </w:rPr>
        <w:t>no</w:t>
      </w:r>
      <w:r>
        <w:rPr>
          <w:rFonts w:ascii="Microsoft Sans Serif" w:hAnsi="Microsoft Sans Serif"/>
          <w:spacing w:val="35"/>
          <w:sz w:val="19"/>
        </w:rPr>
        <w:t> </w:t>
      </w:r>
      <w:r>
        <w:rPr>
          <w:rFonts w:ascii="Microsoft Sans Serif" w:hAnsi="Microsoft Sans Serif"/>
          <w:sz w:val="19"/>
        </w:rPr>
        <w:t>seguimento</w:t>
      </w:r>
      <w:r>
        <w:rPr>
          <w:rFonts w:ascii="Microsoft Sans Serif" w:hAnsi="Microsoft Sans Serif"/>
          <w:spacing w:val="35"/>
          <w:sz w:val="19"/>
        </w:rPr>
        <w:t> </w:t>
      </w:r>
      <w:r>
        <w:rPr>
          <w:rFonts w:ascii="Microsoft Sans Serif" w:hAnsi="Microsoft Sans Serif"/>
          <w:sz w:val="19"/>
        </w:rPr>
        <w:t>de</w:t>
      </w:r>
      <w:r>
        <w:rPr>
          <w:rFonts w:ascii="Microsoft Sans Serif" w:hAnsi="Microsoft Sans Serif"/>
          <w:spacing w:val="35"/>
          <w:sz w:val="19"/>
        </w:rPr>
        <w:t> </w:t>
      </w:r>
      <w:r>
        <w:rPr>
          <w:rFonts w:ascii="Microsoft Sans Serif" w:hAnsi="Microsoft Sans Serif"/>
          <w:sz w:val="19"/>
        </w:rPr>
        <w:t>10</w:t>
      </w:r>
      <w:r>
        <w:rPr>
          <w:rFonts w:ascii="Microsoft Sans Serif" w:hAnsi="Microsoft Sans Serif"/>
          <w:spacing w:val="35"/>
          <w:sz w:val="19"/>
        </w:rPr>
        <w:t> </w:t>
      </w:r>
      <w:r>
        <w:rPr>
          <w:rFonts w:ascii="Microsoft Sans Serif" w:hAnsi="Microsoft Sans Serif"/>
          <w:sz w:val="19"/>
        </w:rPr>
        <w:t>anos</w:t>
      </w:r>
      <w:r>
        <w:rPr>
          <w:rFonts w:ascii="Microsoft Sans Serif" w:hAnsi="Microsoft Sans Serif"/>
          <w:spacing w:val="27"/>
          <w:sz w:val="19"/>
        </w:rPr>
        <w:t> </w:t>
      </w:r>
      <w:r>
        <w:rPr>
          <w:rFonts w:ascii="Microsoft Sans Serif" w:hAnsi="Microsoft Sans Serif"/>
          <w:sz w:val="19"/>
        </w:rPr>
        <w:t>em</w:t>
      </w:r>
      <w:r>
        <w:rPr>
          <w:rFonts w:ascii="Microsoft Sans Serif" w:hAnsi="Microsoft Sans Serif"/>
          <w:spacing w:val="27"/>
          <w:sz w:val="19"/>
        </w:rPr>
        <w:t> </w:t>
      </w:r>
      <w:r>
        <w:rPr>
          <w:rFonts w:ascii="Microsoft Sans Serif" w:hAnsi="Microsoft Sans Serif"/>
          <w:sz w:val="19"/>
        </w:rPr>
        <w:t>relação</w:t>
      </w:r>
      <w:r>
        <w:rPr>
          <w:rFonts w:ascii="Microsoft Sans Serif" w:hAnsi="Microsoft Sans Serif"/>
          <w:spacing w:val="35"/>
          <w:sz w:val="19"/>
        </w:rPr>
        <w:t> </w:t>
      </w:r>
      <w:r>
        <w:rPr>
          <w:rFonts w:ascii="Microsoft Sans Serif" w:hAnsi="Microsoft Sans Serif"/>
          <w:sz w:val="19"/>
        </w:rPr>
        <w:t>às</w:t>
      </w:r>
      <w:r>
        <w:rPr>
          <w:rFonts w:ascii="Microsoft Sans Serif" w:hAnsi="Microsoft Sans Serif"/>
          <w:spacing w:val="27"/>
          <w:sz w:val="19"/>
        </w:rPr>
        <w:t> </w:t>
      </w:r>
      <w:r>
        <w:rPr>
          <w:rFonts w:ascii="Microsoft Sans Serif" w:hAnsi="Microsoft Sans Serif"/>
          <w:sz w:val="19"/>
        </w:rPr>
        <w:t>pessoas</w:t>
      </w:r>
      <w:r>
        <w:rPr>
          <w:rFonts w:ascii="Microsoft Sans Serif" w:hAnsi="Microsoft Sans Serif"/>
          <w:spacing w:val="27"/>
          <w:sz w:val="19"/>
        </w:rPr>
        <w:t> </w:t>
      </w:r>
      <w:r>
        <w:rPr>
          <w:rFonts w:ascii="Microsoft Sans Serif" w:hAnsi="Microsoft Sans Serif"/>
          <w:sz w:val="19"/>
        </w:rPr>
        <w:t>com</w:t>
      </w:r>
      <w:r>
        <w:rPr>
          <w:rFonts w:ascii="Microsoft Sans Serif" w:hAnsi="Microsoft Sans Serif"/>
          <w:spacing w:val="27"/>
          <w:sz w:val="19"/>
        </w:rPr>
        <w:t> </w:t>
      </w:r>
      <w:r>
        <w:rPr>
          <w:rFonts w:ascii="Microsoft Sans Serif" w:hAnsi="Microsoft Sans Serif"/>
          <w:sz w:val="19"/>
        </w:rPr>
        <w:t>níveis</w:t>
      </w:r>
      <w:r>
        <w:rPr>
          <w:rFonts w:ascii="Microsoft Sans Serif" w:hAnsi="Microsoft Sans Serif"/>
          <w:spacing w:val="27"/>
          <w:sz w:val="19"/>
        </w:rPr>
        <w:t> </w:t>
      </w:r>
      <w:r>
        <w:rPr>
          <w:rFonts w:ascii="Microsoft Sans Serif" w:hAnsi="Microsoft Sans Serif"/>
          <w:sz w:val="19"/>
        </w:rPr>
        <w:t>abaixo</w:t>
      </w:r>
      <w:r>
        <w:rPr>
          <w:rFonts w:ascii="Microsoft Sans Serif" w:hAnsi="Microsoft Sans Serif"/>
          <w:spacing w:val="35"/>
          <w:sz w:val="19"/>
        </w:rPr>
        <w:t> </w:t>
      </w:r>
      <w:r>
        <w:rPr>
          <w:rFonts w:ascii="Microsoft Sans Serif" w:hAnsi="Microsoft Sans Serif"/>
          <w:sz w:val="19"/>
        </w:rPr>
        <w:t>dos</w:t>
      </w:r>
      <w:r>
        <w:rPr>
          <w:rFonts w:ascii="Microsoft Sans Serif" w:hAnsi="Microsoft Sans Serif"/>
          <w:spacing w:val="27"/>
          <w:sz w:val="19"/>
        </w:rPr>
        <w:t> </w:t>
      </w:r>
      <w:r>
        <w:rPr>
          <w:rFonts w:ascii="Microsoft Sans Serif" w:hAnsi="Microsoft Sans Serif"/>
          <w:sz w:val="19"/>
        </w:rPr>
        <w:t>mencionados</w:t>
      </w:r>
      <w:r>
        <w:rPr>
          <w:rFonts w:ascii="Microsoft Sans Serif" w:hAnsi="Microsoft Sans Serif"/>
          <w:spacing w:val="27"/>
          <w:sz w:val="19"/>
        </w:rPr>
        <w:t> </w:t>
      </w:r>
      <w:r>
        <w:rPr>
          <w:rFonts w:ascii="Microsoft Sans Serif" w:hAnsi="Microsoft Sans Serif"/>
          <w:sz w:val="19"/>
        </w:rPr>
        <w:t>para</w:t>
      </w:r>
      <w:r>
        <w:rPr>
          <w:rFonts w:ascii="Microsoft Sans Serif" w:hAnsi="Microsoft Sans Serif"/>
          <w:spacing w:val="35"/>
          <w:sz w:val="19"/>
        </w:rPr>
        <w:t> </w:t>
      </w:r>
      <w:r>
        <w:rPr>
          <w:rFonts w:ascii="Microsoft Sans Serif" w:hAnsi="Microsoft Sans Serif"/>
          <w:sz w:val="19"/>
        </w:rPr>
        <w:t>esse </w:t>
      </w:r>
      <w:r>
        <w:rPr>
          <w:rFonts w:ascii="Microsoft Sans Serif" w:hAnsi="Microsoft Sans Serif"/>
          <w:spacing w:val="-2"/>
          <w:sz w:val="19"/>
        </w:rPr>
        <w:t>grupo.</w:t>
      </w:r>
    </w:p>
    <w:p>
      <w:pPr>
        <w:pStyle w:val="BodyText"/>
        <w:spacing w:before="0"/>
        <w:ind w:left="0" w:firstLine="0"/>
        <w:jc w:val="left"/>
        <w:rPr>
          <w:rFonts w:ascii="Microsoft Sans Serif"/>
          <w:sz w:val="19"/>
        </w:rPr>
      </w:pPr>
    </w:p>
    <w:p>
      <w:pPr>
        <w:pStyle w:val="BodyText"/>
        <w:spacing w:before="13"/>
        <w:ind w:left="0" w:firstLine="0"/>
        <w:jc w:val="left"/>
        <w:rPr>
          <w:rFonts w:ascii="Microsoft Sans Serif"/>
          <w:sz w:val="19"/>
        </w:rPr>
      </w:pPr>
    </w:p>
    <w:p>
      <w:pPr>
        <w:pStyle w:val="Heading4"/>
      </w:pPr>
      <w:r>
        <w:rPr>
          <w:color w:val="242B67"/>
        </w:rPr>
        <w:t>Rotina de </w:t>
      </w:r>
      <w:r>
        <w:rPr>
          <w:color w:val="242B67"/>
          <w:spacing w:val="-2"/>
        </w:rPr>
        <w:t>seguimento</w:t>
      </w:r>
    </w:p>
    <w:p>
      <w:pPr>
        <w:pStyle w:val="BodyText"/>
        <w:spacing w:line="290" w:lineRule="auto" w:before="148"/>
        <w:ind w:right="488"/>
      </w:pPr>
      <w:r>
        <w:rPr/>
        <w:t>O intervalo para o seguimento dos pacientes pode variar conforme a gravidade da hipertensão e das lesões de órgãos-alvo (ver intervalos entre consultas sugeridos na </w:t>
      </w:r>
      <w:r>
        <w:rPr>
          <w:color w:val="505050"/>
        </w:rPr>
        <w:t>Tabela 57.4</w:t>
      </w:r>
      <w:r>
        <w:rPr/>
        <w:t>).</w:t>
      </w:r>
      <w:r>
        <w:rPr>
          <w:vertAlign w:val="superscript"/>
        </w:rPr>
        <w:t>1</w:t>
      </w:r>
    </w:p>
    <w:p>
      <w:pPr>
        <w:pStyle w:val="BodyText"/>
        <w:spacing w:before="170"/>
        <w:ind w:left="0" w:firstLine="0"/>
        <w:jc w:val="left"/>
      </w:pPr>
    </w:p>
    <w:p>
      <w:pPr>
        <w:pStyle w:val="Heading4"/>
      </w:pPr>
      <w:r>
        <w:rPr>
          <w:color w:val="242B67"/>
        </w:rPr>
        <w:t>Lesão de órgãos-</w:t>
      </w:r>
      <w:r>
        <w:rPr>
          <w:color w:val="242B67"/>
          <w:spacing w:val="-4"/>
        </w:rPr>
        <w:t>alvo</w:t>
      </w:r>
    </w:p>
    <w:p>
      <w:pPr>
        <w:pStyle w:val="BodyText"/>
        <w:spacing w:line="276" w:lineRule="auto" w:before="132"/>
        <w:ind w:right="488"/>
      </w:pPr>
      <w:r>
        <w:rPr/>
        <w:t>Consideram-se como lesões de órgãos-alvo aquelas decorrentes diretamente das alterações provocadas pela hipertensão. A importância dessa designação reflete a gravidade da doença e alerta o médico para a necessidade de um</w:t>
      </w:r>
      <w:r>
        <w:rPr>
          <w:spacing w:val="-4"/>
        </w:rPr>
        <w:t> </w:t>
      </w:r>
      <w:r>
        <w:rPr/>
        <w:t>tratamento</w:t>
      </w:r>
      <w:r>
        <w:rPr>
          <w:spacing w:val="-4"/>
        </w:rPr>
        <w:t> </w:t>
      </w:r>
      <w:r>
        <w:rPr/>
        <w:t>intensivo</w:t>
      </w:r>
      <w:r>
        <w:rPr>
          <w:spacing w:val="-4"/>
        </w:rPr>
        <w:t> </w:t>
      </w:r>
      <w:r>
        <w:rPr/>
        <w:t>visando</w:t>
      </w:r>
      <w:r>
        <w:rPr>
          <w:spacing w:val="-4"/>
        </w:rPr>
        <w:t> </w:t>
      </w:r>
      <w:r>
        <w:rPr/>
        <w:t>ao</w:t>
      </w:r>
      <w:r>
        <w:rPr>
          <w:spacing w:val="-4"/>
        </w:rPr>
        <w:t> </w:t>
      </w:r>
      <w:r>
        <w:rPr/>
        <w:t>controle</w:t>
      </w:r>
      <w:r>
        <w:rPr>
          <w:spacing w:val="-7"/>
        </w:rPr>
        <w:t> </w:t>
      </w:r>
      <w:r>
        <w:rPr/>
        <w:t>pressórico. Dentre</w:t>
      </w:r>
      <w:r>
        <w:rPr>
          <w:spacing w:val="-7"/>
        </w:rPr>
        <w:t> </w:t>
      </w:r>
      <w:r>
        <w:rPr/>
        <w:t>as várias lesões de</w:t>
      </w:r>
      <w:r>
        <w:rPr>
          <w:spacing w:val="-7"/>
        </w:rPr>
        <w:t> </w:t>
      </w:r>
      <w:r>
        <w:rPr/>
        <w:t>órgãos-alvo, podem-se</w:t>
      </w:r>
      <w:r>
        <w:rPr>
          <w:spacing w:val="-7"/>
        </w:rPr>
        <w:t> </w:t>
      </w:r>
      <w:r>
        <w:rPr/>
        <w:t>destacar: a hipertrofia de ventrículo esquerdo, o acidente vascular cerebral, a encefalopatia hipertensiva, a retinopatia hipertensiva e a nefropatia hipertensiva, conforme descrito a seguir.</w:t>
      </w:r>
    </w:p>
    <w:p>
      <w:pPr>
        <w:pStyle w:val="BodyText"/>
        <w:spacing w:before="134"/>
        <w:ind w:left="0" w:firstLine="0"/>
        <w:jc w:val="left"/>
      </w:pPr>
    </w:p>
    <w:p>
      <w:pPr>
        <w:pStyle w:val="Heading5"/>
      </w:pPr>
      <w:r>
        <w:rPr>
          <w:color w:val="A26108"/>
        </w:rPr>
        <w:t>Hipertrofia</w:t>
      </w:r>
      <w:r>
        <w:rPr>
          <w:color w:val="A26108"/>
          <w:spacing w:val="24"/>
        </w:rPr>
        <w:t> </w:t>
      </w:r>
      <w:r>
        <w:rPr>
          <w:color w:val="A26108"/>
        </w:rPr>
        <w:t>do</w:t>
      </w:r>
      <w:r>
        <w:rPr>
          <w:color w:val="A26108"/>
          <w:spacing w:val="24"/>
        </w:rPr>
        <w:t> </w:t>
      </w:r>
      <w:r>
        <w:rPr>
          <w:color w:val="A26108"/>
        </w:rPr>
        <w:t>ventrículo</w:t>
      </w:r>
      <w:r>
        <w:rPr>
          <w:color w:val="A26108"/>
          <w:spacing w:val="24"/>
        </w:rPr>
        <w:t> </w:t>
      </w:r>
      <w:r>
        <w:rPr>
          <w:color w:val="A26108"/>
          <w:spacing w:val="-2"/>
        </w:rPr>
        <w:t>esquerdo</w:t>
      </w:r>
    </w:p>
    <w:p>
      <w:pPr>
        <w:pStyle w:val="BodyText"/>
        <w:spacing w:line="280" w:lineRule="auto" w:before="138"/>
        <w:ind w:right="488"/>
      </w:pPr>
      <w:r>
        <w:rPr/>
        <w:t>A</w:t>
      </w:r>
      <w:r>
        <w:rPr>
          <w:spacing w:val="-3"/>
        </w:rPr>
        <w:t> </w:t>
      </w:r>
      <w:r>
        <w:rPr/>
        <w:t>hipertrofia</w:t>
      </w:r>
      <w:r>
        <w:rPr>
          <w:spacing w:val="-2"/>
        </w:rPr>
        <w:t> </w:t>
      </w:r>
      <w:r>
        <w:rPr/>
        <w:t>ventricular esquerda</w:t>
      </w:r>
      <w:r>
        <w:rPr>
          <w:spacing w:val="-2"/>
        </w:rPr>
        <w:t> </w:t>
      </w:r>
      <w:r>
        <w:rPr/>
        <w:t>é</w:t>
      </w:r>
      <w:r>
        <w:rPr>
          <w:spacing w:val="-2"/>
        </w:rPr>
        <w:t> </w:t>
      </w:r>
      <w:r>
        <w:rPr/>
        <w:t>um complexo fenômeno de</w:t>
      </w:r>
      <w:r>
        <w:rPr>
          <w:spacing w:val="-2"/>
        </w:rPr>
        <w:t> </w:t>
      </w:r>
      <w:r>
        <w:rPr/>
        <w:t>adaptação do miocárdio ao aumento crônico da pressão</w:t>
      </w:r>
      <w:r>
        <w:rPr>
          <w:spacing w:val="-7"/>
        </w:rPr>
        <w:t> </w:t>
      </w:r>
      <w:r>
        <w:rPr/>
        <w:t>arterial</w:t>
      </w:r>
      <w:r>
        <w:rPr>
          <w:spacing w:val="-5"/>
        </w:rPr>
        <w:t> </w:t>
      </w:r>
      <w:r>
        <w:rPr/>
        <w:t>sistêmica.</w:t>
      </w:r>
      <w:r>
        <w:rPr>
          <w:vertAlign w:val="superscript"/>
        </w:rPr>
        <w:t>9</w:t>
      </w:r>
      <w:r>
        <w:rPr>
          <w:vertAlign w:val="baseline"/>
        </w:rPr>
        <w:t> Outros fatores são</w:t>
      </w:r>
      <w:r>
        <w:rPr>
          <w:spacing w:val="-1"/>
          <w:vertAlign w:val="baseline"/>
        </w:rPr>
        <w:t> </w:t>
      </w:r>
      <w:r>
        <w:rPr>
          <w:vertAlign w:val="baseline"/>
        </w:rPr>
        <w:t>responsáveis pelo</w:t>
      </w:r>
      <w:r>
        <w:rPr>
          <w:spacing w:val="-1"/>
          <w:vertAlign w:val="baseline"/>
        </w:rPr>
        <w:t> </w:t>
      </w:r>
      <w:r>
        <w:rPr>
          <w:vertAlign w:val="baseline"/>
        </w:rPr>
        <w:t>desencadeamento</w:t>
      </w:r>
      <w:r>
        <w:rPr>
          <w:spacing w:val="-1"/>
          <w:vertAlign w:val="baseline"/>
        </w:rPr>
        <w:t> </w:t>
      </w:r>
      <w:r>
        <w:rPr>
          <w:vertAlign w:val="baseline"/>
        </w:rPr>
        <w:t>da</w:t>
      </w:r>
      <w:r>
        <w:rPr>
          <w:spacing w:val="-5"/>
          <w:vertAlign w:val="baseline"/>
        </w:rPr>
        <w:t> </w:t>
      </w:r>
      <w:r>
        <w:rPr>
          <w:vertAlign w:val="baseline"/>
        </w:rPr>
        <w:t>hipertrofia, a</w:t>
      </w:r>
      <w:r>
        <w:rPr>
          <w:spacing w:val="-5"/>
          <w:vertAlign w:val="baseline"/>
        </w:rPr>
        <w:t> </w:t>
      </w:r>
      <w:r>
        <w:rPr>
          <w:vertAlign w:val="baseline"/>
        </w:rPr>
        <w:t>exemplo</w:t>
      </w:r>
      <w:r>
        <w:rPr>
          <w:spacing w:val="-1"/>
          <w:vertAlign w:val="baseline"/>
        </w:rPr>
        <w:t> </w:t>
      </w:r>
      <w:r>
        <w:rPr>
          <w:vertAlign w:val="baseline"/>
        </w:rPr>
        <w:t>do</w:t>
      </w:r>
      <w:r>
        <w:rPr>
          <w:spacing w:val="-1"/>
          <w:vertAlign w:val="baseline"/>
        </w:rPr>
        <w:t> </w:t>
      </w:r>
      <w:r>
        <w:rPr>
          <w:vertAlign w:val="baseline"/>
        </w:rPr>
        <w:t>que acontece</w:t>
      </w:r>
      <w:r>
        <w:rPr>
          <w:spacing w:val="-7"/>
          <w:vertAlign w:val="baseline"/>
        </w:rPr>
        <w:t> </w:t>
      </w:r>
      <w:r>
        <w:rPr>
          <w:vertAlign w:val="baseline"/>
        </w:rPr>
        <w:t>nas condições de</w:t>
      </w:r>
      <w:r>
        <w:rPr>
          <w:spacing w:val="-7"/>
          <w:vertAlign w:val="baseline"/>
        </w:rPr>
        <w:t> </w:t>
      </w:r>
      <w:r>
        <w:rPr>
          <w:vertAlign w:val="baseline"/>
        </w:rPr>
        <w:t>sobrecarga</w:t>
      </w:r>
      <w:r>
        <w:rPr>
          <w:spacing w:val="-7"/>
          <w:vertAlign w:val="baseline"/>
        </w:rPr>
        <w:t> </w:t>
      </w:r>
      <w:r>
        <w:rPr>
          <w:vertAlign w:val="baseline"/>
        </w:rPr>
        <w:t>de</w:t>
      </w:r>
      <w:r>
        <w:rPr>
          <w:spacing w:val="-7"/>
          <w:vertAlign w:val="baseline"/>
        </w:rPr>
        <w:t> </w:t>
      </w:r>
      <w:r>
        <w:rPr>
          <w:vertAlign w:val="baseline"/>
        </w:rPr>
        <w:t>volume. Os mecanismos precisos pelos quais se</w:t>
      </w:r>
      <w:r>
        <w:rPr>
          <w:spacing w:val="-7"/>
          <w:vertAlign w:val="baseline"/>
        </w:rPr>
        <w:t> </w:t>
      </w:r>
      <w:r>
        <w:rPr>
          <w:vertAlign w:val="baseline"/>
        </w:rPr>
        <w:t>dá</w:t>
      </w:r>
      <w:r>
        <w:rPr>
          <w:spacing w:val="-7"/>
          <w:vertAlign w:val="baseline"/>
        </w:rPr>
        <w:t> </w:t>
      </w:r>
      <w:r>
        <w:rPr>
          <w:vertAlign w:val="baseline"/>
        </w:rPr>
        <w:t>a</w:t>
      </w:r>
      <w:r>
        <w:rPr>
          <w:spacing w:val="-7"/>
          <w:vertAlign w:val="baseline"/>
        </w:rPr>
        <w:t> </w:t>
      </w:r>
      <w:r>
        <w:rPr>
          <w:vertAlign w:val="baseline"/>
        </w:rPr>
        <w:t>hipertrofia</w:t>
      </w:r>
      <w:r>
        <w:rPr>
          <w:spacing w:val="-7"/>
          <w:vertAlign w:val="baseline"/>
        </w:rPr>
        <w:t> </w:t>
      </w:r>
      <w:r>
        <w:rPr>
          <w:vertAlign w:val="baseline"/>
        </w:rPr>
        <w:t>ainda</w:t>
      </w:r>
      <w:r>
        <w:rPr>
          <w:spacing w:val="-7"/>
          <w:vertAlign w:val="baseline"/>
        </w:rPr>
        <w:t> </w:t>
      </w:r>
      <w:r>
        <w:rPr>
          <w:vertAlign w:val="baseline"/>
        </w:rPr>
        <w:t>não são conhecidos, mas sabe-se que inúmeros fatores humorais, como catecolaminas, angiotensina II e endotelinas, estão envolvidos.</w:t>
      </w:r>
    </w:p>
    <w:p>
      <w:pPr>
        <w:pStyle w:val="BodyText"/>
        <w:spacing w:line="276" w:lineRule="auto" w:before="38"/>
        <w:ind w:right="488"/>
      </w:pPr>
      <w:r>
        <w:rPr/>
        <w:t>Histologicamente, há</w:t>
      </w:r>
      <w:r>
        <w:rPr>
          <w:spacing w:val="-9"/>
        </w:rPr>
        <w:t> </w:t>
      </w:r>
      <w:r>
        <w:rPr/>
        <w:t>um</w:t>
      </w:r>
      <w:r>
        <w:rPr>
          <w:spacing w:val="-6"/>
        </w:rPr>
        <w:t> </w:t>
      </w:r>
      <w:r>
        <w:rPr/>
        <w:t>aumento</w:t>
      </w:r>
      <w:r>
        <w:rPr>
          <w:spacing w:val="-6"/>
        </w:rPr>
        <w:t> </w:t>
      </w:r>
      <w:r>
        <w:rPr/>
        <w:t>da</w:t>
      </w:r>
      <w:r>
        <w:rPr>
          <w:spacing w:val="-9"/>
        </w:rPr>
        <w:t> </w:t>
      </w:r>
      <w:r>
        <w:rPr/>
        <w:t>massa</w:t>
      </w:r>
      <w:r>
        <w:rPr>
          <w:spacing w:val="-9"/>
        </w:rPr>
        <w:t> </w:t>
      </w:r>
      <w:r>
        <w:rPr/>
        <w:t>dos miócitos e</w:t>
      </w:r>
      <w:r>
        <w:rPr>
          <w:spacing w:val="-9"/>
        </w:rPr>
        <w:t> </w:t>
      </w:r>
      <w:r>
        <w:rPr/>
        <w:t>do</w:t>
      </w:r>
      <w:r>
        <w:rPr>
          <w:spacing w:val="-6"/>
        </w:rPr>
        <w:t> </w:t>
      </w:r>
      <w:r>
        <w:rPr/>
        <w:t>depósito</w:t>
      </w:r>
      <w:r>
        <w:rPr>
          <w:spacing w:val="-6"/>
        </w:rPr>
        <w:t> </w:t>
      </w:r>
      <w:r>
        <w:rPr/>
        <w:t>da</w:t>
      </w:r>
      <w:r>
        <w:rPr>
          <w:spacing w:val="-9"/>
        </w:rPr>
        <w:t> </w:t>
      </w:r>
      <w:r>
        <w:rPr/>
        <w:t>matriz</w:t>
      </w:r>
      <w:r>
        <w:rPr>
          <w:spacing w:val="-9"/>
        </w:rPr>
        <w:t> </w:t>
      </w:r>
      <w:r>
        <w:rPr/>
        <w:t>extracelular. A</w:t>
      </w:r>
      <w:r>
        <w:rPr>
          <w:spacing w:val="-9"/>
        </w:rPr>
        <w:t> </w:t>
      </w:r>
      <w:r>
        <w:rPr/>
        <w:t>importância</w:t>
      </w:r>
      <w:r>
        <w:rPr>
          <w:spacing w:val="-9"/>
        </w:rPr>
        <w:t> </w:t>
      </w:r>
      <w:r>
        <w:rPr/>
        <w:t>da hipertrofia ventricular esquerda justifica-se por ser um fator de risco independente para morbimortalidade cardiovascular, com comprometimento da hemodinâmica, aumento da vulnerabilidade do miocárdio para o surgimento de arritmias, morte súbita, predisposição para as disfunções ventriculares sistólica e diastólica, bem como aceleração da aterosclerose coronariana. Ela está associada a aumento da tensão da parede ventricular e consequente aumento do consumo de oxigênio pelo miocárdio, disfunção endotelial, redução da reserva de fluxo coronariano e quadros de angina de peito, que podem se manifestar independentemente de doença aterosclerótica coronariana (placa de ateroma).</w:t>
      </w:r>
    </w:p>
    <w:p>
      <w:pPr>
        <w:pStyle w:val="BodyText"/>
        <w:spacing w:line="276" w:lineRule="auto" w:before="66"/>
        <w:ind w:right="491"/>
      </w:pPr>
      <w:r>
        <w:rPr/>
        <w:t>A reversão da hipertrofia e consequentemente das repercussões cardiovasculares descritas embasam-se no controle da pressão arterial. Diversas classes de medicamentos podem ser utilizadas e são, em linhas gerais, semelhantes uma vez que o controle pressórico for obtido. Entretanto, a hidralazina, um vasodilatador direto, promove taquicardia reflexa e, nesse sentido, não promove a reversão da hipertrofia.</w:t>
      </w:r>
    </w:p>
    <w:p>
      <w:pPr>
        <w:pStyle w:val="BodyText"/>
        <w:spacing w:before="71"/>
        <w:ind w:left="0" w:firstLine="0"/>
        <w:jc w:val="left"/>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3"/>
        </w:rPr>
        <w:t> </w:t>
      </w:r>
      <w:r>
        <w:rPr>
          <w:rFonts w:ascii="Arial" w:hAnsi="Arial"/>
          <w:b/>
          <w:color w:val="242B67"/>
        </w:rPr>
        <w:t>57.4</w:t>
      </w:r>
      <w:r>
        <w:rPr>
          <w:rFonts w:ascii="Arial" w:hAnsi="Arial"/>
          <w:b/>
          <w:color w:val="242B67"/>
          <w:spacing w:val="-3"/>
        </w:rPr>
        <w:t> </w:t>
      </w:r>
      <w:r>
        <w:rPr>
          <w:rFonts w:ascii="Microsoft Sans Serif" w:hAnsi="Microsoft Sans Serif"/>
        </w:rPr>
        <w:t>Sugestão de intervalo entre as</w:t>
      </w:r>
      <w:r>
        <w:rPr>
          <w:rFonts w:ascii="Microsoft Sans Serif" w:hAnsi="Microsoft Sans Serif"/>
          <w:spacing w:val="-3"/>
        </w:rPr>
        <w:t> </w:t>
      </w:r>
      <w:r>
        <w:rPr>
          <w:rFonts w:ascii="Microsoft Sans Serif" w:hAnsi="Microsoft Sans Serif"/>
        </w:rPr>
        <w:t>consultas</w:t>
      </w:r>
      <w:r>
        <w:rPr>
          <w:rFonts w:ascii="Microsoft Sans Serif" w:hAnsi="Microsoft Sans Serif"/>
          <w:spacing w:val="-3"/>
        </w:rPr>
        <w:t> </w:t>
      </w:r>
      <w:r>
        <w:rPr>
          <w:rFonts w:ascii="Microsoft Sans Serif" w:hAnsi="Microsoft Sans Serif"/>
        </w:rPr>
        <w:t>de seguimento para os</w:t>
      </w:r>
      <w:r>
        <w:rPr>
          <w:rFonts w:ascii="Microsoft Sans Serif" w:hAnsi="Microsoft Sans Serif"/>
          <w:spacing w:val="-3"/>
        </w:rPr>
        <w:t> </w:t>
      </w:r>
      <w:r>
        <w:rPr>
          <w:rFonts w:ascii="Microsoft Sans Serif" w:hAnsi="Microsoft Sans Serif"/>
          <w:spacing w:val="-2"/>
        </w:rPr>
        <w:t>pacientes.</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138"/>
        <w:gridCol w:w="2114"/>
        <w:gridCol w:w="6366"/>
      </w:tblGrid>
      <w:tr>
        <w:trPr>
          <w:trHeight w:val="430" w:hRule="atLeast"/>
        </w:trPr>
        <w:tc>
          <w:tcPr>
            <w:tcW w:w="4252" w:type="dxa"/>
            <w:gridSpan w:val="2"/>
            <w:tcBorders>
              <w:top w:val="nil"/>
              <w:left w:val="nil"/>
            </w:tcBorders>
            <w:shd w:val="clear" w:color="auto" w:fill="242B67"/>
          </w:tcPr>
          <w:p>
            <w:pPr>
              <w:pStyle w:val="TableParagraph"/>
              <w:spacing w:before="91"/>
              <w:ind w:left="931"/>
              <w:rPr>
                <w:rFonts w:ascii="Arial" w:hAnsi="Arial"/>
                <w:b/>
                <w:sz w:val="21"/>
              </w:rPr>
            </w:pPr>
            <w:r>
              <w:rPr>
                <w:rFonts w:ascii="Arial" w:hAnsi="Arial"/>
                <w:b/>
                <w:color w:val="FFFFFF"/>
                <w:w w:val="105"/>
                <w:sz w:val="21"/>
              </w:rPr>
              <w:t>Pressão</w:t>
            </w:r>
            <w:r>
              <w:rPr>
                <w:rFonts w:ascii="Arial" w:hAnsi="Arial"/>
                <w:b/>
                <w:color w:val="FFFFFF"/>
                <w:spacing w:val="2"/>
                <w:w w:val="105"/>
                <w:sz w:val="21"/>
              </w:rPr>
              <w:t> </w:t>
            </w:r>
            <w:r>
              <w:rPr>
                <w:rFonts w:ascii="Arial" w:hAnsi="Arial"/>
                <w:b/>
                <w:color w:val="FFFFFF"/>
                <w:w w:val="105"/>
                <w:sz w:val="21"/>
              </w:rPr>
              <w:t>arterial</w:t>
            </w:r>
            <w:r>
              <w:rPr>
                <w:rFonts w:ascii="Arial" w:hAnsi="Arial"/>
                <w:b/>
                <w:color w:val="FFFFFF"/>
                <w:spacing w:val="12"/>
                <w:w w:val="105"/>
                <w:sz w:val="21"/>
              </w:rPr>
              <w:t> </w:t>
            </w:r>
            <w:r>
              <w:rPr>
                <w:rFonts w:ascii="Arial" w:hAnsi="Arial"/>
                <w:b/>
                <w:color w:val="FFFFFF"/>
                <w:spacing w:val="-2"/>
                <w:w w:val="105"/>
                <w:sz w:val="21"/>
              </w:rPr>
              <w:t>inicial</w:t>
            </w:r>
          </w:p>
        </w:tc>
        <w:tc>
          <w:tcPr>
            <w:tcW w:w="6366" w:type="dxa"/>
            <w:vMerge w:val="restart"/>
            <w:tcBorders>
              <w:top w:val="nil"/>
              <w:right w:val="nil"/>
            </w:tcBorders>
            <w:shd w:val="clear" w:color="auto" w:fill="242B67"/>
          </w:tcPr>
          <w:p>
            <w:pPr>
              <w:pStyle w:val="TableParagraph"/>
              <w:spacing w:before="0"/>
              <w:ind w:left="0"/>
              <w:rPr>
                <w:sz w:val="21"/>
              </w:rPr>
            </w:pPr>
          </w:p>
          <w:p>
            <w:pPr>
              <w:pStyle w:val="TableParagraph"/>
              <w:spacing w:before="64"/>
              <w:ind w:left="0"/>
              <w:rPr>
                <w:sz w:val="21"/>
              </w:rPr>
            </w:pPr>
          </w:p>
          <w:p>
            <w:pPr>
              <w:pStyle w:val="TableParagraph"/>
              <w:spacing w:before="0"/>
              <w:ind w:left="66"/>
              <w:rPr>
                <w:rFonts w:ascii="Arial"/>
                <w:b/>
                <w:sz w:val="21"/>
              </w:rPr>
            </w:pPr>
            <w:r>
              <w:rPr>
                <w:rFonts w:ascii="Arial"/>
                <w:b/>
                <w:color w:val="FFFFFF"/>
                <w:spacing w:val="-2"/>
                <w:w w:val="105"/>
                <w:sz w:val="21"/>
              </w:rPr>
              <w:t>Seguimento</w:t>
            </w:r>
          </w:p>
        </w:tc>
      </w:tr>
      <w:tr>
        <w:trPr>
          <w:trHeight w:val="428" w:hRule="atLeast"/>
        </w:trPr>
        <w:tc>
          <w:tcPr>
            <w:tcW w:w="2138" w:type="dxa"/>
            <w:tcBorders>
              <w:left w:val="nil"/>
            </w:tcBorders>
            <w:shd w:val="clear" w:color="auto" w:fill="242B67"/>
          </w:tcPr>
          <w:p>
            <w:pPr>
              <w:pStyle w:val="TableParagraph"/>
              <w:spacing w:before="89"/>
              <w:ind w:left="67"/>
              <w:rPr>
                <w:rFonts w:ascii="Arial" w:hAnsi="Arial"/>
                <w:b/>
                <w:sz w:val="21"/>
              </w:rPr>
            </w:pPr>
            <w:r>
              <w:rPr>
                <w:rFonts w:ascii="Arial" w:hAnsi="Arial"/>
                <w:b/>
                <w:color w:val="FFFFFF"/>
                <w:spacing w:val="-2"/>
                <w:w w:val="105"/>
                <w:sz w:val="21"/>
              </w:rPr>
              <w:t>Sistólica</w:t>
            </w:r>
          </w:p>
        </w:tc>
        <w:tc>
          <w:tcPr>
            <w:tcW w:w="2114" w:type="dxa"/>
            <w:shd w:val="clear" w:color="auto" w:fill="242B67"/>
          </w:tcPr>
          <w:p>
            <w:pPr>
              <w:pStyle w:val="TableParagraph"/>
              <w:spacing w:before="89"/>
              <w:rPr>
                <w:rFonts w:ascii="Arial" w:hAnsi="Arial"/>
                <w:b/>
                <w:sz w:val="21"/>
              </w:rPr>
            </w:pPr>
            <w:r>
              <w:rPr>
                <w:rFonts w:ascii="Arial" w:hAnsi="Arial"/>
                <w:b/>
                <w:color w:val="FFFFFF"/>
                <w:spacing w:val="-2"/>
                <w:w w:val="105"/>
                <w:sz w:val="21"/>
              </w:rPr>
              <w:t>Diastólica</w:t>
            </w:r>
          </w:p>
        </w:tc>
        <w:tc>
          <w:tcPr>
            <w:tcW w:w="6366" w:type="dxa"/>
            <w:vMerge/>
            <w:tcBorders>
              <w:top w:val="nil"/>
              <w:right w:val="nil"/>
            </w:tcBorders>
            <w:shd w:val="clear" w:color="auto" w:fill="242B67"/>
          </w:tcPr>
          <w:p>
            <w:pPr>
              <w:rPr>
                <w:sz w:val="2"/>
                <w:szCs w:val="2"/>
              </w:rPr>
            </w:pPr>
          </w:p>
        </w:tc>
      </w:tr>
      <w:tr>
        <w:trPr>
          <w:trHeight w:val="428" w:hRule="atLeast"/>
        </w:trPr>
        <w:tc>
          <w:tcPr>
            <w:tcW w:w="2138" w:type="dxa"/>
            <w:tcBorders>
              <w:left w:val="nil"/>
            </w:tcBorders>
            <w:shd w:val="clear" w:color="auto" w:fill="EDECF3"/>
          </w:tcPr>
          <w:p>
            <w:pPr>
              <w:pStyle w:val="TableParagraph"/>
              <w:ind w:left="67"/>
              <w:rPr>
                <w:sz w:val="21"/>
              </w:rPr>
            </w:pPr>
            <w:r>
              <w:rPr>
                <w:w w:val="105"/>
                <w:sz w:val="21"/>
              </w:rPr>
              <w:t>&lt;</w:t>
            </w:r>
            <w:r>
              <w:rPr>
                <w:spacing w:val="3"/>
                <w:w w:val="105"/>
                <w:sz w:val="21"/>
              </w:rPr>
              <w:t> </w:t>
            </w:r>
            <w:r>
              <w:rPr>
                <w:spacing w:val="-5"/>
                <w:w w:val="105"/>
                <w:sz w:val="21"/>
              </w:rPr>
              <w:t>130</w:t>
            </w:r>
          </w:p>
        </w:tc>
        <w:tc>
          <w:tcPr>
            <w:tcW w:w="2114" w:type="dxa"/>
            <w:shd w:val="clear" w:color="auto" w:fill="EDECF3"/>
          </w:tcPr>
          <w:p>
            <w:pPr>
              <w:pStyle w:val="TableParagraph"/>
              <w:rPr>
                <w:sz w:val="21"/>
              </w:rPr>
            </w:pPr>
            <w:r>
              <w:rPr>
                <w:w w:val="105"/>
                <w:sz w:val="21"/>
              </w:rPr>
              <w:t>&lt;</w:t>
            </w:r>
            <w:r>
              <w:rPr>
                <w:spacing w:val="3"/>
                <w:w w:val="105"/>
                <w:sz w:val="21"/>
              </w:rPr>
              <w:t> </w:t>
            </w:r>
            <w:r>
              <w:rPr>
                <w:spacing w:val="-5"/>
                <w:w w:val="105"/>
                <w:sz w:val="21"/>
              </w:rPr>
              <w:t>85</w:t>
            </w:r>
          </w:p>
        </w:tc>
        <w:tc>
          <w:tcPr>
            <w:tcW w:w="6366" w:type="dxa"/>
            <w:tcBorders>
              <w:right w:val="nil"/>
            </w:tcBorders>
            <w:shd w:val="clear" w:color="auto" w:fill="EDECF3"/>
          </w:tcPr>
          <w:p>
            <w:pPr>
              <w:pStyle w:val="TableParagraph"/>
              <w:ind w:left="66"/>
              <w:rPr>
                <w:sz w:val="21"/>
              </w:rPr>
            </w:pPr>
            <w:r>
              <w:rPr>
                <w:w w:val="105"/>
                <w:sz w:val="21"/>
              </w:rPr>
              <w:t>Reavaliar</w:t>
            </w:r>
            <w:r>
              <w:rPr>
                <w:spacing w:val="15"/>
                <w:w w:val="105"/>
                <w:sz w:val="21"/>
              </w:rPr>
              <w:t> </w:t>
            </w:r>
            <w:r>
              <w:rPr>
                <w:w w:val="105"/>
                <w:sz w:val="21"/>
              </w:rPr>
              <w:t>em</w:t>
            </w:r>
            <w:r>
              <w:rPr>
                <w:spacing w:val="2"/>
                <w:w w:val="105"/>
                <w:sz w:val="21"/>
              </w:rPr>
              <w:t> </w:t>
            </w:r>
            <w:r>
              <w:rPr>
                <w:w w:val="105"/>
                <w:sz w:val="21"/>
              </w:rPr>
              <w:t>1</w:t>
            </w:r>
            <w:r>
              <w:rPr>
                <w:spacing w:val="16"/>
                <w:w w:val="105"/>
                <w:sz w:val="21"/>
              </w:rPr>
              <w:t> </w:t>
            </w:r>
            <w:r>
              <w:rPr>
                <w:spacing w:val="-5"/>
                <w:w w:val="105"/>
                <w:sz w:val="21"/>
              </w:rPr>
              <w:t>ano</w:t>
            </w:r>
          </w:p>
        </w:tc>
      </w:tr>
      <w:tr>
        <w:trPr>
          <w:trHeight w:val="428" w:hRule="atLeast"/>
        </w:trPr>
        <w:tc>
          <w:tcPr>
            <w:tcW w:w="2138" w:type="dxa"/>
            <w:tcBorders>
              <w:left w:val="nil"/>
            </w:tcBorders>
            <w:shd w:val="clear" w:color="auto" w:fill="EDECF3"/>
          </w:tcPr>
          <w:p>
            <w:pPr>
              <w:pStyle w:val="TableParagraph"/>
              <w:ind w:left="67"/>
              <w:rPr>
                <w:sz w:val="21"/>
              </w:rPr>
            </w:pPr>
            <w:r>
              <w:rPr>
                <w:w w:val="105"/>
                <w:sz w:val="21"/>
              </w:rPr>
              <w:t>130</w:t>
            </w:r>
            <w:r>
              <w:rPr>
                <w:spacing w:val="14"/>
                <w:w w:val="105"/>
                <w:sz w:val="21"/>
              </w:rPr>
              <w:t> </w:t>
            </w:r>
            <w:r>
              <w:rPr>
                <w:w w:val="105"/>
                <w:sz w:val="21"/>
              </w:rPr>
              <w:t>a</w:t>
            </w:r>
            <w:r>
              <w:rPr>
                <w:spacing w:val="15"/>
                <w:w w:val="105"/>
                <w:sz w:val="21"/>
              </w:rPr>
              <w:t> </w:t>
            </w:r>
            <w:r>
              <w:rPr>
                <w:spacing w:val="-5"/>
                <w:w w:val="105"/>
                <w:sz w:val="21"/>
              </w:rPr>
              <w:t>139</w:t>
            </w:r>
          </w:p>
        </w:tc>
        <w:tc>
          <w:tcPr>
            <w:tcW w:w="2114" w:type="dxa"/>
            <w:shd w:val="clear" w:color="auto" w:fill="EDECF3"/>
          </w:tcPr>
          <w:p>
            <w:pPr>
              <w:pStyle w:val="TableParagraph"/>
              <w:rPr>
                <w:sz w:val="21"/>
              </w:rPr>
            </w:pPr>
            <w:r>
              <w:rPr>
                <w:w w:val="105"/>
                <w:sz w:val="21"/>
              </w:rPr>
              <w:t>85</w:t>
            </w:r>
            <w:r>
              <w:rPr>
                <w:spacing w:val="12"/>
                <w:w w:val="105"/>
                <w:sz w:val="21"/>
              </w:rPr>
              <w:t> </w:t>
            </w:r>
            <w:r>
              <w:rPr>
                <w:w w:val="105"/>
                <w:sz w:val="21"/>
              </w:rPr>
              <w:t>a</w:t>
            </w:r>
            <w:r>
              <w:rPr>
                <w:spacing w:val="12"/>
                <w:w w:val="105"/>
                <w:sz w:val="21"/>
              </w:rPr>
              <w:t> </w:t>
            </w:r>
            <w:r>
              <w:rPr>
                <w:spacing w:val="-5"/>
                <w:w w:val="105"/>
                <w:sz w:val="21"/>
              </w:rPr>
              <w:t>89</w:t>
            </w:r>
          </w:p>
        </w:tc>
        <w:tc>
          <w:tcPr>
            <w:tcW w:w="6366" w:type="dxa"/>
            <w:tcBorders>
              <w:right w:val="nil"/>
            </w:tcBorders>
            <w:shd w:val="clear" w:color="auto" w:fill="EDECF3"/>
          </w:tcPr>
          <w:p>
            <w:pPr>
              <w:pStyle w:val="TableParagraph"/>
              <w:ind w:left="66"/>
              <w:rPr>
                <w:sz w:val="21"/>
              </w:rPr>
            </w:pPr>
            <w:r>
              <w:rPr>
                <w:w w:val="105"/>
                <w:sz w:val="21"/>
              </w:rPr>
              <w:t>Reavaliar</w:t>
            </w:r>
            <w:r>
              <w:rPr>
                <w:spacing w:val="15"/>
                <w:w w:val="105"/>
                <w:sz w:val="21"/>
              </w:rPr>
              <w:t> </w:t>
            </w:r>
            <w:r>
              <w:rPr>
                <w:w w:val="105"/>
                <w:sz w:val="21"/>
              </w:rPr>
              <w:t>em</w:t>
            </w:r>
            <w:r>
              <w:rPr>
                <w:spacing w:val="2"/>
                <w:w w:val="105"/>
                <w:sz w:val="21"/>
              </w:rPr>
              <w:t> </w:t>
            </w:r>
            <w:r>
              <w:rPr>
                <w:w w:val="105"/>
                <w:sz w:val="21"/>
              </w:rPr>
              <w:t>6</w:t>
            </w:r>
            <w:r>
              <w:rPr>
                <w:spacing w:val="16"/>
                <w:w w:val="105"/>
                <w:sz w:val="21"/>
              </w:rPr>
              <w:t> </w:t>
            </w:r>
            <w:r>
              <w:rPr>
                <w:spacing w:val="-2"/>
                <w:w w:val="105"/>
                <w:sz w:val="21"/>
              </w:rPr>
              <w:t>meses*</w:t>
            </w:r>
          </w:p>
        </w:tc>
      </w:tr>
      <w:tr>
        <w:trPr>
          <w:trHeight w:val="428" w:hRule="atLeast"/>
        </w:trPr>
        <w:tc>
          <w:tcPr>
            <w:tcW w:w="2138" w:type="dxa"/>
            <w:tcBorders>
              <w:left w:val="nil"/>
            </w:tcBorders>
            <w:shd w:val="clear" w:color="auto" w:fill="EDECF3"/>
          </w:tcPr>
          <w:p>
            <w:pPr>
              <w:pStyle w:val="TableParagraph"/>
              <w:ind w:left="67"/>
              <w:rPr>
                <w:sz w:val="21"/>
              </w:rPr>
            </w:pPr>
            <w:r>
              <w:rPr>
                <w:w w:val="105"/>
                <w:sz w:val="21"/>
              </w:rPr>
              <w:t>140</w:t>
            </w:r>
            <w:r>
              <w:rPr>
                <w:spacing w:val="14"/>
                <w:w w:val="105"/>
                <w:sz w:val="21"/>
              </w:rPr>
              <w:t> </w:t>
            </w:r>
            <w:r>
              <w:rPr>
                <w:w w:val="105"/>
                <w:sz w:val="21"/>
              </w:rPr>
              <w:t>a</w:t>
            </w:r>
            <w:r>
              <w:rPr>
                <w:spacing w:val="15"/>
                <w:w w:val="105"/>
                <w:sz w:val="21"/>
              </w:rPr>
              <w:t> </w:t>
            </w:r>
            <w:r>
              <w:rPr>
                <w:spacing w:val="-5"/>
                <w:w w:val="105"/>
                <w:sz w:val="21"/>
              </w:rPr>
              <w:t>159</w:t>
            </w:r>
          </w:p>
        </w:tc>
        <w:tc>
          <w:tcPr>
            <w:tcW w:w="2114" w:type="dxa"/>
            <w:shd w:val="clear" w:color="auto" w:fill="EDECF3"/>
          </w:tcPr>
          <w:p>
            <w:pPr>
              <w:pStyle w:val="TableParagraph"/>
              <w:rPr>
                <w:sz w:val="21"/>
              </w:rPr>
            </w:pPr>
            <w:r>
              <w:rPr>
                <w:w w:val="105"/>
                <w:sz w:val="21"/>
              </w:rPr>
              <w:t>90</w:t>
            </w:r>
            <w:r>
              <w:rPr>
                <w:spacing w:val="12"/>
                <w:w w:val="105"/>
                <w:sz w:val="21"/>
              </w:rPr>
              <w:t> </w:t>
            </w:r>
            <w:r>
              <w:rPr>
                <w:w w:val="105"/>
                <w:sz w:val="21"/>
              </w:rPr>
              <w:t>a</w:t>
            </w:r>
            <w:r>
              <w:rPr>
                <w:spacing w:val="12"/>
                <w:w w:val="105"/>
                <w:sz w:val="21"/>
              </w:rPr>
              <w:t> </w:t>
            </w:r>
            <w:r>
              <w:rPr>
                <w:spacing w:val="-5"/>
                <w:w w:val="105"/>
                <w:sz w:val="21"/>
              </w:rPr>
              <w:t>99</w:t>
            </w:r>
          </w:p>
        </w:tc>
        <w:tc>
          <w:tcPr>
            <w:tcW w:w="6366" w:type="dxa"/>
            <w:tcBorders>
              <w:right w:val="nil"/>
            </w:tcBorders>
            <w:shd w:val="clear" w:color="auto" w:fill="EDECF3"/>
          </w:tcPr>
          <w:p>
            <w:pPr>
              <w:pStyle w:val="TableParagraph"/>
              <w:ind w:left="66"/>
              <w:rPr>
                <w:sz w:val="21"/>
              </w:rPr>
            </w:pPr>
            <w:r>
              <w:rPr>
                <w:w w:val="105"/>
                <w:sz w:val="21"/>
              </w:rPr>
              <w:t>Confirmar</w:t>
            </w:r>
            <w:r>
              <w:rPr>
                <w:spacing w:val="14"/>
                <w:w w:val="105"/>
                <w:sz w:val="21"/>
              </w:rPr>
              <w:t> </w:t>
            </w:r>
            <w:r>
              <w:rPr>
                <w:w w:val="105"/>
                <w:sz w:val="21"/>
              </w:rPr>
              <w:t>em 6</w:t>
            </w:r>
            <w:r>
              <w:rPr>
                <w:spacing w:val="15"/>
                <w:w w:val="105"/>
                <w:sz w:val="21"/>
              </w:rPr>
              <w:t> </w:t>
            </w:r>
            <w:r>
              <w:rPr>
                <w:spacing w:val="-2"/>
                <w:w w:val="105"/>
                <w:sz w:val="21"/>
              </w:rPr>
              <w:t>meses*</w:t>
            </w:r>
          </w:p>
        </w:tc>
      </w:tr>
      <w:tr>
        <w:trPr>
          <w:trHeight w:val="428" w:hRule="atLeast"/>
        </w:trPr>
        <w:tc>
          <w:tcPr>
            <w:tcW w:w="2138" w:type="dxa"/>
            <w:tcBorders>
              <w:left w:val="nil"/>
            </w:tcBorders>
            <w:shd w:val="clear" w:color="auto" w:fill="EDECF3"/>
          </w:tcPr>
          <w:p>
            <w:pPr>
              <w:pStyle w:val="TableParagraph"/>
              <w:ind w:left="67"/>
              <w:rPr>
                <w:sz w:val="21"/>
              </w:rPr>
            </w:pPr>
            <w:r>
              <w:rPr>
                <w:w w:val="105"/>
                <w:sz w:val="21"/>
              </w:rPr>
              <w:t>160</w:t>
            </w:r>
            <w:r>
              <w:rPr>
                <w:spacing w:val="14"/>
                <w:w w:val="105"/>
                <w:sz w:val="21"/>
              </w:rPr>
              <w:t> </w:t>
            </w:r>
            <w:r>
              <w:rPr>
                <w:w w:val="105"/>
                <w:sz w:val="21"/>
              </w:rPr>
              <w:t>a</w:t>
            </w:r>
            <w:r>
              <w:rPr>
                <w:spacing w:val="15"/>
                <w:w w:val="105"/>
                <w:sz w:val="21"/>
              </w:rPr>
              <w:t> </w:t>
            </w:r>
            <w:r>
              <w:rPr>
                <w:spacing w:val="-5"/>
                <w:w w:val="105"/>
                <w:sz w:val="21"/>
              </w:rPr>
              <w:t>179</w:t>
            </w:r>
          </w:p>
        </w:tc>
        <w:tc>
          <w:tcPr>
            <w:tcW w:w="2114" w:type="dxa"/>
            <w:shd w:val="clear" w:color="auto" w:fill="EDECF3"/>
          </w:tcPr>
          <w:p>
            <w:pPr>
              <w:pStyle w:val="TableParagraph"/>
              <w:rPr>
                <w:sz w:val="21"/>
              </w:rPr>
            </w:pPr>
            <w:r>
              <w:rPr>
                <w:w w:val="105"/>
                <w:sz w:val="21"/>
              </w:rPr>
              <w:t>100</w:t>
            </w:r>
            <w:r>
              <w:rPr>
                <w:spacing w:val="14"/>
                <w:w w:val="105"/>
                <w:sz w:val="21"/>
              </w:rPr>
              <w:t> </w:t>
            </w:r>
            <w:r>
              <w:rPr>
                <w:w w:val="105"/>
                <w:sz w:val="21"/>
              </w:rPr>
              <w:t>a</w:t>
            </w:r>
            <w:r>
              <w:rPr>
                <w:spacing w:val="15"/>
                <w:w w:val="105"/>
                <w:sz w:val="21"/>
              </w:rPr>
              <w:t> </w:t>
            </w:r>
            <w:r>
              <w:rPr>
                <w:spacing w:val="-5"/>
                <w:w w:val="105"/>
                <w:sz w:val="21"/>
              </w:rPr>
              <w:t>109</w:t>
            </w:r>
          </w:p>
        </w:tc>
        <w:tc>
          <w:tcPr>
            <w:tcW w:w="6366" w:type="dxa"/>
            <w:tcBorders>
              <w:right w:val="nil"/>
            </w:tcBorders>
            <w:shd w:val="clear" w:color="auto" w:fill="EDECF3"/>
          </w:tcPr>
          <w:p>
            <w:pPr>
              <w:pStyle w:val="TableParagraph"/>
              <w:ind w:left="66"/>
              <w:rPr>
                <w:sz w:val="21"/>
              </w:rPr>
            </w:pPr>
            <w:r>
              <w:rPr>
                <w:w w:val="105"/>
                <w:sz w:val="21"/>
              </w:rPr>
              <w:t>Confirmar</w:t>
            </w:r>
            <w:r>
              <w:rPr>
                <w:spacing w:val="14"/>
                <w:w w:val="105"/>
                <w:sz w:val="21"/>
              </w:rPr>
              <w:t> </w:t>
            </w:r>
            <w:r>
              <w:rPr>
                <w:w w:val="105"/>
                <w:sz w:val="21"/>
              </w:rPr>
              <w:t>em 1</w:t>
            </w:r>
            <w:r>
              <w:rPr>
                <w:spacing w:val="15"/>
                <w:w w:val="105"/>
                <w:sz w:val="21"/>
              </w:rPr>
              <w:t> </w:t>
            </w:r>
            <w:r>
              <w:rPr>
                <w:spacing w:val="-4"/>
                <w:w w:val="105"/>
                <w:sz w:val="21"/>
              </w:rPr>
              <w:t>mês*</w:t>
            </w:r>
          </w:p>
        </w:tc>
      </w:tr>
      <w:tr>
        <w:trPr>
          <w:trHeight w:val="430" w:hRule="atLeast"/>
        </w:trPr>
        <w:tc>
          <w:tcPr>
            <w:tcW w:w="2138" w:type="dxa"/>
            <w:tcBorders>
              <w:left w:val="nil"/>
              <w:bottom w:val="nil"/>
            </w:tcBorders>
            <w:shd w:val="clear" w:color="auto" w:fill="EDECF3"/>
          </w:tcPr>
          <w:p>
            <w:pPr>
              <w:pStyle w:val="TableParagraph"/>
              <w:ind w:left="67"/>
              <w:rPr>
                <w:sz w:val="21"/>
              </w:rPr>
            </w:pPr>
            <w:r>
              <w:rPr>
                <w:sz w:val="21"/>
              </w:rPr>
              <w:t>≥</w:t>
            </w:r>
            <w:r>
              <w:rPr>
                <w:spacing w:val="-4"/>
                <w:sz w:val="21"/>
              </w:rPr>
              <w:t> </w:t>
            </w:r>
            <w:r>
              <w:rPr>
                <w:spacing w:val="-5"/>
                <w:sz w:val="21"/>
              </w:rPr>
              <w:t>180</w:t>
            </w:r>
          </w:p>
        </w:tc>
        <w:tc>
          <w:tcPr>
            <w:tcW w:w="2114" w:type="dxa"/>
            <w:tcBorders>
              <w:bottom w:val="nil"/>
            </w:tcBorders>
            <w:shd w:val="clear" w:color="auto" w:fill="EDECF3"/>
          </w:tcPr>
          <w:p>
            <w:pPr>
              <w:pStyle w:val="TableParagraph"/>
              <w:rPr>
                <w:sz w:val="21"/>
              </w:rPr>
            </w:pPr>
            <w:r>
              <w:rPr>
                <w:sz w:val="21"/>
              </w:rPr>
              <w:t>≥</w:t>
            </w:r>
            <w:r>
              <w:rPr>
                <w:spacing w:val="-4"/>
                <w:sz w:val="21"/>
              </w:rPr>
              <w:t> </w:t>
            </w:r>
            <w:r>
              <w:rPr>
                <w:spacing w:val="-5"/>
                <w:sz w:val="21"/>
              </w:rPr>
              <w:t>110</w:t>
            </w:r>
          </w:p>
        </w:tc>
        <w:tc>
          <w:tcPr>
            <w:tcW w:w="6366" w:type="dxa"/>
            <w:tcBorders>
              <w:bottom w:val="nil"/>
              <w:right w:val="nil"/>
            </w:tcBorders>
            <w:shd w:val="clear" w:color="auto" w:fill="EDECF3"/>
          </w:tcPr>
          <w:p>
            <w:pPr>
              <w:pStyle w:val="TableParagraph"/>
              <w:ind w:left="66"/>
              <w:rPr>
                <w:sz w:val="21"/>
              </w:rPr>
            </w:pPr>
            <w:r>
              <w:rPr>
                <w:w w:val="105"/>
                <w:sz w:val="21"/>
              </w:rPr>
              <w:t>Intervenção</w:t>
            </w:r>
            <w:r>
              <w:rPr>
                <w:spacing w:val="20"/>
                <w:w w:val="105"/>
                <w:sz w:val="21"/>
              </w:rPr>
              <w:t> </w:t>
            </w:r>
            <w:r>
              <w:rPr>
                <w:w w:val="105"/>
                <w:sz w:val="21"/>
              </w:rPr>
              <w:t>imediata</w:t>
            </w:r>
            <w:r>
              <w:rPr>
                <w:spacing w:val="21"/>
                <w:w w:val="105"/>
                <w:sz w:val="21"/>
              </w:rPr>
              <w:t> </w:t>
            </w:r>
            <w:r>
              <w:rPr>
                <w:w w:val="105"/>
                <w:sz w:val="21"/>
              </w:rPr>
              <w:t>ou</w:t>
            </w:r>
            <w:r>
              <w:rPr>
                <w:spacing w:val="21"/>
                <w:w w:val="105"/>
                <w:sz w:val="21"/>
              </w:rPr>
              <w:t> </w:t>
            </w:r>
            <w:r>
              <w:rPr>
                <w:w w:val="105"/>
                <w:sz w:val="21"/>
              </w:rPr>
              <w:t>reavaliar</w:t>
            </w:r>
            <w:r>
              <w:rPr>
                <w:spacing w:val="20"/>
                <w:w w:val="105"/>
                <w:sz w:val="21"/>
              </w:rPr>
              <w:t> </w:t>
            </w:r>
            <w:r>
              <w:rPr>
                <w:w w:val="105"/>
                <w:sz w:val="21"/>
              </w:rPr>
              <w:t>em</w:t>
            </w:r>
            <w:r>
              <w:rPr>
                <w:spacing w:val="6"/>
                <w:w w:val="105"/>
                <w:sz w:val="21"/>
              </w:rPr>
              <w:t> </w:t>
            </w:r>
            <w:r>
              <w:rPr>
                <w:w w:val="105"/>
                <w:sz w:val="21"/>
              </w:rPr>
              <w:t>1</w:t>
            </w:r>
            <w:r>
              <w:rPr>
                <w:spacing w:val="21"/>
                <w:w w:val="105"/>
                <w:sz w:val="21"/>
              </w:rPr>
              <w:t> </w:t>
            </w:r>
            <w:r>
              <w:rPr>
                <w:spacing w:val="-2"/>
                <w:w w:val="105"/>
                <w:sz w:val="21"/>
              </w:rPr>
              <w:t>semana*</w:t>
            </w:r>
          </w:p>
        </w:tc>
      </w:tr>
    </w:tbl>
    <w:p>
      <w:pPr>
        <w:pStyle w:val="TableParagraph"/>
        <w:spacing w:after="0"/>
        <w:rPr>
          <w:sz w:val="21"/>
        </w:rPr>
        <w:sectPr>
          <w:type w:val="continuous"/>
          <w:pgSz w:w="11900" w:h="16840"/>
          <w:pgMar w:top="260" w:bottom="0" w:left="566" w:right="141"/>
        </w:sectPr>
      </w:pPr>
    </w:p>
    <w:p>
      <w:pPr>
        <w:spacing w:line="285" w:lineRule="auto" w:before="73"/>
        <w:ind w:left="68" w:right="588" w:firstLine="0"/>
        <w:jc w:val="left"/>
        <w:rPr>
          <w:rFonts w:ascii="Microsoft Sans Serif" w:hAnsi="Microsoft Sans Serif"/>
          <w:sz w:val="19"/>
        </w:rPr>
      </w:pPr>
      <w:r>
        <w:rPr>
          <w:rFonts w:ascii="Microsoft Sans Serif" w:hAnsi="Microsoft Sans Serif"/>
          <w:sz w:val="19"/>
        </w:rPr>
        <w:t>*Considerar</w:t>
      </w:r>
      <w:r>
        <w:rPr>
          <w:rFonts w:ascii="Microsoft Sans Serif" w:hAnsi="Microsoft Sans Serif"/>
          <w:spacing w:val="16"/>
          <w:sz w:val="19"/>
        </w:rPr>
        <w:t> </w:t>
      </w:r>
      <w:r>
        <w:rPr>
          <w:rFonts w:ascii="Microsoft Sans Serif" w:hAnsi="Microsoft Sans Serif"/>
          <w:sz w:val="19"/>
        </w:rPr>
        <w:t>intervenção</w:t>
      </w:r>
      <w:r>
        <w:rPr>
          <w:rFonts w:ascii="Microsoft Sans Serif" w:hAnsi="Microsoft Sans Serif"/>
          <w:spacing w:val="23"/>
          <w:sz w:val="19"/>
        </w:rPr>
        <w:t> </w:t>
      </w:r>
      <w:r>
        <w:rPr>
          <w:rFonts w:ascii="Microsoft Sans Serif" w:hAnsi="Microsoft Sans Serif"/>
          <w:sz w:val="19"/>
        </w:rPr>
        <w:t>de</w:t>
      </w:r>
      <w:r>
        <w:rPr>
          <w:rFonts w:ascii="Microsoft Sans Serif" w:hAnsi="Microsoft Sans Serif"/>
          <w:spacing w:val="23"/>
          <w:sz w:val="19"/>
        </w:rPr>
        <w:t> </w:t>
      </w:r>
      <w:r>
        <w:rPr>
          <w:rFonts w:ascii="Microsoft Sans Serif" w:hAnsi="Microsoft Sans Serif"/>
          <w:sz w:val="19"/>
        </w:rPr>
        <w:t>acordo</w:t>
      </w:r>
      <w:r>
        <w:rPr>
          <w:rFonts w:ascii="Microsoft Sans Serif" w:hAnsi="Microsoft Sans Serif"/>
          <w:spacing w:val="23"/>
          <w:sz w:val="19"/>
        </w:rPr>
        <w:t> </w:t>
      </w:r>
      <w:r>
        <w:rPr>
          <w:rFonts w:ascii="Microsoft Sans Serif" w:hAnsi="Microsoft Sans Serif"/>
          <w:sz w:val="19"/>
        </w:rPr>
        <w:t>com</w:t>
      </w:r>
      <w:r>
        <w:rPr>
          <w:rFonts w:ascii="Microsoft Sans Serif" w:hAnsi="Microsoft Sans Serif"/>
          <w:spacing w:val="16"/>
          <w:sz w:val="19"/>
        </w:rPr>
        <w:t> </w:t>
      </w:r>
      <w:r>
        <w:rPr>
          <w:rFonts w:ascii="Microsoft Sans Serif" w:hAnsi="Microsoft Sans Serif"/>
          <w:sz w:val="19"/>
        </w:rPr>
        <w:t>a</w:t>
      </w:r>
      <w:r>
        <w:rPr>
          <w:rFonts w:ascii="Microsoft Sans Serif" w:hAnsi="Microsoft Sans Serif"/>
          <w:spacing w:val="23"/>
          <w:sz w:val="19"/>
        </w:rPr>
        <w:t> </w:t>
      </w:r>
      <w:r>
        <w:rPr>
          <w:rFonts w:ascii="Microsoft Sans Serif" w:hAnsi="Microsoft Sans Serif"/>
          <w:sz w:val="19"/>
        </w:rPr>
        <w:t>situação</w:t>
      </w:r>
      <w:r>
        <w:rPr>
          <w:rFonts w:ascii="Microsoft Sans Serif" w:hAnsi="Microsoft Sans Serif"/>
          <w:spacing w:val="23"/>
          <w:sz w:val="19"/>
        </w:rPr>
        <w:t> </w:t>
      </w:r>
      <w:r>
        <w:rPr>
          <w:rFonts w:ascii="Microsoft Sans Serif" w:hAnsi="Microsoft Sans Serif"/>
          <w:sz w:val="19"/>
        </w:rPr>
        <w:t>clínica</w:t>
      </w:r>
      <w:r>
        <w:rPr>
          <w:rFonts w:ascii="Microsoft Sans Serif" w:hAnsi="Microsoft Sans Serif"/>
          <w:spacing w:val="23"/>
          <w:sz w:val="19"/>
        </w:rPr>
        <w:t> </w:t>
      </w:r>
      <w:r>
        <w:rPr>
          <w:rFonts w:ascii="Microsoft Sans Serif" w:hAnsi="Microsoft Sans Serif"/>
          <w:sz w:val="19"/>
        </w:rPr>
        <w:t>do</w:t>
      </w:r>
      <w:r>
        <w:rPr>
          <w:rFonts w:ascii="Microsoft Sans Serif" w:hAnsi="Microsoft Sans Serif"/>
          <w:spacing w:val="23"/>
          <w:sz w:val="19"/>
        </w:rPr>
        <w:t> </w:t>
      </w:r>
      <w:r>
        <w:rPr>
          <w:rFonts w:ascii="Microsoft Sans Serif" w:hAnsi="Microsoft Sans Serif"/>
          <w:sz w:val="19"/>
        </w:rPr>
        <w:t>paciente</w:t>
      </w:r>
      <w:r>
        <w:rPr>
          <w:rFonts w:ascii="Microsoft Sans Serif" w:hAnsi="Microsoft Sans Serif"/>
          <w:spacing w:val="23"/>
          <w:sz w:val="19"/>
        </w:rPr>
        <w:t> </w:t>
      </w:r>
      <w:r>
        <w:rPr>
          <w:rFonts w:ascii="Microsoft Sans Serif" w:hAnsi="Microsoft Sans Serif"/>
          <w:sz w:val="19"/>
        </w:rPr>
        <w:t>(fatores</w:t>
      </w:r>
      <w:r>
        <w:rPr>
          <w:rFonts w:ascii="Microsoft Sans Serif" w:hAnsi="Microsoft Sans Serif"/>
          <w:spacing w:val="16"/>
          <w:sz w:val="19"/>
        </w:rPr>
        <w:t> </w:t>
      </w:r>
      <w:r>
        <w:rPr>
          <w:rFonts w:ascii="Microsoft Sans Serif" w:hAnsi="Microsoft Sans Serif"/>
          <w:sz w:val="19"/>
        </w:rPr>
        <w:t>de</w:t>
      </w:r>
      <w:r>
        <w:rPr>
          <w:rFonts w:ascii="Microsoft Sans Serif" w:hAnsi="Microsoft Sans Serif"/>
          <w:spacing w:val="23"/>
          <w:sz w:val="19"/>
        </w:rPr>
        <w:t> </w:t>
      </w:r>
      <w:r>
        <w:rPr>
          <w:rFonts w:ascii="Microsoft Sans Serif" w:hAnsi="Microsoft Sans Serif"/>
          <w:sz w:val="19"/>
        </w:rPr>
        <w:t>risco</w:t>
      </w:r>
      <w:r>
        <w:rPr>
          <w:rFonts w:ascii="Microsoft Sans Serif" w:hAnsi="Microsoft Sans Serif"/>
          <w:spacing w:val="23"/>
          <w:sz w:val="19"/>
        </w:rPr>
        <w:t> </w:t>
      </w:r>
      <w:r>
        <w:rPr>
          <w:rFonts w:ascii="Microsoft Sans Serif" w:hAnsi="Microsoft Sans Serif"/>
          <w:sz w:val="19"/>
        </w:rPr>
        <w:t>maiores, comorbidades</w:t>
      </w:r>
      <w:r>
        <w:rPr>
          <w:rFonts w:ascii="Microsoft Sans Serif" w:hAnsi="Microsoft Sans Serif"/>
          <w:spacing w:val="16"/>
          <w:sz w:val="19"/>
        </w:rPr>
        <w:t> </w:t>
      </w:r>
      <w:r>
        <w:rPr>
          <w:rFonts w:ascii="Microsoft Sans Serif" w:hAnsi="Microsoft Sans Serif"/>
          <w:sz w:val="19"/>
        </w:rPr>
        <w:t>e</w:t>
      </w:r>
      <w:r>
        <w:rPr>
          <w:rFonts w:ascii="Microsoft Sans Serif" w:hAnsi="Microsoft Sans Serif"/>
          <w:spacing w:val="23"/>
          <w:sz w:val="19"/>
        </w:rPr>
        <w:t> </w:t>
      </w:r>
      <w:r>
        <w:rPr>
          <w:rFonts w:ascii="Microsoft Sans Serif" w:hAnsi="Microsoft Sans Serif"/>
          <w:sz w:val="19"/>
        </w:rPr>
        <w:t>danos de órgãos-alvo).</w:t>
      </w:r>
    </w:p>
    <w:p>
      <w:pPr>
        <w:pStyle w:val="BodyText"/>
        <w:spacing w:before="176"/>
        <w:ind w:left="0" w:firstLine="0"/>
        <w:jc w:val="left"/>
        <w:rPr>
          <w:rFonts w:ascii="Microsoft Sans Serif"/>
          <w:sz w:val="19"/>
        </w:rPr>
      </w:pPr>
    </w:p>
    <w:p>
      <w:pPr>
        <w:pStyle w:val="Heading5"/>
      </w:pPr>
      <w:r>
        <w:rPr>
          <w:color w:val="A26108"/>
        </w:rPr>
        <w:t>Acidente</w:t>
      </w:r>
      <w:r>
        <w:rPr>
          <w:color w:val="A26108"/>
          <w:spacing w:val="26"/>
        </w:rPr>
        <w:t> </w:t>
      </w:r>
      <w:r>
        <w:rPr>
          <w:color w:val="A26108"/>
        </w:rPr>
        <w:t>vascular</w:t>
      </w:r>
      <w:r>
        <w:rPr>
          <w:color w:val="A26108"/>
          <w:spacing w:val="27"/>
        </w:rPr>
        <w:t> </w:t>
      </w:r>
      <w:r>
        <w:rPr>
          <w:color w:val="A26108"/>
          <w:spacing w:val="-2"/>
        </w:rPr>
        <w:t>cerebral</w:t>
      </w:r>
    </w:p>
    <w:p>
      <w:pPr>
        <w:pStyle w:val="BodyText"/>
        <w:spacing w:line="278" w:lineRule="auto" w:before="138"/>
        <w:ind w:right="491"/>
      </w:pPr>
      <w:r>
        <w:rPr/>
        <w:t>A HAS é o fator de risco mais importante para a ocorrência da doença cerebrovascular, contribuindo diretamente</w:t>
      </w:r>
      <w:r>
        <w:rPr>
          <w:spacing w:val="-2"/>
        </w:rPr>
        <w:t> </w:t>
      </w:r>
      <w:r>
        <w:rPr/>
        <w:t>para</w:t>
      </w:r>
      <w:r>
        <w:rPr>
          <w:spacing w:val="-2"/>
        </w:rPr>
        <w:t> </w:t>
      </w:r>
      <w:r>
        <w:rPr/>
        <w:t>o acidente</w:t>
      </w:r>
      <w:r>
        <w:rPr>
          <w:spacing w:val="-2"/>
        </w:rPr>
        <w:t> </w:t>
      </w:r>
      <w:r>
        <w:rPr/>
        <w:t>vascular cerebral por pelo menos três vias: lesão focal das artérias intracerebrais (lipo-hialinólise), que provoca em última análise a oclusão arterial; necrose isquêmica com consequente surgimento de pequenas cavitações cerebrais (infartos lacunares); ruptura das pequenas artérias intracerebrais, causando hemorragias cerebrais. A</w:t>
      </w:r>
      <w:r>
        <w:rPr>
          <w:spacing w:val="-10"/>
        </w:rPr>
        <w:t> </w:t>
      </w:r>
      <w:r>
        <w:rPr/>
        <w:t>HAS</w:t>
      </w:r>
      <w:r>
        <w:rPr>
          <w:spacing w:val="-4"/>
        </w:rPr>
        <w:t> </w:t>
      </w:r>
      <w:r>
        <w:rPr/>
        <w:t>também</w:t>
      </w:r>
      <w:r>
        <w:rPr>
          <w:spacing w:val="-7"/>
        </w:rPr>
        <w:t> </w:t>
      </w:r>
      <w:r>
        <w:rPr/>
        <w:t>promove</w:t>
      </w:r>
      <w:r>
        <w:rPr>
          <w:spacing w:val="-10"/>
        </w:rPr>
        <w:t> </w:t>
      </w:r>
      <w:r>
        <w:rPr/>
        <w:t>hipertrofia</w:t>
      </w:r>
      <w:r>
        <w:rPr>
          <w:spacing w:val="-10"/>
        </w:rPr>
        <w:t> </w:t>
      </w:r>
      <w:r>
        <w:rPr/>
        <w:t>e</w:t>
      </w:r>
      <w:r>
        <w:rPr>
          <w:spacing w:val="-10"/>
        </w:rPr>
        <w:t> </w:t>
      </w:r>
      <w:r>
        <w:rPr/>
        <w:t>espessamento</w:t>
      </w:r>
      <w:r>
        <w:rPr>
          <w:spacing w:val="-7"/>
        </w:rPr>
        <w:t> </w:t>
      </w:r>
      <w:r>
        <w:rPr/>
        <w:t>da</w:t>
      </w:r>
      <w:r>
        <w:rPr>
          <w:spacing w:val="-10"/>
        </w:rPr>
        <w:t> </w:t>
      </w:r>
      <w:r>
        <w:rPr/>
        <w:t>camada</w:t>
      </w:r>
      <w:r>
        <w:rPr>
          <w:spacing w:val="-10"/>
        </w:rPr>
        <w:t> </w:t>
      </w:r>
      <w:r>
        <w:rPr/>
        <w:t>média</w:t>
      </w:r>
      <w:r>
        <w:rPr>
          <w:spacing w:val="-10"/>
        </w:rPr>
        <w:t> </w:t>
      </w:r>
      <w:r>
        <w:rPr/>
        <w:t>das pequenas artérias intracerebrais, o</w:t>
      </w:r>
      <w:r>
        <w:rPr>
          <w:spacing w:val="-7"/>
        </w:rPr>
        <w:t> </w:t>
      </w:r>
      <w:r>
        <w:rPr/>
        <w:t>que</w:t>
      </w:r>
      <w:r>
        <w:rPr>
          <w:spacing w:val="-9"/>
        </w:rPr>
        <w:t> </w:t>
      </w:r>
      <w:r>
        <w:rPr/>
        <w:t>favorece</w:t>
      </w:r>
      <w:r>
        <w:rPr>
          <w:spacing w:val="-9"/>
        </w:rPr>
        <w:t> </w:t>
      </w:r>
      <w:r>
        <w:rPr/>
        <w:t>uma</w:t>
      </w:r>
      <w:r>
        <w:rPr>
          <w:spacing w:val="-9"/>
        </w:rPr>
        <w:t> </w:t>
      </w:r>
      <w:r>
        <w:rPr/>
        <w:t>difusa</w:t>
      </w:r>
      <w:r>
        <w:rPr>
          <w:spacing w:val="-9"/>
        </w:rPr>
        <w:t> </w:t>
      </w:r>
      <w:r>
        <w:rPr/>
        <w:t>hipoperfusão</w:t>
      </w:r>
      <w:r>
        <w:rPr>
          <w:spacing w:val="-7"/>
        </w:rPr>
        <w:t> </w:t>
      </w:r>
      <w:r>
        <w:rPr/>
        <w:t>e</w:t>
      </w:r>
      <w:r>
        <w:rPr>
          <w:spacing w:val="-9"/>
        </w:rPr>
        <w:t> </w:t>
      </w:r>
      <w:r>
        <w:rPr/>
        <w:t>rarefação</w:t>
      </w:r>
      <w:r>
        <w:rPr>
          <w:spacing w:val="-7"/>
        </w:rPr>
        <w:t> </w:t>
      </w:r>
      <w:r>
        <w:rPr/>
        <w:t>isquêmica</w:t>
      </w:r>
      <w:r>
        <w:rPr>
          <w:spacing w:val="-9"/>
        </w:rPr>
        <w:t> </w:t>
      </w:r>
      <w:r>
        <w:rPr/>
        <w:t>da</w:t>
      </w:r>
      <w:r>
        <w:rPr>
          <w:spacing w:val="-9"/>
        </w:rPr>
        <w:t> </w:t>
      </w:r>
      <w:r>
        <w:rPr/>
        <w:t>substância</w:t>
      </w:r>
      <w:r>
        <w:rPr>
          <w:spacing w:val="-9"/>
        </w:rPr>
        <w:t> </w:t>
      </w:r>
      <w:r>
        <w:rPr/>
        <w:t>branca. Essas alterações ocorrem na maioria dos indivíduos hipertensos de longa data e sua progressão pode determinar o aparecimento de uma síndrome demencial chamada de doença de Binswanger.</w:t>
      </w:r>
      <w:r>
        <w:rPr>
          <w:vertAlign w:val="superscript"/>
        </w:rPr>
        <w:t>10</w:t>
      </w:r>
    </w:p>
    <w:p>
      <w:pPr>
        <w:pStyle w:val="BodyText"/>
        <w:spacing w:before="129"/>
        <w:ind w:left="0" w:firstLine="0"/>
        <w:jc w:val="left"/>
      </w:pPr>
    </w:p>
    <w:p>
      <w:pPr>
        <w:pStyle w:val="Heading5"/>
      </w:pPr>
      <w:r>
        <w:rPr>
          <w:color w:val="A26108"/>
        </w:rPr>
        <w:t>Encefalopatia</w:t>
      </w:r>
      <w:r>
        <w:rPr>
          <w:color w:val="A26108"/>
          <w:spacing w:val="41"/>
        </w:rPr>
        <w:t> </w:t>
      </w:r>
      <w:r>
        <w:rPr>
          <w:color w:val="A26108"/>
          <w:spacing w:val="-2"/>
        </w:rPr>
        <w:t>hipertensiva</w:t>
      </w:r>
    </w:p>
    <w:p>
      <w:pPr>
        <w:pStyle w:val="BodyText"/>
        <w:spacing w:line="276" w:lineRule="auto" w:before="122"/>
        <w:ind w:right="498"/>
      </w:pPr>
      <w:r>
        <w:rPr/>
        <w:t>É</w:t>
      </w:r>
      <w:r>
        <w:rPr>
          <w:spacing w:val="-7"/>
        </w:rPr>
        <w:t> </w:t>
      </w:r>
      <w:r>
        <w:rPr/>
        <w:t>uma</w:t>
      </w:r>
      <w:r>
        <w:rPr>
          <w:spacing w:val="-14"/>
        </w:rPr>
        <w:t> </w:t>
      </w:r>
      <w:r>
        <w:rPr/>
        <w:t>condição</w:t>
      </w:r>
      <w:r>
        <w:rPr>
          <w:spacing w:val="-11"/>
        </w:rPr>
        <w:t> </w:t>
      </w:r>
      <w:r>
        <w:rPr/>
        <w:t>própria</w:t>
      </w:r>
      <w:r>
        <w:rPr>
          <w:spacing w:val="-14"/>
        </w:rPr>
        <w:t> </w:t>
      </w:r>
      <w:r>
        <w:rPr/>
        <w:t>de</w:t>
      </w:r>
      <w:r>
        <w:rPr>
          <w:spacing w:val="-14"/>
        </w:rPr>
        <w:t> </w:t>
      </w:r>
      <w:r>
        <w:rPr/>
        <w:t>uma</w:t>
      </w:r>
      <w:r>
        <w:rPr>
          <w:spacing w:val="-14"/>
        </w:rPr>
        <w:t> </w:t>
      </w:r>
      <w:r>
        <w:rPr/>
        <w:t>HAS</w:t>
      </w:r>
      <w:r>
        <w:rPr>
          <w:spacing w:val="-9"/>
        </w:rPr>
        <w:t> </w:t>
      </w:r>
      <w:r>
        <w:rPr/>
        <w:t>grave,</w:t>
      </w:r>
      <w:r>
        <w:rPr>
          <w:spacing w:val="-4"/>
        </w:rPr>
        <w:t> </w:t>
      </w:r>
      <w:r>
        <w:rPr/>
        <w:t>caracterizada</w:t>
      </w:r>
      <w:r>
        <w:rPr>
          <w:spacing w:val="-14"/>
        </w:rPr>
        <w:t> </w:t>
      </w:r>
      <w:r>
        <w:rPr/>
        <w:t>por</w:t>
      </w:r>
      <w:r>
        <w:rPr>
          <w:spacing w:val="-7"/>
        </w:rPr>
        <w:t> </w:t>
      </w:r>
      <w:r>
        <w:rPr/>
        <w:t>uma</w:t>
      </w:r>
      <w:r>
        <w:rPr>
          <w:spacing w:val="-14"/>
        </w:rPr>
        <w:t> </w:t>
      </w:r>
      <w:r>
        <w:rPr/>
        <w:t>disfunção</w:t>
      </w:r>
      <w:r>
        <w:rPr>
          <w:spacing w:val="-11"/>
        </w:rPr>
        <w:t> </w:t>
      </w:r>
      <w:r>
        <w:rPr/>
        <w:t>cerebral</w:t>
      </w:r>
      <w:r>
        <w:rPr>
          <w:spacing w:val="-9"/>
        </w:rPr>
        <w:t> </w:t>
      </w:r>
      <w:r>
        <w:rPr/>
        <w:t>e</w:t>
      </w:r>
      <w:r>
        <w:rPr>
          <w:spacing w:val="-14"/>
        </w:rPr>
        <w:t> </w:t>
      </w:r>
      <w:r>
        <w:rPr/>
        <w:t>dano</w:t>
      </w:r>
      <w:r>
        <w:rPr>
          <w:spacing w:val="-11"/>
        </w:rPr>
        <w:t> </w:t>
      </w:r>
      <w:r>
        <w:rPr/>
        <w:t>neurológico</w:t>
      </w:r>
      <w:r>
        <w:rPr>
          <w:spacing w:val="-11"/>
        </w:rPr>
        <w:t> </w:t>
      </w:r>
      <w:r>
        <w:rPr/>
        <w:t>agudo. O diagnóstico diferencial pode causar dúvidas pela similaridade principalmente com o acidente vascular cerebral, porém a rápida melhora neurológica com a redução da pressão arterial sugere o diagnóstico de encefalopatia hipertensiva. Entretanto, em uma</w:t>
      </w:r>
      <w:r>
        <w:rPr>
          <w:spacing w:val="-3"/>
        </w:rPr>
        <w:t> </w:t>
      </w:r>
      <w:r>
        <w:rPr/>
        <w:t>pequena</w:t>
      </w:r>
      <w:r>
        <w:rPr>
          <w:spacing w:val="-3"/>
        </w:rPr>
        <w:t> </w:t>
      </w:r>
      <w:r>
        <w:rPr/>
        <w:t>parcela</w:t>
      </w:r>
      <w:r>
        <w:rPr>
          <w:spacing w:val="-3"/>
        </w:rPr>
        <w:t> </w:t>
      </w:r>
      <w:r>
        <w:rPr/>
        <w:t>dos casos, a</w:t>
      </w:r>
      <w:r>
        <w:rPr>
          <w:spacing w:val="-3"/>
        </w:rPr>
        <w:t> </w:t>
      </w:r>
      <w:r>
        <w:rPr/>
        <w:t>melhora</w:t>
      </w:r>
      <w:r>
        <w:rPr>
          <w:spacing w:val="-3"/>
        </w:rPr>
        <w:t> </w:t>
      </w:r>
      <w:r>
        <w:rPr/>
        <w:t>dos sintomas neurológicos pode</w:t>
      </w:r>
      <w:r>
        <w:rPr>
          <w:spacing w:val="-3"/>
        </w:rPr>
        <w:t> </w:t>
      </w:r>
      <w:r>
        <w:rPr/>
        <w:t>só ocorrer dias após o controle pressórico.</w:t>
      </w:r>
    </w:p>
    <w:p>
      <w:pPr>
        <w:pStyle w:val="BodyText"/>
        <w:spacing w:line="276" w:lineRule="auto"/>
        <w:ind w:right="494"/>
      </w:pPr>
      <w:r>
        <w:rPr/>
        <w:t>Do ponto de vista fisiopatológico, a encefalopatia hipertensiva ocorre por perda da autorregulação cerebral frente aos aumentos da pressão arterial, ocasionando vasodilatação das artérias e arteríolas, comprometimento da barreira hematencefálica e aumento da permeabilidade, especialmente nas vênulas pós-capilares. Outros mecanismos envolvidos englobam a</w:t>
      </w:r>
      <w:r>
        <w:rPr>
          <w:spacing w:val="-2"/>
        </w:rPr>
        <w:t> </w:t>
      </w:r>
      <w:r>
        <w:rPr/>
        <w:t>desregulação neurovascular e</w:t>
      </w:r>
      <w:r>
        <w:rPr>
          <w:spacing w:val="-2"/>
        </w:rPr>
        <w:t> </w:t>
      </w:r>
      <w:r>
        <w:rPr/>
        <w:t>o transporte</w:t>
      </w:r>
      <w:r>
        <w:rPr>
          <w:spacing w:val="-2"/>
        </w:rPr>
        <w:t> </w:t>
      </w:r>
      <w:r>
        <w:rPr/>
        <w:t>anormal de</w:t>
      </w:r>
      <w:r>
        <w:rPr>
          <w:spacing w:val="-2"/>
        </w:rPr>
        <w:t> </w:t>
      </w:r>
      <w:r>
        <w:rPr/>
        <w:t>íons, especialmente</w:t>
      </w:r>
      <w:r>
        <w:rPr>
          <w:spacing w:val="-2"/>
        </w:rPr>
        <w:t> </w:t>
      </w:r>
      <w:r>
        <w:rPr/>
        <w:t>dos canais de potássio cálcio-dependente. O aumento do fluxo cerebral durante um aumento agudo da pressão arterial associado</w:t>
      </w:r>
      <w:r>
        <w:rPr>
          <w:spacing w:val="-6"/>
        </w:rPr>
        <w:t> </w:t>
      </w:r>
      <w:r>
        <w:rPr/>
        <w:t>ao</w:t>
      </w:r>
      <w:r>
        <w:rPr>
          <w:spacing w:val="-6"/>
        </w:rPr>
        <w:t> </w:t>
      </w:r>
      <w:r>
        <w:rPr/>
        <w:t>rompimento</w:t>
      </w:r>
      <w:r>
        <w:rPr>
          <w:spacing w:val="-6"/>
        </w:rPr>
        <w:t> </w:t>
      </w:r>
      <w:r>
        <w:rPr/>
        <w:t>da</w:t>
      </w:r>
      <w:r>
        <w:rPr>
          <w:spacing w:val="-8"/>
        </w:rPr>
        <w:t> </w:t>
      </w:r>
      <w:r>
        <w:rPr/>
        <w:t>barreira</w:t>
      </w:r>
      <w:r>
        <w:rPr>
          <w:spacing w:val="-8"/>
        </w:rPr>
        <w:t> </w:t>
      </w:r>
      <w:r>
        <w:rPr/>
        <w:t>hematencefálica</w:t>
      </w:r>
      <w:r>
        <w:rPr>
          <w:spacing w:val="-8"/>
        </w:rPr>
        <w:t> </w:t>
      </w:r>
      <w:r>
        <w:rPr/>
        <w:t>promove</w:t>
      </w:r>
      <w:r>
        <w:rPr>
          <w:spacing w:val="-8"/>
        </w:rPr>
        <w:t> </w:t>
      </w:r>
      <w:r>
        <w:rPr/>
        <w:t>o</w:t>
      </w:r>
      <w:r>
        <w:rPr>
          <w:spacing w:val="-6"/>
        </w:rPr>
        <w:t> </w:t>
      </w:r>
      <w:r>
        <w:rPr/>
        <w:t>surgimento</w:t>
      </w:r>
      <w:r>
        <w:rPr>
          <w:spacing w:val="-6"/>
        </w:rPr>
        <w:t> </w:t>
      </w:r>
      <w:r>
        <w:rPr/>
        <w:t>de</w:t>
      </w:r>
      <w:r>
        <w:rPr>
          <w:spacing w:val="-8"/>
        </w:rPr>
        <w:t> </w:t>
      </w:r>
      <w:r>
        <w:rPr/>
        <w:t>edema</w:t>
      </w:r>
      <w:r>
        <w:rPr>
          <w:spacing w:val="-8"/>
        </w:rPr>
        <w:t> </w:t>
      </w:r>
      <w:r>
        <w:rPr/>
        <w:t>cerebral</w:t>
      </w:r>
      <w:r>
        <w:rPr>
          <w:spacing w:val="-3"/>
        </w:rPr>
        <w:t> </w:t>
      </w:r>
      <w:r>
        <w:rPr/>
        <w:t>focal. O</w:t>
      </w:r>
      <w:r>
        <w:rPr>
          <w:spacing w:val="-8"/>
        </w:rPr>
        <w:t> </w:t>
      </w:r>
      <w:r>
        <w:rPr/>
        <w:t>edema</w:t>
      </w:r>
      <w:r>
        <w:rPr>
          <w:spacing w:val="-8"/>
        </w:rPr>
        <w:t> </w:t>
      </w:r>
      <w:r>
        <w:rPr/>
        <w:t>e</w:t>
      </w:r>
      <w:r>
        <w:rPr>
          <w:spacing w:val="-8"/>
        </w:rPr>
        <w:t> </w:t>
      </w:r>
      <w:r>
        <w:rPr/>
        <w:t>as alterações iônicas descritas contribuem para</w:t>
      </w:r>
      <w:r>
        <w:rPr>
          <w:spacing w:val="-1"/>
        </w:rPr>
        <w:t> </w:t>
      </w:r>
      <w:r>
        <w:rPr/>
        <w:t>o surgimento da</w:t>
      </w:r>
      <w:r>
        <w:rPr>
          <w:spacing w:val="-1"/>
        </w:rPr>
        <w:t> </w:t>
      </w:r>
      <w:r>
        <w:rPr/>
        <w:t>encefalopatia.</w:t>
      </w:r>
    </w:p>
    <w:p>
      <w:pPr>
        <w:pStyle w:val="BodyText"/>
        <w:spacing w:line="280" w:lineRule="auto"/>
        <w:ind w:right="496"/>
      </w:pPr>
      <w:r>
        <w:rPr/>
        <w:t>Clinicamente, a encefalopatia hipertensiva é caracterizada por uma elevação significativa da pressão arterial (frequentemente acima de 180/120 mmHg), associada a sintomas de cefaleia, náuseas, tonturas, confusão, convulsão, borramento visual e até mesmo cegueira. A encefalopatia hipertensiva está frequentemente associada à hipertensão maligna (ver adiante). Em decorrência disso, papiledema, em geral com hemorragia retiniana e exsudatos, pode</w:t>
      </w:r>
      <w:r>
        <w:rPr>
          <w:spacing w:val="-2"/>
        </w:rPr>
        <w:t> </w:t>
      </w:r>
      <w:r>
        <w:rPr/>
        <w:t>ser observado, apesar de</w:t>
      </w:r>
      <w:r>
        <w:rPr>
          <w:spacing w:val="-2"/>
        </w:rPr>
        <w:t> </w:t>
      </w:r>
      <w:r>
        <w:rPr/>
        <w:t>não ser uma</w:t>
      </w:r>
      <w:r>
        <w:rPr>
          <w:spacing w:val="-2"/>
        </w:rPr>
        <w:t> </w:t>
      </w:r>
      <w:r>
        <w:rPr/>
        <w:t>condição </w:t>
      </w:r>
      <w:r>
        <w:rPr>
          <w:i/>
        </w:rPr>
        <w:t>sine</w:t>
      </w:r>
      <w:r>
        <w:rPr>
          <w:i/>
          <w:spacing w:val="-2"/>
        </w:rPr>
        <w:t> </w:t>
      </w:r>
      <w:r>
        <w:rPr>
          <w:i/>
        </w:rPr>
        <w:t>qua non </w:t>
      </w:r>
      <w:r>
        <w:rPr/>
        <w:t>da</w:t>
      </w:r>
      <w:r>
        <w:rPr>
          <w:spacing w:val="-2"/>
        </w:rPr>
        <w:t> </w:t>
      </w:r>
      <w:r>
        <w:rPr/>
        <w:t>encefalopatia</w:t>
      </w:r>
      <w:r>
        <w:rPr>
          <w:spacing w:val="-2"/>
        </w:rPr>
        <w:t> </w:t>
      </w:r>
      <w:r>
        <w:rPr/>
        <w:t>hipertensiva.</w:t>
      </w:r>
      <w:r>
        <w:rPr>
          <w:vertAlign w:val="superscript"/>
        </w:rPr>
        <w:t>11</w:t>
      </w:r>
    </w:p>
    <w:p>
      <w:pPr>
        <w:pStyle w:val="BodyText"/>
        <w:spacing w:line="276" w:lineRule="auto" w:before="39"/>
        <w:ind w:right="497"/>
      </w:pPr>
      <w:r>
        <w:rPr/>
        <w:t>Os exames de imagem (p. ex., tomografia computadorizada) mostram sinais de compressão dos ventrículos laterais, edema cerebral e particularmente cerebelar, bem como áreas hipodensas na substância branca secundárias ao edema. A cegueira cortical decorrente de edema nos lobos occipitais é um tipo particular de encefalopatia hipertensiva conhecida como síndrome da leucoencefalopatia posterior. Para o tratamento dessa condição, faz-se necessário considerá-la uma emergência hipertensiva e tratá-la como tal.</w:t>
      </w:r>
    </w:p>
    <w:p>
      <w:pPr>
        <w:pStyle w:val="BodyText"/>
        <w:spacing w:before="134"/>
        <w:ind w:left="0" w:firstLine="0"/>
        <w:jc w:val="left"/>
      </w:pPr>
    </w:p>
    <w:p>
      <w:pPr>
        <w:pStyle w:val="Heading5"/>
      </w:pPr>
      <w:r>
        <w:rPr>
          <w:color w:val="A26108"/>
        </w:rPr>
        <w:t>Nefropatia</w:t>
      </w:r>
      <w:r>
        <w:rPr>
          <w:color w:val="A26108"/>
          <w:spacing w:val="31"/>
        </w:rPr>
        <w:t> </w:t>
      </w:r>
      <w:r>
        <w:rPr>
          <w:color w:val="A26108"/>
          <w:spacing w:val="-2"/>
        </w:rPr>
        <w:t>hipertensiva</w:t>
      </w:r>
    </w:p>
    <w:p>
      <w:pPr>
        <w:pStyle w:val="BodyText"/>
        <w:spacing w:line="276" w:lineRule="auto" w:before="138"/>
        <w:ind w:right="494"/>
      </w:pPr>
      <w:r>
        <w:rPr/>
        <w:t>O</w:t>
      </w:r>
      <w:r>
        <w:rPr>
          <w:spacing w:val="-10"/>
        </w:rPr>
        <w:t> </w:t>
      </w:r>
      <w:r>
        <w:rPr/>
        <w:t>efeito</w:t>
      </w:r>
      <w:r>
        <w:rPr>
          <w:spacing w:val="-7"/>
        </w:rPr>
        <w:t> </w:t>
      </w:r>
      <w:r>
        <w:rPr/>
        <w:t>da</w:t>
      </w:r>
      <w:r>
        <w:rPr>
          <w:spacing w:val="-10"/>
        </w:rPr>
        <w:t> </w:t>
      </w:r>
      <w:r>
        <w:rPr/>
        <w:t>HAS</w:t>
      </w:r>
      <w:r>
        <w:rPr>
          <w:spacing w:val="-5"/>
        </w:rPr>
        <w:t> </w:t>
      </w:r>
      <w:r>
        <w:rPr/>
        <w:t>sobre</w:t>
      </w:r>
      <w:r>
        <w:rPr>
          <w:spacing w:val="-10"/>
        </w:rPr>
        <w:t> </w:t>
      </w:r>
      <w:r>
        <w:rPr/>
        <w:t>o</w:t>
      </w:r>
      <w:r>
        <w:rPr>
          <w:spacing w:val="-7"/>
        </w:rPr>
        <w:t> </w:t>
      </w:r>
      <w:r>
        <w:rPr/>
        <w:t>rim</w:t>
      </w:r>
      <w:r>
        <w:rPr>
          <w:spacing w:val="-7"/>
        </w:rPr>
        <w:t> </w:t>
      </w:r>
      <w:r>
        <w:rPr/>
        <w:t>é</w:t>
      </w:r>
      <w:r>
        <w:rPr>
          <w:spacing w:val="-10"/>
        </w:rPr>
        <w:t> </w:t>
      </w:r>
      <w:r>
        <w:rPr/>
        <w:t>marcante, de</w:t>
      </w:r>
      <w:r>
        <w:rPr>
          <w:spacing w:val="-10"/>
        </w:rPr>
        <w:t> </w:t>
      </w:r>
      <w:r>
        <w:rPr/>
        <w:t>tal</w:t>
      </w:r>
      <w:r>
        <w:rPr>
          <w:spacing w:val="-5"/>
        </w:rPr>
        <w:t> </w:t>
      </w:r>
      <w:r>
        <w:rPr/>
        <w:t>modo</w:t>
      </w:r>
      <w:r>
        <w:rPr>
          <w:spacing w:val="-7"/>
        </w:rPr>
        <w:t> </w:t>
      </w:r>
      <w:r>
        <w:rPr/>
        <w:t>que</w:t>
      </w:r>
      <w:r>
        <w:rPr>
          <w:spacing w:val="-10"/>
        </w:rPr>
        <w:t> </w:t>
      </w:r>
      <w:r>
        <w:rPr/>
        <w:t>aproximadamente</w:t>
      </w:r>
      <w:r>
        <w:rPr>
          <w:spacing w:val="-10"/>
        </w:rPr>
        <w:t> </w:t>
      </w:r>
      <w:r>
        <w:rPr/>
        <w:t>10%</w:t>
      </w:r>
      <w:r>
        <w:rPr>
          <w:spacing w:val="-5"/>
        </w:rPr>
        <w:t> </w:t>
      </w:r>
      <w:r>
        <w:rPr/>
        <w:t>das mortes causadas pela</w:t>
      </w:r>
      <w:r>
        <w:rPr>
          <w:spacing w:val="-10"/>
        </w:rPr>
        <w:t> </w:t>
      </w:r>
      <w:r>
        <w:rPr/>
        <w:t>HAS resultam diretamente da insuficiência renal. Ao mesmo tempo, a HAS constitui a principal causa de doença renal terminal, especialmente em negros. Embora haja significativas reduções na morbidade e mortalidade do acidente vascular cerebral e da doença coronariana, o tratamento anti-hipertensivo não trouxe uma acentuada redução na doença</w:t>
      </w:r>
      <w:r>
        <w:rPr>
          <w:spacing w:val="-6"/>
        </w:rPr>
        <w:t> </w:t>
      </w:r>
      <w:r>
        <w:rPr/>
        <w:t>renal</w:t>
      </w:r>
      <w:r>
        <w:rPr>
          <w:spacing w:val="-1"/>
        </w:rPr>
        <w:t> </w:t>
      </w:r>
      <w:r>
        <w:rPr/>
        <w:t>terminal. Um</w:t>
      </w:r>
      <w:r>
        <w:rPr>
          <w:spacing w:val="-4"/>
        </w:rPr>
        <w:t> </w:t>
      </w:r>
      <w:r>
        <w:rPr/>
        <w:t>fato</w:t>
      </w:r>
      <w:r>
        <w:rPr>
          <w:spacing w:val="-3"/>
        </w:rPr>
        <w:t> </w:t>
      </w:r>
      <w:r>
        <w:rPr/>
        <w:t>que</w:t>
      </w:r>
      <w:r>
        <w:rPr>
          <w:spacing w:val="-6"/>
        </w:rPr>
        <w:t> </w:t>
      </w:r>
      <w:r>
        <w:rPr/>
        <w:t>chama</w:t>
      </w:r>
      <w:r>
        <w:rPr>
          <w:spacing w:val="-6"/>
        </w:rPr>
        <w:t> </w:t>
      </w:r>
      <w:r>
        <w:rPr/>
        <w:t>a</w:t>
      </w:r>
      <w:r>
        <w:rPr>
          <w:spacing w:val="-6"/>
        </w:rPr>
        <w:t> </w:t>
      </w:r>
      <w:r>
        <w:rPr/>
        <w:t>atenção</w:t>
      </w:r>
      <w:r>
        <w:rPr>
          <w:spacing w:val="-3"/>
        </w:rPr>
        <w:t> </w:t>
      </w:r>
      <w:r>
        <w:rPr/>
        <w:t>é</w:t>
      </w:r>
      <w:r>
        <w:rPr>
          <w:spacing w:val="-6"/>
        </w:rPr>
        <w:t> </w:t>
      </w:r>
      <w:r>
        <w:rPr/>
        <w:t>que</w:t>
      </w:r>
      <w:r>
        <w:rPr>
          <w:spacing w:val="-6"/>
        </w:rPr>
        <w:t> </w:t>
      </w:r>
      <w:r>
        <w:rPr/>
        <w:t>a</w:t>
      </w:r>
      <w:r>
        <w:rPr>
          <w:spacing w:val="-6"/>
        </w:rPr>
        <w:t> </w:t>
      </w:r>
      <w:r>
        <w:rPr/>
        <w:t>verdadeira</w:t>
      </w:r>
      <w:r>
        <w:rPr>
          <w:spacing w:val="-6"/>
        </w:rPr>
        <w:t> </w:t>
      </w:r>
      <w:r>
        <w:rPr/>
        <w:t>incidência</w:t>
      </w:r>
      <w:r>
        <w:rPr>
          <w:spacing w:val="-6"/>
        </w:rPr>
        <w:t> </w:t>
      </w:r>
      <w:r>
        <w:rPr/>
        <w:t>de</w:t>
      </w:r>
      <w:r>
        <w:rPr>
          <w:spacing w:val="-6"/>
        </w:rPr>
        <w:t> </w:t>
      </w:r>
      <w:r>
        <w:rPr/>
        <w:t>nefropatia</w:t>
      </w:r>
      <w:r>
        <w:rPr>
          <w:spacing w:val="-6"/>
        </w:rPr>
        <w:t> </w:t>
      </w:r>
      <w:r>
        <w:rPr/>
        <w:t>hipertensiva</w:t>
      </w:r>
      <w:r>
        <w:rPr>
          <w:spacing w:val="-5"/>
        </w:rPr>
        <w:t> </w:t>
      </w:r>
      <w:r>
        <w:rPr>
          <w:i/>
        </w:rPr>
        <w:t>pura</w:t>
      </w:r>
      <w:r>
        <w:rPr>
          <w:i/>
          <w:spacing w:val="-8"/>
        </w:rPr>
        <w:t> </w:t>
      </w:r>
      <w:r>
        <w:rPr/>
        <w:t>é difícil de quantificar, já que é frequente a coexistência de outros fatores.</w:t>
      </w:r>
    </w:p>
    <w:p>
      <w:pPr>
        <w:pStyle w:val="BodyText"/>
        <w:spacing w:line="276" w:lineRule="auto" w:before="49"/>
        <w:ind w:right="488"/>
      </w:pPr>
      <w:r>
        <w:rPr/>
        <w:t>As alterações vasculares renais que</w:t>
      </w:r>
      <w:r>
        <w:rPr>
          <w:spacing w:val="-2"/>
        </w:rPr>
        <w:t> </w:t>
      </w:r>
      <w:r>
        <w:rPr/>
        <w:t>ocorrem na</w:t>
      </w:r>
      <w:r>
        <w:rPr>
          <w:spacing w:val="-2"/>
        </w:rPr>
        <w:t> </w:t>
      </w:r>
      <w:r>
        <w:rPr/>
        <w:t>HAS são resultantes basicamente</w:t>
      </w:r>
      <w:r>
        <w:rPr>
          <w:spacing w:val="-2"/>
        </w:rPr>
        <w:t> </w:t>
      </w:r>
      <w:r>
        <w:rPr/>
        <w:t>da</w:t>
      </w:r>
      <w:r>
        <w:rPr>
          <w:spacing w:val="-2"/>
        </w:rPr>
        <w:t> </w:t>
      </w:r>
      <w:r>
        <w:rPr/>
        <w:t>perda</w:t>
      </w:r>
      <w:r>
        <w:rPr>
          <w:spacing w:val="-2"/>
        </w:rPr>
        <w:t> </w:t>
      </w:r>
      <w:r>
        <w:rPr/>
        <w:t>do papel protetor de vasoconstrição da arteríola aferente frente às elevações da pressão arterial, elevando a pressão capilar e a isquemia </w:t>
      </w:r>
      <w:r>
        <w:rPr>
          <w:spacing w:val="-2"/>
        </w:rPr>
        <w:t>glomerular.</w:t>
      </w:r>
    </w:p>
    <w:p>
      <w:pPr>
        <w:pStyle w:val="BodyText"/>
        <w:spacing w:line="276" w:lineRule="auto" w:before="64"/>
        <w:ind w:right="501"/>
      </w:pPr>
      <w:r>
        <w:rPr/>
        <w:t>Macroscopicamente, o rim é reduzido de tamanho, com aspecto fibrótico e de contorno granular. Microscopicamente, a HAS promove o surgimento de lesões ateroscleróticas nos capilares glomerulares (glomeruloesclerose focal),</w:t>
      </w:r>
      <w:r>
        <w:rPr>
          <w:spacing w:val="18"/>
        </w:rPr>
        <w:t> </w:t>
      </w:r>
      <w:r>
        <w:rPr/>
        <w:t>que consequentemente diminuem a taxa de filtração glomerular e a disfunção tubular.</w:t>
      </w:r>
    </w:p>
    <w:p>
      <w:pPr>
        <w:pStyle w:val="BodyText"/>
        <w:spacing w:after="0" w:line="276" w:lineRule="auto"/>
        <w:sectPr>
          <w:pgSz w:w="11900" w:h="16840"/>
          <w:pgMar w:top="220" w:bottom="0" w:left="566" w:right="141"/>
        </w:sectPr>
      </w:pPr>
    </w:p>
    <w:p>
      <w:pPr>
        <w:pStyle w:val="BodyText"/>
        <w:spacing w:line="278" w:lineRule="auto" w:before="63"/>
        <w:ind w:right="497" w:firstLine="0"/>
      </w:pPr>
      <w:r>
        <w:rPr/>
        <w:t>Essas alterações são indistinguíveis daquelas observadas em outros tipos de</w:t>
      </w:r>
      <w:r>
        <w:rPr>
          <w:spacing w:val="-2"/>
        </w:rPr>
        <w:t> </w:t>
      </w:r>
      <w:r>
        <w:rPr/>
        <w:t>glomeruloesclerose. Eventualmente, a glomeruloesclerose pode se tornar mais generalizada, com envolvimento dos túbulos que se tornam atróficos ou fibróticos. Essas lesões promovem</w:t>
      </w:r>
      <w:r>
        <w:rPr>
          <w:spacing w:val="-2"/>
        </w:rPr>
        <w:t> </w:t>
      </w:r>
      <w:r>
        <w:rPr/>
        <w:t>o</w:t>
      </w:r>
      <w:r>
        <w:rPr>
          <w:spacing w:val="-2"/>
        </w:rPr>
        <w:t> </w:t>
      </w:r>
      <w:r>
        <w:rPr/>
        <w:t>surgimento</w:t>
      </w:r>
      <w:r>
        <w:rPr>
          <w:spacing w:val="-2"/>
        </w:rPr>
        <w:t> </w:t>
      </w:r>
      <w:r>
        <w:rPr/>
        <w:t>de</w:t>
      </w:r>
      <w:r>
        <w:rPr>
          <w:spacing w:val="-5"/>
        </w:rPr>
        <w:t> </w:t>
      </w:r>
      <w:r>
        <w:rPr/>
        <w:t>proteinúria</w:t>
      </w:r>
      <w:r>
        <w:rPr>
          <w:spacing w:val="-5"/>
        </w:rPr>
        <w:t> </w:t>
      </w:r>
      <w:r>
        <w:rPr/>
        <w:t>e</w:t>
      </w:r>
      <w:r>
        <w:rPr>
          <w:spacing w:val="-5"/>
        </w:rPr>
        <w:t> </w:t>
      </w:r>
      <w:r>
        <w:rPr/>
        <w:t>hematúria</w:t>
      </w:r>
      <w:r>
        <w:rPr>
          <w:spacing w:val="-5"/>
        </w:rPr>
        <w:t> </w:t>
      </w:r>
      <w:r>
        <w:rPr/>
        <w:t>microscópica. A</w:t>
      </w:r>
      <w:r>
        <w:rPr>
          <w:spacing w:val="-5"/>
        </w:rPr>
        <w:t> </w:t>
      </w:r>
      <w:r>
        <w:rPr/>
        <w:t>proteinúria</w:t>
      </w:r>
      <w:r>
        <w:rPr>
          <w:spacing w:val="-5"/>
        </w:rPr>
        <w:t> </w:t>
      </w:r>
      <w:r>
        <w:rPr/>
        <w:t>persistente pode</w:t>
      </w:r>
      <w:r>
        <w:rPr>
          <w:spacing w:val="-13"/>
        </w:rPr>
        <w:t> </w:t>
      </w:r>
      <w:r>
        <w:rPr/>
        <w:t>acelerar</w:t>
      </w:r>
      <w:r>
        <w:rPr>
          <w:spacing w:val="-5"/>
        </w:rPr>
        <w:t> </w:t>
      </w:r>
      <w:r>
        <w:rPr/>
        <w:t>as</w:t>
      </w:r>
      <w:r>
        <w:rPr>
          <w:spacing w:val="-3"/>
        </w:rPr>
        <w:t> </w:t>
      </w:r>
      <w:r>
        <w:rPr/>
        <w:t>lesões</w:t>
      </w:r>
      <w:r>
        <w:rPr>
          <w:spacing w:val="-3"/>
        </w:rPr>
        <w:t> </w:t>
      </w:r>
      <w:r>
        <w:rPr/>
        <w:t>glomerular</w:t>
      </w:r>
      <w:r>
        <w:rPr>
          <w:spacing w:val="-5"/>
        </w:rPr>
        <w:t> </w:t>
      </w:r>
      <w:r>
        <w:rPr/>
        <w:t>e</w:t>
      </w:r>
      <w:r>
        <w:rPr>
          <w:spacing w:val="-13"/>
        </w:rPr>
        <w:t> </w:t>
      </w:r>
      <w:r>
        <w:rPr/>
        <w:t>tubular,</w:t>
      </w:r>
      <w:r>
        <w:rPr>
          <w:spacing w:val="-3"/>
        </w:rPr>
        <w:t> </w:t>
      </w:r>
      <w:r>
        <w:rPr/>
        <w:t>acelerando</w:t>
      </w:r>
      <w:r>
        <w:rPr>
          <w:spacing w:val="-10"/>
        </w:rPr>
        <w:t> </w:t>
      </w:r>
      <w:r>
        <w:rPr/>
        <w:t>consequentemente</w:t>
      </w:r>
      <w:r>
        <w:rPr>
          <w:spacing w:val="-13"/>
        </w:rPr>
        <w:t> </w:t>
      </w:r>
      <w:r>
        <w:rPr/>
        <w:t>o</w:t>
      </w:r>
      <w:r>
        <w:rPr>
          <w:spacing w:val="-10"/>
        </w:rPr>
        <w:t> </w:t>
      </w:r>
      <w:r>
        <w:rPr/>
        <w:t>processo</w:t>
      </w:r>
      <w:r>
        <w:rPr>
          <w:spacing w:val="-10"/>
        </w:rPr>
        <w:t> </w:t>
      </w:r>
      <w:r>
        <w:rPr/>
        <w:t>de</w:t>
      </w:r>
      <w:r>
        <w:rPr>
          <w:spacing w:val="-13"/>
        </w:rPr>
        <w:t> </w:t>
      </w:r>
      <w:r>
        <w:rPr/>
        <w:t>glomeruloesclerose,</w:t>
      </w:r>
      <w:r>
        <w:rPr>
          <w:spacing w:val="-3"/>
        </w:rPr>
        <w:t> </w:t>
      </w:r>
      <w:r>
        <w:rPr/>
        <w:t>como um verdadeiro ciclo vicioso. Daí os esforços dos grandes estudos para a adoção de estratégias terapêuticas que visem à redução da proteinúria. Por outro lado, a microalbuminúria em hipertensos tem sido correlacionada com resistência à insulina e disfunção endotelial, dois importantes marcadores de risco cardiovascular.</w:t>
      </w:r>
      <w:r>
        <w:rPr>
          <w:vertAlign w:val="superscript"/>
        </w:rPr>
        <w:t>12</w:t>
      </w:r>
    </w:p>
    <w:p>
      <w:pPr>
        <w:pStyle w:val="BodyText"/>
        <w:spacing w:line="276" w:lineRule="auto" w:before="64"/>
        <w:ind w:right="491"/>
      </w:pPr>
      <w:r>
        <w:rPr/>
        <w:t>O diagnóstico clínico da nefropatia hipertensiva é frequentemente difícil de ser realizado, já que um único achado, como a detecção de microalbuminúria, não confirma o diagnóstico. Muitas vezes, é feito apenas um diagnóstico</w:t>
      </w:r>
      <w:r>
        <w:rPr>
          <w:spacing w:val="-5"/>
        </w:rPr>
        <w:t> </w:t>
      </w:r>
      <w:r>
        <w:rPr/>
        <w:t>presuntivo, desde</w:t>
      </w:r>
      <w:r>
        <w:rPr>
          <w:spacing w:val="-8"/>
        </w:rPr>
        <w:t> </w:t>
      </w:r>
      <w:r>
        <w:rPr/>
        <w:t>que</w:t>
      </w:r>
      <w:r>
        <w:rPr>
          <w:spacing w:val="-8"/>
        </w:rPr>
        <w:t> </w:t>
      </w:r>
      <w:r>
        <w:rPr/>
        <w:t>outras causas de</w:t>
      </w:r>
      <w:r>
        <w:rPr>
          <w:spacing w:val="-8"/>
        </w:rPr>
        <w:t> </w:t>
      </w:r>
      <w:r>
        <w:rPr/>
        <w:t>insuficiência</w:t>
      </w:r>
      <w:r>
        <w:rPr>
          <w:spacing w:val="-8"/>
        </w:rPr>
        <w:t> </w:t>
      </w:r>
      <w:r>
        <w:rPr/>
        <w:t>renal</w:t>
      </w:r>
      <w:r>
        <w:rPr>
          <w:spacing w:val="-3"/>
        </w:rPr>
        <w:t> </w:t>
      </w:r>
      <w:r>
        <w:rPr/>
        <w:t>crônica</w:t>
      </w:r>
      <w:r>
        <w:rPr>
          <w:spacing w:val="-8"/>
        </w:rPr>
        <w:t> </w:t>
      </w:r>
      <w:r>
        <w:rPr/>
        <w:t>estejam</w:t>
      </w:r>
      <w:r>
        <w:rPr>
          <w:spacing w:val="-5"/>
        </w:rPr>
        <w:t> </w:t>
      </w:r>
      <w:r>
        <w:rPr/>
        <w:t>excluídas. Entretanto, alguns achados são úteis quando há suspeita de nefropatia hipertensiva:</w:t>
      </w:r>
    </w:p>
    <w:p>
      <w:pPr>
        <w:pStyle w:val="ListParagraph"/>
        <w:numPr>
          <w:ilvl w:val="0"/>
          <w:numId w:val="23"/>
        </w:numPr>
        <w:tabs>
          <w:tab w:pos="397" w:val="left" w:leader="none"/>
        </w:tabs>
        <w:spacing w:line="240" w:lineRule="auto" w:before="161" w:after="0"/>
        <w:ind w:left="397" w:right="0" w:hanging="329"/>
        <w:jc w:val="left"/>
        <w:rPr>
          <w:sz w:val="23"/>
        </w:rPr>
      </w:pPr>
      <w:r>
        <w:rPr>
          <w:sz w:val="23"/>
        </w:rPr>
        <w:t>Pacientes</w:t>
      </w:r>
      <w:r>
        <w:rPr>
          <w:spacing w:val="-7"/>
          <w:sz w:val="23"/>
        </w:rPr>
        <w:t> </w:t>
      </w:r>
      <w:r>
        <w:rPr>
          <w:sz w:val="23"/>
        </w:rPr>
        <w:t>da</w:t>
      </w:r>
      <w:r>
        <w:rPr>
          <w:spacing w:val="-14"/>
          <w:sz w:val="23"/>
        </w:rPr>
        <w:t> </w:t>
      </w:r>
      <w:r>
        <w:rPr>
          <w:sz w:val="23"/>
        </w:rPr>
        <w:t>raça</w:t>
      </w:r>
      <w:r>
        <w:rPr>
          <w:spacing w:val="-14"/>
          <w:sz w:val="23"/>
        </w:rPr>
        <w:t> </w:t>
      </w:r>
      <w:r>
        <w:rPr>
          <w:spacing w:val="-4"/>
          <w:sz w:val="23"/>
        </w:rPr>
        <w:t>negra</w:t>
      </w:r>
    </w:p>
    <w:p>
      <w:pPr>
        <w:pStyle w:val="ListParagraph"/>
        <w:numPr>
          <w:ilvl w:val="0"/>
          <w:numId w:val="23"/>
        </w:numPr>
        <w:tabs>
          <w:tab w:pos="397" w:val="left" w:leader="none"/>
        </w:tabs>
        <w:spacing w:line="240" w:lineRule="auto" w:before="56" w:after="0"/>
        <w:ind w:left="397" w:right="0" w:hanging="329"/>
        <w:jc w:val="left"/>
        <w:rPr>
          <w:sz w:val="23"/>
        </w:rPr>
      </w:pPr>
      <w:r>
        <w:rPr>
          <w:sz w:val="23"/>
        </w:rPr>
        <w:t>História</w:t>
      </w:r>
      <w:r>
        <w:rPr>
          <w:spacing w:val="-7"/>
          <w:sz w:val="23"/>
        </w:rPr>
        <w:t> </w:t>
      </w:r>
      <w:r>
        <w:rPr>
          <w:sz w:val="23"/>
        </w:rPr>
        <w:t>familiar</w:t>
      </w:r>
      <w:r>
        <w:rPr>
          <w:spacing w:val="1"/>
          <w:sz w:val="23"/>
        </w:rPr>
        <w:t> </w:t>
      </w:r>
      <w:r>
        <w:rPr>
          <w:sz w:val="23"/>
        </w:rPr>
        <w:t>de</w:t>
      </w:r>
      <w:r>
        <w:rPr>
          <w:spacing w:val="-6"/>
          <w:sz w:val="23"/>
        </w:rPr>
        <w:t> </w:t>
      </w:r>
      <w:r>
        <w:rPr>
          <w:spacing w:val="-5"/>
          <w:sz w:val="23"/>
        </w:rPr>
        <w:t>HAS</w:t>
      </w:r>
    </w:p>
    <w:p>
      <w:pPr>
        <w:pStyle w:val="ListParagraph"/>
        <w:numPr>
          <w:ilvl w:val="0"/>
          <w:numId w:val="23"/>
        </w:numPr>
        <w:tabs>
          <w:tab w:pos="397" w:val="left" w:leader="none"/>
        </w:tabs>
        <w:spacing w:line="240" w:lineRule="auto" w:before="71" w:after="0"/>
        <w:ind w:left="397" w:right="0" w:hanging="329"/>
        <w:jc w:val="left"/>
        <w:rPr>
          <w:sz w:val="23"/>
        </w:rPr>
      </w:pPr>
      <w:r>
        <w:rPr>
          <w:sz w:val="23"/>
        </w:rPr>
        <w:t>Início</w:t>
      </w:r>
      <w:r>
        <w:rPr>
          <w:spacing w:val="-3"/>
          <w:sz w:val="23"/>
        </w:rPr>
        <w:t> </w:t>
      </w:r>
      <w:r>
        <w:rPr>
          <w:sz w:val="23"/>
        </w:rPr>
        <w:t>da</w:t>
      </w:r>
      <w:r>
        <w:rPr>
          <w:spacing w:val="-6"/>
          <w:sz w:val="23"/>
        </w:rPr>
        <w:t> </w:t>
      </w:r>
      <w:r>
        <w:rPr>
          <w:sz w:val="23"/>
        </w:rPr>
        <w:t>HAS entre</w:t>
      </w:r>
      <w:r>
        <w:rPr>
          <w:spacing w:val="-5"/>
          <w:sz w:val="23"/>
        </w:rPr>
        <w:t> </w:t>
      </w:r>
      <w:r>
        <w:rPr>
          <w:sz w:val="23"/>
        </w:rPr>
        <w:t>os</w:t>
      </w:r>
      <w:r>
        <w:rPr>
          <w:spacing w:val="5"/>
          <w:sz w:val="23"/>
        </w:rPr>
        <w:t> </w:t>
      </w:r>
      <w:r>
        <w:rPr>
          <w:sz w:val="23"/>
        </w:rPr>
        <w:t>25</w:t>
      </w:r>
      <w:r>
        <w:rPr>
          <w:spacing w:val="-2"/>
          <w:sz w:val="23"/>
        </w:rPr>
        <w:t> </w:t>
      </w:r>
      <w:r>
        <w:rPr>
          <w:sz w:val="23"/>
        </w:rPr>
        <w:t>e</w:t>
      </w:r>
      <w:r>
        <w:rPr>
          <w:spacing w:val="-6"/>
          <w:sz w:val="23"/>
        </w:rPr>
        <w:t> </w:t>
      </w:r>
      <w:r>
        <w:rPr>
          <w:sz w:val="23"/>
        </w:rPr>
        <w:t>45</w:t>
      </w:r>
      <w:r>
        <w:rPr>
          <w:spacing w:val="-2"/>
          <w:sz w:val="23"/>
        </w:rPr>
        <w:t> </w:t>
      </w:r>
      <w:r>
        <w:rPr>
          <w:spacing w:val="-4"/>
          <w:sz w:val="23"/>
        </w:rPr>
        <w:t>anos</w:t>
      </w:r>
    </w:p>
    <w:p>
      <w:pPr>
        <w:pStyle w:val="ListParagraph"/>
        <w:numPr>
          <w:ilvl w:val="0"/>
          <w:numId w:val="23"/>
        </w:numPr>
        <w:tabs>
          <w:tab w:pos="397" w:val="left" w:leader="none"/>
        </w:tabs>
        <w:spacing w:line="240" w:lineRule="auto" w:before="56" w:after="0"/>
        <w:ind w:left="397" w:right="0" w:hanging="329"/>
        <w:jc w:val="left"/>
        <w:rPr>
          <w:sz w:val="23"/>
        </w:rPr>
      </w:pPr>
      <w:r>
        <w:rPr>
          <w:sz w:val="23"/>
        </w:rPr>
        <w:t>HAS</w:t>
      </w:r>
      <w:r>
        <w:rPr>
          <w:spacing w:val="-4"/>
          <w:sz w:val="23"/>
        </w:rPr>
        <w:t> </w:t>
      </w:r>
      <w:r>
        <w:rPr>
          <w:sz w:val="23"/>
        </w:rPr>
        <w:t>grave</w:t>
      </w:r>
      <w:r>
        <w:rPr>
          <w:spacing w:val="-9"/>
          <w:sz w:val="23"/>
        </w:rPr>
        <w:t> </w:t>
      </w:r>
      <w:r>
        <w:rPr>
          <w:sz w:val="23"/>
        </w:rPr>
        <w:t>ou</w:t>
      </w:r>
      <w:r>
        <w:rPr>
          <w:spacing w:val="-7"/>
          <w:sz w:val="23"/>
        </w:rPr>
        <w:t> </w:t>
      </w:r>
      <w:r>
        <w:rPr>
          <w:sz w:val="23"/>
        </w:rPr>
        <w:t>de</w:t>
      </w:r>
      <w:r>
        <w:rPr>
          <w:spacing w:val="-9"/>
          <w:sz w:val="23"/>
        </w:rPr>
        <w:t> </w:t>
      </w:r>
      <w:r>
        <w:rPr>
          <w:sz w:val="23"/>
        </w:rPr>
        <w:t>longa</w:t>
      </w:r>
      <w:r>
        <w:rPr>
          <w:spacing w:val="-8"/>
          <w:sz w:val="23"/>
        </w:rPr>
        <w:t> </w:t>
      </w:r>
      <w:r>
        <w:rPr>
          <w:spacing w:val="-4"/>
          <w:sz w:val="23"/>
        </w:rPr>
        <w:t>data</w:t>
      </w:r>
    </w:p>
    <w:p>
      <w:pPr>
        <w:pStyle w:val="ListParagraph"/>
        <w:numPr>
          <w:ilvl w:val="0"/>
          <w:numId w:val="23"/>
        </w:numPr>
        <w:tabs>
          <w:tab w:pos="445" w:val="left" w:leader="none"/>
        </w:tabs>
        <w:spacing w:line="276" w:lineRule="auto" w:before="56" w:after="0"/>
        <w:ind w:left="68" w:right="499" w:firstLine="0"/>
        <w:jc w:val="left"/>
        <w:rPr>
          <w:sz w:val="23"/>
        </w:rPr>
      </w:pPr>
      <w:r>
        <w:rPr>
          <w:sz w:val="23"/>
        </w:rPr>
        <w:t>Evidência</w:t>
      </w:r>
      <w:r>
        <w:rPr>
          <w:spacing w:val="37"/>
          <w:sz w:val="23"/>
        </w:rPr>
        <w:t> </w:t>
      </w:r>
      <w:r>
        <w:rPr>
          <w:sz w:val="23"/>
        </w:rPr>
        <w:t>de</w:t>
      </w:r>
      <w:r>
        <w:rPr>
          <w:spacing w:val="37"/>
          <w:sz w:val="23"/>
        </w:rPr>
        <w:t> </w:t>
      </w:r>
      <w:r>
        <w:rPr>
          <w:sz w:val="23"/>
        </w:rPr>
        <w:t>outras</w:t>
      </w:r>
      <w:r>
        <w:rPr>
          <w:spacing w:val="40"/>
          <w:sz w:val="23"/>
        </w:rPr>
        <w:t> </w:t>
      </w:r>
      <w:r>
        <w:rPr>
          <w:sz w:val="23"/>
        </w:rPr>
        <w:t>lesões</w:t>
      </w:r>
      <w:r>
        <w:rPr>
          <w:spacing w:val="40"/>
          <w:sz w:val="23"/>
        </w:rPr>
        <w:t> </w:t>
      </w:r>
      <w:r>
        <w:rPr>
          <w:sz w:val="23"/>
        </w:rPr>
        <w:t>de</w:t>
      </w:r>
      <w:r>
        <w:rPr>
          <w:spacing w:val="37"/>
          <w:sz w:val="23"/>
        </w:rPr>
        <w:t> </w:t>
      </w:r>
      <w:r>
        <w:rPr>
          <w:sz w:val="23"/>
        </w:rPr>
        <w:t>órgãos-alvo,</w:t>
      </w:r>
      <w:r>
        <w:rPr>
          <w:spacing w:val="40"/>
          <w:sz w:val="23"/>
        </w:rPr>
        <w:t> </w:t>
      </w:r>
      <w:r>
        <w:rPr>
          <w:sz w:val="23"/>
        </w:rPr>
        <w:t>tais</w:t>
      </w:r>
      <w:r>
        <w:rPr>
          <w:spacing w:val="40"/>
          <w:sz w:val="23"/>
        </w:rPr>
        <w:t> </w:t>
      </w:r>
      <w:r>
        <w:rPr>
          <w:sz w:val="23"/>
        </w:rPr>
        <w:t>como</w:t>
      </w:r>
      <w:r>
        <w:rPr>
          <w:spacing w:val="40"/>
          <w:sz w:val="23"/>
        </w:rPr>
        <w:t> </w:t>
      </w:r>
      <w:r>
        <w:rPr>
          <w:sz w:val="23"/>
        </w:rPr>
        <w:t>a</w:t>
      </w:r>
      <w:r>
        <w:rPr>
          <w:spacing w:val="37"/>
          <w:sz w:val="23"/>
        </w:rPr>
        <w:t> </w:t>
      </w:r>
      <w:r>
        <w:rPr>
          <w:sz w:val="23"/>
        </w:rPr>
        <w:t>retinopatia</w:t>
      </w:r>
      <w:r>
        <w:rPr>
          <w:spacing w:val="37"/>
          <w:sz w:val="23"/>
        </w:rPr>
        <w:t> </w:t>
      </w:r>
      <w:r>
        <w:rPr>
          <w:sz w:val="23"/>
        </w:rPr>
        <w:t>hipertensiva</w:t>
      </w:r>
      <w:r>
        <w:rPr>
          <w:spacing w:val="37"/>
          <w:sz w:val="23"/>
        </w:rPr>
        <w:t> </w:t>
      </w:r>
      <w:r>
        <w:rPr>
          <w:sz w:val="23"/>
        </w:rPr>
        <w:t>e</w:t>
      </w:r>
      <w:r>
        <w:rPr>
          <w:spacing w:val="37"/>
          <w:sz w:val="23"/>
        </w:rPr>
        <w:t> </w:t>
      </w:r>
      <w:r>
        <w:rPr>
          <w:sz w:val="23"/>
        </w:rPr>
        <w:t>a</w:t>
      </w:r>
      <w:r>
        <w:rPr>
          <w:spacing w:val="37"/>
          <w:sz w:val="23"/>
        </w:rPr>
        <w:t> </w:t>
      </w:r>
      <w:r>
        <w:rPr>
          <w:sz w:val="23"/>
        </w:rPr>
        <w:t>hipertrofia</w:t>
      </w:r>
      <w:r>
        <w:rPr>
          <w:spacing w:val="37"/>
          <w:sz w:val="23"/>
        </w:rPr>
        <w:t> </w:t>
      </w:r>
      <w:r>
        <w:rPr>
          <w:sz w:val="23"/>
        </w:rPr>
        <w:t>ventricular </w:t>
      </w:r>
      <w:r>
        <w:rPr>
          <w:spacing w:val="-2"/>
          <w:sz w:val="23"/>
        </w:rPr>
        <w:t>esquerda</w:t>
      </w:r>
    </w:p>
    <w:p>
      <w:pPr>
        <w:pStyle w:val="ListParagraph"/>
        <w:numPr>
          <w:ilvl w:val="0"/>
          <w:numId w:val="23"/>
        </w:numPr>
        <w:tabs>
          <w:tab w:pos="397" w:val="left" w:leader="none"/>
        </w:tabs>
        <w:spacing w:line="240" w:lineRule="auto" w:before="32" w:after="0"/>
        <w:ind w:left="397" w:right="0" w:hanging="329"/>
        <w:jc w:val="left"/>
        <w:rPr>
          <w:sz w:val="23"/>
        </w:rPr>
      </w:pPr>
      <w:r>
        <w:rPr>
          <w:sz w:val="23"/>
        </w:rPr>
        <w:t>Início</w:t>
      </w:r>
      <w:r>
        <w:rPr>
          <w:spacing w:val="-12"/>
          <w:sz w:val="23"/>
        </w:rPr>
        <w:t> </w:t>
      </w:r>
      <w:r>
        <w:rPr>
          <w:sz w:val="23"/>
        </w:rPr>
        <w:t>da</w:t>
      </w:r>
      <w:r>
        <w:rPr>
          <w:spacing w:val="-15"/>
          <w:sz w:val="23"/>
        </w:rPr>
        <w:t> </w:t>
      </w:r>
      <w:r>
        <w:rPr>
          <w:sz w:val="23"/>
        </w:rPr>
        <w:t>hipertensão</w:t>
      </w:r>
      <w:r>
        <w:rPr>
          <w:spacing w:val="-11"/>
          <w:sz w:val="23"/>
        </w:rPr>
        <w:t> </w:t>
      </w:r>
      <w:r>
        <w:rPr>
          <w:sz w:val="23"/>
        </w:rPr>
        <w:t>antes</w:t>
      </w:r>
      <w:r>
        <w:rPr>
          <w:spacing w:val="-6"/>
          <w:sz w:val="23"/>
        </w:rPr>
        <w:t> </w:t>
      </w:r>
      <w:r>
        <w:rPr>
          <w:sz w:val="23"/>
        </w:rPr>
        <w:t>do</w:t>
      </w:r>
      <w:r>
        <w:rPr>
          <w:spacing w:val="-11"/>
          <w:sz w:val="23"/>
        </w:rPr>
        <w:t> </w:t>
      </w:r>
      <w:r>
        <w:rPr>
          <w:sz w:val="23"/>
        </w:rPr>
        <w:t>desenvolvimento</w:t>
      </w:r>
      <w:r>
        <w:rPr>
          <w:spacing w:val="-12"/>
          <w:sz w:val="23"/>
        </w:rPr>
        <w:t> </w:t>
      </w:r>
      <w:r>
        <w:rPr>
          <w:sz w:val="23"/>
        </w:rPr>
        <w:t>de</w:t>
      </w:r>
      <w:r>
        <w:rPr>
          <w:spacing w:val="-14"/>
          <w:sz w:val="23"/>
        </w:rPr>
        <w:t> </w:t>
      </w:r>
      <w:r>
        <w:rPr>
          <w:spacing w:val="-2"/>
          <w:sz w:val="23"/>
        </w:rPr>
        <w:t>proteinúria</w:t>
      </w:r>
    </w:p>
    <w:p>
      <w:pPr>
        <w:pStyle w:val="ListParagraph"/>
        <w:numPr>
          <w:ilvl w:val="0"/>
          <w:numId w:val="23"/>
        </w:numPr>
        <w:tabs>
          <w:tab w:pos="397" w:val="left" w:leader="none"/>
        </w:tabs>
        <w:spacing w:line="240" w:lineRule="auto" w:before="56" w:after="0"/>
        <w:ind w:left="397" w:right="0" w:hanging="329"/>
        <w:jc w:val="left"/>
        <w:rPr>
          <w:sz w:val="23"/>
        </w:rPr>
      </w:pPr>
      <w:r>
        <w:rPr>
          <w:sz w:val="23"/>
        </w:rPr>
        <w:t>Ausência</w:t>
      </w:r>
      <w:r>
        <w:rPr>
          <w:spacing w:val="-10"/>
          <w:sz w:val="23"/>
        </w:rPr>
        <w:t> </w:t>
      </w:r>
      <w:r>
        <w:rPr>
          <w:sz w:val="23"/>
        </w:rPr>
        <w:t>de</w:t>
      </w:r>
      <w:r>
        <w:rPr>
          <w:spacing w:val="-9"/>
          <w:sz w:val="23"/>
        </w:rPr>
        <w:t> </w:t>
      </w:r>
      <w:r>
        <w:rPr>
          <w:sz w:val="23"/>
        </w:rPr>
        <w:t>uma</w:t>
      </w:r>
      <w:r>
        <w:rPr>
          <w:spacing w:val="-9"/>
          <w:sz w:val="23"/>
        </w:rPr>
        <w:t> </w:t>
      </w:r>
      <w:r>
        <w:rPr>
          <w:sz w:val="23"/>
        </w:rPr>
        <w:t>causa</w:t>
      </w:r>
      <w:r>
        <w:rPr>
          <w:spacing w:val="-9"/>
          <w:sz w:val="23"/>
        </w:rPr>
        <w:t> </w:t>
      </w:r>
      <w:r>
        <w:rPr>
          <w:sz w:val="23"/>
        </w:rPr>
        <w:t>primária</w:t>
      </w:r>
      <w:r>
        <w:rPr>
          <w:spacing w:val="-9"/>
          <w:sz w:val="23"/>
        </w:rPr>
        <w:t> </w:t>
      </w:r>
      <w:r>
        <w:rPr>
          <w:sz w:val="23"/>
        </w:rPr>
        <w:t>para</w:t>
      </w:r>
      <w:r>
        <w:rPr>
          <w:spacing w:val="-9"/>
          <w:sz w:val="23"/>
        </w:rPr>
        <w:t> </w:t>
      </w:r>
      <w:r>
        <w:rPr>
          <w:sz w:val="23"/>
        </w:rPr>
        <w:t>a</w:t>
      </w:r>
      <w:r>
        <w:rPr>
          <w:spacing w:val="-9"/>
          <w:sz w:val="23"/>
        </w:rPr>
        <w:t> </w:t>
      </w:r>
      <w:r>
        <w:rPr>
          <w:spacing w:val="-2"/>
          <w:sz w:val="23"/>
        </w:rPr>
        <w:t>hipertensão</w:t>
      </w:r>
    </w:p>
    <w:p>
      <w:pPr>
        <w:pStyle w:val="ListParagraph"/>
        <w:numPr>
          <w:ilvl w:val="0"/>
          <w:numId w:val="23"/>
        </w:numPr>
        <w:tabs>
          <w:tab w:pos="398" w:val="left" w:leader="none"/>
        </w:tabs>
        <w:spacing w:line="276" w:lineRule="auto" w:before="72" w:after="0"/>
        <w:ind w:left="68" w:right="502" w:firstLine="0"/>
        <w:jc w:val="left"/>
        <w:rPr>
          <w:sz w:val="23"/>
        </w:rPr>
      </w:pPr>
      <w:r>
        <w:rPr>
          <w:sz w:val="23"/>
        </w:rPr>
        <w:t>Achados</w:t>
      </w:r>
      <w:r>
        <w:rPr>
          <w:spacing w:val="-2"/>
          <w:sz w:val="23"/>
        </w:rPr>
        <w:t> </w:t>
      </w:r>
      <w:r>
        <w:rPr>
          <w:sz w:val="23"/>
        </w:rPr>
        <w:t>na</w:t>
      </w:r>
      <w:r>
        <w:rPr>
          <w:spacing w:val="-12"/>
          <w:sz w:val="23"/>
        </w:rPr>
        <w:t> </w:t>
      </w:r>
      <w:r>
        <w:rPr>
          <w:sz w:val="23"/>
        </w:rPr>
        <w:t>biopsia</w:t>
      </w:r>
      <w:r>
        <w:rPr>
          <w:spacing w:val="-12"/>
          <w:sz w:val="23"/>
        </w:rPr>
        <w:t> </w:t>
      </w:r>
      <w:r>
        <w:rPr>
          <w:sz w:val="23"/>
        </w:rPr>
        <w:t>renal</w:t>
      </w:r>
      <w:r>
        <w:rPr>
          <w:spacing w:val="-7"/>
          <w:sz w:val="23"/>
        </w:rPr>
        <w:t> </w:t>
      </w:r>
      <w:r>
        <w:rPr>
          <w:sz w:val="23"/>
        </w:rPr>
        <w:t>(raramente</w:t>
      </w:r>
      <w:r>
        <w:rPr>
          <w:spacing w:val="-12"/>
          <w:sz w:val="23"/>
        </w:rPr>
        <w:t> </w:t>
      </w:r>
      <w:r>
        <w:rPr>
          <w:sz w:val="23"/>
        </w:rPr>
        <w:t>solicitados</w:t>
      </w:r>
      <w:r>
        <w:rPr>
          <w:spacing w:val="-2"/>
          <w:sz w:val="23"/>
        </w:rPr>
        <w:t> </w:t>
      </w:r>
      <w:r>
        <w:rPr>
          <w:sz w:val="23"/>
        </w:rPr>
        <w:t>na</w:t>
      </w:r>
      <w:r>
        <w:rPr>
          <w:spacing w:val="-12"/>
          <w:sz w:val="23"/>
        </w:rPr>
        <w:t> </w:t>
      </w:r>
      <w:r>
        <w:rPr>
          <w:sz w:val="23"/>
        </w:rPr>
        <w:t>prática</w:t>
      </w:r>
      <w:r>
        <w:rPr>
          <w:spacing w:val="-12"/>
          <w:sz w:val="23"/>
        </w:rPr>
        <w:t> </w:t>
      </w:r>
      <w:r>
        <w:rPr>
          <w:sz w:val="23"/>
        </w:rPr>
        <w:t>clínica)</w:t>
      </w:r>
      <w:r>
        <w:rPr>
          <w:spacing w:val="-5"/>
          <w:sz w:val="23"/>
        </w:rPr>
        <w:t> </w:t>
      </w:r>
      <w:r>
        <w:rPr>
          <w:sz w:val="23"/>
        </w:rPr>
        <w:t>de</w:t>
      </w:r>
      <w:r>
        <w:rPr>
          <w:spacing w:val="-12"/>
          <w:sz w:val="23"/>
        </w:rPr>
        <w:t> </w:t>
      </w:r>
      <w:r>
        <w:rPr>
          <w:sz w:val="23"/>
        </w:rPr>
        <w:t>isquemia</w:t>
      </w:r>
      <w:r>
        <w:rPr>
          <w:spacing w:val="-12"/>
          <w:sz w:val="23"/>
        </w:rPr>
        <w:t> </w:t>
      </w:r>
      <w:r>
        <w:rPr>
          <w:sz w:val="23"/>
        </w:rPr>
        <w:t>glomerular</w:t>
      </w:r>
      <w:r>
        <w:rPr>
          <w:spacing w:val="-5"/>
          <w:sz w:val="23"/>
        </w:rPr>
        <w:t> </w:t>
      </w:r>
      <w:r>
        <w:rPr>
          <w:sz w:val="23"/>
        </w:rPr>
        <w:t>e</w:t>
      </w:r>
      <w:r>
        <w:rPr>
          <w:spacing w:val="-12"/>
          <w:sz w:val="23"/>
        </w:rPr>
        <w:t> </w:t>
      </w:r>
      <w:r>
        <w:rPr>
          <w:sz w:val="23"/>
        </w:rPr>
        <w:t>fibrose</w:t>
      </w:r>
      <w:r>
        <w:rPr>
          <w:spacing w:val="-12"/>
          <w:sz w:val="23"/>
        </w:rPr>
        <w:t> </w:t>
      </w:r>
      <w:r>
        <w:rPr>
          <w:sz w:val="23"/>
        </w:rPr>
        <w:t>compatíveis com lesões de arteríolas e capilares glomerulares.</w:t>
      </w:r>
    </w:p>
    <w:p>
      <w:pPr>
        <w:pStyle w:val="BodyText"/>
        <w:spacing w:before="134"/>
        <w:ind w:left="0" w:firstLine="0"/>
        <w:jc w:val="left"/>
      </w:pPr>
    </w:p>
    <w:p>
      <w:pPr>
        <w:pStyle w:val="Heading5"/>
        <w:jc w:val="both"/>
      </w:pPr>
      <w:r>
        <w:rPr>
          <w:color w:val="A26108"/>
        </w:rPr>
        <w:t>Retinopatia</w:t>
      </w:r>
      <w:r>
        <w:rPr>
          <w:color w:val="A26108"/>
          <w:spacing w:val="34"/>
        </w:rPr>
        <w:t> </w:t>
      </w:r>
      <w:r>
        <w:rPr>
          <w:color w:val="A26108"/>
          <w:spacing w:val="-2"/>
        </w:rPr>
        <w:t>hipertensiva</w:t>
      </w:r>
    </w:p>
    <w:p>
      <w:pPr>
        <w:pStyle w:val="BodyText"/>
        <w:spacing w:line="280" w:lineRule="auto" w:before="122"/>
        <w:ind w:right="497"/>
      </w:pPr>
      <w:r>
        <w:rPr/>
        <w:t>É uma</w:t>
      </w:r>
      <w:r>
        <w:rPr>
          <w:spacing w:val="-7"/>
        </w:rPr>
        <w:t> </w:t>
      </w:r>
      <w:r>
        <w:rPr/>
        <w:t>condição</w:t>
      </w:r>
      <w:r>
        <w:rPr>
          <w:spacing w:val="-5"/>
        </w:rPr>
        <w:t> </w:t>
      </w:r>
      <w:r>
        <w:rPr/>
        <w:t>caracterizada</w:t>
      </w:r>
      <w:r>
        <w:rPr>
          <w:spacing w:val="-7"/>
        </w:rPr>
        <w:t> </w:t>
      </w:r>
      <w:r>
        <w:rPr/>
        <w:t>por um</w:t>
      </w:r>
      <w:r>
        <w:rPr>
          <w:spacing w:val="-5"/>
        </w:rPr>
        <w:t> </w:t>
      </w:r>
      <w:r>
        <w:rPr/>
        <w:t>espectro</w:t>
      </w:r>
      <w:r>
        <w:rPr>
          <w:spacing w:val="-5"/>
        </w:rPr>
        <w:t> </w:t>
      </w:r>
      <w:r>
        <w:rPr/>
        <w:t>de</w:t>
      </w:r>
      <w:r>
        <w:rPr>
          <w:spacing w:val="-7"/>
        </w:rPr>
        <w:t> </w:t>
      </w:r>
      <w:r>
        <w:rPr/>
        <w:t>sinais vasculares retinianos em</w:t>
      </w:r>
      <w:r>
        <w:rPr>
          <w:spacing w:val="-5"/>
        </w:rPr>
        <w:t> </w:t>
      </w:r>
      <w:r>
        <w:rPr/>
        <w:t>resposta</w:t>
      </w:r>
      <w:r>
        <w:rPr>
          <w:spacing w:val="-7"/>
        </w:rPr>
        <w:t> </w:t>
      </w:r>
      <w:r>
        <w:rPr/>
        <w:t>à</w:t>
      </w:r>
      <w:r>
        <w:rPr>
          <w:spacing w:val="-7"/>
        </w:rPr>
        <w:t> </w:t>
      </w:r>
      <w:r>
        <w:rPr/>
        <w:t>elevação</w:t>
      </w:r>
      <w:r>
        <w:rPr>
          <w:spacing w:val="-5"/>
        </w:rPr>
        <w:t> </w:t>
      </w:r>
      <w:r>
        <w:rPr/>
        <w:t>dos níveis pressóricos. Na</w:t>
      </w:r>
      <w:r>
        <w:rPr>
          <w:spacing w:val="-9"/>
        </w:rPr>
        <w:t> </w:t>
      </w:r>
      <w:r>
        <w:rPr/>
        <w:t>fase</w:t>
      </w:r>
      <w:r>
        <w:rPr>
          <w:spacing w:val="-9"/>
        </w:rPr>
        <w:t> </w:t>
      </w:r>
      <w:r>
        <w:rPr/>
        <w:t>inicial, apresentam-se</w:t>
      </w:r>
      <w:r>
        <w:rPr>
          <w:spacing w:val="-9"/>
        </w:rPr>
        <w:t> </w:t>
      </w:r>
      <w:r>
        <w:rPr/>
        <w:t>o</w:t>
      </w:r>
      <w:r>
        <w:rPr>
          <w:spacing w:val="-6"/>
        </w:rPr>
        <w:t> </w:t>
      </w:r>
      <w:r>
        <w:rPr/>
        <w:t>vasospasmo</w:t>
      </w:r>
      <w:r>
        <w:rPr>
          <w:spacing w:val="-6"/>
        </w:rPr>
        <w:t> </w:t>
      </w:r>
      <w:r>
        <w:rPr/>
        <w:t>e</w:t>
      </w:r>
      <w:r>
        <w:rPr>
          <w:spacing w:val="-9"/>
        </w:rPr>
        <w:t> </w:t>
      </w:r>
      <w:r>
        <w:rPr/>
        <w:t>o</w:t>
      </w:r>
      <w:r>
        <w:rPr>
          <w:spacing w:val="-6"/>
        </w:rPr>
        <w:t> </w:t>
      </w:r>
      <w:r>
        <w:rPr/>
        <w:t>aumento</w:t>
      </w:r>
      <w:r>
        <w:rPr>
          <w:spacing w:val="-6"/>
        </w:rPr>
        <w:t> </w:t>
      </w:r>
      <w:r>
        <w:rPr/>
        <w:t>do</w:t>
      </w:r>
      <w:r>
        <w:rPr>
          <w:spacing w:val="-6"/>
        </w:rPr>
        <w:t> </w:t>
      </w:r>
      <w:r>
        <w:rPr/>
        <w:t>tônus arteriolar, evoluindo</w:t>
      </w:r>
      <w:r>
        <w:rPr>
          <w:spacing w:val="-6"/>
        </w:rPr>
        <w:t> </w:t>
      </w:r>
      <w:r>
        <w:rPr/>
        <w:t>posteriormente para espessamento intimal, hiperplasia da parede média e degeneração hialina, hemorragias, exsudatos e papiledema, este último na hipertensão maligna.</w:t>
      </w:r>
      <w:r>
        <w:rPr>
          <w:vertAlign w:val="superscript"/>
        </w:rPr>
        <w:t>1</w:t>
      </w:r>
    </w:p>
    <w:p>
      <w:pPr>
        <w:pStyle w:val="BodyText"/>
        <w:spacing w:line="276" w:lineRule="auto" w:before="59"/>
        <w:ind w:right="488"/>
      </w:pPr>
      <w:r>
        <w:rPr/>
        <w:t>Para a análise de fundo de olho na hipertensão, a classificação de Keith e Wegener é muito utilizada para a definição da gravidade das lesões encontradas. Ela envolve quatro graus, descritos a seguir:</w:t>
      </w:r>
    </w:p>
    <w:p>
      <w:pPr>
        <w:pStyle w:val="ListParagraph"/>
        <w:numPr>
          <w:ilvl w:val="0"/>
          <w:numId w:val="23"/>
        </w:numPr>
        <w:tabs>
          <w:tab w:pos="395" w:val="left" w:leader="none"/>
        </w:tabs>
        <w:spacing w:line="240" w:lineRule="auto" w:before="161" w:after="0"/>
        <w:ind w:left="395" w:right="0" w:hanging="327"/>
        <w:jc w:val="both"/>
        <w:rPr>
          <w:sz w:val="23"/>
        </w:rPr>
      </w:pPr>
      <w:r>
        <w:rPr>
          <w:sz w:val="23"/>
        </w:rPr>
        <w:t>Grau</w:t>
      </w:r>
      <w:r>
        <w:rPr>
          <w:spacing w:val="-9"/>
          <w:sz w:val="23"/>
        </w:rPr>
        <w:t> </w:t>
      </w:r>
      <w:r>
        <w:rPr>
          <w:sz w:val="23"/>
        </w:rPr>
        <w:t>I:</w:t>
      </w:r>
      <w:r>
        <w:rPr>
          <w:spacing w:val="-4"/>
          <w:sz w:val="23"/>
        </w:rPr>
        <w:t> </w:t>
      </w:r>
      <w:r>
        <w:rPr>
          <w:sz w:val="23"/>
        </w:rPr>
        <w:t>sinais</w:t>
      </w:r>
      <w:r>
        <w:rPr>
          <w:spacing w:val="1"/>
          <w:sz w:val="23"/>
        </w:rPr>
        <w:t> </w:t>
      </w:r>
      <w:r>
        <w:rPr>
          <w:sz w:val="23"/>
        </w:rPr>
        <w:t>retinianos</w:t>
      </w:r>
      <w:r>
        <w:rPr>
          <w:spacing w:val="1"/>
          <w:sz w:val="23"/>
        </w:rPr>
        <w:t> </w:t>
      </w:r>
      <w:r>
        <w:rPr>
          <w:sz w:val="23"/>
        </w:rPr>
        <w:t>mínimos,</w:t>
      </w:r>
      <w:r>
        <w:rPr>
          <w:spacing w:val="1"/>
          <w:sz w:val="23"/>
        </w:rPr>
        <w:t> </w:t>
      </w:r>
      <w:r>
        <w:rPr>
          <w:sz w:val="23"/>
        </w:rPr>
        <w:t>consistindo</w:t>
      </w:r>
      <w:r>
        <w:rPr>
          <w:spacing w:val="-6"/>
          <w:sz w:val="23"/>
        </w:rPr>
        <w:t> </w:t>
      </w:r>
      <w:r>
        <w:rPr>
          <w:sz w:val="23"/>
        </w:rPr>
        <w:t>em</w:t>
      </w:r>
      <w:r>
        <w:rPr>
          <w:spacing w:val="-7"/>
          <w:sz w:val="23"/>
        </w:rPr>
        <w:t> </w:t>
      </w:r>
      <w:r>
        <w:rPr>
          <w:sz w:val="23"/>
        </w:rPr>
        <w:t>discreto</w:t>
      </w:r>
      <w:r>
        <w:rPr>
          <w:spacing w:val="-6"/>
          <w:sz w:val="23"/>
        </w:rPr>
        <w:t> </w:t>
      </w:r>
      <w:r>
        <w:rPr>
          <w:sz w:val="23"/>
        </w:rPr>
        <w:t>estreitamento</w:t>
      </w:r>
      <w:r>
        <w:rPr>
          <w:spacing w:val="-7"/>
          <w:sz w:val="23"/>
        </w:rPr>
        <w:t> </w:t>
      </w:r>
      <w:r>
        <w:rPr>
          <w:sz w:val="23"/>
        </w:rPr>
        <w:t>ou</w:t>
      </w:r>
      <w:r>
        <w:rPr>
          <w:spacing w:val="-7"/>
          <w:sz w:val="23"/>
        </w:rPr>
        <w:t> </w:t>
      </w:r>
      <w:r>
        <w:rPr>
          <w:sz w:val="23"/>
        </w:rPr>
        <w:t>esclerose</w:t>
      </w:r>
      <w:r>
        <w:rPr>
          <w:spacing w:val="-9"/>
          <w:sz w:val="23"/>
        </w:rPr>
        <w:t> </w:t>
      </w:r>
      <w:r>
        <w:rPr>
          <w:sz w:val="23"/>
        </w:rPr>
        <w:t>dos</w:t>
      </w:r>
      <w:r>
        <w:rPr>
          <w:spacing w:val="1"/>
          <w:sz w:val="23"/>
        </w:rPr>
        <w:t> </w:t>
      </w:r>
      <w:r>
        <w:rPr>
          <w:sz w:val="23"/>
        </w:rPr>
        <w:t>vasos</w:t>
      </w:r>
      <w:r>
        <w:rPr>
          <w:spacing w:val="2"/>
          <w:sz w:val="23"/>
        </w:rPr>
        <w:t> </w:t>
      </w:r>
      <w:r>
        <w:rPr>
          <w:spacing w:val="-2"/>
          <w:sz w:val="23"/>
        </w:rPr>
        <w:t>retinianos</w:t>
      </w:r>
    </w:p>
    <w:p>
      <w:pPr>
        <w:pStyle w:val="ListParagraph"/>
        <w:numPr>
          <w:ilvl w:val="0"/>
          <w:numId w:val="23"/>
        </w:numPr>
        <w:tabs>
          <w:tab w:pos="440" w:val="left" w:leader="none"/>
        </w:tabs>
        <w:spacing w:line="276" w:lineRule="auto" w:before="72" w:after="0"/>
        <w:ind w:left="68" w:right="502" w:firstLine="0"/>
        <w:jc w:val="both"/>
        <w:rPr>
          <w:sz w:val="23"/>
        </w:rPr>
      </w:pPr>
      <w:r>
        <w:rPr>
          <w:sz w:val="23"/>
        </w:rPr>
        <w:t>Grau II: sinais acentuados de esclerose, reflexo dorsal aumentado, compressão das veias nos cruzamentos arteriais e estreitamentos arteriolares focal e generalizado. A pressão arterial é geralmente mais alta que nos pacientes de grau I e seu prognóstico é pior</w:t>
      </w:r>
    </w:p>
    <w:p>
      <w:pPr>
        <w:pStyle w:val="ListParagraph"/>
        <w:numPr>
          <w:ilvl w:val="0"/>
          <w:numId w:val="23"/>
        </w:numPr>
        <w:tabs>
          <w:tab w:pos="395" w:val="left" w:leader="none"/>
        </w:tabs>
        <w:spacing w:line="276" w:lineRule="auto" w:before="16" w:after="0"/>
        <w:ind w:left="68" w:right="502" w:firstLine="0"/>
        <w:jc w:val="both"/>
        <w:rPr>
          <w:sz w:val="23"/>
        </w:rPr>
      </w:pPr>
      <w:r>
        <w:rPr>
          <w:sz w:val="23"/>
        </w:rPr>
        <w:t>Grau</w:t>
      </w:r>
      <w:r>
        <w:rPr>
          <w:spacing w:val="-9"/>
          <w:sz w:val="23"/>
        </w:rPr>
        <w:t> </w:t>
      </w:r>
      <w:r>
        <w:rPr>
          <w:sz w:val="23"/>
        </w:rPr>
        <w:t>III:</w:t>
      </w:r>
      <w:r>
        <w:rPr>
          <w:spacing w:val="-7"/>
          <w:sz w:val="23"/>
        </w:rPr>
        <w:t> </w:t>
      </w:r>
      <w:r>
        <w:rPr>
          <w:sz w:val="23"/>
        </w:rPr>
        <w:t>edema</w:t>
      </w:r>
      <w:r>
        <w:rPr>
          <w:spacing w:val="-12"/>
          <w:sz w:val="23"/>
        </w:rPr>
        <w:t> </w:t>
      </w:r>
      <w:r>
        <w:rPr>
          <w:sz w:val="23"/>
        </w:rPr>
        <w:t>de</w:t>
      </w:r>
      <w:r>
        <w:rPr>
          <w:spacing w:val="-12"/>
          <w:sz w:val="23"/>
        </w:rPr>
        <w:t> </w:t>
      </w:r>
      <w:r>
        <w:rPr>
          <w:sz w:val="23"/>
        </w:rPr>
        <w:t>retina,</w:t>
      </w:r>
      <w:r>
        <w:rPr>
          <w:spacing w:val="-2"/>
          <w:sz w:val="23"/>
        </w:rPr>
        <w:t> </w:t>
      </w:r>
      <w:r>
        <w:rPr>
          <w:sz w:val="23"/>
        </w:rPr>
        <w:t>exsudatos</w:t>
      </w:r>
      <w:r>
        <w:rPr>
          <w:spacing w:val="-2"/>
          <w:sz w:val="23"/>
        </w:rPr>
        <w:t> </w:t>
      </w:r>
      <w:r>
        <w:rPr>
          <w:sz w:val="23"/>
        </w:rPr>
        <w:t>algodonosos</w:t>
      </w:r>
      <w:r>
        <w:rPr>
          <w:spacing w:val="-2"/>
          <w:sz w:val="23"/>
        </w:rPr>
        <w:t> </w:t>
      </w:r>
      <w:r>
        <w:rPr>
          <w:sz w:val="23"/>
        </w:rPr>
        <w:t>e</w:t>
      </w:r>
      <w:r>
        <w:rPr>
          <w:spacing w:val="-12"/>
          <w:sz w:val="23"/>
        </w:rPr>
        <w:t> </w:t>
      </w:r>
      <w:r>
        <w:rPr>
          <w:sz w:val="23"/>
        </w:rPr>
        <w:t>hemorragias,</w:t>
      </w:r>
      <w:r>
        <w:rPr>
          <w:spacing w:val="-2"/>
          <w:sz w:val="23"/>
        </w:rPr>
        <w:t> </w:t>
      </w:r>
      <w:r>
        <w:rPr>
          <w:sz w:val="23"/>
        </w:rPr>
        <w:t>com</w:t>
      </w:r>
      <w:r>
        <w:rPr>
          <w:spacing w:val="-9"/>
          <w:sz w:val="23"/>
        </w:rPr>
        <w:t> </w:t>
      </w:r>
      <w:r>
        <w:rPr>
          <w:sz w:val="23"/>
        </w:rPr>
        <w:t>arteríolas</w:t>
      </w:r>
      <w:r>
        <w:rPr>
          <w:spacing w:val="-2"/>
          <w:sz w:val="23"/>
        </w:rPr>
        <w:t> </w:t>
      </w:r>
      <w:r>
        <w:rPr>
          <w:sz w:val="23"/>
        </w:rPr>
        <w:t>focal</w:t>
      </w:r>
      <w:r>
        <w:rPr>
          <w:spacing w:val="-7"/>
          <w:sz w:val="23"/>
        </w:rPr>
        <w:t> </w:t>
      </w:r>
      <w:r>
        <w:rPr>
          <w:sz w:val="23"/>
        </w:rPr>
        <w:t>ou</w:t>
      </w:r>
      <w:r>
        <w:rPr>
          <w:spacing w:val="-9"/>
          <w:sz w:val="23"/>
        </w:rPr>
        <w:t> </w:t>
      </w:r>
      <w:r>
        <w:rPr>
          <w:sz w:val="23"/>
        </w:rPr>
        <w:t>difusamente</w:t>
      </w:r>
      <w:r>
        <w:rPr>
          <w:spacing w:val="-12"/>
          <w:sz w:val="23"/>
        </w:rPr>
        <w:t> </w:t>
      </w:r>
      <w:r>
        <w:rPr>
          <w:sz w:val="23"/>
        </w:rPr>
        <w:t>estreitadas (</w:t>
      </w:r>
      <w:r>
        <w:rPr>
          <w:color w:val="505050"/>
          <w:sz w:val="23"/>
        </w:rPr>
        <w:t>Figura 57.2</w:t>
      </w:r>
      <w:r>
        <w:rPr>
          <w:sz w:val="23"/>
        </w:rPr>
        <w:t>). A HAS geralmente mostra valores de pressão arterial sistólica ≥ 180 mmHg e/ou pressão arterial diastólica &gt; 110 mmHg)</w:t>
      </w:r>
    </w:p>
    <w:p>
      <w:pPr>
        <w:pStyle w:val="ListParagraph"/>
        <w:numPr>
          <w:ilvl w:val="0"/>
          <w:numId w:val="23"/>
        </w:numPr>
        <w:tabs>
          <w:tab w:pos="395" w:val="left" w:leader="none"/>
        </w:tabs>
        <w:spacing w:line="240" w:lineRule="auto" w:before="17" w:after="0"/>
        <w:ind w:left="395" w:right="0" w:hanging="327"/>
        <w:jc w:val="both"/>
        <w:rPr>
          <w:sz w:val="23"/>
        </w:rPr>
      </w:pPr>
      <w:r>
        <w:rPr>
          <w:sz w:val="23"/>
        </w:rPr>
        <w:t>Grau</w:t>
      </w:r>
      <w:r>
        <w:rPr>
          <w:spacing w:val="-9"/>
          <w:sz w:val="23"/>
        </w:rPr>
        <w:t> </w:t>
      </w:r>
      <w:r>
        <w:rPr>
          <w:sz w:val="23"/>
        </w:rPr>
        <w:t>IV:</w:t>
      </w:r>
      <w:r>
        <w:rPr>
          <w:spacing w:val="-5"/>
          <w:sz w:val="23"/>
        </w:rPr>
        <w:t> </w:t>
      </w:r>
      <w:r>
        <w:rPr>
          <w:sz w:val="23"/>
        </w:rPr>
        <w:t>são</w:t>
      </w:r>
      <w:r>
        <w:rPr>
          <w:spacing w:val="-6"/>
          <w:sz w:val="23"/>
        </w:rPr>
        <w:t> </w:t>
      </w:r>
      <w:r>
        <w:rPr>
          <w:sz w:val="23"/>
        </w:rPr>
        <w:t>os achados</w:t>
      </w:r>
      <w:r>
        <w:rPr>
          <w:spacing w:val="1"/>
          <w:sz w:val="23"/>
        </w:rPr>
        <w:t> </w:t>
      </w:r>
      <w:r>
        <w:rPr>
          <w:sz w:val="23"/>
        </w:rPr>
        <w:t>encontrados</w:t>
      </w:r>
      <w:r>
        <w:rPr>
          <w:spacing w:val="1"/>
          <w:sz w:val="23"/>
        </w:rPr>
        <w:t> </w:t>
      </w:r>
      <w:r>
        <w:rPr>
          <w:sz w:val="23"/>
        </w:rPr>
        <w:t>no</w:t>
      </w:r>
      <w:r>
        <w:rPr>
          <w:spacing w:val="-7"/>
          <w:sz w:val="23"/>
        </w:rPr>
        <w:t> </w:t>
      </w:r>
      <w:r>
        <w:rPr>
          <w:sz w:val="23"/>
        </w:rPr>
        <w:t>grau</w:t>
      </w:r>
      <w:r>
        <w:rPr>
          <w:spacing w:val="-7"/>
          <w:sz w:val="23"/>
        </w:rPr>
        <w:t> </w:t>
      </w:r>
      <w:r>
        <w:rPr>
          <w:sz w:val="23"/>
        </w:rPr>
        <w:t>III</w:t>
      </w:r>
      <w:r>
        <w:rPr>
          <w:spacing w:val="-2"/>
          <w:sz w:val="23"/>
        </w:rPr>
        <w:t> </w:t>
      </w:r>
      <w:r>
        <w:rPr>
          <w:sz w:val="23"/>
        </w:rPr>
        <w:t>mais</w:t>
      </w:r>
      <w:r>
        <w:rPr>
          <w:spacing w:val="1"/>
          <w:sz w:val="23"/>
        </w:rPr>
        <w:t> </w:t>
      </w:r>
      <w:r>
        <w:rPr>
          <w:sz w:val="23"/>
        </w:rPr>
        <w:t>o</w:t>
      </w:r>
      <w:r>
        <w:rPr>
          <w:spacing w:val="-7"/>
          <w:sz w:val="23"/>
        </w:rPr>
        <w:t> </w:t>
      </w:r>
      <w:r>
        <w:rPr>
          <w:sz w:val="23"/>
        </w:rPr>
        <w:t>edema</w:t>
      </w:r>
      <w:r>
        <w:rPr>
          <w:spacing w:val="-9"/>
          <w:sz w:val="23"/>
        </w:rPr>
        <w:t> </w:t>
      </w:r>
      <w:r>
        <w:rPr>
          <w:sz w:val="23"/>
        </w:rPr>
        <w:t>de</w:t>
      </w:r>
      <w:r>
        <w:rPr>
          <w:spacing w:val="-9"/>
          <w:sz w:val="23"/>
        </w:rPr>
        <w:t> </w:t>
      </w:r>
      <w:r>
        <w:rPr>
          <w:spacing w:val="-2"/>
          <w:sz w:val="23"/>
        </w:rPr>
        <w:t>papila.</w:t>
      </w:r>
    </w:p>
    <w:p>
      <w:pPr>
        <w:pStyle w:val="BodyText"/>
        <w:spacing w:before="15"/>
        <w:ind w:left="0" w:firstLine="0"/>
        <w:jc w:val="left"/>
      </w:pPr>
    </w:p>
    <w:p>
      <w:pPr>
        <w:pStyle w:val="BodyText"/>
        <w:spacing w:line="290" w:lineRule="auto" w:before="0"/>
        <w:ind w:right="488"/>
      </w:pPr>
      <w:r>
        <w:rPr/>
        <w:t>A ocorrência da retinopatia hipertensiva é um indicativo para o início do tratamento anti-hipertensivo, até mesmo em pessoas com hipertensão de</w:t>
      </w:r>
      <w:r>
        <w:rPr>
          <w:spacing w:val="-2"/>
        </w:rPr>
        <w:t> </w:t>
      </w:r>
      <w:r>
        <w:rPr/>
        <w:t>estágio I ou que</w:t>
      </w:r>
      <w:r>
        <w:rPr>
          <w:spacing w:val="-2"/>
        </w:rPr>
        <w:t> </w:t>
      </w:r>
      <w:r>
        <w:rPr/>
        <w:t>não tenham outras evidências de</w:t>
      </w:r>
      <w:r>
        <w:rPr>
          <w:spacing w:val="-2"/>
        </w:rPr>
        <w:t> </w:t>
      </w:r>
      <w:r>
        <w:rPr/>
        <w:t>lesões de</w:t>
      </w:r>
      <w:r>
        <w:rPr>
          <w:spacing w:val="-2"/>
        </w:rPr>
        <w:t> </w:t>
      </w:r>
      <w:r>
        <w:rPr/>
        <w:t>órgãos-alvo.</w:t>
      </w:r>
      <w:r>
        <w:rPr>
          <w:vertAlign w:val="superscript"/>
        </w:rPr>
        <w:t>13</w:t>
      </w:r>
    </w:p>
    <w:p>
      <w:pPr>
        <w:pStyle w:val="BodyText"/>
        <w:spacing w:line="280" w:lineRule="auto" w:before="33"/>
        <w:ind w:right="488"/>
      </w:pPr>
      <w:r>
        <w:rPr/>
        <w:t>Essas observações são respaldadas por fortes evidências de que a retinopatia hipertensiva está associada a outras lesões de órgãos-alvo, destacadamente o acidente vascular cerebral, no qual a circulação retiniana tem características embriológicas, anatômicas e fisiológicas semelhantes às da circulação cerebral.</w:t>
      </w:r>
      <w:r>
        <w:rPr>
          <w:vertAlign w:val="superscript"/>
        </w:rPr>
        <w:t>11</w:t>
      </w:r>
      <w:r>
        <w:rPr>
          <w:vertAlign w:val="baseline"/>
        </w:rPr>
        <w:t> Apesar da recomendação da oftalmoscopia para o paciente hipertenso, muitos médicos não realizam a oftalmoscopia como parte</w:t>
      </w:r>
      <w:r>
        <w:rPr>
          <w:spacing w:val="-5"/>
          <w:vertAlign w:val="baseline"/>
        </w:rPr>
        <w:t> </w:t>
      </w:r>
      <w:r>
        <w:rPr>
          <w:vertAlign w:val="baseline"/>
        </w:rPr>
        <w:t>da</w:t>
      </w:r>
      <w:r>
        <w:rPr>
          <w:spacing w:val="-5"/>
          <w:vertAlign w:val="baseline"/>
        </w:rPr>
        <w:t> </w:t>
      </w:r>
      <w:r>
        <w:rPr>
          <w:vertAlign w:val="baseline"/>
        </w:rPr>
        <w:t>avaliação</w:t>
      </w:r>
      <w:r>
        <w:rPr>
          <w:spacing w:val="-2"/>
          <w:vertAlign w:val="baseline"/>
        </w:rPr>
        <w:t> </w:t>
      </w:r>
      <w:r>
        <w:rPr>
          <w:vertAlign w:val="baseline"/>
        </w:rPr>
        <w:t>global da</w:t>
      </w:r>
      <w:r>
        <w:rPr>
          <w:spacing w:val="-5"/>
          <w:vertAlign w:val="baseline"/>
        </w:rPr>
        <w:t> </w:t>
      </w:r>
      <w:r>
        <w:rPr>
          <w:vertAlign w:val="baseline"/>
        </w:rPr>
        <w:t>HAS, tanto</w:t>
      </w:r>
      <w:r>
        <w:rPr>
          <w:spacing w:val="-2"/>
          <w:vertAlign w:val="baseline"/>
        </w:rPr>
        <w:t> </w:t>
      </w:r>
      <w:r>
        <w:rPr>
          <w:vertAlign w:val="baseline"/>
        </w:rPr>
        <w:t>por desconhecimento</w:t>
      </w:r>
      <w:r>
        <w:rPr>
          <w:spacing w:val="-2"/>
          <w:vertAlign w:val="baseline"/>
        </w:rPr>
        <w:t> </w:t>
      </w:r>
      <w:r>
        <w:rPr>
          <w:vertAlign w:val="baseline"/>
        </w:rPr>
        <w:t>da</w:t>
      </w:r>
      <w:r>
        <w:rPr>
          <w:spacing w:val="-5"/>
          <w:vertAlign w:val="baseline"/>
        </w:rPr>
        <w:t> </w:t>
      </w:r>
      <w:r>
        <w:rPr>
          <w:vertAlign w:val="baseline"/>
        </w:rPr>
        <w:t>conduta</w:t>
      </w:r>
      <w:r>
        <w:rPr>
          <w:spacing w:val="-5"/>
          <w:vertAlign w:val="baseline"/>
        </w:rPr>
        <w:t> </w:t>
      </w:r>
      <w:r>
        <w:rPr>
          <w:vertAlign w:val="baseline"/>
        </w:rPr>
        <w:t>quanto</w:t>
      </w:r>
      <w:r>
        <w:rPr>
          <w:spacing w:val="-2"/>
          <w:vertAlign w:val="baseline"/>
        </w:rPr>
        <w:t> </w:t>
      </w:r>
      <w:r>
        <w:rPr>
          <w:vertAlign w:val="baseline"/>
        </w:rPr>
        <w:t>da</w:t>
      </w:r>
      <w:r>
        <w:rPr>
          <w:spacing w:val="-5"/>
          <w:vertAlign w:val="baseline"/>
        </w:rPr>
        <w:t> </w:t>
      </w:r>
      <w:r>
        <w:rPr>
          <w:vertAlign w:val="baseline"/>
        </w:rPr>
        <w:t>técnica.</w:t>
      </w:r>
    </w:p>
    <w:p>
      <w:pPr>
        <w:pStyle w:val="BodyText"/>
        <w:spacing w:after="0" w:line="280" w:lineRule="auto"/>
        <w:sectPr>
          <w:pgSz w:w="11900" w:h="16840"/>
          <w:pgMar w:top="220" w:bottom="280" w:left="566" w:right="141"/>
        </w:sectPr>
      </w:pPr>
    </w:p>
    <w:p>
      <w:pPr>
        <w:spacing w:line="240" w:lineRule="auto"/>
        <w:ind w:left="1443" w:right="0" w:firstLine="0"/>
        <w:rPr>
          <w:sz w:val="20"/>
        </w:rPr>
      </w:pPr>
      <w:r>
        <w:rPr>
          <w:sz w:val="20"/>
        </w:rPr>
        <w:drawing>
          <wp:inline distT="0" distB="0" distL="0" distR="0">
            <wp:extent cx="5024538" cy="399516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0" cstate="print"/>
                    <a:stretch>
                      <a:fillRect/>
                    </a:stretch>
                  </pic:blipFill>
                  <pic:spPr>
                    <a:xfrm>
                      <a:off x="0" y="0"/>
                      <a:ext cx="5024538" cy="3995165"/>
                    </a:xfrm>
                    <a:prstGeom prst="rect">
                      <a:avLst/>
                    </a:prstGeom>
                  </pic:spPr>
                </pic:pic>
              </a:graphicData>
            </a:graphic>
          </wp:inline>
        </w:drawing>
      </w:r>
      <w:r>
        <w:rPr>
          <w:sz w:val="20"/>
        </w:rPr>
      </w:r>
    </w:p>
    <w:p>
      <w:pPr>
        <w:pStyle w:val="BodyText"/>
        <w:spacing w:before="64"/>
        <w:ind w:left="0" w:firstLine="0"/>
        <w:jc w:val="left"/>
        <w:rPr>
          <w:sz w:val="19"/>
        </w:rPr>
      </w:pPr>
    </w:p>
    <w:p>
      <w:pPr>
        <w:spacing w:line="285" w:lineRule="auto"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8"/>
          <w:sz w:val="19"/>
        </w:rPr>
        <w:t> </w:t>
      </w:r>
      <w:r>
        <w:rPr>
          <w:rFonts w:ascii="Arial" w:hAnsi="Arial"/>
          <w:b/>
          <w:color w:val="242B67"/>
          <w:sz w:val="19"/>
        </w:rPr>
        <w:t>57.2</w:t>
      </w:r>
      <w:r>
        <w:rPr>
          <w:rFonts w:ascii="Arial" w:hAnsi="Arial"/>
          <w:b/>
          <w:color w:val="242B67"/>
          <w:spacing w:val="39"/>
          <w:sz w:val="19"/>
        </w:rPr>
        <w:t> </w:t>
      </w:r>
      <w:r>
        <w:rPr>
          <w:rFonts w:ascii="Microsoft Sans Serif" w:hAnsi="Microsoft Sans Serif"/>
          <w:sz w:val="19"/>
        </w:rPr>
        <w:t>Esquema</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sistema</w:t>
      </w:r>
      <w:r>
        <w:rPr>
          <w:rFonts w:ascii="Microsoft Sans Serif" w:hAnsi="Microsoft Sans Serif"/>
          <w:spacing w:val="40"/>
          <w:sz w:val="19"/>
        </w:rPr>
        <w:t> </w:t>
      </w:r>
      <w:r>
        <w:rPr>
          <w:rFonts w:ascii="Microsoft Sans Serif" w:hAnsi="Microsoft Sans Serif"/>
          <w:sz w:val="19"/>
        </w:rPr>
        <w:t>renina-angiotensina-aldosterona.</w:t>
      </w:r>
      <w:r>
        <w:rPr>
          <w:rFonts w:ascii="Microsoft Sans Serif" w:hAnsi="Microsoft Sans Serif"/>
          <w:sz w:val="19"/>
          <w:vertAlign w:val="superscript"/>
        </w:rPr>
        <w:t>14</w:t>
      </w:r>
      <w:r>
        <w:rPr>
          <w:rFonts w:ascii="Microsoft Sans Serif" w:hAnsi="Microsoft Sans Serif"/>
          <w:spacing w:val="28"/>
          <w:sz w:val="19"/>
          <w:vertAlign w:val="baseline"/>
        </w:rPr>
        <w:t> </w:t>
      </w:r>
      <w:r>
        <w:rPr>
          <w:rFonts w:ascii="Microsoft Sans Serif" w:hAnsi="Microsoft Sans Serif"/>
          <w:sz w:val="19"/>
          <w:vertAlign w:val="baseline"/>
        </w:rPr>
        <w:t>ANG</w:t>
      </w:r>
      <w:r>
        <w:rPr>
          <w:rFonts w:ascii="Microsoft Sans Serif" w:hAnsi="Microsoft Sans Serif"/>
          <w:spacing w:val="28"/>
          <w:sz w:val="19"/>
          <w:vertAlign w:val="baseline"/>
        </w:rPr>
        <w:t> </w:t>
      </w:r>
      <w:r>
        <w:rPr>
          <w:rFonts w:ascii="Microsoft Sans Serif" w:hAnsi="Microsoft Sans Serif"/>
          <w:sz w:val="19"/>
          <w:vertAlign w:val="baseline"/>
        </w:rPr>
        <w:t>=</w:t>
      </w:r>
      <w:r>
        <w:rPr>
          <w:rFonts w:ascii="Microsoft Sans Serif" w:hAnsi="Microsoft Sans Serif"/>
          <w:spacing w:val="35"/>
          <w:sz w:val="19"/>
          <w:vertAlign w:val="baseline"/>
        </w:rPr>
        <w:t> </w:t>
      </w:r>
      <w:r>
        <w:rPr>
          <w:rFonts w:ascii="Microsoft Sans Serif" w:hAnsi="Microsoft Sans Serif"/>
          <w:sz w:val="19"/>
          <w:vertAlign w:val="baseline"/>
        </w:rPr>
        <w:t>angiotensina;</w:t>
      </w:r>
      <w:r>
        <w:rPr>
          <w:rFonts w:ascii="Microsoft Sans Serif" w:hAnsi="Microsoft Sans Serif"/>
          <w:spacing w:val="28"/>
          <w:sz w:val="19"/>
          <w:vertAlign w:val="baseline"/>
        </w:rPr>
        <w:t> </w:t>
      </w:r>
      <w:r>
        <w:rPr>
          <w:rFonts w:ascii="Microsoft Sans Serif" w:hAnsi="Microsoft Sans Serif"/>
          <w:sz w:val="19"/>
          <w:vertAlign w:val="baseline"/>
        </w:rPr>
        <w:t>ECA</w:t>
      </w:r>
      <w:r>
        <w:rPr>
          <w:rFonts w:ascii="Microsoft Sans Serif" w:hAnsi="Microsoft Sans Serif"/>
          <w:spacing w:val="35"/>
          <w:sz w:val="19"/>
          <w:vertAlign w:val="baseline"/>
        </w:rPr>
        <w:t> </w:t>
      </w:r>
      <w:r>
        <w:rPr>
          <w:rFonts w:ascii="Microsoft Sans Serif" w:hAnsi="Microsoft Sans Serif"/>
          <w:sz w:val="19"/>
          <w:vertAlign w:val="baseline"/>
        </w:rPr>
        <w:t>=</w:t>
      </w:r>
      <w:r>
        <w:rPr>
          <w:rFonts w:ascii="Microsoft Sans Serif" w:hAnsi="Microsoft Sans Serif"/>
          <w:spacing w:val="35"/>
          <w:sz w:val="19"/>
          <w:vertAlign w:val="baseline"/>
        </w:rPr>
        <w:t> </w:t>
      </w:r>
      <w:r>
        <w:rPr>
          <w:rFonts w:ascii="Microsoft Sans Serif" w:hAnsi="Microsoft Sans Serif"/>
          <w:sz w:val="19"/>
          <w:vertAlign w:val="baseline"/>
        </w:rPr>
        <w:t>enzima</w:t>
      </w:r>
      <w:r>
        <w:rPr>
          <w:rFonts w:ascii="Microsoft Sans Serif" w:hAnsi="Microsoft Sans Serif"/>
          <w:spacing w:val="40"/>
          <w:sz w:val="19"/>
          <w:vertAlign w:val="baseline"/>
        </w:rPr>
        <w:t> </w:t>
      </w:r>
      <w:r>
        <w:rPr>
          <w:rFonts w:ascii="Microsoft Sans Serif" w:hAnsi="Microsoft Sans Serif"/>
          <w:sz w:val="19"/>
          <w:vertAlign w:val="baseline"/>
        </w:rPr>
        <w:t>conversora</w:t>
      </w:r>
      <w:r>
        <w:rPr>
          <w:rFonts w:ascii="Microsoft Sans Serif" w:hAnsi="Microsoft Sans Serif"/>
          <w:spacing w:val="40"/>
          <w:sz w:val="19"/>
          <w:vertAlign w:val="baseline"/>
        </w:rPr>
        <w:t> </w:t>
      </w:r>
      <w:r>
        <w:rPr>
          <w:rFonts w:ascii="Microsoft Sans Serif" w:hAnsi="Microsoft Sans Serif"/>
          <w:sz w:val="19"/>
          <w:vertAlign w:val="baseline"/>
        </w:rPr>
        <w:t>da </w:t>
      </w:r>
      <w:r>
        <w:rPr>
          <w:rFonts w:ascii="Microsoft Sans Serif" w:hAnsi="Microsoft Sans Serif"/>
          <w:spacing w:val="-2"/>
          <w:sz w:val="19"/>
          <w:vertAlign w:val="baseline"/>
        </w:rPr>
        <w:t>angiotensina.</w:t>
      </w:r>
    </w:p>
    <w:p>
      <w:pPr>
        <w:pStyle w:val="BodyText"/>
        <w:spacing w:before="0"/>
        <w:ind w:left="0" w:firstLine="0"/>
        <w:jc w:val="left"/>
        <w:rPr>
          <w:rFonts w:ascii="Microsoft Sans Serif"/>
          <w:sz w:val="19"/>
        </w:rPr>
      </w:pPr>
    </w:p>
    <w:p>
      <w:pPr>
        <w:pStyle w:val="BodyText"/>
        <w:spacing w:before="12"/>
        <w:ind w:left="0" w:firstLine="0"/>
        <w:jc w:val="left"/>
        <w:rPr>
          <w:rFonts w:ascii="Microsoft Sans Serif"/>
          <w:sz w:val="19"/>
        </w:rPr>
      </w:pPr>
    </w:p>
    <w:p>
      <w:pPr>
        <w:pStyle w:val="Heading4"/>
      </w:pPr>
      <w:r>
        <w:rPr>
          <w:color w:val="242B67"/>
        </w:rPr>
        <w:t>Avaliação inicial de rotina para todos os pacientes </w:t>
      </w:r>
      <w:r>
        <w:rPr>
          <w:color w:val="242B67"/>
          <w:spacing w:val="-2"/>
        </w:rPr>
        <w:t>hipertensos</w:t>
      </w:r>
    </w:p>
    <w:p>
      <w:pPr>
        <w:pStyle w:val="BodyText"/>
        <w:spacing w:line="276" w:lineRule="auto" w:before="148"/>
        <w:ind w:right="501"/>
      </w:pPr>
      <w:r>
        <w:rPr/>
        <w:t>Todos</w:t>
      </w:r>
      <w:r>
        <w:rPr>
          <w:spacing w:val="-2"/>
        </w:rPr>
        <w:t> </w:t>
      </w:r>
      <w:r>
        <w:rPr/>
        <w:t>os</w:t>
      </w:r>
      <w:r>
        <w:rPr>
          <w:spacing w:val="-2"/>
        </w:rPr>
        <w:t> </w:t>
      </w:r>
      <w:r>
        <w:rPr/>
        <w:t>pacientes</w:t>
      </w:r>
      <w:r>
        <w:rPr>
          <w:spacing w:val="-2"/>
        </w:rPr>
        <w:t> </w:t>
      </w:r>
      <w:r>
        <w:rPr/>
        <w:t>hipertensos</w:t>
      </w:r>
      <w:r>
        <w:rPr>
          <w:spacing w:val="-2"/>
        </w:rPr>
        <w:t> </w:t>
      </w:r>
      <w:r>
        <w:rPr/>
        <w:t>devem</w:t>
      </w:r>
      <w:r>
        <w:rPr>
          <w:spacing w:val="-9"/>
        </w:rPr>
        <w:t> </w:t>
      </w:r>
      <w:r>
        <w:rPr/>
        <w:t>realizar</w:t>
      </w:r>
      <w:r>
        <w:rPr>
          <w:spacing w:val="-4"/>
        </w:rPr>
        <w:t> </w:t>
      </w:r>
      <w:r>
        <w:rPr/>
        <w:t>a</w:t>
      </w:r>
      <w:r>
        <w:rPr>
          <w:spacing w:val="-11"/>
        </w:rPr>
        <w:t> </w:t>
      </w:r>
      <w:r>
        <w:rPr/>
        <w:t>avaliação</w:t>
      </w:r>
      <w:r>
        <w:rPr>
          <w:spacing w:val="-9"/>
        </w:rPr>
        <w:t> </w:t>
      </w:r>
      <w:r>
        <w:rPr/>
        <w:t>laboratorial</w:t>
      </w:r>
      <w:r>
        <w:rPr>
          <w:spacing w:val="-7"/>
        </w:rPr>
        <w:t> </w:t>
      </w:r>
      <w:r>
        <w:rPr/>
        <w:t>mínima.</w:t>
      </w:r>
      <w:r>
        <w:rPr>
          <w:spacing w:val="-2"/>
        </w:rPr>
        <w:t> </w:t>
      </w:r>
      <w:r>
        <w:rPr/>
        <w:t>Outros</w:t>
      </w:r>
      <w:r>
        <w:rPr>
          <w:spacing w:val="-2"/>
        </w:rPr>
        <w:t> </w:t>
      </w:r>
      <w:r>
        <w:rPr/>
        <w:t>exames</w:t>
      </w:r>
      <w:r>
        <w:rPr>
          <w:spacing w:val="-2"/>
        </w:rPr>
        <w:t> </w:t>
      </w:r>
      <w:r>
        <w:rPr/>
        <w:t>complementares poderão</w:t>
      </w:r>
      <w:r>
        <w:rPr>
          <w:spacing w:val="-7"/>
        </w:rPr>
        <w:t> </w:t>
      </w:r>
      <w:r>
        <w:rPr/>
        <w:t>ser</w:t>
      </w:r>
      <w:r>
        <w:rPr>
          <w:spacing w:val="-2"/>
        </w:rPr>
        <w:t> </w:t>
      </w:r>
      <w:r>
        <w:rPr/>
        <w:t>solicitados, quando</w:t>
      </w:r>
      <w:r>
        <w:rPr>
          <w:spacing w:val="-7"/>
        </w:rPr>
        <w:t> </w:t>
      </w:r>
      <w:r>
        <w:rPr/>
        <w:t>houver</w:t>
      </w:r>
      <w:r>
        <w:rPr>
          <w:spacing w:val="-2"/>
        </w:rPr>
        <w:t> </w:t>
      </w:r>
      <w:r>
        <w:rPr/>
        <w:t>alguma</w:t>
      </w:r>
      <w:r>
        <w:rPr>
          <w:spacing w:val="-10"/>
        </w:rPr>
        <w:t> </w:t>
      </w:r>
      <w:r>
        <w:rPr/>
        <w:t>indicação</w:t>
      </w:r>
      <w:r>
        <w:rPr>
          <w:spacing w:val="-7"/>
        </w:rPr>
        <w:t> </w:t>
      </w:r>
      <w:r>
        <w:rPr/>
        <w:t>clínica. A</w:t>
      </w:r>
      <w:r>
        <w:rPr>
          <w:spacing w:val="-10"/>
        </w:rPr>
        <w:t> </w:t>
      </w:r>
      <w:r>
        <w:rPr/>
        <w:t>avaliação</w:t>
      </w:r>
      <w:r>
        <w:rPr>
          <w:spacing w:val="-7"/>
        </w:rPr>
        <w:t> </w:t>
      </w:r>
      <w:r>
        <w:rPr/>
        <w:t>laboratorial</w:t>
      </w:r>
      <w:r>
        <w:rPr>
          <w:spacing w:val="-5"/>
        </w:rPr>
        <w:t> </w:t>
      </w:r>
      <w:r>
        <w:rPr/>
        <w:t>mínima</w:t>
      </w:r>
      <w:r>
        <w:rPr>
          <w:spacing w:val="-10"/>
        </w:rPr>
        <w:t> </w:t>
      </w:r>
      <w:r>
        <w:rPr/>
        <w:t>é</w:t>
      </w:r>
      <w:r>
        <w:rPr>
          <w:spacing w:val="-10"/>
        </w:rPr>
        <w:t> </w:t>
      </w:r>
      <w:r>
        <w:rPr/>
        <w:t>composta</w:t>
      </w:r>
      <w:r>
        <w:rPr>
          <w:spacing w:val="-10"/>
        </w:rPr>
        <w:t> </w:t>
      </w:r>
      <w:r>
        <w:rPr/>
        <w:t>pelos seguintes exames:</w:t>
      </w:r>
    </w:p>
    <w:p>
      <w:pPr>
        <w:pStyle w:val="ListParagraph"/>
        <w:numPr>
          <w:ilvl w:val="0"/>
          <w:numId w:val="23"/>
        </w:numPr>
        <w:tabs>
          <w:tab w:pos="397" w:val="left" w:leader="none"/>
        </w:tabs>
        <w:spacing w:line="240" w:lineRule="auto" w:before="160" w:after="0"/>
        <w:ind w:left="397" w:right="0" w:hanging="329"/>
        <w:jc w:val="left"/>
        <w:rPr>
          <w:sz w:val="23"/>
        </w:rPr>
      </w:pPr>
      <w:r>
        <w:rPr>
          <w:sz w:val="23"/>
        </w:rPr>
        <w:t>Urina</w:t>
      </w:r>
      <w:r>
        <w:rPr>
          <w:spacing w:val="-8"/>
          <w:sz w:val="23"/>
        </w:rPr>
        <w:t> </w:t>
      </w:r>
      <w:r>
        <w:rPr>
          <w:sz w:val="23"/>
        </w:rPr>
        <w:t>tipo</w:t>
      </w:r>
      <w:r>
        <w:rPr>
          <w:spacing w:val="-3"/>
          <w:sz w:val="23"/>
        </w:rPr>
        <w:t> </w:t>
      </w:r>
      <w:r>
        <w:rPr>
          <w:spacing w:val="-10"/>
          <w:sz w:val="23"/>
        </w:rPr>
        <w:t>1</w:t>
      </w:r>
    </w:p>
    <w:p>
      <w:pPr>
        <w:pStyle w:val="ListParagraph"/>
        <w:numPr>
          <w:ilvl w:val="0"/>
          <w:numId w:val="23"/>
        </w:numPr>
        <w:tabs>
          <w:tab w:pos="397" w:val="left" w:leader="none"/>
        </w:tabs>
        <w:spacing w:line="240" w:lineRule="auto" w:before="56" w:after="0"/>
        <w:ind w:left="397" w:right="0" w:hanging="329"/>
        <w:jc w:val="left"/>
        <w:rPr>
          <w:sz w:val="23"/>
        </w:rPr>
      </w:pPr>
      <w:r>
        <w:rPr>
          <w:sz w:val="23"/>
        </w:rPr>
        <w:t>Dosagem</w:t>
      </w:r>
      <w:r>
        <w:rPr>
          <w:spacing w:val="-8"/>
          <w:sz w:val="23"/>
        </w:rPr>
        <w:t> </w:t>
      </w:r>
      <w:r>
        <w:rPr>
          <w:sz w:val="23"/>
        </w:rPr>
        <w:t>de</w:t>
      </w:r>
      <w:r>
        <w:rPr>
          <w:spacing w:val="-9"/>
          <w:sz w:val="23"/>
        </w:rPr>
        <w:t> </w:t>
      </w:r>
      <w:r>
        <w:rPr>
          <w:sz w:val="23"/>
        </w:rPr>
        <w:t>potássio</w:t>
      </w:r>
      <w:r>
        <w:rPr>
          <w:spacing w:val="-6"/>
          <w:sz w:val="23"/>
        </w:rPr>
        <w:t> </w:t>
      </w:r>
      <w:r>
        <w:rPr>
          <w:sz w:val="23"/>
        </w:rPr>
        <w:t>e</w:t>
      </w:r>
      <w:r>
        <w:rPr>
          <w:spacing w:val="-8"/>
          <w:sz w:val="23"/>
        </w:rPr>
        <w:t> </w:t>
      </w:r>
      <w:r>
        <w:rPr>
          <w:sz w:val="23"/>
        </w:rPr>
        <w:t>creatinina</w:t>
      </w:r>
      <w:r>
        <w:rPr>
          <w:spacing w:val="-9"/>
          <w:sz w:val="23"/>
        </w:rPr>
        <w:t> </w:t>
      </w:r>
      <w:r>
        <w:rPr>
          <w:sz w:val="23"/>
        </w:rPr>
        <w:t>e</w:t>
      </w:r>
      <w:r>
        <w:rPr>
          <w:spacing w:val="-9"/>
          <w:sz w:val="23"/>
        </w:rPr>
        <w:t> </w:t>
      </w:r>
      <w:r>
        <w:rPr>
          <w:sz w:val="23"/>
        </w:rPr>
        <w:t>estimativa</w:t>
      </w:r>
      <w:r>
        <w:rPr>
          <w:spacing w:val="-8"/>
          <w:sz w:val="23"/>
        </w:rPr>
        <w:t> </w:t>
      </w:r>
      <w:r>
        <w:rPr>
          <w:sz w:val="23"/>
        </w:rPr>
        <w:t>do</w:t>
      </w:r>
      <w:r>
        <w:rPr>
          <w:spacing w:val="-6"/>
          <w:sz w:val="23"/>
        </w:rPr>
        <w:t> </w:t>
      </w:r>
      <w:r>
        <w:rPr>
          <w:sz w:val="23"/>
        </w:rPr>
        <w:t>ritmo</w:t>
      </w:r>
      <w:r>
        <w:rPr>
          <w:spacing w:val="-6"/>
          <w:sz w:val="23"/>
        </w:rPr>
        <w:t> </w:t>
      </w:r>
      <w:r>
        <w:rPr>
          <w:sz w:val="23"/>
        </w:rPr>
        <w:t>de</w:t>
      </w:r>
      <w:r>
        <w:rPr>
          <w:spacing w:val="-9"/>
          <w:sz w:val="23"/>
        </w:rPr>
        <w:t> </w:t>
      </w:r>
      <w:r>
        <w:rPr>
          <w:sz w:val="23"/>
        </w:rPr>
        <w:t>filtração</w:t>
      </w:r>
      <w:r>
        <w:rPr>
          <w:spacing w:val="-5"/>
          <w:sz w:val="23"/>
        </w:rPr>
        <w:t> </w:t>
      </w:r>
      <w:r>
        <w:rPr>
          <w:spacing w:val="-2"/>
          <w:sz w:val="23"/>
        </w:rPr>
        <w:t>glomerular</w:t>
      </w:r>
    </w:p>
    <w:p>
      <w:pPr>
        <w:pStyle w:val="ListParagraph"/>
        <w:numPr>
          <w:ilvl w:val="0"/>
          <w:numId w:val="23"/>
        </w:numPr>
        <w:tabs>
          <w:tab w:pos="397" w:val="left" w:leader="none"/>
        </w:tabs>
        <w:spacing w:line="240" w:lineRule="auto" w:before="56" w:after="0"/>
        <w:ind w:left="397" w:right="0" w:hanging="329"/>
        <w:jc w:val="left"/>
        <w:rPr>
          <w:sz w:val="23"/>
        </w:rPr>
      </w:pPr>
      <w:r>
        <w:rPr>
          <w:spacing w:val="-2"/>
          <w:sz w:val="23"/>
        </w:rPr>
        <w:t>Glicemia</w:t>
      </w:r>
      <w:r>
        <w:rPr>
          <w:spacing w:val="-7"/>
          <w:sz w:val="23"/>
        </w:rPr>
        <w:t> </w:t>
      </w:r>
      <w:r>
        <w:rPr>
          <w:spacing w:val="-2"/>
          <w:sz w:val="23"/>
        </w:rPr>
        <w:t>de</w:t>
      </w:r>
      <w:r>
        <w:rPr>
          <w:spacing w:val="-4"/>
          <w:sz w:val="23"/>
        </w:rPr>
        <w:t> jejum</w:t>
      </w:r>
    </w:p>
    <w:p>
      <w:pPr>
        <w:pStyle w:val="ListParagraph"/>
        <w:numPr>
          <w:ilvl w:val="0"/>
          <w:numId w:val="23"/>
        </w:numPr>
        <w:tabs>
          <w:tab w:pos="397" w:val="left" w:leader="none"/>
        </w:tabs>
        <w:spacing w:line="240" w:lineRule="auto" w:before="72" w:after="0"/>
        <w:ind w:left="397" w:right="0" w:hanging="329"/>
        <w:jc w:val="left"/>
        <w:rPr>
          <w:sz w:val="23"/>
        </w:rPr>
      </w:pPr>
      <w:r>
        <w:rPr>
          <w:sz w:val="23"/>
        </w:rPr>
        <w:t>Colesterol</w:t>
      </w:r>
      <w:r>
        <w:rPr>
          <w:spacing w:val="-4"/>
          <w:sz w:val="23"/>
        </w:rPr>
        <w:t> </w:t>
      </w:r>
      <w:r>
        <w:rPr>
          <w:sz w:val="23"/>
        </w:rPr>
        <w:t>total,</w:t>
      </w:r>
      <w:r>
        <w:rPr>
          <w:spacing w:val="2"/>
          <w:sz w:val="23"/>
        </w:rPr>
        <w:t> </w:t>
      </w:r>
      <w:r>
        <w:rPr>
          <w:sz w:val="23"/>
        </w:rPr>
        <w:t>LDL,</w:t>
      </w:r>
      <w:r>
        <w:rPr>
          <w:spacing w:val="2"/>
          <w:sz w:val="23"/>
        </w:rPr>
        <w:t> </w:t>
      </w:r>
      <w:r>
        <w:rPr>
          <w:sz w:val="23"/>
        </w:rPr>
        <w:t>HDL,</w:t>
      </w:r>
      <w:r>
        <w:rPr>
          <w:spacing w:val="1"/>
          <w:sz w:val="23"/>
        </w:rPr>
        <w:t> </w:t>
      </w:r>
      <w:r>
        <w:rPr>
          <w:sz w:val="23"/>
        </w:rPr>
        <w:t>triglicerídios</w:t>
      </w:r>
      <w:r>
        <w:rPr>
          <w:spacing w:val="2"/>
          <w:sz w:val="23"/>
        </w:rPr>
        <w:t> </w:t>
      </w:r>
      <w:r>
        <w:rPr>
          <w:sz w:val="23"/>
        </w:rPr>
        <w:t>e</w:t>
      </w:r>
      <w:r>
        <w:rPr>
          <w:spacing w:val="-9"/>
          <w:sz w:val="23"/>
        </w:rPr>
        <w:t> </w:t>
      </w:r>
      <w:r>
        <w:rPr>
          <w:sz w:val="23"/>
        </w:rPr>
        <w:t>ácido</w:t>
      </w:r>
      <w:r>
        <w:rPr>
          <w:spacing w:val="-5"/>
          <w:sz w:val="23"/>
        </w:rPr>
        <w:t> </w:t>
      </w:r>
      <w:r>
        <w:rPr>
          <w:spacing w:val="-4"/>
          <w:sz w:val="23"/>
        </w:rPr>
        <w:t>úrico</w:t>
      </w:r>
    </w:p>
    <w:p>
      <w:pPr>
        <w:pStyle w:val="ListParagraph"/>
        <w:numPr>
          <w:ilvl w:val="0"/>
          <w:numId w:val="23"/>
        </w:numPr>
        <w:tabs>
          <w:tab w:pos="397" w:val="left" w:leader="none"/>
        </w:tabs>
        <w:spacing w:line="240" w:lineRule="auto" w:before="56" w:after="0"/>
        <w:ind w:left="397" w:right="0" w:hanging="329"/>
        <w:jc w:val="left"/>
        <w:rPr>
          <w:sz w:val="23"/>
        </w:rPr>
      </w:pPr>
      <w:r>
        <w:rPr>
          <w:spacing w:val="-4"/>
          <w:sz w:val="23"/>
        </w:rPr>
        <w:t>ECG.</w:t>
      </w:r>
    </w:p>
    <w:p>
      <w:pPr>
        <w:pStyle w:val="BodyText"/>
        <w:spacing w:before="224"/>
        <w:ind w:left="0" w:firstLine="0"/>
        <w:jc w:val="left"/>
      </w:pPr>
    </w:p>
    <w:p>
      <w:pPr>
        <w:pStyle w:val="Heading4"/>
        <w:spacing w:before="1"/>
      </w:pPr>
      <w:r>
        <w:rPr>
          <w:color w:val="242B67"/>
        </w:rPr>
        <w:t>Monitoramento ambulatorial da pressão </w:t>
      </w:r>
      <w:r>
        <w:rPr>
          <w:color w:val="242B67"/>
          <w:spacing w:val="-2"/>
        </w:rPr>
        <w:t>arterial</w:t>
      </w:r>
    </w:p>
    <w:p>
      <w:pPr>
        <w:pStyle w:val="BodyText"/>
        <w:spacing w:line="276" w:lineRule="auto" w:before="147"/>
        <w:ind w:right="491"/>
      </w:pPr>
      <w:r>
        <w:rPr/>
        <w:t>A</w:t>
      </w:r>
      <w:r>
        <w:rPr>
          <w:spacing w:val="-12"/>
        </w:rPr>
        <w:t> </w:t>
      </w:r>
      <w:r>
        <w:rPr/>
        <w:t>pressão</w:t>
      </w:r>
      <w:r>
        <w:rPr>
          <w:spacing w:val="-9"/>
        </w:rPr>
        <w:t> </w:t>
      </w:r>
      <w:r>
        <w:rPr/>
        <w:t>arterial</w:t>
      </w:r>
      <w:r>
        <w:rPr>
          <w:spacing w:val="-7"/>
        </w:rPr>
        <w:t> </w:t>
      </w:r>
      <w:r>
        <w:rPr/>
        <w:t>varia</w:t>
      </w:r>
      <w:r>
        <w:rPr>
          <w:spacing w:val="-12"/>
        </w:rPr>
        <w:t> </w:t>
      </w:r>
      <w:r>
        <w:rPr/>
        <w:t>em</w:t>
      </w:r>
      <w:r>
        <w:rPr>
          <w:spacing w:val="-9"/>
        </w:rPr>
        <w:t> </w:t>
      </w:r>
      <w:r>
        <w:rPr/>
        <w:t>função</w:t>
      </w:r>
      <w:r>
        <w:rPr>
          <w:spacing w:val="-9"/>
        </w:rPr>
        <w:t> </w:t>
      </w:r>
      <w:r>
        <w:rPr/>
        <w:t>das</w:t>
      </w:r>
      <w:r>
        <w:rPr>
          <w:spacing w:val="-2"/>
        </w:rPr>
        <w:t> </w:t>
      </w:r>
      <w:r>
        <w:rPr/>
        <w:t>interações</w:t>
      </w:r>
      <w:r>
        <w:rPr>
          <w:spacing w:val="-2"/>
        </w:rPr>
        <w:t> </w:t>
      </w:r>
      <w:r>
        <w:rPr/>
        <w:t>de</w:t>
      </w:r>
      <w:r>
        <w:rPr>
          <w:spacing w:val="-12"/>
        </w:rPr>
        <w:t> </w:t>
      </w:r>
      <w:r>
        <w:rPr/>
        <w:t>fatores</w:t>
      </w:r>
      <w:r>
        <w:rPr>
          <w:spacing w:val="-2"/>
        </w:rPr>
        <w:t> </w:t>
      </w:r>
      <w:r>
        <w:rPr/>
        <w:t>neuro-humorais,</w:t>
      </w:r>
      <w:r>
        <w:rPr>
          <w:spacing w:val="-2"/>
        </w:rPr>
        <w:t> </w:t>
      </w:r>
      <w:r>
        <w:rPr/>
        <w:t>comportamentais</w:t>
      </w:r>
      <w:r>
        <w:rPr>
          <w:spacing w:val="-2"/>
        </w:rPr>
        <w:t> </w:t>
      </w:r>
      <w:r>
        <w:rPr/>
        <w:t>e</w:t>
      </w:r>
      <w:r>
        <w:rPr>
          <w:spacing w:val="-12"/>
        </w:rPr>
        <w:t> </w:t>
      </w:r>
      <w:r>
        <w:rPr/>
        <w:t>ambientais.</w:t>
      </w:r>
      <w:r>
        <w:rPr>
          <w:spacing w:val="-2"/>
        </w:rPr>
        <w:t> </w:t>
      </w:r>
      <w:r>
        <w:rPr/>
        <w:t>Em decorrência disso, observa-se uma variação contínua no comportamento fisiológico da pressão arterial em 24 h. Entender esse comportamento é importante em determinadas circunstâncias para o estabelecimento de estratégias terapêuticas e prognósticas. Em condições normais, há uma queda de cerca de 10% da pressão arterial durante o sono (descenso noturno – padrão </w:t>
      </w:r>
      <w:r>
        <w:rPr>
          <w:i/>
        </w:rPr>
        <w:t>dipper</w:t>
      </w:r>
      <w:r>
        <w:rPr/>
        <w:t>). Quando a queda é inferior a 10%, esse indivíduo é considerado como </w:t>
      </w:r>
      <w:r>
        <w:rPr>
          <w:i/>
        </w:rPr>
        <w:t>nondipper</w:t>
      </w:r>
      <w:r>
        <w:rPr/>
        <w:t>. Apesar de muito questionado, esse padrão tem sido correlacionado com um pior prognóstico cardiovascular em relação aos indivíduos que apresentam o descenso noturno. As principais indicações do monitoramento ambulatorial da pressão arterial são:</w:t>
      </w:r>
    </w:p>
    <w:p>
      <w:pPr>
        <w:pStyle w:val="ListParagraph"/>
        <w:numPr>
          <w:ilvl w:val="0"/>
          <w:numId w:val="23"/>
        </w:numPr>
        <w:tabs>
          <w:tab w:pos="397" w:val="left" w:leader="none"/>
        </w:tabs>
        <w:spacing w:line="240" w:lineRule="auto" w:before="162" w:after="0"/>
        <w:ind w:left="397" w:right="0" w:hanging="329"/>
        <w:jc w:val="left"/>
        <w:rPr>
          <w:sz w:val="23"/>
        </w:rPr>
      </w:pPr>
      <w:r>
        <w:rPr>
          <w:sz w:val="23"/>
        </w:rPr>
        <w:t>Hipertensão</w:t>
      </w:r>
      <w:r>
        <w:rPr>
          <w:spacing w:val="-11"/>
          <w:sz w:val="23"/>
        </w:rPr>
        <w:t> </w:t>
      </w:r>
      <w:r>
        <w:rPr>
          <w:sz w:val="23"/>
        </w:rPr>
        <w:t>de</w:t>
      </w:r>
      <w:r>
        <w:rPr>
          <w:spacing w:val="-13"/>
          <w:sz w:val="23"/>
        </w:rPr>
        <w:t> </w:t>
      </w:r>
      <w:r>
        <w:rPr>
          <w:sz w:val="23"/>
        </w:rPr>
        <w:t>consultório</w:t>
      </w:r>
      <w:r>
        <w:rPr>
          <w:spacing w:val="-11"/>
          <w:sz w:val="23"/>
        </w:rPr>
        <w:t> </w:t>
      </w:r>
      <w:r>
        <w:rPr>
          <w:sz w:val="23"/>
        </w:rPr>
        <w:t>ou</w:t>
      </w:r>
      <w:r>
        <w:rPr>
          <w:spacing w:val="-10"/>
          <w:sz w:val="23"/>
        </w:rPr>
        <w:t> </w:t>
      </w:r>
      <w:r>
        <w:rPr>
          <w:sz w:val="23"/>
        </w:rPr>
        <w:t>do</w:t>
      </w:r>
      <w:r>
        <w:rPr>
          <w:spacing w:val="-11"/>
          <w:sz w:val="23"/>
        </w:rPr>
        <w:t> </w:t>
      </w:r>
      <w:r>
        <w:rPr>
          <w:sz w:val="23"/>
        </w:rPr>
        <w:t>avental</w:t>
      </w:r>
      <w:r>
        <w:rPr>
          <w:spacing w:val="-8"/>
          <w:sz w:val="23"/>
        </w:rPr>
        <w:t> </w:t>
      </w:r>
      <w:r>
        <w:rPr>
          <w:spacing w:val="-2"/>
          <w:sz w:val="23"/>
        </w:rPr>
        <w:t>branco</w:t>
      </w:r>
    </w:p>
    <w:p>
      <w:pPr>
        <w:pStyle w:val="ListParagraph"/>
        <w:numPr>
          <w:ilvl w:val="0"/>
          <w:numId w:val="23"/>
        </w:numPr>
        <w:tabs>
          <w:tab w:pos="397" w:val="left" w:leader="none"/>
        </w:tabs>
        <w:spacing w:line="240" w:lineRule="auto" w:before="56" w:after="0"/>
        <w:ind w:left="397" w:right="0" w:hanging="329"/>
        <w:jc w:val="left"/>
        <w:rPr>
          <w:sz w:val="23"/>
        </w:rPr>
      </w:pPr>
      <w:r>
        <w:rPr>
          <w:spacing w:val="-2"/>
          <w:sz w:val="23"/>
        </w:rPr>
        <w:t>Avaliação</w:t>
      </w:r>
      <w:r>
        <w:rPr>
          <w:spacing w:val="-7"/>
          <w:sz w:val="23"/>
        </w:rPr>
        <w:t> </w:t>
      </w:r>
      <w:r>
        <w:rPr>
          <w:spacing w:val="-2"/>
          <w:sz w:val="23"/>
        </w:rPr>
        <w:t>da</w:t>
      </w:r>
      <w:r>
        <w:rPr>
          <w:spacing w:val="-9"/>
          <w:sz w:val="23"/>
        </w:rPr>
        <w:t> </w:t>
      </w:r>
      <w:r>
        <w:rPr>
          <w:spacing w:val="-2"/>
          <w:sz w:val="23"/>
        </w:rPr>
        <w:t>HAS</w:t>
      </w:r>
      <w:r>
        <w:rPr>
          <w:spacing w:val="-4"/>
          <w:sz w:val="23"/>
        </w:rPr>
        <w:t> </w:t>
      </w:r>
      <w:r>
        <w:rPr>
          <w:spacing w:val="-2"/>
          <w:sz w:val="23"/>
        </w:rPr>
        <w:t>resistente</w:t>
      </w:r>
    </w:p>
    <w:p>
      <w:pPr>
        <w:pStyle w:val="ListParagraph"/>
        <w:numPr>
          <w:ilvl w:val="0"/>
          <w:numId w:val="23"/>
        </w:numPr>
        <w:tabs>
          <w:tab w:pos="397" w:val="left" w:leader="none"/>
        </w:tabs>
        <w:spacing w:line="240" w:lineRule="auto" w:before="71" w:after="0"/>
        <w:ind w:left="397" w:right="0" w:hanging="329"/>
        <w:jc w:val="left"/>
        <w:rPr>
          <w:sz w:val="23"/>
        </w:rPr>
      </w:pPr>
      <w:r>
        <w:rPr>
          <w:sz w:val="23"/>
        </w:rPr>
        <w:t>Suspeita</w:t>
      </w:r>
      <w:r>
        <w:rPr>
          <w:spacing w:val="-10"/>
          <w:sz w:val="23"/>
        </w:rPr>
        <w:t> </w:t>
      </w:r>
      <w:r>
        <w:rPr>
          <w:sz w:val="23"/>
        </w:rPr>
        <w:t>de</w:t>
      </w:r>
      <w:r>
        <w:rPr>
          <w:spacing w:val="-9"/>
          <w:sz w:val="23"/>
        </w:rPr>
        <w:t> </w:t>
      </w:r>
      <w:r>
        <w:rPr>
          <w:sz w:val="23"/>
        </w:rPr>
        <w:t>episódios</w:t>
      </w:r>
      <w:r>
        <w:rPr>
          <w:spacing w:val="2"/>
          <w:sz w:val="23"/>
        </w:rPr>
        <w:t> </w:t>
      </w:r>
      <w:r>
        <w:rPr>
          <w:sz w:val="23"/>
        </w:rPr>
        <w:t>de</w:t>
      </w:r>
      <w:r>
        <w:rPr>
          <w:spacing w:val="-10"/>
          <w:sz w:val="23"/>
        </w:rPr>
        <w:t> </w:t>
      </w:r>
      <w:r>
        <w:rPr>
          <w:sz w:val="23"/>
        </w:rPr>
        <w:t>HAS</w:t>
      </w:r>
      <w:r>
        <w:rPr>
          <w:spacing w:val="-3"/>
          <w:sz w:val="23"/>
        </w:rPr>
        <w:t> </w:t>
      </w:r>
      <w:r>
        <w:rPr>
          <w:spacing w:val="-2"/>
          <w:sz w:val="23"/>
        </w:rPr>
        <w:t>sintomática</w:t>
      </w:r>
    </w:p>
    <w:p>
      <w:pPr>
        <w:pStyle w:val="ListParagraph"/>
        <w:numPr>
          <w:ilvl w:val="0"/>
          <w:numId w:val="23"/>
        </w:numPr>
        <w:tabs>
          <w:tab w:pos="397" w:val="left" w:leader="none"/>
        </w:tabs>
        <w:spacing w:line="240" w:lineRule="auto" w:before="56" w:after="0"/>
        <w:ind w:left="397" w:right="0" w:hanging="329"/>
        <w:jc w:val="left"/>
        <w:rPr>
          <w:sz w:val="23"/>
        </w:rPr>
      </w:pPr>
      <w:r>
        <w:rPr>
          <w:spacing w:val="-2"/>
          <w:sz w:val="23"/>
        </w:rPr>
        <w:t>Avaliação</w:t>
      </w:r>
      <w:r>
        <w:rPr>
          <w:spacing w:val="-4"/>
          <w:sz w:val="23"/>
        </w:rPr>
        <w:t> </w:t>
      </w:r>
      <w:r>
        <w:rPr>
          <w:spacing w:val="-2"/>
          <w:sz w:val="23"/>
        </w:rPr>
        <w:t>da</w:t>
      </w:r>
      <w:r>
        <w:rPr>
          <w:spacing w:val="-5"/>
          <w:sz w:val="23"/>
        </w:rPr>
        <w:t> </w:t>
      </w:r>
      <w:r>
        <w:rPr>
          <w:spacing w:val="-2"/>
          <w:sz w:val="23"/>
        </w:rPr>
        <w:t>eficácia</w:t>
      </w:r>
      <w:r>
        <w:rPr>
          <w:spacing w:val="-6"/>
          <w:sz w:val="23"/>
        </w:rPr>
        <w:t> </w:t>
      </w:r>
      <w:r>
        <w:rPr>
          <w:spacing w:val="-2"/>
          <w:sz w:val="23"/>
        </w:rPr>
        <w:t>da</w:t>
      </w:r>
      <w:r>
        <w:rPr>
          <w:spacing w:val="-6"/>
          <w:sz w:val="23"/>
        </w:rPr>
        <w:t> </w:t>
      </w:r>
      <w:r>
        <w:rPr>
          <w:spacing w:val="-2"/>
          <w:sz w:val="23"/>
        </w:rPr>
        <w:t>terapia</w:t>
      </w:r>
      <w:r>
        <w:rPr>
          <w:spacing w:val="-5"/>
          <w:sz w:val="23"/>
        </w:rPr>
        <w:t> </w:t>
      </w:r>
      <w:r>
        <w:rPr>
          <w:spacing w:val="-2"/>
          <w:sz w:val="23"/>
        </w:rPr>
        <w:t>anti-hipertensiva.</w:t>
      </w:r>
    </w:p>
    <w:p>
      <w:pPr>
        <w:pStyle w:val="ListParagraph"/>
        <w:spacing w:after="0" w:line="240" w:lineRule="auto"/>
        <w:jc w:val="left"/>
        <w:rPr>
          <w:sz w:val="23"/>
        </w:rPr>
        <w:sectPr>
          <w:pgSz w:w="11900" w:h="16840"/>
          <w:pgMar w:top="280" w:bottom="280" w:left="566" w:right="141"/>
        </w:sectPr>
      </w:pPr>
    </w:p>
    <w:p>
      <w:pPr>
        <w:pStyle w:val="Heading4"/>
        <w:spacing w:before="80"/>
      </w:pPr>
      <w:r>
        <w:rPr>
          <w:color w:val="242B67"/>
        </w:rPr>
        <w:t>Fisiopatologia da hipertensão </w:t>
      </w:r>
      <w:r>
        <w:rPr>
          <w:color w:val="242B67"/>
          <w:spacing w:val="-2"/>
        </w:rPr>
        <w:t>arterial</w:t>
      </w:r>
    </w:p>
    <w:p>
      <w:pPr>
        <w:pStyle w:val="BodyText"/>
        <w:spacing w:line="276" w:lineRule="auto" w:before="131"/>
        <w:ind w:right="491"/>
      </w:pPr>
      <w:r>
        <w:rPr/>
        <w:t>Como</w:t>
      </w:r>
      <w:r>
        <w:rPr>
          <w:spacing w:val="-9"/>
        </w:rPr>
        <w:t> </w:t>
      </w:r>
      <w:r>
        <w:rPr/>
        <w:t>dito</w:t>
      </w:r>
      <w:r>
        <w:rPr>
          <w:spacing w:val="-9"/>
        </w:rPr>
        <w:t> </w:t>
      </w:r>
      <w:r>
        <w:rPr/>
        <w:t>anteriormente, por</w:t>
      </w:r>
      <w:r>
        <w:rPr>
          <w:spacing w:val="-4"/>
        </w:rPr>
        <w:t> </w:t>
      </w:r>
      <w:r>
        <w:rPr/>
        <w:t>se</w:t>
      </w:r>
      <w:r>
        <w:rPr>
          <w:spacing w:val="-11"/>
        </w:rPr>
        <w:t> </w:t>
      </w:r>
      <w:r>
        <w:rPr/>
        <w:t>tratar</w:t>
      </w:r>
      <w:r>
        <w:rPr>
          <w:spacing w:val="-4"/>
        </w:rPr>
        <w:t> </w:t>
      </w:r>
      <w:r>
        <w:rPr/>
        <w:t>de</w:t>
      </w:r>
      <w:r>
        <w:rPr>
          <w:spacing w:val="-11"/>
        </w:rPr>
        <w:t> </w:t>
      </w:r>
      <w:r>
        <w:rPr/>
        <w:t>uma</w:t>
      </w:r>
      <w:r>
        <w:rPr>
          <w:spacing w:val="-11"/>
        </w:rPr>
        <w:t> </w:t>
      </w:r>
      <w:r>
        <w:rPr/>
        <w:t>doença</w:t>
      </w:r>
      <w:r>
        <w:rPr>
          <w:spacing w:val="-11"/>
        </w:rPr>
        <w:t> </w:t>
      </w:r>
      <w:r>
        <w:rPr/>
        <w:t>complexa, nenhum</w:t>
      </w:r>
      <w:r>
        <w:rPr>
          <w:spacing w:val="-9"/>
        </w:rPr>
        <w:t> </w:t>
      </w:r>
      <w:r>
        <w:rPr/>
        <w:t>mecanismo</w:t>
      </w:r>
      <w:r>
        <w:rPr>
          <w:spacing w:val="-9"/>
        </w:rPr>
        <w:t> </w:t>
      </w:r>
      <w:r>
        <w:rPr/>
        <w:t>isolado</w:t>
      </w:r>
      <w:r>
        <w:rPr>
          <w:spacing w:val="-9"/>
        </w:rPr>
        <w:t> </w:t>
      </w:r>
      <w:r>
        <w:rPr/>
        <w:t>é</w:t>
      </w:r>
      <w:r>
        <w:rPr>
          <w:spacing w:val="-11"/>
        </w:rPr>
        <w:t> </w:t>
      </w:r>
      <w:r>
        <w:rPr/>
        <w:t>responsável</w:t>
      </w:r>
      <w:r>
        <w:rPr>
          <w:spacing w:val="-6"/>
        </w:rPr>
        <w:t> </w:t>
      </w:r>
      <w:r>
        <w:rPr/>
        <w:t>pelo surgimento da HAS na maioria dos indivíduos. Os inúmeros fatores envolvidos vão promover alterações que modificarão a conhecida equação da pressão arterial: pressão arterial = débito cardíaco × resistência vascular </w:t>
      </w:r>
      <w:r>
        <w:rPr>
          <w:spacing w:val="-2"/>
        </w:rPr>
        <w:t>periférica.</w:t>
      </w:r>
    </w:p>
    <w:p>
      <w:pPr>
        <w:pStyle w:val="BodyText"/>
        <w:spacing w:line="276" w:lineRule="auto"/>
        <w:ind w:right="491"/>
      </w:pPr>
      <w:r>
        <w:rPr/>
        <w:t>Entretanto, deve-se ter em mente que o desenvolvimento da doença é lento e gradual: à medida que a pressão arterial vai tornando-se mais elevada, inúmeros mecanismos compensatórios atuam na tentativa de normalizar as alterações, impedindo muitas vezes que os fatores iniciais sejam prontamente reconhecidos. Os principais mecanismos compensatórios são descritos a seguir.</w:t>
      </w:r>
    </w:p>
    <w:p>
      <w:pPr>
        <w:pStyle w:val="BodyText"/>
        <w:spacing w:before="134"/>
        <w:ind w:left="0" w:firstLine="0"/>
        <w:jc w:val="left"/>
      </w:pPr>
    </w:p>
    <w:p>
      <w:pPr>
        <w:pStyle w:val="Heading5"/>
      </w:pPr>
      <w:r>
        <w:rPr>
          <w:color w:val="A26108"/>
        </w:rPr>
        <w:t>Sistema</w:t>
      </w:r>
      <w:r>
        <w:rPr>
          <w:color w:val="A26108"/>
          <w:spacing w:val="25"/>
        </w:rPr>
        <w:t> </w:t>
      </w:r>
      <w:r>
        <w:rPr>
          <w:color w:val="A26108"/>
        </w:rPr>
        <w:t>nervoso</w:t>
      </w:r>
      <w:r>
        <w:rPr>
          <w:color w:val="A26108"/>
          <w:spacing w:val="25"/>
        </w:rPr>
        <w:t> </w:t>
      </w:r>
      <w:r>
        <w:rPr>
          <w:color w:val="A26108"/>
          <w:spacing w:val="-2"/>
        </w:rPr>
        <w:t>simpático</w:t>
      </w:r>
    </w:p>
    <w:p>
      <w:pPr>
        <w:pStyle w:val="BodyText"/>
        <w:spacing w:line="278" w:lineRule="auto" w:before="138"/>
        <w:ind w:right="488"/>
      </w:pPr>
      <w:r>
        <w:rPr/>
        <w:t>O sistema nervoso simpático é um mediador fundamental nas mudanças agudas da pressão arterial e na frequência cardíaca, podendo contribuir para o início e a manutenção da HAS. A ativação simpática promove o aumento</w:t>
      </w:r>
      <w:r>
        <w:rPr>
          <w:spacing w:val="-7"/>
        </w:rPr>
        <w:t> </w:t>
      </w:r>
      <w:r>
        <w:rPr/>
        <w:t>da</w:t>
      </w:r>
      <w:r>
        <w:rPr>
          <w:spacing w:val="-9"/>
        </w:rPr>
        <w:t> </w:t>
      </w:r>
      <w:r>
        <w:rPr/>
        <w:t>pressão</w:t>
      </w:r>
      <w:r>
        <w:rPr>
          <w:spacing w:val="-7"/>
        </w:rPr>
        <w:t> </w:t>
      </w:r>
      <w:r>
        <w:rPr/>
        <w:t>arterial, contribuindo</w:t>
      </w:r>
      <w:r>
        <w:rPr>
          <w:spacing w:val="-7"/>
        </w:rPr>
        <w:t> </w:t>
      </w:r>
      <w:r>
        <w:rPr/>
        <w:t>para</w:t>
      </w:r>
      <w:r>
        <w:rPr>
          <w:spacing w:val="-9"/>
        </w:rPr>
        <w:t> </w:t>
      </w:r>
      <w:r>
        <w:rPr/>
        <w:t>o</w:t>
      </w:r>
      <w:r>
        <w:rPr>
          <w:spacing w:val="-7"/>
        </w:rPr>
        <w:t> </w:t>
      </w:r>
      <w:r>
        <w:rPr/>
        <w:t>desenvolvimento</w:t>
      </w:r>
      <w:r>
        <w:rPr>
          <w:spacing w:val="-7"/>
        </w:rPr>
        <w:t> </w:t>
      </w:r>
      <w:r>
        <w:rPr/>
        <w:t>e</w:t>
      </w:r>
      <w:r>
        <w:rPr>
          <w:spacing w:val="-9"/>
        </w:rPr>
        <w:t> </w:t>
      </w:r>
      <w:r>
        <w:rPr/>
        <w:t>a</w:t>
      </w:r>
      <w:r>
        <w:rPr>
          <w:spacing w:val="-9"/>
        </w:rPr>
        <w:t> </w:t>
      </w:r>
      <w:r>
        <w:rPr/>
        <w:t>manutenção</w:t>
      </w:r>
      <w:r>
        <w:rPr>
          <w:spacing w:val="-7"/>
        </w:rPr>
        <w:t> </w:t>
      </w:r>
      <w:r>
        <w:rPr/>
        <w:t>da</w:t>
      </w:r>
      <w:r>
        <w:rPr>
          <w:spacing w:val="-9"/>
        </w:rPr>
        <w:t> </w:t>
      </w:r>
      <w:r>
        <w:rPr/>
        <w:t>HAS</w:t>
      </w:r>
      <w:r>
        <w:rPr>
          <w:spacing w:val="-4"/>
        </w:rPr>
        <w:t> </w:t>
      </w:r>
      <w:r>
        <w:rPr/>
        <w:t>mediante</w:t>
      </w:r>
      <w:r>
        <w:rPr>
          <w:spacing w:val="-9"/>
        </w:rPr>
        <w:t> </w:t>
      </w:r>
      <w:r>
        <w:rPr/>
        <w:t>estimulação</w:t>
      </w:r>
      <w:r>
        <w:rPr>
          <w:spacing w:val="-7"/>
        </w:rPr>
        <w:t> </w:t>
      </w:r>
      <w:r>
        <w:rPr/>
        <w:t>do coração, dos vasos periféricos e</w:t>
      </w:r>
      <w:r>
        <w:rPr>
          <w:spacing w:val="-1"/>
        </w:rPr>
        <w:t> </w:t>
      </w:r>
      <w:r>
        <w:rPr/>
        <w:t>dos rins, levando a</w:t>
      </w:r>
      <w:r>
        <w:rPr>
          <w:spacing w:val="-1"/>
        </w:rPr>
        <w:t> </w:t>
      </w:r>
      <w:r>
        <w:rPr/>
        <w:t>aumento do débito cardíaco, aumento da</w:t>
      </w:r>
      <w:r>
        <w:rPr>
          <w:spacing w:val="-1"/>
        </w:rPr>
        <w:t> </w:t>
      </w:r>
      <w:r>
        <w:rPr/>
        <w:t>resistência</w:t>
      </w:r>
      <w:r>
        <w:rPr>
          <w:spacing w:val="-1"/>
        </w:rPr>
        <w:t> </w:t>
      </w:r>
      <w:r>
        <w:rPr/>
        <w:t>vascular e da retenção de fluidos. Os mecanismos envolvidos no aumento da atividade simpática na HAS são complexos e envolvem alterações no barorreflexo e nos quimiorreflexos central e periférico. Entretanto, outros mecanismos estão envolvidos, como aumento na retenção de sódio e anormalidades no transporte iônico. A consequência da estimulação simpática crônica envolve remodelamento vascular, hipertrofia ventricular esquerda por estimulação direta e indireta da norepinefrina, além de vários fatores de crescimento.</w:t>
      </w:r>
      <w:r>
        <w:rPr>
          <w:vertAlign w:val="superscript"/>
        </w:rPr>
        <w:t>15</w:t>
      </w:r>
    </w:p>
    <w:p>
      <w:pPr>
        <w:pStyle w:val="BodyText"/>
        <w:spacing w:before="111"/>
        <w:ind w:left="0" w:firstLine="0"/>
        <w:jc w:val="left"/>
      </w:pPr>
    </w:p>
    <w:p>
      <w:pPr>
        <w:pStyle w:val="Heading5"/>
      </w:pPr>
      <w:r>
        <w:rPr>
          <w:color w:val="A26108"/>
        </w:rPr>
        <w:t>Sistema</w:t>
      </w:r>
      <w:r>
        <w:rPr>
          <w:color w:val="A26108"/>
          <w:spacing w:val="42"/>
          <w:w w:val="150"/>
        </w:rPr>
        <w:t> </w:t>
      </w:r>
      <w:r>
        <w:rPr>
          <w:color w:val="A26108"/>
        </w:rPr>
        <w:t>renina-angiotensina-</w:t>
      </w:r>
      <w:r>
        <w:rPr>
          <w:color w:val="A26108"/>
          <w:spacing w:val="-2"/>
        </w:rPr>
        <w:t>aldosterona</w:t>
      </w:r>
    </w:p>
    <w:p>
      <w:pPr>
        <w:pStyle w:val="BodyText"/>
        <w:spacing w:line="278" w:lineRule="auto" w:before="138"/>
        <w:ind w:right="488"/>
      </w:pPr>
      <w:r>
        <w:rPr/>
        <w:t>O sistema renina-angiotensina-aldosterona tem uma participação destacada na gênese da HAS. A renina é uma enzima secretada pelas células justaglomerulares do rim cujo principal determinante para sua liberação é volumétrico,</w:t>
      </w:r>
      <w:r>
        <w:rPr>
          <w:spacing w:val="-1"/>
        </w:rPr>
        <w:t> </w:t>
      </w:r>
      <w:r>
        <w:rPr/>
        <w:t>particularmente</w:t>
      </w:r>
      <w:r>
        <w:rPr>
          <w:spacing w:val="-11"/>
        </w:rPr>
        <w:t> </w:t>
      </w:r>
      <w:r>
        <w:rPr/>
        <w:t>relacionado</w:t>
      </w:r>
      <w:r>
        <w:rPr>
          <w:spacing w:val="-8"/>
        </w:rPr>
        <w:t> </w:t>
      </w:r>
      <w:r>
        <w:rPr/>
        <w:t>com</w:t>
      </w:r>
      <w:r>
        <w:rPr>
          <w:spacing w:val="-8"/>
        </w:rPr>
        <w:t> </w:t>
      </w:r>
      <w:r>
        <w:rPr/>
        <w:t>mudanças</w:t>
      </w:r>
      <w:r>
        <w:rPr>
          <w:spacing w:val="-1"/>
        </w:rPr>
        <w:t> </w:t>
      </w:r>
      <w:r>
        <w:rPr/>
        <w:t>na</w:t>
      </w:r>
      <w:r>
        <w:rPr>
          <w:spacing w:val="-11"/>
        </w:rPr>
        <w:t> </w:t>
      </w:r>
      <w:r>
        <w:rPr/>
        <w:t>ingestão</w:t>
      </w:r>
      <w:r>
        <w:rPr>
          <w:spacing w:val="-8"/>
        </w:rPr>
        <w:t> </w:t>
      </w:r>
      <w:r>
        <w:rPr/>
        <w:t>de</w:t>
      </w:r>
      <w:r>
        <w:rPr>
          <w:spacing w:val="-11"/>
        </w:rPr>
        <w:t> </w:t>
      </w:r>
      <w:r>
        <w:rPr/>
        <w:t>sal.</w:t>
      </w:r>
      <w:r>
        <w:rPr>
          <w:spacing w:val="-1"/>
        </w:rPr>
        <w:t> </w:t>
      </w:r>
      <w:r>
        <w:rPr/>
        <w:t>O</w:t>
      </w:r>
      <w:r>
        <w:rPr>
          <w:spacing w:val="-11"/>
        </w:rPr>
        <w:t> </w:t>
      </w:r>
      <w:r>
        <w:rPr/>
        <w:t>produto</w:t>
      </w:r>
      <w:r>
        <w:rPr>
          <w:spacing w:val="-8"/>
        </w:rPr>
        <w:t> </w:t>
      </w:r>
      <w:r>
        <w:rPr/>
        <w:t>da</w:t>
      </w:r>
      <w:r>
        <w:rPr>
          <w:spacing w:val="-11"/>
        </w:rPr>
        <w:t> </w:t>
      </w:r>
      <w:r>
        <w:rPr/>
        <w:t>ação</w:t>
      </w:r>
      <w:r>
        <w:rPr>
          <w:spacing w:val="-8"/>
        </w:rPr>
        <w:t> </w:t>
      </w:r>
      <w:r>
        <w:rPr/>
        <w:t>da</w:t>
      </w:r>
      <w:r>
        <w:rPr>
          <w:spacing w:val="-11"/>
        </w:rPr>
        <w:t> </w:t>
      </w:r>
      <w:r>
        <w:rPr/>
        <w:t>renina</w:t>
      </w:r>
      <w:r>
        <w:rPr>
          <w:spacing w:val="-11"/>
        </w:rPr>
        <w:t> </w:t>
      </w:r>
      <w:r>
        <w:rPr/>
        <w:t>sobre</w:t>
      </w:r>
      <w:r>
        <w:rPr>
          <w:spacing w:val="-11"/>
        </w:rPr>
        <w:t> </w:t>
      </w:r>
      <w:r>
        <w:rPr/>
        <w:t>o</w:t>
      </w:r>
      <w:r>
        <w:rPr>
          <w:spacing w:val="-8"/>
        </w:rPr>
        <w:t> </w:t>
      </w:r>
      <w:r>
        <w:rPr/>
        <w:t>seu substrato (angiotensinogênio) é a angiotensina I, que se converte no peptídio ativo angiotensina II pela ação da enzima conversora de angiotensina. A angiotensina II exerce uma série de efeitos biológicos por meio da ligação sobre os receptores AT1. No sistema cardiovascular, a angiotensina II promove vasoconstrição com aumento da liberação de catecolaminas, hipertrofia e hiperplasia vascular, disfunção endotelial e aumento da contração ventricular com hipertrofia; no sistema nervoso central, há uma ativação dos centros vasopressores, alteração no barorreflexo, liberação</w:t>
      </w:r>
      <w:r>
        <w:rPr>
          <w:spacing w:val="-4"/>
        </w:rPr>
        <w:t> </w:t>
      </w:r>
      <w:r>
        <w:rPr/>
        <w:t>de</w:t>
      </w:r>
      <w:r>
        <w:rPr>
          <w:spacing w:val="-7"/>
        </w:rPr>
        <w:t> </w:t>
      </w:r>
      <w:r>
        <w:rPr/>
        <w:t>hormônio</w:t>
      </w:r>
      <w:r>
        <w:rPr>
          <w:spacing w:val="-4"/>
        </w:rPr>
        <w:t> </w:t>
      </w:r>
      <w:r>
        <w:rPr/>
        <w:t>antidiurético, sede</w:t>
      </w:r>
      <w:r>
        <w:rPr>
          <w:spacing w:val="-7"/>
        </w:rPr>
        <w:t> </w:t>
      </w:r>
      <w:r>
        <w:rPr/>
        <w:t>e</w:t>
      </w:r>
      <w:r>
        <w:rPr>
          <w:spacing w:val="-7"/>
        </w:rPr>
        <w:t> </w:t>
      </w:r>
      <w:r>
        <w:rPr/>
        <w:t>liberação</w:t>
      </w:r>
      <w:r>
        <w:rPr>
          <w:spacing w:val="-4"/>
        </w:rPr>
        <w:t> </w:t>
      </w:r>
      <w:r>
        <w:rPr/>
        <w:t>de</w:t>
      </w:r>
      <w:r>
        <w:rPr>
          <w:spacing w:val="-7"/>
        </w:rPr>
        <w:t> </w:t>
      </w:r>
      <w:r>
        <w:rPr/>
        <w:t>prostaglandinas. A</w:t>
      </w:r>
      <w:r>
        <w:rPr>
          <w:spacing w:val="-7"/>
        </w:rPr>
        <w:t> </w:t>
      </w:r>
      <w:r>
        <w:rPr/>
        <w:t>atuação</w:t>
      </w:r>
      <w:r>
        <w:rPr>
          <w:spacing w:val="-4"/>
        </w:rPr>
        <w:t> </w:t>
      </w:r>
      <w:r>
        <w:rPr/>
        <w:t>da</w:t>
      </w:r>
      <w:r>
        <w:rPr>
          <w:spacing w:val="-7"/>
        </w:rPr>
        <w:t> </w:t>
      </w:r>
      <w:r>
        <w:rPr/>
        <w:t>angiotensina</w:t>
      </w:r>
      <w:r>
        <w:rPr>
          <w:spacing w:val="-7"/>
        </w:rPr>
        <w:t> </w:t>
      </w:r>
      <w:r>
        <w:rPr/>
        <w:t>II sobre os rins leva à retenção tubular de sódio, bem como à vasoconstrição da arteríola eferente, um potente estímulo para a liberação de mais renina. Além disso, esse sistema é o estímulo primário para a secreção de aldosterona</w:t>
      </w:r>
      <w:r>
        <w:rPr>
          <w:spacing w:val="-13"/>
        </w:rPr>
        <w:t> </w:t>
      </w:r>
      <w:r>
        <w:rPr/>
        <w:t>na</w:t>
      </w:r>
      <w:r>
        <w:rPr>
          <w:spacing w:val="-13"/>
        </w:rPr>
        <w:t> </w:t>
      </w:r>
      <w:r>
        <w:rPr/>
        <w:t>região</w:t>
      </w:r>
      <w:r>
        <w:rPr>
          <w:spacing w:val="-11"/>
        </w:rPr>
        <w:t> </w:t>
      </w:r>
      <w:r>
        <w:rPr/>
        <w:t>glomerulosa</w:t>
      </w:r>
      <w:r>
        <w:rPr>
          <w:spacing w:val="-13"/>
        </w:rPr>
        <w:t> </w:t>
      </w:r>
      <w:r>
        <w:rPr/>
        <w:t>da</w:t>
      </w:r>
      <w:r>
        <w:rPr>
          <w:spacing w:val="-13"/>
        </w:rPr>
        <w:t> </w:t>
      </w:r>
      <w:r>
        <w:rPr/>
        <w:t>glândula</w:t>
      </w:r>
      <w:r>
        <w:rPr>
          <w:spacing w:val="-13"/>
        </w:rPr>
        <w:t> </w:t>
      </w:r>
      <w:r>
        <w:rPr/>
        <w:t>adrenal,</w:t>
      </w:r>
      <w:r>
        <w:rPr>
          <w:spacing w:val="-4"/>
        </w:rPr>
        <w:t> </w:t>
      </w:r>
      <w:r>
        <w:rPr/>
        <w:t>mediando</w:t>
      </w:r>
      <w:r>
        <w:rPr>
          <w:spacing w:val="-11"/>
        </w:rPr>
        <w:t> </w:t>
      </w:r>
      <w:r>
        <w:rPr/>
        <w:t>as</w:t>
      </w:r>
      <w:r>
        <w:rPr>
          <w:spacing w:val="-4"/>
        </w:rPr>
        <w:t> </w:t>
      </w:r>
      <w:r>
        <w:rPr/>
        <w:t>respostas</w:t>
      </w:r>
      <w:r>
        <w:rPr>
          <w:spacing w:val="-4"/>
        </w:rPr>
        <w:t> </w:t>
      </w:r>
      <w:r>
        <w:rPr/>
        <w:t>do</w:t>
      </w:r>
      <w:r>
        <w:rPr>
          <w:spacing w:val="-11"/>
        </w:rPr>
        <w:t> </w:t>
      </w:r>
      <w:r>
        <w:rPr/>
        <w:t>mineralocorticoide</w:t>
      </w:r>
      <w:r>
        <w:rPr>
          <w:spacing w:val="-13"/>
        </w:rPr>
        <w:t> </w:t>
      </w:r>
      <w:r>
        <w:rPr/>
        <w:t>às</w:t>
      </w:r>
      <w:r>
        <w:rPr>
          <w:spacing w:val="-4"/>
        </w:rPr>
        <w:t> </w:t>
      </w:r>
      <w:r>
        <w:rPr/>
        <w:t>variações</w:t>
      </w:r>
      <w:r>
        <w:rPr>
          <w:spacing w:val="-4"/>
        </w:rPr>
        <w:t> </w:t>
      </w:r>
      <w:r>
        <w:rPr/>
        <w:t>na ingestão</w:t>
      </w:r>
      <w:r>
        <w:rPr>
          <w:spacing w:val="-6"/>
        </w:rPr>
        <w:t> </w:t>
      </w:r>
      <w:r>
        <w:rPr/>
        <w:t>de</w:t>
      </w:r>
      <w:r>
        <w:rPr>
          <w:spacing w:val="-9"/>
        </w:rPr>
        <w:t> </w:t>
      </w:r>
      <w:r>
        <w:rPr/>
        <w:t>sal</w:t>
      </w:r>
      <w:r>
        <w:rPr>
          <w:spacing w:val="-4"/>
        </w:rPr>
        <w:t> </w:t>
      </w:r>
      <w:r>
        <w:rPr/>
        <w:t>e</w:t>
      </w:r>
      <w:r>
        <w:rPr>
          <w:spacing w:val="-9"/>
        </w:rPr>
        <w:t> </w:t>
      </w:r>
      <w:r>
        <w:rPr/>
        <w:t>água.</w:t>
      </w:r>
      <w:r>
        <w:rPr>
          <w:vertAlign w:val="superscript"/>
        </w:rPr>
        <w:t>14</w:t>
      </w:r>
      <w:r>
        <w:rPr>
          <w:vertAlign w:val="baseline"/>
        </w:rPr>
        <w:t> Do</w:t>
      </w:r>
      <w:r>
        <w:rPr>
          <w:spacing w:val="-4"/>
          <w:vertAlign w:val="baseline"/>
        </w:rPr>
        <w:t> </w:t>
      </w:r>
      <w:r>
        <w:rPr>
          <w:vertAlign w:val="baseline"/>
        </w:rPr>
        <w:t>que</w:t>
      </w:r>
      <w:r>
        <w:rPr>
          <w:spacing w:val="-6"/>
          <w:vertAlign w:val="baseline"/>
        </w:rPr>
        <w:t> </w:t>
      </w:r>
      <w:r>
        <w:rPr>
          <w:vertAlign w:val="baseline"/>
        </w:rPr>
        <w:t>foi</w:t>
      </w:r>
      <w:r>
        <w:rPr>
          <w:spacing w:val="-1"/>
          <w:vertAlign w:val="baseline"/>
        </w:rPr>
        <w:t> </w:t>
      </w:r>
      <w:r>
        <w:rPr>
          <w:vertAlign w:val="baseline"/>
        </w:rPr>
        <w:t>exposto, compreende-se</w:t>
      </w:r>
      <w:r>
        <w:rPr>
          <w:spacing w:val="-6"/>
          <w:vertAlign w:val="baseline"/>
        </w:rPr>
        <w:t> </w:t>
      </w:r>
      <w:r>
        <w:rPr>
          <w:vertAlign w:val="baseline"/>
        </w:rPr>
        <w:t>que</w:t>
      </w:r>
      <w:r>
        <w:rPr>
          <w:spacing w:val="-6"/>
          <w:vertAlign w:val="baseline"/>
        </w:rPr>
        <w:t> </w:t>
      </w:r>
      <w:r>
        <w:rPr>
          <w:vertAlign w:val="baseline"/>
        </w:rPr>
        <w:t>o</w:t>
      </w:r>
      <w:r>
        <w:rPr>
          <w:spacing w:val="-4"/>
          <w:vertAlign w:val="baseline"/>
        </w:rPr>
        <w:t> </w:t>
      </w:r>
      <w:r>
        <w:rPr>
          <w:vertAlign w:val="baseline"/>
        </w:rPr>
        <w:t>sistema</w:t>
      </w:r>
      <w:r>
        <w:rPr>
          <w:spacing w:val="-6"/>
          <w:vertAlign w:val="baseline"/>
        </w:rPr>
        <w:t> </w:t>
      </w:r>
      <w:r>
        <w:rPr>
          <w:vertAlign w:val="baseline"/>
        </w:rPr>
        <w:t>renina-angiotensina-aldosterona</w:t>
      </w:r>
      <w:r>
        <w:rPr>
          <w:spacing w:val="-6"/>
          <w:vertAlign w:val="baseline"/>
        </w:rPr>
        <w:t> </w:t>
      </w:r>
      <w:r>
        <w:rPr>
          <w:vertAlign w:val="baseline"/>
        </w:rPr>
        <w:t>torna-se um dos principais alvos para o tratamento da HAS (ver adiante).</w:t>
      </w:r>
    </w:p>
    <w:p>
      <w:pPr>
        <w:pStyle w:val="BodyText"/>
        <w:spacing w:before="114"/>
        <w:ind w:left="0" w:firstLine="0"/>
        <w:jc w:val="left"/>
      </w:pPr>
    </w:p>
    <w:p>
      <w:pPr>
        <w:pStyle w:val="Heading5"/>
        <w:spacing w:before="1"/>
      </w:pPr>
      <w:r>
        <w:rPr>
          <w:color w:val="A26108"/>
        </w:rPr>
        <w:t>Sensibilidade</w:t>
      </w:r>
      <w:r>
        <w:rPr>
          <w:color w:val="A26108"/>
          <w:spacing w:val="24"/>
        </w:rPr>
        <w:t> </w:t>
      </w:r>
      <w:r>
        <w:rPr>
          <w:color w:val="A26108"/>
        </w:rPr>
        <w:t>ao</w:t>
      </w:r>
      <w:r>
        <w:rPr>
          <w:color w:val="A26108"/>
          <w:spacing w:val="25"/>
        </w:rPr>
        <w:t> </w:t>
      </w:r>
      <w:r>
        <w:rPr>
          <w:color w:val="A26108"/>
          <w:spacing w:val="-5"/>
        </w:rPr>
        <w:t>sal</w:t>
      </w:r>
    </w:p>
    <w:p>
      <w:pPr>
        <w:pStyle w:val="BodyText"/>
        <w:spacing w:line="276" w:lineRule="auto" w:before="138"/>
        <w:ind w:right="491"/>
      </w:pPr>
      <w:r>
        <w:rPr/>
        <w:t>A sensibilidade ao sal é uma situação clínica caracterizada pelo aumento da pressão arterial com uma ingestão maior de sal ou pela queda dos níveis pressóricos com a restrição do mesmo. A relação entre sal e hipertensão é antiga e provém de dados epidemiológicos que mostram menor incidência de HAS e de consequências cardiovasculares em populações que</w:t>
      </w:r>
      <w:r>
        <w:rPr>
          <w:spacing w:val="-1"/>
        </w:rPr>
        <w:t> </w:t>
      </w:r>
      <w:r>
        <w:rPr/>
        <w:t>ingerem pouco sal (menos de</w:t>
      </w:r>
      <w:r>
        <w:rPr>
          <w:spacing w:val="-1"/>
        </w:rPr>
        <w:t> </w:t>
      </w:r>
      <w:r>
        <w:rPr/>
        <w:t>100 mEq/dia).</w:t>
      </w:r>
    </w:p>
    <w:p>
      <w:pPr>
        <w:pStyle w:val="BodyText"/>
        <w:spacing w:line="276" w:lineRule="auto" w:before="64"/>
        <w:ind w:right="497"/>
      </w:pPr>
      <w:r>
        <w:rPr/>
        <w:t>Entretanto, essa é uma característica que não é vista em todos os hipertensos. Diversos fatores podem estar relacionados com essa característica, tais como fatores genéticos, obesidade, idade avançada, raça, baixos níveis plasmáticos de renina, aumento da atividade simpática e a ocorrência de doenças concomitantes, como diabetes e insuficiência renal.</w:t>
      </w:r>
    </w:p>
    <w:p>
      <w:pPr>
        <w:pStyle w:val="BodyText"/>
        <w:spacing w:line="276" w:lineRule="auto" w:before="49"/>
        <w:ind w:right="491"/>
      </w:pPr>
      <w:r>
        <w:rPr/>
        <w:t>Vale a pena salientar que, do ponto de vista genético, vários polimorfismos genéticos têm sido estudados em relação à sensibilidade ao sal. Dentre eles, podem-se citar o polimorfismo do gene da alfa-aducina Gly460Trp, da ECA</w:t>
      </w:r>
      <w:r>
        <w:rPr>
          <w:spacing w:val="40"/>
        </w:rPr>
        <w:t> </w:t>
      </w:r>
      <w:r>
        <w:rPr/>
        <w:t>I/D,</w:t>
      </w:r>
      <w:r>
        <w:rPr>
          <w:spacing w:val="63"/>
        </w:rPr>
        <w:t> </w:t>
      </w:r>
      <w:r>
        <w:rPr/>
        <w:t>do</w:t>
      </w:r>
      <w:r>
        <w:rPr>
          <w:spacing w:val="40"/>
        </w:rPr>
        <w:t> </w:t>
      </w:r>
      <w:r>
        <w:rPr/>
        <w:t>angiotensinogênio</w:t>
      </w:r>
      <w:r>
        <w:rPr>
          <w:spacing w:val="40"/>
        </w:rPr>
        <w:t> </w:t>
      </w:r>
      <w:r>
        <w:rPr/>
        <w:t>M235T,</w:t>
      </w:r>
      <w:r>
        <w:rPr>
          <w:spacing w:val="63"/>
        </w:rPr>
        <w:t> </w:t>
      </w:r>
      <w:r>
        <w:rPr/>
        <w:t>da</w:t>
      </w:r>
      <w:r>
        <w:rPr>
          <w:spacing w:val="40"/>
        </w:rPr>
        <w:t> </w:t>
      </w:r>
      <w:r>
        <w:rPr/>
        <w:t>proteína</w:t>
      </w:r>
      <w:r>
        <w:rPr>
          <w:spacing w:val="40"/>
        </w:rPr>
        <w:t> </w:t>
      </w:r>
      <w:r>
        <w:rPr/>
        <w:t>G</w:t>
      </w:r>
      <w:r>
        <w:rPr>
          <w:spacing w:val="40"/>
        </w:rPr>
        <w:t> </w:t>
      </w:r>
      <w:r>
        <w:rPr/>
        <w:t>beta</w:t>
      </w:r>
      <w:r>
        <w:rPr>
          <w:spacing w:val="40"/>
        </w:rPr>
        <w:t> </w:t>
      </w:r>
      <w:r>
        <w:rPr/>
        <w:t>3</w:t>
      </w:r>
      <w:r>
        <w:rPr>
          <w:spacing w:val="40"/>
        </w:rPr>
        <w:t> </w:t>
      </w:r>
      <w:r>
        <w:rPr/>
        <w:t>C825T,</w:t>
      </w:r>
      <w:r>
        <w:rPr>
          <w:spacing w:val="63"/>
        </w:rPr>
        <w:t> </w:t>
      </w:r>
      <w:r>
        <w:rPr/>
        <w:t>da</w:t>
      </w:r>
      <w:r>
        <w:rPr>
          <w:spacing w:val="40"/>
        </w:rPr>
        <w:t> </w:t>
      </w:r>
      <w:r>
        <w:rPr/>
        <w:t>aldosterona</w:t>
      </w:r>
      <w:r>
        <w:rPr>
          <w:spacing w:val="40"/>
        </w:rPr>
        <w:t> </w:t>
      </w:r>
      <w:r>
        <w:rPr/>
        <w:t>sintase</w:t>
      </w:r>
      <w:r>
        <w:rPr>
          <w:spacing w:val="40"/>
        </w:rPr>
        <w:t> </w:t>
      </w:r>
      <w:r>
        <w:rPr/>
        <w:t>e</w:t>
      </w:r>
      <w:r>
        <w:rPr>
          <w:spacing w:val="40"/>
        </w:rPr>
        <w:t> </w:t>
      </w:r>
      <w:r>
        <w:rPr/>
        <w:t>da</w:t>
      </w:r>
      <w:r>
        <w:rPr>
          <w:spacing w:val="40"/>
        </w:rPr>
        <w:t> </w:t>
      </w:r>
      <w:r>
        <w:rPr/>
        <w:t>11-beta-</w:t>
      </w:r>
    </w:p>
    <w:p>
      <w:pPr>
        <w:pStyle w:val="BodyText"/>
        <w:spacing w:after="0" w:line="276" w:lineRule="auto"/>
        <w:sectPr>
          <w:pgSz w:w="11900" w:h="16840"/>
          <w:pgMar w:top="220" w:bottom="280" w:left="566" w:right="141"/>
        </w:sectPr>
      </w:pPr>
    </w:p>
    <w:p>
      <w:pPr>
        <w:pStyle w:val="BodyText"/>
        <w:spacing w:line="278" w:lineRule="auto" w:before="80"/>
        <w:ind w:right="497" w:firstLine="0"/>
      </w:pPr>
      <w:r>
        <w:rPr/>
        <w:t>hidroxiesteroide desidrogenase tipo 2 G534A15. Até o momento, dois genes têm se mostrado promissores como marcadores da</w:t>
      </w:r>
      <w:r>
        <w:rPr>
          <w:spacing w:val="-2"/>
        </w:rPr>
        <w:t> </w:t>
      </w:r>
      <w:r>
        <w:rPr/>
        <w:t>sensibilidade</w:t>
      </w:r>
      <w:r>
        <w:rPr>
          <w:spacing w:val="-2"/>
        </w:rPr>
        <w:t> </w:t>
      </w:r>
      <w:r>
        <w:rPr/>
        <w:t>ao sal: genes da</w:t>
      </w:r>
      <w:r>
        <w:rPr>
          <w:spacing w:val="-2"/>
        </w:rPr>
        <w:t> </w:t>
      </w:r>
      <w:r>
        <w:rPr/>
        <w:t>alfa-aducina</w:t>
      </w:r>
      <w:r>
        <w:rPr>
          <w:spacing w:val="-2"/>
        </w:rPr>
        <w:t> </w:t>
      </w:r>
      <w:r>
        <w:rPr/>
        <w:t>e</w:t>
      </w:r>
      <w:r>
        <w:rPr>
          <w:spacing w:val="-2"/>
        </w:rPr>
        <w:t> </w:t>
      </w:r>
      <w:r>
        <w:rPr/>
        <w:t>do angiotensinogênio. O</w:t>
      </w:r>
      <w:r>
        <w:rPr>
          <w:spacing w:val="-2"/>
        </w:rPr>
        <w:t> </w:t>
      </w:r>
      <w:r>
        <w:rPr/>
        <w:t>gene</w:t>
      </w:r>
      <w:r>
        <w:rPr>
          <w:spacing w:val="-2"/>
        </w:rPr>
        <w:t> </w:t>
      </w:r>
      <w:r>
        <w:rPr/>
        <w:t>da</w:t>
      </w:r>
      <w:r>
        <w:rPr>
          <w:spacing w:val="-2"/>
        </w:rPr>
        <w:t> </w:t>
      </w:r>
      <w:r>
        <w:rPr/>
        <w:t>alfa-aducina</w:t>
      </w:r>
      <w:r>
        <w:rPr>
          <w:spacing w:val="-2"/>
        </w:rPr>
        <w:t> </w:t>
      </w:r>
      <w:r>
        <w:rPr/>
        <w:t>tem sido um</w:t>
      </w:r>
      <w:r>
        <w:rPr>
          <w:spacing w:val="-8"/>
        </w:rPr>
        <w:t> </w:t>
      </w:r>
      <w:r>
        <w:rPr/>
        <w:t>dos</w:t>
      </w:r>
      <w:r>
        <w:rPr>
          <w:spacing w:val="-1"/>
        </w:rPr>
        <w:t> </w:t>
      </w:r>
      <w:r>
        <w:rPr/>
        <w:t>mais</w:t>
      </w:r>
      <w:r>
        <w:rPr>
          <w:spacing w:val="-1"/>
        </w:rPr>
        <w:t> </w:t>
      </w:r>
      <w:r>
        <w:rPr/>
        <w:t>bem</w:t>
      </w:r>
      <w:r>
        <w:rPr>
          <w:spacing w:val="-8"/>
        </w:rPr>
        <w:t> </w:t>
      </w:r>
      <w:r>
        <w:rPr/>
        <w:t>estudados</w:t>
      </w:r>
      <w:r>
        <w:rPr>
          <w:spacing w:val="-1"/>
        </w:rPr>
        <w:t> </w:t>
      </w:r>
      <w:r>
        <w:rPr/>
        <w:t>no</w:t>
      </w:r>
      <w:r>
        <w:rPr>
          <w:spacing w:val="-8"/>
        </w:rPr>
        <w:t> </w:t>
      </w:r>
      <w:r>
        <w:rPr/>
        <w:t>momento.</w:t>
      </w:r>
      <w:r>
        <w:rPr>
          <w:spacing w:val="-1"/>
        </w:rPr>
        <w:t> </w:t>
      </w:r>
      <w:r>
        <w:rPr/>
        <w:t>A</w:t>
      </w:r>
      <w:r>
        <w:rPr>
          <w:spacing w:val="-10"/>
        </w:rPr>
        <w:t> </w:t>
      </w:r>
      <w:r>
        <w:rPr/>
        <w:t>alfa-aducina</w:t>
      </w:r>
      <w:r>
        <w:rPr>
          <w:spacing w:val="-10"/>
        </w:rPr>
        <w:t> </w:t>
      </w:r>
      <w:r>
        <w:rPr/>
        <w:t>é</w:t>
      </w:r>
      <w:r>
        <w:rPr>
          <w:spacing w:val="-10"/>
        </w:rPr>
        <w:t> </w:t>
      </w:r>
      <w:r>
        <w:rPr/>
        <w:t>uma</w:t>
      </w:r>
      <w:r>
        <w:rPr>
          <w:spacing w:val="-10"/>
        </w:rPr>
        <w:t> </w:t>
      </w:r>
      <w:r>
        <w:rPr/>
        <w:t>proteína</w:t>
      </w:r>
      <w:r>
        <w:rPr>
          <w:spacing w:val="-10"/>
        </w:rPr>
        <w:t> </w:t>
      </w:r>
      <w:r>
        <w:rPr/>
        <w:t>relacionada</w:t>
      </w:r>
      <w:r>
        <w:rPr>
          <w:spacing w:val="-10"/>
        </w:rPr>
        <w:t> </w:t>
      </w:r>
      <w:r>
        <w:rPr/>
        <w:t>com</w:t>
      </w:r>
      <w:r>
        <w:rPr>
          <w:spacing w:val="-8"/>
        </w:rPr>
        <w:t> </w:t>
      </w:r>
      <w:r>
        <w:rPr/>
        <w:t>a</w:t>
      </w:r>
      <w:r>
        <w:rPr>
          <w:spacing w:val="-10"/>
        </w:rPr>
        <w:t> </w:t>
      </w:r>
      <w:r>
        <w:rPr/>
        <w:t>regulação</w:t>
      </w:r>
      <w:r>
        <w:rPr>
          <w:spacing w:val="-8"/>
        </w:rPr>
        <w:t> </w:t>
      </w:r>
      <w:r>
        <w:rPr/>
        <w:t>da</w:t>
      </w:r>
      <w:r>
        <w:rPr>
          <w:spacing w:val="-10"/>
        </w:rPr>
        <w:t> </w:t>
      </w:r>
      <w:r>
        <w:rPr/>
        <w:t>transdução celular, agindo no túbulo renal proximal, modulando a reabsorção de sódio. Estudos genéticos têm demonstrado que a substituição do triptofano por glicina no resíduo aminoácido 460 tem se correlacionado com a sensibilidade ao sal. Indivíduos hipertensos, portadores do alelo triptofano (Trp/Trp ou Trp/Gly), são mais sensíveis ao sal que</w:t>
      </w:r>
      <w:r>
        <w:rPr>
          <w:spacing w:val="40"/>
        </w:rPr>
        <w:t> </w:t>
      </w:r>
      <w:r>
        <w:rPr/>
        <w:t>os pacientes homozigóticos Gly/Gly.</w:t>
      </w:r>
      <w:r>
        <w:rPr>
          <w:vertAlign w:val="superscript"/>
        </w:rPr>
        <w:t>16</w:t>
      </w:r>
    </w:p>
    <w:p>
      <w:pPr>
        <w:pStyle w:val="BodyText"/>
        <w:spacing w:before="133"/>
        <w:ind w:left="0" w:firstLine="0"/>
        <w:jc w:val="left"/>
      </w:pPr>
    </w:p>
    <w:p>
      <w:pPr>
        <w:pStyle w:val="Heading5"/>
      </w:pPr>
      <w:r>
        <w:rPr>
          <w:color w:val="A26108"/>
        </w:rPr>
        <w:t>Disfunção</w:t>
      </w:r>
      <w:r>
        <w:rPr>
          <w:color w:val="A26108"/>
          <w:spacing w:val="31"/>
        </w:rPr>
        <w:t> </w:t>
      </w:r>
      <w:r>
        <w:rPr>
          <w:color w:val="A26108"/>
          <w:spacing w:val="-2"/>
        </w:rPr>
        <w:t>endotelial</w:t>
      </w:r>
    </w:p>
    <w:p>
      <w:pPr>
        <w:pStyle w:val="BodyText"/>
        <w:spacing w:line="280" w:lineRule="auto" w:before="139"/>
        <w:ind w:right="488"/>
      </w:pPr>
      <w:r>
        <w:rPr/>
        <w:t>A disfunção endotelial é um achado frequente nos pacientes hipertensos, que apresentam uma redução na resposta vasodilatadora para vários estímulos de liberação do óxido nítrico. Isso promove remodelamento vascular anormal, servindo como um marcador futuro de eventos. Por outro lado, o tratamento anti-hipertensivo restaura as propriedades vasodilatadoras mediadas pelo óxido nítrico.</w:t>
      </w:r>
      <w:r>
        <w:rPr>
          <w:vertAlign w:val="superscript"/>
        </w:rPr>
        <w:t>16</w:t>
      </w:r>
    </w:p>
    <w:p>
      <w:pPr>
        <w:pStyle w:val="BodyText"/>
        <w:spacing w:line="276" w:lineRule="auto" w:before="43"/>
        <w:ind w:right="488"/>
      </w:pPr>
      <w:r>
        <w:rPr/>
        <w:t>Vale destacar que esse comportamento é independente da origem da hipertensão e da existência ou não de alterações estruturais do vaso.</w:t>
      </w:r>
    </w:p>
    <w:p>
      <w:pPr>
        <w:pStyle w:val="BodyText"/>
        <w:spacing w:before="134"/>
        <w:ind w:left="0" w:firstLine="0"/>
        <w:jc w:val="left"/>
      </w:pPr>
    </w:p>
    <w:p>
      <w:pPr>
        <w:pStyle w:val="Heading5"/>
      </w:pPr>
      <w:r>
        <w:rPr>
          <w:color w:val="A26108"/>
        </w:rPr>
        <w:t>Resistência</w:t>
      </w:r>
      <w:r>
        <w:rPr>
          <w:color w:val="A26108"/>
          <w:spacing w:val="20"/>
        </w:rPr>
        <w:t> </w:t>
      </w:r>
      <w:r>
        <w:rPr>
          <w:color w:val="A26108"/>
        </w:rPr>
        <w:t>à</w:t>
      </w:r>
      <w:r>
        <w:rPr>
          <w:color w:val="A26108"/>
          <w:spacing w:val="20"/>
        </w:rPr>
        <w:t> </w:t>
      </w:r>
      <w:r>
        <w:rPr>
          <w:color w:val="A26108"/>
          <w:spacing w:val="-2"/>
        </w:rPr>
        <w:t>insulina</w:t>
      </w:r>
    </w:p>
    <w:p>
      <w:pPr>
        <w:pStyle w:val="BodyText"/>
        <w:spacing w:line="276" w:lineRule="auto" w:before="138"/>
        <w:ind w:right="497"/>
      </w:pPr>
      <w:r>
        <w:rPr/>
        <w:t>A</w:t>
      </w:r>
      <w:r>
        <w:rPr>
          <w:spacing w:val="-9"/>
        </w:rPr>
        <w:t> </w:t>
      </w:r>
      <w:r>
        <w:rPr/>
        <w:t>associação</w:t>
      </w:r>
      <w:r>
        <w:rPr>
          <w:spacing w:val="-6"/>
        </w:rPr>
        <w:t> </w:t>
      </w:r>
      <w:r>
        <w:rPr/>
        <w:t>entre</w:t>
      </w:r>
      <w:r>
        <w:rPr>
          <w:spacing w:val="-9"/>
        </w:rPr>
        <w:t> </w:t>
      </w:r>
      <w:r>
        <w:rPr/>
        <w:t>a</w:t>
      </w:r>
      <w:r>
        <w:rPr>
          <w:spacing w:val="-9"/>
        </w:rPr>
        <w:t> </w:t>
      </w:r>
      <w:r>
        <w:rPr/>
        <w:t>HAS</w:t>
      </w:r>
      <w:r>
        <w:rPr>
          <w:spacing w:val="-3"/>
        </w:rPr>
        <w:t> </w:t>
      </w:r>
      <w:r>
        <w:rPr/>
        <w:t>e</w:t>
      </w:r>
      <w:r>
        <w:rPr>
          <w:spacing w:val="-9"/>
        </w:rPr>
        <w:t> </w:t>
      </w:r>
      <w:r>
        <w:rPr/>
        <w:t>a</w:t>
      </w:r>
      <w:r>
        <w:rPr>
          <w:spacing w:val="-9"/>
        </w:rPr>
        <w:t> </w:t>
      </w:r>
      <w:r>
        <w:rPr/>
        <w:t>hiperinsulinemia</w:t>
      </w:r>
      <w:r>
        <w:rPr>
          <w:spacing w:val="-9"/>
        </w:rPr>
        <w:t> </w:t>
      </w:r>
      <w:r>
        <w:rPr/>
        <w:t>não</w:t>
      </w:r>
      <w:r>
        <w:rPr>
          <w:spacing w:val="-6"/>
        </w:rPr>
        <w:t> </w:t>
      </w:r>
      <w:r>
        <w:rPr/>
        <w:t>é</w:t>
      </w:r>
      <w:r>
        <w:rPr>
          <w:spacing w:val="-9"/>
        </w:rPr>
        <w:t> </w:t>
      </w:r>
      <w:r>
        <w:rPr/>
        <w:t>recente, tendo</w:t>
      </w:r>
      <w:r>
        <w:rPr>
          <w:spacing w:val="-6"/>
        </w:rPr>
        <w:t> </w:t>
      </w:r>
      <w:r>
        <w:rPr/>
        <w:t>sido</w:t>
      </w:r>
      <w:r>
        <w:rPr>
          <w:spacing w:val="-6"/>
        </w:rPr>
        <w:t> </w:t>
      </w:r>
      <w:r>
        <w:rPr/>
        <w:t>reconhecida</w:t>
      </w:r>
      <w:r>
        <w:rPr>
          <w:spacing w:val="-9"/>
        </w:rPr>
        <w:t> </w:t>
      </w:r>
      <w:r>
        <w:rPr/>
        <w:t>há</w:t>
      </w:r>
      <w:r>
        <w:rPr>
          <w:spacing w:val="-9"/>
        </w:rPr>
        <w:t> </w:t>
      </w:r>
      <w:r>
        <w:rPr/>
        <w:t>muitos anos não</w:t>
      </w:r>
      <w:r>
        <w:rPr>
          <w:spacing w:val="-6"/>
        </w:rPr>
        <w:t> </w:t>
      </w:r>
      <w:r>
        <w:rPr/>
        <w:t>apenas em indivíduos obesos, mas também em cerca de 20% dos hipertensos não obesos. Da mesma maneira que na obesidade, a hiperinsulinemia ocorre como consequência da resistência aos efeitos da insulina na utilização periférica da glicose.</w:t>
      </w:r>
    </w:p>
    <w:p>
      <w:pPr>
        <w:pStyle w:val="BodyText"/>
        <w:spacing w:line="280" w:lineRule="auto"/>
        <w:ind w:right="488"/>
      </w:pPr>
      <w:r>
        <w:rPr/>
        <w:t>Particularmente no sistema cardiovascular, a insulina promove o equilíbrio entre uma resposta vasodilatadora direta, mediada pelo aumento da síntese de óxido nítrico e por efeitos pressóricos marcantes, caracterizados por uma</w:t>
      </w:r>
      <w:r>
        <w:rPr>
          <w:spacing w:val="-3"/>
        </w:rPr>
        <w:t> </w:t>
      </w:r>
      <w:r>
        <w:rPr/>
        <w:t>ativação do sistema</w:t>
      </w:r>
      <w:r>
        <w:rPr>
          <w:spacing w:val="-3"/>
        </w:rPr>
        <w:t> </w:t>
      </w:r>
      <w:r>
        <w:rPr/>
        <w:t>simpático, ação trófica</w:t>
      </w:r>
      <w:r>
        <w:rPr>
          <w:spacing w:val="-3"/>
        </w:rPr>
        <w:t> </w:t>
      </w:r>
      <w:r>
        <w:rPr/>
        <w:t>sobre</w:t>
      </w:r>
      <w:r>
        <w:rPr>
          <w:spacing w:val="-3"/>
        </w:rPr>
        <w:t> </w:t>
      </w:r>
      <w:r>
        <w:rPr/>
        <w:t>a</w:t>
      </w:r>
      <w:r>
        <w:rPr>
          <w:spacing w:val="-3"/>
        </w:rPr>
        <w:t> </w:t>
      </w:r>
      <w:r>
        <w:rPr/>
        <w:t>musculatura</w:t>
      </w:r>
      <w:r>
        <w:rPr>
          <w:spacing w:val="-3"/>
        </w:rPr>
        <w:t> </w:t>
      </w:r>
      <w:r>
        <w:rPr/>
        <w:t>do vaso e</w:t>
      </w:r>
      <w:r>
        <w:rPr>
          <w:spacing w:val="-3"/>
        </w:rPr>
        <w:t> </w:t>
      </w:r>
      <w:r>
        <w:rPr/>
        <w:t>aumento da</w:t>
      </w:r>
      <w:r>
        <w:rPr>
          <w:spacing w:val="-3"/>
        </w:rPr>
        <w:t> </w:t>
      </w:r>
      <w:r>
        <w:rPr/>
        <w:t>reabsorção de</w:t>
      </w:r>
      <w:r>
        <w:rPr>
          <w:spacing w:val="-3"/>
        </w:rPr>
        <w:t> </w:t>
      </w:r>
      <w:r>
        <w:rPr/>
        <w:t>sódio nos rins.</w:t>
      </w:r>
      <w:r>
        <w:rPr>
          <w:vertAlign w:val="superscript"/>
        </w:rPr>
        <w:t>17</w:t>
      </w:r>
      <w:r>
        <w:rPr>
          <w:vertAlign w:val="baseline"/>
        </w:rPr>
        <w:t> No caso de resistência à insulina, sabe-se que há uma falha na vasodilatação para antagonizar os efeitos da elevação da pressão arterial promovida pela ativação do sistema simpático.</w:t>
      </w:r>
    </w:p>
    <w:p>
      <w:pPr>
        <w:pStyle w:val="BodyText"/>
        <w:spacing w:line="280" w:lineRule="auto" w:before="38"/>
        <w:ind w:right="491"/>
      </w:pPr>
      <w:r>
        <w:rPr/>
        <w:t>O</w:t>
      </w:r>
      <w:r>
        <w:rPr>
          <w:spacing w:val="-8"/>
        </w:rPr>
        <w:t> </w:t>
      </w:r>
      <w:r>
        <w:rPr/>
        <w:t>mecanismo</w:t>
      </w:r>
      <w:r>
        <w:rPr>
          <w:spacing w:val="-6"/>
        </w:rPr>
        <w:t> </w:t>
      </w:r>
      <w:r>
        <w:rPr/>
        <w:t>exato</w:t>
      </w:r>
      <w:r>
        <w:rPr>
          <w:spacing w:val="-6"/>
        </w:rPr>
        <w:t> </w:t>
      </w:r>
      <w:r>
        <w:rPr/>
        <w:t>pelo</w:t>
      </w:r>
      <w:r>
        <w:rPr>
          <w:spacing w:val="-6"/>
        </w:rPr>
        <w:t> </w:t>
      </w:r>
      <w:r>
        <w:rPr/>
        <w:t>qual</w:t>
      </w:r>
      <w:r>
        <w:rPr>
          <w:spacing w:val="-3"/>
        </w:rPr>
        <w:t> </w:t>
      </w:r>
      <w:r>
        <w:rPr/>
        <w:t>a</w:t>
      </w:r>
      <w:r>
        <w:rPr>
          <w:spacing w:val="-8"/>
        </w:rPr>
        <w:t> </w:t>
      </w:r>
      <w:r>
        <w:rPr/>
        <w:t>resistência</w:t>
      </w:r>
      <w:r>
        <w:rPr>
          <w:spacing w:val="-8"/>
        </w:rPr>
        <w:t> </w:t>
      </w:r>
      <w:r>
        <w:rPr/>
        <w:t>à</w:t>
      </w:r>
      <w:r>
        <w:rPr>
          <w:spacing w:val="-8"/>
        </w:rPr>
        <w:t> </w:t>
      </w:r>
      <w:r>
        <w:rPr/>
        <w:t>insulina</w:t>
      </w:r>
      <w:r>
        <w:rPr>
          <w:spacing w:val="-8"/>
        </w:rPr>
        <w:t> </w:t>
      </w:r>
      <w:r>
        <w:rPr/>
        <w:t>contribui</w:t>
      </w:r>
      <w:r>
        <w:rPr>
          <w:spacing w:val="-3"/>
        </w:rPr>
        <w:t> </w:t>
      </w:r>
      <w:r>
        <w:rPr/>
        <w:t>para</w:t>
      </w:r>
      <w:r>
        <w:rPr>
          <w:spacing w:val="-8"/>
        </w:rPr>
        <w:t> </w:t>
      </w:r>
      <w:r>
        <w:rPr/>
        <w:t>a</w:t>
      </w:r>
      <w:r>
        <w:rPr>
          <w:spacing w:val="-8"/>
        </w:rPr>
        <w:t> </w:t>
      </w:r>
      <w:r>
        <w:rPr/>
        <w:t>elevação</w:t>
      </w:r>
      <w:r>
        <w:rPr>
          <w:spacing w:val="-6"/>
        </w:rPr>
        <w:t> </w:t>
      </w:r>
      <w:r>
        <w:rPr/>
        <w:t>da</w:t>
      </w:r>
      <w:r>
        <w:rPr>
          <w:spacing w:val="-8"/>
        </w:rPr>
        <w:t> </w:t>
      </w:r>
      <w:r>
        <w:rPr/>
        <w:t>pressão</w:t>
      </w:r>
      <w:r>
        <w:rPr>
          <w:spacing w:val="-6"/>
        </w:rPr>
        <w:t> </w:t>
      </w:r>
      <w:r>
        <w:rPr/>
        <w:t>arterial</w:t>
      </w:r>
      <w:r>
        <w:rPr>
          <w:spacing w:val="-3"/>
        </w:rPr>
        <w:t> </w:t>
      </w:r>
      <w:r>
        <w:rPr/>
        <w:t>não</w:t>
      </w:r>
      <w:r>
        <w:rPr>
          <w:spacing w:val="-6"/>
        </w:rPr>
        <w:t> </w:t>
      </w:r>
      <w:r>
        <w:rPr/>
        <w:t>está</w:t>
      </w:r>
      <w:r>
        <w:rPr>
          <w:spacing w:val="-8"/>
        </w:rPr>
        <w:t> </w:t>
      </w:r>
      <w:r>
        <w:rPr/>
        <w:t>muito claro. Sabe-se que existe uma relação direta da resistência à insulina com o peso corpóreo. Também se sabe que os pacientes com obesidade central são mais resistentes à insulina e apresentam mais doenças cardiovasculares (incluindo a HAS).</w:t>
      </w:r>
      <w:r>
        <w:rPr>
          <w:vertAlign w:val="superscript"/>
        </w:rPr>
        <w:t>18,19</w:t>
      </w:r>
      <w:r>
        <w:rPr>
          <w:vertAlign w:val="baseline"/>
        </w:rPr>
        <w:t> Outro ponto a ser enfatizado é que a obesidade central está associada a várias alterações metabólicas, como aumento de citocinas e dos ácidos graxos livres, principais componentes do tecido adiposo. Os ácidos graxos livres estão</w:t>
      </w:r>
      <w:r>
        <w:rPr>
          <w:spacing w:val="-7"/>
          <w:vertAlign w:val="baseline"/>
        </w:rPr>
        <w:t> </w:t>
      </w:r>
      <w:r>
        <w:rPr>
          <w:vertAlign w:val="baseline"/>
        </w:rPr>
        <w:t>relacionados diretamente</w:t>
      </w:r>
      <w:r>
        <w:rPr>
          <w:spacing w:val="-9"/>
          <w:vertAlign w:val="baseline"/>
        </w:rPr>
        <w:t> </w:t>
      </w:r>
      <w:r>
        <w:rPr>
          <w:vertAlign w:val="baseline"/>
        </w:rPr>
        <w:t>com</w:t>
      </w:r>
      <w:r>
        <w:rPr>
          <w:spacing w:val="-7"/>
          <w:vertAlign w:val="baseline"/>
        </w:rPr>
        <w:t> </w:t>
      </w:r>
      <w:r>
        <w:rPr>
          <w:vertAlign w:val="baseline"/>
        </w:rPr>
        <w:t>a</w:t>
      </w:r>
      <w:r>
        <w:rPr>
          <w:spacing w:val="-9"/>
          <w:vertAlign w:val="baseline"/>
        </w:rPr>
        <w:t> </w:t>
      </w:r>
      <w:r>
        <w:rPr>
          <w:vertAlign w:val="baseline"/>
        </w:rPr>
        <w:t>resistência</w:t>
      </w:r>
      <w:r>
        <w:rPr>
          <w:spacing w:val="-9"/>
          <w:vertAlign w:val="baseline"/>
        </w:rPr>
        <w:t> </w:t>
      </w:r>
      <w:r>
        <w:rPr>
          <w:vertAlign w:val="baseline"/>
        </w:rPr>
        <w:t>à</w:t>
      </w:r>
      <w:r>
        <w:rPr>
          <w:spacing w:val="-9"/>
          <w:vertAlign w:val="baseline"/>
        </w:rPr>
        <w:t> </w:t>
      </w:r>
      <w:r>
        <w:rPr>
          <w:vertAlign w:val="baseline"/>
        </w:rPr>
        <w:t>insulina</w:t>
      </w:r>
      <w:r>
        <w:rPr>
          <w:spacing w:val="-9"/>
          <w:vertAlign w:val="baseline"/>
        </w:rPr>
        <w:t> </w:t>
      </w:r>
      <w:r>
        <w:rPr>
          <w:vertAlign w:val="baseline"/>
        </w:rPr>
        <w:t>e</w:t>
      </w:r>
      <w:r>
        <w:rPr>
          <w:spacing w:val="-9"/>
          <w:vertAlign w:val="baseline"/>
        </w:rPr>
        <w:t> </w:t>
      </w:r>
      <w:r>
        <w:rPr>
          <w:vertAlign w:val="baseline"/>
        </w:rPr>
        <w:t>o</w:t>
      </w:r>
      <w:r>
        <w:rPr>
          <w:spacing w:val="-7"/>
          <w:vertAlign w:val="baseline"/>
        </w:rPr>
        <w:t> </w:t>
      </w:r>
      <w:r>
        <w:rPr>
          <w:vertAlign w:val="baseline"/>
        </w:rPr>
        <w:t>aumento</w:t>
      </w:r>
      <w:r>
        <w:rPr>
          <w:spacing w:val="-7"/>
          <w:vertAlign w:val="baseline"/>
        </w:rPr>
        <w:t> </w:t>
      </w:r>
      <w:r>
        <w:rPr>
          <w:vertAlign w:val="baseline"/>
        </w:rPr>
        <w:t>agudo</w:t>
      </w:r>
      <w:r>
        <w:rPr>
          <w:spacing w:val="-7"/>
          <w:vertAlign w:val="baseline"/>
        </w:rPr>
        <w:t> </w:t>
      </w:r>
      <w:r>
        <w:rPr>
          <w:vertAlign w:val="baseline"/>
        </w:rPr>
        <w:t>desses ácidos na circulação,</w:t>
      </w:r>
      <w:r>
        <w:rPr>
          <w:spacing w:val="-1"/>
          <w:vertAlign w:val="baseline"/>
        </w:rPr>
        <w:t> </w:t>
      </w:r>
      <w:r>
        <w:rPr>
          <w:vertAlign w:val="baseline"/>
        </w:rPr>
        <w:t>resultando</w:t>
      </w:r>
      <w:r>
        <w:rPr>
          <w:spacing w:val="-9"/>
          <w:vertAlign w:val="baseline"/>
        </w:rPr>
        <w:t> </w:t>
      </w:r>
      <w:r>
        <w:rPr>
          <w:vertAlign w:val="baseline"/>
        </w:rPr>
        <w:t>em</w:t>
      </w:r>
      <w:r>
        <w:rPr>
          <w:spacing w:val="-9"/>
          <w:vertAlign w:val="baseline"/>
        </w:rPr>
        <w:t> </w:t>
      </w:r>
      <w:r>
        <w:rPr>
          <w:vertAlign w:val="baseline"/>
        </w:rPr>
        <w:t>elevação</w:t>
      </w:r>
      <w:r>
        <w:rPr>
          <w:spacing w:val="-9"/>
          <w:vertAlign w:val="baseline"/>
        </w:rPr>
        <w:t> </w:t>
      </w:r>
      <w:r>
        <w:rPr>
          <w:vertAlign w:val="baseline"/>
        </w:rPr>
        <w:t>da</w:t>
      </w:r>
      <w:r>
        <w:rPr>
          <w:spacing w:val="-11"/>
          <w:vertAlign w:val="baseline"/>
        </w:rPr>
        <w:t> </w:t>
      </w:r>
      <w:r>
        <w:rPr>
          <w:vertAlign w:val="baseline"/>
        </w:rPr>
        <w:t>pressão</w:t>
      </w:r>
      <w:r>
        <w:rPr>
          <w:spacing w:val="-9"/>
          <w:vertAlign w:val="baseline"/>
        </w:rPr>
        <w:t> </w:t>
      </w:r>
      <w:r>
        <w:rPr>
          <w:vertAlign w:val="baseline"/>
        </w:rPr>
        <w:t>arterial,</w:t>
      </w:r>
      <w:r>
        <w:rPr>
          <w:spacing w:val="-1"/>
          <w:vertAlign w:val="baseline"/>
        </w:rPr>
        <w:t> </w:t>
      </w:r>
      <w:r>
        <w:rPr>
          <w:vertAlign w:val="baseline"/>
        </w:rPr>
        <w:t>elevação</w:t>
      </w:r>
      <w:r>
        <w:rPr>
          <w:spacing w:val="-9"/>
          <w:vertAlign w:val="baseline"/>
        </w:rPr>
        <w:t> </w:t>
      </w:r>
      <w:r>
        <w:rPr>
          <w:vertAlign w:val="baseline"/>
        </w:rPr>
        <w:t>esta</w:t>
      </w:r>
      <w:r>
        <w:rPr>
          <w:spacing w:val="-11"/>
          <w:vertAlign w:val="baseline"/>
        </w:rPr>
        <w:t> </w:t>
      </w:r>
      <w:r>
        <w:rPr>
          <w:vertAlign w:val="baseline"/>
        </w:rPr>
        <w:t>atenuada</w:t>
      </w:r>
      <w:r>
        <w:rPr>
          <w:spacing w:val="-11"/>
          <w:vertAlign w:val="baseline"/>
        </w:rPr>
        <w:t> </w:t>
      </w:r>
      <w:r>
        <w:rPr>
          <w:vertAlign w:val="baseline"/>
        </w:rPr>
        <w:t>por</w:t>
      </w:r>
      <w:r>
        <w:rPr>
          <w:spacing w:val="-4"/>
          <w:vertAlign w:val="baseline"/>
        </w:rPr>
        <w:t> </w:t>
      </w:r>
      <w:r>
        <w:rPr>
          <w:vertAlign w:val="baseline"/>
        </w:rPr>
        <w:t>uma</w:t>
      </w:r>
      <w:r>
        <w:rPr>
          <w:spacing w:val="-11"/>
          <w:vertAlign w:val="baseline"/>
        </w:rPr>
        <w:t> </w:t>
      </w:r>
      <w:r>
        <w:rPr>
          <w:vertAlign w:val="baseline"/>
        </w:rPr>
        <w:t>dieta</w:t>
      </w:r>
      <w:r>
        <w:rPr>
          <w:spacing w:val="-11"/>
          <w:vertAlign w:val="baseline"/>
        </w:rPr>
        <w:t> </w:t>
      </w:r>
      <w:r>
        <w:rPr>
          <w:vertAlign w:val="baseline"/>
        </w:rPr>
        <w:t>rica</w:t>
      </w:r>
      <w:r>
        <w:rPr>
          <w:spacing w:val="-11"/>
          <w:vertAlign w:val="baseline"/>
        </w:rPr>
        <w:t> </w:t>
      </w:r>
      <w:r>
        <w:rPr>
          <w:vertAlign w:val="baseline"/>
        </w:rPr>
        <w:t>em</w:t>
      </w:r>
      <w:r>
        <w:rPr>
          <w:spacing w:val="-9"/>
          <w:vertAlign w:val="baseline"/>
        </w:rPr>
        <w:t> </w:t>
      </w:r>
      <w:r>
        <w:rPr>
          <w:vertAlign w:val="baseline"/>
        </w:rPr>
        <w:t>antioxidantes.</w:t>
      </w:r>
      <w:r>
        <w:rPr>
          <w:vertAlign w:val="superscript"/>
        </w:rPr>
        <w:t>20</w:t>
      </w:r>
    </w:p>
    <w:p>
      <w:pPr>
        <w:pStyle w:val="BodyText"/>
        <w:spacing w:before="129"/>
        <w:ind w:left="0" w:firstLine="0"/>
        <w:jc w:val="left"/>
      </w:pPr>
    </w:p>
    <w:p>
      <w:pPr>
        <w:pStyle w:val="Heading5"/>
      </w:pPr>
      <w:r>
        <w:rPr>
          <w:color w:val="A26108"/>
        </w:rPr>
        <w:t>Suscetibilidade</w:t>
      </w:r>
      <w:r>
        <w:rPr>
          <w:color w:val="A26108"/>
          <w:spacing w:val="46"/>
        </w:rPr>
        <w:t> </w:t>
      </w:r>
      <w:r>
        <w:rPr>
          <w:color w:val="A26108"/>
          <w:spacing w:val="-2"/>
        </w:rPr>
        <w:t>genética</w:t>
      </w:r>
    </w:p>
    <w:p>
      <w:pPr>
        <w:pStyle w:val="BodyText"/>
        <w:spacing w:line="280" w:lineRule="auto" w:before="138"/>
        <w:ind w:right="497"/>
      </w:pPr>
      <w:r>
        <w:rPr/>
        <w:t>A evidência da influência genética na HAS vem de várias fontes: estudos em irmãos mostram maior concordância da pressão arterial em gêmeos monozigóticos do que em gêmeos dizigóticos. Estudos populacionais mostram maior similaridade da pressão arterial dentro das famílias do que entre famílias. Sabe-se, também, que indivíduos normais, filhos de pais hipertensos, têm pressão arterial mais elevada que os filhos de pais </w:t>
      </w:r>
      <w:r>
        <w:rPr>
          <w:spacing w:val="-2"/>
        </w:rPr>
        <w:t>normotensos.</w:t>
      </w:r>
      <w:r>
        <w:rPr>
          <w:spacing w:val="-2"/>
          <w:vertAlign w:val="superscript"/>
        </w:rPr>
        <w:t>21</w:t>
      </w:r>
    </w:p>
    <w:p>
      <w:pPr>
        <w:pStyle w:val="BodyText"/>
        <w:spacing w:line="278" w:lineRule="auto" w:before="39"/>
        <w:ind w:right="497"/>
      </w:pPr>
      <w:r>
        <w:rPr/>
        <w:t>Como</w:t>
      </w:r>
      <w:r>
        <w:rPr>
          <w:spacing w:val="-11"/>
        </w:rPr>
        <w:t> </w:t>
      </w:r>
      <w:r>
        <w:rPr/>
        <w:t>exposto</w:t>
      </w:r>
      <w:r>
        <w:rPr>
          <w:spacing w:val="-11"/>
        </w:rPr>
        <w:t> </w:t>
      </w:r>
      <w:r>
        <w:rPr/>
        <w:t>anteriormente,</w:t>
      </w:r>
      <w:r>
        <w:rPr>
          <w:spacing w:val="-3"/>
        </w:rPr>
        <w:t> </w:t>
      </w:r>
      <w:r>
        <w:rPr/>
        <w:t>a</w:t>
      </w:r>
      <w:r>
        <w:rPr>
          <w:spacing w:val="-13"/>
        </w:rPr>
        <w:t> </w:t>
      </w:r>
      <w:r>
        <w:rPr/>
        <w:t>HAS</w:t>
      </w:r>
      <w:r>
        <w:rPr>
          <w:spacing w:val="-8"/>
        </w:rPr>
        <w:t> </w:t>
      </w:r>
      <w:r>
        <w:rPr/>
        <w:t>primária</w:t>
      </w:r>
      <w:r>
        <w:rPr>
          <w:spacing w:val="-13"/>
        </w:rPr>
        <w:t> </w:t>
      </w:r>
      <w:r>
        <w:rPr/>
        <w:t>é</w:t>
      </w:r>
      <w:r>
        <w:rPr>
          <w:spacing w:val="-13"/>
        </w:rPr>
        <w:t> </w:t>
      </w:r>
      <w:r>
        <w:rPr/>
        <w:t>uma</w:t>
      </w:r>
      <w:r>
        <w:rPr>
          <w:spacing w:val="-13"/>
        </w:rPr>
        <w:t> </w:t>
      </w:r>
      <w:r>
        <w:rPr/>
        <w:t>doença</w:t>
      </w:r>
      <w:r>
        <w:rPr>
          <w:spacing w:val="-13"/>
        </w:rPr>
        <w:t> </w:t>
      </w:r>
      <w:r>
        <w:rPr/>
        <w:t>complexa,</w:t>
      </w:r>
      <w:r>
        <w:rPr>
          <w:spacing w:val="-3"/>
        </w:rPr>
        <w:t> </w:t>
      </w:r>
      <w:r>
        <w:rPr/>
        <w:t>envolvendo</w:t>
      </w:r>
      <w:r>
        <w:rPr>
          <w:spacing w:val="-11"/>
        </w:rPr>
        <w:t> </w:t>
      </w:r>
      <w:r>
        <w:rPr/>
        <w:t>a</w:t>
      </w:r>
      <w:r>
        <w:rPr>
          <w:spacing w:val="-13"/>
        </w:rPr>
        <w:t> </w:t>
      </w:r>
      <w:r>
        <w:rPr/>
        <w:t>participação</w:t>
      </w:r>
      <w:r>
        <w:rPr>
          <w:spacing w:val="-11"/>
        </w:rPr>
        <w:t> </w:t>
      </w:r>
      <w:r>
        <w:rPr/>
        <w:t>de</w:t>
      </w:r>
      <w:r>
        <w:rPr>
          <w:spacing w:val="-13"/>
        </w:rPr>
        <w:t> </w:t>
      </w:r>
      <w:r>
        <w:rPr/>
        <w:t>fenômenos ambientais e genéticos que frequentemente interagem entre si. Do ponto de vista genético, sabe-se que a doença é poligênica, ou</w:t>
      </w:r>
      <w:r>
        <w:rPr>
          <w:spacing w:val="-5"/>
        </w:rPr>
        <w:t> </w:t>
      </w:r>
      <w:r>
        <w:rPr/>
        <w:t>seja, múltiplos genes estão</w:t>
      </w:r>
      <w:r>
        <w:rPr>
          <w:spacing w:val="-5"/>
        </w:rPr>
        <w:t> </w:t>
      </w:r>
      <w:r>
        <w:rPr/>
        <w:t>envolvidos, cada</w:t>
      </w:r>
      <w:r>
        <w:rPr>
          <w:spacing w:val="-8"/>
        </w:rPr>
        <w:t> </w:t>
      </w:r>
      <w:r>
        <w:rPr/>
        <w:t>qual</w:t>
      </w:r>
      <w:r>
        <w:rPr>
          <w:spacing w:val="-3"/>
        </w:rPr>
        <w:t> </w:t>
      </w:r>
      <w:r>
        <w:rPr/>
        <w:t>contribuindo</w:t>
      </w:r>
      <w:r>
        <w:rPr>
          <w:spacing w:val="-5"/>
        </w:rPr>
        <w:t> </w:t>
      </w:r>
      <w:r>
        <w:rPr/>
        <w:t>para</w:t>
      </w:r>
      <w:r>
        <w:rPr>
          <w:spacing w:val="-8"/>
        </w:rPr>
        <w:t> </w:t>
      </w:r>
      <w:r>
        <w:rPr/>
        <w:t>exercer pequenos efeitos sobre</w:t>
      </w:r>
      <w:r>
        <w:rPr>
          <w:spacing w:val="-8"/>
        </w:rPr>
        <w:t> </w:t>
      </w:r>
      <w:r>
        <w:rPr/>
        <w:t>a pressão</w:t>
      </w:r>
      <w:r>
        <w:rPr>
          <w:spacing w:val="-8"/>
        </w:rPr>
        <w:t> </w:t>
      </w:r>
      <w:r>
        <w:rPr/>
        <w:t>arterial. Isso</w:t>
      </w:r>
      <w:r>
        <w:rPr>
          <w:spacing w:val="-8"/>
        </w:rPr>
        <w:t> </w:t>
      </w:r>
      <w:r>
        <w:rPr/>
        <w:t>significa</w:t>
      </w:r>
      <w:r>
        <w:rPr>
          <w:spacing w:val="-10"/>
        </w:rPr>
        <w:t> </w:t>
      </w:r>
      <w:r>
        <w:rPr/>
        <w:t>que, isoladamente, as variantes genéticas alteram</w:t>
      </w:r>
      <w:r>
        <w:rPr>
          <w:spacing w:val="-8"/>
        </w:rPr>
        <w:t> </w:t>
      </w:r>
      <w:r>
        <w:rPr/>
        <w:t>a</w:t>
      </w:r>
      <w:r>
        <w:rPr>
          <w:spacing w:val="-10"/>
        </w:rPr>
        <w:t> </w:t>
      </w:r>
      <w:r>
        <w:rPr/>
        <w:t>pressão</w:t>
      </w:r>
      <w:r>
        <w:rPr>
          <w:spacing w:val="-8"/>
        </w:rPr>
        <w:t> </w:t>
      </w:r>
      <w:r>
        <w:rPr/>
        <w:t>modestamente. A</w:t>
      </w:r>
      <w:r>
        <w:rPr>
          <w:spacing w:val="-10"/>
        </w:rPr>
        <w:t> </w:t>
      </w:r>
      <w:r>
        <w:rPr/>
        <w:t>procura por genes candidatos comparou</w:t>
      </w:r>
      <w:r>
        <w:rPr>
          <w:spacing w:val="-2"/>
        </w:rPr>
        <w:t> </w:t>
      </w:r>
      <w:r>
        <w:rPr/>
        <w:t>os níveis de</w:t>
      </w:r>
      <w:r>
        <w:rPr>
          <w:spacing w:val="-4"/>
        </w:rPr>
        <w:t> </w:t>
      </w:r>
      <w:r>
        <w:rPr/>
        <w:t>pressão</w:t>
      </w:r>
      <w:r>
        <w:rPr>
          <w:spacing w:val="-2"/>
        </w:rPr>
        <w:t> </w:t>
      </w:r>
      <w:r>
        <w:rPr/>
        <w:t>arterial entre</w:t>
      </w:r>
      <w:r>
        <w:rPr>
          <w:spacing w:val="-4"/>
        </w:rPr>
        <w:t> </w:t>
      </w:r>
      <w:r>
        <w:rPr/>
        <w:t>indivíduos de</w:t>
      </w:r>
      <w:r>
        <w:rPr>
          <w:spacing w:val="-4"/>
        </w:rPr>
        <w:t> </w:t>
      </w:r>
      <w:r>
        <w:rPr/>
        <w:t>genótipos diferentes com</w:t>
      </w:r>
      <w:r>
        <w:rPr>
          <w:spacing w:val="-2"/>
        </w:rPr>
        <w:t> </w:t>
      </w:r>
      <w:r>
        <w:rPr/>
        <w:t>os locais cromossômicos sabidamente</w:t>
      </w:r>
      <w:r>
        <w:rPr>
          <w:spacing w:val="-4"/>
        </w:rPr>
        <w:t> </w:t>
      </w:r>
      <w:r>
        <w:rPr/>
        <w:t>envolvidos na</w:t>
      </w:r>
      <w:r>
        <w:rPr>
          <w:spacing w:val="-4"/>
        </w:rPr>
        <w:t> </w:t>
      </w:r>
      <w:r>
        <w:rPr/>
        <w:t>regulação</w:t>
      </w:r>
      <w:r>
        <w:rPr>
          <w:spacing w:val="-1"/>
        </w:rPr>
        <w:t> </w:t>
      </w:r>
      <w:r>
        <w:rPr/>
        <w:t>da</w:t>
      </w:r>
      <w:r>
        <w:rPr>
          <w:spacing w:val="-4"/>
        </w:rPr>
        <w:t> </w:t>
      </w:r>
      <w:r>
        <w:rPr/>
        <w:t>pressão</w:t>
      </w:r>
      <w:r>
        <w:rPr>
          <w:spacing w:val="-1"/>
        </w:rPr>
        <w:t> </w:t>
      </w:r>
      <w:r>
        <w:rPr/>
        <w:t>arterial. Um</w:t>
      </w:r>
      <w:r>
        <w:rPr>
          <w:spacing w:val="-1"/>
        </w:rPr>
        <w:t> </w:t>
      </w:r>
      <w:r>
        <w:rPr/>
        <w:t>dos achados mais promissores, neste sentido, está</w:t>
      </w:r>
      <w:r>
        <w:rPr>
          <w:spacing w:val="-7"/>
        </w:rPr>
        <w:t> </w:t>
      </w:r>
      <w:r>
        <w:rPr/>
        <w:t>relacionado</w:t>
      </w:r>
      <w:r>
        <w:rPr>
          <w:spacing w:val="-4"/>
        </w:rPr>
        <w:t> </w:t>
      </w:r>
      <w:r>
        <w:rPr/>
        <w:t>com</w:t>
      </w:r>
      <w:r>
        <w:rPr>
          <w:spacing w:val="-4"/>
        </w:rPr>
        <w:t> </w:t>
      </w:r>
      <w:r>
        <w:rPr/>
        <w:t>os genes do</w:t>
      </w:r>
      <w:r>
        <w:rPr>
          <w:spacing w:val="-4"/>
        </w:rPr>
        <w:t> </w:t>
      </w:r>
      <w:r>
        <w:rPr/>
        <w:t>sistema</w:t>
      </w:r>
      <w:r>
        <w:rPr>
          <w:spacing w:val="-7"/>
        </w:rPr>
        <w:t> </w:t>
      </w:r>
      <w:r>
        <w:rPr/>
        <w:t>renina-angiotensina-aldosterona, tais como</w:t>
      </w:r>
      <w:r>
        <w:rPr>
          <w:spacing w:val="-4"/>
        </w:rPr>
        <w:t> </w:t>
      </w:r>
      <w:r>
        <w:rPr/>
        <w:t>a</w:t>
      </w:r>
      <w:r>
        <w:rPr>
          <w:spacing w:val="-7"/>
        </w:rPr>
        <w:t> </w:t>
      </w:r>
      <w:r>
        <w:rPr/>
        <w:t>variante</w:t>
      </w:r>
      <w:r>
        <w:rPr>
          <w:spacing w:val="-7"/>
        </w:rPr>
        <w:t> </w:t>
      </w:r>
      <w:r>
        <w:rPr/>
        <w:t>M235T do gene</w:t>
      </w:r>
      <w:r>
        <w:rPr>
          <w:spacing w:val="-14"/>
        </w:rPr>
        <w:t> </w:t>
      </w:r>
      <w:r>
        <w:rPr/>
        <w:t>do</w:t>
      </w:r>
      <w:r>
        <w:rPr>
          <w:spacing w:val="-11"/>
        </w:rPr>
        <w:t> </w:t>
      </w:r>
      <w:r>
        <w:rPr/>
        <w:t>angiotensinogênio,</w:t>
      </w:r>
      <w:r>
        <w:rPr>
          <w:spacing w:val="-4"/>
        </w:rPr>
        <w:t> </w:t>
      </w:r>
      <w:r>
        <w:rPr/>
        <w:t>que</w:t>
      </w:r>
      <w:r>
        <w:rPr>
          <w:spacing w:val="-14"/>
        </w:rPr>
        <w:t> </w:t>
      </w:r>
      <w:r>
        <w:rPr/>
        <w:t>está</w:t>
      </w:r>
      <w:r>
        <w:rPr>
          <w:spacing w:val="-14"/>
        </w:rPr>
        <w:t> </w:t>
      </w:r>
      <w:r>
        <w:rPr/>
        <w:t>associada</w:t>
      </w:r>
      <w:r>
        <w:rPr>
          <w:spacing w:val="-14"/>
        </w:rPr>
        <w:t> </w:t>
      </w:r>
      <w:r>
        <w:rPr/>
        <w:t>a</w:t>
      </w:r>
      <w:r>
        <w:rPr>
          <w:spacing w:val="-14"/>
        </w:rPr>
        <w:t> </w:t>
      </w:r>
      <w:r>
        <w:rPr/>
        <w:t>aumento</w:t>
      </w:r>
      <w:r>
        <w:rPr>
          <w:spacing w:val="-11"/>
        </w:rPr>
        <w:t> </w:t>
      </w:r>
      <w:r>
        <w:rPr/>
        <w:t>nos</w:t>
      </w:r>
      <w:r>
        <w:rPr>
          <w:spacing w:val="-4"/>
        </w:rPr>
        <w:t> </w:t>
      </w:r>
      <w:r>
        <w:rPr/>
        <w:t>níveis</w:t>
      </w:r>
      <w:r>
        <w:rPr>
          <w:spacing w:val="-4"/>
        </w:rPr>
        <w:t> </w:t>
      </w:r>
      <w:r>
        <w:rPr/>
        <w:t>circulantes</w:t>
      </w:r>
      <w:r>
        <w:rPr>
          <w:spacing w:val="-4"/>
        </w:rPr>
        <w:t> </w:t>
      </w:r>
      <w:r>
        <w:rPr/>
        <w:t>de</w:t>
      </w:r>
      <w:r>
        <w:rPr>
          <w:spacing w:val="-14"/>
        </w:rPr>
        <w:t> </w:t>
      </w:r>
      <w:r>
        <w:rPr/>
        <w:t>angiotensinogênio,</w:t>
      </w:r>
      <w:r>
        <w:rPr>
          <w:spacing w:val="-4"/>
        </w:rPr>
        <w:t> </w:t>
      </w:r>
      <w:r>
        <w:rPr/>
        <w:t>e</w:t>
      </w:r>
      <w:r>
        <w:rPr>
          <w:spacing w:val="-14"/>
        </w:rPr>
        <w:t> </w:t>
      </w:r>
      <w:r>
        <w:rPr/>
        <w:t>variantes</w:t>
      </w:r>
      <w:r>
        <w:rPr>
          <w:spacing w:val="-4"/>
        </w:rPr>
        <w:t> </w:t>
      </w:r>
      <w:r>
        <w:rPr/>
        <w:t>do gene da enzima conversora da angiotensina.</w:t>
      </w:r>
      <w:r>
        <w:rPr>
          <w:vertAlign w:val="superscript"/>
        </w:rPr>
        <w:t>22</w:t>
      </w:r>
    </w:p>
    <w:p>
      <w:pPr>
        <w:pStyle w:val="BodyText"/>
        <w:spacing w:after="0" w:line="278" w:lineRule="auto"/>
        <w:sectPr>
          <w:pgSz w:w="11900" w:h="16840"/>
          <w:pgMar w:top="200" w:bottom="280" w:left="566" w:right="141"/>
        </w:sectPr>
      </w:pPr>
    </w:p>
    <w:p>
      <w:pPr>
        <w:pStyle w:val="BodyText"/>
        <w:spacing w:line="276" w:lineRule="auto" w:before="60"/>
        <w:ind w:right="500"/>
      </w:pPr>
      <w:r>
        <w:rPr/>
        <w:t>Apesar de a grande maioria dos pacientes ser portadora do tipo poligênico, existem também os tipos monogênicos de hipertensão, que serão descritos adiante.</w:t>
      </w:r>
    </w:p>
    <w:p>
      <w:pPr>
        <w:pStyle w:val="BodyText"/>
        <w:spacing w:before="134"/>
        <w:ind w:left="0" w:firstLine="0"/>
        <w:jc w:val="left"/>
      </w:pPr>
    </w:p>
    <w:p>
      <w:pPr>
        <w:pStyle w:val="Heading5"/>
      </w:pPr>
      <w:r>
        <w:rPr>
          <w:color w:val="A26108"/>
        </w:rPr>
        <w:t>Hipertensão</w:t>
      </w:r>
      <w:r>
        <w:rPr>
          <w:color w:val="A26108"/>
          <w:spacing w:val="36"/>
        </w:rPr>
        <w:t> </w:t>
      </w:r>
      <w:r>
        <w:rPr>
          <w:color w:val="A26108"/>
          <w:spacing w:val="-2"/>
        </w:rPr>
        <w:t>secundária</w:t>
      </w:r>
    </w:p>
    <w:p>
      <w:pPr>
        <w:pStyle w:val="BodyText"/>
        <w:spacing w:line="276" w:lineRule="auto" w:before="138"/>
        <w:ind w:right="500"/>
      </w:pPr>
      <w:r>
        <w:rPr/>
        <w:t>As causas secundárias correspondem a aproximadamente de 5 a 10% de todos os casos de HAS. Na prática, essa porcentagem provavelmente é maior, graças à melhora crescente da investigação diagnóstica e do reconhecimento de novas causas de HAS secundária, tais como a obesidade e a síndrome da apneia obstrutiva do </w:t>
      </w:r>
      <w:r>
        <w:rPr>
          <w:spacing w:val="-2"/>
        </w:rPr>
        <w:t>sono.</w:t>
      </w:r>
    </w:p>
    <w:p>
      <w:pPr>
        <w:pStyle w:val="BodyText"/>
        <w:spacing w:before="9"/>
        <w:ind w:left="0" w:firstLine="0"/>
        <w:jc w:val="left"/>
      </w:pPr>
    </w:p>
    <w:p>
      <w:pPr>
        <w:pStyle w:val="Heading7"/>
      </w:pPr>
      <w:r>
        <w:rPr>
          <w:color w:val="242B67"/>
        </w:rPr>
        <w:t>Doença renal </w:t>
      </w:r>
      <w:r>
        <w:rPr>
          <w:color w:val="242B67"/>
          <w:spacing w:val="-2"/>
        </w:rPr>
        <w:t>crônica</w:t>
      </w:r>
    </w:p>
    <w:p>
      <w:pPr>
        <w:pStyle w:val="BodyText"/>
        <w:spacing w:line="276" w:lineRule="auto" w:before="142"/>
        <w:ind w:right="488"/>
      </w:pPr>
      <w:r>
        <w:rPr/>
        <w:t>As doenças do parênquima renal respondem por aproximadamente metade dos casos de hipertensão de causa conhecida. No passado, as glomerulonefrites eram responsáveis pela maioria das doenças renais crônicas que levavam à HAS, sendo atualmente superadas pela nefropatia diabética, o que, em parte, decorre do aumento da sobrevida</w:t>
      </w:r>
      <w:r>
        <w:rPr>
          <w:spacing w:val="-8"/>
        </w:rPr>
        <w:t> </w:t>
      </w:r>
      <w:r>
        <w:rPr/>
        <w:t>dos pacientes diabéticos. As principais doenças renais relacionadas com</w:t>
      </w:r>
      <w:r>
        <w:rPr>
          <w:spacing w:val="-5"/>
        </w:rPr>
        <w:t> </w:t>
      </w:r>
      <w:r>
        <w:rPr/>
        <w:t>a</w:t>
      </w:r>
      <w:r>
        <w:rPr>
          <w:spacing w:val="-8"/>
        </w:rPr>
        <w:t> </w:t>
      </w:r>
      <w:r>
        <w:rPr/>
        <w:t>HAS</w:t>
      </w:r>
      <w:r>
        <w:rPr>
          <w:spacing w:val="-3"/>
        </w:rPr>
        <w:t> </w:t>
      </w:r>
      <w:r>
        <w:rPr/>
        <w:t>estão</w:t>
      </w:r>
      <w:r>
        <w:rPr>
          <w:spacing w:val="-5"/>
        </w:rPr>
        <w:t> </w:t>
      </w:r>
      <w:r>
        <w:rPr/>
        <w:t>descritas na</w:t>
      </w:r>
      <w:r>
        <w:rPr>
          <w:spacing w:val="-8"/>
        </w:rPr>
        <w:t> </w:t>
      </w:r>
      <w:r>
        <w:rPr>
          <w:color w:val="505050"/>
        </w:rPr>
        <w:t>Tabela </w:t>
      </w:r>
      <w:r>
        <w:rPr>
          <w:color w:val="505050"/>
          <w:spacing w:val="-2"/>
        </w:rPr>
        <w:t>57.5</w:t>
      </w:r>
      <w:r>
        <w:rPr>
          <w:spacing w:val="-2"/>
        </w:rPr>
        <w:t>.</w:t>
      </w:r>
    </w:p>
    <w:p>
      <w:pPr>
        <w:pStyle w:val="BodyText"/>
        <w:spacing w:line="280" w:lineRule="auto" w:before="49"/>
        <w:ind w:right="497"/>
      </w:pPr>
      <w:r>
        <w:rPr/>
        <w:t>Múltiplos</w:t>
      </w:r>
      <w:r>
        <w:rPr>
          <w:spacing w:val="-3"/>
        </w:rPr>
        <w:t> </w:t>
      </w:r>
      <w:r>
        <w:rPr/>
        <w:t>são</w:t>
      </w:r>
      <w:r>
        <w:rPr>
          <w:spacing w:val="-10"/>
        </w:rPr>
        <w:t> </w:t>
      </w:r>
      <w:r>
        <w:rPr/>
        <w:t>os</w:t>
      </w:r>
      <w:r>
        <w:rPr>
          <w:spacing w:val="-3"/>
        </w:rPr>
        <w:t> </w:t>
      </w:r>
      <w:r>
        <w:rPr/>
        <w:t>mecanismos</w:t>
      </w:r>
      <w:r>
        <w:rPr>
          <w:spacing w:val="-3"/>
        </w:rPr>
        <w:t> </w:t>
      </w:r>
      <w:r>
        <w:rPr/>
        <w:t>envolvidos</w:t>
      </w:r>
      <w:r>
        <w:rPr>
          <w:spacing w:val="-3"/>
        </w:rPr>
        <w:t> </w:t>
      </w:r>
      <w:r>
        <w:rPr/>
        <w:t>no</w:t>
      </w:r>
      <w:r>
        <w:rPr>
          <w:spacing w:val="-10"/>
        </w:rPr>
        <w:t> </w:t>
      </w:r>
      <w:r>
        <w:rPr/>
        <w:t>desencadeamento</w:t>
      </w:r>
      <w:r>
        <w:rPr>
          <w:spacing w:val="-10"/>
        </w:rPr>
        <w:t> </w:t>
      </w:r>
      <w:r>
        <w:rPr/>
        <w:t>da</w:t>
      </w:r>
      <w:r>
        <w:rPr>
          <w:spacing w:val="-12"/>
        </w:rPr>
        <w:t> </w:t>
      </w:r>
      <w:r>
        <w:rPr/>
        <w:t>HAS,</w:t>
      </w:r>
      <w:r>
        <w:rPr>
          <w:spacing w:val="-3"/>
        </w:rPr>
        <w:t> </w:t>
      </w:r>
      <w:r>
        <w:rPr/>
        <w:t>dos</w:t>
      </w:r>
      <w:r>
        <w:rPr>
          <w:spacing w:val="-3"/>
        </w:rPr>
        <w:t> </w:t>
      </w:r>
      <w:r>
        <w:rPr/>
        <w:t>quais</w:t>
      </w:r>
      <w:r>
        <w:rPr>
          <w:spacing w:val="-3"/>
        </w:rPr>
        <w:t> </w:t>
      </w:r>
      <w:r>
        <w:rPr/>
        <w:t>destacam-se</w:t>
      </w:r>
      <w:r>
        <w:rPr>
          <w:spacing w:val="-12"/>
        </w:rPr>
        <w:t> </w:t>
      </w:r>
      <w:r>
        <w:rPr/>
        <w:t>a</w:t>
      </w:r>
      <w:r>
        <w:rPr>
          <w:spacing w:val="-12"/>
        </w:rPr>
        <w:t> </w:t>
      </w:r>
      <w:r>
        <w:rPr/>
        <w:t>retenção</w:t>
      </w:r>
      <w:r>
        <w:rPr>
          <w:spacing w:val="-10"/>
        </w:rPr>
        <w:t> </w:t>
      </w:r>
      <w:r>
        <w:rPr/>
        <w:t>de</w:t>
      </w:r>
      <w:r>
        <w:rPr>
          <w:spacing w:val="-12"/>
        </w:rPr>
        <w:t> </w:t>
      </w:r>
      <w:r>
        <w:rPr/>
        <w:t>sal, com aumento do volume intravascular, a hiperatividade do sistema nervoso simpático e sistema renina-angiotensina-aldosterona, a diminuição da síntese do óxido nítrico e o aumento na produção de endotelina, entre </w:t>
      </w:r>
      <w:r>
        <w:rPr>
          <w:spacing w:val="-2"/>
        </w:rPr>
        <w:t>outros.</w:t>
      </w:r>
      <w:r>
        <w:rPr>
          <w:spacing w:val="-2"/>
          <w:vertAlign w:val="superscript"/>
        </w:rPr>
        <w:t>23</w:t>
      </w:r>
    </w:p>
    <w:p>
      <w:pPr>
        <w:pStyle w:val="BodyText"/>
        <w:spacing w:line="276" w:lineRule="auto" w:before="60"/>
        <w:ind w:right="488"/>
      </w:pPr>
      <w:r>
        <w:rPr/>
        <w:t>Para o diagnóstico desse tipo de hipertensão secundária, devemos ter em mente que pacientes com doença que compromete</w:t>
      </w:r>
      <w:r>
        <w:rPr>
          <w:spacing w:val="-6"/>
        </w:rPr>
        <w:t> </w:t>
      </w:r>
      <w:r>
        <w:rPr/>
        <w:t>o</w:t>
      </w:r>
      <w:r>
        <w:rPr>
          <w:spacing w:val="-4"/>
        </w:rPr>
        <w:t> </w:t>
      </w:r>
      <w:r>
        <w:rPr/>
        <w:t>parênquima</w:t>
      </w:r>
      <w:r>
        <w:rPr>
          <w:spacing w:val="-6"/>
        </w:rPr>
        <w:t> </w:t>
      </w:r>
      <w:r>
        <w:rPr/>
        <w:t>renal</w:t>
      </w:r>
      <w:r>
        <w:rPr>
          <w:spacing w:val="-2"/>
        </w:rPr>
        <w:t> </w:t>
      </w:r>
      <w:r>
        <w:rPr/>
        <w:t>geralmente</w:t>
      </w:r>
      <w:r>
        <w:rPr>
          <w:spacing w:val="-6"/>
        </w:rPr>
        <w:t> </w:t>
      </w:r>
      <w:r>
        <w:rPr/>
        <w:t>apresentam</w:t>
      </w:r>
      <w:r>
        <w:rPr>
          <w:spacing w:val="-4"/>
        </w:rPr>
        <w:t> </w:t>
      </w:r>
      <w:r>
        <w:rPr/>
        <w:t>diminuição</w:t>
      </w:r>
      <w:r>
        <w:rPr>
          <w:spacing w:val="-4"/>
        </w:rPr>
        <w:t> </w:t>
      </w:r>
      <w:r>
        <w:rPr/>
        <w:t>da</w:t>
      </w:r>
      <w:r>
        <w:rPr>
          <w:spacing w:val="-6"/>
        </w:rPr>
        <w:t> </w:t>
      </w:r>
      <w:r>
        <w:rPr/>
        <w:t>função</w:t>
      </w:r>
      <w:r>
        <w:rPr>
          <w:spacing w:val="-4"/>
        </w:rPr>
        <w:t> </w:t>
      </w:r>
      <w:r>
        <w:rPr/>
        <w:t>renal, muitas vezes acompanhada</w:t>
      </w:r>
      <w:r>
        <w:rPr>
          <w:spacing w:val="-6"/>
        </w:rPr>
        <w:t> </w:t>
      </w:r>
      <w:r>
        <w:rPr/>
        <w:t>de hematúria e proteinúria. Entretanto, alterações similares também podem ocorrer em pacientes com HAS primária que desenvolvem nefropatia hipertensiva. Essa diferenciação pode não ser simples, mas é de importância clínica significativa, já</w:t>
      </w:r>
      <w:r>
        <w:rPr>
          <w:spacing w:val="-4"/>
        </w:rPr>
        <w:t> </w:t>
      </w:r>
      <w:r>
        <w:rPr/>
        <w:t>que, dependendo</w:t>
      </w:r>
      <w:r>
        <w:rPr>
          <w:spacing w:val="-2"/>
        </w:rPr>
        <w:t> </w:t>
      </w:r>
      <w:r>
        <w:rPr/>
        <w:t>do</w:t>
      </w:r>
      <w:r>
        <w:rPr>
          <w:spacing w:val="-2"/>
        </w:rPr>
        <w:t> </w:t>
      </w:r>
      <w:r>
        <w:rPr/>
        <w:t>agente</w:t>
      </w:r>
      <w:r>
        <w:rPr>
          <w:spacing w:val="-4"/>
        </w:rPr>
        <w:t> </w:t>
      </w:r>
      <w:r>
        <w:rPr/>
        <w:t>etiológico, a</w:t>
      </w:r>
      <w:r>
        <w:rPr>
          <w:spacing w:val="-4"/>
        </w:rPr>
        <w:t> </w:t>
      </w:r>
      <w:r>
        <w:rPr/>
        <w:t>terapia</w:t>
      </w:r>
      <w:r>
        <w:rPr>
          <w:spacing w:val="-4"/>
        </w:rPr>
        <w:t> </w:t>
      </w:r>
      <w:r>
        <w:rPr/>
        <w:t>e</w:t>
      </w:r>
      <w:r>
        <w:rPr>
          <w:spacing w:val="-4"/>
        </w:rPr>
        <w:t> </w:t>
      </w:r>
      <w:r>
        <w:rPr/>
        <w:t>o</w:t>
      </w:r>
      <w:r>
        <w:rPr>
          <w:spacing w:val="-2"/>
        </w:rPr>
        <w:t> </w:t>
      </w:r>
      <w:r>
        <w:rPr/>
        <w:t>prognóstico</w:t>
      </w:r>
      <w:r>
        <w:rPr>
          <w:spacing w:val="-2"/>
        </w:rPr>
        <w:t> </w:t>
      </w:r>
      <w:r>
        <w:rPr/>
        <w:t>serão</w:t>
      </w:r>
      <w:r>
        <w:rPr>
          <w:spacing w:val="-2"/>
        </w:rPr>
        <w:t> </w:t>
      </w:r>
      <w:r>
        <w:rPr/>
        <w:t>completamente</w:t>
      </w:r>
      <w:r>
        <w:rPr>
          <w:spacing w:val="-4"/>
        </w:rPr>
        <w:t> </w:t>
      </w:r>
      <w:r>
        <w:rPr/>
        <w:t>diferentes.</w:t>
      </w:r>
    </w:p>
    <w:p>
      <w:pPr>
        <w:pStyle w:val="BodyText"/>
        <w:spacing w:before="8"/>
        <w:ind w:left="0" w:firstLine="0"/>
        <w:jc w:val="left"/>
      </w:pPr>
    </w:p>
    <w:p>
      <w:pPr>
        <w:pStyle w:val="Heading7"/>
      </w:pPr>
      <w:r>
        <w:rPr>
          <w:color w:val="242B67"/>
        </w:rPr>
        <w:t>Hipertensão </w:t>
      </w:r>
      <w:r>
        <w:rPr>
          <w:color w:val="242B67"/>
          <w:spacing w:val="-2"/>
        </w:rPr>
        <w:t>renovascular</w:t>
      </w:r>
    </w:p>
    <w:p>
      <w:pPr>
        <w:pStyle w:val="BodyText"/>
        <w:spacing w:line="276" w:lineRule="auto" w:before="143"/>
        <w:ind w:right="488"/>
      </w:pPr>
      <w:r>
        <w:rPr/>
        <w:t>A estenose da artéria renal é considerada a segunda causa de HAS secundária, apresentando uma prevalência significativa no subgrupo de hipertensos refratários, com hipertensão acelerada e em idosos. A causa mais comum de</w:t>
      </w:r>
      <w:r>
        <w:rPr>
          <w:spacing w:val="-11"/>
        </w:rPr>
        <w:t> </w:t>
      </w:r>
      <w:r>
        <w:rPr/>
        <w:t>hipertensão</w:t>
      </w:r>
      <w:r>
        <w:rPr>
          <w:spacing w:val="-9"/>
        </w:rPr>
        <w:t> </w:t>
      </w:r>
      <w:r>
        <w:rPr/>
        <w:t>renovascular</w:t>
      </w:r>
      <w:r>
        <w:rPr>
          <w:spacing w:val="-4"/>
        </w:rPr>
        <w:t> </w:t>
      </w:r>
      <w:r>
        <w:rPr/>
        <w:t>é</w:t>
      </w:r>
      <w:r>
        <w:rPr>
          <w:spacing w:val="-11"/>
        </w:rPr>
        <w:t> </w:t>
      </w:r>
      <w:r>
        <w:rPr/>
        <w:t>a</w:t>
      </w:r>
      <w:r>
        <w:rPr>
          <w:spacing w:val="-11"/>
        </w:rPr>
        <w:t> </w:t>
      </w:r>
      <w:r>
        <w:rPr/>
        <w:t>estenose</w:t>
      </w:r>
      <w:r>
        <w:rPr>
          <w:spacing w:val="-11"/>
        </w:rPr>
        <w:t> </w:t>
      </w:r>
      <w:r>
        <w:rPr/>
        <w:t>da</w:t>
      </w:r>
      <w:r>
        <w:rPr>
          <w:spacing w:val="-11"/>
        </w:rPr>
        <w:t> </w:t>
      </w:r>
      <w:r>
        <w:rPr/>
        <w:t>artéria</w:t>
      </w:r>
      <w:r>
        <w:rPr>
          <w:spacing w:val="-11"/>
        </w:rPr>
        <w:t> </w:t>
      </w:r>
      <w:r>
        <w:rPr/>
        <w:t>renal</w:t>
      </w:r>
      <w:r>
        <w:rPr>
          <w:spacing w:val="-6"/>
        </w:rPr>
        <w:t> </w:t>
      </w:r>
      <w:r>
        <w:rPr/>
        <w:t>por</w:t>
      </w:r>
      <w:r>
        <w:rPr>
          <w:spacing w:val="-3"/>
        </w:rPr>
        <w:t> </w:t>
      </w:r>
      <w:r>
        <w:rPr/>
        <w:t>aterosclerose,</w:t>
      </w:r>
      <w:r>
        <w:rPr>
          <w:spacing w:val="-1"/>
        </w:rPr>
        <w:t> </w:t>
      </w:r>
      <w:r>
        <w:rPr/>
        <w:t>correspondendo</w:t>
      </w:r>
      <w:r>
        <w:rPr>
          <w:spacing w:val="-9"/>
        </w:rPr>
        <w:t> </w:t>
      </w:r>
      <w:r>
        <w:rPr/>
        <w:t>a</w:t>
      </w:r>
      <w:r>
        <w:rPr>
          <w:spacing w:val="-11"/>
        </w:rPr>
        <w:t> </w:t>
      </w:r>
      <w:r>
        <w:rPr/>
        <w:t>aproximadamente</w:t>
      </w:r>
      <w:r>
        <w:rPr>
          <w:spacing w:val="-11"/>
        </w:rPr>
        <w:t> </w:t>
      </w:r>
      <w:r>
        <w:rPr/>
        <w:t>90% dos casos. Outras etiologias englobam displasia</w:t>
      </w:r>
      <w:r>
        <w:rPr>
          <w:spacing w:val="-2"/>
        </w:rPr>
        <w:t> </w:t>
      </w:r>
      <w:r>
        <w:rPr/>
        <w:t>fibromuscular e</w:t>
      </w:r>
      <w:r>
        <w:rPr>
          <w:spacing w:val="-2"/>
        </w:rPr>
        <w:t> </w:t>
      </w:r>
      <w:r>
        <w:rPr/>
        <w:t>arterites (destacadamente</w:t>
      </w:r>
      <w:r>
        <w:rPr>
          <w:spacing w:val="-2"/>
        </w:rPr>
        <w:t> </w:t>
      </w:r>
      <w:r>
        <w:rPr/>
        <w:t>a</w:t>
      </w:r>
      <w:r>
        <w:rPr>
          <w:spacing w:val="-2"/>
        </w:rPr>
        <w:t> </w:t>
      </w:r>
      <w:r>
        <w:rPr/>
        <w:t>arterite</w:t>
      </w:r>
      <w:r>
        <w:rPr>
          <w:spacing w:val="-2"/>
        </w:rPr>
        <w:t> </w:t>
      </w:r>
      <w:r>
        <w:rPr/>
        <w:t>de</w:t>
      </w:r>
      <w:r>
        <w:rPr>
          <w:spacing w:val="-2"/>
        </w:rPr>
        <w:t> </w:t>
      </w:r>
      <w:r>
        <w:rPr/>
        <w:t>Takayasu).</w:t>
      </w:r>
    </w:p>
    <w:p>
      <w:pPr>
        <w:pStyle w:val="BodyText"/>
        <w:spacing w:before="71"/>
        <w:ind w:left="0" w:firstLine="0"/>
        <w:jc w:val="left"/>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7"/>
        </w:rPr>
        <w:t> </w:t>
      </w:r>
      <w:r>
        <w:rPr>
          <w:rFonts w:ascii="Arial" w:hAnsi="Arial"/>
          <w:b/>
          <w:color w:val="242B67"/>
        </w:rPr>
        <w:t>57.5</w:t>
      </w:r>
      <w:r>
        <w:rPr>
          <w:rFonts w:ascii="Arial" w:hAnsi="Arial"/>
          <w:b/>
          <w:color w:val="242B67"/>
          <w:spacing w:val="-7"/>
        </w:rPr>
        <w:t> </w:t>
      </w:r>
      <w:r>
        <w:rPr>
          <w:rFonts w:ascii="Microsoft Sans Serif" w:hAnsi="Microsoft Sans Serif"/>
        </w:rPr>
        <w:t>Principais</w:t>
      </w:r>
      <w:r>
        <w:rPr>
          <w:rFonts w:ascii="Microsoft Sans Serif" w:hAnsi="Microsoft Sans Serif"/>
          <w:spacing w:val="-7"/>
        </w:rPr>
        <w:t> </w:t>
      </w:r>
      <w:r>
        <w:rPr>
          <w:rFonts w:ascii="Microsoft Sans Serif" w:hAnsi="Microsoft Sans Serif"/>
        </w:rPr>
        <w:t>doenças</w:t>
      </w:r>
      <w:r>
        <w:rPr>
          <w:rFonts w:ascii="Microsoft Sans Serif" w:hAnsi="Microsoft Sans Serif"/>
          <w:spacing w:val="-7"/>
        </w:rPr>
        <w:t> </w:t>
      </w:r>
      <w:r>
        <w:rPr>
          <w:rFonts w:ascii="Microsoft Sans Serif" w:hAnsi="Microsoft Sans Serif"/>
        </w:rPr>
        <w:t>relacionadas</w:t>
      </w:r>
      <w:r>
        <w:rPr>
          <w:rFonts w:ascii="Microsoft Sans Serif" w:hAnsi="Microsoft Sans Serif"/>
          <w:spacing w:val="-7"/>
        </w:rPr>
        <w:t> </w:t>
      </w:r>
      <w:r>
        <w:rPr>
          <w:rFonts w:ascii="Microsoft Sans Serif" w:hAnsi="Microsoft Sans Serif"/>
        </w:rPr>
        <w:t>com</w:t>
      </w:r>
      <w:r>
        <w:rPr>
          <w:rFonts w:ascii="Microsoft Sans Serif" w:hAnsi="Microsoft Sans Serif"/>
          <w:spacing w:val="-4"/>
        </w:rPr>
        <w:t> </w:t>
      </w:r>
      <w:r>
        <w:rPr>
          <w:rFonts w:ascii="Microsoft Sans Serif" w:hAnsi="Microsoft Sans Serif"/>
        </w:rPr>
        <w:t>a</w:t>
      </w:r>
      <w:r>
        <w:rPr>
          <w:rFonts w:ascii="Microsoft Sans Serif" w:hAnsi="Microsoft Sans Serif"/>
          <w:spacing w:val="-5"/>
        </w:rPr>
        <w:t> </w:t>
      </w:r>
      <w:r>
        <w:rPr>
          <w:rFonts w:ascii="Microsoft Sans Serif" w:hAnsi="Microsoft Sans Serif"/>
        </w:rPr>
        <w:t>hipertensão</w:t>
      </w:r>
      <w:r>
        <w:rPr>
          <w:rFonts w:ascii="Microsoft Sans Serif" w:hAnsi="Microsoft Sans Serif"/>
          <w:spacing w:val="-4"/>
        </w:rPr>
        <w:t> </w:t>
      </w:r>
      <w:r>
        <w:rPr>
          <w:rFonts w:ascii="Microsoft Sans Serif" w:hAnsi="Microsoft Sans Serif"/>
        </w:rPr>
        <w:t>arterial</w:t>
      </w:r>
      <w:r>
        <w:rPr>
          <w:rFonts w:ascii="Microsoft Sans Serif" w:hAnsi="Microsoft Sans Serif"/>
          <w:spacing w:val="-7"/>
        </w:rPr>
        <w:t> </w:t>
      </w:r>
      <w:r>
        <w:rPr>
          <w:rFonts w:ascii="Microsoft Sans Serif" w:hAnsi="Microsoft Sans Serif"/>
        </w:rPr>
        <w:t>sistêmica</w:t>
      </w:r>
      <w:r>
        <w:rPr>
          <w:rFonts w:ascii="Microsoft Sans Serif" w:hAnsi="Microsoft Sans Serif"/>
          <w:spacing w:val="-4"/>
        </w:rPr>
        <w:t> </w:t>
      </w:r>
      <w:r>
        <w:rPr>
          <w:rFonts w:ascii="Microsoft Sans Serif" w:hAnsi="Microsoft Sans Serif"/>
          <w:spacing w:val="-2"/>
        </w:rPr>
        <w:t>(HAS).</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309"/>
        <w:gridCol w:w="5309"/>
      </w:tblGrid>
      <w:tr>
        <w:trPr>
          <w:trHeight w:val="430" w:hRule="atLeast"/>
        </w:trPr>
        <w:tc>
          <w:tcPr>
            <w:tcW w:w="5309"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w w:val="105"/>
                <w:sz w:val="21"/>
              </w:rPr>
              <w:t>Doença</w:t>
            </w:r>
            <w:r>
              <w:rPr>
                <w:rFonts w:ascii="Arial" w:hAnsi="Arial"/>
                <w:b/>
                <w:color w:val="FFFFFF"/>
                <w:spacing w:val="-1"/>
                <w:w w:val="105"/>
                <w:sz w:val="21"/>
              </w:rPr>
              <w:t> </w:t>
            </w:r>
            <w:r>
              <w:rPr>
                <w:rFonts w:ascii="Arial" w:hAnsi="Arial"/>
                <w:b/>
                <w:color w:val="FFFFFF"/>
                <w:spacing w:val="-2"/>
                <w:w w:val="105"/>
                <w:sz w:val="21"/>
              </w:rPr>
              <w:t>renal</w:t>
            </w:r>
          </w:p>
        </w:tc>
        <w:tc>
          <w:tcPr>
            <w:tcW w:w="5309" w:type="dxa"/>
            <w:tcBorders>
              <w:top w:val="nil"/>
              <w:right w:val="nil"/>
            </w:tcBorders>
            <w:shd w:val="clear" w:color="auto" w:fill="242B67"/>
          </w:tcPr>
          <w:p>
            <w:pPr>
              <w:pStyle w:val="TableParagraph"/>
              <w:spacing w:before="91"/>
              <w:ind w:left="66"/>
              <w:rPr>
                <w:rFonts w:ascii="Arial" w:hAnsi="Arial"/>
                <w:b/>
                <w:sz w:val="21"/>
              </w:rPr>
            </w:pPr>
            <w:r>
              <w:rPr>
                <w:rFonts w:ascii="Arial" w:hAnsi="Arial"/>
                <w:b/>
                <w:color w:val="FFFFFF"/>
                <w:w w:val="105"/>
                <w:sz w:val="21"/>
              </w:rPr>
              <w:t>Incidência</w:t>
            </w:r>
            <w:r>
              <w:rPr>
                <w:rFonts w:ascii="Arial" w:hAnsi="Arial"/>
                <w:b/>
                <w:color w:val="FFFFFF"/>
                <w:spacing w:val="5"/>
                <w:w w:val="105"/>
                <w:sz w:val="21"/>
              </w:rPr>
              <w:t> </w:t>
            </w:r>
            <w:r>
              <w:rPr>
                <w:rFonts w:ascii="Arial" w:hAnsi="Arial"/>
                <w:b/>
                <w:color w:val="FFFFFF"/>
                <w:w w:val="105"/>
                <w:sz w:val="21"/>
              </w:rPr>
              <w:t>relatada</w:t>
            </w:r>
            <w:r>
              <w:rPr>
                <w:rFonts w:ascii="Arial" w:hAnsi="Arial"/>
                <w:b/>
                <w:color w:val="FFFFFF"/>
                <w:spacing w:val="5"/>
                <w:w w:val="105"/>
                <w:sz w:val="21"/>
              </w:rPr>
              <w:t> </w:t>
            </w:r>
            <w:r>
              <w:rPr>
                <w:rFonts w:ascii="Arial" w:hAnsi="Arial"/>
                <w:b/>
                <w:color w:val="FFFFFF"/>
                <w:w w:val="105"/>
                <w:sz w:val="21"/>
              </w:rPr>
              <w:t>de</w:t>
            </w:r>
            <w:r>
              <w:rPr>
                <w:rFonts w:ascii="Arial" w:hAnsi="Arial"/>
                <w:b/>
                <w:color w:val="FFFFFF"/>
                <w:spacing w:val="5"/>
                <w:w w:val="105"/>
                <w:sz w:val="21"/>
              </w:rPr>
              <w:t> </w:t>
            </w:r>
            <w:r>
              <w:rPr>
                <w:rFonts w:ascii="Arial" w:hAnsi="Arial"/>
                <w:b/>
                <w:color w:val="FFFFFF"/>
                <w:w w:val="105"/>
                <w:sz w:val="21"/>
              </w:rPr>
              <w:t>HAS</w:t>
            </w:r>
            <w:r>
              <w:rPr>
                <w:rFonts w:ascii="Arial" w:hAnsi="Arial"/>
                <w:b/>
                <w:color w:val="FFFFFF"/>
                <w:spacing w:val="-3"/>
                <w:w w:val="105"/>
                <w:sz w:val="21"/>
              </w:rPr>
              <w:t> </w:t>
            </w:r>
            <w:r>
              <w:rPr>
                <w:rFonts w:ascii="Arial" w:hAnsi="Arial"/>
                <w:b/>
                <w:color w:val="FFFFFF"/>
                <w:spacing w:val="-5"/>
                <w:w w:val="105"/>
                <w:sz w:val="21"/>
              </w:rPr>
              <w:t>(%)</w:t>
            </w:r>
          </w:p>
        </w:tc>
      </w:tr>
      <w:tr>
        <w:trPr>
          <w:trHeight w:val="428" w:hRule="atLeast"/>
        </w:trPr>
        <w:tc>
          <w:tcPr>
            <w:tcW w:w="5309" w:type="dxa"/>
            <w:tcBorders>
              <w:left w:val="nil"/>
            </w:tcBorders>
            <w:shd w:val="clear" w:color="auto" w:fill="EDECF3"/>
          </w:tcPr>
          <w:p>
            <w:pPr>
              <w:pStyle w:val="TableParagraph"/>
              <w:ind w:left="67"/>
              <w:rPr>
                <w:sz w:val="21"/>
              </w:rPr>
            </w:pPr>
            <w:r>
              <w:rPr>
                <w:w w:val="105"/>
                <w:sz w:val="21"/>
              </w:rPr>
              <w:t>Nefropatia</w:t>
            </w:r>
            <w:r>
              <w:rPr>
                <w:spacing w:val="33"/>
                <w:w w:val="105"/>
                <w:sz w:val="21"/>
              </w:rPr>
              <w:t> </w:t>
            </w:r>
            <w:r>
              <w:rPr>
                <w:spacing w:val="-2"/>
                <w:w w:val="105"/>
                <w:sz w:val="21"/>
              </w:rPr>
              <w:t>diabética</w:t>
            </w:r>
          </w:p>
        </w:tc>
        <w:tc>
          <w:tcPr>
            <w:tcW w:w="5309" w:type="dxa"/>
            <w:tcBorders>
              <w:right w:val="nil"/>
            </w:tcBorders>
            <w:shd w:val="clear" w:color="auto" w:fill="EDECF3"/>
          </w:tcPr>
          <w:p>
            <w:pPr>
              <w:pStyle w:val="TableParagraph"/>
              <w:ind w:left="66"/>
              <w:rPr>
                <w:sz w:val="21"/>
              </w:rPr>
            </w:pPr>
            <w:r>
              <w:rPr>
                <w:w w:val="105"/>
                <w:sz w:val="21"/>
              </w:rPr>
              <w:t>65</w:t>
            </w:r>
            <w:r>
              <w:rPr>
                <w:spacing w:val="12"/>
                <w:w w:val="105"/>
                <w:sz w:val="21"/>
              </w:rPr>
              <w:t> </w:t>
            </w:r>
            <w:r>
              <w:rPr>
                <w:w w:val="105"/>
                <w:sz w:val="21"/>
              </w:rPr>
              <w:t>a</w:t>
            </w:r>
            <w:r>
              <w:rPr>
                <w:spacing w:val="12"/>
                <w:w w:val="105"/>
                <w:sz w:val="21"/>
              </w:rPr>
              <w:t> </w:t>
            </w:r>
            <w:r>
              <w:rPr>
                <w:spacing w:val="-5"/>
                <w:w w:val="105"/>
                <w:sz w:val="21"/>
              </w:rPr>
              <w:t>70</w:t>
            </w:r>
          </w:p>
        </w:tc>
      </w:tr>
      <w:tr>
        <w:trPr>
          <w:trHeight w:val="428" w:hRule="atLeast"/>
        </w:trPr>
        <w:tc>
          <w:tcPr>
            <w:tcW w:w="5309" w:type="dxa"/>
            <w:tcBorders>
              <w:left w:val="nil"/>
            </w:tcBorders>
            <w:shd w:val="clear" w:color="auto" w:fill="EDECF3"/>
          </w:tcPr>
          <w:p>
            <w:pPr>
              <w:pStyle w:val="TableParagraph"/>
              <w:ind w:left="67"/>
              <w:rPr>
                <w:sz w:val="21"/>
              </w:rPr>
            </w:pPr>
            <w:r>
              <w:rPr>
                <w:w w:val="105"/>
                <w:sz w:val="21"/>
              </w:rPr>
              <w:t>Glomeruloesclerose</w:t>
            </w:r>
            <w:r>
              <w:rPr>
                <w:spacing w:val="26"/>
                <w:w w:val="105"/>
                <w:sz w:val="21"/>
              </w:rPr>
              <w:t> </w:t>
            </w:r>
            <w:r>
              <w:rPr>
                <w:w w:val="105"/>
                <w:sz w:val="21"/>
              </w:rPr>
              <w:t>segmentar</w:t>
            </w:r>
            <w:r>
              <w:rPr>
                <w:spacing w:val="26"/>
                <w:w w:val="105"/>
                <w:sz w:val="21"/>
              </w:rPr>
              <w:t> </w:t>
            </w:r>
            <w:r>
              <w:rPr>
                <w:w w:val="105"/>
                <w:sz w:val="21"/>
              </w:rPr>
              <w:t>e</w:t>
            </w:r>
            <w:r>
              <w:rPr>
                <w:spacing w:val="26"/>
                <w:w w:val="105"/>
                <w:sz w:val="21"/>
              </w:rPr>
              <w:t> </w:t>
            </w:r>
            <w:r>
              <w:rPr>
                <w:spacing w:val="-4"/>
                <w:w w:val="105"/>
                <w:sz w:val="21"/>
              </w:rPr>
              <w:t>focal</w:t>
            </w:r>
          </w:p>
        </w:tc>
        <w:tc>
          <w:tcPr>
            <w:tcW w:w="5309" w:type="dxa"/>
            <w:tcBorders>
              <w:right w:val="nil"/>
            </w:tcBorders>
            <w:shd w:val="clear" w:color="auto" w:fill="EDECF3"/>
          </w:tcPr>
          <w:p>
            <w:pPr>
              <w:pStyle w:val="TableParagraph"/>
              <w:ind w:left="66"/>
              <w:rPr>
                <w:sz w:val="21"/>
              </w:rPr>
            </w:pPr>
            <w:r>
              <w:rPr>
                <w:w w:val="105"/>
                <w:sz w:val="21"/>
              </w:rPr>
              <w:t>75</w:t>
            </w:r>
            <w:r>
              <w:rPr>
                <w:spacing w:val="12"/>
                <w:w w:val="105"/>
                <w:sz w:val="21"/>
              </w:rPr>
              <w:t> </w:t>
            </w:r>
            <w:r>
              <w:rPr>
                <w:w w:val="105"/>
                <w:sz w:val="21"/>
              </w:rPr>
              <w:t>a</w:t>
            </w:r>
            <w:r>
              <w:rPr>
                <w:spacing w:val="12"/>
                <w:w w:val="105"/>
                <w:sz w:val="21"/>
              </w:rPr>
              <w:t> </w:t>
            </w:r>
            <w:r>
              <w:rPr>
                <w:spacing w:val="-5"/>
                <w:w w:val="105"/>
                <w:sz w:val="21"/>
              </w:rPr>
              <w:t>80</w:t>
            </w:r>
          </w:p>
        </w:tc>
      </w:tr>
      <w:tr>
        <w:trPr>
          <w:trHeight w:val="428" w:hRule="atLeast"/>
        </w:trPr>
        <w:tc>
          <w:tcPr>
            <w:tcW w:w="5309" w:type="dxa"/>
            <w:tcBorders>
              <w:left w:val="nil"/>
            </w:tcBorders>
            <w:shd w:val="clear" w:color="auto" w:fill="EDECF3"/>
          </w:tcPr>
          <w:p>
            <w:pPr>
              <w:pStyle w:val="TableParagraph"/>
              <w:ind w:left="67"/>
              <w:rPr>
                <w:sz w:val="21"/>
              </w:rPr>
            </w:pPr>
            <w:r>
              <w:rPr>
                <w:spacing w:val="2"/>
                <w:sz w:val="21"/>
              </w:rPr>
              <w:t>Glomerulonefrite</w:t>
            </w:r>
            <w:r>
              <w:rPr>
                <w:spacing w:val="62"/>
                <w:w w:val="150"/>
                <w:sz w:val="21"/>
              </w:rPr>
              <w:t> </w:t>
            </w:r>
            <w:r>
              <w:rPr>
                <w:spacing w:val="-2"/>
                <w:sz w:val="21"/>
              </w:rPr>
              <w:t>membranoproliferativa</w:t>
            </w:r>
          </w:p>
        </w:tc>
        <w:tc>
          <w:tcPr>
            <w:tcW w:w="5309" w:type="dxa"/>
            <w:tcBorders>
              <w:right w:val="nil"/>
            </w:tcBorders>
            <w:shd w:val="clear" w:color="auto" w:fill="EDECF3"/>
          </w:tcPr>
          <w:p>
            <w:pPr>
              <w:pStyle w:val="TableParagraph"/>
              <w:ind w:left="66"/>
              <w:rPr>
                <w:sz w:val="21"/>
              </w:rPr>
            </w:pPr>
            <w:r>
              <w:rPr>
                <w:w w:val="105"/>
                <w:sz w:val="21"/>
              </w:rPr>
              <w:t>65</w:t>
            </w:r>
            <w:r>
              <w:rPr>
                <w:spacing w:val="12"/>
                <w:w w:val="105"/>
                <w:sz w:val="21"/>
              </w:rPr>
              <w:t> </w:t>
            </w:r>
            <w:r>
              <w:rPr>
                <w:w w:val="105"/>
                <w:sz w:val="21"/>
              </w:rPr>
              <w:t>a</w:t>
            </w:r>
            <w:r>
              <w:rPr>
                <w:spacing w:val="12"/>
                <w:w w:val="105"/>
                <w:sz w:val="21"/>
              </w:rPr>
              <w:t> </w:t>
            </w:r>
            <w:r>
              <w:rPr>
                <w:spacing w:val="-5"/>
                <w:w w:val="105"/>
                <w:sz w:val="21"/>
              </w:rPr>
              <w:t>70</w:t>
            </w:r>
          </w:p>
        </w:tc>
      </w:tr>
      <w:tr>
        <w:trPr>
          <w:trHeight w:val="428" w:hRule="atLeast"/>
        </w:trPr>
        <w:tc>
          <w:tcPr>
            <w:tcW w:w="5309" w:type="dxa"/>
            <w:tcBorders>
              <w:left w:val="nil"/>
            </w:tcBorders>
            <w:shd w:val="clear" w:color="auto" w:fill="EDECF3"/>
          </w:tcPr>
          <w:p>
            <w:pPr>
              <w:pStyle w:val="TableParagraph"/>
              <w:ind w:left="67"/>
              <w:rPr>
                <w:sz w:val="21"/>
              </w:rPr>
            </w:pPr>
            <w:r>
              <w:rPr>
                <w:spacing w:val="2"/>
                <w:sz w:val="21"/>
              </w:rPr>
              <w:t>Glomerulonefrite</w:t>
            </w:r>
            <w:r>
              <w:rPr>
                <w:spacing w:val="57"/>
                <w:w w:val="150"/>
                <w:sz w:val="21"/>
              </w:rPr>
              <w:t> </w:t>
            </w:r>
            <w:r>
              <w:rPr>
                <w:spacing w:val="-2"/>
                <w:sz w:val="21"/>
              </w:rPr>
              <w:t>membranosa</w:t>
            </w:r>
          </w:p>
        </w:tc>
        <w:tc>
          <w:tcPr>
            <w:tcW w:w="5309" w:type="dxa"/>
            <w:tcBorders>
              <w:right w:val="nil"/>
            </w:tcBorders>
            <w:shd w:val="clear" w:color="auto" w:fill="EDECF3"/>
          </w:tcPr>
          <w:p>
            <w:pPr>
              <w:pStyle w:val="TableParagraph"/>
              <w:ind w:left="66"/>
              <w:rPr>
                <w:sz w:val="21"/>
              </w:rPr>
            </w:pPr>
            <w:r>
              <w:rPr>
                <w:w w:val="105"/>
                <w:sz w:val="21"/>
              </w:rPr>
              <w:t>40</w:t>
            </w:r>
            <w:r>
              <w:rPr>
                <w:spacing w:val="12"/>
                <w:w w:val="105"/>
                <w:sz w:val="21"/>
              </w:rPr>
              <w:t> </w:t>
            </w:r>
            <w:r>
              <w:rPr>
                <w:w w:val="105"/>
                <w:sz w:val="21"/>
              </w:rPr>
              <w:t>a</w:t>
            </w:r>
            <w:r>
              <w:rPr>
                <w:spacing w:val="12"/>
                <w:w w:val="105"/>
                <w:sz w:val="21"/>
              </w:rPr>
              <w:t> </w:t>
            </w:r>
            <w:r>
              <w:rPr>
                <w:spacing w:val="-5"/>
                <w:w w:val="105"/>
                <w:sz w:val="21"/>
              </w:rPr>
              <w:t>50</w:t>
            </w:r>
          </w:p>
        </w:tc>
      </w:tr>
      <w:tr>
        <w:trPr>
          <w:trHeight w:val="428" w:hRule="atLeast"/>
        </w:trPr>
        <w:tc>
          <w:tcPr>
            <w:tcW w:w="5309" w:type="dxa"/>
            <w:tcBorders>
              <w:left w:val="nil"/>
            </w:tcBorders>
            <w:shd w:val="clear" w:color="auto" w:fill="EDECF3"/>
          </w:tcPr>
          <w:p>
            <w:pPr>
              <w:pStyle w:val="TableParagraph"/>
              <w:ind w:left="67"/>
              <w:rPr>
                <w:sz w:val="21"/>
              </w:rPr>
            </w:pPr>
            <w:r>
              <w:rPr>
                <w:spacing w:val="2"/>
                <w:sz w:val="21"/>
              </w:rPr>
              <w:t>Glomerulonefrite</w:t>
            </w:r>
            <w:r>
              <w:rPr>
                <w:spacing w:val="76"/>
                <w:sz w:val="21"/>
              </w:rPr>
              <w:t> </w:t>
            </w:r>
            <w:r>
              <w:rPr>
                <w:spacing w:val="2"/>
                <w:sz w:val="21"/>
              </w:rPr>
              <w:t>proliferativa</w:t>
            </w:r>
            <w:r>
              <w:rPr>
                <w:spacing w:val="76"/>
                <w:sz w:val="21"/>
              </w:rPr>
              <w:t> </w:t>
            </w:r>
            <w:r>
              <w:rPr>
                <w:spacing w:val="-2"/>
                <w:sz w:val="21"/>
              </w:rPr>
              <w:t>mesangial</w:t>
            </w:r>
          </w:p>
        </w:tc>
        <w:tc>
          <w:tcPr>
            <w:tcW w:w="5309" w:type="dxa"/>
            <w:tcBorders>
              <w:right w:val="nil"/>
            </w:tcBorders>
            <w:shd w:val="clear" w:color="auto" w:fill="EDECF3"/>
          </w:tcPr>
          <w:p>
            <w:pPr>
              <w:pStyle w:val="TableParagraph"/>
              <w:ind w:left="66"/>
              <w:rPr>
                <w:sz w:val="21"/>
              </w:rPr>
            </w:pPr>
            <w:r>
              <w:rPr>
                <w:w w:val="105"/>
                <w:sz w:val="21"/>
              </w:rPr>
              <w:t>35</w:t>
            </w:r>
            <w:r>
              <w:rPr>
                <w:spacing w:val="12"/>
                <w:w w:val="105"/>
                <w:sz w:val="21"/>
              </w:rPr>
              <w:t> </w:t>
            </w:r>
            <w:r>
              <w:rPr>
                <w:w w:val="105"/>
                <w:sz w:val="21"/>
              </w:rPr>
              <w:t>a</w:t>
            </w:r>
            <w:r>
              <w:rPr>
                <w:spacing w:val="12"/>
                <w:w w:val="105"/>
                <w:sz w:val="21"/>
              </w:rPr>
              <w:t> </w:t>
            </w:r>
            <w:r>
              <w:rPr>
                <w:spacing w:val="-5"/>
                <w:w w:val="105"/>
                <w:sz w:val="21"/>
              </w:rPr>
              <w:t>40</w:t>
            </w:r>
          </w:p>
        </w:tc>
      </w:tr>
      <w:tr>
        <w:trPr>
          <w:trHeight w:val="428" w:hRule="atLeast"/>
        </w:trPr>
        <w:tc>
          <w:tcPr>
            <w:tcW w:w="5309" w:type="dxa"/>
            <w:tcBorders>
              <w:left w:val="nil"/>
            </w:tcBorders>
            <w:shd w:val="clear" w:color="auto" w:fill="EDECF3"/>
          </w:tcPr>
          <w:p>
            <w:pPr>
              <w:pStyle w:val="TableParagraph"/>
              <w:ind w:left="67"/>
              <w:rPr>
                <w:sz w:val="21"/>
              </w:rPr>
            </w:pPr>
            <w:r>
              <w:rPr>
                <w:w w:val="105"/>
                <w:sz w:val="21"/>
              </w:rPr>
              <w:t>Glomerulonefrite</w:t>
            </w:r>
            <w:r>
              <w:rPr>
                <w:spacing w:val="28"/>
                <w:w w:val="105"/>
                <w:sz w:val="21"/>
              </w:rPr>
              <w:t> </w:t>
            </w:r>
            <w:r>
              <w:rPr>
                <w:w w:val="105"/>
                <w:sz w:val="21"/>
              </w:rPr>
              <w:t>por</w:t>
            </w:r>
            <w:r>
              <w:rPr>
                <w:spacing w:val="29"/>
                <w:w w:val="105"/>
                <w:sz w:val="21"/>
              </w:rPr>
              <w:t> </w:t>
            </w:r>
            <w:r>
              <w:rPr>
                <w:spacing w:val="-5"/>
                <w:w w:val="105"/>
                <w:sz w:val="21"/>
              </w:rPr>
              <w:t>IgA</w:t>
            </w:r>
          </w:p>
        </w:tc>
        <w:tc>
          <w:tcPr>
            <w:tcW w:w="5309" w:type="dxa"/>
            <w:tcBorders>
              <w:right w:val="nil"/>
            </w:tcBorders>
            <w:shd w:val="clear" w:color="auto" w:fill="EDECF3"/>
          </w:tcPr>
          <w:p>
            <w:pPr>
              <w:pStyle w:val="TableParagraph"/>
              <w:ind w:left="66"/>
              <w:rPr>
                <w:sz w:val="21"/>
              </w:rPr>
            </w:pPr>
            <w:r>
              <w:rPr>
                <w:spacing w:val="-5"/>
                <w:w w:val="105"/>
                <w:sz w:val="21"/>
              </w:rPr>
              <w:t>30</w:t>
            </w:r>
          </w:p>
        </w:tc>
      </w:tr>
      <w:tr>
        <w:trPr>
          <w:trHeight w:val="428" w:hRule="atLeast"/>
        </w:trPr>
        <w:tc>
          <w:tcPr>
            <w:tcW w:w="5309" w:type="dxa"/>
            <w:tcBorders>
              <w:left w:val="nil"/>
            </w:tcBorders>
            <w:shd w:val="clear" w:color="auto" w:fill="EDECF3"/>
          </w:tcPr>
          <w:p>
            <w:pPr>
              <w:pStyle w:val="TableParagraph"/>
              <w:ind w:left="67"/>
              <w:rPr>
                <w:sz w:val="21"/>
              </w:rPr>
            </w:pPr>
            <w:r>
              <w:rPr>
                <w:w w:val="105"/>
                <w:sz w:val="21"/>
              </w:rPr>
              <w:t>Glomerulonefrite</w:t>
            </w:r>
            <w:r>
              <w:rPr>
                <w:spacing w:val="26"/>
                <w:w w:val="105"/>
                <w:sz w:val="21"/>
              </w:rPr>
              <w:t> </w:t>
            </w:r>
            <w:r>
              <w:rPr>
                <w:w w:val="105"/>
                <w:sz w:val="21"/>
              </w:rPr>
              <w:t>por</w:t>
            </w:r>
            <w:r>
              <w:rPr>
                <w:spacing w:val="27"/>
                <w:w w:val="105"/>
                <w:sz w:val="21"/>
              </w:rPr>
              <w:t> </w:t>
            </w:r>
            <w:r>
              <w:rPr>
                <w:w w:val="105"/>
                <w:sz w:val="21"/>
              </w:rPr>
              <w:t>lesões</w:t>
            </w:r>
            <w:r>
              <w:rPr>
                <w:spacing w:val="22"/>
                <w:w w:val="105"/>
                <w:sz w:val="21"/>
              </w:rPr>
              <w:t> </w:t>
            </w:r>
            <w:r>
              <w:rPr>
                <w:spacing w:val="-2"/>
                <w:w w:val="105"/>
                <w:sz w:val="21"/>
              </w:rPr>
              <w:t>mínimas</w:t>
            </w:r>
          </w:p>
        </w:tc>
        <w:tc>
          <w:tcPr>
            <w:tcW w:w="5309" w:type="dxa"/>
            <w:tcBorders>
              <w:right w:val="nil"/>
            </w:tcBorders>
            <w:shd w:val="clear" w:color="auto" w:fill="EDECF3"/>
          </w:tcPr>
          <w:p>
            <w:pPr>
              <w:pStyle w:val="TableParagraph"/>
              <w:ind w:left="66"/>
              <w:rPr>
                <w:sz w:val="21"/>
              </w:rPr>
            </w:pPr>
            <w:r>
              <w:rPr>
                <w:w w:val="105"/>
                <w:sz w:val="21"/>
              </w:rPr>
              <w:t>25</w:t>
            </w:r>
            <w:r>
              <w:rPr>
                <w:spacing w:val="12"/>
                <w:w w:val="105"/>
                <w:sz w:val="21"/>
              </w:rPr>
              <w:t> </w:t>
            </w:r>
            <w:r>
              <w:rPr>
                <w:w w:val="105"/>
                <w:sz w:val="21"/>
              </w:rPr>
              <w:t>a</w:t>
            </w:r>
            <w:r>
              <w:rPr>
                <w:spacing w:val="12"/>
                <w:w w:val="105"/>
                <w:sz w:val="21"/>
              </w:rPr>
              <w:t> </w:t>
            </w:r>
            <w:r>
              <w:rPr>
                <w:spacing w:val="-5"/>
                <w:w w:val="105"/>
                <w:sz w:val="21"/>
              </w:rPr>
              <w:t>30</w:t>
            </w:r>
          </w:p>
        </w:tc>
      </w:tr>
      <w:tr>
        <w:trPr>
          <w:trHeight w:val="428" w:hRule="atLeast"/>
        </w:trPr>
        <w:tc>
          <w:tcPr>
            <w:tcW w:w="5309" w:type="dxa"/>
            <w:tcBorders>
              <w:left w:val="nil"/>
            </w:tcBorders>
            <w:shd w:val="clear" w:color="auto" w:fill="EDECF3"/>
          </w:tcPr>
          <w:p>
            <w:pPr>
              <w:pStyle w:val="TableParagraph"/>
              <w:ind w:left="67"/>
              <w:rPr>
                <w:sz w:val="21"/>
              </w:rPr>
            </w:pPr>
            <w:r>
              <w:rPr>
                <w:w w:val="105"/>
                <w:sz w:val="21"/>
              </w:rPr>
              <w:t>Doença</w:t>
            </w:r>
            <w:r>
              <w:rPr>
                <w:spacing w:val="27"/>
                <w:w w:val="105"/>
                <w:sz w:val="21"/>
              </w:rPr>
              <w:t> </w:t>
            </w:r>
            <w:r>
              <w:rPr>
                <w:w w:val="105"/>
                <w:sz w:val="21"/>
              </w:rPr>
              <w:t>renal</w:t>
            </w:r>
            <w:r>
              <w:rPr>
                <w:spacing w:val="18"/>
                <w:w w:val="105"/>
                <w:sz w:val="21"/>
              </w:rPr>
              <w:t> </w:t>
            </w:r>
            <w:r>
              <w:rPr>
                <w:spacing w:val="-2"/>
                <w:w w:val="105"/>
                <w:sz w:val="21"/>
              </w:rPr>
              <w:t>policística</w:t>
            </w:r>
          </w:p>
        </w:tc>
        <w:tc>
          <w:tcPr>
            <w:tcW w:w="5309" w:type="dxa"/>
            <w:tcBorders>
              <w:right w:val="nil"/>
            </w:tcBorders>
            <w:shd w:val="clear" w:color="auto" w:fill="EDECF3"/>
          </w:tcPr>
          <w:p>
            <w:pPr>
              <w:pStyle w:val="TableParagraph"/>
              <w:ind w:left="66"/>
              <w:rPr>
                <w:sz w:val="21"/>
              </w:rPr>
            </w:pPr>
            <w:r>
              <w:rPr>
                <w:spacing w:val="-5"/>
                <w:w w:val="105"/>
                <w:sz w:val="21"/>
              </w:rPr>
              <w:t>60</w:t>
            </w:r>
          </w:p>
        </w:tc>
      </w:tr>
      <w:tr>
        <w:trPr>
          <w:trHeight w:val="430" w:hRule="atLeast"/>
        </w:trPr>
        <w:tc>
          <w:tcPr>
            <w:tcW w:w="5309" w:type="dxa"/>
            <w:tcBorders>
              <w:left w:val="nil"/>
              <w:bottom w:val="nil"/>
            </w:tcBorders>
            <w:shd w:val="clear" w:color="auto" w:fill="EDECF3"/>
          </w:tcPr>
          <w:p>
            <w:pPr>
              <w:pStyle w:val="TableParagraph"/>
              <w:ind w:left="67"/>
              <w:rPr>
                <w:sz w:val="21"/>
              </w:rPr>
            </w:pPr>
            <w:r>
              <w:rPr>
                <w:w w:val="105"/>
                <w:sz w:val="21"/>
              </w:rPr>
              <w:t>Nefropatia</w:t>
            </w:r>
            <w:r>
              <w:rPr>
                <w:spacing w:val="31"/>
                <w:w w:val="105"/>
                <w:sz w:val="21"/>
              </w:rPr>
              <w:t> </w:t>
            </w:r>
            <w:r>
              <w:rPr>
                <w:w w:val="105"/>
                <w:sz w:val="21"/>
              </w:rPr>
              <w:t>intersticial</w:t>
            </w:r>
            <w:r>
              <w:rPr>
                <w:spacing w:val="21"/>
                <w:w w:val="105"/>
                <w:sz w:val="21"/>
              </w:rPr>
              <w:t> </w:t>
            </w:r>
            <w:r>
              <w:rPr>
                <w:spacing w:val="-2"/>
                <w:w w:val="105"/>
                <w:sz w:val="21"/>
              </w:rPr>
              <w:t>crônica</w:t>
            </w:r>
          </w:p>
        </w:tc>
        <w:tc>
          <w:tcPr>
            <w:tcW w:w="5309" w:type="dxa"/>
            <w:tcBorders>
              <w:bottom w:val="nil"/>
              <w:right w:val="nil"/>
            </w:tcBorders>
            <w:shd w:val="clear" w:color="auto" w:fill="EDECF3"/>
          </w:tcPr>
          <w:p>
            <w:pPr>
              <w:pStyle w:val="TableParagraph"/>
              <w:ind w:left="66"/>
              <w:rPr>
                <w:sz w:val="21"/>
              </w:rPr>
            </w:pPr>
            <w:r>
              <w:rPr>
                <w:spacing w:val="-5"/>
                <w:w w:val="105"/>
                <w:sz w:val="21"/>
              </w:rPr>
              <w:t>35</w:t>
            </w:r>
          </w:p>
        </w:tc>
      </w:tr>
    </w:tbl>
    <w:p>
      <w:pPr>
        <w:spacing w:before="165"/>
        <w:ind w:left="68" w:right="0" w:firstLine="0"/>
        <w:jc w:val="left"/>
        <w:rPr>
          <w:rFonts w:ascii="Microsoft Sans Serif"/>
          <w:sz w:val="19"/>
        </w:rPr>
      </w:pPr>
      <w:r>
        <w:rPr>
          <w:rFonts w:ascii="Microsoft Sans Serif"/>
          <w:sz w:val="19"/>
        </w:rPr>
        <w:t>IgA</w:t>
      </w:r>
      <w:r>
        <w:rPr>
          <w:rFonts w:ascii="Microsoft Sans Serif"/>
          <w:spacing w:val="19"/>
          <w:sz w:val="19"/>
        </w:rPr>
        <w:t> </w:t>
      </w:r>
      <w:r>
        <w:rPr>
          <w:rFonts w:ascii="Microsoft Sans Serif"/>
          <w:sz w:val="19"/>
        </w:rPr>
        <w:t>=</w:t>
      </w:r>
      <w:r>
        <w:rPr>
          <w:rFonts w:ascii="Microsoft Sans Serif"/>
          <w:spacing w:val="20"/>
          <w:sz w:val="19"/>
        </w:rPr>
        <w:t> </w:t>
      </w:r>
      <w:r>
        <w:rPr>
          <w:rFonts w:ascii="Microsoft Sans Serif"/>
          <w:sz w:val="19"/>
        </w:rPr>
        <w:t>imunoglobulina</w:t>
      </w:r>
      <w:r>
        <w:rPr>
          <w:rFonts w:ascii="Microsoft Sans Serif"/>
          <w:spacing w:val="27"/>
          <w:sz w:val="19"/>
        </w:rPr>
        <w:t> </w:t>
      </w:r>
      <w:r>
        <w:rPr>
          <w:rFonts w:ascii="Microsoft Sans Serif"/>
          <w:spacing w:val="-5"/>
          <w:sz w:val="19"/>
        </w:rPr>
        <w:t>A.</w:t>
      </w:r>
    </w:p>
    <w:p>
      <w:pPr>
        <w:pStyle w:val="BodyText"/>
        <w:spacing w:before="107"/>
        <w:ind w:left="0" w:firstLine="0"/>
        <w:jc w:val="left"/>
        <w:rPr>
          <w:rFonts w:ascii="Microsoft Sans Serif"/>
          <w:sz w:val="19"/>
        </w:rPr>
      </w:pPr>
    </w:p>
    <w:p>
      <w:pPr>
        <w:pStyle w:val="BodyText"/>
        <w:spacing w:before="0"/>
        <w:ind w:left="414" w:firstLine="0"/>
        <w:jc w:val="left"/>
      </w:pPr>
      <w:r>
        <w:rPr/>
        <w:t>Vale</w:t>
      </w:r>
      <w:r>
        <w:rPr>
          <w:spacing w:val="14"/>
        </w:rPr>
        <w:t> </w:t>
      </w:r>
      <w:r>
        <w:rPr/>
        <w:t>destacar</w:t>
      </w:r>
      <w:r>
        <w:rPr>
          <w:spacing w:val="22"/>
        </w:rPr>
        <w:t> </w:t>
      </w:r>
      <w:r>
        <w:rPr/>
        <w:t>que</w:t>
      </w:r>
      <w:r>
        <w:rPr>
          <w:spacing w:val="15"/>
        </w:rPr>
        <w:t> </w:t>
      </w:r>
      <w:r>
        <w:rPr/>
        <w:t>a</w:t>
      </w:r>
      <w:r>
        <w:rPr>
          <w:spacing w:val="14"/>
        </w:rPr>
        <w:t> </w:t>
      </w:r>
      <w:r>
        <w:rPr/>
        <w:t>doença</w:t>
      </w:r>
      <w:r>
        <w:rPr>
          <w:spacing w:val="14"/>
        </w:rPr>
        <w:t> </w:t>
      </w:r>
      <w:r>
        <w:rPr/>
        <w:t>é</w:t>
      </w:r>
      <w:r>
        <w:rPr>
          <w:spacing w:val="14"/>
        </w:rPr>
        <w:t> </w:t>
      </w:r>
      <w:r>
        <w:rPr/>
        <w:t>frequentemente</w:t>
      </w:r>
      <w:r>
        <w:rPr>
          <w:spacing w:val="15"/>
        </w:rPr>
        <w:t> </w:t>
      </w:r>
      <w:r>
        <w:rPr/>
        <w:t>subdiagnosticada,</w:t>
      </w:r>
      <w:r>
        <w:rPr>
          <w:spacing w:val="25"/>
        </w:rPr>
        <w:t> </w:t>
      </w:r>
      <w:r>
        <w:rPr/>
        <w:t>e</w:t>
      </w:r>
      <w:r>
        <w:rPr>
          <w:spacing w:val="14"/>
        </w:rPr>
        <w:t> </w:t>
      </w:r>
      <w:r>
        <w:rPr/>
        <w:t>que</w:t>
      </w:r>
      <w:r>
        <w:rPr>
          <w:spacing w:val="14"/>
        </w:rPr>
        <w:t> </w:t>
      </w:r>
      <w:r>
        <w:rPr/>
        <w:t>25</w:t>
      </w:r>
      <w:r>
        <w:rPr>
          <w:spacing w:val="17"/>
        </w:rPr>
        <w:t> </w:t>
      </w:r>
      <w:r>
        <w:rPr/>
        <w:t>a</w:t>
      </w:r>
      <w:r>
        <w:rPr>
          <w:spacing w:val="14"/>
        </w:rPr>
        <w:t> </w:t>
      </w:r>
      <w:r>
        <w:rPr/>
        <w:t>30%</w:t>
      </w:r>
      <w:r>
        <w:rPr>
          <w:spacing w:val="20"/>
        </w:rPr>
        <w:t> </w:t>
      </w:r>
      <w:r>
        <w:rPr/>
        <w:t>dos</w:t>
      </w:r>
      <w:r>
        <w:rPr>
          <w:spacing w:val="25"/>
        </w:rPr>
        <w:t> </w:t>
      </w:r>
      <w:r>
        <w:rPr/>
        <w:t>pacientes</w:t>
      </w:r>
      <w:r>
        <w:rPr>
          <w:spacing w:val="25"/>
        </w:rPr>
        <w:t> </w:t>
      </w:r>
      <w:r>
        <w:rPr/>
        <w:t>portadores</w:t>
      </w:r>
      <w:r>
        <w:rPr>
          <w:spacing w:val="26"/>
        </w:rPr>
        <w:t> </w:t>
      </w:r>
      <w:r>
        <w:rPr>
          <w:spacing w:val="-5"/>
        </w:rPr>
        <w:t>de</w:t>
      </w:r>
    </w:p>
    <w:p>
      <w:pPr>
        <w:pStyle w:val="BodyText"/>
        <w:spacing w:after="0"/>
        <w:jc w:val="left"/>
        <w:sectPr>
          <w:pgSz w:w="11900" w:h="16840"/>
          <w:pgMar w:top="220" w:bottom="280" w:left="566" w:right="141"/>
        </w:sectPr>
      </w:pPr>
    </w:p>
    <w:p>
      <w:pPr>
        <w:pStyle w:val="BodyText"/>
        <w:spacing w:before="95"/>
        <w:ind w:firstLine="0"/>
      </w:pPr>
      <w:r>
        <w:rPr>
          <w:spacing w:val="-2"/>
        </w:rPr>
        <w:t>doença</w:t>
      </w:r>
      <w:r>
        <w:rPr>
          <w:spacing w:val="-3"/>
        </w:rPr>
        <w:t> </w:t>
      </w:r>
      <w:r>
        <w:rPr>
          <w:spacing w:val="-2"/>
        </w:rPr>
        <w:t>coronariana e doença vascular</w:t>
      </w:r>
      <w:r>
        <w:rPr>
          <w:spacing w:val="6"/>
        </w:rPr>
        <w:t> </w:t>
      </w:r>
      <w:r>
        <w:rPr>
          <w:spacing w:val="-2"/>
        </w:rPr>
        <w:t>periférica apresentam</w:t>
      </w:r>
      <w:r>
        <w:rPr>
          <w:spacing w:val="1"/>
        </w:rPr>
        <w:t> </w:t>
      </w:r>
      <w:r>
        <w:rPr>
          <w:spacing w:val="-2"/>
        </w:rPr>
        <w:t>estenose significativa de artéria renal.</w:t>
      </w:r>
      <w:r>
        <w:rPr>
          <w:spacing w:val="-2"/>
          <w:vertAlign w:val="superscript"/>
        </w:rPr>
        <w:t>24</w:t>
      </w:r>
    </w:p>
    <w:p>
      <w:pPr>
        <w:pStyle w:val="BodyText"/>
        <w:spacing w:line="276" w:lineRule="auto" w:before="105"/>
        <w:ind w:right="497"/>
      </w:pPr>
      <w:r>
        <w:rPr/>
        <w:t>O</w:t>
      </w:r>
      <w:r>
        <w:rPr>
          <w:spacing w:val="-8"/>
        </w:rPr>
        <w:t> </w:t>
      </w:r>
      <w:r>
        <w:rPr/>
        <w:t>diagnóstico</w:t>
      </w:r>
      <w:r>
        <w:rPr>
          <w:spacing w:val="-5"/>
        </w:rPr>
        <w:t> </w:t>
      </w:r>
      <w:r>
        <w:rPr/>
        <w:t>definitivo</w:t>
      </w:r>
      <w:r>
        <w:rPr>
          <w:spacing w:val="-5"/>
        </w:rPr>
        <w:t> </w:t>
      </w:r>
      <w:r>
        <w:rPr/>
        <w:t>é</w:t>
      </w:r>
      <w:r>
        <w:rPr>
          <w:spacing w:val="-8"/>
        </w:rPr>
        <w:t> </w:t>
      </w:r>
      <w:r>
        <w:rPr/>
        <w:t>dado</w:t>
      </w:r>
      <w:r>
        <w:rPr>
          <w:spacing w:val="-5"/>
        </w:rPr>
        <w:t> </w:t>
      </w:r>
      <w:r>
        <w:rPr/>
        <w:t>pela</w:t>
      </w:r>
      <w:r>
        <w:rPr>
          <w:spacing w:val="-8"/>
        </w:rPr>
        <w:t> </w:t>
      </w:r>
      <w:r>
        <w:rPr/>
        <w:t>existência</w:t>
      </w:r>
      <w:r>
        <w:rPr>
          <w:spacing w:val="-8"/>
        </w:rPr>
        <w:t> </w:t>
      </w:r>
      <w:r>
        <w:rPr/>
        <w:t>de</w:t>
      </w:r>
      <w:r>
        <w:rPr>
          <w:spacing w:val="-8"/>
        </w:rPr>
        <w:t> </w:t>
      </w:r>
      <w:r>
        <w:rPr/>
        <w:t>estenose</w:t>
      </w:r>
      <w:r>
        <w:rPr>
          <w:spacing w:val="-8"/>
        </w:rPr>
        <w:t> </w:t>
      </w:r>
      <w:r>
        <w:rPr/>
        <w:t>em</w:t>
      </w:r>
      <w:r>
        <w:rPr>
          <w:spacing w:val="-5"/>
        </w:rPr>
        <w:t> </w:t>
      </w:r>
      <w:r>
        <w:rPr/>
        <w:t>artéria</w:t>
      </w:r>
      <w:r>
        <w:rPr>
          <w:spacing w:val="-8"/>
        </w:rPr>
        <w:t> </w:t>
      </w:r>
      <w:r>
        <w:rPr/>
        <w:t>renal</w:t>
      </w:r>
      <w:r>
        <w:rPr>
          <w:spacing w:val="-3"/>
        </w:rPr>
        <w:t> </w:t>
      </w:r>
      <w:r>
        <w:rPr/>
        <w:t>por meio</w:t>
      </w:r>
      <w:r>
        <w:rPr>
          <w:spacing w:val="-5"/>
        </w:rPr>
        <w:t> </w:t>
      </w:r>
      <w:r>
        <w:rPr/>
        <w:t>de</w:t>
      </w:r>
      <w:r>
        <w:rPr>
          <w:spacing w:val="-8"/>
        </w:rPr>
        <w:t> </w:t>
      </w:r>
      <w:r>
        <w:rPr/>
        <w:t>angiografia. Entretanto, esse não é obviamente um bom método de </w:t>
      </w:r>
      <w:r>
        <w:rPr>
          <w:i/>
        </w:rPr>
        <w:t>screening </w:t>
      </w:r>
      <w:r>
        <w:rPr/>
        <w:t>da doença. Considerando a baixa prevalência da hipertensão renovascular, em geral o rastreamento deve</w:t>
      </w:r>
      <w:r>
        <w:rPr>
          <w:spacing w:val="-3"/>
        </w:rPr>
        <w:t> </w:t>
      </w:r>
      <w:r>
        <w:rPr/>
        <w:t>ser inicialmente</w:t>
      </w:r>
      <w:r>
        <w:rPr>
          <w:spacing w:val="-3"/>
        </w:rPr>
        <w:t> </w:t>
      </w:r>
      <w:r>
        <w:rPr/>
        <w:t>conduzido a</w:t>
      </w:r>
      <w:r>
        <w:rPr>
          <w:spacing w:val="-3"/>
        </w:rPr>
        <w:t> </w:t>
      </w:r>
      <w:r>
        <w:rPr/>
        <w:t>partir dos dados da</w:t>
      </w:r>
      <w:r>
        <w:rPr>
          <w:spacing w:val="-3"/>
        </w:rPr>
        <w:t> </w:t>
      </w:r>
      <w:r>
        <w:rPr/>
        <w:t>anamnese</w:t>
      </w:r>
      <w:r>
        <w:rPr>
          <w:spacing w:val="-3"/>
        </w:rPr>
        <w:t> </w:t>
      </w:r>
      <w:r>
        <w:rPr/>
        <w:t>e</w:t>
      </w:r>
      <w:r>
        <w:rPr>
          <w:spacing w:val="-3"/>
        </w:rPr>
        <w:t> </w:t>
      </w:r>
      <w:r>
        <w:rPr/>
        <w:t>do exame físico. De acordo com a probabilidade de hipertensão renovascular em um paciente, podem ser utilizados exames não invasivos para verificação de obstrução renal, tais como cintigrafia renal, Doppler de artérias renais, angiorressonância e angiotomografia de artérias renais. A arteriografia renal é o padrão-ouro para o diagnóstico da hipertensão renovascular.</w:t>
      </w:r>
    </w:p>
    <w:p>
      <w:pPr>
        <w:pStyle w:val="BodyText"/>
        <w:spacing w:line="276" w:lineRule="auto" w:before="49"/>
        <w:ind w:right="491"/>
      </w:pPr>
      <w:r>
        <w:rPr/>
        <w:t>No tratamento da hipertensão renovascular, algumas considerações são importantes: o tratamento clínico com inibidores da enzima conversora da angiotensina (IECA) e outros anti-hipertensivos é apropriado para pacientes idosos que</w:t>
      </w:r>
      <w:r>
        <w:rPr>
          <w:spacing w:val="-5"/>
        </w:rPr>
        <w:t> </w:t>
      </w:r>
      <w:r>
        <w:rPr/>
        <w:t>são</w:t>
      </w:r>
      <w:r>
        <w:rPr>
          <w:spacing w:val="-2"/>
        </w:rPr>
        <w:t> </w:t>
      </w:r>
      <w:r>
        <w:rPr/>
        <w:t>de</w:t>
      </w:r>
      <w:r>
        <w:rPr>
          <w:spacing w:val="-5"/>
        </w:rPr>
        <w:t> </w:t>
      </w:r>
      <w:r>
        <w:rPr/>
        <w:t>alto</w:t>
      </w:r>
      <w:r>
        <w:rPr>
          <w:spacing w:val="-2"/>
        </w:rPr>
        <w:t> </w:t>
      </w:r>
      <w:r>
        <w:rPr/>
        <w:t>risco</w:t>
      </w:r>
      <w:r>
        <w:rPr>
          <w:spacing w:val="-3"/>
        </w:rPr>
        <w:t> </w:t>
      </w:r>
      <w:r>
        <w:rPr/>
        <w:t>para</w:t>
      </w:r>
      <w:r>
        <w:rPr>
          <w:spacing w:val="-5"/>
        </w:rPr>
        <w:t> </w:t>
      </w:r>
      <w:r>
        <w:rPr/>
        <w:t>intervenção</w:t>
      </w:r>
      <w:r>
        <w:rPr>
          <w:spacing w:val="-2"/>
        </w:rPr>
        <w:t> </w:t>
      </w:r>
      <w:r>
        <w:rPr/>
        <w:t>ou</w:t>
      </w:r>
      <w:r>
        <w:rPr>
          <w:spacing w:val="-3"/>
        </w:rPr>
        <w:t> </w:t>
      </w:r>
      <w:r>
        <w:rPr/>
        <w:t>recusem</w:t>
      </w:r>
      <w:r>
        <w:rPr>
          <w:spacing w:val="-2"/>
        </w:rPr>
        <w:t> </w:t>
      </w:r>
      <w:r>
        <w:rPr/>
        <w:t>qualquer tratamento</w:t>
      </w:r>
      <w:r>
        <w:rPr>
          <w:spacing w:val="-2"/>
        </w:rPr>
        <w:t> </w:t>
      </w:r>
      <w:r>
        <w:rPr/>
        <w:t>invasivo. A</w:t>
      </w:r>
      <w:r>
        <w:rPr>
          <w:spacing w:val="-5"/>
        </w:rPr>
        <w:t> </w:t>
      </w:r>
      <w:r>
        <w:rPr/>
        <w:t>angioplastia</w:t>
      </w:r>
      <w:r>
        <w:rPr>
          <w:spacing w:val="-5"/>
        </w:rPr>
        <w:t> </w:t>
      </w:r>
      <w:r>
        <w:rPr/>
        <w:t>percutânea</w:t>
      </w:r>
      <w:r>
        <w:rPr>
          <w:spacing w:val="-5"/>
        </w:rPr>
        <w:t> </w:t>
      </w:r>
      <w:r>
        <w:rPr/>
        <w:t>é o tratamento de escolha para a displasia fibromuscular, mas na aterosclerose unilateral os estudos clínicos não têm demonstrado um claro benefício para a realização de procedimentos invasivos. A cirurgia é geralmente superior à angioplastia no tratamento da aterosclerose. Entretanto, na decisão de tratamento devem-se pesar outros fatores, como o tamanho renal, já que rins com menos de 8 cm em geral não se beneficiam de revascularização. Nesses casos, pode</w:t>
      </w:r>
      <w:r>
        <w:rPr>
          <w:spacing w:val="-3"/>
        </w:rPr>
        <w:t> </w:t>
      </w:r>
      <w:r>
        <w:rPr/>
        <w:t>ser cogitada</w:t>
      </w:r>
      <w:r>
        <w:rPr>
          <w:spacing w:val="-3"/>
        </w:rPr>
        <w:t> </w:t>
      </w:r>
      <w:r>
        <w:rPr/>
        <w:t>a</w:t>
      </w:r>
      <w:r>
        <w:rPr>
          <w:spacing w:val="-3"/>
        </w:rPr>
        <w:t> </w:t>
      </w:r>
      <w:r>
        <w:rPr/>
        <w:t>realização de</w:t>
      </w:r>
      <w:r>
        <w:rPr>
          <w:spacing w:val="-3"/>
        </w:rPr>
        <w:t> </w:t>
      </w:r>
      <w:r>
        <w:rPr/>
        <w:t>nefrectomia, se</w:t>
      </w:r>
      <w:r>
        <w:rPr>
          <w:spacing w:val="-3"/>
        </w:rPr>
        <w:t> </w:t>
      </w:r>
      <w:r>
        <w:rPr/>
        <w:t>a</w:t>
      </w:r>
      <w:r>
        <w:rPr>
          <w:spacing w:val="-3"/>
        </w:rPr>
        <w:t> </w:t>
      </w:r>
      <w:r>
        <w:rPr/>
        <w:t>HAS estiver refratária</w:t>
      </w:r>
      <w:r>
        <w:rPr>
          <w:spacing w:val="-3"/>
        </w:rPr>
        <w:t> </w:t>
      </w:r>
      <w:r>
        <w:rPr/>
        <w:t>ao tratamento medicamentoso.</w:t>
      </w:r>
    </w:p>
    <w:p>
      <w:pPr>
        <w:pStyle w:val="BodyText"/>
        <w:spacing w:before="25"/>
        <w:ind w:left="0" w:firstLine="0"/>
        <w:jc w:val="left"/>
      </w:pPr>
    </w:p>
    <w:p>
      <w:pPr>
        <w:pStyle w:val="Heading7"/>
      </w:pPr>
      <w:r>
        <w:rPr>
          <w:color w:val="242B67"/>
        </w:rPr>
        <w:t>Hiperaldosteronismo </w:t>
      </w:r>
      <w:r>
        <w:rPr>
          <w:color w:val="242B67"/>
          <w:spacing w:val="-2"/>
        </w:rPr>
        <w:t>primário</w:t>
      </w:r>
    </w:p>
    <w:p>
      <w:pPr>
        <w:pStyle w:val="BodyText"/>
        <w:spacing w:line="278" w:lineRule="auto" w:before="126"/>
        <w:ind w:right="487"/>
      </w:pPr>
      <w:r>
        <w:rPr/>
        <w:t>O hiperaldosteronismo primário é um tipo secundário de HAS, caracterizado por hipopotassemia, alcalose metabólica, supressão da atividade plasmática da renina e níveis elevados de aldosterona plasmática e urinária. Entretanto, alguns casos de hiperaldosteronismo primário não são acompanhados de hipopotassemia, o que tem provocado muita discussão na literatura sobre o valor desse achado.</w:t>
      </w:r>
      <w:r>
        <w:rPr>
          <w:vertAlign w:val="superscript"/>
        </w:rPr>
        <w:t>25</w:t>
      </w:r>
      <w:r>
        <w:rPr>
          <w:vertAlign w:val="baseline"/>
        </w:rPr>
        <w:t> Mais recentemente, a relação aldosterona:renina</w:t>
      </w:r>
      <w:r>
        <w:rPr>
          <w:spacing w:val="-4"/>
          <w:vertAlign w:val="baseline"/>
        </w:rPr>
        <w:t> </w:t>
      </w:r>
      <w:r>
        <w:rPr>
          <w:vertAlign w:val="baseline"/>
        </w:rPr>
        <w:t>plasmática</w:t>
      </w:r>
      <w:r>
        <w:rPr>
          <w:spacing w:val="-4"/>
          <w:vertAlign w:val="baseline"/>
        </w:rPr>
        <w:t> </w:t>
      </w:r>
      <w:r>
        <w:rPr>
          <w:vertAlign w:val="baseline"/>
        </w:rPr>
        <w:t>vem</w:t>
      </w:r>
      <w:r>
        <w:rPr>
          <w:spacing w:val="-2"/>
          <w:vertAlign w:val="baseline"/>
        </w:rPr>
        <w:t> </w:t>
      </w:r>
      <w:r>
        <w:rPr>
          <w:vertAlign w:val="baseline"/>
        </w:rPr>
        <w:t>se</w:t>
      </w:r>
      <w:r>
        <w:rPr>
          <w:spacing w:val="-4"/>
          <w:vertAlign w:val="baseline"/>
        </w:rPr>
        <w:t> </w:t>
      </w:r>
      <w:r>
        <w:rPr>
          <w:vertAlign w:val="baseline"/>
        </w:rPr>
        <w:t>tornando</w:t>
      </w:r>
      <w:r>
        <w:rPr>
          <w:spacing w:val="-2"/>
          <w:vertAlign w:val="baseline"/>
        </w:rPr>
        <w:t> </w:t>
      </w:r>
      <w:r>
        <w:rPr>
          <w:vertAlign w:val="baseline"/>
        </w:rPr>
        <w:t>um</w:t>
      </w:r>
      <w:r>
        <w:rPr>
          <w:spacing w:val="-2"/>
          <w:vertAlign w:val="baseline"/>
        </w:rPr>
        <w:t> </w:t>
      </w:r>
      <w:r>
        <w:rPr>
          <w:i/>
          <w:vertAlign w:val="baseline"/>
        </w:rPr>
        <w:t>screening</w:t>
      </w:r>
      <w:r>
        <w:rPr>
          <w:i/>
          <w:spacing w:val="-1"/>
          <w:vertAlign w:val="baseline"/>
        </w:rPr>
        <w:t> </w:t>
      </w:r>
      <w:r>
        <w:rPr>
          <w:vertAlign w:val="baseline"/>
        </w:rPr>
        <w:t>mais sensível para</w:t>
      </w:r>
      <w:r>
        <w:rPr>
          <w:spacing w:val="-3"/>
          <w:vertAlign w:val="baseline"/>
        </w:rPr>
        <w:t> </w:t>
      </w:r>
      <w:r>
        <w:rPr>
          <w:vertAlign w:val="baseline"/>
        </w:rPr>
        <w:t>a</w:t>
      </w:r>
      <w:r>
        <w:rPr>
          <w:spacing w:val="-3"/>
          <w:vertAlign w:val="baseline"/>
        </w:rPr>
        <w:t> </w:t>
      </w:r>
      <w:r>
        <w:rPr>
          <w:vertAlign w:val="baseline"/>
        </w:rPr>
        <w:t>detecção</w:t>
      </w:r>
      <w:r>
        <w:rPr>
          <w:spacing w:val="-1"/>
          <w:vertAlign w:val="baseline"/>
        </w:rPr>
        <w:t> </w:t>
      </w:r>
      <w:r>
        <w:rPr>
          <w:vertAlign w:val="baseline"/>
        </w:rPr>
        <w:t>do</w:t>
      </w:r>
      <w:r>
        <w:rPr>
          <w:spacing w:val="-1"/>
          <w:vertAlign w:val="baseline"/>
        </w:rPr>
        <w:t> </w:t>
      </w:r>
      <w:r>
        <w:rPr>
          <w:vertAlign w:val="baseline"/>
        </w:rPr>
        <w:t>hiperaldosteronismo primário. Assim, hipertensos com valores maiores ou iguais a 25 devem prosseguir a investigação diagnóstica. Dentre os exames recomendados, existe uma série de testes de supressão, como a infusão de salina, a fludrocortisona e a sobrecarga oral de sódio, que não serão detalhadas aqui. A autonomia da secreção de aldosterona, nos casos suspeitos de</w:t>
      </w:r>
      <w:r>
        <w:rPr>
          <w:spacing w:val="-6"/>
          <w:vertAlign w:val="baseline"/>
        </w:rPr>
        <w:t> </w:t>
      </w:r>
      <w:r>
        <w:rPr>
          <w:vertAlign w:val="baseline"/>
        </w:rPr>
        <w:t>hiperaldosteronismo</w:t>
      </w:r>
      <w:r>
        <w:rPr>
          <w:spacing w:val="-4"/>
          <w:vertAlign w:val="baseline"/>
        </w:rPr>
        <w:t> </w:t>
      </w:r>
      <w:r>
        <w:rPr>
          <w:vertAlign w:val="baseline"/>
        </w:rPr>
        <w:t>primário, deve</w:t>
      </w:r>
      <w:r>
        <w:rPr>
          <w:spacing w:val="-6"/>
          <w:vertAlign w:val="baseline"/>
        </w:rPr>
        <w:t> </w:t>
      </w:r>
      <w:r>
        <w:rPr>
          <w:vertAlign w:val="baseline"/>
        </w:rPr>
        <w:t>ser comprovada</w:t>
      </w:r>
      <w:r>
        <w:rPr>
          <w:spacing w:val="-6"/>
          <w:vertAlign w:val="baseline"/>
        </w:rPr>
        <w:t> </w:t>
      </w:r>
      <w:r>
        <w:rPr>
          <w:vertAlign w:val="baseline"/>
        </w:rPr>
        <w:t>pela</w:t>
      </w:r>
      <w:r>
        <w:rPr>
          <w:spacing w:val="-6"/>
          <w:vertAlign w:val="baseline"/>
        </w:rPr>
        <w:t> </w:t>
      </w:r>
      <w:r>
        <w:rPr>
          <w:vertAlign w:val="baseline"/>
        </w:rPr>
        <w:t>ausência</w:t>
      </w:r>
      <w:r>
        <w:rPr>
          <w:spacing w:val="-6"/>
          <w:vertAlign w:val="baseline"/>
        </w:rPr>
        <w:t> </w:t>
      </w:r>
      <w:r>
        <w:rPr>
          <w:vertAlign w:val="baseline"/>
        </w:rPr>
        <w:t>de</w:t>
      </w:r>
      <w:r>
        <w:rPr>
          <w:spacing w:val="-6"/>
          <w:vertAlign w:val="baseline"/>
        </w:rPr>
        <w:t> </w:t>
      </w:r>
      <w:r>
        <w:rPr>
          <w:vertAlign w:val="baseline"/>
        </w:rPr>
        <w:t>resposta</w:t>
      </w:r>
      <w:r>
        <w:rPr>
          <w:spacing w:val="-6"/>
          <w:vertAlign w:val="baseline"/>
        </w:rPr>
        <w:t> </w:t>
      </w:r>
      <w:r>
        <w:rPr>
          <w:vertAlign w:val="baseline"/>
        </w:rPr>
        <w:t>a esses testes de supressão.</w:t>
      </w:r>
    </w:p>
    <w:p>
      <w:pPr>
        <w:pStyle w:val="BodyText"/>
        <w:spacing w:line="276" w:lineRule="auto" w:before="55"/>
        <w:ind w:right="488"/>
      </w:pPr>
      <w:r>
        <w:rPr/>
        <w:t>A doença deve ser suspeitada em qualquer paciente hipertenso que se apresenta com quadro de fraqueza muscular, desânimo, nictúria e parestesias, que são sugestivos de hipopotassemia. A hipertensão do paciente com hiperaldosteronismo primário não difere em linhas gerais das outras etiologias. Sinais de Chvostek e Trousseau podem existir e serem indicativos de alcalose hipopotassêmica. Alterações eletrocardiográficas podem também sugerir hipopotassemia.</w:t>
      </w:r>
    </w:p>
    <w:p>
      <w:pPr>
        <w:pStyle w:val="BodyText"/>
        <w:spacing w:line="276" w:lineRule="auto" w:before="49"/>
        <w:ind w:right="497"/>
      </w:pPr>
      <w:r>
        <w:rPr/>
        <w:t>O hiperaldosteronismo primário pode resultar tanto de um adenoma produtor de aldosterona (responsável por cerca de 60% dos casos) como de hiperplasia adrenal bilateral. A diferenciação das duas condições é importante, uma</w:t>
      </w:r>
      <w:r>
        <w:rPr>
          <w:spacing w:val="-3"/>
        </w:rPr>
        <w:t> </w:t>
      </w:r>
      <w:r>
        <w:rPr/>
        <w:t>vez</w:t>
      </w:r>
      <w:r>
        <w:rPr>
          <w:spacing w:val="-3"/>
        </w:rPr>
        <w:t> </w:t>
      </w:r>
      <w:r>
        <w:rPr/>
        <w:t>que</w:t>
      </w:r>
      <w:r>
        <w:rPr>
          <w:spacing w:val="-3"/>
        </w:rPr>
        <w:t> </w:t>
      </w:r>
      <w:r>
        <w:rPr/>
        <w:t>implicam</w:t>
      </w:r>
      <w:r>
        <w:rPr>
          <w:spacing w:val="-1"/>
        </w:rPr>
        <w:t> </w:t>
      </w:r>
      <w:r>
        <w:rPr/>
        <w:t>tratamento</w:t>
      </w:r>
      <w:r>
        <w:rPr>
          <w:spacing w:val="-1"/>
        </w:rPr>
        <w:t> </w:t>
      </w:r>
      <w:r>
        <w:rPr/>
        <w:t>diferenciado. Alterações bioquímicas são</w:t>
      </w:r>
      <w:r>
        <w:rPr>
          <w:spacing w:val="-1"/>
        </w:rPr>
        <w:t> </w:t>
      </w:r>
      <w:r>
        <w:rPr/>
        <w:t>mais pronunciadas no</w:t>
      </w:r>
      <w:r>
        <w:rPr>
          <w:spacing w:val="-1"/>
        </w:rPr>
        <w:t> </w:t>
      </w:r>
      <w:r>
        <w:rPr/>
        <w:t>adenoma, como maior elevação</w:t>
      </w:r>
      <w:r>
        <w:rPr>
          <w:spacing w:val="-6"/>
        </w:rPr>
        <w:t> </w:t>
      </w:r>
      <w:r>
        <w:rPr/>
        <w:t>do</w:t>
      </w:r>
      <w:r>
        <w:rPr>
          <w:spacing w:val="-6"/>
        </w:rPr>
        <w:t> </w:t>
      </w:r>
      <w:r>
        <w:rPr/>
        <w:t>nível</w:t>
      </w:r>
      <w:r>
        <w:rPr>
          <w:spacing w:val="-4"/>
        </w:rPr>
        <w:t> </w:t>
      </w:r>
      <w:r>
        <w:rPr/>
        <w:t>sérico</w:t>
      </w:r>
      <w:r>
        <w:rPr>
          <w:spacing w:val="-6"/>
        </w:rPr>
        <w:t> </w:t>
      </w:r>
      <w:r>
        <w:rPr/>
        <w:t>de</w:t>
      </w:r>
      <w:r>
        <w:rPr>
          <w:spacing w:val="-9"/>
        </w:rPr>
        <w:t> </w:t>
      </w:r>
      <w:r>
        <w:rPr/>
        <w:t>aldosterona</w:t>
      </w:r>
      <w:r>
        <w:rPr>
          <w:spacing w:val="-9"/>
        </w:rPr>
        <w:t> </w:t>
      </w:r>
      <w:r>
        <w:rPr/>
        <w:t>basal</w:t>
      </w:r>
      <w:r>
        <w:rPr>
          <w:spacing w:val="-4"/>
        </w:rPr>
        <w:t> </w:t>
      </w:r>
      <w:r>
        <w:rPr/>
        <w:t>(geralmente</w:t>
      </w:r>
      <w:r>
        <w:rPr>
          <w:spacing w:val="-9"/>
        </w:rPr>
        <w:t> </w:t>
      </w:r>
      <w:r>
        <w:rPr/>
        <w:t>acima</w:t>
      </w:r>
      <w:r>
        <w:rPr>
          <w:spacing w:val="-9"/>
        </w:rPr>
        <w:t> </w:t>
      </w:r>
      <w:r>
        <w:rPr/>
        <w:t>de</w:t>
      </w:r>
      <w:r>
        <w:rPr>
          <w:spacing w:val="-9"/>
        </w:rPr>
        <w:t> </w:t>
      </w:r>
      <w:r>
        <w:rPr/>
        <w:t>25</w:t>
      </w:r>
      <w:r>
        <w:rPr>
          <w:spacing w:val="-6"/>
        </w:rPr>
        <w:t> </w:t>
      </w:r>
      <w:r>
        <w:rPr/>
        <w:t>ng/d</w:t>
      </w:r>
      <w:r>
        <w:rPr>
          <w:i/>
        </w:rPr>
        <w:t>ℓ</w:t>
      </w:r>
      <w:r>
        <w:rPr/>
        <w:t>), bem</w:t>
      </w:r>
      <w:r>
        <w:rPr>
          <w:spacing w:val="-7"/>
        </w:rPr>
        <w:t> </w:t>
      </w:r>
      <w:r>
        <w:rPr/>
        <w:t>como</w:t>
      </w:r>
      <w:r>
        <w:rPr>
          <w:spacing w:val="-7"/>
        </w:rPr>
        <w:t> </w:t>
      </w:r>
      <w:r>
        <w:rPr/>
        <w:t>de</w:t>
      </w:r>
      <w:r>
        <w:rPr>
          <w:spacing w:val="-10"/>
        </w:rPr>
        <w:t> </w:t>
      </w:r>
      <w:r>
        <w:rPr/>
        <w:t>seus precursores. As respostas aos testes de restrição de sódio, administração de diuréticos e de espironolactona também são distintas: em todos eles, há um aumento da aldosterona plasmática na hiperplasia, não apresentando resposta no adenoma. Dos exames de imagem, a tomografia computadorizada de adrenais constitui o método de escolha, pois mostra uma sensibilidade próxima a 95%.</w:t>
      </w:r>
    </w:p>
    <w:p>
      <w:pPr>
        <w:pStyle w:val="BodyText"/>
        <w:spacing w:line="276" w:lineRule="auto"/>
        <w:ind w:right="491"/>
      </w:pPr>
      <w:r>
        <w:rPr/>
        <w:t>Para</w:t>
      </w:r>
      <w:r>
        <w:rPr>
          <w:spacing w:val="-7"/>
        </w:rPr>
        <w:t> </w:t>
      </w:r>
      <w:r>
        <w:rPr/>
        <w:t>o</w:t>
      </w:r>
      <w:r>
        <w:rPr>
          <w:spacing w:val="-5"/>
        </w:rPr>
        <w:t> </w:t>
      </w:r>
      <w:r>
        <w:rPr/>
        <w:t>tratamento</w:t>
      </w:r>
      <w:r>
        <w:rPr>
          <w:spacing w:val="-5"/>
        </w:rPr>
        <w:t> </w:t>
      </w:r>
      <w:r>
        <w:rPr/>
        <w:t>da</w:t>
      </w:r>
      <w:r>
        <w:rPr>
          <w:spacing w:val="-7"/>
        </w:rPr>
        <w:t> </w:t>
      </w:r>
      <w:r>
        <w:rPr/>
        <w:t>hiperplasia</w:t>
      </w:r>
      <w:r>
        <w:rPr>
          <w:spacing w:val="-7"/>
        </w:rPr>
        <w:t> </w:t>
      </w:r>
      <w:r>
        <w:rPr/>
        <w:t>de</w:t>
      </w:r>
      <w:r>
        <w:rPr>
          <w:spacing w:val="-7"/>
        </w:rPr>
        <w:t> </w:t>
      </w:r>
      <w:r>
        <w:rPr/>
        <w:t>adrenal, a</w:t>
      </w:r>
      <w:r>
        <w:rPr>
          <w:spacing w:val="-7"/>
        </w:rPr>
        <w:t> </w:t>
      </w:r>
      <w:r>
        <w:rPr/>
        <w:t>administração</w:t>
      </w:r>
      <w:r>
        <w:rPr>
          <w:spacing w:val="-5"/>
        </w:rPr>
        <w:t> </w:t>
      </w:r>
      <w:r>
        <w:rPr/>
        <w:t>de</w:t>
      </w:r>
      <w:r>
        <w:rPr>
          <w:spacing w:val="-7"/>
        </w:rPr>
        <w:t> </w:t>
      </w:r>
      <w:r>
        <w:rPr/>
        <w:t>espironolactona</w:t>
      </w:r>
      <w:r>
        <w:rPr>
          <w:spacing w:val="-7"/>
        </w:rPr>
        <w:t> </w:t>
      </w:r>
      <w:r>
        <w:rPr/>
        <w:t>(50</w:t>
      </w:r>
      <w:r>
        <w:rPr>
          <w:spacing w:val="-5"/>
        </w:rPr>
        <w:t> </w:t>
      </w:r>
      <w:r>
        <w:rPr/>
        <w:t>a</w:t>
      </w:r>
      <w:r>
        <w:rPr>
          <w:spacing w:val="-7"/>
        </w:rPr>
        <w:t> </w:t>
      </w:r>
      <w:r>
        <w:rPr/>
        <w:t>400</w:t>
      </w:r>
      <w:r>
        <w:rPr>
          <w:spacing w:val="-5"/>
        </w:rPr>
        <w:t> </w:t>
      </w:r>
      <w:r>
        <w:rPr/>
        <w:t>mg/dia) por quatro</w:t>
      </w:r>
      <w:r>
        <w:rPr>
          <w:spacing w:val="-5"/>
        </w:rPr>
        <w:t> </w:t>
      </w:r>
      <w:r>
        <w:rPr/>
        <w:t>ou mais semanas resulta na normalização da pressão arterial e nos níveis de potássio séricos. Já o adenoma requer a ressecção</w:t>
      </w:r>
      <w:r>
        <w:rPr>
          <w:spacing w:val="-3"/>
        </w:rPr>
        <w:t> </w:t>
      </w:r>
      <w:r>
        <w:rPr/>
        <w:t>cirúrgica</w:t>
      </w:r>
      <w:r>
        <w:rPr>
          <w:spacing w:val="-5"/>
        </w:rPr>
        <w:t> </w:t>
      </w:r>
      <w:r>
        <w:rPr/>
        <w:t>da</w:t>
      </w:r>
      <w:r>
        <w:rPr>
          <w:spacing w:val="-5"/>
        </w:rPr>
        <w:t> </w:t>
      </w:r>
      <w:r>
        <w:rPr/>
        <w:t>lesão, que</w:t>
      </w:r>
      <w:r>
        <w:rPr>
          <w:spacing w:val="-5"/>
        </w:rPr>
        <w:t> </w:t>
      </w:r>
      <w:r>
        <w:rPr/>
        <w:t>atualmente</w:t>
      </w:r>
      <w:r>
        <w:rPr>
          <w:spacing w:val="-5"/>
        </w:rPr>
        <w:t> </w:t>
      </w:r>
      <w:r>
        <w:rPr/>
        <w:t>é</w:t>
      </w:r>
      <w:r>
        <w:rPr>
          <w:spacing w:val="-5"/>
        </w:rPr>
        <w:t> </w:t>
      </w:r>
      <w:r>
        <w:rPr/>
        <w:t>realizada</w:t>
      </w:r>
      <w:r>
        <w:rPr>
          <w:spacing w:val="-5"/>
        </w:rPr>
        <w:t> </w:t>
      </w:r>
      <w:r>
        <w:rPr/>
        <w:t>por meio</w:t>
      </w:r>
      <w:r>
        <w:rPr>
          <w:spacing w:val="-3"/>
        </w:rPr>
        <w:t> </w:t>
      </w:r>
      <w:r>
        <w:rPr/>
        <w:t>de</w:t>
      </w:r>
      <w:r>
        <w:rPr>
          <w:spacing w:val="-5"/>
        </w:rPr>
        <w:t> </w:t>
      </w:r>
      <w:r>
        <w:rPr/>
        <w:t>técnicas de</w:t>
      </w:r>
      <w:r>
        <w:rPr>
          <w:spacing w:val="-5"/>
        </w:rPr>
        <w:t> </w:t>
      </w:r>
      <w:r>
        <w:rPr/>
        <w:t>videolaparoscopia</w:t>
      </w:r>
      <w:r>
        <w:rPr>
          <w:spacing w:val="-5"/>
        </w:rPr>
        <w:t> </w:t>
      </w:r>
      <w:r>
        <w:rPr/>
        <w:t>e</w:t>
      </w:r>
      <w:r>
        <w:rPr>
          <w:spacing w:val="-5"/>
        </w:rPr>
        <w:t> </w:t>
      </w:r>
      <w:r>
        <w:rPr/>
        <w:t>laparotomia.</w:t>
      </w:r>
    </w:p>
    <w:p>
      <w:pPr>
        <w:pStyle w:val="BodyText"/>
        <w:spacing w:before="9"/>
        <w:ind w:left="0" w:firstLine="0"/>
        <w:jc w:val="left"/>
      </w:pPr>
    </w:p>
    <w:p>
      <w:pPr>
        <w:pStyle w:val="Heading7"/>
      </w:pPr>
      <w:r>
        <w:rPr>
          <w:color w:val="242B67"/>
          <w:spacing w:val="-2"/>
        </w:rPr>
        <w:t>Feocromocitoma</w:t>
      </w:r>
    </w:p>
    <w:p>
      <w:pPr>
        <w:pStyle w:val="BodyText"/>
        <w:spacing w:line="276" w:lineRule="auto" w:before="142"/>
        <w:ind w:right="497"/>
      </w:pPr>
      <w:r>
        <w:rPr/>
        <w:t>O feocromocitoma é um tumor neuroendócrino caracterizado por tecido cromafim e composto de grânulos neurossecretores contendo catecolaminas. São localizados predominantemente na medula adrenal, mas também podem ser encontrados nos gânglios do sistema nervoso simpático. A hipertensão encontrada no feocromocitoma pode</w:t>
      </w:r>
      <w:r>
        <w:rPr>
          <w:spacing w:val="-11"/>
        </w:rPr>
        <w:t> </w:t>
      </w:r>
      <w:r>
        <w:rPr/>
        <w:t>ser</w:t>
      </w:r>
      <w:r>
        <w:rPr>
          <w:spacing w:val="-4"/>
        </w:rPr>
        <w:t> </w:t>
      </w:r>
      <w:r>
        <w:rPr/>
        <w:t>sustentada</w:t>
      </w:r>
      <w:r>
        <w:rPr>
          <w:spacing w:val="-11"/>
        </w:rPr>
        <w:t> </w:t>
      </w:r>
      <w:r>
        <w:rPr/>
        <w:t>ou</w:t>
      </w:r>
      <w:r>
        <w:rPr>
          <w:spacing w:val="-8"/>
        </w:rPr>
        <w:t> </w:t>
      </w:r>
      <w:r>
        <w:rPr/>
        <w:t>ter</w:t>
      </w:r>
      <w:r>
        <w:rPr>
          <w:spacing w:val="-4"/>
        </w:rPr>
        <w:t> </w:t>
      </w:r>
      <w:r>
        <w:rPr/>
        <w:t>caráter</w:t>
      </w:r>
      <w:r>
        <w:rPr>
          <w:spacing w:val="-4"/>
        </w:rPr>
        <w:t> </w:t>
      </w:r>
      <w:r>
        <w:rPr/>
        <w:t>paroxístico.</w:t>
      </w:r>
      <w:r>
        <w:rPr>
          <w:spacing w:val="-1"/>
        </w:rPr>
        <w:t> </w:t>
      </w:r>
      <w:r>
        <w:rPr/>
        <w:t>Ela</w:t>
      </w:r>
      <w:r>
        <w:rPr>
          <w:spacing w:val="-11"/>
        </w:rPr>
        <w:t> </w:t>
      </w:r>
      <w:r>
        <w:rPr/>
        <w:t>resulta</w:t>
      </w:r>
      <w:r>
        <w:rPr>
          <w:spacing w:val="-11"/>
        </w:rPr>
        <w:t> </w:t>
      </w:r>
      <w:r>
        <w:rPr/>
        <w:t>da</w:t>
      </w:r>
      <w:r>
        <w:rPr>
          <w:spacing w:val="-11"/>
        </w:rPr>
        <w:t> </w:t>
      </w:r>
      <w:r>
        <w:rPr/>
        <w:t>secreção</w:t>
      </w:r>
      <w:r>
        <w:rPr>
          <w:spacing w:val="-8"/>
        </w:rPr>
        <w:t> </w:t>
      </w:r>
      <w:r>
        <w:rPr/>
        <w:t>aumentada</w:t>
      </w:r>
      <w:r>
        <w:rPr>
          <w:spacing w:val="-11"/>
        </w:rPr>
        <w:t> </w:t>
      </w:r>
      <w:r>
        <w:rPr/>
        <w:t>de</w:t>
      </w:r>
      <w:r>
        <w:rPr>
          <w:spacing w:val="-11"/>
        </w:rPr>
        <w:t> </w:t>
      </w:r>
      <w:r>
        <w:rPr/>
        <w:t>catecolaminas,</w:t>
      </w:r>
      <w:r>
        <w:rPr>
          <w:spacing w:val="-1"/>
        </w:rPr>
        <w:t> </w:t>
      </w:r>
      <w:r>
        <w:rPr/>
        <w:t>principalmente</w:t>
      </w:r>
      <w:r>
        <w:rPr>
          <w:spacing w:val="-11"/>
        </w:rPr>
        <w:t> </w:t>
      </w:r>
      <w:r>
        <w:rPr/>
        <w:t>a norepinefrina.</w:t>
      </w:r>
      <w:r>
        <w:rPr>
          <w:spacing w:val="40"/>
        </w:rPr>
        <w:t> </w:t>
      </w:r>
      <w:r>
        <w:rPr/>
        <w:t>O</w:t>
      </w:r>
      <w:r>
        <w:rPr>
          <w:spacing w:val="28"/>
        </w:rPr>
        <w:t> </w:t>
      </w:r>
      <w:r>
        <w:rPr/>
        <w:t>tumor</w:t>
      </w:r>
      <w:r>
        <w:rPr>
          <w:spacing w:val="37"/>
        </w:rPr>
        <w:t> </w:t>
      </w:r>
      <w:r>
        <w:rPr/>
        <w:t>na</w:t>
      </w:r>
      <w:r>
        <w:rPr>
          <w:spacing w:val="28"/>
        </w:rPr>
        <w:t> </w:t>
      </w:r>
      <w:r>
        <w:rPr/>
        <w:t>maioria</w:t>
      </w:r>
      <w:r>
        <w:rPr>
          <w:spacing w:val="28"/>
        </w:rPr>
        <w:t> </w:t>
      </w:r>
      <w:r>
        <w:rPr/>
        <w:t>das</w:t>
      </w:r>
      <w:r>
        <w:rPr>
          <w:spacing w:val="40"/>
        </w:rPr>
        <w:t> </w:t>
      </w:r>
      <w:r>
        <w:rPr/>
        <w:t>vezes</w:t>
      </w:r>
      <w:r>
        <w:rPr>
          <w:spacing w:val="40"/>
        </w:rPr>
        <w:t> </w:t>
      </w:r>
      <w:r>
        <w:rPr/>
        <w:t>(90%)</w:t>
      </w:r>
      <w:r>
        <w:rPr>
          <w:spacing w:val="37"/>
        </w:rPr>
        <w:t> </w:t>
      </w:r>
      <w:r>
        <w:rPr/>
        <w:t>encontra-se</w:t>
      </w:r>
      <w:r>
        <w:rPr>
          <w:spacing w:val="28"/>
        </w:rPr>
        <w:t> </w:t>
      </w:r>
      <w:r>
        <w:rPr/>
        <w:t>na</w:t>
      </w:r>
      <w:r>
        <w:rPr>
          <w:spacing w:val="28"/>
        </w:rPr>
        <w:t> </w:t>
      </w:r>
      <w:r>
        <w:rPr/>
        <w:t>topografia</w:t>
      </w:r>
      <w:r>
        <w:rPr>
          <w:spacing w:val="28"/>
        </w:rPr>
        <w:t> </w:t>
      </w:r>
      <w:r>
        <w:rPr/>
        <w:t>de</w:t>
      </w:r>
      <w:r>
        <w:rPr>
          <w:spacing w:val="28"/>
        </w:rPr>
        <w:t> </w:t>
      </w:r>
      <w:r>
        <w:rPr/>
        <w:t>adrenal.</w:t>
      </w:r>
      <w:r>
        <w:rPr>
          <w:spacing w:val="40"/>
        </w:rPr>
        <w:t> </w:t>
      </w:r>
      <w:r>
        <w:rPr/>
        <w:t>Porém,</w:t>
      </w:r>
      <w:r>
        <w:rPr>
          <w:spacing w:val="40"/>
        </w:rPr>
        <w:t> </w:t>
      </w:r>
      <w:r>
        <w:rPr/>
        <w:t>ele</w:t>
      </w:r>
      <w:r>
        <w:rPr>
          <w:spacing w:val="28"/>
        </w:rPr>
        <w:t> </w:t>
      </w:r>
      <w:r>
        <w:rPr/>
        <w:t>pode</w:t>
      </w:r>
      <w:r>
        <w:rPr>
          <w:spacing w:val="28"/>
        </w:rPr>
        <w:t> </w:t>
      </w:r>
      <w:r>
        <w:rPr/>
        <w:t>ser</w:t>
      </w:r>
    </w:p>
    <w:p>
      <w:pPr>
        <w:pStyle w:val="BodyText"/>
        <w:spacing w:after="0" w:line="276" w:lineRule="auto"/>
        <w:sectPr>
          <w:pgSz w:w="11900" w:h="16840"/>
          <w:pgMar w:top="200" w:bottom="280" w:left="566" w:right="141"/>
        </w:sectPr>
      </w:pPr>
    </w:p>
    <w:p>
      <w:pPr>
        <w:pStyle w:val="BodyText"/>
        <w:spacing w:line="283" w:lineRule="auto" w:before="64"/>
        <w:ind w:right="497" w:firstLine="0"/>
      </w:pPr>
      <w:r>
        <w:rPr/>
        <w:t>localizado em qualquer local onde seja encontrado tecido cromafim. Ele pode ser isolado ou múltiplo; na maioria das vezes é de caráter benigno, mas pode ser maligno, sendo mais comum nesses casos em localizações extra-</w:t>
      </w:r>
      <w:r>
        <w:rPr>
          <w:spacing w:val="-2"/>
        </w:rPr>
        <w:t>adrenais.</w:t>
      </w:r>
      <w:r>
        <w:rPr>
          <w:spacing w:val="-2"/>
          <w:vertAlign w:val="superscript"/>
        </w:rPr>
        <w:t>26</w:t>
      </w:r>
    </w:p>
    <w:p>
      <w:pPr>
        <w:pStyle w:val="BodyText"/>
        <w:spacing w:line="278" w:lineRule="auto" w:before="51"/>
        <w:ind w:right="488"/>
      </w:pPr>
      <w:r>
        <w:rPr/>
        <w:t>Múltiplas alterações genéticas têm sido associadas ao feocromocitoma. Embora esses tumores frequentemente ocorram de maneira esporádica, não herdada, alguns feocromocitomas apresentam características genéticas marcantes, podendo ser subdivididos em uma</w:t>
      </w:r>
      <w:r>
        <w:rPr>
          <w:spacing w:val="-1"/>
        </w:rPr>
        <w:t> </w:t>
      </w:r>
      <w:r>
        <w:rPr/>
        <w:t>variedade</w:t>
      </w:r>
      <w:r>
        <w:rPr>
          <w:spacing w:val="-1"/>
        </w:rPr>
        <w:t> </w:t>
      </w:r>
      <w:r>
        <w:rPr/>
        <w:t>de</w:t>
      </w:r>
      <w:r>
        <w:rPr>
          <w:spacing w:val="-1"/>
        </w:rPr>
        <w:t> </w:t>
      </w:r>
      <w:r>
        <w:rPr/>
        <w:t>grupos: neoplasia</w:t>
      </w:r>
      <w:r>
        <w:rPr>
          <w:spacing w:val="-1"/>
        </w:rPr>
        <w:t> </w:t>
      </w:r>
      <w:r>
        <w:rPr/>
        <w:t>endócrina</w:t>
      </w:r>
      <w:r>
        <w:rPr>
          <w:spacing w:val="-1"/>
        </w:rPr>
        <w:t> </w:t>
      </w:r>
      <w:r>
        <w:rPr/>
        <w:t>múltipla</w:t>
      </w:r>
      <w:r>
        <w:rPr>
          <w:spacing w:val="-1"/>
        </w:rPr>
        <w:t> </w:t>
      </w:r>
      <w:r>
        <w:rPr/>
        <w:t>(NEM 2), doença de von Hippel-Lindau (VHL), neurofibromatose tipo 1, paraganglioma hereditário, tumores relacionados com o gene</w:t>
      </w:r>
      <w:r>
        <w:rPr>
          <w:spacing w:val="-6"/>
        </w:rPr>
        <w:t> </w:t>
      </w:r>
      <w:r>
        <w:rPr/>
        <w:t>da</w:t>
      </w:r>
      <w:r>
        <w:rPr>
          <w:spacing w:val="-6"/>
        </w:rPr>
        <w:t> </w:t>
      </w:r>
      <w:r>
        <w:rPr/>
        <w:t>succinato</w:t>
      </w:r>
      <w:r>
        <w:rPr>
          <w:spacing w:val="-4"/>
        </w:rPr>
        <w:t> </w:t>
      </w:r>
      <w:r>
        <w:rPr/>
        <w:t>desidrogenase</w:t>
      </w:r>
      <w:r>
        <w:rPr>
          <w:spacing w:val="-6"/>
        </w:rPr>
        <w:t> </w:t>
      </w:r>
      <w:r>
        <w:rPr/>
        <w:t>(SDHD, </w:t>
      </w:r>
      <w:r>
        <w:rPr>
          <w:i/>
        </w:rPr>
        <w:t>succinate</w:t>
      </w:r>
      <w:r>
        <w:rPr>
          <w:i/>
          <w:spacing w:val="-13"/>
        </w:rPr>
        <w:t> </w:t>
      </w:r>
      <w:r>
        <w:rPr>
          <w:i/>
        </w:rPr>
        <w:t>dehydrogenase</w:t>
      </w:r>
      <w:r>
        <w:rPr/>
        <w:t>), subunidade</w:t>
      </w:r>
      <w:r>
        <w:rPr>
          <w:spacing w:val="-1"/>
        </w:rPr>
        <w:t> </w:t>
      </w:r>
      <w:r>
        <w:rPr/>
        <w:t>D</w:t>
      </w:r>
      <w:r>
        <w:rPr>
          <w:spacing w:val="-1"/>
        </w:rPr>
        <w:t> </w:t>
      </w:r>
      <w:r>
        <w:rPr/>
        <w:t>e</w:t>
      </w:r>
      <w:r>
        <w:rPr>
          <w:spacing w:val="-1"/>
        </w:rPr>
        <w:t> </w:t>
      </w:r>
      <w:r>
        <w:rPr/>
        <w:t>feocromocitomas hereditários com genes ainda não identificados. Em geral, feocromocitomas determinados geneticamente acometem pacientes mais jovens que nos tipos esporádicos.</w:t>
      </w:r>
      <w:r>
        <w:rPr>
          <w:vertAlign w:val="superscript"/>
        </w:rPr>
        <w:t>27</w:t>
      </w:r>
    </w:p>
    <w:p>
      <w:pPr>
        <w:pStyle w:val="BodyText"/>
        <w:spacing w:line="276" w:lineRule="auto" w:before="47"/>
        <w:ind w:right="500"/>
      </w:pPr>
      <w:r>
        <w:rPr/>
        <w:t>Dentre</w:t>
      </w:r>
      <w:r>
        <w:rPr>
          <w:spacing w:val="-10"/>
        </w:rPr>
        <w:t> </w:t>
      </w:r>
      <w:r>
        <w:rPr/>
        <w:t>os</w:t>
      </w:r>
      <w:r>
        <w:rPr>
          <w:spacing w:val="-1"/>
        </w:rPr>
        <w:t> </w:t>
      </w:r>
      <w:r>
        <w:rPr/>
        <w:t>genes</w:t>
      </w:r>
      <w:r>
        <w:rPr>
          <w:spacing w:val="-1"/>
        </w:rPr>
        <w:t> </w:t>
      </w:r>
      <w:r>
        <w:rPr/>
        <w:t>que</w:t>
      </w:r>
      <w:r>
        <w:rPr>
          <w:spacing w:val="-10"/>
        </w:rPr>
        <w:t> </w:t>
      </w:r>
      <w:r>
        <w:rPr/>
        <w:t>têm</w:t>
      </w:r>
      <w:r>
        <w:rPr>
          <w:spacing w:val="-8"/>
        </w:rPr>
        <w:t> </w:t>
      </w:r>
      <w:r>
        <w:rPr/>
        <w:t>sido</w:t>
      </w:r>
      <w:r>
        <w:rPr>
          <w:spacing w:val="-8"/>
        </w:rPr>
        <w:t> </w:t>
      </w:r>
      <w:r>
        <w:rPr/>
        <w:t>implicados</w:t>
      </w:r>
      <w:r>
        <w:rPr>
          <w:spacing w:val="-1"/>
        </w:rPr>
        <w:t> </w:t>
      </w:r>
      <w:r>
        <w:rPr/>
        <w:t>na</w:t>
      </w:r>
      <w:r>
        <w:rPr>
          <w:spacing w:val="-10"/>
        </w:rPr>
        <w:t> </w:t>
      </w:r>
      <w:r>
        <w:rPr/>
        <w:t>iniciação</w:t>
      </w:r>
      <w:r>
        <w:rPr>
          <w:spacing w:val="-8"/>
        </w:rPr>
        <w:t> </w:t>
      </w:r>
      <w:r>
        <w:rPr/>
        <w:t>e</w:t>
      </w:r>
      <w:r>
        <w:rPr>
          <w:spacing w:val="-10"/>
        </w:rPr>
        <w:t> </w:t>
      </w:r>
      <w:r>
        <w:rPr/>
        <w:t>na</w:t>
      </w:r>
      <w:r>
        <w:rPr>
          <w:spacing w:val="-10"/>
        </w:rPr>
        <w:t> </w:t>
      </w:r>
      <w:r>
        <w:rPr/>
        <w:t>progressão</w:t>
      </w:r>
      <w:r>
        <w:rPr>
          <w:spacing w:val="-8"/>
        </w:rPr>
        <w:t> </w:t>
      </w:r>
      <w:r>
        <w:rPr/>
        <w:t>dos</w:t>
      </w:r>
      <w:r>
        <w:rPr>
          <w:spacing w:val="-1"/>
        </w:rPr>
        <w:t> </w:t>
      </w:r>
      <w:r>
        <w:rPr/>
        <w:t>feocromocitomas</w:t>
      </w:r>
      <w:r>
        <w:rPr>
          <w:spacing w:val="-1"/>
        </w:rPr>
        <w:t> </w:t>
      </w:r>
      <w:r>
        <w:rPr/>
        <w:t>estão</w:t>
      </w:r>
      <w:r>
        <w:rPr>
          <w:spacing w:val="-8"/>
        </w:rPr>
        <w:t> </w:t>
      </w:r>
      <w:r>
        <w:rPr/>
        <w:t>os</w:t>
      </w:r>
      <w:r>
        <w:rPr>
          <w:spacing w:val="-1"/>
        </w:rPr>
        <w:t> </w:t>
      </w:r>
      <w:r>
        <w:rPr/>
        <w:t>oncogenes, genes supressores tumorais, genes do complexo mitocondrial II e SDHD.</w:t>
      </w:r>
    </w:p>
    <w:p>
      <w:pPr>
        <w:pStyle w:val="BodyText"/>
        <w:spacing w:line="276" w:lineRule="auto" w:before="64"/>
        <w:ind w:right="491"/>
      </w:pPr>
      <w:r>
        <w:rPr/>
        <w:t>As manifestações clínicas do feocromocitoma</w:t>
      </w:r>
      <w:r>
        <w:rPr>
          <w:spacing w:val="-3"/>
        </w:rPr>
        <w:t> </w:t>
      </w:r>
      <w:r>
        <w:rPr/>
        <w:t>são variadas, sendo a</w:t>
      </w:r>
      <w:r>
        <w:rPr>
          <w:spacing w:val="-3"/>
        </w:rPr>
        <w:t> </w:t>
      </w:r>
      <w:r>
        <w:rPr/>
        <w:t>HAS a</w:t>
      </w:r>
      <w:r>
        <w:rPr>
          <w:spacing w:val="-3"/>
        </w:rPr>
        <w:t> </w:t>
      </w:r>
      <w:r>
        <w:rPr/>
        <w:t>mais comum, principalmente</w:t>
      </w:r>
      <w:r>
        <w:rPr>
          <w:spacing w:val="-3"/>
        </w:rPr>
        <w:t> </w:t>
      </w:r>
      <w:r>
        <w:rPr/>
        <w:t>como os clássicos paroxismos hipertensivos. Além disso, podem aparecer sintomas como cefaleia, sudorese, palidez, palpitações, ansiedade, náuseas e</w:t>
      </w:r>
      <w:r>
        <w:rPr>
          <w:spacing w:val="-8"/>
        </w:rPr>
        <w:t> </w:t>
      </w:r>
      <w:r>
        <w:rPr/>
        <w:t>vômitos. A</w:t>
      </w:r>
      <w:r>
        <w:rPr>
          <w:spacing w:val="-8"/>
        </w:rPr>
        <w:t> </w:t>
      </w:r>
      <w:r>
        <w:rPr/>
        <w:t>tríade</w:t>
      </w:r>
      <w:r>
        <w:rPr>
          <w:spacing w:val="-8"/>
        </w:rPr>
        <w:t> </w:t>
      </w:r>
      <w:r>
        <w:rPr/>
        <w:t>composta</w:t>
      </w:r>
      <w:r>
        <w:rPr>
          <w:spacing w:val="-8"/>
        </w:rPr>
        <w:t> </w:t>
      </w:r>
      <w:r>
        <w:rPr/>
        <w:t>por cefaleia, sudorese</w:t>
      </w:r>
      <w:r>
        <w:rPr>
          <w:spacing w:val="-8"/>
        </w:rPr>
        <w:t> </w:t>
      </w:r>
      <w:r>
        <w:rPr/>
        <w:t>profusa</w:t>
      </w:r>
      <w:r>
        <w:rPr>
          <w:spacing w:val="-8"/>
        </w:rPr>
        <w:t> </w:t>
      </w:r>
      <w:r>
        <w:rPr/>
        <w:t>e</w:t>
      </w:r>
      <w:r>
        <w:rPr>
          <w:spacing w:val="-8"/>
        </w:rPr>
        <w:t> </w:t>
      </w:r>
      <w:r>
        <w:rPr/>
        <w:t>palpitações apresenta sensibilidade de 67% no diagnóstico de feocromocitoma.</w:t>
      </w:r>
    </w:p>
    <w:p>
      <w:pPr>
        <w:pStyle w:val="BodyText"/>
        <w:spacing w:line="278" w:lineRule="auto" w:before="49"/>
        <w:ind w:right="497"/>
      </w:pPr>
      <w:r>
        <w:rPr/>
        <w:t>No</w:t>
      </w:r>
      <w:r>
        <w:rPr>
          <w:spacing w:val="-11"/>
        </w:rPr>
        <w:t> </w:t>
      </w:r>
      <w:r>
        <w:rPr/>
        <w:t>diagnóstico,</w:t>
      </w:r>
      <w:r>
        <w:rPr>
          <w:spacing w:val="-4"/>
        </w:rPr>
        <w:t> </w:t>
      </w:r>
      <w:r>
        <w:rPr/>
        <w:t>a</w:t>
      </w:r>
      <w:r>
        <w:rPr>
          <w:spacing w:val="-14"/>
        </w:rPr>
        <w:t> </w:t>
      </w:r>
      <w:r>
        <w:rPr/>
        <w:t>pesquisa</w:t>
      </w:r>
      <w:r>
        <w:rPr>
          <w:spacing w:val="-14"/>
        </w:rPr>
        <w:t> </w:t>
      </w:r>
      <w:r>
        <w:rPr/>
        <w:t>por</w:t>
      </w:r>
      <w:r>
        <w:rPr>
          <w:spacing w:val="-7"/>
        </w:rPr>
        <w:t> </w:t>
      </w:r>
      <w:r>
        <w:rPr/>
        <w:t>feocromocitoma</w:t>
      </w:r>
      <w:r>
        <w:rPr>
          <w:spacing w:val="-14"/>
        </w:rPr>
        <w:t> </w:t>
      </w:r>
      <w:r>
        <w:rPr/>
        <w:t>deve</w:t>
      </w:r>
      <w:r>
        <w:rPr>
          <w:spacing w:val="-14"/>
        </w:rPr>
        <w:t> </w:t>
      </w:r>
      <w:r>
        <w:rPr/>
        <w:t>ser</w:t>
      </w:r>
      <w:r>
        <w:rPr>
          <w:spacing w:val="-7"/>
        </w:rPr>
        <w:t> </w:t>
      </w:r>
      <w:r>
        <w:rPr/>
        <w:t>iniciada</w:t>
      </w:r>
      <w:r>
        <w:rPr>
          <w:spacing w:val="-14"/>
        </w:rPr>
        <w:t> </w:t>
      </w:r>
      <w:r>
        <w:rPr/>
        <w:t>pelas</w:t>
      </w:r>
      <w:r>
        <w:rPr>
          <w:spacing w:val="-4"/>
        </w:rPr>
        <w:t> </w:t>
      </w:r>
      <w:r>
        <w:rPr/>
        <w:t>dosagens</w:t>
      </w:r>
      <w:r>
        <w:rPr>
          <w:spacing w:val="-4"/>
        </w:rPr>
        <w:t> </w:t>
      </w:r>
      <w:r>
        <w:rPr/>
        <w:t>basais</w:t>
      </w:r>
      <w:r>
        <w:rPr>
          <w:spacing w:val="-4"/>
        </w:rPr>
        <w:t> </w:t>
      </w:r>
      <w:r>
        <w:rPr/>
        <w:t>de</w:t>
      </w:r>
      <w:r>
        <w:rPr>
          <w:spacing w:val="-14"/>
        </w:rPr>
        <w:t> </w:t>
      </w:r>
      <w:r>
        <w:rPr/>
        <w:t>catecolaminas</w:t>
      </w:r>
      <w:r>
        <w:rPr>
          <w:spacing w:val="-4"/>
        </w:rPr>
        <w:t> </w:t>
      </w:r>
      <w:r>
        <w:rPr/>
        <w:t>séricas e de seus metabólitos na urina (metanefrinas e ácido vanilmandélico) e no sangue.</w:t>
      </w:r>
      <w:r>
        <w:rPr>
          <w:vertAlign w:val="superscript"/>
        </w:rPr>
        <w:t>26</w:t>
      </w:r>
      <w:r>
        <w:rPr>
          <w:vertAlign w:val="baseline"/>
        </w:rPr>
        <w:t> Para a detecção do tumor, podem ser utilizadas a tomografia computadorizada, a ressonância nuclear magnética e a cintigrafia com metaiodobenzilguanidina, sendo</w:t>
      </w:r>
      <w:r>
        <w:rPr>
          <w:spacing w:val="-5"/>
          <w:vertAlign w:val="baseline"/>
        </w:rPr>
        <w:t> </w:t>
      </w:r>
      <w:r>
        <w:rPr>
          <w:vertAlign w:val="baseline"/>
        </w:rPr>
        <w:t>a</w:t>
      </w:r>
      <w:r>
        <w:rPr>
          <w:spacing w:val="-7"/>
          <w:vertAlign w:val="baseline"/>
        </w:rPr>
        <w:t> </w:t>
      </w:r>
      <w:r>
        <w:rPr>
          <w:vertAlign w:val="baseline"/>
        </w:rPr>
        <w:t>ressonância</w:t>
      </w:r>
      <w:r>
        <w:rPr>
          <w:spacing w:val="-7"/>
          <w:vertAlign w:val="baseline"/>
        </w:rPr>
        <w:t> </w:t>
      </w:r>
      <w:r>
        <w:rPr>
          <w:vertAlign w:val="baseline"/>
        </w:rPr>
        <w:t>nuclear</w:t>
      </w:r>
      <w:r>
        <w:rPr>
          <w:spacing w:val="-1"/>
          <w:vertAlign w:val="baseline"/>
        </w:rPr>
        <w:t> </w:t>
      </w:r>
      <w:r>
        <w:rPr>
          <w:vertAlign w:val="baseline"/>
        </w:rPr>
        <w:t>magnética</w:t>
      </w:r>
      <w:r>
        <w:rPr>
          <w:spacing w:val="-7"/>
          <w:vertAlign w:val="baseline"/>
        </w:rPr>
        <w:t> </w:t>
      </w:r>
      <w:r>
        <w:rPr>
          <w:vertAlign w:val="baseline"/>
        </w:rPr>
        <w:t>o</w:t>
      </w:r>
      <w:r>
        <w:rPr>
          <w:spacing w:val="-5"/>
          <w:vertAlign w:val="baseline"/>
        </w:rPr>
        <w:t> </w:t>
      </w:r>
      <w:r>
        <w:rPr>
          <w:vertAlign w:val="baseline"/>
        </w:rPr>
        <w:t>método</w:t>
      </w:r>
      <w:r>
        <w:rPr>
          <w:spacing w:val="-5"/>
          <w:vertAlign w:val="baseline"/>
        </w:rPr>
        <w:t> </w:t>
      </w:r>
      <w:r>
        <w:rPr>
          <w:vertAlign w:val="baseline"/>
        </w:rPr>
        <w:t>com</w:t>
      </w:r>
      <w:r>
        <w:rPr>
          <w:spacing w:val="-5"/>
          <w:vertAlign w:val="baseline"/>
        </w:rPr>
        <w:t> </w:t>
      </w:r>
      <w:r>
        <w:rPr>
          <w:vertAlign w:val="baseline"/>
        </w:rPr>
        <w:t>maior</w:t>
      </w:r>
      <w:r>
        <w:rPr>
          <w:spacing w:val="-1"/>
          <w:vertAlign w:val="baseline"/>
        </w:rPr>
        <w:t> </w:t>
      </w:r>
      <w:r>
        <w:rPr>
          <w:vertAlign w:val="baseline"/>
        </w:rPr>
        <w:t>sensibilidade</w:t>
      </w:r>
      <w:r>
        <w:rPr>
          <w:spacing w:val="-7"/>
          <w:vertAlign w:val="baseline"/>
        </w:rPr>
        <w:t> </w:t>
      </w:r>
      <w:r>
        <w:rPr>
          <w:vertAlign w:val="baseline"/>
        </w:rPr>
        <w:t>para</w:t>
      </w:r>
      <w:r>
        <w:rPr>
          <w:spacing w:val="-7"/>
          <w:vertAlign w:val="baseline"/>
        </w:rPr>
        <w:t> </w:t>
      </w:r>
      <w:r>
        <w:rPr>
          <w:vertAlign w:val="baseline"/>
        </w:rPr>
        <w:t>detectar</w:t>
      </w:r>
      <w:r>
        <w:rPr>
          <w:spacing w:val="-1"/>
          <w:vertAlign w:val="baseline"/>
        </w:rPr>
        <w:t> </w:t>
      </w:r>
      <w:r>
        <w:rPr>
          <w:vertAlign w:val="baseline"/>
        </w:rPr>
        <w:t>o tumor. O tratamento cirúrgico é a conduta terapêutica definitiva, sendo o preparo clínico prévio de fundamental importância</w:t>
      </w:r>
      <w:r>
        <w:rPr>
          <w:spacing w:val="-10"/>
          <w:vertAlign w:val="baseline"/>
        </w:rPr>
        <w:t> </w:t>
      </w:r>
      <w:r>
        <w:rPr>
          <w:vertAlign w:val="baseline"/>
        </w:rPr>
        <w:t>para</w:t>
      </w:r>
      <w:r>
        <w:rPr>
          <w:spacing w:val="-10"/>
          <w:vertAlign w:val="baseline"/>
        </w:rPr>
        <w:t> </w:t>
      </w:r>
      <w:r>
        <w:rPr>
          <w:vertAlign w:val="baseline"/>
        </w:rPr>
        <w:t>o</w:t>
      </w:r>
      <w:r>
        <w:rPr>
          <w:spacing w:val="-8"/>
          <w:vertAlign w:val="baseline"/>
        </w:rPr>
        <w:t> </w:t>
      </w:r>
      <w:r>
        <w:rPr>
          <w:vertAlign w:val="baseline"/>
        </w:rPr>
        <w:t>sucesso</w:t>
      </w:r>
      <w:r>
        <w:rPr>
          <w:spacing w:val="-8"/>
          <w:vertAlign w:val="baseline"/>
        </w:rPr>
        <w:t> </w:t>
      </w:r>
      <w:r>
        <w:rPr>
          <w:vertAlign w:val="baseline"/>
        </w:rPr>
        <w:t>da</w:t>
      </w:r>
      <w:r>
        <w:rPr>
          <w:spacing w:val="-10"/>
          <w:vertAlign w:val="baseline"/>
        </w:rPr>
        <w:t> </w:t>
      </w:r>
      <w:r>
        <w:rPr>
          <w:vertAlign w:val="baseline"/>
        </w:rPr>
        <w:t>cirurgia. Deve-se</w:t>
      </w:r>
      <w:r>
        <w:rPr>
          <w:spacing w:val="-10"/>
          <w:vertAlign w:val="baseline"/>
        </w:rPr>
        <w:t> </w:t>
      </w:r>
      <w:r>
        <w:rPr>
          <w:vertAlign w:val="baseline"/>
        </w:rPr>
        <w:t>proceder</w:t>
      </w:r>
      <w:r>
        <w:rPr>
          <w:spacing w:val="-2"/>
          <w:vertAlign w:val="baseline"/>
        </w:rPr>
        <w:t> </w:t>
      </w:r>
      <w:r>
        <w:rPr>
          <w:vertAlign w:val="baseline"/>
        </w:rPr>
        <w:t>ao</w:t>
      </w:r>
      <w:r>
        <w:rPr>
          <w:spacing w:val="-8"/>
          <w:vertAlign w:val="baseline"/>
        </w:rPr>
        <w:t> </w:t>
      </w:r>
      <w:r>
        <w:rPr>
          <w:vertAlign w:val="baseline"/>
        </w:rPr>
        <w:t>uso</w:t>
      </w:r>
      <w:r>
        <w:rPr>
          <w:spacing w:val="-8"/>
          <w:vertAlign w:val="baseline"/>
        </w:rPr>
        <w:t> </w:t>
      </w:r>
      <w:r>
        <w:rPr>
          <w:vertAlign w:val="baseline"/>
        </w:rPr>
        <w:t>de</w:t>
      </w:r>
      <w:r>
        <w:rPr>
          <w:spacing w:val="-10"/>
          <w:vertAlign w:val="baseline"/>
        </w:rPr>
        <w:t> </w:t>
      </w:r>
      <w:r>
        <w:rPr>
          <w:vertAlign w:val="baseline"/>
        </w:rPr>
        <w:t>bloqueadores alfa</w:t>
      </w:r>
      <w:r>
        <w:rPr>
          <w:vertAlign w:val="subscript"/>
        </w:rPr>
        <w:t>1</w:t>
      </w:r>
      <w:r>
        <w:rPr>
          <w:vertAlign w:val="baseline"/>
        </w:rPr>
        <w:t>-adrenérgicos</w:t>
      </w:r>
      <w:r>
        <w:rPr>
          <w:spacing w:val="-1"/>
          <w:vertAlign w:val="baseline"/>
        </w:rPr>
        <w:t> </w:t>
      </w:r>
      <w:r>
        <w:rPr>
          <w:vertAlign w:val="baseline"/>
        </w:rPr>
        <w:t>pelo</w:t>
      </w:r>
      <w:r>
        <w:rPr>
          <w:spacing w:val="-9"/>
          <w:vertAlign w:val="baseline"/>
        </w:rPr>
        <w:t> </w:t>
      </w:r>
      <w:r>
        <w:rPr>
          <w:vertAlign w:val="baseline"/>
        </w:rPr>
        <w:t>menos</w:t>
      </w:r>
      <w:r>
        <w:rPr>
          <w:spacing w:val="-1"/>
          <w:vertAlign w:val="baseline"/>
        </w:rPr>
        <w:t> </w:t>
      </w:r>
      <w:r>
        <w:rPr>
          <w:vertAlign w:val="baseline"/>
        </w:rPr>
        <w:t>por 2 semanas antes do procedimento cirúrgico, para promover uma redução na vasoconstrição sistêmica e dos riscos de</w:t>
      </w:r>
      <w:r>
        <w:rPr>
          <w:spacing w:val="-6"/>
          <w:vertAlign w:val="baseline"/>
        </w:rPr>
        <w:t> </w:t>
      </w:r>
      <w:r>
        <w:rPr>
          <w:vertAlign w:val="baseline"/>
        </w:rPr>
        <w:t>hipotensão</w:t>
      </w:r>
      <w:r>
        <w:rPr>
          <w:spacing w:val="-3"/>
          <w:vertAlign w:val="baseline"/>
        </w:rPr>
        <w:t> </w:t>
      </w:r>
      <w:r>
        <w:rPr>
          <w:vertAlign w:val="baseline"/>
        </w:rPr>
        <w:t>após a</w:t>
      </w:r>
      <w:r>
        <w:rPr>
          <w:spacing w:val="-6"/>
          <w:vertAlign w:val="baseline"/>
        </w:rPr>
        <w:t> </w:t>
      </w:r>
      <w:r>
        <w:rPr>
          <w:vertAlign w:val="baseline"/>
        </w:rPr>
        <w:t>remoção</w:t>
      </w:r>
      <w:r>
        <w:rPr>
          <w:spacing w:val="-3"/>
          <w:vertAlign w:val="baseline"/>
        </w:rPr>
        <w:t> </w:t>
      </w:r>
      <w:r>
        <w:rPr>
          <w:vertAlign w:val="baseline"/>
        </w:rPr>
        <w:t>da</w:t>
      </w:r>
      <w:r>
        <w:rPr>
          <w:spacing w:val="-6"/>
          <w:vertAlign w:val="baseline"/>
        </w:rPr>
        <w:t> </w:t>
      </w:r>
      <w:r>
        <w:rPr>
          <w:vertAlign w:val="baseline"/>
        </w:rPr>
        <w:t>neoplasia. Os paroxismos hipertensivos podem</w:t>
      </w:r>
      <w:r>
        <w:rPr>
          <w:spacing w:val="-3"/>
          <w:vertAlign w:val="baseline"/>
        </w:rPr>
        <w:t> </w:t>
      </w:r>
      <w:r>
        <w:rPr>
          <w:vertAlign w:val="baseline"/>
        </w:rPr>
        <w:t>ser tratados com</w:t>
      </w:r>
      <w:r>
        <w:rPr>
          <w:spacing w:val="-3"/>
          <w:vertAlign w:val="baseline"/>
        </w:rPr>
        <w:t> </w:t>
      </w:r>
      <w:r>
        <w:rPr>
          <w:vertAlign w:val="baseline"/>
        </w:rPr>
        <w:t>nitroprussiato</w:t>
      </w:r>
      <w:r>
        <w:rPr>
          <w:spacing w:val="-3"/>
          <w:vertAlign w:val="baseline"/>
        </w:rPr>
        <w:t> </w:t>
      </w:r>
      <w:r>
        <w:rPr>
          <w:vertAlign w:val="baseline"/>
        </w:rPr>
        <w:t>de sódio intravenoso, na dose de 0,5 a 10 mg/kg/min. O uso de betabloqueadores só deve ser iniciado após o alfabloqueio. Nos feocromocitomas malignos com metástases irressecáveis, impõem-se medidas como controle pressórico, quimioterapia, embolização de tumores, radioterapia e analgesia.</w:t>
      </w:r>
    </w:p>
    <w:p>
      <w:pPr>
        <w:pStyle w:val="BodyText"/>
        <w:spacing w:before="28"/>
        <w:ind w:left="0" w:firstLine="0"/>
        <w:jc w:val="left"/>
      </w:pPr>
    </w:p>
    <w:p>
      <w:pPr>
        <w:pStyle w:val="Heading7"/>
        <w:spacing w:before="1"/>
        <w:jc w:val="both"/>
      </w:pPr>
      <w:r>
        <w:rPr>
          <w:color w:val="242B67"/>
        </w:rPr>
        <w:t>Coarctação da </w:t>
      </w:r>
      <w:r>
        <w:rPr>
          <w:color w:val="242B67"/>
          <w:spacing w:val="-2"/>
        </w:rPr>
        <w:t>aorta</w:t>
      </w:r>
    </w:p>
    <w:p>
      <w:pPr>
        <w:pStyle w:val="BodyText"/>
        <w:spacing w:line="280" w:lineRule="auto" w:before="126"/>
        <w:ind w:right="488"/>
      </w:pPr>
      <w:r>
        <w:rPr/>
        <w:t>A coarctação da aorta é caracterizada pelo estreitamento de seu lúmen em qualquer segmento. Porém, na hipertensão resultante da coarctação da aorta, na maioria das vezes ocorre o estreitamento desta após a origem da artéria</w:t>
      </w:r>
      <w:r>
        <w:rPr>
          <w:spacing w:val="-5"/>
        </w:rPr>
        <w:t> </w:t>
      </w:r>
      <w:r>
        <w:rPr/>
        <w:t>subclávia</w:t>
      </w:r>
      <w:r>
        <w:rPr>
          <w:spacing w:val="-5"/>
        </w:rPr>
        <w:t> </w:t>
      </w:r>
      <w:r>
        <w:rPr/>
        <w:t>esquerda, abaixo</w:t>
      </w:r>
      <w:r>
        <w:rPr>
          <w:spacing w:val="-2"/>
        </w:rPr>
        <w:t> </w:t>
      </w:r>
      <w:r>
        <w:rPr/>
        <w:t>da</w:t>
      </w:r>
      <w:r>
        <w:rPr>
          <w:spacing w:val="-5"/>
        </w:rPr>
        <w:t> </w:t>
      </w:r>
      <w:r>
        <w:rPr/>
        <w:t>inserção</w:t>
      </w:r>
      <w:r>
        <w:rPr>
          <w:spacing w:val="-2"/>
        </w:rPr>
        <w:t> </w:t>
      </w:r>
      <w:r>
        <w:rPr/>
        <w:t>do</w:t>
      </w:r>
      <w:r>
        <w:rPr>
          <w:spacing w:val="-2"/>
        </w:rPr>
        <w:t> </w:t>
      </w:r>
      <w:r>
        <w:rPr/>
        <w:t>ligamento</w:t>
      </w:r>
      <w:r>
        <w:rPr>
          <w:spacing w:val="-2"/>
        </w:rPr>
        <w:t> </w:t>
      </w:r>
      <w:r>
        <w:rPr/>
        <w:t>arterioso. A</w:t>
      </w:r>
      <w:r>
        <w:rPr>
          <w:spacing w:val="-5"/>
        </w:rPr>
        <w:t> </w:t>
      </w:r>
      <w:r>
        <w:rPr/>
        <w:t>hipertensão</w:t>
      </w:r>
      <w:r>
        <w:rPr>
          <w:spacing w:val="-2"/>
        </w:rPr>
        <w:t> </w:t>
      </w:r>
      <w:r>
        <w:rPr/>
        <w:t>do</w:t>
      </w:r>
      <w:r>
        <w:rPr>
          <w:spacing w:val="-2"/>
        </w:rPr>
        <w:t> </w:t>
      </w:r>
      <w:r>
        <w:rPr/>
        <w:t>paciente</w:t>
      </w:r>
      <w:r>
        <w:rPr>
          <w:spacing w:val="-5"/>
        </w:rPr>
        <w:t> </w:t>
      </w:r>
      <w:r>
        <w:rPr/>
        <w:t>com</w:t>
      </w:r>
      <w:r>
        <w:rPr>
          <w:spacing w:val="-2"/>
        </w:rPr>
        <w:t> </w:t>
      </w:r>
      <w:r>
        <w:rPr/>
        <w:t>coarctação</w:t>
      </w:r>
      <w:r>
        <w:rPr>
          <w:spacing w:val="-2"/>
        </w:rPr>
        <w:t> </w:t>
      </w:r>
      <w:r>
        <w:rPr/>
        <w:t>da aorta ocorre na extremidade superior, e o pulso femoral pode estar diminuído ou reduzido.</w:t>
      </w:r>
      <w:r>
        <w:rPr>
          <w:vertAlign w:val="superscript"/>
        </w:rPr>
        <w:t>28</w:t>
      </w:r>
      <w:r>
        <w:rPr>
          <w:vertAlign w:val="baseline"/>
        </w:rPr>
        <w:t> A coarctação da aorta detectada na infância está frequentemente associada a alterações cardíacas graves. A mortalidade é alta em recém-nascidos com coarctação da aorta, porém as técnicas cirúrgicas e de dilatação com balão têm melhorado com a consequente diminuição da mortalidade. Os pacientes que nascem com coarctação menos grave evoluem bem, porém</w:t>
      </w:r>
      <w:r>
        <w:rPr>
          <w:spacing w:val="-3"/>
          <w:vertAlign w:val="baseline"/>
        </w:rPr>
        <w:t> </w:t>
      </w:r>
      <w:r>
        <w:rPr>
          <w:vertAlign w:val="baseline"/>
        </w:rPr>
        <w:t>desenvolvem</w:t>
      </w:r>
      <w:r>
        <w:rPr>
          <w:spacing w:val="-3"/>
          <w:vertAlign w:val="baseline"/>
        </w:rPr>
        <w:t> </w:t>
      </w:r>
      <w:r>
        <w:rPr>
          <w:vertAlign w:val="baseline"/>
        </w:rPr>
        <w:t>doença</w:t>
      </w:r>
      <w:r>
        <w:rPr>
          <w:spacing w:val="-6"/>
          <w:vertAlign w:val="baseline"/>
        </w:rPr>
        <w:t> </w:t>
      </w:r>
      <w:r>
        <w:rPr>
          <w:vertAlign w:val="baseline"/>
        </w:rPr>
        <w:t>cardiovascular no</w:t>
      </w:r>
      <w:r>
        <w:rPr>
          <w:spacing w:val="-3"/>
          <w:vertAlign w:val="baseline"/>
        </w:rPr>
        <w:t> </w:t>
      </w:r>
      <w:r>
        <w:rPr>
          <w:vertAlign w:val="baseline"/>
        </w:rPr>
        <w:t>decorrer da</w:t>
      </w:r>
      <w:r>
        <w:rPr>
          <w:spacing w:val="-6"/>
          <w:vertAlign w:val="baseline"/>
        </w:rPr>
        <w:t> </w:t>
      </w:r>
      <w:r>
        <w:rPr>
          <w:vertAlign w:val="baseline"/>
        </w:rPr>
        <w:t>vida, principalmente</w:t>
      </w:r>
      <w:r>
        <w:rPr>
          <w:spacing w:val="-6"/>
          <w:vertAlign w:val="baseline"/>
        </w:rPr>
        <w:t> </w:t>
      </w:r>
      <w:r>
        <w:rPr>
          <w:vertAlign w:val="baseline"/>
        </w:rPr>
        <w:t>na</w:t>
      </w:r>
      <w:r>
        <w:rPr>
          <w:spacing w:val="-6"/>
          <w:vertAlign w:val="baseline"/>
        </w:rPr>
        <w:t> </w:t>
      </w:r>
      <w:r>
        <w:rPr>
          <w:vertAlign w:val="baseline"/>
        </w:rPr>
        <w:t>terceira</w:t>
      </w:r>
      <w:r>
        <w:rPr>
          <w:spacing w:val="-6"/>
          <w:vertAlign w:val="baseline"/>
        </w:rPr>
        <w:t> </w:t>
      </w:r>
      <w:r>
        <w:rPr>
          <w:vertAlign w:val="baseline"/>
        </w:rPr>
        <w:t>década.</w:t>
      </w:r>
      <w:r>
        <w:rPr>
          <w:vertAlign w:val="superscript"/>
        </w:rPr>
        <w:t>28</w:t>
      </w:r>
    </w:p>
    <w:p>
      <w:pPr>
        <w:pStyle w:val="BodyText"/>
        <w:spacing w:line="278" w:lineRule="auto" w:before="55"/>
        <w:ind w:right="497"/>
      </w:pPr>
      <w:r>
        <w:rPr/>
        <w:t>A hipertensão na coarctação resulta de obstrução ao fluxo sanguíneo e de ativação de mecanismos vasoconstritores que resultam em aumento da resistência sistêmica após a estenose. Os sintomas e sinais mais frequentes são:</w:t>
      </w:r>
      <w:r>
        <w:rPr>
          <w:spacing w:val="-2"/>
        </w:rPr>
        <w:t> </w:t>
      </w:r>
      <w:r>
        <w:rPr/>
        <w:t>cefaleia, sensação</w:t>
      </w:r>
      <w:r>
        <w:rPr>
          <w:spacing w:val="-5"/>
        </w:rPr>
        <w:t> </w:t>
      </w:r>
      <w:r>
        <w:rPr/>
        <w:t>de</w:t>
      </w:r>
      <w:r>
        <w:rPr>
          <w:spacing w:val="-7"/>
        </w:rPr>
        <w:t> </w:t>
      </w:r>
      <w:r>
        <w:rPr/>
        <w:t>frio</w:t>
      </w:r>
      <w:r>
        <w:rPr>
          <w:spacing w:val="-5"/>
        </w:rPr>
        <w:t> </w:t>
      </w:r>
      <w:r>
        <w:rPr/>
        <w:t>nos pés, dor nos membros inferiores durante</w:t>
      </w:r>
      <w:r>
        <w:rPr>
          <w:spacing w:val="-7"/>
        </w:rPr>
        <w:t> </w:t>
      </w:r>
      <w:r>
        <w:rPr/>
        <w:t>atividade</w:t>
      </w:r>
      <w:r>
        <w:rPr>
          <w:spacing w:val="-7"/>
        </w:rPr>
        <w:t> </w:t>
      </w:r>
      <w:r>
        <w:rPr/>
        <w:t>física, hipertensão, impulso apical hiperdinâmico, sopros na face anterior ou posterior do tórax, pulsação no pescoço e pulso femoral fraco. O diagnóstico da coarctação da aorta embasa-se fundamentalmente na clínica. A pressão alta nos membros superiores e pulsos femorais diminuídos em um indivíduo jovem sugerem fortemente o diagnóstico. A hipertrofia ventricular</w:t>
      </w:r>
      <w:r>
        <w:rPr>
          <w:spacing w:val="-5"/>
        </w:rPr>
        <w:t> </w:t>
      </w:r>
      <w:r>
        <w:rPr/>
        <w:t>é</w:t>
      </w:r>
      <w:r>
        <w:rPr>
          <w:spacing w:val="-12"/>
        </w:rPr>
        <w:t> </w:t>
      </w:r>
      <w:r>
        <w:rPr/>
        <w:t>geralmente</w:t>
      </w:r>
      <w:r>
        <w:rPr>
          <w:spacing w:val="-12"/>
        </w:rPr>
        <w:t> </w:t>
      </w:r>
      <w:r>
        <w:rPr/>
        <w:t>detectada</w:t>
      </w:r>
      <w:r>
        <w:rPr>
          <w:spacing w:val="-12"/>
        </w:rPr>
        <w:t> </w:t>
      </w:r>
      <w:r>
        <w:rPr/>
        <w:t>no</w:t>
      </w:r>
      <w:r>
        <w:rPr>
          <w:spacing w:val="-9"/>
        </w:rPr>
        <w:t> </w:t>
      </w:r>
      <w:r>
        <w:rPr/>
        <w:t>eletrocardiograma,</w:t>
      </w:r>
      <w:r>
        <w:rPr>
          <w:spacing w:val="-2"/>
        </w:rPr>
        <w:t> </w:t>
      </w:r>
      <w:r>
        <w:rPr/>
        <w:t>e</w:t>
      </w:r>
      <w:r>
        <w:rPr>
          <w:spacing w:val="-12"/>
        </w:rPr>
        <w:t> </w:t>
      </w:r>
      <w:r>
        <w:rPr/>
        <w:t>a</w:t>
      </w:r>
      <w:r>
        <w:rPr>
          <w:spacing w:val="-12"/>
        </w:rPr>
        <w:t> </w:t>
      </w:r>
      <w:r>
        <w:rPr/>
        <w:t>existência</w:t>
      </w:r>
      <w:r>
        <w:rPr>
          <w:spacing w:val="-12"/>
        </w:rPr>
        <w:t> </w:t>
      </w:r>
      <w:r>
        <w:rPr/>
        <w:t>do</w:t>
      </w:r>
      <w:r>
        <w:rPr>
          <w:spacing w:val="-9"/>
        </w:rPr>
        <w:t> </w:t>
      </w:r>
      <w:r>
        <w:rPr/>
        <w:t>sinal</w:t>
      </w:r>
      <w:r>
        <w:rPr>
          <w:spacing w:val="-7"/>
        </w:rPr>
        <w:t> </w:t>
      </w:r>
      <w:r>
        <w:rPr/>
        <w:t>do</w:t>
      </w:r>
      <w:r>
        <w:rPr>
          <w:spacing w:val="-9"/>
        </w:rPr>
        <w:t> </w:t>
      </w:r>
      <w:r>
        <w:rPr/>
        <w:t>3,</w:t>
      </w:r>
      <w:r>
        <w:rPr>
          <w:spacing w:val="-2"/>
        </w:rPr>
        <w:t> </w:t>
      </w:r>
      <w:r>
        <w:rPr/>
        <w:t>em</w:t>
      </w:r>
      <w:r>
        <w:rPr>
          <w:spacing w:val="-9"/>
        </w:rPr>
        <w:t> </w:t>
      </w:r>
      <w:r>
        <w:rPr/>
        <w:t>decorrência</w:t>
      </w:r>
      <w:r>
        <w:rPr>
          <w:spacing w:val="-12"/>
        </w:rPr>
        <w:t> </w:t>
      </w:r>
      <w:r>
        <w:rPr/>
        <w:t>de</w:t>
      </w:r>
      <w:r>
        <w:rPr>
          <w:spacing w:val="-12"/>
        </w:rPr>
        <w:t> </w:t>
      </w:r>
      <w:r>
        <w:rPr/>
        <w:t>dilatação</w:t>
      </w:r>
      <w:r>
        <w:rPr>
          <w:spacing w:val="-9"/>
        </w:rPr>
        <w:t> </w:t>
      </w:r>
      <w:r>
        <w:rPr/>
        <w:t>da aorta acima e abaixo da constrição, bem como a lesão de arcos costais pelo aumento da pressão nas colaterais (intercostais) podem ser vistas na radiografia de tórax. O tratamento cirúrgico na criança deve ser precoce, se a coarctação estiver associada a outra anomalia cardíaca e evoluir com insuficiência cardíaca. Se o estado da criança não for muito grave, a cirurgia pode ser feita de modo eletivo entre o sexto e o 12</w:t>
      </w:r>
      <w:r>
        <w:rPr>
          <w:u w:val="single"/>
          <w:vertAlign w:val="superscript"/>
        </w:rPr>
        <w:t>o</w:t>
      </w:r>
      <w:r>
        <w:rPr>
          <w:vertAlign w:val="baseline"/>
        </w:rPr>
        <w:t> mês de vida. Se a estenose é discreta e a criança não apresenta nenhum problema na infância, a cirurgia pode ser realizada antes de 9 anos.</w:t>
      </w:r>
      <w:r>
        <w:rPr>
          <w:vertAlign w:val="superscript"/>
        </w:rPr>
        <w:t>29</w:t>
      </w:r>
      <w:r>
        <w:rPr>
          <w:vertAlign w:val="baseline"/>
        </w:rPr>
        <w:t> A maioria</w:t>
      </w:r>
      <w:r>
        <w:rPr>
          <w:spacing w:val="-10"/>
          <w:vertAlign w:val="baseline"/>
        </w:rPr>
        <w:t> </w:t>
      </w:r>
      <w:r>
        <w:rPr>
          <w:vertAlign w:val="baseline"/>
        </w:rPr>
        <w:t>dos pacientes apresenta</w:t>
      </w:r>
      <w:r>
        <w:rPr>
          <w:spacing w:val="-10"/>
          <w:vertAlign w:val="baseline"/>
        </w:rPr>
        <w:t> </w:t>
      </w:r>
      <w:r>
        <w:rPr>
          <w:vertAlign w:val="baseline"/>
        </w:rPr>
        <w:t>elevação</w:t>
      </w:r>
      <w:r>
        <w:rPr>
          <w:spacing w:val="-8"/>
          <w:vertAlign w:val="baseline"/>
        </w:rPr>
        <w:t> </w:t>
      </w:r>
      <w:r>
        <w:rPr>
          <w:vertAlign w:val="baseline"/>
        </w:rPr>
        <w:t>transitória</w:t>
      </w:r>
      <w:r>
        <w:rPr>
          <w:spacing w:val="-10"/>
          <w:vertAlign w:val="baseline"/>
        </w:rPr>
        <w:t> </w:t>
      </w:r>
      <w:r>
        <w:rPr>
          <w:vertAlign w:val="baseline"/>
        </w:rPr>
        <w:t>da</w:t>
      </w:r>
      <w:r>
        <w:rPr>
          <w:spacing w:val="-10"/>
          <w:vertAlign w:val="baseline"/>
        </w:rPr>
        <w:t> </w:t>
      </w:r>
      <w:r>
        <w:rPr>
          <w:vertAlign w:val="baseline"/>
        </w:rPr>
        <w:t>pressão</w:t>
      </w:r>
      <w:r>
        <w:rPr>
          <w:spacing w:val="-8"/>
          <w:vertAlign w:val="baseline"/>
        </w:rPr>
        <w:t> </w:t>
      </w:r>
      <w:r>
        <w:rPr>
          <w:vertAlign w:val="baseline"/>
        </w:rPr>
        <w:t>arterial</w:t>
      </w:r>
      <w:r>
        <w:rPr>
          <w:spacing w:val="-6"/>
          <w:vertAlign w:val="baseline"/>
        </w:rPr>
        <w:t> </w:t>
      </w:r>
      <w:r>
        <w:rPr>
          <w:vertAlign w:val="baseline"/>
        </w:rPr>
        <w:t>no</w:t>
      </w:r>
      <w:r>
        <w:rPr>
          <w:spacing w:val="-8"/>
          <w:vertAlign w:val="baseline"/>
        </w:rPr>
        <w:t> </w:t>
      </w:r>
      <w:r>
        <w:rPr>
          <w:vertAlign w:val="baseline"/>
        </w:rPr>
        <w:t>pós-operatório</w:t>
      </w:r>
      <w:r>
        <w:rPr>
          <w:spacing w:val="-8"/>
          <w:vertAlign w:val="baseline"/>
        </w:rPr>
        <w:t> </w:t>
      </w:r>
      <w:r>
        <w:rPr>
          <w:vertAlign w:val="baseline"/>
        </w:rPr>
        <w:t>ou</w:t>
      </w:r>
      <w:r>
        <w:rPr>
          <w:spacing w:val="-8"/>
          <w:vertAlign w:val="baseline"/>
        </w:rPr>
        <w:t> </w:t>
      </w:r>
      <w:r>
        <w:rPr>
          <w:vertAlign w:val="baseline"/>
        </w:rPr>
        <w:t>após a</w:t>
      </w:r>
      <w:r>
        <w:rPr>
          <w:spacing w:val="-10"/>
          <w:vertAlign w:val="baseline"/>
        </w:rPr>
        <w:t> </w:t>
      </w:r>
      <w:r>
        <w:rPr>
          <w:vertAlign w:val="baseline"/>
        </w:rPr>
        <w:t>angioplastia, em razão</w:t>
      </w:r>
      <w:r>
        <w:rPr>
          <w:spacing w:val="30"/>
          <w:vertAlign w:val="baseline"/>
        </w:rPr>
        <w:t> </w:t>
      </w:r>
      <w:r>
        <w:rPr>
          <w:vertAlign w:val="baseline"/>
        </w:rPr>
        <w:t>de</w:t>
      </w:r>
      <w:r>
        <w:rPr>
          <w:spacing w:val="27"/>
          <w:vertAlign w:val="baseline"/>
        </w:rPr>
        <w:t> </w:t>
      </w:r>
      <w:r>
        <w:rPr>
          <w:vertAlign w:val="baseline"/>
        </w:rPr>
        <w:t>hiperatividade</w:t>
      </w:r>
      <w:r>
        <w:rPr>
          <w:spacing w:val="27"/>
          <w:vertAlign w:val="baseline"/>
        </w:rPr>
        <w:t> </w:t>
      </w:r>
      <w:r>
        <w:rPr>
          <w:vertAlign w:val="baseline"/>
        </w:rPr>
        <w:t>dos</w:t>
      </w:r>
      <w:r>
        <w:rPr>
          <w:spacing w:val="39"/>
          <w:vertAlign w:val="baseline"/>
        </w:rPr>
        <w:t> </w:t>
      </w:r>
      <w:r>
        <w:rPr>
          <w:vertAlign w:val="baseline"/>
        </w:rPr>
        <w:t>sistemas</w:t>
      </w:r>
      <w:r>
        <w:rPr>
          <w:spacing w:val="39"/>
          <w:vertAlign w:val="baseline"/>
        </w:rPr>
        <w:t> </w:t>
      </w:r>
      <w:r>
        <w:rPr>
          <w:vertAlign w:val="baseline"/>
        </w:rPr>
        <w:t>simpático</w:t>
      </w:r>
      <w:r>
        <w:rPr>
          <w:spacing w:val="30"/>
          <w:vertAlign w:val="baseline"/>
        </w:rPr>
        <w:t> </w:t>
      </w:r>
      <w:r>
        <w:rPr>
          <w:vertAlign w:val="baseline"/>
        </w:rPr>
        <w:t>e</w:t>
      </w:r>
      <w:r>
        <w:rPr>
          <w:spacing w:val="27"/>
          <w:vertAlign w:val="baseline"/>
        </w:rPr>
        <w:t> </w:t>
      </w:r>
      <w:r>
        <w:rPr>
          <w:vertAlign w:val="baseline"/>
        </w:rPr>
        <w:t>renina-angiotensina.</w:t>
      </w:r>
      <w:r>
        <w:rPr>
          <w:spacing w:val="39"/>
          <w:vertAlign w:val="baseline"/>
        </w:rPr>
        <w:t> </w:t>
      </w:r>
      <w:r>
        <w:rPr>
          <w:vertAlign w:val="baseline"/>
        </w:rPr>
        <w:t>O</w:t>
      </w:r>
      <w:r>
        <w:rPr>
          <w:spacing w:val="27"/>
          <w:vertAlign w:val="baseline"/>
        </w:rPr>
        <w:t> </w:t>
      </w:r>
      <w:r>
        <w:rPr>
          <w:vertAlign w:val="baseline"/>
        </w:rPr>
        <w:t>betabloqueio</w:t>
      </w:r>
      <w:r>
        <w:rPr>
          <w:spacing w:val="30"/>
          <w:vertAlign w:val="baseline"/>
        </w:rPr>
        <w:t> </w:t>
      </w:r>
      <w:r>
        <w:rPr>
          <w:vertAlign w:val="baseline"/>
        </w:rPr>
        <w:t>antes</w:t>
      </w:r>
      <w:r>
        <w:rPr>
          <w:spacing w:val="39"/>
          <w:vertAlign w:val="baseline"/>
        </w:rPr>
        <w:t> </w:t>
      </w:r>
      <w:r>
        <w:rPr>
          <w:vertAlign w:val="baseline"/>
        </w:rPr>
        <w:t>do</w:t>
      </w:r>
      <w:r>
        <w:rPr>
          <w:spacing w:val="30"/>
          <w:vertAlign w:val="baseline"/>
        </w:rPr>
        <w:t> </w:t>
      </w:r>
      <w:r>
        <w:rPr>
          <w:vertAlign w:val="baseline"/>
        </w:rPr>
        <w:t>procedimento</w:t>
      </w:r>
      <w:r>
        <w:rPr>
          <w:spacing w:val="30"/>
          <w:vertAlign w:val="baseline"/>
        </w:rPr>
        <w:t> </w:t>
      </w:r>
      <w:r>
        <w:rPr>
          <w:vertAlign w:val="baseline"/>
        </w:rPr>
        <w:t>é</w:t>
      </w:r>
    </w:p>
    <w:p>
      <w:pPr>
        <w:pStyle w:val="BodyText"/>
        <w:spacing w:after="0" w:line="278" w:lineRule="auto"/>
        <w:sectPr>
          <w:pgSz w:w="11900" w:h="16840"/>
          <w:pgMar w:top="220" w:bottom="280" w:left="566" w:right="141"/>
        </w:sectPr>
      </w:pPr>
    </w:p>
    <w:p>
      <w:pPr>
        <w:pStyle w:val="BodyText"/>
        <w:spacing w:before="80"/>
        <w:ind w:firstLine="0"/>
        <w:jc w:val="left"/>
      </w:pPr>
      <w:r>
        <w:rPr/>
        <w:t>recomendado</w:t>
      </w:r>
      <w:r>
        <w:rPr>
          <w:spacing w:val="-15"/>
        </w:rPr>
        <w:t> </w:t>
      </w:r>
      <w:r>
        <w:rPr/>
        <w:t>para</w:t>
      </w:r>
      <w:r>
        <w:rPr>
          <w:spacing w:val="-14"/>
        </w:rPr>
        <w:t> </w:t>
      </w:r>
      <w:r>
        <w:rPr/>
        <w:t>evitar</w:t>
      </w:r>
      <w:r>
        <w:rPr>
          <w:spacing w:val="-14"/>
        </w:rPr>
        <w:t> </w:t>
      </w:r>
      <w:r>
        <w:rPr/>
        <w:t>a</w:t>
      </w:r>
      <w:r>
        <w:rPr>
          <w:spacing w:val="-14"/>
        </w:rPr>
        <w:t> </w:t>
      </w:r>
      <w:r>
        <w:rPr/>
        <w:t>elevação</w:t>
      </w:r>
      <w:r>
        <w:rPr>
          <w:spacing w:val="-14"/>
        </w:rPr>
        <w:t> </w:t>
      </w:r>
      <w:r>
        <w:rPr/>
        <w:t>da</w:t>
      </w:r>
      <w:r>
        <w:rPr>
          <w:spacing w:val="-15"/>
        </w:rPr>
        <w:t> </w:t>
      </w:r>
      <w:r>
        <w:rPr/>
        <w:t>pressão</w:t>
      </w:r>
      <w:r>
        <w:rPr>
          <w:spacing w:val="-13"/>
        </w:rPr>
        <w:t> </w:t>
      </w:r>
      <w:r>
        <w:rPr>
          <w:spacing w:val="-2"/>
        </w:rPr>
        <w:t>arterial.</w:t>
      </w:r>
    </w:p>
    <w:p>
      <w:pPr>
        <w:pStyle w:val="BodyText"/>
        <w:spacing w:before="61"/>
        <w:ind w:left="0" w:firstLine="0"/>
        <w:jc w:val="left"/>
      </w:pPr>
    </w:p>
    <w:p>
      <w:pPr>
        <w:pStyle w:val="Heading7"/>
      </w:pPr>
      <w:r>
        <w:rPr>
          <w:color w:val="242B67"/>
        </w:rPr>
        <w:t>Síndrome da apneia obstrutiva do </w:t>
      </w:r>
      <w:r>
        <w:rPr>
          <w:color w:val="242B67"/>
          <w:spacing w:val="-4"/>
        </w:rPr>
        <w:t>sono</w:t>
      </w:r>
    </w:p>
    <w:p>
      <w:pPr>
        <w:pStyle w:val="BodyText"/>
        <w:spacing w:line="280" w:lineRule="auto" w:before="127"/>
        <w:ind w:right="490"/>
      </w:pPr>
      <w:r>
        <w:rPr/>
        <w:t>A</w:t>
      </w:r>
      <w:r>
        <w:rPr>
          <w:spacing w:val="-2"/>
        </w:rPr>
        <w:t> </w:t>
      </w:r>
      <w:r>
        <w:rPr/>
        <w:t>síndrome</w:t>
      </w:r>
      <w:r>
        <w:rPr>
          <w:spacing w:val="-2"/>
        </w:rPr>
        <w:t> </w:t>
      </w:r>
      <w:r>
        <w:rPr/>
        <w:t>da</w:t>
      </w:r>
      <w:r>
        <w:rPr>
          <w:spacing w:val="-2"/>
        </w:rPr>
        <w:t> </w:t>
      </w:r>
      <w:r>
        <w:rPr/>
        <w:t>apneia</w:t>
      </w:r>
      <w:r>
        <w:rPr>
          <w:spacing w:val="-2"/>
        </w:rPr>
        <w:t> </w:t>
      </w:r>
      <w:r>
        <w:rPr/>
        <w:t>obstrutiva</w:t>
      </w:r>
      <w:r>
        <w:rPr>
          <w:spacing w:val="-2"/>
        </w:rPr>
        <w:t> </w:t>
      </w:r>
      <w:r>
        <w:rPr/>
        <w:t>do sono (SAOS) constitui uma</w:t>
      </w:r>
      <w:r>
        <w:rPr>
          <w:spacing w:val="-2"/>
        </w:rPr>
        <w:t> </w:t>
      </w:r>
      <w:r>
        <w:rPr/>
        <w:t>causa</w:t>
      </w:r>
      <w:r>
        <w:rPr>
          <w:spacing w:val="-2"/>
        </w:rPr>
        <w:t> </w:t>
      </w:r>
      <w:r>
        <w:rPr/>
        <w:t>recentemente</w:t>
      </w:r>
      <w:r>
        <w:rPr>
          <w:spacing w:val="-2"/>
        </w:rPr>
        <w:t> </w:t>
      </w:r>
      <w:r>
        <w:rPr/>
        <w:t>identificada</w:t>
      </w:r>
      <w:r>
        <w:rPr>
          <w:spacing w:val="-2"/>
        </w:rPr>
        <w:t> </w:t>
      </w:r>
      <w:r>
        <w:rPr/>
        <w:t>de</w:t>
      </w:r>
      <w:r>
        <w:rPr>
          <w:spacing w:val="-2"/>
        </w:rPr>
        <w:t> </w:t>
      </w:r>
      <w:r>
        <w:rPr/>
        <w:t>hipertensão secundária, sendo</w:t>
      </w:r>
      <w:r>
        <w:rPr>
          <w:spacing w:val="-3"/>
        </w:rPr>
        <w:t> </w:t>
      </w:r>
      <w:r>
        <w:rPr/>
        <w:t>o</w:t>
      </w:r>
      <w:r>
        <w:rPr>
          <w:spacing w:val="-3"/>
        </w:rPr>
        <w:t> </w:t>
      </w:r>
      <w:r>
        <w:rPr/>
        <w:t>seu</w:t>
      </w:r>
      <w:r>
        <w:rPr>
          <w:spacing w:val="-3"/>
        </w:rPr>
        <w:t> </w:t>
      </w:r>
      <w:r>
        <w:rPr/>
        <w:t>diagnóstico</w:t>
      </w:r>
      <w:r>
        <w:rPr>
          <w:spacing w:val="-3"/>
        </w:rPr>
        <w:t> </w:t>
      </w:r>
      <w:r>
        <w:rPr/>
        <w:t>fundamental</w:t>
      </w:r>
      <w:r>
        <w:rPr>
          <w:spacing w:val="-1"/>
        </w:rPr>
        <w:t> </w:t>
      </w:r>
      <w:r>
        <w:rPr/>
        <w:t>para</w:t>
      </w:r>
      <w:r>
        <w:rPr>
          <w:spacing w:val="-6"/>
        </w:rPr>
        <w:t> </w:t>
      </w:r>
      <w:r>
        <w:rPr/>
        <w:t>a</w:t>
      </w:r>
      <w:r>
        <w:rPr>
          <w:spacing w:val="-6"/>
        </w:rPr>
        <w:t> </w:t>
      </w:r>
      <w:r>
        <w:rPr/>
        <w:t>instituição</w:t>
      </w:r>
      <w:r>
        <w:rPr>
          <w:spacing w:val="-3"/>
        </w:rPr>
        <w:t> </w:t>
      </w:r>
      <w:r>
        <w:rPr/>
        <w:t>da</w:t>
      </w:r>
      <w:r>
        <w:rPr>
          <w:spacing w:val="-6"/>
        </w:rPr>
        <w:t> </w:t>
      </w:r>
      <w:r>
        <w:rPr/>
        <w:t>terapia. Assim, o</w:t>
      </w:r>
      <w:r>
        <w:rPr>
          <w:spacing w:val="-3"/>
        </w:rPr>
        <w:t> </w:t>
      </w:r>
      <w:r>
        <w:rPr/>
        <w:t>relato</w:t>
      </w:r>
      <w:r>
        <w:rPr>
          <w:spacing w:val="-3"/>
        </w:rPr>
        <w:t> </w:t>
      </w:r>
      <w:r>
        <w:rPr/>
        <w:t>de</w:t>
      </w:r>
      <w:r>
        <w:rPr>
          <w:spacing w:val="-6"/>
        </w:rPr>
        <w:t> </w:t>
      </w:r>
      <w:r>
        <w:rPr/>
        <w:t>roncos frequentes, sonolência diurna e observação de paradas respiratórias durante a noite deve levar o médico a pensar no diagnóstico, sendo a polissonografia o exame padrão-ouro para tanto. O tratamento da SAOS, embasado no uso da pressão positiva contínua das vias respiratórias (CPAP), promove diminuição significativa da pressão arterial pela retirada do estímulo simpático persistente desencadeado pela hipoxia.</w:t>
      </w:r>
      <w:r>
        <w:rPr>
          <w:vertAlign w:val="superscript"/>
        </w:rPr>
        <w:t>30</w:t>
      </w:r>
      <w:r>
        <w:rPr>
          <w:vertAlign w:val="baseline"/>
        </w:rPr>
        <w:t> O efeito pressórico do CPAP é mais evidente em pacientes com SAOS e HAS resistente.</w:t>
      </w:r>
      <w:r>
        <w:rPr>
          <w:vertAlign w:val="superscript"/>
        </w:rPr>
        <w:t>31</w:t>
      </w:r>
      <w:r>
        <w:rPr>
          <w:vertAlign w:val="baseline"/>
        </w:rPr>
        <w:t> A redução do peso deve ser considerada em todos os pacientes com SAOS que tenham sobrepeso ou sejam obesos.</w:t>
      </w:r>
    </w:p>
    <w:p>
      <w:pPr>
        <w:pStyle w:val="BodyText"/>
        <w:spacing w:before="124"/>
        <w:ind w:left="0" w:firstLine="0"/>
        <w:jc w:val="left"/>
      </w:pPr>
    </w:p>
    <w:p>
      <w:pPr>
        <w:pStyle w:val="Heading5"/>
      </w:pPr>
      <w:r>
        <w:rPr>
          <w:color w:val="A26108"/>
        </w:rPr>
        <w:t>Quando</w:t>
      </w:r>
      <w:r>
        <w:rPr>
          <w:color w:val="A26108"/>
          <w:spacing w:val="30"/>
        </w:rPr>
        <w:t> </w:t>
      </w:r>
      <w:r>
        <w:rPr>
          <w:color w:val="A26108"/>
        </w:rPr>
        <w:t>investigar</w:t>
      </w:r>
      <w:r>
        <w:rPr>
          <w:color w:val="A26108"/>
          <w:spacing w:val="30"/>
        </w:rPr>
        <w:t> </w:t>
      </w:r>
      <w:r>
        <w:rPr>
          <w:color w:val="A26108"/>
        </w:rPr>
        <w:t>hipertensão</w:t>
      </w:r>
      <w:r>
        <w:rPr>
          <w:color w:val="A26108"/>
          <w:spacing w:val="31"/>
        </w:rPr>
        <w:t> </w:t>
      </w:r>
      <w:r>
        <w:rPr>
          <w:color w:val="A26108"/>
          <w:spacing w:val="-2"/>
        </w:rPr>
        <w:t>secundária</w:t>
      </w:r>
    </w:p>
    <w:p>
      <w:pPr>
        <w:pStyle w:val="BodyText"/>
        <w:spacing w:line="276" w:lineRule="auto" w:before="138"/>
        <w:ind w:right="491"/>
      </w:pPr>
      <w:r>
        <w:rPr/>
        <w:t>Durante a avaliação de um paciente hipertenso, alguns achados da anamnese e do exame físico servem como indício de possíveis causas secundárias. Nesses casos, uma abordagem direcionada e criteriosa possibilita um correto diagnóstico, evitando os exames muitas vezes desnecessários e caros na investigação de hipertensão </w:t>
      </w:r>
      <w:r>
        <w:rPr>
          <w:spacing w:val="-2"/>
        </w:rPr>
        <w:t>secundária.</w:t>
      </w:r>
    </w:p>
    <w:p>
      <w:pPr>
        <w:pStyle w:val="BodyText"/>
        <w:spacing w:before="49"/>
        <w:ind w:left="414" w:firstLine="0"/>
      </w:pPr>
      <w:r>
        <w:rPr/>
        <w:t>Indícios</w:t>
      </w:r>
      <w:r>
        <w:rPr>
          <w:spacing w:val="-5"/>
        </w:rPr>
        <w:t> </w:t>
      </w:r>
      <w:r>
        <w:rPr/>
        <w:t>de</w:t>
      </w:r>
      <w:r>
        <w:rPr>
          <w:spacing w:val="-13"/>
        </w:rPr>
        <w:t> </w:t>
      </w:r>
      <w:r>
        <w:rPr/>
        <w:t>hipertensão</w:t>
      </w:r>
      <w:r>
        <w:rPr>
          <w:spacing w:val="-11"/>
        </w:rPr>
        <w:t> </w:t>
      </w:r>
      <w:r>
        <w:rPr>
          <w:spacing w:val="-2"/>
        </w:rPr>
        <w:t>secundária:</w:t>
      </w:r>
    </w:p>
    <w:p>
      <w:pPr>
        <w:pStyle w:val="ListParagraph"/>
        <w:numPr>
          <w:ilvl w:val="0"/>
          <w:numId w:val="24"/>
        </w:numPr>
        <w:tabs>
          <w:tab w:pos="397" w:val="left" w:leader="none"/>
        </w:tabs>
        <w:spacing w:line="240" w:lineRule="auto" w:before="200" w:after="0"/>
        <w:ind w:left="397" w:right="0" w:hanging="329"/>
        <w:jc w:val="left"/>
        <w:rPr>
          <w:sz w:val="23"/>
        </w:rPr>
      </w:pPr>
      <w:r>
        <w:rPr>
          <w:sz w:val="23"/>
        </w:rPr>
        <w:t>Início</w:t>
      </w:r>
      <w:r>
        <w:rPr>
          <w:spacing w:val="-9"/>
          <w:sz w:val="23"/>
        </w:rPr>
        <w:t> </w:t>
      </w:r>
      <w:r>
        <w:rPr>
          <w:sz w:val="23"/>
        </w:rPr>
        <w:t>de</w:t>
      </w:r>
      <w:r>
        <w:rPr>
          <w:spacing w:val="-8"/>
          <w:sz w:val="23"/>
        </w:rPr>
        <w:t> </w:t>
      </w:r>
      <w:r>
        <w:rPr>
          <w:sz w:val="23"/>
        </w:rPr>
        <w:t>hipertensão</w:t>
      </w:r>
      <w:r>
        <w:rPr>
          <w:spacing w:val="-7"/>
          <w:sz w:val="23"/>
        </w:rPr>
        <w:t> </w:t>
      </w:r>
      <w:r>
        <w:rPr>
          <w:sz w:val="23"/>
        </w:rPr>
        <w:t>antes</w:t>
      </w:r>
      <w:r>
        <w:rPr>
          <w:spacing w:val="2"/>
          <w:sz w:val="23"/>
        </w:rPr>
        <w:t> </w:t>
      </w:r>
      <w:r>
        <w:rPr>
          <w:sz w:val="23"/>
        </w:rPr>
        <w:t>dos</w:t>
      </w:r>
      <w:r>
        <w:rPr>
          <w:spacing w:val="1"/>
          <w:sz w:val="23"/>
        </w:rPr>
        <w:t> </w:t>
      </w:r>
      <w:r>
        <w:rPr>
          <w:sz w:val="23"/>
        </w:rPr>
        <w:t>30</w:t>
      </w:r>
      <w:r>
        <w:rPr>
          <w:spacing w:val="-6"/>
          <w:sz w:val="23"/>
        </w:rPr>
        <w:t> </w:t>
      </w:r>
      <w:r>
        <w:rPr>
          <w:sz w:val="23"/>
        </w:rPr>
        <w:t>anos</w:t>
      </w:r>
      <w:r>
        <w:rPr>
          <w:spacing w:val="1"/>
          <w:sz w:val="23"/>
        </w:rPr>
        <w:t> </w:t>
      </w:r>
      <w:r>
        <w:rPr>
          <w:sz w:val="23"/>
        </w:rPr>
        <w:t>ou</w:t>
      </w:r>
      <w:r>
        <w:rPr>
          <w:spacing w:val="-6"/>
          <w:sz w:val="23"/>
        </w:rPr>
        <w:t> </w:t>
      </w:r>
      <w:r>
        <w:rPr>
          <w:sz w:val="23"/>
        </w:rPr>
        <w:t>após</w:t>
      </w:r>
      <w:r>
        <w:rPr>
          <w:spacing w:val="2"/>
          <w:sz w:val="23"/>
        </w:rPr>
        <w:t> </w:t>
      </w:r>
      <w:r>
        <w:rPr>
          <w:sz w:val="23"/>
        </w:rPr>
        <w:t>os</w:t>
      </w:r>
      <w:r>
        <w:rPr>
          <w:spacing w:val="1"/>
          <w:sz w:val="23"/>
        </w:rPr>
        <w:t> </w:t>
      </w:r>
      <w:r>
        <w:rPr>
          <w:sz w:val="23"/>
        </w:rPr>
        <w:t>50</w:t>
      </w:r>
      <w:r>
        <w:rPr>
          <w:spacing w:val="-6"/>
          <w:sz w:val="23"/>
        </w:rPr>
        <w:t> </w:t>
      </w:r>
      <w:r>
        <w:rPr>
          <w:sz w:val="23"/>
        </w:rPr>
        <w:t>anos</w:t>
      </w:r>
      <w:r>
        <w:rPr>
          <w:spacing w:val="1"/>
          <w:sz w:val="23"/>
        </w:rPr>
        <w:t> </w:t>
      </w:r>
      <w:r>
        <w:rPr>
          <w:sz w:val="23"/>
        </w:rPr>
        <w:t>de</w:t>
      </w:r>
      <w:r>
        <w:rPr>
          <w:spacing w:val="-8"/>
          <w:sz w:val="23"/>
        </w:rPr>
        <w:t> </w:t>
      </w:r>
      <w:r>
        <w:rPr>
          <w:spacing w:val="-2"/>
          <w:sz w:val="23"/>
        </w:rPr>
        <w:t>idade</w:t>
      </w:r>
    </w:p>
    <w:p>
      <w:pPr>
        <w:pStyle w:val="ListParagraph"/>
        <w:numPr>
          <w:ilvl w:val="0"/>
          <w:numId w:val="24"/>
        </w:numPr>
        <w:tabs>
          <w:tab w:pos="397" w:val="left" w:leader="none"/>
        </w:tabs>
        <w:spacing w:line="240" w:lineRule="auto" w:before="72" w:after="0"/>
        <w:ind w:left="397" w:right="0" w:hanging="329"/>
        <w:jc w:val="left"/>
        <w:rPr>
          <w:sz w:val="23"/>
        </w:rPr>
      </w:pPr>
      <w:r>
        <w:rPr>
          <w:sz w:val="23"/>
        </w:rPr>
        <w:t>HAS</w:t>
      </w:r>
      <w:r>
        <w:rPr>
          <w:spacing w:val="-3"/>
          <w:sz w:val="23"/>
        </w:rPr>
        <w:t> </w:t>
      </w:r>
      <w:r>
        <w:rPr>
          <w:sz w:val="23"/>
        </w:rPr>
        <w:t>refratária</w:t>
      </w:r>
      <w:r>
        <w:rPr>
          <w:spacing w:val="-7"/>
          <w:sz w:val="23"/>
        </w:rPr>
        <w:t> </w:t>
      </w:r>
      <w:r>
        <w:rPr>
          <w:sz w:val="23"/>
        </w:rPr>
        <w:t>à</w:t>
      </w:r>
      <w:r>
        <w:rPr>
          <w:spacing w:val="-7"/>
          <w:sz w:val="23"/>
        </w:rPr>
        <w:t> </w:t>
      </w:r>
      <w:r>
        <w:rPr>
          <w:spacing w:val="-2"/>
          <w:sz w:val="23"/>
        </w:rPr>
        <w:t>terapia</w:t>
      </w:r>
    </w:p>
    <w:p>
      <w:pPr>
        <w:pStyle w:val="ListParagraph"/>
        <w:numPr>
          <w:ilvl w:val="0"/>
          <w:numId w:val="24"/>
        </w:numPr>
        <w:tabs>
          <w:tab w:pos="397" w:val="left" w:leader="none"/>
        </w:tabs>
        <w:spacing w:line="240" w:lineRule="auto" w:before="55" w:after="0"/>
        <w:ind w:left="397" w:right="0" w:hanging="329"/>
        <w:jc w:val="left"/>
        <w:rPr>
          <w:sz w:val="23"/>
        </w:rPr>
      </w:pPr>
      <w:r>
        <w:rPr>
          <w:spacing w:val="-2"/>
          <w:sz w:val="23"/>
        </w:rPr>
        <w:t>Tríade</w:t>
      </w:r>
      <w:r>
        <w:rPr>
          <w:spacing w:val="-7"/>
          <w:sz w:val="23"/>
        </w:rPr>
        <w:t> </w:t>
      </w:r>
      <w:r>
        <w:rPr>
          <w:spacing w:val="-2"/>
          <w:sz w:val="23"/>
        </w:rPr>
        <w:t>de</w:t>
      </w:r>
      <w:r>
        <w:rPr>
          <w:spacing w:val="-4"/>
          <w:sz w:val="23"/>
        </w:rPr>
        <w:t> </w:t>
      </w:r>
      <w:r>
        <w:rPr>
          <w:spacing w:val="-2"/>
          <w:sz w:val="23"/>
        </w:rPr>
        <w:t>feocromocitoma:</w:t>
      </w:r>
      <w:r>
        <w:rPr>
          <w:spacing w:val="2"/>
          <w:sz w:val="23"/>
        </w:rPr>
        <w:t> </w:t>
      </w:r>
      <w:r>
        <w:rPr>
          <w:spacing w:val="-2"/>
          <w:sz w:val="23"/>
        </w:rPr>
        <w:t>palpitações,</w:t>
      </w:r>
      <w:r>
        <w:rPr>
          <w:spacing w:val="6"/>
          <w:sz w:val="23"/>
        </w:rPr>
        <w:t> </w:t>
      </w:r>
      <w:r>
        <w:rPr>
          <w:spacing w:val="-2"/>
          <w:sz w:val="23"/>
        </w:rPr>
        <w:t>sudorese</w:t>
      </w:r>
      <w:r>
        <w:rPr>
          <w:spacing w:val="-4"/>
          <w:sz w:val="23"/>
        </w:rPr>
        <w:t> </w:t>
      </w:r>
      <w:r>
        <w:rPr>
          <w:spacing w:val="-2"/>
          <w:sz w:val="23"/>
        </w:rPr>
        <w:t>e</w:t>
      </w:r>
      <w:r>
        <w:rPr>
          <w:spacing w:val="-4"/>
          <w:sz w:val="23"/>
        </w:rPr>
        <w:t> </w:t>
      </w:r>
      <w:r>
        <w:rPr>
          <w:spacing w:val="-2"/>
          <w:sz w:val="23"/>
        </w:rPr>
        <w:t>cefaleia</w:t>
      </w:r>
      <w:r>
        <w:rPr>
          <w:spacing w:val="-4"/>
          <w:sz w:val="23"/>
        </w:rPr>
        <w:t> </w:t>
      </w:r>
      <w:r>
        <w:rPr>
          <w:spacing w:val="-2"/>
          <w:sz w:val="23"/>
        </w:rPr>
        <w:t>de</w:t>
      </w:r>
      <w:r>
        <w:rPr>
          <w:spacing w:val="-4"/>
          <w:sz w:val="23"/>
        </w:rPr>
        <w:t> </w:t>
      </w:r>
      <w:r>
        <w:rPr>
          <w:spacing w:val="-2"/>
          <w:sz w:val="23"/>
        </w:rPr>
        <w:t>aparecimento concomitante</w:t>
      </w:r>
      <w:r>
        <w:rPr>
          <w:spacing w:val="-4"/>
          <w:sz w:val="23"/>
        </w:rPr>
        <w:t> </w:t>
      </w:r>
      <w:r>
        <w:rPr>
          <w:spacing w:val="-2"/>
          <w:sz w:val="23"/>
        </w:rPr>
        <w:t>e</w:t>
      </w:r>
      <w:r>
        <w:rPr>
          <w:spacing w:val="-4"/>
          <w:sz w:val="23"/>
        </w:rPr>
        <w:t> </w:t>
      </w:r>
      <w:r>
        <w:rPr>
          <w:spacing w:val="-2"/>
          <w:sz w:val="23"/>
        </w:rPr>
        <w:t>em</w:t>
      </w:r>
      <w:r>
        <w:rPr>
          <w:spacing w:val="-1"/>
          <w:sz w:val="23"/>
        </w:rPr>
        <w:t> </w:t>
      </w:r>
      <w:r>
        <w:rPr>
          <w:spacing w:val="-2"/>
          <w:sz w:val="23"/>
        </w:rPr>
        <w:t>crises</w:t>
      </w:r>
    </w:p>
    <w:p>
      <w:pPr>
        <w:pStyle w:val="ListParagraph"/>
        <w:numPr>
          <w:ilvl w:val="0"/>
          <w:numId w:val="24"/>
        </w:numPr>
        <w:tabs>
          <w:tab w:pos="397" w:val="left" w:leader="none"/>
        </w:tabs>
        <w:spacing w:line="240" w:lineRule="auto" w:before="72" w:after="0"/>
        <w:ind w:left="397" w:right="0" w:hanging="329"/>
        <w:jc w:val="left"/>
        <w:rPr>
          <w:sz w:val="23"/>
        </w:rPr>
      </w:pPr>
      <w:r>
        <w:rPr>
          <w:sz w:val="23"/>
        </w:rPr>
        <w:t>Uso</w:t>
      </w:r>
      <w:r>
        <w:rPr>
          <w:spacing w:val="-8"/>
          <w:sz w:val="23"/>
        </w:rPr>
        <w:t> </w:t>
      </w:r>
      <w:r>
        <w:rPr>
          <w:sz w:val="23"/>
        </w:rPr>
        <w:t>de</w:t>
      </w:r>
      <w:r>
        <w:rPr>
          <w:spacing w:val="-11"/>
          <w:sz w:val="23"/>
        </w:rPr>
        <w:t> </w:t>
      </w:r>
      <w:r>
        <w:rPr>
          <w:sz w:val="23"/>
        </w:rPr>
        <w:t>fármacos que</w:t>
      </w:r>
      <w:r>
        <w:rPr>
          <w:spacing w:val="-11"/>
          <w:sz w:val="23"/>
        </w:rPr>
        <w:t> </w:t>
      </w:r>
      <w:r>
        <w:rPr>
          <w:sz w:val="23"/>
        </w:rPr>
        <w:t>podem</w:t>
      </w:r>
      <w:r>
        <w:rPr>
          <w:spacing w:val="-7"/>
          <w:sz w:val="23"/>
        </w:rPr>
        <w:t> </w:t>
      </w:r>
      <w:r>
        <w:rPr>
          <w:sz w:val="23"/>
        </w:rPr>
        <w:t>elevar</w:t>
      </w:r>
      <w:r>
        <w:rPr>
          <w:spacing w:val="-3"/>
          <w:sz w:val="23"/>
        </w:rPr>
        <w:t> </w:t>
      </w:r>
      <w:r>
        <w:rPr>
          <w:sz w:val="23"/>
        </w:rPr>
        <w:t>a</w:t>
      </w:r>
      <w:r>
        <w:rPr>
          <w:spacing w:val="-11"/>
          <w:sz w:val="23"/>
        </w:rPr>
        <w:t> </w:t>
      </w:r>
      <w:r>
        <w:rPr>
          <w:sz w:val="23"/>
        </w:rPr>
        <w:t>pressão</w:t>
      </w:r>
      <w:r>
        <w:rPr>
          <w:spacing w:val="-8"/>
          <w:sz w:val="23"/>
        </w:rPr>
        <w:t> </w:t>
      </w:r>
      <w:r>
        <w:rPr>
          <w:sz w:val="23"/>
        </w:rPr>
        <w:t>arterial</w:t>
      </w:r>
      <w:r>
        <w:rPr>
          <w:spacing w:val="-5"/>
          <w:sz w:val="23"/>
        </w:rPr>
        <w:t> </w:t>
      </w:r>
      <w:r>
        <w:rPr>
          <w:sz w:val="23"/>
        </w:rPr>
        <w:t>(</w:t>
      </w:r>
      <w:r>
        <w:rPr>
          <w:color w:val="505050"/>
          <w:sz w:val="23"/>
        </w:rPr>
        <w:t>Tabela</w:t>
      </w:r>
      <w:r>
        <w:rPr>
          <w:color w:val="505050"/>
          <w:spacing w:val="-10"/>
          <w:sz w:val="23"/>
        </w:rPr>
        <w:t> </w:t>
      </w:r>
      <w:r>
        <w:rPr>
          <w:color w:val="505050"/>
          <w:spacing w:val="-2"/>
          <w:sz w:val="23"/>
        </w:rPr>
        <w:t>57.6</w:t>
      </w:r>
      <w:r>
        <w:rPr>
          <w:spacing w:val="-2"/>
          <w:sz w:val="23"/>
        </w:rPr>
        <w:t>)</w:t>
      </w:r>
    </w:p>
    <w:p>
      <w:pPr>
        <w:pStyle w:val="ListParagraph"/>
        <w:numPr>
          <w:ilvl w:val="0"/>
          <w:numId w:val="24"/>
        </w:numPr>
        <w:tabs>
          <w:tab w:pos="408" w:val="left" w:leader="none"/>
        </w:tabs>
        <w:spacing w:line="276" w:lineRule="auto" w:before="56" w:after="0"/>
        <w:ind w:left="68" w:right="489" w:firstLine="0"/>
        <w:jc w:val="left"/>
        <w:rPr>
          <w:sz w:val="23"/>
        </w:rPr>
      </w:pPr>
      <w:r>
        <w:rPr>
          <w:sz w:val="23"/>
        </w:rPr>
        <w:t>Fácies ou</w:t>
      </w:r>
      <w:r>
        <w:rPr>
          <w:spacing w:val="-4"/>
          <w:sz w:val="23"/>
        </w:rPr>
        <w:t> </w:t>
      </w:r>
      <w:r>
        <w:rPr>
          <w:sz w:val="23"/>
        </w:rPr>
        <w:t>biotipo</w:t>
      </w:r>
      <w:r>
        <w:rPr>
          <w:spacing w:val="-4"/>
          <w:sz w:val="23"/>
        </w:rPr>
        <w:t> </w:t>
      </w:r>
      <w:r>
        <w:rPr>
          <w:sz w:val="23"/>
        </w:rPr>
        <w:t>de</w:t>
      </w:r>
      <w:r>
        <w:rPr>
          <w:spacing w:val="-6"/>
          <w:sz w:val="23"/>
        </w:rPr>
        <w:t> </w:t>
      </w:r>
      <w:r>
        <w:rPr>
          <w:sz w:val="23"/>
        </w:rPr>
        <w:t>doença</w:t>
      </w:r>
      <w:r>
        <w:rPr>
          <w:spacing w:val="-6"/>
          <w:sz w:val="23"/>
        </w:rPr>
        <w:t> </w:t>
      </w:r>
      <w:r>
        <w:rPr>
          <w:sz w:val="23"/>
        </w:rPr>
        <w:t>concomitante</w:t>
      </w:r>
      <w:r>
        <w:rPr>
          <w:spacing w:val="-6"/>
          <w:sz w:val="23"/>
        </w:rPr>
        <w:t> </w:t>
      </w:r>
      <w:r>
        <w:rPr>
          <w:sz w:val="23"/>
        </w:rPr>
        <w:t>à</w:t>
      </w:r>
      <w:r>
        <w:rPr>
          <w:spacing w:val="-6"/>
          <w:sz w:val="23"/>
        </w:rPr>
        <w:t> </w:t>
      </w:r>
      <w:r>
        <w:rPr>
          <w:sz w:val="23"/>
        </w:rPr>
        <w:t>hipertensão:</w:t>
      </w:r>
      <w:r>
        <w:rPr>
          <w:spacing w:val="-2"/>
          <w:sz w:val="23"/>
        </w:rPr>
        <w:t> </w:t>
      </w:r>
      <w:r>
        <w:rPr>
          <w:sz w:val="23"/>
        </w:rPr>
        <w:t>doença</w:t>
      </w:r>
      <w:r>
        <w:rPr>
          <w:spacing w:val="-6"/>
          <w:sz w:val="23"/>
        </w:rPr>
        <w:t> </w:t>
      </w:r>
      <w:r>
        <w:rPr>
          <w:sz w:val="23"/>
        </w:rPr>
        <w:t>renal, hipertireoidismo, acromegalia, síndrome de Cushing</w:t>
      </w:r>
    </w:p>
    <w:p>
      <w:pPr>
        <w:pStyle w:val="ListParagraph"/>
        <w:numPr>
          <w:ilvl w:val="0"/>
          <w:numId w:val="24"/>
        </w:numPr>
        <w:tabs>
          <w:tab w:pos="397" w:val="left" w:leader="none"/>
        </w:tabs>
        <w:spacing w:line="240" w:lineRule="auto" w:before="16" w:after="0"/>
        <w:ind w:left="397" w:right="0" w:hanging="329"/>
        <w:jc w:val="left"/>
        <w:rPr>
          <w:sz w:val="23"/>
        </w:rPr>
      </w:pPr>
      <w:r>
        <w:rPr>
          <w:sz w:val="23"/>
        </w:rPr>
        <w:t>Sopros</w:t>
      </w:r>
      <w:r>
        <w:rPr>
          <w:spacing w:val="3"/>
          <w:sz w:val="23"/>
        </w:rPr>
        <w:t> </w:t>
      </w:r>
      <w:r>
        <w:rPr>
          <w:spacing w:val="-2"/>
          <w:sz w:val="23"/>
        </w:rPr>
        <w:t>abdominais</w:t>
      </w:r>
    </w:p>
    <w:p>
      <w:pPr>
        <w:pStyle w:val="ListParagraph"/>
        <w:numPr>
          <w:ilvl w:val="0"/>
          <w:numId w:val="24"/>
        </w:numPr>
        <w:tabs>
          <w:tab w:pos="397" w:val="left" w:leader="none"/>
        </w:tabs>
        <w:spacing w:line="240" w:lineRule="auto" w:before="72" w:after="0"/>
        <w:ind w:left="397" w:right="0" w:hanging="329"/>
        <w:jc w:val="left"/>
        <w:rPr>
          <w:sz w:val="23"/>
        </w:rPr>
      </w:pPr>
      <w:r>
        <w:rPr>
          <w:sz w:val="23"/>
        </w:rPr>
        <w:t>Assimetria</w:t>
      </w:r>
      <w:r>
        <w:rPr>
          <w:spacing w:val="-5"/>
          <w:sz w:val="23"/>
        </w:rPr>
        <w:t> </w:t>
      </w:r>
      <w:r>
        <w:rPr>
          <w:sz w:val="23"/>
        </w:rPr>
        <w:t>de</w:t>
      </w:r>
      <w:r>
        <w:rPr>
          <w:spacing w:val="-4"/>
          <w:sz w:val="23"/>
        </w:rPr>
        <w:t> </w:t>
      </w:r>
      <w:r>
        <w:rPr>
          <w:sz w:val="23"/>
        </w:rPr>
        <w:t>pulsos</w:t>
      </w:r>
      <w:r>
        <w:rPr>
          <w:spacing w:val="8"/>
          <w:sz w:val="23"/>
        </w:rPr>
        <w:t> </w:t>
      </w:r>
      <w:r>
        <w:rPr>
          <w:spacing w:val="-2"/>
          <w:sz w:val="23"/>
        </w:rPr>
        <w:t>femorais</w:t>
      </w:r>
    </w:p>
    <w:p>
      <w:pPr>
        <w:pStyle w:val="ListParagraph"/>
        <w:numPr>
          <w:ilvl w:val="0"/>
          <w:numId w:val="24"/>
        </w:numPr>
        <w:tabs>
          <w:tab w:pos="397" w:val="left" w:leader="none"/>
        </w:tabs>
        <w:spacing w:line="240" w:lineRule="auto" w:before="56" w:after="0"/>
        <w:ind w:left="397" w:right="0" w:hanging="329"/>
        <w:jc w:val="left"/>
        <w:rPr>
          <w:sz w:val="23"/>
        </w:rPr>
      </w:pPr>
      <w:r>
        <w:rPr>
          <w:spacing w:val="-2"/>
          <w:sz w:val="23"/>
        </w:rPr>
        <w:t>Aumento</w:t>
      </w:r>
      <w:r>
        <w:rPr>
          <w:spacing w:val="-4"/>
          <w:sz w:val="23"/>
        </w:rPr>
        <w:t> </w:t>
      </w:r>
      <w:r>
        <w:rPr>
          <w:spacing w:val="-2"/>
          <w:sz w:val="23"/>
        </w:rPr>
        <w:t>de</w:t>
      </w:r>
      <w:r>
        <w:rPr>
          <w:spacing w:val="-6"/>
          <w:sz w:val="23"/>
        </w:rPr>
        <w:t> </w:t>
      </w:r>
      <w:r>
        <w:rPr>
          <w:spacing w:val="-2"/>
          <w:sz w:val="23"/>
        </w:rPr>
        <w:t>creatinina</w:t>
      </w:r>
      <w:r>
        <w:rPr>
          <w:spacing w:val="-5"/>
          <w:sz w:val="23"/>
        </w:rPr>
        <w:t> </w:t>
      </w:r>
      <w:r>
        <w:rPr>
          <w:spacing w:val="-2"/>
          <w:sz w:val="23"/>
        </w:rPr>
        <w:t>sérica</w:t>
      </w:r>
    </w:p>
    <w:p>
      <w:pPr>
        <w:pStyle w:val="ListParagraph"/>
        <w:numPr>
          <w:ilvl w:val="0"/>
          <w:numId w:val="24"/>
        </w:numPr>
        <w:tabs>
          <w:tab w:pos="397" w:val="left" w:leader="none"/>
        </w:tabs>
        <w:spacing w:line="240" w:lineRule="auto" w:before="72" w:after="0"/>
        <w:ind w:left="397" w:right="0" w:hanging="329"/>
        <w:jc w:val="left"/>
        <w:rPr>
          <w:sz w:val="23"/>
        </w:rPr>
      </w:pPr>
      <w:r>
        <w:rPr>
          <w:sz w:val="23"/>
        </w:rPr>
        <w:t>Hipopotassemia</w:t>
      </w:r>
      <w:r>
        <w:rPr>
          <w:spacing w:val="-14"/>
          <w:sz w:val="23"/>
        </w:rPr>
        <w:t> </w:t>
      </w:r>
      <w:r>
        <w:rPr>
          <w:sz w:val="23"/>
        </w:rPr>
        <w:t>espontânea</w:t>
      </w:r>
      <w:r>
        <w:rPr>
          <w:spacing w:val="-14"/>
          <w:sz w:val="23"/>
        </w:rPr>
        <w:t> </w:t>
      </w:r>
      <w:r>
        <w:rPr>
          <w:sz w:val="23"/>
        </w:rPr>
        <w:t>(&lt;</w:t>
      </w:r>
      <w:r>
        <w:rPr>
          <w:spacing w:val="-11"/>
          <w:sz w:val="23"/>
        </w:rPr>
        <w:t> </w:t>
      </w:r>
      <w:r>
        <w:rPr>
          <w:sz w:val="23"/>
        </w:rPr>
        <w:t>3</w:t>
      </w:r>
      <w:r>
        <w:rPr>
          <w:spacing w:val="-11"/>
          <w:sz w:val="23"/>
        </w:rPr>
        <w:t> </w:t>
      </w:r>
      <w:r>
        <w:rPr>
          <w:spacing w:val="-2"/>
          <w:sz w:val="23"/>
        </w:rPr>
        <w:t>mEq/</w:t>
      </w:r>
      <w:r>
        <w:rPr>
          <w:i/>
          <w:spacing w:val="-2"/>
          <w:sz w:val="23"/>
        </w:rPr>
        <w:t>ℓ</w:t>
      </w:r>
      <w:r>
        <w:rPr>
          <w:spacing w:val="-2"/>
          <w:sz w:val="23"/>
        </w:rPr>
        <w:t>)</w:t>
      </w:r>
      <w:r>
        <w:rPr>
          <w:color w:val="505050"/>
          <w:spacing w:val="-2"/>
          <w:sz w:val="23"/>
        </w:rPr>
        <w:t>*</w:t>
      </w:r>
    </w:p>
    <w:p>
      <w:pPr>
        <w:pStyle w:val="ListParagraph"/>
        <w:numPr>
          <w:ilvl w:val="0"/>
          <w:numId w:val="24"/>
        </w:numPr>
        <w:tabs>
          <w:tab w:pos="397" w:val="left" w:leader="none"/>
        </w:tabs>
        <w:spacing w:line="240" w:lineRule="auto" w:before="56" w:after="0"/>
        <w:ind w:left="397" w:right="0" w:hanging="329"/>
        <w:jc w:val="left"/>
        <w:rPr>
          <w:sz w:val="23"/>
        </w:rPr>
      </w:pPr>
      <w:r>
        <w:rPr>
          <w:sz w:val="23"/>
        </w:rPr>
        <w:t>Exame</w:t>
      </w:r>
      <w:r>
        <w:rPr>
          <w:spacing w:val="-11"/>
          <w:sz w:val="23"/>
        </w:rPr>
        <w:t> </w:t>
      </w:r>
      <w:r>
        <w:rPr>
          <w:sz w:val="23"/>
        </w:rPr>
        <w:t>de</w:t>
      </w:r>
      <w:r>
        <w:rPr>
          <w:spacing w:val="-10"/>
          <w:sz w:val="23"/>
        </w:rPr>
        <w:t> </w:t>
      </w:r>
      <w:r>
        <w:rPr>
          <w:sz w:val="23"/>
        </w:rPr>
        <w:t>urina</w:t>
      </w:r>
      <w:r>
        <w:rPr>
          <w:spacing w:val="-10"/>
          <w:sz w:val="23"/>
        </w:rPr>
        <w:t> </w:t>
      </w:r>
      <w:r>
        <w:rPr>
          <w:sz w:val="23"/>
        </w:rPr>
        <w:t>anormal</w:t>
      </w:r>
      <w:r>
        <w:rPr>
          <w:spacing w:val="-5"/>
          <w:sz w:val="23"/>
        </w:rPr>
        <w:t> </w:t>
      </w:r>
      <w:r>
        <w:rPr>
          <w:sz w:val="23"/>
        </w:rPr>
        <w:t>(proteinúria</w:t>
      </w:r>
      <w:r>
        <w:rPr>
          <w:spacing w:val="-10"/>
          <w:sz w:val="23"/>
        </w:rPr>
        <w:t> </w:t>
      </w:r>
      <w:r>
        <w:rPr>
          <w:sz w:val="23"/>
        </w:rPr>
        <w:t>ou</w:t>
      </w:r>
      <w:r>
        <w:rPr>
          <w:spacing w:val="-7"/>
          <w:sz w:val="23"/>
        </w:rPr>
        <w:t> </w:t>
      </w:r>
      <w:r>
        <w:rPr>
          <w:spacing w:val="-2"/>
          <w:sz w:val="23"/>
        </w:rPr>
        <w:t>hematúria).</w:t>
      </w:r>
    </w:p>
    <w:p>
      <w:pPr>
        <w:pStyle w:val="BodyText"/>
        <w:spacing w:before="225"/>
        <w:ind w:left="0" w:firstLine="0"/>
        <w:jc w:val="left"/>
      </w:pPr>
    </w:p>
    <w:p>
      <w:pPr>
        <w:pStyle w:val="Heading4"/>
      </w:pPr>
      <w:r>
        <w:rPr>
          <w:color w:val="242B67"/>
        </w:rPr>
        <w:t>Tipos monogênicos de hipertensão arterial </w:t>
      </w:r>
      <w:r>
        <w:rPr>
          <w:color w:val="242B67"/>
          <w:spacing w:val="-2"/>
        </w:rPr>
        <w:t>sistêmica</w:t>
      </w:r>
    </w:p>
    <w:p>
      <w:pPr>
        <w:pStyle w:val="BodyText"/>
        <w:spacing w:line="276" w:lineRule="auto" w:before="132"/>
        <w:ind w:right="488"/>
      </w:pPr>
      <w:r>
        <w:rPr/>
        <w:t>A utilização de técnicas de biologia molecular tem trazido uma enorme contribuição para a compreensão de fenômenos</w:t>
      </w:r>
      <w:r>
        <w:rPr>
          <w:spacing w:val="-4"/>
        </w:rPr>
        <w:t> </w:t>
      </w:r>
      <w:r>
        <w:rPr/>
        <w:t>biológicos</w:t>
      </w:r>
      <w:r>
        <w:rPr>
          <w:spacing w:val="-4"/>
        </w:rPr>
        <w:t> </w:t>
      </w:r>
      <w:r>
        <w:rPr/>
        <w:t>complexos.</w:t>
      </w:r>
      <w:r>
        <w:rPr>
          <w:spacing w:val="-4"/>
        </w:rPr>
        <w:t> </w:t>
      </w:r>
      <w:r>
        <w:rPr/>
        <w:t>Essas</w:t>
      </w:r>
      <w:r>
        <w:rPr>
          <w:spacing w:val="-4"/>
        </w:rPr>
        <w:t> </w:t>
      </w:r>
      <w:r>
        <w:rPr/>
        <w:t>técnicas</w:t>
      </w:r>
      <w:r>
        <w:rPr>
          <w:spacing w:val="-4"/>
        </w:rPr>
        <w:t> </w:t>
      </w:r>
      <w:r>
        <w:rPr/>
        <w:t>favorecem</w:t>
      </w:r>
      <w:r>
        <w:rPr>
          <w:spacing w:val="-12"/>
        </w:rPr>
        <w:t> </w:t>
      </w:r>
      <w:r>
        <w:rPr/>
        <w:t>a</w:t>
      </w:r>
      <w:r>
        <w:rPr>
          <w:spacing w:val="-14"/>
        </w:rPr>
        <w:t> </w:t>
      </w:r>
      <w:r>
        <w:rPr/>
        <w:t>identificação</w:t>
      </w:r>
      <w:r>
        <w:rPr>
          <w:spacing w:val="-12"/>
        </w:rPr>
        <w:t> </w:t>
      </w:r>
      <w:r>
        <w:rPr/>
        <w:t>de</w:t>
      </w:r>
      <w:r>
        <w:rPr>
          <w:spacing w:val="-14"/>
        </w:rPr>
        <w:t> </w:t>
      </w:r>
      <w:r>
        <w:rPr/>
        <w:t>casos</w:t>
      </w:r>
      <w:r>
        <w:rPr>
          <w:spacing w:val="-4"/>
        </w:rPr>
        <w:t> </w:t>
      </w:r>
      <w:r>
        <w:rPr/>
        <w:t>em</w:t>
      </w:r>
      <w:r>
        <w:rPr>
          <w:spacing w:val="-12"/>
        </w:rPr>
        <w:t> </w:t>
      </w:r>
      <w:r>
        <w:rPr/>
        <w:t>que</w:t>
      </w:r>
      <w:r>
        <w:rPr>
          <w:spacing w:val="-14"/>
        </w:rPr>
        <w:t> </w:t>
      </w:r>
      <w:r>
        <w:rPr/>
        <w:t>mutações</w:t>
      </w:r>
      <w:r>
        <w:rPr>
          <w:spacing w:val="-4"/>
        </w:rPr>
        <w:t> </w:t>
      </w:r>
      <w:r>
        <w:rPr/>
        <w:t>genéticas</w:t>
      </w:r>
      <w:r>
        <w:rPr>
          <w:spacing w:val="-4"/>
        </w:rPr>
        <w:t> </w:t>
      </w:r>
      <w:r>
        <w:rPr/>
        <w:t>são responsáveis pelo surgimento da hipertensão. Tais casos, chamados de mendelianos, são causados por mutações específicas que</w:t>
      </w:r>
      <w:r>
        <w:rPr>
          <w:spacing w:val="-8"/>
        </w:rPr>
        <w:t> </w:t>
      </w:r>
      <w:r>
        <w:rPr/>
        <w:t>resultam</w:t>
      </w:r>
      <w:r>
        <w:rPr>
          <w:spacing w:val="-6"/>
        </w:rPr>
        <w:t> </w:t>
      </w:r>
      <w:r>
        <w:rPr/>
        <w:t>em</w:t>
      </w:r>
      <w:r>
        <w:rPr>
          <w:spacing w:val="-6"/>
        </w:rPr>
        <w:t> </w:t>
      </w:r>
      <w:r>
        <w:rPr/>
        <w:t>ganho</w:t>
      </w:r>
      <w:r>
        <w:rPr>
          <w:spacing w:val="-6"/>
        </w:rPr>
        <w:t> </w:t>
      </w:r>
      <w:r>
        <w:rPr/>
        <w:t>de</w:t>
      </w:r>
      <w:r>
        <w:rPr>
          <w:spacing w:val="-8"/>
        </w:rPr>
        <w:t> </w:t>
      </w:r>
      <w:r>
        <w:rPr/>
        <w:t>função</w:t>
      </w:r>
      <w:r>
        <w:rPr>
          <w:spacing w:val="-6"/>
        </w:rPr>
        <w:t> </w:t>
      </w:r>
      <w:r>
        <w:rPr/>
        <w:t>de</w:t>
      </w:r>
      <w:r>
        <w:rPr>
          <w:spacing w:val="-8"/>
        </w:rPr>
        <w:t> </w:t>
      </w:r>
      <w:r>
        <w:rPr/>
        <w:t>transportadores do</w:t>
      </w:r>
      <w:r>
        <w:rPr>
          <w:spacing w:val="-6"/>
        </w:rPr>
        <w:t> </w:t>
      </w:r>
      <w:r>
        <w:rPr/>
        <w:t>néfron</w:t>
      </w:r>
      <w:r>
        <w:rPr>
          <w:spacing w:val="-6"/>
        </w:rPr>
        <w:t> </w:t>
      </w:r>
      <w:r>
        <w:rPr/>
        <w:t>distal, bem</w:t>
      </w:r>
      <w:r>
        <w:rPr>
          <w:spacing w:val="-6"/>
        </w:rPr>
        <w:t> </w:t>
      </w:r>
      <w:r>
        <w:rPr/>
        <w:t>como</w:t>
      </w:r>
      <w:r>
        <w:rPr>
          <w:spacing w:val="-6"/>
        </w:rPr>
        <w:t> </w:t>
      </w:r>
      <w:r>
        <w:rPr/>
        <w:t>de</w:t>
      </w:r>
      <w:r>
        <w:rPr>
          <w:spacing w:val="-8"/>
        </w:rPr>
        <w:t> </w:t>
      </w:r>
      <w:r>
        <w:rPr/>
        <w:t>vários componentes do sistema renina-angiotensina-aldosterona que provocam excessiva retenção de sal. Essas síndromes podem ser caracterizadas pelo</w:t>
      </w:r>
      <w:r>
        <w:rPr>
          <w:spacing w:val="-1"/>
        </w:rPr>
        <w:t> </w:t>
      </w:r>
      <w:r>
        <w:rPr/>
        <w:t>aumento</w:t>
      </w:r>
      <w:r>
        <w:rPr>
          <w:spacing w:val="-1"/>
        </w:rPr>
        <w:t> </w:t>
      </w:r>
      <w:r>
        <w:rPr/>
        <w:t>da</w:t>
      </w:r>
      <w:r>
        <w:rPr>
          <w:spacing w:val="-4"/>
        </w:rPr>
        <w:t> </w:t>
      </w:r>
      <w:r>
        <w:rPr/>
        <w:t>produção</w:t>
      </w:r>
      <w:r>
        <w:rPr>
          <w:spacing w:val="-1"/>
        </w:rPr>
        <w:t> </w:t>
      </w:r>
      <w:r>
        <w:rPr/>
        <w:t>da</w:t>
      </w:r>
      <w:r>
        <w:rPr>
          <w:spacing w:val="-4"/>
        </w:rPr>
        <w:t> </w:t>
      </w:r>
      <w:r>
        <w:rPr/>
        <w:t>atividade</w:t>
      </w:r>
      <w:r>
        <w:rPr>
          <w:spacing w:val="-4"/>
        </w:rPr>
        <w:t> </w:t>
      </w:r>
      <w:r>
        <w:rPr/>
        <w:t>dos mineralocorticoides.</w:t>
      </w:r>
    </w:p>
    <w:p>
      <w:pPr>
        <w:pStyle w:val="BodyText"/>
        <w:spacing w:before="134"/>
        <w:ind w:left="0" w:firstLine="0"/>
        <w:jc w:val="left"/>
      </w:pPr>
    </w:p>
    <w:p>
      <w:pPr>
        <w:pStyle w:val="Heading5"/>
      </w:pPr>
      <w:r>
        <w:rPr>
          <w:color w:val="A26108"/>
        </w:rPr>
        <w:t>Aldosteronismo</w:t>
      </w:r>
      <w:r>
        <w:rPr>
          <w:color w:val="A26108"/>
          <w:spacing w:val="30"/>
        </w:rPr>
        <w:t> </w:t>
      </w:r>
      <w:r>
        <w:rPr>
          <w:color w:val="A26108"/>
        </w:rPr>
        <w:t>suprimível</w:t>
      </w:r>
      <w:r>
        <w:rPr>
          <w:color w:val="A26108"/>
          <w:spacing w:val="30"/>
        </w:rPr>
        <w:t> </w:t>
      </w:r>
      <w:r>
        <w:rPr>
          <w:color w:val="A26108"/>
        </w:rPr>
        <w:t>por</w:t>
      </w:r>
      <w:r>
        <w:rPr>
          <w:color w:val="A26108"/>
          <w:spacing w:val="31"/>
        </w:rPr>
        <w:t> </w:t>
      </w:r>
      <w:r>
        <w:rPr>
          <w:color w:val="A26108"/>
          <w:spacing w:val="-2"/>
        </w:rPr>
        <w:t>glicocorticoide</w:t>
      </w:r>
    </w:p>
    <w:p>
      <w:pPr>
        <w:pStyle w:val="BodyText"/>
        <w:spacing w:line="276" w:lineRule="auto" w:before="138"/>
        <w:ind w:right="488"/>
      </w:pPr>
      <w:r>
        <w:rPr/>
        <w:t>O</w:t>
      </w:r>
      <w:r>
        <w:rPr>
          <w:spacing w:val="-7"/>
        </w:rPr>
        <w:t> </w:t>
      </w:r>
      <w:r>
        <w:rPr/>
        <w:t>aldosteronismo</w:t>
      </w:r>
      <w:r>
        <w:rPr>
          <w:spacing w:val="-4"/>
        </w:rPr>
        <w:t> </w:t>
      </w:r>
      <w:r>
        <w:rPr/>
        <w:t>suprimível</w:t>
      </w:r>
      <w:r>
        <w:rPr>
          <w:spacing w:val="-2"/>
        </w:rPr>
        <w:t> </w:t>
      </w:r>
      <w:r>
        <w:rPr/>
        <w:t>por glicocorticoide</w:t>
      </w:r>
      <w:r>
        <w:rPr>
          <w:spacing w:val="-7"/>
        </w:rPr>
        <w:t> </w:t>
      </w:r>
      <w:r>
        <w:rPr/>
        <w:t>é</w:t>
      </w:r>
      <w:r>
        <w:rPr>
          <w:spacing w:val="-7"/>
        </w:rPr>
        <w:t> </w:t>
      </w:r>
      <w:r>
        <w:rPr/>
        <w:t>um</w:t>
      </w:r>
      <w:r>
        <w:rPr>
          <w:spacing w:val="-4"/>
        </w:rPr>
        <w:t> </w:t>
      </w:r>
      <w:r>
        <w:rPr/>
        <w:t>tipo</w:t>
      </w:r>
      <w:r>
        <w:rPr>
          <w:spacing w:val="-4"/>
        </w:rPr>
        <w:t> </w:t>
      </w:r>
      <w:r>
        <w:rPr/>
        <w:t>mendeliano</w:t>
      </w:r>
      <w:r>
        <w:rPr>
          <w:spacing w:val="-4"/>
        </w:rPr>
        <w:t> </w:t>
      </w:r>
      <w:r>
        <w:rPr/>
        <w:t>de</w:t>
      </w:r>
      <w:r>
        <w:rPr>
          <w:spacing w:val="-7"/>
        </w:rPr>
        <w:t> </w:t>
      </w:r>
      <w:r>
        <w:rPr/>
        <w:t>hipertensão</w:t>
      </w:r>
      <w:r>
        <w:rPr>
          <w:spacing w:val="-4"/>
        </w:rPr>
        <w:t> </w:t>
      </w:r>
      <w:r>
        <w:rPr/>
        <w:t>no</w:t>
      </w:r>
      <w:r>
        <w:rPr>
          <w:spacing w:val="-4"/>
        </w:rPr>
        <w:t> </w:t>
      </w:r>
      <w:r>
        <w:rPr/>
        <w:t>qual</w:t>
      </w:r>
      <w:r>
        <w:rPr>
          <w:spacing w:val="-2"/>
        </w:rPr>
        <w:t> </w:t>
      </w:r>
      <w:r>
        <w:rPr/>
        <w:t>a</w:t>
      </w:r>
      <w:r>
        <w:rPr>
          <w:spacing w:val="-7"/>
        </w:rPr>
        <w:t> </w:t>
      </w:r>
      <w:r>
        <w:rPr/>
        <w:t>herança</w:t>
      </w:r>
      <w:r>
        <w:rPr>
          <w:spacing w:val="-7"/>
        </w:rPr>
        <w:t> </w:t>
      </w:r>
      <w:r>
        <w:rPr/>
        <w:t>de</w:t>
      </w:r>
      <w:r>
        <w:rPr>
          <w:spacing w:val="-7"/>
        </w:rPr>
        <w:t> </w:t>
      </w:r>
      <w:r>
        <w:rPr/>
        <w:t>uma única alteração genética é responsável pelo surgimento da hipertensão. Tem característica autossômica dominante, caracterizada pelo início precoce de hipertensão, mediado por receptor mineralocorticoide. Bioquimicamente, associa-se a hipopotassemia variável, supressão da atividade plasmática de renina e altos níveis dos esteroides 18-hidroxicortisol e 18-oxocortisol. A característica desse tipo mendeliano de hipertensão é o controle aberrante da aldosterona e dos esteroides pelo hormônio adrenocorticotrófico (ACTH) de modo mais intenso que a supressão pela angiotensina II. Consequentemente, a secreção de aldosterona pode ser suprimida pela administração de glicocorticoides. Daí o nome desse tipo monogênico de hipertensão, aldosteronismo suprimível por </w:t>
      </w:r>
      <w:r>
        <w:rPr>
          <w:spacing w:val="-2"/>
        </w:rPr>
        <w:t>glicocorticoides.</w:t>
      </w:r>
    </w:p>
    <w:p>
      <w:pPr>
        <w:pStyle w:val="BodyText"/>
        <w:spacing w:after="0" w:line="276" w:lineRule="auto"/>
        <w:sectPr>
          <w:pgSz w:w="11900" w:h="16840"/>
          <w:pgMar w:top="200" w:bottom="280" w:left="566" w:right="141"/>
        </w:sectPr>
      </w:pPr>
    </w:p>
    <w:p>
      <w:pPr>
        <w:spacing w:before="76"/>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2"/>
          <w:sz w:val="23"/>
        </w:rPr>
        <w:t> </w:t>
      </w:r>
      <w:r>
        <w:rPr>
          <w:rFonts w:ascii="Arial" w:hAnsi="Arial"/>
          <w:b/>
          <w:color w:val="242B67"/>
          <w:sz w:val="23"/>
        </w:rPr>
        <w:t>57.6</w:t>
      </w:r>
      <w:r>
        <w:rPr>
          <w:rFonts w:ascii="Arial" w:hAnsi="Arial"/>
          <w:b/>
          <w:color w:val="242B67"/>
          <w:spacing w:val="-2"/>
          <w:sz w:val="23"/>
        </w:rPr>
        <w:t> </w:t>
      </w:r>
      <w:r>
        <w:rPr>
          <w:rFonts w:ascii="Microsoft Sans Serif" w:hAnsi="Microsoft Sans Serif"/>
          <w:sz w:val="23"/>
        </w:rPr>
        <w:t>Fármacos</w:t>
      </w:r>
      <w:r>
        <w:rPr>
          <w:rFonts w:ascii="Microsoft Sans Serif" w:hAnsi="Microsoft Sans Serif"/>
          <w:spacing w:val="-2"/>
          <w:sz w:val="23"/>
        </w:rPr>
        <w:t> </w:t>
      </w:r>
      <w:r>
        <w:rPr>
          <w:rFonts w:ascii="Microsoft Sans Serif" w:hAnsi="Microsoft Sans Serif"/>
          <w:sz w:val="23"/>
        </w:rPr>
        <w:t>que</w:t>
      </w:r>
      <w:r>
        <w:rPr>
          <w:rFonts w:ascii="Microsoft Sans Serif" w:hAnsi="Microsoft Sans Serif"/>
          <w:spacing w:val="1"/>
          <w:sz w:val="23"/>
        </w:rPr>
        <w:t> </w:t>
      </w:r>
      <w:r>
        <w:rPr>
          <w:rFonts w:ascii="Microsoft Sans Serif" w:hAnsi="Microsoft Sans Serif"/>
          <w:sz w:val="23"/>
        </w:rPr>
        <w:t>podem</w:t>
      </w:r>
      <w:r>
        <w:rPr>
          <w:rFonts w:ascii="Microsoft Sans Serif" w:hAnsi="Microsoft Sans Serif"/>
          <w:spacing w:val="1"/>
          <w:sz w:val="23"/>
        </w:rPr>
        <w:t> </w:t>
      </w:r>
      <w:r>
        <w:rPr>
          <w:rFonts w:ascii="Microsoft Sans Serif" w:hAnsi="Microsoft Sans Serif"/>
          <w:sz w:val="23"/>
        </w:rPr>
        <w:t>induzir</w:t>
      </w:r>
      <w:r>
        <w:rPr>
          <w:rFonts w:ascii="Microsoft Sans Serif" w:hAnsi="Microsoft Sans Serif"/>
          <w:spacing w:val="4"/>
          <w:sz w:val="23"/>
        </w:rPr>
        <w:t> </w:t>
      </w:r>
      <w:r>
        <w:rPr>
          <w:rFonts w:ascii="Microsoft Sans Serif" w:hAnsi="Microsoft Sans Serif"/>
          <w:spacing w:val="-2"/>
          <w:sz w:val="23"/>
        </w:rPr>
        <w:t>hipertensão.</w:t>
      </w:r>
    </w:p>
    <w:p>
      <w:pPr>
        <w:pStyle w:val="BodyText"/>
        <w:spacing w:before="5"/>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71"/>
        <w:gridCol w:w="2563"/>
        <w:gridCol w:w="2483"/>
        <w:gridCol w:w="2603"/>
      </w:tblGrid>
      <w:tr>
        <w:trPr>
          <w:trHeight w:val="430" w:hRule="atLeast"/>
        </w:trPr>
        <w:tc>
          <w:tcPr>
            <w:tcW w:w="2971" w:type="dxa"/>
            <w:tcBorders>
              <w:top w:val="nil"/>
              <w:left w:val="nil"/>
            </w:tcBorders>
            <w:shd w:val="clear" w:color="auto" w:fill="242B67"/>
          </w:tcPr>
          <w:p>
            <w:pPr>
              <w:pStyle w:val="TableParagraph"/>
              <w:spacing w:before="91"/>
              <w:ind w:left="67"/>
              <w:rPr>
                <w:rFonts w:ascii="Arial"/>
                <w:b/>
                <w:sz w:val="21"/>
              </w:rPr>
            </w:pPr>
            <w:r>
              <w:rPr>
                <w:rFonts w:ascii="Arial"/>
                <w:b/>
                <w:color w:val="FFFFFF"/>
                <w:spacing w:val="-2"/>
                <w:w w:val="105"/>
                <w:sz w:val="21"/>
              </w:rPr>
              <w:t>Classes</w:t>
            </w:r>
          </w:p>
        </w:tc>
        <w:tc>
          <w:tcPr>
            <w:tcW w:w="2563" w:type="dxa"/>
            <w:tcBorders>
              <w:top w:val="nil"/>
            </w:tcBorders>
            <w:shd w:val="clear" w:color="auto" w:fill="242B67"/>
          </w:tcPr>
          <w:p>
            <w:pPr>
              <w:pStyle w:val="TableParagraph"/>
              <w:spacing w:before="91"/>
              <w:rPr>
                <w:rFonts w:ascii="Arial" w:hAnsi="Arial"/>
                <w:b/>
                <w:sz w:val="21"/>
              </w:rPr>
            </w:pPr>
            <w:r>
              <w:rPr>
                <w:rFonts w:ascii="Arial" w:hAnsi="Arial"/>
                <w:b/>
                <w:color w:val="FFFFFF"/>
                <w:spacing w:val="-2"/>
                <w:w w:val="105"/>
                <w:sz w:val="21"/>
              </w:rPr>
              <w:t>Fármaco</w:t>
            </w:r>
          </w:p>
        </w:tc>
        <w:tc>
          <w:tcPr>
            <w:tcW w:w="2483" w:type="dxa"/>
            <w:tcBorders>
              <w:top w:val="nil"/>
            </w:tcBorders>
            <w:shd w:val="clear" w:color="auto" w:fill="242B67"/>
          </w:tcPr>
          <w:p>
            <w:pPr>
              <w:pStyle w:val="TableParagraph"/>
              <w:spacing w:before="91"/>
              <w:rPr>
                <w:rFonts w:ascii="Arial"/>
                <w:b/>
                <w:sz w:val="21"/>
              </w:rPr>
            </w:pPr>
            <w:r>
              <w:rPr>
                <w:rFonts w:ascii="Arial"/>
                <w:b/>
                <w:color w:val="FFFFFF"/>
                <w:w w:val="105"/>
                <w:sz w:val="21"/>
              </w:rPr>
              <w:t>Efeito</w:t>
            </w:r>
            <w:r>
              <w:rPr>
                <w:rFonts w:ascii="Arial"/>
                <w:b/>
                <w:color w:val="FFFFFF"/>
                <w:spacing w:val="7"/>
                <w:w w:val="105"/>
                <w:sz w:val="21"/>
              </w:rPr>
              <w:t> </w:t>
            </w:r>
            <w:r>
              <w:rPr>
                <w:rFonts w:ascii="Arial"/>
                <w:b/>
                <w:color w:val="FFFFFF"/>
                <w:spacing w:val="-2"/>
                <w:w w:val="105"/>
                <w:sz w:val="21"/>
              </w:rPr>
              <w:t>pressor</w:t>
            </w:r>
          </w:p>
        </w:tc>
        <w:tc>
          <w:tcPr>
            <w:tcW w:w="2603" w:type="dxa"/>
            <w:tcBorders>
              <w:top w:val="nil"/>
              <w:right w:val="nil"/>
            </w:tcBorders>
            <w:shd w:val="clear" w:color="auto" w:fill="242B67"/>
          </w:tcPr>
          <w:p>
            <w:pPr>
              <w:pStyle w:val="TableParagraph"/>
              <w:spacing w:before="91"/>
              <w:ind w:left="64"/>
              <w:rPr>
                <w:rFonts w:ascii="Arial" w:hAnsi="Arial"/>
                <w:b/>
                <w:sz w:val="21"/>
              </w:rPr>
            </w:pPr>
            <w:r>
              <w:rPr>
                <w:rFonts w:ascii="Arial" w:hAnsi="Arial"/>
                <w:b/>
                <w:color w:val="FFFFFF"/>
                <w:w w:val="105"/>
                <w:sz w:val="21"/>
              </w:rPr>
              <w:t>Ação</w:t>
            </w:r>
            <w:r>
              <w:rPr>
                <w:rFonts w:ascii="Arial" w:hAnsi="Arial"/>
                <w:b/>
                <w:color w:val="FFFFFF"/>
                <w:spacing w:val="2"/>
                <w:w w:val="105"/>
                <w:sz w:val="21"/>
              </w:rPr>
              <w:t> </w:t>
            </w:r>
            <w:r>
              <w:rPr>
                <w:rFonts w:ascii="Arial" w:hAnsi="Arial"/>
                <w:b/>
                <w:color w:val="FFFFFF"/>
                <w:spacing w:val="-2"/>
                <w:w w:val="105"/>
                <w:sz w:val="21"/>
              </w:rPr>
              <w:t>sugerida</w:t>
            </w:r>
          </w:p>
        </w:tc>
      </w:tr>
      <w:tr>
        <w:trPr>
          <w:trHeight w:val="1645" w:hRule="atLeast"/>
        </w:trPr>
        <w:tc>
          <w:tcPr>
            <w:tcW w:w="2971" w:type="dxa"/>
            <w:vMerge w:val="restart"/>
            <w:tcBorders>
              <w:left w:val="nil"/>
            </w:tcBorders>
            <w:shd w:val="clear" w:color="auto" w:fill="EDECF3"/>
          </w:tcPr>
          <w:p>
            <w:pPr>
              <w:pStyle w:val="TableParagraph"/>
              <w:spacing w:before="93"/>
              <w:ind w:left="67"/>
              <w:rPr>
                <w:sz w:val="21"/>
              </w:rPr>
            </w:pPr>
            <w:r>
              <w:rPr>
                <w:spacing w:val="-2"/>
                <w:w w:val="105"/>
                <w:sz w:val="21"/>
              </w:rPr>
              <w:t>Imunossupressores</w:t>
            </w:r>
          </w:p>
        </w:tc>
        <w:tc>
          <w:tcPr>
            <w:tcW w:w="2563" w:type="dxa"/>
            <w:shd w:val="clear" w:color="auto" w:fill="EDECF3"/>
          </w:tcPr>
          <w:p>
            <w:pPr>
              <w:pStyle w:val="TableParagraph"/>
              <w:spacing w:before="93"/>
              <w:ind w:left="66"/>
              <w:rPr>
                <w:sz w:val="21"/>
              </w:rPr>
            </w:pPr>
            <w:r>
              <w:rPr>
                <w:spacing w:val="2"/>
                <w:sz w:val="21"/>
              </w:rPr>
              <w:t>Ciclosporina*,</w:t>
            </w:r>
            <w:r>
              <w:rPr>
                <w:spacing w:val="61"/>
                <w:sz w:val="21"/>
              </w:rPr>
              <w:t> </w:t>
            </w:r>
            <w:r>
              <w:rPr>
                <w:spacing w:val="-2"/>
                <w:sz w:val="21"/>
              </w:rPr>
              <w:t>tacrolim*</w:t>
            </w:r>
          </w:p>
        </w:tc>
        <w:tc>
          <w:tcPr>
            <w:tcW w:w="2483" w:type="dxa"/>
            <w:shd w:val="clear" w:color="auto" w:fill="EDECF3"/>
          </w:tcPr>
          <w:p>
            <w:pPr>
              <w:pStyle w:val="TableParagraph"/>
              <w:spacing w:before="93"/>
              <w:ind w:left="66"/>
              <w:rPr>
                <w:sz w:val="21"/>
              </w:rPr>
            </w:pPr>
            <w:r>
              <w:rPr>
                <w:spacing w:val="-2"/>
                <w:w w:val="105"/>
                <w:sz w:val="21"/>
              </w:rPr>
              <w:t>Intenso</w:t>
            </w:r>
          </w:p>
        </w:tc>
        <w:tc>
          <w:tcPr>
            <w:tcW w:w="2603" w:type="dxa"/>
            <w:tcBorders>
              <w:right w:val="nil"/>
            </w:tcBorders>
            <w:shd w:val="clear" w:color="auto" w:fill="EDECF3"/>
          </w:tcPr>
          <w:p>
            <w:pPr>
              <w:pStyle w:val="TableParagraph"/>
              <w:spacing w:line="307" w:lineRule="auto" w:before="93"/>
              <w:ind w:left="64"/>
              <w:rPr>
                <w:sz w:val="21"/>
              </w:rPr>
            </w:pPr>
            <w:r>
              <w:rPr>
                <w:w w:val="105"/>
                <w:sz w:val="21"/>
              </w:rPr>
              <w:t>Inibidor da enzima conversora da angiotensina e antagonista do canal </w:t>
            </w:r>
            <w:r>
              <w:rPr>
                <w:w w:val="105"/>
                <w:sz w:val="21"/>
              </w:rPr>
              <w:t>de </w:t>
            </w:r>
            <w:r>
              <w:rPr>
                <w:spacing w:val="-2"/>
                <w:w w:val="105"/>
                <w:sz w:val="21"/>
              </w:rPr>
              <w:t>cálcio</w:t>
            </w:r>
          </w:p>
        </w:tc>
      </w:tr>
      <w:tr>
        <w:trPr>
          <w:trHeight w:val="428" w:hRule="atLeast"/>
        </w:trPr>
        <w:tc>
          <w:tcPr>
            <w:tcW w:w="2971" w:type="dxa"/>
            <w:vMerge/>
            <w:tcBorders>
              <w:top w:val="nil"/>
              <w:left w:val="nil"/>
            </w:tcBorders>
            <w:shd w:val="clear" w:color="auto" w:fill="EDECF3"/>
          </w:tcPr>
          <w:p>
            <w:pPr>
              <w:rPr>
                <w:sz w:val="2"/>
                <w:szCs w:val="2"/>
              </w:rPr>
            </w:pPr>
          </w:p>
        </w:tc>
        <w:tc>
          <w:tcPr>
            <w:tcW w:w="2563" w:type="dxa"/>
            <w:shd w:val="clear" w:color="auto" w:fill="EDECF3"/>
          </w:tcPr>
          <w:p>
            <w:pPr>
              <w:pStyle w:val="TableParagraph"/>
              <w:spacing w:before="93"/>
              <w:rPr>
                <w:sz w:val="21"/>
              </w:rPr>
            </w:pPr>
            <w:r>
              <w:rPr>
                <w:spacing w:val="-2"/>
                <w:sz w:val="21"/>
              </w:rPr>
              <w:t>Glicocorticoide</w:t>
            </w:r>
          </w:p>
        </w:tc>
        <w:tc>
          <w:tcPr>
            <w:tcW w:w="2483" w:type="dxa"/>
            <w:shd w:val="clear" w:color="auto" w:fill="EDECF3"/>
          </w:tcPr>
          <w:p>
            <w:pPr>
              <w:pStyle w:val="TableParagraph"/>
              <w:spacing w:before="93"/>
              <w:rPr>
                <w:sz w:val="21"/>
              </w:rPr>
            </w:pPr>
            <w:r>
              <w:rPr>
                <w:w w:val="195"/>
                <w:sz w:val="21"/>
              </w:rPr>
              <w:t>–</w:t>
            </w:r>
          </w:p>
        </w:tc>
        <w:tc>
          <w:tcPr>
            <w:tcW w:w="2603" w:type="dxa"/>
            <w:tcBorders>
              <w:right w:val="nil"/>
            </w:tcBorders>
            <w:shd w:val="clear" w:color="auto" w:fill="EDECF3"/>
          </w:tcPr>
          <w:p>
            <w:pPr>
              <w:pStyle w:val="TableParagraph"/>
              <w:spacing w:before="93"/>
              <w:ind w:left="64"/>
              <w:rPr>
                <w:sz w:val="21"/>
              </w:rPr>
            </w:pPr>
            <w:r>
              <w:rPr>
                <w:w w:val="105"/>
                <w:sz w:val="21"/>
              </w:rPr>
              <w:t>Avaliar</w:t>
            </w:r>
            <w:r>
              <w:rPr>
                <w:spacing w:val="22"/>
                <w:w w:val="105"/>
                <w:sz w:val="21"/>
              </w:rPr>
              <w:t> </w:t>
            </w:r>
            <w:r>
              <w:rPr>
                <w:w w:val="105"/>
                <w:sz w:val="21"/>
              </w:rPr>
              <w:t>nível</w:t>
            </w:r>
            <w:r>
              <w:rPr>
                <w:spacing w:val="13"/>
                <w:w w:val="105"/>
                <w:sz w:val="21"/>
              </w:rPr>
              <w:t> </w:t>
            </w:r>
            <w:r>
              <w:rPr>
                <w:spacing w:val="-2"/>
                <w:w w:val="105"/>
                <w:sz w:val="21"/>
              </w:rPr>
              <w:t>sérico</w:t>
            </w:r>
          </w:p>
        </w:tc>
      </w:tr>
      <w:tr>
        <w:trPr>
          <w:trHeight w:val="1037" w:hRule="atLeast"/>
        </w:trPr>
        <w:tc>
          <w:tcPr>
            <w:tcW w:w="2971" w:type="dxa"/>
            <w:tcBorders>
              <w:left w:val="nil"/>
            </w:tcBorders>
            <w:shd w:val="clear" w:color="auto" w:fill="EDECF3"/>
          </w:tcPr>
          <w:p>
            <w:pPr>
              <w:pStyle w:val="TableParagraph"/>
              <w:spacing w:line="307" w:lineRule="auto" w:before="93"/>
              <w:ind w:left="67"/>
              <w:rPr>
                <w:sz w:val="21"/>
              </w:rPr>
            </w:pPr>
            <w:r>
              <w:rPr>
                <w:w w:val="105"/>
                <w:sz w:val="21"/>
              </w:rPr>
              <w:t>Anti-inflamatórios não </w:t>
            </w:r>
            <w:r>
              <w:rPr>
                <w:spacing w:val="-2"/>
                <w:w w:val="105"/>
                <w:sz w:val="21"/>
              </w:rPr>
              <w:t>hormonais</w:t>
            </w:r>
          </w:p>
        </w:tc>
        <w:tc>
          <w:tcPr>
            <w:tcW w:w="2563" w:type="dxa"/>
            <w:shd w:val="clear" w:color="auto" w:fill="EDECF3"/>
          </w:tcPr>
          <w:p>
            <w:pPr>
              <w:pStyle w:val="TableParagraph"/>
              <w:spacing w:line="307" w:lineRule="auto" w:before="93"/>
              <w:ind w:right="464"/>
              <w:rPr>
                <w:sz w:val="21"/>
              </w:rPr>
            </w:pPr>
            <w:r>
              <w:rPr>
                <w:w w:val="105"/>
                <w:sz w:val="21"/>
              </w:rPr>
              <w:t>Inibidores das </w:t>
            </w:r>
            <w:r>
              <w:rPr>
                <w:w w:val="105"/>
                <w:sz w:val="21"/>
              </w:rPr>
              <w:t>ciclo-oxigenases 1 e 2</w:t>
            </w:r>
          </w:p>
        </w:tc>
        <w:tc>
          <w:tcPr>
            <w:tcW w:w="2483" w:type="dxa"/>
            <w:shd w:val="clear" w:color="auto" w:fill="EDECF3"/>
          </w:tcPr>
          <w:p>
            <w:pPr>
              <w:pStyle w:val="TableParagraph"/>
              <w:spacing w:line="307" w:lineRule="auto" w:before="93"/>
              <w:rPr>
                <w:sz w:val="21"/>
              </w:rPr>
            </w:pPr>
            <w:r>
              <w:rPr>
                <w:w w:val="105"/>
                <w:sz w:val="21"/>
              </w:rPr>
              <w:t>Eventual, muito relevante com o </w:t>
            </w:r>
            <w:r>
              <w:rPr>
                <w:w w:val="105"/>
                <w:sz w:val="21"/>
              </w:rPr>
              <w:t>uso </w:t>
            </w:r>
            <w:r>
              <w:rPr>
                <w:spacing w:val="-2"/>
                <w:w w:val="105"/>
                <w:sz w:val="21"/>
              </w:rPr>
              <w:t>contínuo</w:t>
            </w:r>
          </w:p>
        </w:tc>
        <w:tc>
          <w:tcPr>
            <w:tcW w:w="2603" w:type="dxa"/>
            <w:tcBorders>
              <w:right w:val="nil"/>
            </w:tcBorders>
            <w:shd w:val="clear" w:color="auto" w:fill="EDECF3"/>
          </w:tcPr>
          <w:p>
            <w:pPr>
              <w:pStyle w:val="TableParagraph"/>
              <w:spacing w:line="307" w:lineRule="auto" w:before="93"/>
              <w:ind w:left="64" w:right="248"/>
              <w:rPr>
                <w:sz w:val="21"/>
              </w:rPr>
            </w:pPr>
            <w:r>
              <w:rPr>
                <w:w w:val="105"/>
                <w:sz w:val="21"/>
              </w:rPr>
              <w:t>Observar função </w:t>
            </w:r>
            <w:r>
              <w:rPr>
                <w:w w:val="105"/>
                <w:sz w:val="21"/>
              </w:rPr>
              <w:t>renal e informar efeitos </w:t>
            </w:r>
            <w:r>
              <w:rPr>
                <w:spacing w:val="-2"/>
                <w:w w:val="105"/>
                <w:sz w:val="21"/>
              </w:rPr>
              <w:t>adversos</w:t>
            </w:r>
          </w:p>
        </w:tc>
      </w:tr>
      <w:tr>
        <w:trPr>
          <w:trHeight w:val="732" w:hRule="atLeast"/>
        </w:trPr>
        <w:tc>
          <w:tcPr>
            <w:tcW w:w="2971" w:type="dxa"/>
            <w:vMerge w:val="restart"/>
            <w:tcBorders>
              <w:left w:val="nil"/>
            </w:tcBorders>
            <w:shd w:val="clear" w:color="auto" w:fill="EDECF3"/>
          </w:tcPr>
          <w:p>
            <w:pPr>
              <w:pStyle w:val="TableParagraph"/>
              <w:spacing w:before="93"/>
              <w:ind w:left="67"/>
              <w:rPr>
                <w:sz w:val="21"/>
              </w:rPr>
            </w:pPr>
            <w:r>
              <w:rPr>
                <w:spacing w:val="-2"/>
                <w:w w:val="105"/>
                <w:sz w:val="21"/>
              </w:rPr>
              <w:t>Anorexígenos/sacietógenos</w:t>
            </w:r>
          </w:p>
        </w:tc>
        <w:tc>
          <w:tcPr>
            <w:tcW w:w="2563" w:type="dxa"/>
            <w:shd w:val="clear" w:color="auto" w:fill="EDECF3"/>
          </w:tcPr>
          <w:p>
            <w:pPr>
              <w:pStyle w:val="TableParagraph"/>
              <w:spacing w:before="93"/>
              <w:ind w:left="66"/>
              <w:rPr>
                <w:sz w:val="21"/>
              </w:rPr>
            </w:pPr>
            <w:r>
              <w:rPr>
                <w:spacing w:val="-2"/>
                <w:w w:val="105"/>
                <w:sz w:val="21"/>
              </w:rPr>
              <w:t>Anfepramona</w:t>
            </w:r>
          </w:p>
        </w:tc>
        <w:tc>
          <w:tcPr>
            <w:tcW w:w="2483" w:type="dxa"/>
            <w:shd w:val="clear" w:color="auto" w:fill="EDECF3"/>
          </w:tcPr>
          <w:p>
            <w:pPr>
              <w:pStyle w:val="TableParagraph"/>
              <w:spacing w:before="93"/>
              <w:rPr>
                <w:sz w:val="21"/>
              </w:rPr>
            </w:pPr>
            <w:r>
              <w:rPr>
                <w:spacing w:val="-2"/>
                <w:w w:val="105"/>
                <w:sz w:val="21"/>
              </w:rPr>
              <w:t>Intenso</w:t>
            </w:r>
          </w:p>
        </w:tc>
        <w:tc>
          <w:tcPr>
            <w:tcW w:w="2603" w:type="dxa"/>
            <w:tcBorders>
              <w:right w:val="nil"/>
            </w:tcBorders>
            <w:shd w:val="clear" w:color="auto" w:fill="EDECF3"/>
          </w:tcPr>
          <w:p>
            <w:pPr>
              <w:pStyle w:val="TableParagraph"/>
              <w:spacing w:line="307" w:lineRule="auto" w:before="93"/>
              <w:ind w:left="64"/>
              <w:rPr>
                <w:sz w:val="21"/>
              </w:rPr>
            </w:pPr>
            <w:r>
              <w:rPr>
                <w:w w:val="105"/>
                <w:sz w:val="21"/>
              </w:rPr>
              <w:t>Suspensão/redução </w:t>
            </w:r>
            <w:r>
              <w:rPr>
                <w:w w:val="105"/>
                <w:sz w:val="21"/>
              </w:rPr>
              <w:t>da </w:t>
            </w:r>
            <w:r>
              <w:rPr>
                <w:spacing w:val="-4"/>
                <w:w w:val="105"/>
                <w:sz w:val="21"/>
              </w:rPr>
              <w:t>dose</w:t>
            </w:r>
          </w:p>
        </w:tc>
      </w:tr>
      <w:tr>
        <w:trPr>
          <w:trHeight w:val="1037" w:hRule="atLeast"/>
        </w:trPr>
        <w:tc>
          <w:tcPr>
            <w:tcW w:w="2971" w:type="dxa"/>
            <w:vMerge/>
            <w:tcBorders>
              <w:top w:val="nil"/>
              <w:left w:val="nil"/>
            </w:tcBorders>
            <w:shd w:val="clear" w:color="auto" w:fill="EDECF3"/>
          </w:tcPr>
          <w:p>
            <w:pPr>
              <w:rPr>
                <w:sz w:val="2"/>
                <w:szCs w:val="2"/>
              </w:rPr>
            </w:pPr>
          </w:p>
        </w:tc>
        <w:tc>
          <w:tcPr>
            <w:tcW w:w="2563" w:type="dxa"/>
            <w:shd w:val="clear" w:color="auto" w:fill="EDECF3"/>
          </w:tcPr>
          <w:p>
            <w:pPr>
              <w:pStyle w:val="TableParagraph"/>
              <w:spacing w:before="93"/>
              <w:rPr>
                <w:sz w:val="21"/>
              </w:rPr>
            </w:pPr>
            <w:r>
              <w:rPr>
                <w:spacing w:val="-2"/>
                <w:w w:val="105"/>
                <w:sz w:val="21"/>
              </w:rPr>
              <w:t>Sibutramina</w:t>
            </w:r>
          </w:p>
        </w:tc>
        <w:tc>
          <w:tcPr>
            <w:tcW w:w="2483" w:type="dxa"/>
            <w:shd w:val="clear" w:color="auto" w:fill="EDECF3"/>
          </w:tcPr>
          <w:p>
            <w:pPr>
              <w:pStyle w:val="TableParagraph"/>
              <w:spacing w:before="93"/>
              <w:rPr>
                <w:sz w:val="21"/>
              </w:rPr>
            </w:pPr>
            <w:r>
              <w:rPr>
                <w:spacing w:val="-2"/>
                <w:w w:val="105"/>
                <w:sz w:val="21"/>
              </w:rPr>
              <w:t>Moderado</w:t>
            </w:r>
          </w:p>
        </w:tc>
        <w:tc>
          <w:tcPr>
            <w:tcW w:w="2603" w:type="dxa"/>
            <w:tcBorders>
              <w:right w:val="nil"/>
            </w:tcBorders>
            <w:shd w:val="clear" w:color="auto" w:fill="EDECF3"/>
          </w:tcPr>
          <w:p>
            <w:pPr>
              <w:pStyle w:val="TableParagraph"/>
              <w:spacing w:line="307" w:lineRule="auto" w:before="93"/>
              <w:ind w:left="64"/>
              <w:rPr>
                <w:sz w:val="21"/>
              </w:rPr>
            </w:pPr>
            <w:r>
              <w:rPr>
                <w:w w:val="105"/>
                <w:sz w:val="21"/>
              </w:rPr>
              <w:t>Avaliar redução da pressão arterial </w:t>
            </w:r>
            <w:r>
              <w:rPr>
                <w:w w:val="105"/>
                <w:sz w:val="21"/>
              </w:rPr>
              <w:t>com perda de peso</w:t>
            </w:r>
          </w:p>
        </w:tc>
      </w:tr>
      <w:tr>
        <w:trPr>
          <w:trHeight w:val="732" w:hRule="atLeast"/>
        </w:trPr>
        <w:tc>
          <w:tcPr>
            <w:tcW w:w="2971" w:type="dxa"/>
            <w:vMerge/>
            <w:tcBorders>
              <w:top w:val="nil"/>
              <w:left w:val="nil"/>
            </w:tcBorders>
            <w:shd w:val="clear" w:color="auto" w:fill="EDECF3"/>
          </w:tcPr>
          <w:p>
            <w:pPr>
              <w:rPr>
                <w:sz w:val="2"/>
                <w:szCs w:val="2"/>
              </w:rPr>
            </w:pPr>
          </w:p>
        </w:tc>
        <w:tc>
          <w:tcPr>
            <w:tcW w:w="2563" w:type="dxa"/>
            <w:shd w:val="clear" w:color="auto" w:fill="EDECF3"/>
          </w:tcPr>
          <w:p>
            <w:pPr>
              <w:pStyle w:val="TableParagraph"/>
              <w:spacing w:before="93"/>
              <w:rPr>
                <w:sz w:val="21"/>
              </w:rPr>
            </w:pPr>
            <w:r>
              <w:rPr>
                <w:spacing w:val="-2"/>
                <w:w w:val="105"/>
                <w:sz w:val="21"/>
              </w:rPr>
              <w:t>Vasoconstritores</w:t>
            </w:r>
          </w:p>
        </w:tc>
        <w:tc>
          <w:tcPr>
            <w:tcW w:w="2483" w:type="dxa"/>
            <w:shd w:val="clear" w:color="auto" w:fill="EDECF3"/>
          </w:tcPr>
          <w:p>
            <w:pPr>
              <w:pStyle w:val="TableParagraph"/>
              <w:spacing w:line="307" w:lineRule="auto" w:before="93"/>
              <w:ind w:right="148"/>
              <w:rPr>
                <w:sz w:val="21"/>
              </w:rPr>
            </w:pPr>
            <w:r>
              <w:rPr>
                <w:w w:val="105"/>
                <w:sz w:val="21"/>
              </w:rPr>
              <w:t>Variável,</w:t>
            </w:r>
            <w:r>
              <w:rPr>
                <w:spacing w:val="-15"/>
                <w:w w:val="105"/>
                <w:sz w:val="21"/>
              </w:rPr>
              <w:t> </w:t>
            </w:r>
            <w:r>
              <w:rPr>
                <w:w w:val="105"/>
                <w:sz w:val="21"/>
              </w:rPr>
              <w:t>mas </w:t>
            </w:r>
            <w:r>
              <w:rPr>
                <w:spacing w:val="-2"/>
                <w:w w:val="105"/>
                <w:sz w:val="21"/>
              </w:rPr>
              <w:t>transitório</w:t>
            </w:r>
          </w:p>
        </w:tc>
        <w:tc>
          <w:tcPr>
            <w:tcW w:w="2603" w:type="dxa"/>
            <w:tcBorders>
              <w:right w:val="nil"/>
            </w:tcBorders>
            <w:shd w:val="clear" w:color="auto" w:fill="EDECF3"/>
          </w:tcPr>
          <w:p>
            <w:pPr>
              <w:pStyle w:val="TableParagraph"/>
              <w:spacing w:line="307" w:lineRule="auto" w:before="93"/>
              <w:ind w:left="64"/>
              <w:rPr>
                <w:sz w:val="21"/>
              </w:rPr>
            </w:pPr>
            <w:r>
              <w:rPr>
                <w:w w:val="105"/>
                <w:sz w:val="21"/>
              </w:rPr>
              <w:t>Usar por </w:t>
            </w:r>
            <w:r>
              <w:rPr>
                <w:w w:val="105"/>
                <w:sz w:val="21"/>
              </w:rPr>
              <w:t>tempo </w:t>
            </w:r>
            <w:r>
              <w:rPr>
                <w:spacing w:val="-2"/>
                <w:w w:val="105"/>
                <w:sz w:val="21"/>
              </w:rPr>
              <w:t>determinado</w:t>
            </w:r>
          </w:p>
        </w:tc>
      </w:tr>
      <w:tr>
        <w:trPr>
          <w:trHeight w:val="732" w:hRule="atLeast"/>
        </w:trPr>
        <w:tc>
          <w:tcPr>
            <w:tcW w:w="2971" w:type="dxa"/>
            <w:vMerge w:val="restart"/>
            <w:tcBorders>
              <w:left w:val="nil"/>
            </w:tcBorders>
            <w:shd w:val="clear" w:color="auto" w:fill="EDECF3"/>
          </w:tcPr>
          <w:p>
            <w:pPr>
              <w:pStyle w:val="TableParagraph"/>
              <w:spacing w:before="93"/>
              <w:ind w:left="67"/>
              <w:rPr>
                <w:sz w:val="21"/>
              </w:rPr>
            </w:pPr>
            <w:r>
              <w:rPr>
                <w:spacing w:val="-2"/>
                <w:w w:val="105"/>
                <w:sz w:val="21"/>
              </w:rPr>
              <w:t>Hormônios</w:t>
            </w:r>
          </w:p>
        </w:tc>
        <w:tc>
          <w:tcPr>
            <w:tcW w:w="2563" w:type="dxa"/>
            <w:shd w:val="clear" w:color="auto" w:fill="EDECF3"/>
          </w:tcPr>
          <w:p>
            <w:pPr>
              <w:pStyle w:val="TableParagraph"/>
              <w:spacing w:before="93"/>
              <w:rPr>
                <w:sz w:val="21"/>
              </w:rPr>
            </w:pPr>
            <w:r>
              <w:rPr>
                <w:spacing w:val="-2"/>
                <w:w w:val="105"/>
                <w:sz w:val="21"/>
              </w:rPr>
              <w:t>Eritropoetina</w:t>
            </w:r>
          </w:p>
        </w:tc>
        <w:tc>
          <w:tcPr>
            <w:tcW w:w="2483" w:type="dxa"/>
            <w:shd w:val="clear" w:color="auto" w:fill="EDECF3"/>
          </w:tcPr>
          <w:p>
            <w:pPr>
              <w:pStyle w:val="TableParagraph"/>
              <w:spacing w:before="93"/>
              <w:rPr>
                <w:sz w:val="21"/>
              </w:rPr>
            </w:pPr>
            <w:r>
              <w:rPr>
                <w:spacing w:val="-2"/>
                <w:w w:val="105"/>
                <w:sz w:val="21"/>
              </w:rPr>
              <w:t>Variável</w:t>
            </w:r>
          </w:p>
        </w:tc>
        <w:tc>
          <w:tcPr>
            <w:tcW w:w="2603" w:type="dxa"/>
            <w:tcBorders>
              <w:right w:val="nil"/>
            </w:tcBorders>
            <w:shd w:val="clear" w:color="auto" w:fill="EDECF3"/>
          </w:tcPr>
          <w:p>
            <w:pPr>
              <w:pStyle w:val="TableParagraph"/>
              <w:spacing w:line="307" w:lineRule="auto" w:before="93"/>
              <w:ind w:left="64" w:right="248"/>
              <w:rPr>
                <w:sz w:val="21"/>
              </w:rPr>
            </w:pPr>
            <w:r>
              <w:rPr>
                <w:w w:val="105"/>
                <w:sz w:val="21"/>
              </w:rPr>
              <w:t>Avaliar hematócrito e </w:t>
            </w:r>
            <w:r>
              <w:rPr>
                <w:spacing w:val="-4"/>
                <w:w w:val="105"/>
                <w:sz w:val="21"/>
              </w:rPr>
              <w:t>dose</w:t>
            </w:r>
          </w:p>
        </w:tc>
      </w:tr>
      <w:tr>
        <w:trPr>
          <w:trHeight w:val="732" w:hRule="atLeast"/>
        </w:trPr>
        <w:tc>
          <w:tcPr>
            <w:tcW w:w="2971" w:type="dxa"/>
            <w:vMerge/>
            <w:tcBorders>
              <w:top w:val="nil"/>
              <w:left w:val="nil"/>
            </w:tcBorders>
            <w:shd w:val="clear" w:color="auto" w:fill="EDECF3"/>
          </w:tcPr>
          <w:p>
            <w:pPr>
              <w:rPr>
                <w:sz w:val="2"/>
                <w:szCs w:val="2"/>
              </w:rPr>
            </w:pPr>
          </w:p>
        </w:tc>
        <w:tc>
          <w:tcPr>
            <w:tcW w:w="2563" w:type="dxa"/>
            <w:shd w:val="clear" w:color="auto" w:fill="EDECF3"/>
          </w:tcPr>
          <w:p>
            <w:pPr>
              <w:pStyle w:val="TableParagraph"/>
              <w:spacing w:before="93"/>
              <w:rPr>
                <w:sz w:val="21"/>
              </w:rPr>
            </w:pPr>
            <w:r>
              <w:rPr>
                <w:spacing w:val="4"/>
                <w:sz w:val="21"/>
              </w:rPr>
              <w:t>Anticoncepcionais</w:t>
            </w:r>
            <w:r>
              <w:rPr>
                <w:spacing w:val="54"/>
                <w:sz w:val="21"/>
              </w:rPr>
              <w:t> </w:t>
            </w:r>
            <w:r>
              <w:rPr>
                <w:spacing w:val="-4"/>
                <w:sz w:val="21"/>
              </w:rPr>
              <w:t>orais</w:t>
            </w:r>
          </w:p>
        </w:tc>
        <w:tc>
          <w:tcPr>
            <w:tcW w:w="2483" w:type="dxa"/>
            <w:shd w:val="clear" w:color="auto" w:fill="EDECF3"/>
          </w:tcPr>
          <w:p>
            <w:pPr>
              <w:pStyle w:val="TableParagraph"/>
              <w:spacing w:before="93"/>
              <w:rPr>
                <w:sz w:val="21"/>
              </w:rPr>
            </w:pPr>
            <w:r>
              <w:rPr>
                <w:w w:val="195"/>
                <w:sz w:val="21"/>
              </w:rPr>
              <w:t>–</w:t>
            </w:r>
          </w:p>
        </w:tc>
        <w:tc>
          <w:tcPr>
            <w:tcW w:w="2603" w:type="dxa"/>
            <w:tcBorders>
              <w:right w:val="nil"/>
            </w:tcBorders>
            <w:shd w:val="clear" w:color="auto" w:fill="EDECF3"/>
          </w:tcPr>
          <w:p>
            <w:pPr>
              <w:pStyle w:val="TableParagraph"/>
              <w:spacing w:line="307" w:lineRule="auto" w:before="93"/>
              <w:ind w:left="64" w:right="248"/>
              <w:rPr>
                <w:sz w:val="21"/>
              </w:rPr>
            </w:pPr>
            <w:r>
              <w:rPr>
                <w:w w:val="105"/>
                <w:sz w:val="21"/>
              </w:rPr>
              <w:t>Avaliar a substituição do método</w:t>
            </w:r>
          </w:p>
        </w:tc>
      </w:tr>
      <w:tr>
        <w:trPr>
          <w:trHeight w:val="732" w:hRule="atLeast"/>
        </w:trPr>
        <w:tc>
          <w:tcPr>
            <w:tcW w:w="2971" w:type="dxa"/>
            <w:vMerge/>
            <w:tcBorders>
              <w:top w:val="nil"/>
              <w:left w:val="nil"/>
            </w:tcBorders>
            <w:shd w:val="clear" w:color="auto" w:fill="EDECF3"/>
          </w:tcPr>
          <w:p>
            <w:pPr>
              <w:rPr>
                <w:sz w:val="2"/>
                <w:szCs w:val="2"/>
              </w:rPr>
            </w:pPr>
          </w:p>
        </w:tc>
        <w:tc>
          <w:tcPr>
            <w:tcW w:w="2563" w:type="dxa"/>
            <w:shd w:val="clear" w:color="auto" w:fill="EDECF3"/>
          </w:tcPr>
          <w:p>
            <w:pPr>
              <w:pStyle w:val="TableParagraph"/>
              <w:spacing w:line="307" w:lineRule="auto" w:before="93"/>
              <w:rPr>
                <w:sz w:val="21"/>
              </w:rPr>
            </w:pPr>
            <w:r>
              <w:rPr>
                <w:w w:val="105"/>
                <w:sz w:val="21"/>
              </w:rPr>
              <w:t>Terapia de </w:t>
            </w:r>
            <w:r>
              <w:rPr>
                <w:w w:val="105"/>
                <w:sz w:val="21"/>
              </w:rPr>
              <w:t>reposição </w:t>
            </w:r>
            <w:r>
              <w:rPr>
                <w:spacing w:val="-2"/>
                <w:w w:val="105"/>
                <w:sz w:val="21"/>
              </w:rPr>
              <w:t>estrogênica</w:t>
            </w:r>
          </w:p>
        </w:tc>
        <w:tc>
          <w:tcPr>
            <w:tcW w:w="2483" w:type="dxa"/>
            <w:shd w:val="clear" w:color="auto" w:fill="EDECF3"/>
          </w:tcPr>
          <w:p>
            <w:pPr>
              <w:pStyle w:val="TableParagraph"/>
              <w:spacing w:before="93"/>
              <w:rPr>
                <w:sz w:val="21"/>
              </w:rPr>
            </w:pPr>
            <w:r>
              <w:rPr>
                <w:w w:val="195"/>
                <w:sz w:val="21"/>
              </w:rPr>
              <w:t>–</w:t>
            </w:r>
          </w:p>
        </w:tc>
        <w:tc>
          <w:tcPr>
            <w:tcW w:w="2603" w:type="dxa"/>
            <w:tcBorders>
              <w:right w:val="nil"/>
            </w:tcBorders>
            <w:shd w:val="clear" w:color="auto" w:fill="EDECF3"/>
          </w:tcPr>
          <w:p>
            <w:pPr>
              <w:pStyle w:val="TableParagraph"/>
              <w:spacing w:line="307" w:lineRule="auto" w:before="93"/>
              <w:ind w:left="64"/>
              <w:rPr>
                <w:sz w:val="21"/>
              </w:rPr>
            </w:pPr>
            <w:r>
              <w:rPr>
                <w:w w:val="105"/>
                <w:sz w:val="21"/>
              </w:rPr>
              <w:t>Avaliar riscos</w:t>
            </w:r>
            <w:r>
              <w:rPr>
                <w:spacing w:val="-2"/>
                <w:w w:val="105"/>
                <w:sz w:val="21"/>
              </w:rPr>
              <w:t> </w:t>
            </w:r>
            <w:r>
              <w:rPr>
                <w:w w:val="105"/>
                <w:sz w:val="21"/>
              </w:rPr>
              <w:t>e </w:t>
            </w:r>
            <w:r>
              <w:rPr>
                <w:spacing w:val="-2"/>
                <w:sz w:val="21"/>
              </w:rPr>
              <w:t>custo/benefício</w:t>
            </w:r>
          </w:p>
        </w:tc>
      </w:tr>
      <w:tr>
        <w:trPr>
          <w:trHeight w:val="732" w:hRule="atLeast"/>
        </w:trPr>
        <w:tc>
          <w:tcPr>
            <w:tcW w:w="2971" w:type="dxa"/>
            <w:vMerge/>
            <w:tcBorders>
              <w:top w:val="nil"/>
              <w:left w:val="nil"/>
            </w:tcBorders>
            <w:shd w:val="clear" w:color="auto" w:fill="EDECF3"/>
          </w:tcPr>
          <w:p>
            <w:pPr>
              <w:rPr>
                <w:sz w:val="2"/>
                <w:szCs w:val="2"/>
              </w:rPr>
            </w:pPr>
          </w:p>
        </w:tc>
        <w:tc>
          <w:tcPr>
            <w:tcW w:w="2563" w:type="dxa"/>
            <w:shd w:val="clear" w:color="auto" w:fill="EDECF3"/>
          </w:tcPr>
          <w:p>
            <w:pPr>
              <w:pStyle w:val="TableParagraph"/>
              <w:spacing w:line="307" w:lineRule="auto" w:before="93"/>
              <w:ind w:right="464"/>
              <w:rPr>
                <w:sz w:val="21"/>
              </w:rPr>
            </w:pPr>
            <w:r>
              <w:rPr>
                <w:w w:val="105"/>
                <w:sz w:val="21"/>
              </w:rPr>
              <w:t>Hormônio</w:t>
            </w:r>
            <w:r>
              <w:rPr>
                <w:spacing w:val="-8"/>
                <w:w w:val="105"/>
                <w:sz w:val="21"/>
              </w:rPr>
              <w:t> </w:t>
            </w:r>
            <w:r>
              <w:rPr>
                <w:w w:val="105"/>
                <w:sz w:val="21"/>
              </w:rPr>
              <w:t>de </w:t>
            </w:r>
            <w:r>
              <w:rPr>
                <w:spacing w:val="-2"/>
                <w:w w:val="105"/>
                <w:sz w:val="21"/>
              </w:rPr>
              <w:t>crescimento</w:t>
            </w:r>
          </w:p>
        </w:tc>
        <w:tc>
          <w:tcPr>
            <w:tcW w:w="2483" w:type="dxa"/>
            <w:shd w:val="clear" w:color="auto" w:fill="EDECF3"/>
          </w:tcPr>
          <w:p>
            <w:pPr>
              <w:pStyle w:val="TableParagraph"/>
              <w:spacing w:before="93"/>
              <w:rPr>
                <w:sz w:val="21"/>
              </w:rPr>
            </w:pPr>
            <w:r>
              <w:rPr>
                <w:w w:val="195"/>
                <w:sz w:val="21"/>
              </w:rPr>
              <w:t>–</w:t>
            </w:r>
          </w:p>
        </w:tc>
        <w:tc>
          <w:tcPr>
            <w:tcW w:w="2603" w:type="dxa"/>
            <w:tcBorders>
              <w:right w:val="nil"/>
            </w:tcBorders>
            <w:shd w:val="clear" w:color="auto" w:fill="EDECF3"/>
          </w:tcPr>
          <w:p>
            <w:pPr>
              <w:pStyle w:val="TableParagraph"/>
              <w:spacing w:before="93"/>
              <w:ind w:left="64"/>
              <w:rPr>
                <w:sz w:val="21"/>
              </w:rPr>
            </w:pPr>
            <w:r>
              <w:rPr>
                <w:spacing w:val="-2"/>
                <w:w w:val="105"/>
                <w:sz w:val="21"/>
              </w:rPr>
              <w:t>Suspensão</w:t>
            </w:r>
          </w:p>
        </w:tc>
      </w:tr>
      <w:tr>
        <w:trPr>
          <w:trHeight w:val="732" w:hRule="atLeast"/>
        </w:trPr>
        <w:tc>
          <w:tcPr>
            <w:tcW w:w="2971" w:type="dxa"/>
            <w:vMerge w:val="restart"/>
            <w:tcBorders>
              <w:left w:val="nil"/>
            </w:tcBorders>
            <w:shd w:val="clear" w:color="auto" w:fill="EDECF3"/>
          </w:tcPr>
          <w:p>
            <w:pPr>
              <w:pStyle w:val="TableParagraph"/>
              <w:spacing w:before="93"/>
              <w:ind w:left="67"/>
              <w:rPr>
                <w:sz w:val="21"/>
              </w:rPr>
            </w:pPr>
            <w:r>
              <w:rPr>
                <w:spacing w:val="-2"/>
                <w:w w:val="105"/>
                <w:sz w:val="21"/>
              </w:rPr>
              <w:t>Antidepressivos</w:t>
            </w:r>
          </w:p>
        </w:tc>
        <w:tc>
          <w:tcPr>
            <w:tcW w:w="2563" w:type="dxa"/>
            <w:shd w:val="clear" w:color="auto" w:fill="EDECF3"/>
          </w:tcPr>
          <w:p>
            <w:pPr>
              <w:pStyle w:val="TableParagraph"/>
              <w:spacing w:line="307" w:lineRule="auto" w:before="93"/>
              <w:rPr>
                <w:sz w:val="21"/>
              </w:rPr>
            </w:pPr>
            <w:r>
              <w:rPr>
                <w:w w:val="105"/>
                <w:sz w:val="21"/>
              </w:rPr>
              <w:t>Inibidores da </w:t>
            </w:r>
            <w:r>
              <w:rPr>
                <w:spacing w:val="-2"/>
                <w:sz w:val="21"/>
              </w:rPr>
              <w:t>monoaminoxidase</w:t>
            </w:r>
          </w:p>
        </w:tc>
        <w:tc>
          <w:tcPr>
            <w:tcW w:w="2483" w:type="dxa"/>
            <w:shd w:val="clear" w:color="auto" w:fill="EDECF3"/>
          </w:tcPr>
          <w:p>
            <w:pPr>
              <w:pStyle w:val="TableParagraph"/>
              <w:spacing w:before="93"/>
              <w:rPr>
                <w:sz w:val="21"/>
              </w:rPr>
            </w:pPr>
            <w:r>
              <w:rPr>
                <w:spacing w:val="-2"/>
                <w:w w:val="105"/>
                <w:sz w:val="21"/>
              </w:rPr>
              <w:t>Intenso</w:t>
            </w:r>
          </w:p>
        </w:tc>
        <w:tc>
          <w:tcPr>
            <w:tcW w:w="2603" w:type="dxa"/>
            <w:tcBorders>
              <w:right w:val="nil"/>
            </w:tcBorders>
            <w:shd w:val="clear" w:color="auto" w:fill="EDECF3"/>
          </w:tcPr>
          <w:p>
            <w:pPr>
              <w:pStyle w:val="TableParagraph"/>
              <w:spacing w:line="307" w:lineRule="auto" w:before="93"/>
              <w:ind w:left="64"/>
              <w:rPr>
                <w:sz w:val="21"/>
              </w:rPr>
            </w:pPr>
            <w:r>
              <w:rPr>
                <w:w w:val="105"/>
                <w:sz w:val="21"/>
              </w:rPr>
              <w:t>Abordar como </w:t>
            </w:r>
            <w:r>
              <w:rPr>
                <w:w w:val="105"/>
                <w:sz w:val="21"/>
              </w:rPr>
              <w:t>crise </w:t>
            </w:r>
            <w:r>
              <w:rPr>
                <w:spacing w:val="-2"/>
                <w:w w:val="105"/>
                <w:sz w:val="21"/>
              </w:rPr>
              <w:t>adrenérgica</w:t>
            </w:r>
          </w:p>
        </w:tc>
      </w:tr>
      <w:tr>
        <w:trPr>
          <w:trHeight w:val="428" w:hRule="atLeast"/>
        </w:trPr>
        <w:tc>
          <w:tcPr>
            <w:tcW w:w="2971" w:type="dxa"/>
            <w:vMerge/>
            <w:tcBorders>
              <w:top w:val="nil"/>
              <w:left w:val="nil"/>
            </w:tcBorders>
            <w:shd w:val="clear" w:color="auto" w:fill="EDECF3"/>
          </w:tcPr>
          <w:p>
            <w:pPr>
              <w:rPr>
                <w:sz w:val="2"/>
                <w:szCs w:val="2"/>
              </w:rPr>
            </w:pPr>
          </w:p>
        </w:tc>
        <w:tc>
          <w:tcPr>
            <w:tcW w:w="2563" w:type="dxa"/>
            <w:shd w:val="clear" w:color="auto" w:fill="EDECF3"/>
          </w:tcPr>
          <w:p>
            <w:pPr>
              <w:pStyle w:val="TableParagraph"/>
              <w:spacing w:before="93"/>
              <w:rPr>
                <w:sz w:val="21"/>
              </w:rPr>
            </w:pPr>
            <w:r>
              <w:rPr>
                <w:spacing w:val="-2"/>
                <w:w w:val="105"/>
                <w:sz w:val="21"/>
              </w:rPr>
              <w:t>Tricíclicos</w:t>
            </w:r>
          </w:p>
        </w:tc>
        <w:tc>
          <w:tcPr>
            <w:tcW w:w="2483" w:type="dxa"/>
            <w:shd w:val="clear" w:color="auto" w:fill="EDECF3"/>
          </w:tcPr>
          <w:p>
            <w:pPr>
              <w:pStyle w:val="TableParagraph"/>
              <w:spacing w:before="93"/>
              <w:rPr>
                <w:sz w:val="21"/>
              </w:rPr>
            </w:pPr>
            <w:r>
              <w:rPr>
                <w:spacing w:val="-2"/>
                <w:w w:val="105"/>
                <w:sz w:val="21"/>
              </w:rPr>
              <w:t>Variável</w:t>
            </w:r>
          </w:p>
        </w:tc>
        <w:tc>
          <w:tcPr>
            <w:tcW w:w="2603" w:type="dxa"/>
            <w:tcBorders>
              <w:right w:val="nil"/>
            </w:tcBorders>
            <w:shd w:val="clear" w:color="auto" w:fill="EDECF3"/>
          </w:tcPr>
          <w:p>
            <w:pPr>
              <w:pStyle w:val="TableParagraph"/>
              <w:spacing w:before="93"/>
              <w:ind w:left="64"/>
              <w:rPr>
                <w:sz w:val="21"/>
              </w:rPr>
            </w:pPr>
            <w:r>
              <w:rPr>
                <w:w w:val="195"/>
                <w:sz w:val="21"/>
              </w:rPr>
              <w:t>–</w:t>
            </w:r>
          </w:p>
        </w:tc>
      </w:tr>
      <w:tr>
        <w:trPr>
          <w:trHeight w:val="732" w:hRule="atLeast"/>
        </w:trPr>
        <w:tc>
          <w:tcPr>
            <w:tcW w:w="2971" w:type="dxa"/>
            <w:vMerge w:val="restart"/>
            <w:tcBorders>
              <w:left w:val="nil"/>
              <w:bottom w:val="nil"/>
            </w:tcBorders>
            <w:shd w:val="clear" w:color="auto" w:fill="EDECF3"/>
          </w:tcPr>
          <w:p>
            <w:pPr>
              <w:pStyle w:val="TableParagraph"/>
              <w:spacing w:before="93"/>
              <w:ind w:left="67"/>
              <w:rPr>
                <w:sz w:val="21"/>
              </w:rPr>
            </w:pPr>
            <w:r>
              <w:rPr>
                <w:w w:val="105"/>
                <w:sz w:val="21"/>
              </w:rPr>
              <w:t>Drogas</w:t>
            </w:r>
            <w:r>
              <w:rPr>
                <w:spacing w:val="15"/>
                <w:w w:val="105"/>
                <w:sz w:val="21"/>
              </w:rPr>
              <w:t> </w:t>
            </w:r>
            <w:r>
              <w:rPr>
                <w:w w:val="105"/>
                <w:sz w:val="21"/>
              </w:rPr>
              <w:t>ilícitas</w:t>
            </w:r>
            <w:r>
              <w:rPr>
                <w:spacing w:val="16"/>
                <w:w w:val="105"/>
                <w:sz w:val="21"/>
              </w:rPr>
              <w:t> </w:t>
            </w:r>
            <w:r>
              <w:rPr>
                <w:w w:val="105"/>
                <w:sz w:val="21"/>
              </w:rPr>
              <w:t>e</w:t>
            </w:r>
            <w:r>
              <w:rPr>
                <w:spacing w:val="21"/>
                <w:w w:val="105"/>
                <w:sz w:val="21"/>
              </w:rPr>
              <w:t> </w:t>
            </w:r>
            <w:r>
              <w:rPr>
                <w:spacing w:val="-2"/>
                <w:w w:val="105"/>
                <w:sz w:val="21"/>
              </w:rPr>
              <w:t>álcool</w:t>
            </w:r>
          </w:p>
        </w:tc>
        <w:tc>
          <w:tcPr>
            <w:tcW w:w="2563" w:type="dxa"/>
            <w:shd w:val="clear" w:color="auto" w:fill="EDECF3"/>
          </w:tcPr>
          <w:p>
            <w:pPr>
              <w:pStyle w:val="TableParagraph"/>
              <w:spacing w:line="307" w:lineRule="auto" w:before="93"/>
              <w:rPr>
                <w:sz w:val="21"/>
              </w:rPr>
            </w:pPr>
            <w:r>
              <w:rPr>
                <w:w w:val="105"/>
                <w:sz w:val="21"/>
              </w:rPr>
              <w:t>Anfetaminas, cocaína </w:t>
            </w:r>
            <w:r>
              <w:rPr>
                <w:w w:val="105"/>
                <w:sz w:val="21"/>
              </w:rPr>
              <w:t>e </w:t>
            </w:r>
            <w:r>
              <w:rPr>
                <w:spacing w:val="-2"/>
                <w:w w:val="105"/>
                <w:sz w:val="21"/>
              </w:rPr>
              <w:t>derivados</w:t>
            </w:r>
          </w:p>
        </w:tc>
        <w:tc>
          <w:tcPr>
            <w:tcW w:w="2483" w:type="dxa"/>
            <w:shd w:val="clear" w:color="auto" w:fill="EDECF3"/>
          </w:tcPr>
          <w:p>
            <w:pPr>
              <w:pStyle w:val="TableParagraph"/>
              <w:spacing w:before="93"/>
              <w:rPr>
                <w:sz w:val="21"/>
              </w:rPr>
            </w:pPr>
            <w:r>
              <w:rPr>
                <w:w w:val="105"/>
                <w:sz w:val="21"/>
              </w:rPr>
              <w:t>Efeito</w:t>
            </w:r>
            <w:r>
              <w:rPr>
                <w:spacing w:val="19"/>
                <w:w w:val="105"/>
                <w:sz w:val="21"/>
              </w:rPr>
              <w:t> </w:t>
            </w:r>
            <w:r>
              <w:rPr>
                <w:w w:val="105"/>
                <w:sz w:val="21"/>
              </w:rPr>
              <w:t>agudo</w:t>
            </w:r>
            <w:r>
              <w:rPr>
                <w:spacing w:val="20"/>
                <w:w w:val="105"/>
                <w:sz w:val="21"/>
              </w:rPr>
              <w:t> </w:t>
            </w:r>
            <w:r>
              <w:rPr>
                <w:spacing w:val="-2"/>
                <w:w w:val="105"/>
                <w:sz w:val="21"/>
              </w:rPr>
              <w:t>intenso</w:t>
            </w:r>
          </w:p>
        </w:tc>
        <w:tc>
          <w:tcPr>
            <w:tcW w:w="2603" w:type="dxa"/>
            <w:tcBorders>
              <w:right w:val="nil"/>
            </w:tcBorders>
            <w:shd w:val="clear" w:color="auto" w:fill="EDECF3"/>
          </w:tcPr>
          <w:p>
            <w:pPr>
              <w:pStyle w:val="TableParagraph"/>
              <w:spacing w:line="307" w:lineRule="auto" w:before="93"/>
              <w:ind w:left="64"/>
              <w:rPr>
                <w:sz w:val="21"/>
              </w:rPr>
            </w:pPr>
            <w:r>
              <w:rPr>
                <w:w w:val="105"/>
                <w:sz w:val="21"/>
              </w:rPr>
              <w:t>Abordar como </w:t>
            </w:r>
            <w:r>
              <w:rPr>
                <w:w w:val="105"/>
                <w:sz w:val="21"/>
              </w:rPr>
              <w:t>crise </w:t>
            </w:r>
            <w:r>
              <w:rPr>
                <w:spacing w:val="-2"/>
                <w:w w:val="105"/>
                <w:sz w:val="21"/>
              </w:rPr>
              <w:t>adrenérgica</w:t>
            </w:r>
          </w:p>
        </w:tc>
      </w:tr>
      <w:tr>
        <w:trPr>
          <w:trHeight w:val="734" w:hRule="atLeast"/>
        </w:trPr>
        <w:tc>
          <w:tcPr>
            <w:tcW w:w="2971" w:type="dxa"/>
            <w:vMerge/>
            <w:tcBorders>
              <w:top w:val="nil"/>
              <w:left w:val="nil"/>
              <w:bottom w:val="nil"/>
            </w:tcBorders>
            <w:shd w:val="clear" w:color="auto" w:fill="EDECF3"/>
          </w:tcPr>
          <w:p>
            <w:pPr>
              <w:rPr>
                <w:sz w:val="2"/>
                <w:szCs w:val="2"/>
              </w:rPr>
            </w:pPr>
          </w:p>
        </w:tc>
        <w:tc>
          <w:tcPr>
            <w:tcW w:w="2563" w:type="dxa"/>
            <w:tcBorders>
              <w:bottom w:val="nil"/>
            </w:tcBorders>
            <w:shd w:val="clear" w:color="auto" w:fill="EDECF3"/>
          </w:tcPr>
          <w:p>
            <w:pPr>
              <w:pStyle w:val="TableParagraph"/>
              <w:spacing w:before="93"/>
              <w:rPr>
                <w:sz w:val="21"/>
              </w:rPr>
            </w:pPr>
            <w:r>
              <w:rPr>
                <w:spacing w:val="-2"/>
                <w:sz w:val="21"/>
              </w:rPr>
              <w:t>Álcool</w:t>
            </w:r>
          </w:p>
        </w:tc>
        <w:tc>
          <w:tcPr>
            <w:tcW w:w="2483" w:type="dxa"/>
            <w:tcBorders>
              <w:bottom w:val="nil"/>
            </w:tcBorders>
            <w:shd w:val="clear" w:color="auto" w:fill="EDECF3"/>
          </w:tcPr>
          <w:p>
            <w:pPr>
              <w:pStyle w:val="TableParagraph"/>
              <w:spacing w:before="93"/>
              <w:rPr>
                <w:sz w:val="21"/>
              </w:rPr>
            </w:pPr>
            <w:r>
              <w:rPr>
                <w:spacing w:val="-2"/>
                <w:w w:val="105"/>
                <w:sz w:val="21"/>
              </w:rPr>
              <w:t>Variável</w:t>
            </w:r>
          </w:p>
        </w:tc>
        <w:tc>
          <w:tcPr>
            <w:tcW w:w="2603" w:type="dxa"/>
            <w:tcBorders>
              <w:bottom w:val="nil"/>
              <w:right w:val="nil"/>
            </w:tcBorders>
            <w:shd w:val="clear" w:color="auto" w:fill="EDECF3"/>
          </w:tcPr>
          <w:p>
            <w:pPr>
              <w:pStyle w:val="TableParagraph"/>
              <w:spacing w:line="307" w:lineRule="auto" w:before="93"/>
              <w:ind w:left="64"/>
              <w:rPr>
                <w:sz w:val="21"/>
              </w:rPr>
            </w:pPr>
            <w:r>
              <w:rPr>
                <w:w w:val="105"/>
                <w:sz w:val="21"/>
              </w:rPr>
              <w:t>Tratamento </w:t>
            </w:r>
            <w:r>
              <w:rPr>
                <w:w w:val="105"/>
                <w:sz w:val="21"/>
              </w:rPr>
              <w:t>não </w:t>
            </w:r>
            <w:r>
              <w:rPr>
                <w:spacing w:val="-2"/>
                <w:w w:val="105"/>
                <w:sz w:val="21"/>
              </w:rPr>
              <w:t>farmacológico</w:t>
            </w:r>
          </w:p>
        </w:tc>
      </w:tr>
    </w:tbl>
    <w:p>
      <w:pPr>
        <w:pStyle w:val="BodyText"/>
        <w:spacing w:line="278" w:lineRule="auto" w:before="162"/>
        <w:ind w:right="497"/>
      </w:pPr>
      <w:r>
        <w:rPr/>
        <w:t>Vale destacar que fazer o diagnóstico de aldosteronismo suprimível por glicocorticoide é importante por duas razões principais: primeiro, pacientes com aldosteronismo suprimível por glicocorticoide são muitas vezes refratários</w:t>
      </w:r>
      <w:r>
        <w:rPr>
          <w:spacing w:val="-2"/>
        </w:rPr>
        <w:t> </w:t>
      </w:r>
      <w:r>
        <w:rPr/>
        <w:t>ao</w:t>
      </w:r>
      <w:r>
        <w:rPr>
          <w:spacing w:val="-10"/>
        </w:rPr>
        <w:t> </w:t>
      </w:r>
      <w:r>
        <w:rPr/>
        <w:t>tratamento</w:t>
      </w:r>
      <w:r>
        <w:rPr>
          <w:spacing w:val="-10"/>
        </w:rPr>
        <w:t> </w:t>
      </w:r>
      <w:r>
        <w:rPr/>
        <w:t>anti-hipertensivo</w:t>
      </w:r>
      <w:r>
        <w:rPr>
          <w:spacing w:val="-10"/>
        </w:rPr>
        <w:t> </w:t>
      </w:r>
      <w:r>
        <w:rPr/>
        <w:t>convencional</w:t>
      </w:r>
      <w:r>
        <w:rPr>
          <w:spacing w:val="-8"/>
        </w:rPr>
        <w:t> </w:t>
      </w:r>
      <w:r>
        <w:rPr/>
        <w:t>e</w:t>
      </w:r>
      <w:r>
        <w:rPr>
          <w:spacing w:val="-12"/>
        </w:rPr>
        <w:t> </w:t>
      </w:r>
      <w:r>
        <w:rPr/>
        <w:t>respondem</w:t>
      </w:r>
      <w:r>
        <w:rPr>
          <w:spacing w:val="-10"/>
        </w:rPr>
        <w:t> </w:t>
      </w:r>
      <w:r>
        <w:rPr/>
        <w:t>de</w:t>
      </w:r>
      <w:r>
        <w:rPr>
          <w:spacing w:val="-12"/>
        </w:rPr>
        <w:t> </w:t>
      </w:r>
      <w:r>
        <w:rPr/>
        <w:t>maneira</w:t>
      </w:r>
      <w:r>
        <w:rPr>
          <w:spacing w:val="-12"/>
        </w:rPr>
        <w:t> </w:t>
      </w:r>
      <w:r>
        <w:rPr/>
        <w:t>efetiva</w:t>
      </w:r>
      <w:r>
        <w:rPr>
          <w:spacing w:val="-12"/>
        </w:rPr>
        <w:t> </w:t>
      </w:r>
      <w:r>
        <w:rPr/>
        <w:t>a</w:t>
      </w:r>
      <w:r>
        <w:rPr>
          <w:spacing w:val="-12"/>
        </w:rPr>
        <w:t> </w:t>
      </w:r>
      <w:r>
        <w:rPr/>
        <w:t>uma</w:t>
      </w:r>
      <w:r>
        <w:rPr>
          <w:spacing w:val="-12"/>
        </w:rPr>
        <w:t> </w:t>
      </w:r>
      <w:r>
        <w:rPr/>
        <w:t>terapia</w:t>
      </w:r>
      <w:r>
        <w:rPr>
          <w:spacing w:val="-12"/>
        </w:rPr>
        <w:t> </w:t>
      </w:r>
      <w:r>
        <w:rPr/>
        <w:t>direcionada</w:t>
      </w:r>
      <w:r>
        <w:rPr>
          <w:spacing w:val="-12"/>
        </w:rPr>
        <w:t> </w:t>
      </w:r>
      <w:r>
        <w:rPr/>
        <w:t>à anormalidade genética; segundo, muitos casos podem ser diagnosticados a partir de um caso índice, contribuindo para</w:t>
      </w:r>
      <w:r>
        <w:rPr>
          <w:spacing w:val="-7"/>
        </w:rPr>
        <w:t> </w:t>
      </w:r>
      <w:r>
        <w:rPr/>
        <w:t>uma</w:t>
      </w:r>
      <w:r>
        <w:rPr>
          <w:spacing w:val="-7"/>
        </w:rPr>
        <w:t> </w:t>
      </w:r>
      <w:r>
        <w:rPr/>
        <w:t>abordagem</w:t>
      </w:r>
      <w:r>
        <w:rPr>
          <w:spacing w:val="-5"/>
        </w:rPr>
        <w:t> </w:t>
      </w:r>
      <w:r>
        <w:rPr/>
        <w:t>e</w:t>
      </w:r>
      <w:r>
        <w:rPr>
          <w:spacing w:val="-7"/>
        </w:rPr>
        <w:t> </w:t>
      </w:r>
      <w:r>
        <w:rPr/>
        <w:t>terapia</w:t>
      </w:r>
      <w:r>
        <w:rPr>
          <w:spacing w:val="-7"/>
        </w:rPr>
        <w:t> </w:t>
      </w:r>
      <w:r>
        <w:rPr/>
        <w:t>precoces. Esses pacientes apresentam</w:t>
      </w:r>
      <w:r>
        <w:rPr>
          <w:spacing w:val="-5"/>
        </w:rPr>
        <w:t> </w:t>
      </w:r>
      <w:r>
        <w:rPr/>
        <w:t>alta</w:t>
      </w:r>
      <w:r>
        <w:rPr>
          <w:spacing w:val="-7"/>
        </w:rPr>
        <w:t> </w:t>
      </w:r>
      <w:r>
        <w:rPr/>
        <w:t>frequência</w:t>
      </w:r>
      <w:r>
        <w:rPr>
          <w:spacing w:val="-7"/>
        </w:rPr>
        <w:t> </w:t>
      </w:r>
      <w:r>
        <w:rPr/>
        <w:t>de</w:t>
      </w:r>
      <w:r>
        <w:rPr>
          <w:spacing w:val="-7"/>
        </w:rPr>
        <w:t> </w:t>
      </w:r>
      <w:r>
        <w:rPr/>
        <w:t>lesões de</w:t>
      </w:r>
      <w:r>
        <w:rPr>
          <w:spacing w:val="-7"/>
        </w:rPr>
        <w:t> </w:t>
      </w:r>
      <w:r>
        <w:rPr/>
        <w:t>órgãos-alvo, como acidente vascular cerebral. O diagnóstico pode ser feito por meio da dosagem de esteroides 18-hidroxilados, teste de supressão pela dexametasona ou análise genética do sangue.</w:t>
      </w:r>
      <w:r>
        <w:rPr>
          <w:vertAlign w:val="superscript"/>
        </w:rPr>
        <w:t>32</w:t>
      </w:r>
      <w:r>
        <w:rPr>
          <w:vertAlign w:val="baseline"/>
        </w:rPr>
        <w:t> A análise genética pode ser feita gratuitamente pelo</w:t>
      </w:r>
      <w:r>
        <w:rPr>
          <w:spacing w:val="-8"/>
          <w:vertAlign w:val="baseline"/>
        </w:rPr>
        <w:t> </w:t>
      </w:r>
      <w:r>
        <w:rPr>
          <w:vertAlign w:val="baseline"/>
        </w:rPr>
        <w:t>International</w:t>
      </w:r>
      <w:r>
        <w:rPr>
          <w:spacing w:val="-6"/>
          <w:vertAlign w:val="baseline"/>
        </w:rPr>
        <w:t> </w:t>
      </w:r>
      <w:r>
        <w:rPr>
          <w:vertAlign w:val="baseline"/>
        </w:rPr>
        <w:t>Registry</w:t>
      </w:r>
      <w:r>
        <w:rPr>
          <w:spacing w:val="-8"/>
          <w:vertAlign w:val="baseline"/>
        </w:rPr>
        <w:t> </w:t>
      </w:r>
      <w:r>
        <w:rPr>
          <w:vertAlign w:val="baseline"/>
        </w:rPr>
        <w:t>for</w:t>
      </w:r>
      <w:r>
        <w:rPr>
          <w:spacing w:val="-3"/>
          <w:vertAlign w:val="baseline"/>
        </w:rPr>
        <w:t> </w:t>
      </w:r>
      <w:r>
        <w:rPr>
          <w:vertAlign w:val="baseline"/>
        </w:rPr>
        <w:t>Glucocorticoid-Remediable</w:t>
      </w:r>
      <w:r>
        <w:rPr>
          <w:spacing w:val="-10"/>
          <w:vertAlign w:val="baseline"/>
        </w:rPr>
        <w:t> </w:t>
      </w:r>
      <w:r>
        <w:rPr>
          <w:vertAlign w:val="baseline"/>
        </w:rPr>
        <w:t>Aldosteronism.</w:t>
      </w:r>
      <w:r>
        <w:rPr>
          <w:spacing w:val="-1"/>
          <w:vertAlign w:val="baseline"/>
        </w:rPr>
        <w:t> </w:t>
      </w:r>
      <w:r>
        <w:rPr>
          <w:vertAlign w:val="baseline"/>
        </w:rPr>
        <w:t>O</w:t>
      </w:r>
      <w:r>
        <w:rPr>
          <w:spacing w:val="-10"/>
          <w:vertAlign w:val="baseline"/>
        </w:rPr>
        <w:t> </w:t>
      </w:r>
      <w:r>
        <w:rPr>
          <w:vertAlign w:val="baseline"/>
        </w:rPr>
        <w:t>tratamento</w:t>
      </w:r>
      <w:r>
        <w:rPr>
          <w:spacing w:val="-8"/>
          <w:vertAlign w:val="baseline"/>
        </w:rPr>
        <w:t> </w:t>
      </w:r>
      <w:r>
        <w:rPr>
          <w:vertAlign w:val="baseline"/>
        </w:rPr>
        <w:t>é</w:t>
      </w:r>
      <w:r>
        <w:rPr>
          <w:spacing w:val="-10"/>
          <w:vertAlign w:val="baseline"/>
        </w:rPr>
        <w:t> </w:t>
      </w:r>
      <w:r>
        <w:rPr>
          <w:vertAlign w:val="baseline"/>
        </w:rPr>
        <w:t>feito</w:t>
      </w:r>
      <w:r>
        <w:rPr>
          <w:spacing w:val="-8"/>
          <w:vertAlign w:val="baseline"/>
        </w:rPr>
        <w:t> </w:t>
      </w:r>
      <w:r>
        <w:rPr>
          <w:vertAlign w:val="baseline"/>
        </w:rPr>
        <w:t>por</w:t>
      </w:r>
      <w:r>
        <w:rPr>
          <w:spacing w:val="-3"/>
          <w:vertAlign w:val="baseline"/>
        </w:rPr>
        <w:t> </w:t>
      </w:r>
      <w:r>
        <w:rPr>
          <w:vertAlign w:val="baseline"/>
        </w:rPr>
        <w:t>meio</w:t>
      </w:r>
      <w:r>
        <w:rPr>
          <w:spacing w:val="-8"/>
          <w:vertAlign w:val="baseline"/>
        </w:rPr>
        <w:t> </w:t>
      </w:r>
      <w:r>
        <w:rPr>
          <w:vertAlign w:val="baseline"/>
        </w:rPr>
        <w:t>de</w:t>
      </w:r>
      <w:r>
        <w:rPr>
          <w:spacing w:val="-10"/>
          <w:vertAlign w:val="baseline"/>
        </w:rPr>
        <w:t> </w:t>
      </w:r>
      <w:r>
        <w:rPr>
          <w:vertAlign w:val="baseline"/>
        </w:rPr>
        <w:t>dose</w:t>
      </w:r>
      <w:r>
        <w:rPr>
          <w:spacing w:val="-10"/>
          <w:vertAlign w:val="baseline"/>
        </w:rPr>
        <w:t> </w:t>
      </w:r>
      <w:r>
        <w:rPr>
          <w:vertAlign w:val="baseline"/>
        </w:rPr>
        <w:t>de supressão de dexametasona ou outro glicocorticoide. O médico deve ficar atento para sinais de excesso de </w:t>
      </w:r>
      <w:r>
        <w:rPr>
          <w:spacing w:val="-2"/>
          <w:vertAlign w:val="baseline"/>
        </w:rPr>
        <w:t>glicocorticoide.</w:t>
      </w:r>
    </w:p>
    <w:p>
      <w:pPr>
        <w:pStyle w:val="BodyText"/>
        <w:spacing w:after="0" w:line="278" w:lineRule="auto"/>
        <w:sectPr>
          <w:pgSz w:w="11900" w:h="16840"/>
          <w:pgMar w:top="200" w:bottom="280" w:left="566" w:right="141"/>
        </w:sectPr>
      </w:pPr>
    </w:p>
    <w:p>
      <w:pPr>
        <w:pStyle w:val="Heading5"/>
        <w:spacing w:before="73"/>
      </w:pPr>
      <w:r>
        <w:rPr>
          <w:color w:val="A26108"/>
        </w:rPr>
        <w:t>Síndrome</w:t>
      </w:r>
      <w:r>
        <w:rPr>
          <w:color w:val="A26108"/>
          <w:spacing w:val="20"/>
        </w:rPr>
        <w:t> </w:t>
      </w:r>
      <w:r>
        <w:rPr>
          <w:color w:val="A26108"/>
        </w:rPr>
        <w:t>do</w:t>
      </w:r>
      <w:r>
        <w:rPr>
          <w:color w:val="A26108"/>
          <w:spacing w:val="20"/>
        </w:rPr>
        <w:t> </w:t>
      </w:r>
      <w:r>
        <w:rPr>
          <w:color w:val="A26108"/>
        </w:rPr>
        <w:t>excesso</w:t>
      </w:r>
      <w:r>
        <w:rPr>
          <w:color w:val="A26108"/>
          <w:spacing w:val="20"/>
        </w:rPr>
        <w:t> </w:t>
      </w:r>
      <w:r>
        <w:rPr>
          <w:color w:val="A26108"/>
        </w:rPr>
        <w:t>aparente</w:t>
      </w:r>
      <w:r>
        <w:rPr>
          <w:color w:val="A26108"/>
          <w:spacing w:val="20"/>
        </w:rPr>
        <w:t> </w:t>
      </w:r>
      <w:r>
        <w:rPr>
          <w:color w:val="A26108"/>
        </w:rPr>
        <w:t>de</w:t>
      </w:r>
      <w:r>
        <w:rPr>
          <w:color w:val="A26108"/>
          <w:spacing w:val="20"/>
        </w:rPr>
        <w:t> </w:t>
      </w:r>
      <w:r>
        <w:rPr>
          <w:color w:val="A26108"/>
          <w:spacing w:val="-2"/>
        </w:rPr>
        <w:t>mineralocorticoide</w:t>
      </w:r>
    </w:p>
    <w:p>
      <w:pPr>
        <w:pStyle w:val="BodyText"/>
        <w:spacing w:line="276" w:lineRule="auto" w:before="138"/>
        <w:ind w:right="488"/>
      </w:pPr>
      <w:r>
        <w:rPr/>
        <w:t>Trata-se de uma síndrome com característica autossômica recessiva, caracterizada por início precoce de hipertensão, hipopotassemia, alcalose metabólica acompanhada de supressão da atividade da renina plasmática e ausência virtual de aldosterona circulante. Nesse tipo de hipertensão, antagonistas do receptor mineralocorticoide promovem a diminuição da pressão arterial, sugerindo que exista outro mineralocorticoide circulante. Estudos demonstraram que pacientes com essa síndrome têm um defeito na conversão de cortisol em cortisona devido à ausência</w:t>
      </w:r>
      <w:r>
        <w:rPr>
          <w:spacing w:val="-12"/>
        </w:rPr>
        <w:t> </w:t>
      </w:r>
      <w:r>
        <w:rPr/>
        <w:t>da</w:t>
      </w:r>
      <w:r>
        <w:rPr>
          <w:spacing w:val="-12"/>
        </w:rPr>
        <w:t> </w:t>
      </w:r>
      <w:r>
        <w:rPr/>
        <w:t>enzima</w:t>
      </w:r>
      <w:r>
        <w:rPr>
          <w:spacing w:val="-12"/>
        </w:rPr>
        <w:t> </w:t>
      </w:r>
      <w:r>
        <w:rPr/>
        <w:t>11-beta-hidroxiesteroide</w:t>
      </w:r>
      <w:r>
        <w:rPr>
          <w:spacing w:val="-12"/>
        </w:rPr>
        <w:t> </w:t>
      </w:r>
      <w:r>
        <w:rPr/>
        <w:t>desidrogenase</w:t>
      </w:r>
      <w:r>
        <w:rPr>
          <w:spacing w:val="-12"/>
        </w:rPr>
        <w:t> </w:t>
      </w:r>
      <w:r>
        <w:rPr/>
        <w:t>(11-beta-HSD).</w:t>
      </w:r>
      <w:r>
        <w:rPr>
          <w:spacing w:val="-2"/>
        </w:rPr>
        <w:t> </w:t>
      </w:r>
      <w:r>
        <w:rPr/>
        <w:t>O</w:t>
      </w:r>
      <w:r>
        <w:rPr>
          <w:spacing w:val="-12"/>
        </w:rPr>
        <w:t> </w:t>
      </w:r>
      <w:r>
        <w:rPr/>
        <w:t>significado</w:t>
      </w:r>
      <w:r>
        <w:rPr>
          <w:spacing w:val="-10"/>
        </w:rPr>
        <w:t> </w:t>
      </w:r>
      <w:r>
        <w:rPr/>
        <w:t>desse</w:t>
      </w:r>
      <w:r>
        <w:rPr>
          <w:spacing w:val="-12"/>
        </w:rPr>
        <w:t> </w:t>
      </w:r>
      <w:r>
        <w:rPr/>
        <w:t>achado</w:t>
      </w:r>
      <w:r>
        <w:rPr>
          <w:spacing w:val="-10"/>
        </w:rPr>
        <w:t> </w:t>
      </w:r>
      <w:r>
        <w:rPr/>
        <w:t>permaneceu obscuro até a clonagem do receptor mineralocorticoide. </w:t>
      </w:r>
      <w:r>
        <w:rPr>
          <w:i/>
        </w:rPr>
        <w:t>In vivo</w:t>
      </w:r>
      <w:r>
        <w:rPr/>
        <w:t>, sabe-se que o cortisol circulante apresenta concentração 100 vezes maior que a aldosterona; contudo, quase toda a ativação do receptor mineralocorticoide é mediada pela aldosterona. Essa observação, combinada com os achados bioquímicos da síndrome do excesso aparente de mineralocorticoide, sugere que a especificidade do receptor mineralocorticoide pela aldosterona sofre influência</w:t>
      </w:r>
      <w:r>
        <w:rPr>
          <w:spacing w:val="-9"/>
        </w:rPr>
        <w:t> </w:t>
      </w:r>
      <w:r>
        <w:rPr/>
        <w:t>da</w:t>
      </w:r>
      <w:r>
        <w:rPr>
          <w:spacing w:val="-9"/>
        </w:rPr>
        <w:t> </w:t>
      </w:r>
      <w:r>
        <w:rPr/>
        <w:t>11-beta-HSD, a</w:t>
      </w:r>
      <w:r>
        <w:rPr>
          <w:spacing w:val="-9"/>
        </w:rPr>
        <w:t> </w:t>
      </w:r>
      <w:r>
        <w:rPr/>
        <w:t>qual</w:t>
      </w:r>
      <w:r>
        <w:rPr>
          <w:spacing w:val="-4"/>
        </w:rPr>
        <w:t> </w:t>
      </w:r>
      <w:r>
        <w:rPr/>
        <w:t>protege</w:t>
      </w:r>
      <w:r>
        <w:rPr>
          <w:spacing w:val="-9"/>
        </w:rPr>
        <w:t> </w:t>
      </w:r>
      <w:r>
        <w:rPr/>
        <w:t>o</w:t>
      </w:r>
      <w:r>
        <w:rPr>
          <w:spacing w:val="-7"/>
        </w:rPr>
        <w:t> </w:t>
      </w:r>
      <w:r>
        <w:rPr/>
        <w:t>receptor</w:t>
      </w:r>
      <w:r>
        <w:rPr>
          <w:spacing w:val="-2"/>
        </w:rPr>
        <w:t> </w:t>
      </w:r>
      <w:r>
        <w:rPr/>
        <w:t>mineralocorticoide</w:t>
      </w:r>
      <w:r>
        <w:rPr>
          <w:spacing w:val="-9"/>
        </w:rPr>
        <w:t> </w:t>
      </w:r>
      <w:r>
        <w:rPr/>
        <w:t>do</w:t>
      </w:r>
      <w:r>
        <w:rPr>
          <w:spacing w:val="-7"/>
        </w:rPr>
        <w:t> </w:t>
      </w:r>
      <w:r>
        <w:rPr/>
        <w:t>cortisol, metabolizando-o</w:t>
      </w:r>
      <w:r>
        <w:rPr>
          <w:spacing w:val="-7"/>
        </w:rPr>
        <w:t> </w:t>
      </w:r>
      <w:r>
        <w:rPr/>
        <w:t>em</w:t>
      </w:r>
      <w:r>
        <w:rPr>
          <w:spacing w:val="-7"/>
        </w:rPr>
        <w:t> </w:t>
      </w:r>
      <w:r>
        <w:rPr/>
        <w:t>cortisona, que não ativa o receptor. Na síndrome do excesso aparente de mineralocorticoide, a ausência dessa enzima possibilita ao cortisol ativar o receptor mineralocorticoide, resultando em hipertensão mediada pelo aumento da atividade</w:t>
      </w:r>
      <w:r>
        <w:rPr>
          <w:spacing w:val="-10"/>
        </w:rPr>
        <w:t> </w:t>
      </w:r>
      <w:r>
        <w:rPr/>
        <w:t>dos</w:t>
      </w:r>
      <w:r>
        <w:rPr>
          <w:spacing w:val="-1"/>
        </w:rPr>
        <w:t> </w:t>
      </w:r>
      <w:r>
        <w:rPr/>
        <w:t>canais</w:t>
      </w:r>
      <w:r>
        <w:rPr>
          <w:spacing w:val="-1"/>
        </w:rPr>
        <w:t> </w:t>
      </w:r>
      <w:r>
        <w:rPr/>
        <w:t>epiteliais</w:t>
      </w:r>
      <w:r>
        <w:rPr>
          <w:spacing w:val="-1"/>
        </w:rPr>
        <w:t> </w:t>
      </w:r>
      <w:r>
        <w:rPr/>
        <w:t>de</w:t>
      </w:r>
      <w:r>
        <w:rPr>
          <w:spacing w:val="-10"/>
        </w:rPr>
        <w:t> </w:t>
      </w:r>
      <w:r>
        <w:rPr/>
        <w:t>sódio.</w:t>
      </w:r>
      <w:r>
        <w:rPr>
          <w:spacing w:val="-1"/>
        </w:rPr>
        <w:t> </w:t>
      </w:r>
      <w:r>
        <w:rPr/>
        <w:t>A</w:t>
      </w:r>
      <w:r>
        <w:rPr>
          <w:spacing w:val="-10"/>
        </w:rPr>
        <w:t> </w:t>
      </w:r>
      <w:r>
        <w:rPr/>
        <w:t>confirmação</w:t>
      </w:r>
      <w:r>
        <w:rPr>
          <w:spacing w:val="-8"/>
        </w:rPr>
        <w:t> </w:t>
      </w:r>
      <w:r>
        <w:rPr/>
        <w:t>da</w:t>
      </w:r>
      <w:r>
        <w:rPr>
          <w:spacing w:val="-10"/>
        </w:rPr>
        <w:t> </w:t>
      </w:r>
      <w:r>
        <w:rPr/>
        <w:t>patogênese</w:t>
      </w:r>
      <w:r>
        <w:rPr>
          <w:spacing w:val="-10"/>
        </w:rPr>
        <w:t> </w:t>
      </w:r>
      <w:r>
        <w:rPr/>
        <w:t>da</w:t>
      </w:r>
      <w:r>
        <w:rPr>
          <w:spacing w:val="-10"/>
        </w:rPr>
        <w:t> </w:t>
      </w:r>
      <w:r>
        <w:rPr/>
        <w:t>síndrome</w:t>
      </w:r>
      <w:r>
        <w:rPr>
          <w:spacing w:val="-10"/>
        </w:rPr>
        <w:t> </w:t>
      </w:r>
      <w:r>
        <w:rPr/>
        <w:t>veio</w:t>
      </w:r>
      <w:r>
        <w:rPr>
          <w:spacing w:val="-8"/>
        </w:rPr>
        <w:t> </w:t>
      </w:r>
      <w:r>
        <w:rPr/>
        <w:t>com</w:t>
      </w:r>
      <w:r>
        <w:rPr>
          <w:spacing w:val="-8"/>
        </w:rPr>
        <w:t> </w:t>
      </w:r>
      <w:r>
        <w:rPr/>
        <w:t>a</w:t>
      </w:r>
      <w:r>
        <w:rPr>
          <w:spacing w:val="-10"/>
        </w:rPr>
        <w:t> </w:t>
      </w:r>
      <w:r>
        <w:rPr/>
        <w:t>clonagem</w:t>
      </w:r>
      <w:r>
        <w:rPr>
          <w:spacing w:val="-8"/>
        </w:rPr>
        <w:t> </w:t>
      </w:r>
      <w:r>
        <w:rPr/>
        <w:t>da</w:t>
      </w:r>
      <w:r>
        <w:rPr>
          <w:spacing w:val="-10"/>
        </w:rPr>
        <w:t> </w:t>
      </w:r>
      <w:r>
        <w:rPr/>
        <w:t>11-beta-HSD. O gene é expresso nas mesmas células do néfron que expressam o canal epitelial de sódio, mostrando uma mutação</w:t>
      </w:r>
      <w:r>
        <w:rPr>
          <w:spacing w:val="-3"/>
        </w:rPr>
        <w:t> </w:t>
      </w:r>
      <w:r>
        <w:rPr/>
        <w:t>homozigótica</w:t>
      </w:r>
      <w:r>
        <w:rPr>
          <w:spacing w:val="-6"/>
        </w:rPr>
        <w:t> </w:t>
      </w:r>
      <w:r>
        <w:rPr/>
        <w:t>com</w:t>
      </w:r>
      <w:r>
        <w:rPr>
          <w:spacing w:val="-3"/>
        </w:rPr>
        <w:t> </w:t>
      </w:r>
      <w:r>
        <w:rPr/>
        <w:t>perda</w:t>
      </w:r>
      <w:r>
        <w:rPr>
          <w:spacing w:val="-6"/>
        </w:rPr>
        <w:t> </w:t>
      </w:r>
      <w:r>
        <w:rPr/>
        <w:t>de</w:t>
      </w:r>
      <w:r>
        <w:rPr>
          <w:spacing w:val="-6"/>
        </w:rPr>
        <w:t> </w:t>
      </w:r>
      <w:r>
        <w:rPr/>
        <w:t>função</w:t>
      </w:r>
      <w:r>
        <w:rPr>
          <w:spacing w:val="-3"/>
        </w:rPr>
        <w:t> </w:t>
      </w:r>
      <w:r>
        <w:rPr/>
        <w:t>em</w:t>
      </w:r>
      <w:r>
        <w:rPr>
          <w:spacing w:val="-3"/>
        </w:rPr>
        <w:t> </w:t>
      </w:r>
      <w:r>
        <w:rPr/>
        <w:t>paciente</w:t>
      </w:r>
      <w:r>
        <w:rPr>
          <w:spacing w:val="-6"/>
        </w:rPr>
        <w:t> </w:t>
      </w:r>
      <w:r>
        <w:rPr/>
        <w:t>com</w:t>
      </w:r>
      <w:r>
        <w:rPr>
          <w:spacing w:val="-3"/>
        </w:rPr>
        <w:t> </w:t>
      </w:r>
      <w:r>
        <w:rPr/>
        <w:t>síndrome</w:t>
      </w:r>
      <w:r>
        <w:rPr>
          <w:spacing w:val="-6"/>
        </w:rPr>
        <w:t> </w:t>
      </w:r>
      <w:r>
        <w:rPr/>
        <w:t>do</w:t>
      </w:r>
      <w:r>
        <w:rPr>
          <w:spacing w:val="-3"/>
        </w:rPr>
        <w:t> </w:t>
      </w:r>
      <w:r>
        <w:rPr/>
        <w:t>excesso</w:t>
      </w:r>
      <w:r>
        <w:rPr>
          <w:spacing w:val="-3"/>
        </w:rPr>
        <w:t> </w:t>
      </w:r>
      <w:r>
        <w:rPr/>
        <w:t>aparente</w:t>
      </w:r>
      <w:r>
        <w:rPr>
          <w:spacing w:val="-6"/>
        </w:rPr>
        <w:t> </w:t>
      </w:r>
      <w:r>
        <w:rPr/>
        <w:t>de</w:t>
      </w:r>
      <w:r>
        <w:rPr>
          <w:spacing w:val="-6"/>
        </w:rPr>
        <w:t> </w:t>
      </w:r>
      <w:r>
        <w:rPr/>
        <w:t>mineralocorticoide.</w:t>
      </w:r>
    </w:p>
    <w:p>
      <w:pPr>
        <w:pStyle w:val="BodyText"/>
        <w:spacing w:line="278" w:lineRule="auto" w:before="51"/>
        <w:ind w:right="494"/>
      </w:pPr>
      <w:r>
        <w:rPr/>
        <w:t>Em outras condições específicas, como na ingestão crônica de grandes quantidades de alcaçuz, o que foi descrito anteriormente também está envolvido na gênese desse tipo de hipertensão, com supressão de renina e aldosterona</w:t>
      </w:r>
      <w:r>
        <w:rPr>
          <w:spacing w:val="-4"/>
        </w:rPr>
        <w:t> </w:t>
      </w:r>
      <w:r>
        <w:rPr/>
        <w:t>graças à</w:t>
      </w:r>
      <w:r>
        <w:rPr>
          <w:spacing w:val="-4"/>
        </w:rPr>
        <w:t> </w:t>
      </w:r>
      <w:r>
        <w:rPr/>
        <w:t>ação</w:t>
      </w:r>
      <w:r>
        <w:rPr>
          <w:spacing w:val="-1"/>
        </w:rPr>
        <w:t> </w:t>
      </w:r>
      <w:r>
        <w:rPr/>
        <w:t>do</w:t>
      </w:r>
      <w:r>
        <w:rPr>
          <w:spacing w:val="-1"/>
        </w:rPr>
        <w:t> </w:t>
      </w:r>
      <w:r>
        <w:rPr/>
        <w:t>metabólito</w:t>
      </w:r>
      <w:r>
        <w:rPr>
          <w:spacing w:val="-1"/>
        </w:rPr>
        <w:t> </w:t>
      </w:r>
      <w:r>
        <w:rPr/>
        <w:t>do</w:t>
      </w:r>
      <w:r>
        <w:rPr>
          <w:spacing w:val="-1"/>
        </w:rPr>
        <w:t> </w:t>
      </w:r>
      <w:r>
        <w:rPr/>
        <w:t>alcaçuz, o</w:t>
      </w:r>
      <w:r>
        <w:rPr>
          <w:spacing w:val="-1"/>
        </w:rPr>
        <w:t> </w:t>
      </w:r>
      <w:r>
        <w:rPr/>
        <w:t>ácido</w:t>
      </w:r>
      <w:r>
        <w:rPr>
          <w:spacing w:val="-1"/>
        </w:rPr>
        <w:t> </w:t>
      </w:r>
      <w:r>
        <w:rPr/>
        <w:t>gliceretínico. Esse</w:t>
      </w:r>
      <w:r>
        <w:rPr>
          <w:spacing w:val="-4"/>
        </w:rPr>
        <w:t> </w:t>
      </w:r>
      <w:r>
        <w:rPr/>
        <w:t>metabólito</w:t>
      </w:r>
      <w:r>
        <w:rPr>
          <w:spacing w:val="-1"/>
        </w:rPr>
        <w:t> </w:t>
      </w:r>
      <w:r>
        <w:rPr/>
        <w:t>é</w:t>
      </w:r>
      <w:r>
        <w:rPr>
          <w:spacing w:val="-4"/>
        </w:rPr>
        <w:t> </w:t>
      </w:r>
      <w:r>
        <w:rPr/>
        <w:t>um</w:t>
      </w:r>
      <w:r>
        <w:rPr>
          <w:spacing w:val="-1"/>
        </w:rPr>
        <w:t> </w:t>
      </w:r>
      <w:r>
        <w:rPr/>
        <w:t>potente</w:t>
      </w:r>
      <w:r>
        <w:rPr>
          <w:spacing w:val="-4"/>
        </w:rPr>
        <w:t> </w:t>
      </w:r>
      <w:r>
        <w:rPr/>
        <w:t>inibidor da 11-beta-hidroxiesteroide, produzindo uma fenocópia da síndrome do excesso aparente de mineralocorticoide. De maneira similar, a superprodução de cortisol por adenomas nas adrenais ou hipófise, bem como por perda herdada do receptor de glicocorticoide, os altos níveis de cortisol suplantam a capacidade da 11-beta-hidroxiesteroide de converter o cortisol em cortisona, resultando na</w:t>
      </w:r>
      <w:r>
        <w:rPr>
          <w:spacing w:val="-1"/>
        </w:rPr>
        <w:t> </w:t>
      </w:r>
      <w:r>
        <w:rPr/>
        <w:t>ativação do receptor mineralocorticoide.</w:t>
      </w:r>
      <w:r>
        <w:rPr>
          <w:vertAlign w:val="superscript"/>
        </w:rPr>
        <w:t>33</w:t>
      </w:r>
    </w:p>
    <w:p>
      <w:pPr>
        <w:pStyle w:val="BodyText"/>
        <w:spacing w:line="276" w:lineRule="auto" w:before="62"/>
        <w:ind w:right="491"/>
      </w:pPr>
      <w:r>
        <w:rPr/>
        <w:t>Além disso, outros esteroides, como a desoxicorticosterona e a corticosterona, são potentes ativadores do receptor mineralocorticoide, mas normalmente os níveis séricos são muito baixos. Deficiências herdadas de 11-beta-hidroxilase e 17-alfa-hidroxilase prejudicam a biossíntese do cortisol, resultando em maior produção de desoxicorticosterona</w:t>
      </w:r>
      <w:r>
        <w:rPr>
          <w:spacing w:val="-2"/>
        </w:rPr>
        <w:t> </w:t>
      </w:r>
      <w:r>
        <w:rPr/>
        <w:t>e</w:t>
      </w:r>
      <w:r>
        <w:rPr>
          <w:spacing w:val="-2"/>
        </w:rPr>
        <w:t> </w:t>
      </w:r>
      <w:r>
        <w:rPr/>
        <w:t>corticosterona, com consequente</w:t>
      </w:r>
      <w:r>
        <w:rPr>
          <w:spacing w:val="-2"/>
        </w:rPr>
        <w:t> </w:t>
      </w:r>
      <w:r>
        <w:rPr/>
        <w:t>hipertensão e</w:t>
      </w:r>
      <w:r>
        <w:rPr>
          <w:spacing w:val="-2"/>
        </w:rPr>
        <w:t> </w:t>
      </w:r>
      <w:r>
        <w:rPr/>
        <w:t>outras anormalidades.</w:t>
      </w:r>
    </w:p>
    <w:p>
      <w:pPr>
        <w:pStyle w:val="BodyText"/>
        <w:spacing w:before="134"/>
        <w:ind w:left="0" w:firstLine="0"/>
        <w:jc w:val="left"/>
      </w:pPr>
    </w:p>
    <w:p>
      <w:pPr>
        <w:pStyle w:val="Heading5"/>
      </w:pPr>
      <w:r>
        <w:rPr>
          <w:color w:val="A26108"/>
        </w:rPr>
        <w:t>Hipertensão</w:t>
      </w:r>
      <w:r>
        <w:rPr>
          <w:color w:val="A26108"/>
          <w:spacing w:val="28"/>
        </w:rPr>
        <w:t> </w:t>
      </w:r>
      <w:r>
        <w:rPr>
          <w:color w:val="A26108"/>
        </w:rPr>
        <w:t>exacerbada</w:t>
      </w:r>
      <w:r>
        <w:rPr>
          <w:color w:val="A26108"/>
          <w:spacing w:val="29"/>
        </w:rPr>
        <w:t> </w:t>
      </w:r>
      <w:r>
        <w:rPr>
          <w:color w:val="A26108"/>
        </w:rPr>
        <w:t>pela</w:t>
      </w:r>
      <w:r>
        <w:rPr>
          <w:color w:val="A26108"/>
          <w:spacing w:val="28"/>
        </w:rPr>
        <w:t> </w:t>
      </w:r>
      <w:r>
        <w:rPr>
          <w:color w:val="A26108"/>
          <w:spacing w:val="-2"/>
        </w:rPr>
        <w:t>gravidez</w:t>
      </w:r>
    </w:p>
    <w:p>
      <w:pPr>
        <w:pStyle w:val="BodyText"/>
        <w:spacing w:line="276" w:lineRule="auto" w:before="138"/>
        <w:ind w:right="488"/>
      </w:pPr>
      <w:r>
        <w:rPr/>
        <w:t>Uma mutação no domínio ligante do receptor mineralocorticoide causa um tipo autossômico dominante de hipertensão que caracteristicamente é acelerado durante a gravidez. Em condições normais, a progesterona liga-se ao receptor de mineralocorticoide, mas não o ativa. Porém, nas mulheres com mutação no domínio ligante do receptor</w:t>
      </w:r>
      <w:r>
        <w:rPr>
          <w:spacing w:val="-4"/>
        </w:rPr>
        <w:t> </w:t>
      </w:r>
      <w:r>
        <w:rPr/>
        <w:t>de</w:t>
      </w:r>
      <w:r>
        <w:rPr>
          <w:spacing w:val="-11"/>
        </w:rPr>
        <w:t> </w:t>
      </w:r>
      <w:r>
        <w:rPr/>
        <w:t>mineralocorticoide,</w:t>
      </w:r>
      <w:r>
        <w:rPr>
          <w:spacing w:val="-1"/>
        </w:rPr>
        <w:t> </w:t>
      </w:r>
      <w:r>
        <w:rPr/>
        <w:t>o</w:t>
      </w:r>
      <w:r>
        <w:rPr>
          <w:spacing w:val="-9"/>
        </w:rPr>
        <w:t> </w:t>
      </w:r>
      <w:r>
        <w:rPr/>
        <w:t>estímulo</w:t>
      </w:r>
      <w:r>
        <w:rPr>
          <w:spacing w:val="-9"/>
        </w:rPr>
        <w:t> </w:t>
      </w:r>
      <w:r>
        <w:rPr/>
        <w:t>do</w:t>
      </w:r>
      <w:r>
        <w:rPr>
          <w:spacing w:val="-9"/>
        </w:rPr>
        <w:t> </w:t>
      </w:r>
      <w:r>
        <w:rPr/>
        <w:t>receptor</w:t>
      </w:r>
      <w:r>
        <w:rPr>
          <w:spacing w:val="-4"/>
        </w:rPr>
        <w:t> </w:t>
      </w:r>
      <w:r>
        <w:rPr/>
        <w:t>mutante</w:t>
      </w:r>
      <w:r>
        <w:rPr>
          <w:spacing w:val="-11"/>
        </w:rPr>
        <w:t> </w:t>
      </w:r>
      <w:r>
        <w:rPr/>
        <w:t>resulta</w:t>
      </w:r>
      <w:r>
        <w:rPr>
          <w:spacing w:val="-11"/>
        </w:rPr>
        <w:t> </w:t>
      </w:r>
      <w:r>
        <w:rPr/>
        <w:t>em</w:t>
      </w:r>
      <w:r>
        <w:rPr>
          <w:spacing w:val="-9"/>
        </w:rPr>
        <w:t> </w:t>
      </w:r>
      <w:r>
        <w:rPr/>
        <w:t>aumento</w:t>
      </w:r>
      <w:r>
        <w:rPr>
          <w:spacing w:val="-9"/>
        </w:rPr>
        <w:t> </w:t>
      </w:r>
      <w:r>
        <w:rPr/>
        <w:t>da</w:t>
      </w:r>
      <w:r>
        <w:rPr>
          <w:spacing w:val="-11"/>
        </w:rPr>
        <w:t> </w:t>
      </w:r>
      <w:r>
        <w:rPr/>
        <w:t>pressão</w:t>
      </w:r>
      <w:r>
        <w:rPr>
          <w:spacing w:val="-9"/>
        </w:rPr>
        <w:t> </w:t>
      </w:r>
      <w:r>
        <w:rPr/>
        <w:t>arterial.</w:t>
      </w:r>
      <w:r>
        <w:rPr>
          <w:spacing w:val="-1"/>
        </w:rPr>
        <w:t> </w:t>
      </w:r>
      <w:r>
        <w:rPr/>
        <w:t>Uma</w:t>
      </w:r>
      <w:r>
        <w:rPr>
          <w:spacing w:val="-11"/>
        </w:rPr>
        <w:t> </w:t>
      </w:r>
      <w:r>
        <w:rPr/>
        <w:t>vez</w:t>
      </w:r>
      <w:r>
        <w:rPr>
          <w:spacing w:val="-11"/>
        </w:rPr>
        <w:t> </w:t>
      </w:r>
      <w:r>
        <w:rPr/>
        <w:t>que os níveis de progesterona elevam-se cerca de 100 vezes durante a gestação, as pacientes portadoras da mutação desenvolvem HAS grave nesse período.</w:t>
      </w:r>
    </w:p>
    <w:p>
      <w:pPr>
        <w:pStyle w:val="BodyText"/>
        <w:spacing w:before="134"/>
        <w:ind w:left="0" w:firstLine="0"/>
        <w:jc w:val="left"/>
      </w:pPr>
    </w:p>
    <w:p>
      <w:pPr>
        <w:pStyle w:val="Heading5"/>
        <w:spacing w:before="1"/>
      </w:pPr>
      <w:r>
        <w:rPr>
          <w:color w:val="A26108"/>
        </w:rPr>
        <w:t>Síndrome</w:t>
      </w:r>
      <w:r>
        <w:rPr>
          <w:color w:val="A26108"/>
          <w:spacing w:val="19"/>
        </w:rPr>
        <w:t> </w:t>
      </w:r>
      <w:r>
        <w:rPr>
          <w:color w:val="A26108"/>
        </w:rPr>
        <w:t>de</w:t>
      </w:r>
      <w:r>
        <w:rPr>
          <w:color w:val="A26108"/>
          <w:spacing w:val="19"/>
        </w:rPr>
        <w:t> </w:t>
      </w:r>
      <w:r>
        <w:rPr>
          <w:color w:val="A26108"/>
          <w:spacing w:val="-2"/>
        </w:rPr>
        <w:t>Liddle</w:t>
      </w:r>
    </w:p>
    <w:p>
      <w:pPr>
        <w:pStyle w:val="BodyText"/>
        <w:spacing w:line="276" w:lineRule="auto" w:before="122"/>
        <w:ind w:right="488"/>
      </w:pPr>
      <w:r>
        <w:rPr/>
        <w:t>A síndrome de Liddle é caracterizada por uma transmissão autossômica dominante de penetrância variável que promove o aparecimento de mutações nas subunidades beta e gama do canal epitelial de sódio, deletando a terminação C citoplasmática. Essas mutações resultam no incremento da atividade do canal epitelial de sódio, atribuído em grande parte a aumento na quantidade de canais da superfície celular. Esse aumento decorre de alargamento da meia-vida com consequente redução no </w:t>
      </w:r>
      <w:r>
        <w:rPr>
          <w:i/>
        </w:rPr>
        <w:t>clearance </w:t>
      </w:r>
      <w:r>
        <w:rPr/>
        <w:t>dos canais epiteliais de sódio nas células de </w:t>
      </w:r>
      <w:r>
        <w:rPr>
          <w:spacing w:val="-2"/>
        </w:rPr>
        <w:t>superfície.</w:t>
      </w:r>
    </w:p>
    <w:p>
      <w:pPr>
        <w:pStyle w:val="BodyText"/>
        <w:spacing w:line="276" w:lineRule="auto"/>
        <w:ind w:right="497"/>
      </w:pPr>
      <w:r>
        <w:rPr/>
        <w:t>O aumento da quantidade dos canais epiteliais de sódio é suficiente para produzir hipertensão em seres humanos. O quadro clínico característico é de início precoce de hipertensão associada a alcalose hipopotassêmica, atividade suprimida da renina plasmática e baixos níveis de aldosterona. Por meio de uma coletânea de casos e de análises de ligação (</w:t>
      </w:r>
      <w:r>
        <w:rPr>
          <w:i/>
        </w:rPr>
        <w:t>linkage analysis</w:t>
      </w:r>
      <w:r>
        <w:rPr/>
        <w:t>), os achados de hipertensão precoce foram atribuídos à participação de um segmento do cromossomo 16. Paralelamente, a determinação do gene codificador da subunidade beta do canal epitelial de</w:t>
      </w:r>
      <w:r>
        <w:rPr>
          <w:spacing w:val="-3"/>
        </w:rPr>
        <w:t> </w:t>
      </w:r>
      <w:r>
        <w:rPr/>
        <w:t>sódio localizado precisamente</w:t>
      </w:r>
      <w:r>
        <w:rPr>
          <w:spacing w:val="-3"/>
        </w:rPr>
        <w:t> </w:t>
      </w:r>
      <w:r>
        <w:rPr/>
        <w:t>no mesmo lugar motivou os estudos como gene</w:t>
      </w:r>
      <w:r>
        <w:rPr>
          <w:spacing w:val="-3"/>
        </w:rPr>
        <w:t> </w:t>
      </w:r>
      <w:r>
        <w:rPr/>
        <w:t>candidato à</w:t>
      </w:r>
      <w:r>
        <w:rPr>
          <w:spacing w:val="-3"/>
        </w:rPr>
        <w:t> </w:t>
      </w:r>
      <w:r>
        <w:rPr/>
        <w:t>síndrome</w:t>
      </w:r>
      <w:r>
        <w:rPr>
          <w:spacing w:val="-3"/>
        </w:rPr>
        <w:t> </w:t>
      </w:r>
      <w:r>
        <w:rPr/>
        <w:t>de</w:t>
      </w:r>
    </w:p>
    <w:p>
      <w:pPr>
        <w:pStyle w:val="BodyText"/>
        <w:spacing w:after="0" w:line="276" w:lineRule="auto"/>
        <w:sectPr>
          <w:pgSz w:w="11900" w:h="16840"/>
          <w:pgMar w:top="200" w:bottom="280" w:left="566" w:right="141"/>
        </w:sectPr>
      </w:pPr>
    </w:p>
    <w:p>
      <w:pPr>
        <w:pStyle w:val="BodyText"/>
        <w:spacing w:before="92"/>
        <w:ind w:firstLine="0"/>
        <w:jc w:val="left"/>
      </w:pPr>
      <w:r>
        <w:rPr>
          <w:spacing w:val="-2"/>
        </w:rPr>
        <w:t>Liddle.</w:t>
      </w:r>
      <w:r>
        <w:rPr>
          <w:spacing w:val="-2"/>
          <w:vertAlign w:val="superscript"/>
        </w:rPr>
        <w:t>34</w:t>
      </w:r>
    </w:p>
    <w:p>
      <w:pPr>
        <w:pStyle w:val="BodyText"/>
        <w:spacing w:line="276" w:lineRule="auto" w:before="103"/>
        <w:ind w:right="491"/>
      </w:pPr>
      <w:r>
        <w:rPr/>
        <w:t>A consequência das mutações, assim como em outros tipos mendelianos de hipertensão, envolve o aumento preferencial no balanço de sal, por meio de uma excessiva reabsorção de sódio pelo canal epitelial de sódio no túbulo renal distal, podendo ser frequente</w:t>
      </w:r>
      <w:r>
        <w:rPr>
          <w:spacing w:val="-1"/>
        </w:rPr>
        <w:t> </w:t>
      </w:r>
      <w:r>
        <w:rPr/>
        <w:t>o achado de</w:t>
      </w:r>
      <w:r>
        <w:rPr>
          <w:spacing w:val="-1"/>
        </w:rPr>
        <w:t> </w:t>
      </w:r>
      <w:r>
        <w:rPr/>
        <w:t>hipopotassemia. Neste</w:t>
      </w:r>
      <w:r>
        <w:rPr>
          <w:spacing w:val="-1"/>
        </w:rPr>
        <w:t> </w:t>
      </w:r>
      <w:r>
        <w:rPr/>
        <w:t>sentido, o tratamento com inibidores específicos desses canais, como o triantereno e a amilorida, pode reverter tanto a hipopotassemia quanto a hipertensão, mas o mesmo não acontece com a espironolactona, um inibidor do receptor mineralocorticoide. Têm sido descritos casos isolados de pacientes com a síndrome de Liddle que se submeteram ao transplante renal como </w:t>
      </w:r>
      <w:r>
        <w:rPr>
          <w:spacing w:val="-2"/>
        </w:rPr>
        <w:t>tratamento.</w:t>
      </w:r>
    </w:p>
    <w:p>
      <w:pPr>
        <w:pStyle w:val="BodyText"/>
        <w:spacing w:before="186"/>
        <w:ind w:left="0" w:firstLine="0"/>
        <w:jc w:val="left"/>
      </w:pPr>
    </w:p>
    <w:p>
      <w:pPr>
        <w:pStyle w:val="Heading4"/>
      </w:pPr>
      <w:r>
        <w:rPr>
          <w:color w:val="242B67"/>
        </w:rPr>
        <w:t>Tratamento da hipertensão arterial </w:t>
      </w:r>
      <w:r>
        <w:rPr>
          <w:color w:val="242B67"/>
          <w:spacing w:val="-2"/>
        </w:rPr>
        <w:t>sistêmica</w:t>
      </w:r>
    </w:p>
    <w:p>
      <w:pPr>
        <w:pStyle w:val="BodyText"/>
        <w:spacing w:line="276" w:lineRule="auto" w:before="132"/>
        <w:ind w:right="488"/>
      </w:pPr>
      <w:r>
        <w:rPr/>
        <w:t>O objetivo primordial do tratamento da HAS é a redução da morbidade e da mortalidade cardiovasculares. A decisão terapêutica é tomada a partir de um diagnóstico preciso, embasado em boa anamnese, exame físico e exames complementares. Na</w:t>
      </w:r>
      <w:r>
        <w:rPr>
          <w:spacing w:val="-9"/>
        </w:rPr>
        <w:t> </w:t>
      </w:r>
      <w:r>
        <w:rPr/>
        <w:t>avaliação</w:t>
      </w:r>
      <w:r>
        <w:rPr>
          <w:spacing w:val="-6"/>
        </w:rPr>
        <w:t> </w:t>
      </w:r>
      <w:r>
        <w:rPr/>
        <w:t>inicial</w:t>
      </w:r>
      <w:r>
        <w:rPr>
          <w:spacing w:val="-3"/>
        </w:rPr>
        <w:t> </w:t>
      </w:r>
      <w:r>
        <w:rPr/>
        <w:t>do</w:t>
      </w:r>
      <w:r>
        <w:rPr>
          <w:spacing w:val="-6"/>
        </w:rPr>
        <w:t> </w:t>
      </w:r>
      <w:r>
        <w:rPr/>
        <w:t>paciente</w:t>
      </w:r>
      <w:r>
        <w:rPr>
          <w:spacing w:val="-9"/>
        </w:rPr>
        <w:t> </w:t>
      </w:r>
      <w:r>
        <w:rPr/>
        <w:t>hipertenso</w:t>
      </w:r>
      <w:r>
        <w:rPr>
          <w:spacing w:val="-6"/>
        </w:rPr>
        <w:t> </w:t>
      </w:r>
      <w:r>
        <w:rPr/>
        <w:t>e</w:t>
      </w:r>
      <w:r>
        <w:rPr>
          <w:spacing w:val="-9"/>
        </w:rPr>
        <w:t> </w:t>
      </w:r>
      <w:r>
        <w:rPr/>
        <w:t>na</w:t>
      </w:r>
      <w:r>
        <w:rPr>
          <w:spacing w:val="-9"/>
        </w:rPr>
        <w:t> </w:t>
      </w:r>
      <w:r>
        <w:rPr/>
        <w:t>decisão</w:t>
      </w:r>
      <w:r>
        <w:rPr>
          <w:spacing w:val="-6"/>
        </w:rPr>
        <w:t> </w:t>
      </w:r>
      <w:r>
        <w:rPr/>
        <w:t>terapêutica</w:t>
      </w:r>
      <w:r>
        <w:rPr>
          <w:spacing w:val="-9"/>
        </w:rPr>
        <w:t> </w:t>
      </w:r>
      <w:r>
        <w:rPr/>
        <w:t>devem</w:t>
      </w:r>
      <w:r>
        <w:rPr>
          <w:spacing w:val="-6"/>
        </w:rPr>
        <w:t> </w:t>
      </w:r>
      <w:r>
        <w:rPr/>
        <w:t>ser</w:t>
      </w:r>
      <w:r>
        <w:rPr>
          <w:spacing w:val="-1"/>
        </w:rPr>
        <w:t> </w:t>
      </w:r>
      <w:r>
        <w:rPr/>
        <w:t>levados em conta não só os níveis de pressão arterial, mas todos os fatores de risco associados que possam aumentar o risco cardiovascular global desse</w:t>
      </w:r>
      <w:r>
        <w:rPr>
          <w:spacing w:val="-3"/>
        </w:rPr>
        <w:t> </w:t>
      </w:r>
      <w:r>
        <w:rPr/>
        <w:t>paciente, a</w:t>
      </w:r>
      <w:r>
        <w:rPr>
          <w:spacing w:val="-3"/>
        </w:rPr>
        <w:t> </w:t>
      </w:r>
      <w:r>
        <w:rPr/>
        <w:t>lesão</w:t>
      </w:r>
      <w:r>
        <w:rPr>
          <w:spacing w:val="-1"/>
        </w:rPr>
        <w:t> </w:t>
      </w:r>
      <w:r>
        <w:rPr/>
        <w:t>em</w:t>
      </w:r>
      <w:r>
        <w:rPr>
          <w:spacing w:val="-1"/>
        </w:rPr>
        <w:t> </w:t>
      </w:r>
      <w:r>
        <w:rPr/>
        <w:t>órgãos-alvo</w:t>
      </w:r>
      <w:r>
        <w:rPr>
          <w:spacing w:val="-1"/>
        </w:rPr>
        <w:t> </w:t>
      </w:r>
      <w:r>
        <w:rPr/>
        <w:t>e/ou</w:t>
      </w:r>
      <w:r>
        <w:rPr>
          <w:spacing w:val="-1"/>
        </w:rPr>
        <w:t> </w:t>
      </w:r>
      <w:r>
        <w:rPr/>
        <w:t>a</w:t>
      </w:r>
      <w:r>
        <w:rPr>
          <w:spacing w:val="-3"/>
        </w:rPr>
        <w:t> </w:t>
      </w:r>
      <w:r>
        <w:rPr/>
        <w:t>doença</w:t>
      </w:r>
      <w:r>
        <w:rPr>
          <w:spacing w:val="-3"/>
        </w:rPr>
        <w:t> </w:t>
      </w:r>
      <w:r>
        <w:rPr/>
        <w:t>cardiovascular estabelecida. Os valores de</w:t>
      </w:r>
      <w:r>
        <w:rPr>
          <w:spacing w:val="-3"/>
        </w:rPr>
        <w:t> </w:t>
      </w:r>
      <w:r>
        <w:rPr/>
        <w:t>pressão</w:t>
      </w:r>
      <w:r>
        <w:rPr>
          <w:spacing w:val="-1"/>
        </w:rPr>
        <w:t> </w:t>
      </w:r>
      <w:r>
        <w:rPr/>
        <w:t>arterial a</w:t>
      </w:r>
      <w:r>
        <w:rPr>
          <w:spacing w:val="-3"/>
        </w:rPr>
        <w:t> </w:t>
      </w:r>
      <w:r>
        <w:rPr/>
        <w:t>serem</w:t>
      </w:r>
      <w:r>
        <w:rPr>
          <w:spacing w:val="-1"/>
        </w:rPr>
        <w:t> </w:t>
      </w:r>
      <w:r>
        <w:rPr/>
        <w:t>alcançados com</w:t>
      </w:r>
      <w:r>
        <w:rPr>
          <w:spacing w:val="-1"/>
        </w:rPr>
        <w:t> </w:t>
      </w:r>
      <w:r>
        <w:rPr/>
        <w:t>o</w:t>
      </w:r>
      <w:r>
        <w:rPr>
          <w:spacing w:val="-1"/>
        </w:rPr>
        <w:t> </w:t>
      </w:r>
      <w:r>
        <w:rPr/>
        <w:t>tratamento</w:t>
      </w:r>
      <w:r>
        <w:rPr>
          <w:spacing w:val="-1"/>
        </w:rPr>
        <w:t> </w:t>
      </w:r>
      <w:r>
        <w:rPr/>
        <w:t>são: pressão</w:t>
      </w:r>
      <w:r>
        <w:rPr>
          <w:spacing w:val="-1"/>
        </w:rPr>
        <w:t> </w:t>
      </w:r>
      <w:r>
        <w:rPr/>
        <w:t>arterial &lt; 140/90</w:t>
      </w:r>
      <w:r>
        <w:rPr>
          <w:spacing w:val="-1"/>
        </w:rPr>
        <w:t> </w:t>
      </w:r>
      <w:r>
        <w:rPr/>
        <w:t>mmHg</w:t>
      </w:r>
      <w:r>
        <w:rPr>
          <w:spacing w:val="-1"/>
        </w:rPr>
        <w:t> </w:t>
      </w:r>
      <w:r>
        <w:rPr/>
        <w:t>na</w:t>
      </w:r>
      <w:r>
        <w:rPr>
          <w:spacing w:val="-3"/>
        </w:rPr>
        <w:t> </w:t>
      </w:r>
      <w:r>
        <w:rPr/>
        <w:t>população</w:t>
      </w:r>
      <w:r>
        <w:rPr>
          <w:spacing w:val="-1"/>
        </w:rPr>
        <w:t> </w:t>
      </w:r>
      <w:r>
        <w:rPr/>
        <w:t>geral e pressão arterial &lt; 130/80 mmHg para pacientes com hipertensão, diabetes ou nefropatia. Para alcançar essa meta, em termos de</w:t>
      </w:r>
      <w:r>
        <w:rPr>
          <w:spacing w:val="-1"/>
        </w:rPr>
        <w:t> </w:t>
      </w:r>
      <w:r>
        <w:rPr/>
        <w:t>nível de</w:t>
      </w:r>
      <w:r>
        <w:rPr>
          <w:spacing w:val="-1"/>
        </w:rPr>
        <w:t> </w:t>
      </w:r>
      <w:r>
        <w:rPr/>
        <w:t>pressão arterial, devem ser consideradas as medidas não farmacológica</w:t>
      </w:r>
      <w:r>
        <w:rPr>
          <w:spacing w:val="-1"/>
        </w:rPr>
        <w:t> </w:t>
      </w:r>
      <w:r>
        <w:rPr/>
        <w:t>(mudanças do estilo de vida) e farmacológica.</w:t>
      </w:r>
    </w:p>
    <w:p>
      <w:pPr>
        <w:pStyle w:val="BodyText"/>
        <w:spacing w:before="134"/>
        <w:ind w:left="0" w:firstLine="0"/>
        <w:jc w:val="left"/>
      </w:pPr>
    </w:p>
    <w:p>
      <w:pPr>
        <w:pStyle w:val="Heading5"/>
      </w:pPr>
      <w:r>
        <w:rPr>
          <w:color w:val="A26108"/>
        </w:rPr>
        <w:t>Tratamento</w:t>
      </w:r>
      <w:r>
        <w:rPr>
          <w:color w:val="A26108"/>
          <w:spacing w:val="23"/>
        </w:rPr>
        <w:t> </w:t>
      </w:r>
      <w:r>
        <w:rPr>
          <w:color w:val="A26108"/>
        </w:rPr>
        <w:t>não</w:t>
      </w:r>
      <w:r>
        <w:rPr>
          <w:color w:val="A26108"/>
          <w:spacing w:val="24"/>
        </w:rPr>
        <w:t> </w:t>
      </w:r>
      <w:r>
        <w:rPr>
          <w:color w:val="A26108"/>
          <w:spacing w:val="-2"/>
        </w:rPr>
        <w:t>farmacológico</w:t>
      </w:r>
    </w:p>
    <w:p>
      <w:pPr>
        <w:pStyle w:val="BodyText"/>
        <w:spacing w:line="276" w:lineRule="auto" w:before="139"/>
        <w:ind w:right="497"/>
      </w:pPr>
      <w:r>
        <w:rPr/>
        <w:t>O tratamento não farmacológico da HAS tem sido implementado com muito entusiasmo por alguns profissionais, sendo algumas vezes visto até com certo ceticismo por outros. O fundamental é a estratificação do risco cardiovascular do paciente com hipertensão pelo médico mediante história clínica, exames físico e complementares. Na estratificação do risco deve ser pesquisado: hábito de fumar, dislipidemia, diabetes melito, idade acima de 60 anos, sexo (homem e mulher pós-menopausa), história familiar de doença cardiovascular (homem &lt; 55 anos e mulher &lt; 65 anos), hipertrofia de ventrículo esquerdo, angina, infarto do miocárdio prévio, revascularização coronária prévia, insuficiência cardíaca, acidente vascular ou acidente isquêmico transitório prévios, nefropatia, doença vascular periférica e retinopatia. Uma vez caracterizado o risco cardiovascular do paciente, se</w:t>
      </w:r>
      <w:r>
        <w:rPr>
          <w:spacing w:val="-3"/>
        </w:rPr>
        <w:t> </w:t>
      </w:r>
      <w:r>
        <w:rPr/>
        <w:t>baixo, intermediário ou alto, o médico deve</w:t>
      </w:r>
      <w:r>
        <w:rPr>
          <w:spacing w:val="-3"/>
        </w:rPr>
        <w:t> </w:t>
      </w:r>
      <w:r>
        <w:rPr/>
        <w:t>tomar a</w:t>
      </w:r>
      <w:r>
        <w:rPr>
          <w:spacing w:val="-3"/>
        </w:rPr>
        <w:t> </w:t>
      </w:r>
      <w:r>
        <w:rPr/>
        <w:t>decisão terapêutica</w:t>
      </w:r>
      <w:r>
        <w:rPr>
          <w:spacing w:val="-3"/>
        </w:rPr>
        <w:t> </w:t>
      </w:r>
      <w:r>
        <w:rPr/>
        <w:t>de</w:t>
      </w:r>
      <w:r>
        <w:rPr>
          <w:spacing w:val="-3"/>
        </w:rPr>
        <w:t> </w:t>
      </w:r>
      <w:r>
        <w:rPr/>
        <w:t>acordo com esse</w:t>
      </w:r>
      <w:r>
        <w:rPr>
          <w:spacing w:val="-3"/>
        </w:rPr>
        <w:t> </w:t>
      </w:r>
      <w:r>
        <w:rPr/>
        <w:t>risco.</w:t>
      </w:r>
    </w:p>
    <w:p>
      <w:pPr>
        <w:pStyle w:val="BodyText"/>
        <w:spacing w:line="276" w:lineRule="auto" w:before="49"/>
        <w:ind w:right="491"/>
      </w:pPr>
      <w:r>
        <w:rPr/>
        <w:t>Sabe-se que cada uma das medidas não farmacológicas, tais como redução do peso, consumo de dieta rica em frutas e vegetais, consumo de bebidas alcoólicas com moderação, parar de fumar, redução no consumo de sódio e realização de exercícios físicos regularmente, resulta em queda da pressão arterial. A combinação dessas medidas resulta em maior queda da pressão arterial. Dentre essas medidas não farmacológicas, a perda de peso resulta na redução de 5 a 20 mmHg de pressão arterial sistólica (para cada 10 kg de perda de peso), o consumo de dieta rica em frutas e verduras resulta na redução de 8 a 14 mmHg na pressão arterial sistólica, a redução do consumo de bebidas alcoólicas resulta</w:t>
      </w:r>
      <w:r>
        <w:rPr>
          <w:spacing w:val="-7"/>
        </w:rPr>
        <w:t> </w:t>
      </w:r>
      <w:r>
        <w:rPr/>
        <w:t>na</w:t>
      </w:r>
      <w:r>
        <w:rPr>
          <w:spacing w:val="-7"/>
        </w:rPr>
        <w:t> </w:t>
      </w:r>
      <w:r>
        <w:rPr/>
        <w:t>redução</w:t>
      </w:r>
      <w:r>
        <w:rPr>
          <w:spacing w:val="-5"/>
        </w:rPr>
        <w:t> </w:t>
      </w:r>
      <w:r>
        <w:rPr/>
        <w:t>de</w:t>
      </w:r>
      <w:r>
        <w:rPr>
          <w:spacing w:val="-7"/>
        </w:rPr>
        <w:t> </w:t>
      </w:r>
      <w:r>
        <w:rPr/>
        <w:t>2</w:t>
      </w:r>
      <w:r>
        <w:rPr>
          <w:spacing w:val="-5"/>
        </w:rPr>
        <w:t> </w:t>
      </w:r>
      <w:r>
        <w:rPr/>
        <w:t>a</w:t>
      </w:r>
      <w:r>
        <w:rPr>
          <w:spacing w:val="-7"/>
        </w:rPr>
        <w:t> </w:t>
      </w:r>
      <w:r>
        <w:rPr/>
        <w:t>4</w:t>
      </w:r>
      <w:r>
        <w:rPr>
          <w:spacing w:val="-5"/>
        </w:rPr>
        <w:t> </w:t>
      </w:r>
      <w:r>
        <w:rPr/>
        <w:t>mmHg</w:t>
      </w:r>
      <w:r>
        <w:rPr>
          <w:spacing w:val="-5"/>
        </w:rPr>
        <w:t> </w:t>
      </w:r>
      <w:r>
        <w:rPr/>
        <w:t>na</w:t>
      </w:r>
      <w:r>
        <w:rPr>
          <w:spacing w:val="-7"/>
        </w:rPr>
        <w:t> </w:t>
      </w:r>
      <w:r>
        <w:rPr/>
        <w:t>pressão</w:t>
      </w:r>
      <w:r>
        <w:rPr>
          <w:spacing w:val="-5"/>
        </w:rPr>
        <w:t> </w:t>
      </w:r>
      <w:r>
        <w:rPr/>
        <w:t>sistólica, o</w:t>
      </w:r>
      <w:r>
        <w:rPr>
          <w:spacing w:val="-5"/>
        </w:rPr>
        <w:t> </w:t>
      </w:r>
      <w:r>
        <w:rPr/>
        <w:t>abandono</w:t>
      </w:r>
      <w:r>
        <w:rPr>
          <w:spacing w:val="-5"/>
        </w:rPr>
        <w:t> </w:t>
      </w:r>
      <w:r>
        <w:rPr/>
        <w:t>do</w:t>
      </w:r>
      <w:r>
        <w:rPr>
          <w:spacing w:val="-5"/>
        </w:rPr>
        <w:t> </w:t>
      </w:r>
      <w:r>
        <w:rPr/>
        <w:t>tabagismo</w:t>
      </w:r>
      <w:r>
        <w:rPr>
          <w:spacing w:val="-5"/>
        </w:rPr>
        <w:t> </w:t>
      </w:r>
      <w:r>
        <w:rPr/>
        <w:t>e</w:t>
      </w:r>
      <w:r>
        <w:rPr>
          <w:spacing w:val="-7"/>
        </w:rPr>
        <w:t> </w:t>
      </w:r>
      <w:r>
        <w:rPr/>
        <w:t>o</w:t>
      </w:r>
      <w:r>
        <w:rPr>
          <w:spacing w:val="-5"/>
        </w:rPr>
        <w:t> </w:t>
      </w:r>
      <w:r>
        <w:rPr/>
        <w:t>uso</w:t>
      </w:r>
      <w:r>
        <w:rPr>
          <w:spacing w:val="-5"/>
        </w:rPr>
        <w:t> </w:t>
      </w:r>
      <w:r>
        <w:rPr/>
        <w:t>de</w:t>
      </w:r>
      <w:r>
        <w:rPr>
          <w:spacing w:val="-7"/>
        </w:rPr>
        <w:t> </w:t>
      </w:r>
      <w:r>
        <w:rPr/>
        <w:t>dieta hipossódica resultam na redução de 2 a 8 mmHg de pressão sistólica, a realização de exercício físico com regularidade resulta na redução de 4 a 9 mmHg de pressão sistólica (para atividade aeróbica regular). As medidas não farmacológicas (mudanças do estilo de vida) reduzem a pressão arterial, melhoram a eficácia dos fármacos e diminuem a possibilidade de morte por causa cardiovascular. Essas medidas devem ser recomendadas para todo paciente com HAS. Vale mencionar também o papel da equipe multiprofissional para uma abordagem integral, possibilitando</w:t>
      </w:r>
      <w:r>
        <w:rPr>
          <w:spacing w:val="-6"/>
        </w:rPr>
        <w:t> </w:t>
      </w:r>
      <w:r>
        <w:rPr/>
        <w:t>maior compreensão</w:t>
      </w:r>
      <w:r>
        <w:rPr>
          <w:spacing w:val="-6"/>
        </w:rPr>
        <w:t> </w:t>
      </w:r>
      <w:r>
        <w:rPr/>
        <w:t>da</w:t>
      </w:r>
      <w:r>
        <w:rPr>
          <w:spacing w:val="-8"/>
        </w:rPr>
        <w:t> </w:t>
      </w:r>
      <w:r>
        <w:rPr/>
        <w:t>doença</w:t>
      </w:r>
      <w:r>
        <w:rPr>
          <w:spacing w:val="-8"/>
        </w:rPr>
        <w:t> </w:t>
      </w:r>
      <w:r>
        <w:rPr/>
        <w:t>pelo</w:t>
      </w:r>
      <w:r>
        <w:rPr>
          <w:spacing w:val="-6"/>
        </w:rPr>
        <w:t> </w:t>
      </w:r>
      <w:r>
        <w:rPr/>
        <w:t>paciente, bem</w:t>
      </w:r>
      <w:r>
        <w:rPr>
          <w:spacing w:val="-6"/>
        </w:rPr>
        <w:t> </w:t>
      </w:r>
      <w:r>
        <w:rPr/>
        <w:t>como</w:t>
      </w:r>
      <w:r>
        <w:rPr>
          <w:spacing w:val="-6"/>
        </w:rPr>
        <w:t> </w:t>
      </w:r>
      <w:r>
        <w:rPr/>
        <w:t>facilitando</w:t>
      </w:r>
      <w:r>
        <w:rPr>
          <w:spacing w:val="-6"/>
        </w:rPr>
        <w:t> </w:t>
      </w:r>
      <w:r>
        <w:rPr/>
        <w:t>a</w:t>
      </w:r>
      <w:r>
        <w:rPr>
          <w:spacing w:val="-8"/>
        </w:rPr>
        <w:t> </w:t>
      </w:r>
      <w:r>
        <w:rPr/>
        <w:t>adequação</w:t>
      </w:r>
      <w:r>
        <w:rPr>
          <w:spacing w:val="-6"/>
        </w:rPr>
        <w:t> </w:t>
      </w:r>
      <w:r>
        <w:rPr/>
        <w:t>e</w:t>
      </w:r>
      <w:r>
        <w:rPr>
          <w:spacing w:val="-8"/>
        </w:rPr>
        <w:t> </w:t>
      </w:r>
      <w:r>
        <w:rPr/>
        <w:t>o</w:t>
      </w:r>
      <w:r>
        <w:rPr>
          <w:spacing w:val="-6"/>
        </w:rPr>
        <w:t> </w:t>
      </w:r>
      <w:r>
        <w:rPr/>
        <w:t>envolvimento</w:t>
      </w:r>
      <w:r>
        <w:rPr>
          <w:spacing w:val="-6"/>
        </w:rPr>
        <w:t> </w:t>
      </w:r>
      <w:r>
        <w:rPr/>
        <w:t>no </w:t>
      </w:r>
      <w:r>
        <w:rPr>
          <w:spacing w:val="-2"/>
        </w:rPr>
        <w:t>tratamento.</w:t>
      </w:r>
    </w:p>
    <w:p>
      <w:pPr>
        <w:pStyle w:val="BodyText"/>
        <w:spacing w:line="283" w:lineRule="auto" w:before="66"/>
        <w:ind w:right="488"/>
      </w:pPr>
      <w:r>
        <w:rPr/>
        <w:t>Como</w:t>
      </w:r>
      <w:r>
        <w:rPr>
          <w:spacing w:val="-9"/>
        </w:rPr>
        <w:t> </w:t>
      </w:r>
      <w:r>
        <w:rPr/>
        <w:t>já</w:t>
      </w:r>
      <w:r>
        <w:rPr>
          <w:spacing w:val="-11"/>
        </w:rPr>
        <w:t> </w:t>
      </w:r>
      <w:r>
        <w:rPr/>
        <w:t>mencionado,</w:t>
      </w:r>
      <w:r>
        <w:rPr>
          <w:spacing w:val="-1"/>
        </w:rPr>
        <w:t> </w:t>
      </w:r>
      <w:r>
        <w:rPr/>
        <w:t>na</w:t>
      </w:r>
      <w:r>
        <w:rPr>
          <w:spacing w:val="-11"/>
        </w:rPr>
        <w:t> </w:t>
      </w:r>
      <w:r>
        <w:rPr/>
        <w:t>tomada</w:t>
      </w:r>
      <w:r>
        <w:rPr>
          <w:spacing w:val="-11"/>
        </w:rPr>
        <w:t> </w:t>
      </w:r>
      <w:r>
        <w:rPr/>
        <w:t>de</w:t>
      </w:r>
      <w:r>
        <w:rPr>
          <w:spacing w:val="-11"/>
        </w:rPr>
        <w:t> </w:t>
      </w:r>
      <w:r>
        <w:rPr/>
        <w:t>decisões</w:t>
      </w:r>
      <w:r>
        <w:rPr>
          <w:spacing w:val="-1"/>
        </w:rPr>
        <w:t> </w:t>
      </w:r>
      <w:r>
        <w:rPr/>
        <w:t>para</w:t>
      </w:r>
      <w:r>
        <w:rPr>
          <w:spacing w:val="-11"/>
        </w:rPr>
        <w:t> </w:t>
      </w:r>
      <w:r>
        <w:rPr/>
        <w:t>o</w:t>
      </w:r>
      <w:r>
        <w:rPr>
          <w:spacing w:val="-9"/>
        </w:rPr>
        <w:t> </w:t>
      </w:r>
      <w:r>
        <w:rPr/>
        <w:t>tratamento</w:t>
      </w:r>
      <w:r>
        <w:rPr>
          <w:spacing w:val="-9"/>
        </w:rPr>
        <w:t> </w:t>
      </w:r>
      <w:r>
        <w:rPr/>
        <w:t>da</w:t>
      </w:r>
      <w:r>
        <w:rPr>
          <w:spacing w:val="-11"/>
        </w:rPr>
        <w:t> </w:t>
      </w:r>
      <w:r>
        <w:rPr/>
        <w:t>hipertensão,</w:t>
      </w:r>
      <w:r>
        <w:rPr>
          <w:spacing w:val="-1"/>
        </w:rPr>
        <w:t> </w:t>
      </w:r>
      <w:r>
        <w:rPr/>
        <w:t>algumas</w:t>
      </w:r>
      <w:r>
        <w:rPr>
          <w:spacing w:val="-1"/>
        </w:rPr>
        <w:t> </w:t>
      </w:r>
      <w:r>
        <w:rPr/>
        <w:t>considerações</w:t>
      </w:r>
      <w:r>
        <w:rPr>
          <w:spacing w:val="-1"/>
        </w:rPr>
        <w:t> </w:t>
      </w:r>
      <w:r>
        <w:rPr/>
        <w:t>com</w:t>
      </w:r>
      <w:r>
        <w:rPr>
          <w:spacing w:val="-9"/>
        </w:rPr>
        <w:t> </w:t>
      </w:r>
      <w:r>
        <w:rPr/>
        <w:t>base no risco do paciente, tendo em vista o nível pressórico e outros fatores de risco associados, devem ser avaliadas (</w:t>
      </w:r>
      <w:r>
        <w:rPr>
          <w:color w:val="505050"/>
        </w:rPr>
        <w:t>Tabela 57.7</w:t>
      </w:r>
      <w:r>
        <w:rPr/>
        <w:t>).</w:t>
      </w:r>
      <w:r>
        <w:rPr>
          <w:vertAlign w:val="superscript"/>
        </w:rPr>
        <w:t>1,5</w:t>
      </w:r>
    </w:p>
    <w:p>
      <w:pPr>
        <w:pStyle w:val="BodyText"/>
        <w:spacing w:before="126"/>
        <w:ind w:left="0" w:firstLine="0"/>
        <w:jc w:val="left"/>
      </w:pPr>
    </w:p>
    <w:p>
      <w:pPr>
        <w:pStyle w:val="Heading5"/>
      </w:pPr>
      <w:r>
        <w:rPr>
          <w:color w:val="A26108"/>
        </w:rPr>
        <w:t>Tratamento</w:t>
      </w:r>
      <w:r>
        <w:rPr>
          <w:color w:val="A26108"/>
          <w:spacing w:val="34"/>
        </w:rPr>
        <w:t> </w:t>
      </w:r>
      <w:r>
        <w:rPr>
          <w:color w:val="A26108"/>
          <w:spacing w:val="-2"/>
        </w:rPr>
        <w:t>farmacológico</w:t>
      </w:r>
    </w:p>
    <w:p>
      <w:pPr>
        <w:pStyle w:val="Heading5"/>
        <w:spacing w:after="0"/>
        <w:sectPr>
          <w:pgSz w:w="11900" w:h="16840"/>
          <w:pgMar w:top="200" w:bottom="280" w:left="566" w:right="141"/>
        </w:sectPr>
      </w:pPr>
    </w:p>
    <w:p>
      <w:pPr>
        <w:pStyle w:val="BodyText"/>
        <w:spacing w:line="278" w:lineRule="auto" w:before="74"/>
        <w:ind w:right="497"/>
      </w:pPr>
      <w:r>
        <w:rPr/>
        <w:t>Diferentes estudos demonstraram que a redução da pressão arterial </w:t>
      </w:r>
      <w:r>
        <w:rPr>
          <w:i/>
        </w:rPr>
        <w:t>per se </w:t>
      </w:r>
      <w:r>
        <w:rPr/>
        <w:t>por meio de diferentes agentes anti-hipertensivos resulta na redução da morbimortalidade cardiovascular e renal. As informações do estudo multicêntrico</w:t>
      </w:r>
      <w:r>
        <w:rPr>
          <w:spacing w:val="-12"/>
        </w:rPr>
        <w:t> </w:t>
      </w:r>
      <w:r>
        <w:rPr/>
        <w:t>Antihypertensive</w:t>
      </w:r>
      <w:r>
        <w:rPr>
          <w:spacing w:val="-14"/>
        </w:rPr>
        <w:t> </w:t>
      </w:r>
      <w:r>
        <w:rPr/>
        <w:t>and</w:t>
      </w:r>
      <w:r>
        <w:rPr>
          <w:spacing w:val="-12"/>
        </w:rPr>
        <w:t> </w:t>
      </w:r>
      <w:r>
        <w:rPr/>
        <w:t>Lipid-Lowering</w:t>
      </w:r>
      <w:r>
        <w:rPr>
          <w:spacing w:val="-12"/>
        </w:rPr>
        <w:t> </w:t>
      </w:r>
      <w:r>
        <w:rPr/>
        <w:t>Treatment</w:t>
      </w:r>
      <w:r>
        <w:rPr>
          <w:spacing w:val="-9"/>
        </w:rPr>
        <w:t> </w:t>
      </w:r>
      <w:r>
        <w:rPr/>
        <w:t>to</w:t>
      </w:r>
      <w:r>
        <w:rPr>
          <w:spacing w:val="-12"/>
        </w:rPr>
        <w:t> </w:t>
      </w:r>
      <w:r>
        <w:rPr/>
        <w:t>Prevent</w:t>
      </w:r>
      <w:r>
        <w:rPr>
          <w:spacing w:val="-9"/>
        </w:rPr>
        <w:t> </w:t>
      </w:r>
      <w:r>
        <w:rPr/>
        <w:t>Heart</w:t>
      </w:r>
      <w:r>
        <w:rPr>
          <w:spacing w:val="-9"/>
        </w:rPr>
        <w:t> </w:t>
      </w:r>
      <w:r>
        <w:rPr/>
        <w:t>Attack</w:t>
      </w:r>
      <w:r>
        <w:rPr>
          <w:spacing w:val="-12"/>
        </w:rPr>
        <w:t> </w:t>
      </w:r>
      <w:r>
        <w:rPr/>
        <w:t>Trial</w:t>
      </w:r>
      <w:r>
        <w:rPr>
          <w:spacing w:val="-9"/>
        </w:rPr>
        <w:t> </w:t>
      </w:r>
      <w:r>
        <w:rPr/>
        <w:t>(ALLHAT)</w:t>
      </w:r>
      <w:r>
        <w:rPr>
          <w:spacing w:val="-7"/>
        </w:rPr>
        <w:t> </w:t>
      </w:r>
      <w:r>
        <w:rPr/>
        <w:t>mostraram que o uso de diuréticos, IECA ou antagonistas de cálcio controla adequadamente a pressão arterial e diminui similarmente a morbidade e a mortalidade cardiovasculares.</w:t>
      </w:r>
      <w:r>
        <w:rPr>
          <w:vertAlign w:val="superscript"/>
        </w:rPr>
        <w:t>35</w:t>
      </w:r>
      <w:r>
        <w:rPr>
          <w:vertAlign w:val="baseline"/>
        </w:rPr>
        <w:t> Entretanto, existem condições clínicas que, pela sua particularidade, impõem</w:t>
      </w:r>
      <w:r>
        <w:rPr>
          <w:spacing w:val="-5"/>
          <w:vertAlign w:val="baseline"/>
        </w:rPr>
        <w:t> </w:t>
      </w:r>
      <w:r>
        <w:rPr>
          <w:vertAlign w:val="baseline"/>
        </w:rPr>
        <w:t>um</w:t>
      </w:r>
      <w:r>
        <w:rPr>
          <w:spacing w:val="-5"/>
          <w:vertAlign w:val="baseline"/>
        </w:rPr>
        <w:t> </w:t>
      </w:r>
      <w:r>
        <w:rPr>
          <w:vertAlign w:val="baseline"/>
        </w:rPr>
        <w:t>tratamento</w:t>
      </w:r>
      <w:r>
        <w:rPr>
          <w:spacing w:val="-5"/>
          <w:vertAlign w:val="baseline"/>
        </w:rPr>
        <w:t> </w:t>
      </w:r>
      <w:r>
        <w:rPr>
          <w:vertAlign w:val="baseline"/>
        </w:rPr>
        <w:t>diferenciado</w:t>
      </w:r>
      <w:r>
        <w:rPr>
          <w:spacing w:val="-5"/>
          <w:vertAlign w:val="baseline"/>
        </w:rPr>
        <w:t> </w:t>
      </w:r>
      <w:r>
        <w:rPr>
          <w:vertAlign w:val="baseline"/>
        </w:rPr>
        <w:t>em</w:t>
      </w:r>
      <w:r>
        <w:rPr>
          <w:spacing w:val="-5"/>
          <w:vertAlign w:val="baseline"/>
        </w:rPr>
        <w:t> </w:t>
      </w:r>
      <w:r>
        <w:rPr>
          <w:vertAlign w:val="baseline"/>
        </w:rPr>
        <w:t>relação</w:t>
      </w:r>
      <w:r>
        <w:rPr>
          <w:spacing w:val="-5"/>
          <w:vertAlign w:val="baseline"/>
        </w:rPr>
        <w:t> </w:t>
      </w:r>
      <w:r>
        <w:rPr>
          <w:vertAlign w:val="baseline"/>
        </w:rPr>
        <w:t>às orientações gerais de</w:t>
      </w:r>
      <w:r>
        <w:rPr>
          <w:spacing w:val="-7"/>
          <w:vertAlign w:val="baseline"/>
        </w:rPr>
        <w:t> </w:t>
      </w:r>
      <w:r>
        <w:rPr>
          <w:vertAlign w:val="baseline"/>
        </w:rPr>
        <w:t>pacientes com</w:t>
      </w:r>
      <w:r>
        <w:rPr>
          <w:spacing w:val="-5"/>
          <w:vertAlign w:val="baseline"/>
        </w:rPr>
        <w:t> </w:t>
      </w:r>
      <w:r>
        <w:rPr>
          <w:vertAlign w:val="baseline"/>
        </w:rPr>
        <w:t>HAS.</w:t>
      </w:r>
    </w:p>
    <w:p>
      <w:pPr>
        <w:pStyle w:val="BodyText"/>
        <w:spacing w:before="88"/>
        <w:ind w:left="0" w:firstLine="0"/>
        <w:jc w:val="left"/>
      </w:pPr>
    </w:p>
    <w:p>
      <w:pPr>
        <w:pStyle w:val="BodyText"/>
        <w:spacing w:line="278" w:lineRule="auto" w:before="0"/>
        <w:ind w:right="809" w:firstLine="0"/>
        <w:jc w:val="left"/>
        <w:rPr>
          <w:rFonts w:ascii="Microsoft Sans Serif" w:hAnsi="Microsoft Sans Serif"/>
        </w:rPr>
      </w:pPr>
      <w:r>
        <w:rPr>
          <w:rFonts w:ascii="Arial" w:hAnsi="Arial"/>
          <w:b/>
          <w:color w:val="242B67"/>
        </w:rPr>
        <w:t>Tabela</w:t>
      </w:r>
      <w:r>
        <w:rPr>
          <w:rFonts w:ascii="Arial" w:hAnsi="Arial"/>
          <w:b/>
          <w:color w:val="242B67"/>
          <w:spacing w:val="-3"/>
        </w:rPr>
        <w:t> </w:t>
      </w:r>
      <w:r>
        <w:rPr>
          <w:rFonts w:ascii="Arial" w:hAnsi="Arial"/>
          <w:b/>
          <w:color w:val="242B67"/>
        </w:rPr>
        <w:t>57.7</w:t>
      </w:r>
      <w:r>
        <w:rPr>
          <w:rFonts w:ascii="Arial" w:hAnsi="Arial"/>
          <w:b/>
          <w:color w:val="242B67"/>
          <w:spacing w:val="-4"/>
        </w:rPr>
        <w:t> </w:t>
      </w:r>
      <w:r>
        <w:rPr>
          <w:rFonts w:ascii="Microsoft Sans Serif" w:hAnsi="Microsoft Sans Serif"/>
        </w:rPr>
        <w:t>Decisão</w:t>
      </w:r>
      <w:r>
        <w:rPr>
          <w:rFonts w:ascii="Microsoft Sans Serif" w:hAnsi="Microsoft Sans Serif"/>
          <w:spacing w:val="-1"/>
        </w:rPr>
        <w:t> </w:t>
      </w:r>
      <w:r>
        <w:rPr>
          <w:rFonts w:ascii="Microsoft Sans Serif" w:hAnsi="Microsoft Sans Serif"/>
        </w:rPr>
        <w:t>terapêutica,</w:t>
      </w:r>
      <w:r>
        <w:rPr>
          <w:rFonts w:ascii="Microsoft Sans Serif" w:hAnsi="Microsoft Sans Serif"/>
          <w:spacing w:val="-1"/>
        </w:rPr>
        <w:t> </w:t>
      </w:r>
      <w:r>
        <w:rPr>
          <w:rFonts w:ascii="Microsoft Sans Serif" w:hAnsi="Microsoft Sans Serif"/>
        </w:rPr>
        <w:t>segundo</w:t>
      </w:r>
      <w:r>
        <w:rPr>
          <w:rFonts w:ascii="Microsoft Sans Serif" w:hAnsi="Microsoft Sans Serif"/>
          <w:spacing w:val="-1"/>
        </w:rPr>
        <w:t> </w:t>
      </w:r>
      <w:r>
        <w:rPr>
          <w:rFonts w:ascii="Microsoft Sans Serif" w:hAnsi="Microsoft Sans Serif"/>
        </w:rPr>
        <w:t>risco</w:t>
      </w:r>
      <w:r>
        <w:rPr>
          <w:rFonts w:ascii="Microsoft Sans Serif" w:hAnsi="Microsoft Sans Serif"/>
          <w:spacing w:val="-1"/>
        </w:rPr>
        <w:t> </w:t>
      </w:r>
      <w:r>
        <w:rPr>
          <w:rFonts w:ascii="Microsoft Sans Serif" w:hAnsi="Microsoft Sans Serif"/>
        </w:rPr>
        <w:t>e</w:t>
      </w:r>
      <w:r>
        <w:rPr>
          <w:rFonts w:ascii="Microsoft Sans Serif" w:hAnsi="Microsoft Sans Serif"/>
          <w:spacing w:val="-1"/>
        </w:rPr>
        <w:t> </w:t>
      </w:r>
      <w:r>
        <w:rPr>
          <w:rFonts w:ascii="Microsoft Sans Serif" w:hAnsi="Microsoft Sans Serif"/>
        </w:rPr>
        <w:t>pressão</w:t>
      </w:r>
      <w:r>
        <w:rPr>
          <w:rFonts w:ascii="Microsoft Sans Serif" w:hAnsi="Microsoft Sans Serif"/>
          <w:spacing w:val="-1"/>
        </w:rPr>
        <w:t> </w:t>
      </w:r>
      <w:r>
        <w:rPr>
          <w:rFonts w:ascii="Microsoft Sans Serif" w:hAnsi="Microsoft Sans Serif"/>
        </w:rPr>
        <w:t>arterial,</w:t>
      </w:r>
      <w:r>
        <w:rPr>
          <w:rFonts w:ascii="Microsoft Sans Serif" w:hAnsi="Microsoft Sans Serif"/>
          <w:spacing w:val="-1"/>
        </w:rPr>
        <w:t> </w:t>
      </w:r>
      <w:r>
        <w:rPr>
          <w:rFonts w:ascii="Microsoft Sans Serif" w:hAnsi="Microsoft Sans Serif"/>
        </w:rPr>
        <w:t>de</w:t>
      </w:r>
      <w:r>
        <w:rPr>
          <w:rFonts w:ascii="Microsoft Sans Serif" w:hAnsi="Microsoft Sans Serif"/>
          <w:spacing w:val="-1"/>
        </w:rPr>
        <w:t> </w:t>
      </w:r>
      <w:r>
        <w:rPr>
          <w:rFonts w:ascii="Microsoft Sans Serif" w:hAnsi="Microsoft Sans Serif"/>
        </w:rPr>
        <w:t>acordo</w:t>
      </w:r>
      <w:r>
        <w:rPr>
          <w:rFonts w:ascii="Microsoft Sans Serif" w:hAnsi="Microsoft Sans Serif"/>
          <w:spacing w:val="-1"/>
        </w:rPr>
        <w:t> </w:t>
      </w:r>
      <w:r>
        <w:rPr>
          <w:rFonts w:ascii="Microsoft Sans Serif" w:hAnsi="Microsoft Sans Serif"/>
        </w:rPr>
        <w:t>com</w:t>
      </w:r>
      <w:r>
        <w:rPr>
          <w:rFonts w:ascii="Microsoft Sans Serif" w:hAnsi="Microsoft Sans Serif"/>
          <w:spacing w:val="-1"/>
        </w:rPr>
        <w:t> </w:t>
      </w:r>
      <w:r>
        <w:rPr>
          <w:rFonts w:ascii="Microsoft Sans Serif" w:hAnsi="Microsoft Sans Serif"/>
        </w:rPr>
        <w:t>a</w:t>
      </w:r>
      <w:r>
        <w:rPr>
          <w:rFonts w:ascii="Microsoft Sans Serif" w:hAnsi="Microsoft Sans Serif"/>
          <w:spacing w:val="-1"/>
        </w:rPr>
        <w:t> </w:t>
      </w:r>
      <w:r>
        <w:rPr>
          <w:rFonts w:ascii="Microsoft Sans Serif" w:hAnsi="Microsoft Sans Serif"/>
        </w:rPr>
        <w:t>VI</w:t>
      </w:r>
      <w:r>
        <w:rPr>
          <w:rFonts w:ascii="Microsoft Sans Serif" w:hAnsi="Microsoft Sans Serif"/>
          <w:spacing w:val="-1"/>
        </w:rPr>
        <w:t> </w:t>
      </w:r>
      <w:r>
        <w:rPr>
          <w:rFonts w:ascii="Microsoft Sans Serif" w:hAnsi="Microsoft Sans Serif"/>
        </w:rPr>
        <w:t>Diretriz Brasileira de Hipertensão Arterial.</w:t>
      </w:r>
    </w:p>
    <w:p>
      <w:pPr>
        <w:pStyle w:val="BodyText"/>
        <w:spacing w:before="5" w:after="1"/>
        <w:ind w:left="0" w:firstLine="0"/>
        <w:jc w:val="left"/>
        <w:rPr>
          <w:rFonts w:ascii="Microsoft Sans Serif"/>
          <w:sz w:val="10"/>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667"/>
        <w:gridCol w:w="2659"/>
        <w:gridCol w:w="2643"/>
        <w:gridCol w:w="2651"/>
      </w:tblGrid>
      <w:tr>
        <w:trPr>
          <w:trHeight w:val="1039" w:hRule="atLeast"/>
        </w:trPr>
        <w:tc>
          <w:tcPr>
            <w:tcW w:w="2667" w:type="dxa"/>
            <w:tcBorders>
              <w:top w:val="nil"/>
              <w:left w:val="nil"/>
            </w:tcBorders>
            <w:shd w:val="clear" w:color="auto" w:fill="242B67"/>
          </w:tcPr>
          <w:p>
            <w:pPr>
              <w:pStyle w:val="TableParagraph"/>
              <w:spacing w:before="0"/>
              <w:ind w:left="0"/>
              <w:rPr>
                <w:sz w:val="21"/>
              </w:rPr>
            </w:pPr>
          </w:p>
          <w:p>
            <w:pPr>
              <w:pStyle w:val="TableParagraph"/>
              <w:spacing w:before="225"/>
              <w:ind w:left="0"/>
              <w:rPr>
                <w:sz w:val="21"/>
              </w:rPr>
            </w:pPr>
          </w:p>
          <w:p>
            <w:pPr>
              <w:pStyle w:val="TableParagraph"/>
              <w:spacing w:before="0"/>
              <w:ind w:left="67"/>
              <w:rPr>
                <w:rFonts w:ascii="Arial" w:hAnsi="Arial"/>
                <w:b/>
                <w:sz w:val="21"/>
              </w:rPr>
            </w:pPr>
            <w:r>
              <w:rPr>
                <w:rFonts w:ascii="Arial" w:hAnsi="Arial"/>
                <w:b/>
                <w:color w:val="FFFFFF"/>
                <w:spacing w:val="-2"/>
                <w:w w:val="105"/>
                <w:sz w:val="21"/>
              </w:rPr>
              <w:t>Parâmetros</w:t>
            </w:r>
          </w:p>
        </w:tc>
        <w:tc>
          <w:tcPr>
            <w:tcW w:w="2659" w:type="dxa"/>
            <w:tcBorders>
              <w:top w:val="nil"/>
            </w:tcBorders>
            <w:shd w:val="clear" w:color="auto" w:fill="242B67"/>
          </w:tcPr>
          <w:p>
            <w:pPr>
              <w:pStyle w:val="TableParagraph"/>
              <w:spacing w:before="158"/>
              <w:ind w:left="0"/>
              <w:rPr>
                <w:sz w:val="21"/>
              </w:rPr>
            </w:pPr>
          </w:p>
          <w:p>
            <w:pPr>
              <w:pStyle w:val="TableParagraph"/>
              <w:spacing w:line="302" w:lineRule="auto" w:before="0"/>
              <w:rPr>
                <w:rFonts w:ascii="Arial"/>
                <w:b/>
                <w:sz w:val="21"/>
              </w:rPr>
            </w:pPr>
            <w:r>
              <w:rPr>
                <w:rFonts w:ascii="Arial"/>
                <w:b/>
                <w:color w:val="FFFFFF"/>
                <w:w w:val="105"/>
                <w:sz w:val="21"/>
              </w:rPr>
              <w:t>Sem</w:t>
            </w:r>
            <w:r>
              <w:rPr>
                <w:rFonts w:ascii="Arial"/>
                <w:b/>
                <w:color w:val="FFFFFF"/>
                <w:spacing w:val="-15"/>
                <w:w w:val="105"/>
                <w:sz w:val="21"/>
              </w:rPr>
              <w:t> </w:t>
            </w:r>
            <w:r>
              <w:rPr>
                <w:rFonts w:ascii="Arial"/>
                <w:b/>
                <w:color w:val="FFFFFF"/>
                <w:w w:val="105"/>
                <w:sz w:val="21"/>
              </w:rPr>
              <w:t>risco</w:t>
            </w:r>
            <w:r>
              <w:rPr>
                <w:rFonts w:ascii="Arial"/>
                <w:b/>
                <w:color w:val="FFFFFF"/>
                <w:spacing w:val="-16"/>
                <w:w w:val="105"/>
                <w:sz w:val="21"/>
              </w:rPr>
              <w:t> </w:t>
            </w:r>
            <w:r>
              <w:rPr>
                <w:rFonts w:ascii="Arial"/>
                <w:b/>
                <w:color w:val="FFFFFF"/>
                <w:w w:val="105"/>
                <w:sz w:val="21"/>
              </w:rPr>
              <w:t>adicional (Risco A)</w:t>
            </w:r>
          </w:p>
        </w:tc>
        <w:tc>
          <w:tcPr>
            <w:tcW w:w="2643" w:type="dxa"/>
            <w:tcBorders>
              <w:top w:val="nil"/>
            </w:tcBorders>
            <w:shd w:val="clear" w:color="auto" w:fill="242B67"/>
          </w:tcPr>
          <w:p>
            <w:pPr>
              <w:pStyle w:val="TableParagraph"/>
              <w:spacing w:before="158"/>
              <w:ind w:left="0"/>
              <w:rPr>
                <w:sz w:val="21"/>
              </w:rPr>
            </w:pPr>
          </w:p>
          <w:p>
            <w:pPr>
              <w:pStyle w:val="TableParagraph"/>
              <w:spacing w:line="302" w:lineRule="auto" w:before="0"/>
              <w:rPr>
                <w:rFonts w:ascii="Arial"/>
                <w:b/>
                <w:sz w:val="21"/>
              </w:rPr>
            </w:pPr>
            <w:r>
              <w:rPr>
                <w:rFonts w:ascii="Arial"/>
                <w:b/>
                <w:color w:val="FFFFFF"/>
                <w:w w:val="105"/>
                <w:sz w:val="21"/>
              </w:rPr>
              <w:t>Risco</w:t>
            </w:r>
            <w:r>
              <w:rPr>
                <w:rFonts w:ascii="Arial"/>
                <w:b/>
                <w:color w:val="FFFFFF"/>
                <w:spacing w:val="-11"/>
                <w:w w:val="105"/>
                <w:sz w:val="21"/>
              </w:rPr>
              <w:t> </w:t>
            </w:r>
            <w:r>
              <w:rPr>
                <w:rFonts w:ascii="Arial"/>
                <w:b/>
                <w:color w:val="FFFFFF"/>
                <w:w w:val="105"/>
                <w:sz w:val="21"/>
              </w:rPr>
              <w:t>adicional</w:t>
            </w:r>
            <w:r>
              <w:rPr>
                <w:rFonts w:ascii="Arial"/>
                <w:b/>
                <w:color w:val="FFFFFF"/>
                <w:spacing w:val="-3"/>
                <w:w w:val="105"/>
                <w:sz w:val="21"/>
              </w:rPr>
              <w:t> </w:t>
            </w:r>
            <w:r>
              <w:rPr>
                <w:rFonts w:ascii="Arial"/>
                <w:b/>
                <w:color w:val="FFFFFF"/>
                <w:w w:val="105"/>
                <w:sz w:val="21"/>
              </w:rPr>
              <w:t>baixo (Risco B)</w:t>
            </w:r>
          </w:p>
        </w:tc>
        <w:tc>
          <w:tcPr>
            <w:tcW w:w="2651" w:type="dxa"/>
            <w:tcBorders>
              <w:top w:val="nil"/>
              <w:right w:val="nil"/>
            </w:tcBorders>
            <w:shd w:val="clear" w:color="auto" w:fill="242B67"/>
          </w:tcPr>
          <w:p>
            <w:pPr>
              <w:pStyle w:val="TableParagraph"/>
              <w:spacing w:line="302" w:lineRule="auto" w:before="91"/>
              <w:ind w:left="64"/>
              <w:rPr>
                <w:rFonts w:ascii="Arial" w:hAnsi="Arial"/>
                <w:b/>
                <w:sz w:val="21"/>
              </w:rPr>
            </w:pPr>
            <w:r>
              <w:rPr>
                <w:rFonts w:ascii="Arial" w:hAnsi="Arial"/>
                <w:b/>
                <w:color w:val="FFFFFF"/>
                <w:w w:val="105"/>
                <w:sz w:val="21"/>
              </w:rPr>
              <w:t>Risco adicional médio, alto</w:t>
            </w:r>
            <w:r>
              <w:rPr>
                <w:rFonts w:ascii="Arial" w:hAnsi="Arial"/>
                <w:b/>
                <w:color w:val="FFFFFF"/>
                <w:spacing w:val="-2"/>
                <w:w w:val="105"/>
                <w:sz w:val="21"/>
              </w:rPr>
              <w:t> </w:t>
            </w:r>
            <w:r>
              <w:rPr>
                <w:rFonts w:ascii="Arial" w:hAnsi="Arial"/>
                <w:b/>
                <w:color w:val="FFFFFF"/>
                <w:w w:val="105"/>
                <w:sz w:val="21"/>
              </w:rPr>
              <w:t>e muito</w:t>
            </w:r>
            <w:r>
              <w:rPr>
                <w:rFonts w:ascii="Arial" w:hAnsi="Arial"/>
                <w:b/>
                <w:color w:val="FFFFFF"/>
                <w:spacing w:val="-2"/>
                <w:w w:val="105"/>
                <w:sz w:val="21"/>
              </w:rPr>
              <w:t> </w:t>
            </w:r>
            <w:r>
              <w:rPr>
                <w:rFonts w:ascii="Arial" w:hAnsi="Arial"/>
                <w:b/>
                <w:color w:val="FFFFFF"/>
                <w:w w:val="105"/>
                <w:sz w:val="21"/>
              </w:rPr>
              <w:t>alto</w:t>
            </w:r>
            <w:r>
              <w:rPr>
                <w:rFonts w:ascii="Arial" w:hAnsi="Arial"/>
                <w:b/>
                <w:color w:val="FFFFFF"/>
                <w:spacing w:val="-2"/>
                <w:w w:val="105"/>
                <w:sz w:val="21"/>
              </w:rPr>
              <w:t> </w:t>
            </w:r>
            <w:r>
              <w:rPr>
                <w:rFonts w:ascii="Arial" w:hAnsi="Arial"/>
                <w:b/>
                <w:color w:val="FFFFFF"/>
                <w:w w:val="105"/>
                <w:sz w:val="21"/>
              </w:rPr>
              <w:t>(Risco </w:t>
            </w:r>
            <w:r>
              <w:rPr>
                <w:rFonts w:ascii="Arial" w:hAnsi="Arial"/>
                <w:b/>
                <w:color w:val="FFFFFF"/>
                <w:spacing w:val="-6"/>
                <w:w w:val="105"/>
                <w:sz w:val="21"/>
              </w:rPr>
              <w:t>C)</w:t>
            </w:r>
          </w:p>
        </w:tc>
      </w:tr>
      <w:tr>
        <w:trPr>
          <w:trHeight w:val="860" w:hRule="atLeast"/>
        </w:trPr>
        <w:tc>
          <w:tcPr>
            <w:tcW w:w="2667" w:type="dxa"/>
            <w:tcBorders>
              <w:left w:val="nil"/>
            </w:tcBorders>
            <w:shd w:val="clear" w:color="auto" w:fill="EDECF3"/>
          </w:tcPr>
          <w:p>
            <w:pPr>
              <w:pStyle w:val="TableParagraph"/>
              <w:spacing w:before="93"/>
              <w:ind w:left="67"/>
              <w:rPr>
                <w:sz w:val="21"/>
              </w:rPr>
            </w:pPr>
            <w:r>
              <w:rPr>
                <w:spacing w:val="-2"/>
                <w:w w:val="105"/>
                <w:sz w:val="21"/>
              </w:rPr>
              <w:t>Normal/limítrofe</w:t>
            </w:r>
          </w:p>
          <w:p>
            <w:pPr>
              <w:pStyle w:val="TableParagraph"/>
              <w:spacing w:before="211"/>
              <w:ind w:left="67"/>
              <w:rPr>
                <w:sz w:val="21"/>
              </w:rPr>
            </w:pPr>
            <w:r>
              <w:rPr>
                <w:w w:val="115"/>
                <w:sz w:val="21"/>
              </w:rPr>
              <w:t>(130</w:t>
            </w:r>
            <w:r>
              <w:rPr>
                <w:spacing w:val="-14"/>
                <w:w w:val="145"/>
                <w:sz w:val="21"/>
              </w:rPr>
              <w:t> </w:t>
            </w:r>
            <w:r>
              <w:rPr>
                <w:w w:val="145"/>
                <w:sz w:val="21"/>
              </w:rPr>
              <w:t>–</w:t>
            </w:r>
            <w:r>
              <w:rPr>
                <w:spacing w:val="-13"/>
                <w:w w:val="145"/>
                <w:sz w:val="21"/>
              </w:rPr>
              <w:t> </w:t>
            </w:r>
            <w:r>
              <w:rPr>
                <w:w w:val="115"/>
                <w:sz w:val="21"/>
              </w:rPr>
              <w:t>139/85</w:t>
            </w:r>
            <w:r>
              <w:rPr>
                <w:spacing w:val="-13"/>
                <w:w w:val="145"/>
                <w:sz w:val="21"/>
              </w:rPr>
              <w:t> </w:t>
            </w:r>
            <w:r>
              <w:rPr>
                <w:w w:val="145"/>
                <w:sz w:val="21"/>
              </w:rPr>
              <w:t>–</w:t>
            </w:r>
            <w:r>
              <w:rPr>
                <w:spacing w:val="-14"/>
                <w:w w:val="145"/>
                <w:sz w:val="21"/>
              </w:rPr>
              <w:t> </w:t>
            </w:r>
            <w:r>
              <w:rPr>
                <w:spacing w:val="-5"/>
                <w:w w:val="115"/>
                <w:sz w:val="21"/>
              </w:rPr>
              <w:t>89)</w:t>
            </w:r>
          </w:p>
        </w:tc>
        <w:tc>
          <w:tcPr>
            <w:tcW w:w="2659" w:type="dxa"/>
            <w:shd w:val="clear" w:color="auto" w:fill="EDECF3"/>
          </w:tcPr>
          <w:p>
            <w:pPr>
              <w:pStyle w:val="TableParagraph"/>
              <w:spacing w:before="93"/>
              <w:rPr>
                <w:sz w:val="21"/>
              </w:rPr>
            </w:pPr>
            <w:r>
              <w:rPr>
                <w:spacing w:val="-5"/>
                <w:w w:val="105"/>
                <w:sz w:val="21"/>
              </w:rPr>
              <w:t>MEV</w:t>
            </w:r>
          </w:p>
        </w:tc>
        <w:tc>
          <w:tcPr>
            <w:tcW w:w="2643" w:type="dxa"/>
            <w:shd w:val="clear" w:color="auto" w:fill="EDECF3"/>
          </w:tcPr>
          <w:p>
            <w:pPr>
              <w:pStyle w:val="TableParagraph"/>
              <w:spacing w:before="93"/>
              <w:rPr>
                <w:sz w:val="21"/>
              </w:rPr>
            </w:pPr>
            <w:r>
              <w:rPr>
                <w:spacing w:val="-5"/>
                <w:w w:val="105"/>
                <w:sz w:val="21"/>
              </w:rPr>
              <w:t>MEV</w:t>
            </w:r>
          </w:p>
        </w:tc>
        <w:tc>
          <w:tcPr>
            <w:tcW w:w="2651" w:type="dxa"/>
            <w:tcBorders>
              <w:right w:val="nil"/>
            </w:tcBorders>
            <w:shd w:val="clear" w:color="auto" w:fill="EDECF3"/>
          </w:tcPr>
          <w:p>
            <w:pPr>
              <w:pStyle w:val="TableParagraph"/>
              <w:spacing w:before="93"/>
              <w:ind w:left="64"/>
              <w:rPr>
                <w:sz w:val="21"/>
              </w:rPr>
            </w:pPr>
            <w:r>
              <w:rPr>
                <w:spacing w:val="-4"/>
                <w:w w:val="105"/>
                <w:sz w:val="21"/>
              </w:rPr>
              <w:t>MEV*</w:t>
            </w:r>
          </w:p>
        </w:tc>
      </w:tr>
      <w:tr>
        <w:trPr>
          <w:trHeight w:val="860" w:hRule="atLeast"/>
        </w:trPr>
        <w:tc>
          <w:tcPr>
            <w:tcW w:w="2667" w:type="dxa"/>
            <w:tcBorders>
              <w:left w:val="nil"/>
            </w:tcBorders>
            <w:shd w:val="clear" w:color="auto" w:fill="EDECF3"/>
          </w:tcPr>
          <w:p>
            <w:pPr>
              <w:pStyle w:val="TableParagraph"/>
              <w:spacing w:before="93"/>
              <w:ind w:left="67"/>
              <w:rPr>
                <w:sz w:val="21"/>
              </w:rPr>
            </w:pPr>
            <w:r>
              <w:rPr>
                <w:w w:val="105"/>
                <w:sz w:val="21"/>
              </w:rPr>
              <w:t>Estágio</w:t>
            </w:r>
            <w:r>
              <w:rPr>
                <w:spacing w:val="14"/>
                <w:w w:val="105"/>
                <w:sz w:val="21"/>
              </w:rPr>
              <w:t> </w:t>
            </w:r>
            <w:r>
              <w:rPr>
                <w:spacing w:val="-10"/>
                <w:w w:val="105"/>
                <w:sz w:val="21"/>
              </w:rPr>
              <w:t>1</w:t>
            </w:r>
          </w:p>
          <w:p>
            <w:pPr>
              <w:pStyle w:val="TableParagraph"/>
              <w:spacing w:before="211"/>
              <w:ind w:left="67"/>
              <w:rPr>
                <w:sz w:val="21"/>
              </w:rPr>
            </w:pPr>
            <w:r>
              <w:rPr>
                <w:w w:val="115"/>
                <w:sz w:val="21"/>
              </w:rPr>
              <w:t>(140</w:t>
            </w:r>
            <w:r>
              <w:rPr>
                <w:spacing w:val="-14"/>
                <w:w w:val="145"/>
                <w:sz w:val="21"/>
              </w:rPr>
              <w:t> </w:t>
            </w:r>
            <w:r>
              <w:rPr>
                <w:w w:val="145"/>
                <w:sz w:val="21"/>
              </w:rPr>
              <w:t>–</w:t>
            </w:r>
            <w:r>
              <w:rPr>
                <w:spacing w:val="-13"/>
                <w:w w:val="145"/>
                <w:sz w:val="21"/>
              </w:rPr>
              <w:t> </w:t>
            </w:r>
            <w:r>
              <w:rPr>
                <w:w w:val="115"/>
                <w:sz w:val="21"/>
              </w:rPr>
              <w:t>159/90</w:t>
            </w:r>
            <w:r>
              <w:rPr>
                <w:spacing w:val="-13"/>
                <w:w w:val="145"/>
                <w:sz w:val="21"/>
              </w:rPr>
              <w:t> </w:t>
            </w:r>
            <w:r>
              <w:rPr>
                <w:w w:val="145"/>
                <w:sz w:val="21"/>
              </w:rPr>
              <w:t>–</w:t>
            </w:r>
            <w:r>
              <w:rPr>
                <w:spacing w:val="-14"/>
                <w:w w:val="145"/>
                <w:sz w:val="21"/>
              </w:rPr>
              <w:t> </w:t>
            </w:r>
            <w:r>
              <w:rPr>
                <w:spacing w:val="-5"/>
                <w:w w:val="115"/>
                <w:sz w:val="21"/>
              </w:rPr>
              <w:t>99)</w:t>
            </w:r>
          </w:p>
        </w:tc>
        <w:tc>
          <w:tcPr>
            <w:tcW w:w="2659" w:type="dxa"/>
            <w:shd w:val="clear" w:color="auto" w:fill="EDECF3"/>
          </w:tcPr>
          <w:p>
            <w:pPr>
              <w:pStyle w:val="TableParagraph"/>
              <w:spacing w:before="93"/>
              <w:rPr>
                <w:sz w:val="21"/>
              </w:rPr>
            </w:pPr>
            <w:r>
              <w:rPr>
                <w:w w:val="105"/>
                <w:sz w:val="21"/>
              </w:rPr>
              <w:t>MEV</w:t>
            </w:r>
            <w:r>
              <w:rPr>
                <w:spacing w:val="2"/>
                <w:w w:val="105"/>
                <w:sz w:val="21"/>
              </w:rPr>
              <w:t> </w:t>
            </w:r>
            <w:r>
              <w:rPr>
                <w:w w:val="105"/>
                <w:sz w:val="21"/>
              </w:rPr>
              <w:t>(até</w:t>
            </w:r>
            <w:r>
              <w:rPr>
                <w:spacing w:val="11"/>
                <w:w w:val="105"/>
                <w:sz w:val="21"/>
              </w:rPr>
              <w:t> </w:t>
            </w:r>
            <w:r>
              <w:rPr>
                <w:w w:val="105"/>
                <w:sz w:val="21"/>
              </w:rPr>
              <w:t>12</w:t>
            </w:r>
            <w:r>
              <w:rPr>
                <w:spacing w:val="10"/>
                <w:w w:val="105"/>
                <w:sz w:val="21"/>
              </w:rPr>
              <w:t> </w:t>
            </w:r>
            <w:r>
              <w:rPr>
                <w:spacing w:val="-2"/>
                <w:w w:val="105"/>
                <w:sz w:val="21"/>
              </w:rPr>
              <w:t>meses)</w:t>
            </w:r>
          </w:p>
        </w:tc>
        <w:tc>
          <w:tcPr>
            <w:tcW w:w="2643" w:type="dxa"/>
            <w:shd w:val="clear" w:color="auto" w:fill="EDECF3"/>
          </w:tcPr>
          <w:p>
            <w:pPr>
              <w:pStyle w:val="TableParagraph"/>
              <w:spacing w:before="93"/>
              <w:rPr>
                <w:sz w:val="21"/>
              </w:rPr>
            </w:pPr>
            <w:r>
              <w:rPr>
                <w:w w:val="105"/>
                <w:sz w:val="21"/>
              </w:rPr>
              <w:t>MEV**</w:t>
            </w:r>
            <w:r>
              <w:rPr>
                <w:spacing w:val="-6"/>
                <w:w w:val="105"/>
                <w:sz w:val="21"/>
              </w:rPr>
              <w:t> </w:t>
            </w:r>
            <w:r>
              <w:rPr>
                <w:w w:val="105"/>
                <w:sz w:val="21"/>
              </w:rPr>
              <w:t>(até</w:t>
            </w:r>
            <w:r>
              <w:rPr>
                <w:spacing w:val="5"/>
                <w:w w:val="105"/>
                <w:sz w:val="21"/>
              </w:rPr>
              <w:t> </w:t>
            </w:r>
            <w:r>
              <w:rPr>
                <w:w w:val="105"/>
                <w:sz w:val="21"/>
              </w:rPr>
              <w:t>6</w:t>
            </w:r>
            <w:r>
              <w:rPr>
                <w:spacing w:val="5"/>
                <w:w w:val="105"/>
                <w:sz w:val="21"/>
              </w:rPr>
              <w:t> </w:t>
            </w:r>
            <w:r>
              <w:rPr>
                <w:spacing w:val="-2"/>
                <w:w w:val="105"/>
                <w:sz w:val="21"/>
              </w:rPr>
              <w:t>meses)</w:t>
            </w:r>
          </w:p>
        </w:tc>
        <w:tc>
          <w:tcPr>
            <w:tcW w:w="2651" w:type="dxa"/>
            <w:tcBorders>
              <w:right w:val="nil"/>
            </w:tcBorders>
            <w:shd w:val="clear" w:color="auto" w:fill="EDECF3"/>
          </w:tcPr>
          <w:p>
            <w:pPr>
              <w:pStyle w:val="TableParagraph"/>
              <w:spacing w:before="93"/>
              <w:ind w:left="64"/>
              <w:rPr>
                <w:sz w:val="21"/>
              </w:rPr>
            </w:pPr>
            <w:r>
              <w:rPr>
                <w:spacing w:val="-5"/>
                <w:w w:val="105"/>
                <w:sz w:val="21"/>
              </w:rPr>
              <w:t>TM</w:t>
            </w:r>
          </w:p>
        </w:tc>
      </w:tr>
      <w:tr>
        <w:trPr>
          <w:trHeight w:val="862" w:hRule="atLeast"/>
        </w:trPr>
        <w:tc>
          <w:tcPr>
            <w:tcW w:w="2667" w:type="dxa"/>
            <w:tcBorders>
              <w:left w:val="nil"/>
              <w:bottom w:val="nil"/>
            </w:tcBorders>
            <w:shd w:val="clear" w:color="auto" w:fill="EDECF3"/>
          </w:tcPr>
          <w:p>
            <w:pPr>
              <w:pStyle w:val="TableParagraph"/>
              <w:spacing w:before="93"/>
              <w:ind w:left="67"/>
              <w:rPr>
                <w:sz w:val="21"/>
              </w:rPr>
            </w:pPr>
            <w:r>
              <w:rPr>
                <w:w w:val="105"/>
                <w:sz w:val="21"/>
              </w:rPr>
              <w:t>Estágios</w:t>
            </w:r>
            <w:r>
              <w:rPr>
                <w:spacing w:val="8"/>
                <w:w w:val="105"/>
                <w:sz w:val="21"/>
              </w:rPr>
              <w:t> </w:t>
            </w:r>
            <w:r>
              <w:rPr>
                <w:w w:val="105"/>
                <w:sz w:val="21"/>
              </w:rPr>
              <w:t>2</w:t>
            </w:r>
            <w:r>
              <w:rPr>
                <w:spacing w:val="13"/>
                <w:w w:val="105"/>
                <w:sz w:val="21"/>
              </w:rPr>
              <w:t> </w:t>
            </w:r>
            <w:r>
              <w:rPr>
                <w:w w:val="105"/>
                <w:sz w:val="21"/>
              </w:rPr>
              <w:t>e</w:t>
            </w:r>
            <w:r>
              <w:rPr>
                <w:spacing w:val="13"/>
                <w:w w:val="105"/>
                <w:sz w:val="21"/>
              </w:rPr>
              <w:t> </w:t>
            </w:r>
            <w:r>
              <w:rPr>
                <w:spacing w:val="-10"/>
                <w:w w:val="105"/>
                <w:sz w:val="21"/>
              </w:rPr>
              <w:t>3</w:t>
            </w:r>
          </w:p>
          <w:p>
            <w:pPr>
              <w:pStyle w:val="TableParagraph"/>
              <w:spacing w:before="211"/>
              <w:ind w:left="67"/>
              <w:rPr>
                <w:sz w:val="21"/>
              </w:rPr>
            </w:pPr>
            <w:r>
              <w:rPr>
                <w:sz w:val="21"/>
              </w:rPr>
              <w:t>(≥</w:t>
            </w:r>
            <w:r>
              <w:rPr>
                <w:spacing w:val="19"/>
                <w:sz w:val="21"/>
              </w:rPr>
              <w:t> </w:t>
            </w:r>
            <w:r>
              <w:rPr>
                <w:sz w:val="21"/>
              </w:rPr>
              <w:t>160/≥</w:t>
            </w:r>
            <w:r>
              <w:rPr>
                <w:spacing w:val="19"/>
                <w:sz w:val="21"/>
              </w:rPr>
              <w:t> </w:t>
            </w:r>
            <w:r>
              <w:rPr>
                <w:spacing w:val="-4"/>
                <w:sz w:val="21"/>
              </w:rPr>
              <w:t>100)</w:t>
            </w:r>
          </w:p>
        </w:tc>
        <w:tc>
          <w:tcPr>
            <w:tcW w:w="2659" w:type="dxa"/>
            <w:tcBorders>
              <w:bottom w:val="nil"/>
            </w:tcBorders>
            <w:shd w:val="clear" w:color="auto" w:fill="EDECF3"/>
          </w:tcPr>
          <w:p>
            <w:pPr>
              <w:pStyle w:val="TableParagraph"/>
              <w:spacing w:before="93"/>
              <w:rPr>
                <w:sz w:val="21"/>
              </w:rPr>
            </w:pPr>
            <w:r>
              <w:rPr>
                <w:spacing w:val="-5"/>
                <w:w w:val="105"/>
                <w:sz w:val="21"/>
              </w:rPr>
              <w:t>TM</w:t>
            </w:r>
          </w:p>
        </w:tc>
        <w:tc>
          <w:tcPr>
            <w:tcW w:w="2643" w:type="dxa"/>
            <w:tcBorders>
              <w:bottom w:val="nil"/>
            </w:tcBorders>
            <w:shd w:val="clear" w:color="auto" w:fill="EDECF3"/>
          </w:tcPr>
          <w:p>
            <w:pPr>
              <w:pStyle w:val="TableParagraph"/>
              <w:spacing w:before="93"/>
              <w:rPr>
                <w:sz w:val="21"/>
              </w:rPr>
            </w:pPr>
            <w:r>
              <w:rPr>
                <w:spacing w:val="-5"/>
                <w:w w:val="105"/>
                <w:sz w:val="21"/>
              </w:rPr>
              <w:t>TM</w:t>
            </w:r>
          </w:p>
        </w:tc>
        <w:tc>
          <w:tcPr>
            <w:tcW w:w="2651" w:type="dxa"/>
            <w:tcBorders>
              <w:bottom w:val="nil"/>
              <w:right w:val="nil"/>
            </w:tcBorders>
            <w:shd w:val="clear" w:color="auto" w:fill="EDECF3"/>
          </w:tcPr>
          <w:p>
            <w:pPr>
              <w:pStyle w:val="TableParagraph"/>
              <w:spacing w:before="93"/>
              <w:ind w:left="64"/>
              <w:rPr>
                <w:sz w:val="21"/>
              </w:rPr>
            </w:pPr>
            <w:r>
              <w:rPr>
                <w:spacing w:val="-5"/>
                <w:w w:val="105"/>
                <w:sz w:val="21"/>
              </w:rPr>
              <w:t>TM</w:t>
            </w:r>
          </w:p>
        </w:tc>
      </w:tr>
    </w:tbl>
    <w:p>
      <w:pPr>
        <w:spacing w:line="285" w:lineRule="auto" w:before="164"/>
        <w:ind w:left="68" w:right="588" w:firstLine="0"/>
        <w:jc w:val="left"/>
        <w:rPr>
          <w:rFonts w:ascii="Microsoft Sans Serif" w:hAnsi="Microsoft Sans Serif"/>
          <w:sz w:val="19"/>
        </w:rPr>
      </w:pPr>
      <w:r>
        <w:rPr>
          <w:rFonts w:ascii="Microsoft Sans Serif" w:hAnsi="Microsoft Sans Serif"/>
          <w:sz w:val="19"/>
        </w:rPr>
        <w:t>*TM se</w:t>
      </w:r>
      <w:r>
        <w:rPr>
          <w:rFonts w:ascii="Microsoft Sans Serif" w:hAnsi="Microsoft Sans Serif"/>
          <w:spacing w:val="24"/>
          <w:sz w:val="19"/>
        </w:rPr>
        <w:t> </w:t>
      </w:r>
      <w:r>
        <w:rPr>
          <w:rFonts w:ascii="Microsoft Sans Serif" w:hAnsi="Microsoft Sans Serif"/>
          <w:sz w:val="19"/>
        </w:rPr>
        <w:t>insuficiência</w:t>
      </w:r>
      <w:r>
        <w:rPr>
          <w:rFonts w:ascii="Microsoft Sans Serif" w:hAnsi="Microsoft Sans Serif"/>
          <w:spacing w:val="24"/>
          <w:sz w:val="19"/>
        </w:rPr>
        <w:t> </w:t>
      </w:r>
      <w:r>
        <w:rPr>
          <w:rFonts w:ascii="Microsoft Sans Serif" w:hAnsi="Microsoft Sans Serif"/>
          <w:sz w:val="19"/>
        </w:rPr>
        <w:t>cardíaca, renal</w:t>
      </w:r>
      <w:r>
        <w:rPr>
          <w:rFonts w:ascii="Microsoft Sans Serif" w:hAnsi="Microsoft Sans Serif"/>
          <w:spacing w:val="24"/>
          <w:sz w:val="19"/>
        </w:rPr>
        <w:t> </w:t>
      </w:r>
      <w:r>
        <w:rPr>
          <w:rFonts w:ascii="Microsoft Sans Serif" w:hAnsi="Microsoft Sans Serif"/>
          <w:sz w:val="19"/>
        </w:rPr>
        <w:t>crônica</w:t>
      </w:r>
      <w:r>
        <w:rPr>
          <w:rFonts w:ascii="Microsoft Sans Serif" w:hAnsi="Microsoft Sans Serif"/>
          <w:spacing w:val="24"/>
          <w:sz w:val="19"/>
        </w:rPr>
        <w:t> </w:t>
      </w:r>
      <w:r>
        <w:rPr>
          <w:rFonts w:ascii="Microsoft Sans Serif" w:hAnsi="Microsoft Sans Serif"/>
          <w:sz w:val="19"/>
        </w:rPr>
        <w:t>ou</w:t>
      </w:r>
      <w:r>
        <w:rPr>
          <w:rFonts w:ascii="Microsoft Sans Serif" w:hAnsi="Microsoft Sans Serif"/>
          <w:spacing w:val="24"/>
          <w:sz w:val="19"/>
        </w:rPr>
        <w:t> </w:t>
      </w:r>
      <w:r>
        <w:rPr>
          <w:rFonts w:ascii="Microsoft Sans Serif" w:hAnsi="Microsoft Sans Serif"/>
          <w:sz w:val="19"/>
        </w:rPr>
        <w:t>diabetes; **TM se</w:t>
      </w:r>
      <w:r>
        <w:rPr>
          <w:rFonts w:ascii="Microsoft Sans Serif" w:hAnsi="Microsoft Sans Serif"/>
          <w:spacing w:val="24"/>
          <w:sz w:val="19"/>
        </w:rPr>
        <w:t> </w:t>
      </w:r>
      <w:r>
        <w:rPr>
          <w:rFonts w:ascii="Microsoft Sans Serif" w:hAnsi="Microsoft Sans Serif"/>
          <w:sz w:val="19"/>
        </w:rPr>
        <w:t>múltiplos fatores de</w:t>
      </w:r>
      <w:r>
        <w:rPr>
          <w:rFonts w:ascii="Microsoft Sans Serif" w:hAnsi="Microsoft Sans Serif"/>
          <w:spacing w:val="24"/>
          <w:sz w:val="19"/>
        </w:rPr>
        <w:t> </w:t>
      </w:r>
      <w:r>
        <w:rPr>
          <w:rFonts w:ascii="Microsoft Sans Serif" w:hAnsi="Microsoft Sans Serif"/>
          <w:sz w:val="19"/>
        </w:rPr>
        <w:t>risco. MEV = modificação</w:t>
      </w:r>
      <w:r>
        <w:rPr>
          <w:rFonts w:ascii="Microsoft Sans Serif" w:hAnsi="Microsoft Sans Serif"/>
          <w:spacing w:val="24"/>
          <w:sz w:val="19"/>
        </w:rPr>
        <w:t> </w:t>
      </w:r>
      <w:r>
        <w:rPr>
          <w:rFonts w:ascii="Microsoft Sans Serif" w:hAnsi="Microsoft Sans Serif"/>
          <w:sz w:val="19"/>
        </w:rPr>
        <w:t>de</w:t>
      </w:r>
      <w:r>
        <w:rPr>
          <w:rFonts w:ascii="Microsoft Sans Serif" w:hAnsi="Microsoft Sans Serif"/>
          <w:spacing w:val="24"/>
          <w:sz w:val="19"/>
        </w:rPr>
        <w:t> </w:t>
      </w:r>
      <w:r>
        <w:rPr>
          <w:rFonts w:ascii="Microsoft Sans Serif" w:hAnsi="Microsoft Sans Serif"/>
          <w:sz w:val="19"/>
        </w:rPr>
        <w:t>estilo vida; risco</w:t>
      </w:r>
      <w:r>
        <w:rPr>
          <w:rFonts w:ascii="Microsoft Sans Serif" w:hAnsi="Microsoft Sans Serif"/>
          <w:spacing w:val="15"/>
          <w:sz w:val="19"/>
        </w:rPr>
        <w:t> </w:t>
      </w:r>
      <w:r>
        <w:rPr>
          <w:rFonts w:ascii="Microsoft Sans Serif" w:hAnsi="Microsoft Sans Serif"/>
          <w:sz w:val="19"/>
        </w:rPr>
        <w:t>A</w:t>
      </w:r>
      <w:r>
        <w:rPr>
          <w:rFonts w:ascii="Microsoft Sans Serif" w:hAnsi="Microsoft Sans Serif"/>
          <w:spacing w:val="8"/>
          <w:sz w:val="19"/>
        </w:rPr>
        <w:t> </w:t>
      </w:r>
      <w:r>
        <w:rPr>
          <w:rFonts w:ascii="Microsoft Sans Serif" w:hAnsi="Microsoft Sans Serif"/>
          <w:sz w:val="19"/>
        </w:rPr>
        <w:t>=</w:t>
      </w:r>
      <w:r>
        <w:rPr>
          <w:rFonts w:ascii="Microsoft Sans Serif" w:hAnsi="Microsoft Sans Serif"/>
          <w:spacing w:val="8"/>
          <w:sz w:val="19"/>
        </w:rPr>
        <w:t> </w:t>
      </w:r>
      <w:r>
        <w:rPr>
          <w:rFonts w:ascii="Microsoft Sans Serif" w:hAnsi="Microsoft Sans Serif"/>
          <w:sz w:val="19"/>
        </w:rPr>
        <w:t>sem</w:t>
      </w:r>
      <w:r>
        <w:rPr>
          <w:rFonts w:ascii="Microsoft Sans Serif" w:hAnsi="Microsoft Sans Serif"/>
          <w:spacing w:val="8"/>
          <w:sz w:val="19"/>
        </w:rPr>
        <w:t> </w:t>
      </w:r>
      <w:r>
        <w:rPr>
          <w:rFonts w:ascii="Microsoft Sans Serif" w:hAnsi="Microsoft Sans Serif"/>
          <w:sz w:val="19"/>
        </w:rPr>
        <w:t>fatores</w:t>
      </w:r>
      <w:r>
        <w:rPr>
          <w:rFonts w:ascii="Microsoft Sans Serif" w:hAnsi="Microsoft Sans Serif"/>
          <w:spacing w:val="8"/>
          <w:sz w:val="19"/>
        </w:rPr>
        <w:t> </w:t>
      </w:r>
      <w:r>
        <w:rPr>
          <w:rFonts w:ascii="Microsoft Sans Serif" w:hAnsi="Microsoft Sans Serif"/>
          <w:sz w:val="19"/>
        </w:rPr>
        <w:t>de</w:t>
      </w:r>
      <w:r>
        <w:rPr>
          <w:rFonts w:ascii="Microsoft Sans Serif" w:hAnsi="Microsoft Sans Serif"/>
          <w:spacing w:val="15"/>
          <w:sz w:val="19"/>
        </w:rPr>
        <w:t> </w:t>
      </w:r>
      <w:r>
        <w:rPr>
          <w:rFonts w:ascii="Microsoft Sans Serif" w:hAnsi="Microsoft Sans Serif"/>
          <w:sz w:val="19"/>
        </w:rPr>
        <w:t>risco</w:t>
      </w:r>
      <w:r>
        <w:rPr>
          <w:rFonts w:ascii="Microsoft Sans Serif" w:hAnsi="Microsoft Sans Serif"/>
          <w:spacing w:val="15"/>
          <w:sz w:val="19"/>
        </w:rPr>
        <w:t> </w:t>
      </w:r>
      <w:r>
        <w:rPr>
          <w:rFonts w:ascii="Microsoft Sans Serif" w:hAnsi="Microsoft Sans Serif"/>
          <w:sz w:val="19"/>
        </w:rPr>
        <w:t>e</w:t>
      </w:r>
      <w:r>
        <w:rPr>
          <w:rFonts w:ascii="Microsoft Sans Serif" w:hAnsi="Microsoft Sans Serif"/>
          <w:spacing w:val="15"/>
          <w:sz w:val="19"/>
        </w:rPr>
        <w:t> </w:t>
      </w:r>
      <w:r>
        <w:rPr>
          <w:rFonts w:ascii="Microsoft Sans Serif" w:hAnsi="Microsoft Sans Serif"/>
          <w:sz w:val="19"/>
        </w:rPr>
        <w:t>sem</w:t>
      </w:r>
      <w:r>
        <w:rPr>
          <w:rFonts w:ascii="Microsoft Sans Serif" w:hAnsi="Microsoft Sans Serif"/>
          <w:spacing w:val="8"/>
          <w:sz w:val="19"/>
        </w:rPr>
        <w:t> </w:t>
      </w:r>
      <w:r>
        <w:rPr>
          <w:rFonts w:ascii="Microsoft Sans Serif" w:hAnsi="Microsoft Sans Serif"/>
          <w:sz w:val="19"/>
        </w:rPr>
        <w:t>lesão</w:t>
      </w:r>
      <w:r>
        <w:rPr>
          <w:rFonts w:ascii="Microsoft Sans Serif" w:hAnsi="Microsoft Sans Serif"/>
          <w:spacing w:val="15"/>
          <w:sz w:val="19"/>
        </w:rPr>
        <w:t> </w:t>
      </w:r>
      <w:r>
        <w:rPr>
          <w:rFonts w:ascii="Microsoft Sans Serif" w:hAnsi="Microsoft Sans Serif"/>
          <w:sz w:val="19"/>
        </w:rPr>
        <w:t>de</w:t>
      </w:r>
      <w:r>
        <w:rPr>
          <w:rFonts w:ascii="Microsoft Sans Serif" w:hAnsi="Microsoft Sans Serif"/>
          <w:spacing w:val="15"/>
          <w:sz w:val="19"/>
        </w:rPr>
        <w:t> </w:t>
      </w:r>
      <w:r>
        <w:rPr>
          <w:rFonts w:ascii="Microsoft Sans Serif" w:hAnsi="Microsoft Sans Serif"/>
          <w:sz w:val="19"/>
        </w:rPr>
        <w:t>órgão-alvo; risco</w:t>
      </w:r>
      <w:r>
        <w:rPr>
          <w:rFonts w:ascii="Microsoft Sans Serif" w:hAnsi="Microsoft Sans Serif"/>
          <w:spacing w:val="15"/>
          <w:sz w:val="19"/>
        </w:rPr>
        <w:t> </w:t>
      </w:r>
      <w:r>
        <w:rPr>
          <w:rFonts w:ascii="Microsoft Sans Serif" w:hAnsi="Microsoft Sans Serif"/>
          <w:sz w:val="19"/>
        </w:rPr>
        <w:t>B</w:t>
      </w:r>
      <w:r>
        <w:rPr>
          <w:rFonts w:ascii="Microsoft Sans Serif" w:hAnsi="Microsoft Sans Serif"/>
          <w:spacing w:val="8"/>
          <w:sz w:val="19"/>
        </w:rPr>
        <w:t> </w:t>
      </w:r>
      <w:r>
        <w:rPr>
          <w:rFonts w:ascii="Microsoft Sans Serif" w:hAnsi="Microsoft Sans Serif"/>
          <w:sz w:val="19"/>
        </w:rPr>
        <w:t>=</w:t>
      </w:r>
      <w:r>
        <w:rPr>
          <w:rFonts w:ascii="Microsoft Sans Serif" w:hAnsi="Microsoft Sans Serif"/>
          <w:spacing w:val="8"/>
          <w:sz w:val="19"/>
        </w:rPr>
        <w:t> </w:t>
      </w:r>
      <w:r>
        <w:rPr>
          <w:rFonts w:ascii="Microsoft Sans Serif" w:hAnsi="Microsoft Sans Serif"/>
          <w:sz w:val="19"/>
        </w:rPr>
        <w:t>fatores</w:t>
      </w:r>
      <w:r>
        <w:rPr>
          <w:rFonts w:ascii="Microsoft Sans Serif" w:hAnsi="Microsoft Sans Serif"/>
          <w:spacing w:val="8"/>
          <w:sz w:val="19"/>
        </w:rPr>
        <w:t> </w:t>
      </w:r>
      <w:r>
        <w:rPr>
          <w:rFonts w:ascii="Microsoft Sans Serif" w:hAnsi="Microsoft Sans Serif"/>
          <w:sz w:val="19"/>
        </w:rPr>
        <w:t>de</w:t>
      </w:r>
      <w:r>
        <w:rPr>
          <w:rFonts w:ascii="Microsoft Sans Serif" w:hAnsi="Microsoft Sans Serif"/>
          <w:spacing w:val="15"/>
          <w:sz w:val="19"/>
        </w:rPr>
        <w:t> </w:t>
      </w:r>
      <w:r>
        <w:rPr>
          <w:rFonts w:ascii="Microsoft Sans Serif" w:hAnsi="Microsoft Sans Serif"/>
          <w:sz w:val="19"/>
        </w:rPr>
        <w:t>risco</w:t>
      </w:r>
      <w:r>
        <w:rPr>
          <w:rFonts w:ascii="Microsoft Sans Serif" w:hAnsi="Microsoft Sans Serif"/>
          <w:spacing w:val="15"/>
          <w:sz w:val="19"/>
        </w:rPr>
        <w:t> </w:t>
      </w:r>
      <w:r>
        <w:rPr>
          <w:rFonts w:ascii="Microsoft Sans Serif" w:hAnsi="Microsoft Sans Serif"/>
          <w:sz w:val="19"/>
        </w:rPr>
        <w:t>(não</w:t>
      </w:r>
      <w:r>
        <w:rPr>
          <w:rFonts w:ascii="Microsoft Sans Serif" w:hAnsi="Microsoft Sans Serif"/>
          <w:spacing w:val="15"/>
          <w:sz w:val="19"/>
        </w:rPr>
        <w:t> </w:t>
      </w:r>
      <w:r>
        <w:rPr>
          <w:rFonts w:ascii="Microsoft Sans Serif" w:hAnsi="Microsoft Sans Serif"/>
          <w:sz w:val="19"/>
        </w:rPr>
        <w:t>incluindo</w:t>
      </w:r>
      <w:r>
        <w:rPr>
          <w:rFonts w:ascii="Microsoft Sans Serif" w:hAnsi="Microsoft Sans Serif"/>
          <w:spacing w:val="15"/>
          <w:sz w:val="19"/>
        </w:rPr>
        <w:t> </w:t>
      </w:r>
      <w:r>
        <w:rPr>
          <w:rFonts w:ascii="Microsoft Sans Serif" w:hAnsi="Microsoft Sans Serif"/>
          <w:sz w:val="19"/>
        </w:rPr>
        <w:t>o</w:t>
      </w:r>
      <w:r>
        <w:rPr>
          <w:rFonts w:ascii="Microsoft Sans Serif" w:hAnsi="Microsoft Sans Serif"/>
          <w:spacing w:val="15"/>
          <w:sz w:val="19"/>
        </w:rPr>
        <w:t> </w:t>
      </w:r>
      <w:r>
        <w:rPr>
          <w:rFonts w:ascii="Microsoft Sans Serif" w:hAnsi="Microsoft Sans Serif"/>
          <w:sz w:val="19"/>
        </w:rPr>
        <w:t>diabetes</w:t>
      </w:r>
      <w:r>
        <w:rPr>
          <w:rFonts w:ascii="Microsoft Sans Serif" w:hAnsi="Microsoft Sans Serif"/>
          <w:spacing w:val="8"/>
          <w:sz w:val="19"/>
        </w:rPr>
        <w:t> </w:t>
      </w:r>
      <w:r>
        <w:rPr>
          <w:rFonts w:ascii="Microsoft Sans Serif" w:hAnsi="Microsoft Sans Serif"/>
          <w:sz w:val="19"/>
        </w:rPr>
        <w:t>melito) e</w:t>
      </w:r>
      <w:r>
        <w:rPr>
          <w:rFonts w:ascii="Microsoft Sans Serif" w:hAnsi="Microsoft Sans Serif"/>
          <w:spacing w:val="35"/>
          <w:sz w:val="19"/>
        </w:rPr>
        <w:t> </w:t>
      </w:r>
      <w:r>
        <w:rPr>
          <w:rFonts w:ascii="Microsoft Sans Serif" w:hAnsi="Microsoft Sans Serif"/>
          <w:sz w:val="19"/>
        </w:rPr>
        <w:t>sem</w:t>
      </w:r>
      <w:r>
        <w:rPr>
          <w:rFonts w:ascii="Microsoft Sans Serif" w:hAnsi="Microsoft Sans Serif"/>
          <w:spacing w:val="27"/>
          <w:sz w:val="19"/>
        </w:rPr>
        <w:t> </w:t>
      </w:r>
      <w:r>
        <w:rPr>
          <w:rFonts w:ascii="Microsoft Sans Serif" w:hAnsi="Microsoft Sans Serif"/>
          <w:sz w:val="19"/>
        </w:rPr>
        <w:t>lesão</w:t>
      </w:r>
      <w:r>
        <w:rPr>
          <w:rFonts w:ascii="Microsoft Sans Serif" w:hAnsi="Microsoft Sans Serif"/>
          <w:spacing w:val="35"/>
          <w:sz w:val="19"/>
        </w:rPr>
        <w:t> </w:t>
      </w:r>
      <w:r>
        <w:rPr>
          <w:rFonts w:ascii="Microsoft Sans Serif" w:hAnsi="Microsoft Sans Serif"/>
          <w:sz w:val="19"/>
        </w:rPr>
        <w:t>de</w:t>
      </w:r>
      <w:r>
        <w:rPr>
          <w:rFonts w:ascii="Microsoft Sans Serif" w:hAnsi="Microsoft Sans Serif"/>
          <w:spacing w:val="35"/>
          <w:sz w:val="19"/>
        </w:rPr>
        <w:t> </w:t>
      </w:r>
      <w:r>
        <w:rPr>
          <w:rFonts w:ascii="Microsoft Sans Serif" w:hAnsi="Microsoft Sans Serif"/>
          <w:sz w:val="19"/>
        </w:rPr>
        <w:t>órgãos-alvo; risco</w:t>
      </w:r>
      <w:r>
        <w:rPr>
          <w:rFonts w:ascii="Microsoft Sans Serif" w:hAnsi="Microsoft Sans Serif"/>
          <w:spacing w:val="35"/>
          <w:sz w:val="19"/>
        </w:rPr>
        <w:t> </w:t>
      </w:r>
      <w:r>
        <w:rPr>
          <w:rFonts w:ascii="Microsoft Sans Serif" w:hAnsi="Microsoft Sans Serif"/>
          <w:sz w:val="19"/>
        </w:rPr>
        <w:t>C</w:t>
      </w:r>
      <w:r>
        <w:rPr>
          <w:rFonts w:ascii="Microsoft Sans Serif" w:hAnsi="Microsoft Sans Serif"/>
          <w:spacing w:val="35"/>
          <w:sz w:val="19"/>
        </w:rPr>
        <w:t> </w:t>
      </w:r>
      <w:r>
        <w:rPr>
          <w:rFonts w:ascii="Microsoft Sans Serif" w:hAnsi="Microsoft Sans Serif"/>
          <w:sz w:val="19"/>
        </w:rPr>
        <w:t>=</w:t>
      </w:r>
      <w:r>
        <w:rPr>
          <w:rFonts w:ascii="Microsoft Sans Serif" w:hAnsi="Microsoft Sans Serif"/>
          <w:spacing w:val="27"/>
          <w:sz w:val="19"/>
        </w:rPr>
        <w:t> </w:t>
      </w:r>
      <w:r>
        <w:rPr>
          <w:rFonts w:ascii="Microsoft Sans Serif" w:hAnsi="Microsoft Sans Serif"/>
          <w:sz w:val="19"/>
        </w:rPr>
        <w:t>lesão</w:t>
      </w:r>
      <w:r>
        <w:rPr>
          <w:rFonts w:ascii="Microsoft Sans Serif" w:hAnsi="Microsoft Sans Serif"/>
          <w:spacing w:val="35"/>
          <w:sz w:val="19"/>
        </w:rPr>
        <w:t> </w:t>
      </w:r>
      <w:r>
        <w:rPr>
          <w:rFonts w:ascii="Microsoft Sans Serif" w:hAnsi="Microsoft Sans Serif"/>
          <w:sz w:val="19"/>
        </w:rPr>
        <w:t>de</w:t>
      </w:r>
      <w:r>
        <w:rPr>
          <w:rFonts w:ascii="Microsoft Sans Serif" w:hAnsi="Microsoft Sans Serif"/>
          <w:spacing w:val="35"/>
          <w:sz w:val="19"/>
        </w:rPr>
        <w:t> </w:t>
      </w:r>
      <w:r>
        <w:rPr>
          <w:rFonts w:ascii="Microsoft Sans Serif" w:hAnsi="Microsoft Sans Serif"/>
          <w:sz w:val="19"/>
        </w:rPr>
        <w:t>órgãos-alvo, doença</w:t>
      </w:r>
      <w:r>
        <w:rPr>
          <w:rFonts w:ascii="Microsoft Sans Serif" w:hAnsi="Microsoft Sans Serif"/>
          <w:spacing w:val="35"/>
          <w:sz w:val="19"/>
        </w:rPr>
        <w:t> </w:t>
      </w:r>
      <w:r>
        <w:rPr>
          <w:rFonts w:ascii="Microsoft Sans Serif" w:hAnsi="Microsoft Sans Serif"/>
          <w:sz w:val="19"/>
        </w:rPr>
        <w:t>cardiovascular</w:t>
      </w:r>
      <w:r>
        <w:rPr>
          <w:rFonts w:ascii="Microsoft Sans Serif" w:hAnsi="Microsoft Sans Serif"/>
          <w:spacing w:val="27"/>
          <w:sz w:val="19"/>
        </w:rPr>
        <w:t> </w:t>
      </w:r>
      <w:r>
        <w:rPr>
          <w:rFonts w:ascii="Microsoft Sans Serif" w:hAnsi="Microsoft Sans Serif"/>
          <w:sz w:val="19"/>
        </w:rPr>
        <w:t>clinicamente</w:t>
      </w:r>
      <w:r>
        <w:rPr>
          <w:rFonts w:ascii="Microsoft Sans Serif" w:hAnsi="Microsoft Sans Serif"/>
          <w:spacing w:val="35"/>
          <w:sz w:val="19"/>
        </w:rPr>
        <w:t> </w:t>
      </w:r>
      <w:r>
        <w:rPr>
          <w:rFonts w:ascii="Microsoft Sans Serif" w:hAnsi="Microsoft Sans Serif"/>
          <w:sz w:val="19"/>
        </w:rPr>
        <w:t>identificável</w:t>
      </w:r>
      <w:r>
        <w:rPr>
          <w:rFonts w:ascii="Microsoft Sans Serif" w:hAnsi="Microsoft Sans Serif"/>
          <w:spacing w:val="35"/>
          <w:sz w:val="19"/>
        </w:rPr>
        <w:t> </w:t>
      </w:r>
      <w:r>
        <w:rPr>
          <w:rFonts w:ascii="Microsoft Sans Serif" w:hAnsi="Microsoft Sans Serif"/>
          <w:sz w:val="19"/>
        </w:rPr>
        <w:t>e/ou diabetes melito; TM = terapia medicamentosa.</w:t>
      </w:r>
    </w:p>
    <w:p>
      <w:pPr>
        <w:pStyle w:val="BodyText"/>
        <w:spacing w:before="67"/>
        <w:ind w:left="0" w:firstLine="0"/>
        <w:jc w:val="left"/>
        <w:rPr>
          <w:rFonts w:ascii="Microsoft Sans Serif"/>
          <w:sz w:val="19"/>
        </w:rPr>
      </w:pPr>
    </w:p>
    <w:p>
      <w:pPr>
        <w:pStyle w:val="BodyText"/>
        <w:spacing w:line="276" w:lineRule="auto" w:before="0"/>
        <w:ind w:right="500"/>
      </w:pPr>
      <w:r>
        <w:rPr/>
        <w:t>Para o início da terapia medicamentosa, procure seguir os passos propostos na </w:t>
      </w:r>
      <w:r>
        <w:rPr>
          <w:color w:val="505050"/>
        </w:rPr>
        <w:t>Figura 57.3</w:t>
      </w:r>
      <w:r>
        <w:rPr/>
        <w:t>, baseada nas orientações das IV Diretrizes Brasileiras de Hipertensão Arterial.</w:t>
      </w:r>
    </w:p>
    <w:p>
      <w:pPr>
        <w:pStyle w:val="BodyText"/>
        <w:spacing w:line="276" w:lineRule="auto" w:before="64"/>
        <w:ind w:right="488"/>
      </w:pPr>
      <w:r>
        <w:rPr/>
        <w:t>A introdução no mercado dos primeiros fármacos para tratar a HAS foi na década de 1920. Apesar disso, na década</w:t>
      </w:r>
      <w:r>
        <w:rPr>
          <w:spacing w:val="-9"/>
        </w:rPr>
        <w:t> </w:t>
      </w:r>
      <w:r>
        <w:rPr/>
        <w:t>de</w:t>
      </w:r>
      <w:r>
        <w:rPr>
          <w:spacing w:val="-9"/>
        </w:rPr>
        <w:t> </w:t>
      </w:r>
      <w:r>
        <w:rPr/>
        <w:t>1930</w:t>
      </w:r>
      <w:r>
        <w:rPr>
          <w:spacing w:val="-6"/>
        </w:rPr>
        <w:t> </w:t>
      </w:r>
      <w:r>
        <w:rPr/>
        <w:t>os médicos ainda</w:t>
      </w:r>
      <w:r>
        <w:rPr>
          <w:spacing w:val="-9"/>
        </w:rPr>
        <w:t> </w:t>
      </w:r>
      <w:r>
        <w:rPr/>
        <w:t>pensavam</w:t>
      </w:r>
      <w:r>
        <w:rPr>
          <w:spacing w:val="-6"/>
        </w:rPr>
        <w:t> </w:t>
      </w:r>
      <w:r>
        <w:rPr/>
        <w:t>que</w:t>
      </w:r>
      <w:r>
        <w:rPr>
          <w:spacing w:val="-9"/>
        </w:rPr>
        <w:t> </w:t>
      </w:r>
      <w:r>
        <w:rPr/>
        <w:t>não</w:t>
      </w:r>
      <w:r>
        <w:rPr>
          <w:spacing w:val="-6"/>
        </w:rPr>
        <w:t> </w:t>
      </w:r>
      <w:r>
        <w:rPr/>
        <w:t>se</w:t>
      </w:r>
      <w:r>
        <w:rPr>
          <w:spacing w:val="-9"/>
        </w:rPr>
        <w:t> </w:t>
      </w:r>
      <w:r>
        <w:rPr/>
        <w:t>devia</w:t>
      </w:r>
      <w:r>
        <w:rPr>
          <w:spacing w:val="-9"/>
        </w:rPr>
        <w:t> </w:t>
      </w:r>
      <w:r>
        <w:rPr/>
        <w:t>reduzir</w:t>
      </w:r>
      <w:r>
        <w:rPr>
          <w:spacing w:val="-1"/>
        </w:rPr>
        <w:t> </w:t>
      </w:r>
      <w:r>
        <w:rPr/>
        <w:t>a</w:t>
      </w:r>
      <w:r>
        <w:rPr>
          <w:spacing w:val="-9"/>
        </w:rPr>
        <w:t> </w:t>
      </w:r>
      <w:r>
        <w:rPr/>
        <w:t>pressão</w:t>
      </w:r>
      <w:r>
        <w:rPr>
          <w:spacing w:val="-6"/>
        </w:rPr>
        <w:t> </w:t>
      </w:r>
      <w:r>
        <w:rPr/>
        <w:t>arterial</w:t>
      </w:r>
      <w:r>
        <w:rPr>
          <w:spacing w:val="-4"/>
        </w:rPr>
        <w:t> </w:t>
      </w:r>
      <w:r>
        <w:rPr/>
        <w:t>do</w:t>
      </w:r>
      <w:r>
        <w:rPr>
          <w:spacing w:val="-6"/>
        </w:rPr>
        <w:t> </w:t>
      </w:r>
      <w:r>
        <w:rPr/>
        <w:t>paciente</w:t>
      </w:r>
      <w:r>
        <w:rPr>
          <w:spacing w:val="-9"/>
        </w:rPr>
        <w:t> </w:t>
      </w:r>
      <w:r>
        <w:rPr/>
        <w:t>com</w:t>
      </w:r>
      <w:r>
        <w:rPr>
          <w:spacing w:val="-6"/>
        </w:rPr>
        <w:t> </w:t>
      </w:r>
      <w:r>
        <w:rPr/>
        <w:t>HAS, pois a pressão arterial elevada era </w:t>
      </w:r>
      <w:r>
        <w:rPr>
          <w:i/>
        </w:rPr>
        <w:t>essencial </w:t>
      </w:r>
      <w:r>
        <w:rPr/>
        <w:t>para irrigar os órgãos do paciente, principalmente aqueles na meia-idade. Apesar de esse conceito ter sido divulgado na década de 1930, ocorreu grande evolução no arsenal terapêutico da hipertensão nos últimos 70 anos. As várias classes de medicamentos, nome genérico, mecanismo de ação e posologia são mostrados a seguir.</w:t>
      </w:r>
    </w:p>
    <w:p>
      <w:pPr>
        <w:pStyle w:val="BodyText"/>
        <w:spacing w:before="25"/>
        <w:ind w:left="0" w:firstLine="0"/>
        <w:jc w:val="left"/>
      </w:pPr>
    </w:p>
    <w:p>
      <w:pPr>
        <w:pStyle w:val="Heading7"/>
      </w:pPr>
      <w:r>
        <w:rPr>
          <w:color w:val="242B67"/>
          <w:spacing w:val="-2"/>
        </w:rPr>
        <w:t>Diuréticos</w:t>
      </w:r>
    </w:p>
    <w:p>
      <w:pPr>
        <w:pStyle w:val="BodyText"/>
        <w:spacing w:line="283" w:lineRule="auto" w:before="127"/>
        <w:ind w:right="487"/>
      </w:pPr>
      <w:r>
        <w:rPr/>
        <w:t>Os diuréticos foram</w:t>
      </w:r>
      <w:r>
        <w:rPr>
          <w:spacing w:val="-6"/>
        </w:rPr>
        <w:t> </w:t>
      </w:r>
      <w:r>
        <w:rPr/>
        <w:t>os primeiros anti-hipertensivos utilizados no</w:t>
      </w:r>
      <w:r>
        <w:rPr>
          <w:spacing w:val="-6"/>
        </w:rPr>
        <w:t> </w:t>
      </w:r>
      <w:r>
        <w:rPr/>
        <w:t>tratamento</w:t>
      </w:r>
      <w:r>
        <w:rPr>
          <w:spacing w:val="-6"/>
        </w:rPr>
        <w:t> </w:t>
      </w:r>
      <w:r>
        <w:rPr/>
        <w:t>da</w:t>
      </w:r>
      <w:r>
        <w:rPr>
          <w:spacing w:val="-8"/>
        </w:rPr>
        <w:t> </w:t>
      </w:r>
      <w:r>
        <w:rPr/>
        <w:t>HAS. Esse</w:t>
      </w:r>
      <w:r>
        <w:rPr>
          <w:spacing w:val="-8"/>
        </w:rPr>
        <w:t> </w:t>
      </w:r>
      <w:r>
        <w:rPr/>
        <w:t>grupo</w:t>
      </w:r>
      <w:r>
        <w:rPr>
          <w:spacing w:val="-6"/>
        </w:rPr>
        <w:t> </w:t>
      </w:r>
      <w:r>
        <w:rPr/>
        <w:t>de</w:t>
      </w:r>
      <w:r>
        <w:rPr>
          <w:spacing w:val="-8"/>
        </w:rPr>
        <w:t> </w:t>
      </w:r>
      <w:r>
        <w:rPr/>
        <w:t>fármacos é efetivo</w:t>
      </w:r>
      <w:r>
        <w:rPr>
          <w:spacing w:val="-5"/>
        </w:rPr>
        <w:t> </w:t>
      </w:r>
      <w:r>
        <w:rPr/>
        <w:t>e</w:t>
      </w:r>
      <w:r>
        <w:rPr>
          <w:spacing w:val="-7"/>
        </w:rPr>
        <w:t> </w:t>
      </w:r>
      <w:r>
        <w:rPr/>
        <w:t>bem</w:t>
      </w:r>
      <w:r>
        <w:rPr>
          <w:spacing w:val="-5"/>
        </w:rPr>
        <w:t> </w:t>
      </w:r>
      <w:r>
        <w:rPr/>
        <w:t>tolerado</w:t>
      </w:r>
      <w:r>
        <w:rPr>
          <w:spacing w:val="-5"/>
        </w:rPr>
        <w:t> </w:t>
      </w:r>
      <w:r>
        <w:rPr/>
        <w:t>e</w:t>
      </w:r>
      <w:r>
        <w:rPr>
          <w:spacing w:val="-7"/>
        </w:rPr>
        <w:t> </w:t>
      </w:r>
      <w:r>
        <w:rPr/>
        <w:t>atualmente</w:t>
      </w:r>
      <w:r>
        <w:rPr>
          <w:spacing w:val="-7"/>
        </w:rPr>
        <w:t> </w:t>
      </w:r>
      <w:r>
        <w:rPr/>
        <w:t>são</w:t>
      </w:r>
      <w:r>
        <w:rPr>
          <w:spacing w:val="-5"/>
        </w:rPr>
        <w:t> </w:t>
      </w:r>
      <w:r>
        <w:rPr/>
        <w:t>considerados como</w:t>
      </w:r>
      <w:r>
        <w:rPr>
          <w:spacing w:val="-5"/>
        </w:rPr>
        <w:t> </w:t>
      </w:r>
      <w:r>
        <w:rPr/>
        <w:t>medicamentos de</w:t>
      </w:r>
      <w:r>
        <w:rPr>
          <w:spacing w:val="-7"/>
        </w:rPr>
        <w:t> </w:t>
      </w:r>
      <w:r>
        <w:rPr/>
        <w:t>primeira</w:t>
      </w:r>
      <w:r>
        <w:rPr>
          <w:spacing w:val="-7"/>
        </w:rPr>
        <w:t> </w:t>
      </w:r>
      <w:r>
        <w:rPr/>
        <w:t>linha</w:t>
      </w:r>
      <w:r>
        <w:rPr>
          <w:spacing w:val="-7"/>
        </w:rPr>
        <w:t> </w:t>
      </w:r>
      <w:r>
        <w:rPr/>
        <w:t>no</w:t>
      </w:r>
      <w:r>
        <w:rPr>
          <w:spacing w:val="-5"/>
        </w:rPr>
        <w:t> </w:t>
      </w:r>
      <w:r>
        <w:rPr/>
        <w:t>tratamento</w:t>
      </w:r>
      <w:r>
        <w:rPr>
          <w:spacing w:val="-5"/>
        </w:rPr>
        <w:t> </w:t>
      </w:r>
      <w:r>
        <w:rPr/>
        <w:t>da</w:t>
      </w:r>
      <w:r>
        <w:rPr>
          <w:spacing w:val="-7"/>
        </w:rPr>
        <w:t> </w:t>
      </w:r>
      <w:r>
        <w:rPr/>
        <w:t>HAS. Após muitos anos de uso e da realização de vários estudos, incluindo o ALLHAT,</w:t>
      </w:r>
      <w:r>
        <w:rPr>
          <w:vertAlign w:val="superscript"/>
        </w:rPr>
        <w:t>35</w:t>
      </w:r>
      <w:r>
        <w:rPr>
          <w:vertAlign w:val="baseline"/>
        </w:rPr>
        <w:t> ficou clara a importância dos diuréticos no tratamento da HAS. Os vários estudos na literatura foram importantes no sentido de definir a dose ideal para o controle pressórico com menos efeitos colaterais (</w:t>
      </w:r>
      <w:r>
        <w:rPr>
          <w:color w:val="505050"/>
          <w:vertAlign w:val="baseline"/>
        </w:rPr>
        <w:t>Tabela 57.8</w:t>
      </w:r>
      <w:r>
        <w:rPr>
          <w:vertAlign w:val="baseline"/>
        </w:rPr>
        <w:t>).</w:t>
      </w:r>
      <w:r>
        <w:rPr>
          <w:vertAlign w:val="superscript"/>
        </w:rPr>
        <w:t>1</w:t>
      </w:r>
    </w:p>
    <w:p>
      <w:pPr>
        <w:pStyle w:val="BodyText"/>
        <w:spacing w:after="0" w:line="283" w:lineRule="auto"/>
        <w:sectPr>
          <w:pgSz w:w="11900" w:h="16840"/>
          <w:pgMar w:top="200" w:bottom="280" w:left="566" w:right="141"/>
        </w:sectPr>
      </w:pPr>
    </w:p>
    <w:p>
      <w:pPr>
        <w:spacing w:line="240" w:lineRule="auto"/>
        <w:ind w:left="562" w:right="0" w:firstLine="0"/>
        <w:rPr>
          <w:sz w:val="20"/>
        </w:rPr>
      </w:pPr>
      <w:r>
        <w:rPr>
          <w:sz w:val="20"/>
        </w:rPr>
        <w:drawing>
          <wp:inline distT="0" distB="0" distL="0" distR="0">
            <wp:extent cx="6135438" cy="438245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1" cstate="print"/>
                    <a:stretch>
                      <a:fillRect/>
                    </a:stretch>
                  </pic:blipFill>
                  <pic:spPr>
                    <a:xfrm>
                      <a:off x="0" y="0"/>
                      <a:ext cx="6135438" cy="4382452"/>
                    </a:xfrm>
                    <a:prstGeom prst="rect">
                      <a:avLst/>
                    </a:prstGeom>
                  </pic:spPr>
                </pic:pic>
              </a:graphicData>
            </a:graphic>
          </wp:inline>
        </w:drawing>
      </w:r>
      <w:r>
        <w:rPr>
          <w:sz w:val="20"/>
        </w:rPr>
      </w:r>
    </w:p>
    <w:p>
      <w:pPr>
        <w:pStyle w:val="BodyText"/>
        <w:spacing w:before="36"/>
        <w:ind w:left="0" w:firstLine="0"/>
        <w:jc w:val="left"/>
        <w:rPr>
          <w:sz w:val="19"/>
        </w:rPr>
      </w:pPr>
    </w:p>
    <w:p>
      <w:pPr>
        <w:spacing w:line="285" w:lineRule="auto"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61"/>
          <w:sz w:val="19"/>
        </w:rPr>
        <w:t> </w:t>
      </w:r>
      <w:r>
        <w:rPr>
          <w:rFonts w:ascii="Arial" w:hAnsi="Arial"/>
          <w:b/>
          <w:color w:val="242B67"/>
          <w:sz w:val="19"/>
        </w:rPr>
        <w:t>57.3</w:t>
      </w:r>
      <w:r>
        <w:rPr>
          <w:rFonts w:ascii="Arial" w:hAnsi="Arial"/>
          <w:b/>
          <w:color w:val="242B67"/>
          <w:spacing w:val="65"/>
          <w:sz w:val="19"/>
        </w:rPr>
        <w:t> </w:t>
      </w:r>
      <w:r>
        <w:rPr>
          <w:rFonts w:ascii="Microsoft Sans Serif" w:hAnsi="Microsoft Sans Serif"/>
          <w:sz w:val="19"/>
        </w:rPr>
        <w:t>Algoritmo</w:t>
      </w:r>
      <w:r>
        <w:rPr>
          <w:rFonts w:ascii="Microsoft Sans Serif" w:hAnsi="Microsoft Sans Serif"/>
          <w:spacing w:val="68"/>
          <w:sz w:val="19"/>
        </w:rPr>
        <w:t> </w:t>
      </w:r>
      <w:r>
        <w:rPr>
          <w:rFonts w:ascii="Microsoft Sans Serif" w:hAnsi="Microsoft Sans Serif"/>
          <w:sz w:val="19"/>
        </w:rPr>
        <w:t>para</w:t>
      </w:r>
      <w:r>
        <w:rPr>
          <w:rFonts w:ascii="Microsoft Sans Serif" w:hAnsi="Microsoft Sans Serif"/>
          <w:spacing w:val="68"/>
          <w:sz w:val="19"/>
        </w:rPr>
        <w:t> </w:t>
      </w:r>
      <w:r>
        <w:rPr>
          <w:rFonts w:ascii="Microsoft Sans Serif" w:hAnsi="Microsoft Sans Serif"/>
          <w:sz w:val="19"/>
        </w:rPr>
        <w:t>o</w:t>
      </w:r>
      <w:r>
        <w:rPr>
          <w:rFonts w:ascii="Microsoft Sans Serif" w:hAnsi="Microsoft Sans Serif"/>
          <w:spacing w:val="68"/>
          <w:sz w:val="19"/>
        </w:rPr>
        <w:t> </w:t>
      </w:r>
      <w:r>
        <w:rPr>
          <w:rFonts w:ascii="Microsoft Sans Serif" w:hAnsi="Microsoft Sans Serif"/>
          <w:sz w:val="19"/>
        </w:rPr>
        <w:t>tratamento</w:t>
      </w:r>
      <w:r>
        <w:rPr>
          <w:rFonts w:ascii="Microsoft Sans Serif" w:hAnsi="Microsoft Sans Serif"/>
          <w:spacing w:val="68"/>
          <w:sz w:val="19"/>
        </w:rPr>
        <w:t> </w:t>
      </w:r>
      <w:r>
        <w:rPr>
          <w:rFonts w:ascii="Microsoft Sans Serif" w:hAnsi="Microsoft Sans Serif"/>
          <w:sz w:val="19"/>
        </w:rPr>
        <w:t>da</w:t>
      </w:r>
      <w:r>
        <w:rPr>
          <w:rFonts w:ascii="Microsoft Sans Serif" w:hAnsi="Microsoft Sans Serif"/>
          <w:spacing w:val="68"/>
          <w:sz w:val="19"/>
        </w:rPr>
        <w:t> </w:t>
      </w:r>
      <w:r>
        <w:rPr>
          <w:rFonts w:ascii="Microsoft Sans Serif" w:hAnsi="Microsoft Sans Serif"/>
          <w:sz w:val="19"/>
        </w:rPr>
        <w:t>hipertensão</w:t>
      </w:r>
      <w:r>
        <w:rPr>
          <w:rFonts w:ascii="Microsoft Sans Serif" w:hAnsi="Microsoft Sans Serif"/>
          <w:spacing w:val="68"/>
          <w:sz w:val="19"/>
        </w:rPr>
        <w:t> </w:t>
      </w:r>
      <w:r>
        <w:rPr>
          <w:rFonts w:ascii="Microsoft Sans Serif" w:hAnsi="Microsoft Sans Serif"/>
          <w:sz w:val="19"/>
        </w:rPr>
        <w:t>arterial.</w:t>
      </w:r>
      <w:r>
        <w:rPr>
          <w:rFonts w:ascii="Microsoft Sans Serif" w:hAnsi="Microsoft Sans Serif"/>
          <w:spacing w:val="40"/>
          <w:sz w:val="19"/>
        </w:rPr>
        <w:t> </w:t>
      </w:r>
      <w:r>
        <w:rPr>
          <w:rFonts w:ascii="Microsoft Sans Serif" w:hAnsi="Microsoft Sans Serif"/>
          <w:sz w:val="19"/>
        </w:rPr>
        <w:t>ECA</w:t>
      </w:r>
      <w:r>
        <w:rPr>
          <w:rFonts w:ascii="Microsoft Sans Serif" w:hAnsi="Microsoft Sans Serif"/>
          <w:spacing w:val="62"/>
          <w:sz w:val="19"/>
        </w:rPr>
        <w:t> </w:t>
      </w:r>
      <w:r>
        <w:rPr>
          <w:rFonts w:ascii="Microsoft Sans Serif" w:hAnsi="Microsoft Sans Serif"/>
          <w:sz w:val="19"/>
        </w:rPr>
        <w:t>=</w:t>
      </w:r>
      <w:r>
        <w:rPr>
          <w:rFonts w:ascii="Microsoft Sans Serif" w:hAnsi="Microsoft Sans Serif"/>
          <w:spacing w:val="62"/>
          <w:sz w:val="19"/>
        </w:rPr>
        <w:t> </w:t>
      </w:r>
      <w:r>
        <w:rPr>
          <w:rFonts w:ascii="Microsoft Sans Serif" w:hAnsi="Microsoft Sans Serif"/>
          <w:sz w:val="19"/>
        </w:rPr>
        <w:t>enzima</w:t>
      </w:r>
      <w:r>
        <w:rPr>
          <w:rFonts w:ascii="Microsoft Sans Serif" w:hAnsi="Microsoft Sans Serif"/>
          <w:spacing w:val="68"/>
          <w:sz w:val="19"/>
        </w:rPr>
        <w:t> </w:t>
      </w:r>
      <w:r>
        <w:rPr>
          <w:rFonts w:ascii="Microsoft Sans Serif" w:hAnsi="Microsoft Sans Serif"/>
          <w:sz w:val="19"/>
        </w:rPr>
        <w:t>conversora</w:t>
      </w:r>
      <w:r>
        <w:rPr>
          <w:rFonts w:ascii="Microsoft Sans Serif" w:hAnsi="Microsoft Sans Serif"/>
          <w:spacing w:val="68"/>
          <w:sz w:val="19"/>
        </w:rPr>
        <w:t> </w:t>
      </w:r>
      <w:r>
        <w:rPr>
          <w:rFonts w:ascii="Microsoft Sans Serif" w:hAnsi="Microsoft Sans Serif"/>
          <w:sz w:val="19"/>
        </w:rPr>
        <w:t>da</w:t>
      </w:r>
      <w:r>
        <w:rPr>
          <w:rFonts w:ascii="Microsoft Sans Serif" w:hAnsi="Microsoft Sans Serif"/>
          <w:spacing w:val="68"/>
          <w:sz w:val="19"/>
        </w:rPr>
        <w:t> </w:t>
      </w:r>
      <w:r>
        <w:rPr>
          <w:rFonts w:ascii="Microsoft Sans Serif" w:hAnsi="Microsoft Sans Serif"/>
          <w:sz w:val="19"/>
        </w:rPr>
        <w:t>angiotensina;</w:t>
      </w:r>
      <w:r>
        <w:rPr>
          <w:rFonts w:ascii="Microsoft Sans Serif" w:hAnsi="Microsoft Sans Serif"/>
          <w:spacing w:val="40"/>
          <w:sz w:val="19"/>
        </w:rPr>
        <w:t> </w:t>
      </w:r>
      <w:r>
        <w:rPr>
          <w:rFonts w:ascii="Microsoft Sans Serif" w:hAnsi="Microsoft Sans Serif"/>
          <w:sz w:val="19"/>
        </w:rPr>
        <w:t>AII</w:t>
      </w:r>
      <w:r>
        <w:rPr>
          <w:rFonts w:ascii="Microsoft Sans Serif" w:hAnsi="Microsoft Sans Serif"/>
          <w:spacing w:val="40"/>
          <w:sz w:val="19"/>
        </w:rPr>
        <w:t> </w:t>
      </w:r>
      <w:r>
        <w:rPr>
          <w:rFonts w:ascii="Microsoft Sans Serif" w:hAnsi="Microsoft Sans Serif"/>
          <w:sz w:val="19"/>
        </w:rPr>
        <w:t>= angiotensina II.</w:t>
      </w:r>
    </w:p>
    <w:p>
      <w:pPr>
        <w:pStyle w:val="BodyText"/>
        <w:spacing w:before="128"/>
        <w:ind w:left="0" w:firstLine="0"/>
        <w:jc w:val="left"/>
        <w:rPr>
          <w:rFonts w:ascii="Microsoft Sans Serif"/>
          <w:sz w:val="19"/>
        </w:rPr>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3"/>
          <w:sz w:val="23"/>
        </w:rPr>
        <w:t> </w:t>
      </w:r>
      <w:r>
        <w:rPr>
          <w:rFonts w:ascii="Arial" w:hAnsi="Arial"/>
          <w:b/>
          <w:color w:val="242B67"/>
          <w:sz w:val="23"/>
        </w:rPr>
        <w:t>57.8</w:t>
      </w:r>
      <w:r>
        <w:rPr>
          <w:rFonts w:ascii="Arial" w:hAnsi="Arial"/>
          <w:b/>
          <w:color w:val="242B67"/>
          <w:spacing w:val="2"/>
          <w:sz w:val="23"/>
        </w:rPr>
        <w:t> </w:t>
      </w:r>
      <w:r>
        <w:rPr>
          <w:rFonts w:ascii="Microsoft Sans Serif" w:hAnsi="Microsoft Sans Serif"/>
          <w:spacing w:val="-2"/>
          <w:sz w:val="23"/>
        </w:rPr>
        <w:t>Diuréticos.</w:t>
      </w:r>
    </w:p>
    <w:p>
      <w:pPr>
        <w:pStyle w:val="BodyText"/>
        <w:spacing w:before="7"/>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385"/>
        <w:gridCol w:w="1857"/>
        <w:gridCol w:w="1216"/>
        <w:gridCol w:w="1248"/>
        <w:gridCol w:w="2177"/>
        <w:gridCol w:w="2714"/>
      </w:tblGrid>
      <w:tr>
        <w:trPr>
          <w:trHeight w:val="1049" w:hRule="exact"/>
        </w:trPr>
        <w:tc>
          <w:tcPr>
            <w:tcW w:w="3242" w:type="dxa"/>
            <w:gridSpan w:val="2"/>
            <w:tcBorders>
              <w:top w:val="nil"/>
              <w:left w:val="nil"/>
            </w:tcBorders>
            <w:shd w:val="clear" w:color="auto" w:fill="242B67"/>
          </w:tcPr>
          <w:p>
            <w:pPr>
              <w:pStyle w:val="TableParagraph"/>
              <w:spacing w:before="0"/>
              <w:ind w:left="0"/>
              <w:rPr>
                <w:sz w:val="21"/>
              </w:rPr>
            </w:pPr>
          </w:p>
          <w:p>
            <w:pPr>
              <w:pStyle w:val="TableParagraph"/>
              <w:spacing w:before="223"/>
              <w:ind w:left="0"/>
              <w:rPr>
                <w:sz w:val="21"/>
              </w:rPr>
            </w:pPr>
          </w:p>
          <w:p>
            <w:pPr>
              <w:pStyle w:val="TableParagraph"/>
              <w:spacing w:before="1"/>
              <w:ind w:left="67"/>
              <w:rPr>
                <w:rFonts w:ascii="Arial"/>
                <w:b/>
                <w:sz w:val="21"/>
              </w:rPr>
            </w:pPr>
            <w:r>
              <w:rPr>
                <w:rFonts w:ascii="Arial"/>
                <w:b/>
                <w:color w:val="FFFFFF"/>
                <w:spacing w:val="-2"/>
                <w:w w:val="105"/>
                <w:sz w:val="21"/>
              </w:rPr>
              <w:t>Medicamentos</w:t>
            </w:r>
          </w:p>
        </w:tc>
        <w:tc>
          <w:tcPr>
            <w:tcW w:w="1216" w:type="dxa"/>
            <w:tcBorders>
              <w:top w:val="nil"/>
            </w:tcBorders>
            <w:shd w:val="clear" w:color="auto" w:fill="242B67"/>
          </w:tcPr>
          <w:p>
            <w:pPr>
              <w:pStyle w:val="TableParagraph"/>
              <w:spacing w:line="302" w:lineRule="auto" w:before="90"/>
              <w:rPr>
                <w:rFonts w:ascii="Arial" w:hAnsi="Arial"/>
                <w:b/>
                <w:sz w:val="21"/>
              </w:rPr>
            </w:pPr>
            <w:r>
              <w:rPr>
                <w:rFonts w:ascii="Arial" w:hAnsi="Arial"/>
                <w:b/>
                <w:color w:val="FFFFFF"/>
                <w:spacing w:val="-4"/>
                <w:w w:val="105"/>
                <w:sz w:val="21"/>
              </w:rPr>
              <w:t>Dose </w:t>
            </w:r>
            <w:r>
              <w:rPr>
                <w:rFonts w:ascii="Arial" w:hAnsi="Arial"/>
                <w:b/>
                <w:color w:val="FFFFFF"/>
                <w:spacing w:val="-2"/>
                <w:sz w:val="21"/>
              </w:rPr>
              <w:t>mínima </w:t>
            </w:r>
            <w:r>
              <w:rPr>
                <w:rFonts w:ascii="Arial" w:hAnsi="Arial"/>
                <w:b/>
                <w:color w:val="FFFFFF"/>
                <w:spacing w:val="-4"/>
                <w:w w:val="105"/>
                <w:sz w:val="21"/>
              </w:rPr>
              <w:t>(mg)</w:t>
            </w:r>
          </w:p>
        </w:tc>
        <w:tc>
          <w:tcPr>
            <w:tcW w:w="1248" w:type="dxa"/>
            <w:tcBorders>
              <w:top w:val="nil"/>
            </w:tcBorders>
            <w:shd w:val="clear" w:color="auto" w:fill="242B67"/>
          </w:tcPr>
          <w:p>
            <w:pPr>
              <w:pStyle w:val="TableParagraph"/>
              <w:spacing w:line="302" w:lineRule="auto" w:before="90"/>
              <w:rPr>
                <w:rFonts w:ascii="Arial" w:hAnsi="Arial"/>
                <w:b/>
                <w:sz w:val="21"/>
              </w:rPr>
            </w:pPr>
            <w:r>
              <w:rPr>
                <w:rFonts w:ascii="Arial" w:hAnsi="Arial"/>
                <w:b/>
                <w:color w:val="FFFFFF"/>
                <w:spacing w:val="-4"/>
                <w:w w:val="105"/>
                <w:sz w:val="21"/>
              </w:rPr>
              <w:t>Dose </w:t>
            </w:r>
            <w:r>
              <w:rPr>
                <w:rFonts w:ascii="Arial" w:hAnsi="Arial"/>
                <w:b/>
                <w:color w:val="FFFFFF"/>
                <w:spacing w:val="-2"/>
                <w:sz w:val="21"/>
              </w:rPr>
              <w:t>máxima </w:t>
            </w:r>
            <w:r>
              <w:rPr>
                <w:rFonts w:ascii="Arial" w:hAnsi="Arial"/>
                <w:b/>
                <w:color w:val="FFFFFF"/>
                <w:spacing w:val="-4"/>
                <w:w w:val="105"/>
                <w:sz w:val="21"/>
              </w:rPr>
              <w:t>(mg)</w:t>
            </w:r>
          </w:p>
        </w:tc>
        <w:tc>
          <w:tcPr>
            <w:tcW w:w="2177" w:type="dxa"/>
            <w:tcBorders>
              <w:top w:val="nil"/>
            </w:tcBorders>
            <w:shd w:val="clear" w:color="auto" w:fill="242B67"/>
          </w:tcPr>
          <w:p>
            <w:pPr>
              <w:pStyle w:val="TableParagraph"/>
              <w:spacing w:before="157"/>
              <w:ind w:left="0"/>
              <w:rPr>
                <w:sz w:val="21"/>
              </w:rPr>
            </w:pPr>
          </w:p>
          <w:p>
            <w:pPr>
              <w:pStyle w:val="TableParagraph"/>
              <w:spacing w:line="302" w:lineRule="auto" w:before="0"/>
              <w:rPr>
                <w:rFonts w:ascii="Arial" w:hAnsi="Arial"/>
                <w:b/>
                <w:sz w:val="21"/>
              </w:rPr>
            </w:pPr>
            <w:r>
              <w:rPr>
                <w:rFonts w:ascii="Arial" w:hAnsi="Arial"/>
                <w:b/>
                <w:color w:val="FFFFFF"/>
                <w:w w:val="105"/>
                <w:sz w:val="21"/>
              </w:rPr>
              <w:t>No de </w:t>
            </w:r>
            <w:r>
              <w:rPr>
                <w:rFonts w:ascii="Arial" w:hAnsi="Arial"/>
                <w:b/>
                <w:color w:val="FFFFFF"/>
                <w:spacing w:val="-2"/>
                <w:sz w:val="21"/>
              </w:rPr>
              <w:t>administrações/dia</w:t>
            </w:r>
          </w:p>
        </w:tc>
        <w:tc>
          <w:tcPr>
            <w:tcW w:w="2714" w:type="dxa"/>
            <w:tcBorders>
              <w:top w:val="nil"/>
              <w:right w:val="nil"/>
            </w:tcBorders>
            <w:shd w:val="clear" w:color="auto" w:fill="242B67"/>
          </w:tcPr>
          <w:p>
            <w:pPr>
              <w:pStyle w:val="TableParagraph"/>
              <w:spacing w:before="0"/>
              <w:ind w:left="0"/>
              <w:rPr>
                <w:sz w:val="21"/>
              </w:rPr>
            </w:pPr>
          </w:p>
          <w:p>
            <w:pPr>
              <w:pStyle w:val="TableParagraph"/>
              <w:spacing w:before="223"/>
              <w:ind w:left="0"/>
              <w:rPr>
                <w:sz w:val="21"/>
              </w:rPr>
            </w:pPr>
          </w:p>
          <w:p>
            <w:pPr>
              <w:pStyle w:val="TableParagraph"/>
              <w:spacing w:before="1"/>
              <w:rPr>
                <w:rFonts w:ascii="Arial" w:hAnsi="Arial"/>
                <w:b/>
                <w:sz w:val="21"/>
              </w:rPr>
            </w:pPr>
            <w:r>
              <w:rPr>
                <w:rFonts w:ascii="Arial" w:hAnsi="Arial"/>
                <w:b/>
                <w:color w:val="FFFFFF"/>
                <w:w w:val="105"/>
                <w:sz w:val="21"/>
              </w:rPr>
              <w:t>Mecanismo</w:t>
            </w:r>
            <w:r>
              <w:rPr>
                <w:rFonts w:ascii="Arial" w:hAnsi="Arial"/>
                <w:b/>
                <w:color w:val="FFFFFF"/>
                <w:spacing w:val="-10"/>
                <w:w w:val="105"/>
                <w:sz w:val="21"/>
              </w:rPr>
              <w:t> </w:t>
            </w:r>
            <w:r>
              <w:rPr>
                <w:rFonts w:ascii="Arial" w:hAnsi="Arial"/>
                <w:b/>
                <w:color w:val="FFFFFF"/>
                <w:w w:val="105"/>
                <w:sz w:val="21"/>
              </w:rPr>
              <w:t>de</w:t>
            </w:r>
            <w:r>
              <w:rPr>
                <w:rFonts w:ascii="Arial" w:hAnsi="Arial"/>
                <w:b/>
                <w:color w:val="FFFFFF"/>
                <w:spacing w:val="1"/>
                <w:w w:val="105"/>
                <w:sz w:val="21"/>
              </w:rPr>
              <w:t> </w:t>
            </w:r>
            <w:r>
              <w:rPr>
                <w:rFonts w:ascii="Arial" w:hAnsi="Arial"/>
                <w:b/>
                <w:color w:val="FFFFFF"/>
                <w:spacing w:val="-4"/>
                <w:w w:val="105"/>
                <w:sz w:val="21"/>
              </w:rPr>
              <w:t>ação</w:t>
            </w:r>
          </w:p>
        </w:tc>
      </w:tr>
      <w:tr>
        <w:trPr>
          <w:trHeight w:val="464" w:hRule="exact"/>
        </w:trPr>
        <w:tc>
          <w:tcPr>
            <w:tcW w:w="1385" w:type="dxa"/>
            <w:tcBorders>
              <w:left w:val="nil"/>
              <w:bottom w:val="nil"/>
            </w:tcBorders>
            <w:shd w:val="clear" w:color="auto" w:fill="EDECF3"/>
          </w:tcPr>
          <w:p>
            <w:pPr>
              <w:pStyle w:val="TableParagraph"/>
              <w:ind w:left="67"/>
              <w:rPr>
                <w:sz w:val="21"/>
              </w:rPr>
            </w:pPr>
            <w:r>
              <w:rPr>
                <w:spacing w:val="-2"/>
                <w:w w:val="105"/>
                <w:sz w:val="21"/>
              </w:rPr>
              <w:t>Tiazídicos</w:t>
            </w:r>
          </w:p>
        </w:tc>
        <w:tc>
          <w:tcPr>
            <w:tcW w:w="1857" w:type="dxa"/>
            <w:shd w:val="clear" w:color="auto" w:fill="EDECF3"/>
          </w:tcPr>
          <w:p>
            <w:pPr>
              <w:pStyle w:val="TableParagraph"/>
              <w:rPr>
                <w:sz w:val="21"/>
              </w:rPr>
            </w:pPr>
            <w:r>
              <w:rPr>
                <w:spacing w:val="-2"/>
                <w:w w:val="105"/>
                <w:sz w:val="21"/>
              </w:rPr>
              <w:t>Clortalidona</w:t>
            </w:r>
          </w:p>
        </w:tc>
        <w:tc>
          <w:tcPr>
            <w:tcW w:w="1216" w:type="dxa"/>
            <w:shd w:val="clear" w:color="auto" w:fill="EDECF3"/>
          </w:tcPr>
          <w:p>
            <w:pPr>
              <w:pStyle w:val="TableParagraph"/>
              <w:ind w:left="66"/>
              <w:rPr>
                <w:sz w:val="21"/>
              </w:rPr>
            </w:pPr>
            <w:r>
              <w:rPr>
                <w:spacing w:val="-4"/>
                <w:w w:val="105"/>
                <w:sz w:val="21"/>
              </w:rPr>
              <w:t>12,5</w:t>
            </w:r>
          </w:p>
        </w:tc>
        <w:tc>
          <w:tcPr>
            <w:tcW w:w="1248" w:type="dxa"/>
            <w:shd w:val="clear" w:color="auto" w:fill="EDECF3"/>
          </w:tcPr>
          <w:p>
            <w:pPr>
              <w:pStyle w:val="TableParagraph"/>
              <w:ind w:left="66"/>
              <w:rPr>
                <w:sz w:val="21"/>
              </w:rPr>
            </w:pPr>
            <w:r>
              <w:rPr>
                <w:spacing w:val="-5"/>
                <w:w w:val="105"/>
                <w:sz w:val="21"/>
              </w:rPr>
              <w:t>25</w:t>
            </w:r>
          </w:p>
        </w:tc>
        <w:tc>
          <w:tcPr>
            <w:tcW w:w="2177" w:type="dxa"/>
            <w:shd w:val="clear" w:color="auto" w:fill="EDECF3"/>
          </w:tcPr>
          <w:p>
            <w:pPr>
              <w:pStyle w:val="TableParagraph"/>
              <w:ind w:left="66"/>
              <w:rPr>
                <w:sz w:val="21"/>
              </w:rPr>
            </w:pPr>
            <w:r>
              <w:rPr>
                <w:spacing w:val="-10"/>
                <w:w w:val="105"/>
                <w:sz w:val="21"/>
              </w:rPr>
              <w:t>1</w:t>
            </w:r>
          </w:p>
        </w:tc>
        <w:tc>
          <w:tcPr>
            <w:tcW w:w="2714" w:type="dxa"/>
            <w:vMerge w:val="restart"/>
            <w:tcBorders>
              <w:bottom w:val="nil"/>
              <w:right w:val="nil"/>
            </w:tcBorders>
            <w:shd w:val="clear" w:color="auto" w:fill="EDECF3"/>
          </w:tcPr>
          <w:p>
            <w:pPr>
              <w:pStyle w:val="TableParagraph"/>
              <w:spacing w:line="307" w:lineRule="auto"/>
              <w:ind w:right="73"/>
              <w:rPr>
                <w:sz w:val="21"/>
              </w:rPr>
            </w:pPr>
            <w:r>
              <w:rPr>
                <w:w w:val="105"/>
                <w:sz w:val="21"/>
              </w:rPr>
              <w:t>Em uma primeira fase, depleção de volume; a seguir, redução da resistência vascular periférica. Os tiazídicos inibem a reabsorção de Na</w:t>
            </w:r>
            <w:r>
              <w:rPr>
                <w:w w:val="105"/>
                <w:sz w:val="21"/>
                <w:vertAlign w:val="superscript"/>
              </w:rPr>
              <w:t>+</w:t>
            </w:r>
            <w:r>
              <w:rPr>
                <w:w w:val="105"/>
                <w:sz w:val="21"/>
                <w:vertAlign w:val="baseline"/>
              </w:rPr>
              <w:t> e Cl</w:t>
            </w:r>
            <w:r>
              <w:rPr>
                <w:w w:val="105"/>
                <w:sz w:val="21"/>
                <w:vertAlign w:val="superscript"/>
              </w:rPr>
              <w:t>–</w:t>
            </w:r>
            <w:r>
              <w:rPr>
                <w:w w:val="105"/>
                <w:sz w:val="21"/>
                <w:vertAlign w:val="baseline"/>
              </w:rPr>
              <w:t> na porção mais distal do néfron; os de alça inibem o</w:t>
            </w:r>
            <w:r>
              <w:rPr>
                <w:spacing w:val="40"/>
                <w:w w:val="105"/>
                <w:sz w:val="21"/>
                <w:vertAlign w:val="baseline"/>
              </w:rPr>
              <w:t> </w:t>
            </w:r>
            <w:r>
              <w:rPr>
                <w:w w:val="105"/>
                <w:sz w:val="21"/>
                <w:vertAlign w:val="baseline"/>
              </w:rPr>
              <w:t>cotransporte de Na/K/2Cl na alça ascendente de Henle; os poupadores de K</w:t>
            </w:r>
            <w:r>
              <w:rPr>
                <w:w w:val="105"/>
                <w:sz w:val="21"/>
                <w:vertAlign w:val="superscript"/>
              </w:rPr>
              <w:t>+</w:t>
            </w:r>
            <w:r>
              <w:rPr>
                <w:w w:val="105"/>
                <w:sz w:val="21"/>
                <w:vertAlign w:val="baseline"/>
              </w:rPr>
              <w:t> inibem a reabsorção</w:t>
            </w:r>
            <w:r>
              <w:rPr>
                <w:spacing w:val="40"/>
                <w:w w:val="105"/>
                <w:sz w:val="21"/>
                <w:vertAlign w:val="baseline"/>
              </w:rPr>
              <w:t> </w:t>
            </w:r>
            <w:r>
              <w:rPr>
                <w:w w:val="105"/>
                <w:sz w:val="21"/>
                <w:vertAlign w:val="baseline"/>
              </w:rPr>
              <w:t>de Na</w:t>
            </w:r>
            <w:r>
              <w:rPr>
                <w:w w:val="105"/>
                <w:sz w:val="21"/>
                <w:vertAlign w:val="superscript"/>
              </w:rPr>
              <w:t>+</w:t>
            </w:r>
            <w:r>
              <w:rPr>
                <w:w w:val="105"/>
                <w:sz w:val="21"/>
                <w:vertAlign w:val="baseline"/>
              </w:rPr>
              <w:t> nos túbulos</w:t>
            </w:r>
            <w:r>
              <w:rPr>
                <w:spacing w:val="80"/>
                <w:w w:val="105"/>
                <w:sz w:val="21"/>
                <w:vertAlign w:val="baseline"/>
              </w:rPr>
              <w:t> </w:t>
            </w:r>
            <w:r>
              <w:rPr>
                <w:w w:val="105"/>
                <w:sz w:val="21"/>
                <w:vertAlign w:val="baseline"/>
              </w:rPr>
              <w:t>distais e coletor</w:t>
            </w:r>
          </w:p>
        </w:tc>
      </w:tr>
      <w:tr>
        <w:trPr>
          <w:trHeight w:val="464" w:hRule="exact"/>
        </w:trPr>
        <w:tc>
          <w:tcPr>
            <w:tcW w:w="1385" w:type="dxa"/>
            <w:tcBorders>
              <w:top w:val="nil"/>
              <w:left w:val="nil"/>
              <w:bottom w:val="nil"/>
            </w:tcBorders>
            <w:shd w:val="clear" w:color="auto" w:fill="EDECF3"/>
          </w:tcPr>
          <w:p>
            <w:pPr>
              <w:pStyle w:val="TableParagraph"/>
              <w:spacing w:before="0"/>
              <w:ind w:left="0"/>
              <w:rPr>
                <w:rFonts w:ascii="Times New Roman"/>
                <w:sz w:val="20"/>
              </w:rPr>
            </w:pPr>
          </w:p>
        </w:tc>
        <w:tc>
          <w:tcPr>
            <w:tcW w:w="1857" w:type="dxa"/>
            <w:shd w:val="clear" w:color="auto" w:fill="EDECF3"/>
          </w:tcPr>
          <w:p>
            <w:pPr>
              <w:pStyle w:val="TableParagraph"/>
              <w:rPr>
                <w:sz w:val="21"/>
              </w:rPr>
            </w:pPr>
            <w:r>
              <w:rPr>
                <w:spacing w:val="-2"/>
                <w:w w:val="105"/>
                <w:sz w:val="21"/>
              </w:rPr>
              <w:t>Hidroclorotiazida</w:t>
            </w:r>
          </w:p>
        </w:tc>
        <w:tc>
          <w:tcPr>
            <w:tcW w:w="1216" w:type="dxa"/>
            <w:shd w:val="clear" w:color="auto" w:fill="EDECF3"/>
          </w:tcPr>
          <w:p>
            <w:pPr>
              <w:pStyle w:val="TableParagraph"/>
              <w:ind w:left="66"/>
              <w:rPr>
                <w:sz w:val="21"/>
              </w:rPr>
            </w:pPr>
            <w:r>
              <w:rPr>
                <w:spacing w:val="-4"/>
                <w:w w:val="105"/>
                <w:sz w:val="21"/>
              </w:rPr>
              <w:t>12,5</w:t>
            </w:r>
          </w:p>
        </w:tc>
        <w:tc>
          <w:tcPr>
            <w:tcW w:w="1248" w:type="dxa"/>
            <w:shd w:val="clear" w:color="auto" w:fill="EDECF3"/>
          </w:tcPr>
          <w:p>
            <w:pPr>
              <w:pStyle w:val="TableParagraph"/>
              <w:ind w:left="66"/>
              <w:rPr>
                <w:sz w:val="21"/>
              </w:rPr>
            </w:pPr>
            <w:r>
              <w:rPr>
                <w:spacing w:val="-5"/>
                <w:w w:val="105"/>
                <w:sz w:val="21"/>
              </w:rPr>
              <w:t>50</w:t>
            </w:r>
          </w:p>
        </w:tc>
        <w:tc>
          <w:tcPr>
            <w:tcW w:w="2177" w:type="dxa"/>
            <w:shd w:val="clear" w:color="auto" w:fill="EDECF3"/>
          </w:tcPr>
          <w:p>
            <w:pPr>
              <w:pStyle w:val="TableParagraph"/>
              <w:ind w:left="66"/>
              <w:rPr>
                <w:sz w:val="21"/>
              </w:rPr>
            </w:pPr>
            <w:r>
              <w:rPr>
                <w:spacing w:val="-10"/>
                <w:w w:val="105"/>
                <w:sz w:val="21"/>
              </w:rPr>
              <w:t>1</w:t>
            </w:r>
          </w:p>
        </w:tc>
        <w:tc>
          <w:tcPr>
            <w:tcW w:w="2714" w:type="dxa"/>
            <w:vMerge/>
            <w:tcBorders>
              <w:top w:val="nil"/>
              <w:bottom w:val="nil"/>
              <w:right w:val="nil"/>
            </w:tcBorders>
            <w:shd w:val="clear" w:color="auto" w:fill="EDECF3"/>
          </w:tcPr>
          <w:p>
            <w:pPr>
              <w:rPr>
                <w:sz w:val="2"/>
                <w:szCs w:val="2"/>
              </w:rPr>
            </w:pPr>
          </w:p>
        </w:tc>
      </w:tr>
      <w:tr>
        <w:trPr>
          <w:trHeight w:val="480" w:hRule="exact"/>
        </w:trPr>
        <w:tc>
          <w:tcPr>
            <w:tcW w:w="1385" w:type="dxa"/>
            <w:tcBorders>
              <w:top w:val="nil"/>
              <w:left w:val="nil"/>
              <w:bottom w:val="nil"/>
            </w:tcBorders>
            <w:shd w:val="clear" w:color="auto" w:fill="EDECF3"/>
          </w:tcPr>
          <w:p>
            <w:pPr>
              <w:pStyle w:val="TableParagraph"/>
              <w:spacing w:before="0"/>
              <w:ind w:left="0"/>
              <w:rPr>
                <w:rFonts w:ascii="Times New Roman"/>
                <w:sz w:val="20"/>
              </w:rPr>
            </w:pPr>
          </w:p>
        </w:tc>
        <w:tc>
          <w:tcPr>
            <w:tcW w:w="1857" w:type="dxa"/>
            <w:shd w:val="clear" w:color="auto" w:fill="EDECF3"/>
          </w:tcPr>
          <w:p>
            <w:pPr>
              <w:pStyle w:val="TableParagraph"/>
              <w:rPr>
                <w:sz w:val="21"/>
              </w:rPr>
            </w:pPr>
            <w:r>
              <w:rPr>
                <w:spacing w:val="-2"/>
                <w:w w:val="105"/>
                <w:sz w:val="21"/>
              </w:rPr>
              <w:t>Indapamida</w:t>
            </w:r>
          </w:p>
        </w:tc>
        <w:tc>
          <w:tcPr>
            <w:tcW w:w="1216" w:type="dxa"/>
            <w:shd w:val="clear" w:color="auto" w:fill="EDECF3"/>
          </w:tcPr>
          <w:p>
            <w:pPr>
              <w:pStyle w:val="TableParagraph"/>
              <w:ind w:left="66"/>
              <w:rPr>
                <w:sz w:val="21"/>
              </w:rPr>
            </w:pPr>
            <w:r>
              <w:rPr>
                <w:spacing w:val="-5"/>
                <w:w w:val="105"/>
                <w:sz w:val="21"/>
              </w:rPr>
              <w:t>2,5</w:t>
            </w:r>
          </w:p>
        </w:tc>
        <w:tc>
          <w:tcPr>
            <w:tcW w:w="1248" w:type="dxa"/>
            <w:shd w:val="clear" w:color="auto" w:fill="EDECF3"/>
          </w:tcPr>
          <w:p>
            <w:pPr>
              <w:pStyle w:val="TableParagraph"/>
              <w:ind w:left="66"/>
              <w:rPr>
                <w:sz w:val="21"/>
              </w:rPr>
            </w:pPr>
            <w:r>
              <w:rPr>
                <w:spacing w:val="-10"/>
                <w:w w:val="105"/>
                <w:sz w:val="21"/>
              </w:rPr>
              <w:t>5</w:t>
            </w:r>
          </w:p>
        </w:tc>
        <w:tc>
          <w:tcPr>
            <w:tcW w:w="2177" w:type="dxa"/>
            <w:shd w:val="clear" w:color="auto" w:fill="EDECF3"/>
          </w:tcPr>
          <w:p>
            <w:pPr>
              <w:pStyle w:val="TableParagraph"/>
              <w:rPr>
                <w:sz w:val="21"/>
              </w:rPr>
            </w:pPr>
            <w:r>
              <w:rPr>
                <w:spacing w:val="-10"/>
                <w:w w:val="105"/>
                <w:sz w:val="21"/>
              </w:rPr>
              <w:t>1</w:t>
            </w:r>
          </w:p>
        </w:tc>
        <w:tc>
          <w:tcPr>
            <w:tcW w:w="2714" w:type="dxa"/>
            <w:vMerge/>
            <w:tcBorders>
              <w:top w:val="nil"/>
              <w:bottom w:val="nil"/>
              <w:right w:val="nil"/>
            </w:tcBorders>
            <w:shd w:val="clear" w:color="auto" w:fill="EDECF3"/>
          </w:tcPr>
          <w:p>
            <w:pPr>
              <w:rPr>
                <w:sz w:val="2"/>
                <w:szCs w:val="2"/>
              </w:rPr>
            </w:pPr>
          </w:p>
        </w:tc>
      </w:tr>
      <w:tr>
        <w:trPr>
          <w:trHeight w:val="464" w:hRule="exact"/>
        </w:trPr>
        <w:tc>
          <w:tcPr>
            <w:tcW w:w="1385" w:type="dxa"/>
            <w:tcBorders>
              <w:top w:val="nil"/>
              <w:left w:val="nil"/>
            </w:tcBorders>
            <w:shd w:val="clear" w:color="auto" w:fill="EDECF3"/>
          </w:tcPr>
          <w:p>
            <w:pPr>
              <w:pStyle w:val="TableParagraph"/>
              <w:spacing w:before="0"/>
              <w:ind w:left="0"/>
              <w:rPr>
                <w:rFonts w:ascii="Times New Roman"/>
                <w:sz w:val="20"/>
              </w:rPr>
            </w:pPr>
          </w:p>
        </w:tc>
        <w:tc>
          <w:tcPr>
            <w:tcW w:w="1857" w:type="dxa"/>
            <w:shd w:val="clear" w:color="auto" w:fill="EDECF3"/>
          </w:tcPr>
          <w:p>
            <w:pPr>
              <w:pStyle w:val="TableParagraph"/>
              <w:rPr>
                <w:sz w:val="21"/>
              </w:rPr>
            </w:pPr>
            <w:r>
              <w:rPr>
                <w:w w:val="105"/>
                <w:sz w:val="21"/>
              </w:rPr>
              <w:t>Indapamida</w:t>
            </w:r>
            <w:r>
              <w:rPr>
                <w:spacing w:val="27"/>
                <w:w w:val="105"/>
                <w:sz w:val="21"/>
              </w:rPr>
              <w:t> </w:t>
            </w:r>
            <w:r>
              <w:rPr>
                <w:spacing w:val="-5"/>
                <w:w w:val="105"/>
                <w:sz w:val="21"/>
              </w:rPr>
              <w:t>SR</w:t>
            </w:r>
          </w:p>
        </w:tc>
        <w:tc>
          <w:tcPr>
            <w:tcW w:w="1216" w:type="dxa"/>
            <w:shd w:val="clear" w:color="auto" w:fill="EDECF3"/>
          </w:tcPr>
          <w:p>
            <w:pPr>
              <w:pStyle w:val="TableParagraph"/>
              <w:ind w:left="66"/>
              <w:rPr>
                <w:sz w:val="21"/>
              </w:rPr>
            </w:pPr>
            <w:r>
              <w:rPr>
                <w:spacing w:val="-5"/>
                <w:w w:val="105"/>
                <w:sz w:val="21"/>
              </w:rPr>
              <w:t>1,5</w:t>
            </w:r>
          </w:p>
        </w:tc>
        <w:tc>
          <w:tcPr>
            <w:tcW w:w="1248" w:type="dxa"/>
            <w:shd w:val="clear" w:color="auto" w:fill="EDECF3"/>
          </w:tcPr>
          <w:p>
            <w:pPr>
              <w:pStyle w:val="TableParagraph"/>
              <w:ind w:left="66"/>
              <w:rPr>
                <w:sz w:val="21"/>
              </w:rPr>
            </w:pPr>
            <w:r>
              <w:rPr>
                <w:spacing w:val="-10"/>
                <w:w w:val="105"/>
                <w:sz w:val="21"/>
              </w:rPr>
              <w:t>3</w:t>
            </w:r>
          </w:p>
        </w:tc>
        <w:tc>
          <w:tcPr>
            <w:tcW w:w="2177" w:type="dxa"/>
            <w:shd w:val="clear" w:color="auto" w:fill="EDECF3"/>
          </w:tcPr>
          <w:p>
            <w:pPr>
              <w:pStyle w:val="TableParagraph"/>
              <w:rPr>
                <w:sz w:val="21"/>
              </w:rPr>
            </w:pPr>
            <w:r>
              <w:rPr>
                <w:spacing w:val="-10"/>
                <w:w w:val="105"/>
                <w:sz w:val="21"/>
              </w:rPr>
              <w:t>1</w:t>
            </w:r>
          </w:p>
        </w:tc>
        <w:tc>
          <w:tcPr>
            <w:tcW w:w="2714" w:type="dxa"/>
            <w:vMerge/>
            <w:tcBorders>
              <w:top w:val="nil"/>
              <w:bottom w:val="nil"/>
              <w:right w:val="nil"/>
            </w:tcBorders>
            <w:shd w:val="clear" w:color="auto" w:fill="EDECF3"/>
          </w:tcPr>
          <w:p>
            <w:pPr>
              <w:rPr>
                <w:sz w:val="2"/>
                <w:szCs w:val="2"/>
              </w:rPr>
            </w:pPr>
          </w:p>
        </w:tc>
      </w:tr>
      <w:tr>
        <w:trPr>
          <w:trHeight w:val="480" w:hRule="exact"/>
        </w:trPr>
        <w:tc>
          <w:tcPr>
            <w:tcW w:w="1385" w:type="dxa"/>
            <w:tcBorders>
              <w:left w:val="nil"/>
              <w:bottom w:val="nil"/>
            </w:tcBorders>
            <w:shd w:val="clear" w:color="auto" w:fill="EDECF3"/>
          </w:tcPr>
          <w:p>
            <w:pPr>
              <w:pStyle w:val="TableParagraph"/>
              <w:ind w:left="67"/>
              <w:rPr>
                <w:sz w:val="21"/>
              </w:rPr>
            </w:pPr>
            <w:r>
              <w:rPr>
                <w:w w:val="105"/>
                <w:sz w:val="21"/>
              </w:rPr>
              <w:t>De</w:t>
            </w:r>
            <w:r>
              <w:rPr>
                <w:spacing w:val="8"/>
                <w:w w:val="105"/>
                <w:sz w:val="21"/>
              </w:rPr>
              <w:t> </w:t>
            </w:r>
            <w:r>
              <w:rPr>
                <w:spacing w:val="-4"/>
                <w:w w:val="105"/>
                <w:sz w:val="21"/>
              </w:rPr>
              <w:t>alça</w:t>
            </w:r>
          </w:p>
        </w:tc>
        <w:tc>
          <w:tcPr>
            <w:tcW w:w="1857" w:type="dxa"/>
            <w:shd w:val="clear" w:color="auto" w:fill="EDECF3"/>
          </w:tcPr>
          <w:p>
            <w:pPr>
              <w:pStyle w:val="TableParagraph"/>
              <w:rPr>
                <w:sz w:val="21"/>
              </w:rPr>
            </w:pPr>
            <w:r>
              <w:rPr>
                <w:spacing w:val="-2"/>
                <w:w w:val="105"/>
                <w:sz w:val="21"/>
              </w:rPr>
              <w:t>Bumetamida</w:t>
            </w:r>
          </w:p>
        </w:tc>
        <w:tc>
          <w:tcPr>
            <w:tcW w:w="1216" w:type="dxa"/>
            <w:shd w:val="clear" w:color="auto" w:fill="EDECF3"/>
          </w:tcPr>
          <w:p>
            <w:pPr>
              <w:pStyle w:val="TableParagraph"/>
              <w:ind w:left="66"/>
              <w:rPr>
                <w:sz w:val="21"/>
              </w:rPr>
            </w:pPr>
            <w:r>
              <w:rPr>
                <w:spacing w:val="-5"/>
                <w:w w:val="105"/>
                <w:sz w:val="21"/>
              </w:rPr>
              <w:t>0,5</w:t>
            </w:r>
          </w:p>
        </w:tc>
        <w:tc>
          <w:tcPr>
            <w:tcW w:w="1248" w:type="dxa"/>
            <w:shd w:val="clear" w:color="auto" w:fill="EDECF3"/>
          </w:tcPr>
          <w:p>
            <w:pPr>
              <w:pStyle w:val="TableParagraph"/>
              <w:ind w:left="66"/>
              <w:rPr>
                <w:sz w:val="21"/>
              </w:rPr>
            </w:pPr>
            <w:r>
              <w:rPr>
                <w:spacing w:val="-2"/>
                <w:w w:val="105"/>
                <w:sz w:val="21"/>
              </w:rPr>
              <w:t>Variável</w:t>
            </w:r>
          </w:p>
        </w:tc>
        <w:tc>
          <w:tcPr>
            <w:tcW w:w="2177" w:type="dxa"/>
            <w:shd w:val="clear" w:color="auto" w:fill="EDECF3"/>
          </w:tcPr>
          <w:p>
            <w:pPr>
              <w:pStyle w:val="TableParagraph"/>
              <w:ind w:left="66"/>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2714" w:type="dxa"/>
            <w:vMerge/>
            <w:tcBorders>
              <w:top w:val="nil"/>
              <w:bottom w:val="nil"/>
              <w:right w:val="nil"/>
            </w:tcBorders>
            <w:shd w:val="clear" w:color="auto" w:fill="EDECF3"/>
          </w:tcPr>
          <w:p>
            <w:pPr>
              <w:rPr>
                <w:sz w:val="2"/>
                <w:szCs w:val="2"/>
              </w:rPr>
            </w:pPr>
          </w:p>
        </w:tc>
      </w:tr>
      <w:tr>
        <w:trPr>
          <w:trHeight w:val="464" w:hRule="exact"/>
        </w:trPr>
        <w:tc>
          <w:tcPr>
            <w:tcW w:w="1385" w:type="dxa"/>
            <w:tcBorders>
              <w:top w:val="nil"/>
              <w:left w:val="nil"/>
              <w:bottom w:val="nil"/>
            </w:tcBorders>
            <w:shd w:val="clear" w:color="auto" w:fill="EDECF3"/>
          </w:tcPr>
          <w:p>
            <w:pPr>
              <w:pStyle w:val="TableParagraph"/>
              <w:spacing w:before="0"/>
              <w:ind w:left="0"/>
              <w:rPr>
                <w:rFonts w:ascii="Times New Roman"/>
                <w:sz w:val="20"/>
              </w:rPr>
            </w:pPr>
          </w:p>
        </w:tc>
        <w:tc>
          <w:tcPr>
            <w:tcW w:w="1857" w:type="dxa"/>
            <w:shd w:val="clear" w:color="auto" w:fill="EDECF3"/>
          </w:tcPr>
          <w:p>
            <w:pPr>
              <w:pStyle w:val="TableParagraph"/>
              <w:rPr>
                <w:sz w:val="21"/>
              </w:rPr>
            </w:pPr>
            <w:r>
              <w:rPr>
                <w:spacing w:val="-2"/>
                <w:w w:val="105"/>
                <w:sz w:val="21"/>
              </w:rPr>
              <w:t>Furosemida</w:t>
            </w:r>
          </w:p>
        </w:tc>
        <w:tc>
          <w:tcPr>
            <w:tcW w:w="1216" w:type="dxa"/>
            <w:shd w:val="clear" w:color="auto" w:fill="EDECF3"/>
          </w:tcPr>
          <w:p>
            <w:pPr>
              <w:pStyle w:val="TableParagraph"/>
              <w:rPr>
                <w:sz w:val="21"/>
              </w:rPr>
            </w:pPr>
            <w:r>
              <w:rPr>
                <w:spacing w:val="-5"/>
                <w:w w:val="105"/>
                <w:sz w:val="21"/>
              </w:rPr>
              <w:t>20</w:t>
            </w:r>
          </w:p>
        </w:tc>
        <w:tc>
          <w:tcPr>
            <w:tcW w:w="1248" w:type="dxa"/>
            <w:shd w:val="clear" w:color="auto" w:fill="EDECF3"/>
          </w:tcPr>
          <w:p>
            <w:pPr>
              <w:pStyle w:val="TableParagraph"/>
              <w:ind w:left="66"/>
              <w:rPr>
                <w:sz w:val="21"/>
              </w:rPr>
            </w:pPr>
            <w:r>
              <w:rPr>
                <w:spacing w:val="-2"/>
                <w:w w:val="105"/>
                <w:sz w:val="21"/>
              </w:rPr>
              <w:t>Variável</w:t>
            </w:r>
          </w:p>
        </w:tc>
        <w:tc>
          <w:tcPr>
            <w:tcW w:w="2177" w:type="dxa"/>
            <w:shd w:val="clear" w:color="auto" w:fill="EDECF3"/>
          </w:tcPr>
          <w:p>
            <w:pPr>
              <w:pStyle w:val="TableParagraph"/>
              <w:ind w:left="66"/>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2714" w:type="dxa"/>
            <w:vMerge/>
            <w:tcBorders>
              <w:top w:val="nil"/>
              <w:bottom w:val="nil"/>
              <w:right w:val="nil"/>
            </w:tcBorders>
            <w:shd w:val="clear" w:color="auto" w:fill="EDECF3"/>
          </w:tcPr>
          <w:p>
            <w:pPr>
              <w:rPr>
                <w:sz w:val="2"/>
                <w:szCs w:val="2"/>
              </w:rPr>
            </w:pPr>
          </w:p>
        </w:tc>
      </w:tr>
      <w:tr>
        <w:trPr>
          <w:trHeight w:val="464" w:hRule="exact"/>
        </w:trPr>
        <w:tc>
          <w:tcPr>
            <w:tcW w:w="1385" w:type="dxa"/>
            <w:tcBorders>
              <w:top w:val="nil"/>
              <w:left w:val="nil"/>
            </w:tcBorders>
            <w:shd w:val="clear" w:color="auto" w:fill="EDECF3"/>
          </w:tcPr>
          <w:p>
            <w:pPr>
              <w:pStyle w:val="TableParagraph"/>
              <w:spacing w:before="0"/>
              <w:ind w:left="0"/>
              <w:rPr>
                <w:rFonts w:ascii="Times New Roman"/>
                <w:sz w:val="20"/>
              </w:rPr>
            </w:pPr>
          </w:p>
        </w:tc>
        <w:tc>
          <w:tcPr>
            <w:tcW w:w="1857" w:type="dxa"/>
            <w:shd w:val="clear" w:color="auto" w:fill="EDECF3"/>
          </w:tcPr>
          <w:p>
            <w:pPr>
              <w:pStyle w:val="TableParagraph"/>
              <w:rPr>
                <w:sz w:val="21"/>
              </w:rPr>
            </w:pPr>
            <w:r>
              <w:rPr>
                <w:spacing w:val="-2"/>
                <w:w w:val="105"/>
                <w:sz w:val="21"/>
              </w:rPr>
              <w:t>Piretanida</w:t>
            </w:r>
          </w:p>
        </w:tc>
        <w:tc>
          <w:tcPr>
            <w:tcW w:w="1216" w:type="dxa"/>
            <w:shd w:val="clear" w:color="auto" w:fill="EDECF3"/>
          </w:tcPr>
          <w:p>
            <w:pPr>
              <w:pStyle w:val="TableParagraph"/>
              <w:ind w:left="66"/>
              <w:rPr>
                <w:sz w:val="21"/>
              </w:rPr>
            </w:pPr>
            <w:r>
              <w:rPr>
                <w:spacing w:val="-10"/>
                <w:w w:val="105"/>
                <w:sz w:val="21"/>
              </w:rPr>
              <w:t>6</w:t>
            </w:r>
          </w:p>
        </w:tc>
        <w:tc>
          <w:tcPr>
            <w:tcW w:w="1248" w:type="dxa"/>
            <w:shd w:val="clear" w:color="auto" w:fill="EDECF3"/>
          </w:tcPr>
          <w:p>
            <w:pPr>
              <w:pStyle w:val="TableParagraph"/>
              <w:rPr>
                <w:sz w:val="21"/>
              </w:rPr>
            </w:pPr>
            <w:r>
              <w:rPr>
                <w:spacing w:val="-5"/>
                <w:w w:val="105"/>
                <w:sz w:val="21"/>
              </w:rPr>
              <w:t>12</w:t>
            </w:r>
          </w:p>
        </w:tc>
        <w:tc>
          <w:tcPr>
            <w:tcW w:w="2177" w:type="dxa"/>
            <w:shd w:val="clear" w:color="auto" w:fill="EDECF3"/>
          </w:tcPr>
          <w:p>
            <w:pPr>
              <w:pStyle w:val="TableParagraph"/>
              <w:rPr>
                <w:sz w:val="21"/>
              </w:rPr>
            </w:pPr>
            <w:r>
              <w:rPr>
                <w:spacing w:val="-10"/>
                <w:w w:val="105"/>
                <w:sz w:val="21"/>
              </w:rPr>
              <w:t>1</w:t>
            </w:r>
          </w:p>
        </w:tc>
        <w:tc>
          <w:tcPr>
            <w:tcW w:w="2714" w:type="dxa"/>
            <w:vMerge/>
            <w:tcBorders>
              <w:top w:val="nil"/>
              <w:bottom w:val="nil"/>
              <w:right w:val="nil"/>
            </w:tcBorders>
            <w:shd w:val="clear" w:color="auto" w:fill="EDECF3"/>
          </w:tcPr>
          <w:p>
            <w:pPr>
              <w:rPr>
                <w:sz w:val="2"/>
                <w:szCs w:val="2"/>
              </w:rPr>
            </w:pPr>
          </w:p>
        </w:tc>
      </w:tr>
      <w:tr>
        <w:trPr>
          <w:trHeight w:val="372" w:hRule="exact"/>
        </w:trPr>
        <w:tc>
          <w:tcPr>
            <w:tcW w:w="1385" w:type="dxa"/>
            <w:tcBorders>
              <w:left w:val="nil"/>
              <w:bottom w:val="nil"/>
            </w:tcBorders>
            <w:shd w:val="clear" w:color="auto" w:fill="EDECF3"/>
          </w:tcPr>
          <w:p>
            <w:pPr>
              <w:pStyle w:val="TableParagraph"/>
              <w:ind w:left="67"/>
              <w:rPr>
                <w:sz w:val="21"/>
              </w:rPr>
            </w:pPr>
            <w:r>
              <w:rPr>
                <w:spacing w:val="-2"/>
                <w:w w:val="105"/>
                <w:sz w:val="21"/>
              </w:rPr>
              <w:t>Poupadores</w:t>
            </w:r>
          </w:p>
        </w:tc>
        <w:tc>
          <w:tcPr>
            <w:tcW w:w="1857" w:type="dxa"/>
            <w:vMerge w:val="restart"/>
            <w:shd w:val="clear" w:color="auto" w:fill="EDECF3"/>
          </w:tcPr>
          <w:p>
            <w:pPr>
              <w:pStyle w:val="TableParagraph"/>
              <w:rPr>
                <w:sz w:val="21"/>
              </w:rPr>
            </w:pPr>
            <w:r>
              <w:rPr>
                <w:spacing w:val="-2"/>
                <w:sz w:val="21"/>
              </w:rPr>
              <w:t>Amilorida*</w:t>
            </w:r>
          </w:p>
        </w:tc>
        <w:tc>
          <w:tcPr>
            <w:tcW w:w="1216" w:type="dxa"/>
            <w:vMerge w:val="restart"/>
            <w:shd w:val="clear" w:color="auto" w:fill="EDECF3"/>
          </w:tcPr>
          <w:p>
            <w:pPr>
              <w:pStyle w:val="TableParagraph"/>
              <w:ind w:left="66"/>
              <w:rPr>
                <w:sz w:val="21"/>
              </w:rPr>
            </w:pPr>
            <w:r>
              <w:rPr>
                <w:spacing w:val="-5"/>
                <w:w w:val="105"/>
                <w:sz w:val="21"/>
              </w:rPr>
              <w:t>2,5</w:t>
            </w:r>
          </w:p>
        </w:tc>
        <w:tc>
          <w:tcPr>
            <w:tcW w:w="1248" w:type="dxa"/>
            <w:vMerge w:val="restart"/>
            <w:shd w:val="clear" w:color="auto" w:fill="EDECF3"/>
          </w:tcPr>
          <w:p>
            <w:pPr>
              <w:pStyle w:val="TableParagraph"/>
              <w:ind w:left="66"/>
              <w:rPr>
                <w:sz w:val="21"/>
              </w:rPr>
            </w:pPr>
            <w:r>
              <w:rPr>
                <w:spacing w:val="-10"/>
                <w:w w:val="105"/>
                <w:sz w:val="21"/>
              </w:rPr>
              <w:t>5</w:t>
            </w:r>
          </w:p>
        </w:tc>
        <w:tc>
          <w:tcPr>
            <w:tcW w:w="2177" w:type="dxa"/>
            <w:vMerge w:val="restart"/>
            <w:shd w:val="clear" w:color="auto" w:fill="EDECF3"/>
          </w:tcPr>
          <w:p>
            <w:pPr>
              <w:pStyle w:val="TableParagraph"/>
              <w:rPr>
                <w:sz w:val="21"/>
              </w:rPr>
            </w:pPr>
            <w:r>
              <w:rPr>
                <w:spacing w:val="-10"/>
                <w:w w:val="105"/>
                <w:sz w:val="21"/>
              </w:rPr>
              <w:t>1</w:t>
            </w:r>
          </w:p>
        </w:tc>
        <w:tc>
          <w:tcPr>
            <w:tcW w:w="2714" w:type="dxa"/>
            <w:vMerge/>
            <w:tcBorders>
              <w:top w:val="nil"/>
              <w:bottom w:val="nil"/>
              <w:right w:val="nil"/>
            </w:tcBorders>
            <w:shd w:val="clear" w:color="auto" w:fill="EDECF3"/>
          </w:tcPr>
          <w:p>
            <w:pPr>
              <w:rPr>
                <w:sz w:val="2"/>
                <w:szCs w:val="2"/>
              </w:rPr>
            </w:pPr>
          </w:p>
        </w:tc>
      </w:tr>
      <w:tr>
        <w:trPr>
          <w:trHeight w:val="108" w:hRule="exact"/>
        </w:trPr>
        <w:tc>
          <w:tcPr>
            <w:tcW w:w="1385" w:type="dxa"/>
            <w:vMerge w:val="restart"/>
            <w:tcBorders>
              <w:top w:val="nil"/>
              <w:left w:val="nil"/>
              <w:bottom w:val="nil"/>
            </w:tcBorders>
            <w:shd w:val="clear" w:color="auto" w:fill="EDECF3"/>
          </w:tcPr>
          <w:p>
            <w:pPr>
              <w:pStyle w:val="TableParagraph"/>
              <w:spacing w:before="34"/>
              <w:ind w:left="67"/>
              <w:rPr>
                <w:sz w:val="21"/>
              </w:rPr>
            </w:pPr>
            <w:r>
              <w:rPr>
                <w:w w:val="105"/>
                <w:sz w:val="21"/>
              </w:rPr>
              <w:t>de</w:t>
            </w:r>
            <w:r>
              <w:rPr>
                <w:spacing w:val="14"/>
                <w:w w:val="105"/>
                <w:sz w:val="21"/>
              </w:rPr>
              <w:t> </w:t>
            </w:r>
            <w:r>
              <w:rPr>
                <w:spacing w:val="-2"/>
                <w:w w:val="105"/>
                <w:sz w:val="21"/>
              </w:rPr>
              <w:t>potássio</w:t>
            </w:r>
          </w:p>
        </w:tc>
        <w:tc>
          <w:tcPr>
            <w:tcW w:w="1857" w:type="dxa"/>
            <w:vMerge/>
            <w:tcBorders>
              <w:top w:val="nil"/>
            </w:tcBorders>
            <w:shd w:val="clear" w:color="auto" w:fill="EDECF3"/>
          </w:tcPr>
          <w:p>
            <w:pPr>
              <w:rPr>
                <w:sz w:val="2"/>
                <w:szCs w:val="2"/>
              </w:rPr>
            </w:pPr>
          </w:p>
        </w:tc>
        <w:tc>
          <w:tcPr>
            <w:tcW w:w="1216" w:type="dxa"/>
            <w:vMerge/>
            <w:tcBorders>
              <w:top w:val="nil"/>
            </w:tcBorders>
            <w:shd w:val="clear" w:color="auto" w:fill="EDECF3"/>
          </w:tcPr>
          <w:p>
            <w:pPr>
              <w:rPr>
                <w:sz w:val="2"/>
                <w:szCs w:val="2"/>
              </w:rPr>
            </w:pPr>
          </w:p>
        </w:tc>
        <w:tc>
          <w:tcPr>
            <w:tcW w:w="1248" w:type="dxa"/>
            <w:vMerge/>
            <w:tcBorders>
              <w:top w:val="nil"/>
            </w:tcBorders>
            <w:shd w:val="clear" w:color="auto" w:fill="EDECF3"/>
          </w:tcPr>
          <w:p>
            <w:pPr>
              <w:rPr>
                <w:sz w:val="2"/>
                <w:szCs w:val="2"/>
              </w:rPr>
            </w:pPr>
          </w:p>
        </w:tc>
        <w:tc>
          <w:tcPr>
            <w:tcW w:w="2177" w:type="dxa"/>
            <w:vMerge/>
            <w:tcBorders>
              <w:top w:val="nil"/>
            </w:tcBorders>
            <w:shd w:val="clear" w:color="auto" w:fill="EDECF3"/>
          </w:tcPr>
          <w:p>
            <w:pPr>
              <w:rPr>
                <w:sz w:val="2"/>
                <w:szCs w:val="2"/>
              </w:rPr>
            </w:pPr>
          </w:p>
        </w:tc>
        <w:tc>
          <w:tcPr>
            <w:tcW w:w="2714" w:type="dxa"/>
            <w:vMerge/>
            <w:tcBorders>
              <w:top w:val="nil"/>
              <w:bottom w:val="nil"/>
              <w:right w:val="nil"/>
            </w:tcBorders>
            <w:shd w:val="clear" w:color="auto" w:fill="EDECF3"/>
          </w:tcPr>
          <w:p>
            <w:pPr>
              <w:rPr>
                <w:sz w:val="2"/>
                <w:szCs w:val="2"/>
              </w:rPr>
            </w:pPr>
          </w:p>
        </w:tc>
      </w:tr>
      <w:tr>
        <w:trPr>
          <w:trHeight w:val="464" w:hRule="exact"/>
        </w:trPr>
        <w:tc>
          <w:tcPr>
            <w:tcW w:w="1385" w:type="dxa"/>
            <w:vMerge/>
            <w:tcBorders>
              <w:top w:val="nil"/>
              <w:left w:val="nil"/>
              <w:bottom w:val="nil"/>
            </w:tcBorders>
            <w:shd w:val="clear" w:color="auto" w:fill="EDECF3"/>
          </w:tcPr>
          <w:p>
            <w:pPr>
              <w:rPr>
                <w:sz w:val="2"/>
                <w:szCs w:val="2"/>
              </w:rPr>
            </w:pPr>
          </w:p>
        </w:tc>
        <w:tc>
          <w:tcPr>
            <w:tcW w:w="1857" w:type="dxa"/>
            <w:shd w:val="clear" w:color="auto" w:fill="EDECF3"/>
          </w:tcPr>
          <w:p>
            <w:pPr>
              <w:pStyle w:val="TableParagraph"/>
              <w:rPr>
                <w:sz w:val="21"/>
              </w:rPr>
            </w:pPr>
            <w:r>
              <w:rPr>
                <w:spacing w:val="-2"/>
                <w:w w:val="105"/>
                <w:sz w:val="21"/>
              </w:rPr>
              <w:t>Espironolactona</w:t>
            </w:r>
          </w:p>
        </w:tc>
        <w:tc>
          <w:tcPr>
            <w:tcW w:w="1216" w:type="dxa"/>
            <w:shd w:val="clear" w:color="auto" w:fill="EDECF3"/>
          </w:tcPr>
          <w:p>
            <w:pPr>
              <w:pStyle w:val="TableParagraph"/>
              <w:ind w:left="66"/>
              <w:rPr>
                <w:sz w:val="21"/>
              </w:rPr>
            </w:pPr>
            <w:r>
              <w:rPr>
                <w:spacing w:val="-5"/>
                <w:w w:val="105"/>
                <w:sz w:val="21"/>
              </w:rPr>
              <w:t>50</w:t>
            </w:r>
          </w:p>
        </w:tc>
        <w:tc>
          <w:tcPr>
            <w:tcW w:w="1248" w:type="dxa"/>
            <w:shd w:val="clear" w:color="auto" w:fill="EDECF3"/>
          </w:tcPr>
          <w:p>
            <w:pPr>
              <w:pStyle w:val="TableParagraph"/>
              <w:ind w:left="66"/>
              <w:rPr>
                <w:sz w:val="21"/>
              </w:rPr>
            </w:pPr>
            <w:r>
              <w:rPr>
                <w:spacing w:val="-5"/>
                <w:w w:val="105"/>
                <w:sz w:val="21"/>
              </w:rPr>
              <w:t>100</w:t>
            </w:r>
          </w:p>
        </w:tc>
        <w:tc>
          <w:tcPr>
            <w:tcW w:w="2177" w:type="dxa"/>
            <w:shd w:val="clear" w:color="auto" w:fill="EDECF3"/>
          </w:tcPr>
          <w:p>
            <w:pPr>
              <w:pStyle w:val="TableParagraph"/>
              <w:ind w:left="66"/>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3</w:t>
            </w:r>
          </w:p>
        </w:tc>
        <w:tc>
          <w:tcPr>
            <w:tcW w:w="2714" w:type="dxa"/>
            <w:vMerge/>
            <w:tcBorders>
              <w:top w:val="nil"/>
              <w:bottom w:val="nil"/>
              <w:right w:val="nil"/>
            </w:tcBorders>
            <w:shd w:val="clear" w:color="auto" w:fill="EDECF3"/>
          </w:tcPr>
          <w:p>
            <w:pPr>
              <w:rPr>
                <w:sz w:val="2"/>
                <w:szCs w:val="2"/>
              </w:rPr>
            </w:pPr>
          </w:p>
        </w:tc>
      </w:tr>
      <w:tr>
        <w:trPr>
          <w:trHeight w:val="472" w:hRule="exact"/>
        </w:trPr>
        <w:tc>
          <w:tcPr>
            <w:tcW w:w="1385" w:type="dxa"/>
            <w:tcBorders>
              <w:top w:val="nil"/>
              <w:left w:val="nil"/>
              <w:bottom w:val="nil"/>
            </w:tcBorders>
            <w:shd w:val="clear" w:color="auto" w:fill="EDECF3"/>
          </w:tcPr>
          <w:p>
            <w:pPr>
              <w:pStyle w:val="TableParagraph"/>
              <w:spacing w:before="0"/>
              <w:ind w:left="0"/>
              <w:rPr>
                <w:rFonts w:ascii="Times New Roman"/>
                <w:sz w:val="20"/>
              </w:rPr>
            </w:pPr>
          </w:p>
        </w:tc>
        <w:tc>
          <w:tcPr>
            <w:tcW w:w="1857" w:type="dxa"/>
            <w:tcBorders>
              <w:bottom w:val="nil"/>
            </w:tcBorders>
            <w:shd w:val="clear" w:color="auto" w:fill="EDECF3"/>
          </w:tcPr>
          <w:p>
            <w:pPr>
              <w:pStyle w:val="TableParagraph"/>
              <w:rPr>
                <w:sz w:val="21"/>
              </w:rPr>
            </w:pPr>
            <w:r>
              <w:rPr>
                <w:spacing w:val="-2"/>
                <w:w w:val="105"/>
                <w:sz w:val="21"/>
              </w:rPr>
              <w:t>Triantereno*</w:t>
            </w:r>
          </w:p>
        </w:tc>
        <w:tc>
          <w:tcPr>
            <w:tcW w:w="1216" w:type="dxa"/>
            <w:tcBorders>
              <w:bottom w:val="nil"/>
            </w:tcBorders>
            <w:shd w:val="clear" w:color="auto" w:fill="EDECF3"/>
          </w:tcPr>
          <w:p>
            <w:pPr>
              <w:pStyle w:val="TableParagraph"/>
              <w:ind w:left="66"/>
              <w:rPr>
                <w:sz w:val="21"/>
              </w:rPr>
            </w:pPr>
            <w:r>
              <w:rPr>
                <w:spacing w:val="-5"/>
                <w:w w:val="105"/>
                <w:sz w:val="21"/>
              </w:rPr>
              <w:t>50</w:t>
            </w:r>
          </w:p>
        </w:tc>
        <w:tc>
          <w:tcPr>
            <w:tcW w:w="1248" w:type="dxa"/>
            <w:tcBorders>
              <w:bottom w:val="nil"/>
            </w:tcBorders>
            <w:shd w:val="clear" w:color="auto" w:fill="EDECF3"/>
          </w:tcPr>
          <w:p>
            <w:pPr>
              <w:pStyle w:val="TableParagraph"/>
              <w:ind w:left="66"/>
              <w:rPr>
                <w:sz w:val="21"/>
              </w:rPr>
            </w:pPr>
            <w:r>
              <w:rPr>
                <w:spacing w:val="-5"/>
                <w:w w:val="105"/>
                <w:sz w:val="21"/>
              </w:rPr>
              <w:t>150</w:t>
            </w:r>
          </w:p>
        </w:tc>
        <w:tc>
          <w:tcPr>
            <w:tcW w:w="2177" w:type="dxa"/>
            <w:tcBorders>
              <w:bottom w:val="nil"/>
            </w:tcBorders>
            <w:shd w:val="clear" w:color="auto" w:fill="EDECF3"/>
          </w:tcPr>
          <w:p>
            <w:pPr>
              <w:pStyle w:val="TableParagraph"/>
              <w:ind w:left="66"/>
              <w:rPr>
                <w:sz w:val="21"/>
              </w:rPr>
            </w:pPr>
            <w:r>
              <w:rPr>
                <w:spacing w:val="-10"/>
                <w:w w:val="105"/>
                <w:sz w:val="21"/>
              </w:rPr>
              <w:t>1</w:t>
            </w:r>
          </w:p>
        </w:tc>
        <w:tc>
          <w:tcPr>
            <w:tcW w:w="2714" w:type="dxa"/>
            <w:vMerge/>
            <w:tcBorders>
              <w:top w:val="nil"/>
              <w:bottom w:val="nil"/>
              <w:right w:val="nil"/>
            </w:tcBorders>
            <w:shd w:val="clear" w:color="auto" w:fill="EDECF3"/>
          </w:tcPr>
          <w:p>
            <w:pPr>
              <w:rPr>
                <w:sz w:val="2"/>
                <w:szCs w:val="2"/>
              </w:rPr>
            </w:pPr>
          </w:p>
        </w:tc>
      </w:tr>
    </w:tbl>
    <w:p>
      <w:pPr>
        <w:spacing w:before="165"/>
        <w:ind w:left="68" w:right="0" w:firstLine="0"/>
        <w:jc w:val="left"/>
        <w:rPr>
          <w:rFonts w:ascii="Microsoft Sans Serif" w:hAnsi="Microsoft Sans Serif"/>
          <w:sz w:val="19"/>
        </w:rPr>
      </w:pPr>
      <w:r>
        <w:rPr>
          <w:rFonts w:ascii="Microsoft Sans Serif" w:hAnsi="Microsoft Sans Serif"/>
          <w:sz w:val="19"/>
        </w:rPr>
        <w:t>*Em</w:t>
      </w:r>
      <w:r>
        <w:rPr>
          <w:rFonts w:ascii="Microsoft Sans Serif" w:hAnsi="Microsoft Sans Serif"/>
          <w:spacing w:val="5"/>
          <w:sz w:val="19"/>
        </w:rPr>
        <w:t> </w:t>
      </w:r>
      <w:r>
        <w:rPr>
          <w:rFonts w:ascii="Microsoft Sans Serif" w:hAnsi="Microsoft Sans Serif"/>
          <w:spacing w:val="-2"/>
          <w:sz w:val="19"/>
        </w:rPr>
        <w:t>associação.</w:t>
      </w:r>
    </w:p>
    <w:p>
      <w:pPr>
        <w:pStyle w:val="BodyText"/>
        <w:spacing w:before="107"/>
        <w:ind w:left="0" w:firstLine="0"/>
        <w:jc w:val="left"/>
        <w:rPr>
          <w:rFonts w:ascii="Microsoft Sans Serif"/>
          <w:sz w:val="19"/>
        </w:rPr>
      </w:pPr>
    </w:p>
    <w:p>
      <w:pPr>
        <w:pStyle w:val="Heading7"/>
      </w:pPr>
      <w:r>
        <w:rPr>
          <w:color w:val="242B67"/>
        </w:rPr>
        <w:t>Vasodilatadores </w:t>
      </w:r>
      <w:r>
        <w:rPr>
          <w:color w:val="242B67"/>
          <w:spacing w:val="-2"/>
        </w:rPr>
        <w:t>diretos</w:t>
      </w:r>
    </w:p>
    <w:p>
      <w:pPr>
        <w:pStyle w:val="BodyText"/>
        <w:spacing w:line="276" w:lineRule="auto" w:before="126"/>
        <w:ind w:right="488"/>
      </w:pPr>
      <w:r>
        <w:rPr/>
        <w:t>São</w:t>
      </w:r>
      <w:r>
        <w:rPr>
          <w:spacing w:val="-4"/>
        </w:rPr>
        <w:t> </w:t>
      </w:r>
      <w:r>
        <w:rPr/>
        <w:t>substâncias que</w:t>
      </w:r>
      <w:r>
        <w:rPr>
          <w:spacing w:val="-6"/>
        </w:rPr>
        <w:t> </w:t>
      </w:r>
      <w:r>
        <w:rPr/>
        <w:t>agem</w:t>
      </w:r>
      <w:r>
        <w:rPr>
          <w:spacing w:val="-4"/>
        </w:rPr>
        <w:t> </w:t>
      </w:r>
      <w:r>
        <w:rPr/>
        <w:t>diretamente</w:t>
      </w:r>
      <w:r>
        <w:rPr>
          <w:spacing w:val="-6"/>
        </w:rPr>
        <w:t> </w:t>
      </w:r>
      <w:r>
        <w:rPr/>
        <w:t>na</w:t>
      </w:r>
      <w:r>
        <w:rPr>
          <w:spacing w:val="-6"/>
        </w:rPr>
        <w:t> </w:t>
      </w:r>
      <w:r>
        <w:rPr/>
        <w:t>musculatura</w:t>
      </w:r>
      <w:r>
        <w:rPr>
          <w:spacing w:val="-6"/>
        </w:rPr>
        <w:t> </w:t>
      </w:r>
      <w:r>
        <w:rPr/>
        <w:t>lisa</w:t>
      </w:r>
      <w:r>
        <w:rPr>
          <w:spacing w:val="-6"/>
        </w:rPr>
        <w:t> </w:t>
      </w:r>
      <w:r>
        <w:rPr/>
        <w:t>do</w:t>
      </w:r>
      <w:r>
        <w:rPr>
          <w:spacing w:val="-4"/>
        </w:rPr>
        <w:t> </w:t>
      </w:r>
      <w:r>
        <w:rPr/>
        <w:t>vaso</w:t>
      </w:r>
      <w:r>
        <w:rPr>
          <w:spacing w:val="-4"/>
        </w:rPr>
        <w:t> </w:t>
      </w:r>
      <w:r>
        <w:rPr/>
        <w:t>e</w:t>
      </w:r>
      <w:r>
        <w:rPr>
          <w:spacing w:val="-6"/>
        </w:rPr>
        <w:t> </w:t>
      </w:r>
      <w:r>
        <w:rPr/>
        <w:t>provocam</w:t>
      </w:r>
      <w:r>
        <w:rPr>
          <w:spacing w:val="-4"/>
        </w:rPr>
        <w:t> </w:t>
      </w:r>
      <w:r>
        <w:rPr/>
        <w:t>a</w:t>
      </w:r>
      <w:r>
        <w:rPr>
          <w:spacing w:val="-6"/>
        </w:rPr>
        <w:t> </w:t>
      </w:r>
      <w:r>
        <w:rPr/>
        <w:t>vasodilatação. Eles diferem</w:t>
      </w:r>
      <w:r>
        <w:rPr>
          <w:spacing w:val="-4"/>
        </w:rPr>
        <w:t> </w:t>
      </w:r>
      <w:r>
        <w:rPr/>
        <w:t>de outros fármacos que também provocam vasodilatação por mecanismo de ação diferente, como é o caso dos inibidores da</w:t>
      </w:r>
      <w:r>
        <w:rPr>
          <w:spacing w:val="-4"/>
        </w:rPr>
        <w:t> </w:t>
      </w:r>
      <w:r>
        <w:rPr/>
        <w:t>enzima</w:t>
      </w:r>
      <w:r>
        <w:rPr>
          <w:spacing w:val="-4"/>
        </w:rPr>
        <w:t> </w:t>
      </w:r>
      <w:r>
        <w:rPr/>
        <w:t>conversora</w:t>
      </w:r>
      <w:r>
        <w:rPr>
          <w:spacing w:val="-4"/>
        </w:rPr>
        <w:t> </w:t>
      </w:r>
      <w:r>
        <w:rPr/>
        <w:t>da</w:t>
      </w:r>
      <w:r>
        <w:rPr>
          <w:spacing w:val="-4"/>
        </w:rPr>
        <w:t> </w:t>
      </w:r>
      <w:r>
        <w:rPr/>
        <w:t>angiotensina, dos antagonistas do</w:t>
      </w:r>
      <w:r>
        <w:rPr>
          <w:spacing w:val="-1"/>
        </w:rPr>
        <w:t> </w:t>
      </w:r>
      <w:r>
        <w:rPr/>
        <w:t>cálcio</w:t>
      </w:r>
      <w:r>
        <w:rPr>
          <w:spacing w:val="-1"/>
        </w:rPr>
        <w:t> </w:t>
      </w:r>
      <w:r>
        <w:rPr/>
        <w:t>e</w:t>
      </w:r>
      <w:r>
        <w:rPr>
          <w:spacing w:val="-4"/>
        </w:rPr>
        <w:t> </w:t>
      </w:r>
      <w:r>
        <w:rPr/>
        <w:t>dos alfabloqueadores (</w:t>
      </w:r>
      <w:r>
        <w:rPr>
          <w:color w:val="505050"/>
        </w:rPr>
        <w:t>Tabela</w:t>
      </w:r>
      <w:r>
        <w:rPr>
          <w:color w:val="505050"/>
          <w:spacing w:val="-4"/>
        </w:rPr>
        <w:t> </w:t>
      </w:r>
      <w:r>
        <w:rPr>
          <w:color w:val="505050"/>
        </w:rPr>
        <w:t>57.9</w:t>
      </w:r>
      <w:r>
        <w:rPr/>
        <w:t>).</w:t>
      </w:r>
    </w:p>
    <w:p>
      <w:pPr>
        <w:pStyle w:val="BodyText"/>
        <w:spacing w:after="0" w:line="276" w:lineRule="auto"/>
        <w:sectPr>
          <w:pgSz w:w="11900" w:h="16840"/>
          <w:pgMar w:top="280" w:bottom="0" w:left="566" w:right="141"/>
        </w:sectPr>
      </w:pPr>
    </w:p>
    <w:p>
      <w:pPr>
        <w:pStyle w:val="Heading7"/>
        <w:spacing w:before="72"/>
      </w:pPr>
      <w:r>
        <w:rPr>
          <w:color w:val="242B67"/>
        </w:rPr>
        <w:t>Bloqueadores dos canais de </w:t>
      </w:r>
      <w:r>
        <w:rPr>
          <w:color w:val="242B67"/>
          <w:spacing w:val="-2"/>
        </w:rPr>
        <w:t>cálcio</w:t>
      </w:r>
    </w:p>
    <w:p>
      <w:pPr>
        <w:pStyle w:val="BodyText"/>
        <w:spacing w:line="276" w:lineRule="auto" w:before="126"/>
        <w:ind w:right="491"/>
      </w:pPr>
      <w:r>
        <w:rPr/>
        <w:t>Os bloqueadores dos canais de cálcio, também chamados de antagonistas do cálcio, foram introduzidos no mercado na década de 1970 como antianginosos e na década de 1980 como anti-hipertensivos. Eles tornaram-se o grupo</w:t>
      </w:r>
      <w:r>
        <w:rPr>
          <w:spacing w:val="-2"/>
        </w:rPr>
        <w:t> </w:t>
      </w:r>
      <w:r>
        <w:rPr/>
        <w:t>de</w:t>
      </w:r>
      <w:r>
        <w:rPr>
          <w:spacing w:val="-5"/>
        </w:rPr>
        <w:t> </w:t>
      </w:r>
      <w:r>
        <w:rPr/>
        <w:t>anti-hipertensivos mais prescrito</w:t>
      </w:r>
      <w:r>
        <w:rPr>
          <w:spacing w:val="-2"/>
        </w:rPr>
        <w:t> </w:t>
      </w:r>
      <w:r>
        <w:rPr/>
        <w:t>para</w:t>
      </w:r>
      <w:r>
        <w:rPr>
          <w:spacing w:val="-5"/>
        </w:rPr>
        <w:t> </w:t>
      </w:r>
      <w:r>
        <w:rPr/>
        <w:t>pacientes com</w:t>
      </w:r>
      <w:r>
        <w:rPr>
          <w:spacing w:val="-2"/>
        </w:rPr>
        <w:t> </w:t>
      </w:r>
      <w:r>
        <w:rPr/>
        <w:t>HAS nos EUA</w:t>
      </w:r>
      <w:r>
        <w:rPr>
          <w:spacing w:val="-5"/>
        </w:rPr>
        <w:t> </w:t>
      </w:r>
      <w:r>
        <w:rPr/>
        <w:t>na</w:t>
      </w:r>
      <w:r>
        <w:rPr>
          <w:spacing w:val="-5"/>
        </w:rPr>
        <w:t> </w:t>
      </w:r>
      <w:r>
        <w:rPr/>
        <w:t>década</w:t>
      </w:r>
      <w:r>
        <w:rPr>
          <w:spacing w:val="-5"/>
        </w:rPr>
        <w:t> </w:t>
      </w:r>
      <w:r>
        <w:rPr/>
        <w:t>de</w:t>
      </w:r>
      <w:r>
        <w:rPr>
          <w:spacing w:val="-5"/>
        </w:rPr>
        <w:t> </w:t>
      </w:r>
      <w:r>
        <w:rPr/>
        <w:t>1990. Dispomos de</w:t>
      </w:r>
      <w:r>
        <w:rPr>
          <w:spacing w:val="-5"/>
        </w:rPr>
        <w:t> </w:t>
      </w:r>
      <w:r>
        <w:rPr/>
        <w:t>três grupos: fenilalquilaminas, benzodiazepínicos e di-hidropiridinas, sendo as di-hidropiridinas as mais prescritas no tratamento da HAS (</w:t>
      </w:r>
      <w:r>
        <w:rPr>
          <w:color w:val="505050"/>
        </w:rPr>
        <w:t>Tabela 57.10</w:t>
      </w:r>
      <w:r>
        <w:rPr/>
        <w:t>).</w:t>
      </w:r>
    </w:p>
    <w:p>
      <w:pPr>
        <w:pStyle w:val="BodyText"/>
        <w:spacing w:before="25"/>
        <w:ind w:left="0" w:firstLine="0"/>
        <w:jc w:val="left"/>
      </w:pPr>
    </w:p>
    <w:p>
      <w:pPr>
        <w:pStyle w:val="Heading7"/>
      </w:pPr>
      <w:r>
        <w:rPr>
          <w:color w:val="242B67"/>
        </w:rPr>
        <w:t>Inibidores da enzima conversora da </w:t>
      </w:r>
      <w:r>
        <w:rPr>
          <w:color w:val="242B67"/>
          <w:spacing w:val="-2"/>
        </w:rPr>
        <w:t>angiotensina</w:t>
      </w:r>
    </w:p>
    <w:p>
      <w:pPr>
        <w:pStyle w:val="BodyText"/>
        <w:spacing w:line="276" w:lineRule="auto" w:before="126"/>
        <w:ind w:right="500"/>
      </w:pPr>
      <w:r>
        <w:rPr/>
        <w:t>Os inibidores da enzima conversora agem inibindo a conversão do decapeptídio angiotensina I, que é inativo, em angiotensina II, que é um potente vasoconstritor. Esse grupo de fármacos tem sido usado largamente no tratamento da HAS (</w:t>
      </w:r>
      <w:r>
        <w:rPr>
          <w:color w:val="505050"/>
        </w:rPr>
        <w:t>Tabela 57.11</w:t>
      </w:r>
      <w:r>
        <w:rPr/>
        <w:t>).</w:t>
      </w:r>
    </w:p>
    <w:p>
      <w:pPr>
        <w:pStyle w:val="BodyText"/>
        <w:spacing w:before="25"/>
        <w:ind w:left="0" w:firstLine="0"/>
        <w:jc w:val="left"/>
      </w:pPr>
    </w:p>
    <w:p>
      <w:pPr>
        <w:pStyle w:val="Heading7"/>
      </w:pPr>
      <w:r>
        <w:rPr>
          <w:color w:val="242B67"/>
        </w:rPr>
        <w:t>Bloqueadores do receptor da angiotensina </w:t>
      </w:r>
      <w:r>
        <w:rPr>
          <w:color w:val="242B67"/>
          <w:spacing w:val="-5"/>
        </w:rPr>
        <w:t>II</w:t>
      </w:r>
    </w:p>
    <w:p>
      <w:pPr>
        <w:pStyle w:val="BodyText"/>
        <w:spacing w:line="276" w:lineRule="auto" w:before="126"/>
        <w:ind w:right="497"/>
      </w:pPr>
      <w:r>
        <w:rPr/>
        <w:t>Esse</w:t>
      </w:r>
      <w:r>
        <w:rPr>
          <w:spacing w:val="-11"/>
        </w:rPr>
        <w:t> </w:t>
      </w:r>
      <w:r>
        <w:rPr/>
        <w:t>grupo</w:t>
      </w:r>
      <w:r>
        <w:rPr>
          <w:spacing w:val="-9"/>
        </w:rPr>
        <w:t> </w:t>
      </w:r>
      <w:r>
        <w:rPr/>
        <w:t>de</w:t>
      </w:r>
      <w:r>
        <w:rPr>
          <w:spacing w:val="-11"/>
        </w:rPr>
        <w:t> </w:t>
      </w:r>
      <w:r>
        <w:rPr/>
        <w:t>fármacos</w:t>
      </w:r>
      <w:r>
        <w:rPr>
          <w:spacing w:val="-2"/>
        </w:rPr>
        <w:t> </w:t>
      </w:r>
      <w:r>
        <w:rPr/>
        <w:t>também</w:t>
      </w:r>
      <w:r>
        <w:rPr>
          <w:spacing w:val="-9"/>
        </w:rPr>
        <w:t> </w:t>
      </w:r>
      <w:r>
        <w:rPr/>
        <w:t>reduz</w:t>
      </w:r>
      <w:r>
        <w:rPr>
          <w:spacing w:val="-11"/>
        </w:rPr>
        <w:t> </w:t>
      </w:r>
      <w:r>
        <w:rPr/>
        <w:t>a</w:t>
      </w:r>
      <w:r>
        <w:rPr>
          <w:spacing w:val="-11"/>
        </w:rPr>
        <w:t> </w:t>
      </w:r>
      <w:r>
        <w:rPr/>
        <w:t>atividade</w:t>
      </w:r>
      <w:r>
        <w:rPr>
          <w:spacing w:val="-11"/>
        </w:rPr>
        <w:t> </w:t>
      </w:r>
      <w:r>
        <w:rPr/>
        <w:t>do</w:t>
      </w:r>
      <w:r>
        <w:rPr>
          <w:spacing w:val="-9"/>
        </w:rPr>
        <w:t> </w:t>
      </w:r>
      <w:r>
        <w:rPr/>
        <w:t>sistema</w:t>
      </w:r>
      <w:r>
        <w:rPr>
          <w:spacing w:val="-11"/>
        </w:rPr>
        <w:t> </w:t>
      </w:r>
      <w:r>
        <w:rPr/>
        <w:t>renina-angiotensina</w:t>
      </w:r>
      <w:r>
        <w:rPr>
          <w:spacing w:val="-11"/>
        </w:rPr>
        <w:t> </w:t>
      </w:r>
      <w:r>
        <w:rPr/>
        <w:t>pelo</w:t>
      </w:r>
      <w:r>
        <w:rPr>
          <w:spacing w:val="-9"/>
        </w:rPr>
        <w:t> </w:t>
      </w:r>
      <w:r>
        <w:rPr/>
        <w:t>bloqueio</w:t>
      </w:r>
      <w:r>
        <w:rPr>
          <w:spacing w:val="-9"/>
        </w:rPr>
        <w:t> </w:t>
      </w:r>
      <w:r>
        <w:rPr/>
        <w:t>competitivo</w:t>
      </w:r>
      <w:r>
        <w:rPr>
          <w:spacing w:val="-9"/>
        </w:rPr>
        <w:t> </w:t>
      </w:r>
      <w:r>
        <w:rPr/>
        <w:t>dos receptores AT1 da angiotensina II. Esses anti-hipertensivos vêm sendo largamente investigados, e os vários fármacos testados têm sido efetivos e bem tolerados. São usados com frequência naqueles pacientes em uso de inibidores da enzima conversora de angiotensina que apresentam tosse (</w:t>
      </w:r>
      <w:r>
        <w:rPr>
          <w:color w:val="505050"/>
        </w:rPr>
        <w:t>Tabela 57.12</w:t>
      </w:r>
      <w:r>
        <w:rPr/>
        <w:t>).</w:t>
      </w:r>
    </w:p>
    <w:p>
      <w:pPr>
        <w:pStyle w:val="BodyText"/>
        <w:spacing w:before="25"/>
        <w:ind w:left="0" w:firstLine="0"/>
        <w:jc w:val="left"/>
      </w:pPr>
    </w:p>
    <w:p>
      <w:pPr>
        <w:pStyle w:val="Heading7"/>
      </w:pPr>
      <w:r>
        <w:rPr>
          <w:color w:val="242B67"/>
        </w:rPr>
        <w:t>Inibidores </w:t>
      </w:r>
      <w:r>
        <w:rPr>
          <w:color w:val="242B67"/>
          <w:spacing w:val="-2"/>
        </w:rPr>
        <w:t>adrenérgicos</w:t>
      </w:r>
    </w:p>
    <w:p>
      <w:pPr>
        <w:pStyle w:val="BodyText"/>
        <w:spacing w:line="276" w:lineRule="auto" w:before="126"/>
        <w:ind w:right="491"/>
      </w:pPr>
      <w:r>
        <w:rPr/>
        <w:t>Os inibidores adrenérgicos agem em nível central (agonistas dos receptores alfa</w:t>
      </w:r>
      <w:r>
        <w:rPr>
          <w:spacing w:val="-2"/>
        </w:rPr>
        <w:t> </w:t>
      </w:r>
      <w:r>
        <w:rPr/>
        <w:t>2) e</w:t>
      </w:r>
      <w:r>
        <w:rPr>
          <w:spacing w:val="-2"/>
        </w:rPr>
        <w:t> </w:t>
      </w:r>
      <w:r>
        <w:rPr/>
        <w:t>perifericamente</w:t>
      </w:r>
      <w:r>
        <w:rPr>
          <w:spacing w:val="-2"/>
        </w:rPr>
        <w:t> </w:t>
      </w:r>
      <w:r>
        <w:rPr/>
        <w:t>(bloqueio dos receptores alfa</w:t>
      </w:r>
      <w:r>
        <w:rPr>
          <w:spacing w:val="-2"/>
        </w:rPr>
        <w:t> </w:t>
      </w:r>
      <w:r>
        <w:rPr/>
        <w:t>1) e</w:t>
      </w:r>
      <w:r>
        <w:rPr>
          <w:spacing w:val="-2"/>
        </w:rPr>
        <w:t> </w:t>
      </w:r>
      <w:r>
        <w:rPr/>
        <w:t>são considerados fármacos de</w:t>
      </w:r>
      <w:r>
        <w:rPr>
          <w:spacing w:val="-2"/>
        </w:rPr>
        <w:t> </w:t>
      </w:r>
      <w:r>
        <w:rPr/>
        <w:t>segunda</w:t>
      </w:r>
      <w:r>
        <w:rPr>
          <w:spacing w:val="-2"/>
        </w:rPr>
        <w:t> </w:t>
      </w:r>
      <w:r>
        <w:rPr/>
        <w:t>escolha</w:t>
      </w:r>
      <w:r>
        <w:rPr>
          <w:spacing w:val="-2"/>
        </w:rPr>
        <w:t> </w:t>
      </w:r>
      <w:r>
        <w:rPr/>
        <w:t>no tratamento da</w:t>
      </w:r>
      <w:r>
        <w:rPr>
          <w:spacing w:val="-2"/>
        </w:rPr>
        <w:t> </w:t>
      </w:r>
      <w:r>
        <w:rPr/>
        <w:t>HAS. São frequentemente associados a outros considerados de primeira linha no tratamento da HAS, tais como diuréticos, inibidores da enzima conversora de angiotensina, betabloqueadores, bloqueadores dos canais de cálcio e os antagonistas do receptor de angiotensina, nos pacientes com hipertensão grave (</w:t>
      </w:r>
      <w:r>
        <w:rPr>
          <w:color w:val="505050"/>
        </w:rPr>
        <w:t>Tabela 57.13</w:t>
      </w:r>
      <w:r>
        <w:rPr/>
        <w:t>).</w:t>
      </w:r>
    </w:p>
    <w:p>
      <w:pPr>
        <w:pStyle w:val="BodyText"/>
        <w:spacing w:before="9"/>
        <w:ind w:left="0" w:firstLine="0"/>
        <w:jc w:val="left"/>
      </w:pPr>
    </w:p>
    <w:p>
      <w:pPr>
        <w:pStyle w:val="Heading7"/>
      </w:pPr>
      <w:r>
        <w:rPr>
          <w:color w:val="242B67"/>
        </w:rPr>
        <w:t>Bloqueadores dos receptores beta-</w:t>
      </w:r>
      <w:r>
        <w:rPr>
          <w:color w:val="242B67"/>
          <w:spacing w:val="-2"/>
        </w:rPr>
        <w:t>adrenérgicos</w:t>
      </w:r>
    </w:p>
    <w:p>
      <w:pPr>
        <w:pStyle w:val="BodyText"/>
        <w:spacing w:line="276" w:lineRule="auto" w:before="142"/>
        <w:ind w:right="488"/>
      </w:pPr>
      <w:r>
        <w:rPr/>
        <w:t>Os fármacos desse grupo já foram e têm sido largamente usados no tratamento da HAS. Além da propriedade anti-hipertensiva, os betabloqueadores têm outras funções, como ser antianginosos e oferecer cardioproteção após infarto agudo do miocárdio (</w:t>
      </w:r>
      <w:r>
        <w:rPr>
          <w:color w:val="505050"/>
        </w:rPr>
        <w:t>Tabela 57.14</w:t>
      </w:r>
      <w:r>
        <w:rPr/>
        <w:t>).</w:t>
      </w:r>
    </w:p>
    <w:p>
      <w:pPr>
        <w:pStyle w:val="BodyText"/>
        <w:spacing w:before="71"/>
        <w:ind w:left="0" w:firstLine="0"/>
        <w:jc w:val="left"/>
      </w:pPr>
    </w:p>
    <w:p>
      <w:pPr>
        <w:spacing w:before="0"/>
        <w:ind w:left="68" w:right="0" w:firstLine="0"/>
        <w:jc w:val="left"/>
        <w:rPr>
          <w:rFonts w:ascii="Microsoft Sans Serif"/>
          <w:sz w:val="23"/>
        </w:rPr>
      </w:pPr>
      <w:r>
        <w:rPr>
          <w:rFonts w:ascii="Arial"/>
          <w:b/>
          <w:color w:val="242B67"/>
          <w:sz w:val="23"/>
        </w:rPr>
        <w:t>Tabela</w:t>
      </w:r>
      <w:r>
        <w:rPr>
          <w:rFonts w:ascii="Arial"/>
          <w:b/>
          <w:color w:val="242B67"/>
          <w:spacing w:val="-1"/>
          <w:sz w:val="23"/>
        </w:rPr>
        <w:t> </w:t>
      </w:r>
      <w:r>
        <w:rPr>
          <w:rFonts w:ascii="Arial"/>
          <w:b/>
          <w:color w:val="242B67"/>
          <w:sz w:val="23"/>
        </w:rPr>
        <w:t>57.9</w:t>
      </w:r>
      <w:r>
        <w:rPr>
          <w:rFonts w:ascii="Arial"/>
          <w:b/>
          <w:color w:val="242B67"/>
          <w:spacing w:val="-2"/>
          <w:sz w:val="23"/>
        </w:rPr>
        <w:t> </w:t>
      </w:r>
      <w:r>
        <w:rPr>
          <w:rFonts w:ascii="Microsoft Sans Serif"/>
          <w:sz w:val="23"/>
        </w:rPr>
        <w:t>Vasodilatadores</w:t>
      </w:r>
      <w:r>
        <w:rPr>
          <w:rFonts w:ascii="Microsoft Sans Serif"/>
          <w:spacing w:val="-1"/>
          <w:sz w:val="23"/>
        </w:rPr>
        <w:t> </w:t>
      </w:r>
      <w:r>
        <w:rPr>
          <w:rFonts w:ascii="Microsoft Sans Serif"/>
          <w:spacing w:val="-2"/>
          <w:sz w:val="23"/>
        </w:rPr>
        <w:t>diretos.</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690"/>
        <w:gridCol w:w="1458"/>
        <w:gridCol w:w="1490"/>
        <w:gridCol w:w="2179"/>
        <w:gridCol w:w="3805"/>
      </w:tblGrid>
      <w:tr>
        <w:trPr>
          <w:trHeight w:val="1039" w:hRule="atLeast"/>
        </w:trPr>
        <w:tc>
          <w:tcPr>
            <w:tcW w:w="1690" w:type="dxa"/>
            <w:tcBorders>
              <w:top w:val="nil"/>
              <w:left w:val="nil"/>
            </w:tcBorders>
            <w:shd w:val="clear" w:color="auto" w:fill="242B67"/>
          </w:tcPr>
          <w:p>
            <w:pPr>
              <w:pStyle w:val="TableParagraph"/>
              <w:spacing w:before="0"/>
              <w:ind w:left="0"/>
              <w:rPr>
                <w:sz w:val="21"/>
              </w:rPr>
            </w:pPr>
          </w:p>
          <w:p>
            <w:pPr>
              <w:pStyle w:val="TableParagraph"/>
              <w:spacing w:before="224"/>
              <w:ind w:left="0"/>
              <w:rPr>
                <w:sz w:val="21"/>
              </w:rPr>
            </w:pPr>
          </w:p>
          <w:p>
            <w:pPr>
              <w:pStyle w:val="TableParagraph"/>
              <w:spacing w:before="0"/>
              <w:ind w:left="67"/>
              <w:rPr>
                <w:rFonts w:ascii="Arial"/>
                <w:b/>
                <w:sz w:val="21"/>
              </w:rPr>
            </w:pPr>
            <w:r>
              <w:rPr>
                <w:rFonts w:ascii="Arial"/>
                <w:b/>
                <w:color w:val="FFFFFF"/>
                <w:spacing w:val="-2"/>
                <w:w w:val="105"/>
                <w:sz w:val="21"/>
              </w:rPr>
              <w:t>Medicamentos</w:t>
            </w:r>
          </w:p>
        </w:tc>
        <w:tc>
          <w:tcPr>
            <w:tcW w:w="1458" w:type="dxa"/>
            <w:tcBorders>
              <w:top w:val="nil"/>
            </w:tcBorders>
            <w:shd w:val="clear" w:color="auto" w:fill="242B67"/>
          </w:tcPr>
          <w:p>
            <w:pPr>
              <w:pStyle w:val="TableParagraph"/>
              <w:spacing w:line="302" w:lineRule="auto" w:before="91"/>
              <w:ind w:right="208"/>
              <w:rPr>
                <w:rFonts w:ascii="Arial" w:hAnsi="Arial"/>
                <w:b/>
                <w:sz w:val="21"/>
              </w:rPr>
            </w:pPr>
            <w:r>
              <w:rPr>
                <w:rFonts w:ascii="Arial" w:hAnsi="Arial"/>
                <w:b/>
                <w:color w:val="FFFFFF"/>
                <w:spacing w:val="-4"/>
                <w:w w:val="105"/>
                <w:sz w:val="21"/>
              </w:rPr>
              <w:t>Dose </w:t>
            </w:r>
            <w:r>
              <w:rPr>
                <w:rFonts w:ascii="Arial" w:hAnsi="Arial"/>
                <w:b/>
                <w:color w:val="FFFFFF"/>
                <w:spacing w:val="-2"/>
                <w:sz w:val="21"/>
              </w:rPr>
              <w:t>mínima </w:t>
            </w:r>
            <w:r>
              <w:rPr>
                <w:rFonts w:ascii="Arial" w:hAnsi="Arial"/>
                <w:b/>
                <w:color w:val="FFFFFF"/>
                <w:spacing w:val="-4"/>
                <w:w w:val="105"/>
                <w:sz w:val="21"/>
              </w:rPr>
              <w:t>(mg)</w:t>
            </w:r>
          </w:p>
        </w:tc>
        <w:tc>
          <w:tcPr>
            <w:tcW w:w="1490" w:type="dxa"/>
            <w:tcBorders>
              <w:top w:val="nil"/>
            </w:tcBorders>
            <w:shd w:val="clear" w:color="auto" w:fill="242B67"/>
          </w:tcPr>
          <w:p>
            <w:pPr>
              <w:pStyle w:val="TableParagraph"/>
              <w:spacing w:line="302" w:lineRule="auto" w:before="91"/>
              <w:ind w:left="64" w:right="194"/>
              <w:rPr>
                <w:rFonts w:ascii="Arial" w:hAnsi="Arial"/>
                <w:b/>
                <w:sz w:val="21"/>
              </w:rPr>
            </w:pPr>
            <w:r>
              <w:rPr>
                <w:rFonts w:ascii="Arial" w:hAnsi="Arial"/>
                <w:b/>
                <w:color w:val="FFFFFF"/>
                <w:spacing w:val="-4"/>
                <w:w w:val="105"/>
                <w:sz w:val="21"/>
              </w:rPr>
              <w:t>Dose </w:t>
            </w:r>
            <w:r>
              <w:rPr>
                <w:rFonts w:ascii="Arial" w:hAnsi="Arial"/>
                <w:b/>
                <w:color w:val="FFFFFF"/>
                <w:spacing w:val="-2"/>
                <w:sz w:val="21"/>
              </w:rPr>
              <w:t>máxima </w:t>
            </w:r>
            <w:r>
              <w:rPr>
                <w:rFonts w:ascii="Arial" w:hAnsi="Arial"/>
                <w:b/>
                <w:color w:val="FFFFFF"/>
                <w:spacing w:val="-4"/>
                <w:w w:val="105"/>
                <w:sz w:val="21"/>
              </w:rPr>
              <w:t>(mg)</w:t>
            </w:r>
          </w:p>
        </w:tc>
        <w:tc>
          <w:tcPr>
            <w:tcW w:w="2179" w:type="dxa"/>
            <w:tcBorders>
              <w:top w:val="nil"/>
            </w:tcBorders>
            <w:shd w:val="clear" w:color="auto" w:fill="242B67"/>
          </w:tcPr>
          <w:p>
            <w:pPr>
              <w:pStyle w:val="TableParagraph"/>
              <w:spacing w:before="159"/>
              <w:ind w:left="0"/>
              <w:rPr>
                <w:sz w:val="21"/>
              </w:rPr>
            </w:pPr>
          </w:p>
          <w:p>
            <w:pPr>
              <w:pStyle w:val="TableParagraph"/>
              <w:spacing w:line="302" w:lineRule="auto" w:before="0"/>
              <w:ind w:left="64" w:hanging="1"/>
              <w:rPr>
                <w:rFonts w:ascii="Arial" w:hAnsi="Arial"/>
                <w:b/>
                <w:sz w:val="21"/>
              </w:rPr>
            </w:pPr>
            <w:r>
              <w:rPr>
                <w:rFonts w:ascii="Arial" w:hAnsi="Arial"/>
                <w:b/>
                <w:color w:val="FFFFFF"/>
                <w:w w:val="105"/>
                <w:sz w:val="21"/>
              </w:rPr>
              <w:t>N</w:t>
            </w:r>
            <w:r>
              <w:rPr>
                <w:rFonts w:ascii="Arial" w:hAnsi="Arial"/>
                <w:b/>
                <w:color w:val="FFFFFF"/>
                <w:w w:val="105"/>
                <w:sz w:val="21"/>
                <w:u w:val="single" w:color="FFFFFF"/>
                <w:vertAlign w:val="superscript"/>
              </w:rPr>
              <w:t>o</w:t>
            </w:r>
            <w:r>
              <w:rPr>
                <w:rFonts w:ascii="Arial" w:hAnsi="Arial"/>
                <w:b/>
                <w:color w:val="FFFFFF"/>
                <w:w w:val="105"/>
                <w:sz w:val="21"/>
                <w:vertAlign w:val="baseline"/>
              </w:rPr>
              <w:t> de </w:t>
            </w:r>
            <w:r>
              <w:rPr>
                <w:rFonts w:ascii="Arial" w:hAnsi="Arial"/>
                <w:b/>
                <w:color w:val="FFFFFF"/>
                <w:spacing w:val="-2"/>
                <w:sz w:val="21"/>
                <w:vertAlign w:val="baseline"/>
              </w:rPr>
              <w:t>administrações/dia</w:t>
            </w:r>
          </w:p>
        </w:tc>
        <w:tc>
          <w:tcPr>
            <w:tcW w:w="3805" w:type="dxa"/>
            <w:tcBorders>
              <w:top w:val="nil"/>
              <w:right w:val="nil"/>
            </w:tcBorders>
            <w:shd w:val="clear" w:color="auto" w:fill="242B67"/>
          </w:tcPr>
          <w:p>
            <w:pPr>
              <w:pStyle w:val="TableParagraph"/>
              <w:spacing w:before="0"/>
              <w:ind w:left="0"/>
              <w:rPr>
                <w:sz w:val="21"/>
              </w:rPr>
            </w:pPr>
          </w:p>
          <w:p>
            <w:pPr>
              <w:pStyle w:val="TableParagraph"/>
              <w:spacing w:before="224"/>
              <w:ind w:left="0"/>
              <w:rPr>
                <w:sz w:val="21"/>
              </w:rPr>
            </w:pPr>
          </w:p>
          <w:p>
            <w:pPr>
              <w:pStyle w:val="TableParagraph"/>
              <w:spacing w:before="0"/>
              <w:ind w:left="63"/>
              <w:rPr>
                <w:rFonts w:ascii="Arial" w:hAnsi="Arial"/>
                <w:b/>
                <w:sz w:val="21"/>
              </w:rPr>
            </w:pPr>
            <w:r>
              <w:rPr>
                <w:rFonts w:ascii="Arial" w:hAnsi="Arial"/>
                <w:b/>
                <w:color w:val="FFFFFF"/>
                <w:w w:val="105"/>
                <w:sz w:val="21"/>
              </w:rPr>
              <w:t>Mecanismo</w:t>
            </w:r>
            <w:r>
              <w:rPr>
                <w:rFonts w:ascii="Arial" w:hAnsi="Arial"/>
                <w:b/>
                <w:color w:val="FFFFFF"/>
                <w:spacing w:val="-10"/>
                <w:w w:val="105"/>
                <w:sz w:val="21"/>
              </w:rPr>
              <w:t> </w:t>
            </w:r>
            <w:r>
              <w:rPr>
                <w:rFonts w:ascii="Arial" w:hAnsi="Arial"/>
                <w:b/>
                <w:color w:val="FFFFFF"/>
                <w:w w:val="105"/>
                <w:sz w:val="21"/>
              </w:rPr>
              <w:t>de</w:t>
            </w:r>
            <w:r>
              <w:rPr>
                <w:rFonts w:ascii="Arial" w:hAnsi="Arial"/>
                <w:b/>
                <w:color w:val="FFFFFF"/>
                <w:spacing w:val="1"/>
                <w:w w:val="105"/>
                <w:sz w:val="21"/>
              </w:rPr>
              <w:t> </w:t>
            </w:r>
            <w:r>
              <w:rPr>
                <w:rFonts w:ascii="Arial" w:hAnsi="Arial"/>
                <w:b/>
                <w:color w:val="FFFFFF"/>
                <w:spacing w:val="-4"/>
                <w:w w:val="105"/>
                <w:sz w:val="21"/>
              </w:rPr>
              <w:t>ação</w:t>
            </w:r>
          </w:p>
        </w:tc>
      </w:tr>
      <w:tr>
        <w:trPr>
          <w:trHeight w:val="812" w:hRule="atLeast"/>
        </w:trPr>
        <w:tc>
          <w:tcPr>
            <w:tcW w:w="1690" w:type="dxa"/>
            <w:tcBorders>
              <w:left w:val="nil"/>
            </w:tcBorders>
            <w:shd w:val="clear" w:color="auto" w:fill="EDECF3"/>
          </w:tcPr>
          <w:p>
            <w:pPr>
              <w:pStyle w:val="TableParagraph"/>
              <w:ind w:left="67"/>
              <w:rPr>
                <w:sz w:val="21"/>
              </w:rPr>
            </w:pPr>
            <w:r>
              <w:rPr>
                <w:spacing w:val="-2"/>
                <w:sz w:val="21"/>
              </w:rPr>
              <w:t>Hidralazina</w:t>
            </w:r>
          </w:p>
        </w:tc>
        <w:tc>
          <w:tcPr>
            <w:tcW w:w="1458" w:type="dxa"/>
            <w:shd w:val="clear" w:color="auto" w:fill="EDECF3"/>
          </w:tcPr>
          <w:p>
            <w:pPr>
              <w:pStyle w:val="TableParagraph"/>
              <w:rPr>
                <w:sz w:val="21"/>
              </w:rPr>
            </w:pPr>
            <w:r>
              <w:rPr>
                <w:spacing w:val="-5"/>
                <w:w w:val="105"/>
                <w:sz w:val="21"/>
              </w:rPr>
              <w:t>50</w:t>
            </w:r>
          </w:p>
        </w:tc>
        <w:tc>
          <w:tcPr>
            <w:tcW w:w="1490" w:type="dxa"/>
            <w:shd w:val="clear" w:color="auto" w:fill="EDECF3"/>
          </w:tcPr>
          <w:p>
            <w:pPr>
              <w:pStyle w:val="TableParagraph"/>
              <w:ind w:left="64"/>
              <w:rPr>
                <w:sz w:val="21"/>
              </w:rPr>
            </w:pPr>
            <w:r>
              <w:rPr>
                <w:spacing w:val="-5"/>
                <w:w w:val="105"/>
                <w:sz w:val="21"/>
              </w:rPr>
              <w:t>200</w:t>
            </w:r>
          </w:p>
        </w:tc>
        <w:tc>
          <w:tcPr>
            <w:tcW w:w="2179" w:type="dxa"/>
            <w:shd w:val="clear" w:color="auto" w:fill="EDECF3"/>
          </w:tcPr>
          <w:p>
            <w:pPr>
              <w:pStyle w:val="TableParagraph"/>
              <w:ind w:left="64"/>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3805" w:type="dxa"/>
            <w:vMerge w:val="restart"/>
            <w:tcBorders>
              <w:bottom w:val="nil"/>
              <w:right w:val="nil"/>
            </w:tcBorders>
            <w:shd w:val="clear" w:color="auto" w:fill="EDECF3"/>
          </w:tcPr>
          <w:p>
            <w:pPr>
              <w:pStyle w:val="TableParagraph"/>
              <w:spacing w:line="307" w:lineRule="auto"/>
              <w:ind w:left="63" w:right="203"/>
              <w:rPr>
                <w:sz w:val="21"/>
              </w:rPr>
            </w:pPr>
            <w:r>
              <w:rPr>
                <w:w w:val="105"/>
                <w:sz w:val="21"/>
              </w:rPr>
              <w:t>Promovem o relaxamento da musculatura da parede vascular com consequente vasodilatação </w:t>
            </w:r>
            <w:r>
              <w:rPr>
                <w:w w:val="105"/>
                <w:sz w:val="21"/>
              </w:rPr>
              <w:t>e redução da resistência vascular </w:t>
            </w:r>
            <w:r>
              <w:rPr>
                <w:spacing w:val="-2"/>
                <w:w w:val="105"/>
                <w:sz w:val="21"/>
              </w:rPr>
              <w:t>periférica</w:t>
            </w:r>
          </w:p>
        </w:tc>
      </w:tr>
      <w:tr>
        <w:trPr>
          <w:trHeight w:val="814" w:hRule="atLeast"/>
        </w:trPr>
        <w:tc>
          <w:tcPr>
            <w:tcW w:w="1690" w:type="dxa"/>
            <w:tcBorders>
              <w:left w:val="nil"/>
              <w:bottom w:val="nil"/>
            </w:tcBorders>
            <w:shd w:val="clear" w:color="auto" w:fill="EDECF3"/>
          </w:tcPr>
          <w:p>
            <w:pPr>
              <w:pStyle w:val="TableParagraph"/>
              <w:ind w:left="67"/>
              <w:rPr>
                <w:sz w:val="21"/>
              </w:rPr>
            </w:pPr>
            <w:r>
              <w:rPr>
                <w:spacing w:val="-2"/>
                <w:sz w:val="21"/>
              </w:rPr>
              <w:t>Minoxidil</w:t>
            </w:r>
          </w:p>
        </w:tc>
        <w:tc>
          <w:tcPr>
            <w:tcW w:w="1458" w:type="dxa"/>
            <w:tcBorders>
              <w:bottom w:val="nil"/>
            </w:tcBorders>
            <w:shd w:val="clear" w:color="auto" w:fill="EDECF3"/>
          </w:tcPr>
          <w:p>
            <w:pPr>
              <w:pStyle w:val="TableParagraph"/>
              <w:rPr>
                <w:sz w:val="21"/>
              </w:rPr>
            </w:pPr>
            <w:r>
              <w:rPr>
                <w:spacing w:val="-5"/>
                <w:w w:val="105"/>
                <w:sz w:val="21"/>
              </w:rPr>
              <w:t>2,5</w:t>
            </w:r>
          </w:p>
        </w:tc>
        <w:tc>
          <w:tcPr>
            <w:tcW w:w="1490" w:type="dxa"/>
            <w:tcBorders>
              <w:bottom w:val="nil"/>
            </w:tcBorders>
            <w:shd w:val="clear" w:color="auto" w:fill="EDECF3"/>
          </w:tcPr>
          <w:p>
            <w:pPr>
              <w:pStyle w:val="TableParagraph"/>
              <w:ind w:left="64"/>
              <w:rPr>
                <w:sz w:val="21"/>
              </w:rPr>
            </w:pPr>
            <w:r>
              <w:rPr>
                <w:spacing w:val="-5"/>
                <w:w w:val="105"/>
                <w:sz w:val="21"/>
              </w:rPr>
              <w:t>40</w:t>
            </w:r>
          </w:p>
        </w:tc>
        <w:tc>
          <w:tcPr>
            <w:tcW w:w="2179" w:type="dxa"/>
            <w:tcBorders>
              <w:bottom w:val="nil"/>
            </w:tcBorders>
            <w:shd w:val="clear" w:color="auto" w:fill="EDECF3"/>
          </w:tcPr>
          <w:p>
            <w:pPr>
              <w:pStyle w:val="TableParagraph"/>
              <w:ind w:left="64"/>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3805" w:type="dxa"/>
            <w:vMerge/>
            <w:tcBorders>
              <w:top w:val="nil"/>
              <w:bottom w:val="nil"/>
              <w:right w:val="nil"/>
            </w:tcBorders>
            <w:shd w:val="clear" w:color="auto" w:fill="EDECF3"/>
          </w:tcPr>
          <w:p>
            <w:pPr>
              <w:rPr>
                <w:sz w:val="2"/>
                <w:szCs w:val="2"/>
              </w:rPr>
            </w:pPr>
          </w:p>
        </w:tc>
      </w:tr>
    </w:tbl>
    <w:p>
      <w:pPr>
        <w:pStyle w:val="BodyText"/>
        <w:spacing w:before="118"/>
        <w:ind w:left="0" w:firstLine="0"/>
        <w:jc w:val="left"/>
        <w:rPr>
          <w:rFonts w:ascii="Microsoft Sans Serif"/>
        </w:rPr>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1"/>
          <w:sz w:val="23"/>
        </w:rPr>
        <w:t> </w:t>
      </w:r>
      <w:r>
        <w:rPr>
          <w:rFonts w:ascii="Arial" w:hAnsi="Arial"/>
          <w:b/>
          <w:color w:val="242B67"/>
          <w:sz w:val="23"/>
        </w:rPr>
        <w:t>57.10</w:t>
      </w:r>
      <w:r>
        <w:rPr>
          <w:rFonts w:ascii="Arial" w:hAnsi="Arial"/>
          <w:b/>
          <w:color w:val="242B67"/>
          <w:spacing w:val="-2"/>
          <w:sz w:val="23"/>
        </w:rPr>
        <w:t> </w:t>
      </w:r>
      <w:r>
        <w:rPr>
          <w:rFonts w:ascii="Microsoft Sans Serif" w:hAnsi="Microsoft Sans Serif"/>
          <w:sz w:val="23"/>
        </w:rPr>
        <w:t>Bloqueadores</w:t>
      </w:r>
      <w:r>
        <w:rPr>
          <w:rFonts w:ascii="Microsoft Sans Serif" w:hAnsi="Microsoft Sans Serif"/>
          <w:spacing w:val="-2"/>
          <w:sz w:val="23"/>
        </w:rPr>
        <w:t> </w:t>
      </w:r>
      <w:r>
        <w:rPr>
          <w:rFonts w:ascii="Microsoft Sans Serif" w:hAnsi="Microsoft Sans Serif"/>
          <w:sz w:val="23"/>
        </w:rPr>
        <w:t>dos</w:t>
      </w:r>
      <w:r>
        <w:rPr>
          <w:rFonts w:ascii="Microsoft Sans Serif" w:hAnsi="Microsoft Sans Serif"/>
          <w:spacing w:val="-1"/>
          <w:sz w:val="23"/>
        </w:rPr>
        <w:t> </w:t>
      </w:r>
      <w:r>
        <w:rPr>
          <w:rFonts w:ascii="Microsoft Sans Serif" w:hAnsi="Microsoft Sans Serif"/>
          <w:sz w:val="23"/>
        </w:rPr>
        <w:t>canais</w:t>
      </w:r>
      <w:r>
        <w:rPr>
          <w:rFonts w:ascii="Microsoft Sans Serif" w:hAnsi="Microsoft Sans Serif"/>
          <w:spacing w:val="-2"/>
          <w:sz w:val="23"/>
        </w:rPr>
        <w:t> </w:t>
      </w:r>
      <w:r>
        <w:rPr>
          <w:rFonts w:ascii="Microsoft Sans Serif" w:hAnsi="Microsoft Sans Serif"/>
          <w:sz w:val="23"/>
        </w:rPr>
        <w:t>de</w:t>
      </w:r>
      <w:r>
        <w:rPr>
          <w:rFonts w:ascii="Microsoft Sans Serif" w:hAnsi="Microsoft Sans Serif"/>
          <w:spacing w:val="2"/>
          <w:sz w:val="23"/>
        </w:rPr>
        <w:t> </w:t>
      </w:r>
      <w:r>
        <w:rPr>
          <w:rFonts w:ascii="Microsoft Sans Serif" w:hAnsi="Microsoft Sans Serif"/>
          <w:spacing w:val="-2"/>
          <w:sz w:val="23"/>
        </w:rPr>
        <w:t>cálcio.</w:t>
      </w:r>
    </w:p>
    <w:p>
      <w:pPr>
        <w:pStyle w:val="BodyText"/>
        <w:spacing w:before="5" w:after="1"/>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058"/>
        <w:gridCol w:w="1698"/>
        <w:gridCol w:w="1041"/>
        <w:gridCol w:w="1089"/>
        <w:gridCol w:w="2178"/>
        <w:gridCol w:w="2554"/>
      </w:tblGrid>
      <w:tr>
        <w:trPr>
          <w:trHeight w:val="1039" w:hRule="atLeast"/>
        </w:trPr>
        <w:tc>
          <w:tcPr>
            <w:tcW w:w="3756" w:type="dxa"/>
            <w:gridSpan w:val="2"/>
            <w:tcBorders>
              <w:top w:val="nil"/>
              <w:left w:val="nil"/>
            </w:tcBorders>
            <w:shd w:val="clear" w:color="auto" w:fill="242B67"/>
          </w:tcPr>
          <w:p>
            <w:pPr>
              <w:pStyle w:val="TableParagraph"/>
              <w:spacing w:before="0"/>
              <w:ind w:left="0"/>
              <w:rPr>
                <w:sz w:val="21"/>
              </w:rPr>
            </w:pPr>
          </w:p>
          <w:p>
            <w:pPr>
              <w:pStyle w:val="TableParagraph"/>
              <w:spacing w:before="224"/>
              <w:ind w:left="0"/>
              <w:rPr>
                <w:sz w:val="21"/>
              </w:rPr>
            </w:pPr>
          </w:p>
          <w:p>
            <w:pPr>
              <w:pStyle w:val="TableParagraph"/>
              <w:spacing w:before="0"/>
              <w:ind w:left="67"/>
              <w:rPr>
                <w:rFonts w:ascii="Arial"/>
                <w:b/>
                <w:sz w:val="21"/>
              </w:rPr>
            </w:pPr>
            <w:r>
              <w:rPr>
                <w:rFonts w:ascii="Arial"/>
                <w:b/>
                <w:color w:val="FFFFFF"/>
                <w:spacing w:val="-2"/>
                <w:w w:val="105"/>
                <w:sz w:val="21"/>
              </w:rPr>
              <w:t>Medicamentos</w:t>
            </w:r>
          </w:p>
        </w:tc>
        <w:tc>
          <w:tcPr>
            <w:tcW w:w="1041" w:type="dxa"/>
            <w:tcBorders>
              <w:top w:val="nil"/>
            </w:tcBorders>
            <w:shd w:val="clear" w:color="auto" w:fill="242B67"/>
          </w:tcPr>
          <w:p>
            <w:pPr>
              <w:pStyle w:val="TableParagraph"/>
              <w:spacing w:line="302" w:lineRule="auto" w:before="91"/>
              <w:rPr>
                <w:rFonts w:ascii="Arial" w:hAnsi="Arial"/>
                <w:b/>
                <w:sz w:val="21"/>
              </w:rPr>
            </w:pPr>
            <w:r>
              <w:rPr>
                <w:rFonts w:ascii="Arial" w:hAnsi="Arial"/>
                <w:b/>
                <w:color w:val="FFFFFF"/>
                <w:spacing w:val="-4"/>
                <w:w w:val="105"/>
                <w:sz w:val="21"/>
              </w:rPr>
              <w:t>Dose </w:t>
            </w:r>
            <w:r>
              <w:rPr>
                <w:rFonts w:ascii="Arial" w:hAnsi="Arial"/>
                <w:b/>
                <w:color w:val="FFFFFF"/>
                <w:spacing w:val="-2"/>
                <w:sz w:val="21"/>
              </w:rPr>
              <w:t>mínima </w:t>
            </w:r>
            <w:r>
              <w:rPr>
                <w:rFonts w:ascii="Arial" w:hAnsi="Arial"/>
                <w:b/>
                <w:color w:val="FFFFFF"/>
                <w:spacing w:val="-4"/>
                <w:w w:val="105"/>
                <w:sz w:val="21"/>
              </w:rPr>
              <w:t>(mg)</w:t>
            </w:r>
          </w:p>
        </w:tc>
        <w:tc>
          <w:tcPr>
            <w:tcW w:w="1089" w:type="dxa"/>
            <w:tcBorders>
              <w:top w:val="nil"/>
            </w:tcBorders>
            <w:shd w:val="clear" w:color="auto" w:fill="242B67"/>
          </w:tcPr>
          <w:p>
            <w:pPr>
              <w:pStyle w:val="TableParagraph"/>
              <w:spacing w:line="302" w:lineRule="auto" w:before="91"/>
              <w:rPr>
                <w:rFonts w:ascii="Arial" w:hAnsi="Arial"/>
                <w:b/>
                <w:sz w:val="21"/>
              </w:rPr>
            </w:pPr>
            <w:r>
              <w:rPr>
                <w:rFonts w:ascii="Arial" w:hAnsi="Arial"/>
                <w:b/>
                <w:color w:val="FFFFFF"/>
                <w:spacing w:val="-4"/>
                <w:w w:val="105"/>
                <w:sz w:val="21"/>
              </w:rPr>
              <w:t>Dose </w:t>
            </w:r>
            <w:r>
              <w:rPr>
                <w:rFonts w:ascii="Arial" w:hAnsi="Arial"/>
                <w:b/>
                <w:color w:val="FFFFFF"/>
                <w:spacing w:val="-2"/>
                <w:sz w:val="21"/>
              </w:rPr>
              <w:t>máxima </w:t>
            </w:r>
            <w:r>
              <w:rPr>
                <w:rFonts w:ascii="Arial" w:hAnsi="Arial"/>
                <w:b/>
                <w:color w:val="FFFFFF"/>
                <w:spacing w:val="-4"/>
                <w:w w:val="105"/>
                <w:sz w:val="21"/>
              </w:rPr>
              <w:t>(mg)</w:t>
            </w:r>
          </w:p>
        </w:tc>
        <w:tc>
          <w:tcPr>
            <w:tcW w:w="2178" w:type="dxa"/>
            <w:tcBorders>
              <w:top w:val="nil"/>
            </w:tcBorders>
            <w:shd w:val="clear" w:color="auto" w:fill="242B67"/>
          </w:tcPr>
          <w:p>
            <w:pPr>
              <w:pStyle w:val="TableParagraph"/>
              <w:spacing w:before="157"/>
              <w:ind w:left="0"/>
              <w:rPr>
                <w:sz w:val="21"/>
              </w:rPr>
            </w:pPr>
          </w:p>
          <w:p>
            <w:pPr>
              <w:pStyle w:val="TableParagraph"/>
              <w:spacing w:line="302" w:lineRule="auto" w:before="1"/>
              <w:rPr>
                <w:rFonts w:ascii="Arial" w:hAnsi="Arial"/>
                <w:b/>
                <w:sz w:val="21"/>
              </w:rPr>
            </w:pPr>
            <w:r>
              <w:rPr>
                <w:rFonts w:ascii="Arial" w:hAnsi="Arial"/>
                <w:b/>
                <w:color w:val="FFFFFF"/>
                <w:w w:val="105"/>
                <w:sz w:val="21"/>
              </w:rPr>
              <w:t>No de </w:t>
            </w:r>
            <w:r>
              <w:rPr>
                <w:rFonts w:ascii="Arial" w:hAnsi="Arial"/>
                <w:b/>
                <w:color w:val="FFFFFF"/>
                <w:spacing w:val="-2"/>
                <w:sz w:val="21"/>
              </w:rPr>
              <w:t>administrações/dia</w:t>
            </w:r>
          </w:p>
        </w:tc>
        <w:tc>
          <w:tcPr>
            <w:tcW w:w="2554" w:type="dxa"/>
            <w:tcBorders>
              <w:top w:val="nil"/>
              <w:right w:val="nil"/>
            </w:tcBorders>
            <w:shd w:val="clear" w:color="auto" w:fill="242B67"/>
          </w:tcPr>
          <w:p>
            <w:pPr>
              <w:pStyle w:val="TableParagraph"/>
              <w:spacing w:before="0"/>
              <w:ind w:left="0"/>
              <w:rPr>
                <w:sz w:val="21"/>
              </w:rPr>
            </w:pPr>
          </w:p>
          <w:p>
            <w:pPr>
              <w:pStyle w:val="TableParagraph"/>
              <w:spacing w:before="224"/>
              <w:ind w:left="0"/>
              <w:rPr>
                <w:sz w:val="21"/>
              </w:rPr>
            </w:pPr>
          </w:p>
          <w:p>
            <w:pPr>
              <w:pStyle w:val="TableParagraph"/>
              <w:spacing w:before="0"/>
              <w:rPr>
                <w:rFonts w:ascii="Arial" w:hAnsi="Arial"/>
                <w:b/>
                <w:sz w:val="21"/>
              </w:rPr>
            </w:pPr>
            <w:r>
              <w:rPr>
                <w:rFonts w:ascii="Arial" w:hAnsi="Arial"/>
                <w:b/>
                <w:color w:val="FFFFFF"/>
                <w:w w:val="105"/>
                <w:sz w:val="21"/>
              </w:rPr>
              <w:t>Mecanismo</w:t>
            </w:r>
            <w:r>
              <w:rPr>
                <w:rFonts w:ascii="Arial" w:hAnsi="Arial"/>
                <w:b/>
                <w:color w:val="FFFFFF"/>
                <w:spacing w:val="-10"/>
                <w:w w:val="105"/>
                <w:sz w:val="21"/>
              </w:rPr>
              <w:t> </w:t>
            </w:r>
            <w:r>
              <w:rPr>
                <w:rFonts w:ascii="Arial" w:hAnsi="Arial"/>
                <w:b/>
                <w:color w:val="FFFFFF"/>
                <w:w w:val="105"/>
                <w:sz w:val="21"/>
              </w:rPr>
              <w:t>de</w:t>
            </w:r>
            <w:r>
              <w:rPr>
                <w:rFonts w:ascii="Arial" w:hAnsi="Arial"/>
                <w:b/>
                <w:color w:val="FFFFFF"/>
                <w:spacing w:val="1"/>
                <w:w w:val="105"/>
                <w:sz w:val="21"/>
              </w:rPr>
              <w:t> </w:t>
            </w:r>
            <w:r>
              <w:rPr>
                <w:rFonts w:ascii="Arial" w:hAnsi="Arial"/>
                <w:b/>
                <w:color w:val="FFFFFF"/>
                <w:spacing w:val="-4"/>
                <w:w w:val="105"/>
                <w:sz w:val="21"/>
              </w:rPr>
              <w:t>ação</w:t>
            </w:r>
          </w:p>
        </w:tc>
      </w:tr>
      <w:tr>
        <w:trPr>
          <w:trHeight w:val="362" w:hRule="atLeast"/>
        </w:trPr>
        <w:tc>
          <w:tcPr>
            <w:tcW w:w="2058" w:type="dxa"/>
            <w:tcBorders>
              <w:left w:val="nil"/>
              <w:bottom w:val="nil"/>
            </w:tcBorders>
            <w:shd w:val="clear" w:color="auto" w:fill="EDECF3"/>
          </w:tcPr>
          <w:p>
            <w:pPr>
              <w:pStyle w:val="TableParagraph"/>
              <w:ind w:left="67"/>
              <w:rPr>
                <w:sz w:val="21"/>
              </w:rPr>
            </w:pPr>
            <w:r>
              <w:rPr>
                <w:spacing w:val="-2"/>
                <w:sz w:val="21"/>
              </w:rPr>
              <w:t>Fenilalquilaminas</w:t>
            </w:r>
          </w:p>
        </w:tc>
        <w:tc>
          <w:tcPr>
            <w:tcW w:w="1698" w:type="dxa"/>
            <w:tcBorders>
              <w:bottom w:val="nil"/>
            </w:tcBorders>
            <w:shd w:val="clear" w:color="auto" w:fill="EDECF3"/>
          </w:tcPr>
          <w:p>
            <w:pPr>
              <w:pStyle w:val="TableParagraph"/>
              <w:ind w:left="66"/>
              <w:rPr>
                <w:sz w:val="21"/>
              </w:rPr>
            </w:pPr>
            <w:r>
              <w:rPr>
                <w:spacing w:val="-2"/>
                <w:w w:val="105"/>
                <w:sz w:val="21"/>
              </w:rPr>
              <w:t>Verapamil</w:t>
            </w:r>
          </w:p>
        </w:tc>
        <w:tc>
          <w:tcPr>
            <w:tcW w:w="1041" w:type="dxa"/>
            <w:tcBorders>
              <w:bottom w:val="nil"/>
            </w:tcBorders>
            <w:shd w:val="clear" w:color="auto" w:fill="EDECF3"/>
          </w:tcPr>
          <w:p>
            <w:pPr>
              <w:pStyle w:val="TableParagraph"/>
              <w:rPr>
                <w:sz w:val="21"/>
              </w:rPr>
            </w:pPr>
            <w:r>
              <w:rPr>
                <w:spacing w:val="-5"/>
                <w:w w:val="105"/>
                <w:sz w:val="21"/>
              </w:rPr>
              <w:t>120</w:t>
            </w:r>
          </w:p>
        </w:tc>
        <w:tc>
          <w:tcPr>
            <w:tcW w:w="1089" w:type="dxa"/>
            <w:tcBorders>
              <w:bottom w:val="nil"/>
            </w:tcBorders>
            <w:shd w:val="clear" w:color="auto" w:fill="EDECF3"/>
          </w:tcPr>
          <w:p>
            <w:pPr>
              <w:pStyle w:val="TableParagraph"/>
              <w:rPr>
                <w:sz w:val="21"/>
              </w:rPr>
            </w:pPr>
            <w:r>
              <w:rPr>
                <w:spacing w:val="-5"/>
                <w:w w:val="105"/>
                <w:sz w:val="21"/>
              </w:rPr>
              <w:t>360</w:t>
            </w:r>
          </w:p>
        </w:tc>
        <w:tc>
          <w:tcPr>
            <w:tcW w:w="2178" w:type="dxa"/>
            <w:tcBorders>
              <w:bottom w:val="nil"/>
            </w:tcBorders>
            <w:shd w:val="clear" w:color="auto" w:fill="EDECF3"/>
          </w:tcPr>
          <w:p>
            <w:pPr>
              <w:pStyle w:val="TableParagraph"/>
              <w:rPr>
                <w:sz w:val="21"/>
              </w:rPr>
            </w:pPr>
            <w:r>
              <w:rPr>
                <w:spacing w:val="-10"/>
                <w:w w:val="105"/>
                <w:sz w:val="21"/>
              </w:rPr>
              <w:t>1</w:t>
            </w:r>
          </w:p>
        </w:tc>
        <w:tc>
          <w:tcPr>
            <w:tcW w:w="2554" w:type="dxa"/>
            <w:tcBorders>
              <w:bottom w:val="nil"/>
              <w:right w:val="nil"/>
            </w:tcBorders>
            <w:shd w:val="clear" w:color="auto" w:fill="EDECF3"/>
          </w:tcPr>
          <w:p>
            <w:pPr>
              <w:pStyle w:val="TableParagraph"/>
              <w:rPr>
                <w:sz w:val="21"/>
              </w:rPr>
            </w:pPr>
            <w:r>
              <w:rPr>
                <w:w w:val="105"/>
                <w:sz w:val="21"/>
              </w:rPr>
              <w:t>Promovem</w:t>
            </w:r>
            <w:r>
              <w:rPr>
                <w:spacing w:val="-1"/>
                <w:w w:val="105"/>
                <w:sz w:val="21"/>
              </w:rPr>
              <w:t> </w:t>
            </w:r>
            <w:r>
              <w:rPr>
                <w:w w:val="105"/>
                <w:sz w:val="21"/>
              </w:rPr>
              <w:t>a</w:t>
            </w:r>
            <w:r>
              <w:rPr>
                <w:spacing w:val="12"/>
                <w:w w:val="105"/>
                <w:sz w:val="21"/>
              </w:rPr>
              <w:t> </w:t>
            </w:r>
            <w:r>
              <w:rPr>
                <w:spacing w:val="-2"/>
                <w:w w:val="105"/>
                <w:sz w:val="21"/>
              </w:rPr>
              <w:t>inibição</w:t>
            </w:r>
          </w:p>
        </w:tc>
      </w:tr>
      <w:tr>
        <w:trPr>
          <w:trHeight w:val="304" w:hRule="atLeast"/>
        </w:trPr>
        <w:tc>
          <w:tcPr>
            <w:tcW w:w="2058" w:type="dxa"/>
            <w:tcBorders>
              <w:top w:val="nil"/>
              <w:left w:val="nil"/>
              <w:bottom w:val="nil"/>
            </w:tcBorders>
            <w:shd w:val="clear" w:color="auto" w:fill="EDECF3"/>
          </w:tcPr>
          <w:p>
            <w:pPr>
              <w:pStyle w:val="TableParagraph"/>
              <w:spacing w:before="0"/>
              <w:ind w:left="0"/>
              <w:rPr>
                <w:rFonts w:ascii="Times New Roman"/>
                <w:sz w:val="22"/>
              </w:rPr>
            </w:pPr>
          </w:p>
        </w:tc>
        <w:tc>
          <w:tcPr>
            <w:tcW w:w="1698" w:type="dxa"/>
            <w:tcBorders>
              <w:top w:val="nil"/>
              <w:bottom w:val="nil"/>
            </w:tcBorders>
            <w:shd w:val="clear" w:color="auto" w:fill="EDECF3"/>
          </w:tcPr>
          <w:p>
            <w:pPr>
              <w:pStyle w:val="TableParagraph"/>
              <w:spacing w:before="34"/>
              <w:rPr>
                <w:sz w:val="21"/>
              </w:rPr>
            </w:pPr>
            <w:r>
              <w:rPr>
                <w:spacing w:val="-2"/>
                <w:w w:val="105"/>
                <w:sz w:val="21"/>
              </w:rPr>
              <w:t>Coer*</w:t>
            </w:r>
          </w:p>
        </w:tc>
        <w:tc>
          <w:tcPr>
            <w:tcW w:w="1041" w:type="dxa"/>
            <w:tcBorders>
              <w:top w:val="nil"/>
              <w:bottom w:val="nil"/>
            </w:tcBorders>
            <w:shd w:val="clear" w:color="auto" w:fill="EDECF3"/>
          </w:tcPr>
          <w:p>
            <w:pPr>
              <w:pStyle w:val="TableParagraph"/>
              <w:spacing w:before="0"/>
              <w:ind w:left="0"/>
              <w:rPr>
                <w:rFonts w:ascii="Times New Roman"/>
                <w:sz w:val="22"/>
              </w:rPr>
            </w:pPr>
          </w:p>
        </w:tc>
        <w:tc>
          <w:tcPr>
            <w:tcW w:w="1089" w:type="dxa"/>
            <w:tcBorders>
              <w:top w:val="nil"/>
              <w:bottom w:val="nil"/>
            </w:tcBorders>
            <w:shd w:val="clear" w:color="auto" w:fill="EDECF3"/>
          </w:tcPr>
          <w:p>
            <w:pPr>
              <w:pStyle w:val="TableParagraph"/>
              <w:spacing w:before="0"/>
              <w:ind w:left="0"/>
              <w:rPr>
                <w:rFonts w:ascii="Times New Roman"/>
                <w:sz w:val="22"/>
              </w:rPr>
            </w:pPr>
          </w:p>
        </w:tc>
        <w:tc>
          <w:tcPr>
            <w:tcW w:w="2178" w:type="dxa"/>
            <w:tcBorders>
              <w:top w:val="nil"/>
              <w:bottom w:val="nil"/>
            </w:tcBorders>
            <w:shd w:val="clear" w:color="auto" w:fill="EDECF3"/>
          </w:tcPr>
          <w:p>
            <w:pPr>
              <w:pStyle w:val="TableParagraph"/>
              <w:spacing w:before="0"/>
              <w:ind w:left="0"/>
              <w:rPr>
                <w:rFonts w:ascii="Times New Roman"/>
                <w:sz w:val="22"/>
              </w:rPr>
            </w:pPr>
          </w:p>
        </w:tc>
        <w:tc>
          <w:tcPr>
            <w:tcW w:w="2554" w:type="dxa"/>
            <w:tcBorders>
              <w:top w:val="nil"/>
              <w:bottom w:val="nil"/>
              <w:right w:val="nil"/>
            </w:tcBorders>
            <w:shd w:val="clear" w:color="auto" w:fill="EDECF3"/>
          </w:tcPr>
          <w:p>
            <w:pPr>
              <w:pStyle w:val="TableParagraph"/>
              <w:spacing w:before="34"/>
              <w:rPr>
                <w:sz w:val="21"/>
              </w:rPr>
            </w:pPr>
            <w:r>
              <w:rPr>
                <w:w w:val="105"/>
                <w:sz w:val="21"/>
              </w:rPr>
              <w:t>seletiva</w:t>
            </w:r>
            <w:r>
              <w:rPr>
                <w:spacing w:val="19"/>
                <w:w w:val="105"/>
                <w:sz w:val="21"/>
              </w:rPr>
              <w:t> </w:t>
            </w:r>
            <w:r>
              <w:rPr>
                <w:w w:val="105"/>
                <w:sz w:val="21"/>
              </w:rPr>
              <w:t>dos</w:t>
            </w:r>
            <w:r>
              <w:rPr>
                <w:spacing w:val="16"/>
                <w:w w:val="105"/>
                <w:sz w:val="21"/>
              </w:rPr>
              <w:t> </w:t>
            </w:r>
            <w:r>
              <w:rPr>
                <w:w w:val="105"/>
                <w:sz w:val="21"/>
              </w:rPr>
              <w:t>canais</w:t>
            </w:r>
            <w:r>
              <w:rPr>
                <w:spacing w:val="15"/>
                <w:w w:val="105"/>
                <w:sz w:val="21"/>
              </w:rPr>
              <w:t> </w:t>
            </w:r>
            <w:r>
              <w:rPr>
                <w:spacing w:val="-5"/>
                <w:w w:val="105"/>
                <w:sz w:val="21"/>
              </w:rPr>
              <w:t>de</w:t>
            </w:r>
          </w:p>
        </w:tc>
      </w:tr>
      <w:tr>
        <w:trPr>
          <w:trHeight w:val="65" w:hRule="atLeast"/>
        </w:trPr>
        <w:tc>
          <w:tcPr>
            <w:tcW w:w="2058" w:type="dxa"/>
            <w:vMerge w:val="restart"/>
            <w:tcBorders>
              <w:top w:val="nil"/>
              <w:left w:val="nil"/>
              <w:bottom w:val="nil"/>
            </w:tcBorders>
            <w:shd w:val="clear" w:color="auto" w:fill="EDECF3"/>
          </w:tcPr>
          <w:p>
            <w:pPr>
              <w:pStyle w:val="TableParagraph"/>
              <w:spacing w:before="0"/>
              <w:ind w:left="0"/>
              <w:rPr>
                <w:rFonts w:ascii="Times New Roman"/>
                <w:sz w:val="22"/>
              </w:rPr>
            </w:pPr>
          </w:p>
        </w:tc>
        <w:tc>
          <w:tcPr>
            <w:tcW w:w="1698" w:type="dxa"/>
            <w:tcBorders>
              <w:top w:val="nil"/>
            </w:tcBorders>
            <w:shd w:val="clear" w:color="auto" w:fill="EDECF3"/>
          </w:tcPr>
          <w:p>
            <w:pPr>
              <w:pStyle w:val="TableParagraph"/>
              <w:spacing w:before="0"/>
              <w:ind w:left="0"/>
              <w:rPr>
                <w:rFonts w:ascii="Times New Roman"/>
                <w:sz w:val="2"/>
              </w:rPr>
            </w:pPr>
          </w:p>
        </w:tc>
        <w:tc>
          <w:tcPr>
            <w:tcW w:w="1041" w:type="dxa"/>
            <w:tcBorders>
              <w:top w:val="nil"/>
            </w:tcBorders>
            <w:shd w:val="clear" w:color="auto" w:fill="EDECF3"/>
          </w:tcPr>
          <w:p>
            <w:pPr>
              <w:pStyle w:val="TableParagraph"/>
              <w:spacing w:before="0"/>
              <w:ind w:left="0"/>
              <w:rPr>
                <w:rFonts w:ascii="Times New Roman"/>
                <w:sz w:val="2"/>
              </w:rPr>
            </w:pPr>
          </w:p>
        </w:tc>
        <w:tc>
          <w:tcPr>
            <w:tcW w:w="1089" w:type="dxa"/>
            <w:tcBorders>
              <w:top w:val="nil"/>
            </w:tcBorders>
            <w:shd w:val="clear" w:color="auto" w:fill="EDECF3"/>
          </w:tcPr>
          <w:p>
            <w:pPr>
              <w:pStyle w:val="TableParagraph"/>
              <w:spacing w:before="0"/>
              <w:ind w:left="0"/>
              <w:rPr>
                <w:rFonts w:ascii="Times New Roman"/>
                <w:sz w:val="2"/>
              </w:rPr>
            </w:pPr>
          </w:p>
        </w:tc>
        <w:tc>
          <w:tcPr>
            <w:tcW w:w="2178" w:type="dxa"/>
            <w:tcBorders>
              <w:top w:val="nil"/>
            </w:tcBorders>
            <w:shd w:val="clear" w:color="auto" w:fill="EDECF3"/>
          </w:tcPr>
          <w:p>
            <w:pPr>
              <w:pStyle w:val="TableParagraph"/>
              <w:spacing w:before="0"/>
              <w:ind w:left="0"/>
              <w:rPr>
                <w:rFonts w:ascii="Times New Roman"/>
                <w:sz w:val="2"/>
              </w:rPr>
            </w:pPr>
          </w:p>
        </w:tc>
        <w:tc>
          <w:tcPr>
            <w:tcW w:w="2554" w:type="dxa"/>
            <w:vMerge w:val="restart"/>
            <w:tcBorders>
              <w:top w:val="nil"/>
              <w:bottom w:val="nil"/>
              <w:right w:val="nil"/>
            </w:tcBorders>
            <w:shd w:val="clear" w:color="auto" w:fill="EDECF3"/>
          </w:tcPr>
          <w:p>
            <w:pPr>
              <w:pStyle w:val="TableParagraph"/>
              <w:spacing w:line="307" w:lineRule="auto" w:before="34"/>
              <w:rPr>
                <w:sz w:val="21"/>
              </w:rPr>
            </w:pPr>
            <w:r>
              <w:rPr>
                <w:w w:val="105"/>
                <w:sz w:val="21"/>
              </w:rPr>
              <w:t>cálcio na </w:t>
            </w:r>
            <w:r>
              <w:rPr>
                <w:w w:val="105"/>
                <w:sz w:val="21"/>
              </w:rPr>
              <w:t>musculatura vascular lisa e no</w:t>
            </w:r>
          </w:p>
        </w:tc>
      </w:tr>
      <w:tr>
        <w:trPr>
          <w:trHeight w:val="689" w:hRule="atLeast"/>
        </w:trPr>
        <w:tc>
          <w:tcPr>
            <w:tcW w:w="2058" w:type="dxa"/>
            <w:vMerge/>
            <w:tcBorders>
              <w:top w:val="nil"/>
              <w:left w:val="nil"/>
              <w:bottom w:val="nil"/>
            </w:tcBorders>
            <w:shd w:val="clear" w:color="auto" w:fill="EDECF3"/>
          </w:tcPr>
          <w:p>
            <w:pPr>
              <w:rPr>
                <w:sz w:val="2"/>
                <w:szCs w:val="2"/>
              </w:rPr>
            </w:pPr>
          </w:p>
        </w:tc>
        <w:tc>
          <w:tcPr>
            <w:tcW w:w="1698" w:type="dxa"/>
            <w:tcBorders>
              <w:bottom w:val="nil"/>
            </w:tcBorders>
            <w:shd w:val="clear" w:color="auto" w:fill="EDECF3"/>
          </w:tcPr>
          <w:p>
            <w:pPr>
              <w:pStyle w:val="TableParagraph"/>
              <w:spacing w:line="300" w:lineRule="atLeast" w:before="30"/>
              <w:rPr>
                <w:sz w:val="21"/>
              </w:rPr>
            </w:pPr>
            <w:r>
              <w:rPr>
                <w:spacing w:val="-2"/>
                <w:sz w:val="21"/>
              </w:rPr>
              <w:t>Verapamil </w:t>
            </w:r>
            <w:r>
              <w:rPr>
                <w:spacing w:val="-2"/>
                <w:w w:val="105"/>
                <w:sz w:val="21"/>
              </w:rPr>
              <w:t>Retard*</w:t>
            </w:r>
          </w:p>
        </w:tc>
        <w:tc>
          <w:tcPr>
            <w:tcW w:w="1041" w:type="dxa"/>
            <w:tcBorders>
              <w:bottom w:val="nil"/>
            </w:tcBorders>
            <w:shd w:val="clear" w:color="auto" w:fill="EDECF3"/>
          </w:tcPr>
          <w:p>
            <w:pPr>
              <w:pStyle w:val="TableParagraph"/>
              <w:rPr>
                <w:sz w:val="21"/>
              </w:rPr>
            </w:pPr>
            <w:r>
              <w:rPr>
                <w:spacing w:val="-5"/>
                <w:w w:val="105"/>
                <w:sz w:val="21"/>
              </w:rPr>
              <w:t>120</w:t>
            </w:r>
          </w:p>
        </w:tc>
        <w:tc>
          <w:tcPr>
            <w:tcW w:w="1089" w:type="dxa"/>
            <w:tcBorders>
              <w:bottom w:val="nil"/>
            </w:tcBorders>
            <w:shd w:val="clear" w:color="auto" w:fill="EDECF3"/>
          </w:tcPr>
          <w:p>
            <w:pPr>
              <w:pStyle w:val="TableParagraph"/>
              <w:rPr>
                <w:sz w:val="21"/>
              </w:rPr>
            </w:pPr>
            <w:r>
              <w:rPr>
                <w:spacing w:val="-5"/>
                <w:w w:val="105"/>
                <w:sz w:val="21"/>
              </w:rPr>
              <w:t>480</w:t>
            </w:r>
          </w:p>
        </w:tc>
        <w:tc>
          <w:tcPr>
            <w:tcW w:w="2178" w:type="dxa"/>
            <w:tcBorders>
              <w:bottom w:val="nil"/>
            </w:tcBorders>
            <w:shd w:val="clear" w:color="auto" w:fill="EDECF3"/>
          </w:tcPr>
          <w:p>
            <w:pPr>
              <w:pStyle w:val="TableParagraph"/>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2554" w:type="dxa"/>
            <w:vMerge/>
            <w:tcBorders>
              <w:top w:val="nil"/>
              <w:bottom w:val="nil"/>
              <w:right w:val="nil"/>
            </w:tcBorders>
            <w:shd w:val="clear" w:color="auto" w:fill="EDECF3"/>
          </w:tcPr>
          <w:p>
            <w:pPr>
              <w:rPr>
                <w:sz w:val="2"/>
                <w:szCs w:val="2"/>
              </w:rPr>
            </w:pPr>
          </w:p>
        </w:tc>
      </w:tr>
    </w:tbl>
    <w:p>
      <w:pPr>
        <w:spacing w:after="0"/>
        <w:rPr>
          <w:sz w:val="2"/>
          <w:szCs w:val="2"/>
        </w:rPr>
        <w:sectPr>
          <w:pgSz w:w="11900" w:h="16840"/>
          <w:pgMar w:top="200" w:bottom="0" w:left="566" w:right="141"/>
        </w:sectPr>
      </w:pPr>
    </w:p>
    <w:p>
      <w:pPr>
        <w:pStyle w:val="BodyText"/>
        <w:spacing w:before="2"/>
        <w:ind w:left="0" w:firstLine="0"/>
        <w:jc w:val="left"/>
        <w:rPr>
          <w:rFonts w:ascii="Microsoft Sans Serif"/>
          <w:sz w:val="2"/>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058"/>
        <w:gridCol w:w="1698"/>
        <w:gridCol w:w="1041"/>
        <w:gridCol w:w="1089"/>
        <w:gridCol w:w="2178"/>
        <w:gridCol w:w="2554"/>
      </w:tblGrid>
      <w:tr>
        <w:trPr>
          <w:trHeight w:val="732" w:hRule="atLeast"/>
        </w:trPr>
        <w:tc>
          <w:tcPr>
            <w:tcW w:w="2058" w:type="dxa"/>
            <w:tcBorders>
              <w:left w:val="nil"/>
            </w:tcBorders>
            <w:shd w:val="clear" w:color="auto" w:fill="EDECF3"/>
          </w:tcPr>
          <w:p>
            <w:pPr>
              <w:pStyle w:val="TableParagraph"/>
              <w:spacing w:before="93"/>
              <w:ind w:left="67"/>
              <w:rPr>
                <w:sz w:val="21"/>
              </w:rPr>
            </w:pPr>
            <w:r>
              <w:rPr>
                <w:spacing w:val="-2"/>
                <w:w w:val="105"/>
                <w:sz w:val="21"/>
              </w:rPr>
              <w:t>Benzodiazepínicos</w:t>
            </w:r>
          </w:p>
        </w:tc>
        <w:tc>
          <w:tcPr>
            <w:tcW w:w="1698" w:type="dxa"/>
            <w:shd w:val="clear" w:color="auto" w:fill="EDECF3"/>
          </w:tcPr>
          <w:p>
            <w:pPr>
              <w:pStyle w:val="TableParagraph"/>
              <w:spacing w:line="307" w:lineRule="auto" w:before="93"/>
              <w:ind w:right="161"/>
              <w:rPr>
                <w:sz w:val="21"/>
              </w:rPr>
            </w:pPr>
            <w:r>
              <w:rPr>
                <w:w w:val="105"/>
                <w:sz w:val="21"/>
              </w:rPr>
              <w:t>Diltiazem</w:t>
            </w:r>
            <w:r>
              <w:rPr>
                <w:spacing w:val="-15"/>
                <w:w w:val="105"/>
                <w:sz w:val="21"/>
              </w:rPr>
              <w:t> </w:t>
            </w:r>
            <w:r>
              <w:rPr>
                <w:w w:val="105"/>
                <w:sz w:val="21"/>
              </w:rPr>
              <w:t>SR ou CD*</w:t>
            </w:r>
          </w:p>
        </w:tc>
        <w:tc>
          <w:tcPr>
            <w:tcW w:w="1041" w:type="dxa"/>
            <w:shd w:val="clear" w:color="auto" w:fill="EDECF3"/>
          </w:tcPr>
          <w:p>
            <w:pPr>
              <w:pStyle w:val="TableParagraph"/>
              <w:spacing w:before="93"/>
              <w:rPr>
                <w:sz w:val="21"/>
              </w:rPr>
            </w:pPr>
            <w:r>
              <w:rPr>
                <w:spacing w:val="-5"/>
                <w:w w:val="105"/>
                <w:sz w:val="21"/>
              </w:rPr>
              <w:t>120</w:t>
            </w:r>
          </w:p>
        </w:tc>
        <w:tc>
          <w:tcPr>
            <w:tcW w:w="1089" w:type="dxa"/>
            <w:shd w:val="clear" w:color="auto" w:fill="EDECF3"/>
          </w:tcPr>
          <w:p>
            <w:pPr>
              <w:pStyle w:val="TableParagraph"/>
              <w:spacing w:before="93"/>
              <w:rPr>
                <w:sz w:val="21"/>
              </w:rPr>
            </w:pPr>
            <w:r>
              <w:rPr>
                <w:spacing w:val="-5"/>
                <w:w w:val="105"/>
                <w:sz w:val="21"/>
              </w:rPr>
              <w:t>360</w:t>
            </w:r>
          </w:p>
        </w:tc>
        <w:tc>
          <w:tcPr>
            <w:tcW w:w="2178" w:type="dxa"/>
            <w:shd w:val="clear" w:color="auto" w:fill="EDECF3"/>
          </w:tcPr>
          <w:p>
            <w:pPr>
              <w:pStyle w:val="TableParagraph"/>
              <w:spacing w:before="93"/>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2554" w:type="dxa"/>
            <w:vMerge w:val="restart"/>
            <w:tcBorders>
              <w:top w:val="nil"/>
              <w:bottom w:val="nil"/>
              <w:right w:val="nil"/>
            </w:tcBorders>
            <w:shd w:val="clear" w:color="auto" w:fill="EDECF3"/>
          </w:tcPr>
          <w:p>
            <w:pPr>
              <w:pStyle w:val="TableParagraph"/>
              <w:spacing w:line="194" w:lineRule="exact" w:before="0"/>
              <w:rPr>
                <w:sz w:val="21"/>
              </w:rPr>
            </w:pPr>
            <w:r>
              <w:rPr>
                <w:w w:val="105"/>
                <w:sz w:val="21"/>
              </w:rPr>
              <w:t>miocárdio.</w:t>
            </w:r>
            <w:r>
              <w:rPr>
                <w:spacing w:val="16"/>
                <w:w w:val="105"/>
                <w:sz w:val="21"/>
              </w:rPr>
              <w:t> </w:t>
            </w:r>
            <w:r>
              <w:rPr>
                <w:spacing w:val="-2"/>
                <w:w w:val="105"/>
                <w:sz w:val="21"/>
              </w:rPr>
              <w:t>Diferenças</w:t>
            </w:r>
          </w:p>
          <w:p>
            <w:pPr>
              <w:pStyle w:val="TableParagraph"/>
              <w:spacing w:line="307" w:lineRule="auto" w:before="60"/>
              <w:ind w:right="188"/>
              <w:rPr>
                <w:sz w:val="21"/>
              </w:rPr>
            </w:pPr>
            <w:r>
              <w:rPr>
                <w:w w:val="105"/>
                <w:sz w:val="21"/>
              </w:rPr>
              <w:t>entre as classes são refletidas por</w:t>
            </w:r>
            <w:r>
              <w:rPr>
                <w:spacing w:val="40"/>
                <w:w w:val="105"/>
                <w:sz w:val="21"/>
              </w:rPr>
              <w:t> </w:t>
            </w:r>
            <w:r>
              <w:rPr>
                <w:w w:val="105"/>
                <w:sz w:val="21"/>
              </w:rPr>
              <w:t>diferentes locais de ligação nos canais de cálcio e pela maior seletividade vascular </w:t>
            </w:r>
            <w:r>
              <w:rPr>
                <w:sz w:val="21"/>
              </w:rPr>
              <w:t>pelas di-hidropiridinas. </w:t>
            </w:r>
            <w:r>
              <w:rPr>
                <w:w w:val="105"/>
                <w:sz w:val="21"/>
              </w:rPr>
              <w:t>Os agentes não di-</w:t>
            </w:r>
            <w:r>
              <w:rPr>
                <w:spacing w:val="-2"/>
                <w:w w:val="105"/>
                <w:sz w:val="21"/>
              </w:rPr>
              <w:t>hidropiridinas </w:t>
            </w:r>
            <w:r>
              <w:rPr>
                <w:w w:val="105"/>
                <w:sz w:val="21"/>
              </w:rPr>
              <w:t>(fenilalquilaminas e </w:t>
            </w:r>
            <w:r>
              <w:rPr>
                <w:spacing w:val="-2"/>
                <w:w w:val="105"/>
                <w:sz w:val="21"/>
              </w:rPr>
              <w:t>benzodiazepíncos) </w:t>
            </w:r>
            <w:r>
              <w:rPr>
                <w:w w:val="105"/>
                <w:sz w:val="21"/>
              </w:rPr>
              <w:t>promovem inibição </w:t>
            </w:r>
            <w:r>
              <w:rPr>
                <w:spacing w:val="-2"/>
                <w:w w:val="105"/>
                <w:sz w:val="21"/>
              </w:rPr>
              <w:t>nodal</w:t>
            </w:r>
          </w:p>
        </w:tc>
      </w:tr>
      <w:tr>
        <w:trPr>
          <w:trHeight w:val="428" w:hRule="atLeast"/>
        </w:trPr>
        <w:tc>
          <w:tcPr>
            <w:tcW w:w="2058" w:type="dxa"/>
            <w:vMerge w:val="restart"/>
            <w:tcBorders>
              <w:left w:val="nil"/>
              <w:bottom w:val="nil"/>
            </w:tcBorders>
            <w:shd w:val="clear" w:color="auto" w:fill="EDECF3"/>
          </w:tcPr>
          <w:p>
            <w:pPr>
              <w:pStyle w:val="TableParagraph"/>
              <w:spacing w:before="93"/>
              <w:ind w:left="67"/>
              <w:rPr>
                <w:sz w:val="21"/>
              </w:rPr>
            </w:pPr>
            <w:r>
              <w:rPr>
                <w:sz w:val="21"/>
              </w:rPr>
              <w:t>Di-</w:t>
            </w:r>
            <w:r>
              <w:rPr>
                <w:spacing w:val="-2"/>
                <w:sz w:val="21"/>
              </w:rPr>
              <w:t>hidropiridinas</w:t>
            </w:r>
          </w:p>
        </w:tc>
        <w:tc>
          <w:tcPr>
            <w:tcW w:w="1698" w:type="dxa"/>
            <w:shd w:val="clear" w:color="auto" w:fill="EDECF3"/>
          </w:tcPr>
          <w:p>
            <w:pPr>
              <w:pStyle w:val="TableParagraph"/>
              <w:spacing w:before="93"/>
              <w:ind w:left="66"/>
              <w:rPr>
                <w:sz w:val="21"/>
              </w:rPr>
            </w:pPr>
            <w:r>
              <w:rPr>
                <w:spacing w:val="-2"/>
                <w:sz w:val="21"/>
              </w:rPr>
              <w:t>Anlodipino</w:t>
            </w:r>
          </w:p>
        </w:tc>
        <w:tc>
          <w:tcPr>
            <w:tcW w:w="1041" w:type="dxa"/>
            <w:shd w:val="clear" w:color="auto" w:fill="EDECF3"/>
          </w:tcPr>
          <w:p>
            <w:pPr>
              <w:pStyle w:val="TableParagraph"/>
              <w:spacing w:before="93"/>
              <w:ind w:left="66"/>
              <w:rPr>
                <w:sz w:val="21"/>
              </w:rPr>
            </w:pPr>
            <w:r>
              <w:rPr>
                <w:spacing w:val="-5"/>
                <w:w w:val="105"/>
                <w:sz w:val="21"/>
              </w:rPr>
              <w:t>2,5</w:t>
            </w:r>
          </w:p>
        </w:tc>
        <w:tc>
          <w:tcPr>
            <w:tcW w:w="1089" w:type="dxa"/>
            <w:shd w:val="clear" w:color="auto" w:fill="EDECF3"/>
          </w:tcPr>
          <w:p>
            <w:pPr>
              <w:pStyle w:val="TableParagraph"/>
              <w:spacing w:before="93"/>
              <w:ind w:left="66"/>
              <w:rPr>
                <w:sz w:val="21"/>
              </w:rPr>
            </w:pPr>
            <w:r>
              <w:rPr>
                <w:spacing w:val="-5"/>
                <w:w w:val="105"/>
                <w:sz w:val="21"/>
              </w:rPr>
              <w:t>10</w:t>
            </w:r>
          </w:p>
        </w:tc>
        <w:tc>
          <w:tcPr>
            <w:tcW w:w="2178" w:type="dxa"/>
            <w:shd w:val="clear" w:color="auto" w:fill="EDECF3"/>
          </w:tcPr>
          <w:p>
            <w:pPr>
              <w:pStyle w:val="TableParagraph"/>
              <w:spacing w:before="93"/>
              <w:ind w:left="66"/>
              <w:rPr>
                <w:sz w:val="21"/>
              </w:rPr>
            </w:pPr>
            <w:r>
              <w:rPr>
                <w:spacing w:val="-10"/>
                <w:w w:val="105"/>
                <w:sz w:val="21"/>
              </w:rPr>
              <w:t>1</w:t>
            </w:r>
          </w:p>
        </w:tc>
        <w:tc>
          <w:tcPr>
            <w:tcW w:w="2554" w:type="dxa"/>
            <w:vMerge/>
            <w:tcBorders>
              <w:top w:val="nil"/>
              <w:bottom w:val="nil"/>
              <w:right w:val="nil"/>
            </w:tcBorders>
            <w:shd w:val="clear" w:color="auto" w:fill="EDECF3"/>
          </w:tcPr>
          <w:p>
            <w:pPr>
              <w:rPr>
                <w:sz w:val="2"/>
                <w:szCs w:val="2"/>
              </w:rPr>
            </w:pPr>
          </w:p>
        </w:tc>
      </w:tr>
      <w:tr>
        <w:trPr>
          <w:trHeight w:val="428"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before="93"/>
              <w:rPr>
                <w:sz w:val="21"/>
              </w:rPr>
            </w:pPr>
            <w:r>
              <w:rPr>
                <w:spacing w:val="-2"/>
                <w:sz w:val="21"/>
              </w:rPr>
              <w:t>Felodipino</w:t>
            </w:r>
          </w:p>
        </w:tc>
        <w:tc>
          <w:tcPr>
            <w:tcW w:w="1041" w:type="dxa"/>
            <w:shd w:val="clear" w:color="auto" w:fill="EDECF3"/>
          </w:tcPr>
          <w:p>
            <w:pPr>
              <w:pStyle w:val="TableParagraph"/>
              <w:spacing w:before="93"/>
              <w:rPr>
                <w:sz w:val="21"/>
              </w:rPr>
            </w:pPr>
            <w:r>
              <w:rPr>
                <w:spacing w:val="-10"/>
                <w:w w:val="105"/>
                <w:sz w:val="21"/>
              </w:rPr>
              <w:t>5</w:t>
            </w:r>
          </w:p>
        </w:tc>
        <w:tc>
          <w:tcPr>
            <w:tcW w:w="1089" w:type="dxa"/>
            <w:shd w:val="clear" w:color="auto" w:fill="EDECF3"/>
          </w:tcPr>
          <w:p>
            <w:pPr>
              <w:pStyle w:val="TableParagraph"/>
              <w:spacing w:before="93"/>
              <w:rPr>
                <w:sz w:val="21"/>
              </w:rPr>
            </w:pPr>
            <w:r>
              <w:rPr>
                <w:spacing w:val="-5"/>
                <w:w w:val="105"/>
                <w:sz w:val="21"/>
              </w:rPr>
              <w:t>20</w:t>
            </w:r>
          </w:p>
        </w:tc>
        <w:tc>
          <w:tcPr>
            <w:tcW w:w="2178" w:type="dxa"/>
            <w:shd w:val="clear" w:color="auto" w:fill="EDECF3"/>
          </w:tcPr>
          <w:p>
            <w:pPr>
              <w:pStyle w:val="TableParagraph"/>
              <w:spacing w:before="93"/>
              <w:ind w:left="66"/>
              <w:rPr>
                <w:sz w:val="21"/>
              </w:rPr>
            </w:pPr>
            <w:r>
              <w:rPr>
                <w:spacing w:val="-10"/>
                <w:w w:val="105"/>
                <w:sz w:val="21"/>
              </w:rPr>
              <w:t>1</w:t>
            </w:r>
          </w:p>
        </w:tc>
        <w:tc>
          <w:tcPr>
            <w:tcW w:w="2554" w:type="dxa"/>
            <w:vMerge/>
            <w:tcBorders>
              <w:top w:val="nil"/>
              <w:bottom w:val="nil"/>
              <w:right w:val="nil"/>
            </w:tcBorders>
            <w:shd w:val="clear" w:color="auto" w:fill="EDECF3"/>
          </w:tcPr>
          <w:p>
            <w:pPr>
              <w:rPr>
                <w:sz w:val="2"/>
                <w:szCs w:val="2"/>
              </w:rPr>
            </w:pPr>
          </w:p>
        </w:tc>
      </w:tr>
      <w:tr>
        <w:trPr>
          <w:trHeight w:val="428"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before="93"/>
              <w:rPr>
                <w:sz w:val="21"/>
              </w:rPr>
            </w:pPr>
            <w:r>
              <w:rPr>
                <w:spacing w:val="-2"/>
                <w:w w:val="105"/>
                <w:sz w:val="21"/>
              </w:rPr>
              <w:t>Isradipino</w:t>
            </w:r>
          </w:p>
        </w:tc>
        <w:tc>
          <w:tcPr>
            <w:tcW w:w="1041" w:type="dxa"/>
            <w:shd w:val="clear" w:color="auto" w:fill="EDECF3"/>
          </w:tcPr>
          <w:p>
            <w:pPr>
              <w:pStyle w:val="TableParagraph"/>
              <w:spacing w:before="93"/>
              <w:rPr>
                <w:sz w:val="21"/>
              </w:rPr>
            </w:pPr>
            <w:r>
              <w:rPr>
                <w:spacing w:val="-5"/>
                <w:w w:val="105"/>
                <w:sz w:val="21"/>
              </w:rPr>
              <w:t>2,5</w:t>
            </w:r>
          </w:p>
        </w:tc>
        <w:tc>
          <w:tcPr>
            <w:tcW w:w="1089" w:type="dxa"/>
            <w:shd w:val="clear" w:color="auto" w:fill="EDECF3"/>
          </w:tcPr>
          <w:p>
            <w:pPr>
              <w:pStyle w:val="TableParagraph"/>
              <w:spacing w:before="93"/>
              <w:rPr>
                <w:sz w:val="21"/>
              </w:rPr>
            </w:pPr>
            <w:r>
              <w:rPr>
                <w:spacing w:val="-5"/>
                <w:w w:val="105"/>
                <w:sz w:val="21"/>
              </w:rPr>
              <w:t>10</w:t>
            </w:r>
          </w:p>
        </w:tc>
        <w:tc>
          <w:tcPr>
            <w:tcW w:w="2178" w:type="dxa"/>
            <w:shd w:val="clear" w:color="auto" w:fill="EDECF3"/>
          </w:tcPr>
          <w:p>
            <w:pPr>
              <w:pStyle w:val="TableParagraph"/>
              <w:spacing w:before="93"/>
              <w:ind w:left="66"/>
              <w:rPr>
                <w:sz w:val="21"/>
              </w:rPr>
            </w:pPr>
            <w:r>
              <w:rPr>
                <w:spacing w:val="-10"/>
                <w:w w:val="105"/>
                <w:sz w:val="21"/>
              </w:rPr>
              <w:t>2</w:t>
            </w:r>
          </w:p>
        </w:tc>
        <w:tc>
          <w:tcPr>
            <w:tcW w:w="2554" w:type="dxa"/>
            <w:vMerge/>
            <w:tcBorders>
              <w:top w:val="nil"/>
              <w:bottom w:val="nil"/>
              <w:right w:val="nil"/>
            </w:tcBorders>
            <w:shd w:val="clear" w:color="auto" w:fill="EDECF3"/>
          </w:tcPr>
          <w:p>
            <w:pPr>
              <w:rPr>
                <w:sz w:val="2"/>
                <w:szCs w:val="2"/>
              </w:rPr>
            </w:pPr>
          </w:p>
        </w:tc>
      </w:tr>
      <w:tr>
        <w:trPr>
          <w:trHeight w:val="428"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before="93"/>
              <w:rPr>
                <w:sz w:val="21"/>
              </w:rPr>
            </w:pPr>
            <w:r>
              <w:rPr>
                <w:spacing w:val="-2"/>
                <w:sz w:val="21"/>
              </w:rPr>
              <w:t>Lacidipino</w:t>
            </w:r>
          </w:p>
        </w:tc>
        <w:tc>
          <w:tcPr>
            <w:tcW w:w="1041" w:type="dxa"/>
            <w:shd w:val="clear" w:color="auto" w:fill="EDECF3"/>
          </w:tcPr>
          <w:p>
            <w:pPr>
              <w:pStyle w:val="TableParagraph"/>
              <w:spacing w:before="93"/>
              <w:rPr>
                <w:sz w:val="21"/>
              </w:rPr>
            </w:pPr>
            <w:r>
              <w:rPr>
                <w:spacing w:val="-10"/>
                <w:w w:val="105"/>
                <w:sz w:val="21"/>
              </w:rPr>
              <w:t>4</w:t>
            </w:r>
          </w:p>
        </w:tc>
        <w:tc>
          <w:tcPr>
            <w:tcW w:w="1089" w:type="dxa"/>
            <w:shd w:val="clear" w:color="auto" w:fill="EDECF3"/>
          </w:tcPr>
          <w:p>
            <w:pPr>
              <w:pStyle w:val="TableParagraph"/>
              <w:spacing w:before="93"/>
              <w:rPr>
                <w:sz w:val="21"/>
              </w:rPr>
            </w:pPr>
            <w:r>
              <w:rPr>
                <w:spacing w:val="-10"/>
                <w:w w:val="105"/>
                <w:sz w:val="21"/>
              </w:rPr>
              <w:t>8</w:t>
            </w:r>
          </w:p>
        </w:tc>
        <w:tc>
          <w:tcPr>
            <w:tcW w:w="2178" w:type="dxa"/>
            <w:shd w:val="clear" w:color="auto" w:fill="EDECF3"/>
          </w:tcPr>
          <w:p>
            <w:pPr>
              <w:pStyle w:val="TableParagraph"/>
              <w:spacing w:before="93"/>
              <w:ind w:left="66"/>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2554" w:type="dxa"/>
            <w:vMerge/>
            <w:tcBorders>
              <w:top w:val="nil"/>
              <w:bottom w:val="nil"/>
              <w:right w:val="nil"/>
            </w:tcBorders>
            <w:shd w:val="clear" w:color="auto" w:fill="EDECF3"/>
          </w:tcPr>
          <w:p>
            <w:pPr>
              <w:rPr>
                <w:sz w:val="2"/>
                <w:szCs w:val="2"/>
              </w:rPr>
            </w:pPr>
          </w:p>
        </w:tc>
      </w:tr>
      <w:tr>
        <w:trPr>
          <w:trHeight w:val="732"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line="307" w:lineRule="auto" w:before="93"/>
              <w:ind w:right="161"/>
              <w:rPr>
                <w:sz w:val="21"/>
              </w:rPr>
            </w:pPr>
            <w:r>
              <w:rPr>
                <w:spacing w:val="-2"/>
                <w:sz w:val="21"/>
              </w:rPr>
              <w:t>Nifedipino </w:t>
            </w:r>
            <w:r>
              <w:rPr>
                <w:spacing w:val="-2"/>
                <w:w w:val="105"/>
                <w:sz w:val="21"/>
              </w:rPr>
              <w:t>Oros*</w:t>
            </w:r>
          </w:p>
        </w:tc>
        <w:tc>
          <w:tcPr>
            <w:tcW w:w="1041" w:type="dxa"/>
            <w:shd w:val="clear" w:color="auto" w:fill="EDECF3"/>
          </w:tcPr>
          <w:p>
            <w:pPr>
              <w:pStyle w:val="TableParagraph"/>
              <w:spacing w:before="93"/>
              <w:rPr>
                <w:sz w:val="21"/>
              </w:rPr>
            </w:pPr>
            <w:r>
              <w:rPr>
                <w:spacing w:val="-5"/>
                <w:w w:val="105"/>
                <w:sz w:val="21"/>
              </w:rPr>
              <w:t>30</w:t>
            </w:r>
          </w:p>
        </w:tc>
        <w:tc>
          <w:tcPr>
            <w:tcW w:w="1089" w:type="dxa"/>
            <w:shd w:val="clear" w:color="auto" w:fill="EDECF3"/>
          </w:tcPr>
          <w:p>
            <w:pPr>
              <w:pStyle w:val="TableParagraph"/>
              <w:spacing w:before="93"/>
              <w:rPr>
                <w:sz w:val="21"/>
              </w:rPr>
            </w:pPr>
            <w:r>
              <w:rPr>
                <w:spacing w:val="-5"/>
                <w:w w:val="105"/>
                <w:sz w:val="21"/>
              </w:rPr>
              <w:t>60</w:t>
            </w:r>
          </w:p>
        </w:tc>
        <w:tc>
          <w:tcPr>
            <w:tcW w:w="2178" w:type="dxa"/>
            <w:shd w:val="clear" w:color="auto" w:fill="EDECF3"/>
          </w:tcPr>
          <w:p>
            <w:pPr>
              <w:pStyle w:val="TableParagraph"/>
              <w:spacing w:before="93"/>
              <w:rPr>
                <w:sz w:val="21"/>
              </w:rPr>
            </w:pPr>
            <w:r>
              <w:rPr>
                <w:spacing w:val="-10"/>
                <w:w w:val="105"/>
                <w:sz w:val="21"/>
              </w:rPr>
              <w:t>1</w:t>
            </w:r>
          </w:p>
        </w:tc>
        <w:tc>
          <w:tcPr>
            <w:tcW w:w="2554" w:type="dxa"/>
            <w:vMerge/>
            <w:tcBorders>
              <w:top w:val="nil"/>
              <w:bottom w:val="nil"/>
              <w:right w:val="nil"/>
            </w:tcBorders>
            <w:shd w:val="clear" w:color="auto" w:fill="EDECF3"/>
          </w:tcPr>
          <w:p>
            <w:pPr>
              <w:rPr>
                <w:sz w:val="2"/>
                <w:szCs w:val="2"/>
              </w:rPr>
            </w:pPr>
          </w:p>
        </w:tc>
      </w:tr>
      <w:tr>
        <w:trPr>
          <w:trHeight w:val="732"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line="307" w:lineRule="auto" w:before="93"/>
              <w:rPr>
                <w:sz w:val="21"/>
              </w:rPr>
            </w:pPr>
            <w:r>
              <w:rPr>
                <w:spacing w:val="-2"/>
                <w:sz w:val="21"/>
              </w:rPr>
              <w:t>Nifedipino </w:t>
            </w:r>
            <w:r>
              <w:rPr>
                <w:spacing w:val="-2"/>
                <w:w w:val="105"/>
                <w:sz w:val="21"/>
              </w:rPr>
              <w:t>Retard*</w:t>
            </w:r>
          </w:p>
        </w:tc>
        <w:tc>
          <w:tcPr>
            <w:tcW w:w="1041" w:type="dxa"/>
            <w:shd w:val="clear" w:color="auto" w:fill="EDECF3"/>
          </w:tcPr>
          <w:p>
            <w:pPr>
              <w:pStyle w:val="TableParagraph"/>
              <w:spacing w:before="93"/>
              <w:rPr>
                <w:sz w:val="21"/>
              </w:rPr>
            </w:pPr>
            <w:r>
              <w:rPr>
                <w:spacing w:val="-5"/>
                <w:w w:val="105"/>
                <w:sz w:val="21"/>
              </w:rPr>
              <w:t>20</w:t>
            </w:r>
          </w:p>
        </w:tc>
        <w:tc>
          <w:tcPr>
            <w:tcW w:w="1089" w:type="dxa"/>
            <w:shd w:val="clear" w:color="auto" w:fill="EDECF3"/>
          </w:tcPr>
          <w:p>
            <w:pPr>
              <w:pStyle w:val="TableParagraph"/>
              <w:spacing w:before="93"/>
              <w:rPr>
                <w:sz w:val="21"/>
              </w:rPr>
            </w:pPr>
            <w:r>
              <w:rPr>
                <w:spacing w:val="-5"/>
                <w:w w:val="105"/>
                <w:sz w:val="21"/>
              </w:rPr>
              <w:t>40</w:t>
            </w:r>
          </w:p>
        </w:tc>
        <w:tc>
          <w:tcPr>
            <w:tcW w:w="2178" w:type="dxa"/>
            <w:shd w:val="clear" w:color="auto" w:fill="EDECF3"/>
          </w:tcPr>
          <w:p>
            <w:pPr>
              <w:pStyle w:val="TableParagraph"/>
              <w:spacing w:before="93"/>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2554" w:type="dxa"/>
            <w:vMerge/>
            <w:tcBorders>
              <w:top w:val="nil"/>
              <w:bottom w:val="nil"/>
              <w:right w:val="nil"/>
            </w:tcBorders>
            <w:shd w:val="clear" w:color="auto" w:fill="EDECF3"/>
          </w:tcPr>
          <w:p>
            <w:pPr>
              <w:rPr>
                <w:sz w:val="2"/>
                <w:szCs w:val="2"/>
              </w:rPr>
            </w:pPr>
          </w:p>
        </w:tc>
      </w:tr>
      <w:tr>
        <w:trPr>
          <w:trHeight w:val="428"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before="93"/>
              <w:rPr>
                <w:sz w:val="21"/>
              </w:rPr>
            </w:pPr>
            <w:r>
              <w:rPr>
                <w:spacing w:val="-2"/>
                <w:sz w:val="21"/>
              </w:rPr>
              <w:t>Nisoldipino</w:t>
            </w:r>
          </w:p>
        </w:tc>
        <w:tc>
          <w:tcPr>
            <w:tcW w:w="1041" w:type="dxa"/>
            <w:shd w:val="clear" w:color="auto" w:fill="EDECF3"/>
          </w:tcPr>
          <w:p>
            <w:pPr>
              <w:pStyle w:val="TableParagraph"/>
              <w:spacing w:before="93"/>
              <w:rPr>
                <w:sz w:val="21"/>
              </w:rPr>
            </w:pPr>
            <w:r>
              <w:rPr>
                <w:spacing w:val="-5"/>
                <w:w w:val="105"/>
                <w:sz w:val="21"/>
              </w:rPr>
              <w:t>10</w:t>
            </w:r>
          </w:p>
        </w:tc>
        <w:tc>
          <w:tcPr>
            <w:tcW w:w="1089" w:type="dxa"/>
            <w:shd w:val="clear" w:color="auto" w:fill="EDECF3"/>
          </w:tcPr>
          <w:p>
            <w:pPr>
              <w:pStyle w:val="TableParagraph"/>
              <w:spacing w:before="93"/>
              <w:ind w:left="66"/>
              <w:rPr>
                <w:sz w:val="21"/>
              </w:rPr>
            </w:pPr>
            <w:r>
              <w:rPr>
                <w:spacing w:val="-5"/>
                <w:w w:val="105"/>
                <w:sz w:val="21"/>
              </w:rPr>
              <w:t>30</w:t>
            </w:r>
          </w:p>
        </w:tc>
        <w:tc>
          <w:tcPr>
            <w:tcW w:w="2178" w:type="dxa"/>
            <w:shd w:val="clear" w:color="auto" w:fill="EDECF3"/>
          </w:tcPr>
          <w:p>
            <w:pPr>
              <w:pStyle w:val="TableParagraph"/>
              <w:spacing w:before="93"/>
              <w:ind w:left="66"/>
              <w:rPr>
                <w:sz w:val="21"/>
              </w:rPr>
            </w:pPr>
            <w:r>
              <w:rPr>
                <w:spacing w:val="-10"/>
                <w:w w:val="105"/>
                <w:sz w:val="21"/>
              </w:rPr>
              <w:t>1</w:t>
            </w:r>
          </w:p>
        </w:tc>
        <w:tc>
          <w:tcPr>
            <w:tcW w:w="2554" w:type="dxa"/>
            <w:vMerge/>
            <w:tcBorders>
              <w:top w:val="nil"/>
              <w:bottom w:val="nil"/>
              <w:right w:val="nil"/>
            </w:tcBorders>
            <w:shd w:val="clear" w:color="auto" w:fill="EDECF3"/>
          </w:tcPr>
          <w:p>
            <w:pPr>
              <w:rPr>
                <w:sz w:val="2"/>
                <w:szCs w:val="2"/>
              </w:rPr>
            </w:pPr>
          </w:p>
        </w:tc>
      </w:tr>
      <w:tr>
        <w:trPr>
          <w:trHeight w:val="428"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before="93"/>
              <w:rPr>
                <w:sz w:val="21"/>
              </w:rPr>
            </w:pPr>
            <w:r>
              <w:rPr>
                <w:spacing w:val="-2"/>
                <w:w w:val="105"/>
                <w:sz w:val="21"/>
              </w:rPr>
              <w:t>Nitrendipino</w:t>
            </w:r>
          </w:p>
        </w:tc>
        <w:tc>
          <w:tcPr>
            <w:tcW w:w="1041" w:type="dxa"/>
            <w:shd w:val="clear" w:color="auto" w:fill="EDECF3"/>
          </w:tcPr>
          <w:p>
            <w:pPr>
              <w:pStyle w:val="TableParagraph"/>
              <w:spacing w:before="93"/>
              <w:rPr>
                <w:sz w:val="21"/>
              </w:rPr>
            </w:pPr>
            <w:r>
              <w:rPr>
                <w:spacing w:val="-5"/>
                <w:w w:val="105"/>
                <w:sz w:val="21"/>
              </w:rPr>
              <w:t>20</w:t>
            </w:r>
          </w:p>
        </w:tc>
        <w:tc>
          <w:tcPr>
            <w:tcW w:w="1089" w:type="dxa"/>
            <w:shd w:val="clear" w:color="auto" w:fill="EDECF3"/>
          </w:tcPr>
          <w:p>
            <w:pPr>
              <w:pStyle w:val="TableParagraph"/>
              <w:spacing w:before="93"/>
              <w:ind w:left="66"/>
              <w:rPr>
                <w:sz w:val="21"/>
              </w:rPr>
            </w:pPr>
            <w:r>
              <w:rPr>
                <w:spacing w:val="-5"/>
                <w:w w:val="105"/>
                <w:sz w:val="21"/>
              </w:rPr>
              <w:t>40</w:t>
            </w:r>
          </w:p>
        </w:tc>
        <w:tc>
          <w:tcPr>
            <w:tcW w:w="2178" w:type="dxa"/>
            <w:shd w:val="clear" w:color="auto" w:fill="EDECF3"/>
          </w:tcPr>
          <w:p>
            <w:pPr>
              <w:pStyle w:val="TableParagraph"/>
              <w:spacing w:before="93"/>
              <w:ind w:left="66"/>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2554" w:type="dxa"/>
            <w:vMerge/>
            <w:tcBorders>
              <w:top w:val="nil"/>
              <w:bottom w:val="nil"/>
              <w:right w:val="nil"/>
            </w:tcBorders>
            <w:shd w:val="clear" w:color="auto" w:fill="EDECF3"/>
          </w:tcPr>
          <w:p>
            <w:pPr>
              <w:rPr>
                <w:sz w:val="2"/>
                <w:szCs w:val="2"/>
              </w:rPr>
            </w:pPr>
          </w:p>
        </w:tc>
      </w:tr>
      <w:tr>
        <w:trPr>
          <w:trHeight w:val="428"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before="93"/>
              <w:rPr>
                <w:sz w:val="21"/>
              </w:rPr>
            </w:pPr>
            <w:r>
              <w:rPr>
                <w:spacing w:val="-2"/>
                <w:w w:val="105"/>
                <w:sz w:val="21"/>
              </w:rPr>
              <w:t>Lecarnidipina</w:t>
            </w:r>
          </w:p>
        </w:tc>
        <w:tc>
          <w:tcPr>
            <w:tcW w:w="1041" w:type="dxa"/>
            <w:shd w:val="clear" w:color="auto" w:fill="EDECF3"/>
          </w:tcPr>
          <w:p>
            <w:pPr>
              <w:pStyle w:val="TableParagraph"/>
              <w:spacing w:before="93"/>
              <w:rPr>
                <w:sz w:val="21"/>
              </w:rPr>
            </w:pPr>
            <w:r>
              <w:rPr>
                <w:spacing w:val="-5"/>
                <w:w w:val="105"/>
                <w:sz w:val="21"/>
              </w:rPr>
              <w:t>10</w:t>
            </w:r>
          </w:p>
        </w:tc>
        <w:tc>
          <w:tcPr>
            <w:tcW w:w="1089" w:type="dxa"/>
            <w:shd w:val="clear" w:color="auto" w:fill="EDECF3"/>
          </w:tcPr>
          <w:p>
            <w:pPr>
              <w:pStyle w:val="TableParagraph"/>
              <w:spacing w:before="93"/>
              <w:ind w:left="66"/>
              <w:rPr>
                <w:sz w:val="21"/>
              </w:rPr>
            </w:pPr>
            <w:r>
              <w:rPr>
                <w:spacing w:val="-5"/>
                <w:w w:val="105"/>
                <w:sz w:val="21"/>
              </w:rPr>
              <w:t>20</w:t>
            </w:r>
          </w:p>
        </w:tc>
        <w:tc>
          <w:tcPr>
            <w:tcW w:w="2178" w:type="dxa"/>
            <w:shd w:val="clear" w:color="auto" w:fill="EDECF3"/>
          </w:tcPr>
          <w:p>
            <w:pPr>
              <w:pStyle w:val="TableParagraph"/>
              <w:spacing w:before="93"/>
              <w:ind w:left="66"/>
              <w:rPr>
                <w:sz w:val="21"/>
              </w:rPr>
            </w:pPr>
            <w:r>
              <w:rPr>
                <w:spacing w:val="-10"/>
                <w:w w:val="105"/>
                <w:sz w:val="21"/>
              </w:rPr>
              <w:t>1</w:t>
            </w:r>
          </w:p>
        </w:tc>
        <w:tc>
          <w:tcPr>
            <w:tcW w:w="2554" w:type="dxa"/>
            <w:vMerge/>
            <w:tcBorders>
              <w:top w:val="nil"/>
              <w:bottom w:val="nil"/>
              <w:right w:val="nil"/>
            </w:tcBorders>
            <w:shd w:val="clear" w:color="auto" w:fill="EDECF3"/>
          </w:tcPr>
          <w:p>
            <w:pPr>
              <w:rPr>
                <w:sz w:val="2"/>
                <w:szCs w:val="2"/>
              </w:rPr>
            </w:pPr>
          </w:p>
        </w:tc>
      </w:tr>
      <w:tr>
        <w:trPr>
          <w:trHeight w:val="428" w:hRule="atLeast"/>
        </w:trPr>
        <w:tc>
          <w:tcPr>
            <w:tcW w:w="2058" w:type="dxa"/>
            <w:vMerge/>
            <w:tcBorders>
              <w:top w:val="nil"/>
              <w:left w:val="nil"/>
              <w:bottom w:val="nil"/>
            </w:tcBorders>
            <w:shd w:val="clear" w:color="auto" w:fill="EDECF3"/>
          </w:tcPr>
          <w:p>
            <w:pPr>
              <w:rPr>
                <w:sz w:val="2"/>
                <w:szCs w:val="2"/>
              </w:rPr>
            </w:pPr>
          </w:p>
        </w:tc>
        <w:tc>
          <w:tcPr>
            <w:tcW w:w="1698" w:type="dxa"/>
            <w:shd w:val="clear" w:color="auto" w:fill="EDECF3"/>
          </w:tcPr>
          <w:p>
            <w:pPr>
              <w:pStyle w:val="TableParagraph"/>
              <w:spacing w:before="93"/>
              <w:rPr>
                <w:sz w:val="21"/>
              </w:rPr>
            </w:pPr>
            <w:r>
              <w:rPr>
                <w:spacing w:val="-2"/>
                <w:sz w:val="21"/>
              </w:rPr>
              <w:t>Manidipino</w:t>
            </w:r>
          </w:p>
        </w:tc>
        <w:tc>
          <w:tcPr>
            <w:tcW w:w="1041" w:type="dxa"/>
            <w:shd w:val="clear" w:color="auto" w:fill="EDECF3"/>
          </w:tcPr>
          <w:p>
            <w:pPr>
              <w:pStyle w:val="TableParagraph"/>
              <w:spacing w:before="93"/>
              <w:rPr>
                <w:sz w:val="21"/>
              </w:rPr>
            </w:pPr>
            <w:r>
              <w:rPr>
                <w:spacing w:val="-5"/>
                <w:w w:val="105"/>
                <w:sz w:val="21"/>
              </w:rPr>
              <w:t>10</w:t>
            </w:r>
          </w:p>
        </w:tc>
        <w:tc>
          <w:tcPr>
            <w:tcW w:w="1089" w:type="dxa"/>
            <w:shd w:val="clear" w:color="auto" w:fill="EDECF3"/>
          </w:tcPr>
          <w:p>
            <w:pPr>
              <w:pStyle w:val="TableParagraph"/>
              <w:spacing w:before="93"/>
              <w:ind w:left="66"/>
              <w:rPr>
                <w:sz w:val="21"/>
              </w:rPr>
            </w:pPr>
            <w:r>
              <w:rPr>
                <w:spacing w:val="-5"/>
                <w:w w:val="105"/>
                <w:sz w:val="21"/>
              </w:rPr>
              <w:t>20</w:t>
            </w:r>
          </w:p>
        </w:tc>
        <w:tc>
          <w:tcPr>
            <w:tcW w:w="2178" w:type="dxa"/>
            <w:shd w:val="clear" w:color="auto" w:fill="EDECF3"/>
          </w:tcPr>
          <w:p>
            <w:pPr>
              <w:pStyle w:val="TableParagraph"/>
              <w:spacing w:before="93"/>
              <w:ind w:left="66"/>
              <w:rPr>
                <w:sz w:val="21"/>
              </w:rPr>
            </w:pPr>
            <w:r>
              <w:rPr>
                <w:spacing w:val="-10"/>
                <w:w w:val="105"/>
                <w:sz w:val="21"/>
              </w:rPr>
              <w:t>1</w:t>
            </w:r>
          </w:p>
        </w:tc>
        <w:tc>
          <w:tcPr>
            <w:tcW w:w="2554" w:type="dxa"/>
            <w:vMerge/>
            <w:tcBorders>
              <w:top w:val="nil"/>
              <w:bottom w:val="nil"/>
              <w:right w:val="nil"/>
            </w:tcBorders>
            <w:shd w:val="clear" w:color="auto" w:fill="EDECF3"/>
          </w:tcPr>
          <w:p>
            <w:pPr>
              <w:rPr>
                <w:sz w:val="2"/>
                <w:szCs w:val="2"/>
              </w:rPr>
            </w:pPr>
          </w:p>
        </w:tc>
      </w:tr>
      <w:tr>
        <w:trPr>
          <w:trHeight w:val="430" w:hRule="atLeast"/>
        </w:trPr>
        <w:tc>
          <w:tcPr>
            <w:tcW w:w="2058" w:type="dxa"/>
            <w:vMerge/>
            <w:tcBorders>
              <w:top w:val="nil"/>
              <w:left w:val="nil"/>
              <w:bottom w:val="nil"/>
            </w:tcBorders>
            <w:shd w:val="clear" w:color="auto" w:fill="EDECF3"/>
          </w:tcPr>
          <w:p>
            <w:pPr>
              <w:rPr>
                <w:sz w:val="2"/>
                <w:szCs w:val="2"/>
              </w:rPr>
            </w:pPr>
          </w:p>
        </w:tc>
        <w:tc>
          <w:tcPr>
            <w:tcW w:w="1698" w:type="dxa"/>
            <w:tcBorders>
              <w:bottom w:val="nil"/>
            </w:tcBorders>
            <w:shd w:val="clear" w:color="auto" w:fill="EDECF3"/>
          </w:tcPr>
          <w:p>
            <w:pPr>
              <w:pStyle w:val="TableParagraph"/>
              <w:spacing w:before="93"/>
              <w:rPr>
                <w:sz w:val="21"/>
              </w:rPr>
            </w:pPr>
            <w:r>
              <w:rPr>
                <w:spacing w:val="-2"/>
                <w:w w:val="105"/>
                <w:sz w:val="21"/>
              </w:rPr>
              <w:t>Levoanlodipino</w:t>
            </w:r>
          </w:p>
        </w:tc>
        <w:tc>
          <w:tcPr>
            <w:tcW w:w="1041" w:type="dxa"/>
            <w:tcBorders>
              <w:bottom w:val="nil"/>
            </w:tcBorders>
            <w:shd w:val="clear" w:color="auto" w:fill="EDECF3"/>
          </w:tcPr>
          <w:p>
            <w:pPr>
              <w:pStyle w:val="TableParagraph"/>
              <w:spacing w:before="93"/>
              <w:ind w:left="66"/>
              <w:rPr>
                <w:sz w:val="21"/>
              </w:rPr>
            </w:pPr>
            <w:r>
              <w:rPr>
                <w:spacing w:val="-5"/>
                <w:w w:val="105"/>
                <w:sz w:val="21"/>
              </w:rPr>
              <w:t>2,5</w:t>
            </w:r>
          </w:p>
        </w:tc>
        <w:tc>
          <w:tcPr>
            <w:tcW w:w="1089" w:type="dxa"/>
            <w:tcBorders>
              <w:bottom w:val="nil"/>
            </w:tcBorders>
            <w:shd w:val="clear" w:color="auto" w:fill="EDECF3"/>
          </w:tcPr>
          <w:p>
            <w:pPr>
              <w:pStyle w:val="TableParagraph"/>
              <w:spacing w:before="93"/>
              <w:ind w:left="66"/>
              <w:rPr>
                <w:sz w:val="21"/>
              </w:rPr>
            </w:pPr>
            <w:r>
              <w:rPr>
                <w:spacing w:val="-5"/>
                <w:w w:val="105"/>
                <w:sz w:val="21"/>
              </w:rPr>
              <w:t>5,0</w:t>
            </w:r>
          </w:p>
        </w:tc>
        <w:tc>
          <w:tcPr>
            <w:tcW w:w="2178" w:type="dxa"/>
            <w:tcBorders>
              <w:bottom w:val="nil"/>
            </w:tcBorders>
            <w:shd w:val="clear" w:color="auto" w:fill="EDECF3"/>
          </w:tcPr>
          <w:p>
            <w:pPr>
              <w:pStyle w:val="TableParagraph"/>
              <w:spacing w:before="93"/>
              <w:ind w:left="66"/>
              <w:rPr>
                <w:sz w:val="21"/>
              </w:rPr>
            </w:pPr>
            <w:r>
              <w:rPr>
                <w:spacing w:val="-10"/>
                <w:w w:val="105"/>
                <w:sz w:val="21"/>
              </w:rPr>
              <w:t>1</w:t>
            </w:r>
          </w:p>
        </w:tc>
        <w:tc>
          <w:tcPr>
            <w:tcW w:w="2554" w:type="dxa"/>
            <w:vMerge/>
            <w:tcBorders>
              <w:top w:val="nil"/>
              <w:bottom w:val="nil"/>
              <w:right w:val="nil"/>
            </w:tcBorders>
            <w:shd w:val="clear" w:color="auto" w:fill="EDECF3"/>
          </w:tcPr>
          <w:p>
            <w:pPr>
              <w:rPr>
                <w:sz w:val="2"/>
                <w:szCs w:val="2"/>
              </w:rPr>
            </w:pPr>
          </w:p>
        </w:tc>
      </w:tr>
    </w:tbl>
    <w:p>
      <w:pPr>
        <w:spacing w:before="166"/>
        <w:ind w:left="68" w:right="0" w:firstLine="0"/>
        <w:jc w:val="left"/>
        <w:rPr>
          <w:rFonts w:ascii="Microsoft Sans Serif" w:hAnsi="Microsoft Sans Serif"/>
          <w:sz w:val="19"/>
        </w:rPr>
      </w:pPr>
      <w:r>
        <w:rPr>
          <w:rFonts w:ascii="Microsoft Sans Serif" w:hAnsi="Microsoft Sans Serif"/>
          <w:sz w:val="19"/>
        </w:rPr>
        <w:t>*</w:t>
      </w:r>
      <w:r>
        <w:rPr>
          <w:rFonts w:ascii="Microsoft Sans Serif" w:hAnsi="Microsoft Sans Serif"/>
          <w:spacing w:val="17"/>
          <w:sz w:val="19"/>
        </w:rPr>
        <w:t> </w:t>
      </w:r>
      <w:r>
        <w:rPr>
          <w:rFonts w:ascii="Microsoft Sans Serif" w:hAnsi="Microsoft Sans Serif"/>
          <w:sz w:val="19"/>
        </w:rPr>
        <w:t>Refere-se</w:t>
      </w:r>
      <w:r>
        <w:rPr>
          <w:rFonts w:ascii="Microsoft Sans Serif" w:hAnsi="Microsoft Sans Serif"/>
          <w:spacing w:val="17"/>
          <w:sz w:val="19"/>
        </w:rPr>
        <w:t> </w:t>
      </w:r>
      <w:r>
        <w:rPr>
          <w:rFonts w:ascii="Microsoft Sans Serif" w:hAnsi="Microsoft Sans Serif"/>
          <w:sz w:val="19"/>
        </w:rPr>
        <w:t>a</w:t>
      </w:r>
      <w:r>
        <w:rPr>
          <w:rFonts w:ascii="Microsoft Sans Serif" w:hAnsi="Microsoft Sans Serif"/>
          <w:spacing w:val="18"/>
          <w:sz w:val="19"/>
        </w:rPr>
        <w:t> </w:t>
      </w:r>
      <w:r>
        <w:rPr>
          <w:rFonts w:ascii="Microsoft Sans Serif" w:hAnsi="Microsoft Sans Serif"/>
          <w:sz w:val="19"/>
        </w:rPr>
        <w:t>medicamentos</w:t>
      </w:r>
      <w:r>
        <w:rPr>
          <w:rFonts w:ascii="Microsoft Sans Serif" w:hAnsi="Microsoft Sans Serif"/>
          <w:spacing w:val="11"/>
          <w:sz w:val="19"/>
        </w:rPr>
        <w:t> </w:t>
      </w:r>
      <w:r>
        <w:rPr>
          <w:rFonts w:ascii="Microsoft Sans Serif" w:hAnsi="Microsoft Sans Serif"/>
          <w:sz w:val="19"/>
        </w:rPr>
        <w:t>de</w:t>
      </w:r>
      <w:r>
        <w:rPr>
          <w:rFonts w:ascii="Microsoft Sans Serif" w:hAnsi="Microsoft Sans Serif"/>
          <w:spacing w:val="17"/>
          <w:sz w:val="19"/>
        </w:rPr>
        <w:t> </w:t>
      </w:r>
      <w:r>
        <w:rPr>
          <w:rFonts w:ascii="Microsoft Sans Serif" w:hAnsi="Microsoft Sans Serif"/>
          <w:sz w:val="19"/>
        </w:rPr>
        <w:t>preparação</w:t>
      </w:r>
      <w:r>
        <w:rPr>
          <w:rFonts w:ascii="Microsoft Sans Serif" w:hAnsi="Microsoft Sans Serif"/>
          <w:spacing w:val="18"/>
          <w:sz w:val="19"/>
        </w:rPr>
        <w:t> </w:t>
      </w:r>
      <w:r>
        <w:rPr>
          <w:rFonts w:ascii="Microsoft Sans Serif" w:hAnsi="Microsoft Sans Serif"/>
          <w:sz w:val="19"/>
        </w:rPr>
        <w:t>lenta</w:t>
      </w:r>
      <w:r>
        <w:rPr>
          <w:rFonts w:ascii="Microsoft Sans Serif" w:hAnsi="Microsoft Sans Serif"/>
          <w:spacing w:val="17"/>
          <w:sz w:val="19"/>
        </w:rPr>
        <w:t> </w:t>
      </w:r>
      <w:r>
        <w:rPr>
          <w:rFonts w:ascii="Microsoft Sans Serif" w:hAnsi="Microsoft Sans Serif"/>
          <w:sz w:val="19"/>
        </w:rPr>
        <w:t>e</w:t>
      </w:r>
      <w:r>
        <w:rPr>
          <w:rFonts w:ascii="Microsoft Sans Serif" w:hAnsi="Microsoft Sans Serif"/>
          <w:spacing w:val="18"/>
          <w:sz w:val="19"/>
        </w:rPr>
        <w:t> </w:t>
      </w:r>
      <w:r>
        <w:rPr>
          <w:rFonts w:ascii="Microsoft Sans Serif" w:hAnsi="Microsoft Sans Serif"/>
          <w:sz w:val="19"/>
        </w:rPr>
        <w:t>ação</w:t>
      </w:r>
      <w:r>
        <w:rPr>
          <w:rFonts w:ascii="Microsoft Sans Serif" w:hAnsi="Microsoft Sans Serif"/>
          <w:spacing w:val="17"/>
          <w:sz w:val="19"/>
        </w:rPr>
        <w:t> </w:t>
      </w:r>
      <w:r>
        <w:rPr>
          <w:rFonts w:ascii="Microsoft Sans Serif" w:hAnsi="Microsoft Sans Serif"/>
          <w:spacing w:val="-2"/>
          <w:sz w:val="19"/>
        </w:rPr>
        <w:t>prolongada.</w:t>
      </w:r>
    </w:p>
    <w:p>
      <w:pPr>
        <w:pStyle w:val="BodyText"/>
        <w:spacing w:before="154"/>
        <w:ind w:left="0" w:firstLine="0"/>
        <w:jc w:val="left"/>
        <w:rPr>
          <w:rFonts w:ascii="Microsoft Sans Serif"/>
          <w:sz w:val="19"/>
        </w:rPr>
      </w:pPr>
    </w:p>
    <w:p>
      <w:pPr>
        <w:spacing w:before="0"/>
        <w:ind w:left="68" w:right="0" w:firstLine="0"/>
        <w:jc w:val="left"/>
        <w:rPr>
          <w:rFonts w:ascii="Microsoft Sans Serif"/>
          <w:sz w:val="23"/>
        </w:rPr>
      </w:pPr>
      <w:r>
        <w:rPr>
          <w:rFonts w:ascii="Arial"/>
          <w:b/>
          <w:color w:val="242B67"/>
          <w:sz w:val="23"/>
        </w:rPr>
        <w:t>Tabela</w:t>
      </w:r>
      <w:r>
        <w:rPr>
          <w:rFonts w:ascii="Arial"/>
          <w:b/>
          <w:color w:val="242B67"/>
          <w:spacing w:val="-3"/>
          <w:sz w:val="23"/>
        </w:rPr>
        <w:t> </w:t>
      </w:r>
      <w:r>
        <w:rPr>
          <w:rFonts w:ascii="Arial"/>
          <w:b/>
          <w:color w:val="242B67"/>
          <w:sz w:val="23"/>
        </w:rPr>
        <w:t>57.11</w:t>
      </w:r>
      <w:r>
        <w:rPr>
          <w:rFonts w:ascii="Arial"/>
          <w:b/>
          <w:color w:val="242B67"/>
          <w:spacing w:val="-5"/>
          <w:sz w:val="23"/>
        </w:rPr>
        <w:t> </w:t>
      </w:r>
      <w:r>
        <w:rPr>
          <w:rFonts w:ascii="Microsoft Sans Serif"/>
          <w:sz w:val="23"/>
        </w:rPr>
        <w:t>Inibidores</w:t>
      </w:r>
      <w:r>
        <w:rPr>
          <w:rFonts w:ascii="Microsoft Sans Serif"/>
          <w:spacing w:val="-3"/>
          <w:sz w:val="23"/>
        </w:rPr>
        <w:t> </w:t>
      </w:r>
      <w:r>
        <w:rPr>
          <w:rFonts w:ascii="Microsoft Sans Serif"/>
          <w:sz w:val="23"/>
        </w:rPr>
        <w:t>da</w:t>
      </w:r>
      <w:r>
        <w:rPr>
          <w:rFonts w:ascii="Microsoft Sans Serif"/>
          <w:spacing w:val="-1"/>
          <w:sz w:val="23"/>
        </w:rPr>
        <w:t> </w:t>
      </w:r>
      <w:r>
        <w:rPr>
          <w:rFonts w:ascii="Microsoft Sans Serif"/>
          <w:sz w:val="23"/>
        </w:rPr>
        <w:t>enzima</w:t>
      </w:r>
      <w:r>
        <w:rPr>
          <w:rFonts w:ascii="Microsoft Sans Serif"/>
          <w:spacing w:val="-1"/>
          <w:sz w:val="23"/>
        </w:rPr>
        <w:t> </w:t>
      </w:r>
      <w:r>
        <w:rPr>
          <w:rFonts w:ascii="Microsoft Sans Serif"/>
          <w:sz w:val="23"/>
        </w:rPr>
        <w:t>conversora</w:t>
      </w:r>
      <w:r>
        <w:rPr>
          <w:rFonts w:ascii="Microsoft Sans Serif"/>
          <w:spacing w:val="-1"/>
          <w:sz w:val="23"/>
        </w:rPr>
        <w:t> </w:t>
      </w:r>
      <w:r>
        <w:rPr>
          <w:rFonts w:ascii="Microsoft Sans Serif"/>
          <w:sz w:val="23"/>
        </w:rPr>
        <w:t>da </w:t>
      </w:r>
      <w:r>
        <w:rPr>
          <w:rFonts w:ascii="Microsoft Sans Serif"/>
          <w:spacing w:val="-2"/>
          <w:sz w:val="23"/>
        </w:rPr>
        <w:t>angiotensina.</w:t>
      </w:r>
    </w:p>
    <w:p>
      <w:pPr>
        <w:pStyle w:val="BodyText"/>
        <w:spacing w:before="5"/>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690"/>
        <w:gridCol w:w="1458"/>
        <w:gridCol w:w="1490"/>
        <w:gridCol w:w="2179"/>
        <w:gridCol w:w="3805"/>
      </w:tblGrid>
      <w:tr>
        <w:trPr>
          <w:trHeight w:val="1039" w:hRule="atLeast"/>
        </w:trPr>
        <w:tc>
          <w:tcPr>
            <w:tcW w:w="1690" w:type="dxa"/>
            <w:tcBorders>
              <w:top w:val="nil"/>
              <w:left w:val="nil"/>
            </w:tcBorders>
            <w:shd w:val="clear" w:color="auto" w:fill="242B67"/>
          </w:tcPr>
          <w:p>
            <w:pPr>
              <w:pStyle w:val="TableParagraph"/>
              <w:spacing w:before="0"/>
              <w:ind w:left="0"/>
              <w:rPr>
                <w:sz w:val="21"/>
              </w:rPr>
            </w:pPr>
          </w:p>
          <w:p>
            <w:pPr>
              <w:pStyle w:val="TableParagraph"/>
              <w:spacing w:before="225"/>
              <w:ind w:left="0"/>
              <w:rPr>
                <w:sz w:val="21"/>
              </w:rPr>
            </w:pPr>
          </w:p>
          <w:p>
            <w:pPr>
              <w:pStyle w:val="TableParagraph"/>
              <w:spacing w:before="0"/>
              <w:ind w:left="67"/>
              <w:rPr>
                <w:rFonts w:ascii="Arial"/>
                <w:b/>
                <w:sz w:val="21"/>
              </w:rPr>
            </w:pPr>
            <w:r>
              <w:rPr>
                <w:rFonts w:ascii="Arial"/>
                <w:b/>
                <w:color w:val="FFFFFF"/>
                <w:spacing w:val="-2"/>
                <w:w w:val="105"/>
                <w:sz w:val="21"/>
              </w:rPr>
              <w:t>Medicamentos</w:t>
            </w:r>
          </w:p>
        </w:tc>
        <w:tc>
          <w:tcPr>
            <w:tcW w:w="1458" w:type="dxa"/>
            <w:tcBorders>
              <w:top w:val="nil"/>
            </w:tcBorders>
            <w:shd w:val="clear" w:color="auto" w:fill="242B67"/>
          </w:tcPr>
          <w:p>
            <w:pPr>
              <w:pStyle w:val="TableParagraph"/>
              <w:spacing w:line="302" w:lineRule="auto"/>
              <w:ind w:right="208"/>
              <w:rPr>
                <w:rFonts w:ascii="Arial" w:hAnsi="Arial"/>
                <w:b/>
                <w:sz w:val="21"/>
              </w:rPr>
            </w:pPr>
            <w:r>
              <w:rPr>
                <w:rFonts w:ascii="Arial" w:hAnsi="Arial"/>
                <w:b/>
                <w:color w:val="FFFFFF"/>
                <w:spacing w:val="-4"/>
                <w:w w:val="105"/>
                <w:sz w:val="21"/>
              </w:rPr>
              <w:t>Dose </w:t>
            </w:r>
            <w:r>
              <w:rPr>
                <w:rFonts w:ascii="Arial" w:hAnsi="Arial"/>
                <w:b/>
                <w:color w:val="FFFFFF"/>
                <w:spacing w:val="-2"/>
                <w:sz w:val="21"/>
              </w:rPr>
              <w:t>mínima </w:t>
            </w:r>
            <w:r>
              <w:rPr>
                <w:rFonts w:ascii="Arial" w:hAnsi="Arial"/>
                <w:b/>
                <w:color w:val="FFFFFF"/>
                <w:spacing w:val="-4"/>
                <w:w w:val="105"/>
                <w:sz w:val="21"/>
              </w:rPr>
              <w:t>(mg)</w:t>
            </w:r>
          </w:p>
        </w:tc>
        <w:tc>
          <w:tcPr>
            <w:tcW w:w="1490" w:type="dxa"/>
            <w:tcBorders>
              <w:top w:val="nil"/>
            </w:tcBorders>
            <w:shd w:val="clear" w:color="auto" w:fill="242B67"/>
          </w:tcPr>
          <w:p>
            <w:pPr>
              <w:pStyle w:val="TableParagraph"/>
              <w:spacing w:line="302" w:lineRule="auto"/>
              <w:ind w:left="64" w:right="194"/>
              <w:rPr>
                <w:rFonts w:ascii="Arial" w:hAnsi="Arial"/>
                <w:b/>
                <w:sz w:val="21"/>
              </w:rPr>
            </w:pPr>
            <w:r>
              <w:rPr>
                <w:rFonts w:ascii="Arial" w:hAnsi="Arial"/>
                <w:b/>
                <w:color w:val="FFFFFF"/>
                <w:spacing w:val="-4"/>
                <w:w w:val="105"/>
                <w:sz w:val="21"/>
              </w:rPr>
              <w:t>Dose </w:t>
            </w:r>
            <w:r>
              <w:rPr>
                <w:rFonts w:ascii="Arial" w:hAnsi="Arial"/>
                <w:b/>
                <w:color w:val="FFFFFF"/>
                <w:spacing w:val="-2"/>
                <w:sz w:val="21"/>
              </w:rPr>
              <w:t>máxima </w:t>
            </w:r>
            <w:r>
              <w:rPr>
                <w:rFonts w:ascii="Arial" w:hAnsi="Arial"/>
                <w:b/>
                <w:color w:val="FFFFFF"/>
                <w:spacing w:val="-4"/>
                <w:w w:val="105"/>
                <w:sz w:val="21"/>
              </w:rPr>
              <w:t>(mg)</w:t>
            </w:r>
          </w:p>
        </w:tc>
        <w:tc>
          <w:tcPr>
            <w:tcW w:w="2179" w:type="dxa"/>
            <w:tcBorders>
              <w:top w:val="nil"/>
            </w:tcBorders>
            <w:shd w:val="clear" w:color="auto" w:fill="242B67"/>
          </w:tcPr>
          <w:p>
            <w:pPr>
              <w:pStyle w:val="TableParagraph"/>
              <w:spacing w:before="160"/>
              <w:ind w:left="0"/>
              <w:rPr>
                <w:sz w:val="21"/>
              </w:rPr>
            </w:pPr>
          </w:p>
          <w:p>
            <w:pPr>
              <w:pStyle w:val="TableParagraph"/>
              <w:spacing w:line="300" w:lineRule="auto" w:before="0"/>
              <w:ind w:left="64"/>
              <w:rPr>
                <w:rFonts w:ascii="Arial" w:hAnsi="Arial"/>
                <w:b/>
                <w:sz w:val="21"/>
              </w:rPr>
            </w:pPr>
            <w:r>
              <w:rPr>
                <w:rFonts w:ascii="Arial" w:hAnsi="Arial"/>
                <w:b/>
                <w:color w:val="FFFFFF"/>
                <w:w w:val="105"/>
                <w:sz w:val="21"/>
              </w:rPr>
              <w:t>N</w:t>
            </w:r>
            <w:r>
              <w:rPr>
                <w:rFonts w:ascii="Arial" w:hAnsi="Arial"/>
                <w:b/>
                <w:color w:val="FFFFFF"/>
                <w:w w:val="105"/>
                <w:sz w:val="21"/>
                <w:u w:val="single" w:color="FFFFFF"/>
                <w:vertAlign w:val="superscript"/>
              </w:rPr>
              <w:t>o</w:t>
            </w:r>
            <w:r>
              <w:rPr>
                <w:rFonts w:ascii="Arial" w:hAnsi="Arial"/>
                <w:b/>
                <w:color w:val="FFFFFF"/>
                <w:w w:val="105"/>
                <w:sz w:val="21"/>
                <w:vertAlign w:val="baseline"/>
              </w:rPr>
              <w:t> de </w:t>
            </w:r>
            <w:r>
              <w:rPr>
                <w:rFonts w:ascii="Arial" w:hAnsi="Arial"/>
                <w:b/>
                <w:color w:val="FFFFFF"/>
                <w:spacing w:val="-2"/>
                <w:sz w:val="21"/>
                <w:vertAlign w:val="baseline"/>
              </w:rPr>
              <w:t>administrações/dia</w:t>
            </w:r>
          </w:p>
        </w:tc>
        <w:tc>
          <w:tcPr>
            <w:tcW w:w="3805" w:type="dxa"/>
            <w:tcBorders>
              <w:top w:val="nil"/>
              <w:right w:val="nil"/>
            </w:tcBorders>
            <w:shd w:val="clear" w:color="auto" w:fill="242B67"/>
          </w:tcPr>
          <w:p>
            <w:pPr>
              <w:pStyle w:val="TableParagraph"/>
              <w:spacing w:before="0"/>
              <w:ind w:left="0"/>
              <w:rPr>
                <w:sz w:val="21"/>
              </w:rPr>
            </w:pPr>
          </w:p>
          <w:p>
            <w:pPr>
              <w:pStyle w:val="TableParagraph"/>
              <w:spacing w:before="225"/>
              <w:ind w:left="0"/>
              <w:rPr>
                <w:sz w:val="21"/>
              </w:rPr>
            </w:pPr>
          </w:p>
          <w:p>
            <w:pPr>
              <w:pStyle w:val="TableParagraph"/>
              <w:spacing w:before="0"/>
              <w:ind w:left="63"/>
              <w:rPr>
                <w:rFonts w:ascii="Arial" w:hAnsi="Arial"/>
                <w:b/>
                <w:sz w:val="21"/>
              </w:rPr>
            </w:pPr>
            <w:r>
              <w:rPr>
                <w:rFonts w:ascii="Arial" w:hAnsi="Arial"/>
                <w:b/>
                <w:color w:val="FFFFFF"/>
                <w:w w:val="105"/>
                <w:sz w:val="21"/>
              </w:rPr>
              <w:t>Mecanismo</w:t>
            </w:r>
            <w:r>
              <w:rPr>
                <w:rFonts w:ascii="Arial" w:hAnsi="Arial"/>
                <w:b/>
                <w:color w:val="FFFFFF"/>
                <w:spacing w:val="-10"/>
                <w:w w:val="105"/>
                <w:sz w:val="21"/>
              </w:rPr>
              <w:t> </w:t>
            </w:r>
            <w:r>
              <w:rPr>
                <w:rFonts w:ascii="Arial" w:hAnsi="Arial"/>
                <w:b/>
                <w:color w:val="FFFFFF"/>
                <w:w w:val="105"/>
                <w:sz w:val="21"/>
              </w:rPr>
              <w:t>de</w:t>
            </w:r>
            <w:r>
              <w:rPr>
                <w:rFonts w:ascii="Arial" w:hAnsi="Arial"/>
                <w:b/>
                <w:color w:val="FFFFFF"/>
                <w:spacing w:val="1"/>
                <w:w w:val="105"/>
                <w:sz w:val="21"/>
              </w:rPr>
              <w:t> </w:t>
            </w:r>
            <w:r>
              <w:rPr>
                <w:rFonts w:ascii="Arial" w:hAnsi="Arial"/>
                <w:b/>
                <w:color w:val="FFFFFF"/>
                <w:spacing w:val="-4"/>
                <w:w w:val="105"/>
                <w:sz w:val="21"/>
              </w:rPr>
              <w:t>ação</w:t>
            </w: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w w:val="105"/>
                <w:sz w:val="21"/>
              </w:rPr>
              <w:t>Benazepril</w:t>
            </w:r>
          </w:p>
        </w:tc>
        <w:tc>
          <w:tcPr>
            <w:tcW w:w="1458" w:type="dxa"/>
            <w:shd w:val="clear" w:color="auto" w:fill="EDECF3"/>
          </w:tcPr>
          <w:p>
            <w:pPr>
              <w:pStyle w:val="TableParagraph"/>
              <w:spacing w:before="93"/>
              <w:rPr>
                <w:sz w:val="21"/>
              </w:rPr>
            </w:pPr>
            <w:r>
              <w:rPr>
                <w:spacing w:val="-10"/>
                <w:w w:val="105"/>
                <w:sz w:val="21"/>
              </w:rPr>
              <w:t>5</w:t>
            </w:r>
          </w:p>
        </w:tc>
        <w:tc>
          <w:tcPr>
            <w:tcW w:w="1490" w:type="dxa"/>
            <w:shd w:val="clear" w:color="auto" w:fill="EDECF3"/>
          </w:tcPr>
          <w:p>
            <w:pPr>
              <w:pStyle w:val="TableParagraph"/>
              <w:spacing w:before="93"/>
              <w:ind w:left="64"/>
              <w:rPr>
                <w:sz w:val="21"/>
              </w:rPr>
            </w:pPr>
            <w:r>
              <w:rPr>
                <w:spacing w:val="-5"/>
                <w:w w:val="105"/>
                <w:sz w:val="21"/>
              </w:rPr>
              <w:t>20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05" w:type="dxa"/>
            <w:vMerge w:val="restart"/>
            <w:tcBorders>
              <w:bottom w:val="nil"/>
              <w:right w:val="nil"/>
            </w:tcBorders>
            <w:shd w:val="clear" w:color="auto" w:fill="EDECF3"/>
          </w:tcPr>
          <w:p>
            <w:pPr>
              <w:pStyle w:val="TableParagraph"/>
              <w:spacing w:line="307" w:lineRule="auto" w:before="93"/>
              <w:ind w:left="63" w:right="203"/>
              <w:rPr>
                <w:sz w:val="21"/>
              </w:rPr>
            </w:pPr>
            <w:r>
              <w:rPr>
                <w:w w:val="105"/>
                <w:sz w:val="21"/>
              </w:rPr>
              <w:t>Inibição da conversão normal de angiotensina I circulante no potente agente vasoconstritor angiotensina II; redução na secreção de aldosterona; vasodilatação renal; redução da inativação da</w:t>
            </w:r>
            <w:r>
              <w:rPr>
                <w:spacing w:val="40"/>
                <w:w w:val="105"/>
                <w:sz w:val="21"/>
              </w:rPr>
              <w:t> </w:t>
            </w:r>
            <w:r>
              <w:rPr>
                <w:w w:val="105"/>
                <w:sz w:val="21"/>
              </w:rPr>
              <w:t>bradicinina, um potente vasodilatador; inibição local da formação de angiotensina II no tecido vascular e no miocárdio; melhora da resistência à insulina</w:t>
            </w: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w w:val="105"/>
                <w:sz w:val="21"/>
              </w:rPr>
              <w:t>Captopril</w:t>
            </w:r>
          </w:p>
        </w:tc>
        <w:tc>
          <w:tcPr>
            <w:tcW w:w="1458" w:type="dxa"/>
            <w:shd w:val="clear" w:color="auto" w:fill="EDECF3"/>
          </w:tcPr>
          <w:p>
            <w:pPr>
              <w:pStyle w:val="TableParagraph"/>
              <w:spacing w:before="93"/>
              <w:rPr>
                <w:sz w:val="21"/>
              </w:rPr>
            </w:pPr>
            <w:r>
              <w:rPr>
                <w:spacing w:val="-5"/>
                <w:w w:val="105"/>
                <w:sz w:val="21"/>
              </w:rPr>
              <w:t>25</w:t>
            </w:r>
          </w:p>
        </w:tc>
        <w:tc>
          <w:tcPr>
            <w:tcW w:w="1490" w:type="dxa"/>
            <w:shd w:val="clear" w:color="auto" w:fill="EDECF3"/>
          </w:tcPr>
          <w:p>
            <w:pPr>
              <w:pStyle w:val="TableParagraph"/>
              <w:spacing w:before="93"/>
              <w:ind w:left="64"/>
              <w:rPr>
                <w:sz w:val="21"/>
              </w:rPr>
            </w:pPr>
            <w:r>
              <w:rPr>
                <w:spacing w:val="-5"/>
                <w:w w:val="105"/>
                <w:sz w:val="21"/>
              </w:rPr>
              <w:t>150</w:t>
            </w:r>
          </w:p>
        </w:tc>
        <w:tc>
          <w:tcPr>
            <w:tcW w:w="2179" w:type="dxa"/>
            <w:shd w:val="clear" w:color="auto" w:fill="EDECF3"/>
          </w:tcPr>
          <w:p>
            <w:pPr>
              <w:pStyle w:val="TableParagraph"/>
              <w:spacing w:before="93"/>
              <w:ind w:left="64"/>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3805"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Cilazapril</w:t>
            </w:r>
          </w:p>
        </w:tc>
        <w:tc>
          <w:tcPr>
            <w:tcW w:w="1458" w:type="dxa"/>
            <w:shd w:val="clear" w:color="auto" w:fill="EDECF3"/>
          </w:tcPr>
          <w:p>
            <w:pPr>
              <w:pStyle w:val="TableParagraph"/>
              <w:spacing w:before="93"/>
              <w:rPr>
                <w:sz w:val="21"/>
              </w:rPr>
            </w:pPr>
            <w:r>
              <w:rPr>
                <w:spacing w:val="-5"/>
                <w:w w:val="105"/>
                <w:sz w:val="21"/>
              </w:rPr>
              <w:t>2,5</w:t>
            </w:r>
          </w:p>
        </w:tc>
        <w:tc>
          <w:tcPr>
            <w:tcW w:w="1490" w:type="dxa"/>
            <w:shd w:val="clear" w:color="auto" w:fill="EDECF3"/>
          </w:tcPr>
          <w:p>
            <w:pPr>
              <w:pStyle w:val="TableParagraph"/>
              <w:spacing w:before="93"/>
              <w:ind w:left="64"/>
              <w:rPr>
                <w:sz w:val="21"/>
              </w:rPr>
            </w:pPr>
            <w:r>
              <w:rPr>
                <w:spacing w:val="-10"/>
                <w:w w:val="105"/>
                <w:sz w:val="21"/>
              </w:rPr>
              <w:t>5</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05"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Delapril</w:t>
            </w:r>
          </w:p>
        </w:tc>
        <w:tc>
          <w:tcPr>
            <w:tcW w:w="1458" w:type="dxa"/>
            <w:shd w:val="clear" w:color="auto" w:fill="EDECF3"/>
          </w:tcPr>
          <w:p>
            <w:pPr>
              <w:pStyle w:val="TableParagraph"/>
              <w:spacing w:before="93"/>
              <w:rPr>
                <w:sz w:val="21"/>
              </w:rPr>
            </w:pPr>
            <w:r>
              <w:rPr>
                <w:spacing w:val="-5"/>
                <w:w w:val="105"/>
                <w:sz w:val="21"/>
              </w:rPr>
              <w:t>15</w:t>
            </w:r>
          </w:p>
        </w:tc>
        <w:tc>
          <w:tcPr>
            <w:tcW w:w="1490" w:type="dxa"/>
            <w:shd w:val="clear" w:color="auto" w:fill="EDECF3"/>
          </w:tcPr>
          <w:p>
            <w:pPr>
              <w:pStyle w:val="TableParagraph"/>
              <w:spacing w:before="93"/>
              <w:ind w:left="64"/>
              <w:rPr>
                <w:sz w:val="21"/>
              </w:rPr>
            </w:pPr>
            <w:r>
              <w:rPr>
                <w:spacing w:val="-5"/>
                <w:w w:val="105"/>
                <w:sz w:val="21"/>
              </w:rPr>
              <w:t>30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05"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Enalapril</w:t>
            </w:r>
          </w:p>
        </w:tc>
        <w:tc>
          <w:tcPr>
            <w:tcW w:w="1458" w:type="dxa"/>
            <w:shd w:val="clear" w:color="auto" w:fill="EDECF3"/>
          </w:tcPr>
          <w:p>
            <w:pPr>
              <w:pStyle w:val="TableParagraph"/>
              <w:spacing w:before="93"/>
              <w:rPr>
                <w:sz w:val="21"/>
              </w:rPr>
            </w:pPr>
            <w:r>
              <w:rPr>
                <w:spacing w:val="-10"/>
                <w:w w:val="105"/>
                <w:sz w:val="21"/>
              </w:rPr>
              <w:t>5</w:t>
            </w:r>
          </w:p>
        </w:tc>
        <w:tc>
          <w:tcPr>
            <w:tcW w:w="1490" w:type="dxa"/>
            <w:shd w:val="clear" w:color="auto" w:fill="EDECF3"/>
          </w:tcPr>
          <w:p>
            <w:pPr>
              <w:pStyle w:val="TableParagraph"/>
              <w:spacing w:before="93"/>
              <w:ind w:left="64"/>
              <w:rPr>
                <w:sz w:val="21"/>
              </w:rPr>
            </w:pPr>
            <w:r>
              <w:rPr>
                <w:spacing w:val="-5"/>
                <w:w w:val="105"/>
                <w:sz w:val="21"/>
              </w:rPr>
              <w:t>40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05"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Fosinopril</w:t>
            </w:r>
          </w:p>
        </w:tc>
        <w:tc>
          <w:tcPr>
            <w:tcW w:w="1458" w:type="dxa"/>
            <w:shd w:val="clear" w:color="auto" w:fill="EDECF3"/>
          </w:tcPr>
          <w:p>
            <w:pPr>
              <w:pStyle w:val="TableParagraph"/>
              <w:spacing w:before="93"/>
              <w:rPr>
                <w:sz w:val="21"/>
              </w:rPr>
            </w:pPr>
            <w:r>
              <w:rPr>
                <w:spacing w:val="-5"/>
                <w:w w:val="105"/>
                <w:sz w:val="21"/>
              </w:rPr>
              <w:t>10</w:t>
            </w:r>
          </w:p>
        </w:tc>
        <w:tc>
          <w:tcPr>
            <w:tcW w:w="1490" w:type="dxa"/>
            <w:shd w:val="clear" w:color="auto" w:fill="EDECF3"/>
          </w:tcPr>
          <w:p>
            <w:pPr>
              <w:pStyle w:val="TableParagraph"/>
              <w:spacing w:before="93"/>
              <w:ind w:left="64"/>
              <w:rPr>
                <w:sz w:val="21"/>
              </w:rPr>
            </w:pPr>
            <w:r>
              <w:rPr>
                <w:spacing w:val="-5"/>
                <w:w w:val="105"/>
                <w:sz w:val="21"/>
              </w:rPr>
              <w:t>20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05"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Lisinopril</w:t>
            </w:r>
          </w:p>
        </w:tc>
        <w:tc>
          <w:tcPr>
            <w:tcW w:w="1458" w:type="dxa"/>
            <w:shd w:val="clear" w:color="auto" w:fill="EDECF3"/>
          </w:tcPr>
          <w:p>
            <w:pPr>
              <w:pStyle w:val="TableParagraph"/>
              <w:spacing w:before="93"/>
              <w:rPr>
                <w:sz w:val="21"/>
              </w:rPr>
            </w:pPr>
            <w:r>
              <w:rPr>
                <w:spacing w:val="-10"/>
                <w:w w:val="105"/>
                <w:sz w:val="21"/>
              </w:rPr>
              <w:t>5</w:t>
            </w:r>
          </w:p>
        </w:tc>
        <w:tc>
          <w:tcPr>
            <w:tcW w:w="1490" w:type="dxa"/>
            <w:shd w:val="clear" w:color="auto" w:fill="EDECF3"/>
          </w:tcPr>
          <w:p>
            <w:pPr>
              <w:pStyle w:val="TableParagraph"/>
              <w:spacing w:before="93"/>
              <w:ind w:left="64"/>
              <w:rPr>
                <w:sz w:val="21"/>
              </w:rPr>
            </w:pPr>
            <w:r>
              <w:rPr>
                <w:spacing w:val="-5"/>
                <w:w w:val="105"/>
                <w:sz w:val="21"/>
              </w:rPr>
              <w:t>20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05"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Quinapril</w:t>
            </w:r>
          </w:p>
        </w:tc>
        <w:tc>
          <w:tcPr>
            <w:tcW w:w="1458" w:type="dxa"/>
            <w:shd w:val="clear" w:color="auto" w:fill="EDECF3"/>
          </w:tcPr>
          <w:p>
            <w:pPr>
              <w:pStyle w:val="TableParagraph"/>
              <w:spacing w:before="93"/>
              <w:rPr>
                <w:sz w:val="21"/>
              </w:rPr>
            </w:pPr>
            <w:r>
              <w:rPr>
                <w:spacing w:val="-5"/>
                <w:w w:val="105"/>
                <w:sz w:val="21"/>
              </w:rPr>
              <w:t>10</w:t>
            </w:r>
          </w:p>
        </w:tc>
        <w:tc>
          <w:tcPr>
            <w:tcW w:w="1490" w:type="dxa"/>
            <w:shd w:val="clear" w:color="auto" w:fill="EDECF3"/>
          </w:tcPr>
          <w:p>
            <w:pPr>
              <w:pStyle w:val="TableParagraph"/>
              <w:spacing w:before="93"/>
              <w:ind w:left="64"/>
              <w:rPr>
                <w:sz w:val="21"/>
              </w:rPr>
            </w:pPr>
            <w:r>
              <w:rPr>
                <w:spacing w:val="-5"/>
                <w:w w:val="105"/>
                <w:sz w:val="21"/>
              </w:rPr>
              <w:t>20</w:t>
            </w:r>
          </w:p>
        </w:tc>
        <w:tc>
          <w:tcPr>
            <w:tcW w:w="2179" w:type="dxa"/>
            <w:shd w:val="clear" w:color="auto" w:fill="EDECF3"/>
          </w:tcPr>
          <w:p>
            <w:pPr>
              <w:pStyle w:val="TableParagraph"/>
              <w:spacing w:before="93"/>
              <w:ind w:left="64"/>
              <w:rPr>
                <w:sz w:val="21"/>
              </w:rPr>
            </w:pPr>
            <w:r>
              <w:rPr>
                <w:spacing w:val="-10"/>
                <w:w w:val="105"/>
                <w:sz w:val="21"/>
              </w:rPr>
              <w:t>1</w:t>
            </w:r>
          </w:p>
        </w:tc>
        <w:tc>
          <w:tcPr>
            <w:tcW w:w="3805"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Perindopril</w:t>
            </w:r>
          </w:p>
        </w:tc>
        <w:tc>
          <w:tcPr>
            <w:tcW w:w="1458" w:type="dxa"/>
            <w:shd w:val="clear" w:color="auto" w:fill="EDECF3"/>
          </w:tcPr>
          <w:p>
            <w:pPr>
              <w:pStyle w:val="TableParagraph"/>
              <w:spacing w:before="93"/>
              <w:rPr>
                <w:sz w:val="21"/>
              </w:rPr>
            </w:pPr>
            <w:r>
              <w:rPr>
                <w:spacing w:val="-10"/>
                <w:w w:val="105"/>
                <w:sz w:val="21"/>
              </w:rPr>
              <w:t>4</w:t>
            </w:r>
          </w:p>
        </w:tc>
        <w:tc>
          <w:tcPr>
            <w:tcW w:w="1490" w:type="dxa"/>
            <w:shd w:val="clear" w:color="auto" w:fill="EDECF3"/>
          </w:tcPr>
          <w:p>
            <w:pPr>
              <w:pStyle w:val="TableParagraph"/>
              <w:spacing w:before="93"/>
              <w:ind w:left="64"/>
              <w:rPr>
                <w:sz w:val="21"/>
              </w:rPr>
            </w:pPr>
            <w:r>
              <w:rPr>
                <w:spacing w:val="-10"/>
                <w:w w:val="105"/>
                <w:sz w:val="21"/>
              </w:rPr>
              <w:t>8</w:t>
            </w:r>
          </w:p>
        </w:tc>
        <w:tc>
          <w:tcPr>
            <w:tcW w:w="2179" w:type="dxa"/>
            <w:shd w:val="clear" w:color="auto" w:fill="EDECF3"/>
          </w:tcPr>
          <w:p>
            <w:pPr>
              <w:pStyle w:val="TableParagraph"/>
              <w:spacing w:before="93"/>
              <w:ind w:left="64"/>
              <w:rPr>
                <w:sz w:val="21"/>
              </w:rPr>
            </w:pPr>
            <w:r>
              <w:rPr>
                <w:spacing w:val="-10"/>
                <w:w w:val="105"/>
                <w:sz w:val="21"/>
              </w:rPr>
              <w:t>1</w:t>
            </w:r>
          </w:p>
        </w:tc>
        <w:tc>
          <w:tcPr>
            <w:tcW w:w="3805"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Ramipril</w:t>
            </w:r>
          </w:p>
        </w:tc>
        <w:tc>
          <w:tcPr>
            <w:tcW w:w="1458" w:type="dxa"/>
            <w:shd w:val="clear" w:color="auto" w:fill="EDECF3"/>
          </w:tcPr>
          <w:p>
            <w:pPr>
              <w:pStyle w:val="TableParagraph"/>
              <w:spacing w:before="93"/>
              <w:rPr>
                <w:sz w:val="21"/>
              </w:rPr>
            </w:pPr>
            <w:r>
              <w:rPr>
                <w:spacing w:val="-5"/>
                <w:w w:val="105"/>
                <w:sz w:val="21"/>
              </w:rPr>
              <w:t>2,5</w:t>
            </w:r>
          </w:p>
        </w:tc>
        <w:tc>
          <w:tcPr>
            <w:tcW w:w="1490" w:type="dxa"/>
            <w:shd w:val="clear" w:color="auto" w:fill="EDECF3"/>
          </w:tcPr>
          <w:p>
            <w:pPr>
              <w:pStyle w:val="TableParagraph"/>
              <w:spacing w:before="93"/>
              <w:ind w:left="64"/>
              <w:rPr>
                <w:sz w:val="21"/>
              </w:rPr>
            </w:pPr>
            <w:r>
              <w:rPr>
                <w:spacing w:val="-5"/>
                <w:w w:val="105"/>
                <w:sz w:val="21"/>
              </w:rPr>
              <w:t>10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05" w:type="dxa"/>
            <w:vMerge/>
            <w:tcBorders>
              <w:top w:val="nil"/>
              <w:bottom w:val="nil"/>
              <w:right w:val="nil"/>
            </w:tcBorders>
            <w:shd w:val="clear" w:color="auto" w:fill="EDECF3"/>
          </w:tcPr>
          <w:p>
            <w:pPr>
              <w:rPr>
                <w:sz w:val="2"/>
                <w:szCs w:val="2"/>
              </w:rPr>
            </w:pPr>
          </w:p>
        </w:tc>
      </w:tr>
      <w:tr>
        <w:trPr>
          <w:trHeight w:val="430" w:hRule="atLeast"/>
        </w:trPr>
        <w:tc>
          <w:tcPr>
            <w:tcW w:w="1690" w:type="dxa"/>
            <w:tcBorders>
              <w:left w:val="nil"/>
              <w:bottom w:val="nil"/>
            </w:tcBorders>
            <w:shd w:val="clear" w:color="auto" w:fill="EDECF3"/>
          </w:tcPr>
          <w:p>
            <w:pPr>
              <w:pStyle w:val="TableParagraph"/>
              <w:spacing w:before="93"/>
              <w:ind w:left="67"/>
              <w:rPr>
                <w:sz w:val="21"/>
              </w:rPr>
            </w:pPr>
            <w:r>
              <w:rPr>
                <w:spacing w:val="-2"/>
                <w:w w:val="105"/>
                <w:sz w:val="21"/>
              </w:rPr>
              <w:t>Trandolapril</w:t>
            </w:r>
          </w:p>
        </w:tc>
        <w:tc>
          <w:tcPr>
            <w:tcW w:w="1458" w:type="dxa"/>
            <w:tcBorders>
              <w:bottom w:val="nil"/>
            </w:tcBorders>
            <w:shd w:val="clear" w:color="auto" w:fill="EDECF3"/>
          </w:tcPr>
          <w:p>
            <w:pPr>
              <w:pStyle w:val="TableParagraph"/>
              <w:spacing w:before="93"/>
              <w:rPr>
                <w:sz w:val="21"/>
              </w:rPr>
            </w:pPr>
            <w:r>
              <w:rPr>
                <w:spacing w:val="-10"/>
                <w:w w:val="105"/>
                <w:sz w:val="21"/>
              </w:rPr>
              <w:t>2</w:t>
            </w:r>
          </w:p>
        </w:tc>
        <w:tc>
          <w:tcPr>
            <w:tcW w:w="1490" w:type="dxa"/>
            <w:tcBorders>
              <w:bottom w:val="nil"/>
            </w:tcBorders>
            <w:shd w:val="clear" w:color="auto" w:fill="EDECF3"/>
          </w:tcPr>
          <w:p>
            <w:pPr>
              <w:pStyle w:val="TableParagraph"/>
              <w:spacing w:before="93"/>
              <w:ind w:left="64"/>
              <w:rPr>
                <w:sz w:val="21"/>
              </w:rPr>
            </w:pPr>
            <w:r>
              <w:rPr>
                <w:spacing w:val="-10"/>
                <w:w w:val="105"/>
                <w:sz w:val="21"/>
              </w:rPr>
              <w:t>4</w:t>
            </w:r>
          </w:p>
        </w:tc>
        <w:tc>
          <w:tcPr>
            <w:tcW w:w="2179" w:type="dxa"/>
            <w:tcBorders>
              <w:bottom w:val="nil"/>
            </w:tcBorders>
            <w:shd w:val="clear" w:color="auto" w:fill="EDECF3"/>
          </w:tcPr>
          <w:p>
            <w:pPr>
              <w:pStyle w:val="TableParagraph"/>
              <w:spacing w:before="93"/>
              <w:ind w:left="64"/>
              <w:rPr>
                <w:sz w:val="21"/>
              </w:rPr>
            </w:pPr>
            <w:r>
              <w:rPr>
                <w:spacing w:val="-10"/>
                <w:w w:val="105"/>
                <w:sz w:val="21"/>
              </w:rPr>
              <w:t>1</w:t>
            </w:r>
          </w:p>
        </w:tc>
        <w:tc>
          <w:tcPr>
            <w:tcW w:w="3805" w:type="dxa"/>
            <w:vMerge/>
            <w:tcBorders>
              <w:top w:val="nil"/>
              <w:bottom w:val="nil"/>
              <w:right w:val="nil"/>
            </w:tcBorders>
            <w:shd w:val="clear" w:color="auto" w:fill="EDECF3"/>
          </w:tcPr>
          <w:p>
            <w:pPr>
              <w:rPr>
                <w:sz w:val="2"/>
                <w:szCs w:val="2"/>
              </w:rPr>
            </w:pPr>
          </w:p>
        </w:tc>
      </w:tr>
    </w:tbl>
    <w:p>
      <w:pPr>
        <w:pStyle w:val="BodyText"/>
        <w:spacing w:before="122"/>
        <w:ind w:left="0" w:firstLine="0"/>
        <w:jc w:val="left"/>
        <w:rPr>
          <w:rFonts w:ascii="Microsoft Sans Serif"/>
        </w:rPr>
      </w:pPr>
    </w:p>
    <w:p>
      <w:pPr>
        <w:spacing w:before="0"/>
        <w:ind w:left="68" w:right="0" w:firstLine="0"/>
        <w:jc w:val="left"/>
        <w:rPr>
          <w:rFonts w:ascii="Microsoft Sans Serif"/>
          <w:sz w:val="23"/>
        </w:rPr>
      </w:pPr>
      <w:r>
        <w:rPr>
          <w:rFonts w:ascii="Arial"/>
          <w:b/>
          <w:color w:val="242B67"/>
          <w:sz w:val="23"/>
        </w:rPr>
        <w:t>Tabela</w:t>
      </w:r>
      <w:r>
        <w:rPr>
          <w:rFonts w:ascii="Arial"/>
          <w:b/>
          <w:color w:val="242B67"/>
          <w:spacing w:val="-1"/>
          <w:sz w:val="23"/>
        </w:rPr>
        <w:t> </w:t>
      </w:r>
      <w:r>
        <w:rPr>
          <w:rFonts w:ascii="Arial"/>
          <w:b/>
          <w:color w:val="242B67"/>
          <w:sz w:val="23"/>
        </w:rPr>
        <w:t>57.12</w:t>
      </w:r>
      <w:r>
        <w:rPr>
          <w:rFonts w:ascii="Arial"/>
          <w:b/>
          <w:color w:val="242B67"/>
          <w:spacing w:val="-3"/>
          <w:sz w:val="23"/>
        </w:rPr>
        <w:t> </w:t>
      </w:r>
      <w:r>
        <w:rPr>
          <w:rFonts w:ascii="Microsoft Sans Serif"/>
          <w:sz w:val="23"/>
        </w:rPr>
        <w:t>Antagonistas</w:t>
      </w:r>
      <w:r>
        <w:rPr>
          <w:rFonts w:ascii="Microsoft Sans Serif"/>
          <w:spacing w:val="-2"/>
          <w:sz w:val="23"/>
        </w:rPr>
        <w:t> </w:t>
      </w:r>
      <w:r>
        <w:rPr>
          <w:rFonts w:ascii="Microsoft Sans Serif"/>
          <w:sz w:val="23"/>
        </w:rPr>
        <w:t>do</w:t>
      </w:r>
      <w:r>
        <w:rPr>
          <w:rFonts w:ascii="Microsoft Sans Serif"/>
          <w:spacing w:val="2"/>
          <w:sz w:val="23"/>
        </w:rPr>
        <w:t> </w:t>
      </w:r>
      <w:r>
        <w:rPr>
          <w:rFonts w:ascii="Microsoft Sans Serif"/>
          <w:sz w:val="23"/>
        </w:rPr>
        <w:t>receptor</w:t>
      </w:r>
      <w:r>
        <w:rPr>
          <w:rFonts w:ascii="Microsoft Sans Serif"/>
          <w:spacing w:val="5"/>
          <w:sz w:val="23"/>
        </w:rPr>
        <w:t> </w:t>
      </w:r>
      <w:r>
        <w:rPr>
          <w:rFonts w:ascii="Microsoft Sans Serif"/>
          <w:sz w:val="23"/>
        </w:rPr>
        <w:t>AT1</w:t>
      </w:r>
      <w:r>
        <w:rPr>
          <w:rFonts w:ascii="Microsoft Sans Serif"/>
          <w:spacing w:val="1"/>
          <w:sz w:val="23"/>
        </w:rPr>
        <w:t> </w:t>
      </w:r>
      <w:r>
        <w:rPr>
          <w:rFonts w:ascii="Microsoft Sans Serif"/>
          <w:sz w:val="23"/>
        </w:rPr>
        <w:t>da</w:t>
      </w:r>
      <w:r>
        <w:rPr>
          <w:rFonts w:ascii="Microsoft Sans Serif"/>
          <w:spacing w:val="1"/>
          <w:sz w:val="23"/>
        </w:rPr>
        <w:t> </w:t>
      </w:r>
      <w:r>
        <w:rPr>
          <w:rFonts w:ascii="Microsoft Sans Serif"/>
          <w:sz w:val="23"/>
        </w:rPr>
        <w:t>angiotensina</w:t>
      </w:r>
      <w:r>
        <w:rPr>
          <w:rFonts w:ascii="Microsoft Sans Serif"/>
          <w:spacing w:val="2"/>
          <w:sz w:val="23"/>
        </w:rPr>
        <w:t> </w:t>
      </w:r>
      <w:r>
        <w:rPr>
          <w:rFonts w:ascii="Microsoft Sans Serif"/>
          <w:spacing w:val="-5"/>
          <w:sz w:val="23"/>
        </w:rPr>
        <w:t>II.</w:t>
      </w:r>
    </w:p>
    <w:p>
      <w:pPr>
        <w:pStyle w:val="BodyText"/>
        <w:spacing w:before="3" w:after="1"/>
        <w:ind w:left="0" w:firstLine="0"/>
        <w:jc w:val="left"/>
        <w:rPr>
          <w:rFonts w:ascii="Microsoft Sans Serif"/>
          <w:sz w:val="13"/>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690"/>
        <w:gridCol w:w="1474"/>
        <w:gridCol w:w="1490"/>
        <w:gridCol w:w="2179"/>
        <w:gridCol w:w="3789"/>
      </w:tblGrid>
      <w:tr>
        <w:trPr>
          <w:trHeight w:val="1039" w:hRule="atLeast"/>
        </w:trPr>
        <w:tc>
          <w:tcPr>
            <w:tcW w:w="1690" w:type="dxa"/>
            <w:tcBorders>
              <w:top w:val="nil"/>
              <w:left w:val="nil"/>
            </w:tcBorders>
            <w:shd w:val="clear" w:color="auto" w:fill="242B67"/>
          </w:tcPr>
          <w:p>
            <w:pPr>
              <w:pStyle w:val="TableParagraph"/>
              <w:spacing w:before="0"/>
              <w:ind w:left="0"/>
              <w:rPr>
                <w:sz w:val="21"/>
              </w:rPr>
            </w:pPr>
          </w:p>
          <w:p>
            <w:pPr>
              <w:pStyle w:val="TableParagraph"/>
              <w:spacing w:before="225"/>
              <w:ind w:left="0"/>
              <w:rPr>
                <w:sz w:val="21"/>
              </w:rPr>
            </w:pPr>
          </w:p>
          <w:p>
            <w:pPr>
              <w:pStyle w:val="TableParagraph"/>
              <w:spacing w:before="0"/>
              <w:ind w:left="67"/>
              <w:rPr>
                <w:rFonts w:ascii="Arial"/>
                <w:b/>
                <w:sz w:val="21"/>
              </w:rPr>
            </w:pPr>
            <w:r>
              <w:rPr>
                <w:rFonts w:ascii="Arial"/>
                <w:b/>
                <w:color w:val="FFFFFF"/>
                <w:spacing w:val="-2"/>
                <w:w w:val="105"/>
                <w:sz w:val="21"/>
              </w:rPr>
              <w:t>Medicamentos</w:t>
            </w:r>
          </w:p>
        </w:tc>
        <w:tc>
          <w:tcPr>
            <w:tcW w:w="1474" w:type="dxa"/>
            <w:tcBorders>
              <w:top w:val="nil"/>
            </w:tcBorders>
            <w:shd w:val="clear" w:color="auto" w:fill="242B67"/>
          </w:tcPr>
          <w:p>
            <w:pPr>
              <w:pStyle w:val="TableParagraph"/>
              <w:spacing w:before="158"/>
              <w:ind w:left="0"/>
              <w:rPr>
                <w:sz w:val="21"/>
              </w:rPr>
            </w:pPr>
          </w:p>
          <w:p>
            <w:pPr>
              <w:pStyle w:val="TableParagraph"/>
              <w:spacing w:line="302" w:lineRule="auto" w:before="0"/>
              <w:ind w:right="80"/>
              <w:rPr>
                <w:rFonts w:ascii="Arial" w:hAnsi="Arial"/>
                <w:b/>
                <w:sz w:val="21"/>
              </w:rPr>
            </w:pPr>
            <w:r>
              <w:rPr>
                <w:rFonts w:ascii="Arial" w:hAnsi="Arial"/>
                <w:b/>
                <w:color w:val="FFFFFF"/>
                <w:spacing w:val="-4"/>
                <w:w w:val="105"/>
                <w:sz w:val="21"/>
              </w:rPr>
              <w:t>Dose </w:t>
            </w:r>
            <w:r>
              <w:rPr>
                <w:rFonts w:ascii="Arial" w:hAnsi="Arial"/>
                <w:b/>
                <w:color w:val="FFFFFF"/>
                <w:w w:val="105"/>
                <w:sz w:val="21"/>
              </w:rPr>
              <w:t>mínima</w:t>
            </w:r>
            <w:r>
              <w:rPr>
                <w:rFonts w:ascii="Arial" w:hAnsi="Arial"/>
                <w:b/>
                <w:color w:val="FFFFFF"/>
                <w:spacing w:val="-16"/>
                <w:w w:val="105"/>
                <w:sz w:val="21"/>
              </w:rPr>
              <w:t> </w:t>
            </w:r>
            <w:r>
              <w:rPr>
                <w:rFonts w:ascii="Arial" w:hAnsi="Arial"/>
                <w:b/>
                <w:color w:val="FFFFFF"/>
                <w:w w:val="105"/>
                <w:sz w:val="21"/>
              </w:rPr>
              <w:t>(mg)</w:t>
            </w:r>
          </w:p>
        </w:tc>
        <w:tc>
          <w:tcPr>
            <w:tcW w:w="1490" w:type="dxa"/>
            <w:tcBorders>
              <w:top w:val="nil"/>
            </w:tcBorders>
            <w:shd w:val="clear" w:color="auto" w:fill="242B67"/>
          </w:tcPr>
          <w:p>
            <w:pPr>
              <w:pStyle w:val="TableParagraph"/>
              <w:spacing w:line="302" w:lineRule="auto"/>
              <w:ind w:left="64" w:right="194"/>
              <w:rPr>
                <w:rFonts w:ascii="Arial" w:hAnsi="Arial"/>
                <w:b/>
                <w:sz w:val="21"/>
              </w:rPr>
            </w:pPr>
            <w:r>
              <w:rPr>
                <w:rFonts w:ascii="Arial" w:hAnsi="Arial"/>
                <w:b/>
                <w:color w:val="FFFFFF"/>
                <w:spacing w:val="-4"/>
                <w:w w:val="105"/>
                <w:sz w:val="21"/>
              </w:rPr>
              <w:t>Dose </w:t>
            </w:r>
            <w:r>
              <w:rPr>
                <w:rFonts w:ascii="Arial" w:hAnsi="Arial"/>
                <w:b/>
                <w:color w:val="FFFFFF"/>
                <w:spacing w:val="-2"/>
                <w:sz w:val="21"/>
              </w:rPr>
              <w:t>máxima </w:t>
            </w:r>
            <w:r>
              <w:rPr>
                <w:rFonts w:ascii="Arial" w:hAnsi="Arial"/>
                <w:b/>
                <w:color w:val="FFFFFF"/>
                <w:spacing w:val="-4"/>
                <w:w w:val="105"/>
                <w:sz w:val="21"/>
              </w:rPr>
              <w:t>(mg)</w:t>
            </w:r>
          </w:p>
        </w:tc>
        <w:tc>
          <w:tcPr>
            <w:tcW w:w="2179" w:type="dxa"/>
            <w:tcBorders>
              <w:top w:val="nil"/>
            </w:tcBorders>
            <w:shd w:val="clear" w:color="auto" w:fill="242B67"/>
          </w:tcPr>
          <w:p>
            <w:pPr>
              <w:pStyle w:val="TableParagraph"/>
              <w:spacing w:before="160"/>
              <w:ind w:left="0"/>
              <w:rPr>
                <w:sz w:val="21"/>
              </w:rPr>
            </w:pPr>
          </w:p>
          <w:p>
            <w:pPr>
              <w:pStyle w:val="TableParagraph"/>
              <w:spacing w:line="300" w:lineRule="auto" w:before="0"/>
              <w:ind w:left="64"/>
              <w:rPr>
                <w:rFonts w:ascii="Arial" w:hAnsi="Arial"/>
                <w:b/>
                <w:sz w:val="21"/>
              </w:rPr>
            </w:pPr>
            <w:r>
              <w:rPr>
                <w:rFonts w:ascii="Arial" w:hAnsi="Arial"/>
                <w:b/>
                <w:color w:val="FFFFFF"/>
                <w:w w:val="105"/>
                <w:sz w:val="21"/>
              </w:rPr>
              <w:t>N</w:t>
            </w:r>
            <w:r>
              <w:rPr>
                <w:rFonts w:ascii="Arial" w:hAnsi="Arial"/>
                <w:b/>
                <w:color w:val="FFFFFF"/>
                <w:w w:val="105"/>
                <w:sz w:val="21"/>
                <w:u w:val="single" w:color="FFFFFF"/>
                <w:vertAlign w:val="superscript"/>
              </w:rPr>
              <w:t>o</w:t>
            </w:r>
            <w:r>
              <w:rPr>
                <w:rFonts w:ascii="Arial" w:hAnsi="Arial"/>
                <w:b/>
                <w:color w:val="FFFFFF"/>
                <w:w w:val="105"/>
                <w:sz w:val="21"/>
                <w:vertAlign w:val="baseline"/>
              </w:rPr>
              <w:t> de </w:t>
            </w:r>
            <w:r>
              <w:rPr>
                <w:rFonts w:ascii="Arial" w:hAnsi="Arial"/>
                <w:b/>
                <w:color w:val="FFFFFF"/>
                <w:spacing w:val="-2"/>
                <w:sz w:val="21"/>
                <w:vertAlign w:val="baseline"/>
              </w:rPr>
              <w:t>administrações/dia</w:t>
            </w:r>
          </w:p>
        </w:tc>
        <w:tc>
          <w:tcPr>
            <w:tcW w:w="3789" w:type="dxa"/>
            <w:tcBorders>
              <w:top w:val="nil"/>
              <w:right w:val="nil"/>
            </w:tcBorders>
            <w:shd w:val="clear" w:color="auto" w:fill="242B67"/>
          </w:tcPr>
          <w:p>
            <w:pPr>
              <w:pStyle w:val="TableParagraph"/>
              <w:spacing w:before="0"/>
              <w:ind w:left="0"/>
              <w:rPr>
                <w:sz w:val="21"/>
              </w:rPr>
            </w:pPr>
          </w:p>
          <w:p>
            <w:pPr>
              <w:pStyle w:val="TableParagraph"/>
              <w:spacing w:before="225"/>
              <w:ind w:left="0"/>
              <w:rPr>
                <w:sz w:val="21"/>
              </w:rPr>
            </w:pPr>
          </w:p>
          <w:p>
            <w:pPr>
              <w:pStyle w:val="TableParagraph"/>
              <w:spacing w:before="0"/>
              <w:ind w:left="63"/>
              <w:rPr>
                <w:rFonts w:ascii="Arial" w:hAnsi="Arial"/>
                <w:b/>
                <w:sz w:val="21"/>
              </w:rPr>
            </w:pPr>
            <w:r>
              <w:rPr>
                <w:rFonts w:ascii="Arial" w:hAnsi="Arial"/>
                <w:b/>
                <w:color w:val="FFFFFF"/>
                <w:w w:val="105"/>
                <w:sz w:val="21"/>
              </w:rPr>
              <w:t>Mecanismo</w:t>
            </w:r>
            <w:r>
              <w:rPr>
                <w:rFonts w:ascii="Arial" w:hAnsi="Arial"/>
                <w:b/>
                <w:color w:val="FFFFFF"/>
                <w:spacing w:val="-10"/>
                <w:w w:val="105"/>
                <w:sz w:val="21"/>
              </w:rPr>
              <w:t> </w:t>
            </w:r>
            <w:r>
              <w:rPr>
                <w:rFonts w:ascii="Arial" w:hAnsi="Arial"/>
                <w:b/>
                <w:color w:val="FFFFFF"/>
                <w:w w:val="105"/>
                <w:sz w:val="21"/>
              </w:rPr>
              <w:t>de</w:t>
            </w:r>
            <w:r>
              <w:rPr>
                <w:rFonts w:ascii="Arial" w:hAnsi="Arial"/>
                <w:b/>
                <w:color w:val="FFFFFF"/>
                <w:spacing w:val="1"/>
                <w:w w:val="105"/>
                <w:sz w:val="21"/>
              </w:rPr>
              <w:t> </w:t>
            </w:r>
            <w:r>
              <w:rPr>
                <w:rFonts w:ascii="Arial" w:hAnsi="Arial"/>
                <w:b/>
                <w:color w:val="FFFFFF"/>
                <w:spacing w:val="-4"/>
                <w:w w:val="105"/>
                <w:sz w:val="21"/>
              </w:rPr>
              <w:t>ação</w:t>
            </w: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w w:val="105"/>
                <w:sz w:val="21"/>
              </w:rPr>
              <w:t>Candesartana</w:t>
            </w:r>
          </w:p>
        </w:tc>
        <w:tc>
          <w:tcPr>
            <w:tcW w:w="1474" w:type="dxa"/>
            <w:shd w:val="clear" w:color="auto" w:fill="EDECF3"/>
          </w:tcPr>
          <w:p>
            <w:pPr>
              <w:pStyle w:val="TableParagraph"/>
              <w:spacing w:before="93"/>
              <w:rPr>
                <w:sz w:val="21"/>
              </w:rPr>
            </w:pPr>
            <w:r>
              <w:rPr>
                <w:spacing w:val="-10"/>
                <w:w w:val="105"/>
                <w:sz w:val="21"/>
              </w:rPr>
              <w:t>8</w:t>
            </w:r>
          </w:p>
        </w:tc>
        <w:tc>
          <w:tcPr>
            <w:tcW w:w="1490" w:type="dxa"/>
            <w:shd w:val="clear" w:color="auto" w:fill="EDECF3"/>
          </w:tcPr>
          <w:p>
            <w:pPr>
              <w:pStyle w:val="TableParagraph"/>
              <w:spacing w:before="93"/>
              <w:ind w:left="64"/>
              <w:rPr>
                <w:sz w:val="21"/>
              </w:rPr>
            </w:pPr>
            <w:r>
              <w:rPr>
                <w:spacing w:val="-5"/>
                <w:w w:val="105"/>
                <w:sz w:val="21"/>
              </w:rPr>
              <w:t>16</w:t>
            </w:r>
          </w:p>
        </w:tc>
        <w:tc>
          <w:tcPr>
            <w:tcW w:w="2179" w:type="dxa"/>
            <w:shd w:val="clear" w:color="auto" w:fill="EDECF3"/>
          </w:tcPr>
          <w:p>
            <w:pPr>
              <w:pStyle w:val="TableParagraph"/>
              <w:spacing w:before="93"/>
              <w:ind w:left="64"/>
              <w:rPr>
                <w:sz w:val="21"/>
              </w:rPr>
            </w:pPr>
            <w:r>
              <w:rPr>
                <w:spacing w:val="-10"/>
                <w:w w:val="105"/>
                <w:sz w:val="21"/>
              </w:rPr>
              <w:t>1</w:t>
            </w:r>
          </w:p>
        </w:tc>
        <w:tc>
          <w:tcPr>
            <w:tcW w:w="3789" w:type="dxa"/>
            <w:vMerge w:val="restart"/>
            <w:tcBorders>
              <w:bottom w:val="nil"/>
              <w:right w:val="nil"/>
            </w:tcBorders>
            <w:shd w:val="clear" w:color="auto" w:fill="EDECF3"/>
          </w:tcPr>
          <w:p>
            <w:pPr>
              <w:pStyle w:val="TableParagraph"/>
              <w:spacing w:line="307" w:lineRule="auto" w:before="93"/>
              <w:ind w:left="63" w:right="176"/>
              <w:rPr>
                <w:sz w:val="21"/>
              </w:rPr>
            </w:pPr>
            <w:r>
              <w:rPr>
                <w:w w:val="105"/>
                <w:sz w:val="21"/>
              </w:rPr>
              <w:t>Antagonismo direto dos receptores de angiotensina II, com menor</w:t>
            </w: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w w:val="105"/>
                <w:sz w:val="21"/>
              </w:rPr>
              <w:t>Irbersartan</w:t>
            </w:r>
          </w:p>
        </w:tc>
        <w:tc>
          <w:tcPr>
            <w:tcW w:w="1474" w:type="dxa"/>
            <w:shd w:val="clear" w:color="auto" w:fill="EDECF3"/>
          </w:tcPr>
          <w:p>
            <w:pPr>
              <w:pStyle w:val="TableParagraph"/>
              <w:spacing w:before="93"/>
              <w:rPr>
                <w:sz w:val="21"/>
              </w:rPr>
            </w:pPr>
            <w:r>
              <w:rPr>
                <w:spacing w:val="-5"/>
                <w:w w:val="105"/>
                <w:sz w:val="21"/>
              </w:rPr>
              <w:t>150</w:t>
            </w:r>
          </w:p>
        </w:tc>
        <w:tc>
          <w:tcPr>
            <w:tcW w:w="1490" w:type="dxa"/>
            <w:shd w:val="clear" w:color="auto" w:fill="EDECF3"/>
          </w:tcPr>
          <w:p>
            <w:pPr>
              <w:pStyle w:val="TableParagraph"/>
              <w:spacing w:before="93"/>
              <w:ind w:left="64"/>
              <w:rPr>
                <w:sz w:val="21"/>
              </w:rPr>
            </w:pPr>
            <w:r>
              <w:rPr>
                <w:spacing w:val="-5"/>
                <w:w w:val="105"/>
                <w:sz w:val="21"/>
              </w:rPr>
              <w:t>300</w:t>
            </w:r>
          </w:p>
        </w:tc>
        <w:tc>
          <w:tcPr>
            <w:tcW w:w="2179" w:type="dxa"/>
            <w:shd w:val="clear" w:color="auto" w:fill="EDECF3"/>
          </w:tcPr>
          <w:p>
            <w:pPr>
              <w:pStyle w:val="TableParagraph"/>
              <w:spacing w:before="93"/>
              <w:ind w:left="64"/>
              <w:rPr>
                <w:sz w:val="21"/>
              </w:rPr>
            </w:pPr>
            <w:r>
              <w:rPr>
                <w:spacing w:val="-10"/>
                <w:w w:val="105"/>
                <w:sz w:val="21"/>
              </w:rPr>
              <w:t>1</w:t>
            </w:r>
          </w:p>
        </w:tc>
        <w:tc>
          <w:tcPr>
            <w:tcW w:w="3789" w:type="dxa"/>
            <w:vMerge/>
            <w:tcBorders>
              <w:top w:val="nil"/>
              <w:bottom w:val="nil"/>
              <w:right w:val="nil"/>
            </w:tcBorders>
            <w:shd w:val="clear" w:color="auto" w:fill="EDECF3"/>
          </w:tcPr>
          <w:p>
            <w:pPr>
              <w:rPr>
                <w:sz w:val="2"/>
                <w:szCs w:val="2"/>
              </w:rPr>
            </w:pPr>
          </w:p>
        </w:tc>
      </w:tr>
    </w:tbl>
    <w:p>
      <w:pPr>
        <w:spacing w:after="0"/>
        <w:rPr>
          <w:sz w:val="2"/>
          <w:szCs w:val="2"/>
        </w:rPr>
        <w:sectPr>
          <w:pgSz w:w="11900" w:h="16840"/>
          <w:pgMar w:top="30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690"/>
        <w:gridCol w:w="1474"/>
        <w:gridCol w:w="1490"/>
        <w:gridCol w:w="2179"/>
        <w:gridCol w:w="3773"/>
      </w:tblGrid>
      <w:tr>
        <w:trPr>
          <w:trHeight w:val="411" w:hRule="atLeast"/>
        </w:trPr>
        <w:tc>
          <w:tcPr>
            <w:tcW w:w="1690" w:type="dxa"/>
            <w:tcBorders>
              <w:top w:val="nil"/>
              <w:left w:val="nil"/>
            </w:tcBorders>
            <w:shd w:val="clear" w:color="auto" w:fill="EDECF3"/>
          </w:tcPr>
          <w:p>
            <w:pPr>
              <w:pStyle w:val="TableParagraph"/>
              <w:spacing w:before="75"/>
              <w:ind w:left="67"/>
              <w:rPr>
                <w:sz w:val="21"/>
              </w:rPr>
            </w:pPr>
            <w:r>
              <w:rPr>
                <w:spacing w:val="-2"/>
                <w:w w:val="105"/>
                <w:sz w:val="21"/>
              </w:rPr>
              <w:t>Losartana</w:t>
            </w:r>
          </w:p>
        </w:tc>
        <w:tc>
          <w:tcPr>
            <w:tcW w:w="1474" w:type="dxa"/>
            <w:tcBorders>
              <w:top w:val="nil"/>
            </w:tcBorders>
            <w:shd w:val="clear" w:color="auto" w:fill="EDECF3"/>
          </w:tcPr>
          <w:p>
            <w:pPr>
              <w:pStyle w:val="TableParagraph"/>
              <w:spacing w:before="75"/>
              <w:rPr>
                <w:sz w:val="21"/>
              </w:rPr>
            </w:pPr>
            <w:r>
              <w:rPr>
                <w:spacing w:val="-5"/>
                <w:w w:val="105"/>
                <w:sz w:val="21"/>
              </w:rPr>
              <w:t>50</w:t>
            </w:r>
          </w:p>
        </w:tc>
        <w:tc>
          <w:tcPr>
            <w:tcW w:w="1490" w:type="dxa"/>
            <w:tcBorders>
              <w:top w:val="nil"/>
            </w:tcBorders>
            <w:shd w:val="clear" w:color="auto" w:fill="EDECF3"/>
          </w:tcPr>
          <w:p>
            <w:pPr>
              <w:pStyle w:val="TableParagraph"/>
              <w:spacing w:before="75"/>
              <w:ind w:left="64"/>
              <w:rPr>
                <w:sz w:val="21"/>
              </w:rPr>
            </w:pPr>
            <w:r>
              <w:rPr>
                <w:spacing w:val="-5"/>
                <w:w w:val="105"/>
                <w:sz w:val="21"/>
              </w:rPr>
              <w:t>100</w:t>
            </w:r>
          </w:p>
        </w:tc>
        <w:tc>
          <w:tcPr>
            <w:tcW w:w="2179" w:type="dxa"/>
            <w:tcBorders>
              <w:top w:val="nil"/>
            </w:tcBorders>
            <w:shd w:val="clear" w:color="auto" w:fill="EDECF3"/>
          </w:tcPr>
          <w:p>
            <w:pPr>
              <w:pStyle w:val="TableParagraph"/>
              <w:spacing w:before="75"/>
              <w:ind w:left="64"/>
              <w:rPr>
                <w:sz w:val="21"/>
              </w:rPr>
            </w:pPr>
            <w:r>
              <w:rPr>
                <w:spacing w:val="-10"/>
                <w:w w:val="105"/>
                <w:sz w:val="21"/>
              </w:rPr>
              <w:t>1</w:t>
            </w:r>
          </w:p>
        </w:tc>
        <w:tc>
          <w:tcPr>
            <w:tcW w:w="3773" w:type="dxa"/>
            <w:vMerge w:val="restart"/>
            <w:tcBorders>
              <w:top w:val="nil"/>
              <w:bottom w:val="nil"/>
              <w:right w:val="nil"/>
            </w:tcBorders>
            <w:shd w:val="clear" w:color="auto" w:fill="EDECF3"/>
          </w:tcPr>
          <w:p>
            <w:pPr>
              <w:pStyle w:val="TableParagraph"/>
              <w:spacing w:line="309" w:lineRule="auto" w:before="4"/>
              <w:ind w:left="63" w:right="160"/>
              <w:rPr>
                <w:sz w:val="21"/>
              </w:rPr>
            </w:pPr>
            <w:r>
              <w:rPr>
                <w:w w:val="105"/>
                <w:sz w:val="21"/>
              </w:rPr>
              <w:t>incidência de efeitos colaterais dos inibidores da ECA, como a tosse e</w:t>
            </w:r>
            <w:r>
              <w:rPr>
                <w:spacing w:val="40"/>
                <w:w w:val="105"/>
                <w:sz w:val="21"/>
              </w:rPr>
              <w:t> </w:t>
            </w:r>
            <w:r>
              <w:rPr>
                <w:w w:val="105"/>
                <w:sz w:val="21"/>
              </w:rPr>
              <w:t>o angioedema</w:t>
            </w:r>
          </w:p>
        </w:tc>
      </w:tr>
      <w:tr>
        <w:trPr>
          <w:trHeight w:val="428" w:hRule="atLeast"/>
        </w:trPr>
        <w:tc>
          <w:tcPr>
            <w:tcW w:w="1690" w:type="dxa"/>
            <w:tcBorders>
              <w:left w:val="nil"/>
            </w:tcBorders>
            <w:shd w:val="clear" w:color="auto" w:fill="EDECF3"/>
          </w:tcPr>
          <w:p>
            <w:pPr>
              <w:pStyle w:val="TableParagraph"/>
              <w:ind w:left="67"/>
              <w:rPr>
                <w:sz w:val="21"/>
              </w:rPr>
            </w:pPr>
            <w:r>
              <w:rPr>
                <w:spacing w:val="-2"/>
                <w:w w:val="105"/>
                <w:sz w:val="21"/>
              </w:rPr>
              <w:t>Telmisartana</w:t>
            </w:r>
          </w:p>
        </w:tc>
        <w:tc>
          <w:tcPr>
            <w:tcW w:w="1474" w:type="dxa"/>
            <w:shd w:val="clear" w:color="auto" w:fill="EDECF3"/>
          </w:tcPr>
          <w:p>
            <w:pPr>
              <w:pStyle w:val="TableParagraph"/>
              <w:rPr>
                <w:sz w:val="21"/>
              </w:rPr>
            </w:pPr>
            <w:r>
              <w:rPr>
                <w:spacing w:val="-5"/>
                <w:w w:val="105"/>
                <w:sz w:val="21"/>
              </w:rPr>
              <w:t>40</w:t>
            </w:r>
          </w:p>
        </w:tc>
        <w:tc>
          <w:tcPr>
            <w:tcW w:w="1490" w:type="dxa"/>
            <w:shd w:val="clear" w:color="auto" w:fill="EDECF3"/>
          </w:tcPr>
          <w:p>
            <w:pPr>
              <w:pStyle w:val="TableParagraph"/>
              <w:ind w:left="64"/>
              <w:rPr>
                <w:sz w:val="21"/>
              </w:rPr>
            </w:pPr>
            <w:r>
              <w:rPr>
                <w:spacing w:val="-5"/>
                <w:w w:val="105"/>
                <w:sz w:val="21"/>
              </w:rPr>
              <w:t>80</w:t>
            </w:r>
          </w:p>
        </w:tc>
        <w:tc>
          <w:tcPr>
            <w:tcW w:w="2179" w:type="dxa"/>
            <w:shd w:val="clear" w:color="auto" w:fill="EDECF3"/>
          </w:tcPr>
          <w:p>
            <w:pPr>
              <w:pStyle w:val="TableParagraph"/>
              <w:ind w:left="64"/>
              <w:rPr>
                <w:sz w:val="21"/>
              </w:rPr>
            </w:pPr>
            <w:r>
              <w:rPr>
                <w:spacing w:val="-10"/>
                <w:w w:val="105"/>
                <w:sz w:val="21"/>
              </w:rPr>
              <w:t>1</w:t>
            </w:r>
          </w:p>
        </w:tc>
        <w:tc>
          <w:tcPr>
            <w:tcW w:w="3773"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ind w:left="67"/>
              <w:rPr>
                <w:sz w:val="21"/>
              </w:rPr>
            </w:pPr>
            <w:r>
              <w:rPr>
                <w:spacing w:val="-2"/>
                <w:w w:val="105"/>
                <w:sz w:val="21"/>
              </w:rPr>
              <w:t>Valsartana</w:t>
            </w:r>
          </w:p>
        </w:tc>
        <w:tc>
          <w:tcPr>
            <w:tcW w:w="1474" w:type="dxa"/>
            <w:shd w:val="clear" w:color="auto" w:fill="EDECF3"/>
          </w:tcPr>
          <w:p>
            <w:pPr>
              <w:pStyle w:val="TableParagraph"/>
              <w:rPr>
                <w:sz w:val="21"/>
              </w:rPr>
            </w:pPr>
            <w:r>
              <w:rPr>
                <w:spacing w:val="-5"/>
                <w:w w:val="105"/>
                <w:sz w:val="21"/>
              </w:rPr>
              <w:t>80</w:t>
            </w:r>
          </w:p>
        </w:tc>
        <w:tc>
          <w:tcPr>
            <w:tcW w:w="1490" w:type="dxa"/>
            <w:shd w:val="clear" w:color="auto" w:fill="EDECF3"/>
          </w:tcPr>
          <w:p>
            <w:pPr>
              <w:pStyle w:val="TableParagraph"/>
              <w:ind w:left="64"/>
              <w:rPr>
                <w:sz w:val="21"/>
              </w:rPr>
            </w:pPr>
            <w:r>
              <w:rPr>
                <w:spacing w:val="-5"/>
                <w:w w:val="105"/>
                <w:sz w:val="21"/>
              </w:rPr>
              <w:t>160</w:t>
            </w:r>
          </w:p>
        </w:tc>
        <w:tc>
          <w:tcPr>
            <w:tcW w:w="2179" w:type="dxa"/>
            <w:shd w:val="clear" w:color="auto" w:fill="EDECF3"/>
          </w:tcPr>
          <w:p>
            <w:pPr>
              <w:pStyle w:val="TableParagraph"/>
              <w:ind w:left="64"/>
              <w:rPr>
                <w:sz w:val="21"/>
              </w:rPr>
            </w:pPr>
            <w:r>
              <w:rPr>
                <w:spacing w:val="-10"/>
                <w:w w:val="105"/>
                <w:sz w:val="21"/>
              </w:rPr>
              <w:t>1</w:t>
            </w:r>
          </w:p>
        </w:tc>
        <w:tc>
          <w:tcPr>
            <w:tcW w:w="3773" w:type="dxa"/>
            <w:vMerge/>
            <w:tcBorders>
              <w:top w:val="nil"/>
              <w:bottom w:val="nil"/>
              <w:right w:val="nil"/>
            </w:tcBorders>
            <w:shd w:val="clear" w:color="auto" w:fill="EDECF3"/>
          </w:tcPr>
          <w:p>
            <w:pPr>
              <w:rPr>
                <w:sz w:val="2"/>
                <w:szCs w:val="2"/>
              </w:rPr>
            </w:pPr>
          </w:p>
        </w:tc>
      </w:tr>
      <w:tr>
        <w:trPr>
          <w:trHeight w:val="430" w:hRule="atLeast"/>
        </w:trPr>
        <w:tc>
          <w:tcPr>
            <w:tcW w:w="1690" w:type="dxa"/>
            <w:tcBorders>
              <w:left w:val="nil"/>
              <w:bottom w:val="nil"/>
            </w:tcBorders>
            <w:shd w:val="clear" w:color="auto" w:fill="EDECF3"/>
          </w:tcPr>
          <w:p>
            <w:pPr>
              <w:pStyle w:val="TableParagraph"/>
              <w:ind w:left="67"/>
              <w:rPr>
                <w:sz w:val="21"/>
              </w:rPr>
            </w:pPr>
            <w:r>
              <w:rPr>
                <w:spacing w:val="-2"/>
                <w:w w:val="105"/>
                <w:sz w:val="21"/>
              </w:rPr>
              <w:t>Olmesartana</w:t>
            </w:r>
          </w:p>
        </w:tc>
        <w:tc>
          <w:tcPr>
            <w:tcW w:w="1474" w:type="dxa"/>
            <w:tcBorders>
              <w:bottom w:val="nil"/>
            </w:tcBorders>
            <w:shd w:val="clear" w:color="auto" w:fill="EDECF3"/>
          </w:tcPr>
          <w:p>
            <w:pPr>
              <w:pStyle w:val="TableParagraph"/>
              <w:rPr>
                <w:sz w:val="21"/>
              </w:rPr>
            </w:pPr>
            <w:r>
              <w:rPr>
                <w:spacing w:val="-5"/>
                <w:w w:val="105"/>
                <w:sz w:val="21"/>
              </w:rPr>
              <w:t>20</w:t>
            </w:r>
          </w:p>
        </w:tc>
        <w:tc>
          <w:tcPr>
            <w:tcW w:w="1490" w:type="dxa"/>
            <w:tcBorders>
              <w:bottom w:val="nil"/>
            </w:tcBorders>
            <w:shd w:val="clear" w:color="auto" w:fill="EDECF3"/>
          </w:tcPr>
          <w:p>
            <w:pPr>
              <w:pStyle w:val="TableParagraph"/>
              <w:ind w:left="64"/>
              <w:rPr>
                <w:sz w:val="21"/>
              </w:rPr>
            </w:pPr>
            <w:r>
              <w:rPr>
                <w:spacing w:val="-5"/>
                <w:w w:val="105"/>
                <w:sz w:val="21"/>
              </w:rPr>
              <w:t>40</w:t>
            </w:r>
          </w:p>
        </w:tc>
        <w:tc>
          <w:tcPr>
            <w:tcW w:w="2179" w:type="dxa"/>
            <w:tcBorders>
              <w:bottom w:val="nil"/>
            </w:tcBorders>
            <w:shd w:val="clear" w:color="auto" w:fill="EDECF3"/>
          </w:tcPr>
          <w:p>
            <w:pPr>
              <w:pStyle w:val="TableParagraph"/>
              <w:ind w:left="64"/>
              <w:rPr>
                <w:sz w:val="21"/>
              </w:rPr>
            </w:pPr>
            <w:r>
              <w:rPr>
                <w:spacing w:val="-10"/>
                <w:w w:val="105"/>
                <w:sz w:val="21"/>
              </w:rPr>
              <w:t>1</w:t>
            </w:r>
          </w:p>
        </w:tc>
        <w:tc>
          <w:tcPr>
            <w:tcW w:w="3773" w:type="dxa"/>
            <w:vMerge/>
            <w:tcBorders>
              <w:top w:val="nil"/>
              <w:bottom w:val="nil"/>
              <w:right w:val="nil"/>
            </w:tcBorders>
            <w:shd w:val="clear" w:color="auto" w:fill="EDECF3"/>
          </w:tcPr>
          <w:p>
            <w:pPr>
              <w:rPr>
                <w:sz w:val="2"/>
                <w:szCs w:val="2"/>
              </w:rPr>
            </w:pPr>
          </w:p>
        </w:tc>
      </w:tr>
    </w:tbl>
    <w:p>
      <w:pPr>
        <w:spacing w:before="182"/>
        <w:ind w:left="68" w:right="0" w:firstLine="0"/>
        <w:jc w:val="left"/>
        <w:rPr>
          <w:rFonts w:ascii="Microsoft Sans Serif"/>
          <w:sz w:val="19"/>
        </w:rPr>
      </w:pPr>
      <w:r>
        <w:rPr>
          <w:rFonts w:ascii="Microsoft Sans Serif"/>
          <w:sz w:val="19"/>
        </w:rPr>
        <w:t>ECA</w:t>
      </w:r>
      <w:r>
        <w:rPr>
          <w:rFonts w:ascii="Microsoft Sans Serif"/>
          <w:spacing w:val="9"/>
          <w:sz w:val="19"/>
        </w:rPr>
        <w:t> </w:t>
      </w:r>
      <w:r>
        <w:rPr>
          <w:rFonts w:ascii="Microsoft Sans Serif"/>
          <w:sz w:val="19"/>
        </w:rPr>
        <w:t>=</w:t>
      </w:r>
      <w:r>
        <w:rPr>
          <w:rFonts w:ascii="Microsoft Sans Serif"/>
          <w:spacing w:val="9"/>
          <w:sz w:val="19"/>
        </w:rPr>
        <w:t> </w:t>
      </w:r>
      <w:r>
        <w:rPr>
          <w:rFonts w:ascii="Microsoft Sans Serif"/>
          <w:sz w:val="19"/>
        </w:rPr>
        <w:t>enzima</w:t>
      </w:r>
      <w:r>
        <w:rPr>
          <w:rFonts w:ascii="Microsoft Sans Serif"/>
          <w:spacing w:val="16"/>
          <w:sz w:val="19"/>
        </w:rPr>
        <w:t> </w:t>
      </w:r>
      <w:r>
        <w:rPr>
          <w:rFonts w:ascii="Microsoft Sans Serif"/>
          <w:sz w:val="19"/>
        </w:rPr>
        <w:t>conversora</w:t>
      </w:r>
      <w:r>
        <w:rPr>
          <w:rFonts w:ascii="Microsoft Sans Serif"/>
          <w:spacing w:val="16"/>
          <w:sz w:val="19"/>
        </w:rPr>
        <w:t> </w:t>
      </w:r>
      <w:r>
        <w:rPr>
          <w:rFonts w:ascii="Microsoft Sans Serif"/>
          <w:sz w:val="19"/>
        </w:rPr>
        <w:t>da</w:t>
      </w:r>
      <w:r>
        <w:rPr>
          <w:rFonts w:ascii="Microsoft Sans Serif"/>
          <w:spacing w:val="16"/>
          <w:sz w:val="19"/>
        </w:rPr>
        <w:t> </w:t>
      </w:r>
      <w:r>
        <w:rPr>
          <w:rFonts w:ascii="Microsoft Sans Serif"/>
          <w:spacing w:val="-2"/>
          <w:sz w:val="19"/>
        </w:rPr>
        <w:t>angiotensina.</w:t>
      </w:r>
    </w:p>
    <w:p>
      <w:pPr>
        <w:pStyle w:val="BodyText"/>
        <w:spacing w:before="170"/>
        <w:ind w:left="0" w:firstLine="0"/>
        <w:jc w:val="left"/>
        <w:rPr>
          <w:rFonts w:ascii="Microsoft Sans Serif"/>
          <w:sz w:val="19"/>
        </w:rPr>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2"/>
          <w:sz w:val="23"/>
        </w:rPr>
        <w:t> </w:t>
      </w:r>
      <w:r>
        <w:rPr>
          <w:rFonts w:ascii="Arial" w:hAnsi="Arial"/>
          <w:b/>
          <w:color w:val="242B67"/>
          <w:sz w:val="23"/>
        </w:rPr>
        <w:t>57.13</w:t>
      </w:r>
      <w:r>
        <w:rPr>
          <w:rFonts w:ascii="Arial" w:hAnsi="Arial"/>
          <w:b/>
          <w:color w:val="242B67"/>
          <w:spacing w:val="-3"/>
          <w:sz w:val="23"/>
        </w:rPr>
        <w:t> </w:t>
      </w:r>
      <w:r>
        <w:rPr>
          <w:rFonts w:ascii="Microsoft Sans Serif" w:hAnsi="Microsoft Sans Serif"/>
          <w:sz w:val="23"/>
        </w:rPr>
        <w:t>Inibidores</w:t>
      </w:r>
      <w:r>
        <w:rPr>
          <w:rFonts w:ascii="Microsoft Sans Serif" w:hAnsi="Microsoft Sans Serif"/>
          <w:spacing w:val="-2"/>
          <w:sz w:val="23"/>
        </w:rPr>
        <w:t> adrenérgicos.</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578"/>
        <w:gridCol w:w="1522"/>
        <w:gridCol w:w="1442"/>
        <w:gridCol w:w="1474"/>
        <w:gridCol w:w="2179"/>
        <w:gridCol w:w="2411"/>
      </w:tblGrid>
      <w:tr>
        <w:trPr>
          <w:trHeight w:val="1039" w:hRule="atLeast"/>
        </w:trPr>
        <w:tc>
          <w:tcPr>
            <w:tcW w:w="3100" w:type="dxa"/>
            <w:gridSpan w:val="2"/>
            <w:tcBorders>
              <w:top w:val="nil"/>
              <w:left w:val="nil"/>
            </w:tcBorders>
            <w:shd w:val="clear" w:color="auto" w:fill="242B67"/>
          </w:tcPr>
          <w:p>
            <w:pPr>
              <w:pStyle w:val="TableParagraph"/>
              <w:spacing w:before="157"/>
              <w:ind w:left="0"/>
              <w:rPr>
                <w:sz w:val="21"/>
              </w:rPr>
            </w:pPr>
          </w:p>
          <w:p>
            <w:pPr>
              <w:pStyle w:val="TableParagraph"/>
              <w:spacing w:line="302" w:lineRule="auto" w:before="0"/>
              <w:ind w:left="67" w:right="820"/>
              <w:rPr>
                <w:rFonts w:ascii="Arial" w:hAnsi="Arial"/>
                <w:b/>
                <w:sz w:val="21"/>
              </w:rPr>
            </w:pPr>
            <w:r>
              <w:rPr>
                <w:rFonts w:ascii="Arial" w:hAnsi="Arial"/>
                <w:b/>
                <w:color w:val="FFFFFF"/>
                <w:w w:val="105"/>
                <w:sz w:val="21"/>
              </w:rPr>
              <w:t>Medicamentos</w:t>
            </w:r>
            <w:r>
              <w:rPr>
                <w:rFonts w:ascii="Arial" w:hAnsi="Arial"/>
                <w:b/>
                <w:color w:val="FFFFFF"/>
                <w:spacing w:val="-7"/>
                <w:w w:val="105"/>
                <w:sz w:val="21"/>
              </w:rPr>
              <w:t> </w:t>
            </w:r>
            <w:r>
              <w:rPr>
                <w:rFonts w:ascii="Arial" w:hAnsi="Arial"/>
                <w:b/>
                <w:color w:val="FFFFFF"/>
                <w:w w:val="105"/>
                <w:sz w:val="21"/>
              </w:rPr>
              <w:t>(ação </w:t>
            </w:r>
            <w:r>
              <w:rPr>
                <w:rFonts w:ascii="Arial" w:hAnsi="Arial"/>
                <w:b/>
                <w:color w:val="FFFFFF"/>
                <w:spacing w:val="-2"/>
                <w:w w:val="105"/>
                <w:sz w:val="21"/>
              </w:rPr>
              <w:t>central)</w:t>
            </w:r>
          </w:p>
        </w:tc>
        <w:tc>
          <w:tcPr>
            <w:tcW w:w="1442" w:type="dxa"/>
            <w:tcBorders>
              <w:top w:val="nil"/>
            </w:tcBorders>
            <w:shd w:val="clear" w:color="auto" w:fill="242B67"/>
          </w:tcPr>
          <w:p>
            <w:pPr>
              <w:pStyle w:val="TableParagraph"/>
              <w:spacing w:line="302" w:lineRule="auto" w:before="91"/>
              <w:ind w:left="64" w:right="193"/>
              <w:rPr>
                <w:rFonts w:ascii="Arial" w:hAnsi="Arial"/>
                <w:b/>
                <w:sz w:val="21"/>
              </w:rPr>
            </w:pPr>
            <w:r>
              <w:rPr>
                <w:rFonts w:ascii="Arial" w:hAnsi="Arial"/>
                <w:b/>
                <w:color w:val="FFFFFF"/>
                <w:spacing w:val="-4"/>
                <w:w w:val="105"/>
                <w:sz w:val="21"/>
              </w:rPr>
              <w:t>Dose </w:t>
            </w:r>
            <w:r>
              <w:rPr>
                <w:rFonts w:ascii="Arial" w:hAnsi="Arial"/>
                <w:b/>
                <w:color w:val="FFFFFF"/>
                <w:spacing w:val="-2"/>
                <w:sz w:val="21"/>
              </w:rPr>
              <w:t>mínima </w:t>
            </w:r>
            <w:r>
              <w:rPr>
                <w:rFonts w:ascii="Arial" w:hAnsi="Arial"/>
                <w:b/>
                <w:color w:val="FFFFFF"/>
                <w:spacing w:val="-4"/>
                <w:w w:val="105"/>
                <w:sz w:val="21"/>
              </w:rPr>
              <w:t>(mg)</w:t>
            </w:r>
          </w:p>
        </w:tc>
        <w:tc>
          <w:tcPr>
            <w:tcW w:w="1474" w:type="dxa"/>
            <w:tcBorders>
              <w:top w:val="nil"/>
            </w:tcBorders>
            <w:shd w:val="clear" w:color="auto" w:fill="242B67"/>
          </w:tcPr>
          <w:p>
            <w:pPr>
              <w:pStyle w:val="TableParagraph"/>
              <w:spacing w:line="302" w:lineRule="auto" w:before="91"/>
              <w:ind w:left="64" w:right="178"/>
              <w:rPr>
                <w:rFonts w:ascii="Arial" w:hAnsi="Arial"/>
                <w:b/>
                <w:sz w:val="21"/>
              </w:rPr>
            </w:pPr>
            <w:r>
              <w:rPr>
                <w:rFonts w:ascii="Arial" w:hAnsi="Arial"/>
                <w:b/>
                <w:color w:val="FFFFFF"/>
                <w:spacing w:val="-4"/>
                <w:w w:val="105"/>
                <w:sz w:val="21"/>
              </w:rPr>
              <w:t>Dose </w:t>
            </w:r>
            <w:r>
              <w:rPr>
                <w:rFonts w:ascii="Arial" w:hAnsi="Arial"/>
                <w:b/>
                <w:color w:val="FFFFFF"/>
                <w:spacing w:val="-2"/>
                <w:sz w:val="21"/>
              </w:rPr>
              <w:t>máxima </w:t>
            </w:r>
            <w:r>
              <w:rPr>
                <w:rFonts w:ascii="Arial" w:hAnsi="Arial"/>
                <w:b/>
                <w:color w:val="FFFFFF"/>
                <w:spacing w:val="-4"/>
                <w:w w:val="105"/>
                <w:sz w:val="21"/>
              </w:rPr>
              <w:t>(mg)</w:t>
            </w:r>
          </w:p>
        </w:tc>
        <w:tc>
          <w:tcPr>
            <w:tcW w:w="2179" w:type="dxa"/>
            <w:tcBorders>
              <w:top w:val="nil"/>
            </w:tcBorders>
            <w:shd w:val="clear" w:color="auto" w:fill="242B67"/>
          </w:tcPr>
          <w:p>
            <w:pPr>
              <w:pStyle w:val="TableParagraph"/>
              <w:spacing w:before="157"/>
              <w:ind w:left="0"/>
              <w:rPr>
                <w:sz w:val="21"/>
              </w:rPr>
            </w:pPr>
          </w:p>
          <w:p>
            <w:pPr>
              <w:pStyle w:val="TableParagraph"/>
              <w:spacing w:line="302" w:lineRule="auto" w:before="0"/>
              <w:ind w:left="63"/>
              <w:rPr>
                <w:rFonts w:ascii="Arial" w:hAnsi="Arial"/>
                <w:b/>
                <w:sz w:val="21"/>
              </w:rPr>
            </w:pPr>
            <w:r>
              <w:rPr>
                <w:rFonts w:ascii="Arial" w:hAnsi="Arial"/>
                <w:b/>
                <w:color w:val="FFFFFF"/>
                <w:w w:val="105"/>
                <w:sz w:val="21"/>
              </w:rPr>
              <w:t>No de </w:t>
            </w:r>
            <w:r>
              <w:rPr>
                <w:rFonts w:ascii="Arial" w:hAnsi="Arial"/>
                <w:b/>
                <w:color w:val="FFFFFF"/>
                <w:spacing w:val="-2"/>
                <w:sz w:val="21"/>
              </w:rPr>
              <w:t>administrações/dia</w:t>
            </w:r>
          </w:p>
        </w:tc>
        <w:tc>
          <w:tcPr>
            <w:tcW w:w="2411" w:type="dxa"/>
            <w:tcBorders>
              <w:top w:val="nil"/>
              <w:right w:val="nil"/>
            </w:tcBorders>
            <w:shd w:val="clear" w:color="auto" w:fill="242B67"/>
          </w:tcPr>
          <w:p>
            <w:pPr>
              <w:pStyle w:val="TableParagraph"/>
              <w:spacing w:before="0"/>
              <w:ind w:left="0"/>
              <w:rPr>
                <w:sz w:val="21"/>
              </w:rPr>
            </w:pPr>
          </w:p>
          <w:p>
            <w:pPr>
              <w:pStyle w:val="TableParagraph"/>
              <w:spacing w:before="224"/>
              <w:ind w:left="0"/>
              <w:rPr>
                <w:sz w:val="21"/>
              </w:rPr>
            </w:pPr>
          </w:p>
          <w:p>
            <w:pPr>
              <w:pStyle w:val="TableParagraph"/>
              <w:spacing w:before="0"/>
              <w:ind w:left="63"/>
              <w:rPr>
                <w:rFonts w:ascii="Arial" w:hAnsi="Arial"/>
                <w:b/>
                <w:sz w:val="21"/>
              </w:rPr>
            </w:pPr>
            <w:r>
              <w:rPr>
                <w:rFonts w:ascii="Arial" w:hAnsi="Arial"/>
                <w:b/>
                <w:color w:val="FFFFFF"/>
                <w:w w:val="105"/>
                <w:sz w:val="21"/>
              </w:rPr>
              <w:t>Mecanismo</w:t>
            </w:r>
            <w:r>
              <w:rPr>
                <w:rFonts w:ascii="Arial" w:hAnsi="Arial"/>
                <w:b/>
                <w:color w:val="FFFFFF"/>
                <w:spacing w:val="-10"/>
                <w:w w:val="105"/>
                <w:sz w:val="21"/>
              </w:rPr>
              <w:t> </w:t>
            </w:r>
            <w:r>
              <w:rPr>
                <w:rFonts w:ascii="Arial" w:hAnsi="Arial"/>
                <w:b/>
                <w:color w:val="FFFFFF"/>
                <w:w w:val="105"/>
                <w:sz w:val="21"/>
              </w:rPr>
              <w:t>de</w:t>
            </w:r>
            <w:r>
              <w:rPr>
                <w:rFonts w:ascii="Arial" w:hAnsi="Arial"/>
                <w:b/>
                <w:color w:val="FFFFFF"/>
                <w:spacing w:val="1"/>
                <w:w w:val="105"/>
                <w:sz w:val="21"/>
              </w:rPr>
              <w:t> </w:t>
            </w:r>
            <w:r>
              <w:rPr>
                <w:rFonts w:ascii="Arial" w:hAnsi="Arial"/>
                <w:b/>
                <w:color w:val="FFFFFF"/>
                <w:spacing w:val="-4"/>
                <w:w w:val="105"/>
                <w:sz w:val="21"/>
              </w:rPr>
              <w:t>ação</w:t>
            </w:r>
          </w:p>
        </w:tc>
      </w:tr>
      <w:tr>
        <w:trPr>
          <w:trHeight w:val="376" w:hRule="atLeast"/>
        </w:trPr>
        <w:tc>
          <w:tcPr>
            <w:tcW w:w="1578" w:type="dxa"/>
            <w:tcBorders>
              <w:left w:val="nil"/>
              <w:bottom w:val="nil"/>
            </w:tcBorders>
            <w:shd w:val="clear" w:color="auto" w:fill="EDECF3"/>
          </w:tcPr>
          <w:p>
            <w:pPr>
              <w:pStyle w:val="TableParagraph"/>
              <w:spacing w:before="93"/>
              <w:ind w:left="67"/>
              <w:rPr>
                <w:sz w:val="21"/>
              </w:rPr>
            </w:pPr>
            <w:r>
              <w:rPr>
                <w:w w:val="105"/>
                <w:sz w:val="21"/>
              </w:rPr>
              <w:t>Alfa</w:t>
            </w:r>
            <w:r>
              <w:rPr>
                <w:w w:val="105"/>
                <w:sz w:val="21"/>
                <w:vertAlign w:val="subscript"/>
              </w:rPr>
              <w:t>2</w:t>
            </w:r>
            <w:r>
              <w:rPr>
                <w:w w:val="105"/>
                <w:sz w:val="21"/>
                <w:vertAlign w:val="baseline"/>
              </w:rPr>
              <w:t>-</w:t>
            </w:r>
          </w:p>
        </w:tc>
        <w:tc>
          <w:tcPr>
            <w:tcW w:w="1522" w:type="dxa"/>
            <w:tcBorders>
              <w:bottom w:val="nil"/>
            </w:tcBorders>
            <w:shd w:val="clear" w:color="auto" w:fill="EDECF3"/>
          </w:tcPr>
          <w:p>
            <w:pPr>
              <w:pStyle w:val="TableParagraph"/>
              <w:rPr>
                <w:sz w:val="21"/>
              </w:rPr>
            </w:pPr>
            <w:r>
              <w:rPr>
                <w:spacing w:val="-2"/>
                <w:w w:val="105"/>
                <w:sz w:val="21"/>
              </w:rPr>
              <w:t>Alfametildopa</w:t>
            </w:r>
          </w:p>
        </w:tc>
        <w:tc>
          <w:tcPr>
            <w:tcW w:w="1442" w:type="dxa"/>
            <w:tcBorders>
              <w:bottom w:val="nil"/>
            </w:tcBorders>
            <w:shd w:val="clear" w:color="auto" w:fill="EDECF3"/>
          </w:tcPr>
          <w:p>
            <w:pPr>
              <w:pStyle w:val="TableParagraph"/>
              <w:rPr>
                <w:sz w:val="21"/>
              </w:rPr>
            </w:pPr>
            <w:r>
              <w:rPr>
                <w:spacing w:val="-5"/>
                <w:w w:val="105"/>
                <w:sz w:val="21"/>
              </w:rPr>
              <w:t>250</w:t>
            </w:r>
          </w:p>
        </w:tc>
        <w:tc>
          <w:tcPr>
            <w:tcW w:w="1474" w:type="dxa"/>
            <w:tcBorders>
              <w:bottom w:val="nil"/>
            </w:tcBorders>
            <w:shd w:val="clear" w:color="auto" w:fill="EDECF3"/>
          </w:tcPr>
          <w:p>
            <w:pPr>
              <w:pStyle w:val="TableParagraph"/>
              <w:ind w:left="64"/>
              <w:rPr>
                <w:sz w:val="21"/>
              </w:rPr>
            </w:pPr>
            <w:r>
              <w:rPr>
                <w:spacing w:val="-4"/>
                <w:w w:val="105"/>
                <w:sz w:val="21"/>
              </w:rPr>
              <w:t>1.500</w:t>
            </w:r>
          </w:p>
        </w:tc>
        <w:tc>
          <w:tcPr>
            <w:tcW w:w="2179" w:type="dxa"/>
            <w:tcBorders>
              <w:bottom w:val="nil"/>
            </w:tcBorders>
            <w:shd w:val="clear" w:color="auto" w:fill="EDECF3"/>
          </w:tcPr>
          <w:p>
            <w:pPr>
              <w:pStyle w:val="TableParagraph"/>
              <w:ind w:left="64"/>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2411" w:type="dxa"/>
            <w:tcBorders>
              <w:bottom w:val="nil"/>
              <w:right w:val="nil"/>
            </w:tcBorders>
            <w:shd w:val="clear" w:color="auto" w:fill="EDECF3"/>
          </w:tcPr>
          <w:p>
            <w:pPr>
              <w:pStyle w:val="TableParagraph"/>
              <w:ind w:left="63"/>
              <w:rPr>
                <w:sz w:val="21"/>
              </w:rPr>
            </w:pPr>
            <w:r>
              <w:rPr>
                <w:w w:val="105"/>
                <w:sz w:val="21"/>
              </w:rPr>
              <w:t>Os</w:t>
            </w:r>
            <w:r>
              <w:rPr>
                <w:spacing w:val="11"/>
                <w:w w:val="105"/>
                <w:sz w:val="21"/>
              </w:rPr>
              <w:t> </w:t>
            </w:r>
            <w:r>
              <w:rPr>
                <w:w w:val="105"/>
                <w:sz w:val="21"/>
              </w:rPr>
              <w:t>de</w:t>
            </w:r>
            <w:r>
              <w:rPr>
                <w:spacing w:val="16"/>
                <w:w w:val="105"/>
                <w:sz w:val="21"/>
              </w:rPr>
              <w:t> </w:t>
            </w:r>
            <w:r>
              <w:rPr>
                <w:w w:val="105"/>
                <w:sz w:val="21"/>
              </w:rPr>
              <w:t>ação</w:t>
            </w:r>
            <w:r>
              <w:rPr>
                <w:spacing w:val="16"/>
                <w:w w:val="105"/>
                <w:sz w:val="21"/>
              </w:rPr>
              <w:t> </w:t>
            </w:r>
            <w:r>
              <w:rPr>
                <w:spacing w:val="-2"/>
                <w:w w:val="105"/>
                <w:sz w:val="21"/>
              </w:rPr>
              <w:t>central</w:t>
            </w:r>
          </w:p>
        </w:tc>
      </w:tr>
      <w:tr>
        <w:trPr>
          <w:trHeight w:val="298" w:hRule="atLeast"/>
        </w:trPr>
        <w:tc>
          <w:tcPr>
            <w:tcW w:w="1578" w:type="dxa"/>
            <w:tcBorders>
              <w:top w:val="nil"/>
              <w:left w:val="nil"/>
              <w:bottom w:val="nil"/>
            </w:tcBorders>
            <w:shd w:val="clear" w:color="auto" w:fill="EDECF3"/>
          </w:tcPr>
          <w:p>
            <w:pPr>
              <w:pStyle w:val="TableParagraph"/>
              <w:spacing w:before="36"/>
              <w:ind w:left="67"/>
              <w:rPr>
                <w:sz w:val="21"/>
              </w:rPr>
            </w:pPr>
            <w:r>
              <w:rPr>
                <w:spacing w:val="-2"/>
                <w:w w:val="105"/>
                <w:sz w:val="21"/>
              </w:rPr>
              <w:t>agonistas</w:t>
            </w:r>
          </w:p>
        </w:tc>
        <w:tc>
          <w:tcPr>
            <w:tcW w:w="1522" w:type="dxa"/>
            <w:tcBorders>
              <w:top w:val="nil"/>
              <w:bottom w:val="nil"/>
            </w:tcBorders>
            <w:shd w:val="clear" w:color="auto" w:fill="EDECF3"/>
          </w:tcPr>
          <w:p>
            <w:pPr>
              <w:pStyle w:val="TableParagraph"/>
              <w:spacing w:before="0"/>
              <w:ind w:left="0"/>
              <w:rPr>
                <w:rFonts w:ascii="Times New Roman"/>
                <w:sz w:val="22"/>
              </w:rPr>
            </w:pPr>
          </w:p>
        </w:tc>
        <w:tc>
          <w:tcPr>
            <w:tcW w:w="1442" w:type="dxa"/>
            <w:tcBorders>
              <w:top w:val="nil"/>
              <w:bottom w:val="nil"/>
            </w:tcBorders>
            <w:shd w:val="clear" w:color="auto" w:fill="EDECF3"/>
          </w:tcPr>
          <w:p>
            <w:pPr>
              <w:pStyle w:val="TableParagraph"/>
              <w:spacing w:before="0"/>
              <w:ind w:left="0"/>
              <w:rPr>
                <w:rFonts w:ascii="Times New Roman"/>
                <w:sz w:val="22"/>
              </w:rPr>
            </w:pPr>
          </w:p>
        </w:tc>
        <w:tc>
          <w:tcPr>
            <w:tcW w:w="1474" w:type="dxa"/>
            <w:tcBorders>
              <w:top w:val="nil"/>
              <w:bottom w:val="nil"/>
            </w:tcBorders>
            <w:shd w:val="clear" w:color="auto" w:fill="EDECF3"/>
          </w:tcPr>
          <w:p>
            <w:pPr>
              <w:pStyle w:val="TableParagraph"/>
              <w:spacing w:before="0"/>
              <w:ind w:left="0"/>
              <w:rPr>
                <w:rFonts w:ascii="Times New Roman"/>
                <w:sz w:val="22"/>
              </w:rPr>
            </w:pPr>
          </w:p>
        </w:tc>
        <w:tc>
          <w:tcPr>
            <w:tcW w:w="2179" w:type="dxa"/>
            <w:tcBorders>
              <w:top w:val="nil"/>
              <w:bottom w:val="nil"/>
            </w:tcBorders>
            <w:shd w:val="clear" w:color="auto" w:fill="EDECF3"/>
          </w:tcPr>
          <w:p>
            <w:pPr>
              <w:pStyle w:val="TableParagraph"/>
              <w:spacing w:before="0"/>
              <w:ind w:left="0"/>
              <w:rPr>
                <w:rFonts w:ascii="Times New Roman"/>
                <w:sz w:val="22"/>
              </w:rPr>
            </w:pPr>
          </w:p>
        </w:tc>
        <w:tc>
          <w:tcPr>
            <w:tcW w:w="2411" w:type="dxa"/>
            <w:tcBorders>
              <w:top w:val="nil"/>
              <w:bottom w:val="nil"/>
              <w:right w:val="nil"/>
            </w:tcBorders>
            <w:shd w:val="clear" w:color="auto" w:fill="EDECF3"/>
          </w:tcPr>
          <w:p>
            <w:pPr>
              <w:pStyle w:val="TableParagraph"/>
              <w:spacing w:before="20"/>
              <w:ind w:left="63"/>
              <w:rPr>
                <w:sz w:val="21"/>
              </w:rPr>
            </w:pPr>
            <w:r>
              <w:rPr>
                <w:spacing w:val="2"/>
                <w:sz w:val="21"/>
              </w:rPr>
              <w:t>promovem</w:t>
            </w:r>
            <w:r>
              <w:rPr>
                <w:spacing w:val="47"/>
                <w:sz w:val="21"/>
              </w:rPr>
              <w:t> </w:t>
            </w:r>
            <w:r>
              <w:rPr>
                <w:spacing w:val="-10"/>
                <w:sz w:val="21"/>
              </w:rPr>
              <w:t>a</w:t>
            </w:r>
          </w:p>
        </w:tc>
      </w:tr>
      <w:tr>
        <w:trPr>
          <w:trHeight w:val="73" w:hRule="atLeast"/>
        </w:trPr>
        <w:tc>
          <w:tcPr>
            <w:tcW w:w="1578" w:type="dxa"/>
            <w:vMerge w:val="restart"/>
            <w:tcBorders>
              <w:top w:val="nil"/>
              <w:left w:val="nil"/>
              <w:bottom w:val="nil"/>
            </w:tcBorders>
            <w:shd w:val="clear" w:color="auto" w:fill="EDECF3"/>
          </w:tcPr>
          <w:p>
            <w:pPr>
              <w:pStyle w:val="TableParagraph"/>
              <w:spacing w:before="0"/>
              <w:ind w:left="0"/>
              <w:rPr>
                <w:rFonts w:ascii="Times New Roman"/>
                <w:sz w:val="22"/>
              </w:rPr>
            </w:pPr>
          </w:p>
        </w:tc>
        <w:tc>
          <w:tcPr>
            <w:tcW w:w="1522" w:type="dxa"/>
            <w:tcBorders>
              <w:top w:val="nil"/>
            </w:tcBorders>
            <w:shd w:val="clear" w:color="auto" w:fill="EDECF3"/>
          </w:tcPr>
          <w:p>
            <w:pPr>
              <w:pStyle w:val="TableParagraph"/>
              <w:spacing w:before="0"/>
              <w:ind w:left="0"/>
              <w:rPr>
                <w:rFonts w:ascii="Times New Roman"/>
                <w:sz w:val="2"/>
              </w:rPr>
            </w:pPr>
          </w:p>
        </w:tc>
        <w:tc>
          <w:tcPr>
            <w:tcW w:w="1442" w:type="dxa"/>
            <w:tcBorders>
              <w:top w:val="nil"/>
            </w:tcBorders>
            <w:shd w:val="clear" w:color="auto" w:fill="EDECF3"/>
          </w:tcPr>
          <w:p>
            <w:pPr>
              <w:pStyle w:val="TableParagraph"/>
              <w:spacing w:before="0"/>
              <w:ind w:left="0"/>
              <w:rPr>
                <w:rFonts w:ascii="Times New Roman"/>
                <w:sz w:val="2"/>
              </w:rPr>
            </w:pPr>
          </w:p>
        </w:tc>
        <w:tc>
          <w:tcPr>
            <w:tcW w:w="1474" w:type="dxa"/>
            <w:tcBorders>
              <w:top w:val="nil"/>
            </w:tcBorders>
            <w:shd w:val="clear" w:color="auto" w:fill="EDECF3"/>
          </w:tcPr>
          <w:p>
            <w:pPr>
              <w:pStyle w:val="TableParagraph"/>
              <w:spacing w:before="0"/>
              <w:ind w:left="0"/>
              <w:rPr>
                <w:rFonts w:ascii="Times New Roman"/>
                <w:sz w:val="2"/>
              </w:rPr>
            </w:pPr>
          </w:p>
        </w:tc>
        <w:tc>
          <w:tcPr>
            <w:tcW w:w="2179" w:type="dxa"/>
            <w:tcBorders>
              <w:top w:val="nil"/>
            </w:tcBorders>
            <w:shd w:val="clear" w:color="auto" w:fill="EDECF3"/>
          </w:tcPr>
          <w:p>
            <w:pPr>
              <w:pStyle w:val="TableParagraph"/>
              <w:spacing w:before="0"/>
              <w:ind w:left="0"/>
              <w:rPr>
                <w:rFonts w:ascii="Times New Roman"/>
                <w:sz w:val="2"/>
              </w:rPr>
            </w:pPr>
          </w:p>
        </w:tc>
        <w:tc>
          <w:tcPr>
            <w:tcW w:w="2411" w:type="dxa"/>
            <w:vMerge w:val="restart"/>
            <w:tcBorders>
              <w:top w:val="nil"/>
              <w:bottom w:val="nil"/>
              <w:right w:val="nil"/>
            </w:tcBorders>
            <w:shd w:val="clear" w:color="auto" w:fill="EDECF3"/>
          </w:tcPr>
          <w:p>
            <w:pPr>
              <w:pStyle w:val="TableParagraph"/>
              <w:spacing w:before="26"/>
              <w:ind w:left="63"/>
              <w:rPr>
                <w:sz w:val="21"/>
              </w:rPr>
            </w:pPr>
            <w:r>
              <w:rPr>
                <w:w w:val="105"/>
                <w:sz w:val="21"/>
              </w:rPr>
              <w:t>estimulação</w:t>
            </w:r>
            <w:r>
              <w:rPr>
                <w:spacing w:val="16"/>
                <w:w w:val="105"/>
                <w:sz w:val="21"/>
              </w:rPr>
              <w:t> </w:t>
            </w:r>
            <w:r>
              <w:rPr>
                <w:spacing w:val="-5"/>
                <w:w w:val="105"/>
                <w:sz w:val="21"/>
              </w:rPr>
              <w:t>dos</w:t>
            </w:r>
          </w:p>
          <w:p>
            <w:pPr>
              <w:pStyle w:val="TableParagraph"/>
              <w:spacing w:before="68"/>
              <w:ind w:left="63"/>
              <w:rPr>
                <w:sz w:val="21"/>
              </w:rPr>
            </w:pPr>
            <w:r>
              <w:rPr>
                <w:w w:val="105"/>
                <w:sz w:val="21"/>
              </w:rPr>
              <w:t>receptores</w:t>
            </w:r>
            <w:r>
              <w:rPr>
                <w:spacing w:val="43"/>
                <w:w w:val="105"/>
                <w:sz w:val="21"/>
              </w:rPr>
              <w:t> </w:t>
            </w:r>
            <w:r>
              <w:rPr>
                <w:spacing w:val="-2"/>
                <w:w w:val="105"/>
                <w:sz w:val="21"/>
              </w:rPr>
              <w:t>alfa</w:t>
            </w:r>
            <w:r>
              <w:rPr>
                <w:spacing w:val="-2"/>
                <w:w w:val="105"/>
                <w:sz w:val="21"/>
                <w:vertAlign w:val="subscript"/>
              </w:rPr>
              <w:t>2</w:t>
            </w:r>
            <w:r>
              <w:rPr>
                <w:spacing w:val="-2"/>
                <w:w w:val="105"/>
                <w:sz w:val="21"/>
                <w:vertAlign w:val="baseline"/>
              </w:rPr>
              <w:t>-</w:t>
            </w:r>
          </w:p>
        </w:tc>
      </w:tr>
      <w:tr>
        <w:trPr>
          <w:trHeight w:val="528" w:hRule="atLeast"/>
        </w:trPr>
        <w:tc>
          <w:tcPr>
            <w:tcW w:w="1578" w:type="dxa"/>
            <w:vMerge/>
            <w:tcBorders>
              <w:top w:val="nil"/>
              <w:left w:val="nil"/>
              <w:bottom w:val="nil"/>
            </w:tcBorders>
            <w:shd w:val="clear" w:color="auto" w:fill="EDECF3"/>
          </w:tcPr>
          <w:p>
            <w:pPr>
              <w:rPr>
                <w:sz w:val="2"/>
                <w:szCs w:val="2"/>
              </w:rPr>
            </w:pPr>
          </w:p>
        </w:tc>
        <w:tc>
          <w:tcPr>
            <w:tcW w:w="1522" w:type="dxa"/>
            <w:tcBorders>
              <w:bottom w:val="nil"/>
            </w:tcBorders>
            <w:shd w:val="clear" w:color="auto" w:fill="EDECF3"/>
          </w:tcPr>
          <w:p>
            <w:pPr>
              <w:pStyle w:val="TableParagraph"/>
              <w:rPr>
                <w:sz w:val="21"/>
              </w:rPr>
            </w:pPr>
            <w:r>
              <w:rPr>
                <w:spacing w:val="-2"/>
                <w:sz w:val="21"/>
              </w:rPr>
              <w:t>Clonidina</w:t>
            </w:r>
          </w:p>
        </w:tc>
        <w:tc>
          <w:tcPr>
            <w:tcW w:w="1442" w:type="dxa"/>
            <w:tcBorders>
              <w:bottom w:val="nil"/>
            </w:tcBorders>
            <w:shd w:val="clear" w:color="auto" w:fill="EDECF3"/>
          </w:tcPr>
          <w:p>
            <w:pPr>
              <w:pStyle w:val="TableParagraph"/>
              <w:rPr>
                <w:sz w:val="21"/>
              </w:rPr>
            </w:pPr>
            <w:r>
              <w:rPr>
                <w:spacing w:val="-5"/>
                <w:w w:val="105"/>
                <w:sz w:val="21"/>
              </w:rPr>
              <w:t>0,1</w:t>
            </w:r>
          </w:p>
        </w:tc>
        <w:tc>
          <w:tcPr>
            <w:tcW w:w="1474" w:type="dxa"/>
            <w:tcBorders>
              <w:bottom w:val="nil"/>
            </w:tcBorders>
            <w:shd w:val="clear" w:color="auto" w:fill="EDECF3"/>
          </w:tcPr>
          <w:p>
            <w:pPr>
              <w:pStyle w:val="TableParagraph"/>
              <w:ind w:left="64"/>
              <w:rPr>
                <w:sz w:val="21"/>
              </w:rPr>
            </w:pPr>
            <w:r>
              <w:rPr>
                <w:spacing w:val="-5"/>
                <w:w w:val="105"/>
                <w:sz w:val="21"/>
              </w:rPr>
              <w:t>0,6</w:t>
            </w:r>
          </w:p>
        </w:tc>
        <w:tc>
          <w:tcPr>
            <w:tcW w:w="2179" w:type="dxa"/>
            <w:tcBorders>
              <w:bottom w:val="nil"/>
            </w:tcBorders>
            <w:shd w:val="clear" w:color="auto" w:fill="EDECF3"/>
          </w:tcPr>
          <w:p>
            <w:pPr>
              <w:pStyle w:val="TableParagraph"/>
              <w:ind w:left="63"/>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2411" w:type="dxa"/>
            <w:vMerge/>
            <w:tcBorders>
              <w:top w:val="nil"/>
              <w:bottom w:val="nil"/>
              <w:right w:val="nil"/>
            </w:tcBorders>
            <w:shd w:val="clear" w:color="auto" w:fill="EDECF3"/>
          </w:tcPr>
          <w:p>
            <w:pPr>
              <w:rPr>
                <w:sz w:val="2"/>
                <w:szCs w:val="2"/>
              </w:rPr>
            </w:pPr>
          </w:p>
        </w:tc>
      </w:tr>
      <w:tr>
        <w:trPr>
          <w:trHeight w:val="236" w:hRule="atLeast"/>
        </w:trPr>
        <w:tc>
          <w:tcPr>
            <w:tcW w:w="1578" w:type="dxa"/>
            <w:vMerge w:val="restart"/>
            <w:tcBorders>
              <w:top w:val="nil"/>
              <w:left w:val="nil"/>
              <w:bottom w:val="nil"/>
            </w:tcBorders>
            <w:shd w:val="clear" w:color="auto" w:fill="EDECF3"/>
          </w:tcPr>
          <w:p>
            <w:pPr>
              <w:pStyle w:val="TableParagraph"/>
              <w:spacing w:before="0"/>
              <w:ind w:left="0"/>
              <w:rPr>
                <w:rFonts w:ascii="Times New Roman"/>
                <w:sz w:val="22"/>
              </w:rPr>
            </w:pPr>
          </w:p>
        </w:tc>
        <w:tc>
          <w:tcPr>
            <w:tcW w:w="1522" w:type="dxa"/>
            <w:tcBorders>
              <w:top w:val="nil"/>
            </w:tcBorders>
            <w:shd w:val="clear" w:color="auto" w:fill="EDECF3"/>
          </w:tcPr>
          <w:p>
            <w:pPr>
              <w:pStyle w:val="TableParagraph"/>
              <w:spacing w:before="0"/>
              <w:ind w:left="0"/>
              <w:rPr>
                <w:rFonts w:ascii="Times New Roman"/>
                <w:sz w:val="16"/>
              </w:rPr>
            </w:pPr>
          </w:p>
        </w:tc>
        <w:tc>
          <w:tcPr>
            <w:tcW w:w="1442" w:type="dxa"/>
            <w:tcBorders>
              <w:top w:val="nil"/>
            </w:tcBorders>
            <w:shd w:val="clear" w:color="auto" w:fill="EDECF3"/>
          </w:tcPr>
          <w:p>
            <w:pPr>
              <w:pStyle w:val="TableParagraph"/>
              <w:spacing w:before="0"/>
              <w:ind w:left="0"/>
              <w:rPr>
                <w:rFonts w:ascii="Times New Roman"/>
                <w:sz w:val="16"/>
              </w:rPr>
            </w:pPr>
          </w:p>
        </w:tc>
        <w:tc>
          <w:tcPr>
            <w:tcW w:w="1474" w:type="dxa"/>
            <w:tcBorders>
              <w:top w:val="nil"/>
            </w:tcBorders>
            <w:shd w:val="clear" w:color="auto" w:fill="EDECF3"/>
          </w:tcPr>
          <w:p>
            <w:pPr>
              <w:pStyle w:val="TableParagraph"/>
              <w:spacing w:before="0"/>
              <w:ind w:left="0"/>
              <w:rPr>
                <w:rFonts w:ascii="Times New Roman"/>
                <w:sz w:val="16"/>
              </w:rPr>
            </w:pPr>
          </w:p>
        </w:tc>
        <w:tc>
          <w:tcPr>
            <w:tcW w:w="2179" w:type="dxa"/>
            <w:tcBorders>
              <w:top w:val="nil"/>
            </w:tcBorders>
            <w:shd w:val="clear" w:color="auto" w:fill="EDECF3"/>
          </w:tcPr>
          <w:p>
            <w:pPr>
              <w:pStyle w:val="TableParagraph"/>
              <w:spacing w:before="0"/>
              <w:ind w:left="0"/>
              <w:rPr>
                <w:rFonts w:ascii="Times New Roman"/>
                <w:sz w:val="16"/>
              </w:rPr>
            </w:pPr>
          </w:p>
        </w:tc>
        <w:tc>
          <w:tcPr>
            <w:tcW w:w="2411" w:type="dxa"/>
            <w:vMerge w:val="restart"/>
            <w:tcBorders>
              <w:top w:val="nil"/>
              <w:bottom w:val="nil"/>
              <w:right w:val="nil"/>
            </w:tcBorders>
            <w:shd w:val="clear" w:color="auto" w:fill="EDECF3"/>
          </w:tcPr>
          <w:p>
            <w:pPr>
              <w:pStyle w:val="TableParagraph"/>
              <w:spacing w:before="28"/>
              <w:ind w:left="63"/>
              <w:rPr>
                <w:sz w:val="21"/>
              </w:rPr>
            </w:pPr>
            <w:r>
              <w:rPr>
                <w:spacing w:val="4"/>
                <w:sz w:val="21"/>
              </w:rPr>
              <w:t>adrenérgicos</w:t>
            </w:r>
            <w:r>
              <w:rPr>
                <w:spacing w:val="63"/>
                <w:sz w:val="21"/>
              </w:rPr>
              <w:t> </w:t>
            </w:r>
            <w:r>
              <w:rPr>
                <w:spacing w:val="-4"/>
                <w:sz w:val="21"/>
              </w:rPr>
              <w:t>pré-</w:t>
            </w:r>
          </w:p>
        </w:tc>
      </w:tr>
      <w:tr>
        <w:trPr>
          <w:trHeight w:val="42" w:hRule="atLeast"/>
        </w:trPr>
        <w:tc>
          <w:tcPr>
            <w:tcW w:w="1578" w:type="dxa"/>
            <w:vMerge/>
            <w:tcBorders>
              <w:top w:val="nil"/>
              <w:left w:val="nil"/>
              <w:bottom w:val="nil"/>
            </w:tcBorders>
            <w:shd w:val="clear" w:color="auto" w:fill="EDECF3"/>
          </w:tcPr>
          <w:p>
            <w:pPr>
              <w:rPr>
                <w:sz w:val="2"/>
                <w:szCs w:val="2"/>
              </w:rPr>
            </w:pPr>
          </w:p>
        </w:tc>
        <w:tc>
          <w:tcPr>
            <w:tcW w:w="1522" w:type="dxa"/>
            <w:tcBorders>
              <w:bottom w:val="nil"/>
            </w:tcBorders>
            <w:shd w:val="clear" w:color="auto" w:fill="EDECF3"/>
          </w:tcPr>
          <w:p>
            <w:pPr>
              <w:pStyle w:val="TableParagraph"/>
              <w:spacing w:before="0"/>
              <w:ind w:left="0"/>
              <w:rPr>
                <w:rFonts w:ascii="Times New Roman"/>
                <w:sz w:val="2"/>
              </w:rPr>
            </w:pPr>
          </w:p>
        </w:tc>
        <w:tc>
          <w:tcPr>
            <w:tcW w:w="1442" w:type="dxa"/>
            <w:tcBorders>
              <w:bottom w:val="nil"/>
            </w:tcBorders>
            <w:shd w:val="clear" w:color="auto" w:fill="EDECF3"/>
          </w:tcPr>
          <w:p>
            <w:pPr>
              <w:pStyle w:val="TableParagraph"/>
              <w:spacing w:before="0"/>
              <w:ind w:left="0"/>
              <w:rPr>
                <w:rFonts w:ascii="Times New Roman"/>
                <w:sz w:val="2"/>
              </w:rPr>
            </w:pPr>
          </w:p>
        </w:tc>
        <w:tc>
          <w:tcPr>
            <w:tcW w:w="1474" w:type="dxa"/>
            <w:tcBorders>
              <w:bottom w:val="nil"/>
            </w:tcBorders>
            <w:shd w:val="clear" w:color="auto" w:fill="EDECF3"/>
          </w:tcPr>
          <w:p>
            <w:pPr>
              <w:pStyle w:val="TableParagraph"/>
              <w:spacing w:before="0"/>
              <w:ind w:left="0"/>
              <w:rPr>
                <w:rFonts w:ascii="Times New Roman"/>
                <w:sz w:val="2"/>
              </w:rPr>
            </w:pPr>
          </w:p>
        </w:tc>
        <w:tc>
          <w:tcPr>
            <w:tcW w:w="2179" w:type="dxa"/>
            <w:tcBorders>
              <w:bottom w:val="nil"/>
            </w:tcBorders>
            <w:shd w:val="clear" w:color="auto" w:fill="EDECF3"/>
          </w:tcPr>
          <w:p>
            <w:pPr>
              <w:pStyle w:val="TableParagraph"/>
              <w:spacing w:before="0"/>
              <w:ind w:left="0"/>
              <w:rPr>
                <w:rFonts w:ascii="Times New Roman"/>
                <w:sz w:val="2"/>
              </w:rPr>
            </w:pPr>
          </w:p>
        </w:tc>
        <w:tc>
          <w:tcPr>
            <w:tcW w:w="2411" w:type="dxa"/>
            <w:vMerge/>
            <w:tcBorders>
              <w:top w:val="nil"/>
              <w:bottom w:val="nil"/>
              <w:right w:val="nil"/>
            </w:tcBorders>
            <w:shd w:val="clear" w:color="auto" w:fill="EDECF3"/>
          </w:tcPr>
          <w:p>
            <w:pPr>
              <w:rPr>
                <w:sz w:val="2"/>
                <w:szCs w:val="2"/>
              </w:rPr>
            </w:pPr>
          </w:p>
        </w:tc>
      </w:tr>
      <w:tr>
        <w:trPr>
          <w:trHeight w:val="312" w:hRule="atLeast"/>
        </w:trPr>
        <w:tc>
          <w:tcPr>
            <w:tcW w:w="1578" w:type="dxa"/>
            <w:tcBorders>
              <w:top w:val="nil"/>
              <w:left w:val="nil"/>
              <w:bottom w:val="nil"/>
            </w:tcBorders>
            <w:shd w:val="clear" w:color="auto" w:fill="EDECF3"/>
          </w:tcPr>
          <w:p>
            <w:pPr>
              <w:pStyle w:val="TableParagraph"/>
              <w:spacing w:before="0"/>
              <w:ind w:left="0"/>
              <w:rPr>
                <w:rFonts w:ascii="Times New Roman"/>
                <w:sz w:val="22"/>
              </w:rPr>
            </w:pPr>
          </w:p>
        </w:tc>
        <w:tc>
          <w:tcPr>
            <w:tcW w:w="1522" w:type="dxa"/>
            <w:tcBorders>
              <w:top w:val="nil"/>
              <w:bottom w:val="nil"/>
            </w:tcBorders>
            <w:shd w:val="clear" w:color="auto" w:fill="EDECF3"/>
          </w:tcPr>
          <w:p>
            <w:pPr>
              <w:pStyle w:val="TableParagraph"/>
              <w:spacing w:before="50"/>
              <w:rPr>
                <w:sz w:val="21"/>
              </w:rPr>
            </w:pPr>
            <w:r>
              <w:rPr>
                <w:spacing w:val="-2"/>
                <w:w w:val="105"/>
                <w:sz w:val="21"/>
              </w:rPr>
              <w:t>Guanabenzo</w:t>
            </w:r>
          </w:p>
        </w:tc>
        <w:tc>
          <w:tcPr>
            <w:tcW w:w="1442" w:type="dxa"/>
            <w:tcBorders>
              <w:top w:val="nil"/>
              <w:bottom w:val="nil"/>
            </w:tcBorders>
            <w:shd w:val="clear" w:color="auto" w:fill="EDECF3"/>
          </w:tcPr>
          <w:p>
            <w:pPr>
              <w:pStyle w:val="TableParagraph"/>
              <w:spacing w:before="50"/>
              <w:rPr>
                <w:sz w:val="21"/>
              </w:rPr>
            </w:pPr>
            <w:r>
              <w:rPr>
                <w:spacing w:val="-10"/>
                <w:w w:val="105"/>
                <w:sz w:val="21"/>
              </w:rPr>
              <w:t>4</w:t>
            </w:r>
          </w:p>
        </w:tc>
        <w:tc>
          <w:tcPr>
            <w:tcW w:w="1474" w:type="dxa"/>
            <w:tcBorders>
              <w:top w:val="nil"/>
              <w:bottom w:val="nil"/>
            </w:tcBorders>
            <w:shd w:val="clear" w:color="auto" w:fill="EDECF3"/>
          </w:tcPr>
          <w:p>
            <w:pPr>
              <w:pStyle w:val="TableParagraph"/>
              <w:spacing w:before="50"/>
              <w:ind w:left="64"/>
              <w:rPr>
                <w:sz w:val="21"/>
              </w:rPr>
            </w:pPr>
            <w:r>
              <w:rPr>
                <w:spacing w:val="-5"/>
                <w:w w:val="105"/>
                <w:sz w:val="21"/>
              </w:rPr>
              <w:t>12</w:t>
            </w:r>
          </w:p>
        </w:tc>
        <w:tc>
          <w:tcPr>
            <w:tcW w:w="2179" w:type="dxa"/>
            <w:tcBorders>
              <w:top w:val="nil"/>
              <w:bottom w:val="nil"/>
            </w:tcBorders>
            <w:shd w:val="clear" w:color="auto" w:fill="EDECF3"/>
          </w:tcPr>
          <w:p>
            <w:pPr>
              <w:pStyle w:val="TableParagraph"/>
              <w:spacing w:before="50"/>
              <w:ind w:left="63"/>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2411" w:type="dxa"/>
            <w:tcBorders>
              <w:top w:val="nil"/>
              <w:bottom w:val="nil"/>
              <w:right w:val="nil"/>
            </w:tcBorders>
            <w:shd w:val="clear" w:color="auto" w:fill="EDECF3"/>
          </w:tcPr>
          <w:p>
            <w:pPr>
              <w:pStyle w:val="TableParagraph"/>
              <w:spacing w:before="34"/>
              <w:ind w:left="63"/>
              <w:rPr>
                <w:sz w:val="21"/>
              </w:rPr>
            </w:pPr>
            <w:r>
              <w:rPr>
                <w:w w:val="105"/>
                <w:sz w:val="21"/>
              </w:rPr>
              <w:t>sinápticos,</w:t>
            </w:r>
            <w:r>
              <w:rPr>
                <w:spacing w:val="24"/>
                <w:w w:val="105"/>
                <w:sz w:val="21"/>
              </w:rPr>
              <w:t> </w:t>
            </w:r>
            <w:r>
              <w:rPr>
                <w:spacing w:val="-2"/>
                <w:w w:val="105"/>
                <w:sz w:val="21"/>
              </w:rPr>
              <w:t>reduzindo</w:t>
            </w:r>
          </w:p>
        </w:tc>
      </w:tr>
      <w:tr>
        <w:trPr>
          <w:trHeight w:val="296" w:hRule="atLeast"/>
        </w:trPr>
        <w:tc>
          <w:tcPr>
            <w:tcW w:w="1578" w:type="dxa"/>
            <w:tcBorders>
              <w:top w:val="nil"/>
              <w:left w:val="nil"/>
              <w:bottom w:val="nil"/>
            </w:tcBorders>
            <w:shd w:val="clear" w:color="auto" w:fill="EDECF3"/>
          </w:tcPr>
          <w:p>
            <w:pPr>
              <w:pStyle w:val="TableParagraph"/>
              <w:spacing w:before="0"/>
              <w:ind w:left="0"/>
              <w:rPr>
                <w:rFonts w:ascii="Times New Roman"/>
                <w:sz w:val="22"/>
              </w:rPr>
            </w:pPr>
          </w:p>
        </w:tc>
        <w:tc>
          <w:tcPr>
            <w:tcW w:w="1522" w:type="dxa"/>
            <w:tcBorders>
              <w:top w:val="nil"/>
              <w:bottom w:val="nil"/>
            </w:tcBorders>
            <w:shd w:val="clear" w:color="auto" w:fill="EDECF3"/>
          </w:tcPr>
          <w:p>
            <w:pPr>
              <w:pStyle w:val="TableParagraph"/>
              <w:spacing w:before="0"/>
              <w:ind w:left="0"/>
              <w:rPr>
                <w:rFonts w:ascii="Times New Roman"/>
                <w:sz w:val="22"/>
              </w:rPr>
            </w:pPr>
          </w:p>
        </w:tc>
        <w:tc>
          <w:tcPr>
            <w:tcW w:w="1442" w:type="dxa"/>
            <w:tcBorders>
              <w:top w:val="nil"/>
              <w:bottom w:val="nil"/>
            </w:tcBorders>
            <w:shd w:val="clear" w:color="auto" w:fill="EDECF3"/>
          </w:tcPr>
          <w:p>
            <w:pPr>
              <w:pStyle w:val="TableParagraph"/>
              <w:spacing w:before="0"/>
              <w:ind w:left="0"/>
              <w:rPr>
                <w:rFonts w:ascii="Times New Roman"/>
                <w:sz w:val="22"/>
              </w:rPr>
            </w:pPr>
          </w:p>
        </w:tc>
        <w:tc>
          <w:tcPr>
            <w:tcW w:w="1474" w:type="dxa"/>
            <w:tcBorders>
              <w:top w:val="nil"/>
              <w:bottom w:val="nil"/>
            </w:tcBorders>
            <w:shd w:val="clear" w:color="auto" w:fill="EDECF3"/>
          </w:tcPr>
          <w:p>
            <w:pPr>
              <w:pStyle w:val="TableParagraph"/>
              <w:spacing w:before="0"/>
              <w:ind w:left="0"/>
              <w:rPr>
                <w:rFonts w:ascii="Times New Roman"/>
                <w:sz w:val="22"/>
              </w:rPr>
            </w:pPr>
          </w:p>
        </w:tc>
        <w:tc>
          <w:tcPr>
            <w:tcW w:w="2179" w:type="dxa"/>
            <w:tcBorders>
              <w:top w:val="nil"/>
              <w:bottom w:val="nil"/>
            </w:tcBorders>
            <w:shd w:val="clear" w:color="auto" w:fill="EDECF3"/>
          </w:tcPr>
          <w:p>
            <w:pPr>
              <w:pStyle w:val="TableParagraph"/>
              <w:spacing w:before="0"/>
              <w:ind w:left="0"/>
              <w:rPr>
                <w:rFonts w:ascii="Times New Roman"/>
                <w:sz w:val="22"/>
              </w:rPr>
            </w:pPr>
          </w:p>
        </w:tc>
        <w:tc>
          <w:tcPr>
            <w:tcW w:w="2411" w:type="dxa"/>
            <w:tcBorders>
              <w:top w:val="nil"/>
              <w:bottom w:val="nil"/>
              <w:right w:val="nil"/>
            </w:tcBorders>
            <w:shd w:val="clear" w:color="auto" w:fill="EDECF3"/>
          </w:tcPr>
          <w:p>
            <w:pPr>
              <w:pStyle w:val="TableParagraph"/>
              <w:spacing w:before="26"/>
              <w:ind w:left="63"/>
              <w:rPr>
                <w:sz w:val="21"/>
              </w:rPr>
            </w:pPr>
            <w:r>
              <w:rPr>
                <w:w w:val="105"/>
                <w:sz w:val="21"/>
              </w:rPr>
              <w:t>o</w:t>
            </w:r>
            <w:r>
              <w:rPr>
                <w:spacing w:val="16"/>
                <w:w w:val="105"/>
                <w:sz w:val="21"/>
              </w:rPr>
              <w:t> </w:t>
            </w:r>
            <w:r>
              <w:rPr>
                <w:w w:val="105"/>
                <w:sz w:val="21"/>
              </w:rPr>
              <w:t>tônus</w:t>
            </w:r>
            <w:r>
              <w:rPr>
                <w:spacing w:val="12"/>
                <w:w w:val="105"/>
                <w:sz w:val="21"/>
              </w:rPr>
              <w:t> </w:t>
            </w:r>
            <w:r>
              <w:rPr>
                <w:w w:val="105"/>
                <w:sz w:val="21"/>
              </w:rPr>
              <w:t>simpático;</w:t>
            </w:r>
            <w:r>
              <w:rPr>
                <w:spacing w:val="13"/>
                <w:w w:val="105"/>
                <w:sz w:val="21"/>
              </w:rPr>
              <w:t> </w:t>
            </w:r>
            <w:r>
              <w:rPr>
                <w:spacing w:val="-5"/>
                <w:w w:val="105"/>
                <w:sz w:val="21"/>
              </w:rPr>
              <w:t>os</w:t>
            </w:r>
          </w:p>
        </w:tc>
      </w:tr>
      <w:tr>
        <w:trPr>
          <w:trHeight w:val="114" w:hRule="atLeast"/>
        </w:trPr>
        <w:tc>
          <w:tcPr>
            <w:tcW w:w="1578" w:type="dxa"/>
            <w:tcBorders>
              <w:top w:val="nil"/>
              <w:left w:val="nil"/>
            </w:tcBorders>
            <w:shd w:val="clear" w:color="auto" w:fill="EDECF3"/>
          </w:tcPr>
          <w:p>
            <w:pPr>
              <w:pStyle w:val="TableParagraph"/>
              <w:spacing w:before="0"/>
              <w:ind w:left="0"/>
              <w:rPr>
                <w:rFonts w:ascii="Times New Roman"/>
                <w:sz w:val="6"/>
              </w:rPr>
            </w:pPr>
          </w:p>
        </w:tc>
        <w:tc>
          <w:tcPr>
            <w:tcW w:w="1522" w:type="dxa"/>
            <w:tcBorders>
              <w:top w:val="nil"/>
            </w:tcBorders>
            <w:shd w:val="clear" w:color="auto" w:fill="EDECF3"/>
          </w:tcPr>
          <w:p>
            <w:pPr>
              <w:pStyle w:val="TableParagraph"/>
              <w:spacing w:before="0"/>
              <w:ind w:left="0"/>
              <w:rPr>
                <w:rFonts w:ascii="Times New Roman"/>
                <w:sz w:val="6"/>
              </w:rPr>
            </w:pPr>
          </w:p>
        </w:tc>
        <w:tc>
          <w:tcPr>
            <w:tcW w:w="1442" w:type="dxa"/>
            <w:tcBorders>
              <w:top w:val="nil"/>
            </w:tcBorders>
            <w:shd w:val="clear" w:color="auto" w:fill="EDECF3"/>
          </w:tcPr>
          <w:p>
            <w:pPr>
              <w:pStyle w:val="TableParagraph"/>
              <w:spacing w:before="0"/>
              <w:ind w:left="0"/>
              <w:rPr>
                <w:rFonts w:ascii="Times New Roman"/>
                <w:sz w:val="6"/>
              </w:rPr>
            </w:pPr>
          </w:p>
        </w:tc>
        <w:tc>
          <w:tcPr>
            <w:tcW w:w="1474" w:type="dxa"/>
            <w:tcBorders>
              <w:top w:val="nil"/>
            </w:tcBorders>
            <w:shd w:val="clear" w:color="auto" w:fill="EDECF3"/>
          </w:tcPr>
          <w:p>
            <w:pPr>
              <w:pStyle w:val="TableParagraph"/>
              <w:spacing w:before="0"/>
              <w:ind w:left="0"/>
              <w:rPr>
                <w:rFonts w:ascii="Times New Roman"/>
                <w:sz w:val="6"/>
              </w:rPr>
            </w:pPr>
          </w:p>
        </w:tc>
        <w:tc>
          <w:tcPr>
            <w:tcW w:w="2179" w:type="dxa"/>
            <w:tcBorders>
              <w:top w:val="nil"/>
            </w:tcBorders>
            <w:shd w:val="clear" w:color="auto" w:fill="EDECF3"/>
          </w:tcPr>
          <w:p>
            <w:pPr>
              <w:pStyle w:val="TableParagraph"/>
              <w:spacing w:before="0"/>
              <w:ind w:left="0"/>
              <w:rPr>
                <w:rFonts w:ascii="Times New Roman"/>
                <w:sz w:val="6"/>
              </w:rPr>
            </w:pPr>
          </w:p>
        </w:tc>
        <w:tc>
          <w:tcPr>
            <w:tcW w:w="2411" w:type="dxa"/>
            <w:vMerge w:val="restart"/>
            <w:tcBorders>
              <w:top w:val="nil"/>
              <w:bottom w:val="nil"/>
              <w:right w:val="nil"/>
            </w:tcBorders>
            <w:shd w:val="clear" w:color="auto" w:fill="EDECF3"/>
          </w:tcPr>
          <w:p>
            <w:pPr>
              <w:pStyle w:val="TableParagraph"/>
              <w:spacing w:before="34"/>
              <w:ind w:left="63"/>
              <w:rPr>
                <w:sz w:val="21"/>
              </w:rPr>
            </w:pPr>
            <w:r>
              <w:rPr>
                <w:spacing w:val="-2"/>
                <w:w w:val="105"/>
                <w:sz w:val="21"/>
              </w:rPr>
              <w:t>bloqueadores</w:t>
            </w:r>
          </w:p>
          <w:p>
            <w:pPr>
              <w:pStyle w:val="TableParagraph"/>
              <w:spacing w:before="66"/>
              <w:ind w:left="63"/>
              <w:rPr>
                <w:sz w:val="21"/>
              </w:rPr>
            </w:pPr>
            <w:r>
              <w:rPr>
                <w:w w:val="105"/>
                <w:sz w:val="21"/>
              </w:rPr>
              <w:t>imidazolínicos</w:t>
            </w:r>
            <w:r>
              <w:rPr>
                <w:spacing w:val="23"/>
                <w:w w:val="105"/>
                <w:sz w:val="21"/>
              </w:rPr>
              <w:t> </w:t>
            </w:r>
            <w:r>
              <w:rPr>
                <w:spacing w:val="-5"/>
                <w:w w:val="105"/>
                <w:sz w:val="21"/>
              </w:rPr>
              <w:t>têm</w:t>
            </w:r>
          </w:p>
        </w:tc>
      </w:tr>
      <w:tr>
        <w:trPr>
          <w:trHeight w:val="474" w:hRule="atLeast"/>
        </w:trPr>
        <w:tc>
          <w:tcPr>
            <w:tcW w:w="1578" w:type="dxa"/>
            <w:tcBorders>
              <w:left w:val="nil"/>
              <w:bottom w:val="nil"/>
            </w:tcBorders>
            <w:shd w:val="clear" w:color="auto" w:fill="EDECF3"/>
          </w:tcPr>
          <w:p>
            <w:pPr>
              <w:pStyle w:val="TableParagraph"/>
              <w:ind w:left="67"/>
              <w:rPr>
                <w:sz w:val="21"/>
              </w:rPr>
            </w:pPr>
            <w:r>
              <w:rPr>
                <w:spacing w:val="-2"/>
                <w:w w:val="105"/>
                <w:sz w:val="21"/>
              </w:rPr>
              <w:t>Imidazolínicos</w:t>
            </w:r>
          </w:p>
        </w:tc>
        <w:tc>
          <w:tcPr>
            <w:tcW w:w="1522" w:type="dxa"/>
            <w:tcBorders>
              <w:bottom w:val="nil"/>
            </w:tcBorders>
            <w:shd w:val="clear" w:color="auto" w:fill="EDECF3"/>
          </w:tcPr>
          <w:p>
            <w:pPr>
              <w:pStyle w:val="TableParagraph"/>
              <w:rPr>
                <w:sz w:val="21"/>
              </w:rPr>
            </w:pPr>
            <w:r>
              <w:rPr>
                <w:spacing w:val="-2"/>
                <w:w w:val="105"/>
                <w:sz w:val="21"/>
              </w:rPr>
              <w:t>Monoxidina</w:t>
            </w:r>
          </w:p>
        </w:tc>
        <w:tc>
          <w:tcPr>
            <w:tcW w:w="1442" w:type="dxa"/>
            <w:tcBorders>
              <w:bottom w:val="nil"/>
            </w:tcBorders>
            <w:shd w:val="clear" w:color="auto" w:fill="EDECF3"/>
          </w:tcPr>
          <w:p>
            <w:pPr>
              <w:pStyle w:val="TableParagraph"/>
              <w:rPr>
                <w:sz w:val="21"/>
              </w:rPr>
            </w:pPr>
            <w:r>
              <w:rPr>
                <w:spacing w:val="-5"/>
                <w:w w:val="105"/>
                <w:sz w:val="21"/>
              </w:rPr>
              <w:t>0,2</w:t>
            </w:r>
          </w:p>
        </w:tc>
        <w:tc>
          <w:tcPr>
            <w:tcW w:w="1474" w:type="dxa"/>
            <w:tcBorders>
              <w:bottom w:val="nil"/>
            </w:tcBorders>
            <w:shd w:val="clear" w:color="auto" w:fill="EDECF3"/>
          </w:tcPr>
          <w:p>
            <w:pPr>
              <w:pStyle w:val="TableParagraph"/>
              <w:ind w:left="64"/>
              <w:rPr>
                <w:sz w:val="21"/>
              </w:rPr>
            </w:pPr>
            <w:r>
              <w:rPr>
                <w:spacing w:val="-5"/>
                <w:w w:val="105"/>
                <w:sz w:val="21"/>
              </w:rPr>
              <w:t>0,4</w:t>
            </w:r>
          </w:p>
        </w:tc>
        <w:tc>
          <w:tcPr>
            <w:tcW w:w="2179" w:type="dxa"/>
            <w:tcBorders>
              <w:bottom w:val="nil"/>
            </w:tcBorders>
            <w:shd w:val="clear" w:color="auto" w:fill="EDECF3"/>
          </w:tcPr>
          <w:p>
            <w:pPr>
              <w:pStyle w:val="TableParagraph"/>
              <w:ind w:left="63"/>
              <w:rPr>
                <w:sz w:val="21"/>
              </w:rPr>
            </w:pPr>
            <w:r>
              <w:rPr>
                <w:spacing w:val="-10"/>
                <w:w w:val="105"/>
                <w:sz w:val="21"/>
              </w:rPr>
              <w:t>1</w:t>
            </w:r>
          </w:p>
        </w:tc>
        <w:tc>
          <w:tcPr>
            <w:tcW w:w="2411" w:type="dxa"/>
            <w:vMerge/>
            <w:tcBorders>
              <w:top w:val="nil"/>
              <w:bottom w:val="nil"/>
              <w:right w:val="nil"/>
            </w:tcBorders>
            <w:shd w:val="clear" w:color="auto" w:fill="EDECF3"/>
          </w:tcPr>
          <w:p>
            <w:pPr>
              <w:rPr>
                <w:sz w:val="2"/>
                <w:szCs w:val="2"/>
              </w:rPr>
            </w:pPr>
          </w:p>
        </w:tc>
      </w:tr>
      <w:tr>
        <w:trPr>
          <w:trHeight w:val="290" w:hRule="atLeast"/>
        </w:trPr>
        <w:tc>
          <w:tcPr>
            <w:tcW w:w="1578" w:type="dxa"/>
            <w:tcBorders>
              <w:top w:val="nil"/>
              <w:left w:val="nil"/>
              <w:bottom w:val="nil"/>
            </w:tcBorders>
            <w:shd w:val="clear" w:color="auto" w:fill="EDECF3"/>
          </w:tcPr>
          <w:p>
            <w:pPr>
              <w:pStyle w:val="TableParagraph"/>
              <w:spacing w:before="0"/>
              <w:ind w:left="0"/>
              <w:rPr>
                <w:rFonts w:ascii="Times New Roman"/>
                <w:sz w:val="20"/>
              </w:rPr>
            </w:pPr>
          </w:p>
        </w:tc>
        <w:tc>
          <w:tcPr>
            <w:tcW w:w="1522" w:type="dxa"/>
            <w:tcBorders>
              <w:top w:val="nil"/>
            </w:tcBorders>
            <w:shd w:val="clear" w:color="auto" w:fill="EDECF3"/>
          </w:tcPr>
          <w:p>
            <w:pPr>
              <w:pStyle w:val="TableParagraph"/>
              <w:spacing w:before="0"/>
              <w:ind w:left="0"/>
              <w:rPr>
                <w:rFonts w:ascii="Times New Roman"/>
                <w:sz w:val="20"/>
              </w:rPr>
            </w:pPr>
          </w:p>
        </w:tc>
        <w:tc>
          <w:tcPr>
            <w:tcW w:w="1442" w:type="dxa"/>
            <w:tcBorders>
              <w:top w:val="nil"/>
            </w:tcBorders>
            <w:shd w:val="clear" w:color="auto" w:fill="EDECF3"/>
          </w:tcPr>
          <w:p>
            <w:pPr>
              <w:pStyle w:val="TableParagraph"/>
              <w:spacing w:before="0"/>
              <w:ind w:left="0"/>
              <w:rPr>
                <w:rFonts w:ascii="Times New Roman"/>
                <w:sz w:val="20"/>
              </w:rPr>
            </w:pPr>
          </w:p>
        </w:tc>
        <w:tc>
          <w:tcPr>
            <w:tcW w:w="1474" w:type="dxa"/>
            <w:tcBorders>
              <w:top w:val="nil"/>
            </w:tcBorders>
            <w:shd w:val="clear" w:color="auto" w:fill="EDECF3"/>
          </w:tcPr>
          <w:p>
            <w:pPr>
              <w:pStyle w:val="TableParagraph"/>
              <w:spacing w:before="0"/>
              <w:ind w:left="0"/>
              <w:rPr>
                <w:rFonts w:ascii="Times New Roman"/>
                <w:sz w:val="20"/>
              </w:rPr>
            </w:pPr>
          </w:p>
        </w:tc>
        <w:tc>
          <w:tcPr>
            <w:tcW w:w="2179" w:type="dxa"/>
            <w:tcBorders>
              <w:top w:val="nil"/>
            </w:tcBorders>
            <w:shd w:val="clear" w:color="auto" w:fill="EDECF3"/>
          </w:tcPr>
          <w:p>
            <w:pPr>
              <w:pStyle w:val="TableParagraph"/>
              <w:spacing w:before="0"/>
              <w:ind w:left="0"/>
              <w:rPr>
                <w:rFonts w:ascii="Times New Roman"/>
                <w:sz w:val="20"/>
              </w:rPr>
            </w:pPr>
          </w:p>
        </w:tc>
        <w:tc>
          <w:tcPr>
            <w:tcW w:w="2411" w:type="dxa"/>
            <w:tcBorders>
              <w:top w:val="nil"/>
              <w:bottom w:val="nil"/>
              <w:right w:val="nil"/>
            </w:tcBorders>
            <w:shd w:val="clear" w:color="auto" w:fill="EDECF3"/>
          </w:tcPr>
          <w:p>
            <w:pPr>
              <w:pStyle w:val="TableParagraph"/>
              <w:spacing w:line="236" w:lineRule="exact" w:before="34"/>
              <w:ind w:left="63"/>
              <w:rPr>
                <w:sz w:val="21"/>
              </w:rPr>
            </w:pPr>
            <w:r>
              <w:rPr>
                <w:spacing w:val="-2"/>
                <w:w w:val="105"/>
                <w:sz w:val="21"/>
              </w:rPr>
              <w:t>afinidades</w:t>
            </w:r>
          </w:p>
        </w:tc>
      </w:tr>
      <w:tr>
        <w:trPr>
          <w:trHeight w:val="603" w:hRule="atLeast"/>
        </w:trPr>
        <w:tc>
          <w:tcPr>
            <w:tcW w:w="1578" w:type="dxa"/>
            <w:tcBorders>
              <w:top w:val="nil"/>
              <w:left w:val="nil"/>
              <w:bottom w:val="nil"/>
            </w:tcBorders>
            <w:shd w:val="clear" w:color="auto" w:fill="EDECF3"/>
          </w:tcPr>
          <w:p>
            <w:pPr>
              <w:pStyle w:val="TableParagraph"/>
              <w:spacing w:before="0"/>
              <w:ind w:left="0"/>
              <w:rPr>
                <w:rFonts w:ascii="Times New Roman"/>
                <w:sz w:val="22"/>
              </w:rPr>
            </w:pPr>
          </w:p>
        </w:tc>
        <w:tc>
          <w:tcPr>
            <w:tcW w:w="1522" w:type="dxa"/>
            <w:tcBorders>
              <w:bottom w:val="nil"/>
            </w:tcBorders>
            <w:shd w:val="clear" w:color="auto" w:fill="EDECF3"/>
          </w:tcPr>
          <w:p>
            <w:pPr>
              <w:pStyle w:val="TableParagraph"/>
              <w:rPr>
                <w:sz w:val="21"/>
              </w:rPr>
            </w:pPr>
            <w:r>
              <w:rPr>
                <w:spacing w:val="-2"/>
                <w:sz w:val="21"/>
              </w:rPr>
              <w:t>Rilmenidina</w:t>
            </w:r>
          </w:p>
        </w:tc>
        <w:tc>
          <w:tcPr>
            <w:tcW w:w="1442" w:type="dxa"/>
            <w:tcBorders>
              <w:bottom w:val="nil"/>
            </w:tcBorders>
            <w:shd w:val="clear" w:color="auto" w:fill="EDECF3"/>
          </w:tcPr>
          <w:p>
            <w:pPr>
              <w:pStyle w:val="TableParagraph"/>
              <w:rPr>
                <w:sz w:val="21"/>
              </w:rPr>
            </w:pPr>
            <w:r>
              <w:rPr>
                <w:spacing w:val="-10"/>
                <w:w w:val="105"/>
                <w:sz w:val="21"/>
              </w:rPr>
              <w:t>1</w:t>
            </w:r>
          </w:p>
        </w:tc>
        <w:tc>
          <w:tcPr>
            <w:tcW w:w="1474" w:type="dxa"/>
            <w:tcBorders>
              <w:bottom w:val="nil"/>
            </w:tcBorders>
            <w:shd w:val="clear" w:color="auto" w:fill="EDECF3"/>
          </w:tcPr>
          <w:p>
            <w:pPr>
              <w:pStyle w:val="TableParagraph"/>
              <w:ind w:left="64"/>
              <w:rPr>
                <w:sz w:val="21"/>
              </w:rPr>
            </w:pPr>
            <w:r>
              <w:rPr>
                <w:spacing w:val="-10"/>
                <w:w w:val="105"/>
                <w:sz w:val="21"/>
              </w:rPr>
              <w:t>2</w:t>
            </w:r>
          </w:p>
        </w:tc>
        <w:tc>
          <w:tcPr>
            <w:tcW w:w="2179" w:type="dxa"/>
            <w:tcBorders>
              <w:bottom w:val="nil"/>
            </w:tcBorders>
            <w:shd w:val="clear" w:color="auto" w:fill="EDECF3"/>
          </w:tcPr>
          <w:p>
            <w:pPr>
              <w:pStyle w:val="TableParagraph"/>
              <w:ind w:left="63"/>
              <w:rPr>
                <w:sz w:val="21"/>
              </w:rPr>
            </w:pPr>
            <w:r>
              <w:rPr>
                <w:spacing w:val="-10"/>
                <w:w w:val="105"/>
                <w:sz w:val="21"/>
              </w:rPr>
              <w:t>1</w:t>
            </w:r>
          </w:p>
        </w:tc>
        <w:tc>
          <w:tcPr>
            <w:tcW w:w="2411" w:type="dxa"/>
            <w:tcBorders>
              <w:top w:val="nil"/>
              <w:bottom w:val="nil"/>
              <w:right w:val="nil"/>
            </w:tcBorders>
            <w:shd w:val="clear" w:color="auto" w:fill="EDECF3"/>
          </w:tcPr>
          <w:p>
            <w:pPr>
              <w:pStyle w:val="TableParagraph"/>
              <w:spacing w:before="28"/>
              <w:ind w:left="63"/>
              <w:rPr>
                <w:sz w:val="21"/>
              </w:rPr>
            </w:pPr>
            <w:r>
              <w:rPr>
                <w:spacing w:val="2"/>
                <w:sz w:val="21"/>
              </w:rPr>
              <w:t>semelhantes</w:t>
            </w:r>
            <w:r>
              <w:rPr>
                <w:spacing w:val="64"/>
                <w:sz w:val="21"/>
              </w:rPr>
              <w:t> </w:t>
            </w:r>
            <w:r>
              <w:rPr>
                <w:spacing w:val="-4"/>
                <w:sz w:val="21"/>
              </w:rPr>
              <w:t>pelos</w:t>
            </w:r>
          </w:p>
          <w:p>
            <w:pPr>
              <w:pStyle w:val="TableParagraph"/>
              <w:spacing w:before="66"/>
              <w:ind w:left="63"/>
              <w:rPr>
                <w:sz w:val="21"/>
              </w:rPr>
            </w:pPr>
            <w:r>
              <w:rPr>
                <w:w w:val="105"/>
                <w:sz w:val="21"/>
              </w:rPr>
              <w:t>receptores</w:t>
            </w:r>
            <w:r>
              <w:rPr>
                <w:spacing w:val="19"/>
                <w:w w:val="105"/>
                <w:sz w:val="21"/>
              </w:rPr>
              <w:t> </w:t>
            </w:r>
            <w:r>
              <w:rPr>
                <w:w w:val="105"/>
                <w:sz w:val="21"/>
              </w:rPr>
              <w:t>alfa</w:t>
            </w:r>
            <w:r>
              <w:rPr>
                <w:spacing w:val="23"/>
                <w:w w:val="105"/>
                <w:sz w:val="21"/>
              </w:rPr>
              <w:t> </w:t>
            </w:r>
            <w:r>
              <w:rPr>
                <w:w w:val="105"/>
                <w:sz w:val="21"/>
              </w:rPr>
              <w:t>1</w:t>
            </w:r>
            <w:r>
              <w:rPr>
                <w:spacing w:val="24"/>
                <w:w w:val="105"/>
                <w:sz w:val="21"/>
              </w:rPr>
              <w:t> </w:t>
            </w:r>
            <w:r>
              <w:rPr>
                <w:spacing w:val="-10"/>
                <w:w w:val="105"/>
                <w:sz w:val="21"/>
              </w:rPr>
              <w:t>e</w:t>
            </w:r>
          </w:p>
        </w:tc>
      </w:tr>
      <w:tr>
        <w:trPr>
          <w:trHeight w:val="161" w:hRule="atLeast"/>
        </w:trPr>
        <w:tc>
          <w:tcPr>
            <w:tcW w:w="1578" w:type="dxa"/>
            <w:tcBorders>
              <w:top w:val="nil"/>
              <w:left w:val="nil"/>
            </w:tcBorders>
            <w:shd w:val="clear" w:color="auto" w:fill="EDECF3"/>
          </w:tcPr>
          <w:p>
            <w:pPr>
              <w:pStyle w:val="TableParagraph"/>
              <w:spacing w:before="0"/>
              <w:ind w:left="0"/>
              <w:rPr>
                <w:rFonts w:ascii="Times New Roman"/>
                <w:sz w:val="10"/>
              </w:rPr>
            </w:pPr>
          </w:p>
        </w:tc>
        <w:tc>
          <w:tcPr>
            <w:tcW w:w="1522" w:type="dxa"/>
            <w:tcBorders>
              <w:top w:val="nil"/>
            </w:tcBorders>
            <w:shd w:val="clear" w:color="auto" w:fill="EDECF3"/>
          </w:tcPr>
          <w:p>
            <w:pPr>
              <w:pStyle w:val="TableParagraph"/>
              <w:spacing w:before="0"/>
              <w:ind w:left="0"/>
              <w:rPr>
                <w:rFonts w:ascii="Times New Roman"/>
                <w:sz w:val="10"/>
              </w:rPr>
            </w:pPr>
          </w:p>
        </w:tc>
        <w:tc>
          <w:tcPr>
            <w:tcW w:w="1442" w:type="dxa"/>
            <w:tcBorders>
              <w:top w:val="nil"/>
            </w:tcBorders>
            <w:shd w:val="clear" w:color="auto" w:fill="EDECF3"/>
          </w:tcPr>
          <w:p>
            <w:pPr>
              <w:pStyle w:val="TableParagraph"/>
              <w:spacing w:before="0"/>
              <w:ind w:left="0"/>
              <w:rPr>
                <w:rFonts w:ascii="Times New Roman"/>
                <w:sz w:val="10"/>
              </w:rPr>
            </w:pPr>
          </w:p>
        </w:tc>
        <w:tc>
          <w:tcPr>
            <w:tcW w:w="1474" w:type="dxa"/>
            <w:tcBorders>
              <w:top w:val="nil"/>
            </w:tcBorders>
            <w:shd w:val="clear" w:color="auto" w:fill="EDECF3"/>
          </w:tcPr>
          <w:p>
            <w:pPr>
              <w:pStyle w:val="TableParagraph"/>
              <w:spacing w:before="0"/>
              <w:ind w:left="0"/>
              <w:rPr>
                <w:rFonts w:ascii="Times New Roman"/>
                <w:sz w:val="10"/>
              </w:rPr>
            </w:pPr>
          </w:p>
        </w:tc>
        <w:tc>
          <w:tcPr>
            <w:tcW w:w="2179" w:type="dxa"/>
            <w:tcBorders>
              <w:top w:val="nil"/>
            </w:tcBorders>
            <w:shd w:val="clear" w:color="auto" w:fill="EDECF3"/>
          </w:tcPr>
          <w:p>
            <w:pPr>
              <w:pStyle w:val="TableParagraph"/>
              <w:spacing w:before="0"/>
              <w:ind w:left="0"/>
              <w:rPr>
                <w:rFonts w:ascii="Times New Roman"/>
                <w:sz w:val="10"/>
              </w:rPr>
            </w:pPr>
          </w:p>
        </w:tc>
        <w:tc>
          <w:tcPr>
            <w:tcW w:w="2411" w:type="dxa"/>
            <w:vMerge w:val="restart"/>
            <w:tcBorders>
              <w:top w:val="nil"/>
              <w:bottom w:val="nil"/>
              <w:right w:val="nil"/>
            </w:tcBorders>
            <w:shd w:val="clear" w:color="auto" w:fill="EDECF3"/>
          </w:tcPr>
          <w:p>
            <w:pPr>
              <w:pStyle w:val="TableParagraph"/>
              <w:spacing w:before="34"/>
              <w:ind w:left="63"/>
              <w:rPr>
                <w:sz w:val="21"/>
              </w:rPr>
            </w:pPr>
            <w:r>
              <w:rPr>
                <w:w w:val="105"/>
                <w:sz w:val="21"/>
              </w:rPr>
              <w:t>alfa</w:t>
            </w:r>
            <w:r>
              <w:rPr>
                <w:spacing w:val="14"/>
                <w:w w:val="105"/>
                <w:sz w:val="21"/>
              </w:rPr>
              <w:t> </w:t>
            </w:r>
            <w:r>
              <w:rPr>
                <w:w w:val="105"/>
                <w:sz w:val="21"/>
              </w:rPr>
              <w:t>2;</w:t>
            </w:r>
            <w:r>
              <w:rPr>
                <w:spacing w:val="11"/>
                <w:w w:val="105"/>
                <w:sz w:val="21"/>
              </w:rPr>
              <w:t> </w:t>
            </w:r>
            <w:r>
              <w:rPr>
                <w:w w:val="105"/>
                <w:sz w:val="21"/>
              </w:rPr>
              <w:t>os</w:t>
            </w:r>
            <w:r>
              <w:rPr>
                <w:spacing w:val="10"/>
                <w:w w:val="105"/>
                <w:sz w:val="21"/>
              </w:rPr>
              <w:t> </w:t>
            </w:r>
            <w:r>
              <w:rPr>
                <w:spacing w:val="-2"/>
                <w:w w:val="105"/>
                <w:sz w:val="21"/>
              </w:rPr>
              <w:t>alfa</w:t>
            </w:r>
            <w:r>
              <w:rPr>
                <w:spacing w:val="-2"/>
                <w:w w:val="105"/>
                <w:sz w:val="21"/>
                <w:vertAlign w:val="subscript"/>
              </w:rPr>
              <w:t>1</w:t>
            </w:r>
            <w:r>
              <w:rPr>
                <w:spacing w:val="-2"/>
                <w:w w:val="105"/>
                <w:sz w:val="21"/>
                <w:vertAlign w:val="baseline"/>
              </w:rPr>
              <w:t>-</w:t>
            </w:r>
          </w:p>
          <w:p>
            <w:pPr>
              <w:pStyle w:val="TableParagraph"/>
              <w:spacing w:line="218" w:lineRule="exact" w:before="82"/>
              <w:ind w:left="63"/>
              <w:rPr>
                <w:sz w:val="21"/>
              </w:rPr>
            </w:pPr>
            <w:r>
              <w:rPr>
                <w:spacing w:val="4"/>
                <w:sz w:val="21"/>
              </w:rPr>
              <w:t>bloqueadores</w:t>
            </w:r>
            <w:r>
              <w:rPr>
                <w:spacing w:val="69"/>
                <w:sz w:val="21"/>
              </w:rPr>
              <w:t> </w:t>
            </w:r>
            <w:r>
              <w:rPr>
                <w:spacing w:val="-4"/>
                <w:sz w:val="21"/>
              </w:rPr>
              <w:t>atuam</w:t>
            </w:r>
          </w:p>
        </w:tc>
      </w:tr>
      <w:tr>
        <w:trPr>
          <w:trHeight w:val="410" w:hRule="atLeast"/>
        </w:trPr>
        <w:tc>
          <w:tcPr>
            <w:tcW w:w="1578" w:type="dxa"/>
            <w:tcBorders>
              <w:left w:val="nil"/>
              <w:bottom w:val="nil"/>
            </w:tcBorders>
            <w:shd w:val="clear" w:color="auto" w:fill="EDECF3"/>
          </w:tcPr>
          <w:p>
            <w:pPr>
              <w:pStyle w:val="TableParagraph"/>
              <w:spacing w:before="93"/>
              <w:ind w:left="67"/>
              <w:rPr>
                <w:sz w:val="21"/>
              </w:rPr>
            </w:pPr>
            <w:r>
              <w:rPr>
                <w:w w:val="105"/>
                <w:sz w:val="21"/>
              </w:rPr>
              <w:t>Alfa</w:t>
            </w:r>
            <w:r>
              <w:rPr>
                <w:w w:val="105"/>
                <w:sz w:val="21"/>
                <w:vertAlign w:val="subscript"/>
              </w:rPr>
              <w:t>1</w:t>
            </w:r>
            <w:r>
              <w:rPr>
                <w:w w:val="105"/>
                <w:sz w:val="21"/>
                <w:vertAlign w:val="baseline"/>
              </w:rPr>
              <w:t>-</w:t>
            </w:r>
          </w:p>
        </w:tc>
        <w:tc>
          <w:tcPr>
            <w:tcW w:w="1522" w:type="dxa"/>
            <w:tcBorders>
              <w:bottom w:val="nil"/>
            </w:tcBorders>
            <w:shd w:val="clear" w:color="auto" w:fill="EDECF3"/>
          </w:tcPr>
          <w:p>
            <w:pPr>
              <w:pStyle w:val="TableParagraph"/>
              <w:rPr>
                <w:sz w:val="21"/>
              </w:rPr>
            </w:pPr>
            <w:r>
              <w:rPr>
                <w:spacing w:val="-2"/>
                <w:w w:val="105"/>
                <w:sz w:val="21"/>
              </w:rPr>
              <w:t>Doxazosina</w:t>
            </w:r>
          </w:p>
        </w:tc>
        <w:tc>
          <w:tcPr>
            <w:tcW w:w="1442" w:type="dxa"/>
            <w:tcBorders>
              <w:bottom w:val="nil"/>
            </w:tcBorders>
            <w:shd w:val="clear" w:color="auto" w:fill="EDECF3"/>
          </w:tcPr>
          <w:p>
            <w:pPr>
              <w:pStyle w:val="TableParagraph"/>
              <w:rPr>
                <w:sz w:val="21"/>
              </w:rPr>
            </w:pPr>
            <w:r>
              <w:rPr>
                <w:spacing w:val="-10"/>
                <w:w w:val="105"/>
                <w:sz w:val="21"/>
              </w:rPr>
              <w:t>2</w:t>
            </w:r>
          </w:p>
        </w:tc>
        <w:tc>
          <w:tcPr>
            <w:tcW w:w="1474" w:type="dxa"/>
            <w:tcBorders>
              <w:bottom w:val="nil"/>
            </w:tcBorders>
            <w:shd w:val="clear" w:color="auto" w:fill="EDECF3"/>
          </w:tcPr>
          <w:p>
            <w:pPr>
              <w:pStyle w:val="TableParagraph"/>
              <w:ind w:left="64"/>
              <w:rPr>
                <w:sz w:val="21"/>
              </w:rPr>
            </w:pPr>
            <w:r>
              <w:rPr>
                <w:spacing w:val="-10"/>
                <w:w w:val="105"/>
                <w:sz w:val="21"/>
              </w:rPr>
              <w:t>4</w:t>
            </w:r>
          </w:p>
        </w:tc>
        <w:tc>
          <w:tcPr>
            <w:tcW w:w="2179" w:type="dxa"/>
            <w:tcBorders>
              <w:bottom w:val="nil"/>
            </w:tcBorders>
            <w:shd w:val="clear" w:color="auto" w:fill="EDECF3"/>
          </w:tcPr>
          <w:p>
            <w:pPr>
              <w:pStyle w:val="TableParagraph"/>
              <w:ind w:left="63"/>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2411" w:type="dxa"/>
            <w:vMerge/>
            <w:tcBorders>
              <w:top w:val="nil"/>
              <w:bottom w:val="nil"/>
              <w:right w:val="nil"/>
            </w:tcBorders>
            <w:shd w:val="clear" w:color="auto" w:fill="EDECF3"/>
          </w:tcPr>
          <w:p>
            <w:pPr>
              <w:rPr>
                <w:sz w:val="2"/>
                <w:szCs w:val="2"/>
              </w:rPr>
            </w:pPr>
          </w:p>
        </w:tc>
      </w:tr>
      <w:tr>
        <w:trPr>
          <w:trHeight w:val="354" w:hRule="atLeast"/>
        </w:trPr>
        <w:tc>
          <w:tcPr>
            <w:tcW w:w="1578" w:type="dxa"/>
            <w:tcBorders>
              <w:top w:val="nil"/>
              <w:left w:val="nil"/>
              <w:bottom w:val="nil"/>
            </w:tcBorders>
            <w:shd w:val="clear" w:color="auto" w:fill="EDECF3"/>
          </w:tcPr>
          <w:p>
            <w:pPr>
              <w:pStyle w:val="TableParagraph"/>
              <w:spacing w:before="2"/>
              <w:ind w:left="67"/>
              <w:rPr>
                <w:sz w:val="21"/>
              </w:rPr>
            </w:pPr>
            <w:r>
              <w:rPr>
                <w:spacing w:val="-2"/>
                <w:w w:val="105"/>
                <w:sz w:val="21"/>
              </w:rPr>
              <w:t>bloqueadores</w:t>
            </w:r>
          </w:p>
        </w:tc>
        <w:tc>
          <w:tcPr>
            <w:tcW w:w="1522" w:type="dxa"/>
            <w:tcBorders>
              <w:top w:val="nil"/>
            </w:tcBorders>
            <w:shd w:val="clear" w:color="auto" w:fill="EDECF3"/>
          </w:tcPr>
          <w:p>
            <w:pPr>
              <w:pStyle w:val="TableParagraph"/>
              <w:spacing w:before="0"/>
              <w:ind w:left="0"/>
              <w:rPr>
                <w:rFonts w:ascii="Times New Roman"/>
                <w:sz w:val="22"/>
              </w:rPr>
            </w:pPr>
          </w:p>
        </w:tc>
        <w:tc>
          <w:tcPr>
            <w:tcW w:w="1442" w:type="dxa"/>
            <w:tcBorders>
              <w:top w:val="nil"/>
            </w:tcBorders>
            <w:shd w:val="clear" w:color="auto" w:fill="EDECF3"/>
          </w:tcPr>
          <w:p>
            <w:pPr>
              <w:pStyle w:val="TableParagraph"/>
              <w:spacing w:before="0"/>
              <w:ind w:left="0"/>
              <w:rPr>
                <w:rFonts w:ascii="Times New Roman"/>
                <w:sz w:val="22"/>
              </w:rPr>
            </w:pPr>
          </w:p>
        </w:tc>
        <w:tc>
          <w:tcPr>
            <w:tcW w:w="1474" w:type="dxa"/>
            <w:tcBorders>
              <w:top w:val="nil"/>
            </w:tcBorders>
            <w:shd w:val="clear" w:color="auto" w:fill="EDECF3"/>
          </w:tcPr>
          <w:p>
            <w:pPr>
              <w:pStyle w:val="TableParagraph"/>
              <w:spacing w:before="0"/>
              <w:ind w:left="0"/>
              <w:rPr>
                <w:rFonts w:ascii="Times New Roman"/>
                <w:sz w:val="22"/>
              </w:rPr>
            </w:pPr>
          </w:p>
        </w:tc>
        <w:tc>
          <w:tcPr>
            <w:tcW w:w="2179" w:type="dxa"/>
            <w:tcBorders>
              <w:top w:val="nil"/>
            </w:tcBorders>
            <w:shd w:val="clear" w:color="auto" w:fill="EDECF3"/>
          </w:tcPr>
          <w:p>
            <w:pPr>
              <w:pStyle w:val="TableParagraph"/>
              <w:spacing w:before="0"/>
              <w:ind w:left="0"/>
              <w:rPr>
                <w:rFonts w:ascii="Times New Roman"/>
                <w:sz w:val="22"/>
              </w:rPr>
            </w:pPr>
          </w:p>
        </w:tc>
        <w:tc>
          <w:tcPr>
            <w:tcW w:w="2411" w:type="dxa"/>
            <w:tcBorders>
              <w:top w:val="nil"/>
              <w:bottom w:val="nil"/>
              <w:right w:val="nil"/>
            </w:tcBorders>
            <w:shd w:val="clear" w:color="auto" w:fill="EDECF3"/>
          </w:tcPr>
          <w:p>
            <w:pPr>
              <w:pStyle w:val="TableParagraph"/>
              <w:spacing w:before="66"/>
              <w:ind w:left="63"/>
              <w:rPr>
                <w:sz w:val="21"/>
              </w:rPr>
            </w:pPr>
            <w:r>
              <w:rPr>
                <w:w w:val="105"/>
                <w:sz w:val="21"/>
              </w:rPr>
              <w:t>diretamente</w:t>
            </w:r>
            <w:r>
              <w:rPr>
                <w:spacing w:val="30"/>
                <w:w w:val="105"/>
                <w:sz w:val="21"/>
              </w:rPr>
              <w:t> </w:t>
            </w:r>
            <w:r>
              <w:rPr>
                <w:spacing w:val="-5"/>
                <w:w w:val="105"/>
                <w:sz w:val="21"/>
              </w:rPr>
              <w:t>na</w:t>
            </w:r>
          </w:p>
        </w:tc>
      </w:tr>
      <w:tr>
        <w:trPr>
          <w:trHeight w:val="570" w:hRule="atLeast"/>
        </w:trPr>
        <w:tc>
          <w:tcPr>
            <w:tcW w:w="1578" w:type="dxa"/>
            <w:tcBorders>
              <w:top w:val="nil"/>
              <w:left w:val="nil"/>
              <w:bottom w:val="nil"/>
            </w:tcBorders>
            <w:shd w:val="clear" w:color="auto" w:fill="EDECF3"/>
          </w:tcPr>
          <w:p>
            <w:pPr>
              <w:pStyle w:val="TableParagraph"/>
              <w:spacing w:before="0"/>
              <w:ind w:left="0"/>
              <w:rPr>
                <w:rFonts w:ascii="Times New Roman"/>
                <w:sz w:val="22"/>
              </w:rPr>
            </w:pPr>
          </w:p>
        </w:tc>
        <w:tc>
          <w:tcPr>
            <w:tcW w:w="1522" w:type="dxa"/>
            <w:tcBorders>
              <w:bottom w:val="nil"/>
            </w:tcBorders>
            <w:shd w:val="clear" w:color="auto" w:fill="EDECF3"/>
          </w:tcPr>
          <w:p>
            <w:pPr>
              <w:pStyle w:val="TableParagraph"/>
              <w:rPr>
                <w:sz w:val="21"/>
              </w:rPr>
            </w:pPr>
            <w:r>
              <w:rPr>
                <w:spacing w:val="-2"/>
                <w:w w:val="105"/>
                <w:sz w:val="21"/>
              </w:rPr>
              <w:t>Prazosina</w:t>
            </w:r>
          </w:p>
        </w:tc>
        <w:tc>
          <w:tcPr>
            <w:tcW w:w="1442" w:type="dxa"/>
            <w:tcBorders>
              <w:bottom w:val="nil"/>
            </w:tcBorders>
            <w:shd w:val="clear" w:color="auto" w:fill="EDECF3"/>
          </w:tcPr>
          <w:p>
            <w:pPr>
              <w:pStyle w:val="TableParagraph"/>
              <w:rPr>
                <w:sz w:val="21"/>
              </w:rPr>
            </w:pPr>
            <w:r>
              <w:rPr>
                <w:spacing w:val="-10"/>
                <w:w w:val="105"/>
                <w:sz w:val="21"/>
              </w:rPr>
              <w:t>1</w:t>
            </w:r>
          </w:p>
        </w:tc>
        <w:tc>
          <w:tcPr>
            <w:tcW w:w="1474" w:type="dxa"/>
            <w:tcBorders>
              <w:bottom w:val="nil"/>
            </w:tcBorders>
            <w:shd w:val="clear" w:color="auto" w:fill="EDECF3"/>
          </w:tcPr>
          <w:p>
            <w:pPr>
              <w:pStyle w:val="TableParagraph"/>
              <w:ind w:left="64"/>
              <w:rPr>
                <w:sz w:val="21"/>
              </w:rPr>
            </w:pPr>
            <w:r>
              <w:rPr>
                <w:spacing w:val="-5"/>
                <w:w w:val="105"/>
                <w:sz w:val="21"/>
              </w:rPr>
              <w:t>10</w:t>
            </w:r>
          </w:p>
        </w:tc>
        <w:tc>
          <w:tcPr>
            <w:tcW w:w="2179" w:type="dxa"/>
            <w:tcBorders>
              <w:bottom w:val="nil"/>
            </w:tcBorders>
            <w:shd w:val="clear" w:color="auto" w:fill="EDECF3"/>
          </w:tcPr>
          <w:p>
            <w:pPr>
              <w:pStyle w:val="TableParagraph"/>
              <w:ind w:left="63"/>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2411" w:type="dxa"/>
            <w:tcBorders>
              <w:top w:val="nil"/>
              <w:bottom w:val="nil"/>
              <w:right w:val="nil"/>
            </w:tcBorders>
            <w:shd w:val="clear" w:color="auto" w:fill="EDECF3"/>
          </w:tcPr>
          <w:p>
            <w:pPr>
              <w:pStyle w:val="TableParagraph"/>
              <w:spacing w:line="234" w:lineRule="exact" w:before="0"/>
              <w:ind w:left="63"/>
              <w:rPr>
                <w:sz w:val="21"/>
              </w:rPr>
            </w:pPr>
            <w:r>
              <w:rPr>
                <w:w w:val="105"/>
                <w:sz w:val="21"/>
              </w:rPr>
              <w:t>inibição</w:t>
            </w:r>
            <w:r>
              <w:rPr>
                <w:spacing w:val="16"/>
                <w:w w:val="105"/>
                <w:sz w:val="21"/>
              </w:rPr>
              <w:t> </w:t>
            </w:r>
            <w:r>
              <w:rPr>
                <w:spacing w:val="-2"/>
                <w:w w:val="105"/>
                <w:sz w:val="21"/>
              </w:rPr>
              <w:t>desses</w:t>
            </w:r>
          </w:p>
          <w:p>
            <w:pPr>
              <w:pStyle w:val="TableParagraph"/>
              <w:spacing w:before="66"/>
              <w:ind w:left="63"/>
              <w:rPr>
                <w:sz w:val="21"/>
              </w:rPr>
            </w:pPr>
            <w:r>
              <w:rPr>
                <w:w w:val="105"/>
                <w:sz w:val="21"/>
              </w:rPr>
              <w:t>receptores</w:t>
            </w:r>
            <w:r>
              <w:rPr>
                <w:spacing w:val="43"/>
                <w:w w:val="105"/>
                <w:sz w:val="21"/>
              </w:rPr>
              <w:t> </w:t>
            </w:r>
            <w:r>
              <w:rPr>
                <w:spacing w:val="-2"/>
                <w:w w:val="105"/>
                <w:sz w:val="21"/>
              </w:rPr>
              <w:t>periféricos</w:t>
            </w:r>
          </w:p>
        </w:tc>
      </w:tr>
      <w:tr>
        <w:trPr>
          <w:trHeight w:val="194" w:hRule="atLeast"/>
        </w:trPr>
        <w:tc>
          <w:tcPr>
            <w:tcW w:w="1578" w:type="dxa"/>
            <w:vMerge w:val="restart"/>
            <w:tcBorders>
              <w:top w:val="nil"/>
              <w:left w:val="nil"/>
              <w:bottom w:val="nil"/>
            </w:tcBorders>
            <w:shd w:val="clear" w:color="auto" w:fill="EDECF3"/>
          </w:tcPr>
          <w:p>
            <w:pPr>
              <w:pStyle w:val="TableParagraph"/>
              <w:spacing w:before="0"/>
              <w:ind w:left="0"/>
              <w:rPr>
                <w:rFonts w:ascii="Times New Roman"/>
                <w:sz w:val="20"/>
              </w:rPr>
            </w:pPr>
          </w:p>
        </w:tc>
        <w:tc>
          <w:tcPr>
            <w:tcW w:w="1522" w:type="dxa"/>
            <w:tcBorders>
              <w:top w:val="nil"/>
            </w:tcBorders>
            <w:shd w:val="clear" w:color="auto" w:fill="EDECF3"/>
          </w:tcPr>
          <w:p>
            <w:pPr>
              <w:pStyle w:val="TableParagraph"/>
              <w:spacing w:before="0"/>
              <w:ind w:left="0"/>
              <w:rPr>
                <w:rFonts w:ascii="Times New Roman"/>
                <w:sz w:val="12"/>
              </w:rPr>
            </w:pPr>
          </w:p>
        </w:tc>
        <w:tc>
          <w:tcPr>
            <w:tcW w:w="1442" w:type="dxa"/>
            <w:tcBorders>
              <w:top w:val="nil"/>
            </w:tcBorders>
            <w:shd w:val="clear" w:color="auto" w:fill="EDECF3"/>
          </w:tcPr>
          <w:p>
            <w:pPr>
              <w:pStyle w:val="TableParagraph"/>
              <w:spacing w:before="0"/>
              <w:ind w:left="0"/>
              <w:rPr>
                <w:rFonts w:ascii="Times New Roman"/>
                <w:sz w:val="12"/>
              </w:rPr>
            </w:pPr>
          </w:p>
        </w:tc>
        <w:tc>
          <w:tcPr>
            <w:tcW w:w="1474" w:type="dxa"/>
            <w:tcBorders>
              <w:top w:val="nil"/>
            </w:tcBorders>
            <w:shd w:val="clear" w:color="auto" w:fill="EDECF3"/>
          </w:tcPr>
          <w:p>
            <w:pPr>
              <w:pStyle w:val="TableParagraph"/>
              <w:spacing w:before="0"/>
              <w:ind w:left="0"/>
              <w:rPr>
                <w:rFonts w:ascii="Times New Roman"/>
                <w:sz w:val="12"/>
              </w:rPr>
            </w:pPr>
          </w:p>
        </w:tc>
        <w:tc>
          <w:tcPr>
            <w:tcW w:w="2179" w:type="dxa"/>
            <w:tcBorders>
              <w:top w:val="nil"/>
            </w:tcBorders>
            <w:shd w:val="clear" w:color="auto" w:fill="EDECF3"/>
          </w:tcPr>
          <w:p>
            <w:pPr>
              <w:pStyle w:val="TableParagraph"/>
              <w:spacing w:before="0"/>
              <w:ind w:left="0"/>
              <w:rPr>
                <w:rFonts w:ascii="Times New Roman"/>
                <w:sz w:val="12"/>
              </w:rPr>
            </w:pPr>
          </w:p>
        </w:tc>
        <w:tc>
          <w:tcPr>
            <w:tcW w:w="2411" w:type="dxa"/>
            <w:vMerge w:val="restart"/>
            <w:tcBorders>
              <w:top w:val="nil"/>
              <w:bottom w:val="nil"/>
              <w:right w:val="nil"/>
            </w:tcBorders>
            <w:shd w:val="clear" w:color="auto" w:fill="EDECF3"/>
          </w:tcPr>
          <w:p>
            <w:pPr>
              <w:pStyle w:val="TableParagraph"/>
              <w:spacing w:line="234" w:lineRule="exact" w:before="34"/>
              <w:ind w:left="63"/>
              <w:rPr>
                <w:sz w:val="21"/>
              </w:rPr>
            </w:pPr>
            <w:r>
              <w:rPr>
                <w:w w:val="105"/>
                <w:sz w:val="21"/>
              </w:rPr>
              <w:t>com</w:t>
            </w:r>
            <w:r>
              <w:rPr>
                <w:spacing w:val="1"/>
                <w:w w:val="105"/>
                <w:sz w:val="21"/>
              </w:rPr>
              <w:t> </w:t>
            </w:r>
            <w:r>
              <w:rPr>
                <w:spacing w:val="-2"/>
                <w:w w:val="105"/>
                <w:sz w:val="21"/>
              </w:rPr>
              <w:t>consequente</w:t>
            </w:r>
          </w:p>
        </w:tc>
      </w:tr>
      <w:tr>
        <w:trPr>
          <w:trHeight w:val="74" w:hRule="atLeast"/>
        </w:trPr>
        <w:tc>
          <w:tcPr>
            <w:tcW w:w="1578" w:type="dxa"/>
            <w:vMerge/>
            <w:tcBorders>
              <w:top w:val="nil"/>
              <w:left w:val="nil"/>
              <w:bottom w:val="nil"/>
            </w:tcBorders>
            <w:shd w:val="clear" w:color="auto" w:fill="EDECF3"/>
          </w:tcPr>
          <w:p>
            <w:pPr>
              <w:rPr>
                <w:sz w:val="2"/>
                <w:szCs w:val="2"/>
              </w:rPr>
            </w:pPr>
          </w:p>
        </w:tc>
        <w:tc>
          <w:tcPr>
            <w:tcW w:w="1522" w:type="dxa"/>
            <w:tcBorders>
              <w:bottom w:val="nil"/>
            </w:tcBorders>
            <w:shd w:val="clear" w:color="auto" w:fill="EDECF3"/>
          </w:tcPr>
          <w:p>
            <w:pPr>
              <w:pStyle w:val="TableParagraph"/>
              <w:spacing w:before="0"/>
              <w:ind w:left="0"/>
              <w:rPr>
                <w:rFonts w:ascii="Times New Roman"/>
                <w:sz w:val="2"/>
              </w:rPr>
            </w:pPr>
          </w:p>
        </w:tc>
        <w:tc>
          <w:tcPr>
            <w:tcW w:w="1442" w:type="dxa"/>
            <w:tcBorders>
              <w:bottom w:val="nil"/>
            </w:tcBorders>
            <w:shd w:val="clear" w:color="auto" w:fill="EDECF3"/>
          </w:tcPr>
          <w:p>
            <w:pPr>
              <w:pStyle w:val="TableParagraph"/>
              <w:spacing w:before="0"/>
              <w:ind w:left="0"/>
              <w:rPr>
                <w:rFonts w:ascii="Times New Roman"/>
                <w:sz w:val="2"/>
              </w:rPr>
            </w:pPr>
          </w:p>
        </w:tc>
        <w:tc>
          <w:tcPr>
            <w:tcW w:w="1474" w:type="dxa"/>
            <w:tcBorders>
              <w:bottom w:val="nil"/>
            </w:tcBorders>
            <w:shd w:val="clear" w:color="auto" w:fill="EDECF3"/>
          </w:tcPr>
          <w:p>
            <w:pPr>
              <w:pStyle w:val="TableParagraph"/>
              <w:spacing w:before="0"/>
              <w:ind w:left="0"/>
              <w:rPr>
                <w:rFonts w:ascii="Times New Roman"/>
                <w:sz w:val="2"/>
              </w:rPr>
            </w:pPr>
          </w:p>
        </w:tc>
        <w:tc>
          <w:tcPr>
            <w:tcW w:w="2179" w:type="dxa"/>
            <w:tcBorders>
              <w:bottom w:val="nil"/>
            </w:tcBorders>
            <w:shd w:val="clear" w:color="auto" w:fill="EDECF3"/>
          </w:tcPr>
          <w:p>
            <w:pPr>
              <w:pStyle w:val="TableParagraph"/>
              <w:spacing w:before="0"/>
              <w:ind w:left="0"/>
              <w:rPr>
                <w:rFonts w:ascii="Times New Roman"/>
                <w:sz w:val="2"/>
              </w:rPr>
            </w:pPr>
          </w:p>
        </w:tc>
        <w:tc>
          <w:tcPr>
            <w:tcW w:w="2411" w:type="dxa"/>
            <w:vMerge/>
            <w:tcBorders>
              <w:top w:val="nil"/>
              <w:bottom w:val="nil"/>
              <w:right w:val="nil"/>
            </w:tcBorders>
            <w:shd w:val="clear" w:color="auto" w:fill="EDECF3"/>
          </w:tcPr>
          <w:p>
            <w:pPr>
              <w:rPr>
                <w:sz w:val="2"/>
                <w:szCs w:val="2"/>
              </w:rPr>
            </w:pPr>
          </w:p>
        </w:tc>
      </w:tr>
      <w:tr>
        <w:trPr>
          <w:trHeight w:val="320" w:hRule="atLeast"/>
        </w:trPr>
        <w:tc>
          <w:tcPr>
            <w:tcW w:w="1578" w:type="dxa"/>
            <w:tcBorders>
              <w:top w:val="nil"/>
              <w:left w:val="nil"/>
              <w:bottom w:val="nil"/>
            </w:tcBorders>
            <w:shd w:val="clear" w:color="auto" w:fill="EDECF3"/>
          </w:tcPr>
          <w:p>
            <w:pPr>
              <w:pStyle w:val="TableParagraph"/>
              <w:spacing w:before="0"/>
              <w:ind w:left="0"/>
              <w:rPr>
                <w:rFonts w:ascii="Times New Roman"/>
                <w:sz w:val="22"/>
              </w:rPr>
            </w:pPr>
          </w:p>
        </w:tc>
        <w:tc>
          <w:tcPr>
            <w:tcW w:w="1522" w:type="dxa"/>
            <w:tcBorders>
              <w:top w:val="nil"/>
              <w:bottom w:val="nil"/>
            </w:tcBorders>
            <w:shd w:val="clear" w:color="auto" w:fill="EDECF3"/>
          </w:tcPr>
          <w:p>
            <w:pPr>
              <w:pStyle w:val="TableParagraph"/>
              <w:spacing w:before="18"/>
              <w:rPr>
                <w:sz w:val="21"/>
              </w:rPr>
            </w:pPr>
            <w:r>
              <w:rPr>
                <w:spacing w:val="-2"/>
                <w:w w:val="105"/>
                <w:sz w:val="21"/>
              </w:rPr>
              <w:t>Trimazosina</w:t>
            </w:r>
          </w:p>
        </w:tc>
        <w:tc>
          <w:tcPr>
            <w:tcW w:w="1442" w:type="dxa"/>
            <w:tcBorders>
              <w:top w:val="nil"/>
              <w:bottom w:val="nil"/>
            </w:tcBorders>
            <w:shd w:val="clear" w:color="auto" w:fill="EDECF3"/>
          </w:tcPr>
          <w:p>
            <w:pPr>
              <w:pStyle w:val="TableParagraph"/>
              <w:spacing w:before="18"/>
              <w:rPr>
                <w:sz w:val="21"/>
              </w:rPr>
            </w:pPr>
            <w:r>
              <w:rPr>
                <w:spacing w:val="-10"/>
                <w:w w:val="105"/>
                <w:sz w:val="21"/>
              </w:rPr>
              <w:t>2</w:t>
            </w:r>
          </w:p>
        </w:tc>
        <w:tc>
          <w:tcPr>
            <w:tcW w:w="1474" w:type="dxa"/>
            <w:tcBorders>
              <w:top w:val="nil"/>
              <w:bottom w:val="nil"/>
            </w:tcBorders>
            <w:shd w:val="clear" w:color="auto" w:fill="EDECF3"/>
          </w:tcPr>
          <w:p>
            <w:pPr>
              <w:pStyle w:val="TableParagraph"/>
              <w:spacing w:before="18"/>
              <w:ind w:left="64"/>
              <w:rPr>
                <w:sz w:val="21"/>
              </w:rPr>
            </w:pPr>
            <w:r>
              <w:rPr>
                <w:spacing w:val="-5"/>
                <w:w w:val="105"/>
                <w:sz w:val="21"/>
              </w:rPr>
              <w:t>10</w:t>
            </w:r>
          </w:p>
        </w:tc>
        <w:tc>
          <w:tcPr>
            <w:tcW w:w="2179" w:type="dxa"/>
            <w:tcBorders>
              <w:top w:val="nil"/>
              <w:bottom w:val="nil"/>
            </w:tcBorders>
            <w:shd w:val="clear" w:color="auto" w:fill="EDECF3"/>
          </w:tcPr>
          <w:p>
            <w:pPr>
              <w:pStyle w:val="TableParagraph"/>
              <w:spacing w:before="18"/>
              <w:ind w:left="63"/>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2411" w:type="dxa"/>
            <w:tcBorders>
              <w:top w:val="nil"/>
              <w:bottom w:val="nil"/>
              <w:right w:val="nil"/>
            </w:tcBorders>
            <w:shd w:val="clear" w:color="auto" w:fill="EDECF3"/>
          </w:tcPr>
          <w:p>
            <w:pPr>
              <w:pStyle w:val="TableParagraph"/>
              <w:spacing w:before="50"/>
              <w:ind w:left="63"/>
              <w:rPr>
                <w:sz w:val="21"/>
              </w:rPr>
            </w:pPr>
            <w:r>
              <w:rPr>
                <w:w w:val="105"/>
                <w:sz w:val="21"/>
              </w:rPr>
              <w:t>redução</w:t>
            </w:r>
            <w:r>
              <w:rPr>
                <w:spacing w:val="24"/>
                <w:w w:val="105"/>
                <w:sz w:val="21"/>
              </w:rPr>
              <w:t> </w:t>
            </w:r>
            <w:r>
              <w:rPr>
                <w:w w:val="105"/>
                <w:sz w:val="21"/>
              </w:rPr>
              <w:t>do</w:t>
            </w:r>
            <w:r>
              <w:rPr>
                <w:spacing w:val="25"/>
                <w:w w:val="105"/>
                <w:sz w:val="21"/>
              </w:rPr>
              <w:t> </w:t>
            </w:r>
            <w:r>
              <w:rPr>
                <w:spacing w:val="-2"/>
                <w:w w:val="105"/>
                <w:sz w:val="21"/>
              </w:rPr>
              <w:t>tônus</w:t>
            </w:r>
          </w:p>
        </w:tc>
      </w:tr>
      <w:tr>
        <w:trPr>
          <w:trHeight w:val="372" w:hRule="atLeast"/>
        </w:trPr>
        <w:tc>
          <w:tcPr>
            <w:tcW w:w="1578" w:type="dxa"/>
            <w:tcBorders>
              <w:top w:val="nil"/>
              <w:left w:val="nil"/>
              <w:bottom w:val="nil"/>
            </w:tcBorders>
            <w:shd w:val="clear" w:color="auto" w:fill="EDECF3"/>
          </w:tcPr>
          <w:p>
            <w:pPr>
              <w:pStyle w:val="TableParagraph"/>
              <w:spacing w:before="0"/>
              <w:ind w:left="0"/>
              <w:rPr>
                <w:rFonts w:ascii="Times New Roman"/>
                <w:sz w:val="22"/>
              </w:rPr>
            </w:pPr>
          </w:p>
        </w:tc>
        <w:tc>
          <w:tcPr>
            <w:tcW w:w="1522" w:type="dxa"/>
            <w:tcBorders>
              <w:top w:val="nil"/>
              <w:bottom w:val="nil"/>
            </w:tcBorders>
            <w:shd w:val="clear" w:color="auto" w:fill="EDECF3"/>
          </w:tcPr>
          <w:p>
            <w:pPr>
              <w:pStyle w:val="TableParagraph"/>
              <w:spacing w:before="0"/>
              <w:ind w:left="0"/>
              <w:rPr>
                <w:rFonts w:ascii="Times New Roman"/>
                <w:sz w:val="22"/>
              </w:rPr>
            </w:pPr>
          </w:p>
        </w:tc>
        <w:tc>
          <w:tcPr>
            <w:tcW w:w="1442" w:type="dxa"/>
            <w:tcBorders>
              <w:top w:val="nil"/>
              <w:bottom w:val="nil"/>
            </w:tcBorders>
            <w:shd w:val="clear" w:color="auto" w:fill="EDECF3"/>
          </w:tcPr>
          <w:p>
            <w:pPr>
              <w:pStyle w:val="TableParagraph"/>
              <w:spacing w:before="0"/>
              <w:ind w:left="0"/>
              <w:rPr>
                <w:rFonts w:ascii="Times New Roman"/>
                <w:sz w:val="22"/>
              </w:rPr>
            </w:pPr>
          </w:p>
        </w:tc>
        <w:tc>
          <w:tcPr>
            <w:tcW w:w="1474" w:type="dxa"/>
            <w:tcBorders>
              <w:top w:val="nil"/>
              <w:bottom w:val="nil"/>
            </w:tcBorders>
            <w:shd w:val="clear" w:color="auto" w:fill="EDECF3"/>
          </w:tcPr>
          <w:p>
            <w:pPr>
              <w:pStyle w:val="TableParagraph"/>
              <w:spacing w:before="0"/>
              <w:ind w:left="0"/>
              <w:rPr>
                <w:rFonts w:ascii="Times New Roman"/>
                <w:sz w:val="22"/>
              </w:rPr>
            </w:pPr>
          </w:p>
        </w:tc>
        <w:tc>
          <w:tcPr>
            <w:tcW w:w="2179" w:type="dxa"/>
            <w:tcBorders>
              <w:top w:val="nil"/>
              <w:bottom w:val="nil"/>
            </w:tcBorders>
            <w:shd w:val="clear" w:color="auto" w:fill="EDECF3"/>
          </w:tcPr>
          <w:p>
            <w:pPr>
              <w:pStyle w:val="TableParagraph"/>
              <w:spacing w:before="0"/>
              <w:ind w:left="0"/>
              <w:rPr>
                <w:rFonts w:ascii="Times New Roman"/>
                <w:sz w:val="22"/>
              </w:rPr>
            </w:pPr>
          </w:p>
        </w:tc>
        <w:tc>
          <w:tcPr>
            <w:tcW w:w="2411" w:type="dxa"/>
            <w:tcBorders>
              <w:top w:val="nil"/>
              <w:bottom w:val="nil"/>
              <w:right w:val="nil"/>
            </w:tcBorders>
            <w:shd w:val="clear" w:color="auto" w:fill="EDECF3"/>
          </w:tcPr>
          <w:p>
            <w:pPr>
              <w:pStyle w:val="TableParagraph"/>
              <w:spacing w:before="34"/>
              <w:ind w:left="63"/>
              <w:rPr>
                <w:sz w:val="21"/>
              </w:rPr>
            </w:pPr>
            <w:r>
              <w:rPr>
                <w:spacing w:val="-2"/>
                <w:w w:val="105"/>
                <w:sz w:val="21"/>
              </w:rPr>
              <w:t>vascular</w:t>
            </w:r>
          </w:p>
        </w:tc>
      </w:tr>
    </w:tbl>
    <w:p>
      <w:pPr>
        <w:pStyle w:val="BodyText"/>
        <w:spacing w:before="221"/>
        <w:ind w:left="0" w:firstLine="0"/>
        <w:jc w:val="left"/>
        <w:rPr>
          <w:rFonts w:ascii="Microsoft Sans Serif"/>
        </w:rPr>
      </w:pPr>
    </w:p>
    <w:p>
      <w:pPr>
        <w:pStyle w:val="Heading4"/>
      </w:pPr>
      <w:r>
        <w:rPr>
          <w:color w:val="242B67"/>
          <w:spacing w:val="-2"/>
        </w:rPr>
        <w:t>Associações</w:t>
      </w:r>
    </w:p>
    <w:p>
      <w:pPr>
        <w:pStyle w:val="BodyText"/>
        <w:spacing w:line="276" w:lineRule="auto" w:before="132"/>
        <w:ind w:right="491"/>
      </w:pPr>
      <w:r>
        <w:rPr/>
        <w:t>Existem algumas associações de anti-hipertensivos que constituem um atrativo para facilitar a adesão do paciente por diminuírem a quantidade de comprimidos ao dia. Contudo, essas associações fixas dificultam a titulação</w:t>
      </w:r>
      <w:r>
        <w:rPr>
          <w:spacing w:val="-2"/>
        </w:rPr>
        <w:t> </w:t>
      </w:r>
      <w:r>
        <w:rPr/>
        <w:t>de</w:t>
      </w:r>
      <w:r>
        <w:rPr>
          <w:spacing w:val="-5"/>
        </w:rPr>
        <w:t> </w:t>
      </w:r>
      <w:r>
        <w:rPr/>
        <w:t>doses de</w:t>
      </w:r>
      <w:r>
        <w:rPr>
          <w:spacing w:val="-5"/>
        </w:rPr>
        <w:t> </w:t>
      </w:r>
      <w:r>
        <w:rPr/>
        <w:t>cada</w:t>
      </w:r>
      <w:r>
        <w:rPr>
          <w:spacing w:val="-5"/>
        </w:rPr>
        <w:t> </w:t>
      </w:r>
      <w:r>
        <w:rPr/>
        <w:t>medicamento</w:t>
      </w:r>
      <w:r>
        <w:rPr>
          <w:spacing w:val="-2"/>
        </w:rPr>
        <w:t> </w:t>
      </w:r>
      <w:r>
        <w:rPr/>
        <w:t>e</w:t>
      </w:r>
      <w:r>
        <w:rPr>
          <w:spacing w:val="-5"/>
        </w:rPr>
        <w:t> </w:t>
      </w:r>
      <w:r>
        <w:rPr/>
        <w:t>pode-se</w:t>
      </w:r>
      <w:r>
        <w:rPr>
          <w:spacing w:val="-5"/>
        </w:rPr>
        <w:t> </w:t>
      </w:r>
      <w:r>
        <w:rPr/>
        <w:t>optar por elas após a</w:t>
      </w:r>
      <w:r>
        <w:rPr>
          <w:spacing w:val="-5"/>
        </w:rPr>
        <w:t> </w:t>
      </w:r>
      <w:r>
        <w:rPr/>
        <w:t>estabilização</w:t>
      </w:r>
      <w:r>
        <w:rPr>
          <w:spacing w:val="-2"/>
        </w:rPr>
        <w:t> </w:t>
      </w:r>
      <w:r>
        <w:rPr/>
        <w:t>da</w:t>
      </w:r>
      <w:r>
        <w:rPr>
          <w:spacing w:val="-5"/>
        </w:rPr>
        <w:t> </w:t>
      </w:r>
      <w:r>
        <w:rPr/>
        <w:t>pressão</w:t>
      </w:r>
      <w:r>
        <w:rPr>
          <w:spacing w:val="-2"/>
        </w:rPr>
        <w:t> </w:t>
      </w:r>
      <w:r>
        <w:rPr/>
        <w:t>arterial. No</w:t>
      </w:r>
      <w:r>
        <w:rPr>
          <w:spacing w:val="-2"/>
        </w:rPr>
        <w:t> </w:t>
      </w:r>
      <w:r>
        <w:rPr/>
        <w:t>Brasil, as associações fixas disponíveis estão expostas na </w:t>
      </w:r>
      <w:r>
        <w:rPr>
          <w:color w:val="505050"/>
        </w:rPr>
        <w:t>Tabela 57.15</w:t>
      </w:r>
      <w:r>
        <w:rPr/>
        <w:t>.</w:t>
      </w:r>
    </w:p>
    <w:p>
      <w:pPr>
        <w:pStyle w:val="BodyText"/>
        <w:spacing w:before="186"/>
        <w:ind w:left="0" w:firstLine="0"/>
        <w:jc w:val="left"/>
      </w:pPr>
    </w:p>
    <w:p>
      <w:pPr>
        <w:pStyle w:val="Heading4"/>
      </w:pPr>
      <w:r>
        <w:rPr>
          <w:color w:val="242B67"/>
        </w:rPr>
        <w:t>Perspectivas de novas </w:t>
      </w:r>
      <w:r>
        <w:rPr>
          <w:color w:val="242B67"/>
          <w:spacing w:val="-2"/>
        </w:rPr>
        <w:t>classes</w:t>
      </w:r>
    </w:p>
    <w:p>
      <w:pPr>
        <w:pStyle w:val="BodyText"/>
        <w:spacing w:line="278" w:lineRule="auto" w:before="132"/>
        <w:ind w:right="488"/>
      </w:pPr>
      <w:r>
        <w:rPr/>
        <w:t>Pesquisas com animais e humanos vêm destacando o papel do alisquireno, o primeiro de uma nova classe de agentes anti-hipertensivos conhecidos como</w:t>
      </w:r>
      <w:r>
        <w:rPr>
          <w:spacing w:val="-3"/>
        </w:rPr>
        <w:t> </w:t>
      </w:r>
      <w:r>
        <w:rPr/>
        <w:t>inibidores da</w:t>
      </w:r>
      <w:r>
        <w:rPr>
          <w:spacing w:val="-6"/>
        </w:rPr>
        <w:t> </w:t>
      </w:r>
      <w:r>
        <w:rPr/>
        <w:t>renina. Como</w:t>
      </w:r>
      <w:r>
        <w:rPr>
          <w:spacing w:val="-3"/>
        </w:rPr>
        <w:t> </w:t>
      </w:r>
      <w:r>
        <w:rPr/>
        <w:t>o</w:t>
      </w:r>
      <w:r>
        <w:rPr>
          <w:spacing w:val="-3"/>
        </w:rPr>
        <w:t> </w:t>
      </w:r>
      <w:r>
        <w:rPr/>
        <w:t>sistema</w:t>
      </w:r>
      <w:r>
        <w:rPr>
          <w:spacing w:val="-6"/>
        </w:rPr>
        <w:t> </w:t>
      </w:r>
      <w:r>
        <w:rPr/>
        <w:t>nervoso</w:t>
      </w:r>
      <w:r>
        <w:rPr>
          <w:spacing w:val="-3"/>
        </w:rPr>
        <w:t> </w:t>
      </w:r>
      <w:r>
        <w:rPr/>
        <w:t>simpático</w:t>
      </w:r>
      <w:r>
        <w:rPr>
          <w:spacing w:val="-3"/>
        </w:rPr>
        <w:t> </w:t>
      </w:r>
      <w:r>
        <w:rPr/>
        <w:t>desencadeia</w:t>
      </w:r>
      <w:r>
        <w:rPr>
          <w:spacing w:val="-6"/>
        </w:rPr>
        <w:t> </w:t>
      </w:r>
      <w:r>
        <w:rPr/>
        <w:t>a liberação de renina das células justaglomerulares nos rins, a inibição da renina impede que essa enzima converta angiotensinogênio em angiotensina I. Os dados dos estudos de fases II e III confirmaram sua eficácia como monoterapia</w:t>
      </w:r>
      <w:r>
        <w:rPr>
          <w:spacing w:val="-4"/>
        </w:rPr>
        <w:t> </w:t>
      </w:r>
      <w:r>
        <w:rPr/>
        <w:t>e</w:t>
      </w:r>
      <w:r>
        <w:rPr>
          <w:spacing w:val="-4"/>
        </w:rPr>
        <w:t> </w:t>
      </w:r>
      <w:r>
        <w:rPr/>
        <w:t>também</w:t>
      </w:r>
      <w:r>
        <w:rPr>
          <w:spacing w:val="-1"/>
        </w:rPr>
        <w:t> </w:t>
      </w:r>
      <w:r>
        <w:rPr/>
        <w:t>seus benefícios em</w:t>
      </w:r>
      <w:r>
        <w:rPr>
          <w:spacing w:val="-1"/>
        </w:rPr>
        <w:t> </w:t>
      </w:r>
      <w:r>
        <w:rPr/>
        <w:t>combinação</w:t>
      </w:r>
      <w:r>
        <w:rPr>
          <w:spacing w:val="-1"/>
        </w:rPr>
        <w:t> </w:t>
      </w:r>
      <w:r>
        <w:rPr/>
        <w:t>com</w:t>
      </w:r>
      <w:r>
        <w:rPr>
          <w:spacing w:val="-1"/>
        </w:rPr>
        <w:t> </w:t>
      </w:r>
      <w:r>
        <w:rPr/>
        <w:t>os bloqueadores dos receptores de</w:t>
      </w:r>
      <w:r>
        <w:rPr>
          <w:spacing w:val="-4"/>
        </w:rPr>
        <w:t> </w:t>
      </w:r>
      <w:r>
        <w:rPr/>
        <w:t>angiotensina.</w:t>
      </w:r>
      <w:r>
        <w:rPr>
          <w:vertAlign w:val="superscript"/>
        </w:rPr>
        <w:t>36,37</w:t>
      </w:r>
      <w:r>
        <w:rPr>
          <w:vertAlign w:val="baseline"/>
        </w:rPr>
        <w:t> A dose habitual é de 150 a 300 mg/dia. Os benefícios dessa nova classe em relação aos inibidores da ECA e aos antagonistas do</w:t>
      </w:r>
      <w:r>
        <w:rPr>
          <w:spacing w:val="-4"/>
          <w:vertAlign w:val="baseline"/>
        </w:rPr>
        <w:t> </w:t>
      </w:r>
      <w:r>
        <w:rPr>
          <w:vertAlign w:val="baseline"/>
        </w:rPr>
        <w:t>receptor AT1</w:t>
      </w:r>
      <w:r>
        <w:rPr>
          <w:spacing w:val="-4"/>
          <w:vertAlign w:val="baseline"/>
        </w:rPr>
        <w:t> </w:t>
      </w:r>
      <w:r>
        <w:rPr>
          <w:vertAlign w:val="baseline"/>
        </w:rPr>
        <w:t>da</w:t>
      </w:r>
      <w:r>
        <w:rPr>
          <w:spacing w:val="-7"/>
          <w:vertAlign w:val="baseline"/>
        </w:rPr>
        <w:t> </w:t>
      </w:r>
      <w:r>
        <w:rPr>
          <w:vertAlign w:val="baseline"/>
        </w:rPr>
        <w:t>angiotensina</w:t>
      </w:r>
      <w:r>
        <w:rPr>
          <w:spacing w:val="-7"/>
          <w:vertAlign w:val="baseline"/>
        </w:rPr>
        <w:t> </w:t>
      </w:r>
      <w:r>
        <w:rPr>
          <w:vertAlign w:val="baseline"/>
        </w:rPr>
        <w:t>II ainda</w:t>
      </w:r>
      <w:r>
        <w:rPr>
          <w:spacing w:val="-7"/>
          <w:vertAlign w:val="baseline"/>
        </w:rPr>
        <w:t> </w:t>
      </w:r>
      <w:r>
        <w:rPr>
          <w:vertAlign w:val="baseline"/>
        </w:rPr>
        <w:t>não</w:t>
      </w:r>
      <w:r>
        <w:rPr>
          <w:spacing w:val="-4"/>
          <w:vertAlign w:val="baseline"/>
        </w:rPr>
        <w:t> </w:t>
      </w:r>
      <w:r>
        <w:rPr>
          <w:vertAlign w:val="baseline"/>
        </w:rPr>
        <w:t>são</w:t>
      </w:r>
      <w:r>
        <w:rPr>
          <w:spacing w:val="-4"/>
          <w:vertAlign w:val="baseline"/>
        </w:rPr>
        <w:t> </w:t>
      </w:r>
      <w:r>
        <w:rPr>
          <w:vertAlign w:val="baseline"/>
        </w:rPr>
        <w:t>claros. É importante</w:t>
      </w:r>
      <w:r>
        <w:rPr>
          <w:spacing w:val="-7"/>
          <w:vertAlign w:val="baseline"/>
        </w:rPr>
        <w:t> </w:t>
      </w:r>
      <w:r>
        <w:rPr>
          <w:vertAlign w:val="baseline"/>
        </w:rPr>
        <w:t>ressaltar, no</w:t>
      </w:r>
      <w:r>
        <w:rPr>
          <w:spacing w:val="-4"/>
          <w:vertAlign w:val="baseline"/>
        </w:rPr>
        <w:t> </w:t>
      </w:r>
      <w:r>
        <w:rPr>
          <w:vertAlign w:val="baseline"/>
        </w:rPr>
        <w:t>entanto, que</w:t>
      </w:r>
      <w:r>
        <w:rPr>
          <w:spacing w:val="-7"/>
          <w:vertAlign w:val="baseline"/>
        </w:rPr>
        <w:t> </w:t>
      </w:r>
      <w:r>
        <w:rPr>
          <w:vertAlign w:val="baseline"/>
        </w:rPr>
        <w:t>não</w:t>
      </w:r>
      <w:r>
        <w:rPr>
          <w:spacing w:val="-4"/>
          <w:vertAlign w:val="baseline"/>
        </w:rPr>
        <w:t> </w:t>
      </w:r>
      <w:r>
        <w:rPr>
          <w:vertAlign w:val="baseline"/>
        </w:rPr>
        <w:t>se deve</w:t>
      </w:r>
      <w:r>
        <w:rPr>
          <w:spacing w:val="-7"/>
          <w:vertAlign w:val="baseline"/>
        </w:rPr>
        <w:t> </w:t>
      </w:r>
      <w:r>
        <w:rPr>
          <w:vertAlign w:val="baseline"/>
        </w:rPr>
        <w:t>utilizar o</w:t>
      </w:r>
      <w:r>
        <w:rPr>
          <w:spacing w:val="-5"/>
          <w:vertAlign w:val="baseline"/>
        </w:rPr>
        <w:t> </w:t>
      </w:r>
      <w:r>
        <w:rPr>
          <w:vertAlign w:val="baseline"/>
        </w:rPr>
        <w:t>inibidor de</w:t>
      </w:r>
      <w:r>
        <w:rPr>
          <w:spacing w:val="-7"/>
          <w:vertAlign w:val="baseline"/>
        </w:rPr>
        <w:t> </w:t>
      </w:r>
      <w:r>
        <w:rPr>
          <w:vertAlign w:val="baseline"/>
        </w:rPr>
        <w:t>renina</w:t>
      </w:r>
      <w:r>
        <w:rPr>
          <w:spacing w:val="-7"/>
          <w:vertAlign w:val="baseline"/>
        </w:rPr>
        <w:t> </w:t>
      </w:r>
      <w:r>
        <w:rPr>
          <w:vertAlign w:val="baseline"/>
        </w:rPr>
        <w:t>associado</w:t>
      </w:r>
      <w:r>
        <w:rPr>
          <w:spacing w:val="-5"/>
          <w:vertAlign w:val="baseline"/>
        </w:rPr>
        <w:t> </w:t>
      </w:r>
      <w:r>
        <w:rPr>
          <w:vertAlign w:val="baseline"/>
        </w:rPr>
        <w:t>aos inibidores da</w:t>
      </w:r>
      <w:r>
        <w:rPr>
          <w:spacing w:val="-7"/>
          <w:vertAlign w:val="baseline"/>
        </w:rPr>
        <w:t> </w:t>
      </w:r>
      <w:r>
        <w:rPr>
          <w:vertAlign w:val="baseline"/>
        </w:rPr>
        <w:t>ECA</w:t>
      </w:r>
      <w:r>
        <w:rPr>
          <w:spacing w:val="-7"/>
          <w:vertAlign w:val="baseline"/>
        </w:rPr>
        <w:t> </w:t>
      </w:r>
      <w:r>
        <w:rPr>
          <w:vertAlign w:val="baseline"/>
        </w:rPr>
        <w:t>ou</w:t>
      </w:r>
      <w:r>
        <w:rPr>
          <w:spacing w:val="-5"/>
          <w:vertAlign w:val="baseline"/>
        </w:rPr>
        <w:t> </w:t>
      </w:r>
      <w:r>
        <w:rPr>
          <w:vertAlign w:val="baseline"/>
        </w:rPr>
        <w:t>antagonistas do</w:t>
      </w:r>
      <w:r>
        <w:rPr>
          <w:spacing w:val="-5"/>
          <w:vertAlign w:val="baseline"/>
        </w:rPr>
        <w:t> </w:t>
      </w:r>
      <w:r>
        <w:rPr>
          <w:vertAlign w:val="baseline"/>
        </w:rPr>
        <w:t>receptor AT1</w:t>
      </w:r>
      <w:r>
        <w:rPr>
          <w:spacing w:val="-5"/>
          <w:vertAlign w:val="baseline"/>
        </w:rPr>
        <w:t> </w:t>
      </w:r>
      <w:r>
        <w:rPr>
          <w:vertAlign w:val="baseline"/>
        </w:rPr>
        <w:t>da</w:t>
      </w:r>
      <w:r>
        <w:rPr>
          <w:spacing w:val="-7"/>
          <w:vertAlign w:val="baseline"/>
        </w:rPr>
        <w:t> </w:t>
      </w:r>
      <w:r>
        <w:rPr>
          <w:vertAlign w:val="baseline"/>
        </w:rPr>
        <w:t>angiotensina II</w:t>
      </w:r>
      <w:r>
        <w:rPr>
          <w:spacing w:val="27"/>
          <w:vertAlign w:val="baseline"/>
        </w:rPr>
        <w:t> </w:t>
      </w:r>
      <w:r>
        <w:rPr>
          <w:vertAlign w:val="baseline"/>
        </w:rPr>
        <w:t>pela</w:t>
      </w:r>
      <w:r>
        <w:rPr>
          <w:spacing w:val="18"/>
          <w:vertAlign w:val="baseline"/>
        </w:rPr>
        <w:t> </w:t>
      </w:r>
      <w:r>
        <w:rPr>
          <w:vertAlign w:val="baseline"/>
        </w:rPr>
        <w:t>detecção</w:t>
      </w:r>
      <w:r>
        <w:rPr>
          <w:spacing w:val="21"/>
          <w:vertAlign w:val="baseline"/>
        </w:rPr>
        <w:t> </w:t>
      </w:r>
      <w:r>
        <w:rPr>
          <w:vertAlign w:val="baseline"/>
        </w:rPr>
        <w:t>em</w:t>
      </w:r>
      <w:r>
        <w:rPr>
          <w:spacing w:val="21"/>
          <w:vertAlign w:val="baseline"/>
        </w:rPr>
        <w:t> </w:t>
      </w:r>
      <w:r>
        <w:rPr>
          <w:vertAlign w:val="baseline"/>
        </w:rPr>
        <w:t>um</w:t>
      </w:r>
      <w:r>
        <w:rPr>
          <w:spacing w:val="21"/>
          <w:vertAlign w:val="baseline"/>
        </w:rPr>
        <w:t> </w:t>
      </w:r>
      <w:r>
        <w:rPr>
          <w:vertAlign w:val="baseline"/>
        </w:rPr>
        <w:t>grande</w:t>
      </w:r>
      <w:r>
        <w:rPr>
          <w:spacing w:val="18"/>
          <w:vertAlign w:val="baseline"/>
        </w:rPr>
        <w:t> </w:t>
      </w:r>
      <w:r>
        <w:rPr>
          <w:vertAlign w:val="baseline"/>
        </w:rPr>
        <w:t>estudo</w:t>
      </w:r>
      <w:r>
        <w:rPr>
          <w:spacing w:val="21"/>
          <w:vertAlign w:val="baseline"/>
        </w:rPr>
        <w:t> </w:t>
      </w:r>
      <w:r>
        <w:rPr>
          <w:vertAlign w:val="baseline"/>
        </w:rPr>
        <w:t>de</w:t>
      </w:r>
      <w:r>
        <w:rPr>
          <w:spacing w:val="18"/>
          <w:vertAlign w:val="baseline"/>
        </w:rPr>
        <w:t> </w:t>
      </w:r>
      <w:r>
        <w:rPr>
          <w:vertAlign w:val="baseline"/>
        </w:rPr>
        <w:t>um</w:t>
      </w:r>
      <w:r>
        <w:rPr>
          <w:spacing w:val="21"/>
          <w:vertAlign w:val="baseline"/>
        </w:rPr>
        <w:t> </w:t>
      </w:r>
      <w:r>
        <w:rPr>
          <w:vertAlign w:val="baseline"/>
        </w:rPr>
        <w:t>excesso</w:t>
      </w:r>
      <w:r>
        <w:rPr>
          <w:spacing w:val="21"/>
          <w:vertAlign w:val="baseline"/>
        </w:rPr>
        <w:t> </w:t>
      </w:r>
      <w:r>
        <w:rPr>
          <w:vertAlign w:val="baseline"/>
        </w:rPr>
        <w:t>de</w:t>
      </w:r>
      <w:r>
        <w:rPr>
          <w:spacing w:val="18"/>
          <w:vertAlign w:val="baseline"/>
        </w:rPr>
        <w:t> </w:t>
      </w:r>
      <w:r>
        <w:rPr>
          <w:vertAlign w:val="baseline"/>
        </w:rPr>
        <w:t>eventos</w:t>
      </w:r>
      <w:r>
        <w:rPr>
          <w:spacing w:val="30"/>
          <w:vertAlign w:val="baseline"/>
        </w:rPr>
        <w:t> </w:t>
      </w:r>
      <w:r>
        <w:rPr>
          <w:vertAlign w:val="baseline"/>
        </w:rPr>
        <w:t>adversos,</w:t>
      </w:r>
      <w:r>
        <w:rPr>
          <w:spacing w:val="30"/>
          <w:vertAlign w:val="baseline"/>
        </w:rPr>
        <w:t> </w:t>
      </w:r>
      <w:r>
        <w:rPr>
          <w:vertAlign w:val="baseline"/>
        </w:rPr>
        <w:t>como</w:t>
      </w:r>
      <w:r>
        <w:rPr>
          <w:spacing w:val="21"/>
          <w:vertAlign w:val="baseline"/>
        </w:rPr>
        <w:t> </w:t>
      </w:r>
      <w:r>
        <w:rPr>
          <w:vertAlign w:val="baseline"/>
        </w:rPr>
        <w:t>hiperpotassemia,</w:t>
      </w:r>
      <w:r>
        <w:rPr>
          <w:spacing w:val="30"/>
          <w:vertAlign w:val="baseline"/>
        </w:rPr>
        <w:t> </w:t>
      </w:r>
      <w:r>
        <w:rPr>
          <w:vertAlign w:val="baseline"/>
        </w:rPr>
        <w:t>hipotensão</w:t>
      </w:r>
      <w:r>
        <w:rPr>
          <w:spacing w:val="21"/>
          <w:vertAlign w:val="baseline"/>
        </w:rPr>
        <w:t> </w:t>
      </w:r>
      <w:r>
        <w:rPr>
          <w:vertAlign w:val="baseline"/>
        </w:rPr>
        <w:t>e</w:t>
      </w:r>
    </w:p>
    <w:p>
      <w:pPr>
        <w:pStyle w:val="BodyText"/>
        <w:spacing w:after="0" w:line="278" w:lineRule="auto"/>
        <w:sectPr>
          <w:type w:val="continuous"/>
          <w:pgSz w:w="11900" w:h="16840"/>
          <w:pgMar w:top="260" w:bottom="280" w:left="566" w:right="141"/>
        </w:sectPr>
      </w:pPr>
    </w:p>
    <w:p>
      <w:pPr>
        <w:pStyle w:val="BodyText"/>
        <w:spacing w:before="81"/>
        <w:ind w:firstLine="0"/>
        <w:jc w:val="left"/>
      </w:pPr>
      <w:r>
        <w:rPr>
          <w:spacing w:val="-2"/>
        </w:rPr>
        <w:t>acidente</w:t>
      </w:r>
      <w:r>
        <w:rPr>
          <w:spacing w:val="-10"/>
        </w:rPr>
        <w:t> </w:t>
      </w:r>
      <w:r>
        <w:rPr>
          <w:spacing w:val="-2"/>
        </w:rPr>
        <w:t>vascular</w:t>
      </w:r>
      <w:r>
        <w:rPr>
          <w:spacing w:val="-1"/>
        </w:rPr>
        <w:t> </w:t>
      </w:r>
      <w:r>
        <w:rPr>
          <w:spacing w:val="-2"/>
        </w:rPr>
        <w:t>cerebral</w:t>
      </w:r>
      <w:r>
        <w:rPr>
          <w:spacing w:val="-4"/>
        </w:rPr>
        <w:t> </w:t>
      </w:r>
      <w:r>
        <w:rPr>
          <w:spacing w:val="-2"/>
        </w:rPr>
        <w:t>isquêmico.</w:t>
      </w:r>
      <w:r>
        <w:rPr>
          <w:spacing w:val="-2"/>
          <w:vertAlign w:val="superscript"/>
        </w:rPr>
        <w:t>38</w:t>
      </w:r>
    </w:p>
    <w:p>
      <w:pPr>
        <w:pStyle w:val="BodyText"/>
        <w:spacing w:before="229"/>
        <w:ind w:left="0" w:firstLine="0"/>
        <w:jc w:val="left"/>
      </w:pPr>
    </w:p>
    <w:p>
      <w:pPr>
        <w:pStyle w:val="Heading4"/>
        <w:spacing w:line="273" w:lineRule="auto"/>
        <w:ind w:right="809"/>
      </w:pPr>
      <w:r>
        <w:rPr>
          <w:color w:val="242B67"/>
        </w:rPr>
        <w:t>Novas perspectivas no tratamento da hipertensão </w:t>
      </w:r>
      <w:r>
        <w:rPr>
          <w:color w:val="242B67"/>
        </w:rPr>
        <w:t>arterial </w:t>
      </w:r>
      <w:r>
        <w:rPr>
          <w:color w:val="242B67"/>
          <w:spacing w:val="-2"/>
        </w:rPr>
        <w:t>sistêmica</w:t>
      </w:r>
    </w:p>
    <w:p>
      <w:pPr>
        <w:pStyle w:val="BodyText"/>
        <w:spacing w:line="278" w:lineRule="auto" w:before="79"/>
        <w:ind w:right="491"/>
      </w:pPr>
      <w:r>
        <w:rPr/>
        <w:t>A denervação renal por meio de diferentes cateteres e a estimulação do barorreceptor por meio de dispositivo específico</w:t>
      </w:r>
      <w:r>
        <w:rPr>
          <w:spacing w:val="-2"/>
        </w:rPr>
        <w:t> </w:t>
      </w:r>
      <w:r>
        <w:rPr/>
        <w:t>são</w:t>
      </w:r>
      <w:r>
        <w:rPr>
          <w:spacing w:val="-2"/>
        </w:rPr>
        <w:t> </w:t>
      </w:r>
      <w:r>
        <w:rPr/>
        <w:t>procedimentos que</w:t>
      </w:r>
      <w:r>
        <w:rPr>
          <w:spacing w:val="-5"/>
        </w:rPr>
        <w:t> </w:t>
      </w:r>
      <w:r>
        <w:rPr/>
        <w:t>têm</w:t>
      </w:r>
      <w:r>
        <w:rPr>
          <w:spacing w:val="-2"/>
        </w:rPr>
        <w:t> </w:t>
      </w:r>
      <w:r>
        <w:rPr/>
        <w:t>se</w:t>
      </w:r>
      <w:r>
        <w:rPr>
          <w:spacing w:val="-5"/>
        </w:rPr>
        <w:t> </w:t>
      </w:r>
      <w:r>
        <w:rPr/>
        <w:t>mostrado</w:t>
      </w:r>
      <w:r>
        <w:rPr>
          <w:spacing w:val="-2"/>
        </w:rPr>
        <w:t> </w:t>
      </w:r>
      <w:r>
        <w:rPr/>
        <w:t>efetivos no</w:t>
      </w:r>
      <w:r>
        <w:rPr>
          <w:spacing w:val="-2"/>
        </w:rPr>
        <w:t> </w:t>
      </w:r>
      <w:r>
        <w:rPr/>
        <w:t>controle</w:t>
      </w:r>
      <w:r>
        <w:rPr>
          <w:spacing w:val="-5"/>
        </w:rPr>
        <w:t> </w:t>
      </w:r>
      <w:r>
        <w:rPr/>
        <w:t>da</w:t>
      </w:r>
      <w:r>
        <w:rPr>
          <w:spacing w:val="-5"/>
        </w:rPr>
        <w:t> </w:t>
      </w:r>
      <w:r>
        <w:rPr/>
        <w:t>pressão</w:t>
      </w:r>
      <w:r>
        <w:rPr>
          <w:spacing w:val="-2"/>
        </w:rPr>
        <w:t> </w:t>
      </w:r>
      <w:r>
        <w:rPr/>
        <w:t>arterial a</w:t>
      </w:r>
      <w:r>
        <w:rPr>
          <w:spacing w:val="-5"/>
        </w:rPr>
        <w:t> </w:t>
      </w:r>
      <w:r>
        <w:rPr/>
        <w:t>curto</w:t>
      </w:r>
      <w:r>
        <w:rPr>
          <w:spacing w:val="-2"/>
        </w:rPr>
        <w:t> </w:t>
      </w:r>
      <w:r>
        <w:rPr/>
        <w:t>e</w:t>
      </w:r>
      <w:r>
        <w:rPr>
          <w:spacing w:val="-5"/>
        </w:rPr>
        <w:t> </w:t>
      </w:r>
      <w:r>
        <w:rPr/>
        <w:t>longo</w:t>
      </w:r>
      <w:r>
        <w:rPr>
          <w:spacing w:val="-2"/>
        </w:rPr>
        <w:t> </w:t>
      </w:r>
      <w:r>
        <w:rPr/>
        <w:t>prazo</w:t>
      </w:r>
      <w:r>
        <w:rPr>
          <w:spacing w:val="-2"/>
        </w:rPr>
        <w:t> </w:t>
      </w:r>
      <w:r>
        <w:rPr/>
        <w:t>em pacientes portadores de</w:t>
      </w:r>
      <w:r>
        <w:rPr>
          <w:spacing w:val="-10"/>
        </w:rPr>
        <w:t> </w:t>
      </w:r>
      <w:r>
        <w:rPr/>
        <w:t>HAS</w:t>
      </w:r>
      <w:r>
        <w:rPr>
          <w:spacing w:val="-5"/>
        </w:rPr>
        <w:t> </w:t>
      </w:r>
      <w:r>
        <w:rPr/>
        <w:t>resistente. A</w:t>
      </w:r>
      <w:r>
        <w:rPr>
          <w:spacing w:val="-10"/>
        </w:rPr>
        <w:t> </w:t>
      </w:r>
      <w:r>
        <w:rPr/>
        <w:t>recomendação</w:t>
      </w:r>
      <w:r>
        <w:rPr>
          <w:spacing w:val="-7"/>
        </w:rPr>
        <w:t> </w:t>
      </w:r>
      <w:r>
        <w:rPr/>
        <w:t>atual</w:t>
      </w:r>
      <w:r>
        <w:rPr>
          <w:spacing w:val="-5"/>
        </w:rPr>
        <w:t> </w:t>
      </w:r>
      <w:r>
        <w:rPr/>
        <w:t>desses procedimentos, de</w:t>
      </w:r>
      <w:r>
        <w:rPr>
          <w:spacing w:val="-10"/>
        </w:rPr>
        <w:t> </w:t>
      </w:r>
      <w:r>
        <w:rPr/>
        <w:t>acordo</w:t>
      </w:r>
      <w:r>
        <w:rPr>
          <w:spacing w:val="-7"/>
        </w:rPr>
        <w:t> </w:t>
      </w:r>
      <w:r>
        <w:rPr/>
        <w:t>com</w:t>
      </w:r>
      <w:r>
        <w:rPr>
          <w:spacing w:val="-7"/>
        </w:rPr>
        <w:t> </w:t>
      </w:r>
      <w:r>
        <w:rPr/>
        <w:t>documento</w:t>
      </w:r>
      <w:r>
        <w:rPr>
          <w:spacing w:val="-7"/>
        </w:rPr>
        <w:t> </w:t>
      </w:r>
      <w:r>
        <w:rPr/>
        <w:t>da Sociedade Europeia de Hipertensão, é que, até que mais evidências estejam disponíveis em relação à denervação renal</w:t>
      </w:r>
      <w:r>
        <w:rPr>
          <w:spacing w:val="-5"/>
        </w:rPr>
        <w:t> </w:t>
      </w:r>
      <w:r>
        <w:rPr/>
        <w:t>e</w:t>
      </w:r>
      <w:r>
        <w:rPr>
          <w:spacing w:val="-10"/>
        </w:rPr>
        <w:t> </w:t>
      </w:r>
      <w:r>
        <w:rPr/>
        <w:t>à</w:t>
      </w:r>
      <w:r>
        <w:rPr>
          <w:spacing w:val="-10"/>
        </w:rPr>
        <w:t> </w:t>
      </w:r>
      <w:r>
        <w:rPr/>
        <w:t>estimulação</w:t>
      </w:r>
      <w:r>
        <w:rPr>
          <w:spacing w:val="-8"/>
        </w:rPr>
        <w:t> </w:t>
      </w:r>
      <w:r>
        <w:rPr/>
        <w:t>dos barorreceptores em</w:t>
      </w:r>
      <w:r>
        <w:rPr>
          <w:spacing w:val="-8"/>
        </w:rPr>
        <w:t> </w:t>
      </w:r>
      <w:r>
        <w:rPr/>
        <w:t>termos de</w:t>
      </w:r>
      <w:r>
        <w:rPr>
          <w:spacing w:val="-10"/>
        </w:rPr>
        <w:t> </w:t>
      </w:r>
      <w:r>
        <w:rPr/>
        <w:t>segurança</w:t>
      </w:r>
      <w:r>
        <w:rPr>
          <w:spacing w:val="-10"/>
        </w:rPr>
        <w:t> </w:t>
      </w:r>
      <w:r>
        <w:rPr/>
        <w:t>e</w:t>
      </w:r>
      <w:r>
        <w:rPr>
          <w:spacing w:val="-10"/>
        </w:rPr>
        <w:t> </w:t>
      </w:r>
      <w:r>
        <w:rPr/>
        <w:t>eficácia, a</w:t>
      </w:r>
      <w:r>
        <w:rPr>
          <w:spacing w:val="-10"/>
        </w:rPr>
        <w:t> </w:t>
      </w:r>
      <w:r>
        <w:rPr/>
        <w:t>longo</w:t>
      </w:r>
      <w:r>
        <w:rPr>
          <w:spacing w:val="-8"/>
        </w:rPr>
        <w:t> </w:t>
      </w:r>
      <w:r>
        <w:rPr/>
        <w:t>prazo, a</w:t>
      </w:r>
      <w:r>
        <w:rPr>
          <w:spacing w:val="-10"/>
        </w:rPr>
        <w:t> </w:t>
      </w:r>
      <w:r>
        <w:rPr/>
        <w:t>implementação</w:t>
      </w:r>
      <w:r>
        <w:rPr>
          <w:spacing w:val="-8"/>
        </w:rPr>
        <w:t> </w:t>
      </w:r>
      <w:r>
        <w:rPr/>
        <w:t>desses procedimentos deve</w:t>
      </w:r>
      <w:r>
        <w:rPr>
          <w:spacing w:val="-7"/>
        </w:rPr>
        <w:t> </w:t>
      </w:r>
      <w:r>
        <w:rPr/>
        <w:t>ser feita</w:t>
      </w:r>
      <w:r>
        <w:rPr>
          <w:spacing w:val="-7"/>
        </w:rPr>
        <w:t> </w:t>
      </w:r>
      <w:r>
        <w:rPr/>
        <w:t>por profissionais experientes.</w:t>
      </w:r>
      <w:r>
        <w:rPr>
          <w:vertAlign w:val="superscript"/>
        </w:rPr>
        <w:t>39</w:t>
      </w:r>
      <w:r>
        <w:rPr>
          <w:vertAlign w:val="baseline"/>
        </w:rPr>
        <w:t> É importante</w:t>
      </w:r>
      <w:r>
        <w:rPr>
          <w:spacing w:val="-6"/>
          <w:vertAlign w:val="baseline"/>
        </w:rPr>
        <w:t> </w:t>
      </w:r>
      <w:r>
        <w:rPr>
          <w:vertAlign w:val="baseline"/>
        </w:rPr>
        <w:t>destacar que</w:t>
      </w:r>
      <w:r>
        <w:rPr>
          <w:spacing w:val="-6"/>
          <w:vertAlign w:val="baseline"/>
        </w:rPr>
        <w:t> </w:t>
      </w:r>
      <w:r>
        <w:rPr>
          <w:vertAlign w:val="baseline"/>
        </w:rPr>
        <w:t>a</w:t>
      </w:r>
      <w:r>
        <w:rPr>
          <w:spacing w:val="-6"/>
          <w:vertAlign w:val="baseline"/>
        </w:rPr>
        <w:t> </w:t>
      </w:r>
      <w:r>
        <w:rPr>
          <w:vertAlign w:val="baseline"/>
        </w:rPr>
        <w:t>indicação</w:t>
      </w:r>
      <w:r>
        <w:rPr>
          <w:spacing w:val="-4"/>
          <w:vertAlign w:val="baseline"/>
        </w:rPr>
        <w:t> </w:t>
      </w:r>
      <w:r>
        <w:rPr>
          <w:vertAlign w:val="baseline"/>
        </w:rPr>
        <w:t>deve</w:t>
      </w:r>
      <w:r>
        <w:rPr>
          <w:spacing w:val="-6"/>
          <w:vertAlign w:val="baseline"/>
        </w:rPr>
        <w:t> </w:t>
      </w:r>
      <w:r>
        <w:rPr>
          <w:vertAlign w:val="baseline"/>
        </w:rPr>
        <w:t>ser restrita aos pacientes com HAS resistente confirmada na ausência de estenose de artérias renais.</w:t>
      </w:r>
    </w:p>
    <w:p>
      <w:pPr>
        <w:pStyle w:val="BodyText"/>
        <w:spacing w:before="85"/>
        <w:ind w:left="0" w:firstLine="0"/>
        <w:jc w:val="left"/>
      </w:pPr>
    </w:p>
    <w:p>
      <w:pPr>
        <w:spacing w:before="0"/>
        <w:ind w:left="68" w:right="0" w:firstLine="0"/>
        <w:jc w:val="left"/>
        <w:rPr>
          <w:rFonts w:ascii="Microsoft Sans Serif"/>
          <w:sz w:val="23"/>
        </w:rPr>
      </w:pPr>
      <w:r>
        <w:rPr>
          <w:rFonts w:ascii="Arial"/>
          <w:b/>
          <w:color w:val="242B67"/>
          <w:sz w:val="23"/>
        </w:rPr>
        <w:t>Tabela</w:t>
      </w:r>
      <w:r>
        <w:rPr>
          <w:rFonts w:ascii="Arial"/>
          <w:b/>
          <w:color w:val="242B67"/>
          <w:spacing w:val="3"/>
          <w:sz w:val="23"/>
        </w:rPr>
        <w:t> </w:t>
      </w:r>
      <w:r>
        <w:rPr>
          <w:rFonts w:ascii="Arial"/>
          <w:b/>
          <w:color w:val="242B67"/>
          <w:sz w:val="23"/>
        </w:rPr>
        <w:t>57.14</w:t>
      </w:r>
      <w:r>
        <w:rPr>
          <w:rFonts w:ascii="Arial"/>
          <w:b/>
          <w:color w:val="242B67"/>
          <w:spacing w:val="1"/>
          <w:sz w:val="23"/>
        </w:rPr>
        <w:t> </w:t>
      </w:r>
      <w:r>
        <w:rPr>
          <w:rFonts w:ascii="Microsoft Sans Serif"/>
          <w:spacing w:val="-2"/>
          <w:sz w:val="23"/>
        </w:rPr>
        <w:t>Betabloqueadores.</w:t>
      </w:r>
    </w:p>
    <w:p>
      <w:pPr>
        <w:pStyle w:val="BodyText"/>
        <w:spacing w:before="5"/>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690"/>
        <w:gridCol w:w="1458"/>
        <w:gridCol w:w="1474"/>
        <w:gridCol w:w="2179"/>
        <w:gridCol w:w="3821"/>
      </w:tblGrid>
      <w:tr>
        <w:trPr>
          <w:trHeight w:val="1039" w:hRule="atLeast"/>
        </w:trPr>
        <w:tc>
          <w:tcPr>
            <w:tcW w:w="1690" w:type="dxa"/>
            <w:tcBorders>
              <w:top w:val="nil"/>
              <w:left w:val="nil"/>
            </w:tcBorders>
            <w:shd w:val="clear" w:color="auto" w:fill="242B67"/>
          </w:tcPr>
          <w:p>
            <w:pPr>
              <w:pStyle w:val="TableParagraph"/>
              <w:spacing w:before="0"/>
              <w:ind w:left="0"/>
              <w:rPr>
                <w:sz w:val="21"/>
              </w:rPr>
            </w:pPr>
          </w:p>
          <w:p>
            <w:pPr>
              <w:pStyle w:val="TableParagraph"/>
              <w:spacing w:before="225"/>
              <w:ind w:left="0"/>
              <w:rPr>
                <w:sz w:val="21"/>
              </w:rPr>
            </w:pPr>
          </w:p>
          <w:p>
            <w:pPr>
              <w:pStyle w:val="TableParagraph"/>
              <w:spacing w:before="0"/>
              <w:ind w:left="67"/>
              <w:rPr>
                <w:rFonts w:ascii="Arial"/>
                <w:b/>
                <w:sz w:val="21"/>
              </w:rPr>
            </w:pPr>
            <w:r>
              <w:rPr>
                <w:rFonts w:ascii="Arial"/>
                <w:b/>
                <w:color w:val="FFFFFF"/>
                <w:spacing w:val="-2"/>
                <w:w w:val="105"/>
                <w:sz w:val="21"/>
              </w:rPr>
              <w:t>Medicamentos</w:t>
            </w:r>
          </w:p>
        </w:tc>
        <w:tc>
          <w:tcPr>
            <w:tcW w:w="1458" w:type="dxa"/>
            <w:tcBorders>
              <w:top w:val="nil"/>
            </w:tcBorders>
            <w:shd w:val="clear" w:color="auto" w:fill="242B67"/>
          </w:tcPr>
          <w:p>
            <w:pPr>
              <w:pStyle w:val="TableParagraph"/>
              <w:spacing w:line="302" w:lineRule="auto" w:before="91"/>
              <w:ind w:right="208"/>
              <w:rPr>
                <w:rFonts w:ascii="Arial" w:hAnsi="Arial"/>
                <w:b/>
                <w:sz w:val="21"/>
              </w:rPr>
            </w:pPr>
            <w:r>
              <w:rPr>
                <w:rFonts w:ascii="Arial" w:hAnsi="Arial"/>
                <w:b/>
                <w:color w:val="FFFFFF"/>
                <w:spacing w:val="-4"/>
                <w:w w:val="105"/>
                <w:sz w:val="21"/>
              </w:rPr>
              <w:t>Dose </w:t>
            </w:r>
            <w:r>
              <w:rPr>
                <w:rFonts w:ascii="Arial" w:hAnsi="Arial"/>
                <w:b/>
                <w:color w:val="FFFFFF"/>
                <w:spacing w:val="-2"/>
                <w:sz w:val="21"/>
              </w:rPr>
              <w:t>mínima </w:t>
            </w:r>
            <w:r>
              <w:rPr>
                <w:rFonts w:ascii="Arial" w:hAnsi="Arial"/>
                <w:b/>
                <w:color w:val="FFFFFF"/>
                <w:spacing w:val="-4"/>
                <w:w w:val="105"/>
                <w:sz w:val="21"/>
              </w:rPr>
              <w:t>(mg)</w:t>
            </w:r>
          </w:p>
        </w:tc>
        <w:tc>
          <w:tcPr>
            <w:tcW w:w="1474" w:type="dxa"/>
            <w:tcBorders>
              <w:top w:val="nil"/>
            </w:tcBorders>
            <w:shd w:val="clear" w:color="auto" w:fill="242B67"/>
          </w:tcPr>
          <w:p>
            <w:pPr>
              <w:pStyle w:val="TableParagraph"/>
              <w:spacing w:line="302" w:lineRule="auto" w:before="91"/>
              <w:ind w:left="64" w:right="178"/>
              <w:rPr>
                <w:rFonts w:ascii="Arial" w:hAnsi="Arial"/>
                <w:b/>
                <w:sz w:val="21"/>
              </w:rPr>
            </w:pPr>
            <w:r>
              <w:rPr>
                <w:rFonts w:ascii="Arial" w:hAnsi="Arial"/>
                <w:b/>
                <w:color w:val="FFFFFF"/>
                <w:spacing w:val="-4"/>
                <w:w w:val="105"/>
                <w:sz w:val="21"/>
              </w:rPr>
              <w:t>Dose </w:t>
            </w:r>
            <w:r>
              <w:rPr>
                <w:rFonts w:ascii="Arial" w:hAnsi="Arial"/>
                <w:b/>
                <w:color w:val="FFFFFF"/>
                <w:spacing w:val="-2"/>
                <w:sz w:val="21"/>
              </w:rPr>
              <w:t>máxima </w:t>
            </w:r>
            <w:r>
              <w:rPr>
                <w:rFonts w:ascii="Arial" w:hAnsi="Arial"/>
                <w:b/>
                <w:color w:val="FFFFFF"/>
                <w:spacing w:val="-4"/>
                <w:w w:val="105"/>
                <w:sz w:val="21"/>
              </w:rPr>
              <w:t>(mg)</w:t>
            </w:r>
          </w:p>
        </w:tc>
        <w:tc>
          <w:tcPr>
            <w:tcW w:w="2179" w:type="dxa"/>
            <w:tcBorders>
              <w:top w:val="nil"/>
            </w:tcBorders>
            <w:shd w:val="clear" w:color="auto" w:fill="242B67"/>
          </w:tcPr>
          <w:p>
            <w:pPr>
              <w:pStyle w:val="TableParagraph"/>
              <w:spacing w:before="158"/>
              <w:ind w:left="0"/>
              <w:rPr>
                <w:sz w:val="21"/>
              </w:rPr>
            </w:pPr>
          </w:p>
          <w:p>
            <w:pPr>
              <w:pStyle w:val="TableParagraph"/>
              <w:spacing w:line="302" w:lineRule="auto" w:before="0"/>
              <w:ind w:left="64"/>
              <w:rPr>
                <w:rFonts w:ascii="Arial" w:hAnsi="Arial"/>
                <w:b/>
                <w:sz w:val="21"/>
              </w:rPr>
            </w:pPr>
            <w:r>
              <w:rPr>
                <w:rFonts w:ascii="Arial" w:hAnsi="Arial"/>
                <w:b/>
                <w:color w:val="FFFFFF"/>
                <w:w w:val="105"/>
                <w:sz w:val="21"/>
              </w:rPr>
              <w:t>No de </w:t>
            </w:r>
            <w:r>
              <w:rPr>
                <w:rFonts w:ascii="Arial" w:hAnsi="Arial"/>
                <w:b/>
                <w:color w:val="FFFFFF"/>
                <w:spacing w:val="-2"/>
                <w:sz w:val="21"/>
              </w:rPr>
              <w:t>administrações/dia</w:t>
            </w:r>
          </w:p>
        </w:tc>
        <w:tc>
          <w:tcPr>
            <w:tcW w:w="3821" w:type="dxa"/>
            <w:tcBorders>
              <w:top w:val="nil"/>
              <w:right w:val="nil"/>
            </w:tcBorders>
            <w:shd w:val="clear" w:color="auto" w:fill="242B67"/>
          </w:tcPr>
          <w:p>
            <w:pPr>
              <w:pStyle w:val="TableParagraph"/>
              <w:spacing w:before="0"/>
              <w:ind w:left="0"/>
              <w:rPr>
                <w:sz w:val="21"/>
              </w:rPr>
            </w:pPr>
          </w:p>
          <w:p>
            <w:pPr>
              <w:pStyle w:val="TableParagraph"/>
              <w:spacing w:before="225"/>
              <w:ind w:left="0"/>
              <w:rPr>
                <w:sz w:val="21"/>
              </w:rPr>
            </w:pPr>
          </w:p>
          <w:p>
            <w:pPr>
              <w:pStyle w:val="TableParagraph"/>
              <w:spacing w:before="0"/>
              <w:ind w:left="63"/>
              <w:rPr>
                <w:rFonts w:ascii="Arial" w:hAnsi="Arial"/>
                <w:b/>
                <w:sz w:val="21"/>
              </w:rPr>
            </w:pPr>
            <w:r>
              <w:rPr>
                <w:rFonts w:ascii="Arial" w:hAnsi="Arial"/>
                <w:b/>
                <w:color w:val="FFFFFF"/>
                <w:w w:val="105"/>
                <w:sz w:val="21"/>
              </w:rPr>
              <w:t>Mecanismo</w:t>
            </w:r>
            <w:r>
              <w:rPr>
                <w:rFonts w:ascii="Arial" w:hAnsi="Arial"/>
                <w:b/>
                <w:color w:val="FFFFFF"/>
                <w:spacing w:val="-10"/>
                <w:w w:val="105"/>
                <w:sz w:val="21"/>
              </w:rPr>
              <w:t> </w:t>
            </w:r>
            <w:r>
              <w:rPr>
                <w:rFonts w:ascii="Arial" w:hAnsi="Arial"/>
                <w:b/>
                <w:color w:val="FFFFFF"/>
                <w:w w:val="105"/>
                <w:sz w:val="21"/>
              </w:rPr>
              <w:t>de</w:t>
            </w:r>
            <w:r>
              <w:rPr>
                <w:rFonts w:ascii="Arial" w:hAnsi="Arial"/>
                <w:b/>
                <w:color w:val="FFFFFF"/>
                <w:spacing w:val="1"/>
                <w:w w:val="105"/>
                <w:sz w:val="21"/>
              </w:rPr>
              <w:t> </w:t>
            </w:r>
            <w:r>
              <w:rPr>
                <w:rFonts w:ascii="Arial" w:hAnsi="Arial"/>
                <w:b/>
                <w:color w:val="FFFFFF"/>
                <w:spacing w:val="-4"/>
                <w:w w:val="105"/>
                <w:sz w:val="21"/>
              </w:rPr>
              <w:t>ação</w:t>
            </w: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w w:val="105"/>
                <w:sz w:val="21"/>
              </w:rPr>
              <w:t>Atenolol</w:t>
            </w:r>
          </w:p>
        </w:tc>
        <w:tc>
          <w:tcPr>
            <w:tcW w:w="1458" w:type="dxa"/>
            <w:shd w:val="clear" w:color="auto" w:fill="EDECF3"/>
          </w:tcPr>
          <w:p>
            <w:pPr>
              <w:pStyle w:val="TableParagraph"/>
              <w:spacing w:before="93"/>
              <w:rPr>
                <w:sz w:val="21"/>
              </w:rPr>
            </w:pPr>
            <w:r>
              <w:rPr>
                <w:spacing w:val="-5"/>
                <w:w w:val="105"/>
                <w:sz w:val="21"/>
              </w:rPr>
              <w:t>25</w:t>
            </w:r>
          </w:p>
        </w:tc>
        <w:tc>
          <w:tcPr>
            <w:tcW w:w="1474" w:type="dxa"/>
            <w:shd w:val="clear" w:color="auto" w:fill="EDECF3"/>
          </w:tcPr>
          <w:p>
            <w:pPr>
              <w:pStyle w:val="TableParagraph"/>
              <w:spacing w:before="93"/>
              <w:ind w:left="64"/>
              <w:rPr>
                <w:sz w:val="21"/>
              </w:rPr>
            </w:pPr>
            <w:r>
              <w:rPr>
                <w:spacing w:val="-5"/>
                <w:w w:val="105"/>
                <w:sz w:val="21"/>
              </w:rPr>
              <w:t>100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21" w:type="dxa"/>
            <w:vMerge w:val="restart"/>
            <w:tcBorders>
              <w:bottom w:val="nil"/>
              <w:right w:val="nil"/>
            </w:tcBorders>
            <w:shd w:val="clear" w:color="auto" w:fill="EDECF3"/>
          </w:tcPr>
          <w:p>
            <w:pPr>
              <w:pStyle w:val="TableParagraph"/>
              <w:spacing w:line="307" w:lineRule="auto" w:before="93"/>
              <w:ind w:left="63" w:right="195"/>
              <w:rPr>
                <w:sz w:val="21"/>
              </w:rPr>
            </w:pPr>
            <w:r>
              <w:rPr>
                <w:w w:val="105"/>
                <w:sz w:val="21"/>
              </w:rPr>
              <w:t>Promovem a diminuição inicial do débito cardíaco, redução na secreção de renina, readaptação dos barorreceptores e diminuição das catecolaminas nas sinapses </w:t>
            </w:r>
            <w:r>
              <w:rPr>
                <w:spacing w:val="-2"/>
                <w:w w:val="105"/>
                <w:sz w:val="21"/>
              </w:rPr>
              <w:t>nervosas</w:t>
            </w:r>
          </w:p>
          <w:p>
            <w:pPr>
              <w:pStyle w:val="TableParagraph"/>
              <w:spacing w:line="307" w:lineRule="auto" w:before="128"/>
              <w:ind w:left="63"/>
              <w:rPr>
                <w:sz w:val="21"/>
              </w:rPr>
            </w:pPr>
            <w:r>
              <w:rPr>
                <w:w w:val="105"/>
                <w:sz w:val="21"/>
              </w:rPr>
              <w:t>Também aumentam a biodisponibilidade de óxido nítrico</w:t>
            </w: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Bisoprolol</w:t>
            </w:r>
          </w:p>
        </w:tc>
        <w:tc>
          <w:tcPr>
            <w:tcW w:w="1458" w:type="dxa"/>
            <w:shd w:val="clear" w:color="auto" w:fill="EDECF3"/>
          </w:tcPr>
          <w:p>
            <w:pPr>
              <w:pStyle w:val="TableParagraph"/>
              <w:spacing w:before="93"/>
              <w:rPr>
                <w:sz w:val="21"/>
              </w:rPr>
            </w:pPr>
            <w:r>
              <w:rPr>
                <w:spacing w:val="-5"/>
                <w:w w:val="105"/>
                <w:sz w:val="21"/>
              </w:rPr>
              <w:t>2,5</w:t>
            </w:r>
          </w:p>
        </w:tc>
        <w:tc>
          <w:tcPr>
            <w:tcW w:w="1474" w:type="dxa"/>
            <w:shd w:val="clear" w:color="auto" w:fill="EDECF3"/>
          </w:tcPr>
          <w:p>
            <w:pPr>
              <w:pStyle w:val="TableParagraph"/>
              <w:spacing w:before="93"/>
              <w:ind w:left="64"/>
              <w:rPr>
                <w:sz w:val="21"/>
              </w:rPr>
            </w:pPr>
            <w:r>
              <w:rPr>
                <w:spacing w:val="-5"/>
                <w:w w:val="105"/>
                <w:sz w:val="21"/>
              </w:rPr>
              <w:t>10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21"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w w:val="105"/>
                <w:sz w:val="21"/>
              </w:rPr>
              <w:t>Metoprolol</w:t>
            </w:r>
          </w:p>
        </w:tc>
        <w:tc>
          <w:tcPr>
            <w:tcW w:w="1458" w:type="dxa"/>
            <w:shd w:val="clear" w:color="auto" w:fill="EDECF3"/>
          </w:tcPr>
          <w:p>
            <w:pPr>
              <w:pStyle w:val="TableParagraph"/>
              <w:spacing w:before="93"/>
              <w:rPr>
                <w:sz w:val="21"/>
              </w:rPr>
            </w:pPr>
            <w:r>
              <w:rPr>
                <w:spacing w:val="-5"/>
                <w:w w:val="105"/>
                <w:sz w:val="21"/>
              </w:rPr>
              <w:t>50</w:t>
            </w:r>
          </w:p>
        </w:tc>
        <w:tc>
          <w:tcPr>
            <w:tcW w:w="1474" w:type="dxa"/>
            <w:shd w:val="clear" w:color="auto" w:fill="EDECF3"/>
          </w:tcPr>
          <w:p>
            <w:pPr>
              <w:pStyle w:val="TableParagraph"/>
              <w:spacing w:before="93"/>
              <w:ind w:left="64"/>
              <w:rPr>
                <w:sz w:val="21"/>
              </w:rPr>
            </w:pPr>
            <w:r>
              <w:rPr>
                <w:spacing w:val="-5"/>
                <w:w w:val="105"/>
                <w:sz w:val="21"/>
              </w:rPr>
              <w:t>200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21"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sz w:val="21"/>
              </w:rPr>
              <w:t>Nadolol</w:t>
            </w:r>
          </w:p>
        </w:tc>
        <w:tc>
          <w:tcPr>
            <w:tcW w:w="1458" w:type="dxa"/>
            <w:shd w:val="clear" w:color="auto" w:fill="EDECF3"/>
          </w:tcPr>
          <w:p>
            <w:pPr>
              <w:pStyle w:val="TableParagraph"/>
              <w:spacing w:before="93"/>
              <w:rPr>
                <w:sz w:val="21"/>
              </w:rPr>
            </w:pPr>
            <w:r>
              <w:rPr>
                <w:spacing w:val="-5"/>
                <w:w w:val="105"/>
                <w:sz w:val="21"/>
              </w:rPr>
              <w:t>20</w:t>
            </w:r>
          </w:p>
        </w:tc>
        <w:tc>
          <w:tcPr>
            <w:tcW w:w="1474" w:type="dxa"/>
            <w:shd w:val="clear" w:color="auto" w:fill="EDECF3"/>
          </w:tcPr>
          <w:p>
            <w:pPr>
              <w:pStyle w:val="TableParagraph"/>
              <w:spacing w:before="93"/>
              <w:ind w:left="64"/>
              <w:rPr>
                <w:sz w:val="21"/>
              </w:rPr>
            </w:pPr>
            <w:r>
              <w:rPr>
                <w:spacing w:val="-5"/>
                <w:w w:val="105"/>
                <w:sz w:val="21"/>
              </w:rPr>
              <w:t>80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2</w:t>
            </w:r>
          </w:p>
        </w:tc>
        <w:tc>
          <w:tcPr>
            <w:tcW w:w="3821" w:type="dxa"/>
            <w:vMerge/>
            <w:tcBorders>
              <w:top w:val="nil"/>
              <w:bottom w:val="nil"/>
              <w:right w:val="nil"/>
            </w:tcBorders>
            <w:shd w:val="clear" w:color="auto" w:fill="EDECF3"/>
          </w:tcPr>
          <w:p>
            <w:pPr>
              <w:rPr>
                <w:sz w:val="2"/>
                <w:szCs w:val="2"/>
              </w:rPr>
            </w:pPr>
          </w:p>
        </w:tc>
      </w:tr>
      <w:tr>
        <w:trPr>
          <w:trHeight w:val="428" w:hRule="atLeast"/>
        </w:trPr>
        <w:tc>
          <w:tcPr>
            <w:tcW w:w="1690" w:type="dxa"/>
            <w:tcBorders>
              <w:left w:val="nil"/>
            </w:tcBorders>
            <w:shd w:val="clear" w:color="auto" w:fill="EDECF3"/>
          </w:tcPr>
          <w:p>
            <w:pPr>
              <w:pStyle w:val="TableParagraph"/>
              <w:spacing w:before="93"/>
              <w:ind w:left="67"/>
              <w:rPr>
                <w:sz w:val="21"/>
              </w:rPr>
            </w:pPr>
            <w:r>
              <w:rPr>
                <w:spacing w:val="-2"/>
                <w:w w:val="105"/>
                <w:sz w:val="21"/>
              </w:rPr>
              <w:t>Propranolol</w:t>
            </w:r>
          </w:p>
        </w:tc>
        <w:tc>
          <w:tcPr>
            <w:tcW w:w="1458" w:type="dxa"/>
            <w:shd w:val="clear" w:color="auto" w:fill="EDECF3"/>
          </w:tcPr>
          <w:p>
            <w:pPr>
              <w:pStyle w:val="TableParagraph"/>
              <w:spacing w:before="93"/>
              <w:rPr>
                <w:sz w:val="21"/>
              </w:rPr>
            </w:pPr>
            <w:r>
              <w:rPr>
                <w:spacing w:val="-5"/>
                <w:w w:val="105"/>
                <w:sz w:val="21"/>
              </w:rPr>
              <w:t>40</w:t>
            </w:r>
          </w:p>
        </w:tc>
        <w:tc>
          <w:tcPr>
            <w:tcW w:w="1474" w:type="dxa"/>
            <w:shd w:val="clear" w:color="auto" w:fill="EDECF3"/>
          </w:tcPr>
          <w:p>
            <w:pPr>
              <w:pStyle w:val="TableParagraph"/>
              <w:spacing w:before="93"/>
              <w:ind w:left="64"/>
              <w:rPr>
                <w:sz w:val="21"/>
              </w:rPr>
            </w:pPr>
            <w:r>
              <w:rPr>
                <w:spacing w:val="-5"/>
                <w:w w:val="105"/>
                <w:sz w:val="21"/>
              </w:rPr>
              <w:t>240</w:t>
            </w:r>
          </w:p>
        </w:tc>
        <w:tc>
          <w:tcPr>
            <w:tcW w:w="2179" w:type="dxa"/>
            <w:shd w:val="clear" w:color="auto" w:fill="EDECF3"/>
          </w:tcPr>
          <w:p>
            <w:pPr>
              <w:pStyle w:val="TableParagraph"/>
              <w:spacing w:before="93"/>
              <w:ind w:left="64"/>
              <w:rPr>
                <w:sz w:val="21"/>
              </w:rPr>
            </w:pPr>
            <w:r>
              <w:rPr>
                <w:w w:val="105"/>
                <w:sz w:val="21"/>
              </w:rPr>
              <w:t>2</w:t>
            </w:r>
            <w:r>
              <w:rPr>
                <w:spacing w:val="9"/>
                <w:w w:val="105"/>
                <w:sz w:val="21"/>
              </w:rPr>
              <w:t> </w:t>
            </w:r>
            <w:r>
              <w:rPr>
                <w:w w:val="105"/>
                <w:sz w:val="21"/>
              </w:rPr>
              <w:t>a</w:t>
            </w:r>
            <w:r>
              <w:rPr>
                <w:spacing w:val="10"/>
                <w:w w:val="105"/>
                <w:sz w:val="21"/>
              </w:rPr>
              <w:t> </w:t>
            </w:r>
            <w:r>
              <w:rPr>
                <w:spacing w:val="-10"/>
                <w:w w:val="105"/>
                <w:sz w:val="21"/>
              </w:rPr>
              <w:t>3</w:t>
            </w:r>
          </w:p>
        </w:tc>
        <w:tc>
          <w:tcPr>
            <w:tcW w:w="3821" w:type="dxa"/>
            <w:vMerge/>
            <w:tcBorders>
              <w:top w:val="nil"/>
              <w:bottom w:val="nil"/>
              <w:right w:val="nil"/>
            </w:tcBorders>
            <w:shd w:val="clear" w:color="auto" w:fill="EDECF3"/>
          </w:tcPr>
          <w:p>
            <w:pPr>
              <w:rPr>
                <w:sz w:val="2"/>
                <w:szCs w:val="2"/>
              </w:rPr>
            </w:pPr>
          </w:p>
        </w:tc>
      </w:tr>
      <w:tr>
        <w:trPr>
          <w:trHeight w:val="732" w:hRule="atLeast"/>
        </w:trPr>
        <w:tc>
          <w:tcPr>
            <w:tcW w:w="1690" w:type="dxa"/>
            <w:tcBorders>
              <w:left w:val="nil"/>
            </w:tcBorders>
            <w:shd w:val="clear" w:color="auto" w:fill="EDECF3"/>
          </w:tcPr>
          <w:p>
            <w:pPr>
              <w:pStyle w:val="TableParagraph"/>
              <w:spacing w:line="307" w:lineRule="auto" w:before="93"/>
              <w:ind w:left="67"/>
              <w:rPr>
                <w:sz w:val="21"/>
              </w:rPr>
            </w:pPr>
            <w:r>
              <w:rPr>
                <w:w w:val="105"/>
                <w:sz w:val="21"/>
              </w:rPr>
              <w:t>Pindolol</w:t>
            </w:r>
            <w:r>
              <w:rPr>
                <w:spacing w:val="-8"/>
                <w:w w:val="105"/>
                <w:sz w:val="21"/>
              </w:rPr>
              <w:t> </w:t>
            </w:r>
            <w:r>
              <w:rPr>
                <w:w w:val="105"/>
                <w:sz w:val="21"/>
              </w:rPr>
              <w:t>(com </w:t>
            </w:r>
            <w:r>
              <w:rPr>
                <w:spacing w:val="-4"/>
                <w:w w:val="105"/>
                <w:sz w:val="21"/>
              </w:rPr>
              <w:t>ASI)</w:t>
            </w:r>
          </w:p>
        </w:tc>
        <w:tc>
          <w:tcPr>
            <w:tcW w:w="1458" w:type="dxa"/>
            <w:shd w:val="clear" w:color="auto" w:fill="EDECF3"/>
          </w:tcPr>
          <w:p>
            <w:pPr>
              <w:pStyle w:val="TableParagraph"/>
              <w:spacing w:before="93"/>
              <w:rPr>
                <w:sz w:val="21"/>
              </w:rPr>
            </w:pPr>
            <w:r>
              <w:rPr>
                <w:spacing w:val="-10"/>
                <w:w w:val="105"/>
                <w:sz w:val="21"/>
              </w:rPr>
              <w:t>5</w:t>
            </w:r>
          </w:p>
        </w:tc>
        <w:tc>
          <w:tcPr>
            <w:tcW w:w="1474" w:type="dxa"/>
            <w:shd w:val="clear" w:color="auto" w:fill="EDECF3"/>
          </w:tcPr>
          <w:p>
            <w:pPr>
              <w:pStyle w:val="TableParagraph"/>
              <w:spacing w:before="93"/>
              <w:ind w:left="64"/>
              <w:rPr>
                <w:sz w:val="21"/>
              </w:rPr>
            </w:pPr>
            <w:r>
              <w:rPr>
                <w:spacing w:val="-5"/>
                <w:w w:val="105"/>
                <w:sz w:val="21"/>
              </w:rPr>
              <w:t>20</w:t>
            </w:r>
          </w:p>
        </w:tc>
        <w:tc>
          <w:tcPr>
            <w:tcW w:w="2179" w:type="dxa"/>
            <w:shd w:val="clear" w:color="auto" w:fill="EDECF3"/>
          </w:tcPr>
          <w:p>
            <w:pPr>
              <w:pStyle w:val="TableParagraph"/>
              <w:spacing w:before="93"/>
              <w:ind w:left="64"/>
              <w:rPr>
                <w:sz w:val="21"/>
              </w:rPr>
            </w:pPr>
            <w:r>
              <w:rPr>
                <w:w w:val="105"/>
                <w:sz w:val="21"/>
              </w:rPr>
              <w:t>1</w:t>
            </w:r>
            <w:r>
              <w:rPr>
                <w:spacing w:val="9"/>
                <w:w w:val="105"/>
                <w:sz w:val="21"/>
              </w:rPr>
              <w:t> </w:t>
            </w:r>
            <w:r>
              <w:rPr>
                <w:w w:val="105"/>
                <w:sz w:val="21"/>
              </w:rPr>
              <w:t>a</w:t>
            </w:r>
            <w:r>
              <w:rPr>
                <w:spacing w:val="10"/>
                <w:w w:val="105"/>
                <w:sz w:val="21"/>
              </w:rPr>
              <w:t> </w:t>
            </w:r>
            <w:r>
              <w:rPr>
                <w:spacing w:val="-10"/>
                <w:w w:val="105"/>
                <w:sz w:val="21"/>
              </w:rPr>
              <w:t>3</w:t>
            </w:r>
          </w:p>
        </w:tc>
        <w:tc>
          <w:tcPr>
            <w:tcW w:w="3821" w:type="dxa"/>
            <w:vMerge/>
            <w:tcBorders>
              <w:top w:val="nil"/>
              <w:bottom w:val="nil"/>
              <w:right w:val="nil"/>
            </w:tcBorders>
            <w:shd w:val="clear" w:color="auto" w:fill="EDECF3"/>
          </w:tcPr>
          <w:p>
            <w:pPr>
              <w:rPr>
                <w:sz w:val="2"/>
                <w:szCs w:val="2"/>
              </w:rPr>
            </w:pPr>
          </w:p>
        </w:tc>
      </w:tr>
      <w:tr>
        <w:trPr>
          <w:trHeight w:val="430" w:hRule="atLeast"/>
        </w:trPr>
        <w:tc>
          <w:tcPr>
            <w:tcW w:w="1690" w:type="dxa"/>
            <w:tcBorders>
              <w:left w:val="nil"/>
              <w:bottom w:val="nil"/>
            </w:tcBorders>
            <w:shd w:val="clear" w:color="auto" w:fill="EDECF3"/>
          </w:tcPr>
          <w:p>
            <w:pPr>
              <w:pStyle w:val="TableParagraph"/>
              <w:spacing w:before="93"/>
              <w:ind w:left="67"/>
              <w:rPr>
                <w:sz w:val="21"/>
              </w:rPr>
            </w:pPr>
            <w:r>
              <w:rPr>
                <w:spacing w:val="-2"/>
                <w:sz w:val="21"/>
              </w:rPr>
              <w:t>Nebivolol</w:t>
            </w:r>
          </w:p>
        </w:tc>
        <w:tc>
          <w:tcPr>
            <w:tcW w:w="1458" w:type="dxa"/>
            <w:tcBorders>
              <w:bottom w:val="nil"/>
            </w:tcBorders>
            <w:shd w:val="clear" w:color="auto" w:fill="EDECF3"/>
          </w:tcPr>
          <w:p>
            <w:pPr>
              <w:pStyle w:val="TableParagraph"/>
              <w:spacing w:before="93"/>
              <w:rPr>
                <w:sz w:val="21"/>
              </w:rPr>
            </w:pPr>
            <w:r>
              <w:rPr>
                <w:spacing w:val="-5"/>
                <w:w w:val="105"/>
                <w:sz w:val="21"/>
              </w:rPr>
              <w:t>2,5</w:t>
            </w:r>
          </w:p>
        </w:tc>
        <w:tc>
          <w:tcPr>
            <w:tcW w:w="1474" w:type="dxa"/>
            <w:tcBorders>
              <w:bottom w:val="nil"/>
            </w:tcBorders>
            <w:shd w:val="clear" w:color="auto" w:fill="EDECF3"/>
          </w:tcPr>
          <w:p>
            <w:pPr>
              <w:pStyle w:val="TableParagraph"/>
              <w:spacing w:before="93"/>
              <w:ind w:left="64"/>
              <w:rPr>
                <w:sz w:val="21"/>
              </w:rPr>
            </w:pPr>
            <w:r>
              <w:rPr>
                <w:spacing w:val="-5"/>
                <w:w w:val="105"/>
                <w:sz w:val="21"/>
              </w:rPr>
              <w:t>10</w:t>
            </w:r>
          </w:p>
        </w:tc>
        <w:tc>
          <w:tcPr>
            <w:tcW w:w="2179" w:type="dxa"/>
            <w:tcBorders>
              <w:bottom w:val="nil"/>
            </w:tcBorders>
            <w:shd w:val="clear" w:color="auto" w:fill="EDECF3"/>
          </w:tcPr>
          <w:p>
            <w:pPr>
              <w:pStyle w:val="TableParagraph"/>
              <w:spacing w:before="93"/>
              <w:ind w:left="64"/>
              <w:rPr>
                <w:sz w:val="21"/>
              </w:rPr>
            </w:pPr>
            <w:r>
              <w:rPr>
                <w:spacing w:val="-10"/>
                <w:w w:val="105"/>
                <w:sz w:val="21"/>
              </w:rPr>
              <w:t>1</w:t>
            </w:r>
          </w:p>
        </w:tc>
        <w:tc>
          <w:tcPr>
            <w:tcW w:w="3821" w:type="dxa"/>
            <w:vMerge/>
            <w:tcBorders>
              <w:top w:val="nil"/>
              <w:bottom w:val="nil"/>
              <w:right w:val="nil"/>
            </w:tcBorders>
            <w:shd w:val="clear" w:color="auto" w:fill="EDECF3"/>
          </w:tcPr>
          <w:p>
            <w:pPr>
              <w:rPr>
                <w:sz w:val="2"/>
                <w:szCs w:val="2"/>
              </w:rPr>
            </w:pPr>
          </w:p>
        </w:tc>
      </w:tr>
    </w:tbl>
    <w:p>
      <w:pPr>
        <w:spacing w:before="165"/>
        <w:ind w:left="68" w:right="0" w:firstLine="0"/>
        <w:jc w:val="left"/>
        <w:rPr>
          <w:rFonts w:ascii="Microsoft Sans Serif" w:hAnsi="Microsoft Sans Serif"/>
          <w:sz w:val="19"/>
        </w:rPr>
      </w:pPr>
      <w:r>
        <w:rPr>
          <w:rFonts w:ascii="Microsoft Sans Serif" w:hAnsi="Microsoft Sans Serif"/>
          <w:sz w:val="19"/>
        </w:rPr>
        <w:t>ASI</w:t>
      </w:r>
      <w:r>
        <w:rPr>
          <w:rFonts w:ascii="Microsoft Sans Serif" w:hAnsi="Microsoft Sans Serif"/>
          <w:spacing w:val="7"/>
          <w:sz w:val="19"/>
        </w:rPr>
        <w:t> </w:t>
      </w:r>
      <w:r>
        <w:rPr>
          <w:rFonts w:ascii="Microsoft Sans Serif" w:hAnsi="Microsoft Sans Serif"/>
          <w:sz w:val="19"/>
        </w:rPr>
        <w:t>=</w:t>
      </w:r>
      <w:r>
        <w:rPr>
          <w:rFonts w:ascii="Microsoft Sans Serif" w:hAnsi="Microsoft Sans Serif"/>
          <w:spacing w:val="14"/>
          <w:sz w:val="19"/>
        </w:rPr>
        <w:t> </w:t>
      </w:r>
      <w:r>
        <w:rPr>
          <w:rFonts w:ascii="Microsoft Sans Serif" w:hAnsi="Microsoft Sans Serif"/>
          <w:sz w:val="19"/>
        </w:rPr>
        <w:t>atividade</w:t>
      </w:r>
      <w:r>
        <w:rPr>
          <w:rFonts w:ascii="Microsoft Sans Serif" w:hAnsi="Microsoft Sans Serif"/>
          <w:spacing w:val="21"/>
          <w:sz w:val="19"/>
        </w:rPr>
        <w:t> </w:t>
      </w:r>
      <w:r>
        <w:rPr>
          <w:rFonts w:ascii="Microsoft Sans Serif" w:hAnsi="Microsoft Sans Serif"/>
          <w:sz w:val="19"/>
        </w:rPr>
        <w:t>simpaticomimética</w:t>
      </w:r>
      <w:r>
        <w:rPr>
          <w:rFonts w:ascii="Microsoft Sans Serif" w:hAnsi="Microsoft Sans Serif"/>
          <w:spacing w:val="21"/>
          <w:sz w:val="19"/>
        </w:rPr>
        <w:t> </w:t>
      </w:r>
      <w:r>
        <w:rPr>
          <w:rFonts w:ascii="Microsoft Sans Serif" w:hAnsi="Microsoft Sans Serif"/>
          <w:spacing w:val="-2"/>
          <w:sz w:val="19"/>
        </w:rPr>
        <w:t>intrínseca.</w:t>
      </w:r>
    </w:p>
    <w:p>
      <w:pPr>
        <w:pStyle w:val="BodyText"/>
        <w:spacing w:before="154"/>
        <w:ind w:left="0" w:firstLine="0"/>
        <w:jc w:val="left"/>
        <w:rPr>
          <w:rFonts w:ascii="Microsoft Sans Serif"/>
          <w:sz w:val="19"/>
        </w:rPr>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7"/>
        </w:rPr>
        <w:t> </w:t>
      </w:r>
      <w:r>
        <w:rPr>
          <w:rFonts w:ascii="Arial" w:hAnsi="Arial"/>
          <w:b/>
          <w:color w:val="242B67"/>
        </w:rPr>
        <w:t>57.15</w:t>
      </w:r>
      <w:r>
        <w:rPr>
          <w:rFonts w:ascii="Arial" w:hAnsi="Arial"/>
          <w:b/>
          <w:color w:val="242B67"/>
          <w:spacing w:val="-8"/>
        </w:rPr>
        <w:t> </w:t>
      </w:r>
      <w:r>
        <w:rPr>
          <w:rFonts w:ascii="Microsoft Sans Serif" w:hAnsi="Microsoft Sans Serif"/>
        </w:rPr>
        <w:t>Associações</w:t>
      </w:r>
      <w:r>
        <w:rPr>
          <w:rFonts w:ascii="Microsoft Sans Serif" w:hAnsi="Microsoft Sans Serif"/>
          <w:spacing w:val="-7"/>
        </w:rPr>
        <w:t> </w:t>
      </w:r>
      <w:r>
        <w:rPr>
          <w:rFonts w:ascii="Microsoft Sans Serif" w:hAnsi="Microsoft Sans Serif"/>
        </w:rPr>
        <w:t>fixas</w:t>
      </w:r>
      <w:r>
        <w:rPr>
          <w:rFonts w:ascii="Microsoft Sans Serif" w:hAnsi="Microsoft Sans Serif"/>
          <w:spacing w:val="-7"/>
        </w:rPr>
        <w:t> </w:t>
      </w:r>
      <w:r>
        <w:rPr>
          <w:rFonts w:ascii="Microsoft Sans Serif" w:hAnsi="Microsoft Sans Serif"/>
        </w:rPr>
        <w:t>de</w:t>
      </w:r>
      <w:r>
        <w:rPr>
          <w:rFonts w:ascii="Microsoft Sans Serif" w:hAnsi="Microsoft Sans Serif"/>
          <w:spacing w:val="-4"/>
        </w:rPr>
        <w:t> </w:t>
      </w:r>
      <w:r>
        <w:rPr>
          <w:rFonts w:ascii="Microsoft Sans Serif" w:hAnsi="Microsoft Sans Serif"/>
        </w:rPr>
        <w:t>anti-hipertensivos</w:t>
      </w:r>
      <w:r>
        <w:rPr>
          <w:rFonts w:ascii="Microsoft Sans Serif" w:hAnsi="Microsoft Sans Serif"/>
          <w:spacing w:val="-7"/>
        </w:rPr>
        <w:t> </w:t>
      </w:r>
      <w:r>
        <w:rPr>
          <w:rFonts w:ascii="Microsoft Sans Serif" w:hAnsi="Microsoft Sans Serif"/>
        </w:rPr>
        <w:t>disponíveis</w:t>
      </w:r>
      <w:r>
        <w:rPr>
          <w:rFonts w:ascii="Microsoft Sans Serif" w:hAnsi="Microsoft Sans Serif"/>
          <w:spacing w:val="-7"/>
        </w:rPr>
        <w:t> </w:t>
      </w:r>
      <w:r>
        <w:rPr>
          <w:rFonts w:ascii="Microsoft Sans Serif" w:hAnsi="Microsoft Sans Serif"/>
        </w:rPr>
        <w:t>no</w:t>
      </w:r>
      <w:r>
        <w:rPr>
          <w:rFonts w:ascii="Microsoft Sans Serif" w:hAnsi="Microsoft Sans Serif"/>
          <w:spacing w:val="-4"/>
        </w:rPr>
        <w:t> </w:t>
      </w:r>
      <w:r>
        <w:rPr>
          <w:rFonts w:ascii="Microsoft Sans Serif" w:hAnsi="Microsoft Sans Serif"/>
          <w:spacing w:val="-2"/>
        </w:rPr>
        <w:t>Brasil.</w:t>
      </w:r>
    </w:p>
    <w:p>
      <w:pPr>
        <w:pStyle w:val="BodyText"/>
        <w:spacing w:before="5"/>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724"/>
        <w:gridCol w:w="3716"/>
        <w:gridCol w:w="3179"/>
      </w:tblGrid>
      <w:tr>
        <w:trPr>
          <w:trHeight w:val="430" w:hRule="atLeast"/>
        </w:trPr>
        <w:tc>
          <w:tcPr>
            <w:tcW w:w="7440" w:type="dxa"/>
            <w:gridSpan w:val="2"/>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pacing w:val="-2"/>
                <w:w w:val="105"/>
                <w:sz w:val="21"/>
              </w:rPr>
              <w:t>Associações</w:t>
            </w:r>
          </w:p>
        </w:tc>
        <w:tc>
          <w:tcPr>
            <w:tcW w:w="3179" w:type="dxa"/>
            <w:tcBorders>
              <w:top w:val="nil"/>
              <w:right w:val="nil"/>
            </w:tcBorders>
            <w:shd w:val="clear" w:color="auto" w:fill="242B67"/>
          </w:tcPr>
          <w:p>
            <w:pPr>
              <w:pStyle w:val="TableParagraph"/>
              <w:spacing w:before="91"/>
              <w:rPr>
                <w:rFonts w:ascii="Arial"/>
                <w:b/>
                <w:sz w:val="21"/>
              </w:rPr>
            </w:pPr>
            <w:r>
              <w:rPr>
                <w:rFonts w:ascii="Arial"/>
                <w:b/>
                <w:color w:val="FFFFFF"/>
                <w:w w:val="105"/>
                <w:sz w:val="21"/>
              </w:rPr>
              <w:t>Dose</w:t>
            </w:r>
            <w:r>
              <w:rPr>
                <w:rFonts w:ascii="Arial"/>
                <w:b/>
                <w:color w:val="FFFFFF"/>
                <w:spacing w:val="2"/>
                <w:w w:val="105"/>
                <w:sz w:val="21"/>
              </w:rPr>
              <w:t> </w:t>
            </w:r>
            <w:r>
              <w:rPr>
                <w:rFonts w:ascii="Arial"/>
                <w:b/>
                <w:color w:val="FFFFFF"/>
                <w:spacing w:val="-4"/>
                <w:w w:val="105"/>
                <w:sz w:val="21"/>
              </w:rPr>
              <w:t>(mg)</w:t>
            </w:r>
          </w:p>
        </w:tc>
      </w:tr>
      <w:tr>
        <w:trPr>
          <w:trHeight w:val="428" w:hRule="atLeast"/>
        </w:trPr>
        <w:tc>
          <w:tcPr>
            <w:tcW w:w="3724" w:type="dxa"/>
            <w:vMerge w:val="restart"/>
            <w:tcBorders>
              <w:left w:val="nil"/>
            </w:tcBorders>
            <w:shd w:val="clear" w:color="auto" w:fill="EDECF3"/>
          </w:tcPr>
          <w:p>
            <w:pPr>
              <w:pStyle w:val="TableParagraph"/>
              <w:spacing w:before="93"/>
              <w:ind w:left="67"/>
              <w:rPr>
                <w:sz w:val="21"/>
              </w:rPr>
            </w:pPr>
            <w:r>
              <w:rPr>
                <w:w w:val="105"/>
                <w:sz w:val="21"/>
              </w:rPr>
              <w:t>Betabloqueador</w:t>
            </w:r>
            <w:r>
              <w:rPr>
                <w:spacing w:val="31"/>
                <w:w w:val="105"/>
                <w:sz w:val="21"/>
              </w:rPr>
              <w:t> </w:t>
            </w:r>
            <w:r>
              <w:rPr>
                <w:w w:val="105"/>
                <w:sz w:val="21"/>
              </w:rPr>
              <w:t>+</w:t>
            </w:r>
            <w:r>
              <w:rPr>
                <w:spacing w:val="24"/>
                <w:w w:val="105"/>
                <w:sz w:val="21"/>
              </w:rPr>
              <w:t> </w:t>
            </w:r>
            <w:r>
              <w:rPr>
                <w:spacing w:val="-2"/>
                <w:w w:val="105"/>
                <w:sz w:val="21"/>
              </w:rPr>
              <w:t>diurético</w:t>
            </w:r>
          </w:p>
        </w:tc>
        <w:tc>
          <w:tcPr>
            <w:tcW w:w="3716" w:type="dxa"/>
            <w:shd w:val="clear" w:color="auto" w:fill="EDECF3"/>
          </w:tcPr>
          <w:p>
            <w:pPr>
              <w:pStyle w:val="TableParagraph"/>
              <w:spacing w:before="93"/>
              <w:rPr>
                <w:sz w:val="21"/>
              </w:rPr>
            </w:pPr>
            <w:r>
              <w:rPr>
                <w:w w:val="105"/>
                <w:sz w:val="21"/>
              </w:rPr>
              <w:t>Atenolol</w:t>
            </w:r>
            <w:r>
              <w:rPr>
                <w:spacing w:val="8"/>
                <w:w w:val="105"/>
                <w:sz w:val="21"/>
              </w:rPr>
              <w:t> </w:t>
            </w:r>
            <w:r>
              <w:rPr>
                <w:w w:val="105"/>
                <w:sz w:val="21"/>
              </w:rPr>
              <w:t>+</w:t>
            </w:r>
            <w:r>
              <w:rPr>
                <w:spacing w:val="10"/>
                <w:w w:val="105"/>
                <w:sz w:val="21"/>
              </w:rPr>
              <w:t> </w:t>
            </w:r>
            <w:r>
              <w:rPr>
                <w:spacing w:val="-2"/>
                <w:w w:val="105"/>
                <w:sz w:val="21"/>
              </w:rPr>
              <w:t>clortalidona</w:t>
            </w:r>
          </w:p>
        </w:tc>
        <w:tc>
          <w:tcPr>
            <w:tcW w:w="3179" w:type="dxa"/>
            <w:tcBorders>
              <w:right w:val="nil"/>
            </w:tcBorders>
            <w:shd w:val="clear" w:color="auto" w:fill="EDECF3"/>
          </w:tcPr>
          <w:p>
            <w:pPr>
              <w:pStyle w:val="TableParagraph"/>
              <w:spacing w:before="93"/>
              <w:rPr>
                <w:sz w:val="21"/>
              </w:rPr>
            </w:pPr>
            <w:r>
              <w:rPr>
                <w:w w:val="105"/>
                <w:sz w:val="21"/>
              </w:rPr>
              <w:t>25</w:t>
            </w:r>
            <w:r>
              <w:rPr>
                <w:spacing w:val="19"/>
                <w:w w:val="105"/>
                <w:sz w:val="21"/>
              </w:rPr>
              <w:t> </w:t>
            </w:r>
            <w:r>
              <w:rPr>
                <w:w w:val="105"/>
                <w:sz w:val="21"/>
              </w:rPr>
              <w:t>+</w:t>
            </w:r>
            <w:r>
              <w:rPr>
                <w:spacing w:val="12"/>
                <w:w w:val="105"/>
                <w:sz w:val="21"/>
              </w:rPr>
              <w:t> </w:t>
            </w:r>
            <w:r>
              <w:rPr>
                <w:w w:val="105"/>
                <w:sz w:val="21"/>
              </w:rPr>
              <w:t>12,5/50</w:t>
            </w:r>
            <w:r>
              <w:rPr>
                <w:spacing w:val="19"/>
                <w:w w:val="105"/>
                <w:sz w:val="21"/>
              </w:rPr>
              <w:t> </w:t>
            </w:r>
            <w:r>
              <w:rPr>
                <w:w w:val="105"/>
                <w:sz w:val="21"/>
              </w:rPr>
              <w:t>+</w:t>
            </w:r>
            <w:r>
              <w:rPr>
                <w:spacing w:val="13"/>
                <w:w w:val="105"/>
                <w:sz w:val="21"/>
              </w:rPr>
              <w:t> </w:t>
            </w:r>
            <w:r>
              <w:rPr>
                <w:w w:val="105"/>
                <w:sz w:val="21"/>
              </w:rPr>
              <w:t>12,5/100</w:t>
            </w:r>
            <w:r>
              <w:rPr>
                <w:spacing w:val="19"/>
                <w:w w:val="105"/>
                <w:sz w:val="21"/>
              </w:rPr>
              <w:t> </w:t>
            </w:r>
            <w:r>
              <w:rPr>
                <w:w w:val="105"/>
                <w:sz w:val="21"/>
              </w:rPr>
              <w:t>+</w:t>
            </w:r>
            <w:r>
              <w:rPr>
                <w:spacing w:val="12"/>
                <w:w w:val="105"/>
                <w:sz w:val="21"/>
              </w:rPr>
              <w:t> </w:t>
            </w:r>
            <w:r>
              <w:rPr>
                <w:spacing w:val="-5"/>
                <w:w w:val="105"/>
                <w:sz w:val="21"/>
              </w:rPr>
              <w:t>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spacing w:before="93"/>
              <w:rPr>
                <w:sz w:val="21"/>
              </w:rPr>
            </w:pPr>
            <w:r>
              <w:rPr>
                <w:w w:val="105"/>
                <w:sz w:val="21"/>
              </w:rPr>
              <w:t>Bisoprolol</w:t>
            </w:r>
            <w:r>
              <w:rPr>
                <w:spacing w:val="9"/>
                <w:w w:val="105"/>
                <w:sz w:val="21"/>
              </w:rPr>
              <w:t> </w:t>
            </w:r>
            <w:r>
              <w:rPr>
                <w:w w:val="105"/>
                <w:sz w:val="21"/>
              </w:rPr>
              <w:t>+</w:t>
            </w:r>
            <w:r>
              <w:rPr>
                <w:spacing w:val="11"/>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rPr>
                <w:sz w:val="21"/>
              </w:rPr>
            </w:pPr>
            <w:r>
              <w:rPr>
                <w:w w:val="105"/>
                <w:sz w:val="21"/>
              </w:rPr>
              <w:t>2,5</w:t>
            </w:r>
            <w:r>
              <w:rPr>
                <w:spacing w:val="17"/>
                <w:w w:val="105"/>
                <w:sz w:val="21"/>
              </w:rPr>
              <w:t> </w:t>
            </w:r>
            <w:r>
              <w:rPr>
                <w:w w:val="105"/>
                <w:sz w:val="21"/>
              </w:rPr>
              <w:t>+</w:t>
            </w:r>
            <w:r>
              <w:rPr>
                <w:spacing w:val="12"/>
                <w:w w:val="105"/>
                <w:sz w:val="21"/>
              </w:rPr>
              <w:t> </w:t>
            </w:r>
            <w:r>
              <w:rPr>
                <w:w w:val="105"/>
                <w:sz w:val="21"/>
              </w:rPr>
              <w:t>6,25/5</w:t>
            </w:r>
            <w:r>
              <w:rPr>
                <w:spacing w:val="17"/>
                <w:w w:val="105"/>
                <w:sz w:val="21"/>
              </w:rPr>
              <w:t> </w:t>
            </w:r>
            <w:r>
              <w:rPr>
                <w:w w:val="105"/>
                <w:sz w:val="21"/>
              </w:rPr>
              <w:t>+</w:t>
            </w:r>
            <w:r>
              <w:rPr>
                <w:spacing w:val="12"/>
                <w:w w:val="105"/>
                <w:sz w:val="21"/>
              </w:rPr>
              <w:t> </w:t>
            </w:r>
            <w:r>
              <w:rPr>
                <w:w w:val="105"/>
                <w:sz w:val="21"/>
              </w:rPr>
              <w:t>6,25/10</w:t>
            </w:r>
            <w:r>
              <w:rPr>
                <w:spacing w:val="18"/>
                <w:w w:val="105"/>
                <w:sz w:val="21"/>
              </w:rPr>
              <w:t> </w:t>
            </w:r>
            <w:r>
              <w:rPr>
                <w:w w:val="105"/>
                <w:sz w:val="21"/>
              </w:rPr>
              <w:t>+</w:t>
            </w:r>
            <w:r>
              <w:rPr>
                <w:spacing w:val="11"/>
                <w:w w:val="105"/>
                <w:sz w:val="21"/>
              </w:rPr>
              <w:t> </w:t>
            </w:r>
            <w:r>
              <w:rPr>
                <w:spacing w:val="-4"/>
                <w:w w:val="105"/>
                <w:sz w:val="21"/>
              </w:rPr>
              <w:t>6,25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spacing w:before="93"/>
              <w:rPr>
                <w:sz w:val="21"/>
              </w:rPr>
            </w:pPr>
            <w:r>
              <w:rPr>
                <w:w w:val="105"/>
                <w:sz w:val="21"/>
              </w:rPr>
              <w:t>Metoprolol</w:t>
            </w:r>
            <w:r>
              <w:rPr>
                <w:spacing w:val="11"/>
                <w:w w:val="105"/>
                <w:sz w:val="21"/>
              </w:rPr>
              <w:t> </w:t>
            </w:r>
            <w:r>
              <w:rPr>
                <w:w w:val="105"/>
                <w:sz w:val="21"/>
              </w:rPr>
              <w:t>+</w:t>
            </w:r>
            <w:r>
              <w:rPr>
                <w:spacing w:val="13"/>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rPr>
                <w:sz w:val="21"/>
              </w:rPr>
            </w:pPr>
            <w:r>
              <w:rPr>
                <w:w w:val="105"/>
                <w:sz w:val="21"/>
              </w:rPr>
              <w:t>50</w:t>
            </w:r>
            <w:r>
              <w:rPr>
                <w:spacing w:val="12"/>
                <w:w w:val="105"/>
                <w:sz w:val="21"/>
              </w:rPr>
              <w:t> </w:t>
            </w:r>
            <w:r>
              <w:rPr>
                <w:w w:val="105"/>
                <w:sz w:val="21"/>
              </w:rPr>
              <w:t>+</w:t>
            </w:r>
            <w:r>
              <w:rPr>
                <w:spacing w:val="6"/>
                <w:w w:val="105"/>
                <w:sz w:val="21"/>
              </w:rPr>
              <w:t> </w:t>
            </w:r>
            <w:r>
              <w:rPr>
                <w:spacing w:val="-5"/>
                <w:w w:val="105"/>
                <w:sz w:val="21"/>
              </w:rPr>
              <w:t>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spacing w:before="93"/>
              <w:rPr>
                <w:sz w:val="21"/>
              </w:rPr>
            </w:pPr>
            <w:r>
              <w:rPr>
                <w:w w:val="105"/>
                <w:sz w:val="21"/>
              </w:rPr>
              <w:t>Pindolol</w:t>
            </w:r>
            <w:r>
              <w:rPr>
                <w:spacing w:val="6"/>
                <w:w w:val="105"/>
                <w:sz w:val="21"/>
              </w:rPr>
              <w:t> </w:t>
            </w:r>
            <w:r>
              <w:rPr>
                <w:w w:val="105"/>
                <w:sz w:val="21"/>
              </w:rPr>
              <w:t>+</w:t>
            </w:r>
            <w:r>
              <w:rPr>
                <w:spacing w:val="8"/>
                <w:w w:val="105"/>
                <w:sz w:val="21"/>
              </w:rPr>
              <w:t> </w:t>
            </w:r>
            <w:r>
              <w:rPr>
                <w:spacing w:val="-2"/>
                <w:w w:val="105"/>
                <w:sz w:val="21"/>
              </w:rPr>
              <w:t>clopamida</w:t>
            </w:r>
          </w:p>
        </w:tc>
        <w:tc>
          <w:tcPr>
            <w:tcW w:w="3179" w:type="dxa"/>
            <w:tcBorders>
              <w:right w:val="nil"/>
            </w:tcBorders>
            <w:shd w:val="clear" w:color="auto" w:fill="EDECF3"/>
          </w:tcPr>
          <w:p>
            <w:pPr>
              <w:pStyle w:val="TableParagraph"/>
              <w:spacing w:before="93"/>
              <w:rPr>
                <w:sz w:val="21"/>
              </w:rPr>
            </w:pPr>
            <w:r>
              <w:rPr>
                <w:w w:val="105"/>
                <w:sz w:val="21"/>
              </w:rPr>
              <w:t>10</w:t>
            </w:r>
            <w:r>
              <w:rPr>
                <w:spacing w:val="12"/>
                <w:w w:val="105"/>
                <w:sz w:val="21"/>
              </w:rPr>
              <w:t> </w:t>
            </w:r>
            <w:r>
              <w:rPr>
                <w:w w:val="105"/>
                <w:sz w:val="21"/>
              </w:rPr>
              <w:t>+</w:t>
            </w:r>
            <w:r>
              <w:rPr>
                <w:spacing w:val="6"/>
                <w:w w:val="105"/>
                <w:sz w:val="21"/>
              </w:rPr>
              <w:t> </w:t>
            </w:r>
            <w:r>
              <w:rPr>
                <w:spacing w:val="-10"/>
                <w:w w:val="105"/>
                <w:sz w:val="21"/>
              </w:rPr>
              <w:t>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spacing w:before="93"/>
              <w:rPr>
                <w:sz w:val="21"/>
              </w:rPr>
            </w:pPr>
            <w:r>
              <w:rPr>
                <w:w w:val="105"/>
                <w:sz w:val="21"/>
              </w:rPr>
              <w:t>Propranolol</w:t>
            </w:r>
            <w:r>
              <w:rPr>
                <w:spacing w:val="17"/>
                <w:w w:val="105"/>
                <w:sz w:val="21"/>
              </w:rPr>
              <w:t> </w:t>
            </w:r>
            <w:r>
              <w:rPr>
                <w:w w:val="105"/>
                <w:sz w:val="21"/>
              </w:rPr>
              <w:t>+</w:t>
            </w:r>
            <w:r>
              <w:rPr>
                <w:spacing w:val="20"/>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rPr>
                <w:sz w:val="21"/>
              </w:rPr>
            </w:pPr>
            <w:r>
              <w:rPr>
                <w:w w:val="105"/>
                <w:sz w:val="21"/>
              </w:rPr>
              <w:t>40</w:t>
            </w:r>
            <w:r>
              <w:rPr>
                <w:spacing w:val="15"/>
                <w:w w:val="105"/>
                <w:sz w:val="21"/>
              </w:rPr>
              <w:t> </w:t>
            </w:r>
            <w:r>
              <w:rPr>
                <w:w w:val="105"/>
                <w:sz w:val="21"/>
              </w:rPr>
              <w:t>+</w:t>
            </w:r>
            <w:r>
              <w:rPr>
                <w:spacing w:val="8"/>
                <w:w w:val="105"/>
                <w:sz w:val="21"/>
              </w:rPr>
              <w:t> </w:t>
            </w:r>
            <w:r>
              <w:rPr>
                <w:w w:val="105"/>
                <w:sz w:val="21"/>
              </w:rPr>
              <w:t>25/80</w:t>
            </w:r>
            <w:r>
              <w:rPr>
                <w:spacing w:val="15"/>
                <w:w w:val="105"/>
                <w:sz w:val="21"/>
              </w:rPr>
              <w:t> </w:t>
            </w:r>
            <w:r>
              <w:rPr>
                <w:w w:val="105"/>
                <w:sz w:val="21"/>
              </w:rPr>
              <w:t>+</w:t>
            </w:r>
            <w:r>
              <w:rPr>
                <w:spacing w:val="9"/>
                <w:w w:val="105"/>
                <w:sz w:val="21"/>
              </w:rPr>
              <w:t> </w:t>
            </w:r>
            <w:r>
              <w:rPr>
                <w:spacing w:val="-5"/>
                <w:w w:val="105"/>
                <w:sz w:val="21"/>
              </w:rPr>
              <w:t>25</w:t>
            </w:r>
          </w:p>
        </w:tc>
      </w:tr>
      <w:tr>
        <w:trPr>
          <w:trHeight w:val="732" w:hRule="atLeast"/>
        </w:trPr>
        <w:tc>
          <w:tcPr>
            <w:tcW w:w="3724" w:type="dxa"/>
            <w:tcBorders>
              <w:left w:val="nil"/>
            </w:tcBorders>
            <w:shd w:val="clear" w:color="auto" w:fill="EDECF3"/>
          </w:tcPr>
          <w:p>
            <w:pPr>
              <w:pStyle w:val="TableParagraph"/>
              <w:spacing w:line="307" w:lineRule="auto" w:before="93"/>
              <w:ind w:left="67" w:right="213"/>
              <w:rPr>
                <w:sz w:val="21"/>
              </w:rPr>
            </w:pPr>
            <w:r>
              <w:rPr>
                <w:w w:val="105"/>
                <w:sz w:val="21"/>
              </w:rPr>
              <w:t>Inibidor adrenérgico de </w:t>
            </w:r>
            <w:r>
              <w:rPr>
                <w:w w:val="105"/>
                <w:sz w:val="21"/>
              </w:rPr>
              <w:t>ação central + diurético</w:t>
            </w:r>
          </w:p>
        </w:tc>
        <w:tc>
          <w:tcPr>
            <w:tcW w:w="3716" w:type="dxa"/>
            <w:shd w:val="clear" w:color="auto" w:fill="EDECF3"/>
          </w:tcPr>
          <w:p>
            <w:pPr>
              <w:pStyle w:val="TableParagraph"/>
              <w:spacing w:before="93"/>
              <w:rPr>
                <w:sz w:val="21"/>
              </w:rPr>
            </w:pPr>
            <w:r>
              <w:rPr>
                <w:w w:val="105"/>
                <w:sz w:val="21"/>
              </w:rPr>
              <w:t>Alfametildopa</w:t>
            </w:r>
            <w:r>
              <w:rPr>
                <w:spacing w:val="11"/>
                <w:w w:val="105"/>
                <w:sz w:val="21"/>
              </w:rPr>
              <w:t> </w:t>
            </w:r>
            <w:r>
              <w:rPr>
                <w:w w:val="105"/>
                <w:sz w:val="21"/>
              </w:rPr>
              <w:t>+</w:t>
            </w:r>
            <w:r>
              <w:rPr>
                <w:spacing w:val="6"/>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rPr>
                <w:sz w:val="21"/>
              </w:rPr>
            </w:pPr>
            <w:r>
              <w:rPr>
                <w:w w:val="105"/>
                <w:sz w:val="21"/>
              </w:rPr>
              <w:t>250</w:t>
            </w:r>
            <w:r>
              <w:rPr>
                <w:spacing w:val="14"/>
                <w:w w:val="105"/>
                <w:sz w:val="21"/>
              </w:rPr>
              <w:t> </w:t>
            </w:r>
            <w:r>
              <w:rPr>
                <w:w w:val="105"/>
                <w:sz w:val="21"/>
              </w:rPr>
              <w:t>+</w:t>
            </w:r>
            <w:r>
              <w:rPr>
                <w:spacing w:val="8"/>
                <w:w w:val="105"/>
                <w:sz w:val="21"/>
              </w:rPr>
              <w:t> </w:t>
            </w:r>
            <w:r>
              <w:rPr>
                <w:spacing w:val="-5"/>
                <w:w w:val="105"/>
                <w:sz w:val="21"/>
              </w:rPr>
              <w:t>25</w:t>
            </w:r>
          </w:p>
        </w:tc>
      </w:tr>
      <w:tr>
        <w:trPr>
          <w:trHeight w:val="428" w:hRule="atLeast"/>
        </w:trPr>
        <w:tc>
          <w:tcPr>
            <w:tcW w:w="3724" w:type="dxa"/>
            <w:vMerge w:val="restart"/>
            <w:tcBorders>
              <w:left w:val="nil"/>
              <w:bottom w:val="nil"/>
            </w:tcBorders>
            <w:shd w:val="clear" w:color="auto" w:fill="EDECF3"/>
          </w:tcPr>
          <w:p>
            <w:pPr>
              <w:pStyle w:val="TableParagraph"/>
              <w:spacing w:before="93"/>
              <w:ind w:left="67"/>
              <w:rPr>
                <w:sz w:val="21"/>
              </w:rPr>
            </w:pPr>
            <w:r>
              <w:rPr>
                <w:w w:val="105"/>
                <w:sz w:val="21"/>
              </w:rPr>
              <w:t>Inibidor</w:t>
            </w:r>
            <w:r>
              <w:rPr>
                <w:spacing w:val="13"/>
                <w:w w:val="105"/>
                <w:sz w:val="21"/>
              </w:rPr>
              <w:t> </w:t>
            </w:r>
            <w:r>
              <w:rPr>
                <w:w w:val="105"/>
                <w:sz w:val="21"/>
              </w:rPr>
              <w:t>da</w:t>
            </w:r>
            <w:r>
              <w:rPr>
                <w:spacing w:val="13"/>
                <w:w w:val="105"/>
                <w:sz w:val="21"/>
              </w:rPr>
              <w:t> </w:t>
            </w:r>
            <w:r>
              <w:rPr>
                <w:w w:val="105"/>
                <w:sz w:val="21"/>
              </w:rPr>
              <w:t>ECA</w:t>
            </w:r>
            <w:r>
              <w:rPr>
                <w:spacing w:val="6"/>
                <w:w w:val="105"/>
                <w:sz w:val="21"/>
              </w:rPr>
              <w:t> </w:t>
            </w:r>
            <w:r>
              <w:rPr>
                <w:w w:val="105"/>
                <w:sz w:val="21"/>
              </w:rPr>
              <w:t>+</w:t>
            </w:r>
            <w:r>
              <w:rPr>
                <w:spacing w:val="7"/>
                <w:w w:val="105"/>
                <w:sz w:val="21"/>
              </w:rPr>
              <w:t> </w:t>
            </w:r>
            <w:r>
              <w:rPr>
                <w:spacing w:val="-2"/>
                <w:w w:val="105"/>
                <w:sz w:val="21"/>
              </w:rPr>
              <w:t>diurético</w:t>
            </w:r>
          </w:p>
        </w:tc>
        <w:tc>
          <w:tcPr>
            <w:tcW w:w="3716" w:type="dxa"/>
            <w:shd w:val="clear" w:color="auto" w:fill="EDECF3"/>
          </w:tcPr>
          <w:p>
            <w:pPr>
              <w:pStyle w:val="TableParagraph"/>
              <w:spacing w:before="93"/>
              <w:rPr>
                <w:sz w:val="21"/>
              </w:rPr>
            </w:pPr>
            <w:r>
              <w:rPr>
                <w:w w:val="105"/>
                <w:sz w:val="21"/>
              </w:rPr>
              <w:t>Benazepril</w:t>
            </w:r>
            <w:r>
              <w:rPr>
                <w:spacing w:val="12"/>
                <w:w w:val="105"/>
                <w:sz w:val="21"/>
              </w:rPr>
              <w:t> </w:t>
            </w:r>
            <w:r>
              <w:rPr>
                <w:w w:val="105"/>
                <w:sz w:val="21"/>
              </w:rPr>
              <w:t>+</w:t>
            </w:r>
            <w:r>
              <w:rPr>
                <w:spacing w:val="16"/>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ind w:left="66"/>
              <w:rPr>
                <w:sz w:val="21"/>
              </w:rPr>
            </w:pPr>
            <w:r>
              <w:rPr>
                <w:w w:val="105"/>
                <w:sz w:val="21"/>
              </w:rPr>
              <w:t>5</w:t>
            </w:r>
            <w:r>
              <w:rPr>
                <w:spacing w:val="15"/>
                <w:w w:val="105"/>
                <w:sz w:val="21"/>
              </w:rPr>
              <w:t> </w:t>
            </w:r>
            <w:r>
              <w:rPr>
                <w:w w:val="105"/>
                <w:sz w:val="21"/>
              </w:rPr>
              <w:t>+</w:t>
            </w:r>
            <w:r>
              <w:rPr>
                <w:spacing w:val="9"/>
                <w:w w:val="105"/>
                <w:sz w:val="21"/>
              </w:rPr>
              <w:t> </w:t>
            </w:r>
            <w:r>
              <w:rPr>
                <w:w w:val="105"/>
                <w:sz w:val="21"/>
              </w:rPr>
              <w:t>6,25/10</w:t>
            </w:r>
            <w:r>
              <w:rPr>
                <w:spacing w:val="16"/>
                <w:w w:val="105"/>
                <w:sz w:val="21"/>
              </w:rPr>
              <w:t> </w:t>
            </w:r>
            <w:r>
              <w:rPr>
                <w:w w:val="105"/>
                <w:sz w:val="21"/>
              </w:rPr>
              <w:t>+</w:t>
            </w:r>
            <w:r>
              <w:rPr>
                <w:spacing w:val="9"/>
                <w:w w:val="105"/>
                <w:sz w:val="21"/>
              </w:rPr>
              <w:t> </w:t>
            </w:r>
            <w:r>
              <w:rPr>
                <w:spacing w:val="-4"/>
                <w:w w:val="105"/>
                <w:sz w:val="21"/>
              </w:rPr>
              <w:t>12,5</w:t>
            </w:r>
          </w:p>
        </w:tc>
      </w:tr>
      <w:tr>
        <w:trPr>
          <w:trHeight w:val="428" w:hRule="atLeast"/>
        </w:trPr>
        <w:tc>
          <w:tcPr>
            <w:tcW w:w="3724" w:type="dxa"/>
            <w:vMerge/>
            <w:tcBorders>
              <w:top w:val="nil"/>
              <w:left w:val="nil"/>
              <w:bottom w:val="nil"/>
            </w:tcBorders>
            <w:shd w:val="clear" w:color="auto" w:fill="EDECF3"/>
          </w:tcPr>
          <w:p>
            <w:pPr>
              <w:rPr>
                <w:sz w:val="2"/>
                <w:szCs w:val="2"/>
              </w:rPr>
            </w:pPr>
          </w:p>
        </w:tc>
        <w:tc>
          <w:tcPr>
            <w:tcW w:w="3716" w:type="dxa"/>
            <w:shd w:val="clear" w:color="auto" w:fill="EDECF3"/>
          </w:tcPr>
          <w:p>
            <w:pPr>
              <w:pStyle w:val="TableParagraph"/>
              <w:spacing w:before="93"/>
              <w:rPr>
                <w:sz w:val="21"/>
              </w:rPr>
            </w:pPr>
            <w:r>
              <w:rPr>
                <w:w w:val="105"/>
                <w:sz w:val="21"/>
              </w:rPr>
              <w:t>Captopril</w:t>
            </w:r>
            <w:r>
              <w:rPr>
                <w:spacing w:val="12"/>
                <w:w w:val="105"/>
                <w:sz w:val="21"/>
              </w:rPr>
              <w:t> </w:t>
            </w:r>
            <w:r>
              <w:rPr>
                <w:w w:val="105"/>
                <w:sz w:val="21"/>
              </w:rPr>
              <w:t>+</w:t>
            </w:r>
            <w:r>
              <w:rPr>
                <w:spacing w:val="16"/>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rPr>
                <w:sz w:val="21"/>
              </w:rPr>
            </w:pPr>
            <w:r>
              <w:rPr>
                <w:w w:val="105"/>
                <w:sz w:val="21"/>
              </w:rPr>
              <w:t>50</w:t>
            </w:r>
            <w:r>
              <w:rPr>
                <w:spacing w:val="12"/>
                <w:w w:val="105"/>
                <w:sz w:val="21"/>
              </w:rPr>
              <w:t> </w:t>
            </w:r>
            <w:r>
              <w:rPr>
                <w:w w:val="105"/>
                <w:sz w:val="21"/>
              </w:rPr>
              <w:t>+</w:t>
            </w:r>
            <w:r>
              <w:rPr>
                <w:spacing w:val="6"/>
                <w:w w:val="105"/>
                <w:sz w:val="21"/>
              </w:rPr>
              <w:t> </w:t>
            </w:r>
            <w:r>
              <w:rPr>
                <w:spacing w:val="-5"/>
                <w:w w:val="105"/>
                <w:sz w:val="21"/>
              </w:rPr>
              <w:t>25</w:t>
            </w:r>
          </w:p>
        </w:tc>
      </w:tr>
      <w:tr>
        <w:trPr>
          <w:trHeight w:val="428" w:hRule="atLeast"/>
        </w:trPr>
        <w:tc>
          <w:tcPr>
            <w:tcW w:w="3724" w:type="dxa"/>
            <w:vMerge/>
            <w:tcBorders>
              <w:top w:val="nil"/>
              <w:left w:val="nil"/>
              <w:bottom w:val="nil"/>
            </w:tcBorders>
            <w:shd w:val="clear" w:color="auto" w:fill="EDECF3"/>
          </w:tcPr>
          <w:p>
            <w:pPr>
              <w:rPr>
                <w:sz w:val="2"/>
                <w:szCs w:val="2"/>
              </w:rPr>
            </w:pPr>
          </w:p>
        </w:tc>
        <w:tc>
          <w:tcPr>
            <w:tcW w:w="3716" w:type="dxa"/>
            <w:shd w:val="clear" w:color="auto" w:fill="EDECF3"/>
          </w:tcPr>
          <w:p>
            <w:pPr>
              <w:pStyle w:val="TableParagraph"/>
              <w:spacing w:before="93"/>
              <w:rPr>
                <w:sz w:val="21"/>
              </w:rPr>
            </w:pPr>
            <w:r>
              <w:rPr>
                <w:w w:val="105"/>
                <w:sz w:val="21"/>
              </w:rPr>
              <w:t>Cilazapril</w:t>
            </w:r>
            <w:r>
              <w:rPr>
                <w:spacing w:val="7"/>
                <w:w w:val="105"/>
                <w:sz w:val="21"/>
              </w:rPr>
              <w:t> </w:t>
            </w:r>
            <w:r>
              <w:rPr>
                <w:w w:val="105"/>
                <w:sz w:val="21"/>
              </w:rPr>
              <w:t>+</w:t>
            </w:r>
            <w:r>
              <w:rPr>
                <w:spacing w:val="9"/>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rPr>
                <w:sz w:val="21"/>
              </w:rPr>
            </w:pPr>
            <w:r>
              <w:rPr>
                <w:w w:val="105"/>
                <w:sz w:val="21"/>
              </w:rPr>
              <w:t>5</w:t>
            </w:r>
            <w:r>
              <w:rPr>
                <w:spacing w:val="9"/>
                <w:w w:val="105"/>
                <w:sz w:val="21"/>
              </w:rPr>
              <w:t> </w:t>
            </w:r>
            <w:r>
              <w:rPr>
                <w:w w:val="105"/>
                <w:sz w:val="21"/>
              </w:rPr>
              <w:t>+</w:t>
            </w:r>
            <w:r>
              <w:rPr>
                <w:spacing w:val="4"/>
                <w:w w:val="105"/>
                <w:sz w:val="21"/>
              </w:rPr>
              <w:t> </w:t>
            </w:r>
            <w:r>
              <w:rPr>
                <w:spacing w:val="-4"/>
                <w:w w:val="105"/>
                <w:sz w:val="21"/>
              </w:rPr>
              <w:t>12,5</w:t>
            </w:r>
          </w:p>
        </w:tc>
      </w:tr>
      <w:tr>
        <w:trPr>
          <w:trHeight w:val="428" w:hRule="atLeast"/>
        </w:trPr>
        <w:tc>
          <w:tcPr>
            <w:tcW w:w="3724" w:type="dxa"/>
            <w:vMerge/>
            <w:tcBorders>
              <w:top w:val="nil"/>
              <w:left w:val="nil"/>
              <w:bottom w:val="nil"/>
            </w:tcBorders>
            <w:shd w:val="clear" w:color="auto" w:fill="EDECF3"/>
          </w:tcPr>
          <w:p>
            <w:pPr>
              <w:rPr>
                <w:sz w:val="2"/>
                <w:szCs w:val="2"/>
              </w:rPr>
            </w:pPr>
          </w:p>
        </w:tc>
        <w:tc>
          <w:tcPr>
            <w:tcW w:w="3716" w:type="dxa"/>
            <w:shd w:val="clear" w:color="auto" w:fill="EDECF3"/>
          </w:tcPr>
          <w:p>
            <w:pPr>
              <w:pStyle w:val="TableParagraph"/>
              <w:spacing w:before="93"/>
              <w:rPr>
                <w:sz w:val="21"/>
              </w:rPr>
            </w:pPr>
            <w:r>
              <w:rPr>
                <w:w w:val="105"/>
                <w:sz w:val="21"/>
              </w:rPr>
              <w:t>Enalapril</w:t>
            </w:r>
            <w:r>
              <w:rPr>
                <w:spacing w:val="8"/>
                <w:w w:val="105"/>
                <w:sz w:val="21"/>
              </w:rPr>
              <w:t> </w:t>
            </w:r>
            <w:r>
              <w:rPr>
                <w:w w:val="105"/>
                <w:sz w:val="21"/>
              </w:rPr>
              <w:t>+</w:t>
            </w:r>
            <w:r>
              <w:rPr>
                <w:spacing w:val="11"/>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rPr>
                <w:sz w:val="21"/>
              </w:rPr>
            </w:pPr>
            <w:r>
              <w:rPr>
                <w:w w:val="105"/>
                <w:sz w:val="21"/>
              </w:rPr>
              <w:t>10</w:t>
            </w:r>
            <w:r>
              <w:rPr>
                <w:spacing w:val="15"/>
                <w:w w:val="105"/>
                <w:sz w:val="21"/>
              </w:rPr>
              <w:t> </w:t>
            </w:r>
            <w:r>
              <w:rPr>
                <w:w w:val="105"/>
                <w:sz w:val="21"/>
              </w:rPr>
              <w:t>+</w:t>
            </w:r>
            <w:r>
              <w:rPr>
                <w:spacing w:val="8"/>
                <w:w w:val="105"/>
                <w:sz w:val="21"/>
              </w:rPr>
              <w:t> </w:t>
            </w:r>
            <w:r>
              <w:rPr>
                <w:w w:val="105"/>
                <w:sz w:val="21"/>
              </w:rPr>
              <w:t>25/20</w:t>
            </w:r>
            <w:r>
              <w:rPr>
                <w:spacing w:val="15"/>
                <w:w w:val="105"/>
                <w:sz w:val="21"/>
              </w:rPr>
              <w:t> </w:t>
            </w:r>
            <w:r>
              <w:rPr>
                <w:w w:val="105"/>
                <w:sz w:val="21"/>
              </w:rPr>
              <w:t>+</w:t>
            </w:r>
            <w:r>
              <w:rPr>
                <w:spacing w:val="9"/>
                <w:w w:val="105"/>
                <w:sz w:val="21"/>
              </w:rPr>
              <w:t> </w:t>
            </w:r>
            <w:r>
              <w:rPr>
                <w:spacing w:val="-4"/>
                <w:w w:val="105"/>
                <w:sz w:val="21"/>
              </w:rPr>
              <w:t>12,5</w:t>
            </w:r>
          </w:p>
        </w:tc>
      </w:tr>
      <w:tr>
        <w:trPr>
          <w:trHeight w:val="428" w:hRule="atLeast"/>
        </w:trPr>
        <w:tc>
          <w:tcPr>
            <w:tcW w:w="3724" w:type="dxa"/>
            <w:vMerge/>
            <w:tcBorders>
              <w:top w:val="nil"/>
              <w:left w:val="nil"/>
              <w:bottom w:val="nil"/>
            </w:tcBorders>
            <w:shd w:val="clear" w:color="auto" w:fill="EDECF3"/>
          </w:tcPr>
          <w:p>
            <w:pPr>
              <w:rPr>
                <w:sz w:val="2"/>
                <w:szCs w:val="2"/>
              </w:rPr>
            </w:pPr>
          </w:p>
        </w:tc>
        <w:tc>
          <w:tcPr>
            <w:tcW w:w="3716" w:type="dxa"/>
            <w:shd w:val="clear" w:color="auto" w:fill="EDECF3"/>
          </w:tcPr>
          <w:p>
            <w:pPr>
              <w:pStyle w:val="TableParagraph"/>
              <w:spacing w:before="93"/>
              <w:rPr>
                <w:sz w:val="21"/>
              </w:rPr>
            </w:pPr>
            <w:r>
              <w:rPr>
                <w:w w:val="105"/>
                <w:sz w:val="21"/>
              </w:rPr>
              <w:t>Fosinopril</w:t>
            </w:r>
            <w:r>
              <w:rPr>
                <w:spacing w:val="7"/>
                <w:w w:val="105"/>
                <w:sz w:val="21"/>
              </w:rPr>
              <w:t> </w:t>
            </w:r>
            <w:r>
              <w:rPr>
                <w:w w:val="105"/>
                <w:sz w:val="21"/>
              </w:rPr>
              <w:t>+</w:t>
            </w:r>
            <w:r>
              <w:rPr>
                <w:spacing w:val="10"/>
                <w:w w:val="105"/>
                <w:sz w:val="21"/>
              </w:rPr>
              <w:t> </w:t>
            </w:r>
            <w:r>
              <w:rPr>
                <w:spacing w:val="-2"/>
                <w:w w:val="105"/>
                <w:sz w:val="21"/>
              </w:rPr>
              <w:t>hidroclorotiazida</w:t>
            </w:r>
          </w:p>
        </w:tc>
        <w:tc>
          <w:tcPr>
            <w:tcW w:w="3179" w:type="dxa"/>
            <w:tcBorders>
              <w:right w:val="nil"/>
            </w:tcBorders>
            <w:shd w:val="clear" w:color="auto" w:fill="EDECF3"/>
          </w:tcPr>
          <w:p>
            <w:pPr>
              <w:pStyle w:val="TableParagraph"/>
              <w:spacing w:before="93"/>
              <w:rPr>
                <w:sz w:val="21"/>
              </w:rPr>
            </w:pPr>
            <w:r>
              <w:rPr>
                <w:w w:val="105"/>
                <w:sz w:val="21"/>
              </w:rPr>
              <w:t>10</w:t>
            </w:r>
            <w:r>
              <w:rPr>
                <w:spacing w:val="12"/>
                <w:w w:val="105"/>
                <w:sz w:val="21"/>
              </w:rPr>
              <w:t> </w:t>
            </w:r>
            <w:r>
              <w:rPr>
                <w:w w:val="105"/>
                <w:sz w:val="21"/>
              </w:rPr>
              <w:t>+</w:t>
            </w:r>
            <w:r>
              <w:rPr>
                <w:spacing w:val="6"/>
                <w:w w:val="105"/>
                <w:sz w:val="21"/>
              </w:rPr>
              <w:t> </w:t>
            </w:r>
            <w:r>
              <w:rPr>
                <w:spacing w:val="-4"/>
                <w:w w:val="105"/>
                <w:sz w:val="21"/>
              </w:rPr>
              <w:t>12,5</w:t>
            </w:r>
          </w:p>
        </w:tc>
      </w:tr>
      <w:tr>
        <w:trPr>
          <w:trHeight w:val="275" w:hRule="atLeast"/>
        </w:trPr>
        <w:tc>
          <w:tcPr>
            <w:tcW w:w="3724" w:type="dxa"/>
            <w:vMerge/>
            <w:tcBorders>
              <w:top w:val="nil"/>
              <w:left w:val="nil"/>
              <w:bottom w:val="nil"/>
            </w:tcBorders>
            <w:shd w:val="clear" w:color="auto" w:fill="EDECF3"/>
          </w:tcPr>
          <w:p>
            <w:pPr>
              <w:rPr>
                <w:sz w:val="2"/>
                <w:szCs w:val="2"/>
              </w:rPr>
            </w:pPr>
          </w:p>
        </w:tc>
        <w:tc>
          <w:tcPr>
            <w:tcW w:w="3716" w:type="dxa"/>
            <w:tcBorders>
              <w:bottom w:val="nil"/>
            </w:tcBorders>
            <w:shd w:val="clear" w:color="auto" w:fill="EDECF3"/>
          </w:tcPr>
          <w:p>
            <w:pPr>
              <w:pStyle w:val="TableParagraph"/>
              <w:spacing w:before="0"/>
              <w:ind w:left="0"/>
              <w:rPr>
                <w:rFonts w:ascii="Times New Roman"/>
                <w:sz w:val="20"/>
              </w:rPr>
            </w:pPr>
          </w:p>
        </w:tc>
        <w:tc>
          <w:tcPr>
            <w:tcW w:w="3179" w:type="dxa"/>
            <w:tcBorders>
              <w:bottom w:val="nil"/>
              <w:right w:val="nil"/>
            </w:tcBorders>
            <w:shd w:val="clear" w:color="auto" w:fill="EDECF3"/>
          </w:tcPr>
          <w:p>
            <w:pPr>
              <w:pStyle w:val="TableParagraph"/>
              <w:spacing w:before="0"/>
              <w:ind w:left="0"/>
              <w:rPr>
                <w:rFonts w:ascii="Times New Roman"/>
                <w:sz w:val="20"/>
              </w:rPr>
            </w:pPr>
          </w:p>
        </w:tc>
      </w:tr>
    </w:tbl>
    <w:p>
      <w:pPr>
        <w:pStyle w:val="TableParagraph"/>
        <w:spacing w:after="0"/>
        <w:rPr>
          <w:rFonts w:ascii="Times New Roman"/>
          <w:sz w:val="20"/>
        </w:rPr>
        <w:sectPr>
          <w:pgSz w:w="11900" w:h="16840"/>
          <w:pgMar w:top="20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724"/>
        <w:gridCol w:w="3716"/>
        <w:gridCol w:w="3163"/>
      </w:tblGrid>
      <w:tr>
        <w:trPr>
          <w:trHeight w:val="410" w:hRule="atLeast"/>
        </w:trPr>
        <w:tc>
          <w:tcPr>
            <w:tcW w:w="3724" w:type="dxa"/>
            <w:vMerge w:val="restart"/>
            <w:tcBorders>
              <w:top w:val="nil"/>
              <w:left w:val="nil"/>
            </w:tcBorders>
            <w:shd w:val="clear" w:color="auto" w:fill="EDECF3"/>
          </w:tcPr>
          <w:p>
            <w:pPr>
              <w:pStyle w:val="TableParagraph"/>
              <w:spacing w:before="0"/>
              <w:ind w:left="0"/>
              <w:rPr>
                <w:rFonts w:ascii="Times New Roman"/>
                <w:sz w:val="22"/>
              </w:rPr>
            </w:pPr>
          </w:p>
        </w:tc>
        <w:tc>
          <w:tcPr>
            <w:tcW w:w="3716" w:type="dxa"/>
            <w:tcBorders>
              <w:top w:val="nil"/>
            </w:tcBorders>
            <w:shd w:val="clear" w:color="auto" w:fill="EDECF3"/>
          </w:tcPr>
          <w:p>
            <w:pPr>
              <w:pStyle w:val="TableParagraph"/>
              <w:spacing w:before="73"/>
              <w:rPr>
                <w:sz w:val="21"/>
              </w:rPr>
            </w:pPr>
            <w:r>
              <w:rPr>
                <w:w w:val="105"/>
                <w:sz w:val="21"/>
              </w:rPr>
              <w:t>Lisinopril</w:t>
            </w:r>
            <w:r>
              <w:rPr>
                <w:spacing w:val="10"/>
                <w:w w:val="105"/>
                <w:sz w:val="21"/>
              </w:rPr>
              <w:t> </w:t>
            </w:r>
            <w:r>
              <w:rPr>
                <w:w w:val="105"/>
                <w:sz w:val="21"/>
              </w:rPr>
              <w:t>+</w:t>
            </w:r>
            <w:r>
              <w:rPr>
                <w:spacing w:val="12"/>
                <w:w w:val="105"/>
                <w:sz w:val="21"/>
              </w:rPr>
              <w:t> </w:t>
            </w:r>
            <w:r>
              <w:rPr>
                <w:spacing w:val="-2"/>
                <w:w w:val="105"/>
                <w:sz w:val="21"/>
              </w:rPr>
              <w:t>hidroclorotiazida</w:t>
            </w:r>
          </w:p>
        </w:tc>
        <w:tc>
          <w:tcPr>
            <w:tcW w:w="3163" w:type="dxa"/>
            <w:tcBorders>
              <w:top w:val="nil"/>
              <w:right w:val="nil"/>
            </w:tcBorders>
            <w:shd w:val="clear" w:color="auto" w:fill="EDECF3"/>
          </w:tcPr>
          <w:p>
            <w:pPr>
              <w:pStyle w:val="TableParagraph"/>
              <w:spacing w:before="73"/>
              <w:rPr>
                <w:sz w:val="21"/>
              </w:rPr>
            </w:pPr>
            <w:r>
              <w:rPr>
                <w:w w:val="105"/>
                <w:sz w:val="21"/>
              </w:rPr>
              <w:t>10</w:t>
            </w:r>
            <w:r>
              <w:rPr>
                <w:spacing w:val="16"/>
                <w:w w:val="105"/>
                <w:sz w:val="21"/>
              </w:rPr>
              <w:t> </w:t>
            </w:r>
            <w:r>
              <w:rPr>
                <w:w w:val="105"/>
                <w:sz w:val="21"/>
              </w:rPr>
              <w:t>+</w:t>
            </w:r>
            <w:r>
              <w:rPr>
                <w:spacing w:val="11"/>
                <w:w w:val="105"/>
                <w:sz w:val="21"/>
              </w:rPr>
              <w:t> </w:t>
            </w:r>
            <w:r>
              <w:rPr>
                <w:w w:val="105"/>
                <w:sz w:val="21"/>
              </w:rPr>
              <w:t>12,5/20</w:t>
            </w:r>
            <w:r>
              <w:rPr>
                <w:spacing w:val="16"/>
                <w:w w:val="105"/>
                <w:sz w:val="21"/>
              </w:rPr>
              <w:t> </w:t>
            </w:r>
            <w:r>
              <w:rPr>
                <w:w w:val="105"/>
                <w:sz w:val="21"/>
              </w:rPr>
              <w:t>+</w:t>
            </w:r>
            <w:r>
              <w:rPr>
                <w:spacing w:val="11"/>
                <w:w w:val="105"/>
                <w:sz w:val="21"/>
              </w:rPr>
              <w:t> </w:t>
            </w:r>
            <w:r>
              <w:rPr>
                <w:spacing w:val="-4"/>
                <w:w w:val="105"/>
                <w:sz w:val="21"/>
              </w:rPr>
              <w:t>12,5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rPr>
                <w:sz w:val="21"/>
              </w:rPr>
            </w:pPr>
            <w:r>
              <w:rPr>
                <w:w w:val="105"/>
                <w:sz w:val="21"/>
              </w:rPr>
              <w:t>Perindopril</w:t>
            </w:r>
            <w:r>
              <w:rPr>
                <w:spacing w:val="13"/>
                <w:w w:val="105"/>
                <w:sz w:val="21"/>
              </w:rPr>
              <w:t> </w:t>
            </w:r>
            <w:r>
              <w:rPr>
                <w:w w:val="105"/>
                <w:sz w:val="21"/>
              </w:rPr>
              <w:t>+</w:t>
            </w:r>
            <w:r>
              <w:rPr>
                <w:spacing w:val="16"/>
                <w:w w:val="105"/>
                <w:sz w:val="21"/>
              </w:rPr>
              <w:t> </w:t>
            </w:r>
            <w:r>
              <w:rPr>
                <w:spacing w:val="-2"/>
                <w:w w:val="105"/>
                <w:sz w:val="21"/>
              </w:rPr>
              <w:t>hidroclorotiazida</w:t>
            </w:r>
          </w:p>
        </w:tc>
        <w:tc>
          <w:tcPr>
            <w:tcW w:w="3163" w:type="dxa"/>
            <w:tcBorders>
              <w:right w:val="nil"/>
            </w:tcBorders>
            <w:shd w:val="clear" w:color="auto" w:fill="EDECF3"/>
          </w:tcPr>
          <w:p>
            <w:pPr>
              <w:pStyle w:val="TableParagraph"/>
              <w:rPr>
                <w:sz w:val="21"/>
              </w:rPr>
            </w:pPr>
            <w:r>
              <w:rPr>
                <w:w w:val="105"/>
                <w:sz w:val="21"/>
              </w:rPr>
              <w:t>2</w:t>
            </w:r>
            <w:r>
              <w:rPr>
                <w:spacing w:val="9"/>
                <w:w w:val="105"/>
                <w:sz w:val="21"/>
              </w:rPr>
              <w:t> </w:t>
            </w:r>
            <w:r>
              <w:rPr>
                <w:w w:val="105"/>
                <w:sz w:val="21"/>
              </w:rPr>
              <w:t>+</w:t>
            </w:r>
            <w:r>
              <w:rPr>
                <w:spacing w:val="4"/>
                <w:w w:val="105"/>
                <w:sz w:val="21"/>
              </w:rPr>
              <w:t> </w:t>
            </w:r>
            <w:r>
              <w:rPr>
                <w:spacing w:val="-4"/>
                <w:w w:val="105"/>
                <w:sz w:val="21"/>
              </w:rPr>
              <w:t>6,25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rPr>
                <w:sz w:val="21"/>
              </w:rPr>
            </w:pPr>
            <w:r>
              <w:rPr>
                <w:w w:val="105"/>
                <w:sz w:val="21"/>
              </w:rPr>
              <w:t>Ramipril</w:t>
            </w:r>
            <w:r>
              <w:rPr>
                <w:spacing w:val="1"/>
                <w:w w:val="105"/>
                <w:sz w:val="21"/>
              </w:rPr>
              <w:t> </w:t>
            </w:r>
            <w:r>
              <w:rPr>
                <w:w w:val="105"/>
                <w:sz w:val="21"/>
              </w:rPr>
              <w:t>+</w:t>
            </w:r>
            <w:r>
              <w:rPr>
                <w:spacing w:val="3"/>
                <w:w w:val="105"/>
                <w:sz w:val="21"/>
              </w:rPr>
              <w:t> </w:t>
            </w:r>
            <w:r>
              <w:rPr>
                <w:spacing w:val="-2"/>
                <w:w w:val="105"/>
                <w:sz w:val="21"/>
              </w:rPr>
              <w:t>hidroclorotiazida</w:t>
            </w:r>
          </w:p>
        </w:tc>
        <w:tc>
          <w:tcPr>
            <w:tcW w:w="3163" w:type="dxa"/>
            <w:tcBorders>
              <w:right w:val="nil"/>
            </w:tcBorders>
            <w:shd w:val="clear" w:color="auto" w:fill="EDECF3"/>
          </w:tcPr>
          <w:p>
            <w:pPr>
              <w:pStyle w:val="TableParagraph"/>
              <w:rPr>
                <w:sz w:val="21"/>
              </w:rPr>
            </w:pPr>
            <w:r>
              <w:rPr>
                <w:w w:val="105"/>
                <w:sz w:val="21"/>
              </w:rPr>
              <w:t>5</w:t>
            </w:r>
            <w:r>
              <w:rPr>
                <w:spacing w:val="9"/>
                <w:w w:val="105"/>
                <w:sz w:val="21"/>
              </w:rPr>
              <w:t> </w:t>
            </w:r>
            <w:r>
              <w:rPr>
                <w:w w:val="105"/>
                <w:sz w:val="21"/>
              </w:rPr>
              <w:t>+</w:t>
            </w:r>
            <w:r>
              <w:rPr>
                <w:spacing w:val="4"/>
                <w:w w:val="105"/>
                <w:sz w:val="21"/>
              </w:rPr>
              <w:t> </w:t>
            </w:r>
            <w:r>
              <w:rPr>
                <w:spacing w:val="-4"/>
                <w:w w:val="105"/>
                <w:sz w:val="21"/>
              </w:rPr>
              <w:t>12,5</w:t>
            </w:r>
          </w:p>
        </w:tc>
      </w:tr>
      <w:tr>
        <w:trPr>
          <w:trHeight w:val="428" w:hRule="atLeast"/>
        </w:trPr>
        <w:tc>
          <w:tcPr>
            <w:tcW w:w="3724" w:type="dxa"/>
            <w:vMerge w:val="restart"/>
            <w:tcBorders>
              <w:left w:val="nil"/>
            </w:tcBorders>
            <w:shd w:val="clear" w:color="auto" w:fill="EDECF3"/>
          </w:tcPr>
          <w:p>
            <w:pPr>
              <w:pStyle w:val="TableParagraph"/>
              <w:spacing w:line="307" w:lineRule="auto"/>
              <w:ind w:left="67"/>
              <w:rPr>
                <w:sz w:val="21"/>
              </w:rPr>
            </w:pPr>
            <w:r>
              <w:rPr>
                <w:w w:val="105"/>
                <w:sz w:val="21"/>
              </w:rPr>
              <w:t>Antagonista do receptor AT1 da angiotensina II + diurético</w:t>
            </w:r>
          </w:p>
        </w:tc>
        <w:tc>
          <w:tcPr>
            <w:tcW w:w="3716" w:type="dxa"/>
            <w:shd w:val="clear" w:color="auto" w:fill="EDECF3"/>
          </w:tcPr>
          <w:p>
            <w:pPr>
              <w:pStyle w:val="TableParagraph"/>
              <w:rPr>
                <w:sz w:val="21"/>
              </w:rPr>
            </w:pPr>
            <w:r>
              <w:rPr>
                <w:w w:val="105"/>
                <w:sz w:val="21"/>
              </w:rPr>
              <w:t>Candersartana</w:t>
            </w:r>
            <w:r>
              <w:rPr>
                <w:spacing w:val="33"/>
                <w:w w:val="105"/>
                <w:sz w:val="21"/>
              </w:rPr>
              <w:t> </w:t>
            </w:r>
            <w:r>
              <w:rPr>
                <w:w w:val="105"/>
                <w:sz w:val="21"/>
              </w:rPr>
              <w:t>+</w:t>
            </w:r>
            <w:r>
              <w:rPr>
                <w:spacing w:val="26"/>
                <w:w w:val="105"/>
                <w:sz w:val="21"/>
              </w:rPr>
              <w:t> </w:t>
            </w:r>
            <w:r>
              <w:rPr>
                <w:spacing w:val="-2"/>
                <w:w w:val="105"/>
                <w:sz w:val="21"/>
              </w:rPr>
              <w:t>hidroclorotiazida</w:t>
            </w:r>
          </w:p>
        </w:tc>
        <w:tc>
          <w:tcPr>
            <w:tcW w:w="3163" w:type="dxa"/>
            <w:tcBorders>
              <w:right w:val="nil"/>
            </w:tcBorders>
            <w:shd w:val="clear" w:color="auto" w:fill="EDECF3"/>
          </w:tcPr>
          <w:p>
            <w:pPr>
              <w:pStyle w:val="TableParagraph"/>
              <w:rPr>
                <w:sz w:val="21"/>
              </w:rPr>
            </w:pPr>
            <w:r>
              <w:rPr>
                <w:w w:val="105"/>
                <w:sz w:val="21"/>
              </w:rPr>
              <w:t>8</w:t>
            </w:r>
            <w:r>
              <w:rPr>
                <w:spacing w:val="9"/>
                <w:w w:val="105"/>
                <w:sz w:val="21"/>
              </w:rPr>
              <w:t> </w:t>
            </w:r>
            <w:r>
              <w:rPr>
                <w:w w:val="105"/>
                <w:sz w:val="21"/>
              </w:rPr>
              <w:t>+</w:t>
            </w:r>
            <w:r>
              <w:rPr>
                <w:spacing w:val="4"/>
                <w:w w:val="105"/>
                <w:sz w:val="21"/>
              </w:rPr>
              <w:t> </w:t>
            </w:r>
            <w:r>
              <w:rPr>
                <w:spacing w:val="-4"/>
                <w:w w:val="105"/>
                <w:sz w:val="21"/>
              </w:rPr>
              <w:t>12,5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rPr>
                <w:sz w:val="21"/>
              </w:rPr>
            </w:pPr>
            <w:r>
              <w:rPr>
                <w:w w:val="105"/>
                <w:sz w:val="21"/>
              </w:rPr>
              <w:t>Irbersartana</w:t>
            </w:r>
            <w:r>
              <w:rPr>
                <w:spacing w:val="33"/>
                <w:w w:val="105"/>
                <w:sz w:val="21"/>
              </w:rPr>
              <w:t> </w:t>
            </w:r>
            <w:r>
              <w:rPr>
                <w:w w:val="105"/>
                <w:sz w:val="21"/>
              </w:rPr>
              <w:t>+</w:t>
            </w:r>
            <w:r>
              <w:rPr>
                <w:spacing w:val="25"/>
                <w:w w:val="105"/>
                <w:sz w:val="21"/>
              </w:rPr>
              <w:t> </w:t>
            </w:r>
            <w:r>
              <w:rPr>
                <w:spacing w:val="-2"/>
                <w:w w:val="105"/>
                <w:sz w:val="21"/>
              </w:rPr>
              <w:t>hidroclorotiazida</w:t>
            </w:r>
          </w:p>
        </w:tc>
        <w:tc>
          <w:tcPr>
            <w:tcW w:w="3163" w:type="dxa"/>
            <w:tcBorders>
              <w:right w:val="nil"/>
            </w:tcBorders>
            <w:shd w:val="clear" w:color="auto" w:fill="EDECF3"/>
          </w:tcPr>
          <w:p>
            <w:pPr>
              <w:pStyle w:val="TableParagraph"/>
              <w:rPr>
                <w:sz w:val="21"/>
              </w:rPr>
            </w:pPr>
            <w:r>
              <w:rPr>
                <w:w w:val="105"/>
                <w:sz w:val="21"/>
              </w:rPr>
              <w:t>150</w:t>
            </w:r>
            <w:r>
              <w:rPr>
                <w:spacing w:val="19"/>
                <w:w w:val="105"/>
                <w:sz w:val="21"/>
              </w:rPr>
              <w:t> </w:t>
            </w:r>
            <w:r>
              <w:rPr>
                <w:w w:val="105"/>
                <w:sz w:val="21"/>
              </w:rPr>
              <w:t>+</w:t>
            </w:r>
            <w:r>
              <w:rPr>
                <w:spacing w:val="12"/>
                <w:w w:val="105"/>
                <w:sz w:val="21"/>
              </w:rPr>
              <w:t> </w:t>
            </w:r>
            <w:r>
              <w:rPr>
                <w:w w:val="105"/>
                <w:sz w:val="21"/>
              </w:rPr>
              <w:t>12,5/300</w:t>
            </w:r>
            <w:r>
              <w:rPr>
                <w:spacing w:val="19"/>
                <w:w w:val="105"/>
                <w:sz w:val="21"/>
              </w:rPr>
              <w:t> </w:t>
            </w:r>
            <w:r>
              <w:rPr>
                <w:w w:val="105"/>
                <w:sz w:val="21"/>
              </w:rPr>
              <w:t>+</w:t>
            </w:r>
            <w:r>
              <w:rPr>
                <w:spacing w:val="13"/>
                <w:w w:val="105"/>
                <w:sz w:val="21"/>
              </w:rPr>
              <w:t> </w:t>
            </w:r>
            <w:r>
              <w:rPr>
                <w:spacing w:val="-4"/>
                <w:w w:val="105"/>
                <w:sz w:val="21"/>
              </w:rPr>
              <w:t>12,5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rPr>
                <w:sz w:val="21"/>
              </w:rPr>
            </w:pPr>
            <w:r>
              <w:rPr>
                <w:w w:val="105"/>
                <w:sz w:val="21"/>
              </w:rPr>
              <w:t>Losartana</w:t>
            </w:r>
            <w:r>
              <w:rPr>
                <w:spacing w:val="26"/>
                <w:w w:val="105"/>
                <w:sz w:val="21"/>
              </w:rPr>
              <w:t> </w:t>
            </w:r>
            <w:r>
              <w:rPr>
                <w:w w:val="105"/>
                <w:sz w:val="21"/>
              </w:rPr>
              <w:t>+</w:t>
            </w:r>
            <w:r>
              <w:rPr>
                <w:spacing w:val="19"/>
                <w:w w:val="105"/>
                <w:sz w:val="21"/>
              </w:rPr>
              <w:t> </w:t>
            </w:r>
            <w:r>
              <w:rPr>
                <w:spacing w:val="-2"/>
                <w:w w:val="105"/>
                <w:sz w:val="21"/>
              </w:rPr>
              <w:t>hidroclorotiazida</w:t>
            </w:r>
          </w:p>
        </w:tc>
        <w:tc>
          <w:tcPr>
            <w:tcW w:w="3163" w:type="dxa"/>
            <w:tcBorders>
              <w:right w:val="nil"/>
            </w:tcBorders>
            <w:shd w:val="clear" w:color="auto" w:fill="EDECF3"/>
          </w:tcPr>
          <w:p>
            <w:pPr>
              <w:pStyle w:val="TableParagraph"/>
              <w:rPr>
                <w:sz w:val="21"/>
              </w:rPr>
            </w:pPr>
            <w:r>
              <w:rPr>
                <w:w w:val="105"/>
                <w:sz w:val="21"/>
              </w:rPr>
              <w:t>50</w:t>
            </w:r>
            <w:r>
              <w:rPr>
                <w:spacing w:val="17"/>
                <w:w w:val="105"/>
                <w:sz w:val="21"/>
              </w:rPr>
              <w:t> </w:t>
            </w:r>
            <w:r>
              <w:rPr>
                <w:w w:val="105"/>
                <w:sz w:val="21"/>
              </w:rPr>
              <w:t>+</w:t>
            </w:r>
            <w:r>
              <w:rPr>
                <w:spacing w:val="12"/>
                <w:w w:val="105"/>
                <w:sz w:val="21"/>
              </w:rPr>
              <w:t> </w:t>
            </w:r>
            <w:r>
              <w:rPr>
                <w:w w:val="105"/>
                <w:sz w:val="21"/>
              </w:rPr>
              <w:t>12,5/100</w:t>
            </w:r>
            <w:r>
              <w:rPr>
                <w:spacing w:val="18"/>
                <w:w w:val="105"/>
                <w:sz w:val="21"/>
              </w:rPr>
              <w:t> </w:t>
            </w:r>
            <w:r>
              <w:rPr>
                <w:w w:val="105"/>
                <w:sz w:val="21"/>
              </w:rPr>
              <w:t>+</w:t>
            </w:r>
            <w:r>
              <w:rPr>
                <w:spacing w:val="11"/>
                <w:w w:val="105"/>
                <w:sz w:val="21"/>
              </w:rPr>
              <w:t> </w:t>
            </w:r>
            <w:r>
              <w:rPr>
                <w:spacing w:val="-5"/>
                <w:w w:val="105"/>
                <w:sz w:val="21"/>
              </w:rPr>
              <w:t>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rPr>
                <w:sz w:val="21"/>
              </w:rPr>
            </w:pPr>
            <w:r>
              <w:rPr>
                <w:w w:val="105"/>
                <w:sz w:val="21"/>
              </w:rPr>
              <w:t>Valsartana</w:t>
            </w:r>
            <w:r>
              <w:rPr>
                <w:spacing w:val="19"/>
                <w:w w:val="105"/>
                <w:sz w:val="21"/>
              </w:rPr>
              <w:t> </w:t>
            </w:r>
            <w:r>
              <w:rPr>
                <w:w w:val="105"/>
                <w:sz w:val="21"/>
              </w:rPr>
              <w:t>+</w:t>
            </w:r>
            <w:r>
              <w:rPr>
                <w:spacing w:val="13"/>
                <w:w w:val="105"/>
                <w:sz w:val="21"/>
              </w:rPr>
              <w:t> </w:t>
            </w:r>
            <w:r>
              <w:rPr>
                <w:spacing w:val="-2"/>
                <w:w w:val="105"/>
                <w:sz w:val="21"/>
              </w:rPr>
              <w:t>hidroclorotiazida</w:t>
            </w:r>
          </w:p>
        </w:tc>
        <w:tc>
          <w:tcPr>
            <w:tcW w:w="3163" w:type="dxa"/>
            <w:tcBorders>
              <w:right w:val="nil"/>
            </w:tcBorders>
            <w:shd w:val="clear" w:color="auto" w:fill="EDECF3"/>
          </w:tcPr>
          <w:p>
            <w:pPr>
              <w:pStyle w:val="TableParagraph"/>
              <w:rPr>
                <w:sz w:val="21"/>
              </w:rPr>
            </w:pPr>
            <w:r>
              <w:rPr>
                <w:w w:val="105"/>
                <w:sz w:val="21"/>
              </w:rPr>
              <w:t>80</w:t>
            </w:r>
            <w:r>
              <w:rPr>
                <w:spacing w:val="17"/>
                <w:w w:val="105"/>
                <w:sz w:val="21"/>
              </w:rPr>
              <w:t> </w:t>
            </w:r>
            <w:r>
              <w:rPr>
                <w:w w:val="105"/>
                <w:sz w:val="21"/>
              </w:rPr>
              <w:t>+</w:t>
            </w:r>
            <w:r>
              <w:rPr>
                <w:spacing w:val="12"/>
                <w:w w:val="105"/>
                <w:sz w:val="21"/>
              </w:rPr>
              <w:t> </w:t>
            </w:r>
            <w:r>
              <w:rPr>
                <w:w w:val="105"/>
                <w:sz w:val="21"/>
              </w:rPr>
              <w:t>12,5/160</w:t>
            </w:r>
            <w:r>
              <w:rPr>
                <w:spacing w:val="18"/>
                <w:w w:val="105"/>
                <w:sz w:val="21"/>
              </w:rPr>
              <w:t> </w:t>
            </w:r>
            <w:r>
              <w:rPr>
                <w:w w:val="105"/>
                <w:sz w:val="21"/>
              </w:rPr>
              <w:t>+</w:t>
            </w:r>
            <w:r>
              <w:rPr>
                <w:spacing w:val="11"/>
                <w:w w:val="105"/>
                <w:sz w:val="21"/>
              </w:rPr>
              <w:t> </w:t>
            </w:r>
            <w:r>
              <w:rPr>
                <w:spacing w:val="-4"/>
                <w:w w:val="105"/>
                <w:sz w:val="21"/>
              </w:rPr>
              <w:t>12,5</w:t>
            </w:r>
          </w:p>
        </w:tc>
      </w:tr>
      <w:tr>
        <w:trPr>
          <w:trHeight w:val="428" w:hRule="atLeast"/>
        </w:trPr>
        <w:tc>
          <w:tcPr>
            <w:tcW w:w="3724" w:type="dxa"/>
            <w:vMerge/>
            <w:tcBorders>
              <w:top w:val="nil"/>
              <w:left w:val="nil"/>
            </w:tcBorders>
            <w:shd w:val="clear" w:color="auto" w:fill="EDECF3"/>
          </w:tcPr>
          <w:p>
            <w:pPr>
              <w:rPr>
                <w:sz w:val="2"/>
                <w:szCs w:val="2"/>
              </w:rPr>
            </w:pPr>
          </w:p>
        </w:tc>
        <w:tc>
          <w:tcPr>
            <w:tcW w:w="3716" w:type="dxa"/>
            <w:shd w:val="clear" w:color="auto" w:fill="EDECF3"/>
          </w:tcPr>
          <w:p>
            <w:pPr>
              <w:pStyle w:val="TableParagraph"/>
              <w:rPr>
                <w:sz w:val="21"/>
              </w:rPr>
            </w:pPr>
            <w:r>
              <w:rPr>
                <w:w w:val="105"/>
                <w:sz w:val="21"/>
              </w:rPr>
              <w:t>Telmisartana</w:t>
            </w:r>
            <w:r>
              <w:rPr>
                <w:spacing w:val="11"/>
                <w:w w:val="105"/>
                <w:sz w:val="21"/>
              </w:rPr>
              <w:t> </w:t>
            </w:r>
            <w:r>
              <w:rPr>
                <w:w w:val="105"/>
                <w:sz w:val="21"/>
              </w:rPr>
              <w:t>+</w:t>
            </w:r>
            <w:r>
              <w:rPr>
                <w:spacing w:val="6"/>
                <w:w w:val="105"/>
                <w:sz w:val="21"/>
              </w:rPr>
              <w:t> </w:t>
            </w:r>
            <w:r>
              <w:rPr>
                <w:spacing w:val="-2"/>
                <w:w w:val="105"/>
                <w:sz w:val="21"/>
              </w:rPr>
              <w:t>hidroclorotiazida</w:t>
            </w:r>
          </w:p>
        </w:tc>
        <w:tc>
          <w:tcPr>
            <w:tcW w:w="3163" w:type="dxa"/>
            <w:tcBorders>
              <w:right w:val="nil"/>
            </w:tcBorders>
            <w:shd w:val="clear" w:color="auto" w:fill="EDECF3"/>
          </w:tcPr>
          <w:p>
            <w:pPr>
              <w:pStyle w:val="TableParagraph"/>
              <w:rPr>
                <w:sz w:val="21"/>
              </w:rPr>
            </w:pPr>
            <w:r>
              <w:rPr>
                <w:w w:val="105"/>
                <w:sz w:val="21"/>
              </w:rPr>
              <w:t>40</w:t>
            </w:r>
            <w:r>
              <w:rPr>
                <w:spacing w:val="16"/>
                <w:w w:val="105"/>
                <w:sz w:val="21"/>
              </w:rPr>
              <w:t> </w:t>
            </w:r>
            <w:r>
              <w:rPr>
                <w:w w:val="105"/>
                <w:sz w:val="21"/>
              </w:rPr>
              <w:t>+</w:t>
            </w:r>
            <w:r>
              <w:rPr>
                <w:spacing w:val="11"/>
                <w:w w:val="105"/>
                <w:sz w:val="21"/>
              </w:rPr>
              <w:t> </w:t>
            </w:r>
            <w:r>
              <w:rPr>
                <w:w w:val="105"/>
                <w:sz w:val="21"/>
              </w:rPr>
              <w:t>12,5/80</w:t>
            </w:r>
            <w:r>
              <w:rPr>
                <w:spacing w:val="16"/>
                <w:w w:val="105"/>
                <w:sz w:val="21"/>
              </w:rPr>
              <w:t> </w:t>
            </w:r>
            <w:r>
              <w:rPr>
                <w:w w:val="105"/>
                <w:sz w:val="21"/>
              </w:rPr>
              <w:t>+</w:t>
            </w:r>
            <w:r>
              <w:rPr>
                <w:spacing w:val="11"/>
                <w:w w:val="105"/>
                <w:sz w:val="21"/>
              </w:rPr>
              <w:t> </w:t>
            </w:r>
            <w:r>
              <w:rPr>
                <w:spacing w:val="-4"/>
                <w:w w:val="105"/>
                <w:sz w:val="21"/>
              </w:rPr>
              <w:t>12,5</w:t>
            </w:r>
          </w:p>
        </w:tc>
      </w:tr>
      <w:tr>
        <w:trPr>
          <w:trHeight w:val="732" w:hRule="atLeast"/>
        </w:trPr>
        <w:tc>
          <w:tcPr>
            <w:tcW w:w="3724" w:type="dxa"/>
            <w:tcBorders>
              <w:left w:val="nil"/>
            </w:tcBorders>
            <w:shd w:val="clear" w:color="auto" w:fill="EDECF3"/>
          </w:tcPr>
          <w:p>
            <w:pPr>
              <w:pStyle w:val="TableParagraph"/>
              <w:ind w:left="67"/>
              <w:rPr>
                <w:sz w:val="21"/>
              </w:rPr>
            </w:pPr>
            <w:r>
              <w:rPr>
                <w:w w:val="105"/>
                <w:sz w:val="21"/>
              </w:rPr>
              <w:t>Antagonistas</w:t>
            </w:r>
            <w:r>
              <w:rPr>
                <w:spacing w:val="18"/>
                <w:w w:val="105"/>
                <w:sz w:val="21"/>
              </w:rPr>
              <w:t> </w:t>
            </w:r>
            <w:r>
              <w:rPr>
                <w:w w:val="105"/>
                <w:sz w:val="21"/>
              </w:rPr>
              <w:t>dos</w:t>
            </w:r>
            <w:r>
              <w:rPr>
                <w:spacing w:val="19"/>
                <w:w w:val="105"/>
                <w:sz w:val="21"/>
              </w:rPr>
              <w:t> </w:t>
            </w:r>
            <w:r>
              <w:rPr>
                <w:w w:val="105"/>
                <w:sz w:val="21"/>
              </w:rPr>
              <w:t>canais</w:t>
            </w:r>
            <w:r>
              <w:rPr>
                <w:spacing w:val="18"/>
                <w:w w:val="105"/>
                <w:sz w:val="21"/>
              </w:rPr>
              <w:t> </w:t>
            </w:r>
            <w:r>
              <w:rPr>
                <w:w w:val="105"/>
                <w:sz w:val="21"/>
              </w:rPr>
              <w:t>de</w:t>
            </w:r>
            <w:r>
              <w:rPr>
                <w:spacing w:val="24"/>
                <w:w w:val="105"/>
                <w:sz w:val="21"/>
              </w:rPr>
              <w:t> </w:t>
            </w:r>
            <w:r>
              <w:rPr>
                <w:spacing w:val="-2"/>
                <w:w w:val="105"/>
                <w:sz w:val="21"/>
              </w:rPr>
              <w:t>cálcio</w:t>
            </w:r>
          </w:p>
          <w:p>
            <w:pPr>
              <w:pStyle w:val="TableParagraph"/>
              <w:spacing w:before="66"/>
              <w:ind w:left="67"/>
              <w:rPr>
                <w:sz w:val="21"/>
              </w:rPr>
            </w:pPr>
            <w:r>
              <w:rPr>
                <w:w w:val="105"/>
                <w:sz w:val="21"/>
              </w:rPr>
              <w:t>+</w:t>
            </w:r>
            <w:r>
              <w:rPr>
                <w:spacing w:val="3"/>
                <w:w w:val="105"/>
                <w:sz w:val="21"/>
              </w:rPr>
              <w:t> </w:t>
            </w:r>
            <w:r>
              <w:rPr>
                <w:spacing w:val="-2"/>
                <w:w w:val="105"/>
                <w:sz w:val="21"/>
              </w:rPr>
              <w:t>betabloqueador</w:t>
            </w:r>
          </w:p>
        </w:tc>
        <w:tc>
          <w:tcPr>
            <w:tcW w:w="3716" w:type="dxa"/>
            <w:shd w:val="clear" w:color="auto" w:fill="EDECF3"/>
          </w:tcPr>
          <w:p>
            <w:pPr>
              <w:pStyle w:val="TableParagraph"/>
              <w:rPr>
                <w:sz w:val="21"/>
              </w:rPr>
            </w:pPr>
            <w:r>
              <w:rPr>
                <w:w w:val="105"/>
                <w:sz w:val="21"/>
              </w:rPr>
              <w:t>Nifedipino</w:t>
            </w:r>
            <w:r>
              <w:rPr>
                <w:spacing w:val="15"/>
                <w:w w:val="105"/>
                <w:sz w:val="21"/>
              </w:rPr>
              <w:t> </w:t>
            </w:r>
            <w:r>
              <w:rPr>
                <w:w w:val="105"/>
                <w:sz w:val="21"/>
              </w:rPr>
              <w:t>+</w:t>
            </w:r>
            <w:r>
              <w:rPr>
                <w:spacing w:val="9"/>
                <w:w w:val="105"/>
                <w:sz w:val="21"/>
              </w:rPr>
              <w:t> </w:t>
            </w:r>
            <w:r>
              <w:rPr>
                <w:spacing w:val="-2"/>
                <w:w w:val="105"/>
                <w:sz w:val="21"/>
              </w:rPr>
              <w:t>Atenolol</w:t>
            </w:r>
          </w:p>
        </w:tc>
        <w:tc>
          <w:tcPr>
            <w:tcW w:w="3163" w:type="dxa"/>
            <w:tcBorders>
              <w:right w:val="nil"/>
            </w:tcBorders>
            <w:shd w:val="clear" w:color="auto" w:fill="EDECF3"/>
          </w:tcPr>
          <w:p>
            <w:pPr>
              <w:pStyle w:val="TableParagraph"/>
              <w:rPr>
                <w:sz w:val="21"/>
              </w:rPr>
            </w:pPr>
            <w:r>
              <w:rPr>
                <w:w w:val="105"/>
                <w:sz w:val="21"/>
              </w:rPr>
              <w:t>10</w:t>
            </w:r>
            <w:r>
              <w:rPr>
                <w:spacing w:val="15"/>
                <w:w w:val="105"/>
                <w:sz w:val="21"/>
              </w:rPr>
              <w:t> </w:t>
            </w:r>
            <w:r>
              <w:rPr>
                <w:w w:val="105"/>
                <w:sz w:val="21"/>
              </w:rPr>
              <w:t>+</w:t>
            </w:r>
            <w:r>
              <w:rPr>
                <w:spacing w:val="8"/>
                <w:w w:val="105"/>
                <w:sz w:val="21"/>
              </w:rPr>
              <w:t> </w:t>
            </w:r>
            <w:r>
              <w:rPr>
                <w:w w:val="105"/>
                <w:sz w:val="21"/>
              </w:rPr>
              <w:t>25/20</w:t>
            </w:r>
            <w:r>
              <w:rPr>
                <w:spacing w:val="15"/>
                <w:w w:val="105"/>
                <w:sz w:val="21"/>
              </w:rPr>
              <w:t> </w:t>
            </w:r>
            <w:r>
              <w:rPr>
                <w:w w:val="105"/>
                <w:sz w:val="21"/>
              </w:rPr>
              <w:t>+</w:t>
            </w:r>
            <w:r>
              <w:rPr>
                <w:spacing w:val="9"/>
                <w:w w:val="105"/>
                <w:sz w:val="21"/>
              </w:rPr>
              <w:t> </w:t>
            </w:r>
            <w:r>
              <w:rPr>
                <w:spacing w:val="-5"/>
                <w:w w:val="105"/>
                <w:sz w:val="21"/>
              </w:rPr>
              <w:t>50</w:t>
            </w:r>
          </w:p>
        </w:tc>
      </w:tr>
      <w:tr>
        <w:trPr>
          <w:trHeight w:val="734" w:hRule="atLeast"/>
        </w:trPr>
        <w:tc>
          <w:tcPr>
            <w:tcW w:w="3724" w:type="dxa"/>
            <w:tcBorders>
              <w:left w:val="nil"/>
              <w:bottom w:val="nil"/>
            </w:tcBorders>
            <w:shd w:val="clear" w:color="auto" w:fill="EDECF3"/>
          </w:tcPr>
          <w:p>
            <w:pPr>
              <w:pStyle w:val="TableParagraph"/>
              <w:spacing w:line="307" w:lineRule="auto"/>
              <w:ind w:left="67"/>
              <w:rPr>
                <w:sz w:val="21"/>
              </w:rPr>
            </w:pPr>
            <w:r>
              <w:rPr>
                <w:w w:val="105"/>
                <w:sz w:val="21"/>
              </w:rPr>
              <w:t>Antagonista dos canais de cálcio + inibidor da ECA</w:t>
            </w:r>
          </w:p>
        </w:tc>
        <w:tc>
          <w:tcPr>
            <w:tcW w:w="3716" w:type="dxa"/>
            <w:tcBorders>
              <w:bottom w:val="nil"/>
            </w:tcBorders>
            <w:shd w:val="clear" w:color="auto" w:fill="EDECF3"/>
          </w:tcPr>
          <w:p>
            <w:pPr>
              <w:pStyle w:val="TableParagraph"/>
              <w:rPr>
                <w:sz w:val="21"/>
              </w:rPr>
            </w:pPr>
            <w:r>
              <w:rPr>
                <w:w w:val="105"/>
                <w:sz w:val="21"/>
              </w:rPr>
              <w:t>Anlodipino</w:t>
            </w:r>
            <w:r>
              <w:rPr>
                <w:spacing w:val="14"/>
                <w:w w:val="105"/>
                <w:sz w:val="21"/>
              </w:rPr>
              <w:t> </w:t>
            </w:r>
            <w:r>
              <w:rPr>
                <w:w w:val="105"/>
                <w:sz w:val="21"/>
              </w:rPr>
              <w:t>+</w:t>
            </w:r>
            <w:r>
              <w:rPr>
                <w:spacing w:val="9"/>
                <w:w w:val="105"/>
                <w:sz w:val="21"/>
              </w:rPr>
              <w:t> </w:t>
            </w:r>
            <w:r>
              <w:rPr>
                <w:spacing w:val="-2"/>
                <w:w w:val="105"/>
                <w:sz w:val="21"/>
              </w:rPr>
              <w:t>enalapril</w:t>
            </w:r>
          </w:p>
        </w:tc>
        <w:tc>
          <w:tcPr>
            <w:tcW w:w="3163" w:type="dxa"/>
            <w:tcBorders>
              <w:bottom w:val="nil"/>
              <w:right w:val="nil"/>
            </w:tcBorders>
            <w:shd w:val="clear" w:color="auto" w:fill="EDECF3"/>
          </w:tcPr>
          <w:p>
            <w:pPr>
              <w:pStyle w:val="TableParagraph"/>
              <w:rPr>
                <w:sz w:val="21"/>
              </w:rPr>
            </w:pPr>
            <w:r>
              <w:rPr>
                <w:w w:val="105"/>
                <w:sz w:val="21"/>
              </w:rPr>
              <w:t>2,5</w:t>
            </w:r>
            <w:r>
              <w:rPr>
                <w:spacing w:val="14"/>
                <w:w w:val="105"/>
                <w:sz w:val="21"/>
              </w:rPr>
              <w:t> </w:t>
            </w:r>
            <w:r>
              <w:rPr>
                <w:w w:val="105"/>
                <w:sz w:val="21"/>
              </w:rPr>
              <w:t>+</w:t>
            </w:r>
            <w:r>
              <w:rPr>
                <w:spacing w:val="9"/>
                <w:w w:val="105"/>
                <w:sz w:val="21"/>
              </w:rPr>
              <w:t> </w:t>
            </w:r>
            <w:r>
              <w:rPr>
                <w:w w:val="105"/>
                <w:sz w:val="21"/>
              </w:rPr>
              <w:t>10/5</w:t>
            </w:r>
            <w:r>
              <w:rPr>
                <w:spacing w:val="14"/>
                <w:w w:val="105"/>
                <w:sz w:val="21"/>
              </w:rPr>
              <w:t> </w:t>
            </w:r>
            <w:r>
              <w:rPr>
                <w:w w:val="105"/>
                <w:sz w:val="21"/>
              </w:rPr>
              <w:t>+</w:t>
            </w:r>
            <w:r>
              <w:rPr>
                <w:spacing w:val="9"/>
                <w:w w:val="105"/>
                <w:sz w:val="21"/>
              </w:rPr>
              <w:t> </w:t>
            </w:r>
            <w:r>
              <w:rPr>
                <w:w w:val="105"/>
                <w:sz w:val="21"/>
              </w:rPr>
              <w:t>10/5</w:t>
            </w:r>
            <w:r>
              <w:rPr>
                <w:spacing w:val="15"/>
                <w:w w:val="105"/>
                <w:sz w:val="21"/>
              </w:rPr>
              <w:t> </w:t>
            </w:r>
            <w:r>
              <w:rPr>
                <w:w w:val="105"/>
                <w:sz w:val="21"/>
              </w:rPr>
              <w:t>+</w:t>
            </w:r>
            <w:r>
              <w:rPr>
                <w:spacing w:val="8"/>
                <w:w w:val="105"/>
                <w:sz w:val="21"/>
              </w:rPr>
              <w:t> </w:t>
            </w:r>
            <w:r>
              <w:rPr>
                <w:spacing w:val="-7"/>
                <w:w w:val="105"/>
                <w:sz w:val="21"/>
              </w:rPr>
              <w:t>20</w:t>
            </w:r>
          </w:p>
        </w:tc>
      </w:tr>
    </w:tbl>
    <w:p>
      <w:pPr>
        <w:spacing w:before="185"/>
        <w:ind w:left="68" w:right="0" w:firstLine="0"/>
        <w:jc w:val="left"/>
        <w:rPr>
          <w:rFonts w:ascii="Microsoft Sans Serif"/>
          <w:sz w:val="19"/>
        </w:rPr>
      </w:pPr>
      <w:r>
        <w:rPr>
          <w:rFonts w:ascii="Microsoft Sans Serif"/>
          <w:sz w:val="19"/>
        </w:rPr>
        <w:t>ECA</w:t>
      </w:r>
      <w:r>
        <w:rPr>
          <w:rFonts w:ascii="Microsoft Sans Serif"/>
          <w:spacing w:val="9"/>
          <w:sz w:val="19"/>
        </w:rPr>
        <w:t> </w:t>
      </w:r>
      <w:r>
        <w:rPr>
          <w:rFonts w:ascii="Microsoft Sans Serif"/>
          <w:sz w:val="19"/>
        </w:rPr>
        <w:t>=</w:t>
      </w:r>
      <w:r>
        <w:rPr>
          <w:rFonts w:ascii="Microsoft Sans Serif"/>
          <w:spacing w:val="9"/>
          <w:sz w:val="19"/>
        </w:rPr>
        <w:t> </w:t>
      </w:r>
      <w:r>
        <w:rPr>
          <w:rFonts w:ascii="Microsoft Sans Serif"/>
          <w:sz w:val="19"/>
        </w:rPr>
        <w:t>enzima</w:t>
      </w:r>
      <w:r>
        <w:rPr>
          <w:rFonts w:ascii="Microsoft Sans Serif"/>
          <w:spacing w:val="16"/>
          <w:sz w:val="19"/>
        </w:rPr>
        <w:t> </w:t>
      </w:r>
      <w:r>
        <w:rPr>
          <w:rFonts w:ascii="Microsoft Sans Serif"/>
          <w:sz w:val="19"/>
        </w:rPr>
        <w:t>conversora</w:t>
      </w:r>
      <w:r>
        <w:rPr>
          <w:rFonts w:ascii="Microsoft Sans Serif"/>
          <w:spacing w:val="16"/>
          <w:sz w:val="19"/>
        </w:rPr>
        <w:t> </w:t>
      </w:r>
      <w:r>
        <w:rPr>
          <w:rFonts w:ascii="Microsoft Sans Serif"/>
          <w:sz w:val="19"/>
        </w:rPr>
        <w:t>da</w:t>
      </w:r>
      <w:r>
        <w:rPr>
          <w:rFonts w:ascii="Microsoft Sans Serif"/>
          <w:spacing w:val="16"/>
          <w:sz w:val="19"/>
        </w:rPr>
        <w:t> </w:t>
      </w:r>
      <w:r>
        <w:rPr>
          <w:rFonts w:ascii="Microsoft Sans Serif"/>
          <w:spacing w:val="-2"/>
          <w:sz w:val="19"/>
        </w:rPr>
        <w:t>angiotensina.</w:t>
      </w:r>
    </w:p>
    <w:p>
      <w:pPr>
        <w:pStyle w:val="BodyText"/>
        <w:spacing w:before="0"/>
        <w:ind w:left="0" w:firstLine="0"/>
        <w:jc w:val="left"/>
        <w:rPr>
          <w:rFonts w:ascii="Microsoft Sans Serif"/>
          <w:sz w:val="19"/>
        </w:rPr>
      </w:pPr>
    </w:p>
    <w:p>
      <w:pPr>
        <w:pStyle w:val="BodyText"/>
        <w:spacing w:before="53"/>
        <w:ind w:left="0" w:firstLine="0"/>
        <w:jc w:val="left"/>
        <w:rPr>
          <w:rFonts w:ascii="Microsoft Sans Serif"/>
          <w:sz w:val="19"/>
        </w:rPr>
      </w:pPr>
    </w:p>
    <w:p>
      <w:pPr>
        <w:pStyle w:val="Heading4"/>
      </w:pPr>
      <w:r>
        <w:rPr>
          <w:color w:val="242B67"/>
        </w:rPr>
        <w:t>Avaliação</w:t>
      </w:r>
      <w:r>
        <w:rPr>
          <w:color w:val="242B67"/>
          <w:spacing w:val="-2"/>
        </w:rPr>
        <w:t> </w:t>
      </w:r>
      <w:r>
        <w:rPr>
          <w:color w:val="242B67"/>
        </w:rPr>
        <w:t>para pacientes de subgrupos </w:t>
      </w:r>
      <w:r>
        <w:rPr>
          <w:color w:val="242B67"/>
          <w:spacing w:val="-2"/>
        </w:rPr>
        <w:t>específicos</w:t>
      </w:r>
      <w:r>
        <w:rPr>
          <w:color w:val="242B67"/>
          <w:spacing w:val="-2"/>
          <w:vertAlign w:val="superscript"/>
        </w:rPr>
        <w:t>1</w:t>
      </w:r>
    </w:p>
    <w:p>
      <w:pPr>
        <w:pStyle w:val="Heading5"/>
        <w:spacing w:before="193"/>
      </w:pPr>
      <w:r>
        <w:rPr>
          <w:color w:val="A26108"/>
          <w:spacing w:val="-2"/>
        </w:rPr>
        <w:t>Negros</w:t>
      </w:r>
    </w:p>
    <w:p>
      <w:pPr>
        <w:pStyle w:val="BodyText"/>
        <w:spacing w:line="276" w:lineRule="auto" w:before="122"/>
        <w:ind w:right="498"/>
      </w:pPr>
      <w:r>
        <w:rPr/>
        <w:t>A</w:t>
      </w:r>
      <w:r>
        <w:rPr>
          <w:spacing w:val="-3"/>
        </w:rPr>
        <w:t> </w:t>
      </w:r>
      <w:r>
        <w:rPr/>
        <w:t>prevalência</w:t>
      </w:r>
      <w:r>
        <w:rPr>
          <w:spacing w:val="-3"/>
        </w:rPr>
        <w:t> </w:t>
      </w:r>
      <w:r>
        <w:rPr/>
        <w:t>e</w:t>
      </w:r>
      <w:r>
        <w:rPr>
          <w:spacing w:val="-3"/>
        </w:rPr>
        <w:t> </w:t>
      </w:r>
      <w:r>
        <w:rPr/>
        <w:t>a</w:t>
      </w:r>
      <w:r>
        <w:rPr>
          <w:spacing w:val="-3"/>
        </w:rPr>
        <w:t> </w:t>
      </w:r>
      <w:r>
        <w:rPr/>
        <w:t>gravidade</w:t>
      </w:r>
      <w:r>
        <w:rPr>
          <w:spacing w:val="-3"/>
        </w:rPr>
        <w:t> </w:t>
      </w:r>
      <w:r>
        <w:rPr/>
        <w:t>da</w:t>
      </w:r>
      <w:r>
        <w:rPr>
          <w:spacing w:val="-3"/>
        </w:rPr>
        <w:t> </w:t>
      </w:r>
      <w:r>
        <w:rPr/>
        <w:t>hipertensão</w:t>
      </w:r>
      <w:r>
        <w:rPr>
          <w:spacing w:val="-1"/>
        </w:rPr>
        <w:t> </w:t>
      </w:r>
      <w:r>
        <w:rPr/>
        <w:t>são</w:t>
      </w:r>
      <w:r>
        <w:rPr>
          <w:spacing w:val="-1"/>
        </w:rPr>
        <w:t> </w:t>
      </w:r>
      <w:r>
        <w:rPr/>
        <w:t>maiores em</w:t>
      </w:r>
      <w:r>
        <w:rPr>
          <w:spacing w:val="-1"/>
        </w:rPr>
        <w:t> </w:t>
      </w:r>
      <w:r>
        <w:rPr/>
        <w:t>negros, o</w:t>
      </w:r>
      <w:r>
        <w:rPr>
          <w:spacing w:val="-1"/>
        </w:rPr>
        <w:t> </w:t>
      </w:r>
      <w:r>
        <w:rPr/>
        <w:t>que</w:t>
      </w:r>
      <w:r>
        <w:rPr>
          <w:spacing w:val="-3"/>
        </w:rPr>
        <w:t> </w:t>
      </w:r>
      <w:r>
        <w:rPr/>
        <w:t>pode</w:t>
      </w:r>
      <w:r>
        <w:rPr>
          <w:spacing w:val="-3"/>
        </w:rPr>
        <w:t> </w:t>
      </w:r>
      <w:r>
        <w:rPr/>
        <w:t>estar associado</w:t>
      </w:r>
      <w:r>
        <w:rPr>
          <w:spacing w:val="-1"/>
        </w:rPr>
        <w:t> </w:t>
      </w:r>
      <w:r>
        <w:rPr/>
        <w:t>a</w:t>
      </w:r>
      <w:r>
        <w:rPr>
          <w:spacing w:val="-3"/>
        </w:rPr>
        <w:t> </w:t>
      </w:r>
      <w:r>
        <w:rPr/>
        <w:t>fatores étnicos e socioeconômicos. Eles apresentam maior acometimento renal, mesmo com o tratamento efetivo da pressão arterial. O mecanismo predominante de hipertensão parece ser o de excesso de volume, com alta prevalência de pacientes com</w:t>
      </w:r>
      <w:r>
        <w:rPr>
          <w:spacing w:val="-2"/>
        </w:rPr>
        <w:t> </w:t>
      </w:r>
      <w:r>
        <w:rPr/>
        <w:t>níveis baixos de</w:t>
      </w:r>
      <w:r>
        <w:rPr>
          <w:spacing w:val="-4"/>
        </w:rPr>
        <w:t> </w:t>
      </w:r>
      <w:r>
        <w:rPr/>
        <w:t>renina</w:t>
      </w:r>
      <w:r>
        <w:rPr>
          <w:spacing w:val="-4"/>
        </w:rPr>
        <w:t> </w:t>
      </w:r>
      <w:r>
        <w:rPr/>
        <w:t>e</w:t>
      </w:r>
      <w:r>
        <w:rPr>
          <w:spacing w:val="-4"/>
        </w:rPr>
        <w:t> </w:t>
      </w:r>
      <w:r>
        <w:rPr/>
        <w:t>uma</w:t>
      </w:r>
      <w:r>
        <w:rPr>
          <w:spacing w:val="-4"/>
        </w:rPr>
        <w:t> </w:t>
      </w:r>
      <w:r>
        <w:rPr/>
        <w:t>excelente</w:t>
      </w:r>
      <w:r>
        <w:rPr>
          <w:spacing w:val="-4"/>
        </w:rPr>
        <w:t> </w:t>
      </w:r>
      <w:r>
        <w:rPr/>
        <w:t>resposta</w:t>
      </w:r>
      <w:r>
        <w:rPr>
          <w:spacing w:val="-4"/>
        </w:rPr>
        <w:t> </w:t>
      </w:r>
      <w:r>
        <w:rPr/>
        <w:t>aos diuréticos. Entretanto, não</w:t>
      </w:r>
      <w:r>
        <w:rPr>
          <w:spacing w:val="-2"/>
        </w:rPr>
        <w:t> </w:t>
      </w:r>
      <w:r>
        <w:rPr/>
        <w:t>há</w:t>
      </w:r>
      <w:r>
        <w:rPr>
          <w:spacing w:val="-4"/>
        </w:rPr>
        <w:t> </w:t>
      </w:r>
      <w:r>
        <w:rPr/>
        <w:t>evidências claras de ação diferenciada dos anti-hipertensivos em nossa população.</w:t>
      </w:r>
    </w:p>
    <w:p>
      <w:pPr>
        <w:pStyle w:val="BodyText"/>
        <w:spacing w:before="134"/>
        <w:ind w:left="0" w:firstLine="0"/>
        <w:jc w:val="left"/>
      </w:pPr>
    </w:p>
    <w:p>
      <w:pPr>
        <w:pStyle w:val="Heading5"/>
      </w:pPr>
      <w:r>
        <w:rPr>
          <w:color w:val="A26108"/>
          <w:spacing w:val="-2"/>
        </w:rPr>
        <w:t>Idosos</w:t>
      </w:r>
    </w:p>
    <w:p>
      <w:pPr>
        <w:pStyle w:val="BodyText"/>
        <w:spacing w:line="276" w:lineRule="auto" w:before="139"/>
        <w:ind w:right="487"/>
      </w:pPr>
      <w:r>
        <w:rPr/>
        <w:t>Estima-se que 65% dos idosos brasileiros sejam hipertensos. A maioria apresenta pressão arterial sistólica isolada com consequente aumento da pressão de pulso. Para o tratamento desse grupo, além da estratificação de risco, é</w:t>
      </w:r>
      <w:r>
        <w:rPr>
          <w:spacing w:val="-9"/>
        </w:rPr>
        <w:t> </w:t>
      </w:r>
      <w:r>
        <w:rPr/>
        <w:t>fundamental</w:t>
      </w:r>
      <w:r>
        <w:rPr>
          <w:spacing w:val="-5"/>
        </w:rPr>
        <w:t> </w:t>
      </w:r>
      <w:r>
        <w:rPr/>
        <w:t>a</w:t>
      </w:r>
      <w:r>
        <w:rPr>
          <w:spacing w:val="-9"/>
        </w:rPr>
        <w:t> </w:t>
      </w:r>
      <w:r>
        <w:rPr/>
        <w:t>avaliação</w:t>
      </w:r>
      <w:r>
        <w:rPr>
          <w:spacing w:val="-7"/>
        </w:rPr>
        <w:t> </w:t>
      </w:r>
      <w:r>
        <w:rPr/>
        <w:t>de</w:t>
      </w:r>
      <w:r>
        <w:rPr>
          <w:spacing w:val="-9"/>
        </w:rPr>
        <w:t> </w:t>
      </w:r>
      <w:r>
        <w:rPr/>
        <w:t>comorbidades e</w:t>
      </w:r>
      <w:r>
        <w:rPr>
          <w:spacing w:val="-9"/>
        </w:rPr>
        <w:t> </w:t>
      </w:r>
      <w:r>
        <w:rPr/>
        <w:t>do</w:t>
      </w:r>
      <w:r>
        <w:rPr>
          <w:spacing w:val="-7"/>
        </w:rPr>
        <w:t> </w:t>
      </w:r>
      <w:r>
        <w:rPr/>
        <w:t>uso</w:t>
      </w:r>
      <w:r>
        <w:rPr>
          <w:spacing w:val="-7"/>
        </w:rPr>
        <w:t> </w:t>
      </w:r>
      <w:r>
        <w:rPr/>
        <w:t>de</w:t>
      </w:r>
      <w:r>
        <w:rPr>
          <w:spacing w:val="-9"/>
        </w:rPr>
        <w:t> </w:t>
      </w:r>
      <w:r>
        <w:rPr/>
        <w:t>medicamentos. As recomendações de</w:t>
      </w:r>
      <w:r>
        <w:rPr>
          <w:spacing w:val="-9"/>
        </w:rPr>
        <w:t> </w:t>
      </w:r>
      <w:r>
        <w:rPr/>
        <w:t>tratamento</w:t>
      </w:r>
      <w:r>
        <w:rPr>
          <w:spacing w:val="-7"/>
        </w:rPr>
        <w:t> </w:t>
      </w:r>
      <w:r>
        <w:rPr/>
        <w:t>para os indivíduos idosos, englobando aqueles com hipertensão sistólica isolada, seguem os mesmos princípios gerais, ou seja, obtendo a redução gradual da pressão arterial para valores abaixo de 140/90 mmHg. Em pacientes com valores muito elevados de pressão sistólica, podem ser mantidos inicialmente níveis de até 160 mmHg. No idoso, dois achados refletem as mudanças do sistema</w:t>
      </w:r>
      <w:r>
        <w:rPr>
          <w:spacing w:val="-3"/>
        </w:rPr>
        <w:t> </w:t>
      </w:r>
      <w:r>
        <w:rPr/>
        <w:t>cardiovascular induzidas pela</w:t>
      </w:r>
      <w:r>
        <w:rPr>
          <w:spacing w:val="-3"/>
        </w:rPr>
        <w:t> </w:t>
      </w:r>
      <w:r>
        <w:rPr/>
        <w:t>idade:</w:t>
      </w:r>
    </w:p>
    <w:p>
      <w:pPr>
        <w:pStyle w:val="ListParagraph"/>
        <w:numPr>
          <w:ilvl w:val="0"/>
          <w:numId w:val="25"/>
        </w:numPr>
        <w:tabs>
          <w:tab w:pos="432" w:val="left" w:leader="none"/>
        </w:tabs>
        <w:spacing w:line="276" w:lineRule="auto" w:before="161" w:after="0"/>
        <w:ind w:left="68" w:right="497" w:firstLine="0"/>
        <w:jc w:val="both"/>
        <w:rPr>
          <w:sz w:val="23"/>
        </w:rPr>
      </w:pPr>
      <w:r>
        <w:rPr>
          <w:sz w:val="23"/>
        </w:rPr>
        <w:t>Pseudo-hipertensão, em que a rigidez arterial proporcionada pela aterosclerose impede o colapso da artéria, quando é realizada a insuflação do manguito, resultando na necessidade de pressões maiores para sua oclusão superior ao que realmente se esperaria dentro dos vasos. Nesses casos, uma terapia agressiva poderia levar à hipotensão iatrogênica. Em casos de suspeita de pseudo-hipertensão, pode-se confirmar o diagnóstico pela comparação da medida obtida pelo manguito com a medida intra-arterial</w:t>
      </w:r>
    </w:p>
    <w:p>
      <w:pPr>
        <w:pStyle w:val="ListParagraph"/>
        <w:numPr>
          <w:ilvl w:val="0"/>
          <w:numId w:val="25"/>
        </w:numPr>
        <w:tabs>
          <w:tab w:pos="403" w:val="left" w:leader="none"/>
        </w:tabs>
        <w:spacing w:line="276" w:lineRule="auto" w:before="33" w:after="0"/>
        <w:ind w:left="68" w:right="489" w:firstLine="0"/>
        <w:jc w:val="both"/>
        <w:rPr>
          <w:sz w:val="23"/>
        </w:rPr>
      </w:pPr>
      <w:r>
        <w:rPr>
          <w:sz w:val="23"/>
        </w:rPr>
        <w:t>Hipotensão postural ou pós-prandial, observada em 20 a 30% dos idosos. Em geral, reflete a perda progressiva do</w:t>
      </w:r>
      <w:r>
        <w:rPr>
          <w:spacing w:val="-1"/>
          <w:sz w:val="23"/>
        </w:rPr>
        <w:t> </w:t>
      </w:r>
      <w:r>
        <w:rPr>
          <w:sz w:val="23"/>
        </w:rPr>
        <w:t>barorreflexo</w:t>
      </w:r>
      <w:r>
        <w:rPr>
          <w:spacing w:val="-1"/>
          <w:sz w:val="23"/>
        </w:rPr>
        <w:t> </w:t>
      </w:r>
      <w:r>
        <w:rPr>
          <w:sz w:val="23"/>
        </w:rPr>
        <w:t>com</w:t>
      </w:r>
      <w:r>
        <w:rPr>
          <w:spacing w:val="-1"/>
          <w:sz w:val="23"/>
        </w:rPr>
        <w:t> </w:t>
      </w:r>
      <w:r>
        <w:rPr>
          <w:sz w:val="23"/>
        </w:rPr>
        <w:t>a</w:t>
      </w:r>
      <w:r>
        <w:rPr>
          <w:spacing w:val="-4"/>
          <w:sz w:val="23"/>
        </w:rPr>
        <w:t> </w:t>
      </w:r>
      <w:r>
        <w:rPr>
          <w:sz w:val="23"/>
        </w:rPr>
        <w:t>idade. É recomendável que</w:t>
      </w:r>
      <w:r>
        <w:rPr>
          <w:spacing w:val="-4"/>
          <w:sz w:val="23"/>
        </w:rPr>
        <w:t> </w:t>
      </w:r>
      <w:r>
        <w:rPr>
          <w:sz w:val="23"/>
        </w:rPr>
        <w:t>a</w:t>
      </w:r>
      <w:r>
        <w:rPr>
          <w:spacing w:val="-4"/>
          <w:sz w:val="23"/>
        </w:rPr>
        <w:t> </w:t>
      </w:r>
      <w:r>
        <w:rPr>
          <w:sz w:val="23"/>
        </w:rPr>
        <w:t>medida</w:t>
      </w:r>
      <w:r>
        <w:rPr>
          <w:spacing w:val="-4"/>
          <w:sz w:val="23"/>
        </w:rPr>
        <w:t> </w:t>
      </w:r>
      <w:r>
        <w:rPr>
          <w:sz w:val="23"/>
        </w:rPr>
        <w:t>da</w:t>
      </w:r>
      <w:r>
        <w:rPr>
          <w:spacing w:val="-4"/>
          <w:sz w:val="23"/>
        </w:rPr>
        <w:t> </w:t>
      </w:r>
      <w:r>
        <w:rPr>
          <w:sz w:val="23"/>
        </w:rPr>
        <w:t>pressão</w:t>
      </w:r>
      <w:r>
        <w:rPr>
          <w:spacing w:val="-1"/>
          <w:sz w:val="23"/>
        </w:rPr>
        <w:t> </w:t>
      </w:r>
      <w:r>
        <w:rPr>
          <w:sz w:val="23"/>
        </w:rPr>
        <w:t>arterial em</w:t>
      </w:r>
      <w:r>
        <w:rPr>
          <w:spacing w:val="-1"/>
          <w:sz w:val="23"/>
        </w:rPr>
        <w:t> </w:t>
      </w:r>
      <w:r>
        <w:rPr>
          <w:sz w:val="23"/>
        </w:rPr>
        <w:t>posição</w:t>
      </w:r>
      <w:r>
        <w:rPr>
          <w:spacing w:val="-1"/>
          <w:sz w:val="23"/>
        </w:rPr>
        <w:t> </w:t>
      </w:r>
      <w:r>
        <w:rPr>
          <w:sz w:val="23"/>
        </w:rPr>
        <w:t>supina</w:t>
      </w:r>
      <w:r>
        <w:rPr>
          <w:spacing w:val="-4"/>
          <w:sz w:val="23"/>
        </w:rPr>
        <w:t> </w:t>
      </w:r>
      <w:r>
        <w:rPr>
          <w:sz w:val="23"/>
        </w:rPr>
        <w:t>seja</w:t>
      </w:r>
      <w:r>
        <w:rPr>
          <w:spacing w:val="-4"/>
          <w:sz w:val="23"/>
        </w:rPr>
        <w:t> </w:t>
      </w:r>
      <w:r>
        <w:rPr>
          <w:sz w:val="23"/>
        </w:rPr>
        <w:t>realizada</w:t>
      </w:r>
      <w:r>
        <w:rPr>
          <w:spacing w:val="-4"/>
          <w:sz w:val="23"/>
        </w:rPr>
        <w:t> </w:t>
      </w:r>
      <w:r>
        <w:rPr>
          <w:sz w:val="23"/>
        </w:rPr>
        <w:t>em todos os pacientes com mais de 65 anos.</w:t>
      </w:r>
    </w:p>
    <w:p>
      <w:pPr>
        <w:pStyle w:val="BodyText"/>
        <w:spacing w:before="133"/>
        <w:ind w:left="0" w:firstLine="0"/>
        <w:jc w:val="left"/>
      </w:pPr>
    </w:p>
    <w:p>
      <w:pPr>
        <w:pStyle w:val="Heading5"/>
      </w:pPr>
      <w:r>
        <w:rPr>
          <w:color w:val="A26108"/>
        </w:rPr>
        <w:t>Obesidade</w:t>
      </w:r>
      <w:r>
        <w:rPr>
          <w:color w:val="A26108"/>
          <w:spacing w:val="22"/>
        </w:rPr>
        <w:t> </w:t>
      </w:r>
      <w:r>
        <w:rPr>
          <w:color w:val="A26108"/>
        </w:rPr>
        <w:t>e</w:t>
      </w:r>
      <w:r>
        <w:rPr>
          <w:color w:val="A26108"/>
          <w:spacing w:val="22"/>
        </w:rPr>
        <w:t> </w:t>
      </w:r>
      <w:r>
        <w:rPr>
          <w:color w:val="A26108"/>
        </w:rPr>
        <w:t>síndrome</w:t>
      </w:r>
      <w:r>
        <w:rPr>
          <w:color w:val="A26108"/>
          <w:spacing w:val="23"/>
        </w:rPr>
        <w:t> </w:t>
      </w:r>
      <w:r>
        <w:rPr>
          <w:color w:val="A26108"/>
          <w:spacing w:val="-2"/>
        </w:rPr>
        <w:t>metabólica</w:t>
      </w:r>
    </w:p>
    <w:p>
      <w:pPr>
        <w:pStyle w:val="BodyText"/>
        <w:spacing w:line="280" w:lineRule="auto" w:before="139"/>
        <w:ind w:right="491"/>
      </w:pPr>
      <w:r>
        <w:rPr/>
        <w:t>A obesidade (índice de massa corpórea &gt; 30 kg/m</w:t>
      </w:r>
      <w:r>
        <w:rPr>
          <w:vertAlign w:val="superscript"/>
        </w:rPr>
        <w:t>2</w:t>
      </w:r>
      <w:r>
        <w:rPr>
          <w:vertAlign w:val="baseline"/>
        </w:rPr>
        <w:t>) é um conhecido e prevalente fator de risco para o surgimento da hipertensão e da doença cardiovascular. O National Cholesterol Evaluation Program/Adult Panel Treatment III (NCEP/ATP III)</w:t>
      </w:r>
      <w:r>
        <w:rPr>
          <w:vertAlign w:val="superscript"/>
        </w:rPr>
        <w:t>36</w:t>
      </w:r>
      <w:r>
        <w:rPr>
          <w:vertAlign w:val="baseline"/>
        </w:rPr>
        <w:t> considera</w:t>
      </w:r>
      <w:r>
        <w:rPr>
          <w:spacing w:val="-1"/>
          <w:vertAlign w:val="baseline"/>
        </w:rPr>
        <w:t> </w:t>
      </w:r>
      <w:r>
        <w:rPr>
          <w:vertAlign w:val="baseline"/>
        </w:rPr>
        <w:t>como portador de</w:t>
      </w:r>
      <w:r>
        <w:rPr>
          <w:spacing w:val="-1"/>
          <w:vertAlign w:val="baseline"/>
        </w:rPr>
        <w:t> </w:t>
      </w:r>
      <w:r>
        <w:rPr>
          <w:vertAlign w:val="baseline"/>
        </w:rPr>
        <w:t>síndrome</w:t>
      </w:r>
      <w:r>
        <w:rPr>
          <w:spacing w:val="-1"/>
          <w:vertAlign w:val="baseline"/>
        </w:rPr>
        <w:t> </w:t>
      </w:r>
      <w:r>
        <w:rPr>
          <w:vertAlign w:val="baseline"/>
        </w:rPr>
        <w:t>metabólica</w:t>
      </w:r>
      <w:r>
        <w:rPr>
          <w:spacing w:val="-1"/>
          <w:vertAlign w:val="baseline"/>
        </w:rPr>
        <w:t> </w:t>
      </w:r>
      <w:r>
        <w:rPr>
          <w:vertAlign w:val="baseline"/>
        </w:rPr>
        <w:t>o paciente</w:t>
      </w:r>
      <w:r>
        <w:rPr>
          <w:spacing w:val="-1"/>
          <w:vertAlign w:val="baseline"/>
        </w:rPr>
        <w:t> </w:t>
      </w:r>
      <w:r>
        <w:rPr>
          <w:vertAlign w:val="baseline"/>
        </w:rPr>
        <w:t>que</w:t>
      </w:r>
      <w:r>
        <w:rPr>
          <w:spacing w:val="-1"/>
          <w:vertAlign w:val="baseline"/>
        </w:rPr>
        <w:t> </w:t>
      </w:r>
      <w:r>
        <w:rPr>
          <w:vertAlign w:val="baseline"/>
        </w:rPr>
        <w:t>apresenta</w:t>
      </w:r>
      <w:r>
        <w:rPr>
          <w:spacing w:val="-1"/>
          <w:vertAlign w:val="baseline"/>
        </w:rPr>
        <w:t> </w:t>
      </w:r>
      <w:r>
        <w:rPr>
          <w:vertAlign w:val="baseline"/>
        </w:rPr>
        <w:t>três ou mais</w:t>
      </w:r>
      <w:r>
        <w:rPr>
          <w:spacing w:val="31"/>
          <w:vertAlign w:val="baseline"/>
        </w:rPr>
        <w:t> </w:t>
      </w:r>
      <w:r>
        <w:rPr>
          <w:vertAlign w:val="baseline"/>
        </w:rPr>
        <w:t>dos</w:t>
      </w:r>
      <w:r>
        <w:rPr>
          <w:spacing w:val="31"/>
          <w:vertAlign w:val="baseline"/>
        </w:rPr>
        <w:t> </w:t>
      </w:r>
      <w:r>
        <w:rPr>
          <w:vertAlign w:val="baseline"/>
        </w:rPr>
        <w:t>seguintes</w:t>
      </w:r>
      <w:r>
        <w:rPr>
          <w:spacing w:val="31"/>
          <w:vertAlign w:val="baseline"/>
        </w:rPr>
        <w:t> </w:t>
      </w:r>
      <w:r>
        <w:rPr>
          <w:vertAlign w:val="baseline"/>
        </w:rPr>
        <w:t>critérios:</w:t>
      </w:r>
      <w:r>
        <w:rPr>
          <w:spacing w:val="26"/>
          <w:vertAlign w:val="baseline"/>
        </w:rPr>
        <w:t> </w:t>
      </w:r>
      <w:r>
        <w:rPr>
          <w:vertAlign w:val="baseline"/>
        </w:rPr>
        <w:t>obesidade</w:t>
      </w:r>
      <w:r>
        <w:rPr>
          <w:spacing w:val="20"/>
          <w:vertAlign w:val="baseline"/>
        </w:rPr>
        <w:t> </w:t>
      </w:r>
      <w:r>
        <w:rPr>
          <w:vertAlign w:val="baseline"/>
        </w:rPr>
        <w:t>central</w:t>
      </w:r>
      <w:r>
        <w:rPr>
          <w:spacing w:val="26"/>
          <w:vertAlign w:val="baseline"/>
        </w:rPr>
        <w:t> </w:t>
      </w:r>
      <w:r>
        <w:rPr>
          <w:vertAlign w:val="baseline"/>
        </w:rPr>
        <w:t>(circunferência</w:t>
      </w:r>
      <w:r>
        <w:rPr>
          <w:spacing w:val="20"/>
          <w:vertAlign w:val="baseline"/>
        </w:rPr>
        <w:t> </w:t>
      </w:r>
      <w:r>
        <w:rPr>
          <w:vertAlign w:val="baseline"/>
        </w:rPr>
        <w:t>abdominal</w:t>
      </w:r>
      <w:r>
        <w:rPr>
          <w:spacing w:val="26"/>
          <w:vertAlign w:val="baseline"/>
        </w:rPr>
        <w:t> </w:t>
      </w:r>
      <w:r>
        <w:rPr>
          <w:vertAlign w:val="baseline"/>
        </w:rPr>
        <w:t>&gt;</w:t>
      </w:r>
      <w:r>
        <w:rPr>
          <w:spacing w:val="24"/>
          <w:vertAlign w:val="baseline"/>
        </w:rPr>
        <w:t> </w:t>
      </w:r>
      <w:r>
        <w:rPr>
          <w:vertAlign w:val="baseline"/>
        </w:rPr>
        <w:t>102</w:t>
      </w:r>
      <w:r>
        <w:rPr>
          <w:spacing w:val="23"/>
          <w:vertAlign w:val="baseline"/>
        </w:rPr>
        <w:t> </w:t>
      </w:r>
      <w:r>
        <w:rPr>
          <w:vertAlign w:val="baseline"/>
        </w:rPr>
        <w:t>cm</w:t>
      </w:r>
      <w:r>
        <w:rPr>
          <w:spacing w:val="22"/>
          <w:vertAlign w:val="baseline"/>
        </w:rPr>
        <w:t> </w:t>
      </w:r>
      <w:r>
        <w:rPr>
          <w:vertAlign w:val="baseline"/>
        </w:rPr>
        <w:t>nos</w:t>
      </w:r>
      <w:r>
        <w:rPr>
          <w:spacing w:val="31"/>
          <w:vertAlign w:val="baseline"/>
        </w:rPr>
        <w:t> </w:t>
      </w:r>
      <w:r>
        <w:rPr>
          <w:vertAlign w:val="baseline"/>
        </w:rPr>
        <w:t>homens</w:t>
      </w:r>
      <w:r>
        <w:rPr>
          <w:spacing w:val="31"/>
          <w:vertAlign w:val="baseline"/>
        </w:rPr>
        <w:t> </w:t>
      </w:r>
      <w:r>
        <w:rPr>
          <w:vertAlign w:val="baseline"/>
        </w:rPr>
        <w:t>e</w:t>
      </w:r>
      <w:r>
        <w:rPr>
          <w:spacing w:val="20"/>
          <w:vertAlign w:val="baseline"/>
        </w:rPr>
        <w:t> </w:t>
      </w:r>
      <w:r>
        <w:rPr>
          <w:vertAlign w:val="baseline"/>
        </w:rPr>
        <w:t>&gt;</w:t>
      </w:r>
      <w:r>
        <w:rPr>
          <w:spacing w:val="24"/>
          <w:vertAlign w:val="baseline"/>
        </w:rPr>
        <w:t> </w:t>
      </w:r>
      <w:r>
        <w:rPr>
          <w:vertAlign w:val="baseline"/>
        </w:rPr>
        <w:t>88</w:t>
      </w:r>
      <w:r>
        <w:rPr>
          <w:spacing w:val="23"/>
          <w:vertAlign w:val="baseline"/>
        </w:rPr>
        <w:t> </w:t>
      </w:r>
      <w:r>
        <w:rPr>
          <w:vertAlign w:val="baseline"/>
        </w:rPr>
        <w:t>cm</w:t>
      </w:r>
      <w:r>
        <w:rPr>
          <w:spacing w:val="22"/>
          <w:vertAlign w:val="baseline"/>
        </w:rPr>
        <w:t> </w:t>
      </w:r>
      <w:r>
        <w:rPr>
          <w:vertAlign w:val="baseline"/>
        </w:rPr>
        <w:t>nas</w:t>
      </w:r>
    </w:p>
    <w:p>
      <w:pPr>
        <w:pStyle w:val="BodyText"/>
        <w:spacing w:after="0" w:line="280" w:lineRule="auto"/>
        <w:sectPr>
          <w:type w:val="continuous"/>
          <w:pgSz w:w="11900" w:h="16840"/>
          <w:pgMar w:top="260" w:bottom="0" w:left="566" w:right="141"/>
        </w:sectPr>
      </w:pPr>
    </w:p>
    <w:p>
      <w:pPr>
        <w:pStyle w:val="BodyText"/>
        <w:spacing w:line="276" w:lineRule="auto" w:before="61"/>
        <w:ind w:right="497" w:firstLine="0"/>
      </w:pPr>
      <w:r>
        <w:rPr/>
        <w:t>mulheres), glicemia de jejum alterada (&gt; 110 mg/d</w:t>
      </w:r>
      <w:r>
        <w:rPr>
          <w:i/>
        </w:rPr>
        <w:t>ℓ</w:t>
      </w:r>
      <w:r>
        <w:rPr/>
        <w:t>), pressão arterial &gt; 130/85 mmHg, triglicerídios elevados (&gt; 150</w:t>
      </w:r>
      <w:r>
        <w:rPr>
          <w:spacing w:val="-1"/>
        </w:rPr>
        <w:t> </w:t>
      </w:r>
      <w:r>
        <w:rPr/>
        <w:t>mg/d</w:t>
      </w:r>
      <w:r>
        <w:rPr>
          <w:i/>
        </w:rPr>
        <w:t>ℓ</w:t>
      </w:r>
      <w:r>
        <w:rPr/>
        <w:t>) ou HDL-colesterol baixo (&lt; 40 mg/d</w:t>
      </w:r>
      <w:r>
        <w:rPr>
          <w:i/>
        </w:rPr>
        <w:t>ℓ </w:t>
      </w:r>
      <w:r>
        <w:rPr/>
        <w:t>nos homens, &lt; 50 mg/d</w:t>
      </w:r>
      <w:r>
        <w:rPr>
          <w:i/>
        </w:rPr>
        <w:t>ℓ </w:t>
      </w:r>
      <w:r>
        <w:rPr/>
        <w:t>nas mulheres). Deve-se dar ênfase à redução do excesso de peso, à prática de atividade física regular e à restrição de sal para se obter o controle pressórico, além de essas ações atuarem favoravelmente sobre a tolerância à glicose e o perfil lipídico nesses pacientes. Os inibidores da enzima conversora da angiotensina são benéficos para o obeso, pois aumentam a sensibilidade à insulina. Os bloqueadores dos canais de cálcio demonstram neutralidade sobre os metabolismos lipídico e glicídico. Na síndrome metabólica, a terapia medicamentosa apropriada deve ser instituída para cada componente da síndrome.</w:t>
      </w:r>
    </w:p>
    <w:p>
      <w:pPr>
        <w:pStyle w:val="BodyText"/>
        <w:spacing w:before="140"/>
        <w:ind w:left="0" w:firstLine="0"/>
        <w:jc w:val="left"/>
      </w:pPr>
    </w:p>
    <w:p>
      <w:pPr>
        <w:pStyle w:val="Heading5"/>
        <w:spacing w:before="1"/>
      </w:pPr>
      <w:r>
        <w:rPr>
          <w:color w:val="A26108"/>
          <w:spacing w:val="-2"/>
        </w:rPr>
        <w:t>Gravidez</w:t>
      </w:r>
    </w:p>
    <w:p>
      <w:pPr>
        <w:pStyle w:val="BodyText"/>
        <w:spacing w:line="278" w:lineRule="auto" w:before="138"/>
        <w:ind w:right="488"/>
      </w:pPr>
      <w:r>
        <w:rPr/>
        <mc:AlternateContent>
          <mc:Choice Requires="wps">
            <w:drawing>
              <wp:anchor distT="0" distB="0" distL="0" distR="0" allowOverlap="1" layoutInCell="1" locked="0" behindDoc="0" simplePos="0" relativeHeight="15747584">
                <wp:simplePos x="0" y="0"/>
                <wp:positionH relativeFrom="page">
                  <wp:posOffset>5711953</wp:posOffset>
                </wp:positionH>
                <wp:positionV relativeFrom="paragraph">
                  <wp:posOffset>569809</wp:posOffset>
                </wp:positionV>
                <wp:extent cx="41275" cy="1079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1275" cy="10795"/>
                        </a:xfrm>
                        <a:custGeom>
                          <a:avLst/>
                          <a:gdLst/>
                          <a:ahLst/>
                          <a:cxnLst/>
                          <a:rect l="l" t="t" r="r" b="b"/>
                          <a:pathLst>
                            <a:path w="41275" h="10795">
                              <a:moveTo>
                                <a:pt x="40680" y="10170"/>
                              </a:moveTo>
                              <a:lnTo>
                                <a:pt x="0" y="10170"/>
                              </a:lnTo>
                              <a:lnTo>
                                <a:pt x="0" y="0"/>
                              </a:lnTo>
                              <a:lnTo>
                                <a:pt x="40680" y="0"/>
                              </a:lnTo>
                              <a:lnTo>
                                <a:pt x="40680" y="101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9.760132pt;margin-top:44.86692pt;width:3.2032pt;height:.8008pt;mso-position-horizontal-relative:page;mso-position-vertical-relative:paragraph;z-index:15747584" id="docshape32" filled="true" fillcolor="#000000" stroked="false">
                <v:fill type="solid"/>
                <w10:wrap type="none"/>
              </v:rect>
            </w:pict>
          </mc:Fallback>
        </mc:AlternateContent>
      </w:r>
      <w:r>
        <w:rPr/>
        <w:t>Dois tipos de hipertensão podem complicar a gravidez, a chamada hipertensão preexistente (crônica) e a hipertensão induzida</w:t>
      </w:r>
      <w:r>
        <w:rPr>
          <w:spacing w:val="-2"/>
        </w:rPr>
        <w:t> </w:t>
      </w:r>
      <w:r>
        <w:rPr/>
        <w:t>pela</w:t>
      </w:r>
      <w:r>
        <w:rPr>
          <w:spacing w:val="-2"/>
        </w:rPr>
        <w:t> </w:t>
      </w:r>
      <w:r>
        <w:rPr/>
        <w:t>gravidez</w:t>
      </w:r>
      <w:r>
        <w:rPr>
          <w:spacing w:val="-2"/>
        </w:rPr>
        <w:t> </w:t>
      </w:r>
      <w:r>
        <w:rPr/>
        <w:t>(pré-eclâmpsia/eclâmpsia), que</w:t>
      </w:r>
      <w:r>
        <w:rPr>
          <w:spacing w:val="-2"/>
        </w:rPr>
        <w:t> </w:t>
      </w:r>
      <w:r>
        <w:rPr/>
        <w:t>se</w:t>
      </w:r>
      <w:r>
        <w:rPr>
          <w:spacing w:val="-2"/>
        </w:rPr>
        <w:t> </w:t>
      </w:r>
      <w:r>
        <w:rPr/>
        <w:t>apresentam de</w:t>
      </w:r>
      <w:r>
        <w:rPr>
          <w:spacing w:val="-2"/>
        </w:rPr>
        <w:t> </w:t>
      </w:r>
      <w:r>
        <w:rPr/>
        <w:t>modo isolado ou associado. A hipertensão preexistente (crônica) ocorre antes da gravidez ou é diagnosticada antes da 20</w:t>
      </w:r>
      <w:r>
        <w:rPr>
          <w:vertAlign w:val="superscript"/>
        </w:rPr>
        <w:t>a</w:t>
      </w:r>
      <w:r>
        <w:rPr>
          <w:vertAlign w:val="baseline"/>
        </w:rPr>
        <w:t> semana de gestação. A alfametildopa</w:t>
      </w:r>
      <w:r>
        <w:rPr>
          <w:spacing w:val="-7"/>
          <w:vertAlign w:val="baseline"/>
        </w:rPr>
        <w:t> </w:t>
      </w:r>
      <w:r>
        <w:rPr>
          <w:vertAlign w:val="baseline"/>
        </w:rPr>
        <w:t>é</w:t>
      </w:r>
      <w:r>
        <w:rPr>
          <w:spacing w:val="-7"/>
          <w:vertAlign w:val="baseline"/>
        </w:rPr>
        <w:t> </w:t>
      </w:r>
      <w:r>
        <w:rPr>
          <w:vertAlign w:val="baseline"/>
        </w:rPr>
        <w:t>o</w:t>
      </w:r>
      <w:r>
        <w:rPr>
          <w:spacing w:val="-4"/>
          <w:vertAlign w:val="baseline"/>
        </w:rPr>
        <w:t> </w:t>
      </w:r>
      <w:r>
        <w:rPr>
          <w:vertAlign w:val="baseline"/>
        </w:rPr>
        <w:t>fármaco</w:t>
      </w:r>
      <w:r>
        <w:rPr>
          <w:spacing w:val="-4"/>
          <w:vertAlign w:val="baseline"/>
        </w:rPr>
        <w:t> </w:t>
      </w:r>
      <w:r>
        <w:rPr>
          <w:vertAlign w:val="baseline"/>
        </w:rPr>
        <w:t>preferido, por ser o</w:t>
      </w:r>
      <w:r>
        <w:rPr>
          <w:spacing w:val="-4"/>
          <w:vertAlign w:val="baseline"/>
        </w:rPr>
        <w:t> </w:t>
      </w:r>
      <w:r>
        <w:rPr>
          <w:vertAlign w:val="baseline"/>
        </w:rPr>
        <w:t>mais bem</w:t>
      </w:r>
      <w:r>
        <w:rPr>
          <w:spacing w:val="-4"/>
          <w:vertAlign w:val="baseline"/>
        </w:rPr>
        <w:t> </w:t>
      </w:r>
      <w:r>
        <w:rPr>
          <w:vertAlign w:val="baseline"/>
        </w:rPr>
        <w:t>estudado</w:t>
      </w:r>
      <w:r>
        <w:rPr>
          <w:spacing w:val="-4"/>
          <w:vertAlign w:val="baseline"/>
        </w:rPr>
        <w:t> </w:t>
      </w:r>
      <w:r>
        <w:rPr>
          <w:vertAlign w:val="baseline"/>
        </w:rPr>
        <w:t>e</w:t>
      </w:r>
      <w:r>
        <w:rPr>
          <w:spacing w:val="-7"/>
          <w:vertAlign w:val="baseline"/>
        </w:rPr>
        <w:t> </w:t>
      </w:r>
      <w:r>
        <w:rPr>
          <w:vertAlign w:val="baseline"/>
        </w:rPr>
        <w:t>não</w:t>
      </w:r>
      <w:r>
        <w:rPr>
          <w:spacing w:val="-4"/>
          <w:vertAlign w:val="baseline"/>
        </w:rPr>
        <w:t> </w:t>
      </w:r>
      <w:r>
        <w:rPr>
          <w:vertAlign w:val="baseline"/>
        </w:rPr>
        <w:t>haver evidência</w:t>
      </w:r>
      <w:r>
        <w:rPr>
          <w:spacing w:val="-7"/>
          <w:vertAlign w:val="baseline"/>
        </w:rPr>
        <w:t> </w:t>
      </w:r>
      <w:r>
        <w:rPr>
          <w:vertAlign w:val="baseline"/>
        </w:rPr>
        <w:t>de</w:t>
      </w:r>
      <w:r>
        <w:rPr>
          <w:spacing w:val="-7"/>
          <w:vertAlign w:val="baseline"/>
        </w:rPr>
        <w:t> </w:t>
      </w:r>
      <w:r>
        <w:rPr>
          <w:vertAlign w:val="baseline"/>
        </w:rPr>
        <w:t>efeitos deletérios para</w:t>
      </w:r>
      <w:r>
        <w:rPr>
          <w:spacing w:val="-7"/>
          <w:vertAlign w:val="baseline"/>
        </w:rPr>
        <w:t> </w:t>
      </w:r>
      <w:r>
        <w:rPr>
          <w:vertAlign w:val="baseline"/>
        </w:rPr>
        <w:t>o feto. Opções alternativas englobam os betabloqueadores (podem estar associados a crescimento fetal restrito), outros bloqueadores adrenérgicos, bloqueadores dos canais de cálcio e diuréticos. Não usar inibidores da enzima conversora de angiotensina e os antagonistas do receptor AT1 da angiotensina II. Na pré-eclâmpsia/eclâmpsia ocorre</w:t>
      </w:r>
      <w:r>
        <w:rPr>
          <w:spacing w:val="-2"/>
          <w:vertAlign w:val="baseline"/>
        </w:rPr>
        <w:t> </w:t>
      </w:r>
      <w:r>
        <w:rPr>
          <w:vertAlign w:val="baseline"/>
        </w:rPr>
        <w:t>o desenvolvimento gradual de</w:t>
      </w:r>
      <w:r>
        <w:rPr>
          <w:spacing w:val="-2"/>
          <w:vertAlign w:val="baseline"/>
        </w:rPr>
        <w:t> </w:t>
      </w:r>
      <w:r>
        <w:rPr>
          <w:vertAlign w:val="baseline"/>
        </w:rPr>
        <w:t>hipertensão e</w:t>
      </w:r>
      <w:r>
        <w:rPr>
          <w:spacing w:val="-2"/>
          <w:vertAlign w:val="baseline"/>
        </w:rPr>
        <w:t> </w:t>
      </w:r>
      <w:r>
        <w:rPr>
          <w:vertAlign w:val="baseline"/>
        </w:rPr>
        <w:t>proteinúria. A</w:t>
      </w:r>
      <w:r>
        <w:rPr>
          <w:spacing w:val="-2"/>
          <w:vertAlign w:val="baseline"/>
        </w:rPr>
        <w:t> </w:t>
      </w:r>
      <w:r>
        <w:rPr>
          <w:vertAlign w:val="baseline"/>
        </w:rPr>
        <w:t>interrupção da</w:t>
      </w:r>
      <w:r>
        <w:rPr>
          <w:spacing w:val="-2"/>
          <w:vertAlign w:val="baseline"/>
        </w:rPr>
        <w:t> </w:t>
      </w:r>
      <w:r>
        <w:rPr>
          <w:vertAlign w:val="baseline"/>
        </w:rPr>
        <w:t>gestação é</w:t>
      </w:r>
      <w:r>
        <w:rPr>
          <w:spacing w:val="-2"/>
          <w:vertAlign w:val="baseline"/>
        </w:rPr>
        <w:t> </w:t>
      </w:r>
      <w:r>
        <w:rPr>
          <w:vertAlign w:val="baseline"/>
        </w:rPr>
        <w:t>o tratamento definitivo da</w:t>
      </w:r>
      <w:r>
        <w:rPr>
          <w:spacing w:val="-6"/>
          <w:vertAlign w:val="baseline"/>
        </w:rPr>
        <w:t> </w:t>
      </w:r>
      <w:r>
        <w:rPr>
          <w:vertAlign w:val="baseline"/>
        </w:rPr>
        <w:t>pré-eclâmpsia</w:t>
      </w:r>
      <w:r>
        <w:rPr>
          <w:spacing w:val="-6"/>
          <w:vertAlign w:val="baseline"/>
        </w:rPr>
        <w:t> </w:t>
      </w:r>
      <w:r>
        <w:rPr>
          <w:vertAlign w:val="baseline"/>
        </w:rPr>
        <w:t>e</w:t>
      </w:r>
      <w:r>
        <w:rPr>
          <w:spacing w:val="-6"/>
          <w:vertAlign w:val="baseline"/>
        </w:rPr>
        <w:t> </w:t>
      </w:r>
      <w:r>
        <w:rPr>
          <w:vertAlign w:val="baseline"/>
        </w:rPr>
        <w:t>deve</w:t>
      </w:r>
      <w:r>
        <w:rPr>
          <w:spacing w:val="-6"/>
          <w:vertAlign w:val="baseline"/>
        </w:rPr>
        <w:t> </w:t>
      </w:r>
      <w:r>
        <w:rPr>
          <w:vertAlign w:val="baseline"/>
        </w:rPr>
        <w:t>ser considerada</w:t>
      </w:r>
      <w:r>
        <w:rPr>
          <w:spacing w:val="-6"/>
          <w:vertAlign w:val="baseline"/>
        </w:rPr>
        <w:t> </w:t>
      </w:r>
      <w:r>
        <w:rPr>
          <w:vertAlign w:val="baseline"/>
        </w:rPr>
        <w:t>em</w:t>
      </w:r>
      <w:r>
        <w:rPr>
          <w:spacing w:val="-3"/>
          <w:vertAlign w:val="baseline"/>
        </w:rPr>
        <w:t> </w:t>
      </w:r>
      <w:r>
        <w:rPr>
          <w:vertAlign w:val="baseline"/>
        </w:rPr>
        <w:t>todos os casos de</w:t>
      </w:r>
      <w:r>
        <w:rPr>
          <w:spacing w:val="-6"/>
          <w:vertAlign w:val="baseline"/>
        </w:rPr>
        <w:t> </w:t>
      </w:r>
      <w:r>
        <w:rPr>
          <w:vertAlign w:val="baseline"/>
        </w:rPr>
        <w:t>maturidade</w:t>
      </w:r>
      <w:r>
        <w:rPr>
          <w:spacing w:val="-6"/>
          <w:vertAlign w:val="baseline"/>
        </w:rPr>
        <w:t> </w:t>
      </w:r>
      <w:r>
        <w:rPr>
          <w:vertAlign w:val="baseline"/>
        </w:rPr>
        <w:t>pulmonar fetal assegurada. A</w:t>
      </w:r>
      <w:r>
        <w:rPr>
          <w:spacing w:val="-6"/>
          <w:vertAlign w:val="baseline"/>
        </w:rPr>
        <w:t> </w:t>
      </w:r>
      <w:r>
        <w:rPr>
          <w:vertAlign w:val="baseline"/>
        </w:rPr>
        <w:t>HAS grave na grávida é tratada com hidralazina intravenosa, na dose de 5 mg. O nifedipino também pode ser usado; porém, sua</w:t>
      </w:r>
      <w:r>
        <w:rPr>
          <w:spacing w:val="-5"/>
          <w:vertAlign w:val="baseline"/>
        </w:rPr>
        <w:t> </w:t>
      </w:r>
      <w:r>
        <w:rPr>
          <w:vertAlign w:val="baseline"/>
        </w:rPr>
        <w:t>associação</w:t>
      </w:r>
      <w:r>
        <w:rPr>
          <w:spacing w:val="-2"/>
          <w:vertAlign w:val="baseline"/>
        </w:rPr>
        <w:t> </w:t>
      </w:r>
      <w:r>
        <w:rPr>
          <w:vertAlign w:val="baseline"/>
        </w:rPr>
        <w:t>com</w:t>
      </w:r>
      <w:r>
        <w:rPr>
          <w:spacing w:val="-2"/>
          <w:vertAlign w:val="baseline"/>
        </w:rPr>
        <w:t> </w:t>
      </w:r>
      <w:r>
        <w:rPr>
          <w:vertAlign w:val="baseline"/>
        </w:rPr>
        <w:t>o</w:t>
      </w:r>
      <w:r>
        <w:rPr>
          <w:spacing w:val="-2"/>
          <w:vertAlign w:val="baseline"/>
        </w:rPr>
        <w:t> </w:t>
      </w:r>
      <w:r>
        <w:rPr>
          <w:vertAlign w:val="baseline"/>
        </w:rPr>
        <w:t>sulfato</w:t>
      </w:r>
      <w:r>
        <w:rPr>
          <w:spacing w:val="-2"/>
          <w:vertAlign w:val="baseline"/>
        </w:rPr>
        <w:t> </w:t>
      </w:r>
      <w:r>
        <w:rPr>
          <w:vertAlign w:val="baseline"/>
        </w:rPr>
        <w:t>de</w:t>
      </w:r>
      <w:r>
        <w:rPr>
          <w:spacing w:val="-5"/>
          <w:vertAlign w:val="baseline"/>
        </w:rPr>
        <w:t> </w:t>
      </w:r>
      <w:r>
        <w:rPr>
          <w:vertAlign w:val="baseline"/>
        </w:rPr>
        <w:t>magnésio</w:t>
      </w:r>
      <w:r>
        <w:rPr>
          <w:spacing w:val="-2"/>
          <w:vertAlign w:val="baseline"/>
        </w:rPr>
        <w:t> </w:t>
      </w:r>
      <w:r>
        <w:rPr>
          <w:vertAlign w:val="baseline"/>
        </w:rPr>
        <w:t>(que</w:t>
      </w:r>
      <w:r>
        <w:rPr>
          <w:spacing w:val="-5"/>
          <w:vertAlign w:val="baseline"/>
        </w:rPr>
        <w:t> </w:t>
      </w:r>
      <w:r>
        <w:rPr>
          <w:vertAlign w:val="baseline"/>
        </w:rPr>
        <w:t>é</w:t>
      </w:r>
      <w:r>
        <w:rPr>
          <w:spacing w:val="-5"/>
          <w:vertAlign w:val="baseline"/>
        </w:rPr>
        <w:t> </w:t>
      </w:r>
      <w:r>
        <w:rPr>
          <w:vertAlign w:val="baseline"/>
        </w:rPr>
        <w:t>o</w:t>
      </w:r>
      <w:r>
        <w:rPr>
          <w:spacing w:val="-2"/>
          <w:vertAlign w:val="baseline"/>
        </w:rPr>
        <w:t> </w:t>
      </w:r>
      <w:r>
        <w:rPr>
          <w:vertAlign w:val="baseline"/>
        </w:rPr>
        <w:t>fármaco</w:t>
      </w:r>
      <w:r>
        <w:rPr>
          <w:spacing w:val="-2"/>
          <w:vertAlign w:val="baseline"/>
        </w:rPr>
        <w:t> </w:t>
      </w:r>
      <w:r>
        <w:rPr>
          <w:vertAlign w:val="baseline"/>
        </w:rPr>
        <w:t>de</w:t>
      </w:r>
      <w:r>
        <w:rPr>
          <w:spacing w:val="-5"/>
          <w:vertAlign w:val="baseline"/>
        </w:rPr>
        <w:t> </w:t>
      </w:r>
      <w:r>
        <w:rPr>
          <w:vertAlign w:val="baseline"/>
        </w:rPr>
        <w:t>escolha) pode</w:t>
      </w:r>
      <w:r>
        <w:rPr>
          <w:spacing w:val="-5"/>
          <w:vertAlign w:val="baseline"/>
        </w:rPr>
        <w:t> </w:t>
      </w:r>
      <w:r>
        <w:rPr>
          <w:vertAlign w:val="baseline"/>
        </w:rPr>
        <w:t>provocar queda</w:t>
      </w:r>
      <w:r>
        <w:rPr>
          <w:spacing w:val="-5"/>
          <w:vertAlign w:val="baseline"/>
        </w:rPr>
        <w:t> </w:t>
      </w:r>
      <w:r>
        <w:rPr>
          <w:vertAlign w:val="baseline"/>
        </w:rPr>
        <w:t>súbita</w:t>
      </w:r>
      <w:r>
        <w:rPr>
          <w:spacing w:val="-5"/>
          <w:vertAlign w:val="baseline"/>
        </w:rPr>
        <w:t> </w:t>
      </w:r>
      <w:r>
        <w:rPr>
          <w:vertAlign w:val="baseline"/>
        </w:rPr>
        <w:t>e</w:t>
      </w:r>
      <w:r>
        <w:rPr>
          <w:spacing w:val="-5"/>
          <w:vertAlign w:val="baseline"/>
        </w:rPr>
        <w:t> </w:t>
      </w:r>
      <w:r>
        <w:rPr>
          <w:vertAlign w:val="baseline"/>
        </w:rPr>
        <w:t>persistente</w:t>
      </w:r>
      <w:r>
        <w:rPr>
          <w:spacing w:val="-5"/>
          <w:vertAlign w:val="baseline"/>
        </w:rPr>
        <w:t> </w:t>
      </w:r>
      <w:r>
        <w:rPr>
          <w:vertAlign w:val="baseline"/>
        </w:rPr>
        <w:t>da pressão arterial.</w:t>
      </w:r>
    </w:p>
    <w:p>
      <w:pPr>
        <w:pStyle w:val="BodyText"/>
        <w:spacing w:before="119"/>
        <w:ind w:left="0" w:firstLine="0"/>
        <w:jc w:val="left"/>
      </w:pPr>
    </w:p>
    <w:p>
      <w:pPr>
        <w:pStyle w:val="Heading5"/>
      </w:pPr>
      <w:r>
        <w:rPr>
          <w:color w:val="A26108"/>
        </w:rPr>
        <w:t>Diabetes</w:t>
      </w:r>
      <w:r>
        <w:rPr>
          <w:color w:val="A26108"/>
          <w:spacing w:val="27"/>
        </w:rPr>
        <w:t> </w:t>
      </w:r>
      <w:r>
        <w:rPr>
          <w:color w:val="A26108"/>
          <w:spacing w:val="-2"/>
        </w:rPr>
        <w:t>melito</w:t>
      </w:r>
    </w:p>
    <w:p>
      <w:pPr>
        <w:pStyle w:val="BodyText"/>
        <w:spacing w:line="276" w:lineRule="auto" w:before="122"/>
        <w:ind w:right="491"/>
      </w:pPr>
      <w:r>
        <w:rPr/>
        <w:t>A prevalência de hipertensão em diabéticos é pelo menos duas vezes maior que na população em geral. No diabetes tipo</w:t>
      </w:r>
      <w:r>
        <w:rPr>
          <w:spacing w:val="-3"/>
        </w:rPr>
        <w:t> </w:t>
      </w:r>
      <w:r>
        <w:rPr/>
        <w:t>1</w:t>
      </w:r>
      <w:r>
        <w:rPr>
          <w:spacing w:val="-3"/>
        </w:rPr>
        <w:t> </w:t>
      </w:r>
      <w:r>
        <w:rPr/>
        <w:t>a</w:t>
      </w:r>
      <w:r>
        <w:rPr>
          <w:spacing w:val="-7"/>
        </w:rPr>
        <w:t> </w:t>
      </w:r>
      <w:r>
        <w:rPr/>
        <w:t>hipertensão</w:t>
      </w:r>
      <w:r>
        <w:rPr>
          <w:spacing w:val="-3"/>
        </w:rPr>
        <w:t> </w:t>
      </w:r>
      <w:r>
        <w:rPr/>
        <w:t>associa-se</w:t>
      </w:r>
      <w:r>
        <w:rPr>
          <w:spacing w:val="-7"/>
        </w:rPr>
        <w:t> </w:t>
      </w:r>
      <w:r>
        <w:rPr/>
        <w:t>à</w:t>
      </w:r>
      <w:r>
        <w:rPr>
          <w:spacing w:val="-7"/>
        </w:rPr>
        <w:t> </w:t>
      </w:r>
      <w:r>
        <w:rPr/>
        <w:t>nefropatia</w:t>
      </w:r>
      <w:r>
        <w:rPr>
          <w:spacing w:val="-7"/>
        </w:rPr>
        <w:t> </w:t>
      </w:r>
      <w:r>
        <w:rPr/>
        <w:t>diabética;</w:t>
      </w:r>
      <w:r>
        <w:rPr>
          <w:spacing w:val="-1"/>
        </w:rPr>
        <w:t> </w:t>
      </w:r>
      <w:r>
        <w:rPr/>
        <w:t>o</w:t>
      </w:r>
      <w:r>
        <w:rPr>
          <w:spacing w:val="-3"/>
        </w:rPr>
        <w:t> </w:t>
      </w:r>
      <w:r>
        <w:rPr/>
        <w:t>controle</w:t>
      </w:r>
      <w:r>
        <w:rPr>
          <w:spacing w:val="-7"/>
        </w:rPr>
        <w:t> </w:t>
      </w:r>
      <w:r>
        <w:rPr/>
        <w:t>da</w:t>
      </w:r>
      <w:r>
        <w:rPr>
          <w:spacing w:val="-7"/>
        </w:rPr>
        <w:t> </w:t>
      </w:r>
      <w:r>
        <w:rPr/>
        <w:t>pressão</w:t>
      </w:r>
      <w:r>
        <w:rPr>
          <w:spacing w:val="-3"/>
        </w:rPr>
        <w:t> </w:t>
      </w:r>
      <w:r>
        <w:rPr/>
        <w:t>arterial</w:t>
      </w:r>
      <w:r>
        <w:rPr>
          <w:spacing w:val="-1"/>
        </w:rPr>
        <w:t> </w:t>
      </w:r>
      <w:r>
        <w:rPr/>
        <w:t>é</w:t>
      </w:r>
      <w:r>
        <w:rPr>
          <w:spacing w:val="-7"/>
        </w:rPr>
        <w:t> </w:t>
      </w:r>
      <w:r>
        <w:rPr/>
        <w:t>crucial</w:t>
      </w:r>
      <w:r>
        <w:rPr>
          <w:spacing w:val="-1"/>
        </w:rPr>
        <w:t> </w:t>
      </w:r>
      <w:r>
        <w:rPr/>
        <w:t>para</w:t>
      </w:r>
      <w:r>
        <w:rPr>
          <w:spacing w:val="-7"/>
        </w:rPr>
        <w:t> </w:t>
      </w:r>
      <w:r>
        <w:rPr/>
        <w:t>retardar a perda da função renal. No diabetes tipo 2, a hipertensão associa-se à resistência à insulina e ao alto risco cardiovascular. O</w:t>
      </w:r>
      <w:r>
        <w:rPr>
          <w:spacing w:val="-1"/>
        </w:rPr>
        <w:t> </w:t>
      </w:r>
      <w:r>
        <w:rPr/>
        <w:t>controle</w:t>
      </w:r>
      <w:r>
        <w:rPr>
          <w:spacing w:val="-1"/>
        </w:rPr>
        <w:t> </w:t>
      </w:r>
      <w:r>
        <w:rPr/>
        <w:t>do nível glicêmico contribui para</w:t>
      </w:r>
      <w:r>
        <w:rPr>
          <w:spacing w:val="-1"/>
        </w:rPr>
        <w:t> </w:t>
      </w:r>
      <w:r>
        <w:rPr/>
        <w:t>a</w:t>
      </w:r>
      <w:r>
        <w:rPr>
          <w:spacing w:val="-1"/>
        </w:rPr>
        <w:t> </w:t>
      </w:r>
      <w:r>
        <w:rPr/>
        <w:t>redução do nível de</w:t>
      </w:r>
      <w:r>
        <w:rPr>
          <w:spacing w:val="-1"/>
        </w:rPr>
        <w:t> </w:t>
      </w:r>
      <w:r>
        <w:rPr/>
        <w:t>pressão.</w:t>
      </w:r>
    </w:p>
    <w:p>
      <w:pPr>
        <w:pStyle w:val="BodyText"/>
        <w:spacing w:line="276" w:lineRule="auto" w:before="81"/>
        <w:ind w:right="497"/>
      </w:pPr>
      <w:r>
        <w:rPr/>
        <w:t>Recomenda-se que a pressão arterial seja reduzida a 130/80 mmHg.</w:t>
      </w:r>
      <w:r>
        <w:rPr>
          <w:vertAlign w:val="superscript"/>
        </w:rPr>
        <w:t>5</w:t>
      </w:r>
      <w:r>
        <w:rPr>
          <w:vertAlign w:val="baseline"/>
        </w:rPr>
        <w:t> Cabe ressaltar que todos os anti-hipertensivos</w:t>
      </w:r>
      <w:r>
        <w:rPr>
          <w:spacing w:val="-1"/>
          <w:vertAlign w:val="baseline"/>
        </w:rPr>
        <w:t> </w:t>
      </w:r>
      <w:r>
        <w:rPr>
          <w:vertAlign w:val="baseline"/>
        </w:rPr>
        <w:t>podem</w:t>
      </w:r>
      <w:r>
        <w:rPr>
          <w:spacing w:val="-8"/>
          <w:vertAlign w:val="baseline"/>
        </w:rPr>
        <w:t> </w:t>
      </w:r>
      <w:r>
        <w:rPr>
          <w:vertAlign w:val="baseline"/>
        </w:rPr>
        <w:t>ser</w:t>
      </w:r>
      <w:r>
        <w:rPr>
          <w:spacing w:val="-3"/>
          <w:vertAlign w:val="baseline"/>
        </w:rPr>
        <w:t> </w:t>
      </w:r>
      <w:r>
        <w:rPr>
          <w:vertAlign w:val="baseline"/>
        </w:rPr>
        <w:t>usados</w:t>
      </w:r>
      <w:r>
        <w:rPr>
          <w:spacing w:val="-1"/>
          <w:vertAlign w:val="baseline"/>
        </w:rPr>
        <w:t> </w:t>
      </w:r>
      <w:r>
        <w:rPr>
          <w:vertAlign w:val="baseline"/>
        </w:rPr>
        <w:t>no</w:t>
      </w:r>
      <w:r>
        <w:rPr>
          <w:spacing w:val="-8"/>
          <w:vertAlign w:val="baseline"/>
        </w:rPr>
        <w:t> </w:t>
      </w:r>
      <w:r>
        <w:rPr>
          <w:vertAlign w:val="baseline"/>
        </w:rPr>
        <w:t>paciente</w:t>
      </w:r>
      <w:r>
        <w:rPr>
          <w:spacing w:val="-11"/>
          <w:vertAlign w:val="baseline"/>
        </w:rPr>
        <w:t> </w:t>
      </w:r>
      <w:r>
        <w:rPr>
          <w:vertAlign w:val="baseline"/>
        </w:rPr>
        <w:t>diabético.</w:t>
      </w:r>
      <w:r>
        <w:rPr>
          <w:spacing w:val="-1"/>
          <w:vertAlign w:val="baseline"/>
        </w:rPr>
        <w:t> </w:t>
      </w:r>
      <w:r>
        <w:rPr>
          <w:vertAlign w:val="baseline"/>
        </w:rPr>
        <w:t>Destaca-se,</w:t>
      </w:r>
      <w:r>
        <w:rPr>
          <w:spacing w:val="-1"/>
          <w:vertAlign w:val="baseline"/>
        </w:rPr>
        <w:t> </w:t>
      </w:r>
      <w:r>
        <w:rPr>
          <w:vertAlign w:val="baseline"/>
        </w:rPr>
        <w:t>também,</w:t>
      </w:r>
      <w:r>
        <w:rPr>
          <w:spacing w:val="-1"/>
          <w:vertAlign w:val="baseline"/>
        </w:rPr>
        <w:t> </w:t>
      </w:r>
      <w:r>
        <w:rPr>
          <w:vertAlign w:val="baseline"/>
        </w:rPr>
        <w:t>que</w:t>
      </w:r>
      <w:r>
        <w:rPr>
          <w:spacing w:val="-11"/>
          <w:vertAlign w:val="baseline"/>
        </w:rPr>
        <w:t> </w:t>
      </w:r>
      <w:r>
        <w:rPr>
          <w:vertAlign w:val="baseline"/>
        </w:rPr>
        <w:t>os</w:t>
      </w:r>
      <w:r>
        <w:rPr>
          <w:spacing w:val="-1"/>
          <w:vertAlign w:val="baseline"/>
        </w:rPr>
        <w:t> </w:t>
      </w:r>
      <w:r>
        <w:rPr>
          <w:vertAlign w:val="baseline"/>
        </w:rPr>
        <w:t>inibidores</w:t>
      </w:r>
      <w:r>
        <w:rPr>
          <w:spacing w:val="-1"/>
          <w:vertAlign w:val="baseline"/>
        </w:rPr>
        <w:t> </w:t>
      </w:r>
      <w:r>
        <w:rPr>
          <w:vertAlign w:val="baseline"/>
        </w:rPr>
        <w:t>da</w:t>
      </w:r>
      <w:r>
        <w:rPr>
          <w:spacing w:val="-11"/>
          <w:vertAlign w:val="baseline"/>
        </w:rPr>
        <w:t> </w:t>
      </w:r>
      <w:r>
        <w:rPr>
          <w:vertAlign w:val="baseline"/>
        </w:rPr>
        <w:t>enzima</w:t>
      </w:r>
      <w:r>
        <w:rPr>
          <w:spacing w:val="-11"/>
          <w:vertAlign w:val="baseline"/>
        </w:rPr>
        <w:t> </w:t>
      </w:r>
      <w:r>
        <w:rPr>
          <w:vertAlign w:val="baseline"/>
        </w:rPr>
        <w:t>conversora de angiotensina não interferem no metabolismo glicêmico, reduzem a resistência à insulina e o risco de eventos cardiovasculares em pacientes hipertensos ou de alto risco cardiovascular, além de exercerem proteção renal em diabéticos tipo 1 com nefropatia diabética. Os antagonistas do receptor AT1 da angiotensina II mostraram nefroproteção em diabéticos tipo 2.</w:t>
      </w:r>
    </w:p>
    <w:p>
      <w:pPr>
        <w:pStyle w:val="BodyText"/>
        <w:spacing w:before="134"/>
        <w:ind w:left="0" w:firstLine="0"/>
        <w:jc w:val="left"/>
      </w:pPr>
    </w:p>
    <w:p>
      <w:pPr>
        <w:pStyle w:val="Heading5"/>
      </w:pPr>
      <w:r>
        <w:rPr>
          <w:color w:val="A26108"/>
        </w:rPr>
        <w:t>Acidente</w:t>
      </w:r>
      <w:r>
        <w:rPr>
          <w:color w:val="A26108"/>
          <w:spacing w:val="26"/>
        </w:rPr>
        <w:t> </w:t>
      </w:r>
      <w:r>
        <w:rPr>
          <w:color w:val="A26108"/>
        </w:rPr>
        <w:t>vascular</w:t>
      </w:r>
      <w:r>
        <w:rPr>
          <w:color w:val="A26108"/>
          <w:spacing w:val="27"/>
        </w:rPr>
        <w:t> </w:t>
      </w:r>
      <w:r>
        <w:rPr>
          <w:color w:val="A26108"/>
          <w:spacing w:val="-2"/>
        </w:rPr>
        <w:t>cerebral</w:t>
      </w:r>
    </w:p>
    <w:p>
      <w:pPr>
        <w:pStyle w:val="BodyText"/>
        <w:spacing w:line="276" w:lineRule="auto" w:before="138"/>
        <w:ind w:right="488"/>
      </w:pPr>
      <w:r>
        <w:rPr/>
        <w:t>A</w:t>
      </w:r>
      <w:r>
        <w:rPr>
          <w:spacing w:val="-1"/>
        </w:rPr>
        <w:t> </w:t>
      </w:r>
      <w:r>
        <w:rPr/>
        <w:t>redução da</w:t>
      </w:r>
      <w:r>
        <w:rPr>
          <w:spacing w:val="-1"/>
        </w:rPr>
        <w:t> </w:t>
      </w:r>
      <w:r>
        <w:rPr/>
        <w:t>pressão arterial deve</w:t>
      </w:r>
      <w:r>
        <w:rPr>
          <w:spacing w:val="-1"/>
        </w:rPr>
        <w:t> </w:t>
      </w:r>
      <w:r>
        <w:rPr/>
        <w:t>ser gradual e</w:t>
      </w:r>
      <w:r>
        <w:rPr>
          <w:spacing w:val="-1"/>
        </w:rPr>
        <w:t> </w:t>
      </w:r>
      <w:r>
        <w:rPr/>
        <w:t>cuidadosa</w:t>
      </w:r>
      <w:r>
        <w:rPr>
          <w:spacing w:val="-1"/>
        </w:rPr>
        <w:t> </w:t>
      </w:r>
      <w:r>
        <w:rPr/>
        <w:t>em idosos com acidente</w:t>
      </w:r>
      <w:r>
        <w:rPr>
          <w:spacing w:val="-1"/>
        </w:rPr>
        <w:t> </w:t>
      </w:r>
      <w:r>
        <w:rPr/>
        <w:t>vascular cerebral ou ataque isquêmico</w:t>
      </w:r>
      <w:r>
        <w:rPr>
          <w:spacing w:val="-4"/>
        </w:rPr>
        <w:t> </w:t>
      </w:r>
      <w:r>
        <w:rPr/>
        <w:t>transitório</w:t>
      </w:r>
      <w:r>
        <w:rPr>
          <w:spacing w:val="-4"/>
        </w:rPr>
        <w:t> </w:t>
      </w:r>
      <w:r>
        <w:rPr/>
        <w:t>(AIT) pelo</w:t>
      </w:r>
      <w:r>
        <w:rPr>
          <w:spacing w:val="-4"/>
        </w:rPr>
        <w:t> </w:t>
      </w:r>
      <w:r>
        <w:rPr/>
        <w:t>risco</w:t>
      </w:r>
      <w:r>
        <w:rPr>
          <w:spacing w:val="-4"/>
        </w:rPr>
        <w:t> </w:t>
      </w:r>
      <w:r>
        <w:rPr/>
        <w:t>de</w:t>
      </w:r>
      <w:r>
        <w:rPr>
          <w:spacing w:val="-6"/>
        </w:rPr>
        <w:t> </w:t>
      </w:r>
      <w:r>
        <w:rPr/>
        <w:t>redução</w:t>
      </w:r>
      <w:r>
        <w:rPr>
          <w:spacing w:val="-4"/>
        </w:rPr>
        <w:t> </w:t>
      </w:r>
      <w:r>
        <w:rPr/>
        <w:t>da</w:t>
      </w:r>
      <w:r>
        <w:rPr>
          <w:spacing w:val="-6"/>
        </w:rPr>
        <w:t> </w:t>
      </w:r>
      <w:r>
        <w:rPr/>
        <w:t>perfusão</w:t>
      </w:r>
      <w:r>
        <w:rPr>
          <w:spacing w:val="-4"/>
        </w:rPr>
        <w:t> </w:t>
      </w:r>
      <w:r>
        <w:rPr/>
        <w:t>cerebral. Na</w:t>
      </w:r>
      <w:r>
        <w:rPr>
          <w:spacing w:val="-6"/>
        </w:rPr>
        <w:t> </w:t>
      </w:r>
      <w:r>
        <w:rPr/>
        <w:t>fase</w:t>
      </w:r>
      <w:r>
        <w:rPr>
          <w:spacing w:val="-6"/>
        </w:rPr>
        <w:t> </w:t>
      </w:r>
      <w:r>
        <w:rPr/>
        <w:t>aguda, manter os níveis pressóricos em</w:t>
      </w:r>
      <w:r>
        <w:rPr>
          <w:spacing w:val="-8"/>
        </w:rPr>
        <w:t> </w:t>
      </w:r>
      <w:r>
        <w:rPr/>
        <w:t>torno</w:t>
      </w:r>
      <w:r>
        <w:rPr>
          <w:spacing w:val="-8"/>
        </w:rPr>
        <w:t> </w:t>
      </w:r>
      <w:r>
        <w:rPr/>
        <w:t>de</w:t>
      </w:r>
      <w:r>
        <w:rPr>
          <w:spacing w:val="-11"/>
        </w:rPr>
        <w:t> </w:t>
      </w:r>
      <w:r>
        <w:rPr/>
        <w:t>160/100</w:t>
      </w:r>
      <w:r>
        <w:rPr>
          <w:spacing w:val="-8"/>
        </w:rPr>
        <w:t> </w:t>
      </w:r>
      <w:r>
        <w:rPr/>
        <w:t>mmHg</w:t>
      </w:r>
      <w:r>
        <w:rPr>
          <w:spacing w:val="-8"/>
        </w:rPr>
        <w:t> </w:t>
      </w:r>
      <w:r>
        <w:rPr/>
        <w:t>até</w:t>
      </w:r>
      <w:r>
        <w:rPr>
          <w:spacing w:val="-11"/>
        </w:rPr>
        <w:t> </w:t>
      </w:r>
      <w:r>
        <w:rPr/>
        <w:t>que</w:t>
      </w:r>
      <w:r>
        <w:rPr>
          <w:spacing w:val="-11"/>
        </w:rPr>
        <w:t> </w:t>
      </w:r>
      <w:r>
        <w:rPr/>
        <w:t>o</w:t>
      </w:r>
      <w:r>
        <w:rPr>
          <w:spacing w:val="-8"/>
        </w:rPr>
        <w:t> </w:t>
      </w:r>
      <w:r>
        <w:rPr/>
        <w:t>quadro</w:t>
      </w:r>
      <w:r>
        <w:rPr>
          <w:spacing w:val="-8"/>
        </w:rPr>
        <w:t> </w:t>
      </w:r>
      <w:r>
        <w:rPr/>
        <w:t>clínico</w:t>
      </w:r>
      <w:r>
        <w:rPr>
          <w:spacing w:val="-8"/>
        </w:rPr>
        <w:t> </w:t>
      </w:r>
      <w:r>
        <w:rPr/>
        <w:t>estabilize</w:t>
      </w:r>
      <w:r>
        <w:rPr>
          <w:spacing w:val="-11"/>
        </w:rPr>
        <w:t> </w:t>
      </w:r>
      <w:r>
        <w:rPr/>
        <w:t>é</w:t>
      </w:r>
      <w:r>
        <w:rPr>
          <w:spacing w:val="-11"/>
        </w:rPr>
        <w:t> </w:t>
      </w:r>
      <w:r>
        <w:rPr/>
        <w:t>recomendável.</w:t>
      </w:r>
      <w:r>
        <w:rPr>
          <w:spacing w:val="-1"/>
        </w:rPr>
        <w:t> </w:t>
      </w:r>
      <w:r>
        <w:rPr/>
        <w:t>Posteriormente,</w:t>
      </w:r>
      <w:r>
        <w:rPr>
          <w:spacing w:val="-1"/>
        </w:rPr>
        <w:t> </w:t>
      </w:r>
      <w:r>
        <w:rPr/>
        <w:t>devem</w:t>
      </w:r>
      <w:r>
        <w:rPr>
          <w:spacing w:val="-8"/>
        </w:rPr>
        <w:t> </w:t>
      </w:r>
      <w:r>
        <w:rPr/>
        <w:t>ser</w:t>
      </w:r>
      <w:r>
        <w:rPr>
          <w:spacing w:val="-4"/>
        </w:rPr>
        <w:t> </w:t>
      </w:r>
      <w:r>
        <w:rPr/>
        <w:t>seguidas as mesmas recomendações já mencionadas para o controle da hipertensão. O uso de diuréticos no tratamento da hipertensão</w:t>
      </w:r>
      <w:r>
        <w:rPr>
          <w:spacing w:val="-1"/>
        </w:rPr>
        <w:t> </w:t>
      </w:r>
      <w:r>
        <w:rPr/>
        <w:t>está</w:t>
      </w:r>
      <w:r>
        <w:rPr>
          <w:spacing w:val="-4"/>
        </w:rPr>
        <w:t> </w:t>
      </w:r>
      <w:r>
        <w:rPr/>
        <w:t>associado</w:t>
      </w:r>
      <w:r>
        <w:rPr>
          <w:spacing w:val="-1"/>
        </w:rPr>
        <w:t> </w:t>
      </w:r>
      <w:r>
        <w:rPr/>
        <w:t>a</w:t>
      </w:r>
      <w:r>
        <w:rPr>
          <w:spacing w:val="-4"/>
        </w:rPr>
        <w:t> </w:t>
      </w:r>
      <w:r>
        <w:rPr/>
        <w:t>menor incidência</w:t>
      </w:r>
      <w:r>
        <w:rPr>
          <w:spacing w:val="-4"/>
        </w:rPr>
        <w:t> </w:t>
      </w:r>
      <w:r>
        <w:rPr/>
        <w:t>de</w:t>
      </w:r>
      <w:r>
        <w:rPr>
          <w:spacing w:val="-4"/>
        </w:rPr>
        <w:t> </w:t>
      </w:r>
      <w:r>
        <w:rPr/>
        <w:t>acidente</w:t>
      </w:r>
      <w:r>
        <w:rPr>
          <w:spacing w:val="-4"/>
        </w:rPr>
        <w:t> </w:t>
      </w:r>
      <w:r>
        <w:rPr/>
        <w:t>vascular cerebral na</w:t>
      </w:r>
      <w:r>
        <w:rPr>
          <w:spacing w:val="-4"/>
        </w:rPr>
        <w:t> </w:t>
      </w:r>
      <w:r>
        <w:rPr/>
        <w:t>evolução.</w:t>
      </w:r>
    </w:p>
    <w:p>
      <w:pPr>
        <w:pStyle w:val="BodyText"/>
        <w:spacing w:before="134"/>
        <w:ind w:left="0" w:firstLine="0"/>
        <w:jc w:val="left"/>
      </w:pPr>
    </w:p>
    <w:p>
      <w:pPr>
        <w:pStyle w:val="Heading5"/>
      </w:pPr>
      <w:r>
        <w:rPr>
          <w:color w:val="A26108"/>
        </w:rPr>
        <w:t>Doença</w:t>
      </w:r>
      <w:r>
        <w:rPr>
          <w:color w:val="A26108"/>
          <w:spacing w:val="20"/>
        </w:rPr>
        <w:t> </w:t>
      </w:r>
      <w:r>
        <w:rPr>
          <w:color w:val="A26108"/>
        </w:rPr>
        <w:t>renal</w:t>
      </w:r>
      <w:r>
        <w:rPr>
          <w:color w:val="A26108"/>
          <w:spacing w:val="20"/>
        </w:rPr>
        <w:t> </w:t>
      </w:r>
      <w:r>
        <w:rPr>
          <w:color w:val="A26108"/>
          <w:spacing w:val="-2"/>
        </w:rPr>
        <w:t>crônica</w:t>
      </w:r>
    </w:p>
    <w:p>
      <w:pPr>
        <w:pStyle w:val="BodyText"/>
        <w:spacing w:line="276" w:lineRule="auto" w:before="122"/>
        <w:ind w:right="491"/>
      </w:pPr>
      <w:r>
        <w:rPr/>
        <w:t>Em pacientes com insuficiência renal crônica, os objetivos terapêuticos são diminuir a deterioração da função renal e evitar o surgimento de doenças cardiovasculares. Nesse sentido, deve-se controlar a hipertensão, sendo frequente</w:t>
      </w:r>
      <w:r>
        <w:rPr>
          <w:spacing w:val="-3"/>
        </w:rPr>
        <w:t> </w:t>
      </w:r>
      <w:r>
        <w:rPr/>
        <w:t>a</w:t>
      </w:r>
      <w:r>
        <w:rPr>
          <w:spacing w:val="-3"/>
        </w:rPr>
        <w:t> </w:t>
      </w:r>
      <w:r>
        <w:rPr/>
        <w:t>associação</w:t>
      </w:r>
      <w:r>
        <w:rPr>
          <w:spacing w:val="-1"/>
        </w:rPr>
        <w:t> </w:t>
      </w:r>
      <w:r>
        <w:rPr/>
        <w:t>de</w:t>
      </w:r>
      <w:r>
        <w:rPr>
          <w:spacing w:val="-3"/>
        </w:rPr>
        <w:t> </w:t>
      </w:r>
      <w:r>
        <w:rPr/>
        <w:t>medicamentos visando</w:t>
      </w:r>
      <w:r>
        <w:rPr>
          <w:spacing w:val="-1"/>
        </w:rPr>
        <w:t> </w:t>
      </w:r>
      <w:r>
        <w:rPr/>
        <w:t>manter os valores de</w:t>
      </w:r>
      <w:r>
        <w:rPr>
          <w:spacing w:val="-3"/>
        </w:rPr>
        <w:t> </w:t>
      </w:r>
      <w:r>
        <w:rPr/>
        <w:t>pressão</w:t>
      </w:r>
      <w:r>
        <w:rPr>
          <w:spacing w:val="-1"/>
        </w:rPr>
        <w:t> </w:t>
      </w:r>
      <w:r>
        <w:rPr/>
        <w:t>arterial próximos de</w:t>
      </w:r>
      <w:r>
        <w:rPr>
          <w:spacing w:val="-3"/>
        </w:rPr>
        <w:t> </w:t>
      </w:r>
      <w:r>
        <w:rPr/>
        <w:t>130/80</w:t>
      </w:r>
      <w:r>
        <w:rPr>
          <w:spacing w:val="-1"/>
        </w:rPr>
        <w:t> </w:t>
      </w:r>
      <w:r>
        <w:rPr/>
        <w:t>mmHg. Os inibidores da enzima conversora de angiotensina e os antagonistas do receptor AT1 da angiotensina II têm demonstrado efeitos benéficos na</w:t>
      </w:r>
      <w:r>
        <w:rPr>
          <w:spacing w:val="-1"/>
        </w:rPr>
        <w:t> </w:t>
      </w:r>
      <w:r>
        <w:rPr/>
        <w:t>progressão da</w:t>
      </w:r>
      <w:r>
        <w:rPr>
          <w:spacing w:val="-1"/>
        </w:rPr>
        <w:t> </w:t>
      </w:r>
      <w:r>
        <w:rPr/>
        <w:t>lesão renal em pacientes diabéticos e</w:t>
      </w:r>
      <w:r>
        <w:rPr>
          <w:spacing w:val="-1"/>
        </w:rPr>
        <w:t> </w:t>
      </w:r>
      <w:r>
        <w:rPr/>
        <w:t>não diabéticos. Um aumento de</w:t>
      </w:r>
      <w:r>
        <w:rPr>
          <w:spacing w:val="-6"/>
        </w:rPr>
        <w:t> </w:t>
      </w:r>
      <w:r>
        <w:rPr/>
        <w:t>até</w:t>
      </w:r>
      <w:r>
        <w:rPr>
          <w:spacing w:val="-6"/>
        </w:rPr>
        <w:t> </w:t>
      </w:r>
      <w:r>
        <w:rPr/>
        <w:t>35%, aproximadamente, da</w:t>
      </w:r>
      <w:r>
        <w:rPr>
          <w:spacing w:val="-6"/>
        </w:rPr>
        <w:t> </w:t>
      </w:r>
      <w:r>
        <w:rPr/>
        <w:t>creatinina</w:t>
      </w:r>
      <w:r>
        <w:rPr>
          <w:spacing w:val="-6"/>
        </w:rPr>
        <w:t> </w:t>
      </w:r>
      <w:r>
        <w:rPr/>
        <w:t>basal</w:t>
      </w:r>
      <w:r>
        <w:rPr>
          <w:spacing w:val="-1"/>
        </w:rPr>
        <w:t> </w:t>
      </w:r>
      <w:r>
        <w:rPr/>
        <w:t>em</w:t>
      </w:r>
      <w:r>
        <w:rPr>
          <w:spacing w:val="-4"/>
        </w:rPr>
        <w:t> </w:t>
      </w:r>
      <w:r>
        <w:rPr/>
        <w:t>pacientes que</w:t>
      </w:r>
      <w:r>
        <w:rPr>
          <w:spacing w:val="-6"/>
        </w:rPr>
        <w:t> </w:t>
      </w:r>
      <w:r>
        <w:rPr/>
        <w:t>estão</w:t>
      </w:r>
      <w:r>
        <w:rPr>
          <w:spacing w:val="-4"/>
        </w:rPr>
        <w:t> </w:t>
      </w:r>
      <w:r>
        <w:rPr/>
        <w:t>em</w:t>
      </w:r>
      <w:r>
        <w:rPr>
          <w:spacing w:val="-4"/>
        </w:rPr>
        <w:t> </w:t>
      </w:r>
      <w:r>
        <w:rPr/>
        <w:t>uso</w:t>
      </w:r>
      <w:r>
        <w:rPr>
          <w:spacing w:val="-4"/>
        </w:rPr>
        <w:t> </w:t>
      </w:r>
      <w:r>
        <w:rPr/>
        <w:t>desses medicamentos é</w:t>
      </w:r>
      <w:r>
        <w:rPr>
          <w:spacing w:val="-6"/>
        </w:rPr>
        <w:t> </w:t>
      </w:r>
      <w:r>
        <w:rPr/>
        <w:t>aceitável,</w:t>
      </w:r>
    </w:p>
    <w:p>
      <w:pPr>
        <w:pStyle w:val="BodyText"/>
        <w:spacing w:after="0" w:line="276" w:lineRule="auto"/>
        <w:sectPr>
          <w:pgSz w:w="11900" w:h="16840"/>
          <w:pgMar w:top="200" w:bottom="280" w:left="566" w:right="141"/>
        </w:sectPr>
      </w:pPr>
    </w:p>
    <w:p>
      <w:pPr>
        <w:pStyle w:val="BodyText"/>
        <w:spacing w:line="278" w:lineRule="auto" w:before="80"/>
        <w:ind w:right="497" w:firstLine="0"/>
      </w:pPr>
      <w:r>
        <w:rPr/>
        <w:t>não havendo necessidade de suspensão. Quando o </w:t>
      </w:r>
      <w:r>
        <w:rPr>
          <w:i/>
        </w:rPr>
        <w:t>clearance </w:t>
      </w:r>
      <w:r>
        <w:rPr/>
        <w:t>de creatinina é menor que 30 m</w:t>
      </w:r>
      <w:r>
        <w:rPr>
          <w:i/>
        </w:rPr>
        <w:t>ℓ</w:t>
      </w:r>
      <w:r>
        <w:rPr/>
        <w:t>/min, é necessária a utilização</w:t>
      </w:r>
      <w:r>
        <w:rPr>
          <w:spacing w:val="-7"/>
        </w:rPr>
        <w:t> </w:t>
      </w:r>
      <w:r>
        <w:rPr/>
        <w:t>de</w:t>
      </w:r>
      <w:r>
        <w:rPr>
          <w:spacing w:val="-10"/>
        </w:rPr>
        <w:t> </w:t>
      </w:r>
      <w:r>
        <w:rPr/>
        <w:t>diuréticos de</w:t>
      </w:r>
      <w:r>
        <w:rPr>
          <w:spacing w:val="-10"/>
        </w:rPr>
        <w:t> </w:t>
      </w:r>
      <w:r>
        <w:rPr/>
        <w:t>alça, muitas vezes associados a</w:t>
      </w:r>
      <w:r>
        <w:rPr>
          <w:spacing w:val="-10"/>
        </w:rPr>
        <w:t> </w:t>
      </w:r>
      <w:r>
        <w:rPr/>
        <w:t>outros medicamentos. O</w:t>
      </w:r>
      <w:r>
        <w:rPr>
          <w:spacing w:val="-10"/>
        </w:rPr>
        <w:t> </w:t>
      </w:r>
      <w:r>
        <w:rPr/>
        <w:t>nível</w:t>
      </w:r>
      <w:r>
        <w:rPr>
          <w:spacing w:val="-5"/>
        </w:rPr>
        <w:t> </w:t>
      </w:r>
      <w:r>
        <w:rPr/>
        <w:t>sérico</w:t>
      </w:r>
      <w:r>
        <w:rPr>
          <w:spacing w:val="-7"/>
        </w:rPr>
        <w:t> </w:t>
      </w:r>
      <w:r>
        <w:rPr/>
        <w:t>de</w:t>
      </w:r>
      <w:r>
        <w:rPr>
          <w:spacing w:val="-10"/>
        </w:rPr>
        <w:t> </w:t>
      </w:r>
      <w:r>
        <w:rPr/>
        <w:t>potássio</w:t>
      </w:r>
      <w:r>
        <w:rPr>
          <w:spacing w:val="-7"/>
        </w:rPr>
        <w:t> </w:t>
      </w:r>
      <w:r>
        <w:rPr/>
        <w:t>deve</w:t>
      </w:r>
      <w:r>
        <w:rPr>
          <w:spacing w:val="-10"/>
        </w:rPr>
        <w:t> </w:t>
      </w:r>
      <w:r>
        <w:rPr/>
        <w:t>ser monitorado</w:t>
      </w:r>
      <w:r>
        <w:rPr>
          <w:spacing w:val="-1"/>
        </w:rPr>
        <w:t> </w:t>
      </w:r>
      <w:r>
        <w:rPr/>
        <w:t>regularmente</w:t>
      </w:r>
      <w:r>
        <w:rPr>
          <w:spacing w:val="-3"/>
        </w:rPr>
        <w:t> </w:t>
      </w:r>
      <w:r>
        <w:rPr/>
        <w:t>(mensalmente) em</w:t>
      </w:r>
      <w:r>
        <w:rPr>
          <w:spacing w:val="-1"/>
        </w:rPr>
        <w:t> </w:t>
      </w:r>
      <w:r>
        <w:rPr/>
        <w:t>pacientes com</w:t>
      </w:r>
      <w:r>
        <w:rPr>
          <w:spacing w:val="-1"/>
        </w:rPr>
        <w:t> </w:t>
      </w:r>
      <w:r>
        <w:rPr/>
        <w:t>insuficiência</w:t>
      </w:r>
      <w:r>
        <w:rPr>
          <w:spacing w:val="-3"/>
        </w:rPr>
        <w:t> </w:t>
      </w:r>
      <w:r>
        <w:rPr/>
        <w:t>renal crônica</w:t>
      </w:r>
      <w:r>
        <w:rPr>
          <w:spacing w:val="-3"/>
        </w:rPr>
        <w:t> </w:t>
      </w:r>
      <w:r>
        <w:rPr/>
        <w:t>e</w:t>
      </w:r>
      <w:r>
        <w:rPr>
          <w:spacing w:val="-3"/>
        </w:rPr>
        <w:t> </w:t>
      </w:r>
      <w:r>
        <w:rPr/>
        <w:t>em</w:t>
      </w:r>
      <w:r>
        <w:rPr>
          <w:spacing w:val="-1"/>
        </w:rPr>
        <w:t> </w:t>
      </w:r>
      <w:r>
        <w:rPr/>
        <w:t>uso</w:t>
      </w:r>
      <w:r>
        <w:rPr>
          <w:spacing w:val="-1"/>
        </w:rPr>
        <w:t> </w:t>
      </w:r>
      <w:r>
        <w:rPr/>
        <w:t>de</w:t>
      </w:r>
      <w:r>
        <w:rPr>
          <w:spacing w:val="-3"/>
        </w:rPr>
        <w:t> </w:t>
      </w:r>
      <w:r>
        <w:rPr/>
        <w:t>antagonistas do receptor A da angiotensina II ou IECA. Se os níveis de potássio sérico forem maiores do que 6 mEq/</w:t>
      </w:r>
      <w:r>
        <w:rPr>
          <w:i/>
        </w:rPr>
        <w:t>ℓ</w:t>
      </w:r>
      <w:r>
        <w:rPr/>
        <w:t>, o fármaco deve ser suspenso.</w:t>
      </w:r>
    </w:p>
    <w:p>
      <w:pPr>
        <w:pStyle w:val="BodyText"/>
        <w:spacing w:before="127"/>
        <w:ind w:left="0" w:firstLine="0"/>
        <w:jc w:val="left"/>
      </w:pPr>
    </w:p>
    <w:p>
      <w:pPr>
        <w:pStyle w:val="Heading5"/>
      </w:pPr>
      <w:r>
        <w:rPr>
          <w:color w:val="A26108"/>
        </w:rPr>
        <w:t>Insuficiência</w:t>
      </w:r>
      <w:r>
        <w:rPr>
          <w:color w:val="A26108"/>
          <w:spacing w:val="38"/>
        </w:rPr>
        <w:t> </w:t>
      </w:r>
      <w:r>
        <w:rPr>
          <w:color w:val="A26108"/>
          <w:spacing w:val="-2"/>
        </w:rPr>
        <w:t>cardíaca</w:t>
      </w:r>
    </w:p>
    <w:p>
      <w:pPr>
        <w:pStyle w:val="BodyText"/>
        <w:spacing w:line="276" w:lineRule="auto" w:before="138"/>
        <w:ind w:right="487"/>
      </w:pPr>
      <w:r>
        <w:rPr/>
        <w:t>A HAS pode promover alterações estruturais no ventrículo esquerdo, contribuindo para o desenvolvimento e a progressão da insuficiência cardíaca. Deve-se estabelecer o tratamento padrão, com base no uso de inibidores da enzima conversora de angiotensina, diuréticos (entre os quais a espironolactona) e betabloqueadores (destacadamente o carvedilol, metoprolol e bisoprolol).</w:t>
      </w:r>
    </w:p>
    <w:p>
      <w:pPr>
        <w:pStyle w:val="BodyText"/>
        <w:spacing w:before="134"/>
        <w:ind w:left="0" w:firstLine="0"/>
        <w:jc w:val="left"/>
      </w:pPr>
    </w:p>
    <w:p>
      <w:pPr>
        <w:pStyle w:val="Heading5"/>
      </w:pPr>
      <w:r>
        <w:rPr>
          <w:color w:val="A26108"/>
        </w:rPr>
        <w:t>Anticoncepcionais</w:t>
      </w:r>
      <w:r>
        <w:rPr>
          <w:color w:val="A26108"/>
          <w:spacing w:val="55"/>
        </w:rPr>
        <w:t> </w:t>
      </w:r>
      <w:r>
        <w:rPr>
          <w:color w:val="A26108"/>
          <w:spacing w:val="-2"/>
        </w:rPr>
        <w:t>orais</w:t>
      </w:r>
    </w:p>
    <w:p>
      <w:pPr>
        <w:pStyle w:val="BodyText"/>
        <w:spacing w:line="276" w:lineRule="auto" w:before="122"/>
        <w:ind w:right="497"/>
      </w:pPr>
      <w:r>
        <w:rPr/>
        <w:t>A hipertensão é duas a três vezes mais comum em usuárias de anticoncepcionais orais, especialmente entre as mais idosas e obesas. O aparecimento de HAS em usuárias dessas medicações impõe a interrupção imediata da medicação. A reposição estrogênica após a menopausa pode ser usada por mulheres hipertensas, pois tem pouca interferência sobre a pressão arterial. Casos selecionados de elevação da pressão arterial devem ser monitorados periodicamente após o início da reposição.</w:t>
      </w:r>
    </w:p>
    <w:p>
      <w:pPr>
        <w:pStyle w:val="BodyText"/>
        <w:spacing w:before="186"/>
        <w:ind w:left="0" w:firstLine="0"/>
        <w:jc w:val="left"/>
      </w:pPr>
    </w:p>
    <w:p>
      <w:pPr>
        <w:pStyle w:val="Heading4"/>
      </w:pPr>
      <w:r>
        <w:rPr>
          <w:color w:val="242B67"/>
        </w:rPr>
        <w:t>Crise </w:t>
      </w:r>
      <w:r>
        <w:rPr>
          <w:color w:val="242B67"/>
          <w:spacing w:val="-2"/>
        </w:rPr>
        <w:t>hipertensiva</w:t>
      </w:r>
    </w:p>
    <w:p>
      <w:pPr>
        <w:pStyle w:val="BodyText"/>
        <w:spacing w:line="276" w:lineRule="auto" w:before="148"/>
        <w:ind w:right="488"/>
      </w:pPr>
      <w:r>
        <w:rPr/>
        <w:t>A</w:t>
      </w:r>
      <w:r>
        <w:rPr>
          <w:spacing w:val="-8"/>
        </w:rPr>
        <w:t> </w:t>
      </w:r>
      <w:r>
        <w:rPr/>
        <w:t>crise</w:t>
      </w:r>
      <w:r>
        <w:rPr>
          <w:spacing w:val="-8"/>
        </w:rPr>
        <w:t> </w:t>
      </w:r>
      <w:r>
        <w:rPr/>
        <w:t>hipertensiva</w:t>
      </w:r>
      <w:r>
        <w:rPr>
          <w:spacing w:val="-8"/>
        </w:rPr>
        <w:t> </w:t>
      </w:r>
      <w:r>
        <w:rPr/>
        <w:t>pode</w:t>
      </w:r>
      <w:r>
        <w:rPr>
          <w:spacing w:val="-8"/>
        </w:rPr>
        <w:t> </w:t>
      </w:r>
      <w:r>
        <w:rPr/>
        <w:t>aparecer em</w:t>
      </w:r>
      <w:r>
        <w:rPr>
          <w:spacing w:val="-6"/>
        </w:rPr>
        <w:t> </w:t>
      </w:r>
      <w:r>
        <w:rPr/>
        <w:t>qualquer idade</w:t>
      </w:r>
      <w:r>
        <w:rPr>
          <w:spacing w:val="-8"/>
        </w:rPr>
        <w:t> </w:t>
      </w:r>
      <w:r>
        <w:rPr/>
        <w:t>e</w:t>
      </w:r>
      <w:r>
        <w:rPr>
          <w:spacing w:val="-8"/>
        </w:rPr>
        <w:t> </w:t>
      </w:r>
      <w:r>
        <w:rPr/>
        <w:t>representa</w:t>
      </w:r>
      <w:r>
        <w:rPr>
          <w:spacing w:val="-8"/>
        </w:rPr>
        <w:t> </w:t>
      </w:r>
      <w:r>
        <w:rPr/>
        <w:t>a</w:t>
      </w:r>
      <w:r>
        <w:rPr>
          <w:spacing w:val="-8"/>
        </w:rPr>
        <w:t> </w:t>
      </w:r>
      <w:r>
        <w:rPr/>
        <w:t>manifestação</w:t>
      </w:r>
      <w:r>
        <w:rPr>
          <w:spacing w:val="-6"/>
        </w:rPr>
        <w:t> </w:t>
      </w:r>
      <w:r>
        <w:rPr/>
        <w:t>do</w:t>
      </w:r>
      <w:r>
        <w:rPr>
          <w:spacing w:val="-6"/>
        </w:rPr>
        <w:t> </w:t>
      </w:r>
      <w:r>
        <w:rPr/>
        <w:t>desenvolvimento</w:t>
      </w:r>
      <w:r>
        <w:rPr>
          <w:spacing w:val="-6"/>
        </w:rPr>
        <w:t> </w:t>
      </w:r>
      <w:r>
        <w:rPr/>
        <w:t>súbito</w:t>
      </w:r>
      <w:r>
        <w:rPr>
          <w:spacing w:val="-6"/>
        </w:rPr>
        <w:t> </w:t>
      </w:r>
      <w:r>
        <w:rPr/>
        <w:t>de hipertensão de diferentes causas. Na maioria das vezes, essa situação reflete o controle inadequado da hipertensão </w:t>
      </w:r>
      <w:r>
        <w:rPr>
          <w:spacing w:val="-2"/>
        </w:rPr>
        <w:t>primária.</w:t>
      </w:r>
    </w:p>
    <w:p>
      <w:pPr>
        <w:pStyle w:val="BodyText"/>
        <w:spacing w:before="133"/>
        <w:ind w:left="0" w:firstLine="0"/>
        <w:jc w:val="left"/>
      </w:pPr>
    </w:p>
    <w:p>
      <w:pPr>
        <w:pStyle w:val="Heading5"/>
        <w:spacing w:before="1"/>
      </w:pPr>
      <w:r>
        <w:rPr>
          <w:color w:val="A26108"/>
        </w:rPr>
        <w:t>Urgências</w:t>
      </w:r>
      <w:r>
        <w:rPr>
          <w:color w:val="A26108"/>
          <w:spacing w:val="31"/>
        </w:rPr>
        <w:t> </w:t>
      </w:r>
      <w:r>
        <w:rPr>
          <w:color w:val="A26108"/>
          <w:spacing w:val="-2"/>
        </w:rPr>
        <w:t>hipertensivas</w:t>
      </w:r>
    </w:p>
    <w:p>
      <w:pPr>
        <w:pStyle w:val="BodyText"/>
        <w:spacing w:line="276" w:lineRule="auto" w:before="122"/>
        <w:ind w:right="497"/>
      </w:pPr>
      <w:r>
        <w:rPr/>
        <w:t>São situações em que ocorrem elevações importantes nos níveis pressóricos, sem apresentar quadros clínicos que sejam de risco imediato à vida ou de dano imediato a órgãos-alvo. Nesses casos, o controle da pressão arterial deve ser feito em até 24 h, com monitoramento inicial por 30 min. Podem ser utilizados, por via oral, diurético de alça, betabloqueador, inibidor da enzima conversora da angiotensina, clonidina e bloqueador dos canais de cálcio. </w:t>
      </w:r>
      <w:r>
        <w:rPr>
          <w:i/>
        </w:rPr>
        <w:t>Não </w:t>
      </w:r>
      <w:r>
        <w:rPr/>
        <w:t>utilizar o nifedipino sublingual para esse fim, já que pode causar hipotensão acentuada e por vezes refratária, com casos descritos de acidente vascular cerebral com o seu uso.</w:t>
      </w:r>
    </w:p>
    <w:p>
      <w:pPr>
        <w:pStyle w:val="BodyText"/>
        <w:spacing w:before="134"/>
        <w:ind w:left="0" w:firstLine="0"/>
        <w:jc w:val="left"/>
      </w:pPr>
    </w:p>
    <w:p>
      <w:pPr>
        <w:pStyle w:val="Heading5"/>
      </w:pPr>
      <w:r>
        <w:rPr>
          <w:color w:val="A26108"/>
        </w:rPr>
        <w:t>Emergências</w:t>
      </w:r>
      <w:r>
        <w:rPr>
          <w:color w:val="A26108"/>
          <w:spacing w:val="39"/>
        </w:rPr>
        <w:t> </w:t>
      </w:r>
      <w:r>
        <w:rPr>
          <w:color w:val="A26108"/>
          <w:spacing w:val="-2"/>
        </w:rPr>
        <w:t>hipertensivas</w:t>
      </w:r>
    </w:p>
    <w:p>
      <w:pPr>
        <w:pStyle w:val="BodyText"/>
        <w:spacing w:line="276" w:lineRule="auto" w:before="138"/>
        <w:ind w:right="497"/>
      </w:pPr>
      <w:r>
        <w:rPr/>
        <w:t>São situações clínicas que demandam redução mais rápida das cifras pressóricas, em período inferior a 1 h. Esses casos resultam</w:t>
      </w:r>
      <w:r>
        <w:rPr>
          <w:spacing w:val="-2"/>
        </w:rPr>
        <w:t> </w:t>
      </w:r>
      <w:r>
        <w:rPr/>
        <w:t>de</w:t>
      </w:r>
      <w:r>
        <w:rPr>
          <w:spacing w:val="-5"/>
        </w:rPr>
        <w:t> </w:t>
      </w:r>
      <w:r>
        <w:rPr/>
        <w:t>uma</w:t>
      </w:r>
      <w:r>
        <w:rPr>
          <w:spacing w:val="-5"/>
        </w:rPr>
        <w:t> </w:t>
      </w:r>
      <w:r>
        <w:rPr/>
        <w:t>elevação</w:t>
      </w:r>
      <w:r>
        <w:rPr>
          <w:spacing w:val="-2"/>
        </w:rPr>
        <w:t> </w:t>
      </w:r>
      <w:r>
        <w:rPr/>
        <w:t>abrupta</w:t>
      </w:r>
      <w:r>
        <w:rPr>
          <w:spacing w:val="-5"/>
        </w:rPr>
        <w:t> </w:t>
      </w:r>
      <w:r>
        <w:rPr/>
        <w:t>da</w:t>
      </w:r>
      <w:r>
        <w:rPr>
          <w:spacing w:val="-5"/>
        </w:rPr>
        <w:t> </w:t>
      </w:r>
      <w:r>
        <w:rPr/>
        <w:t>pressão</w:t>
      </w:r>
      <w:r>
        <w:rPr>
          <w:spacing w:val="-2"/>
        </w:rPr>
        <w:t> </w:t>
      </w:r>
      <w:r>
        <w:rPr/>
        <w:t>arterial com</w:t>
      </w:r>
      <w:r>
        <w:rPr>
          <w:spacing w:val="-2"/>
        </w:rPr>
        <w:t> </w:t>
      </w:r>
      <w:r>
        <w:rPr/>
        <w:t>quebra</w:t>
      </w:r>
      <w:r>
        <w:rPr>
          <w:spacing w:val="-5"/>
        </w:rPr>
        <w:t> </w:t>
      </w:r>
      <w:r>
        <w:rPr/>
        <w:t>da</w:t>
      </w:r>
      <w:r>
        <w:rPr>
          <w:spacing w:val="-5"/>
        </w:rPr>
        <w:t> </w:t>
      </w:r>
      <w:r>
        <w:rPr/>
        <w:t>autorregulação</w:t>
      </w:r>
      <w:r>
        <w:rPr>
          <w:spacing w:val="-2"/>
        </w:rPr>
        <w:t> </w:t>
      </w:r>
      <w:r>
        <w:rPr/>
        <w:t>do</w:t>
      </w:r>
      <w:r>
        <w:rPr>
          <w:spacing w:val="-2"/>
        </w:rPr>
        <w:t> </w:t>
      </w:r>
      <w:r>
        <w:rPr/>
        <w:t>fluxo</w:t>
      </w:r>
      <w:r>
        <w:rPr>
          <w:spacing w:val="-2"/>
        </w:rPr>
        <w:t> </w:t>
      </w:r>
      <w:r>
        <w:rPr/>
        <w:t>cerebral e evidências de lesões vasculares e de órgãos-alvo (encefalopatia, infarto do miocárdio, angina instável, edema pulmonar, eclâmpsia, acidente vascular cerebral, sangramentos arteriais importantes e dissecção de aorta), requerendo</w:t>
      </w:r>
      <w:r>
        <w:rPr>
          <w:spacing w:val="-15"/>
        </w:rPr>
        <w:t> </w:t>
      </w:r>
      <w:r>
        <w:rPr/>
        <w:t>hospitalização</w:t>
      </w:r>
      <w:r>
        <w:rPr>
          <w:spacing w:val="-14"/>
        </w:rPr>
        <w:t> </w:t>
      </w:r>
      <w:r>
        <w:rPr/>
        <w:t>e</w:t>
      </w:r>
      <w:r>
        <w:rPr>
          <w:spacing w:val="-15"/>
        </w:rPr>
        <w:t> </w:t>
      </w:r>
      <w:r>
        <w:rPr/>
        <w:t>tratamento</w:t>
      </w:r>
      <w:r>
        <w:rPr>
          <w:spacing w:val="-14"/>
        </w:rPr>
        <w:t> </w:t>
      </w:r>
      <w:r>
        <w:rPr/>
        <w:t>anti-hipertensivo</w:t>
      </w:r>
      <w:r>
        <w:rPr>
          <w:spacing w:val="-14"/>
        </w:rPr>
        <w:t> </w:t>
      </w:r>
      <w:r>
        <w:rPr/>
        <w:t>parenteral.</w:t>
      </w:r>
      <w:r>
        <w:rPr>
          <w:spacing w:val="-15"/>
        </w:rPr>
        <w:t> </w:t>
      </w:r>
      <w:r>
        <w:rPr/>
        <w:t>A</w:t>
      </w:r>
      <w:r>
        <w:rPr>
          <w:spacing w:val="-14"/>
        </w:rPr>
        <w:t> </w:t>
      </w:r>
      <w:r>
        <w:rPr/>
        <w:t>hipertensão</w:t>
      </w:r>
      <w:r>
        <w:rPr>
          <w:spacing w:val="-14"/>
        </w:rPr>
        <w:t> </w:t>
      </w:r>
      <w:r>
        <w:rPr/>
        <w:t>acelerada/maligna</w:t>
      </w:r>
      <w:r>
        <w:rPr>
          <w:spacing w:val="-15"/>
        </w:rPr>
        <w:t> </w:t>
      </w:r>
      <w:r>
        <w:rPr/>
        <w:t>é</w:t>
      </w:r>
      <w:r>
        <w:rPr>
          <w:spacing w:val="-14"/>
        </w:rPr>
        <w:t> </w:t>
      </w:r>
      <w:r>
        <w:rPr/>
        <w:t>caracterizada por pressão arterial muito elevada (em geral, a pressão arterial diastólica [PAD] &gt; 120 mmHg) e ocorrência de hemorragias, exsudatos e/ou papiledema no fundo de olho. A existência de papiledema caracteriza uma situação mais</w:t>
      </w:r>
      <w:r>
        <w:rPr>
          <w:spacing w:val="-5"/>
        </w:rPr>
        <w:t> </w:t>
      </w:r>
      <w:r>
        <w:rPr/>
        <w:t>grave</w:t>
      </w:r>
      <w:r>
        <w:rPr>
          <w:spacing w:val="-14"/>
        </w:rPr>
        <w:t> </w:t>
      </w:r>
      <w:r>
        <w:rPr/>
        <w:t>(hipertensão</w:t>
      </w:r>
      <w:r>
        <w:rPr>
          <w:spacing w:val="-12"/>
        </w:rPr>
        <w:t> </w:t>
      </w:r>
      <w:r>
        <w:rPr/>
        <w:t>maligna)</w:t>
      </w:r>
      <w:r>
        <w:rPr>
          <w:spacing w:val="-7"/>
        </w:rPr>
        <w:t> </w:t>
      </w:r>
      <w:r>
        <w:rPr/>
        <w:t>e</w:t>
      </w:r>
      <w:r>
        <w:rPr>
          <w:spacing w:val="-14"/>
        </w:rPr>
        <w:t> </w:t>
      </w:r>
      <w:r>
        <w:rPr/>
        <w:t>deve</w:t>
      </w:r>
      <w:r>
        <w:rPr>
          <w:spacing w:val="-14"/>
        </w:rPr>
        <w:t> </w:t>
      </w:r>
      <w:r>
        <w:rPr/>
        <w:t>ser</w:t>
      </w:r>
      <w:r>
        <w:rPr>
          <w:spacing w:val="-7"/>
        </w:rPr>
        <w:t> </w:t>
      </w:r>
      <w:r>
        <w:rPr/>
        <w:t>considerada</w:t>
      </w:r>
      <w:r>
        <w:rPr>
          <w:spacing w:val="-14"/>
        </w:rPr>
        <w:t> </w:t>
      </w:r>
      <w:r>
        <w:rPr/>
        <w:t>uma</w:t>
      </w:r>
      <w:r>
        <w:rPr>
          <w:spacing w:val="-14"/>
        </w:rPr>
        <w:t> </w:t>
      </w:r>
      <w:r>
        <w:rPr/>
        <w:t>emergência</w:t>
      </w:r>
      <w:r>
        <w:rPr>
          <w:spacing w:val="-14"/>
        </w:rPr>
        <w:t> </w:t>
      </w:r>
      <w:r>
        <w:rPr/>
        <w:t>hipertensiva.</w:t>
      </w:r>
      <w:r>
        <w:rPr>
          <w:spacing w:val="-5"/>
        </w:rPr>
        <w:t> </w:t>
      </w:r>
      <w:r>
        <w:rPr/>
        <w:t>Qualquer</w:t>
      </w:r>
      <w:r>
        <w:rPr>
          <w:spacing w:val="-7"/>
        </w:rPr>
        <w:t> </w:t>
      </w:r>
      <w:r>
        <w:rPr/>
        <w:t>tipo</w:t>
      </w:r>
      <w:r>
        <w:rPr>
          <w:spacing w:val="-12"/>
        </w:rPr>
        <w:t> </w:t>
      </w:r>
      <w:r>
        <w:rPr/>
        <w:t>de</w:t>
      </w:r>
      <w:r>
        <w:rPr>
          <w:spacing w:val="-14"/>
        </w:rPr>
        <w:t> </w:t>
      </w:r>
      <w:r>
        <w:rPr/>
        <w:t>hipertensão pode evoluir para a acelerada/maligna. Podem ser usados o nitroprussiato de sódio, a hidralazina, o diazóxido e a nitroglicerina (</w:t>
      </w:r>
      <w:r>
        <w:rPr>
          <w:color w:val="505050"/>
        </w:rPr>
        <w:t>Tabela 57.16</w:t>
      </w:r>
      <w:r>
        <w:rPr/>
        <w:t>). Deve ser feita a titulação do fármaco para que se evitem quedas bruscas da pressão arterial. Depois de obtida a redução da pressão arterial, deve-se iniciar a terapia anti-hipertensiva por via oral e interromper a via parenteral. Não usar a hidralazina na suspeita de síndromes coronarianas agudas e dissecção de aorta, por indução de atividade simpática, taquicardia e aumento da pressão de pulso.</w:t>
      </w:r>
    </w:p>
    <w:p>
      <w:pPr>
        <w:pStyle w:val="BodyText"/>
        <w:spacing w:before="89"/>
        <w:ind w:left="0" w:firstLine="0"/>
        <w:jc w:val="left"/>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1"/>
          <w:sz w:val="23"/>
        </w:rPr>
        <w:t> </w:t>
      </w:r>
      <w:r>
        <w:rPr>
          <w:rFonts w:ascii="Arial" w:hAnsi="Arial"/>
          <w:b/>
          <w:color w:val="242B67"/>
          <w:sz w:val="23"/>
        </w:rPr>
        <w:t>57.16</w:t>
      </w:r>
      <w:r>
        <w:rPr>
          <w:rFonts w:ascii="Arial" w:hAnsi="Arial"/>
          <w:b/>
          <w:color w:val="242B67"/>
          <w:spacing w:val="-1"/>
          <w:sz w:val="23"/>
        </w:rPr>
        <w:t> </w:t>
      </w:r>
      <w:r>
        <w:rPr>
          <w:rFonts w:ascii="Microsoft Sans Serif" w:hAnsi="Microsoft Sans Serif"/>
          <w:sz w:val="23"/>
        </w:rPr>
        <w:t>Tratamento</w:t>
      </w:r>
      <w:r>
        <w:rPr>
          <w:rFonts w:ascii="Microsoft Sans Serif" w:hAnsi="Microsoft Sans Serif"/>
          <w:spacing w:val="3"/>
          <w:sz w:val="23"/>
        </w:rPr>
        <w:t> </w:t>
      </w:r>
      <w:r>
        <w:rPr>
          <w:rFonts w:ascii="Microsoft Sans Serif" w:hAnsi="Microsoft Sans Serif"/>
          <w:sz w:val="23"/>
        </w:rPr>
        <w:t>das emergências </w:t>
      </w:r>
      <w:r>
        <w:rPr>
          <w:rFonts w:ascii="Microsoft Sans Serif" w:hAnsi="Microsoft Sans Serif"/>
          <w:spacing w:val="-2"/>
          <w:sz w:val="23"/>
        </w:rPr>
        <w:t>hipertensivas.</w:t>
      </w:r>
    </w:p>
    <w:p>
      <w:pPr>
        <w:pStyle w:val="BodyText"/>
        <w:spacing w:before="10"/>
        <w:ind w:left="0" w:firstLine="0"/>
        <w:jc w:val="left"/>
        <w:rPr>
          <w:rFonts w:ascii="Microsoft Sans Serif"/>
          <w:sz w:val="11"/>
        </w:rPr>
      </w:pPr>
      <w:r>
        <w:rPr>
          <w:rFonts w:ascii="Microsoft Sans Serif"/>
          <w:sz w:val="11"/>
        </w:rPr>
        <mc:AlternateContent>
          <mc:Choice Requires="wps">
            <w:drawing>
              <wp:anchor distT="0" distB="0" distL="0" distR="0" allowOverlap="1" layoutInCell="1" locked="0" behindDoc="1" simplePos="0" relativeHeight="487607296">
                <wp:simplePos x="0" y="0"/>
                <wp:positionH relativeFrom="page">
                  <wp:posOffset>401535</wp:posOffset>
                </wp:positionH>
                <wp:positionV relativeFrom="paragraph">
                  <wp:posOffset>100646</wp:posOffset>
                </wp:positionV>
                <wp:extent cx="6732905" cy="5651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732905" cy="56515"/>
                        </a:xfrm>
                        <a:custGeom>
                          <a:avLst/>
                          <a:gdLst/>
                          <a:ahLst/>
                          <a:cxnLst/>
                          <a:rect l="l" t="t" r="r" b="b"/>
                          <a:pathLst>
                            <a:path w="6732905" h="56515">
                              <a:moveTo>
                                <a:pt x="6732651" y="0"/>
                              </a:moveTo>
                              <a:lnTo>
                                <a:pt x="4718951" y="0"/>
                              </a:lnTo>
                              <a:lnTo>
                                <a:pt x="2695092" y="0"/>
                              </a:lnTo>
                              <a:lnTo>
                                <a:pt x="0" y="0"/>
                              </a:lnTo>
                              <a:lnTo>
                                <a:pt x="0" y="56413"/>
                              </a:lnTo>
                              <a:lnTo>
                                <a:pt x="2695092" y="56413"/>
                              </a:lnTo>
                              <a:lnTo>
                                <a:pt x="4718951" y="56413"/>
                              </a:lnTo>
                              <a:lnTo>
                                <a:pt x="6732651" y="56413"/>
                              </a:lnTo>
                              <a:lnTo>
                                <a:pt x="6732651" y="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shape style="position:absolute;margin-left:31.617001pt;margin-top:7.924933pt;width:530.15pt;height:4.45pt;mso-position-horizontal-relative:page;mso-position-vertical-relative:paragraph;z-index:-15709184;mso-wrap-distance-left:0;mso-wrap-distance-right:0" id="docshape33" coordorigin="632,158" coordsize="10603,89" path="m11235,158l8064,158,4877,158,632,158,632,247,4877,247,8064,247,11235,247,11235,158xe" filled="true" fillcolor="#242b67" stroked="false">
                <v:path arrowok="t"/>
                <v:fill type="solid"/>
                <w10:wrap type="topAndBottom"/>
              </v:shape>
            </w:pict>
          </mc:Fallback>
        </mc:AlternateContent>
      </w:r>
    </w:p>
    <w:p>
      <w:pPr>
        <w:pStyle w:val="BodyText"/>
        <w:spacing w:after="0"/>
        <w:jc w:val="left"/>
        <w:rPr>
          <w:rFonts w:ascii="Microsoft Sans Serif"/>
          <w:sz w:val="11"/>
        </w:rPr>
        <w:sectPr>
          <w:pgSz w:w="11900" w:h="16840"/>
          <w:pgMar w:top="18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3187"/>
        <w:gridCol w:w="3179"/>
      </w:tblGrid>
      <w:tr>
        <w:trPr>
          <w:trHeight w:val="342" w:hRule="atLeast"/>
        </w:trPr>
        <w:tc>
          <w:tcPr>
            <w:tcW w:w="4252" w:type="dxa"/>
            <w:tcBorders>
              <w:top w:val="nil"/>
              <w:left w:val="nil"/>
            </w:tcBorders>
            <w:shd w:val="clear" w:color="auto" w:fill="242B67"/>
          </w:tcPr>
          <w:p>
            <w:pPr>
              <w:pStyle w:val="TableParagraph"/>
              <w:spacing w:before="3"/>
              <w:ind w:left="67"/>
              <w:rPr>
                <w:rFonts w:ascii="Arial" w:hAnsi="Arial"/>
                <w:b/>
                <w:sz w:val="21"/>
              </w:rPr>
            </w:pPr>
            <w:r>
              <w:rPr>
                <w:rFonts w:ascii="Arial" w:hAnsi="Arial"/>
                <w:b/>
                <w:color w:val="FFFFFF"/>
                <w:sz w:val="21"/>
              </w:rPr>
              <w:t>Indicação</w:t>
            </w:r>
            <w:r>
              <w:rPr>
                <w:rFonts w:ascii="Arial" w:hAnsi="Arial"/>
                <w:b/>
                <w:color w:val="FFFFFF"/>
                <w:spacing w:val="53"/>
                <w:sz w:val="21"/>
              </w:rPr>
              <w:t> </w:t>
            </w:r>
            <w:r>
              <w:rPr>
                <w:rFonts w:ascii="Arial" w:hAnsi="Arial"/>
                <w:b/>
                <w:color w:val="FFFFFF"/>
                <w:spacing w:val="-2"/>
                <w:sz w:val="21"/>
              </w:rPr>
              <w:t>clínica</w:t>
            </w:r>
          </w:p>
        </w:tc>
        <w:tc>
          <w:tcPr>
            <w:tcW w:w="3187" w:type="dxa"/>
            <w:tcBorders>
              <w:top w:val="nil"/>
            </w:tcBorders>
            <w:shd w:val="clear" w:color="auto" w:fill="242B67"/>
          </w:tcPr>
          <w:p>
            <w:pPr>
              <w:pStyle w:val="TableParagraph"/>
              <w:spacing w:before="3"/>
              <w:ind w:left="66"/>
              <w:rPr>
                <w:rFonts w:ascii="Arial" w:hAnsi="Arial"/>
                <w:b/>
                <w:sz w:val="21"/>
              </w:rPr>
            </w:pPr>
            <w:r>
              <w:rPr>
                <w:rFonts w:ascii="Arial" w:hAnsi="Arial"/>
                <w:b/>
                <w:color w:val="FFFFFF"/>
                <w:w w:val="105"/>
                <w:sz w:val="21"/>
              </w:rPr>
              <w:t>Fármaco</w:t>
            </w:r>
            <w:r>
              <w:rPr>
                <w:rFonts w:ascii="Arial" w:hAnsi="Arial"/>
                <w:b/>
                <w:color w:val="FFFFFF"/>
                <w:spacing w:val="-9"/>
                <w:w w:val="105"/>
                <w:sz w:val="21"/>
              </w:rPr>
              <w:t> </w:t>
            </w:r>
            <w:r>
              <w:rPr>
                <w:rFonts w:ascii="Arial" w:hAnsi="Arial"/>
                <w:b/>
                <w:color w:val="FFFFFF"/>
                <w:w w:val="105"/>
                <w:sz w:val="21"/>
              </w:rPr>
              <w:t>de</w:t>
            </w:r>
            <w:r>
              <w:rPr>
                <w:rFonts w:ascii="Arial" w:hAnsi="Arial"/>
                <w:b/>
                <w:color w:val="FFFFFF"/>
                <w:spacing w:val="2"/>
                <w:w w:val="105"/>
                <w:sz w:val="21"/>
              </w:rPr>
              <w:t> </w:t>
            </w:r>
            <w:r>
              <w:rPr>
                <w:rFonts w:ascii="Arial" w:hAnsi="Arial"/>
                <w:b/>
                <w:color w:val="FFFFFF"/>
                <w:w w:val="105"/>
                <w:sz w:val="21"/>
              </w:rPr>
              <w:t>escolha</w:t>
            </w:r>
            <w:r>
              <w:rPr>
                <w:rFonts w:ascii="Arial" w:hAnsi="Arial"/>
                <w:b/>
                <w:color w:val="FFFFFF"/>
                <w:spacing w:val="2"/>
                <w:w w:val="105"/>
                <w:sz w:val="21"/>
              </w:rPr>
              <w:t> </w:t>
            </w:r>
            <w:r>
              <w:rPr>
                <w:rFonts w:ascii="Arial" w:hAnsi="Arial"/>
                <w:b/>
                <w:color w:val="FFFFFF"/>
                <w:spacing w:val="-4"/>
                <w:w w:val="105"/>
                <w:sz w:val="21"/>
              </w:rPr>
              <w:t>(IV)</w:t>
            </w:r>
          </w:p>
        </w:tc>
        <w:tc>
          <w:tcPr>
            <w:tcW w:w="3179" w:type="dxa"/>
            <w:tcBorders>
              <w:top w:val="nil"/>
              <w:right w:val="nil"/>
            </w:tcBorders>
            <w:shd w:val="clear" w:color="auto" w:fill="242B67"/>
          </w:tcPr>
          <w:p>
            <w:pPr>
              <w:pStyle w:val="TableParagraph"/>
              <w:spacing w:before="3"/>
              <w:ind w:left="66"/>
              <w:rPr>
                <w:rFonts w:ascii="Arial"/>
                <w:b/>
                <w:sz w:val="21"/>
              </w:rPr>
            </w:pPr>
            <w:r>
              <w:rPr>
                <w:rFonts w:ascii="Arial"/>
                <w:b/>
                <w:color w:val="FFFFFF"/>
                <w:spacing w:val="-4"/>
                <w:w w:val="105"/>
                <w:sz w:val="21"/>
              </w:rPr>
              <w:t>Dose</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Redução</w:t>
            </w:r>
            <w:r>
              <w:rPr>
                <w:spacing w:val="28"/>
                <w:w w:val="105"/>
                <w:sz w:val="21"/>
              </w:rPr>
              <w:t> </w:t>
            </w:r>
            <w:r>
              <w:rPr>
                <w:w w:val="105"/>
                <w:sz w:val="21"/>
              </w:rPr>
              <w:t>de</w:t>
            </w:r>
            <w:r>
              <w:rPr>
                <w:spacing w:val="29"/>
                <w:w w:val="105"/>
                <w:sz w:val="21"/>
              </w:rPr>
              <w:t> </w:t>
            </w:r>
            <w:r>
              <w:rPr>
                <w:w w:val="105"/>
                <w:sz w:val="21"/>
              </w:rPr>
              <w:t>hipertensão</w:t>
            </w:r>
            <w:r>
              <w:rPr>
                <w:spacing w:val="29"/>
                <w:w w:val="105"/>
                <w:sz w:val="21"/>
              </w:rPr>
              <w:t> </w:t>
            </w:r>
            <w:r>
              <w:rPr>
                <w:w w:val="105"/>
                <w:sz w:val="21"/>
              </w:rPr>
              <w:t>aguda</w:t>
            </w:r>
            <w:r>
              <w:rPr>
                <w:spacing w:val="28"/>
                <w:w w:val="105"/>
                <w:sz w:val="21"/>
              </w:rPr>
              <w:t> </w:t>
            </w:r>
            <w:r>
              <w:rPr>
                <w:spacing w:val="-2"/>
                <w:w w:val="105"/>
                <w:sz w:val="21"/>
              </w:rPr>
              <w:t>grave</w:t>
            </w:r>
          </w:p>
        </w:tc>
        <w:tc>
          <w:tcPr>
            <w:tcW w:w="3187" w:type="dxa"/>
            <w:shd w:val="clear" w:color="auto" w:fill="EDECF3"/>
          </w:tcPr>
          <w:p>
            <w:pPr>
              <w:pStyle w:val="TableParagraph"/>
              <w:ind w:left="66"/>
              <w:rPr>
                <w:sz w:val="21"/>
              </w:rPr>
            </w:pPr>
            <w:r>
              <w:rPr>
                <w:w w:val="105"/>
                <w:sz w:val="21"/>
              </w:rPr>
              <w:t>Nitroprussiato</w:t>
            </w:r>
            <w:r>
              <w:rPr>
                <w:spacing w:val="26"/>
                <w:w w:val="105"/>
                <w:sz w:val="21"/>
              </w:rPr>
              <w:t> </w:t>
            </w:r>
            <w:r>
              <w:rPr>
                <w:w w:val="105"/>
                <w:sz w:val="21"/>
              </w:rPr>
              <w:t>de</w:t>
            </w:r>
            <w:r>
              <w:rPr>
                <w:spacing w:val="26"/>
                <w:w w:val="105"/>
                <w:sz w:val="21"/>
              </w:rPr>
              <w:t> </w:t>
            </w:r>
            <w:r>
              <w:rPr>
                <w:spacing w:val="-2"/>
                <w:w w:val="105"/>
                <w:sz w:val="21"/>
              </w:rPr>
              <w:t>sódio</w:t>
            </w:r>
          </w:p>
        </w:tc>
        <w:tc>
          <w:tcPr>
            <w:tcW w:w="3179" w:type="dxa"/>
            <w:tcBorders>
              <w:right w:val="nil"/>
            </w:tcBorders>
            <w:shd w:val="clear" w:color="auto" w:fill="EDECF3"/>
          </w:tcPr>
          <w:p>
            <w:pPr>
              <w:pStyle w:val="TableParagraph"/>
              <w:ind w:left="67"/>
              <w:rPr>
                <w:sz w:val="21"/>
              </w:rPr>
            </w:pPr>
            <w:r>
              <w:rPr>
                <w:w w:val="105"/>
                <w:sz w:val="21"/>
              </w:rPr>
              <w:t>0,3</w:t>
            </w:r>
            <w:r>
              <w:rPr>
                <w:spacing w:val="12"/>
                <w:w w:val="105"/>
                <w:sz w:val="21"/>
              </w:rPr>
              <w:t> </w:t>
            </w:r>
            <w:r>
              <w:rPr>
                <w:w w:val="105"/>
                <w:sz w:val="21"/>
              </w:rPr>
              <w:t>a</w:t>
            </w:r>
            <w:r>
              <w:rPr>
                <w:spacing w:val="12"/>
                <w:w w:val="105"/>
                <w:sz w:val="21"/>
              </w:rPr>
              <w:t> </w:t>
            </w:r>
            <w:r>
              <w:rPr>
                <w:w w:val="105"/>
                <w:sz w:val="21"/>
              </w:rPr>
              <w:t>2</w:t>
            </w:r>
            <w:r>
              <w:rPr>
                <w:spacing w:val="12"/>
                <w:w w:val="105"/>
                <w:sz w:val="21"/>
              </w:rPr>
              <w:t> </w:t>
            </w:r>
            <w:r>
              <w:rPr>
                <w:spacing w:val="-2"/>
                <w:w w:val="105"/>
                <w:sz w:val="21"/>
              </w:rPr>
              <w:t>µg/kg/min</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Hipertensão</w:t>
            </w:r>
            <w:r>
              <w:rPr>
                <w:spacing w:val="18"/>
                <w:w w:val="105"/>
                <w:sz w:val="21"/>
              </w:rPr>
              <w:t> </w:t>
            </w:r>
            <w:r>
              <w:rPr>
                <w:w w:val="105"/>
                <w:sz w:val="21"/>
              </w:rPr>
              <w:t>e</w:t>
            </w:r>
            <w:r>
              <w:rPr>
                <w:spacing w:val="19"/>
                <w:w w:val="105"/>
                <w:sz w:val="21"/>
              </w:rPr>
              <w:t> </w:t>
            </w:r>
            <w:r>
              <w:rPr>
                <w:w w:val="105"/>
                <w:sz w:val="21"/>
              </w:rPr>
              <w:t>isquemia</w:t>
            </w:r>
            <w:r>
              <w:rPr>
                <w:spacing w:val="19"/>
                <w:w w:val="105"/>
                <w:sz w:val="21"/>
              </w:rPr>
              <w:t> </w:t>
            </w:r>
            <w:r>
              <w:rPr>
                <w:spacing w:val="-2"/>
                <w:w w:val="105"/>
                <w:sz w:val="21"/>
              </w:rPr>
              <w:t>miocárdica</w:t>
            </w:r>
          </w:p>
        </w:tc>
        <w:tc>
          <w:tcPr>
            <w:tcW w:w="3187" w:type="dxa"/>
            <w:shd w:val="clear" w:color="auto" w:fill="EDECF3"/>
          </w:tcPr>
          <w:p>
            <w:pPr>
              <w:pStyle w:val="TableParagraph"/>
              <w:ind w:left="66"/>
              <w:rPr>
                <w:sz w:val="21"/>
              </w:rPr>
            </w:pPr>
            <w:r>
              <w:rPr>
                <w:spacing w:val="-2"/>
                <w:sz w:val="21"/>
              </w:rPr>
              <w:t>Nitroglicerina</w:t>
            </w:r>
          </w:p>
        </w:tc>
        <w:tc>
          <w:tcPr>
            <w:tcW w:w="3179" w:type="dxa"/>
            <w:tcBorders>
              <w:right w:val="nil"/>
            </w:tcBorders>
            <w:shd w:val="clear" w:color="auto" w:fill="EDECF3"/>
          </w:tcPr>
          <w:p>
            <w:pPr>
              <w:pStyle w:val="TableParagraph"/>
              <w:ind w:left="66"/>
              <w:rPr>
                <w:sz w:val="21"/>
              </w:rPr>
            </w:pPr>
            <w:r>
              <w:rPr>
                <w:w w:val="105"/>
                <w:sz w:val="21"/>
              </w:rPr>
              <w:t>0,25</w:t>
            </w:r>
            <w:r>
              <w:rPr>
                <w:spacing w:val="13"/>
                <w:w w:val="105"/>
                <w:sz w:val="21"/>
              </w:rPr>
              <w:t> </w:t>
            </w:r>
            <w:r>
              <w:rPr>
                <w:w w:val="105"/>
                <w:sz w:val="21"/>
              </w:rPr>
              <w:t>a</w:t>
            </w:r>
            <w:r>
              <w:rPr>
                <w:spacing w:val="14"/>
                <w:w w:val="105"/>
                <w:sz w:val="21"/>
              </w:rPr>
              <w:t> </w:t>
            </w:r>
            <w:r>
              <w:rPr>
                <w:w w:val="105"/>
                <w:sz w:val="21"/>
              </w:rPr>
              <w:t>5</w:t>
            </w:r>
            <w:r>
              <w:rPr>
                <w:spacing w:val="13"/>
                <w:w w:val="105"/>
                <w:sz w:val="21"/>
              </w:rPr>
              <w:t> </w:t>
            </w:r>
            <w:r>
              <w:rPr>
                <w:spacing w:val="-2"/>
                <w:w w:val="105"/>
                <w:sz w:val="21"/>
              </w:rPr>
              <w:t>µg/kg/min</w:t>
            </w:r>
          </w:p>
        </w:tc>
      </w:tr>
      <w:tr>
        <w:trPr>
          <w:trHeight w:val="732" w:hRule="atLeast"/>
        </w:trPr>
        <w:tc>
          <w:tcPr>
            <w:tcW w:w="4252" w:type="dxa"/>
            <w:tcBorders>
              <w:left w:val="nil"/>
            </w:tcBorders>
            <w:shd w:val="clear" w:color="auto" w:fill="EDECF3"/>
          </w:tcPr>
          <w:p>
            <w:pPr>
              <w:pStyle w:val="TableParagraph"/>
              <w:spacing w:line="307" w:lineRule="auto"/>
              <w:ind w:left="67"/>
              <w:rPr>
                <w:sz w:val="21"/>
              </w:rPr>
            </w:pPr>
            <w:r>
              <w:rPr>
                <w:w w:val="105"/>
                <w:sz w:val="21"/>
              </w:rPr>
              <w:t>Hipertensão, isquemia miocárdica e </w:t>
            </w:r>
            <w:r>
              <w:rPr>
                <w:spacing w:val="-2"/>
                <w:w w:val="105"/>
                <w:sz w:val="21"/>
              </w:rPr>
              <w:t>taquicardia</w:t>
            </w:r>
          </w:p>
        </w:tc>
        <w:tc>
          <w:tcPr>
            <w:tcW w:w="3187" w:type="dxa"/>
            <w:shd w:val="clear" w:color="auto" w:fill="EDECF3"/>
          </w:tcPr>
          <w:p>
            <w:pPr>
              <w:pStyle w:val="TableParagraph"/>
              <w:ind w:left="66"/>
              <w:rPr>
                <w:sz w:val="21"/>
              </w:rPr>
            </w:pPr>
            <w:r>
              <w:rPr>
                <w:spacing w:val="-2"/>
                <w:w w:val="105"/>
                <w:sz w:val="21"/>
              </w:rPr>
              <w:t>Metoprolol</w:t>
            </w:r>
          </w:p>
        </w:tc>
        <w:tc>
          <w:tcPr>
            <w:tcW w:w="3179" w:type="dxa"/>
            <w:tcBorders>
              <w:right w:val="nil"/>
            </w:tcBorders>
            <w:shd w:val="clear" w:color="auto" w:fill="EDECF3"/>
          </w:tcPr>
          <w:p>
            <w:pPr>
              <w:pStyle w:val="TableParagraph"/>
              <w:ind w:left="66"/>
              <w:rPr>
                <w:sz w:val="21"/>
              </w:rPr>
            </w:pPr>
            <w:r>
              <w:rPr>
                <w:w w:val="105"/>
                <w:sz w:val="21"/>
              </w:rPr>
              <w:t>5</w:t>
            </w:r>
            <w:r>
              <w:rPr>
                <w:spacing w:val="9"/>
                <w:w w:val="105"/>
                <w:sz w:val="21"/>
              </w:rPr>
              <w:t> </w:t>
            </w:r>
            <w:r>
              <w:rPr>
                <w:w w:val="105"/>
                <w:sz w:val="21"/>
              </w:rPr>
              <w:t>a</w:t>
            </w:r>
            <w:r>
              <w:rPr>
                <w:spacing w:val="9"/>
                <w:w w:val="105"/>
                <w:sz w:val="21"/>
              </w:rPr>
              <w:t> </w:t>
            </w:r>
            <w:r>
              <w:rPr>
                <w:w w:val="105"/>
                <w:sz w:val="21"/>
              </w:rPr>
              <w:t>15</w:t>
            </w:r>
            <w:r>
              <w:rPr>
                <w:spacing w:val="9"/>
                <w:w w:val="105"/>
                <w:sz w:val="21"/>
              </w:rPr>
              <w:t> </w:t>
            </w:r>
            <w:r>
              <w:rPr>
                <w:w w:val="105"/>
                <w:sz w:val="21"/>
              </w:rPr>
              <w:t>mg</w:t>
            </w:r>
            <w:r>
              <w:rPr>
                <w:spacing w:val="9"/>
                <w:w w:val="105"/>
                <w:sz w:val="21"/>
              </w:rPr>
              <w:t> </w:t>
            </w:r>
            <w:r>
              <w:rPr>
                <w:w w:val="105"/>
                <w:sz w:val="21"/>
              </w:rPr>
              <w:t>IV</w:t>
            </w:r>
            <w:r>
              <w:rPr>
                <w:spacing w:val="1"/>
                <w:w w:val="105"/>
                <w:sz w:val="21"/>
              </w:rPr>
              <w:t> </w:t>
            </w:r>
            <w:r>
              <w:rPr>
                <w:spacing w:val="-2"/>
                <w:w w:val="105"/>
                <w:sz w:val="21"/>
              </w:rPr>
              <w:t>lenta</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Hipertensão</w:t>
            </w:r>
            <w:r>
              <w:rPr>
                <w:spacing w:val="23"/>
                <w:w w:val="105"/>
                <w:sz w:val="21"/>
              </w:rPr>
              <w:t> </w:t>
            </w:r>
            <w:r>
              <w:rPr>
                <w:w w:val="105"/>
                <w:sz w:val="21"/>
              </w:rPr>
              <w:t>e</w:t>
            </w:r>
            <w:r>
              <w:rPr>
                <w:spacing w:val="24"/>
                <w:w w:val="105"/>
                <w:sz w:val="21"/>
              </w:rPr>
              <w:t> </w:t>
            </w:r>
            <w:r>
              <w:rPr>
                <w:spacing w:val="-5"/>
                <w:w w:val="105"/>
                <w:sz w:val="21"/>
              </w:rPr>
              <w:t>ICC</w:t>
            </w:r>
          </w:p>
        </w:tc>
        <w:tc>
          <w:tcPr>
            <w:tcW w:w="3187" w:type="dxa"/>
            <w:shd w:val="clear" w:color="auto" w:fill="EDECF3"/>
          </w:tcPr>
          <w:p>
            <w:pPr>
              <w:pStyle w:val="TableParagraph"/>
              <w:ind w:left="66"/>
              <w:rPr>
                <w:sz w:val="21"/>
              </w:rPr>
            </w:pPr>
            <w:r>
              <w:rPr>
                <w:spacing w:val="-2"/>
                <w:w w:val="105"/>
                <w:sz w:val="21"/>
              </w:rPr>
              <w:t>Enalaprilato</w:t>
            </w:r>
          </w:p>
        </w:tc>
        <w:tc>
          <w:tcPr>
            <w:tcW w:w="3179" w:type="dxa"/>
            <w:tcBorders>
              <w:right w:val="nil"/>
            </w:tcBorders>
            <w:shd w:val="clear" w:color="auto" w:fill="EDECF3"/>
          </w:tcPr>
          <w:p>
            <w:pPr>
              <w:pStyle w:val="TableParagraph"/>
              <w:ind w:left="66"/>
              <w:rPr>
                <w:sz w:val="21"/>
              </w:rPr>
            </w:pPr>
            <w:r>
              <w:rPr>
                <w:w w:val="105"/>
                <w:sz w:val="21"/>
              </w:rPr>
              <w:t>0,5</w:t>
            </w:r>
            <w:r>
              <w:rPr>
                <w:spacing w:val="9"/>
                <w:w w:val="105"/>
                <w:sz w:val="21"/>
              </w:rPr>
              <w:t> </w:t>
            </w:r>
            <w:r>
              <w:rPr>
                <w:w w:val="105"/>
                <w:sz w:val="21"/>
              </w:rPr>
              <w:t>a</w:t>
            </w:r>
            <w:r>
              <w:rPr>
                <w:spacing w:val="10"/>
                <w:w w:val="105"/>
                <w:sz w:val="21"/>
              </w:rPr>
              <w:t> </w:t>
            </w:r>
            <w:r>
              <w:rPr>
                <w:w w:val="105"/>
                <w:sz w:val="21"/>
              </w:rPr>
              <w:t>5</w:t>
            </w:r>
            <w:r>
              <w:rPr>
                <w:spacing w:val="10"/>
                <w:w w:val="105"/>
                <w:sz w:val="21"/>
              </w:rPr>
              <w:t> </w:t>
            </w:r>
            <w:r>
              <w:rPr>
                <w:w w:val="105"/>
                <w:sz w:val="21"/>
              </w:rPr>
              <w:t>mg</w:t>
            </w:r>
            <w:r>
              <w:rPr>
                <w:spacing w:val="10"/>
                <w:w w:val="105"/>
                <w:sz w:val="21"/>
              </w:rPr>
              <w:t> </w:t>
            </w:r>
            <w:r>
              <w:rPr>
                <w:w w:val="105"/>
                <w:sz w:val="21"/>
              </w:rPr>
              <w:t>em</w:t>
            </w:r>
            <w:r>
              <w:rPr>
                <w:spacing w:val="-3"/>
                <w:w w:val="105"/>
                <w:sz w:val="21"/>
              </w:rPr>
              <w:t> </w:t>
            </w:r>
            <w:r>
              <w:rPr>
                <w:spacing w:val="-2"/>
                <w:w w:val="105"/>
                <w:sz w:val="21"/>
              </w:rPr>
              <w:t>bolus</w:t>
            </w:r>
          </w:p>
        </w:tc>
      </w:tr>
      <w:tr>
        <w:trPr>
          <w:trHeight w:val="732" w:hRule="atLeast"/>
        </w:trPr>
        <w:tc>
          <w:tcPr>
            <w:tcW w:w="4252" w:type="dxa"/>
            <w:tcBorders>
              <w:left w:val="nil"/>
            </w:tcBorders>
            <w:shd w:val="clear" w:color="auto" w:fill="EDECF3"/>
          </w:tcPr>
          <w:p>
            <w:pPr>
              <w:pStyle w:val="TableParagraph"/>
              <w:spacing w:line="307" w:lineRule="auto"/>
              <w:ind w:left="67" w:right="274"/>
              <w:rPr>
                <w:sz w:val="21"/>
              </w:rPr>
            </w:pPr>
            <w:r>
              <w:rPr>
                <w:w w:val="105"/>
                <w:sz w:val="21"/>
              </w:rPr>
              <w:t>Hipertensão sem complicações </w:t>
            </w:r>
            <w:r>
              <w:rPr>
                <w:spacing w:val="-2"/>
                <w:w w:val="105"/>
                <w:sz w:val="21"/>
              </w:rPr>
              <w:t>cardíacas</w:t>
            </w:r>
          </w:p>
        </w:tc>
        <w:tc>
          <w:tcPr>
            <w:tcW w:w="3187" w:type="dxa"/>
            <w:shd w:val="clear" w:color="auto" w:fill="EDECF3"/>
          </w:tcPr>
          <w:p>
            <w:pPr>
              <w:pStyle w:val="TableParagraph"/>
              <w:ind w:left="66"/>
              <w:rPr>
                <w:sz w:val="21"/>
              </w:rPr>
            </w:pPr>
            <w:r>
              <w:rPr>
                <w:spacing w:val="-2"/>
                <w:sz w:val="21"/>
              </w:rPr>
              <w:t>Hidralazina</w:t>
            </w:r>
          </w:p>
        </w:tc>
        <w:tc>
          <w:tcPr>
            <w:tcW w:w="3179" w:type="dxa"/>
            <w:tcBorders>
              <w:right w:val="nil"/>
            </w:tcBorders>
            <w:shd w:val="clear" w:color="auto" w:fill="EDECF3"/>
          </w:tcPr>
          <w:p>
            <w:pPr>
              <w:pStyle w:val="TableParagraph"/>
              <w:ind w:left="66"/>
              <w:rPr>
                <w:sz w:val="21"/>
              </w:rPr>
            </w:pPr>
            <w:r>
              <w:rPr>
                <w:w w:val="105"/>
                <w:sz w:val="21"/>
              </w:rPr>
              <w:t>5</w:t>
            </w:r>
            <w:r>
              <w:rPr>
                <w:spacing w:val="9"/>
                <w:w w:val="105"/>
                <w:sz w:val="21"/>
              </w:rPr>
              <w:t> </w:t>
            </w:r>
            <w:r>
              <w:rPr>
                <w:w w:val="105"/>
                <w:sz w:val="21"/>
              </w:rPr>
              <w:t>a</w:t>
            </w:r>
            <w:r>
              <w:rPr>
                <w:spacing w:val="10"/>
                <w:w w:val="105"/>
                <w:sz w:val="21"/>
              </w:rPr>
              <w:t> </w:t>
            </w:r>
            <w:r>
              <w:rPr>
                <w:w w:val="105"/>
                <w:sz w:val="21"/>
              </w:rPr>
              <w:t>10</w:t>
            </w:r>
            <w:r>
              <w:rPr>
                <w:spacing w:val="9"/>
                <w:w w:val="105"/>
                <w:sz w:val="21"/>
              </w:rPr>
              <w:t> </w:t>
            </w:r>
            <w:r>
              <w:rPr>
                <w:w w:val="105"/>
                <w:sz w:val="21"/>
              </w:rPr>
              <w:t>mg</w:t>
            </w:r>
            <w:r>
              <w:rPr>
                <w:spacing w:val="10"/>
                <w:w w:val="105"/>
                <w:sz w:val="21"/>
              </w:rPr>
              <w:t> </w:t>
            </w:r>
            <w:r>
              <w:rPr>
                <w:w w:val="105"/>
                <w:sz w:val="21"/>
              </w:rPr>
              <w:t>em</w:t>
            </w:r>
            <w:r>
              <w:rPr>
                <w:spacing w:val="-3"/>
                <w:w w:val="105"/>
                <w:sz w:val="21"/>
              </w:rPr>
              <w:t> </w:t>
            </w:r>
            <w:r>
              <w:rPr>
                <w:spacing w:val="-2"/>
                <w:w w:val="105"/>
                <w:sz w:val="21"/>
              </w:rPr>
              <w:t>bolus</w:t>
            </w:r>
          </w:p>
        </w:tc>
      </w:tr>
      <w:tr>
        <w:trPr>
          <w:trHeight w:val="428" w:hRule="atLeast"/>
        </w:trPr>
        <w:tc>
          <w:tcPr>
            <w:tcW w:w="4252" w:type="dxa"/>
            <w:tcBorders>
              <w:left w:val="nil"/>
            </w:tcBorders>
            <w:shd w:val="clear" w:color="auto" w:fill="EDECF3"/>
          </w:tcPr>
          <w:p>
            <w:pPr>
              <w:pStyle w:val="TableParagraph"/>
              <w:ind w:left="67"/>
              <w:rPr>
                <w:sz w:val="21"/>
              </w:rPr>
            </w:pPr>
            <w:r>
              <w:rPr>
                <w:w w:val="105"/>
                <w:sz w:val="21"/>
              </w:rPr>
              <w:t>Hipertensão</w:t>
            </w:r>
            <w:r>
              <w:rPr>
                <w:spacing w:val="37"/>
                <w:w w:val="105"/>
                <w:sz w:val="21"/>
              </w:rPr>
              <w:t> </w:t>
            </w:r>
            <w:r>
              <w:rPr>
                <w:spacing w:val="-2"/>
                <w:w w:val="105"/>
                <w:sz w:val="21"/>
              </w:rPr>
              <w:t>maligna</w:t>
            </w:r>
          </w:p>
        </w:tc>
        <w:tc>
          <w:tcPr>
            <w:tcW w:w="3187" w:type="dxa"/>
            <w:shd w:val="clear" w:color="auto" w:fill="EDECF3"/>
          </w:tcPr>
          <w:p>
            <w:pPr>
              <w:pStyle w:val="TableParagraph"/>
              <w:ind w:left="66"/>
              <w:rPr>
                <w:sz w:val="21"/>
              </w:rPr>
            </w:pPr>
            <w:r>
              <w:rPr>
                <w:w w:val="105"/>
                <w:sz w:val="21"/>
              </w:rPr>
              <w:t>Nitroprussiato</w:t>
            </w:r>
            <w:r>
              <w:rPr>
                <w:spacing w:val="26"/>
                <w:w w:val="105"/>
                <w:sz w:val="21"/>
              </w:rPr>
              <w:t> </w:t>
            </w:r>
            <w:r>
              <w:rPr>
                <w:w w:val="105"/>
                <w:sz w:val="21"/>
              </w:rPr>
              <w:t>de</w:t>
            </w:r>
            <w:r>
              <w:rPr>
                <w:spacing w:val="26"/>
                <w:w w:val="105"/>
                <w:sz w:val="21"/>
              </w:rPr>
              <w:t> </w:t>
            </w:r>
            <w:r>
              <w:rPr>
                <w:spacing w:val="-2"/>
                <w:w w:val="105"/>
                <w:sz w:val="21"/>
              </w:rPr>
              <w:t>sódio</w:t>
            </w:r>
          </w:p>
        </w:tc>
        <w:tc>
          <w:tcPr>
            <w:tcW w:w="3179" w:type="dxa"/>
            <w:tcBorders>
              <w:right w:val="nil"/>
            </w:tcBorders>
            <w:shd w:val="clear" w:color="auto" w:fill="EDECF3"/>
          </w:tcPr>
          <w:p>
            <w:pPr>
              <w:pStyle w:val="TableParagraph"/>
              <w:ind w:left="66"/>
              <w:rPr>
                <w:sz w:val="21"/>
              </w:rPr>
            </w:pPr>
            <w:r>
              <w:rPr>
                <w:w w:val="105"/>
                <w:sz w:val="21"/>
              </w:rPr>
              <w:t>0,3</w:t>
            </w:r>
            <w:r>
              <w:rPr>
                <w:spacing w:val="12"/>
                <w:w w:val="105"/>
                <w:sz w:val="21"/>
              </w:rPr>
              <w:t> </w:t>
            </w:r>
            <w:r>
              <w:rPr>
                <w:w w:val="105"/>
                <w:sz w:val="21"/>
              </w:rPr>
              <w:t>a</w:t>
            </w:r>
            <w:r>
              <w:rPr>
                <w:spacing w:val="12"/>
                <w:w w:val="105"/>
                <w:sz w:val="21"/>
              </w:rPr>
              <w:t> </w:t>
            </w:r>
            <w:r>
              <w:rPr>
                <w:w w:val="105"/>
                <w:sz w:val="21"/>
              </w:rPr>
              <w:t>2</w:t>
            </w:r>
            <w:r>
              <w:rPr>
                <w:spacing w:val="12"/>
                <w:w w:val="105"/>
                <w:sz w:val="21"/>
              </w:rPr>
              <w:t> </w:t>
            </w:r>
            <w:r>
              <w:rPr>
                <w:spacing w:val="-2"/>
                <w:w w:val="105"/>
                <w:sz w:val="21"/>
              </w:rPr>
              <w:t>µg/kg/min</w:t>
            </w:r>
          </w:p>
        </w:tc>
      </w:tr>
      <w:tr>
        <w:trPr>
          <w:trHeight w:val="1295" w:hRule="atLeast"/>
        </w:trPr>
        <w:tc>
          <w:tcPr>
            <w:tcW w:w="4252" w:type="dxa"/>
            <w:tcBorders>
              <w:left w:val="nil"/>
              <w:bottom w:val="nil"/>
            </w:tcBorders>
            <w:shd w:val="clear" w:color="auto" w:fill="EDECF3"/>
          </w:tcPr>
          <w:p>
            <w:pPr>
              <w:pStyle w:val="TableParagraph"/>
              <w:ind w:left="67"/>
              <w:rPr>
                <w:sz w:val="21"/>
              </w:rPr>
            </w:pPr>
            <w:r>
              <w:rPr>
                <w:w w:val="105"/>
                <w:sz w:val="21"/>
              </w:rPr>
              <w:t>Hipertensão</w:t>
            </w:r>
            <w:r>
              <w:rPr>
                <w:spacing w:val="23"/>
                <w:w w:val="105"/>
                <w:sz w:val="21"/>
              </w:rPr>
              <w:t> </w:t>
            </w:r>
            <w:r>
              <w:rPr>
                <w:w w:val="105"/>
                <w:sz w:val="21"/>
              </w:rPr>
              <w:t>e</w:t>
            </w:r>
            <w:r>
              <w:rPr>
                <w:spacing w:val="24"/>
                <w:w w:val="105"/>
                <w:sz w:val="21"/>
              </w:rPr>
              <w:t> </w:t>
            </w:r>
            <w:r>
              <w:rPr>
                <w:spacing w:val="-2"/>
                <w:w w:val="105"/>
                <w:sz w:val="21"/>
              </w:rPr>
              <w:t>feocromocitoma</w:t>
            </w:r>
          </w:p>
        </w:tc>
        <w:tc>
          <w:tcPr>
            <w:tcW w:w="3187" w:type="dxa"/>
            <w:tcBorders>
              <w:bottom w:val="nil"/>
            </w:tcBorders>
            <w:shd w:val="clear" w:color="auto" w:fill="EDECF3"/>
          </w:tcPr>
          <w:p>
            <w:pPr>
              <w:pStyle w:val="TableParagraph"/>
              <w:ind w:left="66"/>
              <w:rPr>
                <w:sz w:val="21"/>
              </w:rPr>
            </w:pPr>
            <w:r>
              <w:rPr>
                <w:w w:val="105"/>
                <w:sz w:val="21"/>
              </w:rPr>
              <w:t>Iniciar</w:t>
            </w:r>
            <w:r>
              <w:rPr>
                <w:spacing w:val="16"/>
                <w:w w:val="105"/>
                <w:sz w:val="21"/>
              </w:rPr>
              <w:t> </w:t>
            </w:r>
            <w:r>
              <w:rPr>
                <w:w w:val="105"/>
                <w:sz w:val="21"/>
              </w:rPr>
              <w:t>com</w:t>
            </w:r>
            <w:r>
              <w:rPr>
                <w:spacing w:val="2"/>
                <w:w w:val="105"/>
                <w:sz w:val="21"/>
              </w:rPr>
              <w:t> </w:t>
            </w:r>
            <w:r>
              <w:rPr>
                <w:spacing w:val="-2"/>
                <w:w w:val="105"/>
                <w:sz w:val="21"/>
              </w:rPr>
              <w:t>fentolamina</w:t>
            </w:r>
          </w:p>
          <w:p>
            <w:pPr>
              <w:pStyle w:val="TableParagraph"/>
              <w:spacing w:line="307" w:lineRule="auto" w:before="211"/>
              <w:ind w:left="66"/>
              <w:rPr>
                <w:sz w:val="21"/>
              </w:rPr>
            </w:pPr>
            <w:r>
              <w:rPr>
                <w:w w:val="105"/>
                <w:sz w:val="21"/>
              </w:rPr>
              <w:t>A seguir metoprolol ou nitroprussiato</w:t>
            </w:r>
            <w:r>
              <w:rPr>
                <w:spacing w:val="29"/>
                <w:w w:val="105"/>
                <w:sz w:val="21"/>
              </w:rPr>
              <w:t> </w:t>
            </w:r>
            <w:r>
              <w:rPr>
                <w:w w:val="105"/>
                <w:sz w:val="21"/>
              </w:rPr>
              <w:t>de</w:t>
            </w:r>
            <w:r>
              <w:rPr>
                <w:spacing w:val="29"/>
                <w:w w:val="105"/>
                <w:sz w:val="21"/>
              </w:rPr>
              <w:t> </w:t>
            </w:r>
            <w:r>
              <w:rPr>
                <w:spacing w:val="-2"/>
                <w:w w:val="105"/>
                <w:sz w:val="21"/>
              </w:rPr>
              <w:t>sódio</w:t>
            </w:r>
          </w:p>
        </w:tc>
        <w:tc>
          <w:tcPr>
            <w:tcW w:w="3179" w:type="dxa"/>
            <w:tcBorders>
              <w:bottom w:val="nil"/>
              <w:right w:val="nil"/>
            </w:tcBorders>
            <w:shd w:val="clear" w:color="auto" w:fill="EDECF3"/>
          </w:tcPr>
          <w:p>
            <w:pPr>
              <w:pStyle w:val="TableParagraph"/>
              <w:ind w:left="66"/>
              <w:rPr>
                <w:sz w:val="21"/>
              </w:rPr>
            </w:pPr>
            <w:r>
              <w:rPr>
                <w:w w:val="105"/>
                <w:sz w:val="21"/>
              </w:rPr>
              <w:t>1</w:t>
            </w:r>
            <w:r>
              <w:rPr>
                <w:spacing w:val="8"/>
                <w:w w:val="105"/>
                <w:sz w:val="21"/>
              </w:rPr>
              <w:t> </w:t>
            </w:r>
            <w:r>
              <w:rPr>
                <w:w w:val="105"/>
                <w:sz w:val="21"/>
              </w:rPr>
              <w:t>a</w:t>
            </w:r>
            <w:r>
              <w:rPr>
                <w:spacing w:val="9"/>
                <w:w w:val="105"/>
                <w:sz w:val="21"/>
              </w:rPr>
              <w:t> </w:t>
            </w:r>
            <w:r>
              <w:rPr>
                <w:w w:val="105"/>
                <w:sz w:val="21"/>
              </w:rPr>
              <w:t>4</w:t>
            </w:r>
            <w:r>
              <w:rPr>
                <w:spacing w:val="8"/>
                <w:w w:val="105"/>
                <w:sz w:val="21"/>
              </w:rPr>
              <w:t> </w:t>
            </w:r>
            <w:r>
              <w:rPr>
                <w:w w:val="105"/>
                <w:sz w:val="21"/>
              </w:rPr>
              <w:t>mg</w:t>
            </w:r>
            <w:r>
              <w:rPr>
                <w:spacing w:val="9"/>
                <w:w w:val="105"/>
                <w:sz w:val="21"/>
              </w:rPr>
              <w:t> </w:t>
            </w:r>
            <w:r>
              <w:rPr>
                <w:w w:val="105"/>
                <w:sz w:val="21"/>
              </w:rPr>
              <w:t>em</w:t>
            </w:r>
            <w:r>
              <w:rPr>
                <w:spacing w:val="-4"/>
                <w:w w:val="105"/>
                <w:sz w:val="21"/>
              </w:rPr>
              <w:t> </w:t>
            </w:r>
            <w:r>
              <w:rPr>
                <w:spacing w:val="-2"/>
                <w:w w:val="105"/>
                <w:sz w:val="21"/>
              </w:rPr>
              <w:t>bolus</w:t>
            </w:r>
          </w:p>
          <w:p>
            <w:pPr>
              <w:pStyle w:val="TableParagraph"/>
              <w:spacing w:before="211"/>
              <w:ind w:left="66"/>
              <w:rPr>
                <w:sz w:val="21"/>
              </w:rPr>
            </w:pPr>
            <w:r>
              <w:rPr>
                <w:w w:val="105"/>
                <w:sz w:val="21"/>
              </w:rPr>
              <w:t>5</w:t>
            </w:r>
            <w:r>
              <w:rPr>
                <w:spacing w:val="9"/>
                <w:w w:val="105"/>
                <w:sz w:val="21"/>
              </w:rPr>
              <w:t> </w:t>
            </w:r>
            <w:r>
              <w:rPr>
                <w:w w:val="105"/>
                <w:sz w:val="21"/>
              </w:rPr>
              <w:t>a</w:t>
            </w:r>
            <w:r>
              <w:rPr>
                <w:spacing w:val="9"/>
                <w:w w:val="105"/>
                <w:sz w:val="21"/>
              </w:rPr>
              <w:t> </w:t>
            </w:r>
            <w:r>
              <w:rPr>
                <w:w w:val="105"/>
                <w:sz w:val="21"/>
              </w:rPr>
              <w:t>15</w:t>
            </w:r>
            <w:r>
              <w:rPr>
                <w:spacing w:val="9"/>
                <w:w w:val="105"/>
                <w:sz w:val="21"/>
              </w:rPr>
              <w:t> </w:t>
            </w:r>
            <w:r>
              <w:rPr>
                <w:w w:val="105"/>
                <w:sz w:val="21"/>
              </w:rPr>
              <w:t>mg</w:t>
            </w:r>
            <w:r>
              <w:rPr>
                <w:spacing w:val="9"/>
                <w:w w:val="105"/>
                <w:sz w:val="21"/>
              </w:rPr>
              <w:t> </w:t>
            </w:r>
            <w:r>
              <w:rPr>
                <w:w w:val="105"/>
                <w:sz w:val="21"/>
              </w:rPr>
              <w:t>IV</w:t>
            </w:r>
            <w:r>
              <w:rPr>
                <w:spacing w:val="1"/>
                <w:w w:val="105"/>
                <w:sz w:val="21"/>
              </w:rPr>
              <w:t> </w:t>
            </w:r>
            <w:r>
              <w:rPr>
                <w:spacing w:val="-2"/>
                <w:w w:val="105"/>
                <w:sz w:val="21"/>
              </w:rPr>
              <w:t>lenta</w:t>
            </w:r>
          </w:p>
          <w:p>
            <w:pPr>
              <w:pStyle w:val="TableParagraph"/>
              <w:spacing w:before="194"/>
              <w:ind w:left="66"/>
              <w:rPr>
                <w:sz w:val="21"/>
              </w:rPr>
            </w:pPr>
            <w:r>
              <w:rPr>
                <w:w w:val="105"/>
                <w:sz w:val="21"/>
              </w:rPr>
              <w:t>0,3</w:t>
            </w:r>
            <w:r>
              <w:rPr>
                <w:spacing w:val="12"/>
                <w:w w:val="105"/>
                <w:sz w:val="21"/>
              </w:rPr>
              <w:t> </w:t>
            </w:r>
            <w:r>
              <w:rPr>
                <w:w w:val="105"/>
                <w:sz w:val="21"/>
              </w:rPr>
              <w:t>a</w:t>
            </w:r>
            <w:r>
              <w:rPr>
                <w:spacing w:val="12"/>
                <w:w w:val="105"/>
                <w:sz w:val="21"/>
              </w:rPr>
              <w:t> </w:t>
            </w:r>
            <w:r>
              <w:rPr>
                <w:w w:val="105"/>
                <w:sz w:val="21"/>
              </w:rPr>
              <w:t>2</w:t>
            </w:r>
            <w:r>
              <w:rPr>
                <w:spacing w:val="12"/>
                <w:w w:val="105"/>
                <w:sz w:val="21"/>
              </w:rPr>
              <w:t> </w:t>
            </w:r>
            <w:r>
              <w:rPr>
                <w:spacing w:val="-2"/>
                <w:w w:val="105"/>
                <w:sz w:val="21"/>
              </w:rPr>
              <w:t>µg/kg/min</w:t>
            </w:r>
          </w:p>
        </w:tc>
      </w:tr>
    </w:tbl>
    <w:p>
      <w:pPr>
        <w:spacing w:before="185"/>
        <w:ind w:left="68" w:right="0" w:firstLine="0"/>
        <w:jc w:val="left"/>
        <w:rPr>
          <w:rFonts w:ascii="Microsoft Sans Serif" w:hAnsi="Microsoft Sans Serif"/>
          <w:sz w:val="19"/>
        </w:rPr>
      </w:pPr>
      <w:r>
        <w:rPr>
          <w:rFonts w:ascii="Microsoft Sans Serif" w:hAnsi="Microsoft Sans Serif"/>
          <w:sz w:val="19"/>
        </w:rPr>
        <w:t>ICC</w:t>
      </w:r>
      <w:r>
        <w:rPr>
          <w:rFonts w:ascii="Microsoft Sans Serif" w:hAnsi="Microsoft Sans Serif"/>
          <w:spacing w:val="15"/>
          <w:sz w:val="19"/>
        </w:rPr>
        <w:t> </w:t>
      </w:r>
      <w:r>
        <w:rPr>
          <w:rFonts w:ascii="Microsoft Sans Serif" w:hAnsi="Microsoft Sans Serif"/>
          <w:sz w:val="19"/>
        </w:rPr>
        <w:t>=</w:t>
      </w:r>
      <w:r>
        <w:rPr>
          <w:rFonts w:ascii="Microsoft Sans Serif" w:hAnsi="Microsoft Sans Serif"/>
          <w:spacing w:val="10"/>
          <w:sz w:val="19"/>
        </w:rPr>
        <w:t> </w:t>
      </w:r>
      <w:r>
        <w:rPr>
          <w:rFonts w:ascii="Microsoft Sans Serif" w:hAnsi="Microsoft Sans Serif"/>
          <w:sz w:val="19"/>
        </w:rPr>
        <w:t>insuficiência</w:t>
      </w:r>
      <w:r>
        <w:rPr>
          <w:rFonts w:ascii="Microsoft Sans Serif" w:hAnsi="Microsoft Sans Serif"/>
          <w:spacing w:val="15"/>
          <w:sz w:val="19"/>
        </w:rPr>
        <w:t> </w:t>
      </w:r>
      <w:r>
        <w:rPr>
          <w:rFonts w:ascii="Microsoft Sans Serif" w:hAnsi="Microsoft Sans Serif"/>
          <w:sz w:val="19"/>
        </w:rPr>
        <w:t>cardíaca</w:t>
      </w:r>
      <w:r>
        <w:rPr>
          <w:rFonts w:ascii="Microsoft Sans Serif" w:hAnsi="Microsoft Sans Serif"/>
          <w:spacing w:val="16"/>
          <w:sz w:val="19"/>
        </w:rPr>
        <w:t> </w:t>
      </w:r>
      <w:r>
        <w:rPr>
          <w:rFonts w:ascii="Microsoft Sans Serif" w:hAnsi="Microsoft Sans Serif"/>
          <w:sz w:val="19"/>
        </w:rPr>
        <w:t>congestiva;</w:t>
      </w:r>
      <w:r>
        <w:rPr>
          <w:rFonts w:ascii="Microsoft Sans Serif" w:hAnsi="Microsoft Sans Serif"/>
          <w:spacing w:val="3"/>
          <w:sz w:val="19"/>
        </w:rPr>
        <w:t> </w:t>
      </w:r>
      <w:r>
        <w:rPr>
          <w:rFonts w:ascii="Microsoft Sans Serif" w:hAnsi="Microsoft Sans Serif"/>
          <w:sz w:val="19"/>
        </w:rPr>
        <w:t>IV</w:t>
      </w:r>
      <w:r>
        <w:rPr>
          <w:rFonts w:ascii="Microsoft Sans Serif" w:hAnsi="Microsoft Sans Serif"/>
          <w:spacing w:val="10"/>
          <w:sz w:val="19"/>
        </w:rPr>
        <w:t> </w:t>
      </w:r>
      <w:r>
        <w:rPr>
          <w:rFonts w:ascii="Microsoft Sans Serif" w:hAnsi="Microsoft Sans Serif"/>
          <w:sz w:val="19"/>
        </w:rPr>
        <w:t>=</w:t>
      </w:r>
      <w:r>
        <w:rPr>
          <w:rFonts w:ascii="Microsoft Sans Serif" w:hAnsi="Microsoft Sans Serif"/>
          <w:spacing w:val="9"/>
          <w:sz w:val="19"/>
        </w:rPr>
        <w:t> </w:t>
      </w:r>
      <w:r>
        <w:rPr>
          <w:rFonts w:ascii="Microsoft Sans Serif" w:hAnsi="Microsoft Sans Serif"/>
          <w:sz w:val="19"/>
        </w:rPr>
        <w:t>via</w:t>
      </w:r>
      <w:r>
        <w:rPr>
          <w:rFonts w:ascii="Microsoft Sans Serif" w:hAnsi="Microsoft Sans Serif"/>
          <w:spacing w:val="16"/>
          <w:sz w:val="19"/>
        </w:rPr>
        <w:t> </w:t>
      </w:r>
      <w:r>
        <w:rPr>
          <w:rFonts w:ascii="Microsoft Sans Serif" w:hAnsi="Microsoft Sans Serif"/>
          <w:spacing w:val="-2"/>
          <w:sz w:val="19"/>
        </w:rPr>
        <w:t>intravenosa.</w:t>
      </w:r>
    </w:p>
    <w:p>
      <w:pPr>
        <w:spacing w:after="0"/>
        <w:jc w:val="left"/>
        <w:rPr>
          <w:rFonts w:ascii="Microsoft Sans Serif" w:hAnsi="Microsoft Sans Serif"/>
          <w:sz w:val="19"/>
        </w:rPr>
        <w:sectPr>
          <w:pgSz w:w="11900" w:h="16840"/>
          <w:pgMar w:top="260" w:bottom="280" w:left="566" w:right="141"/>
        </w:sectPr>
      </w:pPr>
    </w:p>
    <w:p>
      <w:pPr>
        <w:spacing w:line="20" w:lineRule="exact"/>
        <w:ind w:left="68" w:right="0" w:firstLine="0"/>
        <w:rPr>
          <w:rFonts w:ascii="Microsoft Sans Serif"/>
          <w:sz w:val="2"/>
        </w:rPr>
      </w:pPr>
      <w:r>
        <w:rPr>
          <w:rFonts w:ascii="Microsoft Sans Serif"/>
          <w:sz w:val="2"/>
        </w:rPr>
        <mc:AlternateContent>
          <mc:Choice Requires="wps">
            <w:drawing>
              <wp:inline distT="0" distB="0" distL="0" distR="0">
                <wp:extent cx="1141095" cy="6350"/>
                <wp:effectExtent l="9525" t="0" r="1905" b="3175"/>
                <wp:docPr id="51" name="Group 51"/>
                <wp:cNvGraphicFramePr>
                  <a:graphicFrameLocks/>
                </wp:cNvGraphicFramePr>
                <a:graphic>
                  <a:graphicData uri="http://schemas.microsoft.com/office/word/2010/wordprocessingGroup">
                    <wpg:wgp>
                      <wpg:cNvPr id="51" name="Group 51"/>
                      <wpg:cNvGrpSpPr/>
                      <wpg:grpSpPr>
                        <a:xfrm>
                          <a:off x="0" y="0"/>
                          <a:ext cx="1141095" cy="6350"/>
                          <a:chExt cx="1141095" cy="6350"/>
                        </a:xfrm>
                      </wpg:grpSpPr>
                      <wps:wsp>
                        <wps:cNvPr id="52" name="Graphic 52"/>
                        <wps:cNvSpPr/>
                        <wps:spPr>
                          <a:xfrm>
                            <a:off x="0" y="2929"/>
                            <a:ext cx="1141095" cy="1270"/>
                          </a:xfrm>
                          <a:custGeom>
                            <a:avLst/>
                            <a:gdLst/>
                            <a:ahLst/>
                            <a:cxnLst/>
                            <a:rect l="l" t="t" r="r" b="b"/>
                            <a:pathLst>
                              <a:path w="1141095" h="0">
                                <a:moveTo>
                                  <a:pt x="0" y="0"/>
                                </a:moveTo>
                                <a:lnTo>
                                  <a:pt x="1141091" y="0"/>
                                </a:lnTo>
                              </a:path>
                            </a:pathLst>
                          </a:custGeom>
                          <a:ln w="58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85pt;height:.5pt;mso-position-horizontal-relative:char;mso-position-vertical-relative:line" id="docshapegroup34" coordorigin="0,0" coordsize="1797,10">
                <v:line style="position:absolute" from="0,5" to="1797,5" stroked="true" strokeweight=".461261pt" strokecolor="#000000">
                  <v:stroke dashstyle="solid"/>
                </v:line>
              </v:group>
            </w:pict>
          </mc:Fallback>
        </mc:AlternateContent>
      </w:r>
      <w:r>
        <w:rPr>
          <w:rFonts w:ascii="Microsoft Sans Serif"/>
          <w:sz w:val="2"/>
        </w:rPr>
      </w:r>
    </w:p>
    <w:p>
      <w:pPr>
        <w:spacing w:line="300" w:lineRule="auto" w:before="88"/>
        <w:ind w:left="68" w:right="497" w:firstLine="0"/>
        <w:jc w:val="left"/>
        <w:rPr>
          <w:sz w:val="20"/>
        </w:rPr>
      </w:pPr>
      <w:r>
        <w:rPr>
          <w:color w:val="505050"/>
          <w:sz w:val="20"/>
        </w:rPr>
        <w:t>*</w:t>
      </w:r>
      <w:r>
        <w:rPr>
          <w:sz w:val="20"/>
        </w:rPr>
        <w:t>Valores</w:t>
      </w:r>
      <w:r>
        <w:rPr>
          <w:spacing w:val="18"/>
          <w:sz w:val="20"/>
        </w:rPr>
        <w:t> </w:t>
      </w:r>
      <w:r>
        <w:rPr>
          <w:sz w:val="20"/>
        </w:rPr>
        <w:t>de</w:t>
      </w:r>
      <w:r>
        <w:rPr>
          <w:spacing w:val="24"/>
          <w:sz w:val="20"/>
        </w:rPr>
        <w:t> </w:t>
      </w:r>
      <w:r>
        <w:rPr>
          <w:sz w:val="20"/>
        </w:rPr>
        <w:t>potássio</w:t>
      </w:r>
      <w:r>
        <w:rPr>
          <w:spacing w:val="10"/>
          <w:sz w:val="20"/>
        </w:rPr>
        <w:t> </w:t>
      </w:r>
      <w:r>
        <w:rPr>
          <w:sz w:val="20"/>
        </w:rPr>
        <w:t>normais</w:t>
      </w:r>
      <w:r>
        <w:rPr>
          <w:spacing w:val="18"/>
          <w:sz w:val="20"/>
        </w:rPr>
        <w:t> </w:t>
      </w:r>
      <w:r>
        <w:rPr>
          <w:sz w:val="20"/>
        </w:rPr>
        <w:t>são</w:t>
      </w:r>
      <w:r>
        <w:rPr>
          <w:spacing w:val="10"/>
          <w:sz w:val="20"/>
        </w:rPr>
        <w:t> </w:t>
      </w:r>
      <w:r>
        <w:rPr>
          <w:sz w:val="20"/>
        </w:rPr>
        <w:t>frequentemente</w:t>
      </w:r>
      <w:r>
        <w:rPr>
          <w:spacing w:val="24"/>
          <w:sz w:val="20"/>
        </w:rPr>
        <w:t> </w:t>
      </w:r>
      <w:r>
        <w:rPr>
          <w:sz w:val="20"/>
        </w:rPr>
        <w:t>encontrados</w:t>
      </w:r>
      <w:r>
        <w:rPr>
          <w:spacing w:val="18"/>
          <w:sz w:val="20"/>
        </w:rPr>
        <w:t> </w:t>
      </w:r>
      <w:r>
        <w:rPr>
          <w:sz w:val="20"/>
        </w:rPr>
        <w:t>no</w:t>
      </w:r>
      <w:r>
        <w:rPr>
          <w:spacing w:val="10"/>
          <w:sz w:val="20"/>
        </w:rPr>
        <w:t> </w:t>
      </w:r>
      <w:r>
        <w:rPr>
          <w:sz w:val="20"/>
        </w:rPr>
        <w:t>hiperaldosteronismo</w:t>
      </w:r>
      <w:r>
        <w:rPr>
          <w:spacing w:val="10"/>
          <w:sz w:val="20"/>
        </w:rPr>
        <w:t> </w:t>
      </w:r>
      <w:r>
        <w:rPr>
          <w:sz w:val="20"/>
        </w:rPr>
        <w:t>primário.</w:t>
      </w:r>
      <w:r>
        <w:rPr>
          <w:spacing w:val="13"/>
          <w:sz w:val="20"/>
        </w:rPr>
        <w:t> </w:t>
      </w:r>
      <w:r>
        <w:rPr>
          <w:sz w:val="20"/>
        </w:rPr>
        <w:t>Portanto,</w:t>
      </w:r>
      <w:r>
        <w:rPr>
          <w:spacing w:val="13"/>
          <w:sz w:val="20"/>
        </w:rPr>
        <w:t> </w:t>
      </w:r>
      <w:r>
        <w:rPr>
          <w:sz w:val="20"/>
        </w:rPr>
        <w:t>não</w:t>
      </w:r>
      <w:r>
        <w:rPr>
          <w:spacing w:val="10"/>
          <w:sz w:val="20"/>
        </w:rPr>
        <w:t> </w:t>
      </w:r>
      <w:r>
        <w:rPr>
          <w:sz w:val="20"/>
        </w:rPr>
        <w:t>se</w:t>
      </w:r>
      <w:r>
        <w:rPr>
          <w:spacing w:val="24"/>
          <w:sz w:val="20"/>
        </w:rPr>
        <w:t> </w:t>
      </w:r>
      <w:r>
        <w:rPr>
          <w:sz w:val="20"/>
        </w:rPr>
        <w:t>deve</w:t>
      </w:r>
      <w:r>
        <w:rPr>
          <w:spacing w:val="24"/>
          <w:sz w:val="20"/>
        </w:rPr>
        <w:t> </w:t>
      </w:r>
      <w:r>
        <w:rPr>
          <w:sz w:val="20"/>
        </w:rPr>
        <w:t>considerar a investigação do hiperaldosteronismo primário apenas na vigência de hipopotassemia.</w:t>
      </w:r>
    </w:p>
    <w:p>
      <w:pPr>
        <w:spacing w:after="0" w:line="300" w:lineRule="auto"/>
        <w:jc w:val="left"/>
        <w:rPr>
          <w:sz w:val="20"/>
        </w:rPr>
        <w:sectPr>
          <w:pgSz w:w="11900" w:h="16840"/>
          <w:pgMar w:top="520" w:bottom="280" w:left="566" w:right="141"/>
        </w:sectPr>
      </w:pPr>
    </w:p>
    <w:p>
      <w:pPr>
        <w:pStyle w:val="Heading1"/>
      </w:pPr>
      <w:r>
        <w:rPr>
          <w:color w:val="A26108"/>
        </w:rPr>
        <w:t>Capítulo</w:t>
      </w:r>
      <w:r>
        <w:rPr>
          <w:color w:val="A26108"/>
          <w:spacing w:val="24"/>
        </w:rPr>
        <w:t> </w:t>
      </w:r>
      <w:r>
        <w:rPr>
          <w:color w:val="A26108"/>
          <w:spacing w:val="-5"/>
        </w:rPr>
        <w:t>58</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08320">
                <wp:simplePos x="0" y="0"/>
                <wp:positionH relativeFrom="page">
                  <wp:posOffset>401543</wp:posOffset>
                </wp:positionH>
                <wp:positionV relativeFrom="paragraph">
                  <wp:posOffset>64325</wp:posOffset>
                </wp:positionV>
                <wp:extent cx="6753225" cy="1079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708160;mso-wrap-distance-left:0;mso-wrap-distance-right:0" id="docshape35" filled="true" fillcolor="#242b67" stroked="false">
                <v:fill type="solid"/>
                <w10:wrap type="topAndBottom"/>
              </v:rect>
            </w:pict>
          </mc:Fallback>
        </mc:AlternateContent>
      </w:r>
    </w:p>
    <w:p>
      <w:pPr>
        <w:pStyle w:val="Heading1"/>
        <w:spacing w:line="273" w:lineRule="auto" w:before="138" w:after="19"/>
        <w:ind w:right="809"/>
      </w:pPr>
      <w:r>
        <w:rPr>
          <w:color w:val="A26108"/>
        </w:rPr>
        <w:t>Cirurgia do Aneurisma e da Dissecção </w:t>
      </w:r>
      <w:r>
        <w:rPr>
          <w:color w:val="A26108"/>
        </w:rPr>
        <w:t>da Aorta Torácica</w:t>
      </w:r>
    </w:p>
    <w:p>
      <w:pPr>
        <w:spacing w:line="20" w:lineRule="exact"/>
        <w:ind w:left="66" w:right="0" w:firstLine="0"/>
        <w:rPr>
          <w:rFonts w:ascii="Microsoft Sans Serif"/>
          <w:sz w:val="2"/>
        </w:rPr>
      </w:pPr>
      <w:r>
        <w:rPr>
          <w:rFonts w:ascii="Microsoft Sans Serif"/>
          <w:sz w:val="2"/>
        </w:rPr>
        <mc:AlternateContent>
          <mc:Choice Requires="wps">
            <w:drawing>
              <wp:inline distT="0" distB="0" distL="0" distR="0">
                <wp:extent cx="6753225" cy="10795"/>
                <wp:effectExtent l="0" t="0" r="0" b="0"/>
                <wp:docPr id="54" name="Group 54"/>
                <wp:cNvGraphicFramePr>
                  <a:graphicFrameLocks/>
                </wp:cNvGraphicFramePr>
                <a:graphic>
                  <a:graphicData uri="http://schemas.microsoft.com/office/word/2010/wordprocessingGroup">
                    <wpg:wgp>
                      <wpg:cNvPr id="54" name="Group 54"/>
                      <wpg:cNvGrpSpPr/>
                      <wpg:grpSpPr>
                        <a:xfrm>
                          <a:off x="0" y="0"/>
                          <a:ext cx="6753225" cy="10795"/>
                          <a:chExt cx="6753225" cy="10795"/>
                        </a:xfrm>
                      </wpg:grpSpPr>
                      <wps:wsp>
                        <wps:cNvPr id="55" name="Graphic 55"/>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wpg:wgp>
                  </a:graphicData>
                </a:graphic>
              </wp:inline>
            </w:drawing>
          </mc:Choice>
          <mc:Fallback>
            <w:pict>
              <v:group style="width:531.75pt;height:.85pt;mso-position-horizontal-relative:char;mso-position-vertical-relative:line" id="docshapegroup36" coordorigin="0,0" coordsize="10635,17">
                <v:rect style="position:absolute;left:0;top:0;width:10635;height:17" id="docshape37" filled="true" fillcolor="#242b67" stroked="false">
                  <v:fill type="solid"/>
                </v:rect>
              </v:group>
            </w:pict>
          </mc:Fallback>
        </mc:AlternateContent>
      </w:r>
      <w:r>
        <w:rPr>
          <w:rFonts w:ascii="Microsoft Sans Serif"/>
          <w:sz w:val="2"/>
        </w:rPr>
      </w:r>
    </w:p>
    <w:p>
      <w:pPr>
        <w:spacing w:before="114"/>
        <w:ind w:left="68" w:right="0" w:firstLine="0"/>
        <w:jc w:val="left"/>
        <w:rPr>
          <w:rFonts w:ascii="Arial" w:hAnsi="Arial"/>
          <w:i/>
          <w:sz w:val="25"/>
        </w:rPr>
      </w:pPr>
      <w:r>
        <w:rPr>
          <w:rFonts w:ascii="Arial" w:hAnsi="Arial"/>
          <w:i/>
          <w:sz w:val="25"/>
        </w:rPr>
        <w:t>Ricardo</w:t>
      </w:r>
      <w:r>
        <w:rPr>
          <w:rFonts w:ascii="Arial" w:hAnsi="Arial"/>
          <w:i/>
          <w:spacing w:val="14"/>
          <w:sz w:val="25"/>
        </w:rPr>
        <w:t> </w:t>
      </w:r>
      <w:r>
        <w:rPr>
          <w:rFonts w:ascii="Arial" w:hAnsi="Arial"/>
          <w:i/>
          <w:sz w:val="25"/>
        </w:rPr>
        <w:t>Ribeiro</w:t>
      </w:r>
      <w:r>
        <w:rPr>
          <w:rFonts w:ascii="Arial" w:hAnsi="Arial"/>
          <w:i/>
          <w:spacing w:val="14"/>
          <w:sz w:val="25"/>
        </w:rPr>
        <w:t> </w:t>
      </w:r>
      <w:r>
        <w:rPr>
          <w:rFonts w:ascii="Arial" w:hAnsi="Arial"/>
          <w:i/>
          <w:sz w:val="25"/>
        </w:rPr>
        <w:t>Dias</w:t>
      </w:r>
      <w:r>
        <w:rPr>
          <w:rFonts w:ascii="Arial" w:hAnsi="Arial"/>
          <w:i/>
          <w:spacing w:val="15"/>
          <w:sz w:val="25"/>
        </w:rPr>
        <w:t> </w:t>
      </w:r>
      <w:r>
        <w:rPr>
          <w:rFonts w:ascii="Arial" w:hAnsi="Arial"/>
          <w:i/>
          <w:sz w:val="25"/>
        </w:rPr>
        <w:t>e</w:t>
      </w:r>
      <w:r>
        <w:rPr>
          <w:rFonts w:ascii="Arial" w:hAnsi="Arial"/>
          <w:i/>
          <w:spacing w:val="14"/>
          <w:sz w:val="25"/>
        </w:rPr>
        <w:t> </w:t>
      </w:r>
      <w:r>
        <w:rPr>
          <w:rFonts w:ascii="Arial" w:hAnsi="Arial"/>
          <w:i/>
          <w:sz w:val="25"/>
        </w:rPr>
        <w:t>Noedir</w:t>
      </w:r>
      <w:r>
        <w:rPr>
          <w:rFonts w:ascii="Arial" w:hAnsi="Arial"/>
          <w:i/>
          <w:spacing w:val="15"/>
          <w:sz w:val="25"/>
        </w:rPr>
        <w:t> </w:t>
      </w:r>
      <w:r>
        <w:rPr>
          <w:rFonts w:ascii="Arial" w:hAnsi="Arial"/>
          <w:i/>
          <w:sz w:val="25"/>
        </w:rPr>
        <w:t>Antônio</w:t>
      </w:r>
      <w:r>
        <w:rPr>
          <w:rFonts w:ascii="Arial" w:hAnsi="Arial"/>
          <w:i/>
          <w:spacing w:val="14"/>
          <w:sz w:val="25"/>
        </w:rPr>
        <w:t> </w:t>
      </w:r>
      <w:r>
        <w:rPr>
          <w:rFonts w:ascii="Arial" w:hAnsi="Arial"/>
          <w:i/>
          <w:sz w:val="25"/>
        </w:rPr>
        <w:t>Groppo</w:t>
      </w:r>
      <w:r>
        <w:rPr>
          <w:rFonts w:ascii="Arial" w:hAnsi="Arial"/>
          <w:i/>
          <w:spacing w:val="15"/>
          <w:sz w:val="25"/>
        </w:rPr>
        <w:t> </w:t>
      </w:r>
      <w:r>
        <w:rPr>
          <w:rFonts w:ascii="Arial" w:hAnsi="Arial"/>
          <w:i/>
          <w:spacing w:val="-2"/>
          <w:sz w:val="25"/>
        </w:rPr>
        <w:t>Stolf</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pPr>
      <w:r>
        <w:rPr>
          <w:color w:val="242B67"/>
          <w:spacing w:val="-2"/>
        </w:rPr>
        <w:t>Introdução</w:t>
      </w:r>
    </w:p>
    <w:p>
      <w:pPr>
        <w:pStyle w:val="BodyText"/>
        <w:spacing w:line="276" w:lineRule="auto" w:before="132"/>
        <w:ind w:right="491"/>
      </w:pPr>
      <w:r>
        <w:rPr/>
        <w:t>A aorta é o maior vaso do corpo humano. Durante um período normal de vida, absorve o impacto de 2,3 a 3 bilhões de</w:t>
      </w:r>
      <w:r>
        <w:rPr>
          <w:spacing w:val="-4"/>
        </w:rPr>
        <w:t> </w:t>
      </w:r>
      <w:r>
        <w:rPr/>
        <w:t>batimentos cardíacos enquanto</w:t>
      </w:r>
      <w:r>
        <w:rPr>
          <w:spacing w:val="-1"/>
        </w:rPr>
        <w:t> </w:t>
      </w:r>
      <w:r>
        <w:rPr/>
        <w:t>distribui aproximadamente</w:t>
      </w:r>
      <w:r>
        <w:rPr>
          <w:spacing w:val="-4"/>
        </w:rPr>
        <w:t> </w:t>
      </w:r>
      <w:r>
        <w:rPr/>
        <w:t>2</w:t>
      </w:r>
      <w:r>
        <w:rPr>
          <w:spacing w:val="-1"/>
        </w:rPr>
        <w:t> </w:t>
      </w:r>
      <w:r>
        <w:rPr/>
        <w:t>milhões de</w:t>
      </w:r>
      <w:r>
        <w:rPr>
          <w:spacing w:val="-4"/>
        </w:rPr>
        <w:t> </w:t>
      </w:r>
      <w:r>
        <w:rPr/>
        <w:t>litros de</w:t>
      </w:r>
      <w:r>
        <w:rPr>
          <w:spacing w:val="-4"/>
        </w:rPr>
        <w:t> </w:t>
      </w:r>
      <w:r>
        <w:rPr/>
        <w:t>sangue</w:t>
      </w:r>
      <w:r>
        <w:rPr>
          <w:spacing w:val="-4"/>
        </w:rPr>
        <w:t> </w:t>
      </w:r>
      <w:r>
        <w:rPr/>
        <w:t>pelo</w:t>
      </w:r>
      <w:r>
        <w:rPr>
          <w:spacing w:val="-1"/>
        </w:rPr>
        <w:t> </w:t>
      </w:r>
      <w:r>
        <w:rPr/>
        <w:t>corpo.</w:t>
      </w:r>
    </w:p>
    <w:p>
      <w:pPr>
        <w:pStyle w:val="BodyText"/>
        <w:spacing w:line="276" w:lineRule="auto" w:before="64"/>
        <w:ind w:right="488"/>
      </w:pPr>
      <w:r>
        <w:rPr/>
        <w:t>A aorta torácica é dividida em três segmentos. O segmento inicial, ou aorta ascendente, é dividido em dois. A porção proximal, que se estende da valva aórtica à junção sinotubular, que compreende os seios de Valsalva, que sustenta</w:t>
      </w:r>
      <w:r>
        <w:rPr>
          <w:spacing w:val="-2"/>
        </w:rPr>
        <w:t> </w:t>
      </w:r>
      <w:r>
        <w:rPr/>
        <w:t>as válvulas da</w:t>
      </w:r>
      <w:r>
        <w:rPr>
          <w:spacing w:val="-2"/>
        </w:rPr>
        <w:t> </w:t>
      </w:r>
      <w:r>
        <w:rPr/>
        <w:t>valva</w:t>
      </w:r>
      <w:r>
        <w:rPr>
          <w:spacing w:val="-2"/>
        </w:rPr>
        <w:t> </w:t>
      </w:r>
      <w:r>
        <w:rPr/>
        <w:t>aórtica</w:t>
      </w:r>
      <w:r>
        <w:rPr>
          <w:spacing w:val="-2"/>
        </w:rPr>
        <w:t> </w:t>
      </w:r>
      <w:r>
        <w:rPr/>
        <w:t>e</w:t>
      </w:r>
      <w:r>
        <w:rPr>
          <w:spacing w:val="-2"/>
        </w:rPr>
        <w:t> </w:t>
      </w:r>
      <w:r>
        <w:rPr/>
        <w:t>de</w:t>
      </w:r>
      <w:r>
        <w:rPr>
          <w:spacing w:val="-2"/>
        </w:rPr>
        <w:t> </w:t>
      </w:r>
      <w:r>
        <w:rPr/>
        <w:t>onde</w:t>
      </w:r>
      <w:r>
        <w:rPr>
          <w:spacing w:val="-2"/>
        </w:rPr>
        <w:t> </w:t>
      </w:r>
      <w:r>
        <w:rPr/>
        <w:t>se</w:t>
      </w:r>
      <w:r>
        <w:rPr>
          <w:spacing w:val="-2"/>
        </w:rPr>
        <w:t> </w:t>
      </w:r>
      <w:r>
        <w:rPr/>
        <w:t>originam os óstios coronarianos, e</w:t>
      </w:r>
      <w:r>
        <w:rPr>
          <w:spacing w:val="-2"/>
        </w:rPr>
        <w:t> </w:t>
      </w:r>
      <w:r>
        <w:rPr/>
        <w:t>a</w:t>
      </w:r>
      <w:r>
        <w:rPr>
          <w:spacing w:val="-2"/>
        </w:rPr>
        <w:t> </w:t>
      </w:r>
      <w:r>
        <w:rPr/>
        <w:t>porção distal, que</w:t>
      </w:r>
      <w:r>
        <w:rPr>
          <w:spacing w:val="-2"/>
        </w:rPr>
        <w:t> </w:t>
      </w:r>
      <w:r>
        <w:rPr/>
        <w:t>se</w:t>
      </w:r>
      <w:r>
        <w:rPr>
          <w:spacing w:val="-2"/>
        </w:rPr>
        <w:t> </w:t>
      </w:r>
      <w:r>
        <w:rPr/>
        <w:t>estende da junção sinotubular ao arco aórtico. O arco aórtico é o segmento médio, compreendido entre o início do tronco braquiocefálico e a artéria subclávia esquerda. O segmento distal, ou aorta descendente, se estende desde a artéria subclávia esquerda até o diafragma.</w:t>
      </w:r>
    </w:p>
    <w:p>
      <w:pPr>
        <w:pStyle w:val="BodyText"/>
        <w:spacing w:line="283" w:lineRule="auto"/>
        <w:ind w:right="488"/>
      </w:pPr>
      <w:r>
        <w:rPr/>
        <w:t>Os diâmetros médios das aortas normais nas porções da junção sinotubular, aorta ascendente, arco aórtico e aorta descendente são respectivamente de 3,0 cm, 3,1 cm, 2,8 cm e 2,5 cm (com desvios padrão médios de ± 0,2 </w:t>
      </w:r>
      <w:r>
        <w:rPr>
          <w:spacing w:val="-2"/>
        </w:rPr>
        <w:t>cm).</w:t>
      </w:r>
      <w:r>
        <w:rPr>
          <w:spacing w:val="-2"/>
          <w:vertAlign w:val="superscript"/>
        </w:rPr>
        <w:t>1</w:t>
      </w:r>
    </w:p>
    <w:p>
      <w:pPr>
        <w:pStyle w:val="BodyText"/>
        <w:spacing w:before="178"/>
        <w:ind w:left="0" w:firstLine="0"/>
        <w:jc w:val="left"/>
      </w:pPr>
    </w:p>
    <w:p>
      <w:pPr>
        <w:pStyle w:val="Heading4"/>
      </w:pPr>
      <w:r>
        <w:rPr>
          <w:color w:val="242B67"/>
        </w:rPr>
        <w:t>Patogênese dos aneurismas e dissecções da </w:t>
      </w:r>
      <w:r>
        <w:rPr>
          <w:color w:val="242B67"/>
          <w:spacing w:val="-2"/>
        </w:rPr>
        <w:t>aorta</w:t>
      </w:r>
    </w:p>
    <w:p>
      <w:pPr>
        <w:pStyle w:val="BodyText"/>
        <w:spacing w:line="276" w:lineRule="auto" w:before="132"/>
        <w:ind w:right="491"/>
      </w:pPr>
      <w:r>
        <w:rPr/>
        <w:t>A gênese dos aneurismas verdadeiros da aorta é um mecanismo complexo e multifatorial, contrariando o conceito</w:t>
      </w:r>
      <w:r>
        <w:rPr>
          <w:spacing w:val="-6"/>
        </w:rPr>
        <w:t> </w:t>
      </w:r>
      <w:r>
        <w:rPr/>
        <w:t>intuitivo</w:t>
      </w:r>
      <w:r>
        <w:rPr>
          <w:spacing w:val="-6"/>
        </w:rPr>
        <w:t> </w:t>
      </w:r>
      <w:r>
        <w:rPr/>
        <w:t>de</w:t>
      </w:r>
      <w:r>
        <w:rPr>
          <w:spacing w:val="-9"/>
        </w:rPr>
        <w:t> </w:t>
      </w:r>
      <w:r>
        <w:rPr/>
        <w:t>uma</w:t>
      </w:r>
      <w:r>
        <w:rPr>
          <w:spacing w:val="-9"/>
        </w:rPr>
        <w:t> </w:t>
      </w:r>
      <w:r>
        <w:rPr/>
        <w:t>dilatação</w:t>
      </w:r>
      <w:r>
        <w:rPr>
          <w:spacing w:val="-6"/>
        </w:rPr>
        <w:t> </w:t>
      </w:r>
      <w:r>
        <w:rPr/>
        <w:t>passiva</w:t>
      </w:r>
      <w:r>
        <w:rPr>
          <w:spacing w:val="-9"/>
        </w:rPr>
        <w:t> </w:t>
      </w:r>
      <w:r>
        <w:rPr/>
        <w:t>do</w:t>
      </w:r>
      <w:r>
        <w:rPr>
          <w:spacing w:val="-6"/>
        </w:rPr>
        <w:t> </w:t>
      </w:r>
      <w:r>
        <w:rPr/>
        <w:t>vaso</w:t>
      </w:r>
      <w:r>
        <w:rPr>
          <w:spacing w:val="-6"/>
        </w:rPr>
        <w:t> </w:t>
      </w:r>
      <w:r>
        <w:rPr/>
        <w:t>submetido</w:t>
      </w:r>
      <w:r>
        <w:rPr>
          <w:spacing w:val="-6"/>
        </w:rPr>
        <w:t> </w:t>
      </w:r>
      <w:r>
        <w:rPr/>
        <w:t>ao</w:t>
      </w:r>
      <w:r>
        <w:rPr>
          <w:spacing w:val="-6"/>
        </w:rPr>
        <w:t> </w:t>
      </w:r>
      <w:r>
        <w:rPr/>
        <w:t>estresse</w:t>
      </w:r>
      <w:r>
        <w:rPr>
          <w:spacing w:val="-9"/>
        </w:rPr>
        <w:t> </w:t>
      </w:r>
      <w:r>
        <w:rPr/>
        <w:t>hemodinâmico</w:t>
      </w:r>
      <w:r>
        <w:rPr>
          <w:spacing w:val="-6"/>
        </w:rPr>
        <w:t> </w:t>
      </w:r>
      <w:r>
        <w:rPr/>
        <w:t>e</w:t>
      </w:r>
      <w:r>
        <w:rPr>
          <w:spacing w:val="-9"/>
        </w:rPr>
        <w:t> </w:t>
      </w:r>
      <w:r>
        <w:rPr/>
        <w:t>à</w:t>
      </w:r>
      <w:r>
        <w:rPr>
          <w:spacing w:val="-9"/>
        </w:rPr>
        <w:t> </w:t>
      </w:r>
      <w:r>
        <w:rPr/>
        <w:t>degeneração</w:t>
      </w:r>
      <w:r>
        <w:rPr>
          <w:spacing w:val="-6"/>
        </w:rPr>
        <w:t> </w:t>
      </w:r>
      <w:r>
        <w:rPr/>
        <w:t>das fibras elásticas, inerente ao processo de envelhecimento. A partir do conhecimento desses mecanismos, é possível identificar pacientes em</w:t>
      </w:r>
      <w:r>
        <w:rPr>
          <w:spacing w:val="-6"/>
        </w:rPr>
        <w:t> </w:t>
      </w:r>
      <w:r>
        <w:rPr/>
        <w:t>grupos de</w:t>
      </w:r>
      <w:r>
        <w:rPr>
          <w:spacing w:val="-8"/>
        </w:rPr>
        <w:t> </w:t>
      </w:r>
      <w:r>
        <w:rPr/>
        <w:t>risco</w:t>
      </w:r>
      <w:r>
        <w:rPr>
          <w:spacing w:val="-5"/>
        </w:rPr>
        <w:t> </w:t>
      </w:r>
      <w:r>
        <w:rPr/>
        <w:t>ou</w:t>
      </w:r>
      <w:r>
        <w:rPr>
          <w:spacing w:val="-5"/>
        </w:rPr>
        <w:t> </w:t>
      </w:r>
      <w:r>
        <w:rPr/>
        <w:t>aqueles já</w:t>
      </w:r>
      <w:r>
        <w:rPr>
          <w:spacing w:val="-8"/>
        </w:rPr>
        <w:t> </w:t>
      </w:r>
      <w:r>
        <w:rPr/>
        <w:t>acometidos pela</w:t>
      </w:r>
      <w:r>
        <w:rPr>
          <w:spacing w:val="-8"/>
        </w:rPr>
        <w:t> </w:t>
      </w:r>
      <w:r>
        <w:rPr/>
        <w:t>doença</w:t>
      </w:r>
      <w:r>
        <w:rPr>
          <w:spacing w:val="-8"/>
        </w:rPr>
        <w:t> </w:t>
      </w:r>
      <w:r>
        <w:rPr/>
        <w:t>e</w:t>
      </w:r>
      <w:r>
        <w:rPr>
          <w:spacing w:val="-8"/>
        </w:rPr>
        <w:t> </w:t>
      </w:r>
      <w:r>
        <w:rPr/>
        <w:t>vulneráveis as suas complicações e esperar o desenvolvimento de tratamentos específicos, locais ou sistêmicos, para evitar, retardar ou interromper o desenvolvimento da dilatação progressiva, que leva a</w:t>
      </w:r>
      <w:r>
        <w:rPr>
          <w:spacing w:val="-1"/>
        </w:rPr>
        <w:t> </w:t>
      </w:r>
      <w:r>
        <w:rPr/>
        <w:t>ruptura do aneurisma e morte</w:t>
      </w:r>
      <w:r>
        <w:rPr>
          <w:spacing w:val="-1"/>
        </w:rPr>
        <w:t> </w:t>
      </w:r>
      <w:r>
        <w:rPr/>
        <w:t>do paciente.</w:t>
      </w:r>
    </w:p>
    <w:p>
      <w:pPr>
        <w:pStyle w:val="BodyText"/>
        <w:spacing w:line="278" w:lineRule="auto" w:before="49"/>
        <w:ind w:right="491"/>
      </w:pPr>
      <w:r>
        <w:rPr/>
        <w:t>Nos últimos anos, muito</w:t>
      </w:r>
      <w:r>
        <w:rPr>
          <w:spacing w:val="-4"/>
        </w:rPr>
        <w:t> </w:t>
      </w:r>
      <w:r>
        <w:rPr/>
        <w:t>se</w:t>
      </w:r>
      <w:r>
        <w:rPr>
          <w:spacing w:val="-6"/>
        </w:rPr>
        <w:t> </w:t>
      </w:r>
      <w:r>
        <w:rPr/>
        <w:t>evoluiu</w:t>
      </w:r>
      <w:r>
        <w:rPr>
          <w:spacing w:val="-4"/>
        </w:rPr>
        <w:t> </w:t>
      </w:r>
      <w:r>
        <w:rPr/>
        <w:t>na</w:t>
      </w:r>
      <w:r>
        <w:rPr>
          <w:spacing w:val="-6"/>
        </w:rPr>
        <w:t> </w:t>
      </w:r>
      <w:r>
        <w:rPr/>
        <w:t>compreensão</w:t>
      </w:r>
      <w:r>
        <w:rPr>
          <w:spacing w:val="-4"/>
        </w:rPr>
        <w:t> </w:t>
      </w:r>
      <w:r>
        <w:rPr/>
        <w:t>da</w:t>
      </w:r>
      <w:r>
        <w:rPr>
          <w:spacing w:val="-6"/>
        </w:rPr>
        <w:t> </w:t>
      </w:r>
      <w:r>
        <w:rPr/>
        <w:t>intensa</w:t>
      </w:r>
      <w:r>
        <w:rPr>
          <w:spacing w:val="-6"/>
        </w:rPr>
        <w:t> </w:t>
      </w:r>
      <w:r>
        <w:rPr/>
        <w:t>atividade</w:t>
      </w:r>
      <w:r>
        <w:rPr>
          <w:spacing w:val="-6"/>
        </w:rPr>
        <w:t> </w:t>
      </w:r>
      <w:r>
        <w:rPr/>
        <w:t>metabólica</w:t>
      </w:r>
      <w:r>
        <w:rPr>
          <w:spacing w:val="-6"/>
        </w:rPr>
        <w:t> </w:t>
      </w:r>
      <w:r>
        <w:rPr/>
        <w:t>que</w:t>
      </w:r>
      <w:r>
        <w:rPr>
          <w:spacing w:val="-6"/>
        </w:rPr>
        <w:t> </w:t>
      </w:r>
      <w:r>
        <w:rPr/>
        <w:t>caracteriza</w:t>
      </w:r>
      <w:r>
        <w:rPr>
          <w:spacing w:val="-6"/>
        </w:rPr>
        <w:t> </w:t>
      </w:r>
      <w:r>
        <w:rPr/>
        <w:t>a</w:t>
      </w:r>
      <w:r>
        <w:rPr>
          <w:spacing w:val="-6"/>
        </w:rPr>
        <w:t> </w:t>
      </w:r>
      <w:r>
        <w:rPr/>
        <w:t>parede</w:t>
      </w:r>
      <w:r>
        <w:rPr>
          <w:spacing w:val="-6"/>
        </w:rPr>
        <w:t> </w:t>
      </w:r>
      <w:r>
        <w:rPr/>
        <w:t>do aneurisma, com</w:t>
      </w:r>
      <w:r>
        <w:rPr>
          <w:spacing w:val="-1"/>
        </w:rPr>
        <w:t> </w:t>
      </w:r>
      <w:r>
        <w:rPr/>
        <w:t>o</w:t>
      </w:r>
      <w:r>
        <w:rPr>
          <w:spacing w:val="-1"/>
        </w:rPr>
        <w:t> </w:t>
      </w:r>
      <w:r>
        <w:rPr/>
        <w:t>desequilíbrio</w:t>
      </w:r>
      <w:r>
        <w:rPr>
          <w:spacing w:val="-1"/>
        </w:rPr>
        <w:t> </w:t>
      </w:r>
      <w:r>
        <w:rPr/>
        <w:t>entre</w:t>
      </w:r>
      <w:r>
        <w:rPr>
          <w:spacing w:val="-3"/>
        </w:rPr>
        <w:t> </w:t>
      </w:r>
      <w:r>
        <w:rPr/>
        <w:t>a</w:t>
      </w:r>
      <w:r>
        <w:rPr>
          <w:spacing w:val="-3"/>
        </w:rPr>
        <w:t> </w:t>
      </w:r>
      <w:r>
        <w:rPr/>
        <w:t>produção</w:t>
      </w:r>
      <w:r>
        <w:rPr>
          <w:spacing w:val="-1"/>
        </w:rPr>
        <w:t> </w:t>
      </w:r>
      <w:r>
        <w:rPr/>
        <w:t>e</w:t>
      </w:r>
      <w:r>
        <w:rPr>
          <w:spacing w:val="-3"/>
        </w:rPr>
        <w:t> </w:t>
      </w:r>
      <w:r>
        <w:rPr/>
        <w:t>a</w:t>
      </w:r>
      <w:r>
        <w:rPr>
          <w:spacing w:val="-3"/>
        </w:rPr>
        <w:t> </w:t>
      </w:r>
      <w:r>
        <w:rPr/>
        <w:t>destruição</w:t>
      </w:r>
      <w:r>
        <w:rPr>
          <w:spacing w:val="-1"/>
        </w:rPr>
        <w:t> </w:t>
      </w:r>
      <w:r>
        <w:rPr/>
        <w:t>de</w:t>
      </w:r>
      <w:r>
        <w:rPr>
          <w:spacing w:val="-3"/>
        </w:rPr>
        <w:t> </w:t>
      </w:r>
      <w:r>
        <w:rPr/>
        <w:t>proteínas estruturais –</w:t>
      </w:r>
      <w:r>
        <w:rPr>
          <w:spacing w:val="-1"/>
        </w:rPr>
        <w:t> </w:t>
      </w:r>
      <w:r>
        <w:rPr/>
        <w:t>da</w:t>
      </w:r>
      <w:r>
        <w:rPr>
          <w:spacing w:val="-3"/>
        </w:rPr>
        <w:t> </w:t>
      </w:r>
      <w:r>
        <w:rPr/>
        <w:t>elastina</w:t>
      </w:r>
      <w:r>
        <w:rPr>
          <w:spacing w:val="-3"/>
        </w:rPr>
        <w:t> </w:t>
      </w:r>
      <w:r>
        <w:rPr/>
        <w:t>e</w:t>
      </w:r>
      <w:r>
        <w:rPr>
          <w:spacing w:val="-3"/>
        </w:rPr>
        <w:t> </w:t>
      </w:r>
      <w:r>
        <w:rPr/>
        <w:t>do</w:t>
      </w:r>
      <w:r>
        <w:rPr>
          <w:spacing w:val="-1"/>
        </w:rPr>
        <w:t> </w:t>
      </w:r>
      <w:r>
        <w:rPr/>
        <w:t>colágeno, principalmente. Embora</w:t>
      </w:r>
      <w:r>
        <w:rPr>
          <w:spacing w:val="-6"/>
        </w:rPr>
        <w:t> </w:t>
      </w:r>
      <w:r>
        <w:rPr/>
        <w:t>a</w:t>
      </w:r>
      <w:r>
        <w:rPr>
          <w:spacing w:val="-6"/>
        </w:rPr>
        <w:t> </w:t>
      </w:r>
      <w:r>
        <w:rPr/>
        <w:t>destruição</w:t>
      </w:r>
      <w:r>
        <w:rPr>
          <w:spacing w:val="-4"/>
        </w:rPr>
        <w:t> </w:t>
      </w:r>
      <w:r>
        <w:rPr/>
        <w:t>dessas proteínas estruturais da</w:t>
      </w:r>
      <w:r>
        <w:rPr>
          <w:spacing w:val="-6"/>
        </w:rPr>
        <w:t> </w:t>
      </w:r>
      <w:r>
        <w:rPr/>
        <w:t>camada</w:t>
      </w:r>
      <w:r>
        <w:rPr>
          <w:spacing w:val="-6"/>
        </w:rPr>
        <w:t> </w:t>
      </w:r>
      <w:r>
        <w:rPr/>
        <w:t>média</w:t>
      </w:r>
      <w:r>
        <w:rPr>
          <w:spacing w:val="-6"/>
        </w:rPr>
        <w:t> </w:t>
      </w:r>
      <w:r>
        <w:rPr/>
        <w:t>seja</w:t>
      </w:r>
      <w:r>
        <w:rPr>
          <w:spacing w:val="-6"/>
        </w:rPr>
        <w:t> </w:t>
      </w:r>
      <w:r>
        <w:rPr/>
        <w:t>o</w:t>
      </w:r>
      <w:r>
        <w:rPr>
          <w:spacing w:val="-4"/>
        </w:rPr>
        <w:t> </w:t>
      </w:r>
      <w:r>
        <w:rPr/>
        <w:t>evento</w:t>
      </w:r>
      <w:r>
        <w:rPr>
          <w:spacing w:val="-4"/>
        </w:rPr>
        <w:t> </w:t>
      </w:r>
      <w:r>
        <w:rPr/>
        <w:t>final</w:t>
      </w:r>
      <w:r>
        <w:rPr>
          <w:spacing w:val="-1"/>
        </w:rPr>
        <w:t> </w:t>
      </w:r>
      <w:r>
        <w:rPr/>
        <w:t>de</w:t>
      </w:r>
      <w:r>
        <w:rPr>
          <w:spacing w:val="-6"/>
        </w:rPr>
        <w:t> </w:t>
      </w:r>
      <w:r>
        <w:rPr/>
        <w:t>uma</w:t>
      </w:r>
      <w:r>
        <w:rPr>
          <w:spacing w:val="-6"/>
        </w:rPr>
        <w:t> </w:t>
      </w:r>
      <w:r>
        <w:rPr/>
        <w:t>longa cadeia de eventos, a camada adventícia é de suma importância na patogênese da doença. Não há dilatação arterial antes do</w:t>
      </w:r>
      <w:r>
        <w:rPr>
          <w:spacing w:val="-1"/>
        </w:rPr>
        <w:t> </w:t>
      </w:r>
      <w:r>
        <w:rPr/>
        <w:t>acometimento</w:t>
      </w:r>
      <w:r>
        <w:rPr>
          <w:spacing w:val="-1"/>
        </w:rPr>
        <w:t> </w:t>
      </w:r>
      <w:r>
        <w:rPr/>
        <w:t>inflamatório</w:t>
      </w:r>
      <w:r>
        <w:rPr>
          <w:spacing w:val="-1"/>
        </w:rPr>
        <w:t> </w:t>
      </w:r>
      <w:r>
        <w:rPr/>
        <w:t>da</w:t>
      </w:r>
      <w:r>
        <w:rPr>
          <w:spacing w:val="-3"/>
        </w:rPr>
        <w:t> </w:t>
      </w:r>
      <w:r>
        <w:rPr/>
        <w:t>adventícia.</w:t>
      </w:r>
      <w:r>
        <w:rPr>
          <w:vertAlign w:val="superscript"/>
        </w:rPr>
        <w:t>2</w:t>
      </w:r>
      <w:r>
        <w:rPr>
          <w:vertAlign w:val="baseline"/>
        </w:rPr>
        <w:t> Infelizmente, o mecanismo que</w:t>
      </w:r>
      <w:r>
        <w:rPr>
          <w:spacing w:val="-2"/>
          <w:vertAlign w:val="baseline"/>
        </w:rPr>
        <w:t> </w:t>
      </w:r>
      <w:r>
        <w:rPr>
          <w:vertAlign w:val="baseline"/>
        </w:rPr>
        <w:t>produz</w:t>
      </w:r>
      <w:r>
        <w:rPr>
          <w:spacing w:val="-2"/>
          <w:vertAlign w:val="baseline"/>
        </w:rPr>
        <w:t> </w:t>
      </w:r>
      <w:r>
        <w:rPr>
          <w:vertAlign w:val="baseline"/>
        </w:rPr>
        <w:t>a</w:t>
      </w:r>
      <w:r>
        <w:rPr>
          <w:spacing w:val="-2"/>
          <w:vertAlign w:val="baseline"/>
        </w:rPr>
        <w:t> </w:t>
      </w:r>
      <w:r>
        <w:rPr>
          <w:vertAlign w:val="baseline"/>
        </w:rPr>
        <w:t>lesão inicial e</w:t>
      </w:r>
      <w:r>
        <w:rPr>
          <w:spacing w:val="-2"/>
          <w:vertAlign w:val="baseline"/>
        </w:rPr>
        <w:t> </w:t>
      </w:r>
      <w:r>
        <w:rPr>
          <w:vertAlign w:val="baseline"/>
        </w:rPr>
        <w:t>dispara o</w:t>
      </w:r>
      <w:r>
        <w:rPr>
          <w:spacing w:val="-3"/>
          <w:vertAlign w:val="baseline"/>
        </w:rPr>
        <w:t> </w:t>
      </w:r>
      <w:r>
        <w:rPr>
          <w:vertAlign w:val="baseline"/>
        </w:rPr>
        <w:t>início</w:t>
      </w:r>
      <w:r>
        <w:rPr>
          <w:spacing w:val="-3"/>
          <w:vertAlign w:val="baseline"/>
        </w:rPr>
        <w:t> </w:t>
      </w:r>
      <w:r>
        <w:rPr>
          <w:vertAlign w:val="baseline"/>
        </w:rPr>
        <w:t>da</w:t>
      </w:r>
      <w:r>
        <w:rPr>
          <w:spacing w:val="-6"/>
          <w:vertAlign w:val="baseline"/>
        </w:rPr>
        <w:t> </w:t>
      </w:r>
      <w:r>
        <w:rPr>
          <w:vertAlign w:val="baseline"/>
        </w:rPr>
        <w:t>inflamação</w:t>
      </w:r>
      <w:r>
        <w:rPr>
          <w:spacing w:val="-3"/>
          <w:vertAlign w:val="baseline"/>
        </w:rPr>
        <w:t> </w:t>
      </w:r>
      <w:r>
        <w:rPr>
          <w:vertAlign w:val="baseline"/>
        </w:rPr>
        <w:t>e</w:t>
      </w:r>
      <w:r>
        <w:rPr>
          <w:spacing w:val="-6"/>
          <w:vertAlign w:val="baseline"/>
        </w:rPr>
        <w:t> </w:t>
      </w:r>
      <w:r>
        <w:rPr>
          <w:vertAlign w:val="baseline"/>
        </w:rPr>
        <w:t>destruição</w:t>
      </w:r>
      <w:r>
        <w:rPr>
          <w:spacing w:val="-3"/>
          <w:vertAlign w:val="baseline"/>
        </w:rPr>
        <w:t> </w:t>
      </w:r>
      <w:r>
        <w:rPr>
          <w:vertAlign w:val="baseline"/>
        </w:rPr>
        <w:t>da</w:t>
      </w:r>
      <w:r>
        <w:rPr>
          <w:spacing w:val="-6"/>
          <w:vertAlign w:val="baseline"/>
        </w:rPr>
        <w:t> </w:t>
      </w:r>
      <w:r>
        <w:rPr>
          <w:vertAlign w:val="baseline"/>
        </w:rPr>
        <w:t>parede</w:t>
      </w:r>
      <w:r>
        <w:rPr>
          <w:spacing w:val="-6"/>
          <w:vertAlign w:val="baseline"/>
        </w:rPr>
        <w:t> </w:t>
      </w:r>
      <w:r>
        <w:rPr>
          <w:vertAlign w:val="baseline"/>
        </w:rPr>
        <w:t>arterial é</w:t>
      </w:r>
      <w:r>
        <w:rPr>
          <w:spacing w:val="-6"/>
          <w:vertAlign w:val="baseline"/>
        </w:rPr>
        <w:t> </w:t>
      </w:r>
      <w:r>
        <w:rPr>
          <w:vertAlign w:val="baseline"/>
        </w:rPr>
        <w:t>o</w:t>
      </w:r>
      <w:r>
        <w:rPr>
          <w:spacing w:val="-3"/>
          <w:vertAlign w:val="baseline"/>
        </w:rPr>
        <w:t> </w:t>
      </w:r>
      <w:r>
        <w:rPr>
          <w:vertAlign w:val="baseline"/>
        </w:rPr>
        <w:t>passo</w:t>
      </w:r>
      <w:r>
        <w:rPr>
          <w:spacing w:val="-3"/>
          <w:vertAlign w:val="baseline"/>
        </w:rPr>
        <w:t> </w:t>
      </w:r>
      <w:r>
        <w:rPr>
          <w:vertAlign w:val="baseline"/>
        </w:rPr>
        <w:t>de</w:t>
      </w:r>
      <w:r>
        <w:rPr>
          <w:spacing w:val="-6"/>
          <w:vertAlign w:val="baseline"/>
        </w:rPr>
        <w:t> </w:t>
      </w:r>
      <w:r>
        <w:rPr>
          <w:vertAlign w:val="baseline"/>
        </w:rPr>
        <w:t>mais difícil elucidação, talvez</w:t>
      </w:r>
      <w:r>
        <w:rPr>
          <w:spacing w:val="-6"/>
          <w:vertAlign w:val="baseline"/>
        </w:rPr>
        <w:t> </w:t>
      </w:r>
      <w:r>
        <w:rPr>
          <w:vertAlign w:val="baseline"/>
        </w:rPr>
        <w:t>por corresponder a um processo em que múltiplos fatores, genéticos e ambientais, atuam simultaneamente.</w:t>
      </w:r>
    </w:p>
    <w:p>
      <w:pPr>
        <w:pStyle w:val="BodyText"/>
        <w:spacing w:line="276" w:lineRule="auto" w:before="63"/>
        <w:ind w:right="491"/>
      </w:pPr>
      <w:r>
        <w:rPr/>
        <w:t>Não surpreendentemente, complicando a compreensão desses fenômenos, essa patogênese pode variar muito entre</w:t>
      </w:r>
      <w:r>
        <w:rPr>
          <w:spacing w:val="-12"/>
        </w:rPr>
        <w:t> </w:t>
      </w:r>
      <w:r>
        <w:rPr/>
        <w:t>aneurismas</w:t>
      </w:r>
      <w:r>
        <w:rPr>
          <w:spacing w:val="-2"/>
        </w:rPr>
        <w:t> </w:t>
      </w:r>
      <w:r>
        <w:rPr/>
        <w:t>abdominais</w:t>
      </w:r>
      <w:r>
        <w:rPr>
          <w:spacing w:val="-2"/>
        </w:rPr>
        <w:t> </w:t>
      </w:r>
      <w:r>
        <w:rPr/>
        <w:t>e</w:t>
      </w:r>
      <w:r>
        <w:rPr>
          <w:spacing w:val="-12"/>
        </w:rPr>
        <w:t> </w:t>
      </w:r>
      <w:r>
        <w:rPr/>
        <w:t>torácicos</w:t>
      </w:r>
      <w:r>
        <w:rPr>
          <w:spacing w:val="-2"/>
        </w:rPr>
        <w:t> </w:t>
      </w:r>
      <w:r>
        <w:rPr/>
        <w:t>(e,</w:t>
      </w:r>
      <w:r>
        <w:rPr>
          <w:spacing w:val="-2"/>
        </w:rPr>
        <w:t> </w:t>
      </w:r>
      <w:r>
        <w:rPr/>
        <w:t>ainda,</w:t>
      </w:r>
      <w:r>
        <w:rPr>
          <w:spacing w:val="-2"/>
        </w:rPr>
        <w:t> </w:t>
      </w:r>
      <w:r>
        <w:rPr/>
        <w:t>ascendentes</w:t>
      </w:r>
      <w:r>
        <w:rPr>
          <w:spacing w:val="-2"/>
        </w:rPr>
        <w:t> </w:t>
      </w:r>
      <w:r>
        <w:rPr/>
        <w:t>ou</w:t>
      </w:r>
      <w:r>
        <w:rPr>
          <w:spacing w:val="-10"/>
        </w:rPr>
        <w:t> </w:t>
      </w:r>
      <w:r>
        <w:rPr/>
        <w:t>descendentes),</w:t>
      </w:r>
      <w:r>
        <w:rPr>
          <w:spacing w:val="-2"/>
        </w:rPr>
        <w:t> </w:t>
      </w:r>
      <w:r>
        <w:rPr/>
        <w:t>uma</w:t>
      </w:r>
      <w:r>
        <w:rPr>
          <w:spacing w:val="-12"/>
        </w:rPr>
        <w:t> </w:t>
      </w:r>
      <w:r>
        <w:rPr/>
        <w:t>vez</w:t>
      </w:r>
      <w:r>
        <w:rPr>
          <w:spacing w:val="-12"/>
        </w:rPr>
        <w:t> </w:t>
      </w:r>
      <w:r>
        <w:rPr/>
        <w:t>que</w:t>
      </w:r>
      <w:r>
        <w:rPr>
          <w:spacing w:val="-12"/>
        </w:rPr>
        <w:t> </w:t>
      </w:r>
      <w:r>
        <w:rPr/>
        <w:t>as</w:t>
      </w:r>
      <w:r>
        <w:rPr>
          <w:spacing w:val="-2"/>
        </w:rPr>
        <w:t> </w:t>
      </w:r>
      <w:r>
        <w:rPr/>
        <w:t>diferentes</w:t>
      </w:r>
      <w:r>
        <w:rPr>
          <w:spacing w:val="-2"/>
        </w:rPr>
        <w:t> </w:t>
      </w:r>
      <w:r>
        <w:rPr/>
        <w:t>porções da aorta apresentam distintas estruturas e composição celular. A necrose média cística, de característica não inflamatória, tem sido classicamente</w:t>
      </w:r>
      <w:r>
        <w:rPr>
          <w:spacing w:val="-3"/>
        </w:rPr>
        <w:t> </w:t>
      </w:r>
      <w:r>
        <w:rPr/>
        <w:t>considerada</w:t>
      </w:r>
      <w:r>
        <w:rPr>
          <w:spacing w:val="-3"/>
        </w:rPr>
        <w:t> </w:t>
      </w:r>
      <w:r>
        <w:rPr/>
        <w:t>como o mecanismo básico de</w:t>
      </w:r>
      <w:r>
        <w:rPr>
          <w:spacing w:val="-3"/>
        </w:rPr>
        <w:t> </w:t>
      </w:r>
      <w:r>
        <w:rPr/>
        <w:t>doença</w:t>
      </w:r>
      <w:r>
        <w:rPr>
          <w:spacing w:val="-3"/>
        </w:rPr>
        <w:t> </w:t>
      </w:r>
      <w:r>
        <w:rPr/>
        <w:t>na</w:t>
      </w:r>
      <w:r>
        <w:rPr>
          <w:spacing w:val="-3"/>
        </w:rPr>
        <w:t> </w:t>
      </w:r>
      <w:r>
        <w:rPr/>
        <w:t>aorta</w:t>
      </w:r>
      <w:r>
        <w:rPr>
          <w:spacing w:val="-3"/>
        </w:rPr>
        <w:t> </w:t>
      </w:r>
      <w:r>
        <w:rPr/>
        <w:t>torácica.</w:t>
      </w:r>
    </w:p>
    <w:p>
      <w:pPr>
        <w:pStyle w:val="BodyText"/>
        <w:spacing w:line="283" w:lineRule="auto" w:before="64"/>
        <w:ind w:right="488"/>
      </w:pPr>
      <w:r>
        <w:rPr/>
        <w:t>Recentemente, demonstrou-se a importância da enzima c-Jun N-terminal quinase (JNK) como fator importante no desenvolvimento inicial dos aneurismas da aorta abdominal, atuando na degradação e supressão da síntese de células musculares lisas. Sua</w:t>
      </w:r>
      <w:r>
        <w:rPr>
          <w:spacing w:val="-2"/>
        </w:rPr>
        <w:t> </w:t>
      </w:r>
      <w:r>
        <w:rPr/>
        <w:t>inibição foi altamente</w:t>
      </w:r>
      <w:r>
        <w:rPr>
          <w:spacing w:val="-2"/>
        </w:rPr>
        <w:t> </w:t>
      </w:r>
      <w:r>
        <w:rPr/>
        <w:t>eficaz</w:t>
      </w:r>
      <w:r>
        <w:rPr>
          <w:spacing w:val="-2"/>
        </w:rPr>
        <w:t> </w:t>
      </w:r>
      <w:r>
        <w:rPr/>
        <w:t>na</w:t>
      </w:r>
      <w:r>
        <w:rPr>
          <w:spacing w:val="-2"/>
        </w:rPr>
        <w:t> </w:t>
      </w:r>
      <w:r>
        <w:rPr/>
        <w:t>regressão da</w:t>
      </w:r>
      <w:r>
        <w:rPr>
          <w:spacing w:val="-2"/>
        </w:rPr>
        <w:t> </w:t>
      </w:r>
      <w:r>
        <w:rPr/>
        <w:t>doença</w:t>
      </w:r>
      <w:r>
        <w:rPr>
          <w:spacing w:val="-2"/>
        </w:rPr>
        <w:t> </w:t>
      </w:r>
      <w:r>
        <w:rPr/>
        <w:t>em modelo animal.</w:t>
      </w:r>
      <w:r>
        <w:rPr>
          <w:vertAlign w:val="superscript"/>
        </w:rPr>
        <w:t>3</w:t>
      </w:r>
    </w:p>
    <w:p>
      <w:pPr>
        <w:pStyle w:val="BodyText"/>
        <w:spacing w:line="276" w:lineRule="auto" w:before="41"/>
        <w:ind w:right="502"/>
      </w:pPr>
      <w:r>
        <w:rPr/>
        <w:t>As</w:t>
      </w:r>
      <w:r>
        <w:rPr>
          <w:spacing w:val="-1"/>
        </w:rPr>
        <w:t> </w:t>
      </w:r>
      <w:r>
        <w:rPr/>
        <w:t>teorias</w:t>
      </w:r>
      <w:r>
        <w:rPr>
          <w:spacing w:val="-1"/>
        </w:rPr>
        <w:t> </w:t>
      </w:r>
      <w:r>
        <w:rPr/>
        <w:t>citadas</w:t>
      </w:r>
      <w:r>
        <w:rPr>
          <w:spacing w:val="-1"/>
        </w:rPr>
        <w:t> </w:t>
      </w:r>
      <w:r>
        <w:rPr/>
        <w:t>adiante</w:t>
      </w:r>
      <w:r>
        <w:rPr>
          <w:spacing w:val="-11"/>
        </w:rPr>
        <w:t> </w:t>
      </w:r>
      <w:r>
        <w:rPr/>
        <w:t>se</w:t>
      </w:r>
      <w:r>
        <w:rPr>
          <w:spacing w:val="-11"/>
        </w:rPr>
        <w:t> </w:t>
      </w:r>
      <w:r>
        <w:rPr/>
        <w:t>referem</w:t>
      </w:r>
      <w:r>
        <w:rPr>
          <w:spacing w:val="-8"/>
        </w:rPr>
        <w:t> </w:t>
      </w:r>
      <w:r>
        <w:rPr/>
        <w:t>predominantemente</w:t>
      </w:r>
      <w:r>
        <w:rPr>
          <w:spacing w:val="-11"/>
        </w:rPr>
        <w:t> </w:t>
      </w:r>
      <w:r>
        <w:rPr/>
        <w:t>a</w:t>
      </w:r>
      <w:r>
        <w:rPr>
          <w:spacing w:val="-11"/>
        </w:rPr>
        <w:t> </w:t>
      </w:r>
      <w:r>
        <w:rPr/>
        <w:t>estudos</w:t>
      </w:r>
      <w:r>
        <w:rPr>
          <w:spacing w:val="-1"/>
        </w:rPr>
        <w:t> </w:t>
      </w:r>
      <w:r>
        <w:rPr/>
        <w:t>com</w:t>
      </w:r>
      <w:r>
        <w:rPr>
          <w:spacing w:val="-8"/>
        </w:rPr>
        <w:t> </w:t>
      </w:r>
      <w:r>
        <w:rPr/>
        <w:t>a</w:t>
      </w:r>
      <w:r>
        <w:rPr>
          <w:spacing w:val="-11"/>
        </w:rPr>
        <w:t> </w:t>
      </w:r>
      <w:r>
        <w:rPr/>
        <w:t>aorta</w:t>
      </w:r>
      <w:r>
        <w:rPr>
          <w:spacing w:val="-11"/>
        </w:rPr>
        <w:t> </w:t>
      </w:r>
      <w:r>
        <w:rPr/>
        <w:t>abdominal.</w:t>
      </w:r>
      <w:r>
        <w:rPr>
          <w:spacing w:val="-1"/>
        </w:rPr>
        <w:t> </w:t>
      </w:r>
      <w:r>
        <w:rPr/>
        <w:t>Vale</w:t>
      </w:r>
      <w:r>
        <w:rPr>
          <w:spacing w:val="-11"/>
        </w:rPr>
        <w:t> </w:t>
      </w:r>
      <w:r>
        <w:rPr/>
        <w:t>ressaltar</w:t>
      </w:r>
      <w:r>
        <w:rPr>
          <w:spacing w:val="-3"/>
        </w:rPr>
        <w:t> </w:t>
      </w:r>
      <w:r>
        <w:rPr/>
        <w:t>que</w:t>
      </w:r>
      <w:r>
        <w:rPr>
          <w:spacing w:val="-11"/>
        </w:rPr>
        <w:t> </w:t>
      </w:r>
      <w:r>
        <w:rPr/>
        <w:t>os fatores causais relacionados com a formação dos aneurismas não atuam isoladamente e que muitos sistemas estão</w:t>
      </w:r>
    </w:p>
    <w:p>
      <w:pPr>
        <w:pStyle w:val="BodyText"/>
        <w:spacing w:after="0" w:line="276" w:lineRule="auto"/>
        <w:sectPr>
          <w:pgSz w:w="11900" w:h="16840"/>
          <w:pgMar w:top="1060" w:bottom="280" w:left="566" w:right="141"/>
        </w:sectPr>
      </w:pPr>
    </w:p>
    <w:p>
      <w:pPr>
        <w:pStyle w:val="BodyText"/>
        <w:ind w:firstLine="0"/>
        <w:jc w:val="left"/>
      </w:pPr>
      <w:r>
        <w:rPr/>
        <w:t>envolvidos.</w:t>
      </w:r>
      <w:r>
        <w:rPr>
          <w:spacing w:val="-4"/>
        </w:rPr>
        <w:t> </w:t>
      </w:r>
      <w:r>
        <w:rPr/>
        <w:t>Dividiremos</w:t>
      </w:r>
      <w:r>
        <w:rPr>
          <w:spacing w:val="-3"/>
        </w:rPr>
        <w:t> </w:t>
      </w:r>
      <w:r>
        <w:rPr/>
        <w:t>esses</w:t>
      </w:r>
      <w:r>
        <w:rPr>
          <w:spacing w:val="-3"/>
        </w:rPr>
        <w:t> </w:t>
      </w:r>
      <w:r>
        <w:rPr/>
        <w:t>fatores</w:t>
      </w:r>
      <w:r>
        <w:rPr>
          <w:spacing w:val="-3"/>
        </w:rPr>
        <w:t> </w:t>
      </w:r>
      <w:r>
        <w:rPr/>
        <w:t>apenas</w:t>
      </w:r>
      <w:r>
        <w:rPr>
          <w:spacing w:val="-4"/>
        </w:rPr>
        <w:t> </w:t>
      </w:r>
      <w:r>
        <w:rPr/>
        <w:t>para</w:t>
      </w:r>
      <w:r>
        <w:rPr>
          <w:spacing w:val="-12"/>
        </w:rPr>
        <w:t> </w:t>
      </w:r>
      <w:r>
        <w:rPr/>
        <w:t>fins</w:t>
      </w:r>
      <w:r>
        <w:rPr>
          <w:spacing w:val="-3"/>
        </w:rPr>
        <w:t> </w:t>
      </w:r>
      <w:r>
        <w:rPr>
          <w:spacing w:val="-2"/>
        </w:rPr>
        <w:t>didáticos.</w:t>
      </w:r>
    </w:p>
    <w:p>
      <w:pPr>
        <w:pStyle w:val="BodyText"/>
        <w:spacing w:before="176"/>
        <w:ind w:left="0" w:firstLine="0"/>
        <w:jc w:val="left"/>
      </w:pPr>
    </w:p>
    <w:p>
      <w:pPr>
        <w:pStyle w:val="Heading5"/>
      </w:pPr>
      <w:r>
        <w:rPr>
          <w:color w:val="A26108"/>
        </w:rPr>
        <w:t>Fatores</w:t>
      </w:r>
      <w:r>
        <w:rPr>
          <w:color w:val="A26108"/>
          <w:spacing w:val="23"/>
        </w:rPr>
        <w:t> </w:t>
      </w:r>
      <w:r>
        <w:rPr>
          <w:color w:val="A26108"/>
          <w:spacing w:val="-2"/>
        </w:rPr>
        <w:t>genéticos</w:t>
      </w:r>
    </w:p>
    <w:p>
      <w:pPr>
        <w:pStyle w:val="BodyText"/>
        <w:spacing w:line="278" w:lineRule="auto" w:before="138"/>
        <w:ind w:right="491"/>
      </w:pPr>
      <w:r>
        <w:rPr/>
        <w:t>A concentração familiar da doença aneurismática da aorta é conhecida desde a década de 1970, sendo o acometimento do segmento abdominal 4 a 10 vezes maior em parentes de primeiro grau de pacientes com o diagnóstico estabelecido. A comprovação de um </w:t>
      </w:r>
      <w:r>
        <w:rPr>
          <w:i/>
        </w:rPr>
        <w:t>locus </w:t>
      </w:r>
      <w:r>
        <w:rPr/>
        <w:t>genético responsável pelo seu desenvolvimento é, todavia, muito</w:t>
      </w:r>
      <w:r>
        <w:rPr>
          <w:spacing w:val="-9"/>
        </w:rPr>
        <w:t> </w:t>
      </w:r>
      <w:r>
        <w:rPr/>
        <w:t>difícil.</w:t>
      </w:r>
      <w:r>
        <w:rPr>
          <w:spacing w:val="-2"/>
        </w:rPr>
        <w:t> </w:t>
      </w:r>
      <w:r>
        <w:rPr/>
        <w:t>Na</w:t>
      </w:r>
      <w:r>
        <w:rPr>
          <w:spacing w:val="-12"/>
        </w:rPr>
        <w:t> </w:t>
      </w:r>
      <w:r>
        <w:rPr/>
        <w:t>literatura</w:t>
      </w:r>
      <w:r>
        <w:rPr>
          <w:spacing w:val="-12"/>
        </w:rPr>
        <w:t> </w:t>
      </w:r>
      <w:r>
        <w:rPr/>
        <w:t>especializada,</w:t>
      </w:r>
      <w:r>
        <w:rPr>
          <w:spacing w:val="-2"/>
        </w:rPr>
        <w:t> </w:t>
      </w:r>
      <w:r>
        <w:rPr/>
        <w:t>casos</w:t>
      </w:r>
      <w:r>
        <w:rPr>
          <w:spacing w:val="-2"/>
        </w:rPr>
        <w:t> </w:t>
      </w:r>
      <w:r>
        <w:rPr/>
        <w:t>em</w:t>
      </w:r>
      <w:r>
        <w:rPr>
          <w:spacing w:val="-9"/>
        </w:rPr>
        <w:t> </w:t>
      </w:r>
      <w:r>
        <w:rPr/>
        <w:t>que</w:t>
      </w:r>
      <w:r>
        <w:rPr>
          <w:spacing w:val="-12"/>
        </w:rPr>
        <w:t> </w:t>
      </w:r>
      <w:r>
        <w:rPr/>
        <w:t>se</w:t>
      </w:r>
      <w:r>
        <w:rPr>
          <w:spacing w:val="-12"/>
        </w:rPr>
        <w:t> </w:t>
      </w:r>
      <w:r>
        <w:rPr/>
        <w:t>identificam</w:t>
      </w:r>
      <w:r>
        <w:rPr>
          <w:spacing w:val="-9"/>
        </w:rPr>
        <w:t> </w:t>
      </w:r>
      <w:r>
        <w:rPr/>
        <w:t>os</w:t>
      </w:r>
      <w:r>
        <w:rPr>
          <w:spacing w:val="-2"/>
        </w:rPr>
        <w:t> </w:t>
      </w:r>
      <w:r>
        <w:rPr/>
        <w:t>componentes</w:t>
      </w:r>
      <w:r>
        <w:rPr>
          <w:spacing w:val="-2"/>
        </w:rPr>
        <w:t> </w:t>
      </w:r>
      <w:r>
        <w:rPr/>
        <w:t>familiares</w:t>
      </w:r>
      <w:r>
        <w:rPr>
          <w:spacing w:val="-2"/>
        </w:rPr>
        <w:t> </w:t>
      </w:r>
      <w:r>
        <w:rPr/>
        <w:t>se</w:t>
      </w:r>
      <w:r>
        <w:rPr>
          <w:spacing w:val="-12"/>
        </w:rPr>
        <w:t> </w:t>
      </w:r>
      <w:r>
        <w:rPr/>
        <w:t>confundem</w:t>
      </w:r>
      <w:r>
        <w:rPr>
          <w:spacing w:val="-9"/>
        </w:rPr>
        <w:t> </w:t>
      </w:r>
      <w:r>
        <w:rPr/>
        <w:t>com casos esporádicos que compartilham os mesmos fatores de risco, apresentando mínimas diferenças demográficas (os casos familiares são</w:t>
      </w:r>
      <w:r>
        <w:rPr>
          <w:spacing w:val="-5"/>
        </w:rPr>
        <w:t> </w:t>
      </w:r>
      <w:r>
        <w:rPr/>
        <w:t>mais jovens e</w:t>
      </w:r>
      <w:r>
        <w:rPr>
          <w:spacing w:val="-7"/>
        </w:rPr>
        <w:t> </w:t>
      </w:r>
      <w:r>
        <w:rPr/>
        <w:t>têm</w:t>
      </w:r>
      <w:r>
        <w:rPr>
          <w:spacing w:val="-5"/>
        </w:rPr>
        <w:t> </w:t>
      </w:r>
      <w:r>
        <w:rPr/>
        <w:t>menor prevalência</w:t>
      </w:r>
      <w:r>
        <w:rPr>
          <w:spacing w:val="-7"/>
        </w:rPr>
        <w:t> </w:t>
      </w:r>
      <w:r>
        <w:rPr/>
        <w:t>de</w:t>
      </w:r>
      <w:r>
        <w:rPr>
          <w:spacing w:val="-7"/>
        </w:rPr>
        <w:t> </w:t>
      </w:r>
      <w:r>
        <w:rPr/>
        <w:t>homens).</w:t>
      </w:r>
      <w:r>
        <w:rPr>
          <w:vertAlign w:val="superscript"/>
        </w:rPr>
        <w:t>4</w:t>
      </w:r>
      <w:r>
        <w:rPr>
          <w:vertAlign w:val="baseline"/>
        </w:rPr>
        <w:t> O</w:t>
      </w:r>
      <w:r>
        <w:rPr>
          <w:spacing w:val="-6"/>
          <w:vertAlign w:val="baseline"/>
        </w:rPr>
        <w:t> </w:t>
      </w:r>
      <w:r>
        <w:rPr>
          <w:vertAlign w:val="baseline"/>
        </w:rPr>
        <w:t>padrão</w:t>
      </w:r>
      <w:r>
        <w:rPr>
          <w:spacing w:val="-4"/>
          <w:vertAlign w:val="baseline"/>
        </w:rPr>
        <w:t> </w:t>
      </w:r>
      <w:r>
        <w:rPr>
          <w:vertAlign w:val="baseline"/>
        </w:rPr>
        <w:t>de</w:t>
      </w:r>
      <w:r>
        <w:rPr>
          <w:spacing w:val="-6"/>
          <w:vertAlign w:val="baseline"/>
        </w:rPr>
        <w:t> </w:t>
      </w:r>
      <w:r>
        <w:rPr>
          <w:vertAlign w:val="baseline"/>
        </w:rPr>
        <w:t>herança</w:t>
      </w:r>
      <w:r>
        <w:rPr>
          <w:spacing w:val="-6"/>
          <w:vertAlign w:val="baseline"/>
        </w:rPr>
        <w:t> </w:t>
      </w:r>
      <w:r>
        <w:rPr>
          <w:vertAlign w:val="baseline"/>
        </w:rPr>
        <w:t>genética</w:t>
      </w:r>
      <w:r>
        <w:rPr>
          <w:spacing w:val="-6"/>
          <w:vertAlign w:val="baseline"/>
        </w:rPr>
        <w:t> </w:t>
      </w:r>
      <w:r>
        <w:rPr>
          <w:vertAlign w:val="baseline"/>
        </w:rPr>
        <w:t>ainda</w:t>
      </w:r>
      <w:r>
        <w:rPr>
          <w:spacing w:val="-6"/>
          <w:vertAlign w:val="baseline"/>
        </w:rPr>
        <w:t> </w:t>
      </w:r>
      <w:r>
        <w:rPr>
          <w:vertAlign w:val="baseline"/>
        </w:rPr>
        <w:t>não foi totalmente esclarecido (predominam estudos que apontam para herança do tipo recessiva) e a falta de concordância</w:t>
      </w:r>
      <w:r>
        <w:rPr>
          <w:spacing w:val="-6"/>
          <w:vertAlign w:val="baseline"/>
        </w:rPr>
        <w:t> </w:t>
      </w:r>
      <w:r>
        <w:rPr>
          <w:vertAlign w:val="baseline"/>
        </w:rPr>
        <w:t>entre</w:t>
      </w:r>
      <w:r>
        <w:rPr>
          <w:spacing w:val="-6"/>
          <w:vertAlign w:val="baseline"/>
        </w:rPr>
        <w:t> </w:t>
      </w:r>
      <w:r>
        <w:rPr>
          <w:vertAlign w:val="baseline"/>
        </w:rPr>
        <w:t>os estudos se</w:t>
      </w:r>
      <w:r>
        <w:rPr>
          <w:spacing w:val="-6"/>
          <w:vertAlign w:val="baseline"/>
        </w:rPr>
        <w:t> </w:t>
      </w:r>
      <w:r>
        <w:rPr>
          <w:vertAlign w:val="baseline"/>
        </w:rPr>
        <w:t>deve</w:t>
      </w:r>
      <w:r>
        <w:rPr>
          <w:spacing w:val="-6"/>
          <w:vertAlign w:val="baseline"/>
        </w:rPr>
        <w:t> </w:t>
      </w:r>
      <w:r>
        <w:rPr>
          <w:vertAlign w:val="baseline"/>
        </w:rPr>
        <w:t>ao</w:t>
      </w:r>
      <w:r>
        <w:rPr>
          <w:spacing w:val="-3"/>
          <w:vertAlign w:val="baseline"/>
        </w:rPr>
        <w:t> </w:t>
      </w:r>
      <w:r>
        <w:rPr>
          <w:vertAlign w:val="baseline"/>
        </w:rPr>
        <w:t>caráter multifatorial da</w:t>
      </w:r>
      <w:r>
        <w:rPr>
          <w:spacing w:val="-6"/>
          <w:vertAlign w:val="baseline"/>
        </w:rPr>
        <w:t> </w:t>
      </w:r>
      <w:r>
        <w:rPr>
          <w:vertAlign w:val="baseline"/>
        </w:rPr>
        <w:t>doença. Provavelmente</w:t>
      </w:r>
      <w:r>
        <w:rPr>
          <w:spacing w:val="-6"/>
          <w:vertAlign w:val="baseline"/>
        </w:rPr>
        <w:t> </w:t>
      </w:r>
      <w:r>
        <w:rPr>
          <w:vertAlign w:val="baseline"/>
        </w:rPr>
        <w:t>é</w:t>
      </w:r>
      <w:r>
        <w:rPr>
          <w:spacing w:val="-6"/>
          <w:vertAlign w:val="baseline"/>
        </w:rPr>
        <w:t> </w:t>
      </w:r>
      <w:r>
        <w:rPr>
          <w:vertAlign w:val="baseline"/>
        </w:rPr>
        <w:t>necessária</w:t>
      </w:r>
      <w:r>
        <w:rPr>
          <w:spacing w:val="-6"/>
          <w:vertAlign w:val="baseline"/>
        </w:rPr>
        <w:t> </w:t>
      </w:r>
      <w:r>
        <w:rPr>
          <w:vertAlign w:val="baseline"/>
        </w:rPr>
        <w:t>a</w:t>
      </w:r>
      <w:r>
        <w:rPr>
          <w:spacing w:val="-6"/>
          <w:vertAlign w:val="baseline"/>
        </w:rPr>
        <w:t> </w:t>
      </w:r>
      <w:r>
        <w:rPr>
          <w:vertAlign w:val="baseline"/>
        </w:rPr>
        <w:t>combinação de polimorfismos genéticos que predispõem a dilatação e inflamação associada a um excesso de proteínas proteolíticas, e não alterações exclusivas da ação de um gene específico.</w:t>
      </w:r>
      <w:r>
        <w:rPr>
          <w:vertAlign w:val="superscript"/>
        </w:rPr>
        <w:t>5</w:t>
      </w:r>
    </w:p>
    <w:p>
      <w:pPr>
        <w:pStyle w:val="BodyText"/>
        <w:spacing w:line="276" w:lineRule="auto" w:before="56"/>
        <w:ind w:right="488"/>
      </w:pPr>
      <w:r>
        <w:rPr/>
        <w:t>Situação diversa é a dos pacientes com síndrome de Marfan, cuja herança genética já foi extensamente investigada. Ainda</w:t>
      </w:r>
      <w:r>
        <w:rPr>
          <w:spacing w:val="-2"/>
        </w:rPr>
        <w:t> </w:t>
      </w:r>
      <w:r>
        <w:rPr/>
        <w:t>são iniciais os estudos procurando definir o componente</w:t>
      </w:r>
      <w:r>
        <w:rPr>
          <w:spacing w:val="-2"/>
        </w:rPr>
        <w:t> </w:t>
      </w:r>
      <w:r>
        <w:rPr/>
        <w:t>genético dos aneurismas torácicos não sindrômicos, mas a implicação clínica relevante é a ocorrência de agregação familiar da doença, com evidente necessidade</w:t>
      </w:r>
      <w:r>
        <w:rPr>
          <w:spacing w:val="-6"/>
        </w:rPr>
        <w:t> </w:t>
      </w:r>
      <w:r>
        <w:rPr/>
        <w:t>de</w:t>
      </w:r>
      <w:r>
        <w:rPr>
          <w:spacing w:val="-6"/>
        </w:rPr>
        <w:t> </w:t>
      </w:r>
      <w:r>
        <w:rPr>
          <w:i/>
        </w:rPr>
        <w:t>screening</w:t>
      </w:r>
      <w:r>
        <w:rPr>
          <w:i/>
          <w:spacing w:val="-4"/>
        </w:rPr>
        <w:t> </w:t>
      </w:r>
      <w:r>
        <w:rPr/>
        <w:t>de</w:t>
      </w:r>
      <w:r>
        <w:rPr>
          <w:spacing w:val="-6"/>
        </w:rPr>
        <w:t> </w:t>
      </w:r>
      <w:r>
        <w:rPr/>
        <w:t>parentes de</w:t>
      </w:r>
      <w:r>
        <w:rPr>
          <w:spacing w:val="-6"/>
        </w:rPr>
        <w:t> </w:t>
      </w:r>
      <w:r>
        <w:rPr/>
        <w:t>primeiro</w:t>
      </w:r>
      <w:r>
        <w:rPr>
          <w:spacing w:val="-4"/>
        </w:rPr>
        <w:t> </w:t>
      </w:r>
      <w:r>
        <w:rPr/>
        <w:t>grau, pelo</w:t>
      </w:r>
      <w:r>
        <w:rPr>
          <w:spacing w:val="-4"/>
        </w:rPr>
        <w:t> </w:t>
      </w:r>
      <w:r>
        <w:rPr/>
        <w:t>menos naqueles pacientes com</w:t>
      </w:r>
      <w:r>
        <w:rPr>
          <w:spacing w:val="-4"/>
        </w:rPr>
        <w:t> </w:t>
      </w:r>
      <w:r>
        <w:rPr/>
        <w:t>doença</w:t>
      </w:r>
      <w:r>
        <w:rPr>
          <w:spacing w:val="-6"/>
        </w:rPr>
        <w:t> </w:t>
      </w:r>
      <w:r>
        <w:rPr/>
        <w:t>precoce.</w:t>
      </w:r>
    </w:p>
    <w:p>
      <w:pPr>
        <w:pStyle w:val="BodyText"/>
        <w:spacing w:before="133"/>
        <w:ind w:left="0" w:firstLine="0"/>
        <w:jc w:val="left"/>
      </w:pPr>
    </w:p>
    <w:p>
      <w:pPr>
        <w:pStyle w:val="Heading5"/>
        <w:spacing w:before="1"/>
      </w:pPr>
      <w:r>
        <w:rPr>
          <w:color w:val="A26108"/>
        </w:rPr>
        <w:t>Fatores</w:t>
      </w:r>
      <w:r>
        <w:rPr>
          <w:color w:val="A26108"/>
          <w:spacing w:val="19"/>
        </w:rPr>
        <w:t> </w:t>
      </w:r>
      <w:r>
        <w:rPr>
          <w:color w:val="A26108"/>
        </w:rPr>
        <w:t>de</w:t>
      </w:r>
      <w:r>
        <w:rPr>
          <w:color w:val="A26108"/>
          <w:spacing w:val="20"/>
        </w:rPr>
        <w:t> </w:t>
      </w:r>
      <w:r>
        <w:rPr>
          <w:color w:val="A26108"/>
        </w:rPr>
        <w:t>risco</w:t>
      </w:r>
      <w:r>
        <w:rPr>
          <w:color w:val="A26108"/>
          <w:spacing w:val="20"/>
        </w:rPr>
        <w:t> </w:t>
      </w:r>
      <w:r>
        <w:rPr>
          <w:color w:val="A26108"/>
        </w:rPr>
        <w:t>demográficos</w:t>
      </w:r>
      <w:r>
        <w:rPr>
          <w:color w:val="A26108"/>
          <w:spacing w:val="20"/>
        </w:rPr>
        <w:t> </w:t>
      </w:r>
      <w:r>
        <w:rPr>
          <w:color w:val="A26108"/>
        </w:rPr>
        <w:t>ou</w:t>
      </w:r>
      <w:r>
        <w:rPr>
          <w:color w:val="A26108"/>
          <w:spacing w:val="20"/>
        </w:rPr>
        <w:t> </w:t>
      </w:r>
      <w:r>
        <w:rPr>
          <w:color w:val="A26108"/>
          <w:spacing w:val="-2"/>
        </w:rPr>
        <w:t>ambientais</w:t>
      </w:r>
    </w:p>
    <w:p>
      <w:pPr>
        <w:pStyle w:val="BodyText"/>
        <w:spacing w:line="278" w:lineRule="auto" w:before="138"/>
        <w:ind w:right="488"/>
      </w:pPr>
      <w:r>
        <w:rPr/>
        <w:t>O sexo masculino, a idade e a história familiar de aneurisma da aorta abdominal são reconhecidos fatores de risco. Entretanto, o tabagismo se encontra em primeiro lugar como agente agressor ambiental e fator de risco modificável. Nos estudos epidemiológicos, o tabagismo é responsável pelo aumento de no mínimo duas vezes do risco da</w:t>
      </w:r>
      <w:r>
        <w:rPr>
          <w:spacing w:val="-2"/>
        </w:rPr>
        <w:t> </w:t>
      </w:r>
      <w:r>
        <w:rPr/>
        <w:t>doença. O</w:t>
      </w:r>
      <w:r>
        <w:rPr>
          <w:spacing w:val="-2"/>
        </w:rPr>
        <w:t> </w:t>
      </w:r>
      <w:r>
        <w:rPr/>
        <w:t>aumento de</w:t>
      </w:r>
      <w:r>
        <w:rPr>
          <w:spacing w:val="-2"/>
        </w:rPr>
        <w:t> </w:t>
      </w:r>
      <w:r>
        <w:rPr/>
        <w:t>risco é</w:t>
      </w:r>
      <w:r>
        <w:rPr>
          <w:spacing w:val="-2"/>
        </w:rPr>
        <w:t> </w:t>
      </w:r>
      <w:r>
        <w:rPr/>
        <w:t>proporcional ao número de</w:t>
      </w:r>
      <w:r>
        <w:rPr>
          <w:spacing w:val="-2"/>
        </w:rPr>
        <w:t> </w:t>
      </w:r>
      <w:r>
        <w:rPr/>
        <w:t>cigarros, e</w:t>
      </w:r>
      <w:r>
        <w:rPr>
          <w:spacing w:val="-2"/>
        </w:rPr>
        <w:t> </w:t>
      </w:r>
      <w:r>
        <w:rPr/>
        <w:t>o hábito continuado aumenta</w:t>
      </w:r>
      <w:r>
        <w:rPr>
          <w:spacing w:val="-2"/>
        </w:rPr>
        <w:t> </w:t>
      </w:r>
      <w:r>
        <w:rPr/>
        <w:t>as taxas de expansão e o risco de ruptura.</w:t>
      </w:r>
      <w:r>
        <w:rPr>
          <w:vertAlign w:val="superscript"/>
        </w:rPr>
        <w:t>6,7</w:t>
      </w:r>
      <w:r>
        <w:rPr>
          <w:vertAlign w:val="baseline"/>
        </w:rPr>
        <w:t> Embora com menor grau de evidência e menor associação com a doença, a hipertensão arterial e a dislipidemia devem ser agressivamente abordadas. O diabetes melito não foi relacionado com desenvolvimento de aneurismas. É oportuno lembrar que as mulheres têm risco mais elevado de ruptura para qualquer diâmetro de aneurisma quando comparadas aos homens.</w:t>
      </w:r>
    </w:p>
    <w:p>
      <w:pPr>
        <w:pStyle w:val="BodyText"/>
        <w:spacing w:before="129"/>
        <w:ind w:left="0" w:firstLine="0"/>
        <w:jc w:val="left"/>
      </w:pPr>
    </w:p>
    <w:p>
      <w:pPr>
        <w:pStyle w:val="Heading5"/>
      </w:pPr>
      <w:r>
        <w:rPr>
          <w:color w:val="A26108"/>
        </w:rPr>
        <w:t>Fatores</w:t>
      </w:r>
      <w:r>
        <w:rPr>
          <w:color w:val="A26108"/>
          <w:spacing w:val="21"/>
        </w:rPr>
        <w:t> </w:t>
      </w:r>
      <w:r>
        <w:rPr>
          <w:color w:val="A26108"/>
        </w:rPr>
        <w:t>infecciosos</w:t>
      </w:r>
      <w:r>
        <w:rPr>
          <w:color w:val="A26108"/>
          <w:spacing w:val="21"/>
        </w:rPr>
        <w:t> </w:t>
      </w:r>
      <w:r>
        <w:rPr>
          <w:color w:val="A26108"/>
        </w:rPr>
        <w:t>e</w:t>
      </w:r>
      <w:r>
        <w:rPr>
          <w:color w:val="A26108"/>
          <w:spacing w:val="22"/>
        </w:rPr>
        <w:t> </w:t>
      </w:r>
      <w:r>
        <w:rPr>
          <w:color w:val="A26108"/>
          <w:spacing w:val="-2"/>
        </w:rPr>
        <w:t>autoimunes</w:t>
      </w:r>
    </w:p>
    <w:p>
      <w:pPr>
        <w:pStyle w:val="BodyText"/>
        <w:spacing w:line="278" w:lineRule="auto" w:before="138"/>
        <w:ind w:right="491"/>
      </w:pPr>
      <w:r>
        <w:rPr/>
        <w:t>A ocorrência de </w:t>
      </w:r>
      <w:r>
        <w:rPr>
          <w:i/>
        </w:rPr>
        <w:t>Chlamydia pneumoniae </w:t>
      </w:r>
      <w:r>
        <w:rPr/>
        <w:t>tem sido extensamente investigada como possível fator causal no desenvolvimento dos aneurismas abdominais, mas tanto os inúmeros problemas técnicos na</w:t>
      </w:r>
      <w:r>
        <w:rPr>
          <w:spacing w:val="-1"/>
        </w:rPr>
        <w:t> </w:t>
      </w:r>
      <w:r>
        <w:rPr/>
        <w:t>sua</w:t>
      </w:r>
      <w:r>
        <w:rPr>
          <w:spacing w:val="-1"/>
        </w:rPr>
        <w:t> </w:t>
      </w:r>
      <w:r>
        <w:rPr/>
        <w:t>detecção quanto a pobre resposta a agentes anti-infecciosos dificultam a interpretação dos resultados (predominantemente realizados em animais). Quando realizados em humanos, os testes utilizaram pequena casuística, além de poderem ter sido observados os efeitos anti-inflamatórios dos medicamentos, que também atuam reduzindo a produção de </w:t>
      </w:r>
      <w:r>
        <w:rPr>
          <w:i/>
        </w:rPr>
        <w:t>matrix metaloproteinases</w:t>
      </w:r>
      <w:r>
        <w:rPr/>
        <w:t>. Tem sido especulado que os microrganismos compartilham epítopos com a parede da aorta normal, possibilitando que infecções a distância ou repetidas também possam desencadear a inflamação na parede da artéria. Autoanticorpos existem em concentração aumentada nos pacientes com aneurisma da aorta quando comparados com pacientes com doença oclusiva ou aorta normal.</w:t>
      </w:r>
      <w:r>
        <w:rPr>
          <w:vertAlign w:val="superscript"/>
        </w:rPr>
        <w:t>8</w:t>
      </w:r>
      <w:r>
        <w:rPr>
          <w:vertAlign w:val="baseline"/>
        </w:rPr>
        <w:t> Como em outras doenças autoimunes, a associação com alelos específicos do HLA já foi descrita.</w:t>
      </w:r>
      <w:r>
        <w:rPr>
          <w:vertAlign w:val="superscript"/>
        </w:rPr>
        <w:t>9</w:t>
      </w:r>
    </w:p>
    <w:p>
      <w:pPr>
        <w:pStyle w:val="BodyText"/>
        <w:spacing w:before="141"/>
        <w:ind w:left="0" w:firstLine="0"/>
        <w:jc w:val="left"/>
      </w:pPr>
    </w:p>
    <w:p>
      <w:pPr>
        <w:pStyle w:val="Heading5"/>
      </w:pPr>
      <w:r>
        <w:rPr>
          <w:color w:val="A26108"/>
        </w:rPr>
        <w:t>Aumento</w:t>
      </w:r>
      <w:r>
        <w:rPr>
          <w:color w:val="A26108"/>
          <w:spacing w:val="20"/>
        </w:rPr>
        <w:t> </w:t>
      </w:r>
      <w:r>
        <w:rPr>
          <w:color w:val="A26108"/>
        </w:rPr>
        <w:t>de</w:t>
      </w:r>
      <w:r>
        <w:rPr>
          <w:color w:val="A26108"/>
          <w:spacing w:val="21"/>
        </w:rPr>
        <w:t> </w:t>
      </w:r>
      <w:r>
        <w:rPr>
          <w:color w:val="A26108"/>
        </w:rPr>
        <w:t>enzimas</w:t>
      </w:r>
      <w:r>
        <w:rPr>
          <w:color w:val="A26108"/>
          <w:spacing w:val="21"/>
        </w:rPr>
        <w:t> </w:t>
      </w:r>
      <w:r>
        <w:rPr>
          <w:color w:val="A26108"/>
          <w:spacing w:val="-2"/>
        </w:rPr>
        <w:t>proteolíticas</w:t>
      </w:r>
    </w:p>
    <w:p>
      <w:pPr>
        <w:pStyle w:val="BodyText"/>
        <w:spacing w:line="276" w:lineRule="auto" w:before="122"/>
        <w:ind w:right="487"/>
      </w:pPr>
      <w:r>
        <w:rPr/>
        <w:t>É representado principalmente por um conjunto de mais de 20 diferentes enzimas chamadas de </w:t>
      </w:r>
      <w:r>
        <w:rPr>
          <w:i/>
        </w:rPr>
        <w:t>matrix metaloproteinases </w:t>
      </w:r>
      <w:r>
        <w:rPr/>
        <w:t>(MMPs), que se caracterizam por sua atuação zinco-dependente, são normalmente produzidas por células endoteliais, células musculares lisas e fibroblastos, e estão envolvidas no </w:t>
      </w:r>
      <w:r>
        <w:rPr>
          <w:i/>
        </w:rPr>
        <w:t>turnover </w:t>
      </w:r>
      <w:r>
        <w:rPr/>
        <w:t>e homeostasia da matriz extracelular da parede aórtica, sendo naturalmente inibidas pelo inibidor tecidual das MMPs (TIMPS) e pelos inibidores do ativador do plasminogênio 1 e 2 (PAI). Diversas MMPs têm sido detectadas em concentração aumentada</w:t>
      </w:r>
      <w:r>
        <w:rPr>
          <w:spacing w:val="-5"/>
        </w:rPr>
        <w:t> </w:t>
      </w:r>
      <w:r>
        <w:rPr/>
        <w:t>na</w:t>
      </w:r>
      <w:r>
        <w:rPr>
          <w:spacing w:val="-5"/>
        </w:rPr>
        <w:t> </w:t>
      </w:r>
      <w:r>
        <w:rPr/>
        <w:t>parede</w:t>
      </w:r>
      <w:r>
        <w:rPr>
          <w:spacing w:val="-5"/>
        </w:rPr>
        <w:t> </w:t>
      </w:r>
      <w:r>
        <w:rPr/>
        <w:t>das aortas aneurismáticas, seja</w:t>
      </w:r>
      <w:r>
        <w:rPr>
          <w:spacing w:val="-5"/>
        </w:rPr>
        <w:t> </w:t>
      </w:r>
      <w:r>
        <w:rPr/>
        <w:t>em</w:t>
      </w:r>
      <w:r>
        <w:rPr>
          <w:spacing w:val="-2"/>
        </w:rPr>
        <w:t> </w:t>
      </w:r>
      <w:r>
        <w:rPr/>
        <w:t>estudos animais, em</w:t>
      </w:r>
      <w:r>
        <w:rPr>
          <w:spacing w:val="-2"/>
        </w:rPr>
        <w:t> </w:t>
      </w:r>
      <w:r>
        <w:rPr/>
        <w:t>cultura</w:t>
      </w:r>
      <w:r>
        <w:rPr>
          <w:spacing w:val="-5"/>
        </w:rPr>
        <w:t> </w:t>
      </w:r>
      <w:r>
        <w:rPr/>
        <w:t>de</w:t>
      </w:r>
      <w:r>
        <w:rPr>
          <w:spacing w:val="-5"/>
        </w:rPr>
        <w:t> </w:t>
      </w:r>
      <w:r>
        <w:rPr/>
        <w:t>células ou</w:t>
      </w:r>
      <w:r>
        <w:rPr>
          <w:spacing w:val="-1"/>
        </w:rPr>
        <w:t> </w:t>
      </w:r>
      <w:r>
        <w:rPr/>
        <w:t>nas biopsias dos pacientes operados, sendo identificadas até em dosagem sérica (o que possibilita a identificação de um marcador clínico).</w:t>
      </w:r>
      <w:r>
        <w:rPr>
          <w:spacing w:val="80"/>
        </w:rPr>
        <w:t> </w:t>
      </w:r>
      <w:r>
        <w:rPr/>
        <w:t>O</w:t>
      </w:r>
      <w:r>
        <w:rPr>
          <w:spacing w:val="74"/>
        </w:rPr>
        <w:t> </w:t>
      </w:r>
      <w:r>
        <w:rPr/>
        <w:t>aumento</w:t>
      </w:r>
      <w:r>
        <w:rPr>
          <w:spacing w:val="78"/>
        </w:rPr>
        <w:t> </w:t>
      </w:r>
      <w:r>
        <w:rPr/>
        <w:t>da</w:t>
      </w:r>
      <w:r>
        <w:rPr>
          <w:spacing w:val="74"/>
        </w:rPr>
        <w:t> </w:t>
      </w:r>
      <w:r>
        <w:rPr/>
        <w:t>expressão</w:t>
      </w:r>
      <w:r>
        <w:rPr>
          <w:spacing w:val="78"/>
        </w:rPr>
        <w:t> </w:t>
      </w:r>
      <w:r>
        <w:rPr/>
        <w:t>de</w:t>
      </w:r>
      <w:r>
        <w:rPr>
          <w:spacing w:val="74"/>
        </w:rPr>
        <w:t> </w:t>
      </w:r>
      <w:r>
        <w:rPr/>
        <w:t>MMPs</w:t>
      </w:r>
      <w:r>
        <w:rPr>
          <w:spacing w:val="80"/>
        </w:rPr>
        <w:t> </w:t>
      </w:r>
      <w:r>
        <w:rPr/>
        <w:t>pode</w:t>
      </w:r>
      <w:r>
        <w:rPr>
          <w:spacing w:val="74"/>
        </w:rPr>
        <w:t> </w:t>
      </w:r>
      <w:r>
        <w:rPr/>
        <w:t>ser</w:t>
      </w:r>
      <w:r>
        <w:rPr>
          <w:spacing w:val="80"/>
        </w:rPr>
        <w:t> </w:t>
      </w:r>
      <w:r>
        <w:rPr/>
        <w:t>estimulado</w:t>
      </w:r>
      <w:r>
        <w:rPr>
          <w:spacing w:val="78"/>
        </w:rPr>
        <w:t> </w:t>
      </w:r>
      <w:r>
        <w:rPr/>
        <w:t>por</w:t>
      </w:r>
      <w:r>
        <w:rPr>
          <w:spacing w:val="80"/>
        </w:rPr>
        <w:t> </w:t>
      </w:r>
      <w:r>
        <w:rPr/>
        <w:t>citocinas</w:t>
      </w:r>
      <w:r>
        <w:rPr>
          <w:spacing w:val="80"/>
        </w:rPr>
        <w:t> </w:t>
      </w:r>
      <w:r>
        <w:rPr/>
        <w:t>produzidas</w:t>
      </w:r>
      <w:r>
        <w:rPr>
          <w:spacing w:val="80"/>
        </w:rPr>
        <w:t> </w:t>
      </w:r>
      <w:r>
        <w:rPr/>
        <w:t>pelas</w:t>
      </w:r>
      <w:r>
        <w:rPr>
          <w:spacing w:val="80"/>
        </w:rPr>
        <w:t> </w:t>
      </w:r>
      <w:r>
        <w:rPr/>
        <w:t>células</w:t>
      </w:r>
    </w:p>
    <w:p>
      <w:pPr>
        <w:pStyle w:val="BodyText"/>
        <w:spacing w:after="0" w:line="276" w:lineRule="auto"/>
        <w:sectPr>
          <w:pgSz w:w="11900" w:h="16840"/>
          <w:pgMar w:top="220" w:bottom="280" w:left="566" w:right="141"/>
        </w:sectPr>
      </w:pPr>
    </w:p>
    <w:p>
      <w:pPr>
        <w:pStyle w:val="BodyText"/>
        <w:spacing w:line="285" w:lineRule="auto" w:before="61"/>
        <w:ind w:right="497" w:firstLine="0"/>
      </w:pPr>
      <w:r>
        <w:rPr/>
        <w:t>inflamatórias (interleucinas e fator de necrose tumoral) e é detectado principalmente na camada adventícia da artéria.</w:t>
      </w:r>
      <w:r>
        <w:rPr>
          <w:vertAlign w:val="superscript"/>
        </w:rPr>
        <w:t>10</w:t>
      </w:r>
      <w:r>
        <w:rPr>
          <w:vertAlign w:val="baseline"/>
        </w:rPr>
        <w:t> O papel fundamental desse conjunto de enzimas é bem demonstrado pelo comportamento de animais de laboratório</w:t>
      </w:r>
      <w:r>
        <w:rPr>
          <w:spacing w:val="-4"/>
          <w:vertAlign w:val="baseline"/>
        </w:rPr>
        <w:t> </w:t>
      </w:r>
      <w:r>
        <w:rPr>
          <w:vertAlign w:val="baseline"/>
        </w:rPr>
        <w:t>(</w:t>
      </w:r>
      <w:r>
        <w:rPr>
          <w:i/>
          <w:vertAlign w:val="baseline"/>
        </w:rPr>
        <w:t>knockout</w:t>
      </w:r>
      <w:r>
        <w:rPr>
          <w:i/>
          <w:spacing w:val="-1"/>
          <w:vertAlign w:val="baseline"/>
        </w:rPr>
        <w:t> </w:t>
      </w:r>
      <w:r>
        <w:rPr>
          <w:i/>
          <w:vertAlign w:val="baseline"/>
        </w:rPr>
        <w:t>mice</w:t>
      </w:r>
      <w:r>
        <w:rPr>
          <w:vertAlign w:val="baseline"/>
        </w:rPr>
        <w:t>), nos quais está ausente o gene para a produção de MMP-2 e MMP-9. Observa-se que esses animais se tornam resistentes ao desenvolvimento de aneurismas.</w:t>
      </w:r>
      <w:r>
        <w:rPr>
          <w:vertAlign w:val="superscript"/>
        </w:rPr>
        <w:t>11</w:t>
      </w:r>
      <w:r>
        <w:rPr>
          <w:vertAlign w:val="baseline"/>
        </w:rPr>
        <w:t> As quantidades relativas das diferentes enzimas também variam de acordo com a evolução temporal da doença, espelhando a modificação celular que acompanha a transição da fase inflamatória aguda para a crônica, a redução progressiva da celularidade na matriz extracelular</w:t>
      </w:r>
      <w:r>
        <w:rPr>
          <w:vertAlign w:val="superscript"/>
        </w:rPr>
        <w:t>12,13</w:t>
      </w:r>
      <w:r>
        <w:rPr>
          <w:vertAlign w:val="baseline"/>
        </w:rPr>
        <w:t> ou, ainda, os complexos mecanismos de indução/inibição entre elas próprias e seus inibidores naturais.</w:t>
      </w:r>
      <w:r>
        <w:rPr>
          <w:vertAlign w:val="superscript"/>
        </w:rPr>
        <w:t>14</w:t>
      </w:r>
      <w:r>
        <w:rPr>
          <w:vertAlign w:val="baseline"/>
        </w:rPr>
        <w:t> A</w:t>
      </w:r>
      <w:r>
        <w:rPr>
          <w:spacing w:val="-1"/>
          <w:vertAlign w:val="baseline"/>
        </w:rPr>
        <w:t> </w:t>
      </w:r>
      <w:r>
        <w:rPr>
          <w:vertAlign w:val="baseline"/>
        </w:rPr>
        <w:t>redução de</w:t>
      </w:r>
      <w:r>
        <w:rPr>
          <w:spacing w:val="-1"/>
          <w:vertAlign w:val="baseline"/>
        </w:rPr>
        <w:t> </w:t>
      </w:r>
      <w:r>
        <w:rPr>
          <w:vertAlign w:val="baseline"/>
        </w:rPr>
        <w:t>TIMPS parece</w:t>
      </w:r>
      <w:r>
        <w:rPr>
          <w:spacing w:val="-1"/>
          <w:vertAlign w:val="baseline"/>
        </w:rPr>
        <w:t> </w:t>
      </w:r>
      <w:r>
        <w:rPr>
          <w:vertAlign w:val="baseline"/>
        </w:rPr>
        <w:t>ser o mecanismo mais importante</w:t>
      </w:r>
      <w:r>
        <w:rPr>
          <w:spacing w:val="-1"/>
          <w:vertAlign w:val="baseline"/>
        </w:rPr>
        <w:t> </w:t>
      </w:r>
      <w:r>
        <w:rPr>
          <w:vertAlign w:val="baseline"/>
        </w:rPr>
        <w:t>na</w:t>
      </w:r>
      <w:r>
        <w:rPr>
          <w:spacing w:val="-1"/>
          <w:vertAlign w:val="baseline"/>
        </w:rPr>
        <w:t> </w:t>
      </w:r>
      <w:r>
        <w:rPr>
          <w:vertAlign w:val="baseline"/>
        </w:rPr>
        <w:t>formação dos aneurismas torácicos.</w:t>
      </w:r>
      <w:r>
        <w:rPr>
          <w:vertAlign w:val="superscript"/>
        </w:rPr>
        <w:t>12</w:t>
      </w:r>
    </w:p>
    <w:p>
      <w:pPr>
        <w:pStyle w:val="BodyText"/>
        <w:spacing w:before="11"/>
        <w:ind w:left="0" w:firstLine="0"/>
        <w:jc w:val="left"/>
      </w:pPr>
    </w:p>
    <w:p>
      <w:pPr>
        <w:pStyle w:val="Heading7"/>
      </w:pPr>
      <w:r>
        <w:rPr>
          <w:color w:val="242B67"/>
        </w:rPr>
        <w:t>Aumento do estresse </w:t>
      </w:r>
      <w:r>
        <w:rPr>
          <w:color w:val="242B67"/>
          <w:spacing w:val="-2"/>
        </w:rPr>
        <w:t>oxidativo</w:t>
      </w:r>
    </w:p>
    <w:p>
      <w:pPr>
        <w:pStyle w:val="BodyText"/>
        <w:spacing w:line="285" w:lineRule="auto" w:before="126"/>
        <w:ind w:right="497"/>
      </w:pPr>
      <w:r>
        <w:rPr/>
        <w:t>É definido</w:t>
      </w:r>
      <w:r>
        <w:rPr>
          <w:spacing w:val="-1"/>
        </w:rPr>
        <w:t> </w:t>
      </w:r>
      <w:r>
        <w:rPr/>
        <w:t>como</w:t>
      </w:r>
      <w:r>
        <w:rPr>
          <w:spacing w:val="-1"/>
        </w:rPr>
        <w:t> </w:t>
      </w:r>
      <w:r>
        <w:rPr/>
        <w:t>dano</w:t>
      </w:r>
      <w:r>
        <w:rPr>
          <w:spacing w:val="-1"/>
        </w:rPr>
        <w:t> </w:t>
      </w:r>
      <w:r>
        <w:rPr/>
        <w:t>tissular devido</w:t>
      </w:r>
      <w:r>
        <w:rPr>
          <w:spacing w:val="-1"/>
        </w:rPr>
        <w:t> </w:t>
      </w:r>
      <w:r>
        <w:rPr/>
        <w:t>à</w:t>
      </w:r>
      <w:r>
        <w:rPr>
          <w:spacing w:val="-3"/>
        </w:rPr>
        <w:t> </w:t>
      </w:r>
      <w:r>
        <w:rPr/>
        <w:t>produção</w:t>
      </w:r>
      <w:r>
        <w:rPr>
          <w:spacing w:val="-1"/>
        </w:rPr>
        <w:t> </w:t>
      </w:r>
      <w:r>
        <w:rPr/>
        <w:t>aumentada</w:t>
      </w:r>
      <w:r>
        <w:rPr>
          <w:spacing w:val="-3"/>
        </w:rPr>
        <w:t> </w:t>
      </w:r>
      <w:r>
        <w:rPr/>
        <w:t>e/ou</w:t>
      </w:r>
      <w:r>
        <w:rPr>
          <w:spacing w:val="-1"/>
        </w:rPr>
        <w:t> </w:t>
      </w:r>
      <w:r>
        <w:rPr/>
        <w:t>redução</w:t>
      </w:r>
      <w:r>
        <w:rPr>
          <w:spacing w:val="-1"/>
        </w:rPr>
        <w:t> </w:t>
      </w:r>
      <w:r>
        <w:rPr/>
        <w:t>da</w:t>
      </w:r>
      <w:r>
        <w:rPr>
          <w:spacing w:val="-3"/>
        </w:rPr>
        <w:t> </w:t>
      </w:r>
      <w:r>
        <w:rPr/>
        <w:t>destruição</w:t>
      </w:r>
      <w:r>
        <w:rPr>
          <w:spacing w:val="-1"/>
        </w:rPr>
        <w:t> </w:t>
      </w:r>
      <w:r>
        <w:rPr/>
        <w:t>de</w:t>
      </w:r>
      <w:r>
        <w:rPr>
          <w:spacing w:val="-3"/>
        </w:rPr>
        <w:t> </w:t>
      </w:r>
      <w:r>
        <w:rPr/>
        <w:t>substâncias reativas ao oxigênio, como o óxido nítrico (NO), o superóxido (O</w:t>
      </w:r>
      <w:r>
        <w:rPr>
          <w:vertAlign w:val="subscript"/>
        </w:rPr>
        <w:t>2</w:t>
      </w:r>
      <w:r>
        <w:rPr>
          <w:vertAlign w:val="superscript"/>
        </w:rPr>
        <w:t>–</w:t>
      </w:r>
      <w:r>
        <w:rPr>
          <w:vertAlign w:val="baseline"/>
        </w:rPr>
        <w:t>), o peróxido de hidrogênio (H</w:t>
      </w:r>
      <w:r>
        <w:rPr>
          <w:vertAlign w:val="subscript"/>
        </w:rPr>
        <w:t>2</w:t>
      </w:r>
      <w:r>
        <w:rPr>
          <w:vertAlign w:val="baseline"/>
        </w:rPr>
        <w:t>O</w:t>
      </w:r>
      <w:r>
        <w:rPr>
          <w:vertAlign w:val="subscript"/>
        </w:rPr>
        <w:t>2</w:t>
      </w:r>
      <w:r>
        <w:rPr>
          <w:vertAlign w:val="baseline"/>
        </w:rPr>
        <w:t>) e o peroxidonitrito (ONOO</w:t>
      </w:r>
      <w:r>
        <w:rPr>
          <w:vertAlign w:val="superscript"/>
        </w:rPr>
        <w:t>–</w:t>
      </w:r>
      <w:r>
        <w:rPr>
          <w:vertAlign w:val="baseline"/>
        </w:rPr>
        <w:t>), que, em conjunto, são altamente aterogênicas, produzem lesão ao DNA e apoptose. Vários estudos demonstram o aumento da atividade oxidativa nos pacientes com aneurisma da aorta abdominal,</w:t>
      </w:r>
      <w:r>
        <w:rPr>
          <w:vertAlign w:val="superscript"/>
        </w:rPr>
        <w:t>15</w:t>
      </w:r>
      <w:r>
        <w:rPr>
          <w:vertAlign w:val="baseline"/>
        </w:rPr>
        <w:t> embora não se tenha certeza se como agente primário ou secundário a outras alterações (atividade pulsátil, hipertensão, inflamação). Diversos grupos celulares e enzimáticos são responsáveis pelo aumento da produção de substâncias reativas ao O</w:t>
      </w:r>
      <w:r>
        <w:rPr>
          <w:vertAlign w:val="subscript"/>
        </w:rPr>
        <w:t>2</w:t>
      </w:r>
      <w:r>
        <w:rPr>
          <w:vertAlign w:val="baseline"/>
        </w:rPr>
        <w:t> na parede aórtica, sendo a principal delas a NADPH oxidase. As substâncias reativas ao O</w:t>
      </w:r>
      <w:r>
        <w:rPr>
          <w:vertAlign w:val="subscript"/>
        </w:rPr>
        <w:t>2</w:t>
      </w:r>
      <w:r>
        <w:rPr>
          <w:vertAlign w:val="baseline"/>
        </w:rPr>
        <w:t> atuam aumentando a</w:t>
      </w:r>
      <w:r>
        <w:rPr>
          <w:spacing w:val="-1"/>
          <w:vertAlign w:val="baseline"/>
        </w:rPr>
        <w:t> </w:t>
      </w:r>
      <w:r>
        <w:rPr>
          <w:vertAlign w:val="baseline"/>
        </w:rPr>
        <w:t>produção de</w:t>
      </w:r>
      <w:r>
        <w:rPr>
          <w:spacing w:val="-1"/>
          <w:vertAlign w:val="baseline"/>
        </w:rPr>
        <w:t> </w:t>
      </w:r>
      <w:r>
        <w:rPr>
          <w:vertAlign w:val="baseline"/>
        </w:rPr>
        <w:t>fatores quimiotáticos, estimulando a</w:t>
      </w:r>
      <w:r>
        <w:rPr>
          <w:spacing w:val="-1"/>
          <w:vertAlign w:val="baseline"/>
        </w:rPr>
        <w:t> </w:t>
      </w:r>
      <w:r>
        <w:rPr>
          <w:vertAlign w:val="baseline"/>
        </w:rPr>
        <w:t>inflamação e</w:t>
      </w:r>
      <w:r>
        <w:rPr>
          <w:spacing w:val="-1"/>
          <w:vertAlign w:val="baseline"/>
        </w:rPr>
        <w:t> </w:t>
      </w:r>
      <w:r>
        <w:rPr>
          <w:vertAlign w:val="baseline"/>
        </w:rPr>
        <w:t>ativando as MMPs.</w:t>
      </w:r>
    </w:p>
    <w:p>
      <w:pPr>
        <w:pStyle w:val="BodyText"/>
        <w:spacing w:before="130"/>
        <w:ind w:left="0" w:firstLine="0"/>
        <w:jc w:val="left"/>
      </w:pPr>
    </w:p>
    <w:p>
      <w:pPr>
        <w:pStyle w:val="Heading5"/>
      </w:pPr>
      <w:r>
        <w:rPr>
          <w:color w:val="A26108"/>
        </w:rPr>
        <w:t>Fatores</w:t>
      </w:r>
      <w:r>
        <w:rPr>
          <w:color w:val="A26108"/>
          <w:spacing w:val="23"/>
        </w:rPr>
        <w:t> </w:t>
      </w:r>
      <w:r>
        <w:rPr>
          <w:color w:val="A26108"/>
          <w:spacing w:val="-2"/>
        </w:rPr>
        <w:t>mecânicos</w:t>
      </w:r>
    </w:p>
    <w:p>
      <w:pPr>
        <w:pStyle w:val="BodyText"/>
        <w:spacing w:line="278" w:lineRule="auto" w:before="138"/>
        <w:ind w:right="488"/>
      </w:pPr>
      <w:r>
        <w:rPr/>
        <w:t>O</w:t>
      </w:r>
      <w:r>
        <w:rPr>
          <w:spacing w:val="-8"/>
        </w:rPr>
        <w:t> </w:t>
      </w:r>
      <w:r>
        <w:rPr/>
        <w:t>estresse</w:t>
      </w:r>
      <w:r>
        <w:rPr>
          <w:spacing w:val="-8"/>
        </w:rPr>
        <w:t> </w:t>
      </w:r>
      <w:r>
        <w:rPr/>
        <w:t>de</w:t>
      </w:r>
      <w:r>
        <w:rPr>
          <w:spacing w:val="-8"/>
        </w:rPr>
        <w:t> </w:t>
      </w:r>
      <w:r>
        <w:rPr/>
        <w:t>parede</w:t>
      </w:r>
      <w:r>
        <w:rPr>
          <w:spacing w:val="-8"/>
        </w:rPr>
        <w:t> </w:t>
      </w:r>
      <w:r>
        <w:rPr/>
        <w:t>atua</w:t>
      </w:r>
      <w:r>
        <w:rPr>
          <w:spacing w:val="-8"/>
        </w:rPr>
        <w:t> </w:t>
      </w:r>
      <w:r>
        <w:rPr/>
        <w:t>preferentemente</w:t>
      </w:r>
      <w:r>
        <w:rPr>
          <w:spacing w:val="-8"/>
        </w:rPr>
        <w:t> </w:t>
      </w:r>
      <w:r>
        <w:rPr/>
        <w:t>no</w:t>
      </w:r>
      <w:r>
        <w:rPr>
          <w:spacing w:val="-6"/>
        </w:rPr>
        <w:t> </w:t>
      </w:r>
      <w:r>
        <w:rPr/>
        <w:t>segmento</w:t>
      </w:r>
      <w:r>
        <w:rPr>
          <w:spacing w:val="-6"/>
        </w:rPr>
        <w:t> </w:t>
      </w:r>
      <w:r>
        <w:rPr/>
        <w:t>abdominal</w:t>
      </w:r>
      <w:r>
        <w:rPr>
          <w:spacing w:val="-3"/>
        </w:rPr>
        <w:t> </w:t>
      </w:r>
      <w:r>
        <w:rPr/>
        <w:t>da</w:t>
      </w:r>
      <w:r>
        <w:rPr>
          <w:spacing w:val="-8"/>
        </w:rPr>
        <w:t> </w:t>
      </w:r>
      <w:r>
        <w:rPr/>
        <w:t>aorta</w:t>
      </w:r>
      <w:r>
        <w:rPr>
          <w:spacing w:val="-8"/>
        </w:rPr>
        <w:t> </w:t>
      </w:r>
      <w:r>
        <w:rPr/>
        <w:t>devido</w:t>
      </w:r>
      <w:r>
        <w:rPr>
          <w:spacing w:val="-6"/>
        </w:rPr>
        <w:t> </w:t>
      </w:r>
      <w:r>
        <w:rPr/>
        <w:t>à</w:t>
      </w:r>
      <w:r>
        <w:rPr>
          <w:spacing w:val="-8"/>
        </w:rPr>
        <w:t> </w:t>
      </w:r>
      <w:r>
        <w:rPr/>
        <w:t>redução</w:t>
      </w:r>
      <w:r>
        <w:rPr>
          <w:spacing w:val="-6"/>
        </w:rPr>
        <w:t> </w:t>
      </w:r>
      <w:r>
        <w:rPr/>
        <w:t>de</w:t>
      </w:r>
      <w:r>
        <w:rPr>
          <w:spacing w:val="-8"/>
        </w:rPr>
        <w:t> </w:t>
      </w:r>
      <w:r>
        <w:rPr/>
        <w:t>seu</w:t>
      </w:r>
      <w:r>
        <w:rPr>
          <w:spacing w:val="-6"/>
        </w:rPr>
        <w:t> </w:t>
      </w:r>
      <w:r>
        <w:rPr/>
        <w:t>conteúdo</w:t>
      </w:r>
      <w:r>
        <w:rPr>
          <w:spacing w:val="-6"/>
        </w:rPr>
        <w:t> </w:t>
      </w:r>
      <w:r>
        <w:rPr/>
        <w:t>de elastina</w:t>
      </w:r>
      <w:r>
        <w:rPr>
          <w:spacing w:val="-4"/>
        </w:rPr>
        <w:t> </w:t>
      </w:r>
      <w:r>
        <w:rPr/>
        <w:t>(unidades lamelares) em</w:t>
      </w:r>
      <w:r>
        <w:rPr>
          <w:spacing w:val="-1"/>
        </w:rPr>
        <w:t> </w:t>
      </w:r>
      <w:r>
        <w:rPr/>
        <w:t>comparação</w:t>
      </w:r>
      <w:r>
        <w:rPr>
          <w:spacing w:val="-1"/>
        </w:rPr>
        <w:t> </w:t>
      </w:r>
      <w:r>
        <w:rPr/>
        <w:t>com</w:t>
      </w:r>
      <w:r>
        <w:rPr>
          <w:spacing w:val="-1"/>
        </w:rPr>
        <w:t> </w:t>
      </w:r>
      <w:r>
        <w:rPr/>
        <w:t>a</w:t>
      </w:r>
      <w:r>
        <w:rPr>
          <w:spacing w:val="-4"/>
        </w:rPr>
        <w:t> </w:t>
      </w:r>
      <w:r>
        <w:rPr/>
        <w:t>aorta</w:t>
      </w:r>
      <w:r>
        <w:rPr>
          <w:spacing w:val="-4"/>
        </w:rPr>
        <w:t> </w:t>
      </w:r>
      <w:r>
        <w:rPr/>
        <w:t>torácica, explicando</w:t>
      </w:r>
      <w:r>
        <w:rPr>
          <w:spacing w:val="-1"/>
        </w:rPr>
        <w:t> </w:t>
      </w:r>
      <w:r>
        <w:rPr/>
        <w:t>a</w:t>
      </w:r>
      <w:r>
        <w:rPr>
          <w:spacing w:val="-4"/>
        </w:rPr>
        <w:t> </w:t>
      </w:r>
      <w:r>
        <w:rPr/>
        <w:t>acentuada</w:t>
      </w:r>
      <w:r>
        <w:rPr>
          <w:spacing w:val="-4"/>
        </w:rPr>
        <w:t> </w:t>
      </w:r>
      <w:r>
        <w:rPr/>
        <w:t>diferença</w:t>
      </w:r>
      <w:r>
        <w:rPr>
          <w:spacing w:val="-4"/>
        </w:rPr>
        <w:t> </w:t>
      </w:r>
      <w:r>
        <w:rPr/>
        <w:t>em</w:t>
      </w:r>
      <w:r>
        <w:rPr>
          <w:spacing w:val="-1"/>
        </w:rPr>
        <w:t> </w:t>
      </w:r>
      <w:r>
        <w:rPr/>
        <w:t>incidência entre as localizações. A redução dos </w:t>
      </w:r>
      <w:r>
        <w:rPr>
          <w:i/>
        </w:rPr>
        <w:t>vasa vasorum </w:t>
      </w:r>
      <w:r>
        <w:rPr/>
        <w:t>no segmento abdominal também pode ser um fator facilitador, reduzindo a perfusão local. A ocorrência de trombo intravascular atua reduzindo a transmissão de pressão para a parede da aorta, porém não confere proteção ao vaso, uma vez que ele é um reservatório de enzimas proteolíticas maior que a própria parede da aorta, tornando-o agente facilitador à ruptura do vaso.</w:t>
      </w:r>
      <w:r>
        <w:rPr>
          <w:vertAlign w:val="superscript"/>
        </w:rPr>
        <w:t>15,16</w:t>
      </w:r>
    </w:p>
    <w:p>
      <w:pPr>
        <w:pStyle w:val="BodyText"/>
        <w:spacing w:line="278" w:lineRule="auto" w:before="50"/>
        <w:ind w:right="498"/>
      </w:pPr>
      <w:r>
        <w:rPr/>
        <w:t>Na</w:t>
      </w:r>
      <w:r>
        <w:rPr>
          <w:spacing w:val="-5"/>
        </w:rPr>
        <w:t> </w:t>
      </w:r>
      <w:r>
        <w:rPr/>
        <w:t>dissecção</w:t>
      </w:r>
      <w:r>
        <w:rPr>
          <w:spacing w:val="-2"/>
        </w:rPr>
        <w:t> </w:t>
      </w:r>
      <w:r>
        <w:rPr/>
        <w:t>da</w:t>
      </w:r>
      <w:r>
        <w:rPr>
          <w:spacing w:val="-5"/>
        </w:rPr>
        <w:t> </w:t>
      </w:r>
      <w:r>
        <w:rPr/>
        <w:t>aorta</w:t>
      </w:r>
      <w:r>
        <w:rPr>
          <w:spacing w:val="-5"/>
        </w:rPr>
        <w:t> </w:t>
      </w:r>
      <w:r>
        <w:rPr/>
        <w:t>é</w:t>
      </w:r>
      <w:r>
        <w:rPr>
          <w:spacing w:val="-5"/>
        </w:rPr>
        <w:t> </w:t>
      </w:r>
      <w:r>
        <w:rPr/>
        <w:t>a</w:t>
      </w:r>
      <w:r>
        <w:rPr>
          <w:spacing w:val="-5"/>
        </w:rPr>
        <w:t> </w:t>
      </w:r>
      <w:r>
        <w:rPr/>
        <w:t>ruptura</w:t>
      </w:r>
      <w:r>
        <w:rPr>
          <w:spacing w:val="-5"/>
        </w:rPr>
        <w:t> </w:t>
      </w:r>
      <w:r>
        <w:rPr/>
        <w:t>da</w:t>
      </w:r>
      <w:r>
        <w:rPr>
          <w:spacing w:val="-5"/>
        </w:rPr>
        <w:t> </w:t>
      </w:r>
      <w:r>
        <w:rPr/>
        <w:t>íntima</w:t>
      </w:r>
      <w:r>
        <w:rPr>
          <w:spacing w:val="-5"/>
        </w:rPr>
        <w:t> </w:t>
      </w:r>
      <w:r>
        <w:rPr/>
        <w:t>da</w:t>
      </w:r>
      <w:r>
        <w:rPr>
          <w:spacing w:val="-5"/>
        </w:rPr>
        <w:t> </w:t>
      </w:r>
      <w:r>
        <w:rPr/>
        <w:t>aorta</w:t>
      </w:r>
      <w:r>
        <w:rPr>
          <w:spacing w:val="-5"/>
        </w:rPr>
        <w:t> </w:t>
      </w:r>
      <w:r>
        <w:rPr/>
        <w:t>que</w:t>
      </w:r>
      <w:r>
        <w:rPr>
          <w:spacing w:val="-5"/>
        </w:rPr>
        <w:t> </w:t>
      </w:r>
      <w:r>
        <w:rPr/>
        <w:t>possibilita</w:t>
      </w:r>
      <w:r>
        <w:rPr>
          <w:spacing w:val="-5"/>
        </w:rPr>
        <w:t> </w:t>
      </w:r>
      <w:r>
        <w:rPr/>
        <w:t>ao</w:t>
      </w:r>
      <w:r>
        <w:rPr>
          <w:spacing w:val="-2"/>
        </w:rPr>
        <w:t> </w:t>
      </w:r>
      <w:r>
        <w:rPr/>
        <w:t>sangue</w:t>
      </w:r>
      <w:r>
        <w:rPr>
          <w:spacing w:val="-5"/>
        </w:rPr>
        <w:t> </w:t>
      </w:r>
      <w:r>
        <w:rPr/>
        <w:t>penetrar na</w:t>
      </w:r>
      <w:r>
        <w:rPr>
          <w:spacing w:val="-5"/>
        </w:rPr>
        <w:t> </w:t>
      </w:r>
      <w:r>
        <w:rPr/>
        <w:t>parede</w:t>
      </w:r>
      <w:r>
        <w:rPr>
          <w:spacing w:val="-5"/>
        </w:rPr>
        <w:t> </w:t>
      </w:r>
      <w:r>
        <w:rPr/>
        <w:t>aórtica</w:t>
      </w:r>
      <w:r>
        <w:rPr>
          <w:spacing w:val="-5"/>
        </w:rPr>
        <w:t> </w:t>
      </w:r>
      <w:r>
        <w:rPr/>
        <w:t>e</w:t>
      </w:r>
      <w:r>
        <w:rPr>
          <w:spacing w:val="-5"/>
        </w:rPr>
        <w:t> </w:t>
      </w:r>
      <w:r>
        <w:rPr/>
        <w:t>forçar a</w:t>
      </w:r>
      <w:r>
        <w:rPr>
          <w:spacing w:val="-5"/>
        </w:rPr>
        <w:t> </w:t>
      </w:r>
      <w:r>
        <w:rPr/>
        <w:t>descontinuidade</w:t>
      </w:r>
      <w:r>
        <w:rPr>
          <w:spacing w:val="-5"/>
        </w:rPr>
        <w:t> </w:t>
      </w:r>
      <w:r>
        <w:rPr/>
        <w:t>das camadas vasculares por extensões variáveis. Essa</w:t>
      </w:r>
      <w:r>
        <w:rPr>
          <w:spacing w:val="-5"/>
        </w:rPr>
        <w:t> </w:t>
      </w:r>
      <w:r>
        <w:rPr/>
        <w:t>delaminação</w:t>
      </w:r>
      <w:r>
        <w:rPr>
          <w:spacing w:val="-3"/>
        </w:rPr>
        <w:t> </w:t>
      </w:r>
      <w:r>
        <w:rPr/>
        <w:t>avança</w:t>
      </w:r>
      <w:r>
        <w:rPr>
          <w:spacing w:val="-5"/>
        </w:rPr>
        <w:t> </w:t>
      </w:r>
      <w:r>
        <w:rPr/>
        <w:t>rapidamente</w:t>
      </w:r>
      <w:r>
        <w:rPr>
          <w:spacing w:val="-5"/>
        </w:rPr>
        <w:t> </w:t>
      </w:r>
      <w:r>
        <w:rPr/>
        <w:t>ao</w:t>
      </w:r>
      <w:r>
        <w:rPr>
          <w:spacing w:val="-3"/>
        </w:rPr>
        <w:t> </w:t>
      </w:r>
      <w:r>
        <w:rPr/>
        <w:t>longo do</w:t>
      </w:r>
      <w:r>
        <w:rPr>
          <w:spacing w:val="-4"/>
        </w:rPr>
        <w:t> </w:t>
      </w:r>
      <w:r>
        <w:rPr/>
        <w:t>terço</w:t>
      </w:r>
      <w:r>
        <w:rPr>
          <w:spacing w:val="-4"/>
        </w:rPr>
        <w:t> </w:t>
      </w:r>
      <w:r>
        <w:rPr/>
        <w:t>externo</w:t>
      </w:r>
      <w:r>
        <w:rPr>
          <w:spacing w:val="-4"/>
        </w:rPr>
        <w:t> </w:t>
      </w:r>
      <w:r>
        <w:rPr/>
        <w:t>da</w:t>
      </w:r>
      <w:r>
        <w:rPr>
          <w:spacing w:val="-7"/>
        </w:rPr>
        <w:t> </w:t>
      </w:r>
      <w:r>
        <w:rPr/>
        <w:t>média, mais delgado, possibilitando</w:t>
      </w:r>
      <w:r>
        <w:rPr>
          <w:spacing w:val="-4"/>
        </w:rPr>
        <w:t> </w:t>
      </w:r>
      <w:r>
        <w:rPr/>
        <w:t>a</w:t>
      </w:r>
      <w:r>
        <w:rPr>
          <w:spacing w:val="-7"/>
        </w:rPr>
        <w:t> </w:t>
      </w:r>
      <w:r>
        <w:rPr/>
        <w:t>ruptura</w:t>
      </w:r>
      <w:r>
        <w:rPr>
          <w:spacing w:val="-7"/>
        </w:rPr>
        <w:t> </w:t>
      </w:r>
      <w:r>
        <w:rPr/>
        <w:t>para</w:t>
      </w:r>
      <w:r>
        <w:rPr>
          <w:spacing w:val="-7"/>
        </w:rPr>
        <w:t> </w:t>
      </w:r>
      <w:r>
        <w:rPr/>
        <w:t>o</w:t>
      </w:r>
      <w:r>
        <w:rPr>
          <w:spacing w:val="-4"/>
        </w:rPr>
        <w:t> </w:t>
      </w:r>
      <w:r>
        <w:rPr/>
        <w:t>pericárdio</w:t>
      </w:r>
      <w:r>
        <w:rPr>
          <w:spacing w:val="-4"/>
        </w:rPr>
        <w:t> </w:t>
      </w:r>
      <w:r>
        <w:rPr/>
        <w:t>ou</w:t>
      </w:r>
      <w:r>
        <w:rPr>
          <w:spacing w:val="-4"/>
        </w:rPr>
        <w:t> </w:t>
      </w:r>
      <w:r>
        <w:rPr/>
        <w:t>espaços pleurais assim</w:t>
      </w:r>
      <w:r>
        <w:rPr>
          <w:spacing w:val="-4"/>
        </w:rPr>
        <w:t> </w:t>
      </w:r>
      <w:r>
        <w:rPr/>
        <w:t>como fenômenos isquêmicos a montante e a jusante do orifício de entrada. Na dissecção do tipo A de Stanford, os pacientes são geralmente mais jovens e a degeneração do tecido elástico é o achado mais comum, enquanto na dissecção do tipo B a lesão é secundária à degeneração da média pelo uso e desgaste do envelhecimento, acometendo em geral pacientes mais idosos.</w:t>
      </w:r>
      <w:r>
        <w:rPr>
          <w:vertAlign w:val="superscript"/>
        </w:rPr>
        <w:t>17</w:t>
      </w:r>
      <w:r>
        <w:rPr>
          <w:vertAlign w:val="baseline"/>
        </w:rPr>
        <w:t> A ruptura é mais frequente na aorta proximal pelo seu maior diâmetro transverso (Lei de Laplace) e porque a aorta descendente tem camada de sustentação adicional oferecida pela pleura parietal.</w:t>
      </w:r>
    </w:p>
    <w:p>
      <w:pPr>
        <w:pStyle w:val="BodyText"/>
        <w:spacing w:before="178"/>
        <w:ind w:left="0" w:firstLine="0"/>
        <w:jc w:val="left"/>
      </w:pPr>
    </w:p>
    <w:p>
      <w:pPr>
        <w:pStyle w:val="Heading4"/>
      </w:pPr>
      <w:r>
        <w:rPr>
          <w:color w:val="242B67"/>
        </w:rPr>
        <w:t>Aneurisma de </w:t>
      </w:r>
      <w:r>
        <w:rPr>
          <w:color w:val="242B67"/>
          <w:spacing w:val="-2"/>
        </w:rPr>
        <w:t>aorta</w:t>
      </w:r>
    </w:p>
    <w:p>
      <w:pPr>
        <w:pStyle w:val="Heading5"/>
        <w:spacing w:before="194"/>
      </w:pPr>
      <w:r>
        <w:rPr>
          <w:color w:val="A26108"/>
          <w:spacing w:val="-2"/>
        </w:rPr>
        <w:t>Definição</w:t>
      </w:r>
    </w:p>
    <w:p>
      <w:pPr>
        <w:pStyle w:val="BodyText"/>
        <w:spacing w:line="276" w:lineRule="auto" w:before="138"/>
        <w:ind w:right="498"/>
      </w:pPr>
      <w:r>
        <w:rPr/>
        <w:t>O aneurisma da aorta é uma dilatação irreversível que excede seu diâmetro normal para idade e peso. É denominado aneurisma quando o diâmetro transversal da aorta exceder em uma vez e meia o diâmetro normal (</w:t>
      </w:r>
      <w:r>
        <w:rPr>
          <w:color w:val="505050"/>
        </w:rPr>
        <w:t>Figura 58.1</w:t>
      </w:r>
      <w:r>
        <w:rPr/>
        <w:t>).</w:t>
      </w:r>
    </w:p>
    <w:p>
      <w:pPr>
        <w:pStyle w:val="BodyText"/>
        <w:spacing w:line="276" w:lineRule="auto" w:before="48"/>
        <w:ind w:right="491"/>
      </w:pPr>
      <w:r>
        <w:rPr/>
        <w:t>Aneurisma fusiforme é aquele em que toda a circunferência da aorta se encontra acometida e dilatada. No aneurisma</w:t>
      </w:r>
      <w:r>
        <w:rPr>
          <w:spacing w:val="-9"/>
        </w:rPr>
        <w:t> </w:t>
      </w:r>
      <w:r>
        <w:rPr/>
        <w:t>sacular, a</w:t>
      </w:r>
      <w:r>
        <w:rPr>
          <w:spacing w:val="-9"/>
        </w:rPr>
        <w:t> </w:t>
      </w:r>
      <w:r>
        <w:rPr/>
        <w:t>dilatação</w:t>
      </w:r>
      <w:r>
        <w:rPr>
          <w:spacing w:val="-7"/>
        </w:rPr>
        <w:t> </w:t>
      </w:r>
      <w:r>
        <w:rPr/>
        <w:t>é</w:t>
      </w:r>
      <w:r>
        <w:rPr>
          <w:spacing w:val="-9"/>
        </w:rPr>
        <w:t> </w:t>
      </w:r>
      <w:r>
        <w:rPr/>
        <w:t>restrita</w:t>
      </w:r>
      <w:r>
        <w:rPr>
          <w:spacing w:val="-9"/>
        </w:rPr>
        <w:t> </w:t>
      </w:r>
      <w:r>
        <w:rPr/>
        <w:t>a</w:t>
      </w:r>
      <w:r>
        <w:rPr>
          <w:spacing w:val="-9"/>
        </w:rPr>
        <w:t> </w:t>
      </w:r>
      <w:r>
        <w:rPr/>
        <w:t>uma</w:t>
      </w:r>
      <w:r>
        <w:rPr>
          <w:spacing w:val="-9"/>
        </w:rPr>
        <w:t> </w:t>
      </w:r>
      <w:r>
        <w:rPr/>
        <w:t>porção</w:t>
      </w:r>
      <w:r>
        <w:rPr>
          <w:spacing w:val="-7"/>
        </w:rPr>
        <w:t> </w:t>
      </w:r>
      <w:r>
        <w:rPr/>
        <w:t>da</w:t>
      </w:r>
      <w:r>
        <w:rPr>
          <w:spacing w:val="-9"/>
        </w:rPr>
        <w:t> </w:t>
      </w:r>
      <w:r>
        <w:rPr/>
        <w:t>parede</w:t>
      </w:r>
      <w:r>
        <w:rPr>
          <w:spacing w:val="-9"/>
        </w:rPr>
        <w:t> </w:t>
      </w:r>
      <w:r>
        <w:rPr/>
        <w:t>aórtica, estando</w:t>
      </w:r>
      <w:r>
        <w:rPr>
          <w:spacing w:val="-7"/>
        </w:rPr>
        <w:t> </w:t>
      </w:r>
      <w:r>
        <w:rPr/>
        <w:t>o</w:t>
      </w:r>
      <w:r>
        <w:rPr>
          <w:spacing w:val="-7"/>
        </w:rPr>
        <w:t> </w:t>
      </w:r>
      <w:r>
        <w:rPr/>
        <w:t>restante</w:t>
      </w:r>
      <w:r>
        <w:rPr>
          <w:spacing w:val="-9"/>
        </w:rPr>
        <w:t> </w:t>
      </w:r>
      <w:r>
        <w:rPr/>
        <w:t>da</w:t>
      </w:r>
      <w:r>
        <w:rPr>
          <w:spacing w:val="-9"/>
        </w:rPr>
        <w:t> </w:t>
      </w:r>
      <w:r>
        <w:rPr/>
        <w:t>circunferência</w:t>
      </w:r>
      <w:r>
        <w:rPr>
          <w:spacing w:val="-9"/>
        </w:rPr>
        <w:t> </w:t>
      </w:r>
      <w:r>
        <w:rPr/>
        <w:t>normal. Pseudoaneurisma é o termo utilizado quando a dilatação da aorta não envolve a íntima, o que pode ocorrer nos locais de</w:t>
      </w:r>
      <w:r>
        <w:rPr>
          <w:spacing w:val="-3"/>
        </w:rPr>
        <w:t> </w:t>
      </w:r>
      <w:r>
        <w:rPr/>
        <w:t>anastomoses, entre</w:t>
      </w:r>
      <w:r>
        <w:rPr>
          <w:spacing w:val="-3"/>
        </w:rPr>
        <w:t> </w:t>
      </w:r>
      <w:r>
        <w:rPr/>
        <w:t>materiais protéticos, após trauma</w:t>
      </w:r>
      <w:r>
        <w:rPr>
          <w:spacing w:val="-3"/>
        </w:rPr>
        <w:t> </w:t>
      </w:r>
      <w:r>
        <w:rPr/>
        <w:t>torácico fechado e</w:t>
      </w:r>
      <w:r>
        <w:rPr>
          <w:spacing w:val="-3"/>
        </w:rPr>
        <w:t> </w:t>
      </w:r>
      <w:r>
        <w:rPr/>
        <w:t>em aneurismas micóticos.</w:t>
      </w:r>
    </w:p>
    <w:p>
      <w:pPr>
        <w:pStyle w:val="BodyText"/>
        <w:spacing w:before="134"/>
        <w:ind w:left="0" w:firstLine="0"/>
        <w:jc w:val="left"/>
      </w:pPr>
    </w:p>
    <w:p>
      <w:pPr>
        <w:pStyle w:val="Heading5"/>
      </w:pPr>
      <w:r>
        <w:rPr>
          <w:color w:val="A26108"/>
        </w:rPr>
        <w:t>Manifestações</w:t>
      </w:r>
      <w:r>
        <w:rPr>
          <w:color w:val="A26108"/>
          <w:spacing w:val="43"/>
        </w:rPr>
        <w:t> </w:t>
      </w:r>
      <w:r>
        <w:rPr>
          <w:color w:val="A26108"/>
          <w:spacing w:val="-2"/>
        </w:rPr>
        <w:t>clínicas</w:t>
      </w:r>
    </w:p>
    <w:p>
      <w:pPr>
        <w:pStyle w:val="BodyText"/>
        <w:spacing w:before="138"/>
        <w:ind w:left="414" w:firstLine="0"/>
        <w:jc w:val="left"/>
      </w:pPr>
      <w:r>
        <w:rPr/>
        <w:t>Um</w:t>
      </w:r>
      <w:r>
        <w:rPr>
          <w:spacing w:val="-9"/>
        </w:rPr>
        <w:t> </w:t>
      </w:r>
      <w:r>
        <w:rPr/>
        <w:t>dos</w:t>
      </w:r>
      <w:r>
        <w:rPr>
          <w:spacing w:val="-1"/>
        </w:rPr>
        <w:t> </w:t>
      </w:r>
      <w:r>
        <w:rPr/>
        <w:t>aspectos</w:t>
      </w:r>
      <w:r>
        <w:rPr>
          <w:spacing w:val="-2"/>
        </w:rPr>
        <w:t> </w:t>
      </w:r>
      <w:r>
        <w:rPr/>
        <w:t>mais</w:t>
      </w:r>
      <w:r>
        <w:rPr>
          <w:spacing w:val="-1"/>
        </w:rPr>
        <w:t> </w:t>
      </w:r>
      <w:r>
        <w:rPr/>
        <w:t>importantes</w:t>
      </w:r>
      <w:r>
        <w:rPr>
          <w:spacing w:val="-1"/>
        </w:rPr>
        <w:t> </w:t>
      </w:r>
      <w:r>
        <w:rPr/>
        <w:t>no</w:t>
      </w:r>
      <w:r>
        <w:rPr>
          <w:spacing w:val="-9"/>
        </w:rPr>
        <w:t> </w:t>
      </w:r>
      <w:r>
        <w:rPr/>
        <w:t>manuseio</w:t>
      </w:r>
      <w:r>
        <w:rPr>
          <w:spacing w:val="-8"/>
        </w:rPr>
        <w:t> </w:t>
      </w:r>
      <w:r>
        <w:rPr/>
        <w:t>dos</w:t>
      </w:r>
      <w:r>
        <w:rPr>
          <w:spacing w:val="-1"/>
        </w:rPr>
        <w:t> </w:t>
      </w:r>
      <w:r>
        <w:rPr/>
        <w:t>pacientes</w:t>
      </w:r>
      <w:r>
        <w:rPr>
          <w:spacing w:val="-2"/>
        </w:rPr>
        <w:t> </w:t>
      </w:r>
      <w:r>
        <w:rPr/>
        <w:t>com</w:t>
      </w:r>
      <w:r>
        <w:rPr>
          <w:spacing w:val="-8"/>
        </w:rPr>
        <w:t> </w:t>
      </w:r>
      <w:r>
        <w:rPr/>
        <w:t>aneurisma</w:t>
      </w:r>
      <w:r>
        <w:rPr>
          <w:spacing w:val="-11"/>
        </w:rPr>
        <w:t> </w:t>
      </w:r>
      <w:r>
        <w:rPr/>
        <w:t>da</w:t>
      </w:r>
      <w:r>
        <w:rPr>
          <w:spacing w:val="-11"/>
        </w:rPr>
        <w:t> </w:t>
      </w:r>
      <w:r>
        <w:rPr/>
        <w:t>aorta</w:t>
      </w:r>
      <w:r>
        <w:rPr>
          <w:spacing w:val="-11"/>
        </w:rPr>
        <w:t> </w:t>
      </w:r>
      <w:r>
        <w:rPr/>
        <w:t>é</w:t>
      </w:r>
      <w:r>
        <w:rPr>
          <w:spacing w:val="-11"/>
        </w:rPr>
        <w:t> </w:t>
      </w:r>
      <w:r>
        <w:rPr/>
        <w:t>o</w:t>
      </w:r>
      <w:r>
        <w:rPr>
          <w:spacing w:val="-8"/>
        </w:rPr>
        <w:t> </w:t>
      </w:r>
      <w:r>
        <w:rPr/>
        <w:t>momento</w:t>
      </w:r>
      <w:r>
        <w:rPr>
          <w:spacing w:val="-9"/>
        </w:rPr>
        <w:t> </w:t>
      </w:r>
      <w:r>
        <w:rPr/>
        <w:t>ideal</w:t>
      </w:r>
      <w:r>
        <w:rPr>
          <w:spacing w:val="-6"/>
        </w:rPr>
        <w:t> </w:t>
      </w:r>
      <w:r>
        <w:rPr/>
        <w:t>para</w:t>
      </w:r>
      <w:r>
        <w:rPr>
          <w:spacing w:val="-10"/>
        </w:rPr>
        <w:t> a</w:t>
      </w:r>
    </w:p>
    <w:p>
      <w:pPr>
        <w:pStyle w:val="BodyText"/>
        <w:spacing w:after="0"/>
        <w:jc w:val="left"/>
        <w:sectPr>
          <w:pgSz w:w="11900" w:h="16840"/>
          <w:pgMar w:top="220" w:bottom="280" w:left="566" w:right="141"/>
        </w:sectPr>
      </w:pPr>
    </w:p>
    <w:p>
      <w:pPr>
        <w:pStyle w:val="BodyText"/>
        <w:spacing w:before="69"/>
        <w:ind w:firstLine="0"/>
      </w:pPr>
      <w:r>
        <w:rPr>
          <w:spacing w:val="-2"/>
        </w:rPr>
        <w:t>indicação</w:t>
      </w:r>
      <w:r>
        <w:rPr>
          <w:spacing w:val="-5"/>
        </w:rPr>
        <w:t> </w:t>
      </w:r>
      <w:r>
        <w:rPr>
          <w:spacing w:val="-2"/>
        </w:rPr>
        <w:t>do</w:t>
      </w:r>
      <w:r>
        <w:rPr>
          <w:spacing w:val="-5"/>
        </w:rPr>
        <w:t> </w:t>
      </w:r>
      <w:r>
        <w:rPr>
          <w:spacing w:val="-2"/>
        </w:rPr>
        <w:t>tratamento</w:t>
      </w:r>
      <w:r>
        <w:rPr>
          <w:spacing w:val="-5"/>
        </w:rPr>
        <w:t> </w:t>
      </w:r>
      <w:r>
        <w:rPr>
          <w:spacing w:val="-2"/>
        </w:rPr>
        <w:t>cirúrgico.</w:t>
      </w:r>
    </w:p>
    <w:p>
      <w:pPr>
        <w:pStyle w:val="BodyText"/>
        <w:spacing w:line="276" w:lineRule="auto" w:before="117"/>
        <w:ind w:right="488"/>
      </w:pPr>
      <w:r>
        <w:rPr/>
        <w:t>Aproximadamente 75% dos aneurismas da aorta são assintomáticos</w:t>
      </w:r>
      <w:r>
        <w:rPr>
          <w:vertAlign w:val="superscript"/>
        </w:rPr>
        <w:t>18</w:t>
      </w:r>
      <w:r>
        <w:rPr>
          <w:vertAlign w:val="baseline"/>
        </w:rPr>
        <w:t> e diagnosticados ao acaso em exames de rotina ou na investigação de outras doenças.</w:t>
      </w:r>
    </w:p>
    <w:p>
      <w:pPr>
        <w:pStyle w:val="BodyText"/>
        <w:spacing w:line="276" w:lineRule="auto" w:before="49"/>
        <w:ind w:right="488"/>
      </w:pPr>
      <w:r>
        <w:rPr/>
        <w:t>Quando</w:t>
      </w:r>
      <w:r>
        <w:rPr>
          <w:spacing w:val="-1"/>
        </w:rPr>
        <w:t> </w:t>
      </w:r>
      <w:r>
        <w:rPr/>
        <w:t>sintomáticos, podem</w:t>
      </w:r>
      <w:r>
        <w:rPr>
          <w:spacing w:val="-1"/>
        </w:rPr>
        <w:t> </w:t>
      </w:r>
      <w:r>
        <w:rPr/>
        <w:t>se</w:t>
      </w:r>
      <w:r>
        <w:rPr>
          <w:spacing w:val="-4"/>
        </w:rPr>
        <w:t> </w:t>
      </w:r>
      <w:r>
        <w:rPr/>
        <w:t>manifestar como</w:t>
      </w:r>
      <w:r>
        <w:rPr>
          <w:spacing w:val="-1"/>
        </w:rPr>
        <w:t> </w:t>
      </w:r>
      <w:r>
        <w:rPr/>
        <w:t>dor torácica, lombar ou</w:t>
      </w:r>
      <w:r>
        <w:rPr>
          <w:spacing w:val="-1"/>
        </w:rPr>
        <w:t> </w:t>
      </w:r>
      <w:r>
        <w:rPr/>
        <w:t>abdominal, com</w:t>
      </w:r>
      <w:r>
        <w:rPr>
          <w:spacing w:val="-1"/>
        </w:rPr>
        <w:t> </w:t>
      </w:r>
      <w:r>
        <w:rPr/>
        <w:t>ou</w:t>
      </w:r>
      <w:r>
        <w:rPr>
          <w:spacing w:val="-1"/>
        </w:rPr>
        <w:t> </w:t>
      </w:r>
      <w:r>
        <w:rPr/>
        <w:t>sem</w:t>
      </w:r>
      <w:r>
        <w:rPr>
          <w:spacing w:val="-1"/>
        </w:rPr>
        <w:t> </w:t>
      </w:r>
      <w:r>
        <w:rPr/>
        <w:t>instabilidade hemodinâmica. Nas situações de ruptura da aorta, poderá ou não ocorrer exteriorização do sangramento, tamponamento cardíaco, hemotórax, hemomediastino, sangramento para o retroperitônio, sinal de Einstein, hematêmese, hemoptise, hemoptoicos. Quando houver o comprometimento da valva aórtica com insuficiência valvar, o paciente</w:t>
      </w:r>
      <w:r>
        <w:rPr>
          <w:spacing w:val="-1"/>
        </w:rPr>
        <w:t> </w:t>
      </w:r>
      <w:r>
        <w:rPr/>
        <w:t>poderá</w:t>
      </w:r>
      <w:r>
        <w:rPr>
          <w:spacing w:val="-1"/>
        </w:rPr>
        <w:t> </w:t>
      </w:r>
      <w:r>
        <w:rPr/>
        <w:t>apresentar insuficiência</w:t>
      </w:r>
      <w:r>
        <w:rPr>
          <w:spacing w:val="-1"/>
        </w:rPr>
        <w:t> </w:t>
      </w:r>
      <w:r>
        <w:rPr/>
        <w:t>cardíaca. Sinais ou sintomas relacionados com o efeito de</w:t>
      </w:r>
      <w:r>
        <w:rPr>
          <w:spacing w:val="-1"/>
        </w:rPr>
        <w:t> </w:t>
      </w:r>
      <w:r>
        <w:rPr/>
        <w:t>massa da</w:t>
      </w:r>
      <w:r>
        <w:rPr>
          <w:spacing w:val="-5"/>
        </w:rPr>
        <w:t> </w:t>
      </w:r>
      <w:r>
        <w:rPr/>
        <w:t>dilatação</w:t>
      </w:r>
      <w:r>
        <w:rPr>
          <w:spacing w:val="-2"/>
        </w:rPr>
        <w:t> </w:t>
      </w:r>
      <w:r>
        <w:rPr/>
        <w:t>aneurismática</w:t>
      </w:r>
      <w:r>
        <w:rPr>
          <w:spacing w:val="-5"/>
        </w:rPr>
        <w:t> </w:t>
      </w:r>
      <w:r>
        <w:rPr/>
        <w:t>secundária</w:t>
      </w:r>
      <w:r>
        <w:rPr>
          <w:spacing w:val="-5"/>
        </w:rPr>
        <w:t> </w:t>
      </w:r>
      <w:r>
        <w:rPr/>
        <w:t>à</w:t>
      </w:r>
      <w:r>
        <w:rPr>
          <w:spacing w:val="-5"/>
        </w:rPr>
        <w:t> </w:t>
      </w:r>
      <w:r>
        <w:rPr/>
        <w:t>compressão</w:t>
      </w:r>
      <w:r>
        <w:rPr>
          <w:spacing w:val="-2"/>
        </w:rPr>
        <w:t> </w:t>
      </w:r>
      <w:r>
        <w:rPr/>
        <w:t>de</w:t>
      </w:r>
      <w:r>
        <w:rPr>
          <w:spacing w:val="-5"/>
        </w:rPr>
        <w:t> </w:t>
      </w:r>
      <w:r>
        <w:rPr/>
        <w:t>estruturas adjacentes, como</w:t>
      </w:r>
      <w:r>
        <w:rPr>
          <w:spacing w:val="-2"/>
        </w:rPr>
        <w:t> </w:t>
      </w:r>
      <w:r>
        <w:rPr/>
        <w:t>síndrome</w:t>
      </w:r>
      <w:r>
        <w:rPr>
          <w:spacing w:val="-5"/>
        </w:rPr>
        <w:t> </w:t>
      </w:r>
      <w:r>
        <w:rPr/>
        <w:t>de</w:t>
      </w:r>
      <w:r>
        <w:rPr>
          <w:spacing w:val="-5"/>
        </w:rPr>
        <w:t> </w:t>
      </w:r>
      <w:r>
        <w:rPr/>
        <w:t>veia</w:t>
      </w:r>
      <w:r>
        <w:rPr>
          <w:spacing w:val="-5"/>
        </w:rPr>
        <w:t> </w:t>
      </w:r>
      <w:r>
        <w:rPr/>
        <w:t>cava</w:t>
      </w:r>
      <w:r>
        <w:rPr>
          <w:spacing w:val="-5"/>
        </w:rPr>
        <w:t> </w:t>
      </w:r>
      <w:r>
        <w:rPr/>
        <w:t>superior, disfagia, insuficiência respiratória e disfonia, também podem existir. Poderão ocorrer fenômenos embólicos manifestados, como acidente</w:t>
      </w:r>
      <w:r>
        <w:rPr>
          <w:spacing w:val="-3"/>
        </w:rPr>
        <w:t> </w:t>
      </w:r>
      <w:r>
        <w:rPr/>
        <w:t>vascular cerebral, infarto agudo do miocárdio ou sinais de</w:t>
      </w:r>
      <w:r>
        <w:rPr>
          <w:spacing w:val="-3"/>
        </w:rPr>
        <w:t> </w:t>
      </w:r>
      <w:r>
        <w:rPr/>
        <w:t>embolia</w:t>
      </w:r>
      <w:r>
        <w:rPr>
          <w:spacing w:val="-3"/>
        </w:rPr>
        <w:t> </w:t>
      </w:r>
      <w:r>
        <w:rPr/>
        <w:t>periférica.</w:t>
      </w:r>
    </w:p>
    <w:p>
      <w:pPr>
        <w:pStyle w:val="BodyText"/>
        <w:spacing w:before="134"/>
        <w:ind w:left="0" w:firstLine="0"/>
        <w:jc w:val="left"/>
      </w:pPr>
    </w:p>
    <w:p>
      <w:pPr>
        <w:pStyle w:val="Heading5"/>
        <w:jc w:val="both"/>
      </w:pPr>
      <w:r>
        <w:rPr>
          <w:color w:val="A26108"/>
        </w:rPr>
        <w:t>História</w:t>
      </w:r>
      <w:r>
        <w:rPr>
          <w:color w:val="A26108"/>
          <w:spacing w:val="24"/>
        </w:rPr>
        <w:t> </w:t>
      </w:r>
      <w:r>
        <w:rPr>
          <w:color w:val="A26108"/>
          <w:spacing w:val="-2"/>
        </w:rPr>
        <w:t>natural</w:t>
      </w:r>
    </w:p>
    <w:p>
      <w:pPr>
        <w:pStyle w:val="BodyText"/>
        <w:spacing w:line="276" w:lineRule="auto" w:before="138"/>
        <w:ind w:right="488"/>
      </w:pPr>
      <w:r>
        <w:rPr/>
        <w:t>A história natural dos aneurismas da aorta torácica (AAT) é variada devido ao amplo espectro de etiologias, à falta de grandes séries de pacientes seguidos e ao fato de que parte das evidências disponíveis sobre os fatores de risco e a razão de crescimento deriva de estudos sobre os aneurismas da aorta abdominal (AAA).</w:t>
      </w:r>
    </w:p>
    <w:p>
      <w:pPr>
        <w:pStyle w:val="BodyText"/>
        <w:spacing w:before="13"/>
        <w:ind w:left="0" w:firstLine="0"/>
        <w:jc w:val="left"/>
        <w:rPr>
          <w:sz w:val="20"/>
        </w:rPr>
      </w:pPr>
      <w:r>
        <w:rPr>
          <w:sz w:val="20"/>
        </w:rPr>
        <w:drawing>
          <wp:anchor distT="0" distB="0" distL="0" distR="0" allowOverlap="1" layoutInCell="1" locked="0" behindDoc="1" simplePos="0" relativeHeight="487609344">
            <wp:simplePos x="0" y="0"/>
            <wp:positionH relativeFrom="page">
              <wp:posOffset>2130590</wp:posOffset>
            </wp:positionH>
            <wp:positionV relativeFrom="paragraph">
              <wp:posOffset>169554</wp:posOffset>
            </wp:positionV>
            <wp:extent cx="3312320" cy="2313527"/>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2" cstate="print"/>
                    <a:stretch>
                      <a:fillRect/>
                    </a:stretch>
                  </pic:blipFill>
                  <pic:spPr>
                    <a:xfrm>
                      <a:off x="0" y="0"/>
                      <a:ext cx="3312320" cy="2313527"/>
                    </a:xfrm>
                    <a:prstGeom prst="rect">
                      <a:avLst/>
                    </a:prstGeom>
                  </pic:spPr>
                </pic:pic>
              </a:graphicData>
            </a:graphic>
          </wp:anchor>
        </w:drawing>
      </w:r>
    </w:p>
    <w:p>
      <w:pPr>
        <w:pStyle w:val="BodyText"/>
        <w:spacing w:before="10"/>
        <w:ind w:left="0" w:firstLine="0"/>
        <w:jc w:val="left"/>
      </w:pPr>
    </w:p>
    <w:p>
      <w:pPr>
        <w:spacing w:line="285" w:lineRule="auto" w:before="1"/>
        <w:ind w:left="68" w:right="0" w:firstLine="0"/>
        <w:jc w:val="left"/>
        <w:rPr>
          <w:rFonts w:ascii="Microsoft Sans Serif" w:hAnsi="Microsoft Sans Serif"/>
          <w:sz w:val="19"/>
        </w:rPr>
      </w:pPr>
      <w:r>
        <w:rPr>
          <w:rFonts w:ascii="Arial" w:hAnsi="Arial"/>
          <w:b/>
          <w:color w:val="242B67"/>
          <w:sz w:val="19"/>
        </w:rPr>
        <w:t>Figura 58.1</w:t>
      </w:r>
      <w:r>
        <w:rPr>
          <w:rFonts w:ascii="Arial" w:hAnsi="Arial"/>
          <w:b/>
          <w:color w:val="242B67"/>
          <w:spacing w:val="35"/>
          <w:sz w:val="19"/>
        </w:rPr>
        <w:t> </w:t>
      </w:r>
      <w:r>
        <w:rPr>
          <w:rFonts w:ascii="Arial" w:hAnsi="Arial"/>
          <w:b/>
          <w:sz w:val="19"/>
        </w:rPr>
        <w:t>A.</w:t>
      </w:r>
      <w:r>
        <w:rPr>
          <w:rFonts w:ascii="Arial" w:hAnsi="Arial"/>
          <w:b/>
          <w:spacing w:val="21"/>
          <w:sz w:val="19"/>
        </w:rPr>
        <w:t> </w:t>
      </w:r>
      <w:r>
        <w:rPr>
          <w:rFonts w:ascii="Microsoft Sans Serif" w:hAnsi="Microsoft Sans Serif"/>
          <w:sz w:val="19"/>
        </w:rPr>
        <w:t>Angiotomografia</w:t>
      </w:r>
      <w:r>
        <w:rPr>
          <w:rFonts w:ascii="Microsoft Sans Serif" w:hAnsi="Microsoft Sans Serif"/>
          <w:spacing w:val="37"/>
          <w:sz w:val="19"/>
        </w:rPr>
        <w:t> </w:t>
      </w:r>
      <w:r>
        <w:rPr>
          <w:rFonts w:ascii="Microsoft Sans Serif" w:hAnsi="Microsoft Sans Serif"/>
          <w:sz w:val="19"/>
        </w:rPr>
        <w:t>do</w:t>
      </w:r>
      <w:r>
        <w:rPr>
          <w:rFonts w:ascii="Microsoft Sans Serif" w:hAnsi="Microsoft Sans Serif"/>
          <w:spacing w:val="37"/>
          <w:sz w:val="19"/>
        </w:rPr>
        <w:t> </w:t>
      </w:r>
      <w:r>
        <w:rPr>
          <w:rFonts w:ascii="Microsoft Sans Serif" w:hAnsi="Microsoft Sans Serif"/>
          <w:sz w:val="19"/>
        </w:rPr>
        <w:t>aneurisma</w:t>
      </w:r>
      <w:r>
        <w:rPr>
          <w:rFonts w:ascii="Microsoft Sans Serif" w:hAnsi="Microsoft Sans Serif"/>
          <w:spacing w:val="37"/>
          <w:sz w:val="19"/>
        </w:rPr>
        <w:t> </w:t>
      </w:r>
      <w:r>
        <w:rPr>
          <w:rFonts w:ascii="Microsoft Sans Serif" w:hAnsi="Microsoft Sans Serif"/>
          <w:sz w:val="19"/>
        </w:rPr>
        <w:t>da</w:t>
      </w:r>
      <w:r>
        <w:rPr>
          <w:rFonts w:ascii="Microsoft Sans Serif" w:hAnsi="Microsoft Sans Serif"/>
          <w:spacing w:val="37"/>
          <w:sz w:val="19"/>
        </w:rPr>
        <w:t> </w:t>
      </w:r>
      <w:r>
        <w:rPr>
          <w:rFonts w:ascii="Microsoft Sans Serif" w:hAnsi="Microsoft Sans Serif"/>
          <w:sz w:val="19"/>
        </w:rPr>
        <w:t>aorta</w:t>
      </w:r>
      <w:r>
        <w:rPr>
          <w:rFonts w:ascii="Microsoft Sans Serif" w:hAnsi="Microsoft Sans Serif"/>
          <w:spacing w:val="37"/>
          <w:sz w:val="19"/>
        </w:rPr>
        <w:t> </w:t>
      </w:r>
      <w:r>
        <w:rPr>
          <w:rFonts w:ascii="Microsoft Sans Serif" w:hAnsi="Microsoft Sans Serif"/>
          <w:sz w:val="19"/>
        </w:rPr>
        <w:t>ascendente.</w:t>
      </w:r>
      <w:r>
        <w:rPr>
          <w:rFonts w:ascii="Microsoft Sans Serif" w:hAnsi="Microsoft Sans Serif"/>
          <w:spacing w:val="23"/>
          <w:sz w:val="19"/>
        </w:rPr>
        <w:t> </w:t>
      </w:r>
      <w:r>
        <w:rPr>
          <w:rFonts w:ascii="Arial" w:hAnsi="Arial"/>
          <w:b/>
          <w:sz w:val="19"/>
        </w:rPr>
        <w:t>B.</w:t>
      </w:r>
      <w:r>
        <w:rPr>
          <w:rFonts w:ascii="Arial" w:hAnsi="Arial"/>
          <w:b/>
          <w:spacing w:val="21"/>
          <w:sz w:val="19"/>
        </w:rPr>
        <w:t> </w:t>
      </w:r>
      <w:r>
        <w:rPr>
          <w:rFonts w:ascii="Microsoft Sans Serif" w:hAnsi="Microsoft Sans Serif"/>
          <w:sz w:val="19"/>
        </w:rPr>
        <w:t>Fotografia</w:t>
      </w:r>
      <w:r>
        <w:rPr>
          <w:rFonts w:ascii="Microsoft Sans Serif" w:hAnsi="Microsoft Sans Serif"/>
          <w:spacing w:val="37"/>
          <w:sz w:val="19"/>
        </w:rPr>
        <w:t> </w:t>
      </w:r>
      <w:r>
        <w:rPr>
          <w:rFonts w:ascii="Microsoft Sans Serif" w:hAnsi="Microsoft Sans Serif"/>
          <w:sz w:val="19"/>
        </w:rPr>
        <w:t>intraoperatória</w:t>
      </w:r>
      <w:r>
        <w:rPr>
          <w:rFonts w:ascii="Microsoft Sans Serif" w:hAnsi="Microsoft Sans Serif"/>
          <w:spacing w:val="37"/>
          <w:sz w:val="19"/>
        </w:rPr>
        <w:t> </w:t>
      </w:r>
      <w:r>
        <w:rPr>
          <w:rFonts w:ascii="Microsoft Sans Serif" w:hAnsi="Microsoft Sans Serif"/>
          <w:sz w:val="19"/>
        </w:rPr>
        <w:t>do</w:t>
      </w:r>
      <w:r>
        <w:rPr>
          <w:rFonts w:ascii="Microsoft Sans Serif" w:hAnsi="Microsoft Sans Serif"/>
          <w:spacing w:val="37"/>
          <w:sz w:val="19"/>
        </w:rPr>
        <w:t> </w:t>
      </w:r>
      <w:r>
        <w:rPr>
          <w:rFonts w:ascii="Microsoft Sans Serif" w:hAnsi="Microsoft Sans Serif"/>
          <w:sz w:val="19"/>
        </w:rPr>
        <w:t>aneurisma</w:t>
      </w:r>
      <w:r>
        <w:rPr>
          <w:rFonts w:ascii="Microsoft Sans Serif" w:hAnsi="Microsoft Sans Serif"/>
          <w:spacing w:val="37"/>
          <w:sz w:val="19"/>
        </w:rPr>
        <w:t> </w:t>
      </w:r>
      <w:r>
        <w:rPr>
          <w:rFonts w:ascii="Microsoft Sans Serif" w:hAnsi="Microsoft Sans Serif"/>
          <w:sz w:val="19"/>
        </w:rPr>
        <w:t>da</w:t>
      </w:r>
      <w:r>
        <w:rPr>
          <w:rFonts w:ascii="Microsoft Sans Serif" w:hAnsi="Microsoft Sans Serif"/>
          <w:spacing w:val="37"/>
          <w:sz w:val="19"/>
        </w:rPr>
        <w:t> </w:t>
      </w:r>
      <w:r>
        <w:rPr>
          <w:rFonts w:ascii="Microsoft Sans Serif" w:hAnsi="Microsoft Sans Serif"/>
          <w:sz w:val="19"/>
        </w:rPr>
        <w:t>aorta </w:t>
      </w:r>
      <w:r>
        <w:rPr>
          <w:rFonts w:ascii="Microsoft Sans Serif" w:hAnsi="Microsoft Sans Serif"/>
          <w:spacing w:val="-2"/>
          <w:sz w:val="19"/>
        </w:rPr>
        <w:t>ascendente.</w:t>
      </w:r>
    </w:p>
    <w:p>
      <w:pPr>
        <w:pStyle w:val="BodyText"/>
        <w:spacing w:before="81"/>
        <w:ind w:left="0" w:firstLine="0"/>
        <w:jc w:val="left"/>
        <w:rPr>
          <w:rFonts w:ascii="Microsoft Sans Serif"/>
          <w:sz w:val="19"/>
        </w:rPr>
      </w:pPr>
    </w:p>
    <w:p>
      <w:pPr>
        <w:pStyle w:val="BodyText"/>
        <w:spacing w:line="276" w:lineRule="auto" w:before="0"/>
        <w:ind w:right="491"/>
      </w:pPr>
      <w:r>
        <w:rPr/>
        <w:t>Szilagyi</w:t>
      </w:r>
      <w:r>
        <w:rPr>
          <w:spacing w:val="-4"/>
        </w:rPr>
        <w:t> </w:t>
      </w:r>
      <w:r>
        <w:rPr>
          <w:i/>
        </w:rPr>
        <w:t>et</w:t>
      </w:r>
      <w:r>
        <w:rPr>
          <w:i/>
          <w:spacing w:val="-4"/>
        </w:rPr>
        <w:t> </w:t>
      </w:r>
      <w:r>
        <w:rPr>
          <w:i/>
        </w:rPr>
        <w:t>al.</w:t>
      </w:r>
      <w:r>
        <w:rPr>
          <w:vertAlign w:val="superscript"/>
        </w:rPr>
        <w:t>19</w:t>
      </w:r>
      <w:r>
        <w:rPr>
          <w:vertAlign w:val="baseline"/>
        </w:rPr>
        <w:t> observaram que, em pacientes com AAA</w:t>
      </w:r>
      <w:r>
        <w:rPr>
          <w:spacing w:val="-3"/>
          <w:vertAlign w:val="baseline"/>
        </w:rPr>
        <w:t> </w:t>
      </w:r>
      <w:r>
        <w:rPr>
          <w:vertAlign w:val="baseline"/>
        </w:rPr>
        <w:t>assintomáticos, o risco de</w:t>
      </w:r>
      <w:r>
        <w:rPr>
          <w:spacing w:val="-3"/>
          <w:vertAlign w:val="baseline"/>
        </w:rPr>
        <w:t> </w:t>
      </w:r>
      <w:r>
        <w:rPr>
          <w:vertAlign w:val="baseline"/>
        </w:rPr>
        <w:t>ruptura</w:t>
      </w:r>
      <w:r>
        <w:rPr>
          <w:spacing w:val="-3"/>
          <w:vertAlign w:val="baseline"/>
        </w:rPr>
        <w:t> </w:t>
      </w:r>
      <w:r>
        <w:rPr>
          <w:vertAlign w:val="baseline"/>
        </w:rPr>
        <w:t>e</w:t>
      </w:r>
      <w:r>
        <w:rPr>
          <w:spacing w:val="-3"/>
          <w:vertAlign w:val="baseline"/>
        </w:rPr>
        <w:t> </w:t>
      </w:r>
      <w:r>
        <w:rPr>
          <w:vertAlign w:val="baseline"/>
        </w:rPr>
        <w:t>sobrevivência</w:t>
      </w:r>
      <w:r>
        <w:rPr>
          <w:spacing w:val="-3"/>
          <w:vertAlign w:val="baseline"/>
        </w:rPr>
        <w:t> </w:t>
      </w:r>
      <w:r>
        <w:rPr>
          <w:vertAlign w:val="baseline"/>
        </w:rPr>
        <w:t>em seguimento de até 10 anos dos pacientes não operados variou conforme o tamanho inicial desses aneurismas. O risco de ruptura foi de 19,5% para os aneurismas menores que 6 cm e de 43% para os maiores de 6 cm.</w:t>
      </w:r>
    </w:p>
    <w:p>
      <w:pPr>
        <w:pStyle w:val="BodyText"/>
        <w:spacing w:line="278" w:lineRule="auto" w:before="80"/>
        <w:ind w:right="488"/>
      </w:pPr>
      <w:r>
        <w:rPr/>
        <w:t>Guirguis e Barber,</w:t>
      </w:r>
      <w:r>
        <w:rPr>
          <w:vertAlign w:val="superscript"/>
        </w:rPr>
        <w:t>20</w:t>
      </w:r>
      <w:r>
        <w:rPr>
          <w:vertAlign w:val="baseline"/>
        </w:rPr>
        <w:t> em estudo prospectivo de portadores de AAA, relacionaram o tamanho do aneurisma, a velocidade de expansão e o risco de ruptura. Observaram que aneurismas com diâmetros menores de 4 cm apresentaram expansão de</w:t>
      </w:r>
      <w:r>
        <w:rPr>
          <w:spacing w:val="-1"/>
          <w:vertAlign w:val="baseline"/>
        </w:rPr>
        <w:t> </w:t>
      </w:r>
      <w:r>
        <w:rPr>
          <w:vertAlign w:val="baseline"/>
        </w:rPr>
        <w:t>0,2 cm/ano, e, nos maiores que</w:t>
      </w:r>
      <w:r>
        <w:rPr>
          <w:spacing w:val="-1"/>
          <w:vertAlign w:val="baseline"/>
        </w:rPr>
        <w:t> </w:t>
      </w:r>
      <w:r>
        <w:rPr>
          <w:vertAlign w:val="baseline"/>
        </w:rPr>
        <w:t>4 cm, houve</w:t>
      </w:r>
      <w:r>
        <w:rPr>
          <w:spacing w:val="-1"/>
          <w:vertAlign w:val="baseline"/>
        </w:rPr>
        <w:t> </w:t>
      </w:r>
      <w:r>
        <w:rPr>
          <w:vertAlign w:val="baseline"/>
        </w:rPr>
        <w:t>uma</w:t>
      </w:r>
      <w:r>
        <w:rPr>
          <w:spacing w:val="-1"/>
          <w:vertAlign w:val="baseline"/>
        </w:rPr>
        <w:t> </w:t>
      </w:r>
      <w:r>
        <w:rPr>
          <w:vertAlign w:val="baseline"/>
        </w:rPr>
        <w:t>expansão variada</w:t>
      </w:r>
      <w:r>
        <w:rPr>
          <w:spacing w:val="-1"/>
          <w:vertAlign w:val="baseline"/>
        </w:rPr>
        <w:t> </w:t>
      </w:r>
      <w:r>
        <w:rPr>
          <w:vertAlign w:val="baseline"/>
        </w:rPr>
        <w:t>de</w:t>
      </w:r>
      <w:r>
        <w:rPr>
          <w:spacing w:val="-1"/>
          <w:vertAlign w:val="baseline"/>
        </w:rPr>
        <w:t> </w:t>
      </w:r>
      <w:r>
        <w:rPr>
          <w:vertAlign w:val="baseline"/>
        </w:rPr>
        <w:t>0,3 a</w:t>
      </w:r>
      <w:r>
        <w:rPr>
          <w:spacing w:val="-1"/>
          <w:vertAlign w:val="baseline"/>
        </w:rPr>
        <w:t> </w:t>
      </w:r>
      <w:r>
        <w:rPr>
          <w:vertAlign w:val="baseline"/>
        </w:rPr>
        <w:t>0,8 cm/ano. A incidência de ruptura em 6 anos de seguimento para aneurismas menores de 4 cm e de 4 cm a 5 cm foi respectivamente de 1 e 2%, enquanto nos aneurismas maiores de 5 cm a incidência de ruptura aproximou-se dos 20%. Apesar da importante relação do tamanho do aneurisma com suas complicações, aneurismas pequenos também rompem. Darling</w:t>
      </w:r>
      <w:r>
        <w:rPr>
          <w:vertAlign w:val="superscript"/>
        </w:rPr>
        <w:t>21</w:t>
      </w:r>
      <w:r>
        <w:rPr>
          <w:vertAlign w:val="baseline"/>
        </w:rPr>
        <w:t> observou 39% de ruptura nos aneurismas menores de 6 cm de diâmetro, que durante a evolução não foram operados.</w:t>
      </w:r>
    </w:p>
    <w:p>
      <w:pPr>
        <w:pStyle w:val="BodyText"/>
        <w:spacing w:line="280" w:lineRule="auto" w:before="77"/>
        <w:ind w:right="488"/>
      </w:pPr>
      <w:r>
        <w:rPr/>
        <w:t>Coady</w:t>
      </w:r>
      <w:r>
        <w:rPr>
          <w:spacing w:val="-7"/>
        </w:rPr>
        <w:t> </w:t>
      </w:r>
      <w:r>
        <w:rPr>
          <w:i/>
        </w:rPr>
        <w:t>et al.</w:t>
      </w:r>
      <w:r>
        <w:rPr>
          <w:vertAlign w:val="superscript"/>
        </w:rPr>
        <w:t>22</w:t>
      </w:r>
      <w:r>
        <w:rPr>
          <w:vertAlign w:val="baseline"/>
        </w:rPr>
        <w:t> observaram comportamento semelhante nos AAT. O diâmetro médio relacionado com a ruptura ou dissecção foi de 6 cm, sendo que os aneurismas da aorta ascendente e arco romperam ou dissecaram com diâmetro médio de 6 cm, e os da aorta descendente ou toracoabdominal, com 7,2 cm. Os pacientes dessa série, portadores de síndrome de Marfan, apresentaram essas complicações com diâmetros menores de 5 cm. Dapunt </w:t>
      </w:r>
      <w:r>
        <w:rPr>
          <w:i/>
          <w:vertAlign w:val="baseline"/>
        </w:rPr>
        <w:t>et al.</w:t>
      </w:r>
      <w:r>
        <w:rPr>
          <w:vertAlign w:val="superscript"/>
        </w:rPr>
        <w:t>23</w:t>
      </w:r>
      <w:r>
        <w:rPr>
          <w:vertAlign w:val="baseline"/>
        </w:rPr>
        <w:t> observaram razão de crescimento maior nos aneurismas com diâmetro maior que 5 cm no momento do diagnóstico, experiência</w:t>
      </w:r>
      <w:r>
        <w:rPr>
          <w:spacing w:val="-2"/>
          <w:vertAlign w:val="baseline"/>
        </w:rPr>
        <w:t> </w:t>
      </w:r>
      <w:r>
        <w:rPr>
          <w:vertAlign w:val="baseline"/>
        </w:rPr>
        <w:t>não compartilhada</w:t>
      </w:r>
      <w:r>
        <w:rPr>
          <w:spacing w:val="-2"/>
          <w:vertAlign w:val="baseline"/>
        </w:rPr>
        <w:t> </w:t>
      </w:r>
      <w:r>
        <w:rPr>
          <w:vertAlign w:val="baseline"/>
        </w:rPr>
        <w:t>por Hirose</w:t>
      </w:r>
      <w:r>
        <w:rPr>
          <w:spacing w:val="-2"/>
          <w:vertAlign w:val="baseline"/>
        </w:rPr>
        <w:t> </w:t>
      </w:r>
      <w:r>
        <w:rPr>
          <w:i/>
          <w:vertAlign w:val="baseline"/>
        </w:rPr>
        <w:t>et</w:t>
      </w:r>
      <w:r>
        <w:rPr>
          <w:i/>
          <w:spacing w:val="-4"/>
          <w:vertAlign w:val="baseline"/>
        </w:rPr>
        <w:t> </w:t>
      </w:r>
      <w:r>
        <w:rPr>
          <w:i/>
          <w:vertAlign w:val="baseline"/>
        </w:rPr>
        <w:t>al.</w:t>
      </w:r>
      <w:r>
        <w:rPr>
          <w:vertAlign w:val="baseline"/>
        </w:rPr>
        <w:t>,</w:t>
      </w:r>
      <w:r>
        <w:rPr>
          <w:vertAlign w:val="superscript"/>
        </w:rPr>
        <w:t>24</w:t>
      </w:r>
      <w:r>
        <w:rPr>
          <w:vertAlign w:val="baseline"/>
        </w:rPr>
        <w:t> que</w:t>
      </w:r>
      <w:r>
        <w:rPr>
          <w:spacing w:val="-2"/>
          <w:vertAlign w:val="baseline"/>
        </w:rPr>
        <w:t> </w:t>
      </w:r>
      <w:r>
        <w:rPr>
          <w:vertAlign w:val="baseline"/>
        </w:rPr>
        <w:t>não observaram esses efeitos do tamanho sobre a velocidade de crescimento nos AAT.</w:t>
      </w:r>
    </w:p>
    <w:p>
      <w:pPr>
        <w:pStyle w:val="BodyText"/>
        <w:spacing w:after="0" w:line="280" w:lineRule="auto"/>
        <w:sectPr>
          <w:pgSz w:w="11900" w:h="16840"/>
          <w:pgMar w:top="220" w:bottom="280" w:left="566" w:right="141"/>
        </w:sectPr>
      </w:pPr>
    </w:p>
    <w:p>
      <w:pPr>
        <w:pStyle w:val="Heading5"/>
        <w:spacing w:before="83"/>
      </w:pPr>
      <w:r>
        <w:rPr>
          <w:color w:val="A26108"/>
        </w:rPr>
        <w:t>Conduta</w:t>
      </w:r>
      <w:r>
        <w:rPr>
          <w:color w:val="A26108"/>
          <w:spacing w:val="26"/>
        </w:rPr>
        <w:t> </w:t>
      </w:r>
      <w:r>
        <w:rPr>
          <w:color w:val="A26108"/>
          <w:spacing w:val="-2"/>
        </w:rPr>
        <w:t>terapêutica</w:t>
      </w:r>
    </w:p>
    <w:p>
      <w:pPr>
        <w:pStyle w:val="BodyText"/>
        <w:spacing w:line="276" w:lineRule="auto" w:before="138"/>
        <w:ind w:right="488"/>
      </w:pPr>
      <w:r>
        <w:rPr/>
        <w:t>A moderna cirurgia para a correção do aneurisma de aorta é profilática, algumas vezes terapêutica e raramente paliativa. A razão de ser profilática é evitar a ruptura da aorta com suas consequências. Independentemente da localização, fator etiológico e sintomas, a evolução de todos os aneurismas será a ruptura ou a dissecção da aorta. Portanto, a decisão de quando o paciente deve ou não ser encaminhado ao tratamento cirúrgico profilático leva em consideração o risco de ruptura associado às comorbidades relacionadas.</w:t>
      </w:r>
    </w:p>
    <w:p>
      <w:pPr>
        <w:pStyle w:val="BodyText"/>
        <w:spacing w:line="276" w:lineRule="auto" w:before="49"/>
        <w:ind w:right="501"/>
      </w:pPr>
      <w:r>
        <w:rPr/>
        <w:t>Quando o paciente apresentar sintomas relacionados com o aneurisma, a cirurgia é justificada em bases terapêuticas, especialmente porque o risco de ruptura é maior, independentemente do diâmetro ou da localização. Entretanto, ainda existe controvérsia para os pacientes assintomáticos.</w:t>
      </w:r>
    </w:p>
    <w:p>
      <w:pPr>
        <w:pStyle w:val="BodyText"/>
        <w:spacing w:line="280" w:lineRule="auto" w:before="64"/>
        <w:ind w:right="491"/>
      </w:pPr>
      <w:r>
        <w:rPr/>
        <w:t>Os aneurismas da aorta torácica assintomáticos devem ser encaminhados para o tratamento cirúrgico quando o seu diâmetro exceder os 5 cm, pela baixa mortalidade do procedimento (menor de 2%), associada ao risco de ruptura com diâmetros maiores de 5 cm.</w:t>
      </w:r>
      <w:r>
        <w:rPr>
          <w:vertAlign w:val="superscript"/>
        </w:rPr>
        <w:t>25–27</w:t>
      </w:r>
      <w:r>
        <w:rPr>
          <w:vertAlign w:val="baseline"/>
        </w:rPr>
        <w:t> Svensson </w:t>
      </w:r>
      <w:r>
        <w:rPr>
          <w:i/>
          <w:vertAlign w:val="baseline"/>
        </w:rPr>
        <w:t>et al.</w:t>
      </w:r>
      <w:r>
        <w:rPr>
          <w:vertAlign w:val="superscript"/>
        </w:rPr>
        <w:t>28</w:t>
      </w:r>
      <w:r>
        <w:rPr>
          <w:vertAlign w:val="baseline"/>
        </w:rPr>
        <w:t> mostraram que 12% dos seus pacientes com aneurismas de aorta apresentaram ruptura com diâmetros menores de 5 cm.</w:t>
      </w:r>
    </w:p>
    <w:p>
      <w:pPr>
        <w:pStyle w:val="BodyText"/>
        <w:spacing w:line="278" w:lineRule="auto" w:before="60"/>
        <w:ind w:right="487"/>
      </w:pPr>
      <w:r>
        <w:rPr/>
        <w:t>No</w:t>
      </w:r>
      <w:r>
        <w:rPr>
          <w:spacing w:val="-2"/>
        </w:rPr>
        <w:t> </w:t>
      </w:r>
      <w:r>
        <w:rPr/>
        <w:t>InCor-HCFMUSP, os aneurismas da</w:t>
      </w:r>
      <w:r>
        <w:rPr>
          <w:spacing w:val="-5"/>
        </w:rPr>
        <w:t> </w:t>
      </w:r>
      <w:r>
        <w:rPr/>
        <w:t>aorta</w:t>
      </w:r>
      <w:r>
        <w:rPr>
          <w:spacing w:val="-5"/>
        </w:rPr>
        <w:t> </w:t>
      </w:r>
      <w:r>
        <w:rPr/>
        <w:t>ascendente</w:t>
      </w:r>
      <w:r>
        <w:rPr>
          <w:spacing w:val="-5"/>
        </w:rPr>
        <w:t> </w:t>
      </w:r>
      <w:r>
        <w:rPr/>
        <w:t>são</w:t>
      </w:r>
      <w:r>
        <w:rPr>
          <w:spacing w:val="-2"/>
        </w:rPr>
        <w:t> </w:t>
      </w:r>
      <w:r>
        <w:rPr/>
        <w:t>operados quando</w:t>
      </w:r>
      <w:r>
        <w:rPr>
          <w:spacing w:val="-2"/>
        </w:rPr>
        <w:t> </w:t>
      </w:r>
      <w:r>
        <w:rPr/>
        <w:t>apresentam</w:t>
      </w:r>
      <w:r>
        <w:rPr>
          <w:spacing w:val="-2"/>
        </w:rPr>
        <w:t> </w:t>
      </w:r>
      <w:r>
        <w:rPr/>
        <w:t>diâmetro</w:t>
      </w:r>
      <w:r>
        <w:rPr>
          <w:spacing w:val="-2"/>
        </w:rPr>
        <w:t> </w:t>
      </w:r>
      <w:r>
        <w:rPr/>
        <w:t>maior que 5,5</w:t>
      </w:r>
      <w:r>
        <w:rPr>
          <w:spacing w:val="-1"/>
        </w:rPr>
        <w:t> </w:t>
      </w:r>
      <w:r>
        <w:rPr/>
        <w:t>cm, seja</w:t>
      </w:r>
      <w:r>
        <w:rPr>
          <w:spacing w:val="-4"/>
        </w:rPr>
        <w:t> </w:t>
      </w:r>
      <w:r>
        <w:rPr/>
        <w:t>pelo</w:t>
      </w:r>
      <w:r>
        <w:rPr>
          <w:spacing w:val="-1"/>
        </w:rPr>
        <w:t> </w:t>
      </w:r>
      <w:r>
        <w:rPr/>
        <w:t>aumento</w:t>
      </w:r>
      <w:r>
        <w:rPr>
          <w:spacing w:val="-1"/>
        </w:rPr>
        <w:t> </w:t>
      </w:r>
      <w:r>
        <w:rPr/>
        <w:t>do</w:t>
      </w:r>
      <w:r>
        <w:rPr>
          <w:spacing w:val="-1"/>
        </w:rPr>
        <w:t> </w:t>
      </w:r>
      <w:r>
        <w:rPr/>
        <w:t>risco</w:t>
      </w:r>
      <w:r>
        <w:rPr>
          <w:spacing w:val="-1"/>
        </w:rPr>
        <w:t> </w:t>
      </w:r>
      <w:r>
        <w:rPr/>
        <w:t>de</w:t>
      </w:r>
      <w:r>
        <w:rPr>
          <w:spacing w:val="-4"/>
        </w:rPr>
        <w:t> </w:t>
      </w:r>
      <w:r>
        <w:rPr/>
        <w:t>ruptura</w:t>
      </w:r>
      <w:r>
        <w:rPr>
          <w:spacing w:val="-4"/>
        </w:rPr>
        <w:t> </w:t>
      </w:r>
      <w:r>
        <w:rPr/>
        <w:t>que</w:t>
      </w:r>
      <w:r>
        <w:rPr>
          <w:spacing w:val="-4"/>
        </w:rPr>
        <w:t> </w:t>
      </w:r>
      <w:r>
        <w:rPr/>
        <w:t>ocorre</w:t>
      </w:r>
      <w:r>
        <w:rPr>
          <w:spacing w:val="-4"/>
        </w:rPr>
        <w:t> </w:t>
      </w:r>
      <w:r>
        <w:rPr/>
        <w:t>entre</w:t>
      </w:r>
      <w:r>
        <w:rPr>
          <w:spacing w:val="-4"/>
        </w:rPr>
        <w:t> </w:t>
      </w:r>
      <w:r>
        <w:rPr/>
        <w:t>5,5</w:t>
      </w:r>
      <w:r>
        <w:rPr>
          <w:spacing w:val="-1"/>
        </w:rPr>
        <w:t> </w:t>
      </w:r>
      <w:r>
        <w:rPr/>
        <w:t>e</w:t>
      </w:r>
      <w:r>
        <w:rPr>
          <w:spacing w:val="-4"/>
        </w:rPr>
        <w:t> </w:t>
      </w:r>
      <w:r>
        <w:rPr/>
        <w:t>6</w:t>
      </w:r>
      <w:r>
        <w:rPr>
          <w:spacing w:val="-1"/>
        </w:rPr>
        <w:t> </w:t>
      </w:r>
      <w:r>
        <w:rPr/>
        <w:t>cm</w:t>
      </w:r>
      <w:r>
        <w:rPr>
          <w:spacing w:val="-1"/>
        </w:rPr>
        <w:t> </w:t>
      </w:r>
      <w:r>
        <w:rPr/>
        <w:t>(aumento</w:t>
      </w:r>
      <w:r>
        <w:rPr>
          <w:spacing w:val="-1"/>
        </w:rPr>
        <w:t> </w:t>
      </w:r>
      <w:r>
        <w:rPr/>
        <w:t>abrupto</w:t>
      </w:r>
      <w:r>
        <w:rPr>
          <w:spacing w:val="-1"/>
        </w:rPr>
        <w:t> </w:t>
      </w:r>
      <w:r>
        <w:rPr/>
        <w:t>de</w:t>
      </w:r>
      <w:r>
        <w:rPr>
          <w:spacing w:val="-4"/>
        </w:rPr>
        <w:t> </w:t>
      </w:r>
      <w:r>
        <w:rPr/>
        <w:t>30%), seja</w:t>
      </w:r>
      <w:r>
        <w:rPr>
          <w:spacing w:val="-4"/>
        </w:rPr>
        <w:t> </w:t>
      </w:r>
      <w:r>
        <w:rPr/>
        <w:t>pela</w:t>
      </w:r>
      <w:r>
        <w:rPr>
          <w:spacing w:val="-4"/>
        </w:rPr>
        <w:t> </w:t>
      </w:r>
      <w:r>
        <w:rPr/>
        <w:t>pior sobrevida que apresentam em 5 anos quando maiores que 6 cm (redução na expectativa de vida de 20 a 40%). Na ectasia anuloaórtica, com ou sem insuficiência aórtica associada, a possibilidade de correção da dilatação da aorta associada à preservação da valva aórtica possibilita que esse procedimento seja indicado mais precocemente, com diâmetro de 5 cm. Nas situações de valva aórtica bivalvulada, a substituição da aorta ascendente deve ser feita quando esta atingir 5 cm, assim como nos aneurismas saculares, pelos mesmos motivos de complicações. Em procedimentos associados, aorta</w:t>
      </w:r>
      <w:r>
        <w:rPr>
          <w:spacing w:val="-8"/>
        </w:rPr>
        <w:t> </w:t>
      </w:r>
      <w:r>
        <w:rPr/>
        <w:t>ascendente</w:t>
      </w:r>
      <w:r>
        <w:rPr>
          <w:spacing w:val="-8"/>
        </w:rPr>
        <w:t> </w:t>
      </w:r>
      <w:r>
        <w:rPr/>
        <w:t>com</w:t>
      </w:r>
      <w:r>
        <w:rPr>
          <w:spacing w:val="-5"/>
        </w:rPr>
        <w:t> </w:t>
      </w:r>
      <w:r>
        <w:rPr/>
        <w:t>diâmetro</w:t>
      </w:r>
      <w:r>
        <w:rPr>
          <w:spacing w:val="-5"/>
        </w:rPr>
        <w:t> </w:t>
      </w:r>
      <w:r>
        <w:rPr/>
        <w:t>maior ou</w:t>
      </w:r>
      <w:r>
        <w:rPr>
          <w:spacing w:val="-5"/>
        </w:rPr>
        <w:t> </w:t>
      </w:r>
      <w:r>
        <w:rPr/>
        <w:t>igual</w:t>
      </w:r>
      <w:r>
        <w:rPr>
          <w:spacing w:val="-3"/>
        </w:rPr>
        <w:t> </w:t>
      </w:r>
      <w:r>
        <w:rPr/>
        <w:t>a</w:t>
      </w:r>
      <w:r>
        <w:rPr>
          <w:spacing w:val="-8"/>
        </w:rPr>
        <w:t> </w:t>
      </w:r>
      <w:r>
        <w:rPr/>
        <w:t>4,5</w:t>
      </w:r>
      <w:r>
        <w:rPr>
          <w:spacing w:val="-5"/>
        </w:rPr>
        <w:t> </w:t>
      </w:r>
      <w:r>
        <w:rPr/>
        <w:t>cm</w:t>
      </w:r>
      <w:r>
        <w:rPr>
          <w:spacing w:val="-5"/>
        </w:rPr>
        <w:t> </w:t>
      </w:r>
      <w:r>
        <w:rPr/>
        <w:t>também</w:t>
      </w:r>
      <w:r>
        <w:rPr>
          <w:spacing w:val="-5"/>
        </w:rPr>
        <w:t> </w:t>
      </w:r>
      <w:r>
        <w:rPr/>
        <w:t>deve</w:t>
      </w:r>
      <w:r>
        <w:rPr>
          <w:spacing w:val="-8"/>
        </w:rPr>
        <w:t> </w:t>
      </w:r>
      <w:r>
        <w:rPr/>
        <w:t>ser substituída. Os aneurismas do arco aórtico, pela</w:t>
      </w:r>
      <w:r>
        <w:rPr>
          <w:spacing w:val="-2"/>
        </w:rPr>
        <w:t> </w:t>
      </w:r>
      <w:r>
        <w:rPr/>
        <w:t>morbidade</w:t>
      </w:r>
      <w:r>
        <w:rPr>
          <w:spacing w:val="-2"/>
        </w:rPr>
        <w:t> </w:t>
      </w:r>
      <w:r>
        <w:rPr/>
        <w:t>neurológica</w:t>
      </w:r>
      <w:r>
        <w:rPr>
          <w:spacing w:val="-2"/>
        </w:rPr>
        <w:t> </w:t>
      </w:r>
      <w:r>
        <w:rPr/>
        <w:t>do procedimento, são operados com diâmetro a</w:t>
      </w:r>
      <w:r>
        <w:rPr>
          <w:spacing w:val="-2"/>
        </w:rPr>
        <w:t> </w:t>
      </w:r>
      <w:r>
        <w:rPr/>
        <w:t>partir de</w:t>
      </w:r>
      <w:r>
        <w:rPr>
          <w:spacing w:val="-2"/>
        </w:rPr>
        <w:t> </w:t>
      </w:r>
      <w:r>
        <w:rPr/>
        <w:t>6 cm.</w:t>
      </w:r>
      <w:r>
        <w:rPr>
          <w:spacing w:val="-4"/>
        </w:rPr>
        <w:t> </w:t>
      </w:r>
      <w:r>
        <w:rPr/>
        <w:t>Os</w:t>
      </w:r>
      <w:r>
        <w:rPr>
          <w:spacing w:val="-4"/>
        </w:rPr>
        <w:t> </w:t>
      </w:r>
      <w:r>
        <w:rPr/>
        <w:t>aneurismas</w:t>
      </w:r>
      <w:r>
        <w:rPr>
          <w:spacing w:val="-4"/>
        </w:rPr>
        <w:t> </w:t>
      </w:r>
      <w:r>
        <w:rPr/>
        <w:t>da</w:t>
      </w:r>
      <w:r>
        <w:rPr>
          <w:spacing w:val="-13"/>
        </w:rPr>
        <w:t> </w:t>
      </w:r>
      <w:r>
        <w:rPr/>
        <w:t>aorta</w:t>
      </w:r>
      <w:r>
        <w:rPr>
          <w:spacing w:val="-13"/>
        </w:rPr>
        <w:t> </w:t>
      </w:r>
      <w:r>
        <w:rPr/>
        <w:t>descendente</w:t>
      </w:r>
      <w:r>
        <w:rPr>
          <w:spacing w:val="-13"/>
        </w:rPr>
        <w:t> </w:t>
      </w:r>
      <w:r>
        <w:rPr/>
        <w:t>ou</w:t>
      </w:r>
      <w:r>
        <w:rPr>
          <w:spacing w:val="-11"/>
        </w:rPr>
        <w:t> </w:t>
      </w:r>
      <w:r>
        <w:rPr/>
        <w:t>toracoabdominais,</w:t>
      </w:r>
      <w:r>
        <w:rPr>
          <w:spacing w:val="-4"/>
        </w:rPr>
        <w:t> </w:t>
      </w:r>
      <w:r>
        <w:rPr/>
        <w:t>pela</w:t>
      </w:r>
      <w:r>
        <w:rPr>
          <w:spacing w:val="-13"/>
        </w:rPr>
        <w:t> </w:t>
      </w:r>
      <w:r>
        <w:rPr/>
        <w:t>complexidade,</w:t>
      </w:r>
      <w:r>
        <w:rPr>
          <w:spacing w:val="-4"/>
        </w:rPr>
        <w:t> </w:t>
      </w:r>
      <w:r>
        <w:rPr/>
        <w:t>pelos</w:t>
      </w:r>
      <w:r>
        <w:rPr>
          <w:spacing w:val="-4"/>
        </w:rPr>
        <w:t> </w:t>
      </w:r>
      <w:r>
        <w:rPr/>
        <w:t>riscos</w:t>
      </w:r>
      <w:r>
        <w:rPr>
          <w:spacing w:val="-4"/>
        </w:rPr>
        <w:t> </w:t>
      </w:r>
      <w:r>
        <w:rPr/>
        <w:t>de</w:t>
      </w:r>
      <w:r>
        <w:rPr>
          <w:spacing w:val="-13"/>
        </w:rPr>
        <w:t> </w:t>
      </w:r>
      <w:r>
        <w:rPr/>
        <w:t>isquemia</w:t>
      </w:r>
      <w:r>
        <w:rPr>
          <w:spacing w:val="-13"/>
        </w:rPr>
        <w:t> </w:t>
      </w:r>
      <w:r>
        <w:rPr/>
        <w:t>medular e esplâncnica, são operados quando maiores que 6,5 cm de diâmetro. O advento das próteses endovasculares possibilitou, para lesões específicas, o tratamento com diâmetros menores, pela menor invasividade e risco do </w:t>
      </w:r>
      <w:r>
        <w:rPr>
          <w:spacing w:val="-2"/>
        </w:rPr>
        <w:t>procedimento.</w:t>
      </w:r>
      <w:r>
        <w:rPr>
          <w:spacing w:val="-2"/>
          <w:vertAlign w:val="superscript"/>
        </w:rPr>
        <w:t>29</w:t>
      </w:r>
    </w:p>
    <w:p>
      <w:pPr>
        <w:pStyle w:val="BodyText"/>
        <w:spacing w:line="283" w:lineRule="auto" w:before="31"/>
        <w:ind w:right="491"/>
      </w:pPr>
      <w:r>
        <w:rPr/>
        <w:t>Pacientes portadores de síndrome de Marfan ou Ehler-Danlos têm indicação com diâmetros menores, entre 4,5 cm e 5 cm, pois, em função das alterações do tecido conectivo, apresentam risco aumentado de complicação (dissecção ou ruptura) com diâmetros menores.</w:t>
      </w:r>
      <w:r>
        <w:rPr>
          <w:vertAlign w:val="superscript"/>
        </w:rPr>
        <w:t>25–27</w:t>
      </w:r>
    </w:p>
    <w:p>
      <w:pPr>
        <w:pStyle w:val="BodyText"/>
        <w:spacing w:line="290" w:lineRule="auto" w:before="57"/>
        <w:ind w:right="491"/>
      </w:pPr>
      <w:r>
        <w:rPr/>
        <w:t>Além</w:t>
      </w:r>
      <w:r>
        <w:rPr>
          <w:spacing w:val="-8"/>
        </w:rPr>
        <w:t> </w:t>
      </w:r>
      <w:r>
        <w:rPr/>
        <w:t>do</w:t>
      </w:r>
      <w:r>
        <w:rPr>
          <w:spacing w:val="-8"/>
        </w:rPr>
        <w:t> </w:t>
      </w:r>
      <w:r>
        <w:rPr/>
        <w:t>tamanho,</w:t>
      </w:r>
      <w:r>
        <w:rPr>
          <w:spacing w:val="-1"/>
        </w:rPr>
        <w:t> </w:t>
      </w:r>
      <w:r>
        <w:rPr/>
        <w:t>a</w:t>
      </w:r>
      <w:r>
        <w:rPr>
          <w:spacing w:val="-10"/>
        </w:rPr>
        <w:t> </w:t>
      </w:r>
      <w:r>
        <w:rPr/>
        <w:t>velocidade</w:t>
      </w:r>
      <w:r>
        <w:rPr>
          <w:spacing w:val="-10"/>
        </w:rPr>
        <w:t> </w:t>
      </w:r>
      <w:r>
        <w:rPr/>
        <w:t>de</w:t>
      </w:r>
      <w:r>
        <w:rPr>
          <w:spacing w:val="-10"/>
        </w:rPr>
        <w:t> </w:t>
      </w:r>
      <w:r>
        <w:rPr/>
        <w:t>crescimento</w:t>
      </w:r>
      <w:r>
        <w:rPr>
          <w:spacing w:val="-8"/>
        </w:rPr>
        <w:t> </w:t>
      </w:r>
      <w:r>
        <w:rPr/>
        <w:t>transversal</w:t>
      </w:r>
      <w:r>
        <w:rPr>
          <w:spacing w:val="-5"/>
        </w:rPr>
        <w:t> </w:t>
      </w:r>
      <w:r>
        <w:rPr/>
        <w:t>do</w:t>
      </w:r>
      <w:r>
        <w:rPr>
          <w:spacing w:val="-8"/>
        </w:rPr>
        <w:t> </w:t>
      </w:r>
      <w:r>
        <w:rPr/>
        <w:t>aneurisma</w:t>
      </w:r>
      <w:r>
        <w:rPr>
          <w:spacing w:val="-10"/>
        </w:rPr>
        <w:t> </w:t>
      </w:r>
      <w:r>
        <w:rPr/>
        <w:t>maior</w:t>
      </w:r>
      <w:r>
        <w:rPr>
          <w:spacing w:val="-3"/>
        </w:rPr>
        <w:t> </w:t>
      </w:r>
      <w:r>
        <w:rPr/>
        <w:t>que</w:t>
      </w:r>
      <w:r>
        <w:rPr>
          <w:spacing w:val="-10"/>
        </w:rPr>
        <w:t> </w:t>
      </w:r>
      <w:r>
        <w:rPr/>
        <w:t>0,5</w:t>
      </w:r>
      <w:r>
        <w:rPr>
          <w:spacing w:val="-8"/>
        </w:rPr>
        <w:t> </w:t>
      </w:r>
      <w:r>
        <w:rPr/>
        <w:t>cm/6</w:t>
      </w:r>
      <w:r>
        <w:rPr>
          <w:spacing w:val="-8"/>
        </w:rPr>
        <w:t> </w:t>
      </w:r>
      <w:r>
        <w:rPr/>
        <w:t>meses</w:t>
      </w:r>
      <w:r>
        <w:rPr>
          <w:spacing w:val="-1"/>
        </w:rPr>
        <w:t> </w:t>
      </w:r>
      <w:r>
        <w:rPr/>
        <w:t>ou</w:t>
      </w:r>
      <w:r>
        <w:rPr>
          <w:spacing w:val="-8"/>
        </w:rPr>
        <w:t> </w:t>
      </w:r>
      <w:r>
        <w:rPr/>
        <w:t>1</w:t>
      </w:r>
      <w:r>
        <w:rPr>
          <w:spacing w:val="-8"/>
        </w:rPr>
        <w:t> </w:t>
      </w:r>
      <w:r>
        <w:rPr/>
        <w:t>cm/ano é</w:t>
      </w:r>
      <w:r>
        <w:rPr>
          <w:spacing w:val="-1"/>
        </w:rPr>
        <w:t> </w:t>
      </w:r>
      <w:r>
        <w:rPr/>
        <w:t>motivo de</w:t>
      </w:r>
      <w:r>
        <w:rPr>
          <w:spacing w:val="-1"/>
        </w:rPr>
        <w:t> </w:t>
      </w:r>
      <w:r>
        <w:rPr/>
        <w:t>indicação de</w:t>
      </w:r>
      <w:r>
        <w:rPr>
          <w:spacing w:val="-1"/>
        </w:rPr>
        <w:t> </w:t>
      </w:r>
      <w:r>
        <w:rPr/>
        <w:t>tratamento cirúrgico nos pacientes assintomáticos pelo risco de</w:t>
      </w:r>
      <w:r>
        <w:rPr>
          <w:spacing w:val="-1"/>
        </w:rPr>
        <w:t> </w:t>
      </w:r>
      <w:r>
        <w:rPr/>
        <w:t>ruptura.</w:t>
      </w:r>
      <w:r>
        <w:rPr>
          <w:vertAlign w:val="superscript"/>
        </w:rPr>
        <w:t>25</w:t>
      </w:r>
    </w:p>
    <w:p>
      <w:pPr>
        <w:pStyle w:val="BodyText"/>
        <w:spacing w:before="170"/>
        <w:ind w:left="0" w:firstLine="0"/>
        <w:jc w:val="left"/>
      </w:pPr>
    </w:p>
    <w:p>
      <w:pPr>
        <w:pStyle w:val="Heading4"/>
      </w:pPr>
      <w:r>
        <w:rPr>
          <w:color w:val="242B67"/>
        </w:rPr>
        <w:t>Dissecção de </w:t>
      </w:r>
      <w:r>
        <w:rPr>
          <w:color w:val="242B67"/>
          <w:spacing w:val="-2"/>
        </w:rPr>
        <w:t>aorta</w:t>
      </w:r>
    </w:p>
    <w:p>
      <w:pPr>
        <w:pStyle w:val="Heading5"/>
        <w:spacing w:before="177"/>
      </w:pPr>
      <w:r>
        <w:rPr>
          <w:color w:val="A26108"/>
          <w:spacing w:val="-2"/>
        </w:rPr>
        <w:t>Definição</w:t>
      </w:r>
    </w:p>
    <w:p>
      <w:pPr>
        <w:pStyle w:val="BodyText"/>
        <w:spacing w:line="276" w:lineRule="auto" w:before="138"/>
        <w:ind w:right="488"/>
      </w:pPr>
      <w:r>
        <w:rPr/>
        <w:t>A</w:t>
      </w:r>
      <w:r>
        <w:rPr>
          <w:spacing w:val="-13"/>
        </w:rPr>
        <w:t> </w:t>
      </w:r>
      <w:r>
        <w:rPr/>
        <w:t>dissecção</w:t>
      </w:r>
      <w:r>
        <w:rPr>
          <w:spacing w:val="-11"/>
        </w:rPr>
        <w:t> </w:t>
      </w:r>
      <w:r>
        <w:rPr/>
        <w:t>da</w:t>
      </w:r>
      <w:r>
        <w:rPr>
          <w:spacing w:val="-13"/>
        </w:rPr>
        <w:t> </w:t>
      </w:r>
      <w:r>
        <w:rPr/>
        <w:t>aorta</w:t>
      </w:r>
      <w:r>
        <w:rPr>
          <w:spacing w:val="-13"/>
        </w:rPr>
        <w:t> </w:t>
      </w:r>
      <w:r>
        <w:rPr/>
        <w:t>é</w:t>
      </w:r>
      <w:r>
        <w:rPr>
          <w:spacing w:val="-13"/>
        </w:rPr>
        <w:t> </w:t>
      </w:r>
      <w:r>
        <w:rPr/>
        <w:t>um</w:t>
      </w:r>
      <w:r>
        <w:rPr>
          <w:spacing w:val="-11"/>
        </w:rPr>
        <w:t> </w:t>
      </w:r>
      <w:r>
        <w:rPr/>
        <w:t>evento</w:t>
      </w:r>
      <w:r>
        <w:rPr>
          <w:spacing w:val="-11"/>
        </w:rPr>
        <w:t> </w:t>
      </w:r>
      <w:r>
        <w:rPr/>
        <w:t>patológico</w:t>
      </w:r>
      <w:r>
        <w:rPr>
          <w:spacing w:val="-11"/>
        </w:rPr>
        <w:t> </w:t>
      </w:r>
      <w:r>
        <w:rPr/>
        <w:t>agudo,</w:t>
      </w:r>
      <w:r>
        <w:rPr>
          <w:spacing w:val="-4"/>
        </w:rPr>
        <w:t> </w:t>
      </w:r>
      <w:r>
        <w:rPr/>
        <w:t>caracterizado</w:t>
      </w:r>
      <w:r>
        <w:rPr>
          <w:spacing w:val="-11"/>
        </w:rPr>
        <w:t> </w:t>
      </w:r>
      <w:r>
        <w:rPr/>
        <w:t>pela</w:t>
      </w:r>
      <w:r>
        <w:rPr>
          <w:spacing w:val="-13"/>
        </w:rPr>
        <w:t> </w:t>
      </w:r>
      <w:r>
        <w:rPr/>
        <w:t>delaminação</w:t>
      </w:r>
      <w:r>
        <w:rPr>
          <w:spacing w:val="-11"/>
        </w:rPr>
        <w:t> </w:t>
      </w:r>
      <w:r>
        <w:rPr/>
        <w:t>da</w:t>
      </w:r>
      <w:r>
        <w:rPr>
          <w:spacing w:val="-13"/>
        </w:rPr>
        <w:t> </w:t>
      </w:r>
      <w:r>
        <w:rPr/>
        <w:t>camada</w:t>
      </w:r>
      <w:r>
        <w:rPr>
          <w:spacing w:val="-13"/>
        </w:rPr>
        <w:t> </w:t>
      </w:r>
      <w:r>
        <w:rPr/>
        <w:t>média,</w:t>
      </w:r>
      <w:r>
        <w:rPr>
          <w:spacing w:val="-4"/>
        </w:rPr>
        <w:t> </w:t>
      </w:r>
      <w:r>
        <w:rPr/>
        <w:t>a</w:t>
      </w:r>
      <w:r>
        <w:rPr>
          <w:spacing w:val="-13"/>
        </w:rPr>
        <w:t> </w:t>
      </w:r>
      <w:r>
        <w:rPr/>
        <w:t>partir</w:t>
      </w:r>
      <w:r>
        <w:rPr>
          <w:spacing w:val="-6"/>
        </w:rPr>
        <w:t> </w:t>
      </w:r>
      <w:r>
        <w:rPr/>
        <w:t>de uma</w:t>
      </w:r>
      <w:r>
        <w:rPr>
          <w:spacing w:val="-6"/>
        </w:rPr>
        <w:t> </w:t>
      </w:r>
      <w:r>
        <w:rPr/>
        <w:t>ruptura</w:t>
      </w:r>
      <w:r>
        <w:rPr>
          <w:spacing w:val="-6"/>
        </w:rPr>
        <w:t> </w:t>
      </w:r>
      <w:r>
        <w:rPr/>
        <w:t>da</w:t>
      </w:r>
      <w:r>
        <w:rPr>
          <w:spacing w:val="-6"/>
        </w:rPr>
        <w:t> </w:t>
      </w:r>
      <w:r>
        <w:rPr/>
        <w:t>íntima, e</w:t>
      </w:r>
      <w:r>
        <w:rPr>
          <w:spacing w:val="-6"/>
        </w:rPr>
        <w:t> </w:t>
      </w:r>
      <w:r>
        <w:rPr/>
        <w:t>criação</w:t>
      </w:r>
      <w:r>
        <w:rPr>
          <w:spacing w:val="-4"/>
        </w:rPr>
        <w:t> </w:t>
      </w:r>
      <w:r>
        <w:rPr/>
        <w:t>de</w:t>
      </w:r>
      <w:r>
        <w:rPr>
          <w:spacing w:val="-6"/>
        </w:rPr>
        <w:t> </w:t>
      </w:r>
      <w:r>
        <w:rPr/>
        <w:t>um</w:t>
      </w:r>
      <w:r>
        <w:rPr>
          <w:spacing w:val="-4"/>
        </w:rPr>
        <w:t> </w:t>
      </w:r>
      <w:r>
        <w:rPr/>
        <w:t>falso</w:t>
      </w:r>
      <w:r>
        <w:rPr>
          <w:spacing w:val="-4"/>
        </w:rPr>
        <w:t> </w:t>
      </w:r>
      <w:r>
        <w:rPr/>
        <w:t>lúmen</w:t>
      </w:r>
      <w:r>
        <w:rPr>
          <w:spacing w:val="-4"/>
        </w:rPr>
        <w:t> </w:t>
      </w:r>
      <w:r>
        <w:rPr/>
        <w:t>por onde</w:t>
      </w:r>
      <w:r>
        <w:rPr>
          <w:spacing w:val="-6"/>
        </w:rPr>
        <w:t> </w:t>
      </w:r>
      <w:r>
        <w:rPr/>
        <w:t>o</w:t>
      </w:r>
      <w:r>
        <w:rPr>
          <w:spacing w:val="-4"/>
        </w:rPr>
        <w:t> </w:t>
      </w:r>
      <w:r>
        <w:rPr/>
        <w:t>sangue</w:t>
      </w:r>
      <w:r>
        <w:rPr>
          <w:spacing w:val="-6"/>
        </w:rPr>
        <w:t> </w:t>
      </w:r>
      <w:r>
        <w:rPr/>
        <w:t>corre</w:t>
      </w:r>
      <w:r>
        <w:rPr>
          <w:spacing w:val="-6"/>
        </w:rPr>
        <w:t> </w:t>
      </w:r>
      <w:r>
        <w:rPr/>
        <w:t>paralelamente</w:t>
      </w:r>
      <w:r>
        <w:rPr>
          <w:spacing w:val="-6"/>
        </w:rPr>
        <w:t> </w:t>
      </w:r>
      <w:r>
        <w:rPr/>
        <w:t>ao</w:t>
      </w:r>
      <w:r>
        <w:rPr>
          <w:spacing w:val="-4"/>
        </w:rPr>
        <w:t> </w:t>
      </w:r>
      <w:r>
        <w:rPr/>
        <w:t>lúmen</w:t>
      </w:r>
      <w:r>
        <w:rPr>
          <w:spacing w:val="-4"/>
        </w:rPr>
        <w:t> </w:t>
      </w:r>
      <w:r>
        <w:rPr/>
        <w:t>verdadeiro</w:t>
      </w:r>
      <w:r>
        <w:rPr>
          <w:spacing w:val="-4"/>
        </w:rPr>
        <w:t> </w:t>
      </w:r>
      <w:r>
        <w:rPr/>
        <w:t>por extensão variada. A ruptura da camada íntima ocorre principalmente nos pontos de fixação do vaso onde a tensão superficial é maior, isto é, na junção sinotubular e no istmo da aorta.</w:t>
      </w:r>
    </w:p>
    <w:p>
      <w:pPr>
        <w:pStyle w:val="BodyText"/>
        <w:spacing w:before="134"/>
        <w:ind w:left="0" w:firstLine="0"/>
        <w:jc w:val="left"/>
      </w:pPr>
    </w:p>
    <w:p>
      <w:pPr>
        <w:pStyle w:val="Heading5"/>
      </w:pPr>
      <w:r>
        <w:rPr>
          <w:color w:val="A26108"/>
          <w:spacing w:val="-2"/>
        </w:rPr>
        <w:t>Classificações</w:t>
      </w:r>
    </w:p>
    <w:p>
      <w:pPr>
        <w:pStyle w:val="BodyText"/>
        <w:spacing w:line="276" w:lineRule="auto" w:before="138"/>
        <w:ind w:right="491"/>
      </w:pPr>
      <w:r>
        <w:rPr/>
        <w:t>O</w:t>
      </w:r>
      <w:r>
        <w:rPr>
          <w:spacing w:val="-3"/>
        </w:rPr>
        <w:t> </w:t>
      </w:r>
      <w:r>
        <w:rPr/>
        <w:t>tempo de</w:t>
      </w:r>
      <w:r>
        <w:rPr>
          <w:spacing w:val="-3"/>
        </w:rPr>
        <w:t> </w:t>
      </w:r>
      <w:r>
        <w:rPr/>
        <w:t>início do evento da</w:t>
      </w:r>
      <w:r>
        <w:rPr>
          <w:spacing w:val="-3"/>
        </w:rPr>
        <w:t> </w:t>
      </w:r>
      <w:r>
        <w:rPr/>
        <w:t>dissecção determina</w:t>
      </w:r>
      <w:r>
        <w:rPr>
          <w:spacing w:val="-3"/>
        </w:rPr>
        <w:t> </w:t>
      </w:r>
      <w:r>
        <w:rPr/>
        <w:t>sua</w:t>
      </w:r>
      <w:r>
        <w:rPr>
          <w:spacing w:val="-3"/>
        </w:rPr>
        <w:t> </w:t>
      </w:r>
      <w:r>
        <w:rPr/>
        <w:t>classificação em aguda</w:t>
      </w:r>
      <w:r>
        <w:rPr>
          <w:spacing w:val="-3"/>
        </w:rPr>
        <w:t> </w:t>
      </w:r>
      <w:r>
        <w:rPr/>
        <w:t>ou crônica. Quando o início do evento ocorre</w:t>
      </w:r>
      <w:r>
        <w:rPr>
          <w:spacing w:val="-1"/>
        </w:rPr>
        <w:t> </w:t>
      </w:r>
      <w:r>
        <w:rPr/>
        <w:t>em menos de</w:t>
      </w:r>
      <w:r>
        <w:rPr>
          <w:spacing w:val="-1"/>
        </w:rPr>
        <w:t> </w:t>
      </w:r>
      <w:r>
        <w:rPr/>
        <w:t>2 semanas, define-se</w:t>
      </w:r>
      <w:r>
        <w:rPr>
          <w:spacing w:val="-1"/>
        </w:rPr>
        <w:t> </w:t>
      </w:r>
      <w:r>
        <w:rPr/>
        <w:t>como dissecção aguda, e</w:t>
      </w:r>
      <w:r>
        <w:rPr>
          <w:spacing w:val="-1"/>
        </w:rPr>
        <w:t> </w:t>
      </w:r>
      <w:r>
        <w:rPr/>
        <w:t>processos mais tardios, como dissecção </w:t>
      </w:r>
      <w:r>
        <w:rPr>
          <w:spacing w:val="-2"/>
        </w:rPr>
        <w:t>crônica.</w:t>
      </w:r>
    </w:p>
    <w:p>
      <w:pPr>
        <w:pStyle w:val="BodyText"/>
        <w:spacing w:line="280" w:lineRule="auto" w:before="49"/>
        <w:ind w:right="497"/>
      </w:pPr>
      <w:r>
        <w:rPr/>
        <w:t>Classificações levando</w:t>
      </w:r>
      <w:r>
        <w:rPr>
          <w:spacing w:val="-5"/>
        </w:rPr>
        <w:t> </w:t>
      </w:r>
      <w:r>
        <w:rPr/>
        <w:t>em</w:t>
      </w:r>
      <w:r>
        <w:rPr>
          <w:spacing w:val="-5"/>
        </w:rPr>
        <w:t> </w:t>
      </w:r>
      <w:r>
        <w:rPr/>
        <w:t>consideração</w:t>
      </w:r>
      <w:r>
        <w:rPr>
          <w:spacing w:val="-5"/>
        </w:rPr>
        <w:t> </w:t>
      </w:r>
      <w:r>
        <w:rPr/>
        <w:t>o</w:t>
      </w:r>
      <w:r>
        <w:rPr>
          <w:spacing w:val="-5"/>
        </w:rPr>
        <w:t> </w:t>
      </w:r>
      <w:r>
        <w:rPr/>
        <w:t>segmento</w:t>
      </w:r>
      <w:r>
        <w:rPr>
          <w:spacing w:val="-5"/>
        </w:rPr>
        <w:t> </w:t>
      </w:r>
      <w:r>
        <w:rPr/>
        <w:t>da</w:t>
      </w:r>
      <w:r>
        <w:rPr>
          <w:spacing w:val="-8"/>
        </w:rPr>
        <w:t> </w:t>
      </w:r>
      <w:r>
        <w:rPr/>
        <w:t>aorta</w:t>
      </w:r>
      <w:r>
        <w:rPr>
          <w:spacing w:val="-8"/>
        </w:rPr>
        <w:t> </w:t>
      </w:r>
      <w:r>
        <w:rPr/>
        <w:t>acometido</w:t>
      </w:r>
      <w:r>
        <w:rPr>
          <w:spacing w:val="-5"/>
        </w:rPr>
        <w:t> </w:t>
      </w:r>
      <w:r>
        <w:rPr/>
        <w:t>também</w:t>
      </w:r>
      <w:r>
        <w:rPr>
          <w:spacing w:val="-5"/>
        </w:rPr>
        <w:t> </w:t>
      </w:r>
      <w:r>
        <w:rPr/>
        <w:t>foram</w:t>
      </w:r>
      <w:r>
        <w:rPr>
          <w:spacing w:val="-5"/>
        </w:rPr>
        <w:t> </w:t>
      </w:r>
      <w:r>
        <w:rPr/>
        <w:t>propostas (</w:t>
      </w:r>
      <w:r>
        <w:rPr>
          <w:color w:val="505050"/>
        </w:rPr>
        <w:t>Figura 58.2</w:t>
      </w:r>
      <w:r>
        <w:rPr/>
        <w:t>). A primeira foi proposta por DeBakey </w:t>
      </w:r>
      <w:r>
        <w:rPr>
          <w:i/>
        </w:rPr>
        <w:t>et al.</w:t>
      </w:r>
      <w:r>
        <w:rPr>
          <w:vertAlign w:val="superscript"/>
        </w:rPr>
        <w:t>30</w:t>
      </w:r>
      <w:r>
        <w:rPr>
          <w:vertAlign w:val="baseline"/>
        </w:rPr>
        <w:t> A dissecção é do tipo I quando houver acometimento da aorta ascendente</w:t>
      </w:r>
      <w:r>
        <w:rPr>
          <w:spacing w:val="-5"/>
          <w:vertAlign w:val="baseline"/>
        </w:rPr>
        <w:t> </w:t>
      </w:r>
      <w:r>
        <w:rPr>
          <w:vertAlign w:val="baseline"/>
        </w:rPr>
        <w:t>com</w:t>
      </w:r>
      <w:r>
        <w:rPr>
          <w:spacing w:val="-3"/>
          <w:vertAlign w:val="baseline"/>
        </w:rPr>
        <w:t> </w:t>
      </w:r>
      <w:r>
        <w:rPr>
          <w:vertAlign w:val="baseline"/>
        </w:rPr>
        <w:t>a</w:t>
      </w:r>
      <w:r>
        <w:rPr>
          <w:spacing w:val="-5"/>
          <w:vertAlign w:val="baseline"/>
        </w:rPr>
        <w:t> </w:t>
      </w:r>
      <w:r>
        <w:rPr>
          <w:vertAlign w:val="baseline"/>
        </w:rPr>
        <w:t>delaminação</w:t>
      </w:r>
      <w:r>
        <w:rPr>
          <w:spacing w:val="-3"/>
          <w:vertAlign w:val="baseline"/>
        </w:rPr>
        <w:t> </w:t>
      </w:r>
      <w:r>
        <w:rPr>
          <w:vertAlign w:val="baseline"/>
        </w:rPr>
        <w:t>estendendo-se</w:t>
      </w:r>
      <w:r>
        <w:rPr>
          <w:spacing w:val="-5"/>
          <w:vertAlign w:val="baseline"/>
        </w:rPr>
        <w:t> </w:t>
      </w:r>
      <w:r>
        <w:rPr>
          <w:vertAlign w:val="baseline"/>
        </w:rPr>
        <w:t>pelo</w:t>
      </w:r>
      <w:r>
        <w:rPr>
          <w:spacing w:val="-3"/>
          <w:vertAlign w:val="baseline"/>
        </w:rPr>
        <w:t> </w:t>
      </w:r>
      <w:r>
        <w:rPr>
          <w:vertAlign w:val="baseline"/>
        </w:rPr>
        <w:t>arco</w:t>
      </w:r>
      <w:r>
        <w:rPr>
          <w:spacing w:val="-3"/>
          <w:vertAlign w:val="baseline"/>
        </w:rPr>
        <w:t> </w:t>
      </w:r>
      <w:r>
        <w:rPr>
          <w:vertAlign w:val="baseline"/>
        </w:rPr>
        <w:t>aórtico</w:t>
      </w:r>
      <w:r>
        <w:rPr>
          <w:spacing w:val="-3"/>
          <w:vertAlign w:val="baseline"/>
        </w:rPr>
        <w:t> </w:t>
      </w:r>
      <w:r>
        <w:rPr>
          <w:vertAlign w:val="baseline"/>
        </w:rPr>
        <w:t>e</w:t>
      </w:r>
      <w:r>
        <w:rPr>
          <w:spacing w:val="-5"/>
          <w:vertAlign w:val="baseline"/>
        </w:rPr>
        <w:t> </w:t>
      </w:r>
      <w:r>
        <w:rPr>
          <w:vertAlign w:val="baseline"/>
        </w:rPr>
        <w:t>aorta</w:t>
      </w:r>
      <w:r>
        <w:rPr>
          <w:spacing w:val="-5"/>
          <w:vertAlign w:val="baseline"/>
        </w:rPr>
        <w:t> </w:t>
      </w:r>
      <w:r>
        <w:rPr>
          <w:vertAlign w:val="baseline"/>
        </w:rPr>
        <w:t>descendente</w:t>
      </w:r>
      <w:r>
        <w:rPr>
          <w:spacing w:val="-5"/>
          <w:vertAlign w:val="baseline"/>
        </w:rPr>
        <w:t> </w:t>
      </w:r>
      <w:r>
        <w:rPr>
          <w:vertAlign w:val="baseline"/>
        </w:rPr>
        <w:t>por extensões variadas. Será</w:t>
      </w:r>
      <w:r>
        <w:rPr>
          <w:spacing w:val="-5"/>
          <w:vertAlign w:val="baseline"/>
        </w:rPr>
        <w:t> </w:t>
      </w:r>
      <w:r>
        <w:rPr>
          <w:vertAlign w:val="baseline"/>
        </w:rPr>
        <w:t>do tipo</w:t>
      </w:r>
      <w:r>
        <w:rPr>
          <w:spacing w:val="-6"/>
          <w:vertAlign w:val="baseline"/>
        </w:rPr>
        <w:t> </w:t>
      </w:r>
      <w:r>
        <w:rPr>
          <w:vertAlign w:val="baseline"/>
        </w:rPr>
        <w:t>II</w:t>
      </w:r>
      <w:r>
        <w:rPr>
          <w:spacing w:val="-1"/>
          <w:vertAlign w:val="baseline"/>
        </w:rPr>
        <w:t> </w:t>
      </w:r>
      <w:r>
        <w:rPr>
          <w:vertAlign w:val="baseline"/>
        </w:rPr>
        <w:t>quando</w:t>
      </w:r>
      <w:r>
        <w:rPr>
          <w:spacing w:val="-6"/>
          <w:vertAlign w:val="baseline"/>
        </w:rPr>
        <w:t> </w:t>
      </w:r>
      <w:r>
        <w:rPr>
          <w:vertAlign w:val="baseline"/>
        </w:rPr>
        <w:t>a</w:t>
      </w:r>
      <w:r>
        <w:rPr>
          <w:spacing w:val="-8"/>
          <w:vertAlign w:val="baseline"/>
        </w:rPr>
        <w:t> </w:t>
      </w:r>
      <w:r>
        <w:rPr>
          <w:vertAlign w:val="baseline"/>
        </w:rPr>
        <w:t>delaminação</w:t>
      </w:r>
      <w:r>
        <w:rPr>
          <w:spacing w:val="-6"/>
          <w:vertAlign w:val="baseline"/>
        </w:rPr>
        <w:t> </w:t>
      </w:r>
      <w:r>
        <w:rPr>
          <w:vertAlign w:val="baseline"/>
        </w:rPr>
        <w:t>se</w:t>
      </w:r>
      <w:r>
        <w:rPr>
          <w:spacing w:val="-8"/>
          <w:vertAlign w:val="baseline"/>
        </w:rPr>
        <w:t> </w:t>
      </w:r>
      <w:r>
        <w:rPr>
          <w:vertAlign w:val="baseline"/>
        </w:rPr>
        <w:t>restringir</w:t>
      </w:r>
      <w:r>
        <w:rPr>
          <w:spacing w:val="-1"/>
          <w:vertAlign w:val="baseline"/>
        </w:rPr>
        <w:t> </w:t>
      </w:r>
      <w:r>
        <w:rPr>
          <w:vertAlign w:val="baseline"/>
        </w:rPr>
        <w:t>à</w:t>
      </w:r>
      <w:r>
        <w:rPr>
          <w:spacing w:val="-8"/>
          <w:vertAlign w:val="baseline"/>
        </w:rPr>
        <w:t> </w:t>
      </w:r>
      <w:r>
        <w:rPr>
          <w:vertAlign w:val="baseline"/>
        </w:rPr>
        <w:t>aorta</w:t>
      </w:r>
      <w:r>
        <w:rPr>
          <w:spacing w:val="-8"/>
          <w:vertAlign w:val="baseline"/>
        </w:rPr>
        <w:t> </w:t>
      </w:r>
      <w:r>
        <w:rPr>
          <w:vertAlign w:val="baseline"/>
        </w:rPr>
        <w:t>ascendente, e</w:t>
      </w:r>
      <w:r>
        <w:rPr>
          <w:spacing w:val="-8"/>
          <w:vertAlign w:val="baseline"/>
        </w:rPr>
        <w:t> </w:t>
      </w:r>
      <w:r>
        <w:rPr>
          <w:vertAlign w:val="baseline"/>
        </w:rPr>
        <w:t>do</w:t>
      </w:r>
      <w:r>
        <w:rPr>
          <w:spacing w:val="-6"/>
          <w:vertAlign w:val="baseline"/>
        </w:rPr>
        <w:t> </w:t>
      </w:r>
      <w:r>
        <w:rPr>
          <w:vertAlign w:val="baseline"/>
        </w:rPr>
        <w:t>tipo</w:t>
      </w:r>
      <w:r>
        <w:rPr>
          <w:spacing w:val="-6"/>
          <w:vertAlign w:val="baseline"/>
        </w:rPr>
        <w:t> </w:t>
      </w:r>
      <w:r>
        <w:rPr>
          <w:vertAlign w:val="baseline"/>
        </w:rPr>
        <w:t>III</w:t>
      </w:r>
      <w:r>
        <w:rPr>
          <w:spacing w:val="-1"/>
          <w:vertAlign w:val="baseline"/>
        </w:rPr>
        <w:t> </w:t>
      </w:r>
      <w:r>
        <w:rPr>
          <w:vertAlign w:val="baseline"/>
        </w:rPr>
        <w:t>quando</w:t>
      </w:r>
      <w:r>
        <w:rPr>
          <w:spacing w:val="-6"/>
          <w:vertAlign w:val="baseline"/>
        </w:rPr>
        <w:t> </w:t>
      </w:r>
      <w:r>
        <w:rPr>
          <w:vertAlign w:val="baseline"/>
        </w:rPr>
        <w:t>a</w:t>
      </w:r>
      <w:r>
        <w:rPr>
          <w:spacing w:val="-8"/>
          <w:vertAlign w:val="baseline"/>
        </w:rPr>
        <w:t> </w:t>
      </w:r>
      <w:r>
        <w:rPr>
          <w:vertAlign w:val="baseline"/>
        </w:rPr>
        <w:t>delaminação</w:t>
      </w:r>
      <w:r>
        <w:rPr>
          <w:spacing w:val="-6"/>
          <w:vertAlign w:val="baseline"/>
        </w:rPr>
        <w:t> </w:t>
      </w:r>
      <w:r>
        <w:rPr>
          <w:vertAlign w:val="baseline"/>
        </w:rPr>
        <w:t>se</w:t>
      </w:r>
      <w:r>
        <w:rPr>
          <w:spacing w:val="-8"/>
          <w:vertAlign w:val="baseline"/>
        </w:rPr>
        <w:t> </w:t>
      </w:r>
      <w:r>
        <w:rPr>
          <w:vertAlign w:val="baseline"/>
        </w:rPr>
        <w:t>estender</w:t>
      </w:r>
      <w:r>
        <w:rPr>
          <w:spacing w:val="-1"/>
          <w:vertAlign w:val="baseline"/>
        </w:rPr>
        <w:t> </w:t>
      </w:r>
      <w:r>
        <w:rPr>
          <w:vertAlign w:val="baseline"/>
        </w:rPr>
        <w:t>a</w:t>
      </w:r>
      <w:r>
        <w:rPr>
          <w:spacing w:val="-8"/>
          <w:vertAlign w:val="baseline"/>
        </w:rPr>
        <w:t> </w:t>
      </w:r>
      <w:r>
        <w:rPr>
          <w:vertAlign w:val="baseline"/>
        </w:rPr>
        <w:t>partir da artéria subclávia esquerda em direção ao diafragma (IIIa) ou até o abdome (IIIb). Outra conhecida classificação</w:t>
      </w:r>
    </w:p>
    <w:p>
      <w:pPr>
        <w:pStyle w:val="BodyText"/>
        <w:spacing w:after="0" w:line="280" w:lineRule="auto"/>
        <w:sectPr>
          <w:pgSz w:w="11900" w:h="16840"/>
          <w:pgMar w:top="200" w:bottom="280" w:left="566" w:right="141"/>
        </w:sectPr>
      </w:pPr>
    </w:p>
    <w:p>
      <w:pPr>
        <w:pStyle w:val="BodyText"/>
        <w:spacing w:line="280" w:lineRule="auto" w:before="94"/>
        <w:ind w:right="497" w:firstLine="0"/>
      </w:pPr>
      <w:r>
        <w:rPr/>
        <w:t>foi descrita por Daily </w:t>
      </w:r>
      <w:r>
        <w:rPr>
          <w:i/>
        </w:rPr>
        <w:t>et al.</w:t>
      </w:r>
      <w:r>
        <w:rPr/>
        <w:t>,</w:t>
      </w:r>
      <w:r>
        <w:rPr>
          <w:vertAlign w:val="superscript"/>
        </w:rPr>
        <w:t>31</w:t>
      </w:r>
      <w:r>
        <w:rPr>
          <w:vertAlign w:val="baseline"/>
        </w:rPr>
        <w:t> que definem como Stanford tipo A quando ocorrer o comprometimento da aorta ascendente e Stanford tipo B quando o acometimento for a partir da artéria subclávia esquerda. Quando a delaminação</w:t>
      </w:r>
      <w:r>
        <w:rPr>
          <w:spacing w:val="-11"/>
          <w:vertAlign w:val="baseline"/>
        </w:rPr>
        <w:t> </w:t>
      </w:r>
      <w:r>
        <w:rPr>
          <w:vertAlign w:val="baseline"/>
        </w:rPr>
        <w:t>acometer</w:t>
      </w:r>
      <w:r>
        <w:rPr>
          <w:spacing w:val="-6"/>
          <w:vertAlign w:val="baseline"/>
        </w:rPr>
        <w:t> </w:t>
      </w:r>
      <w:r>
        <w:rPr>
          <w:vertAlign w:val="baseline"/>
        </w:rPr>
        <w:t>o</w:t>
      </w:r>
      <w:r>
        <w:rPr>
          <w:spacing w:val="-11"/>
          <w:vertAlign w:val="baseline"/>
        </w:rPr>
        <w:t> </w:t>
      </w:r>
      <w:r>
        <w:rPr>
          <w:vertAlign w:val="baseline"/>
        </w:rPr>
        <w:t>arco</w:t>
      </w:r>
      <w:r>
        <w:rPr>
          <w:spacing w:val="-11"/>
          <w:vertAlign w:val="baseline"/>
        </w:rPr>
        <w:t> </w:t>
      </w:r>
      <w:r>
        <w:rPr>
          <w:vertAlign w:val="baseline"/>
        </w:rPr>
        <w:t>aórtico,</w:t>
      </w:r>
      <w:r>
        <w:rPr>
          <w:spacing w:val="-3"/>
          <w:vertAlign w:val="baseline"/>
        </w:rPr>
        <w:t> </w:t>
      </w:r>
      <w:r>
        <w:rPr>
          <w:vertAlign w:val="baseline"/>
        </w:rPr>
        <w:t>sem</w:t>
      </w:r>
      <w:r>
        <w:rPr>
          <w:spacing w:val="-11"/>
          <w:vertAlign w:val="baseline"/>
        </w:rPr>
        <w:t> </w:t>
      </w:r>
      <w:r>
        <w:rPr>
          <w:vertAlign w:val="baseline"/>
        </w:rPr>
        <w:t>o</w:t>
      </w:r>
      <w:r>
        <w:rPr>
          <w:spacing w:val="-11"/>
          <w:vertAlign w:val="baseline"/>
        </w:rPr>
        <w:t> </w:t>
      </w:r>
      <w:r>
        <w:rPr>
          <w:vertAlign w:val="baseline"/>
        </w:rPr>
        <w:t>comprometimento</w:t>
      </w:r>
      <w:r>
        <w:rPr>
          <w:spacing w:val="-11"/>
          <w:vertAlign w:val="baseline"/>
        </w:rPr>
        <w:t> </w:t>
      </w:r>
      <w:r>
        <w:rPr>
          <w:vertAlign w:val="baseline"/>
        </w:rPr>
        <w:t>da</w:t>
      </w:r>
      <w:r>
        <w:rPr>
          <w:spacing w:val="-13"/>
          <w:vertAlign w:val="baseline"/>
        </w:rPr>
        <w:t> </w:t>
      </w:r>
      <w:r>
        <w:rPr>
          <w:vertAlign w:val="baseline"/>
        </w:rPr>
        <w:t>aorta</w:t>
      </w:r>
      <w:r>
        <w:rPr>
          <w:spacing w:val="-13"/>
          <w:vertAlign w:val="baseline"/>
        </w:rPr>
        <w:t> </w:t>
      </w:r>
      <w:r>
        <w:rPr>
          <w:vertAlign w:val="baseline"/>
        </w:rPr>
        <w:t>ascendente,</w:t>
      </w:r>
      <w:r>
        <w:rPr>
          <w:spacing w:val="-3"/>
          <w:vertAlign w:val="baseline"/>
        </w:rPr>
        <w:t> </w:t>
      </w:r>
      <w:r>
        <w:rPr>
          <w:vertAlign w:val="baseline"/>
        </w:rPr>
        <w:t>classifica-se</w:t>
      </w:r>
      <w:r>
        <w:rPr>
          <w:spacing w:val="-13"/>
          <w:vertAlign w:val="baseline"/>
        </w:rPr>
        <w:t> </w:t>
      </w:r>
      <w:r>
        <w:rPr>
          <w:vertAlign w:val="baseline"/>
        </w:rPr>
        <w:t>como</w:t>
      </w:r>
      <w:r>
        <w:rPr>
          <w:spacing w:val="-11"/>
          <w:vertAlign w:val="baseline"/>
        </w:rPr>
        <w:t> </w:t>
      </w:r>
      <w:r>
        <w:rPr>
          <w:vertAlign w:val="baseline"/>
        </w:rPr>
        <w:t>Stanford</w:t>
      </w:r>
      <w:r>
        <w:rPr>
          <w:spacing w:val="-11"/>
          <w:vertAlign w:val="baseline"/>
        </w:rPr>
        <w:t> </w:t>
      </w:r>
      <w:r>
        <w:rPr>
          <w:vertAlign w:val="baseline"/>
        </w:rPr>
        <w:t>tipo B, diferentemente do que se fazia anteriormente.</w:t>
      </w:r>
      <w:r>
        <w:rPr>
          <w:vertAlign w:val="superscript"/>
        </w:rPr>
        <w:t>30</w:t>
      </w:r>
    </w:p>
    <w:p>
      <w:pPr>
        <w:pStyle w:val="BodyText"/>
        <w:spacing w:before="15"/>
        <w:ind w:left="0" w:firstLine="0"/>
        <w:jc w:val="left"/>
        <w:rPr>
          <w:sz w:val="20"/>
        </w:rPr>
      </w:pPr>
      <w:r>
        <w:rPr>
          <w:sz w:val="20"/>
        </w:rPr>
        <w:drawing>
          <wp:anchor distT="0" distB="0" distL="0" distR="0" allowOverlap="1" layoutInCell="1" locked="0" behindDoc="1" simplePos="0" relativeHeight="487609856">
            <wp:simplePos x="0" y="0"/>
            <wp:positionH relativeFrom="page">
              <wp:posOffset>1316926</wp:posOffset>
            </wp:positionH>
            <wp:positionV relativeFrom="paragraph">
              <wp:posOffset>171364</wp:posOffset>
            </wp:positionV>
            <wp:extent cx="4943004" cy="2853689"/>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3" cstate="print"/>
                    <a:stretch>
                      <a:fillRect/>
                    </a:stretch>
                  </pic:blipFill>
                  <pic:spPr>
                    <a:xfrm>
                      <a:off x="0" y="0"/>
                      <a:ext cx="4943004" cy="2853689"/>
                    </a:xfrm>
                    <a:prstGeom prst="rect">
                      <a:avLst/>
                    </a:prstGeom>
                  </pic:spPr>
                </pic:pic>
              </a:graphicData>
            </a:graphic>
          </wp:anchor>
        </w:drawing>
      </w:r>
    </w:p>
    <w:p>
      <w:pPr>
        <w:pStyle w:val="BodyText"/>
        <w:spacing w:before="23"/>
        <w:ind w:left="0" w:firstLine="0"/>
        <w:jc w:val="left"/>
      </w:pPr>
    </w:p>
    <w:p>
      <w:pPr>
        <w:spacing w:line="285" w:lineRule="auto" w:before="0"/>
        <w:ind w:left="68" w:right="508" w:firstLine="0"/>
        <w:jc w:val="both"/>
        <w:rPr>
          <w:rFonts w:ascii="Microsoft Sans Serif" w:hAnsi="Microsoft Sans Serif"/>
          <w:sz w:val="19"/>
        </w:rPr>
      </w:pPr>
      <w:r>
        <w:rPr>
          <w:rFonts w:ascii="Arial" w:hAnsi="Arial"/>
          <w:b/>
          <w:color w:val="242B67"/>
          <w:sz w:val="19"/>
        </w:rPr>
        <w:t>Figura</w:t>
      </w:r>
      <w:r>
        <w:rPr>
          <w:rFonts w:ascii="Arial" w:hAnsi="Arial"/>
          <w:b/>
          <w:color w:val="242B67"/>
          <w:spacing w:val="14"/>
          <w:sz w:val="19"/>
        </w:rPr>
        <w:t> </w:t>
      </w:r>
      <w:r>
        <w:rPr>
          <w:rFonts w:ascii="Arial" w:hAnsi="Arial"/>
          <w:b/>
          <w:color w:val="242B67"/>
          <w:sz w:val="19"/>
        </w:rPr>
        <w:t>58.2</w:t>
      </w:r>
      <w:r>
        <w:rPr>
          <w:rFonts w:ascii="Arial" w:hAnsi="Arial"/>
          <w:b/>
          <w:color w:val="242B67"/>
          <w:spacing w:val="17"/>
          <w:sz w:val="19"/>
        </w:rPr>
        <w:t> </w:t>
      </w:r>
      <w:r>
        <w:rPr>
          <w:rFonts w:ascii="Microsoft Sans Serif" w:hAnsi="Microsoft Sans Serif"/>
          <w:sz w:val="19"/>
        </w:rPr>
        <w:t>Classificação</w:t>
      </w:r>
      <w:r>
        <w:rPr>
          <w:rFonts w:ascii="Microsoft Sans Serif" w:hAnsi="Microsoft Sans Serif"/>
          <w:spacing w:val="19"/>
          <w:sz w:val="19"/>
        </w:rPr>
        <w:t> </w:t>
      </w:r>
      <w:r>
        <w:rPr>
          <w:rFonts w:ascii="Microsoft Sans Serif" w:hAnsi="Microsoft Sans Serif"/>
          <w:sz w:val="19"/>
        </w:rPr>
        <w:t>das</w:t>
      </w:r>
      <w:r>
        <w:rPr>
          <w:rFonts w:ascii="Microsoft Sans Serif" w:hAnsi="Microsoft Sans Serif"/>
          <w:spacing w:val="13"/>
          <w:sz w:val="19"/>
        </w:rPr>
        <w:t> </w:t>
      </w:r>
      <w:r>
        <w:rPr>
          <w:rFonts w:ascii="Microsoft Sans Serif" w:hAnsi="Microsoft Sans Serif"/>
          <w:sz w:val="19"/>
        </w:rPr>
        <w:t>dissecções</w:t>
      </w:r>
      <w:r>
        <w:rPr>
          <w:rFonts w:ascii="Microsoft Sans Serif" w:hAnsi="Microsoft Sans Serif"/>
          <w:spacing w:val="13"/>
          <w:sz w:val="19"/>
        </w:rPr>
        <w:t> </w:t>
      </w:r>
      <w:r>
        <w:rPr>
          <w:rFonts w:ascii="Microsoft Sans Serif" w:hAnsi="Microsoft Sans Serif"/>
          <w:sz w:val="19"/>
        </w:rPr>
        <w:t>da</w:t>
      </w:r>
      <w:r>
        <w:rPr>
          <w:rFonts w:ascii="Microsoft Sans Serif" w:hAnsi="Microsoft Sans Serif"/>
          <w:spacing w:val="19"/>
          <w:sz w:val="19"/>
        </w:rPr>
        <w:t> </w:t>
      </w:r>
      <w:r>
        <w:rPr>
          <w:rFonts w:ascii="Microsoft Sans Serif" w:hAnsi="Microsoft Sans Serif"/>
          <w:sz w:val="19"/>
        </w:rPr>
        <w:t>aorta</w:t>
      </w:r>
      <w:r>
        <w:rPr>
          <w:rFonts w:ascii="Microsoft Sans Serif" w:hAnsi="Microsoft Sans Serif"/>
          <w:spacing w:val="19"/>
          <w:sz w:val="19"/>
        </w:rPr>
        <w:t> </w:t>
      </w:r>
      <w:r>
        <w:rPr>
          <w:rFonts w:ascii="Microsoft Sans Serif" w:hAnsi="Microsoft Sans Serif"/>
          <w:sz w:val="19"/>
        </w:rPr>
        <w:t>proposta</w:t>
      </w:r>
      <w:r>
        <w:rPr>
          <w:rFonts w:ascii="Microsoft Sans Serif" w:hAnsi="Microsoft Sans Serif"/>
          <w:spacing w:val="19"/>
          <w:sz w:val="19"/>
        </w:rPr>
        <w:t> </w:t>
      </w:r>
      <w:r>
        <w:rPr>
          <w:rFonts w:ascii="Microsoft Sans Serif" w:hAnsi="Microsoft Sans Serif"/>
          <w:sz w:val="19"/>
        </w:rPr>
        <w:t>por</w:t>
      </w:r>
      <w:r>
        <w:rPr>
          <w:rFonts w:ascii="Microsoft Sans Serif" w:hAnsi="Microsoft Sans Serif"/>
          <w:spacing w:val="13"/>
          <w:sz w:val="19"/>
        </w:rPr>
        <w:t> </w:t>
      </w:r>
      <w:r>
        <w:rPr>
          <w:rFonts w:ascii="Microsoft Sans Serif" w:hAnsi="Microsoft Sans Serif"/>
          <w:sz w:val="19"/>
        </w:rPr>
        <w:t>DeBakey</w:t>
      </w:r>
      <w:r>
        <w:rPr>
          <w:rFonts w:ascii="Microsoft Sans Serif" w:hAnsi="Microsoft Sans Serif"/>
          <w:spacing w:val="13"/>
          <w:sz w:val="19"/>
        </w:rPr>
        <w:t> </w:t>
      </w:r>
      <w:r>
        <w:rPr>
          <w:rFonts w:ascii="Microsoft Sans Serif" w:hAnsi="Microsoft Sans Serif"/>
          <w:sz w:val="19"/>
        </w:rPr>
        <w:t>e</w:t>
      </w:r>
      <w:r>
        <w:rPr>
          <w:rFonts w:ascii="Microsoft Sans Serif" w:hAnsi="Microsoft Sans Serif"/>
          <w:spacing w:val="19"/>
          <w:sz w:val="19"/>
        </w:rPr>
        <w:t> </w:t>
      </w:r>
      <w:r>
        <w:rPr>
          <w:rFonts w:ascii="Microsoft Sans Serif" w:hAnsi="Microsoft Sans Serif"/>
          <w:sz w:val="19"/>
        </w:rPr>
        <w:t>Daily. Tipo</w:t>
      </w:r>
      <w:r>
        <w:rPr>
          <w:rFonts w:ascii="Microsoft Sans Serif" w:hAnsi="Microsoft Sans Serif"/>
          <w:spacing w:val="19"/>
          <w:sz w:val="19"/>
        </w:rPr>
        <w:t> </w:t>
      </w:r>
      <w:r>
        <w:rPr>
          <w:rFonts w:ascii="Microsoft Sans Serif" w:hAnsi="Microsoft Sans Serif"/>
          <w:sz w:val="19"/>
        </w:rPr>
        <w:t>I ou</w:t>
      </w:r>
      <w:r>
        <w:rPr>
          <w:rFonts w:ascii="Microsoft Sans Serif" w:hAnsi="Microsoft Sans Serif"/>
          <w:spacing w:val="19"/>
          <w:sz w:val="19"/>
        </w:rPr>
        <w:t> </w:t>
      </w:r>
      <w:r>
        <w:rPr>
          <w:rFonts w:ascii="Microsoft Sans Serif" w:hAnsi="Microsoft Sans Serif"/>
          <w:sz w:val="19"/>
        </w:rPr>
        <w:t>Stanford</w:t>
      </w:r>
      <w:r>
        <w:rPr>
          <w:rFonts w:ascii="Microsoft Sans Serif" w:hAnsi="Microsoft Sans Serif"/>
          <w:spacing w:val="19"/>
          <w:sz w:val="19"/>
        </w:rPr>
        <w:t> </w:t>
      </w:r>
      <w:r>
        <w:rPr>
          <w:rFonts w:ascii="Microsoft Sans Serif" w:hAnsi="Microsoft Sans Serif"/>
          <w:sz w:val="19"/>
        </w:rPr>
        <w:t>tipo</w:t>
      </w:r>
      <w:r>
        <w:rPr>
          <w:rFonts w:ascii="Microsoft Sans Serif" w:hAnsi="Microsoft Sans Serif"/>
          <w:spacing w:val="19"/>
          <w:sz w:val="19"/>
        </w:rPr>
        <w:t> </w:t>
      </w:r>
      <w:r>
        <w:rPr>
          <w:rFonts w:ascii="Microsoft Sans Serif" w:hAnsi="Microsoft Sans Serif"/>
          <w:sz w:val="19"/>
        </w:rPr>
        <w:t>A</w:t>
      </w:r>
      <w:r>
        <w:rPr>
          <w:rFonts w:ascii="Microsoft Sans Serif" w:hAnsi="Microsoft Sans Serif"/>
          <w:spacing w:val="13"/>
          <w:sz w:val="19"/>
        </w:rPr>
        <w:t> </w:t>
      </w:r>
      <w:r>
        <w:rPr>
          <w:rFonts w:ascii="Microsoft Sans Serif" w:hAnsi="Microsoft Sans Serif"/>
          <w:sz w:val="19"/>
        </w:rPr>
        <w:t>=</w:t>
      </w:r>
      <w:r>
        <w:rPr>
          <w:rFonts w:ascii="Microsoft Sans Serif" w:hAnsi="Microsoft Sans Serif"/>
          <w:spacing w:val="13"/>
          <w:sz w:val="19"/>
        </w:rPr>
        <w:t> </w:t>
      </w:r>
      <w:r>
        <w:rPr>
          <w:rFonts w:ascii="Microsoft Sans Serif" w:hAnsi="Microsoft Sans Serif"/>
          <w:sz w:val="19"/>
        </w:rPr>
        <w:t>delaminação da</w:t>
      </w:r>
      <w:r>
        <w:rPr>
          <w:rFonts w:ascii="Microsoft Sans Serif" w:hAnsi="Microsoft Sans Serif"/>
          <w:spacing w:val="18"/>
          <w:sz w:val="19"/>
        </w:rPr>
        <w:t> </w:t>
      </w:r>
      <w:r>
        <w:rPr>
          <w:rFonts w:ascii="Microsoft Sans Serif" w:hAnsi="Microsoft Sans Serif"/>
          <w:sz w:val="19"/>
        </w:rPr>
        <w:t>aorta</w:t>
      </w:r>
      <w:r>
        <w:rPr>
          <w:rFonts w:ascii="Microsoft Sans Serif" w:hAnsi="Microsoft Sans Serif"/>
          <w:spacing w:val="18"/>
          <w:sz w:val="19"/>
        </w:rPr>
        <w:t> </w:t>
      </w:r>
      <w:r>
        <w:rPr>
          <w:rFonts w:ascii="Microsoft Sans Serif" w:hAnsi="Microsoft Sans Serif"/>
          <w:sz w:val="19"/>
        </w:rPr>
        <w:t>ascendente</w:t>
      </w:r>
      <w:r>
        <w:rPr>
          <w:rFonts w:ascii="Microsoft Sans Serif" w:hAnsi="Microsoft Sans Serif"/>
          <w:spacing w:val="18"/>
          <w:sz w:val="19"/>
        </w:rPr>
        <w:t> </w:t>
      </w:r>
      <w:r>
        <w:rPr>
          <w:rFonts w:ascii="Microsoft Sans Serif" w:hAnsi="Microsoft Sans Serif"/>
          <w:sz w:val="19"/>
        </w:rPr>
        <w:t>que</w:t>
      </w:r>
      <w:r>
        <w:rPr>
          <w:rFonts w:ascii="Microsoft Sans Serif" w:hAnsi="Microsoft Sans Serif"/>
          <w:spacing w:val="18"/>
          <w:sz w:val="19"/>
        </w:rPr>
        <w:t> </w:t>
      </w:r>
      <w:r>
        <w:rPr>
          <w:rFonts w:ascii="Microsoft Sans Serif" w:hAnsi="Microsoft Sans Serif"/>
          <w:sz w:val="19"/>
        </w:rPr>
        <w:t>se</w:t>
      </w:r>
      <w:r>
        <w:rPr>
          <w:rFonts w:ascii="Microsoft Sans Serif" w:hAnsi="Microsoft Sans Serif"/>
          <w:spacing w:val="18"/>
          <w:sz w:val="19"/>
        </w:rPr>
        <w:t> </w:t>
      </w:r>
      <w:r>
        <w:rPr>
          <w:rFonts w:ascii="Microsoft Sans Serif" w:hAnsi="Microsoft Sans Serif"/>
          <w:sz w:val="19"/>
        </w:rPr>
        <w:t>estende</w:t>
      </w:r>
      <w:r>
        <w:rPr>
          <w:rFonts w:ascii="Microsoft Sans Serif" w:hAnsi="Microsoft Sans Serif"/>
          <w:spacing w:val="18"/>
          <w:sz w:val="19"/>
        </w:rPr>
        <w:t> </w:t>
      </w:r>
      <w:r>
        <w:rPr>
          <w:rFonts w:ascii="Microsoft Sans Serif" w:hAnsi="Microsoft Sans Serif"/>
          <w:sz w:val="19"/>
        </w:rPr>
        <w:t>por extensão</w:t>
      </w:r>
      <w:r>
        <w:rPr>
          <w:rFonts w:ascii="Microsoft Sans Serif" w:hAnsi="Microsoft Sans Serif"/>
          <w:spacing w:val="18"/>
          <w:sz w:val="19"/>
        </w:rPr>
        <w:t> </w:t>
      </w:r>
      <w:r>
        <w:rPr>
          <w:rFonts w:ascii="Microsoft Sans Serif" w:hAnsi="Microsoft Sans Serif"/>
          <w:sz w:val="19"/>
        </w:rPr>
        <w:t>variada</w:t>
      </w:r>
      <w:r>
        <w:rPr>
          <w:rFonts w:ascii="Microsoft Sans Serif" w:hAnsi="Microsoft Sans Serif"/>
          <w:spacing w:val="18"/>
          <w:sz w:val="19"/>
        </w:rPr>
        <w:t> </w:t>
      </w:r>
      <w:r>
        <w:rPr>
          <w:rFonts w:ascii="Microsoft Sans Serif" w:hAnsi="Microsoft Sans Serif"/>
          <w:sz w:val="19"/>
        </w:rPr>
        <w:t>da</w:t>
      </w:r>
      <w:r>
        <w:rPr>
          <w:rFonts w:ascii="Microsoft Sans Serif" w:hAnsi="Microsoft Sans Serif"/>
          <w:spacing w:val="18"/>
          <w:sz w:val="19"/>
        </w:rPr>
        <w:t> </w:t>
      </w:r>
      <w:r>
        <w:rPr>
          <w:rFonts w:ascii="Microsoft Sans Serif" w:hAnsi="Microsoft Sans Serif"/>
          <w:sz w:val="19"/>
        </w:rPr>
        <w:t>aorta</w:t>
      </w:r>
      <w:r>
        <w:rPr>
          <w:rFonts w:ascii="Microsoft Sans Serif" w:hAnsi="Microsoft Sans Serif"/>
          <w:spacing w:val="18"/>
          <w:sz w:val="19"/>
        </w:rPr>
        <w:t> </w:t>
      </w:r>
      <w:r>
        <w:rPr>
          <w:rFonts w:ascii="Microsoft Sans Serif" w:hAnsi="Microsoft Sans Serif"/>
          <w:sz w:val="19"/>
        </w:rPr>
        <w:t>descendente. Tipo</w:t>
      </w:r>
      <w:r>
        <w:rPr>
          <w:rFonts w:ascii="Microsoft Sans Serif" w:hAnsi="Microsoft Sans Serif"/>
          <w:spacing w:val="18"/>
          <w:sz w:val="19"/>
        </w:rPr>
        <w:t> </w:t>
      </w:r>
      <w:r>
        <w:rPr>
          <w:rFonts w:ascii="Microsoft Sans Serif" w:hAnsi="Microsoft Sans Serif"/>
          <w:sz w:val="19"/>
        </w:rPr>
        <w:t>II ou</w:t>
      </w:r>
      <w:r>
        <w:rPr>
          <w:rFonts w:ascii="Microsoft Sans Serif" w:hAnsi="Microsoft Sans Serif"/>
          <w:spacing w:val="18"/>
          <w:sz w:val="19"/>
        </w:rPr>
        <w:t> </w:t>
      </w:r>
      <w:r>
        <w:rPr>
          <w:rFonts w:ascii="Microsoft Sans Serif" w:hAnsi="Microsoft Sans Serif"/>
          <w:sz w:val="19"/>
        </w:rPr>
        <w:t>Stanford</w:t>
      </w:r>
      <w:r>
        <w:rPr>
          <w:rFonts w:ascii="Microsoft Sans Serif" w:hAnsi="Microsoft Sans Serif"/>
          <w:spacing w:val="18"/>
          <w:sz w:val="19"/>
        </w:rPr>
        <w:t> </w:t>
      </w:r>
      <w:r>
        <w:rPr>
          <w:rFonts w:ascii="Microsoft Sans Serif" w:hAnsi="Microsoft Sans Serif"/>
          <w:sz w:val="19"/>
        </w:rPr>
        <w:t>tipo</w:t>
      </w:r>
      <w:r>
        <w:rPr>
          <w:rFonts w:ascii="Microsoft Sans Serif" w:hAnsi="Microsoft Sans Serif"/>
          <w:spacing w:val="18"/>
          <w:sz w:val="19"/>
        </w:rPr>
        <w:t> </w:t>
      </w:r>
      <w:r>
        <w:rPr>
          <w:rFonts w:ascii="Microsoft Sans Serif" w:hAnsi="Microsoft Sans Serif"/>
          <w:sz w:val="19"/>
        </w:rPr>
        <w:t>A = delaminação da</w:t>
      </w:r>
      <w:r>
        <w:rPr>
          <w:rFonts w:ascii="Microsoft Sans Serif" w:hAnsi="Microsoft Sans Serif"/>
          <w:spacing w:val="20"/>
          <w:sz w:val="19"/>
        </w:rPr>
        <w:t> </w:t>
      </w:r>
      <w:r>
        <w:rPr>
          <w:rFonts w:ascii="Microsoft Sans Serif" w:hAnsi="Microsoft Sans Serif"/>
          <w:sz w:val="19"/>
        </w:rPr>
        <w:t>aorta</w:t>
      </w:r>
      <w:r>
        <w:rPr>
          <w:rFonts w:ascii="Microsoft Sans Serif" w:hAnsi="Microsoft Sans Serif"/>
          <w:spacing w:val="20"/>
          <w:sz w:val="19"/>
        </w:rPr>
        <w:t> </w:t>
      </w:r>
      <w:r>
        <w:rPr>
          <w:rFonts w:ascii="Microsoft Sans Serif" w:hAnsi="Microsoft Sans Serif"/>
          <w:sz w:val="19"/>
        </w:rPr>
        <w:t>ascendente</w:t>
      </w:r>
      <w:r>
        <w:rPr>
          <w:rFonts w:ascii="Microsoft Sans Serif" w:hAnsi="Microsoft Sans Serif"/>
          <w:spacing w:val="20"/>
          <w:sz w:val="19"/>
        </w:rPr>
        <w:t> </w:t>
      </w:r>
      <w:r>
        <w:rPr>
          <w:rFonts w:ascii="Microsoft Sans Serif" w:hAnsi="Microsoft Sans Serif"/>
          <w:sz w:val="19"/>
        </w:rPr>
        <w:t>que</w:t>
      </w:r>
      <w:r>
        <w:rPr>
          <w:rFonts w:ascii="Microsoft Sans Serif" w:hAnsi="Microsoft Sans Serif"/>
          <w:spacing w:val="20"/>
          <w:sz w:val="19"/>
        </w:rPr>
        <w:t> </w:t>
      </w:r>
      <w:r>
        <w:rPr>
          <w:rFonts w:ascii="Microsoft Sans Serif" w:hAnsi="Microsoft Sans Serif"/>
          <w:sz w:val="19"/>
        </w:rPr>
        <w:t>se</w:t>
      </w:r>
      <w:r>
        <w:rPr>
          <w:rFonts w:ascii="Microsoft Sans Serif" w:hAnsi="Microsoft Sans Serif"/>
          <w:spacing w:val="20"/>
          <w:sz w:val="19"/>
        </w:rPr>
        <w:t> </w:t>
      </w:r>
      <w:r>
        <w:rPr>
          <w:rFonts w:ascii="Microsoft Sans Serif" w:hAnsi="Microsoft Sans Serif"/>
          <w:sz w:val="19"/>
        </w:rPr>
        <w:t>restringe</w:t>
      </w:r>
      <w:r>
        <w:rPr>
          <w:rFonts w:ascii="Microsoft Sans Serif" w:hAnsi="Microsoft Sans Serif"/>
          <w:spacing w:val="20"/>
          <w:sz w:val="19"/>
        </w:rPr>
        <w:t> </w:t>
      </w:r>
      <w:r>
        <w:rPr>
          <w:rFonts w:ascii="Microsoft Sans Serif" w:hAnsi="Microsoft Sans Serif"/>
          <w:sz w:val="19"/>
        </w:rPr>
        <w:t>à</w:t>
      </w:r>
      <w:r>
        <w:rPr>
          <w:rFonts w:ascii="Microsoft Sans Serif" w:hAnsi="Microsoft Sans Serif"/>
          <w:spacing w:val="20"/>
          <w:sz w:val="19"/>
        </w:rPr>
        <w:t> </w:t>
      </w:r>
      <w:r>
        <w:rPr>
          <w:rFonts w:ascii="Microsoft Sans Serif" w:hAnsi="Microsoft Sans Serif"/>
          <w:sz w:val="19"/>
        </w:rPr>
        <w:t>aorta</w:t>
      </w:r>
      <w:r>
        <w:rPr>
          <w:rFonts w:ascii="Microsoft Sans Serif" w:hAnsi="Microsoft Sans Serif"/>
          <w:spacing w:val="20"/>
          <w:sz w:val="19"/>
        </w:rPr>
        <w:t> </w:t>
      </w:r>
      <w:r>
        <w:rPr>
          <w:rFonts w:ascii="Microsoft Sans Serif" w:hAnsi="Microsoft Sans Serif"/>
          <w:sz w:val="19"/>
        </w:rPr>
        <w:t>ascendente. Tipo</w:t>
      </w:r>
      <w:r>
        <w:rPr>
          <w:rFonts w:ascii="Microsoft Sans Serif" w:hAnsi="Microsoft Sans Serif"/>
          <w:spacing w:val="20"/>
          <w:sz w:val="19"/>
        </w:rPr>
        <w:t> </w:t>
      </w:r>
      <w:r>
        <w:rPr>
          <w:rFonts w:ascii="Microsoft Sans Serif" w:hAnsi="Microsoft Sans Serif"/>
          <w:sz w:val="19"/>
        </w:rPr>
        <w:t>III ou</w:t>
      </w:r>
      <w:r>
        <w:rPr>
          <w:rFonts w:ascii="Microsoft Sans Serif" w:hAnsi="Microsoft Sans Serif"/>
          <w:spacing w:val="20"/>
          <w:sz w:val="19"/>
        </w:rPr>
        <w:t> </w:t>
      </w:r>
      <w:r>
        <w:rPr>
          <w:rFonts w:ascii="Microsoft Sans Serif" w:hAnsi="Microsoft Sans Serif"/>
          <w:sz w:val="19"/>
        </w:rPr>
        <w:t>Stanford</w:t>
      </w:r>
      <w:r>
        <w:rPr>
          <w:rFonts w:ascii="Microsoft Sans Serif" w:hAnsi="Microsoft Sans Serif"/>
          <w:spacing w:val="20"/>
          <w:sz w:val="19"/>
        </w:rPr>
        <w:t> </w:t>
      </w:r>
      <w:r>
        <w:rPr>
          <w:rFonts w:ascii="Microsoft Sans Serif" w:hAnsi="Microsoft Sans Serif"/>
          <w:sz w:val="19"/>
        </w:rPr>
        <w:t>tipo</w:t>
      </w:r>
      <w:r>
        <w:rPr>
          <w:rFonts w:ascii="Microsoft Sans Serif" w:hAnsi="Microsoft Sans Serif"/>
          <w:spacing w:val="20"/>
          <w:sz w:val="19"/>
        </w:rPr>
        <w:t> </w:t>
      </w:r>
      <w:r>
        <w:rPr>
          <w:rFonts w:ascii="Microsoft Sans Serif" w:hAnsi="Microsoft Sans Serif"/>
          <w:sz w:val="19"/>
        </w:rPr>
        <w:t>B = delaminação</w:t>
      </w:r>
      <w:r>
        <w:rPr>
          <w:rFonts w:ascii="Microsoft Sans Serif" w:hAnsi="Microsoft Sans Serif"/>
          <w:spacing w:val="20"/>
          <w:sz w:val="19"/>
        </w:rPr>
        <w:t> </w:t>
      </w:r>
      <w:r>
        <w:rPr>
          <w:rFonts w:ascii="Microsoft Sans Serif" w:hAnsi="Microsoft Sans Serif"/>
          <w:sz w:val="19"/>
        </w:rPr>
        <w:t>da</w:t>
      </w:r>
      <w:r>
        <w:rPr>
          <w:rFonts w:ascii="Microsoft Sans Serif" w:hAnsi="Microsoft Sans Serif"/>
          <w:spacing w:val="20"/>
          <w:sz w:val="19"/>
        </w:rPr>
        <w:t> </w:t>
      </w:r>
      <w:r>
        <w:rPr>
          <w:rFonts w:ascii="Microsoft Sans Serif" w:hAnsi="Microsoft Sans Serif"/>
          <w:sz w:val="19"/>
        </w:rPr>
        <w:t>aorta</w:t>
      </w:r>
      <w:r>
        <w:rPr>
          <w:rFonts w:ascii="Microsoft Sans Serif" w:hAnsi="Microsoft Sans Serif"/>
          <w:spacing w:val="20"/>
          <w:sz w:val="19"/>
        </w:rPr>
        <w:t> </w:t>
      </w:r>
      <w:r>
        <w:rPr>
          <w:rFonts w:ascii="Microsoft Sans Serif" w:hAnsi="Microsoft Sans Serif"/>
          <w:sz w:val="19"/>
        </w:rPr>
        <w:t>descendente que se estende por extensão variada. IIIa = se for restrita à aorta descendente torácica e IIIb = se estender-se até a aorta </w:t>
      </w:r>
      <w:r>
        <w:rPr>
          <w:rFonts w:ascii="Microsoft Sans Serif" w:hAnsi="Microsoft Sans Serif"/>
          <w:spacing w:val="-2"/>
          <w:sz w:val="19"/>
        </w:rPr>
        <w:t>abdominal.</w:t>
      </w:r>
    </w:p>
    <w:p>
      <w:pPr>
        <w:pStyle w:val="BodyText"/>
        <w:spacing w:before="66"/>
        <w:ind w:left="0" w:firstLine="0"/>
        <w:jc w:val="left"/>
        <w:rPr>
          <w:rFonts w:ascii="Microsoft Sans Serif"/>
          <w:sz w:val="19"/>
        </w:rPr>
      </w:pPr>
    </w:p>
    <w:p>
      <w:pPr>
        <w:pStyle w:val="BodyText"/>
        <w:spacing w:line="276" w:lineRule="auto" w:before="0"/>
        <w:ind w:right="491"/>
      </w:pPr>
      <w:r>
        <w:rPr/>
        <w:t>O reconhecimento dessas classificações é necessário, pois será importante no tratamento a ser empregado, em função</w:t>
      </w:r>
      <w:r>
        <w:rPr>
          <w:spacing w:val="-1"/>
        </w:rPr>
        <w:t> </w:t>
      </w:r>
      <w:r>
        <w:rPr/>
        <w:t>da</w:t>
      </w:r>
      <w:r>
        <w:rPr>
          <w:spacing w:val="-4"/>
        </w:rPr>
        <w:t> </w:t>
      </w:r>
      <w:r>
        <w:rPr/>
        <w:t>diferença</w:t>
      </w:r>
      <w:r>
        <w:rPr>
          <w:spacing w:val="-4"/>
        </w:rPr>
        <w:t> </w:t>
      </w:r>
      <w:r>
        <w:rPr/>
        <w:t>de</w:t>
      </w:r>
      <w:r>
        <w:rPr>
          <w:spacing w:val="-4"/>
        </w:rPr>
        <w:t> </w:t>
      </w:r>
      <w:r>
        <w:rPr/>
        <w:t>comportamento</w:t>
      </w:r>
      <w:r>
        <w:rPr>
          <w:spacing w:val="-1"/>
        </w:rPr>
        <w:t> </w:t>
      </w:r>
      <w:r>
        <w:rPr/>
        <w:t>da</w:t>
      </w:r>
      <w:r>
        <w:rPr>
          <w:spacing w:val="-4"/>
        </w:rPr>
        <w:t> </w:t>
      </w:r>
      <w:r>
        <w:rPr/>
        <w:t>moléstia</w:t>
      </w:r>
      <w:r>
        <w:rPr>
          <w:spacing w:val="-4"/>
        </w:rPr>
        <w:t> </w:t>
      </w:r>
      <w:r>
        <w:rPr/>
        <w:t>conforme</w:t>
      </w:r>
      <w:r>
        <w:rPr>
          <w:spacing w:val="-4"/>
        </w:rPr>
        <w:t> </w:t>
      </w:r>
      <w:r>
        <w:rPr/>
        <w:t>sua</w:t>
      </w:r>
      <w:r>
        <w:rPr>
          <w:spacing w:val="-4"/>
        </w:rPr>
        <w:t> </w:t>
      </w:r>
      <w:r>
        <w:rPr/>
        <w:t>localização</w:t>
      </w:r>
      <w:r>
        <w:rPr>
          <w:spacing w:val="-1"/>
        </w:rPr>
        <w:t> </w:t>
      </w:r>
      <w:r>
        <w:rPr/>
        <w:t>e</w:t>
      </w:r>
      <w:r>
        <w:rPr>
          <w:spacing w:val="-4"/>
        </w:rPr>
        <w:t> </w:t>
      </w:r>
      <w:r>
        <w:rPr/>
        <w:t>tempo</w:t>
      </w:r>
      <w:r>
        <w:rPr>
          <w:spacing w:val="-1"/>
        </w:rPr>
        <w:t> </w:t>
      </w:r>
      <w:r>
        <w:rPr/>
        <w:t>do</w:t>
      </w:r>
      <w:r>
        <w:rPr>
          <w:spacing w:val="-1"/>
        </w:rPr>
        <w:t> </w:t>
      </w:r>
      <w:r>
        <w:rPr/>
        <w:t>acometimento.</w:t>
      </w:r>
    </w:p>
    <w:p>
      <w:pPr>
        <w:pStyle w:val="BodyText"/>
        <w:spacing w:before="118"/>
        <w:ind w:left="0" w:firstLine="0"/>
        <w:jc w:val="left"/>
      </w:pPr>
    </w:p>
    <w:p>
      <w:pPr>
        <w:pStyle w:val="Heading5"/>
        <w:jc w:val="both"/>
      </w:pPr>
      <w:r>
        <w:rPr>
          <w:color w:val="A26108"/>
        </w:rPr>
        <w:t>Manifestações</w:t>
      </w:r>
      <w:r>
        <w:rPr>
          <w:color w:val="A26108"/>
          <w:spacing w:val="43"/>
        </w:rPr>
        <w:t> </w:t>
      </w:r>
      <w:r>
        <w:rPr>
          <w:color w:val="A26108"/>
          <w:spacing w:val="-2"/>
        </w:rPr>
        <w:t>clínicas</w:t>
      </w:r>
    </w:p>
    <w:p>
      <w:pPr>
        <w:pStyle w:val="BodyText"/>
        <w:spacing w:line="278" w:lineRule="auto" w:before="138"/>
        <w:ind w:right="488"/>
      </w:pPr>
      <w:r>
        <w:rPr/>
        <w:t>A maioria dos pacientes portadores de dissecção aguda da aorta apresenta dor intensa, de início súbito, de caráter migratório e geralmente descrita como sensação de rasgamento ou pontada. A localização inicial da dor sugere o local do início da dissecção. Nas dissecções proximais, a dor começa no precórdio, irradia-se para pescoço, braços, mandíbula, antes de migrar para as costas, região lombar ou membros inferiores. Nas dissecções distais, é preferencialmente referida como dor nas costas, irradiada para dorso, abdome ou membros inferiores. Difere da isquemia miocárdica pela infrequente associação com náuseas e vômitos, pela intensidade crescente e possível isquemia de territórios adjacentes.</w:t>
      </w:r>
      <w:r>
        <w:rPr>
          <w:vertAlign w:val="superscript"/>
        </w:rPr>
        <w:t>32–34</w:t>
      </w:r>
    </w:p>
    <w:p>
      <w:pPr>
        <w:pStyle w:val="BodyText"/>
        <w:spacing w:line="278" w:lineRule="auto" w:before="63"/>
        <w:ind w:right="491"/>
      </w:pPr>
      <w:r>
        <w:rPr/>
        <w:t>O</w:t>
      </w:r>
      <w:r>
        <w:rPr>
          <w:spacing w:val="-14"/>
        </w:rPr>
        <w:t> </w:t>
      </w:r>
      <w:r>
        <w:rPr/>
        <w:t>acometimento</w:t>
      </w:r>
      <w:r>
        <w:rPr>
          <w:spacing w:val="-11"/>
        </w:rPr>
        <w:t> </w:t>
      </w:r>
      <w:r>
        <w:rPr/>
        <w:t>das</w:t>
      </w:r>
      <w:r>
        <w:rPr>
          <w:spacing w:val="-4"/>
        </w:rPr>
        <w:t> </w:t>
      </w:r>
      <w:r>
        <w:rPr/>
        <w:t>artérias</w:t>
      </w:r>
      <w:r>
        <w:rPr>
          <w:spacing w:val="-4"/>
        </w:rPr>
        <w:t> </w:t>
      </w:r>
      <w:r>
        <w:rPr/>
        <w:t>emergentes</w:t>
      </w:r>
      <w:r>
        <w:rPr>
          <w:spacing w:val="-4"/>
        </w:rPr>
        <w:t> </w:t>
      </w:r>
      <w:r>
        <w:rPr/>
        <w:t>da</w:t>
      </w:r>
      <w:r>
        <w:rPr>
          <w:spacing w:val="-14"/>
        </w:rPr>
        <w:t> </w:t>
      </w:r>
      <w:r>
        <w:rPr/>
        <w:t>aorta</w:t>
      </w:r>
      <w:r>
        <w:rPr>
          <w:spacing w:val="-14"/>
        </w:rPr>
        <w:t> </w:t>
      </w:r>
      <w:r>
        <w:rPr/>
        <w:t>ocorre</w:t>
      </w:r>
      <w:r>
        <w:rPr>
          <w:spacing w:val="-14"/>
        </w:rPr>
        <w:t> </w:t>
      </w:r>
      <w:r>
        <w:rPr/>
        <w:t>em</w:t>
      </w:r>
      <w:r>
        <w:rPr>
          <w:spacing w:val="-11"/>
        </w:rPr>
        <w:t> </w:t>
      </w:r>
      <w:r>
        <w:rPr/>
        <w:t>aproximadamente</w:t>
      </w:r>
      <w:r>
        <w:rPr>
          <w:spacing w:val="-14"/>
        </w:rPr>
        <w:t> </w:t>
      </w:r>
      <w:r>
        <w:rPr/>
        <w:t>30%</w:t>
      </w:r>
      <w:r>
        <w:rPr>
          <w:spacing w:val="-9"/>
        </w:rPr>
        <w:t> </w:t>
      </w:r>
      <w:r>
        <w:rPr/>
        <w:t>dos</w:t>
      </w:r>
      <w:r>
        <w:rPr>
          <w:spacing w:val="-4"/>
        </w:rPr>
        <w:t> </w:t>
      </w:r>
      <w:r>
        <w:rPr/>
        <w:t>pacientes</w:t>
      </w:r>
      <w:r>
        <w:rPr>
          <w:spacing w:val="-4"/>
        </w:rPr>
        <w:t> </w:t>
      </w:r>
      <w:r>
        <w:rPr/>
        <w:t>com</w:t>
      </w:r>
      <w:r>
        <w:rPr>
          <w:spacing w:val="-11"/>
        </w:rPr>
        <w:t> </w:t>
      </w:r>
      <w:r>
        <w:rPr/>
        <w:t>dissecção da aorta. O prejuízo da perfusão coronariana caracterizando angina pode ocorrer em até 3% dos pacientes; o comprometimento dos vasos do arco aórtico resultando em agitação psicomotora, perda da consciência e acidente vascular cerebral pode acometer até 7% dos pacientes; o déficit motor em membros inferiores secundários à isquemia medular, em 1 a 2,5% dos pacientes; a insuficiência renal ocorre em 6 a 8% dos pacientes; a angina abdominal por isquemia mesentérica, em 1,5%; e a isquemia de membros inferiores por prejuízo da perfusão iliacofemoral, em 13% dos pacientes.</w:t>
      </w:r>
      <w:r>
        <w:rPr>
          <w:vertAlign w:val="superscript"/>
        </w:rPr>
        <w:t>32–34</w:t>
      </w:r>
    </w:p>
    <w:p>
      <w:pPr>
        <w:pStyle w:val="BodyText"/>
        <w:spacing w:line="283" w:lineRule="auto" w:before="46"/>
        <w:ind w:right="498"/>
      </w:pPr>
      <w:r>
        <w:rPr/>
        <w:t>O comprometimento da valva aórtica ocorre em torno de dois terços dos pacientes com dissecção proximal, sendo que, em mais da metade dos casos, a insuficiência valvar é importante e acompanhada de dispneia, pela insuficiência cardíaca secundária à regurgitação aórtica.</w:t>
      </w:r>
      <w:r>
        <w:rPr>
          <w:vertAlign w:val="superscript"/>
        </w:rPr>
        <w:t>32–34</w:t>
      </w:r>
    </w:p>
    <w:p>
      <w:pPr>
        <w:pStyle w:val="BodyText"/>
        <w:spacing w:line="276" w:lineRule="auto" w:before="57"/>
        <w:ind w:right="498"/>
      </w:pPr>
      <w:r>
        <w:rPr/>
        <w:t>O tamponamento cardíaco, um dos principais responsáveis pela instabilidade hemodinâmica desses pacientes com comprometimento proximal da aorta, pode se apresentar em 20 a 40% dos casos, variando conforme a brevidade do diagnóstico e o encaminhamento do paciente para a correção cirúrgica. Pode também ocorrer ruptura da</w:t>
      </w:r>
      <w:r>
        <w:rPr>
          <w:spacing w:val="80"/>
        </w:rPr>
        <w:t> </w:t>
      </w:r>
      <w:r>
        <w:rPr/>
        <w:t>aorta</w:t>
      </w:r>
      <w:r>
        <w:rPr>
          <w:spacing w:val="80"/>
        </w:rPr>
        <w:t> </w:t>
      </w:r>
      <w:r>
        <w:rPr/>
        <w:t>descendente</w:t>
      </w:r>
      <w:r>
        <w:rPr>
          <w:spacing w:val="80"/>
        </w:rPr>
        <w:t> </w:t>
      </w:r>
      <w:r>
        <w:rPr/>
        <w:t>ou</w:t>
      </w:r>
      <w:r>
        <w:rPr>
          <w:spacing w:val="80"/>
        </w:rPr>
        <w:t> </w:t>
      </w:r>
      <w:r>
        <w:rPr/>
        <w:t>abdominal,</w:t>
      </w:r>
      <w:r>
        <w:rPr>
          <w:spacing w:val="72"/>
          <w:w w:val="150"/>
        </w:rPr>
        <w:t> </w:t>
      </w:r>
      <w:r>
        <w:rPr/>
        <w:t>manifestada</w:t>
      </w:r>
      <w:r>
        <w:rPr>
          <w:spacing w:val="80"/>
        </w:rPr>
        <w:t> </w:t>
      </w:r>
      <w:r>
        <w:rPr/>
        <w:t>por</w:t>
      </w:r>
      <w:r>
        <w:rPr>
          <w:spacing w:val="70"/>
          <w:w w:val="150"/>
        </w:rPr>
        <w:t> </w:t>
      </w:r>
      <w:r>
        <w:rPr/>
        <w:t>hemotórax,</w:t>
      </w:r>
      <w:r>
        <w:rPr>
          <w:spacing w:val="72"/>
          <w:w w:val="150"/>
        </w:rPr>
        <w:t> </w:t>
      </w:r>
      <w:r>
        <w:rPr/>
        <w:t>hemoperitônio</w:t>
      </w:r>
      <w:r>
        <w:rPr>
          <w:spacing w:val="80"/>
        </w:rPr>
        <w:t> </w:t>
      </w:r>
      <w:r>
        <w:rPr/>
        <w:t>ou</w:t>
      </w:r>
      <w:r>
        <w:rPr>
          <w:spacing w:val="80"/>
        </w:rPr>
        <w:t> </w:t>
      </w:r>
      <w:r>
        <w:rPr/>
        <w:t>sangramento</w:t>
      </w:r>
      <w:r>
        <w:rPr>
          <w:spacing w:val="80"/>
        </w:rPr>
        <w:t> </w:t>
      </w:r>
      <w:r>
        <w:rPr/>
        <w:t>para</w:t>
      </w:r>
      <w:r>
        <w:rPr>
          <w:spacing w:val="80"/>
        </w:rPr>
        <w:t> </w:t>
      </w:r>
      <w:r>
        <w:rPr/>
        <w:t>o</w:t>
      </w:r>
    </w:p>
    <w:p>
      <w:pPr>
        <w:pStyle w:val="BodyText"/>
        <w:spacing w:after="0" w:line="276" w:lineRule="auto"/>
        <w:sectPr>
          <w:pgSz w:w="11900" w:h="16840"/>
          <w:pgMar w:top="200" w:bottom="280" w:left="566" w:right="141"/>
        </w:sectPr>
      </w:pPr>
    </w:p>
    <w:p>
      <w:pPr>
        <w:pStyle w:val="BodyText"/>
        <w:spacing w:before="79"/>
        <w:ind w:firstLine="0"/>
        <w:jc w:val="left"/>
      </w:pPr>
      <w:r>
        <w:rPr>
          <w:spacing w:val="-2"/>
        </w:rPr>
        <w:t>retroperitônio.</w:t>
      </w:r>
      <w:r>
        <w:rPr>
          <w:spacing w:val="-2"/>
          <w:vertAlign w:val="superscript"/>
        </w:rPr>
        <w:t>32–</w:t>
      </w:r>
      <w:r>
        <w:rPr>
          <w:spacing w:val="-5"/>
          <w:vertAlign w:val="superscript"/>
        </w:rPr>
        <w:t>34</w:t>
      </w:r>
    </w:p>
    <w:p>
      <w:pPr>
        <w:pStyle w:val="BodyText"/>
        <w:spacing w:before="173"/>
        <w:ind w:left="0" w:firstLine="0"/>
        <w:jc w:val="left"/>
      </w:pPr>
    </w:p>
    <w:p>
      <w:pPr>
        <w:pStyle w:val="Heading5"/>
        <w:spacing w:before="1"/>
      </w:pPr>
      <w:r>
        <w:rPr>
          <w:color w:val="A26108"/>
        </w:rPr>
        <w:t>História</w:t>
      </w:r>
      <w:r>
        <w:rPr>
          <w:color w:val="A26108"/>
          <w:spacing w:val="19"/>
        </w:rPr>
        <w:t> </w:t>
      </w:r>
      <w:r>
        <w:rPr>
          <w:color w:val="A26108"/>
        </w:rPr>
        <w:t>natural</w:t>
      </w:r>
      <w:r>
        <w:rPr>
          <w:color w:val="A26108"/>
          <w:spacing w:val="19"/>
        </w:rPr>
        <w:t> </w:t>
      </w:r>
      <w:r>
        <w:rPr>
          <w:color w:val="A26108"/>
        </w:rPr>
        <w:t>e</w:t>
      </w:r>
      <w:r>
        <w:rPr>
          <w:color w:val="A26108"/>
          <w:spacing w:val="19"/>
        </w:rPr>
        <w:t> </w:t>
      </w:r>
      <w:r>
        <w:rPr>
          <w:color w:val="A26108"/>
        </w:rPr>
        <w:t>conduta</w:t>
      </w:r>
      <w:r>
        <w:rPr>
          <w:color w:val="A26108"/>
          <w:spacing w:val="20"/>
        </w:rPr>
        <w:t> </w:t>
      </w:r>
      <w:r>
        <w:rPr>
          <w:color w:val="A26108"/>
          <w:spacing w:val="-2"/>
        </w:rPr>
        <w:t>terapêutica</w:t>
      </w:r>
    </w:p>
    <w:p>
      <w:pPr>
        <w:pStyle w:val="BodyText"/>
        <w:spacing w:line="278" w:lineRule="auto" w:before="138"/>
        <w:ind w:right="497"/>
      </w:pPr>
      <w:r>
        <w:rPr/>
        <w:t>As dissecções agudas proximais (tipos I e</w:t>
      </w:r>
      <w:r>
        <w:rPr>
          <w:spacing w:val="-8"/>
        </w:rPr>
        <w:t> </w:t>
      </w:r>
      <w:r>
        <w:rPr/>
        <w:t>II de</w:t>
      </w:r>
      <w:r>
        <w:rPr>
          <w:spacing w:val="-8"/>
        </w:rPr>
        <w:t> </w:t>
      </w:r>
      <w:r>
        <w:rPr/>
        <w:t>DeBakey</w:t>
      </w:r>
      <w:r>
        <w:rPr>
          <w:spacing w:val="-5"/>
        </w:rPr>
        <w:t> </w:t>
      </w:r>
      <w:r>
        <w:rPr/>
        <w:t>ou</w:t>
      </w:r>
      <w:r>
        <w:rPr>
          <w:spacing w:val="-5"/>
        </w:rPr>
        <w:t> </w:t>
      </w:r>
      <w:r>
        <w:rPr/>
        <w:t>Stanford</w:t>
      </w:r>
      <w:r>
        <w:rPr>
          <w:spacing w:val="-5"/>
        </w:rPr>
        <w:t> </w:t>
      </w:r>
      <w:r>
        <w:rPr/>
        <w:t>tipo</w:t>
      </w:r>
      <w:r>
        <w:rPr>
          <w:spacing w:val="-5"/>
        </w:rPr>
        <w:t> </w:t>
      </w:r>
      <w:r>
        <w:rPr/>
        <w:t>A) deverão</w:t>
      </w:r>
      <w:r>
        <w:rPr>
          <w:spacing w:val="-5"/>
        </w:rPr>
        <w:t> </w:t>
      </w:r>
      <w:r>
        <w:rPr/>
        <w:t>sempre</w:t>
      </w:r>
      <w:r>
        <w:rPr>
          <w:spacing w:val="-8"/>
        </w:rPr>
        <w:t> </w:t>
      </w:r>
      <w:r>
        <w:rPr/>
        <w:t>ser encaminhadas para cirurgia o mais precocemente possível pela sua história natural: o risco de ruptura nas primeiras 24 a 48 h varia de 1 a 2% por hora e no final de 2 semanas apresenta mortalidade variável em 60 a 90% dos casos.</w:t>
      </w:r>
      <w:r>
        <w:rPr>
          <w:vertAlign w:val="superscript"/>
        </w:rPr>
        <w:t>35</w:t>
      </w:r>
      <w:r>
        <w:rPr>
          <w:vertAlign w:val="baseline"/>
        </w:rPr>
        <w:t> Já as dissecções distais (tipo III de DeBakey ou Stanford tipo B) apresentam comportamento mais benigno na fase aguda, com mortalidade em torno de 10%, não justificando o tratamento cirúrgico, a não ser quando associadas às suas complicações de ruptura ou isquemia.</w:t>
      </w:r>
    </w:p>
    <w:p>
      <w:pPr>
        <w:pStyle w:val="BodyText"/>
        <w:spacing w:line="276" w:lineRule="auto" w:before="49"/>
        <w:ind w:right="497"/>
      </w:pPr>
      <w:r>
        <w:rPr/>
        <w:t>Quando a dissecção da aorta for crônica, as indicações do tratamento cirúrgico serão as mesmas das utilizadas para os aneurismas da aorta. Vale ressaltar que as dilatações secundárias à dissecção da aorta apresentam ruptura com diâmetros menores que</w:t>
      </w:r>
      <w:r>
        <w:rPr>
          <w:spacing w:val="-2"/>
        </w:rPr>
        <w:t> </w:t>
      </w:r>
      <w:r>
        <w:rPr/>
        <w:t>aquelas secundárias ao aneurisma</w:t>
      </w:r>
      <w:r>
        <w:rPr>
          <w:spacing w:val="-2"/>
        </w:rPr>
        <w:t> </w:t>
      </w:r>
      <w:r>
        <w:rPr/>
        <w:t>verdadeiro da</w:t>
      </w:r>
      <w:r>
        <w:rPr>
          <w:spacing w:val="-2"/>
        </w:rPr>
        <w:t> </w:t>
      </w:r>
      <w:r>
        <w:rPr/>
        <w:t>aorta.</w:t>
      </w:r>
    </w:p>
    <w:p>
      <w:pPr>
        <w:pStyle w:val="BodyText"/>
        <w:spacing w:before="133"/>
        <w:ind w:left="0" w:firstLine="0"/>
        <w:jc w:val="left"/>
      </w:pPr>
    </w:p>
    <w:p>
      <w:pPr>
        <w:pStyle w:val="Heading5"/>
        <w:spacing w:before="1"/>
      </w:pPr>
      <w:r>
        <w:rPr>
          <w:color w:val="A26108"/>
        </w:rPr>
        <w:t>Variantes</w:t>
      </w:r>
      <w:r>
        <w:rPr>
          <w:color w:val="A26108"/>
          <w:spacing w:val="20"/>
        </w:rPr>
        <w:t> </w:t>
      </w:r>
      <w:r>
        <w:rPr>
          <w:color w:val="A26108"/>
        </w:rPr>
        <w:t>das</w:t>
      </w:r>
      <w:r>
        <w:rPr>
          <w:color w:val="A26108"/>
          <w:spacing w:val="20"/>
        </w:rPr>
        <w:t> </w:t>
      </w:r>
      <w:r>
        <w:rPr>
          <w:color w:val="A26108"/>
        </w:rPr>
        <w:t>dissecções</w:t>
      </w:r>
      <w:r>
        <w:rPr>
          <w:color w:val="A26108"/>
          <w:spacing w:val="20"/>
        </w:rPr>
        <w:t> </w:t>
      </w:r>
      <w:r>
        <w:rPr>
          <w:color w:val="A26108"/>
        </w:rPr>
        <w:t>da</w:t>
      </w:r>
      <w:r>
        <w:rPr>
          <w:color w:val="A26108"/>
          <w:spacing w:val="21"/>
        </w:rPr>
        <w:t> </w:t>
      </w:r>
      <w:r>
        <w:rPr>
          <w:color w:val="A26108"/>
        </w:rPr>
        <w:t>aorta</w:t>
      </w:r>
      <w:r>
        <w:rPr>
          <w:color w:val="A26108"/>
          <w:spacing w:val="20"/>
        </w:rPr>
        <w:t> </w:t>
      </w:r>
      <w:r>
        <w:rPr>
          <w:color w:val="A26108"/>
          <w:spacing w:val="-2"/>
        </w:rPr>
        <w:t>torácica</w:t>
      </w:r>
    </w:p>
    <w:p>
      <w:pPr>
        <w:pStyle w:val="Heading7"/>
        <w:spacing w:before="138"/>
      </w:pPr>
      <w:r>
        <w:rPr>
          <w:color w:val="242B67"/>
        </w:rPr>
        <w:t>Úlceras ateroscleróticas </w:t>
      </w:r>
      <w:r>
        <w:rPr>
          <w:color w:val="242B67"/>
          <w:spacing w:val="-2"/>
        </w:rPr>
        <w:t>penetrantes</w:t>
      </w:r>
    </w:p>
    <w:p>
      <w:pPr>
        <w:pStyle w:val="BodyText"/>
        <w:spacing w:line="278" w:lineRule="auto" w:before="142"/>
        <w:ind w:right="497"/>
      </w:pPr>
      <w:r>
        <w:rPr/>
        <w:t>Descritas</w:t>
      </w:r>
      <w:r>
        <w:rPr>
          <w:spacing w:val="-3"/>
        </w:rPr>
        <w:t> </w:t>
      </w:r>
      <w:r>
        <w:rPr/>
        <w:t>pela</w:t>
      </w:r>
      <w:r>
        <w:rPr>
          <w:spacing w:val="-13"/>
        </w:rPr>
        <w:t> </w:t>
      </w:r>
      <w:r>
        <w:rPr/>
        <w:t>primeira</w:t>
      </w:r>
      <w:r>
        <w:rPr>
          <w:spacing w:val="-13"/>
        </w:rPr>
        <w:t> </w:t>
      </w:r>
      <w:r>
        <w:rPr/>
        <w:t>vez</w:t>
      </w:r>
      <w:r>
        <w:rPr>
          <w:spacing w:val="-13"/>
        </w:rPr>
        <w:t> </w:t>
      </w:r>
      <w:r>
        <w:rPr/>
        <w:t>por</w:t>
      </w:r>
      <w:r>
        <w:rPr>
          <w:spacing w:val="-6"/>
        </w:rPr>
        <w:t> </w:t>
      </w:r>
      <w:r>
        <w:rPr/>
        <w:t>Shennan</w:t>
      </w:r>
      <w:r>
        <w:rPr>
          <w:spacing w:val="-11"/>
        </w:rPr>
        <w:t> </w:t>
      </w:r>
      <w:r>
        <w:rPr/>
        <w:t>em</w:t>
      </w:r>
      <w:r>
        <w:rPr>
          <w:spacing w:val="-11"/>
        </w:rPr>
        <w:t> </w:t>
      </w:r>
      <w:r>
        <w:rPr/>
        <w:t>1934,</w:t>
      </w:r>
      <w:r>
        <w:rPr>
          <w:vertAlign w:val="superscript"/>
        </w:rPr>
        <w:t>36</w:t>
      </w:r>
      <w:r>
        <w:rPr>
          <w:spacing w:val="-2"/>
          <w:vertAlign w:val="baseline"/>
        </w:rPr>
        <w:t> </w:t>
      </w:r>
      <w:r>
        <w:rPr>
          <w:vertAlign w:val="baseline"/>
        </w:rPr>
        <w:t>as</w:t>
      </w:r>
      <w:r>
        <w:rPr>
          <w:spacing w:val="-1"/>
          <w:vertAlign w:val="baseline"/>
        </w:rPr>
        <w:t> </w:t>
      </w:r>
      <w:r>
        <w:rPr>
          <w:vertAlign w:val="baseline"/>
        </w:rPr>
        <w:t>úlceras</w:t>
      </w:r>
      <w:r>
        <w:rPr>
          <w:spacing w:val="-1"/>
          <w:vertAlign w:val="baseline"/>
        </w:rPr>
        <w:t> </w:t>
      </w:r>
      <w:r>
        <w:rPr>
          <w:vertAlign w:val="baseline"/>
        </w:rPr>
        <w:t>ateroscleróticas</w:t>
      </w:r>
      <w:r>
        <w:rPr>
          <w:spacing w:val="-1"/>
          <w:vertAlign w:val="baseline"/>
        </w:rPr>
        <w:t> </w:t>
      </w:r>
      <w:r>
        <w:rPr>
          <w:vertAlign w:val="baseline"/>
        </w:rPr>
        <w:t>penetrantes</w:t>
      </w:r>
      <w:r>
        <w:rPr>
          <w:spacing w:val="-1"/>
          <w:vertAlign w:val="baseline"/>
        </w:rPr>
        <w:t> </w:t>
      </w:r>
      <w:r>
        <w:rPr>
          <w:vertAlign w:val="baseline"/>
        </w:rPr>
        <w:t>(UAP)</w:t>
      </w:r>
      <w:r>
        <w:rPr>
          <w:spacing w:val="-3"/>
          <w:vertAlign w:val="baseline"/>
        </w:rPr>
        <w:t> </w:t>
      </w:r>
      <w:r>
        <w:rPr>
          <w:vertAlign w:val="baseline"/>
        </w:rPr>
        <w:t>caracterizam-se por apresentarem placas ateromatosas que ulceram e desorganizam a lâmina elástica interna, penetrando profundamente</w:t>
      </w:r>
      <w:r>
        <w:rPr>
          <w:spacing w:val="-13"/>
          <w:vertAlign w:val="baseline"/>
        </w:rPr>
        <w:t> </w:t>
      </w:r>
      <w:r>
        <w:rPr>
          <w:vertAlign w:val="baseline"/>
        </w:rPr>
        <w:t>por</w:t>
      </w:r>
      <w:r>
        <w:rPr>
          <w:spacing w:val="-7"/>
          <w:vertAlign w:val="baseline"/>
        </w:rPr>
        <w:t> </w:t>
      </w:r>
      <w:r>
        <w:rPr>
          <w:vertAlign w:val="baseline"/>
        </w:rPr>
        <w:t>meio</w:t>
      </w:r>
      <w:r>
        <w:rPr>
          <w:spacing w:val="-11"/>
          <w:vertAlign w:val="baseline"/>
        </w:rPr>
        <w:t> </w:t>
      </w:r>
      <w:r>
        <w:rPr>
          <w:vertAlign w:val="baseline"/>
        </w:rPr>
        <w:t>da</w:t>
      </w:r>
      <w:r>
        <w:rPr>
          <w:spacing w:val="-13"/>
          <w:vertAlign w:val="baseline"/>
        </w:rPr>
        <w:t> </w:t>
      </w:r>
      <w:r>
        <w:rPr>
          <w:vertAlign w:val="baseline"/>
        </w:rPr>
        <w:t>íntima</w:t>
      </w:r>
      <w:r>
        <w:rPr>
          <w:spacing w:val="-13"/>
          <w:vertAlign w:val="baseline"/>
        </w:rPr>
        <w:t> </w:t>
      </w:r>
      <w:r>
        <w:rPr>
          <w:vertAlign w:val="baseline"/>
        </w:rPr>
        <w:t>até</w:t>
      </w:r>
      <w:r>
        <w:rPr>
          <w:spacing w:val="-13"/>
          <w:vertAlign w:val="baseline"/>
        </w:rPr>
        <w:t> </w:t>
      </w:r>
      <w:r>
        <w:rPr>
          <w:vertAlign w:val="baseline"/>
        </w:rPr>
        <w:t>a</w:t>
      </w:r>
      <w:r>
        <w:rPr>
          <w:spacing w:val="-13"/>
          <w:vertAlign w:val="baseline"/>
        </w:rPr>
        <w:t> </w:t>
      </w:r>
      <w:r>
        <w:rPr>
          <w:vertAlign w:val="baseline"/>
        </w:rPr>
        <w:t>camada</w:t>
      </w:r>
      <w:r>
        <w:rPr>
          <w:spacing w:val="-13"/>
          <w:vertAlign w:val="baseline"/>
        </w:rPr>
        <w:t> </w:t>
      </w:r>
      <w:r>
        <w:rPr>
          <w:vertAlign w:val="baseline"/>
        </w:rPr>
        <w:t>média</w:t>
      </w:r>
      <w:r>
        <w:rPr>
          <w:spacing w:val="-13"/>
          <w:vertAlign w:val="baseline"/>
        </w:rPr>
        <w:t> </w:t>
      </w:r>
      <w:r>
        <w:rPr>
          <w:vertAlign w:val="baseline"/>
        </w:rPr>
        <w:t>da</w:t>
      </w:r>
      <w:r>
        <w:rPr>
          <w:spacing w:val="-13"/>
          <w:vertAlign w:val="baseline"/>
        </w:rPr>
        <w:t> </w:t>
      </w:r>
      <w:r>
        <w:rPr>
          <w:vertAlign w:val="baseline"/>
        </w:rPr>
        <w:t>aorta.</w:t>
      </w:r>
      <w:r>
        <w:rPr>
          <w:spacing w:val="-4"/>
          <w:vertAlign w:val="baseline"/>
        </w:rPr>
        <w:t> </w:t>
      </w:r>
      <w:r>
        <w:rPr>
          <w:vertAlign w:val="baseline"/>
        </w:rPr>
        <w:t>Ocorrendo</w:t>
      </w:r>
      <w:r>
        <w:rPr>
          <w:spacing w:val="-11"/>
          <w:vertAlign w:val="baseline"/>
        </w:rPr>
        <w:t> </w:t>
      </w:r>
      <w:r>
        <w:rPr>
          <w:vertAlign w:val="baseline"/>
        </w:rPr>
        <w:t>em</w:t>
      </w:r>
      <w:r>
        <w:rPr>
          <w:spacing w:val="-11"/>
          <w:vertAlign w:val="baseline"/>
        </w:rPr>
        <w:t> </w:t>
      </w:r>
      <w:r>
        <w:rPr>
          <w:vertAlign w:val="baseline"/>
        </w:rPr>
        <w:t>pacientes</w:t>
      </w:r>
      <w:r>
        <w:rPr>
          <w:spacing w:val="-4"/>
          <w:vertAlign w:val="baseline"/>
        </w:rPr>
        <w:t> </w:t>
      </w:r>
      <w:r>
        <w:rPr>
          <w:vertAlign w:val="baseline"/>
        </w:rPr>
        <w:t>com</w:t>
      </w:r>
      <w:r>
        <w:rPr>
          <w:spacing w:val="-11"/>
          <w:vertAlign w:val="baseline"/>
        </w:rPr>
        <w:t> </w:t>
      </w:r>
      <w:r>
        <w:rPr>
          <w:vertAlign w:val="baseline"/>
        </w:rPr>
        <w:t>doença</w:t>
      </w:r>
      <w:r>
        <w:rPr>
          <w:spacing w:val="-13"/>
          <w:vertAlign w:val="baseline"/>
        </w:rPr>
        <w:t> </w:t>
      </w:r>
      <w:r>
        <w:rPr>
          <w:vertAlign w:val="baseline"/>
        </w:rPr>
        <w:t>aterosclerótica avançada, essas placas podem</w:t>
      </w:r>
      <w:r>
        <w:rPr>
          <w:spacing w:val="-7"/>
          <w:vertAlign w:val="baseline"/>
        </w:rPr>
        <w:t> </w:t>
      </w:r>
      <w:r>
        <w:rPr>
          <w:vertAlign w:val="baseline"/>
        </w:rPr>
        <w:t>provocar</w:t>
      </w:r>
      <w:r>
        <w:rPr>
          <w:spacing w:val="-2"/>
          <w:vertAlign w:val="baseline"/>
        </w:rPr>
        <w:t> </w:t>
      </w:r>
      <w:r>
        <w:rPr>
          <w:vertAlign w:val="baseline"/>
        </w:rPr>
        <w:t>dissecção</w:t>
      </w:r>
      <w:r>
        <w:rPr>
          <w:spacing w:val="-7"/>
          <w:vertAlign w:val="baseline"/>
        </w:rPr>
        <w:t> </w:t>
      </w:r>
      <w:r>
        <w:rPr>
          <w:vertAlign w:val="baseline"/>
        </w:rPr>
        <w:t>localizada</w:t>
      </w:r>
      <w:r>
        <w:rPr>
          <w:spacing w:val="-9"/>
          <w:vertAlign w:val="baseline"/>
        </w:rPr>
        <w:t> </w:t>
      </w:r>
      <w:r>
        <w:rPr>
          <w:vertAlign w:val="baseline"/>
        </w:rPr>
        <w:t>intramedial, associada</w:t>
      </w:r>
      <w:r>
        <w:rPr>
          <w:spacing w:val="-9"/>
          <w:vertAlign w:val="baseline"/>
        </w:rPr>
        <w:t> </w:t>
      </w:r>
      <w:r>
        <w:rPr>
          <w:vertAlign w:val="baseline"/>
        </w:rPr>
        <w:t>a</w:t>
      </w:r>
      <w:r>
        <w:rPr>
          <w:spacing w:val="-9"/>
          <w:vertAlign w:val="baseline"/>
        </w:rPr>
        <w:t> </w:t>
      </w:r>
      <w:r>
        <w:rPr>
          <w:vertAlign w:val="baseline"/>
        </w:rPr>
        <w:t>grau</w:t>
      </w:r>
      <w:r>
        <w:rPr>
          <w:spacing w:val="-7"/>
          <w:vertAlign w:val="baseline"/>
        </w:rPr>
        <w:t> </w:t>
      </w:r>
      <w:r>
        <w:rPr>
          <w:vertAlign w:val="baseline"/>
        </w:rPr>
        <w:t>variável</w:t>
      </w:r>
      <w:r>
        <w:rPr>
          <w:spacing w:val="-4"/>
          <w:vertAlign w:val="baseline"/>
        </w:rPr>
        <w:t> </w:t>
      </w:r>
      <w:r>
        <w:rPr>
          <w:vertAlign w:val="baseline"/>
        </w:rPr>
        <w:t>de</w:t>
      </w:r>
      <w:r>
        <w:rPr>
          <w:spacing w:val="-9"/>
          <w:vertAlign w:val="baseline"/>
        </w:rPr>
        <w:t> </w:t>
      </w:r>
      <w:r>
        <w:rPr>
          <w:vertAlign w:val="baseline"/>
        </w:rPr>
        <w:t>hematoma</w:t>
      </w:r>
      <w:r>
        <w:rPr>
          <w:spacing w:val="-9"/>
          <w:vertAlign w:val="baseline"/>
        </w:rPr>
        <w:t> </w:t>
      </w:r>
      <w:r>
        <w:rPr>
          <w:vertAlign w:val="baseline"/>
        </w:rPr>
        <w:t>na parede da aorta, podendo se estender até a adventícia, formando pseudoaneurismas, ou se romper nas cavidades torácicas, mediastino e abdome (</w:t>
      </w:r>
      <w:r>
        <w:rPr>
          <w:color w:val="505050"/>
          <w:vertAlign w:val="baseline"/>
        </w:rPr>
        <w:t>Figura 58.3</w:t>
      </w:r>
      <w:r>
        <w:rPr>
          <w:vertAlign w:val="baseline"/>
        </w:rPr>
        <w:t>).</w:t>
      </w:r>
      <w:r>
        <w:rPr>
          <w:vertAlign w:val="superscript"/>
        </w:rPr>
        <w:t>37</w:t>
      </w:r>
    </w:p>
    <w:p>
      <w:pPr>
        <w:pStyle w:val="BodyText"/>
        <w:spacing w:after="0" w:line="278" w:lineRule="auto"/>
        <w:sectPr>
          <w:pgSz w:w="11900" w:h="16840"/>
          <w:pgMar w:top="220" w:bottom="280" w:left="566" w:right="141"/>
        </w:sectPr>
      </w:pPr>
    </w:p>
    <w:p>
      <w:pPr>
        <w:spacing w:line="240" w:lineRule="auto"/>
        <w:ind w:left="1523" w:right="0" w:firstLine="0"/>
        <w:rPr>
          <w:sz w:val="20"/>
        </w:rPr>
      </w:pPr>
      <w:r>
        <w:rPr>
          <w:sz w:val="20"/>
        </w:rPr>
        <w:drawing>
          <wp:inline distT="0" distB="0" distL="0" distR="0">
            <wp:extent cx="4922612" cy="6074283"/>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4" cstate="print"/>
                    <a:stretch>
                      <a:fillRect/>
                    </a:stretch>
                  </pic:blipFill>
                  <pic:spPr>
                    <a:xfrm>
                      <a:off x="0" y="0"/>
                      <a:ext cx="4922612" cy="6074283"/>
                    </a:xfrm>
                    <a:prstGeom prst="rect">
                      <a:avLst/>
                    </a:prstGeom>
                  </pic:spPr>
                </pic:pic>
              </a:graphicData>
            </a:graphic>
          </wp:inline>
        </w:drawing>
      </w:r>
      <w:r>
        <w:rPr>
          <w:sz w:val="20"/>
        </w:rPr>
      </w:r>
    </w:p>
    <w:p>
      <w:pPr>
        <w:pStyle w:val="BodyText"/>
        <w:spacing w:before="40"/>
        <w:ind w:left="0" w:firstLine="0"/>
        <w:jc w:val="left"/>
        <w:rPr>
          <w:sz w:val="19"/>
        </w:rPr>
      </w:pPr>
    </w:p>
    <w:p>
      <w:pPr>
        <w:spacing w:line="283" w:lineRule="auto" w:before="0"/>
        <w:ind w:left="68" w:right="503" w:firstLine="0"/>
        <w:jc w:val="both"/>
        <w:rPr>
          <w:rFonts w:ascii="Microsoft Sans Serif" w:hAnsi="Microsoft Sans Serif"/>
          <w:sz w:val="19"/>
        </w:rPr>
      </w:pPr>
      <w:r>
        <w:rPr>
          <w:rFonts w:ascii="Arial" w:hAnsi="Arial"/>
          <w:b/>
          <w:color w:val="242B67"/>
          <w:sz w:val="19"/>
        </w:rPr>
        <w:t>Figura</w:t>
      </w:r>
      <w:r>
        <w:rPr>
          <w:rFonts w:ascii="Arial" w:hAnsi="Arial"/>
          <w:b/>
          <w:color w:val="242B67"/>
          <w:spacing w:val="14"/>
          <w:sz w:val="19"/>
        </w:rPr>
        <w:t> </w:t>
      </w:r>
      <w:r>
        <w:rPr>
          <w:rFonts w:ascii="Arial" w:hAnsi="Arial"/>
          <w:b/>
          <w:color w:val="242B67"/>
          <w:sz w:val="19"/>
        </w:rPr>
        <w:t>58.3</w:t>
      </w:r>
      <w:r>
        <w:rPr>
          <w:rFonts w:ascii="Arial" w:hAnsi="Arial"/>
          <w:b/>
          <w:color w:val="242B67"/>
          <w:spacing w:val="14"/>
          <w:sz w:val="19"/>
        </w:rPr>
        <w:t> </w:t>
      </w:r>
      <w:r>
        <w:rPr>
          <w:rFonts w:ascii="Arial" w:hAnsi="Arial"/>
          <w:b/>
          <w:sz w:val="19"/>
        </w:rPr>
        <w:t>A.</w:t>
      </w:r>
      <w:r>
        <w:rPr>
          <w:rFonts w:ascii="Arial" w:hAnsi="Arial"/>
          <w:b/>
          <w:spacing w:val="16"/>
          <w:sz w:val="19"/>
        </w:rPr>
        <w:t> </w:t>
      </w:r>
      <w:r>
        <w:rPr>
          <w:rFonts w:ascii="Microsoft Sans Serif" w:hAnsi="Microsoft Sans Serif"/>
          <w:sz w:val="19"/>
        </w:rPr>
        <w:t>Fotografia</w:t>
      </w:r>
      <w:r>
        <w:rPr>
          <w:rFonts w:ascii="Microsoft Sans Serif" w:hAnsi="Microsoft Sans Serif"/>
          <w:spacing w:val="32"/>
          <w:sz w:val="19"/>
        </w:rPr>
        <w:t> </w:t>
      </w:r>
      <w:r>
        <w:rPr>
          <w:rFonts w:ascii="Microsoft Sans Serif" w:hAnsi="Microsoft Sans Serif"/>
          <w:sz w:val="19"/>
        </w:rPr>
        <w:t>de</w:t>
      </w:r>
      <w:r>
        <w:rPr>
          <w:rFonts w:ascii="Microsoft Sans Serif" w:hAnsi="Microsoft Sans Serif"/>
          <w:spacing w:val="32"/>
          <w:sz w:val="19"/>
        </w:rPr>
        <w:t> </w:t>
      </w:r>
      <w:r>
        <w:rPr>
          <w:rFonts w:ascii="Microsoft Sans Serif" w:hAnsi="Microsoft Sans Serif"/>
          <w:sz w:val="19"/>
        </w:rPr>
        <w:t>microscopia</w:t>
      </w:r>
      <w:r>
        <w:rPr>
          <w:rFonts w:ascii="Microsoft Sans Serif" w:hAnsi="Microsoft Sans Serif"/>
          <w:spacing w:val="32"/>
          <w:sz w:val="19"/>
        </w:rPr>
        <w:t> </w:t>
      </w:r>
      <w:r>
        <w:rPr>
          <w:rFonts w:ascii="Microsoft Sans Serif" w:hAnsi="Microsoft Sans Serif"/>
          <w:sz w:val="19"/>
        </w:rPr>
        <w:t>óptica</w:t>
      </w:r>
      <w:r>
        <w:rPr>
          <w:rFonts w:ascii="Microsoft Sans Serif" w:hAnsi="Microsoft Sans Serif"/>
          <w:spacing w:val="32"/>
          <w:sz w:val="19"/>
        </w:rPr>
        <w:t> </w:t>
      </w:r>
      <w:r>
        <w:rPr>
          <w:rFonts w:ascii="Microsoft Sans Serif" w:hAnsi="Microsoft Sans Serif"/>
          <w:sz w:val="19"/>
        </w:rPr>
        <w:t>(HE)</w:t>
      </w:r>
      <w:r>
        <w:rPr>
          <w:rFonts w:ascii="Microsoft Sans Serif" w:hAnsi="Microsoft Sans Serif"/>
          <w:spacing w:val="26"/>
          <w:sz w:val="19"/>
        </w:rPr>
        <w:t> </w:t>
      </w:r>
      <w:r>
        <w:rPr>
          <w:rFonts w:ascii="Microsoft Sans Serif" w:hAnsi="Microsoft Sans Serif"/>
          <w:sz w:val="19"/>
        </w:rPr>
        <w:t>da</w:t>
      </w:r>
      <w:r>
        <w:rPr>
          <w:rFonts w:ascii="Microsoft Sans Serif" w:hAnsi="Microsoft Sans Serif"/>
          <w:spacing w:val="32"/>
          <w:sz w:val="19"/>
        </w:rPr>
        <w:t> </w:t>
      </w:r>
      <w:r>
        <w:rPr>
          <w:rFonts w:ascii="Microsoft Sans Serif" w:hAnsi="Microsoft Sans Serif"/>
          <w:sz w:val="19"/>
        </w:rPr>
        <w:t>aorta</w:t>
      </w:r>
      <w:r>
        <w:rPr>
          <w:rFonts w:ascii="Microsoft Sans Serif" w:hAnsi="Microsoft Sans Serif"/>
          <w:spacing w:val="32"/>
          <w:sz w:val="19"/>
        </w:rPr>
        <w:t> </w:t>
      </w:r>
      <w:r>
        <w:rPr>
          <w:rFonts w:ascii="Microsoft Sans Serif" w:hAnsi="Microsoft Sans Serif"/>
          <w:sz w:val="19"/>
        </w:rPr>
        <w:t>ascendente</w:t>
      </w:r>
      <w:r>
        <w:rPr>
          <w:rFonts w:ascii="Microsoft Sans Serif" w:hAnsi="Microsoft Sans Serif"/>
          <w:spacing w:val="32"/>
          <w:sz w:val="19"/>
        </w:rPr>
        <w:t> </w:t>
      </w:r>
      <w:r>
        <w:rPr>
          <w:rFonts w:ascii="Microsoft Sans Serif" w:hAnsi="Microsoft Sans Serif"/>
          <w:sz w:val="19"/>
        </w:rPr>
        <w:t>delaminada.</w:t>
      </w:r>
      <w:r>
        <w:rPr>
          <w:rFonts w:ascii="Microsoft Sans Serif" w:hAnsi="Microsoft Sans Serif"/>
          <w:spacing w:val="18"/>
          <w:sz w:val="19"/>
        </w:rPr>
        <w:t> </w:t>
      </w:r>
      <w:r>
        <w:rPr>
          <w:rFonts w:ascii="Arial" w:hAnsi="Arial"/>
          <w:b/>
          <w:sz w:val="19"/>
        </w:rPr>
        <w:t>B.</w:t>
      </w:r>
      <w:r>
        <w:rPr>
          <w:rFonts w:ascii="Arial" w:hAnsi="Arial"/>
          <w:b/>
          <w:spacing w:val="15"/>
          <w:sz w:val="19"/>
        </w:rPr>
        <w:t> </w:t>
      </w:r>
      <w:r>
        <w:rPr>
          <w:rFonts w:ascii="Microsoft Sans Serif" w:hAnsi="Microsoft Sans Serif"/>
          <w:sz w:val="19"/>
        </w:rPr>
        <w:t>Fotografia</w:t>
      </w:r>
      <w:r>
        <w:rPr>
          <w:rFonts w:ascii="Microsoft Sans Serif" w:hAnsi="Microsoft Sans Serif"/>
          <w:spacing w:val="31"/>
          <w:sz w:val="19"/>
        </w:rPr>
        <w:t> </w:t>
      </w:r>
      <w:r>
        <w:rPr>
          <w:rFonts w:ascii="Microsoft Sans Serif" w:hAnsi="Microsoft Sans Serif"/>
          <w:sz w:val="19"/>
        </w:rPr>
        <w:t>de</w:t>
      </w:r>
      <w:r>
        <w:rPr>
          <w:rFonts w:ascii="Microsoft Sans Serif" w:hAnsi="Microsoft Sans Serif"/>
          <w:spacing w:val="31"/>
          <w:sz w:val="19"/>
        </w:rPr>
        <w:t> </w:t>
      </w:r>
      <w:r>
        <w:rPr>
          <w:rFonts w:ascii="Microsoft Sans Serif" w:hAnsi="Microsoft Sans Serif"/>
          <w:sz w:val="19"/>
        </w:rPr>
        <w:t>peça</w:t>
      </w:r>
      <w:r>
        <w:rPr>
          <w:rFonts w:ascii="Microsoft Sans Serif" w:hAnsi="Microsoft Sans Serif"/>
          <w:spacing w:val="31"/>
          <w:sz w:val="19"/>
        </w:rPr>
        <w:t> </w:t>
      </w:r>
      <w:r>
        <w:rPr>
          <w:rFonts w:ascii="Microsoft Sans Serif" w:hAnsi="Microsoft Sans Serif"/>
          <w:sz w:val="19"/>
        </w:rPr>
        <w:t>anatômica de</w:t>
      </w:r>
      <w:r>
        <w:rPr>
          <w:rFonts w:ascii="Microsoft Sans Serif" w:hAnsi="Microsoft Sans Serif"/>
          <w:spacing w:val="34"/>
          <w:sz w:val="19"/>
        </w:rPr>
        <w:t> </w:t>
      </w:r>
      <w:r>
        <w:rPr>
          <w:rFonts w:ascii="Microsoft Sans Serif" w:hAnsi="Microsoft Sans Serif"/>
          <w:sz w:val="19"/>
        </w:rPr>
        <w:t>aorta</w:t>
      </w:r>
      <w:r>
        <w:rPr>
          <w:rFonts w:ascii="Microsoft Sans Serif" w:hAnsi="Microsoft Sans Serif"/>
          <w:spacing w:val="34"/>
          <w:sz w:val="19"/>
        </w:rPr>
        <w:t> </w:t>
      </w:r>
      <w:r>
        <w:rPr>
          <w:rFonts w:ascii="Microsoft Sans Serif" w:hAnsi="Microsoft Sans Serif"/>
          <w:sz w:val="19"/>
        </w:rPr>
        <w:t>torácica</w:t>
      </w:r>
      <w:r>
        <w:rPr>
          <w:rFonts w:ascii="Microsoft Sans Serif" w:hAnsi="Microsoft Sans Serif"/>
          <w:spacing w:val="34"/>
          <w:sz w:val="19"/>
        </w:rPr>
        <w:t> </w:t>
      </w:r>
      <w:r>
        <w:rPr>
          <w:rFonts w:ascii="Microsoft Sans Serif" w:hAnsi="Microsoft Sans Serif"/>
          <w:sz w:val="19"/>
        </w:rPr>
        <w:t>delaminada</w:t>
      </w:r>
      <w:r>
        <w:rPr>
          <w:rFonts w:ascii="Microsoft Sans Serif" w:hAnsi="Microsoft Sans Serif"/>
          <w:spacing w:val="34"/>
          <w:sz w:val="19"/>
        </w:rPr>
        <w:t> </w:t>
      </w:r>
      <w:r>
        <w:rPr>
          <w:rFonts w:ascii="Microsoft Sans Serif" w:hAnsi="Microsoft Sans Serif"/>
          <w:sz w:val="19"/>
        </w:rPr>
        <w:t>com</w:t>
      </w:r>
      <w:r>
        <w:rPr>
          <w:rFonts w:ascii="Microsoft Sans Serif" w:hAnsi="Microsoft Sans Serif"/>
          <w:spacing w:val="27"/>
          <w:sz w:val="19"/>
        </w:rPr>
        <w:t> </w:t>
      </w:r>
      <w:r>
        <w:rPr>
          <w:rFonts w:ascii="Microsoft Sans Serif" w:hAnsi="Microsoft Sans Serif"/>
          <w:sz w:val="19"/>
        </w:rPr>
        <w:t>identificação</w:t>
      </w:r>
      <w:r>
        <w:rPr>
          <w:rFonts w:ascii="Microsoft Sans Serif" w:hAnsi="Microsoft Sans Serif"/>
          <w:spacing w:val="34"/>
          <w:sz w:val="19"/>
        </w:rPr>
        <w:t> </w:t>
      </w:r>
      <w:r>
        <w:rPr>
          <w:rFonts w:ascii="Microsoft Sans Serif" w:hAnsi="Microsoft Sans Serif"/>
          <w:sz w:val="19"/>
        </w:rPr>
        <w:t>do</w:t>
      </w:r>
      <w:r>
        <w:rPr>
          <w:rFonts w:ascii="Microsoft Sans Serif" w:hAnsi="Microsoft Sans Serif"/>
          <w:spacing w:val="34"/>
          <w:sz w:val="19"/>
        </w:rPr>
        <w:t> </w:t>
      </w:r>
      <w:r>
        <w:rPr>
          <w:rFonts w:ascii="Microsoft Sans Serif" w:hAnsi="Microsoft Sans Serif"/>
          <w:sz w:val="19"/>
        </w:rPr>
        <w:t>falso</w:t>
      </w:r>
      <w:r>
        <w:rPr>
          <w:rFonts w:ascii="Microsoft Sans Serif" w:hAnsi="Microsoft Sans Serif"/>
          <w:spacing w:val="34"/>
          <w:sz w:val="19"/>
        </w:rPr>
        <w:t> </w:t>
      </w:r>
      <w:r>
        <w:rPr>
          <w:rFonts w:ascii="Microsoft Sans Serif" w:hAnsi="Microsoft Sans Serif"/>
          <w:sz w:val="19"/>
        </w:rPr>
        <w:t>e</w:t>
      </w:r>
      <w:r>
        <w:rPr>
          <w:rFonts w:ascii="Microsoft Sans Serif" w:hAnsi="Microsoft Sans Serif"/>
          <w:spacing w:val="34"/>
          <w:sz w:val="19"/>
        </w:rPr>
        <w:t> </w:t>
      </w:r>
      <w:r>
        <w:rPr>
          <w:rFonts w:ascii="Microsoft Sans Serif" w:hAnsi="Microsoft Sans Serif"/>
          <w:sz w:val="19"/>
        </w:rPr>
        <w:t>verdadeiro</w:t>
      </w:r>
      <w:r>
        <w:rPr>
          <w:rFonts w:ascii="Microsoft Sans Serif" w:hAnsi="Microsoft Sans Serif"/>
          <w:spacing w:val="34"/>
          <w:sz w:val="19"/>
        </w:rPr>
        <w:t> </w:t>
      </w:r>
      <w:r>
        <w:rPr>
          <w:rFonts w:ascii="Microsoft Sans Serif" w:hAnsi="Microsoft Sans Serif"/>
          <w:sz w:val="19"/>
        </w:rPr>
        <w:t>lumens</w:t>
      </w:r>
      <w:r>
        <w:rPr>
          <w:rFonts w:ascii="Microsoft Sans Serif" w:hAnsi="Microsoft Sans Serif"/>
          <w:spacing w:val="27"/>
          <w:sz w:val="19"/>
        </w:rPr>
        <w:t> </w:t>
      </w:r>
      <w:r>
        <w:rPr>
          <w:rFonts w:ascii="Microsoft Sans Serif" w:hAnsi="Microsoft Sans Serif"/>
          <w:sz w:val="19"/>
        </w:rPr>
        <w:t>da</w:t>
      </w:r>
      <w:r>
        <w:rPr>
          <w:rFonts w:ascii="Microsoft Sans Serif" w:hAnsi="Microsoft Sans Serif"/>
          <w:spacing w:val="34"/>
          <w:sz w:val="19"/>
        </w:rPr>
        <w:t> </w:t>
      </w:r>
      <w:r>
        <w:rPr>
          <w:rFonts w:ascii="Microsoft Sans Serif" w:hAnsi="Microsoft Sans Serif"/>
          <w:sz w:val="19"/>
        </w:rPr>
        <w:t>aorta.</w:t>
      </w:r>
      <w:r>
        <w:rPr>
          <w:rFonts w:ascii="Microsoft Sans Serif" w:hAnsi="Microsoft Sans Serif"/>
          <w:spacing w:val="20"/>
          <w:sz w:val="19"/>
        </w:rPr>
        <w:t> </w:t>
      </w:r>
      <w:r>
        <w:rPr>
          <w:rFonts w:ascii="Arial" w:hAnsi="Arial"/>
          <w:b/>
          <w:sz w:val="19"/>
        </w:rPr>
        <w:t>C.</w:t>
      </w:r>
      <w:r>
        <w:rPr>
          <w:rFonts w:ascii="Arial" w:hAnsi="Arial"/>
          <w:b/>
          <w:spacing w:val="15"/>
          <w:sz w:val="19"/>
        </w:rPr>
        <w:t> </w:t>
      </w:r>
      <w:r>
        <w:rPr>
          <w:rFonts w:ascii="Microsoft Sans Serif" w:hAnsi="Microsoft Sans Serif"/>
          <w:sz w:val="19"/>
        </w:rPr>
        <w:t>Fotografia</w:t>
      </w:r>
      <w:r>
        <w:rPr>
          <w:rFonts w:ascii="Microsoft Sans Serif" w:hAnsi="Microsoft Sans Serif"/>
          <w:spacing w:val="31"/>
          <w:sz w:val="19"/>
        </w:rPr>
        <w:t> </w:t>
      </w:r>
      <w:r>
        <w:rPr>
          <w:rFonts w:ascii="Microsoft Sans Serif" w:hAnsi="Microsoft Sans Serif"/>
          <w:sz w:val="19"/>
        </w:rPr>
        <w:t>de</w:t>
      </w:r>
      <w:r>
        <w:rPr>
          <w:rFonts w:ascii="Microsoft Sans Serif" w:hAnsi="Microsoft Sans Serif"/>
          <w:spacing w:val="31"/>
          <w:sz w:val="19"/>
        </w:rPr>
        <w:t> </w:t>
      </w:r>
      <w:r>
        <w:rPr>
          <w:rFonts w:ascii="Microsoft Sans Serif" w:hAnsi="Microsoft Sans Serif"/>
          <w:sz w:val="19"/>
        </w:rPr>
        <w:t>peça</w:t>
      </w:r>
      <w:r>
        <w:rPr>
          <w:rFonts w:ascii="Microsoft Sans Serif" w:hAnsi="Microsoft Sans Serif"/>
          <w:spacing w:val="31"/>
          <w:sz w:val="19"/>
        </w:rPr>
        <w:t> </w:t>
      </w:r>
      <w:r>
        <w:rPr>
          <w:rFonts w:ascii="Microsoft Sans Serif" w:hAnsi="Microsoft Sans Serif"/>
          <w:sz w:val="19"/>
        </w:rPr>
        <w:t>anatômica de</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ascendente</w:t>
      </w:r>
      <w:r>
        <w:rPr>
          <w:rFonts w:ascii="Microsoft Sans Serif" w:hAnsi="Microsoft Sans Serif"/>
          <w:spacing w:val="40"/>
          <w:sz w:val="19"/>
        </w:rPr>
        <w:t> </w:t>
      </w:r>
      <w:r>
        <w:rPr>
          <w:rFonts w:ascii="Microsoft Sans Serif" w:hAnsi="Microsoft Sans Serif"/>
          <w:sz w:val="19"/>
        </w:rPr>
        <w:t>delaminada</w:t>
      </w:r>
      <w:r>
        <w:rPr>
          <w:rFonts w:ascii="Microsoft Sans Serif" w:hAnsi="Microsoft Sans Serif"/>
          <w:spacing w:val="40"/>
          <w:sz w:val="19"/>
        </w:rPr>
        <w:t> </w:t>
      </w:r>
      <w:r>
        <w:rPr>
          <w:rFonts w:ascii="Microsoft Sans Serif" w:hAnsi="Microsoft Sans Serif"/>
          <w:sz w:val="19"/>
        </w:rPr>
        <w:t>com identificação</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falso</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verdadeiro</w:t>
      </w:r>
      <w:r>
        <w:rPr>
          <w:rFonts w:ascii="Microsoft Sans Serif" w:hAnsi="Microsoft Sans Serif"/>
          <w:spacing w:val="40"/>
          <w:sz w:val="19"/>
        </w:rPr>
        <w:t> </w:t>
      </w:r>
      <w:r>
        <w:rPr>
          <w:rFonts w:ascii="Microsoft Sans Serif" w:hAnsi="Microsoft Sans Serif"/>
          <w:sz w:val="19"/>
        </w:rPr>
        <w:t>lumens da</w:t>
      </w:r>
      <w:r>
        <w:rPr>
          <w:rFonts w:ascii="Microsoft Sans Serif" w:hAnsi="Microsoft Sans Serif"/>
          <w:spacing w:val="40"/>
          <w:sz w:val="19"/>
        </w:rPr>
        <w:t> </w:t>
      </w:r>
      <w:r>
        <w:rPr>
          <w:rFonts w:ascii="Microsoft Sans Serif" w:hAnsi="Microsoft Sans Serif"/>
          <w:sz w:val="19"/>
        </w:rPr>
        <w:t>aorta. </w:t>
      </w:r>
      <w:r>
        <w:rPr>
          <w:rFonts w:ascii="Arial" w:hAnsi="Arial"/>
          <w:b/>
          <w:sz w:val="19"/>
        </w:rPr>
        <w:t>D. </w:t>
      </w:r>
      <w:r>
        <w:rPr>
          <w:rFonts w:ascii="Microsoft Sans Serif" w:hAnsi="Microsoft Sans Serif"/>
          <w:sz w:val="19"/>
        </w:rPr>
        <w:t>Fotografia</w:t>
      </w:r>
      <w:r>
        <w:rPr>
          <w:rFonts w:ascii="Microsoft Sans Serif" w:hAnsi="Microsoft Sans Serif"/>
          <w:spacing w:val="40"/>
          <w:sz w:val="19"/>
        </w:rPr>
        <w:t> </w:t>
      </w:r>
      <w:r>
        <w:rPr>
          <w:rFonts w:ascii="Microsoft Sans Serif" w:hAnsi="Microsoft Sans Serif"/>
          <w:sz w:val="19"/>
        </w:rPr>
        <w:t>de angiorressonância</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torácica</w:t>
      </w:r>
      <w:r>
        <w:rPr>
          <w:rFonts w:ascii="Microsoft Sans Serif" w:hAnsi="Microsoft Sans Serif"/>
          <w:spacing w:val="40"/>
          <w:sz w:val="19"/>
        </w:rPr>
        <w:t> </w:t>
      </w:r>
      <w:r>
        <w:rPr>
          <w:rFonts w:ascii="Microsoft Sans Serif" w:hAnsi="Microsoft Sans Serif"/>
          <w:sz w:val="19"/>
        </w:rPr>
        <w:t>com</w:t>
      </w:r>
      <w:r>
        <w:rPr>
          <w:rFonts w:ascii="Microsoft Sans Serif" w:hAnsi="Microsoft Sans Serif"/>
          <w:spacing w:val="37"/>
          <w:sz w:val="19"/>
        </w:rPr>
        <w:t> </w:t>
      </w:r>
      <w:r>
        <w:rPr>
          <w:rFonts w:ascii="Microsoft Sans Serif" w:hAnsi="Microsoft Sans Serif"/>
          <w:sz w:val="19"/>
        </w:rPr>
        <w:t>dissecção</w:t>
      </w:r>
      <w:r>
        <w:rPr>
          <w:rFonts w:ascii="Microsoft Sans Serif" w:hAnsi="Microsoft Sans Serif"/>
          <w:spacing w:val="40"/>
          <w:sz w:val="19"/>
        </w:rPr>
        <w:t> </w:t>
      </w:r>
      <w:r>
        <w:rPr>
          <w:rFonts w:ascii="Microsoft Sans Serif" w:hAnsi="Microsoft Sans Serif"/>
          <w:sz w:val="19"/>
        </w:rPr>
        <w:t>crônica</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tipo</w:t>
      </w:r>
      <w:r>
        <w:rPr>
          <w:rFonts w:ascii="Microsoft Sans Serif" w:hAnsi="Microsoft Sans Serif"/>
          <w:spacing w:val="40"/>
          <w:sz w:val="19"/>
        </w:rPr>
        <w:t> </w:t>
      </w:r>
      <w:r>
        <w:rPr>
          <w:rFonts w:ascii="Microsoft Sans Serif" w:hAnsi="Microsoft Sans Serif"/>
          <w:sz w:val="19"/>
        </w:rPr>
        <w:t>A</w:t>
      </w:r>
      <w:r>
        <w:rPr>
          <w:rFonts w:ascii="Microsoft Sans Serif" w:hAnsi="Microsoft Sans Serif"/>
          <w:spacing w:val="37"/>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Stanford.</w:t>
      </w:r>
      <w:r>
        <w:rPr>
          <w:rFonts w:ascii="Microsoft Sans Serif" w:hAnsi="Microsoft Sans Serif"/>
          <w:spacing w:val="29"/>
          <w:sz w:val="19"/>
        </w:rPr>
        <w:t> </w:t>
      </w:r>
      <w:r>
        <w:rPr>
          <w:rFonts w:ascii="Arial" w:hAnsi="Arial"/>
          <w:b/>
          <w:sz w:val="19"/>
        </w:rPr>
        <w:t>E. </w:t>
      </w:r>
      <w:r>
        <w:rPr>
          <w:rFonts w:ascii="Microsoft Sans Serif" w:hAnsi="Microsoft Sans Serif"/>
          <w:sz w:val="19"/>
        </w:rPr>
        <w:t>Fotografia</w:t>
      </w:r>
      <w:r>
        <w:rPr>
          <w:rFonts w:ascii="Microsoft Sans Serif" w:hAnsi="Microsoft Sans Serif"/>
          <w:spacing w:val="39"/>
          <w:sz w:val="19"/>
        </w:rPr>
        <w:t> </w:t>
      </w:r>
      <w:r>
        <w:rPr>
          <w:rFonts w:ascii="Microsoft Sans Serif" w:hAnsi="Microsoft Sans Serif"/>
          <w:sz w:val="19"/>
        </w:rPr>
        <w:t>de</w:t>
      </w:r>
      <w:r>
        <w:rPr>
          <w:rFonts w:ascii="Microsoft Sans Serif" w:hAnsi="Microsoft Sans Serif"/>
          <w:spacing w:val="39"/>
          <w:sz w:val="19"/>
        </w:rPr>
        <w:t> </w:t>
      </w:r>
      <w:r>
        <w:rPr>
          <w:rFonts w:ascii="Microsoft Sans Serif" w:hAnsi="Microsoft Sans Serif"/>
          <w:sz w:val="19"/>
        </w:rPr>
        <w:t>angiotomografia</w:t>
      </w:r>
      <w:r>
        <w:rPr>
          <w:rFonts w:ascii="Microsoft Sans Serif" w:hAnsi="Microsoft Sans Serif"/>
          <w:spacing w:val="39"/>
          <w:sz w:val="19"/>
        </w:rPr>
        <w:t> </w:t>
      </w:r>
      <w:r>
        <w:rPr>
          <w:rFonts w:ascii="Microsoft Sans Serif" w:hAnsi="Microsoft Sans Serif"/>
          <w:sz w:val="19"/>
        </w:rPr>
        <w:t>de aorta</w:t>
      </w:r>
      <w:r>
        <w:rPr>
          <w:rFonts w:ascii="Microsoft Sans Serif" w:hAnsi="Microsoft Sans Serif"/>
          <w:spacing w:val="40"/>
          <w:sz w:val="19"/>
        </w:rPr>
        <w:t> </w:t>
      </w:r>
      <w:r>
        <w:rPr>
          <w:rFonts w:ascii="Microsoft Sans Serif" w:hAnsi="Microsoft Sans Serif"/>
          <w:sz w:val="19"/>
        </w:rPr>
        <w:t>torácica</w:t>
      </w:r>
      <w:r>
        <w:rPr>
          <w:rFonts w:ascii="Microsoft Sans Serif" w:hAnsi="Microsoft Sans Serif"/>
          <w:spacing w:val="40"/>
          <w:sz w:val="19"/>
        </w:rPr>
        <w:t> </w:t>
      </w:r>
      <w:r>
        <w:rPr>
          <w:rFonts w:ascii="Microsoft Sans Serif" w:hAnsi="Microsoft Sans Serif"/>
          <w:sz w:val="19"/>
        </w:rPr>
        <w:t>com</w:t>
      </w:r>
      <w:r>
        <w:rPr>
          <w:rFonts w:ascii="Microsoft Sans Serif" w:hAnsi="Microsoft Sans Serif"/>
          <w:spacing w:val="40"/>
          <w:sz w:val="19"/>
        </w:rPr>
        <w:t> </w:t>
      </w:r>
      <w:r>
        <w:rPr>
          <w:rFonts w:ascii="Microsoft Sans Serif" w:hAnsi="Microsoft Sans Serif"/>
          <w:sz w:val="19"/>
        </w:rPr>
        <w:t>dissecção</w:t>
      </w:r>
      <w:r>
        <w:rPr>
          <w:rFonts w:ascii="Microsoft Sans Serif" w:hAnsi="Microsoft Sans Serif"/>
          <w:spacing w:val="40"/>
          <w:sz w:val="19"/>
        </w:rPr>
        <w:t> </w:t>
      </w:r>
      <w:r>
        <w:rPr>
          <w:rFonts w:ascii="Microsoft Sans Serif" w:hAnsi="Microsoft Sans Serif"/>
          <w:sz w:val="19"/>
        </w:rPr>
        <w:t>crônica</w:t>
      </w:r>
      <w:r>
        <w:rPr>
          <w:rFonts w:ascii="Microsoft Sans Serif" w:hAnsi="Microsoft Sans Serif"/>
          <w:spacing w:val="40"/>
          <w:sz w:val="19"/>
        </w:rPr>
        <w:t> </w:t>
      </w:r>
      <w:r>
        <w:rPr>
          <w:rFonts w:ascii="Microsoft Sans Serif" w:hAnsi="Microsoft Sans Serif"/>
          <w:sz w:val="19"/>
        </w:rPr>
        <w:t>tipo</w:t>
      </w:r>
      <w:r>
        <w:rPr>
          <w:rFonts w:ascii="Microsoft Sans Serif" w:hAnsi="Microsoft Sans Serif"/>
          <w:spacing w:val="40"/>
          <w:sz w:val="19"/>
        </w:rPr>
        <w:t> </w:t>
      </w:r>
      <w:r>
        <w:rPr>
          <w:rFonts w:ascii="Microsoft Sans Serif" w:hAnsi="Microsoft Sans Serif"/>
          <w:sz w:val="19"/>
        </w:rPr>
        <w:t>B</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Stanford.</w:t>
      </w:r>
      <w:r>
        <w:rPr>
          <w:rFonts w:ascii="Microsoft Sans Serif" w:hAnsi="Microsoft Sans Serif"/>
          <w:spacing w:val="40"/>
          <w:sz w:val="19"/>
        </w:rPr>
        <w:t> </w:t>
      </w:r>
      <w:r>
        <w:rPr>
          <w:rFonts w:ascii="Arial" w:hAnsi="Arial"/>
          <w:b/>
          <w:sz w:val="19"/>
        </w:rPr>
        <w:t>F.</w:t>
      </w:r>
      <w:r>
        <w:rPr>
          <w:rFonts w:ascii="Arial" w:hAnsi="Arial"/>
          <w:b/>
          <w:spacing w:val="40"/>
          <w:sz w:val="19"/>
        </w:rPr>
        <w:t> </w:t>
      </w:r>
      <w:r>
        <w:rPr>
          <w:rFonts w:ascii="Microsoft Sans Serif" w:hAnsi="Microsoft Sans Serif"/>
          <w:sz w:val="19"/>
        </w:rPr>
        <w:t>Fotografia</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angiotomografia</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torácica</w:t>
      </w:r>
      <w:r>
        <w:rPr>
          <w:rFonts w:ascii="Microsoft Sans Serif" w:hAnsi="Microsoft Sans Serif"/>
          <w:spacing w:val="40"/>
          <w:sz w:val="19"/>
        </w:rPr>
        <w:t> </w:t>
      </w:r>
      <w:r>
        <w:rPr>
          <w:rFonts w:ascii="Microsoft Sans Serif" w:hAnsi="Microsoft Sans Serif"/>
          <w:sz w:val="19"/>
        </w:rPr>
        <w:t>com hematoma</w:t>
      </w:r>
      <w:r>
        <w:rPr>
          <w:rFonts w:ascii="Microsoft Sans Serif" w:hAnsi="Microsoft Sans Serif"/>
          <w:spacing w:val="18"/>
          <w:sz w:val="19"/>
        </w:rPr>
        <w:t> </w:t>
      </w:r>
      <w:r>
        <w:rPr>
          <w:rFonts w:ascii="Microsoft Sans Serif" w:hAnsi="Microsoft Sans Serif"/>
          <w:sz w:val="19"/>
        </w:rPr>
        <w:t>intramural</w:t>
      </w:r>
      <w:r>
        <w:rPr>
          <w:rFonts w:ascii="Microsoft Sans Serif" w:hAnsi="Microsoft Sans Serif"/>
          <w:spacing w:val="18"/>
          <w:sz w:val="19"/>
        </w:rPr>
        <w:t> </w:t>
      </w:r>
      <w:r>
        <w:rPr>
          <w:rFonts w:ascii="Microsoft Sans Serif" w:hAnsi="Microsoft Sans Serif"/>
          <w:sz w:val="19"/>
        </w:rPr>
        <w:t>do</w:t>
      </w:r>
      <w:r>
        <w:rPr>
          <w:rFonts w:ascii="Microsoft Sans Serif" w:hAnsi="Microsoft Sans Serif"/>
          <w:spacing w:val="18"/>
          <w:sz w:val="19"/>
        </w:rPr>
        <w:t> </w:t>
      </w:r>
      <w:r>
        <w:rPr>
          <w:rFonts w:ascii="Microsoft Sans Serif" w:hAnsi="Microsoft Sans Serif"/>
          <w:sz w:val="19"/>
        </w:rPr>
        <w:t>tipo</w:t>
      </w:r>
      <w:r>
        <w:rPr>
          <w:rFonts w:ascii="Microsoft Sans Serif" w:hAnsi="Microsoft Sans Serif"/>
          <w:spacing w:val="18"/>
          <w:sz w:val="19"/>
        </w:rPr>
        <w:t> </w:t>
      </w:r>
      <w:r>
        <w:rPr>
          <w:rFonts w:ascii="Microsoft Sans Serif" w:hAnsi="Microsoft Sans Serif"/>
          <w:sz w:val="19"/>
        </w:rPr>
        <w:t>B</w:t>
      </w:r>
      <w:r>
        <w:rPr>
          <w:rFonts w:ascii="Microsoft Sans Serif" w:hAnsi="Microsoft Sans Serif"/>
          <w:spacing w:val="11"/>
          <w:sz w:val="19"/>
        </w:rPr>
        <w:t> </w:t>
      </w:r>
      <w:r>
        <w:rPr>
          <w:rFonts w:ascii="Microsoft Sans Serif" w:hAnsi="Microsoft Sans Serif"/>
          <w:sz w:val="19"/>
        </w:rPr>
        <w:t>de</w:t>
      </w:r>
      <w:r>
        <w:rPr>
          <w:rFonts w:ascii="Microsoft Sans Serif" w:hAnsi="Microsoft Sans Serif"/>
          <w:spacing w:val="18"/>
          <w:sz w:val="19"/>
        </w:rPr>
        <w:t> </w:t>
      </w:r>
      <w:r>
        <w:rPr>
          <w:rFonts w:ascii="Microsoft Sans Serif" w:hAnsi="Microsoft Sans Serif"/>
          <w:sz w:val="19"/>
        </w:rPr>
        <w:t>Stanford. </w:t>
      </w:r>
      <w:r>
        <w:rPr>
          <w:rFonts w:ascii="Arial" w:hAnsi="Arial"/>
          <w:b/>
          <w:sz w:val="19"/>
        </w:rPr>
        <w:t>G. </w:t>
      </w:r>
      <w:r>
        <w:rPr>
          <w:rFonts w:ascii="Microsoft Sans Serif" w:hAnsi="Microsoft Sans Serif"/>
          <w:sz w:val="19"/>
        </w:rPr>
        <w:t>Fotografia</w:t>
      </w:r>
      <w:r>
        <w:rPr>
          <w:rFonts w:ascii="Microsoft Sans Serif" w:hAnsi="Microsoft Sans Serif"/>
          <w:spacing w:val="21"/>
          <w:sz w:val="19"/>
        </w:rPr>
        <w:t> </w:t>
      </w:r>
      <w:r>
        <w:rPr>
          <w:rFonts w:ascii="Microsoft Sans Serif" w:hAnsi="Microsoft Sans Serif"/>
          <w:sz w:val="19"/>
        </w:rPr>
        <w:t>de</w:t>
      </w:r>
      <w:r>
        <w:rPr>
          <w:rFonts w:ascii="Microsoft Sans Serif" w:hAnsi="Microsoft Sans Serif"/>
          <w:spacing w:val="21"/>
          <w:sz w:val="19"/>
        </w:rPr>
        <w:t> </w:t>
      </w:r>
      <w:r>
        <w:rPr>
          <w:rFonts w:ascii="Microsoft Sans Serif" w:hAnsi="Microsoft Sans Serif"/>
          <w:sz w:val="19"/>
        </w:rPr>
        <w:t>angiotomografia</w:t>
      </w:r>
      <w:r>
        <w:rPr>
          <w:rFonts w:ascii="Microsoft Sans Serif" w:hAnsi="Microsoft Sans Serif"/>
          <w:spacing w:val="21"/>
          <w:sz w:val="19"/>
        </w:rPr>
        <w:t> </w:t>
      </w:r>
      <w:r>
        <w:rPr>
          <w:rFonts w:ascii="Microsoft Sans Serif" w:hAnsi="Microsoft Sans Serif"/>
          <w:sz w:val="19"/>
        </w:rPr>
        <w:t>de</w:t>
      </w:r>
      <w:r>
        <w:rPr>
          <w:rFonts w:ascii="Microsoft Sans Serif" w:hAnsi="Microsoft Sans Serif"/>
          <w:spacing w:val="21"/>
          <w:sz w:val="19"/>
        </w:rPr>
        <w:t> </w:t>
      </w:r>
      <w:r>
        <w:rPr>
          <w:rFonts w:ascii="Microsoft Sans Serif" w:hAnsi="Microsoft Sans Serif"/>
          <w:sz w:val="19"/>
        </w:rPr>
        <w:t>aorta</w:t>
      </w:r>
      <w:r>
        <w:rPr>
          <w:rFonts w:ascii="Microsoft Sans Serif" w:hAnsi="Microsoft Sans Serif"/>
          <w:spacing w:val="21"/>
          <w:sz w:val="19"/>
        </w:rPr>
        <w:t> </w:t>
      </w:r>
      <w:r>
        <w:rPr>
          <w:rFonts w:ascii="Microsoft Sans Serif" w:hAnsi="Microsoft Sans Serif"/>
          <w:sz w:val="19"/>
        </w:rPr>
        <w:t>torácica</w:t>
      </w:r>
      <w:r>
        <w:rPr>
          <w:rFonts w:ascii="Microsoft Sans Serif" w:hAnsi="Microsoft Sans Serif"/>
          <w:spacing w:val="21"/>
          <w:sz w:val="19"/>
        </w:rPr>
        <w:t> </w:t>
      </w:r>
      <w:r>
        <w:rPr>
          <w:rFonts w:ascii="Microsoft Sans Serif" w:hAnsi="Microsoft Sans Serif"/>
          <w:sz w:val="19"/>
        </w:rPr>
        <w:t>com</w:t>
      </w:r>
      <w:r>
        <w:rPr>
          <w:rFonts w:ascii="Microsoft Sans Serif" w:hAnsi="Microsoft Sans Serif"/>
          <w:spacing w:val="13"/>
          <w:sz w:val="19"/>
        </w:rPr>
        <w:t> </w:t>
      </w:r>
      <w:r>
        <w:rPr>
          <w:rFonts w:ascii="Microsoft Sans Serif" w:hAnsi="Microsoft Sans Serif"/>
          <w:sz w:val="19"/>
        </w:rPr>
        <w:t>úlcera</w:t>
      </w:r>
      <w:r>
        <w:rPr>
          <w:rFonts w:ascii="Microsoft Sans Serif" w:hAnsi="Microsoft Sans Serif"/>
          <w:spacing w:val="21"/>
          <w:sz w:val="19"/>
        </w:rPr>
        <w:t> </w:t>
      </w:r>
      <w:r>
        <w:rPr>
          <w:rFonts w:ascii="Microsoft Sans Serif" w:hAnsi="Microsoft Sans Serif"/>
          <w:sz w:val="19"/>
        </w:rPr>
        <w:t>no</w:t>
      </w:r>
      <w:r>
        <w:rPr>
          <w:rFonts w:ascii="Microsoft Sans Serif" w:hAnsi="Microsoft Sans Serif"/>
          <w:spacing w:val="21"/>
          <w:sz w:val="19"/>
        </w:rPr>
        <w:t> </w:t>
      </w:r>
      <w:r>
        <w:rPr>
          <w:rFonts w:ascii="Microsoft Sans Serif" w:hAnsi="Microsoft Sans Serif"/>
          <w:sz w:val="19"/>
        </w:rPr>
        <w:t>arco</w:t>
      </w:r>
      <w:r>
        <w:rPr>
          <w:rFonts w:ascii="Microsoft Sans Serif" w:hAnsi="Microsoft Sans Serif"/>
          <w:spacing w:val="21"/>
          <w:sz w:val="19"/>
        </w:rPr>
        <w:t> </w:t>
      </w:r>
      <w:r>
        <w:rPr>
          <w:rFonts w:ascii="Microsoft Sans Serif" w:hAnsi="Microsoft Sans Serif"/>
          <w:sz w:val="19"/>
        </w:rPr>
        <w:t>aórtico e</w:t>
      </w:r>
      <w:r>
        <w:rPr>
          <w:rFonts w:ascii="Microsoft Sans Serif" w:hAnsi="Microsoft Sans Serif"/>
          <w:spacing w:val="28"/>
          <w:sz w:val="19"/>
        </w:rPr>
        <w:t> </w:t>
      </w:r>
      <w:r>
        <w:rPr>
          <w:rFonts w:ascii="Microsoft Sans Serif" w:hAnsi="Microsoft Sans Serif"/>
          <w:sz w:val="19"/>
        </w:rPr>
        <w:t>hematoma</w:t>
      </w:r>
      <w:r>
        <w:rPr>
          <w:rFonts w:ascii="Microsoft Sans Serif" w:hAnsi="Microsoft Sans Serif"/>
          <w:spacing w:val="28"/>
          <w:sz w:val="19"/>
        </w:rPr>
        <w:t> </w:t>
      </w:r>
      <w:r>
        <w:rPr>
          <w:rFonts w:ascii="Microsoft Sans Serif" w:hAnsi="Microsoft Sans Serif"/>
          <w:sz w:val="19"/>
        </w:rPr>
        <w:t>intramural</w:t>
      </w:r>
      <w:r>
        <w:rPr>
          <w:rFonts w:ascii="Microsoft Sans Serif" w:hAnsi="Microsoft Sans Serif"/>
          <w:spacing w:val="28"/>
          <w:sz w:val="19"/>
        </w:rPr>
        <w:t> </w:t>
      </w:r>
      <w:r>
        <w:rPr>
          <w:rFonts w:ascii="Microsoft Sans Serif" w:hAnsi="Microsoft Sans Serif"/>
          <w:sz w:val="19"/>
        </w:rPr>
        <w:t>na</w:t>
      </w:r>
      <w:r>
        <w:rPr>
          <w:rFonts w:ascii="Microsoft Sans Serif" w:hAnsi="Microsoft Sans Serif"/>
          <w:spacing w:val="28"/>
          <w:sz w:val="19"/>
        </w:rPr>
        <w:t> </w:t>
      </w:r>
      <w:r>
        <w:rPr>
          <w:rFonts w:ascii="Microsoft Sans Serif" w:hAnsi="Microsoft Sans Serif"/>
          <w:sz w:val="19"/>
        </w:rPr>
        <w:t>aorta</w:t>
      </w:r>
      <w:r>
        <w:rPr>
          <w:rFonts w:ascii="Microsoft Sans Serif" w:hAnsi="Microsoft Sans Serif"/>
          <w:spacing w:val="28"/>
          <w:sz w:val="19"/>
        </w:rPr>
        <w:t> </w:t>
      </w:r>
      <w:r>
        <w:rPr>
          <w:rFonts w:ascii="Microsoft Sans Serif" w:hAnsi="Microsoft Sans Serif"/>
          <w:sz w:val="19"/>
        </w:rPr>
        <w:t>ascendente. LD</w:t>
      </w:r>
      <w:r>
        <w:rPr>
          <w:rFonts w:ascii="Microsoft Sans Serif" w:hAnsi="Microsoft Sans Serif"/>
          <w:spacing w:val="28"/>
          <w:sz w:val="19"/>
        </w:rPr>
        <w:t> </w:t>
      </w:r>
      <w:r>
        <w:rPr>
          <w:rFonts w:ascii="Microsoft Sans Serif" w:hAnsi="Microsoft Sans Serif"/>
          <w:sz w:val="19"/>
        </w:rPr>
        <w:t>=</w:t>
      </w:r>
      <w:r>
        <w:rPr>
          <w:rFonts w:ascii="Microsoft Sans Serif" w:hAnsi="Microsoft Sans Serif"/>
          <w:spacing w:val="20"/>
          <w:sz w:val="19"/>
        </w:rPr>
        <w:t> </w:t>
      </w:r>
      <w:r>
        <w:rPr>
          <w:rFonts w:ascii="Microsoft Sans Serif" w:hAnsi="Microsoft Sans Serif"/>
          <w:sz w:val="19"/>
        </w:rPr>
        <w:t>lâmina</w:t>
      </w:r>
      <w:r>
        <w:rPr>
          <w:rFonts w:ascii="Microsoft Sans Serif" w:hAnsi="Microsoft Sans Serif"/>
          <w:spacing w:val="28"/>
          <w:sz w:val="19"/>
        </w:rPr>
        <w:t> </w:t>
      </w:r>
      <w:r>
        <w:rPr>
          <w:rFonts w:ascii="Microsoft Sans Serif" w:hAnsi="Microsoft Sans Serif"/>
          <w:sz w:val="19"/>
        </w:rPr>
        <w:t>de</w:t>
      </w:r>
      <w:r>
        <w:rPr>
          <w:rFonts w:ascii="Microsoft Sans Serif" w:hAnsi="Microsoft Sans Serif"/>
          <w:spacing w:val="28"/>
          <w:sz w:val="19"/>
        </w:rPr>
        <w:t> </w:t>
      </w:r>
      <w:r>
        <w:rPr>
          <w:rFonts w:ascii="Microsoft Sans Serif" w:hAnsi="Microsoft Sans Serif"/>
          <w:sz w:val="19"/>
        </w:rPr>
        <w:t>dissecção; FL</w:t>
      </w:r>
      <w:r>
        <w:rPr>
          <w:rFonts w:ascii="Microsoft Sans Serif" w:hAnsi="Microsoft Sans Serif"/>
          <w:spacing w:val="28"/>
          <w:sz w:val="19"/>
        </w:rPr>
        <w:t> </w:t>
      </w:r>
      <w:r>
        <w:rPr>
          <w:rFonts w:ascii="Microsoft Sans Serif" w:hAnsi="Microsoft Sans Serif"/>
          <w:sz w:val="19"/>
        </w:rPr>
        <w:t>=</w:t>
      </w:r>
      <w:r>
        <w:rPr>
          <w:rFonts w:ascii="Microsoft Sans Serif" w:hAnsi="Microsoft Sans Serif"/>
          <w:spacing w:val="20"/>
          <w:sz w:val="19"/>
        </w:rPr>
        <w:t> </w:t>
      </w:r>
      <w:r>
        <w:rPr>
          <w:rFonts w:ascii="Microsoft Sans Serif" w:hAnsi="Microsoft Sans Serif"/>
          <w:sz w:val="19"/>
        </w:rPr>
        <w:t>falso</w:t>
      </w:r>
      <w:r>
        <w:rPr>
          <w:rFonts w:ascii="Microsoft Sans Serif" w:hAnsi="Microsoft Sans Serif"/>
          <w:spacing w:val="28"/>
          <w:sz w:val="19"/>
        </w:rPr>
        <w:t> </w:t>
      </w:r>
      <w:r>
        <w:rPr>
          <w:rFonts w:ascii="Microsoft Sans Serif" w:hAnsi="Microsoft Sans Serif"/>
          <w:sz w:val="19"/>
        </w:rPr>
        <w:t>lúmen; LV</w:t>
      </w:r>
      <w:r>
        <w:rPr>
          <w:rFonts w:ascii="Microsoft Sans Serif" w:hAnsi="Microsoft Sans Serif"/>
          <w:spacing w:val="20"/>
          <w:sz w:val="19"/>
        </w:rPr>
        <w:t> </w:t>
      </w:r>
      <w:r>
        <w:rPr>
          <w:rFonts w:ascii="Microsoft Sans Serif" w:hAnsi="Microsoft Sans Serif"/>
          <w:sz w:val="19"/>
        </w:rPr>
        <w:t>=</w:t>
      </w:r>
      <w:r>
        <w:rPr>
          <w:rFonts w:ascii="Microsoft Sans Serif" w:hAnsi="Microsoft Sans Serif"/>
          <w:spacing w:val="20"/>
          <w:sz w:val="19"/>
        </w:rPr>
        <w:t> </w:t>
      </w:r>
      <w:r>
        <w:rPr>
          <w:rFonts w:ascii="Microsoft Sans Serif" w:hAnsi="Microsoft Sans Serif"/>
          <w:sz w:val="19"/>
        </w:rPr>
        <w:t>lúmen</w:t>
      </w:r>
      <w:r>
        <w:rPr>
          <w:rFonts w:ascii="Microsoft Sans Serif" w:hAnsi="Microsoft Sans Serif"/>
          <w:spacing w:val="28"/>
          <w:sz w:val="19"/>
        </w:rPr>
        <w:t> </w:t>
      </w:r>
      <w:r>
        <w:rPr>
          <w:rFonts w:ascii="Microsoft Sans Serif" w:hAnsi="Microsoft Sans Serif"/>
          <w:sz w:val="19"/>
        </w:rPr>
        <w:t>verdadeiro.</w:t>
      </w:r>
    </w:p>
    <w:p>
      <w:pPr>
        <w:pStyle w:val="BodyText"/>
        <w:spacing w:before="62"/>
        <w:ind w:left="0" w:firstLine="0"/>
        <w:jc w:val="left"/>
        <w:rPr>
          <w:rFonts w:ascii="Microsoft Sans Serif"/>
          <w:sz w:val="19"/>
        </w:rPr>
      </w:pPr>
    </w:p>
    <w:p>
      <w:pPr>
        <w:pStyle w:val="Heading7"/>
        <w:jc w:val="both"/>
      </w:pPr>
      <w:r>
        <w:rPr>
          <w:color w:val="242B67"/>
        </w:rPr>
        <w:t>Hematoma </w:t>
      </w:r>
      <w:r>
        <w:rPr>
          <w:color w:val="242B67"/>
          <w:spacing w:val="-2"/>
        </w:rPr>
        <w:t>intramural</w:t>
      </w:r>
    </w:p>
    <w:p>
      <w:pPr>
        <w:pStyle w:val="BodyText"/>
        <w:spacing w:line="276" w:lineRule="auto" w:before="159"/>
        <w:ind w:right="488"/>
      </w:pPr>
      <w:r>
        <w:rPr/>
        <w:t>Descrito pela primeira vez por Krukenberg em 1920,</w:t>
      </w:r>
      <w:r>
        <w:rPr>
          <w:vertAlign w:val="superscript"/>
        </w:rPr>
        <w:t>38</w:t>
      </w:r>
      <w:r>
        <w:rPr>
          <w:vertAlign w:val="baseline"/>
        </w:rPr>
        <w:t> o hematoma intramural foi considerado como uma dissecção aórtica sem ruptura da íntima. O hematoma intramural (HIM) supostamente se inicia pela ruptura dos </w:t>
      </w:r>
      <w:r>
        <w:rPr>
          <w:i/>
          <w:vertAlign w:val="baseline"/>
        </w:rPr>
        <w:t>vasa vasorum</w:t>
      </w:r>
      <w:r>
        <w:rPr>
          <w:vertAlign w:val="baseline"/>
        </w:rPr>
        <w:t>, formando hematoma na camada média da aorta. Pode ocorrer espontaneamente em pacientes hipertensos, associado à UAP ou após traumatismos torácicos não penetrantes.</w:t>
      </w:r>
    </w:p>
    <w:p>
      <w:pPr>
        <w:pStyle w:val="BodyText"/>
        <w:spacing w:before="68"/>
        <w:ind w:left="0" w:firstLine="0"/>
        <w:jc w:val="left"/>
      </w:pPr>
    </w:p>
    <w:p>
      <w:pPr>
        <w:pStyle w:val="Heading9"/>
        <w:jc w:val="both"/>
      </w:pPr>
      <w:r>
        <w:rPr>
          <w:color w:val="A26108"/>
        </w:rPr>
        <w:t>Manifestações</w:t>
      </w:r>
      <w:r>
        <w:rPr>
          <w:color w:val="A26108"/>
          <w:spacing w:val="17"/>
        </w:rPr>
        <w:t> </w:t>
      </w:r>
      <w:r>
        <w:rPr>
          <w:color w:val="A26108"/>
        </w:rPr>
        <w:t>clínicas</w:t>
      </w:r>
      <w:r>
        <w:rPr>
          <w:color w:val="A26108"/>
          <w:spacing w:val="18"/>
        </w:rPr>
        <w:t> </w:t>
      </w:r>
      <w:r>
        <w:rPr>
          <w:color w:val="A26108"/>
        </w:rPr>
        <w:t>propostas</w:t>
      </w:r>
      <w:r>
        <w:rPr>
          <w:color w:val="A26108"/>
          <w:spacing w:val="18"/>
        </w:rPr>
        <w:t> </w:t>
      </w:r>
      <w:r>
        <w:rPr>
          <w:color w:val="A26108"/>
        </w:rPr>
        <w:t>por</w:t>
      </w:r>
      <w:r>
        <w:rPr>
          <w:color w:val="A26108"/>
          <w:spacing w:val="18"/>
        </w:rPr>
        <w:t> </w:t>
      </w:r>
      <w:r>
        <w:rPr>
          <w:color w:val="A26108"/>
        </w:rPr>
        <w:t>Coady,</w:t>
      </w:r>
      <w:r>
        <w:rPr>
          <w:color w:val="A26108"/>
          <w:spacing w:val="17"/>
        </w:rPr>
        <w:t> </w:t>
      </w:r>
      <w:r>
        <w:rPr>
          <w:color w:val="A26108"/>
        </w:rPr>
        <w:t>Rizzo</w:t>
      </w:r>
      <w:r>
        <w:rPr>
          <w:color w:val="A26108"/>
          <w:spacing w:val="18"/>
        </w:rPr>
        <w:t> </w:t>
      </w:r>
      <w:r>
        <w:rPr>
          <w:color w:val="A26108"/>
        </w:rPr>
        <w:t>e</w:t>
      </w:r>
      <w:r>
        <w:rPr>
          <w:color w:val="A26108"/>
          <w:spacing w:val="18"/>
        </w:rPr>
        <w:t> </w:t>
      </w:r>
      <w:r>
        <w:rPr>
          <w:color w:val="A26108"/>
          <w:spacing w:val="-2"/>
        </w:rPr>
        <w:t>Elefteriades</w:t>
      </w:r>
      <w:r>
        <w:rPr>
          <w:color w:val="A26108"/>
          <w:spacing w:val="-2"/>
          <w:vertAlign w:val="superscript"/>
        </w:rPr>
        <w:t>39</w:t>
      </w:r>
    </w:p>
    <w:p>
      <w:pPr>
        <w:pStyle w:val="BodyText"/>
        <w:spacing w:line="276" w:lineRule="auto" w:before="117"/>
        <w:ind w:right="491"/>
      </w:pPr>
      <w:r>
        <w:rPr/>
        <w:t>A maioria dos pacientes apresenta dores lancinantes no precórdio ou nas costas, de início súbito, podendo apresentar características migratórias (principalmente no HIM). Não costuma haver associação com eventos isquêmicos (diferente do que ocorre nas dissecções clássicas).</w:t>
      </w:r>
    </w:p>
    <w:p>
      <w:pPr>
        <w:pStyle w:val="BodyText"/>
        <w:spacing w:line="276" w:lineRule="auto"/>
        <w:ind w:right="490"/>
      </w:pPr>
      <w:r>
        <w:rPr/>
        <w:t>Os pacientes com dissecção tipo B, UAP e HIM (idades médias respectivamente de 69,9, 73,9 e 74 anos) são mais idosos que</w:t>
      </w:r>
      <w:r>
        <w:rPr>
          <w:spacing w:val="-6"/>
        </w:rPr>
        <w:t> </w:t>
      </w:r>
      <w:r>
        <w:rPr/>
        <w:t>aqueles portadores de</w:t>
      </w:r>
      <w:r>
        <w:rPr>
          <w:spacing w:val="-6"/>
        </w:rPr>
        <w:t> </w:t>
      </w:r>
      <w:r>
        <w:rPr/>
        <w:t>dissecção</w:t>
      </w:r>
      <w:r>
        <w:rPr>
          <w:spacing w:val="-3"/>
        </w:rPr>
        <w:t> </w:t>
      </w:r>
      <w:r>
        <w:rPr/>
        <w:t>do</w:t>
      </w:r>
      <w:r>
        <w:rPr>
          <w:spacing w:val="-3"/>
        </w:rPr>
        <w:t> </w:t>
      </w:r>
      <w:r>
        <w:rPr/>
        <w:t>tipo</w:t>
      </w:r>
      <w:r>
        <w:rPr>
          <w:spacing w:val="-3"/>
        </w:rPr>
        <w:t> </w:t>
      </w:r>
      <w:r>
        <w:rPr/>
        <w:t>A</w:t>
      </w:r>
      <w:r>
        <w:rPr>
          <w:spacing w:val="-6"/>
        </w:rPr>
        <w:t> </w:t>
      </w:r>
      <w:r>
        <w:rPr/>
        <w:t>(média</w:t>
      </w:r>
      <w:r>
        <w:rPr>
          <w:spacing w:val="-6"/>
        </w:rPr>
        <w:t> </w:t>
      </w:r>
      <w:r>
        <w:rPr/>
        <w:t>de</w:t>
      </w:r>
      <w:r>
        <w:rPr>
          <w:spacing w:val="-6"/>
        </w:rPr>
        <w:t> </w:t>
      </w:r>
      <w:r>
        <w:rPr/>
        <w:t>56,5</w:t>
      </w:r>
      <w:r>
        <w:rPr>
          <w:spacing w:val="-3"/>
        </w:rPr>
        <w:t> </w:t>
      </w:r>
      <w:r>
        <w:rPr/>
        <w:t>anos) (p=0,0001). Ocorre</w:t>
      </w:r>
      <w:r>
        <w:rPr>
          <w:spacing w:val="-6"/>
        </w:rPr>
        <w:t> </w:t>
      </w:r>
      <w:r>
        <w:rPr/>
        <w:t>concomitância com o aneurisma de aorta abdominal em 42% das</w:t>
      </w:r>
      <w:r>
        <w:rPr>
          <w:spacing w:val="14"/>
        </w:rPr>
        <w:t> </w:t>
      </w:r>
      <w:r>
        <w:rPr/>
        <w:t>UAP e 29% dos</w:t>
      </w:r>
      <w:r>
        <w:rPr>
          <w:spacing w:val="14"/>
        </w:rPr>
        <w:t> </w:t>
      </w:r>
      <w:r>
        <w:rPr/>
        <w:t>HIM.</w:t>
      </w:r>
      <w:r>
        <w:rPr>
          <w:spacing w:val="14"/>
        </w:rPr>
        <w:t> </w:t>
      </w:r>
      <w:r>
        <w:rPr/>
        <w:t>Localizam-se preferencialmente na aorta</w:t>
      </w:r>
    </w:p>
    <w:p>
      <w:pPr>
        <w:pStyle w:val="BodyText"/>
        <w:spacing w:after="0" w:line="276" w:lineRule="auto"/>
        <w:sectPr>
          <w:pgSz w:w="11900" w:h="16840"/>
          <w:pgMar w:top="280" w:bottom="0" w:left="566" w:right="141"/>
        </w:sectPr>
      </w:pPr>
    </w:p>
    <w:p>
      <w:pPr>
        <w:pStyle w:val="BodyText"/>
        <w:spacing w:line="271" w:lineRule="auto" w:before="66"/>
        <w:ind w:firstLine="0"/>
        <w:jc w:val="left"/>
      </w:pPr>
      <w:r>
        <w:rPr/>
        <w:t>torácica</w:t>
      </w:r>
      <w:r>
        <w:rPr>
          <w:spacing w:val="-10"/>
        </w:rPr>
        <w:t> </w:t>
      </w:r>
      <w:r>
        <w:rPr/>
        <w:t>descendente, sendo</w:t>
      </w:r>
      <w:r>
        <w:rPr>
          <w:spacing w:val="-8"/>
        </w:rPr>
        <w:t> </w:t>
      </w:r>
      <w:r>
        <w:rPr/>
        <w:t>a</w:t>
      </w:r>
      <w:r>
        <w:rPr>
          <w:spacing w:val="-10"/>
        </w:rPr>
        <w:t> </w:t>
      </w:r>
      <w:r>
        <w:rPr/>
        <w:t>UAP</w:t>
      </w:r>
      <w:r>
        <w:rPr>
          <w:spacing w:val="-5"/>
        </w:rPr>
        <w:t> </w:t>
      </w:r>
      <w:r>
        <w:rPr/>
        <w:t>em</w:t>
      </w:r>
      <w:r>
        <w:rPr>
          <w:spacing w:val="-8"/>
        </w:rPr>
        <w:t> </w:t>
      </w:r>
      <w:r>
        <w:rPr/>
        <w:t>89,5%</w:t>
      </w:r>
      <w:r>
        <w:rPr>
          <w:spacing w:val="-5"/>
        </w:rPr>
        <w:t> </w:t>
      </w:r>
      <w:r>
        <w:rPr/>
        <w:t>das vezes e</w:t>
      </w:r>
      <w:r>
        <w:rPr>
          <w:spacing w:val="-10"/>
        </w:rPr>
        <w:t> </w:t>
      </w:r>
      <w:r>
        <w:rPr/>
        <w:t>o</w:t>
      </w:r>
      <w:r>
        <w:rPr>
          <w:spacing w:val="-8"/>
        </w:rPr>
        <w:t> </w:t>
      </w:r>
      <w:r>
        <w:rPr/>
        <w:t>HIM</w:t>
      </w:r>
      <w:r>
        <w:rPr>
          <w:spacing w:val="-3"/>
        </w:rPr>
        <w:t> </w:t>
      </w:r>
      <w:r>
        <w:rPr/>
        <w:t>em</w:t>
      </w:r>
      <w:r>
        <w:rPr>
          <w:spacing w:val="-8"/>
        </w:rPr>
        <w:t> </w:t>
      </w:r>
      <w:r>
        <w:rPr/>
        <w:t>70,5%, em</w:t>
      </w:r>
      <w:r>
        <w:rPr>
          <w:spacing w:val="-8"/>
        </w:rPr>
        <w:t> </w:t>
      </w:r>
      <w:r>
        <w:rPr/>
        <w:t>função</w:t>
      </w:r>
      <w:r>
        <w:rPr>
          <w:spacing w:val="-8"/>
        </w:rPr>
        <w:t> </w:t>
      </w:r>
      <w:r>
        <w:rPr/>
        <w:t>da</w:t>
      </w:r>
      <w:r>
        <w:rPr>
          <w:spacing w:val="-10"/>
        </w:rPr>
        <w:t> </w:t>
      </w:r>
      <w:r>
        <w:rPr/>
        <w:t>associação</w:t>
      </w:r>
      <w:r>
        <w:rPr>
          <w:spacing w:val="-8"/>
        </w:rPr>
        <w:t> </w:t>
      </w:r>
      <w:r>
        <w:rPr/>
        <w:t>com</w:t>
      </w:r>
      <w:r>
        <w:rPr>
          <w:spacing w:val="-8"/>
        </w:rPr>
        <w:t> </w:t>
      </w:r>
      <w:r>
        <w:rPr/>
        <w:t>a</w:t>
      </w:r>
      <w:r>
        <w:rPr>
          <w:spacing w:val="-10"/>
        </w:rPr>
        <w:t> </w:t>
      </w:r>
      <w:r>
        <w:rPr/>
        <w:t>doença </w:t>
      </w:r>
      <w:r>
        <w:rPr>
          <w:spacing w:val="-2"/>
        </w:rPr>
        <w:t>aterosclerótica.</w:t>
      </w:r>
    </w:p>
    <w:p>
      <w:pPr>
        <w:pStyle w:val="BodyText"/>
        <w:spacing w:line="276" w:lineRule="auto" w:before="70"/>
        <w:ind w:right="501"/>
      </w:pPr>
      <w:r>
        <w:rPr/>
        <w:t>A incidência de ruptura na fase aguda da UAP foi de 42% e no HIM de 35%. Com exceção de um paciente, todos os acometimentos da aorta ascendente evoluíram à ruptura durante a fase aguda.</w:t>
      </w:r>
    </w:p>
    <w:p>
      <w:pPr>
        <w:pStyle w:val="BodyText"/>
        <w:spacing w:before="53"/>
        <w:ind w:left="0" w:firstLine="0"/>
        <w:jc w:val="left"/>
      </w:pPr>
    </w:p>
    <w:p>
      <w:pPr>
        <w:pStyle w:val="Heading9"/>
      </w:pPr>
      <w:r>
        <w:rPr>
          <w:color w:val="A26108"/>
        </w:rPr>
        <w:t>Conduta</w:t>
      </w:r>
      <w:r>
        <w:rPr>
          <w:color w:val="A26108"/>
          <w:spacing w:val="21"/>
        </w:rPr>
        <w:t> </w:t>
      </w:r>
      <w:r>
        <w:rPr>
          <w:color w:val="A26108"/>
          <w:spacing w:val="-2"/>
        </w:rPr>
        <w:t>terapêutica</w:t>
      </w:r>
    </w:p>
    <w:p>
      <w:pPr>
        <w:pStyle w:val="BodyText"/>
        <w:spacing w:line="276" w:lineRule="auto" w:before="116"/>
        <w:ind w:right="501"/>
      </w:pPr>
      <w:r>
        <w:rPr/>
        <w:t>Os pacientes portadores de</w:t>
      </w:r>
      <w:r>
        <w:rPr>
          <w:spacing w:val="-10"/>
        </w:rPr>
        <w:t> </w:t>
      </w:r>
      <w:r>
        <w:rPr/>
        <w:t>dissecção</w:t>
      </w:r>
      <w:r>
        <w:rPr>
          <w:spacing w:val="-7"/>
        </w:rPr>
        <w:t> </w:t>
      </w:r>
      <w:r>
        <w:rPr/>
        <w:t>atípica</w:t>
      </w:r>
      <w:r>
        <w:rPr>
          <w:spacing w:val="-10"/>
        </w:rPr>
        <w:t> </w:t>
      </w:r>
      <w:r>
        <w:rPr/>
        <w:t>da</w:t>
      </w:r>
      <w:r>
        <w:rPr>
          <w:spacing w:val="-10"/>
        </w:rPr>
        <w:t> </w:t>
      </w:r>
      <w:r>
        <w:rPr/>
        <w:t>aorta</w:t>
      </w:r>
      <w:r>
        <w:rPr>
          <w:spacing w:val="-10"/>
        </w:rPr>
        <w:t> </w:t>
      </w:r>
      <w:r>
        <w:rPr/>
        <w:t>torácica</w:t>
      </w:r>
      <w:r>
        <w:rPr>
          <w:spacing w:val="-10"/>
        </w:rPr>
        <w:t> </w:t>
      </w:r>
      <w:r>
        <w:rPr/>
        <w:t>requerem</w:t>
      </w:r>
      <w:r>
        <w:rPr>
          <w:spacing w:val="-7"/>
        </w:rPr>
        <w:t> </w:t>
      </w:r>
      <w:r>
        <w:rPr/>
        <w:t>tratamento</w:t>
      </w:r>
      <w:r>
        <w:rPr>
          <w:spacing w:val="-7"/>
        </w:rPr>
        <w:t> </w:t>
      </w:r>
      <w:r>
        <w:rPr/>
        <w:t>à</w:t>
      </w:r>
      <w:r>
        <w:rPr>
          <w:spacing w:val="-10"/>
        </w:rPr>
        <w:t> </w:t>
      </w:r>
      <w:r>
        <w:rPr/>
        <w:t>semelhança</w:t>
      </w:r>
      <w:r>
        <w:rPr>
          <w:spacing w:val="-10"/>
        </w:rPr>
        <w:t> </w:t>
      </w:r>
      <w:r>
        <w:rPr/>
        <w:t>dos portadores das dissecções clássicas da aorta.</w:t>
      </w:r>
    </w:p>
    <w:p>
      <w:pPr>
        <w:pStyle w:val="BodyText"/>
        <w:spacing w:before="134"/>
        <w:ind w:left="0" w:firstLine="0"/>
        <w:jc w:val="left"/>
      </w:pPr>
    </w:p>
    <w:p>
      <w:pPr>
        <w:pStyle w:val="Heading5"/>
      </w:pPr>
      <w:r>
        <w:rPr>
          <w:color w:val="A26108"/>
        </w:rPr>
        <w:t>Diagnóstico</w:t>
      </w:r>
      <w:r>
        <w:rPr>
          <w:color w:val="A26108"/>
          <w:spacing w:val="20"/>
        </w:rPr>
        <w:t> </w:t>
      </w:r>
      <w:r>
        <w:rPr>
          <w:color w:val="A26108"/>
        </w:rPr>
        <w:t>nas</w:t>
      </w:r>
      <w:r>
        <w:rPr>
          <w:color w:val="A26108"/>
          <w:spacing w:val="20"/>
        </w:rPr>
        <w:t> </w:t>
      </w:r>
      <w:r>
        <w:rPr>
          <w:color w:val="A26108"/>
        </w:rPr>
        <w:t>doenças</w:t>
      </w:r>
      <w:r>
        <w:rPr>
          <w:color w:val="A26108"/>
          <w:spacing w:val="20"/>
        </w:rPr>
        <w:t> </w:t>
      </w:r>
      <w:r>
        <w:rPr>
          <w:color w:val="A26108"/>
        </w:rPr>
        <w:t>da</w:t>
      </w:r>
      <w:r>
        <w:rPr>
          <w:color w:val="A26108"/>
          <w:spacing w:val="20"/>
        </w:rPr>
        <w:t> </w:t>
      </w:r>
      <w:r>
        <w:rPr>
          <w:color w:val="A26108"/>
        </w:rPr>
        <w:t>aorta</w:t>
      </w:r>
      <w:r>
        <w:rPr>
          <w:color w:val="A26108"/>
          <w:spacing w:val="20"/>
        </w:rPr>
        <w:t> </w:t>
      </w:r>
      <w:r>
        <w:rPr>
          <w:color w:val="A26108"/>
          <w:spacing w:val="-2"/>
        </w:rPr>
        <w:t>torácica</w:t>
      </w:r>
    </w:p>
    <w:p>
      <w:pPr>
        <w:pStyle w:val="BodyText"/>
        <w:spacing w:line="276" w:lineRule="auto" w:before="138"/>
        <w:ind w:right="488"/>
      </w:pPr>
      <w:r>
        <w:rPr/>
        <w:t>O diagnóstico das doenças da aorta, quando não associado às suas complicações de ruptura ou dissecção, na maioria</w:t>
      </w:r>
      <w:r>
        <w:rPr>
          <w:spacing w:val="-8"/>
        </w:rPr>
        <w:t> </w:t>
      </w:r>
      <w:r>
        <w:rPr/>
        <w:t>das vezes é</w:t>
      </w:r>
      <w:r>
        <w:rPr>
          <w:spacing w:val="-8"/>
        </w:rPr>
        <w:t> </w:t>
      </w:r>
      <w:r>
        <w:rPr/>
        <w:t>achado</w:t>
      </w:r>
      <w:r>
        <w:rPr>
          <w:spacing w:val="-6"/>
        </w:rPr>
        <w:t> </w:t>
      </w:r>
      <w:r>
        <w:rPr/>
        <w:t>ocasional</w:t>
      </w:r>
      <w:r>
        <w:rPr>
          <w:spacing w:val="-3"/>
        </w:rPr>
        <w:t> </w:t>
      </w:r>
      <w:r>
        <w:rPr/>
        <w:t>de</w:t>
      </w:r>
      <w:r>
        <w:rPr>
          <w:spacing w:val="-8"/>
        </w:rPr>
        <w:t> </w:t>
      </w:r>
      <w:r>
        <w:rPr/>
        <w:t>exame</w:t>
      </w:r>
      <w:r>
        <w:rPr>
          <w:spacing w:val="-8"/>
        </w:rPr>
        <w:t> </w:t>
      </w:r>
      <w:r>
        <w:rPr/>
        <w:t>de</w:t>
      </w:r>
      <w:r>
        <w:rPr>
          <w:spacing w:val="-8"/>
        </w:rPr>
        <w:t> </w:t>
      </w:r>
      <w:r>
        <w:rPr/>
        <w:t>rotina</w:t>
      </w:r>
      <w:r>
        <w:rPr>
          <w:spacing w:val="-8"/>
        </w:rPr>
        <w:t> </w:t>
      </w:r>
      <w:r>
        <w:rPr/>
        <w:t>para</w:t>
      </w:r>
      <w:r>
        <w:rPr>
          <w:spacing w:val="-8"/>
        </w:rPr>
        <w:t> </w:t>
      </w:r>
      <w:r>
        <w:rPr/>
        <w:t>investigação</w:t>
      </w:r>
      <w:r>
        <w:rPr>
          <w:spacing w:val="-6"/>
        </w:rPr>
        <w:t> </w:t>
      </w:r>
      <w:r>
        <w:rPr/>
        <w:t>de</w:t>
      </w:r>
      <w:r>
        <w:rPr>
          <w:spacing w:val="-8"/>
        </w:rPr>
        <w:t> </w:t>
      </w:r>
      <w:r>
        <w:rPr/>
        <w:t>outras doenças. Somente</w:t>
      </w:r>
      <w:r>
        <w:rPr>
          <w:spacing w:val="-8"/>
        </w:rPr>
        <w:t> </w:t>
      </w:r>
      <w:r>
        <w:rPr/>
        <w:t>o</w:t>
      </w:r>
      <w:r>
        <w:rPr>
          <w:spacing w:val="-6"/>
        </w:rPr>
        <w:t> </w:t>
      </w:r>
      <w:r>
        <w:rPr/>
        <w:t>aneurisma da</w:t>
      </w:r>
      <w:r>
        <w:rPr>
          <w:spacing w:val="-2"/>
        </w:rPr>
        <w:t> </w:t>
      </w:r>
      <w:r>
        <w:rPr/>
        <w:t>aorta</w:t>
      </w:r>
      <w:r>
        <w:rPr>
          <w:spacing w:val="-2"/>
        </w:rPr>
        <w:t> </w:t>
      </w:r>
      <w:r>
        <w:rPr/>
        <w:t>abdominal pode</w:t>
      </w:r>
      <w:r>
        <w:rPr>
          <w:spacing w:val="-2"/>
        </w:rPr>
        <w:t> </w:t>
      </w:r>
      <w:r>
        <w:rPr/>
        <w:t>ser identificado secundariamente</w:t>
      </w:r>
      <w:r>
        <w:rPr>
          <w:spacing w:val="-2"/>
        </w:rPr>
        <w:t> </w:t>
      </w:r>
      <w:r>
        <w:rPr/>
        <w:t>ao exame</w:t>
      </w:r>
      <w:r>
        <w:rPr>
          <w:spacing w:val="-2"/>
        </w:rPr>
        <w:t> </w:t>
      </w:r>
      <w:r>
        <w:rPr/>
        <w:t>físico do paciente.</w:t>
      </w:r>
    </w:p>
    <w:p>
      <w:pPr>
        <w:pStyle w:val="BodyText"/>
        <w:spacing w:line="276" w:lineRule="auto" w:before="49"/>
        <w:ind w:right="488"/>
      </w:pPr>
      <w:r>
        <w:rPr/>
        <w:t>Historicamente, o</w:t>
      </w:r>
      <w:r>
        <w:rPr>
          <w:spacing w:val="-8"/>
        </w:rPr>
        <w:t> </w:t>
      </w:r>
      <w:r>
        <w:rPr/>
        <w:t>método</w:t>
      </w:r>
      <w:r>
        <w:rPr>
          <w:spacing w:val="-8"/>
        </w:rPr>
        <w:t> </w:t>
      </w:r>
      <w:r>
        <w:rPr/>
        <w:t>clássico</w:t>
      </w:r>
      <w:r>
        <w:rPr>
          <w:spacing w:val="-8"/>
        </w:rPr>
        <w:t> </w:t>
      </w:r>
      <w:r>
        <w:rPr/>
        <w:t>no</w:t>
      </w:r>
      <w:r>
        <w:rPr>
          <w:spacing w:val="-8"/>
        </w:rPr>
        <w:t> </w:t>
      </w:r>
      <w:r>
        <w:rPr/>
        <w:t>estudo</w:t>
      </w:r>
      <w:r>
        <w:rPr>
          <w:spacing w:val="-8"/>
        </w:rPr>
        <w:t> </w:t>
      </w:r>
      <w:r>
        <w:rPr/>
        <w:t>das doenças da</w:t>
      </w:r>
      <w:r>
        <w:rPr>
          <w:spacing w:val="-10"/>
        </w:rPr>
        <w:t> </w:t>
      </w:r>
      <w:r>
        <w:rPr/>
        <w:t>aorta</w:t>
      </w:r>
      <w:r>
        <w:rPr>
          <w:spacing w:val="-10"/>
        </w:rPr>
        <w:t> </w:t>
      </w:r>
      <w:r>
        <w:rPr/>
        <w:t>foi</w:t>
      </w:r>
      <w:r>
        <w:rPr>
          <w:spacing w:val="-5"/>
        </w:rPr>
        <w:t> </w:t>
      </w:r>
      <w:r>
        <w:rPr/>
        <w:t>a</w:t>
      </w:r>
      <w:r>
        <w:rPr>
          <w:spacing w:val="-10"/>
        </w:rPr>
        <w:t> </w:t>
      </w:r>
      <w:r>
        <w:rPr/>
        <w:t>arteriografia. Em</w:t>
      </w:r>
      <w:r>
        <w:rPr>
          <w:spacing w:val="-8"/>
        </w:rPr>
        <w:t> </w:t>
      </w:r>
      <w:r>
        <w:rPr/>
        <w:t>função</w:t>
      </w:r>
      <w:r>
        <w:rPr>
          <w:spacing w:val="-8"/>
        </w:rPr>
        <w:t> </w:t>
      </w:r>
      <w:r>
        <w:rPr/>
        <w:t>da</w:t>
      </w:r>
      <w:r>
        <w:rPr>
          <w:spacing w:val="-10"/>
        </w:rPr>
        <w:t> </w:t>
      </w:r>
      <w:r>
        <w:rPr/>
        <w:t>invasividade do método, das suas limitações e</w:t>
      </w:r>
      <w:r>
        <w:rPr>
          <w:spacing w:val="-2"/>
        </w:rPr>
        <w:t> </w:t>
      </w:r>
      <w:r>
        <w:rPr/>
        <w:t>de</w:t>
      </w:r>
      <w:r>
        <w:rPr>
          <w:spacing w:val="-2"/>
        </w:rPr>
        <w:t> </w:t>
      </w:r>
      <w:r>
        <w:rPr/>
        <w:t>seus efeitos adversos, a</w:t>
      </w:r>
      <w:r>
        <w:rPr>
          <w:spacing w:val="-2"/>
        </w:rPr>
        <w:t> </w:t>
      </w:r>
      <w:r>
        <w:rPr/>
        <w:t>angiografia</w:t>
      </w:r>
      <w:r>
        <w:rPr>
          <w:spacing w:val="-2"/>
        </w:rPr>
        <w:t> </w:t>
      </w:r>
      <w:r>
        <w:rPr/>
        <w:t>é</w:t>
      </w:r>
      <w:r>
        <w:rPr>
          <w:spacing w:val="-2"/>
        </w:rPr>
        <w:t> </w:t>
      </w:r>
      <w:r>
        <w:rPr/>
        <w:t>hoje</w:t>
      </w:r>
      <w:r>
        <w:rPr>
          <w:spacing w:val="-2"/>
        </w:rPr>
        <w:t> </w:t>
      </w:r>
      <w:r>
        <w:rPr/>
        <w:t>um exame</w:t>
      </w:r>
      <w:r>
        <w:rPr>
          <w:spacing w:val="-2"/>
        </w:rPr>
        <w:t> </w:t>
      </w:r>
      <w:r>
        <w:rPr/>
        <w:t>pouco utilizado.</w:t>
      </w:r>
    </w:p>
    <w:p>
      <w:pPr>
        <w:pStyle w:val="BodyText"/>
        <w:spacing w:line="276" w:lineRule="auto" w:before="64"/>
        <w:ind w:right="488"/>
      </w:pPr>
      <w:r>
        <w:rPr/>
        <w:t>A ecocardiografia, a tomografia e a ressonância magnética constituem modalidades não invasivas eficientes e comumente disponíveis para o estudo da aorta.</w:t>
      </w:r>
    </w:p>
    <w:p>
      <w:pPr>
        <w:pStyle w:val="BodyText"/>
        <w:spacing w:before="24"/>
        <w:ind w:left="0" w:firstLine="0"/>
        <w:jc w:val="left"/>
      </w:pPr>
    </w:p>
    <w:p>
      <w:pPr>
        <w:pStyle w:val="Heading7"/>
      </w:pPr>
      <w:r>
        <w:rPr>
          <w:color w:val="242B67"/>
          <w:spacing w:val="-2"/>
        </w:rPr>
        <w:t>Aortografia</w:t>
      </w:r>
    </w:p>
    <w:p>
      <w:pPr>
        <w:pStyle w:val="BodyText"/>
        <w:spacing w:line="278" w:lineRule="auto" w:before="127"/>
        <w:ind w:right="497"/>
      </w:pPr>
      <w:r>
        <w:rPr/>
        <w:t>Historicamente proposto por Seldinger em 1953, esse método de visualização direta da aorta foi, até há pouco, considerado</w:t>
      </w:r>
      <w:r>
        <w:rPr>
          <w:spacing w:val="-3"/>
        </w:rPr>
        <w:t> </w:t>
      </w:r>
      <w:r>
        <w:rPr/>
        <w:t>como</w:t>
      </w:r>
      <w:r>
        <w:rPr>
          <w:spacing w:val="-3"/>
        </w:rPr>
        <w:t> </w:t>
      </w:r>
      <w:r>
        <w:rPr/>
        <w:t>a</w:t>
      </w:r>
      <w:r>
        <w:rPr>
          <w:spacing w:val="-5"/>
        </w:rPr>
        <w:t> </w:t>
      </w:r>
      <w:r>
        <w:rPr/>
        <w:t>melhor maneira</w:t>
      </w:r>
      <w:r>
        <w:rPr>
          <w:spacing w:val="-5"/>
        </w:rPr>
        <w:t> </w:t>
      </w:r>
      <w:r>
        <w:rPr/>
        <w:t>para</w:t>
      </w:r>
      <w:r>
        <w:rPr>
          <w:spacing w:val="-5"/>
        </w:rPr>
        <w:t> </w:t>
      </w:r>
      <w:r>
        <w:rPr/>
        <w:t>o</w:t>
      </w:r>
      <w:r>
        <w:rPr>
          <w:spacing w:val="-3"/>
        </w:rPr>
        <w:t> </w:t>
      </w:r>
      <w:r>
        <w:rPr/>
        <w:t>diagnóstico</w:t>
      </w:r>
      <w:r>
        <w:rPr>
          <w:spacing w:val="-3"/>
        </w:rPr>
        <w:t> </w:t>
      </w:r>
      <w:r>
        <w:rPr/>
        <w:t>das doenças da</w:t>
      </w:r>
      <w:r>
        <w:rPr>
          <w:spacing w:val="-5"/>
        </w:rPr>
        <w:t> </w:t>
      </w:r>
      <w:r>
        <w:rPr/>
        <w:t>aorta. É capaz</w:t>
      </w:r>
      <w:r>
        <w:rPr>
          <w:spacing w:val="-5"/>
        </w:rPr>
        <w:t> </w:t>
      </w:r>
      <w:r>
        <w:rPr/>
        <w:t>de</w:t>
      </w:r>
      <w:r>
        <w:rPr>
          <w:spacing w:val="-5"/>
        </w:rPr>
        <w:t> </w:t>
      </w:r>
      <w:r>
        <w:rPr/>
        <w:t>mapear toda</w:t>
      </w:r>
      <w:r>
        <w:rPr>
          <w:spacing w:val="-5"/>
        </w:rPr>
        <w:t> </w:t>
      </w:r>
      <w:r>
        <w:rPr/>
        <w:t>a</w:t>
      </w:r>
      <w:r>
        <w:rPr>
          <w:spacing w:val="-5"/>
        </w:rPr>
        <w:t> </w:t>
      </w:r>
      <w:r>
        <w:rPr/>
        <w:t>aorta</w:t>
      </w:r>
      <w:r>
        <w:rPr>
          <w:spacing w:val="-5"/>
        </w:rPr>
        <w:t> </w:t>
      </w:r>
      <w:r>
        <w:rPr/>
        <w:t>e, por meio</w:t>
      </w:r>
      <w:r>
        <w:rPr>
          <w:spacing w:val="-5"/>
        </w:rPr>
        <w:t> </w:t>
      </w:r>
      <w:r>
        <w:rPr/>
        <w:t>de</w:t>
      </w:r>
      <w:r>
        <w:rPr>
          <w:spacing w:val="-7"/>
        </w:rPr>
        <w:t> </w:t>
      </w:r>
      <w:r>
        <w:rPr/>
        <w:t>imagem</w:t>
      </w:r>
      <w:r>
        <w:rPr>
          <w:spacing w:val="-5"/>
        </w:rPr>
        <w:t> </w:t>
      </w:r>
      <w:r>
        <w:rPr/>
        <w:t>bidimensional, caracterizá-la</w:t>
      </w:r>
      <w:r>
        <w:rPr>
          <w:spacing w:val="-7"/>
        </w:rPr>
        <w:t> </w:t>
      </w:r>
      <w:r>
        <w:rPr/>
        <w:t>tridimensionalmente, fornecendo</w:t>
      </w:r>
      <w:r>
        <w:rPr>
          <w:spacing w:val="-5"/>
        </w:rPr>
        <w:t> </w:t>
      </w:r>
      <w:r>
        <w:rPr/>
        <w:t>informações precisas sobre</w:t>
      </w:r>
      <w:r>
        <w:rPr>
          <w:spacing w:val="-7"/>
        </w:rPr>
        <w:t> </w:t>
      </w:r>
      <w:r>
        <w:rPr/>
        <w:t>os seus ramos, orifícios de entrada e reentradas, locais de ruptura, ulcerações e pseudoaneurismas. Suas limitações se devem</w:t>
      </w:r>
      <w:r>
        <w:rPr>
          <w:spacing w:val="-9"/>
        </w:rPr>
        <w:t> </w:t>
      </w:r>
      <w:r>
        <w:rPr/>
        <w:t>ao</w:t>
      </w:r>
      <w:r>
        <w:rPr>
          <w:spacing w:val="-9"/>
        </w:rPr>
        <w:t> </w:t>
      </w:r>
      <w:r>
        <w:rPr/>
        <w:t>fato</w:t>
      </w:r>
      <w:r>
        <w:rPr>
          <w:spacing w:val="-9"/>
        </w:rPr>
        <w:t> </w:t>
      </w:r>
      <w:r>
        <w:rPr/>
        <w:t>de</w:t>
      </w:r>
      <w:r>
        <w:rPr>
          <w:spacing w:val="-11"/>
        </w:rPr>
        <w:t> </w:t>
      </w:r>
      <w:r>
        <w:rPr/>
        <w:t>proporcionar</w:t>
      </w:r>
      <w:r>
        <w:rPr>
          <w:spacing w:val="-4"/>
        </w:rPr>
        <w:t> </w:t>
      </w:r>
      <w:r>
        <w:rPr/>
        <w:t>somente</w:t>
      </w:r>
      <w:r>
        <w:rPr>
          <w:spacing w:val="-11"/>
        </w:rPr>
        <w:t> </w:t>
      </w:r>
      <w:r>
        <w:rPr/>
        <w:t>avaliação</w:t>
      </w:r>
      <w:r>
        <w:rPr>
          <w:spacing w:val="-9"/>
        </w:rPr>
        <w:t> </w:t>
      </w:r>
      <w:r>
        <w:rPr/>
        <w:t>endovascular,</w:t>
      </w:r>
      <w:r>
        <w:rPr>
          <w:spacing w:val="-1"/>
        </w:rPr>
        <w:t> </w:t>
      </w:r>
      <w:r>
        <w:rPr/>
        <w:t>não</w:t>
      </w:r>
      <w:r>
        <w:rPr>
          <w:spacing w:val="-9"/>
        </w:rPr>
        <w:t> </w:t>
      </w:r>
      <w:r>
        <w:rPr/>
        <w:t>possibilitando</w:t>
      </w:r>
      <w:r>
        <w:rPr>
          <w:spacing w:val="-9"/>
        </w:rPr>
        <w:t> </w:t>
      </w:r>
      <w:r>
        <w:rPr/>
        <w:t>a</w:t>
      </w:r>
      <w:r>
        <w:rPr>
          <w:spacing w:val="-11"/>
        </w:rPr>
        <w:t> </w:t>
      </w:r>
      <w:r>
        <w:rPr/>
        <w:t>identificação</w:t>
      </w:r>
      <w:r>
        <w:rPr>
          <w:spacing w:val="-9"/>
        </w:rPr>
        <w:t> </w:t>
      </w:r>
      <w:r>
        <w:rPr/>
        <w:t>de</w:t>
      </w:r>
      <w:r>
        <w:rPr>
          <w:spacing w:val="-11"/>
        </w:rPr>
        <w:t> </w:t>
      </w:r>
      <w:r>
        <w:rPr/>
        <w:t>trombos</w:t>
      </w:r>
      <w:r>
        <w:rPr>
          <w:spacing w:val="-1"/>
        </w:rPr>
        <w:t> </w:t>
      </w:r>
      <w:r>
        <w:rPr/>
        <w:t>ou</w:t>
      </w:r>
      <w:r>
        <w:rPr>
          <w:spacing w:val="-9"/>
        </w:rPr>
        <w:t> </w:t>
      </w:r>
      <w:r>
        <w:rPr/>
        <w:t>do estado</w:t>
      </w:r>
      <w:r>
        <w:rPr>
          <w:spacing w:val="-8"/>
        </w:rPr>
        <w:t> </w:t>
      </w:r>
      <w:r>
        <w:rPr/>
        <w:t>da</w:t>
      </w:r>
      <w:r>
        <w:rPr>
          <w:spacing w:val="-10"/>
        </w:rPr>
        <w:t> </w:t>
      </w:r>
      <w:r>
        <w:rPr/>
        <w:t>parede</w:t>
      </w:r>
      <w:r>
        <w:rPr>
          <w:spacing w:val="-10"/>
        </w:rPr>
        <w:t> </w:t>
      </w:r>
      <w:r>
        <w:rPr/>
        <w:t>da</w:t>
      </w:r>
      <w:r>
        <w:rPr>
          <w:spacing w:val="-10"/>
        </w:rPr>
        <w:t> </w:t>
      </w:r>
      <w:r>
        <w:rPr/>
        <w:t>aorta.</w:t>
      </w:r>
      <w:r>
        <w:rPr>
          <w:spacing w:val="-1"/>
        </w:rPr>
        <w:t> </w:t>
      </w:r>
      <w:r>
        <w:rPr/>
        <w:t>Pode</w:t>
      </w:r>
      <w:r>
        <w:rPr>
          <w:spacing w:val="-10"/>
        </w:rPr>
        <w:t> </w:t>
      </w:r>
      <w:r>
        <w:rPr/>
        <w:t>apresentar</w:t>
      </w:r>
      <w:r>
        <w:rPr>
          <w:spacing w:val="-3"/>
        </w:rPr>
        <w:t> </w:t>
      </w:r>
      <w:r>
        <w:rPr/>
        <w:t>complicações</w:t>
      </w:r>
      <w:r>
        <w:rPr>
          <w:spacing w:val="-1"/>
        </w:rPr>
        <w:t> </w:t>
      </w:r>
      <w:r>
        <w:rPr/>
        <w:t>relacionadas</w:t>
      </w:r>
      <w:r>
        <w:rPr>
          <w:spacing w:val="-1"/>
        </w:rPr>
        <w:t> </w:t>
      </w:r>
      <w:r>
        <w:rPr/>
        <w:t>com</w:t>
      </w:r>
      <w:r>
        <w:rPr>
          <w:spacing w:val="-8"/>
        </w:rPr>
        <w:t> </w:t>
      </w:r>
      <w:r>
        <w:rPr/>
        <w:t>o</w:t>
      </w:r>
      <w:r>
        <w:rPr>
          <w:spacing w:val="-8"/>
        </w:rPr>
        <w:t> </w:t>
      </w:r>
      <w:r>
        <w:rPr/>
        <w:t>uso</w:t>
      </w:r>
      <w:r>
        <w:rPr>
          <w:spacing w:val="-8"/>
        </w:rPr>
        <w:t> </w:t>
      </w:r>
      <w:r>
        <w:rPr/>
        <w:t>de</w:t>
      </w:r>
      <w:r>
        <w:rPr>
          <w:spacing w:val="-10"/>
        </w:rPr>
        <w:t> </w:t>
      </w:r>
      <w:r>
        <w:rPr/>
        <w:t>cateteres</w:t>
      </w:r>
      <w:r>
        <w:rPr>
          <w:spacing w:val="-1"/>
        </w:rPr>
        <w:t> </w:t>
      </w:r>
      <w:r>
        <w:rPr/>
        <w:t>e</w:t>
      </w:r>
      <w:r>
        <w:rPr>
          <w:spacing w:val="-10"/>
        </w:rPr>
        <w:t> </w:t>
      </w:r>
      <w:r>
        <w:rPr/>
        <w:t>de</w:t>
      </w:r>
      <w:r>
        <w:rPr>
          <w:spacing w:val="-10"/>
        </w:rPr>
        <w:t> </w:t>
      </w:r>
      <w:r>
        <w:rPr/>
        <w:t>contraste</w:t>
      </w:r>
      <w:r>
        <w:rPr>
          <w:spacing w:val="-10"/>
        </w:rPr>
        <w:t> </w:t>
      </w:r>
      <w:r>
        <w:rPr/>
        <w:t>(reações alérgicas e</w:t>
      </w:r>
      <w:r>
        <w:rPr>
          <w:spacing w:val="-1"/>
        </w:rPr>
        <w:t> </w:t>
      </w:r>
      <w:r>
        <w:rPr/>
        <w:t>insuficiência</w:t>
      </w:r>
      <w:r>
        <w:rPr>
          <w:spacing w:val="-1"/>
        </w:rPr>
        <w:t> </w:t>
      </w:r>
      <w:r>
        <w:rPr/>
        <w:t>renal), além de</w:t>
      </w:r>
      <w:r>
        <w:rPr>
          <w:spacing w:val="-1"/>
        </w:rPr>
        <w:t> </w:t>
      </w:r>
      <w:r>
        <w:rPr/>
        <w:t>complicações neurológicas, como o acidente</w:t>
      </w:r>
      <w:r>
        <w:rPr>
          <w:spacing w:val="-1"/>
        </w:rPr>
        <w:t> </w:t>
      </w:r>
      <w:r>
        <w:rPr/>
        <w:t>vascular cerebral, convulsão, paraplegia, entre outras.</w:t>
      </w:r>
      <w:r>
        <w:rPr>
          <w:vertAlign w:val="superscript"/>
        </w:rPr>
        <w:t>40</w:t>
      </w:r>
    </w:p>
    <w:p>
      <w:pPr>
        <w:pStyle w:val="BodyText"/>
        <w:spacing w:before="20"/>
        <w:ind w:left="0" w:firstLine="0"/>
        <w:jc w:val="left"/>
      </w:pPr>
    </w:p>
    <w:p>
      <w:pPr>
        <w:pStyle w:val="Heading7"/>
      </w:pPr>
      <w:r>
        <w:rPr>
          <w:color w:val="242B67"/>
        </w:rPr>
        <w:t>Ecocardiografia </w:t>
      </w:r>
      <w:r>
        <w:rPr>
          <w:color w:val="242B67"/>
          <w:spacing w:val="-2"/>
        </w:rPr>
        <w:t>transesofágica</w:t>
      </w:r>
    </w:p>
    <w:p>
      <w:pPr>
        <w:pStyle w:val="BodyText"/>
        <w:spacing w:line="278" w:lineRule="auto" w:before="126"/>
        <w:ind w:right="488"/>
      </w:pPr>
      <w:r>
        <w:rPr/>
        <w:t>A</w:t>
      </w:r>
      <w:r>
        <w:rPr>
          <w:spacing w:val="-1"/>
        </w:rPr>
        <w:t> </w:t>
      </w:r>
      <w:r>
        <w:rPr/>
        <w:t>ecocardiografia</w:t>
      </w:r>
      <w:r>
        <w:rPr>
          <w:spacing w:val="-1"/>
        </w:rPr>
        <w:t> </w:t>
      </w:r>
      <w:r>
        <w:rPr/>
        <w:t>transesofágica</w:t>
      </w:r>
      <w:r>
        <w:rPr>
          <w:spacing w:val="-1"/>
        </w:rPr>
        <w:t> </w:t>
      </w:r>
      <w:r>
        <w:rPr/>
        <w:t>(TEE) fornece</w:t>
      </w:r>
      <w:r>
        <w:rPr>
          <w:spacing w:val="-1"/>
        </w:rPr>
        <w:t> </w:t>
      </w:r>
      <w:r>
        <w:rPr/>
        <w:t>avaliação completa</w:t>
      </w:r>
      <w:r>
        <w:rPr>
          <w:spacing w:val="-1"/>
        </w:rPr>
        <w:t> </w:t>
      </w:r>
      <w:r>
        <w:rPr/>
        <w:t>em relação às funções sistólica</w:t>
      </w:r>
      <w:r>
        <w:rPr>
          <w:spacing w:val="-1"/>
        </w:rPr>
        <w:t> </w:t>
      </w:r>
      <w:r>
        <w:rPr/>
        <w:t>e</w:t>
      </w:r>
      <w:r>
        <w:rPr>
          <w:spacing w:val="-1"/>
        </w:rPr>
        <w:t> </w:t>
      </w:r>
      <w:r>
        <w:rPr/>
        <w:t>diastólica dos ventrículos esquerdo e direito, ao funcionamento das valvas cardíacas, à espessura de parede do músculo cardíaco, à</w:t>
      </w:r>
      <w:r>
        <w:rPr>
          <w:spacing w:val="-3"/>
        </w:rPr>
        <w:t> </w:t>
      </w:r>
      <w:r>
        <w:rPr/>
        <w:t>avaliação</w:t>
      </w:r>
      <w:r>
        <w:rPr>
          <w:spacing w:val="-1"/>
        </w:rPr>
        <w:t> </w:t>
      </w:r>
      <w:r>
        <w:rPr/>
        <w:t>de</w:t>
      </w:r>
      <w:r>
        <w:rPr>
          <w:spacing w:val="-3"/>
        </w:rPr>
        <w:t> </w:t>
      </w:r>
      <w:r>
        <w:rPr/>
        <w:t>isquemia</w:t>
      </w:r>
      <w:r>
        <w:rPr>
          <w:spacing w:val="-3"/>
        </w:rPr>
        <w:t> </w:t>
      </w:r>
      <w:r>
        <w:rPr/>
        <w:t>regional e</w:t>
      </w:r>
      <w:r>
        <w:rPr>
          <w:spacing w:val="-3"/>
        </w:rPr>
        <w:t> </w:t>
      </w:r>
      <w:r>
        <w:rPr/>
        <w:t>à</w:t>
      </w:r>
      <w:r>
        <w:rPr>
          <w:spacing w:val="-3"/>
        </w:rPr>
        <w:t> </w:t>
      </w:r>
      <w:r>
        <w:rPr/>
        <w:t>ocorrência</w:t>
      </w:r>
      <w:r>
        <w:rPr>
          <w:spacing w:val="-3"/>
        </w:rPr>
        <w:t> </w:t>
      </w:r>
      <w:r>
        <w:rPr/>
        <w:t>de</w:t>
      </w:r>
      <w:r>
        <w:rPr>
          <w:spacing w:val="-3"/>
        </w:rPr>
        <w:t> </w:t>
      </w:r>
      <w:r>
        <w:rPr/>
        <w:t>derrame</w:t>
      </w:r>
      <w:r>
        <w:rPr>
          <w:spacing w:val="-3"/>
        </w:rPr>
        <w:t> </w:t>
      </w:r>
      <w:r>
        <w:rPr/>
        <w:t>pericárdico. A</w:t>
      </w:r>
      <w:r>
        <w:rPr>
          <w:spacing w:val="-3"/>
        </w:rPr>
        <w:t> </w:t>
      </w:r>
      <w:r>
        <w:rPr/>
        <w:t>visualização</w:t>
      </w:r>
      <w:r>
        <w:rPr>
          <w:spacing w:val="-1"/>
        </w:rPr>
        <w:t> </w:t>
      </w:r>
      <w:r>
        <w:rPr/>
        <w:t>da</w:t>
      </w:r>
      <w:r>
        <w:rPr>
          <w:spacing w:val="-3"/>
        </w:rPr>
        <w:t> </w:t>
      </w:r>
      <w:r>
        <w:rPr/>
        <w:t>aorta</w:t>
      </w:r>
      <w:r>
        <w:rPr>
          <w:spacing w:val="-3"/>
        </w:rPr>
        <w:t> </w:t>
      </w:r>
      <w:r>
        <w:rPr/>
        <w:t>apresenta limitações principalmente na porção distal da aorta ascendente e na transição do arco aórtico para a aorta descendente pelo distanciamento dessas porções da aorta em relação ao esôfago (localização do transdutor) e pela interposição de estruturas como o brônquio fonte direito. O ecocardiograma transtorácico apresenta muitas limitações para o estudo da aorta torácica. A sua grande vantagem se deve ao fato de ser método de aquisição de imagem portátil, o que possibilita que seja trazido à beira do leito para a rápida identificação do diagnóstico.</w:t>
      </w:r>
      <w:r>
        <w:rPr>
          <w:vertAlign w:val="superscript"/>
        </w:rPr>
        <w:t>41</w:t>
      </w:r>
    </w:p>
    <w:p>
      <w:pPr>
        <w:pStyle w:val="BodyText"/>
        <w:spacing w:before="4"/>
        <w:ind w:left="0" w:firstLine="0"/>
        <w:jc w:val="left"/>
      </w:pPr>
    </w:p>
    <w:p>
      <w:pPr>
        <w:pStyle w:val="Heading7"/>
      </w:pPr>
      <w:r>
        <w:rPr>
          <w:color w:val="242B67"/>
        </w:rPr>
        <w:t>Tomografia </w:t>
      </w:r>
      <w:r>
        <w:rPr>
          <w:color w:val="242B67"/>
          <w:spacing w:val="-2"/>
        </w:rPr>
        <w:t>computadorizada</w:t>
      </w:r>
    </w:p>
    <w:p>
      <w:pPr>
        <w:pStyle w:val="BodyText"/>
        <w:spacing w:line="278" w:lineRule="auto" w:before="142"/>
        <w:ind w:right="488"/>
      </w:pPr>
      <w:r>
        <w:rPr/>
        <w:t>Método diagnóstico não invasivo, cuja formação de imagem depende da atenuação radiográfica dos tecidos e dos meios de</w:t>
      </w:r>
      <w:r>
        <w:rPr>
          <w:spacing w:val="-9"/>
        </w:rPr>
        <w:t> </w:t>
      </w:r>
      <w:r>
        <w:rPr/>
        <w:t>contraste</w:t>
      </w:r>
      <w:r>
        <w:rPr>
          <w:spacing w:val="-9"/>
        </w:rPr>
        <w:t> </w:t>
      </w:r>
      <w:r>
        <w:rPr/>
        <w:t>para</w:t>
      </w:r>
      <w:r>
        <w:rPr>
          <w:spacing w:val="-9"/>
        </w:rPr>
        <w:t> </w:t>
      </w:r>
      <w:r>
        <w:rPr/>
        <w:t>a</w:t>
      </w:r>
      <w:r>
        <w:rPr>
          <w:spacing w:val="-9"/>
        </w:rPr>
        <w:t> </w:t>
      </w:r>
      <w:r>
        <w:rPr/>
        <w:t>visualização</w:t>
      </w:r>
      <w:r>
        <w:rPr>
          <w:spacing w:val="-6"/>
        </w:rPr>
        <w:t> </w:t>
      </w:r>
      <w:r>
        <w:rPr/>
        <w:t>da</w:t>
      </w:r>
      <w:r>
        <w:rPr>
          <w:spacing w:val="-9"/>
        </w:rPr>
        <w:t> </w:t>
      </w:r>
      <w:r>
        <w:rPr/>
        <w:t>imagem. Apresenta</w:t>
      </w:r>
      <w:r>
        <w:rPr>
          <w:spacing w:val="-9"/>
        </w:rPr>
        <w:t> </w:t>
      </w:r>
      <w:r>
        <w:rPr/>
        <w:t>grande</w:t>
      </w:r>
      <w:r>
        <w:rPr>
          <w:spacing w:val="-9"/>
        </w:rPr>
        <w:t> </w:t>
      </w:r>
      <w:r>
        <w:rPr/>
        <w:t>disponibilidade</w:t>
      </w:r>
      <w:r>
        <w:rPr>
          <w:spacing w:val="-9"/>
        </w:rPr>
        <w:t> </w:t>
      </w:r>
      <w:r>
        <w:rPr/>
        <w:t>no</w:t>
      </w:r>
      <w:r>
        <w:rPr>
          <w:spacing w:val="-6"/>
        </w:rPr>
        <w:t> </w:t>
      </w:r>
      <w:r>
        <w:rPr/>
        <w:t>nosso</w:t>
      </w:r>
      <w:r>
        <w:rPr>
          <w:spacing w:val="-6"/>
        </w:rPr>
        <w:t> </w:t>
      </w:r>
      <w:r>
        <w:rPr/>
        <w:t>meio, é</w:t>
      </w:r>
      <w:r>
        <w:rPr>
          <w:spacing w:val="-9"/>
        </w:rPr>
        <w:t> </w:t>
      </w:r>
      <w:r>
        <w:rPr/>
        <w:t>de</w:t>
      </w:r>
      <w:r>
        <w:rPr>
          <w:spacing w:val="-9"/>
        </w:rPr>
        <w:t> </w:t>
      </w:r>
      <w:r>
        <w:rPr/>
        <w:t>rápida execução</w:t>
      </w:r>
      <w:r>
        <w:rPr>
          <w:spacing w:val="-3"/>
        </w:rPr>
        <w:t> </w:t>
      </w:r>
      <w:r>
        <w:rPr/>
        <w:t>e</w:t>
      </w:r>
      <w:r>
        <w:rPr>
          <w:spacing w:val="-5"/>
        </w:rPr>
        <w:t> </w:t>
      </w:r>
      <w:r>
        <w:rPr/>
        <w:t>possibilita</w:t>
      </w:r>
      <w:r>
        <w:rPr>
          <w:spacing w:val="-5"/>
        </w:rPr>
        <w:t> </w:t>
      </w:r>
      <w:r>
        <w:rPr/>
        <w:t>imagens de</w:t>
      </w:r>
      <w:r>
        <w:rPr>
          <w:spacing w:val="-5"/>
        </w:rPr>
        <w:t> </w:t>
      </w:r>
      <w:r>
        <w:rPr/>
        <w:t>reconstrução</w:t>
      </w:r>
      <w:r>
        <w:rPr>
          <w:spacing w:val="-3"/>
        </w:rPr>
        <w:t> </w:t>
      </w:r>
      <w:r>
        <w:rPr/>
        <w:t>tridimensional</w:t>
      </w:r>
      <w:r>
        <w:rPr>
          <w:spacing w:val="-1"/>
        </w:rPr>
        <w:t> </w:t>
      </w:r>
      <w:r>
        <w:rPr/>
        <w:t>com</w:t>
      </w:r>
      <w:r>
        <w:rPr>
          <w:spacing w:val="-3"/>
        </w:rPr>
        <w:t> </w:t>
      </w:r>
      <w:r>
        <w:rPr/>
        <w:t>alta</w:t>
      </w:r>
      <w:r>
        <w:rPr>
          <w:spacing w:val="-5"/>
        </w:rPr>
        <w:t> </w:t>
      </w:r>
      <w:r>
        <w:rPr/>
        <w:t>definição. É capaz</w:t>
      </w:r>
      <w:r>
        <w:rPr>
          <w:spacing w:val="-5"/>
        </w:rPr>
        <w:t> </w:t>
      </w:r>
      <w:r>
        <w:rPr/>
        <w:t>de</w:t>
      </w:r>
      <w:r>
        <w:rPr>
          <w:spacing w:val="-5"/>
        </w:rPr>
        <w:t> </w:t>
      </w:r>
      <w:r>
        <w:rPr/>
        <w:t>fornecer informações sobre as estruturas adjacentes à aorta, a espessura da parede ventricular, a existência de calcificação de coronárias, de derrame pericárdico e suas alterações, as dimensões da aorta, sua extensão comprometida, a ocorrência de trombos, as características da parede da aorta, suas delaminações, hematomas, ulcerações, as principais ramificações e suas oclusões. As desvantagens da utilização desse método se relacionam com as possibilidades de alergia ao contraste necessário e de insuficiência renal.</w:t>
      </w:r>
      <w:r>
        <w:rPr>
          <w:vertAlign w:val="superscript"/>
        </w:rPr>
        <w:t>40</w:t>
      </w:r>
    </w:p>
    <w:p>
      <w:pPr>
        <w:pStyle w:val="BodyText"/>
        <w:spacing w:before="4"/>
        <w:ind w:left="0" w:firstLine="0"/>
        <w:jc w:val="left"/>
      </w:pPr>
    </w:p>
    <w:p>
      <w:pPr>
        <w:pStyle w:val="Heading7"/>
      </w:pPr>
      <w:r>
        <w:rPr>
          <w:color w:val="242B67"/>
        </w:rPr>
        <w:t>Ressonância </w:t>
      </w:r>
      <w:r>
        <w:rPr>
          <w:color w:val="242B67"/>
          <w:spacing w:val="-2"/>
        </w:rPr>
        <w:t>magnética</w:t>
      </w:r>
    </w:p>
    <w:p>
      <w:pPr>
        <w:pStyle w:val="Heading7"/>
        <w:spacing w:after="0"/>
        <w:sectPr>
          <w:pgSz w:w="11900" w:h="16840"/>
          <w:pgMar w:top="220" w:bottom="280" w:left="566" w:right="141"/>
        </w:sectPr>
      </w:pPr>
    </w:p>
    <w:p>
      <w:pPr>
        <w:pStyle w:val="BodyText"/>
        <w:spacing w:line="278" w:lineRule="auto" w:before="60"/>
        <w:ind w:right="498"/>
      </w:pPr>
      <w:r>
        <w:rPr/>
        <w:t>Método diagnóstico cujas imagens baseiam-se na concentração do hidrogênio móvel do sangue e dos tecidos para produzir a imagem. Apresenta indicação semelhante à da tomografia computadorizada (TC), alta definição e possibilidade de reconstrução tridimensional de imagens. Apresenta vantagem em relação à TC por não expor o paciente</w:t>
      </w:r>
      <w:r>
        <w:rPr>
          <w:spacing w:val="-14"/>
        </w:rPr>
        <w:t> </w:t>
      </w:r>
      <w:r>
        <w:rPr/>
        <w:t>à</w:t>
      </w:r>
      <w:r>
        <w:rPr>
          <w:spacing w:val="-14"/>
        </w:rPr>
        <w:t> </w:t>
      </w:r>
      <w:r>
        <w:rPr/>
        <w:t>radiação</w:t>
      </w:r>
      <w:r>
        <w:rPr>
          <w:spacing w:val="-12"/>
        </w:rPr>
        <w:t> </w:t>
      </w:r>
      <w:r>
        <w:rPr/>
        <w:t>ionizante,</w:t>
      </w:r>
      <w:r>
        <w:rPr>
          <w:spacing w:val="-4"/>
        </w:rPr>
        <w:t> </w:t>
      </w:r>
      <w:r>
        <w:rPr/>
        <w:t>nem</w:t>
      </w:r>
      <w:r>
        <w:rPr>
          <w:spacing w:val="-12"/>
        </w:rPr>
        <w:t> </w:t>
      </w:r>
      <w:r>
        <w:rPr/>
        <w:t>à</w:t>
      </w:r>
      <w:r>
        <w:rPr>
          <w:spacing w:val="-14"/>
        </w:rPr>
        <w:t> </w:t>
      </w:r>
      <w:r>
        <w:rPr/>
        <w:t>administração</w:t>
      </w:r>
      <w:r>
        <w:rPr>
          <w:spacing w:val="-12"/>
        </w:rPr>
        <w:t> </w:t>
      </w:r>
      <w:r>
        <w:rPr/>
        <w:t>de</w:t>
      </w:r>
      <w:r>
        <w:rPr>
          <w:spacing w:val="-14"/>
        </w:rPr>
        <w:t> </w:t>
      </w:r>
      <w:r>
        <w:rPr/>
        <w:t>contrastes</w:t>
      </w:r>
      <w:r>
        <w:rPr>
          <w:spacing w:val="-4"/>
        </w:rPr>
        <w:t> </w:t>
      </w:r>
      <w:r>
        <w:rPr/>
        <w:t>iodados.</w:t>
      </w:r>
      <w:r>
        <w:rPr>
          <w:spacing w:val="-4"/>
        </w:rPr>
        <w:t> </w:t>
      </w:r>
      <w:r>
        <w:rPr/>
        <w:t>As</w:t>
      </w:r>
      <w:r>
        <w:rPr>
          <w:spacing w:val="-4"/>
        </w:rPr>
        <w:t> </w:t>
      </w:r>
      <w:r>
        <w:rPr/>
        <w:t>desvantagens</w:t>
      </w:r>
      <w:r>
        <w:rPr>
          <w:spacing w:val="-4"/>
        </w:rPr>
        <w:t> </w:t>
      </w:r>
      <w:r>
        <w:rPr/>
        <w:t>estão</w:t>
      </w:r>
      <w:r>
        <w:rPr>
          <w:spacing w:val="-12"/>
        </w:rPr>
        <w:t> </w:t>
      </w:r>
      <w:r>
        <w:rPr/>
        <w:t>relacionadas</w:t>
      </w:r>
      <w:r>
        <w:rPr>
          <w:spacing w:val="-4"/>
        </w:rPr>
        <w:t> </w:t>
      </w:r>
      <w:r>
        <w:rPr/>
        <w:t>com</w:t>
      </w:r>
      <w:r>
        <w:rPr>
          <w:spacing w:val="-12"/>
        </w:rPr>
        <w:t> </w:t>
      </w:r>
      <w:r>
        <w:rPr/>
        <w:t>o custo mais elevado do exame e a execução demorada, não sendo, portanto, prático para os pacientes politraumatizados ou clinicamente instáveis, além de ser contraindicado para pacientes portadores de próteses metálicas, tais como marca-passo ou clipes cirúrgicos.</w:t>
      </w:r>
      <w:r>
        <w:rPr>
          <w:vertAlign w:val="superscript"/>
        </w:rPr>
        <w:t>40</w:t>
      </w:r>
    </w:p>
    <w:p>
      <w:pPr>
        <w:pStyle w:val="BodyText"/>
        <w:spacing w:before="132"/>
        <w:ind w:left="0" w:firstLine="0"/>
        <w:jc w:val="left"/>
      </w:pPr>
    </w:p>
    <w:p>
      <w:pPr>
        <w:pStyle w:val="Heading5"/>
      </w:pPr>
      <w:r>
        <w:rPr>
          <w:color w:val="A26108"/>
        </w:rPr>
        <w:t>Tratamento</w:t>
      </w:r>
      <w:r>
        <w:rPr>
          <w:color w:val="A26108"/>
          <w:spacing w:val="34"/>
        </w:rPr>
        <w:t> </w:t>
      </w:r>
      <w:r>
        <w:rPr>
          <w:color w:val="A26108"/>
          <w:spacing w:val="-2"/>
        </w:rPr>
        <w:t>medicamentoso</w:t>
      </w:r>
    </w:p>
    <w:p>
      <w:pPr>
        <w:pStyle w:val="BodyText"/>
        <w:spacing w:line="276" w:lineRule="auto" w:before="139"/>
        <w:ind w:right="488"/>
      </w:pPr>
      <w:r>
        <w:rPr/>
        <w:t>O tratamento clínico dos aneurismas da aorta torácica permanece controverso. O efeito do tratamento sobre a progressão da dilatação dos aneurismas da aorta e a sobrevida, a longo prazo, ainda não está completamente definido, sendo necessários estudos especificamente delineados para esse fim e seguimento mais longo dos </w:t>
      </w:r>
      <w:r>
        <w:rPr>
          <w:spacing w:val="-2"/>
        </w:rPr>
        <w:t>pacientes.</w:t>
      </w:r>
    </w:p>
    <w:p>
      <w:pPr>
        <w:pStyle w:val="BodyText"/>
        <w:spacing w:line="278" w:lineRule="auto" w:before="48"/>
        <w:ind w:right="491"/>
      </w:pPr>
      <w:r>
        <w:rPr/>
        <w:t>Vários</w:t>
      </w:r>
      <w:r>
        <w:rPr>
          <w:spacing w:val="-1"/>
        </w:rPr>
        <w:t> </w:t>
      </w:r>
      <w:r>
        <w:rPr/>
        <w:t>autores</w:t>
      </w:r>
      <w:r>
        <w:rPr>
          <w:spacing w:val="-1"/>
        </w:rPr>
        <w:t> </w:t>
      </w:r>
      <w:r>
        <w:rPr/>
        <w:t>têm</w:t>
      </w:r>
      <w:r>
        <w:rPr>
          <w:spacing w:val="-8"/>
        </w:rPr>
        <w:t> </w:t>
      </w:r>
      <w:r>
        <w:rPr/>
        <w:t>demonstrado</w:t>
      </w:r>
      <w:r>
        <w:rPr>
          <w:spacing w:val="-8"/>
        </w:rPr>
        <w:t> </w:t>
      </w:r>
      <w:r>
        <w:rPr/>
        <w:t>benefício</w:t>
      </w:r>
      <w:r>
        <w:rPr>
          <w:spacing w:val="-8"/>
        </w:rPr>
        <w:t> </w:t>
      </w:r>
      <w:r>
        <w:rPr/>
        <w:t>com</w:t>
      </w:r>
      <w:r>
        <w:rPr>
          <w:spacing w:val="-8"/>
        </w:rPr>
        <w:t> </w:t>
      </w:r>
      <w:r>
        <w:rPr/>
        <w:t>o</w:t>
      </w:r>
      <w:r>
        <w:rPr>
          <w:spacing w:val="-8"/>
        </w:rPr>
        <w:t> </w:t>
      </w:r>
      <w:r>
        <w:rPr/>
        <w:t>tratamento</w:t>
      </w:r>
      <w:r>
        <w:rPr>
          <w:spacing w:val="-8"/>
        </w:rPr>
        <w:t> </w:t>
      </w:r>
      <w:r>
        <w:rPr/>
        <w:t>com</w:t>
      </w:r>
      <w:r>
        <w:rPr>
          <w:spacing w:val="-8"/>
        </w:rPr>
        <w:t> </w:t>
      </w:r>
      <w:r>
        <w:rPr/>
        <w:t>betabloqueador</w:t>
      </w:r>
      <w:r>
        <w:rPr>
          <w:spacing w:val="-3"/>
        </w:rPr>
        <w:t> </w:t>
      </w:r>
      <w:r>
        <w:rPr/>
        <w:t>no</w:t>
      </w:r>
      <w:r>
        <w:rPr>
          <w:spacing w:val="-8"/>
        </w:rPr>
        <w:t> </w:t>
      </w:r>
      <w:r>
        <w:rPr/>
        <w:t>subgrupo</w:t>
      </w:r>
      <w:r>
        <w:rPr>
          <w:spacing w:val="-8"/>
        </w:rPr>
        <w:t> </w:t>
      </w:r>
      <w:r>
        <w:rPr/>
        <w:t>de</w:t>
      </w:r>
      <w:r>
        <w:rPr>
          <w:spacing w:val="-11"/>
        </w:rPr>
        <w:t> </w:t>
      </w:r>
      <w:r>
        <w:rPr/>
        <w:t>pacientes</w:t>
      </w:r>
      <w:r>
        <w:rPr>
          <w:spacing w:val="-1"/>
        </w:rPr>
        <w:t> </w:t>
      </w:r>
      <w:r>
        <w:rPr/>
        <w:t>com síndrome de Marfan. Shores </w:t>
      </w:r>
      <w:r>
        <w:rPr>
          <w:i/>
        </w:rPr>
        <w:t>et al.</w:t>
      </w:r>
      <w:r>
        <w:rPr/>
        <w:t>,</w:t>
      </w:r>
      <w:r>
        <w:rPr>
          <w:vertAlign w:val="superscript"/>
        </w:rPr>
        <w:t>42</w:t>
      </w:r>
      <w:r>
        <w:rPr>
          <w:vertAlign w:val="baseline"/>
        </w:rPr>
        <w:t> em estudo prospectivo, randomizado e controlado, mostraram que o tratamento profilático com propranolol por via oral, em um período de acompanhamento de aproximadamente 10 anos, é efetivo em diminuir a velocidade de crescimento da dilatação da aorta em pacientes adultos com síndrome de Marfan e com dilatação leve a moderada da raiz da aorta. O estudo também mostrou curva de sobrevida significativamente</w:t>
      </w:r>
      <w:r>
        <w:rPr>
          <w:spacing w:val="-12"/>
          <w:vertAlign w:val="baseline"/>
        </w:rPr>
        <w:t> </w:t>
      </w:r>
      <w:r>
        <w:rPr>
          <w:vertAlign w:val="baseline"/>
        </w:rPr>
        <w:t>melhor</w:t>
      </w:r>
      <w:r>
        <w:rPr>
          <w:spacing w:val="-4"/>
          <w:vertAlign w:val="baseline"/>
        </w:rPr>
        <w:t> </w:t>
      </w:r>
      <w:r>
        <w:rPr>
          <w:vertAlign w:val="baseline"/>
        </w:rPr>
        <w:t>nos</w:t>
      </w:r>
      <w:r>
        <w:rPr>
          <w:spacing w:val="-2"/>
          <w:vertAlign w:val="baseline"/>
        </w:rPr>
        <w:t> </w:t>
      </w:r>
      <w:r>
        <w:rPr>
          <w:vertAlign w:val="baseline"/>
        </w:rPr>
        <w:t>pacientes</w:t>
      </w:r>
      <w:r>
        <w:rPr>
          <w:spacing w:val="-2"/>
          <w:vertAlign w:val="baseline"/>
        </w:rPr>
        <w:t> </w:t>
      </w:r>
      <w:r>
        <w:rPr>
          <w:vertAlign w:val="baseline"/>
        </w:rPr>
        <w:t>tratados</w:t>
      </w:r>
      <w:r>
        <w:rPr>
          <w:spacing w:val="-2"/>
          <w:vertAlign w:val="baseline"/>
        </w:rPr>
        <w:t> </w:t>
      </w:r>
      <w:r>
        <w:rPr>
          <w:vertAlign w:val="baseline"/>
        </w:rPr>
        <w:t>em</w:t>
      </w:r>
      <w:r>
        <w:rPr>
          <w:spacing w:val="-9"/>
          <w:vertAlign w:val="baseline"/>
        </w:rPr>
        <w:t> </w:t>
      </w:r>
      <w:r>
        <w:rPr>
          <w:vertAlign w:val="baseline"/>
        </w:rPr>
        <w:t>comparação</w:t>
      </w:r>
      <w:r>
        <w:rPr>
          <w:spacing w:val="-9"/>
          <w:vertAlign w:val="baseline"/>
        </w:rPr>
        <w:t> </w:t>
      </w:r>
      <w:r>
        <w:rPr>
          <w:vertAlign w:val="baseline"/>
        </w:rPr>
        <w:t>ao</w:t>
      </w:r>
      <w:r>
        <w:rPr>
          <w:spacing w:val="-9"/>
          <w:vertAlign w:val="baseline"/>
        </w:rPr>
        <w:t> </w:t>
      </w:r>
      <w:r>
        <w:rPr>
          <w:vertAlign w:val="baseline"/>
        </w:rPr>
        <w:t>grupo-controle.</w:t>
      </w:r>
      <w:r>
        <w:rPr>
          <w:spacing w:val="-2"/>
          <w:vertAlign w:val="baseline"/>
        </w:rPr>
        <w:t> </w:t>
      </w:r>
      <w:r>
        <w:rPr>
          <w:vertAlign w:val="baseline"/>
        </w:rPr>
        <w:t>Existem</w:t>
      </w:r>
      <w:r>
        <w:rPr>
          <w:spacing w:val="-9"/>
          <w:vertAlign w:val="baseline"/>
        </w:rPr>
        <w:t> </w:t>
      </w:r>
      <w:r>
        <w:rPr>
          <w:vertAlign w:val="baseline"/>
        </w:rPr>
        <w:t>também</w:t>
      </w:r>
      <w:r>
        <w:rPr>
          <w:spacing w:val="-9"/>
          <w:vertAlign w:val="baseline"/>
        </w:rPr>
        <w:t> </w:t>
      </w:r>
      <w:r>
        <w:rPr>
          <w:vertAlign w:val="baseline"/>
        </w:rPr>
        <w:t>evidências</w:t>
      </w:r>
      <w:r>
        <w:rPr>
          <w:spacing w:val="-2"/>
          <w:vertAlign w:val="baseline"/>
        </w:rPr>
        <w:t> </w:t>
      </w:r>
      <w:r>
        <w:rPr>
          <w:vertAlign w:val="baseline"/>
        </w:rPr>
        <w:t>de que o uso de atenolol também exerce efeito protetor sobre a aorta.</w:t>
      </w:r>
      <w:r>
        <w:rPr>
          <w:vertAlign w:val="superscript"/>
        </w:rPr>
        <w:t>43,44</w:t>
      </w:r>
      <w:r>
        <w:rPr>
          <w:vertAlign w:val="baseline"/>
        </w:rPr>
        <w:t> Esses resultados sugerem que o controle rigoroso</w:t>
      </w:r>
      <w:r>
        <w:rPr>
          <w:spacing w:val="-7"/>
          <w:vertAlign w:val="baseline"/>
        </w:rPr>
        <w:t> </w:t>
      </w:r>
      <w:r>
        <w:rPr>
          <w:vertAlign w:val="baseline"/>
        </w:rPr>
        <w:t>da</w:t>
      </w:r>
      <w:r>
        <w:rPr>
          <w:spacing w:val="-10"/>
          <w:vertAlign w:val="baseline"/>
        </w:rPr>
        <w:t> </w:t>
      </w:r>
      <w:r>
        <w:rPr>
          <w:vertAlign w:val="baseline"/>
        </w:rPr>
        <w:t>pressão</w:t>
      </w:r>
      <w:r>
        <w:rPr>
          <w:spacing w:val="-7"/>
          <w:vertAlign w:val="baseline"/>
        </w:rPr>
        <w:t> </w:t>
      </w:r>
      <w:r>
        <w:rPr>
          <w:vertAlign w:val="baseline"/>
        </w:rPr>
        <w:t>arterial</w:t>
      </w:r>
      <w:r>
        <w:rPr>
          <w:spacing w:val="-5"/>
          <w:vertAlign w:val="baseline"/>
        </w:rPr>
        <w:t> </w:t>
      </w:r>
      <w:r>
        <w:rPr>
          <w:vertAlign w:val="baseline"/>
        </w:rPr>
        <w:t>e</w:t>
      </w:r>
      <w:r>
        <w:rPr>
          <w:spacing w:val="-10"/>
          <w:vertAlign w:val="baseline"/>
        </w:rPr>
        <w:t> </w:t>
      </w:r>
      <w:r>
        <w:rPr>
          <w:vertAlign w:val="baseline"/>
        </w:rPr>
        <w:t>da</w:t>
      </w:r>
      <w:r>
        <w:rPr>
          <w:spacing w:val="-10"/>
          <w:vertAlign w:val="baseline"/>
        </w:rPr>
        <w:t> </w:t>
      </w:r>
      <w:r>
        <w:rPr>
          <w:vertAlign w:val="baseline"/>
        </w:rPr>
        <w:t>frequência</w:t>
      </w:r>
      <w:r>
        <w:rPr>
          <w:spacing w:val="-10"/>
          <w:vertAlign w:val="baseline"/>
        </w:rPr>
        <w:t> </w:t>
      </w:r>
      <w:r>
        <w:rPr>
          <w:vertAlign w:val="baseline"/>
        </w:rPr>
        <w:t>cardíaca, com</w:t>
      </w:r>
      <w:r>
        <w:rPr>
          <w:spacing w:val="-7"/>
          <w:vertAlign w:val="baseline"/>
        </w:rPr>
        <w:t> </w:t>
      </w:r>
      <w:r>
        <w:rPr>
          <w:vertAlign w:val="baseline"/>
        </w:rPr>
        <w:t>a</w:t>
      </w:r>
      <w:r>
        <w:rPr>
          <w:spacing w:val="-10"/>
          <w:vertAlign w:val="baseline"/>
        </w:rPr>
        <w:t> </w:t>
      </w:r>
      <w:r>
        <w:rPr>
          <w:vertAlign w:val="baseline"/>
        </w:rPr>
        <w:t>diminuição</w:t>
      </w:r>
      <w:r>
        <w:rPr>
          <w:spacing w:val="-7"/>
          <w:vertAlign w:val="baseline"/>
        </w:rPr>
        <w:t> </w:t>
      </w:r>
      <w:r>
        <w:rPr>
          <w:vertAlign w:val="baseline"/>
        </w:rPr>
        <w:t>do</w:t>
      </w:r>
      <w:r>
        <w:rPr>
          <w:spacing w:val="-7"/>
          <w:vertAlign w:val="baseline"/>
        </w:rPr>
        <w:t> </w:t>
      </w:r>
      <w:r>
        <w:rPr>
          <w:vertAlign w:val="baseline"/>
        </w:rPr>
        <w:t>impulso</w:t>
      </w:r>
      <w:r>
        <w:rPr>
          <w:spacing w:val="-7"/>
          <w:vertAlign w:val="baseline"/>
        </w:rPr>
        <w:t> </w:t>
      </w:r>
      <w:r>
        <w:rPr>
          <w:vertAlign w:val="baseline"/>
        </w:rPr>
        <w:t>da</w:t>
      </w:r>
      <w:r>
        <w:rPr>
          <w:spacing w:val="-10"/>
          <w:vertAlign w:val="baseline"/>
        </w:rPr>
        <w:t> </w:t>
      </w:r>
      <w:r>
        <w:rPr>
          <w:vertAlign w:val="baseline"/>
        </w:rPr>
        <w:t>ejeção</w:t>
      </w:r>
      <w:r>
        <w:rPr>
          <w:spacing w:val="-7"/>
          <w:vertAlign w:val="baseline"/>
        </w:rPr>
        <w:t> </w:t>
      </w:r>
      <w:r>
        <w:rPr>
          <w:vertAlign w:val="baseline"/>
        </w:rPr>
        <w:t>do</w:t>
      </w:r>
      <w:r>
        <w:rPr>
          <w:spacing w:val="-7"/>
          <w:vertAlign w:val="baseline"/>
        </w:rPr>
        <w:t> </w:t>
      </w:r>
      <w:r>
        <w:rPr>
          <w:vertAlign w:val="baseline"/>
        </w:rPr>
        <w:t>ventrículo</w:t>
      </w:r>
      <w:r>
        <w:rPr>
          <w:spacing w:val="-7"/>
          <w:vertAlign w:val="baseline"/>
        </w:rPr>
        <w:t> </w:t>
      </w:r>
      <w:r>
        <w:rPr>
          <w:vertAlign w:val="baseline"/>
        </w:rPr>
        <w:t>esquerdo na aorta, pode protegê-la. Os betabloqueadores constituem atualmente a principal terapia para prevenção da dilatação</w:t>
      </w:r>
      <w:r>
        <w:rPr>
          <w:spacing w:val="-1"/>
          <w:vertAlign w:val="baseline"/>
        </w:rPr>
        <w:t> </w:t>
      </w:r>
      <w:r>
        <w:rPr>
          <w:vertAlign w:val="baseline"/>
        </w:rPr>
        <w:t>aórtica</w:t>
      </w:r>
      <w:r>
        <w:rPr>
          <w:spacing w:val="-3"/>
          <w:vertAlign w:val="baseline"/>
        </w:rPr>
        <w:t> </w:t>
      </w:r>
      <w:r>
        <w:rPr>
          <w:vertAlign w:val="baseline"/>
        </w:rPr>
        <w:t>em</w:t>
      </w:r>
      <w:r>
        <w:rPr>
          <w:spacing w:val="-1"/>
          <w:vertAlign w:val="baseline"/>
        </w:rPr>
        <w:t> </w:t>
      </w:r>
      <w:r>
        <w:rPr>
          <w:vertAlign w:val="baseline"/>
        </w:rPr>
        <w:t>pacientes com</w:t>
      </w:r>
      <w:r>
        <w:rPr>
          <w:spacing w:val="-1"/>
          <w:vertAlign w:val="baseline"/>
        </w:rPr>
        <w:t> </w:t>
      </w:r>
      <w:r>
        <w:rPr>
          <w:vertAlign w:val="baseline"/>
        </w:rPr>
        <w:t>síndrome</w:t>
      </w:r>
      <w:r>
        <w:rPr>
          <w:spacing w:val="-3"/>
          <w:vertAlign w:val="baseline"/>
        </w:rPr>
        <w:t> </w:t>
      </w:r>
      <w:r>
        <w:rPr>
          <w:vertAlign w:val="baseline"/>
        </w:rPr>
        <w:t>de</w:t>
      </w:r>
      <w:r>
        <w:rPr>
          <w:spacing w:val="-3"/>
          <w:vertAlign w:val="baseline"/>
        </w:rPr>
        <w:t> </w:t>
      </w:r>
      <w:r>
        <w:rPr>
          <w:vertAlign w:val="baseline"/>
        </w:rPr>
        <w:t>Marfan. Pode-se</w:t>
      </w:r>
      <w:r>
        <w:rPr>
          <w:spacing w:val="-3"/>
          <w:vertAlign w:val="baseline"/>
        </w:rPr>
        <w:t> </w:t>
      </w:r>
      <w:r>
        <w:rPr>
          <w:vertAlign w:val="baseline"/>
        </w:rPr>
        <w:t>assumir que</w:t>
      </w:r>
      <w:r>
        <w:rPr>
          <w:spacing w:val="-3"/>
          <w:vertAlign w:val="baseline"/>
        </w:rPr>
        <w:t> </w:t>
      </w:r>
      <w:r>
        <w:rPr>
          <w:vertAlign w:val="baseline"/>
        </w:rPr>
        <w:t>essas conclusões se</w:t>
      </w:r>
      <w:r>
        <w:rPr>
          <w:spacing w:val="-3"/>
          <w:vertAlign w:val="baseline"/>
        </w:rPr>
        <w:t> </w:t>
      </w:r>
      <w:r>
        <w:rPr>
          <w:vertAlign w:val="baseline"/>
        </w:rPr>
        <w:t>aplicam</w:t>
      </w:r>
      <w:r>
        <w:rPr>
          <w:spacing w:val="-1"/>
          <w:vertAlign w:val="baseline"/>
        </w:rPr>
        <w:t> </w:t>
      </w:r>
      <w:r>
        <w:rPr>
          <w:vertAlign w:val="baseline"/>
        </w:rPr>
        <w:t>também para os aneurismas da aorta torácica não relacionados com a síndrome de Marfan, ampliando o uso clínico desses </w:t>
      </w:r>
      <w:r>
        <w:rPr>
          <w:spacing w:val="-2"/>
          <w:vertAlign w:val="baseline"/>
        </w:rPr>
        <w:t>fármacos.</w:t>
      </w:r>
    </w:p>
    <w:p>
      <w:pPr>
        <w:pStyle w:val="BodyText"/>
        <w:spacing w:line="278" w:lineRule="auto" w:before="82"/>
        <w:ind w:right="497"/>
      </w:pPr>
      <w:r>
        <w:rPr/>
        <w:t>Os efeitos dos inibidores da enzima de conversão da angiotensina também têm sido estudados. Yetman </w:t>
      </w:r>
      <w:r>
        <w:rPr>
          <w:i/>
        </w:rPr>
        <w:t>et al.</w:t>
      </w:r>
      <w:r>
        <w:rPr>
          <w:vertAlign w:val="superscript"/>
        </w:rPr>
        <w:t>45</w:t>
      </w:r>
      <w:r>
        <w:rPr>
          <w:vertAlign w:val="baseline"/>
        </w:rPr>
        <w:t> mostraram melhora da distensibilidade aórtica e redução do seu índice de rigidez em pacientes com síndrome de Marfan tratados com enalapril em comparação com pacientes recebendo atenolol ou propranolol. Em estudo experimental, Habashi </w:t>
      </w:r>
      <w:r>
        <w:rPr>
          <w:i/>
          <w:vertAlign w:val="baseline"/>
        </w:rPr>
        <w:t>et al.</w:t>
      </w:r>
      <w:r>
        <w:rPr>
          <w:vertAlign w:val="superscript"/>
        </w:rPr>
        <w:t>46</w:t>
      </w:r>
      <w:r>
        <w:rPr>
          <w:vertAlign w:val="baseline"/>
        </w:rPr>
        <w:t> demonstraram que o bloqueador de receptor tipo I da angiotensina II pode evitar a formação de aneurismas em modelo de camundongos com síndrome de Marfan, sugerindo a necessidade de mais estudos sobre o papel terapêutico da losartana em pacientes com síndrome de Marfan.</w:t>
      </w:r>
    </w:p>
    <w:p>
      <w:pPr>
        <w:pStyle w:val="BodyText"/>
        <w:spacing w:line="276" w:lineRule="auto" w:before="66"/>
        <w:ind w:right="497"/>
      </w:pPr>
      <w:r>
        <w:rPr/>
        <w:t>As estatinas também</w:t>
      </w:r>
      <w:r>
        <w:rPr>
          <w:spacing w:val="-7"/>
        </w:rPr>
        <w:t> </w:t>
      </w:r>
      <w:r>
        <w:rPr/>
        <w:t>parecem</w:t>
      </w:r>
      <w:r>
        <w:rPr>
          <w:spacing w:val="-7"/>
        </w:rPr>
        <w:t> </w:t>
      </w:r>
      <w:r>
        <w:rPr/>
        <w:t>ter</w:t>
      </w:r>
      <w:r>
        <w:rPr>
          <w:spacing w:val="-2"/>
        </w:rPr>
        <w:t> </w:t>
      </w:r>
      <w:r>
        <w:rPr/>
        <w:t>efeito</w:t>
      </w:r>
      <w:r>
        <w:rPr>
          <w:spacing w:val="-7"/>
        </w:rPr>
        <w:t> </w:t>
      </w:r>
      <w:r>
        <w:rPr/>
        <w:t>favorável</w:t>
      </w:r>
      <w:r>
        <w:rPr>
          <w:spacing w:val="-5"/>
        </w:rPr>
        <w:t> </w:t>
      </w:r>
      <w:r>
        <w:rPr/>
        <w:t>na</w:t>
      </w:r>
      <w:r>
        <w:rPr>
          <w:spacing w:val="-9"/>
        </w:rPr>
        <w:t> </w:t>
      </w:r>
      <w:r>
        <w:rPr/>
        <w:t>atenuação</w:t>
      </w:r>
      <w:r>
        <w:rPr>
          <w:spacing w:val="-7"/>
        </w:rPr>
        <w:t> </w:t>
      </w:r>
      <w:r>
        <w:rPr/>
        <w:t>do</w:t>
      </w:r>
      <w:r>
        <w:rPr>
          <w:spacing w:val="-7"/>
        </w:rPr>
        <w:t> </w:t>
      </w:r>
      <w:r>
        <w:rPr/>
        <w:t>crescimento</w:t>
      </w:r>
      <w:r>
        <w:rPr>
          <w:spacing w:val="-7"/>
        </w:rPr>
        <w:t> </w:t>
      </w:r>
      <w:r>
        <w:rPr/>
        <w:t>dos aneurismas,</w:t>
      </w:r>
      <w:r>
        <w:rPr>
          <w:vertAlign w:val="superscript"/>
        </w:rPr>
        <w:t>47,48</w:t>
      </w:r>
      <w:r>
        <w:rPr>
          <w:vertAlign w:val="baseline"/>
        </w:rPr>
        <w:t> podendo</w:t>
      </w:r>
      <w:r>
        <w:rPr>
          <w:spacing w:val="-4"/>
          <w:vertAlign w:val="baseline"/>
        </w:rPr>
        <w:t> </w:t>
      </w:r>
      <w:r>
        <w:rPr>
          <w:vertAlign w:val="baseline"/>
        </w:rPr>
        <w:t>ser consideradas como mais uma</w:t>
      </w:r>
      <w:r>
        <w:rPr>
          <w:spacing w:val="-2"/>
          <w:vertAlign w:val="baseline"/>
        </w:rPr>
        <w:t> </w:t>
      </w:r>
      <w:r>
        <w:rPr>
          <w:vertAlign w:val="baseline"/>
        </w:rPr>
        <w:t>opção para</w:t>
      </w:r>
      <w:r>
        <w:rPr>
          <w:spacing w:val="-2"/>
          <w:vertAlign w:val="baseline"/>
        </w:rPr>
        <w:t> </w:t>
      </w:r>
      <w:r>
        <w:rPr>
          <w:vertAlign w:val="baseline"/>
        </w:rPr>
        <w:t>associação aos betabloqueadores.</w:t>
      </w:r>
    </w:p>
    <w:p>
      <w:pPr>
        <w:pStyle w:val="BodyText"/>
        <w:spacing w:line="280" w:lineRule="auto" w:before="64"/>
        <w:ind w:right="497"/>
      </w:pPr>
      <w:r>
        <w:rPr/>
        <w:t>A mudança de hábitos, como a suspensão do tabagismo e do consumo de bebidas alcoólicas, também pode ter papel importante na prevenção e tratamento dos aneurismas da aorta. Homens tabagistas são 7,6 vezes mais propensos a ter aneurisma da aorta abdominal que os não tabagistas. O risco permanece mesmo após a suspensão do</w:t>
      </w:r>
      <w:r>
        <w:rPr>
          <w:spacing w:val="-3"/>
        </w:rPr>
        <w:t> </w:t>
      </w:r>
      <w:r>
        <w:rPr/>
        <w:t>tabagismo, sendo</w:t>
      </w:r>
      <w:r>
        <w:rPr>
          <w:spacing w:val="-3"/>
        </w:rPr>
        <w:t> </w:t>
      </w:r>
      <w:r>
        <w:rPr/>
        <w:t>três vezes maior em</w:t>
      </w:r>
      <w:r>
        <w:rPr>
          <w:spacing w:val="-3"/>
        </w:rPr>
        <w:t> </w:t>
      </w:r>
      <w:r>
        <w:rPr/>
        <w:t>ex-tabagistas. O</w:t>
      </w:r>
      <w:r>
        <w:rPr>
          <w:spacing w:val="-6"/>
        </w:rPr>
        <w:t> </w:t>
      </w:r>
      <w:r>
        <w:rPr/>
        <w:t>declínio</w:t>
      </w:r>
      <w:r>
        <w:rPr>
          <w:spacing w:val="-3"/>
        </w:rPr>
        <w:t> </w:t>
      </w:r>
      <w:r>
        <w:rPr/>
        <w:t>do</w:t>
      </w:r>
      <w:r>
        <w:rPr>
          <w:spacing w:val="-3"/>
        </w:rPr>
        <w:t> </w:t>
      </w:r>
      <w:r>
        <w:rPr/>
        <w:t>risco</w:t>
      </w:r>
      <w:r>
        <w:rPr>
          <w:spacing w:val="-3"/>
        </w:rPr>
        <w:t> </w:t>
      </w:r>
      <w:r>
        <w:rPr/>
        <w:t>é</w:t>
      </w:r>
      <w:r>
        <w:rPr>
          <w:spacing w:val="-6"/>
        </w:rPr>
        <w:t> </w:t>
      </w:r>
      <w:r>
        <w:rPr/>
        <w:t>muito</w:t>
      </w:r>
      <w:r>
        <w:rPr>
          <w:spacing w:val="-3"/>
        </w:rPr>
        <w:t> </w:t>
      </w:r>
      <w:r>
        <w:rPr/>
        <w:t>lento</w:t>
      </w:r>
      <w:r>
        <w:rPr>
          <w:spacing w:val="-3"/>
        </w:rPr>
        <w:t> </w:t>
      </w:r>
      <w:r>
        <w:rPr/>
        <w:t>com</w:t>
      </w:r>
      <w:r>
        <w:rPr>
          <w:spacing w:val="-3"/>
        </w:rPr>
        <w:t> </w:t>
      </w:r>
      <w:r>
        <w:rPr/>
        <w:t>o</w:t>
      </w:r>
      <w:r>
        <w:rPr>
          <w:spacing w:val="-3"/>
        </w:rPr>
        <w:t> </w:t>
      </w:r>
      <w:r>
        <w:rPr/>
        <w:t>decorrer do</w:t>
      </w:r>
      <w:r>
        <w:rPr>
          <w:spacing w:val="-3"/>
        </w:rPr>
        <w:t> </w:t>
      </w:r>
      <w:r>
        <w:rPr/>
        <w:t>tempo. A</w:t>
      </w:r>
      <w:r>
        <w:rPr>
          <w:spacing w:val="-10"/>
        </w:rPr>
        <w:t> </w:t>
      </w:r>
      <w:r>
        <w:rPr/>
        <w:t>duração</w:t>
      </w:r>
      <w:r>
        <w:rPr>
          <w:spacing w:val="-7"/>
        </w:rPr>
        <w:t> </w:t>
      </w:r>
      <w:r>
        <w:rPr/>
        <w:t>do</w:t>
      </w:r>
      <w:r>
        <w:rPr>
          <w:spacing w:val="-7"/>
        </w:rPr>
        <w:t> </w:t>
      </w:r>
      <w:r>
        <w:rPr/>
        <w:t>tabagismo</w:t>
      </w:r>
      <w:r>
        <w:rPr>
          <w:spacing w:val="-7"/>
        </w:rPr>
        <w:t> </w:t>
      </w:r>
      <w:r>
        <w:rPr/>
        <w:t>também</w:t>
      </w:r>
      <w:r>
        <w:rPr>
          <w:spacing w:val="-7"/>
        </w:rPr>
        <w:t> </w:t>
      </w:r>
      <w:r>
        <w:rPr/>
        <w:t>é</w:t>
      </w:r>
      <w:r>
        <w:rPr>
          <w:spacing w:val="-10"/>
        </w:rPr>
        <w:t> </w:t>
      </w:r>
      <w:r>
        <w:rPr/>
        <w:t>um</w:t>
      </w:r>
      <w:r>
        <w:rPr>
          <w:spacing w:val="-7"/>
        </w:rPr>
        <w:t> </w:t>
      </w:r>
      <w:r>
        <w:rPr/>
        <w:t>fator</w:t>
      </w:r>
      <w:r>
        <w:rPr>
          <w:spacing w:val="-3"/>
        </w:rPr>
        <w:t> </w:t>
      </w:r>
      <w:r>
        <w:rPr/>
        <w:t>importante, com</w:t>
      </w:r>
      <w:r>
        <w:rPr>
          <w:spacing w:val="-7"/>
        </w:rPr>
        <w:t> </w:t>
      </w:r>
      <w:r>
        <w:rPr/>
        <w:t>cada</w:t>
      </w:r>
      <w:r>
        <w:rPr>
          <w:spacing w:val="-10"/>
        </w:rPr>
        <w:t> </w:t>
      </w:r>
      <w:r>
        <w:rPr/>
        <w:t>ano</w:t>
      </w:r>
      <w:r>
        <w:rPr>
          <w:spacing w:val="-7"/>
        </w:rPr>
        <w:t> </w:t>
      </w:r>
      <w:r>
        <w:rPr/>
        <w:t>de</w:t>
      </w:r>
      <w:r>
        <w:rPr>
          <w:spacing w:val="-10"/>
        </w:rPr>
        <w:t> </w:t>
      </w:r>
      <w:r>
        <w:rPr/>
        <w:t>tabagismo</w:t>
      </w:r>
      <w:r>
        <w:rPr>
          <w:spacing w:val="-7"/>
        </w:rPr>
        <w:t> </w:t>
      </w:r>
      <w:r>
        <w:rPr/>
        <w:t>aumentando</w:t>
      </w:r>
      <w:r>
        <w:rPr>
          <w:spacing w:val="-7"/>
        </w:rPr>
        <w:t> </w:t>
      </w:r>
      <w:r>
        <w:rPr/>
        <w:t>o</w:t>
      </w:r>
      <w:r>
        <w:rPr>
          <w:spacing w:val="-7"/>
        </w:rPr>
        <w:t> </w:t>
      </w:r>
      <w:r>
        <w:rPr/>
        <w:t>risco</w:t>
      </w:r>
      <w:r>
        <w:rPr>
          <w:spacing w:val="-7"/>
        </w:rPr>
        <w:t> </w:t>
      </w:r>
      <w:r>
        <w:rPr/>
        <w:t>relativo</w:t>
      </w:r>
      <w:r>
        <w:rPr>
          <w:spacing w:val="-7"/>
        </w:rPr>
        <w:t> </w:t>
      </w:r>
      <w:r>
        <w:rPr/>
        <w:t>em 4%.</w:t>
      </w:r>
      <w:r>
        <w:rPr>
          <w:vertAlign w:val="superscript"/>
        </w:rPr>
        <w:t>49</w:t>
      </w:r>
      <w:r>
        <w:rPr>
          <w:vertAlign w:val="baseline"/>
        </w:rPr>
        <w:t> O consumo de bebidas alcoólicas também consiste em fator de risco para o aneurisma da aorta abdominal; níveis de consumo acima de 30 g/dia apresentam risco relativo ainda maior (1,6 vez).</w:t>
      </w:r>
      <w:r>
        <w:rPr>
          <w:vertAlign w:val="superscript"/>
        </w:rPr>
        <w:t>50</w:t>
      </w:r>
    </w:p>
    <w:p>
      <w:pPr>
        <w:pStyle w:val="BodyText"/>
        <w:spacing w:line="280" w:lineRule="auto" w:before="60"/>
        <w:ind w:right="488"/>
      </w:pPr>
      <w:r>
        <w:rPr/>
        <w:t>Os pacientes com aneurismas de aorta devem evitar a realização de exercícios isométricos e levantamento de peso, pois ocasionam aumento da pressão intratorácica e da pressão arterial. Exercícios aeróbicos, como caminhadas e</w:t>
      </w:r>
      <w:r>
        <w:rPr>
          <w:spacing w:val="-4"/>
        </w:rPr>
        <w:t> </w:t>
      </w:r>
      <w:r>
        <w:rPr/>
        <w:t>bicicleta, geralmente</w:t>
      </w:r>
      <w:r>
        <w:rPr>
          <w:spacing w:val="-4"/>
        </w:rPr>
        <w:t> </w:t>
      </w:r>
      <w:r>
        <w:rPr/>
        <w:t>são</w:t>
      </w:r>
      <w:r>
        <w:rPr>
          <w:spacing w:val="-1"/>
        </w:rPr>
        <w:t> </w:t>
      </w:r>
      <w:r>
        <w:rPr/>
        <w:t>seguros. Deve-se, no</w:t>
      </w:r>
      <w:r>
        <w:rPr>
          <w:spacing w:val="-1"/>
        </w:rPr>
        <w:t> </w:t>
      </w:r>
      <w:r>
        <w:rPr/>
        <w:t>entanto, avaliar a</w:t>
      </w:r>
      <w:r>
        <w:rPr>
          <w:spacing w:val="-4"/>
        </w:rPr>
        <w:t> </w:t>
      </w:r>
      <w:r>
        <w:rPr/>
        <w:t>resposta</w:t>
      </w:r>
      <w:r>
        <w:rPr>
          <w:spacing w:val="-4"/>
        </w:rPr>
        <w:t> </w:t>
      </w:r>
      <w:r>
        <w:rPr/>
        <w:t>da</w:t>
      </w:r>
      <w:r>
        <w:rPr>
          <w:spacing w:val="-4"/>
        </w:rPr>
        <w:t> </w:t>
      </w:r>
      <w:r>
        <w:rPr/>
        <w:t>curva</w:t>
      </w:r>
      <w:r>
        <w:rPr>
          <w:spacing w:val="-4"/>
        </w:rPr>
        <w:t> </w:t>
      </w:r>
      <w:r>
        <w:rPr/>
        <w:t>pressórica</w:t>
      </w:r>
      <w:r>
        <w:rPr>
          <w:spacing w:val="-4"/>
        </w:rPr>
        <w:t> </w:t>
      </w:r>
      <w:r>
        <w:rPr/>
        <w:t>durante o exercício, evitando elevações de pressão arterial acima de 180 mmHg.</w:t>
      </w:r>
      <w:r>
        <w:rPr>
          <w:vertAlign w:val="superscript"/>
        </w:rPr>
        <w:t>51</w:t>
      </w:r>
    </w:p>
    <w:p>
      <w:pPr>
        <w:pStyle w:val="BodyText"/>
        <w:spacing w:before="129"/>
        <w:ind w:left="0" w:firstLine="0"/>
        <w:jc w:val="left"/>
      </w:pPr>
    </w:p>
    <w:p>
      <w:pPr>
        <w:pStyle w:val="Heading5"/>
      </w:pPr>
      <w:r>
        <w:rPr>
          <w:color w:val="A26108"/>
        </w:rPr>
        <w:t>Tratamento</w:t>
      </w:r>
      <w:r>
        <w:rPr>
          <w:color w:val="A26108"/>
          <w:spacing w:val="34"/>
        </w:rPr>
        <w:t> </w:t>
      </w:r>
      <w:r>
        <w:rPr>
          <w:color w:val="A26108"/>
          <w:spacing w:val="-2"/>
        </w:rPr>
        <w:t>cirúrgico</w:t>
      </w:r>
    </w:p>
    <w:p>
      <w:pPr>
        <w:pStyle w:val="Heading7"/>
        <w:spacing w:before="122"/>
      </w:pPr>
      <w:r>
        <w:rPr>
          <w:color w:val="242B67"/>
        </w:rPr>
        <w:t>Cirurgias da aorta </w:t>
      </w:r>
      <w:r>
        <w:rPr>
          <w:color w:val="242B67"/>
          <w:spacing w:val="-2"/>
        </w:rPr>
        <w:t>ascendente</w:t>
      </w:r>
    </w:p>
    <w:p>
      <w:pPr>
        <w:pStyle w:val="BodyText"/>
        <w:spacing w:line="276" w:lineRule="auto" w:before="142"/>
        <w:ind w:right="491"/>
      </w:pPr>
      <w:r>
        <w:rPr/>
        <w:t>O tratamento cirúrgico convencional para os aneurismas da aorta ascendente com comprometimento da região sinotubular,</w:t>
      </w:r>
      <w:r>
        <w:rPr>
          <w:spacing w:val="37"/>
        </w:rPr>
        <w:t> </w:t>
      </w:r>
      <w:r>
        <w:rPr/>
        <w:t>associado</w:t>
      </w:r>
      <w:r>
        <w:rPr>
          <w:spacing w:val="28"/>
        </w:rPr>
        <w:t> </w:t>
      </w:r>
      <w:r>
        <w:rPr/>
        <w:t>à</w:t>
      </w:r>
      <w:r>
        <w:rPr>
          <w:spacing w:val="26"/>
        </w:rPr>
        <w:t> </w:t>
      </w:r>
      <w:r>
        <w:rPr/>
        <w:t>insuficiência</w:t>
      </w:r>
      <w:r>
        <w:rPr>
          <w:spacing w:val="26"/>
        </w:rPr>
        <w:t> </w:t>
      </w:r>
      <w:r>
        <w:rPr/>
        <w:t>aórtica,</w:t>
      </w:r>
      <w:r>
        <w:rPr>
          <w:spacing w:val="37"/>
        </w:rPr>
        <w:t> </w:t>
      </w:r>
      <w:r>
        <w:rPr/>
        <w:t>é</w:t>
      </w:r>
      <w:r>
        <w:rPr>
          <w:spacing w:val="26"/>
        </w:rPr>
        <w:t> </w:t>
      </w:r>
      <w:r>
        <w:rPr/>
        <w:t>a</w:t>
      </w:r>
      <w:r>
        <w:rPr>
          <w:spacing w:val="26"/>
        </w:rPr>
        <w:t> </w:t>
      </w:r>
      <w:r>
        <w:rPr/>
        <w:t>interposição</w:t>
      </w:r>
      <w:r>
        <w:rPr>
          <w:spacing w:val="28"/>
        </w:rPr>
        <w:t> </w:t>
      </w:r>
      <w:r>
        <w:rPr/>
        <w:t>de</w:t>
      </w:r>
      <w:r>
        <w:rPr>
          <w:spacing w:val="26"/>
        </w:rPr>
        <w:t> </w:t>
      </w:r>
      <w:r>
        <w:rPr/>
        <w:t>conduto</w:t>
      </w:r>
      <w:r>
        <w:rPr>
          <w:spacing w:val="28"/>
        </w:rPr>
        <w:t> </w:t>
      </w:r>
      <w:r>
        <w:rPr/>
        <w:t>valvulado</w:t>
      </w:r>
      <w:r>
        <w:rPr>
          <w:spacing w:val="28"/>
        </w:rPr>
        <w:t> </w:t>
      </w:r>
      <w:r>
        <w:rPr/>
        <w:t>com</w:t>
      </w:r>
      <w:r>
        <w:rPr>
          <w:spacing w:val="28"/>
        </w:rPr>
        <w:t> </w:t>
      </w:r>
      <w:r>
        <w:rPr/>
        <w:t>reimplante</w:t>
      </w:r>
      <w:r>
        <w:rPr>
          <w:spacing w:val="26"/>
        </w:rPr>
        <w:t> </w:t>
      </w:r>
      <w:r>
        <w:rPr/>
        <w:t>dos</w:t>
      </w:r>
      <w:r>
        <w:rPr>
          <w:spacing w:val="37"/>
        </w:rPr>
        <w:t> </w:t>
      </w:r>
      <w:r>
        <w:rPr/>
        <w:t>óstios</w:t>
      </w:r>
    </w:p>
    <w:p>
      <w:pPr>
        <w:pStyle w:val="BodyText"/>
        <w:spacing w:after="0" w:line="276" w:lineRule="auto"/>
        <w:sectPr>
          <w:pgSz w:w="11900" w:h="16840"/>
          <w:pgMar w:top="220" w:bottom="280" w:left="566" w:right="141"/>
        </w:sectPr>
      </w:pPr>
    </w:p>
    <w:p>
      <w:pPr>
        <w:pStyle w:val="BodyText"/>
        <w:spacing w:line="278" w:lineRule="auto" w:before="81"/>
        <w:ind w:right="497" w:firstLine="0"/>
      </w:pPr>
      <w:r>
        <w:rPr/>
        <w:t>coronários no</w:t>
      </w:r>
      <w:r>
        <w:rPr>
          <w:spacing w:val="-6"/>
        </w:rPr>
        <w:t> </w:t>
      </w:r>
      <w:r>
        <w:rPr/>
        <w:t>enxerto. A</w:t>
      </w:r>
      <w:r>
        <w:rPr>
          <w:spacing w:val="-8"/>
        </w:rPr>
        <w:t> </w:t>
      </w:r>
      <w:r>
        <w:rPr/>
        <w:t>operação</w:t>
      </w:r>
      <w:r>
        <w:rPr>
          <w:spacing w:val="-6"/>
        </w:rPr>
        <w:t> </w:t>
      </w:r>
      <w:r>
        <w:rPr/>
        <w:t>proposta</w:t>
      </w:r>
      <w:r>
        <w:rPr>
          <w:spacing w:val="-8"/>
        </w:rPr>
        <w:t> </w:t>
      </w:r>
      <w:r>
        <w:rPr/>
        <w:t>por Bentall</w:t>
      </w:r>
      <w:r>
        <w:rPr>
          <w:spacing w:val="-3"/>
        </w:rPr>
        <w:t> </w:t>
      </w:r>
      <w:r>
        <w:rPr/>
        <w:t>e</w:t>
      </w:r>
      <w:r>
        <w:rPr>
          <w:spacing w:val="-8"/>
        </w:rPr>
        <w:t> </w:t>
      </w:r>
      <w:r>
        <w:rPr/>
        <w:t>De</w:t>
      </w:r>
      <w:r>
        <w:rPr>
          <w:spacing w:val="-8"/>
        </w:rPr>
        <w:t> </w:t>
      </w:r>
      <w:r>
        <w:rPr/>
        <w:t>Bono</w:t>
      </w:r>
      <w:r>
        <w:rPr>
          <w:spacing w:val="-6"/>
        </w:rPr>
        <w:t> </w:t>
      </w:r>
      <w:r>
        <w:rPr/>
        <w:t>em</w:t>
      </w:r>
      <w:r>
        <w:rPr>
          <w:spacing w:val="-6"/>
        </w:rPr>
        <w:t> </w:t>
      </w:r>
      <w:r>
        <w:rPr/>
        <w:t>1966</w:t>
      </w:r>
      <w:r>
        <w:rPr>
          <w:vertAlign w:val="superscript"/>
        </w:rPr>
        <w:t>52</w:t>
      </w:r>
      <w:r>
        <w:rPr>
          <w:vertAlign w:val="baseline"/>
        </w:rPr>
        <w:t> é, há</w:t>
      </w:r>
      <w:r>
        <w:rPr>
          <w:spacing w:val="-7"/>
          <w:vertAlign w:val="baseline"/>
        </w:rPr>
        <w:t> </w:t>
      </w:r>
      <w:r>
        <w:rPr>
          <w:vertAlign w:val="baseline"/>
        </w:rPr>
        <w:t>muito, estabelecida</w:t>
      </w:r>
      <w:r>
        <w:rPr>
          <w:spacing w:val="-7"/>
          <w:vertAlign w:val="baseline"/>
        </w:rPr>
        <w:t> </w:t>
      </w:r>
      <w:r>
        <w:rPr>
          <w:vertAlign w:val="baseline"/>
        </w:rPr>
        <w:t>na</w:t>
      </w:r>
      <w:r>
        <w:rPr>
          <w:spacing w:val="-7"/>
          <w:vertAlign w:val="baseline"/>
        </w:rPr>
        <w:t> </w:t>
      </w:r>
      <w:r>
        <w:rPr>
          <w:vertAlign w:val="baseline"/>
        </w:rPr>
        <w:t>literatura pela sistematização técnica e excelência dos resultados imediatos e tardios (</w:t>
      </w:r>
      <w:r>
        <w:rPr>
          <w:color w:val="505050"/>
          <w:vertAlign w:val="baseline"/>
        </w:rPr>
        <w:t>Figura 58.4</w:t>
      </w:r>
      <w:r>
        <w:rPr>
          <w:vertAlign w:val="baseline"/>
        </w:rPr>
        <w:t>). Outra operação clássica para</w:t>
      </w:r>
      <w:r>
        <w:rPr>
          <w:spacing w:val="-9"/>
          <w:vertAlign w:val="baseline"/>
        </w:rPr>
        <w:t> </w:t>
      </w:r>
      <w:r>
        <w:rPr>
          <w:vertAlign w:val="baseline"/>
        </w:rPr>
        <w:t>o</w:t>
      </w:r>
      <w:r>
        <w:rPr>
          <w:spacing w:val="-6"/>
          <w:vertAlign w:val="baseline"/>
        </w:rPr>
        <w:t> </w:t>
      </w:r>
      <w:r>
        <w:rPr>
          <w:vertAlign w:val="baseline"/>
        </w:rPr>
        <w:t>tratamento</w:t>
      </w:r>
      <w:r>
        <w:rPr>
          <w:spacing w:val="-6"/>
          <w:vertAlign w:val="baseline"/>
        </w:rPr>
        <w:t> </w:t>
      </w:r>
      <w:r>
        <w:rPr>
          <w:vertAlign w:val="baseline"/>
        </w:rPr>
        <w:t>cirúrgico</w:t>
      </w:r>
      <w:r>
        <w:rPr>
          <w:spacing w:val="-6"/>
          <w:vertAlign w:val="baseline"/>
        </w:rPr>
        <w:t> </w:t>
      </w:r>
      <w:r>
        <w:rPr>
          <w:vertAlign w:val="baseline"/>
        </w:rPr>
        <w:t>da</w:t>
      </w:r>
      <w:r>
        <w:rPr>
          <w:spacing w:val="-9"/>
          <w:vertAlign w:val="baseline"/>
        </w:rPr>
        <w:t> </w:t>
      </w:r>
      <w:r>
        <w:rPr>
          <w:vertAlign w:val="baseline"/>
        </w:rPr>
        <w:t>aorta</w:t>
      </w:r>
      <w:r>
        <w:rPr>
          <w:spacing w:val="-9"/>
          <w:vertAlign w:val="baseline"/>
        </w:rPr>
        <w:t> </w:t>
      </w:r>
      <w:r>
        <w:rPr>
          <w:vertAlign w:val="baseline"/>
        </w:rPr>
        <w:t>ascendente</w:t>
      </w:r>
      <w:r>
        <w:rPr>
          <w:spacing w:val="-9"/>
          <w:vertAlign w:val="baseline"/>
        </w:rPr>
        <w:t> </w:t>
      </w:r>
      <w:r>
        <w:rPr>
          <w:vertAlign w:val="baseline"/>
        </w:rPr>
        <w:t>e</w:t>
      </w:r>
      <w:r>
        <w:rPr>
          <w:spacing w:val="-9"/>
          <w:vertAlign w:val="baseline"/>
        </w:rPr>
        <w:t> </w:t>
      </w:r>
      <w:r>
        <w:rPr>
          <w:vertAlign w:val="baseline"/>
        </w:rPr>
        <w:t>valva</w:t>
      </w:r>
      <w:r>
        <w:rPr>
          <w:spacing w:val="-9"/>
          <w:vertAlign w:val="baseline"/>
        </w:rPr>
        <w:t> </w:t>
      </w:r>
      <w:r>
        <w:rPr>
          <w:vertAlign w:val="baseline"/>
        </w:rPr>
        <w:t>aórtica</w:t>
      </w:r>
      <w:r>
        <w:rPr>
          <w:spacing w:val="-9"/>
          <w:vertAlign w:val="baseline"/>
        </w:rPr>
        <w:t> </w:t>
      </w:r>
      <w:r>
        <w:rPr>
          <w:vertAlign w:val="baseline"/>
        </w:rPr>
        <w:t>relacionada</w:t>
      </w:r>
      <w:r>
        <w:rPr>
          <w:spacing w:val="-9"/>
          <w:vertAlign w:val="baseline"/>
        </w:rPr>
        <w:t> </w:t>
      </w:r>
      <w:r>
        <w:rPr>
          <w:vertAlign w:val="baseline"/>
        </w:rPr>
        <w:t>com</w:t>
      </w:r>
      <w:r>
        <w:rPr>
          <w:spacing w:val="-6"/>
          <w:vertAlign w:val="baseline"/>
        </w:rPr>
        <w:t> </w:t>
      </w:r>
      <w:r>
        <w:rPr>
          <w:vertAlign w:val="baseline"/>
        </w:rPr>
        <w:t>a</w:t>
      </w:r>
      <w:r>
        <w:rPr>
          <w:spacing w:val="-9"/>
          <w:vertAlign w:val="baseline"/>
        </w:rPr>
        <w:t> </w:t>
      </w:r>
      <w:r>
        <w:rPr>
          <w:vertAlign w:val="baseline"/>
        </w:rPr>
        <w:t>interposição</w:t>
      </w:r>
      <w:r>
        <w:rPr>
          <w:spacing w:val="-6"/>
          <w:vertAlign w:val="baseline"/>
        </w:rPr>
        <w:t> </w:t>
      </w:r>
      <w:r>
        <w:rPr>
          <w:vertAlign w:val="baseline"/>
        </w:rPr>
        <w:t>de</w:t>
      </w:r>
      <w:r>
        <w:rPr>
          <w:spacing w:val="-9"/>
          <w:vertAlign w:val="baseline"/>
        </w:rPr>
        <w:t> </w:t>
      </w:r>
      <w:r>
        <w:rPr>
          <w:vertAlign w:val="baseline"/>
        </w:rPr>
        <w:t>conduto</w:t>
      </w:r>
      <w:r>
        <w:rPr>
          <w:spacing w:val="-6"/>
          <w:vertAlign w:val="baseline"/>
        </w:rPr>
        <w:t> </w:t>
      </w:r>
      <w:r>
        <w:rPr>
          <w:vertAlign w:val="baseline"/>
        </w:rPr>
        <w:t>valvulado é a operação de Cabrol (</w:t>
      </w:r>
      <w:r>
        <w:rPr>
          <w:color w:val="505050"/>
          <w:vertAlign w:val="baseline"/>
        </w:rPr>
        <w:t>Figura 58.5</w:t>
      </w:r>
      <w:r>
        <w:rPr>
          <w:vertAlign w:val="baseline"/>
        </w:rPr>
        <w:t>).</w:t>
      </w:r>
      <w:r>
        <w:rPr>
          <w:vertAlign w:val="superscript"/>
        </w:rPr>
        <w:t>53</w:t>
      </w:r>
      <w:r>
        <w:rPr>
          <w:vertAlign w:val="baseline"/>
        </w:rPr>
        <w:t> Essa operação é utilizada hoje, principalmente, em reoperações, quando a dissecção da</w:t>
      </w:r>
      <w:r>
        <w:rPr>
          <w:spacing w:val="-2"/>
          <w:vertAlign w:val="baseline"/>
        </w:rPr>
        <w:t> </w:t>
      </w:r>
      <w:r>
        <w:rPr>
          <w:vertAlign w:val="baseline"/>
        </w:rPr>
        <w:t>aorta</w:t>
      </w:r>
      <w:r>
        <w:rPr>
          <w:spacing w:val="-2"/>
          <w:vertAlign w:val="baseline"/>
        </w:rPr>
        <w:t> </w:t>
      </w:r>
      <w:r>
        <w:rPr>
          <w:vertAlign w:val="baseline"/>
        </w:rPr>
        <w:t>ascendente</w:t>
      </w:r>
      <w:r>
        <w:rPr>
          <w:spacing w:val="-2"/>
          <w:vertAlign w:val="baseline"/>
        </w:rPr>
        <w:t> </w:t>
      </w:r>
      <w:r>
        <w:rPr>
          <w:vertAlign w:val="baseline"/>
        </w:rPr>
        <w:t>e</w:t>
      </w:r>
      <w:r>
        <w:rPr>
          <w:spacing w:val="-2"/>
          <w:vertAlign w:val="baseline"/>
        </w:rPr>
        <w:t> </w:t>
      </w:r>
      <w:r>
        <w:rPr>
          <w:vertAlign w:val="baseline"/>
        </w:rPr>
        <w:t>dos óstios coronarianos representa</w:t>
      </w:r>
      <w:r>
        <w:rPr>
          <w:spacing w:val="-2"/>
          <w:vertAlign w:val="baseline"/>
        </w:rPr>
        <w:t> </w:t>
      </w:r>
      <w:r>
        <w:rPr>
          <w:vertAlign w:val="baseline"/>
        </w:rPr>
        <w:t>risco adicional de</w:t>
      </w:r>
      <w:r>
        <w:rPr>
          <w:spacing w:val="-2"/>
          <w:vertAlign w:val="baseline"/>
        </w:rPr>
        <w:t> </w:t>
      </w:r>
      <w:r>
        <w:rPr>
          <w:vertAlign w:val="baseline"/>
        </w:rPr>
        <w:t>lesão iatrogênica.</w:t>
      </w:r>
    </w:p>
    <w:p>
      <w:pPr>
        <w:pStyle w:val="BodyText"/>
        <w:spacing w:before="16"/>
        <w:ind w:left="0" w:firstLine="0"/>
        <w:jc w:val="left"/>
        <w:rPr>
          <w:sz w:val="20"/>
        </w:rPr>
      </w:pPr>
      <w:r>
        <w:rPr>
          <w:sz w:val="20"/>
        </w:rPr>
        <w:drawing>
          <wp:anchor distT="0" distB="0" distL="0" distR="0" allowOverlap="1" layoutInCell="1" locked="0" behindDoc="1" simplePos="0" relativeHeight="487610368">
            <wp:simplePos x="0" y="0"/>
            <wp:positionH relativeFrom="page">
              <wp:posOffset>1733930</wp:posOffset>
            </wp:positionH>
            <wp:positionV relativeFrom="paragraph">
              <wp:posOffset>172066</wp:posOffset>
            </wp:positionV>
            <wp:extent cx="4097091" cy="5320093"/>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5" cstate="print"/>
                    <a:stretch>
                      <a:fillRect/>
                    </a:stretch>
                  </pic:blipFill>
                  <pic:spPr>
                    <a:xfrm>
                      <a:off x="0" y="0"/>
                      <a:ext cx="4097091" cy="5320093"/>
                    </a:xfrm>
                    <a:prstGeom prst="rect">
                      <a:avLst/>
                    </a:prstGeom>
                  </pic:spPr>
                </pic:pic>
              </a:graphicData>
            </a:graphic>
          </wp:anchor>
        </w:drawing>
      </w:r>
    </w:p>
    <w:p>
      <w:pPr>
        <w:pStyle w:val="BodyText"/>
        <w:spacing w:before="10"/>
        <w:ind w:left="0" w:firstLine="0"/>
        <w:jc w:val="left"/>
      </w:pPr>
    </w:p>
    <w:p>
      <w:pPr>
        <w:spacing w:line="283" w:lineRule="auto" w:before="0"/>
        <w:ind w:left="68" w:right="508" w:firstLine="0"/>
        <w:jc w:val="both"/>
        <w:rPr>
          <w:rFonts w:ascii="Microsoft Sans Serif" w:hAnsi="Microsoft Sans Serif"/>
          <w:sz w:val="19"/>
        </w:rPr>
      </w:pPr>
      <w:r>
        <w:rPr>
          <w:rFonts w:ascii="Arial" w:hAnsi="Arial"/>
          <w:b/>
          <w:color w:val="242B67"/>
          <w:sz w:val="19"/>
        </w:rPr>
        <w:t>Figura 58.4</w:t>
      </w:r>
      <w:r>
        <w:rPr>
          <w:rFonts w:ascii="Arial" w:hAnsi="Arial"/>
          <w:b/>
          <w:color w:val="242B67"/>
          <w:spacing w:val="32"/>
          <w:sz w:val="19"/>
        </w:rPr>
        <w:t> </w:t>
      </w:r>
      <w:r>
        <w:rPr>
          <w:rFonts w:ascii="Microsoft Sans Serif" w:hAnsi="Microsoft Sans Serif"/>
          <w:sz w:val="19"/>
        </w:rPr>
        <w:t>Operação</w:t>
      </w:r>
      <w:r>
        <w:rPr>
          <w:rFonts w:ascii="Microsoft Sans Serif" w:hAnsi="Microsoft Sans Serif"/>
          <w:spacing w:val="35"/>
          <w:sz w:val="19"/>
        </w:rPr>
        <w:t> </w:t>
      </w:r>
      <w:r>
        <w:rPr>
          <w:rFonts w:ascii="Microsoft Sans Serif" w:hAnsi="Microsoft Sans Serif"/>
          <w:sz w:val="19"/>
        </w:rPr>
        <w:t>de</w:t>
      </w:r>
      <w:r>
        <w:rPr>
          <w:rFonts w:ascii="Microsoft Sans Serif" w:hAnsi="Microsoft Sans Serif"/>
          <w:spacing w:val="35"/>
          <w:sz w:val="19"/>
        </w:rPr>
        <w:t> </w:t>
      </w:r>
      <w:r>
        <w:rPr>
          <w:rFonts w:ascii="Microsoft Sans Serif" w:hAnsi="Microsoft Sans Serif"/>
          <w:sz w:val="19"/>
        </w:rPr>
        <w:t>Bentall</w:t>
      </w:r>
      <w:r>
        <w:rPr>
          <w:rFonts w:ascii="Microsoft Sans Serif" w:hAnsi="Microsoft Sans Serif"/>
          <w:spacing w:val="35"/>
          <w:sz w:val="19"/>
        </w:rPr>
        <w:t> </w:t>
      </w:r>
      <w:r>
        <w:rPr>
          <w:rFonts w:ascii="Microsoft Sans Serif" w:hAnsi="Microsoft Sans Serif"/>
          <w:sz w:val="19"/>
        </w:rPr>
        <w:t>e</w:t>
      </w:r>
      <w:r>
        <w:rPr>
          <w:rFonts w:ascii="Microsoft Sans Serif" w:hAnsi="Microsoft Sans Serif"/>
          <w:spacing w:val="35"/>
          <w:sz w:val="19"/>
        </w:rPr>
        <w:t> </w:t>
      </w:r>
      <w:r>
        <w:rPr>
          <w:rFonts w:ascii="Microsoft Sans Serif" w:hAnsi="Microsoft Sans Serif"/>
          <w:sz w:val="19"/>
        </w:rPr>
        <w:t>De</w:t>
      </w:r>
      <w:r>
        <w:rPr>
          <w:rFonts w:ascii="Microsoft Sans Serif" w:hAnsi="Microsoft Sans Serif"/>
          <w:spacing w:val="35"/>
          <w:sz w:val="19"/>
        </w:rPr>
        <w:t> </w:t>
      </w:r>
      <w:r>
        <w:rPr>
          <w:rFonts w:ascii="Microsoft Sans Serif" w:hAnsi="Microsoft Sans Serif"/>
          <w:sz w:val="19"/>
        </w:rPr>
        <w:t>Bono. </w:t>
      </w:r>
      <w:r>
        <w:rPr>
          <w:rFonts w:ascii="Arial" w:hAnsi="Arial"/>
          <w:b/>
          <w:sz w:val="19"/>
        </w:rPr>
        <w:t>A. </w:t>
      </w:r>
      <w:r>
        <w:rPr>
          <w:rFonts w:ascii="Microsoft Sans Serif" w:hAnsi="Microsoft Sans Serif"/>
          <w:sz w:val="19"/>
        </w:rPr>
        <w:t>Desenho</w:t>
      </w:r>
      <w:r>
        <w:rPr>
          <w:rFonts w:ascii="Microsoft Sans Serif" w:hAnsi="Microsoft Sans Serif"/>
          <w:spacing w:val="34"/>
          <w:sz w:val="19"/>
        </w:rPr>
        <w:t> </w:t>
      </w:r>
      <w:r>
        <w:rPr>
          <w:rFonts w:ascii="Microsoft Sans Serif" w:hAnsi="Microsoft Sans Serif"/>
          <w:sz w:val="19"/>
        </w:rPr>
        <w:t>esquemático</w:t>
      </w:r>
      <w:r>
        <w:rPr>
          <w:rFonts w:ascii="Microsoft Sans Serif" w:hAnsi="Microsoft Sans Serif"/>
          <w:spacing w:val="34"/>
          <w:sz w:val="19"/>
        </w:rPr>
        <w:t> </w:t>
      </w:r>
      <w:r>
        <w:rPr>
          <w:rFonts w:ascii="Microsoft Sans Serif" w:hAnsi="Microsoft Sans Serif"/>
          <w:sz w:val="19"/>
        </w:rPr>
        <w:t>da</w:t>
      </w:r>
      <w:r>
        <w:rPr>
          <w:rFonts w:ascii="Microsoft Sans Serif" w:hAnsi="Microsoft Sans Serif"/>
          <w:spacing w:val="34"/>
          <w:sz w:val="19"/>
        </w:rPr>
        <w:t> </w:t>
      </w:r>
      <w:r>
        <w:rPr>
          <w:rFonts w:ascii="Microsoft Sans Serif" w:hAnsi="Microsoft Sans Serif"/>
          <w:sz w:val="19"/>
        </w:rPr>
        <w:t>técnica</w:t>
      </w:r>
      <w:r>
        <w:rPr>
          <w:rFonts w:ascii="Microsoft Sans Serif" w:hAnsi="Microsoft Sans Serif"/>
          <w:spacing w:val="34"/>
          <w:sz w:val="19"/>
        </w:rPr>
        <w:t> </w:t>
      </w:r>
      <w:r>
        <w:rPr>
          <w:rFonts w:ascii="Microsoft Sans Serif" w:hAnsi="Microsoft Sans Serif"/>
          <w:sz w:val="19"/>
        </w:rPr>
        <w:t>operatória</w:t>
      </w:r>
      <w:r>
        <w:rPr>
          <w:rFonts w:ascii="Microsoft Sans Serif" w:hAnsi="Microsoft Sans Serif"/>
          <w:spacing w:val="34"/>
          <w:sz w:val="19"/>
        </w:rPr>
        <w:t> </w:t>
      </w:r>
      <w:r>
        <w:rPr>
          <w:rFonts w:ascii="Microsoft Sans Serif" w:hAnsi="Microsoft Sans Serif"/>
          <w:sz w:val="19"/>
        </w:rPr>
        <w:t>proposta</w:t>
      </w:r>
      <w:r>
        <w:rPr>
          <w:rFonts w:ascii="Microsoft Sans Serif" w:hAnsi="Microsoft Sans Serif"/>
          <w:spacing w:val="34"/>
          <w:sz w:val="19"/>
        </w:rPr>
        <w:t> </w:t>
      </w:r>
      <w:r>
        <w:rPr>
          <w:rFonts w:ascii="Microsoft Sans Serif" w:hAnsi="Microsoft Sans Serif"/>
          <w:sz w:val="19"/>
        </w:rPr>
        <w:t>por Bentall</w:t>
      </w:r>
      <w:r>
        <w:rPr>
          <w:rFonts w:ascii="Microsoft Sans Serif" w:hAnsi="Microsoft Sans Serif"/>
          <w:spacing w:val="34"/>
          <w:sz w:val="19"/>
        </w:rPr>
        <w:t> </w:t>
      </w:r>
      <w:r>
        <w:rPr>
          <w:rFonts w:ascii="Microsoft Sans Serif" w:hAnsi="Microsoft Sans Serif"/>
          <w:sz w:val="19"/>
        </w:rPr>
        <w:t>e</w:t>
      </w:r>
      <w:r>
        <w:rPr>
          <w:rFonts w:ascii="Microsoft Sans Serif" w:hAnsi="Microsoft Sans Serif"/>
          <w:spacing w:val="34"/>
          <w:sz w:val="19"/>
        </w:rPr>
        <w:t> </w:t>
      </w:r>
      <w:r>
        <w:rPr>
          <w:rFonts w:ascii="Microsoft Sans Serif" w:hAnsi="Microsoft Sans Serif"/>
          <w:sz w:val="19"/>
        </w:rPr>
        <w:t>De Bono. </w:t>
      </w:r>
      <w:r>
        <w:rPr>
          <w:rFonts w:ascii="Arial" w:hAnsi="Arial"/>
          <w:b/>
          <w:sz w:val="19"/>
        </w:rPr>
        <w:t>B. </w:t>
      </w:r>
      <w:r>
        <w:rPr>
          <w:rFonts w:ascii="Microsoft Sans Serif" w:hAnsi="Microsoft Sans Serif"/>
          <w:sz w:val="19"/>
        </w:rPr>
        <w:t>Fotografia</w:t>
      </w:r>
      <w:r>
        <w:rPr>
          <w:rFonts w:ascii="Microsoft Sans Serif" w:hAnsi="Microsoft Sans Serif"/>
          <w:spacing w:val="30"/>
          <w:sz w:val="19"/>
        </w:rPr>
        <w:t> </w:t>
      </w:r>
      <w:r>
        <w:rPr>
          <w:rFonts w:ascii="Microsoft Sans Serif" w:hAnsi="Microsoft Sans Serif"/>
          <w:sz w:val="19"/>
        </w:rPr>
        <w:t>intraoperatória</w:t>
      </w:r>
      <w:r>
        <w:rPr>
          <w:rFonts w:ascii="Microsoft Sans Serif" w:hAnsi="Microsoft Sans Serif"/>
          <w:spacing w:val="30"/>
          <w:sz w:val="19"/>
        </w:rPr>
        <w:t> </w:t>
      </w:r>
      <w:r>
        <w:rPr>
          <w:rFonts w:ascii="Microsoft Sans Serif" w:hAnsi="Microsoft Sans Serif"/>
          <w:sz w:val="19"/>
        </w:rPr>
        <w:t>da</w:t>
      </w:r>
      <w:r>
        <w:rPr>
          <w:rFonts w:ascii="Microsoft Sans Serif" w:hAnsi="Microsoft Sans Serif"/>
          <w:spacing w:val="30"/>
          <w:sz w:val="19"/>
        </w:rPr>
        <w:t> </w:t>
      </w:r>
      <w:r>
        <w:rPr>
          <w:rFonts w:ascii="Microsoft Sans Serif" w:hAnsi="Microsoft Sans Serif"/>
          <w:sz w:val="19"/>
        </w:rPr>
        <w:t>interposição</w:t>
      </w:r>
      <w:r>
        <w:rPr>
          <w:rFonts w:ascii="Microsoft Sans Serif" w:hAnsi="Microsoft Sans Serif"/>
          <w:spacing w:val="30"/>
          <w:sz w:val="19"/>
        </w:rPr>
        <w:t> </w:t>
      </w:r>
      <w:r>
        <w:rPr>
          <w:rFonts w:ascii="Microsoft Sans Serif" w:hAnsi="Microsoft Sans Serif"/>
          <w:sz w:val="19"/>
        </w:rPr>
        <w:t>do</w:t>
      </w:r>
      <w:r>
        <w:rPr>
          <w:rFonts w:ascii="Microsoft Sans Serif" w:hAnsi="Microsoft Sans Serif"/>
          <w:spacing w:val="30"/>
          <w:sz w:val="19"/>
        </w:rPr>
        <w:t> </w:t>
      </w:r>
      <w:r>
        <w:rPr>
          <w:rFonts w:ascii="Microsoft Sans Serif" w:hAnsi="Microsoft Sans Serif"/>
          <w:sz w:val="19"/>
        </w:rPr>
        <w:t>tubo</w:t>
      </w:r>
      <w:r>
        <w:rPr>
          <w:rFonts w:ascii="Microsoft Sans Serif" w:hAnsi="Microsoft Sans Serif"/>
          <w:spacing w:val="30"/>
          <w:sz w:val="19"/>
        </w:rPr>
        <w:t> </w:t>
      </w:r>
      <w:r>
        <w:rPr>
          <w:rFonts w:ascii="Microsoft Sans Serif" w:hAnsi="Microsoft Sans Serif"/>
          <w:sz w:val="19"/>
        </w:rPr>
        <w:t>valvulado. </w:t>
      </w:r>
      <w:r>
        <w:rPr>
          <w:rFonts w:ascii="Arial" w:hAnsi="Arial"/>
          <w:b/>
          <w:sz w:val="19"/>
        </w:rPr>
        <w:t>C. </w:t>
      </w:r>
      <w:r>
        <w:rPr>
          <w:rFonts w:ascii="Microsoft Sans Serif" w:hAnsi="Microsoft Sans Serif"/>
          <w:sz w:val="19"/>
        </w:rPr>
        <w:t>Fotografia</w:t>
      </w:r>
      <w:r>
        <w:rPr>
          <w:rFonts w:ascii="Microsoft Sans Serif" w:hAnsi="Microsoft Sans Serif"/>
          <w:spacing w:val="30"/>
          <w:sz w:val="19"/>
        </w:rPr>
        <w:t> </w:t>
      </w:r>
      <w:r>
        <w:rPr>
          <w:rFonts w:ascii="Microsoft Sans Serif" w:hAnsi="Microsoft Sans Serif"/>
          <w:sz w:val="19"/>
        </w:rPr>
        <w:t>intraoperatória</w:t>
      </w:r>
      <w:r>
        <w:rPr>
          <w:rFonts w:ascii="Microsoft Sans Serif" w:hAnsi="Microsoft Sans Serif"/>
          <w:spacing w:val="30"/>
          <w:sz w:val="19"/>
        </w:rPr>
        <w:t> </w:t>
      </w:r>
      <w:r>
        <w:rPr>
          <w:rFonts w:ascii="Microsoft Sans Serif" w:hAnsi="Microsoft Sans Serif"/>
          <w:sz w:val="19"/>
        </w:rPr>
        <w:t>do</w:t>
      </w:r>
      <w:r>
        <w:rPr>
          <w:rFonts w:ascii="Microsoft Sans Serif" w:hAnsi="Microsoft Sans Serif"/>
          <w:spacing w:val="30"/>
          <w:sz w:val="19"/>
        </w:rPr>
        <w:t> </w:t>
      </w:r>
      <w:r>
        <w:rPr>
          <w:rFonts w:ascii="Microsoft Sans Serif" w:hAnsi="Microsoft Sans Serif"/>
          <w:sz w:val="19"/>
        </w:rPr>
        <w:t>reimplante</w:t>
      </w:r>
      <w:r>
        <w:rPr>
          <w:rFonts w:ascii="Microsoft Sans Serif" w:hAnsi="Microsoft Sans Serif"/>
          <w:spacing w:val="30"/>
          <w:sz w:val="19"/>
        </w:rPr>
        <w:t> </w:t>
      </w:r>
      <w:r>
        <w:rPr>
          <w:rFonts w:ascii="Microsoft Sans Serif" w:hAnsi="Microsoft Sans Serif"/>
          <w:sz w:val="19"/>
        </w:rPr>
        <w:t>do</w:t>
      </w:r>
      <w:r>
        <w:rPr>
          <w:rFonts w:ascii="Microsoft Sans Serif" w:hAnsi="Microsoft Sans Serif"/>
          <w:spacing w:val="30"/>
          <w:sz w:val="19"/>
        </w:rPr>
        <w:t> </w:t>
      </w:r>
      <w:r>
        <w:rPr>
          <w:rFonts w:ascii="Microsoft Sans Serif" w:hAnsi="Microsoft Sans Serif"/>
          <w:sz w:val="19"/>
        </w:rPr>
        <w:t>óstio da coronária direita após o reimplante do óstio esquerdo.</w:t>
      </w:r>
    </w:p>
    <w:p>
      <w:pPr>
        <w:pStyle w:val="BodyText"/>
        <w:spacing w:before="33"/>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10880">
            <wp:simplePos x="0" y="0"/>
            <wp:positionH relativeFrom="page">
              <wp:posOffset>1316926</wp:posOffset>
            </wp:positionH>
            <wp:positionV relativeFrom="paragraph">
              <wp:posOffset>180548</wp:posOffset>
            </wp:positionV>
            <wp:extent cx="4886711" cy="2887599"/>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6" cstate="print"/>
                    <a:stretch>
                      <a:fillRect/>
                    </a:stretch>
                  </pic:blipFill>
                  <pic:spPr>
                    <a:xfrm>
                      <a:off x="0" y="0"/>
                      <a:ext cx="4886711" cy="2887599"/>
                    </a:xfrm>
                    <a:prstGeom prst="rect">
                      <a:avLst/>
                    </a:prstGeom>
                  </pic:spPr>
                </pic:pic>
              </a:graphicData>
            </a:graphic>
          </wp:anchor>
        </w:drawing>
      </w:r>
    </w:p>
    <w:p>
      <w:pPr>
        <w:pStyle w:val="BodyText"/>
        <w:spacing w:after="0"/>
        <w:jc w:val="left"/>
        <w:rPr>
          <w:rFonts w:ascii="Microsoft Sans Serif"/>
          <w:sz w:val="20"/>
        </w:rPr>
        <w:sectPr>
          <w:pgSz w:w="11900" w:h="16840"/>
          <w:pgMar w:top="220" w:bottom="280" w:left="566" w:right="141"/>
        </w:sectPr>
      </w:pPr>
    </w:p>
    <w:p>
      <w:pPr>
        <w:spacing w:line="283" w:lineRule="auto" w:before="83"/>
        <w:ind w:left="68" w:right="503" w:firstLine="0"/>
        <w:jc w:val="both"/>
        <w:rPr>
          <w:rFonts w:ascii="Microsoft Sans Serif" w:hAnsi="Microsoft Sans Serif"/>
          <w:sz w:val="19"/>
        </w:rPr>
      </w:pPr>
      <w:r>
        <w:rPr>
          <w:rFonts w:ascii="Arial" w:hAnsi="Arial"/>
          <w:b/>
          <w:color w:val="242B67"/>
          <w:sz w:val="19"/>
        </w:rPr>
        <w:t>Figura</w:t>
      </w:r>
      <w:r>
        <w:rPr>
          <w:rFonts w:ascii="Arial" w:hAnsi="Arial"/>
          <w:b/>
          <w:color w:val="242B67"/>
          <w:spacing w:val="40"/>
          <w:sz w:val="19"/>
        </w:rPr>
        <w:t> </w:t>
      </w:r>
      <w:r>
        <w:rPr>
          <w:rFonts w:ascii="Arial" w:hAnsi="Arial"/>
          <w:b/>
          <w:color w:val="242B67"/>
          <w:sz w:val="19"/>
        </w:rPr>
        <w:t>58.5</w:t>
      </w:r>
      <w:r>
        <w:rPr>
          <w:rFonts w:ascii="Arial" w:hAnsi="Arial"/>
          <w:b/>
          <w:color w:val="242B67"/>
          <w:spacing w:val="40"/>
          <w:sz w:val="19"/>
        </w:rPr>
        <w:t> </w:t>
      </w:r>
      <w:r>
        <w:rPr>
          <w:rFonts w:ascii="Microsoft Sans Serif" w:hAnsi="Microsoft Sans Serif"/>
          <w:sz w:val="19"/>
        </w:rPr>
        <w:t>Operação</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Cabrol.</w:t>
      </w:r>
      <w:r>
        <w:rPr>
          <w:rFonts w:ascii="Microsoft Sans Serif" w:hAnsi="Microsoft Sans Serif"/>
          <w:spacing w:val="40"/>
          <w:sz w:val="19"/>
        </w:rPr>
        <w:t> </w:t>
      </w:r>
      <w:r>
        <w:rPr>
          <w:rFonts w:ascii="Arial" w:hAnsi="Arial"/>
          <w:b/>
          <w:sz w:val="19"/>
        </w:rPr>
        <w:t>A.</w:t>
      </w:r>
      <w:r>
        <w:rPr>
          <w:rFonts w:ascii="Arial" w:hAnsi="Arial"/>
          <w:b/>
          <w:spacing w:val="40"/>
          <w:sz w:val="19"/>
        </w:rPr>
        <w:t> </w:t>
      </w:r>
      <w:r>
        <w:rPr>
          <w:rFonts w:ascii="Microsoft Sans Serif" w:hAnsi="Microsoft Sans Serif"/>
          <w:sz w:val="19"/>
        </w:rPr>
        <w:t>Desenho</w:t>
      </w:r>
      <w:r>
        <w:rPr>
          <w:rFonts w:ascii="Microsoft Sans Serif" w:hAnsi="Microsoft Sans Serif"/>
          <w:spacing w:val="40"/>
          <w:sz w:val="19"/>
        </w:rPr>
        <w:t> </w:t>
      </w:r>
      <w:r>
        <w:rPr>
          <w:rFonts w:ascii="Microsoft Sans Serif" w:hAnsi="Microsoft Sans Serif"/>
          <w:sz w:val="19"/>
        </w:rPr>
        <w:t>esquemático</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substituição</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valva</w:t>
      </w:r>
      <w:r>
        <w:rPr>
          <w:rFonts w:ascii="Microsoft Sans Serif" w:hAnsi="Microsoft Sans Serif"/>
          <w:spacing w:val="40"/>
          <w:sz w:val="19"/>
        </w:rPr>
        <w:t> </w:t>
      </w:r>
      <w:r>
        <w:rPr>
          <w:rFonts w:ascii="Microsoft Sans Serif" w:hAnsi="Microsoft Sans Serif"/>
          <w:sz w:val="19"/>
        </w:rPr>
        <w:t>aórtica</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ascendente</w:t>
      </w:r>
      <w:r>
        <w:rPr>
          <w:rFonts w:ascii="Microsoft Sans Serif" w:hAnsi="Microsoft Sans Serif"/>
          <w:spacing w:val="40"/>
          <w:sz w:val="19"/>
        </w:rPr>
        <w:t> </w:t>
      </w:r>
      <w:r>
        <w:rPr>
          <w:rFonts w:ascii="Microsoft Sans Serif" w:hAnsi="Microsoft Sans Serif"/>
          <w:sz w:val="19"/>
        </w:rPr>
        <w:t>por conduto</w:t>
      </w:r>
      <w:r>
        <w:rPr>
          <w:rFonts w:ascii="Microsoft Sans Serif" w:hAnsi="Microsoft Sans Serif"/>
          <w:spacing w:val="40"/>
          <w:sz w:val="19"/>
        </w:rPr>
        <w:t> </w:t>
      </w:r>
      <w:r>
        <w:rPr>
          <w:rFonts w:ascii="Microsoft Sans Serif" w:hAnsi="Microsoft Sans Serif"/>
          <w:sz w:val="19"/>
        </w:rPr>
        <w:t>valvulado</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reimplante</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enxerto</w:t>
      </w:r>
      <w:r>
        <w:rPr>
          <w:rFonts w:ascii="Microsoft Sans Serif" w:hAnsi="Microsoft Sans Serif"/>
          <w:spacing w:val="40"/>
          <w:sz w:val="19"/>
        </w:rPr>
        <w:t> </w:t>
      </w:r>
      <w:r>
        <w:rPr>
          <w:rFonts w:ascii="Microsoft Sans Serif" w:hAnsi="Microsoft Sans Serif"/>
          <w:sz w:val="19"/>
        </w:rPr>
        <w:t>tubular</w:t>
      </w:r>
      <w:r>
        <w:rPr>
          <w:rFonts w:ascii="Microsoft Sans Serif" w:hAnsi="Microsoft Sans Serif"/>
          <w:spacing w:val="40"/>
          <w:sz w:val="19"/>
        </w:rPr>
        <w:t> </w:t>
      </w:r>
      <w:r>
        <w:rPr>
          <w:rFonts w:ascii="Microsoft Sans Serif" w:hAnsi="Microsoft Sans Serif"/>
          <w:sz w:val="19"/>
        </w:rPr>
        <w:t>anastomosado</w:t>
      </w:r>
      <w:r>
        <w:rPr>
          <w:rFonts w:ascii="Microsoft Sans Serif" w:hAnsi="Microsoft Sans Serif"/>
          <w:spacing w:val="40"/>
          <w:sz w:val="19"/>
        </w:rPr>
        <w:t> </w:t>
      </w:r>
      <w:r>
        <w:rPr>
          <w:rFonts w:ascii="Microsoft Sans Serif" w:hAnsi="Microsoft Sans Serif"/>
          <w:sz w:val="19"/>
        </w:rPr>
        <w:t>entre</w:t>
      </w:r>
      <w:r>
        <w:rPr>
          <w:rFonts w:ascii="Microsoft Sans Serif" w:hAnsi="Microsoft Sans Serif"/>
          <w:spacing w:val="40"/>
          <w:sz w:val="19"/>
        </w:rPr>
        <w:t> </w:t>
      </w:r>
      <w:r>
        <w:rPr>
          <w:rFonts w:ascii="Microsoft Sans Serif" w:hAnsi="Microsoft Sans Serif"/>
          <w:sz w:val="19"/>
        </w:rPr>
        <w:t>os</w:t>
      </w:r>
      <w:r>
        <w:rPr>
          <w:rFonts w:ascii="Microsoft Sans Serif" w:hAnsi="Microsoft Sans Serif"/>
          <w:spacing w:val="40"/>
          <w:sz w:val="19"/>
        </w:rPr>
        <w:t> </w:t>
      </w:r>
      <w:r>
        <w:rPr>
          <w:rFonts w:ascii="Microsoft Sans Serif" w:hAnsi="Microsoft Sans Serif"/>
          <w:sz w:val="19"/>
        </w:rPr>
        <w:t>óstios</w:t>
      </w:r>
      <w:r>
        <w:rPr>
          <w:rFonts w:ascii="Microsoft Sans Serif" w:hAnsi="Microsoft Sans Serif"/>
          <w:spacing w:val="40"/>
          <w:sz w:val="19"/>
        </w:rPr>
        <w:t> </w:t>
      </w:r>
      <w:r>
        <w:rPr>
          <w:rFonts w:ascii="Microsoft Sans Serif" w:hAnsi="Microsoft Sans Serif"/>
          <w:sz w:val="19"/>
        </w:rPr>
        <w:t>coronarianos</w:t>
      </w:r>
      <w:r>
        <w:rPr>
          <w:rFonts w:ascii="Microsoft Sans Serif" w:hAnsi="Microsoft Sans Serif"/>
          <w:spacing w:val="40"/>
          <w:sz w:val="19"/>
        </w:rPr>
        <w:t> </w:t>
      </w:r>
      <w:r>
        <w:rPr>
          <w:rFonts w:ascii="Microsoft Sans Serif" w:hAnsi="Microsoft Sans Serif"/>
          <w:sz w:val="19"/>
        </w:rPr>
        <w:t>esquerdo</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direito</w:t>
      </w:r>
      <w:r>
        <w:rPr>
          <w:rFonts w:ascii="Microsoft Sans Serif" w:hAnsi="Microsoft Sans Serif"/>
          <w:spacing w:val="40"/>
          <w:sz w:val="19"/>
        </w:rPr>
        <w:t> </w:t>
      </w:r>
      <w:r>
        <w:rPr>
          <w:rFonts w:ascii="Microsoft Sans Serif" w:hAnsi="Microsoft Sans Serif"/>
          <w:sz w:val="19"/>
        </w:rPr>
        <w:t>no conduto</w:t>
      </w:r>
      <w:r>
        <w:rPr>
          <w:rFonts w:ascii="Microsoft Sans Serif" w:hAnsi="Microsoft Sans Serif"/>
          <w:spacing w:val="40"/>
          <w:sz w:val="19"/>
        </w:rPr>
        <w:t> </w:t>
      </w:r>
      <w:r>
        <w:rPr>
          <w:rFonts w:ascii="Microsoft Sans Serif" w:hAnsi="Microsoft Sans Serif"/>
          <w:sz w:val="19"/>
        </w:rPr>
        <w:t>valvulado</w:t>
      </w:r>
      <w:r>
        <w:rPr>
          <w:rFonts w:ascii="Microsoft Sans Serif" w:hAnsi="Microsoft Sans Serif"/>
          <w:spacing w:val="40"/>
          <w:sz w:val="19"/>
        </w:rPr>
        <w:t> </w:t>
      </w:r>
      <w:r>
        <w:rPr>
          <w:rFonts w:ascii="Microsoft Sans Serif" w:hAnsi="Microsoft Sans Serif"/>
          <w:sz w:val="19"/>
        </w:rPr>
        <w:t>laterolateralmente. </w:t>
      </w:r>
      <w:r>
        <w:rPr>
          <w:rFonts w:ascii="Arial" w:hAnsi="Arial"/>
          <w:b/>
          <w:sz w:val="19"/>
        </w:rPr>
        <w:t>B. </w:t>
      </w:r>
      <w:r>
        <w:rPr>
          <w:rFonts w:ascii="Microsoft Sans Serif" w:hAnsi="Microsoft Sans Serif"/>
          <w:sz w:val="19"/>
        </w:rPr>
        <w:t>Fotografia</w:t>
      </w:r>
      <w:r>
        <w:rPr>
          <w:rFonts w:ascii="Microsoft Sans Serif" w:hAnsi="Microsoft Sans Serif"/>
          <w:spacing w:val="40"/>
          <w:sz w:val="19"/>
        </w:rPr>
        <w:t> </w:t>
      </w:r>
      <w:r>
        <w:rPr>
          <w:rFonts w:ascii="Microsoft Sans Serif" w:hAnsi="Microsoft Sans Serif"/>
          <w:sz w:val="19"/>
        </w:rPr>
        <w:t>intraoperatória</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operação</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Cabrol.</w:t>
      </w:r>
    </w:p>
    <w:p>
      <w:pPr>
        <w:pStyle w:val="BodyText"/>
        <w:spacing w:before="68"/>
        <w:ind w:left="0" w:firstLine="0"/>
        <w:jc w:val="left"/>
        <w:rPr>
          <w:rFonts w:ascii="Microsoft Sans Serif"/>
          <w:sz w:val="19"/>
        </w:rPr>
      </w:pPr>
    </w:p>
    <w:p>
      <w:pPr>
        <w:pStyle w:val="BodyText"/>
        <w:spacing w:line="276" w:lineRule="auto" w:before="0"/>
        <w:ind w:right="488"/>
      </w:pPr>
      <w:r>
        <w:rPr/>
        <w:t>No</w:t>
      </w:r>
      <w:r>
        <w:rPr>
          <w:spacing w:val="-2"/>
        </w:rPr>
        <w:t> </w:t>
      </w:r>
      <w:r>
        <w:rPr/>
        <w:t>entanto, problemas relacionados com</w:t>
      </w:r>
      <w:r>
        <w:rPr>
          <w:spacing w:val="-2"/>
        </w:rPr>
        <w:t> </w:t>
      </w:r>
      <w:r>
        <w:rPr/>
        <w:t>a</w:t>
      </w:r>
      <w:r>
        <w:rPr>
          <w:spacing w:val="-5"/>
        </w:rPr>
        <w:t> </w:t>
      </w:r>
      <w:r>
        <w:rPr/>
        <w:t>necessidade</w:t>
      </w:r>
      <w:r>
        <w:rPr>
          <w:spacing w:val="-5"/>
        </w:rPr>
        <w:t> </w:t>
      </w:r>
      <w:r>
        <w:rPr/>
        <w:t>de</w:t>
      </w:r>
      <w:r>
        <w:rPr>
          <w:spacing w:val="-5"/>
        </w:rPr>
        <w:t> </w:t>
      </w:r>
      <w:r>
        <w:rPr/>
        <w:t>anticoagulação</w:t>
      </w:r>
      <w:r>
        <w:rPr>
          <w:spacing w:val="-2"/>
        </w:rPr>
        <w:t> </w:t>
      </w:r>
      <w:r>
        <w:rPr/>
        <w:t>continuada</w:t>
      </w:r>
      <w:r>
        <w:rPr>
          <w:spacing w:val="-5"/>
        </w:rPr>
        <w:t> </w:t>
      </w:r>
      <w:r>
        <w:rPr/>
        <w:t>pela</w:t>
      </w:r>
      <w:r>
        <w:rPr>
          <w:spacing w:val="-5"/>
        </w:rPr>
        <w:t> </w:t>
      </w:r>
      <w:r>
        <w:rPr/>
        <w:t>existência</w:t>
      </w:r>
      <w:r>
        <w:rPr>
          <w:spacing w:val="-5"/>
        </w:rPr>
        <w:t> </w:t>
      </w:r>
      <w:r>
        <w:rPr/>
        <w:t>de</w:t>
      </w:r>
      <w:r>
        <w:rPr>
          <w:spacing w:val="-5"/>
        </w:rPr>
        <w:t> </w:t>
      </w:r>
      <w:r>
        <w:rPr/>
        <w:t>prótese valvular mecânica (fenômenos hemorrágicos, tromboembólicos e a endocardite infecciosa) estimularam o desenvolvimento</w:t>
      </w:r>
      <w:r>
        <w:rPr>
          <w:spacing w:val="-1"/>
        </w:rPr>
        <w:t> </w:t>
      </w:r>
      <w:r>
        <w:rPr/>
        <w:t>de</w:t>
      </w:r>
      <w:r>
        <w:rPr>
          <w:spacing w:val="-4"/>
        </w:rPr>
        <w:t> </w:t>
      </w:r>
      <w:r>
        <w:rPr/>
        <w:t>alternativas técnicas à</w:t>
      </w:r>
      <w:r>
        <w:rPr>
          <w:spacing w:val="-4"/>
        </w:rPr>
        <w:t> </w:t>
      </w:r>
      <w:r>
        <w:rPr/>
        <w:t>utilização</w:t>
      </w:r>
      <w:r>
        <w:rPr>
          <w:spacing w:val="-1"/>
        </w:rPr>
        <w:t> </w:t>
      </w:r>
      <w:r>
        <w:rPr/>
        <w:t>do</w:t>
      </w:r>
      <w:r>
        <w:rPr>
          <w:spacing w:val="-1"/>
        </w:rPr>
        <w:t> </w:t>
      </w:r>
      <w:r>
        <w:rPr/>
        <w:t>conduto</w:t>
      </w:r>
      <w:r>
        <w:rPr>
          <w:spacing w:val="-1"/>
        </w:rPr>
        <w:t> </w:t>
      </w:r>
      <w:r>
        <w:rPr/>
        <w:t>valvulado.</w:t>
      </w:r>
    </w:p>
    <w:p>
      <w:pPr>
        <w:pStyle w:val="BodyText"/>
        <w:spacing w:line="283" w:lineRule="auto"/>
        <w:ind w:right="488"/>
      </w:pPr>
      <w:r>
        <w:rPr/>
        <w:t>Com esse objetivo, desenvolveu-se a operação da substituição radical da raiz da aorta com a preservação da valva aórtica. As duas operações descritas para esse fim foram as operações do remodelamento e a do reimplante, respectivamente propostas por Yacoub em 1983 e David e Feindel em 1992 (</w:t>
      </w:r>
      <w:r>
        <w:rPr>
          <w:color w:val="505050"/>
        </w:rPr>
        <w:t>Figura 58.6</w:t>
      </w:r>
      <w:r>
        <w:rPr/>
        <w:t>).</w:t>
      </w:r>
      <w:r>
        <w:rPr>
          <w:vertAlign w:val="superscript"/>
        </w:rPr>
        <w:t>54,55</w:t>
      </w:r>
    </w:p>
    <w:p>
      <w:pPr>
        <w:pStyle w:val="BodyText"/>
        <w:spacing w:line="276" w:lineRule="auto" w:before="40"/>
        <w:ind w:right="491"/>
      </w:pPr>
      <w:r>
        <w:rPr/>
        <w:t>Em</w:t>
      </w:r>
      <w:r>
        <w:rPr>
          <w:spacing w:val="-5"/>
        </w:rPr>
        <w:t> </w:t>
      </w:r>
      <w:r>
        <w:rPr/>
        <w:t>ambas as operações é</w:t>
      </w:r>
      <w:r>
        <w:rPr>
          <w:spacing w:val="-7"/>
        </w:rPr>
        <w:t> </w:t>
      </w:r>
      <w:r>
        <w:rPr/>
        <w:t>necessária</w:t>
      </w:r>
      <w:r>
        <w:rPr>
          <w:spacing w:val="-7"/>
        </w:rPr>
        <w:t> </w:t>
      </w:r>
      <w:r>
        <w:rPr/>
        <w:t>a</w:t>
      </w:r>
      <w:r>
        <w:rPr>
          <w:spacing w:val="-7"/>
        </w:rPr>
        <w:t> </w:t>
      </w:r>
      <w:r>
        <w:rPr/>
        <w:t>completa</w:t>
      </w:r>
      <w:r>
        <w:rPr>
          <w:spacing w:val="-7"/>
        </w:rPr>
        <w:t> </w:t>
      </w:r>
      <w:r>
        <w:rPr/>
        <w:t>ressecção</w:t>
      </w:r>
      <w:r>
        <w:rPr>
          <w:spacing w:val="-5"/>
        </w:rPr>
        <w:t> </w:t>
      </w:r>
      <w:r>
        <w:rPr/>
        <w:t>da</w:t>
      </w:r>
      <w:r>
        <w:rPr>
          <w:spacing w:val="-7"/>
        </w:rPr>
        <w:t> </w:t>
      </w:r>
      <w:r>
        <w:rPr/>
        <w:t>porção</w:t>
      </w:r>
      <w:r>
        <w:rPr>
          <w:spacing w:val="-5"/>
        </w:rPr>
        <w:t> </w:t>
      </w:r>
      <w:r>
        <w:rPr/>
        <w:t>proximal</w:t>
      </w:r>
      <w:r>
        <w:rPr>
          <w:spacing w:val="-2"/>
        </w:rPr>
        <w:t> </w:t>
      </w:r>
      <w:r>
        <w:rPr/>
        <w:t>da</w:t>
      </w:r>
      <w:r>
        <w:rPr>
          <w:spacing w:val="-7"/>
        </w:rPr>
        <w:t> </w:t>
      </w:r>
      <w:r>
        <w:rPr/>
        <w:t>aorta</w:t>
      </w:r>
      <w:r>
        <w:rPr>
          <w:spacing w:val="-7"/>
        </w:rPr>
        <w:t> </w:t>
      </w:r>
      <w:r>
        <w:rPr/>
        <w:t>ascendente, preservando uma</w:t>
      </w:r>
      <w:r>
        <w:rPr>
          <w:spacing w:val="-1"/>
        </w:rPr>
        <w:t> </w:t>
      </w:r>
      <w:r>
        <w:rPr/>
        <w:t>pequena</w:t>
      </w:r>
      <w:r>
        <w:rPr>
          <w:spacing w:val="-1"/>
        </w:rPr>
        <w:t> </w:t>
      </w:r>
      <w:r>
        <w:rPr/>
        <w:t>rima</w:t>
      </w:r>
      <w:r>
        <w:rPr>
          <w:spacing w:val="-1"/>
        </w:rPr>
        <w:t> </w:t>
      </w:r>
      <w:r>
        <w:rPr/>
        <w:t>de</w:t>
      </w:r>
      <w:r>
        <w:rPr>
          <w:spacing w:val="-1"/>
        </w:rPr>
        <w:t> </w:t>
      </w:r>
      <w:r>
        <w:rPr/>
        <w:t>tecido de</w:t>
      </w:r>
      <w:r>
        <w:rPr>
          <w:spacing w:val="-1"/>
        </w:rPr>
        <w:t> </w:t>
      </w:r>
      <w:r>
        <w:rPr/>
        <w:t>3 a</w:t>
      </w:r>
      <w:r>
        <w:rPr>
          <w:spacing w:val="-1"/>
        </w:rPr>
        <w:t> </w:t>
      </w:r>
      <w:r>
        <w:rPr/>
        <w:t>5 mm do anel aórtico e</w:t>
      </w:r>
      <w:r>
        <w:rPr>
          <w:spacing w:val="-1"/>
        </w:rPr>
        <w:t> </w:t>
      </w:r>
      <w:r>
        <w:rPr/>
        <w:t>pilares comissurais para</w:t>
      </w:r>
      <w:r>
        <w:rPr>
          <w:spacing w:val="-1"/>
        </w:rPr>
        <w:t> </w:t>
      </w:r>
      <w:r>
        <w:rPr/>
        <w:t>posterior sutura</w:t>
      </w:r>
      <w:r>
        <w:rPr>
          <w:spacing w:val="-1"/>
        </w:rPr>
        <w:t> </w:t>
      </w:r>
      <w:r>
        <w:rPr/>
        <w:t>no enxerto. Os óstios coronarianos também</w:t>
      </w:r>
      <w:r>
        <w:rPr>
          <w:spacing w:val="-7"/>
        </w:rPr>
        <w:t> </w:t>
      </w:r>
      <w:r>
        <w:rPr/>
        <w:t>são</w:t>
      </w:r>
      <w:r>
        <w:rPr>
          <w:spacing w:val="-7"/>
        </w:rPr>
        <w:t> </w:t>
      </w:r>
      <w:r>
        <w:rPr/>
        <w:t>dissecados e</w:t>
      </w:r>
      <w:r>
        <w:rPr>
          <w:spacing w:val="-9"/>
        </w:rPr>
        <w:t> </w:t>
      </w:r>
      <w:r>
        <w:rPr/>
        <w:t>reparados como</w:t>
      </w:r>
      <w:r>
        <w:rPr>
          <w:spacing w:val="-7"/>
        </w:rPr>
        <w:t> </w:t>
      </w:r>
      <w:r>
        <w:rPr/>
        <w:t>dois botões. Após a</w:t>
      </w:r>
      <w:r>
        <w:rPr>
          <w:spacing w:val="-9"/>
        </w:rPr>
        <w:t> </w:t>
      </w:r>
      <w:r>
        <w:rPr/>
        <w:t>reavaliação</w:t>
      </w:r>
      <w:r>
        <w:rPr>
          <w:spacing w:val="-7"/>
        </w:rPr>
        <w:t> </w:t>
      </w:r>
      <w:r>
        <w:rPr/>
        <w:t>dos folhetos da</w:t>
      </w:r>
      <w:r>
        <w:rPr>
          <w:spacing w:val="-9"/>
        </w:rPr>
        <w:t> </w:t>
      </w:r>
      <w:r>
        <w:rPr/>
        <w:t>valva aórtica, o procedimento continua, desde</w:t>
      </w:r>
      <w:r>
        <w:rPr>
          <w:spacing w:val="-1"/>
        </w:rPr>
        <w:t> </w:t>
      </w:r>
      <w:r>
        <w:rPr/>
        <w:t>que</w:t>
      </w:r>
      <w:r>
        <w:rPr>
          <w:spacing w:val="-1"/>
        </w:rPr>
        <w:t> </w:t>
      </w:r>
      <w:r>
        <w:rPr/>
        <w:t>haja</w:t>
      </w:r>
      <w:r>
        <w:rPr>
          <w:spacing w:val="-1"/>
        </w:rPr>
        <w:t> </w:t>
      </w:r>
      <w:r>
        <w:rPr/>
        <w:t>boa</w:t>
      </w:r>
      <w:r>
        <w:rPr>
          <w:spacing w:val="-1"/>
        </w:rPr>
        <w:t> </w:t>
      </w:r>
      <w:r>
        <w:rPr/>
        <w:t>coaptação entre</w:t>
      </w:r>
      <w:r>
        <w:rPr>
          <w:spacing w:val="-1"/>
        </w:rPr>
        <w:t> </w:t>
      </w:r>
      <w:r>
        <w:rPr/>
        <w:t>eles.</w:t>
      </w:r>
    </w:p>
    <w:p>
      <w:pPr>
        <w:pStyle w:val="BodyText"/>
        <w:spacing w:line="276" w:lineRule="auto"/>
        <w:ind w:right="491"/>
      </w:pPr>
      <w:r>
        <w:rPr/>
        <w:t>Na técnica do remodelamento, para a continuação do procedimento, recorta-se o enxerto escolhido longitudinalmente, dividindo-o em três, a fim de se formarem os três novos seios de Valsalva. A seguir, essas três “línguas”</w:t>
      </w:r>
      <w:r>
        <w:rPr>
          <w:spacing w:val="-8"/>
        </w:rPr>
        <w:t> </w:t>
      </w:r>
      <w:r>
        <w:rPr/>
        <w:t>são</w:t>
      </w:r>
      <w:r>
        <w:rPr>
          <w:spacing w:val="-5"/>
        </w:rPr>
        <w:t> </w:t>
      </w:r>
      <w:r>
        <w:rPr/>
        <w:t>suturadas nas rimas de</w:t>
      </w:r>
      <w:r>
        <w:rPr>
          <w:spacing w:val="-8"/>
        </w:rPr>
        <w:t> </w:t>
      </w:r>
      <w:r>
        <w:rPr/>
        <w:t>aorta</w:t>
      </w:r>
      <w:r>
        <w:rPr>
          <w:spacing w:val="-8"/>
        </w:rPr>
        <w:t> </w:t>
      </w:r>
      <w:r>
        <w:rPr/>
        <w:t>preparadas anteriormente. Completa-se</w:t>
      </w:r>
      <w:r>
        <w:rPr>
          <w:spacing w:val="-8"/>
        </w:rPr>
        <w:t> </w:t>
      </w:r>
      <w:r>
        <w:rPr/>
        <w:t>a</w:t>
      </w:r>
      <w:r>
        <w:rPr>
          <w:spacing w:val="-8"/>
        </w:rPr>
        <w:t> </w:t>
      </w:r>
      <w:r>
        <w:rPr/>
        <w:t>operação</w:t>
      </w:r>
      <w:r>
        <w:rPr>
          <w:spacing w:val="-5"/>
        </w:rPr>
        <w:t> </w:t>
      </w:r>
      <w:r>
        <w:rPr/>
        <w:t>com</w:t>
      </w:r>
      <w:r>
        <w:rPr>
          <w:spacing w:val="-5"/>
        </w:rPr>
        <w:t> </w:t>
      </w:r>
      <w:r>
        <w:rPr/>
        <w:t>o</w:t>
      </w:r>
      <w:r>
        <w:rPr>
          <w:spacing w:val="-5"/>
        </w:rPr>
        <w:t> </w:t>
      </w:r>
      <w:r>
        <w:rPr/>
        <w:t>reimplante</w:t>
      </w:r>
      <w:r>
        <w:rPr>
          <w:spacing w:val="-8"/>
        </w:rPr>
        <w:t> </w:t>
      </w:r>
      <w:r>
        <w:rPr/>
        <w:t>dos óstios coronarianos e a anastomose distal na aorta ascendente (</w:t>
      </w:r>
      <w:r>
        <w:rPr>
          <w:color w:val="505050"/>
        </w:rPr>
        <w:t>Figura 58.7</w:t>
      </w:r>
      <w:r>
        <w:rPr/>
        <w:t>).</w:t>
      </w:r>
    </w:p>
    <w:p>
      <w:pPr>
        <w:pStyle w:val="BodyText"/>
        <w:spacing w:line="276" w:lineRule="auto" w:before="49"/>
        <w:ind w:right="497"/>
      </w:pPr>
      <w:r>
        <w:rPr/>
        <w:t>Na técnica do reimplante, o enxerto é fixado externamente, envolvendo o anel aórtico e os pilares comissurais, abaixo dos folhetos da valva aórtica. A rima de aorta previamente preparada é suturada por dentro do enxerto, fixando a valva aórtica. Completa-se o procedimento com o reimplante dos óstios coronarianos e a anastomose distal na aorta ascendente (</w:t>
      </w:r>
      <w:r>
        <w:rPr>
          <w:color w:val="505050"/>
        </w:rPr>
        <w:t>Figura 58.8</w:t>
      </w:r>
      <w:r>
        <w:rPr/>
        <w:t>).</w:t>
      </w:r>
    </w:p>
    <w:p>
      <w:pPr>
        <w:pStyle w:val="BodyText"/>
        <w:spacing w:line="280" w:lineRule="auto" w:before="64"/>
        <w:ind w:right="497"/>
      </w:pPr>
      <w:r>
        <w:rPr/>
        <w:t>A</w:t>
      </w:r>
      <w:r>
        <w:rPr>
          <w:spacing w:val="-2"/>
        </w:rPr>
        <w:t> </w:t>
      </w:r>
      <w:r>
        <w:rPr/>
        <w:t>diferença</w:t>
      </w:r>
      <w:r>
        <w:rPr>
          <w:spacing w:val="-2"/>
        </w:rPr>
        <w:t> </w:t>
      </w:r>
      <w:r>
        <w:rPr/>
        <w:t>básica</w:t>
      </w:r>
      <w:r>
        <w:rPr>
          <w:spacing w:val="-2"/>
        </w:rPr>
        <w:t> </w:t>
      </w:r>
      <w:r>
        <w:rPr/>
        <w:t>dos dois procedimentos é</w:t>
      </w:r>
      <w:r>
        <w:rPr>
          <w:spacing w:val="-2"/>
        </w:rPr>
        <w:t> </w:t>
      </w:r>
      <w:r>
        <w:rPr/>
        <w:t>a</w:t>
      </w:r>
      <w:r>
        <w:rPr>
          <w:spacing w:val="-2"/>
        </w:rPr>
        <w:t> </w:t>
      </w:r>
      <w:r>
        <w:rPr/>
        <w:t>falta</w:t>
      </w:r>
      <w:r>
        <w:rPr>
          <w:spacing w:val="-2"/>
        </w:rPr>
        <w:t> </w:t>
      </w:r>
      <w:r>
        <w:rPr/>
        <w:t>da</w:t>
      </w:r>
      <w:r>
        <w:rPr>
          <w:spacing w:val="-2"/>
        </w:rPr>
        <w:t> </w:t>
      </w:r>
      <w:r>
        <w:rPr/>
        <w:t>fixação anular que</w:t>
      </w:r>
      <w:r>
        <w:rPr>
          <w:spacing w:val="-2"/>
        </w:rPr>
        <w:t> </w:t>
      </w:r>
      <w:r>
        <w:rPr/>
        <w:t>ocorre</w:t>
      </w:r>
      <w:r>
        <w:rPr>
          <w:spacing w:val="-2"/>
        </w:rPr>
        <w:t> </w:t>
      </w:r>
      <w:r>
        <w:rPr/>
        <w:t>na</w:t>
      </w:r>
      <w:r>
        <w:rPr>
          <w:spacing w:val="-2"/>
        </w:rPr>
        <w:t> </w:t>
      </w:r>
      <w:r>
        <w:rPr/>
        <w:t>técnica</w:t>
      </w:r>
      <w:r>
        <w:rPr>
          <w:spacing w:val="-2"/>
        </w:rPr>
        <w:t> </w:t>
      </w:r>
      <w:r>
        <w:rPr/>
        <w:t>do remodelamento, possibilitando futura dilatação anular e recidiva da insuficiência aórtica, e a possibilidade da não reconstrução dos novos seios de Valsalva, na técnica do reimplante, que pode resultar na alteração da dinâmica da perfusão coronariana e possível traumatismo dos folhetos da valva aórtica no enxerto, resultando em lesão estrutural e posterior insuficiência aórtica.</w:t>
      </w:r>
      <w:r>
        <w:rPr>
          <w:vertAlign w:val="superscript"/>
        </w:rPr>
        <w:t>56,57</w:t>
      </w:r>
    </w:p>
    <w:p>
      <w:pPr>
        <w:pStyle w:val="BodyText"/>
        <w:spacing w:line="290" w:lineRule="auto" w:before="55"/>
        <w:ind w:right="488"/>
      </w:pPr>
      <w:r>
        <w:rPr/>
        <w:t>O seguimento tardio comparativo mostra que, com a técnica do reimplante, houve menor recidiva da insuficiência aórtica, assim como menor necessidade de reintervenção.</w:t>
      </w:r>
      <w:r>
        <w:rPr>
          <w:vertAlign w:val="superscript"/>
        </w:rPr>
        <w:t>5</w:t>
      </w:r>
      <w:r>
        <w:rPr>
          <w:vertAlign w:val="superscript"/>
        </w:rPr>
        <w:t>4</w:t>
      </w:r>
      <w:r>
        <w:rPr>
          <w:vertAlign w:val="superscript"/>
        </w:rPr>
        <w:t>,</w:t>
      </w:r>
      <w:r>
        <w:rPr>
          <w:vertAlign w:val="superscript"/>
        </w:rPr>
        <w:t>5</w:t>
      </w:r>
      <w:r>
        <w:rPr>
          <w:vertAlign w:val="superscript"/>
        </w:rPr>
        <w:t>6</w:t>
      </w:r>
    </w:p>
    <w:p>
      <w:pPr>
        <w:pStyle w:val="Heading7"/>
        <w:spacing w:before="257"/>
        <w:jc w:val="both"/>
      </w:pPr>
      <w:r>
        <w:rPr>
          <w:color w:val="242B67"/>
        </w:rPr>
        <w:t>Cirurgias do arco </w:t>
      </w:r>
      <w:r>
        <w:rPr>
          <w:color w:val="242B67"/>
          <w:spacing w:val="-2"/>
        </w:rPr>
        <w:t>aórtico</w:t>
      </w:r>
    </w:p>
    <w:p>
      <w:pPr>
        <w:pStyle w:val="BodyText"/>
        <w:spacing w:line="276" w:lineRule="auto" w:before="126"/>
        <w:ind w:right="488"/>
      </w:pPr>
      <w:r>
        <w:rPr/>
        <w:t>As operações sobre</w:t>
      </w:r>
      <w:r>
        <w:rPr>
          <w:spacing w:val="-9"/>
        </w:rPr>
        <w:t> </w:t>
      </w:r>
      <w:r>
        <w:rPr/>
        <w:t>o</w:t>
      </w:r>
      <w:r>
        <w:rPr>
          <w:spacing w:val="-6"/>
        </w:rPr>
        <w:t> </w:t>
      </w:r>
      <w:r>
        <w:rPr/>
        <w:t>segmento</w:t>
      </w:r>
      <w:r>
        <w:rPr>
          <w:spacing w:val="-6"/>
        </w:rPr>
        <w:t> </w:t>
      </w:r>
      <w:r>
        <w:rPr/>
        <w:t>do</w:t>
      </w:r>
      <w:r>
        <w:rPr>
          <w:spacing w:val="-6"/>
        </w:rPr>
        <w:t> </w:t>
      </w:r>
      <w:r>
        <w:rPr/>
        <w:t>arco</w:t>
      </w:r>
      <w:r>
        <w:rPr>
          <w:spacing w:val="-6"/>
        </w:rPr>
        <w:t> </w:t>
      </w:r>
      <w:r>
        <w:rPr/>
        <w:t>aórtico</w:t>
      </w:r>
      <w:r>
        <w:rPr>
          <w:spacing w:val="-6"/>
        </w:rPr>
        <w:t> </w:t>
      </w:r>
      <w:r>
        <w:rPr/>
        <w:t>evoluíram</w:t>
      </w:r>
      <w:r>
        <w:rPr>
          <w:spacing w:val="-6"/>
        </w:rPr>
        <w:t> </w:t>
      </w:r>
      <w:r>
        <w:rPr/>
        <w:t>em</w:t>
      </w:r>
      <w:r>
        <w:rPr>
          <w:spacing w:val="-6"/>
        </w:rPr>
        <w:t> </w:t>
      </w:r>
      <w:r>
        <w:rPr/>
        <w:t>paralelo</w:t>
      </w:r>
      <w:r>
        <w:rPr>
          <w:spacing w:val="-6"/>
        </w:rPr>
        <w:t> </w:t>
      </w:r>
      <w:r>
        <w:rPr/>
        <w:t>às técnicas de</w:t>
      </w:r>
      <w:r>
        <w:rPr>
          <w:spacing w:val="-9"/>
        </w:rPr>
        <w:t> </w:t>
      </w:r>
      <w:r>
        <w:rPr/>
        <w:t>proteção</w:t>
      </w:r>
      <w:r>
        <w:rPr>
          <w:spacing w:val="-6"/>
        </w:rPr>
        <w:t> </w:t>
      </w:r>
      <w:r>
        <w:rPr/>
        <w:t>cerebral, uma</w:t>
      </w:r>
      <w:r>
        <w:rPr>
          <w:spacing w:val="-9"/>
        </w:rPr>
        <w:t> </w:t>
      </w:r>
      <w:r>
        <w:rPr/>
        <w:t>vez que</w:t>
      </w:r>
      <w:r>
        <w:rPr>
          <w:spacing w:val="-3"/>
        </w:rPr>
        <w:t> </w:t>
      </w:r>
      <w:r>
        <w:rPr/>
        <w:t>a</w:t>
      </w:r>
      <w:r>
        <w:rPr>
          <w:spacing w:val="-3"/>
        </w:rPr>
        <w:t> </w:t>
      </w:r>
      <w:r>
        <w:rPr/>
        <w:t>interrupção do fluxo sanguíneo nessa</w:t>
      </w:r>
      <w:r>
        <w:rPr>
          <w:spacing w:val="-3"/>
        </w:rPr>
        <w:t> </w:t>
      </w:r>
      <w:r>
        <w:rPr/>
        <w:t>região é</w:t>
      </w:r>
      <w:r>
        <w:rPr>
          <w:spacing w:val="-3"/>
        </w:rPr>
        <w:t> </w:t>
      </w:r>
      <w:r>
        <w:rPr/>
        <w:t>necessária</w:t>
      </w:r>
      <w:r>
        <w:rPr>
          <w:spacing w:val="-3"/>
        </w:rPr>
        <w:t> </w:t>
      </w:r>
      <w:r>
        <w:rPr/>
        <w:t>para</w:t>
      </w:r>
      <w:r>
        <w:rPr>
          <w:spacing w:val="-3"/>
        </w:rPr>
        <w:t> </w:t>
      </w:r>
      <w:r>
        <w:rPr/>
        <w:t>a</w:t>
      </w:r>
      <w:r>
        <w:rPr>
          <w:spacing w:val="-3"/>
        </w:rPr>
        <w:t> </w:t>
      </w:r>
      <w:r>
        <w:rPr/>
        <w:t>interposição do enxerto ramificado ou não no arco aórtico.</w:t>
      </w:r>
    </w:p>
    <w:p>
      <w:pPr>
        <w:pStyle w:val="BodyText"/>
        <w:spacing w:before="37"/>
        <w:ind w:left="0" w:firstLine="0"/>
        <w:jc w:val="left"/>
        <w:rPr>
          <w:sz w:val="20"/>
        </w:rPr>
      </w:pPr>
      <w:r>
        <w:rPr>
          <w:sz w:val="20"/>
        </w:rPr>
        <w:drawing>
          <wp:anchor distT="0" distB="0" distL="0" distR="0" allowOverlap="1" layoutInCell="1" locked="0" behindDoc="1" simplePos="0" relativeHeight="487611392">
            <wp:simplePos x="0" y="0"/>
            <wp:positionH relativeFrom="page">
              <wp:posOffset>401556</wp:posOffset>
            </wp:positionH>
            <wp:positionV relativeFrom="paragraph">
              <wp:posOffset>184823</wp:posOffset>
            </wp:positionV>
            <wp:extent cx="6727385" cy="181356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7" cstate="print"/>
                    <a:stretch>
                      <a:fillRect/>
                    </a:stretch>
                  </pic:blipFill>
                  <pic:spPr>
                    <a:xfrm>
                      <a:off x="0" y="0"/>
                      <a:ext cx="6727385" cy="1813560"/>
                    </a:xfrm>
                    <a:prstGeom prst="rect">
                      <a:avLst/>
                    </a:prstGeom>
                  </pic:spPr>
                </pic:pic>
              </a:graphicData>
            </a:graphic>
          </wp:anchor>
        </w:drawing>
      </w:r>
    </w:p>
    <w:p>
      <w:pPr>
        <w:pStyle w:val="BodyText"/>
        <w:spacing w:before="21"/>
        <w:ind w:left="0" w:firstLine="0"/>
        <w:jc w:val="left"/>
      </w:pPr>
    </w:p>
    <w:p>
      <w:pPr>
        <w:spacing w:line="283" w:lineRule="auto" w:before="0"/>
        <w:ind w:left="68" w:right="508" w:firstLine="0"/>
        <w:jc w:val="both"/>
        <w:rPr>
          <w:rFonts w:ascii="Microsoft Sans Serif" w:hAnsi="Microsoft Sans Serif"/>
          <w:sz w:val="19"/>
        </w:rPr>
      </w:pPr>
      <w:r>
        <w:rPr>
          <w:rFonts w:ascii="Arial" w:hAnsi="Arial"/>
          <w:b/>
          <w:color w:val="242B67"/>
          <w:sz w:val="19"/>
        </w:rPr>
        <w:t>Figura 58.6 </w:t>
      </w:r>
      <w:r>
        <w:rPr>
          <w:rFonts w:ascii="Microsoft Sans Serif" w:hAnsi="Microsoft Sans Serif"/>
          <w:sz w:val="19"/>
        </w:rPr>
        <w:t>Desenho esquemático das operações de substituição radical da aorta ascendente com preservação da valva aórtica. </w:t>
      </w:r>
      <w:r>
        <w:rPr>
          <w:rFonts w:ascii="Arial" w:hAnsi="Arial"/>
          <w:b/>
          <w:sz w:val="19"/>
        </w:rPr>
        <w:t>A. </w:t>
      </w:r>
      <w:r>
        <w:rPr>
          <w:rFonts w:ascii="Microsoft Sans Serif" w:hAnsi="Microsoft Sans Serif"/>
          <w:sz w:val="19"/>
        </w:rPr>
        <w:t>A</w:t>
      </w:r>
      <w:r>
        <w:rPr>
          <w:rFonts w:ascii="Microsoft Sans Serif" w:hAnsi="Microsoft Sans Serif"/>
          <w:spacing w:val="40"/>
          <w:sz w:val="19"/>
        </w:rPr>
        <w:t> </w:t>
      </w:r>
      <w:r>
        <w:rPr>
          <w:rFonts w:ascii="Microsoft Sans Serif" w:hAnsi="Microsoft Sans Serif"/>
          <w:sz w:val="19"/>
        </w:rPr>
        <w:t>abordagem</w:t>
      </w:r>
      <w:r>
        <w:rPr>
          <w:rFonts w:ascii="Microsoft Sans Serif" w:hAnsi="Microsoft Sans Serif"/>
          <w:spacing w:val="40"/>
          <w:sz w:val="19"/>
        </w:rPr>
        <w:t> </w:t>
      </w:r>
      <w:r>
        <w:rPr>
          <w:rFonts w:ascii="Microsoft Sans Serif" w:hAnsi="Microsoft Sans Serif"/>
          <w:sz w:val="19"/>
        </w:rPr>
        <w:t>direta</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aneurisma</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ascendente.</w:t>
      </w:r>
      <w:r>
        <w:rPr>
          <w:rFonts w:ascii="Microsoft Sans Serif" w:hAnsi="Microsoft Sans Serif"/>
          <w:spacing w:val="40"/>
          <w:sz w:val="19"/>
        </w:rPr>
        <w:t> </w:t>
      </w:r>
      <w:r>
        <w:rPr>
          <w:rFonts w:ascii="Arial" w:hAnsi="Arial"/>
          <w:b/>
          <w:sz w:val="19"/>
        </w:rPr>
        <w:t>B. </w:t>
      </w:r>
      <w:r>
        <w:rPr>
          <w:rFonts w:ascii="Microsoft Sans Serif" w:hAnsi="Microsoft Sans Serif"/>
          <w:sz w:val="19"/>
        </w:rPr>
        <w:t>Ressecção</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toda</w:t>
      </w:r>
      <w:r>
        <w:rPr>
          <w:rFonts w:ascii="Microsoft Sans Serif" w:hAnsi="Microsoft Sans Serif"/>
          <w:spacing w:val="40"/>
          <w:sz w:val="19"/>
        </w:rPr>
        <w:t> </w:t>
      </w:r>
      <w:r>
        <w:rPr>
          <w:rFonts w:ascii="Microsoft Sans Serif" w:hAnsi="Microsoft Sans Serif"/>
          <w:sz w:val="19"/>
        </w:rPr>
        <w:t>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ascendente comprometida, isolamento</w:t>
      </w:r>
      <w:r>
        <w:rPr>
          <w:rFonts w:ascii="Microsoft Sans Serif" w:hAnsi="Microsoft Sans Serif"/>
          <w:spacing w:val="40"/>
          <w:sz w:val="19"/>
        </w:rPr>
        <w:t> </w:t>
      </w:r>
      <w:r>
        <w:rPr>
          <w:rFonts w:ascii="Microsoft Sans Serif" w:hAnsi="Microsoft Sans Serif"/>
          <w:sz w:val="19"/>
        </w:rPr>
        <w:t>dos óstios coronarianos dissecados. </w:t>
      </w:r>
      <w:r>
        <w:rPr>
          <w:rFonts w:ascii="Arial" w:hAnsi="Arial"/>
          <w:b/>
          <w:sz w:val="19"/>
        </w:rPr>
        <w:t>C. </w:t>
      </w:r>
      <w:r>
        <w:rPr>
          <w:rFonts w:ascii="Microsoft Sans Serif" w:hAnsi="Microsoft Sans Serif"/>
          <w:sz w:val="19"/>
        </w:rPr>
        <w:t>Valva</w:t>
      </w:r>
      <w:r>
        <w:rPr>
          <w:rFonts w:ascii="Microsoft Sans Serif" w:hAnsi="Microsoft Sans Serif"/>
          <w:spacing w:val="40"/>
          <w:sz w:val="19"/>
        </w:rPr>
        <w:t> </w:t>
      </w:r>
      <w:r>
        <w:rPr>
          <w:rFonts w:ascii="Microsoft Sans Serif" w:hAnsi="Microsoft Sans Serif"/>
          <w:sz w:val="19"/>
        </w:rPr>
        <w:t>aórtica, pilares</w:t>
      </w:r>
      <w:r>
        <w:rPr>
          <w:rFonts w:ascii="Microsoft Sans Serif" w:hAnsi="Microsoft Sans Serif"/>
          <w:spacing w:val="35"/>
          <w:sz w:val="19"/>
        </w:rPr>
        <w:t> </w:t>
      </w:r>
      <w:r>
        <w:rPr>
          <w:rFonts w:ascii="Microsoft Sans Serif" w:hAnsi="Microsoft Sans Serif"/>
          <w:sz w:val="19"/>
        </w:rPr>
        <w:t>comissurais</w:t>
      </w:r>
      <w:r>
        <w:rPr>
          <w:rFonts w:ascii="Microsoft Sans Serif" w:hAnsi="Microsoft Sans Serif"/>
          <w:spacing w:val="35"/>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pequena</w:t>
      </w:r>
      <w:r>
        <w:rPr>
          <w:rFonts w:ascii="Microsoft Sans Serif" w:hAnsi="Microsoft Sans Serif"/>
          <w:spacing w:val="40"/>
          <w:sz w:val="19"/>
        </w:rPr>
        <w:t> </w:t>
      </w:r>
      <w:r>
        <w:rPr>
          <w:rFonts w:ascii="Microsoft Sans Serif" w:hAnsi="Microsoft Sans Serif"/>
          <w:sz w:val="19"/>
        </w:rPr>
        <w:t>rima</w:t>
      </w:r>
      <w:r>
        <w:rPr>
          <w:rFonts w:ascii="Microsoft Sans Serif" w:hAnsi="Microsoft Sans Serif"/>
          <w:spacing w:val="40"/>
          <w:sz w:val="19"/>
        </w:rPr>
        <w:t> </w:t>
      </w:r>
      <w:r>
        <w:rPr>
          <w:rFonts w:ascii="Microsoft Sans Serif" w:hAnsi="Microsoft Sans Serif"/>
          <w:sz w:val="19"/>
        </w:rPr>
        <w:t>de aorta preservados com pontos de reparo, passados no plano subvalvar aórtico. </w:t>
      </w:r>
      <w:r>
        <w:rPr>
          <w:rFonts w:ascii="Arial" w:hAnsi="Arial"/>
          <w:b/>
          <w:sz w:val="19"/>
        </w:rPr>
        <w:t>D. </w:t>
      </w:r>
      <w:r>
        <w:rPr>
          <w:rFonts w:ascii="Microsoft Sans Serif" w:hAnsi="Microsoft Sans Serif"/>
          <w:sz w:val="19"/>
        </w:rPr>
        <w:t>Aspecto final da operação com a substituição</w:t>
      </w:r>
      <w:r>
        <w:rPr>
          <w:rFonts w:ascii="Microsoft Sans Serif" w:hAnsi="Microsoft Sans Serif"/>
          <w:spacing w:val="34"/>
          <w:sz w:val="19"/>
        </w:rPr>
        <w:t> </w:t>
      </w:r>
      <w:r>
        <w:rPr>
          <w:rFonts w:ascii="Microsoft Sans Serif" w:hAnsi="Microsoft Sans Serif"/>
          <w:sz w:val="19"/>
        </w:rPr>
        <w:t>radical</w:t>
      </w:r>
      <w:r>
        <w:rPr>
          <w:rFonts w:ascii="Microsoft Sans Serif" w:hAnsi="Microsoft Sans Serif"/>
          <w:spacing w:val="34"/>
          <w:sz w:val="19"/>
        </w:rPr>
        <w:t> </w:t>
      </w:r>
      <w:r>
        <w:rPr>
          <w:rFonts w:ascii="Microsoft Sans Serif" w:hAnsi="Microsoft Sans Serif"/>
          <w:sz w:val="19"/>
        </w:rPr>
        <w:t>da</w:t>
      </w:r>
      <w:r>
        <w:rPr>
          <w:rFonts w:ascii="Microsoft Sans Serif" w:hAnsi="Microsoft Sans Serif"/>
          <w:spacing w:val="34"/>
          <w:sz w:val="19"/>
        </w:rPr>
        <w:t> </w:t>
      </w:r>
      <w:r>
        <w:rPr>
          <w:rFonts w:ascii="Microsoft Sans Serif" w:hAnsi="Microsoft Sans Serif"/>
          <w:sz w:val="19"/>
        </w:rPr>
        <w:t>aorta</w:t>
      </w:r>
      <w:r>
        <w:rPr>
          <w:rFonts w:ascii="Microsoft Sans Serif" w:hAnsi="Microsoft Sans Serif"/>
          <w:spacing w:val="34"/>
          <w:sz w:val="19"/>
        </w:rPr>
        <w:t> </w:t>
      </w:r>
      <w:r>
        <w:rPr>
          <w:rFonts w:ascii="Microsoft Sans Serif" w:hAnsi="Microsoft Sans Serif"/>
          <w:sz w:val="19"/>
        </w:rPr>
        <w:t>ascendente</w:t>
      </w:r>
      <w:r>
        <w:rPr>
          <w:rFonts w:ascii="Microsoft Sans Serif" w:hAnsi="Microsoft Sans Serif"/>
          <w:spacing w:val="34"/>
          <w:sz w:val="19"/>
        </w:rPr>
        <w:t> </w:t>
      </w:r>
      <w:r>
        <w:rPr>
          <w:rFonts w:ascii="Microsoft Sans Serif" w:hAnsi="Microsoft Sans Serif"/>
          <w:sz w:val="19"/>
        </w:rPr>
        <w:t>e</w:t>
      </w:r>
      <w:r>
        <w:rPr>
          <w:rFonts w:ascii="Microsoft Sans Serif" w:hAnsi="Microsoft Sans Serif"/>
          <w:spacing w:val="34"/>
          <w:sz w:val="19"/>
        </w:rPr>
        <w:t> </w:t>
      </w:r>
      <w:r>
        <w:rPr>
          <w:rFonts w:ascii="Microsoft Sans Serif" w:hAnsi="Microsoft Sans Serif"/>
          <w:sz w:val="19"/>
        </w:rPr>
        <w:t>preservação</w:t>
      </w:r>
      <w:r>
        <w:rPr>
          <w:rFonts w:ascii="Microsoft Sans Serif" w:hAnsi="Microsoft Sans Serif"/>
          <w:spacing w:val="34"/>
          <w:sz w:val="19"/>
        </w:rPr>
        <w:t> </w:t>
      </w:r>
      <w:r>
        <w:rPr>
          <w:rFonts w:ascii="Microsoft Sans Serif" w:hAnsi="Microsoft Sans Serif"/>
          <w:sz w:val="19"/>
        </w:rPr>
        <w:t>da</w:t>
      </w:r>
      <w:r>
        <w:rPr>
          <w:rFonts w:ascii="Microsoft Sans Serif" w:hAnsi="Microsoft Sans Serif"/>
          <w:spacing w:val="34"/>
          <w:sz w:val="19"/>
        </w:rPr>
        <w:t> </w:t>
      </w:r>
      <w:r>
        <w:rPr>
          <w:rFonts w:ascii="Microsoft Sans Serif" w:hAnsi="Microsoft Sans Serif"/>
          <w:sz w:val="19"/>
        </w:rPr>
        <w:t>valva</w:t>
      </w:r>
      <w:r>
        <w:rPr>
          <w:rFonts w:ascii="Microsoft Sans Serif" w:hAnsi="Microsoft Sans Serif"/>
          <w:spacing w:val="34"/>
          <w:sz w:val="19"/>
        </w:rPr>
        <w:t> </w:t>
      </w:r>
      <w:r>
        <w:rPr>
          <w:rFonts w:ascii="Microsoft Sans Serif" w:hAnsi="Microsoft Sans Serif"/>
          <w:sz w:val="19"/>
        </w:rPr>
        <w:t>aórtica</w:t>
      </w:r>
      <w:r>
        <w:rPr>
          <w:rFonts w:ascii="Microsoft Sans Serif" w:hAnsi="Microsoft Sans Serif"/>
          <w:w w:val="160"/>
          <w:sz w:val="19"/>
        </w:rPr>
        <w:t> – </w:t>
      </w:r>
      <w:r>
        <w:rPr>
          <w:rFonts w:ascii="Microsoft Sans Serif" w:hAnsi="Microsoft Sans Serif"/>
          <w:sz w:val="19"/>
        </w:rPr>
        <w:t>operação</w:t>
      </w:r>
      <w:r>
        <w:rPr>
          <w:rFonts w:ascii="Microsoft Sans Serif" w:hAnsi="Microsoft Sans Serif"/>
          <w:spacing w:val="34"/>
          <w:sz w:val="19"/>
        </w:rPr>
        <w:t> </w:t>
      </w:r>
      <w:r>
        <w:rPr>
          <w:rFonts w:ascii="Microsoft Sans Serif" w:hAnsi="Microsoft Sans Serif"/>
          <w:sz w:val="19"/>
        </w:rPr>
        <w:t>do</w:t>
      </w:r>
      <w:r>
        <w:rPr>
          <w:rFonts w:ascii="Microsoft Sans Serif" w:hAnsi="Microsoft Sans Serif"/>
          <w:spacing w:val="34"/>
          <w:sz w:val="19"/>
        </w:rPr>
        <w:t> </w:t>
      </w:r>
      <w:r>
        <w:rPr>
          <w:rFonts w:ascii="Microsoft Sans Serif" w:hAnsi="Microsoft Sans Serif"/>
          <w:sz w:val="19"/>
        </w:rPr>
        <w:t>remodelamento.</w:t>
      </w:r>
      <w:r>
        <w:rPr>
          <w:rFonts w:ascii="Microsoft Sans Serif" w:hAnsi="Microsoft Sans Serif"/>
          <w:spacing w:val="20"/>
          <w:sz w:val="19"/>
        </w:rPr>
        <w:t> </w:t>
      </w:r>
      <w:r>
        <w:rPr>
          <w:rFonts w:ascii="Arial" w:hAnsi="Arial"/>
          <w:b/>
          <w:sz w:val="19"/>
        </w:rPr>
        <w:t>E. </w:t>
      </w:r>
      <w:r>
        <w:rPr>
          <w:rFonts w:ascii="Microsoft Sans Serif" w:hAnsi="Microsoft Sans Serif"/>
          <w:sz w:val="19"/>
        </w:rPr>
        <w:t>Aspecto</w:t>
      </w:r>
      <w:r>
        <w:rPr>
          <w:rFonts w:ascii="Microsoft Sans Serif" w:hAnsi="Microsoft Sans Serif"/>
          <w:spacing w:val="28"/>
          <w:sz w:val="19"/>
        </w:rPr>
        <w:t> </w:t>
      </w:r>
      <w:r>
        <w:rPr>
          <w:rFonts w:ascii="Microsoft Sans Serif" w:hAnsi="Microsoft Sans Serif"/>
          <w:sz w:val="19"/>
        </w:rPr>
        <w:t>final da</w:t>
      </w:r>
      <w:r>
        <w:rPr>
          <w:rFonts w:ascii="Microsoft Sans Serif" w:hAnsi="Microsoft Sans Serif"/>
          <w:spacing w:val="40"/>
          <w:sz w:val="19"/>
        </w:rPr>
        <w:t> </w:t>
      </w:r>
      <w:r>
        <w:rPr>
          <w:rFonts w:ascii="Microsoft Sans Serif" w:hAnsi="Microsoft Sans Serif"/>
          <w:sz w:val="19"/>
        </w:rPr>
        <w:t>operação</w:t>
      </w:r>
      <w:r>
        <w:rPr>
          <w:rFonts w:ascii="Microsoft Sans Serif" w:hAnsi="Microsoft Sans Serif"/>
          <w:spacing w:val="40"/>
          <w:sz w:val="19"/>
        </w:rPr>
        <w:t> </w:t>
      </w:r>
      <w:r>
        <w:rPr>
          <w:rFonts w:ascii="Microsoft Sans Serif" w:hAnsi="Microsoft Sans Serif"/>
          <w:sz w:val="19"/>
        </w:rPr>
        <w:t>com</w:t>
      </w:r>
      <w:r>
        <w:rPr>
          <w:rFonts w:ascii="Microsoft Sans Serif" w:hAnsi="Microsoft Sans Serif"/>
          <w:spacing w:val="40"/>
          <w:sz w:val="19"/>
        </w:rPr>
        <w:t> </w:t>
      </w:r>
      <w:r>
        <w:rPr>
          <w:rFonts w:ascii="Microsoft Sans Serif" w:hAnsi="Microsoft Sans Serif"/>
          <w:sz w:val="19"/>
        </w:rPr>
        <w:t>a</w:t>
      </w:r>
      <w:r>
        <w:rPr>
          <w:rFonts w:ascii="Microsoft Sans Serif" w:hAnsi="Microsoft Sans Serif"/>
          <w:spacing w:val="40"/>
          <w:sz w:val="19"/>
        </w:rPr>
        <w:t> </w:t>
      </w:r>
      <w:r>
        <w:rPr>
          <w:rFonts w:ascii="Microsoft Sans Serif" w:hAnsi="Microsoft Sans Serif"/>
          <w:sz w:val="19"/>
        </w:rPr>
        <w:t>substituição</w:t>
      </w:r>
      <w:r>
        <w:rPr>
          <w:rFonts w:ascii="Microsoft Sans Serif" w:hAnsi="Microsoft Sans Serif"/>
          <w:spacing w:val="40"/>
          <w:sz w:val="19"/>
        </w:rPr>
        <w:t> </w:t>
      </w:r>
      <w:r>
        <w:rPr>
          <w:rFonts w:ascii="Microsoft Sans Serif" w:hAnsi="Microsoft Sans Serif"/>
          <w:sz w:val="19"/>
        </w:rPr>
        <w:t>radical</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ascendente</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preservação</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valva</w:t>
      </w:r>
      <w:r>
        <w:rPr>
          <w:rFonts w:ascii="Microsoft Sans Serif" w:hAnsi="Microsoft Sans Serif"/>
          <w:spacing w:val="40"/>
          <w:sz w:val="19"/>
        </w:rPr>
        <w:t> </w:t>
      </w:r>
      <w:r>
        <w:rPr>
          <w:rFonts w:ascii="Microsoft Sans Serif" w:hAnsi="Microsoft Sans Serif"/>
          <w:sz w:val="19"/>
        </w:rPr>
        <w:t>aórtica</w:t>
      </w:r>
      <w:r>
        <w:rPr>
          <w:rFonts w:ascii="Microsoft Sans Serif" w:hAnsi="Microsoft Sans Serif"/>
          <w:spacing w:val="40"/>
          <w:sz w:val="19"/>
        </w:rPr>
        <w:t> </w:t>
      </w:r>
      <w:r>
        <w:rPr>
          <w:rFonts w:ascii="Microsoft Sans Serif" w:hAnsi="Microsoft Sans Serif"/>
          <w:sz w:val="19"/>
        </w:rPr>
        <w:t>(o</w:t>
      </w:r>
      <w:r>
        <w:rPr>
          <w:rFonts w:ascii="Microsoft Sans Serif" w:hAnsi="Microsoft Sans Serif"/>
          <w:spacing w:val="40"/>
          <w:sz w:val="19"/>
        </w:rPr>
        <w:t> </w:t>
      </w:r>
      <w:r>
        <w:rPr>
          <w:rFonts w:ascii="Microsoft Sans Serif" w:hAnsi="Microsoft Sans Serif"/>
          <w:sz w:val="19"/>
        </w:rPr>
        <w:t>enxerto</w:t>
      </w:r>
      <w:r>
        <w:rPr>
          <w:rFonts w:ascii="Microsoft Sans Serif" w:hAnsi="Microsoft Sans Serif"/>
          <w:spacing w:val="40"/>
          <w:sz w:val="19"/>
        </w:rPr>
        <w:t> </w:t>
      </w:r>
      <w:r>
        <w:rPr>
          <w:rFonts w:ascii="Microsoft Sans Serif" w:hAnsi="Microsoft Sans Serif"/>
          <w:sz w:val="19"/>
        </w:rPr>
        <w:t>envolve externamente</w:t>
      </w:r>
      <w:r>
        <w:rPr>
          <w:rFonts w:ascii="Microsoft Sans Serif" w:hAnsi="Microsoft Sans Serif"/>
          <w:spacing w:val="26"/>
          <w:sz w:val="19"/>
        </w:rPr>
        <w:t> </w:t>
      </w:r>
      <w:r>
        <w:rPr>
          <w:rFonts w:ascii="Microsoft Sans Serif" w:hAnsi="Microsoft Sans Serif"/>
          <w:sz w:val="19"/>
        </w:rPr>
        <w:t>os</w:t>
      </w:r>
      <w:r>
        <w:rPr>
          <w:rFonts w:ascii="Microsoft Sans Serif" w:hAnsi="Microsoft Sans Serif"/>
          <w:spacing w:val="19"/>
          <w:sz w:val="19"/>
        </w:rPr>
        <w:t> </w:t>
      </w:r>
      <w:r>
        <w:rPr>
          <w:rFonts w:ascii="Microsoft Sans Serif" w:hAnsi="Microsoft Sans Serif"/>
          <w:sz w:val="19"/>
        </w:rPr>
        <w:t>pilares</w:t>
      </w:r>
      <w:r>
        <w:rPr>
          <w:rFonts w:ascii="Microsoft Sans Serif" w:hAnsi="Microsoft Sans Serif"/>
          <w:spacing w:val="19"/>
          <w:sz w:val="19"/>
        </w:rPr>
        <w:t> </w:t>
      </w:r>
      <w:r>
        <w:rPr>
          <w:rFonts w:ascii="Microsoft Sans Serif" w:hAnsi="Microsoft Sans Serif"/>
          <w:sz w:val="19"/>
        </w:rPr>
        <w:t>comissurais</w:t>
      </w:r>
      <w:r>
        <w:rPr>
          <w:rFonts w:ascii="Microsoft Sans Serif" w:hAnsi="Microsoft Sans Serif"/>
          <w:spacing w:val="19"/>
          <w:sz w:val="19"/>
        </w:rPr>
        <w:t> </w:t>
      </w:r>
      <w:r>
        <w:rPr>
          <w:rFonts w:ascii="Microsoft Sans Serif" w:hAnsi="Microsoft Sans Serif"/>
          <w:sz w:val="19"/>
        </w:rPr>
        <w:t>e</w:t>
      </w:r>
      <w:r>
        <w:rPr>
          <w:rFonts w:ascii="Microsoft Sans Serif" w:hAnsi="Microsoft Sans Serif"/>
          <w:spacing w:val="26"/>
          <w:sz w:val="19"/>
        </w:rPr>
        <w:t> </w:t>
      </w:r>
      <w:r>
        <w:rPr>
          <w:rFonts w:ascii="Microsoft Sans Serif" w:hAnsi="Microsoft Sans Serif"/>
          <w:sz w:val="19"/>
        </w:rPr>
        <w:t>a</w:t>
      </w:r>
      <w:r>
        <w:rPr>
          <w:rFonts w:ascii="Microsoft Sans Serif" w:hAnsi="Microsoft Sans Serif"/>
          <w:spacing w:val="26"/>
          <w:sz w:val="19"/>
        </w:rPr>
        <w:t> </w:t>
      </w:r>
      <w:r>
        <w:rPr>
          <w:rFonts w:ascii="Microsoft Sans Serif" w:hAnsi="Microsoft Sans Serif"/>
          <w:sz w:val="19"/>
        </w:rPr>
        <w:t>sua</w:t>
      </w:r>
      <w:r>
        <w:rPr>
          <w:rFonts w:ascii="Microsoft Sans Serif" w:hAnsi="Microsoft Sans Serif"/>
          <w:spacing w:val="26"/>
          <w:sz w:val="19"/>
        </w:rPr>
        <w:t> </w:t>
      </w:r>
      <w:r>
        <w:rPr>
          <w:rFonts w:ascii="Microsoft Sans Serif" w:hAnsi="Microsoft Sans Serif"/>
          <w:sz w:val="19"/>
        </w:rPr>
        <w:t>fixação</w:t>
      </w:r>
      <w:r>
        <w:rPr>
          <w:rFonts w:ascii="Microsoft Sans Serif" w:hAnsi="Microsoft Sans Serif"/>
          <w:spacing w:val="26"/>
          <w:sz w:val="19"/>
        </w:rPr>
        <w:t> </w:t>
      </w:r>
      <w:r>
        <w:rPr>
          <w:rFonts w:ascii="Microsoft Sans Serif" w:hAnsi="Microsoft Sans Serif"/>
          <w:sz w:val="19"/>
        </w:rPr>
        <w:t>no</w:t>
      </w:r>
      <w:r>
        <w:rPr>
          <w:rFonts w:ascii="Microsoft Sans Serif" w:hAnsi="Microsoft Sans Serif"/>
          <w:spacing w:val="26"/>
          <w:sz w:val="19"/>
        </w:rPr>
        <w:t> </w:t>
      </w:r>
      <w:r>
        <w:rPr>
          <w:rFonts w:ascii="Microsoft Sans Serif" w:hAnsi="Microsoft Sans Serif"/>
          <w:sz w:val="19"/>
        </w:rPr>
        <w:t>tubo</w:t>
      </w:r>
      <w:r>
        <w:rPr>
          <w:rFonts w:ascii="Microsoft Sans Serif" w:hAnsi="Microsoft Sans Serif"/>
          <w:spacing w:val="26"/>
          <w:sz w:val="19"/>
        </w:rPr>
        <w:t> </w:t>
      </w:r>
      <w:r>
        <w:rPr>
          <w:rFonts w:ascii="Microsoft Sans Serif" w:hAnsi="Microsoft Sans Serif"/>
          <w:sz w:val="19"/>
        </w:rPr>
        <w:t>é</w:t>
      </w:r>
      <w:r>
        <w:rPr>
          <w:rFonts w:ascii="Microsoft Sans Serif" w:hAnsi="Microsoft Sans Serif"/>
          <w:spacing w:val="26"/>
          <w:sz w:val="19"/>
        </w:rPr>
        <w:t> </w:t>
      </w:r>
      <w:r>
        <w:rPr>
          <w:rFonts w:ascii="Microsoft Sans Serif" w:hAnsi="Microsoft Sans Serif"/>
          <w:sz w:val="19"/>
        </w:rPr>
        <w:t>feita</w:t>
      </w:r>
      <w:r>
        <w:rPr>
          <w:rFonts w:ascii="Microsoft Sans Serif" w:hAnsi="Microsoft Sans Serif"/>
          <w:spacing w:val="26"/>
          <w:sz w:val="19"/>
        </w:rPr>
        <w:t> </w:t>
      </w:r>
      <w:r>
        <w:rPr>
          <w:rFonts w:ascii="Microsoft Sans Serif" w:hAnsi="Microsoft Sans Serif"/>
          <w:sz w:val="19"/>
        </w:rPr>
        <w:t>por</w:t>
      </w:r>
      <w:r>
        <w:rPr>
          <w:rFonts w:ascii="Microsoft Sans Serif" w:hAnsi="Microsoft Sans Serif"/>
          <w:spacing w:val="19"/>
          <w:sz w:val="19"/>
        </w:rPr>
        <w:t> </w:t>
      </w:r>
      <w:r>
        <w:rPr>
          <w:rFonts w:ascii="Microsoft Sans Serif" w:hAnsi="Microsoft Sans Serif"/>
          <w:sz w:val="19"/>
        </w:rPr>
        <w:t>dentro</w:t>
      </w:r>
      <w:r>
        <w:rPr>
          <w:rFonts w:ascii="Microsoft Sans Serif" w:hAnsi="Microsoft Sans Serif"/>
          <w:spacing w:val="26"/>
          <w:sz w:val="19"/>
        </w:rPr>
        <w:t> </w:t>
      </w:r>
      <w:r>
        <w:rPr>
          <w:rFonts w:ascii="Microsoft Sans Serif" w:hAnsi="Microsoft Sans Serif"/>
          <w:sz w:val="19"/>
        </w:rPr>
        <w:t>do</w:t>
      </w:r>
      <w:r>
        <w:rPr>
          <w:rFonts w:ascii="Microsoft Sans Serif" w:hAnsi="Microsoft Sans Serif"/>
          <w:spacing w:val="26"/>
          <w:sz w:val="19"/>
        </w:rPr>
        <w:t> </w:t>
      </w:r>
      <w:r>
        <w:rPr>
          <w:rFonts w:ascii="Microsoft Sans Serif" w:hAnsi="Microsoft Sans Serif"/>
          <w:sz w:val="19"/>
        </w:rPr>
        <w:t>tubo)</w:t>
      </w:r>
      <w:r>
        <w:rPr>
          <w:rFonts w:ascii="Microsoft Sans Serif" w:hAnsi="Microsoft Sans Serif"/>
          <w:spacing w:val="-12"/>
          <w:w w:val="160"/>
          <w:sz w:val="19"/>
        </w:rPr>
        <w:t> </w:t>
      </w:r>
      <w:r>
        <w:rPr>
          <w:rFonts w:ascii="Microsoft Sans Serif" w:hAnsi="Microsoft Sans Serif"/>
          <w:w w:val="160"/>
          <w:sz w:val="19"/>
        </w:rPr>
        <w:t>–</w:t>
      </w:r>
      <w:r>
        <w:rPr>
          <w:rFonts w:ascii="Microsoft Sans Serif" w:hAnsi="Microsoft Sans Serif"/>
          <w:spacing w:val="-4"/>
          <w:w w:val="160"/>
          <w:sz w:val="19"/>
        </w:rPr>
        <w:t> </w:t>
      </w:r>
      <w:r>
        <w:rPr>
          <w:rFonts w:ascii="Microsoft Sans Serif" w:hAnsi="Microsoft Sans Serif"/>
          <w:sz w:val="19"/>
        </w:rPr>
        <w:t>operação</w:t>
      </w:r>
      <w:r>
        <w:rPr>
          <w:rFonts w:ascii="Microsoft Sans Serif" w:hAnsi="Microsoft Sans Serif"/>
          <w:spacing w:val="26"/>
          <w:sz w:val="19"/>
        </w:rPr>
        <w:t> </w:t>
      </w:r>
      <w:r>
        <w:rPr>
          <w:rFonts w:ascii="Microsoft Sans Serif" w:hAnsi="Microsoft Sans Serif"/>
          <w:sz w:val="19"/>
        </w:rPr>
        <w:t>do</w:t>
      </w:r>
      <w:r>
        <w:rPr>
          <w:rFonts w:ascii="Microsoft Sans Serif" w:hAnsi="Microsoft Sans Serif"/>
          <w:spacing w:val="26"/>
          <w:sz w:val="19"/>
        </w:rPr>
        <w:t> </w:t>
      </w:r>
      <w:r>
        <w:rPr>
          <w:rFonts w:ascii="Microsoft Sans Serif" w:hAnsi="Microsoft Sans Serif"/>
          <w:sz w:val="19"/>
        </w:rPr>
        <w:t>reimplante.</w:t>
      </w:r>
    </w:p>
    <w:p>
      <w:pPr>
        <w:spacing w:after="0" w:line="283" w:lineRule="auto"/>
        <w:jc w:val="both"/>
        <w:rPr>
          <w:rFonts w:ascii="Microsoft Sans Serif" w:hAnsi="Microsoft Sans Serif"/>
          <w:sz w:val="19"/>
        </w:rPr>
        <w:sectPr>
          <w:pgSz w:w="11900" w:h="16840"/>
          <w:pgMar w:top="200" w:bottom="280" w:left="566" w:right="141"/>
        </w:sectPr>
      </w:pPr>
    </w:p>
    <w:p>
      <w:pPr>
        <w:spacing w:line="240" w:lineRule="auto"/>
        <w:ind w:left="2741" w:right="0" w:firstLine="0"/>
        <w:rPr>
          <w:rFonts w:ascii="Microsoft Sans Serif"/>
          <w:sz w:val="20"/>
        </w:rPr>
      </w:pPr>
      <w:r>
        <w:rPr>
          <w:rFonts w:ascii="Microsoft Sans Serif"/>
          <w:sz w:val="20"/>
        </w:rPr>
        <w:drawing>
          <wp:inline distT="0" distB="0" distL="0" distR="0">
            <wp:extent cx="3373478" cy="485127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28" cstate="print"/>
                    <a:stretch>
                      <a:fillRect/>
                    </a:stretch>
                  </pic:blipFill>
                  <pic:spPr>
                    <a:xfrm>
                      <a:off x="0" y="0"/>
                      <a:ext cx="3373478" cy="4851273"/>
                    </a:xfrm>
                    <a:prstGeom prst="rect">
                      <a:avLst/>
                    </a:prstGeom>
                  </pic:spPr>
                </pic:pic>
              </a:graphicData>
            </a:graphic>
          </wp:inline>
        </w:drawing>
      </w:r>
      <w:r>
        <w:rPr>
          <w:rFonts w:ascii="Microsoft Sans Serif"/>
          <w:sz w:val="20"/>
        </w:rPr>
      </w:r>
    </w:p>
    <w:p>
      <w:pPr>
        <w:pStyle w:val="BodyText"/>
        <w:spacing w:before="43"/>
        <w:ind w:left="0" w:firstLine="0"/>
        <w:jc w:val="left"/>
        <w:rPr>
          <w:rFonts w:ascii="Microsoft Sans Serif"/>
          <w:sz w:val="19"/>
        </w:rPr>
      </w:pPr>
    </w:p>
    <w:p>
      <w:pPr>
        <w:spacing w:line="283" w:lineRule="auto" w:before="0"/>
        <w:ind w:left="68" w:right="498" w:firstLine="0"/>
        <w:jc w:val="both"/>
        <w:rPr>
          <w:rFonts w:ascii="Microsoft Sans Serif" w:hAnsi="Microsoft Sans Serif"/>
          <w:sz w:val="19"/>
        </w:rPr>
      </w:pPr>
      <w:r>
        <w:rPr>
          <w:rFonts w:ascii="Arial" w:hAnsi="Arial"/>
          <w:b/>
          <w:color w:val="242B67"/>
          <w:sz w:val="19"/>
        </w:rPr>
        <w:t>Figura 58.7 </w:t>
      </w:r>
      <w:r>
        <w:rPr>
          <w:rFonts w:ascii="Arial" w:hAnsi="Arial"/>
          <w:b/>
          <w:sz w:val="19"/>
        </w:rPr>
        <w:t>A. </w:t>
      </w:r>
      <w:r>
        <w:rPr>
          <w:rFonts w:ascii="Microsoft Sans Serif" w:hAnsi="Microsoft Sans Serif"/>
          <w:sz w:val="19"/>
        </w:rPr>
        <w:t>Fotografia intraoperatória ilustrando a ressecção completa da aorta ascendente, permanecendo somente a valva nativa, os pilares comissurais e os óstios coronarianos. </w:t>
      </w:r>
      <w:r>
        <w:rPr>
          <w:rFonts w:ascii="Arial" w:hAnsi="Arial"/>
          <w:b/>
          <w:sz w:val="19"/>
        </w:rPr>
        <w:t>B. </w:t>
      </w:r>
      <w:r>
        <w:rPr>
          <w:rFonts w:ascii="Microsoft Sans Serif" w:hAnsi="Microsoft Sans Serif"/>
          <w:sz w:val="19"/>
        </w:rPr>
        <w:t>Fotografia intraoperatória ilustrando o enxerto suturado, reconstruindo</w:t>
      </w:r>
      <w:r>
        <w:rPr>
          <w:rFonts w:ascii="Microsoft Sans Serif" w:hAnsi="Microsoft Sans Serif"/>
          <w:spacing w:val="24"/>
          <w:sz w:val="19"/>
        </w:rPr>
        <w:t> </w:t>
      </w:r>
      <w:r>
        <w:rPr>
          <w:rFonts w:ascii="Microsoft Sans Serif" w:hAnsi="Microsoft Sans Serif"/>
          <w:sz w:val="19"/>
        </w:rPr>
        <w:t>os</w:t>
      </w:r>
      <w:r>
        <w:rPr>
          <w:rFonts w:ascii="Microsoft Sans Serif" w:hAnsi="Microsoft Sans Serif"/>
          <w:spacing w:val="17"/>
          <w:sz w:val="19"/>
        </w:rPr>
        <w:t> </w:t>
      </w:r>
      <w:r>
        <w:rPr>
          <w:rFonts w:ascii="Microsoft Sans Serif" w:hAnsi="Microsoft Sans Serif"/>
          <w:sz w:val="19"/>
        </w:rPr>
        <w:t>seios</w:t>
      </w:r>
      <w:r>
        <w:rPr>
          <w:rFonts w:ascii="Microsoft Sans Serif" w:hAnsi="Microsoft Sans Serif"/>
          <w:spacing w:val="17"/>
          <w:sz w:val="19"/>
        </w:rPr>
        <w:t> </w:t>
      </w:r>
      <w:r>
        <w:rPr>
          <w:rFonts w:ascii="Microsoft Sans Serif" w:hAnsi="Microsoft Sans Serif"/>
          <w:sz w:val="19"/>
        </w:rPr>
        <w:t>de</w:t>
      </w:r>
      <w:r>
        <w:rPr>
          <w:rFonts w:ascii="Microsoft Sans Serif" w:hAnsi="Microsoft Sans Serif"/>
          <w:spacing w:val="24"/>
          <w:sz w:val="19"/>
        </w:rPr>
        <w:t> </w:t>
      </w:r>
      <w:r>
        <w:rPr>
          <w:rFonts w:ascii="Microsoft Sans Serif" w:hAnsi="Microsoft Sans Serif"/>
          <w:sz w:val="19"/>
        </w:rPr>
        <w:t>Valsalva, o</w:t>
      </w:r>
      <w:r>
        <w:rPr>
          <w:rFonts w:ascii="Microsoft Sans Serif" w:hAnsi="Microsoft Sans Serif"/>
          <w:spacing w:val="24"/>
          <w:sz w:val="19"/>
        </w:rPr>
        <w:t> </w:t>
      </w:r>
      <w:r>
        <w:rPr>
          <w:rFonts w:ascii="Microsoft Sans Serif" w:hAnsi="Microsoft Sans Serif"/>
          <w:sz w:val="19"/>
        </w:rPr>
        <w:t>anel</w:t>
      </w:r>
      <w:r>
        <w:rPr>
          <w:rFonts w:ascii="Microsoft Sans Serif" w:hAnsi="Microsoft Sans Serif"/>
          <w:spacing w:val="24"/>
          <w:sz w:val="19"/>
        </w:rPr>
        <w:t> </w:t>
      </w:r>
      <w:r>
        <w:rPr>
          <w:rFonts w:ascii="Microsoft Sans Serif" w:hAnsi="Microsoft Sans Serif"/>
          <w:sz w:val="19"/>
        </w:rPr>
        <w:t>tubular</w:t>
      </w:r>
      <w:r>
        <w:rPr>
          <w:rFonts w:ascii="Microsoft Sans Serif" w:hAnsi="Microsoft Sans Serif"/>
          <w:spacing w:val="17"/>
          <w:sz w:val="19"/>
        </w:rPr>
        <w:t> </w:t>
      </w:r>
      <w:r>
        <w:rPr>
          <w:rFonts w:ascii="Microsoft Sans Serif" w:hAnsi="Microsoft Sans Serif"/>
          <w:sz w:val="19"/>
        </w:rPr>
        <w:t>colocado</w:t>
      </w:r>
      <w:r>
        <w:rPr>
          <w:rFonts w:ascii="Microsoft Sans Serif" w:hAnsi="Microsoft Sans Serif"/>
          <w:spacing w:val="24"/>
          <w:sz w:val="19"/>
        </w:rPr>
        <w:t> </w:t>
      </w:r>
      <w:r>
        <w:rPr>
          <w:rFonts w:ascii="Microsoft Sans Serif" w:hAnsi="Microsoft Sans Serif"/>
          <w:sz w:val="19"/>
        </w:rPr>
        <w:t>na</w:t>
      </w:r>
      <w:r>
        <w:rPr>
          <w:rFonts w:ascii="Microsoft Sans Serif" w:hAnsi="Microsoft Sans Serif"/>
          <w:spacing w:val="24"/>
          <w:sz w:val="19"/>
        </w:rPr>
        <w:t> </w:t>
      </w:r>
      <w:r>
        <w:rPr>
          <w:rFonts w:ascii="Microsoft Sans Serif" w:hAnsi="Microsoft Sans Serif"/>
          <w:sz w:val="19"/>
        </w:rPr>
        <w:t>base</w:t>
      </w:r>
      <w:r>
        <w:rPr>
          <w:rFonts w:ascii="Microsoft Sans Serif" w:hAnsi="Microsoft Sans Serif"/>
          <w:spacing w:val="24"/>
          <w:sz w:val="19"/>
        </w:rPr>
        <w:t> </w:t>
      </w:r>
      <w:r>
        <w:rPr>
          <w:rFonts w:ascii="Microsoft Sans Serif" w:hAnsi="Microsoft Sans Serif"/>
          <w:sz w:val="19"/>
        </w:rPr>
        <w:t>desta</w:t>
      </w:r>
      <w:r>
        <w:rPr>
          <w:rFonts w:ascii="Microsoft Sans Serif" w:hAnsi="Microsoft Sans Serif"/>
          <w:spacing w:val="24"/>
          <w:sz w:val="19"/>
        </w:rPr>
        <w:t> </w:t>
      </w:r>
      <w:r>
        <w:rPr>
          <w:rFonts w:ascii="Microsoft Sans Serif" w:hAnsi="Microsoft Sans Serif"/>
          <w:sz w:val="19"/>
        </w:rPr>
        <w:t>neoaorta, fixado</w:t>
      </w:r>
      <w:r>
        <w:rPr>
          <w:rFonts w:ascii="Microsoft Sans Serif" w:hAnsi="Microsoft Sans Serif"/>
          <w:spacing w:val="24"/>
          <w:sz w:val="19"/>
        </w:rPr>
        <w:t> </w:t>
      </w:r>
      <w:r>
        <w:rPr>
          <w:rFonts w:ascii="Microsoft Sans Serif" w:hAnsi="Microsoft Sans Serif"/>
          <w:sz w:val="19"/>
        </w:rPr>
        <w:t>em</w:t>
      </w:r>
      <w:r>
        <w:rPr>
          <w:rFonts w:ascii="Microsoft Sans Serif" w:hAnsi="Microsoft Sans Serif"/>
          <w:spacing w:val="17"/>
          <w:sz w:val="19"/>
        </w:rPr>
        <w:t> </w:t>
      </w:r>
      <w:r>
        <w:rPr>
          <w:rFonts w:ascii="Microsoft Sans Serif" w:hAnsi="Microsoft Sans Serif"/>
          <w:sz w:val="19"/>
        </w:rPr>
        <w:t>parte</w:t>
      </w:r>
      <w:r>
        <w:rPr>
          <w:rFonts w:ascii="Microsoft Sans Serif" w:hAnsi="Microsoft Sans Serif"/>
          <w:spacing w:val="24"/>
          <w:sz w:val="19"/>
        </w:rPr>
        <w:t> </w:t>
      </w:r>
      <w:r>
        <w:rPr>
          <w:rFonts w:ascii="Microsoft Sans Serif" w:hAnsi="Microsoft Sans Serif"/>
          <w:sz w:val="19"/>
        </w:rPr>
        <w:t>do</w:t>
      </w:r>
      <w:r>
        <w:rPr>
          <w:rFonts w:ascii="Microsoft Sans Serif" w:hAnsi="Microsoft Sans Serif"/>
          <w:spacing w:val="24"/>
          <w:sz w:val="19"/>
        </w:rPr>
        <w:t> </w:t>
      </w:r>
      <w:r>
        <w:rPr>
          <w:rFonts w:ascii="Microsoft Sans Serif" w:hAnsi="Microsoft Sans Serif"/>
          <w:sz w:val="19"/>
        </w:rPr>
        <w:t>esqueleto</w:t>
      </w:r>
      <w:r>
        <w:rPr>
          <w:rFonts w:ascii="Microsoft Sans Serif" w:hAnsi="Microsoft Sans Serif"/>
          <w:spacing w:val="24"/>
          <w:sz w:val="19"/>
        </w:rPr>
        <w:t> </w:t>
      </w:r>
      <w:r>
        <w:rPr>
          <w:rFonts w:ascii="Microsoft Sans Serif" w:hAnsi="Microsoft Sans Serif"/>
          <w:sz w:val="19"/>
        </w:rPr>
        <w:t>fibroso do</w:t>
      </w:r>
      <w:r>
        <w:rPr>
          <w:rFonts w:ascii="Microsoft Sans Serif" w:hAnsi="Microsoft Sans Serif"/>
          <w:spacing w:val="28"/>
          <w:sz w:val="19"/>
        </w:rPr>
        <w:t> </w:t>
      </w:r>
      <w:r>
        <w:rPr>
          <w:rFonts w:ascii="Microsoft Sans Serif" w:hAnsi="Microsoft Sans Serif"/>
          <w:sz w:val="19"/>
        </w:rPr>
        <w:t>coração, e</w:t>
      </w:r>
      <w:r>
        <w:rPr>
          <w:rFonts w:ascii="Microsoft Sans Serif" w:hAnsi="Microsoft Sans Serif"/>
          <w:spacing w:val="28"/>
          <w:sz w:val="19"/>
        </w:rPr>
        <w:t> </w:t>
      </w:r>
      <w:r>
        <w:rPr>
          <w:rFonts w:ascii="Microsoft Sans Serif" w:hAnsi="Microsoft Sans Serif"/>
          <w:sz w:val="19"/>
        </w:rPr>
        <w:t>o</w:t>
      </w:r>
      <w:r>
        <w:rPr>
          <w:rFonts w:ascii="Microsoft Sans Serif" w:hAnsi="Microsoft Sans Serif"/>
          <w:spacing w:val="28"/>
          <w:sz w:val="19"/>
        </w:rPr>
        <w:t> </w:t>
      </w:r>
      <w:r>
        <w:rPr>
          <w:rFonts w:ascii="Microsoft Sans Serif" w:hAnsi="Microsoft Sans Serif"/>
          <w:sz w:val="19"/>
        </w:rPr>
        <w:t>anel</w:t>
      </w:r>
      <w:r>
        <w:rPr>
          <w:rFonts w:ascii="Microsoft Sans Serif" w:hAnsi="Microsoft Sans Serif"/>
          <w:spacing w:val="28"/>
          <w:sz w:val="19"/>
        </w:rPr>
        <w:t> </w:t>
      </w:r>
      <w:r>
        <w:rPr>
          <w:rFonts w:ascii="Microsoft Sans Serif" w:hAnsi="Microsoft Sans Serif"/>
          <w:sz w:val="19"/>
        </w:rPr>
        <w:t>aórtico</w:t>
      </w:r>
      <w:r>
        <w:rPr>
          <w:rFonts w:ascii="Microsoft Sans Serif" w:hAnsi="Microsoft Sans Serif"/>
          <w:spacing w:val="28"/>
          <w:sz w:val="19"/>
        </w:rPr>
        <w:t> </w:t>
      </w:r>
      <w:r>
        <w:rPr>
          <w:rFonts w:ascii="Microsoft Sans Serif" w:hAnsi="Microsoft Sans Serif"/>
          <w:sz w:val="19"/>
        </w:rPr>
        <w:t>para</w:t>
      </w:r>
      <w:r>
        <w:rPr>
          <w:rFonts w:ascii="Microsoft Sans Serif" w:hAnsi="Microsoft Sans Serif"/>
          <w:spacing w:val="28"/>
          <w:sz w:val="19"/>
        </w:rPr>
        <w:t> </w:t>
      </w:r>
      <w:r>
        <w:rPr>
          <w:rFonts w:ascii="Microsoft Sans Serif" w:hAnsi="Microsoft Sans Serif"/>
          <w:sz w:val="19"/>
        </w:rPr>
        <w:t>impedir a</w:t>
      </w:r>
      <w:r>
        <w:rPr>
          <w:rFonts w:ascii="Microsoft Sans Serif" w:hAnsi="Microsoft Sans Serif"/>
          <w:spacing w:val="28"/>
          <w:sz w:val="19"/>
        </w:rPr>
        <w:t> </w:t>
      </w:r>
      <w:r>
        <w:rPr>
          <w:rFonts w:ascii="Microsoft Sans Serif" w:hAnsi="Microsoft Sans Serif"/>
          <w:sz w:val="19"/>
        </w:rPr>
        <w:t>dilatação</w:t>
      </w:r>
      <w:r>
        <w:rPr>
          <w:rFonts w:ascii="Microsoft Sans Serif" w:hAnsi="Microsoft Sans Serif"/>
          <w:spacing w:val="28"/>
          <w:sz w:val="19"/>
        </w:rPr>
        <w:t> </w:t>
      </w:r>
      <w:r>
        <w:rPr>
          <w:rFonts w:ascii="Microsoft Sans Serif" w:hAnsi="Microsoft Sans Serif"/>
          <w:sz w:val="19"/>
        </w:rPr>
        <w:t>futura</w:t>
      </w:r>
      <w:r>
        <w:rPr>
          <w:rFonts w:ascii="Microsoft Sans Serif" w:hAnsi="Microsoft Sans Serif"/>
          <w:spacing w:val="28"/>
          <w:sz w:val="19"/>
        </w:rPr>
        <w:t> </w:t>
      </w:r>
      <w:r>
        <w:rPr>
          <w:rFonts w:ascii="Microsoft Sans Serif" w:hAnsi="Microsoft Sans Serif"/>
          <w:sz w:val="19"/>
        </w:rPr>
        <w:t>da</w:t>
      </w:r>
      <w:r>
        <w:rPr>
          <w:rFonts w:ascii="Microsoft Sans Serif" w:hAnsi="Microsoft Sans Serif"/>
          <w:spacing w:val="28"/>
          <w:sz w:val="19"/>
        </w:rPr>
        <w:t> </w:t>
      </w:r>
      <w:r>
        <w:rPr>
          <w:rFonts w:ascii="Microsoft Sans Serif" w:hAnsi="Microsoft Sans Serif"/>
          <w:sz w:val="19"/>
        </w:rPr>
        <w:t>porção</w:t>
      </w:r>
      <w:r>
        <w:rPr>
          <w:rFonts w:ascii="Microsoft Sans Serif" w:hAnsi="Microsoft Sans Serif"/>
          <w:spacing w:val="28"/>
          <w:sz w:val="19"/>
        </w:rPr>
        <w:t> </w:t>
      </w:r>
      <w:r>
        <w:rPr>
          <w:rFonts w:ascii="Microsoft Sans Serif" w:hAnsi="Microsoft Sans Serif"/>
          <w:sz w:val="19"/>
        </w:rPr>
        <w:t>proximal</w:t>
      </w:r>
      <w:r>
        <w:rPr>
          <w:rFonts w:ascii="Microsoft Sans Serif" w:hAnsi="Microsoft Sans Serif"/>
          <w:spacing w:val="28"/>
          <w:sz w:val="19"/>
        </w:rPr>
        <w:t> </w:t>
      </w:r>
      <w:r>
        <w:rPr>
          <w:rFonts w:ascii="Microsoft Sans Serif" w:hAnsi="Microsoft Sans Serif"/>
          <w:sz w:val="19"/>
        </w:rPr>
        <w:t>da</w:t>
      </w:r>
      <w:r>
        <w:rPr>
          <w:rFonts w:ascii="Microsoft Sans Serif" w:hAnsi="Microsoft Sans Serif"/>
          <w:spacing w:val="28"/>
          <w:sz w:val="19"/>
        </w:rPr>
        <w:t> </w:t>
      </w:r>
      <w:r>
        <w:rPr>
          <w:rFonts w:ascii="Microsoft Sans Serif" w:hAnsi="Microsoft Sans Serif"/>
          <w:sz w:val="19"/>
        </w:rPr>
        <w:t>aorta.</w:t>
      </w:r>
    </w:p>
    <w:p>
      <w:pPr>
        <w:pStyle w:val="BodyText"/>
        <w:spacing w:before="38"/>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11904">
            <wp:simplePos x="0" y="0"/>
            <wp:positionH relativeFrom="page">
              <wp:posOffset>1316926</wp:posOffset>
            </wp:positionH>
            <wp:positionV relativeFrom="paragraph">
              <wp:posOffset>183248</wp:posOffset>
            </wp:positionV>
            <wp:extent cx="4942986" cy="169183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9" cstate="print"/>
                    <a:stretch>
                      <a:fillRect/>
                    </a:stretch>
                  </pic:blipFill>
                  <pic:spPr>
                    <a:xfrm>
                      <a:off x="0" y="0"/>
                      <a:ext cx="4942986" cy="1691830"/>
                    </a:xfrm>
                    <a:prstGeom prst="rect">
                      <a:avLst/>
                    </a:prstGeom>
                  </pic:spPr>
                </pic:pic>
              </a:graphicData>
            </a:graphic>
          </wp:anchor>
        </w:drawing>
      </w:r>
    </w:p>
    <w:p>
      <w:pPr>
        <w:pStyle w:val="BodyText"/>
        <w:spacing w:before="69"/>
        <w:ind w:left="0" w:firstLine="0"/>
        <w:jc w:val="left"/>
        <w:rPr>
          <w:rFonts w:ascii="Microsoft Sans Serif"/>
          <w:sz w:val="19"/>
        </w:rPr>
      </w:pPr>
    </w:p>
    <w:p>
      <w:pPr>
        <w:spacing w:line="283" w:lineRule="auto" w:before="0"/>
        <w:ind w:left="68" w:right="497" w:firstLine="0"/>
        <w:jc w:val="both"/>
        <w:rPr>
          <w:rFonts w:ascii="Microsoft Sans Serif" w:hAnsi="Microsoft Sans Serif"/>
          <w:sz w:val="19"/>
        </w:rPr>
      </w:pPr>
      <w:r>
        <w:rPr>
          <w:rFonts w:ascii="Arial" w:hAnsi="Arial"/>
          <w:b/>
          <w:color w:val="242B67"/>
          <w:sz w:val="19"/>
        </w:rPr>
        <w:t>Figura 58.8 </w:t>
      </w:r>
      <w:r>
        <w:rPr>
          <w:rFonts w:ascii="Arial" w:hAnsi="Arial"/>
          <w:b/>
          <w:sz w:val="19"/>
        </w:rPr>
        <w:t>A. </w:t>
      </w:r>
      <w:r>
        <w:rPr>
          <w:rFonts w:ascii="Microsoft Sans Serif" w:hAnsi="Microsoft Sans Serif"/>
          <w:sz w:val="19"/>
        </w:rPr>
        <w:t>Fotografia intraoperatória do aneurisma da aorta ascendente. </w:t>
      </w:r>
      <w:r>
        <w:rPr>
          <w:rFonts w:ascii="Arial" w:hAnsi="Arial"/>
          <w:b/>
          <w:sz w:val="19"/>
        </w:rPr>
        <w:t>B. </w:t>
      </w:r>
      <w:r>
        <w:rPr>
          <w:rFonts w:ascii="Microsoft Sans Serif" w:hAnsi="Microsoft Sans Serif"/>
          <w:sz w:val="19"/>
        </w:rPr>
        <w:t>Após a passagem dos pontos no plano subvalvar e</w:t>
      </w:r>
      <w:r>
        <w:rPr>
          <w:rFonts w:ascii="Microsoft Sans Serif" w:hAnsi="Microsoft Sans Serif"/>
          <w:spacing w:val="33"/>
          <w:sz w:val="19"/>
        </w:rPr>
        <w:t> </w:t>
      </w:r>
      <w:r>
        <w:rPr>
          <w:rFonts w:ascii="Microsoft Sans Serif" w:hAnsi="Microsoft Sans Serif"/>
          <w:sz w:val="19"/>
        </w:rPr>
        <w:t>no</w:t>
      </w:r>
      <w:r>
        <w:rPr>
          <w:rFonts w:ascii="Microsoft Sans Serif" w:hAnsi="Microsoft Sans Serif"/>
          <w:spacing w:val="33"/>
          <w:sz w:val="19"/>
        </w:rPr>
        <w:t> </w:t>
      </w:r>
      <w:r>
        <w:rPr>
          <w:rFonts w:ascii="Microsoft Sans Serif" w:hAnsi="Microsoft Sans Serif"/>
          <w:sz w:val="19"/>
        </w:rPr>
        <w:t>enxerto, este</w:t>
      </w:r>
      <w:r>
        <w:rPr>
          <w:rFonts w:ascii="Microsoft Sans Serif" w:hAnsi="Microsoft Sans Serif"/>
          <w:spacing w:val="33"/>
          <w:sz w:val="19"/>
        </w:rPr>
        <w:t> </w:t>
      </w:r>
      <w:r>
        <w:rPr>
          <w:rFonts w:ascii="Microsoft Sans Serif" w:hAnsi="Microsoft Sans Serif"/>
          <w:sz w:val="19"/>
        </w:rPr>
        <w:t>é</w:t>
      </w:r>
      <w:r>
        <w:rPr>
          <w:rFonts w:ascii="Microsoft Sans Serif" w:hAnsi="Microsoft Sans Serif"/>
          <w:spacing w:val="33"/>
          <w:sz w:val="19"/>
        </w:rPr>
        <w:t> </w:t>
      </w:r>
      <w:r>
        <w:rPr>
          <w:rFonts w:ascii="Microsoft Sans Serif" w:hAnsi="Microsoft Sans Serif"/>
          <w:sz w:val="19"/>
        </w:rPr>
        <w:t>fixado</w:t>
      </w:r>
      <w:r>
        <w:rPr>
          <w:rFonts w:ascii="Microsoft Sans Serif" w:hAnsi="Microsoft Sans Serif"/>
          <w:spacing w:val="33"/>
          <w:sz w:val="19"/>
        </w:rPr>
        <w:t> </w:t>
      </w:r>
      <w:r>
        <w:rPr>
          <w:rFonts w:ascii="Microsoft Sans Serif" w:hAnsi="Microsoft Sans Serif"/>
          <w:sz w:val="19"/>
        </w:rPr>
        <w:t>na</w:t>
      </w:r>
      <w:r>
        <w:rPr>
          <w:rFonts w:ascii="Microsoft Sans Serif" w:hAnsi="Microsoft Sans Serif"/>
          <w:spacing w:val="33"/>
          <w:sz w:val="19"/>
        </w:rPr>
        <w:t> </w:t>
      </w:r>
      <w:r>
        <w:rPr>
          <w:rFonts w:ascii="Microsoft Sans Serif" w:hAnsi="Microsoft Sans Serif"/>
          <w:sz w:val="19"/>
        </w:rPr>
        <w:t>via</w:t>
      </w:r>
      <w:r>
        <w:rPr>
          <w:rFonts w:ascii="Microsoft Sans Serif" w:hAnsi="Microsoft Sans Serif"/>
          <w:spacing w:val="33"/>
          <w:sz w:val="19"/>
        </w:rPr>
        <w:t> </w:t>
      </w:r>
      <w:r>
        <w:rPr>
          <w:rFonts w:ascii="Microsoft Sans Serif" w:hAnsi="Microsoft Sans Serif"/>
          <w:sz w:val="19"/>
        </w:rPr>
        <w:t>de</w:t>
      </w:r>
      <w:r>
        <w:rPr>
          <w:rFonts w:ascii="Microsoft Sans Serif" w:hAnsi="Microsoft Sans Serif"/>
          <w:spacing w:val="33"/>
          <w:sz w:val="19"/>
        </w:rPr>
        <w:t> </w:t>
      </w:r>
      <w:r>
        <w:rPr>
          <w:rFonts w:ascii="Microsoft Sans Serif" w:hAnsi="Microsoft Sans Serif"/>
          <w:sz w:val="19"/>
        </w:rPr>
        <w:t>saída</w:t>
      </w:r>
      <w:r>
        <w:rPr>
          <w:rFonts w:ascii="Microsoft Sans Serif" w:hAnsi="Microsoft Sans Serif"/>
          <w:spacing w:val="33"/>
          <w:sz w:val="19"/>
        </w:rPr>
        <w:t> </w:t>
      </w:r>
      <w:r>
        <w:rPr>
          <w:rFonts w:ascii="Microsoft Sans Serif" w:hAnsi="Microsoft Sans Serif"/>
          <w:sz w:val="19"/>
        </w:rPr>
        <w:t>do</w:t>
      </w:r>
      <w:r>
        <w:rPr>
          <w:rFonts w:ascii="Microsoft Sans Serif" w:hAnsi="Microsoft Sans Serif"/>
          <w:spacing w:val="33"/>
          <w:sz w:val="19"/>
        </w:rPr>
        <w:t> </w:t>
      </w:r>
      <w:r>
        <w:rPr>
          <w:rFonts w:ascii="Microsoft Sans Serif" w:hAnsi="Microsoft Sans Serif"/>
          <w:sz w:val="19"/>
        </w:rPr>
        <w:t>ventrículo</w:t>
      </w:r>
      <w:r>
        <w:rPr>
          <w:rFonts w:ascii="Microsoft Sans Serif" w:hAnsi="Microsoft Sans Serif"/>
          <w:spacing w:val="33"/>
          <w:sz w:val="19"/>
        </w:rPr>
        <w:t> </w:t>
      </w:r>
      <w:r>
        <w:rPr>
          <w:rFonts w:ascii="Microsoft Sans Serif" w:hAnsi="Microsoft Sans Serif"/>
          <w:sz w:val="19"/>
        </w:rPr>
        <w:t>esquerdo. </w:t>
      </w:r>
      <w:r>
        <w:rPr>
          <w:rFonts w:ascii="Arial" w:hAnsi="Arial"/>
          <w:b/>
          <w:sz w:val="19"/>
        </w:rPr>
        <w:t>C. </w:t>
      </w:r>
      <w:r>
        <w:rPr>
          <w:rFonts w:ascii="Microsoft Sans Serif" w:hAnsi="Microsoft Sans Serif"/>
          <w:sz w:val="19"/>
        </w:rPr>
        <w:t>Fixação</w:t>
      </w:r>
      <w:r>
        <w:rPr>
          <w:rFonts w:ascii="Microsoft Sans Serif" w:hAnsi="Microsoft Sans Serif"/>
          <w:spacing w:val="32"/>
          <w:sz w:val="19"/>
        </w:rPr>
        <w:t> </w:t>
      </w:r>
      <w:r>
        <w:rPr>
          <w:rFonts w:ascii="Microsoft Sans Serif" w:hAnsi="Microsoft Sans Serif"/>
          <w:sz w:val="19"/>
        </w:rPr>
        <w:t>dos pilares comissurais e</w:t>
      </w:r>
      <w:r>
        <w:rPr>
          <w:rFonts w:ascii="Microsoft Sans Serif" w:hAnsi="Microsoft Sans Serif"/>
          <w:spacing w:val="32"/>
          <w:sz w:val="19"/>
        </w:rPr>
        <w:t> </w:t>
      </w:r>
      <w:r>
        <w:rPr>
          <w:rFonts w:ascii="Microsoft Sans Serif" w:hAnsi="Microsoft Sans Serif"/>
          <w:sz w:val="19"/>
        </w:rPr>
        <w:t>anel aórtico no enxerto, que oferece sustentação externa a essa estrutura. </w:t>
      </w:r>
      <w:r>
        <w:rPr>
          <w:rFonts w:ascii="Arial" w:hAnsi="Arial"/>
          <w:b/>
          <w:sz w:val="19"/>
        </w:rPr>
        <w:t>D. </w:t>
      </w:r>
      <w:r>
        <w:rPr>
          <w:rFonts w:ascii="Microsoft Sans Serif" w:hAnsi="Microsoft Sans Serif"/>
          <w:sz w:val="19"/>
        </w:rPr>
        <w:t>Reimplante dos óstios coronarianos no enxerto, ilustrando</w:t>
      </w:r>
      <w:r>
        <w:rPr>
          <w:rFonts w:ascii="Microsoft Sans Serif" w:hAnsi="Microsoft Sans Serif"/>
          <w:spacing w:val="28"/>
          <w:sz w:val="19"/>
        </w:rPr>
        <w:t> </w:t>
      </w:r>
      <w:r>
        <w:rPr>
          <w:rFonts w:ascii="Microsoft Sans Serif" w:hAnsi="Microsoft Sans Serif"/>
          <w:sz w:val="19"/>
        </w:rPr>
        <w:t>o</w:t>
      </w:r>
      <w:r>
        <w:rPr>
          <w:rFonts w:ascii="Microsoft Sans Serif" w:hAnsi="Microsoft Sans Serif"/>
          <w:spacing w:val="28"/>
          <w:sz w:val="19"/>
        </w:rPr>
        <w:t> </w:t>
      </w:r>
      <w:r>
        <w:rPr>
          <w:rFonts w:ascii="Microsoft Sans Serif" w:hAnsi="Microsoft Sans Serif"/>
          <w:sz w:val="19"/>
        </w:rPr>
        <w:t>aspecto</w:t>
      </w:r>
      <w:r>
        <w:rPr>
          <w:rFonts w:ascii="Microsoft Sans Serif" w:hAnsi="Microsoft Sans Serif"/>
          <w:spacing w:val="28"/>
          <w:sz w:val="19"/>
        </w:rPr>
        <w:t> </w:t>
      </w:r>
      <w:r>
        <w:rPr>
          <w:rFonts w:ascii="Microsoft Sans Serif" w:hAnsi="Microsoft Sans Serif"/>
          <w:sz w:val="19"/>
        </w:rPr>
        <w:t>final</w:t>
      </w:r>
      <w:r>
        <w:rPr>
          <w:rFonts w:ascii="Microsoft Sans Serif" w:hAnsi="Microsoft Sans Serif"/>
          <w:spacing w:val="28"/>
          <w:sz w:val="19"/>
        </w:rPr>
        <w:t> </w:t>
      </w:r>
      <w:r>
        <w:rPr>
          <w:rFonts w:ascii="Microsoft Sans Serif" w:hAnsi="Microsoft Sans Serif"/>
          <w:sz w:val="19"/>
        </w:rPr>
        <w:t>da</w:t>
      </w:r>
      <w:r>
        <w:rPr>
          <w:rFonts w:ascii="Microsoft Sans Serif" w:hAnsi="Microsoft Sans Serif"/>
          <w:spacing w:val="28"/>
          <w:sz w:val="19"/>
        </w:rPr>
        <w:t> </w:t>
      </w:r>
      <w:r>
        <w:rPr>
          <w:rFonts w:ascii="Microsoft Sans Serif" w:hAnsi="Microsoft Sans Serif"/>
          <w:sz w:val="19"/>
        </w:rPr>
        <w:t>operação</w:t>
      </w:r>
      <w:r>
        <w:rPr>
          <w:rFonts w:ascii="Microsoft Sans Serif" w:hAnsi="Microsoft Sans Serif"/>
          <w:spacing w:val="28"/>
          <w:sz w:val="19"/>
        </w:rPr>
        <w:t> </w:t>
      </w:r>
      <w:r>
        <w:rPr>
          <w:rFonts w:ascii="Microsoft Sans Serif" w:hAnsi="Microsoft Sans Serif"/>
          <w:sz w:val="19"/>
        </w:rPr>
        <w:t>com</w:t>
      </w:r>
      <w:r>
        <w:rPr>
          <w:rFonts w:ascii="Microsoft Sans Serif" w:hAnsi="Microsoft Sans Serif"/>
          <w:spacing w:val="21"/>
          <w:sz w:val="19"/>
        </w:rPr>
        <w:t> </w:t>
      </w:r>
      <w:r>
        <w:rPr>
          <w:rFonts w:ascii="Microsoft Sans Serif" w:hAnsi="Microsoft Sans Serif"/>
          <w:sz w:val="19"/>
        </w:rPr>
        <w:t>a</w:t>
      </w:r>
      <w:r>
        <w:rPr>
          <w:rFonts w:ascii="Microsoft Sans Serif" w:hAnsi="Microsoft Sans Serif"/>
          <w:spacing w:val="28"/>
          <w:sz w:val="19"/>
        </w:rPr>
        <w:t> </w:t>
      </w:r>
      <w:r>
        <w:rPr>
          <w:rFonts w:ascii="Microsoft Sans Serif" w:hAnsi="Microsoft Sans Serif"/>
          <w:sz w:val="19"/>
        </w:rPr>
        <w:t>substituição</w:t>
      </w:r>
      <w:r>
        <w:rPr>
          <w:rFonts w:ascii="Microsoft Sans Serif" w:hAnsi="Microsoft Sans Serif"/>
          <w:spacing w:val="28"/>
          <w:sz w:val="19"/>
        </w:rPr>
        <w:t> </w:t>
      </w:r>
      <w:r>
        <w:rPr>
          <w:rFonts w:ascii="Microsoft Sans Serif" w:hAnsi="Microsoft Sans Serif"/>
          <w:sz w:val="19"/>
        </w:rPr>
        <w:t>radical</w:t>
      </w:r>
      <w:r>
        <w:rPr>
          <w:rFonts w:ascii="Microsoft Sans Serif" w:hAnsi="Microsoft Sans Serif"/>
          <w:spacing w:val="28"/>
          <w:sz w:val="19"/>
        </w:rPr>
        <w:t> </w:t>
      </w:r>
      <w:r>
        <w:rPr>
          <w:rFonts w:ascii="Microsoft Sans Serif" w:hAnsi="Microsoft Sans Serif"/>
          <w:sz w:val="19"/>
        </w:rPr>
        <w:t>da</w:t>
      </w:r>
      <w:r>
        <w:rPr>
          <w:rFonts w:ascii="Microsoft Sans Serif" w:hAnsi="Microsoft Sans Serif"/>
          <w:spacing w:val="28"/>
          <w:sz w:val="19"/>
        </w:rPr>
        <w:t> </w:t>
      </w:r>
      <w:r>
        <w:rPr>
          <w:rFonts w:ascii="Microsoft Sans Serif" w:hAnsi="Microsoft Sans Serif"/>
          <w:sz w:val="19"/>
        </w:rPr>
        <w:t>aorta</w:t>
      </w:r>
      <w:r>
        <w:rPr>
          <w:rFonts w:ascii="Microsoft Sans Serif" w:hAnsi="Microsoft Sans Serif"/>
          <w:spacing w:val="28"/>
          <w:sz w:val="19"/>
        </w:rPr>
        <w:t> </w:t>
      </w:r>
      <w:r>
        <w:rPr>
          <w:rFonts w:ascii="Microsoft Sans Serif" w:hAnsi="Microsoft Sans Serif"/>
          <w:sz w:val="19"/>
        </w:rPr>
        <w:t>ascendente</w:t>
      </w:r>
      <w:r>
        <w:rPr>
          <w:rFonts w:ascii="Microsoft Sans Serif" w:hAnsi="Microsoft Sans Serif"/>
          <w:spacing w:val="28"/>
          <w:sz w:val="19"/>
        </w:rPr>
        <w:t> </w:t>
      </w:r>
      <w:r>
        <w:rPr>
          <w:rFonts w:ascii="Microsoft Sans Serif" w:hAnsi="Microsoft Sans Serif"/>
          <w:sz w:val="19"/>
        </w:rPr>
        <w:t>e</w:t>
      </w:r>
      <w:r>
        <w:rPr>
          <w:rFonts w:ascii="Microsoft Sans Serif" w:hAnsi="Microsoft Sans Serif"/>
          <w:spacing w:val="28"/>
          <w:sz w:val="19"/>
        </w:rPr>
        <w:t> </w:t>
      </w:r>
      <w:r>
        <w:rPr>
          <w:rFonts w:ascii="Microsoft Sans Serif" w:hAnsi="Microsoft Sans Serif"/>
          <w:sz w:val="19"/>
        </w:rPr>
        <w:t>preservação</w:t>
      </w:r>
      <w:r>
        <w:rPr>
          <w:rFonts w:ascii="Microsoft Sans Serif" w:hAnsi="Microsoft Sans Serif"/>
          <w:spacing w:val="28"/>
          <w:sz w:val="19"/>
        </w:rPr>
        <w:t> </w:t>
      </w:r>
      <w:r>
        <w:rPr>
          <w:rFonts w:ascii="Microsoft Sans Serif" w:hAnsi="Microsoft Sans Serif"/>
          <w:sz w:val="19"/>
        </w:rPr>
        <w:t>da</w:t>
      </w:r>
      <w:r>
        <w:rPr>
          <w:rFonts w:ascii="Microsoft Sans Serif" w:hAnsi="Microsoft Sans Serif"/>
          <w:spacing w:val="28"/>
          <w:sz w:val="19"/>
        </w:rPr>
        <w:t> </w:t>
      </w:r>
      <w:r>
        <w:rPr>
          <w:rFonts w:ascii="Microsoft Sans Serif" w:hAnsi="Microsoft Sans Serif"/>
          <w:sz w:val="19"/>
        </w:rPr>
        <w:t>valva</w:t>
      </w:r>
      <w:r>
        <w:rPr>
          <w:rFonts w:ascii="Microsoft Sans Serif" w:hAnsi="Microsoft Sans Serif"/>
          <w:spacing w:val="28"/>
          <w:sz w:val="19"/>
        </w:rPr>
        <w:t> </w:t>
      </w:r>
      <w:r>
        <w:rPr>
          <w:rFonts w:ascii="Microsoft Sans Serif" w:hAnsi="Microsoft Sans Serif"/>
          <w:sz w:val="19"/>
        </w:rPr>
        <w:t>aórtica.</w:t>
      </w:r>
    </w:p>
    <w:p>
      <w:pPr>
        <w:pStyle w:val="BodyText"/>
        <w:spacing w:before="67"/>
        <w:ind w:left="0" w:firstLine="0"/>
        <w:jc w:val="left"/>
        <w:rPr>
          <w:rFonts w:ascii="Microsoft Sans Serif"/>
          <w:sz w:val="19"/>
        </w:rPr>
      </w:pPr>
    </w:p>
    <w:p>
      <w:pPr>
        <w:pStyle w:val="BodyText"/>
        <w:spacing w:before="0"/>
        <w:ind w:left="414" w:firstLine="0"/>
        <w:jc w:val="left"/>
      </w:pPr>
      <w:r>
        <w:rPr/>
        <w:t>Os</w:t>
      </w:r>
      <w:r>
        <w:rPr>
          <w:spacing w:val="-6"/>
        </w:rPr>
        <w:t> </w:t>
      </w:r>
      <w:r>
        <w:rPr/>
        <w:t>principais</w:t>
      </w:r>
      <w:r>
        <w:rPr>
          <w:spacing w:val="-3"/>
        </w:rPr>
        <w:t> </w:t>
      </w:r>
      <w:r>
        <w:rPr/>
        <w:t>métodos</w:t>
      </w:r>
      <w:r>
        <w:rPr>
          <w:spacing w:val="-4"/>
        </w:rPr>
        <w:t> </w:t>
      </w:r>
      <w:r>
        <w:rPr/>
        <w:t>de</w:t>
      </w:r>
      <w:r>
        <w:rPr>
          <w:spacing w:val="-12"/>
        </w:rPr>
        <w:t> </w:t>
      </w:r>
      <w:r>
        <w:rPr/>
        <w:t>proteção</w:t>
      </w:r>
      <w:r>
        <w:rPr>
          <w:spacing w:val="-11"/>
        </w:rPr>
        <w:t> </w:t>
      </w:r>
      <w:r>
        <w:rPr/>
        <w:t>cerebral</w:t>
      </w:r>
      <w:r>
        <w:rPr>
          <w:spacing w:val="-8"/>
        </w:rPr>
        <w:t> </w:t>
      </w:r>
      <w:r>
        <w:rPr/>
        <w:t>para</w:t>
      </w:r>
      <w:r>
        <w:rPr>
          <w:spacing w:val="-13"/>
        </w:rPr>
        <w:t> </w:t>
      </w:r>
      <w:r>
        <w:rPr/>
        <w:t>as</w:t>
      </w:r>
      <w:r>
        <w:rPr>
          <w:spacing w:val="-3"/>
        </w:rPr>
        <w:t> </w:t>
      </w:r>
      <w:r>
        <w:rPr/>
        <w:t>cirurgias</w:t>
      </w:r>
      <w:r>
        <w:rPr>
          <w:spacing w:val="-3"/>
        </w:rPr>
        <w:t> </w:t>
      </w:r>
      <w:r>
        <w:rPr/>
        <w:t>no</w:t>
      </w:r>
      <w:r>
        <w:rPr>
          <w:spacing w:val="-11"/>
        </w:rPr>
        <w:t> </w:t>
      </w:r>
      <w:r>
        <w:rPr/>
        <w:t>arco</w:t>
      </w:r>
      <w:r>
        <w:rPr>
          <w:spacing w:val="-10"/>
        </w:rPr>
        <w:t> </w:t>
      </w:r>
      <w:r>
        <w:rPr/>
        <w:t>aórtico</w:t>
      </w:r>
      <w:r>
        <w:rPr>
          <w:spacing w:val="-10"/>
        </w:rPr>
        <w:t> </w:t>
      </w:r>
      <w:r>
        <w:rPr>
          <w:spacing w:val="-4"/>
        </w:rPr>
        <w:t>são:</w:t>
      </w:r>
    </w:p>
    <w:p>
      <w:pPr>
        <w:pStyle w:val="ListParagraph"/>
        <w:numPr>
          <w:ilvl w:val="0"/>
          <w:numId w:val="26"/>
        </w:numPr>
        <w:tabs>
          <w:tab w:pos="456" w:val="left" w:leader="none"/>
        </w:tabs>
        <w:spacing w:line="278" w:lineRule="auto" w:before="200" w:after="0"/>
        <w:ind w:left="68" w:right="492" w:firstLine="0"/>
        <w:jc w:val="both"/>
        <w:rPr>
          <w:sz w:val="23"/>
        </w:rPr>
      </w:pPr>
      <w:r>
        <w:rPr>
          <w:sz w:val="23"/>
        </w:rPr>
        <w:t>Parada circulatória total em hipotermia profunda. Por meio dessa técnica é possível, com a redução do metabolismo cerebral, tempo para as correções mais simplificadas das anomalias do arco aórtico (redução de 5 a 7% do metabolismo para cada grau centrígrado que é abaixada a temperatura). Apresenta como vantagens campo operatório exangue, a não manipulação da aorta, que pode reduzir o risco de embolia cerebral, além de ser procedimento simples, que não precisa de equipamento adicional. A desvantagem está relacionada com o limitado tempo de segurança obtido na parada circulatória total (em torno de 30 min na temperatura de 15°C a 18°C)</w:t>
      </w:r>
      <w:r>
        <w:rPr>
          <w:sz w:val="23"/>
          <w:vertAlign w:val="superscript"/>
        </w:rPr>
        <w:t>58</w:t>
      </w:r>
    </w:p>
    <w:p>
      <w:pPr>
        <w:pStyle w:val="ListParagraph"/>
        <w:numPr>
          <w:ilvl w:val="0"/>
          <w:numId w:val="26"/>
        </w:numPr>
        <w:tabs>
          <w:tab w:pos="400" w:val="left" w:leader="none"/>
        </w:tabs>
        <w:spacing w:line="240" w:lineRule="auto" w:before="17" w:after="0"/>
        <w:ind w:left="400" w:right="0" w:hanging="332"/>
        <w:jc w:val="both"/>
        <w:rPr>
          <w:sz w:val="23"/>
        </w:rPr>
      </w:pPr>
      <w:r>
        <w:rPr>
          <w:sz w:val="23"/>
        </w:rPr>
        <w:t>Associação</w:t>
      </w:r>
      <w:r>
        <w:rPr>
          <w:spacing w:val="-7"/>
          <w:sz w:val="23"/>
        </w:rPr>
        <w:t> </w:t>
      </w:r>
      <w:r>
        <w:rPr>
          <w:sz w:val="23"/>
        </w:rPr>
        <w:t>da</w:t>
      </w:r>
      <w:r>
        <w:rPr>
          <w:spacing w:val="-8"/>
          <w:sz w:val="23"/>
        </w:rPr>
        <w:t> </w:t>
      </w:r>
      <w:r>
        <w:rPr>
          <w:sz w:val="23"/>
        </w:rPr>
        <w:t>perfusão</w:t>
      </w:r>
      <w:r>
        <w:rPr>
          <w:spacing w:val="-5"/>
          <w:sz w:val="23"/>
        </w:rPr>
        <w:t> </w:t>
      </w:r>
      <w:r>
        <w:rPr>
          <w:sz w:val="23"/>
        </w:rPr>
        <w:t>cerebral</w:t>
      </w:r>
      <w:r>
        <w:rPr>
          <w:spacing w:val="-3"/>
          <w:sz w:val="23"/>
        </w:rPr>
        <w:t> </w:t>
      </w:r>
      <w:r>
        <w:rPr>
          <w:sz w:val="23"/>
        </w:rPr>
        <w:t>retrógrada</w:t>
      </w:r>
      <w:r>
        <w:rPr>
          <w:spacing w:val="-8"/>
          <w:sz w:val="23"/>
        </w:rPr>
        <w:t> </w:t>
      </w:r>
      <w:r>
        <w:rPr>
          <w:sz w:val="23"/>
        </w:rPr>
        <w:t>pela</w:t>
      </w:r>
      <w:r>
        <w:rPr>
          <w:spacing w:val="-8"/>
          <w:sz w:val="23"/>
        </w:rPr>
        <w:t> </w:t>
      </w:r>
      <w:r>
        <w:rPr>
          <w:sz w:val="23"/>
        </w:rPr>
        <w:t>veia</w:t>
      </w:r>
      <w:r>
        <w:rPr>
          <w:spacing w:val="-8"/>
          <w:sz w:val="23"/>
        </w:rPr>
        <w:t> </w:t>
      </w:r>
      <w:r>
        <w:rPr>
          <w:sz w:val="23"/>
        </w:rPr>
        <w:t>cava</w:t>
      </w:r>
      <w:r>
        <w:rPr>
          <w:spacing w:val="-8"/>
          <w:sz w:val="23"/>
        </w:rPr>
        <w:t> </w:t>
      </w:r>
      <w:r>
        <w:rPr>
          <w:sz w:val="23"/>
        </w:rPr>
        <w:t>superior à</w:t>
      </w:r>
      <w:r>
        <w:rPr>
          <w:spacing w:val="-8"/>
          <w:sz w:val="23"/>
        </w:rPr>
        <w:t> </w:t>
      </w:r>
      <w:r>
        <w:rPr>
          <w:sz w:val="23"/>
        </w:rPr>
        <w:t>hipotermia</w:t>
      </w:r>
      <w:r>
        <w:rPr>
          <w:spacing w:val="-8"/>
          <w:sz w:val="23"/>
        </w:rPr>
        <w:t> </w:t>
      </w:r>
      <w:r>
        <w:rPr>
          <w:sz w:val="23"/>
        </w:rPr>
        <w:t>profunda</w:t>
      </w:r>
      <w:r>
        <w:rPr>
          <w:spacing w:val="-8"/>
          <w:sz w:val="23"/>
        </w:rPr>
        <w:t> </w:t>
      </w:r>
      <w:r>
        <w:rPr>
          <w:sz w:val="23"/>
        </w:rPr>
        <w:t>com</w:t>
      </w:r>
      <w:r>
        <w:rPr>
          <w:spacing w:val="-5"/>
          <w:sz w:val="23"/>
        </w:rPr>
        <w:t> </w:t>
      </w:r>
      <w:r>
        <w:rPr>
          <w:sz w:val="23"/>
        </w:rPr>
        <w:t>fluxo</w:t>
      </w:r>
      <w:r>
        <w:rPr>
          <w:spacing w:val="-5"/>
          <w:sz w:val="23"/>
        </w:rPr>
        <w:t> </w:t>
      </w:r>
      <w:r>
        <w:rPr>
          <w:sz w:val="23"/>
        </w:rPr>
        <w:t>entre</w:t>
      </w:r>
      <w:r>
        <w:rPr>
          <w:spacing w:val="-8"/>
          <w:sz w:val="23"/>
        </w:rPr>
        <w:t> </w:t>
      </w:r>
      <w:r>
        <w:rPr>
          <w:sz w:val="23"/>
        </w:rPr>
        <w:t>100</w:t>
      </w:r>
      <w:r>
        <w:rPr>
          <w:spacing w:val="-4"/>
          <w:sz w:val="23"/>
        </w:rPr>
        <w:t> </w:t>
      </w:r>
      <w:r>
        <w:rPr>
          <w:spacing w:val="-10"/>
          <w:sz w:val="23"/>
        </w:rPr>
        <w:t>e</w:t>
      </w:r>
    </w:p>
    <w:p>
      <w:pPr>
        <w:pStyle w:val="ListParagraph"/>
        <w:spacing w:after="0" w:line="240" w:lineRule="auto"/>
        <w:jc w:val="both"/>
        <w:rPr>
          <w:sz w:val="23"/>
        </w:rPr>
        <w:sectPr>
          <w:pgSz w:w="11900" w:h="16840"/>
          <w:pgMar w:top="280" w:bottom="280" w:left="566" w:right="141"/>
        </w:sectPr>
      </w:pPr>
    </w:p>
    <w:p>
      <w:pPr>
        <w:pStyle w:val="BodyText"/>
        <w:spacing w:line="280" w:lineRule="auto" w:before="76"/>
        <w:ind w:right="497" w:firstLine="0"/>
      </w:pPr>
      <w:r>
        <w:rPr/>
        <w:t>500</w:t>
      </w:r>
      <w:r>
        <w:rPr>
          <w:spacing w:val="-4"/>
        </w:rPr>
        <w:t> </w:t>
      </w:r>
      <w:r>
        <w:rPr/>
        <w:t>m</w:t>
      </w:r>
      <w:r>
        <w:rPr>
          <w:spacing w:val="-15"/>
        </w:rPr>
        <w:t> </w:t>
      </w:r>
      <w:r>
        <w:rPr>
          <w:i/>
        </w:rPr>
        <w:t>ℓ</w:t>
      </w:r>
      <w:r>
        <w:rPr>
          <w:i/>
          <w:spacing w:val="-14"/>
        </w:rPr>
        <w:t> </w:t>
      </w:r>
      <w:r>
        <w:rPr/>
        <w:t>/min, para manter pressão de perfusão entre 15 e 25 mmHg. Apesar de toda controvérsia, essa técnica confere</w:t>
      </w:r>
      <w:r>
        <w:rPr>
          <w:spacing w:val="-2"/>
        </w:rPr>
        <w:t> </w:t>
      </w:r>
      <w:r>
        <w:rPr/>
        <w:t>benefício adicional de</w:t>
      </w:r>
      <w:r>
        <w:rPr>
          <w:spacing w:val="-2"/>
        </w:rPr>
        <w:t> </w:t>
      </w:r>
      <w:r>
        <w:rPr/>
        <w:t>proteção cerebral pela</w:t>
      </w:r>
      <w:r>
        <w:rPr>
          <w:spacing w:val="-2"/>
        </w:rPr>
        <w:t> </w:t>
      </w:r>
      <w:r>
        <w:rPr/>
        <w:t>possibilidade</w:t>
      </w:r>
      <w:r>
        <w:rPr>
          <w:spacing w:val="-2"/>
        </w:rPr>
        <w:t> </w:t>
      </w:r>
      <w:r>
        <w:rPr/>
        <w:t>de</w:t>
      </w:r>
      <w:r>
        <w:rPr>
          <w:spacing w:val="-2"/>
        </w:rPr>
        <w:t> </w:t>
      </w:r>
      <w:r>
        <w:rPr/>
        <w:t>retirada</w:t>
      </w:r>
      <w:r>
        <w:rPr>
          <w:spacing w:val="-2"/>
        </w:rPr>
        <w:t> </w:t>
      </w:r>
      <w:r>
        <w:rPr/>
        <w:t>de</w:t>
      </w:r>
      <w:r>
        <w:rPr>
          <w:spacing w:val="-2"/>
        </w:rPr>
        <w:t> </w:t>
      </w:r>
      <w:r>
        <w:rPr/>
        <w:t>debris embólicos, manutenção da hipotermia cerebral e pelo fato de conferir parcial suporte metabólico e de perfusão, estendendo por um pequeno período a segurança de tempo para se atuar no arco aórtico</w:t>
      </w:r>
      <w:r>
        <w:rPr>
          <w:vertAlign w:val="superscript"/>
        </w:rPr>
        <w:t>5</w:t>
      </w:r>
      <w:r>
        <w:rPr>
          <w:vertAlign w:val="superscript"/>
        </w:rPr>
        <w:t>9</w:t>
      </w:r>
    </w:p>
    <w:p>
      <w:pPr>
        <w:pStyle w:val="ListParagraph"/>
        <w:numPr>
          <w:ilvl w:val="0"/>
          <w:numId w:val="26"/>
        </w:numPr>
        <w:tabs>
          <w:tab w:pos="451" w:val="left" w:leader="none"/>
        </w:tabs>
        <w:spacing w:line="280" w:lineRule="auto" w:before="12" w:after="0"/>
        <w:ind w:left="68" w:right="489" w:firstLine="0"/>
        <w:jc w:val="both"/>
        <w:rPr>
          <w:sz w:val="23"/>
        </w:rPr>
      </w:pPr>
      <w:r>
        <w:rPr>
          <w:sz w:val="23"/>
        </w:rPr>
        <w:t>Perfusão anterógrada seletiva pelo tronco braquiocefálico, ou artéria subclávia direita e carótida esquerda associada a hipotermia moderada (25°C a 28°C), é hoje o método mais efetivo de proteção cerebral, pois propicia “tempo ilimitado” de parada circulatória sistêmica, perfusão cerebral contínua com pressão entre 50 e 70 mmHg, resfriamento</w:t>
      </w:r>
      <w:r>
        <w:rPr>
          <w:spacing w:val="-15"/>
          <w:sz w:val="23"/>
        </w:rPr>
        <w:t> </w:t>
      </w:r>
      <w:r>
        <w:rPr>
          <w:sz w:val="23"/>
        </w:rPr>
        <w:t>cerebral</w:t>
      </w:r>
      <w:r>
        <w:rPr>
          <w:spacing w:val="-11"/>
          <w:sz w:val="23"/>
        </w:rPr>
        <w:t> </w:t>
      </w:r>
      <w:r>
        <w:rPr>
          <w:sz w:val="23"/>
        </w:rPr>
        <w:t>homogêneo</w:t>
      </w:r>
      <w:r>
        <w:rPr>
          <w:spacing w:val="-14"/>
          <w:sz w:val="23"/>
        </w:rPr>
        <w:t> </w:t>
      </w:r>
      <w:r>
        <w:rPr>
          <w:sz w:val="23"/>
        </w:rPr>
        <w:t>em</w:t>
      </w:r>
      <w:r>
        <w:rPr>
          <w:spacing w:val="-14"/>
          <w:sz w:val="23"/>
        </w:rPr>
        <w:t> </w:t>
      </w:r>
      <w:r>
        <w:rPr>
          <w:sz w:val="23"/>
        </w:rPr>
        <w:t>hipotermia</w:t>
      </w:r>
      <w:r>
        <w:rPr>
          <w:spacing w:val="-15"/>
          <w:sz w:val="23"/>
        </w:rPr>
        <w:t> </w:t>
      </w:r>
      <w:r>
        <w:rPr>
          <w:sz w:val="23"/>
        </w:rPr>
        <w:t>moderada,</w:t>
      </w:r>
      <w:r>
        <w:rPr>
          <w:spacing w:val="-6"/>
          <w:sz w:val="23"/>
        </w:rPr>
        <w:t> </w:t>
      </w:r>
      <w:r>
        <w:rPr>
          <w:sz w:val="23"/>
        </w:rPr>
        <w:t>menor</w:t>
      </w:r>
      <w:r>
        <w:rPr>
          <w:spacing w:val="-9"/>
          <w:sz w:val="23"/>
        </w:rPr>
        <w:t> </w:t>
      </w:r>
      <w:r>
        <w:rPr>
          <w:sz w:val="23"/>
        </w:rPr>
        <w:t>incidência</w:t>
      </w:r>
      <w:r>
        <w:rPr>
          <w:spacing w:val="-15"/>
          <w:sz w:val="23"/>
        </w:rPr>
        <w:t> </w:t>
      </w:r>
      <w:r>
        <w:rPr>
          <w:sz w:val="23"/>
        </w:rPr>
        <w:t>de</w:t>
      </w:r>
      <w:r>
        <w:rPr>
          <w:spacing w:val="-14"/>
          <w:sz w:val="23"/>
        </w:rPr>
        <w:t> </w:t>
      </w:r>
      <w:r>
        <w:rPr>
          <w:sz w:val="23"/>
        </w:rPr>
        <w:t>desordens</w:t>
      </w:r>
      <w:r>
        <w:rPr>
          <w:spacing w:val="-6"/>
          <w:sz w:val="23"/>
        </w:rPr>
        <w:t> </w:t>
      </w:r>
      <w:r>
        <w:rPr>
          <w:sz w:val="23"/>
        </w:rPr>
        <w:t>neurológicas</w:t>
      </w:r>
      <w:r>
        <w:rPr>
          <w:spacing w:val="-6"/>
          <w:sz w:val="23"/>
        </w:rPr>
        <w:t> </w:t>
      </w:r>
      <w:r>
        <w:rPr>
          <w:sz w:val="23"/>
        </w:rPr>
        <w:t>transitórias e definitivas, tornando possível qualquer tipo de intervenção sobre o arco aórtico.</w:t>
      </w:r>
      <w:r>
        <w:rPr>
          <w:sz w:val="23"/>
          <w:vertAlign w:val="superscript"/>
        </w:rPr>
        <w:t>60</w:t>
      </w:r>
    </w:p>
    <w:p>
      <w:pPr>
        <w:pStyle w:val="BodyText"/>
        <w:spacing w:line="276" w:lineRule="auto" w:before="231"/>
        <w:ind w:right="491"/>
      </w:pPr>
      <w:r>
        <w:rPr/>
        <w:t>As operações do arco aórtico possibilitam sua substituição completa com o reimplante dos vasos da base em ilha</w:t>
      </w:r>
      <w:r>
        <w:rPr>
          <w:spacing w:val="-11"/>
        </w:rPr>
        <w:t> </w:t>
      </w:r>
      <w:r>
        <w:rPr/>
        <w:t>ou</w:t>
      </w:r>
      <w:r>
        <w:rPr>
          <w:spacing w:val="-8"/>
        </w:rPr>
        <w:t> </w:t>
      </w:r>
      <w:r>
        <w:rPr/>
        <w:t>ramo</w:t>
      </w:r>
      <w:r>
        <w:rPr>
          <w:spacing w:val="-8"/>
        </w:rPr>
        <w:t> </w:t>
      </w:r>
      <w:r>
        <w:rPr/>
        <w:t>a</w:t>
      </w:r>
      <w:r>
        <w:rPr>
          <w:spacing w:val="-11"/>
        </w:rPr>
        <w:t> </w:t>
      </w:r>
      <w:r>
        <w:rPr/>
        <w:t>ramo</w:t>
      </w:r>
      <w:r>
        <w:rPr>
          <w:spacing w:val="-8"/>
        </w:rPr>
        <w:t> </w:t>
      </w:r>
      <w:r>
        <w:rPr/>
        <w:t>(</w:t>
      </w:r>
      <w:r>
        <w:rPr>
          <w:color w:val="505050"/>
        </w:rPr>
        <w:t>Figura</w:t>
      </w:r>
      <w:r>
        <w:rPr>
          <w:color w:val="505050"/>
          <w:spacing w:val="-11"/>
        </w:rPr>
        <w:t> </w:t>
      </w:r>
      <w:r>
        <w:rPr>
          <w:color w:val="505050"/>
        </w:rPr>
        <w:t>58.9</w:t>
      </w:r>
      <w:r>
        <w:rPr/>
        <w:t>). Mais recentemente, com</w:t>
      </w:r>
      <w:r>
        <w:rPr>
          <w:spacing w:val="-7"/>
        </w:rPr>
        <w:t> </w:t>
      </w:r>
      <w:r>
        <w:rPr/>
        <w:t>o</w:t>
      </w:r>
      <w:r>
        <w:rPr>
          <w:spacing w:val="-7"/>
        </w:rPr>
        <w:t> </w:t>
      </w:r>
      <w:r>
        <w:rPr/>
        <w:t>avanço</w:t>
      </w:r>
      <w:r>
        <w:rPr>
          <w:spacing w:val="-7"/>
        </w:rPr>
        <w:t> </w:t>
      </w:r>
      <w:r>
        <w:rPr/>
        <w:t>das técnicas endovasculares de</w:t>
      </w:r>
      <w:r>
        <w:rPr>
          <w:spacing w:val="-10"/>
        </w:rPr>
        <w:t> </w:t>
      </w:r>
      <w:r>
        <w:rPr/>
        <w:t>tratamento</w:t>
      </w:r>
      <w:r>
        <w:rPr>
          <w:spacing w:val="-7"/>
        </w:rPr>
        <w:t> </w:t>
      </w:r>
      <w:r>
        <w:rPr/>
        <w:t>das doenças da aorta, esse segmento da aorta pode ser revestido internamente por uma endoprótese, e seus ramos ligados proximalmente</w:t>
      </w:r>
      <w:r>
        <w:rPr>
          <w:spacing w:val="-8"/>
        </w:rPr>
        <w:t> </w:t>
      </w:r>
      <w:r>
        <w:rPr/>
        <w:t>após a</w:t>
      </w:r>
      <w:r>
        <w:rPr>
          <w:spacing w:val="-8"/>
        </w:rPr>
        <w:t> </w:t>
      </w:r>
      <w:r>
        <w:rPr/>
        <w:t>revascularização</w:t>
      </w:r>
      <w:r>
        <w:rPr>
          <w:spacing w:val="-6"/>
        </w:rPr>
        <w:t> </w:t>
      </w:r>
      <w:r>
        <w:rPr/>
        <w:t>individualizada</w:t>
      </w:r>
      <w:r>
        <w:rPr>
          <w:spacing w:val="-8"/>
        </w:rPr>
        <w:t> </w:t>
      </w:r>
      <w:r>
        <w:rPr/>
        <w:t>dos mesmos por enxerto</w:t>
      </w:r>
      <w:r>
        <w:rPr>
          <w:spacing w:val="-6"/>
        </w:rPr>
        <w:t> </w:t>
      </w:r>
      <w:r>
        <w:rPr/>
        <w:t>protético</w:t>
      </w:r>
      <w:r>
        <w:rPr>
          <w:spacing w:val="-6"/>
        </w:rPr>
        <w:t> </w:t>
      </w:r>
      <w:r>
        <w:rPr/>
        <w:t>anastomosado</w:t>
      </w:r>
      <w:r>
        <w:rPr>
          <w:spacing w:val="-6"/>
        </w:rPr>
        <w:t> </w:t>
      </w:r>
      <w:r>
        <w:rPr/>
        <w:t>na aorta ascendente.</w:t>
      </w:r>
    </w:p>
    <w:p>
      <w:pPr>
        <w:pStyle w:val="BodyText"/>
        <w:spacing w:before="8"/>
        <w:ind w:left="0" w:firstLine="0"/>
        <w:jc w:val="left"/>
      </w:pPr>
    </w:p>
    <w:p>
      <w:pPr>
        <w:pStyle w:val="Heading7"/>
        <w:jc w:val="both"/>
      </w:pPr>
      <w:r>
        <w:rPr>
          <w:color w:val="242B67"/>
        </w:rPr>
        <w:t>Cirurgias na aorta descendente ou </w:t>
      </w:r>
      <w:r>
        <w:rPr>
          <w:color w:val="242B67"/>
          <w:spacing w:val="-2"/>
        </w:rPr>
        <w:t>toracoabdominal</w:t>
      </w:r>
    </w:p>
    <w:p>
      <w:pPr>
        <w:pStyle w:val="BodyText"/>
        <w:spacing w:line="276" w:lineRule="auto" w:before="143"/>
        <w:ind w:right="491"/>
      </w:pPr>
      <w:r>
        <w:rPr/>
        <w:t>As operações sobre esse segmento da aorta apresentam morbimortalidade elevada, principalmente em função das complicações relacionadas com a isquemia medular.</w:t>
      </w:r>
    </w:p>
    <w:p>
      <w:pPr>
        <w:pStyle w:val="BodyText"/>
        <w:spacing w:before="48"/>
        <w:ind w:left="414" w:firstLine="0"/>
        <w:jc w:val="left"/>
      </w:pPr>
      <w:r>
        <w:rPr/>
        <w:t>A</w:t>
      </w:r>
      <w:r>
        <w:rPr>
          <w:spacing w:val="-12"/>
        </w:rPr>
        <w:t> </w:t>
      </w:r>
      <w:r>
        <w:rPr/>
        <w:t>isquemia</w:t>
      </w:r>
      <w:r>
        <w:rPr>
          <w:spacing w:val="-11"/>
        </w:rPr>
        <w:t> </w:t>
      </w:r>
      <w:r>
        <w:rPr/>
        <w:t>medular</w:t>
      </w:r>
      <w:r>
        <w:rPr>
          <w:spacing w:val="-4"/>
        </w:rPr>
        <w:t> </w:t>
      </w:r>
      <w:r>
        <w:rPr/>
        <w:t>pode</w:t>
      </w:r>
      <w:r>
        <w:rPr>
          <w:spacing w:val="-11"/>
        </w:rPr>
        <w:t> </w:t>
      </w:r>
      <w:r>
        <w:rPr/>
        <w:t>ocorrer</w:t>
      </w:r>
      <w:r>
        <w:rPr>
          <w:spacing w:val="-4"/>
        </w:rPr>
        <w:t> </w:t>
      </w:r>
      <w:r>
        <w:rPr/>
        <w:t>em</w:t>
      </w:r>
      <w:r>
        <w:rPr>
          <w:spacing w:val="-9"/>
        </w:rPr>
        <w:t> </w:t>
      </w:r>
      <w:r>
        <w:rPr/>
        <w:t>três</w:t>
      </w:r>
      <w:r>
        <w:rPr>
          <w:spacing w:val="-1"/>
        </w:rPr>
        <w:t> </w:t>
      </w:r>
      <w:r>
        <w:rPr/>
        <w:t>períodos</w:t>
      </w:r>
      <w:r>
        <w:rPr>
          <w:spacing w:val="-1"/>
        </w:rPr>
        <w:t> </w:t>
      </w:r>
      <w:r>
        <w:rPr>
          <w:spacing w:val="-2"/>
        </w:rPr>
        <w:t>distintos:</w:t>
      </w:r>
    </w:p>
    <w:p>
      <w:pPr>
        <w:pStyle w:val="ListParagraph"/>
        <w:numPr>
          <w:ilvl w:val="0"/>
          <w:numId w:val="26"/>
        </w:numPr>
        <w:tabs>
          <w:tab w:pos="399" w:val="left" w:leader="none"/>
        </w:tabs>
        <w:spacing w:line="280" w:lineRule="auto" w:before="200" w:after="0"/>
        <w:ind w:left="68" w:right="489" w:firstLine="0"/>
        <w:jc w:val="both"/>
        <w:rPr>
          <w:sz w:val="23"/>
        </w:rPr>
      </w:pPr>
      <w:r>
        <w:rPr>
          <w:sz w:val="23"/>
        </w:rPr>
        <w:t>Durante</w:t>
      </w:r>
      <w:r>
        <w:rPr>
          <w:spacing w:val="-9"/>
          <w:sz w:val="23"/>
        </w:rPr>
        <w:t> </w:t>
      </w:r>
      <w:r>
        <w:rPr>
          <w:sz w:val="23"/>
        </w:rPr>
        <w:t>o</w:t>
      </w:r>
      <w:r>
        <w:rPr>
          <w:spacing w:val="-6"/>
          <w:sz w:val="23"/>
        </w:rPr>
        <w:t> </w:t>
      </w:r>
      <w:r>
        <w:rPr>
          <w:sz w:val="23"/>
        </w:rPr>
        <w:t>clampeamento</w:t>
      </w:r>
      <w:r>
        <w:rPr>
          <w:spacing w:val="-6"/>
          <w:sz w:val="23"/>
        </w:rPr>
        <w:t> </w:t>
      </w:r>
      <w:r>
        <w:rPr>
          <w:sz w:val="23"/>
        </w:rPr>
        <w:t>da</w:t>
      </w:r>
      <w:r>
        <w:rPr>
          <w:spacing w:val="-9"/>
          <w:sz w:val="23"/>
        </w:rPr>
        <w:t> </w:t>
      </w:r>
      <w:r>
        <w:rPr>
          <w:sz w:val="23"/>
        </w:rPr>
        <w:t>aorta</w:t>
      </w:r>
      <w:r>
        <w:rPr>
          <w:spacing w:val="-9"/>
          <w:sz w:val="23"/>
        </w:rPr>
        <w:t> </w:t>
      </w:r>
      <w:r>
        <w:rPr>
          <w:sz w:val="23"/>
        </w:rPr>
        <w:t>descendente. Nesse</w:t>
      </w:r>
      <w:r>
        <w:rPr>
          <w:spacing w:val="-9"/>
          <w:sz w:val="23"/>
        </w:rPr>
        <w:t> </w:t>
      </w:r>
      <w:r>
        <w:rPr>
          <w:sz w:val="23"/>
        </w:rPr>
        <w:t>período</w:t>
      </w:r>
      <w:r>
        <w:rPr>
          <w:spacing w:val="-6"/>
          <w:sz w:val="23"/>
        </w:rPr>
        <w:t> </w:t>
      </w:r>
      <w:r>
        <w:rPr>
          <w:sz w:val="23"/>
        </w:rPr>
        <w:t>ocorre</w:t>
      </w:r>
      <w:r>
        <w:rPr>
          <w:spacing w:val="-9"/>
          <w:sz w:val="23"/>
        </w:rPr>
        <w:t> </w:t>
      </w:r>
      <w:r>
        <w:rPr>
          <w:sz w:val="23"/>
        </w:rPr>
        <w:t>um</w:t>
      </w:r>
      <w:r>
        <w:rPr>
          <w:spacing w:val="-6"/>
          <w:sz w:val="23"/>
        </w:rPr>
        <w:t> </w:t>
      </w:r>
      <w:r>
        <w:rPr>
          <w:sz w:val="23"/>
        </w:rPr>
        <w:t>aumento</w:t>
      </w:r>
      <w:r>
        <w:rPr>
          <w:spacing w:val="-6"/>
          <w:sz w:val="23"/>
        </w:rPr>
        <w:t> </w:t>
      </w:r>
      <w:r>
        <w:rPr>
          <w:sz w:val="23"/>
        </w:rPr>
        <w:t>súbito</w:t>
      </w:r>
      <w:r>
        <w:rPr>
          <w:spacing w:val="-6"/>
          <w:sz w:val="23"/>
        </w:rPr>
        <w:t> </w:t>
      </w:r>
      <w:r>
        <w:rPr>
          <w:sz w:val="23"/>
        </w:rPr>
        <w:t>da</w:t>
      </w:r>
      <w:r>
        <w:rPr>
          <w:spacing w:val="-9"/>
          <w:sz w:val="23"/>
        </w:rPr>
        <w:t> </w:t>
      </w:r>
      <w:r>
        <w:rPr>
          <w:sz w:val="23"/>
        </w:rPr>
        <w:t>pós-carga, que</w:t>
      </w:r>
      <w:r>
        <w:rPr>
          <w:spacing w:val="-9"/>
          <w:sz w:val="23"/>
        </w:rPr>
        <w:t> </w:t>
      </w:r>
      <w:r>
        <w:rPr>
          <w:sz w:val="23"/>
        </w:rPr>
        <w:t>pode ser prejudicial à função ventricular esquerda, aumento da pressão do liquor cefalorraquidiano, em função da estimulação dos barorreceptores aórticos e hipertensão no cérebro, e hipotensão acentuada dos territórios situados distalmente ao clampe da aorta. Após 30 min, o risco de paraplegia acentua-se rapidamente.</w:t>
      </w:r>
      <w:r>
        <w:rPr>
          <w:sz w:val="23"/>
          <w:vertAlign w:val="superscript"/>
        </w:rPr>
        <w:t>61</w:t>
      </w:r>
      <w:r>
        <w:rPr>
          <w:sz w:val="23"/>
          <w:vertAlign w:val="baseline"/>
        </w:rPr>
        <w:t> As medidas a serem tomadas durante esse período, que reduzirão a incidência de paraplegia, são: drenagem liquórica, a fim de manter pressão do liquor em torno de 10 mmHg, assistência circulatória esquerda, átrio esquerdo, aorta distal com fluxo entre</w:t>
      </w:r>
      <w:r>
        <w:rPr>
          <w:spacing w:val="-3"/>
          <w:sz w:val="23"/>
          <w:vertAlign w:val="baseline"/>
        </w:rPr>
        <w:t> </w:t>
      </w:r>
      <w:r>
        <w:rPr>
          <w:sz w:val="23"/>
          <w:vertAlign w:val="baseline"/>
        </w:rPr>
        <w:t>1.500 e</w:t>
      </w:r>
      <w:r>
        <w:rPr>
          <w:spacing w:val="-3"/>
          <w:sz w:val="23"/>
          <w:vertAlign w:val="baseline"/>
        </w:rPr>
        <w:t> </w:t>
      </w:r>
      <w:r>
        <w:rPr>
          <w:sz w:val="23"/>
          <w:vertAlign w:val="baseline"/>
        </w:rPr>
        <w:t>2.500 m</w:t>
      </w:r>
      <w:r>
        <w:rPr>
          <w:i/>
          <w:sz w:val="23"/>
          <w:vertAlign w:val="baseline"/>
        </w:rPr>
        <w:t>ℓ</w:t>
      </w:r>
      <w:r>
        <w:rPr>
          <w:sz w:val="23"/>
          <w:vertAlign w:val="baseline"/>
        </w:rPr>
        <w:t>/min, para manter pressão de perfusão distal em torno de 70 mmHg, e hipotermia moderada </w:t>
      </w:r>
      <w:r>
        <w:rPr>
          <w:spacing w:val="-2"/>
          <w:sz w:val="23"/>
          <w:vertAlign w:val="baseline"/>
        </w:rPr>
        <w:t>(32°C)</w:t>
      </w:r>
      <w:r>
        <w:rPr>
          <w:spacing w:val="-2"/>
          <w:sz w:val="23"/>
          <w:vertAlign w:val="superscript"/>
        </w:rPr>
        <w:t>62</w:t>
      </w:r>
    </w:p>
    <w:p>
      <w:pPr>
        <w:pStyle w:val="BodyText"/>
        <w:spacing w:before="29"/>
        <w:ind w:left="0" w:firstLine="0"/>
        <w:jc w:val="left"/>
        <w:rPr>
          <w:sz w:val="20"/>
        </w:rPr>
      </w:pPr>
      <w:r>
        <w:rPr>
          <w:sz w:val="20"/>
        </w:rPr>
        <w:drawing>
          <wp:anchor distT="0" distB="0" distL="0" distR="0" allowOverlap="1" layoutInCell="1" locked="0" behindDoc="1" simplePos="0" relativeHeight="487612416">
            <wp:simplePos x="0" y="0"/>
            <wp:positionH relativeFrom="page">
              <wp:posOffset>1286408</wp:posOffset>
            </wp:positionH>
            <wp:positionV relativeFrom="paragraph">
              <wp:posOffset>179863</wp:posOffset>
            </wp:positionV>
            <wp:extent cx="5004156" cy="1854898"/>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30" cstate="print"/>
                    <a:stretch>
                      <a:fillRect/>
                    </a:stretch>
                  </pic:blipFill>
                  <pic:spPr>
                    <a:xfrm>
                      <a:off x="0" y="0"/>
                      <a:ext cx="5004156" cy="1854898"/>
                    </a:xfrm>
                    <a:prstGeom prst="rect">
                      <a:avLst/>
                    </a:prstGeom>
                  </pic:spPr>
                </pic:pic>
              </a:graphicData>
            </a:graphic>
          </wp:anchor>
        </w:drawing>
      </w:r>
    </w:p>
    <w:p>
      <w:pPr>
        <w:pStyle w:val="BodyText"/>
        <w:spacing w:before="2"/>
        <w:ind w:left="0" w:firstLine="0"/>
        <w:jc w:val="left"/>
      </w:pPr>
    </w:p>
    <w:p>
      <w:pPr>
        <w:spacing w:line="283" w:lineRule="auto" w:before="0"/>
        <w:ind w:left="68" w:right="508" w:firstLine="0"/>
        <w:jc w:val="both"/>
        <w:rPr>
          <w:rFonts w:ascii="Microsoft Sans Serif" w:hAnsi="Microsoft Sans Serif"/>
          <w:sz w:val="19"/>
        </w:rPr>
      </w:pPr>
      <w:r>
        <w:rPr>
          <w:rFonts w:ascii="Arial" w:hAnsi="Arial"/>
          <w:b/>
          <w:color w:val="242B67"/>
          <w:sz w:val="19"/>
        </w:rPr>
        <w:t>Figura 58.9 </w:t>
      </w:r>
      <w:r>
        <w:rPr>
          <w:rFonts w:ascii="Arial" w:hAnsi="Arial"/>
          <w:b/>
          <w:sz w:val="19"/>
        </w:rPr>
        <w:t>A. </w:t>
      </w:r>
      <w:r>
        <w:rPr>
          <w:rFonts w:ascii="Microsoft Sans Serif" w:hAnsi="Microsoft Sans Serif"/>
          <w:sz w:val="19"/>
        </w:rPr>
        <w:t>Fotografia intraoperatória do aneurisma de arco aórtico sendo aberto para correção cirúrgica (observar a grande quantidade de trombo e placas de cálcio caracterizando a doença aterosclerótica avançada). </w:t>
      </w:r>
      <w:r>
        <w:rPr>
          <w:rFonts w:ascii="Arial" w:hAnsi="Arial"/>
          <w:b/>
          <w:sz w:val="19"/>
        </w:rPr>
        <w:t>B. </w:t>
      </w:r>
      <w:r>
        <w:rPr>
          <w:rFonts w:ascii="Microsoft Sans Serif" w:hAnsi="Microsoft Sans Serif"/>
          <w:sz w:val="19"/>
        </w:rPr>
        <w:t>Aspecto final da substituição</w:t>
      </w:r>
      <w:r>
        <w:rPr>
          <w:rFonts w:ascii="Microsoft Sans Serif" w:hAnsi="Microsoft Sans Serif"/>
          <w:spacing w:val="21"/>
          <w:sz w:val="19"/>
        </w:rPr>
        <w:t> </w:t>
      </w:r>
      <w:r>
        <w:rPr>
          <w:rFonts w:ascii="Microsoft Sans Serif" w:hAnsi="Microsoft Sans Serif"/>
          <w:sz w:val="19"/>
        </w:rPr>
        <w:t>do</w:t>
      </w:r>
      <w:r>
        <w:rPr>
          <w:rFonts w:ascii="Microsoft Sans Serif" w:hAnsi="Microsoft Sans Serif"/>
          <w:spacing w:val="21"/>
          <w:sz w:val="19"/>
        </w:rPr>
        <w:t> </w:t>
      </w:r>
      <w:r>
        <w:rPr>
          <w:rFonts w:ascii="Microsoft Sans Serif" w:hAnsi="Microsoft Sans Serif"/>
          <w:sz w:val="19"/>
        </w:rPr>
        <w:t>arco</w:t>
      </w:r>
      <w:r>
        <w:rPr>
          <w:rFonts w:ascii="Microsoft Sans Serif" w:hAnsi="Microsoft Sans Serif"/>
          <w:spacing w:val="21"/>
          <w:sz w:val="19"/>
        </w:rPr>
        <w:t> </w:t>
      </w:r>
      <w:r>
        <w:rPr>
          <w:rFonts w:ascii="Microsoft Sans Serif" w:hAnsi="Microsoft Sans Serif"/>
          <w:sz w:val="19"/>
        </w:rPr>
        <w:t>aórtico</w:t>
      </w:r>
      <w:r>
        <w:rPr>
          <w:rFonts w:ascii="Microsoft Sans Serif" w:hAnsi="Microsoft Sans Serif"/>
          <w:spacing w:val="21"/>
          <w:sz w:val="19"/>
        </w:rPr>
        <w:t> </w:t>
      </w:r>
      <w:r>
        <w:rPr>
          <w:rFonts w:ascii="Microsoft Sans Serif" w:hAnsi="Microsoft Sans Serif"/>
          <w:sz w:val="19"/>
        </w:rPr>
        <w:t>por</w:t>
      </w:r>
      <w:r>
        <w:rPr>
          <w:rFonts w:ascii="Microsoft Sans Serif" w:hAnsi="Microsoft Sans Serif"/>
          <w:spacing w:val="15"/>
          <w:sz w:val="19"/>
        </w:rPr>
        <w:t> </w:t>
      </w:r>
      <w:r>
        <w:rPr>
          <w:rFonts w:ascii="Microsoft Sans Serif" w:hAnsi="Microsoft Sans Serif"/>
          <w:sz w:val="19"/>
        </w:rPr>
        <w:t>enxerto</w:t>
      </w:r>
      <w:r>
        <w:rPr>
          <w:rFonts w:ascii="Microsoft Sans Serif" w:hAnsi="Microsoft Sans Serif"/>
          <w:spacing w:val="21"/>
          <w:sz w:val="19"/>
        </w:rPr>
        <w:t> </w:t>
      </w:r>
      <w:r>
        <w:rPr>
          <w:rFonts w:ascii="Microsoft Sans Serif" w:hAnsi="Microsoft Sans Serif"/>
          <w:sz w:val="19"/>
        </w:rPr>
        <w:t>protético</w:t>
      </w:r>
      <w:r>
        <w:rPr>
          <w:rFonts w:ascii="Microsoft Sans Serif" w:hAnsi="Microsoft Sans Serif"/>
          <w:spacing w:val="21"/>
          <w:sz w:val="19"/>
        </w:rPr>
        <w:t> </w:t>
      </w:r>
      <w:r>
        <w:rPr>
          <w:rFonts w:ascii="Microsoft Sans Serif" w:hAnsi="Microsoft Sans Serif"/>
          <w:sz w:val="19"/>
        </w:rPr>
        <w:t>de</w:t>
      </w:r>
      <w:r>
        <w:rPr>
          <w:rFonts w:ascii="Microsoft Sans Serif" w:hAnsi="Microsoft Sans Serif"/>
          <w:spacing w:val="21"/>
          <w:sz w:val="19"/>
        </w:rPr>
        <w:t> </w:t>
      </w:r>
      <w:r>
        <w:rPr>
          <w:rFonts w:ascii="Microsoft Sans Serif" w:hAnsi="Microsoft Sans Serif"/>
          <w:sz w:val="19"/>
        </w:rPr>
        <w:t>poliéster</w:t>
      </w:r>
      <w:r>
        <w:rPr>
          <w:rFonts w:ascii="Microsoft Sans Serif" w:hAnsi="Microsoft Sans Serif"/>
          <w:spacing w:val="15"/>
          <w:sz w:val="19"/>
        </w:rPr>
        <w:t> </w:t>
      </w:r>
      <w:r>
        <w:rPr>
          <w:rFonts w:ascii="Microsoft Sans Serif" w:hAnsi="Microsoft Sans Serif"/>
          <w:sz w:val="19"/>
        </w:rPr>
        <w:t>com</w:t>
      </w:r>
      <w:r>
        <w:rPr>
          <w:rFonts w:ascii="Microsoft Sans Serif" w:hAnsi="Microsoft Sans Serif"/>
          <w:spacing w:val="15"/>
          <w:sz w:val="19"/>
        </w:rPr>
        <w:t> </w:t>
      </w:r>
      <w:r>
        <w:rPr>
          <w:rFonts w:ascii="Microsoft Sans Serif" w:hAnsi="Microsoft Sans Serif"/>
          <w:sz w:val="19"/>
        </w:rPr>
        <w:t>o</w:t>
      </w:r>
      <w:r>
        <w:rPr>
          <w:rFonts w:ascii="Microsoft Sans Serif" w:hAnsi="Microsoft Sans Serif"/>
          <w:spacing w:val="21"/>
          <w:sz w:val="19"/>
        </w:rPr>
        <w:t> </w:t>
      </w:r>
      <w:r>
        <w:rPr>
          <w:rFonts w:ascii="Microsoft Sans Serif" w:hAnsi="Microsoft Sans Serif"/>
          <w:sz w:val="19"/>
        </w:rPr>
        <w:t>reimplante</w:t>
      </w:r>
      <w:r>
        <w:rPr>
          <w:rFonts w:ascii="Microsoft Sans Serif" w:hAnsi="Microsoft Sans Serif"/>
          <w:spacing w:val="21"/>
          <w:sz w:val="19"/>
        </w:rPr>
        <w:t> </w:t>
      </w:r>
      <w:r>
        <w:rPr>
          <w:rFonts w:ascii="Microsoft Sans Serif" w:hAnsi="Microsoft Sans Serif"/>
          <w:sz w:val="19"/>
        </w:rPr>
        <w:t>dos</w:t>
      </w:r>
      <w:r>
        <w:rPr>
          <w:rFonts w:ascii="Microsoft Sans Serif" w:hAnsi="Microsoft Sans Serif"/>
          <w:spacing w:val="15"/>
          <w:sz w:val="19"/>
        </w:rPr>
        <w:t> </w:t>
      </w:r>
      <w:r>
        <w:rPr>
          <w:rFonts w:ascii="Microsoft Sans Serif" w:hAnsi="Microsoft Sans Serif"/>
          <w:sz w:val="19"/>
        </w:rPr>
        <w:t>vasos</w:t>
      </w:r>
      <w:r>
        <w:rPr>
          <w:rFonts w:ascii="Microsoft Sans Serif" w:hAnsi="Microsoft Sans Serif"/>
          <w:spacing w:val="15"/>
          <w:sz w:val="19"/>
        </w:rPr>
        <w:t> </w:t>
      </w:r>
      <w:r>
        <w:rPr>
          <w:rFonts w:ascii="Microsoft Sans Serif" w:hAnsi="Microsoft Sans Serif"/>
          <w:sz w:val="19"/>
        </w:rPr>
        <w:t>da</w:t>
      </w:r>
      <w:r>
        <w:rPr>
          <w:rFonts w:ascii="Microsoft Sans Serif" w:hAnsi="Microsoft Sans Serif"/>
          <w:spacing w:val="21"/>
          <w:sz w:val="19"/>
        </w:rPr>
        <w:t> </w:t>
      </w:r>
      <w:r>
        <w:rPr>
          <w:rFonts w:ascii="Microsoft Sans Serif" w:hAnsi="Microsoft Sans Serif"/>
          <w:sz w:val="19"/>
        </w:rPr>
        <w:t>base</w:t>
      </w:r>
      <w:r>
        <w:rPr>
          <w:rFonts w:ascii="Microsoft Sans Serif" w:hAnsi="Microsoft Sans Serif"/>
          <w:spacing w:val="21"/>
          <w:sz w:val="19"/>
        </w:rPr>
        <w:t> </w:t>
      </w:r>
      <w:r>
        <w:rPr>
          <w:rFonts w:ascii="Microsoft Sans Serif" w:hAnsi="Microsoft Sans Serif"/>
          <w:sz w:val="19"/>
        </w:rPr>
        <w:t>(tronco</w:t>
      </w:r>
      <w:r>
        <w:rPr>
          <w:rFonts w:ascii="Microsoft Sans Serif" w:hAnsi="Microsoft Sans Serif"/>
          <w:spacing w:val="21"/>
          <w:sz w:val="19"/>
        </w:rPr>
        <w:t> </w:t>
      </w:r>
      <w:r>
        <w:rPr>
          <w:rFonts w:ascii="Microsoft Sans Serif" w:hAnsi="Microsoft Sans Serif"/>
          <w:sz w:val="19"/>
        </w:rPr>
        <w:t>braquiocefálico e</w:t>
      </w:r>
      <w:r>
        <w:rPr>
          <w:rFonts w:ascii="Microsoft Sans Serif" w:hAnsi="Microsoft Sans Serif"/>
          <w:spacing w:val="40"/>
          <w:sz w:val="19"/>
        </w:rPr>
        <w:t> </w:t>
      </w:r>
      <w:r>
        <w:rPr>
          <w:rFonts w:ascii="Microsoft Sans Serif" w:hAnsi="Microsoft Sans Serif"/>
          <w:sz w:val="19"/>
        </w:rPr>
        <w:t>carótida</w:t>
      </w:r>
      <w:r>
        <w:rPr>
          <w:rFonts w:ascii="Microsoft Sans Serif" w:hAnsi="Microsoft Sans Serif"/>
          <w:spacing w:val="40"/>
          <w:sz w:val="19"/>
        </w:rPr>
        <w:t> </w:t>
      </w:r>
      <w:r>
        <w:rPr>
          <w:rFonts w:ascii="Microsoft Sans Serif" w:hAnsi="Microsoft Sans Serif"/>
          <w:sz w:val="19"/>
        </w:rPr>
        <w:t>esquerda</w:t>
      </w:r>
      <w:r>
        <w:rPr>
          <w:rFonts w:ascii="Microsoft Sans Serif" w:hAnsi="Microsoft Sans Serif"/>
          <w:spacing w:val="40"/>
          <w:sz w:val="19"/>
        </w:rPr>
        <w:t> </w:t>
      </w:r>
      <w:r>
        <w:rPr>
          <w:rFonts w:ascii="Microsoft Sans Serif" w:hAnsi="Microsoft Sans Serif"/>
          <w:sz w:val="19"/>
        </w:rPr>
        <w:t>anastomosados</w:t>
      </w:r>
      <w:r>
        <w:rPr>
          <w:rFonts w:ascii="Microsoft Sans Serif" w:hAnsi="Microsoft Sans Serif"/>
          <w:spacing w:val="33"/>
          <w:sz w:val="19"/>
        </w:rPr>
        <w:t> </w:t>
      </w:r>
      <w:r>
        <w:rPr>
          <w:rFonts w:ascii="Microsoft Sans Serif" w:hAnsi="Microsoft Sans Serif"/>
          <w:sz w:val="19"/>
        </w:rPr>
        <w:t>em</w:t>
      </w:r>
      <w:r>
        <w:rPr>
          <w:rFonts w:ascii="Microsoft Sans Serif" w:hAnsi="Microsoft Sans Serif"/>
          <w:spacing w:val="33"/>
          <w:sz w:val="19"/>
        </w:rPr>
        <w:t> </w:t>
      </w:r>
      <w:r>
        <w:rPr>
          <w:rFonts w:ascii="Microsoft Sans Serif" w:hAnsi="Microsoft Sans Serif"/>
          <w:sz w:val="19"/>
        </w:rPr>
        <w:t>enxerto</w:t>
      </w:r>
      <w:r>
        <w:rPr>
          <w:rFonts w:ascii="Microsoft Sans Serif" w:hAnsi="Microsoft Sans Serif"/>
          <w:spacing w:val="40"/>
          <w:sz w:val="19"/>
        </w:rPr>
        <w:t> </w:t>
      </w:r>
      <w:r>
        <w:rPr>
          <w:rFonts w:ascii="Microsoft Sans Serif" w:hAnsi="Microsoft Sans Serif"/>
          <w:sz w:val="19"/>
        </w:rPr>
        <w:t>bifurcado</w:t>
      </w:r>
      <w:r>
        <w:rPr>
          <w:rFonts w:ascii="Microsoft Sans Serif" w:hAnsi="Microsoft Sans Serif"/>
          <w:spacing w:val="40"/>
          <w:sz w:val="19"/>
        </w:rPr>
        <w:t> </w:t>
      </w:r>
      <w:r>
        <w:rPr>
          <w:rFonts w:ascii="Microsoft Sans Serif" w:hAnsi="Microsoft Sans Serif"/>
          <w:sz w:val="19"/>
        </w:rPr>
        <w:t>interposto</w:t>
      </w:r>
      <w:r>
        <w:rPr>
          <w:rFonts w:ascii="Microsoft Sans Serif" w:hAnsi="Microsoft Sans Serif"/>
          <w:spacing w:val="40"/>
          <w:sz w:val="19"/>
        </w:rPr>
        <w:t> </w:t>
      </w:r>
      <w:r>
        <w:rPr>
          <w:rFonts w:ascii="Microsoft Sans Serif" w:hAnsi="Microsoft Sans Serif"/>
          <w:sz w:val="19"/>
        </w:rPr>
        <w:t>na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ascendente).</w:t>
      </w:r>
    </w:p>
    <w:p>
      <w:pPr>
        <w:pStyle w:val="BodyText"/>
        <w:spacing w:before="71"/>
        <w:ind w:left="0" w:firstLine="0"/>
        <w:jc w:val="left"/>
        <w:rPr>
          <w:rFonts w:ascii="Microsoft Sans Serif"/>
          <w:sz w:val="19"/>
        </w:rPr>
      </w:pPr>
    </w:p>
    <w:p>
      <w:pPr>
        <w:pStyle w:val="ListParagraph"/>
        <w:numPr>
          <w:ilvl w:val="0"/>
          <w:numId w:val="26"/>
        </w:numPr>
        <w:tabs>
          <w:tab w:pos="411" w:val="left" w:leader="none"/>
        </w:tabs>
        <w:spacing w:line="276" w:lineRule="auto" w:before="0" w:after="0"/>
        <w:ind w:left="68" w:right="499" w:firstLine="0"/>
        <w:jc w:val="both"/>
        <w:rPr>
          <w:sz w:val="23"/>
        </w:rPr>
      </w:pPr>
      <w:r>
        <w:rPr>
          <w:sz w:val="23"/>
        </w:rPr>
        <w:t>Após a remoção do clampe, caso não sejam perfundidas as artérias espinais importantes. A lesão ocorrerá por manutenção da isquemia quando não houver o adequado reimplante das artérias intercostais ou associados aos fenômenos de lesão por reperfusão</w:t>
      </w:r>
    </w:p>
    <w:p>
      <w:pPr>
        <w:pStyle w:val="ListParagraph"/>
        <w:numPr>
          <w:ilvl w:val="0"/>
          <w:numId w:val="26"/>
        </w:numPr>
        <w:tabs>
          <w:tab w:pos="402" w:val="left" w:leader="none"/>
        </w:tabs>
        <w:spacing w:line="276" w:lineRule="auto" w:before="16" w:after="0"/>
        <w:ind w:left="68" w:right="502" w:firstLine="0"/>
        <w:jc w:val="both"/>
        <w:rPr>
          <w:sz w:val="23"/>
        </w:rPr>
      </w:pPr>
      <w:r>
        <w:rPr>
          <w:sz w:val="23"/>
        </w:rPr>
        <w:t>Paraplegia</w:t>
      </w:r>
      <w:r>
        <w:rPr>
          <w:spacing w:val="-5"/>
          <w:sz w:val="23"/>
        </w:rPr>
        <w:t> </w:t>
      </w:r>
      <w:r>
        <w:rPr>
          <w:sz w:val="23"/>
        </w:rPr>
        <w:t>no</w:t>
      </w:r>
      <w:r>
        <w:rPr>
          <w:spacing w:val="-3"/>
          <w:sz w:val="23"/>
        </w:rPr>
        <w:t> </w:t>
      </w:r>
      <w:r>
        <w:rPr>
          <w:sz w:val="23"/>
        </w:rPr>
        <w:t>pós-operatório</w:t>
      </w:r>
      <w:r>
        <w:rPr>
          <w:spacing w:val="-3"/>
          <w:sz w:val="23"/>
        </w:rPr>
        <w:t> </w:t>
      </w:r>
      <w:r>
        <w:rPr>
          <w:sz w:val="23"/>
        </w:rPr>
        <w:t>tardio. Fenômeno</w:t>
      </w:r>
      <w:r>
        <w:rPr>
          <w:spacing w:val="-3"/>
          <w:sz w:val="23"/>
        </w:rPr>
        <w:t> </w:t>
      </w:r>
      <w:r>
        <w:rPr>
          <w:sz w:val="23"/>
        </w:rPr>
        <w:t>que</w:t>
      </w:r>
      <w:r>
        <w:rPr>
          <w:spacing w:val="-5"/>
          <w:sz w:val="23"/>
        </w:rPr>
        <w:t> </w:t>
      </w:r>
      <w:r>
        <w:rPr>
          <w:sz w:val="23"/>
        </w:rPr>
        <w:t>pode</w:t>
      </w:r>
      <w:r>
        <w:rPr>
          <w:spacing w:val="-5"/>
          <w:sz w:val="23"/>
        </w:rPr>
        <w:t> </w:t>
      </w:r>
      <w:r>
        <w:rPr>
          <w:sz w:val="23"/>
        </w:rPr>
        <w:t>ocorrer desde</w:t>
      </w:r>
      <w:r>
        <w:rPr>
          <w:spacing w:val="-5"/>
          <w:sz w:val="23"/>
        </w:rPr>
        <w:t> </w:t>
      </w:r>
      <w:r>
        <w:rPr>
          <w:sz w:val="23"/>
        </w:rPr>
        <w:t>horas até</w:t>
      </w:r>
      <w:r>
        <w:rPr>
          <w:spacing w:val="-5"/>
          <w:sz w:val="23"/>
        </w:rPr>
        <w:t> </w:t>
      </w:r>
      <w:r>
        <w:rPr>
          <w:sz w:val="23"/>
        </w:rPr>
        <w:t>dias após a</w:t>
      </w:r>
      <w:r>
        <w:rPr>
          <w:spacing w:val="-5"/>
          <w:sz w:val="23"/>
        </w:rPr>
        <w:t> </w:t>
      </w:r>
      <w:r>
        <w:rPr>
          <w:sz w:val="23"/>
        </w:rPr>
        <w:t>correção</w:t>
      </w:r>
      <w:r>
        <w:rPr>
          <w:spacing w:val="-3"/>
          <w:sz w:val="23"/>
        </w:rPr>
        <w:t> </w:t>
      </w:r>
      <w:r>
        <w:rPr>
          <w:sz w:val="23"/>
        </w:rPr>
        <w:t>cirúrgica, e</w:t>
      </w:r>
      <w:r>
        <w:rPr>
          <w:spacing w:val="-4"/>
          <w:sz w:val="23"/>
        </w:rPr>
        <w:t> </w:t>
      </w:r>
      <w:r>
        <w:rPr>
          <w:sz w:val="23"/>
        </w:rPr>
        <w:t>que</w:t>
      </w:r>
      <w:r>
        <w:rPr>
          <w:spacing w:val="-4"/>
          <w:sz w:val="23"/>
        </w:rPr>
        <w:t> </w:t>
      </w:r>
      <w:r>
        <w:rPr>
          <w:sz w:val="23"/>
        </w:rPr>
        <w:t>está</w:t>
      </w:r>
      <w:r>
        <w:rPr>
          <w:spacing w:val="-4"/>
          <w:sz w:val="23"/>
        </w:rPr>
        <w:t> </w:t>
      </w:r>
      <w:r>
        <w:rPr>
          <w:sz w:val="23"/>
        </w:rPr>
        <w:t>relacionado</w:t>
      </w:r>
      <w:r>
        <w:rPr>
          <w:spacing w:val="-1"/>
          <w:sz w:val="23"/>
        </w:rPr>
        <w:t> </w:t>
      </w:r>
      <w:r>
        <w:rPr>
          <w:sz w:val="23"/>
        </w:rPr>
        <w:t>com</w:t>
      </w:r>
      <w:r>
        <w:rPr>
          <w:spacing w:val="-1"/>
          <w:sz w:val="23"/>
        </w:rPr>
        <w:t> </w:t>
      </w:r>
      <w:r>
        <w:rPr>
          <w:sz w:val="23"/>
        </w:rPr>
        <w:t>o</w:t>
      </w:r>
      <w:r>
        <w:rPr>
          <w:spacing w:val="-1"/>
          <w:sz w:val="23"/>
        </w:rPr>
        <w:t> </w:t>
      </w:r>
      <w:r>
        <w:rPr>
          <w:sz w:val="23"/>
        </w:rPr>
        <w:t>desequilíbrio</w:t>
      </w:r>
      <w:r>
        <w:rPr>
          <w:spacing w:val="-1"/>
          <w:sz w:val="23"/>
        </w:rPr>
        <w:t> </w:t>
      </w:r>
      <w:r>
        <w:rPr>
          <w:sz w:val="23"/>
        </w:rPr>
        <w:t>de</w:t>
      </w:r>
      <w:r>
        <w:rPr>
          <w:spacing w:val="-4"/>
          <w:sz w:val="23"/>
        </w:rPr>
        <w:t> </w:t>
      </w:r>
      <w:r>
        <w:rPr>
          <w:sz w:val="23"/>
        </w:rPr>
        <w:t>perfusão</w:t>
      </w:r>
      <w:r>
        <w:rPr>
          <w:spacing w:val="-1"/>
          <w:sz w:val="23"/>
        </w:rPr>
        <w:t> </w:t>
      </w:r>
      <w:r>
        <w:rPr>
          <w:sz w:val="23"/>
        </w:rPr>
        <w:t>medular em</w:t>
      </w:r>
      <w:r>
        <w:rPr>
          <w:spacing w:val="-1"/>
          <w:sz w:val="23"/>
        </w:rPr>
        <w:t> </w:t>
      </w:r>
      <w:r>
        <w:rPr>
          <w:sz w:val="23"/>
        </w:rPr>
        <w:t>função</w:t>
      </w:r>
      <w:r>
        <w:rPr>
          <w:spacing w:val="-1"/>
          <w:sz w:val="23"/>
        </w:rPr>
        <w:t> </w:t>
      </w:r>
      <w:r>
        <w:rPr>
          <w:sz w:val="23"/>
        </w:rPr>
        <w:t>de</w:t>
      </w:r>
      <w:r>
        <w:rPr>
          <w:spacing w:val="-4"/>
          <w:sz w:val="23"/>
        </w:rPr>
        <w:t> </w:t>
      </w:r>
      <w:r>
        <w:rPr>
          <w:sz w:val="23"/>
        </w:rPr>
        <w:t>circulação</w:t>
      </w:r>
      <w:r>
        <w:rPr>
          <w:spacing w:val="-1"/>
          <w:sz w:val="23"/>
        </w:rPr>
        <w:t> </w:t>
      </w:r>
      <w:r>
        <w:rPr>
          <w:sz w:val="23"/>
        </w:rPr>
        <w:t>colateral precária.</w:t>
      </w:r>
    </w:p>
    <w:p>
      <w:pPr>
        <w:pStyle w:val="BodyText"/>
        <w:spacing w:line="276" w:lineRule="auto" w:before="241"/>
        <w:ind w:right="488"/>
      </w:pPr>
      <w:r>
        <w:rPr/>
        <w:t>Cuidados específicos são</w:t>
      </w:r>
      <w:r>
        <w:rPr>
          <w:spacing w:val="-5"/>
        </w:rPr>
        <w:t> </w:t>
      </w:r>
      <w:r>
        <w:rPr/>
        <w:t>necessários durante</w:t>
      </w:r>
      <w:r>
        <w:rPr>
          <w:spacing w:val="-8"/>
        </w:rPr>
        <w:t> </w:t>
      </w:r>
      <w:r>
        <w:rPr/>
        <w:t>a</w:t>
      </w:r>
      <w:r>
        <w:rPr>
          <w:spacing w:val="-8"/>
        </w:rPr>
        <w:t> </w:t>
      </w:r>
      <w:r>
        <w:rPr/>
        <w:t>intervenção</w:t>
      </w:r>
      <w:r>
        <w:rPr>
          <w:spacing w:val="-5"/>
        </w:rPr>
        <w:t> </w:t>
      </w:r>
      <w:r>
        <w:rPr/>
        <w:t>cirúrgica</w:t>
      </w:r>
      <w:r>
        <w:rPr>
          <w:spacing w:val="-8"/>
        </w:rPr>
        <w:t> </w:t>
      </w:r>
      <w:r>
        <w:rPr/>
        <w:t>desses pacientes:</w:t>
      </w:r>
      <w:r>
        <w:rPr>
          <w:spacing w:val="-3"/>
        </w:rPr>
        <w:t> </w:t>
      </w:r>
      <w:r>
        <w:rPr/>
        <w:t>monitoramento</w:t>
      </w:r>
      <w:r>
        <w:rPr>
          <w:spacing w:val="-5"/>
        </w:rPr>
        <w:t> </w:t>
      </w:r>
      <w:r>
        <w:rPr/>
        <w:t>arterial</w:t>
      </w:r>
      <w:r>
        <w:rPr>
          <w:spacing w:val="-3"/>
        </w:rPr>
        <w:t> </w:t>
      </w:r>
      <w:r>
        <w:rPr/>
        <w:t>e venoso</w:t>
      </w:r>
      <w:r>
        <w:rPr>
          <w:spacing w:val="-8"/>
        </w:rPr>
        <w:t> </w:t>
      </w:r>
      <w:r>
        <w:rPr/>
        <w:t>invasivo,</w:t>
      </w:r>
      <w:r>
        <w:rPr>
          <w:spacing w:val="-1"/>
        </w:rPr>
        <w:t> </w:t>
      </w:r>
      <w:r>
        <w:rPr/>
        <w:t>monitoramento</w:t>
      </w:r>
      <w:r>
        <w:rPr>
          <w:spacing w:val="-8"/>
        </w:rPr>
        <w:t> </w:t>
      </w:r>
      <w:r>
        <w:rPr/>
        <w:t>da</w:t>
      </w:r>
      <w:r>
        <w:rPr>
          <w:spacing w:val="-10"/>
        </w:rPr>
        <w:t> </w:t>
      </w:r>
      <w:r>
        <w:rPr/>
        <w:t>pressão</w:t>
      </w:r>
      <w:r>
        <w:rPr>
          <w:spacing w:val="-8"/>
        </w:rPr>
        <w:t> </w:t>
      </w:r>
      <w:r>
        <w:rPr/>
        <w:t>liquórica</w:t>
      </w:r>
      <w:r>
        <w:rPr>
          <w:spacing w:val="-10"/>
        </w:rPr>
        <w:t> </w:t>
      </w:r>
      <w:r>
        <w:rPr/>
        <w:t>para</w:t>
      </w:r>
      <w:r>
        <w:rPr>
          <w:spacing w:val="-10"/>
        </w:rPr>
        <w:t> </w:t>
      </w:r>
      <w:r>
        <w:rPr/>
        <w:t>drenagem</w:t>
      </w:r>
      <w:r>
        <w:rPr>
          <w:spacing w:val="-8"/>
        </w:rPr>
        <w:t> </w:t>
      </w:r>
      <w:r>
        <w:rPr/>
        <w:t>do</w:t>
      </w:r>
      <w:r>
        <w:rPr>
          <w:spacing w:val="-8"/>
        </w:rPr>
        <w:t> </w:t>
      </w:r>
      <w:r>
        <w:rPr/>
        <w:t>liquor</w:t>
      </w:r>
      <w:r>
        <w:rPr>
          <w:spacing w:val="-3"/>
        </w:rPr>
        <w:t> </w:t>
      </w:r>
      <w:r>
        <w:rPr/>
        <w:t>(10</w:t>
      </w:r>
      <w:r>
        <w:rPr>
          <w:spacing w:val="-8"/>
        </w:rPr>
        <w:t> </w:t>
      </w:r>
      <w:r>
        <w:rPr/>
        <w:t>mmHg)</w:t>
      </w:r>
      <w:r>
        <w:rPr>
          <w:spacing w:val="-3"/>
        </w:rPr>
        <w:t> </w:t>
      </w:r>
      <w:r>
        <w:rPr/>
        <w:t>e</w:t>
      </w:r>
      <w:r>
        <w:rPr>
          <w:spacing w:val="-10"/>
        </w:rPr>
        <w:t> </w:t>
      </w:r>
      <w:r>
        <w:rPr/>
        <w:t>manutenção</w:t>
      </w:r>
      <w:r>
        <w:rPr>
          <w:spacing w:val="-8"/>
        </w:rPr>
        <w:t> </w:t>
      </w:r>
      <w:r>
        <w:rPr/>
        <w:t>da</w:t>
      </w:r>
      <w:r>
        <w:rPr>
          <w:spacing w:val="-10"/>
        </w:rPr>
        <w:t> </w:t>
      </w:r>
      <w:r>
        <w:rPr/>
        <w:t>pressão</w:t>
      </w:r>
    </w:p>
    <w:p>
      <w:pPr>
        <w:pStyle w:val="BodyText"/>
        <w:spacing w:after="0" w:line="276" w:lineRule="auto"/>
        <w:sectPr>
          <w:pgSz w:w="11900" w:h="16840"/>
          <w:pgMar w:top="200" w:bottom="280" w:left="566" w:right="141"/>
        </w:sectPr>
      </w:pPr>
    </w:p>
    <w:p>
      <w:pPr>
        <w:pStyle w:val="BodyText"/>
        <w:spacing w:before="80"/>
        <w:ind w:firstLine="0"/>
      </w:pPr>
      <w:r>
        <w:rPr/>
        <w:t>de</w:t>
      </w:r>
      <w:r>
        <w:rPr>
          <w:spacing w:val="-11"/>
        </w:rPr>
        <w:t> </w:t>
      </w:r>
      <w:r>
        <w:rPr/>
        <w:t>perfusão</w:t>
      </w:r>
      <w:r>
        <w:rPr>
          <w:spacing w:val="-7"/>
        </w:rPr>
        <w:t> </w:t>
      </w:r>
      <w:r>
        <w:rPr/>
        <w:t>aórtica</w:t>
      </w:r>
      <w:r>
        <w:rPr>
          <w:spacing w:val="-8"/>
        </w:rPr>
        <w:t> </w:t>
      </w:r>
      <w:r>
        <w:rPr/>
        <w:t>distal</w:t>
      </w:r>
      <w:r>
        <w:rPr>
          <w:spacing w:val="-4"/>
        </w:rPr>
        <w:t> </w:t>
      </w:r>
      <w:r>
        <w:rPr/>
        <w:t>feita</w:t>
      </w:r>
      <w:r>
        <w:rPr>
          <w:spacing w:val="-9"/>
        </w:rPr>
        <w:t> </w:t>
      </w:r>
      <w:r>
        <w:rPr/>
        <w:t>de</w:t>
      </w:r>
      <w:r>
        <w:rPr>
          <w:spacing w:val="-9"/>
        </w:rPr>
        <w:t> </w:t>
      </w:r>
      <w:r>
        <w:rPr/>
        <w:t>maneira</w:t>
      </w:r>
      <w:r>
        <w:rPr>
          <w:spacing w:val="-9"/>
        </w:rPr>
        <w:t> </w:t>
      </w:r>
      <w:r>
        <w:rPr/>
        <w:t>ativa</w:t>
      </w:r>
      <w:r>
        <w:rPr>
          <w:spacing w:val="-8"/>
        </w:rPr>
        <w:t> </w:t>
      </w:r>
      <w:r>
        <w:rPr/>
        <w:t>com</w:t>
      </w:r>
      <w:r>
        <w:rPr>
          <w:spacing w:val="-7"/>
        </w:rPr>
        <w:t> </w:t>
      </w:r>
      <w:r>
        <w:rPr/>
        <w:t>assistência</w:t>
      </w:r>
      <w:r>
        <w:rPr>
          <w:spacing w:val="-8"/>
        </w:rPr>
        <w:t> </w:t>
      </w:r>
      <w:r>
        <w:rPr>
          <w:spacing w:val="-2"/>
        </w:rPr>
        <w:t>circulatória.</w:t>
      </w:r>
    </w:p>
    <w:p>
      <w:pPr>
        <w:pStyle w:val="BodyText"/>
        <w:spacing w:line="278" w:lineRule="auto" w:before="116"/>
        <w:ind w:right="488"/>
      </w:pPr>
      <w:r>
        <w:rPr/>
        <w:t>Com o paciente em decúbito mediolateral direito, com os ombros a 60</w:t>
      </w:r>
      <w:r>
        <w:rPr>
          <w:u w:val="single"/>
          <w:vertAlign w:val="superscript"/>
        </w:rPr>
        <w:t>o</w:t>
      </w:r>
      <w:r>
        <w:rPr>
          <w:vertAlign w:val="baseline"/>
        </w:rPr>
        <w:t> e o quadril a 30</w:t>
      </w:r>
      <w:r>
        <w:rPr>
          <w:u w:val="single"/>
          <w:vertAlign w:val="superscript"/>
        </w:rPr>
        <w:t>o</w:t>
      </w:r>
      <w:r>
        <w:rPr>
          <w:vertAlign w:val="baseline"/>
        </w:rPr>
        <w:t> em relação à mesa cirúrgica, é feita a incisão visando à toracofrenolaparotomia com abordagem extraperitoneal da aorta. Nos AAA tipos I e II, a toracotomia é realizada no 5</w:t>
      </w:r>
      <w:r>
        <w:rPr>
          <w:u w:val="single"/>
          <w:vertAlign w:val="superscript"/>
        </w:rPr>
        <w:t>o</w:t>
      </w:r>
      <w:r>
        <w:rPr>
          <w:vertAlign w:val="baseline"/>
        </w:rPr>
        <w:t> ou 6</w:t>
      </w:r>
      <w:r>
        <w:rPr>
          <w:u w:val="single"/>
          <w:vertAlign w:val="superscript"/>
        </w:rPr>
        <w:t>o</w:t>
      </w:r>
      <w:r>
        <w:rPr>
          <w:vertAlign w:val="baseline"/>
        </w:rPr>
        <w:t> espaço intercostal esquerdo (EICE); nos</w:t>
      </w:r>
      <w:r>
        <w:rPr>
          <w:spacing w:val="33"/>
          <w:vertAlign w:val="baseline"/>
        </w:rPr>
        <w:t> </w:t>
      </w:r>
      <w:r>
        <w:rPr>
          <w:vertAlign w:val="baseline"/>
        </w:rPr>
        <w:t>AAA tipo III,</w:t>
      </w:r>
      <w:r>
        <w:rPr>
          <w:spacing w:val="33"/>
          <w:vertAlign w:val="baseline"/>
        </w:rPr>
        <w:t> </w:t>
      </w:r>
      <w:r>
        <w:rPr>
          <w:vertAlign w:val="baseline"/>
        </w:rPr>
        <w:t>no 7</w:t>
      </w:r>
      <w:r>
        <w:rPr>
          <w:u w:val="single"/>
          <w:vertAlign w:val="superscript"/>
        </w:rPr>
        <w:t>o</w:t>
      </w:r>
      <w:r>
        <w:rPr>
          <w:vertAlign w:val="baseline"/>
        </w:rPr>
        <w:t> EICE; e nos AAA tipo IV, no 9</w:t>
      </w:r>
      <w:r>
        <w:rPr>
          <w:u w:val="single"/>
          <w:vertAlign w:val="superscript"/>
        </w:rPr>
        <w:t>o</w:t>
      </w:r>
      <w:r>
        <w:rPr>
          <w:vertAlign w:val="baseline"/>
        </w:rPr>
        <w:t> EICE. Uma vez abordada a cavidade pleural, a incisão do diafragma é feita de modo circular para proteger o nervo frênico, a mais ou menos 2 cm do gradeado costal. A dissecção da aorta descendente proximal é cuidadosa, com identificação dos nervos vago e laríngeo recorrente. O acesso da aorta abdominal</w:t>
      </w:r>
      <w:r>
        <w:rPr>
          <w:spacing w:val="-3"/>
          <w:vertAlign w:val="baseline"/>
        </w:rPr>
        <w:t> </w:t>
      </w:r>
      <w:r>
        <w:rPr>
          <w:vertAlign w:val="baseline"/>
        </w:rPr>
        <w:t>é</w:t>
      </w:r>
      <w:r>
        <w:rPr>
          <w:spacing w:val="-9"/>
          <w:vertAlign w:val="baseline"/>
        </w:rPr>
        <w:t> </w:t>
      </w:r>
      <w:r>
        <w:rPr>
          <w:vertAlign w:val="baseline"/>
        </w:rPr>
        <w:t>transperitoneal, com</w:t>
      </w:r>
      <w:r>
        <w:rPr>
          <w:spacing w:val="-6"/>
          <w:vertAlign w:val="baseline"/>
        </w:rPr>
        <w:t> </w:t>
      </w:r>
      <w:r>
        <w:rPr>
          <w:vertAlign w:val="baseline"/>
        </w:rPr>
        <w:t>abordagem</w:t>
      </w:r>
      <w:r>
        <w:rPr>
          <w:spacing w:val="-6"/>
          <w:vertAlign w:val="baseline"/>
        </w:rPr>
        <w:t> </w:t>
      </w:r>
      <w:r>
        <w:rPr>
          <w:vertAlign w:val="baseline"/>
        </w:rPr>
        <w:t>da</w:t>
      </w:r>
      <w:r>
        <w:rPr>
          <w:spacing w:val="-9"/>
          <w:vertAlign w:val="baseline"/>
        </w:rPr>
        <w:t> </w:t>
      </w:r>
      <w:r>
        <w:rPr>
          <w:vertAlign w:val="baseline"/>
        </w:rPr>
        <w:t>aorta</w:t>
      </w:r>
      <w:r>
        <w:rPr>
          <w:spacing w:val="-9"/>
          <w:vertAlign w:val="baseline"/>
        </w:rPr>
        <w:t> </w:t>
      </w:r>
      <w:r>
        <w:rPr>
          <w:vertAlign w:val="baseline"/>
        </w:rPr>
        <w:t>no</w:t>
      </w:r>
      <w:r>
        <w:rPr>
          <w:spacing w:val="-6"/>
          <w:vertAlign w:val="baseline"/>
        </w:rPr>
        <w:t> </w:t>
      </w:r>
      <w:r>
        <w:rPr>
          <w:vertAlign w:val="baseline"/>
        </w:rPr>
        <w:t>retroperitônio</w:t>
      </w:r>
      <w:r>
        <w:rPr>
          <w:spacing w:val="-6"/>
          <w:vertAlign w:val="baseline"/>
        </w:rPr>
        <w:t> </w:t>
      </w:r>
      <w:r>
        <w:rPr>
          <w:vertAlign w:val="baseline"/>
        </w:rPr>
        <w:t>lateralmente</w:t>
      </w:r>
      <w:r>
        <w:rPr>
          <w:spacing w:val="-9"/>
          <w:vertAlign w:val="baseline"/>
        </w:rPr>
        <w:t> </w:t>
      </w:r>
      <w:r>
        <w:rPr>
          <w:vertAlign w:val="baseline"/>
        </w:rPr>
        <w:t>ao</w:t>
      </w:r>
      <w:r>
        <w:rPr>
          <w:spacing w:val="-6"/>
          <w:vertAlign w:val="baseline"/>
        </w:rPr>
        <w:t> </w:t>
      </w:r>
      <w:r>
        <w:rPr>
          <w:vertAlign w:val="baseline"/>
        </w:rPr>
        <w:t>cólon</w:t>
      </w:r>
      <w:r>
        <w:rPr>
          <w:spacing w:val="-6"/>
          <w:vertAlign w:val="baseline"/>
        </w:rPr>
        <w:t> </w:t>
      </w:r>
      <w:r>
        <w:rPr>
          <w:vertAlign w:val="baseline"/>
        </w:rPr>
        <w:t>esquerdo;</w:t>
      </w:r>
      <w:r>
        <w:rPr>
          <w:spacing w:val="-3"/>
          <w:vertAlign w:val="baseline"/>
        </w:rPr>
        <w:t> </w:t>
      </w:r>
      <w:r>
        <w:rPr>
          <w:vertAlign w:val="baseline"/>
        </w:rPr>
        <w:t>na</w:t>
      </w:r>
      <w:r>
        <w:rPr>
          <w:spacing w:val="-9"/>
          <w:vertAlign w:val="baseline"/>
        </w:rPr>
        <w:t> </w:t>
      </w:r>
      <w:r>
        <w:rPr>
          <w:vertAlign w:val="baseline"/>
        </w:rPr>
        <w:t>extensão distal, é importante identificar o ureter esquerdo. Com a rotação medial das vísceras (baço, estômago, intestinos e rim esquerdo), há a exposição da aorta abdominal e dos seus ramos, do tronco celíaco, da artéria mesentérica superior e da artéria renal esquerda (</w:t>
      </w:r>
      <w:r>
        <w:rPr>
          <w:color w:val="505050"/>
          <w:vertAlign w:val="baseline"/>
        </w:rPr>
        <w:t>Figura 58.10</w:t>
      </w:r>
      <w:r>
        <w:rPr>
          <w:vertAlign w:val="baseline"/>
        </w:rPr>
        <w:t>).</w:t>
      </w:r>
    </w:p>
    <w:p>
      <w:pPr>
        <w:pStyle w:val="BodyText"/>
        <w:spacing w:before="29"/>
        <w:ind w:left="0" w:firstLine="0"/>
        <w:jc w:val="left"/>
        <w:rPr>
          <w:sz w:val="20"/>
        </w:rPr>
      </w:pPr>
      <w:r>
        <w:rPr>
          <w:sz w:val="20"/>
        </w:rPr>
        <w:drawing>
          <wp:anchor distT="0" distB="0" distL="0" distR="0" allowOverlap="1" layoutInCell="1" locked="0" behindDoc="1" simplePos="0" relativeHeight="487612928">
            <wp:simplePos x="0" y="0"/>
            <wp:positionH relativeFrom="page">
              <wp:posOffset>1377950</wp:posOffset>
            </wp:positionH>
            <wp:positionV relativeFrom="paragraph">
              <wp:posOffset>180037</wp:posOffset>
            </wp:positionV>
            <wp:extent cx="4810508" cy="373018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1" cstate="print"/>
                    <a:stretch>
                      <a:fillRect/>
                    </a:stretch>
                  </pic:blipFill>
                  <pic:spPr>
                    <a:xfrm>
                      <a:off x="0" y="0"/>
                      <a:ext cx="4810508" cy="3730180"/>
                    </a:xfrm>
                    <a:prstGeom prst="rect">
                      <a:avLst/>
                    </a:prstGeom>
                  </pic:spPr>
                </pic:pic>
              </a:graphicData>
            </a:graphic>
          </wp:anchor>
        </w:drawing>
      </w:r>
    </w:p>
    <w:p>
      <w:pPr>
        <w:spacing w:line="283" w:lineRule="auto" w:before="260"/>
        <w:ind w:left="68" w:right="508" w:firstLine="0"/>
        <w:jc w:val="both"/>
        <w:rPr>
          <w:rFonts w:ascii="Microsoft Sans Serif" w:hAnsi="Microsoft Sans Serif"/>
          <w:sz w:val="19"/>
        </w:rPr>
      </w:pPr>
      <w:r>
        <w:rPr>
          <w:rFonts w:ascii="Arial" w:hAnsi="Arial"/>
          <w:b/>
          <w:color w:val="242B67"/>
          <w:sz w:val="19"/>
        </w:rPr>
        <w:t>Figura</w:t>
      </w:r>
      <w:r>
        <w:rPr>
          <w:rFonts w:ascii="Arial" w:hAnsi="Arial"/>
          <w:b/>
          <w:color w:val="242B67"/>
          <w:spacing w:val="40"/>
          <w:sz w:val="19"/>
        </w:rPr>
        <w:t> </w:t>
      </w:r>
      <w:r>
        <w:rPr>
          <w:rFonts w:ascii="Arial" w:hAnsi="Arial"/>
          <w:b/>
          <w:color w:val="242B67"/>
          <w:sz w:val="19"/>
        </w:rPr>
        <w:t>58.10</w:t>
      </w:r>
      <w:r>
        <w:rPr>
          <w:rFonts w:ascii="Arial" w:hAnsi="Arial"/>
          <w:b/>
          <w:color w:val="242B67"/>
          <w:spacing w:val="40"/>
          <w:sz w:val="19"/>
        </w:rPr>
        <w:t> </w:t>
      </w:r>
      <w:r>
        <w:rPr>
          <w:rFonts w:ascii="Microsoft Sans Serif" w:hAnsi="Microsoft Sans Serif"/>
          <w:sz w:val="19"/>
        </w:rPr>
        <w:t>Fotografia</w:t>
      </w:r>
      <w:r>
        <w:rPr>
          <w:rFonts w:ascii="Microsoft Sans Serif" w:hAnsi="Microsoft Sans Serif"/>
          <w:spacing w:val="40"/>
          <w:sz w:val="19"/>
        </w:rPr>
        <w:t> </w:t>
      </w:r>
      <w:r>
        <w:rPr>
          <w:rFonts w:ascii="Microsoft Sans Serif" w:hAnsi="Microsoft Sans Serif"/>
          <w:sz w:val="19"/>
        </w:rPr>
        <w:t>intraoperatória.</w:t>
      </w:r>
      <w:r>
        <w:rPr>
          <w:rFonts w:ascii="Microsoft Sans Serif" w:hAnsi="Microsoft Sans Serif"/>
          <w:spacing w:val="40"/>
          <w:sz w:val="19"/>
        </w:rPr>
        <w:t> </w:t>
      </w:r>
      <w:r>
        <w:rPr>
          <w:rFonts w:ascii="Arial" w:hAnsi="Arial"/>
          <w:b/>
          <w:sz w:val="19"/>
        </w:rPr>
        <w:t>A. </w:t>
      </w:r>
      <w:r>
        <w:rPr>
          <w:rFonts w:ascii="Microsoft Sans Serif" w:hAnsi="Microsoft Sans Serif"/>
          <w:sz w:val="19"/>
        </w:rPr>
        <w:t>Abordagem</w:t>
      </w:r>
      <w:r>
        <w:rPr>
          <w:rFonts w:ascii="Microsoft Sans Serif" w:hAnsi="Microsoft Sans Serif"/>
          <w:spacing w:val="40"/>
          <w:sz w:val="19"/>
        </w:rPr>
        <w:t> </w:t>
      </w:r>
      <w:r>
        <w:rPr>
          <w:rFonts w:ascii="Microsoft Sans Serif" w:hAnsi="Microsoft Sans Serif"/>
          <w:sz w:val="19"/>
        </w:rPr>
        <w:t>retroperitoneal</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abdominal</w:t>
      </w:r>
      <w:r>
        <w:rPr>
          <w:rFonts w:ascii="Microsoft Sans Serif" w:hAnsi="Microsoft Sans Serif"/>
          <w:spacing w:val="40"/>
          <w:sz w:val="19"/>
        </w:rPr>
        <w:t> </w:t>
      </w:r>
      <w:r>
        <w:rPr>
          <w:rFonts w:ascii="Microsoft Sans Serif" w:hAnsi="Microsoft Sans Serif"/>
          <w:sz w:val="19"/>
        </w:rPr>
        <w:t>após</w:t>
      </w:r>
      <w:r>
        <w:rPr>
          <w:rFonts w:ascii="Microsoft Sans Serif" w:hAnsi="Microsoft Sans Serif"/>
          <w:spacing w:val="40"/>
          <w:sz w:val="19"/>
        </w:rPr>
        <w:t> </w:t>
      </w:r>
      <w:r>
        <w:rPr>
          <w:rFonts w:ascii="Microsoft Sans Serif" w:hAnsi="Microsoft Sans Serif"/>
          <w:sz w:val="19"/>
        </w:rPr>
        <w:t>incisão</w:t>
      </w:r>
      <w:r>
        <w:rPr>
          <w:rFonts w:ascii="Microsoft Sans Serif" w:hAnsi="Microsoft Sans Serif"/>
          <w:spacing w:val="40"/>
          <w:sz w:val="19"/>
        </w:rPr>
        <w:t> </w:t>
      </w:r>
      <w:r>
        <w:rPr>
          <w:rFonts w:ascii="Microsoft Sans Serif" w:hAnsi="Microsoft Sans Serif"/>
          <w:sz w:val="19"/>
        </w:rPr>
        <w:t>circular</w:t>
      </w:r>
      <w:r>
        <w:rPr>
          <w:rFonts w:ascii="Microsoft Sans Serif" w:hAnsi="Microsoft Sans Serif"/>
          <w:spacing w:val="40"/>
          <w:sz w:val="19"/>
        </w:rPr>
        <w:t> </w:t>
      </w:r>
      <w:r>
        <w:rPr>
          <w:rFonts w:ascii="Microsoft Sans Serif" w:hAnsi="Microsoft Sans Serif"/>
          <w:sz w:val="19"/>
        </w:rPr>
        <w:t>no diafragma</w:t>
      </w:r>
      <w:r>
        <w:rPr>
          <w:rFonts w:ascii="Microsoft Sans Serif" w:hAnsi="Microsoft Sans Serif"/>
          <w:spacing w:val="40"/>
          <w:sz w:val="19"/>
        </w:rPr>
        <w:t> </w:t>
      </w:r>
      <w:r>
        <w:rPr>
          <w:rFonts w:ascii="Microsoft Sans Serif" w:hAnsi="Microsoft Sans Serif"/>
          <w:sz w:val="19"/>
        </w:rPr>
        <w:t>com</w:t>
      </w:r>
      <w:r>
        <w:rPr>
          <w:rFonts w:ascii="Microsoft Sans Serif" w:hAnsi="Microsoft Sans Serif"/>
          <w:spacing w:val="40"/>
          <w:sz w:val="19"/>
        </w:rPr>
        <w:t> </w:t>
      </w:r>
      <w:r>
        <w:rPr>
          <w:rFonts w:ascii="Microsoft Sans Serif" w:hAnsi="Microsoft Sans Serif"/>
          <w:sz w:val="19"/>
        </w:rPr>
        <w:t>rotação</w:t>
      </w:r>
      <w:r>
        <w:rPr>
          <w:rFonts w:ascii="Microsoft Sans Serif" w:hAnsi="Microsoft Sans Serif"/>
          <w:spacing w:val="40"/>
          <w:sz w:val="19"/>
        </w:rPr>
        <w:t> </w:t>
      </w:r>
      <w:r>
        <w:rPr>
          <w:rFonts w:ascii="Microsoft Sans Serif" w:hAnsi="Microsoft Sans Serif"/>
          <w:sz w:val="19"/>
        </w:rPr>
        <w:t>medial</w:t>
      </w:r>
      <w:r>
        <w:rPr>
          <w:rFonts w:ascii="Microsoft Sans Serif" w:hAnsi="Microsoft Sans Serif"/>
          <w:spacing w:val="40"/>
          <w:sz w:val="19"/>
        </w:rPr>
        <w:t> </w:t>
      </w:r>
      <w:r>
        <w:rPr>
          <w:rFonts w:ascii="Microsoft Sans Serif" w:hAnsi="Microsoft Sans Serif"/>
          <w:sz w:val="19"/>
        </w:rPr>
        <w:t>das</w:t>
      </w:r>
      <w:r>
        <w:rPr>
          <w:rFonts w:ascii="Microsoft Sans Serif" w:hAnsi="Microsoft Sans Serif"/>
          <w:spacing w:val="40"/>
          <w:sz w:val="19"/>
        </w:rPr>
        <w:t> </w:t>
      </w:r>
      <w:r>
        <w:rPr>
          <w:rFonts w:ascii="Microsoft Sans Serif" w:hAnsi="Microsoft Sans Serif"/>
          <w:sz w:val="19"/>
        </w:rPr>
        <w:t>vísceras.</w:t>
      </w:r>
      <w:r>
        <w:rPr>
          <w:rFonts w:ascii="Microsoft Sans Serif" w:hAnsi="Microsoft Sans Serif"/>
          <w:spacing w:val="40"/>
          <w:sz w:val="19"/>
        </w:rPr>
        <w:t> </w:t>
      </w:r>
      <w:r>
        <w:rPr>
          <w:rFonts w:ascii="Arial" w:hAnsi="Arial"/>
          <w:b/>
          <w:sz w:val="19"/>
        </w:rPr>
        <w:t>B.</w:t>
      </w:r>
      <w:r>
        <w:rPr>
          <w:rFonts w:ascii="Arial" w:hAnsi="Arial"/>
          <w:b/>
          <w:spacing w:val="40"/>
          <w:sz w:val="19"/>
        </w:rPr>
        <w:t> </w:t>
      </w:r>
      <w:r>
        <w:rPr>
          <w:rFonts w:ascii="Microsoft Sans Serif" w:hAnsi="Microsoft Sans Serif"/>
          <w:sz w:val="19"/>
        </w:rPr>
        <w:t>Isolamento</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abdominal.</w:t>
      </w:r>
      <w:r>
        <w:rPr>
          <w:rFonts w:ascii="Microsoft Sans Serif" w:hAnsi="Microsoft Sans Serif"/>
          <w:spacing w:val="40"/>
          <w:sz w:val="19"/>
        </w:rPr>
        <w:t> </w:t>
      </w:r>
      <w:r>
        <w:rPr>
          <w:rFonts w:ascii="Arial" w:hAnsi="Arial"/>
          <w:b/>
          <w:sz w:val="19"/>
        </w:rPr>
        <w:t>C.</w:t>
      </w:r>
      <w:r>
        <w:rPr>
          <w:rFonts w:ascii="Arial" w:hAnsi="Arial"/>
          <w:b/>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torácica</w:t>
      </w:r>
      <w:r>
        <w:rPr>
          <w:rFonts w:ascii="Microsoft Sans Serif" w:hAnsi="Microsoft Sans Serif"/>
          <w:spacing w:val="40"/>
          <w:sz w:val="19"/>
        </w:rPr>
        <w:t> </w:t>
      </w:r>
      <w:r>
        <w:rPr>
          <w:rFonts w:ascii="Microsoft Sans Serif" w:hAnsi="Microsoft Sans Serif"/>
          <w:sz w:val="19"/>
        </w:rPr>
        <w:t>descendente</w:t>
      </w:r>
      <w:r>
        <w:rPr>
          <w:rFonts w:ascii="Microsoft Sans Serif" w:hAnsi="Microsoft Sans Serif"/>
          <w:spacing w:val="40"/>
          <w:sz w:val="19"/>
        </w:rPr>
        <w:t> </w:t>
      </w:r>
      <w:r>
        <w:rPr>
          <w:rFonts w:ascii="Microsoft Sans Serif" w:hAnsi="Microsoft Sans Serif"/>
          <w:sz w:val="19"/>
        </w:rPr>
        <w:t>e abdominal</w:t>
      </w:r>
      <w:r>
        <w:rPr>
          <w:rFonts w:ascii="Microsoft Sans Serif" w:hAnsi="Microsoft Sans Serif"/>
          <w:spacing w:val="40"/>
          <w:sz w:val="19"/>
        </w:rPr>
        <w:t> </w:t>
      </w:r>
      <w:r>
        <w:rPr>
          <w:rFonts w:ascii="Microsoft Sans Serif" w:hAnsi="Microsoft Sans Serif"/>
          <w:sz w:val="19"/>
        </w:rPr>
        <w:t>isoladas. Paciente</w:t>
      </w:r>
      <w:r>
        <w:rPr>
          <w:rFonts w:ascii="Microsoft Sans Serif" w:hAnsi="Microsoft Sans Serif"/>
          <w:spacing w:val="40"/>
          <w:sz w:val="19"/>
        </w:rPr>
        <w:t> </w:t>
      </w:r>
      <w:r>
        <w:rPr>
          <w:rFonts w:ascii="Microsoft Sans Serif" w:hAnsi="Microsoft Sans Serif"/>
          <w:sz w:val="19"/>
        </w:rPr>
        <w:t>pronto</w:t>
      </w:r>
      <w:r>
        <w:rPr>
          <w:rFonts w:ascii="Microsoft Sans Serif" w:hAnsi="Microsoft Sans Serif"/>
          <w:spacing w:val="40"/>
          <w:sz w:val="19"/>
        </w:rPr>
        <w:t> </w:t>
      </w:r>
      <w:r>
        <w:rPr>
          <w:rFonts w:ascii="Microsoft Sans Serif" w:hAnsi="Microsoft Sans Serif"/>
          <w:sz w:val="19"/>
        </w:rPr>
        <w:t>pra</w:t>
      </w:r>
      <w:r>
        <w:rPr>
          <w:rFonts w:ascii="Microsoft Sans Serif" w:hAnsi="Microsoft Sans Serif"/>
          <w:spacing w:val="40"/>
          <w:sz w:val="19"/>
        </w:rPr>
        <w:t> </w:t>
      </w:r>
      <w:r>
        <w:rPr>
          <w:rFonts w:ascii="Microsoft Sans Serif" w:hAnsi="Microsoft Sans Serif"/>
          <w:sz w:val="19"/>
        </w:rPr>
        <w:t>ser</w:t>
      </w:r>
      <w:r>
        <w:rPr>
          <w:rFonts w:ascii="Microsoft Sans Serif" w:hAnsi="Microsoft Sans Serif"/>
          <w:spacing w:val="38"/>
          <w:sz w:val="19"/>
        </w:rPr>
        <w:t> </w:t>
      </w:r>
      <w:r>
        <w:rPr>
          <w:rFonts w:ascii="Microsoft Sans Serif" w:hAnsi="Microsoft Sans Serif"/>
          <w:sz w:val="19"/>
        </w:rPr>
        <w:t>colocado</w:t>
      </w:r>
      <w:r>
        <w:rPr>
          <w:rFonts w:ascii="Microsoft Sans Serif" w:hAnsi="Microsoft Sans Serif"/>
          <w:spacing w:val="40"/>
          <w:sz w:val="19"/>
        </w:rPr>
        <w:t> </w:t>
      </w:r>
      <w:r>
        <w:rPr>
          <w:rFonts w:ascii="Microsoft Sans Serif" w:hAnsi="Microsoft Sans Serif"/>
          <w:sz w:val="19"/>
        </w:rPr>
        <w:t>em</w:t>
      </w:r>
      <w:r>
        <w:rPr>
          <w:rFonts w:ascii="Microsoft Sans Serif" w:hAnsi="Microsoft Sans Serif"/>
          <w:spacing w:val="38"/>
          <w:sz w:val="19"/>
        </w:rPr>
        <w:t> </w:t>
      </w:r>
      <w:r>
        <w:rPr>
          <w:rFonts w:ascii="Microsoft Sans Serif" w:hAnsi="Microsoft Sans Serif"/>
          <w:sz w:val="19"/>
        </w:rPr>
        <w:t>assistência</w:t>
      </w:r>
      <w:r>
        <w:rPr>
          <w:rFonts w:ascii="Microsoft Sans Serif" w:hAnsi="Microsoft Sans Serif"/>
          <w:spacing w:val="40"/>
          <w:sz w:val="19"/>
        </w:rPr>
        <w:t> </w:t>
      </w:r>
      <w:r>
        <w:rPr>
          <w:rFonts w:ascii="Microsoft Sans Serif" w:hAnsi="Microsoft Sans Serif"/>
          <w:sz w:val="19"/>
        </w:rPr>
        <w:t>circulatória.</w:t>
      </w:r>
    </w:p>
    <w:p>
      <w:pPr>
        <w:pStyle w:val="BodyText"/>
        <w:spacing w:before="37"/>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13440">
            <wp:simplePos x="0" y="0"/>
            <wp:positionH relativeFrom="page">
              <wp:posOffset>1276235</wp:posOffset>
            </wp:positionH>
            <wp:positionV relativeFrom="paragraph">
              <wp:posOffset>182845</wp:posOffset>
            </wp:positionV>
            <wp:extent cx="5014347" cy="2191226"/>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2" cstate="print"/>
                    <a:stretch>
                      <a:fillRect/>
                    </a:stretch>
                  </pic:blipFill>
                  <pic:spPr>
                    <a:xfrm>
                      <a:off x="0" y="0"/>
                      <a:ext cx="5014347" cy="2191226"/>
                    </a:xfrm>
                    <a:prstGeom prst="rect">
                      <a:avLst/>
                    </a:prstGeom>
                  </pic:spPr>
                </pic:pic>
              </a:graphicData>
            </a:graphic>
          </wp:anchor>
        </w:drawing>
      </w:r>
    </w:p>
    <w:p>
      <w:pPr>
        <w:pStyle w:val="BodyText"/>
        <w:spacing w:before="49"/>
        <w:ind w:left="0" w:firstLine="0"/>
        <w:jc w:val="left"/>
        <w:rPr>
          <w:rFonts w:ascii="Microsoft Sans Serif"/>
          <w:sz w:val="19"/>
        </w:rPr>
      </w:pPr>
    </w:p>
    <w:p>
      <w:pPr>
        <w:spacing w:line="283" w:lineRule="auto" w:before="0"/>
        <w:ind w:left="68" w:right="508" w:firstLine="0"/>
        <w:jc w:val="both"/>
        <w:rPr>
          <w:rFonts w:ascii="Microsoft Sans Serif" w:hAnsi="Microsoft Sans Serif"/>
          <w:sz w:val="19"/>
        </w:rPr>
      </w:pPr>
      <w:r>
        <w:rPr>
          <w:rFonts w:ascii="Arial" w:hAnsi="Arial"/>
          <w:b/>
          <w:color w:val="242B67"/>
          <w:sz w:val="19"/>
        </w:rPr>
        <w:t>Figura</w:t>
      </w:r>
      <w:r>
        <w:rPr>
          <w:rFonts w:ascii="Arial" w:hAnsi="Arial"/>
          <w:b/>
          <w:color w:val="242B67"/>
          <w:spacing w:val="37"/>
          <w:sz w:val="19"/>
        </w:rPr>
        <w:t> </w:t>
      </w:r>
      <w:r>
        <w:rPr>
          <w:rFonts w:ascii="Arial" w:hAnsi="Arial"/>
          <w:b/>
          <w:color w:val="242B67"/>
          <w:sz w:val="19"/>
        </w:rPr>
        <w:t>58.11</w:t>
      </w:r>
      <w:r>
        <w:rPr>
          <w:rFonts w:ascii="Arial" w:hAnsi="Arial"/>
          <w:b/>
          <w:color w:val="242B67"/>
          <w:spacing w:val="37"/>
          <w:sz w:val="19"/>
        </w:rPr>
        <w:t> </w:t>
      </w:r>
      <w:r>
        <w:rPr>
          <w:rFonts w:ascii="Arial" w:hAnsi="Arial"/>
          <w:b/>
          <w:sz w:val="19"/>
        </w:rPr>
        <w:t>A.</w:t>
      </w:r>
      <w:r>
        <w:rPr>
          <w:rFonts w:ascii="Arial" w:hAnsi="Arial"/>
          <w:b/>
          <w:spacing w:val="33"/>
          <w:sz w:val="19"/>
        </w:rPr>
        <w:t> </w:t>
      </w:r>
      <w:r>
        <w:rPr>
          <w:rFonts w:ascii="Microsoft Sans Serif" w:hAnsi="Microsoft Sans Serif"/>
          <w:sz w:val="19"/>
        </w:rPr>
        <w:t>Desenho</w:t>
      </w:r>
      <w:r>
        <w:rPr>
          <w:rFonts w:ascii="Microsoft Sans Serif" w:hAnsi="Microsoft Sans Serif"/>
          <w:spacing w:val="40"/>
          <w:sz w:val="19"/>
        </w:rPr>
        <w:t> </w:t>
      </w:r>
      <w:r>
        <w:rPr>
          <w:rFonts w:ascii="Microsoft Sans Serif" w:hAnsi="Microsoft Sans Serif"/>
          <w:sz w:val="19"/>
        </w:rPr>
        <w:t>esquemático</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paciente</w:t>
      </w:r>
      <w:r>
        <w:rPr>
          <w:rFonts w:ascii="Microsoft Sans Serif" w:hAnsi="Microsoft Sans Serif"/>
          <w:spacing w:val="40"/>
          <w:sz w:val="19"/>
        </w:rPr>
        <w:t> </w:t>
      </w:r>
      <w:r>
        <w:rPr>
          <w:rFonts w:ascii="Microsoft Sans Serif" w:hAnsi="Microsoft Sans Serif"/>
          <w:sz w:val="19"/>
        </w:rPr>
        <w:t>submetido</w:t>
      </w:r>
      <w:r>
        <w:rPr>
          <w:rFonts w:ascii="Microsoft Sans Serif" w:hAnsi="Microsoft Sans Serif"/>
          <w:spacing w:val="40"/>
          <w:sz w:val="19"/>
        </w:rPr>
        <w:t> </w:t>
      </w:r>
      <w:r>
        <w:rPr>
          <w:rFonts w:ascii="Microsoft Sans Serif" w:hAnsi="Microsoft Sans Serif"/>
          <w:sz w:val="19"/>
        </w:rPr>
        <w:t>a</w:t>
      </w:r>
      <w:r>
        <w:rPr>
          <w:rFonts w:ascii="Microsoft Sans Serif" w:hAnsi="Microsoft Sans Serif"/>
          <w:spacing w:val="40"/>
          <w:sz w:val="19"/>
        </w:rPr>
        <w:t> </w:t>
      </w:r>
      <w:r>
        <w:rPr>
          <w:rFonts w:ascii="Microsoft Sans Serif" w:hAnsi="Microsoft Sans Serif"/>
          <w:sz w:val="19"/>
        </w:rPr>
        <w:t>correção</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aneurisma</w:t>
      </w:r>
      <w:r>
        <w:rPr>
          <w:rFonts w:ascii="Microsoft Sans Serif" w:hAnsi="Microsoft Sans Serif"/>
          <w:spacing w:val="40"/>
          <w:sz w:val="19"/>
        </w:rPr>
        <w:t> </w:t>
      </w:r>
      <w:r>
        <w:rPr>
          <w:rFonts w:ascii="Microsoft Sans Serif" w:hAnsi="Microsoft Sans Serif"/>
          <w:sz w:val="19"/>
        </w:rPr>
        <w:t>toracoabdominal</w:t>
      </w:r>
      <w:r>
        <w:rPr>
          <w:rFonts w:ascii="Microsoft Sans Serif" w:hAnsi="Microsoft Sans Serif"/>
          <w:spacing w:val="40"/>
          <w:sz w:val="19"/>
        </w:rPr>
        <w:t> </w:t>
      </w:r>
      <w:r>
        <w:rPr>
          <w:rFonts w:ascii="Microsoft Sans Serif" w:hAnsi="Microsoft Sans Serif"/>
          <w:sz w:val="19"/>
        </w:rPr>
        <w:t>utilizando-se dos recursos da assistência circulatória da CEC. </w:t>
      </w:r>
      <w:r>
        <w:rPr>
          <w:rFonts w:ascii="Arial" w:hAnsi="Arial"/>
          <w:b/>
          <w:sz w:val="19"/>
        </w:rPr>
        <w:t>B. </w:t>
      </w:r>
      <w:r>
        <w:rPr>
          <w:rFonts w:ascii="Microsoft Sans Serif" w:hAnsi="Microsoft Sans Serif"/>
          <w:sz w:val="19"/>
        </w:rPr>
        <w:t>Fotografia intraoperatória das cânulas da assistência circulatória instaladas na veia pulmonar inferior esquerda e aorta distal.</w:t>
      </w:r>
    </w:p>
    <w:p>
      <w:pPr>
        <w:pStyle w:val="BodyText"/>
        <w:spacing w:before="68"/>
        <w:ind w:left="0" w:firstLine="0"/>
        <w:jc w:val="left"/>
        <w:rPr>
          <w:rFonts w:ascii="Microsoft Sans Serif"/>
          <w:sz w:val="19"/>
        </w:rPr>
      </w:pPr>
    </w:p>
    <w:p>
      <w:pPr>
        <w:pStyle w:val="BodyText"/>
        <w:spacing w:before="1"/>
        <w:ind w:left="414" w:firstLine="0"/>
        <w:jc w:val="left"/>
      </w:pPr>
      <w:r>
        <w:rPr/>
        <w:t>A</w:t>
      </w:r>
      <w:r>
        <w:rPr>
          <w:spacing w:val="18"/>
        </w:rPr>
        <w:t> </w:t>
      </w:r>
      <w:r>
        <w:rPr/>
        <w:t>assistência</w:t>
      </w:r>
      <w:r>
        <w:rPr>
          <w:spacing w:val="19"/>
        </w:rPr>
        <w:t> </w:t>
      </w:r>
      <w:r>
        <w:rPr/>
        <w:t>circulatória</w:t>
      </w:r>
      <w:r>
        <w:rPr>
          <w:spacing w:val="18"/>
        </w:rPr>
        <w:t> </w:t>
      </w:r>
      <w:r>
        <w:rPr/>
        <w:t>ou</w:t>
      </w:r>
      <w:r>
        <w:rPr>
          <w:spacing w:val="22"/>
        </w:rPr>
        <w:t> </w:t>
      </w:r>
      <w:r>
        <w:rPr/>
        <w:t>a</w:t>
      </w:r>
      <w:r>
        <w:rPr>
          <w:spacing w:val="18"/>
        </w:rPr>
        <w:t> </w:t>
      </w:r>
      <w:r>
        <w:rPr/>
        <w:t>CEC</w:t>
      </w:r>
      <w:r>
        <w:rPr>
          <w:spacing w:val="30"/>
        </w:rPr>
        <w:t> </w:t>
      </w:r>
      <w:r>
        <w:rPr/>
        <w:t>podem</w:t>
      </w:r>
      <w:r>
        <w:rPr>
          <w:spacing w:val="21"/>
        </w:rPr>
        <w:t> </w:t>
      </w:r>
      <w:r>
        <w:rPr/>
        <w:t>ser</w:t>
      </w:r>
      <w:r>
        <w:rPr>
          <w:spacing w:val="28"/>
        </w:rPr>
        <w:t> </w:t>
      </w:r>
      <w:r>
        <w:rPr/>
        <w:t>realizadas</w:t>
      </w:r>
      <w:r>
        <w:rPr>
          <w:spacing w:val="30"/>
        </w:rPr>
        <w:t> </w:t>
      </w:r>
      <w:r>
        <w:rPr/>
        <w:t>por</w:t>
      </w:r>
      <w:r>
        <w:rPr>
          <w:spacing w:val="27"/>
        </w:rPr>
        <w:t> </w:t>
      </w:r>
      <w:r>
        <w:rPr/>
        <w:t>meio</w:t>
      </w:r>
      <w:r>
        <w:rPr>
          <w:spacing w:val="22"/>
        </w:rPr>
        <w:t> </w:t>
      </w:r>
      <w:r>
        <w:rPr/>
        <w:t>de</w:t>
      </w:r>
      <w:r>
        <w:rPr>
          <w:spacing w:val="18"/>
        </w:rPr>
        <w:t> </w:t>
      </w:r>
      <w:r>
        <w:rPr/>
        <w:t>cânula</w:t>
      </w:r>
      <w:r>
        <w:rPr>
          <w:spacing w:val="19"/>
        </w:rPr>
        <w:t> </w:t>
      </w:r>
      <w:r>
        <w:rPr/>
        <w:t>inserida</w:t>
      </w:r>
      <w:r>
        <w:rPr>
          <w:spacing w:val="18"/>
        </w:rPr>
        <w:t> </w:t>
      </w:r>
      <w:r>
        <w:rPr/>
        <w:t>diretamente</w:t>
      </w:r>
      <w:r>
        <w:rPr>
          <w:spacing w:val="19"/>
        </w:rPr>
        <w:t> </w:t>
      </w:r>
      <w:r>
        <w:rPr/>
        <w:t>pela</w:t>
      </w:r>
      <w:r>
        <w:rPr>
          <w:spacing w:val="19"/>
        </w:rPr>
        <w:t> </w:t>
      </w:r>
      <w:r>
        <w:rPr>
          <w:spacing w:val="-4"/>
        </w:rPr>
        <w:t>veia</w:t>
      </w:r>
    </w:p>
    <w:p>
      <w:pPr>
        <w:pStyle w:val="BodyText"/>
        <w:spacing w:after="0"/>
        <w:jc w:val="left"/>
        <w:sectPr>
          <w:pgSz w:w="11900" w:h="16840"/>
          <w:pgMar w:top="200" w:bottom="280" w:left="566" w:right="141"/>
        </w:sectPr>
      </w:pPr>
    </w:p>
    <w:p>
      <w:pPr>
        <w:pStyle w:val="BodyText"/>
        <w:spacing w:line="280" w:lineRule="auto" w:before="68"/>
        <w:ind w:right="497" w:firstLine="0"/>
      </w:pPr>
      <w:r>
        <w:rPr/>
        <w:t>pulmonar inferior esquerda e artéria femoral esquerda ou aorta distal (podendo-se utilizar a veia femoral esquerda para drenagem venosa) (</w:t>
      </w:r>
      <w:r>
        <w:rPr>
          <w:color w:val="505050"/>
        </w:rPr>
        <w:t>Figura 58.11</w:t>
      </w:r>
      <w:r>
        <w:rPr/>
        <w:t>).</w:t>
      </w:r>
    </w:p>
    <w:p>
      <w:pPr>
        <w:pStyle w:val="BodyText"/>
        <w:spacing w:line="276" w:lineRule="auto" w:before="61"/>
        <w:ind w:right="491"/>
      </w:pPr>
      <w:r>
        <w:rPr/>
        <w:t>A correção da aorta é feita de modo escalonado, com clampeamento progressivo na aorta conforme vão sendo realizadas as anastomoses. Depois de iniciada a assistência circulatória, o clampe proximal é colocado após a emergência da artéria subclávia esquerda e outro mais distal, na aorta torácica média descendente. A área aórtica compreendida</w:t>
      </w:r>
      <w:r>
        <w:rPr>
          <w:spacing w:val="-6"/>
        </w:rPr>
        <w:t> </w:t>
      </w:r>
      <w:r>
        <w:rPr/>
        <w:t>entre</w:t>
      </w:r>
      <w:r>
        <w:rPr>
          <w:spacing w:val="-6"/>
        </w:rPr>
        <w:t> </w:t>
      </w:r>
      <w:r>
        <w:rPr/>
        <w:t>as duas pinças é</w:t>
      </w:r>
      <w:r>
        <w:rPr>
          <w:spacing w:val="-6"/>
        </w:rPr>
        <w:t> </w:t>
      </w:r>
      <w:r>
        <w:rPr/>
        <w:t>aberta</w:t>
      </w:r>
      <w:r>
        <w:rPr>
          <w:spacing w:val="-6"/>
        </w:rPr>
        <w:t> </w:t>
      </w:r>
      <w:r>
        <w:rPr/>
        <w:t>e</w:t>
      </w:r>
      <w:r>
        <w:rPr>
          <w:spacing w:val="-6"/>
        </w:rPr>
        <w:t> </w:t>
      </w:r>
      <w:r>
        <w:rPr/>
        <w:t>as paredes são</w:t>
      </w:r>
      <w:r>
        <w:rPr>
          <w:spacing w:val="-3"/>
        </w:rPr>
        <w:t> </w:t>
      </w:r>
      <w:r>
        <w:rPr/>
        <w:t>reparadas. O</w:t>
      </w:r>
      <w:r>
        <w:rPr>
          <w:spacing w:val="-6"/>
        </w:rPr>
        <w:t> </w:t>
      </w:r>
      <w:r>
        <w:rPr/>
        <w:t>enxerto</w:t>
      </w:r>
      <w:r>
        <w:rPr>
          <w:spacing w:val="-3"/>
        </w:rPr>
        <w:t> </w:t>
      </w:r>
      <w:r>
        <w:rPr/>
        <w:t>tubular selecionado</w:t>
      </w:r>
      <w:r>
        <w:rPr>
          <w:spacing w:val="-3"/>
        </w:rPr>
        <w:t> </w:t>
      </w:r>
      <w:r>
        <w:rPr/>
        <w:t>é</w:t>
      </w:r>
      <w:r>
        <w:rPr>
          <w:spacing w:val="-6"/>
        </w:rPr>
        <w:t> </w:t>
      </w:r>
      <w:r>
        <w:rPr/>
        <w:t>suturado</w:t>
      </w:r>
      <w:r>
        <w:rPr>
          <w:spacing w:val="-3"/>
        </w:rPr>
        <w:t> </w:t>
      </w:r>
      <w:r>
        <w:rPr/>
        <w:t>na aorta proximal, o clampe na aorta torácica média descendente é removido e posicionado na aorta abdominal infrarrenal. As artérias intercostais inferiores de</w:t>
      </w:r>
      <w:r>
        <w:rPr>
          <w:spacing w:val="-4"/>
        </w:rPr>
        <w:t> </w:t>
      </w:r>
      <w:r>
        <w:rPr/>
        <w:t>aproximadamente</w:t>
      </w:r>
      <w:r>
        <w:rPr>
          <w:spacing w:val="-4"/>
        </w:rPr>
        <w:t> </w:t>
      </w:r>
      <w:r>
        <w:rPr/>
        <w:t>T8-L2</w:t>
      </w:r>
      <w:r>
        <w:rPr>
          <w:spacing w:val="-1"/>
        </w:rPr>
        <w:t> </w:t>
      </w:r>
      <w:r>
        <w:rPr/>
        <w:t>serão</w:t>
      </w:r>
      <w:r>
        <w:rPr>
          <w:spacing w:val="-1"/>
        </w:rPr>
        <w:t> </w:t>
      </w:r>
      <w:r>
        <w:rPr/>
        <w:t>preservadas </w:t>
      </w:r>
      <w:r>
        <w:rPr>
          <w:i/>
        </w:rPr>
        <w:t>in</w:t>
      </w:r>
      <w:r>
        <w:rPr>
          <w:i/>
          <w:spacing w:val="-6"/>
        </w:rPr>
        <w:t> </w:t>
      </w:r>
      <w:r>
        <w:rPr>
          <w:i/>
        </w:rPr>
        <w:t>situ </w:t>
      </w:r>
      <w:r>
        <w:rPr/>
        <w:t>e</w:t>
      </w:r>
      <w:r>
        <w:rPr>
          <w:spacing w:val="-2"/>
        </w:rPr>
        <w:t> </w:t>
      </w:r>
      <w:r>
        <w:rPr/>
        <w:t>reimplantadas no enxerto em ilha sempre que possível (laterolateral). Após o término do reimplante das intercostais, o clampe proximal é</w:t>
      </w:r>
      <w:r>
        <w:rPr>
          <w:spacing w:val="-4"/>
        </w:rPr>
        <w:t> </w:t>
      </w:r>
      <w:r>
        <w:rPr/>
        <w:t>removido</w:t>
      </w:r>
      <w:r>
        <w:rPr>
          <w:spacing w:val="-1"/>
        </w:rPr>
        <w:t> </w:t>
      </w:r>
      <w:r>
        <w:rPr/>
        <w:t>e</w:t>
      </w:r>
      <w:r>
        <w:rPr>
          <w:spacing w:val="-4"/>
        </w:rPr>
        <w:t> </w:t>
      </w:r>
      <w:r>
        <w:rPr/>
        <w:t>recolocado</w:t>
      </w:r>
      <w:r>
        <w:rPr>
          <w:spacing w:val="-1"/>
        </w:rPr>
        <w:t> </w:t>
      </w:r>
      <w:r>
        <w:rPr/>
        <w:t>após a</w:t>
      </w:r>
      <w:r>
        <w:rPr>
          <w:spacing w:val="-4"/>
        </w:rPr>
        <w:t> </w:t>
      </w:r>
      <w:r>
        <w:rPr/>
        <w:t>última</w:t>
      </w:r>
      <w:r>
        <w:rPr>
          <w:spacing w:val="-4"/>
        </w:rPr>
        <w:t> </w:t>
      </w:r>
      <w:r>
        <w:rPr/>
        <w:t>anastomose, restaurando</w:t>
      </w:r>
      <w:r>
        <w:rPr>
          <w:spacing w:val="-1"/>
        </w:rPr>
        <w:t> </w:t>
      </w:r>
      <w:r>
        <w:rPr/>
        <w:t>o</w:t>
      </w:r>
      <w:r>
        <w:rPr>
          <w:spacing w:val="-1"/>
        </w:rPr>
        <w:t> </w:t>
      </w:r>
      <w:r>
        <w:rPr/>
        <w:t>fluxo</w:t>
      </w:r>
      <w:r>
        <w:rPr>
          <w:spacing w:val="-1"/>
        </w:rPr>
        <w:t> </w:t>
      </w:r>
      <w:r>
        <w:rPr/>
        <w:t>das artérias intercostais. A</w:t>
      </w:r>
      <w:r>
        <w:rPr>
          <w:spacing w:val="-4"/>
        </w:rPr>
        <w:t> </w:t>
      </w:r>
      <w:r>
        <w:rPr/>
        <w:t>seguir identificam-se os óstios do tronco celíaco, da mesentérica superior e das artérias renais. É frequente, nesse momento, a infusão de soluções renoplégicas, de modo intermitente, a fim de conferir proteção renal. O tronco celíaco e a mesentérica superior podem ser mantidos perfundidos com sangue durante a CEC. A seguir são implantados os vasos abdominais citados conjuntamente ou individualmente, a depender da distância que os separam entre si. Restabelecido o fluxo visceral com o reposicionamento distal do clampe, conclui-se o procedimento com a anastomose distal na aorta abdominal ou nas ilíacas conforme a extensão da doença (</w:t>
      </w:r>
      <w:r>
        <w:rPr>
          <w:color w:val="505050"/>
        </w:rPr>
        <w:t>Figura </w:t>
      </w:r>
      <w:r>
        <w:rPr>
          <w:color w:val="505050"/>
          <w:spacing w:val="-2"/>
        </w:rPr>
        <w:t>58.12</w:t>
      </w:r>
      <w:r>
        <w:rPr>
          <w:spacing w:val="-2"/>
        </w:rPr>
        <w:t>).</w:t>
      </w:r>
    </w:p>
    <w:p>
      <w:pPr>
        <w:pStyle w:val="BodyText"/>
        <w:spacing w:line="276" w:lineRule="auto" w:before="50"/>
        <w:ind w:right="497"/>
      </w:pPr>
      <w:r>
        <w:rPr/>
        <w:t>O controle rigoroso da pressão liquórica deve persistir até as primeiras 72 h, e a analgesia intensa por cateter peridural deve permanecer enquanto for necessária.</w:t>
      </w:r>
    </w:p>
    <w:p>
      <w:pPr>
        <w:pStyle w:val="BodyText"/>
        <w:spacing w:line="276" w:lineRule="auto" w:before="64"/>
        <w:ind w:right="490"/>
      </w:pPr>
      <w:r>
        <w:rPr/>
        <w:t>Com o recente desenvolvimento e uso clínico das próteses vasculares autoexpansíveis, os </w:t>
      </w:r>
      <w:r>
        <w:rPr>
          <w:i/>
        </w:rPr>
        <w:t>stents </w:t>
      </w:r>
      <w:r>
        <w:rPr/>
        <w:t>de aorta são hoje a opção terapêutica com possibilidade de resolução da maioria das doenças da aorta descendente com menor incidência</w:t>
      </w:r>
      <w:r>
        <w:rPr>
          <w:spacing w:val="-4"/>
        </w:rPr>
        <w:t> </w:t>
      </w:r>
      <w:r>
        <w:rPr/>
        <w:t>de</w:t>
      </w:r>
      <w:r>
        <w:rPr>
          <w:spacing w:val="-4"/>
        </w:rPr>
        <w:t> </w:t>
      </w:r>
      <w:r>
        <w:rPr/>
        <w:t>paraplegia</w:t>
      </w:r>
      <w:r>
        <w:rPr>
          <w:spacing w:val="-4"/>
        </w:rPr>
        <w:t> </w:t>
      </w:r>
      <w:r>
        <w:rPr/>
        <w:t>e</w:t>
      </w:r>
      <w:r>
        <w:rPr>
          <w:spacing w:val="-4"/>
        </w:rPr>
        <w:t> </w:t>
      </w:r>
      <w:r>
        <w:rPr/>
        <w:t>mortalidade, proporcionando</w:t>
      </w:r>
      <w:r>
        <w:rPr>
          <w:spacing w:val="-1"/>
        </w:rPr>
        <w:t> </w:t>
      </w:r>
      <w:r>
        <w:rPr/>
        <w:t>recuperação</w:t>
      </w:r>
      <w:r>
        <w:rPr>
          <w:spacing w:val="-1"/>
        </w:rPr>
        <w:t> </w:t>
      </w:r>
      <w:r>
        <w:rPr/>
        <w:t>mais precoce</w:t>
      </w:r>
      <w:r>
        <w:rPr>
          <w:spacing w:val="-4"/>
        </w:rPr>
        <w:t> </w:t>
      </w:r>
      <w:r>
        <w:rPr/>
        <w:t>aos pacientes (</w:t>
      </w:r>
      <w:r>
        <w:rPr>
          <w:color w:val="505050"/>
        </w:rPr>
        <w:t>Figura</w:t>
      </w:r>
      <w:r>
        <w:rPr>
          <w:color w:val="505050"/>
          <w:spacing w:val="-14"/>
        </w:rPr>
        <w:t> </w:t>
      </w:r>
      <w:r>
        <w:rPr>
          <w:color w:val="505050"/>
        </w:rPr>
        <w:t>58.13</w:t>
      </w:r>
      <w:r>
        <w:rPr/>
        <w:t>). As limitações desse tipo de tratamento estão relacionadas com as características anatômicas dos locais de ancoragem das endopróteses e das vias de acesso por onde serão introduzidas.</w:t>
      </w:r>
    </w:p>
    <w:p>
      <w:pPr>
        <w:pStyle w:val="BodyText"/>
        <w:spacing w:before="25"/>
        <w:ind w:left="0" w:firstLine="0"/>
        <w:jc w:val="left"/>
        <w:rPr>
          <w:sz w:val="20"/>
        </w:rPr>
      </w:pPr>
      <w:r>
        <w:rPr>
          <w:sz w:val="20"/>
        </w:rPr>
        <w:drawing>
          <wp:anchor distT="0" distB="0" distL="0" distR="0" allowOverlap="1" layoutInCell="1" locked="0" behindDoc="1" simplePos="0" relativeHeight="487613952">
            <wp:simplePos x="0" y="0"/>
            <wp:positionH relativeFrom="page">
              <wp:posOffset>401556</wp:posOffset>
            </wp:positionH>
            <wp:positionV relativeFrom="paragraph">
              <wp:posOffset>177203</wp:posOffset>
            </wp:positionV>
            <wp:extent cx="6725682" cy="2907030"/>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3" cstate="print"/>
                    <a:stretch>
                      <a:fillRect/>
                    </a:stretch>
                  </pic:blipFill>
                  <pic:spPr>
                    <a:xfrm>
                      <a:off x="0" y="0"/>
                      <a:ext cx="6725682" cy="2907030"/>
                    </a:xfrm>
                    <a:prstGeom prst="rect">
                      <a:avLst/>
                    </a:prstGeom>
                  </pic:spPr>
                </pic:pic>
              </a:graphicData>
            </a:graphic>
          </wp:anchor>
        </w:drawing>
      </w:r>
    </w:p>
    <w:p>
      <w:pPr>
        <w:pStyle w:val="BodyText"/>
        <w:spacing w:before="9"/>
        <w:ind w:left="0" w:firstLine="0"/>
        <w:jc w:val="left"/>
      </w:pPr>
    </w:p>
    <w:p>
      <w:pPr>
        <w:spacing w:line="283" w:lineRule="auto" w:before="0"/>
        <w:ind w:left="68" w:right="503" w:firstLine="0"/>
        <w:jc w:val="both"/>
        <w:rPr>
          <w:rFonts w:ascii="Microsoft Sans Serif" w:hAnsi="Microsoft Sans Serif"/>
          <w:sz w:val="19"/>
        </w:rPr>
      </w:pPr>
      <w:r>
        <w:rPr>
          <w:rFonts w:ascii="Arial" w:hAnsi="Arial"/>
          <w:b/>
          <w:color w:val="242B67"/>
          <w:sz w:val="19"/>
        </w:rPr>
        <w:t>Figura 58.12 </w:t>
      </w:r>
      <w:r>
        <w:rPr>
          <w:rFonts w:ascii="Microsoft Sans Serif" w:hAnsi="Microsoft Sans Serif"/>
          <w:sz w:val="19"/>
        </w:rPr>
        <w:t>Fotografia intraoperatória da operação para a correção do TAAA. </w:t>
      </w:r>
      <w:r>
        <w:rPr>
          <w:rFonts w:ascii="Arial" w:hAnsi="Arial"/>
          <w:b/>
          <w:sz w:val="19"/>
        </w:rPr>
        <w:t>A. </w:t>
      </w:r>
      <w:r>
        <w:rPr>
          <w:rFonts w:ascii="Microsoft Sans Serif" w:hAnsi="Microsoft Sans Serif"/>
          <w:sz w:val="19"/>
        </w:rPr>
        <w:t>Em assistência circulatória, com o clampeamento proximal da aorta após a artéria subclávia esquerda e da aorta torácica média descendente, a aorta é abordada. </w:t>
      </w:r>
      <w:r>
        <w:rPr>
          <w:rFonts w:ascii="Arial" w:hAnsi="Arial"/>
          <w:b/>
          <w:sz w:val="19"/>
        </w:rPr>
        <w:t>B. </w:t>
      </w:r>
      <w:r>
        <w:rPr>
          <w:rFonts w:ascii="Microsoft Sans Serif" w:hAnsi="Microsoft Sans Serif"/>
          <w:sz w:val="19"/>
        </w:rPr>
        <w:t>Preparo da aorta (boca proximal) para anastomose T-T com o enxerto tubular. </w:t>
      </w:r>
      <w:r>
        <w:rPr>
          <w:rFonts w:ascii="Arial" w:hAnsi="Arial"/>
          <w:b/>
          <w:sz w:val="19"/>
        </w:rPr>
        <w:t>C. </w:t>
      </w:r>
      <w:r>
        <w:rPr>
          <w:rFonts w:ascii="Microsoft Sans Serif" w:hAnsi="Microsoft Sans Serif"/>
          <w:sz w:val="19"/>
        </w:rPr>
        <w:t>Após a sutura proximal, os segmentos da aorta torácica distal e abdominal são preparados para a correção do TAAA. </w:t>
      </w:r>
      <w:r>
        <w:rPr>
          <w:rFonts w:ascii="Arial" w:hAnsi="Arial"/>
          <w:b/>
          <w:sz w:val="19"/>
        </w:rPr>
        <w:t>D. </w:t>
      </w:r>
      <w:r>
        <w:rPr>
          <w:rFonts w:ascii="Microsoft Sans Serif" w:hAnsi="Microsoft Sans Serif"/>
          <w:sz w:val="19"/>
        </w:rPr>
        <w:t>Identificação das artérias viscerais seguida da perfusão intermitente das artérias renais com solução cristaloide fria e perfusão contínua do tronco celíaco</w:t>
      </w:r>
      <w:r>
        <w:rPr>
          <w:rFonts w:ascii="Microsoft Sans Serif" w:hAnsi="Microsoft Sans Serif"/>
          <w:spacing w:val="31"/>
          <w:sz w:val="19"/>
        </w:rPr>
        <w:t> </w:t>
      </w:r>
      <w:r>
        <w:rPr>
          <w:rFonts w:ascii="Microsoft Sans Serif" w:hAnsi="Microsoft Sans Serif"/>
          <w:sz w:val="19"/>
        </w:rPr>
        <w:t>e</w:t>
      </w:r>
      <w:r>
        <w:rPr>
          <w:rFonts w:ascii="Microsoft Sans Serif" w:hAnsi="Microsoft Sans Serif"/>
          <w:spacing w:val="31"/>
          <w:sz w:val="19"/>
        </w:rPr>
        <w:t> </w:t>
      </w:r>
      <w:r>
        <w:rPr>
          <w:rFonts w:ascii="Microsoft Sans Serif" w:hAnsi="Microsoft Sans Serif"/>
          <w:sz w:val="19"/>
        </w:rPr>
        <w:t>artéria</w:t>
      </w:r>
      <w:r>
        <w:rPr>
          <w:rFonts w:ascii="Microsoft Sans Serif" w:hAnsi="Microsoft Sans Serif"/>
          <w:spacing w:val="31"/>
          <w:sz w:val="19"/>
        </w:rPr>
        <w:t> </w:t>
      </w:r>
      <w:r>
        <w:rPr>
          <w:rFonts w:ascii="Microsoft Sans Serif" w:hAnsi="Microsoft Sans Serif"/>
          <w:sz w:val="19"/>
        </w:rPr>
        <w:t>mesentérica</w:t>
      </w:r>
      <w:r>
        <w:rPr>
          <w:rFonts w:ascii="Microsoft Sans Serif" w:hAnsi="Microsoft Sans Serif"/>
          <w:spacing w:val="31"/>
          <w:sz w:val="19"/>
        </w:rPr>
        <w:t> </w:t>
      </w:r>
      <w:r>
        <w:rPr>
          <w:rFonts w:ascii="Microsoft Sans Serif" w:hAnsi="Microsoft Sans Serif"/>
          <w:sz w:val="19"/>
        </w:rPr>
        <w:t>superior</w:t>
      </w:r>
      <w:r>
        <w:rPr>
          <w:rFonts w:ascii="Microsoft Sans Serif" w:hAnsi="Microsoft Sans Serif"/>
          <w:spacing w:val="24"/>
          <w:sz w:val="19"/>
        </w:rPr>
        <w:t> </w:t>
      </w:r>
      <w:r>
        <w:rPr>
          <w:rFonts w:ascii="Microsoft Sans Serif" w:hAnsi="Microsoft Sans Serif"/>
          <w:sz w:val="19"/>
        </w:rPr>
        <w:t>com</w:t>
      </w:r>
      <w:r>
        <w:rPr>
          <w:rFonts w:ascii="Microsoft Sans Serif" w:hAnsi="Microsoft Sans Serif"/>
          <w:spacing w:val="24"/>
          <w:sz w:val="19"/>
        </w:rPr>
        <w:t> </w:t>
      </w:r>
      <w:r>
        <w:rPr>
          <w:rFonts w:ascii="Microsoft Sans Serif" w:hAnsi="Microsoft Sans Serif"/>
          <w:sz w:val="19"/>
        </w:rPr>
        <w:t>o</w:t>
      </w:r>
      <w:r>
        <w:rPr>
          <w:rFonts w:ascii="Microsoft Sans Serif" w:hAnsi="Microsoft Sans Serif"/>
          <w:spacing w:val="31"/>
          <w:sz w:val="19"/>
        </w:rPr>
        <w:t> </w:t>
      </w:r>
      <w:r>
        <w:rPr>
          <w:rFonts w:ascii="Microsoft Sans Serif" w:hAnsi="Microsoft Sans Serif"/>
          <w:sz w:val="19"/>
        </w:rPr>
        <w:t>sangue.</w:t>
      </w:r>
      <w:r>
        <w:rPr>
          <w:rFonts w:ascii="Microsoft Sans Serif" w:hAnsi="Microsoft Sans Serif"/>
          <w:spacing w:val="17"/>
          <w:sz w:val="19"/>
        </w:rPr>
        <w:t> </w:t>
      </w:r>
      <w:r>
        <w:rPr>
          <w:rFonts w:ascii="Arial" w:hAnsi="Arial"/>
          <w:b/>
          <w:sz w:val="19"/>
        </w:rPr>
        <w:t>E.</w:t>
      </w:r>
      <w:r>
        <w:rPr>
          <w:rFonts w:ascii="Arial" w:hAnsi="Arial"/>
          <w:b/>
          <w:spacing w:val="17"/>
          <w:sz w:val="19"/>
        </w:rPr>
        <w:t> </w:t>
      </w:r>
      <w:r>
        <w:rPr>
          <w:rFonts w:ascii="Microsoft Sans Serif" w:hAnsi="Microsoft Sans Serif"/>
          <w:sz w:val="19"/>
        </w:rPr>
        <w:t>Reimplante</w:t>
      </w:r>
      <w:r>
        <w:rPr>
          <w:rFonts w:ascii="Microsoft Sans Serif" w:hAnsi="Microsoft Sans Serif"/>
          <w:spacing w:val="33"/>
          <w:sz w:val="19"/>
        </w:rPr>
        <w:t> </w:t>
      </w:r>
      <w:r>
        <w:rPr>
          <w:rFonts w:ascii="Microsoft Sans Serif" w:hAnsi="Microsoft Sans Serif"/>
          <w:sz w:val="19"/>
        </w:rPr>
        <w:t>em</w:t>
      </w:r>
      <w:r>
        <w:rPr>
          <w:rFonts w:ascii="Microsoft Sans Serif" w:hAnsi="Microsoft Sans Serif"/>
          <w:spacing w:val="27"/>
          <w:sz w:val="19"/>
        </w:rPr>
        <w:t> </w:t>
      </w:r>
      <w:r>
        <w:rPr>
          <w:rFonts w:ascii="Microsoft Sans Serif" w:hAnsi="Microsoft Sans Serif"/>
          <w:sz w:val="19"/>
        </w:rPr>
        <w:t>ilha</w:t>
      </w:r>
      <w:r>
        <w:rPr>
          <w:rFonts w:ascii="Microsoft Sans Serif" w:hAnsi="Microsoft Sans Serif"/>
          <w:spacing w:val="33"/>
          <w:sz w:val="19"/>
        </w:rPr>
        <w:t> </w:t>
      </w:r>
      <w:r>
        <w:rPr>
          <w:rFonts w:ascii="Microsoft Sans Serif" w:hAnsi="Microsoft Sans Serif"/>
          <w:sz w:val="19"/>
        </w:rPr>
        <w:t>(laterolateral)</w:t>
      </w:r>
      <w:r>
        <w:rPr>
          <w:rFonts w:ascii="Microsoft Sans Serif" w:hAnsi="Microsoft Sans Serif"/>
          <w:spacing w:val="27"/>
          <w:sz w:val="19"/>
        </w:rPr>
        <w:t> </w:t>
      </w:r>
      <w:r>
        <w:rPr>
          <w:rFonts w:ascii="Microsoft Sans Serif" w:hAnsi="Microsoft Sans Serif"/>
          <w:sz w:val="19"/>
        </w:rPr>
        <w:t>das</w:t>
      </w:r>
      <w:r>
        <w:rPr>
          <w:rFonts w:ascii="Microsoft Sans Serif" w:hAnsi="Microsoft Sans Serif"/>
          <w:spacing w:val="27"/>
          <w:sz w:val="19"/>
        </w:rPr>
        <w:t> </w:t>
      </w:r>
      <w:r>
        <w:rPr>
          <w:rFonts w:ascii="Microsoft Sans Serif" w:hAnsi="Microsoft Sans Serif"/>
          <w:sz w:val="19"/>
        </w:rPr>
        <w:t>artérias</w:t>
      </w:r>
      <w:r>
        <w:rPr>
          <w:rFonts w:ascii="Microsoft Sans Serif" w:hAnsi="Microsoft Sans Serif"/>
          <w:spacing w:val="26"/>
          <w:sz w:val="19"/>
        </w:rPr>
        <w:t> </w:t>
      </w:r>
      <w:r>
        <w:rPr>
          <w:rFonts w:ascii="Microsoft Sans Serif" w:hAnsi="Microsoft Sans Serif"/>
          <w:sz w:val="19"/>
        </w:rPr>
        <w:t>intercostais</w:t>
      </w:r>
      <w:r>
        <w:rPr>
          <w:rFonts w:ascii="Microsoft Sans Serif" w:hAnsi="Microsoft Sans Serif"/>
          <w:spacing w:val="27"/>
          <w:sz w:val="19"/>
        </w:rPr>
        <w:t> </w:t>
      </w:r>
      <w:r>
        <w:rPr>
          <w:rFonts w:ascii="Microsoft Sans Serif" w:hAnsi="Microsoft Sans Serif"/>
          <w:sz w:val="19"/>
        </w:rPr>
        <w:t>T8-L1 no</w:t>
      </w:r>
      <w:r>
        <w:rPr>
          <w:rFonts w:ascii="Microsoft Sans Serif" w:hAnsi="Microsoft Sans Serif"/>
          <w:spacing w:val="35"/>
          <w:sz w:val="19"/>
        </w:rPr>
        <w:t> </w:t>
      </w:r>
      <w:r>
        <w:rPr>
          <w:rFonts w:ascii="Microsoft Sans Serif" w:hAnsi="Microsoft Sans Serif"/>
          <w:sz w:val="19"/>
        </w:rPr>
        <w:t>enxerto</w:t>
      </w:r>
      <w:r>
        <w:rPr>
          <w:rFonts w:ascii="Microsoft Sans Serif" w:hAnsi="Microsoft Sans Serif"/>
          <w:spacing w:val="35"/>
          <w:sz w:val="19"/>
        </w:rPr>
        <w:t> </w:t>
      </w:r>
      <w:r>
        <w:rPr>
          <w:rFonts w:ascii="Microsoft Sans Serif" w:hAnsi="Microsoft Sans Serif"/>
          <w:sz w:val="19"/>
        </w:rPr>
        <w:t>tubular. </w:t>
      </w:r>
      <w:r>
        <w:rPr>
          <w:rFonts w:ascii="Arial" w:hAnsi="Arial"/>
          <w:b/>
          <w:sz w:val="19"/>
        </w:rPr>
        <w:t>F. </w:t>
      </w:r>
      <w:r>
        <w:rPr>
          <w:rFonts w:ascii="Microsoft Sans Serif" w:hAnsi="Microsoft Sans Serif"/>
          <w:sz w:val="19"/>
        </w:rPr>
        <w:t>Aspecto</w:t>
      </w:r>
      <w:r>
        <w:rPr>
          <w:rFonts w:ascii="Microsoft Sans Serif" w:hAnsi="Microsoft Sans Serif"/>
          <w:spacing w:val="36"/>
          <w:sz w:val="19"/>
        </w:rPr>
        <w:t> </w:t>
      </w:r>
      <w:r>
        <w:rPr>
          <w:rFonts w:ascii="Microsoft Sans Serif" w:hAnsi="Microsoft Sans Serif"/>
          <w:sz w:val="19"/>
        </w:rPr>
        <w:t>final</w:t>
      </w:r>
      <w:r>
        <w:rPr>
          <w:rFonts w:ascii="Microsoft Sans Serif" w:hAnsi="Microsoft Sans Serif"/>
          <w:spacing w:val="37"/>
          <w:sz w:val="19"/>
        </w:rPr>
        <w:t> </w:t>
      </w:r>
      <w:r>
        <w:rPr>
          <w:rFonts w:ascii="Microsoft Sans Serif" w:hAnsi="Microsoft Sans Serif"/>
          <w:sz w:val="19"/>
        </w:rPr>
        <w:t>da</w:t>
      </w:r>
      <w:r>
        <w:rPr>
          <w:rFonts w:ascii="Microsoft Sans Serif" w:hAnsi="Microsoft Sans Serif"/>
          <w:spacing w:val="36"/>
          <w:sz w:val="19"/>
        </w:rPr>
        <w:t> </w:t>
      </w:r>
      <w:r>
        <w:rPr>
          <w:rFonts w:ascii="Microsoft Sans Serif" w:hAnsi="Microsoft Sans Serif"/>
          <w:sz w:val="19"/>
        </w:rPr>
        <w:t>“neo” aorta</w:t>
      </w:r>
      <w:r>
        <w:rPr>
          <w:rFonts w:ascii="Microsoft Sans Serif" w:hAnsi="Microsoft Sans Serif"/>
          <w:spacing w:val="36"/>
          <w:sz w:val="19"/>
        </w:rPr>
        <w:t> </w:t>
      </w:r>
      <w:r>
        <w:rPr>
          <w:rFonts w:ascii="Microsoft Sans Serif" w:hAnsi="Microsoft Sans Serif"/>
          <w:sz w:val="19"/>
        </w:rPr>
        <w:t>do</w:t>
      </w:r>
      <w:r>
        <w:rPr>
          <w:rFonts w:ascii="Microsoft Sans Serif" w:hAnsi="Microsoft Sans Serif"/>
          <w:spacing w:val="36"/>
          <w:sz w:val="19"/>
        </w:rPr>
        <w:t> </w:t>
      </w:r>
      <w:r>
        <w:rPr>
          <w:rFonts w:ascii="Microsoft Sans Serif" w:hAnsi="Microsoft Sans Serif"/>
          <w:sz w:val="19"/>
        </w:rPr>
        <w:t>paciente, com reimplante</w:t>
      </w:r>
      <w:r>
        <w:rPr>
          <w:rFonts w:ascii="Microsoft Sans Serif" w:hAnsi="Microsoft Sans Serif"/>
          <w:spacing w:val="36"/>
          <w:sz w:val="19"/>
        </w:rPr>
        <w:t> </w:t>
      </w:r>
      <w:r>
        <w:rPr>
          <w:rFonts w:ascii="Microsoft Sans Serif" w:hAnsi="Microsoft Sans Serif"/>
          <w:sz w:val="19"/>
        </w:rPr>
        <w:t>da</w:t>
      </w:r>
      <w:r>
        <w:rPr>
          <w:rFonts w:ascii="Microsoft Sans Serif" w:hAnsi="Microsoft Sans Serif"/>
          <w:spacing w:val="36"/>
          <w:sz w:val="19"/>
        </w:rPr>
        <w:t> </w:t>
      </w:r>
      <w:r>
        <w:rPr>
          <w:rFonts w:ascii="Microsoft Sans Serif" w:hAnsi="Microsoft Sans Serif"/>
          <w:sz w:val="19"/>
        </w:rPr>
        <w:t>artéria</w:t>
      </w:r>
      <w:r>
        <w:rPr>
          <w:rFonts w:ascii="Microsoft Sans Serif" w:hAnsi="Microsoft Sans Serif"/>
          <w:spacing w:val="36"/>
          <w:sz w:val="19"/>
        </w:rPr>
        <w:t> </w:t>
      </w:r>
      <w:r>
        <w:rPr>
          <w:rFonts w:ascii="Microsoft Sans Serif" w:hAnsi="Microsoft Sans Serif"/>
          <w:sz w:val="19"/>
        </w:rPr>
        <w:t>renal</w:t>
      </w:r>
      <w:r>
        <w:rPr>
          <w:rFonts w:ascii="Microsoft Sans Serif" w:hAnsi="Microsoft Sans Serif"/>
          <w:spacing w:val="37"/>
          <w:sz w:val="19"/>
        </w:rPr>
        <w:t> </w:t>
      </w:r>
      <w:r>
        <w:rPr>
          <w:rFonts w:ascii="Microsoft Sans Serif" w:hAnsi="Microsoft Sans Serif"/>
          <w:sz w:val="19"/>
        </w:rPr>
        <w:t>esquerda</w:t>
      </w:r>
      <w:r>
        <w:rPr>
          <w:rFonts w:ascii="Microsoft Sans Serif" w:hAnsi="Microsoft Sans Serif"/>
          <w:spacing w:val="36"/>
          <w:sz w:val="19"/>
        </w:rPr>
        <w:t> </w:t>
      </w:r>
      <w:r>
        <w:rPr>
          <w:rFonts w:ascii="Microsoft Sans Serif" w:hAnsi="Microsoft Sans Serif"/>
          <w:sz w:val="19"/>
        </w:rPr>
        <w:t>separada</w:t>
      </w:r>
      <w:r>
        <w:rPr>
          <w:rFonts w:ascii="Microsoft Sans Serif" w:hAnsi="Microsoft Sans Serif"/>
          <w:spacing w:val="36"/>
          <w:sz w:val="19"/>
        </w:rPr>
        <w:t> </w:t>
      </w:r>
      <w:r>
        <w:rPr>
          <w:rFonts w:ascii="Microsoft Sans Serif" w:hAnsi="Microsoft Sans Serif"/>
          <w:sz w:val="19"/>
        </w:rPr>
        <w:t>dos outros</w:t>
      </w:r>
      <w:r>
        <w:rPr>
          <w:rFonts w:ascii="Microsoft Sans Serif" w:hAnsi="Microsoft Sans Serif"/>
          <w:spacing w:val="26"/>
          <w:sz w:val="19"/>
        </w:rPr>
        <w:t> </w:t>
      </w:r>
      <w:r>
        <w:rPr>
          <w:rFonts w:ascii="Microsoft Sans Serif" w:hAnsi="Microsoft Sans Serif"/>
          <w:sz w:val="19"/>
        </w:rPr>
        <w:t>três</w:t>
      </w:r>
      <w:r>
        <w:rPr>
          <w:rFonts w:ascii="Microsoft Sans Serif" w:hAnsi="Microsoft Sans Serif"/>
          <w:spacing w:val="26"/>
          <w:sz w:val="19"/>
        </w:rPr>
        <w:t> </w:t>
      </w:r>
      <w:r>
        <w:rPr>
          <w:rFonts w:ascii="Microsoft Sans Serif" w:hAnsi="Microsoft Sans Serif"/>
          <w:sz w:val="19"/>
        </w:rPr>
        <w:t>vasos</w:t>
      </w:r>
      <w:r>
        <w:rPr>
          <w:rFonts w:ascii="Microsoft Sans Serif" w:hAnsi="Microsoft Sans Serif"/>
          <w:spacing w:val="26"/>
          <w:sz w:val="19"/>
        </w:rPr>
        <w:t> </w:t>
      </w:r>
      <w:r>
        <w:rPr>
          <w:rFonts w:ascii="Microsoft Sans Serif" w:hAnsi="Microsoft Sans Serif"/>
          <w:sz w:val="19"/>
        </w:rPr>
        <w:t>pela</w:t>
      </w:r>
      <w:r>
        <w:rPr>
          <w:rFonts w:ascii="Microsoft Sans Serif" w:hAnsi="Microsoft Sans Serif"/>
          <w:spacing w:val="32"/>
          <w:sz w:val="19"/>
        </w:rPr>
        <w:t> </w:t>
      </w:r>
      <w:r>
        <w:rPr>
          <w:rFonts w:ascii="Microsoft Sans Serif" w:hAnsi="Microsoft Sans Serif"/>
          <w:sz w:val="19"/>
        </w:rPr>
        <w:t>distância</w:t>
      </w:r>
      <w:r>
        <w:rPr>
          <w:rFonts w:ascii="Microsoft Sans Serif" w:hAnsi="Microsoft Sans Serif"/>
          <w:spacing w:val="32"/>
          <w:sz w:val="19"/>
        </w:rPr>
        <w:t> </w:t>
      </w:r>
      <w:r>
        <w:rPr>
          <w:rFonts w:ascii="Microsoft Sans Serif" w:hAnsi="Microsoft Sans Serif"/>
          <w:sz w:val="19"/>
        </w:rPr>
        <w:t>entre</w:t>
      </w:r>
      <w:r>
        <w:rPr>
          <w:rFonts w:ascii="Microsoft Sans Serif" w:hAnsi="Microsoft Sans Serif"/>
          <w:spacing w:val="32"/>
          <w:sz w:val="19"/>
        </w:rPr>
        <w:t> </w:t>
      </w:r>
      <w:r>
        <w:rPr>
          <w:rFonts w:ascii="Microsoft Sans Serif" w:hAnsi="Microsoft Sans Serif"/>
          <w:sz w:val="19"/>
        </w:rPr>
        <w:t>eles. </w:t>
      </w:r>
      <w:r>
        <w:rPr>
          <w:rFonts w:ascii="Arial" w:hAnsi="Arial"/>
          <w:b/>
          <w:sz w:val="19"/>
        </w:rPr>
        <w:t>G. </w:t>
      </w:r>
      <w:r>
        <w:rPr>
          <w:rFonts w:ascii="Microsoft Sans Serif" w:hAnsi="Microsoft Sans Serif"/>
          <w:sz w:val="19"/>
        </w:rPr>
        <w:t>Aspecto</w:t>
      </w:r>
      <w:r>
        <w:rPr>
          <w:rFonts w:ascii="Microsoft Sans Serif" w:hAnsi="Microsoft Sans Serif"/>
          <w:spacing w:val="36"/>
          <w:sz w:val="19"/>
        </w:rPr>
        <w:t> </w:t>
      </w:r>
      <w:r>
        <w:rPr>
          <w:rFonts w:ascii="Microsoft Sans Serif" w:hAnsi="Microsoft Sans Serif"/>
          <w:sz w:val="19"/>
        </w:rPr>
        <w:t>final</w:t>
      </w:r>
      <w:r>
        <w:rPr>
          <w:rFonts w:ascii="Microsoft Sans Serif" w:hAnsi="Microsoft Sans Serif"/>
          <w:spacing w:val="36"/>
          <w:sz w:val="19"/>
        </w:rPr>
        <w:t> </w:t>
      </w:r>
      <w:r>
        <w:rPr>
          <w:rFonts w:ascii="Microsoft Sans Serif" w:hAnsi="Microsoft Sans Serif"/>
          <w:sz w:val="19"/>
        </w:rPr>
        <w:t>da</w:t>
      </w:r>
      <w:r>
        <w:rPr>
          <w:rFonts w:ascii="Microsoft Sans Serif" w:hAnsi="Microsoft Sans Serif"/>
          <w:spacing w:val="36"/>
          <w:sz w:val="19"/>
        </w:rPr>
        <w:t> </w:t>
      </w:r>
      <w:r>
        <w:rPr>
          <w:rFonts w:ascii="Microsoft Sans Serif" w:hAnsi="Microsoft Sans Serif"/>
          <w:sz w:val="19"/>
        </w:rPr>
        <w:t>“neo”</w:t>
      </w:r>
      <w:r>
        <w:rPr>
          <w:rFonts w:ascii="Microsoft Sans Serif" w:hAnsi="Microsoft Sans Serif"/>
          <w:spacing w:val="30"/>
          <w:sz w:val="19"/>
        </w:rPr>
        <w:t> </w:t>
      </w:r>
      <w:r>
        <w:rPr>
          <w:rFonts w:ascii="Microsoft Sans Serif" w:hAnsi="Microsoft Sans Serif"/>
          <w:sz w:val="19"/>
        </w:rPr>
        <w:t>aorta</w:t>
      </w:r>
      <w:r>
        <w:rPr>
          <w:rFonts w:ascii="Microsoft Sans Serif" w:hAnsi="Microsoft Sans Serif"/>
          <w:spacing w:val="36"/>
          <w:sz w:val="19"/>
        </w:rPr>
        <w:t> </w:t>
      </w:r>
      <w:r>
        <w:rPr>
          <w:rFonts w:ascii="Microsoft Sans Serif" w:hAnsi="Microsoft Sans Serif"/>
          <w:sz w:val="19"/>
        </w:rPr>
        <w:t>de</w:t>
      </w:r>
      <w:r>
        <w:rPr>
          <w:rFonts w:ascii="Microsoft Sans Serif" w:hAnsi="Microsoft Sans Serif"/>
          <w:spacing w:val="36"/>
          <w:sz w:val="19"/>
        </w:rPr>
        <w:t> </w:t>
      </w:r>
      <w:r>
        <w:rPr>
          <w:rFonts w:ascii="Microsoft Sans Serif" w:hAnsi="Microsoft Sans Serif"/>
          <w:sz w:val="19"/>
        </w:rPr>
        <w:t>outro</w:t>
      </w:r>
      <w:r>
        <w:rPr>
          <w:rFonts w:ascii="Microsoft Sans Serif" w:hAnsi="Microsoft Sans Serif"/>
          <w:spacing w:val="36"/>
          <w:sz w:val="19"/>
        </w:rPr>
        <w:t> </w:t>
      </w:r>
      <w:r>
        <w:rPr>
          <w:rFonts w:ascii="Microsoft Sans Serif" w:hAnsi="Microsoft Sans Serif"/>
          <w:sz w:val="19"/>
        </w:rPr>
        <w:t>paciente,</w:t>
      </w:r>
      <w:r>
        <w:rPr>
          <w:rFonts w:ascii="Microsoft Sans Serif" w:hAnsi="Microsoft Sans Serif"/>
          <w:spacing w:val="22"/>
          <w:sz w:val="19"/>
        </w:rPr>
        <w:t> </w:t>
      </w:r>
      <w:r>
        <w:rPr>
          <w:rFonts w:ascii="Microsoft Sans Serif" w:hAnsi="Microsoft Sans Serif"/>
          <w:sz w:val="19"/>
        </w:rPr>
        <w:t>com</w:t>
      </w:r>
      <w:r>
        <w:rPr>
          <w:rFonts w:ascii="Microsoft Sans Serif" w:hAnsi="Microsoft Sans Serif"/>
          <w:spacing w:val="30"/>
          <w:sz w:val="19"/>
        </w:rPr>
        <w:t> </w:t>
      </w:r>
      <w:r>
        <w:rPr>
          <w:rFonts w:ascii="Microsoft Sans Serif" w:hAnsi="Microsoft Sans Serif"/>
          <w:sz w:val="19"/>
        </w:rPr>
        <w:t>reimplante</w:t>
      </w:r>
      <w:r>
        <w:rPr>
          <w:rFonts w:ascii="Microsoft Sans Serif" w:hAnsi="Microsoft Sans Serif"/>
          <w:spacing w:val="36"/>
          <w:sz w:val="19"/>
        </w:rPr>
        <w:t> </w:t>
      </w:r>
      <w:r>
        <w:rPr>
          <w:rFonts w:ascii="Microsoft Sans Serif" w:hAnsi="Microsoft Sans Serif"/>
          <w:sz w:val="19"/>
        </w:rPr>
        <w:t>da</w:t>
      </w:r>
      <w:r>
        <w:rPr>
          <w:rFonts w:ascii="Microsoft Sans Serif" w:hAnsi="Microsoft Sans Serif"/>
          <w:spacing w:val="36"/>
          <w:sz w:val="19"/>
        </w:rPr>
        <w:t> </w:t>
      </w:r>
      <w:r>
        <w:rPr>
          <w:rFonts w:ascii="Microsoft Sans Serif" w:hAnsi="Microsoft Sans Serif"/>
          <w:sz w:val="19"/>
        </w:rPr>
        <w:t>artéria renal</w:t>
      </w:r>
      <w:r>
        <w:rPr>
          <w:rFonts w:ascii="Microsoft Sans Serif" w:hAnsi="Microsoft Sans Serif"/>
          <w:spacing w:val="29"/>
          <w:sz w:val="19"/>
        </w:rPr>
        <w:t> </w:t>
      </w:r>
      <w:r>
        <w:rPr>
          <w:rFonts w:ascii="Microsoft Sans Serif" w:hAnsi="Microsoft Sans Serif"/>
          <w:sz w:val="19"/>
        </w:rPr>
        <w:t>esquerda</w:t>
      </w:r>
      <w:r>
        <w:rPr>
          <w:rFonts w:ascii="Microsoft Sans Serif" w:hAnsi="Microsoft Sans Serif"/>
          <w:spacing w:val="29"/>
          <w:sz w:val="19"/>
        </w:rPr>
        <w:t> </w:t>
      </w:r>
      <w:r>
        <w:rPr>
          <w:rFonts w:ascii="Microsoft Sans Serif" w:hAnsi="Microsoft Sans Serif"/>
          <w:sz w:val="19"/>
        </w:rPr>
        <w:t>direto</w:t>
      </w:r>
      <w:r>
        <w:rPr>
          <w:rFonts w:ascii="Microsoft Sans Serif" w:hAnsi="Microsoft Sans Serif"/>
          <w:spacing w:val="29"/>
          <w:sz w:val="19"/>
        </w:rPr>
        <w:t> </w:t>
      </w:r>
      <w:r>
        <w:rPr>
          <w:rFonts w:ascii="Microsoft Sans Serif" w:hAnsi="Microsoft Sans Serif"/>
          <w:sz w:val="19"/>
        </w:rPr>
        <w:t>na</w:t>
      </w:r>
      <w:r>
        <w:rPr>
          <w:rFonts w:ascii="Microsoft Sans Serif" w:hAnsi="Microsoft Sans Serif"/>
          <w:spacing w:val="29"/>
          <w:sz w:val="19"/>
        </w:rPr>
        <w:t> </w:t>
      </w:r>
      <w:r>
        <w:rPr>
          <w:rFonts w:ascii="Microsoft Sans Serif" w:hAnsi="Microsoft Sans Serif"/>
          <w:sz w:val="19"/>
        </w:rPr>
        <w:t>prótese</w:t>
      </w:r>
      <w:r>
        <w:rPr>
          <w:rFonts w:ascii="Microsoft Sans Serif" w:hAnsi="Microsoft Sans Serif"/>
          <w:spacing w:val="29"/>
          <w:sz w:val="19"/>
        </w:rPr>
        <w:t> </w:t>
      </w:r>
      <w:r>
        <w:rPr>
          <w:rFonts w:ascii="Microsoft Sans Serif" w:hAnsi="Microsoft Sans Serif"/>
          <w:sz w:val="19"/>
        </w:rPr>
        <w:t>e</w:t>
      </w:r>
      <w:r>
        <w:rPr>
          <w:rFonts w:ascii="Microsoft Sans Serif" w:hAnsi="Microsoft Sans Serif"/>
          <w:spacing w:val="29"/>
          <w:sz w:val="19"/>
        </w:rPr>
        <w:t> </w:t>
      </w:r>
      <w:r>
        <w:rPr>
          <w:rFonts w:ascii="Microsoft Sans Serif" w:hAnsi="Microsoft Sans Serif"/>
          <w:sz w:val="19"/>
        </w:rPr>
        <w:t>da</w:t>
      </w:r>
      <w:r>
        <w:rPr>
          <w:rFonts w:ascii="Microsoft Sans Serif" w:hAnsi="Microsoft Sans Serif"/>
          <w:spacing w:val="29"/>
          <w:sz w:val="19"/>
        </w:rPr>
        <w:t> </w:t>
      </w:r>
      <w:r>
        <w:rPr>
          <w:rFonts w:ascii="Microsoft Sans Serif" w:hAnsi="Microsoft Sans Serif"/>
          <w:sz w:val="19"/>
        </w:rPr>
        <w:t>artéria</w:t>
      </w:r>
      <w:r>
        <w:rPr>
          <w:rFonts w:ascii="Microsoft Sans Serif" w:hAnsi="Microsoft Sans Serif"/>
          <w:spacing w:val="29"/>
          <w:sz w:val="19"/>
        </w:rPr>
        <w:t> </w:t>
      </w:r>
      <w:r>
        <w:rPr>
          <w:rFonts w:ascii="Microsoft Sans Serif" w:hAnsi="Microsoft Sans Serif"/>
          <w:sz w:val="19"/>
        </w:rPr>
        <w:t>renal</w:t>
      </w:r>
      <w:r>
        <w:rPr>
          <w:rFonts w:ascii="Microsoft Sans Serif" w:hAnsi="Microsoft Sans Serif"/>
          <w:spacing w:val="29"/>
          <w:sz w:val="19"/>
        </w:rPr>
        <w:t> </w:t>
      </w:r>
      <w:r>
        <w:rPr>
          <w:rFonts w:ascii="Microsoft Sans Serif" w:hAnsi="Microsoft Sans Serif"/>
          <w:sz w:val="19"/>
        </w:rPr>
        <w:t>direita</w:t>
      </w:r>
      <w:r>
        <w:rPr>
          <w:rFonts w:ascii="Microsoft Sans Serif" w:hAnsi="Microsoft Sans Serif"/>
          <w:spacing w:val="29"/>
          <w:sz w:val="19"/>
        </w:rPr>
        <w:t> </w:t>
      </w:r>
      <w:r>
        <w:rPr>
          <w:rFonts w:ascii="Microsoft Sans Serif" w:hAnsi="Microsoft Sans Serif"/>
          <w:sz w:val="19"/>
        </w:rPr>
        <w:t>interposta</w:t>
      </w:r>
      <w:r>
        <w:rPr>
          <w:rFonts w:ascii="Microsoft Sans Serif" w:hAnsi="Microsoft Sans Serif"/>
          <w:spacing w:val="29"/>
          <w:sz w:val="19"/>
        </w:rPr>
        <w:t> </w:t>
      </w:r>
      <w:r>
        <w:rPr>
          <w:rFonts w:ascii="Microsoft Sans Serif" w:hAnsi="Microsoft Sans Serif"/>
          <w:sz w:val="19"/>
        </w:rPr>
        <w:t>com enxerto</w:t>
      </w:r>
      <w:r>
        <w:rPr>
          <w:rFonts w:ascii="Microsoft Sans Serif" w:hAnsi="Microsoft Sans Serif"/>
          <w:spacing w:val="29"/>
          <w:sz w:val="19"/>
        </w:rPr>
        <w:t> </w:t>
      </w:r>
      <w:r>
        <w:rPr>
          <w:rFonts w:ascii="Microsoft Sans Serif" w:hAnsi="Microsoft Sans Serif"/>
          <w:sz w:val="19"/>
        </w:rPr>
        <w:t>tubular mais fino.</w:t>
      </w:r>
    </w:p>
    <w:p>
      <w:pPr>
        <w:spacing w:after="0" w:line="283" w:lineRule="auto"/>
        <w:jc w:val="both"/>
        <w:rPr>
          <w:rFonts w:ascii="Microsoft Sans Serif" w:hAnsi="Microsoft Sans Serif"/>
          <w:sz w:val="19"/>
        </w:rPr>
        <w:sectPr>
          <w:pgSz w:w="11900" w:h="16840"/>
          <w:pgMar w:top="200" w:bottom="280" w:left="566" w:right="141"/>
        </w:sectPr>
      </w:pPr>
    </w:p>
    <w:p>
      <w:pPr>
        <w:spacing w:line="240" w:lineRule="auto"/>
        <w:ind w:left="1555" w:right="0" w:firstLine="0"/>
        <w:rPr>
          <w:rFonts w:ascii="Microsoft Sans Serif"/>
          <w:sz w:val="20"/>
        </w:rPr>
      </w:pPr>
      <w:r>
        <w:rPr>
          <w:rFonts w:ascii="Microsoft Sans Serif"/>
          <w:sz w:val="20"/>
        </w:rPr>
        <w:drawing>
          <wp:inline distT="0" distB="0" distL="0" distR="0">
            <wp:extent cx="4881862" cy="243582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4" cstate="print"/>
                    <a:stretch>
                      <a:fillRect/>
                    </a:stretch>
                  </pic:blipFill>
                  <pic:spPr>
                    <a:xfrm>
                      <a:off x="0" y="0"/>
                      <a:ext cx="4881862" cy="2435828"/>
                    </a:xfrm>
                    <a:prstGeom prst="rect">
                      <a:avLst/>
                    </a:prstGeom>
                  </pic:spPr>
                </pic:pic>
              </a:graphicData>
            </a:graphic>
          </wp:inline>
        </w:drawing>
      </w:r>
      <w:r>
        <w:rPr>
          <w:rFonts w:ascii="Microsoft Sans Serif"/>
          <w:sz w:val="20"/>
        </w:rPr>
      </w:r>
    </w:p>
    <w:p>
      <w:pPr>
        <w:pStyle w:val="BodyText"/>
        <w:spacing w:before="47"/>
        <w:ind w:left="0" w:firstLine="0"/>
        <w:jc w:val="left"/>
        <w:rPr>
          <w:rFonts w:ascii="Microsoft Sans Serif"/>
          <w:sz w:val="19"/>
        </w:rPr>
      </w:pPr>
    </w:p>
    <w:p>
      <w:pPr>
        <w:spacing w:line="283" w:lineRule="auto" w:before="0"/>
        <w:ind w:left="68" w:right="503" w:firstLine="0"/>
        <w:jc w:val="both"/>
        <w:rPr>
          <w:rFonts w:ascii="Microsoft Sans Serif" w:hAnsi="Microsoft Sans Serif"/>
          <w:sz w:val="19"/>
        </w:rPr>
      </w:pPr>
      <w:r>
        <w:rPr>
          <w:rFonts w:ascii="Arial" w:hAnsi="Arial"/>
          <w:b/>
          <w:color w:val="242B67"/>
          <w:sz w:val="19"/>
        </w:rPr>
        <w:t>Figura 58.13 </w:t>
      </w:r>
      <w:r>
        <w:rPr>
          <w:rFonts w:ascii="Microsoft Sans Serif" w:hAnsi="Microsoft Sans Serif"/>
          <w:sz w:val="19"/>
        </w:rPr>
        <w:t>Desenho esquemático da utilização do </w:t>
      </w:r>
      <w:r>
        <w:rPr>
          <w:rFonts w:ascii="Arial" w:hAnsi="Arial"/>
          <w:i/>
          <w:sz w:val="19"/>
        </w:rPr>
        <w:t>stent </w:t>
      </w:r>
      <w:r>
        <w:rPr>
          <w:rFonts w:ascii="Microsoft Sans Serif" w:hAnsi="Microsoft Sans Serif"/>
          <w:sz w:val="19"/>
        </w:rPr>
        <w:t>de aorta na correção das doenças da aorta descendente (aneurisma, dissecção, UAP ou HIM </w:t>
      </w:r>
      <w:r>
        <w:rPr>
          <w:rFonts w:ascii="Microsoft Sans Serif" w:hAnsi="Microsoft Sans Serif"/>
          <w:w w:val="165"/>
          <w:sz w:val="19"/>
        </w:rPr>
        <w:t>–</w:t>
      </w:r>
      <w:r>
        <w:rPr>
          <w:rFonts w:ascii="Microsoft Sans Serif" w:hAnsi="Microsoft Sans Serif"/>
          <w:w w:val="165"/>
          <w:sz w:val="19"/>
        </w:rPr>
        <w:t> </w:t>
      </w:r>
      <w:r>
        <w:rPr>
          <w:rFonts w:ascii="Microsoft Sans Serif" w:hAnsi="Microsoft Sans Serif"/>
          <w:sz w:val="19"/>
        </w:rPr>
        <w:t>o tratamento endovascular com prótese autoexpansível é recurso alternativo às interposições</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tubo</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Dacron).</w:t>
      </w:r>
      <w:r>
        <w:rPr>
          <w:rFonts w:ascii="Microsoft Sans Serif" w:hAnsi="Microsoft Sans Serif"/>
          <w:spacing w:val="40"/>
          <w:sz w:val="19"/>
        </w:rPr>
        <w:t> </w:t>
      </w:r>
      <w:r>
        <w:rPr>
          <w:rFonts w:ascii="Arial" w:hAnsi="Arial"/>
          <w:b/>
          <w:sz w:val="19"/>
        </w:rPr>
        <w:t>A.</w:t>
      </w:r>
      <w:r>
        <w:rPr>
          <w:rFonts w:ascii="Arial" w:hAnsi="Arial"/>
          <w:b/>
          <w:spacing w:val="40"/>
          <w:sz w:val="19"/>
        </w:rPr>
        <w:t> </w:t>
      </w:r>
      <w:r>
        <w:rPr>
          <w:rFonts w:ascii="Microsoft Sans Serif" w:hAnsi="Microsoft Sans Serif"/>
          <w:sz w:val="19"/>
        </w:rPr>
        <w:t>Desenho</w:t>
      </w:r>
      <w:r>
        <w:rPr>
          <w:rFonts w:ascii="Microsoft Sans Serif" w:hAnsi="Microsoft Sans Serif"/>
          <w:spacing w:val="40"/>
          <w:sz w:val="19"/>
        </w:rPr>
        <w:t> </w:t>
      </w:r>
      <w:r>
        <w:rPr>
          <w:rFonts w:ascii="Microsoft Sans Serif" w:hAnsi="Microsoft Sans Serif"/>
          <w:sz w:val="19"/>
        </w:rPr>
        <w:t>esquemático</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aneurisma</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descendente.</w:t>
      </w:r>
      <w:r>
        <w:rPr>
          <w:rFonts w:ascii="Microsoft Sans Serif" w:hAnsi="Microsoft Sans Serif"/>
          <w:spacing w:val="40"/>
          <w:sz w:val="19"/>
        </w:rPr>
        <w:t> </w:t>
      </w:r>
      <w:r>
        <w:rPr>
          <w:rFonts w:ascii="Arial" w:hAnsi="Arial"/>
          <w:b/>
          <w:sz w:val="19"/>
        </w:rPr>
        <w:t>B.</w:t>
      </w:r>
      <w:r>
        <w:rPr>
          <w:rFonts w:ascii="Arial" w:hAnsi="Arial"/>
          <w:b/>
          <w:spacing w:val="40"/>
          <w:sz w:val="19"/>
        </w:rPr>
        <w:t> </w:t>
      </w:r>
      <w:r>
        <w:rPr>
          <w:rFonts w:ascii="Microsoft Sans Serif" w:hAnsi="Microsoft Sans Serif"/>
          <w:sz w:val="19"/>
        </w:rPr>
        <w:t>Introdução</w:t>
      </w:r>
      <w:r>
        <w:rPr>
          <w:rFonts w:ascii="Microsoft Sans Serif" w:hAnsi="Microsoft Sans Serif"/>
          <w:spacing w:val="40"/>
          <w:sz w:val="19"/>
        </w:rPr>
        <w:t> </w:t>
      </w:r>
      <w:r>
        <w:rPr>
          <w:rFonts w:ascii="Microsoft Sans Serif" w:hAnsi="Microsoft Sans Serif"/>
          <w:sz w:val="19"/>
        </w:rPr>
        <w:t>do cateter-guia</w:t>
      </w:r>
      <w:r>
        <w:rPr>
          <w:rFonts w:ascii="Microsoft Sans Serif" w:hAnsi="Microsoft Sans Serif"/>
          <w:spacing w:val="40"/>
          <w:sz w:val="19"/>
        </w:rPr>
        <w:t> </w:t>
      </w:r>
      <w:r>
        <w:rPr>
          <w:rFonts w:ascii="Microsoft Sans Serif" w:hAnsi="Microsoft Sans Serif"/>
          <w:sz w:val="19"/>
        </w:rPr>
        <w:t>pela</w:t>
      </w:r>
      <w:r>
        <w:rPr>
          <w:rFonts w:ascii="Microsoft Sans Serif" w:hAnsi="Microsoft Sans Serif"/>
          <w:spacing w:val="40"/>
          <w:sz w:val="19"/>
        </w:rPr>
        <w:t> </w:t>
      </w:r>
      <w:r>
        <w:rPr>
          <w:rFonts w:ascii="Microsoft Sans Serif" w:hAnsi="Microsoft Sans Serif"/>
          <w:sz w:val="19"/>
        </w:rPr>
        <w:t>artéria</w:t>
      </w:r>
      <w:r>
        <w:rPr>
          <w:rFonts w:ascii="Microsoft Sans Serif" w:hAnsi="Microsoft Sans Serif"/>
          <w:spacing w:val="40"/>
          <w:sz w:val="19"/>
        </w:rPr>
        <w:t> </w:t>
      </w:r>
      <w:r>
        <w:rPr>
          <w:rFonts w:ascii="Microsoft Sans Serif" w:hAnsi="Microsoft Sans Serif"/>
          <w:sz w:val="19"/>
        </w:rPr>
        <w:t>femoral</w:t>
      </w:r>
      <w:r>
        <w:rPr>
          <w:rFonts w:ascii="Microsoft Sans Serif" w:hAnsi="Microsoft Sans Serif"/>
          <w:spacing w:val="40"/>
          <w:sz w:val="19"/>
        </w:rPr>
        <w:t> </w:t>
      </w:r>
      <w:r>
        <w:rPr>
          <w:rFonts w:ascii="Microsoft Sans Serif" w:hAnsi="Microsoft Sans Serif"/>
          <w:sz w:val="19"/>
        </w:rPr>
        <w:t>esquerda.</w:t>
      </w:r>
      <w:r>
        <w:rPr>
          <w:rFonts w:ascii="Microsoft Sans Serif" w:hAnsi="Microsoft Sans Serif"/>
          <w:spacing w:val="39"/>
          <w:sz w:val="19"/>
        </w:rPr>
        <w:t> </w:t>
      </w:r>
      <w:r>
        <w:rPr>
          <w:rFonts w:ascii="Arial" w:hAnsi="Arial"/>
          <w:b/>
          <w:sz w:val="19"/>
        </w:rPr>
        <w:t>C.</w:t>
      </w:r>
      <w:r>
        <w:rPr>
          <w:rFonts w:ascii="Arial" w:hAnsi="Arial"/>
          <w:b/>
          <w:spacing w:val="39"/>
          <w:sz w:val="19"/>
        </w:rPr>
        <w:t> </w:t>
      </w:r>
      <w:r>
        <w:rPr>
          <w:rFonts w:ascii="Microsoft Sans Serif" w:hAnsi="Microsoft Sans Serif"/>
          <w:sz w:val="19"/>
        </w:rPr>
        <w:t>Introdução</w:t>
      </w:r>
      <w:r>
        <w:rPr>
          <w:rFonts w:ascii="Microsoft Sans Serif" w:hAnsi="Microsoft Sans Serif"/>
          <w:spacing w:val="40"/>
          <w:sz w:val="19"/>
        </w:rPr>
        <w:t> </w:t>
      </w:r>
      <w:r>
        <w:rPr>
          <w:rFonts w:ascii="Microsoft Sans Serif" w:hAnsi="Microsoft Sans Serif"/>
          <w:sz w:val="19"/>
        </w:rPr>
        <w:t>endovascular</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dispositivo</w:t>
      </w:r>
      <w:r>
        <w:rPr>
          <w:rFonts w:ascii="Microsoft Sans Serif" w:hAnsi="Microsoft Sans Serif"/>
          <w:spacing w:val="40"/>
          <w:sz w:val="19"/>
        </w:rPr>
        <w:t> </w:t>
      </w:r>
      <w:r>
        <w:rPr>
          <w:rFonts w:ascii="Microsoft Sans Serif" w:hAnsi="Microsoft Sans Serif"/>
          <w:sz w:val="19"/>
        </w:rPr>
        <w:t>(</w:t>
      </w:r>
      <w:r>
        <w:rPr>
          <w:rFonts w:ascii="Arial" w:hAnsi="Arial"/>
          <w:i/>
          <w:sz w:val="19"/>
        </w:rPr>
        <w:t>stent</w:t>
      </w:r>
      <w:r>
        <w:rPr>
          <w:rFonts w:ascii="Microsoft Sans Serif" w:hAnsi="Microsoft Sans Serif"/>
          <w:sz w:val="19"/>
        </w:rPr>
        <w:t>).</w:t>
      </w:r>
      <w:r>
        <w:rPr>
          <w:rFonts w:ascii="Microsoft Sans Serif" w:hAnsi="Microsoft Sans Serif"/>
          <w:spacing w:val="40"/>
          <w:sz w:val="19"/>
        </w:rPr>
        <w:t> </w:t>
      </w:r>
      <w:r>
        <w:rPr>
          <w:rFonts w:ascii="Arial" w:hAnsi="Arial"/>
          <w:b/>
          <w:sz w:val="19"/>
        </w:rPr>
        <w:t>D.</w:t>
      </w:r>
      <w:r>
        <w:rPr>
          <w:rFonts w:ascii="Arial" w:hAnsi="Arial"/>
          <w:b/>
          <w:spacing w:val="39"/>
          <w:sz w:val="19"/>
        </w:rPr>
        <w:t> </w:t>
      </w:r>
      <w:r>
        <w:rPr>
          <w:rFonts w:ascii="Microsoft Sans Serif" w:hAnsi="Microsoft Sans Serif"/>
          <w:sz w:val="19"/>
        </w:rPr>
        <w:t>Desenho</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Arial" w:hAnsi="Arial"/>
          <w:i/>
          <w:sz w:val="19"/>
        </w:rPr>
        <w:t>stent</w:t>
      </w:r>
      <w:r>
        <w:rPr>
          <w:rFonts w:ascii="Arial" w:hAnsi="Arial"/>
          <w:i/>
          <w:spacing w:val="39"/>
          <w:sz w:val="19"/>
        </w:rPr>
        <w:t> </w:t>
      </w:r>
      <w:r>
        <w:rPr>
          <w:rFonts w:ascii="Microsoft Sans Serif" w:hAnsi="Microsoft Sans Serif"/>
          <w:sz w:val="19"/>
        </w:rPr>
        <w:t>de aorta</w:t>
      </w:r>
      <w:r>
        <w:rPr>
          <w:rFonts w:ascii="Microsoft Sans Serif" w:hAnsi="Microsoft Sans Serif"/>
          <w:spacing w:val="40"/>
          <w:sz w:val="19"/>
        </w:rPr>
        <w:t> </w:t>
      </w:r>
      <w:r>
        <w:rPr>
          <w:rFonts w:ascii="Microsoft Sans Serif" w:hAnsi="Microsoft Sans Serif"/>
          <w:sz w:val="19"/>
        </w:rPr>
        <w:t>aberto, excluindo</w:t>
      </w:r>
      <w:r>
        <w:rPr>
          <w:rFonts w:ascii="Microsoft Sans Serif" w:hAnsi="Microsoft Sans Serif"/>
          <w:spacing w:val="40"/>
          <w:sz w:val="19"/>
        </w:rPr>
        <w:t> </w:t>
      </w:r>
      <w:r>
        <w:rPr>
          <w:rFonts w:ascii="Microsoft Sans Serif" w:hAnsi="Microsoft Sans Serif"/>
          <w:sz w:val="19"/>
        </w:rPr>
        <w:t>o</w:t>
      </w:r>
      <w:r>
        <w:rPr>
          <w:rFonts w:ascii="Microsoft Sans Serif" w:hAnsi="Microsoft Sans Serif"/>
          <w:spacing w:val="40"/>
          <w:sz w:val="19"/>
        </w:rPr>
        <w:t> </w:t>
      </w:r>
      <w:r>
        <w:rPr>
          <w:rFonts w:ascii="Microsoft Sans Serif" w:hAnsi="Microsoft Sans Serif"/>
          <w:sz w:val="19"/>
        </w:rPr>
        <w:t>aneurisma</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descendente</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circulação.</w:t>
      </w:r>
    </w:p>
    <w:p>
      <w:pPr>
        <w:spacing w:after="0" w:line="283" w:lineRule="auto"/>
        <w:jc w:val="both"/>
        <w:rPr>
          <w:rFonts w:ascii="Microsoft Sans Serif" w:hAnsi="Microsoft Sans Serif"/>
          <w:sz w:val="19"/>
        </w:rPr>
        <w:sectPr>
          <w:pgSz w:w="11900" w:h="16840"/>
          <w:pgMar w:top="280" w:bottom="280" w:left="566" w:right="141"/>
        </w:sectPr>
      </w:pPr>
    </w:p>
    <w:p>
      <w:pPr>
        <w:pStyle w:val="Heading1"/>
      </w:pPr>
      <w:r>
        <w:rPr>
          <w:color w:val="A26108"/>
        </w:rPr>
        <w:t>Capítulo</w:t>
      </w:r>
      <w:r>
        <w:rPr>
          <w:color w:val="A26108"/>
          <w:spacing w:val="24"/>
        </w:rPr>
        <w:t> </w:t>
      </w:r>
      <w:r>
        <w:rPr>
          <w:color w:val="A26108"/>
          <w:spacing w:val="-5"/>
        </w:rPr>
        <w:t>59</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14464">
                <wp:simplePos x="0" y="0"/>
                <wp:positionH relativeFrom="page">
                  <wp:posOffset>401543</wp:posOffset>
                </wp:positionH>
                <wp:positionV relativeFrom="paragraph">
                  <wp:posOffset>64325</wp:posOffset>
                </wp:positionV>
                <wp:extent cx="6753225" cy="10795"/>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702016;mso-wrap-distance-left:0;mso-wrap-distance-right:0" id="docshape38" filled="true" fillcolor="#242b67" stroked="false">
                <v:fill type="solid"/>
                <w10:wrap type="topAndBottom"/>
              </v:rect>
            </w:pict>
          </mc:Fallback>
        </mc:AlternateContent>
      </w:r>
    </w:p>
    <w:p>
      <w:pPr>
        <w:spacing w:line="273" w:lineRule="auto" w:before="138" w:after="19"/>
        <w:ind w:left="68" w:right="497" w:firstLine="0"/>
        <w:jc w:val="left"/>
        <w:rPr>
          <w:rFonts w:ascii="Microsoft Sans Serif" w:hAnsi="Microsoft Sans Serif"/>
          <w:sz w:val="51"/>
        </w:rPr>
      </w:pPr>
      <w:r>
        <w:rPr>
          <w:rFonts w:ascii="Microsoft Sans Serif" w:hAnsi="Microsoft Sans Serif"/>
          <w:color w:val="A26108"/>
          <w:sz w:val="51"/>
        </w:rPr>
        <w:t>Doenças Vasculares das Extremidades </w:t>
      </w:r>
      <w:r>
        <w:rPr>
          <w:rFonts w:ascii="Microsoft Sans Serif" w:hAnsi="Microsoft Sans Serif"/>
          <w:color w:val="A26108"/>
          <w:sz w:val="51"/>
        </w:rPr>
        <w:t>| Arterial, Venosa e Linfática</w:t>
      </w:r>
    </w:p>
    <w:p>
      <w:pPr>
        <w:spacing w:line="20" w:lineRule="exact"/>
        <w:ind w:left="66" w:right="0" w:firstLine="0"/>
        <w:rPr>
          <w:rFonts w:ascii="Microsoft Sans Serif"/>
          <w:sz w:val="2"/>
        </w:rPr>
      </w:pPr>
      <w:r>
        <w:rPr>
          <w:rFonts w:ascii="Microsoft Sans Serif"/>
          <w:sz w:val="2"/>
        </w:rPr>
        <mc:AlternateContent>
          <mc:Choice Requires="wps">
            <w:drawing>
              <wp:inline distT="0" distB="0" distL="0" distR="0">
                <wp:extent cx="6753225" cy="10795"/>
                <wp:effectExtent l="0" t="0" r="0" b="0"/>
                <wp:docPr id="70" name="Group 70"/>
                <wp:cNvGraphicFramePr>
                  <a:graphicFrameLocks/>
                </wp:cNvGraphicFramePr>
                <a:graphic>
                  <a:graphicData uri="http://schemas.microsoft.com/office/word/2010/wordprocessingGroup">
                    <wpg:wgp>
                      <wpg:cNvPr id="70" name="Group 70"/>
                      <wpg:cNvGrpSpPr/>
                      <wpg:grpSpPr>
                        <a:xfrm>
                          <a:off x="0" y="0"/>
                          <a:ext cx="6753225" cy="10795"/>
                          <a:chExt cx="6753225" cy="10795"/>
                        </a:xfrm>
                      </wpg:grpSpPr>
                      <wps:wsp>
                        <wps:cNvPr id="71" name="Graphic 71"/>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wpg:wgp>
                  </a:graphicData>
                </a:graphic>
              </wp:inline>
            </w:drawing>
          </mc:Choice>
          <mc:Fallback>
            <w:pict>
              <v:group style="width:531.75pt;height:.85pt;mso-position-horizontal-relative:char;mso-position-vertical-relative:line" id="docshapegroup39" coordorigin="0,0" coordsize="10635,17">
                <v:rect style="position:absolute;left:0;top:0;width:10635;height:17" id="docshape40" filled="true" fillcolor="#242b67" stroked="false">
                  <v:fill type="solid"/>
                </v:rect>
              </v:group>
            </w:pict>
          </mc:Fallback>
        </mc:AlternateContent>
      </w:r>
      <w:r>
        <w:rPr>
          <w:rFonts w:ascii="Microsoft Sans Serif"/>
          <w:sz w:val="2"/>
        </w:rPr>
      </w:r>
    </w:p>
    <w:p>
      <w:pPr>
        <w:spacing w:before="98"/>
        <w:ind w:left="37" w:right="461" w:firstLine="0"/>
        <w:jc w:val="center"/>
        <w:rPr>
          <w:rFonts w:ascii="Microsoft Sans Serif"/>
          <w:sz w:val="41"/>
        </w:rPr>
      </w:pPr>
      <w:r>
        <w:rPr>
          <w:rFonts w:ascii="Microsoft Sans Serif"/>
          <w:color w:val="242B67"/>
          <w:sz w:val="41"/>
        </w:rPr>
        <w:t>Aneurisma</w:t>
      </w:r>
      <w:r>
        <w:rPr>
          <w:rFonts w:ascii="Microsoft Sans Serif"/>
          <w:color w:val="242B67"/>
          <w:spacing w:val="-2"/>
          <w:sz w:val="41"/>
        </w:rPr>
        <w:t> </w:t>
      </w:r>
      <w:r>
        <w:rPr>
          <w:rFonts w:ascii="Microsoft Sans Serif"/>
          <w:color w:val="242B67"/>
          <w:sz w:val="41"/>
        </w:rPr>
        <w:t>da</w:t>
      </w:r>
      <w:r>
        <w:rPr>
          <w:rFonts w:ascii="Microsoft Sans Serif"/>
          <w:color w:val="242B67"/>
          <w:spacing w:val="-2"/>
          <w:sz w:val="41"/>
        </w:rPr>
        <w:t> </w:t>
      </w:r>
      <w:r>
        <w:rPr>
          <w:rFonts w:ascii="Microsoft Sans Serif"/>
          <w:color w:val="242B67"/>
          <w:sz w:val="41"/>
        </w:rPr>
        <w:t>Aorta</w:t>
      </w:r>
      <w:r>
        <w:rPr>
          <w:rFonts w:ascii="Microsoft Sans Serif"/>
          <w:color w:val="242B67"/>
          <w:spacing w:val="-1"/>
          <w:sz w:val="41"/>
        </w:rPr>
        <w:t> </w:t>
      </w:r>
      <w:r>
        <w:rPr>
          <w:rFonts w:ascii="Microsoft Sans Serif"/>
          <w:color w:val="242B67"/>
          <w:spacing w:val="-2"/>
          <w:sz w:val="41"/>
        </w:rPr>
        <w:t>Abdominal</w:t>
      </w:r>
    </w:p>
    <w:p>
      <w:pPr>
        <w:pStyle w:val="BodyText"/>
        <w:spacing w:before="5"/>
        <w:ind w:left="0" w:firstLine="0"/>
        <w:jc w:val="left"/>
        <w:rPr>
          <w:rFonts w:ascii="Microsoft Sans Serif"/>
          <w:sz w:val="4"/>
        </w:rPr>
      </w:pPr>
      <w:r>
        <w:rPr>
          <w:rFonts w:ascii="Microsoft Sans Serif"/>
          <w:sz w:val="4"/>
        </w:rPr>
        <mc:AlternateContent>
          <mc:Choice Requires="wps">
            <w:drawing>
              <wp:anchor distT="0" distB="0" distL="0" distR="0" allowOverlap="1" layoutInCell="1" locked="0" behindDoc="1" simplePos="0" relativeHeight="487615488">
                <wp:simplePos x="0" y="0"/>
                <wp:positionH relativeFrom="page">
                  <wp:posOffset>401543</wp:posOffset>
                </wp:positionH>
                <wp:positionV relativeFrom="paragraph">
                  <wp:posOffset>47373</wp:posOffset>
                </wp:positionV>
                <wp:extent cx="6753225" cy="10795"/>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730164pt;width:531.731217pt;height:.8008pt;mso-position-horizontal-relative:page;mso-position-vertical-relative:paragraph;z-index:-15700992;mso-wrap-distance-left:0;mso-wrap-distance-right:0" id="docshape41" filled="true" fillcolor="#242b67" stroked="false">
                <v:fill type="solid"/>
                <w10:wrap type="topAndBottom"/>
              </v:rect>
            </w:pict>
          </mc:Fallback>
        </mc:AlternateContent>
      </w:r>
    </w:p>
    <w:p>
      <w:pPr>
        <w:spacing w:before="134"/>
        <w:ind w:left="68" w:right="0" w:firstLine="0"/>
        <w:jc w:val="left"/>
        <w:rPr>
          <w:rFonts w:ascii="Arial" w:hAnsi="Arial"/>
          <w:i/>
          <w:sz w:val="25"/>
        </w:rPr>
      </w:pPr>
      <w:r>
        <w:rPr>
          <w:rFonts w:ascii="Arial" w:hAnsi="Arial"/>
          <w:i/>
          <w:sz w:val="25"/>
        </w:rPr>
        <w:t>Cid</w:t>
      </w:r>
      <w:r>
        <w:rPr>
          <w:rFonts w:ascii="Arial" w:hAnsi="Arial"/>
          <w:i/>
          <w:spacing w:val="11"/>
          <w:sz w:val="25"/>
        </w:rPr>
        <w:t> </w:t>
      </w:r>
      <w:r>
        <w:rPr>
          <w:rFonts w:ascii="Arial" w:hAnsi="Arial"/>
          <w:i/>
          <w:sz w:val="25"/>
        </w:rPr>
        <w:t>José</w:t>
      </w:r>
      <w:r>
        <w:rPr>
          <w:rFonts w:ascii="Arial" w:hAnsi="Arial"/>
          <w:i/>
          <w:spacing w:val="11"/>
          <w:sz w:val="25"/>
        </w:rPr>
        <w:t> </w:t>
      </w:r>
      <w:r>
        <w:rPr>
          <w:rFonts w:ascii="Arial" w:hAnsi="Arial"/>
          <w:i/>
          <w:sz w:val="25"/>
        </w:rPr>
        <w:t>Sitrângulo</w:t>
      </w:r>
      <w:r>
        <w:rPr>
          <w:rFonts w:ascii="Arial" w:hAnsi="Arial"/>
          <w:i/>
          <w:spacing w:val="11"/>
          <w:sz w:val="25"/>
        </w:rPr>
        <w:t> </w:t>
      </w:r>
      <w:r>
        <w:rPr>
          <w:rFonts w:ascii="Arial" w:hAnsi="Arial"/>
          <w:i/>
          <w:sz w:val="25"/>
        </w:rPr>
        <w:t>Jr.</w:t>
      </w:r>
      <w:r>
        <w:rPr>
          <w:rFonts w:ascii="Arial" w:hAnsi="Arial"/>
          <w:i/>
          <w:spacing w:val="12"/>
          <w:sz w:val="25"/>
        </w:rPr>
        <w:t> </w:t>
      </w:r>
      <w:r>
        <w:rPr>
          <w:rFonts w:ascii="Arial" w:hAnsi="Arial"/>
          <w:i/>
          <w:sz w:val="25"/>
        </w:rPr>
        <w:t>e</w:t>
      </w:r>
      <w:r>
        <w:rPr>
          <w:rFonts w:ascii="Arial" w:hAnsi="Arial"/>
          <w:i/>
          <w:spacing w:val="11"/>
          <w:sz w:val="25"/>
        </w:rPr>
        <w:t> </w:t>
      </w:r>
      <w:r>
        <w:rPr>
          <w:rFonts w:ascii="Arial" w:hAnsi="Arial"/>
          <w:i/>
          <w:sz w:val="25"/>
        </w:rPr>
        <w:t>Paulo</w:t>
      </w:r>
      <w:r>
        <w:rPr>
          <w:rFonts w:ascii="Arial" w:hAnsi="Arial"/>
          <w:i/>
          <w:spacing w:val="11"/>
          <w:sz w:val="25"/>
        </w:rPr>
        <w:t> </w:t>
      </w:r>
      <w:r>
        <w:rPr>
          <w:rFonts w:ascii="Arial" w:hAnsi="Arial"/>
          <w:i/>
          <w:spacing w:val="-2"/>
          <w:sz w:val="25"/>
        </w:rPr>
        <w:t>Kauffman</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pPr>
      <w:r>
        <w:rPr>
          <w:color w:val="242B67"/>
          <w:spacing w:val="-2"/>
        </w:rPr>
        <w:t>Introdução</w:t>
      </w:r>
    </w:p>
    <w:p>
      <w:pPr>
        <w:pStyle w:val="BodyText"/>
        <w:spacing w:line="278" w:lineRule="auto" w:before="132"/>
        <w:ind w:right="488"/>
      </w:pPr>
      <w:r>
        <w:rPr/>
        <w:t>O aneurisma da aorta é uma doença de grande interesse médico por ser potencialmente fatal, mas passível de tratamento adequado, que</w:t>
      </w:r>
      <w:r>
        <w:rPr>
          <w:spacing w:val="-2"/>
        </w:rPr>
        <w:t> </w:t>
      </w:r>
      <w:r>
        <w:rPr/>
        <w:t>evita</w:t>
      </w:r>
      <w:r>
        <w:rPr>
          <w:spacing w:val="-2"/>
        </w:rPr>
        <w:t> </w:t>
      </w:r>
      <w:r>
        <w:rPr/>
        <w:t>o risco das complicações graves decorrentes de</w:t>
      </w:r>
      <w:r>
        <w:rPr>
          <w:spacing w:val="-2"/>
        </w:rPr>
        <w:t> </w:t>
      </w:r>
      <w:r>
        <w:rPr/>
        <w:t>sua</w:t>
      </w:r>
      <w:r>
        <w:rPr>
          <w:spacing w:val="-2"/>
        </w:rPr>
        <w:t> </w:t>
      </w:r>
      <w:r>
        <w:rPr/>
        <w:t>evolução natural. Sua</w:t>
      </w:r>
      <w:r>
        <w:rPr>
          <w:spacing w:val="-2"/>
        </w:rPr>
        <w:t> </w:t>
      </w:r>
      <w:r>
        <w:rPr/>
        <w:t>principal complicação</w:t>
      </w:r>
      <w:r>
        <w:rPr>
          <w:spacing w:val="-3"/>
        </w:rPr>
        <w:t> </w:t>
      </w:r>
      <w:r>
        <w:rPr/>
        <w:t>é</w:t>
      </w:r>
      <w:r>
        <w:rPr>
          <w:spacing w:val="-5"/>
        </w:rPr>
        <w:t> </w:t>
      </w:r>
      <w:r>
        <w:rPr/>
        <w:t>a</w:t>
      </w:r>
      <w:r>
        <w:rPr>
          <w:spacing w:val="-5"/>
        </w:rPr>
        <w:t> </w:t>
      </w:r>
      <w:r>
        <w:rPr/>
        <w:t>ruptura, com</w:t>
      </w:r>
      <w:r>
        <w:rPr>
          <w:spacing w:val="-3"/>
        </w:rPr>
        <w:t> </w:t>
      </w:r>
      <w:r>
        <w:rPr/>
        <w:t>consequente</w:t>
      </w:r>
      <w:r>
        <w:rPr>
          <w:spacing w:val="-5"/>
        </w:rPr>
        <w:t> </w:t>
      </w:r>
      <w:r>
        <w:rPr/>
        <w:t>sangramento</w:t>
      </w:r>
      <w:r>
        <w:rPr>
          <w:spacing w:val="-3"/>
        </w:rPr>
        <w:t> </w:t>
      </w:r>
      <w:r>
        <w:rPr/>
        <w:t>profuso, muitas vezes provocando</w:t>
      </w:r>
      <w:r>
        <w:rPr>
          <w:spacing w:val="-3"/>
        </w:rPr>
        <w:t> </w:t>
      </w:r>
      <w:r>
        <w:rPr/>
        <w:t>o</w:t>
      </w:r>
      <w:r>
        <w:rPr>
          <w:spacing w:val="-3"/>
        </w:rPr>
        <w:t> </w:t>
      </w:r>
      <w:r>
        <w:rPr/>
        <w:t>óbito. Segundo</w:t>
      </w:r>
      <w:r>
        <w:rPr>
          <w:spacing w:val="-3"/>
        </w:rPr>
        <w:t> </w:t>
      </w:r>
      <w:r>
        <w:rPr/>
        <w:t>Collin </w:t>
      </w:r>
      <w:r>
        <w:rPr>
          <w:i/>
        </w:rPr>
        <w:t>et</w:t>
      </w:r>
      <w:r>
        <w:rPr>
          <w:i/>
          <w:spacing w:val="-1"/>
        </w:rPr>
        <w:t> </w:t>
      </w:r>
      <w:r>
        <w:rPr>
          <w:i/>
        </w:rPr>
        <w:t>al.</w:t>
      </w:r>
      <w:r>
        <w:rPr/>
        <w:t>, 1,3% dos óbitos em homens acima de 65 anos de idade são decorrentes da ruptura de aneurismas aórticos.</w:t>
      </w:r>
      <w:r>
        <w:rPr>
          <w:vertAlign w:val="superscript"/>
        </w:rPr>
        <w:t>1</w:t>
      </w:r>
      <w:r>
        <w:rPr>
          <w:vertAlign w:val="baseline"/>
        </w:rPr>
        <w:t> Sua correção cirúrgica, quando ainda íntegros, pode evitar muitos desses óbitos. É importante ressaltar que os pacientes submetidos, com</w:t>
      </w:r>
      <w:r>
        <w:rPr>
          <w:spacing w:val="-4"/>
          <w:vertAlign w:val="baseline"/>
        </w:rPr>
        <w:t> </w:t>
      </w:r>
      <w:r>
        <w:rPr>
          <w:vertAlign w:val="baseline"/>
        </w:rPr>
        <w:t>sucesso, ao</w:t>
      </w:r>
      <w:r>
        <w:rPr>
          <w:spacing w:val="-4"/>
          <w:vertAlign w:val="baseline"/>
        </w:rPr>
        <w:t> </w:t>
      </w:r>
      <w:r>
        <w:rPr>
          <w:vertAlign w:val="baseline"/>
        </w:rPr>
        <w:t>tratamento</w:t>
      </w:r>
      <w:r>
        <w:rPr>
          <w:spacing w:val="-4"/>
          <w:vertAlign w:val="baseline"/>
        </w:rPr>
        <w:t> </w:t>
      </w:r>
      <w:r>
        <w:rPr>
          <w:vertAlign w:val="baseline"/>
        </w:rPr>
        <w:t>cirúrgico</w:t>
      </w:r>
      <w:r>
        <w:rPr>
          <w:spacing w:val="-4"/>
          <w:vertAlign w:val="baseline"/>
        </w:rPr>
        <w:t> </w:t>
      </w:r>
      <w:r>
        <w:rPr>
          <w:vertAlign w:val="baseline"/>
        </w:rPr>
        <w:t>eletivo</w:t>
      </w:r>
      <w:r>
        <w:rPr>
          <w:spacing w:val="-4"/>
          <w:vertAlign w:val="baseline"/>
        </w:rPr>
        <w:t> </w:t>
      </w:r>
      <w:r>
        <w:rPr>
          <w:vertAlign w:val="baseline"/>
        </w:rPr>
        <w:t>do</w:t>
      </w:r>
      <w:r>
        <w:rPr>
          <w:spacing w:val="-4"/>
          <w:vertAlign w:val="baseline"/>
        </w:rPr>
        <w:t> </w:t>
      </w:r>
      <w:r>
        <w:rPr>
          <w:vertAlign w:val="baseline"/>
        </w:rPr>
        <w:t>aneurisma</w:t>
      </w:r>
      <w:r>
        <w:rPr>
          <w:spacing w:val="-6"/>
          <w:vertAlign w:val="baseline"/>
        </w:rPr>
        <w:t> </w:t>
      </w:r>
      <w:r>
        <w:rPr>
          <w:vertAlign w:val="baseline"/>
        </w:rPr>
        <w:t>da</w:t>
      </w:r>
      <w:r>
        <w:rPr>
          <w:spacing w:val="-6"/>
          <w:vertAlign w:val="baseline"/>
        </w:rPr>
        <w:t> </w:t>
      </w:r>
      <w:r>
        <w:rPr>
          <w:vertAlign w:val="baseline"/>
        </w:rPr>
        <w:t>aorta</w:t>
      </w:r>
      <w:r>
        <w:rPr>
          <w:spacing w:val="-6"/>
          <w:vertAlign w:val="baseline"/>
        </w:rPr>
        <w:t> </w:t>
      </w:r>
      <w:r>
        <w:rPr>
          <w:vertAlign w:val="baseline"/>
        </w:rPr>
        <w:t>têm</w:t>
      </w:r>
      <w:r>
        <w:rPr>
          <w:spacing w:val="-4"/>
          <w:vertAlign w:val="baseline"/>
        </w:rPr>
        <w:t> </w:t>
      </w:r>
      <w:r>
        <w:rPr>
          <w:vertAlign w:val="baseline"/>
        </w:rPr>
        <w:t>a</w:t>
      </w:r>
      <w:r>
        <w:rPr>
          <w:spacing w:val="-6"/>
          <w:vertAlign w:val="baseline"/>
        </w:rPr>
        <w:t> </w:t>
      </w:r>
      <w:r>
        <w:rPr>
          <w:vertAlign w:val="baseline"/>
        </w:rPr>
        <w:t>mesma</w:t>
      </w:r>
      <w:r>
        <w:rPr>
          <w:spacing w:val="-6"/>
          <w:vertAlign w:val="baseline"/>
        </w:rPr>
        <w:t> </w:t>
      </w:r>
      <w:r>
        <w:rPr>
          <w:vertAlign w:val="baseline"/>
        </w:rPr>
        <w:t>perspectiva de</w:t>
      </w:r>
      <w:r>
        <w:rPr>
          <w:spacing w:val="-7"/>
          <w:vertAlign w:val="baseline"/>
        </w:rPr>
        <w:t> </w:t>
      </w:r>
      <w:r>
        <w:rPr>
          <w:vertAlign w:val="baseline"/>
        </w:rPr>
        <w:t>sobrevida</w:t>
      </w:r>
      <w:r>
        <w:rPr>
          <w:spacing w:val="-7"/>
          <w:vertAlign w:val="baseline"/>
        </w:rPr>
        <w:t> </w:t>
      </w:r>
      <w:r>
        <w:rPr>
          <w:vertAlign w:val="baseline"/>
        </w:rPr>
        <w:t>que</w:t>
      </w:r>
      <w:r>
        <w:rPr>
          <w:spacing w:val="-7"/>
          <w:vertAlign w:val="baseline"/>
        </w:rPr>
        <w:t> </w:t>
      </w:r>
      <w:r>
        <w:rPr>
          <w:vertAlign w:val="baseline"/>
        </w:rPr>
        <w:t>os demais indivíduos de</w:t>
      </w:r>
      <w:r>
        <w:rPr>
          <w:spacing w:val="-7"/>
          <w:vertAlign w:val="baseline"/>
        </w:rPr>
        <w:t> </w:t>
      </w:r>
      <w:r>
        <w:rPr>
          <w:vertAlign w:val="baseline"/>
        </w:rPr>
        <w:t>sua</w:t>
      </w:r>
      <w:r>
        <w:rPr>
          <w:spacing w:val="-7"/>
          <w:vertAlign w:val="baseline"/>
        </w:rPr>
        <w:t> </w:t>
      </w:r>
      <w:r>
        <w:rPr>
          <w:vertAlign w:val="baseline"/>
        </w:rPr>
        <w:t>faixa</w:t>
      </w:r>
      <w:r>
        <w:rPr>
          <w:spacing w:val="-7"/>
          <w:vertAlign w:val="baseline"/>
        </w:rPr>
        <w:t> </w:t>
      </w:r>
      <w:r>
        <w:rPr>
          <w:vertAlign w:val="baseline"/>
        </w:rPr>
        <w:t>etária. No</w:t>
      </w:r>
      <w:r>
        <w:rPr>
          <w:spacing w:val="-5"/>
          <w:vertAlign w:val="baseline"/>
        </w:rPr>
        <w:t> </w:t>
      </w:r>
      <w:r>
        <w:rPr>
          <w:vertAlign w:val="baseline"/>
        </w:rPr>
        <w:t>entanto, quando</w:t>
      </w:r>
      <w:r>
        <w:rPr>
          <w:spacing w:val="-5"/>
          <w:vertAlign w:val="baseline"/>
        </w:rPr>
        <w:t> </w:t>
      </w:r>
      <w:r>
        <w:rPr>
          <w:vertAlign w:val="baseline"/>
        </w:rPr>
        <w:t>ocorre</w:t>
      </w:r>
      <w:r>
        <w:rPr>
          <w:spacing w:val="-7"/>
          <w:vertAlign w:val="baseline"/>
        </w:rPr>
        <w:t> </w:t>
      </w:r>
      <w:r>
        <w:rPr>
          <w:vertAlign w:val="baseline"/>
        </w:rPr>
        <w:t>a</w:t>
      </w:r>
      <w:r>
        <w:rPr>
          <w:spacing w:val="-7"/>
          <w:vertAlign w:val="baseline"/>
        </w:rPr>
        <w:t> </w:t>
      </w:r>
      <w:r>
        <w:rPr>
          <w:vertAlign w:val="baseline"/>
        </w:rPr>
        <w:t>ruptura, apenas um</w:t>
      </w:r>
      <w:r>
        <w:rPr>
          <w:spacing w:val="-5"/>
          <w:vertAlign w:val="baseline"/>
        </w:rPr>
        <w:t> </w:t>
      </w:r>
      <w:r>
        <w:rPr>
          <w:vertAlign w:val="baseline"/>
        </w:rPr>
        <w:t>em</w:t>
      </w:r>
      <w:r>
        <w:rPr>
          <w:spacing w:val="-5"/>
          <w:vertAlign w:val="baseline"/>
        </w:rPr>
        <w:t> </w:t>
      </w:r>
      <w:r>
        <w:rPr>
          <w:vertAlign w:val="baseline"/>
        </w:rPr>
        <w:t>cada três consegue chegar ao hospital com vida para ser submetido à cirurgia de emergência, a qual apresenta altos índices de mortalidade, em torno de 50 a 60%.</w:t>
      </w:r>
    </w:p>
    <w:p>
      <w:pPr>
        <w:pStyle w:val="BodyText"/>
        <w:spacing w:before="179"/>
        <w:ind w:left="0" w:firstLine="0"/>
        <w:jc w:val="left"/>
      </w:pPr>
    </w:p>
    <w:p>
      <w:pPr>
        <w:pStyle w:val="Heading4"/>
      </w:pPr>
      <w:r>
        <w:rPr>
          <w:color w:val="242B67"/>
          <w:spacing w:val="-2"/>
        </w:rPr>
        <w:t>Epidemiologia</w:t>
      </w:r>
    </w:p>
    <w:p>
      <w:pPr>
        <w:pStyle w:val="BodyText"/>
        <w:spacing w:line="276" w:lineRule="auto" w:before="132"/>
        <w:ind w:right="488"/>
      </w:pPr>
      <w:r>
        <w:rPr/>
        <w:t>A</w:t>
      </w:r>
      <w:r>
        <w:rPr>
          <w:spacing w:val="-6"/>
        </w:rPr>
        <w:t> </w:t>
      </w:r>
      <w:r>
        <w:rPr/>
        <w:t>prevalência</w:t>
      </w:r>
      <w:r>
        <w:rPr>
          <w:spacing w:val="-6"/>
        </w:rPr>
        <w:t> </w:t>
      </w:r>
      <w:r>
        <w:rPr/>
        <w:t>do</w:t>
      </w:r>
      <w:r>
        <w:rPr>
          <w:spacing w:val="-3"/>
        </w:rPr>
        <w:t> </w:t>
      </w:r>
      <w:r>
        <w:rPr/>
        <w:t>aneurisma</w:t>
      </w:r>
      <w:r>
        <w:rPr>
          <w:spacing w:val="-6"/>
        </w:rPr>
        <w:t> </w:t>
      </w:r>
      <w:r>
        <w:rPr/>
        <w:t>da</w:t>
      </w:r>
      <w:r>
        <w:rPr>
          <w:spacing w:val="-6"/>
        </w:rPr>
        <w:t> </w:t>
      </w:r>
      <w:r>
        <w:rPr/>
        <w:t>aorta</w:t>
      </w:r>
      <w:r>
        <w:rPr>
          <w:spacing w:val="-6"/>
        </w:rPr>
        <w:t> </w:t>
      </w:r>
      <w:r>
        <w:rPr/>
        <w:t>abdominal</w:t>
      </w:r>
      <w:r>
        <w:rPr>
          <w:spacing w:val="-1"/>
        </w:rPr>
        <w:t> </w:t>
      </w:r>
      <w:r>
        <w:rPr/>
        <w:t>é</w:t>
      </w:r>
      <w:r>
        <w:rPr>
          <w:spacing w:val="-6"/>
        </w:rPr>
        <w:t> </w:t>
      </w:r>
      <w:r>
        <w:rPr/>
        <w:t>maior nos homens do</w:t>
      </w:r>
      <w:r>
        <w:rPr>
          <w:spacing w:val="-3"/>
        </w:rPr>
        <w:t> </w:t>
      </w:r>
      <w:r>
        <w:rPr/>
        <w:t>que</w:t>
      </w:r>
      <w:r>
        <w:rPr>
          <w:spacing w:val="-6"/>
        </w:rPr>
        <w:t> </w:t>
      </w:r>
      <w:r>
        <w:rPr/>
        <w:t>nas mulheres na</w:t>
      </w:r>
      <w:r>
        <w:rPr>
          <w:spacing w:val="-6"/>
        </w:rPr>
        <w:t> </w:t>
      </w:r>
      <w:r>
        <w:rPr/>
        <w:t>proporção</w:t>
      </w:r>
      <w:r>
        <w:rPr>
          <w:spacing w:val="-3"/>
        </w:rPr>
        <w:t> </w:t>
      </w:r>
      <w:r>
        <w:rPr/>
        <w:t>de</w:t>
      </w:r>
      <w:r>
        <w:rPr>
          <w:spacing w:val="-6"/>
        </w:rPr>
        <w:t> </w:t>
      </w:r>
      <w:r>
        <w:rPr/>
        <w:t>2:1</w:t>
      </w:r>
      <w:r>
        <w:rPr>
          <w:spacing w:val="-3"/>
        </w:rPr>
        <w:t> </w:t>
      </w:r>
      <w:r>
        <w:rPr/>
        <w:t>a 3:1, sendo mais frequente em brancos. Sua incidência está aumentando progressivamente, não só pela maior facilidade</w:t>
      </w:r>
      <w:r>
        <w:rPr>
          <w:spacing w:val="-8"/>
        </w:rPr>
        <w:t> </w:t>
      </w:r>
      <w:r>
        <w:rPr/>
        <w:t>de</w:t>
      </w:r>
      <w:r>
        <w:rPr>
          <w:spacing w:val="-8"/>
        </w:rPr>
        <w:t> </w:t>
      </w:r>
      <w:r>
        <w:rPr/>
        <w:t>detecção</w:t>
      </w:r>
      <w:r>
        <w:rPr>
          <w:spacing w:val="-6"/>
        </w:rPr>
        <w:t> </w:t>
      </w:r>
      <w:r>
        <w:rPr/>
        <w:t>com</w:t>
      </w:r>
      <w:r>
        <w:rPr>
          <w:spacing w:val="-6"/>
        </w:rPr>
        <w:t> </w:t>
      </w:r>
      <w:r>
        <w:rPr/>
        <w:t>o</w:t>
      </w:r>
      <w:r>
        <w:rPr>
          <w:spacing w:val="-6"/>
        </w:rPr>
        <w:t> </w:t>
      </w:r>
      <w:r>
        <w:rPr/>
        <w:t>uso</w:t>
      </w:r>
      <w:r>
        <w:rPr>
          <w:spacing w:val="-6"/>
        </w:rPr>
        <w:t> </w:t>
      </w:r>
      <w:r>
        <w:rPr/>
        <w:t>rotineiro</w:t>
      </w:r>
      <w:r>
        <w:rPr>
          <w:spacing w:val="-6"/>
        </w:rPr>
        <w:t> </w:t>
      </w:r>
      <w:r>
        <w:rPr/>
        <w:t>de</w:t>
      </w:r>
      <w:r>
        <w:rPr>
          <w:spacing w:val="-8"/>
        </w:rPr>
        <w:t> </w:t>
      </w:r>
      <w:r>
        <w:rPr/>
        <w:t>ultrassonografia</w:t>
      </w:r>
      <w:r>
        <w:rPr>
          <w:spacing w:val="-8"/>
        </w:rPr>
        <w:t> </w:t>
      </w:r>
      <w:r>
        <w:rPr/>
        <w:t>abdominal, mas também</w:t>
      </w:r>
      <w:r>
        <w:rPr>
          <w:spacing w:val="-6"/>
        </w:rPr>
        <w:t> </w:t>
      </w:r>
      <w:r>
        <w:rPr/>
        <w:t>pelo</w:t>
      </w:r>
      <w:r>
        <w:rPr>
          <w:spacing w:val="-6"/>
        </w:rPr>
        <w:t> </w:t>
      </w:r>
      <w:r>
        <w:rPr/>
        <w:t>aumento</w:t>
      </w:r>
      <w:r>
        <w:rPr>
          <w:spacing w:val="-6"/>
        </w:rPr>
        <w:t> </w:t>
      </w:r>
      <w:r>
        <w:rPr/>
        <w:t>da</w:t>
      </w:r>
      <w:r>
        <w:rPr>
          <w:spacing w:val="-8"/>
        </w:rPr>
        <w:t> </w:t>
      </w:r>
      <w:r>
        <w:rPr/>
        <w:t>faixa</w:t>
      </w:r>
      <w:r>
        <w:rPr>
          <w:spacing w:val="-8"/>
        </w:rPr>
        <w:t> </w:t>
      </w:r>
      <w:r>
        <w:rPr/>
        <w:t>etária média das populações estudadas, uma vez que o desenvolvimento dessas dilatações ocorre preferencialmente a partir da sexta década de vida.</w:t>
      </w:r>
    </w:p>
    <w:p>
      <w:pPr>
        <w:pStyle w:val="BodyText"/>
        <w:spacing w:before="185"/>
        <w:ind w:left="0" w:firstLine="0"/>
        <w:jc w:val="left"/>
      </w:pPr>
    </w:p>
    <w:p>
      <w:pPr>
        <w:pStyle w:val="Heading4"/>
        <w:spacing w:before="1"/>
      </w:pPr>
      <w:r>
        <w:rPr>
          <w:color w:val="242B67"/>
          <w:spacing w:val="-2"/>
        </w:rPr>
        <w:t>Etiologia</w:t>
      </w:r>
    </w:p>
    <w:p>
      <w:pPr>
        <w:pStyle w:val="BodyText"/>
        <w:spacing w:line="276" w:lineRule="auto" w:before="147"/>
        <w:ind w:right="488"/>
      </w:pPr>
      <w:r>
        <w:rPr/>
        <w:t>A presença de placas ateromatosas com calcificação parietal, nos pacientes portadores de aneurisma da aorta infrarrenal,</w:t>
      </w:r>
      <w:r>
        <w:rPr>
          <w:spacing w:val="-4"/>
        </w:rPr>
        <w:t> </w:t>
      </w:r>
      <w:r>
        <w:rPr/>
        <w:t>apontava</w:t>
      </w:r>
      <w:r>
        <w:rPr>
          <w:spacing w:val="-13"/>
        </w:rPr>
        <w:t> </w:t>
      </w:r>
      <w:r>
        <w:rPr/>
        <w:t>para</w:t>
      </w:r>
      <w:r>
        <w:rPr>
          <w:spacing w:val="-13"/>
        </w:rPr>
        <w:t> </w:t>
      </w:r>
      <w:r>
        <w:rPr/>
        <w:t>a</w:t>
      </w:r>
      <w:r>
        <w:rPr>
          <w:spacing w:val="-13"/>
        </w:rPr>
        <w:t> </w:t>
      </w:r>
      <w:r>
        <w:rPr/>
        <w:t>possibilidade</w:t>
      </w:r>
      <w:r>
        <w:rPr>
          <w:spacing w:val="-13"/>
        </w:rPr>
        <w:t> </w:t>
      </w:r>
      <w:r>
        <w:rPr/>
        <w:t>de</w:t>
      </w:r>
      <w:r>
        <w:rPr>
          <w:spacing w:val="-13"/>
        </w:rPr>
        <w:t> </w:t>
      </w:r>
      <w:r>
        <w:rPr/>
        <w:t>degeneração</w:t>
      </w:r>
      <w:r>
        <w:rPr>
          <w:spacing w:val="-11"/>
        </w:rPr>
        <w:t> </w:t>
      </w:r>
      <w:r>
        <w:rPr/>
        <w:t>aterosclerótica</w:t>
      </w:r>
      <w:r>
        <w:rPr>
          <w:spacing w:val="-13"/>
        </w:rPr>
        <w:t> </w:t>
      </w:r>
      <w:r>
        <w:rPr/>
        <w:t>da</w:t>
      </w:r>
      <w:r>
        <w:rPr>
          <w:spacing w:val="-13"/>
        </w:rPr>
        <w:t> </w:t>
      </w:r>
      <w:r>
        <w:rPr/>
        <w:t>parede</w:t>
      </w:r>
      <w:r>
        <w:rPr>
          <w:spacing w:val="-13"/>
        </w:rPr>
        <w:t> </w:t>
      </w:r>
      <w:r>
        <w:rPr/>
        <w:t>aórtica</w:t>
      </w:r>
      <w:r>
        <w:rPr>
          <w:spacing w:val="-13"/>
        </w:rPr>
        <w:t> </w:t>
      </w:r>
      <w:r>
        <w:rPr/>
        <w:t>como</w:t>
      </w:r>
      <w:r>
        <w:rPr>
          <w:spacing w:val="-11"/>
        </w:rPr>
        <w:t> </w:t>
      </w:r>
      <w:r>
        <w:rPr/>
        <w:t>a</w:t>
      </w:r>
      <w:r>
        <w:rPr>
          <w:spacing w:val="-13"/>
        </w:rPr>
        <w:t> </w:t>
      </w:r>
      <w:r>
        <w:rPr/>
        <w:t>principal</w:t>
      </w:r>
      <w:r>
        <w:rPr>
          <w:spacing w:val="-8"/>
        </w:rPr>
        <w:t> </w:t>
      </w:r>
      <w:r>
        <w:rPr/>
        <w:t>causa</w:t>
      </w:r>
      <w:r>
        <w:rPr>
          <w:spacing w:val="-13"/>
        </w:rPr>
        <w:t> </w:t>
      </w:r>
      <w:r>
        <w:rPr/>
        <w:t>do desenvolvimento</w:t>
      </w:r>
      <w:r>
        <w:rPr>
          <w:spacing w:val="-8"/>
        </w:rPr>
        <w:t> </w:t>
      </w:r>
      <w:r>
        <w:rPr/>
        <w:t>dos</w:t>
      </w:r>
      <w:r>
        <w:rPr>
          <w:spacing w:val="-1"/>
        </w:rPr>
        <w:t> </w:t>
      </w:r>
      <w:r>
        <w:rPr/>
        <w:t>aneurismas.</w:t>
      </w:r>
      <w:r>
        <w:rPr>
          <w:spacing w:val="-1"/>
        </w:rPr>
        <w:t> </w:t>
      </w:r>
      <w:r>
        <w:rPr/>
        <w:t>No</w:t>
      </w:r>
      <w:r>
        <w:rPr>
          <w:spacing w:val="-8"/>
        </w:rPr>
        <w:t> </w:t>
      </w:r>
      <w:r>
        <w:rPr/>
        <w:t>entanto,</w:t>
      </w:r>
      <w:r>
        <w:rPr>
          <w:spacing w:val="-1"/>
        </w:rPr>
        <w:t> </w:t>
      </w:r>
      <w:r>
        <w:rPr/>
        <w:t>recentes</w:t>
      </w:r>
      <w:r>
        <w:rPr>
          <w:spacing w:val="-1"/>
        </w:rPr>
        <w:t> </w:t>
      </w:r>
      <w:r>
        <w:rPr/>
        <w:t>evidências</w:t>
      </w:r>
      <w:r>
        <w:rPr>
          <w:spacing w:val="-1"/>
        </w:rPr>
        <w:t> </w:t>
      </w:r>
      <w:r>
        <w:rPr/>
        <w:t>clínicas</w:t>
      </w:r>
      <w:r>
        <w:rPr>
          <w:spacing w:val="-1"/>
        </w:rPr>
        <w:t> </w:t>
      </w:r>
      <w:r>
        <w:rPr/>
        <w:t>e</w:t>
      </w:r>
      <w:r>
        <w:rPr>
          <w:spacing w:val="-11"/>
        </w:rPr>
        <w:t> </w:t>
      </w:r>
      <w:r>
        <w:rPr/>
        <w:t>bioquímicas</w:t>
      </w:r>
      <w:r>
        <w:rPr>
          <w:spacing w:val="-1"/>
        </w:rPr>
        <w:t> </w:t>
      </w:r>
      <w:r>
        <w:rPr/>
        <w:t>vêm</w:t>
      </w:r>
      <w:r>
        <w:rPr>
          <w:spacing w:val="-8"/>
        </w:rPr>
        <w:t> </w:t>
      </w:r>
      <w:r>
        <w:rPr/>
        <w:t>sugerindo</w:t>
      </w:r>
      <w:r>
        <w:rPr>
          <w:spacing w:val="-8"/>
        </w:rPr>
        <w:t> </w:t>
      </w:r>
      <w:r>
        <w:rPr/>
        <w:t>fortemente a</w:t>
      </w:r>
      <w:r>
        <w:rPr>
          <w:spacing w:val="-1"/>
        </w:rPr>
        <w:t> </w:t>
      </w:r>
      <w:r>
        <w:rPr/>
        <w:t>presença</w:t>
      </w:r>
      <w:r>
        <w:rPr>
          <w:spacing w:val="-1"/>
        </w:rPr>
        <w:t> </w:t>
      </w:r>
      <w:r>
        <w:rPr/>
        <w:t>de</w:t>
      </w:r>
      <w:r>
        <w:rPr>
          <w:spacing w:val="-1"/>
        </w:rPr>
        <w:t> </w:t>
      </w:r>
      <w:r>
        <w:rPr/>
        <w:t>outros fatores como causas etiológicas principais dessa</w:t>
      </w:r>
      <w:r>
        <w:rPr>
          <w:spacing w:val="-1"/>
        </w:rPr>
        <w:t> </w:t>
      </w:r>
      <w:r>
        <w:rPr/>
        <w:t>degeneração.</w:t>
      </w:r>
    </w:p>
    <w:p>
      <w:pPr>
        <w:pStyle w:val="BodyText"/>
        <w:spacing w:line="276" w:lineRule="auto" w:before="49"/>
        <w:ind w:right="488"/>
      </w:pPr>
      <w:r>
        <w:rPr/>
        <w:t>Múltiplos estudos genéticos têm classificado o aneurisma da aorta abdominal como doença familiar. A constatação de que homens com parentes de primeiro grau, portadores de aneurisma de aorta abdominal, têm risco 10 vezes maior de</w:t>
      </w:r>
      <w:r>
        <w:rPr>
          <w:spacing w:val="-3"/>
        </w:rPr>
        <w:t> </w:t>
      </w:r>
      <w:r>
        <w:rPr/>
        <w:t>desenvolvê-lo, proporciona</w:t>
      </w:r>
      <w:r>
        <w:rPr>
          <w:spacing w:val="-3"/>
        </w:rPr>
        <w:t> </w:t>
      </w:r>
      <w:r>
        <w:rPr/>
        <w:t>um forte</w:t>
      </w:r>
      <w:r>
        <w:rPr>
          <w:spacing w:val="-3"/>
        </w:rPr>
        <w:t> </w:t>
      </w:r>
      <w:r>
        <w:rPr/>
        <w:t>argumento para</w:t>
      </w:r>
      <w:r>
        <w:rPr>
          <w:spacing w:val="-3"/>
        </w:rPr>
        <w:t> </w:t>
      </w:r>
      <w:r>
        <w:rPr/>
        <w:t>o componente</w:t>
      </w:r>
      <w:r>
        <w:rPr>
          <w:spacing w:val="-3"/>
        </w:rPr>
        <w:t> </w:t>
      </w:r>
      <w:r>
        <w:rPr/>
        <w:t>genético.</w:t>
      </w:r>
    </w:p>
    <w:p>
      <w:pPr>
        <w:pStyle w:val="BodyText"/>
        <w:spacing w:line="280" w:lineRule="auto"/>
        <w:ind w:right="488"/>
      </w:pPr>
      <w:r>
        <w:rPr/>
        <w:t>Mutações no gene para o pré-colágeno tipo III, precursor da maior proteína estrutural da parede aórtica, são a causa de aneurisma de aorta em muitas famílias. Variações genéticas no cromossomo 16 têm sido relatadas em pacientes portadores de aneurisma da aorta abdominal, resultando em aumento da atividade de alfa-2 haptoglobulina, a qual provoca aceleração da hidrólise das fibras de elastina pelas elastases, facilitando a degeneração parietal.</w:t>
      </w:r>
      <w:r>
        <w:rPr>
          <w:vertAlign w:val="superscript"/>
        </w:rPr>
        <w:t>2</w:t>
      </w:r>
    </w:p>
    <w:p>
      <w:pPr>
        <w:pStyle w:val="BodyText"/>
        <w:spacing w:line="276" w:lineRule="auto" w:before="38"/>
        <w:ind w:right="494"/>
      </w:pPr>
      <w:r>
        <w:rPr/>
        <w:t>Outra</w:t>
      </w:r>
      <w:r>
        <w:rPr>
          <w:spacing w:val="-4"/>
        </w:rPr>
        <w:t> </w:t>
      </w:r>
      <w:r>
        <w:rPr/>
        <w:t>linha</w:t>
      </w:r>
      <w:r>
        <w:rPr>
          <w:spacing w:val="-4"/>
        </w:rPr>
        <w:t> </w:t>
      </w:r>
      <w:r>
        <w:rPr/>
        <w:t>de</w:t>
      </w:r>
      <w:r>
        <w:rPr>
          <w:spacing w:val="-4"/>
        </w:rPr>
        <w:t> </w:t>
      </w:r>
      <w:r>
        <w:rPr/>
        <w:t>pesquisa</w:t>
      </w:r>
      <w:r>
        <w:rPr>
          <w:spacing w:val="-4"/>
        </w:rPr>
        <w:t> </w:t>
      </w:r>
      <w:r>
        <w:rPr/>
        <w:t>sobre</w:t>
      </w:r>
      <w:r>
        <w:rPr>
          <w:spacing w:val="-4"/>
        </w:rPr>
        <w:t> </w:t>
      </w:r>
      <w:r>
        <w:rPr/>
        <w:t>a</w:t>
      </w:r>
      <w:r>
        <w:rPr>
          <w:spacing w:val="-4"/>
        </w:rPr>
        <w:t> </w:t>
      </w:r>
      <w:r>
        <w:rPr/>
        <w:t>etiologia</w:t>
      </w:r>
      <w:r>
        <w:rPr>
          <w:spacing w:val="-4"/>
        </w:rPr>
        <w:t> </w:t>
      </w:r>
      <w:r>
        <w:rPr/>
        <w:t>dos aneurismas aórticos focaliza</w:t>
      </w:r>
      <w:r>
        <w:rPr>
          <w:spacing w:val="-4"/>
        </w:rPr>
        <w:t> </w:t>
      </w:r>
      <w:r>
        <w:rPr/>
        <w:t>defeitos estruturais da</w:t>
      </w:r>
      <w:r>
        <w:rPr>
          <w:spacing w:val="-4"/>
        </w:rPr>
        <w:t> </w:t>
      </w:r>
      <w:r>
        <w:rPr/>
        <w:t>parede</w:t>
      </w:r>
      <w:r>
        <w:rPr>
          <w:spacing w:val="-4"/>
        </w:rPr>
        <w:t> </w:t>
      </w:r>
      <w:r>
        <w:rPr/>
        <w:t>arterial causados</w:t>
      </w:r>
      <w:r>
        <w:rPr>
          <w:spacing w:val="23"/>
        </w:rPr>
        <w:t> </w:t>
      </w:r>
      <w:r>
        <w:rPr/>
        <w:t>por</w:t>
      </w:r>
      <w:r>
        <w:rPr>
          <w:spacing w:val="21"/>
        </w:rPr>
        <w:t> </w:t>
      </w:r>
      <w:r>
        <w:rPr/>
        <w:t>proteólise aumentada.</w:t>
      </w:r>
      <w:r>
        <w:rPr>
          <w:spacing w:val="23"/>
        </w:rPr>
        <w:t> </w:t>
      </w:r>
      <w:r>
        <w:rPr/>
        <w:t>Assim</w:t>
      </w:r>
      <w:r>
        <w:rPr>
          <w:spacing w:val="16"/>
        </w:rPr>
        <w:t> </w:t>
      </w:r>
      <w:r>
        <w:rPr/>
        <w:t>foi</w:t>
      </w:r>
      <w:r>
        <w:rPr>
          <w:spacing w:val="18"/>
        </w:rPr>
        <w:t> </w:t>
      </w:r>
      <w:r>
        <w:rPr/>
        <w:t>demonstrada elevada atividade da colagenase na parede aórtica de</w:t>
      </w:r>
    </w:p>
    <w:p>
      <w:pPr>
        <w:pStyle w:val="BodyText"/>
        <w:spacing w:after="0" w:line="276" w:lineRule="auto"/>
        <w:sectPr>
          <w:pgSz w:w="11900" w:h="16840"/>
          <w:pgMar w:top="1060" w:bottom="280" w:left="566" w:right="141"/>
        </w:sectPr>
      </w:pPr>
    </w:p>
    <w:p>
      <w:pPr>
        <w:pStyle w:val="BodyText"/>
        <w:spacing w:before="79"/>
        <w:ind w:firstLine="0"/>
      </w:pPr>
      <w:r>
        <w:rPr/>
        <w:t>pacientes</w:t>
      </w:r>
      <w:r>
        <w:rPr>
          <w:spacing w:val="-7"/>
        </w:rPr>
        <w:t> </w:t>
      </w:r>
      <w:r>
        <w:rPr/>
        <w:t>portadores</w:t>
      </w:r>
      <w:r>
        <w:rPr>
          <w:spacing w:val="-6"/>
        </w:rPr>
        <w:t> </w:t>
      </w:r>
      <w:r>
        <w:rPr/>
        <w:t>de</w:t>
      </w:r>
      <w:r>
        <w:rPr>
          <w:spacing w:val="-14"/>
        </w:rPr>
        <w:t> </w:t>
      </w:r>
      <w:r>
        <w:rPr/>
        <w:t>aneurisma,</w:t>
      </w:r>
      <w:r>
        <w:rPr>
          <w:spacing w:val="-6"/>
        </w:rPr>
        <w:t> </w:t>
      </w:r>
      <w:r>
        <w:rPr/>
        <w:t>com</w:t>
      </w:r>
      <w:r>
        <w:rPr>
          <w:spacing w:val="-13"/>
        </w:rPr>
        <w:t> </w:t>
      </w:r>
      <w:r>
        <w:rPr/>
        <w:t>maior</w:t>
      </w:r>
      <w:r>
        <w:rPr>
          <w:spacing w:val="-8"/>
        </w:rPr>
        <w:t> </w:t>
      </w:r>
      <w:r>
        <w:rPr/>
        <w:t>intensidade,</w:t>
      </w:r>
      <w:r>
        <w:rPr>
          <w:spacing w:val="-6"/>
        </w:rPr>
        <w:t> </w:t>
      </w:r>
      <w:r>
        <w:rPr/>
        <w:t>ainda,</w:t>
      </w:r>
      <w:r>
        <w:rPr>
          <w:spacing w:val="-5"/>
        </w:rPr>
        <w:t> </w:t>
      </w:r>
      <w:r>
        <w:rPr/>
        <w:t>nos</w:t>
      </w:r>
      <w:r>
        <w:rPr>
          <w:spacing w:val="-6"/>
        </w:rPr>
        <w:t> </w:t>
      </w:r>
      <w:r>
        <w:rPr/>
        <w:t>casos</w:t>
      </w:r>
      <w:r>
        <w:rPr>
          <w:spacing w:val="-6"/>
        </w:rPr>
        <w:t> </w:t>
      </w:r>
      <w:r>
        <w:rPr/>
        <w:t>em</w:t>
      </w:r>
      <w:r>
        <w:rPr>
          <w:spacing w:val="-13"/>
        </w:rPr>
        <w:t> </w:t>
      </w:r>
      <w:r>
        <w:rPr/>
        <w:t>que</w:t>
      </w:r>
      <w:r>
        <w:rPr>
          <w:spacing w:val="-14"/>
        </w:rPr>
        <w:t> </w:t>
      </w:r>
      <w:r>
        <w:rPr/>
        <w:t>ocorreu</w:t>
      </w:r>
      <w:r>
        <w:rPr>
          <w:spacing w:val="-12"/>
        </w:rPr>
        <w:t> </w:t>
      </w:r>
      <w:r>
        <w:rPr>
          <w:spacing w:val="-2"/>
        </w:rPr>
        <w:t>ruptura.</w:t>
      </w:r>
      <w:r>
        <w:rPr>
          <w:spacing w:val="-2"/>
          <w:vertAlign w:val="superscript"/>
        </w:rPr>
        <w:t>3</w:t>
      </w:r>
    </w:p>
    <w:p>
      <w:pPr>
        <w:pStyle w:val="BodyText"/>
        <w:spacing w:line="280" w:lineRule="auto" w:before="109"/>
        <w:ind w:right="488"/>
      </w:pPr>
      <w:r>
        <w:rPr/>
        <w:t>Alguns pacientes apresentam diminuição da enzima alfa-1-antitripsina, o maior inibidor da elastase, de forma que</w:t>
      </w:r>
      <w:r>
        <w:rPr>
          <w:spacing w:val="-4"/>
        </w:rPr>
        <w:t> </w:t>
      </w:r>
      <w:r>
        <w:rPr/>
        <w:t>esse</w:t>
      </w:r>
      <w:r>
        <w:rPr>
          <w:spacing w:val="-4"/>
        </w:rPr>
        <w:t> </w:t>
      </w:r>
      <w:r>
        <w:rPr/>
        <w:t>desequilíbrio</w:t>
      </w:r>
      <w:r>
        <w:rPr>
          <w:spacing w:val="-2"/>
        </w:rPr>
        <w:t> </w:t>
      </w:r>
      <w:r>
        <w:rPr/>
        <w:t>parece</w:t>
      </w:r>
      <w:r>
        <w:rPr>
          <w:spacing w:val="-4"/>
        </w:rPr>
        <w:t> </w:t>
      </w:r>
      <w:r>
        <w:rPr/>
        <w:t>ser preponderante</w:t>
      </w:r>
      <w:r>
        <w:rPr>
          <w:spacing w:val="-4"/>
        </w:rPr>
        <w:t> </w:t>
      </w:r>
      <w:r>
        <w:rPr/>
        <w:t>no</w:t>
      </w:r>
      <w:r>
        <w:rPr>
          <w:spacing w:val="-2"/>
        </w:rPr>
        <w:t> </w:t>
      </w:r>
      <w:r>
        <w:rPr/>
        <w:t>desenvolvimento</w:t>
      </w:r>
      <w:r>
        <w:rPr>
          <w:spacing w:val="-2"/>
        </w:rPr>
        <w:t> </w:t>
      </w:r>
      <w:r>
        <w:rPr/>
        <w:t>da</w:t>
      </w:r>
      <w:r>
        <w:rPr>
          <w:spacing w:val="-4"/>
        </w:rPr>
        <w:t> </w:t>
      </w:r>
      <w:r>
        <w:rPr/>
        <w:t>dilatação</w:t>
      </w:r>
      <w:r>
        <w:rPr>
          <w:spacing w:val="-2"/>
        </w:rPr>
        <w:t> </w:t>
      </w:r>
      <w:r>
        <w:rPr/>
        <w:t>aórtica. Foi demonstrado</w:t>
      </w:r>
      <w:r>
        <w:rPr>
          <w:spacing w:val="-2"/>
        </w:rPr>
        <w:t> </w:t>
      </w:r>
      <w:r>
        <w:rPr/>
        <w:t>também que essa alteração bioquímica é decorrente de uma predisposição genética, o que entrelaçaria a teoria enzimática com a teoria genética no desenvolvimento dos aneurismas aórticos.</w:t>
      </w:r>
      <w:r>
        <w:rPr>
          <w:vertAlign w:val="superscript"/>
        </w:rPr>
        <w:t>4</w:t>
      </w:r>
    </w:p>
    <w:p>
      <w:pPr>
        <w:pStyle w:val="BodyText"/>
        <w:spacing w:line="283" w:lineRule="auto" w:before="44"/>
        <w:ind w:right="491"/>
      </w:pPr>
      <w:r>
        <w:rPr/>
        <w:t>Outra possibilidade etiológica na gênese dos aneurismas aórticos estaria relacionada com anormalidades no metabolismo</w:t>
      </w:r>
      <w:r>
        <w:rPr>
          <w:spacing w:val="-2"/>
        </w:rPr>
        <w:t> </w:t>
      </w:r>
      <w:r>
        <w:rPr/>
        <w:t>do</w:t>
      </w:r>
      <w:r>
        <w:rPr>
          <w:spacing w:val="-2"/>
        </w:rPr>
        <w:t> </w:t>
      </w:r>
      <w:r>
        <w:rPr/>
        <w:t>cobre. O</w:t>
      </w:r>
      <w:r>
        <w:rPr>
          <w:spacing w:val="-4"/>
        </w:rPr>
        <w:t> </w:t>
      </w:r>
      <w:r>
        <w:rPr/>
        <w:t>cobre</w:t>
      </w:r>
      <w:r>
        <w:rPr>
          <w:spacing w:val="-4"/>
        </w:rPr>
        <w:t> </w:t>
      </w:r>
      <w:r>
        <w:rPr/>
        <w:t>é</w:t>
      </w:r>
      <w:r>
        <w:rPr>
          <w:spacing w:val="-4"/>
        </w:rPr>
        <w:t> </w:t>
      </w:r>
      <w:r>
        <w:rPr/>
        <w:t>importante</w:t>
      </w:r>
      <w:r>
        <w:rPr>
          <w:spacing w:val="-4"/>
        </w:rPr>
        <w:t> </w:t>
      </w:r>
      <w:r>
        <w:rPr/>
        <w:t>para</w:t>
      </w:r>
      <w:r>
        <w:rPr>
          <w:spacing w:val="-4"/>
        </w:rPr>
        <w:t> </w:t>
      </w:r>
      <w:r>
        <w:rPr/>
        <w:t>a</w:t>
      </w:r>
      <w:r>
        <w:rPr>
          <w:spacing w:val="-4"/>
        </w:rPr>
        <w:t> </w:t>
      </w:r>
      <w:r>
        <w:rPr/>
        <w:t>realização</w:t>
      </w:r>
      <w:r>
        <w:rPr>
          <w:spacing w:val="-2"/>
        </w:rPr>
        <w:t> </w:t>
      </w:r>
      <w:r>
        <w:rPr/>
        <w:t>das ligações moleculares do</w:t>
      </w:r>
      <w:r>
        <w:rPr>
          <w:spacing w:val="-2"/>
        </w:rPr>
        <w:t> </w:t>
      </w:r>
      <w:r>
        <w:rPr/>
        <w:t>colágeno</w:t>
      </w:r>
      <w:r>
        <w:rPr>
          <w:spacing w:val="-2"/>
        </w:rPr>
        <w:t> </w:t>
      </w:r>
      <w:r>
        <w:rPr/>
        <w:t>e</w:t>
      </w:r>
      <w:r>
        <w:rPr>
          <w:spacing w:val="-4"/>
        </w:rPr>
        <w:t> </w:t>
      </w:r>
      <w:r>
        <w:rPr/>
        <w:t>elastina, que formam</w:t>
      </w:r>
      <w:r>
        <w:rPr>
          <w:spacing w:val="-3"/>
        </w:rPr>
        <w:t> </w:t>
      </w:r>
      <w:r>
        <w:rPr/>
        <w:t>a</w:t>
      </w:r>
      <w:r>
        <w:rPr>
          <w:spacing w:val="-7"/>
        </w:rPr>
        <w:t> </w:t>
      </w:r>
      <w:r>
        <w:rPr/>
        <w:t>matriz</w:t>
      </w:r>
      <w:r>
        <w:rPr>
          <w:spacing w:val="-7"/>
        </w:rPr>
        <w:t> </w:t>
      </w:r>
      <w:r>
        <w:rPr/>
        <w:t>extracelular da</w:t>
      </w:r>
      <w:r>
        <w:rPr>
          <w:spacing w:val="-7"/>
        </w:rPr>
        <w:t> </w:t>
      </w:r>
      <w:r>
        <w:rPr/>
        <w:t>parede</w:t>
      </w:r>
      <w:r>
        <w:rPr>
          <w:spacing w:val="-7"/>
        </w:rPr>
        <w:t> </w:t>
      </w:r>
      <w:r>
        <w:rPr/>
        <w:t>aórtica. A</w:t>
      </w:r>
      <w:r>
        <w:rPr>
          <w:spacing w:val="-7"/>
        </w:rPr>
        <w:t> </w:t>
      </w:r>
      <w:r>
        <w:rPr/>
        <w:t>deficiência</w:t>
      </w:r>
      <w:r>
        <w:rPr>
          <w:spacing w:val="-7"/>
        </w:rPr>
        <w:t> </w:t>
      </w:r>
      <w:r>
        <w:rPr/>
        <w:t>de</w:t>
      </w:r>
      <w:r>
        <w:rPr>
          <w:spacing w:val="-7"/>
        </w:rPr>
        <w:t> </w:t>
      </w:r>
      <w:r>
        <w:rPr/>
        <w:t>cobre, que</w:t>
      </w:r>
      <w:r>
        <w:rPr>
          <w:spacing w:val="-7"/>
        </w:rPr>
        <w:t> </w:t>
      </w:r>
      <w:r>
        <w:rPr/>
        <w:t>é</w:t>
      </w:r>
      <w:r>
        <w:rPr>
          <w:spacing w:val="-7"/>
        </w:rPr>
        <w:t> </w:t>
      </w:r>
      <w:r>
        <w:rPr/>
        <w:t>cofator da</w:t>
      </w:r>
      <w:r>
        <w:rPr>
          <w:spacing w:val="-7"/>
        </w:rPr>
        <w:t> </w:t>
      </w:r>
      <w:r>
        <w:rPr/>
        <w:t>metaloenzima</w:t>
      </w:r>
      <w:r>
        <w:rPr>
          <w:spacing w:val="-7"/>
        </w:rPr>
        <w:t> </w:t>
      </w:r>
      <w:r>
        <w:rPr/>
        <w:t>lisil</w:t>
      </w:r>
      <w:r>
        <w:rPr>
          <w:spacing w:val="-1"/>
        </w:rPr>
        <w:t> </w:t>
      </w:r>
      <w:r>
        <w:rPr/>
        <w:t>oxidase, poderia resultar em diminuição da formação de colágeno e elastina e enfraquecimento da parede aórtica, contribuindo, portanto, para sua dilatação.</w:t>
      </w:r>
      <w:r>
        <w:rPr>
          <w:vertAlign w:val="superscript"/>
        </w:rPr>
        <w:t>5</w:t>
      </w:r>
      <w:r>
        <w:rPr>
          <w:vertAlign w:val="baseline"/>
        </w:rPr>
        <w:t> A presença do genótipo </w:t>
      </w:r>
      <w:r>
        <w:rPr>
          <w:i/>
          <w:vertAlign w:val="baseline"/>
        </w:rPr>
        <w:t>matrix-metaloproteinase-9 </w:t>
      </w:r>
      <w:r>
        <w:rPr>
          <w:vertAlign w:val="baseline"/>
        </w:rPr>
        <w:t>(MMP-9) pode ser considerada um marcador genético para o aneurisma da aorta abdominal.</w:t>
      </w:r>
      <w:r>
        <w:rPr>
          <w:vertAlign w:val="superscript"/>
        </w:rPr>
        <w:t>6</w:t>
      </w:r>
      <w:r>
        <w:rPr>
          <w:vertAlign w:val="baseline"/>
        </w:rPr>
        <w:t> Outros estudos têm relacionado o importante papel da nicotina como estimulador da expressão das MMPs na parede vascular, induzindo a angiogênese nos tecidos aneurismáticos.</w:t>
      </w:r>
      <w:r>
        <w:rPr>
          <w:vertAlign w:val="superscript"/>
        </w:rPr>
        <w:t>6</w:t>
      </w:r>
    </w:p>
    <w:p>
      <w:pPr>
        <w:pStyle w:val="BodyText"/>
        <w:spacing w:line="276" w:lineRule="auto" w:before="50"/>
        <w:ind w:right="498"/>
      </w:pPr>
      <w:r>
        <w:rPr/>
        <w:t>Como se vê, a ideia da etiologia arteriosclerótica para a maioria dos aneurismas aórticos deve ser repensada, agora não mais em termos de causa principal, mas como possível fator associado, ou eventualmente, meramente </w:t>
      </w:r>
      <w:r>
        <w:rPr>
          <w:spacing w:val="-2"/>
        </w:rPr>
        <w:t>incidental.</w:t>
      </w:r>
    </w:p>
    <w:p>
      <w:pPr>
        <w:pStyle w:val="BodyText"/>
        <w:spacing w:before="185"/>
        <w:ind w:left="0" w:firstLine="0"/>
        <w:jc w:val="left"/>
      </w:pPr>
    </w:p>
    <w:p>
      <w:pPr>
        <w:pStyle w:val="Heading4"/>
      </w:pPr>
      <w:r>
        <w:rPr>
          <w:color w:val="242B67"/>
          <w:spacing w:val="-2"/>
        </w:rPr>
        <w:t>Patogenia</w:t>
      </w:r>
    </w:p>
    <w:p>
      <w:pPr>
        <w:pStyle w:val="BodyText"/>
        <w:spacing w:line="278" w:lineRule="auto" w:before="132"/>
        <w:ind w:right="491"/>
      </w:pPr>
      <w:r>
        <w:rPr/>
        <w:t>A</w:t>
      </w:r>
      <w:r>
        <w:rPr>
          <w:spacing w:val="-5"/>
        </w:rPr>
        <w:t> </w:t>
      </w:r>
      <w:r>
        <w:rPr/>
        <w:t>aorta</w:t>
      </w:r>
      <w:r>
        <w:rPr>
          <w:spacing w:val="-5"/>
        </w:rPr>
        <w:t> </w:t>
      </w:r>
      <w:r>
        <w:rPr/>
        <w:t>infrarrenal é</w:t>
      </w:r>
      <w:r>
        <w:rPr>
          <w:spacing w:val="-5"/>
        </w:rPr>
        <w:t> </w:t>
      </w:r>
      <w:r>
        <w:rPr/>
        <w:t>a</w:t>
      </w:r>
      <w:r>
        <w:rPr>
          <w:spacing w:val="-5"/>
        </w:rPr>
        <w:t> </w:t>
      </w:r>
      <w:r>
        <w:rPr/>
        <w:t>localização</w:t>
      </w:r>
      <w:r>
        <w:rPr>
          <w:spacing w:val="-3"/>
        </w:rPr>
        <w:t> </w:t>
      </w:r>
      <w:r>
        <w:rPr/>
        <w:t>mais frequente</w:t>
      </w:r>
      <w:r>
        <w:rPr>
          <w:spacing w:val="-5"/>
        </w:rPr>
        <w:t> </w:t>
      </w:r>
      <w:r>
        <w:rPr/>
        <w:t>dos aneurismas arteriais. Este</w:t>
      </w:r>
      <w:r>
        <w:rPr>
          <w:spacing w:val="-5"/>
        </w:rPr>
        <w:t> </w:t>
      </w:r>
      <w:r>
        <w:rPr/>
        <w:t>fato</w:t>
      </w:r>
      <w:r>
        <w:rPr>
          <w:spacing w:val="-3"/>
        </w:rPr>
        <w:t> </w:t>
      </w:r>
      <w:r>
        <w:rPr/>
        <w:t>pode</w:t>
      </w:r>
      <w:r>
        <w:rPr>
          <w:spacing w:val="-5"/>
        </w:rPr>
        <w:t> </w:t>
      </w:r>
      <w:r>
        <w:rPr/>
        <w:t>ser correlacionado</w:t>
      </w:r>
      <w:r>
        <w:rPr>
          <w:spacing w:val="-3"/>
        </w:rPr>
        <w:t> </w:t>
      </w:r>
      <w:r>
        <w:rPr/>
        <w:t>ao somatório</w:t>
      </w:r>
      <w:r>
        <w:rPr>
          <w:spacing w:val="-4"/>
        </w:rPr>
        <w:t> </w:t>
      </w:r>
      <w:r>
        <w:rPr/>
        <w:t>de</w:t>
      </w:r>
      <w:r>
        <w:rPr>
          <w:spacing w:val="-6"/>
        </w:rPr>
        <w:t> </w:t>
      </w:r>
      <w:r>
        <w:rPr/>
        <w:t>alguns fatores que</w:t>
      </w:r>
      <w:r>
        <w:rPr>
          <w:spacing w:val="-6"/>
        </w:rPr>
        <w:t> </w:t>
      </w:r>
      <w:r>
        <w:rPr/>
        <w:t>provavelmente</w:t>
      </w:r>
      <w:r>
        <w:rPr>
          <w:spacing w:val="-6"/>
        </w:rPr>
        <w:t> </w:t>
      </w:r>
      <w:r>
        <w:rPr/>
        <w:t>contribuem</w:t>
      </w:r>
      <w:r>
        <w:rPr>
          <w:spacing w:val="-4"/>
        </w:rPr>
        <w:t> </w:t>
      </w:r>
      <w:r>
        <w:rPr/>
        <w:t>para</w:t>
      </w:r>
      <w:r>
        <w:rPr>
          <w:spacing w:val="-6"/>
        </w:rPr>
        <w:t> </w:t>
      </w:r>
      <w:r>
        <w:rPr/>
        <w:t>essa</w:t>
      </w:r>
      <w:r>
        <w:rPr>
          <w:spacing w:val="-6"/>
        </w:rPr>
        <w:t> </w:t>
      </w:r>
      <w:r>
        <w:rPr/>
        <w:t>ocorrência:</w:t>
      </w:r>
      <w:r>
        <w:rPr>
          <w:spacing w:val="-1"/>
        </w:rPr>
        <w:t> </w:t>
      </w:r>
      <w:r>
        <w:rPr/>
        <w:t>o</w:t>
      </w:r>
      <w:r>
        <w:rPr>
          <w:spacing w:val="-4"/>
        </w:rPr>
        <w:t> </w:t>
      </w:r>
      <w:r>
        <w:rPr/>
        <w:t>diâmetro</w:t>
      </w:r>
      <w:r>
        <w:rPr>
          <w:spacing w:val="-4"/>
        </w:rPr>
        <w:t> </w:t>
      </w:r>
      <w:r>
        <w:rPr/>
        <w:t>interno</w:t>
      </w:r>
      <w:r>
        <w:rPr>
          <w:spacing w:val="-4"/>
        </w:rPr>
        <w:t> </w:t>
      </w:r>
      <w:r>
        <w:rPr/>
        <w:t>da</w:t>
      </w:r>
      <w:r>
        <w:rPr>
          <w:spacing w:val="-6"/>
        </w:rPr>
        <w:t> </w:t>
      </w:r>
      <w:r>
        <w:rPr/>
        <w:t>aorta, desde sua</w:t>
      </w:r>
      <w:r>
        <w:rPr>
          <w:spacing w:val="-8"/>
        </w:rPr>
        <w:t> </w:t>
      </w:r>
      <w:r>
        <w:rPr/>
        <w:t>origem, no</w:t>
      </w:r>
      <w:r>
        <w:rPr>
          <w:spacing w:val="-5"/>
        </w:rPr>
        <w:t> </w:t>
      </w:r>
      <w:r>
        <w:rPr/>
        <w:t>tórax, até</w:t>
      </w:r>
      <w:r>
        <w:rPr>
          <w:spacing w:val="-8"/>
        </w:rPr>
        <w:t> </w:t>
      </w:r>
      <w:r>
        <w:rPr/>
        <w:t>sua</w:t>
      </w:r>
      <w:r>
        <w:rPr>
          <w:spacing w:val="-8"/>
        </w:rPr>
        <w:t> </w:t>
      </w:r>
      <w:r>
        <w:rPr/>
        <w:t>bifurcação, diminui</w:t>
      </w:r>
      <w:r>
        <w:rPr>
          <w:spacing w:val="-3"/>
        </w:rPr>
        <w:t> </w:t>
      </w:r>
      <w:r>
        <w:rPr/>
        <w:t>progressivamente, de</w:t>
      </w:r>
      <w:r>
        <w:rPr>
          <w:spacing w:val="-8"/>
        </w:rPr>
        <w:t> </w:t>
      </w:r>
      <w:r>
        <w:rPr/>
        <w:t>forma</w:t>
      </w:r>
      <w:r>
        <w:rPr>
          <w:spacing w:val="-8"/>
        </w:rPr>
        <w:t> </w:t>
      </w:r>
      <w:r>
        <w:rPr/>
        <w:t>que</w:t>
      </w:r>
      <w:r>
        <w:rPr>
          <w:spacing w:val="-8"/>
        </w:rPr>
        <w:t> </w:t>
      </w:r>
      <w:r>
        <w:rPr/>
        <w:t>a</w:t>
      </w:r>
      <w:r>
        <w:rPr>
          <w:spacing w:val="-8"/>
        </w:rPr>
        <w:t> </w:t>
      </w:r>
      <w:r>
        <w:rPr/>
        <w:t>tensão</w:t>
      </w:r>
      <w:r>
        <w:rPr>
          <w:spacing w:val="-5"/>
        </w:rPr>
        <w:t> </w:t>
      </w:r>
      <w:r>
        <w:rPr/>
        <w:t>mural</w:t>
      </w:r>
      <w:r>
        <w:rPr>
          <w:spacing w:val="-3"/>
        </w:rPr>
        <w:t> </w:t>
      </w:r>
      <w:r>
        <w:rPr/>
        <w:t>está</w:t>
      </w:r>
      <w:r>
        <w:rPr>
          <w:spacing w:val="-8"/>
        </w:rPr>
        <w:t> </w:t>
      </w:r>
      <w:r>
        <w:rPr/>
        <w:t>aumentada</w:t>
      </w:r>
      <w:r>
        <w:rPr>
          <w:spacing w:val="-8"/>
        </w:rPr>
        <w:t> </w:t>
      </w:r>
      <w:r>
        <w:rPr/>
        <w:t>no segmento infrarrenal. Este</w:t>
      </w:r>
      <w:r>
        <w:rPr>
          <w:spacing w:val="-1"/>
        </w:rPr>
        <w:t> </w:t>
      </w:r>
      <w:r>
        <w:rPr/>
        <w:t>fenômeno se</w:t>
      </w:r>
      <w:r>
        <w:rPr>
          <w:spacing w:val="-1"/>
        </w:rPr>
        <w:t> </w:t>
      </w:r>
      <w:r>
        <w:rPr/>
        <w:t>intensifica</w:t>
      </w:r>
      <w:r>
        <w:rPr>
          <w:spacing w:val="-1"/>
        </w:rPr>
        <w:t> </w:t>
      </w:r>
      <w:r>
        <w:rPr/>
        <w:t>nos portadores de</w:t>
      </w:r>
      <w:r>
        <w:rPr>
          <w:spacing w:val="-1"/>
        </w:rPr>
        <w:t> </w:t>
      </w:r>
      <w:r>
        <w:rPr/>
        <w:t>hipertensão arterial. Além disso, a</w:t>
      </w:r>
      <w:r>
        <w:rPr>
          <w:spacing w:val="-1"/>
        </w:rPr>
        <w:t> </w:t>
      </w:r>
      <w:r>
        <w:rPr/>
        <w:t>relação de fibras elásticas e musculares da camada média distal é diferente, com menor quantidade de fibras elásticas quando comparada</w:t>
      </w:r>
      <w:r>
        <w:rPr>
          <w:spacing w:val="-5"/>
        </w:rPr>
        <w:t> </w:t>
      </w:r>
      <w:r>
        <w:rPr/>
        <w:t>com</w:t>
      </w:r>
      <w:r>
        <w:rPr>
          <w:spacing w:val="-2"/>
        </w:rPr>
        <w:t> </w:t>
      </w:r>
      <w:r>
        <w:rPr/>
        <w:t>outros territórios arteriais, o</w:t>
      </w:r>
      <w:r>
        <w:rPr>
          <w:spacing w:val="-2"/>
        </w:rPr>
        <w:t> </w:t>
      </w:r>
      <w:r>
        <w:rPr/>
        <w:t>que</w:t>
      </w:r>
      <w:r>
        <w:rPr>
          <w:spacing w:val="-5"/>
        </w:rPr>
        <w:t> </w:t>
      </w:r>
      <w:r>
        <w:rPr/>
        <w:t>lhe</w:t>
      </w:r>
      <w:r>
        <w:rPr>
          <w:spacing w:val="-5"/>
        </w:rPr>
        <w:t> </w:t>
      </w:r>
      <w:r>
        <w:rPr/>
        <w:t>confere</w:t>
      </w:r>
      <w:r>
        <w:rPr>
          <w:spacing w:val="-5"/>
        </w:rPr>
        <w:t> </w:t>
      </w:r>
      <w:r>
        <w:rPr/>
        <w:t>menor complacência</w:t>
      </w:r>
      <w:r>
        <w:rPr>
          <w:spacing w:val="-5"/>
        </w:rPr>
        <w:t> </w:t>
      </w:r>
      <w:r>
        <w:rPr/>
        <w:t>parietal, especialmente</w:t>
      </w:r>
      <w:r>
        <w:rPr>
          <w:spacing w:val="-5"/>
        </w:rPr>
        <w:t> </w:t>
      </w:r>
      <w:r>
        <w:rPr/>
        <w:t>na</w:t>
      </w:r>
      <w:r>
        <w:rPr>
          <w:spacing w:val="-5"/>
        </w:rPr>
        <w:t> </w:t>
      </w:r>
      <w:r>
        <w:rPr/>
        <w:t>região infrarrenal. Acresce-se a isso o fato de que a nutrição parietal através dos </w:t>
      </w:r>
      <w:r>
        <w:rPr>
          <w:i/>
        </w:rPr>
        <w:t>vasa vasorum </w:t>
      </w:r>
      <w:r>
        <w:rPr/>
        <w:t>ser muito pobre na aorta infrarrenal, de forma que a associação desses fatores anatomofisiológicos pode favorecer, em determinadas condições, a degeneração aneurismática da parede aórtica.</w:t>
      </w:r>
      <w:r>
        <w:rPr>
          <w:vertAlign w:val="superscript"/>
        </w:rPr>
        <w:t>7</w:t>
      </w:r>
    </w:p>
    <w:p>
      <w:pPr>
        <w:pStyle w:val="BodyText"/>
        <w:spacing w:line="276" w:lineRule="auto" w:before="58"/>
        <w:ind w:right="491"/>
      </w:pPr>
      <w:r>
        <w:rPr/>
        <w:t>A</w:t>
      </w:r>
      <w:r>
        <w:rPr>
          <w:spacing w:val="-15"/>
        </w:rPr>
        <w:t> </w:t>
      </w:r>
      <w:r>
        <w:rPr/>
        <w:t>degeneração</w:t>
      </w:r>
      <w:r>
        <w:rPr>
          <w:spacing w:val="-14"/>
        </w:rPr>
        <w:t> </w:t>
      </w:r>
      <w:r>
        <w:rPr/>
        <w:t>parietal</w:t>
      </w:r>
      <w:r>
        <w:rPr>
          <w:spacing w:val="-10"/>
        </w:rPr>
        <w:t> </w:t>
      </w:r>
      <w:r>
        <w:rPr/>
        <w:t>origina</w:t>
      </w:r>
      <w:r>
        <w:rPr>
          <w:spacing w:val="-15"/>
        </w:rPr>
        <w:t> </w:t>
      </w:r>
      <w:r>
        <w:rPr/>
        <w:t>dilatação</w:t>
      </w:r>
      <w:r>
        <w:rPr>
          <w:spacing w:val="-12"/>
        </w:rPr>
        <w:t> </w:t>
      </w:r>
      <w:r>
        <w:rPr/>
        <w:t>da</w:t>
      </w:r>
      <w:r>
        <w:rPr>
          <w:spacing w:val="-15"/>
        </w:rPr>
        <w:t> </w:t>
      </w:r>
      <w:r>
        <w:rPr/>
        <w:t>parede</w:t>
      </w:r>
      <w:r>
        <w:rPr>
          <w:spacing w:val="-14"/>
        </w:rPr>
        <w:t> </w:t>
      </w:r>
      <w:r>
        <w:rPr/>
        <w:t>aórtica</w:t>
      </w:r>
      <w:r>
        <w:rPr>
          <w:spacing w:val="-15"/>
        </w:rPr>
        <w:t> </w:t>
      </w:r>
      <w:r>
        <w:rPr/>
        <w:t>que,</w:t>
      </w:r>
      <w:r>
        <w:rPr>
          <w:spacing w:val="-5"/>
        </w:rPr>
        <w:t> </w:t>
      </w:r>
      <w:r>
        <w:rPr/>
        <w:t>geralmente,</w:t>
      </w:r>
      <w:r>
        <w:rPr>
          <w:spacing w:val="-6"/>
        </w:rPr>
        <w:t> </w:t>
      </w:r>
      <w:r>
        <w:rPr/>
        <w:t>é</w:t>
      </w:r>
      <w:r>
        <w:rPr>
          <w:spacing w:val="-15"/>
        </w:rPr>
        <w:t> </w:t>
      </w:r>
      <w:r>
        <w:rPr/>
        <w:t>fusiforme,</w:t>
      </w:r>
      <w:r>
        <w:rPr>
          <w:spacing w:val="-6"/>
        </w:rPr>
        <w:t> </w:t>
      </w:r>
      <w:r>
        <w:rPr/>
        <w:t>iniciando-se</w:t>
      </w:r>
      <w:r>
        <w:rPr>
          <w:spacing w:val="-15"/>
        </w:rPr>
        <w:t> </w:t>
      </w:r>
      <w:r>
        <w:rPr/>
        <w:t>logo</w:t>
      </w:r>
      <w:r>
        <w:rPr>
          <w:spacing w:val="-12"/>
        </w:rPr>
        <w:t> </w:t>
      </w:r>
      <w:r>
        <w:rPr/>
        <w:t>abaixo da emergência das artérias renais e prolongando-se até a bifurcação. Muitas vezes, as artérias ilíacas estão acometidas no mesmo processo, podendo, em algumas situações, a dilatação das ilíacas ser mais importante que a da aorta. Em outros casos, bem menos frequentes, a dilatação aórtica pode ser sacular, denotando um ponto ou região localizada de maior fraqueza de parede, possivelmente com maior tendência à ruptura do que as dilatações fusiformes. Considera-se a aorta abdominal como aneurismática quando seu diâmetro transversal máximo é igual ou</w:t>
      </w:r>
      <w:r>
        <w:rPr>
          <w:spacing w:val="-5"/>
        </w:rPr>
        <w:t> </w:t>
      </w:r>
      <w:r>
        <w:rPr/>
        <w:t>superior a</w:t>
      </w:r>
      <w:r>
        <w:rPr>
          <w:spacing w:val="-8"/>
        </w:rPr>
        <w:t> </w:t>
      </w:r>
      <w:r>
        <w:rPr/>
        <w:t>3</w:t>
      </w:r>
      <w:r>
        <w:rPr>
          <w:spacing w:val="-5"/>
        </w:rPr>
        <w:t> </w:t>
      </w:r>
      <w:r>
        <w:rPr/>
        <w:t>cm;</w:t>
      </w:r>
      <w:r>
        <w:rPr>
          <w:spacing w:val="-3"/>
        </w:rPr>
        <w:t> </w:t>
      </w:r>
      <w:r>
        <w:rPr/>
        <w:t>no</w:t>
      </w:r>
      <w:r>
        <w:rPr>
          <w:spacing w:val="-5"/>
        </w:rPr>
        <w:t> </w:t>
      </w:r>
      <w:r>
        <w:rPr/>
        <w:t>entanto, por se</w:t>
      </w:r>
      <w:r>
        <w:rPr>
          <w:spacing w:val="-8"/>
        </w:rPr>
        <w:t> </w:t>
      </w:r>
      <w:r>
        <w:rPr/>
        <w:t>tratar de</w:t>
      </w:r>
      <w:r>
        <w:rPr>
          <w:spacing w:val="-8"/>
        </w:rPr>
        <w:t> </w:t>
      </w:r>
      <w:r>
        <w:rPr/>
        <w:t>média</w:t>
      </w:r>
      <w:r>
        <w:rPr>
          <w:spacing w:val="-8"/>
        </w:rPr>
        <w:t> </w:t>
      </w:r>
      <w:r>
        <w:rPr/>
        <w:t>ponderal</w:t>
      </w:r>
      <w:r>
        <w:rPr>
          <w:spacing w:val="-3"/>
        </w:rPr>
        <w:t> </w:t>
      </w:r>
      <w:r>
        <w:rPr/>
        <w:t>em</w:t>
      </w:r>
      <w:r>
        <w:rPr>
          <w:spacing w:val="-5"/>
        </w:rPr>
        <w:t> </w:t>
      </w:r>
      <w:r>
        <w:rPr/>
        <w:t>modelo</w:t>
      </w:r>
      <w:r>
        <w:rPr>
          <w:spacing w:val="-5"/>
        </w:rPr>
        <w:t> </w:t>
      </w:r>
      <w:r>
        <w:rPr/>
        <w:t>biológico, as variações, de</w:t>
      </w:r>
      <w:r>
        <w:rPr>
          <w:spacing w:val="-8"/>
        </w:rPr>
        <w:t> </w:t>
      </w:r>
      <w:r>
        <w:rPr/>
        <w:t>acordo</w:t>
      </w:r>
      <w:r>
        <w:rPr>
          <w:spacing w:val="-5"/>
        </w:rPr>
        <w:t> </w:t>
      </w:r>
      <w:r>
        <w:rPr/>
        <w:t>com</w:t>
      </w:r>
      <w:r>
        <w:rPr>
          <w:spacing w:val="-5"/>
        </w:rPr>
        <w:t> </w:t>
      </w:r>
      <w:r>
        <w:rPr/>
        <w:t>o biotipo, devem ser consideradas em cada caso.</w:t>
      </w:r>
    </w:p>
    <w:p>
      <w:pPr>
        <w:pStyle w:val="BodyText"/>
        <w:spacing w:before="134"/>
        <w:ind w:left="0" w:firstLine="0"/>
        <w:jc w:val="left"/>
      </w:pPr>
    </w:p>
    <w:p>
      <w:pPr>
        <w:pStyle w:val="Heading5"/>
      </w:pPr>
      <w:r>
        <w:rPr>
          <w:color w:val="A26108"/>
        </w:rPr>
        <w:t>História</w:t>
      </w:r>
      <w:r>
        <w:rPr>
          <w:color w:val="A26108"/>
          <w:spacing w:val="24"/>
        </w:rPr>
        <w:t> </w:t>
      </w:r>
      <w:r>
        <w:rPr>
          <w:color w:val="A26108"/>
          <w:spacing w:val="-2"/>
        </w:rPr>
        <w:t>natural</w:t>
      </w:r>
    </w:p>
    <w:p>
      <w:pPr>
        <w:pStyle w:val="BodyText"/>
        <w:spacing w:line="280" w:lineRule="auto" w:before="122"/>
        <w:ind w:right="491"/>
      </w:pPr>
      <w:r>
        <w:rPr/>
        <w:t>O controle da evolução do aneurisma da aorta leva em consideração seu diâmetro e mais especificamente seu ritmo de</w:t>
      </w:r>
      <w:r>
        <w:rPr>
          <w:spacing w:val="-2"/>
        </w:rPr>
        <w:t> </w:t>
      </w:r>
      <w:r>
        <w:rPr/>
        <w:t>crescimento, porque</w:t>
      </w:r>
      <w:r>
        <w:rPr>
          <w:spacing w:val="-2"/>
        </w:rPr>
        <w:t> </w:t>
      </w:r>
      <w:r>
        <w:rPr/>
        <w:t>já</w:t>
      </w:r>
      <w:r>
        <w:rPr>
          <w:spacing w:val="-2"/>
        </w:rPr>
        <w:t> </w:t>
      </w:r>
      <w:r>
        <w:rPr/>
        <w:t>foi demonstrado de</w:t>
      </w:r>
      <w:r>
        <w:rPr>
          <w:spacing w:val="-2"/>
        </w:rPr>
        <w:t> </w:t>
      </w:r>
      <w:r>
        <w:rPr/>
        <w:t>forma</w:t>
      </w:r>
      <w:r>
        <w:rPr>
          <w:spacing w:val="-2"/>
        </w:rPr>
        <w:t> </w:t>
      </w:r>
      <w:r>
        <w:rPr/>
        <w:t>definitiva</w:t>
      </w:r>
      <w:r>
        <w:rPr>
          <w:spacing w:val="-2"/>
        </w:rPr>
        <w:t> </w:t>
      </w:r>
      <w:r>
        <w:rPr/>
        <w:t>que</w:t>
      </w:r>
      <w:r>
        <w:rPr>
          <w:spacing w:val="-2"/>
        </w:rPr>
        <w:t> </w:t>
      </w:r>
      <w:r>
        <w:rPr/>
        <w:t>o aneurisma, após seu diagnóstico inicial, cresce progressivamente na maioria das vezes, e quanto maior for seu diâmetro, maiores as probabilidades de ruptura. Antes de o tratamento cirúrgico estar estabelecido, demonstrou-se que a sobrevida em 5 anos, após o diagnóstico</w:t>
      </w:r>
      <w:r>
        <w:rPr>
          <w:spacing w:val="-4"/>
        </w:rPr>
        <w:t> </w:t>
      </w:r>
      <w:r>
        <w:rPr/>
        <w:t>de</w:t>
      </w:r>
      <w:r>
        <w:rPr>
          <w:spacing w:val="-6"/>
        </w:rPr>
        <w:t> </w:t>
      </w:r>
      <w:r>
        <w:rPr/>
        <w:t>aneurisma</w:t>
      </w:r>
      <w:r>
        <w:rPr>
          <w:spacing w:val="-6"/>
        </w:rPr>
        <w:t> </w:t>
      </w:r>
      <w:r>
        <w:rPr/>
        <w:t>de</w:t>
      </w:r>
      <w:r>
        <w:rPr>
          <w:spacing w:val="-6"/>
        </w:rPr>
        <w:t> </w:t>
      </w:r>
      <w:r>
        <w:rPr/>
        <w:t>aorta, era</w:t>
      </w:r>
      <w:r>
        <w:rPr>
          <w:spacing w:val="-6"/>
        </w:rPr>
        <w:t> </w:t>
      </w:r>
      <w:r>
        <w:rPr/>
        <w:t>de</w:t>
      </w:r>
      <w:r>
        <w:rPr>
          <w:spacing w:val="-6"/>
        </w:rPr>
        <w:t> </w:t>
      </w:r>
      <w:r>
        <w:rPr/>
        <w:t>apenas 20%.</w:t>
      </w:r>
      <w:r>
        <w:rPr>
          <w:vertAlign w:val="superscript"/>
        </w:rPr>
        <w:t>8</w:t>
      </w:r>
      <w:r>
        <w:rPr>
          <w:vertAlign w:val="baseline"/>
        </w:rPr>
        <w:t> Por outro</w:t>
      </w:r>
      <w:r>
        <w:rPr>
          <w:spacing w:val="-3"/>
          <w:vertAlign w:val="baseline"/>
        </w:rPr>
        <w:t> </w:t>
      </w:r>
      <w:r>
        <w:rPr>
          <w:vertAlign w:val="baseline"/>
        </w:rPr>
        <w:t>lado, o</w:t>
      </w:r>
      <w:r>
        <w:rPr>
          <w:spacing w:val="-3"/>
          <w:vertAlign w:val="baseline"/>
        </w:rPr>
        <w:t> </w:t>
      </w:r>
      <w:r>
        <w:rPr>
          <w:vertAlign w:val="baseline"/>
        </w:rPr>
        <w:t>risco</w:t>
      </w:r>
      <w:r>
        <w:rPr>
          <w:spacing w:val="-3"/>
          <w:vertAlign w:val="baseline"/>
        </w:rPr>
        <w:t> </w:t>
      </w:r>
      <w:r>
        <w:rPr>
          <w:vertAlign w:val="baseline"/>
        </w:rPr>
        <w:t>de</w:t>
      </w:r>
      <w:r>
        <w:rPr>
          <w:spacing w:val="-6"/>
          <w:vertAlign w:val="baseline"/>
        </w:rPr>
        <w:t> </w:t>
      </w:r>
      <w:r>
        <w:rPr>
          <w:vertAlign w:val="baseline"/>
        </w:rPr>
        <w:t>mortalidade</w:t>
      </w:r>
      <w:r>
        <w:rPr>
          <w:spacing w:val="-6"/>
          <w:vertAlign w:val="baseline"/>
        </w:rPr>
        <w:t> </w:t>
      </w:r>
      <w:r>
        <w:rPr>
          <w:vertAlign w:val="baseline"/>
        </w:rPr>
        <w:t>cirúrgica</w:t>
      </w:r>
      <w:r>
        <w:rPr>
          <w:spacing w:val="-6"/>
          <w:vertAlign w:val="baseline"/>
        </w:rPr>
        <w:t> </w:t>
      </w:r>
      <w:r>
        <w:rPr>
          <w:vertAlign w:val="baseline"/>
        </w:rPr>
        <w:t>na</w:t>
      </w:r>
      <w:r>
        <w:rPr>
          <w:spacing w:val="-6"/>
          <w:vertAlign w:val="baseline"/>
        </w:rPr>
        <w:t> </w:t>
      </w:r>
      <w:r>
        <w:rPr>
          <w:vertAlign w:val="baseline"/>
        </w:rPr>
        <w:t>correção eletiva dos aneurismas aórticos, atualmente, situa-se em torno de 5%.</w:t>
      </w:r>
      <w:r>
        <w:rPr>
          <w:vertAlign w:val="superscript"/>
        </w:rPr>
        <w:t>9</w:t>
      </w:r>
      <w:r>
        <w:rPr>
          <w:vertAlign w:val="baseline"/>
        </w:rPr>
        <w:t> Portanto, a decisão de operar um paciente portador de aneurisma de aorta deve se basear na premissa de que o risco de morte por complicação do aneurisma seja maior do que o risco da operação para sua correção.</w:t>
      </w:r>
    </w:p>
    <w:p>
      <w:pPr>
        <w:pStyle w:val="BodyText"/>
        <w:spacing w:line="280" w:lineRule="auto" w:before="55"/>
        <w:ind w:right="492"/>
      </w:pPr>
      <w:r>
        <w:rPr/>
        <w:t>Para</w:t>
      </w:r>
      <w:r>
        <w:rPr>
          <w:spacing w:val="-8"/>
        </w:rPr>
        <w:t> </w:t>
      </w:r>
      <w:r>
        <w:rPr/>
        <w:t>se</w:t>
      </w:r>
      <w:r>
        <w:rPr>
          <w:spacing w:val="-8"/>
        </w:rPr>
        <w:t> </w:t>
      </w:r>
      <w:r>
        <w:rPr/>
        <w:t>poder avaliar melhor o</w:t>
      </w:r>
      <w:r>
        <w:rPr>
          <w:spacing w:val="-5"/>
        </w:rPr>
        <w:t> </w:t>
      </w:r>
      <w:r>
        <w:rPr/>
        <w:t>risco</w:t>
      </w:r>
      <w:r>
        <w:rPr>
          <w:spacing w:val="-5"/>
        </w:rPr>
        <w:t> </w:t>
      </w:r>
      <w:r>
        <w:rPr/>
        <w:t>de</w:t>
      </w:r>
      <w:r>
        <w:rPr>
          <w:spacing w:val="-8"/>
        </w:rPr>
        <w:t> </w:t>
      </w:r>
      <w:r>
        <w:rPr/>
        <w:t>ruptura, de</w:t>
      </w:r>
      <w:r>
        <w:rPr>
          <w:spacing w:val="-8"/>
        </w:rPr>
        <w:t> </w:t>
      </w:r>
      <w:r>
        <w:rPr/>
        <w:t>acordo</w:t>
      </w:r>
      <w:r>
        <w:rPr>
          <w:spacing w:val="-5"/>
        </w:rPr>
        <w:t> </w:t>
      </w:r>
      <w:r>
        <w:rPr/>
        <w:t>com</w:t>
      </w:r>
      <w:r>
        <w:rPr>
          <w:spacing w:val="-5"/>
        </w:rPr>
        <w:t> </w:t>
      </w:r>
      <w:r>
        <w:rPr/>
        <w:t>suas dimensões, Darling</w:t>
      </w:r>
      <w:r>
        <w:rPr>
          <w:spacing w:val="-5"/>
        </w:rPr>
        <w:t> </w:t>
      </w:r>
      <w:r>
        <w:rPr>
          <w:i/>
        </w:rPr>
        <w:t>et</w:t>
      </w:r>
      <w:r>
        <w:rPr>
          <w:i/>
          <w:spacing w:val="-3"/>
        </w:rPr>
        <w:t> </w:t>
      </w:r>
      <w:r>
        <w:rPr>
          <w:i/>
        </w:rPr>
        <w:t>al. </w:t>
      </w:r>
      <w:r>
        <w:rPr/>
        <w:t>realizaram estudo de</w:t>
      </w:r>
      <w:r>
        <w:rPr>
          <w:spacing w:val="-2"/>
        </w:rPr>
        <w:t> </w:t>
      </w:r>
      <w:r>
        <w:rPr/>
        <w:t>necropsias em portadores de</w:t>
      </w:r>
      <w:r>
        <w:rPr>
          <w:spacing w:val="-2"/>
        </w:rPr>
        <w:t> </w:t>
      </w:r>
      <w:r>
        <w:rPr/>
        <w:t>aneurismas não operados, demonstrando que</w:t>
      </w:r>
      <w:r>
        <w:rPr>
          <w:spacing w:val="-2"/>
        </w:rPr>
        <w:t> </w:t>
      </w:r>
      <w:r>
        <w:rPr/>
        <w:t>60% daqueles com mais de</w:t>
      </w:r>
      <w:r>
        <w:rPr>
          <w:spacing w:val="-2"/>
        </w:rPr>
        <w:t> </w:t>
      </w:r>
      <w:r>
        <w:rPr/>
        <w:t>10 cm de diâmetro sofreram ruptura, o mesmo ocorrendo com 45% dos que tinham de 7 a 10 cm. Entretanto, observaram ocorrência apreciável de ruptura em dilatações menores: 25% nos aneurismas medindo entre 4 e 5 cm e 10% naqueles com menos de 4 cm de diâmetro.</w:t>
      </w:r>
      <w:r>
        <w:rPr>
          <w:vertAlign w:val="superscript"/>
        </w:rPr>
        <w:t>10</w:t>
      </w:r>
      <w:r>
        <w:rPr>
          <w:vertAlign w:val="baseline"/>
        </w:rPr>
        <w:t> Outros</w:t>
      </w:r>
      <w:r>
        <w:rPr>
          <w:spacing w:val="14"/>
          <w:vertAlign w:val="baseline"/>
        </w:rPr>
        <w:t> </w:t>
      </w:r>
      <w:r>
        <w:rPr>
          <w:vertAlign w:val="baseline"/>
        </w:rPr>
        <w:t>estudos</w:t>
      </w:r>
      <w:r>
        <w:rPr>
          <w:spacing w:val="14"/>
          <w:vertAlign w:val="baseline"/>
        </w:rPr>
        <w:t> </w:t>
      </w:r>
      <w:r>
        <w:rPr>
          <w:vertAlign w:val="baseline"/>
        </w:rPr>
        <w:t>clínicos,</w:t>
      </w:r>
      <w:r>
        <w:rPr>
          <w:spacing w:val="14"/>
          <w:vertAlign w:val="baseline"/>
        </w:rPr>
        <w:t> </w:t>
      </w:r>
      <w:r>
        <w:rPr>
          <w:vertAlign w:val="baseline"/>
        </w:rPr>
        <w:t>entretanto,</w:t>
      </w:r>
      <w:r>
        <w:rPr>
          <w:spacing w:val="14"/>
          <w:vertAlign w:val="baseline"/>
        </w:rPr>
        <w:t> </w:t>
      </w:r>
      <w:r>
        <w:rPr>
          <w:vertAlign w:val="baseline"/>
        </w:rPr>
        <w:t>mostraram que o risco de ruptura</w:t>
      </w:r>
    </w:p>
    <w:p>
      <w:pPr>
        <w:pStyle w:val="BodyText"/>
        <w:spacing w:after="0" w:line="280" w:lineRule="auto"/>
        <w:sectPr>
          <w:pgSz w:w="11900" w:h="16840"/>
          <w:pgMar w:top="220" w:bottom="0" w:left="566" w:right="141"/>
        </w:sectPr>
      </w:pPr>
    </w:p>
    <w:p>
      <w:pPr>
        <w:pStyle w:val="BodyText"/>
        <w:spacing w:line="283" w:lineRule="auto" w:before="68"/>
        <w:ind w:right="497" w:firstLine="0"/>
      </w:pPr>
      <w:r>
        <w:rPr/>
        <w:t>de aneurismas aórticos, com menos de 5 cm de diâmetro, é muito pequeno. Cronenwett </w:t>
      </w:r>
      <w:r>
        <w:rPr>
          <w:i/>
        </w:rPr>
        <w:t>et al. </w:t>
      </w:r>
      <w:r>
        <w:rPr/>
        <w:t>calcularam, embasados em</w:t>
      </w:r>
      <w:r>
        <w:rPr>
          <w:spacing w:val="-6"/>
        </w:rPr>
        <w:t> </w:t>
      </w:r>
      <w:r>
        <w:rPr/>
        <w:t>estudo</w:t>
      </w:r>
      <w:r>
        <w:rPr>
          <w:spacing w:val="-6"/>
        </w:rPr>
        <w:t> </w:t>
      </w:r>
      <w:r>
        <w:rPr/>
        <w:t>prospectivo</w:t>
      </w:r>
      <w:r>
        <w:rPr>
          <w:spacing w:val="-6"/>
        </w:rPr>
        <w:t> </w:t>
      </w:r>
      <w:r>
        <w:rPr/>
        <w:t>de</w:t>
      </w:r>
      <w:r>
        <w:rPr>
          <w:spacing w:val="-8"/>
        </w:rPr>
        <w:t> </w:t>
      </w:r>
      <w:r>
        <w:rPr/>
        <w:t>acompanhamento</w:t>
      </w:r>
      <w:r>
        <w:rPr>
          <w:spacing w:val="-6"/>
        </w:rPr>
        <w:t> </w:t>
      </w:r>
      <w:r>
        <w:rPr/>
        <w:t>clínico</w:t>
      </w:r>
      <w:r>
        <w:rPr>
          <w:spacing w:val="-6"/>
        </w:rPr>
        <w:t> </w:t>
      </w:r>
      <w:r>
        <w:rPr/>
        <w:t>de</w:t>
      </w:r>
      <w:r>
        <w:rPr>
          <w:spacing w:val="-8"/>
        </w:rPr>
        <w:t> </w:t>
      </w:r>
      <w:r>
        <w:rPr/>
        <w:t>pacientes com</w:t>
      </w:r>
      <w:r>
        <w:rPr>
          <w:spacing w:val="-6"/>
        </w:rPr>
        <w:t> </w:t>
      </w:r>
      <w:r>
        <w:rPr/>
        <w:t>aneurismas aórticos entre</w:t>
      </w:r>
      <w:r>
        <w:rPr>
          <w:spacing w:val="-8"/>
        </w:rPr>
        <w:t> </w:t>
      </w:r>
      <w:r>
        <w:rPr/>
        <w:t>4</w:t>
      </w:r>
      <w:r>
        <w:rPr>
          <w:spacing w:val="-6"/>
        </w:rPr>
        <w:t> </w:t>
      </w:r>
      <w:r>
        <w:rPr/>
        <w:t>e</w:t>
      </w:r>
      <w:r>
        <w:rPr>
          <w:spacing w:val="-8"/>
        </w:rPr>
        <w:t> </w:t>
      </w:r>
      <w:r>
        <w:rPr/>
        <w:t>6</w:t>
      </w:r>
      <w:r>
        <w:rPr>
          <w:spacing w:val="-6"/>
        </w:rPr>
        <w:t> </w:t>
      </w:r>
      <w:r>
        <w:rPr/>
        <w:t>cm de diâmetro, um risco de mortalidade, por ruptura, de 5% ao ano.</w:t>
      </w:r>
      <w:r>
        <w:rPr>
          <w:vertAlign w:val="superscript"/>
        </w:rPr>
        <w:t>11</w:t>
      </w:r>
      <w:r>
        <w:rPr>
          <w:vertAlign w:val="baseline"/>
        </w:rPr>
        <w:t> Szilagyi </w:t>
      </w:r>
      <w:r>
        <w:rPr>
          <w:i/>
          <w:vertAlign w:val="baseline"/>
        </w:rPr>
        <w:t>et al. </w:t>
      </w:r>
      <w:r>
        <w:rPr>
          <w:vertAlign w:val="baseline"/>
        </w:rPr>
        <w:t>demonstraram, de forma irrefutável, o</w:t>
      </w:r>
      <w:r>
        <w:rPr>
          <w:spacing w:val="-5"/>
          <w:vertAlign w:val="baseline"/>
        </w:rPr>
        <w:t> </w:t>
      </w:r>
      <w:r>
        <w:rPr>
          <w:vertAlign w:val="baseline"/>
        </w:rPr>
        <w:t>maior risco</w:t>
      </w:r>
      <w:r>
        <w:rPr>
          <w:spacing w:val="-5"/>
          <w:vertAlign w:val="baseline"/>
        </w:rPr>
        <w:t> </w:t>
      </w:r>
      <w:r>
        <w:rPr>
          <w:vertAlign w:val="baseline"/>
        </w:rPr>
        <w:t>de</w:t>
      </w:r>
      <w:r>
        <w:rPr>
          <w:spacing w:val="-8"/>
          <w:vertAlign w:val="baseline"/>
        </w:rPr>
        <w:t> </w:t>
      </w:r>
      <w:r>
        <w:rPr>
          <w:vertAlign w:val="baseline"/>
        </w:rPr>
        <w:t>ruptura</w:t>
      </w:r>
      <w:r>
        <w:rPr>
          <w:spacing w:val="-8"/>
          <w:vertAlign w:val="baseline"/>
        </w:rPr>
        <w:t> </w:t>
      </w:r>
      <w:r>
        <w:rPr>
          <w:vertAlign w:val="baseline"/>
        </w:rPr>
        <w:t>nos aneurismas maiores, ao</w:t>
      </w:r>
      <w:r>
        <w:rPr>
          <w:spacing w:val="-5"/>
          <w:vertAlign w:val="baseline"/>
        </w:rPr>
        <w:t> </w:t>
      </w:r>
      <w:r>
        <w:rPr>
          <w:vertAlign w:val="baseline"/>
        </w:rPr>
        <w:t>relatar taxa</w:t>
      </w:r>
      <w:r>
        <w:rPr>
          <w:spacing w:val="-8"/>
          <w:vertAlign w:val="baseline"/>
        </w:rPr>
        <w:t> </w:t>
      </w:r>
      <w:r>
        <w:rPr>
          <w:vertAlign w:val="baseline"/>
        </w:rPr>
        <w:t>de</w:t>
      </w:r>
      <w:r>
        <w:rPr>
          <w:spacing w:val="-8"/>
          <w:vertAlign w:val="baseline"/>
        </w:rPr>
        <w:t> </w:t>
      </w:r>
      <w:r>
        <w:rPr>
          <w:vertAlign w:val="baseline"/>
        </w:rPr>
        <w:t>ruptura</w:t>
      </w:r>
      <w:r>
        <w:rPr>
          <w:spacing w:val="-8"/>
          <w:vertAlign w:val="baseline"/>
        </w:rPr>
        <w:t> </w:t>
      </w:r>
      <w:r>
        <w:rPr>
          <w:vertAlign w:val="baseline"/>
        </w:rPr>
        <w:t>de</w:t>
      </w:r>
      <w:r>
        <w:rPr>
          <w:spacing w:val="-8"/>
          <w:vertAlign w:val="baseline"/>
        </w:rPr>
        <w:t> </w:t>
      </w:r>
      <w:r>
        <w:rPr>
          <w:vertAlign w:val="baseline"/>
        </w:rPr>
        <w:t>16%</w:t>
      </w:r>
      <w:r>
        <w:rPr>
          <w:spacing w:val="-3"/>
          <w:vertAlign w:val="baseline"/>
        </w:rPr>
        <w:t> </w:t>
      </w:r>
      <w:r>
        <w:rPr>
          <w:vertAlign w:val="baseline"/>
        </w:rPr>
        <w:t>nos aneurismas com menos de</w:t>
      </w:r>
      <w:r>
        <w:rPr>
          <w:spacing w:val="-2"/>
          <w:vertAlign w:val="baseline"/>
        </w:rPr>
        <w:t> </w:t>
      </w:r>
      <w:r>
        <w:rPr>
          <w:vertAlign w:val="baseline"/>
        </w:rPr>
        <w:t>6 cm de</w:t>
      </w:r>
      <w:r>
        <w:rPr>
          <w:spacing w:val="-2"/>
          <w:vertAlign w:val="baseline"/>
        </w:rPr>
        <w:t> </w:t>
      </w:r>
      <w:r>
        <w:rPr>
          <w:vertAlign w:val="baseline"/>
        </w:rPr>
        <w:t>diâmetro, comparada</w:t>
      </w:r>
      <w:r>
        <w:rPr>
          <w:spacing w:val="-2"/>
          <w:vertAlign w:val="baseline"/>
        </w:rPr>
        <w:t> </w:t>
      </w:r>
      <w:r>
        <w:rPr>
          <w:vertAlign w:val="baseline"/>
        </w:rPr>
        <w:t>com taxa</w:t>
      </w:r>
      <w:r>
        <w:rPr>
          <w:spacing w:val="-2"/>
          <w:vertAlign w:val="baseline"/>
        </w:rPr>
        <w:t> </w:t>
      </w:r>
      <w:r>
        <w:rPr>
          <w:vertAlign w:val="baseline"/>
        </w:rPr>
        <w:t>de</w:t>
      </w:r>
      <w:r>
        <w:rPr>
          <w:spacing w:val="-2"/>
          <w:vertAlign w:val="baseline"/>
        </w:rPr>
        <w:t> </w:t>
      </w:r>
      <w:r>
        <w:rPr>
          <w:vertAlign w:val="baseline"/>
        </w:rPr>
        <w:t>51% para</w:t>
      </w:r>
      <w:r>
        <w:rPr>
          <w:spacing w:val="-2"/>
          <w:vertAlign w:val="baseline"/>
        </w:rPr>
        <w:t> </w:t>
      </w:r>
      <w:r>
        <w:rPr>
          <w:vertAlign w:val="baseline"/>
        </w:rPr>
        <w:t>os aneurismas com mais de</w:t>
      </w:r>
      <w:r>
        <w:rPr>
          <w:spacing w:val="-2"/>
          <w:vertAlign w:val="baseline"/>
        </w:rPr>
        <w:t> </w:t>
      </w:r>
      <w:r>
        <w:rPr>
          <w:vertAlign w:val="baseline"/>
        </w:rPr>
        <w:t>6 cm de</w:t>
      </w:r>
      <w:r>
        <w:rPr>
          <w:spacing w:val="-2"/>
          <w:vertAlign w:val="baseline"/>
        </w:rPr>
        <w:t> </w:t>
      </w:r>
      <w:r>
        <w:rPr>
          <w:vertAlign w:val="baseline"/>
        </w:rPr>
        <w:t>diâmetro.</w:t>
      </w:r>
      <w:r>
        <w:rPr>
          <w:vertAlign w:val="superscript"/>
        </w:rPr>
        <w:t>12</w:t>
      </w:r>
    </w:p>
    <w:p>
      <w:pPr>
        <w:pStyle w:val="BodyText"/>
        <w:spacing w:line="276" w:lineRule="auto" w:before="57"/>
        <w:ind w:right="491"/>
      </w:pPr>
      <w:r>
        <w:rPr/>
        <w:t>De uma forma geral, e de acordo com os dados disponíveis atualmente, pode-se prever taxa de ruptura, aos 5 anos de</w:t>
      </w:r>
      <w:r>
        <w:rPr>
          <w:spacing w:val="-5"/>
        </w:rPr>
        <w:t> </w:t>
      </w:r>
      <w:r>
        <w:rPr/>
        <w:t>evolução, para</w:t>
      </w:r>
      <w:r>
        <w:rPr>
          <w:spacing w:val="-5"/>
        </w:rPr>
        <w:t> </w:t>
      </w:r>
      <w:r>
        <w:rPr/>
        <w:t>os aneurismas de</w:t>
      </w:r>
      <w:r>
        <w:rPr>
          <w:spacing w:val="-5"/>
        </w:rPr>
        <w:t> </w:t>
      </w:r>
      <w:r>
        <w:rPr/>
        <w:t>7</w:t>
      </w:r>
      <w:r>
        <w:rPr>
          <w:spacing w:val="-2"/>
        </w:rPr>
        <w:t> </w:t>
      </w:r>
      <w:r>
        <w:rPr/>
        <w:t>cm</w:t>
      </w:r>
      <w:r>
        <w:rPr>
          <w:spacing w:val="-2"/>
        </w:rPr>
        <w:t> </w:t>
      </w:r>
      <w:r>
        <w:rPr/>
        <w:t>ou</w:t>
      </w:r>
      <w:r>
        <w:rPr>
          <w:spacing w:val="-2"/>
        </w:rPr>
        <w:t> </w:t>
      </w:r>
      <w:r>
        <w:rPr/>
        <w:t>mais, superior a</w:t>
      </w:r>
      <w:r>
        <w:rPr>
          <w:spacing w:val="-5"/>
        </w:rPr>
        <w:t> </w:t>
      </w:r>
      <w:r>
        <w:rPr/>
        <w:t>75%. Para</w:t>
      </w:r>
      <w:r>
        <w:rPr>
          <w:spacing w:val="-5"/>
        </w:rPr>
        <w:t> </w:t>
      </w:r>
      <w:r>
        <w:rPr/>
        <w:t>aqueles de</w:t>
      </w:r>
      <w:r>
        <w:rPr>
          <w:spacing w:val="-5"/>
        </w:rPr>
        <w:t> </w:t>
      </w:r>
      <w:r>
        <w:rPr/>
        <w:t>6</w:t>
      </w:r>
      <w:r>
        <w:rPr>
          <w:spacing w:val="-2"/>
        </w:rPr>
        <w:t> </w:t>
      </w:r>
      <w:r>
        <w:rPr/>
        <w:t>cm, esta</w:t>
      </w:r>
      <w:r>
        <w:rPr>
          <w:spacing w:val="-5"/>
        </w:rPr>
        <w:t> </w:t>
      </w:r>
      <w:r>
        <w:rPr/>
        <w:t>taxa, aos 5</w:t>
      </w:r>
      <w:r>
        <w:rPr>
          <w:spacing w:val="-2"/>
        </w:rPr>
        <w:t> </w:t>
      </w:r>
      <w:r>
        <w:rPr/>
        <w:t>anos de evolução, é de 35%, e para aneurismas entre 5 e 5,9 cm é de, aproximadamente, 25%. Para os aneurismas com menos de 5 cm de diâmetro a taxa de ruptura, em 5 anos, é substancialmente menor.</w:t>
      </w:r>
    </w:p>
    <w:p>
      <w:pPr>
        <w:pStyle w:val="BodyText"/>
        <w:spacing w:line="276" w:lineRule="auto" w:before="48"/>
        <w:ind w:right="488"/>
      </w:pPr>
      <w:r>
        <w:rPr/>
        <w:t>O ritmo de crescimento dos diâmetros anteroposterior e transversal dos aneurismas da aorta abdominal pode variar de 0,2 a 0,8 cm ao ano, tendo, em média, um crescimento anual de 0,4 cm. Uma pequena parcela dos aneurismas, entretanto, pode permanecer estável, praticamente sem crescimento por períodos superiores a 1 ano. Quando</w:t>
      </w:r>
      <w:r>
        <w:rPr>
          <w:spacing w:val="-1"/>
        </w:rPr>
        <w:t> </w:t>
      </w:r>
      <w:r>
        <w:rPr/>
        <w:t>se</w:t>
      </w:r>
      <w:r>
        <w:rPr>
          <w:spacing w:val="-3"/>
        </w:rPr>
        <w:t> </w:t>
      </w:r>
      <w:r>
        <w:rPr/>
        <w:t>estratifica</w:t>
      </w:r>
      <w:r>
        <w:rPr>
          <w:spacing w:val="-3"/>
        </w:rPr>
        <w:t> </w:t>
      </w:r>
      <w:r>
        <w:rPr/>
        <w:t>seu</w:t>
      </w:r>
      <w:r>
        <w:rPr>
          <w:spacing w:val="-1"/>
        </w:rPr>
        <w:t> </w:t>
      </w:r>
      <w:r>
        <w:rPr/>
        <w:t>ritmo</w:t>
      </w:r>
      <w:r>
        <w:rPr>
          <w:spacing w:val="-1"/>
        </w:rPr>
        <w:t> </w:t>
      </w:r>
      <w:r>
        <w:rPr/>
        <w:t>de</w:t>
      </w:r>
      <w:r>
        <w:rPr>
          <w:spacing w:val="-3"/>
        </w:rPr>
        <w:t> </w:t>
      </w:r>
      <w:r>
        <w:rPr/>
        <w:t>crescimento, de</w:t>
      </w:r>
      <w:r>
        <w:rPr>
          <w:spacing w:val="-3"/>
        </w:rPr>
        <w:t> </w:t>
      </w:r>
      <w:r>
        <w:rPr/>
        <w:t>acordo</w:t>
      </w:r>
      <w:r>
        <w:rPr>
          <w:spacing w:val="-1"/>
        </w:rPr>
        <w:t> </w:t>
      </w:r>
      <w:r>
        <w:rPr/>
        <w:t>com</w:t>
      </w:r>
      <w:r>
        <w:rPr>
          <w:spacing w:val="-1"/>
        </w:rPr>
        <w:t> </w:t>
      </w:r>
      <w:r>
        <w:rPr/>
        <w:t>o</w:t>
      </w:r>
      <w:r>
        <w:rPr>
          <w:spacing w:val="-1"/>
        </w:rPr>
        <w:t> </w:t>
      </w:r>
      <w:r>
        <w:rPr/>
        <w:t>seu</w:t>
      </w:r>
      <w:r>
        <w:rPr>
          <w:spacing w:val="-1"/>
        </w:rPr>
        <w:t> </w:t>
      </w:r>
      <w:r>
        <w:rPr/>
        <w:t>tamanho, parece</w:t>
      </w:r>
      <w:r>
        <w:rPr>
          <w:spacing w:val="-3"/>
        </w:rPr>
        <w:t> </w:t>
      </w:r>
      <w:r>
        <w:rPr/>
        <w:t>haver maior crescimento</w:t>
      </w:r>
      <w:r>
        <w:rPr>
          <w:spacing w:val="-1"/>
        </w:rPr>
        <w:t> </w:t>
      </w:r>
      <w:r>
        <w:rPr/>
        <w:t>nos aneurismas de maiores dimensões do que nos pequenos. Por outro lado, pode ocorrer ruptura em aneurismas que não demonstravam crescimento nos últimos acompanhamentos clínicos.</w:t>
      </w:r>
    </w:p>
    <w:p>
      <w:pPr>
        <w:pStyle w:val="BodyText"/>
        <w:spacing w:line="276" w:lineRule="auto"/>
        <w:ind w:right="488"/>
      </w:pPr>
      <w:r>
        <w:rPr/>
        <w:t>Como vemos, o risco de ruptura do aneurisma aórtico aparece como principal justificativa para a cirurgia profilática, uma vez que o prognóstico, após ruptura, é ruim, com taxas de mortalidade que podem chegar a 90%; mesmo nos pacientes em que é possível realizar a cirurgia de emergência, a taxa de mortalidade situa-se em torno de 60%.</w:t>
      </w:r>
    </w:p>
    <w:p>
      <w:pPr>
        <w:pStyle w:val="BodyText"/>
        <w:spacing w:before="186"/>
        <w:ind w:left="0" w:firstLine="0"/>
        <w:jc w:val="left"/>
      </w:pPr>
    </w:p>
    <w:p>
      <w:pPr>
        <w:pStyle w:val="Heading4"/>
        <w:jc w:val="both"/>
      </w:pPr>
      <w:r>
        <w:rPr>
          <w:color w:val="242B67"/>
        </w:rPr>
        <w:t>Quadro </w:t>
      </w:r>
      <w:r>
        <w:rPr>
          <w:color w:val="242B67"/>
          <w:spacing w:val="-2"/>
        </w:rPr>
        <w:t>clínico</w:t>
      </w:r>
    </w:p>
    <w:p>
      <w:pPr>
        <w:pStyle w:val="BodyText"/>
        <w:spacing w:line="276" w:lineRule="auto" w:before="132"/>
        <w:ind w:right="491"/>
      </w:pPr>
      <w:r>
        <w:rPr/>
        <w:t>A</w:t>
      </w:r>
      <w:r>
        <w:rPr>
          <w:spacing w:val="-1"/>
        </w:rPr>
        <w:t> </w:t>
      </w:r>
      <w:r>
        <w:rPr/>
        <w:t>maioria</w:t>
      </w:r>
      <w:r>
        <w:rPr>
          <w:spacing w:val="-1"/>
        </w:rPr>
        <w:t> </w:t>
      </w:r>
      <w:r>
        <w:rPr/>
        <w:t>dos pacientes com aneurisma</w:t>
      </w:r>
      <w:r>
        <w:rPr>
          <w:spacing w:val="-1"/>
        </w:rPr>
        <w:t> </w:t>
      </w:r>
      <w:r>
        <w:rPr/>
        <w:t>da</w:t>
      </w:r>
      <w:r>
        <w:rPr>
          <w:spacing w:val="-1"/>
        </w:rPr>
        <w:t> </w:t>
      </w:r>
      <w:r>
        <w:rPr/>
        <w:t>aorta</w:t>
      </w:r>
      <w:r>
        <w:rPr>
          <w:spacing w:val="-1"/>
        </w:rPr>
        <w:t> </w:t>
      </w:r>
      <w:r>
        <w:rPr/>
        <w:t>abdominal é</w:t>
      </w:r>
      <w:r>
        <w:rPr>
          <w:spacing w:val="-1"/>
        </w:rPr>
        <w:t> </w:t>
      </w:r>
      <w:r>
        <w:rPr/>
        <w:t>assintomática. O</w:t>
      </w:r>
      <w:r>
        <w:rPr>
          <w:spacing w:val="-1"/>
        </w:rPr>
        <w:t> </w:t>
      </w:r>
      <w:r>
        <w:rPr/>
        <w:t>diagnóstico nesses casos é</w:t>
      </w:r>
      <w:r>
        <w:rPr>
          <w:spacing w:val="-1"/>
        </w:rPr>
        <w:t> </w:t>
      </w:r>
      <w:r>
        <w:rPr/>
        <w:t>feito por exames clínicos de rotina ou investigação de queixas abdominais de outra natureza, principalmente quando é solicitada ultrassonografia abdominal. Raramente o aneurisma pode ser descoberto em laparotomias realizadas por outras causas.</w:t>
      </w:r>
    </w:p>
    <w:p>
      <w:pPr>
        <w:pStyle w:val="BodyText"/>
        <w:spacing w:line="276" w:lineRule="auto" w:before="64"/>
        <w:ind w:right="497"/>
      </w:pPr>
      <w:r>
        <w:rPr/>
        <w:t>Nos pacientes que procuram assistência médica devido ao próprio aneurisma, a queixa mais frequente é dor abdominal ou lombar, espontânea, que, geralmente, é mais intensa à palpação da aorta. Algumas vezes, o próprio paciente descobre massa pulsátil no abdome e nesses casos, geralmente, o aneurisma já apresenta dimensões </w:t>
      </w:r>
      <w:r>
        <w:rPr>
          <w:spacing w:val="-2"/>
        </w:rPr>
        <w:t>avantajadas.</w:t>
      </w:r>
    </w:p>
    <w:p>
      <w:pPr>
        <w:pStyle w:val="BodyText"/>
        <w:spacing w:line="276" w:lineRule="auto" w:before="49"/>
        <w:ind w:right="491"/>
      </w:pPr>
      <w:r>
        <w:rPr/>
        <w:t>Complicações do aneurisma aórtico podem constituir a primeira manifestação de quadros que levem ao diagnóstico</w:t>
      </w:r>
      <w:r>
        <w:rPr>
          <w:spacing w:val="-2"/>
        </w:rPr>
        <w:t> </w:t>
      </w:r>
      <w:r>
        <w:rPr/>
        <w:t>não</w:t>
      </w:r>
      <w:r>
        <w:rPr>
          <w:spacing w:val="-2"/>
        </w:rPr>
        <w:t> </w:t>
      </w:r>
      <w:r>
        <w:rPr/>
        <w:t>suspeitado. Exemplo</w:t>
      </w:r>
      <w:r>
        <w:rPr>
          <w:spacing w:val="-2"/>
        </w:rPr>
        <w:t> </w:t>
      </w:r>
      <w:r>
        <w:rPr/>
        <w:t>disto</w:t>
      </w:r>
      <w:r>
        <w:rPr>
          <w:spacing w:val="-2"/>
        </w:rPr>
        <w:t> </w:t>
      </w:r>
      <w:r>
        <w:rPr/>
        <w:t>são</w:t>
      </w:r>
      <w:r>
        <w:rPr>
          <w:spacing w:val="-2"/>
        </w:rPr>
        <w:t> </w:t>
      </w:r>
      <w:r>
        <w:rPr/>
        <w:t>as microembolizações que</w:t>
      </w:r>
      <w:r>
        <w:rPr>
          <w:spacing w:val="-5"/>
        </w:rPr>
        <w:t> </w:t>
      </w:r>
      <w:r>
        <w:rPr/>
        <w:t>podem</w:t>
      </w:r>
      <w:r>
        <w:rPr>
          <w:spacing w:val="-2"/>
        </w:rPr>
        <w:t> </w:t>
      </w:r>
      <w:r>
        <w:rPr/>
        <w:t>ocorrer nos membros inferiores a partir da</w:t>
      </w:r>
      <w:r>
        <w:rPr>
          <w:spacing w:val="-2"/>
        </w:rPr>
        <w:t> </w:t>
      </w:r>
      <w:r>
        <w:rPr/>
        <w:t>fragmentação de</w:t>
      </w:r>
      <w:r>
        <w:rPr>
          <w:spacing w:val="-2"/>
        </w:rPr>
        <w:t> </w:t>
      </w:r>
      <w:r>
        <w:rPr/>
        <w:t>trombos parietais ou placas de</w:t>
      </w:r>
      <w:r>
        <w:rPr>
          <w:spacing w:val="-2"/>
        </w:rPr>
        <w:t> </w:t>
      </w:r>
      <w:r>
        <w:rPr/>
        <w:t>ateroma, e</w:t>
      </w:r>
      <w:r>
        <w:rPr>
          <w:spacing w:val="-2"/>
        </w:rPr>
        <w:t> </w:t>
      </w:r>
      <w:r>
        <w:rPr/>
        <w:t>que</w:t>
      </w:r>
      <w:r>
        <w:rPr>
          <w:spacing w:val="-3"/>
        </w:rPr>
        <w:t> </w:t>
      </w:r>
      <w:r>
        <w:rPr/>
        <w:t>produzem isquemia</w:t>
      </w:r>
      <w:r>
        <w:rPr>
          <w:spacing w:val="-2"/>
        </w:rPr>
        <w:t> </w:t>
      </w:r>
      <w:r>
        <w:rPr/>
        <w:t>distal, em um ou mais dedos dos pés. Compressão de estruturas abdominais pelo aneurisma podem também causar sintomas, como é o caso</w:t>
      </w:r>
      <w:r>
        <w:rPr>
          <w:spacing w:val="-6"/>
        </w:rPr>
        <w:t> </w:t>
      </w:r>
      <w:r>
        <w:rPr/>
        <w:t>das compressões gástrica</w:t>
      </w:r>
      <w:r>
        <w:rPr>
          <w:spacing w:val="-9"/>
        </w:rPr>
        <w:t> </w:t>
      </w:r>
      <w:r>
        <w:rPr/>
        <w:t>e</w:t>
      </w:r>
      <w:r>
        <w:rPr>
          <w:spacing w:val="-9"/>
        </w:rPr>
        <w:t> </w:t>
      </w:r>
      <w:r>
        <w:rPr/>
        <w:t>duodenal, que</w:t>
      </w:r>
      <w:r>
        <w:rPr>
          <w:spacing w:val="-9"/>
        </w:rPr>
        <w:t> </w:t>
      </w:r>
      <w:r>
        <w:rPr/>
        <w:t>se</w:t>
      </w:r>
      <w:r>
        <w:rPr>
          <w:spacing w:val="-9"/>
        </w:rPr>
        <w:t> </w:t>
      </w:r>
      <w:r>
        <w:rPr/>
        <w:t>manifestam</w:t>
      </w:r>
      <w:r>
        <w:rPr>
          <w:spacing w:val="-6"/>
        </w:rPr>
        <w:t> </w:t>
      </w:r>
      <w:r>
        <w:rPr/>
        <w:t>por</w:t>
      </w:r>
      <w:r>
        <w:rPr>
          <w:spacing w:val="-1"/>
        </w:rPr>
        <w:t> </w:t>
      </w:r>
      <w:r>
        <w:rPr/>
        <w:t>quadros dolorosos, com</w:t>
      </w:r>
      <w:r>
        <w:rPr>
          <w:spacing w:val="-6"/>
        </w:rPr>
        <w:t> </w:t>
      </w:r>
      <w:r>
        <w:rPr/>
        <w:t>náuseas, vômitos e</w:t>
      </w:r>
      <w:r>
        <w:rPr>
          <w:spacing w:val="-9"/>
        </w:rPr>
        <w:t> </w:t>
      </w:r>
      <w:r>
        <w:rPr/>
        <w:t>perda de peso. A compressão ureteral sintomática, com hidronefrose, pode ocorrer, mais frequentemente, quando a dilatação principal é das artérias ilíacas, ou nos quadros de aneurisma inflamatório da aorta abdominal. A queixa principal é de dor lombar, disúria e infecções urinárias de repetição. A erosão de corpo vertebral pelo aneurisma pode</w:t>
      </w:r>
      <w:r>
        <w:rPr>
          <w:spacing w:val="-6"/>
        </w:rPr>
        <w:t> </w:t>
      </w:r>
      <w:r>
        <w:rPr/>
        <w:t>provocar dores lombares de</w:t>
      </w:r>
      <w:r>
        <w:rPr>
          <w:spacing w:val="-6"/>
        </w:rPr>
        <w:t> </w:t>
      </w:r>
      <w:r>
        <w:rPr/>
        <w:t>forte</w:t>
      </w:r>
      <w:r>
        <w:rPr>
          <w:spacing w:val="-6"/>
        </w:rPr>
        <w:t> </w:t>
      </w:r>
      <w:r>
        <w:rPr/>
        <w:t>intensidade, que</w:t>
      </w:r>
      <w:r>
        <w:rPr>
          <w:spacing w:val="-6"/>
        </w:rPr>
        <w:t> </w:t>
      </w:r>
      <w:r>
        <w:rPr/>
        <w:t>algumas vezes são</w:t>
      </w:r>
      <w:r>
        <w:rPr>
          <w:spacing w:val="-3"/>
        </w:rPr>
        <w:t> </w:t>
      </w:r>
      <w:r>
        <w:rPr/>
        <w:t>confundidas com</w:t>
      </w:r>
      <w:r>
        <w:rPr>
          <w:spacing w:val="-3"/>
        </w:rPr>
        <w:t> </w:t>
      </w:r>
      <w:r>
        <w:rPr/>
        <w:t>patologias próprias da coluna vertebral ou hérnia discal.</w:t>
      </w:r>
    </w:p>
    <w:p>
      <w:pPr>
        <w:pStyle w:val="BodyText"/>
        <w:spacing w:line="276" w:lineRule="auto" w:before="66"/>
        <w:ind w:right="488"/>
      </w:pPr>
      <w:r>
        <w:rPr/>
        <w:t>A trombose aguda do aneurisma da aorta é acontecimento raro, que origina quadro isquêmico extremamente grave de membros inferiores, com alterações metabólicas também importantes. A ruptura do aneurisma para o interior da veia cava inferior provoca formação de fístula arteriovenosa de alto débito, com as consequentes alterações hemodinâmicas que propiciam o desenvolvimento de insuficiência cardíaca congestiva e hipertensão venosa de membros inferiores. Raramente pode ocorrer erosão da parede duodenal provocada pelo crescimento e ruptura</w:t>
      </w:r>
      <w:r>
        <w:rPr>
          <w:spacing w:val="-2"/>
        </w:rPr>
        <w:t> </w:t>
      </w:r>
      <w:r>
        <w:rPr/>
        <w:t>de</w:t>
      </w:r>
      <w:r>
        <w:rPr>
          <w:spacing w:val="-2"/>
        </w:rPr>
        <w:t> </w:t>
      </w:r>
      <w:r>
        <w:rPr/>
        <w:t>aneurisma</w:t>
      </w:r>
      <w:r>
        <w:rPr>
          <w:spacing w:val="-2"/>
        </w:rPr>
        <w:t> </w:t>
      </w:r>
      <w:r>
        <w:rPr/>
        <w:t>de</w:t>
      </w:r>
      <w:r>
        <w:rPr>
          <w:spacing w:val="-2"/>
        </w:rPr>
        <w:t> </w:t>
      </w:r>
      <w:r>
        <w:rPr/>
        <w:t>aorta, produzindo fístula</w:t>
      </w:r>
      <w:r>
        <w:rPr>
          <w:spacing w:val="-2"/>
        </w:rPr>
        <w:t> </w:t>
      </w:r>
      <w:r>
        <w:rPr/>
        <w:t>aortoentérica, com quadro de</w:t>
      </w:r>
      <w:r>
        <w:rPr>
          <w:spacing w:val="-2"/>
        </w:rPr>
        <w:t> </w:t>
      </w:r>
      <w:r>
        <w:rPr/>
        <w:t>hemorragia</w:t>
      </w:r>
      <w:r>
        <w:rPr>
          <w:spacing w:val="-2"/>
        </w:rPr>
        <w:t> </w:t>
      </w:r>
      <w:r>
        <w:rPr/>
        <w:t>digestiva</w:t>
      </w:r>
      <w:r>
        <w:rPr>
          <w:spacing w:val="-2"/>
        </w:rPr>
        <w:t> </w:t>
      </w:r>
      <w:r>
        <w:rPr/>
        <w:t>alta</w:t>
      </w:r>
      <w:r>
        <w:rPr>
          <w:spacing w:val="-2"/>
        </w:rPr>
        <w:t> </w:t>
      </w:r>
      <w:r>
        <w:rPr/>
        <w:t>de</w:t>
      </w:r>
      <w:r>
        <w:rPr>
          <w:spacing w:val="-2"/>
        </w:rPr>
        <w:t> </w:t>
      </w:r>
      <w:r>
        <w:rPr/>
        <w:t>graves consequências, frequentemente fatal.</w:t>
      </w:r>
    </w:p>
    <w:p>
      <w:pPr>
        <w:pStyle w:val="BodyText"/>
        <w:spacing w:line="276" w:lineRule="auto" w:before="49"/>
        <w:ind w:right="488"/>
      </w:pPr>
      <w:r>
        <w:rPr/>
        <w:t>Quando o aneurisma rompe para a cavidade peritoneal, o sangramento é de grande vulto, com choque hemorrágico e, na maioria das vezes, o paciente sequer chega com vida ao hospital. Se a ruptura ocorrer na parede posterior da aorta, no retroperitônio, existe maior probabilidade de tamponamento temporário do hematoma pelas estruturas</w:t>
      </w:r>
      <w:r>
        <w:rPr>
          <w:spacing w:val="80"/>
        </w:rPr>
        <w:t> </w:t>
      </w:r>
      <w:r>
        <w:rPr/>
        <w:t>vizinhas,</w:t>
      </w:r>
      <w:r>
        <w:rPr>
          <w:spacing w:val="80"/>
        </w:rPr>
        <w:t> </w:t>
      </w:r>
      <w:r>
        <w:rPr/>
        <w:t>o</w:t>
      </w:r>
      <w:r>
        <w:rPr>
          <w:spacing w:val="74"/>
        </w:rPr>
        <w:t> </w:t>
      </w:r>
      <w:r>
        <w:rPr/>
        <w:t>que,</w:t>
      </w:r>
      <w:r>
        <w:rPr>
          <w:spacing w:val="80"/>
        </w:rPr>
        <w:t> </w:t>
      </w:r>
      <w:r>
        <w:rPr/>
        <w:t>em</w:t>
      </w:r>
      <w:r>
        <w:rPr>
          <w:spacing w:val="74"/>
        </w:rPr>
        <w:t> </w:t>
      </w:r>
      <w:r>
        <w:rPr/>
        <w:t>algumas</w:t>
      </w:r>
      <w:r>
        <w:rPr>
          <w:spacing w:val="80"/>
        </w:rPr>
        <w:t> </w:t>
      </w:r>
      <w:r>
        <w:rPr/>
        <w:t>situações,</w:t>
      </w:r>
      <w:r>
        <w:rPr>
          <w:spacing w:val="80"/>
        </w:rPr>
        <w:t> </w:t>
      </w:r>
      <w:r>
        <w:rPr/>
        <w:t>permite</w:t>
      </w:r>
      <w:r>
        <w:rPr>
          <w:spacing w:val="71"/>
        </w:rPr>
        <w:t> </w:t>
      </w:r>
      <w:r>
        <w:rPr/>
        <w:t>ao</w:t>
      </w:r>
      <w:r>
        <w:rPr>
          <w:spacing w:val="74"/>
        </w:rPr>
        <w:t> </w:t>
      </w:r>
      <w:r>
        <w:rPr/>
        <w:t>paciente</w:t>
      </w:r>
      <w:r>
        <w:rPr>
          <w:spacing w:val="71"/>
        </w:rPr>
        <w:t> </w:t>
      </w:r>
      <w:r>
        <w:rPr/>
        <w:t>chegar</w:t>
      </w:r>
      <w:r>
        <w:rPr>
          <w:spacing w:val="80"/>
        </w:rPr>
        <w:t> </w:t>
      </w:r>
      <w:r>
        <w:rPr/>
        <w:t>ao</w:t>
      </w:r>
      <w:r>
        <w:rPr>
          <w:spacing w:val="74"/>
        </w:rPr>
        <w:t> </w:t>
      </w:r>
      <w:r>
        <w:rPr/>
        <w:t>hospital</w:t>
      </w:r>
      <w:r>
        <w:rPr>
          <w:spacing w:val="77"/>
        </w:rPr>
        <w:t> </w:t>
      </w:r>
      <w:r>
        <w:rPr/>
        <w:t>sem</w:t>
      </w:r>
      <w:r>
        <w:rPr>
          <w:spacing w:val="74"/>
        </w:rPr>
        <w:t> </w:t>
      </w:r>
      <w:r>
        <w:rPr/>
        <w:t>alterações</w:t>
      </w:r>
    </w:p>
    <w:p>
      <w:pPr>
        <w:pStyle w:val="BodyText"/>
        <w:spacing w:after="0" w:line="276" w:lineRule="auto"/>
        <w:sectPr>
          <w:pgSz w:w="11900" w:h="16840"/>
          <w:pgMar w:top="220" w:bottom="280" w:left="566" w:right="141"/>
        </w:sectPr>
      </w:pPr>
    </w:p>
    <w:p>
      <w:pPr>
        <w:pStyle w:val="BodyText"/>
        <w:spacing w:line="278" w:lineRule="auto" w:before="80"/>
        <w:ind w:right="497" w:firstLine="0"/>
      </w:pPr>
      <w:r>
        <w:rPr/>
        <w:t>hemodinâmicas graves, aumentando as probabilidades de sucesso na correção cirúrgica. De qualquer forma, pacientes que</w:t>
      </w:r>
      <w:r>
        <w:rPr>
          <w:spacing w:val="-2"/>
        </w:rPr>
        <w:t> </w:t>
      </w:r>
      <w:r>
        <w:rPr/>
        <w:t>apresentam quadro súbito de</w:t>
      </w:r>
      <w:r>
        <w:rPr>
          <w:spacing w:val="-2"/>
        </w:rPr>
        <w:t> </w:t>
      </w:r>
      <w:r>
        <w:rPr/>
        <w:t>dor abdominal, massa</w:t>
      </w:r>
      <w:r>
        <w:rPr>
          <w:spacing w:val="-2"/>
        </w:rPr>
        <w:t> </w:t>
      </w:r>
      <w:r>
        <w:rPr/>
        <w:t>pulsátil e</w:t>
      </w:r>
      <w:r>
        <w:rPr>
          <w:spacing w:val="-2"/>
        </w:rPr>
        <w:t> </w:t>
      </w:r>
      <w:r>
        <w:rPr/>
        <w:t>instabilidade</w:t>
      </w:r>
      <w:r>
        <w:rPr>
          <w:spacing w:val="-2"/>
        </w:rPr>
        <w:t> </w:t>
      </w:r>
      <w:r>
        <w:rPr/>
        <w:t>hemodinâmica</w:t>
      </w:r>
      <w:r>
        <w:rPr>
          <w:spacing w:val="-2"/>
        </w:rPr>
        <w:t> </w:t>
      </w:r>
      <w:r>
        <w:rPr/>
        <w:t>ou choque devem ser imediatamente considerados como portadores de aneurisma roto. Os pacientes que apresentam tumor pulsátil abdominal e que manifestam quadro súbito de dor na projeção da aorta devem ser considerados como portadores de aneurisma, em provável processo de expansão, com risco de ruptura, portanto também merecendo tratamento urgente.</w:t>
      </w:r>
    </w:p>
    <w:p>
      <w:pPr>
        <w:pStyle w:val="BodyText"/>
        <w:spacing w:line="278" w:lineRule="auto" w:before="55"/>
        <w:ind w:right="488"/>
      </w:pPr>
      <w:r>
        <w:rPr/>
        <w:t>A associação de aneurisma de aorta abdominal com doença arterial obstrutiva periférica é frequente. Collin e Walton relataram prevalência</w:t>
      </w:r>
      <w:r>
        <w:rPr>
          <w:spacing w:val="-3"/>
        </w:rPr>
        <w:t> </w:t>
      </w:r>
      <w:r>
        <w:rPr/>
        <w:t>de</w:t>
      </w:r>
      <w:r>
        <w:rPr>
          <w:spacing w:val="-3"/>
        </w:rPr>
        <w:t> </w:t>
      </w:r>
      <w:r>
        <w:rPr/>
        <w:t>15% de</w:t>
      </w:r>
      <w:r>
        <w:rPr>
          <w:spacing w:val="-3"/>
        </w:rPr>
        <w:t> </w:t>
      </w:r>
      <w:r>
        <w:rPr/>
        <w:t>aneurisma</w:t>
      </w:r>
      <w:r>
        <w:rPr>
          <w:spacing w:val="-3"/>
        </w:rPr>
        <w:t> </w:t>
      </w:r>
      <w:r>
        <w:rPr/>
        <w:t>aórtico em pacientes portadores de</w:t>
      </w:r>
      <w:r>
        <w:rPr>
          <w:spacing w:val="-3"/>
        </w:rPr>
        <w:t> </w:t>
      </w:r>
      <w:r>
        <w:rPr/>
        <w:t>claudicação intermitente</w:t>
      </w:r>
      <w:r>
        <w:rPr>
          <w:spacing w:val="-3"/>
        </w:rPr>
        <w:t> </w:t>
      </w:r>
      <w:r>
        <w:rPr/>
        <w:t>de membros inferiores, contra prevalência de 4,5% nos pacientes sem sinais de doença arterial nos membros inferiores.</w:t>
      </w:r>
      <w:r>
        <w:rPr>
          <w:vertAlign w:val="superscript"/>
        </w:rPr>
        <w:t>2</w:t>
      </w:r>
      <w:r>
        <w:rPr>
          <w:vertAlign w:val="baseline"/>
        </w:rPr>
        <w:t> A ocorrência de aneurismas arteriais em outras localizações também deve ser investigada, principalmente na artéria poplítea, nos portadores de aneurisma da aorta, uma vez que, nesses pacientes, existe tendência à dilatação arterial em outros territórios.</w:t>
      </w:r>
    </w:p>
    <w:p>
      <w:pPr>
        <w:pStyle w:val="BodyText"/>
        <w:spacing w:line="276" w:lineRule="auto" w:before="50"/>
        <w:ind w:right="491"/>
      </w:pPr>
      <w:r>
        <w:rPr/>
        <w:t>Fatores de risco para a arteriosclerose, tais como hipertensão arterial, hipercolesterolemia e tabagismo também estão</w:t>
      </w:r>
      <w:r>
        <w:rPr>
          <w:spacing w:val="-1"/>
        </w:rPr>
        <w:t> </w:t>
      </w:r>
      <w:r>
        <w:rPr/>
        <w:t>correlacionados estatisticamente</w:t>
      </w:r>
      <w:r>
        <w:rPr>
          <w:spacing w:val="-4"/>
        </w:rPr>
        <w:t> </w:t>
      </w:r>
      <w:r>
        <w:rPr/>
        <w:t>com</w:t>
      </w:r>
      <w:r>
        <w:rPr>
          <w:spacing w:val="-1"/>
        </w:rPr>
        <w:t> </w:t>
      </w:r>
      <w:r>
        <w:rPr/>
        <w:t>maior incidência</w:t>
      </w:r>
      <w:r>
        <w:rPr>
          <w:spacing w:val="-4"/>
        </w:rPr>
        <w:t> </w:t>
      </w:r>
      <w:r>
        <w:rPr/>
        <w:t>de</w:t>
      </w:r>
      <w:r>
        <w:rPr>
          <w:spacing w:val="-4"/>
        </w:rPr>
        <w:t> </w:t>
      </w:r>
      <w:r>
        <w:rPr/>
        <w:t>aneurisma</w:t>
      </w:r>
      <w:r>
        <w:rPr>
          <w:spacing w:val="-4"/>
        </w:rPr>
        <w:t> </w:t>
      </w:r>
      <w:r>
        <w:rPr/>
        <w:t>de</w:t>
      </w:r>
      <w:r>
        <w:rPr>
          <w:spacing w:val="-4"/>
        </w:rPr>
        <w:t> </w:t>
      </w:r>
      <w:r>
        <w:rPr/>
        <w:t>aorta</w:t>
      </w:r>
      <w:r>
        <w:rPr>
          <w:spacing w:val="-4"/>
        </w:rPr>
        <w:t> </w:t>
      </w:r>
      <w:r>
        <w:rPr/>
        <w:t>abdominal.</w:t>
      </w:r>
    </w:p>
    <w:p>
      <w:pPr>
        <w:pStyle w:val="BodyText"/>
        <w:spacing w:before="185"/>
        <w:ind w:left="0" w:firstLine="0"/>
        <w:jc w:val="left"/>
      </w:pPr>
    </w:p>
    <w:p>
      <w:pPr>
        <w:pStyle w:val="Heading4"/>
      </w:pPr>
      <w:r>
        <w:rPr>
          <w:color w:val="242B67"/>
          <w:spacing w:val="-2"/>
        </w:rPr>
        <w:t>Diagnóstico</w:t>
      </w:r>
    </w:p>
    <w:p>
      <w:pPr>
        <w:pStyle w:val="BodyText"/>
        <w:spacing w:line="276" w:lineRule="auto" w:before="132"/>
        <w:ind w:right="497"/>
      </w:pPr>
      <w:r>
        <w:rPr/>
        <w:t>A</w:t>
      </w:r>
      <w:r>
        <w:rPr>
          <w:spacing w:val="-2"/>
        </w:rPr>
        <w:t> </w:t>
      </w:r>
      <w:r>
        <w:rPr/>
        <w:t>maioria</w:t>
      </w:r>
      <w:r>
        <w:rPr>
          <w:spacing w:val="-2"/>
        </w:rPr>
        <w:t> </w:t>
      </w:r>
      <w:r>
        <w:rPr/>
        <w:t>dos pacientes em que</w:t>
      </w:r>
      <w:r>
        <w:rPr>
          <w:spacing w:val="-2"/>
        </w:rPr>
        <w:t> </w:t>
      </w:r>
      <w:r>
        <w:rPr/>
        <w:t>é</w:t>
      </w:r>
      <w:r>
        <w:rPr>
          <w:spacing w:val="-2"/>
        </w:rPr>
        <w:t> </w:t>
      </w:r>
      <w:r>
        <w:rPr/>
        <w:t>feito o diagnóstico de</w:t>
      </w:r>
      <w:r>
        <w:rPr>
          <w:spacing w:val="-2"/>
        </w:rPr>
        <w:t> </w:t>
      </w:r>
      <w:r>
        <w:rPr/>
        <w:t>aneurisma</w:t>
      </w:r>
      <w:r>
        <w:rPr>
          <w:spacing w:val="-2"/>
        </w:rPr>
        <w:t> </w:t>
      </w:r>
      <w:r>
        <w:rPr/>
        <w:t>de</w:t>
      </w:r>
      <w:r>
        <w:rPr>
          <w:spacing w:val="-2"/>
        </w:rPr>
        <w:t> </w:t>
      </w:r>
      <w:r>
        <w:rPr/>
        <w:t>aorta</w:t>
      </w:r>
      <w:r>
        <w:rPr>
          <w:spacing w:val="-2"/>
        </w:rPr>
        <w:t> </w:t>
      </w:r>
      <w:r>
        <w:rPr/>
        <w:t>são assintomáticos. Por outro lado, o exame físico falha em uma porcentagem relativamente elevada de casos na detecção de dilatações aórticas. Nos pacientes obesos, a dificuldade em perceber hiperpulsatilidade aórtica é comum, mas nos magros é possível delimitar o trajeto abdominal da aorta dilatada. Nesses casos pode-se ter ideia da extensão do aneurisma pela palpação</w:t>
      </w:r>
      <w:r>
        <w:rPr>
          <w:spacing w:val="-7"/>
        </w:rPr>
        <w:t> </w:t>
      </w:r>
      <w:r>
        <w:rPr/>
        <w:t>profunda</w:t>
      </w:r>
      <w:r>
        <w:rPr>
          <w:spacing w:val="-9"/>
        </w:rPr>
        <w:t> </w:t>
      </w:r>
      <w:r>
        <w:rPr/>
        <w:t>do</w:t>
      </w:r>
      <w:r>
        <w:rPr>
          <w:spacing w:val="-7"/>
        </w:rPr>
        <w:t> </w:t>
      </w:r>
      <w:r>
        <w:rPr/>
        <w:t>abdome. O</w:t>
      </w:r>
      <w:r>
        <w:rPr>
          <w:spacing w:val="-9"/>
        </w:rPr>
        <w:t> </w:t>
      </w:r>
      <w:r>
        <w:rPr/>
        <w:t>sinal</w:t>
      </w:r>
      <w:r>
        <w:rPr>
          <w:spacing w:val="-4"/>
        </w:rPr>
        <w:t> </w:t>
      </w:r>
      <w:r>
        <w:rPr/>
        <w:t>de</w:t>
      </w:r>
      <w:r>
        <w:rPr>
          <w:spacing w:val="-9"/>
        </w:rPr>
        <w:t> </w:t>
      </w:r>
      <w:r>
        <w:rPr/>
        <w:t>DeBakey</w:t>
      </w:r>
      <w:r>
        <w:rPr>
          <w:spacing w:val="-7"/>
        </w:rPr>
        <w:t> </w:t>
      </w:r>
      <w:r>
        <w:rPr/>
        <w:t>é</w:t>
      </w:r>
      <w:r>
        <w:rPr>
          <w:spacing w:val="-9"/>
        </w:rPr>
        <w:t> </w:t>
      </w:r>
      <w:r>
        <w:rPr/>
        <w:t>considerado</w:t>
      </w:r>
      <w:r>
        <w:rPr>
          <w:spacing w:val="-7"/>
        </w:rPr>
        <w:t> </w:t>
      </w:r>
      <w:r>
        <w:rPr/>
        <w:t>positivo</w:t>
      </w:r>
      <w:r>
        <w:rPr>
          <w:spacing w:val="-7"/>
        </w:rPr>
        <w:t> </w:t>
      </w:r>
      <w:r>
        <w:rPr/>
        <w:t>quando, à</w:t>
      </w:r>
      <w:r>
        <w:rPr>
          <w:spacing w:val="-9"/>
        </w:rPr>
        <w:t> </w:t>
      </w:r>
      <w:r>
        <w:rPr/>
        <w:t>palpação</w:t>
      </w:r>
      <w:r>
        <w:rPr>
          <w:spacing w:val="-7"/>
        </w:rPr>
        <w:t> </w:t>
      </w:r>
      <w:r>
        <w:rPr/>
        <w:t>abdominal, constata-se que a dilatação aórtica atinge o nível do gradeado costal, significando comprometimento dos ramos viscerais. Quando</w:t>
      </w:r>
      <w:r>
        <w:rPr>
          <w:spacing w:val="-5"/>
        </w:rPr>
        <w:t> </w:t>
      </w:r>
      <w:r>
        <w:rPr/>
        <w:t>o</w:t>
      </w:r>
      <w:r>
        <w:rPr>
          <w:spacing w:val="-5"/>
        </w:rPr>
        <w:t> </w:t>
      </w:r>
      <w:r>
        <w:rPr/>
        <w:t>limite</w:t>
      </w:r>
      <w:r>
        <w:rPr>
          <w:spacing w:val="-8"/>
        </w:rPr>
        <w:t> </w:t>
      </w:r>
      <w:r>
        <w:rPr/>
        <w:t>superior do</w:t>
      </w:r>
      <w:r>
        <w:rPr>
          <w:spacing w:val="-5"/>
        </w:rPr>
        <w:t> </w:t>
      </w:r>
      <w:r>
        <w:rPr/>
        <w:t>aneurisma</w:t>
      </w:r>
      <w:r>
        <w:rPr>
          <w:spacing w:val="-8"/>
        </w:rPr>
        <w:t> </w:t>
      </w:r>
      <w:r>
        <w:rPr/>
        <w:t>é</w:t>
      </w:r>
      <w:r>
        <w:rPr>
          <w:spacing w:val="-8"/>
        </w:rPr>
        <w:t> </w:t>
      </w:r>
      <w:r>
        <w:rPr/>
        <w:t>bem</w:t>
      </w:r>
      <w:r>
        <w:rPr>
          <w:spacing w:val="-5"/>
        </w:rPr>
        <w:t> </w:t>
      </w:r>
      <w:r>
        <w:rPr/>
        <w:t>definido</w:t>
      </w:r>
      <w:r>
        <w:rPr>
          <w:spacing w:val="-5"/>
        </w:rPr>
        <w:t> </w:t>
      </w:r>
      <w:r>
        <w:rPr/>
        <w:t>à</w:t>
      </w:r>
      <w:r>
        <w:rPr>
          <w:spacing w:val="-8"/>
        </w:rPr>
        <w:t> </w:t>
      </w:r>
      <w:r>
        <w:rPr/>
        <w:t>palpação</w:t>
      </w:r>
      <w:r>
        <w:rPr>
          <w:spacing w:val="-5"/>
        </w:rPr>
        <w:t> </w:t>
      </w:r>
      <w:r>
        <w:rPr/>
        <w:t>abdominal, a</w:t>
      </w:r>
      <w:r>
        <w:rPr>
          <w:spacing w:val="-8"/>
        </w:rPr>
        <w:t> </w:t>
      </w:r>
      <w:r>
        <w:rPr/>
        <w:t>dilatação</w:t>
      </w:r>
      <w:r>
        <w:rPr>
          <w:spacing w:val="-5"/>
        </w:rPr>
        <w:t> </w:t>
      </w:r>
      <w:r>
        <w:rPr/>
        <w:t>aórtica</w:t>
      </w:r>
      <w:r>
        <w:rPr>
          <w:spacing w:val="-8"/>
        </w:rPr>
        <w:t> </w:t>
      </w:r>
      <w:r>
        <w:rPr/>
        <w:t>está</w:t>
      </w:r>
      <w:r>
        <w:rPr>
          <w:spacing w:val="-8"/>
        </w:rPr>
        <w:t> </w:t>
      </w:r>
      <w:r>
        <w:rPr/>
        <w:t>situada</w:t>
      </w:r>
      <w:r>
        <w:rPr>
          <w:spacing w:val="-8"/>
        </w:rPr>
        <w:t> </w:t>
      </w:r>
      <w:r>
        <w:rPr/>
        <w:t>abaixo das artérias renais.</w:t>
      </w:r>
    </w:p>
    <w:p>
      <w:pPr>
        <w:pStyle w:val="BodyText"/>
        <w:spacing w:line="276" w:lineRule="auto"/>
        <w:ind w:right="501"/>
      </w:pPr>
      <w:r>
        <w:rPr/>
        <w:t>A radiografia simples de abdome pode surpreender a presença de aneurisma de aorta através das calcificações parietais que eventualmente ocorrem na parede aórtica; entretanto, deixou de ser exame rotineiro na avaliação dos </w:t>
      </w:r>
      <w:r>
        <w:rPr>
          <w:spacing w:val="-2"/>
        </w:rPr>
        <w:t>aneurismas.</w:t>
      </w:r>
    </w:p>
    <w:p>
      <w:pPr>
        <w:pStyle w:val="BodyText"/>
        <w:spacing w:line="276" w:lineRule="auto"/>
        <w:ind w:right="489"/>
      </w:pPr>
      <w:r>
        <w:rPr/>
        <w:t>A ultrassonografia e o eco-Doppler colorido são os exames iniciais na pesquisa ou confirmação de suspeita diagnóstica de aneurisma. São exames relativamente simples, de fácil execução, e que dão informações fundamentais sobre o tamanho da aorta em cortes longitudinais e transversais. Além disso, mostram aspectos intraluminares da</w:t>
      </w:r>
      <w:r>
        <w:rPr>
          <w:spacing w:val="-2"/>
        </w:rPr>
        <w:t> </w:t>
      </w:r>
      <w:r>
        <w:rPr/>
        <w:t>parede</w:t>
      </w:r>
      <w:r>
        <w:rPr>
          <w:spacing w:val="-2"/>
        </w:rPr>
        <w:t> </w:t>
      </w:r>
      <w:r>
        <w:rPr/>
        <w:t>e</w:t>
      </w:r>
      <w:r>
        <w:rPr>
          <w:spacing w:val="-2"/>
        </w:rPr>
        <w:t> </w:t>
      </w:r>
      <w:r>
        <w:rPr/>
        <w:t>do trombo mural. No entanto, não fica</w:t>
      </w:r>
      <w:r>
        <w:rPr>
          <w:spacing w:val="-2"/>
        </w:rPr>
        <w:t> </w:t>
      </w:r>
      <w:r>
        <w:rPr/>
        <w:t>bem clara, na</w:t>
      </w:r>
      <w:r>
        <w:rPr>
          <w:spacing w:val="-2"/>
        </w:rPr>
        <w:t> </w:t>
      </w:r>
      <w:r>
        <w:rPr/>
        <w:t>maioria</w:t>
      </w:r>
      <w:r>
        <w:rPr>
          <w:spacing w:val="-2"/>
        </w:rPr>
        <w:t> </w:t>
      </w:r>
      <w:r>
        <w:rPr/>
        <w:t>das vezes, a</w:t>
      </w:r>
      <w:r>
        <w:rPr>
          <w:spacing w:val="-2"/>
        </w:rPr>
        <w:t> </w:t>
      </w:r>
      <w:r>
        <w:rPr/>
        <w:t>associação do aneurisma às artérias viscerais e aos órgãos que têm relação de contiguidade com a aorta. Embora possa fornecer imagens confiáveis na avaliação do diâmetro do aneurisma, o ciclo cardíaco pode provocar variabilidade na avaliação dessas imagens. Portanto, se não é o melhor exame para programação cirúrgica, a ultrassonografia é o principal método de avaliação para os pacientes portadores de aneurisma em seguimento clínico periódico (</w:t>
      </w:r>
      <w:r>
        <w:rPr>
          <w:color w:val="505050"/>
        </w:rPr>
        <w:t>Figura </w:t>
      </w:r>
      <w:r>
        <w:rPr>
          <w:color w:val="505050"/>
          <w:spacing w:val="-2"/>
        </w:rPr>
        <w:t>59.1</w:t>
      </w:r>
      <w:r>
        <w:rPr>
          <w:spacing w:val="-2"/>
        </w:rPr>
        <w:t>).</w:t>
      </w:r>
    </w:p>
    <w:p>
      <w:pPr>
        <w:pStyle w:val="BodyText"/>
        <w:spacing w:line="278" w:lineRule="auto" w:before="49"/>
        <w:ind w:right="488"/>
      </w:pPr>
      <w:r>
        <w:rPr/>
        <w:t>A tomografia computadorizada (TC) é considerada hoje o exame que fornece as melhores informações de imagem sobre o aneurisma da aorta.</w:t>
      </w:r>
      <w:r>
        <w:rPr>
          <w:vertAlign w:val="superscript"/>
        </w:rPr>
        <w:t>13</w:t>
      </w:r>
      <w:r>
        <w:rPr>
          <w:vertAlign w:val="baseline"/>
        </w:rPr>
        <w:t> Pode ser realizada com ou sem a utilização de substância de contraste, se houver contraindicação</w:t>
      </w:r>
      <w:r>
        <w:rPr>
          <w:spacing w:val="-3"/>
          <w:vertAlign w:val="baseline"/>
        </w:rPr>
        <w:t> </w:t>
      </w:r>
      <w:r>
        <w:rPr>
          <w:vertAlign w:val="baseline"/>
        </w:rPr>
        <w:t>para</w:t>
      </w:r>
      <w:r>
        <w:rPr>
          <w:spacing w:val="-6"/>
          <w:vertAlign w:val="baseline"/>
        </w:rPr>
        <w:t> </w:t>
      </w:r>
      <w:r>
        <w:rPr>
          <w:vertAlign w:val="baseline"/>
        </w:rPr>
        <w:t>isto</w:t>
      </w:r>
      <w:r>
        <w:rPr>
          <w:spacing w:val="-3"/>
          <w:vertAlign w:val="baseline"/>
        </w:rPr>
        <w:t> </w:t>
      </w:r>
      <w:r>
        <w:rPr>
          <w:vertAlign w:val="baseline"/>
        </w:rPr>
        <w:t>(</w:t>
      </w:r>
      <w:r>
        <w:rPr>
          <w:color w:val="505050"/>
          <w:vertAlign w:val="baseline"/>
        </w:rPr>
        <w:t>Figura</w:t>
      </w:r>
      <w:r>
        <w:rPr>
          <w:color w:val="505050"/>
          <w:spacing w:val="-9"/>
          <w:vertAlign w:val="baseline"/>
        </w:rPr>
        <w:t> </w:t>
      </w:r>
      <w:r>
        <w:rPr>
          <w:color w:val="505050"/>
          <w:vertAlign w:val="baseline"/>
        </w:rPr>
        <w:t>59.2</w:t>
      </w:r>
      <w:r>
        <w:rPr>
          <w:vertAlign w:val="baseline"/>
        </w:rPr>
        <w:t>). Além</w:t>
      </w:r>
      <w:r>
        <w:rPr>
          <w:spacing w:val="-2"/>
          <w:vertAlign w:val="baseline"/>
        </w:rPr>
        <w:t> </w:t>
      </w:r>
      <w:r>
        <w:rPr>
          <w:vertAlign w:val="baseline"/>
        </w:rPr>
        <w:t>de</w:t>
      </w:r>
      <w:r>
        <w:rPr>
          <w:spacing w:val="-5"/>
          <w:vertAlign w:val="baseline"/>
        </w:rPr>
        <w:t> </w:t>
      </w:r>
      <w:r>
        <w:rPr>
          <w:vertAlign w:val="baseline"/>
        </w:rPr>
        <w:t>indicar as medidas exatas do</w:t>
      </w:r>
      <w:r>
        <w:rPr>
          <w:spacing w:val="-2"/>
          <w:vertAlign w:val="baseline"/>
        </w:rPr>
        <w:t> </w:t>
      </w:r>
      <w:r>
        <w:rPr>
          <w:vertAlign w:val="baseline"/>
        </w:rPr>
        <w:t>diâmetro</w:t>
      </w:r>
      <w:r>
        <w:rPr>
          <w:spacing w:val="-2"/>
          <w:vertAlign w:val="baseline"/>
        </w:rPr>
        <w:t> </w:t>
      </w:r>
      <w:r>
        <w:rPr>
          <w:vertAlign w:val="baseline"/>
        </w:rPr>
        <w:t>do</w:t>
      </w:r>
      <w:r>
        <w:rPr>
          <w:spacing w:val="-2"/>
          <w:vertAlign w:val="baseline"/>
        </w:rPr>
        <w:t> </w:t>
      </w:r>
      <w:r>
        <w:rPr>
          <w:vertAlign w:val="baseline"/>
        </w:rPr>
        <w:t>aneurisma, a</w:t>
      </w:r>
      <w:r>
        <w:rPr>
          <w:spacing w:val="-5"/>
          <w:vertAlign w:val="baseline"/>
        </w:rPr>
        <w:t> </w:t>
      </w:r>
      <w:r>
        <w:rPr>
          <w:vertAlign w:val="baseline"/>
        </w:rPr>
        <w:t>TC demonstra a relação topográfica da aorta com as demais estruturas retroperitoneais e intraperitoneais, além de possíveis anomalias tópicas vasculares ou de órgãos retroperitoneais, que podem ser importantes no planejamento cirúrgico. Através dos cortes longitudinais seriados, é possível identificar a relação do colo do aneurisma com as artérias renais e demais artérias viscerais, assim como as condições das artérias ilíacas (</w:t>
      </w:r>
      <w:r>
        <w:rPr>
          <w:color w:val="505050"/>
          <w:vertAlign w:val="baseline"/>
        </w:rPr>
        <w:t>Figura 59.3</w:t>
      </w:r>
      <w:r>
        <w:rPr>
          <w:vertAlign w:val="baseline"/>
        </w:rPr>
        <w:t>).</w:t>
      </w:r>
      <w:r>
        <w:rPr>
          <w:spacing w:val="40"/>
          <w:vertAlign w:val="baseline"/>
        </w:rPr>
        <w:t> </w:t>
      </w:r>
      <w:r>
        <w:rPr>
          <w:vertAlign w:val="baseline"/>
        </w:rPr>
        <w:t>Características da parede aórtica ou visualização de hematoma periaórtico são outras informações importantes em decisão clínica obtidas por TC (</w:t>
      </w:r>
      <w:r>
        <w:rPr>
          <w:color w:val="505050"/>
          <w:vertAlign w:val="baseline"/>
        </w:rPr>
        <w:t>Figura 59.4</w:t>
      </w:r>
      <w:r>
        <w:rPr>
          <w:vertAlign w:val="baseline"/>
        </w:rPr>
        <w:t>).</w:t>
      </w:r>
    </w:p>
    <w:p>
      <w:pPr>
        <w:pStyle w:val="BodyText"/>
        <w:spacing w:line="276" w:lineRule="auto" w:before="58"/>
        <w:ind w:right="497"/>
      </w:pPr>
      <w:r>
        <w:rPr/>
        <w:t>A</w:t>
      </w:r>
      <w:r>
        <w:rPr>
          <w:spacing w:val="-5"/>
        </w:rPr>
        <w:t> </w:t>
      </w:r>
      <w:r>
        <w:rPr/>
        <w:t>evolução</w:t>
      </w:r>
      <w:r>
        <w:rPr>
          <w:spacing w:val="-3"/>
        </w:rPr>
        <w:t> </w:t>
      </w:r>
      <w:r>
        <w:rPr/>
        <w:t>tecnológica</w:t>
      </w:r>
      <w:r>
        <w:rPr>
          <w:spacing w:val="-5"/>
        </w:rPr>
        <w:t> </w:t>
      </w:r>
      <w:r>
        <w:rPr/>
        <w:t>permite</w:t>
      </w:r>
      <w:r>
        <w:rPr>
          <w:spacing w:val="-5"/>
        </w:rPr>
        <w:t> </w:t>
      </w:r>
      <w:r>
        <w:rPr/>
        <w:t>hoje</w:t>
      </w:r>
      <w:r>
        <w:rPr>
          <w:spacing w:val="-5"/>
        </w:rPr>
        <w:t> </w:t>
      </w:r>
      <w:r>
        <w:rPr/>
        <w:t>a</w:t>
      </w:r>
      <w:r>
        <w:rPr>
          <w:spacing w:val="-5"/>
        </w:rPr>
        <w:t> </w:t>
      </w:r>
      <w:r>
        <w:rPr/>
        <w:t>reconstrução</w:t>
      </w:r>
      <w:r>
        <w:rPr>
          <w:spacing w:val="-3"/>
        </w:rPr>
        <w:t> </w:t>
      </w:r>
      <w:r>
        <w:rPr/>
        <w:t>tomográfica</w:t>
      </w:r>
      <w:r>
        <w:rPr>
          <w:spacing w:val="-5"/>
        </w:rPr>
        <w:t> </w:t>
      </w:r>
      <w:r>
        <w:rPr/>
        <w:t>tridimensional</w:t>
      </w:r>
      <w:r>
        <w:rPr>
          <w:spacing w:val="-1"/>
        </w:rPr>
        <w:t> </w:t>
      </w:r>
      <w:r>
        <w:rPr/>
        <w:t>da</w:t>
      </w:r>
      <w:r>
        <w:rPr>
          <w:spacing w:val="-5"/>
        </w:rPr>
        <w:t> </w:t>
      </w:r>
      <w:r>
        <w:rPr/>
        <w:t>aorta, a</w:t>
      </w:r>
      <w:r>
        <w:rPr>
          <w:spacing w:val="-5"/>
        </w:rPr>
        <w:t> </w:t>
      </w:r>
      <w:r>
        <w:rPr/>
        <w:t>partir das aquisições de imagem em cortes transversais. Embora utilize maior quantidade de contraste nefrotóxico, a angiotomografia oferece detalhes impressionantes do contorno aórtico e de seus ramos viscerais, elucidando dúvidas sobre o diagnóstico</w:t>
      </w:r>
      <w:r>
        <w:rPr>
          <w:spacing w:val="-3"/>
        </w:rPr>
        <w:t> </w:t>
      </w:r>
      <w:r>
        <w:rPr/>
        <w:t>e</w:t>
      </w:r>
      <w:r>
        <w:rPr>
          <w:spacing w:val="-6"/>
        </w:rPr>
        <w:t> </w:t>
      </w:r>
      <w:r>
        <w:rPr/>
        <w:t>o</w:t>
      </w:r>
      <w:r>
        <w:rPr>
          <w:spacing w:val="-3"/>
        </w:rPr>
        <w:t> </w:t>
      </w:r>
      <w:r>
        <w:rPr/>
        <w:t>procedimento</w:t>
      </w:r>
      <w:r>
        <w:rPr>
          <w:spacing w:val="-3"/>
        </w:rPr>
        <w:t> </w:t>
      </w:r>
      <w:r>
        <w:rPr/>
        <w:t>terapêutico. Nos casos em</w:t>
      </w:r>
      <w:r>
        <w:rPr>
          <w:spacing w:val="-3"/>
        </w:rPr>
        <w:t> </w:t>
      </w:r>
      <w:r>
        <w:rPr/>
        <w:t>que</w:t>
      </w:r>
      <w:r>
        <w:rPr>
          <w:spacing w:val="-6"/>
        </w:rPr>
        <w:t> </w:t>
      </w:r>
      <w:r>
        <w:rPr/>
        <w:t>a</w:t>
      </w:r>
      <w:r>
        <w:rPr>
          <w:spacing w:val="-6"/>
        </w:rPr>
        <w:t> </w:t>
      </w:r>
      <w:r>
        <w:rPr/>
        <w:t>opção</w:t>
      </w:r>
      <w:r>
        <w:rPr>
          <w:spacing w:val="-3"/>
        </w:rPr>
        <w:t> </w:t>
      </w:r>
      <w:r>
        <w:rPr/>
        <w:t>de</w:t>
      </w:r>
      <w:r>
        <w:rPr>
          <w:spacing w:val="-6"/>
        </w:rPr>
        <w:t> </w:t>
      </w:r>
      <w:r>
        <w:rPr/>
        <w:t>intervenção</w:t>
      </w:r>
      <w:r>
        <w:rPr>
          <w:spacing w:val="-3"/>
        </w:rPr>
        <w:t> </w:t>
      </w:r>
      <w:r>
        <w:rPr/>
        <w:t>sobre</w:t>
      </w:r>
      <w:r>
        <w:rPr>
          <w:spacing w:val="-6"/>
        </w:rPr>
        <w:t> </w:t>
      </w:r>
      <w:r>
        <w:rPr/>
        <w:t>o</w:t>
      </w:r>
      <w:r>
        <w:rPr>
          <w:spacing w:val="-3"/>
        </w:rPr>
        <w:t> </w:t>
      </w:r>
      <w:r>
        <w:rPr/>
        <w:t>aneurisma</w:t>
      </w:r>
      <w:r>
        <w:rPr>
          <w:spacing w:val="-6"/>
        </w:rPr>
        <w:t> </w:t>
      </w:r>
      <w:r>
        <w:rPr/>
        <w:t>é</w:t>
      </w:r>
      <w:r>
        <w:rPr>
          <w:spacing w:val="-6"/>
        </w:rPr>
        <w:t> </w:t>
      </w:r>
      <w:r>
        <w:rPr/>
        <w:t>a</w:t>
      </w:r>
      <w:r>
        <w:rPr>
          <w:spacing w:val="-6"/>
        </w:rPr>
        <w:t> </w:t>
      </w:r>
      <w:r>
        <w:rPr/>
        <w:t>correção endovascular, a angiotomografia é praticamente indispensável, pois fornece os detalhes necessários não só para a confirmação</w:t>
      </w:r>
      <w:r>
        <w:rPr>
          <w:spacing w:val="60"/>
        </w:rPr>
        <w:t> </w:t>
      </w:r>
      <w:r>
        <w:rPr/>
        <w:t>das</w:t>
      </w:r>
      <w:r>
        <w:rPr>
          <w:spacing w:val="69"/>
        </w:rPr>
        <w:t> </w:t>
      </w:r>
      <w:r>
        <w:rPr/>
        <w:t>condições</w:t>
      </w:r>
      <w:r>
        <w:rPr>
          <w:spacing w:val="69"/>
        </w:rPr>
        <w:t> </w:t>
      </w:r>
      <w:r>
        <w:rPr/>
        <w:t>anatômicas</w:t>
      </w:r>
      <w:r>
        <w:rPr>
          <w:spacing w:val="69"/>
        </w:rPr>
        <w:t> </w:t>
      </w:r>
      <w:r>
        <w:rPr/>
        <w:t>para</w:t>
      </w:r>
      <w:r>
        <w:rPr>
          <w:spacing w:val="58"/>
        </w:rPr>
        <w:t> </w:t>
      </w:r>
      <w:r>
        <w:rPr/>
        <w:t>a</w:t>
      </w:r>
      <w:r>
        <w:rPr>
          <w:spacing w:val="58"/>
        </w:rPr>
        <w:t> </w:t>
      </w:r>
      <w:r>
        <w:rPr/>
        <w:t>realização</w:t>
      </w:r>
      <w:r>
        <w:rPr>
          <w:spacing w:val="60"/>
        </w:rPr>
        <w:t> </w:t>
      </w:r>
      <w:r>
        <w:rPr/>
        <w:t>da</w:t>
      </w:r>
      <w:r>
        <w:rPr>
          <w:spacing w:val="58"/>
        </w:rPr>
        <w:t> </w:t>
      </w:r>
      <w:r>
        <w:rPr/>
        <w:t>intervenção</w:t>
      </w:r>
      <w:r>
        <w:rPr>
          <w:spacing w:val="60"/>
        </w:rPr>
        <w:t> </w:t>
      </w:r>
      <w:r>
        <w:rPr/>
        <w:t>como</w:t>
      </w:r>
      <w:r>
        <w:rPr>
          <w:spacing w:val="60"/>
        </w:rPr>
        <w:t> </w:t>
      </w:r>
      <w:r>
        <w:rPr/>
        <w:t>as</w:t>
      </w:r>
      <w:r>
        <w:rPr>
          <w:spacing w:val="69"/>
        </w:rPr>
        <w:t> </w:t>
      </w:r>
      <w:r>
        <w:rPr/>
        <w:t>medidas</w:t>
      </w:r>
      <w:r>
        <w:rPr>
          <w:spacing w:val="69"/>
        </w:rPr>
        <w:t> </w:t>
      </w:r>
      <w:r>
        <w:rPr/>
        <w:t>para</w:t>
      </w:r>
      <w:r>
        <w:rPr>
          <w:spacing w:val="58"/>
        </w:rPr>
        <w:t> </w:t>
      </w:r>
      <w:r>
        <w:rPr/>
        <w:t>escolha</w:t>
      </w:r>
      <w:r>
        <w:rPr>
          <w:spacing w:val="58"/>
        </w:rPr>
        <w:t> </w:t>
      </w:r>
      <w:r>
        <w:rPr/>
        <w:t>da</w:t>
      </w:r>
    </w:p>
    <w:p>
      <w:pPr>
        <w:pStyle w:val="BodyText"/>
        <w:spacing w:after="0" w:line="276" w:lineRule="auto"/>
        <w:sectPr>
          <w:pgSz w:w="11900" w:h="16840"/>
          <w:pgMar w:top="200" w:bottom="0" w:left="566" w:right="141"/>
        </w:sectPr>
      </w:pPr>
    </w:p>
    <w:p>
      <w:pPr>
        <w:pStyle w:val="BodyText"/>
        <w:spacing w:line="283" w:lineRule="auto" w:before="68"/>
        <w:ind w:right="500" w:firstLine="0"/>
      </w:pPr>
      <w:r>
        <w:rPr/>
        <w:t>endoprótese adequada. Todos esses motivos justificam o uso rotineiro da TC na avaliação pré-operatória do aneurisma da aorta (</w:t>
      </w:r>
      <w:r>
        <w:rPr>
          <w:color w:val="505050"/>
        </w:rPr>
        <w:t>Figura 59.5</w:t>
      </w:r>
      <w:r>
        <w:rPr/>
        <w:t>). Por outro lado, a angiotomografia tem sido o principal exame de imagem no acompanhamento</w:t>
      </w:r>
      <w:r>
        <w:rPr>
          <w:spacing w:val="-1"/>
        </w:rPr>
        <w:t> </w:t>
      </w:r>
      <w:r>
        <w:rPr/>
        <w:t>pós-operatório</w:t>
      </w:r>
      <w:r>
        <w:rPr>
          <w:spacing w:val="-1"/>
        </w:rPr>
        <w:t> </w:t>
      </w:r>
      <w:r>
        <w:rPr/>
        <w:t>da</w:t>
      </w:r>
      <w:r>
        <w:rPr>
          <w:spacing w:val="-3"/>
        </w:rPr>
        <w:t> </w:t>
      </w:r>
      <w:r>
        <w:rPr/>
        <w:t>correção</w:t>
      </w:r>
      <w:r>
        <w:rPr>
          <w:spacing w:val="-1"/>
        </w:rPr>
        <w:t> </w:t>
      </w:r>
      <w:r>
        <w:rPr/>
        <w:t>endovascular do</w:t>
      </w:r>
      <w:r>
        <w:rPr>
          <w:spacing w:val="-1"/>
        </w:rPr>
        <w:t> </w:t>
      </w:r>
      <w:r>
        <w:rPr/>
        <w:t>aneurisma</w:t>
      </w:r>
      <w:r>
        <w:rPr>
          <w:spacing w:val="-3"/>
        </w:rPr>
        <w:t> </w:t>
      </w:r>
      <w:r>
        <w:rPr/>
        <w:t>da</w:t>
      </w:r>
      <w:r>
        <w:rPr>
          <w:spacing w:val="-3"/>
        </w:rPr>
        <w:t> </w:t>
      </w:r>
      <w:r>
        <w:rPr/>
        <w:t>aorta</w:t>
      </w:r>
      <w:r>
        <w:rPr>
          <w:spacing w:val="-3"/>
        </w:rPr>
        <w:t> </w:t>
      </w:r>
      <w:r>
        <w:rPr/>
        <w:t>abdominal.</w:t>
      </w:r>
      <w:r>
        <w:rPr>
          <w:vertAlign w:val="superscript"/>
        </w:rPr>
        <w:t>14</w:t>
      </w:r>
    </w:p>
    <w:p>
      <w:pPr>
        <w:pStyle w:val="BodyText"/>
        <w:spacing w:line="278" w:lineRule="auto" w:before="54"/>
        <w:ind w:right="491"/>
      </w:pPr>
      <w:r>
        <w:rPr/>
        <w:t>A ressonância magnética (RM) vem se firmando também como excelente método de diagnóstico para o aneurisma da aorta. Fornece imagens semelhantes às da TC em cortes transversais, sagitais e coronais, e tem a vantagem de não utilizar meio de contraste alergênico (gadolínio), podendo ser considerada exame não invasivo (</w:t>
      </w:r>
      <w:r>
        <w:rPr>
          <w:color w:val="505050"/>
        </w:rPr>
        <w:t>Figura 59.6</w:t>
      </w:r>
      <w:r>
        <w:rPr/>
        <w:t>). Entretanto, por utilizar campo magnético no mecanismo de obtenção de imagem, pacientes portadores de marca-passo cardíaco ou próteses metálicas estão proibidos de se submeterem a esse exame. Pacientes claustrofóbicos também têm dificuldade de permanecer no tubo do aparelho durante o tempo requerido para a aquisição das imagens. Entretanto, nos pacientes portadores de insuficiência renal crônica, o uso do gadolínio</w:t>
      </w:r>
      <w:r>
        <w:rPr>
          <w:spacing w:val="-2"/>
        </w:rPr>
        <w:t> </w:t>
      </w:r>
      <w:r>
        <w:rPr/>
        <w:t>pode</w:t>
      </w:r>
      <w:r>
        <w:rPr>
          <w:spacing w:val="-5"/>
        </w:rPr>
        <w:t> </w:t>
      </w:r>
      <w:r>
        <w:rPr/>
        <w:t>causar um</w:t>
      </w:r>
      <w:r>
        <w:rPr>
          <w:spacing w:val="-3"/>
        </w:rPr>
        <w:t> </w:t>
      </w:r>
      <w:r>
        <w:rPr/>
        <w:t>grave</w:t>
      </w:r>
      <w:r>
        <w:rPr>
          <w:spacing w:val="-5"/>
        </w:rPr>
        <w:t> </w:t>
      </w:r>
      <w:r>
        <w:rPr/>
        <w:t>efeito</w:t>
      </w:r>
      <w:r>
        <w:rPr>
          <w:spacing w:val="-2"/>
        </w:rPr>
        <w:t> </w:t>
      </w:r>
      <w:r>
        <w:rPr/>
        <w:t>colateral que</w:t>
      </w:r>
      <w:r>
        <w:rPr>
          <w:spacing w:val="-5"/>
        </w:rPr>
        <w:t> </w:t>
      </w:r>
      <w:r>
        <w:rPr/>
        <w:t>é</w:t>
      </w:r>
      <w:r>
        <w:rPr>
          <w:spacing w:val="-5"/>
        </w:rPr>
        <w:t> </w:t>
      </w:r>
      <w:r>
        <w:rPr/>
        <w:t>a</w:t>
      </w:r>
      <w:r>
        <w:rPr>
          <w:spacing w:val="-5"/>
        </w:rPr>
        <w:t> </w:t>
      </w:r>
      <w:r>
        <w:rPr/>
        <w:t>fibrose</w:t>
      </w:r>
      <w:r>
        <w:rPr>
          <w:spacing w:val="-5"/>
        </w:rPr>
        <w:t> </w:t>
      </w:r>
      <w:r>
        <w:rPr/>
        <w:t>nefrogênica</w:t>
      </w:r>
      <w:r>
        <w:rPr>
          <w:spacing w:val="-5"/>
        </w:rPr>
        <w:t> </w:t>
      </w:r>
      <w:r>
        <w:rPr/>
        <w:t>sistêmica, com</w:t>
      </w:r>
      <w:r>
        <w:rPr>
          <w:spacing w:val="-3"/>
        </w:rPr>
        <w:t> </w:t>
      </w:r>
      <w:r>
        <w:rPr/>
        <w:t>rápida</w:t>
      </w:r>
      <w:r>
        <w:rPr>
          <w:spacing w:val="-5"/>
        </w:rPr>
        <w:t> </w:t>
      </w:r>
      <w:r>
        <w:rPr/>
        <w:t>e</w:t>
      </w:r>
      <w:r>
        <w:rPr>
          <w:spacing w:val="-5"/>
        </w:rPr>
        <w:t> </w:t>
      </w:r>
      <w:r>
        <w:rPr/>
        <w:t>acentuada</w:t>
      </w:r>
      <w:r>
        <w:rPr>
          <w:spacing w:val="-5"/>
        </w:rPr>
        <w:t> </w:t>
      </w:r>
      <w:r>
        <w:rPr/>
        <w:t>piora da função renal, além de outros efeitos sistêmicos, podendo inclusive levar ao óbito. Dessa forma, está</w:t>
      </w:r>
      <w:r>
        <w:rPr>
          <w:spacing w:val="40"/>
        </w:rPr>
        <w:t> </w:t>
      </w:r>
      <w:r>
        <w:rPr/>
        <w:t>formalmente contraindicada nesses casos. Por outro lado, a realização da angiorressonância magnética sem contraste</w:t>
      </w:r>
      <w:r>
        <w:rPr>
          <w:spacing w:val="-1"/>
        </w:rPr>
        <w:t> </w:t>
      </w:r>
      <w:r>
        <w:rPr/>
        <w:t>pode</w:t>
      </w:r>
      <w:r>
        <w:rPr>
          <w:spacing w:val="-1"/>
        </w:rPr>
        <w:t> </w:t>
      </w:r>
      <w:r>
        <w:rPr/>
        <w:t>ser uma</w:t>
      </w:r>
      <w:r>
        <w:rPr>
          <w:spacing w:val="-1"/>
        </w:rPr>
        <w:t> </w:t>
      </w:r>
      <w:r>
        <w:rPr/>
        <w:t>alternativa</w:t>
      </w:r>
      <w:r>
        <w:rPr>
          <w:spacing w:val="-1"/>
        </w:rPr>
        <w:t> </w:t>
      </w:r>
      <w:r>
        <w:rPr/>
        <w:t>útil nos pacientes que</w:t>
      </w:r>
      <w:r>
        <w:rPr>
          <w:spacing w:val="-1"/>
        </w:rPr>
        <w:t> </w:t>
      </w:r>
      <w:r>
        <w:rPr/>
        <w:t>não podem se</w:t>
      </w:r>
      <w:r>
        <w:rPr>
          <w:spacing w:val="-1"/>
        </w:rPr>
        <w:t> </w:t>
      </w:r>
      <w:r>
        <w:rPr/>
        <w:t>submeter à</w:t>
      </w:r>
      <w:r>
        <w:rPr>
          <w:spacing w:val="-1"/>
        </w:rPr>
        <w:t> </w:t>
      </w:r>
      <w:r>
        <w:rPr/>
        <w:t>angiotomografia.</w:t>
      </w:r>
      <w:r>
        <w:rPr>
          <w:vertAlign w:val="superscript"/>
        </w:rPr>
        <w:t>15</w:t>
      </w:r>
    </w:p>
    <w:p>
      <w:pPr>
        <w:pStyle w:val="BodyText"/>
        <w:spacing w:before="1"/>
        <w:ind w:left="0" w:firstLine="0"/>
        <w:jc w:val="left"/>
        <w:rPr>
          <w:sz w:val="20"/>
        </w:rPr>
      </w:pPr>
      <w:r>
        <w:rPr>
          <w:sz w:val="20"/>
        </w:rPr>
        <w:drawing>
          <wp:anchor distT="0" distB="0" distL="0" distR="0" allowOverlap="1" layoutInCell="1" locked="0" behindDoc="1" simplePos="0" relativeHeight="487616000">
            <wp:simplePos x="0" y="0"/>
            <wp:positionH relativeFrom="page">
              <wp:posOffset>2201786</wp:posOffset>
            </wp:positionH>
            <wp:positionV relativeFrom="paragraph">
              <wp:posOffset>162506</wp:posOffset>
            </wp:positionV>
            <wp:extent cx="3159440" cy="2496978"/>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35" cstate="print"/>
                    <a:stretch>
                      <a:fillRect/>
                    </a:stretch>
                  </pic:blipFill>
                  <pic:spPr>
                    <a:xfrm>
                      <a:off x="0" y="0"/>
                      <a:ext cx="3159440" cy="2496978"/>
                    </a:xfrm>
                    <a:prstGeom prst="rect">
                      <a:avLst/>
                    </a:prstGeom>
                  </pic:spPr>
                </pic:pic>
              </a:graphicData>
            </a:graphic>
          </wp:anchor>
        </w:drawing>
      </w:r>
    </w:p>
    <w:p>
      <w:pPr>
        <w:pStyle w:val="BodyText"/>
        <w:spacing w:before="9"/>
        <w:ind w:left="0" w:firstLine="0"/>
        <w:jc w:val="left"/>
      </w:pPr>
    </w:p>
    <w:p>
      <w:pPr>
        <w:spacing w:before="0"/>
        <w:ind w:left="68" w:right="0" w:firstLine="0"/>
        <w:jc w:val="both"/>
        <w:rPr>
          <w:rFonts w:ascii="Microsoft Sans Serif" w:hAnsi="Microsoft Sans Serif"/>
          <w:sz w:val="19"/>
        </w:rPr>
      </w:pPr>
      <w:r>
        <w:rPr>
          <w:rFonts w:ascii="Arial" w:hAnsi="Arial"/>
          <w:b/>
          <w:color w:val="242B67"/>
          <w:sz w:val="19"/>
        </w:rPr>
        <w:t>Figura</w:t>
      </w:r>
      <w:r>
        <w:rPr>
          <w:rFonts w:ascii="Arial" w:hAnsi="Arial"/>
          <w:b/>
          <w:color w:val="242B67"/>
          <w:spacing w:val="15"/>
          <w:sz w:val="19"/>
        </w:rPr>
        <w:t> </w:t>
      </w:r>
      <w:r>
        <w:rPr>
          <w:rFonts w:ascii="Arial" w:hAnsi="Arial"/>
          <w:b/>
          <w:color w:val="242B67"/>
          <w:sz w:val="19"/>
        </w:rPr>
        <w:t>59.1</w:t>
      </w:r>
      <w:r>
        <w:rPr>
          <w:rFonts w:ascii="Arial" w:hAnsi="Arial"/>
          <w:b/>
          <w:color w:val="242B67"/>
          <w:spacing w:val="15"/>
          <w:sz w:val="19"/>
        </w:rPr>
        <w:t> </w:t>
      </w:r>
      <w:r>
        <w:rPr>
          <w:rFonts w:ascii="Microsoft Sans Serif" w:hAnsi="Microsoft Sans Serif"/>
          <w:sz w:val="19"/>
        </w:rPr>
        <w:t>Ultrassonografia</w:t>
      </w:r>
      <w:r>
        <w:rPr>
          <w:rFonts w:ascii="Microsoft Sans Serif" w:hAnsi="Microsoft Sans Serif"/>
          <w:spacing w:val="17"/>
          <w:sz w:val="19"/>
        </w:rPr>
        <w:t> </w:t>
      </w:r>
      <w:r>
        <w:rPr>
          <w:rFonts w:ascii="Microsoft Sans Serif" w:hAnsi="Microsoft Sans Serif"/>
          <w:sz w:val="19"/>
        </w:rPr>
        <w:t>de</w:t>
      </w:r>
      <w:r>
        <w:rPr>
          <w:rFonts w:ascii="Microsoft Sans Serif" w:hAnsi="Microsoft Sans Serif"/>
          <w:spacing w:val="17"/>
          <w:sz w:val="19"/>
        </w:rPr>
        <w:t> </w:t>
      </w:r>
      <w:r>
        <w:rPr>
          <w:rFonts w:ascii="Microsoft Sans Serif" w:hAnsi="Microsoft Sans Serif"/>
          <w:sz w:val="19"/>
        </w:rPr>
        <w:t>aneurisma</w:t>
      </w:r>
      <w:r>
        <w:rPr>
          <w:rFonts w:ascii="Microsoft Sans Serif" w:hAnsi="Microsoft Sans Serif"/>
          <w:spacing w:val="17"/>
          <w:sz w:val="19"/>
        </w:rPr>
        <w:t> </w:t>
      </w:r>
      <w:r>
        <w:rPr>
          <w:rFonts w:ascii="Microsoft Sans Serif" w:hAnsi="Microsoft Sans Serif"/>
          <w:sz w:val="19"/>
        </w:rPr>
        <w:t>de</w:t>
      </w:r>
      <w:r>
        <w:rPr>
          <w:rFonts w:ascii="Microsoft Sans Serif" w:hAnsi="Microsoft Sans Serif"/>
          <w:spacing w:val="17"/>
          <w:sz w:val="19"/>
        </w:rPr>
        <w:t> </w:t>
      </w:r>
      <w:r>
        <w:rPr>
          <w:rFonts w:ascii="Microsoft Sans Serif" w:hAnsi="Microsoft Sans Serif"/>
          <w:sz w:val="19"/>
        </w:rPr>
        <w:t>aorta</w:t>
      </w:r>
      <w:r>
        <w:rPr>
          <w:rFonts w:ascii="Microsoft Sans Serif" w:hAnsi="Microsoft Sans Serif"/>
          <w:spacing w:val="17"/>
          <w:sz w:val="19"/>
        </w:rPr>
        <w:t> </w:t>
      </w:r>
      <w:r>
        <w:rPr>
          <w:rFonts w:ascii="Microsoft Sans Serif" w:hAnsi="Microsoft Sans Serif"/>
          <w:sz w:val="19"/>
        </w:rPr>
        <w:t>abdominal</w:t>
      </w:r>
      <w:r>
        <w:rPr>
          <w:rFonts w:ascii="Microsoft Sans Serif" w:hAnsi="Microsoft Sans Serif"/>
          <w:spacing w:val="17"/>
          <w:sz w:val="19"/>
        </w:rPr>
        <w:t> </w:t>
      </w:r>
      <w:r>
        <w:rPr>
          <w:rFonts w:ascii="Microsoft Sans Serif" w:hAnsi="Microsoft Sans Serif"/>
          <w:sz w:val="19"/>
        </w:rPr>
        <w:t>e</w:t>
      </w:r>
      <w:r>
        <w:rPr>
          <w:rFonts w:ascii="Microsoft Sans Serif" w:hAnsi="Microsoft Sans Serif"/>
          <w:spacing w:val="18"/>
          <w:sz w:val="19"/>
        </w:rPr>
        <w:t> </w:t>
      </w:r>
      <w:r>
        <w:rPr>
          <w:rFonts w:ascii="Microsoft Sans Serif" w:hAnsi="Microsoft Sans Serif"/>
          <w:sz w:val="19"/>
        </w:rPr>
        <w:t>artérias</w:t>
      </w:r>
      <w:r>
        <w:rPr>
          <w:rFonts w:ascii="Microsoft Sans Serif" w:hAnsi="Microsoft Sans Serif"/>
          <w:spacing w:val="10"/>
          <w:sz w:val="19"/>
        </w:rPr>
        <w:t> </w:t>
      </w:r>
      <w:r>
        <w:rPr>
          <w:rFonts w:ascii="Microsoft Sans Serif" w:hAnsi="Microsoft Sans Serif"/>
          <w:sz w:val="19"/>
        </w:rPr>
        <w:t>ilíacas</w:t>
      </w:r>
      <w:r>
        <w:rPr>
          <w:rFonts w:ascii="Microsoft Sans Serif" w:hAnsi="Microsoft Sans Serif"/>
          <w:spacing w:val="11"/>
          <w:sz w:val="19"/>
        </w:rPr>
        <w:t> </w:t>
      </w:r>
      <w:r>
        <w:rPr>
          <w:rFonts w:ascii="Microsoft Sans Serif" w:hAnsi="Microsoft Sans Serif"/>
          <w:sz w:val="19"/>
        </w:rPr>
        <w:t>em</w:t>
      </w:r>
      <w:r>
        <w:rPr>
          <w:rFonts w:ascii="Microsoft Sans Serif" w:hAnsi="Microsoft Sans Serif"/>
          <w:spacing w:val="10"/>
          <w:sz w:val="19"/>
        </w:rPr>
        <w:t> </w:t>
      </w:r>
      <w:r>
        <w:rPr>
          <w:rFonts w:ascii="Microsoft Sans Serif" w:hAnsi="Microsoft Sans Serif"/>
          <w:sz w:val="19"/>
        </w:rPr>
        <w:t>corte</w:t>
      </w:r>
      <w:r>
        <w:rPr>
          <w:rFonts w:ascii="Microsoft Sans Serif" w:hAnsi="Microsoft Sans Serif"/>
          <w:spacing w:val="18"/>
          <w:sz w:val="19"/>
        </w:rPr>
        <w:t> </w:t>
      </w:r>
      <w:r>
        <w:rPr>
          <w:rFonts w:ascii="Microsoft Sans Serif" w:hAnsi="Microsoft Sans Serif"/>
          <w:spacing w:val="-2"/>
          <w:sz w:val="19"/>
        </w:rPr>
        <w:t>longitudinal.</w:t>
      </w:r>
    </w:p>
    <w:p>
      <w:pPr>
        <w:pStyle w:val="BodyText"/>
        <w:spacing w:before="66"/>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16512">
            <wp:simplePos x="0" y="0"/>
            <wp:positionH relativeFrom="page">
              <wp:posOffset>2191613</wp:posOffset>
            </wp:positionH>
            <wp:positionV relativeFrom="paragraph">
              <wp:posOffset>201174</wp:posOffset>
            </wp:positionV>
            <wp:extent cx="3179817" cy="2486787"/>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36" cstate="print"/>
                    <a:stretch>
                      <a:fillRect/>
                    </a:stretch>
                  </pic:blipFill>
                  <pic:spPr>
                    <a:xfrm>
                      <a:off x="0" y="0"/>
                      <a:ext cx="3179817" cy="2486787"/>
                    </a:xfrm>
                    <a:prstGeom prst="rect">
                      <a:avLst/>
                    </a:prstGeom>
                  </pic:spPr>
                </pic:pic>
              </a:graphicData>
            </a:graphic>
          </wp:anchor>
        </w:drawing>
      </w:r>
    </w:p>
    <w:p>
      <w:pPr>
        <w:pStyle w:val="BodyText"/>
        <w:spacing w:before="58"/>
        <w:ind w:left="0" w:firstLine="0"/>
        <w:jc w:val="left"/>
        <w:rPr>
          <w:rFonts w:ascii="Microsoft Sans Serif"/>
          <w:sz w:val="19"/>
        </w:rPr>
      </w:pPr>
    </w:p>
    <w:p>
      <w:pPr>
        <w:spacing w:line="285" w:lineRule="auto" w:before="0"/>
        <w:ind w:left="68" w:right="508" w:firstLine="0"/>
        <w:jc w:val="both"/>
        <w:rPr>
          <w:rFonts w:ascii="Microsoft Sans Serif" w:hAnsi="Microsoft Sans Serif"/>
          <w:sz w:val="19"/>
        </w:rPr>
      </w:pPr>
      <w:r>
        <w:rPr>
          <w:rFonts w:ascii="Arial" w:hAnsi="Arial"/>
          <w:b/>
          <w:color w:val="242B67"/>
          <w:sz w:val="19"/>
        </w:rPr>
        <w:t>Figura 59.2 </w:t>
      </w:r>
      <w:r>
        <w:rPr>
          <w:rFonts w:ascii="Microsoft Sans Serif" w:hAnsi="Microsoft Sans Serif"/>
          <w:sz w:val="19"/>
        </w:rPr>
        <w:t>Tomografia computadorizada (TC) sem contraste mostrando aneurisma de aorta abdominal próximo à</w:t>
      </w:r>
      <w:r>
        <w:rPr>
          <w:rFonts w:ascii="Microsoft Sans Serif" w:hAnsi="Microsoft Sans Serif"/>
          <w:spacing w:val="80"/>
          <w:sz w:val="19"/>
        </w:rPr>
        <w:t> </w:t>
      </w:r>
      <w:r>
        <w:rPr>
          <w:rFonts w:ascii="Microsoft Sans Serif" w:hAnsi="Microsoft Sans Serif"/>
          <w:spacing w:val="-2"/>
          <w:sz w:val="19"/>
        </w:rPr>
        <w:t>bifurcação.</w:t>
      </w:r>
    </w:p>
    <w:p>
      <w:pPr>
        <w:spacing w:after="0" w:line="285" w:lineRule="auto"/>
        <w:jc w:val="both"/>
        <w:rPr>
          <w:rFonts w:ascii="Microsoft Sans Serif" w:hAnsi="Microsoft Sans Serif"/>
          <w:sz w:val="19"/>
        </w:rPr>
        <w:sectPr>
          <w:pgSz w:w="11900" w:h="16840"/>
          <w:pgMar w:top="220" w:bottom="280" w:left="566" w:right="141"/>
        </w:sectPr>
      </w:pPr>
    </w:p>
    <w:p>
      <w:pPr>
        <w:spacing w:line="240" w:lineRule="auto"/>
        <w:ind w:left="3013" w:right="0" w:firstLine="0"/>
        <w:rPr>
          <w:rFonts w:ascii="Microsoft Sans Serif"/>
          <w:sz w:val="20"/>
        </w:rPr>
      </w:pPr>
      <w:r>
        <w:rPr>
          <w:rFonts w:ascii="Microsoft Sans Serif"/>
          <w:sz w:val="20"/>
        </w:rPr>
        <w:drawing>
          <wp:inline distT="0" distB="0" distL="0" distR="0">
            <wp:extent cx="3016762" cy="252755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7" cstate="print"/>
                    <a:stretch>
                      <a:fillRect/>
                    </a:stretch>
                  </pic:blipFill>
                  <pic:spPr>
                    <a:xfrm>
                      <a:off x="0" y="0"/>
                      <a:ext cx="3016762" cy="2527554"/>
                    </a:xfrm>
                    <a:prstGeom prst="rect">
                      <a:avLst/>
                    </a:prstGeom>
                  </pic:spPr>
                </pic:pic>
              </a:graphicData>
            </a:graphic>
          </wp:inline>
        </w:drawing>
      </w:r>
      <w:r>
        <w:rPr>
          <w:rFonts w:ascii="Microsoft Sans Serif"/>
          <w:sz w:val="20"/>
        </w:rPr>
      </w:r>
    </w:p>
    <w:p>
      <w:pPr>
        <w:pStyle w:val="BodyText"/>
        <w:spacing w:before="57"/>
        <w:ind w:left="0" w:firstLine="0"/>
        <w:jc w:val="left"/>
        <w:rPr>
          <w:rFonts w:ascii="Microsoft Sans Serif"/>
          <w:sz w:val="19"/>
        </w:rPr>
      </w:pPr>
    </w:p>
    <w:p>
      <w:pPr>
        <w:spacing w:line="285" w:lineRule="auto" w:before="0"/>
        <w:ind w:left="68" w:right="497" w:firstLine="0"/>
        <w:jc w:val="left"/>
        <w:rPr>
          <w:rFonts w:ascii="Microsoft Sans Serif" w:hAnsi="Microsoft Sans Serif"/>
          <w:sz w:val="19"/>
        </w:rPr>
      </w:pPr>
      <w:r>
        <w:rPr>
          <w:rFonts w:ascii="Arial" w:hAnsi="Arial"/>
          <w:b/>
          <w:color w:val="242B67"/>
          <w:sz w:val="19"/>
        </w:rPr>
        <w:t>Figura 59.3</w:t>
      </w:r>
      <w:r>
        <w:rPr>
          <w:rFonts w:ascii="Arial" w:hAnsi="Arial"/>
          <w:b/>
          <w:color w:val="242B67"/>
          <w:spacing w:val="24"/>
          <w:sz w:val="19"/>
        </w:rPr>
        <w:t> </w:t>
      </w:r>
      <w:r>
        <w:rPr>
          <w:rFonts w:ascii="Microsoft Sans Serif" w:hAnsi="Microsoft Sans Serif"/>
          <w:sz w:val="19"/>
        </w:rPr>
        <w:t>Tomografia</w:t>
      </w:r>
      <w:r>
        <w:rPr>
          <w:rFonts w:ascii="Microsoft Sans Serif" w:hAnsi="Microsoft Sans Serif"/>
          <w:spacing w:val="25"/>
          <w:sz w:val="19"/>
        </w:rPr>
        <w:t> </w:t>
      </w:r>
      <w:r>
        <w:rPr>
          <w:rFonts w:ascii="Microsoft Sans Serif" w:hAnsi="Microsoft Sans Serif"/>
          <w:sz w:val="19"/>
        </w:rPr>
        <w:t>computadorizada</w:t>
      </w:r>
      <w:r>
        <w:rPr>
          <w:rFonts w:ascii="Microsoft Sans Serif" w:hAnsi="Microsoft Sans Serif"/>
          <w:spacing w:val="25"/>
          <w:sz w:val="19"/>
        </w:rPr>
        <w:t> </w:t>
      </w:r>
      <w:r>
        <w:rPr>
          <w:rFonts w:ascii="Microsoft Sans Serif" w:hAnsi="Microsoft Sans Serif"/>
          <w:sz w:val="19"/>
        </w:rPr>
        <w:t>(TC)</w:t>
      </w:r>
      <w:r>
        <w:rPr>
          <w:rFonts w:ascii="Microsoft Sans Serif" w:hAnsi="Microsoft Sans Serif"/>
          <w:spacing w:val="19"/>
          <w:sz w:val="19"/>
        </w:rPr>
        <w:t> </w:t>
      </w:r>
      <w:r>
        <w:rPr>
          <w:rFonts w:ascii="Microsoft Sans Serif" w:hAnsi="Microsoft Sans Serif"/>
          <w:sz w:val="19"/>
        </w:rPr>
        <w:t>mostrando</w:t>
      </w:r>
      <w:r>
        <w:rPr>
          <w:rFonts w:ascii="Microsoft Sans Serif" w:hAnsi="Microsoft Sans Serif"/>
          <w:spacing w:val="25"/>
          <w:sz w:val="19"/>
        </w:rPr>
        <w:t> </w:t>
      </w:r>
      <w:r>
        <w:rPr>
          <w:rFonts w:ascii="Microsoft Sans Serif" w:hAnsi="Microsoft Sans Serif"/>
          <w:sz w:val="19"/>
        </w:rPr>
        <w:t>aneurisma</w:t>
      </w:r>
      <w:r>
        <w:rPr>
          <w:rFonts w:ascii="Microsoft Sans Serif" w:hAnsi="Microsoft Sans Serif"/>
          <w:spacing w:val="25"/>
          <w:sz w:val="19"/>
        </w:rPr>
        <w:t> </w:t>
      </w:r>
      <w:r>
        <w:rPr>
          <w:rFonts w:ascii="Microsoft Sans Serif" w:hAnsi="Microsoft Sans Serif"/>
          <w:sz w:val="19"/>
        </w:rPr>
        <w:t>de</w:t>
      </w:r>
      <w:r>
        <w:rPr>
          <w:rFonts w:ascii="Microsoft Sans Serif" w:hAnsi="Microsoft Sans Serif"/>
          <w:spacing w:val="25"/>
          <w:sz w:val="19"/>
        </w:rPr>
        <w:t> </w:t>
      </w:r>
      <w:r>
        <w:rPr>
          <w:rFonts w:ascii="Microsoft Sans Serif" w:hAnsi="Microsoft Sans Serif"/>
          <w:sz w:val="19"/>
        </w:rPr>
        <w:t>aorta</w:t>
      </w:r>
      <w:r>
        <w:rPr>
          <w:rFonts w:ascii="Microsoft Sans Serif" w:hAnsi="Microsoft Sans Serif"/>
          <w:spacing w:val="25"/>
          <w:sz w:val="19"/>
        </w:rPr>
        <w:t> </w:t>
      </w:r>
      <w:r>
        <w:rPr>
          <w:rFonts w:ascii="Microsoft Sans Serif" w:hAnsi="Microsoft Sans Serif"/>
          <w:sz w:val="19"/>
        </w:rPr>
        <w:t>toracoabdominal</w:t>
      </w:r>
      <w:r>
        <w:rPr>
          <w:rFonts w:ascii="Microsoft Sans Serif" w:hAnsi="Microsoft Sans Serif"/>
          <w:spacing w:val="25"/>
          <w:sz w:val="19"/>
        </w:rPr>
        <w:t> </w:t>
      </w:r>
      <w:r>
        <w:rPr>
          <w:rFonts w:ascii="Microsoft Sans Serif" w:hAnsi="Microsoft Sans Serif"/>
          <w:sz w:val="19"/>
        </w:rPr>
        <w:t>com</w:t>
      </w:r>
      <w:r>
        <w:rPr>
          <w:rFonts w:ascii="Microsoft Sans Serif" w:hAnsi="Microsoft Sans Serif"/>
          <w:spacing w:val="19"/>
          <w:sz w:val="19"/>
        </w:rPr>
        <w:t> </w:t>
      </w:r>
      <w:r>
        <w:rPr>
          <w:rFonts w:ascii="Microsoft Sans Serif" w:hAnsi="Microsoft Sans Serif"/>
          <w:sz w:val="19"/>
        </w:rPr>
        <w:t>dilatação</w:t>
      </w:r>
      <w:r>
        <w:rPr>
          <w:rFonts w:ascii="Microsoft Sans Serif" w:hAnsi="Microsoft Sans Serif"/>
          <w:spacing w:val="25"/>
          <w:sz w:val="19"/>
        </w:rPr>
        <w:t> </w:t>
      </w:r>
      <w:r>
        <w:rPr>
          <w:rFonts w:ascii="Microsoft Sans Serif" w:hAnsi="Microsoft Sans Serif"/>
          <w:sz w:val="19"/>
        </w:rPr>
        <w:t>ao</w:t>
      </w:r>
      <w:r>
        <w:rPr>
          <w:rFonts w:ascii="Microsoft Sans Serif" w:hAnsi="Microsoft Sans Serif"/>
          <w:spacing w:val="25"/>
          <w:sz w:val="19"/>
        </w:rPr>
        <w:t> </w:t>
      </w:r>
      <w:r>
        <w:rPr>
          <w:rFonts w:ascii="Microsoft Sans Serif" w:hAnsi="Microsoft Sans Serif"/>
          <w:sz w:val="19"/>
        </w:rPr>
        <w:t>nível</w:t>
      </w:r>
      <w:r>
        <w:rPr>
          <w:rFonts w:ascii="Microsoft Sans Serif" w:hAnsi="Microsoft Sans Serif"/>
          <w:spacing w:val="25"/>
          <w:sz w:val="19"/>
        </w:rPr>
        <w:t> </w:t>
      </w:r>
      <w:r>
        <w:rPr>
          <w:rFonts w:ascii="Microsoft Sans Serif" w:hAnsi="Microsoft Sans Serif"/>
          <w:sz w:val="19"/>
        </w:rPr>
        <w:t>do tronco celíaco.</w:t>
      </w:r>
    </w:p>
    <w:p>
      <w:pPr>
        <w:pStyle w:val="BodyText"/>
        <w:spacing w:before="26"/>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17024">
            <wp:simplePos x="0" y="0"/>
            <wp:positionH relativeFrom="page">
              <wp:posOffset>2272982</wp:posOffset>
            </wp:positionH>
            <wp:positionV relativeFrom="paragraph">
              <wp:posOffset>175507</wp:posOffset>
            </wp:positionV>
            <wp:extent cx="3016760" cy="2935224"/>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8" cstate="print"/>
                    <a:stretch>
                      <a:fillRect/>
                    </a:stretch>
                  </pic:blipFill>
                  <pic:spPr>
                    <a:xfrm>
                      <a:off x="0" y="0"/>
                      <a:ext cx="3016760" cy="2935224"/>
                    </a:xfrm>
                    <a:prstGeom prst="rect">
                      <a:avLst/>
                    </a:prstGeom>
                  </pic:spPr>
                </pic:pic>
              </a:graphicData>
            </a:graphic>
          </wp:anchor>
        </w:drawing>
      </w:r>
    </w:p>
    <w:p>
      <w:pPr>
        <w:pStyle w:val="BodyText"/>
        <w:spacing w:before="72"/>
        <w:ind w:left="0" w:firstLine="0"/>
        <w:jc w:val="left"/>
        <w:rPr>
          <w:rFonts w:ascii="Microsoft Sans Serif"/>
          <w:sz w:val="19"/>
        </w:rPr>
      </w:pPr>
    </w:p>
    <w:p>
      <w:pPr>
        <w:spacing w:line="285" w:lineRule="auto"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66"/>
          <w:sz w:val="19"/>
        </w:rPr>
        <w:t> </w:t>
      </w:r>
      <w:r>
        <w:rPr>
          <w:rFonts w:ascii="Arial" w:hAnsi="Arial"/>
          <w:b/>
          <w:color w:val="242B67"/>
          <w:sz w:val="19"/>
        </w:rPr>
        <w:t>59.4</w:t>
      </w:r>
      <w:r>
        <w:rPr>
          <w:rFonts w:ascii="Arial" w:hAnsi="Arial"/>
          <w:b/>
          <w:color w:val="242B67"/>
          <w:spacing w:val="73"/>
          <w:sz w:val="19"/>
        </w:rPr>
        <w:t> </w:t>
      </w:r>
      <w:r>
        <w:rPr>
          <w:rFonts w:ascii="Microsoft Sans Serif" w:hAnsi="Microsoft Sans Serif"/>
          <w:sz w:val="19"/>
        </w:rPr>
        <w:t>Tomografia</w:t>
      </w:r>
      <w:r>
        <w:rPr>
          <w:rFonts w:ascii="Microsoft Sans Serif" w:hAnsi="Microsoft Sans Serif"/>
          <w:spacing w:val="76"/>
          <w:sz w:val="19"/>
        </w:rPr>
        <w:t> </w:t>
      </w:r>
      <w:r>
        <w:rPr>
          <w:rFonts w:ascii="Microsoft Sans Serif" w:hAnsi="Microsoft Sans Serif"/>
          <w:sz w:val="19"/>
        </w:rPr>
        <w:t>computadorizada</w:t>
      </w:r>
      <w:r>
        <w:rPr>
          <w:rFonts w:ascii="Microsoft Sans Serif" w:hAnsi="Microsoft Sans Serif"/>
          <w:spacing w:val="76"/>
          <w:sz w:val="19"/>
        </w:rPr>
        <w:t> </w:t>
      </w:r>
      <w:r>
        <w:rPr>
          <w:rFonts w:ascii="Microsoft Sans Serif" w:hAnsi="Microsoft Sans Serif"/>
          <w:sz w:val="19"/>
        </w:rPr>
        <w:t>(TC)</w:t>
      </w:r>
      <w:r>
        <w:rPr>
          <w:rFonts w:ascii="Microsoft Sans Serif" w:hAnsi="Microsoft Sans Serif"/>
          <w:spacing w:val="70"/>
          <w:sz w:val="19"/>
        </w:rPr>
        <w:t> </w:t>
      </w:r>
      <w:r>
        <w:rPr>
          <w:rFonts w:ascii="Microsoft Sans Serif" w:hAnsi="Microsoft Sans Serif"/>
          <w:sz w:val="19"/>
        </w:rPr>
        <w:t>contrastada</w:t>
      </w:r>
      <w:r>
        <w:rPr>
          <w:rFonts w:ascii="Microsoft Sans Serif" w:hAnsi="Microsoft Sans Serif"/>
          <w:spacing w:val="76"/>
          <w:sz w:val="19"/>
        </w:rPr>
        <w:t> </w:t>
      </w:r>
      <w:r>
        <w:rPr>
          <w:rFonts w:ascii="Microsoft Sans Serif" w:hAnsi="Microsoft Sans Serif"/>
          <w:sz w:val="19"/>
        </w:rPr>
        <w:t>mostrando</w:t>
      </w:r>
      <w:r>
        <w:rPr>
          <w:rFonts w:ascii="Microsoft Sans Serif" w:hAnsi="Microsoft Sans Serif"/>
          <w:spacing w:val="76"/>
          <w:sz w:val="19"/>
        </w:rPr>
        <w:t> </w:t>
      </w:r>
      <w:r>
        <w:rPr>
          <w:rFonts w:ascii="Microsoft Sans Serif" w:hAnsi="Microsoft Sans Serif"/>
          <w:sz w:val="19"/>
        </w:rPr>
        <w:t>aneurisma</w:t>
      </w:r>
      <w:r>
        <w:rPr>
          <w:rFonts w:ascii="Microsoft Sans Serif" w:hAnsi="Microsoft Sans Serif"/>
          <w:spacing w:val="76"/>
          <w:sz w:val="19"/>
        </w:rPr>
        <w:t> </w:t>
      </w:r>
      <w:r>
        <w:rPr>
          <w:rFonts w:ascii="Microsoft Sans Serif" w:hAnsi="Microsoft Sans Serif"/>
          <w:sz w:val="19"/>
        </w:rPr>
        <w:t>de</w:t>
      </w:r>
      <w:r>
        <w:rPr>
          <w:rFonts w:ascii="Microsoft Sans Serif" w:hAnsi="Microsoft Sans Serif"/>
          <w:spacing w:val="76"/>
          <w:sz w:val="19"/>
        </w:rPr>
        <w:t> </w:t>
      </w:r>
      <w:r>
        <w:rPr>
          <w:rFonts w:ascii="Microsoft Sans Serif" w:hAnsi="Microsoft Sans Serif"/>
          <w:sz w:val="19"/>
        </w:rPr>
        <w:t>aorta</w:t>
      </w:r>
      <w:r>
        <w:rPr>
          <w:rFonts w:ascii="Microsoft Sans Serif" w:hAnsi="Microsoft Sans Serif"/>
          <w:spacing w:val="76"/>
          <w:sz w:val="19"/>
        </w:rPr>
        <w:t> </w:t>
      </w:r>
      <w:r>
        <w:rPr>
          <w:rFonts w:ascii="Microsoft Sans Serif" w:hAnsi="Microsoft Sans Serif"/>
          <w:sz w:val="19"/>
        </w:rPr>
        <w:t>infrarrenal</w:t>
      </w:r>
      <w:r>
        <w:rPr>
          <w:rFonts w:ascii="Microsoft Sans Serif" w:hAnsi="Microsoft Sans Serif"/>
          <w:spacing w:val="76"/>
          <w:sz w:val="19"/>
        </w:rPr>
        <w:t> </w:t>
      </w:r>
      <w:r>
        <w:rPr>
          <w:rFonts w:ascii="Microsoft Sans Serif" w:hAnsi="Microsoft Sans Serif"/>
          <w:sz w:val="19"/>
        </w:rPr>
        <w:t>com</w:t>
      </w:r>
      <w:r>
        <w:rPr>
          <w:rFonts w:ascii="Microsoft Sans Serif" w:hAnsi="Microsoft Sans Serif"/>
          <w:spacing w:val="70"/>
          <w:sz w:val="19"/>
        </w:rPr>
        <w:t> </w:t>
      </w:r>
      <w:r>
        <w:rPr>
          <w:rFonts w:ascii="Microsoft Sans Serif" w:hAnsi="Microsoft Sans Serif"/>
          <w:sz w:val="19"/>
        </w:rPr>
        <w:t>paredes intensamente</w:t>
      </w:r>
      <w:r>
        <w:rPr>
          <w:rFonts w:ascii="Microsoft Sans Serif" w:hAnsi="Microsoft Sans Serif"/>
          <w:spacing w:val="40"/>
          <w:sz w:val="19"/>
        </w:rPr>
        <w:t> </w:t>
      </w:r>
      <w:r>
        <w:rPr>
          <w:rFonts w:ascii="Microsoft Sans Serif" w:hAnsi="Microsoft Sans Serif"/>
          <w:sz w:val="19"/>
        </w:rPr>
        <w:t>calcificadas. Observam-se</w:t>
      </w:r>
      <w:r>
        <w:rPr>
          <w:rFonts w:ascii="Microsoft Sans Serif" w:hAnsi="Microsoft Sans Serif"/>
          <w:spacing w:val="40"/>
          <w:sz w:val="19"/>
        </w:rPr>
        <w:t> </w:t>
      </w:r>
      <w:r>
        <w:rPr>
          <w:rFonts w:ascii="Microsoft Sans Serif" w:hAnsi="Microsoft Sans Serif"/>
          <w:sz w:val="19"/>
        </w:rPr>
        <w:t>também trombos murais e</w:t>
      </w:r>
      <w:r>
        <w:rPr>
          <w:rFonts w:ascii="Microsoft Sans Serif" w:hAnsi="Microsoft Sans Serif"/>
          <w:spacing w:val="40"/>
          <w:sz w:val="19"/>
        </w:rPr>
        <w:t> </w:t>
      </w:r>
      <w:r>
        <w:rPr>
          <w:rFonts w:ascii="Microsoft Sans Serif" w:hAnsi="Microsoft Sans Serif"/>
          <w:sz w:val="19"/>
        </w:rPr>
        <w:t>lúmen</w:t>
      </w:r>
      <w:r>
        <w:rPr>
          <w:rFonts w:ascii="Microsoft Sans Serif" w:hAnsi="Microsoft Sans Serif"/>
          <w:spacing w:val="40"/>
          <w:sz w:val="19"/>
        </w:rPr>
        <w:t> </w:t>
      </w:r>
      <w:r>
        <w:rPr>
          <w:rFonts w:ascii="Microsoft Sans Serif" w:hAnsi="Microsoft Sans Serif"/>
          <w:sz w:val="19"/>
        </w:rPr>
        <w:t>com contraste.</w:t>
      </w:r>
    </w:p>
    <w:p>
      <w:pPr>
        <w:pStyle w:val="BodyText"/>
        <w:spacing w:before="26"/>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17536">
            <wp:simplePos x="0" y="0"/>
            <wp:positionH relativeFrom="page">
              <wp:posOffset>2049221</wp:posOffset>
            </wp:positionH>
            <wp:positionV relativeFrom="paragraph">
              <wp:posOffset>175694</wp:posOffset>
            </wp:positionV>
            <wp:extent cx="3432808" cy="3442906"/>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39" cstate="print"/>
                    <a:stretch>
                      <a:fillRect/>
                    </a:stretch>
                  </pic:blipFill>
                  <pic:spPr>
                    <a:xfrm>
                      <a:off x="0" y="0"/>
                      <a:ext cx="3432808" cy="3442906"/>
                    </a:xfrm>
                    <a:prstGeom prst="rect">
                      <a:avLst/>
                    </a:prstGeom>
                  </pic:spPr>
                </pic:pic>
              </a:graphicData>
            </a:graphic>
          </wp:anchor>
        </w:drawing>
      </w:r>
    </w:p>
    <w:p>
      <w:pPr>
        <w:pStyle w:val="BodyText"/>
        <w:spacing w:after="0"/>
        <w:jc w:val="left"/>
        <w:rPr>
          <w:rFonts w:ascii="Microsoft Sans Serif"/>
          <w:sz w:val="20"/>
        </w:rPr>
        <w:sectPr>
          <w:pgSz w:w="11900" w:h="16840"/>
          <w:pgMar w:top="280" w:bottom="0" w:left="566" w:right="141"/>
        </w:sectPr>
      </w:pPr>
    </w:p>
    <w:p>
      <w:pPr>
        <w:spacing w:before="68"/>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9"/>
          <w:sz w:val="19"/>
        </w:rPr>
        <w:t> </w:t>
      </w:r>
      <w:r>
        <w:rPr>
          <w:rFonts w:ascii="Arial" w:hAnsi="Arial"/>
          <w:b/>
          <w:color w:val="242B67"/>
          <w:sz w:val="19"/>
        </w:rPr>
        <w:t>59.5</w:t>
      </w:r>
      <w:r>
        <w:rPr>
          <w:rFonts w:ascii="Arial" w:hAnsi="Arial"/>
          <w:b/>
          <w:color w:val="242B67"/>
          <w:spacing w:val="20"/>
          <w:sz w:val="19"/>
        </w:rPr>
        <w:t> </w:t>
      </w:r>
      <w:r>
        <w:rPr>
          <w:rFonts w:ascii="Microsoft Sans Serif" w:hAnsi="Microsoft Sans Serif"/>
          <w:sz w:val="19"/>
        </w:rPr>
        <w:t>Angiotomografia</w:t>
      </w:r>
      <w:r>
        <w:rPr>
          <w:rFonts w:ascii="Microsoft Sans Serif" w:hAnsi="Microsoft Sans Serif"/>
          <w:spacing w:val="22"/>
          <w:sz w:val="19"/>
        </w:rPr>
        <w:t> </w:t>
      </w:r>
      <w:r>
        <w:rPr>
          <w:rFonts w:ascii="Microsoft Sans Serif" w:hAnsi="Microsoft Sans Serif"/>
          <w:sz w:val="19"/>
        </w:rPr>
        <w:t>com</w:t>
      </w:r>
      <w:r>
        <w:rPr>
          <w:rFonts w:ascii="Microsoft Sans Serif" w:hAnsi="Microsoft Sans Serif"/>
          <w:spacing w:val="14"/>
          <w:sz w:val="19"/>
        </w:rPr>
        <w:t> </w:t>
      </w:r>
      <w:r>
        <w:rPr>
          <w:rFonts w:ascii="Microsoft Sans Serif" w:hAnsi="Microsoft Sans Serif"/>
          <w:sz w:val="19"/>
        </w:rPr>
        <w:t>reconstrução</w:t>
      </w:r>
      <w:r>
        <w:rPr>
          <w:rFonts w:ascii="Microsoft Sans Serif" w:hAnsi="Microsoft Sans Serif"/>
          <w:spacing w:val="22"/>
          <w:sz w:val="19"/>
        </w:rPr>
        <w:t> </w:t>
      </w:r>
      <w:r>
        <w:rPr>
          <w:rFonts w:ascii="Microsoft Sans Serif" w:hAnsi="Microsoft Sans Serif"/>
          <w:sz w:val="19"/>
        </w:rPr>
        <w:t>tridimensional</w:t>
      </w:r>
      <w:r>
        <w:rPr>
          <w:rFonts w:ascii="Microsoft Sans Serif" w:hAnsi="Microsoft Sans Serif"/>
          <w:spacing w:val="21"/>
          <w:sz w:val="19"/>
        </w:rPr>
        <w:t> </w:t>
      </w:r>
      <w:r>
        <w:rPr>
          <w:rFonts w:ascii="Microsoft Sans Serif" w:hAnsi="Microsoft Sans Serif"/>
          <w:sz w:val="19"/>
        </w:rPr>
        <w:t>mostrando</w:t>
      </w:r>
      <w:r>
        <w:rPr>
          <w:rFonts w:ascii="Microsoft Sans Serif" w:hAnsi="Microsoft Sans Serif"/>
          <w:spacing w:val="22"/>
          <w:sz w:val="19"/>
        </w:rPr>
        <w:t> </w:t>
      </w:r>
      <w:r>
        <w:rPr>
          <w:rFonts w:ascii="Microsoft Sans Serif" w:hAnsi="Microsoft Sans Serif"/>
          <w:sz w:val="19"/>
        </w:rPr>
        <w:t>aneurisma</w:t>
      </w:r>
      <w:r>
        <w:rPr>
          <w:rFonts w:ascii="Microsoft Sans Serif" w:hAnsi="Microsoft Sans Serif"/>
          <w:spacing w:val="22"/>
          <w:sz w:val="19"/>
        </w:rPr>
        <w:t> </w:t>
      </w:r>
      <w:r>
        <w:rPr>
          <w:rFonts w:ascii="Microsoft Sans Serif" w:hAnsi="Microsoft Sans Serif"/>
          <w:sz w:val="19"/>
        </w:rPr>
        <w:t>da</w:t>
      </w:r>
      <w:r>
        <w:rPr>
          <w:rFonts w:ascii="Microsoft Sans Serif" w:hAnsi="Microsoft Sans Serif"/>
          <w:spacing w:val="21"/>
          <w:sz w:val="19"/>
        </w:rPr>
        <w:t> </w:t>
      </w:r>
      <w:r>
        <w:rPr>
          <w:rFonts w:ascii="Microsoft Sans Serif" w:hAnsi="Microsoft Sans Serif"/>
          <w:sz w:val="19"/>
        </w:rPr>
        <w:t>aorta</w:t>
      </w:r>
      <w:r>
        <w:rPr>
          <w:rFonts w:ascii="Microsoft Sans Serif" w:hAnsi="Microsoft Sans Serif"/>
          <w:spacing w:val="22"/>
          <w:sz w:val="19"/>
        </w:rPr>
        <w:t> </w:t>
      </w:r>
      <w:r>
        <w:rPr>
          <w:rFonts w:ascii="Microsoft Sans Serif" w:hAnsi="Microsoft Sans Serif"/>
          <w:spacing w:val="-2"/>
          <w:sz w:val="19"/>
        </w:rPr>
        <w:t>infrarrenal.</w:t>
      </w:r>
    </w:p>
    <w:p>
      <w:pPr>
        <w:pStyle w:val="BodyText"/>
        <w:spacing w:before="67"/>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18048">
            <wp:simplePos x="0" y="0"/>
            <wp:positionH relativeFrom="page">
              <wp:posOffset>2150922</wp:posOffset>
            </wp:positionH>
            <wp:positionV relativeFrom="paragraph">
              <wp:posOffset>201992</wp:posOffset>
            </wp:positionV>
            <wp:extent cx="3261358" cy="3404044"/>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40" cstate="print"/>
                    <a:stretch>
                      <a:fillRect/>
                    </a:stretch>
                  </pic:blipFill>
                  <pic:spPr>
                    <a:xfrm>
                      <a:off x="0" y="0"/>
                      <a:ext cx="3261358" cy="3404044"/>
                    </a:xfrm>
                    <a:prstGeom prst="rect">
                      <a:avLst/>
                    </a:prstGeom>
                  </pic:spPr>
                </pic:pic>
              </a:graphicData>
            </a:graphic>
          </wp:anchor>
        </w:drawing>
      </w:r>
    </w:p>
    <w:p>
      <w:pPr>
        <w:pStyle w:val="BodyText"/>
        <w:spacing w:before="54"/>
        <w:ind w:left="0" w:firstLine="0"/>
        <w:jc w:val="left"/>
        <w:rPr>
          <w:rFonts w:ascii="Microsoft Sans Serif"/>
          <w:sz w:val="19"/>
        </w:rPr>
      </w:pPr>
    </w:p>
    <w:p>
      <w:pPr>
        <w:spacing w:line="285" w:lineRule="auto"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37"/>
          <w:sz w:val="19"/>
        </w:rPr>
        <w:t> </w:t>
      </w:r>
      <w:r>
        <w:rPr>
          <w:rFonts w:ascii="Arial" w:hAnsi="Arial"/>
          <w:b/>
          <w:color w:val="242B67"/>
          <w:sz w:val="19"/>
        </w:rPr>
        <w:t>59.6</w:t>
      </w:r>
      <w:r>
        <w:rPr>
          <w:rFonts w:ascii="Arial" w:hAnsi="Arial"/>
          <w:b/>
          <w:color w:val="242B67"/>
          <w:spacing w:val="37"/>
          <w:sz w:val="19"/>
        </w:rPr>
        <w:t> </w:t>
      </w:r>
      <w:r>
        <w:rPr>
          <w:rFonts w:ascii="Microsoft Sans Serif" w:hAnsi="Microsoft Sans Serif"/>
          <w:sz w:val="19"/>
        </w:rPr>
        <w:t>Angiorressonância</w:t>
      </w:r>
      <w:r>
        <w:rPr>
          <w:rFonts w:ascii="Microsoft Sans Serif" w:hAnsi="Microsoft Sans Serif"/>
          <w:spacing w:val="39"/>
          <w:sz w:val="19"/>
        </w:rPr>
        <w:t> </w:t>
      </w:r>
      <w:r>
        <w:rPr>
          <w:rFonts w:ascii="Microsoft Sans Serif" w:hAnsi="Microsoft Sans Serif"/>
          <w:sz w:val="19"/>
        </w:rPr>
        <w:t>nuclear</w:t>
      </w:r>
      <w:r>
        <w:rPr>
          <w:rFonts w:ascii="Microsoft Sans Serif" w:hAnsi="Microsoft Sans Serif"/>
          <w:spacing w:val="32"/>
          <w:sz w:val="19"/>
        </w:rPr>
        <w:t> </w:t>
      </w:r>
      <w:r>
        <w:rPr>
          <w:rFonts w:ascii="Microsoft Sans Serif" w:hAnsi="Microsoft Sans Serif"/>
          <w:sz w:val="19"/>
        </w:rPr>
        <w:t>magnética</w:t>
      </w:r>
      <w:r>
        <w:rPr>
          <w:rFonts w:ascii="Microsoft Sans Serif" w:hAnsi="Microsoft Sans Serif"/>
          <w:spacing w:val="39"/>
          <w:sz w:val="19"/>
        </w:rPr>
        <w:t> </w:t>
      </w:r>
      <w:r>
        <w:rPr>
          <w:rFonts w:ascii="Microsoft Sans Serif" w:hAnsi="Microsoft Sans Serif"/>
          <w:sz w:val="19"/>
        </w:rPr>
        <w:t>mostrando</w:t>
      </w:r>
      <w:r>
        <w:rPr>
          <w:rFonts w:ascii="Microsoft Sans Serif" w:hAnsi="Microsoft Sans Serif"/>
          <w:spacing w:val="39"/>
          <w:sz w:val="19"/>
        </w:rPr>
        <w:t> </w:t>
      </w:r>
      <w:r>
        <w:rPr>
          <w:rFonts w:ascii="Microsoft Sans Serif" w:hAnsi="Microsoft Sans Serif"/>
          <w:sz w:val="19"/>
        </w:rPr>
        <w:t>aneurisma</w:t>
      </w:r>
      <w:r>
        <w:rPr>
          <w:rFonts w:ascii="Microsoft Sans Serif" w:hAnsi="Microsoft Sans Serif"/>
          <w:spacing w:val="39"/>
          <w:sz w:val="19"/>
        </w:rPr>
        <w:t> </w:t>
      </w:r>
      <w:r>
        <w:rPr>
          <w:rFonts w:ascii="Microsoft Sans Serif" w:hAnsi="Microsoft Sans Serif"/>
          <w:sz w:val="19"/>
        </w:rPr>
        <w:t>de</w:t>
      </w:r>
      <w:r>
        <w:rPr>
          <w:rFonts w:ascii="Microsoft Sans Serif" w:hAnsi="Microsoft Sans Serif"/>
          <w:spacing w:val="39"/>
          <w:sz w:val="19"/>
        </w:rPr>
        <w:t> </w:t>
      </w:r>
      <w:r>
        <w:rPr>
          <w:rFonts w:ascii="Microsoft Sans Serif" w:hAnsi="Microsoft Sans Serif"/>
          <w:sz w:val="19"/>
        </w:rPr>
        <w:t>aorta</w:t>
      </w:r>
      <w:r>
        <w:rPr>
          <w:rFonts w:ascii="Microsoft Sans Serif" w:hAnsi="Microsoft Sans Serif"/>
          <w:spacing w:val="39"/>
          <w:sz w:val="19"/>
        </w:rPr>
        <w:t> </w:t>
      </w:r>
      <w:r>
        <w:rPr>
          <w:rFonts w:ascii="Microsoft Sans Serif" w:hAnsi="Microsoft Sans Serif"/>
          <w:sz w:val="19"/>
        </w:rPr>
        <w:t>infrarrenal</w:t>
      </w:r>
      <w:r>
        <w:rPr>
          <w:rFonts w:ascii="Microsoft Sans Serif" w:hAnsi="Microsoft Sans Serif"/>
          <w:spacing w:val="39"/>
          <w:sz w:val="19"/>
        </w:rPr>
        <w:t> </w:t>
      </w:r>
      <w:r>
        <w:rPr>
          <w:rFonts w:ascii="Microsoft Sans Serif" w:hAnsi="Microsoft Sans Serif"/>
          <w:sz w:val="19"/>
        </w:rPr>
        <w:t>e</w:t>
      </w:r>
      <w:r>
        <w:rPr>
          <w:rFonts w:ascii="Microsoft Sans Serif" w:hAnsi="Microsoft Sans Serif"/>
          <w:spacing w:val="39"/>
          <w:sz w:val="19"/>
        </w:rPr>
        <w:t> </w:t>
      </w:r>
      <w:r>
        <w:rPr>
          <w:rFonts w:ascii="Microsoft Sans Serif" w:hAnsi="Microsoft Sans Serif"/>
          <w:sz w:val="19"/>
        </w:rPr>
        <w:t>ramos</w:t>
      </w:r>
      <w:r>
        <w:rPr>
          <w:rFonts w:ascii="Microsoft Sans Serif" w:hAnsi="Microsoft Sans Serif"/>
          <w:spacing w:val="32"/>
          <w:sz w:val="19"/>
        </w:rPr>
        <w:t> </w:t>
      </w:r>
      <w:r>
        <w:rPr>
          <w:rFonts w:ascii="Microsoft Sans Serif" w:hAnsi="Microsoft Sans Serif"/>
          <w:sz w:val="19"/>
        </w:rPr>
        <w:t>viscerais</w:t>
      </w:r>
      <w:r>
        <w:rPr>
          <w:rFonts w:ascii="Microsoft Sans Serif" w:hAnsi="Microsoft Sans Serif"/>
          <w:spacing w:val="32"/>
          <w:sz w:val="19"/>
        </w:rPr>
        <w:t> </w:t>
      </w:r>
      <w:r>
        <w:rPr>
          <w:rFonts w:ascii="Microsoft Sans Serif" w:hAnsi="Microsoft Sans Serif"/>
          <w:sz w:val="19"/>
        </w:rPr>
        <w:t>livres</w:t>
      </w:r>
      <w:r>
        <w:rPr>
          <w:rFonts w:ascii="Microsoft Sans Serif" w:hAnsi="Microsoft Sans Serif"/>
          <w:spacing w:val="32"/>
          <w:sz w:val="19"/>
        </w:rPr>
        <w:t> </w:t>
      </w:r>
      <w:r>
        <w:rPr>
          <w:rFonts w:ascii="Microsoft Sans Serif" w:hAnsi="Microsoft Sans Serif"/>
          <w:sz w:val="19"/>
        </w:rPr>
        <w:t>de acometimento. AGE = artéria</w:t>
      </w:r>
      <w:r>
        <w:rPr>
          <w:rFonts w:ascii="Microsoft Sans Serif" w:hAnsi="Microsoft Sans Serif"/>
          <w:spacing w:val="31"/>
          <w:sz w:val="19"/>
        </w:rPr>
        <w:t> </w:t>
      </w:r>
      <w:r>
        <w:rPr>
          <w:rFonts w:ascii="Microsoft Sans Serif" w:hAnsi="Microsoft Sans Serif"/>
          <w:sz w:val="19"/>
        </w:rPr>
        <w:t>gástrica</w:t>
      </w:r>
      <w:r>
        <w:rPr>
          <w:rFonts w:ascii="Microsoft Sans Serif" w:hAnsi="Microsoft Sans Serif"/>
          <w:spacing w:val="31"/>
          <w:sz w:val="19"/>
        </w:rPr>
        <w:t> </w:t>
      </w:r>
      <w:r>
        <w:rPr>
          <w:rFonts w:ascii="Microsoft Sans Serif" w:hAnsi="Microsoft Sans Serif"/>
          <w:sz w:val="19"/>
        </w:rPr>
        <w:t>esquerda; AMS = artéria</w:t>
      </w:r>
      <w:r>
        <w:rPr>
          <w:rFonts w:ascii="Microsoft Sans Serif" w:hAnsi="Microsoft Sans Serif"/>
          <w:spacing w:val="31"/>
          <w:sz w:val="19"/>
        </w:rPr>
        <w:t> </w:t>
      </w:r>
      <w:r>
        <w:rPr>
          <w:rFonts w:ascii="Microsoft Sans Serif" w:hAnsi="Microsoft Sans Serif"/>
          <w:sz w:val="19"/>
        </w:rPr>
        <w:t>mesentérica</w:t>
      </w:r>
      <w:r>
        <w:rPr>
          <w:rFonts w:ascii="Microsoft Sans Serif" w:hAnsi="Microsoft Sans Serif"/>
          <w:spacing w:val="31"/>
          <w:sz w:val="19"/>
        </w:rPr>
        <w:t> </w:t>
      </w:r>
      <w:r>
        <w:rPr>
          <w:rFonts w:ascii="Microsoft Sans Serif" w:hAnsi="Microsoft Sans Serif"/>
          <w:sz w:val="19"/>
        </w:rPr>
        <w:t>superior; TC</w:t>
      </w:r>
      <w:r>
        <w:rPr>
          <w:rFonts w:ascii="Microsoft Sans Serif" w:hAnsi="Microsoft Sans Serif"/>
          <w:spacing w:val="31"/>
          <w:sz w:val="19"/>
        </w:rPr>
        <w:t> </w:t>
      </w:r>
      <w:r>
        <w:rPr>
          <w:rFonts w:ascii="Microsoft Sans Serif" w:hAnsi="Microsoft Sans Serif"/>
          <w:sz w:val="19"/>
        </w:rPr>
        <w:t>= tronco</w:t>
      </w:r>
      <w:r>
        <w:rPr>
          <w:rFonts w:ascii="Microsoft Sans Serif" w:hAnsi="Microsoft Sans Serif"/>
          <w:spacing w:val="31"/>
          <w:sz w:val="19"/>
        </w:rPr>
        <w:t> </w:t>
      </w:r>
      <w:r>
        <w:rPr>
          <w:rFonts w:ascii="Microsoft Sans Serif" w:hAnsi="Microsoft Sans Serif"/>
          <w:sz w:val="19"/>
        </w:rPr>
        <w:t>celíaco.</w:t>
      </w:r>
    </w:p>
    <w:p>
      <w:pPr>
        <w:pStyle w:val="BodyText"/>
        <w:ind w:left="0" w:firstLine="0"/>
        <w:jc w:val="left"/>
        <w:rPr>
          <w:rFonts w:ascii="Microsoft Sans Serif"/>
          <w:sz w:val="19"/>
        </w:rPr>
      </w:pPr>
    </w:p>
    <w:p>
      <w:pPr>
        <w:pStyle w:val="BodyText"/>
        <w:spacing w:line="276" w:lineRule="auto" w:before="0"/>
        <w:ind w:right="488"/>
      </w:pPr>
      <w:r>
        <w:rPr/>
        <w:t>A aortografia, que no passado foi o principal exame de avaliação pré-operatória dos pacientes portadores de aneurisma</w:t>
      </w:r>
      <w:r>
        <w:rPr>
          <w:spacing w:val="-11"/>
        </w:rPr>
        <w:t> </w:t>
      </w:r>
      <w:r>
        <w:rPr/>
        <w:t>de</w:t>
      </w:r>
      <w:r>
        <w:rPr>
          <w:spacing w:val="-11"/>
        </w:rPr>
        <w:t> </w:t>
      </w:r>
      <w:r>
        <w:rPr/>
        <w:t>aorta,</w:t>
      </w:r>
      <w:r>
        <w:rPr>
          <w:spacing w:val="-1"/>
        </w:rPr>
        <w:t> </w:t>
      </w:r>
      <w:r>
        <w:rPr/>
        <w:t>hoje</w:t>
      </w:r>
      <w:r>
        <w:rPr>
          <w:spacing w:val="-11"/>
        </w:rPr>
        <w:t> </w:t>
      </w:r>
      <w:r>
        <w:rPr/>
        <w:t>ocupa</w:t>
      </w:r>
      <w:r>
        <w:rPr>
          <w:spacing w:val="-11"/>
        </w:rPr>
        <w:t> </w:t>
      </w:r>
      <w:r>
        <w:rPr/>
        <w:t>uma</w:t>
      </w:r>
      <w:r>
        <w:rPr>
          <w:spacing w:val="-11"/>
        </w:rPr>
        <w:t> </w:t>
      </w:r>
      <w:r>
        <w:rPr/>
        <w:t>posição</w:t>
      </w:r>
      <w:r>
        <w:rPr>
          <w:spacing w:val="-9"/>
        </w:rPr>
        <w:t> </w:t>
      </w:r>
      <w:r>
        <w:rPr/>
        <w:t>secundária</w:t>
      </w:r>
      <w:r>
        <w:rPr>
          <w:spacing w:val="-11"/>
        </w:rPr>
        <w:t> </w:t>
      </w:r>
      <w:r>
        <w:rPr/>
        <w:t>no</w:t>
      </w:r>
      <w:r>
        <w:rPr>
          <w:spacing w:val="-9"/>
        </w:rPr>
        <w:t> </w:t>
      </w:r>
      <w:r>
        <w:rPr/>
        <w:t>armamentário</w:t>
      </w:r>
      <w:r>
        <w:rPr>
          <w:spacing w:val="-9"/>
        </w:rPr>
        <w:t> </w:t>
      </w:r>
      <w:r>
        <w:rPr/>
        <w:t>diagnóstico.</w:t>
      </w:r>
      <w:r>
        <w:rPr>
          <w:spacing w:val="-1"/>
        </w:rPr>
        <w:t> </w:t>
      </w:r>
      <w:r>
        <w:rPr/>
        <w:t>Por</w:t>
      </w:r>
      <w:r>
        <w:rPr>
          <w:spacing w:val="-4"/>
        </w:rPr>
        <w:t> </w:t>
      </w:r>
      <w:r>
        <w:rPr/>
        <w:t>exigir</w:t>
      </w:r>
      <w:r>
        <w:rPr>
          <w:spacing w:val="-4"/>
        </w:rPr>
        <w:t> </w:t>
      </w:r>
      <w:r>
        <w:rPr/>
        <w:t>cateterismo</w:t>
      </w:r>
      <w:r>
        <w:rPr>
          <w:spacing w:val="-9"/>
        </w:rPr>
        <w:t> </w:t>
      </w:r>
      <w:r>
        <w:rPr/>
        <w:t>arterial e utilização de contraste alergênico e nefrotóxico, torna-se exame invasivo, passível de maiores complicações que os demais. Além do mais, não fornece informações fidedignas do tamanho do aneurisma, visto que só o lúmen arterial, geralmente</w:t>
      </w:r>
      <w:r>
        <w:rPr>
          <w:spacing w:val="-6"/>
        </w:rPr>
        <w:t> </w:t>
      </w:r>
      <w:r>
        <w:rPr/>
        <w:t>ocupado</w:t>
      </w:r>
      <w:r>
        <w:rPr>
          <w:spacing w:val="-3"/>
        </w:rPr>
        <w:t> </w:t>
      </w:r>
      <w:r>
        <w:rPr/>
        <w:t>por trombos murais, é</w:t>
      </w:r>
      <w:r>
        <w:rPr>
          <w:spacing w:val="-6"/>
        </w:rPr>
        <w:t> </w:t>
      </w:r>
      <w:r>
        <w:rPr/>
        <w:t>bem</w:t>
      </w:r>
      <w:r>
        <w:rPr>
          <w:spacing w:val="-3"/>
        </w:rPr>
        <w:t> </w:t>
      </w:r>
      <w:r>
        <w:rPr/>
        <w:t>definido. Fica</w:t>
      </w:r>
      <w:r>
        <w:rPr>
          <w:spacing w:val="-6"/>
        </w:rPr>
        <w:t> </w:t>
      </w:r>
      <w:r>
        <w:rPr/>
        <w:t>reservada</w:t>
      </w:r>
      <w:r>
        <w:rPr>
          <w:spacing w:val="-6"/>
        </w:rPr>
        <w:t> </w:t>
      </w:r>
      <w:r>
        <w:rPr/>
        <w:t>a</w:t>
      </w:r>
      <w:r>
        <w:rPr>
          <w:spacing w:val="-6"/>
        </w:rPr>
        <w:t> </w:t>
      </w:r>
      <w:r>
        <w:rPr/>
        <w:t>solicitação</w:t>
      </w:r>
      <w:r>
        <w:rPr>
          <w:spacing w:val="-3"/>
        </w:rPr>
        <w:t> </w:t>
      </w:r>
      <w:r>
        <w:rPr/>
        <w:t>de</w:t>
      </w:r>
      <w:r>
        <w:rPr>
          <w:spacing w:val="-6"/>
        </w:rPr>
        <w:t> </w:t>
      </w:r>
      <w:r>
        <w:rPr/>
        <w:t>aortografia</w:t>
      </w:r>
      <w:r>
        <w:rPr>
          <w:spacing w:val="-6"/>
        </w:rPr>
        <w:t> </w:t>
      </w:r>
      <w:r>
        <w:rPr/>
        <w:t>digital apenas para os casos em que se deseja estudar mais detalhadamente os troncos viscerais, principalmente nos aneurismas toracoabdominais, ou nos casos de obstruções arteriais concomitantes com aneurisma, para melhor programar o tipo de revascularização a ser realizada.</w:t>
      </w:r>
    </w:p>
    <w:p>
      <w:pPr>
        <w:pStyle w:val="BodyText"/>
        <w:spacing w:before="186"/>
        <w:ind w:left="0" w:firstLine="0"/>
        <w:jc w:val="left"/>
      </w:pPr>
    </w:p>
    <w:p>
      <w:pPr>
        <w:pStyle w:val="Heading4"/>
        <w:spacing w:before="1"/>
      </w:pPr>
      <w:r>
        <w:rPr>
          <w:color w:val="242B67"/>
          <w:spacing w:val="-2"/>
        </w:rPr>
        <w:t>Tratamento</w:t>
      </w:r>
    </w:p>
    <w:p>
      <w:pPr>
        <w:pStyle w:val="BodyText"/>
        <w:spacing w:line="278" w:lineRule="auto" w:before="147"/>
        <w:ind w:right="497"/>
      </w:pPr>
      <w:r>
        <w:rPr/>
        <w:t>A abordagem terapêutica do aneurisma da aorta vem passando, nesta última década, por profundas mudanças nos conceitos inicialmente estabelecidos para o seu tratamento. O grande e contínuo desenvolvimento da cirurgia endovascular não só ampliou as opções de tratamento intervencionista, mas também provocou a rediscussão das indicações cirúrgicas.</w:t>
      </w:r>
      <w:r>
        <w:rPr>
          <w:vertAlign w:val="superscript"/>
        </w:rPr>
        <w:t>16</w:t>
      </w:r>
      <w:r>
        <w:rPr>
          <w:vertAlign w:val="baseline"/>
        </w:rPr>
        <w:t> Na atual fase dos conhecimentos, os cirurgiões vasculares estão diante da seguinte problemática</w:t>
      </w:r>
      <w:r>
        <w:rPr>
          <w:spacing w:val="-9"/>
          <w:vertAlign w:val="baseline"/>
        </w:rPr>
        <w:t> </w:t>
      </w:r>
      <w:r>
        <w:rPr>
          <w:vertAlign w:val="baseline"/>
        </w:rPr>
        <w:t>em</w:t>
      </w:r>
      <w:r>
        <w:rPr>
          <w:spacing w:val="-6"/>
          <w:vertAlign w:val="baseline"/>
        </w:rPr>
        <w:t> </w:t>
      </w:r>
      <w:r>
        <w:rPr>
          <w:vertAlign w:val="baseline"/>
        </w:rPr>
        <w:t>relação</w:t>
      </w:r>
      <w:r>
        <w:rPr>
          <w:spacing w:val="-6"/>
          <w:vertAlign w:val="baseline"/>
        </w:rPr>
        <w:t> </w:t>
      </w:r>
      <w:r>
        <w:rPr>
          <w:vertAlign w:val="baseline"/>
        </w:rPr>
        <w:t>aos pacientes com</w:t>
      </w:r>
      <w:r>
        <w:rPr>
          <w:spacing w:val="-6"/>
          <w:vertAlign w:val="baseline"/>
        </w:rPr>
        <w:t> </w:t>
      </w:r>
      <w:r>
        <w:rPr>
          <w:vertAlign w:val="baseline"/>
        </w:rPr>
        <w:t>indicação</w:t>
      </w:r>
      <w:r>
        <w:rPr>
          <w:spacing w:val="-6"/>
          <w:vertAlign w:val="baseline"/>
        </w:rPr>
        <w:t> </w:t>
      </w:r>
      <w:r>
        <w:rPr>
          <w:vertAlign w:val="baseline"/>
        </w:rPr>
        <w:t>de</w:t>
      </w:r>
      <w:r>
        <w:rPr>
          <w:spacing w:val="-9"/>
          <w:vertAlign w:val="baseline"/>
        </w:rPr>
        <w:t> </w:t>
      </w:r>
      <w:r>
        <w:rPr>
          <w:vertAlign w:val="baseline"/>
        </w:rPr>
        <w:t>tratamento</w:t>
      </w:r>
      <w:r>
        <w:rPr>
          <w:spacing w:val="-6"/>
          <w:vertAlign w:val="baseline"/>
        </w:rPr>
        <w:t> </w:t>
      </w:r>
      <w:r>
        <w:rPr>
          <w:vertAlign w:val="baseline"/>
        </w:rPr>
        <w:t>intervencionista</w:t>
      </w:r>
      <w:r>
        <w:rPr>
          <w:spacing w:val="-9"/>
          <w:vertAlign w:val="baseline"/>
        </w:rPr>
        <w:t> </w:t>
      </w:r>
      <w:r>
        <w:rPr>
          <w:vertAlign w:val="baseline"/>
        </w:rPr>
        <w:t>do</w:t>
      </w:r>
      <w:r>
        <w:rPr>
          <w:spacing w:val="-6"/>
          <w:vertAlign w:val="baseline"/>
        </w:rPr>
        <w:t> </w:t>
      </w:r>
      <w:r>
        <w:rPr>
          <w:vertAlign w:val="baseline"/>
        </w:rPr>
        <w:t>aneurisma</w:t>
      </w:r>
      <w:r>
        <w:rPr>
          <w:spacing w:val="-9"/>
          <w:vertAlign w:val="baseline"/>
        </w:rPr>
        <w:t> </w:t>
      </w:r>
      <w:r>
        <w:rPr>
          <w:vertAlign w:val="baseline"/>
        </w:rPr>
        <w:t>da</w:t>
      </w:r>
      <w:r>
        <w:rPr>
          <w:spacing w:val="-9"/>
          <w:vertAlign w:val="baseline"/>
        </w:rPr>
        <w:t> </w:t>
      </w:r>
      <w:r>
        <w:rPr>
          <w:vertAlign w:val="baseline"/>
        </w:rPr>
        <w:t>aorta:</w:t>
      </w:r>
      <w:r>
        <w:rPr>
          <w:spacing w:val="-4"/>
          <w:vertAlign w:val="baseline"/>
        </w:rPr>
        <w:t> </w:t>
      </w:r>
      <w:r>
        <w:rPr>
          <w:vertAlign w:val="baseline"/>
        </w:rPr>
        <w:t>realizar a</w:t>
      </w:r>
      <w:r>
        <w:rPr>
          <w:spacing w:val="-5"/>
          <w:vertAlign w:val="baseline"/>
        </w:rPr>
        <w:t> </w:t>
      </w:r>
      <w:r>
        <w:rPr>
          <w:vertAlign w:val="baseline"/>
        </w:rPr>
        <w:t>operação</w:t>
      </w:r>
      <w:r>
        <w:rPr>
          <w:spacing w:val="-3"/>
          <w:vertAlign w:val="baseline"/>
        </w:rPr>
        <w:t> </w:t>
      </w:r>
      <w:r>
        <w:rPr>
          <w:vertAlign w:val="baseline"/>
        </w:rPr>
        <w:t>cirúrgica</w:t>
      </w:r>
      <w:r>
        <w:rPr>
          <w:spacing w:val="-5"/>
          <w:vertAlign w:val="baseline"/>
        </w:rPr>
        <w:t> </w:t>
      </w:r>
      <w:r>
        <w:rPr>
          <w:vertAlign w:val="baseline"/>
        </w:rPr>
        <w:t>convencional aberta, cujos riscos operatórios e</w:t>
      </w:r>
      <w:r>
        <w:rPr>
          <w:spacing w:val="-5"/>
          <w:vertAlign w:val="baseline"/>
        </w:rPr>
        <w:t> </w:t>
      </w:r>
      <w:r>
        <w:rPr>
          <w:vertAlign w:val="baseline"/>
        </w:rPr>
        <w:t>resultados imediatos e</w:t>
      </w:r>
      <w:r>
        <w:rPr>
          <w:spacing w:val="-5"/>
          <w:vertAlign w:val="baseline"/>
        </w:rPr>
        <w:t> </w:t>
      </w:r>
      <w:r>
        <w:rPr>
          <w:vertAlign w:val="baseline"/>
        </w:rPr>
        <w:t>tardios são</w:t>
      </w:r>
      <w:r>
        <w:rPr>
          <w:spacing w:val="-3"/>
          <w:vertAlign w:val="baseline"/>
        </w:rPr>
        <w:t> </w:t>
      </w:r>
      <w:r>
        <w:rPr>
          <w:vertAlign w:val="baseline"/>
        </w:rPr>
        <w:t>sobejamente conhecidos ou optar pela correção endovascular, mais recente e portanto ainda sem uma ideia definitiva da sua evolução a longo prazo, porém com risco imediato muito diminuído. Outro aspecto importante que deve ser considerado também nessa decisão terapêutica é o fato de o tratamento por cirurgia aberta, quando bem-sucedido, ser praticamente definitivo, ao passo que o tratamento endovascular exige seguimento clínico e radiológico permanente, com possibilidade de reintervenção em determinadas situações.</w:t>
      </w:r>
    </w:p>
    <w:p>
      <w:pPr>
        <w:pStyle w:val="BodyText"/>
        <w:spacing w:line="276" w:lineRule="auto" w:before="37"/>
        <w:ind w:right="488"/>
      </w:pPr>
      <w:r>
        <w:rPr/>
        <w:t>A indicação de tratamento intervencionista eletivo do aneurisma aórtico está fundamentada na prevenção de complicações inerentes à sua evolução natural, das quais a mais importante, sem dúvida, é a possibilidade de ruptura. Dessa</w:t>
      </w:r>
      <w:r>
        <w:rPr>
          <w:spacing w:val="-4"/>
        </w:rPr>
        <w:t> </w:t>
      </w:r>
      <w:r>
        <w:rPr/>
        <w:t>forma, a</w:t>
      </w:r>
      <w:r>
        <w:rPr>
          <w:spacing w:val="-4"/>
        </w:rPr>
        <w:t> </w:t>
      </w:r>
      <w:r>
        <w:rPr/>
        <w:t>consideração</w:t>
      </w:r>
      <w:r>
        <w:rPr>
          <w:spacing w:val="-2"/>
        </w:rPr>
        <w:t> </w:t>
      </w:r>
      <w:r>
        <w:rPr/>
        <w:t>principal que</w:t>
      </w:r>
      <w:r>
        <w:rPr>
          <w:spacing w:val="-4"/>
        </w:rPr>
        <w:t> </w:t>
      </w:r>
      <w:r>
        <w:rPr/>
        <w:t>deve</w:t>
      </w:r>
      <w:r>
        <w:rPr>
          <w:spacing w:val="-4"/>
        </w:rPr>
        <w:t> </w:t>
      </w:r>
      <w:r>
        <w:rPr/>
        <w:t>ser feita</w:t>
      </w:r>
      <w:r>
        <w:rPr>
          <w:spacing w:val="-4"/>
        </w:rPr>
        <w:t> </w:t>
      </w:r>
      <w:r>
        <w:rPr/>
        <w:t>é</w:t>
      </w:r>
      <w:r>
        <w:rPr>
          <w:spacing w:val="-4"/>
        </w:rPr>
        <w:t> </w:t>
      </w:r>
      <w:r>
        <w:rPr/>
        <w:t>a</w:t>
      </w:r>
      <w:r>
        <w:rPr>
          <w:spacing w:val="-4"/>
        </w:rPr>
        <w:t> </w:t>
      </w:r>
      <w:r>
        <w:rPr/>
        <w:t>confrontação</w:t>
      </w:r>
      <w:r>
        <w:rPr>
          <w:spacing w:val="-2"/>
        </w:rPr>
        <w:t> </w:t>
      </w:r>
      <w:r>
        <w:rPr/>
        <w:t>do</w:t>
      </w:r>
      <w:r>
        <w:rPr>
          <w:spacing w:val="-2"/>
        </w:rPr>
        <w:t> </w:t>
      </w:r>
      <w:r>
        <w:rPr/>
        <w:t>risco</w:t>
      </w:r>
      <w:r>
        <w:rPr>
          <w:spacing w:val="-2"/>
        </w:rPr>
        <w:t> </w:t>
      </w:r>
      <w:r>
        <w:rPr/>
        <w:t>de</w:t>
      </w:r>
      <w:r>
        <w:rPr>
          <w:spacing w:val="-4"/>
        </w:rPr>
        <w:t> </w:t>
      </w:r>
      <w:r>
        <w:rPr/>
        <w:t>ruptura</w:t>
      </w:r>
      <w:r>
        <w:rPr>
          <w:spacing w:val="-4"/>
        </w:rPr>
        <w:t> </w:t>
      </w:r>
      <w:r>
        <w:rPr/>
        <w:t>do</w:t>
      </w:r>
      <w:r>
        <w:rPr>
          <w:spacing w:val="-2"/>
        </w:rPr>
        <w:t> </w:t>
      </w:r>
      <w:r>
        <w:rPr/>
        <w:t>aneurisma com o risco do procedimento operatório ou endovascular em si. A partir do desenvolvimento dos métodos de diagnóstico</w:t>
      </w:r>
      <w:r>
        <w:rPr>
          <w:spacing w:val="-4"/>
        </w:rPr>
        <w:t> </w:t>
      </w:r>
      <w:r>
        <w:rPr/>
        <w:t>por imagem</w:t>
      </w:r>
      <w:r>
        <w:rPr>
          <w:spacing w:val="-4"/>
        </w:rPr>
        <w:t> </w:t>
      </w:r>
      <w:r>
        <w:rPr/>
        <w:t>foi</w:t>
      </w:r>
      <w:r>
        <w:rPr>
          <w:spacing w:val="-2"/>
        </w:rPr>
        <w:t> </w:t>
      </w:r>
      <w:r>
        <w:rPr/>
        <w:t>possível</w:t>
      </w:r>
      <w:r>
        <w:rPr>
          <w:spacing w:val="-2"/>
        </w:rPr>
        <w:t> </w:t>
      </w:r>
      <w:r>
        <w:rPr/>
        <w:t>estabelecer correspondência</w:t>
      </w:r>
      <w:r>
        <w:rPr>
          <w:spacing w:val="-7"/>
        </w:rPr>
        <w:t> </w:t>
      </w:r>
      <w:r>
        <w:rPr/>
        <w:t>entre</w:t>
      </w:r>
      <w:r>
        <w:rPr>
          <w:spacing w:val="-7"/>
        </w:rPr>
        <w:t> </w:t>
      </w:r>
      <w:r>
        <w:rPr/>
        <w:t>tamanho</w:t>
      </w:r>
      <w:r>
        <w:rPr>
          <w:spacing w:val="-4"/>
        </w:rPr>
        <w:t> </w:t>
      </w:r>
      <w:r>
        <w:rPr/>
        <w:t>do</w:t>
      </w:r>
      <w:r>
        <w:rPr>
          <w:spacing w:val="-4"/>
        </w:rPr>
        <w:t> </w:t>
      </w:r>
      <w:r>
        <w:rPr/>
        <w:t>aneurisma</w:t>
      </w:r>
      <w:r>
        <w:rPr>
          <w:spacing w:val="-7"/>
        </w:rPr>
        <w:t> </w:t>
      </w:r>
      <w:r>
        <w:rPr/>
        <w:t>e</w:t>
      </w:r>
      <w:r>
        <w:rPr>
          <w:spacing w:val="-7"/>
        </w:rPr>
        <w:t> </w:t>
      </w:r>
      <w:r>
        <w:rPr/>
        <w:t>risco</w:t>
      </w:r>
      <w:r>
        <w:rPr>
          <w:spacing w:val="-4"/>
        </w:rPr>
        <w:t> </w:t>
      </w:r>
      <w:r>
        <w:rPr/>
        <w:t>de</w:t>
      </w:r>
      <w:r>
        <w:rPr>
          <w:spacing w:val="-7"/>
        </w:rPr>
        <w:t> </w:t>
      </w:r>
      <w:r>
        <w:rPr/>
        <w:t>ruptura, de maneira que a indicação de tratamento intervencionista ficou mais racional. Existe certo consenso hoje, reforçado por dois grandes estudos prospectivos randomizados – The United Kingdom Small Aneurysm Trial e o Aneurysm Detection</w:t>
      </w:r>
      <w:r>
        <w:rPr>
          <w:spacing w:val="22"/>
        </w:rPr>
        <w:t> </w:t>
      </w:r>
      <w:r>
        <w:rPr/>
        <w:t>and</w:t>
      </w:r>
      <w:r>
        <w:rPr>
          <w:spacing w:val="22"/>
        </w:rPr>
        <w:t> </w:t>
      </w:r>
      <w:r>
        <w:rPr/>
        <w:t>Management</w:t>
      </w:r>
      <w:r>
        <w:rPr>
          <w:spacing w:val="25"/>
        </w:rPr>
        <w:t> </w:t>
      </w:r>
      <w:r>
        <w:rPr/>
        <w:t>Study</w:t>
      </w:r>
      <w:r>
        <w:rPr>
          <w:spacing w:val="22"/>
        </w:rPr>
        <w:t> </w:t>
      </w:r>
      <w:r>
        <w:rPr/>
        <w:t>(ADAM)</w:t>
      </w:r>
      <w:r>
        <w:rPr>
          <w:spacing w:val="28"/>
        </w:rPr>
        <w:t> </w:t>
      </w:r>
      <w:r>
        <w:rPr/>
        <w:t>–</w:t>
      </w:r>
      <w:r>
        <w:rPr>
          <w:spacing w:val="22"/>
        </w:rPr>
        <w:t> </w:t>
      </w:r>
      <w:r>
        <w:rPr/>
        <w:t>de</w:t>
      </w:r>
      <w:r>
        <w:rPr>
          <w:spacing w:val="20"/>
        </w:rPr>
        <w:t> </w:t>
      </w:r>
      <w:r>
        <w:rPr/>
        <w:t>que</w:t>
      </w:r>
      <w:r>
        <w:rPr>
          <w:spacing w:val="20"/>
        </w:rPr>
        <w:t> </w:t>
      </w:r>
      <w:r>
        <w:rPr/>
        <w:t>o</w:t>
      </w:r>
      <w:r>
        <w:rPr>
          <w:spacing w:val="22"/>
        </w:rPr>
        <w:t> </w:t>
      </w:r>
      <w:r>
        <w:rPr/>
        <w:t>acompanhamento</w:t>
      </w:r>
      <w:r>
        <w:rPr>
          <w:spacing w:val="22"/>
        </w:rPr>
        <w:t> </w:t>
      </w:r>
      <w:r>
        <w:rPr/>
        <w:t>clínico</w:t>
      </w:r>
      <w:r>
        <w:rPr>
          <w:spacing w:val="22"/>
        </w:rPr>
        <w:t> </w:t>
      </w:r>
      <w:r>
        <w:rPr/>
        <w:t>dos</w:t>
      </w:r>
      <w:r>
        <w:rPr>
          <w:spacing w:val="30"/>
        </w:rPr>
        <w:t> </w:t>
      </w:r>
      <w:r>
        <w:rPr/>
        <w:t>pacientes</w:t>
      </w:r>
      <w:r>
        <w:rPr>
          <w:spacing w:val="30"/>
        </w:rPr>
        <w:t> </w:t>
      </w:r>
      <w:r>
        <w:rPr/>
        <w:t>com</w:t>
      </w:r>
      <w:r>
        <w:rPr>
          <w:spacing w:val="22"/>
        </w:rPr>
        <w:t> </w:t>
      </w:r>
      <w:r>
        <w:rPr/>
        <w:t>aneurismas</w:t>
      </w:r>
    </w:p>
    <w:p>
      <w:pPr>
        <w:pStyle w:val="BodyText"/>
        <w:spacing w:after="0" w:line="276" w:lineRule="auto"/>
        <w:sectPr>
          <w:pgSz w:w="11900" w:h="16840"/>
          <w:pgMar w:top="220" w:bottom="0" w:left="566" w:right="141"/>
        </w:sectPr>
      </w:pPr>
    </w:p>
    <w:p>
      <w:pPr>
        <w:pStyle w:val="BodyText"/>
        <w:spacing w:line="280" w:lineRule="auto" w:before="60"/>
        <w:ind w:right="498" w:firstLine="0"/>
      </w:pPr>
      <w:r>
        <w:rPr/>
        <w:t>medindo de 4 a 5,5 cm de diâmetro é seguro, não resultando a operação precoce em vantagem em termos de sobrevida.</w:t>
      </w:r>
      <w:r>
        <w:rPr>
          <w:vertAlign w:val="superscript"/>
        </w:rPr>
        <w:t>17</w:t>
      </w:r>
      <w:r>
        <w:rPr>
          <w:vertAlign w:val="baseline"/>
        </w:rPr>
        <w:t> Acima dessa medida, a correção cirúrgica ou endovascular deve ser, em princípio, realizada. É importante considerar-se a ressalva de que se houver expansão do diâmetro maior do aneurisma superior a 0,6 cm em 1 ano, o risco de ruptura torna-se maior, mesmo nos aneurismas de menor calibre. Para aneurismas com diâmetro superior a 6 cm, quanto maior a medida, proporcionalmente maior será o risco de ruptura.</w:t>
      </w:r>
    </w:p>
    <w:p>
      <w:pPr>
        <w:pStyle w:val="BodyText"/>
        <w:spacing w:line="276" w:lineRule="auto" w:before="57"/>
        <w:ind w:right="497"/>
      </w:pPr>
      <w:r>
        <w:rPr/>
        <w:t>A</w:t>
      </w:r>
      <w:r>
        <w:rPr>
          <w:spacing w:val="-10"/>
        </w:rPr>
        <w:t> </w:t>
      </w:r>
      <w:r>
        <w:rPr/>
        <w:t>definição</w:t>
      </w:r>
      <w:r>
        <w:rPr>
          <w:spacing w:val="-7"/>
        </w:rPr>
        <w:t> </w:t>
      </w:r>
      <w:r>
        <w:rPr/>
        <w:t>do</w:t>
      </w:r>
      <w:r>
        <w:rPr>
          <w:spacing w:val="-7"/>
        </w:rPr>
        <w:t> </w:t>
      </w:r>
      <w:r>
        <w:rPr/>
        <w:t>momento</w:t>
      </w:r>
      <w:r>
        <w:rPr>
          <w:spacing w:val="-7"/>
        </w:rPr>
        <w:t> </w:t>
      </w:r>
      <w:r>
        <w:rPr/>
        <w:t>exato</w:t>
      </w:r>
      <w:r>
        <w:rPr>
          <w:spacing w:val="-7"/>
        </w:rPr>
        <w:t> </w:t>
      </w:r>
      <w:r>
        <w:rPr/>
        <w:t>de</w:t>
      </w:r>
      <w:r>
        <w:rPr>
          <w:spacing w:val="-10"/>
        </w:rPr>
        <w:t> </w:t>
      </w:r>
      <w:r>
        <w:rPr/>
        <w:t>indicar</w:t>
      </w:r>
      <w:r>
        <w:rPr>
          <w:spacing w:val="-2"/>
        </w:rPr>
        <w:t> </w:t>
      </w:r>
      <w:r>
        <w:rPr/>
        <w:t>o</w:t>
      </w:r>
      <w:r>
        <w:rPr>
          <w:spacing w:val="-7"/>
        </w:rPr>
        <w:t> </w:t>
      </w:r>
      <w:r>
        <w:rPr/>
        <w:t>tratamento</w:t>
      </w:r>
      <w:r>
        <w:rPr>
          <w:spacing w:val="-7"/>
        </w:rPr>
        <w:t> </w:t>
      </w:r>
      <w:r>
        <w:rPr/>
        <w:t>intervencionista, entretanto, leva</w:t>
      </w:r>
      <w:r>
        <w:rPr>
          <w:spacing w:val="-10"/>
        </w:rPr>
        <w:t> </w:t>
      </w:r>
      <w:r>
        <w:rPr/>
        <w:t>em</w:t>
      </w:r>
      <w:r>
        <w:rPr>
          <w:spacing w:val="-7"/>
        </w:rPr>
        <w:t> </w:t>
      </w:r>
      <w:r>
        <w:rPr/>
        <w:t>consideração</w:t>
      </w:r>
      <w:r>
        <w:rPr>
          <w:spacing w:val="-7"/>
        </w:rPr>
        <w:t> </w:t>
      </w:r>
      <w:r>
        <w:rPr/>
        <w:t>outros importantes fatores ligados à condição clínica dos pacientes. A idade avançada, doenças de base descompensadas, cardíacas, pulmonares ou renais, ou outras situações clínicas que aumentem o risco de procedimentos invasivos podem</w:t>
      </w:r>
      <w:r>
        <w:rPr>
          <w:spacing w:val="-6"/>
        </w:rPr>
        <w:t> </w:t>
      </w:r>
      <w:r>
        <w:rPr/>
        <w:t>influenciar</w:t>
      </w:r>
      <w:r>
        <w:rPr>
          <w:spacing w:val="-1"/>
        </w:rPr>
        <w:t> </w:t>
      </w:r>
      <w:r>
        <w:rPr/>
        <w:t>na</w:t>
      </w:r>
      <w:r>
        <w:rPr>
          <w:spacing w:val="-8"/>
        </w:rPr>
        <w:t> </w:t>
      </w:r>
      <w:r>
        <w:rPr/>
        <w:t>decisão</w:t>
      </w:r>
      <w:r>
        <w:rPr>
          <w:spacing w:val="-6"/>
        </w:rPr>
        <w:t> </w:t>
      </w:r>
      <w:r>
        <w:rPr/>
        <w:t>e</w:t>
      </w:r>
      <w:r>
        <w:rPr>
          <w:spacing w:val="-8"/>
        </w:rPr>
        <w:t> </w:t>
      </w:r>
      <w:r>
        <w:rPr/>
        <w:t>retardar</w:t>
      </w:r>
      <w:r>
        <w:rPr>
          <w:spacing w:val="-1"/>
        </w:rPr>
        <w:t> </w:t>
      </w:r>
      <w:r>
        <w:rPr/>
        <w:t>ou</w:t>
      </w:r>
      <w:r>
        <w:rPr>
          <w:spacing w:val="-6"/>
        </w:rPr>
        <w:t> </w:t>
      </w:r>
      <w:r>
        <w:rPr/>
        <w:t>contraindicar</w:t>
      </w:r>
      <w:r>
        <w:rPr>
          <w:spacing w:val="-1"/>
        </w:rPr>
        <w:t> </w:t>
      </w:r>
      <w:r>
        <w:rPr/>
        <w:t>a</w:t>
      </w:r>
      <w:r>
        <w:rPr>
          <w:spacing w:val="-8"/>
        </w:rPr>
        <w:t> </w:t>
      </w:r>
      <w:r>
        <w:rPr/>
        <w:t>operação, independentemente</w:t>
      </w:r>
      <w:r>
        <w:rPr>
          <w:spacing w:val="-8"/>
        </w:rPr>
        <w:t> </w:t>
      </w:r>
      <w:r>
        <w:rPr/>
        <w:t>do</w:t>
      </w:r>
      <w:r>
        <w:rPr>
          <w:spacing w:val="-6"/>
        </w:rPr>
        <w:t> </w:t>
      </w:r>
      <w:r>
        <w:rPr/>
        <w:t>diâmetro</w:t>
      </w:r>
      <w:r>
        <w:rPr>
          <w:spacing w:val="-6"/>
        </w:rPr>
        <w:t> </w:t>
      </w:r>
      <w:r>
        <w:rPr/>
        <w:t>do</w:t>
      </w:r>
      <w:r>
        <w:rPr>
          <w:spacing w:val="-6"/>
        </w:rPr>
        <w:t> </w:t>
      </w:r>
      <w:r>
        <w:rPr/>
        <w:t>aneurisma. Por outro lado, a boa condição clínica pode ser justificativa para antecipar o tratamento intervencionista de aneurismas menores. A avaliação cardiológica tem importância central na decisão sobre o momento e o tipo de intervenção sobre o aneurisma, pois os eventos coronarianos são responsáveis por 60% das complicações pós-operatórias fatais. Nesse sentido, a estratificação do risco cardiológico pré-operatório faz parte do protocolo de indicação cirúrgica.</w:t>
      </w:r>
    </w:p>
    <w:p>
      <w:pPr>
        <w:pStyle w:val="BodyText"/>
        <w:spacing w:before="134"/>
        <w:ind w:left="0" w:firstLine="0"/>
        <w:jc w:val="left"/>
      </w:pPr>
    </w:p>
    <w:p>
      <w:pPr>
        <w:pStyle w:val="Heading5"/>
        <w:spacing w:before="1"/>
        <w:jc w:val="both"/>
      </w:pPr>
      <w:r>
        <w:rPr>
          <w:color w:val="A26108"/>
        </w:rPr>
        <w:t>Tratamento</w:t>
      </w:r>
      <w:r>
        <w:rPr>
          <w:color w:val="A26108"/>
          <w:spacing w:val="22"/>
        </w:rPr>
        <w:t> </w:t>
      </w:r>
      <w:r>
        <w:rPr>
          <w:color w:val="A26108"/>
        </w:rPr>
        <w:t>cirúrgico</w:t>
      </w:r>
      <w:r>
        <w:rPr>
          <w:color w:val="A26108"/>
          <w:spacing w:val="23"/>
        </w:rPr>
        <w:t> </w:t>
      </w:r>
      <w:r>
        <w:rPr>
          <w:color w:val="A26108"/>
        </w:rPr>
        <w:t>e</w:t>
      </w:r>
      <w:r>
        <w:rPr>
          <w:color w:val="A26108"/>
          <w:spacing w:val="22"/>
        </w:rPr>
        <w:t> </w:t>
      </w:r>
      <w:r>
        <w:rPr>
          <w:color w:val="A26108"/>
          <w:spacing w:val="-2"/>
        </w:rPr>
        <w:t>endovascular</w:t>
      </w:r>
    </w:p>
    <w:p>
      <w:pPr>
        <w:pStyle w:val="BodyText"/>
        <w:spacing w:line="278" w:lineRule="auto" w:before="122"/>
        <w:ind w:right="491"/>
      </w:pPr>
      <w:r>
        <w:rPr/>
        <w:t>A cirurgia aberta é o método clássico de correção do aneurisma da aorta abdominal. Pode ser realizada em praticamente todos os casos em que haja indicação de intervenção, com taxa de mortalidade operatória média estimada em 5% (2 a 12%, dependendo de vários fatores como volume de operações do serviço e experiência do cirurgião).</w:t>
      </w:r>
      <w:r>
        <w:rPr>
          <w:vertAlign w:val="superscript"/>
        </w:rPr>
        <w:t>18</w:t>
      </w:r>
      <w:r>
        <w:rPr>
          <w:vertAlign w:val="baseline"/>
        </w:rPr>
        <w:t> Nos aneurismas toracoabdominais a correção é bem mais complexa, pois envolve o pinçamento e reconstrução dos ramos viscerais e medulares da aorta, acrescentando riscos ao procedimento. Apesar disto, a mortalidade não difere significativamente dos aneurismas abdominais, podendo variar de 5 a 15%. Em termos de morbidade, entretanto, a diferença é importante em função da possibilidade de isquemia medular que pode resultar em paraplegia</w:t>
      </w:r>
      <w:r>
        <w:rPr>
          <w:spacing w:val="-2"/>
          <w:vertAlign w:val="baseline"/>
        </w:rPr>
        <w:t> </w:t>
      </w:r>
      <w:r>
        <w:rPr>
          <w:vertAlign w:val="baseline"/>
        </w:rPr>
        <w:t>em torno de</w:t>
      </w:r>
      <w:r>
        <w:rPr>
          <w:spacing w:val="-2"/>
          <w:vertAlign w:val="baseline"/>
        </w:rPr>
        <w:t> </w:t>
      </w:r>
      <w:r>
        <w:rPr>
          <w:vertAlign w:val="baseline"/>
        </w:rPr>
        <w:t>10% dos casos operados e</w:t>
      </w:r>
      <w:r>
        <w:rPr>
          <w:spacing w:val="-2"/>
          <w:vertAlign w:val="baseline"/>
        </w:rPr>
        <w:t> </w:t>
      </w:r>
      <w:r>
        <w:rPr>
          <w:vertAlign w:val="baseline"/>
        </w:rPr>
        <w:t>das complicações isquêmicas renais.</w:t>
      </w:r>
    </w:p>
    <w:p>
      <w:pPr>
        <w:pStyle w:val="BodyText"/>
        <w:spacing w:line="276" w:lineRule="auto" w:before="60"/>
        <w:ind w:right="491"/>
      </w:pPr>
      <w:r>
        <w:rPr/>
        <w:t>O</w:t>
      </w:r>
      <w:r>
        <w:rPr>
          <w:spacing w:val="-13"/>
        </w:rPr>
        <w:t> </w:t>
      </w:r>
      <w:r>
        <w:rPr/>
        <w:t>tratamento</w:t>
      </w:r>
      <w:r>
        <w:rPr>
          <w:spacing w:val="-10"/>
        </w:rPr>
        <w:t> </w:t>
      </w:r>
      <w:r>
        <w:rPr/>
        <w:t>endoluminal</w:t>
      </w:r>
      <w:r>
        <w:rPr>
          <w:spacing w:val="-8"/>
        </w:rPr>
        <w:t> </w:t>
      </w:r>
      <w:r>
        <w:rPr/>
        <w:t>constitui</w:t>
      </w:r>
      <w:r>
        <w:rPr>
          <w:spacing w:val="-8"/>
        </w:rPr>
        <w:t> </w:t>
      </w:r>
      <w:r>
        <w:rPr/>
        <w:t>nova</w:t>
      </w:r>
      <w:r>
        <w:rPr>
          <w:spacing w:val="-13"/>
        </w:rPr>
        <w:t> </w:t>
      </w:r>
      <w:r>
        <w:rPr/>
        <w:t>modalidade</w:t>
      </w:r>
      <w:r>
        <w:rPr>
          <w:spacing w:val="-13"/>
        </w:rPr>
        <w:t> </w:t>
      </w:r>
      <w:r>
        <w:rPr/>
        <w:t>para</w:t>
      </w:r>
      <w:r>
        <w:rPr>
          <w:spacing w:val="-13"/>
        </w:rPr>
        <w:t> </w:t>
      </w:r>
      <w:r>
        <w:rPr/>
        <w:t>correção</w:t>
      </w:r>
      <w:r>
        <w:rPr>
          <w:spacing w:val="-10"/>
        </w:rPr>
        <w:t> </w:t>
      </w:r>
      <w:r>
        <w:rPr/>
        <w:t>do</w:t>
      </w:r>
      <w:r>
        <w:rPr>
          <w:spacing w:val="-10"/>
        </w:rPr>
        <w:t> </w:t>
      </w:r>
      <w:r>
        <w:rPr/>
        <w:t>aneurisma</w:t>
      </w:r>
      <w:r>
        <w:rPr>
          <w:spacing w:val="-13"/>
        </w:rPr>
        <w:t> </w:t>
      </w:r>
      <w:r>
        <w:rPr/>
        <w:t>da</w:t>
      </w:r>
      <w:r>
        <w:rPr>
          <w:spacing w:val="-13"/>
        </w:rPr>
        <w:t> </w:t>
      </w:r>
      <w:r>
        <w:rPr/>
        <w:t>aorta,</w:t>
      </w:r>
      <w:r>
        <w:rPr>
          <w:spacing w:val="-3"/>
        </w:rPr>
        <w:t> </w:t>
      </w:r>
      <w:r>
        <w:rPr/>
        <w:t>permitindo</w:t>
      </w:r>
      <w:r>
        <w:rPr>
          <w:spacing w:val="-10"/>
        </w:rPr>
        <w:t> </w:t>
      </w:r>
      <w:r>
        <w:rPr/>
        <w:t>a</w:t>
      </w:r>
      <w:r>
        <w:rPr>
          <w:spacing w:val="-13"/>
        </w:rPr>
        <w:t> </w:t>
      </w:r>
      <w:r>
        <w:rPr/>
        <w:t>inclusão de uma prótese no lúmen da aorta, fixada por </w:t>
      </w:r>
      <w:r>
        <w:rPr>
          <w:i/>
        </w:rPr>
        <w:t>stents</w:t>
      </w:r>
      <w:r>
        <w:rPr/>
        <w:t>, e excluindo o aneurisma da circulação, por meio de via de acesso</w:t>
      </w:r>
      <w:r>
        <w:rPr>
          <w:spacing w:val="-3"/>
        </w:rPr>
        <w:t> </w:t>
      </w:r>
      <w:r>
        <w:rPr/>
        <w:t>femoral. Utilizando-se</w:t>
      </w:r>
      <w:r>
        <w:rPr>
          <w:spacing w:val="-6"/>
        </w:rPr>
        <w:t> </w:t>
      </w:r>
      <w:r>
        <w:rPr/>
        <w:t>essa</w:t>
      </w:r>
      <w:r>
        <w:rPr>
          <w:spacing w:val="-6"/>
        </w:rPr>
        <w:t> </w:t>
      </w:r>
      <w:r>
        <w:rPr/>
        <w:t>técnica, em</w:t>
      </w:r>
      <w:r>
        <w:rPr>
          <w:spacing w:val="-3"/>
        </w:rPr>
        <w:t> </w:t>
      </w:r>
      <w:r>
        <w:rPr/>
        <w:t>que</w:t>
      </w:r>
      <w:r>
        <w:rPr>
          <w:spacing w:val="-6"/>
        </w:rPr>
        <w:t> </w:t>
      </w:r>
      <w:r>
        <w:rPr/>
        <w:t>não</w:t>
      </w:r>
      <w:r>
        <w:rPr>
          <w:spacing w:val="-3"/>
        </w:rPr>
        <w:t> </w:t>
      </w:r>
      <w:r>
        <w:rPr/>
        <w:t>é</w:t>
      </w:r>
      <w:r>
        <w:rPr>
          <w:spacing w:val="-6"/>
        </w:rPr>
        <w:t> </w:t>
      </w:r>
      <w:r>
        <w:rPr/>
        <w:t>necessário</w:t>
      </w:r>
      <w:r>
        <w:rPr>
          <w:spacing w:val="-3"/>
        </w:rPr>
        <w:t> </w:t>
      </w:r>
      <w:r>
        <w:rPr/>
        <w:t>laparotomia</w:t>
      </w:r>
      <w:r>
        <w:rPr>
          <w:spacing w:val="-6"/>
        </w:rPr>
        <w:t> </w:t>
      </w:r>
      <w:r>
        <w:rPr/>
        <w:t>e</w:t>
      </w:r>
      <w:r>
        <w:rPr>
          <w:spacing w:val="-6"/>
        </w:rPr>
        <w:t> </w:t>
      </w:r>
      <w:r>
        <w:rPr/>
        <w:t>nem</w:t>
      </w:r>
      <w:r>
        <w:rPr>
          <w:spacing w:val="-3"/>
        </w:rPr>
        <w:t> </w:t>
      </w:r>
      <w:r>
        <w:rPr/>
        <w:t>mesmo</w:t>
      </w:r>
      <w:r>
        <w:rPr>
          <w:spacing w:val="-3"/>
        </w:rPr>
        <w:t> </w:t>
      </w:r>
      <w:r>
        <w:rPr/>
        <w:t>pinçamento</w:t>
      </w:r>
      <w:r>
        <w:rPr>
          <w:spacing w:val="-3"/>
        </w:rPr>
        <w:t> </w:t>
      </w:r>
      <w:r>
        <w:rPr/>
        <w:t>da</w:t>
      </w:r>
      <w:r>
        <w:rPr>
          <w:spacing w:val="-6"/>
        </w:rPr>
        <w:t> </w:t>
      </w:r>
      <w:r>
        <w:rPr/>
        <w:t>aorta bloqueando temporariamente a circulação dos membros inferiores, o porte do procedimento tornou-se obviamente menor.</w:t>
      </w:r>
      <w:r>
        <w:rPr>
          <w:spacing w:val="-1"/>
        </w:rPr>
        <w:t> </w:t>
      </w:r>
      <w:r>
        <w:rPr/>
        <w:t>Isto</w:t>
      </w:r>
      <w:r>
        <w:rPr>
          <w:spacing w:val="-8"/>
        </w:rPr>
        <w:t> </w:t>
      </w:r>
      <w:r>
        <w:rPr/>
        <w:t>implica</w:t>
      </w:r>
      <w:r>
        <w:rPr>
          <w:spacing w:val="-10"/>
        </w:rPr>
        <w:t> </w:t>
      </w:r>
      <w:r>
        <w:rPr/>
        <w:t>diminuição</w:t>
      </w:r>
      <w:r>
        <w:rPr>
          <w:spacing w:val="-8"/>
        </w:rPr>
        <w:t> </w:t>
      </w:r>
      <w:r>
        <w:rPr/>
        <w:t>de</w:t>
      </w:r>
      <w:r>
        <w:rPr>
          <w:spacing w:val="-10"/>
        </w:rPr>
        <w:t> </w:t>
      </w:r>
      <w:r>
        <w:rPr/>
        <w:t>riscos</w:t>
      </w:r>
      <w:r>
        <w:rPr>
          <w:spacing w:val="-1"/>
        </w:rPr>
        <w:t> </w:t>
      </w:r>
      <w:r>
        <w:rPr/>
        <w:t>para</w:t>
      </w:r>
      <w:r>
        <w:rPr>
          <w:spacing w:val="-10"/>
        </w:rPr>
        <w:t> </w:t>
      </w:r>
      <w:r>
        <w:rPr/>
        <w:t>os</w:t>
      </w:r>
      <w:r>
        <w:rPr>
          <w:spacing w:val="-1"/>
        </w:rPr>
        <w:t> </w:t>
      </w:r>
      <w:r>
        <w:rPr/>
        <w:t>pacientes</w:t>
      </w:r>
      <w:r>
        <w:rPr>
          <w:spacing w:val="-1"/>
        </w:rPr>
        <w:t> </w:t>
      </w:r>
      <w:r>
        <w:rPr/>
        <w:t>e</w:t>
      </w:r>
      <w:r>
        <w:rPr>
          <w:spacing w:val="-10"/>
        </w:rPr>
        <w:t> </w:t>
      </w:r>
      <w:r>
        <w:rPr/>
        <w:t>recuperação</w:t>
      </w:r>
      <w:r>
        <w:rPr>
          <w:spacing w:val="-8"/>
        </w:rPr>
        <w:t> </w:t>
      </w:r>
      <w:r>
        <w:rPr/>
        <w:t>mais</w:t>
      </w:r>
      <w:r>
        <w:rPr>
          <w:spacing w:val="-1"/>
        </w:rPr>
        <w:t> </w:t>
      </w:r>
      <w:r>
        <w:rPr/>
        <w:t>rápida.</w:t>
      </w:r>
      <w:r>
        <w:rPr>
          <w:spacing w:val="-1"/>
        </w:rPr>
        <w:t> </w:t>
      </w:r>
      <w:r>
        <w:rPr/>
        <w:t>Não</w:t>
      </w:r>
      <w:r>
        <w:rPr>
          <w:spacing w:val="-8"/>
        </w:rPr>
        <w:t> </w:t>
      </w:r>
      <w:r>
        <w:rPr/>
        <w:t>significa,</w:t>
      </w:r>
      <w:r>
        <w:rPr>
          <w:spacing w:val="-1"/>
        </w:rPr>
        <w:t> </w:t>
      </w:r>
      <w:r>
        <w:rPr/>
        <w:t>entretanto,</w:t>
      </w:r>
      <w:r>
        <w:rPr>
          <w:spacing w:val="-1"/>
        </w:rPr>
        <w:t> </w:t>
      </w:r>
      <w:r>
        <w:rPr/>
        <w:t>que possa ser aplicada em todos os casos, e muito menos que não esteja sujeita a complicações graves. Existem duas preocupações principais com o implante de endopróteses para correção de aneurisma de aorta: a durabilidade do procedimento e a possibilidade a curto e médio prazo da ocorrência de complicações resultantes da própria prótese ou do aumento do diâmetro da aorta no local do implante. Esses dois fatores exigem que haja seguimento rigoroso por meio de métodos de diagnóstico por imagem para acompanhamento pós-operatório, fato que não é obrigatório no procedimento cirúrgico convencional.</w:t>
      </w:r>
    </w:p>
    <w:p>
      <w:pPr>
        <w:pStyle w:val="BodyText"/>
        <w:spacing w:line="278" w:lineRule="auto" w:before="50"/>
        <w:ind w:right="491"/>
      </w:pPr>
      <w:r>
        <w:rPr/>
        <w:t>De modo geral, a indicação da técnica endoluminal depende da morfologia do aneurisma e do estado geral do paciente. São considerados aneurismas com morfologia favorável para implante de endoprótese aqueles que têm colo longo e pouca tortuosidade abaixo das artérias renais, além de artérias ilíacas também pouco tortuosas, que permitam</w:t>
      </w:r>
      <w:r>
        <w:rPr>
          <w:spacing w:val="-4"/>
        </w:rPr>
        <w:t> </w:t>
      </w:r>
      <w:r>
        <w:rPr/>
        <w:t>a</w:t>
      </w:r>
      <w:r>
        <w:rPr>
          <w:spacing w:val="-7"/>
        </w:rPr>
        <w:t> </w:t>
      </w:r>
      <w:r>
        <w:rPr/>
        <w:t>passagem</w:t>
      </w:r>
      <w:r>
        <w:rPr>
          <w:spacing w:val="-4"/>
        </w:rPr>
        <w:t> </w:t>
      </w:r>
      <w:r>
        <w:rPr/>
        <w:t>do</w:t>
      </w:r>
      <w:r>
        <w:rPr>
          <w:spacing w:val="-4"/>
        </w:rPr>
        <w:t> </w:t>
      </w:r>
      <w:r>
        <w:rPr/>
        <w:t>dispositivo</w:t>
      </w:r>
      <w:r>
        <w:rPr>
          <w:spacing w:val="-4"/>
        </w:rPr>
        <w:t> </w:t>
      </w:r>
      <w:r>
        <w:rPr/>
        <w:t>endovascular com</w:t>
      </w:r>
      <w:r>
        <w:rPr>
          <w:spacing w:val="-4"/>
        </w:rPr>
        <w:t> </w:t>
      </w:r>
      <w:r>
        <w:rPr/>
        <w:t>facilidade. Os aneurismas que</w:t>
      </w:r>
      <w:r>
        <w:rPr>
          <w:spacing w:val="-7"/>
        </w:rPr>
        <w:t> </w:t>
      </w:r>
      <w:r>
        <w:rPr/>
        <w:t>englobam</w:t>
      </w:r>
      <w:r>
        <w:rPr>
          <w:spacing w:val="-4"/>
        </w:rPr>
        <w:t> </w:t>
      </w:r>
      <w:r>
        <w:rPr/>
        <w:t>ramos viscerais da aorta podem ser corrigidos por essa técnica, no entanto exigem endopróteses customizadas e aumentam sobremaneira as dificuldades técnicas para o seu implante.</w:t>
      </w:r>
      <w:r>
        <w:rPr>
          <w:vertAlign w:val="superscript"/>
        </w:rPr>
        <w:t>19</w:t>
      </w:r>
      <w:r>
        <w:rPr>
          <w:vertAlign w:val="baseline"/>
        </w:rPr>
        <w:t> Em relação ao estado clínico do paciente, é praticamente</w:t>
      </w:r>
      <w:r>
        <w:rPr>
          <w:spacing w:val="-6"/>
          <w:vertAlign w:val="baseline"/>
        </w:rPr>
        <w:t> </w:t>
      </w:r>
      <w:r>
        <w:rPr>
          <w:vertAlign w:val="baseline"/>
        </w:rPr>
        <w:t>consenso</w:t>
      </w:r>
      <w:r>
        <w:rPr>
          <w:spacing w:val="-4"/>
          <w:vertAlign w:val="baseline"/>
        </w:rPr>
        <w:t> </w:t>
      </w:r>
      <w:r>
        <w:rPr>
          <w:vertAlign w:val="baseline"/>
        </w:rPr>
        <w:t>que</w:t>
      </w:r>
      <w:r>
        <w:rPr>
          <w:spacing w:val="-6"/>
          <w:vertAlign w:val="baseline"/>
        </w:rPr>
        <w:t> </w:t>
      </w:r>
      <w:r>
        <w:rPr>
          <w:vertAlign w:val="baseline"/>
        </w:rPr>
        <w:t>nos casos mais graves e</w:t>
      </w:r>
      <w:r>
        <w:rPr>
          <w:spacing w:val="-6"/>
          <w:vertAlign w:val="baseline"/>
        </w:rPr>
        <w:t> </w:t>
      </w:r>
      <w:r>
        <w:rPr>
          <w:vertAlign w:val="baseline"/>
        </w:rPr>
        <w:t>principalmente</w:t>
      </w:r>
      <w:r>
        <w:rPr>
          <w:spacing w:val="-6"/>
          <w:vertAlign w:val="baseline"/>
        </w:rPr>
        <w:t> </w:t>
      </w:r>
      <w:r>
        <w:rPr>
          <w:vertAlign w:val="baseline"/>
        </w:rPr>
        <w:t>com</w:t>
      </w:r>
      <w:r>
        <w:rPr>
          <w:spacing w:val="-4"/>
          <w:vertAlign w:val="baseline"/>
        </w:rPr>
        <w:t> </w:t>
      </w:r>
      <w:r>
        <w:rPr>
          <w:vertAlign w:val="baseline"/>
        </w:rPr>
        <w:t>idade</w:t>
      </w:r>
      <w:r>
        <w:rPr>
          <w:spacing w:val="-6"/>
          <w:vertAlign w:val="baseline"/>
        </w:rPr>
        <w:t> </w:t>
      </w:r>
      <w:r>
        <w:rPr>
          <w:vertAlign w:val="baseline"/>
        </w:rPr>
        <w:t>avançada, a</w:t>
      </w:r>
      <w:r>
        <w:rPr>
          <w:spacing w:val="-6"/>
          <w:vertAlign w:val="baseline"/>
        </w:rPr>
        <w:t> </w:t>
      </w:r>
      <w:r>
        <w:rPr>
          <w:vertAlign w:val="baseline"/>
        </w:rPr>
        <w:t>técnica</w:t>
      </w:r>
      <w:r>
        <w:rPr>
          <w:spacing w:val="-6"/>
          <w:vertAlign w:val="baseline"/>
        </w:rPr>
        <w:t> </w:t>
      </w:r>
      <w:r>
        <w:rPr>
          <w:vertAlign w:val="baseline"/>
        </w:rPr>
        <w:t>endoluminal tem sua</w:t>
      </w:r>
      <w:r>
        <w:rPr>
          <w:spacing w:val="-8"/>
          <w:vertAlign w:val="baseline"/>
        </w:rPr>
        <w:t> </w:t>
      </w:r>
      <w:r>
        <w:rPr>
          <w:vertAlign w:val="baseline"/>
        </w:rPr>
        <w:t>indicação</w:t>
      </w:r>
      <w:r>
        <w:rPr>
          <w:spacing w:val="-6"/>
          <w:vertAlign w:val="baseline"/>
        </w:rPr>
        <w:t> </w:t>
      </w:r>
      <w:r>
        <w:rPr>
          <w:vertAlign w:val="baseline"/>
        </w:rPr>
        <w:t>máxima. Nos pacientes de</w:t>
      </w:r>
      <w:r>
        <w:rPr>
          <w:spacing w:val="-8"/>
          <w:vertAlign w:val="baseline"/>
        </w:rPr>
        <w:t> </w:t>
      </w:r>
      <w:r>
        <w:rPr>
          <w:vertAlign w:val="baseline"/>
        </w:rPr>
        <w:t>baixo</w:t>
      </w:r>
      <w:r>
        <w:rPr>
          <w:spacing w:val="-6"/>
          <w:vertAlign w:val="baseline"/>
        </w:rPr>
        <w:t> </w:t>
      </w:r>
      <w:r>
        <w:rPr>
          <w:vertAlign w:val="baseline"/>
        </w:rPr>
        <w:t>risco</w:t>
      </w:r>
      <w:r>
        <w:rPr>
          <w:spacing w:val="-6"/>
          <w:vertAlign w:val="baseline"/>
        </w:rPr>
        <w:t> </w:t>
      </w:r>
      <w:r>
        <w:rPr>
          <w:vertAlign w:val="baseline"/>
        </w:rPr>
        <w:t>e</w:t>
      </w:r>
      <w:r>
        <w:rPr>
          <w:spacing w:val="-8"/>
          <w:vertAlign w:val="baseline"/>
        </w:rPr>
        <w:t> </w:t>
      </w:r>
      <w:r>
        <w:rPr>
          <w:vertAlign w:val="baseline"/>
        </w:rPr>
        <w:t>faixa</w:t>
      </w:r>
      <w:r>
        <w:rPr>
          <w:spacing w:val="-8"/>
          <w:vertAlign w:val="baseline"/>
        </w:rPr>
        <w:t> </w:t>
      </w:r>
      <w:r>
        <w:rPr>
          <w:vertAlign w:val="baseline"/>
        </w:rPr>
        <w:t>etária</w:t>
      </w:r>
      <w:r>
        <w:rPr>
          <w:spacing w:val="-8"/>
          <w:vertAlign w:val="baseline"/>
        </w:rPr>
        <w:t> </w:t>
      </w:r>
      <w:r>
        <w:rPr>
          <w:vertAlign w:val="baseline"/>
        </w:rPr>
        <w:t>mais baixa, a</w:t>
      </w:r>
      <w:r>
        <w:rPr>
          <w:spacing w:val="-8"/>
          <w:vertAlign w:val="baseline"/>
        </w:rPr>
        <w:t> </w:t>
      </w:r>
      <w:r>
        <w:rPr>
          <w:vertAlign w:val="baseline"/>
        </w:rPr>
        <w:t>decisão</w:t>
      </w:r>
      <w:r>
        <w:rPr>
          <w:spacing w:val="-6"/>
          <w:vertAlign w:val="baseline"/>
        </w:rPr>
        <w:t> </w:t>
      </w:r>
      <w:r>
        <w:rPr>
          <w:vertAlign w:val="baseline"/>
        </w:rPr>
        <w:t>sobre</w:t>
      </w:r>
      <w:r>
        <w:rPr>
          <w:spacing w:val="-8"/>
          <w:vertAlign w:val="baseline"/>
        </w:rPr>
        <w:t> </w:t>
      </w:r>
      <w:r>
        <w:rPr>
          <w:vertAlign w:val="baseline"/>
        </w:rPr>
        <w:t>indicação</w:t>
      </w:r>
      <w:r>
        <w:rPr>
          <w:spacing w:val="-6"/>
          <w:vertAlign w:val="baseline"/>
        </w:rPr>
        <w:t> </w:t>
      </w:r>
      <w:r>
        <w:rPr>
          <w:vertAlign w:val="baseline"/>
        </w:rPr>
        <w:t>de</w:t>
      </w:r>
      <w:r>
        <w:rPr>
          <w:spacing w:val="-8"/>
          <w:vertAlign w:val="baseline"/>
        </w:rPr>
        <w:t> </w:t>
      </w:r>
      <w:r>
        <w:rPr>
          <w:vertAlign w:val="baseline"/>
        </w:rPr>
        <w:t>correção endoluminal deve ser ponderada individualmente, em conjunto com o paciente, após exposição detalhada das vantagens e desvantagens de cada método.</w:t>
      </w:r>
    </w:p>
    <w:p>
      <w:pPr>
        <w:pStyle w:val="BodyText"/>
        <w:spacing w:line="276" w:lineRule="auto" w:before="55"/>
        <w:ind w:right="488"/>
      </w:pPr>
      <w:r>
        <w:rPr/>
        <w:t>É essencial o acompanhamento rigoroso dos pacientes submetidos à correção endoluminal do aneurisma da aorta, com a realização de TC a cada 3 meses, no primeiro ano, e a cada 6 meses nos anos seguintes. Na eventualidade</w:t>
      </w:r>
      <w:r>
        <w:rPr>
          <w:spacing w:val="-15"/>
        </w:rPr>
        <w:t> </w:t>
      </w:r>
      <w:r>
        <w:rPr/>
        <w:t>de</w:t>
      </w:r>
      <w:r>
        <w:rPr>
          <w:spacing w:val="-14"/>
        </w:rPr>
        <w:t> </w:t>
      </w:r>
      <w:r>
        <w:rPr/>
        <w:t>ser</w:t>
      </w:r>
      <w:r>
        <w:rPr>
          <w:spacing w:val="-9"/>
        </w:rPr>
        <w:t> </w:t>
      </w:r>
      <w:r>
        <w:rPr/>
        <w:t>detectado,</w:t>
      </w:r>
      <w:r>
        <w:rPr>
          <w:spacing w:val="-5"/>
        </w:rPr>
        <w:t> </w:t>
      </w:r>
      <w:r>
        <w:rPr/>
        <w:t>nessas</w:t>
      </w:r>
      <w:r>
        <w:rPr>
          <w:spacing w:val="-5"/>
        </w:rPr>
        <w:t> </w:t>
      </w:r>
      <w:r>
        <w:rPr/>
        <w:t>avaliações,</w:t>
      </w:r>
      <w:r>
        <w:rPr>
          <w:spacing w:val="-5"/>
        </w:rPr>
        <w:t> </w:t>
      </w:r>
      <w:r>
        <w:rPr/>
        <w:t>vazamento</w:t>
      </w:r>
      <w:r>
        <w:rPr>
          <w:spacing w:val="-13"/>
        </w:rPr>
        <w:t> </w:t>
      </w:r>
      <w:r>
        <w:rPr/>
        <w:t>de</w:t>
      </w:r>
      <w:r>
        <w:rPr>
          <w:spacing w:val="-15"/>
        </w:rPr>
        <w:t> </w:t>
      </w:r>
      <w:r>
        <w:rPr/>
        <w:t>sangue</w:t>
      </w:r>
      <w:r>
        <w:rPr>
          <w:spacing w:val="-14"/>
        </w:rPr>
        <w:t> </w:t>
      </w:r>
      <w:r>
        <w:rPr/>
        <w:t>para</w:t>
      </w:r>
      <w:r>
        <w:rPr>
          <w:spacing w:val="-15"/>
        </w:rPr>
        <w:t> </w:t>
      </w:r>
      <w:r>
        <w:rPr/>
        <w:t>o</w:t>
      </w:r>
      <w:r>
        <w:rPr>
          <w:spacing w:val="-12"/>
        </w:rPr>
        <w:t> </w:t>
      </w:r>
      <w:r>
        <w:rPr/>
        <w:t>saco</w:t>
      </w:r>
      <w:r>
        <w:rPr>
          <w:spacing w:val="-13"/>
        </w:rPr>
        <w:t> </w:t>
      </w:r>
      <w:r>
        <w:rPr/>
        <w:t>aneurismático,</w:t>
      </w:r>
      <w:r>
        <w:rPr>
          <w:spacing w:val="-5"/>
        </w:rPr>
        <w:t> </w:t>
      </w:r>
      <w:r>
        <w:rPr/>
        <w:t>nova</w:t>
      </w:r>
      <w:r>
        <w:rPr>
          <w:spacing w:val="-15"/>
        </w:rPr>
        <w:t> </w:t>
      </w:r>
      <w:r>
        <w:rPr/>
        <w:t>intervenção deve ser indicada para correção. Da mesma forma, se houver aumento do diâmetro do aneurisma, constatado pela TC tardia, a</w:t>
      </w:r>
      <w:r>
        <w:rPr>
          <w:spacing w:val="-2"/>
        </w:rPr>
        <w:t> </w:t>
      </w:r>
      <w:r>
        <w:rPr/>
        <w:t>hipótese</w:t>
      </w:r>
      <w:r>
        <w:rPr>
          <w:spacing w:val="-2"/>
        </w:rPr>
        <w:t> </w:t>
      </w:r>
      <w:r>
        <w:rPr/>
        <w:t>mais provável é</w:t>
      </w:r>
      <w:r>
        <w:rPr>
          <w:spacing w:val="-2"/>
        </w:rPr>
        <w:t> </w:t>
      </w:r>
      <w:r>
        <w:rPr/>
        <w:t>a</w:t>
      </w:r>
      <w:r>
        <w:rPr>
          <w:spacing w:val="-2"/>
        </w:rPr>
        <w:t> </w:t>
      </w:r>
      <w:r>
        <w:rPr/>
        <w:t>exclusão incompleta</w:t>
      </w:r>
      <w:r>
        <w:rPr>
          <w:spacing w:val="-2"/>
        </w:rPr>
        <w:t> </w:t>
      </w:r>
      <w:r>
        <w:rPr/>
        <w:t>do aneurisma, que</w:t>
      </w:r>
      <w:r>
        <w:rPr>
          <w:spacing w:val="-2"/>
        </w:rPr>
        <w:t> </w:t>
      </w:r>
      <w:r>
        <w:rPr/>
        <w:t>também deve</w:t>
      </w:r>
      <w:r>
        <w:rPr>
          <w:spacing w:val="-2"/>
        </w:rPr>
        <w:t> </w:t>
      </w:r>
      <w:r>
        <w:rPr/>
        <w:t>ser corrigida. Apesar de</w:t>
      </w:r>
      <w:r>
        <w:rPr>
          <w:spacing w:val="17"/>
        </w:rPr>
        <w:t> </w:t>
      </w:r>
      <w:r>
        <w:rPr/>
        <w:t>ser</w:t>
      </w:r>
      <w:r>
        <w:rPr>
          <w:spacing w:val="26"/>
        </w:rPr>
        <w:t> </w:t>
      </w:r>
      <w:r>
        <w:rPr/>
        <w:t>técnica</w:t>
      </w:r>
      <w:r>
        <w:rPr>
          <w:spacing w:val="17"/>
        </w:rPr>
        <w:t> </w:t>
      </w:r>
      <w:r>
        <w:rPr/>
        <w:t>relativamente</w:t>
      </w:r>
      <w:r>
        <w:rPr>
          <w:spacing w:val="17"/>
        </w:rPr>
        <w:t> </w:t>
      </w:r>
      <w:r>
        <w:rPr/>
        <w:t>recente,</w:t>
      </w:r>
      <w:r>
        <w:rPr>
          <w:spacing w:val="29"/>
        </w:rPr>
        <w:t> </w:t>
      </w:r>
      <w:r>
        <w:rPr/>
        <w:t>já</w:t>
      </w:r>
      <w:r>
        <w:rPr>
          <w:spacing w:val="17"/>
        </w:rPr>
        <w:t> </w:t>
      </w:r>
      <w:r>
        <w:rPr/>
        <w:t>existem</w:t>
      </w:r>
      <w:r>
        <w:rPr>
          <w:spacing w:val="20"/>
        </w:rPr>
        <w:t> </w:t>
      </w:r>
      <w:r>
        <w:rPr/>
        <w:t>séries</w:t>
      </w:r>
      <w:r>
        <w:rPr>
          <w:spacing w:val="29"/>
        </w:rPr>
        <w:t> </w:t>
      </w:r>
      <w:r>
        <w:rPr/>
        <w:t>de</w:t>
      </w:r>
      <w:r>
        <w:rPr>
          <w:spacing w:val="17"/>
        </w:rPr>
        <w:t> </w:t>
      </w:r>
      <w:r>
        <w:rPr/>
        <w:t>pacientes</w:t>
      </w:r>
      <w:r>
        <w:rPr>
          <w:spacing w:val="29"/>
        </w:rPr>
        <w:t> </w:t>
      </w:r>
      <w:r>
        <w:rPr/>
        <w:t>na</w:t>
      </w:r>
      <w:r>
        <w:rPr>
          <w:spacing w:val="17"/>
        </w:rPr>
        <w:t> </w:t>
      </w:r>
      <w:r>
        <w:rPr/>
        <w:t>literatura</w:t>
      </w:r>
      <w:r>
        <w:rPr>
          <w:spacing w:val="17"/>
        </w:rPr>
        <w:t> </w:t>
      </w:r>
      <w:r>
        <w:rPr/>
        <w:t>que</w:t>
      </w:r>
      <w:r>
        <w:rPr>
          <w:spacing w:val="17"/>
        </w:rPr>
        <w:t> </w:t>
      </w:r>
      <w:r>
        <w:rPr/>
        <w:t>apontam</w:t>
      </w:r>
      <w:r>
        <w:rPr>
          <w:spacing w:val="20"/>
        </w:rPr>
        <w:t> </w:t>
      </w:r>
      <w:r>
        <w:rPr/>
        <w:t>índices</w:t>
      </w:r>
      <w:r>
        <w:rPr>
          <w:spacing w:val="29"/>
        </w:rPr>
        <w:t> </w:t>
      </w:r>
      <w:r>
        <w:rPr/>
        <w:t>de</w:t>
      </w:r>
      <w:r>
        <w:rPr>
          <w:spacing w:val="17"/>
        </w:rPr>
        <w:t> </w:t>
      </w:r>
      <w:r>
        <w:rPr/>
        <w:t>sucesso</w:t>
      </w:r>
    </w:p>
    <w:p>
      <w:pPr>
        <w:pStyle w:val="BodyText"/>
        <w:spacing w:after="0" w:line="276" w:lineRule="auto"/>
        <w:sectPr>
          <w:pgSz w:w="11900" w:h="16840"/>
          <w:pgMar w:top="220" w:bottom="280" w:left="566" w:right="141"/>
        </w:sectPr>
      </w:pPr>
    </w:p>
    <w:p>
      <w:pPr>
        <w:pStyle w:val="BodyText"/>
        <w:spacing w:line="280" w:lineRule="auto" w:before="96"/>
        <w:ind w:right="497" w:firstLine="0"/>
      </w:pPr>
      <w:r>
        <w:rPr/>
        <w:t>imediato de 70 a 95% na correção endoluminal do aneurisma da aorta abdominal.</w:t>
      </w:r>
      <w:r>
        <w:rPr>
          <w:vertAlign w:val="superscript"/>
        </w:rPr>
        <w:t>20,21</w:t>
      </w:r>
      <w:r>
        <w:rPr>
          <w:vertAlign w:val="baseline"/>
        </w:rPr>
        <w:t> Estudos atuais com consideráveis casuísticas de correção endovascular eletiva do aneurisma da aorta abdominal confirmam resultados que justificam a tendência a uma utilização cada vez mais liberal dessa técnica.</w:t>
      </w:r>
      <w:r>
        <w:rPr>
          <w:vertAlign w:val="superscript"/>
        </w:rPr>
        <w:t>22,23</w:t>
      </w:r>
      <w:r>
        <w:rPr>
          <w:vertAlign w:val="baseline"/>
        </w:rPr>
        <w:t> Até mesmo nos casos de aneurisma roto da aorta abdominal, nos quais a cirurgia aberta convencional ainda predomina nas indicações de urgência, já há vários grupos importantes na literatura internacional sugerindo a correção endoluminal como primeira opção, quando possível.</w:t>
      </w:r>
      <w:r>
        <w:rPr>
          <w:vertAlign w:val="superscript"/>
        </w:rPr>
        <w:t>24</w:t>
      </w:r>
    </w:p>
    <w:p>
      <w:pPr>
        <w:pStyle w:val="BodyText"/>
        <w:spacing w:before="87"/>
        <w:ind w:left="0" w:firstLine="0"/>
        <w:jc w:val="left"/>
        <w:rPr>
          <w:sz w:val="38"/>
        </w:rPr>
      </w:pPr>
    </w:p>
    <w:p>
      <w:pPr>
        <w:pStyle w:val="Heading3"/>
      </w:pPr>
      <w:r>
        <w:rPr>
          <w:color w:val="242B67"/>
        </w:rPr>
        <w:t>Aneurismas</w:t>
      </w:r>
      <w:r>
        <w:rPr>
          <w:color w:val="242B67"/>
          <w:spacing w:val="15"/>
        </w:rPr>
        <w:t> </w:t>
      </w:r>
      <w:r>
        <w:rPr>
          <w:color w:val="242B67"/>
        </w:rPr>
        <w:t>Arteriais</w:t>
      </w:r>
      <w:r>
        <w:rPr>
          <w:color w:val="242B67"/>
          <w:spacing w:val="15"/>
        </w:rPr>
        <w:t> </w:t>
      </w:r>
      <w:r>
        <w:rPr>
          <w:color w:val="242B67"/>
          <w:spacing w:val="-2"/>
        </w:rPr>
        <w:t>Periféricos</w:t>
      </w:r>
    </w:p>
    <w:p>
      <w:pPr>
        <w:pStyle w:val="BodyText"/>
        <w:spacing w:before="11"/>
        <w:ind w:left="0" w:firstLine="0"/>
        <w:jc w:val="left"/>
        <w:rPr>
          <w:rFonts w:ascii="Microsoft Sans Serif"/>
          <w:sz w:val="4"/>
        </w:rPr>
      </w:pPr>
      <w:r>
        <w:rPr>
          <w:rFonts w:ascii="Microsoft Sans Serif"/>
          <w:sz w:val="4"/>
        </w:rPr>
        <mc:AlternateContent>
          <mc:Choice Requires="wps">
            <w:drawing>
              <wp:anchor distT="0" distB="0" distL="0" distR="0" allowOverlap="1" layoutInCell="1" locked="0" behindDoc="1" simplePos="0" relativeHeight="487618560">
                <wp:simplePos x="0" y="0"/>
                <wp:positionH relativeFrom="page">
                  <wp:posOffset>401543</wp:posOffset>
                </wp:positionH>
                <wp:positionV relativeFrom="paragraph">
                  <wp:posOffset>51099</wp:posOffset>
                </wp:positionV>
                <wp:extent cx="6753225" cy="10795"/>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23568pt;width:531.731217pt;height:.8008pt;mso-position-horizontal-relative:page;mso-position-vertical-relative:paragraph;z-index:-15697920;mso-wrap-distance-left:0;mso-wrap-distance-right:0" id="docshape42" filled="true" fillcolor="#242b67" stroked="false">
                <v:fill type="solid"/>
                <w10:wrap type="topAndBottom"/>
              </v:rect>
            </w:pict>
          </mc:Fallback>
        </mc:AlternateContent>
      </w:r>
    </w:p>
    <w:p>
      <w:pPr>
        <w:spacing w:before="118"/>
        <w:ind w:left="68" w:right="0" w:firstLine="0"/>
        <w:jc w:val="left"/>
        <w:rPr>
          <w:rFonts w:ascii="Arial"/>
          <w:i/>
          <w:sz w:val="25"/>
        </w:rPr>
      </w:pPr>
      <w:r>
        <w:rPr>
          <w:rFonts w:ascii="Arial"/>
          <w:i/>
          <w:sz w:val="25"/>
        </w:rPr>
        <w:t>Paulo</w:t>
      </w:r>
      <w:r>
        <w:rPr>
          <w:rFonts w:ascii="Arial"/>
          <w:i/>
          <w:spacing w:val="13"/>
          <w:sz w:val="25"/>
        </w:rPr>
        <w:t> </w:t>
      </w:r>
      <w:r>
        <w:rPr>
          <w:rFonts w:ascii="Arial"/>
          <w:i/>
          <w:spacing w:val="-2"/>
          <w:sz w:val="25"/>
        </w:rPr>
        <w:t>Kauffman</w:t>
      </w:r>
    </w:p>
    <w:p>
      <w:pPr>
        <w:pStyle w:val="BodyText"/>
        <w:spacing w:before="108"/>
        <w:ind w:left="0" w:firstLine="0"/>
        <w:jc w:val="left"/>
        <w:rPr>
          <w:rFonts w:ascii="Arial"/>
          <w:i/>
        </w:rPr>
      </w:pPr>
    </w:p>
    <w:p>
      <w:pPr>
        <w:pStyle w:val="BodyText"/>
        <w:spacing w:line="276" w:lineRule="auto" w:before="0"/>
        <w:ind w:right="488"/>
      </w:pPr>
      <w:r>
        <w:rPr/>
        <w:t>O</w:t>
      </w:r>
      <w:r>
        <w:rPr>
          <w:spacing w:val="-5"/>
        </w:rPr>
        <w:t> </w:t>
      </w:r>
      <w:r>
        <w:rPr/>
        <w:t>aneurisma</w:t>
      </w:r>
      <w:r>
        <w:rPr>
          <w:spacing w:val="-5"/>
        </w:rPr>
        <w:t> </w:t>
      </w:r>
      <w:r>
        <w:rPr/>
        <w:t>é</w:t>
      </w:r>
      <w:r>
        <w:rPr>
          <w:spacing w:val="-5"/>
        </w:rPr>
        <w:t> </w:t>
      </w:r>
      <w:r>
        <w:rPr/>
        <w:t>uma</w:t>
      </w:r>
      <w:r>
        <w:rPr>
          <w:spacing w:val="-5"/>
        </w:rPr>
        <w:t> </w:t>
      </w:r>
      <w:r>
        <w:rPr/>
        <w:t>dilatação</w:t>
      </w:r>
      <w:r>
        <w:rPr>
          <w:spacing w:val="-3"/>
        </w:rPr>
        <w:t> </w:t>
      </w:r>
      <w:r>
        <w:rPr/>
        <w:t>focal de</w:t>
      </w:r>
      <w:r>
        <w:rPr>
          <w:spacing w:val="-5"/>
        </w:rPr>
        <w:t> </w:t>
      </w:r>
      <w:r>
        <w:rPr/>
        <w:t>uma</w:t>
      </w:r>
      <w:r>
        <w:rPr>
          <w:spacing w:val="-5"/>
        </w:rPr>
        <w:t> </w:t>
      </w:r>
      <w:r>
        <w:rPr/>
        <w:t>artéria</w:t>
      </w:r>
      <w:r>
        <w:rPr>
          <w:spacing w:val="-5"/>
        </w:rPr>
        <w:t> </w:t>
      </w:r>
      <w:r>
        <w:rPr/>
        <w:t>com</w:t>
      </w:r>
      <w:r>
        <w:rPr>
          <w:spacing w:val="-3"/>
        </w:rPr>
        <w:t> </w:t>
      </w:r>
      <w:r>
        <w:rPr/>
        <w:t>aumento</w:t>
      </w:r>
      <w:r>
        <w:rPr>
          <w:spacing w:val="-3"/>
        </w:rPr>
        <w:t> </w:t>
      </w:r>
      <w:r>
        <w:rPr/>
        <w:t>de</w:t>
      </w:r>
      <w:r>
        <w:rPr>
          <w:spacing w:val="-5"/>
        </w:rPr>
        <w:t> </w:t>
      </w:r>
      <w:r>
        <w:rPr/>
        <w:t>seu</w:t>
      </w:r>
      <w:r>
        <w:rPr>
          <w:spacing w:val="-3"/>
        </w:rPr>
        <w:t> </w:t>
      </w:r>
      <w:r>
        <w:rPr/>
        <w:t>diâmetro</w:t>
      </w:r>
      <w:r>
        <w:rPr>
          <w:spacing w:val="-3"/>
        </w:rPr>
        <w:t> </w:t>
      </w:r>
      <w:r>
        <w:rPr/>
        <w:t>normal em</w:t>
      </w:r>
      <w:r>
        <w:rPr>
          <w:spacing w:val="-3"/>
        </w:rPr>
        <w:t> </w:t>
      </w:r>
      <w:r>
        <w:rPr/>
        <w:t>pelo</w:t>
      </w:r>
      <w:r>
        <w:rPr>
          <w:spacing w:val="-3"/>
        </w:rPr>
        <w:t> </w:t>
      </w:r>
      <w:r>
        <w:rPr/>
        <w:t>menos 50%. O aneurisma</w:t>
      </w:r>
      <w:r>
        <w:rPr>
          <w:spacing w:val="-4"/>
        </w:rPr>
        <w:t> </w:t>
      </w:r>
      <w:r>
        <w:rPr/>
        <w:t>arterial periférico</w:t>
      </w:r>
      <w:r>
        <w:rPr>
          <w:spacing w:val="-1"/>
        </w:rPr>
        <w:t> </w:t>
      </w:r>
      <w:r>
        <w:rPr/>
        <w:t>predomina</w:t>
      </w:r>
      <w:r>
        <w:rPr>
          <w:spacing w:val="-4"/>
        </w:rPr>
        <w:t> </w:t>
      </w:r>
      <w:r>
        <w:rPr/>
        <w:t>nos membros inferiores, acometendo</w:t>
      </w:r>
      <w:r>
        <w:rPr>
          <w:spacing w:val="-1"/>
        </w:rPr>
        <w:t> </w:t>
      </w:r>
      <w:r>
        <w:rPr/>
        <w:t>principalmente</w:t>
      </w:r>
      <w:r>
        <w:rPr>
          <w:spacing w:val="-4"/>
        </w:rPr>
        <w:t> </w:t>
      </w:r>
      <w:r>
        <w:rPr/>
        <w:t>as artérias poplíteas e </w:t>
      </w:r>
      <w:r>
        <w:rPr>
          <w:spacing w:val="-2"/>
        </w:rPr>
        <w:t>femorais.</w:t>
      </w:r>
    </w:p>
    <w:p>
      <w:pPr>
        <w:pStyle w:val="BodyText"/>
        <w:spacing w:before="186"/>
        <w:ind w:left="0" w:firstLine="0"/>
        <w:jc w:val="left"/>
      </w:pPr>
    </w:p>
    <w:p>
      <w:pPr>
        <w:pStyle w:val="Heading4"/>
      </w:pPr>
      <w:r>
        <w:rPr>
          <w:color w:val="242B67"/>
        </w:rPr>
        <w:t>Aneurismas da artéria </w:t>
      </w:r>
      <w:r>
        <w:rPr>
          <w:color w:val="242B67"/>
          <w:spacing w:val="-2"/>
        </w:rPr>
        <w:t>poplítea</w:t>
      </w:r>
    </w:p>
    <w:p>
      <w:pPr>
        <w:pStyle w:val="BodyText"/>
        <w:spacing w:line="276" w:lineRule="auto" w:before="131"/>
        <w:ind w:right="491"/>
      </w:pPr>
      <w:r>
        <w:rPr/>
        <w:t>É o</w:t>
      </w:r>
      <w:r>
        <w:rPr>
          <w:spacing w:val="-1"/>
        </w:rPr>
        <w:t> </w:t>
      </w:r>
      <w:r>
        <w:rPr/>
        <w:t>mais frequente</w:t>
      </w:r>
      <w:r>
        <w:rPr>
          <w:spacing w:val="-3"/>
        </w:rPr>
        <w:t> </w:t>
      </w:r>
      <w:r>
        <w:rPr/>
        <w:t>dos aneurismas periféricos e</w:t>
      </w:r>
      <w:r>
        <w:rPr>
          <w:spacing w:val="-3"/>
        </w:rPr>
        <w:t> </w:t>
      </w:r>
      <w:r>
        <w:rPr/>
        <w:t>o</w:t>
      </w:r>
      <w:r>
        <w:rPr>
          <w:spacing w:val="-1"/>
        </w:rPr>
        <w:t> </w:t>
      </w:r>
      <w:r>
        <w:rPr/>
        <w:t>segundo</w:t>
      </w:r>
      <w:r>
        <w:rPr>
          <w:spacing w:val="-1"/>
        </w:rPr>
        <w:t> </w:t>
      </w:r>
      <w:r>
        <w:rPr/>
        <w:t>em</w:t>
      </w:r>
      <w:r>
        <w:rPr>
          <w:spacing w:val="-1"/>
        </w:rPr>
        <w:t> </w:t>
      </w:r>
      <w:r>
        <w:rPr/>
        <w:t>frequência</w:t>
      </w:r>
      <w:r>
        <w:rPr>
          <w:spacing w:val="-3"/>
        </w:rPr>
        <w:t> </w:t>
      </w:r>
      <w:r>
        <w:rPr/>
        <w:t>no</w:t>
      </w:r>
      <w:r>
        <w:rPr>
          <w:spacing w:val="-1"/>
        </w:rPr>
        <w:t> </w:t>
      </w:r>
      <w:r>
        <w:rPr/>
        <w:t>homem, perdendo</w:t>
      </w:r>
      <w:r>
        <w:rPr>
          <w:spacing w:val="-1"/>
        </w:rPr>
        <w:t> </w:t>
      </w:r>
      <w:r>
        <w:rPr/>
        <w:t>somente</w:t>
      </w:r>
      <w:r>
        <w:rPr>
          <w:spacing w:val="-3"/>
        </w:rPr>
        <w:t> </w:t>
      </w:r>
      <w:r>
        <w:rPr/>
        <w:t>para</w:t>
      </w:r>
      <w:r>
        <w:rPr>
          <w:spacing w:val="-3"/>
        </w:rPr>
        <w:t> </w:t>
      </w:r>
      <w:r>
        <w:rPr/>
        <w:t>o aneurisma</w:t>
      </w:r>
      <w:r>
        <w:rPr>
          <w:spacing w:val="-4"/>
        </w:rPr>
        <w:t> </w:t>
      </w:r>
      <w:r>
        <w:rPr/>
        <w:t>da</w:t>
      </w:r>
      <w:r>
        <w:rPr>
          <w:spacing w:val="-4"/>
        </w:rPr>
        <w:t> </w:t>
      </w:r>
      <w:r>
        <w:rPr/>
        <w:t>aorta; diferentemente</w:t>
      </w:r>
      <w:r>
        <w:rPr>
          <w:spacing w:val="-4"/>
        </w:rPr>
        <w:t> </w:t>
      </w:r>
      <w:r>
        <w:rPr/>
        <w:t>desse</w:t>
      </w:r>
      <w:r>
        <w:rPr>
          <w:spacing w:val="-4"/>
        </w:rPr>
        <w:t> </w:t>
      </w:r>
      <w:r>
        <w:rPr/>
        <w:t>aneurisma, que</w:t>
      </w:r>
      <w:r>
        <w:rPr>
          <w:spacing w:val="-4"/>
        </w:rPr>
        <w:t> </w:t>
      </w:r>
      <w:r>
        <w:rPr/>
        <w:t>implica</w:t>
      </w:r>
      <w:r>
        <w:rPr>
          <w:spacing w:val="-4"/>
        </w:rPr>
        <w:t> </w:t>
      </w:r>
      <w:r>
        <w:rPr/>
        <w:t>risco</w:t>
      </w:r>
      <w:r>
        <w:rPr>
          <w:spacing w:val="-1"/>
        </w:rPr>
        <w:t> </w:t>
      </w:r>
      <w:r>
        <w:rPr/>
        <w:t>de</w:t>
      </w:r>
      <w:r>
        <w:rPr>
          <w:spacing w:val="-4"/>
        </w:rPr>
        <w:t> </w:t>
      </w:r>
      <w:r>
        <w:rPr/>
        <w:t>vida</w:t>
      </w:r>
      <w:r>
        <w:rPr>
          <w:spacing w:val="-4"/>
        </w:rPr>
        <w:t> </w:t>
      </w:r>
      <w:r>
        <w:rPr/>
        <w:t>para</w:t>
      </w:r>
      <w:r>
        <w:rPr>
          <w:spacing w:val="-4"/>
        </w:rPr>
        <w:t> </w:t>
      </w:r>
      <w:r>
        <w:rPr/>
        <w:t>o</w:t>
      </w:r>
      <w:r>
        <w:rPr>
          <w:spacing w:val="-1"/>
        </w:rPr>
        <w:t> </w:t>
      </w:r>
      <w:r>
        <w:rPr/>
        <w:t>paciente, o</w:t>
      </w:r>
      <w:r>
        <w:rPr>
          <w:spacing w:val="-1"/>
        </w:rPr>
        <w:t> </w:t>
      </w:r>
      <w:r>
        <w:rPr/>
        <w:t>da</w:t>
      </w:r>
      <w:r>
        <w:rPr>
          <w:spacing w:val="-4"/>
        </w:rPr>
        <w:t> </w:t>
      </w:r>
      <w:r>
        <w:rPr/>
        <w:t>artéria</w:t>
      </w:r>
      <w:r>
        <w:rPr>
          <w:spacing w:val="-4"/>
        </w:rPr>
        <w:t> </w:t>
      </w:r>
      <w:r>
        <w:rPr/>
        <w:t>poplítea representa</w:t>
      </w:r>
      <w:r>
        <w:rPr>
          <w:spacing w:val="-1"/>
        </w:rPr>
        <w:t> </w:t>
      </w:r>
      <w:r>
        <w:rPr/>
        <w:t>risco de</w:t>
      </w:r>
      <w:r>
        <w:rPr>
          <w:spacing w:val="-1"/>
        </w:rPr>
        <w:t> </w:t>
      </w:r>
      <w:r>
        <w:rPr/>
        <w:t>perda</w:t>
      </w:r>
      <w:r>
        <w:rPr>
          <w:spacing w:val="-1"/>
        </w:rPr>
        <w:t> </w:t>
      </w:r>
      <w:r>
        <w:rPr/>
        <w:t>de</w:t>
      </w:r>
      <w:r>
        <w:rPr>
          <w:spacing w:val="-1"/>
        </w:rPr>
        <w:t> </w:t>
      </w:r>
      <w:r>
        <w:rPr/>
        <w:t>membro, pois suas principais complicações são de</w:t>
      </w:r>
      <w:r>
        <w:rPr>
          <w:spacing w:val="-1"/>
        </w:rPr>
        <w:t> </w:t>
      </w:r>
      <w:r>
        <w:rPr/>
        <w:t>caráter isquêmico.</w:t>
      </w:r>
    </w:p>
    <w:p>
      <w:pPr>
        <w:pStyle w:val="BodyText"/>
        <w:spacing w:before="134"/>
        <w:ind w:left="0" w:firstLine="0"/>
        <w:jc w:val="left"/>
      </w:pPr>
    </w:p>
    <w:p>
      <w:pPr>
        <w:pStyle w:val="Heading5"/>
      </w:pPr>
      <w:r>
        <w:rPr>
          <w:color w:val="A26108"/>
          <w:spacing w:val="-2"/>
        </w:rPr>
        <w:t>Etiopatogenia</w:t>
      </w:r>
    </w:p>
    <w:p>
      <w:pPr>
        <w:pStyle w:val="BodyText"/>
        <w:spacing w:line="276" w:lineRule="auto" w:before="138"/>
        <w:ind w:right="491"/>
      </w:pPr>
      <w:r>
        <w:rPr/>
        <w:t>A grande maioria dos aneurismas poplíteos é de etiologia degenerativa, sendo ocasionalmente de origem infecciosa ou traumática; nos traumas arteriais, a lesão do vaso provoca extravasamento sanguíneo com formação de pseudoaneurismas.</w:t>
      </w:r>
    </w:p>
    <w:p>
      <w:pPr>
        <w:pStyle w:val="BodyText"/>
        <w:spacing w:before="118"/>
        <w:ind w:left="0" w:firstLine="0"/>
        <w:jc w:val="left"/>
      </w:pPr>
    </w:p>
    <w:p>
      <w:pPr>
        <w:pStyle w:val="Heading5"/>
      </w:pPr>
      <w:r>
        <w:rPr>
          <w:color w:val="A26108"/>
        </w:rPr>
        <w:t>Evolução</w:t>
      </w:r>
      <w:r>
        <w:rPr>
          <w:color w:val="A26108"/>
          <w:spacing w:val="28"/>
        </w:rPr>
        <w:t> </w:t>
      </w:r>
      <w:r>
        <w:rPr>
          <w:color w:val="A26108"/>
          <w:spacing w:val="-2"/>
        </w:rPr>
        <w:t>natural</w:t>
      </w:r>
    </w:p>
    <w:p>
      <w:pPr>
        <w:pStyle w:val="BodyText"/>
        <w:spacing w:line="280" w:lineRule="auto" w:before="138"/>
        <w:ind w:right="494"/>
      </w:pPr>
      <w:r>
        <w:rPr/>
        <w:t>O</w:t>
      </w:r>
      <w:r>
        <w:rPr>
          <w:spacing w:val="-5"/>
        </w:rPr>
        <w:t> </w:t>
      </w:r>
      <w:r>
        <w:rPr/>
        <w:t>acompanhamento</w:t>
      </w:r>
      <w:r>
        <w:rPr>
          <w:spacing w:val="-2"/>
        </w:rPr>
        <w:t> </w:t>
      </w:r>
      <w:r>
        <w:rPr/>
        <w:t>clínico</w:t>
      </w:r>
      <w:r>
        <w:rPr>
          <w:spacing w:val="-2"/>
        </w:rPr>
        <w:t> </w:t>
      </w:r>
      <w:r>
        <w:rPr/>
        <w:t>dos aneurismas poplíteos tem</w:t>
      </w:r>
      <w:r>
        <w:rPr>
          <w:spacing w:val="-2"/>
        </w:rPr>
        <w:t> </w:t>
      </w:r>
      <w:r>
        <w:rPr/>
        <w:t>mostrado</w:t>
      </w:r>
      <w:r>
        <w:rPr>
          <w:spacing w:val="-2"/>
        </w:rPr>
        <w:t> </w:t>
      </w:r>
      <w:r>
        <w:rPr/>
        <w:t>altos índices de</w:t>
      </w:r>
      <w:r>
        <w:rPr>
          <w:spacing w:val="-5"/>
        </w:rPr>
        <w:t> </w:t>
      </w:r>
      <w:r>
        <w:rPr/>
        <w:t>complicações. Wychulis </w:t>
      </w:r>
      <w:r>
        <w:rPr>
          <w:i/>
        </w:rPr>
        <w:t>et al.</w:t>
      </w:r>
      <w:r>
        <w:rPr/>
        <w:t>, acompanhando clinicamente 94 pacientes com aneurismas não complicados, relataram complicações em 31%, três dos quais tiveram o membro amputado.</w:t>
      </w:r>
      <w:r>
        <w:rPr>
          <w:vertAlign w:val="superscript"/>
        </w:rPr>
        <w:t>1</w:t>
      </w:r>
      <w:r>
        <w:rPr>
          <w:vertAlign w:val="baseline"/>
        </w:rPr>
        <w:t> Em 1991, Dawson </w:t>
      </w:r>
      <w:r>
        <w:rPr>
          <w:i/>
          <w:vertAlign w:val="baseline"/>
        </w:rPr>
        <w:t>et al. </w:t>
      </w:r>
      <w:r>
        <w:rPr>
          <w:vertAlign w:val="baseline"/>
        </w:rPr>
        <w:t>relataram que em 57% dos aneurismas assintomáticos, que foram tratados de maneira conservadora, desenvolveram-se complicações, e a maioria delas ocorreu nos primeiros 2 anos de seguimento. Calcularam que a probabilidade de ocorrer complicações aumentava com o tempo, chegando a 74% em 5 anos.</w:t>
      </w:r>
      <w:r>
        <w:rPr>
          <w:vertAlign w:val="superscript"/>
        </w:rPr>
        <w:t>2</w:t>
      </w:r>
      <w:r>
        <w:rPr>
          <w:vertAlign w:val="baseline"/>
        </w:rPr>
        <w:t> Esse mesmo grupo fez uma revisão dos trabalhos publicados desde 1980 na literatura de língua inglesa, em que, no total, foram incluídos 1.673 pacientes em 29 estudos, verificando que o risco de complicações isquêmicas dos aneurismas da poplítea que receberam tratamento conservador variou de</w:t>
      </w:r>
      <w:r>
        <w:rPr>
          <w:spacing w:val="-3"/>
          <w:vertAlign w:val="baseline"/>
        </w:rPr>
        <w:t> </w:t>
      </w:r>
      <w:r>
        <w:rPr>
          <w:vertAlign w:val="baseline"/>
        </w:rPr>
        <w:t>8 a</w:t>
      </w:r>
      <w:r>
        <w:rPr>
          <w:spacing w:val="-3"/>
          <w:vertAlign w:val="baseline"/>
        </w:rPr>
        <w:t> </w:t>
      </w:r>
      <w:r>
        <w:rPr>
          <w:vertAlign w:val="baseline"/>
        </w:rPr>
        <w:t>100%, sendo em média</w:t>
      </w:r>
      <w:r>
        <w:rPr>
          <w:spacing w:val="-3"/>
          <w:vertAlign w:val="baseline"/>
        </w:rPr>
        <w:t> </w:t>
      </w:r>
      <w:r>
        <w:rPr>
          <w:vertAlign w:val="baseline"/>
        </w:rPr>
        <w:t>de</w:t>
      </w:r>
      <w:r>
        <w:rPr>
          <w:spacing w:val="-3"/>
          <w:vertAlign w:val="baseline"/>
        </w:rPr>
        <w:t> </w:t>
      </w:r>
      <w:r>
        <w:rPr>
          <w:vertAlign w:val="baseline"/>
        </w:rPr>
        <w:t>36%, dependendo da</w:t>
      </w:r>
      <w:r>
        <w:rPr>
          <w:spacing w:val="-3"/>
          <w:vertAlign w:val="baseline"/>
        </w:rPr>
        <w:t> </w:t>
      </w:r>
      <w:r>
        <w:rPr>
          <w:vertAlign w:val="baseline"/>
        </w:rPr>
        <w:t>seleção dos pacientes e</w:t>
      </w:r>
      <w:r>
        <w:rPr>
          <w:spacing w:val="-3"/>
          <w:vertAlign w:val="baseline"/>
        </w:rPr>
        <w:t> </w:t>
      </w:r>
      <w:r>
        <w:rPr>
          <w:vertAlign w:val="baseline"/>
        </w:rPr>
        <w:t>da</w:t>
      </w:r>
      <w:r>
        <w:rPr>
          <w:spacing w:val="-3"/>
          <w:vertAlign w:val="baseline"/>
        </w:rPr>
        <w:t> </w:t>
      </w:r>
      <w:r>
        <w:rPr>
          <w:vertAlign w:val="baseline"/>
        </w:rPr>
        <w:t>duração do seguimento.</w:t>
      </w:r>
      <w:r>
        <w:rPr>
          <w:vertAlign w:val="superscript"/>
        </w:rPr>
        <w:t>3</w:t>
      </w:r>
    </w:p>
    <w:p>
      <w:pPr>
        <w:pStyle w:val="BodyText"/>
        <w:spacing w:before="135"/>
        <w:ind w:left="0" w:firstLine="0"/>
        <w:jc w:val="left"/>
      </w:pPr>
    </w:p>
    <w:p>
      <w:pPr>
        <w:pStyle w:val="Heading5"/>
      </w:pPr>
      <w:r>
        <w:rPr>
          <w:color w:val="A26108"/>
        </w:rPr>
        <w:t>Incidência</w:t>
      </w:r>
      <w:r>
        <w:rPr>
          <w:color w:val="A26108"/>
          <w:spacing w:val="21"/>
        </w:rPr>
        <w:t> </w:t>
      </w:r>
      <w:r>
        <w:rPr>
          <w:color w:val="A26108"/>
        </w:rPr>
        <w:t>e</w:t>
      </w:r>
      <w:r>
        <w:rPr>
          <w:color w:val="A26108"/>
          <w:spacing w:val="21"/>
        </w:rPr>
        <w:t> </w:t>
      </w:r>
      <w:r>
        <w:rPr>
          <w:color w:val="A26108"/>
        </w:rPr>
        <w:t>doenças</w:t>
      </w:r>
      <w:r>
        <w:rPr>
          <w:color w:val="A26108"/>
          <w:spacing w:val="21"/>
        </w:rPr>
        <w:t> </w:t>
      </w:r>
      <w:r>
        <w:rPr>
          <w:color w:val="A26108"/>
          <w:spacing w:val="-2"/>
        </w:rPr>
        <w:t>associadas</w:t>
      </w:r>
    </w:p>
    <w:p>
      <w:pPr>
        <w:pStyle w:val="BodyText"/>
        <w:spacing w:line="280" w:lineRule="auto" w:before="139"/>
        <w:ind w:right="497"/>
      </w:pPr>
      <w:r>
        <w:rPr/>
        <w:t>O</w:t>
      </w:r>
      <w:r>
        <w:rPr>
          <w:spacing w:val="-5"/>
        </w:rPr>
        <w:t> </w:t>
      </w:r>
      <w:r>
        <w:rPr/>
        <w:t>aneurisma</w:t>
      </w:r>
      <w:r>
        <w:rPr>
          <w:spacing w:val="-5"/>
        </w:rPr>
        <w:t> </w:t>
      </w:r>
      <w:r>
        <w:rPr/>
        <w:t>da</w:t>
      </w:r>
      <w:r>
        <w:rPr>
          <w:spacing w:val="-5"/>
        </w:rPr>
        <w:t> </w:t>
      </w:r>
      <w:r>
        <w:rPr/>
        <w:t>artéria</w:t>
      </w:r>
      <w:r>
        <w:rPr>
          <w:spacing w:val="-5"/>
        </w:rPr>
        <w:t> </w:t>
      </w:r>
      <w:r>
        <w:rPr/>
        <w:t>poplítea</w:t>
      </w:r>
      <w:r>
        <w:rPr>
          <w:spacing w:val="-5"/>
        </w:rPr>
        <w:t> </w:t>
      </w:r>
      <w:r>
        <w:rPr/>
        <w:t>ocorre</w:t>
      </w:r>
      <w:r>
        <w:rPr>
          <w:spacing w:val="-5"/>
        </w:rPr>
        <w:t> </w:t>
      </w:r>
      <w:r>
        <w:rPr/>
        <w:t>predominantemente</w:t>
      </w:r>
      <w:r>
        <w:rPr>
          <w:spacing w:val="-5"/>
        </w:rPr>
        <w:t> </w:t>
      </w:r>
      <w:r>
        <w:rPr/>
        <w:t>no</w:t>
      </w:r>
      <w:r>
        <w:rPr>
          <w:spacing w:val="-3"/>
        </w:rPr>
        <w:t> </w:t>
      </w:r>
      <w:r>
        <w:rPr/>
        <w:t>homem. Em</w:t>
      </w:r>
      <w:r>
        <w:rPr>
          <w:spacing w:val="-3"/>
        </w:rPr>
        <w:t> </w:t>
      </w:r>
      <w:r>
        <w:rPr/>
        <w:t>nossa</w:t>
      </w:r>
      <w:r>
        <w:rPr>
          <w:spacing w:val="-5"/>
        </w:rPr>
        <w:t> </w:t>
      </w:r>
      <w:r>
        <w:rPr/>
        <w:t>experiência, em</w:t>
      </w:r>
      <w:r>
        <w:rPr>
          <w:spacing w:val="-3"/>
        </w:rPr>
        <w:t> </w:t>
      </w:r>
      <w:r>
        <w:rPr/>
        <w:t>112</w:t>
      </w:r>
      <w:r>
        <w:rPr>
          <w:spacing w:val="-3"/>
        </w:rPr>
        <w:t> </w:t>
      </w:r>
      <w:r>
        <w:rPr/>
        <w:t>pacientes tratados cirurgicamente, somente seis eram mulheres.</w:t>
      </w:r>
      <w:r>
        <w:rPr>
          <w:vertAlign w:val="superscript"/>
        </w:rPr>
        <w:t>4</w:t>
      </w:r>
      <w:r>
        <w:rPr>
          <w:vertAlign w:val="baseline"/>
        </w:rPr>
        <w:t> Em trabalho anterior por nós publicado,</w:t>
      </w:r>
      <w:r>
        <w:rPr>
          <w:vertAlign w:val="superscript"/>
        </w:rPr>
        <w:t>5</w:t>
      </w:r>
      <w:r>
        <w:rPr>
          <w:vertAlign w:val="baseline"/>
        </w:rPr>
        <w:t> a casuística era composta somente de pacientes do sexo masculino. Como sua etiologia mais frequente é a degeneração da parede arterial, esses aneurismas prevalecem em pacientes acima dos 55 anos e, em número significativo de casos, são acompanhados de manifestações isquêmicas em outros setores do organismo. Em nossa série, cardiopatia isquêmica estava presente em 25% dos pacientes e insuficiência vascular cerebral, em 11%; a associação de hipertensão arterial e aneurisma poplíteo foi a mais frequente, tendo ocorrido em mais da metade de nossos casos, ao passo que a associação com diabetes ocorreu em somente 13%. Aneurisma de aorta foi observado em 28% de nossos pacientes,</w:t>
      </w:r>
      <w:r>
        <w:rPr>
          <w:vertAlign w:val="superscript"/>
        </w:rPr>
        <w:t>4</w:t>
      </w:r>
      <w:r>
        <w:rPr>
          <w:vertAlign w:val="baseline"/>
        </w:rPr>
        <w:t> índice baixo quando comparado com o relatado por outros autores, que atinge 35 a 50%.</w:t>
      </w:r>
      <w:r>
        <w:rPr>
          <w:vertAlign w:val="superscript"/>
        </w:rPr>
        <w:t>1,6,7</w:t>
      </w:r>
      <w:r>
        <w:rPr>
          <w:vertAlign w:val="baseline"/>
        </w:rPr>
        <w:t> Existem relatos de</w:t>
      </w:r>
      <w:r>
        <w:rPr>
          <w:spacing w:val="-2"/>
          <w:vertAlign w:val="baseline"/>
        </w:rPr>
        <w:t> </w:t>
      </w:r>
      <w:r>
        <w:rPr>
          <w:vertAlign w:val="baseline"/>
        </w:rPr>
        <w:t>que</w:t>
      </w:r>
      <w:r>
        <w:rPr>
          <w:spacing w:val="-2"/>
          <w:vertAlign w:val="baseline"/>
        </w:rPr>
        <w:t> </w:t>
      </w:r>
      <w:r>
        <w:rPr>
          <w:vertAlign w:val="baseline"/>
        </w:rPr>
        <w:t>essa</w:t>
      </w:r>
      <w:r>
        <w:rPr>
          <w:spacing w:val="-2"/>
          <w:vertAlign w:val="baseline"/>
        </w:rPr>
        <w:t> </w:t>
      </w:r>
      <w:r>
        <w:rPr>
          <w:vertAlign w:val="baseline"/>
        </w:rPr>
        <w:t>associação é</w:t>
      </w:r>
      <w:r>
        <w:rPr>
          <w:spacing w:val="-2"/>
          <w:vertAlign w:val="baseline"/>
        </w:rPr>
        <w:t> </w:t>
      </w:r>
      <w:r>
        <w:rPr>
          <w:vertAlign w:val="baseline"/>
        </w:rPr>
        <w:t>mais frequente</w:t>
      </w:r>
      <w:r>
        <w:rPr>
          <w:spacing w:val="-2"/>
          <w:vertAlign w:val="baseline"/>
        </w:rPr>
        <w:t> </w:t>
      </w:r>
      <w:r>
        <w:rPr>
          <w:vertAlign w:val="baseline"/>
        </w:rPr>
        <w:t>quando o aneurisma</w:t>
      </w:r>
      <w:r>
        <w:rPr>
          <w:spacing w:val="-2"/>
          <w:vertAlign w:val="baseline"/>
        </w:rPr>
        <w:t> </w:t>
      </w:r>
      <w:r>
        <w:rPr>
          <w:vertAlign w:val="baseline"/>
        </w:rPr>
        <w:t>da</w:t>
      </w:r>
      <w:r>
        <w:rPr>
          <w:spacing w:val="-2"/>
          <w:vertAlign w:val="baseline"/>
        </w:rPr>
        <w:t> </w:t>
      </w:r>
      <w:r>
        <w:rPr>
          <w:vertAlign w:val="baseline"/>
        </w:rPr>
        <w:t>poplítea</w:t>
      </w:r>
      <w:r>
        <w:rPr>
          <w:spacing w:val="-2"/>
          <w:vertAlign w:val="baseline"/>
        </w:rPr>
        <w:t> </w:t>
      </w:r>
      <w:r>
        <w:rPr>
          <w:vertAlign w:val="baseline"/>
        </w:rPr>
        <w:t>é</w:t>
      </w:r>
      <w:r>
        <w:rPr>
          <w:spacing w:val="-2"/>
          <w:vertAlign w:val="baseline"/>
        </w:rPr>
        <w:t> </w:t>
      </w:r>
      <w:r>
        <w:rPr>
          <w:vertAlign w:val="baseline"/>
        </w:rPr>
        <w:t>bilateral, alcançando até 70%,</w:t>
      </w:r>
      <w:r>
        <w:rPr>
          <w:spacing w:val="40"/>
          <w:vertAlign w:val="baseline"/>
        </w:rPr>
        <w:t> </w:t>
      </w:r>
      <w:r>
        <w:rPr>
          <w:vertAlign w:val="baseline"/>
        </w:rPr>
        <w:t>observação</w:t>
      </w:r>
      <w:r>
        <w:rPr>
          <w:spacing w:val="39"/>
          <w:vertAlign w:val="baseline"/>
        </w:rPr>
        <w:t> </w:t>
      </w:r>
      <w:r>
        <w:rPr>
          <w:vertAlign w:val="baseline"/>
        </w:rPr>
        <w:t>esta</w:t>
      </w:r>
      <w:r>
        <w:rPr>
          <w:spacing w:val="36"/>
          <w:vertAlign w:val="baseline"/>
        </w:rPr>
        <w:t> </w:t>
      </w:r>
      <w:r>
        <w:rPr>
          <w:vertAlign w:val="baseline"/>
        </w:rPr>
        <w:t>que</w:t>
      </w:r>
      <w:r>
        <w:rPr>
          <w:spacing w:val="36"/>
          <w:vertAlign w:val="baseline"/>
        </w:rPr>
        <w:t> </w:t>
      </w:r>
      <w:r>
        <w:rPr>
          <w:vertAlign w:val="baseline"/>
        </w:rPr>
        <w:t>também</w:t>
      </w:r>
      <w:r>
        <w:rPr>
          <w:spacing w:val="39"/>
          <w:vertAlign w:val="baseline"/>
        </w:rPr>
        <w:t> </w:t>
      </w:r>
      <w:r>
        <w:rPr>
          <w:vertAlign w:val="baseline"/>
        </w:rPr>
        <w:t>foi</w:t>
      </w:r>
      <w:r>
        <w:rPr>
          <w:spacing w:val="40"/>
          <w:vertAlign w:val="baseline"/>
        </w:rPr>
        <w:t> </w:t>
      </w:r>
      <w:r>
        <w:rPr>
          <w:vertAlign w:val="baseline"/>
        </w:rPr>
        <w:t>por</w:t>
      </w:r>
      <w:r>
        <w:rPr>
          <w:spacing w:val="40"/>
          <w:vertAlign w:val="baseline"/>
        </w:rPr>
        <w:t> </w:t>
      </w:r>
      <w:r>
        <w:rPr>
          <w:vertAlign w:val="baseline"/>
        </w:rPr>
        <w:t>nós</w:t>
      </w:r>
      <w:r>
        <w:rPr>
          <w:spacing w:val="40"/>
          <w:vertAlign w:val="baseline"/>
        </w:rPr>
        <w:t> </w:t>
      </w:r>
      <w:r>
        <w:rPr>
          <w:vertAlign w:val="baseline"/>
        </w:rPr>
        <w:t>constatada.</w:t>
      </w:r>
      <w:r>
        <w:rPr>
          <w:vertAlign w:val="superscript"/>
        </w:rPr>
        <w:t>4,8</w:t>
      </w:r>
      <w:r>
        <w:rPr>
          <w:spacing w:val="40"/>
          <w:vertAlign w:val="baseline"/>
        </w:rPr>
        <w:t> </w:t>
      </w:r>
      <w:r>
        <w:rPr>
          <w:vertAlign w:val="baseline"/>
        </w:rPr>
        <w:t>Pacientes</w:t>
      </w:r>
      <w:r>
        <w:rPr>
          <w:spacing w:val="40"/>
          <w:vertAlign w:val="baseline"/>
        </w:rPr>
        <w:t> </w:t>
      </w:r>
      <w:r>
        <w:rPr>
          <w:vertAlign w:val="baseline"/>
        </w:rPr>
        <w:t>que</w:t>
      </w:r>
      <w:r>
        <w:rPr>
          <w:spacing w:val="37"/>
          <w:vertAlign w:val="baseline"/>
        </w:rPr>
        <w:t> </w:t>
      </w:r>
      <w:r>
        <w:rPr>
          <w:vertAlign w:val="baseline"/>
        </w:rPr>
        <w:t>apresentam</w:t>
      </w:r>
      <w:r>
        <w:rPr>
          <w:spacing w:val="40"/>
          <w:vertAlign w:val="baseline"/>
        </w:rPr>
        <w:t> </w:t>
      </w:r>
      <w:r>
        <w:rPr>
          <w:vertAlign w:val="baseline"/>
        </w:rPr>
        <w:t>aneurisma</w:t>
      </w:r>
      <w:r>
        <w:rPr>
          <w:spacing w:val="37"/>
          <w:vertAlign w:val="baseline"/>
        </w:rPr>
        <w:t> </w:t>
      </w:r>
      <w:r>
        <w:rPr>
          <w:vertAlign w:val="baseline"/>
        </w:rPr>
        <w:t>de</w:t>
      </w:r>
      <w:r>
        <w:rPr>
          <w:spacing w:val="37"/>
          <w:vertAlign w:val="baseline"/>
        </w:rPr>
        <w:t> </w:t>
      </w:r>
      <w:r>
        <w:rPr>
          <w:vertAlign w:val="baseline"/>
        </w:rPr>
        <w:t>poplítea</w:t>
      </w:r>
    </w:p>
    <w:p>
      <w:pPr>
        <w:pStyle w:val="BodyText"/>
        <w:spacing w:after="0" w:line="280" w:lineRule="auto"/>
        <w:sectPr>
          <w:pgSz w:w="11900" w:h="16840"/>
          <w:pgMar w:top="200" w:bottom="280" w:left="566" w:right="141"/>
        </w:sectPr>
      </w:pPr>
    </w:p>
    <w:p>
      <w:pPr>
        <w:pStyle w:val="BodyText"/>
        <w:spacing w:line="283" w:lineRule="auto" w:before="61"/>
        <w:ind w:right="497" w:firstLine="0"/>
      </w:pPr>
      <w:r>
        <w:rPr/>
        <w:t>unilateral</w:t>
      </w:r>
      <w:r>
        <w:rPr>
          <w:spacing w:val="-4"/>
        </w:rPr>
        <w:t> </w:t>
      </w:r>
      <w:r>
        <w:rPr/>
        <w:t>de</w:t>
      </w:r>
      <w:r>
        <w:rPr>
          <w:spacing w:val="-8"/>
        </w:rPr>
        <w:t> </w:t>
      </w:r>
      <w:r>
        <w:rPr/>
        <w:t>início</w:t>
      </w:r>
      <w:r>
        <w:rPr>
          <w:spacing w:val="-6"/>
        </w:rPr>
        <w:t> </w:t>
      </w:r>
      <w:r>
        <w:rPr/>
        <w:t>devem</w:t>
      </w:r>
      <w:r>
        <w:rPr>
          <w:spacing w:val="-6"/>
        </w:rPr>
        <w:t> </w:t>
      </w:r>
      <w:r>
        <w:rPr/>
        <w:t>necessariamente</w:t>
      </w:r>
      <w:r>
        <w:rPr>
          <w:spacing w:val="-8"/>
        </w:rPr>
        <w:t> </w:t>
      </w:r>
      <w:r>
        <w:rPr/>
        <w:t>ser</w:t>
      </w:r>
      <w:r>
        <w:rPr>
          <w:spacing w:val="-2"/>
        </w:rPr>
        <w:t> </w:t>
      </w:r>
      <w:r>
        <w:rPr/>
        <w:t>acompanhados, pois no</w:t>
      </w:r>
      <w:r>
        <w:rPr>
          <w:spacing w:val="-6"/>
        </w:rPr>
        <w:t> </w:t>
      </w:r>
      <w:r>
        <w:rPr/>
        <w:t>decorrer</w:t>
      </w:r>
      <w:r>
        <w:rPr>
          <w:spacing w:val="-2"/>
        </w:rPr>
        <w:t> </w:t>
      </w:r>
      <w:r>
        <w:rPr/>
        <w:t>do</w:t>
      </w:r>
      <w:r>
        <w:rPr>
          <w:spacing w:val="-6"/>
        </w:rPr>
        <w:t> </w:t>
      </w:r>
      <w:r>
        <w:rPr/>
        <w:t>tempo</w:t>
      </w:r>
      <w:r>
        <w:rPr>
          <w:spacing w:val="-6"/>
        </w:rPr>
        <w:t> </w:t>
      </w:r>
      <w:r>
        <w:rPr/>
        <w:t>poderá</w:t>
      </w:r>
      <w:r>
        <w:rPr>
          <w:spacing w:val="-8"/>
        </w:rPr>
        <w:t> </w:t>
      </w:r>
      <w:r>
        <w:rPr/>
        <w:t>aparecer</w:t>
      </w:r>
      <w:r>
        <w:rPr>
          <w:spacing w:val="-2"/>
        </w:rPr>
        <w:t> </w:t>
      </w:r>
      <w:r>
        <w:rPr/>
        <w:t>dilatação aneurismática da poplítea do membro oposto, o que ocorreu em seis pacientes de nossa casuística, em intervalo de tempo que variou de 3 a 10 anos.</w:t>
      </w:r>
      <w:r>
        <w:rPr>
          <w:vertAlign w:val="superscript"/>
        </w:rPr>
        <w:t>4</w:t>
      </w:r>
    </w:p>
    <w:p>
      <w:pPr>
        <w:pStyle w:val="BodyText"/>
        <w:spacing w:before="125"/>
        <w:ind w:left="0" w:firstLine="0"/>
        <w:jc w:val="left"/>
      </w:pPr>
    </w:p>
    <w:p>
      <w:pPr>
        <w:pStyle w:val="Heading5"/>
      </w:pPr>
      <w:r>
        <w:rPr>
          <w:color w:val="A26108"/>
        </w:rPr>
        <w:t>Quadro</w:t>
      </w:r>
      <w:r>
        <w:rPr>
          <w:color w:val="A26108"/>
          <w:spacing w:val="23"/>
        </w:rPr>
        <w:t> </w:t>
      </w:r>
      <w:r>
        <w:rPr>
          <w:color w:val="A26108"/>
          <w:spacing w:val="-2"/>
        </w:rPr>
        <w:t>clínico</w:t>
      </w:r>
    </w:p>
    <w:p>
      <w:pPr>
        <w:pStyle w:val="BodyText"/>
        <w:spacing w:line="278" w:lineRule="auto" w:before="139"/>
        <w:ind w:right="488"/>
      </w:pPr>
      <w:r>
        <w:rPr/>
        <w:t>Com frequência, o aneurisma poplíteo evolui assintomático por longo tempo, provocando sintomas e sinais de compressão das estruturas vizinhas somente quando atinge proporções maiores; nessa situação pode comprimir o nervo tibial, determinando dores na perna ou na veia poplítea, ocasionando edema no membro. Quando a compressão causa trombose da veia, surgem, ao lado do edema, cianose cutânea e aumento do relevo venoso superficial. Ruptura é um evento raro nos aneurismas poplíteos, tendo ocorrido em 5/142 membros operados de nossa</w:t>
      </w:r>
      <w:r>
        <w:rPr>
          <w:spacing w:val="-8"/>
        </w:rPr>
        <w:t> </w:t>
      </w:r>
      <w:r>
        <w:rPr/>
        <w:t>série.</w:t>
      </w:r>
      <w:r>
        <w:rPr>
          <w:vertAlign w:val="superscript"/>
        </w:rPr>
        <w:t>4</w:t>
      </w:r>
      <w:r>
        <w:rPr>
          <w:vertAlign w:val="baseline"/>
        </w:rPr>
        <w:t> Nessa circunstância, o paciente refere dor aguda associada a aumento de volume no cavo poplíteo ou no terço inferior, face interna da coxa, podendo surgir sufusão hemorrágica na pele dessas regiões.</w:t>
      </w:r>
    </w:p>
    <w:p>
      <w:pPr>
        <w:pStyle w:val="BodyText"/>
        <w:spacing w:line="278" w:lineRule="auto" w:before="46"/>
        <w:ind w:right="488"/>
      </w:pPr>
      <w:r>
        <w:rPr/>
        <w:t>As manifestações clínicas que mais frequentemente levam o paciente a procurar atendimento médico são as de caráter isquêmico, seja por trombose aguda do aneurisma, determinando quadro de obstrução arterial aguda no membro, caracterizado por dor, hipotermia, palidez cutânea e impotência funcional, seja por embolização distal decorrente de fragmentação dos trombos que forram a parede interna do aneurisma. É preciso lembrar que o aneurisma poplíteo tem o maior potencial embolígeno dentre os aneurismas periféricos.</w:t>
      </w:r>
      <w:r>
        <w:rPr>
          <w:vertAlign w:val="superscript"/>
        </w:rPr>
        <w:t>8</w:t>
      </w:r>
      <w:r>
        <w:rPr>
          <w:vertAlign w:val="baseline"/>
        </w:rPr>
        <w:t> A obstrução das artérias distais pode ocasionar vários graus de isquemia, dependendo do grau da embolização, desde dor e cianose em um ou mais dedos do pé</w:t>
      </w:r>
      <w:r>
        <w:rPr>
          <w:spacing w:val="-2"/>
          <w:vertAlign w:val="baseline"/>
        </w:rPr>
        <w:t> </w:t>
      </w:r>
      <w:r>
        <w:rPr>
          <w:vertAlign w:val="baseline"/>
        </w:rPr>
        <w:t>até</w:t>
      </w:r>
      <w:r>
        <w:rPr>
          <w:spacing w:val="-2"/>
          <w:vertAlign w:val="baseline"/>
        </w:rPr>
        <w:t> </w:t>
      </w:r>
      <w:r>
        <w:rPr>
          <w:vertAlign w:val="baseline"/>
        </w:rPr>
        <w:t>manifestações isquêmicas agudas atingindo extensões maiores do membro. Embolizações pequenas e repetidas podem ocluir artérias do pé e da perna, sem que haja quadro evidente de isquemia aguda, determinando o aparecimento de</w:t>
      </w:r>
      <w:r>
        <w:rPr>
          <w:spacing w:val="-1"/>
          <w:vertAlign w:val="baseline"/>
        </w:rPr>
        <w:t> </w:t>
      </w:r>
      <w:r>
        <w:rPr>
          <w:vertAlign w:val="baseline"/>
        </w:rPr>
        <w:t>dor tipo claudicação intermitente.</w:t>
      </w:r>
    </w:p>
    <w:p>
      <w:pPr>
        <w:pStyle w:val="BodyText"/>
        <w:spacing w:before="127"/>
        <w:ind w:left="0" w:firstLine="0"/>
        <w:jc w:val="left"/>
      </w:pPr>
    </w:p>
    <w:p>
      <w:pPr>
        <w:pStyle w:val="Heading5"/>
      </w:pPr>
      <w:r>
        <w:rPr>
          <w:color w:val="A26108"/>
          <w:spacing w:val="-2"/>
        </w:rPr>
        <w:t>Diagnóstico</w:t>
      </w:r>
    </w:p>
    <w:p>
      <w:pPr>
        <w:pStyle w:val="BodyText"/>
        <w:spacing w:line="280" w:lineRule="auto" w:before="138"/>
        <w:ind w:right="497"/>
      </w:pPr>
      <w:r>
        <w:rPr/>
        <w:t>A palpação cuidadosa do cavo poplíteo e terço inferior e medial da coxa pode detectar massa tumoral pulsátil, permitindo fazer o diagnóstico clínico em muitos casos. No entanto, como a artéria poplítea está situada profundamente, torna-se difícil fazer esse diagnóstico quando a dilatação arterial tem menos de 3 cm de diâmetro, particularmente em pessoas que têm membros volumosos.</w:t>
      </w:r>
      <w:r>
        <w:rPr>
          <w:vertAlign w:val="superscript"/>
        </w:rPr>
        <w:t>8</w:t>
      </w:r>
      <w:r>
        <w:rPr>
          <w:vertAlign w:val="baseline"/>
        </w:rPr>
        <w:t> Quando esses aneurismas adquirem proporções maiores, podem se tornar visíveis no cavo poplíteo; em um paciente de nossa série,</w:t>
      </w:r>
      <w:r>
        <w:rPr>
          <w:vertAlign w:val="superscript"/>
        </w:rPr>
        <w:t>4</w:t>
      </w:r>
      <w:r>
        <w:rPr>
          <w:vertAlign w:val="baseline"/>
        </w:rPr>
        <w:t> a dilatação arterial era de tal magnitude que, em decúbito dorsal, o membro, apoiado sobre a mesa de exame, oscilava sincronicamente com os batimentos arteriais. Na</w:t>
      </w:r>
      <w:r>
        <w:rPr>
          <w:spacing w:val="-3"/>
          <w:vertAlign w:val="baseline"/>
        </w:rPr>
        <w:t> </w:t>
      </w:r>
      <w:r>
        <w:rPr>
          <w:vertAlign w:val="baseline"/>
        </w:rPr>
        <w:t>eventualidade</w:t>
      </w:r>
      <w:r>
        <w:rPr>
          <w:spacing w:val="-3"/>
          <w:vertAlign w:val="baseline"/>
        </w:rPr>
        <w:t> </w:t>
      </w:r>
      <w:r>
        <w:rPr>
          <w:vertAlign w:val="baseline"/>
        </w:rPr>
        <w:t>de</w:t>
      </w:r>
      <w:r>
        <w:rPr>
          <w:spacing w:val="-3"/>
          <w:vertAlign w:val="baseline"/>
        </w:rPr>
        <w:t> </w:t>
      </w:r>
      <w:r>
        <w:rPr>
          <w:vertAlign w:val="baseline"/>
        </w:rPr>
        <w:t>se</w:t>
      </w:r>
      <w:r>
        <w:rPr>
          <w:spacing w:val="-3"/>
          <w:vertAlign w:val="baseline"/>
        </w:rPr>
        <w:t> </w:t>
      </w:r>
      <w:r>
        <w:rPr>
          <w:vertAlign w:val="baseline"/>
        </w:rPr>
        <w:t>tratar de</w:t>
      </w:r>
      <w:r>
        <w:rPr>
          <w:spacing w:val="-3"/>
          <w:vertAlign w:val="baseline"/>
        </w:rPr>
        <w:t> </w:t>
      </w:r>
      <w:r>
        <w:rPr>
          <w:vertAlign w:val="baseline"/>
        </w:rPr>
        <w:t>aneurisma</w:t>
      </w:r>
      <w:r>
        <w:rPr>
          <w:spacing w:val="-3"/>
          <w:vertAlign w:val="baseline"/>
        </w:rPr>
        <w:t> </w:t>
      </w:r>
      <w:r>
        <w:rPr>
          <w:vertAlign w:val="baseline"/>
        </w:rPr>
        <w:t>trombosado, pode-se</w:t>
      </w:r>
      <w:r>
        <w:rPr>
          <w:spacing w:val="-3"/>
          <w:vertAlign w:val="baseline"/>
        </w:rPr>
        <w:t> </w:t>
      </w:r>
      <w:r>
        <w:rPr>
          <w:vertAlign w:val="baseline"/>
        </w:rPr>
        <w:t>palpar tumoração endurecida no espaço poplíteo que deverá ser diferenciada de tumores não vasculares, como lipomas e fibromas, mas particularmente do cisto de Baker, o que pode ser feito por meio de exames complementares como o mapeamento </w:t>
      </w:r>
      <w:r>
        <w:rPr>
          <w:spacing w:val="-2"/>
          <w:vertAlign w:val="baseline"/>
        </w:rPr>
        <w:t>duplex.</w:t>
      </w:r>
      <w:r>
        <w:rPr>
          <w:spacing w:val="-2"/>
          <w:vertAlign w:val="superscript"/>
        </w:rPr>
        <w:t>9</w:t>
      </w:r>
    </w:p>
    <w:p>
      <w:pPr>
        <w:pStyle w:val="BodyText"/>
        <w:spacing w:line="278" w:lineRule="auto" w:before="61"/>
        <w:ind w:right="497"/>
      </w:pPr>
      <w:r>
        <w:rPr/>
        <w:t>A ultrassonografia, método simples, barato, não invasivo e disponível em qualquer meio, fornece informações bastante precisas sobre o aneurisma: extensão, diâmetro da dilatação e presença de trombos laminares parietais (</w:t>
      </w:r>
      <w:r>
        <w:rPr>
          <w:color w:val="505050"/>
        </w:rPr>
        <w:t>Figura 59.7</w:t>
      </w:r>
      <w:r>
        <w:rPr/>
        <w:t>). Quando acoplada ao Doppler (mapeamento duplex), com imagem colorida do fluxo sanguíneo, permite também estudar as características do fluxo no interior do saco aneurismático (</w:t>
      </w:r>
      <w:r>
        <w:rPr>
          <w:color w:val="505050"/>
        </w:rPr>
        <w:t>Figura 59.8</w:t>
      </w:r>
      <w:r>
        <w:rPr/>
        <w:t>). Por meio de estudos ultrassonográficos, calculou-se o diâmetro médio da artéria poplítea normal como sendo de 0,9 cm; assim, uma artéria que tenha 1,5 cm de diâmetro já é considerada aneurismática. Entretanto, Szilagyi </w:t>
      </w:r>
      <w:r>
        <w:rPr>
          <w:i/>
        </w:rPr>
        <w:t>et al</w:t>
      </w:r>
      <w:r>
        <w:rPr/>
        <w:t>. propuseram considerar a</w:t>
      </w:r>
      <w:r>
        <w:rPr>
          <w:spacing w:val="-7"/>
        </w:rPr>
        <w:t> </w:t>
      </w:r>
      <w:r>
        <w:rPr/>
        <w:t>artéria</w:t>
      </w:r>
      <w:r>
        <w:rPr>
          <w:spacing w:val="-7"/>
        </w:rPr>
        <w:t> </w:t>
      </w:r>
      <w:r>
        <w:rPr/>
        <w:t>poplítea</w:t>
      </w:r>
      <w:r>
        <w:rPr>
          <w:spacing w:val="-7"/>
        </w:rPr>
        <w:t> </w:t>
      </w:r>
      <w:r>
        <w:rPr/>
        <w:t>aneurismática</w:t>
      </w:r>
      <w:r>
        <w:rPr>
          <w:spacing w:val="-7"/>
        </w:rPr>
        <w:t> </w:t>
      </w:r>
      <w:r>
        <w:rPr/>
        <w:t>a</w:t>
      </w:r>
      <w:r>
        <w:rPr>
          <w:spacing w:val="-7"/>
        </w:rPr>
        <w:t> </w:t>
      </w:r>
      <w:r>
        <w:rPr/>
        <w:t>partir do</w:t>
      </w:r>
      <w:r>
        <w:rPr>
          <w:spacing w:val="-4"/>
        </w:rPr>
        <w:t> </w:t>
      </w:r>
      <w:r>
        <w:rPr/>
        <w:t>2</w:t>
      </w:r>
      <w:r>
        <w:rPr>
          <w:spacing w:val="-4"/>
        </w:rPr>
        <w:t> </w:t>
      </w:r>
      <w:r>
        <w:rPr/>
        <w:t>cm</w:t>
      </w:r>
      <w:r>
        <w:rPr>
          <w:spacing w:val="-4"/>
        </w:rPr>
        <w:t> </w:t>
      </w:r>
      <w:r>
        <w:rPr/>
        <w:t>de</w:t>
      </w:r>
      <w:r>
        <w:rPr>
          <w:spacing w:val="-7"/>
        </w:rPr>
        <w:t> </w:t>
      </w:r>
      <w:r>
        <w:rPr/>
        <w:t>diâmetro, o</w:t>
      </w:r>
      <w:r>
        <w:rPr>
          <w:spacing w:val="-4"/>
        </w:rPr>
        <w:t> </w:t>
      </w:r>
      <w:r>
        <w:rPr/>
        <w:t>que</w:t>
      </w:r>
      <w:r>
        <w:rPr>
          <w:spacing w:val="-7"/>
        </w:rPr>
        <w:t> </w:t>
      </w:r>
      <w:r>
        <w:rPr/>
        <w:t>foi</w:t>
      </w:r>
      <w:r>
        <w:rPr>
          <w:spacing w:val="-1"/>
        </w:rPr>
        <w:t> </w:t>
      </w:r>
      <w:r>
        <w:rPr/>
        <w:t>aceito</w:t>
      </w:r>
      <w:r>
        <w:rPr>
          <w:spacing w:val="-4"/>
        </w:rPr>
        <w:t> </w:t>
      </w:r>
      <w:r>
        <w:rPr/>
        <w:t>pela</w:t>
      </w:r>
      <w:r>
        <w:rPr>
          <w:spacing w:val="-7"/>
        </w:rPr>
        <w:t> </w:t>
      </w:r>
      <w:r>
        <w:rPr/>
        <w:t>maioria</w:t>
      </w:r>
      <w:r>
        <w:rPr>
          <w:spacing w:val="-7"/>
        </w:rPr>
        <w:t> </w:t>
      </w:r>
      <w:r>
        <w:rPr/>
        <w:t>dos cirurgiões </w:t>
      </w:r>
      <w:r>
        <w:rPr>
          <w:spacing w:val="-2"/>
        </w:rPr>
        <w:t>vasculares.</w:t>
      </w:r>
      <w:r>
        <w:rPr>
          <w:spacing w:val="-2"/>
          <w:vertAlign w:val="superscript"/>
        </w:rPr>
        <w:t>10</w:t>
      </w:r>
    </w:p>
    <w:p>
      <w:pPr>
        <w:pStyle w:val="BodyText"/>
        <w:spacing w:line="280" w:lineRule="auto" w:before="44"/>
        <w:ind w:right="491"/>
      </w:pPr>
      <w:r>
        <w:rPr/>
        <w:t>A TC e a RM podem ser utilizadas quando a ultrassonografia não for suficientemente clara para diagnosticar o aneurisma, o que raramente ocorre. Além disso, são métodos mais dispendiosos que acrescentam pouco aos dados obtidos com a ultrassonografia, apesar de alguns autores acharem que a TC contrastada revela com mais precisão os trombos parietais.</w:t>
      </w:r>
      <w:r>
        <w:rPr>
          <w:vertAlign w:val="superscript"/>
        </w:rPr>
        <w:t>11</w:t>
      </w:r>
    </w:p>
    <w:p>
      <w:pPr>
        <w:pStyle w:val="BodyText"/>
        <w:spacing w:line="280" w:lineRule="auto" w:before="60"/>
        <w:ind w:right="498"/>
      </w:pPr>
      <w:r>
        <w:rPr/>
        <w:t>O</w:t>
      </w:r>
      <w:r>
        <w:rPr>
          <w:spacing w:val="-5"/>
        </w:rPr>
        <w:t> </w:t>
      </w:r>
      <w:r>
        <w:rPr/>
        <w:t>estudo</w:t>
      </w:r>
      <w:r>
        <w:rPr>
          <w:spacing w:val="-3"/>
        </w:rPr>
        <w:t> </w:t>
      </w:r>
      <w:r>
        <w:rPr/>
        <w:t>arteriográfico</w:t>
      </w:r>
      <w:r>
        <w:rPr>
          <w:spacing w:val="-3"/>
        </w:rPr>
        <w:t> </w:t>
      </w:r>
      <w:r>
        <w:rPr/>
        <w:t>(</w:t>
      </w:r>
      <w:r>
        <w:rPr>
          <w:color w:val="505050"/>
        </w:rPr>
        <w:t>Figura</w:t>
      </w:r>
      <w:r>
        <w:rPr>
          <w:color w:val="505050"/>
          <w:spacing w:val="-9"/>
        </w:rPr>
        <w:t> </w:t>
      </w:r>
      <w:r>
        <w:rPr>
          <w:color w:val="505050"/>
        </w:rPr>
        <w:t>59.9</w:t>
      </w:r>
      <w:r>
        <w:rPr/>
        <w:t>) não</w:t>
      </w:r>
      <w:r>
        <w:rPr>
          <w:spacing w:val="-1"/>
        </w:rPr>
        <w:t> </w:t>
      </w:r>
      <w:r>
        <w:rPr/>
        <w:t>é</w:t>
      </w:r>
      <w:r>
        <w:rPr>
          <w:spacing w:val="-4"/>
        </w:rPr>
        <w:t> </w:t>
      </w:r>
      <w:r>
        <w:rPr/>
        <w:t>adequado</w:t>
      </w:r>
      <w:r>
        <w:rPr>
          <w:spacing w:val="-1"/>
        </w:rPr>
        <w:t> </w:t>
      </w:r>
      <w:r>
        <w:rPr/>
        <w:t>para</w:t>
      </w:r>
      <w:r>
        <w:rPr>
          <w:spacing w:val="-4"/>
        </w:rPr>
        <w:t> </w:t>
      </w:r>
      <w:r>
        <w:rPr/>
        <w:t>nos mostrar as verdadeiras dimensões do</w:t>
      </w:r>
      <w:r>
        <w:rPr>
          <w:spacing w:val="-1"/>
        </w:rPr>
        <w:t> </w:t>
      </w:r>
      <w:r>
        <w:rPr/>
        <w:t>aneurisma, pois só contrasta</w:t>
      </w:r>
      <w:r>
        <w:rPr>
          <w:spacing w:val="-2"/>
        </w:rPr>
        <w:t> </w:t>
      </w:r>
      <w:r>
        <w:rPr/>
        <w:t>o lúmen do vaso, não permitindo avaliar a</w:t>
      </w:r>
      <w:r>
        <w:rPr>
          <w:spacing w:val="-2"/>
        </w:rPr>
        <w:t> </w:t>
      </w:r>
      <w:r>
        <w:rPr/>
        <w:t>extensão da</w:t>
      </w:r>
      <w:r>
        <w:rPr>
          <w:spacing w:val="-2"/>
        </w:rPr>
        <w:t> </w:t>
      </w:r>
      <w:r>
        <w:rPr/>
        <w:t>camada</w:t>
      </w:r>
      <w:r>
        <w:rPr>
          <w:spacing w:val="-2"/>
        </w:rPr>
        <w:t> </w:t>
      </w:r>
      <w:r>
        <w:rPr/>
        <w:t>de</w:t>
      </w:r>
      <w:r>
        <w:rPr>
          <w:spacing w:val="-2"/>
        </w:rPr>
        <w:t> </w:t>
      </w:r>
      <w:r>
        <w:rPr/>
        <w:t>trombos parietais.</w:t>
      </w:r>
      <w:r>
        <w:rPr>
          <w:vertAlign w:val="superscript"/>
        </w:rPr>
        <w:t>8</w:t>
      </w:r>
      <w:r>
        <w:rPr>
          <w:vertAlign w:val="baseline"/>
        </w:rPr>
        <w:t> No entanto, a</w:t>
      </w:r>
      <w:r>
        <w:rPr>
          <w:spacing w:val="-10"/>
          <w:vertAlign w:val="baseline"/>
        </w:rPr>
        <w:t> </w:t>
      </w:r>
      <w:r>
        <w:rPr>
          <w:vertAlign w:val="baseline"/>
        </w:rPr>
        <w:t>arteriografia</w:t>
      </w:r>
      <w:r>
        <w:rPr>
          <w:spacing w:val="-10"/>
          <w:vertAlign w:val="baseline"/>
        </w:rPr>
        <w:t> </w:t>
      </w:r>
      <w:r>
        <w:rPr>
          <w:vertAlign w:val="baseline"/>
        </w:rPr>
        <w:t>é</w:t>
      </w:r>
      <w:r>
        <w:rPr>
          <w:spacing w:val="-10"/>
          <w:vertAlign w:val="baseline"/>
        </w:rPr>
        <w:t> </w:t>
      </w:r>
      <w:r>
        <w:rPr>
          <w:vertAlign w:val="baseline"/>
        </w:rPr>
        <w:t>importante</w:t>
      </w:r>
      <w:r>
        <w:rPr>
          <w:spacing w:val="-10"/>
          <w:vertAlign w:val="baseline"/>
        </w:rPr>
        <w:t> </w:t>
      </w:r>
      <w:r>
        <w:rPr>
          <w:vertAlign w:val="baseline"/>
        </w:rPr>
        <w:t>no</w:t>
      </w:r>
      <w:r>
        <w:rPr>
          <w:spacing w:val="-8"/>
          <w:vertAlign w:val="baseline"/>
        </w:rPr>
        <w:t> </w:t>
      </w:r>
      <w:r>
        <w:rPr>
          <w:vertAlign w:val="baseline"/>
        </w:rPr>
        <w:t>planejamento</w:t>
      </w:r>
      <w:r>
        <w:rPr>
          <w:spacing w:val="-8"/>
          <w:vertAlign w:val="baseline"/>
        </w:rPr>
        <w:t> </w:t>
      </w:r>
      <w:r>
        <w:rPr>
          <w:vertAlign w:val="baseline"/>
        </w:rPr>
        <w:t>cirúrgico,</w:t>
      </w:r>
      <w:r>
        <w:rPr>
          <w:spacing w:val="-1"/>
          <w:vertAlign w:val="baseline"/>
        </w:rPr>
        <w:t> </w:t>
      </w:r>
      <w:r>
        <w:rPr>
          <w:vertAlign w:val="baseline"/>
        </w:rPr>
        <w:t>pois</w:t>
      </w:r>
      <w:r>
        <w:rPr>
          <w:spacing w:val="-1"/>
          <w:vertAlign w:val="baseline"/>
        </w:rPr>
        <w:t> </w:t>
      </w:r>
      <w:r>
        <w:rPr>
          <w:vertAlign w:val="baseline"/>
        </w:rPr>
        <w:t>nos</w:t>
      </w:r>
      <w:r>
        <w:rPr>
          <w:spacing w:val="-1"/>
          <w:vertAlign w:val="baseline"/>
        </w:rPr>
        <w:t> </w:t>
      </w:r>
      <w:r>
        <w:rPr>
          <w:vertAlign w:val="baseline"/>
        </w:rPr>
        <w:t>fornece</w:t>
      </w:r>
      <w:r>
        <w:rPr>
          <w:spacing w:val="-10"/>
          <w:vertAlign w:val="baseline"/>
        </w:rPr>
        <w:t> </w:t>
      </w:r>
      <w:r>
        <w:rPr>
          <w:vertAlign w:val="baseline"/>
        </w:rPr>
        <w:t>informações</w:t>
      </w:r>
      <w:r>
        <w:rPr>
          <w:spacing w:val="-1"/>
          <w:vertAlign w:val="baseline"/>
        </w:rPr>
        <w:t> </w:t>
      </w:r>
      <w:r>
        <w:rPr>
          <w:vertAlign w:val="baseline"/>
        </w:rPr>
        <w:t>sobre</w:t>
      </w:r>
      <w:r>
        <w:rPr>
          <w:spacing w:val="-10"/>
          <w:vertAlign w:val="baseline"/>
        </w:rPr>
        <w:t> </w:t>
      </w:r>
      <w:r>
        <w:rPr>
          <w:vertAlign w:val="baseline"/>
        </w:rPr>
        <w:t>a</w:t>
      </w:r>
      <w:r>
        <w:rPr>
          <w:spacing w:val="-10"/>
          <w:vertAlign w:val="baseline"/>
        </w:rPr>
        <w:t> </w:t>
      </w:r>
      <w:r>
        <w:rPr>
          <w:vertAlign w:val="baseline"/>
        </w:rPr>
        <w:t>extensão</w:t>
      </w:r>
      <w:r>
        <w:rPr>
          <w:spacing w:val="-8"/>
          <w:vertAlign w:val="baseline"/>
        </w:rPr>
        <w:t> </w:t>
      </w:r>
      <w:r>
        <w:rPr>
          <w:vertAlign w:val="baseline"/>
        </w:rPr>
        <w:t>da</w:t>
      </w:r>
      <w:r>
        <w:rPr>
          <w:spacing w:val="-10"/>
          <w:vertAlign w:val="baseline"/>
        </w:rPr>
        <w:t> </w:t>
      </w:r>
      <w:r>
        <w:rPr>
          <w:vertAlign w:val="baseline"/>
        </w:rPr>
        <w:t>dilatação</w:t>
      </w:r>
      <w:r>
        <w:rPr>
          <w:spacing w:val="-8"/>
          <w:vertAlign w:val="baseline"/>
        </w:rPr>
        <w:t> </w:t>
      </w:r>
      <w:r>
        <w:rPr>
          <w:vertAlign w:val="baseline"/>
        </w:rPr>
        <w:t>e as condições do leito arterial proximal e distal. Atualmente está sendo substituída pela angiotomografia, procedimento menos</w:t>
      </w:r>
      <w:r>
        <w:rPr>
          <w:spacing w:val="16"/>
          <w:vertAlign w:val="baseline"/>
        </w:rPr>
        <w:t> </w:t>
      </w:r>
      <w:r>
        <w:rPr>
          <w:vertAlign w:val="baseline"/>
        </w:rPr>
        <w:t>invasivo por não necessitar de cateterização arterial e fornecer imagens</w:t>
      </w:r>
      <w:r>
        <w:rPr>
          <w:spacing w:val="16"/>
          <w:vertAlign w:val="baseline"/>
        </w:rPr>
        <w:t> </w:t>
      </w:r>
      <w:r>
        <w:rPr>
          <w:vertAlign w:val="baseline"/>
        </w:rPr>
        <w:t>de boa qualidade.</w:t>
      </w:r>
      <w:r>
        <w:rPr>
          <w:spacing w:val="16"/>
          <w:vertAlign w:val="baseline"/>
        </w:rPr>
        <w:t> </w:t>
      </w:r>
      <w:r>
        <w:rPr>
          <w:vertAlign w:val="baseline"/>
        </w:rPr>
        <w:t>A</w:t>
      </w:r>
    </w:p>
    <w:p>
      <w:pPr>
        <w:pStyle w:val="BodyText"/>
        <w:spacing w:after="0" w:line="280" w:lineRule="auto"/>
        <w:sectPr>
          <w:pgSz w:w="11900" w:h="16840"/>
          <w:pgMar w:top="220" w:bottom="280" w:left="566" w:right="141"/>
        </w:sectPr>
      </w:pPr>
    </w:p>
    <w:p>
      <w:pPr>
        <w:pStyle w:val="BodyText"/>
        <w:spacing w:line="273" w:lineRule="auto" w:before="63"/>
        <w:ind w:right="497" w:firstLine="0"/>
        <w:jc w:val="left"/>
      </w:pPr>
      <w:r>
        <w:rPr/>
        <w:t>angiorressonância</w:t>
      </w:r>
      <w:r>
        <w:rPr>
          <w:spacing w:val="-6"/>
        </w:rPr>
        <w:t> </w:t>
      </w:r>
      <w:r>
        <w:rPr/>
        <w:t>pode</w:t>
      </w:r>
      <w:r>
        <w:rPr>
          <w:spacing w:val="-6"/>
        </w:rPr>
        <w:t> </w:t>
      </w:r>
      <w:r>
        <w:rPr/>
        <w:t>constituir um</w:t>
      </w:r>
      <w:r>
        <w:rPr>
          <w:spacing w:val="-4"/>
        </w:rPr>
        <w:t> </w:t>
      </w:r>
      <w:r>
        <w:rPr/>
        <w:t>método</w:t>
      </w:r>
      <w:r>
        <w:rPr>
          <w:spacing w:val="-4"/>
        </w:rPr>
        <w:t> </w:t>
      </w:r>
      <w:r>
        <w:rPr/>
        <w:t>alternativo</w:t>
      </w:r>
      <w:r>
        <w:rPr>
          <w:spacing w:val="-4"/>
        </w:rPr>
        <w:t> </w:t>
      </w:r>
      <w:r>
        <w:rPr/>
        <w:t>à</w:t>
      </w:r>
      <w:r>
        <w:rPr>
          <w:spacing w:val="-6"/>
        </w:rPr>
        <w:t> </w:t>
      </w:r>
      <w:r>
        <w:rPr/>
        <w:t>arteriografia</w:t>
      </w:r>
      <w:r>
        <w:rPr>
          <w:spacing w:val="-6"/>
        </w:rPr>
        <w:t> </w:t>
      </w:r>
      <w:r>
        <w:rPr/>
        <w:t>e</w:t>
      </w:r>
      <w:r>
        <w:rPr>
          <w:spacing w:val="-6"/>
        </w:rPr>
        <w:t> </w:t>
      </w:r>
      <w:r>
        <w:rPr/>
        <w:t>à</w:t>
      </w:r>
      <w:r>
        <w:rPr>
          <w:spacing w:val="-6"/>
        </w:rPr>
        <w:t> </w:t>
      </w:r>
      <w:r>
        <w:rPr/>
        <w:t>angiotomografia</w:t>
      </w:r>
      <w:r>
        <w:rPr>
          <w:spacing w:val="-6"/>
        </w:rPr>
        <w:t> </w:t>
      </w:r>
      <w:r>
        <w:rPr/>
        <w:t>em</w:t>
      </w:r>
      <w:r>
        <w:rPr>
          <w:spacing w:val="-4"/>
        </w:rPr>
        <w:t> </w:t>
      </w:r>
      <w:r>
        <w:rPr/>
        <w:t>pacientes alérgicos ao contraste iodado.</w:t>
      </w:r>
    </w:p>
    <w:p>
      <w:pPr>
        <w:pStyle w:val="BodyText"/>
        <w:spacing w:before="20"/>
        <w:ind w:left="0" w:firstLine="0"/>
        <w:jc w:val="left"/>
        <w:rPr>
          <w:sz w:val="20"/>
        </w:rPr>
      </w:pPr>
      <w:r>
        <w:rPr>
          <w:sz w:val="20"/>
        </w:rPr>
        <w:drawing>
          <wp:anchor distT="0" distB="0" distL="0" distR="0" allowOverlap="1" layoutInCell="1" locked="0" behindDoc="1" simplePos="0" relativeHeight="487619072">
            <wp:simplePos x="0" y="0"/>
            <wp:positionH relativeFrom="page">
              <wp:posOffset>2018703</wp:posOffset>
            </wp:positionH>
            <wp:positionV relativeFrom="paragraph">
              <wp:posOffset>174581</wp:posOffset>
            </wp:positionV>
            <wp:extent cx="3536538" cy="5330285"/>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41" cstate="print"/>
                    <a:stretch>
                      <a:fillRect/>
                    </a:stretch>
                  </pic:blipFill>
                  <pic:spPr>
                    <a:xfrm>
                      <a:off x="0" y="0"/>
                      <a:ext cx="3536538" cy="5330285"/>
                    </a:xfrm>
                    <a:prstGeom prst="rect">
                      <a:avLst/>
                    </a:prstGeom>
                  </pic:spPr>
                </pic:pic>
              </a:graphicData>
            </a:graphic>
          </wp:anchor>
        </w:drawing>
      </w:r>
    </w:p>
    <w:p>
      <w:pPr>
        <w:pStyle w:val="BodyText"/>
        <w:spacing w:before="10"/>
        <w:ind w:left="0" w:firstLine="0"/>
        <w:jc w:val="left"/>
      </w:pPr>
    </w:p>
    <w:p>
      <w:pPr>
        <w:spacing w:line="285" w:lineRule="auto" w:before="0"/>
        <w:ind w:left="68" w:right="497" w:firstLine="0"/>
        <w:jc w:val="left"/>
        <w:rPr>
          <w:rFonts w:ascii="Microsoft Sans Serif" w:hAnsi="Microsoft Sans Serif"/>
          <w:sz w:val="19"/>
        </w:rPr>
      </w:pPr>
      <w:r>
        <w:rPr>
          <w:rFonts w:ascii="Arial" w:hAnsi="Arial"/>
          <w:b/>
          <w:color w:val="242B67"/>
          <w:sz w:val="19"/>
        </w:rPr>
        <w:t>Figura 59.7</w:t>
      </w:r>
      <w:r>
        <w:rPr>
          <w:rFonts w:ascii="Arial" w:hAnsi="Arial"/>
          <w:b/>
          <w:color w:val="242B67"/>
          <w:spacing w:val="22"/>
          <w:sz w:val="19"/>
        </w:rPr>
        <w:t> </w:t>
      </w:r>
      <w:r>
        <w:rPr>
          <w:rFonts w:ascii="Microsoft Sans Serif" w:hAnsi="Microsoft Sans Serif"/>
          <w:sz w:val="19"/>
        </w:rPr>
        <w:t>Ultrassonografia</w:t>
      </w:r>
      <w:r>
        <w:rPr>
          <w:rFonts w:ascii="Microsoft Sans Serif" w:hAnsi="Microsoft Sans Serif"/>
          <w:spacing w:val="25"/>
          <w:sz w:val="19"/>
        </w:rPr>
        <w:t> </w:t>
      </w:r>
      <w:r>
        <w:rPr>
          <w:rFonts w:ascii="Microsoft Sans Serif" w:hAnsi="Microsoft Sans Serif"/>
          <w:sz w:val="19"/>
        </w:rPr>
        <w:t>de</w:t>
      </w:r>
      <w:r>
        <w:rPr>
          <w:rFonts w:ascii="Microsoft Sans Serif" w:hAnsi="Microsoft Sans Serif"/>
          <w:spacing w:val="25"/>
          <w:sz w:val="19"/>
        </w:rPr>
        <w:t> </w:t>
      </w:r>
      <w:r>
        <w:rPr>
          <w:rFonts w:ascii="Microsoft Sans Serif" w:hAnsi="Microsoft Sans Serif"/>
          <w:sz w:val="19"/>
        </w:rPr>
        <w:t>paciente</w:t>
      </w:r>
      <w:r>
        <w:rPr>
          <w:rFonts w:ascii="Microsoft Sans Serif" w:hAnsi="Microsoft Sans Serif"/>
          <w:spacing w:val="25"/>
          <w:sz w:val="19"/>
        </w:rPr>
        <w:t> </w:t>
      </w:r>
      <w:r>
        <w:rPr>
          <w:rFonts w:ascii="Microsoft Sans Serif" w:hAnsi="Microsoft Sans Serif"/>
          <w:sz w:val="19"/>
        </w:rPr>
        <w:t>com</w:t>
      </w:r>
      <w:r>
        <w:rPr>
          <w:rFonts w:ascii="Microsoft Sans Serif" w:hAnsi="Microsoft Sans Serif"/>
          <w:spacing w:val="18"/>
          <w:sz w:val="19"/>
        </w:rPr>
        <w:t> </w:t>
      </w:r>
      <w:r>
        <w:rPr>
          <w:rFonts w:ascii="Microsoft Sans Serif" w:hAnsi="Microsoft Sans Serif"/>
          <w:sz w:val="19"/>
        </w:rPr>
        <w:t>aneurisma</w:t>
      </w:r>
      <w:r>
        <w:rPr>
          <w:rFonts w:ascii="Microsoft Sans Serif" w:hAnsi="Microsoft Sans Serif"/>
          <w:spacing w:val="25"/>
          <w:sz w:val="19"/>
        </w:rPr>
        <w:t> </w:t>
      </w:r>
      <w:r>
        <w:rPr>
          <w:rFonts w:ascii="Microsoft Sans Serif" w:hAnsi="Microsoft Sans Serif"/>
          <w:sz w:val="19"/>
        </w:rPr>
        <w:t>bilateral</w:t>
      </w:r>
      <w:r>
        <w:rPr>
          <w:rFonts w:ascii="Microsoft Sans Serif" w:hAnsi="Microsoft Sans Serif"/>
          <w:spacing w:val="25"/>
          <w:sz w:val="19"/>
        </w:rPr>
        <w:t> </w:t>
      </w:r>
      <w:r>
        <w:rPr>
          <w:rFonts w:ascii="Microsoft Sans Serif" w:hAnsi="Microsoft Sans Serif"/>
          <w:sz w:val="19"/>
        </w:rPr>
        <w:t>de</w:t>
      </w:r>
      <w:r>
        <w:rPr>
          <w:rFonts w:ascii="Microsoft Sans Serif" w:hAnsi="Microsoft Sans Serif"/>
          <w:spacing w:val="25"/>
          <w:sz w:val="19"/>
        </w:rPr>
        <w:t> </w:t>
      </w:r>
      <w:r>
        <w:rPr>
          <w:rFonts w:ascii="Microsoft Sans Serif" w:hAnsi="Microsoft Sans Serif"/>
          <w:sz w:val="19"/>
        </w:rPr>
        <w:t>artéria</w:t>
      </w:r>
      <w:r>
        <w:rPr>
          <w:rFonts w:ascii="Microsoft Sans Serif" w:hAnsi="Microsoft Sans Serif"/>
          <w:spacing w:val="25"/>
          <w:sz w:val="19"/>
        </w:rPr>
        <w:t> </w:t>
      </w:r>
      <w:r>
        <w:rPr>
          <w:rFonts w:ascii="Microsoft Sans Serif" w:hAnsi="Microsoft Sans Serif"/>
          <w:sz w:val="19"/>
        </w:rPr>
        <w:t>poplítea, com</w:t>
      </w:r>
      <w:r>
        <w:rPr>
          <w:rFonts w:ascii="Microsoft Sans Serif" w:hAnsi="Microsoft Sans Serif"/>
          <w:spacing w:val="18"/>
          <w:sz w:val="19"/>
        </w:rPr>
        <w:t> </w:t>
      </w:r>
      <w:r>
        <w:rPr>
          <w:rFonts w:ascii="Microsoft Sans Serif" w:hAnsi="Microsoft Sans Serif"/>
          <w:sz w:val="19"/>
        </w:rPr>
        <w:t>camada</w:t>
      </w:r>
      <w:r>
        <w:rPr>
          <w:rFonts w:ascii="Microsoft Sans Serif" w:hAnsi="Microsoft Sans Serif"/>
          <w:spacing w:val="25"/>
          <w:sz w:val="19"/>
        </w:rPr>
        <w:t> </w:t>
      </w:r>
      <w:r>
        <w:rPr>
          <w:rFonts w:ascii="Microsoft Sans Serif" w:hAnsi="Microsoft Sans Serif"/>
          <w:sz w:val="19"/>
        </w:rPr>
        <w:t>de</w:t>
      </w:r>
      <w:r>
        <w:rPr>
          <w:rFonts w:ascii="Microsoft Sans Serif" w:hAnsi="Microsoft Sans Serif"/>
          <w:spacing w:val="25"/>
          <w:sz w:val="19"/>
        </w:rPr>
        <w:t> </w:t>
      </w:r>
      <w:r>
        <w:rPr>
          <w:rFonts w:ascii="Microsoft Sans Serif" w:hAnsi="Microsoft Sans Serif"/>
          <w:sz w:val="19"/>
        </w:rPr>
        <w:t>trombos</w:t>
      </w:r>
      <w:r>
        <w:rPr>
          <w:rFonts w:ascii="Microsoft Sans Serif" w:hAnsi="Microsoft Sans Serif"/>
          <w:spacing w:val="18"/>
          <w:sz w:val="19"/>
        </w:rPr>
        <w:t> </w:t>
      </w:r>
      <w:r>
        <w:rPr>
          <w:rFonts w:ascii="Microsoft Sans Serif" w:hAnsi="Microsoft Sans Serif"/>
          <w:sz w:val="19"/>
        </w:rPr>
        <w:t>forrando</w:t>
      </w:r>
      <w:r>
        <w:rPr>
          <w:rFonts w:ascii="Microsoft Sans Serif" w:hAnsi="Microsoft Sans Serif"/>
          <w:spacing w:val="25"/>
          <w:sz w:val="19"/>
        </w:rPr>
        <w:t> </w:t>
      </w:r>
      <w:r>
        <w:rPr>
          <w:rFonts w:ascii="Microsoft Sans Serif" w:hAnsi="Microsoft Sans Serif"/>
          <w:sz w:val="19"/>
        </w:rPr>
        <w:t>a parede interna do saco aneurismático.</w:t>
      </w:r>
    </w:p>
    <w:p>
      <w:pPr>
        <w:spacing w:after="0" w:line="285" w:lineRule="auto"/>
        <w:jc w:val="left"/>
        <w:rPr>
          <w:rFonts w:ascii="Microsoft Sans Serif" w:hAnsi="Microsoft Sans Serif"/>
          <w:sz w:val="19"/>
        </w:rPr>
        <w:sectPr>
          <w:pgSz w:w="11900" w:h="16840"/>
          <w:pgMar w:top="220" w:bottom="280" w:left="566" w:right="141"/>
        </w:sectPr>
      </w:pPr>
    </w:p>
    <w:p>
      <w:pPr>
        <w:spacing w:line="240" w:lineRule="auto"/>
        <w:ind w:left="3077" w:right="0" w:firstLine="0"/>
        <w:rPr>
          <w:rFonts w:ascii="Microsoft Sans Serif"/>
          <w:sz w:val="20"/>
        </w:rPr>
      </w:pPr>
      <w:r>
        <w:rPr>
          <w:rFonts w:ascii="Microsoft Sans Serif"/>
          <w:sz w:val="20"/>
        </w:rPr>
        <w:drawing>
          <wp:inline distT="0" distB="0" distL="0" distR="0">
            <wp:extent cx="2945415" cy="6695979"/>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2" cstate="print"/>
                    <a:stretch>
                      <a:fillRect/>
                    </a:stretch>
                  </pic:blipFill>
                  <pic:spPr>
                    <a:xfrm>
                      <a:off x="0" y="0"/>
                      <a:ext cx="2945415" cy="6695979"/>
                    </a:xfrm>
                    <a:prstGeom prst="rect">
                      <a:avLst/>
                    </a:prstGeom>
                  </pic:spPr>
                </pic:pic>
              </a:graphicData>
            </a:graphic>
          </wp:inline>
        </w:drawing>
      </w:r>
      <w:r>
        <w:rPr>
          <w:rFonts w:ascii="Microsoft Sans Serif"/>
          <w:sz w:val="20"/>
        </w:rPr>
      </w:r>
    </w:p>
    <w:p>
      <w:pPr>
        <w:pStyle w:val="BodyText"/>
        <w:spacing w:before="38"/>
        <w:ind w:left="0" w:firstLine="0"/>
        <w:jc w:val="left"/>
        <w:rPr>
          <w:rFonts w:ascii="Microsoft Sans Serif"/>
          <w:sz w:val="19"/>
        </w:rPr>
      </w:pPr>
    </w:p>
    <w:p>
      <w:pPr>
        <w:spacing w:line="285" w:lineRule="auto"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35"/>
          <w:sz w:val="19"/>
        </w:rPr>
        <w:t> </w:t>
      </w:r>
      <w:r>
        <w:rPr>
          <w:rFonts w:ascii="Arial" w:hAnsi="Arial"/>
          <w:b/>
          <w:color w:val="242B67"/>
          <w:sz w:val="19"/>
        </w:rPr>
        <w:t>59.8</w:t>
      </w:r>
      <w:r>
        <w:rPr>
          <w:rFonts w:ascii="Arial" w:hAnsi="Arial"/>
          <w:b/>
          <w:color w:val="242B67"/>
          <w:spacing w:val="40"/>
          <w:sz w:val="19"/>
        </w:rPr>
        <w:t> </w:t>
      </w:r>
      <w:r>
        <w:rPr>
          <w:rFonts w:ascii="Microsoft Sans Serif" w:hAnsi="Microsoft Sans Serif"/>
          <w:sz w:val="19"/>
        </w:rPr>
        <w:t>Eco-Doppler</w:t>
      </w:r>
      <w:r>
        <w:rPr>
          <w:rFonts w:ascii="Microsoft Sans Serif" w:hAnsi="Microsoft Sans Serif"/>
          <w:spacing w:val="40"/>
          <w:sz w:val="19"/>
        </w:rPr>
        <w:t> </w:t>
      </w:r>
      <w:r>
        <w:rPr>
          <w:rFonts w:ascii="Microsoft Sans Serif" w:hAnsi="Microsoft Sans Serif"/>
          <w:sz w:val="19"/>
        </w:rPr>
        <w:t>colorido</w:t>
      </w:r>
      <w:r>
        <w:rPr>
          <w:rFonts w:ascii="Microsoft Sans Serif" w:hAnsi="Microsoft Sans Serif"/>
          <w:spacing w:val="40"/>
          <w:sz w:val="19"/>
        </w:rPr>
        <w:t> </w:t>
      </w:r>
      <w:r>
        <w:rPr>
          <w:rFonts w:ascii="Microsoft Sans Serif" w:hAnsi="Microsoft Sans Serif"/>
          <w:sz w:val="19"/>
        </w:rPr>
        <w:t>(</w:t>
      </w:r>
      <w:r>
        <w:rPr>
          <w:rFonts w:ascii="Arial" w:hAnsi="Arial"/>
          <w:i/>
          <w:sz w:val="19"/>
        </w:rPr>
        <w:t>duplex-scan</w:t>
      </w:r>
      <w:r>
        <w:rPr>
          <w:rFonts w:ascii="Microsoft Sans Serif" w:hAnsi="Microsoft Sans Serif"/>
          <w:sz w:val="19"/>
        </w:rPr>
        <w:t>)</w:t>
      </w:r>
      <w:r>
        <w:rPr>
          <w:rFonts w:ascii="Microsoft Sans Serif" w:hAnsi="Microsoft Sans Serif"/>
          <w:spacing w:val="40"/>
          <w:sz w:val="19"/>
        </w:rPr>
        <w:t> </w:t>
      </w:r>
      <w:r>
        <w:rPr>
          <w:rFonts w:ascii="Microsoft Sans Serif" w:hAnsi="Microsoft Sans Serif"/>
          <w:sz w:val="19"/>
        </w:rPr>
        <w:t>mostrando,</w:t>
      </w:r>
      <w:r>
        <w:rPr>
          <w:rFonts w:ascii="Microsoft Sans Serif" w:hAnsi="Microsoft Sans Serif"/>
          <w:spacing w:val="35"/>
          <w:sz w:val="19"/>
        </w:rPr>
        <w:t> </w:t>
      </w:r>
      <w:r>
        <w:rPr>
          <w:rFonts w:ascii="Microsoft Sans Serif" w:hAnsi="Microsoft Sans Serif"/>
          <w:sz w:val="19"/>
        </w:rPr>
        <w:t>em</w:t>
      </w:r>
      <w:r>
        <w:rPr>
          <w:rFonts w:ascii="Microsoft Sans Serif" w:hAnsi="Microsoft Sans Serif"/>
          <w:spacing w:val="40"/>
          <w:sz w:val="19"/>
        </w:rPr>
        <w:t> </w:t>
      </w:r>
      <w:r>
        <w:rPr>
          <w:rFonts w:ascii="Microsoft Sans Serif" w:hAnsi="Microsoft Sans Serif"/>
          <w:sz w:val="19"/>
        </w:rPr>
        <w:t>cortes</w:t>
      </w:r>
      <w:r>
        <w:rPr>
          <w:rFonts w:ascii="Microsoft Sans Serif" w:hAnsi="Microsoft Sans Serif"/>
          <w:spacing w:val="40"/>
          <w:sz w:val="19"/>
        </w:rPr>
        <w:t> </w:t>
      </w:r>
      <w:r>
        <w:rPr>
          <w:rFonts w:ascii="Microsoft Sans Serif" w:hAnsi="Microsoft Sans Serif"/>
          <w:sz w:val="19"/>
        </w:rPr>
        <w:t>transversal</w:t>
      </w:r>
      <w:r>
        <w:rPr>
          <w:rFonts w:ascii="Microsoft Sans Serif" w:hAnsi="Microsoft Sans Serif"/>
          <w:spacing w:val="40"/>
          <w:sz w:val="19"/>
        </w:rPr>
        <w:t> </w:t>
      </w:r>
      <w:r>
        <w:rPr>
          <w:rFonts w:ascii="Microsoft Sans Serif" w:hAnsi="Microsoft Sans Serif"/>
          <w:sz w:val="19"/>
        </w:rPr>
        <w:t>(</w:t>
      </w:r>
      <w:r>
        <w:rPr>
          <w:rFonts w:ascii="Arial" w:hAnsi="Arial"/>
          <w:b/>
          <w:sz w:val="19"/>
        </w:rPr>
        <w:t>A</w:t>
      </w:r>
      <w:r>
        <w:rPr>
          <w:rFonts w:ascii="Microsoft Sans Serif" w:hAnsi="Microsoft Sans Serif"/>
          <w:sz w:val="19"/>
        </w:rPr>
        <w:t>)</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longitudinal</w:t>
      </w:r>
      <w:r>
        <w:rPr>
          <w:rFonts w:ascii="Microsoft Sans Serif" w:hAnsi="Microsoft Sans Serif"/>
          <w:spacing w:val="40"/>
          <w:sz w:val="19"/>
        </w:rPr>
        <w:t> </w:t>
      </w:r>
      <w:r>
        <w:rPr>
          <w:rFonts w:ascii="Microsoft Sans Serif" w:hAnsi="Microsoft Sans Serif"/>
          <w:sz w:val="19"/>
        </w:rPr>
        <w:t>(</w:t>
      </w:r>
      <w:r>
        <w:rPr>
          <w:rFonts w:ascii="Arial" w:hAnsi="Arial"/>
          <w:b/>
          <w:sz w:val="19"/>
        </w:rPr>
        <w:t>B</w:t>
      </w:r>
      <w:r>
        <w:rPr>
          <w:rFonts w:ascii="Microsoft Sans Serif" w:hAnsi="Microsoft Sans Serif"/>
          <w:sz w:val="19"/>
        </w:rPr>
        <w:t>),</w:t>
      </w:r>
      <w:r>
        <w:rPr>
          <w:rFonts w:ascii="Microsoft Sans Serif" w:hAnsi="Microsoft Sans Serif"/>
          <w:spacing w:val="34"/>
          <w:sz w:val="19"/>
        </w:rPr>
        <w:t> </w:t>
      </w:r>
      <w:r>
        <w:rPr>
          <w:rFonts w:ascii="Microsoft Sans Serif" w:hAnsi="Microsoft Sans Serif"/>
          <w:sz w:val="19"/>
        </w:rPr>
        <w:t>aneurisma</w:t>
      </w:r>
      <w:r>
        <w:rPr>
          <w:rFonts w:ascii="Microsoft Sans Serif" w:hAnsi="Microsoft Sans Serif"/>
          <w:spacing w:val="40"/>
          <w:sz w:val="19"/>
        </w:rPr>
        <w:t> </w:t>
      </w:r>
      <w:r>
        <w:rPr>
          <w:rFonts w:ascii="Microsoft Sans Serif" w:hAnsi="Microsoft Sans Serif"/>
          <w:sz w:val="19"/>
        </w:rPr>
        <w:t>de poplítea com espessa camada de trombos parietais.</w:t>
      </w:r>
    </w:p>
    <w:p>
      <w:pPr>
        <w:spacing w:after="0" w:line="285" w:lineRule="auto"/>
        <w:jc w:val="left"/>
        <w:rPr>
          <w:rFonts w:ascii="Microsoft Sans Serif" w:hAnsi="Microsoft Sans Serif"/>
          <w:sz w:val="19"/>
        </w:rPr>
        <w:sectPr>
          <w:pgSz w:w="11900" w:h="16840"/>
          <w:pgMar w:top="280" w:bottom="280" w:left="566" w:right="141"/>
        </w:sectPr>
      </w:pPr>
    </w:p>
    <w:p>
      <w:pPr>
        <w:spacing w:line="240" w:lineRule="auto"/>
        <w:ind w:left="3798" w:right="0" w:firstLine="0"/>
        <w:rPr>
          <w:rFonts w:ascii="Microsoft Sans Serif"/>
          <w:sz w:val="20"/>
        </w:rPr>
      </w:pPr>
      <w:r>
        <w:rPr>
          <w:rFonts w:ascii="Microsoft Sans Serif"/>
          <w:sz w:val="20"/>
        </w:rPr>
        <w:drawing>
          <wp:inline distT="0" distB="0" distL="0" distR="0">
            <wp:extent cx="2017966" cy="3434619"/>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43" cstate="print"/>
                    <a:stretch>
                      <a:fillRect/>
                    </a:stretch>
                  </pic:blipFill>
                  <pic:spPr>
                    <a:xfrm>
                      <a:off x="0" y="0"/>
                      <a:ext cx="2017966" cy="3434619"/>
                    </a:xfrm>
                    <a:prstGeom prst="rect">
                      <a:avLst/>
                    </a:prstGeom>
                  </pic:spPr>
                </pic:pic>
              </a:graphicData>
            </a:graphic>
          </wp:inline>
        </w:drawing>
      </w:r>
      <w:r>
        <w:rPr>
          <w:rFonts w:ascii="Microsoft Sans Serif"/>
          <w:sz w:val="20"/>
        </w:rPr>
      </w:r>
    </w:p>
    <w:p>
      <w:pPr>
        <w:pStyle w:val="BodyText"/>
        <w:spacing w:before="48"/>
        <w:ind w:left="0" w:firstLine="0"/>
        <w:jc w:val="left"/>
        <w:rPr>
          <w:rFonts w:ascii="Microsoft Sans Serif"/>
          <w:sz w:val="19"/>
        </w:rPr>
      </w:pPr>
    </w:p>
    <w:p>
      <w:pPr>
        <w:spacing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3"/>
          <w:sz w:val="19"/>
        </w:rPr>
        <w:t> </w:t>
      </w:r>
      <w:r>
        <w:rPr>
          <w:rFonts w:ascii="Arial" w:hAnsi="Arial"/>
          <w:b/>
          <w:color w:val="242B67"/>
          <w:sz w:val="19"/>
        </w:rPr>
        <w:t>59.9</w:t>
      </w:r>
      <w:r>
        <w:rPr>
          <w:rFonts w:ascii="Arial" w:hAnsi="Arial"/>
          <w:b/>
          <w:color w:val="242B67"/>
          <w:spacing w:val="14"/>
          <w:sz w:val="19"/>
        </w:rPr>
        <w:t> </w:t>
      </w:r>
      <w:r>
        <w:rPr>
          <w:rFonts w:ascii="Microsoft Sans Serif" w:hAnsi="Microsoft Sans Serif"/>
          <w:sz w:val="19"/>
        </w:rPr>
        <w:t>Arteriografia</w:t>
      </w:r>
      <w:r>
        <w:rPr>
          <w:rFonts w:ascii="Microsoft Sans Serif" w:hAnsi="Microsoft Sans Serif"/>
          <w:spacing w:val="16"/>
          <w:sz w:val="19"/>
        </w:rPr>
        <w:t> </w:t>
      </w:r>
      <w:r>
        <w:rPr>
          <w:rFonts w:ascii="Microsoft Sans Serif" w:hAnsi="Microsoft Sans Serif"/>
          <w:sz w:val="19"/>
        </w:rPr>
        <w:t>de</w:t>
      </w:r>
      <w:r>
        <w:rPr>
          <w:rFonts w:ascii="Microsoft Sans Serif" w:hAnsi="Microsoft Sans Serif"/>
          <w:spacing w:val="15"/>
          <w:sz w:val="19"/>
        </w:rPr>
        <w:t> </w:t>
      </w:r>
      <w:r>
        <w:rPr>
          <w:rFonts w:ascii="Microsoft Sans Serif" w:hAnsi="Microsoft Sans Serif"/>
          <w:sz w:val="19"/>
        </w:rPr>
        <w:t>paciente</w:t>
      </w:r>
      <w:r>
        <w:rPr>
          <w:rFonts w:ascii="Microsoft Sans Serif" w:hAnsi="Microsoft Sans Serif"/>
          <w:spacing w:val="16"/>
          <w:sz w:val="19"/>
        </w:rPr>
        <w:t> </w:t>
      </w:r>
      <w:r>
        <w:rPr>
          <w:rFonts w:ascii="Microsoft Sans Serif" w:hAnsi="Microsoft Sans Serif"/>
          <w:sz w:val="19"/>
        </w:rPr>
        <w:t>com</w:t>
      </w:r>
      <w:r>
        <w:rPr>
          <w:rFonts w:ascii="Microsoft Sans Serif" w:hAnsi="Microsoft Sans Serif"/>
          <w:spacing w:val="9"/>
          <w:sz w:val="19"/>
        </w:rPr>
        <w:t> </w:t>
      </w:r>
      <w:r>
        <w:rPr>
          <w:rFonts w:ascii="Microsoft Sans Serif" w:hAnsi="Microsoft Sans Serif"/>
          <w:sz w:val="19"/>
        </w:rPr>
        <w:t>aneurisma</w:t>
      </w:r>
      <w:r>
        <w:rPr>
          <w:rFonts w:ascii="Microsoft Sans Serif" w:hAnsi="Microsoft Sans Serif"/>
          <w:spacing w:val="16"/>
          <w:sz w:val="19"/>
        </w:rPr>
        <w:t> </w:t>
      </w:r>
      <w:r>
        <w:rPr>
          <w:rFonts w:ascii="Microsoft Sans Serif" w:hAnsi="Microsoft Sans Serif"/>
          <w:sz w:val="19"/>
        </w:rPr>
        <w:t>da</w:t>
      </w:r>
      <w:r>
        <w:rPr>
          <w:rFonts w:ascii="Microsoft Sans Serif" w:hAnsi="Microsoft Sans Serif"/>
          <w:spacing w:val="16"/>
          <w:sz w:val="19"/>
        </w:rPr>
        <w:t> </w:t>
      </w:r>
      <w:r>
        <w:rPr>
          <w:rFonts w:ascii="Microsoft Sans Serif" w:hAnsi="Microsoft Sans Serif"/>
          <w:sz w:val="19"/>
        </w:rPr>
        <w:t>artéria</w:t>
      </w:r>
      <w:r>
        <w:rPr>
          <w:rFonts w:ascii="Microsoft Sans Serif" w:hAnsi="Microsoft Sans Serif"/>
          <w:spacing w:val="15"/>
          <w:sz w:val="19"/>
        </w:rPr>
        <w:t> </w:t>
      </w:r>
      <w:r>
        <w:rPr>
          <w:rFonts w:ascii="Microsoft Sans Serif" w:hAnsi="Microsoft Sans Serif"/>
          <w:sz w:val="19"/>
        </w:rPr>
        <w:t>poplítea</w:t>
      </w:r>
      <w:r>
        <w:rPr>
          <w:rFonts w:ascii="Microsoft Sans Serif" w:hAnsi="Microsoft Sans Serif"/>
          <w:spacing w:val="16"/>
          <w:sz w:val="19"/>
        </w:rPr>
        <w:t> </w:t>
      </w:r>
      <w:r>
        <w:rPr>
          <w:rFonts w:ascii="Microsoft Sans Serif" w:hAnsi="Microsoft Sans Serif"/>
          <w:sz w:val="19"/>
        </w:rPr>
        <w:t>muito</w:t>
      </w:r>
      <w:r>
        <w:rPr>
          <w:rFonts w:ascii="Microsoft Sans Serif" w:hAnsi="Microsoft Sans Serif"/>
          <w:spacing w:val="15"/>
          <w:sz w:val="19"/>
        </w:rPr>
        <w:t> </w:t>
      </w:r>
      <w:r>
        <w:rPr>
          <w:rFonts w:ascii="Microsoft Sans Serif" w:hAnsi="Microsoft Sans Serif"/>
          <w:sz w:val="19"/>
        </w:rPr>
        <w:t>maior</w:t>
      </w:r>
      <w:r>
        <w:rPr>
          <w:rFonts w:ascii="Microsoft Sans Serif" w:hAnsi="Microsoft Sans Serif"/>
          <w:spacing w:val="10"/>
          <w:sz w:val="19"/>
        </w:rPr>
        <w:t> </w:t>
      </w:r>
      <w:r>
        <w:rPr>
          <w:rFonts w:ascii="Microsoft Sans Serif" w:hAnsi="Microsoft Sans Serif"/>
          <w:sz w:val="19"/>
        </w:rPr>
        <w:t>do</w:t>
      </w:r>
      <w:r>
        <w:rPr>
          <w:rFonts w:ascii="Microsoft Sans Serif" w:hAnsi="Microsoft Sans Serif"/>
          <w:spacing w:val="15"/>
          <w:sz w:val="19"/>
        </w:rPr>
        <w:t> </w:t>
      </w:r>
      <w:r>
        <w:rPr>
          <w:rFonts w:ascii="Microsoft Sans Serif" w:hAnsi="Microsoft Sans Serif"/>
          <w:sz w:val="19"/>
        </w:rPr>
        <w:t>que</w:t>
      </w:r>
      <w:r>
        <w:rPr>
          <w:rFonts w:ascii="Microsoft Sans Serif" w:hAnsi="Microsoft Sans Serif"/>
          <w:spacing w:val="16"/>
          <w:sz w:val="19"/>
        </w:rPr>
        <w:t> </w:t>
      </w:r>
      <w:r>
        <w:rPr>
          <w:rFonts w:ascii="Microsoft Sans Serif" w:hAnsi="Microsoft Sans Serif"/>
          <w:sz w:val="19"/>
        </w:rPr>
        <w:t>aparenta</w:t>
      </w:r>
      <w:r>
        <w:rPr>
          <w:rFonts w:ascii="Microsoft Sans Serif" w:hAnsi="Microsoft Sans Serif"/>
          <w:spacing w:val="16"/>
          <w:sz w:val="19"/>
        </w:rPr>
        <w:t> </w:t>
      </w:r>
      <w:r>
        <w:rPr>
          <w:rFonts w:ascii="Microsoft Sans Serif" w:hAnsi="Microsoft Sans Serif"/>
          <w:sz w:val="19"/>
        </w:rPr>
        <w:t>a</w:t>
      </w:r>
      <w:r>
        <w:rPr>
          <w:rFonts w:ascii="Microsoft Sans Serif" w:hAnsi="Microsoft Sans Serif"/>
          <w:spacing w:val="15"/>
          <w:sz w:val="19"/>
        </w:rPr>
        <w:t> </w:t>
      </w:r>
      <w:r>
        <w:rPr>
          <w:rFonts w:ascii="Microsoft Sans Serif" w:hAnsi="Microsoft Sans Serif"/>
          <w:spacing w:val="-2"/>
          <w:sz w:val="19"/>
        </w:rPr>
        <w:t>imagem.</w:t>
      </w:r>
    </w:p>
    <w:p>
      <w:pPr>
        <w:pStyle w:val="BodyText"/>
        <w:spacing w:before="0"/>
        <w:ind w:left="0" w:firstLine="0"/>
        <w:jc w:val="left"/>
        <w:rPr>
          <w:rFonts w:ascii="Microsoft Sans Serif"/>
          <w:sz w:val="19"/>
        </w:rPr>
      </w:pPr>
    </w:p>
    <w:p>
      <w:pPr>
        <w:pStyle w:val="BodyText"/>
        <w:spacing w:before="1"/>
        <w:ind w:left="0" w:firstLine="0"/>
        <w:jc w:val="left"/>
        <w:rPr>
          <w:rFonts w:ascii="Microsoft Sans Serif"/>
          <w:sz w:val="19"/>
        </w:rPr>
      </w:pPr>
    </w:p>
    <w:p>
      <w:pPr>
        <w:pStyle w:val="Heading5"/>
      </w:pPr>
      <w:r>
        <w:rPr>
          <w:color w:val="A26108"/>
          <w:spacing w:val="-2"/>
        </w:rPr>
        <w:t>Tratamento</w:t>
      </w:r>
    </w:p>
    <w:p>
      <w:pPr>
        <w:pStyle w:val="BodyText"/>
        <w:spacing w:line="280" w:lineRule="auto" w:before="138"/>
        <w:ind w:right="491"/>
      </w:pPr>
      <w:r>
        <w:rPr/>
        <w:t>Aneurismas sintomáticos são sempre de indicação cirúrgica que consta da ressecção ou exclusão do saco aneurismático e substituição por enxerto venoso autógeno sempre que possível; existe controvérsia em relação aos assintomáticos. A maioria dos autores indica tratamento cirúrgico nos aneurismas maiores que 2 cm de diâmetro. Todavia, mais importante</w:t>
      </w:r>
      <w:r>
        <w:rPr>
          <w:spacing w:val="-1"/>
        </w:rPr>
        <w:t> </w:t>
      </w:r>
      <w:r>
        <w:rPr/>
        <w:t>do que</w:t>
      </w:r>
      <w:r>
        <w:rPr>
          <w:spacing w:val="-1"/>
        </w:rPr>
        <w:t> </w:t>
      </w:r>
      <w:r>
        <w:rPr/>
        <w:t>as dimensões da</w:t>
      </w:r>
      <w:r>
        <w:rPr>
          <w:spacing w:val="-1"/>
        </w:rPr>
        <w:t> </w:t>
      </w:r>
      <w:r>
        <w:rPr/>
        <w:t>dilatação arterial é</w:t>
      </w:r>
      <w:r>
        <w:rPr>
          <w:spacing w:val="-1"/>
        </w:rPr>
        <w:t> </w:t>
      </w:r>
      <w:r>
        <w:rPr/>
        <w:t>a</w:t>
      </w:r>
      <w:r>
        <w:rPr>
          <w:spacing w:val="-1"/>
        </w:rPr>
        <w:t> </w:t>
      </w:r>
      <w:r>
        <w:rPr/>
        <w:t>presença</w:t>
      </w:r>
      <w:r>
        <w:rPr>
          <w:spacing w:val="-1"/>
        </w:rPr>
        <w:t> </w:t>
      </w:r>
      <w:r>
        <w:rPr/>
        <w:t>de</w:t>
      </w:r>
      <w:r>
        <w:rPr>
          <w:spacing w:val="-1"/>
        </w:rPr>
        <w:t> </w:t>
      </w:r>
      <w:r>
        <w:rPr/>
        <w:t>trombos parietais identificados na ultrassonografia ou na TC, responsáveis por complicações tromboembólicas mesmo em aneurismas pequenos.</w:t>
      </w:r>
      <w:r>
        <w:rPr>
          <w:vertAlign w:val="superscript"/>
        </w:rPr>
        <w:t>7,8,12</w:t>
      </w:r>
      <w:r>
        <w:rPr>
          <w:vertAlign w:val="baseline"/>
        </w:rPr>
        <w:t> Para esses aneurismas com menos de 2 cm de diâmetro, há autores que propõem tratamento conservador utilizando anticoagulantes.</w:t>
      </w:r>
      <w:r>
        <w:rPr>
          <w:vertAlign w:val="superscript"/>
        </w:rPr>
        <w:t>13</w:t>
      </w:r>
    </w:p>
    <w:p>
      <w:pPr>
        <w:pStyle w:val="BodyText"/>
        <w:spacing w:line="280" w:lineRule="auto" w:before="60"/>
        <w:ind w:right="490"/>
      </w:pPr>
      <w:r>
        <w:rPr/>
        <w:t>Os bons resultados por nós obtidos nos pacientes com aneurisma de poplítea assintomáticos, quando comparados com aqueles observados no grupo de complicações isquêmicas, reforçam nossa convicção de que a melhor terapêutica para esses pacientes é a cirúrgica, pois vários autores mostraram altos índices de eventos tromboembólicos quando se optou por tratamento conservador.</w:t>
      </w:r>
      <w:r>
        <w:rPr>
          <w:vertAlign w:val="superscript"/>
        </w:rPr>
        <w:t>3,14</w:t>
      </w:r>
      <w:r>
        <w:rPr>
          <w:vertAlign w:val="baseline"/>
        </w:rPr>
        <w:t> Na presença dessas complicações, particularmente</w:t>
      </w:r>
      <w:r>
        <w:rPr>
          <w:spacing w:val="-7"/>
          <w:vertAlign w:val="baseline"/>
        </w:rPr>
        <w:t> </w:t>
      </w:r>
      <w:r>
        <w:rPr>
          <w:vertAlign w:val="baseline"/>
        </w:rPr>
        <w:t>nos casos de</w:t>
      </w:r>
      <w:r>
        <w:rPr>
          <w:spacing w:val="-7"/>
          <w:vertAlign w:val="baseline"/>
        </w:rPr>
        <w:t> </w:t>
      </w:r>
      <w:r>
        <w:rPr>
          <w:vertAlign w:val="baseline"/>
        </w:rPr>
        <w:t>trombose</w:t>
      </w:r>
      <w:r>
        <w:rPr>
          <w:spacing w:val="-7"/>
          <w:vertAlign w:val="baseline"/>
        </w:rPr>
        <w:t> </w:t>
      </w:r>
      <w:r>
        <w:rPr>
          <w:vertAlign w:val="baseline"/>
        </w:rPr>
        <w:t>aguda</w:t>
      </w:r>
      <w:r>
        <w:rPr>
          <w:spacing w:val="-7"/>
          <w:vertAlign w:val="baseline"/>
        </w:rPr>
        <w:t> </w:t>
      </w:r>
      <w:r>
        <w:rPr>
          <w:vertAlign w:val="baseline"/>
        </w:rPr>
        <w:t>do</w:t>
      </w:r>
      <w:r>
        <w:rPr>
          <w:spacing w:val="-4"/>
          <w:vertAlign w:val="baseline"/>
        </w:rPr>
        <w:t> </w:t>
      </w:r>
      <w:r>
        <w:rPr>
          <w:vertAlign w:val="baseline"/>
        </w:rPr>
        <w:t>aneurisma, a</w:t>
      </w:r>
      <w:r>
        <w:rPr>
          <w:spacing w:val="-7"/>
          <w:vertAlign w:val="baseline"/>
        </w:rPr>
        <w:t> </w:t>
      </w:r>
      <w:r>
        <w:rPr>
          <w:vertAlign w:val="baseline"/>
        </w:rPr>
        <w:t>tentativa</w:t>
      </w:r>
      <w:r>
        <w:rPr>
          <w:spacing w:val="-7"/>
          <w:vertAlign w:val="baseline"/>
        </w:rPr>
        <w:t> </w:t>
      </w:r>
      <w:r>
        <w:rPr>
          <w:vertAlign w:val="baseline"/>
        </w:rPr>
        <w:t>de</w:t>
      </w:r>
      <w:r>
        <w:rPr>
          <w:spacing w:val="-7"/>
          <w:vertAlign w:val="baseline"/>
        </w:rPr>
        <w:t> </w:t>
      </w:r>
      <w:r>
        <w:rPr>
          <w:vertAlign w:val="baseline"/>
        </w:rPr>
        <w:t>restaurar a</w:t>
      </w:r>
      <w:r>
        <w:rPr>
          <w:spacing w:val="-7"/>
          <w:vertAlign w:val="baseline"/>
        </w:rPr>
        <w:t> </w:t>
      </w:r>
      <w:r>
        <w:rPr>
          <w:vertAlign w:val="baseline"/>
        </w:rPr>
        <w:t>circulação</w:t>
      </w:r>
      <w:r>
        <w:rPr>
          <w:spacing w:val="-4"/>
          <w:vertAlign w:val="baseline"/>
        </w:rPr>
        <w:t> </w:t>
      </w:r>
      <w:r>
        <w:rPr>
          <w:vertAlign w:val="baseline"/>
        </w:rPr>
        <w:t>não</w:t>
      </w:r>
      <w:r>
        <w:rPr>
          <w:spacing w:val="-4"/>
          <w:vertAlign w:val="baseline"/>
        </w:rPr>
        <w:t> </w:t>
      </w:r>
      <w:r>
        <w:rPr>
          <w:vertAlign w:val="baseline"/>
        </w:rPr>
        <w:t>obteve</w:t>
      </w:r>
      <w:r>
        <w:rPr>
          <w:spacing w:val="-7"/>
          <w:vertAlign w:val="baseline"/>
        </w:rPr>
        <w:t> </w:t>
      </w:r>
      <w:r>
        <w:rPr>
          <w:vertAlign w:val="baseline"/>
        </w:rPr>
        <w:t>sucesso em 36% dos membros afetados, resultando em amputação dos mesmos.</w:t>
      </w:r>
      <w:r>
        <w:rPr>
          <w:vertAlign w:val="superscript"/>
        </w:rPr>
        <w:t>4</w:t>
      </w:r>
    </w:p>
    <w:p>
      <w:pPr>
        <w:pStyle w:val="BodyText"/>
        <w:spacing w:line="280" w:lineRule="auto" w:before="49"/>
        <w:ind w:right="488"/>
      </w:pPr>
      <w:r>
        <w:rPr/>
        <w:t>A possibilidade de tratar as complicações tromboembólicas com o uso de trombolíticos levou alguns autores a propor tratamento conservador para os aneurismas assintomáticos.</w:t>
      </w:r>
      <w:r>
        <w:rPr>
          <w:vertAlign w:val="superscript"/>
        </w:rPr>
        <w:t>15</w:t>
      </w:r>
      <w:r>
        <w:rPr>
          <w:vertAlign w:val="baseline"/>
        </w:rPr>
        <w:t> No entanto, é preciso considerar que o uso desses agentes não é desprovido de complicações tanto locais como sistêmicas. Assim, a dissolução parcial de grande quantidade de trombos pode produzir embolização distal com agravamento da condição isquêmica do membro; além disso, os trombolíticos favorecem a ocorrência de hemorragias e acidentes vasculares cerebrais, principalmente tratando-se de pacientes idosos.</w:t>
      </w:r>
      <w:r>
        <w:rPr>
          <w:vertAlign w:val="superscript"/>
        </w:rPr>
        <w:t>6</w:t>
      </w:r>
    </w:p>
    <w:p>
      <w:pPr>
        <w:pStyle w:val="BodyText"/>
        <w:spacing w:line="283" w:lineRule="auto" w:before="66"/>
        <w:ind w:right="498"/>
      </w:pPr>
      <w:r>
        <w:rPr/>
        <w:t>Outro argumento utilizado por alguns autores para propor tratamento conservador para os aneurismas assintomáticos é o de que esses pacientes têm menor expectativa de vida, quando comparados com a população normal de mesma faixa etária.</w:t>
      </w:r>
      <w:r>
        <w:rPr>
          <w:vertAlign w:val="superscript"/>
        </w:rPr>
        <w:t>7,15</w:t>
      </w:r>
      <w:r>
        <w:rPr>
          <w:vertAlign w:val="baseline"/>
        </w:rPr>
        <w:t> Entretanto, os resultados do tratamento cirúrgico eletivo têm sido melhores do que a conduta conservadora nos primeiros 2 anos do aparecimento do aneurisma.</w:t>
      </w:r>
      <w:r>
        <w:rPr>
          <w:vertAlign w:val="superscript"/>
        </w:rPr>
        <w:t>16</w:t>
      </w:r>
      <w:r>
        <w:rPr>
          <w:vertAlign w:val="baseline"/>
        </w:rPr>
        <w:t> Condições que justificariam o tratamento conservador para o aneurisma poplíteo seriam a saúde precária do paciente, com expectativa de vida muito limitada ou, ainda, nos casos de leito arterial muito comprometido ou aneurisma trombosado com compensação circulatória.</w:t>
      </w:r>
      <w:r>
        <w:rPr>
          <w:vertAlign w:val="superscript"/>
        </w:rPr>
        <w:t>8,16</w:t>
      </w:r>
    </w:p>
    <w:p>
      <w:pPr>
        <w:pStyle w:val="BodyText"/>
        <w:spacing w:line="283" w:lineRule="auto" w:before="41"/>
        <w:ind w:right="491"/>
      </w:pPr>
      <w:r>
        <w:rPr/>
        <w:t>O</w:t>
      </w:r>
      <w:r>
        <w:rPr>
          <w:spacing w:val="-1"/>
        </w:rPr>
        <w:t> </w:t>
      </w:r>
      <w:r>
        <w:rPr/>
        <w:t>tratamento endovascular tem sido utilizado em vários centros com resultados semelhantes aos do tratamento cirúrgico convencional.</w:t>
      </w:r>
      <w:r>
        <w:rPr>
          <w:vertAlign w:val="superscript"/>
        </w:rPr>
        <w:t>17–21</w:t>
      </w:r>
      <w:r>
        <w:rPr>
          <w:vertAlign w:val="baseline"/>
        </w:rPr>
        <w:t> As vantagens desse método são: menor morbidade e mortalidade e encurtamento do tempo</w:t>
      </w:r>
      <w:r>
        <w:rPr>
          <w:spacing w:val="-2"/>
          <w:vertAlign w:val="baseline"/>
        </w:rPr>
        <w:t> </w:t>
      </w:r>
      <w:r>
        <w:rPr>
          <w:vertAlign w:val="baseline"/>
        </w:rPr>
        <w:t>de</w:t>
      </w:r>
      <w:r>
        <w:rPr>
          <w:spacing w:val="-4"/>
          <w:vertAlign w:val="baseline"/>
        </w:rPr>
        <w:t> </w:t>
      </w:r>
      <w:r>
        <w:rPr>
          <w:vertAlign w:val="baseline"/>
        </w:rPr>
        <w:t>recuperação</w:t>
      </w:r>
      <w:r>
        <w:rPr>
          <w:spacing w:val="-2"/>
          <w:vertAlign w:val="baseline"/>
        </w:rPr>
        <w:t> </w:t>
      </w:r>
      <w:r>
        <w:rPr>
          <w:vertAlign w:val="baseline"/>
        </w:rPr>
        <w:t>do</w:t>
      </w:r>
      <w:r>
        <w:rPr>
          <w:spacing w:val="-2"/>
          <w:vertAlign w:val="baseline"/>
        </w:rPr>
        <w:t> </w:t>
      </w:r>
      <w:r>
        <w:rPr>
          <w:vertAlign w:val="baseline"/>
        </w:rPr>
        <w:t>paciente. No</w:t>
      </w:r>
      <w:r>
        <w:rPr>
          <w:spacing w:val="-2"/>
          <w:vertAlign w:val="baseline"/>
        </w:rPr>
        <w:t> </w:t>
      </w:r>
      <w:r>
        <w:rPr>
          <w:vertAlign w:val="baseline"/>
        </w:rPr>
        <w:t>entanto, tem</w:t>
      </w:r>
      <w:r>
        <w:rPr>
          <w:spacing w:val="-2"/>
          <w:vertAlign w:val="baseline"/>
        </w:rPr>
        <w:t> </w:t>
      </w:r>
      <w:r>
        <w:rPr>
          <w:vertAlign w:val="baseline"/>
        </w:rPr>
        <w:t>a</w:t>
      </w:r>
      <w:r>
        <w:rPr>
          <w:spacing w:val="-4"/>
          <w:vertAlign w:val="baseline"/>
        </w:rPr>
        <w:t> </w:t>
      </w:r>
      <w:r>
        <w:rPr>
          <w:vertAlign w:val="baseline"/>
        </w:rPr>
        <w:t>desvantagem</w:t>
      </w:r>
      <w:r>
        <w:rPr>
          <w:spacing w:val="-2"/>
          <w:vertAlign w:val="baseline"/>
        </w:rPr>
        <w:t> </w:t>
      </w:r>
      <w:r>
        <w:rPr>
          <w:vertAlign w:val="baseline"/>
        </w:rPr>
        <w:t>de</w:t>
      </w:r>
      <w:r>
        <w:rPr>
          <w:spacing w:val="-4"/>
          <w:vertAlign w:val="baseline"/>
        </w:rPr>
        <w:t> </w:t>
      </w:r>
      <w:r>
        <w:rPr>
          <w:vertAlign w:val="baseline"/>
        </w:rPr>
        <w:t>revelar menor índice</w:t>
      </w:r>
      <w:r>
        <w:rPr>
          <w:spacing w:val="-4"/>
          <w:vertAlign w:val="baseline"/>
        </w:rPr>
        <w:t> </w:t>
      </w:r>
      <w:r>
        <w:rPr>
          <w:vertAlign w:val="baseline"/>
        </w:rPr>
        <w:t>de</w:t>
      </w:r>
      <w:r>
        <w:rPr>
          <w:spacing w:val="-4"/>
          <w:vertAlign w:val="baseline"/>
        </w:rPr>
        <w:t> </w:t>
      </w:r>
      <w:r>
        <w:rPr>
          <w:vertAlign w:val="baseline"/>
        </w:rPr>
        <w:t>perviedade</w:t>
      </w:r>
      <w:r>
        <w:rPr>
          <w:spacing w:val="-4"/>
          <w:vertAlign w:val="baseline"/>
        </w:rPr>
        <w:t> </w:t>
      </w:r>
      <w:r>
        <w:rPr>
          <w:vertAlign w:val="baseline"/>
        </w:rPr>
        <w:t>primária,</w:t>
      </w:r>
    </w:p>
    <w:p>
      <w:pPr>
        <w:pStyle w:val="BodyText"/>
        <w:spacing w:after="0" w:line="283" w:lineRule="auto"/>
        <w:sectPr>
          <w:pgSz w:w="11900" w:h="16840"/>
          <w:pgMar w:top="280" w:bottom="280" w:left="566" w:right="141"/>
        </w:sectPr>
      </w:pPr>
    </w:p>
    <w:p>
      <w:pPr>
        <w:pStyle w:val="BodyText"/>
        <w:spacing w:line="290" w:lineRule="auto" w:before="87"/>
        <w:ind w:firstLine="0"/>
        <w:jc w:val="left"/>
      </w:pPr>
      <w:r>
        <w:rPr/>
        <w:t>necessitando</w:t>
      </w:r>
      <w:r>
        <w:rPr>
          <w:spacing w:val="15"/>
        </w:rPr>
        <w:t> </w:t>
      </w:r>
      <w:r>
        <w:rPr/>
        <w:t>de reintervenções</w:t>
      </w:r>
      <w:r>
        <w:rPr>
          <w:spacing w:val="23"/>
        </w:rPr>
        <w:t> </w:t>
      </w:r>
      <w:r>
        <w:rPr/>
        <w:t>com</w:t>
      </w:r>
      <w:r>
        <w:rPr>
          <w:spacing w:val="15"/>
        </w:rPr>
        <w:t> </w:t>
      </w:r>
      <w:r>
        <w:rPr/>
        <w:t>maior</w:t>
      </w:r>
      <w:r>
        <w:rPr>
          <w:spacing w:val="21"/>
        </w:rPr>
        <w:t> </w:t>
      </w:r>
      <w:r>
        <w:rPr/>
        <w:t>frequência.</w:t>
      </w:r>
      <w:r>
        <w:rPr>
          <w:vertAlign w:val="superscript"/>
        </w:rPr>
        <w:t>22</w:t>
      </w:r>
      <w:r>
        <w:rPr>
          <w:spacing w:val="25"/>
          <w:vertAlign w:val="baseline"/>
        </w:rPr>
        <w:t> </w:t>
      </w:r>
      <w:r>
        <w:rPr>
          <w:vertAlign w:val="baseline"/>
        </w:rPr>
        <w:t>Em</w:t>
      </w:r>
      <w:r>
        <w:rPr>
          <w:spacing w:val="18"/>
          <w:vertAlign w:val="baseline"/>
        </w:rPr>
        <w:t> </w:t>
      </w:r>
      <w:r>
        <w:rPr>
          <w:vertAlign w:val="baseline"/>
        </w:rPr>
        <w:t>pacientes</w:t>
      </w:r>
      <w:r>
        <w:rPr>
          <w:spacing w:val="26"/>
          <w:vertAlign w:val="baseline"/>
        </w:rPr>
        <w:t> </w:t>
      </w:r>
      <w:r>
        <w:rPr>
          <w:vertAlign w:val="baseline"/>
        </w:rPr>
        <w:t>selecionados</w:t>
      </w:r>
      <w:r>
        <w:rPr>
          <w:spacing w:val="26"/>
          <w:vertAlign w:val="baseline"/>
        </w:rPr>
        <w:t> </w:t>
      </w:r>
      <w:r>
        <w:rPr>
          <w:vertAlign w:val="baseline"/>
        </w:rPr>
        <w:t>e</w:t>
      </w:r>
      <w:r>
        <w:rPr>
          <w:spacing w:val="15"/>
          <w:vertAlign w:val="baseline"/>
        </w:rPr>
        <w:t> </w:t>
      </w:r>
      <w:r>
        <w:rPr>
          <w:vertAlign w:val="baseline"/>
        </w:rPr>
        <w:t>com</w:t>
      </w:r>
      <w:r>
        <w:rPr>
          <w:spacing w:val="18"/>
          <w:vertAlign w:val="baseline"/>
        </w:rPr>
        <w:t> </w:t>
      </w:r>
      <w:r>
        <w:rPr>
          <w:vertAlign w:val="baseline"/>
        </w:rPr>
        <w:t>anatomia</w:t>
      </w:r>
      <w:r>
        <w:rPr>
          <w:spacing w:val="15"/>
          <w:vertAlign w:val="baseline"/>
        </w:rPr>
        <w:t> </w:t>
      </w:r>
      <w:r>
        <w:rPr>
          <w:vertAlign w:val="baseline"/>
        </w:rPr>
        <w:t>favorável,</w:t>
      </w:r>
      <w:r>
        <w:rPr>
          <w:spacing w:val="26"/>
          <w:vertAlign w:val="baseline"/>
        </w:rPr>
        <w:t> </w:t>
      </w:r>
      <w:r>
        <w:rPr>
          <w:vertAlign w:val="baseline"/>
        </w:rPr>
        <w:t>o tratamento endovascular pode produzir resultados bastante satisfatórios.</w:t>
      </w:r>
      <w:r>
        <w:rPr>
          <w:vertAlign w:val="superscript"/>
        </w:rPr>
        <w:t>23</w:t>
      </w:r>
    </w:p>
    <w:p>
      <w:pPr>
        <w:pStyle w:val="BodyText"/>
        <w:spacing w:before="123"/>
        <w:ind w:left="0" w:firstLine="0"/>
        <w:jc w:val="left"/>
      </w:pPr>
    </w:p>
    <w:p>
      <w:pPr>
        <w:pStyle w:val="Heading5"/>
        <w:spacing w:before="1"/>
      </w:pPr>
      <w:r>
        <w:rPr>
          <w:color w:val="A26108"/>
          <w:spacing w:val="-2"/>
        </w:rPr>
        <w:t>Evolução</w:t>
      </w:r>
    </w:p>
    <w:p>
      <w:pPr>
        <w:pStyle w:val="BodyText"/>
        <w:spacing w:line="280" w:lineRule="auto" w:before="138"/>
        <w:ind w:right="491"/>
      </w:pPr>
      <w:r>
        <w:rPr/>
        <w:t>A tendência de esses pacientes apresentarem degeneração aneurismática torna obrigatório seu monitoramento frequente e a longo prazo para surpreender o desenvolvimento de outros aneurismas não existentes de início. A utilização da ultrassonografia periódica, tanto no abdome como no segmento operado, é imperativa no período de seguimento</w:t>
      </w:r>
      <w:r>
        <w:rPr>
          <w:spacing w:val="-3"/>
        </w:rPr>
        <w:t> </w:t>
      </w:r>
      <w:r>
        <w:rPr/>
        <w:t>pela</w:t>
      </w:r>
      <w:r>
        <w:rPr>
          <w:spacing w:val="-6"/>
        </w:rPr>
        <w:t> </w:t>
      </w:r>
      <w:r>
        <w:rPr/>
        <w:t>possibilidade</w:t>
      </w:r>
      <w:r>
        <w:rPr>
          <w:spacing w:val="-6"/>
        </w:rPr>
        <w:t> </w:t>
      </w:r>
      <w:r>
        <w:rPr/>
        <w:t>de</w:t>
      </w:r>
      <w:r>
        <w:rPr>
          <w:spacing w:val="-6"/>
        </w:rPr>
        <w:t> </w:t>
      </w:r>
      <w:r>
        <w:rPr/>
        <w:t>aparecimento</w:t>
      </w:r>
      <w:r>
        <w:rPr>
          <w:spacing w:val="-3"/>
        </w:rPr>
        <w:t> </w:t>
      </w:r>
      <w:r>
        <w:rPr/>
        <w:t>de</w:t>
      </w:r>
      <w:r>
        <w:rPr>
          <w:spacing w:val="-6"/>
        </w:rPr>
        <w:t> </w:t>
      </w:r>
      <w:r>
        <w:rPr/>
        <w:t>aneurisma</w:t>
      </w:r>
      <w:r>
        <w:rPr>
          <w:spacing w:val="-6"/>
        </w:rPr>
        <w:t> </w:t>
      </w:r>
      <w:r>
        <w:rPr/>
        <w:t>na</w:t>
      </w:r>
      <w:r>
        <w:rPr>
          <w:spacing w:val="-6"/>
        </w:rPr>
        <w:t> </w:t>
      </w:r>
      <w:r>
        <w:rPr/>
        <w:t>aorta</w:t>
      </w:r>
      <w:r>
        <w:rPr>
          <w:spacing w:val="-6"/>
        </w:rPr>
        <w:t> </w:t>
      </w:r>
      <w:r>
        <w:rPr/>
        <w:t>e</w:t>
      </w:r>
      <w:r>
        <w:rPr>
          <w:spacing w:val="-6"/>
        </w:rPr>
        <w:t> </w:t>
      </w:r>
      <w:r>
        <w:rPr/>
        <w:t>mesmo</w:t>
      </w:r>
      <w:r>
        <w:rPr>
          <w:spacing w:val="-3"/>
        </w:rPr>
        <w:t> </w:t>
      </w:r>
      <w:r>
        <w:rPr/>
        <w:t>nos segmentos adjacentes da</w:t>
      </w:r>
      <w:r>
        <w:rPr>
          <w:spacing w:val="-6"/>
        </w:rPr>
        <w:t> </w:t>
      </w:r>
      <w:r>
        <w:rPr/>
        <w:t>artéria poplítea</w:t>
      </w:r>
      <w:r>
        <w:rPr>
          <w:spacing w:val="-4"/>
        </w:rPr>
        <w:t> </w:t>
      </w:r>
      <w:r>
        <w:rPr/>
        <w:t>previamente</w:t>
      </w:r>
      <w:r>
        <w:rPr>
          <w:spacing w:val="-4"/>
        </w:rPr>
        <w:t> </w:t>
      </w:r>
      <w:r>
        <w:rPr/>
        <w:t>tratada.</w:t>
      </w:r>
      <w:r>
        <w:rPr>
          <w:vertAlign w:val="superscript"/>
        </w:rPr>
        <w:t>3</w:t>
      </w:r>
      <w:r>
        <w:rPr>
          <w:vertAlign w:val="baseline"/>
        </w:rPr>
        <w:t> Dawson </w:t>
      </w:r>
      <w:r>
        <w:rPr>
          <w:i/>
          <w:vertAlign w:val="baseline"/>
        </w:rPr>
        <w:t>et al. </w:t>
      </w:r>
      <w:r>
        <w:rPr>
          <w:vertAlign w:val="baseline"/>
        </w:rPr>
        <w:t>calcularam a probabilidade de formação de novos aneurismas em 6% no final de 1 ano e 49% após 10 anos da cirurgia inicial, com maior tendência a essa ocorrência em homens acima dos 65</w:t>
      </w:r>
      <w:r>
        <w:rPr>
          <w:spacing w:val="-1"/>
          <w:vertAlign w:val="baseline"/>
        </w:rPr>
        <w:t> </w:t>
      </w:r>
      <w:r>
        <w:rPr>
          <w:vertAlign w:val="baseline"/>
        </w:rPr>
        <w:t>anos, hipertensos, e</w:t>
      </w:r>
      <w:r>
        <w:rPr>
          <w:spacing w:val="-4"/>
          <w:vertAlign w:val="baseline"/>
        </w:rPr>
        <w:t> </w:t>
      </w:r>
      <w:r>
        <w:rPr>
          <w:vertAlign w:val="baseline"/>
        </w:rPr>
        <w:t>que, no</w:t>
      </w:r>
      <w:r>
        <w:rPr>
          <w:spacing w:val="-1"/>
          <w:vertAlign w:val="baseline"/>
        </w:rPr>
        <w:t> </w:t>
      </w:r>
      <w:r>
        <w:rPr>
          <w:vertAlign w:val="baseline"/>
        </w:rPr>
        <w:t>exame</w:t>
      </w:r>
      <w:r>
        <w:rPr>
          <w:spacing w:val="-4"/>
          <w:vertAlign w:val="baseline"/>
        </w:rPr>
        <w:t> </w:t>
      </w:r>
      <w:r>
        <w:rPr>
          <w:vertAlign w:val="baseline"/>
        </w:rPr>
        <w:t>inicial, apresentavam</w:t>
      </w:r>
      <w:r>
        <w:rPr>
          <w:spacing w:val="-1"/>
          <w:vertAlign w:val="baseline"/>
        </w:rPr>
        <w:t> </w:t>
      </w:r>
      <w:r>
        <w:rPr>
          <w:vertAlign w:val="baseline"/>
        </w:rPr>
        <w:t>dilatação</w:t>
      </w:r>
      <w:r>
        <w:rPr>
          <w:spacing w:val="-1"/>
          <w:vertAlign w:val="baseline"/>
        </w:rPr>
        <w:t> </w:t>
      </w:r>
      <w:r>
        <w:rPr>
          <w:vertAlign w:val="baseline"/>
        </w:rPr>
        <w:t>aneurismática</w:t>
      </w:r>
      <w:r>
        <w:rPr>
          <w:spacing w:val="-4"/>
          <w:vertAlign w:val="baseline"/>
        </w:rPr>
        <w:t> </w:t>
      </w:r>
      <w:r>
        <w:rPr>
          <w:vertAlign w:val="baseline"/>
        </w:rPr>
        <w:t>bilateral da</w:t>
      </w:r>
      <w:r>
        <w:rPr>
          <w:spacing w:val="-4"/>
          <w:vertAlign w:val="baseline"/>
        </w:rPr>
        <w:t> </w:t>
      </w:r>
      <w:r>
        <w:rPr>
          <w:vertAlign w:val="baseline"/>
        </w:rPr>
        <w:t>poplítea.</w:t>
      </w:r>
      <w:r>
        <w:rPr>
          <w:vertAlign w:val="superscript"/>
        </w:rPr>
        <w:t>2</w:t>
      </w:r>
    </w:p>
    <w:p>
      <w:pPr>
        <w:pStyle w:val="BodyText"/>
        <w:spacing w:line="283" w:lineRule="auto" w:before="44"/>
        <w:ind w:right="497"/>
      </w:pPr>
      <w:r>
        <w:rPr/>
        <w:t>A despeito de poder haver obstrução do enxerto ao longo do tempo, a amputação não se faz necessária se, por ocasião da operação, houver boas condições do leito distal.</w:t>
      </w:r>
      <w:r>
        <w:rPr>
          <w:vertAlign w:val="superscript"/>
        </w:rPr>
        <w:t>4</w:t>
      </w:r>
      <w:r>
        <w:rPr>
          <w:vertAlign w:val="baseline"/>
        </w:rPr>
        <w:t> Essa oclusão, no período de seguimento, ocorre gradualmente, permitindo desenvolvimento de circulação colateral suficiente para manutenção circulatória do membro após trombose</w:t>
      </w:r>
      <w:r>
        <w:rPr>
          <w:spacing w:val="-1"/>
          <w:vertAlign w:val="baseline"/>
        </w:rPr>
        <w:t> </w:t>
      </w:r>
      <w:r>
        <w:rPr>
          <w:vertAlign w:val="baseline"/>
        </w:rPr>
        <w:t>da</w:t>
      </w:r>
      <w:r>
        <w:rPr>
          <w:spacing w:val="-1"/>
          <w:vertAlign w:val="baseline"/>
        </w:rPr>
        <w:t> </w:t>
      </w:r>
      <w:r>
        <w:rPr>
          <w:vertAlign w:val="baseline"/>
        </w:rPr>
        <w:t>restauração.</w:t>
      </w:r>
      <w:r>
        <w:rPr>
          <w:vertAlign w:val="superscript"/>
        </w:rPr>
        <w:t>.</w:t>
      </w:r>
      <w:r>
        <w:rPr>
          <w:vertAlign w:val="baseline"/>
        </w:rPr>
        <w:t> Shortell </w:t>
      </w:r>
      <w:r>
        <w:rPr>
          <w:i/>
          <w:vertAlign w:val="baseline"/>
        </w:rPr>
        <w:t>et</w:t>
      </w:r>
      <w:r>
        <w:rPr>
          <w:i/>
          <w:spacing w:val="-3"/>
          <w:vertAlign w:val="baseline"/>
        </w:rPr>
        <w:t> </w:t>
      </w:r>
      <w:r>
        <w:rPr>
          <w:i/>
          <w:vertAlign w:val="baseline"/>
        </w:rPr>
        <w:t>al. </w:t>
      </w:r>
      <w:r>
        <w:rPr>
          <w:vertAlign w:val="baseline"/>
        </w:rPr>
        <w:t>verificaram que os enxertos que se mantiveram pérvios por, pelo menos, 1 mês, não se acompanharam posteriormente de perda do membro. O fato de a perviedade cumulativa dos enxertos ter caído para 67% no final de 6 anos não se refletiu no índice de salvamento de membro, ou seja, nenhuma falha tardia da restauração resultou em perda da extremidade.</w:t>
      </w:r>
      <w:r>
        <w:rPr>
          <w:vertAlign w:val="superscript"/>
        </w:rPr>
        <w:t>24</w:t>
      </w:r>
    </w:p>
    <w:p>
      <w:pPr>
        <w:pStyle w:val="BodyText"/>
        <w:spacing w:line="283" w:lineRule="auto" w:before="58"/>
        <w:ind w:right="497"/>
      </w:pPr>
      <w:r>
        <w:rPr/>
        <w:t>Os dados relativos à sobrevida dos portadores de aneurisma da artéria poplítea têm se mostrado controversos. Lowell</w:t>
      </w:r>
      <w:r>
        <w:rPr>
          <w:spacing w:val="-7"/>
        </w:rPr>
        <w:t> </w:t>
      </w:r>
      <w:r>
        <w:rPr>
          <w:i/>
        </w:rPr>
        <w:t>et</w:t>
      </w:r>
      <w:r>
        <w:rPr>
          <w:i/>
          <w:spacing w:val="-7"/>
        </w:rPr>
        <w:t> </w:t>
      </w:r>
      <w:r>
        <w:rPr>
          <w:i/>
        </w:rPr>
        <w:t>al. </w:t>
      </w:r>
      <w:r>
        <w:rPr/>
        <w:t>não</w:t>
      </w:r>
      <w:r>
        <w:rPr>
          <w:spacing w:val="-4"/>
        </w:rPr>
        <w:t> </w:t>
      </w:r>
      <w:r>
        <w:rPr/>
        <w:t>encontraram</w:t>
      </w:r>
      <w:r>
        <w:rPr>
          <w:spacing w:val="-4"/>
        </w:rPr>
        <w:t> </w:t>
      </w:r>
      <w:r>
        <w:rPr/>
        <w:t>diferenças nos índices de</w:t>
      </w:r>
      <w:r>
        <w:rPr>
          <w:spacing w:val="-6"/>
        </w:rPr>
        <w:t> </w:t>
      </w:r>
      <w:r>
        <w:rPr/>
        <w:t>sobrevida</w:t>
      </w:r>
      <w:r>
        <w:rPr>
          <w:spacing w:val="-6"/>
        </w:rPr>
        <w:t> </w:t>
      </w:r>
      <w:r>
        <w:rPr/>
        <w:t>desses pacientes, quando</w:t>
      </w:r>
      <w:r>
        <w:rPr>
          <w:spacing w:val="-4"/>
        </w:rPr>
        <w:t> </w:t>
      </w:r>
      <w:r>
        <w:rPr/>
        <w:t>comparados com</w:t>
      </w:r>
      <w:r>
        <w:rPr>
          <w:spacing w:val="-4"/>
        </w:rPr>
        <w:t> </w:t>
      </w:r>
      <w:r>
        <w:rPr/>
        <w:t>os da população geral de mesma faixa etária,</w:t>
      </w:r>
      <w:r>
        <w:rPr>
          <w:vertAlign w:val="superscript"/>
        </w:rPr>
        <w:t>7</w:t>
      </w:r>
      <w:r>
        <w:rPr>
          <w:vertAlign w:val="baseline"/>
        </w:rPr>
        <w:t> resultados opostos dos observados por Dawson </w:t>
      </w:r>
      <w:r>
        <w:rPr>
          <w:i/>
          <w:vertAlign w:val="baseline"/>
        </w:rPr>
        <w:t>et al.</w:t>
      </w:r>
      <w:r>
        <w:rPr>
          <w:vertAlign w:val="baseline"/>
        </w:rPr>
        <w:t>, na Holanda, que relataram, em 10 anos, índices de sobrevida de 35% contra 62% no grupo-controle;</w:t>
      </w:r>
      <w:r>
        <w:rPr>
          <w:vertAlign w:val="superscript"/>
        </w:rPr>
        <w:t>2</w:t>
      </w:r>
      <w:r>
        <w:rPr>
          <w:vertAlign w:val="baseline"/>
        </w:rPr>
        <w:t> a existência de múltiplos aneurismas fez cair esses índices para 16% no mesmo período, o que revela a maior gravidade da doença nesses pacientes.</w:t>
      </w:r>
      <w:r>
        <w:rPr>
          <w:vertAlign w:val="superscript"/>
        </w:rPr>
        <w:t>2</w:t>
      </w:r>
      <w:r>
        <w:rPr>
          <w:vertAlign w:val="baseline"/>
        </w:rPr>
        <w:t> A isquemia miocárdica é a principal causa de óbito, respondendo por cerca de 30% deles; quando há coronariopatia associada, o prognóstico torna-se pior, com índices de sobrevida de 53% em 5 anos e de 7% em 10 anos, diferentemente daqueles observados em pacientes sem coronariopatia, nos quais esses índices são de 74% e 54%, respectivamente, nos mesmos períodos de tempo.</w:t>
      </w:r>
      <w:r>
        <w:rPr>
          <w:vertAlign w:val="superscript"/>
        </w:rPr>
        <w:t>8</w:t>
      </w:r>
    </w:p>
    <w:p>
      <w:pPr>
        <w:pStyle w:val="BodyText"/>
        <w:spacing w:before="179"/>
        <w:ind w:left="0" w:firstLine="0"/>
        <w:jc w:val="left"/>
      </w:pPr>
    </w:p>
    <w:p>
      <w:pPr>
        <w:pStyle w:val="Heading4"/>
      </w:pPr>
      <w:r>
        <w:rPr>
          <w:color w:val="242B67"/>
        </w:rPr>
        <w:t>Aneurismas da artéria </w:t>
      </w:r>
      <w:r>
        <w:rPr>
          <w:color w:val="242B67"/>
          <w:spacing w:val="-2"/>
        </w:rPr>
        <w:t>femoral</w:t>
      </w:r>
    </w:p>
    <w:p>
      <w:pPr>
        <w:pStyle w:val="BodyText"/>
        <w:spacing w:line="276" w:lineRule="auto" w:before="132"/>
        <w:ind w:right="497"/>
      </w:pPr>
      <w:r>
        <w:rPr/>
        <w:t>Os aneurismas verdadeiros da</w:t>
      </w:r>
      <w:r>
        <w:rPr>
          <w:spacing w:val="-2"/>
        </w:rPr>
        <w:t> </w:t>
      </w:r>
      <w:r>
        <w:rPr/>
        <w:t>artéria</w:t>
      </w:r>
      <w:r>
        <w:rPr>
          <w:spacing w:val="-2"/>
        </w:rPr>
        <w:t> </w:t>
      </w:r>
      <w:r>
        <w:rPr/>
        <w:t>femoral têm muitas características em comum com os da</w:t>
      </w:r>
      <w:r>
        <w:rPr>
          <w:spacing w:val="-2"/>
        </w:rPr>
        <w:t> </w:t>
      </w:r>
      <w:r>
        <w:rPr/>
        <w:t>artéria</w:t>
      </w:r>
      <w:r>
        <w:rPr>
          <w:spacing w:val="-2"/>
        </w:rPr>
        <w:t> </w:t>
      </w:r>
      <w:r>
        <w:rPr/>
        <w:t>poplítea, localizando-se com maior frequência na artéria femoral comum; as artérias femoral superficial e femoral profunda raramente são sede de aneurismas isolados. Na maioria das vezes, essas dilatações arteriais estão associadas a aneurismas</w:t>
      </w:r>
      <w:r>
        <w:rPr>
          <w:spacing w:val="-9"/>
        </w:rPr>
        <w:t> </w:t>
      </w:r>
      <w:r>
        <w:rPr/>
        <w:t>em</w:t>
      </w:r>
      <w:r>
        <w:rPr>
          <w:spacing w:val="-14"/>
        </w:rPr>
        <w:t> </w:t>
      </w:r>
      <w:r>
        <w:rPr/>
        <w:t>outras</w:t>
      </w:r>
      <w:r>
        <w:rPr>
          <w:spacing w:val="-7"/>
        </w:rPr>
        <w:t> </w:t>
      </w:r>
      <w:r>
        <w:rPr/>
        <w:t>localizações,</w:t>
      </w:r>
      <w:r>
        <w:rPr>
          <w:spacing w:val="-7"/>
        </w:rPr>
        <w:t> </w:t>
      </w:r>
      <w:r>
        <w:rPr/>
        <w:t>como</w:t>
      </w:r>
      <w:r>
        <w:rPr>
          <w:spacing w:val="-14"/>
        </w:rPr>
        <w:t> </w:t>
      </w:r>
      <w:r>
        <w:rPr/>
        <w:t>no</w:t>
      </w:r>
      <w:r>
        <w:rPr>
          <w:spacing w:val="-14"/>
        </w:rPr>
        <w:t> </w:t>
      </w:r>
      <w:r>
        <w:rPr/>
        <w:t>segmento</w:t>
      </w:r>
      <w:r>
        <w:rPr>
          <w:spacing w:val="-14"/>
        </w:rPr>
        <w:t> </w:t>
      </w:r>
      <w:r>
        <w:rPr/>
        <w:t>aortoilíaco</w:t>
      </w:r>
      <w:r>
        <w:rPr>
          <w:spacing w:val="-14"/>
        </w:rPr>
        <w:t> </w:t>
      </w:r>
      <w:r>
        <w:rPr/>
        <w:t>ou</w:t>
      </w:r>
      <w:r>
        <w:rPr>
          <w:spacing w:val="-14"/>
        </w:rPr>
        <w:t> </w:t>
      </w:r>
      <w:r>
        <w:rPr/>
        <w:t>na</w:t>
      </w:r>
      <w:r>
        <w:rPr>
          <w:spacing w:val="-15"/>
        </w:rPr>
        <w:t> </w:t>
      </w:r>
      <w:r>
        <w:rPr/>
        <w:t>poplítea.</w:t>
      </w:r>
      <w:r>
        <w:rPr>
          <w:spacing w:val="-6"/>
        </w:rPr>
        <w:t> </w:t>
      </w:r>
      <w:r>
        <w:rPr/>
        <w:t>Particularmente</w:t>
      </w:r>
      <w:r>
        <w:rPr>
          <w:spacing w:val="-15"/>
        </w:rPr>
        <w:t> </w:t>
      </w:r>
      <w:r>
        <w:rPr/>
        <w:t>quando</w:t>
      </w:r>
      <w:r>
        <w:rPr>
          <w:spacing w:val="-13"/>
        </w:rPr>
        <w:t> </w:t>
      </w:r>
      <w:r>
        <w:rPr/>
        <w:t>acometem ambas as artérias femorais, a associação com aneurismas da aorta abdominal é muito frequente, atingindo índices superiores a 70%.</w:t>
      </w:r>
    </w:p>
    <w:p>
      <w:pPr>
        <w:pStyle w:val="BodyText"/>
        <w:spacing w:before="134"/>
        <w:ind w:left="0" w:firstLine="0"/>
        <w:jc w:val="left"/>
      </w:pPr>
    </w:p>
    <w:p>
      <w:pPr>
        <w:pStyle w:val="Heading5"/>
      </w:pPr>
      <w:r>
        <w:rPr>
          <w:color w:val="A26108"/>
          <w:spacing w:val="-2"/>
        </w:rPr>
        <w:t>Etiopatogenia</w:t>
      </w:r>
    </w:p>
    <w:p>
      <w:pPr>
        <w:pStyle w:val="BodyText"/>
        <w:spacing w:line="276" w:lineRule="auto" w:before="138"/>
        <w:ind w:right="500"/>
      </w:pPr>
      <w:r>
        <w:rPr/>
        <w:t>A arteriosclerose, determinando alterações degenerativas parietais, responde pela maioria dos aneurismas verdadeiros da artéria femoral. No entanto, nessa região, atualmente, os tumores pulsáteis mais frequentes são os pseudoaneurismas iatrogênicos resultantes de</w:t>
      </w:r>
      <w:r>
        <w:rPr>
          <w:spacing w:val="-5"/>
        </w:rPr>
        <w:t> </w:t>
      </w:r>
      <w:r>
        <w:rPr/>
        <w:t>punções ou</w:t>
      </w:r>
      <w:r>
        <w:rPr>
          <w:spacing w:val="-2"/>
        </w:rPr>
        <w:t> </w:t>
      </w:r>
      <w:r>
        <w:rPr/>
        <w:t>de</w:t>
      </w:r>
      <w:r>
        <w:rPr>
          <w:spacing w:val="-5"/>
        </w:rPr>
        <w:t> </w:t>
      </w:r>
      <w:r>
        <w:rPr/>
        <w:t>implantação</w:t>
      </w:r>
      <w:r>
        <w:rPr>
          <w:spacing w:val="-2"/>
        </w:rPr>
        <w:t> </w:t>
      </w:r>
      <w:r>
        <w:rPr/>
        <w:t>de</w:t>
      </w:r>
      <w:r>
        <w:rPr>
          <w:spacing w:val="-5"/>
        </w:rPr>
        <w:t> </w:t>
      </w:r>
      <w:r>
        <w:rPr/>
        <w:t>próteses anastomosadas na</w:t>
      </w:r>
      <w:r>
        <w:rPr>
          <w:spacing w:val="-5"/>
        </w:rPr>
        <w:t> </w:t>
      </w:r>
      <w:r>
        <w:rPr/>
        <w:t>artéria.</w:t>
      </w:r>
    </w:p>
    <w:p>
      <w:pPr>
        <w:pStyle w:val="BodyText"/>
        <w:spacing w:line="280" w:lineRule="auto" w:before="48"/>
        <w:ind w:right="497"/>
      </w:pPr>
      <w:r>
        <w:rPr/>
        <w:t>As punções arteriais com passagem de cateteres têm sido realizadas com frequência crescente, tanto para fins diagnósticos como terapêuticos. Nesses procedimentos, os fatores que favorecem o aparecimento dos pseudoaneurismas são: utilização de cateteres de grosso calibre mantidos por tempo prolongado, emprego de anticoagulantes e fibrinolíticos e dificuldade de compressão da artéria femoral após a retirada do cateter, o que se observa especialmente em obesos.</w:t>
      </w:r>
      <w:r>
        <w:rPr>
          <w:vertAlign w:val="superscript"/>
        </w:rPr>
        <w:t>8</w:t>
      </w:r>
    </w:p>
    <w:p>
      <w:pPr>
        <w:pStyle w:val="BodyText"/>
        <w:spacing w:line="276" w:lineRule="auto" w:before="55"/>
        <w:ind w:right="488"/>
      </w:pPr>
      <w:r>
        <w:rPr/>
        <w:t>Outra causa de pseudoaneurismas femorais são os ferimentos penetrantes produzidos por arma branca ou de </w:t>
      </w:r>
      <w:r>
        <w:rPr>
          <w:spacing w:val="-2"/>
        </w:rPr>
        <w:t>fogo.</w:t>
      </w:r>
    </w:p>
    <w:p>
      <w:pPr>
        <w:pStyle w:val="BodyText"/>
        <w:spacing w:before="64"/>
        <w:ind w:left="414" w:firstLine="0"/>
      </w:pPr>
      <w:r>
        <w:rPr/>
        <w:t>Os</w:t>
      </w:r>
      <w:r>
        <w:rPr>
          <w:spacing w:val="-2"/>
        </w:rPr>
        <w:t> </w:t>
      </w:r>
      <w:r>
        <w:rPr/>
        <w:t>chamados</w:t>
      </w:r>
      <w:r>
        <w:rPr>
          <w:spacing w:val="-2"/>
        </w:rPr>
        <w:t> </w:t>
      </w:r>
      <w:r>
        <w:rPr/>
        <w:t>aneurismas</w:t>
      </w:r>
      <w:r>
        <w:rPr>
          <w:spacing w:val="-2"/>
        </w:rPr>
        <w:t> </w:t>
      </w:r>
      <w:r>
        <w:rPr/>
        <w:t>anastomóticos,</w:t>
      </w:r>
      <w:r>
        <w:rPr>
          <w:spacing w:val="-1"/>
        </w:rPr>
        <w:t> </w:t>
      </w:r>
      <w:r>
        <w:rPr/>
        <w:t>na</w:t>
      </w:r>
      <w:r>
        <w:rPr>
          <w:spacing w:val="-11"/>
        </w:rPr>
        <w:t> </w:t>
      </w:r>
      <w:r>
        <w:rPr/>
        <w:t>maioria</w:t>
      </w:r>
      <w:r>
        <w:rPr>
          <w:spacing w:val="-11"/>
        </w:rPr>
        <w:t> </w:t>
      </w:r>
      <w:r>
        <w:rPr/>
        <w:t>das</w:t>
      </w:r>
      <w:r>
        <w:rPr>
          <w:spacing w:val="-1"/>
        </w:rPr>
        <w:t> </w:t>
      </w:r>
      <w:r>
        <w:rPr/>
        <w:t>vezes,</w:t>
      </w:r>
      <w:r>
        <w:rPr>
          <w:spacing w:val="-2"/>
        </w:rPr>
        <w:t> </w:t>
      </w:r>
      <w:r>
        <w:rPr/>
        <w:t>são</w:t>
      </w:r>
      <w:r>
        <w:rPr>
          <w:spacing w:val="-9"/>
        </w:rPr>
        <w:t> </w:t>
      </w:r>
      <w:r>
        <w:rPr/>
        <w:t>pseudoaneurismas</w:t>
      </w:r>
      <w:r>
        <w:rPr>
          <w:spacing w:val="-1"/>
        </w:rPr>
        <w:t> </w:t>
      </w:r>
      <w:r>
        <w:rPr/>
        <w:t>decorrentes</w:t>
      </w:r>
      <w:r>
        <w:rPr>
          <w:spacing w:val="-2"/>
        </w:rPr>
        <w:t> </w:t>
      </w:r>
      <w:r>
        <w:rPr/>
        <w:t>de</w:t>
      </w:r>
      <w:r>
        <w:rPr>
          <w:spacing w:val="-11"/>
        </w:rPr>
        <w:t> </w:t>
      </w:r>
      <w:r>
        <w:rPr/>
        <w:t>ruptura</w:t>
      </w:r>
      <w:r>
        <w:rPr>
          <w:spacing w:val="-10"/>
        </w:rPr>
        <w:t> </w:t>
      </w:r>
      <w:r>
        <w:rPr>
          <w:spacing w:val="-5"/>
        </w:rPr>
        <w:t>de</w:t>
      </w:r>
    </w:p>
    <w:p>
      <w:pPr>
        <w:pStyle w:val="BodyText"/>
        <w:spacing w:after="0"/>
        <w:sectPr>
          <w:pgSz w:w="11900" w:h="16840"/>
          <w:pgMar w:top="200" w:bottom="280" w:left="566" w:right="141"/>
        </w:sectPr>
      </w:pPr>
    </w:p>
    <w:p>
      <w:pPr>
        <w:pStyle w:val="BodyText"/>
        <w:spacing w:line="273" w:lineRule="auto" w:before="61"/>
        <w:ind w:right="497" w:firstLine="0"/>
      </w:pPr>
      <w:r>
        <w:rPr/>
        <w:t>fio de sutura ou desgarramento de uma prótese anastomosada na artéria femoral, geralmente empregada para tratamento</w:t>
      </w:r>
      <w:r>
        <w:rPr>
          <w:spacing w:val="-3"/>
        </w:rPr>
        <w:t> </w:t>
      </w:r>
      <w:r>
        <w:rPr/>
        <w:t>de</w:t>
      </w:r>
      <w:r>
        <w:rPr>
          <w:spacing w:val="-5"/>
        </w:rPr>
        <w:t> </w:t>
      </w:r>
      <w:r>
        <w:rPr/>
        <w:t>doença</w:t>
      </w:r>
      <w:r>
        <w:rPr>
          <w:spacing w:val="-5"/>
        </w:rPr>
        <w:t> </w:t>
      </w:r>
      <w:r>
        <w:rPr/>
        <w:t>arterial obstrutiva</w:t>
      </w:r>
      <w:r>
        <w:rPr>
          <w:spacing w:val="-5"/>
        </w:rPr>
        <w:t> </w:t>
      </w:r>
      <w:r>
        <w:rPr/>
        <w:t>do</w:t>
      </w:r>
      <w:r>
        <w:rPr>
          <w:spacing w:val="-3"/>
        </w:rPr>
        <w:t> </w:t>
      </w:r>
      <w:r>
        <w:rPr/>
        <w:t>segmento</w:t>
      </w:r>
      <w:r>
        <w:rPr>
          <w:spacing w:val="-3"/>
        </w:rPr>
        <w:t> </w:t>
      </w:r>
      <w:r>
        <w:rPr/>
        <w:t>aortoilíaco. Entretanto, algumas vezes se</w:t>
      </w:r>
      <w:r>
        <w:rPr>
          <w:spacing w:val="-5"/>
        </w:rPr>
        <w:t> </w:t>
      </w:r>
      <w:r>
        <w:rPr/>
        <w:t>constata</w:t>
      </w:r>
      <w:r>
        <w:rPr>
          <w:spacing w:val="-5"/>
        </w:rPr>
        <w:t> </w:t>
      </w:r>
      <w:r>
        <w:rPr/>
        <w:t>integridade da anastomose prótese-artéria, quando, então, encontra-se dilatação verdadeira da artéria femoral decorrente de evolução de doença arteriosclerótica.</w:t>
      </w:r>
    </w:p>
    <w:p>
      <w:pPr>
        <w:pStyle w:val="BodyText"/>
        <w:spacing w:line="276" w:lineRule="auto" w:before="70"/>
        <w:ind w:right="488"/>
      </w:pPr>
      <w:r>
        <w:rPr/>
        <w:t>Aneurismas micóticos, com a denominação mais apropriada de infecciosos, são pouco frequentes, porém a artéria femoral é um local de eleição para sua ocorrência. Êmbolos sépticos originários de válvulas cardíacas infectadas</w:t>
      </w:r>
      <w:r>
        <w:rPr>
          <w:spacing w:val="-1"/>
        </w:rPr>
        <w:t> </w:t>
      </w:r>
      <w:r>
        <w:rPr/>
        <w:t>podem</w:t>
      </w:r>
      <w:r>
        <w:rPr>
          <w:spacing w:val="-8"/>
        </w:rPr>
        <w:t> </w:t>
      </w:r>
      <w:r>
        <w:rPr/>
        <w:t>se</w:t>
      </w:r>
      <w:r>
        <w:rPr>
          <w:spacing w:val="-11"/>
        </w:rPr>
        <w:t> </w:t>
      </w:r>
      <w:r>
        <w:rPr/>
        <w:t>alojar</w:t>
      </w:r>
      <w:r>
        <w:rPr>
          <w:spacing w:val="-3"/>
        </w:rPr>
        <w:t> </w:t>
      </w:r>
      <w:r>
        <w:rPr/>
        <w:t>nos </w:t>
      </w:r>
      <w:r>
        <w:rPr>
          <w:i/>
        </w:rPr>
        <w:t>vasa</w:t>
      </w:r>
      <w:r>
        <w:rPr>
          <w:i/>
          <w:spacing w:val="-8"/>
        </w:rPr>
        <w:t> </w:t>
      </w:r>
      <w:r>
        <w:rPr>
          <w:i/>
        </w:rPr>
        <w:t>vasorum</w:t>
      </w:r>
      <w:r>
        <w:rPr>
          <w:i/>
          <w:spacing w:val="-8"/>
        </w:rPr>
        <w:t> </w:t>
      </w:r>
      <w:r>
        <w:rPr/>
        <w:t>da</w:t>
      </w:r>
      <w:r>
        <w:rPr>
          <w:spacing w:val="-8"/>
        </w:rPr>
        <w:t> </w:t>
      </w:r>
      <w:r>
        <w:rPr/>
        <w:t>artéria</w:t>
      </w:r>
      <w:r>
        <w:rPr>
          <w:spacing w:val="-8"/>
        </w:rPr>
        <w:t> </w:t>
      </w:r>
      <w:r>
        <w:rPr/>
        <w:t>ou</w:t>
      </w:r>
      <w:r>
        <w:rPr>
          <w:spacing w:val="-6"/>
        </w:rPr>
        <w:t> </w:t>
      </w:r>
      <w:r>
        <w:rPr/>
        <w:t>sobre</w:t>
      </w:r>
      <w:r>
        <w:rPr>
          <w:spacing w:val="-8"/>
        </w:rPr>
        <w:t> </w:t>
      </w:r>
      <w:r>
        <w:rPr/>
        <w:t>placas de</w:t>
      </w:r>
      <w:r>
        <w:rPr>
          <w:spacing w:val="-8"/>
        </w:rPr>
        <w:t> </w:t>
      </w:r>
      <w:r>
        <w:rPr/>
        <w:t>ateroma, promovendo</w:t>
      </w:r>
      <w:r>
        <w:rPr>
          <w:spacing w:val="-6"/>
        </w:rPr>
        <w:t> </w:t>
      </w:r>
      <w:r>
        <w:rPr/>
        <w:t>o</w:t>
      </w:r>
      <w:r>
        <w:rPr>
          <w:spacing w:val="-6"/>
        </w:rPr>
        <w:t> </w:t>
      </w:r>
      <w:r>
        <w:rPr/>
        <w:t>enfraquecimento progressivo da parede arterial e sua consequente dilatação. Da mesma forma, durante uma septicemia pode ocorrer infecção</w:t>
      </w:r>
      <w:r>
        <w:rPr>
          <w:spacing w:val="-11"/>
        </w:rPr>
        <w:t> </w:t>
      </w:r>
      <w:r>
        <w:rPr/>
        <w:t>de</w:t>
      </w:r>
      <w:r>
        <w:rPr>
          <w:spacing w:val="-13"/>
        </w:rPr>
        <w:t> </w:t>
      </w:r>
      <w:r>
        <w:rPr/>
        <w:t>aneurismas</w:t>
      </w:r>
      <w:r>
        <w:rPr>
          <w:spacing w:val="-3"/>
        </w:rPr>
        <w:t> </w:t>
      </w:r>
      <w:r>
        <w:rPr/>
        <w:t>arterioscleróticos</w:t>
      </w:r>
      <w:r>
        <w:rPr>
          <w:spacing w:val="-3"/>
        </w:rPr>
        <w:t> </w:t>
      </w:r>
      <w:r>
        <w:rPr/>
        <w:t>preexistentes</w:t>
      </w:r>
      <w:r>
        <w:rPr>
          <w:spacing w:val="-3"/>
        </w:rPr>
        <w:t> </w:t>
      </w:r>
      <w:r>
        <w:rPr/>
        <w:t>com</w:t>
      </w:r>
      <w:r>
        <w:rPr>
          <w:spacing w:val="-11"/>
        </w:rPr>
        <w:t> </w:t>
      </w:r>
      <w:r>
        <w:rPr/>
        <w:t>mais</w:t>
      </w:r>
      <w:r>
        <w:rPr>
          <w:spacing w:val="-3"/>
        </w:rPr>
        <w:t> </w:t>
      </w:r>
      <w:r>
        <w:rPr/>
        <w:t>destruição</w:t>
      </w:r>
      <w:r>
        <w:rPr>
          <w:spacing w:val="-11"/>
        </w:rPr>
        <w:t> </w:t>
      </w:r>
      <w:r>
        <w:rPr/>
        <w:t>da</w:t>
      </w:r>
      <w:r>
        <w:rPr>
          <w:spacing w:val="-13"/>
        </w:rPr>
        <w:t> </w:t>
      </w:r>
      <w:r>
        <w:rPr/>
        <w:t>parede</w:t>
      </w:r>
      <w:r>
        <w:rPr>
          <w:spacing w:val="-13"/>
        </w:rPr>
        <w:t> </w:t>
      </w:r>
      <w:r>
        <w:rPr/>
        <w:t>arterial</w:t>
      </w:r>
      <w:r>
        <w:rPr>
          <w:spacing w:val="-7"/>
        </w:rPr>
        <w:t> </w:t>
      </w:r>
      <w:r>
        <w:rPr/>
        <w:t>e</w:t>
      </w:r>
      <w:r>
        <w:rPr>
          <w:spacing w:val="-13"/>
        </w:rPr>
        <w:t> </w:t>
      </w:r>
      <w:r>
        <w:rPr/>
        <w:t>contaminação</w:t>
      </w:r>
      <w:r>
        <w:rPr>
          <w:spacing w:val="-11"/>
        </w:rPr>
        <w:t> </w:t>
      </w:r>
      <w:r>
        <w:rPr/>
        <w:t>local. Outra</w:t>
      </w:r>
      <w:r>
        <w:rPr>
          <w:spacing w:val="-1"/>
        </w:rPr>
        <w:t> </w:t>
      </w:r>
      <w:r>
        <w:rPr/>
        <w:t>causa</w:t>
      </w:r>
      <w:r>
        <w:rPr>
          <w:spacing w:val="-1"/>
        </w:rPr>
        <w:t> </w:t>
      </w:r>
      <w:r>
        <w:rPr/>
        <w:t>de</w:t>
      </w:r>
      <w:r>
        <w:rPr>
          <w:spacing w:val="-1"/>
        </w:rPr>
        <w:t> </w:t>
      </w:r>
      <w:r>
        <w:rPr/>
        <w:t>aneurismas micóticos na</w:t>
      </w:r>
      <w:r>
        <w:rPr>
          <w:spacing w:val="-1"/>
        </w:rPr>
        <w:t> </w:t>
      </w:r>
      <w:r>
        <w:rPr/>
        <w:t>região inguinal são as punções repetidas da</w:t>
      </w:r>
      <w:r>
        <w:rPr>
          <w:spacing w:val="-1"/>
        </w:rPr>
        <w:t> </w:t>
      </w:r>
      <w:r>
        <w:rPr/>
        <w:t>artéria</w:t>
      </w:r>
      <w:r>
        <w:rPr>
          <w:spacing w:val="-1"/>
        </w:rPr>
        <w:t> </w:t>
      </w:r>
      <w:r>
        <w:rPr/>
        <w:t>em usuários de</w:t>
      </w:r>
      <w:r>
        <w:rPr>
          <w:spacing w:val="-1"/>
        </w:rPr>
        <w:t> </w:t>
      </w:r>
      <w:r>
        <w:rPr/>
        <w:t>drogas, feitas, geralmente, sem nenhuma técnica asséptica.</w:t>
      </w:r>
    </w:p>
    <w:p>
      <w:pPr>
        <w:pStyle w:val="BodyText"/>
        <w:spacing w:before="134"/>
        <w:ind w:left="0" w:firstLine="0"/>
        <w:jc w:val="left"/>
      </w:pPr>
    </w:p>
    <w:p>
      <w:pPr>
        <w:pStyle w:val="Heading5"/>
      </w:pPr>
      <w:r>
        <w:rPr>
          <w:color w:val="A26108"/>
        </w:rPr>
        <w:t>Evolução</w:t>
      </w:r>
      <w:r>
        <w:rPr>
          <w:color w:val="A26108"/>
          <w:spacing w:val="28"/>
        </w:rPr>
        <w:t> </w:t>
      </w:r>
      <w:r>
        <w:rPr>
          <w:color w:val="A26108"/>
          <w:spacing w:val="-2"/>
        </w:rPr>
        <w:t>natural</w:t>
      </w:r>
    </w:p>
    <w:p>
      <w:pPr>
        <w:pStyle w:val="BodyText"/>
        <w:spacing w:line="276" w:lineRule="auto" w:before="122"/>
        <w:ind w:right="500"/>
      </w:pPr>
      <w:r>
        <w:rPr/>
        <w:t>É muito semelhante à dos aneurismas da artéria poplítea. A trombose é frequente, sendo responsável por altos índices de</w:t>
      </w:r>
      <w:r>
        <w:rPr>
          <w:spacing w:val="-6"/>
        </w:rPr>
        <w:t> </w:t>
      </w:r>
      <w:r>
        <w:rPr/>
        <w:t>amputação</w:t>
      </w:r>
      <w:r>
        <w:rPr>
          <w:spacing w:val="-3"/>
        </w:rPr>
        <w:t> </w:t>
      </w:r>
      <w:r>
        <w:rPr/>
        <w:t>em</w:t>
      </w:r>
      <w:r>
        <w:rPr>
          <w:spacing w:val="-3"/>
        </w:rPr>
        <w:t> </w:t>
      </w:r>
      <w:r>
        <w:rPr/>
        <w:t>pacientes que</w:t>
      </w:r>
      <w:r>
        <w:rPr>
          <w:spacing w:val="-6"/>
        </w:rPr>
        <w:t> </w:t>
      </w:r>
      <w:r>
        <w:rPr/>
        <w:t>foram</w:t>
      </w:r>
      <w:r>
        <w:rPr>
          <w:spacing w:val="-3"/>
        </w:rPr>
        <w:t> </w:t>
      </w:r>
      <w:r>
        <w:rPr/>
        <w:t>acompanhados clinicamente.</w:t>
      </w:r>
    </w:p>
    <w:p>
      <w:pPr>
        <w:pStyle w:val="BodyText"/>
        <w:spacing w:line="290" w:lineRule="auto"/>
        <w:ind w:right="501"/>
      </w:pPr>
      <w:r>
        <w:rPr/>
        <w:t>Os aneurismas anastomóticos têm tendência a crescer progressivamente e, em aproximadamente 20% dos pacientes, põem o membro em risco por determinarem isquemia grave.</w:t>
      </w:r>
      <w:r>
        <w:rPr>
          <w:vertAlign w:val="superscript"/>
        </w:rPr>
        <w:t>8</w:t>
      </w:r>
    </w:p>
    <w:p>
      <w:pPr>
        <w:pStyle w:val="BodyText"/>
        <w:spacing w:before="118"/>
        <w:ind w:left="0" w:firstLine="0"/>
        <w:jc w:val="left"/>
      </w:pPr>
    </w:p>
    <w:p>
      <w:pPr>
        <w:pStyle w:val="Heading5"/>
      </w:pPr>
      <w:r>
        <w:rPr>
          <w:color w:val="A26108"/>
        </w:rPr>
        <w:t>Quadro</w:t>
      </w:r>
      <w:r>
        <w:rPr>
          <w:color w:val="A26108"/>
          <w:spacing w:val="23"/>
        </w:rPr>
        <w:t> </w:t>
      </w:r>
      <w:r>
        <w:rPr>
          <w:color w:val="A26108"/>
          <w:spacing w:val="-2"/>
        </w:rPr>
        <w:t>clínico</w:t>
      </w:r>
    </w:p>
    <w:p>
      <w:pPr>
        <w:pStyle w:val="BodyText"/>
        <w:spacing w:line="276" w:lineRule="auto" w:before="138"/>
        <w:ind w:right="488"/>
      </w:pPr>
      <w:r>
        <w:rPr/>
        <w:t>Evolui de modo assintomático por longo tempo, geralmente sendo percebido somente quando já apresenta complicações, o que faz o paciente procurar tratamento médico. A compressão do nervo ou da veia femoral ocorre quando o aneurisma alcança maiores proporções, causando, respectivamente, dor local e na coxa ou edema no membro. A</w:t>
      </w:r>
      <w:r>
        <w:rPr>
          <w:spacing w:val="-3"/>
        </w:rPr>
        <w:t> </w:t>
      </w:r>
      <w:r>
        <w:rPr/>
        <w:t>ruptura</w:t>
      </w:r>
      <w:r>
        <w:rPr>
          <w:spacing w:val="-3"/>
        </w:rPr>
        <w:t> </w:t>
      </w:r>
      <w:r>
        <w:rPr/>
        <w:t>é</w:t>
      </w:r>
      <w:r>
        <w:rPr>
          <w:spacing w:val="-3"/>
        </w:rPr>
        <w:t> </w:t>
      </w:r>
      <w:r>
        <w:rPr/>
        <w:t>rara, porém, quando ocorre, determina</w:t>
      </w:r>
      <w:r>
        <w:rPr>
          <w:spacing w:val="-3"/>
        </w:rPr>
        <w:t> </w:t>
      </w:r>
      <w:r>
        <w:rPr/>
        <w:t>aumento de</w:t>
      </w:r>
      <w:r>
        <w:rPr>
          <w:spacing w:val="-3"/>
        </w:rPr>
        <w:t> </w:t>
      </w:r>
      <w:r>
        <w:rPr/>
        <w:t>volume</w:t>
      </w:r>
      <w:r>
        <w:rPr>
          <w:spacing w:val="-3"/>
        </w:rPr>
        <w:t> </w:t>
      </w:r>
      <w:r>
        <w:rPr/>
        <w:t>local acompanhado de</w:t>
      </w:r>
      <w:r>
        <w:rPr>
          <w:spacing w:val="-3"/>
        </w:rPr>
        <w:t> </w:t>
      </w:r>
      <w:r>
        <w:rPr/>
        <w:t>dor intensa e</w:t>
      </w:r>
      <w:r>
        <w:rPr>
          <w:spacing w:val="-3"/>
        </w:rPr>
        <w:t> </w:t>
      </w:r>
      <w:r>
        <w:rPr/>
        <w:t>sufusão hemorrágica. Os aneurismas anastomóticos e</w:t>
      </w:r>
      <w:r>
        <w:rPr>
          <w:spacing w:val="-3"/>
        </w:rPr>
        <w:t> </w:t>
      </w:r>
      <w:r>
        <w:rPr/>
        <w:t>os pseudoaneurismas iatrogênicos mostram tendência</w:t>
      </w:r>
      <w:r>
        <w:rPr>
          <w:spacing w:val="-3"/>
        </w:rPr>
        <w:t> </w:t>
      </w:r>
      <w:r>
        <w:rPr/>
        <w:t>mais rápida de crescimento, provocando sintomas compressivos mais precocemente. As manifestações isquêmicas decorrentes de</w:t>
      </w:r>
      <w:r>
        <w:rPr>
          <w:spacing w:val="-7"/>
        </w:rPr>
        <w:t> </w:t>
      </w:r>
      <w:r>
        <w:rPr/>
        <w:t>trombose</w:t>
      </w:r>
      <w:r>
        <w:rPr>
          <w:spacing w:val="-7"/>
        </w:rPr>
        <w:t> </w:t>
      </w:r>
      <w:r>
        <w:rPr/>
        <w:t>ou</w:t>
      </w:r>
      <w:r>
        <w:rPr>
          <w:spacing w:val="-5"/>
        </w:rPr>
        <w:t> </w:t>
      </w:r>
      <w:r>
        <w:rPr/>
        <w:t>microembolização</w:t>
      </w:r>
      <w:r>
        <w:rPr>
          <w:spacing w:val="-5"/>
        </w:rPr>
        <w:t> </w:t>
      </w:r>
      <w:r>
        <w:rPr/>
        <w:t>distal</w:t>
      </w:r>
      <w:r>
        <w:rPr>
          <w:spacing w:val="-2"/>
        </w:rPr>
        <w:t> </w:t>
      </w:r>
      <w:r>
        <w:rPr/>
        <w:t>se</w:t>
      </w:r>
      <w:r>
        <w:rPr>
          <w:spacing w:val="-7"/>
        </w:rPr>
        <w:t> </w:t>
      </w:r>
      <w:r>
        <w:rPr/>
        <w:t>revestem</w:t>
      </w:r>
      <w:r>
        <w:rPr>
          <w:spacing w:val="-5"/>
        </w:rPr>
        <w:t> </w:t>
      </w:r>
      <w:r>
        <w:rPr/>
        <w:t>de</w:t>
      </w:r>
      <w:r>
        <w:rPr>
          <w:spacing w:val="-7"/>
        </w:rPr>
        <w:t> </w:t>
      </w:r>
      <w:r>
        <w:rPr/>
        <w:t>maior gravidade, uma</w:t>
      </w:r>
      <w:r>
        <w:rPr>
          <w:spacing w:val="-7"/>
        </w:rPr>
        <w:t> </w:t>
      </w:r>
      <w:r>
        <w:rPr/>
        <w:t>vez</w:t>
      </w:r>
      <w:r>
        <w:rPr>
          <w:spacing w:val="-7"/>
        </w:rPr>
        <w:t> </w:t>
      </w:r>
      <w:r>
        <w:rPr/>
        <w:t>que</w:t>
      </w:r>
      <w:r>
        <w:rPr>
          <w:spacing w:val="-7"/>
        </w:rPr>
        <w:t> </w:t>
      </w:r>
      <w:r>
        <w:rPr/>
        <w:t>põem</w:t>
      </w:r>
      <w:r>
        <w:rPr>
          <w:spacing w:val="-5"/>
        </w:rPr>
        <w:t> </w:t>
      </w:r>
      <w:r>
        <w:rPr/>
        <w:t>em</w:t>
      </w:r>
      <w:r>
        <w:rPr>
          <w:spacing w:val="-5"/>
        </w:rPr>
        <w:t> </w:t>
      </w:r>
      <w:r>
        <w:rPr/>
        <w:t>risco</w:t>
      </w:r>
      <w:r>
        <w:rPr>
          <w:spacing w:val="-5"/>
        </w:rPr>
        <w:t> </w:t>
      </w:r>
      <w:r>
        <w:rPr/>
        <w:t>a vitalidade do membro.</w:t>
      </w:r>
    </w:p>
    <w:p>
      <w:pPr>
        <w:pStyle w:val="BodyText"/>
        <w:spacing w:before="134"/>
        <w:ind w:left="0" w:firstLine="0"/>
        <w:jc w:val="left"/>
      </w:pPr>
    </w:p>
    <w:p>
      <w:pPr>
        <w:pStyle w:val="Heading5"/>
      </w:pPr>
      <w:r>
        <w:rPr>
          <w:color w:val="A26108"/>
          <w:spacing w:val="-2"/>
        </w:rPr>
        <w:t>Diagnóstico</w:t>
      </w:r>
    </w:p>
    <w:p>
      <w:pPr>
        <w:pStyle w:val="BodyText"/>
        <w:spacing w:line="283" w:lineRule="auto" w:before="123"/>
        <w:ind w:right="488"/>
      </w:pPr>
      <w:r>
        <w:rPr/>
        <w:t>O</w:t>
      </w:r>
      <w:r>
        <w:rPr>
          <w:spacing w:val="-5"/>
        </w:rPr>
        <w:t> </w:t>
      </w:r>
      <w:r>
        <w:rPr/>
        <w:t>perfil do</w:t>
      </w:r>
      <w:r>
        <w:rPr>
          <w:spacing w:val="-2"/>
        </w:rPr>
        <w:t> </w:t>
      </w:r>
      <w:r>
        <w:rPr/>
        <w:t>paciente</w:t>
      </w:r>
      <w:r>
        <w:rPr>
          <w:spacing w:val="-5"/>
        </w:rPr>
        <w:t> </w:t>
      </w:r>
      <w:r>
        <w:rPr/>
        <w:t>que</w:t>
      </w:r>
      <w:r>
        <w:rPr>
          <w:spacing w:val="-5"/>
        </w:rPr>
        <w:t> </w:t>
      </w:r>
      <w:r>
        <w:rPr/>
        <w:t>apresenta</w:t>
      </w:r>
      <w:r>
        <w:rPr>
          <w:spacing w:val="-5"/>
        </w:rPr>
        <w:t> </w:t>
      </w:r>
      <w:r>
        <w:rPr/>
        <w:t>aneurisma</w:t>
      </w:r>
      <w:r>
        <w:rPr>
          <w:spacing w:val="-5"/>
        </w:rPr>
        <w:t> </w:t>
      </w:r>
      <w:r>
        <w:rPr/>
        <w:t>arteriosclerótico</w:t>
      </w:r>
      <w:r>
        <w:rPr>
          <w:spacing w:val="-2"/>
        </w:rPr>
        <w:t> </w:t>
      </w:r>
      <w:r>
        <w:rPr/>
        <w:t>da</w:t>
      </w:r>
      <w:r>
        <w:rPr>
          <w:spacing w:val="-5"/>
        </w:rPr>
        <w:t> </w:t>
      </w:r>
      <w:r>
        <w:rPr/>
        <w:t>artéria</w:t>
      </w:r>
      <w:r>
        <w:rPr>
          <w:spacing w:val="-5"/>
        </w:rPr>
        <w:t> </w:t>
      </w:r>
      <w:r>
        <w:rPr/>
        <w:t>femoral é</w:t>
      </w:r>
      <w:r>
        <w:rPr>
          <w:spacing w:val="-5"/>
        </w:rPr>
        <w:t> </w:t>
      </w:r>
      <w:r>
        <w:rPr/>
        <w:t>o</w:t>
      </w:r>
      <w:r>
        <w:rPr>
          <w:spacing w:val="-2"/>
        </w:rPr>
        <w:t> </w:t>
      </w:r>
      <w:r>
        <w:rPr/>
        <w:t>seguinte: homem</w:t>
      </w:r>
      <w:r>
        <w:rPr>
          <w:spacing w:val="-2"/>
        </w:rPr>
        <w:t> </w:t>
      </w:r>
      <w:r>
        <w:rPr/>
        <w:t>na</w:t>
      </w:r>
      <w:r>
        <w:rPr>
          <w:spacing w:val="-5"/>
        </w:rPr>
        <w:t> </w:t>
      </w:r>
      <w:r>
        <w:rPr/>
        <w:t>sétima década</w:t>
      </w:r>
      <w:r>
        <w:rPr>
          <w:spacing w:val="-10"/>
        </w:rPr>
        <w:t> </w:t>
      </w:r>
      <w:r>
        <w:rPr/>
        <w:t>de</w:t>
      </w:r>
      <w:r>
        <w:rPr>
          <w:spacing w:val="-10"/>
        </w:rPr>
        <w:t> </w:t>
      </w:r>
      <w:r>
        <w:rPr/>
        <w:t>vida, na</w:t>
      </w:r>
      <w:r>
        <w:rPr>
          <w:spacing w:val="-10"/>
        </w:rPr>
        <w:t> </w:t>
      </w:r>
      <w:r>
        <w:rPr/>
        <w:t>maioria</w:t>
      </w:r>
      <w:r>
        <w:rPr>
          <w:spacing w:val="-10"/>
        </w:rPr>
        <w:t> </w:t>
      </w:r>
      <w:r>
        <w:rPr/>
        <w:t>das vezes fumante, mais de</w:t>
      </w:r>
      <w:r>
        <w:rPr>
          <w:spacing w:val="-10"/>
        </w:rPr>
        <w:t> </w:t>
      </w:r>
      <w:r>
        <w:rPr/>
        <w:t>um</w:t>
      </w:r>
      <w:r>
        <w:rPr>
          <w:spacing w:val="-7"/>
        </w:rPr>
        <w:t> </w:t>
      </w:r>
      <w:r>
        <w:rPr/>
        <w:t>terço</w:t>
      </w:r>
      <w:r>
        <w:rPr>
          <w:spacing w:val="-7"/>
        </w:rPr>
        <w:t> </w:t>
      </w:r>
      <w:r>
        <w:rPr/>
        <w:t>é</w:t>
      </w:r>
      <w:r>
        <w:rPr>
          <w:spacing w:val="-10"/>
        </w:rPr>
        <w:t> </w:t>
      </w:r>
      <w:r>
        <w:rPr/>
        <w:t>hipertenso, 14%</w:t>
      </w:r>
      <w:r>
        <w:rPr>
          <w:spacing w:val="-5"/>
        </w:rPr>
        <w:t> </w:t>
      </w:r>
      <w:r>
        <w:rPr/>
        <w:t>diabéticos, um</w:t>
      </w:r>
      <w:r>
        <w:rPr>
          <w:spacing w:val="-7"/>
        </w:rPr>
        <w:t> </w:t>
      </w:r>
      <w:r>
        <w:rPr/>
        <w:t>terço</w:t>
      </w:r>
      <w:r>
        <w:rPr>
          <w:spacing w:val="-7"/>
        </w:rPr>
        <w:t> </w:t>
      </w:r>
      <w:r>
        <w:rPr/>
        <w:t>com</w:t>
      </w:r>
      <w:r>
        <w:rPr>
          <w:spacing w:val="-7"/>
        </w:rPr>
        <w:t> </w:t>
      </w:r>
      <w:r>
        <w:rPr/>
        <w:t>doença coronária e 7% com doença cerebrovascular.</w:t>
      </w:r>
      <w:r>
        <w:rPr>
          <w:vertAlign w:val="superscript"/>
        </w:rPr>
        <w:t>16</w:t>
      </w:r>
    </w:p>
    <w:p>
      <w:pPr>
        <w:pStyle w:val="BodyText"/>
        <w:spacing w:line="276" w:lineRule="auto" w:before="56"/>
        <w:ind w:right="497"/>
      </w:pPr>
      <w:r>
        <w:rPr/>
        <w:t>Como a maioria desses aneurismas é assintomática, a inspeção e palpação da região inguinal podem ser suficientes para se fazer o diagnóstico, pois a artéria femoral comum está situada superficialmente, permitindo a visualização de um abaulamento pulsátil nessa região (</w:t>
      </w:r>
      <w:r>
        <w:rPr>
          <w:color w:val="505050"/>
        </w:rPr>
        <w:t>Figura 59.10</w:t>
      </w:r>
      <w:r>
        <w:rPr/>
        <w:t>) que, à palpação, revela se tratar de dilatação arterial expansível. Também quando situado na</w:t>
      </w:r>
      <w:r>
        <w:rPr>
          <w:spacing w:val="-1"/>
        </w:rPr>
        <w:t> </w:t>
      </w:r>
      <w:r>
        <w:rPr/>
        <w:t>artéria</w:t>
      </w:r>
      <w:r>
        <w:rPr>
          <w:spacing w:val="-1"/>
        </w:rPr>
        <w:t> </w:t>
      </w:r>
      <w:r>
        <w:rPr/>
        <w:t>femoral superficial, o aneurisma</w:t>
      </w:r>
      <w:r>
        <w:rPr>
          <w:spacing w:val="-1"/>
        </w:rPr>
        <w:t> </w:t>
      </w:r>
      <w:r>
        <w:rPr/>
        <w:t>é</w:t>
      </w:r>
      <w:r>
        <w:rPr>
          <w:spacing w:val="-1"/>
        </w:rPr>
        <w:t> </w:t>
      </w:r>
      <w:r>
        <w:rPr/>
        <w:t>facilmente</w:t>
      </w:r>
      <w:r>
        <w:rPr>
          <w:spacing w:val="-1"/>
        </w:rPr>
        <w:t> </w:t>
      </w:r>
      <w:r>
        <w:rPr/>
        <w:t>diagnosticado pelo exame físico, diferentemente do que ocorre com o aneurisma da artéria femoral profunda pelo fato de esse vaso estar situado mais profundamente.</w:t>
      </w:r>
    </w:p>
    <w:p>
      <w:pPr>
        <w:pStyle w:val="BodyText"/>
        <w:spacing w:line="276" w:lineRule="auto" w:before="49"/>
        <w:ind w:right="491"/>
      </w:pPr>
      <w:r>
        <w:rPr/>
        <w:t>O método auxiliar de diagnóstico de maior utilidade nos aneurismas femorais é a ultrassonografia simples ou acoplada</w:t>
      </w:r>
      <w:r>
        <w:rPr>
          <w:spacing w:val="-11"/>
        </w:rPr>
        <w:t> </w:t>
      </w:r>
      <w:r>
        <w:rPr/>
        <w:t>ao</w:t>
      </w:r>
      <w:r>
        <w:rPr>
          <w:spacing w:val="-8"/>
        </w:rPr>
        <w:t> </w:t>
      </w:r>
      <w:r>
        <w:rPr/>
        <w:t>Doppler,</w:t>
      </w:r>
      <w:r>
        <w:rPr>
          <w:spacing w:val="-1"/>
        </w:rPr>
        <w:t> </w:t>
      </w:r>
      <w:r>
        <w:rPr/>
        <w:t>que</w:t>
      </w:r>
      <w:r>
        <w:rPr>
          <w:spacing w:val="-11"/>
        </w:rPr>
        <w:t> </w:t>
      </w:r>
      <w:r>
        <w:rPr/>
        <w:t>é</w:t>
      </w:r>
      <w:r>
        <w:rPr>
          <w:spacing w:val="-11"/>
        </w:rPr>
        <w:t> </w:t>
      </w:r>
      <w:r>
        <w:rPr/>
        <w:t>bastante</w:t>
      </w:r>
      <w:r>
        <w:rPr>
          <w:spacing w:val="-11"/>
        </w:rPr>
        <w:t> </w:t>
      </w:r>
      <w:r>
        <w:rPr/>
        <w:t>sensível</w:t>
      </w:r>
      <w:r>
        <w:rPr>
          <w:spacing w:val="-6"/>
        </w:rPr>
        <w:t> </w:t>
      </w:r>
      <w:r>
        <w:rPr/>
        <w:t>para</w:t>
      </w:r>
      <w:r>
        <w:rPr>
          <w:spacing w:val="-11"/>
        </w:rPr>
        <w:t> </w:t>
      </w:r>
      <w:r>
        <w:rPr/>
        <w:t>nos</w:t>
      </w:r>
      <w:r>
        <w:rPr>
          <w:spacing w:val="-1"/>
        </w:rPr>
        <w:t> </w:t>
      </w:r>
      <w:r>
        <w:rPr/>
        <w:t>dar</w:t>
      </w:r>
      <w:r>
        <w:rPr>
          <w:spacing w:val="-3"/>
        </w:rPr>
        <w:t> </w:t>
      </w:r>
      <w:r>
        <w:rPr/>
        <w:t>informações</w:t>
      </w:r>
      <w:r>
        <w:rPr>
          <w:spacing w:val="-1"/>
        </w:rPr>
        <w:t> </w:t>
      </w:r>
      <w:r>
        <w:rPr/>
        <w:t>sobre</w:t>
      </w:r>
      <w:r>
        <w:rPr>
          <w:spacing w:val="-11"/>
        </w:rPr>
        <w:t> </w:t>
      </w:r>
      <w:r>
        <w:rPr/>
        <w:t>as</w:t>
      </w:r>
      <w:r>
        <w:rPr>
          <w:spacing w:val="-1"/>
        </w:rPr>
        <w:t> </w:t>
      </w:r>
      <w:r>
        <w:rPr/>
        <w:t>reais</w:t>
      </w:r>
      <w:r>
        <w:rPr>
          <w:spacing w:val="-1"/>
        </w:rPr>
        <w:t> </w:t>
      </w:r>
      <w:r>
        <w:rPr/>
        <w:t>dimensões</w:t>
      </w:r>
      <w:r>
        <w:rPr>
          <w:spacing w:val="-1"/>
        </w:rPr>
        <w:t> </w:t>
      </w:r>
      <w:r>
        <w:rPr/>
        <w:t>da</w:t>
      </w:r>
      <w:r>
        <w:rPr>
          <w:spacing w:val="-11"/>
        </w:rPr>
        <w:t> </w:t>
      </w:r>
      <w:r>
        <w:rPr/>
        <w:t>dilatação</w:t>
      </w:r>
      <w:r>
        <w:rPr>
          <w:spacing w:val="-8"/>
        </w:rPr>
        <w:t> </w:t>
      </w:r>
      <w:r>
        <w:rPr/>
        <w:t>arterial bem como sobre a existência de trombos parietais e as características do fluxo sanguíneo (</w:t>
      </w:r>
      <w:r>
        <w:rPr>
          <w:color w:val="505050"/>
        </w:rPr>
        <w:t>Figura 59.11</w:t>
      </w:r>
      <w:r>
        <w:rPr/>
        <w:t>). A angiotomografia e a angiorressonância podem ser métodos úteis, porém são mais dispendiosos do que a ultrassonografia. O estudo arteriográfico tem a mesma importância já citada nos aneurismas da poplítea, sendo, atualmente, substituído com vantagens pela</w:t>
      </w:r>
      <w:r>
        <w:rPr>
          <w:spacing w:val="-2"/>
        </w:rPr>
        <w:t> </w:t>
      </w:r>
      <w:r>
        <w:rPr/>
        <w:t>angiotomografia</w:t>
      </w:r>
      <w:r>
        <w:rPr>
          <w:spacing w:val="-2"/>
        </w:rPr>
        <w:t> </w:t>
      </w:r>
      <w:r>
        <w:rPr/>
        <w:t>da</w:t>
      </w:r>
      <w:r>
        <w:rPr>
          <w:spacing w:val="-2"/>
        </w:rPr>
        <w:t> </w:t>
      </w:r>
      <w:r>
        <w:rPr/>
        <w:t>mesma</w:t>
      </w:r>
      <w:r>
        <w:rPr>
          <w:spacing w:val="-2"/>
        </w:rPr>
        <w:t> </w:t>
      </w:r>
      <w:r>
        <w:rPr/>
        <w:t>forma</w:t>
      </w:r>
      <w:r>
        <w:rPr>
          <w:spacing w:val="-2"/>
        </w:rPr>
        <w:t> </w:t>
      </w:r>
      <w:r>
        <w:rPr/>
        <w:t>que</w:t>
      </w:r>
      <w:r>
        <w:rPr>
          <w:spacing w:val="-2"/>
        </w:rPr>
        <w:t> </w:t>
      </w:r>
      <w:r>
        <w:rPr/>
        <w:t>a</w:t>
      </w:r>
      <w:r>
        <w:rPr>
          <w:spacing w:val="-2"/>
        </w:rPr>
        <w:t> </w:t>
      </w:r>
      <w:r>
        <w:rPr/>
        <w:t>angiorressonância.</w:t>
      </w:r>
    </w:p>
    <w:p>
      <w:pPr>
        <w:pStyle w:val="BodyText"/>
        <w:spacing w:after="0" w:line="276" w:lineRule="auto"/>
        <w:sectPr>
          <w:pgSz w:w="11900" w:h="16840"/>
          <w:pgMar w:top="220" w:bottom="280" w:left="566" w:right="141"/>
        </w:sectPr>
      </w:pPr>
    </w:p>
    <w:p>
      <w:pPr>
        <w:spacing w:line="240" w:lineRule="auto"/>
        <w:ind w:left="3141" w:right="0" w:firstLine="0"/>
        <w:rPr>
          <w:sz w:val="20"/>
        </w:rPr>
      </w:pPr>
      <w:r>
        <w:rPr>
          <w:sz w:val="20"/>
        </w:rPr>
        <w:drawing>
          <wp:inline distT="0" distB="0" distL="0" distR="0">
            <wp:extent cx="2863874" cy="162048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44" cstate="print"/>
                    <a:stretch>
                      <a:fillRect/>
                    </a:stretch>
                  </pic:blipFill>
                  <pic:spPr>
                    <a:xfrm>
                      <a:off x="0" y="0"/>
                      <a:ext cx="2863874" cy="1620488"/>
                    </a:xfrm>
                    <a:prstGeom prst="rect">
                      <a:avLst/>
                    </a:prstGeom>
                  </pic:spPr>
                </pic:pic>
              </a:graphicData>
            </a:graphic>
          </wp:inline>
        </w:drawing>
      </w:r>
      <w:r>
        <w:rPr>
          <w:sz w:val="20"/>
        </w:rPr>
      </w:r>
    </w:p>
    <w:p>
      <w:pPr>
        <w:pStyle w:val="BodyText"/>
        <w:spacing w:before="47"/>
        <w:ind w:left="0" w:firstLine="0"/>
        <w:jc w:val="left"/>
        <w:rPr>
          <w:sz w:val="19"/>
        </w:rPr>
      </w:pPr>
    </w:p>
    <w:p>
      <w:pPr>
        <w:spacing w:before="1"/>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6"/>
          <w:sz w:val="19"/>
        </w:rPr>
        <w:t> </w:t>
      </w:r>
      <w:r>
        <w:rPr>
          <w:rFonts w:ascii="Arial" w:hAnsi="Arial"/>
          <w:b/>
          <w:color w:val="242B67"/>
          <w:sz w:val="19"/>
        </w:rPr>
        <w:t>59.10</w:t>
      </w:r>
      <w:r>
        <w:rPr>
          <w:rFonts w:ascii="Arial" w:hAnsi="Arial"/>
          <w:b/>
          <w:color w:val="242B67"/>
          <w:spacing w:val="16"/>
          <w:sz w:val="19"/>
        </w:rPr>
        <w:t> </w:t>
      </w:r>
      <w:r>
        <w:rPr>
          <w:rFonts w:ascii="Microsoft Sans Serif" w:hAnsi="Microsoft Sans Serif"/>
          <w:sz w:val="19"/>
        </w:rPr>
        <w:t>Aneurisma</w:t>
      </w:r>
      <w:r>
        <w:rPr>
          <w:rFonts w:ascii="Microsoft Sans Serif" w:hAnsi="Microsoft Sans Serif"/>
          <w:spacing w:val="18"/>
          <w:sz w:val="19"/>
        </w:rPr>
        <w:t> </w:t>
      </w:r>
      <w:r>
        <w:rPr>
          <w:rFonts w:ascii="Microsoft Sans Serif" w:hAnsi="Microsoft Sans Serif"/>
          <w:sz w:val="19"/>
        </w:rPr>
        <w:t>de</w:t>
      </w:r>
      <w:r>
        <w:rPr>
          <w:rFonts w:ascii="Microsoft Sans Serif" w:hAnsi="Microsoft Sans Serif"/>
          <w:spacing w:val="18"/>
          <w:sz w:val="19"/>
        </w:rPr>
        <w:t> </w:t>
      </w:r>
      <w:r>
        <w:rPr>
          <w:rFonts w:ascii="Microsoft Sans Serif" w:hAnsi="Microsoft Sans Serif"/>
          <w:sz w:val="19"/>
        </w:rPr>
        <w:t>artéria</w:t>
      </w:r>
      <w:r>
        <w:rPr>
          <w:rFonts w:ascii="Microsoft Sans Serif" w:hAnsi="Microsoft Sans Serif"/>
          <w:spacing w:val="18"/>
          <w:sz w:val="19"/>
        </w:rPr>
        <w:t> </w:t>
      </w:r>
      <w:r>
        <w:rPr>
          <w:rFonts w:ascii="Microsoft Sans Serif" w:hAnsi="Microsoft Sans Serif"/>
          <w:sz w:val="19"/>
        </w:rPr>
        <w:t>femoral.</w:t>
      </w:r>
      <w:r>
        <w:rPr>
          <w:rFonts w:ascii="Microsoft Sans Serif" w:hAnsi="Microsoft Sans Serif"/>
          <w:spacing w:val="5"/>
          <w:sz w:val="19"/>
        </w:rPr>
        <w:t> </w:t>
      </w:r>
      <w:r>
        <w:rPr>
          <w:rFonts w:ascii="Microsoft Sans Serif" w:hAnsi="Microsoft Sans Serif"/>
          <w:sz w:val="19"/>
        </w:rPr>
        <w:t>Note</w:t>
      </w:r>
      <w:r>
        <w:rPr>
          <w:rFonts w:ascii="Microsoft Sans Serif" w:hAnsi="Microsoft Sans Serif"/>
          <w:spacing w:val="18"/>
          <w:sz w:val="19"/>
        </w:rPr>
        <w:t> </w:t>
      </w:r>
      <w:r>
        <w:rPr>
          <w:rFonts w:ascii="Microsoft Sans Serif" w:hAnsi="Microsoft Sans Serif"/>
          <w:sz w:val="19"/>
        </w:rPr>
        <w:t>o</w:t>
      </w:r>
      <w:r>
        <w:rPr>
          <w:rFonts w:ascii="Microsoft Sans Serif" w:hAnsi="Microsoft Sans Serif"/>
          <w:spacing w:val="18"/>
          <w:sz w:val="19"/>
        </w:rPr>
        <w:t> </w:t>
      </w:r>
      <w:r>
        <w:rPr>
          <w:rFonts w:ascii="Microsoft Sans Serif" w:hAnsi="Microsoft Sans Serif"/>
          <w:sz w:val="19"/>
        </w:rPr>
        <w:t>abaulamento</w:t>
      </w:r>
      <w:r>
        <w:rPr>
          <w:rFonts w:ascii="Microsoft Sans Serif" w:hAnsi="Microsoft Sans Serif"/>
          <w:spacing w:val="18"/>
          <w:sz w:val="19"/>
        </w:rPr>
        <w:t> </w:t>
      </w:r>
      <w:r>
        <w:rPr>
          <w:rFonts w:ascii="Microsoft Sans Serif" w:hAnsi="Microsoft Sans Serif"/>
          <w:sz w:val="19"/>
        </w:rPr>
        <w:t>na</w:t>
      </w:r>
      <w:r>
        <w:rPr>
          <w:rFonts w:ascii="Microsoft Sans Serif" w:hAnsi="Microsoft Sans Serif"/>
          <w:spacing w:val="19"/>
          <w:sz w:val="19"/>
        </w:rPr>
        <w:t> </w:t>
      </w:r>
      <w:r>
        <w:rPr>
          <w:rFonts w:ascii="Microsoft Sans Serif" w:hAnsi="Microsoft Sans Serif"/>
          <w:sz w:val="19"/>
        </w:rPr>
        <w:t>região</w:t>
      </w:r>
      <w:r>
        <w:rPr>
          <w:rFonts w:ascii="Microsoft Sans Serif" w:hAnsi="Microsoft Sans Serif"/>
          <w:spacing w:val="18"/>
          <w:sz w:val="19"/>
        </w:rPr>
        <w:t> </w:t>
      </w:r>
      <w:r>
        <w:rPr>
          <w:rFonts w:ascii="Microsoft Sans Serif" w:hAnsi="Microsoft Sans Serif"/>
          <w:sz w:val="19"/>
        </w:rPr>
        <w:t>inguinal</w:t>
      </w:r>
      <w:r>
        <w:rPr>
          <w:rFonts w:ascii="Microsoft Sans Serif" w:hAnsi="Microsoft Sans Serif"/>
          <w:spacing w:val="18"/>
          <w:sz w:val="19"/>
        </w:rPr>
        <w:t> </w:t>
      </w:r>
      <w:r>
        <w:rPr>
          <w:rFonts w:ascii="Microsoft Sans Serif" w:hAnsi="Microsoft Sans Serif"/>
          <w:spacing w:val="-2"/>
          <w:sz w:val="19"/>
        </w:rPr>
        <w:t>direita.</w:t>
      </w:r>
    </w:p>
    <w:p>
      <w:pPr>
        <w:pStyle w:val="BodyText"/>
        <w:spacing w:before="76"/>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19584">
            <wp:simplePos x="0" y="0"/>
            <wp:positionH relativeFrom="page">
              <wp:posOffset>2405202</wp:posOffset>
            </wp:positionH>
            <wp:positionV relativeFrom="paragraph">
              <wp:posOffset>207401</wp:posOffset>
            </wp:positionV>
            <wp:extent cx="2761970" cy="2996374"/>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45" cstate="print"/>
                    <a:stretch>
                      <a:fillRect/>
                    </a:stretch>
                  </pic:blipFill>
                  <pic:spPr>
                    <a:xfrm>
                      <a:off x="0" y="0"/>
                      <a:ext cx="2761970" cy="2996374"/>
                    </a:xfrm>
                    <a:prstGeom prst="rect">
                      <a:avLst/>
                    </a:prstGeom>
                  </pic:spPr>
                </pic:pic>
              </a:graphicData>
            </a:graphic>
          </wp:anchor>
        </w:drawing>
      </w:r>
    </w:p>
    <w:p>
      <w:pPr>
        <w:pStyle w:val="BodyText"/>
        <w:spacing w:before="62"/>
        <w:ind w:left="0" w:firstLine="0"/>
        <w:jc w:val="left"/>
        <w:rPr>
          <w:rFonts w:ascii="Microsoft Sans Serif"/>
          <w:sz w:val="19"/>
        </w:rPr>
      </w:pPr>
    </w:p>
    <w:p>
      <w:pPr>
        <w:spacing w:line="285" w:lineRule="auto" w:before="0"/>
        <w:ind w:left="68" w:right="497" w:firstLine="0"/>
        <w:jc w:val="left"/>
        <w:rPr>
          <w:rFonts w:ascii="Microsoft Sans Serif" w:hAnsi="Microsoft Sans Serif"/>
          <w:sz w:val="19"/>
        </w:rPr>
      </w:pPr>
      <w:r>
        <w:rPr>
          <w:rFonts w:ascii="Arial" w:hAnsi="Arial"/>
          <w:b/>
          <w:color w:val="242B67"/>
          <w:sz w:val="19"/>
        </w:rPr>
        <w:t>Figura</w:t>
      </w:r>
      <w:r>
        <w:rPr>
          <w:rFonts w:ascii="Arial" w:hAnsi="Arial"/>
          <w:b/>
          <w:color w:val="242B67"/>
          <w:spacing w:val="40"/>
          <w:sz w:val="19"/>
        </w:rPr>
        <w:t> </w:t>
      </w:r>
      <w:r>
        <w:rPr>
          <w:rFonts w:ascii="Arial" w:hAnsi="Arial"/>
          <w:b/>
          <w:color w:val="242B67"/>
          <w:sz w:val="19"/>
        </w:rPr>
        <w:t>59.11</w:t>
      </w:r>
      <w:r>
        <w:rPr>
          <w:rFonts w:ascii="Arial" w:hAnsi="Arial"/>
          <w:b/>
          <w:color w:val="242B67"/>
          <w:spacing w:val="40"/>
          <w:sz w:val="19"/>
        </w:rPr>
        <w:t> </w:t>
      </w:r>
      <w:r>
        <w:rPr>
          <w:rFonts w:ascii="Microsoft Sans Serif" w:hAnsi="Microsoft Sans Serif"/>
          <w:sz w:val="19"/>
        </w:rPr>
        <w:t>Ecodoppler</w:t>
      </w:r>
      <w:r>
        <w:rPr>
          <w:rFonts w:ascii="Microsoft Sans Serif" w:hAnsi="Microsoft Sans Serif"/>
          <w:spacing w:val="40"/>
          <w:sz w:val="19"/>
        </w:rPr>
        <w:t> </w:t>
      </w:r>
      <w:r>
        <w:rPr>
          <w:rFonts w:ascii="Microsoft Sans Serif" w:hAnsi="Microsoft Sans Serif"/>
          <w:sz w:val="19"/>
        </w:rPr>
        <w:t>colorido</w:t>
      </w:r>
      <w:r>
        <w:rPr>
          <w:rFonts w:ascii="Microsoft Sans Serif" w:hAnsi="Microsoft Sans Serif"/>
          <w:spacing w:val="66"/>
          <w:sz w:val="19"/>
        </w:rPr>
        <w:t> </w:t>
      </w:r>
      <w:r>
        <w:rPr>
          <w:rFonts w:ascii="Microsoft Sans Serif" w:hAnsi="Microsoft Sans Serif"/>
          <w:sz w:val="19"/>
        </w:rPr>
        <w:t>mostrando</w:t>
      </w:r>
      <w:r>
        <w:rPr>
          <w:rFonts w:ascii="Microsoft Sans Serif" w:hAnsi="Microsoft Sans Serif"/>
          <w:spacing w:val="66"/>
          <w:sz w:val="19"/>
        </w:rPr>
        <w:t> </w:t>
      </w:r>
      <w:r>
        <w:rPr>
          <w:rFonts w:ascii="Microsoft Sans Serif" w:hAnsi="Microsoft Sans Serif"/>
          <w:sz w:val="19"/>
        </w:rPr>
        <w:t>pseudoaneurisma</w:t>
      </w:r>
      <w:r>
        <w:rPr>
          <w:rFonts w:ascii="Microsoft Sans Serif" w:hAnsi="Microsoft Sans Serif"/>
          <w:spacing w:val="66"/>
          <w:sz w:val="19"/>
        </w:rPr>
        <w:t> </w:t>
      </w:r>
      <w:r>
        <w:rPr>
          <w:rFonts w:ascii="Microsoft Sans Serif" w:hAnsi="Microsoft Sans Serif"/>
          <w:sz w:val="19"/>
        </w:rPr>
        <w:t>de</w:t>
      </w:r>
      <w:r>
        <w:rPr>
          <w:rFonts w:ascii="Microsoft Sans Serif" w:hAnsi="Microsoft Sans Serif"/>
          <w:spacing w:val="66"/>
          <w:sz w:val="19"/>
        </w:rPr>
        <w:t> </w:t>
      </w:r>
      <w:r>
        <w:rPr>
          <w:rFonts w:ascii="Microsoft Sans Serif" w:hAnsi="Microsoft Sans Serif"/>
          <w:sz w:val="19"/>
        </w:rPr>
        <w:t>artéria</w:t>
      </w:r>
      <w:r>
        <w:rPr>
          <w:rFonts w:ascii="Microsoft Sans Serif" w:hAnsi="Microsoft Sans Serif"/>
          <w:spacing w:val="66"/>
          <w:sz w:val="19"/>
        </w:rPr>
        <w:t> </w:t>
      </w:r>
      <w:r>
        <w:rPr>
          <w:rFonts w:ascii="Microsoft Sans Serif" w:hAnsi="Microsoft Sans Serif"/>
          <w:sz w:val="19"/>
        </w:rPr>
        <w:t>femoral</w:t>
      </w:r>
      <w:r>
        <w:rPr>
          <w:rFonts w:ascii="Microsoft Sans Serif" w:hAnsi="Microsoft Sans Serif"/>
          <w:spacing w:val="66"/>
          <w:sz w:val="19"/>
        </w:rPr>
        <w:t> </w:t>
      </w:r>
      <w:r>
        <w:rPr>
          <w:rFonts w:ascii="Microsoft Sans Serif" w:hAnsi="Microsoft Sans Serif"/>
          <w:sz w:val="19"/>
        </w:rPr>
        <w:t>comum</w:t>
      </w:r>
      <w:r>
        <w:rPr>
          <w:rFonts w:ascii="Microsoft Sans Serif" w:hAnsi="Microsoft Sans Serif"/>
          <w:spacing w:val="40"/>
          <w:sz w:val="19"/>
        </w:rPr>
        <w:t> </w:t>
      </w:r>
      <w:r>
        <w:rPr>
          <w:rFonts w:ascii="Microsoft Sans Serif" w:hAnsi="Microsoft Sans Serif"/>
          <w:sz w:val="19"/>
        </w:rPr>
        <w:t>decorrente</w:t>
      </w:r>
      <w:r>
        <w:rPr>
          <w:rFonts w:ascii="Microsoft Sans Serif" w:hAnsi="Microsoft Sans Serif"/>
          <w:spacing w:val="66"/>
          <w:sz w:val="19"/>
        </w:rPr>
        <w:t> </w:t>
      </w:r>
      <w:r>
        <w:rPr>
          <w:rFonts w:ascii="Microsoft Sans Serif" w:hAnsi="Microsoft Sans Serif"/>
          <w:sz w:val="19"/>
        </w:rPr>
        <w:t>de</w:t>
      </w:r>
      <w:r>
        <w:rPr>
          <w:rFonts w:ascii="Microsoft Sans Serif" w:hAnsi="Microsoft Sans Serif"/>
          <w:spacing w:val="66"/>
          <w:sz w:val="19"/>
        </w:rPr>
        <w:t> </w:t>
      </w:r>
      <w:r>
        <w:rPr>
          <w:rFonts w:ascii="Microsoft Sans Serif" w:hAnsi="Microsoft Sans Serif"/>
          <w:sz w:val="19"/>
        </w:rPr>
        <w:t>cateterismo arterial diagnóstico.</w:t>
      </w:r>
    </w:p>
    <w:p>
      <w:pPr>
        <w:pStyle w:val="BodyText"/>
        <w:spacing w:before="159"/>
        <w:ind w:left="0" w:firstLine="0"/>
        <w:jc w:val="left"/>
        <w:rPr>
          <w:rFonts w:ascii="Microsoft Sans Serif"/>
          <w:sz w:val="19"/>
        </w:rPr>
      </w:pPr>
    </w:p>
    <w:p>
      <w:pPr>
        <w:pStyle w:val="Heading5"/>
      </w:pPr>
      <w:r>
        <w:rPr>
          <w:color w:val="A26108"/>
          <w:spacing w:val="-2"/>
        </w:rPr>
        <w:t>Tratamento</w:t>
      </w:r>
    </w:p>
    <w:p>
      <w:pPr>
        <w:pStyle w:val="BodyText"/>
        <w:spacing w:line="280" w:lineRule="auto" w:before="138"/>
        <w:ind w:right="488"/>
      </w:pPr>
      <w:r>
        <w:rPr/>
        <w:t>Todos os aneurismas femorais assintomáticos com mais de 2,5 cm de diâmetro ou os sintomáticos são de indicação cirúrgica, conduta esta também válida para os aneurismas anastomóticos.</w:t>
      </w:r>
      <w:r>
        <w:rPr>
          <w:vertAlign w:val="superscript"/>
        </w:rPr>
        <w:t>8</w:t>
      </w:r>
      <w:r>
        <w:rPr>
          <w:vertAlign w:val="baseline"/>
        </w:rPr>
        <w:t> Nas dilatações arteriais inferiores a 2,5 cm e em pacientes assintomáticos com alto risco cirúrgico, a conduta conservadora é válida, devendo-se</w:t>
      </w:r>
      <w:r>
        <w:rPr>
          <w:spacing w:val="-2"/>
          <w:vertAlign w:val="baseline"/>
        </w:rPr>
        <w:t> </w:t>
      </w:r>
      <w:r>
        <w:rPr>
          <w:vertAlign w:val="baseline"/>
        </w:rPr>
        <w:t>acompanhar a</w:t>
      </w:r>
      <w:r>
        <w:rPr>
          <w:spacing w:val="-2"/>
          <w:vertAlign w:val="baseline"/>
        </w:rPr>
        <w:t> </w:t>
      </w:r>
      <w:r>
        <w:rPr>
          <w:vertAlign w:val="baseline"/>
        </w:rPr>
        <w:t>evolução desses aneurismas com ultrassonografias periódicas.</w:t>
      </w:r>
    </w:p>
    <w:p>
      <w:pPr>
        <w:pStyle w:val="BodyText"/>
        <w:spacing w:line="276" w:lineRule="auto" w:before="60"/>
        <w:ind w:right="500"/>
      </w:pPr>
      <w:r>
        <w:rPr/>
        <w:t>Alguns pseudoaneurismas iatrogênicos podem apresentar trombose espontaneamente com o simples repouso. Outros podem</w:t>
      </w:r>
      <w:r>
        <w:rPr>
          <w:spacing w:val="-2"/>
        </w:rPr>
        <w:t> </w:t>
      </w:r>
      <w:r>
        <w:rPr/>
        <w:t>ser ocluídos com</w:t>
      </w:r>
      <w:r>
        <w:rPr>
          <w:spacing w:val="-2"/>
        </w:rPr>
        <w:t> </w:t>
      </w:r>
      <w:r>
        <w:rPr/>
        <w:t>compressão</w:t>
      </w:r>
      <w:r>
        <w:rPr>
          <w:spacing w:val="-2"/>
        </w:rPr>
        <w:t> </w:t>
      </w:r>
      <w:r>
        <w:rPr/>
        <w:t>local pelo</w:t>
      </w:r>
      <w:r>
        <w:rPr>
          <w:spacing w:val="-2"/>
        </w:rPr>
        <w:t> </w:t>
      </w:r>
      <w:r>
        <w:rPr/>
        <w:t>transdutor e</w:t>
      </w:r>
      <w:r>
        <w:rPr>
          <w:spacing w:val="-4"/>
        </w:rPr>
        <w:t> </w:t>
      </w:r>
      <w:r>
        <w:rPr/>
        <w:t>controle</w:t>
      </w:r>
      <w:r>
        <w:rPr>
          <w:spacing w:val="-4"/>
        </w:rPr>
        <w:t> </w:t>
      </w:r>
      <w:r>
        <w:rPr/>
        <w:t>ultrassonográfico. Mais recentemente, outro</w:t>
      </w:r>
      <w:r>
        <w:rPr>
          <w:spacing w:val="-4"/>
        </w:rPr>
        <w:t> </w:t>
      </w:r>
      <w:r>
        <w:rPr/>
        <w:t>procedimento</w:t>
      </w:r>
      <w:r>
        <w:rPr>
          <w:spacing w:val="-4"/>
        </w:rPr>
        <w:t> </w:t>
      </w:r>
      <w:r>
        <w:rPr/>
        <w:t>simples e</w:t>
      </w:r>
      <w:r>
        <w:rPr>
          <w:spacing w:val="-7"/>
        </w:rPr>
        <w:t> </w:t>
      </w:r>
      <w:r>
        <w:rPr/>
        <w:t>pouco</w:t>
      </w:r>
      <w:r>
        <w:rPr>
          <w:spacing w:val="-4"/>
        </w:rPr>
        <w:t> </w:t>
      </w:r>
      <w:r>
        <w:rPr/>
        <w:t>agressivo</w:t>
      </w:r>
      <w:r>
        <w:rPr>
          <w:spacing w:val="-4"/>
        </w:rPr>
        <w:t> </w:t>
      </w:r>
      <w:r>
        <w:rPr/>
        <w:t>foi</w:t>
      </w:r>
      <w:r>
        <w:rPr>
          <w:spacing w:val="-1"/>
        </w:rPr>
        <w:t> </w:t>
      </w:r>
      <w:r>
        <w:rPr/>
        <w:t>proposto</w:t>
      </w:r>
      <w:r>
        <w:rPr>
          <w:spacing w:val="-4"/>
        </w:rPr>
        <w:t> </w:t>
      </w:r>
      <w:r>
        <w:rPr/>
        <w:t>para</w:t>
      </w:r>
      <w:r>
        <w:rPr>
          <w:spacing w:val="-7"/>
        </w:rPr>
        <w:t> </w:t>
      </w:r>
      <w:r>
        <w:rPr/>
        <w:t>tratar esses pseudoaneurismas, em</w:t>
      </w:r>
      <w:r>
        <w:rPr>
          <w:spacing w:val="-4"/>
        </w:rPr>
        <w:t> </w:t>
      </w:r>
      <w:r>
        <w:rPr/>
        <w:t>casos nos quais a</w:t>
      </w:r>
      <w:r>
        <w:rPr>
          <w:spacing w:val="-3"/>
        </w:rPr>
        <w:t> </w:t>
      </w:r>
      <w:r>
        <w:rPr/>
        <w:t>compressão não se</w:t>
      </w:r>
      <w:r>
        <w:rPr>
          <w:spacing w:val="-3"/>
        </w:rPr>
        <w:t> </w:t>
      </w:r>
      <w:r>
        <w:rPr/>
        <w:t>mostrou efetiva: injeção de</w:t>
      </w:r>
      <w:r>
        <w:rPr>
          <w:spacing w:val="-3"/>
        </w:rPr>
        <w:t> </w:t>
      </w:r>
      <w:r>
        <w:rPr/>
        <w:t>trombina</w:t>
      </w:r>
      <w:r>
        <w:rPr>
          <w:spacing w:val="-3"/>
        </w:rPr>
        <w:t> </w:t>
      </w:r>
      <w:r>
        <w:rPr/>
        <w:t>guiada</w:t>
      </w:r>
      <w:r>
        <w:rPr>
          <w:spacing w:val="-3"/>
        </w:rPr>
        <w:t> </w:t>
      </w:r>
      <w:r>
        <w:rPr/>
        <w:t>por ultrassom</w:t>
      </w:r>
      <w:r>
        <w:rPr>
          <w:spacing w:val="-1"/>
        </w:rPr>
        <w:t> </w:t>
      </w:r>
      <w:r>
        <w:rPr/>
        <w:t>para</w:t>
      </w:r>
      <w:r>
        <w:rPr>
          <w:spacing w:val="-3"/>
        </w:rPr>
        <w:t> </w:t>
      </w:r>
      <w:r>
        <w:rPr/>
        <w:t>provocar trombose, o que</w:t>
      </w:r>
      <w:r>
        <w:rPr>
          <w:spacing w:val="-3"/>
        </w:rPr>
        <w:t> </w:t>
      </w:r>
      <w:r>
        <w:rPr/>
        <w:t>tem sido conseguido com alto índice de sucesso e sem complicações significativas. O tratamento cirúrgico, nesses casos, reserva-se àqueles que não são solucionados com os procedimentos referidos.</w:t>
      </w:r>
    </w:p>
    <w:p>
      <w:pPr>
        <w:pStyle w:val="BodyText"/>
        <w:spacing w:before="257"/>
        <w:ind w:left="0" w:firstLine="0"/>
        <w:jc w:val="left"/>
      </w:pPr>
    </w:p>
    <w:p>
      <w:pPr>
        <w:pStyle w:val="Heading3"/>
        <w:ind w:left="37"/>
      </w:pPr>
      <w:r>
        <w:rPr>
          <w:color w:val="242B67"/>
        </w:rPr>
        <w:t>Doença</w:t>
      </w:r>
      <w:r>
        <w:rPr>
          <w:color w:val="242B67"/>
          <w:spacing w:val="12"/>
        </w:rPr>
        <w:t> </w:t>
      </w:r>
      <w:r>
        <w:rPr>
          <w:color w:val="242B67"/>
        </w:rPr>
        <w:t>Arterial</w:t>
      </w:r>
      <w:r>
        <w:rPr>
          <w:color w:val="242B67"/>
          <w:spacing w:val="13"/>
        </w:rPr>
        <w:t> </w:t>
      </w:r>
      <w:r>
        <w:rPr>
          <w:color w:val="242B67"/>
        </w:rPr>
        <w:t>Obstrutiva</w:t>
      </w:r>
      <w:r>
        <w:rPr>
          <w:color w:val="242B67"/>
          <w:spacing w:val="12"/>
        </w:rPr>
        <w:t> </w:t>
      </w:r>
      <w:r>
        <w:rPr>
          <w:color w:val="242B67"/>
        </w:rPr>
        <w:t>Crônica</w:t>
      </w:r>
      <w:r>
        <w:rPr>
          <w:color w:val="242B67"/>
          <w:spacing w:val="13"/>
        </w:rPr>
        <w:t> </w:t>
      </w:r>
      <w:r>
        <w:rPr>
          <w:color w:val="242B67"/>
          <w:spacing w:val="-2"/>
        </w:rPr>
        <w:t>Periférica</w:t>
      </w:r>
    </w:p>
    <w:p>
      <w:pPr>
        <w:pStyle w:val="BodyText"/>
        <w:spacing w:before="7"/>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20096">
                <wp:simplePos x="0" y="0"/>
                <wp:positionH relativeFrom="page">
                  <wp:posOffset>401543</wp:posOffset>
                </wp:positionH>
                <wp:positionV relativeFrom="paragraph">
                  <wp:posOffset>41431</wp:posOffset>
                </wp:positionV>
                <wp:extent cx="6753225" cy="10795"/>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62286pt;width:531.731217pt;height:.8008pt;mso-position-horizontal-relative:page;mso-position-vertical-relative:paragraph;z-index:-15696384;mso-wrap-distance-left:0;mso-wrap-distance-right:0" id="docshape43" filled="true" fillcolor="#242b67" stroked="false">
                <v:fill type="solid"/>
                <w10:wrap type="topAndBottom"/>
              </v:rect>
            </w:pict>
          </mc:Fallback>
        </mc:AlternateContent>
      </w:r>
    </w:p>
    <w:p>
      <w:pPr>
        <w:spacing w:before="133"/>
        <w:ind w:left="68" w:right="0" w:firstLine="0"/>
        <w:jc w:val="left"/>
        <w:rPr>
          <w:rFonts w:ascii="Arial"/>
          <w:i/>
          <w:sz w:val="25"/>
        </w:rPr>
      </w:pPr>
      <w:r>
        <w:rPr>
          <w:rFonts w:ascii="Arial"/>
          <w:i/>
          <w:sz w:val="25"/>
        </w:rPr>
        <w:t>Antonio</w:t>
      </w:r>
      <w:r>
        <w:rPr>
          <w:rFonts w:ascii="Arial"/>
          <w:i/>
          <w:spacing w:val="16"/>
          <w:sz w:val="25"/>
        </w:rPr>
        <w:t> </w:t>
      </w:r>
      <w:r>
        <w:rPr>
          <w:rFonts w:ascii="Arial"/>
          <w:i/>
          <w:sz w:val="25"/>
        </w:rPr>
        <w:t>Eduardo</w:t>
      </w:r>
      <w:r>
        <w:rPr>
          <w:rFonts w:ascii="Arial"/>
          <w:i/>
          <w:spacing w:val="17"/>
          <w:sz w:val="25"/>
        </w:rPr>
        <w:t> </w:t>
      </w:r>
      <w:r>
        <w:rPr>
          <w:rFonts w:ascii="Arial"/>
          <w:i/>
          <w:sz w:val="25"/>
        </w:rPr>
        <w:t>Zerati,</w:t>
      </w:r>
      <w:r>
        <w:rPr>
          <w:rFonts w:ascii="Arial"/>
          <w:i/>
          <w:spacing w:val="16"/>
          <w:sz w:val="25"/>
        </w:rPr>
        <w:t> </w:t>
      </w:r>
      <w:r>
        <w:rPr>
          <w:rFonts w:ascii="Arial"/>
          <w:i/>
          <w:sz w:val="25"/>
        </w:rPr>
        <w:t>Paulo</w:t>
      </w:r>
      <w:r>
        <w:rPr>
          <w:rFonts w:ascii="Arial"/>
          <w:i/>
          <w:spacing w:val="17"/>
          <w:sz w:val="25"/>
        </w:rPr>
        <w:t> </w:t>
      </w:r>
      <w:r>
        <w:rPr>
          <w:rFonts w:ascii="Arial"/>
          <w:i/>
          <w:sz w:val="25"/>
        </w:rPr>
        <w:t>Kauffman,</w:t>
      </w:r>
      <w:r>
        <w:rPr>
          <w:rFonts w:ascii="Arial"/>
          <w:i/>
          <w:spacing w:val="16"/>
          <w:sz w:val="25"/>
        </w:rPr>
        <w:t> </w:t>
      </w:r>
      <w:r>
        <w:rPr>
          <w:rFonts w:ascii="Arial"/>
          <w:i/>
          <w:sz w:val="25"/>
        </w:rPr>
        <w:t>Nelson</w:t>
      </w:r>
      <w:r>
        <w:rPr>
          <w:rFonts w:ascii="Arial"/>
          <w:i/>
          <w:spacing w:val="17"/>
          <w:sz w:val="25"/>
        </w:rPr>
        <w:t> </w:t>
      </w:r>
      <w:r>
        <w:rPr>
          <w:rFonts w:ascii="Arial"/>
          <w:i/>
          <w:sz w:val="25"/>
        </w:rPr>
        <w:t>Wolosker</w:t>
      </w:r>
      <w:r>
        <w:rPr>
          <w:rFonts w:ascii="Arial"/>
          <w:i/>
          <w:spacing w:val="17"/>
          <w:sz w:val="25"/>
        </w:rPr>
        <w:t> </w:t>
      </w:r>
      <w:r>
        <w:rPr>
          <w:rFonts w:ascii="Arial"/>
          <w:i/>
          <w:sz w:val="25"/>
        </w:rPr>
        <w:t>e</w:t>
      </w:r>
      <w:r>
        <w:rPr>
          <w:rFonts w:ascii="Arial"/>
          <w:i/>
          <w:spacing w:val="16"/>
          <w:sz w:val="25"/>
        </w:rPr>
        <w:t> </w:t>
      </w:r>
      <w:r>
        <w:rPr>
          <w:rFonts w:ascii="Arial"/>
          <w:i/>
          <w:sz w:val="25"/>
        </w:rPr>
        <w:t>Fernando</w:t>
      </w:r>
      <w:r>
        <w:rPr>
          <w:rFonts w:ascii="Arial"/>
          <w:i/>
          <w:spacing w:val="17"/>
          <w:sz w:val="25"/>
        </w:rPr>
        <w:t> </w:t>
      </w:r>
      <w:r>
        <w:rPr>
          <w:rFonts w:ascii="Arial"/>
          <w:i/>
          <w:spacing w:val="-2"/>
          <w:sz w:val="25"/>
        </w:rPr>
        <w:t>Ferrari</w:t>
      </w:r>
    </w:p>
    <w:p>
      <w:pPr>
        <w:pStyle w:val="BodyText"/>
        <w:spacing w:before="199"/>
        <w:ind w:left="0" w:firstLine="0"/>
        <w:jc w:val="left"/>
        <w:rPr>
          <w:rFonts w:ascii="Arial"/>
          <w:i/>
          <w:sz w:val="25"/>
        </w:rPr>
      </w:pPr>
    </w:p>
    <w:p>
      <w:pPr>
        <w:pStyle w:val="Heading4"/>
      </w:pPr>
      <w:r>
        <w:rPr>
          <w:color w:val="242B67"/>
          <w:spacing w:val="-2"/>
        </w:rPr>
        <w:t>Introdução</w:t>
      </w:r>
    </w:p>
    <w:p>
      <w:pPr>
        <w:pStyle w:val="BodyText"/>
        <w:spacing w:line="276" w:lineRule="auto" w:before="132"/>
        <w:ind w:right="491"/>
      </w:pPr>
      <w:r>
        <w:rPr/>
        <w:t>A doença arterial obstrutiva periférica crônica (DAOP) caracteriza-se por diminuição gradual do fluxo sanguíneo para</w:t>
      </w:r>
      <w:r>
        <w:rPr>
          <w:spacing w:val="-2"/>
        </w:rPr>
        <w:t> </w:t>
      </w:r>
      <w:r>
        <w:rPr/>
        <w:t>os membros, na</w:t>
      </w:r>
      <w:r>
        <w:rPr>
          <w:spacing w:val="-2"/>
        </w:rPr>
        <w:t> </w:t>
      </w:r>
      <w:r>
        <w:rPr/>
        <w:t>maioria</w:t>
      </w:r>
      <w:r>
        <w:rPr>
          <w:spacing w:val="-2"/>
        </w:rPr>
        <w:t> </w:t>
      </w:r>
      <w:r>
        <w:rPr/>
        <w:t>das vezes decorrente</w:t>
      </w:r>
      <w:r>
        <w:rPr>
          <w:spacing w:val="-2"/>
        </w:rPr>
        <w:t> </w:t>
      </w:r>
      <w:r>
        <w:rPr/>
        <w:t>de</w:t>
      </w:r>
      <w:r>
        <w:rPr>
          <w:spacing w:val="-2"/>
        </w:rPr>
        <w:t> </w:t>
      </w:r>
      <w:r>
        <w:rPr/>
        <w:t>arteriosclerose, e</w:t>
      </w:r>
      <w:r>
        <w:rPr>
          <w:spacing w:val="-2"/>
        </w:rPr>
        <w:t> </w:t>
      </w:r>
      <w:r>
        <w:rPr/>
        <w:t>que</w:t>
      </w:r>
      <w:r>
        <w:rPr>
          <w:spacing w:val="-2"/>
        </w:rPr>
        <w:t> </w:t>
      </w:r>
      <w:r>
        <w:rPr/>
        <w:t>vem adquirindo importância crescente na prática médica devido ao aumento da população idosa.</w:t>
      </w:r>
    </w:p>
    <w:p>
      <w:pPr>
        <w:pStyle w:val="BodyText"/>
        <w:spacing w:after="0" w:line="276" w:lineRule="auto"/>
        <w:sectPr>
          <w:pgSz w:w="11900" w:h="16840"/>
          <w:pgMar w:top="280" w:bottom="280" w:left="566" w:right="141"/>
        </w:sectPr>
      </w:pPr>
    </w:p>
    <w:p>
      <w:pPr>
        <w:pStyle w:val="BodyText"/>
        <w:spacing w:line="276" w:lineRule="auto" w:before="74"/>
        <w:ind w:right="491"/>
      </w:pPr>
      <w:r>
        <w:rPr/>
        <w:t>A</w:t>
      </w:r>
      <w:r>
        <w:rPr>
          <w:spacing w:val="-10"/>
        </w:rPr>
        <w:t> </w:t>
      </w:r>
      <w:r>
        <w:rPr/>
        <w:t>intensidade</w:t>
      </w:r>
      <w:r>
        <w:rPr>
          <w:spacing w:val="-10"/>
        </w:rPr>
        <w:t> </w:t>
      </w:r>
      <w:r>
        <w:rPr/>
        <w:t>dos sintomas pode</w:t>
      </w:r>
      <w:r>
        <w:rPr>
          <w:spacing w:val="-10"/>
        </w:rPr>
        <w:t> </w:t>
      </w:r>
      <w:r>
        <w:rPr/>
        <w:t>causar</w:t>
      </w:r>
      <w:r>
        <w:rPr>
          <w:spacing w:val="-3"/>
        </w:rPr>
        <w:t> </w:t>
      </w:r>
      <w:r>
        <w:rPr/>
        <w:t>pequenos desconfortos, com</w:t>
      </w:r>
      <w:r>
        <w:rPr>
          <w:spacing w:val="-8"/>
        </w:rPr>
        <w:t> </w:t>
      </w:r>
      <w:r>
        <w:rPr/>
        <w:t>queixas vagas de</w:t>
      </w:r>
      <w:r>
        <w:rPr>
          <w:spacing w:val="-10"/>
        </w:rPr>
        <w:t> </w:t>
      </w:r>
      <w:r>
        <w:rPr/>
        <w:t>parestesias e</w:t>
      </w:r>
      <w:r>
        <w:rPr>
          <w:spacing w:val="-10"/>
        </w:rPr>
        <w:t> </w:t>
      </w:r>
      <w:r>
        <w:rPr/>
        <w:t>cansaço, ou limitação da distância de marcha (claudicação intermitente) e, em casos mais avançados, o risco de perda de </w:t>
      </w:r>
      <w:r>
        <w:rPr>
          <w:spacing w:val="-2"/>
        </w:rPr>
        <w:t>membro.</w:t>
      </w:r>
    </w:p>
    <w:p>
      <w:pPr>
        <w:pStyle w:val="BodyText"/>
        <w:spacing w:before="185"/>
        <w:ind w:left="0" w:firstLine="0"/>
        <w:jc w:val="left"/>
      </w:pPr>
    </w:p>
    <w:p>
      <w:pPr>
        <w:pStyle w:val="Heading4"/>
      </w:pPr>
      <w:r>
        <w:rPr>
          <w:color w:val="242B67"/>
          <w:spacing w:val="-2"/>
        </w:rPr>
        <w:t>Etiopatogenia</w:t>
      </w:r>
    </w:p>
    <w:p>
      <w:pPr>
        <w:pStyle w:val="BodyText"/>
        <w:spacing w:line="276" w:lineRule="auto" w:before="132"/>
        <w:ind w:right="494"/>
      </w:pPr>
      <w:r>
        <w:rPr/>
        <w:t>O</w:t>
      </w:r>
      <w:r>
        <w:rPr>
          <w:spacing w:val="-10"/>
        </w:rPr>
        <w:t> </w:t>
      </w:r>
      <w:r>
        <w:rPr/>
        <w:t>estreitamento</w:t>
      </w:r>
      <w:r>
        <w:rPr>
          <w:spacing w:val="-8"/>
        </w:rPr>
        <w:t> </w:t>
      </w:r>
      <w:r>
        <w:rPr/>
        <w:t>progressivo</w:t>
      </w:r>
      <w:r>
        <w:rPr>
          <w:spacing w:val="-8"/>
        </w:rPr>
        <w:t> </w:t>
      </w:r>
      <w:r>
        <w:rPr/>
        <w:t>do</w:t>
      </w:r>
      <w:r>
        <w:rPr>
          <w:spacing w:val="-8"/>
        </w:rPr>
        <w:t> </w:t>
      </w:r>
      <w:r>
        <w:rPr/>
        <w:t>lúmen</w:t>
      </w:r>
      <w:r>
        <w:rPr>
          <w:spacing w:val="-8"/>
        </w:rPr>
        <w:t> </w:t>
      </w:r>
      <w:r>
        <w:rPr/>
        <w:t>do</w:t>
      </w:r>
      <w:r>
        <w:rPr>
          <w:spacing w:val="-8"/>
        </w:rPr>
        <w:t> </w:t>
      </w:r>
      <w:r>
        <w:rPr/>
        <w:t>vaso</w:t>
      </w:r>
      <w:r>
        <w:rPr>
          <w:spacing w:val="-8"/>
        </w:rPr>
        <w:t> </w:t>
      </w:r>
      <w:r>
        <w:rPr/>
        <w:t>com</w:t>
      </w:r>
      <w:r>
        <w:rPr>
          <w:spacing w:val="-8"/>
        </w:rPr>
        <w:t> </w:t>
      </w:r>
      <w:r>
        <w:rPr/>
        <w:t>redução</w:t>
      </w:r>
      <w:r>
        <w:rPr>
          <w:spacing w:val="-8"/>
        </w:rPr>
        <w:t> </w:t>
      </w:r>
      <w:r>
        <w:rPr/>
        <w:t>do</w:t>
      </w:r>
      <w:r>
        <w:rPr>
          <w:spacing w:val="-8"/>
        </w:rPr>
        <w:t> </w:t>
      </w:r>
      <w:r>
        <w:rPr/>
        <w:t>fluxo</w:t>
      </w:r>
      <w:r>
        <w:rPr>
          <w:spacing w:val="-8"/>
        </w:rPr>
        <w:t> </w:t>
      </w:r>
      <w:r>
        <w:rPr/>
        <w:t>sanguíneo</w:t>
      </w:r>
      <w:r>
        <w:rPr>
          <w:spacing w:val="-8"/>
        </w:rPr>
        <w:t> </w:t>
      </w:r>
      <w:r>
        <w:rPr/>
        <w:t>e</w:t>
      </w:r>
      <w:r>
        <w:rPr>
          <w:spacing w:val="-10"/>
        </w:rPr>
        <w:t> </w:t>
      </w:r>
      <w:r>
        <w:rPr/>
        <w:t>consequente</w:t>
      </w:r>
      <w:r>
        <w:rPr>
          <w:spacing w:val="-10"/>
        </w:rPr>
        <w:t> </w:t>
      </w:r>
      <w:r>
        <w:rPr/>
        <w:t>isquemia</w:t>
      </w:r>
      <w:r>
        <w:rPr>
          <w:spacing w:val="-10"/>
        </w:rPr>
        <w:t> </w:t>
      </w:r>
      <w:r>
        <w:rPr/>
        <w:t>tecidual pode ter várias causas.</w:t>
      </w:r>
    </w:p>
    <w:p>
      <w:pPr>
        <w:pStyle w:val="BodyText"/>
        <w:spacing w:line="276" w:lineRule="auto"/>
        <w:ind w:right="500"/>
      </w:pPr>
      <w:r>
        <w:rPr/>
        <w:t>A aterosclerose obliterante periférica (AOP) é a causa mais frequente e representa mais de 90% desses casos. As arterites podem ser causa de obstrução arterial, sendo a tromboangiite obliterante (TAO) a principal delas. As outras causas, com</w:t>
      </w:r>
      <w:r>
        <w:rPr>
          <w:spacing w:val="-8"/>
        </w:rPr>
        <w:t> </w:t>
      </w:r>
      <w:r>
        <w:rPr/>
        <w:t>incidências muito</w:t>
      </w:r>
      <w:r>
        <w:rPr>
          <w:spacing w:val="-8"/>
        </w:rPr>
        <w:t> </w:t>
      </w:r>
      <w:r>
        <w:rPr/>
        <w:t>menores, são</w:t>
      </w:r>
      <w:r>
        <w:rPr>
          <w:spacing w:val="-8"/>
        </w:rPr>
        <w:t> </w:t>
      </w:r>
      <w:r>
        <w:rPr/>
        <w:t>os traumas arteriais e</w:t>
      </w:r>
      <w:r>
        <w:rPr>
          <w:spacing w:val="-10"/>
        </w:rPr>
        <w:t> </w:t>
      </w:r>
      <w:r>
        <w:rPr/>
        <w:t>as compressões extrínsecas, representadas pelos cistos adventiciais e pelas inserções anormais de grupos musculares, que, quando assumem determinadas posições, podem ocluir parcial ou totalmente</w:t>
      </w:r>
      <w:r>
        <w:rPr>
          <w:spacing w:val="-1"/>
        </w:rPr>
        <w:t> </w:t>
      </w:r>
      <w:r>
        <w:rPr/>
        <w:t>as artérias, especialmente</w:t>
      </w:r>
      <w:r>
        <w:rPr>
          <w:spacing w:val="-1"/>
        </w:rPr>
        <w:t> </w:t>
      </w:r>
      <w:r>
        <w:rPr/>
        <w:t>a</w:t>
      </w:r>
      <w:r>
        <w:rPr>
          <w:spacing w:val="-1"/>
        </w:rPr>
        <w:t> </w:t>
      </w:r>
      <w:r>
        <w:rPr/>
        <w:t>poplítea.</w:t>
      </w:r>
    </w:p>
    <w:p>
      <w:pPr>
        <w:pStyle w:val="BodyText"/>
        <w:spacing w:line="276" w:lineRule="auto" w:before="48"/>
        <w:ind w:right="491"/>
      </w:pPr>
      <w:r>
        <w:rPr/>
        <w:t>A</w:t>
      </w:r>
      <w:r>
        <w:rPr>
          <w:spacing w:val="-12"/>
        </w:rPr>
        <w:t> </w:t>
      </w:r>
      <w:r>
        <w:rPr/>
        <w:t>AOP</w:t>
      </w:r>
      <w:r>
        <w:rPr>
          <w:spacing w:val="-7"/>
        </w:rPr>
        <w:t> </w:t>
      </w:r>
      <w:r>
        <w:rPr/>
        <w:t>é</w:t>
      </w:r>
      <w:r>
        <w:rPr>
          <w:spacing w:val="-12"/>
        </w:rPr>
        <w:t> </w:t>
      </w:r>
      <w:r>
        <w:rPr/>
        <w:t>uma</w:t>
      </w:r>
      <w:r>
        <w:rPr>
          <w:spacing w:val="-12"/>
        </w:rPr>
        <w:t> </w:t>
      </w:r>
      <w:r>
        <w:rPr/>
        <w:t>doença</w:t>
      </w:r>
      <w:r>
        <w:rPr>
          <w:spacing w:val="-12"/>
        </w:rPr>
        <w:t> </w:t>
      </w:r>
      <w:r>
        <w:rPr/>
        <w:t>degenerativa,</w:t>
      </w:r>
      <w:r>
        <w:rPr>
          <w:spacing w:val="-3"/>
        </w:rPr>
        <w:t> </w:t>
      </w:r>
      <w:r>
        <w:rPr/>
        <w:t>sistêmica,</w:t>
      </w:r>
      <w:r>
        <w:rPr>
          <w:spacing w:val="-3"/>
        </w:rPr>
        <w:t> </w:t>
      </w:r>
      <w:r>
        <w:rPr/>
        <w:t>que</w:t>
      </w:r>
      <w:r>
        <w:rPr>
          <w:spacing w:val="-12"/>
        </w:rPr>
        <w:t> </w:t>
      </w:r>
      <w:r>
        <w:rPr/>
        <w:t>leva</w:t>
      </w:r>
      <w:r>
        <w:rPr>
          <w:spacing w:val="-12"/>
        </w:rPr>
        <w:t> </w:t>
      </w:r>
      <w:r>
        <w:rPr/>
        <w:t>à</w:t>
      </w:r>
      <w:r>
        <w:rPr>
          <w:spacing w:val="-12"/>
        </w:rPr>
        <w:t> </w:t>
      </w:r>
      <w:r>
        <w:rPr/>
        <w:t>diminuição</w:t>
      </w:r>
      <w:r>
        <w:rPr>
          <w:spacing w:val="-10"/>
        </w:rPr>
        <w:t> </w:t>
      </w:r>
      <w:r>
        <w:rPr/>
        <w:t>progressiva</w:t>
      </w:r>
      <w:r>
        <w:rPr>
          <w:spacing w:val="-12"/>
        </w:rPr>
        <w:t> </w:t>
      </w:r>
      <w:r>
        <w:rPr/>
        <w:t>do</w:t>
      </w:r>
      <w:r>
        <w:rPr>
          <w:spacing w:val="-10"/>
        </w:rPr>
        <w:t> </w:t>
      </w:r>
      <w:r>
        <w:rPr/>
        <w:t>lúmen</w:t>
      </w:r>
      <w:r>
        <w:rPr>
          <w:spacing w:val="-10"/>
        </w:rPr>
        <w:t> </w:t>
      </w:r>
      <w:r>
        <w:rPr/>
        <w:t>vascular,</w:t>
      </w:r>
      <w:r>
        <w:rPr>
          <w:spacing w:val="-3"/>
        </w:rPr>
        <w:t> </w:t>
      </w:r>
      <w:r>
        <w:rPr/>
        <w:t>cujo</w:t>
      </w:r>
      <w:r>
        <w:rPr>
          <w:spacing w:val="-10"/>
        </w:rPr>
        <w:t> </w:t>
      </w:r>
      <w:r>
        <w:rPr/>
        <w:t>evento final é</w:t>
      </w:r>
      <w:r>
        <w:rPr>
          <w:spacing w:val="-4"/>
        </w:rPr>
        <w:t> </w:t>
      </w:r>
      <w:r>
        <w:rPr/>
        <w:t>a</w:t>
      </w:r>
      <w:r>
        <w:rPr>
          <w:spacing w:val="-4"/>
        </w:rPr>
        <w:t> </w:t>
      </w:r>
      <w:r>
        <w:rPr/>
        <w:t>oclusão</w:t>
      </w:r>
      <w:r>
        <w:rPr>
          <w:spacing w:val="-1"/>
        </w:rPr>
        <w:t> </w:t>
      </w:r>
      <w:r>
        <w:rPr/>
        <w:t>do</w:t>
      </w:r>
      <w:r>
        <w:rPr>
          <w:spacing w:val="-1"/>
        </w:rPr>
        <w:t> </w:t>
      </w:r>
      <w:r>
        <w:rPr/>
        <w:t>vaso. Este</w:t>
      </w:r>
      <w:r>
        <w:rPr>
          <w:spacing w:val="-4"/>
        </w:rPr>
        <w:t> </w:t>
      </w:r>
      <w:r>
        <w:rPr/>
        <w:t>processo, em</w:t>
      </w:r>
      <w:r>
        <w:rPr>
          <w:spacing w:val="-1"/>
        </w:rPr>
        <w:t> </w:t>
      </w:r>
      <w:r>
        <w:rPr/>
        <w:t>geral, ocorre</w:t>
      </w:r>
      <w:r>
        <w:rPr>
          <w:spacing w:val="-4"/>
        </w:rPr>
        <w:t> </w:t>
      </w:r>
      <w:r>
        <w:rPr/>
        <w:t>de</w:t>
      </w:r>
      <w:r>
        <w:rPr>
          <w:spacing w:val="-4"/>
        </w:rPr>
        <w:t> </w:t>
      </w:r>
      <w:r>
        <w:rPr/>
        <w:t>maneira</w:t>
      </w:r>
      <w:r>
        <w:rPr>
          <w:spacing w:val="-4"/>
        </w:rPr>
        <w:t> </w:t>
      </w:r>
      <w:r>
        <w:rPr/>
        <w:t>lenta; no</w:t>
      </w:r>
      <w:r>
        <w:rPr>
          <w:spacing w:val="-1"/>
        </w:rPr>
        <w:t> </w:t>
      </w:r>
      <w:r>
        <w:rPr/>
        <w:t>entanto, podem</w:t>
      </w:r>
      <w:r>
        <w:rPr>
          <w:spacing w:val="-1"/>
        </w:rPr>
        <w:t> </w:t>
      </w:r>
      <w:r>
        <w:rPr/>
        <w:t>ocorrer acidentes de placa que o aceleram de modo imprevisível.</w:t>
      </w:r>
    </w:p>
    <w:p>
      <w:pPr>
        <w:pStyle w:val="BodyText"/>
        <w:spacing w:line="276" w:lineRule="auto"/>
        <w:ind w:right="488"/>
      </w:pPr>
      <w:r>
        <w:rPr/>
        <w:t>A intensidade dos sintomas dependerá não só do grau de obstrução, mas também do desenvolvimento da circulação colateral.</w:t>
      </w:r>
    </w:p>
    <w:p>
      <w:pPr>
        <w:pStyle w:val="BodyText"/>
        <w:spacing w:line="276" w:lineRule="auto" w:before="64"/>
        <w:ind w:right="488"/>
      </w:pPr>
      <w:r>
        <w:rPr/>
        <w:t>O processo de diminuição do lúmen arterial é causado por depósito de lipídios na camada subendotelial. A presença indevida desses lipídios na parede gera uma série de alterações representadas por processo inflamatório com macrófagos englobando os lipídios (células espumosas) e proliferação de músculo liso. Com isso ocorre espessamento da parede do vaso com consequente diminuição do lúmen arterial.</w:t>
      </w:r>
    </w:p>
    <w:p>
      <w:pPr>
        <w:pStyle w:val="BodyText"/>
        <w:spacing w:line="276" w:lineRule="auto" w:before="49"/>
        <w:ind w:right="488"/>
      </w:pPr>
      <w:r>
        <w:rPr/>
        <w:t>As placas de</w:t>
      </w:r>
      <w:r>
        <w:rPr>
          <w:spacing w:val="-9"/>
        </w:rPr>
        <w:t> </w:t>
      </w:r>
      <w:r>
        <w:rPr/>
        <w:t>ateroma, embora</w:t>
      </w:r>
      <w:r>
        <w:rPr>
          <w:spacing w:val="-9"/>
        </w:rPr>
        <w:t> </w:t>
      </w:r>
      <w:r>
        <w:rPr/>
        <w:t>difusas, localizam-se</w:t>
      </w:r>
      <w:r>
        <w:rPr>
          <w:spacing w:val="-9"/>
        </w:rPr>
        <w:t> </w:t>
      </w:r>
      <w:r>
        <w:rPr/>
        <w:t>preferencialmente</w:t>
      </w:r>
      <w:r>
        <w:rPr>
          <w:spacing w:val="-9"/>
        </w:rPr>
        <w:t> </w:t>
      </w:r>
      <w:r>
        <w:rPr/>
        <w:t>nas bifurcações arteriais ou</w:t>
      </w:r>
      <w:r>
        <w:rPr>
          <w:spacing w:val="-7"/>
        </w:rPr>
        <w:t> </w:t>
      </w:r>
      <w:r>
        <w:rPr/>
        <w:t>na</w:t>
      </w:r>
      <w:r>
        <w:rPr>
          <w:spacing w:val="-9"/>
        </w:rPr>
        <w:t> </w:t>
      </w:r>
      <w:r>
        <w:rPr/>
        <w:t>origem</w:t>
      </w:r>
      <w:r>
        <w:rPr>
          <w:spacing w:val="-7"/>
        </w:rPr>
        <w:t> </w:t>
      </w:r>
      <w:r>
        <w:rPr/>
        <w:t>de colaterais importantes. As regiões mais afetadas são a parte terminal da aorta abdominal, as artérias ilíacas e femoral superficial na altura do canal dos adutores. As lesões arteriais apresentam-se de diversas formas. Podem ocorrer estenoses localizadas, oclusões curtas ou de segmentos arteriais extensos.</w:t>
      </w:r>
    </w:p>
    <w:p>
      <w:pPr>
        <w:pStyle w:val="BodyText"/>
        <w:spacing w:line="276" w:lineRule="auto"/>
        <w:ind w:right="487"/>
      </w:pPr>
      <w:r>
        <w:rPr/>
        <w:t>Os principais fatores de</w:t>
      </w:r>
      <w:r>
        <w:rPr>
          <w:spacing w:val="-6"/>
        </w:rPr>
        <w:t> </w:t>
      </w:r>
      <w:r>
        <w:rPr/>
        <w:t>risco</w:t>
      </w:r>
      <w:r>
        <w:rPr>
          <w:spacing w:val="-3"/>
        </w:rPr>
        <w:t> </w:t>
      </w:r>
      <w:r>
        <w:rPr/>
        <w:t>da</w:t>
      </w:r>
      <w:r>
        <w:rPr>
          <w:spacing w:val="-6"/>
        </w:rPr>
        <w:t> </w:t>
      </w:r>
      <w:r>
        <w:rPr/>
        <w:t>AOP são</w:t>
      </w:r>
      <w:r>
        <w:rPr>
          <w:spacing w:val="-3"/>
        </w:rPr>
        <w:t> </w:t>
      </w:r>
      <w:r>
        <w:rPr/>
        <w:t>o</w:t>
      </w:r>
      <w:r>
        <w:rPr>
          <w:spacing w:val="-3"/>
        </w:rPr>
        <w:t> </w:t>
      </w:r>
      <w:r>
        <w:rPr/>
        <w:t>tabagismo, a</w:t>
      </w:r>
      <w:r>
        <w:rPr>
          <w:spacing w:val="-6"/>
        </w:rPr>
        <w:t> </w:t>
      </w:r>
      <w:r>
        <w:rPr/>
        <w:t>hipertensão</w:t>
      </w:r>
      <w:r>
        <w:rPr>
          <w:spacing w:val="-3"/>
        </w:rPr>
        <w:t> </w:t>
      </w:r>
      <w:r>
        <w:rPr/>
        <w:t>arterial, o</w:t>
      </w:r>
      <w:r>
        <w:rPr>
          <w:spacing w:val="-3"/>
        </w:rPr>
        <w:t> </w:t>
      </w:r>
      <w:r>
        <w:rPr/>
        <w:t>diabetes mellito</w:t>
      </w:r>
      <w:r>
        <w:rPr>
          <w:spacing w:val="-3"/>
        </w:rPr>
        <w:t> </w:t>
      </w:r>
      <w:r>
        <w:rPr/>
        <w:t>e</w:t>
      </w:r>
      <w:r>
        <w:rPr>
          <w:spacing w:val="-6"/>
        </w:rPr>
        <w:t> </w:t>
      </w:r>
      <w:r>
        <w:rPr/>
        <w:t>os estados de </w:t>
      </w:r>
      <w:r>
        <w:rPr>
          <w:spacing w:val="-2"/>
        </w:rPr>
        <w:t>hiperlipidemia.</w:t>
      </w:r>
    </w:p>
    <w:p>
      <w:pPr>
        <w:pStyle w:val="BodyText"/>
        <w:spacing w:line="276" w:lineRule="auto" w:before="48"/>
        <w:ind w:right="491"/>
      </w:pPr>
      <w:r>
        <w:rPr/>
        <w:t>O tabagismo é o fator de risco mais frequente nos pacientes com claudicação intermitente. O desenvolvimento das obstruções arteriais ocorre devido à inalação de monóxido de carbono (CO) e da nicotina. O CO está diretamente relacionado com o espasmo arterial e consequente isquemia tecidual e com o aumento da permeabilidade endotelial de lipoproteína de baixa densidade (LDL, do inglês, </w:t>
      </w:r>
      <w:r>
        <w:rPr>
          <w:i/>
        </w:rPr>
        <w:t>low-density lipoprotein</w:t>
      </w:r>
      <w:r>
        <w:rPr/>
        <w:t>) e lipoproteína de densidade muito baixa (VLDL, </w:t>
      </w:r>
      <w:r>
        <w:rPr>
          <w:i/>
        </w:rPr>
        <w:t>very low-density lipoprotein</w:t>
      </w:r>
      <w:r>
        <w:rPr/>
        <w:t>). A nicotina determina aumento de adesividade plaquetária e das concentrações de LDL e VLDL, além da diminuição das proteínas de alto peso molecular (lipoproteína</w:t>
      </w:r>
      <w:r>
        <w:rPr>
          <w:spacing w:val="-4"/>
        </w:rPr>
        <w:t> </w:t>
      </w:r>
      <w:r>
        <w:rPr/>
        <w:t>de</w:t>
      </w:r>
      <w:r>
        <w:rPr>
          <w:spacing w:val="-4"/>
        </w:rPr>
        <w:t> </w:t>
      </w:r>
      <w:r>
        <w:rPr/>
        <w:t>alta</w:t>
      </w:r>
      <w:r>
        <w:rPr>
          <w:spacing w:val="-4"/>
        </w:rPr>
        <w:t> </w:t>
      </w:r>
      <w:r>
        <w:rPr/>
        <w:t>densidade</w:t>
      </w:r>
      <w:r>
        <w:rPr>
          <w:spacing w:val="-4"/>
        </w:rPr>
        <w:t> </w:t>
      </w:r>
      <w:r>
        <w:rPr/>
        <w:t>–</w:t>
      </w:r>
      <w:r>
        <w:rPr>
          <w:spacing w:val="-1"/>
        </w:rPr>
        <w:t> </w:t>
      </w:r>
      <w:r>
        <w:rPr/>
        <w:t>HDL, do</w:t>
      </w:r>
      <w:r>
        <w:rPr>
          <w:spacing w:val="-1"/>
        </w:rPr>
        <w:t> </w:t>
      </w:r>
      <w:r>
        <w:rPr/>
        <w:t>inglês, </w:t>
      </w:r>
      <w:r>
        <w:rPr>
          <w:i/>
        </w:rPr>
        <w:t>high-density</w:t>
      </w:r>
      <w:r>
        <w:rPr>
          <w:i/>
          <w:spacing w:val="-10"/>
        </w:rPr>
        <w:t> </w:t>
      </w:r>
      <w:r>
        <w:rPr>
          <w:i/>
        </w:rPr>
        <w:t>lipoprotein</w:t>
      </w:r>
      <w:r>
        <w:rPr/>
        <w:t>) responsáveis pela retirada de lipídios da parede arterial.</w:t>
      </w:r>
    </w:p>
    <w:p>
      <w:pPr>
        <w:pStyle w:val="BodyText"/>
        <w:spacing w:line="276" w:lineRule="auto"/>
        <w:ind w:right="491"/>
      </w:pPr>
      <w:r>
        <w:rPr/>
        <w:t>A</w:t>
      </w:r>
      <w:r>
        <w:rPr>
          <w:spacing w:val="-2"/>
        </w:rPr>
        <w:t> </w:t>
      </w:r>
      <w:r>
        <w:rPr/>
        <w:t>hipertensão arterial é</w:t>
      </w:r>
      <w:r>
        <w:rPr>
          <w:spacing w:val="-2"/>
        </w:rPr>
        <w:t> </w:t>
      </w:r>
      <w:r>
        <w:rPr/>
        <w:t>fator de</w:t>
      </w:r>
      <w:r>
        <w:rPr>
          <w:spacing w:val="-2"/>
        </w:rPr>
        <w:t> </w:t>
      </w:r>
      <w:r>
        <w:rPr/>
        <w:t>risco, uma</w:t>
      </w:r>
      <w:r>
        <w:rPr>
          <w:spacing w:val="-2"/>
        </w:rPr>
        <w:t> </w:t>
      </w:r>
      <w:r>
        <w:rPr/>
        <w:t>vez</w:t>
      </w:r>
      <w:r>
        <w:rPr>
          <w:spacing w:val="-2"/>
        </w:rPr>
        <w:t> </w:t>
      </w:r>
      <w:r>
        <w:rPr/>
        <w:t>que</w:t>
      </w:r>
      <w:r>
        <w:rPr>
          <w:spacing w:val="-2"/>
        </w:rPr>
        <w:t> </w:t>
      </w:r>
      <w:r>
        <w:rPr/>
        <w:t>aumenta</w:t>
      </w:r>
      <w:r>
        <w:rPr>
          <w:spacing w:val="-2"/>
        </w:rPr>
        <w:t> </w:t>
      </w:r>
      <w:r>
        <w:rPr/>
        <w:t>a</w:t>
      </w:r>
      <w:r>
        <w:rPr>
          <w:spacing w:val="-2"/>
        </w:rPr>
        <w:t> </w:t>
      </w:r>
      <w:r>
        <w:rPr/>
        <w:t>chance</w:t>
      </w:r>
      <w:r>
        <w:rPr>
          <w:spacing w:val="-2"/>
        </w:rPr>
        <w:t> </w:t>
      </w:r>
      <w:r>
        <w:rPr/>
        <w:t>de</w:t>
      </w:r>
      <w:r>
        <w:rPr>
          <w:spacing w:val="-2"/>
        </w:rPr>
        <w:t> </w:t>
      </w:r>
      <w:r>
        <w:rPr/>
        <w:t>lesão endotelial. Está</w:t>
      </w:r>
      <w:r>
        <w:rPr>
          <w:spacing w:val="-2"/>
        </w:rPr>
        <w:t> </w:t>
      </w:r>
      <w:r>
        <w:rPr/>
        <w:t>relacionada</w:t>
      </w:r>
      <w:r>
        <w:rPr>
          <w:spacing w:val="-2"/>
        </w:rPr>
        <w:t> </w:t>
      </w:r>
      <w:r>
        <w:rPr/>
        <w:t>com o risco de doença arterial oclusiva prematura.</w:t>
      </w:r>
    </w:p>
    <w:p>
      <w:pPr>
        <w:pStyle w:val="BodyText"/>
        <w:spacing w:line="276" w:lineRule="auto"/>
        <w:ind w:right="491"/>
      </w:pPr>
      <w:r>
        <w:rPr/>
        <w:t>O</w:t>
      </w:r>
      <w:r>
        <w:rPr>
          <w:spacing w:val="-8"/>
        </w:rPr>
        <w:t> </w:t>
      </w:r>
      <w:r>
        <w:rPr/>
        <w:t>diabetes favorece</w:t>
      </w:r>
      <w:r>
        <w:rPr>
          <w:spacing w:val="-8"/>
        </w:rPr>
        <w:t> </w:t>
      </w:r>
      <w:r>
        <w:rPr/>
        <w:t>alterações da</w:t>
      </w:r>
      <w:r>
        <w:rPr>
          <w:spacing w:val="-8"/>
        </w:rPr>
        <w:t> </w:t>
      </w:r>
      <w:r>
        <w:rPr/>
        <w:t>função</w:t>
      </w:r>
      <w:r>
        <w:rPr>
          <w:spacing w:val="-6"/>
        </w:rPr>
        <w:t> </w:t>
      </w:r>
      <w:r>
        <w:rPr/>
        <w:t>endotelial:</w:t>
      </w:r>
      <w:r>
        <w:rPr>
          <w:spacing w:val="-4"/>
        </w:rPr>
        <w:t> </w:t>
      </w:r>
      <w:r>
        <w:rPr/>
        <w:t>aumento</w:t>
      </w:r>
      <w:r>
        <w:rPr>
          <w:spacing w:val="-6"/>
        </w:rPr>
        <w:t> </w:t>
      </w:r>
      <w:r>
        <w:rPr/>
        <w:t>da</w:t>
      </w:r>
      <w:r>
        <w:rPr>
          <w:spacing w:val="-8"/>
        </w:rPr>
        <w:t> </w:t>
      </w:r>
      <w:r>
        <w:rPr/>
        <w:t>permeabilidade</w:t>
      </w:r>
      <w:r>
        <w:rPr>
          <w:spacing w:val="-8"/>
        </w:rPr>
        <w:t> </w:t>
      </w:r>
      <w:r>
        <w:rPr/>
        <w:t>e</w:t>
      </w:r>
      <w:r>
        <w:rPr>
          <w:spacing w:val="-8"/>
        </w:rPr>
        <w:t> </w:t>
      </w:r>
      <w:r>
        <w:rPr/>
        <w:t>diminuição</w:t>
      </w:r>
      <w:r>
        <w:rPr>
          <w:spacing w:val="-6"/>
        </w:rPr>
        <w:t> </w:t>
      </w:r>
      <w:r>
        <w:rPr/>
        <w:t>dos ativadores do plasminogênio, que é um fator trombogênico, além de lesão endotelial, observada pelo aumento do fator de von Willebrand (marcador de</w:t>
      </w:r>
      <w:r>
        <w:rPr>
          <w:spacing w:val="-2"/>
        </w:rPr>
        <w:t> </w:t>
      </w:r>
      <w:r>
        <w:rPr/>
        <w:t>lesão endotelial). Esses pacientes apresentam, ainda, aumento da</w:t>
      </w:r>
      <w:r>
        <w:rPr>
          <w:spacing w:val="-2"/>
        </w:rPr>
        <w:t> </w:t>
      </w:r>
      <w:r>
        <w:rPr/>
        <w:t>agregação plaquetária</w:t>
      </w:r>
      <w:r>
        <w:rPr>
          <w:spacing w:val="-2"/>
        </w:rPr>
        <w:t> </w:t>
      </w:r>
      <w:r>
        <w:rPr/>
        <w:t>e das proteínas de baixo peso molecular.</w:t>
      </w:r>
    </w:p>
    <w:p>
      <w:pPr>
        <w:pStyle w:val="BodyText"/>
        <w:spacing w:line="276" w:lineRule="auto" w:before="48"/>
        <w:ind w:right="491"/>
      </w:pPr>
      <w:r>
        <w:rPr/>
        <w:t>A</w:t>
      </w:r>
      <w:r>
        <w:rPr>
          <w:spacing w:val="-12"/>
        </w:rPr>
        <w:t> </w:t>
      </w:r>
      <w:r>
        <w:rPr/>
        <w:t>hiperlipidemia</w:t>
      </w:r>
      <w:r>
        <w:rPr>
          <w:spacing w:val="-12"/>
        </w:rPr>
        <w:t> </w:t>
      </w:r>
      <w:r>
        <w:rPr/>
        <w:t>também</w:t>
      </w:r>
      <w:r>
        <w:rPr>
          <w:spacing w:val="-9"/>
        </w:rPr>
        <w:t> </w:t>
      </w:r>
      <w:r>
        <w:rPr/>
        <w:t>é</w:t>
      </w:r>
      <w:r>
        <w:rPr>
          <w:spacing w:val="-12"/>
        </w:rPr>
        <w:t> </w:t>
      </w:r>
      <w:r>
        <w:rPr/>
        <w:t>considerada</w:t>
      </w:r>
      <w:r>
        <w:rPr>
          <w:spacing w:val="-12"/>
        </w:rPr>
        <w:t> </w:t>
      </w:r>
      <w:r>
        <w:rPr/>
        <w:t>fator</w:t>
      </w:r>
      <w:r>
        <w:rPr>
          <w:spacing w:val="-4"/>
        </w:rPr>
        <w:t> </w:t>
      </w:r>
      <w:r>
        <w:rPr/>
        <w:t>de</w:t>
      </w:r>
      <w:r>
        <w:rPr>
          <w:spacing w:val="-12"/>
        </w:rPr>
        <w:t> </w:t>
      </w:r>
      <w:r>
        <w:rPr/>
        <w:t>risco.</w:t>
      </w:r>
      <w:r>
        <w:rPr>
          <w:spacing w:val="-2"/>
        </w:rPr>
        <w:t> </w:t>
      </w:r>
      <w:r>
        <w:rPr/>
        <w:t>Indivíduos</w:t>
      </w:r>
      <w:r>
        <w:rPr>
          <w:spacing w:val="-2"/>
        </w:rPr>
        <w:t> </w:t>
      </w:r>
      <w:r>
        <w:rPr/>
        <w:t>com</w:t>
      </w:r>
      <w:r>
        <w:rPr>
          <w:spacing w:val="-9"/>
        </w:rPr>
        <w:t> </w:t>
      </w:r>
      <w:r>
        <w:rPr/>
        <w:t>doenças</w:t>
      </w:r>
      <w:r>
        <w:rPr>
          <w:spacing w:val="-2"/>
        </w:rPr>
        <w:t> </w:t>
      </w:r>
      <w:r>
        <w:rPr/>
        <w:t>hereditárias</w:t>
      </w:r>
      <w:r>
        <w:rPr>
          <w:spacing w:val="-2"/>
        </w:rPr>
        <w:t> </w:t>
      </w:r>
      <w:r>
        <w:rPr/>
        <w:t>que</w:t>
      </w:r>
      <w:r>
        <w:rPr>
          <w:spacing w:val="-12"/>
        </w:rPr>
        <w:t> </w:t>
      </w:r>
      <w:r>
        <w:rPr/>
        <w:t>se</w:t>
      </w:r>
      <w:r>
        <w:rPr>
          <w:spacing w:val="-12"/>
        </w:rPr>
        <w:t> </w:t>
      </w:r>
      <w:r>
        <w:rPr/>
        <w:t>acompanham de aumento de proteínas de baixo peso molecular em níveis críticos apresentam doença arterial obstrutiva disseminada e grave em idades precoces.</w:t>
      </w:r>
    </w:p>
    <w:p>
      <w:pPr>
        <w:pStyle w:val="BodyText"/>
        <w:spacing w:before="186"/>
        <w:ind w:left="0" w:firstLine="0"/>
        <w:jc w:val="left"/>
      </w:pPr>
    </w:p>
    <w:p>
      <w:pPr>
        <w:pStyle w:val="Heading4"/>
      </w:pPr>
      <w:r>
        <w:rPr>
          <w:color w:val="242B67"/>
          <w:spacing w:val="-2"/>
        </w:rPr>
        <w:t>Fisiopatologia</w:t>
      </w:r>
    </w:p>
    <w:p>
      <w:pPr>
        <w:pStyle w:val="BodyText"/>
        <w:spacing w:line="276" w:lineRule="auto" w:before="132"/>
        <w:ind w:right="488"/>
      </w:pPr>
      <w:r>
        <w:rPr/>
        <w:t>As manifestações clínicas podem estar ausentes quando as estenoses são pouco acentuadas ou quando a circulação colateral está bastante desenvolvida.</w:t>
      </w:r>
    </w:p>
    <w:p>
      <w:pPr>
        <w:pStyle w:val="BodyText"/>
        <w:spacing w:before="64"/>
        <w:ind w:left="414" w:firstLine="0"/>
        <w:jc w:val="left"/>
      </w:pPr>
      <w:r>
        <w:rPr/>
        <w:t>Com</w:t>
      </w:r>
      <w:r>
        <w:rPr>
          <w:spacing w:val="-13"/>
        </w:rPr>
        <w:t> </w:t>
      </w:r>
      <w:r>
        <w:rPr/>
        <w:t>a</w:t>
      </w:r>
      <w:r>
        <w:rPr>
          <w:spacing w:val="-13"/>
        </w:rPr>
        <w:t> </w:t>
      </w:r>
      <w:r>
        <w:rPr/>
        <w:t>progressão</w:t>
      </w:r>
      <w:r>
        <w:rPr>
          <w:spacing w:val="-10"/>
        </w:rPr>
        <w:t> </w:t>
      </w:r>
      <w:r>
        <w:rPr/>
        <w:t>da</w:t>
      </w:r>
      <w:r>
        <w:rPr>
          <w:spacing w:val="-13"/>
        </w:rPr>
        <w:t> </w:t>
      </w:r>
      <w:r>
        <w:rPr/>
        <w:t>doença,</w:t>
      </w:r>
      <w:r>
        <w:rPr>
          <w:spacing w:val="-4"/>
        </w:rPr>
        <w:t> </w:t>
      </w:r>
      <w:r>
        <w:rPr/>
        <w:t>começam</w:t>
      </w:r>
      <w:r>
        <w:rPr>
          <w:spacing w:val="-10"/>
        </w:rPr>
        <w:t> </w:t>
      </w:r>
      <w:r>
        <w:rPr/>
        <w:t>a</w:t>
      </w:r>
      <w:r>
        <w:rPr>
          <w:spacing w:val="-13"/>
        </w:rPr>
        <w:t> </w:t>
      </w:r>
      <w:r>
        <w:rPr/>
        <w:t>aparecer</w:t>
      </w:r>
      <w:r>
        <w:rPr>
          <w:spacing w:val="-6"/>
        </w:rPr>
        <w:t> </w:t>
      </w:r>
      <w:r>
        <w:rPr/>
        <w:t>sintomas</w:t>
      </w:r>
      <w:r>
        <w:rPr>
          <w:spacing w:val="-3"/>
        </w:rPr>
        <w:t> </w:t>
      </w:r>
      <w:r>
        <w:rPr/>
        <w:t>nos</w:t>
      </w:r>
      <w:r>
        <w:rPr>
          <w:spacing w:val="-4"/>
        </w:rPr>
        <w:t> </w:t>
      </w:r>
      <w:r>
        <w:rPr/>
        <w:t>membros</w:t>
      </w:r>
      <w:r>
        <w:rPr>
          <w:spacing w:val="-3"/>
        </w:rPr>
        <w:t> </w:t>
      </w:r>
      <w:r>
        <w:rPr>
          <w:spacing w:val="-2"/>
        </w:rPr>
        <w:t>inferiores.</w:t>
      </w:r>
    </w:p>
    <w:p>
      <w:pPr>
        <w:pStyle w:val="BodyText"/>
        <w:spacing w:after="0"/>
        <w:jc w:val="left"/>
        <w:sectPr>
          <w:pgSz w:w="11900" w:h="16840"/>
          <w:pgMar w:top="200" w:bottom="0" w:left="566" w:right="141"/>
        </w:sectPr>
      </w:pPr>
    </w:p>
    <w:p>
      <w:pPr>
        <w:pStyle w:val="BodyText"/>
        <w:spacing w:line="276" w:lineRule="auto" w:before="73"/>
        <w:ind w:right="491"/>
      </w:pPr>
      <w:r>
        <w:rPr/>
        <w:t>A isquemia leve é caracterizada pela claudicação intermitente, que representa uma situação conhecida como isquemia funcional, na qual o aporte de oxigênio é suficiente para suprir a demanda dos tecidos em repouso. Exercícios como a caminhada aumentam a demanda tecidual (em especial a muscular) de oxigênio. A doença arterial</w:t>
      </w:r>
      <w:r>
        <w:rPr>
          <w:spacing w:val="-4"/>
        </w:rPr>
        <w:t> </w:t>
      </w:r>
      <w:r>
        <w:rPr/>
        <w:t>obstrutiva, entretanto, impede</w:t>
      </w:r>
      <w:r>
        <w:rPr>
          <w:spacing w:val="-9"/>
        </w:rPr>
        <w:t> </w:t>
      </w:r>
      <w:r>
        <w:rPr/>
        <w:t>a</w:t>
      </w:r>
      <w:r>
        <w:rPr>
          <w:spacing w:val="-9"/>
        </w:rPr>
        <w:t> </w:t>
      </w:r>
      <w:r>
        <w:rPr/>
        <w:t>elevação</w:t>
      </w:r>
      <w:r>
        <w:rPr>
          <w:spacing w:val="-7"/>
        </w:rPr>
        <w:t> </w:t>
      </w:r>
      <w:r>
        <w:rPr/>
        <w:t>do</w:t>
      </w:r>
      <w:r>
        <w:rPr>
          <w:spacing w:val="-7"/>
        </w:rPr>
        <w:t> </w:t>
      </w:r>
      <w:r>
        <w:rPr/>
        <w:t>aporte</w:t>
      </w:r>
      <w:r>
        <w:rPr>
          <w:spacing w:val="-9"/>
        </w:rPr>
        <w:t> </w:t>
      </w:r>
      <w:r>
        <w:rPr/>
        <w:t>de</w:t>
      </w:r>
      <w:r>
        <w:rPr>
          <w:spacing w:val="-9"/>
        </w:rPr>
        <w:t> </w:t>
      </w:r>
      <w:r>
        <w:rPr/>
        <w:t>oxigênio, provocando</w:t>
      </w:r>
      <w:r>
        <w:rPr>
          <w:spacing w:val="-7"/>
        </w:rPr>
        <w:t> </w:t>
      </w:r>
      <w:r>
        <w:rPr/>
        <w:t>isquemia</w:t>
      </w:r>
      <w:r>
        <w:rPr>
          <w:spacing w:val="-9"/>
        </w:rPr>
        <w:t> </w:t>
      </w:r>
      <w:r>
        <w:rPr/>
        <w:t>e, consequentemente, dor, fazendo com que</w:t>
      </w:r>
      <w:r>
        <w:rPr>
          <w:spacing w:val="-2"/>
        </w:rPr>
        <w:t> </w:t>
      </w:r>
      <w:r>
        <w:rPr/>
        <w:t>o indivíduo interrompa</w:t>
      </w:r>
      <w:r>
        <w:rPr>
          <w:spacing w:val="-2"/>
        </w:rPr>
        <w:t> </w:t>
      </w:r>
      <w:r>
        <w:rPr/>
        <w:t>a</w:t>
      </w:r>
      <w:r>
        <w:rPr>
          <w:spacing w:val="-2"/>
        </w:rPr>
        <w:t> </w:t>
      </w:r>
      <w:r>
        <w:rPr/>
        <w:t>caminhada. Com o repouso, a</w:t>
      </w:r>
      <w:r>
        <w:rPr>
          <w:spacing w:val="-2"/>
        </w:rPr>
        <w:t> </w:t>
      </w:r>
      <w:r>
        <w:rPr/>
        <w:t>dor regride</w:t>
      </w:r>
      <w:r>
        <w:rPr>
          <w:spacing w:val="-2"/>
        </w:rPr>
        <w:t> </w:t>
      </w:r>
      <w:r>
        <w:rPr/>
        <w:t>completamente.</w:t>
      </w:r>
    </w:p>
    <w:p>
      <w:pPr>
        <w:pStyle w:val="BodyText"/>
        <w:spacing w:line="276" w:lineRule="auto"/>
        <w:ind w:right="488"/>
      </w:pPr>
      <w:r>
        <w:rPr/>
        <w:t>Com</w:t>
      </w:r>
      <w:r>
        <w:rPr>
          <w:spacing w:val="-10"/>
        </w:rPr>
        <w:t> </w:t>
      </w:r>
      <w:r>
        <w:rPr/>
        <w:t>a</w:t>
      </w:r>
      <w:r>
        <w:rPr>
          <w:spacing w:val="-13"/>
        </w:rPr>
        <w:t> </w:t>
      </w:r>
      <w:r>
        <w:rPr/>
        <w:t>progressão</w:t>
      </w:r>
      <w:r>
        <w:rPr>
          <w:spacing w:val="-10"/>
        </w:rPr>
        <w:t> </w:t>
      </w:r>
      <w:r>
        <w:rPr/>
        <w:t>da</w:t>
      </w:r>
      <w:r>
        <w:rPr>
          <w:spacing w:val="-13"/>
        </w:rPr>
        <w:t> </w:t>
      </w:r>
      <w:r>
        <w:rPr/>
        <w:t>estenose,</w:t>
      </w:r>
      <w:r>
        <w:rPr>
          <w:spacing w:val="-3"/>
        </w:rPr>
        <w:t> </w:t>
      </w:r>
      <w:r>
        <w:rPr/>
        <w:t>não</w:t>
      </w:r>
      <w:r>
        <w:rPr>
          <w:spacing w:val="-10"/>
        </w:rPr>
        <w:t> </w:t>
      </w:r>
      <w:r>
        <w:rPr/>
        <w:t>acompanhada</w:t>
      </w:r>
      <w:r>
        <w:rPr>
          <w:spacing w:val="-13"/>
        </w:rPr>
        <w:t> </w:t>
      </w:r>
      <w:r>
        <w:rPr/>
        <w:t>de</w:t>
      </w:r>
      <w:r>
        <w:rPr>
          <w:spacing w:val="-13"/>
        </w:rPr>
        <w:t> </w:t>
      </w:r>
      <w:r>
        <w:rPr/>
        <w:t>desenvolvimento</w:t>
      </w:r>
      <w:r>
        <w:rPr>
          <w:spacing w:val="-10"/>
        </w:rPr>
        <w:t> </w:t>
      </w:r>
      <w:r>
        <w:rPr/>
        <w:t>da</w:t>
      </w:r>
      <w:r>
        <w:rPr>
          <w:spacing w:val="-13"/>
        </w:rPr>
        <w:t> </w:t>
      </w:r>
      <w:r>
        <w:rPr/>
        <w:t>circulação</w:t>
      </w:r>
      <w:r>
        <w:rPr>
          <w:spacing w:val="-10"/>
        </w:rPr>
        <w:t> </w:t>
      </w:r>
      <w:r>
        <w:rPr/>
        <w:t>colateral,</w:t>
      </w:r>
      <w:r>
        <w:rPr>
          <w:spacing w:val="-3"/>
        </w:rPr>
        <w:t> </w:t>
      </w:r>
      <w:r>
        <w:rPr/>
        <w:t>pode</w:t>
      </w:r>
      <w:r>
        <w:rPr>
          <w:spacing w:val="-13"/>
        </w:rPr>
        <w:t> </w:t>
      </w:r>
      <w:r>
        <w:rPr/>
        <w:t>ocorrer</w:t>
      </w:r>
      <w:r>
        <w:rPr>
          <w:spacing w:val="-6"/>
        </w:rPr>
        <w:t> </w:t>
      </w:r>
      <w:r>
        <w:rPr/>
        <w:t>piora da</w:t>
      </w:r>
      <w:r>
        <w:rPr>
          <w:spacing w:val="-5"/>
        </w:rPr>
        <w:t> </w:t>
      </w:r>
      <w:r>
        <w:rPr/>
        <w:t>claudicação</w:t>
      </w:r>
      <w:r>
        <w:rPr>
          <w:spacing w:val="-2"/>
        </w:rPr>
        <w:t> </w:t>
      </w:r>
      <w:r>
        <w:rPr/>
        <w:t>intermitente, isto</w:t>
      </w:r>
      <w:r>
        <w:rPr>
          <w:spacing w:val="-2"/>
        </w:rPr>
        <w:t> </w:t>
      </w:r>
      <w:r>
        <w:rPr/>
        <w:t>é, diminuição</w:t>
      </w:r>
      <w:r>
        <w:rPr>
          <w:spacing w:val="-2"/>
        </w:rPr>
        <w:t> </w:t>
      </w:r>
      <w:r>
        <w:rPr/>
        <w:t>das distâncias de</w:t>
      </w:r>
      <w:r>
        <w:rPr>
          <w:spacing w:val="-5"/>
        </w:rPr>
        <w:t> </w:t>
      </w:r>
      <w:r>
        <w:rPr/>
        <w:t>marcha</w:t>
      </w:r>
      <w:r>
        <w:rPr>
          <w:spacing w:val="-5"/>
        </w:rPr>
        <w:t> </w:t>
      </w:r>
      <w:r>
        <w:rPr/>
        <w:t>e</w:t>
      </w:r>
      <w:r>
        <w:rPr>
          <w:spacing w:val="-5"/>
        </w:rPr>
        <w:t> </w:t>
      </w:r>
      <w:r>
        <w:rPr/>
        <w:t>maior tempo</w:t>
      </w:r>
      <w:r>
        <w:rPr>
          <w:spacing w:val="-2"/>
        </w:rPr>
        <w:t> </w:t>
      </w:r>
      <w:r>
        <w:rPr/>
        <w:t>de</w:t>
      </w:r>
      <w:r>
        <w:rPr>
          <w:spacing w:val="-5"/>
        </w:rPr>
        <w:t> </w:t>
      </w:r>
      <w:r>
        <w:rPr/>
        <w:t>recuperação</w:t>
      </w:r>
      <w:r>
        <w:rPr>
          <w:spacing w:val="-2"/>
        </w:rPr>
        <w:t> </w:t>
      </w:r>
      <w:r>
        <w:rPr/>
        <w:t>da</w:t>
      </w:r>
      <w:r>
        <w:rPr>
          <w:spacing w:val="-5"/>
        </w:rPr>
        <w:t> </w:t>
      </w:r>
      <w:r>
        <w:rPr/>
        <w:t>dor.</w:t>
      </w:r>
    </w:p>
    <w:p>
      <w:pPr>
        <w:pStyle w:val="BodyText"/>
        <w:spacing w:line="276" w:lineRule="auto" w:before="48"/>
        <w:ind w:right="488"/>
      </w:pPr>
      <w:r>
        <w:rPr/>
        <w:t>Em algumas ocasiões, pode</w:t>
      </w:r>
      <w:r>
        <w:rPr>
          <w:spacing w:val="-3"/>
        </w:rPr>
        <w:t> </w:t>
      </w:r>
      <w:r>
        <w:rPr/>
        <w:t>haver desprendimento de</w:t>
      </w:r>
      <w:r>
        <w:rPr>
          <w:spacing w:val="-3"/>
        </w:rPr>
        <w:t> </w:t>
      </w:r>
      <w:r>
        <w:rPr/>
        <w:t>uma</w:t>
      </w:r>
      <w:r>
        <w:rPr>
          <w:spacing w:val="-3"/>
        </w:rPr>
        <w:t> </w:t>
      </w:r>
      <w:r>
        <w:rPr/>
        <w:t>placa</w:t>
      </w:r>
      <w:r>
        <w:rPr>
          <w:spacing w:val="-3"/>
        </w:rPr>
        <w:t> </w:t>
      </w:r>
      <w:r>
        <w:rPr/>
        <w:t>de</w:t>
      </w:r>
      <w:r>
        <w:rPr>
          <w:spacing w:val="-3"/>
        </w:rPr>
        <w:t> </w:t>
      </w:r>
      <w:r>
        <w:rPr/>
        <w:t>ateroma</w:t>
      </w:r>
      <w:r>
        <w:rPr>
          <w:spacing w:val="-3"/>
        </w:rPr>
        <w:t> </w:t>
      </w:r>
      <w:r>
        <w:rPr/>
        <w:t>ou trombo, que</w:t>
      </w:r>
      <w:r>
        <w:rPr>
          <w:spacing w:val="-3"/>
        </w:rPr>
        <w:t> </w:t>
      </w:r>
      <w:r>
        <w:rPr/>
        <w:t>seguirá</w:t>
      </w:r>
      <w:r>
        <w:rPr>
          <w:spacing w:val="-3"/>
        </w:rPr>
        <w:t> </w:t>
      </w:r>
      <w:r>
        <w:rPr/>
        <w:t>pela</w:t>
      </w:r>
      <w:r>
        <w:rPr>
          <w:spacing w:val="-3"/>
        </w:rPr>
        <w:t> </w:t>
      </w:r>
      <w:r>
        <w:rPr/>
        <w:t>árvore arterial até segmentos distais, geralmente digitais, levando à isquemia de dedos, processo denominado </w:t>
      </w:r>
      <w:r>
        <w:rPr>
          <w:spacing w:val="-2"/>
        </w:rPr>
        <w:t>ateroembolismo.</w:t>
      </w:r>
    </w:p>
    <w:p>
      <w:pPr>
        <w:pStyle w:val="BodyText"/>
        <w:spacing w:line="276" w:lineRule="auto"/>
        <w:ind w:right="491"/>
      </w:pPr>
      <w:r>
        <w:rPr/>
        <w:t>A progressão da doença aterosclerótica pode acarretar lesões obstrutivas em outros segmentos arteriais e/ou agravar o</w:t>
      </w:r>
      <w:r>
        <w:rPr>
          <w:spacing w:val="-5"/>
        </w:rPr>
        <w:t> </w:t>
      </w:r>
      <w:r>
        <w:rPr/>
        <w:t>estreitamento</w:t>
      </w:r>
      <w:r>
        <w:rPr>
          <w:spacing w:val="-5"/>
        </w:rPr>
        <w:t> </w:t>
      </w:r>
      <w:r>
        <w:rPr/>
        <w:t>de</w:t>
      </w:r>
      <w:r>
        <w:rPr>
          <w:spacing w:val="-8"/>
        </w:rPr>
        <w:t> </w:t>
      </w:r>
      <w:r>
        <w:rPr/>
        <w:t>lesões já</w:t>
      </w:r>
      <w:r>
        <w:rPr>
          <w:spacing w:val="-8"/>
        </w:rPr>
        <w:t> </w:t>
      </w:r>
      <w:r>
        <w:rPr/>
        <w:t>existentes, reduzindo</w:t>
      </w:r>
      <w:r>
        <w:rPr>
          <w:spacing w:val="-5"/>
        </w:rPr>
        <w:t> </w:t>
      </w:r>
      <w:r>
        <w:rPr/>
        <w:t>o</w:t>
      </w:r>
      <w:r>
        <w:rPr>
          <w:spacing w:val="-5"/>
        </w:rPr>
        <w:t> </w:t>
      </w:r>
      <w:r>
        <w:rPr/>
        <w:t>aporte</w:t>
      </w:r>
      <w:r>
        <w:rPr>
          <w:spacing w:val="-8"/>
        </w:rPr>
        <w:t> </w:t>
      </w:r>
      <w:r>
        <w:rPr/>
        <w:t>sanguíneo</w:t>
      </w:r>
      <w:r>
        <w:rPr>
          <w:spacing w:val="-5"/>
        </w:rPr>
        <w:t> </w:t>
      </w:r>
      <w:r>
        <w:rPr/>
        <w:t>aos tecidos distais dos membros. Essa insuficiência</w:t>
      </w:r>
      <w:r>
        <w:rPr>
          <w:spacing w:val="-10"/>
        </w:rPr>
        <w:t> </w:t>
      </w:r>
      <w:r>
        <w:rPr/>
        <w:t>circulatória</w:t>
      </w:r>
      <w:r>
        <w:rPr>
          <w:spacing w:val="-10"/>
        </w:rPr>
        <w:t> </w:t>
      </w:r>
      <w:r>
        <w:rPr/>
        <w:t>arterial</w:t>
      </w:r>
      <w:r>
        <w:rPr>
          <w:spacing w:val="-4"/>
        </w:rPr>
        <w:t> </w:t>
      </w:r>
      <w:r>
        <w:rPr/>
        <w:t>pode</w:t>
      </w:r>
      <w:r>
        <w:rPr>
          <w:spacing w:val="-10"/>
        </w:rPr>
        <w:t> </w:t>
      </w:r>
      <w:r>
        <w:rPr/>
        <w:t>chegar</w:t>
      </w:r>
      <w:r>
        <w:rPr>
          <w:spacing w:val="-2"/>
        </w:rPr>
        <w:t> </w:t>
      </w:r>
      <w:r>
        <w:rPr/>
        <w:t>a</w:t>
      </w:r>
      <w:r>
        <w:rPr>
          <w:spacing w:val="-10"/>
        </w:rPr>
        <w:t> </w:t>
      </w:r>
      <w:r>
        <w:rPr/>
        <w:t>níveis que</w:t>
      </w:r>
      <w:r>
        <w:rPr>
          <w:spacing w:val="-10"/>
        </w:rPr>
        <w:t> </w:t>
      </w:r>
      <w:r>
        <w:rPr/>
        <w:t>comprometam</w:t>
      </w:r>
      <w:r>
        <w:rPr>
          <w:spacing w:val="-7"/>
        </w:rPr>
        <w:t> </w:t>
      </w:r>
      <w:r>
        <w:rPr/>
        <w:t>o</w:t>
      </w:r>
      <w:r>
        <w:rPr>
          <w:spacing w:val="-7"/>
        </w:rPr>
        <w:t> </w:t>
      </w:r>
      <w:r>
        <w:rPr/>
        <w:t>metabolismo</w:t>
      </w:r>
      <w:r>
        <w:rPr>
          <w:spacing w:val="-7"/>
        </w:rPr>
        <w:t> </w:t>
      </w:r>
      <w:r>
        <w:rPr/>
        <w:t>celular</w:t>
      </w:r>
      <w:r>
        <w:rPr>
          <w:spacing w:val="-2"/>
        </w:rPr>
        <w:t> </w:t>
      </w:r>
      <w:r>
        <w:rPr/>
        <w:t>basal, causando</w:t>
      </w:r>
      <w:r>
        <w:rPr>
          <w:spacing w:val="-7"/>
        </w:rPr>
        <w:t> </w:t>
      </w:r>
      <w:r>
        <w:rPr/>
        <w:t>dor contínua, mesmo com o indivíduo em repouso, e/ou necrose tecidual. Se a claudicação intermitente é sintoma de isquemia leve, com pouca probabilidade de amputação, a dor em repouso e o surgimento de necrose tecidual sinalizam isquemia crítica, situação na qual há grande risco de perda do membro.</w:t>
      </w:r>
    </w:p>
    <w:p>
      <w:pPr>
        <w:pStyle w:val="BodyText"/>
        <w:spacing w:before="186"/>
        <w:ind w:left="0" w:firstLine="0"/>
        <w:jc w:val="left"/>
      </w:pPr>
    </w:p>
    <w:p>
      <w:pPr>
        <w:pStyle w:val="Heading4"/>
      </w:pPr>
      <w:r>
        <w:rPr>
          <w:color w:val="242B67"/>
        </w:rPr>
        <w:t>Quadro </w:t>
      </w:r>
      <w:r>
        <w:rPr>
          <w:color w:val="242B67"/>
          <w:spacing w:val="-2"/>
        </w:rPr>
        <w:t>clínico</w:t>
      </w:r>
    </w:p>
    <w:p>
      <w:pPr>
        <w:pStyle w:val="BodyText"/>
        <w:spacing w:line="276" w:lineRule="auto" w:before="131"/>
        <w:ind w:right="488"/>
      </w:pPr>
      <w:r>
        <w:rPr/>
        <w:t>A</w:t>
      </w:r>
      <w:r>
        <w:rPr>
          <w:spacing w:val="-5"/>
        </w:rPr>
        <w:t> </w:t>
      </w:r>
      <w:r>
        <w:rPr/>
        <w:t>claudicação</w:t>
      </w:r>
      <w:r>
        <w:rPr>
          <w:spacing w:val="-3"/>
        </w:rPr>
        <w:t> </w:t>
      </w:r>
      <w:r>
        <w:rPr/>
        <w:t>intermitente</w:t>
      </w:r>
      <w:r>
        <w:rPr>
          <w:spacing w:val="-5"/>
        </w:rPr>
        <w:t> </w:t>
      </w:r>
      <w:r>
        <w:rPr/>
        <w:t>é</w:t>
      </w:r>
      <w:r>
        <w:rPr>
          <w:spacing w:val="-5"/>
        </w:rPr>
        <w:t> </w:t>
      </w:r>
      <w:r>
        <w:rPr/>
        <w:t>de</w:t>
      </w:r>
      <w:r>
        <w:rPr>
          <w:spacing w:val="-5"/>
        </w:rPr>
        <w:t> </w:t>
      </w:r>
      <w:r>
        <w:rPr/>
        <w:t>intensidade</w:t>
      </w:r>
      <w:r>
        <w:rPr>
          <w:spacing w:val="-5"/>
        </w:rPr>
        <w:t> </w:t>
      </w:r>
      <w:r>
        <w:rPr/>
        <w:t>variável, dependendo</w:t>
      </w:r>
      <w:r>
        <w:rPr>
          <w:spacing w:val="-3"/>
        </w:rPr>
        <w:t> </w:t>
      </w:r>
      <w:r>
        <w:rPr/>
        <w:t>da</w:t>
      </w:r>
      <w:r>
        <w:rPr>
          <w:spacing w:val="-5"/>
        </w:rPr>
        <w:t> </w:t>
      </w:r>
      <w:r>
        <w:rPr/>
        <w:t>extensão</w:t>
      </w:r>
      <w:r>
        <w:rPr>
          <w:spacing w:val="-3"/>
        </w:rPr>
        <w:t> </w:t>
      </w:r>
      <w:r>
        <w:rPr/>
        <w:t>do</w:t>
      </w:r>
      <w:r>
        <w:rPr>
          <w:spacing w:val="-3"/>
        </w:rPr>
        <w:t> </w:t>
      </w:r>
      <w:r>
        <w:rPr/>
        <w:t>segmento</w:t>
      </w:r>
      <w:r>
        <w:rPr>
          <w:spacing w:val="-3"/>
        </w:rPr>
        <w:t> </w:t>
      </w:r>
      <w:r>
        <w:rPr/>
        <w:t>arterial acometido</w:t>
      </w:r>
      <w:r>
        <w:rPr>
          <w:spacing w:val="-3"/>
        </w:rPr>
        <w:t> </w:t>
      </w:r>
      <w:r>
        <w:rPr/>
        <w:t>e do grau de desenvolvimento da circulação colateral. As distâncias percorridas, livres de dor e máxima de caminhada, bem como o tempo de dissipação da dor (que ocorre durante a interrupção da marcha), dependem da intensidade da isquemia. A claudicação intermitente mais branda só se manifesta após longos percursos de caminhada, não</w:t>
      </w:r>
      <w:r>
        <w:rPr>
          <w:spacing w:val="-8"/>
        </w:rPr>
        <w:t> </w:t>
      </w:r>
      <w:r>
        <w:rPr/>
        <w:t>impedindo</w:t>
      </w:r>
      <w:r>
        <w:rPr>
          <w:spacing w:val="-8"/>
        </w:rPr>
        <w:t> </w:t>
      </w:r>
      <w:r>
        <w:rPr/>
        <w:t>que</w:t>
      </w:r>
      <w:r>
        <w:rPr>
          <w:spacing w:val="-10"/>
        </w:rPr>
        <w:t> </w:t>
      </w:r>
      <w:r>
        <w:rPr/>
        <w:t>o</w:t>
      </w:r>
      <w:r>
        <w:rPr>
          <w:spacing w:val="-8"/>
        </w:rPr>
        <w:t> </w:t>
      </w:r>
      <w:r>
        <w:rPr/>
        <w:t>paciente</w:t>
      </w:r>
      <w:r>
        <w:rPr>
          <w:spacing w:val="-10"/>
        </w:rPr>
        <w:t> </w:t>
      </w:r>
      <w:r>
        <w:rPr/>
        <w:t>continue</w:t>
      </w:r>
      <w:r>
        <w:rPr>
          <w:spacing w:val="-10"/>
        </w:rPr>
        <w:t> </w:t>
      </w:r>
      <w:r>
        <w:rPr/>
        <w:t>a</w:t>
      </w:r>
      <w:r>
        <w:rPr>
          <w:spacing w:val="-10"/>
        </w:rPr>
        <w:t> </w:t>
      </w:r>
      <w:r>
        <w:rPr/>
        <w:t>andar</w:t>
      </w:r>
      <w:r>
        <w:rPr>
          <w:spacing w:val="-3"/>
        </w:rPr>
        <w:t> </w:t>
      </w:r>
      <w:r>
        <w:rPr/>
        <w:t>por</w:t>
      </w:r>
      <w:r>
        <w:rPr>
          <w:spacing w:val="-3"/>
        </w:rPr>
        <w:t> </w:t>
      </w:r>
      <w:r>
        <w:rPr/>
        <w:t>mais tempo, mesmo</w:t>
      </w:r>
      <w:r>
        <w:rPr>
          <w:spacing w:val="-8"/>
        </w:rPr>
        <w:t> </w:t>
      </w:r>
      <w:r>
        <w:rPr/>
        <w:t>sentindo</w:t>
      </w:r>
      <w:r>
        <w:rPr>
          <w:spacing w:val="-8"/>
        </w:rPr>
        <w:t> </w:t>
      </w:r>
      <w:r>
        <w:rPr/>
        <w:t>dor. Com</w:t>
      </w:r>
      <w:r>
        <w:rPr>
          <w:spacing w:val="-8"/>
        </w:rPr>
        <w:t> </w:t>
      </w:r>
      <w:r>
        <w:rPr/>
        <w:t>a</w:t>
      </w:r>
      <w:r>
        <w:rPr>
          <w:spacing w:val="-10"/>
        </w:rPr>
        <w:t> </w:t>
      </w:r>
      <w:r>
        <w:rPr/>
        <w:t>progressão da DAOP, a claudicação intermitente torna-se mais intensa e, por isso, mais restritiva, podendo surgir já aos primeiros passos, cedendo</w:t>
      </w:r>
      <w:r>
        <w:rPr>
          <w:spacing w:val="-1"/>
        </w:rPr>
        <w:t> </w:t>
      </w:r>
      <w:r>
        <w:rPr/>
        <w:t>lentamente</w:t>
      </w:r>
      <w:r>
        <w:rPr>
          <w:spacing w:val="-3"/>
        </w:rPr>
        <w:t> </w:t>
      </w:r>
      <w:r>
        <w:rPr/>
        <w:t>e</w:t>
      </w:r>
      <w:r>
        <w:rPr>
          <w:spacing w:val="-3"/>
        </w:rPr>
        <w:t> </w:t>
      </w:r>
      <w:r>
        <w:rPr/>
        <w:t>reduzindo</w:t>
      </w:r>
      <w:r>
        <w:rPr>
          <w:spacing w:val="-1"/>
        </w:rPr>
        <w:t> </w:t>
      </w:r>
      <w:r>
        <w:rPr/>
        <w:t>a</w:t>
      </w:r>
      <w:r>
        <w:rPr>
          <w:spacing w:val="-3"/>
        </w:rPr>
        <w:t> </w:t>
      </w:r>
      <w:r>
        <w:rPr/>
        <w:t>autonomia</w:t>
      </w:r>
      <w:r>
        <w:rPr>
          <w:spacing w:val="-3"/>
        </w:rPr>
        <w:t> </w:t>
      </w:r>
      <w:r>
        <w:rPr/>
        <w:t>do</w:t>
      </w:r>
      <w:r>
        <w:rPr>
          <w:spacing w:val="-1"/>
        </w:rPr>
        <w:t> </w:t>
      </w:r>
      <w:r>
        <w:rPr/>
        <w:t>indivíduo</w:t>
      </w:r>
      <w:r>
        <w:rPr>
          <w:spacing w:val="-1"/>
        </w:rPr>
        <w:t> </w:t>
      </w:r>
      <w:r>
        <w:rPr/>
        <w:t>em</w:t>
      </w:r>
      <w:r>
        <w:rPr>
          <w:spacing w:val="-1"/>
        </w:rPr>
        <w:t> </w:t>
      </w:r>
      <w:r>
        <w:rPr/>
        <w:t>suas atividades cotidianas.</w:t>
      </w:r>
    </w:p>
    <w:p>
      <w:pPr>
        <w:pStyle w:val="BodyText"/>
        <w:spacing w:line="278" w:lineRule="auto" w:before="66"/>
        <w:ind w:right="498"/>
      </w:pPr>
      <w:r>
        <w:rPr/>
        <w:t>A claudicação intermitente é sempre reprodutível, após esforço, com tempo e intensidade repetidos nos grupos musculares isquêmicos.</w:t>
      </w:r>
      <w:r>
        <w:rPr>
          <w:vertAlign w:val="superscript"/>
        </w:rPr>
        <w:t>1</w:t>
      </w:r>
      <w:r>
        <w:rPr>
          <w:vertAlign w:val="baseline"/>
        </w:rPr>
        <w:t> Trata-se</w:t>
      </w:r>
      <w:r>
        <w:rPr>
          <w:spacing w:val="-8"/>
          <w:vertAlign w:val="baseline"/>
        </w:rPr>
        <w:t> </w:t>
      </w:r>
      <w:r>
        <w:rPr>
          <w:vertAlign w:val="baseline"/>
        </w:rPr>
        <w:t>de</w:t>
      </w:r>
      <w:r>
        <w:rPr>
          <w:spacing w:val="-8"/>
          <w:vertAlign w:val="baseline"/>
        </w:rPr>
        <w:t> </w:t>
      </w:r>
      <w:r>
        <w:rPr>
          <w:vertAlign w:val="baseline"/>
        </w:rPr>
        <w:t>um</w:t>
      </w:r>
      <w:r>
        <w:rPr>
          <w:spacing w:val="-4"/>
          <w:vertAlign w:val="baseline"/>
        </w:rPr>
        <w:t> </w:t>
      </w:r>
      <w:r>
        <w:rPr>
          <w:vertAlign w:val="baseline"/>
        </w:rPr>
        <w:t>dos sintomas mais específicos observados na</w:t>
      </w:r>
      <w:r>
        <w:rPr>
          <w:spacing w:val="-8"/>
          <w:vertAlign w:val="baseline"/>
        </w:rPr>
        <w:t> </w:t>
      </w:r>
      <w:r>
        <w:rPr>
          <w:vertAlign w:val="baseline"/>
        </w:rPr>
        <w:t>medicina. Nunca</w:t>
      </w:r>
      <w:r>
        <w:rPr>
          <w:spacing w:val="-8"/>
          <w:vertAlign w:val="baseline"/>
        </w:rPr>
        <w:t> </w:t>
      </w:r>
      <w:r>
        <w:rPr>
          <w:vertAlign w:val="baseline"/>
        </w:rPr>
        <w:t>ocorre</w:t>
      </w:r>
      <w:r>
        <w:rPr>
          <w:spacing w:val="-8"/>
          <w:vertAlign w:val="baseline"/>
        </w:rPr>
        <w:t> </w:t>
      </w:r>
      <w:r>
        <w:rPr>
          <w:vertAlign w:val="baseline"/>
        </w:rPr>
        <w:t>com o paciente em repouso ou quando ele assume determinadas posições. Aparece apenas com o exercício contínuo e desaparece</w:t>
      </w:r>
      <w:r>
        <w:rPr>
          <w:spacing w:val="-1"/>
          <w:vertAlign w:val="baseline"/>
        </w:rPr>
        <w:t> </w:t>
      </w:r>
      <w:r>
        <w:rPr>
          <w:vertAlign w:val="baseline"/>
        </w:rPr>
        <w:t>com o repouso. Alterações na</w:t>
      </w:r>
      <w:r>
        <w:rPr>
          <w:spacing w:val="-1"/>
          <w:vertAlign w:val="baseline"/>
        </w:rPr>
        <w:t> </w:t>
      </w:r>
      <w:r>
        <w:rPr>
          <w:vertAlign w:val="baseline"/>
        </w:rPr>
        <w:t>posição corporal não levam à</w:t>
      </w:r>
      <w:r>
        <w:rPr>
          <w:spacing w:val="-1"/>
          <w:vertAlign w:val="baseline"/>
        </w:rPr>
        <w:t> </w:t>
      </w:r>
      <w:r>
        <w:rPr>
          <w:vertAlign w:val="baseline"/>
        </w:rPr>
        <w:t>melhora</w:t>
      </w:r>
      <w:r>
        <w:rPr>
          <w:spacing w:val="-1"/>
          <w:vertAlign w:val="baseline"/>
        </w:rPr>
        <w:t> </w:t>
      </w:r>
      <w:r>
        <w:rPr>
          <w:vertAlign w:val="baseline"/>
        </w:rPr>
        <w:t>da</w:t>
      </w:r>
      <w:r>
        <w:rPr>
          <w:spacing w:val="-1"/>
          <w:vertAlign w:val="baseline"/>
        </w:rPr>
        <w:t> </w:t>
      </w:r>
      <w:r>
        <w:rPr>
          <w:vertAlign w:val="baseline"/>
        </w:rPr>
        <w:t>dor. Com tais características, a claudicação</w:t>
      </w:r>
      <w:r>
        <w:rPr>
          <w:spacing w:val="-10"/>
          <w:vertAlign w:val="baseline"/>
        </w:rPr>
        <w:t> </w:t>
      </w:r>
      <w:r>
        <w:rPr>
          <w:vertAlign w:val="baseline"/>
        </w:rPr>
        <w:t>intermitente</w:t>
      </w:r>
      <w:r>
        <w:rPr>
          <w:spacing w:val="-12"/>
          <w:vertAlign w:val="baseline"/>
        </w:rPr>
        <w:t> </w:t>
      </w:r>
      <w:r>
        <w:rPr>
          <w:vertAlign w:val="baseline"/>
        </w:rPr>
        <w:t>é</w:t>
      </w:r>
      <w:r>
        <w:rPr>
          <w:spacing w:val="-12"/>
          <w:vertAlign w:val="baseline"/>
        </w:rPr>
        <w:t> </w:t>
      </w:r>
      <w:r>
        <w:rPr>
          <w:vertAlign w:val="baseline"/>
        </w:rPr>
        <w:t>facilmente</w:t>
      </w:r>
      <w:r>
        <w:rPr>
          <w:spacing w:val="-12"/>
          <w:vertAlign w:val="baseline"/>
        </w:rPr>
        <w:t> </w:t>
      </w:r>
      <w:r>
        <w:rPr>
          <w:vertAlign w:val="baseline"/>
        </w:rPr>
        <w:t>diferenciada</w:t>
      </w:r>
      <w:r>
        <w:rPr>
          <w:spacing w:val="-12"/>
          <w:vertAlign w:val="baseline"/>
        </w:rPr>
        <w:t> </w:t>
      </w:r>
      <w:r>
        <w:rPr>
          <w:vertAlign w:val="baseline"/>
        </w:rPr>
        <w:t>de</w:t>
      </w:r>
      <w:r>
        <w:rPr>
          <w:spacing w:val="-12"/>
          <w:vertAlign w:val="baseline"/>
        </w:rPr>
        <w:t> </w:t>
      </w:r>
      <w:r>
        <w:rPr>
          <w:vertAlign w:val="baseline"/>
        </w:rPr>
        <w:t>dores</w:t>
      </w:r>
      <w:r>
        <w:rPr>
          <w:spacing w:val="-2"/>
          <w:vertAlign w:val="baseline"/>
        </w:rPr>
        <w:t> </w:t>
      </w:r>
      <w:r>
        <w:rPr>
          <w:vertAlign w:val="baseline"/>
        </w:rPr>
        <w:t>causadas</w:t>
      </w:r>
      <w:r>
        <w:rPr>
          <w:spacing w:val="-2"/>
          <w:vertAlign w:val="baseline"/>
        </w:rPr>
        <w:t> </w:t>
      </w:r>
      <w:r>
        <w:rPr>
          <w:vertAlign w:val="baseline"/>
        </w:rPr>
        <w:t>por</w:t>
      </w:r>
      <w:r>
        <w:rPr>
          <w:spacing w:val="-5"/>
          <w:vertAlign w:val="baseline"/>
        </w:rPr>
        <w:t> </w:t>
      </w:r>
      <w:r>
        <w:rPr>
          <w:vertAlign w:val="baseline"/>
        </w:rPr>
        <w:t>defeitos</w:t>
      </w:r>
      <w:r>
        <w:rPr>
          <w:spacing w:val="-2"/>
          <w:vertAlign w:val="baseline"/>
        </w:rPr>
        <w:t> </w:t>
      </w:r>
      <w:r>
        <w:rPr>
          <w:vertAlign w:val="baseline"/>
        </w:rPr>
        <w:t>estruturais</w:t>
      </w:r>
      <w:r>
        <w:rPr>
          <w:spacing w:val="-2"/>
          <w:vertAlign w:val="baseline"/>
        </w:rPr>
        <w:t> </w:t>
      </w:r>
      <w:r>
        <w:rPr>
          <w:vertAlign w:val="baseline"/>
        </w:rPr>
        <w:t>em</w:t>
      </w:r>
      <w:r>
        <w:rPr>
          <w:spacing w:val="-10"/>
          <w:vertAlign w:val="baseline"/>
        </w:rPr>
        <w:t> </w:t>
      </w:r>
      <w:r>
        <w:rPr>
          <w:vertAlign w:val="baseline"/>
        </w:rPr>
        <w:t>ossos</w:t>
      </w:r>
      <w:r>
        <w:rPr>
          <w:spacing w:val="-2"/>
          <w:vertAlign w:val="baseline"/>
        </w:rPr>
        <w:t> </w:t>
      </w:r>
      <w:r>
        <w:rPr>
          <w:vertAlign w:val="baseline"/>
        </w:rPr>
        <w:t>e</w:t>
      </w:r>
      <w:r>
        <w:rPr>
          <w:spacing w:val="-12"/>
          <w:vertAlign w:val="baseline"/>
        </w:rPr>
        <w:t> </w:t>
      </w:r>
      <w:r>
        <w:rPr>
          <w:vertAlign w:val="baseline"/>
        </w:rPr>
        <w:t>ligamentos, neurites, osteoporose, artrite, hérnia</w:t>
      </w:r>
      <w:r>
        <w:rPr>
          <w:spacing w:val="-1"/>
          <w:vertAlign w:val="baseline"/>
        </w:rPr>
        <w:t> </w:t>
      </w:r>
      <w:r>
        <w:rPr>
          <w:vertAlign w:val="baseline"/>
        </w:rPr>
        <w:t>de</w:t>
      </w:r>
      <w:r>
        <w:rPr>
          <w:spacing w:val="-1"/>
          <w:vertAlign w:val="baseline"/>
        </w:rPr>
        <w:t> </w:t>
      </w:r>
      <w:r>
        <w:rPr>
          <w:vertAlign w:val="baseline"/>
        </w:rPr>
        <w:t>disco e</w:t>
      </w:r>
      <w:r>
        <w:rPr>
          <w:spacing w:val="-1"/>
          <w:vertAlign w:val="baseline"/>
        </w:rPr>
        <w:t> </w:t>
      </w:r>
      <w:r>
        <w:rPr>
          <w:vertAlign w:val="baseline"/>
        </w:rPr>
        <w:t>outras doenças que</w:t>
      </w:r>
      <w:r>
        <w:rPr>
          <w:spacing w:val="-1"/>
          <w:vertAlign w:val="baseline"/>
        </w:rPr>
        <w:t> </w:t>
      </w:r>
      <w:r>
        <w:rPr>
          <w:vertAlign w:val="baseline"/>
        </w:rPr>
        <w:t>possam causar dor nas extremidades.</w:t>
      </w:r>
    </w:p>
    <w:p>
      <w:pPr>
        <w:pStyle w:val="BodyText"/>
        <w:spacing w:line="276" w:lineRule="auto" w:before="49"/>
        <w:ind w:right="494"/>
      </w:pPr>
      <w:r>
        <w:rPr/>
        <w:t>O</w:t>
      </w:r>
      <w:r>
        <w:rPr>
          <w:spacing w:val="-3"/>
        </w:rPr>
        <w:t> </w:t>
      </w:r>
      <w:r>
        <w:rPr/>
        <w:t>nível muscular no</w:t>
      </w:r>
      <w:r>
        <w:rPr>
          <w:spacing w:val="-1"/>
        </w:rPr>
        <w:t> </w:t>
      </w:r>
      <w:r>
        <w:rPr/>
        <w:t>qual se</w:t>
      </w:r>
      <w:r>
        <w:rPr>
          <w:spacing w:val="-3"/>
        </w:rPr>
        <w:t> </w:t>
      </w:r>
      <w:r>
        <w:rPr/>
        <w:t>manifesta</w:t>
      </w:r>
      <w:r>
        <w:rPr>
          <w:spacing w:val="-3"/>
        </w:rPr>
        <w:t> </w:t>
      </w:r>
      <w:r>
        <w:rPr/>
        <w:t>a</w:t>
      </w:r>
      <w:r>
        <w:rPr>
          <w:spacing w:val="-3"/>
        </w:rPr>
        <w:t> </w:t>
      </w:r>
      <w:r>
        <w:rPr/>
        <w:t>dor, como</w:t>
      </w:r>
      <w:r>
        <w:rPr>
          <w:spacing w:val="-1"/>
        </w:rPr>
        <w:t> </w:t>
      </w:r>
      <w:r>
        <w:rPr/>
        <w:t>a</w:t>
      </w:r>
      <w:r>
        <w:rPr>
          <w:spacing w:val="-3"/>
        </w:rPr>
        <w:t> </w:t>
      </w:r>
      <w:r>
        <w:rPr/>
        <w:t>da</w:t>
      </w:r>
      <w:r>
        <w:rPr>
          <w:spacing w:val="-3"/>
        </w:rPr>
        <w:t> </w:t>
      </w:r>
      <w:r>
        <w:rPr/>
        <w:t>claudicação</w:t>
      </w:r>
      <w:r>
        <w:rPr>
          <w:spacing w:val="-1"/>
        </w:rPr>
        <w:t> </w:t>
      </w:r>
      <w:r>
        <w:rPr/>
        <w:t>intermitente, depende</w:t>
      </w:r>
      <w:r>
        <w:rPr>
          <w:spacing w:val="-3"/>
        </w:rPr>
        <w:t> </w:t>
      </w:r>
      <w:r>
        <w:rPr/>
        <w:t>do</w:t>
      </w:r>
      <w:r>
        <w:rPr>
          <w:spacing w:val="-1"/>
        </w:rPr>
        <w:t> </w:t>
      </w:r>
      <w:r>
        <w:rPr/>
        <w:t>segmento</w:t>
      </w:r>
      <w:r>
        <w:rPr>
          <w:spacing w:val="-1"/>
        </w:rPr>
        <w:t> </w:t>
      </w:r>
      <w:r>
        <w:rPr/>
        <w:t>arterial acometido. Em obstruções aortilíacas e femoropoplíteas a localização mais frequente da dor é na musculatura posterior da</w:t>
      </w:r>
      <w:r>
        <w:rPr>
          <w:spacing w:val="-5"/>
        </w:rPr>
        <w:t> </w:t>
      </w:r>
      <w:r>
        <w:rPr/>
        <w:t>perna</w:t>
      </w:r>
      <w:r>
        <w:rPr>
          <w:spacing w:val="-5"/>
        </w:rPr>
        <w:t> </w:t>
      </w:r>
      <w:r>
        <w:rPr/>
        <w:t>(panturrilha). Se</w:t>
      </w:r>
      <w:r>
        <w:rPr>
          <w:spacing w:val="-5"/>
        </w:rPr>
        <w:t> </w:t>
      </w:r>
      <w:r>
        <w:rPr/>
        <w:t>a</w:t>
      </w:r>
      <w:r>
        <w:rPr>
          <w:spacing w:val="-5"/>
        </w:rPr>
        <w:t> </w:t>
      </w:r>
      <w:r>
        <w:rPr/>
        <w:t>obstrução</w:t>
      </w:r>
      <w:r>
        <w:rPr>
          <w:spacing w:val="-2"/>
        </w:rPr>
        <w:t> </w:t>
      </w:r>
      <w:r>
        <w:rPr/>
        <w:t>arterial estiver localizada</w:t>
      </w:r>
      <w:r>
        <w:rPr>
          <w:spacing w:val="-5"/>
        </w:rPr>
        <w:t> </w:t>
      </w:r>
      <w:r>
        <w:rPr/>
        <w:t>no</w:t>
      </w:r>
      <w:r>
        <w:rPr>
          <w:spacing w:val="-2"/>
        </w:rPr>
        <w:t> </w:t>
      </w:r>
      <w:r>
        <w:rPr/>
        <w:t>segmento</w:t>
      </w:r>
      <w:r>
        <w:rPr>
          <w:spacing w:val="-2"/>
        </w:rPr>
        <w:t> </w:t>
      </w:r>
      <w:r>
        <w:rPr/>
        <w:t>aortoilíaco, além</w:t>
      </w:r>
      <w:r>
        <w:rPr>
          <w:spacing w:val="-2"/>
        </w:rPr>
        <w:t> </w:t>
      </w:r>
      <w:r>
        <w:rPr/>
        <w:t>da</w:t>
      </w:r>
      <w:r>
        <w:rPr>
          <w:spacing w:val="-5"/>
        </w:rPr>
        <w:t> </w:t>
      </w:r>
      <w:r>
        <w:rPr/>
        <w:t>perna, a dor pode manifestar-se também na coxa e na região glútea. Nas obstruções das artérias infrapoplíteas, a dor pode acometer a região plantar. Apesar de o grupo muscular sintomático sugerir o nível de obstrução arterial, variações podem</w:t>
      </w:r>
      <w:r>
        <w:rPr>
          <w:spacing w:val="-1"/>
        </w:rPr>
        <w:t> </w:t>
      </w:r>
      <w:r>
        <w:rPr/>
        <w:t>ser encontradas devido</w:t>
      </w:r>
      <w:r>
        <w:rPr>
          <w:spacing w:val="-1"/>
        </w:rPr>
        <w:t> </w:t>
      </w:r>
      <w:r>
        <w:rPr/>
        <w:t>ao</w:t>
      </w:r>
      <w:r>
        <w:rPr>
          <w:spacing w:val="-1"/>
        </w:rPr>
        <w:t> </w:t>
      </w:r>
      <w:r>
        <w:rPr/>
        <w:t>grau</w:t>
      </w:r>
      <w:r>
        <w:rPr>
          <w:spacing w:val="-1"/>
        </w:rPr>
        <w:t> </w:t>
      </w:r>
      <w:r>
        <w:rPr/>
        <w:t>de</w:t>
      </w:r>
      <w:r>
        <w:rPr>
          <w:spacing w:val="-3"/>
        </w:rPr>
        <w:t> </w:t>
      </w:r>
      <w:r>
        <w:rPr/>
        <w:t>desenvolvimento</w:t>
      </w:r>
      <w:r>
        <w:rPr>
          <w:spacing w:val="-1"/>
        </w:rPr>
        <w:t> </w:t>
      </w:r>
      <w:r>
        <w:rPr/>
        <w:t>da</w:t>
      </w:r>
      <w:r>
        <w:rPr>
          <w:spacing w:val="-3"/>
        </w:rPr>
        <w:t> </w:t>
      </w:r>
      <w:r>
        <w:rPr/>
        <w:t>circulação</w:t>
      </w:r>
      <w:r>
        <w:rPr>
          <w:spacing w:val="-1"/>
        </w:rPr>
        <w:t> </w:t>
      </w:r>
      <w:r>
        <w:rPr/>
        <w:t>colateral.</w:t>
      </w:r>
    </w:p>
    <w:p>
      <w:pPr>
        <w:pStyle w:val="BodyText"/>
        <w:spacing w:line="276" w:lineRule="auto"/>
        <w:ind w:right="488"/>
      </w:pPr>
      <w:r>
        <w:rPr/>
        <w:t>Com a progressão da doença, as distâncias de marcha vão diminuindo progressivamente, havendo necessidade de</w:t>
      </w:r>
      <w:r>
        <w:rPr>
          <w:spacing w:val="-1"/>
        </w:rPr>
        <w:t> </w:t>
      </w:r>
      <w:r>
        <w:rPr/>
        <w:t>períodos de</w:t>
      </w:r>
      <w:r>
        <w:rPr>
          <w:spacing w:val="-1"/>
        </w:rPr>
        <w:t> </w:t>
      </w:r>
      <w:r>
        <w:rPr/>
        <w:t>repouso cada</w:t>
      </w:r>
      <w:r>
        <w:rPr>
          <w:spacing w:val="-1"/>
        </w:rPr>
        <w:t> </w:t>
      </w:r>
      <w:r>
        <w:rPr/>
        <w:t>vez</w:t>
      </w:r>
      <w:r>
        <w:rPr>
          <w:spacing w:val="-1"/>
        </w:rPr>
        <w:t> </w:t>
      </w:r>
      <w:r>
        <w:rPr/>
        <w:t>maiores, após o que</w:t>
      </w:r>
      <w:r>
        <w:rPr>
          <w:spacing w:val="-1"/>
        </w:rPr>
        <w:t> </w:t>
      </w:r>
      <w:r>
        <w:rPr/>
        <w:t>o paciente</w:t>
      </w:r>
      <w:r>
        <w:rPr>
          <w:spacing w:val="-1"/>
        </w:rPr>
        <w:t> </w:t>
      </w:r>
      <w:r>
        <w:rPr/>
        <w:t>pode</w:t>
      </w:r>
      <w:r>
        <w:rPr>
          <w:spacing w:val="-1"/>
        </w:rPr>
        <w:t> </w:t>
      </w:r>
      <w:r>
        <w:rPr/>
        <w:t>reiniciar a</w:t>
      </w:r>
      <w:r>
        <w:rPr>
          <w:spacing w:val="-1"/>
        </w:rPr>
        <w:t> </w:t>
      </w:r>
      <w:r>
        <w:rPr/>
        <w:t>marcha.</w:t>
      </w:r>
    </w:p>
    <w:p>
      <w:pPr>
        <w:pStyle w:val="BodyText"/>
        <w:spacing w:line="276" w:lineRule="auto" w:before="48"/>
        <w:ind w:right="490"/>
      </w:pPr>
      <w:r>
        <w:rPr/>
        <w:t>Nos casos de DAOP mais grave, a dor se torna contínua e persiste mesmo ao repouso, acometendo principalmente o segmento mais distal do pé. O uso de sedativos e analgésicos, mesmo em doses altas e repetidas, geralmente</w:t>
      </w:r>
      <w:r>
        <w:rPr>
          <w:spacing w:val="-12"/>
        </w:rPr>
        <w:t> </w:t>
      </w:r>
      <w:r>
        <w:rPr/>
        <w:t>não</w:t>
      </w:r>
      <w:r>
        <w:rPr>
          <w:spacing w:val="-10"/>
        </w:rPr>
        <w:t> </w:t>
      </w:r>
      <w:r>
        <w:rPr/>
        <w:t>interrompe</w:t>
      </w:r>
      <w:r>
        <w:rPr>
          <w:spacing w:val="-12"/>
        </w:rPr>
        <w:t> </w:t>
      </w:r>
      <w:r>
        <w:rPr/>
        <w:t>a</w:t>
      </w:r>
      <w:r>
        <w:rPr>
          <w:spacing w:val="-12"/>
        </w:rPr>
        <w:t> </w:t>
      </w:r>
      <w:r>
        <w:rPr/>
        <w:t>dor.</w:t>
      </w:r>
      <w:r>
        <w:rPr>
          <w:spacing w:val="-2"/>
        </w:rPr>
        <w:t> </w:t>
      </w:r>
      <w:r>
        <w:rPr/>
        <w:t>Pequenos</w:t>
      </w:r>
      <w:r>
        <w:rPr>
          <w:spacing w:val="-2"/>
        </w:rPr>
        <w:t> </w:t>
      </w:r>
      <w:r>
        <w:rPr/>
        <w:t>traumatismos,</w:t>
      </w:r>
      <w:r>
        <w:rPr>
          <w:spacing w:val="-2"/>
        </w:rPr>
        <w:t> </w:t>
      </w:r>
      <w:r>
        <w:rPr/>
        <w:t>infecções</w:t>
      </w:r>
      <w:r>
        <w:rPr>
          <w:spacing w:val="-2"/>
        </w:rPr>
        <w:t> </w:t>
      </w:r>
      <w:r>
        <w:rPr/>
        <w:t>e</w:t>
      </w:r>
      <w:r>
        <w:rPr>
          <w:spacing w:val="-12"/>
        </w:rPr>
        <w:t> </w:t>
      </w:r>
      <w:r>
        <w:rPr/>
        <w:t>escaras</w:t>
      </w:r>
      <w:r>
        <w:rPr>
          <w:spacing w:val="-2"/>
        </w:rPr>
        <w:t> </w:t>
      </w:r>
      <w:r>
        <w:rPr/>
        <w:t>posturais</w:t>
      </w:r>
      <w:r>
        <w:rPr>
          <w:spacing w:val="-2"/>
        </w:rPr>
        <w:t> </w:t>
      </w:r>
      <w:r>
        <w:rPr/>
        <w:t>podem</w:t>
      </w:r>
      <w:r>
        <w:rPr>
          <w:spacing w:val="-10"/>
        </w:rPr>
        <w:t> </w:t>
      </w:r>
      <w:r>
        <w:rPr/>
        <w:t>desencadear</w:t>
      </w:r>
      <w:r>
        <w:rPr>
          <w:spacing w:val="-4"/>
        </w:rPr>
        <w:t> </w:t>
      </w:r>
      <w:r>
        <w:rPr/>
        <w:t>necrose </w:t>
      </w:r>
      <w:r>
        <w:rPr>
          <w:spacing w:val="-2"/>
        </w:rPr>
        <w:t>tecidual.</w:t>
      </w:r>
    </w:p>
    <w:p>
      <w:pPr>
        <w:pStyle w:val="BodyText"/>
        <w:spacing w:line="276" w:lineRule="auto"/>
        <w:ind w:right="488"/>
      </w:pPr>
      <w:r>
        <w:rPr/>
        <w:t>Com o intuito de diminuir a dor, o doente adota posições características, deixando o membro afetado pendente na borda da cama, dormindo sentado ou fletindo a perna e a coxa. Nessas condições, surgem, frequentemente, estase</w:t>
      </w:r>
      <w:r>
        <w:rPr>
          <w:spacing w:val="-10"/>
        </w:rPr>
        <w:t> </w:t>
      </w:r>
      <w:r>
        <w:rPr/>
        <w:t>venosa</w:t>
      </w:r>
      <w:r>
        <w:rPr>
          <w:spacing w:val="-10"/>
        </w:rPr>
        <w:t> </w:t>
      </w:r>
      <w:r>
        <w:rPr/>
        <w:t>e</w:t>
      </w:r>
      <w:r>
        <w:rPr>
          <w:spacing w:val="-10"/>
        </w:rPr>
        <w:t> </w:t>
      </w:r>
      <w:r>
        <w:rPr/>
        <w:t>edema, que</w:t>
      </w:r>
      <w:r>
        <w:rPr>
          <w:spacing w:val="-10"/>
        </w:rPr>
        <w:t> </w:t>
      </w:r>
      <w:r>
        <w:rPr/>
        <w:t>constituem</w:t>
      </w:r>
      <w:r>
        <w:rPr>
          <w:spacing w:val="-8"/>
        </w:rPr>
        <w:t> </w:t>
      </w:r>
      <w:r>
        <w:rPr/>
        <w:t>fatores agravantes da</w:t>
      </w:r>
      <w:r>
        <w:rPr>
          <w:spacing w:val="-10"/>
        </w:rPr>
        <w:t> </w:t>
      </w:r>
      <w:r>
        <w:rPr/>
        <w:t>isquemia, além</w:t>
      </w:r>
      <w:r>
        <w:rPr>
          <w:spacing w:val="-8"/>
        </w:rPr>
        <w:t> </w:t>
      </w:r>
      <w:r>
        <w:rPr/>
        <w:t>de</w:t>
      </w:r>
      <w:r>
        <w:rPr>
          <w:spacing w:val="-10"/>
        </w:rPr>
        <w:t> </w:t>
      </w:r>
      <w:r>
        <w:rPr/>
        <w:t>rigidez</w:t>
      </w:r>
      <w:r>
        <w:rPr>
          <w:spacing w:val="-10"/>
        </w:rPr>
        <w:t> </w:t>
      </w:r>
      <w:r>
        <w:rPr/>
        <w:t>das articulações do</w:t>
      </w:r>
      <w:r>
        <w:rPr>
          <w:spacing w:val="-8"/>
        </w:rPr>
        <w:t> </w:t>
      </w:r>
      <w:r>
        <w:rPr/>
        <w:t>membro.</w:t>
      </w:r>
    </w:p>
    <w:p>
      <w:pPr>
        <w:pStyle w:val="BodyText"/>
        <w:spacing w:line="276" w:lineRule="auto" w:before="64"/>
        <w:ind w:right="488"/>
      </w:pPr>
      <w:r>
        <w:rPr/>
        <w:t>Ao exame físico, quando se eleva o membro afetado, o pé torna-se pálido até assumir aspecto cadavérico. O ângulo de elevação, a rapidez, a intensidade e a extensão da palidez dependem diretamente do grau da isquemia. Quando o paciente abaixa o pé, a pele da extremidade adquire rubor intenso, podendo chegar à eritrocianose. A rapidez</w:t>
      </w:r>
      <w:r>
        <w:rPr>
          <w:spacing w:val="78"/>
        </w:rPr>
        <w:t> </w:t>
      </w:r>
      <w:r>
        <w:rPr/>
        <w:t>do</w:t>
      </w:r>
      <w:r>
        <w:rPr>
          <w:spacing w:val="80"/>
        </w:rPr>
        <w:t> </w:t>
      </w:r>
      <w:r>
        <w:rPr/>
        <w:t>aparecimento</w:t>
      </w:r>
      <w:r>
        <w:rPr>
          <w:spacing w:val="80"/>
        </w:rPr>
        <w:t> </w:t>
      </w:r>
      <w:r>
        <w:rPr/>
        <w:t>da</w:t>
      </w:r>
      <w:r>
        <w:rPr>
          <w:spacing w:val="78"/>
        </w:rPr>
        <w:t> </w:t>
      </w:r>
      <w:r>
        <w:rPr/>
        <w:t>hiperemia,</w:t>
      </w:r>
      <w:r>
        <w:rPr>
          <w:spacing w:val="80"/>
        </w:rPr>
        <w:t> </w:t>
      </w:r>
      <w:r>
        <w:rPr/>
        <w:t>sua</w:t>
      </w:r>
      <w:r>
        <w:rPr>
          <w:spacing w:val="78"/>
        </w:rPr>
        <w:t> </w:t>
      </w:r>
      <w:r>
        <w:rPr/>
        <w:t>extensão</w:t>
      </w:r>
      <w:r>
        <w:rPr>
          <w:spacing w:val="80"/>
        </w:rPr>
        <w:t> </w:t>
      </w:r>
      <w:r>
        <w:rPr/>
        <w:t>e</w:t>
      </w:r>
      <w:r>
        <w:rPr>
          <w:spacing w:val="78"/>
        </w:rPr>
        <w:t> </w:t>
      </w:r>
      <w:r>
        <w:rPr/>
        <w:t>intensidade</w:t>
      </w:r>
      <w:r>
        <w:rPr>
          <w:spacing w:val="78"/>
        </w:rPr>
        <w:t> </w:t>
      </w:r>
      <w:r>
        <w:rPr/>
        <w:t>são,</w:t>
      </w:r>
      <w:r>
        <w:rPr>
          <w:spacing w:val="80"/>
        </w:rPr>
        <w:t> </w:t>
      </w:r>
      <w:r>
        <w:rPr/>
        <w:t>até</w:t>
      </w:r>
      <w:r>
        <w:rPr>
          <w:spacing w:val="78"/>
        </w:rPr>
        <w:t> </w:t>
      </w:r>
      <w:r>
        <w:rPr/>
        <w:t>certo</w:t>
      </w:r>
      <w:r>
        <w:rPr>
          <w:spacing w:val="80"/>
        </w:rPr>
        <w:t> </w:t>
      </w:r>
      <w:r>
        <w:rPr/>
        <w:t>ponto,</w:t>
      </w:r>
      <w:r>
        <w:rPr>
          <w:spacing w:val="80"/>
        </w:rPr>
        <w:t> </w:t>
      </w:r>
      <w:r>
        <w:rPr/>
        <w:t>dependentes</w:t>
      </w:r>
      <w:r>
        <w:rPr>
          <w:spacing w:val="80"/>
        </w:rPr>
        <w:t> </w:t>
      </w:r>
      <w:r>
        <w:rPr/>
        <w:t>do</w:t>
      </w:r>
    </w:p>
    <w:p>
      <w:pPr>
        <w:pStyle w:val="BodyText"/>
        <w:spacing w:after="0" w:line="276" w:lineRule="auto"/>
        <w:sectPr>
          <w:pgSz w:w="11900" w:h="16840"/>
          <w:pgMar w:top="200" w:bottom="280" w:left="566" w:right="141"/>
        </w:sectPr>
      </w:pPr>
    </w:p>
    <w:p>
      <w:pPr>
        <w:pStyle w:val="BodyText"/>
        <w:spacing w:line="273" w:lineRule="auto" w:before="78"/>
        <w:ind w:right="498" w:firstLine="0"/>
      </w:pPr>
      <w:r>
        <w:rPr/>
        <w:t>desenvolvimento da circulação colateral e indicativas do grau de compensação clínica da isquemia provocada pela obstrução arterial troncular. Assim, eritrocianose</w:t>
      </w:r>
      <w:r>
        <w:rPr>
          <w:spacing w:val="-1"/>
        </w:rPr>
        <w:t> </w:t>
      </w:r>
      <w:r>
        <w:rPr/>
        <w:t>intensa</w:t>
      </w:r>
      <w:r>
        <w:rPr>
          <w:spacing w:val="-1"/>
        </w:rPr>
        <w:t> </w:t>
      </w:r>
      <w:r>
        <w:rPr/>
        <w:t>e</w:t>
      </w:r>
      <w:r>
        <w:rPr>
          <w:spacing w:val="-1"/>
        </w:rPr>
        <w:t> </w:t>
      </w:r>
      <w:r>
        <w:rPr/>
        <w:t>de</w:t>
      </w:r>
      <w:r>
        <w:rPr>
          <w:spacing w:val="-1"/>
        </w:rPr>
        <w:t> </w:t>
      </w:r>
      <w:r>
        <w:rPr/>
        <w:t>rápida</w:t>
      </w:r>
      <w:r>
        <w:rPr>
          <w:spacing w:val="-1"/>
        </w:rPr>
        <w:t> </w:t>
      </w:r>
      <w:r>
        <w:rPr/>
        <w:t>instalação sugere</w:t>
      </w:r>
      <w:r>
        <w:rPr>
          <w:spacing w:val="-1"/>
        </w:rPr>
        <w:t> </w:t>
      </w:r>
      <w:r>
        <w:rPr/>
        <w:t>boa</w:t>
      </w:r>
      <w:r>
        <w:rPr>
          <w:spacing w:val="-1"/>
        </w:rPr>
        <w:t> </w:t>
      </w:r>
      <w:r>
        <w:rPr/>
        <w:t>compensação, enquanto uma</w:t>
      </w:r>
      <w:r>
        <w:rPr>
          <w:spacing w:val="-6"/>
        </w:rPr>
        <w:t> </w:t>
      </w:r>
      <w:r>
        <w:rPr/>
        <w:t>reação</w:t>
      </w:r>
      <w:r>
        <w:rPr>
          <w:spacing w:val="-3"/>
        </w:rPr>
        <w:t> </w:t>
      </w:r>
      <w:r>
        <w:rPr/>
        <w:t>hiperêmica</w:t>
      </w:r>
      <w:r>
        <w:rPr>
          <w:spacing w:val="-6"/>
        </w:rPr>
        <w:t> </w:t>
      </w:r>
      <w:r>
        <w:rPr/>
        <w:t>lenta</w:t>
      </w:r>
      <w:r>
        <w:rPr>
          <w:spacing w:val="-6"/>
        </w:rPr>
        <w:t> </w:t>
      </w:r>
      <w:r>
        <w:rPr/>
        <w:t>e</w:t>
      </w:r>
      <w:r>
        <w:rPr>
          <w:spacing w:val="-6"/>
        </w:rPr>
        <w:t> </w:t>
      </w:r>
      <w:r>
        <w:rPr/>
        <w:t>pouco</w:t>
      </w:r>
      <w:r>
        <w:rPr>
          <w:spacing w:val="-3"/>
        </w:rPr>
        <w:t> </w:t>
      </w:r>
      <w:r>
        <w:rPr/>
        <w:t>acentuada</w:t>
      </w:r>
      <w:r>
        <w:rPr>
          <w:spacing w:val="-6"/>
        </w:rPr>
        <w:t> </w:t>
      </w:r>
      <w:r>
        <w:rPr/>
        <w:t>indica</w:t>
      </w:r>
      <w:r>
        <w:rPr>
          <w:spacing w:val="-6"/>
        </w:rPr>
        <w:t> </w:t>
      </w:r>
      <w:r>
        <w:rPr/>
        <w:t>compensação</w:t>
      </w:r>
      <w:r>
        <w:rPr>
          <w:spacing w:val="-3"/>
        </w:rPr>
        <w:t> </w:t>
      </w:r>
      <w:r>
        <w:rPr/>
        <w:t>deficiente.</w:t>
      </w:r>
    </w:p>
    <w:p>
      <w:pPr>
        <w:pStyle w:val="BodyText"/>
        <w:spacing w:line="276" w:lineRule="auto" w:before="66"/>
        <w:ind w:right="501"/>
      </w:pPr>
      <w:r>
        <w:rPr/>
        <w:t>Na</w:t>
      </w:r>
      <w:r>
        <w:rPr>
          <w:spacing w:val="-8"/>
        </w:rPr>
        <w:t> </w:t>
      </w:r>
      <w:r>
        <w:rPr/>
        <w:t>evolução</w:t>
      </w:r>
      <w:r>
        <w:rPr>
          <w:spacing w:val="-6"/>
        </w:rPr>
        <w:t> </w:t>
      </w:r>
      <w:r>
        <w:rPr/>
        <w:t>da</w:t>
      </w:r>
      <w:r>
        <w:rPr>
          <w:spacing w:val="-8"/>
        </w:rPr>
        <w:t> </w:t>
      </w:r>
      <w:r>
        <w:rPr/>
        <w:t>insuficiência</w:t>
      </w:r>
      <w:r>
        <w:rPr>
          <w:spacing w:val="-8"/>
        </w:rPr>
        <w:t> </w:t>
      </w:r>
      <w:r>
        <w:rPr/>
        <w:t>arterial</w:t>
      </w:r>
      <w:r>
        <w:rPr>
          <w:spacing w:val="-3"/>
        </w:rPr>
        <w:t> </w:t>
      </w:r>
      <w:r>
        <w:rPr/>
        <w:t>crônica</w:t>
      </w:r>
      <w:r>
        <w:rPr>
          <w:spacing w:val="-8"/>
        </w:rPr>
        <w:t> </w:t>
      </w:r>
      <w:r>
        <w:rPr/>
        <w:t>surgem</w:t>
      </w:r>
      <w:r>
        <w:rPr>
          <w:spacing w:val="-6"/>
        </w:rPr>
        <w:t> </w:t>
      </w:r>
      <w:r>
        <w:rPr/>
        <w:t>alterações tróficas. A</w:t>
      </w:r>
      <w:r>
        <w:rPr>
          <w:spacing w:val="-8"/>
        </w:rPr>
        <w:t> </w:t>
      </w:r>
      <w:r>
        <w:rPr/>
        <w:t>atrofia</w:t>
      </w:r>
      <w:r>
        <w:rPr>
          <w:spacing w:val="-8"/>
        </w:rPr>
        <w:t> </w:t>
      </w:r>
      <w:r>
        <w:rPr/>
        <w:t>da</w:t>
      </w:r>
      <w:r>
        <w:rPr>
          <w:spacing w:val="-8"/>
        </w:rPr>
        <w:t> </w:t>
      </w:r>
      <w:r>
        <w:rPr/>
        <w:t>pele</w:t>
      </w:r>
      <w:r>
        <w:rPr>
          <w:spacing w:val="-8"/>
        </w:rPr>
        <w:t> </w:t>
      </w:r>
      <w:r>
        <w:rPr/>
        <w:t>é</w:t>
      </w:r>
      <w:r>
        <w:rPr>
          <w:spacing w:val="-8"/>
        </w:rPr>
        <w:t> </w:t>
      </w:r>
      <w:r>
        <w:rPr/>
        <w:t>mais intensa</w:t>
      </w:r>
      <w:r>
        <w:rPr>
          <w:spacing w:val="-8"/>
        </w:rPr>
        <w:t> </w:t>
      </w:r>
      <w:r>
        <w:rPr/>
        <w:t>nos pés e pernas, onde se torna fina e pouco resistente aos traumas e infecções. Pode-se observar também queda dos pelos das pernas e dorso dos pés, além de atrofia muscular.</w:t>
      </w:r>
    </w:p>
    <w:p>
      <w:pPr>
        <w:pStyle w:val="BodyText"/>
        <w:spacing w:line="276" w:lineRule="auto" w:before="49"/>
        <w:ind w:right="500"/>
      </w:pPr>
      <w:r>
        <w:rPr/>
        <w:t>As gangrenas teciduais constituem a fase mais grave das arteriopatias obliterantes crônicas periféricas. Essas lesões aparecem espontaneamente ou são provocadas por traumas ou infecções. As úlceras são do tipo atônico, profundas, circundadas por halo de</w:t>
      </w:r>
      <w:r>
        <w:rPr>
          <w:spacing w:val="-1"/>
        </w:rPr>
        <w:t> </w:t>
      </w:r>
      <w:r>
        <w:rPr/>
        <w:t>pele</w:t>
      </w:r>
      <w:r>
        <w:rPr>
          <w:spacing w:val="-1"/>
        </w:rPr>
        <w:t> </w:t>
      </w:r>
      <w:r>
        <w:rPr/>
        <w:t>isquêmica</w:t>
      </w:r>
      <w:r>
        <w:rPr>
          <w:spacing w:val="-1"/>
        </w:rPr>
        <w:t> </w:t>
      </w:r>
      <w:r>
        <w:rPr/>
        <w:t>e</w:t>
      </w:r>
      <w:r>
        <w:rPr>
          <w:spacing w:val="-1"/>
        </w:rPr>
        <w:t> </w:t>
      </w:r>
      <w:r>
        <w:rPr/>
        <w:t>cobertas por crostas necróticas, muito dolorosas.</w:t>
      </w:r>
    </w:p>
    <w:p>
      <w:pPr>
        <w:pStyle w:val="BodyText"/>
        <w:spacing w:before="185"/>
        <w:ind w:left="0" w:firstLine="0"/>
        <w:jc w:val="left"/>
      </w:pPr>
    </w:p>
    <w:p>
      <w:pPr>
        <w:pStyle w:val="Heading4"/>
        <w:spacing w:before="1"/>
      </w:pPr>
      <w:r>
        <w:rPr>
          <w:color w:val="242B67"/>
          <w:spacing w:val="-2"/>
        </w:rPr>
        <w:t>Diagnóstico</w:t>
      </w:r>
    </w:p>
    <w:p>
      <w:pPr>
        <w:pStyle w:val="BodyText"/>
        <w:spacing w:line="276" w:lineRule="auto" w:before="131"/>
        <w:ind w:right="497"/>
      </w:pPr>
      <w:r>
        <w:rPr/>
        <w:t>Na anamnese, deve-se caracterizar bem o tipo de dor, localização e fatores desencadeantes e de melhora. Pacientes com isquemia crítica (dor em repouso e/ou lesão trófica) muitas vezes referem sintomas clássicos de claudicação intermitente previamente ao agravamento do quadro isquêmico. Deve-se pesquisar também fatores de risco para aterosclerose e outras manifestações de doença aterosclerótica, tais como antecedente de infarto do miocárdio e/ou acidente vascular cerebral (AVC).</w:t>
      </w:r>
    </w:p>
    <w:p>
      <w:pPr>
        <w:pStyle w:val="BodyText"/>
        <w:ind w:left="414" w:firstLine="0"/>
      </w:pPr>
      <w:r>
        <w:rPr/>
        <w:t>A</w:t>
      </w:r>
      <w:r>
        <w:rPr>
          <w:spacing w:val="-16"/>
        </w:rPr>
        <w:t> </w:t>
      </w:r>
      <w:r>
        <w:rPr/>
        <w:t>avaliação</w:t>
      </w:r>
      <w:r>
        <w:rPr>
          <w:spacing w:val="-12"/>
        </w:rPr>
        <w:t> </w:t>
      </w:r>
      <w:r>
        <w:rPr/>
        <w:t>clínica</w:t>
      </w:r>
      <w:r>
        <w:rPr>
          <w:spacing w:val="-14"/>
        </w:rPr>
        <w:t> </w:t>
      </w:r>
      <w:r>
        <w:rPr/>
        <w:t>oferece</w:t>
      </w:r>
      <w:r>
        <w:rPr>
          <w:spacing w:val="-14"/>
        </w:rPr>
        <w:t> </w:t>
      </w:r>
      <w:r>
        <w:rPr/>
        <w:t>dados</w:t>
      </w:r>
      <w:r>
        <w:rPr>
          <w:spacing w:val="-5"/>
        </w:rPr>
        <w:t> </w:t>
      </w:r>
      <w:r>
        <w:rPr/>
        <w:t>que</w:t>
      </w:r>
      <w:r>
        <w:rPr>
          <w:spacing w:val="-13"/>
        </w:rPr>
        <w:t> </w:t>
      </w:r>
      <w:r>
        <w:rPr/>
        <w:t>permitem</w:t>
      </w:r>
      <w:r>
        <w:rPr>
          <w:spacing w:val="-12"/>
        </w:rPr>
        <w:t> </w:t>
      </w:r>
      <w:r>
        <w:rPr/>
        <w:t>um</w:t>
      </w:r>
      <w:r>
        <w:rPr>
          <w:spacing w:val="-12"/>
        </w:rPr>
        <w:t> </w:t>
      </w:r>
      <w:r>
        <w:rPr/>
        <w:t>diagnóstico</w:t>
      </w:r>
      <w:r>
        <w:rPr>
          <w:spacing w:val="-11"/>
        </w:rPr>
        <w:t> </w:t>
      </w:r>
      <w:r>
        <w:rPr/>
        <w:t>sensível</w:t>
      </w:r>
      <w:r>
        <w:rPr>
          <w:spacing w:val="-10"/>
        </w:rPr>
        <w:t> </w:t>
      </w:r>
      <w:r>
        <w:rPr/>
        <w:t>e</w:t>
      </w:r>
      <w:r>
        <w:rPr>
          <w:spacing w:val="-13"/>
        </w:rPr>
        <w:t> </w:t>
      </w:r>
      <w:r>
        <w:rPr>
          <w:spacing w:val="-2"/>
        </w:rPr>
        <w:t>específico.</w:t>
      </w:r>
    </w:p>
    <w:p>
      <w:pPr>
        <w:pStyle w:val="BodyText"/>
        <w:spacing w:line="276" w:lineRule="auto" w:before="104"/>
        <w:ind w:right="501"/>
      </w:pPr>
      <w:r>
        <w:rPr/>
        <w:t>No diagnóstico clínico da insuficiência arterial crônica periférica, ao lado da inspeção estática e dinâmica, sobressaem-se a palpação e a ausculta dos trajetos arteriais.</w:t>
      </w:r>
    </w:p>
    <w:p>
      <w:pPr>
        <w:pStyle w:val="BodyText"/>
        <w:spacing w:line="276" w:lineRule="auto" w:before="48"/>
        <w:ind w:right="488"/>
      </w:pPr>
      <w:r>
        <w:rPr/>
        <w:t>Verificam-se, na maioria dos casos, evidências de DAOP ao exame físico, tais como a diminuição ou ausência dos batimentos arteriais. A ausência de batimentos arteriais geralmente indica oclusão completa do vaso. As presenças de frêmito à palpação e de sopro sistólico à ausculta do trajeto arterial também são indicativas de estenose arterial.</w:t>
      </w:r>
    </w:p>
    <w:p>
      <w:pPr>
        <w:pStyle w:val="BodyText"/>
        <w:spacing w:line="290" w:lineRule="auto"/>
        <w:ind w:right="488"/>
      </w:pPr>
      <w:r>
        <w:rPr/>
        <w:t>Em casos de claudicação intermitente leve, os sinais clínicos podem ser pouco evidentes ou ausentes. A diminuição dos pulsos arteriais pode</w:t>
      </w:r>
      <w:r>
        <w:rPr>
          <w:spacing w:val="-1"/>
        </w:rPr>
        <w:t> </w:t>
      </w:r>
      <w:r>
        <w:rPr/>
        <w:t>tornar-se</w:t>
      </w:r>
      <w:r>
        <w:rPr>
          <w:spacing w:val="-1"/>
        </w:rPr>
        <w:t> </w:t>
      </w:r>
      <w:r>
        <w:rPr/>
        <w:t>evidente</w:t>
      </w:r>
      <w:r>
        <w:rPr>
          <w:spacing w:val="-1"/>
        </w:rPr>
        <w:t> </w:t>
      </w:r>
      <w:r>
        <w:rPr/>
        <w:t>somente</w:t>
      </w:r>
      <w:r>
        <w:rPr>
          <w:spacing w:val="-1"/>
        </w:rPr>
        <w:t> </w:t>
      </w:r>
      <w:r>
        <w:rPr/>
        <w:t>após a</w:t>
      </w:r>
      <w:r>
        <w:rPr>
          <w:spacing w:val="-1"/>
        </w:rPr>
        <w:t> </w:t>
      </w:r>
      <w:r>
        <w:rPr/>
        <w:t>realização de</w:t>
      </w:r>
      <w:r>
        <w:rPr>
          <w:spacing w:val="-1"/>
        </w:rPr>
        <w:t> </w:t>
      </w:r>
      <w:r>
        <w:rPr/>
        <w:t>exercícios físicos.</w:t>
      </w:r>
      <w:r>
        <w:rPr>
          <w:vertAlign w:val="superscript"/>
        </w:rPr>
        <w:t>2</w:t>
      </w:r>
    </w:p>
    <w:p>
      <w:pPr>
        <w:pStyle w:val="BodyText"/>
        <w:spacing w:before="170"/>
        <w:ind w:left="0" w:firstLine="0"/>
        <w:jc w:val="left"/>
      </w:pPr>
    </w:p>
    <w:p>
      <w:pPr>
        <w:pStyle w:val="Heading4"/>
      </w:pPr>
      <w:r>
        <w:rPr>
          <w:color w:val="242B67"/>
        </w:rPr>
        <w:t>Exames </w:t>
      </w:r>
      <w:r>
        <w:rPr>
          <w:color w:val="242B67"/>
          <w:spacing w:val="-2"/>
        </w:rPr>
        <w:t>complementares</w:t>
      </w:r>
    </w:p>
    <w:p>
      <w:pPr>
        <w:pStyle w:val="BodyText"/>
        <w:spacing w:line="276" w:lineRule="auto" w:before="132"/>
        <w:ind w:right="488"/>
      </w:pPr>
      <w:r>
        <w:rPr/>
        <w:t>Embora a avaliação clínica seja bem específica e sensível para o diagnóstico de DAOP, não é suficiente para revelar a</w:t>
      </w:r>
      <w:r>
        <w:rPr>
          <w:spacing w:val="-1"/>
        </w:rPr>
        <w:t> </w:t>
      </w:r>
      <w:r>
        <w:rPr/>
        <w:t>extensão da</w:t>
      </w:r>
      <w:r>
        <w:rPr>
          <w:spacing w:val="-1"/>
        </w:rPr>
        <w:t> </w:t>
      </w:r>
      <w:r>
        <w:rPr/>
        <w:t>lesão oclusiva</w:t>
      </w:r>
      <w:r>
        <w:rPr>
          <w:spacing w:val="-1"/>
        </w:rPr>
        <w:t> </w:t>
      </w:r>
      <w:r>
        <w:rPr/>
        <w:t>(p. ex., lesões multissegmentares) e</w:t>
      </w:r>
      <w:r>
        <w:rPr>
          <w:spacing w:val="-1"/>
        </w:rPr>
        <w:t> </w:t>
      </w:r>
      <w:r>
        <w:rPr/>
        <w:t>o grau de</w:t>
      </w:r>
      <w:r>
        <w:rPr>
          <w:spacing w:val="-1"/>
        </w:rPr>
        <w:t> </w:t>
      </w:r>
      <w:r>
        <w:rPr/>
        <w:t>limitação às atividades físicas.</w:t>
      </w:r>
    </w:p>
    <w:p>
      <w:pPr>
        <w:pStyle w:val="BodyText"/>
        <w:spacing w:line="280" w:lineRule="auto" w:before="64"/>
        <w:ind w:right="500"/>
      </w:pPr>
      <w:r>
        <w:rPr/>
        <w:t>As distâncias de marcha referidas pelos pacientes quase nunca são comparáveis com aquelas obtidas em testes objetivos. Em estudo retrospectivo,</w:t>
      </w:r>
      <w:r>
        <w:rPr>
          <w:vertAlign w:val="superscript"/>
        </w:rPr>
        <w:t>3</w:t>
      </w:r>
      <w:r>
        <w:rPr>
          <w:vertAlign w:val="baseline"/>
        </w:rPr>
        <w:t> em 1998, verificou-se que apenas 11% dos 212 doentes estudados apresentavam</w:t>
      </w:r>
      <w:r>
        <w:rPr>
          <w:spacing w:val="-8"/>
          <w:vertAlign w:val="baseline"/>
        </w:rPr>
        <w:t> </w:t>
      </w:r>
      <w:r>
        <w:rPr>
          <w:vertAlign w:val="baseline"/>
        </w:rPr>
        <w:t>distância</w:t>
      </w:r>
      <w:r>
        <w:rPr>
          <w:spacing w:val="-10"/>
          <w:vertAlign w:val="baseline"/>
        </w:rPr>
        <w:t> </w:t>
      </w:r>
      <w:r>
        <w:rPr>
          <w:vertAlign w:val="baseline"/>
        </w:rPr>
        <w:t>máxima</w:t>
      </w:r>
      <w:r>
        <w:rPr>
          <w:spacing w:val="-10"/>
          <w:vertAlign w:val="baseline"/>
        </w:rPr>
        <w:t> </w:t>
      </w:r>
      <w:r>
        <w:rPr>
          <w:vertAlign w:val="baseline"/>
        </w:rPr>
        <w:t>de</w:t>
      </w:r>
      <w:r>
        <w:rPr>
          <w:spacing w:val="-10"/>
          <w:vertAlign w:val="baseline"/>
        </w:rPr>
        <w:t> </w:t>
      </w:r>
      <w:r>
        <w:rPr>
          <w:vertAlign w:val="baseline"/>
        </w:rPr>
        <w:t>marcha, referida</w:t>
      </w:r>
      <w:r>
        <w:rPr>
          <w:spacing w:val="-10"/>
          <w:vertAlign w:val="baseline"/>
        </w:rPr>
        <w:t> </w:t>
      </w:r>
      <w:r>
        <w:rPr>
          <w:vertAlign w:val="baseline"/>
        </w:rPr>
        <w:t>por</w:t>
      </w:r>
      <w:r>
        <w:rPr>
          <w:spacing w:val="-3"/>
          <w:vertAlign w:val="baseline"/>
        </w:rPr>
        <w:t> </w:t>
      </w:r>
      <w:r>
        <w:rPr>
          <w:vertAlign w:val="baseline"/>
        </w:rPr>
        <w:t>eles mesmos, similar</w:t>
      </w:r>
      <w:r>
        <w:rPr>
          <w:spacing w:val="-3"/>
          <w:vertAlign w:val="baseline"/>
        </w:rPr>
        <w:t> </w:t>
      </w:r>
      <w:r>
        <w:rPr>
          <w:vertAlign w:val="baseline"/>
        </w:rPr>
        <w:t>àquela</w:t>
      </w:r>
      <w:r>
        <w:rPr>
          <w:spacing w:val="-10"/>
          <w:vertAlign w:val="baseline"/>
        </w:rPr>
        <w:t> </w:t>
      </w:r>
      <w:r>
        <w:rPr>
          <w:vertAlign w:val="baseline"/>
        </w:rPr>
        <w:t>obtida</w:t>
      </w:r>
      <w:r>
        <w:rPr>
          <w:spacing w:val="-10"/>
          <w:vertAlign w:val="baseline"/>
        </w:rPr>
        <w:t> </w:t>
      </w:r>
      <w:r>
        <w:rPr>
          <w:vertAlign w:val="baseline"/>
        </w:rPr>
        <w:t>em</w:t>
      </w:r>
      <w:r>
        <w:rPr>
          <w:spacing w:val="-8"/>
          <w:vertAlign w:val="baseline"/>
        </w:rPr>
        <w:t> </w:t>
      </w:r>
      <w:r>
        <w:rPr>
          <w:vertAlign w:val="baseline"/>
        </w:rPr>
        <w:t>teste</w:t>
      </w:r>
      <w:r>
        <w:rPr>
          <w:spacing w:val="-10"/>
          <w:vertAlign w:val="baseline"/>
        </w:rPr>
        <w:t> </w:t>
      </w:r>
      <w:r>
        <w:rPr>
          <w:vertAlign w:val="baseline"/>
        </w:rPr>
        <w:t>de</w:t>
      </w:r>
      <w:r>
        <w:rPr>
          <w:spacing w:val="-10"/>
          <w:vertAlign w:val="baseline"/>
        </w:rPr>
        <w:t> </w:t>
      </w:r>
      <w:r>
        <w:rPr>
          <w:vertAlign w:val="baseline"/>
        </w:rPr>
        <w:t>esforço</w:t>
      </w:r>
      <w:r>
        <w:rPr>
          <w:spacing w:val="-8"/>
          <w:vertAlign w:val="baseline"/>
        </w:rPr>
        <w:t> </w:t>
      </w:r>
      <w:r>
        <w:rPr>
          <w:vertAlign w:val="baseline"/>
        </w:rPr>
        <w:t>com carga progressiva.</w:t>
      </w:r>
    </w:p>
    <w:p>
      <w:pPr>
        <w:pStyle w:val="BodyText"/>
        <w:spacing w:line="276" w:lineRule="auto" w:before="44"/>
        <w:ind w:right="491"/>
      </w:pPr>
      <w:r>
        <w:rPr/>
        <w:t>Os</w:t>
      </w:r>
      <w:r>
        <w:rPr>
          <w:spacing w:val="-3"/>
        </w:rPr>
        <w:t> </w:t>
      </w:r>
      <w:r>
        <w:rPr/>
        <w:t>exames</w:t>
      </w:r>
      <w:r>
        <w:rPr>
          <w:spacing w:val="-3"/>
        </w:rPr>
        <w:t> </w:t>
      </w:r>
      <w:r>
        <w:rPr/>
        <w:t>complementares</w:t>
      </w:r>
      <w:r>
        <w:rPr>
          <w:spacing w:val="-3"/>
        </w:rPr>
        <w:t> </w:t>
      </w:r>
      <w:r>
        <w:rPr/>
        <w:t>visam</w:t>
      </w:r>
      <w:r>
        <w:rPr>
          <w:spacing w:val="-11"/>
        </w:rPr>
        <w:t> </w:t>
      </w:r>
      <w:r>
        <w:rPr/>
        <w:t>oferecer</w:t>
      </w:r>
      <w:r>
        <w:rPr>
          <w:spacing w:val="-6"/>
        </w:rPr>
        <w:t> </w:t>
      </w:r>
      <w:r>
        <w:rPr/>
        <w:t>tais</w:t>
      </w:r>
      <w:r>
        <w:rPr>
          <w:spacing w:val="-3"/>
        </w:rPr>
        <w:t> </w:t>
      </w:r>
      <w:r>
        <w:rPr/>
        <w:t>dados,</w:t>
      </w:r>
      <w:r>
        <w:rPr>
          <w:spacing w:val="-3"/>
        </w:rPr>
        <w:t> </w:t>
      </w:r>
      <w:r>
        <w:rPr/>
        <w:t>além</w:t>
      </w:r>
      <w:r>
        <w:rPr>
          <w:spacing w:val="-11"/>
        </w:rPr>
        <w:t> </w:t>
      </w:r>
      <w:r>
        <w:rPr/>
        <w:t>de</w:t>
      </w:r>
      <w:r>
        <w:rPr>
          <w:spacing w:val="-13"/>
        </w:rPr>
        <w:t> </w:t>
      </w:r>
      <w:r>
        <w:rPr/>
        <w:t>dirimir</w:t>
      </w:r>
      <w:r>
        <w:rPr>
          <w:spacing w:val="-6"/>
        </w:rPr>
        <w:t> </w:t>
      </w:r>
      <w:r>
        <w:rPr/>
        <w:t>dúvidas</w:t>
      </w:r>
      <w:r>
        <w:rPr>
          <w:spacing w:val="-3"/>
        </w:rPr>
        <w:t> </w:t>
      </w:r>
      <w:r>
        <w:rPr/>
        <w:t>diagnósticas.</w:t>
      </w:r>
      <w:r>
        <w:rPr>
          <w:spacing w:val="-3"/>
        </w:rPr>
        <w:t> </w:t>
      </w:r>
      <w:r>
        <w:rPr/>
        <w:t>Atualmente,</w:t>
      </w:r>
      <w:r>
        <w:rPr>
          <w:spacing w:val="-3"/>
        </w:rPr>
        <w:t> </w:t>
      </w:r>
      <w:r>
        <w:rPr/>
        <w:t>com</w:t>
      </w:r>
      <w:r>
        <w:rPr>
          <w:spacing w:val="-11"/>
        </w:rPr>
        <w:t> </w:t>
      </w:r>
      <w:r>
        <w:rPr/>
        <w:t>o grande desenvolvimento tecnológico, a maioria deles não oferece risco à saúde dos doentes por serem pouco invasivos, além de fornecer dados que permitem melhor avaliação da doença e de sua evolução durante o </w:t>
      </w:r>
      <w:r>
        <w:rPr>
          <w:spacing w:val="-2"/>
        </w:rPr>
        <w:t>tratamento.</w:t>
      </w:r>
    </w:p>
    <w:p>
      <w:pPr>
        <w:pStyle w:val="BodyText"/>
        <w:spacing w:before="133"/>
        <w:ind w:left="0" w:firstLine="0"/>
        <w:jc w:val="left"/>
      </w:pPr>
    </w:p>
    <w:p>
      <w:pPr>
        <w:pStyle w:val="Heading5"/>
      </w:pPr>
      <w:r>
        <w:rPr>
          <w:color w:val="A26108"/>
        </w:rPr>
        <w:t>Mensuração</w:t>
      </w:r>
      <w:r>
        <w:rPr>
          <w:color w:val="A26108"/>
          <w:spacing w:val="31"/>
        </w:rPr>
        <w:t> </w:t>
      </w:r>
      <w:r>
        <w:rPr>
          <w:color w:val="A26108"/>
        </w:rPr>
        <w:t>de</w:t>
      </w:r>
      <w:r>
        <w:rPr>
          <w:color w:val="A26108"/>
          <w:spacing w:val="32"/>
        </w:rPr>
        <w:t> </w:t>
      </w:r>
      <w:r>
        <w:rPr>
          <w:color w:val="A26108"/>
        </w:rPr>
        <w:t>índice</w:t>
      </w:r>
      <w:r>
        <w:rPr>
          <w:color w:val="A26108"/>
          <w:spacing w:val="32"/>
        </w:rPr>
        <w:t> </w:t>
      </w:r>
      <w:r>
        <w:rPr>
          <w:color w:val="A26108"/>
        </w:rPr>
        <w:t>pressórico</w:t>
      </w:r>
      <w:r>
        <w:rPr>
          <w:color w:val="A26108"/>
          <w:spacing w:val="32"/>
        </w:rPr>
        <w:t> </w:t>
      </w:r>
      <w:r>
        <w:rPr>
          <w:color w:val="A26108"/>
        </w:rPr>
        <w:t>tornozelo-</w:t>
      </w:r>
      <w:r>
        <w:rPr>
          <w:color w:val="A26108"/>
          <w:spacing w:val="-2"/>
        </w:rPr>
        <w:t>braço</w:t>
      </w:r>
    </w:p>
    <w:p>
      <w:pPr>
        <w:pStyle w:val="BodyText"/>
        <w:spacing w:line="280" w:lineRule="auto" w:before="139"/>
        <w:ind w:right="497"/>
      </w:pPr>
      <w:r>
        <w:rPr/>
        <w:t>Trata-se</w:t>
      </w:r>
      <w:r>
        <w:rPr>
          <w:spacing w:val="-8"/>
        </w:rPr>
        <w:t> </w:t>
      </w:r>
      <w:r>
        <w:rPr/>
        <w:t>de</w:t>
      </w:r>
      <w:r>
        <w:rPr>
          <w:spacing w:val="-8"/>
        </w:rPr>
        <w:t> </w:t>
      </w:r>
      <w:r>
        <w:rPr/>
        <w:t>um</w:t>
      </w:r>
      <w:r>
        <w:rPr>
          <w:spacing w:val="-5"/>
        </w:rPr>
        <w:t> </w:t>
      </w:r>
      <w:r>
        <w:rPr/>
        <w:t>método</w:t>
      </w:r>
      <w:r>
        <w:rPr>
          <w:spacing w:val="-5"/>
        </w:rPr>
        <w:t> </w:t>
      </w:r>
      <w:r>
        <w:rPr/>
        <w:t>objetivo, simples, de</w:t>
      </w:r>
      <w:r>
        <w:rPr>
          <w:spacing w:val="-8"/>
        </w:rPr>
        <w:t> </w:t>
      </w:r>
      <w:r>
        <w:rPr/>
        <w:t>baixo</w:t>
      </w:r>
      <w:r>
        <w:rPr>
          <w:spacing w:val="-5"/>
        </w:rPr>
        <w:t> </w:t>
      </w:r>
      <w:r>
        <w:rPr/>
        <w:t>custo</w:t>
      </w:r>
      <w:r>
        <w:rPr>
          <w:spacing w:val="-5"/>
        </w:rPr>
        <w:t> </w:t>
      </w:r>
      <w:r>
        <w:rPr/>
        <w:t>e</w:t>
      </w:r>
      <w:r>
        <w:rPr>
          <w:spacing w:val="-8"/>
        </w:rPr>
        <w:t> </w:t>
      </w:r>
      <w:r>
        <w:rPr/>
        <w:t>não</w:t>
      </w:r>
      <w:r>
        <w:rPr>
          <w:spacing w:val="-5"/>
        </w:rPr>
        <w:t> </w:t>
      </w:r>
      <w:r>
        <w:rPr/>
        <w:t>invasivo, válido</w:t>
      </w:r>
      <w:r>
        <w:rPr>
          <w:spacing w:val="-5"/>
        </w:rPr>
        <w:t> </w:t>
      </w:r>
      <w:r>
        <w:rPr/>
        <w:t>para</w:t>
      </w:r>
      <w:r>
        <w:rPr>
          <w:spacing w:val="-8"/>
        </w:rPr>
        <w:t> </w:t>
      </w:r>
      <w:r>
        <w:rPr/>
        <w:t>o</w:t>
      </w:r>
      <w:r>
        <w:rPr>
          <w:spacing w:val="-5"/>
        </w:rPr>
        <w:t> </w:t>
      </w:r>
      <w:r>
        <w:rPr/>
        <w:t>diagnóstico</w:t>
      </w:r>
      <w:r>
        <w:rPr>
          <w:spacing w:val="-5"/>
        </w:rPr>
        <w:t> </w:t>
      </w:r>
      <w:r>
        <w:rPr/>
        <w:t>dos pacientes assintomáticos e para o seguimento dos pacientes claudicantes, além de proporcionar dados úteis para predizer a chance de cicatrização de lesões, risco de perda do membro e de prognóstico de sobrevida.</w:t>
      </w:r>
      <w:r>
        <w:rPr>
          <w:vertAlign w:val="superscript"/>
        </w:rPr>
        <w:t>4</w:t>
      </w:r>
      <w:r>
        <w:rPr>
          <w:vertAlign w:val="baseline"/>
        </w:rPr>
        <w:t> Para se obter tal medida, utiliza-se um detector ultrassônico de fluxo e um manguito de pressão.</w:t>
      </w:r>
    </w:p>
    <w:p>
      <w:pPr>
        <w:pStyle w:val="BodyText"/>
        <w:spacing w:line="280" w:lineRule="auto" w:before="59"/>
        <w:ind w:right="488"/>
      </w:pPr>
      <w:r>
        <w:rPr/>
        <w:t>O índice pressórico tornozelo-braço (ITB) consiste na medida da pressão sistólica nas artérias da perna e sua comparação com a medida no membro superior (tendo como premissa que este último não apresenta obstrução arterial), aferida com o detector ultrassônico de fluxo. A calcificação intensa da parede arterial pode prejudicar a acurácia do teste, visto que esses vasos tornam-se menos compressíveis, produzindo valores irreais de medidas de pressão. Índices inferiores a</w:t>
      </w:r>
      <w:r>
        <w:rPr>
          <w:spacing w:val="-1"/>
        </w:rPr>
        <w:t> </w:t>
      </w:r>
      <w:r>
        <w:rPr/>
        <w:t>0,90 são indicativos de</w:t>
      </w:r>
      <w:r>
        <w:rPr>
          <w:spacing w:val="-1"/>
        </w:rPr>
        <w:t> </w:t>
      </w:r>
      <w:r>
        <w:rPr/>
        <w:t>DAOP.</w:t>
      </w:r>
      <w:r>
        <w:rPr>
          <w:vertAlign w:val="superscript"/>
        </w:rPr>
        <w:t>5</w:t>
      </w:r>
      <w:r>
        <w:rPr>
          <w:vertAlign w:val="baseline"/>
        </w:rPr>
        <w:t> Baseando-se</w:t>
      </w:r>
      <w:r>
        <w:rPr>
          <w:spacing w:val="-1"/>
          <w:vertAlign w:val="baseline"/>
        </w:rPr>
        <w:t> </w:t>
      </w:r>
      <w:r>
        <w:rPr>
          <w:vertAlign w:val="baseline"/>
        </w:rPr>
        <w:t>em fatores prognósticos, o ITB pode</w:t>
      </w:r>
      <w:r>
        <w:rPr>
          <w:spacing w:val="-1"/>
          <w:vertAlign w:val="baseline"/>
        </w:rPr>
        <w:t> </w:t>
      </w:r>
      <w:r>
        <w:rPr>
          <w:vertAlign w:val="baseline"/>
        </w:rPr>
        <w:t>ser</w:t>
      </w:r>
    </w:p>
    <w:p>
      <w:pPr>
        <w:pStyle w:val="BodyText"/>
        <w:spacing w:after="0" w:line="280" w:lineRule="auto"/>
        <w:sectPr>
          <w:pgSz w:w="11900" w:h="16840"/>
          <w:pgMar w:top="200" w:bottom="280" w:left="566" w:right="141"/>
        </w:sectPr>
      </w:pPr>
    </w:p>
    <w:p>
      <w:pPr>
        <w:pStyle w:val="BodyText"/>
        <w:spacing w:line="273" w:lineRule="auto" w:before="78"/>
        <w:ind w:right="497" w:firstLine="0"/>
      </w:pPr>
      <w:r>
        <w:rPr/>
        <w:t>indicativo</w:t>
      </w:r>
      <w:r>
        <w:rPr>
          <w:spacing w:val="-5"/>
        </w:rPr>
        <w:t> </w:t>
      </w:r>
      <w:r>
        <w:rPr/>
        <w:t>de</w:t>
      </w:r>
      <w:r>
        <w:rPr>
          <w:spacing w:val="-8"/>
        </w:rPr>
        <w:t> </w:t>
      </w:r>
      <w:r>
        <w:rPr/>
        <w:t>doença</w:t>
      </w:r>
      <w:r>
        <w:rPr>
          <w:spacing w:val="-8"/>
        </w:rPr>
        <w:t> </w:t>
      </w:r>
      <w:r>
        <w:rPr/>
        <w:t>moderada</w:t>
      </w:r>
      <w:r>
        <w:rPr>
          <w:spacing w:val="-8"/>
        </w:rPr>
        <w:t> </w:t>
      </w:r>
      <w:r>
        <w:rPr/>
        <w:t>quando</w:t>
      </w:r>
      <w:r>
        <w:rPr>
          <w:spacing w:val="-5"/>
        </w:rPr>
        <w:t> </w:t>
      </w:r>
      <w:r>
        <w:rPr/>
        <w:t>seu</w:t>
      </w:r>
      <w:r>
        <w:rPr>
          <w:spacing w:val="-5"/>
        </w:rPr>
        <w:t> </w:t>
      </w:r>
      <w:r>
        <w:rPr/>
        <w:t>valor estiver entre</w:t>
      </w:r>
      <w:r>
        <w:rPr>
          <w:spacing w:val="-8"/>
        </w:rPr>
        <w:t> </w:t>
      </w:r>
      <w:r>
        <w:rPr/>
        <w:t>0,41</w:t>
      </w:r>
      <w:r>
        <w:rPr>
          <w:spacing w:val="-5"/>
        </w:rPr>
        <w:t> </w:t>
      </w:r>
      <w:r>
        <w:rPr/>
        <w:t>e</w:t>
      </w:r>
      <w:r>
        <w:rPr>
          <w:spacing w:val="-8"/>
        </w:rPr>
        <w:t> </w:t>
      </w:r>
      <w:r>
        <w:rPr/>
        <w:t>0,90, ou</w:t>
      </w:r>
      <w:r>
        <w:rPr>
          <w:spacing w:val="-5"/>
        </w:rPr>
        <w:t> </w:t>
      </w:r>
      <w:r>
        <w:rPr/>
        <w:t>grave</w:t>
      </w:r>
      <w:r>
        <w:rPr>
          <w:spacing w:val="-8"/>
        </w:rPr>
        <w:t> </w:t>
      </w:r>
      <w:r>
        <w:rPr/>
        <w:t>se</w:t>
      </w:r>
      <w:r>
        <w:rPr>
          <w:spacing w:val="-8"/>
        </w:rPr>
        <w:t> </w:t>
      </w:r>
      <w:r>
        <w:rPr/>
        <w:t>igual</w:t>
      </w:r>
      <w:r>
        <w:rPr>
          <w:spacing w:val="-2"/>
        </w:rPr>
        <w:t> </w:t>
      </w:r>
      <w:r>
        <w:rPr/>
        <w:t>ou</w:t>
      </w:r>
      <w:r>
        <w:rPr>
          <w:spacing w:val="-5"/>
        </w:rPr>
        <w:t> </w:t>
      </w:r>
      <w:r>
        <w:rPr/>
        <w:t>abaixo</w:t>
      </w:r>
      <w:r>
        <w:rPr>
          <w:spacing w:val="-5"/>
        </w:rPr>
        <w:t> </w:t>
      </w:r>
      <w:r>
        <w:rPr/>
        <w:t>de</w:t>
      </w:r>
      <w:r>
        <w:rPr>
          <w:spacing w:val="-8"/>
        </w:rPr>
        <w:t> </w:t>
      </w:r>
      <w:r>
        <w:rPr/>
        <w:t>0,40. Esse conceito deve-se ao fato de que pacientes com índice no primeiro intervalo têm menor risco de evoluir com lesões tróficas isquêmicas ou</w:t>
      </w:r>
      <w:r>
        <w:rPr>
          <w:spacing w:val="-6"/>
        </w:rPr>
        <w:t> </w:t>
      </w:r>
      <w:r>
        <w:rPr/>
        <w:t>dor</w:t>
      </w:r>
      <w:r>
        <w:rPr>
          <w:spacing w:val="-1"/>
        </w:rPr>
        <w:t> </w:t>
      </w:r>
      <w:r>
        <w:rPr/>
        <w:t>de</w:t>
      </w:r>
      <w:r>
        <w:rPr>
          <w:spacing w:val="-9"/>
        </w:rPr>
        <w:t> </w:t>
      </w:r>
      <w:r>
        <w:rPr/>
        <w:t>repouso, quando</w:t>
      </w:r>
      <w:r>
        <w:rPr>
          <w:spacing w:val="-6"/>
        </w:rPr>
        <w:t> </w:t>
      </w:r>
      <w:r>
        <w:rPr/>
        <w:t>comparados aos do</w:t>
      </w:r>
      <w:r>
        <w:rPr>
          <w:spacing w:val="-6"/>
        </w:rPr>
        <w:t> </w:t>
      </w:r>
      <w:r>
        <w:rPr/>
        <w:t>último</w:t>
      </w:r>
      <w:r>
        <w:rPr>
          <w:spacing w:val="-6"/>
        </w:rPr>
        <w:t> </w:t>
      </w:r>
      <w:r>
        <w:rPr/>
        <w:t>grupo. Com</w:t>
      </w:r>
      <w:r>
        <w:rPr>
          <w:spacing w:val="-6"/>
        </w:rPr>
        <w:t> </w:t>
      </w:r>
      <w:r>
        <w:rPr/>
        <w:t>relação</w:t>
      </w:r>
      <w:r>
        <w:rPr>
          <w:spacing w:val="-6"/>
        </w:rPr>
        <w:t> </w:t>
      </w:r>
      <w:r>
        <w:rPr/>
        <w:t>à</w:t>
      </w:r>
      <w:r>
        <w:rPr>
          <w:spacing w:val="-9"/>
        </w:rPr>
        <w:t> </w:t>
      </w:r>
      <w:r>
        <w:rPr/>
        <w:t>sobrevida, diversos estudos demonstraram relação inversa entre o valor do ITB e a mortalidade em um período de 5 anos.</w:t>
      </w:r>
    </w:p>
    <w:p>
      <w:pPr>
        <w:pStyle w:val="BodyText"/>
        <w:spacing w:line="276" w:lineRule="auto" w:before="68"/>
        <w:ind w:right="488"/>
      </w:pPr>
      <w:r>
        <w:rPr/>
        <w:t>Apenas com esse procedimento é possível dirimir a maioria das dúvidas, em casos de claudicação intermitente cujo diagnóstico não tenha sido possível somente com o exame clínico. Entretanto, em pequeno percentual dos doentes a dúvida persiste, sendo necessária a realização de outras provas diagnósticas.</w:t>
      </w:r>
    </w:p>
    <w:p>
      <w:pPr>
        <w:pStyle w:val="BodyText"/>
        <w:spacing w:before="134"/>
        <w:ind w:left="0" w:firstLine="0"/>
        <w:jc w:val="left"/>
      </w:pPr>
    </w:p>
    <w:p>
      <w:pPr>
        <w:pStyle w:val="Heading5"/>
      </w:pPr>
      <w:r>
        <w:rPr>
          <w:color w:val="A26108"/>
        </w:rPr>
        <w:t>Índice</w:t>
      </w:r>
      <w:r>
        <w:rPr>
          <w:color w:val="A26108"/>
          <w:spacing w:val="22"/>
        </w:rPr>
        <w:t> </w:t>
      </w:r>
      <w:r>
        <w:rPr>
          <w:color w:val="A26108"/>
        </w:rPr>
        <w:t>pressórico</w:t>
      </w:r>
      <w:r>
        <w:rPr>
          <w:color w:val="A26108"/>
          <w:spacing w:val="23"/>
        </w:rPr>
        <w:t> </w:t>
      </w:r>
      <w:r>
        <w:rPr>
          <w:color w:val="A26108"/>
        </w:rPr>
        <w:t>tornozelo-braço</w:t>
      </w:r>
      <w:r>
        <w:rPr>
          <w:color w:val="A26108"/>
          <w:spacing w:val="22"/>
        </w:rPr>
        <w:t> </w:t>
      </w:r>
      <w:r>
        <w:rPr>
          <w:color w:val="A26108"/>
        </w:rPr>
        <w:t>em</w:t>
      </w:r>
      <w:r>
        <w:rPr>
          <w:color w:val="A26108"/>
          <w:spacing w:val="23"/>
        </w:rPr>
        <w:t> </w:t>
      </w:r>
      <w:r>
        <w:rPr>
          <w:color w:val="A26108"/>
        </w:rPr>
        <w:t>teste</w:t>
      </w:r>
      <w:r>
        <w:rPr>
          <w:color w:val="A26108"/>
          <w:spacing w:val="22"/>
        </w:rPr>
        <w:t> </w:t>
      </w:r>
      <w:r>
        <w:rPr>
          <w:color w:val="A26108"/>
        </w:rPr>
        <w:t>de</w:t>
      </w:r>
      <w:r>
        <w:rPr>
          <w:color w:val="A26108"/>
          <w:spacing w:val="23"/>
        </w:rPr>
        <w:t> </w:t>
      </w:r>
      <w:r>
        <w:rPr>
          <w:color w:val="A26108"/>
          <w:spacing w:val="-2"/>
        </w:rPr>
        <w:t>esforço</w:t>
      </w:r>
    </w:p>
    <w:p>
      <w:pPr>
        <w:pStyle w:val="BodyText"/>
        <w:spacing w:line="276" w:lineRule="auto" w:before="122"/>
        <w:ind w:right="488"/>
      </w:pPr>
      <w:r>
        <w:rPr/>
        <w:t>Com</w:t>
      </w:r>
      <w:r>
        <w:rPr>
          <w:spacing w:val="-3"/>
        </w:rPr>
        <w:t> </w:t>
      </w:r>
      <w:r>
        <w:rPr/>
        <w:t>o</w:t>
      </w:r>
      <w:r>
        <w:rPr>
          <w:spacing w:val="-3"/>
        </w:rPr>
        <w:t> </w:t>
      </w:r>
      <w:r>
        <w:rPr/>
        <w:t>auxílio</w:t>
      </w:r>
      <w:r>
        <w:rPr>
          <w:spacing w:val="-3"/>
        </w:rPr>
        <w:t> </w:t>
      </w:r>
      <w:r>
        <w:rPr/>
        <w:t>do</w:t>
      </w:r>
      <w:r>
        <w:rPr>
          <w:spacing w:val="-3"/>
        </w:rPr>
        <w:t> </w:t>
      </w:r>
      <w:r>
        <w:rPr/>
        <w:t>detector ultrassônico</w:t>
      </w:r>
      <w:r>
        <w:rPr>
          <w:spacing w:val="-3"/>
        </w:rPr>
        <w:t> </w:t>
      </w:r>
      <w:r>
        <w:rPr/>
        <w:t>de</w:t>
      </w:r>
      <w:r>
        <w:rPr>
          <w:spacing w:val="-6"/>
        </w:rPr>
        <w:t> </w:t>
      </w:r>
      <w:r>
        <w:rPr/>
        <w:t>fluxo, realizamos a</w:t>
      </w:r>
      <w:r>
        <w:rPr>
          <w:spacing w:val="-6"/>
        </w:rPr>
        <w:t> </w:t>
      </w:r>
      <w:r>
        <w:rPr/>
        <w:t>medida</w:t>
      </w:r>
      <w:r>
        <w:rPr>
          <w:spacing w:val="-6"/>
        </w:rPr>
        <w:t> </w:t>
      </w:r>
      <w:r>
        <w:rPr/>
        <w:t>do</w:t>
      </w:r>
      <w:r>
        <w:rPr>
          <w:spacing w:val="-3"/>
        </w:rPr>
        <w:t> </w:t>
      </w:r>
      <w:r>
        <w:rPr/>
        <w:t>ITB após esforço</w:t>
      </w:r>
      <w:r>
        <w:rPr>
          <w:spacing w:val="-3"/>
        </w:rPr>
        <w:t> </w:t>
      </w:r>
      <w:r>
        <w:rPr/>
        <w:t>físico</w:t>
      </w:r>
      <w:r>
        <w:rPr>
          <w:spacing w:val="-3"/>
        </w:rPr>
        <w:t> </w:t>
      </w:r>
      <w:r>
        <w:rPr/>
        <w:t>de</w:t>
      </w:r>
      <w:r>
        <w:rPr>
          <w:spacing w:val="-6"/>
        </w:rPr>
        <w:t> </w:t>
      </w:r>
      <w:r>
        <w:rPr/>
        <w:t>intensidade controlada. O exercício físico provoca vasodilatação muscular, causando aumento proporcional de fluxo para os membros inferiores. Quando existe estenose arterial, a perda de energia leva à diminuição da pressão sistólica nos segmentos arteriais distais à lesão. A queda do ITB após esforço físico de intensidade controlada, quando comparado aos valores anteriores ao exercício, é</w:t>
      </w:r>
      <w:r>
        <w:rPr>
          <w:spacing w:val="-2"/>
        </w:rPr>
        <w:t> </w:t>
      </w:r>
      <w:r>
        <w:rPr/>
        <w:t>indicativa</w:t>
      </w:r>
      <w:r>
        <w:rPr>
          <w:spacing w:val="-2"/>
        </w:rPr>
        <w:t> </w:t>
      </w:r>
      <w:r>
        <w:rPr/>
        <w:t>de</w:t>
      </w:r>
      <w:r>
        <w:rPr>
          <w:spacing w:val="-2"/>
        </w:rPr>
        <w:t> </w:t>
      </w:r>
      <w:r>
        <w:rPr/>
        <w:t>lesão arterial obstrutiva.</w:t>
      </w:r>
    </w:p>
    <w:p>
      <w:pPr>
        <w:pStyle w:val="BodyText"/>
        <w:spacing w:before="134"/>
        <w:ind w:left="0" w:firstLine="0"/>
        <w:jc w:val="left"/>
      </w:pPr>
    </w:p>
    <w:p>
      <w:pPr>
        <w:pStyle w:val="Heading5"/>
      </w:pPr>
      <w:r>
        <w:rPr>
          <w:color w:val="A26108"/>
        </w:rPr>
        <w:t>Ecografia</w:t>
      </w:r>
      <w:r>
        <w:rPr>
          <w:color w:val="A26108"/>
          <w:spacing w:val="29"/>
        </w:rPr>
        <w:t> </w:t>
      </w:r>
      <w:r>
        <w:rPr>
          <w:color w:val="A26108"/>
          <w:spacing w:val="-2"/>
        </w:rPr>
        <w:t>Doppler</w:t>
      </w:r>
    </w:p>
    <w:p>
      <w:pPr>
        <w:pStyle w:val="BodyText"/>
        <w:spacing w:line="276" w:lineRule="auto" w:before="138"/>
        <w:ind w:right="497"/>
      </w:pPr>
      <w:r>
        <w:rPr/>
        <w:t>O exame combina o ultrassom modo B em tempo real com o Doppler pulsado, permitindo analisar características morfológicas da parede arterial, do lúmen e das estruturas adjacentes ao vaso, além de revelar o padrão de fluxo sanguíneo. Com esses dados, podemos diferenciar as lesões arteriais segmentares das mais </w:t>
      </w:r>
      <w:r>
        <w:rPr>
          <w:spacing w:val="-2"/>
        </w:rPr>
        <w:t>extensas.</w:t>
      </w:r>
    </w:p>
    <w:p>
      <w:pPr>
        <w:pStyle w:val="BodyText"/>
        <w:spacing w:line="276" w:lineRule="auto"/>
        <w:ind w:right="488"/>
      </w:pPr>
      <w:r>
        <w:rPr/>
        <w:t>Na avaliação de rotina dos portadores de cardiomiopatia isquêmica, lesões arteriais podem ser identificadas e quantificadas, sendo possível estudar sua</w:t>
      </w:r>
      <w:r>
        <w:rPr>
          <w:spacing w:val="-2"/>
        </w:rPr>
        <w:t> </w:t>
      </w:r>
      <w:r>
        <w:rPr/>
        <w:t>evolução durante</w:t>
      </w:r>
      <w:r>
        <w:rPr>
          <w:spacing w:val="-2"/>
        </w:rPr>
        <w:t> </w:t>
      </w:r>
      <w:r>
        <w:rPr/>
        <w:t>o acompanhamento clínico.</w:t>
      </w:r>
    </w:p>
    <w:p>
      <w:pPr>
        <w:pStyle w:val="BodyText"/>
        <w:spacing w:line="276" w:lineRule="auto" w:before="48"/>
        <w:ind w:right="488"/>
      </w:pPr>
      <w:r>
        <w:rPr/>
        <w:t>Embora se trate de um exame útil, a alteração evolutiva dos seus resultados não implica necessariamente modificações dos sintomas. Há</w:t>
      </w:r>
      <w:r>
        <w:rPr>
          <w:spacing w:val="-2"/>
        </w:rPr>
        <w:t> </w:t>
      </w:r>
      <w:r>
        <w:rPr/>
        <w:t>indivíduos que</w:t>
      </w:r>
      <w:r>
        <w:rPr>
          <w:spacing w:val="-2"/>
        </w:rPr>
        <w:t> </w:t>
      </w:r>
      <w:r>
        <w:rPr/>
        <w:t>apresentam estenoses arteriais cada</w:t>
      </w:r>
      <w:r>
        <w:rPr>
          <w:spacing w:val="-2"/>
        </w:rPr>
        <w:t> </w:t>
      </w:r>
      <w:r>
        <w:rPr/>
        <w:t>vez</w:t>
      </w:r>
      <w:r>
        <w:rPr>
          <w:spacing w:val="-2"/>
        </w:rPr>
        <w:t> </w:t>
      </w:r>
      <w:r>
        <w:rPr/>
        <w:t>maiores, mas, apesar disso, andam distâncias cada vez maiores, enquanto outros, apesar da estabilidade da lesão, mostram diminuição nas distâncias de marcha.</w:t>
      </w:r>
    </w:p>
    <w:p>
      <w:pPr>
        <w:pStyle w:val="BodyText"/>
        <w:spacing w:line="280" w:lineRule="auto"/>
        <w:ind w:right="488"/>
      </w:pPr>
      <w:r>
        <w:rPr/>
        <w:t>O ultrassom duplex fornece imagens coloridas do fluxo sanguíneo, produzindo informações não somente da localização anatômica das lesões arteriais, mas também do grau da obstrução. Sua sensibilidade chega a 88% e a especificidade é de 95%.</w:t>
      </w:r>
      <w:r>
        <w:rPr>
          <w:vertAlign w:val="superscript"/>
        </w:rPr>
        <w:t>6</w:t>
      </w:r>
      <w:r>
        <w:rPr>
          <w:vertAlign w:val="baseline"/>
        </w:rPr>
        <w:t> Tem a vantagem de ser um método não invasivo capaz de analisar estruturas adjacentes, enquanto sua desvantagem está no fato de ser operador-dependente, ter maior dificuldade em avaliar lesões multissegmentares e menor sensibilidade que os outros métodos.</w:t>
      </w:r>
    </w:p>
    <w:p>
      <w:pPr>
        <w:pStyle w:val="BodyText"/>
        <w:spacing w:before="123"/>
        <w:ind w:left="0" w:firstLine="0"/>
        <w:jc w:val="left"/>
      </w:pPr>
    </w:p>
    <w:p>
      <w:pPr>
        <w:pStyle w:val="Heading5"/>
        <w:spacing w:before="1"/>
      </w:pPr>
      <w:r>
        <w:rPr>
          <w:color w:val="A26108"/>
        </w:rPr>
        <w:t>Angiografia</w:t>
      </w:r>
      <w:r>
        <w:rPr>
          <w:color w:val="A26108"/>
          <w:spacing w:val="26"/>
        </w:rPr>
        <w:t> </w:t>
      </w:r>
      <w:r>
        <w:rPr>
          <w:color w:val="A26108"/>
        </w:rPr>
        <w:t>por</w:t>
      </w:r>
      <w:r>
        <w:rPr>
          <w:color w:val="A26108"/>
          <w:spacing w:val="27"/>
        </w:rPr>
        <w:t> </w:t>
      </w:r>
      <w:r>
        <w:rPr>
          <w:color w:val="A26108"/>
        </w:rPr>
        <w:t>ressonância</w:t>
      </w:r>
      <w:r>
        <w:rPr>
          <w:color w:val="A26108"/>
          <w:spacing w:val="27"/>
        </w:rPr>
        <w:t> </w:t>
      </w:r>
      <w:r>
        <w:rPr>
          <w:color w:val="A26108"/>
        </w:rPr>
        <w:t>nuclear</w:t>
      </w:r>
      <w:r>
        <w:rPr>
          <w:color w:val="A26108"/>
          <w:spacing w:val="27"/>
        </w:rPr>
        <w:t> </w:t>
      </w:r>
      <w:r>
        <w:rPr>
          <w:color w:val="A26108"/>
          <w:spacing w:val="-2"/>
        </w:rPr>
        <w:t>magnética</w:t>
      </w:r>
    </w:p>
    <w:p>
      <w:pPr>
        <w:pStyle w:val="BodyText"/>
        <w:spacing w:line="278" w:lineRule="auto" w:before="122"/>
        <w:ind w:right="497"/>
      </w:pPr>
      <w:r>
        <w:rPr/>
        <w:t>A</w:t>
      </w:r>
      <w:r>
        <w:rPr>
          <w:spacing w:val="-10"/>
        </w:rPr>
        <w:t> </w:t>
      </w:r>
      <w:r>
        <w:rPr/>
        <w:t>angiografia</w:t>
      </w:r>
      <w:r>
        <w:rPr>
          <w:spacing w:val="-10"/>
        </w:rPr>
        <w:t> </w:t>
      </w:r>
      <w:r>
        <w:rPr/>
        <w:t>por</w:t>
      </w:r>
      <w:r>
        <w:rPr>
          <w:spacing w:val="-3"/>
        </w:rPr>
        <w:t> </w:t>
      </w:r>
      <w:r>
        <w:rPr/>
        <w:t>ressonância</w:t>
      </w:r>
      <w:r>
        <w:rPr>
          <w:spacing w:val="-10"/>
        </w:rPr>
        <w:t> </w:t>
      </w:r>
      <w:r>
        <w:rPr/>
        <w:t>magnética</w:t>
      </w:r>
      <w:r>
        <w:rPr>
          <w:spacing w:val="-10"/>
        </w:rPr>
        <w:t> </w:t>
      </w:r>
      <w:r>
        <w:rPr/>
        <w:t>(ARM)</w:t>
      </w:r>
      <w:r>
        <w:rPr>
          <w:spacing w:val="-3"/>
        </w:rPr>
        <w:t> </w:t>
      </w:r>
      <w:r>
        <w:rPr/>
        <w:t>começou</w:t>
      </w:r>
      <w:r>
        <w:rPr>
          <w:spacing w:val="-7"/>
        </w:rPr>
        <w:t> </w:t>
      </w:r>
      <w:r>
        <w:rPr/>
        <w:t>a</w:t>
      </w:r>
      <w:r>
        <w:rPr>
          <w:spacing w:val="-10"/>
        </w:rPr>
        <w:t> </w:t>
      </w:r>
      <w:r>
        <w:rPr/>
        <w:t>ser</w:t>
      </w:r>
      <w:r>
        <w:rPr>
          <w:spacing w:val="-3"/>
        </w:rPr>
        <w:t> </w:t>
      </w:r>
      <w:r>
        <w:rPr/>
        <w:t>desenvolvida</w:t>
      </w:r>
      <w:r>
        <w:rPr>
          <w:spacing w:val="-10"/>
        </w:rPr>
        <w:t> </w:t>
      </w:r>
      <w:r>
        <w:rPr/>
        <w:t>no</w:t>
      </w:r>
      <w:r>
        <w:rPr>
          <w:spacing w:val="-7"/>
        </w:rPr>
        <w:t> </w:t>
      </w:r>
      <w:r>
        <w:rPr/>
        <w:t>final</w:t>
      </w:r>
      <w:r>
        <w:rPr>
          <w:spacing w:val="-5"/>
        </w:rPr>
        <w:t> </w:t>
      </w:r>
      <w:r>
        <w:rPr/>
        <w:t>da</w:t>
      </w:r>
      <w:r>
        <w:rPr>
          <w:spacing w:val="-10"/>
        </w:rPr>
        <w:t> </w:t>
      </w:r>
      <w:r>
        <w:rPr/>
        <w:t>década</w:t>
      </w:r>
      <w:r>
        <w:rPr>
          <w:spacing w:val="-10"/>
        </w:rPr>
        <w:t> </w:t>
      </w:r>
      <w:r>
        <w:rPr/>
        <w:t>de</w:t>
      </w:r>
      <w:r>
        <w:rPr>
          <w:spacing w:val="-10"/>
        </w:rPr>
        <w:t> </w:t>
      </w:r>
      <w:r>
        <w:rPr/>
        <w:t>1980. Trata-se</w:t>
      </w:r>
      <w:r>
        <w:rPr>
          <w:spacing w:val="-3"/>
        </w:rPr>
        <w:t> </w:t>
      </w:r>
      <w:r>
        <w:rPr/>
        <w:t>de</w:t>
      </w:r>
      <w:r>
        <w:rPr>
          <w:spacing w:val="-3"/>
        </w:rPr>
        <w:t> </w:t>
      </w:r>
      <w:r>
        <w:rPr/>
        <w:t>exame</w:t>
      </w:r>
      <w:r>
        <w:rPr>
          <w:spacing w:val="-3"/>
        </w:rPr>
        <w:t> </w:t>
      </w:r>
      <w:r>
        <w:rPr/>
        <w:t>pouco</w:t>
      </w:r>
      <w:r>
        <w:rPr>
          <w:spacing w:val="-1"/>
        </w:rPr>
        <w:t> </w:t>
      </w:r>
      <w:r>
        <w:rPr/>
        <w:t>invasivo, cuja</w:t>
      </w:r>
      <w:r>
        <w:rPr>
          <w:spacing w:val="-3"/>
        </w:rPr>
        <w:t> </w:t>
      </w:r>
      <w:r>
        <w:rPr/>
        <w:t>acurácia</w:t>
      </w:r>
      <w:r>
        <w:rPr>
          <w:spacing w:val="-3"/>
        </w:rPr>
        <w:t> </w:t>
      </w:r>
      <w:r>
        <w:rPr/>
        <w:t>aumentou</w:t>
      </w:r>
      <w:r>
        <w:rPr>
          <w:spacing w:val="-1"/>
        </w:rPr>
        <w:t> </w:t>
      </w:r>
      <w:r>
        <w:rPr/>
        <w:t>após a</w:t>
      </w:r>
      <w:r>
        <w:rPr>
          <w:spacing w:val="-3"/>
        </w:rPr>
        <w:t> </w:t>
      </w:r>
      <w:r>
        <w:rPr/>
        <w:t>utilização</w:t>
      </w:r>
      <w:r>
        <w:rPr>
          <w:spacing w:val="-1"/>
        </w:rPr>
        <w:t> </w:t>
      </w:r>
      <w:r>
        <w:rPr/>
        <w:t>do</w:t>
      </w:r>
      <w:r>
        <w:rPr>
          <w:spacing w:val="-1"/>
        </w:rPr>
        <w:t> </w:t>
      </w:r>
      <w:r>
        <w:rPr/>
        <w:t>gadolínio</w:t>
      </w:r>
      <w:r>
        <w:rPr>
          <w:spacing w:val="-1"/>
        </w:rPr>
        <w:t> </w:t>
      </w:r>
      <w:r>
        <w:rPr/>
        <w:t>como</w:t>
      </w:r>
      <w:r>
        <w:rPr>
          <w:spacing w:val="-1"/>
        </w:rPr>
        <w:t> </w:t>
      </w:r>
      <w:r>
        <w:rPr/>
        <w:t>contraste</w:t>
      </w:r>
      <w:r>
        <w:rPr>
          <w:spacing w:val="-3"/>
        </w:rPr>
        <w:t> </w:t>
      </w:r>
      <w:r>
        <w:rPr/>
        <w:t>paramagnético. Deve-se ter cuidado com a sua tendência a superestimar o grau da lesão. Tem sensibilidade e especificidade de cerca de 98 e 96%, respectivamente, para o diagnóstico de lesões que ultrapassam os 50%. Também é útil para avaliação de estruturas adjacentes, porém não pode ser realizado em pacientes portadores de clipes metálicos cerebrais e marca-passos cardíacos, além de o uso do gadolínio representar risco de fibrose sistêmica nefrogênica em pacientes com insuficiência renal. Wolosker </w:t>
      </w:r>
      <w:r>
        <w:rPr>
          <w:i/>
        </w:rPr>
        <w:t>et al</w:t>
      </w:r>
      <w:r>
        <w:rPr/>
        <w:t>., estudando 30 pacientes portadores de cardiomiopatia isquêmica,</w:t>
      </w:r>
      <w:r>
        <w:rPr>
          <w:spacing w:val="-5"/>
        </w:rPr>
        <w:t> </w:t>
      </w:r>
      <w:r>
        <w:rPr/>
        <w:t>compararam</w:t>
      </w:r>
      <w:r>
        <w:rPr>
          <w:spacing w:val="-12"/>
        </w:rPr>
        <w:t> </w:t>
      </w:r>
      <w:r>
        <w:rPr/>
        <w:t>a</w:t>
      </w:r>
      <w:r>
        <w:rPr>
          <w:spacing w:val="-14"/>
        </w:rPr>
        <w:t> </w:t>
      </w:r>
      <w:r>
        <w:rPr/>
        <w:t>ARM</w:t>
      </w:r>
      <w:r>
        <w:rPr>
          <w:spacing w:val="-7"/>
        </w:rPr>
        <w:t> </w:t>
      </w:r>
      <w:r>
        <w:rPr/>
        <w:t>com</w:t>
      </w:r>
      <w:r>
        <w:rPr>
          <w:spacing w:val="-12"/>
        </w:rPr>
        <w:t> </w:t>
      </w:r>
      <w:r>
        <w:rPr/>
        <w:t>arteriografia</w:t>
      </w:r>
      <w:r>
        <w:rPr>
          <w:spacing w:val="-14"/>
        </w:rPr>
        <w:t> </w:t>
      </w:r>
      <w:r>
        <w:rPr/>
        <w:t>no</w:t>
      </w:r>
      <w:r>
        <w:rPr>
          <w:spacing w:val="-12"/>
        </w:rPr>
        <w:t> </w:t>
      </w:r>
      <w:r>
        <w:rPr/>
        <w:t>segmento</w:t>
      </w:r>
      <w:r>
        <w:rPr>
          <w:spacing w:val="-12"/>
        </w:rPr>
        <w:t> </w:t>
      </w:r>
      <w:r>
        <w:rPr/>
        <w:t>aortoilíaco.</w:t>
      </w:r>
      <w:r>
        <w:rPr>
          <w:spacing w:val="-5"/>
        </w:rPr>
        <w:t> </w:t>
      </w:r>
      <w:r>
        <w:rPr/>
        <w:t>Observaram</w:t>
      </w:r>
      <w:r>
        <w:rPr>
          <w:spacing w:val="-12"/>
        </w:rPr>
        <w:t> </w:t>
      </w:r>
      <w:r>
        <w:rPr/>
        <w:t>concordância</w:t>
      </w:r>
      <w:r>
        <w:rPr>
          <w:spacing w:val="-14"/>
        </w:rPr>
        <w:t> </w:t>
      </w:r>
      <w:r>
        <w:rPr/>
        <w:t>absoluta</w:t>
      </w:r>
      <w:r>
        <w:rPr>
          <w:spacing w:val="-14"/>
        </w:rPr>
        <w:t> </w:t>
      </w:r>
      <w:r>
        <w:rPr/>
        <w:t>entre os resultados obtidos em ambos os exames. A qualidade das imagens obtidas foi comparável às da arteriografia.</w:t>
      </w:r>
      <w:r>
        <w:rPr>
          <w:vertAlign w:val="superscript"/>
        </w:rPr>
        <w:t>7</w:t>
      </w:r>
      <w:r>
        <w:rPr>
          <w:vertAlign w:val="baseline"/>
        </w:rPr>
        <w:t> Assim, é possível em algumas circunstâncias programar procedimentos cirúrgicos apenas com base em seus resultados (</w:t>
      </w:r>
      <w:r>
        <w:rPr>
          <w:color w:val="505050"/>
          <w:vertAlign w:val="baseline"/>
        </w:rPr>
        <w:t>Figura 59.12</w:t>
      </w:r>
      <w:r>
        <w:rPr>
          <w:vertAlign w:val="baseline"/>
        </w:rPr>
        <w:t>).</w:t>
      </w:r>
      <w:r>
        <w:rPr>
          <w:vertAlign w:val="superscript"/>
        </w:rPr>
        <w:t>8</w:t>
      </w:r>
    </w:p>
    <w:p>
      <w:pPr>
        <w:pStyle w:val="BodyText"/>
        <w:spacing w:before="137"/>
        <w:ind w:left="0" w:firstLine="0"/>
        <w:jc w:val="left"/>
      </w:pPr>
    </w:p>
    <w:p>
      <w:pPr>
        <w:pStyle w:val="Heading5"/>
        <w:spacing w:before="1"/>
      </w:pPr>
      <w:r>
        <w:rPr>
          <w:color w:val="A26108"/>
        </w:rPr>
        <w:t>Angiografia</w:t>
      </w:r>
      <w:r>
        <w:rPr>
          <w:color w:val="A26108"/>
          <w:spacing w:val="26"/>
        </w:rPr>
        <w:t> </w:t>
      </w:r>
      <w:r>
        <w:rPr>
          <w:color w:val="A26108"/>
        </w:rPr>
        <w:t>por</w:t>
      </w:r>
      <w:r>
        <w:rPr>
          <w:color w:val="A26108"/>
          <w:spacing w:val="27"/>
        </w:rPr>
        <w:t> </w:t>
      </w:r>
      <w:r>
        <w:rPr>
          <w:color w:val="A26108"/>
        </w:rPr>
        <w:t>tomografia</w:t>
      </w:r>
      <w:r>
        <w:rPr>
          <w:color w:val="A26108"/>
          <w:spacing w:val="27"/>
        </w:rPr>
        <w:t> </w:t>
      </w:r>
      <w:r>
        <w:rPr>
          <w:color w:val="A26108"/>
          <w:spacing w:val="-2"/>
        </w:rPr>
        <w:t>computadorizada</w:t>
      </w:r>
    </w:p>
    <w:p>
      <w:pPr>
        <w:pStyle w:val="BodyText"/>
        <w:spacing w:line="290" w:lineRule="auto" w:before="138"/>
        <w:ind w:right="491"/>
      </w:pPr>
      <w:r>
        <w:rPr/>
        <w:t>É exame mais recente, cuja sensibilidade para detectar lesões acima de 50% fica entre 89 e 100%, com especificidade</w:t>
      </w:r>
      <w:r>
        <w:rPr>
          <w:spacing w:val="35"/>
        </w:rPr>
        <w:t> </w:t>
      </w:r>
      <w:r>
        <w:rPr/>
        <w:t>entre</w:t>
      </w:r>
      <w:r>
        <w:rPr>
          <w:spacing w:val="35"/>
        </w:rPr>
        <w:t> </w:t>
      </w:r>
      <w:r>
        <w:rPr/>
        <w:t>92</w:t>
      </w:r>
      <w:r>
        <w:rPr>
          <w:spacing w:val="37"/>
        </w:rPr>
        <w:t> </w:t>
      </w:r>
      <w:r>
        <w:rPr/>
        <w:t>e</w:t>
      </w:r>
      <w:r>
        <w:rPr>
          <w:spacing w:val="35"/>
        </w:rPr>
        <w:t> </w:t>
      </w:r>
      <w:r>
        <w:rPr/>
        <w:t>100%.</w:t>
      </w:r>
      <w:r>
        <w:rPr>
          <w:vertAlign w:val="superscript"/>
        </w:rPr>
        <w:t>6</w:t>
      </w:r>
      <w:r>
        <w:rPr>
          <w:spacing w:val="40"/>
          <w:vertAlign w:val="baseline"/>
        </w:rPr>
        <w:t> </w:t>
      </w:r>
      <w:r>
        <w:rPr>
          <w:vertAlign w:val="baseline"/>
        </w:rPr>
        <w:t>Revela</w:t>
      </w:r>
      <w:r>
        <w:rPr>
          <w:spacing w:val="39"/>
          <w:vertAlign w:val="baseline"/>
        </w:rPr>
        <w:t> </w:t>
      </w:r>
      <w:r>
        <w:rPr>
          <w:vertAlign w:val="baseline"/>
        </w:rPr>
        <w:t>imagens</w:t>
      </w:r>
      <w:r>
        <w:rPr>
          <w:spacing w:val="40"/>
          <w:vertAlign w:val="baseline"/>
        </w:rPr>
        <w:t> </w:t>
      </w:r>
      <w:r>
        <w:rPr>
          <w:vertAlign w:val="baseline"/>
        </w:rPr>
        <w:t>das</w:t>
      </w:r>
      <w:r>
        <w:rPr>
          <w:spacing w:val="40"/>
          <w:vertAlign w:val="baseline"/>
        </w:rPr>
        <w:t> </w:t>
      </w:r>
      <w:r>
        <w:rPr>
          <w:vertAlign w:val="baseline"/>
        </w:rPr>
        <w:t>estruturas</w:t>
      </w:r>
      <w:r>
        <w:rPr>
          <w:spacing w:val="40"/>
          <w:vertAlign w:val="baseline"/>
        </w:rPr>
        <w:t> </w:t>
      </w:r>
      <w:r>
        <w:rPr>
          <w:vertAlign w:val="baseline"/>
        </w:rPr>
        <w:t>adjacentes</w:t>
      </w:r>
      <w:r>
        <w:rPr>
          <w:spacing w:val="40"/>
          <w:vertAlign w:val="baseline"/>
        </w:rPr>
        <w:t> </w:t>
      </w:r>
      <w:r>
        <w:rPr>
          <w:vertAlign w:val="baseline"/>
        </w:rPr>
        <w:t>e</w:t>
      </w:r>
      <w:r>
        <w:rPr>
          <w:spacing w:val="39"/>
          <w:vertAlign w:val="baseline"/>
        </w:rPr>
        <w:t> </w:t>
      </w:r>
      <w:r>
        <w:rPr>
          <w:vertAlign w:val="baseline"/>
        </w:rPr>
        <w:t>dados</w:t>
      </w:r>
      <w:r>
        <w:rPr>
          <w:spacing w:val="40"/>
          <w:vertAlign w:val="baseline"/>
        </w:rPr>
        <w:t> </w:t>
      </w:r>
      <w:r>
        <w:rPr>
          <w:vertAlign w:val="baseline"/>
        </w:rPr>
        <w:t>anatômicos</w:t>
      </w:r>
      <w:r>
        <w:rPr>
          <w:spacing w:val="40"/>
          <w:vertAlign w:val="baseline"/>
        </w:rPr>
        <w:t> </w:t>
      </w:r>
      <w:r>
        <w:rPr>
          <w:vertAlign w:val="baseline"/>
        </w:rPr>
        <w:t>em</w:t>
      </w:r>
      <w:r>
        <w:rPr>
          <w:spacing w:val="40"/>
          <w:vertAlign w:val="baseline"/>
        </w:rPr>
        <w:t> </w:t>
      </w:r>
      <w:r>
        <w:rPr>
          <w:vertAlign w:val="baseline"/>
        </w:rPr>
        <w:t>relação</w:t>
      </w:r>
      <w:r>
        <w:rPr>
          <w:spacing w:val="40"/>
          <w:vertAlign w:val="baseline"/>
        </w:rPr>
        <w:t> </w:t>
      </w:r>
      <w:r>
        <w:rPr>
          <w:vertAlign w:val="baseline"/>
        </w:rPr>
        <w:t>à</w:t>
      </w:r>
    </w:p>
    <w:p>
      <w:pPr>
        <w:pStyle w:val="BodyText"/>
        <w:spacing w:after="0" w:line="290" w:lineRule="auto"/>
        <w:sectPr>
          <w:pgSz w:w="11900" w:h="16840"/>
          <w:pgMar w:top="200" w:bottom="280" w:left="566" w:right="141"/>
        </w:sectPr>
      </w:pPr>
    </w:p>
    <w:p>
      <w:pPr>
        <w:pStyle w:val="BodyText"/>
        <w:spacing w:line="278" w:lineRule="auto" w:before="67"/>
        <w:ind w:right="498" w:firstLine="0"/>
      </w:pPr>
      <w:r>
        <w:rPr/>
        <w:t>localização</w:t>
      </w:r>
      <w:r>
        <w:rPr>
          <w:spacing w:val="-3"/>
        </w:rPr>
        <w:t> </w:t>
      </w:r>
      <w:r>
        <w:rPr/>
        <w:t>e</w:t>
      </w:r>
      <w:r>
        <w:rPr>
          <w:spacing w:val="-5"/>
        </w:rPr>
        <w:t> </w:t>
      </w:r>
      <w:r>
        <w:rPr/>
        <w:t>ao</w:t>
      </w:r>
      <w:r>
        <w:rPr>
          <w:spacing w:val="-3"/>
        </w:rPr>
        <w:t> </w:t>
      </w:r>
      <w:r>
        <w:rPr/>
        <w:t>grau</w:t>
      </w:r>
      <w:r>
        <w:rPr>
          <w:spacing w:val="-3"/>
        </w:rPr>
        <w:t> </w:t>
      </w:r>
      <w:r>
        <w:rPr/>
        <w:t>de</w:t>
      </w:r>
      <w:r>
        <w:rPr>
          <w:spacing w:val="-5"/>
        </w:rPr>
        <w:t> </w:t>
      </w:r>
      <w:r>
        <w:rPr/>
        <w:t>estenose</w:t>
      </w:r>
      <w:r>
        <w:rPr>
          <w:spacing w:val="-5"/>
        </w:rPr>
        <w:t> </w:t>
      </w:r>
      <w:r>
        <w:rPr/>
        <w:t>arterial. A</w:t>
      </w:r>
      <w:r>
        <w:rPr>
          <w:spacing w:val="-5"/>
        </w:rPr>
        <w:t> </w:t>
      </w:r>
      <w:r>
        <w:rPr/>
        <w:t>imagem</w:t>
      </w:r>
      <w:r>
        <w:rPr>
          <w:spacing w:val="-3"/>
        </w:rPr>
        <w:t> </w:t>
      </w:r>
      <w:r>
        <w:rPr/>
        <w:t>angiográfica</w:t>
      </w:r>
      <w:r>
        <w:rPr>
          <w:spacing w:val="-5"/>
        </w:rPr>
        <w:t> </w:t>
      </w:r>
      <w:r>
        <w:rPr/>
        <w:t>é</w:t>
      </w:r>
      <w:r>
        <w:rPr>
          <w:spacing w:val="-5"/>
        </w:rPr>
        <w:t> </w:t>
      </w:r>
      <w:r>
        <w:rPr/>
        <w:t>construída</w:t>
      </w:r>
      <w:r>
        <w:rPr>
          <w:spacing w:val="-5"/>
        </w:rPr>
        <w:t> </w:t>
      </w:r>
      <w:r>
        <w:rPr/>
        <w:t>a</w:t>
      </w:r>
      <w:r>
        <w:rPr>
          <w:spacing w:val="-5"/>
        </w:rPr>
        <w:t> </w:t>
      </w:r>
      <w:r>
        <w:rPr/>
        <w:t>partir de</w:t>
      </w:r>
      <w:r>
        <w:rPr>
          <w:spacing w:val="-5"/>
        </w:rPr>
        <w:t> </w:t>
      </w:r>
      <w:r>
        <w:rPr/>
        <w:t>cortes transversais e</w:t>
      </w:r>
      <w:r>
        <w:rPr>
          <w:spacing w:val="-5"/>
        </w:rPr>
        <w:t> </w:t>
      </w:r>
      <w:r>
        <w:rPr/>
        <w:t>pode ser manipulada</w:t>
      </w:r>
      <w:r>
        <w:rPr>
          <w:spacing w:val="-2"/>
        </w:rPr>
        <w:t> </w:t>
      </w:r>
      <w:r>
        <w:rPr/>
        <w:t>por rotações em três dimensões. Tem a</w:t>
      </w:r>
      <w:r>
        <w:rPr>
          <w:spacing w:val="-2"/>
        </w:rPr>
        <w:t> </w:t>
      </w:r>
      <w:r>
        <w:rPr/>
        <w:t>desvantagem de</w:t>
      </w:r>
      <w:r>
        <w:rPr>
          <w:spacing w:val="-2"/>
        </w:rPr>
        <w:t> </w:t>
      </w:r>
      <w:r>
        <w:rPr/>
        <w:t>necessitar injeção intravenosa</w:t>
      </w:r>
      <w:r>
        <w:rPr>
          <w:spacing w:val="-2"/>
        </w:rPr>
        <w:t> </w:t>
      </w:r>
      <w:r>
        <w:rPr/>
        <w:t>de</w:t>
      </w:r>
      <w:r>
        <w:rPr>
          <w:spacing w:val="-2"/>
        </w:rPr>
        <w:t> </w:t>
      </w:r>
      <w:r>
        <w:rPr/>
        <w:t>contraste iodado, com</w:t>
      </w:r>
      <w:r>
        <w:rPr>
          <w:spacing w:val="-3"/>
        </w:rPr>
        <w:t> </w:t>
      </w:r>
      <w:r>
        <w:rPr/>
        <w:t>potencial risco</w:t>
      </w:r>
      <w:r>
        <w:rPr>
          <w:spacing w:val="-3"/>
        </w:rPr>
        <w:t> </w:t>
      </w:r>
      <w:r>
        <w:rPr/>
        <w:t>de</w:t>
      </w:r>
      <w:r>
        <w:rPr>
          <w:spacing w:val="-5"/>
        </w:rPr>
        <w:t> </w:t>
      </w:r>
      <w:r>
        <w:rPr/>
        <w:t>reações alérgicas e</w:t>
      </w:r>
      <w:r>
        <w:rPr>
          <w:spacing w:val="-5"/>
        </w:rPr>
        <w:t> </w:t>
      </w:r>
      <w:r>
        <w:rPr/>
        <w:t>nefrotoxicidade, além</w:t>
      </w:r>
      <w:r>
        <w:rPr>
          <w:spacing w:val="-3"/>
        </w:rPr>
        <w:t> </w:t>
      </w:r>
      <w:r>
        <w:rPr/>
        <w:t>da</w:t>
      </w:r>
      <w:r>
        <w:rPr>
          <w:spacing w:val="-5"/>
        </w:rPr>
        <w:t> </w:t>
      </w:r>
      <w:r>
        <w:rPr/>
        <w:t>exposição</w:t>
      </w:r>
      <w:r>
        <w:rPr>
          <w:spacing w:val="-3"/>
        </w:rPr>
        <w:t> </w:t>
      </w:r>
      <w:r>
        <w:rPr/>
        <w:t>à</w:t>
      </w:r>
      <w:r>
        <w:rPr>
          <w:spacing w:val="-5"/>
        </w:rPr>
        <w:t> </w:t>
      </w:r>
      <w:r>
        <w:rPr/>
        <w:t>radiação.</w:t>
      </w:r>
    </w:p>
    <w:p>
      <w:pPr>
        <w:pStyle w:val="BodyText"/>
        <w:spacing w:before="23"/>
        <w:ind w:left="0" w:firstLine="0"/>
        <w:jc w:val="left"/>
        <w:rPr>
          <w:sz w:val="20"/>
        </w:rPr>
      </w:pPr>
      <w:r>
        <w:rPr>
          <w:sz w:val="20"/>
        </w:rPr>
        <w:drawing>
          <wp:anchor distT="0" distB="0" distL="0" distR="0" allowOverlap="1" layoutInCell="1" locked="0" behindDoc="1" simplePos="0" relativeHeight="487620608">
            <wp:simplePos x="0" y="0"/>
            <wp:positionH relativeFrom="page">
              <wp:posOffset>1428800</wp:posOffset>
            </wp:positionH>
            <wp:positionV relativeFrom="paragraph">
              <wp:posOffset>176439</wp:posOffset>
            </wp:positionV>
            <wp:extent cx="4708578" cy="3016757"/>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6" cstate="print"/>
                    <a:stretch>
                      <a:fillRect/>
                    </a:stretch>
                  </pic:blipFill>
                  <pic:spPr>
                    <a:xfrm>
                      <a:off x="0" y="0"/>
                      <a:ext cx="4708578" cy="3016757"/>
                    </a:xfrm>
                    <a:prstGeom prst="rect">
                      <a:avLst/>
                    </a:prstGeom>
                  </pic:spPr>
                </pic:pic>
              </a:graphicData>
            </a:graphic>
          </wp:anchor>
        </w:drawing>
      </w:r>
    </w:p>
    <w:p>
      <w:pPr>
        <w:pStyle w:val="BodyText"/>
        <w:spacing w:before="8"/>
        <w:ind w:left="0" w:firstLine="0"/>
        <w:jc w:val="left"/>
      </w:pPr>
    </w:p>
    <w:p>
      <w:pPr>
        <w:spacing w:line="283" w:lineRule="auto" w:before="0"/>
        <w:ind w:left="68" w:right="508" w:firstLine="0"/>
        <w:jc w:val="both"/>
        <w:rPr>
          <w:rFonts w:ascii="Microsoft Sans Serif" w:hAnsi="Microsoft Sans Serif"/>
          <w:sz w:val="19"/>
        </w:rPr>
      </w:pPr>
      <w:r>
        <w:rPr>
          <w:rFonts w:ascii="Arial" w:hAnsi="Arial"/>
          <w:b/>
          <w:color w:val="242B67"/>
          <w:sz w:val="19"/>
        </w:rPr>
        <w:t>Figura</w:t>
      </w:r>
      <w:r>
        <w:rPr>
          <w:rFonts w:ascii="Arial" w:hAnsi="Arial"/>
          <w:b/>
          <w:color w:val="242B67"/>
          <w:spacing w:val="18"/>
          <w:sz w:val="19"/>
        </w:rPr>
        <w:t> </w:t>
      </w:r>
      <w:r>
        <w:rPr>
          <w:rFonts w:ascii="Arial" w:hAnsi="Arial"/>
          <w:b/>
          <w:color w:val="242B67"/>
          <w:sz w:val="19"/>
        </w:rPr>
        <w:t>59.12</w:t>
      </w:r>
      <w:r>
        <w:rPr>
          <w:rFonts w:ascii="Arial" w:hAnsi="Arial"/>
          <w:b/>
          <w:color w:val="242B67"/>
          <w:spacing w:val="18"/>
          <w:sz w:val="19"/>
        </w:rPr>
        <w:t> </w:t>
      </w:r>
      <w:r>
        <w:rPr>
          <w:rFonts w:ascii="Arial" w:hAnsi="Arial"/>
          <w:b/>
          <w:sz w:val="19"/>
        </w:rPr>
        <w:t>A.</w:t>
      </w:r>
      <w:r>
        <w:rPr>
          <w:rFonts w:ascii="Arial" w:hAnsi="Arial"/>
          <w:b/>
          <w:spacing w:val="25"/>
          <w:sz w:val="19"/>
        </w:rPr>
        <w:t> </w:t>
      </w:r>
      <w:r>
        <w:rPr>
          <w:rFonts w:ascii="Microsoft Sans Serif" w:hAnsi="Microsoft Sans Serif"/>
          <w:sz w:val="19"/>
        </w:rPr>
        <w:t>Arteriografia</w:t>
      </w:r>
      <w:r>
        <w:rPr>
          <w:rFonts w:ascii="Microsoft Sans Serif" w:hAnsi="Microsoft Sans Serif"/>
          <w:spacing w:val="40"/>
          <w:sz w:val="19"/>
        </w:rPr>
        <w:t> </w:t>
      </w:r>
      <w:r>
        <w:rPr>
          <w:rFonts w:ascii="Microsoft Sans Serif" w:hAnsi="Microsoft Sans Serif"/>
          <w:sz w:val="19"/>
        </w:rPr>
        <w:t>digital</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segmento</w:t>
      </w:r>
      <w:r>
        <w:rPr>
          <w:rFonts w:ascii="Microsoft Sans Serif" w:hAnsi="Microsoft Sans Serif"/>
          <w:spacing w:val="40"/>
          <w:sz w:val="19"/>
        </w:rPr>
        <w:t> </w:t>
      </w:r>
      <w:r>
        <w:rPr>
          <w:rFonts w:ascii="Microsoft Sans Serif" w:hAnsi="Microsoft Sans Serif"/>
          <w:sz w:val="19"/>
        </w:rPr>
        <w:t>aortoilíaco</w:t>
      </w:r>
      <w:r>
        <w:rPr>
          <w:rFonts w:ascii="Microsoft Sans Serif" w:hAnsi="Microsoft Sans Serif"/>
          <w:spacing w:val="40"/>
          <w:sz w:val="19"/>
        </w:rPr>
        <w:t> </w:t>
      </w:r>
      <w:r>
        <w:rPr>
          <w:rFonts w:ascii="Microsoft Sans Serif" w:hAnsi="Microsoft Sans Serif"/>
          <w:sz w:val="19"/>
        </w:rPr>
        <w:t>evidenciando</w:t>
      </w:r>
      <w:r>
        <w:rPr>
          <w:rFonts w:ascii="Microsoft Sans Serif" w:hAnsi="Microsoft Sans Serif"/>
          <w:spacing w:val="40"/>
          <w:sz w:val="19"/>
        </w:rPr>
        <w:t> </w:t>
      </w:r>
      <w:r>
        <w:rPr>
          <w:rFonts w:ascii="Microsoft Sans Serif" w:hAnsi="Microsoft Sans Serif"/>
          <w:sz w:val="19"/>
        </w:rPr>
        <w:t>irregularidades</w:t>
      </w:r>
      <w:r>
        <w:rPr>
          <w:rFonts w:ascii="Microsoft Sans Serif" w:hAnsi="Microsoft Sans Serif"/>
          <w:spacing w:val="35"/>
          <w:sz w:val="19"/>
        </w:rPr>
        <w:t> </w:t>
      </w:r>
      <w:r>
        <w:rPr>
          <w:rFonts w:ascii="Microsoft Sans Serif" w:hAnsi="Microsoft Sans Serif"/>
          <w:sz w:val="19"/>
        </w:rPr>
        <w:t>na</w:t>
      </w:r>
      <w:r>
        <w:rPr>
          <w:rFonts w:ascii="Microsoft Sans Serif" w:hAnsi="Microsoft Sans Serif"/>
          <w:spacing w:val="40"/>
          <w:sz w:val="19"/>
        </w:rPr>
        <w:t> </w:t>
      </w:r>
      <w:r>
        <w:rPr>
          <w:rFonts w:ascii="Microsoft Sans Serif" w:hAnsi="Microsoft Sans Serif"/>
          <w:sz w:val="19"/>
        </w:rPr>
        <w:t>parede</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29"/>
          <w:sz w:val="19"/>
        </w:rPr>
        <w:t> </w:t>
      </w:r>
      <w:r>
        <w:rPr>
          <w:rFonts w:ascii="Microsoft Sans Serif" w:hAnsi="Microsoft Sans Serif"/>
          <w:sz w:val="19"/>
        </w:rPr>
        <w:t>estenose na origem da artéria ilíaca comum direita e estenose de artéria ilíaca interna esquerda. </w:t>
      </w:r>
      <w:r>
        <w:rPr>
          <w:rFonts w:ascii="Arial" w:hAnsi="Arial"/>
          <w:b/>
          <w:sz w:val="19"/>
        </w:rPr>
        <w:t>B. </w:t>
      </w:r>
      <w:r>
        <w:rPr>
          <w:rFonts w:ascii="Microsoft Sans Serif" w:hAnsi="Microsoft Sans Serif"/>
          <w:sz w:val="19"/>
        </w:rPr>
        <w:t>Angiorressonância magnética (ARM)</w:t>
      </w:r>
      <w:r>
        <w:rPr>
          <w:rFonts w:ascii="Microsoft Sans Serif" w:hAnsi="Microsoft Sans Serif"/>
          <w:spacing w:val="35"/>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mesmo</w:t>
      </w:r>
      <w:r>
        <w:rPr>
          <w:rFonts w:ascii="Microsoft Sans Serif" w:hAnsi="Microsoft Sans Serif"/>
          <w:spacing w:val="40"/>
          <w:sz w:val="19"/>
        </w:rPr>
        <w:t> </w:t>
      </w:r>
      <w:r>
        <w:rPr>
          <w:rFonts w:ascii="Microsoft Sans Serif" w:hAnsi="Microsoft Sans Serif"/>
          <w:sz w:val="19"/>
        </w:rPr>
        <w:t>segmento</w:t>
      </w:r>
      <w:r>
        <w:rPr>
          <w:rFonts w:ascii="Microsoft Sans Serif" w:hAnsi="Microsoft Sans Serif"/>
          <w:spacing w:val="40"/>
          <w:sz w:val="19"/>
        </w:rPr>
        <w:t> </w:t>
      </w:r>
      <w:r>
        <w:rPr>
          <w:rFonts w:ascii="Microsoft Sans Serif" w:hAnsi="Microsoft Sans Serif"/>
          <w:sz w:val="19"/>
        </w:rPr>
        <w:t>arterial</w:t>
      </w:r>
      <w:r>
        <w:rPr>
          <w:rFonts w:ascii="Microsoft Sans Serif" w:hAnsi="Microsoft Sans Serif"/>
          <w:spacing w:val="40"/>
          <w:sz w:val="19"/>
        </w:rPr>
        <w:t> </w:t>
      </w:r>
      <w:r>
        <w:rPr>
          <w:rFonts w:ascii="Microsoft Sans Serif" w:hAnsi="Microsoft Sans Serif"/>
          <w:sz w:val="19"/>
        </w:rPr>
        <w:t>no</w:t>
      </w:r>
      <w:r>
        <w:rPr>
          <w:rFonts w:ascii="Microsoft Sans Serif" w:hAnsi="Microsoft Sans Serif"/>
          <w:spacing w:val="40"/>
          <w:sz w:val="19"/>
        </w:rPr>
        <w:t> </w:t>
      </w:r>
      <w:r>
        <w:rPr>
          <w:rFonts w:ascii="Microsoft Sans Serif" w:hAnsi="Microsoft Sans Serif"/>
          <w:sz w:val="19"/>
        </w:rPr>
        <w:t>mesmo</w:t>
      </w:r>
      <w:r>
        <w:rPr>
          <w:rFonts w:ascii="Microsoft Sans Serif" w:hAnsi="Microsoft Sans Serif"/>
          <w:spacing w:val="40"/>
          <w:sz w:val="19"/>
        </w:rPr>
        <w:t> </w:t>
      </w:r>
      <w:r>
        <w:rPr>
          <w:rFonts w:ascii="Microsoft Sans Serif" w:hAnsi="Microsoft Sans Serif"/>
          <w:sz w:val="19"/>
        </w:rPr>
        <w:t>paciente, evidenciando</w:t>
      </w:r>
      <w:r>
        <w:rPr>
          <w:rFonts w:ascii="Microsoft Sans Serif" w:hAnsi="Microsoft Sans Serif"/>
          <w:spacing w:val="40"/>
          <w:sz w:val="19"/>
        </w:rPr>
        <w:t> </w:t>
      </w:r>
      <w:r>
        <w:rPr>
          <w:rFonts w:ascii="Microsoft Sans Serif" w:hAnsi="Microsoft Sans Serif"/>
          <w:sz w:val="19"/>
        </w:rPr>
        <w:t>imagem</w:t>
      </w:r>
      <w:r>
        <w:rPr>
          <w:rFonts w:ascii="Microsoft Sans Serif" w:hAnsi="Microsoft Sans Serif"/>
          <w:spacing w:val="35"/>
          <w:sz w:val="19"/>
        </w:rPr>
        <w:t> </w:t>
      </w:r>
      <w:r>
        <w:rPr>
          <w:rFonts w:ascii="Microsoft Sans Serif" w:hAnsi="Microsoft Sans Serif"/>
          <w:sz w:val="19"/>
        </w:rPr>
        <w:t>semelhante.</w:t>
      </w:r>
    </w:p>
    <w:p>
      <w:pPr>
        <w:pStyle w:val="BodyText"/>
        <w:spacing w:before="162"/>
        <w:ind w:left="0" w:firstLine="0"/>
        <w:jc w:val="left"/>
        <w:rPr>
          <w:rFonts w:ascii="Microsoft Sans Serif"/>
          <w:sz w:val="19"/>
        </w:rPr>
      </w:pPr>
    </w:p>
    <w:p>
      <w:pPr>
        <w:pStyle w:val="Heading5"/>
      </w:pPr>
      <w:r>
        <w:rPr>
          <w:color w:val="A26108"/>
          <w:spacing w:val="-2"/>
        </w:rPr>
        <w:t>Arteriografia</w:t>
      </w:r>
    </w:p>
    <w:p>
      <w:pPr>
        <w:pStyle w:val="BodyText"/>
        <w:spacing w:line="278" w:lineRule="auto" w:before="138"/>
        <w:ind w:right="488"/>
      </w:pPr>
      <w:r>
        <w:rPr/>
        <w:t>É exame radiológico invasivo que permite visibilizar as características do lúmen das artérias tronculares e de pequenos ramos musculares e colaterais, tornando possível constatar alterações parietais mínimas por meio da injeção intravascular de contraste.</w:t>
      </w:r>
      <w:r>
        <w:rPr>
          <w:vertAlign w:val="superscript"/>
        </w:rPr>
        <w:t>9</w:t>
      </w:r>
      <w:r>
        <w:rPr>
          <w:vertAlign w:val="baseline"/>
        </w:rPr>
        <w:t> A evolução dos equipamentos de radioscopia, incluindo a técnica de subtração digital, permitiu à angiografia maior definição na aquisição de imagens dos territórios arteriais doentes. Ainda é considerado</w:t>
      </w:r>
      <w:r>
        <w:rPr>
          <w:spacing w:val="-8"/>
          <w:vertAlign w:val="baseline"/>
        </w:rPr>
        <w:t> </w:t>
      </w:r>
      <w:r>
        <w:rPr>
          <w:vertAlign w:val="baseline"/>
        </w:rPr>
        <w:t>o</w:t>
      </w:r>
      <w:r>
        <w:rPr>
          <w:spacing w:val="-8"/>
          <w:vertAlign w:val="baseline"/>
        </w:rPr>
        <w:t> </w:t>
      </w:r>
      <w:r>
        <w:rPr>
          <w:vertAlign w:val="baseline"/>
        </w:rPr>
        <w:t>exame</w:t>
      </w:r>
      <w:r>
        <w:rPr>
          <w:spacing w:val="-10"/>
          <w:vertAlign w:val="baseline"/>
        </w:rPr>
        <w:t> </w:t>
      </w:r>
      <w:r>
        <w:rPr>
          <w:vertAlign w:val="baseline"/>
        </w:rPr>
        <w:t>padrão</w:t>
      </w:r>
      <w:r>
        <w:rPr>
          <w:spacing w:val="-8"/>
          <w:vertAlign w:val="baseline"/>
        </w:rPr>
        <w:t> </w:t>
      </w:r>
      <w:r>
        <w:rPr>
          <w:vertAlign w:val="baseline"/>
        </w:rPr>
        <w:t>em</w:t>
      </w:r>
      <w:r>
        <w:rPr>
          <w:spacing w:val="-8"/>
          <w:vertAlign w:val="baseline"/>
        </w:rPr>
        <w:t> </w:t>
      </w:r>
      <w:r>
        <w:rPr>
          <w:vertAlign w:val="baseline"/>
        </w:rPr>
        <w:t>comparação</w:t>
      </w:r>
      <w:r>
        <w:rPr>
          <w:spacing w:val="-8"/>
          <w:vertAlign w:val="baseline"/>
        </w:rPr>
        <w:t> </w:t>
      </w:r>
      <w:r>
        <w:rPr>
          <w:vertAlign w:val="baseline"/>
        </w:rPr>
        <w:t>com</w:t>
      </w:r>
      <w:r>
        <w:rPr>
          <w:spacing w:val="-8"/>
          <w:vertAlign w:val="baseline"/>
        </w:rPr>
        <w:t> </w:t>
      </w:r>
      <w:r>
        <w:rPr>
          <w:vertAlign w:val="baseline"/>
        </w:rPr>
        <w:t>os</w:t>
      </w:r>
      <w:r>
        <w:rPr>
          <w:spacing w:val="-1"/>
          <w:vertAlign w:val="baseline"/>
        </w:rPr>
        <w:t> </w:t>
      </w:r>
      <w:r>
        <w:rPr>
          <w:vertAlign w:val="baseline"/>
        </w:rPr>
        <w:t>demais</w:t>
      </w:r>
      <w:r>
        <w:rPr>
          <w:spacing w:val="-1"/>
          <w:vertAlign w:val="baseline"/>
        </w:rPr>
        <w:t> </w:t>
      </w:r>
      <w:r>
        <w:rPr>
          <w:vertAlign w:val="baseline"/>
        </w:rPr>
        <w:t>métodos</w:t>
      </w:r>
      <w:r>
        <w:rPr>
          <w:spacing w:val="-1"/>
          <w:vertAlign w:val="baseline"/>
        </w:rPr>
        <w:t> </w:t>
      </w:r>
      <w:r>
        <w:rPr>
          <w:vertAlign w:val="baseline"/>
        </w:rPr>
        <w:t>de</w:t>
      </w:r>
      <w:r>
        <w:rPr>
          <w:spacing w:val="-10"/>
          <w:vertAlign w:val="baseline"/>
        </w:rPr>
        <w:t> </w:t>
      </w:r>
      <w:r>
        <w:rPr>
          <w:vertAlign w:val="baseline"/>
        </w:rPr>
        <w:t>imagem,</w:t>
      </w:r>
      <w:r>
        <w:rPr>
          <w:spacing w:val="-1"/>
          <w:vertAlign w:val="baseline"/>
        </w:rPr>
        <w:t> </w:t>
      </w:r>
      <w:r>
        <w:rPr>
          <w:vertAlign w:val="baseline"/>
        </w:rPr>
        <w:t>porém</w:t>
      </w:r>
      <w:r>
        <w:rPr>
          <w:spacing w:val="-8"/>
          <w:vertAlign w:val="baseline"/>
        </w:rPr>
        <w:t> </w:t>
      </w:r>
      <w:r>
        <w:rPr>
          <w:vertAlign w:val="baseline"/>
        </w:rPr>
        <w:t>depende</w:t>
      </w:r>
      <w:r>
        <w:rPr>
          <w:spacing w:val="-10"/>
          <w:vertAlign w:val="baseline"/>
        </w:rPr>
        <w:t> </w:t>
      </w:r>
      <w:r>
        <w:rPr>
          <w:vertAlign w:val="baseline"/>
        </w:rPr>
        <w:t>de</w:t>
      </w:r>
      <w:r>
        <w:rPr>
          <w:spacing w:val="-10"/>
          <w:vertAlign w:val="baseline"/>
        </w:rPr>
        <w:t> </w:t>
      </w:r>
      <w:r>
        <w:rPr>
          <w:vertAlign w:val="baseline"/>
        </w:rPr>
        <w:t>punção</w:t>
      </w:r>
      <w:r>
        <w:rPr>
          <w:spacing w:val="-8"/>
          <w:vertAlign w:val="baseline"/>
        </w:rPr>
        <w:t> </w:t>
      </w:r>
      <w:r>
        <w:rPr>
          <w:vertAlign w:val="baseline"/>
        </w:rPr>
        <w:t>arterial para injeção de contraste, além de haver grande exposição à radiação. Esse caráter mais invasivo traz consigo um maior risco de complicações tanto devido à via de acesso, tais como hematomas, pseudoaneurismas, dissecções e trombose</w:t>
      </w:r>
      <w:r>
        <w:rPr>
          <w:spacing w:val="-2"/>
          <w:vertAlign w:val="baseline"/>
        </w:rPr>
        <w:t> </w:t>
      </w:r>
      <w:r>
        <w:rPr>
          <w:vertAlign w:val="baseline"/>
        </w:rPr>
        <w:t>arteriais, como em relação ao uso de</w:t>
      </w:r>
      <w:r>
        <w:rPr>
          <w:spacing w:val="-2"/>
          <w:vertAlign w:val="baseline"/>
        </w:rPr>
        <w:t> </w:t>
      </w:r>
      <w:r>
        <w:rPr>
          <w:vertAlign w:val="baseline"/>
        </w:rPr>
        <w:t>contraste</w:t>
      </w:r>
      <w:r>
        <w:rPr>
          <w:spacing w:val="-2"/>
          <w:vertAlign w:val="baseline"/>
        </w:rPr>
        <w:t> </w:t>
      </w:r>
      <w:r>
        <w:rPr>
          <w:vertAlign w:val="baseline"/>
        </w:rPr>
        <w:t>iodado, entre</w:t>
      </w:r>
      <w:r>
        <w:rPr>
          <w:spacing w:val="-2"/>
          <w:vertAlign w:val="baseline"/>
        </w:rPr>
        <w:t> </w:t>
      </w:r>
      <w:r>
        <w:rPr>
          <w:vertAlign w:val="baseline"/>
        </w:rPr>
        <w:t>as quais reações alérgicas e</w:t>
      </w:r>
      <w:r>
        <w:rPr>
          <w:spacing w:val="-2"/>
          <w:vertAlign w:val="baseline"/>
        </w:rPr>
        <w:t> </w:t>
      </w:r>
      <w:r>
        <w:rPr>
          <w:vertAlign w:val="baseline"/>
        </w:rPr>
        <w:t>nefrotoxicidade. Por esse motivo, em vista da evolução constante dos demais exames de imagem de menor invasividade, a angiografia digital não é mais utilizada para o diagnóstico de DAOP, tendo maior utilidade no planejamento do tratamento</w:t>
      </w:r>
      <w:r>
        <w:rPr>
          <w:spacing w:val="-3"/>
          <w:vertAlign w:val="baseline"/>
        </w:rPr>
        <w:t> </w:t>
      </w:r>
      <w:r>
        <w:rPr>
          <w:vertAlign w:val="baseline"/>
        </w:rPr>
        <w:t>cirúrgico</w:t>
      </w:r>
      <w:r>
        <w:rPr>
          <w:spacing w:val="-3"/>
          <w:vertAlign w:val="baseline"/>
        </w:rPr>
        <w:t> </w:t>
      </w:r>
      <w:r>
        <w:rPr>
          <w:vertAlign w:val="baseline"/>
        </w:rPr>
        <w:t>e, especialmente, no</w:t>
      </w:r>
      <w:r>
        <w:rPr>
          <w:spacing w:val="-3"/>
          <w:vertAlign w:val="baseline"/>
        </w:rPr>
        <w:t> </w:t>
      </w:r>
      <w:r>
        <w:rPr>
          <w:vertAlign w:val="baseline"/>
        </w:rPr>
        <w:t>intraoperatório</w:t>
      </w:r>
      <w:r>
        <w:rPr>
          <w:spacing w:val="-3"/>
          <w:vertAlign w:val="baseline"/>
        </w:rPr>
        <w:t> </w:t>
      </w:r>
      <w:r>
        <w:rPr>
          <w:vertAlign w:val="baseline"/>
        </w:rPr>
        <w:t>durante</w:t>
      </w:r>
      <w:r>
        <w:rPr>
          <w:spacing w:val="-5"/>
          <w:vertAlign w:val="baseline"/>
        </w:rPr>
        <w:t> </w:t>
      </w:r>
      <w:r>
        <w:rPr>
          <w:vertAlign w:val="baseline"/>
        </w:rPr>
        <w:t>procedimentos endovasculares.</w:t>
      </w:r>
    </w:p>
    <w:p>
      <w:pPr>
        <w:pStyle w:val="BodyText"/>
        <w:spacing w:before="122"/>
        <w:ind w:left="0" w:firstLine="0"/>
        <w:jc w:val="left"/>
      </w:pPr>
    </w:p>
    <w:p>
      <w:pPr>
        <w:pStyle w:val="Heading5"/>
      </w:pPr>
      <w:r>
        <w:rPr>
          <w:color w:val="A26108"/>
        </w:rPr>
        <w:t>Medidas</w:t>
      </w:r>
      <w:r>
        <w:rPr>
          <w:color w:val="A26108"/>
          <w:spacing w:val="18"/>
        </w:rPr>
        <w:t> </w:t>
      </w:r>
      <w:r>
        <w:rPr>
          <w:color w:val="A26108"/>
        </w:rPr>
        <w:t>de</w:t>
      </w:r>
      <w:r>
        <w:rPr>
          <w:color w:val="A26108"/>
          <w:spacing w:val="18"/>
        </w:rPr>
        <w:t> </w:t>
      </w:r>
      <w:r>
        <w:rPr>
          <w:color w:val="A26108"/>
        </w:rPr>
        <w:t>avaliação</w:t>
      </w:r>
      <w:r>
        <w:rPr>
          <w:color w:val="A26108"/>
          <w:spacing w:val="19"/>
        </w:rPr>
        <w:t> </w:t>
      </w:r>
      <w:r>
        <w:rPr>
          <w:color w:val="A26108"/>
        </w:rPr>
        <w:t>de</w:t>
      </w:r>
      <w:r>
        <w:rPr>
          <w:color w:val="A26108"/>
          <w:spacing w:val="18"/>
        </w:rPr>
        <w:t> </w:t>
      </w:r>
      <w:r>
        <w:rPr>
          <w:color w:val="A26108"/>
        </w:rPr>
        <w:t>distância</w:t>
      </w:r>
      <w:r>
        <w:rPr>
          <w:color w:val="A26108"/>
          <w:spacing w:val="18"/>
        </w:rPr>
        <w:t> </w:t>
      </w:r>
      <w:r>
        <w:rPr>
          <w:color w:val="A26108"/>
        </w:rPr>
        <w:t>de</w:t>
      </w:r>
      <w:r>
        <w:rPr>
          <w:color w:val="A26108"/>
          <w:spacing w:val="19"/>
        </w:rPr>
        <w:t> </w:t>
      </w:r>
      <w:r>
        <w:rPr>
          <w:color w:val="A26108"/>
          <w:spacing w:val="-2"/>
        </w:rPr>
        <w:t>marcha</w:t>
      </w:r>
    </w:p>
    <w:p>
      <w:pPr>
        <w:pStyle w:val="BodyText"/>
        <w:spacing w:line="276" w:lineRule="auto" w:before="138"/>
        <w:ind w:right="491"/>
      </w:pPr>
      <w:r>
        <w:rPr/>
        <w:t>A avaliação objetiva das distâncias de marcha é um dos pontos mais importantes no estudo da claudicação intermitente. Os dados subjetivos oferecidos pelo paciente quase nunca coincidem com aqueles obtidos em testes objetivos, motivo pelo qual não devem ser utilizados como parâmetro de avaliação de tratamento em trabalhos científicos. Para investigar objetivamente a eficiência do tratamento do paciente com claudicação intermitente, devemos utilizar algum método que</w:t>
      </w:r>
      <w:r>
        <w:rPr>
          <w:spacing w:val="-2"/>
        </w:rPr>
        <w:t> </w:t>
      </w:r>
      <w:r>
        <w:rPr/>
        <w:t>possa</w:t>
      </w:r>
      <w:r>
        <w:rPr>
          <w:spacing w:val="-2"/>
        </w:rPr>
        <w:t> </w:t>
      </w:r>
      <w:r>
        <w:rPr/>
        <w:t>avaliar as distâncias de</w:t>
      </w:r>
      <w:r>
        <w:rPr>
          <w:spacing w:val="-2"/>
        </w:rPr>
        <w:t> </w:t>
      </w:r>
      <w:r>
        <w:rPr/>
        <w:t>marcha</w:t>
      </w:r>
      <w:r>
        <w:rPr>
          <w:spacing w:val="-2"/>
        </w:rPr>
        <w:t> </w:t>
      </w:r>
      <w:r>
        <w:rPr/>
        <w:t>percorridas pelo paciente. Para</w:t>
      </w:r>
      <w:r>
        <w:rPr>
          <w:spacing w:val="-2"/>
        </w:rPr>
        <w:t> </w:t>
      </w:r>
      <w:r>
        <w:rPr/>
        <w:t>esse</w:t>
      </w:r>
      <w:r>
        <w:rPr>
          <w:spacing w:val="-2"/>
        </w:rPr>
        <w:t> </w:t>
      </w:r>
      <w:r>
        <w:rPr/>
        <w:t>fim, são utilizados os testes de marcha.</w:t>
      </w:r>
    </w:p>
    <w:p>
      <w:pPr>
        <w:pStyle w:val="BodyText"/>
        <w:ind w:left="414" w:firstLine="0"/>
      </w:pPr>
      <w:r>
        <w:rPr/>
        <w:t>Existem</w:t>
      </w:r>
      <w:r>
        <w:rPr>
          <w:spacing w:val="-6"/>
        </w:rPr>
        <w:t> </w:t>
      </w:r>
      <w:r>
        <w:rPr/>
        <w:t>duas</w:t>
      </w:r>
      <w:r>
        <w:rPr>
          <w:spacing w:val="3"/>
        </w:rPr>
        <w:t> </w:t>
      </w:r>
      <w:r>
        <w:rPr/>
        <w:t>modalidades</w:t>
      </w:r>
      <w:r>
        <w:rPr>
          <w:spacing w:val="3"/>
        </w:rPr>
        <w:t> </w:t>
      </w:r>
      <w:r>
        <w:rPr/>
        <w:t>de</w:t>
      </w:r>
      <w:r>
        <w:rPr>
          <w:spacing w:val="-8"/>
        </w:rPr>
        <w:t> </w:t>
      </w:r>
      <w:r>
        <w:rPr/>
        <w:t>teste</w:t>
      </w:r>
      <w:r>
        <w:rPr>
          <w:spacing w:val="-7"/>
        </w:rPr>
        <w:t> </w:t>
      </w:r>
      <w:r>
        <w:rPr/>
        <w:t>de</w:t>
      </w:r>
      <w:r>
        <w:rPr>
          <w:spacing w:val="-8"/>
        </w:rPr>
        <w:t> </w:t>
      </w:r>
      <w:r>
        <w:rPr/>
        <w:t>marcha:</w:t>
      </w:r>
      <w:r>
        <w:rPr>
          <w:spacing w:val="-2"/>
        </w:rPr>
        <w:t> </w:t>
      </w:r>
      <w:r>
        <w:rPr/>
        <w:t>os</w:t>
      </w:r>
      <w:r>
        <w:rPr>
          <w:spacing w:val="2"/>
        </w:rPr>
        <w:t> </w:t>
      </w:r>
      <w:r>
        <w:rPr/>
        <w:t>de</w:t>
      </w:r>
      <w:r>
        <w:rPr>
          <w:spacing w:val="-7"/>
        </w:rPr>
        <w:t> </w:t>
      </w:r>
      <w:r>
        <w:rPr/>
        <w:t>pista</w:t>
      </w:r>
      <w:r>
        <w:rPr>
          <w:spacing w:val="-8"/>
        </w:rPr>
        <w:t> </w:t>
      </w:r>
      <w:r>
        <w:rPr/>
        <w:t>e</w:t>
      </w:r>
      <w:r>
        <w:rPr>
          <w:spacing w:val="-8"/>
        </w:rPr>
        <w:t> </w:t>
      </w:r>
      <w:r>
        <w:rPr/>
        <w:t>os</w:t>
      </w:r>
      <w:r>
        <w:rPr>
          <w:spacing w:val="3"/>
        </w:rPr>
        <w:t> </w:t>
      </w:r>
      <w:r>
        <w:rPr/>
        <w:t>de</w:t>
      </w:r>
      <w:r>
        <w:rPr>
          <w:spacing w:val="-7"/>
        </w:rPr>
        <w:t> </w:t>
      </w:r>
      <w:r>
        <w:rPr>
          <w:spacing w:val="-2"/>
        </w:rPr>
        <w:t>esteira.</w:t>
      </w:r>
    </w:p>
    <w:p>
      <w:pPr>
        <w:pStyle w:val="BodyText"/>
        <w:spacing w:before="47"/>
        <w:ind w:left="0" w:firstLine="0"/>
        <w:jc w:val="left"/>
      </w:pPr>
    </w:p>
    <w:p>
      <w:pPr>
        <w:pStyle w:val="Heading7"/>
        <w:spacing w:before="1"/>
      </w:pPr>
      <w:r>
        <w:rPr>
          <w:color w:val="242B67"/>
        </w:rPr>
        <w:t>Teste de </w:t>
      </w:r>
      <w:r>
        <w:rPr>
          <w:color w:val="242B67"/>
          <w:spacing w:val="-2"/>
        </w:rPr>
        <w:t>pista</w:t>
      </w:r>
    </w:p>
    <w:p>
      <w:pPr>
        <w:pStyle w:val="BodyText"/>
        <w:spacing w:line="276" w:lineRule="auto" w:before="126"/>
        <w:ind w:right="488"/>
      </w:pPr>
      <w:r>
        <w:rPr/>
        <w:t>O teste de pista é quantificado por um profissional que acompanha o exercício. Nesse método, o paciente caminha com velocidade constante, em terreno plano. As distâncias são medidas objetivamente. São métodos adequados, com bons índices de reprodutibilidade. Entretanto, dependem totalmente de um examinador especializado e de local apropriado, o que os torna pouco práticos.</w:t>
      </w:r>
    </w:p>
    <w:p>
      <w:pPr>
        <w:pStyle w:val="BodyText"/>
        <w:spacing w:after="0" w:line="276" w:lineRule="auto"/>
        <w:sectPr>
          <w:pgSz w:w="11900" w:h="16840"/>
          <w:pgMar w:top="200" w:bottom="280" w:left="566" w:right="141"/>
        </w:sectPr>
      </w:pPr>
    </w:p>
    <w:p>
      <w:pPr>
        <w:pStyle w:val="BodyText"/>
        <w:spacing w:line="280" w:lineRule="auto" w:before="69"/>
        <w:ind w:right="490"/>
      </w:pPr>
      <w:r>
        <w:rPr/>
        <w:t>O</w:t>
      </w:r>
      <w:r>
        <w:rPr>
          <w:spacing w:val="-8"/>
        </w:rPr>
        <w:t> </w:t>
      </w:r>
      <w:r>
        <w:rPr/>
        <w:t>teste</w:t>
      </w:r>
      <w:r>
        <w:rPr>
          <w:spacing w:val="-8"/>
        </w:rPr>
        <w:t> </w:t>
      </w:r>
      <w:r>
        <w:rPr/>
        <w:t>de</w:t>
      </w:r>
      <w:r>
        <w:rPr>
          <w:spacing w:val="-8"/>
        </w:rPr>
        <w:t> </w:t>
      </w:r>
      <w:r>
        <w:rPr/>
        <w:t>6</w:t>
      </w:r>
      <w:r>
        <w:rPr>
          <w:spacing w:val="-6"/>
        </w:rPr>
        <w:t> </w:t>
      </w:r>
      <w:r>
        <w:rPr/>
        <w:t>min</w:t>
      </w:r>
      <w:r>
        <w:rPr>
          <w:spacing w:val="-6"/>
        </w:rPr>
        <w:t> </w:t>
      </w:r>
      <w:r>
        <w:rPr/>
        <w:t>de</w:t>
      </w:r>
      <w:r>
        <w:rPr>
          <w:spacing w:val="-8"/>
        </w:rPr>
        <w:t> </w:t>
      </w:r>
      <w:r>
        <w:rPr/>
        <w:t>caminhada</w:t>
      </w:r>
      <w:r>
        <w:rPr>
          <w:spacing w:val="-8"/>
        </w:rPr>
        <w:t> </w:t>
      </w:r>
      <w:r>
        <w:rPr/>
        <w:t>(</w:t>
      </w:r>
      <w:r>
        <w:rPr>
          <w:i/>
        </w:rPr>
        <w:t>6-minute</w:t>
      </w:r>
      <w:r>
        <w:rPr>
          <w:i/>
          <w:spacing w:val="-8"/>
        </w:rPr>
        <w:t> </w:t>
      </w:r>
      <w:r>
        <w:rPr>
          <w:i/>
        </w:rPr>
        <w:t>walking</w:t>
      </w:r>
      <w:r>
        <w:rPr>
          <w:i/>
          <w:spacing w:val="-6"/>
        </w:rPr>
        <w:t> </w:t>
      </w:r>
      <w:r>
        <w:rPr>
          <w:i/>
        </w:rPr>
        <w:t>test</w:t>
      </w:r>
      <w:r>
        <w:rPr/>
        <w:t>)</w:t>
      </w:r>
      <w:r>
        <w:rPr>
          <w:spacing w:val="-1"/>
        </w:rPr>
        <w:t> </w:t>
      </w:r>
      <w:r>
        <w:rPr/>
        <w:t>é</w:t>
      </w:r>
      <w:r>
        <w:rPr>
          <w:spacing w:val="-8"/>
        </w:rPr>
        <w:t> </w:t>
      </w:r>
      <w:r>
        <w:rPr/>
        <w:t>uma</w:t>
      </w:r>
      <w:r>
        <w:rPr>
          <w:spacing w:val="-8"/>
        </w:rPr>
        <w:t> </w:t>
      </w:r>
      <w:r>
        <w:rPr/>
        <w:t>ótima</w:t>
      </w:r>
      <w:r>
        <w:rPr>
          <w:spacing w:val="-8"/>
        </w:rPr>
        <w:t> </w:t>
      </w:r>
      <w:r>
        <w:rPr/>
        <w:t>maneira</w:t>
      </w:r>
      <w:r>
        <w:rPr>
          <w:spacing w:val="-8"/>
        </w:rPr>
        <w:t> </w:t>
      </w:r>
      <w:r>
        <w:rPr/>
        <w:t>de</w:t>
      </w:r>
      <w:r>
        <w:rPr>
          <w:spacing w:val="-8"/>
        </w:rPr>
        <w:t> </w:t>
      </w:r>
      <w:r>
        <w:rPr/>
        <w:t>avaliar</w:t>
      </w:r>
      <w:r>
        <w:rPr>
          <w:spacing w:val="-1"/>
        </w:rPr>
        <w:t> </w:t>
      </w:r>
      <w:r>
        <w:rPr/>
        <w:t>a</w:t>
      </w:r>
      <w:r>
        <w:rPr>
          <w:spacing w:val="-8"/>
        </w:rPr>
        <w:t> </w:t>
      </w:r>
      <w:r>
        <w:rPr/>
        <w:t>resistência</w:t>
      </w:r>
      <w:r>
        <w:rPr>
          <w:spacing w:val="-8"/>
        </w:rPr>
        <w:t> </w:t>
      </w:r>
      <w:r>
        <w:rPr/>
        <w:t>à</w:t>
      </w:r>
      <w:r>
        <w:rPr>
          <w:spacing w:val="-8"/>
        </w:rPr>
        <w:t> </w:t>
      </w:r>
      <w:r>
        <w:rPr/>
        <w:t>caminhada dos pacientes claudicantes. Por esse método, os pacientes são orientados a caminhar em uma pista plana, com metragem</w:t>
      </w:r>
      <w:r>
        <w:rPr>
          <w:spacing w:val="-6"/>
        </w:rPr>
        <w:t> </w:t>
      </w:r>
      <w:r>
        <w:rPr/>
        <w:t>conhecida, de</w:t>
      </w:r>
      <w:r>
        <w:rPr>
          <w:spacing w:val="-8"/>
        </w:rPr>
        <w:t> </w:t>
      </w:r>
      <w:r>
        <w:rPr/>
        <w:t>maneira</w:t>
      </w:r>
      <w:r>
        <w:rPr>
          <w:spacing w:val="-8"/>
        </w:rPr>
        <w:t> </w:t>
      </w:r>
      <w:r>
        <w:rPr/>
        <w:t>a</w:t>
      </w:r>
      <w:r>
        <w:rPr>
          <w:spacing w:val="-8"/>
        </w:rPr>
        <w:t> </w:t>
      </w:r>
      <w:r>
        <w:rPr/>
        <w:t>cobrir</w:t>
      </w:r>
      <w:r>
        <w:rPr>
          <w:spacing w:val="-1"/>
        </w:rPr>
        <w:t> </w:t>
      </w:r>
      <w:r>
        <w:rPr/>
        <w:t>a</w:t>
      </w:r>
      <w:r>
        <w:rPr>
          <w:spacing w:val="-8"/>
        </w:rPr>
        <w:t> </w:t>
      </w:r>
      <w:r>
        <w:rPr/>
        <w:t>maior</w:t>
      </w:r>
      <w:r>
        <w:rPr>
          <w:spacing w:val="-1"/>
        </w:rPr>
        <w:t> </w:t>
      </w:r>
      <w:r>
        <w:rPr/>
        <w:t>distância</w:t>
      </w:r>
      <w:r>
        <w:rPr>
          <w:spacing w:val="-8"/>
        </w:rPr>
        <w:t> </w:t>
      </w:r>
      <w:r>
        <w:rPr/>
        <w:t>possível. O</w:t>
      </w:r>
      <w:r>
        <w:rPr>
          <w:spacing w:val="-9"/>
        </w:rPr>
        <w:t> </w:t>
      </w:r>
      <w:r>
        <w:rPr/>
        <w:t>total</w:t>
      </w:r>
      <w:r>
        <w:rPr>
          <w:spacing w:val="-3"/>
        </w:rPr>
        <w:t> </w:t>
      </w:r>
      <w:r>
        <w:rPr/>
        <w:t>da</w:t>
      </w:r>
      <w:r>
        <w:rPr>
          <w:spacing w:val="-8"/>
        </w:rPr>
        <w:t> </w:t>
      </w:r>
      <w:r>
        <w:rPr/>
        <w:t>distância</w:t>
      </w:r>
      <w:r>
        <w:rPr>
          <w:spacing w:val="-8"/>
        </w:rPr>
        <w:t> </w:t>
      </w:r>
      <w:r>
        <w:rPr/>
        <w:t>caminhada</w:t>
      </w:r>
      <w:r>
        <w:rPr>
          <w:spacing w:val="-8"/>
        </w:rPr>
        <w:t> </w:t>
      </w:r>
      <w:r>
        <w:rPr/>
        <w:t>durante</w:t>
      </w:r>
      <w:r>
        <w:rPr>
          <w:spacing w:val="-8"/>
        </w:rPr>
        <w:t> </w:t>
      </w:r>
      <w:r>
        <w:rPr/>
        <w:t>6</w:t>
      </w:r>
      <w:r>
        <w:rPr>
          <w:spacing w:val="-6"/>
        </w:rPr>
        <w:t> </w:t>
      </w:r>
      <w:r>
        <w:rPr/>
        <w:t>min</w:t>
      </w:r>
      <w:r>
        <w:rPr>
          <w:spacing w:val="-6"/>
        </w:rPr>
        <w:t> </w:t>
      </w:r>
      <w:r>
        <w:rPr/>
        <w:t>é </w:t>
      </w:r>
      <w:r>
        <w:rPr>
          <w:spacing w:val="-2"/>
        </w:rPr>
        <w:t>computada.</w:t>
      </w:r>
      <w:r>
        <w:rPr>
          <w:spacing w:val="-2"/>
          <w:vertAlign w:val="superscript"/>
        </w:rPr>
        <w:t>10</w:t>
      </w:r>
    </w:p>
    <w:p>
      <w:pPr>
        <w:pStyle w:val="BodyText"/>
        <w:spacing w:before="19"/>
        <w:ind w:left="0" w:firstLine="0"/>
        <w:jc w:val="left"/>
      </w:pPr>
    </w:p>
    <w:p>
      <w:pPr>
        <w:pStyle w:val="Heading7"/>
      </w:pPr>
      <w:r>
        <w:rPr>
          <w:color w:val="242B67"/>
        </w:rPr>
        <w:t>Teste de </w:t>
      </w:r>
      <w:r>
        <w:rPr>
          <w:color w:val="242B67"/>
          <w:spacing w:val="-2"/>
        </w:rPr>
        <w:t>esteira</w:t>
      </w:r>
    </w:p>
    <w:p>
      <w:pPr>
        <w:pStyle w:val="BodyText"/>
        <w:spacing w:line="276" w:lineRule="auto" w:before="127"/>
        <w:ind w:right="488"/>
      </w:pPr>
      <w:r>
        <w:rPr/>
        <w:t>No teste de esteira, os pacientes andam em velocidade e tempo predeterminados sobre uma esteira motorizada até</w:t>
      </w:r>
      <w:r>
        <w:rPr>
          <w:spacing w:val="-4"/>
        </w:rPr>
        <w:t> </w:t>
      </w:r>
      <w:r>
        <w:rPr/>
        <w:t>que</w:t>
      </w:r>
      <w:r>
        <w:rPr>
          <w:spacing w:val="-4"/>
        </w:rPr>
        <w:t> </w:t>
      </w:r>
      <w:r>
        <w:rPr/>
        <w:t>a</w:t>
      </w:r>
      <w:r>
        <w:rPr>
          <w:spacing w:val="-4"/>
        </w:rPr>
        <w:t> </w:t>
      </w:r>
      <w:r>
        <w:rPr/>
        <w:t>dor máxima</w:t>
      </w:r>
      <w:r>
        <w:rPr>
          <w:spacing w:val="-4"/>
        </w:rPr>
        <w:t> </w:t>
      </w:r>
      <w:r>
        <w:rPr/>
        <w:t>ocorra, quando</w:t>
      </w:r>
      <w:r>
        <w:rPr>
          <w:spacing w:val="-2"/>
        </w:rPr>
        <w:t> </w:t>
      </w:r>
      <w:r>
        <w:rPr/>
        <w:t>então</w:t>
      </w:r>
      <w:r>
        <w:rPr>
          <w:spacing w:val="-2"/>
        </w:rPr>
        <w:t> </w:t>
      </w:r>
      <w:r>
        <w:rPr/>
        <w:t>é</w:t>
      </w:r>
      <w:r>
        <w:rPr>
          <w:spacing w:val="-4"/>
        </w:rPr>
        <w:t> </w:t>
      </w:r>
      <w:r>
        <w:rPr/>
        <w:t>medida</w:t>
      </w:r>
      <w:r>
        <w:rPr>
          <w:spacing w:val="-4"/>
        </w:rPr>
        <w:t> </w:t>
      </w:r>
      <w:r>
        <w:rPr/>
        <w:t>a</w:t>
      </w:r>
      <w:r>
        <w:rPr>
          <w:spacing w:val="-4"/>
        </w:rPr>
        <w:t> </w:t>
      </w:r>
      <w:r>
        <w:rPr/>
        <w:t>distância</w:t>
      </w:r>
      <w:r>
        <w:rPr>
          <w:spacing w:val="-4"/>
        </w:rPr>
        <w:t> </w:t>
      </w:r>
      <w:r>
        <w:rPr/>
        <w:t>máxima</w:t>
      </w:r>
      <w:r>
        <w:rPr>
          <w:spacing w:val="-4"/>
        </w:rPr>
        <w:t> </w:t>
      </w:r>
      <w:r>
        <w:rPr/>
        <w:t>de</w:t>
      </w:r>
      <w:r>
        <w:rPr>
          <w:spacing w:val="-4"/>
        </w:rPr>
        <w:t> </w:t>
      </w:r>
      <w:r>
        <w:rPr/>
        <w:t>marcha. Dois tipos de</w:t>
      </w:r>
      <w:r>
        <w:rPr>
          <w:spacing w:val="-4"/>
        </w:rPr>
        <w:t> </w:t>
      </w:r>
      <w:r>
        <w:rPr/>
        <w:t>testes em</w:t>
      </w:r>
      <w:r>
        <w:rPr>
          <w:spacing w:val="-2"/>
        </w:rPr>
        <w:t> </w:t>
      </w:r>
      <w:r>
        <w:rPr/>
        <w:t>esteira vêm</w:t>
      </w:r>
      <w:r>
        <w:rPr>
          <w:spacing w:val="-1"/>
        </w:rPr>
        <w:t> </w:t>
      </w:r>
      <w:r>
        <w:rPr/>
        <w:t>sendo</w:t>
      </w:r>
      <w:r>
        <w:rPr>
          <w:spacing w:val="-1"/>
        </w:rPr>
        <w:t> </w:t>
      </w:r>
      <w:r>
        <w:rPr/>
        <w:t>utilizados em</w:t>
      </w:r>
      <w:r>
        <w:rPr>
          <w:spacing w:val="-1"/>
        </w:rPr>
        <w:t> </w:t>
      </w:r>
      <w:r>
        <w:rPr/>
        <w:t>pacientes com</w:t>
      </w:r>
      <w:r>
        <w:rPr>
          <w:spacing w:val="-1"/>
        </w:rPr>
        <w:t> </w:t>
      </w:r>
      <w:r>
        <w:rPr/>
        <w:t>claudicação</w:t>
      </w:r>
      <w:r>
        <w:rPr>
          <w:spacing w:val="-1"/>
        </w:rPr>
        <w:t> </w:t>
      </w:r>
      <w:r>
        <w:rPr/>
        <w:t>intermitente: os de</w:t>
      </w:r>
      <w:r>
        <w:rPr>
          <w:spacing w:val="-4"/>
        </w:rPr>
        <w:t> </w:t>
      </w:r>
      <w:r>
        <w:rPr/>
        <w:t>carga</w:t>
      </w:r>
      <w:r>
        <w:rPr>
          <w:spacing w:val="-4"/>
        </w:rPr>
        <w:t> </w:t>
      </w:r>
      <w:r>
        <w:rPr/>
        <w:t>fixa</w:t>
      </w:r>
      <w:r>
        <w:rPr>
          <w:spacing w:val="-4"/>
        </w:rPr>
        <w:t> </w:t>
      </w:r>
      <w:r>
        <w:rPr/>
        <w:t>e</w:t>
      </w:r>
      <w:r>
        <w:rPr>
          <w:spacing w:val="-4"/>
        </w:rPr>
        <w:t> </w:t>
      </w:r>
      <w:r>
        <w:rPr/>
        <w:t>os de</w:t>
      </w:r>
      <w:r>
        <w:rPr>
          <w:spacing w:val="-4"/>
        </w:rPr>
        <w:t> </w:t>
      </w:r>
      <w:r>
        <w:rPr/>
        <w:t>carga</w:t>
      </w:r>
      <w:r>
        <w:rPr>
          <w:spacing w:val="-4"/>
        </w:rPr>
        <w:t> </w:t>
      </w:r>
      <w:r>
        <w:rPr/>
        <w:t>progressiva.</w:t>
      </w:r>
    </w:p>
    <w:p>
      <w:pPr>
        <w:pStyle w:val="BodyText"/>
        <w:spacing w:line="276" w:lineRule="auto" w:before="48"/>
        <w:ind w:right="488"/>
      </w:pPr>
      <w:r>
        <w:rPr/>
        <w:t>O teste de carga fixa, mais utilizado atualmente, é o preconizado pela Sociedade Americana de Cirurgia Vascular. É realizado com inclinação de</w:t>
      </w:r>
      <w:r>
        <w:rPr>
          <w:spacing w:val="-3"/>
        </w:rPr>
        <w:t> </w:t>
      </w:r>
      <w:r>
        <w:rPr/>
        <w:t>12° a</w:t>
      </w:r>
      <w:r>
        <w:rPr>
          <w:spacing w:val="-3"/>
        </w:rPr>
        <w:t> </w:t>
      </w:r>
      <w:r>
        <w:rPr/>
        <w:t>uma</w:t>
      </w:r>
      <w:r>
        <w:rPr>
          <w:spacing w:val="-3"/>
        </w:rPr>
        <w:t> </w:t>
      </w:r>
      <w:r>
        <w:rPr/>
        <w:t>velocidade</w:t>
      </w:r>
      <w:r>
        <w:rPr>
          <w:spacing w:val="-3"/>
        </w:rPr>
        <w:t> </w:t>
      </w:r>
      <w:r>
        <w:rPr/>
        <w:t>de</w:t>
      </w:r>
      <w:r>
        <w:rPr>
          <w:spacing w:val="-3"/>
        </w:rPr>
        <w:t> </w:t>
      </w:r>
      <w:r>
        <w:rPr/>
        <w:t>2 milhas por hora. Apesar de</w:t>
      </w:r>
      <w:r>
        <w:rPr>
          <w:spacing w:val="-3"/>
        </w:rPr>
        <w:t> </w:t>
      </w:r>
      <w:r>
        <w:rPr/>
        <w:t>ser mais prático do que</w:t>
      </w:r>
      <w:r>
        <w:rPr>
          <w:spacing w:val="-10"/>
        </w:rPr>
        <w:t> </w:t>
      </w:r>
      <w:r>
        <w:rPr/>
        <w:t>os testes de</w:t>
      </w:r>
      <w:r>
        <w:rPr>
          <w:spacing w:val="-10"/>
        </w:rPr>
        <w:t> </w:t>
      </w:r>
      <w:r>
        <w:rPr/>
        <w:t>marcha</w:t>
      </w:r>
      <w:r>
        <w:rPr>
          <w:spacing w:val="-10"/>
        </w:rPr>
        <w:t> </w:t>
      </w:r>
      <w:r>
        <w:rPr/>
        <w:t>de</w:t>
      </w:r>
      <w:r>
        <w:rPr>
          <w:spacing w:val="-10"/>
        </w:rPr>
        <w:t> </w:t>
      </w:r>
      <w:r>
        <w:rPr/>
        <w:t>pista, não</w:t>
      </w:r>
      <w:r>
        <w:rPr>
          <w:spacing w:val="-7"/>
        </w:rPr>
        <w:t> </w:t>
      </w:r>
      <w:r>
        <w:rPr/>
        <w:t>apresenta</w:t>
      </w:r>
      <w:r>
        <w:rPr>
          <w:spacing w:val="-10"/>
        </w:rPr>
        <w:t> </w:t>
      </w:r>
      <w:r>
        <w:rPr/>
        <w:t>reprodutibilidade</w:t>
      </w:r>
      <w:r>
        <w:rPr>
          <w:spacing w:val="-10"/>
        </w:rPr>
        <w:t> </w:t>
      </w:r>
      <w:r>
        <w:rPr/>
        <w:t>adequada, com</w:t>
      </w:r>
      <w:r>
        <w:rPr>
          <w:spacing w:val="-7"/>
        </w:rPr>
        <w:t> </w:t>
      </w:r>
      <w:r>
        <w:rPr/>
        <w:t>índices de</w:t>
      </w:r>
      <w:r>
        <w:rPr>
          <w:spacing w:val="-10"/>
        </w:rPr>
        <w:t> </w:t>
      </w:r>
      <w:r>
        <w:rPr/>
        <w:t>variação</w:t>
      </w:r>
      <w:r>
        <w:rPr>
          <w:spacing w:val="-7"/>
        </w:rPr>
        <w:t> </w:t>
      </w:r>
      <w:r>
        <w:rPr/>
        <w:t>de</w:t>
      </w:r>
      <w:r>
        <w:rPr>
          <w:spacing w:val="-10"/>
        </w:rPr>
        <w:t> </w:t>
      </w:r>
      <w:r>
        <w:rPr/>
        <w:t>distância</w:t>
      </w:r>
      <w:r>
        <w:rPr>
          <w:spacing w:val="-10"/>
        </w:rPr>
        <w:t> </w:t>
      </w:r>
      <w:r>
        <w:rPr/>
        <w:t>em exames subsequentes de 30 a 45%.</w:t>
      </w:r>
    </w:p>
    <w:p>
      <w:pPr>
        <w:pStyle w:val="BodyText"/>
        <w:spacing w:line="276" w:lineRule="auto"/>
        <w:ind w:right="488"/>
      </w:pPr>
      <w:r>
        <w:rPr/>
        <w:t>Os testes com carga progressiva são realizados em esteira com velocidade fixa, porém com elevação crescente de</w:t>
      </w:r>
      <w:r>
        <w:rPr>
          <w:spacing w:val="-3"/>
        </w:rPr>
        <w:t> </w:t>
      </w:r>
      <w:r>
        <w:rPr/>
        <w:t>sua</w:t>
      </w:r>
      <w:r>
        <w:rPr>
          <w:spacing w:val="-3"/>
        </w:rPr>
        <w:t> </w:t>
      </w:r>
      <w:r>
        <w:rPr/>
        <w:t>inclinação. São</w:t>
      </w:r>
      <w:r>
        <w:rPr>
          <w:spacing w:val="-1"/>
        </w:rPr>
        <w:t> </w:t>
      </w:r>
      <w:r>
        <w:rPr/>
        <w:t>tão</w:t>
      </w:r>
      <w:r>
        <w:rPr>
          <w:spacing w:val="-1"/>
        </w:rPr>
        <w:t> </w:t>
      </w:r>
      <w:r>
        <w:rPr/>
        <w:t>práticos quanto</w:t>
      </w:r>
      <w:r>
        <w:rPr>
          <w:spacing w:val="-1"/>
        </w:rPr>
        <w:t> </w:t>
      </w:r>
      <w:r>
        <w:rPr/>
        <w:t>os de</w:t>
      </w:r>
      <w:r>
        <w:rPr>
          <w:spacing w:val="-3"/>
        </w:rPr>
        <w:t> </w:t>
      </w:r>
      <w:r>
        <w:rPr/>
        <w:t>carga</w:t>
      </w:r>
      <w:r>
        <w:rPr>
          <w:spacing w:val="-3"/>
        </w:rPr>
        <w:t> </w:t>
      </w:r>
      <w:r>
        <w:rPr/>
        <w:t>fixa, mas com</w:t>
      </w:r>
      <w:r>
        <w:rPr>
          <w:spacing w:val="-1"/>
        </w:rPr>
        <w:t> </w:t>
      </w:r>
      <w:r>
        <w:rPr/>
        <w:t>coeficientes de</w:t>
      </w:r>
      <w:r>
        <w:rPr>
          <w:spacing w:val="-3"/>
        </w:rPr>
        <w:t> </w:t>
      </w:r>
      <w:r>
        <w:rPr/>
        <w:t>variação</w:t>
      </w:r>
      <w:r>
        <w:rPr>
          <w:spacing w:val="-1"/>
        </w:rPr>
        <w:t> </w:t>
      </w:r>
      <w:r>
        <w:rPr/>
        <w:t>menores, ao</w:t>
      </w:r>
      <w:r>
        <w:rPr>
          <w:spacing w:val="-1"/>
        </w:rPr>
        <w:t> </w:t>
      </w:r>
      <w:r>
        <w:rPr/>
        <w:t>redor de </w:t>
      </w:r>
      <w:r>
        <w:rPr>
          <w:spacing w:val="-4"/>
        </w:rPr>
        <w:t>13%.</w:t>
      </w:r>
    </w:p>
    <w:p>
      <w:pPr>
        <w:pStyle w:val="BodyText"/>
        <w:spacing w:before="185"/>
        <w:ind w:left="0" w:firstLine="0"/>
        <w:jc w:val="left"/>
      </w:pPr>
    </w:p>
    <w:p>
      <w:pPr>
        <w:pStyle w:val="Heading4"/>
        <w:spacing w:before="1"/>
      </w:pPr>
      <w:r>
        <w:rPr>
          <w:color w:val="242B67"/>
        </w:rPr>
        <w:t>Classificação da doença arterial obstrutiva periférica </w:t>
      </w:r>
      <w:r>
        <w:rPr>
          <w:color w:val="242B67"/>
          <w:spacing w:val="-2"/>
        </w:rPr>
        <w:t>crônica</w:t>
      </w:r>
    </w:p>
    <w:p>
      <w:pPr>
        <w:pStyle w:val="BodyText"/>
        <w:spacing w:line="276" w:lineRule="auto" w:before="131"/>
        <w:ind w:right="500"/>
      </w:pPr>
      <w:r>
        <w:rPr/>
        <w:t>Diversos critérios já foram propostos para classificar os graus de isquemia com o objetivo de uniformizar os estudos e facilitar o acompanhamento dos doentes. Em 1986 a International Society of Cardiovascular Surgery (ISCVS) e</w:t>
      </w:r>
      <w:r>
        <w:rPr>
          <w:spacing w:val="-2"/>
        </w:rPr>
        <w:t> </w:t>
      </w:r>
      <w:r>
        <w:rPr/>
        <w:t>a</w:t>
      </w:r>
      <w:r>
        <w:rPr>
          <w:spacing w:val="-2"/>
        </w:rPr>
        <w:t> </w:t>
      </w:r>
      <w:r>
        <w:rPr/>
        <w:t>Society of Vascular Surgery (SVS) dos EUA</w:t>
      </w:r>
      <w:r>
        <w:rPr>
          <w:spacing w:val="-2"/>
        </w:rPr>
        <w:t> </w:t>
      </w:r>
      <w:r>
        <w:rPr/>
        <w:t>formularam uma</w:t>
      </w:r>
      <w:r>
        <w:rPr>
          <w:spacing w:val="-2"/>
        </w:rPr>
        <w:t> </w:t>
      </w:r>
      <w:r>
        <w:rPr/>
        <w:t>classificação para</w:t>
      </w:r>
      <w:r>
        <w:rPr>
          <w:spacing w:val="-2"/>
        </w:rPr>
        <w:t> </w:t>
      </w:r>
      <w:r>
        <w:rPr/>
        <w:t>isquemia</w:t>
      </w:r>
      <w:r>
        <w:rPr>
          <w:spacing w:val="-2"/>
        </w:rPr>
        <w:t> </w:t>
      </w:r>
      <w:r>
        <w:rPr/>
        <w:t>crônica</w:t>
      </w:r>
      <w:r>
        <w:rPr>
          <w:spacing w:val="-2"/>
        </w:rPr>
        <w:t> </w:t>
      </w:r>
      <w:r>
        <w:rPr/>
        <w:t>em membros inferiores, que foi atualizada em 1997 e vem sendo utilizada pela maioria dos cirurgiões vasculares. Foram definidos 4° para as diferentes manifestações clínicas, a saber:</w:t>
      </w:r>
    </w:p>
    <w:p>
      <w:pPr>
        <w:pStyle w:val="ListParagraph"/>
        <w:numPr>
          <w:ilvl w:val="0"/>
          <w:numId w:val="27"/>
        </w:numPr>
        <w:tabs>
          <w:tab w:pos="404" w:val="left" w:leader="none"/>
        </w:tabs>
        <w:spacing w:line="276" w:lineRule="auto" w:before="161" w:after="0"/>
        <w:ind w:left="68" w:right="492" w:firstLine="0"/>
        <w:jc w:val="left"/>
        <w:rPr>
          <w:sz w:val="23"/>
        </w:rPr>
      </w:pPr>
      <w:r>
        <w:rPr>
          <w:sz w:val="23"/>
        </w:rPr>
        <w:t>Grau</w:t>
      </w:r>
      <w:r>
        <w:rPr>
          <w:spacing w:val="-11"/>
          <w:sz w:val="23"/>
        </w:rPr>
        <w:t> </w:t>
      </w:r>
      <w:r>
        <w:rPr>
          <w:sz w:val="23"/>
        </w:rPr>
        <w:t>0:</w:t>
      </w:r>
      <w:r>
        <w:rPr>
          <w:spacing w:val="-9"/>
          <w:sz w:val="23"/>
        </w:rPr>
        <w:t> </w:t>
      </w:r>
      <w:r>
        <w:rPr>
          <w:sz w:val="23"/>
        </w:rPr>
        <w:t>paciente</w:t>
      </w:r>
      <w:r>
        <w:rPr>
          <w:spacing w:val="-14"/>
          <w:sz w:val="23"/>
        </w:rPr>
        <w:t> </w:t>
      </w:r>
      <w:r>
        <w:rPr>
          <w:sz w:val="23"/>
        </w:rPr>
        <w:t>assintomático,</w:t>
      </w:r>
      <w:r>
        <w:rPr>
          <w:spacing w:val="-5"/>
          <w:sz w:val="23"/>
        </w:rPr>
        <w:t> </w:t>
      </w:r>
      <w:r>
        <w:rPr>
          <w:sz w:val="23"/>
        </w:rPr>
        <w:t>que</w:t>
      </w:r>
      <w:r>
        <w:rPr>
          <w:spacing w:val="-14"/>
          <w:sz w:val="23"/>
        </w:rPr>
        <w:t> </w:t>
      </w:r>
      <w:r>
        <w:rPr>
          <w:sz w:val="23"/>
        </w:rPr>
        <w:t>apresenta</w:t>
      </w:r>
      <w:r>
        <w:rPr>
          <w:spacing w:val="-14"/>
          <w:sz w:val="23"/>
        </w:rPr>
        <w:t> </w:t>
      </w:r>
      <w:r>
        <w:rPr>
          <w:sz w:val="23"/>
        </w:rPr>
        <w:t>doença</w:t>
      </w:r>
      <w:r>
        <w:rPr>
          <w:spacing w:val="-14"/>
          <w:sz w:val="23"/>
        </w:rPr>
        <w:t> </w:t>
      </w:r>
      <w:r>
        <w:rPr>
          <w:sz w:val="23"/>
        </w:rPr>
        <w:t>oclusiva</w:t>
      </w:r>
      <w:r>
        <w:rPr>
          <w:spacing w:val="-14"/>
          <w:sz w:val="23"/>
        </w:rPr>
        <w:t> </w:t>
      </w:r>
      <w:r>
        <w:rPr>
          <w:sz w:val="23"/>
        </w:rPr>
        <w:t>hemodinamicamente</w:t>
      </w:r>
      <w:r>
        <w:rPr>
          <w:spacing w:val="-14"/>
          <w:sz w:val="23"/>
        </w:rPr>
        <w:t> </w:t>
      </w:r>
      <w:r>
        <w:rPr>
          <w:sz w:val="23"/>
        </w:rPr>
        <w:t>não</w:t>
      </w:r>
      <w:r>
        <w:rPr>
          <w:spacing w:val="-11"/>
          <w:sz w:val="23"/>
        </w:rPr>
        <w:t> </w:t>
      </w:r>
      <w:r>
        <w:rPr>
          <w:sz w:val="23"/>
        </w:rPr>
        <w:t>significativa,</w:t>
      </w:r>
      <w:r>
        <w:rPr>
          <w:spacing w:val="-5"/>
          <w:sz w:val="23"/>
        </w:rPr>
        <w:t> </w:t>
      </w:r>
      <w:r>
        <w:rPr>
          <w:sz w:val="23"/>
        </w:rPr>
        <w:t>realizando teste de esforço com carga fixa (5 min a 2 milhas por h em uma inclinação de 12°) sem nenhuma restrição</w:t>
      </w:r>
    </w:p>
    <w:p>
      <w:pPr>
        <w:pStyle w:val="ListParagraph"/>
        <w:numPr>
          <w:ilvl w:val="0"/>
          <w:numId w:val="27"/>
        </w:numPr>
        <w:tabs>
          <w:tab w:pos="397" w:val="left" w:leader="none"/>
        </w:tabs>
        <w:spacing w:line="240" w:lineRule="auto" w:before="33" w:after="0"/>
        <w:ind w:left="397" w:right="0" w:hanging="329"/>
        <w:jc w:val="left"/>
        <w:rPr>
          <w:sz w:val="23"/>
        </w:rPr>
      </w:pPr>
      <w:r>
        <w:rPr>
          <w:sz w:val="23"/>
        </w:rPr>
        <w:t>Grau</w:t>
      </w:r>
      <w:r>
        <w:rPr>
          <w:spacing w:val="-17"/>
          <w:sz w:val="23"/>
        </w:rPr>
        <w:t> </w:t>
      </w:r>
      <w:r>
        <w:rPr>
          <w:sz w:val="23"/>
        </w:rPr>
        <w:t>1:</w:t>
      </w:r>
      <w:r>
        <w:rPr>
          <w:spacing w:val="-10"/>
          <w:sz w:val="23"/>
        </w:rPr>
        <w:t> </w:t>
      </w:r>
      <w:r>
        <w:rPr>
          <w:sz w:val="23"/>
        </w:rPr>
        <w:t>subdividido</w:t>
      </w:r>
      <w:r>
        <w:rPr>
          <w:spacing w:val="-13"/>
          <w:sz w:val="23"/>
        </w:rPr>
        <w:t> </w:t>
      </w:r>
      <w:r>
        <w:rPr>
          <w:sz w:val="23"/>
        </w:rPr>
        <w:t>em</w:t>
      </w:r>
      <w:r>
        <w:rPr>
          <w:spacing w:val="-12"/>
          <w:sz w:val="23"/>
        </w:rPr>
        <w:t> </w:t>
      </w:r>
      <w:r>
        <w:rPr>
          <w:sz w:val="23"/>
        </w:rPr>
        <w:t>três</w:t>
      </w:r>
      <w:r>
        <w:rPr>
          <w:spacing w:val="-6"/>
          <w:sz w:val="23"/>
        </w:rPr>
        <w:t> </w:t>
      </w:r>
      <w:r>
        <w:rPr>
          <w:sz w:val="23"/>
        </w:rPr>
        <w:t>categorias</w:t>
      </w:r>
      <w:r>
        <w:rPr>
          <w:spacing w:val="-6"/>
          <w:sz w:val="23"/>
        </w:rPr>
        <w:t> </w:t>
      </w:r>
      <w:r>
        <w:rPr>
          <w:sz w:val="23"/>
        </w:rPr>
        <w:t>segundo</w:t>
      </w:r>
      <w:r>
        <w:rPr>
          <w:spacing w:val="-13"/>
          <w:sz w:val="23"/>
        </w:rPr>
        <w:t> </w:t>
      </w:r>
      <w:r>
        <w:rPr>
          <w:sz w:val="23"/>
        </w:rPr>
        <w:t>a</w:t>
      </w:r>
      <w:r>
        <w:rPr>
          <w:spacing w:val="-14"/>
          <w:sz w:val="23"/>
        </w:rPr>
        <w:t> </w:t>
      </w:r>
      <w:r>
        <w:rPr>
          <w:sz w:val="23"/>
        </w:rPr>
        <w:t>gravidade</w:t>
      </w:r>
      <w:r>
        <w:rPr>
          <w:spacing w:val="-14"/>
          <w:sz w:val="23"/>
        </w:rPr>
        <w:t> </w:t>
      </w:r>
      <w:r>
        <w:rPr>
          <w:sz w:val="23"/>
        </w:rPr>
        <w:t>da</w:t>
      </w:r>
      <w:r>
        <w:rPr>
          <w:spacing w:val="-15"/>
          <w:sz w:val="23"/>
        </w:rPr>
        <w:t> </w:t>
      </w:r>
      <w:r>
        <w:rPr>
          <w:sz w:val="23"/>
        </w:rPr>
        <w:t>claudicação</w:t>
      </w:r>
      <w:r>
        <w:rPr>
          <w:spacing w:val="-12"/>
          <w:sz w:val="23"/>
        </w:rPr>
        <w:t> </w:t>
      </w:r>
      <w:r>
        <w:rPr>
          <w:spacing w:val="-2"/>
          <w:sz w:val="23"/>
        </w:rPr>
        <w:t>intermitente:</w:t>
      </w:r>
    </w:p>
    <w:p>
      <w:pPr>
        <w:pStyle w:val="ListParagraph"/>
        <w:numPr>
          <w:ilvl w:val="1"/>
          <w:numId w:val="27"/>
        </w:numPr>
        <w:tabs>
          <w:tab w:pos="840" w:val="left" w:leader="none"/>
        </w:tabs>
        <w:spacing w:line="276" w:lineRule="auto" w:before="56" w:after="0"/>
        <w:ind w:left="414" w:right="499" w:firstLine="0"/>
        <w:jc w:val="left"/>
        <w:rPr>
          <w:sz w:val="23"/>
        </w:rPr>
      </w:pPr>
      <w:r>
        <w:rPr>
          <w:sz w:val="23"/>
        </w:rPr>
        <w:t>CI leve: o paciente completa o exercício na esteira; o valor da pressão obtida após o esforço em membro inferior é</w:t>
      </w:r>
      <w:r>
        <w:rPr>
          <w:spacing w:val="-1"/>
          <w:sz w:val="23"/>
        </w:rPr>
        <w:t> </w:t>
      </w:r>
      <w:r>
        <w:rPr>
          <w:sz w:val="23"/>
        </w:rPr>
        <w:t>maior do que</w:t>
      </w:r>
      <w:r>
        <w:rPr>
          <w:spacing w:val="-1"/>
          <w:sz w:val="23"/>
        </w:rPr>
        <w:t> </w:t>
      </w:r>
      <w:r>
        <w:rPr>
          <w:sz w:val="23"/>
        </w:rPr>
        <w:t>50 mmHg embora</w:t>
      </w:r>
      <w:r>
        <w:rPr>
          <w:spacing w:val="-1"/>
          <w:sz w:val="23"/>
        </w:rPr>
        <w:t> </w:t>
      </w:r>
      <w:r>
        <w:rPr>
          <w:sz w:val="23"/>
        </w:rPr>
        <w:t>pelo menos 20 mmHg menor em relação ao repouso</w:t>
      </w:r>
    </w:p>
    <w:p>
      <w:pPr>
        <w:pStyle w:val="ListParagraph"/>
        <w:numPr>
          <w:ilvl w:val="1"/>
          <w:numId w:val="27"/>
        </w:numPr>
        <w:tabs>
          <w:tab w:pos="807" w:val="left" w:leader="none"/>
        </w:tabs>
        <w:spacing w:line="240" w:lineRule="auto" w:before="32" w:after="0"/>
        <w:ind w:left="807" w:right="0" w:hanging="393"/>
        <w:jc w:val="left"/>
        <w:rPr>
          <w:sz w:val="23"/>
        </w:rPr>
      </w:pPr>
      <w:r>
        <w:rPr>
          <w:sz w:val="23"/>
        </w:rPr>
        <w:t>CI</w:t>
      </w:r>
      <w:r>
        <w:rPr>
          <w:spacing w:val="-3"/>
          <w:sz w:val="23"/>
        </w:rPr>
        <w:t> </w:t>
      </w:r>
      <w:r>
        <w:rPr>
          <w:sz w:val="23"/>
        </w:rPr>
        <w:t>moderada:</w:t>
      </w:r>
      <w:r>
        <w:rPr>
          <w:spacing w:val="-5"/>
          <w:sz w:val="23"/>
        </w:rPr>
        <w:t> </w:t>
      </w:r>
      <w:r>
        <w:rPr>
          <w:sz w:val="23"/>
        </w:rPr>
        <w:t>faixa</w:t>
      </w:r>
      <w:r>
        <w:rPr>
          <w:spacing w:val="-10"/>
          <w:sz w:val="23"/>
        </w:rPr>
        <w:t> </w:t>
      </w:r>
      <w:r>
        <w:rPr>
          <w:sz w:val="23"/>
        </w:rPr>
        <w:t>intermediária</w:t>
      </w:r>
      <w:r>
        <w:rPr>
          <w:spacing w:val="-10"/>
          <w:sz w:val="23"/>
        </w:rPr>
        <w:t> </w:t>
      </w:r>
      <w:r>
        <w:rPr>
          <w:sz w:val="23"/>
        </w:rPr>
        <w:t>entre</w:t>
      </w:r>
      <w:r>
        <w:rPr>
          <w:spacing w:val="-10"/>
          <w:sz w:val="23"/>
        </w:rPr>
        <w:t> </w:t>
      </w:r>
      <w:r>
        <w:rPr>
          <w:sz w:val="23"/>
        </w:rPr>
        <w:t>a</w:t>
      </w:r>
      <w:r>
        <w:rPr>
          <w:spacing w:val="-10"/>
          <w:sz w:val="23"/>
        </w:rPr>
        <w:t> </w:t>
      </w:r>
      <w:r>
        <w:rPr>
          <w:sz w:val="23"/>
        </w:rPr>
        <w:t>leve</w:t>
      </w:r>
      <w:r>
        <w:rPr>
          <w:spacing w:val="-10"/>
          <w:sz w:val="23"/>
        </w:rPr>
        <w:t> </w:t>
      </w:r>
      <w:r>
        <w:rPr>
          <w:sz w:val="23"/>
        </w:rPr>
        <w:t>e</w:t>
      </w:r>
      <w:r>
        <w:rPr>
          <w:spacing w:val="-9"/>
          <w:sz w:val="23"/>
        </w:rPr>
        <w:t> </w:t>
      </w:r>
      <w:r>
        <w:rPr>
          <w:spacing w:val="-4"/>
          <w:sz w:val="23"/>
        </w:rPr>
        <w:t>grave</w:t>
      </w:r>
    </w:p>
    <w:p>
      <w:pPr>
        <w:pStyle w:val="ListParagraph"/>
        <w:numPr>
          <w:ilvl w:val="1"/>
          <w:numId w:val="27"/>
        </w:numPr>
        <w:tabs>
          <w:tab w:pos="818" w:val="left" w:leader="none"/>
        </w:tabs>
        <w:spacing w:line="276" w:lineRule="auto" w:before="56" w:after="0"/>
        <w:ind w:left="414" w:right="499" w:firstLine="0"/>
        <w:jc w:val="left"/>
        <w:rPr>
          <w:sz w:val="23"/>
        </w:rPr>
      </w:pPr>
      <w:r>
        <w:rPr>
          <w:sz w:val="23"/>
        </w:rPr>
        <w:t>CI grave: o paciente não completa o teste de esforço (menos que 5 min). A pressão sistólica em tornozelo ou metatarso cai para níveis inferiores a 50 mmHg</w:t>
      </w:r>
    </w:p>
    <w:p>
      <w:pPr>
        <w:pStyle w:val="ListParagraph"/>
        <w:numPr>
          <w:ilvl w:val="0"/>
          <w:numId w:val="27"/>
        </w:numPr>
        <w:tabs>
          <w:tab w:pos="398" w:val="left" w:leader="none"/>
        </w:tabs>
        <w:spacing w:line="276" w:lineRule="auto" w:before="32" w:after="0"/>
        <w:ind w:left="68" w:right="492" w:firstLine="0"/>
        <w:jc w:val="left"/>
        <w:rPr>
          <w:sz w:val="23"/>
        </w:rPr>
      </w:pPr>
      <w:r>
        <w:rPr>
          <w:sz w:val="23"/>
        </w:rPr>
        <w:t>Grau</w:t>
      </w:r>
      <w:r>
        <w:rPr>
          <w:spacing w:val="-7"/>
          <w:sz w:val="23"/>
        </w:rPr>
        <w:t> </w:t>
      </w:r>
      <w:r>
        <w:rPr>
          <w:sz w:val="23"/>
        </w:rPr>
        <w:t>2:</w:t>
      </w:r>
      <w:r>
        <w:rPr>
          <w:spacing w:val="-4"/>
          <w:sz w:val="23"/>
        </w:rPr>
        <w:t> </w:t>
      </w:r>
      <w:r>
        <w:rPr>
          <w:sz w:val="23"/>
        </w:rPr>
        <w:t>paciente</w:t>
      </w:r>
      <w:r>
        <w:rPr>
          <w:spacing w:val="-9"/>
          <w:sz w:val="23"/>
        </w:rPr>
        <w:t> </w:t>
      </w:r>
      <w:r>
        <w:rPr>
          <w:sz w:val="23"/>
        </w:rPr>
        <w:t>com</w:t>
      </w:r>
      <w:r>
        <w:rPr>
          <w:spacing w:val="-7"/>
          <w:sz w:val="23"/>
        </w:rPr>
        <w:t> </w:t>
      </w:r>
      <w:r>
        <w:rPr>
          <w:sz w:val="23"/>
        </w:rPr>
        <w:t>dor</w:t>
      </w:r>
      <w:r>
        <w:rPr>
          <w:spacing w:val="-2"/>
          <w:sz w:val="23"/>
        </w:rPr>
        <w:t> </w:t>
      </w:r>
      <w:r>
        <w:rPr>
          <w:sz w:val="23"/>
        </w:rPr>
        <w:t>isquêmica</w:t>
      </w:r>
      <w:r>
        <w:rPr>
          <w:spacing w:val="-9"/>
          <w:sz w:val="23"/>
        </w:rPr>
        <w:t> </w:t>
      </w:r>
      <w:r>
        <w:rPr>
          <w:sz w:val="23"/>
        </w:rPr>
        <w:t>de</w:t>
      </w:r>
      <w:r>
        <w:rPr>
          <w:spacing w:val="-9"/>
          <w:sz w:val="23"/>
        </w:rPr>
        <w:t> </w:t>
      </w:r>
      <w:r>
        <w:rPr>
          <w:sz w:val="23"/>
        </w:rPr>
        <w:t>repouso;</w:t>
      </w:r>
      <w:r>
        <w:rPr>
          <w:spacing w:val="-4"/>
          <w:sz w:val="23"/>
        </w:rPr>
        <w:t> </w:t>
      </w:r>
      <w:r>
        <w:rPr>
          <w:sz w:val="23"/>
        </w:rPr>
        <w:t>pressão</w:t>
      </w:r>
      <w:r>
        <w:rPr>
          <w:spacing w:val="-7"/>
          <w:sz w:val="23"/>
        </w:rPr>
        <w:t> </w:t>
      </w:r>
      <w:r>
        <w:rPr>
          <w:sz w:val="23"/>
        </w:rPr>
        <w:t>arterial</w:t>
      </w:r>
      <w:r>
        <w:rPr>
          <w:spacing w:val="-4"/>
          <w:sz w:val="23"/>
        </w:rPr>
        <w:t> </w:t>
      </w:r>
      <w:r>
        <w:rPr>
          <w:sz w:val="23"/>
        </w:rPr>
        <w:t>medida</w:t>
      </w:r>
      <w:r>
        <w:rPr>
          <w:spacing w:val="-9"/>
          <w:sz w:val="23"/>
        </w:rPr>
        <w:t> </w:t>
      </w:r>
      <w:r>
        <w:rPr>
          <w:sz w:val="23"/>
        </w:rPr>
        <w:t>no</w:t>
      </w:r>
      <w:r>
        <w:rPr>
          <w:spacing w:val="-7"/>
          <w:sz w:val="23"/>
        </w:rPr>
        <w:t> </w:t>
      </w:r>
      <w:r>
        <w:rPr>
          <w:sz w:val="23"/>
        </w:rPr>
        <w:t>tornozelo</w:t>
      </w:r>
      <w:r>
        <w:rPr>
          <w:spacing w:val="-7"/>
          <w:sz w:val="23"/>
        </w:rPr>
        <w:t> </w:t>
      </w:r>
      <w:r>
        <w:rPr>
          <w:sz w:val="23"/>
        </w:rPr>
        <w:t>menor</w:t>
      </w:r>
      <w:r>
        <w:rPr>
          <w:spacing w:val="-2"/>
          <w:sz w:val="23"/>
        </w:rPr>
        <w:t> </w:t>
      </w:r>
      <w:r>
        <w:rPr>
          <w:sz w:val="23"/>
        </w:rPr>
        <w:t>que</w:t>
      </w:r>
      <w:r>
        <w:rPr>
          <w:spacing w:val="-9"/>
          <w:sz w:val="23"/>
        </w:rPr>
        <w:t> </w:t>
      </w:r>
      <w:r>
        <w:rPr>
          <w:sz w:val="23"/>
        </w:rPr>
        <w:t>40</w:t>
      </w:r>
      <w:r>
        <w:rPr>
          <w:spacing w:val="-7"/>
          <w:sz w:val="23"/>
        </w:rPr>
        <w:t> </w:t>
      </w:r>
      <w:r>
        <w:rPr>
          <w:sz w:val="23"/>
        </w:rPr>
        <w:t>mmHg</w:t>
      </w:r>
      <w:r>
        <w:rPr>
          <w:spacing w:val="-7"/>
          <w:sz w:val="23"/>
        </w:rPr>
        <w:t> </w:t>
      </w:r>
      <w:r>
        <w:rPr>
          <w:sz w:val="23"/>
        </w:rPr>
        <w:t>e</w:t>
      </w:r>
      <w:r>
        <w:rPr>
          <w:spacing w:val="-9"/>
          <w:sz w:val="23"/>
        </w:rPr>
        <w:t> </w:t>
      </w:r>
      <w:r>
        <w:rPr>
          <w:sz w:val="23"/>
        </w:rPr>
        <w:t>em pododáctilo menor que</w:t>
      </w:r>
      <w:r>
        <w:rPr>
          <w:spacing w:val="-3"/>
          <w:sz w:val="23"/>
        </w:rPr>
        <w:t> </w:t>
      </w:r>
      <w:r>
        <w:rPr>
          <w:sz w:val="23"/>
        </w:rPr>
        <w:t>30 mmHg; com ondas de</w:t>
      </w:r>
      <w:r>
        <w:rPr>
          <w:spacing w:val="-3"/>
          <w:sz w:val="23"/>
        </w:rPr>
        <w:t> </w:t>
      </w:r>
      <w:r>
        <w:rPr>
          <w:sz w:val="23"/>
        </w:rPr>
        <w:t>pulso achatadas ou fracamente</w:t>
      </w:r>
      <w:r>
        <w:rPr>
          <w:spacing w:val="-3"/>
          <w:sz w:val="23"/>
        </w:rPr>
        <w:t> </w:t>
      </w:r>
      <w:r>
        <w:rPr>
          <w:sz w:val="23"/>
        </w:rPr>
        <w:t>pulsáteis</w:t>
      </w:r>
    </w:p>
    <w:p>
      <w:pPr>
        <w:pStyle w:val="ListParagraph"/>
        <w:numPr>
          <w:ilvl w:val="0"/>
          <w:numId w:val="27"/>
        </w:numPr>
        <w:tabs>
          <w:tab w:pos="397" w:val="left" w:leader="none"/>
        </w:tabs>
        <w:spacing w:line="240" w:lineRule="auto" w:before="16" w:after="0"/>
        <w:ind w:left="397" w:right="0" w:hanging="329"/>
        <w:jc w:val="left"/>
        <w:rPr>
          <w:sz w:val="23"/>
        </w:rPr>
      </w:pPr>
      <w:r>
        <w:rPr>
          <w:sz w:val="23"/>
        </w:rPr>
        <w:t>Grau</w:t>
      </w:r>
      <w:r>
        <w:rPr>
          <w:spacing w:val="-8"/>
          <w:sz w:val="23"/>
        </w:rPr>
        <w:t> </w:t>
      </w:r>
      <w:r>
        <w:rPr>
          <w:sz w:val="23"/>
        </w:rPr>
        <w:t>3:</w:t>
      </w:r>
      <w:r>
        <w:rPr>
          <w:spacing w:val="-5"/>
          <w:sz w:val="23"/>
        </w:rPr>
        <w:t> </w:t>
      </w:r>
      <w:r>
        <w:rPr>
          <w:sz w:val="23"/>
        </w:rPr>
        <w:t>subdividido</w:t>
      </w:r>
      <w:r>
        <w:rPr>
          <w:spacing w:val="-8"/>
          <w:sz w:val="23"/>
        </w:rPr>
        <w:t> </w:t>
      </w:r>
      <w:r>
        <w:rPr>
          <w:sz w:val="23"/>
        </w:rPr>
        <w:t>em</w:t>
      </w:r>
      <w:r>
        <w:rPr>
          <w:spacing w:val="-7"/>
          <w:sz w:val="23"/>
        </w:rPr>
        <w:t> </w:t>
      </w:r>
      <w:r>
        <w:rPr>
          <w:sz w:val="23"/>
        </w:rPr>
        <w:t>duas </w:t>
      </w:r>
      <w:r>
        <w:rPr>
          <w:spacing w:val="-2"/>
          <w:sz w:val="23"/>
        </w:rPr>
        <w:t>categorias:</w:t>
      </w:r>
    </w:p>
    <w:p>
      <w:pPr>
        <w:pStyle w:val="ListParagraph"/>
        <w:numPr>
          <w:ilvl w:val="1"/>
          <w:numId w:val="27"/>
        </w:numPr>
        <w:tabs>
          <w:tab w:pos="816" w:val="left" w:leader="none"/>
        </w:tabs>
        <w:spacing w:line="276" w:lineRule="auto" w:before="56" w:after="0"/>
        <w:ind w:left="414" w:right="499" w:firstLine="0"/>
        <w:jc w:val="left"/>
        <w:rPr>
          <w:sz w:val="23"/>
        </w:rPr>
      </w:pPr>
      <w:r>
        <w:rPr>
          <w:sz w:val="23"/>
        </w:rPr>
        <w:t>Perda</w:t>
      </w:r>
      <w:r>
        <w:rPr>
          <w:spacing w:val="-4"/>
          <w:sz w:val="23"/>
        </w:rPr>
        <w:t> </w:t>
      </w:r>
      <w:r>
        <w:rPr>
          <w:sz w:val="23"/>
        </w:rPr>
        <w:t>tecidual pequena: úlcera</w:t>
      </w:r>
      <w:r>
        <w:rPr>
          <w:spacing w:val="-4"/>
          <w:sz w:val="23"/>
        </w:rPr>
        <w:t> </w:t>
      </w:r>
      <w:r>
        <w:rPr>
          <w:sz w:val="23"/>
        </w:rPr>
        <w:t>que</w:t>
      </w:r>
      <w:r>
        <w:rPr>
          <w:spacing w:val="-4"/>
          <w:sz w:val="23"/>
        </w:rPr>
        <w:t> </w:t>
      </w:r>
      <w:r>
        <w:rPr>
          <w:sz w:val="23"/>
        </w:rPr>
        <w:t>não</w:t>
      </w:r>
      <w:r>
        <w:rPr>
          <w:spacing w:val="-1"/>
          <w:sz w:val="23"/>
        </w:rPr>
        <w:t> </w:t>
      </w:r>
      <w:r>
        <w:rPr>
          <w:sz w:val="23"/>
        </w:rPr>
        <w:t>cicatriza</w:t>
      </w:r>
      <w:r>
        <w:rPr>
          <w:spacing w:val="-4"/>
          <w:sz w:val="23"/>
        </w:rPr>
        <w:t> </w:t>
      </w:r>
      <w:r>
        <w:rPr>
          <w:sz w:val="23"/>
        </w:rPr>
        <w:t>ou</w:t>
      </w:r>
      <w:r>
        <w:rPr>
          <w:spacing w:val="-1"/>
          <w:sz w:val="23"/>
        </w:rPr>
        <w:t> </w:t>
      </w:r>
      <w:r>
        <w:rPr>
          <w:sz w:val="23"/>
        </w:rPr>
        <w:t>gangrena</w:t>
      </w:r>
      <w:r>
        <w:rPr>
          <w:spacing w:val="-4"/>
          <w:sz w:val="23"/>
        </w:rPr>
        <w:t> </w:t>
      </w:r>
      <w:r>
        <w:rPr>
          <w:sz w:val="23"/>
        </w:rPr>
        <w:t>focal com</w:t>
      </w:r>
      <w:r>
        <w:rPr>
          <w:spacing w:val="-1"/>
          <w:sz w:val="23"/>
        </w:rPr>
        <w:t> </w:t>
      </w:r>
      <w:r>
        <w:rPr>
          <w:sz w:val="23"/>
        </w:rPr>
        <w:t>isquemia</w:t>
      </w:r>
      <w:r>
        <w:rPr>
          <w:spacing w:val="-4"/>
          <w:sz w:val="23"/>
        </w:rPr>
        <w:t> </w:t>
      </w:r>
      <w:r>
        <w:rPr>
          <w:sz w:val="23"/>
        </w:rPr>
        <w:t>difusa</w:t>
      </w:r>
      <w:r>
        <w:rPr>
          <w:spacing w:val="-4"/>
          <w:sz w:val="23"/>
        </w:rPr>
        <w:t> </w:t>
      </w:r>
      <w:r>
        <w:rPr>
          <w:sz w:val="23"/>
        </w:rPr>
        <w:t>do</w:t>
      </w:r>
      <w:r>
        <w:rPr>
          <w:spacing w:val="-1"/>
          <w:sz w:val="23"/>
        </w:rPr>
        <w:t> </w:t>
      </w:r>
      <w:r>
        <w:rPr>
          <w:sz w:val="23"/>
        </w:rPr>
        <w:t>pé. Na</w:t>
      </w:r>
      <w:r>
        <w:rPr>
          <w:spacing w:val="-4"/>
          <w:sz w:val="23"/>
        </w:rPr>
        <w:t> </w:t>
      </w:r>
      <w:r>
        <w:rPr>
          <w:sz w:val="23"/>
        </w:rPr>
        <w:t>situação de repouso, a pressão do tornozelo é inferior a 60 mmHg e a pressão em pododáctilo é menor que 40 mmHg</w:t>
      </w:r>
    </w:p>
    <w:p>
      <w:pPr>
        <w:pStyle w:val="ListParagraph"/>
        <w:numPr>
          <w:ilvl w:val="1"/>
          <w:numId w:val="27"/>
        </w:numPr>
        <w:tabs>
          <w:tab w:pos="807" w:val="left" w:leader="none"/>
        </w:tabs>
        <w:spacing w:line="240" w:lineRule="auto" w:before="33" w:after="0"/>
        <w:ind w:left="807" w:right="0" w:hanging="393"/>
        <w:jc w:val="left"/>
        <w:rPr>
          <w:sz w:val="23"/>
        </w:rPr>
      </w:pPr>
      <w:r>
        <w:rPr>
          <w:sz w:val="23"/>
        </w:rPr>
        <w:t>Perda</w:t>
      </w:r>
      <w:r>
        <w:rPr>
          <w:spacing w:val="-16"/>
          <w:sz w:val="23"/>
        </w:rPr>
        <w:t> </w:t>
      </w:r>
      <w:r>
        <w:rPr>
          <w:sz w:val="23"/>
        </w:rPr>
        <w:t>tecidual</w:t>
      </w:r>
      <w:r>
        <w:rPr>
          <w:spacing w:val="-8"/>
          <w:sz w:val="23"/>
        </w:rPr>
        <w:t> </w:t>
      </w:r>
      <w:r>
        <w:rPr>
          <w:sz w:val="23"/>
        </w:rPr>
        <w:t>maior:</w:t>
      </w:r>
      <w:r>
        <w:rPr>
          <w:spacing w:val="-9"/>
          <w:sz w:val="23"/>
        </w:rPr>
        <w:t> </w:t>
      </w:r>
      <w:r>
        <w:rPr>
          <w:sz w:val="23"/>
        </w:rPr>
        <w:t>lesão</w:t>
      </w:r>
      <w:r>
        <w:rPr>
          <w:spacing w:val="-10"/>
          <w:sz w:val="23"/>
        </w:rPr>
        <w:t> </w:t>
      </w:r>
      <w:r>
        <w:rPr>
          <w:sz w:val="23"/>
        </w:rPr>
        <w:t>de</w:t>
      </w:r>
      <w:r>
        <w:rPr>
          <w:spacing w:val="-14"/>
          <w:sz w:val="23"/>
        </w:rPr>
        <w:t> </w:t>
      </w:r>
      <w:r>
        <w:rPr>
          <w:sz w:val="23"/>
        </w:rPr>
        <w:t>tecidos</w:t>
      </w:r>
      <w:r>
        <w:rPr>
          <w:spacing w:val="-3"/>
          <w:sz w:val="23"/>
        </w:rPr>
        <w:t> </w:t>
      </w:r>
      <w:r>
        <w:rPr>
          <w:sz w:val="23"/>
        </w:rPr>
        <w:t>que</w:t>
      </w:r>
      <w:r>
        <w:rPr>
          <w:spacing w:val="-14"/>
          <w:sz w:val="23"/>
        </w:rPr>
        <w:t> </w:t>
      </w:r>
      <w:r>
        <w:rPr>
          <w:sz w:val="23"/>
        </w:rPr>
        <w:t>se</w:t>
      </w:r>
      <w:r>
        <w:rPr>
          <w:spacing w:val="-13"/>
          <w:sz w:val="23"/>
        </w:rPr>
        <w:t> </w:t>
      </w:r>
      <w:r>
        <w:rPr>
          <w:sz w:val="23"/>
        </w:rPr>
        <w:t>estendem</w:t>
      </w:r>
      <w:r>
        <w:rPr>
          <w:spacing w:val="-10"/>
          <w:sz w:val="23"/>
        </w:rPr>
        <w:t> </w:t>
      </w:r>
      <w:r>
        <w:rPr>
          <w:sz w:val="23"/>
        </w:rPr>
        <w:t>proximalmente</w:t>
      </w:r>
      <w:r>
        <w:rPr>
          <w:spacing w:val="-14"/>
          <w:sz w:val="23"/>
        </w:rPr>
        <w:t> </w:t>
      </w:r>
      <w:r>
        <w:rPr>
          <w:sz w:val="23"/>
        </w:rPr>
        <w:t>aos</w:t>
      </w:r>
      <w:r>
        <w:rPr>
          <w:spacing w:val="-3"/>
          <w:sz w:val="23"/>
        </w:rPr>
        <w:t> </w:t>
      </w:r>
      <w:r>
        <w:rPr>
          <w:spacing w:val="-2"/>
          <w:sz w:val="23"/>
        </w:rPr>
        <w:t>metatarsos.</w:t>
      </w:r>
    </w:p>
    <w:p>
      <w:pPr>
        <w:pStyle w:val="BodyText"/>
        <w:spacing w:before="224"/>
        <w:ind w:left="0" w:firstLine="0"/>
        <w:jc w:val="left"/>
      </w:pPr>
    </w:p>
    <w:p>
      <w:pPr>
        <w:pStyle w:val="Heading4"/>
        <w:spacing w:before="1"/>
      </w:pPr>
      <w:r>
        <w:rPr>
          <w:color w:val="242B67"/>
        </w:rPr>
        <w:t>Objetivos do </w:t>
      </w:r>
      <w:r>
        <w:rPr>
          <w:color w:val="242B67"/>
          <w:spacing w:val="-2"/>
        </w:rPr>
        <w:t>tratamento</w:t>
      </w:r>
    </w:p>
    <w:p>
      <w:pPr>
        <w:pStyle w:val="BodyText"/>
        <w:spacing w:line="276" w:lineRule="auto" w:before="131"/>
        <w:ind w:right="497"/>
      </w:pPr>
      <w:r>
        <w:rPr/>
        <w:t>Como a aterosclerose é uma doença sistêmica e os portadores de DAOP têm maior probabilidade de sofrer eventos cardiovasculares, o primeiro objetivo do tratamento desses pacientes visa reduzir o risco de tais eventos.</w:t>
      </w:r>
      <w:r>
        <w:rPr>
          <w:spacing w:val="40"/>
        </w:rPr>
        <w:t> </w:t>
      </w:r>
      <w:r>
        <w:rPr/>
        <w:t>Os outros objetivos relacionam-se com o grau de isquemia do membro. Pacientes com isquemia não crítica, como os claudicantes, têm</w:t>
      </w:r>
      <w:r>
        <w:rPr>
          <w:spacing w:val="-3"/>
        </w:rPr>
        <w:t> </w:t>
      </w:r>
      <w:r>
        <w:rPr/>
        <w:t>baixo</w:t>
      </w:r>
      <w:r>
        <w:rPr>
          <w:spacing w:val="-3"/>
        </w:rPr>
        <w:t> </w:t>
      </w:r>
      <w:r>
        <w:rPr/>
        <w:t>risco</w:t>
      </w:r>
      <w:r>
        <w:rPr>
          <w:spacing w:val="-3"/>
        </w:rPr>
        <w:t> </w:t>
      </w:r>
      <w:r>
        <w:rPr/>
        <w:t>de</w:t>
      </w:r>
      <w:r>
        <w:rPr>
          <w:spacing w:val="-5"/>
        </w:rPr>
        <w:t> </w:t>
      </w:r>
      <w:r>
        <w:rPr/>
        <w:t>perda</w:t>
      </w:r>
      <w:r>
        <w:rPr>
          <w:spacing w:val="-5"/>
        </w:rPr>
        <w:t> </w:t>
      </w:r>
      <w:r>
        <w:rPr/>
        <w:t>do</w:t>
      </w:r>
      <w:r>
        <w:rPr>
          <w:spacing w:val="-3"/>
        </w:rPr>
        <w:t> </w:t>
      </w:r>
      <w:r>
        <w:rPr/>
        <w:t>membro, e, portanto, o</w:t>
      </w:r>
      <w:r>
        <w:rPr>
          <w:spacing w:val="-3"/>
        </w:rPr>
        <w:t> </w:t>
      </w:r>
      <w:r>
        <w:rPr/>
        <w:t>tratamento</w:t>
      </w:r>
      <w:r>
        <w:rPr>
          <w:spacing w:val="-3"/>
        </w:rPr>
        <w:t> </w:t>
      </w:r>
      <w:r>
        <w:rPr/>
        <w:t>visa</w:t>
      </w:r>
      <w:r>
        <w:rPr>
          <w:spacing w:val="-5"/>
        </w:rPr>
        <w:t> </w:t>
      </w:r>
      <w:r>
        <w:rPr/>
        <w:t>à</w:t>
      </w:r>
      <w:r>
        <w:rPr>
          <w:spacing w:val="-5"/>
        </w:rPr>
        <w:t> </w:t>
      </w:r>
      <w:r>
        <w:rPr/>
        <w:t>melhora</w:t>
      </w:r>
      <w:r>
        <w:rPr>
          <w:spacing w:val="-5"/>
        </w:rPr>
        <w:t> </w:t>
      </w:r>
      <w:r>
        <w:rPr/>
        <w:t>da</w:t>
      </w:r>
      <w:r>
        <w:rPr>
          <w:spacing w:val="-5"/>
        </w:rPr>
        <w:t> </w:t>
      </w:r>
      <w:r>
        <w:rPr/>
        <w:t>qualidade</w:t>
      </w:r>
      <w:r>
        <w:rPr>
          <w:spacing w:val="-5"/>
        </w:rPr>
        <w:t> </w:t>
      </w:r>
      <w:r>
        <w:rPr/>
        <w:t>de</w:t>
      </w:r>
      <w:r>
        <w:rPr>
          <w:spacing w:val="-5"/>
        </w:rPr>
        <w:t> </w:t>
      </w:r>
      <w:r>
        <w:rPr/>
        <w:t>vida e tende a ser mais conservador. Já no indivíduo que apresenta isquemia crítica, definida por dor isquêmica de repouso e/ou surgimento de lesões tróficas, o risco de amputações maiores ou menores é iminente, o que justifica uma abordagem mais invasiva com a finalidade de preservação do membro.</w:t>
      </w:r>
    </w:p>
    <w:p>
      <w:pPr>
        <w:pStyle w:val="BodyText"/>
        <w:spacing w:line="276" w:lineRule="auto" w:before="66"/>
        <w:ind w:right="488"/>
      </w:pPr>
      <w:r>
        <w:rPr/>
        <w:t>Em suma, nos pacientes com claudicação intermitente, o objetivo do tratamento é o aumento das distâncias de marcha e, nos pacientes com isquemia grave, o salvamento de membro.</w:t>
      </w:r>
    </w:p>
    <w:p>
      <w:pPr>
        <w:pStyle w:val="BodyText"/>
        <w:spacing w:after="0" w:line="276" w:lineRule="auto"/>
        <w:sectPr>
          <w:pgSz w:w="11900" w:h="16840"/>
          <w:pgMar w:top="200" w:bottom="280" w:left="566" w:right="141"/>
        </w:sectPr>
      </w:pPr>
    </w:p>
    <w:p>
      <w:pPr>
        <w:pStyle w:val="Heading5"/>
        <w:spacing w:before="85"/>
      </w:pPr>
      <w:r>
        <w:rPr>
          <w:color w:val="A26108"/>
        </w:rPr>
        <w:t>Redução</w:t>
      </w:r>
      <w:r>
        <w:rPr>
          <w:color w:val="A26108"/>
          <w:spacing w:val="17"/>
        </w:rPr>
        <w:t> </w:t>
      </w:r>
      <w:r>
        <w:rPr>
          <w:color w:val="A26108"/>
        </w:rPr>
        <w:t>do</w:t>
      </w:r>
      <w:r>
        <w:rPr>
          <w:color w:val="A26108"/>
          <w:spacing w:val="18"/>
        </w:rPr>
        <w:t> </w:t>
      </w:r>
      <w:r>
        <w:rPr>
          <w:color w:val="A26108"/>
        </w:rPr>
        <w:t>risco</w:t>
      </w:r>
      <w:r>
        <w:rPr>
          <w:color w:val="A26108"/>
          <w:spacing w:val="18"/>
        </w:rPr>
        <w:t> </w:t>
      </w:r>
      <w:r>
        <w:rPr>
          <w:color w:val="A26108"/>
          <w:spacing w:val="-2"/>
        </w:rPr>
        <w:t>cardiovascular</w:t>
      </w:r>
    </w:p>
    <w:p>
      <w:pPr>
        <w:pStyle w:val="BodyText"/>
        <w:spacing w:line="280" w:lineRule="auto" w:before="138"/>
        <w:ind w:right="491"/>
      </w:pPr>
      <w:r>
        <w:rPr/>
        <w:t>A redução do risco de infarto do miocárdio e doença cerebrovascular passa pelo controle dos fatores de risco conhecidos para aterosclerose. Sabe-se que o tratamento da dislipidemia diminui a ocorrência de eventos cardiovasculares em pacientes com aterosclerose.</w:t>
      </w:r>
      <w:r>
        <w:rPr>
          <w:vertAlign w:val="superscript"/>
        </w:rPr>
        <w:t>4</w:t>
      </w:r>
      <w:r>
        <w:rPr>
          <w:vertAlign w:val="baseline"/>
        </w:rPr>
        <w:t> O controle nos pacientes portadores de DAOP é mais rigoroso, tendo por objetivo manter a LDL em níveis inferiores a 100 mg/d</w:t>
      </w:r>
      <w:r>
        <w:rPr>
          <w:spacing w:val="-9"/>
          <w:vertAlign w:val="baseline"/>
        </w:rPr>
        <w:t> </w:t>
      </w:r>
      <w:r>
        <w:rPr>
          <w:i/>
          <w:vertAlign w:val="baseline"/>
        </w:rPr>
        <w:t>ℓ</w:t>
      </w:r>
      <w:r>
        <w:rPr>
          <w:i/>
          <w:spacing w:val="-7"/>
          <w:vertAlign w:val="baseline"/>
        </w:rPr>
        <w:t> </w:t>
      </w:r>
      <w:r>
        <w:rPr>
          <w:vertAlign w:val="baseline"/>
        </w:rPr>
        <w:t>. Indivíduos arteriopatas com diabetes, tabagismo ativo ou múltiplos fatores que compõem a síndrome metabólica são considerados de alto risco e devem ter seus níveis de LDL mantidos abaixo dos 70 mg/d</w:t>
      </w:r>
      <w:r>
        <w:rPr>
          <w:i/>
          <w:vertAlign w:val="baseline"/>
        </w:rPr>
        <w:t>ℓ</w:t>
      </w:r>
      <w:r>
        <w:rPr>
          <w:vertAlign w:val="baseline"/>
        </w:rPr>
        <w:t>. Para atingir esse objetivo têm sido usados medicamentos como as estatinas.</w:t>
      </w:r>
      <w:r>
        <w:rPr>
          <w:vertAlign w:val="superscript"/>
        </w:rPr>
        <w:t>4,11</w:t>
      </w:r>
    </w:p>
    <w:p>
      <w:pPr>
        <w:pStyle w:val="BodyText"/>
        <w:spacing w:line="278" w:lineRule="auto" w:before="45"/>
        <w:ind w:right="487"/>
      </w:pPr>
      <w:r>
        <w:rPr/>
        <w:t>O</w:t>
      </w:r>
      <w:r>
        <w:rPr>
          <w:spacing w:val="-6"/>
        </w:rPr>
        <w:t> </w:t>
      </w:r>
      <w:r>
        <w:rPr/>
        <w:t>controle</w:t>
      </w:r>
      <w:r>
        <w:rPr>
          <w:spacing w:val="-6"/>
        </w:rPr>
        <w:t> </w:t>
      </w:r>
      <w:r>
        <w:rPr/>
        <w:t>adequado</w:t>
      </w:r>
      <w:r>
        <w:rPr>
          <w:spacing w:val="-3"/>
        </w:rPr>
        <w:t> </w:t>
      </w:r>
      <w:r>
        <w:rPr/>
        <w:t>da</w:t>
      </w:r>
      <w:r>
        <w:rPr>
          <w:spacing w:val="-6"/>
        </w:rPr>
        <w:t> </w:t>
      </w:r>
      <w:r>
        <w:rPr/>
        <w:t>HAS é</w:t>
      </w:r>
      <w:r>
        <w:rPr>
          <w:spacing w:val="-6"/>
        </w:rPr>
        <w:t> </w:t>
      </w:r>
      <w:r>
        <w:rPr/>
        <w:t>importante</w:t>
      </w:r>
      <w:r>
        <w:rPr>
          <w:spacing w:val="-6"/>
        </w:rPr>
        <w:t> </w:t>
      </w:r>
      <w:r>
        <w:rPr/>
        <w:t>para</w:t>
      </w:r>
      <w:r>
        <w:rPr>
          <w:spacing w:val="-6"/>
        </w:rPr>
        <w:t> </w:t>
      </w:r>
      <w:r>
        <w:rPr/>
        <w:t>que</w:t>
      </w:r>
      <w:r>
        <w:rPr>
          <w:spacing w:val="-6"/>
        </w:rPr>
        <w:t> </w:t>
      </w:r>
      <w:r>
        <w:rPr/>
        <w:t>sejam</w:t>
      </w:r>
      <w:r>
        <w:rPr>
          <w:spacing w:val="-4"/>
        </w:rPr>
        <w:t> </w:t>
      </w:r>
      <w:r>
        <w:rPr/>
        <w:t>diminuídos os riscos de</w:t>
      </w:r>
      <w:r>
        <w:rPr>
          <w:spacing w:val="-6"/>
        </w:rPr>
        <w:t> </w:t>
      </w:r>
      <w:r>
        <w:rPr/>
        <w:t>AVC, infarto</w:t>
      </w:r>
      <w:r>
        <w:rPr>
          <w:spacing w:val="-3"/>
        </w:rPr>
        <w:t> </w:t>
      </w:r>
      <w:r>
        <w:rPr/>
        <w:t>do</w:t>
      </w:r>
      <w:r>
        <w:rPr>
          <w:spacing w:val="-3"/>
        </w:rPr>
        <w:t> </w:t>
      </w:r>
      <w:r>
        <w:rPr/>
        <w:t>miocárdio</w:t>
      </w:r>
      <w:r>
        <w:rPr>
          <w:spacing w:val="-3"/>
        </w:rPr>
        <w:t> </w:t>
      </w:r>
      <w:r>
        <w:rPr/>
        <w:t>e morte. As diretrizes atuais apontam para a manutenção da pressão arterial sistólica em níveis inferiores a 140 mmHg e diastólica abaixo de 90 mmHg. Em pacientes diabéticos ou com insuficiência renal crônica, os controles devem ser mais rígidos, de modo que a pressão arterial sistólica esteja abaixo dos 130 mmHg e a diastólica não ultrapasse os 80 mmHg. A utilização dos inibidores da enzima conversora de angiotensina tem sido recomendada em portadores de DAOP por reduzir o risco de eventos cardiovasculares.</w:t>
      </w:r>
      <w:r>
        <w:rPr>
          <w:vertAlign w:val="superscript"/>
        </w:rPr>
        <w:t>4</w:t>
      </w:r>
    </w:p>
    <w:p>
      <w:pPr>
        <w:pStyle w:val="BodyText"/>
        <w:spacing w:line="276" w:lineRule="auto"/>
        <w:ind w:right="500"/>
      </w:pPr>
      <w:r>
        <w:rPr/>
        <w:t>O controle mais rígido do diabetes mostrou-se mais eficaz para a prevenção de doenças microvasculares, tais como nefropatia e retinopatia. Não houve redução no risco de morte, AVC, progressão da DAOP em membros inferiores e amputações, ao passo que a proteção contra infarto do miocárdio permanece discutível. Cuidados rigorosos com</w:t>
      </w:r>
      <w:r>
        <w:rPr>
          <w:spacing w:val="-1"/>
        </w:rPr>
        <w:t> </w:t>
      </w:r>
      <w:r>
        <w:rPr/>
        <w:t>os pés, a</w:t>
      </w:r>
      <w:r>
        <w:rPr>
          <w:spacing w:val="-3"/>
        </w:rPr>
        <w:t> </w:t>
      </w:r>
      <w:r>
        <w:rPr/>
        <w:t>fim</w:t>
      </w:r>
      <w:r>
        <w:rPr>
          <w:spacing w:val="-1"/>
        </w:rPr>
        <w:t> </w:t>
      </w:r>
      <w:r>
        <w:rPr/>
        <w:t>de</w:t>
      </w:r>
      <w:r>
        <w:rPr>
          <w:spacing w:val="-3"/>
        </w:rPr>
        <w:t> </w:t>
      </w:r>
      <w:r>
        <w:rPr/>
        <w:t>evitar ulcerações e</w:t>
      </w:r>
      <w:r>
        <w:rPr>
          <w:spacing w:val="-3"/>
        </w:rPr>
        <w:t> </w:t>
      </w:r>
      <w:r>
        <w:rPr/>
        <w:t>complicações infecciosas, entre</w:t>
      </w:r>
      <w:r>
        <w:rPr>
          <w:spacing w:val="-3"/>
        </w:rPr>
        <w:t> </w:t>
      </w:r>
      <w:r>
        <w:rPr/>
        <w:t>os quais a</w:t>
      </w:r>
      <w:r>
        <w:rPr>
          <w:spacing w:val="-3"/>
        </w:rPr>
        <w:t> </w:t>
      </w:r>
      <w:r>
        <w:rPr/>
        <w:t>inspeção</w:t>
      </w:r>
      <w:r>
        <w:rPr>
          <w:spacing w:val="-1"/>
        </w:rPr>
        <w:t> </w:t>
      </w:r>
      <w:r>
        <w:rPr/>
        <w:t>constante, o uso de</w:t>
      </w:r>
      <w:r>
        <w:rPr>
          <w:spacing w:val="-2"/>
        </w:rPr>
        <w:t> </w:t>
      </w:r>
      <w:r>
        <w:rPr/>
        <w:t>calçados apropriados que</w:t>
      </w:r>
      <w:r>
        <w:rPr>
          <w:spacing w:val="-2"/>
        </w:rPr>
        <w:t> </w:t>
      </w:r>
      <w:r>
        <w:rPr/>
        <w:t>evitem lesões plantares por pressão, bem como hidratação da</w:t>
      </w:r>
      <w:r>
        <w:rPr>
          <w:spacing w:val="-2"/>
        </w:rPr>
        <w:t> </w:t>
      </w:r>
      <w:r>
        <w:rPr/>
        <w:t>pele</w:t>
      </w:r>
      <w:r>
        <w:rPr>
          <w:spacing w:val="-2"/>
        </w:rPr>
        <w:t> </w:t>
      </w:r>
      <w:r>
        <w:rPr/>
        <w:t>para</w:t>
      </w:r>
      <w:r>
        <w:rPr>
          <w:spacing w:val="-2"/>
        </w:rPr>
        <w:t> </w:t>
      </w:r>
      <w:r>
        <w:rPr/>
        <w:t>prevenção de ressecamento e fissuras são fundamentais para reduzir o risco de amputações.</w:t>
      </w:r>
    </w:p>
    <w:p>
      <w:pPr>
        <w:pStyle w:val="BodyText"/>
        <w:spacing w:line="280" w:lineRule="auto"/>
        <w:ind w:right="497"/>
      </w:pPr>
      <w:r>
        <w:rPr/>
        <w:t>A</w:t>
      </w:r>
      <w:r>
        <w:rPr>
          <w:spacing w:val="-1"/>
        </w:rPr>
        <w:t> </w:t>
      </w:r>
      <w:r>
        <w:rPr/>
        <w:t>prescrição de</w:t>
      </w:r>
      <w:r>
        <w:rPr>
          <w:spacing w:val="-1"/>
        </w:rPr>
        <w:t> </w:t>
      </w:r>
      <w:r>
        <w:rPr/>
        <w:t>medicamentos com ação antiagregante</w:t>
      </w:r>
      <w:r>
        <w:rPr>
          <w:spacing w:val="-1"/>
        </w:rPr>
        <w:t> </w:t>
      </w:r>
      <w:r>
        <w:rPr/>
        <w:t>plaquetária</w:t>
      </w:r>
      <w:r>
        <w:rPr>
          <w:spacing w:val="-1"/>
        </w:rPr>
        <w:t> </w:t>
      </w:r>
      <w:r>
        <w:rPr/>
        <w:t>diminui o risco de</w:t>
      </w:r>
      <w:r>
        <w:rPr>
          <w:spacing w:val="-1"/>
        </w:rPr>
        <w:t> </w:t>
      </w:r>
      <w:r>
        <w:rPr/>
        <w:t>eventos cardiovasculares em</w:t>
      </w:r>
      <w:r>
        <w:rPr>
          <w:spacing w:val="-10"/>
        </w:rPr>
        <w:t> </w:t>
      </w:r>
      <w:r>
        <w:rPr/>
        <w:t>pacientes</w:t>
      </w:r>
      <w:r>
        <w:rPr>
          <w:spacing w:val="-3"/>
        </w:rPr>
        <w:t> </w:t>
      </w:r>
      <w:r>
        <w:rPr/>
        <w:t>com</w:t>
      </w:r>
      <w:r>
        <w:rPr>
          <w:spacing w:val="-10"/>
        </w:rPr>
        <w:t> </w:t>
      </w:r>
      <w:r>
        <w:rPr/>
        <w:t>doença</w:t>
      </w:r>
      <w:r>
        <w:rPr>
          <w:spacing w:val="-13"/>
        </w:rPr>
        <w:t> </w:t>
      </w:r>
      <w:r>
        <w:rPr/>
        <w:t>arterial</w:t>
      </w:r>
      <w:r>
        <w:rPr>
          <w:spacing w:val="-8"/>
        </w:rPr>
        <w:t> </w:t>
      </w:r>
      <w:r>
        <w:rPr/>
        <w:t>obstrutiva</w:t>
      </w:r>
      <w:r>
        <w:rPr>
          <w:spacing w:val="-13"/>
        </w:rPr>
        <w:t> </w:t>
      </w:r>
      <w:r>
        <w:rPr/>
        <w:t>das</w:t>
      </w:r>
      <w:r>
        <w:rPr>
          <w:spacing w:val="-3"/>
        </w:rPr>
        <w:t> </w:t>
      </w:r>
      <w:r>
        <w:rPr/>
        <w:t>extremidades.</w:t>
      </w:r>
      <w:r>
        <w:rPr>
          <w:spacing w:val="-3"/>
        </w:rPr>
        <w:t> </w:t>
      </w:r>
      <w:r>
        <w:rPr/>
        <w:t>A</w:t>
      </w:r>
      <w:r>
        <w:rPr>
          <w:spacing w:val="-13"/>
        </w:rPr>
        <w:t> </w:t>
      </w:r>
      <w:r>
        <w:rPr/>
        <w:t>recomendação</w:t>
      </w:r>
      <w:r>
        <w:rPr>
          <w:spacing w:val="-10"/>
        </w:rPr>
        <w:t> </w:t>
      </w:r>
      <w:r>
        <w:rPr/>
        <w:t>é</w:t>
      </w:r>
      <w:r>
        <w:rPr>
          <w:spacing w:val="-13"/>
        </w:rPr>
        <w:t> </w:t>
      </w:r>
      <w:r>
        <w:rPr/>
        <w:t>para</w:t>
      </w:r>
      <w:r>
        <w:rPr>
          <w:spacing w:val="-13"/>
        </w:rPr>
        <w:t> </w:t>
      </w:r>
      <w:r>
        <w:rPr/>
        <w:t>o</w:t>
      </w:r>
      <w:r>
        <w:rPr>
          <w:spacing w:val="-10"/>
        </w:rPr>
        <w:t> </w:t>
      </w:r>
      <w:r>
        <w:rPr/>
        <w:t>uso</w:t>
      </w:r>
      <w:r>
        <w:rPr>
          <w:spacing w:val="-10"/>
        </w:rPr>
        <w:t> </w:t>
      </w:r>
      <w:r>
        <w:rPr/>
        <w:t>de</w:t>
      </w:r>
      <w:r>
        <w:rPr>
          <w:spacing w:val="-13"/>
        </w:rPr>
        <w:t> </w:t>
      </w:r>
      <w:r>
        <w:rPr/>
        <w:t>ácido</w:t>
      </w:r>
      <w:r>
        <w:rPr>
          <w:spacing w:val="-10"/>
        </w:rPr>
        <w:t> </w:t>
      </w:r>
      <w:r>
        <w:rPr/>
        <w:t>acetilsalicílico (AAS) em doses diárias entre</w:t>
      </w:r>
      <w:r>
        <w:rPr>
          <w:spacing w:val="-2"/>
        </w:rPr>
        <w:t> </w:t>
      </w:r>
      <w:r>
        <w:rPr/>
        <w:t>75 e</w:t>
      </w:r>
      <w:r>
        <w:rPr>
          <w:spacing w:val="-2"/>
        </w:rPr>
        <w:t> </w:t>
      </w:r>
      <w:r>
        <w:rPr/>
        <w:t>325 mg. Clopidogrel na</w:t>
      </w:r>
      <w:r>
        <w:rPr>
          <w:spacing w:val="-2"/>
        </w:rPr>
        <w:t> </w:t>
      </w:r>
      <w:r>
        <w:rPr/>
        <w:t>dose</w:t>
      </w:r>
      <w:r>
        <w:rPr>
          <w:spacing w:val="-2"/>
        </w:rPr>
        <w:t> </w:t>
      </w:r>
      <w:r>
        <w:rPr/>
        <w:t>de</w:t>
      </w:r>
      <w:r>
        <w:rPr>
          <w:spacing w:val="-2"/>
        </w:rPr>
        <w:t> </w:t>
      </w:r>
      <w:r>
        <w:rPr/>
        <w:t>75 mg/dia</w:t>
      </w:r>
      <w:r>
        <w:rPr>
          <w:spacing w:val="-2"/>
        </w:rPr>
        <w:t> </w:t>
      </w:r>
      <w:r>
        <w:rPr/>
        <w:t>é</w:t>
      </w:r>
      <w:r>
        <w:rPr>
          <w:spacing w:val="-2"/>
        </w:rPr>
        <w:t> </w:t>
      </w:r>
      <w:r>
        <w:rPr/>
        <w:t>considerado uma</w:t>
      </w:r>
      <w:r>
        <w:rPr>
          <w:spacing w:val="-2"/>
        </w:rPr>
        <w:t> </w:t>
      </w:r>
      <w:r>
        <w:rPr/>
        <w:t>alternativa</w:t>
      </w:r>
      <w:r>
        <w:rPr>
          <w:spacing w:val="-2"/>
        </w:rPr>
        <w:t> </w:t>
      </w:r>
      <w:r>
        <w:rPr/>
        <w:t>eficaz à terapia com AAS.</w:t>
      </w:r>
      <w:r>
        <w:rPr>
          <w:vertAlign w:val="superscript"/>
        </w:rPr>
        <w:t>4</w:t>
      </w:r>
    </w:p>
    <w:p>
      <w:pPr>
        <w:pStyle w:val="BodyText"/>
        <w:spacing w:line="276" w:lineRule="auto" w:before="43"/>
        <w:ind w:right="497"/>
      </w:pPr>
      <w:r>
        <w:rPr/>
        <w:t>A interrupção do tabagismo mostrou-se importante para a redução dos eventos cardiovasculares e a melhor evolução da claudicação intermitente. Medidas de aconselhamento e reeducação, associadas ou não a terapias medicamentosas, devem ser empregadas.</w:t>
      </w:r>
    </w:p>
    <w:p>
      <w:pPr>
        <w:pStyle w:val="BodyText"/>
        <w:spacing w:line="290" w:lineRule="auto"/>
        <w:ind w:right="487"/>
      </w:pPr>
      <w:r>
        <w:rPr/>
        <w:t>O tratamento farmacológico dos pacientes portadores de níveis séricos elevados de homocisteína e DAOP de extremidades ainda é controverso.</w:t>
      </w:r>
      <w:r>
        <w:rPr>
          <w:vertAlign w:val="superscript"/>
        </w:rPr>
        <w:t>5</w:t>
      </w:r>
    </w:p>
    <w:p>
      <w:pPr>
        <w:pStyle w:val="BodyText"/>
        <w:spacing w:before="169"/>
        <w:ind w:left="0" w:firstLine="0"/>
        <w:jc w:val="left"/>
      </w:pPr>
    </w:p>
    <w:p>
      <w:pPr>
        <w:pStyle w:val="Heading4"/>
        <w:spacing w:before="1"/>
      </w:pPr>
      <w:r>
        <w:rPr>
          <w:color w:val="242B67"/>
        </w:rPr>
        <w:t>Tratamento da claudicação </w:t>
      </w:r>
      <w:r>
        <w:rPr>
          <w:color w:val="242B67"/>
          <w:spacing w:val="-2"/>
        </w:rPr>
        <w:t>intermitente</w:t>
      </w:r>
    </w:p>
    <w:p>
      <w:pPr>
        <w:pStyle w:val="Heading5"/>
        <w:spacing w:before="177"/>
      </w:pPr>
      <w:r>
        <w:rPr>
          <w:color w:val="A26108"/>
        </w:rPr>
        <w:t>Tratamento</w:t>
      </w:r>
      <w:r>
        <w:rPr>
          <w:color w:val="A26108"/>
          <w:spacing w:val="34"/>
        </w:rPr>
        <w:t> </w:t>
      </w:r>
      <w:r>
        <w:rPr>
          <w:color w:val="A26108"/>
          <w:spacing w:val="-2"/>
        </w:rPr>
        <w:t>clínico</w:t>
      </w:r>
    </w:p>
    <w:p>
      <w:pPr>
        <w:pStyle w:val="BodyText"/>
        <w:spacing w:line="280" w:lineRule="auto" w:before="138"/>
        <w:ind w:right="491"/>
      </w:pPr>
      <w:r>
        <w:rPr/>
        <w:t>O tratamento clínico é opção não invasiva, com baixo risco de complicações e eficácia comprovada em todo o sistema cardiovascular. A atividade física previne e trata muitos dos fatores de risco para aterosclerose, como hipertensão</w:t>
      </w:r>
      <w:r>
        <w:rPr>
          <w:spacing w:val="-7"/>
        </w:rPr>
        <w:t> </w:t>
      </w:r>
      <w:r>
        <w:rPr/>
        <w:t>arterial</w:t>
      </w:r>
      <w:r>
        <w:rPr>
          <w:spacing w:val="-5"/>
        </w:rPr>
        <w:t> </w:t>
      </w:r>
      <w:r>
        <w:rPr/>
        <w:t>sistêmica</w:t>
      </w:r>
      <w:r>
        <w:rPr>
          <w:spacing w:val="-10"/>
        </w:rPr>
        <w:t> </w:t>
      </w:r>
      <w:r>
        <w:rPr/>
        <w:t>(HAS), resistência</w:t>
      </w:r>
      <w:r>
        <w:rPr>
          <w:spacing w:val="-10"/>
        </w:rPr>
        <w:t> </w:t>
      </w:r>
      <w:r>
        <w:rPr/>
        <w:t>à</w:t>
      </w:r>
      <w:r>
        <w:rPr>
          <w:spacing w:val="-10"/>
        </w:rPr>
        <w:t> </w:t>
      </w:r>
      <w:r>
        <w:rPr/>
        <w:t>insulina, hipertrigliceridemia, baixos níveis de</w:t>
      </w:r>
      <w:r>
        <w:rPr>
          <w:spacing w:val="-10"/>
        </w:rPr>
        <w:t> </w:t>
      </w:r>
      <w:r>
        <w:rPr/>
        <w:t>HDL</w:t>
      </w:r>
      <w:r>
        <w:rPr>
          <w:spacing w:val="-2"/>
        </w:rPr>
        <w:t> </w:t>
      </w:r>
      <w:r>
        <w:rPr/>
        <w:t>e</w:t>
      </w:r>
      <w:r>
        <w:rPr>
          <w:spacing w:val="-10"/>
        </w:rPr>
        <w:t> </w:t>
      </w:r>
      <w:r>
        <w:rPr/>
        <w:t>obesidade, além</w:t>
      </w:r>
      <w:r>
        <w:rPr>
          <w:spacing w:val="-4"/>
        </w:rPr>
        <w:t> </w:t>
      </w:r>
      <w:r>
        <w:rPr/>
        <w:t>de</w:t>
      </w:r>
      <w:r>
        <w:rPr>
          <w:spacing w:val="-6"/>
        </w:rPr>
        <w:t> </w:t>
      </w:r>
      <w:r>
        <w:rPr/>
        <w:t>reduzir a</w:t>
      </w:r>
      <w:r>
        <w:rPr>
          <w:spacing w:val="-6"/>
        </w:rPr>
        <w:t> </w:t>
      </w:r>
      <w:r>
        <w:rPr/>
        <w:t>prevalência</w:t>
      </w:r>
      <w:r>
        <w:rPr>
          <w:spacing w:val="-6"/>
        </w:rPr>
        <w:t> </w:t>
      </w:r>
      <w:r>
        <w:rPr/>
        <w:t>de</w:t>
      </w:r>
      <w:r>
        <w:rPr>
          <w:spacing w:val="-6"/>
        </w:rPr>
        <w:t> </w:t>
      </w:r>
      <w:r>
        <w:rPr/>
        <w:t>síndrome</w:t>
      </w:r>
      <w:r>
        <w:rPr>
          <w:spacing w:val="-6"/>
        </w:rPr>
        <w:t> </w:t>
      </w:r>
      <w:r>
        <w:rPr/>
        <w:t>metabólica</w:t>
      </w:r>
      <w:r>
        <w:rPr>
          <w:spacing w:val="-6"/>
        </w:rPr>
        <w:t> </w:t>
      </w:r>
      <w:r>
        <w:rPr/>
        <w:t>(SM), com</w:t>
      </w:r>
      <w:r>
        <w:rPr>
          <w:spacing w:val="-4"/>
        </w:rPr>
        <w:t> </w:t>
      </w:r>
      <w:r>
        <w:rPr/>
        <w:t>evidências de</w:t>
      </w:r>
      <w:r>
        <w:rPr>
          <w:spacing w:val="-6"/>
        </w:rPr>
        <w:t> </w:t>
      </w:r>
      <w:r>
        <w:rPr/>
        <w:t>aumentar a</w:t>
      </w:r>
      <w:r>
        <w:rPr>
          <w:spacing w:val="-6"/>
        </w:rPr>
        <w:t> </w:t>
      </w:r>
      <w:r>
        <w:rPr/>
        <w:t>sobrevida</w:t>
      </w:r>
      <w:r>
        <w:rPr>
          <w:spacing w:val="-6"/>
        </w:rPr>
        <w:t> </w:t>
      </w:r>
      <w:r>
        <w:rPr/>
        <w:t>nos pacientes com DAOP.</w:t>
      </w:r>
      <w:r>
        <w:rPr>
          <w:vertAlign w:val="superscript"/>
        </w:rPr>
        <w:t>12</w:t>
      </w:r>
      <w:r>
        <w:rPr>
          <w:vertAlign w:val="baseline"/>
        </w:rPr>
        <w:t> Dessa forma, é recomendado como o tratamento inicial de escolha nos pacientes com claudicação intermitente.</w:t>
      </w:r>
      <w:r>
        <w:rPr>
          <w:vertAlign w:val="superscript"/>
        </w:rPr>
        <w:t>4,13</w:t>
      </w:r>
      <w:r>
        <w:rPr>
          <w:vertAlign w:val="baseline"/>
        </w:rPr>
        <w:t> Baseia-se no treinamento físico e, em alguns casos, na terapia medicamentosa.</w:t>
      </w:r>
    </w:p>
    <w:p>
      <w:pPr>
        <w:pStyle w:val="BodyText"/>
        <w:spacing w:before="25"/>
        <w:ind w:left="0" w:firstLine="0"/>
        <w:jc w:val="left"/>
      </w:pPr>
    </w:p>
    <w:p>
      <w:pPr>
        <w:pStyle w:val="Heading7"/>
      </w:pPr>
      <w:r>
        <w:rPr>
          <w:color w:val="242B67"/>
        </w:rPr>
        <w:t>Treinamento </w:t>
      </w:r>
      <w:r>
        <w:rPr>
          <w:color w:val="242B67"/>
          <w:spacing w:val="-2"/>
        </w:rPr>
        <w:t>físico</w:t>
      </w:r>
    </w:p>
    <w:p>
      <w:pPr>
        <w:pStyle w:val="BodyText"/>
        <w:spacing w:line="278" w:lineRule="auto" w:before="126"/>
        <w:ind w:right="488"/>
      </w:pPr>
      <w:r>
        <w:rPr/>
        <w:t>O treinamento físico baseia-se em sessões de caminhada, sem interrupção da marcha com o início da dor. A deambulação</w:t>
      </w:r>
      <w:r>
        <w:rPr>
          <w:spacing w:val="-2"/>
        </w:rPr>
        <w:t> </w:t>
      </w:r>
      <w:r>
        <w:rPr/>
        <w:t>é</w:t>
      </w:r>
      <w:r>
        <w:rPr>
          <w:spacing w:val="-5"/>
        </w:rPr>
        <w:t> </w:t>
      </w:r>
      <w:r>
        <w:rPr/>
        <w:t>mantida</w:t>
      </w:r>
      <w:r>
        <w:rPr>
          <w:spacing w:val="-5"/>
        </w:rPr>
        <w:t> </w:t>
      </w:r>
      <w:r>
        <w:rPr/>
        <w:t>até</w:t>
      </w:r>
      <w:r>
        <w:rPr>
          <w:spacing w:val="-5"/>
        </w:rPr>
        <w:t> </w:t>
      </w:r>
      <w:r>
        <w:rPr/>
        <w:t>que</w:t>
      </w:r>
      <w:r>
        <w:rPr>
          <w:spacing w:val="-5"/>
        </w:rPr>
        <w:t> </w:t>
      </w:r>
      <w:r>
        <w:rPr/>
        <w:t>a</w:t>
      </w:r>
      <w:r>
        <w:rPr>
          <w:spacing w:val="-5"/>
        </w:rPr>
        <w:t> </w:t>
      </w:r>
      <w:r>
        <w:rPr/>
        <w:t>dor atinja</w:t>
      </w:r>
      <w:r>
        <w:rPr>
          <w:spacing w:val="-5"/>
        </w:rPr>
        <w:t> </w:t>
      </w:r>
      <w:r>
        <w:rPr/>
        <w:t>níveis submáximos, quando</w:t>
      </w:r>
      <w:r>
        <w:rPr>
          <w:spacing w:val="-2"/>
        </w:rPr>
        <w:t> </w:t>
      </w:r>
      <w:r>
        <w:rPr/>
        <w:t>então</w:t>
      </w:r>
      <w:r>
        <w:rPr>
          <w:spacing w:val="-2"/>
        </w:rPr>
        <w:t> </w:t>
      </w:r>
      <w:r>
        <w:rPr/>
        <w:t>o</w:t>
      </w:r>
      <w:r>
        <w:rPr>
          <w:spacing w:val="-2"/>
        </w:rPr>
        <w:t> </w:t>
      </w:r>
      <w:r>
        <w:rPr/>
        <w:t>paciente</w:t>
      </w:r>
      <w:r>
        <w:rPr>
          <w:spacing w:val="-5"/>
        </w:rPr>
        <w:t> </w:t>
      </w:r>
      <w:r>
        <w:rPr/>
        <w:t>repousa. Após a</w:t>
      </w:r>
      <w:r>
        <w:rPr>
          <w:spacing w:val="-5"/>
        </w:rPr>
        <w:t> </w:t>
      </w:r>
      <w:r>
        <w:rPr/>
        <w:t>regressão total da</w:t>
      </w:r>
      <w:r>
        <w:rPr>
          <w:spacing w:val="-5"/>
        </w:rPr>
        <w:t> </w:t>
      </w:r>
      <w:r>
        <w:rPr/>
        <w:t>dor, a</w:t>
      </w:r>
      <w:r>
        <w:rPr>
          <w:spacing w:val="-5"/>
        </w:rPr>
        <w:t> </w:t>
      </w:r>
      <w:r>
        <w:rPr/>
        <w:t>marcha</w:t>
      </w:r>
      <w:r>
        <w:rPr>
          <w:spacing w:val="-5"/>
        </w:rPr>
        <w:t> </w:t>
      </w:r>
      <w:r>
        <w:rPr/>
        <w:t>é</w:t>
      </w:r>
      <w:r>
        <w:rPr>
          <w:spacing w:val="-5"/>
        </w:rPr>
        <w:t> </w:t>
      </w:r>
      <w:r>
        <w:rPr/>
        <w:t>retomada</w:t>
      </w:r>
      <w:r>
        <w:rPr>
          <w:spacing w:val="-5"/>
        </w:rPr>
        <w:t> </w:t>
      </w:r>
      <w:r>
        <w:rPr/>
        <w:t>até</w:t>
      </w:r>
      <w:r>
        <w:rPr>
          <w:spacing w:val="-5"/>
        </w:rPr>
        <w:t> </w:t>
      </w:r>
      <w:r>
        <w:rPr/>
        <w:t>que</w:t>
      </w:r>
      <w:r>
        <w:rPr>
          <w:spacing w:val="-5"/>
        </w:rPr>
        <w:t> </w:t>
      </w:r>
      <w:r>
        <w:rPr/>
        <w:t>novamente</w:t>
      </w:r>
      <w:r>
        <w:rPr>
          <w:spacing w:val="-5"/>
        </w:rPr>
        <w:t> </w:t>
      </w:r>
      <w:r>
        <w:rPr/>
        <w:t>a</w:t>
      </w:r>
      <w:r>
        <w:rPr>
          <w:spacing w:val="-5"/>
        </w:rPr>
        <w:t> </w:t>
      </w:r>
      <w:r>
        <w:rPr/>
        <w:t>dor seja</w:t>
      </w:r>
      <w:r>
        <w:rPr>
          <w:spacing w:val="-5"/>
        </w:rPr>
        <w:t> </w:t>
      </w:r>
      <w:r>
        <w:rPr/>
        <w:t>forte</w:t>
      </w:r>
      <w:r>
        <w:rPr>
          <w:spacing w:val="-5"/>
        </w:rPr>
        <w:t> </w:t>
      </w:r>
      <w:r>
        <w:rPr/>
        <w:t>o</w:t>
      </w:r>
      <w:r>
        <w:rPr>
          <w:spacing w:val="-2"/>
        </w:rPr>
        <w:t> </w:t>
      </w:r>
      <w:r>
        <w:rPr/>
        <w:t>bastante</w:t>
      </w:r>
      <w:r>
        <w:rPr>
          <w:spacing w:val="-5"/>
        </w:rPr>
        <w:t> </w:t>
      </w:r>
      <w:r>
        <w:rPr/>
        <w:t>para</w:t>
      </w:r>
      <w:r>
        <w:rPr>
          <w:spacing w:val="-5"/>
        </w:rPr>
        <w:t> </w:t>
      </w:r>
      <w:r>
        <w:rPr/>
        <w:t>nova</w:t>
      </w:r>
      <w:r>
        <w:rPr>
          <w:spacing w:val="-5"/>
        </w:rPr>
        <w:t> </w:t>
      </w:r>
      <w:r>
        <w:rPr/>
        <w:t>interrupção. É importante que</w:t>
      </w:r>
      <w:r>
        <w:rPr>
          <w:spacing w:val="-2"/>
        </w:rPr>
        <w:t> </w:t>
      </w:r>
      <w:r>
        <w:rPr/>
        <w:t>o paciente</w:t>
      </w:r>
      <w:r>
        <w:rPr>
          <w:spacing w:val="-2"/>
        </w:rPr>
        <w:t> </w:t>
      </w:r>
      <w:r>
        <w:rPr/>
        <w:t>não interrompa</w:t>
      </w:r>
      <w:r>
        <w:rPr>
          <w:spacing w:val="-2"/>
        </w:rPr>
        <w:t> </w:t>
      </w:r>
      <w:r>
        <w:rPr/>
        <w:t>a</w:t>
      </w:r>
      <w:r>
        <w:rPr>
          <w:spacing w:val="-2"/>
        </w:rPr>
        <w:t> </w:t>
      </w:r>
      <w:r>
        <w:rPr/>
        <w:t>caminhada</w:t>
      </w:r>
      <w:r>
        <w:rPr>
          <w:spacing w:val="-2"/>
        </w:rPr>
        <w:t> </w:t>
      </w:r>
      <w:r>
        <w:rPr/>
        <w:t>logo ao início da</w:t>
      </w:r>
      <w:r>
        <w:rPr>
          <w:spacing w:val="-2"/>
        </w:rPr>
        <w:t> </w:t>
      </w:r>
      <w:r>
        <w:rPr/>
        <w:t>dor, devendo forçar a</w:t>
      </w:r>
      <w:r>
        <w:rPr>
          <w:spacing w:val="-2"/>
        </w:rPr>
        <w:t> </w:t>
      </w:r>
      <w:r>
        <w:rPr/>
        <w:t>marcha</w:t>
      </w:r>
      <w:r>
        <w:rPr>
          <w:spacing w:val="-2"/>
        </w:rPr>
        <w:t> </w:t>
      </w:r>
      <w:r>
        <w:rPr/>
        <w:t>o máximo que</w:t>
      </w:r>
      <w:r>
        <w:rPr>
          <w:spacing w:val="-2"/>
        </w:rPr>
        <w:t> </w:t>
      </w:r>
      <w:r>
        <w:rPr/>
        <w:t>suportar. Os melhores resultados são vistos com sessões de treinamento acima de 30 min, ao menos 3 vezes por semana e com duração de, no mínimo, 6 meses.</w:t>
      </w:r>
      <w:r>
        <w:rPr>
          <w:vertAlign w:val="superscript"/>
        </w:rPr>
        <w:t>14</w:t>
      </w:r>
    </w:p>
    <w:p>
      <w:pPr>
        <w:pStyle w:val="BodyText"/>
        <w:spacing w:line="276" w:lineRule="auto" w:before="66"/>
        <w:ind w:right="491"/>
      </w:pPr>
      <w:r>
        <w:rPr/>
        <w:t>O treinamento físico pode ser supervisionado ou não supervisionado. No primeiro, o exercício é acompanhado por fisioterapeutas ou educadores físicos e pode ser feito em esteiras ou pistas. Na prática clínica, entretanto, em razão dos</w:t>
      </w:r>
      <w:r>
        <w:rPr>
          <w:spacing w:val="18"/>
        </w:rPr>
        <w:t> </w:t>
      </w:r>
      <w:r>
        <w:rPr/>
        <w:t>menores</w:t>
      </w:r>
      <w:r>
        <w:rPr>
          <w:spacing w:val="18"/>
        </w:rPr>
        <w:t> </w:t>
      </w:r>
      <w:r>
        <w:rPr/>
        <w:t>custos,</w:t>
      </w:r>
      <w:r>
        <w:rPr>
          <w:spacing w:val="18"/>
        </w:rPr>
        <w:t> </w:t>
      </w:r>
      <w:r>
        <w:rPr/>
        <w:t>o treinamento físico não supervisionado,</w:t>
      </w:r>
      <w:r>
        <w:rPr>
          <w:spacing w:val="18"/>
        </w:rPr>
        <w:t> </w:t>
      </w:r>
      <w:r>
        <w:rPr/>
        <w:t>no qual</w:t>
      </w:r>
      <w:r>
        <w:rPr>
          <w:spacing w:val="13"/>
        </w:rPr>
        <w:t> </w:t>
      </w:r>
      <w:r>
        <w:rPr/>
        <w:t>o indivíduo faz o exercício por</w:t>
      </w:r>
      <w:r>
        <w:rPr>
          <w:spacing w:val="15"/>
        </w:rPr>
        <w:t> </w:t>
      </w:r>
      <w:r>
        <w:rPr/>
        <w:t>conta</w:t>
      </w:r>
    </w:p>
    <w:p>
      <w:pPr>
        <w:pStyle w:val="BodyText"/>
        <w:spacing w:after="0" w:line="276" w:lineRule="auto"/>
        <w:sectPr>
          <w:pgSz w:w="11900" w:h="16840"/>
          <w:pgMar w:top="180" w:bottom="0" w:left="566" w:right="141"/>
        </w:sectPr>
      </w:pPr>
    </w:p>
    <w:p>
      <w:pPr>
        <w:pStyle w:val="BodyText"/>
        <w:spacing w:line="278" w:lineRule="auto" w:before="74"/>
        <w:ind w:right="497" w:firstLine="0"/>
      </w:pPr>
      <w:r>
        <w:rPr/>
        <w:t>própria, após orientação médica, tem sido mais empregado. Os resultados do treinamento supervisionado parecem ser superiores, talvez porque alguns pacientes interrompem o exercício logo após o início da dor, quando não há o acompanhamento de um fisioterapeuta ou educador físico.</w:t>
      </w:r>
      <w:r>
        <w:rPr>
          <w:vertAlign w:val="superscript"/>
        </w:rPr>
        <w:t>12</w:t>
      </w:r>
      <w:r>
        <w:rPr>
          <w:vertAlign w:val="baseline"/>
        </w:rPr>
        <w:t> O seguimento é feito com os testes periódicos para avaliação da distância de marcha (testes de pista ou esteira). O ITB não é útil na avaliação da eficácia do treinamento, já que não são esperadas elevações.</w:t>
      </w:r>
    </w:p>
    <w:p>
      <w:pPr>
        <w:pStyle w:val="BodyText"/>
        <w:spacing w:line="283" w:lineRule="auto" w:before="61"/>
        <w:ind w:right="498"/>
      </w:pPr>
      <w:r>
        <w:rPr/>
        <w:t>O mecanismo pelo qual o exercício físico melhora os sintomas de claudicação intermitente de causa vascular ainda não está muito bem esclarecido. O conceito inicial de que a atividade física promove aumento da circulação colateral por estimular a</w:t>
      </w:r>
      <w:r>
        <w:rPr>
          <w:spacing w:val="-4"/>
        </w:rPr>
        <w:t> </w:t>
      </w:r>
      <w:r>
        <w:rPr/>
        <w:t>neoangiogênese</w:t>
      </w:r>
      <w:r>
        <w:rPr>
          <w:spacing w:val="-4"/>
        </w:rPr>
        <w:t> </w:t>
      </w:r>
      <w:r>
        <w:rPr/>
        <w:t>não</w:t>
      </w:r>
      <w:r>
        <w:rPr>
          <w:spacing w:val="-2"/>
        </w:rPr>
        <w:t> </w:t>
      </w:r>
      <w:r>
        <w:rPr/>
        <w:t>tem</w:t>
      </w:r>
      <w:r>
        <w:rPr>
          <w:spacing w:val="-2"/>
        </w:rPr>
        <w:t> </w:t>
      </w:r>
      <w:r>
        <w:rPr/>
        <w:t>comprovação</w:t>
      </w:r>
      <w:r>
        <w:rPr>
          <w:spacing w:val="-2"/>
        </w:rPr>
        <w:t> </w:t>
      </w:r>
      <w:r>
        <w:rPr/>
        <w:t>definitiva.</w:t>
      </w:r>
      <w:r>
        <w:rPr>
          <w:vertAlign w:val="superscript"/>
        </w:rPr>
        <w:t>15</w:t>
      </w:r>
      <w:r>
        <w:rPr>
          <w:vertAlign w:val="baseline"/>
        </w:rPr>
        <w:t> Teorias mais atuais procuram associar a melhora na distância de marcha a alterações do metabolismo muscular provocadas pelo exercício físico.</w:t>
      </w:r>
      <w:r>
        <w:rPr>
          <w:vertAlign w:val="superscript"/>
        </w:rPr>
        <w:t>5</w:t>
      </w:r>
      <w:r>
        <w:rPr>
          <w:vertAlign w:val="baseline"/>
        </w:rPr>
        <w:t> Os seguidos surtos de isquemia e reperfusão que o treinamento físico provoca seriam o estímulo para adaptações bioquímicas</w:t>
      </w:r>
      <w:r>
        <w:rPr>
          <w:spacing w:val="-3"/>
          <w:vertAlign w:val="baseline"/>
        </w:rPr>
        <w:t> </w:t>
      </w:r>
      <w:r>
        <w:rPr>
          <w:vertAlign w:val="baseline"/>
        </w:rPr>
        <w:t>intracelulares,</w:t>
      </w:r>
      <w:r>
        <w:rPr>
          <w:spacing w:val="-3"/>
          <w:vertAlign w:val="baseline"/>
        </w:rPr>
        <w:t> </w:t>
      </w:r>
      <w:r>
        <w:rPr>
          <w:vertAlign w:val="baseline"/>
        </w:rPr>
        <w:t>levando</w:t>
      </w:r>
      <w:r>
        <w:rPr>
          <w:spacing w:val="-11"/>
          <w:vertAlign w:val="baseline"/>
        </w:rPr>
        <w:t> </w:t>
      </w:r>
      <w:r>
        <w:rPr>
          <w:vertAlign w:val="baseline"/>
        </w:rPr>
        <w:t>a</w:t>
      </w:r>
      <w:r>
        <w:rPr>
          <w:spacing w:val="-13"/>
          <w:vertAlign w:val="baseline"/>
        </w:rPr>
        <w:t> </w:t>
      </w:r>
      <w:r>
        <w:rPr>
          <w:vertAlign w:val="baseline"/>
        </w:rPr>
        <w:t>um</w:t>
      </w:r>
      <w:r>
        <w:rPr>
          <w:spacing w:val="-11"/>
          <w:vertAlign w:val="baseline"/>
        </w:rPr>
        <w:t> </w:t>
      </w:r>
      <w:r>
        <w:rPr>
          <w:vertAlign w:val="baseline"/>
        </w:rPr>
        <w:t>aproveitamento</w:t>
      </w:r>
      <w:r>
        <w:rPr>
          <w:spacing w:val="-11"/>
          <w:vertAlign w:val="baseline"/>
        </w:rPr>
        <w:t> </w:t>
      </w:r>
      <w:r>
        <w:rPr>
          <w:vertAlign w:val="baseline"/>
        </w:rPr>
        <w:t>mais</w:t>
      </w:r>
      <w:r>
        <w:rPr>
          <w:spacing w:val="-3"/>
          <w:vertAlign w:val="baseline"/>
        </w:rPr>
        <w:t> </w:t>
      </w:r>
      <w:r>
        <w:rPr>
          <w:vertAlign w:val="baseline"/>
        </w:rPr>
        <w:t>eficaz</w:t>
      </w:r>
      <w:r>
        <w:rPr>
          <w:spacing w:val="-13"/>
          <w:vertAlign w:val="baseline"/>
        </w:rPr>
        <w:t> </w:t>
      </w:r>
      <w:r>
        <w:rPr>
          <w:vertAlign w:val="baseline"/>
        </w:rPr>
        <w:t>do</w:t>
      </w:r>
      <w:r>
        <w:rPr>
          <w:spacing w:val="-11"/>
          <w:vertAlign w:val="baseline"/>
        </w:rPr>
        <w:t> </w:t>
      </w:r>
      <w:r>
        <w:rPr>
          <w:vertAlign w:val="baseline"/>
        </w:rPr>
        <w:t>oxigênio</w:t>
      </w:r>
      <w:r>
        <w:rPr>
          <w:spacing w:val="-11"/>
          <w:vertAlign w:val="baseline"/>
        </w:rPr>
        <w:t> </w:t>
      </w:r>
      <w:r>
        <w:rPr>
          <w:vertAlign w:val="baseline"/>
        </w:rPr>
        <w:t>pelo</w:t>
      </w:r>
      <w:r>
        <w:rPr>
          <w:spacing w:val="-11"/>
          <w:vertAlign w:val="baseline"/>
        </w:rPr>
        <w:t> </w:t>
      </w:r>
      <w:r>
        <w:rPr>
          <w:vertAlign w:val="baseline"/>
        </w:rPr>
        <w:t>músculo</w:t>
      </w:r>
      <w:r>
        <w:rPr>
          <w:spacing w:val="-11"/>
          <w:vertAlign w:val="baseline"/>
        </w:rPr>
        <w:t> </w:t>
      </w:r>
      <w:r>
        <w:rPr>
          <w:vertAlign w:val="baseline"/>
        </w:rPr>
        <w:t>e</w:t>
      </w:r>
      <w:r>
        <w:rPr>
          <w:spacing w:val="-13"/>
          <w:vertAlign w:val="baseline"/>
        </w:rPr>
        <w:t> </w:t>
      </w:r>
      <w:r>
        <w:rPr>
          <w:vertAlign w:val="baseline"/>
        </w:rPr>
        <w:t>melhora</w:t>
      </w:r>
      <w:r>
        <w:rPr>
          <w:spacing w:val="-13"/>
          <w:vertAlign w:val="baseline"/>
        </w:rPr>
        <w:t> </w:t>
      </w:r>
      <w:r>
        <w:rPr>
          <w:vertAlign w:val="baseline"/>
        </w:rPr>
        <w:t>na</w:t>
      </w:r>
      <w:r>
        <w:rPr>
          <w:spacing w:val="-13"/>
          <w:vertAlign w:val="baseline"/>
        </w:rPr>
        <w:t> </w:t>
      </w:r>
      <w:r>
        <w:rPr>
          <w:vertAlign w:val="baseline"/>
        </w:rPr>
        <w:t>função </w:t>
      </w:r>
      <w:r>
        <w:rPr>
          <w:spacing w:val="-2"/>
          <w:vertAlign w:val="baseline"/>
        </w:rPr>
        <w:t>endotelial.</w:t>
      </w:r>
      <w:r>
        <w:rPr>
          <w:spacing w:val="-2"/>
          <w:vertAlign w:val="superscript"/>
        </w:rPr>
        <w:t>5,7,8,15</w:t>
      </w:r>
    </w:p>
    <w:p>
      <w:pPr>
        <w:pStyle w:val="BodyText"/>
        <w:spacing w:line="280" w:lineRule="auto" w:before="41"/>
        <w:ind w:right="497"/>
      </w:pPr>
      <w:r>
        <w:rPr/>
        <w:t>Além do exercício aeróbico, tem sido estudado o efeito do treinamento com carga em pacientes com DAOP. Sabe-se que esses indivíduos têm menor força muscular nos membros inferiores e menor massa muscular na panturrilha em relação aos não portadores de DAOP, o que traz grande prejuízo funcional. Claudicantes tratados com</w:t>
      </w:r>
      <w:r>
        <w:rPr>
          <w:spacing w:val="-10"/>
        </w:rPr>
        <w:t> </w:t>
      </w:r>
      <w:r>
        <w:rPr/>
        <w:t>exercícios</w:t>
      </w:r>
      <w:r>
        <w:rPr>
          <w:spacing w:val="-3"/>
        </w:rPr>
        <w:t> </w:t>
      </w:r>
      <w:r>
        <w:rPr/>
        <w:t>resistidos</w:t>
      </w:r>
      <w:r>
        <w:rPr>
          <w:spacing w:val="-3"/>
        </w:rPr>
        <w:t> </w:t>
      </w:r>
      <w:r>
        <w:rPr/>
        <w:t>apresentaram</w:t>
      </w:r>
      <w:r>
        <w:rPr>
          <w:spacing w:val="-10"/>
        </w:rPr>
        <w:t> </w:t>
      </w:r>
      <w:r>
        <w:rPr/>
        <w:t>progresso</w:t>
      </w:r>
      <w:r>
        <w:rPr>
          <w:spacing w:val="-10"/>
        </w:rPr>
        <w:t> </w:t>
      </w:r>
      <w:r>
        <w:rPr/>
        <w:t>em</w:t>
      </w:r>
      <w:r>
        <w:rPr>
          <w:spacing w:val="-10"/>
        </w:rPr>
        <w:t> </w:t>
      </w:r>
      <w:r>
        <w:rPr/>
        <w:t>critérios</w:t>
      </w:r>
      <w:r>
        <w:rPr>
          <w:spacing w:val="-3"/>
        </w:rPr>
        <w:t> </w:t>
      </w:r>
      <w:r>
        <w:rPr/>
        <w:t>de</w:t>
      </w:r>
      <w:r>
        <w:rPr>
          <w:spacing w:val="-13"/>
        </w:rPr>
        <w:t> </w:t>
      </w:r>
      <w:r>
        <w:rPr/>
        <w:t>avaliação</w:t>
      </w:r>
      <w:r>
        <w:rPr>
          <w:spacing w:val="-10"/>
        </w:rPr>
        <w:t> </w:t>
      </w:r>
      <w:r>
        <w:rPr/>
        <w:t>da</w:t>
      </w:r>
      <w:r>
        <w:rPr>
          <w:spacing w:val="-13"/>
        </w:rPr>
        <w:t> </w:t>
      </w:r>
      <w:r>
        <w:rPr/>
        <w:t>qualidade</w:t>
      </w:r>
      <w:r>
        <w:rPr>
          <w:spacing w:val="-13"/>
        </w:rPr>
        <w:t> </w:t>
      </w:r>
      <w:r>
        <w:rPr/>
        <w:t>de</w:t>
      </w:r>
      <w:r>
        <w:rPr>
          <w:spacing w:val="-13"/>
        </w:rPr>
        <w:t> </w:t>
      </w:r>
      <w:r>
        <w:rPr/>
        <w:t>vida,</w:t>
      </w:r>
      <w:r>
        <w:rPr>
          <w:spacing w:val="-3"/>
        </w:rPr>
        <w:t> </w:t>
      </w:r>
      <w:r>
        <w:rPr/>
        <w:t>como</w:t>
      </w:r>
      <w:r>
        <w:rPr>
          <w:spacing w:val="-10"/>
        </w:rPr>
        <w:t> </w:t>
      </w:r>
      <w:r>
        <w:rPr/>
        <w:t>a</w:t>
      </w:r>
      <w:r>
        <w:rPr>
          <w:spacing w:val="-13"/>
        </w:rPr>
        <w:t> </w:t>
      </w:r>
      <w:r>
        <w:rPr/>
        <w:t>capacidade de subir escadas, além de testes de força muscular.</w:t>
      </w:r>
      <w:r>
        <w:rPr>
          <w:vertAlign w:val="superscript"/>
        </w:rPr>
        <w:t>10</w:t>
      </w:r>
    </w:p>
    <w:p>
      <w:pPr>
        <w:pStyle w:val="BodyText"/>
        <w:spacing w:before="14"/>
        <w:ind w:left="0" w:firstLine="0"/>
        <w:jc w:val="left"/>
      </w:pPr>
    </w:p>
    <w:p>
      <w:pPr>
        <w:pStyle w:val="Heading7"/>
        <w:spacing w:before="1"/>
      </w:pPr>
      <w:r>
        <w:rPr>
          <w:color w:val="242B67"/>
        </w:rPr>
        <w:t>Profilaxia das lesões </w:t>
      </w:r>
      <w:r>
        <w:rPr>
          <w:color w:val="242B67"/>
          <w:spacing w:val="-2"/>
        </w:rPr>
        <w:t>tróficas</w:t>
      </w:r>
    </w:p>
    <w:p>
      <w:pPr>
        <w:pStyle w:val="BodyText"/>
        <w:spacing w:line="276" w:lineRule="auto" w:before="126"/>
        <w:jc w:val="left"/>
      </w:pPr>
      <w:r>
        <w:rPr/>
        <w:t>O paciente deve ser orientado no sentido de manter os pés e pernas em boas condições de higiene, a pele bem hidratada, além</w:t>
      </w:r>
      <w:r>
        <w:rPr>
          <w:spacing w:val="-3"/>
        </w:rPr>
        <w:t> </w:t>
      </w:r>
      <w:r>
        <w:rPr/>
        <w:t>de</w:t>
      </w:r>
      <w:r>
        <w:rPr>
          <w:spacing w:val="-6"/>
        </w:rPr>
        <w:t> </w:t>
      </w:r>
      <w:r>
        <w:rPr/>
        <w:t>prevenir ou</w:t>
      </w:r>
      <w:r>
        <w:rPr>
          <w:spacing w:val="-3"/>
        </w:rPr>
        <w:t> </w:t>
      </w:r>
      <w:r>
        <w:rPr/>
        <w:t>tratar precocemente</w:t>
      </w:r>
      <w:r>
        <w:rPr>
          <w:spacing w:val="-6"/>
        </w:rPr>
        <w:t> </w:t>
      </w:r>
      <w:r>
        <w:rPr/>
        <w:t>infecções cutâneas e</w:t>
      </w:r>
      <w:r>
        <w:rPr>
          <w:spacing w:val="-6"/>
        </w:rPr>
        <w:t> </w:t>
      </w:r>
      <w:r>
        <w:rPr/>
        <w:t>micoses interdigitais, e</w:t>
      </w:r>
      <w:r>
        <w:rPr>
          <w:spacing w:val="-6"/>
        </w:rPr>
        <w:t> </w:t>
      </w:r>
      <w:r>
        <w:rPr/>
        <w:t>evitar traumas.</w:t>
      </w:r>
    </w:p>
    <w:p>
      <w:pPr>
        <w:pStyle w:val="BodyText"/>
        <w:spacing w:line="276" w:lineRule="auto" w:before="64"/>
        <w:ind w:right="497"/>
        <w:jc w:val="left"/>
      </w:pPr>
      <w:r>
        <w:rPr/>
        <w:t>Nesse</w:t>
      </w:r>
      <w:r>
        <w:rPr>
          <w:spacing w:val="-4"/>
        </w:rPr>
        <w:t> </w:t>
      </w:r>
      <w:r>
        <w:rPr/>
        <w:t>sentido, recomenda-se</w:t>
      </w:r>
      <w:r>
        <w:rPr>
          <w:spacing w:val="-4"/>
        </w:rPr>
        <w:t> </w:t>
      </w:r>
      <w:r>
        <w:rPr/>
        <w:t>cuidado</w:t>
      </w:r>
      <w:r>
        <w:rPr>
          <w:spacing w:val="-2"/>
        </w:rPr>
        <w:t> </w:t>
      </w:r>
      <w:r>
        <w:rPr/>
        <w:t>com</w:t>
      </w:r>
      <w:r>
        <w:rPr>
          <w:spacing w:val="-2"/>
        </w:rPr>
        <w:t> </w:t>
      </w:r>
      <w:r>
        <w:rPr/>
        <w:t>as unhas, que</w:t>
      </w:r>
      <w:r>
        <w:rPr>
          <w:spacing w:val="-4"/>
        </w:rPr>
        <w:t> </w:t>
      </w:r>
      <w:r>
        <w:rPr/>
        <w:t>devem</w:t>
      </w:r>
      <w:r>
        <w:rPr>
          <w:spacing w:val="-2"/>
        </w:rPr>
        <w:t> </w:t>
      </w:r>
      <w:r>
        <w:rPr/>
        <w:t>ser cortadas retas, rentes à</w:t>
      </w:r>
      <w:r>
        <w:rPr>
          <w:spacing w:val="-4"/>
        </w:rPr>
        <w:t> </w:t>
      </w:r>
      <w:r>
        <w:rPr/>
        <w:t>pele, aconselhando-se</w:t>
      </w:r>
      <w:r>
        <w:rPr>
          <w:spacing w:val="-1"/>
        </w:rPr>
        <w:t> </w:t>
      </w:r>
      <w:r>
        <w:rPr/>
        <w:t>o uso de</w:t>
      </w:r>
      <w:r>
        <w:rPr>
          <w:spacing w:val="-1"/>
        </w:rPr>
        <w:t> </w:t>
      </w:r>
      <w:r>
        <w:rPr/>
        <w:t>calçados suficientemente</w:t>
      </w:r>
      <w:r>
        <w:rPr>
          <w:spacing w:val="-1"/>
        </w:rPr>
        <w:t> </w:t>
      </w:r>
      <w:r>
        <w:rPr/>
        <w:t>folgados a</w:t>
      </w:r>
      <w:r>
        <w:rPr>
          <w:spacing w:val="-1"/>
        </w:rPr>
        <w:t> </w:t>
      </w:r>
      <w:r>
        <w:rPr/>
        <w:t>fim de</w:t>
      </w:r>
      <w:r>
        <w:rPr>
          <w:spacing w:val="-1"/>
        </w:rPr>
        <w:t> </w:t>
      </w:r>
      <w:r>
        <w:rPr/>
        <w:t>não exercerem compressão sobre</w:t>
      </w:r>
      <w:r>
        <w:rPr>
          <w:spacing w:val="-1"/>
        </w:rPr>
        <w:t> </w:t>
      </w:r>
      <w:r>
        <w:rPr/>
        <w:t>a</w:t>
      </w:r>
      <w:r>
        <w:rPr>
          <w:spacing w:val="-1"/>
        </w:rPr>
        <w:t> </w:t>
      </w:r>
      <w:r>
        <w:rPr/>
        <w:t>pele</w:t>
      </w:r>
      <w:r>
        <w:rPr>
          <w:spacing w:val="-1"/>
        </w:rPr>
        <w:t> </w:t>
      </w:r>
      <w:r>
        <w:rPr/>
        <w:t>isquêmica</w:t>
      </w:r>
      <w:r>
        <w:rPr>
          <w:spacing w:val="-1"/>
        </w:rPr>
        <w:t> </w:t>
      </w:r>
      <w:r>
        <w:rPr/>
        <w:t>dos pés.</w:t>
      </w:r>
    </w:p>
    <w:p>
      <w:pPr>
        <w:pStyle w:val="BodyText"/>
        <w:spacing w:line="276" w:lineRule="auto" w:before="49"/>
        <w:jc w:val="left"/>
      </w:pPr>
      <w:r>
        <w:rPr/>
        <w:t>Aconselha-se</w:t>
      </w:r>
      <w:r>
        <w:rPr>
          <w:spacing w:val="23"/>
        </w:rPr>
        <w:t> </w:t>
      </w:r>
      <w:r>
        <w:rPr/>
        <w:t>ao</w:t>
      </w:r>
      <w:r>
        <w:rPr>
          <w:spacing w:val="25"/>
        </w:rPr>
        <w:t> </w:t>
      </w:r>
      <w:r>
        <w:rPr/>
        <w:t>doente</w:t>
      </w:r>
      <w:r>
        <w:rPr>
          <w:spacing w:val="23"/>
        </w:rPr>
        <w:t> </w:t>
      </w:r>
      <w:r>
        <w:rPr/>
        <w:t>proteger-se</w:t>
      </w:r>
      <w:r>
        <w:rPr>
          <w:spacing w:val="23"/>
        </w:rPr>
        <w:t> </w:t>
      </w:r>
      <w:r>
        <w:rPr/>
        <w:t>contra</w:t>
      </w:r>
      <w:r>
        <w:rPr>
          <w:spacing w:val="23"/>
        </w:rPr>
        <w:t> </w:t>
      </w:r>
      <w:r>
        <w:rPr/>
        <w:t>as</w:t>
      </w:r>
      <w:r>
        <w:rPr>
          <w:spacing w:val="33"/>
        </w:rPr>
        <w:t> </w:t>
      </w:r>
      <w:r>
        <w:rPr/>
        <w:t>baixas</w:t>
      </w:r>
      <w:r>
        <w:rPr>
          <w:spacing w:val="33"/>
        </w:rPr>
        <w:t> </w:t>
      </w:r>
      <w:r>
        <w:rPr/>
        <w:t>temperaturas,</w:t>
      </w:r>
      <w:r>
        <w:rPr>
          <w:spacing w:val="33"/>
        </w:rPr>
        <w:t> </w:t>
      </w:r>
      <w:r>
        <w:rPr/>
        <w:t>pois</w:t>
      </w:r>
      <w:r>
        <w:rPr>
          <w:spacing w:val="33"/>
        </w:rPr>
        <w:t> </w:t>
      </w:r>
      <w:r>
        <w:rPr/>
        <w:t>o</w:t>
      </w:r>
      <w:r>
        <w:rPr>
          <w:spacing w:val="25"/>
        </w:rPr>
        <w:t> </w:t>
      </w:r>
      <w:r>
        <w:rPr/>
        <w:t>frio</w:t>
      </w:r>
      <w:r>
        <w:rPr>
          <w:spacing w:val="25"/>
        </w:rPr>
        <w:t> </w:t>
      </w:r>
      <w:r>
        <w:rPr/>
        <w:t>determina</w:t>
      </w:r>
      <w:r>
        <w:rPr>
          <w:spacing w:val="23"/>
        </w:rPr>
        <w:t> </w:t>
      </w:r>
      <w:r>
        <w:rPr/>
        <w:t>vasoconstrição</w:t>
      </w:r>
      <w:r>
        <w:rPr>
          <w:spacing w:val="25"/>
        </w:rPr>
        <w:t> </w:t>
      </w:r>
      <w:r>
        <w:rPr/>
        <w:t>que agrava</w:t>
      </w:r>
      <w:r>
        <w:rPr>
          <w:spacing w:val="-5"/>
        </w:rPr>
        <w:t> </w:t>
      </w:r>
      <w:r>
        <w:rPr/>
        <w:t>as condições circulatórias periféricas, agasalhando</w:t>
      </w:r>
      <w:r>
        <w:rPr>
          <w:spacing w:val="-2"/>
        </w:rPr>
        <w:t> </w:t>
      </w:r>
      <w:r>
        <w:rPr/>
        <w:t>não</w:t>
      </w:r>
      <w:r>
        <w:rPr>
          <w:spacing w:val="-2"/>
        </w:rPr>
        <w:t> </w:t>
      </w:r>
      <w:r>
        <w:rPr/>
        <w:t>só</w:t>
      </w:r>
      <w:r>
        <w:rPr>
          <w:spacing w:val="-2"/>
        </w:rPr>
        <w:t> </w:t>
      </w:r>
      <w:r>
        <w:rPr/>
        <w:t>as extremidades como</w:t>
      </w:r>
      <w:r>
        <w:rPr>
          <w:spacing w:val="-2"/>
        </w:rPr>
        <w:t> </w:t>
      </w:r>
      <w:r>
        <w:rPr/>
        <w:t>toda</w:t>
      </w:r>
      <w:r>
        <w:rPr>
          <w:spacing w:val="-5"/>
        </w:rPr>
        <w:t> </w:t>
      </w:r>
      <w:r>
        <w:rPr/>
        <w:t>a</w:t>
      </w:r>
      <w:r>
        <w:rPr>
          <w:spacing w:val="-5"/>
        </w:rPr>
        <w:t> </w:t>
      </w:r>
      <w:r>
        <w:rPr/>
        <w:t>superfície</w:t>
      </w:r>
      <w:r>
        <w:rPr>
          <w:spacing w:val="-5"/>
        </w:rPr>
        <w:t> </w:t>
      </w:r>
      <w:r>
        <w:rPr/>
        <w:t>corporal.</w:t>
      </w:r>
    </w:p>
    <w:p>
      <w:pPr>
        <w:pStyle w:val="BodyText"/>
        <w:spacing w:before="24"/>
        <w:ind w:left="0" w:firstLine="0"/>
        <w:jc w:val="left"/>
      </w:pPr>
    </w:p>
    <w:p>
      <w:pPr>
        <w:pStyle w:val="Heading7"/>
      </w:pPr>
      <w:r>
        <w:rPr>
          <w:color w:val="242B67"/>
        </w:rPr>
        <w:t>Tratamento </w:t>
      </w:r>
      <w:r>
        <w:rPr>
          <w:color w:val="242B67"/>
          <w:spacing w:val="-2"/>
        </w:rPr>
        <w:t>farmacológico</w:t>
      </w:r>
    </w:p>
    <w:p>
      <w:pPr>
        <w:pStyle w:val="BodyText"/>
        <w:spacing w:line="280" w:lineRule="auto" w:before="126"/>
        <w:ind w:right="490"/>
      </w:pPr>
      <w:r>
        <w:rPr/>
        <w:t>Alguns fármacos têm sido estudados visando à melhora dos sintomas resultantes da DAOP. O cilostazol, um inibidor da fosfodiesterase tipo III, tem propriedades vasodilatadoras e antiagregante plaquetária, tendo sido apontado também como inibidor da proliferação de células musculares lisas vasculares. É recomendado pelo American College of Cardiology para o alívio de sintomas de claudicação intermitente na dose de 100 mg 2 vezes/dia.</w:t>
      </w:r>
      <w:r>
        <w:rPr>
          <w:vertAlign w:val="superscript"/>
        </w:rPr>
        <w:t>4</w:t>
      </w:r>
      <w:r>
        <w:rPr>
          <w:vertAlign w:val="baseline"/>
        </w:rPr>
        <w:t> Não</w:t>
      </w:r>
      <w:r>
        <w:rPr>
          <w:spacing w:val="-1"/>
          <w:vertAlign w:val="baseline"/>
        </w:rPr>
        <w:t> </w:t>
      </w:r>
      <w:r>
        <w:rPr>
          <w:vertAlign w:val="baseline"/>
        </w:rPr>
        <w:t>deve</w:t>
      </w:r>
      <w:r>
        <w:rPr>
          <w:spacing w:val="-3"/>
          <w:vertAlign w:val="baseline"/>
        </w:rPr>
        <w:t> </w:t>
      </w:r>
      <w:r>
        <w:rPr>
          <w:vertAlign w:val="baseline"/>
        </w:rPr>
        <w:t>ser prescrito</w:t>
      </w:r>
      <w:r>
        <w:rPr>
          <w:spacing w:val="-1"/>
          <w:vertAlign w:val="baseline"/>
        </w:rPr>
        <w:t> </w:t>
      </w:r>
      <w:r>
        <w:rPr>
          <w:vertAlign w:val="baseline"/>
        </w:rPr>
        <w:t>para</w:t>
      </w:r>
      <w:r>
        <w:rPr>
          <w:spacing w:val="-3"/>
          <w:vertAlign w:val="baseline"/>
        </w:rPr>
        <w:t> </w:t>
      </w:r>
      <w:r>
        <w:rPr>
          <w:vertAlign w:val="baseline"/>
        </w:rPr>
        <w:t>portadores de</w:t>
      </w:r>
      <w:r>
        <w:rPr>
          <w:spacing w:val="-3"/>
          <w:vertAlign w:val="baseline"/>
        </w:rPr>
        <w:t> </w:t>
      </w:r>
      <w:r>
        <w:rPr>
          <w:vertAlign w:val="baseline"/>
        </w:rPr>
        <w:t>insuficiência</w:t>
      </w:r>
      <w:r>
        <w:rPr>
          <w:spacing w:val="-3"/>
          <w:vertAlign w:val="baseline"/>
        </w:rPr>
        <w:t> </w:t>
      </w:r>
      <w:r>
        <w:rPr>
          <w:vertAlign w:val="baseline"/>
        </w:rPr>
        <w:t>cardíaca, pois medicamentos dessa</w:t>
      </w:r>
      <w:r>
        <w:rPr>
          <w:spacing w:val="-3"/>
          <w:vertAlign w:val="baseline"/>
        </w:rPr>
        <w:t> </w:t>
      </w:r>
      <w:r>
        <w:rPr>
          <w:vertAlign w:val="baseline"/>
        </w:rPr>
        <w:t>classe</w:t>
      </w:r>
      <w:r>
        <w:rPr>
          <w:spacing w:val="-3"/>
          <w:vertAlign w:val="baseline"/>
        </w:rPr>
        <w:t> </w:t>
      </w:r>
      <w:r>
        <w:rPr>
          <w:vertAlign w:val="baseline"/>
        </w:rPr>
        <w:t>foram associados a maior mortalidade nesses pacientes.</w:t>
      </w:r>
      <w:r>
        <w:rPr>
          <w:vertAlign w:val="superscript"/>
        </w:rPr>
        <w:t>4,5</w:t>
      </w:r>
    </w:p>
    <w:p>
      <w:pPr>
        <w:pStyle w:val="BodyText"/>
        <w:spacing w:line="280" w:lineRule="auto"/>
        <w:ind w:right="488"/>
      </w:pPr>
      <w:r>
        <w:rPr/>
        <w:t>A pentoxifilina, um derivado da metilxantina, é agente hemorreológico que aumenta a deformabilidade eritrocitária, reduz a agregação plaquetária e os níveis de fibrinogênio. Apesar de aprovada para uso em pacientes claudicantes como terapia alternativa ao cilostazol, sua eficácia clínica é apenas marginal e não muito bem </w:t>
      </w:r>
      <w:r>
        <w:rPr>
          <w:spacing w:val="-2"/>
        </w:rPr>
        <w:t>estabelecida.</w:t>
      </w:r>
      <w:r>
        <w:rPr>
          <w:spacing w:val="-2"/>
          <w:vertAlign w:val="superscript"/>
        </w:rPr>
        <w:t>4</w:t>
      </w:r>
    </w:p>
    <w:p>
      <w:pPr>
        <w:pStyle w:val="BodyText"/>
        <w:spacing w:line="276" w:lineRule="auto" w:before="44"/>
        <w:ind w:right="497"/>
      </w:pPr>
      <w:r>
        <w:rPr/>
        <w:t>Os vasodilatadores vêm sendo utilizados há muitos anos; entretanto, até o presente momento pode-se afirmar que esses fármacos, com ampla gama de representantes e diversos mecanismos de ação, não tiveram sua real eficácia confirmada no tratamento da claudicação intermitente. Isso se deve ao fato de não existir vasoconstrição nos tecidos isquêmicos. Ao contrário, em tecidos isquêmicos, a vasodilatação já é máxima, não havendo, então, justificativa para a utilização desses medicamentos. Provavelmente os vasodilatadores ainda desviam sangue para tecidos normais, cujos vasos têm a capacidade de se dilatar, o que poderia ocasionar diminuição ainda maior do fluxo arterial para tecidos isquêmicos.</w:t>
      </w:r>
    </w:p>
    <w:p>
      <w:pPr>
        <w:pStyle w:val="BodyText"/>
        <w:spacing w:line="276" w:lineRule="auto"/>
        <w:ind w:right="500"/>
      </w:pPr>
      <w:r>
        <w:rPr/>
        <w:t>Outros fármacos, como</w:t>
      </w:r>
      <w:r>
        <w:rPr>
          <w:spacing w:val="-5"/>
        </w:rPr>
        <w:t> </w:t>
      </w:r>
      <w:r>
        <w:rPr/>
        <w:t>as prostaglandinas, têm</w:t>
      </w:r>
      <w:r>
        <w:rPr>
          <w:spacing w:val="-5"/>
        </w:rPr>
        <w:t> </w:t>
      </w:r>
      <w:r>
        <w:rPr/>
        <w:t>maior aplicabilidade</w:t>
      </w:r>
      <w:r>
        <w:rPr>
          <w:spacing w:val="-7"/>
        </w:rPr>
        <w:t> </w:t>
      </w:r>
      <w:r>
        <w:rPr/>
        <w:t>clínica</w:t>
      </w:r>
      <w:r>
        <w:rPr>
          <w:spacing w:val="-7"/>
        </w:rPr>
        <w:t> </w:t>
      </w:r>
      <w:r>
        <w:rPr/>
        <w:t>em</w:t>
      </w:r>
      <w:r>
        <w:rPr>
          <w:spacing w:val="-5"/>
        </w:rPr>
        <w:t> </w:t>
      </w:r>
      <w:r>
        <w:rPr/>
        <w:t>pacientes com</w:t>
      </w:r>
      <w:r>
        <w:rPr>
          <w:spacing w:val="-5"/>
        </w:rPr>
        <w:t> </w:t>
      </w:r>
      <w:r>
        <w:rPr/>
        <w:t>isquemia</w:t>
      </w:r>
      <w:r>
        <w:rPr>
          <w:spacing w:val="-7"/>
        </w:rPr>
        <w:t> </w:t>
      </w:r>
      <w:r>
        <w:rPr/>
        <w:t>crítica. Suplementos nutricionais, como a L-arginina (precursor do óxido nítrico sintetizado no endotélio com função vasodilatadora) e a L-carnitina (cofator no metabolismo do músculo esquelético) ainda carecem de estudos mais definitivos até que possam ser aprovados para uso na prática médica.</w:t>
      </w:r>
    </w:p>
    <w:p>
      <w:pPr>
        <w:pStyle w:val="BodyText"/>
        <w:spacing w:before="134"/>
        <w:ind w:left="0" w:firstLine="0"/>
        <w:jc w:val="left"/>
      </w:pPr>
    </w:p>
    <w:p>
      <w:pPr>
        <w:pStyle w:val="Heading5"/>
      </w:pPr>
      <w:r>
        <w:rPr>
          <w:color w:val="A26108"/>
        </w:rPr>
        <w:t>Tratamento</w:t>
      </w:r>
      <w:r>
        <w:rPr>
          <w:color w:val="A26108"/>
          <w:spacing w:val="34"/>
        </w:rPr>
        <w:t> </w:t>
      </w:r>
      <w:r>
        <w:rPr>
          <w:color w:val="A26108"/>
          <w:spacing w:val="-2"/>
        </w:rPr>
        <w:t>intervencionista</w:t>
      </w:r>
    </w:p>
    <w:p>
      <w:pPr>
        <w:pStyle w:val="Heading5"/>
        <w:spacing w:after="0"/>
        <w:sectPr>
          <w:pgSz w:w="11900" w:h="16840"/>
          <w:pgMar w:top="200" w:bottom="280" w:left="566" w:right="141"/>
        </w:sectPr>
      </w:pPr>
    </w:p>
    <w:p>
      <w:pPr>
        <w:pStyle w:val="BodyText"/>
        <w:spacing w:line="278" w:lineRule="auto" w:before="66"/>
        <w:ind w:right="488"/>
      </w:pPr>
      <w:r>
        <w:rPr/>
        <w:t>A</w:t>
      </w:r>
      <w:r>
        <w:rPr>
          <w:spacing w:val="-13"/>
        </w:rPr>
        <w:t> </w:t>
      </w:r>
      <w:r>
        <w:rPr/>
        <w:t>indicação</w:t>
      </w:r>
      <w:r>
        <w:rPr>
          <w:spacing w:val="-11"/>
        </w:rPr>
        <w:t> </w:t>
      </w:r>
      <w:r>
        <w:rPr/>
        <w:t>para</w:t>
      </w:r>
      <w:r>
        <w:rPr>
          <w:spacing w:val="-13"/>
        </w:rPr>
        <w:t> </w:t>
      </w:r>
      <w:r>
        <w:rPr/>
        <w:t>o</w:t>
      </w:r>
      <w:r>
        <w:rPr>
          <w:spacing w:val="-11"/>
        </w:rPr>
        <w:t> </w:t>
      </w:r>
      <w:r>
        <w:rPr/>
        <w:t>tratamento</w:t>
      </w:r>
      <w:r>
        <w:rPr>
          <w:spacing w:val="-11"/>
        </w:rPr>
        <w:t> </w:t>
      </w:r>
      <w:r>
        <w:rPr/>
        <w:t>intervencionista</w:t>
      </w:r>
      <w:r>
        <w:rPr>
          <w:spacing w:val="-13"/>
        </w:rPr>
        <w:t> </w:t>
      </w:r>
      <w:r>
        <w:rPr/>
        <w:t>do</w:t>
      </w:r>
      <w:r>
        <w:rPr>
          <w:spacing w:val="-11"/>
        </w:rPr>
        <w:t> </w:t>
      </w:r>
      <w:r>
        <w:rPr/>
        <w:t>paciente</w:t>
      </w:r>
      <w:r>
        <w:rPr>
          <w:spacing w:val="-13"/>
        </w:rPr>
        <w:t> </w:t>
      </w:r>
      <w:r>
        <w:rPr/>
        <w:t>com</w:t>
      </w:r>
      <w:r>
        <w:rPr>
          <w:spacing w:val="-11"/>
        </w:rPr>
        <w:t> </w:t>
      </w:r>
      <w:r>
        <w:rPr/>
        <w:t>claudicação</w:t>
      </w:r>
      <w:r>
        <w:rPr>
          <w:spacing w:val="-11"/>
        </w:rPr>
        <w:t> </w:t>
      </w:r>
      <w:r>
        <w:rPr/>
        <w:t>intermitente</w:t>
      </w:r>
      <w:r>
        <w:rPr>
          <w:spacing w:val="-13"/>
        </w:rPr>
        <w:t> </w:t>
      </w:r>
      <w:r>
        <w:rPr/>
        <w:t>fica</w:t>
      </w:r>
      <w:r>
        <w:rPr>
          <w:spacing w:val="-13"/>
        </w:rPr>
        <w:t> </w:t>
      </w:r>
      <w:r>
        <w:rPr/>
        <w:t>restrita</w:t>
      </w:r>
      <w:r>
        <w:rPr>
          <w:spacing w:val="-13"/>
        </w:rPr>
        <w:t> </w:t>
      </w:r>
      <w:r>
        <w:rPr/>
        <w:t>àqueles</w:t>
      </w:r>
      <w:r>
        <w:rPr>
          <w:spacing w:val="-4"/>
        </w:rPr>
        <w:t> </w:t>
      </w:r>
      <w:r>
        <w:rPr/>
        <w:t>que sofrem grandes restrições nas atividades cotidianas e que não responderam ao treinamento físico ou medicamentoso. Além disso, o candidato à revascularização não pode ser portador de comorbidade que limite sua atividade física após a melhora da claudicação (p. ex., angina ou insuficiência respiratória crônica). Também é importante que a morfologia da lesão permita o tratamento com a técnica cirúrgica tida como a mais apropriada, considerando os riscos peroperatórios e a probabilidade de sucesso do procedimento.</w:t>
      </w:r>
      <w:r>
        <w:rPr>
          <w:vertAlign w:val="superscript"/>
        </w:rPr>
        <w:t>4</w:t>
      </w:r>
    </w:p>
    <w:p>
      <w:pPr>
        <w:pStyle w:val="BodyText"/>
        <w:spacing w:before="186"/>
        <w:ind w:left="0" w:firstLine="0"/>
        <w:jc w:val="left"/>
      </w:pPr>
    </w:p>
    <w:p>
      <w:pPr>
        <w:pStyle w:val="Heading4"/>
      </w:pPr>
      <w:r>
        <w:rPr>
          <w:color w:val="242B67"/>
        </w:rPr>
        <w:t>Tratamento da isquemia </w:t>
      </w:r>
      <w:r>
        <w:rPr>
          <w:color w:val="242B67"/>
          <w:spacing w:val="-2"/>
        </w:rPr>
        <w:t>grave</w:t>
      </w:r>
    </w:p>
    <w:p>
      <w:pPr>
        <w:pStyle w:val="Heading5"/>
        <w:spacing w:before="194"/>
      </w:pPr>
      <w:r>
        <w:rPr>
          <w:color w:val="A26108"/>
        </w:rPr>
        <w:t>Tratamento</w:t>
      </w:r>
      <w:r>
        <w:rPr>
          <w:color w:val="A26108"/>
          <w:spacing w:val="20"/>
        </w:rPr>
        <w:t> </w:t>
      </w:r>
      <w:r>
        <w:rPr>
          <w:color w:val="A26108"/>
        </w:rPr>
        <w:t>local</w:t>
      </w:r>
      <w:r>
        <w:rPr>
          <w:color w:val="A26108"/>
          <w:spacing w:val="21"/>
        </w:rPr>
        <w:t> </w:t>
      </w:r>
      <w:r>
        <w:rPr>
          <w:color w:val="A26108"/>
        </w:rPr>
        <w:t>das</w:t>
      </w:r>
      <w:r>
        <w:rPr>
          <w:color w:val="A26108"/>
          <w:spacing w:val="21"/>
        </w:rPr>
        <w:t> </w:t>
      </w:r>
      <w:r>
        <w:rPr>
          <w:color w:val="A26108"/>
          <w:spacing w:val="-2"/>
        </w:rPr>
        <w:t>feridas</w:t>
      </w:r>
    </w:p>
    <w:p>
      <w:pPr>
        <w:pStyle w:val="BodyText"/>
        <w:spacing w:line="276" w:lineRule="auto" w:before="122"/>
        <w:ind w:right="491"/>
      </w:pPr>
      <w:r>
        <w:rPr/>
        <w:t>Quando houver isquemia acentuada (dor isquêmica de repouso), recomenda-se ao paciente permanecer em repouso</w:t>
      </w:r>
      <w:r>
        <w:rPr>
          <w:spacing w:val="-7"/>
        </w:rPr>
        <w:t> </w:t>
      </w:r>
      <w:r>
        <w:rPr/>
        <w:t>absoluto, em</w:t>
      </w:r>
      <w:r>
        <w:rPr>
          <w:spacing w:val="-7"/>
        </w:rPr>
        <w:t> </w:t>
      </w:r>
      <w:r>
        <w:rPr/>
        <w:t>ambiente</w:t>
      </w:r>
      <w:r>
        <w:rPr>
          <w:spacing w:val="-9"/>
        </w:rPr>
        <w:t> </w:t>
      </w:r>
      <w:r>
        <w:rPr/>
        <w:t>aquecido, com</w:t>
      </w:r>
      <w:r>
        <w:rPr>
          <w:spacing w:val="-7"/>
        </w:rPr>
        <w:t> </w:t>
      </w:r>
      <w:r>
        <w:rPr/>
        <w:t>o</w:t>
      </w:r>
      <w:r>
        <w:rPr>
          <w:spacing w:val="-7"/>
        </w:rPr>
        <w:t> </w:t>
      </w:r>
      <w:r>
        <w:rPr/>
        <w:t>leito</w:t>
      </w:r>
      <w:r>
        <w:rPr>
          <w:spacing w:val="-7"/>
        </w:rPr>
        <w:t> </w:t>
      </w:r>
      <w:r>
        <w:rPr/>
        <w:t>em</w:t>
      </w:r>
      <w:r>
        <w:rPr>
          <w:spacing w:val="-7"/>
        </w:rPr>
        <w:t> </w:t>
      </w:r>
      <w:r>
        <w:rPr/>
        <w:t>discreto</w:t>
      </w:r>
      <w:r>
        <w:rPr>
          <w:spacing w:val="-7"/>
        </w:rPr>
        <w:t> </w:t>
      </w:r>
      <w:r>
        <w:rPr/>
        <w:t>proclive</w:t>
      </w:r>
      <w:r>
        <w:rPr>
          <w:spacing w:val="-9"/>
        </w:rPr>
        <w:t> </w:t>
      </w:r>
      <w:r>
        <w:rPr/>
        <w:t>para</w:t>
      </w:r>
      <w:r>
        <w:rPr>
          <w:spacing w:val="-9"/>
        </w:rPr>
        <w:t> </w:t>
      </w:r>
      <w:r>
        <w:rPr/>
        <w:t>melhorar</w:t>
      </w:r>
      <w:r>
        <w:rPr>
          <w:spacing w:val="-2"/>
        </w:rPr>
        <w:t> </w:t>
      </w:r>
      <w:r>
        <w:rPr/>
        <w:t>a</w:t>
      </w:r>
      <w:r>
        <w:rPr>
          <w:spacing w:val="-9"/>
        </w:rPr>
        <w:t> </w:t>
      </w:r>
      <w:r>
        <w:rPr/>
        <w:t>perfusão</w:t>
      </w:r>
      <w:r>
        <w:rPr>
          <w:spacing w:val="-7"/>
        </w:rPr>
        <w:t> </w:t>
      </w:r>
      <w:r>
        <w:rPr/>
        <w:t>tecidual</w:t>
      </w:r>
      <w:r>
        <w:rPr>
          <w:spacing w:val="-4"/>
        </w:rPr>
        <w:t> </w:t>
      </w:r>
      <w:r>
        <w:rPr/>
        <w:t>distal</w:t>
      </w:r>
      <w:r>
        <w:rPr>
          <w:spacing w:val="-4"/>
        </w:rPr>
        <w:t> </w:t>
      </w:r>
      <w:r>
        <w:rPr/>
        <w:t>e para não produzir edema significativo.</w:t>
      </w:r>
    </w:p>
    <w:p>
      <w:pPr>
        <w:pStyle w:val="BodyText"/>
        <w:spacing w:line="276" w:lineRule="auto" w:before="64"/>
        <w:ind w:right="491"/>
      </w:pPr>
      <w:r>
        <w:rPr/>
        <w:t>A manipulação das úlceras e gangrenas e a ressecção dos tecidos necrosados devem ser feitas com extremo cuidado, evitando-se</w:t>
      </w:r>
      <w:r>
        <w:rPr>
          <w:spacing w:val="-1"/>
        </w:rPr>
        <w:t> </w:t>
      </w:r>
      <w:r>
        <w:rPr/>
        <w:t>traumatizar as áreas de</w:t>
      </w:r>
      <w:r>
        <w:rPr>
          <w:spacing w:val="-1"/>
        </w:rPr>
        <w:t> </w:t>
      </w:r>
      <w:r>
        <w:rPr/>
        <w:t>pele</w:t>
      </w:r>
      <w:r>
        <w:rPr>
          <w:spacing w:val="-1"/>
        </w:rPr>
        <w:t> </w:t>
      </w:r>
      <w:r>
        <w:rPr/>
        <w:t>sã</w:t>
      </w:r>
      <w:r>
        <w:rPr>
          <w:spacing w:val="-1"/>
        </w:rPr>
        <w:t> </w:t>
      </w:r>
      <w:r>
        <w:rPr/>
        <w:t>para</w:t>
      </w:r>
      <w:r>
        <w:rPr>
          <w:spacing w:val="-1"/>
        </w:rPr>
        <w:t> </w:t>
      </w:r>
      <w:r>
        <w:rPr/>
        <w:t>prevenir a</w:t>
      </w:r>
      <w:r>
        <w:rPr>
          <w:spacing w:val="-1"/>
        </w:rPr>
        <w:t> </w:t>
      </w:r>
      <w:r>
        <w:rPr/>
        <w:t>progressão da</w:t>
      </w:r>
      <w:r>
        <w:rPr>
          <w:spacing w:val="-1"/>
        </w:rPr>
        <w:t> </w:t>
      </w:r>
      <w:r>
        <w:rPr/>
        <w:t>necrose.</w:t>
      </w:r>
    </w:p>
    <w:p>
      <w:pPr>
        <w:pStyle w:val="BodyText"/>
        <w:spacing w:line="276" w:lineRule="auto"/>
        <w:ind w:right="501"/>
      </w:pPr>
      <w:r>
        <w:rPr/>
        <w:t>Medicação</w:t>
      </w:r>
      <w:r>
        <w:rPr>
          <w:spacing w:val="-9"/>
        </w:rPr>
        <w:t> </w:t>
      </w:r>
      <w:r>
        <w:rPr/>
        <w:t>tópica</w:t>
      </w:r>
      <w:r>
        <w:rPr>
          <w:spacing w:val="-12"/>
        </w:rPr>
        <w:t> </w:t>
      </w:r>
      <w:r>
        <w:rPr/>
        <w:t>deve</w:t>
      </w:r>
      <w:r>
        <w:rPr>
          <w:spacing w:val="-12"/>
        </w:rPr>
        <w:t> </w:t>
      </w:r>
      <w:r>
        <w:rPr/>
        <w:t>ser</w:t>
      </w:r>
      <w:r>
        <w:rPr>
          <w:spacing w:val="-5"/>
        </w:rPr>
        <w:t> </w:t>
      </w:r>
      <w:r>
        <w:rPr/>
        <w:t>aplicada</w:t>
      </w:r>
      <w:r>
        <w:rPr>
          <w:spacing w:val="-12"/>
        </w:rPr>
        <w:t> </w:t>
      </w:r>
      <w:r>
        <w:rPr/>
        <w:t>com</w:t>
      </w:r>
      <w:r>
        <w:rPr>
          <w:spacing w:val="-9"/>
        </w:rPr>
        <w:t> </w:t>
      </w:r>
      <w:r>
        <w:rPr/>
        <w:t>cuidado,</w:t>
      </w:r>
      <w:r>
        <w:rPr>
          <w:spacing w:val="-2"/>
        </w:rPr>
        <w:t> </w:t>
      </w:r>
      <w:r>
        <w:rPr/>
        <w:t>reduzindo-se</w:t>
      </w:r>
      <w:r>
        <w:rPr>
          <w:spacing w:val="-12"/>
        </w:rPr>
        <w:t> </w:t>
      </w:r>
      <w:r>
        <w:rPr/>
        <w:t>ao</w:t>
      </w:r>
      <w:r>
        <w:rPr>
          <w:spacing w:val="-9"/>
        </w:rPr>
        <w:t> </w:t>
      </w:r>
      <w:r>
        <w:rPr/>
        <w:t>mínimo</w:t>
      </w:r>
      <w:r>
        <w:rPr>
          <w:spacing w:val="-9"/>
        </w:rPr>
        <w:t> </w:t>
      </w:r>
      <w:r>
        <w:rPr/>
        <w:t>o</w:t>
      </w:r>
      <w:r>
        <w:rPr>
          <w:spacing w:val="-9"/>
        </w:rPr>
        <w:t> </w:t>
      </w:r>
      <w:r>
        <w:rPr/>
        <w:t>uso</w:t>
      </w:r>
      <w:r>
        <w:rPr>
          <w:spacing w:val="-9"/>
        </w:rPr>
        <w:t> </w:t>
      </w:r>
      <w:r>
        <w:rPr/>
        <w:t>de</w:t>
      </w:r>
      <w:r>
        <w:rPr>
          <w:spacing w:val="-12"/>
        </w:rPr>
        <w:t> </w:t>
      </w:r>
      <w:r>
        <w:rPr/>
        <w:t>pomadas,</w:t>
      </w:r>
      <w:r>
        <w:rPr>
          <w:spacing w:val="-2"/>
        </w:rPr>
        <w:t> </w:t>
      </w:r>
      <w:r>
        <w:rPr/>
        <w:t>particularmente</w:t>
      </w:r>
      <w:r>
        <w:rPr>
          <w:spacing w:val="-12"/>
        </w:rPr>
        <w:t> </w:t>
      </w:r>
      <w:r>
        <w:rPr/>
        <w:t>as que contêm antibióticos ou sulfas que, com frequência, provocam sensibilização local, e aquelas com anestésicos locais, que são fagedênicos.</w:t>
      </w:r>
    </w:p>
    <w:p>
      <w:pPr>
        <w:pStyle w:val="BodyText"/>
        <w:spacing w:line="276" w:lineRule="auto" w:before="48"/>
        <w:ind w:right="498"/>
      </w:pPr>
      <w:r>
        <w:rPr/>
        <w:t>As lesões devem ser tratadas preferentemente com curativos oclusivos que impeçam o ressecamento dos tecidos. Lesões infectadas podem</w:t>
      </w:r>
      <w:r>
        <w:rPr>
          <w:spacing w:val="-2"/>
        </w:rPr>
        <w:t> </w:t>
      </w:r>
      <w:r>
        <w:rPr/>
        <w:t>exigir debridamento</w:t>
      </w:r>
      <w:r>
        <w:rPr>
          <w:spacing w:val="-2"/>
        </w:rPr>
        <w:t> </w:t>
      </w:r>
      <w:r>
        <w:rPr/>
        <w:t>cirúrgico. Quando</w:t>
      </w:r>
      <w:r>
        <w:rPr>
          <w:spacing w:val="-2"/>
        </w:rPr>
        <w:t> </w:t>
      </w:r>
      <w:r>
        <w:rPr/>
        <w:t>há</w:t>
      </w:r>
      <w:r>
        <w:rPr>
          <w:spacing w:val="-4"/>
        </w:rPr>
        <w:t> </w:t>
      </w:r>
      <w:r>
        <w:rPr/>
        <w:t>oclusão</w:t>
      </w:r>
      <w:r>
        <w:rPr>
          <w:spacing w:val="-2"/>
        </w:rPr>
        <w:t> </w:t>
      </w:r>
      <w:r>
        <w:rPr/>
        <w:t>de</w:t>
      </w:r>
      <w:r>
        <w:rPr>
          <w:spacing w:val="-4"/>
        </w:rPr>
        <w:t> </w:t>
      </w:r>
      <w:r>
        <w:rPr/>
        <w:t>troncos arteriais associada, a revascularização do membro antes da abordagem direta da lesão é fundamental para que se evite a progressão da necrose tecidual, favorecendo a cicatrização das feridas.</w:t>
      </w:r>
    </w:p>
    <w:p>
      <w:pPr>
        <w:pStyle w:val="BodyText"/>
        <w:spacing w:before="134"/>
        <w:ind w:left="0" w:firstLine="0"/>
        <w:jc w:val="left"/>
      </w:pPr>
    </w:p>
    <w:p>
      <w:pPr>
        <w:pStyle w:val="Heading5"/>
      </w:pPr>
      <w:r>
        <w:rPr>
          <w:color w:val="A26108"/>
        </w:rPr>
        <w:t>Tratamento</w:t>
      </w:r>
      <w:r>
        <w:rPr>
          <w:color w:val="A26108"/>
          <w:spacing w:val="34"/>
        </w:rPr>
        <w:t> </w:t>
      </w:r>
      <w:r>
        <w:rPr>
          <w:color w:val="A26108"/>
          <w:spacing w:val="-2"/>
        </w:rPr>
        <w:t>intervencionista</w:t>
      </w:r>
    </w:p>
    <w:p>
      <w:pPr>
        <w:pStyle w:val="BodyText"/>
        <w:spacing w:line="276" w:lineRule="auto" w:before="138"/>
        <w:ind w:right="491"/>
      </w:pPr>
      <w:r>
        <w:rPr/>
        <w:t>Os pacientes com isquemia crítica do membro, salvo raras exceções, têm indicação para tratamento intervencionista. A</w:t>
      </w:r>
      <w:r>
        <w:rPr>
          <w:spacing w:val="-4"/>
        </w:rPr>
        <w:t> </w:t>
      </w:r>
      <w:r>
        <w:rPr/>
        <w:t>revascularização</w:t>
      </w:r>
      <w:r>
        <w:rPr>
          <w:spacing w:val="-2"/>
        </w:rPr>
        <w:t> </w:t>
      </w:r>
      <w:r>
        <w:rPr/>
        <w:t>pode</w:t>
      </w:r>
      <w:r>
        <w:rPr>
          <w:spacing w:val="-4"/>
        </w:rPr>
        <w:t> </w:t>
      </w:r>
      <w:r>
        <w:rPr/>
        <w:t>ser feita</w:t>
      </w:r>
      <w:r>
        <w:rPr>
          <w:spacing w:val="-4"/>
        </w:rPr>
        <w:t> </w:t>
      </w:r>
      <w:r>
        <w:rPr/>
        <w:t>por meio</w:t>
      </w:r>
      <w:r>
        <w:rPr>
          <w:spacing w:val="-2"/>
        </w:rPr>
        <w:t> </w:t>
      </w:r>
      <w:r>
        <w:rPr/>
        <w:t>de</w:t>
      </w:r>
      <w:r>
        <w:rPr>
          <w:spacing w:val="-4"/>
        </w:rPr>
        <w:t> </w:t>
      </w:r>
      <w:r>
        <w:rPr/>
        <w:t>procedimentos abertos ou</w:t>
      </w:r>
      <w:r>
        <w:rPr>
          <w:spacing w:val="-2"/>
        </w:rPr>
        <w:t> </w:t>
      </w:r>
      <w:r>
        <w:rPr/>
        <w:t>endovasculares.</w:t>
      </w:r>
    </w:p>
    <w:p>
      <w:pPr>
        <w:pStyle w:val="BodyText"/>
        <w:spacing w:line="276" w:lineRule="auto" w:before="49"/>
        <w:ind w:right="488"/>
      </w:pPr>
      <w:r>
        <w:rPr/>
        <w:t>As técnicas de revascularização aberta compreendem a confecção de enxertos arteriais e a endarterectomia. Na primeira, são realizadas pontes arteriais a partir de artérias com fluxo preservado até segmentos distais à oclusão. Essas pontes podem ser feitas com substitutos arteriais autólogos, entre os quais a veia safena interna é a mais utilizada</w:t>
      </w:r>
      <w:r>
        <w:rPr>
          <w:spacing w:val="-10"/>
        </w:rPr>
        <w:t> </w:t>
      </w:r>
      <w:r>
        <w:rPr/>
        <w:t>(outras veias e, eventualmente, artérias são</w:t>
      </w:r>
      <w:r>
        <w:rPr>
          <w:spacing w:val="-7"/>
        </w:rPr>
        <w:t> </w:t>
      </w:r>
      <w:r>
        <w:rPr/>
        <w:t>opções)</w:t>
      </w:r>
      <w:r>
        <w:rPr>
          <w:spacing w:val="-2"/>
        </w:rPr>
        <w:t> </w:t>
      </w:r>
      <w:r>
        <w:rPr/>
        <w:t>ou</w:t>
      </w:r>
      <w:r>
        <w:rPr>
          <w:spacing w:val="-7"/>
        </w:rPr>
        <w:t> </w:t>
      </w:r>
      <w:r>
        <w:rPr/>
        <w:t>substitutos sintéticos, como</w:t>
      </w:r>
      <w:r>
        <w:rPr>
          <w:spacing w:val="-7"/>
        </w:rPr>
        <w:t> </w:t>
      </w:r>
      <w:r>
        <w:rPr/>
        <w:t>as próteses de</w:t>
      </w:r>
      <w:r>
        <w:rPr>
          <w:spacing w:val="-10"/>
        </w:rPr>
        <w:t> </w:t>
      </w:r>
      <w:r>
        <w:rPr/>
        <w:t>poliéster ou politetrafluoretileno. Já na endarterectomia, promove-se a ressecção da túnica íntima e da parte interna da camada média da artéria que, espessadas, ocasionam a obstrução do lúmen do vaso, preservando a porção externa da camada média, a lâmina elástica externa e a adventícia. Trata-se de técnica factível somente em doença de etiologia aterosclerótica e tem a vantagem de não utilizar substitutos sintéticos.</w:t>
      </w:r>
    </w:p>
    <w:p>
      <w:pPr>
        <w:pStyle w:val="BodyText"/>
        <w:spacing w:line="280" w:lineRule="auto"/>
        <w:ind w:right="488"/>
      </w:pPr>
      <w:r>
        <w:rPr/>
        <w:t>A</w:t>
      </w:r>
      <w:r>
        <w:rPr>
          <w:spacing w:val="-3"/>
        </w:rPr>
        <w:t> </w:t>
      </w:r>
      <w:r>
        <w:rPr/>
        <w:t>técnica</w:t>
      </w:r>
      <w:r>
        <w:rPr>
          <w:spacing w:val="-3"/>
        </w:rPr>
        <w:t> </w:t>
      </w:r>
      <w:r>
        <w:rPr/>
        <w:t>endovascular (angioplastia) consiste</w:t>
      </w:r>
      <w:r>
        <w:rPr>
          <w:spacing w:val="-3"/>
        </w:rPr>
        <w:t> </w:t>
      </w:r>
      <w:r>
        <w:rPr/>
        <w:t>no tratamento da</w:t>
      </w:r>
      <w:r>
        <w:rPr>
          <w:spacing w:val="-3"/>
        </w:rPr>
        <w:t> </w:t>
      </w:r>
      <w:r>
        <w:rPr/>
        <w:t>obstrução arterial por meio de</w:t>
      </w:r>
      <w:r>
        <w:rPr>
          <w:spacing w:val="-3"/>
        </w:rPr>
        <w:t> </w:t>
      </w:r>
      <w:r>
        <w:rPr/>
        <w:t>dispositivos que navegam pelo lúmen dos vasos, a partir de pontos distantes do local a ser tratado. São operações de menor porte, quando comparadas com a cirurgia aberta, uma vez que esses dispositivos são introduzidos através de punção arterial, evitando grandes incisões de acesso. A técnica mais adequada depende do tipo e da extensão das lesões obstrutivas,</w:t>
      </w:r>
      <w:r>
        <w:rPr>
          <w:vertAlign w:val="superscript"/>
        </w:rPr>
        <w:t>16</w:t>
      </w:r>
      <w:r>
        <w:rPr>
          <w:vertAlign w:val="baseline"/>
        </w:rPr>
        <w:t> bem como das condições clínicas do paciente.</w:t>
      </w:r>
    </w:p>
    <w:p>
      <w:pPr>
        <w:pStyle w:val="BodyText"/>
        <w:spacing w:line="285" w:lineRule="auto" w:before="54"/>
        <w:ind w:right="501"/>
      </w:pPr>
      <w:r>
        <w:rPr/>
        <w:t>Quando a revascularização não é possível, especialmente em casos de úlceras isquêmicas pouco extensas, podem ser opções a simpatectomia lombar ou, então, a prescrição de prostaglandinas, como a prostaglandina E1, que se mostrou eficaz na melhora da dor de repouso e na cicatrização de úlceras isquêmicas pouco extensas.</w:t>
      </w:r>
      <w:r>
        <w:rPr>
          <w:vertAlign w:val="superscript"/>
        </w:rPr>
        <w:t>17</w:t>
      </w:r>
      <w:r>
        <w:rPr>
          <w:vertAlign w:val="baseline"/>
        </w:rPr>
        <w:t> Os resultados a médio e longo prazo dessa classe de medicamentos, entretanto, ainda não estão definidos.</w:t>
      </w:r>
      <w:r>
        <w:rPr>
          <w:vertAlign w:val="superscript"/>
        </w:rPr>
        <w:t>18</w:t>
      </w:r>
    </w:p>
    <w:p>
      <w:pPr>
        <w:pStyle w:val="BodyText"/>
        <w:spacing w:line="276" w:lineRule="auto" w:before="39"/>
        <w:ind w:right="488"/>
      </w:pPr>
      <w:r>
        <w:rPr/>
        <w:t>Como último recurso, a amputação do membro isquêmico é a alternativa que resta para a melhora da qualidade de</w:t>
      </w:r>
      <w:r>
        <w:rPr>
          <w:spacing w:val="-2"/>
        </w:rPr>
        <w:t> </w:t>
      </w:r>
      <w:r>
        <w:rPr/>
        <w:t>vida</w:t>
      </w:r>
      <w:r>
        <w:rPr>
          <w:spacing w:val="-2"/>
        </w:rPr>
        <w:t> </w:t>
      </w:r>
      <w:r>
        <w:rPr/>
        <w:t>e, na</w:t>
      </w:r>
      <w:r>
        <w:rPr>
          <w:spacing w:val="-2"/>
        </w:rPr>
        <w:t> </w:t>
      </w:r>
      <w:r>
        <w:rPr/>
        <w:t>maioria</w:t>
      </w:r>
      <w:r>
        <w:rPr>
          <w:spacing w:val="-2"/>
        </w:rPr>
        <w:t> </w:t>
      </w:r>
      <w:r>
        <w:rPr/>
        <w:t>dos casos em que</w:t>
      </w:r>
      <w:r>
        <w:rPr>
          <w:spacing w:val="-2"/>
        </w:rPr>
        <w:t> </w:t>
      </w:r>
      <w:r>
        <w:rPr/>
        <w:t>é</w:t>
      </w:r>
      <w:r>
        <w:rPr>
          <w:spacing w:val="-2"/>
        </w:rPr>
        <w:t> </w:t>
      </w:r>
      <w:r>
        <w:rPr/>
        <w:t>empregada, para</w:t>
      </w:r>
      <w:r>
        <w:rPr>
          <w:spacing w:val="-2"/>
        </w:rPr>
        <w:t> </w:t>
      </w:r>
      <w:r>
        <w:rPr/>
        <w:t>a</w:t>
      </w:r>
      <w:r>
        <w:rPr>
          <w:spacing w:val="-2"/>
        </w:rPr>
        <w:t> </w:t>
      </w:r>
      <w:r>
        <w:rPr/>
        <w:t>própria</w:t>
      </w:r>
      <w:r>
        <w:rPr>
          <w:spacing w:val="-2"/>
        </w:rPr>
        <w:t> </w:t>
      </w:r>
      <w:r>
        <w:rPr/>
        <w:t>preservação da</w:t>
      </w:r>
      <w:r>
        <w:rPr>
          <w:spacing w:val="-2"/>
        </w:rPr>
        <w:t> </w:t>
      </w:r>
      <w:r>
        <w:rPr/>
        <w:t>vida</w:t>
      </w:r>
      <w:r>
        <w:rPr>
          <w:spacing w:val="-2"/>
        </w:rPr>
        <w:t> </w:t>
      </w:r>
      <w:r>
        <w:rPr/>
        <w:t>do paciente.</w:t>
      </w:r>
    </w:p>
    <w:p>
      <w:pPr>
        <w:pStyle w:val="BodyText"/>
        <w:spacing w:before="256"/>
        <w:ind w:left="0" w:firstLine="0"/>
        <w:jc w:val="left"/>
      </w:pPr>
    </w:p>
    <w:p>
      <w:pPr>
        <w:pStyle w:val="Heading3"/>
        <w:spacing w:before="1"/>
      </w:pPr>
      <w:r>
        <w:rPr>
          <w:color w:val="242B67"/>
        </w:rPr>
        <w:t>Oclusão</w:t>
      </w:r>
      <w:r>
        <w:rPr>
          <w:color w:val="242B67"/>
          <w:spacing w:val="5"/>
        </w:rPr>
        <w:t> </w:t>
      </w:r>
      <w:r>
        <w:rPr>
          <w:color w:val="242B67"/>
        </w:rPr>
        <w:t>Arterial</w:t>
      </w:r>
      <w:r>
        <w:rPr>
          <w:color w:val="242B67"/>
          <w:spacing w:val="5"/>
        </w:rPr>
        <w:t> </w:t>
      </w:r>
      <w:r>
        <w:rPr>
          <w:color w:val="242B67"/>
          <w:spacing w:val="-2"/>
        </w:rPr>
        <w:t>Aguda</w:t>
      </w:r>
    </w:p>
    <w:p>
      <w:pPr>
        <w:pStyle w:val="BodyText"/>
        <w:spacing w:before="10"/>
        <w:ind w:left="0" w:firstLine="0"/>
        <w:jc w:val="left"/>
        <w:rPr>
          <w:rFonts w:ascii="Microsoft Sans Serif"/>
          <w:sz w:val="4"/>
        </w:rPr>
      </w:pPr>
      <w:r>
        <w:rPr>
          <w:rFonts w:ascii="Microsoft Sans Serif"/>
          <w:sz w:val="4"/>
        </w:rPr>
        <mc:AlternateContent>
          <mc:Choice Requires="wps">
            <w:drawing>
              <wp:anchor distT="0" distB="0" distL="0" distR="0" allowOverlap="1" layoutInCell="1" locked="0" behindDoc="1" simplePos="0" relativeHeight="487621120">
                <wp:simplePos x="0" y="0"/>
                <wp:positionH relativeFrom="page">
                  <wp:posOffset>401543</wp:posOffset>
                </wp:positionH>
                <wp:positionV relativeFrom="paragraph">
                  <wp:posOffset>50479</wp:posOffset>
                </wp:positionV>
                <wp:extent cx="6753225" cy="10795"/>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974751pt;width:531.731217pt;height:.8008pt;mso-position-horizontal-relative:page;mso-position-vertical-relative:paragraph;z-index:-15695360;mso-wrap-distance-left:0;mso-wrap-distance-right:0" id="docshape44" filled="true" fillcolor="#242b67" stroked="false">
                <v:fill type="solid"/>
                <w10:wrap type="topAndBottom"/>
              </v:rect>
            </w:pict>
          </mc:Fallback>
        </mc:AlternateContent>
      </w:r>
    </w:p>
    <w:p>
      <w:pPr>
        <w:spacing w:before="118"/>
        <w:ind w:left="68" w:right="0" w:firstLine="0"/>
        <w:jc w:val="left"/>
        <w:rPr>
          <w:rFonts w:ascii="Arial"/>
          <w:i/>
          <w:sz w:val="25"/>
        </w:rPr>
      </w:pPr>
      <w:r>
        <w:rPr>
          <w:rFonts w:ascii="Arial"/>
          <w:i/>
          <w:sz w:val="25"/>
        </w:rPr>
        <w:t>Roberto</w:t>
      </w:r>
      <w:r>
        <w:rPr>
          <w:rFonts w:ascii="Arial"/>
          <w:i/>
          <w:spacing w:val="14"/>
          <w:sz w:val="25"/>
        </w:rPr>
        <w:t> </w:t>
      </w:r>
      <w:r>
        <w:rPr>
          <w:rFonts w:ascii="Arial"/>
          <w:i/>
          <w:sz w:val="25"/>
        </w:rPr>
        <w:t>Sacilotto,</w:t>
      </w:r>
      <w:r>
        <w:rPr>
          <w:rFonts w:ascii="Arial"/>
          <w:i/>
          <w:spacing w:val="14"/>
          <w:sz w:val="25"/>
        </w:rPr>
        <w:t> </w:t>
      </w:r>
      <w:r>
        <w:rPr>
          <w:rFonts w:ascii="Arial"/>
          <w:i/>
          <w:sz w:val="25"/>
        </w:rPr>
        <w:t>Mario</w:t>
      </w:r>
      <w:r>
        <w:rPr>
          <w:rFonts w:ascii="Arial"/>
          <w:i/>
          <w:spacing w:val="15"/>
          <w:sz w:val="25"/>
        </w:rPr>
        <w:t> </w:t>
      </w:r>
      <w:r>
        <w:rPr>
          <w:rFonts w:ascii="Arial"/>
          <w:i/>
          <w:sz w:val="25"/>
        </w:rPr>
        <w:t>Cinelli</w:t>
      </w:r>
      <w:r>
        <w:rPr>
          <w:rFonts w:ascii="Arial"/>
          <w:i/>
          <w:spacing w:val="14"/>
          <w:sz w:val="25"/>
        </w:rPr>
        <w:t> </w:t>
      </w:r>
      <w:r>
        <w:rPr>
          <w:rFonts w:ascii="Arial"/>
          <w:i/>
          <w:sz w:val="25"/>
        </w:rPr>
        <w:t>Junior</w:t>
      </w:r>
      <w:r>
        <w:rPr>
          <w:rFonts w:ascii="Arial"/>
          <w:i/>
          <w:spacing w:val="14"/>
          <w:sz w:val="25"/>
        </w:rPr>
        <w:t> </w:t>
      </w:r>
      <w:r>
        <w:rPr>
          <w:rFonts w:ascii="Arial"/>
          <w:i/>
          <w:sz w:val="25"/>
        </w:rPr>
        <w:t>e</w:t>
      </w:r>
      <w:r>
        <w:rPr>
          <w:rFonts w:ascii="Arial"/>
          <w:i/>
          <w:spacing w:val="15"/>
          <w:sz w:val="25"/>
        </w:rPr>
        <w:t> </w:t>
      </w:r>
      <w:r>
        <w:rPr>
          <w:rFonts w:ascii="Arial"/>
          <w:i/>
          <w:sz w:val="25"/>
        </w:rPr>
        <w:t>Paulo</w:t>
      </w:r>
      <w:r>
        <w:rPr>
          <w:rFonts w:ascii="Arial"/>
          <w:i/>
          <w:spacing w:val="14"/>
          <w:sz w:val="25"/>
        </w:rPr>
        <w:t> </w:t>
      </w:r>
      <w:r>
        <w:rPr>
          <w:rFonts w:ascii="Arial"/>
          <w:i/>
          <w:spacing w:val="-2"/>
          <w:sz w:val="25"/>
        </w:rPr>
        <w:t>Kauffman</w:t>
      </w:r>
    </w:p>
    <w:p>
      <w:pPr>
        <w:spacing w:after="0"/>
        <w:jc w:val="left"/>
        <w:rPr>
          <w:rFonts w:ascii="Arial"/>
          <w:i/>
          <w:sz w:val="25"/>
        </w:rPr>
        <w:sectPr>
          <w:pgSz w:w="11900" w:h="16840"/>
          <w:pgMar w:top="200" w:bottom="280" w:left="566" w:right="141"/>
        </w:sectPr>
      </w:pPr>
    </w:p>
    <w:p>
      <w:pPr>
        <w:pStyle w:val="Heading4"/>
        <w:spacing w:before="62"/>
      </w:pPr>
      <w:r>
        <w:rPr>
          <w:color w:val="242B67"/>
          <w:spacing w:val="-2"/>
        </w:rPr>
        <w:t>Introdução</w:t>
      </w:r>
    </w:p>
    <w:p>
      <w:pPr>
        <w:pStyle w:val="BodyText"/>
        <w:spacing w:line="276" w:lineRule="auto" w:before="132"/>
        <w:ind w:right="488"/>
      </w:pPr>
      <w:r>
        <w:rPr/>
        <w:t>As oclusões arteriais agudas dos membros são condições clínicas frequentes e graves. Elas necessitam de</w:t>
      </w:r>
      <w:r>
        <w:rPr>
          <w:spacing w:val="40"/>
        </w:rPr>
        <w:t> </w:t>
      </w:r>
      <w:r>
        <w:rPr/>
        <w:t>rápido diagnóstico, a fim de se poder estabelecer a orientação e a conduta, evitando o agravamento do quadro clínico</w:t>
      </w:r>
      <w:r>
        <w:rPr>
          <w:spacing w:val="-6"/>
        </w:rPr>
        <w:t> </w:t>
      </w:r>
      <w:r>
        <w:rPr/>
        <w:t>e</w:t>
      </w:r>
      <w:r>
        <w:rPr>
          <w:spacing w:val="-9"/>
        </w:rPr>
        <w:t> </w:t>
      </w:r>
      <w:r>
        <w:rPr/>
        <w:t>sua</w:t>
      </w:r>
      <w:r>
        <w:rPr>
          <w:spacing w:val="-9"/>
        </w:rPr>
        <w:t> </w:t>
      </w:r>
      <w:r>
        <w:rPr/>
        <w:t>evolução</w:t>
      </w:r>
      <w:r>
        <w:rPr>
          <w:spacing w:val="-6"/>
        </w:rPr>
        <w:t> </w:t>
      </w:r>
      <w:r>
        <w:rPr/>
        <w:t>para</w:t>
      </w:r>
      <w:r>
        <w:rPr>
          <w:spacing w:val="-9"/>
        </w:rPr>
        <w:t> </w:t>
      </w:r>
      <w:r>
        <w:rPr/>
        <w:t>complicações irreversíveis, como</w:t>
      </w:r>
      <w:r>
        <w:rPr>
          <w:spacing w:val="-6"/>
        </w:rPr>
        <w:t> </w:t>
      </w:r>
      <w:r>
        <w:rPr/>
        <w:t>perda</w:t>
      </w:r>
      <w:r>
        <w:rPr>
          <w:spacing w:val="-9"/>
        </w:rPr>
        <w:t> </w:t>
      </w:r>
      <w:r>
        <w:rPr/>
        <w:t>de</w:t>
      </w:r>
      <w:r>
        <w:rPr>
          <w:spacing w:val="-9"/>
        </w:rPr>
        <w:t> </w:t>
      </w:r>
      <w:r>
        <w:rPr/>
        <w:t>um</w:t>
      </w:r>
      <w:r>
        <w:rPr>
          <w:spacing w:val="-6"/>
        </w:rPr>
        <w:t> </w:t>
      </w:r>
      <w:r>
        <w:rPr/>
        <w:t>membro</w:t>
      </w:r>
      <w:r>
        <w:rPr>
          <w:spacing w:val="-6"/>
        </w:rPr>
        <w:t> </w:t>
      </w:r>
      <w:r>
        <w:rPr/>
        <w:t>ou</w:t>
      </w:r>
      <w:r>
        <w:rPr>
          <w:spacing w:val="-6"/>
        </w:rPr>
        <w:t> </w:t>
      </w:r>
      <w:r>
        <w:rPr/>
        <w:t>de</w:t>
      </w:r>
      <w:r>
        <w:rPr>
          <w:spacing w:val="-9"/>
        </w:rPr>
        <w:t> </w:t>
      </w:r>
      <w:r>
        <w:rPr/>
        <w:t>parte</w:t>
      </w:r>
      <w:r>
        <w:rPr>
          <w:spacing w:val="-9"/>
        </w:rPr>
        <w:t> </w:t>
      </w:r>
      <w:r>
        <w:rPr/>
        <w:t>dele</w:t>
      </w:r>
      <w:r>
        <w:rPr>
          <w:spacing w:val="-9"/>
        </w:rPr>
        <w:t> </w:t>
      </w:r>
      <w:r>
        <w:rPr/>
        <w:t>por</w:t>
      </w:r>
      <w:r>
        <w:rPr>
          <w:spacing w:val="-1"/>
        </w:rPr>
        <w:t> </w:t>
      </w:r>
      <w:r>
        <w:rPr/>
        <w:t>gangrena, e, não raramente, a</w:t>
      </w:r>
      <w:r>
        <w:rPr>
          <w:spacing w:val="-3"/>
        </w:rPr>
        <w:t> </w:t>
      </w:r>
      <w:r>
        <w:rPr/>
        <w:t>morte</w:t>
      </w:r>
      <w:r>
        <w:rPr>
          <w:spacing w:val="-3"/>
        </w:rPr>
        <w:t> </w:t>
      </w:r>
      <w:r>
        <w:rPr/>
        <w:t>do doente</w:t>
      </w:r>
      <w:r>
        <w:rPr>
          <w:spacing w:val="-3"/>
        </w:rPr>
        <w:t> </w:t>
      </w:r>
      <w:r>
        <w:rPr/>
        <w:t>em decorrência</w:t>
      </w:r>
      <w:r>
        <w:rPr>
          <w:spacing w:val="-3"/>
        </w:rPr>
        <w:t> </w:t>
      </w:r>
      <w:r>
        <w:rPr/>
        <w:t>de</w:t>
      </w:r>
      <w:r>
        <w:rPr>
          <w:spacing w:val="-3"/>
        </w:rPr>
        <w:t> </w:t>
      </w:r>
      <w:r>
        <w:rPr/>
        <w:t>alterações isquêmicas e</w:t>
      </w:r>
      <w:r>
        <w:rPr>
          <w:spacing w:val="-3"/>
        </w:rPr>
        <w:t> </w:t>
      </w:r>
      <w:r>
        <w:rPr/>
        <w:t>metabólicas.</w:t>
      </w:r>
    </w:p>
    <w:p>
      <w:pPr>
        <w:pStyle w:val="BodyText"/>
        <w:spacing w:before="186"/>
        <w:ind w:left="0" w:firstLine="0"/>
        <w:jc w:val="left"/>
      </w:pPr>
    </w:p>
    <w:p>
      <w:pPr>
        <w:pStyle w:val="Heading4"/>
      </w:pPr>
      <w:r>
        <w:rPr>
          <w:color w:val="242B67"/>
          <w:spacing w:val="-2"/>
        </w:rPr>
        <w:t>Etiopatogenia</w:t>
      </w:r>
    </w:p>
    <w:p>
      <w:pPr>
        <w:pStyle w:val="BodyText"/>
        <w:spacing w:line="276" w:lineRule="auto" w:before="148"/>
        <w:ind w:right="488"/>
      </w:pPr>
      <w:r>
        <w:rPr/>
        <w:t>A oclusão arterial aguda interrompe, de maneira súbita, o suprimento sanguíneo da área irrigada por essa artéria, comprometendo a viabilidade dos tecidos.</w:t>
      </w:r>
    </w:p>
    <w:p>
      <w:pPr>
        <w:pStyle w:val="BodyText"/>
        <w:spacing w:line="276" w:lineRule="auto" w:before="48"/>
        <w:ind w:right="488"/>
      </w:pPr>
      <w:r>
        <w:rPr/>
        <w:t>As embolias, as tromboses e</w:t>
      </w:r>
      <w:r>
        <w:rPr>
          <w:spacing w:val="-9"/>
        </w:rPr>
        <w:t> </w:t>
      </w:r>
      <w:r>
        <w:rPr/>
        <w:t>os traumas são</w:t>
      </w:r>
      <w:r>
        <w:rPr>
          <w:spacing w:val="-7"/>
        </w:rPr>
        <w:t> </w:t>
      </w:r>
      <w:r>
        <w:rPr/>
        <w:t>as causas mais frequentes de</w:t>
      </w:r>
      <w:r>
        <w:rPr>
          <w:spacing w:val="-9"/>
        </w:rPr>
        <w:t> </w:t>
      </w:r>
      <w:r>
        <w:rPr/>
        <w:t>oclusão</w:t>
      </w:r>
      <w:r>
        <w:rPr>
          <w:spacing w:val="-7"/>
        </w:rPr>
        <w:t> </w:t>
      </w:r>
      <w:r>
        <w:rPr/>
        <w:t>arterial</w:t>
      </w:r>
      <w:r>
        <w:rPr>
          <w:spacing w:val="-4"/>
        </w:rPr>
        <w:t> </w:t>
      </w:r>
      <w:r>
        <w:rPr/>
        <w:t>aguda. A</w:t>
      </w:r>
      <w:r>
        <w:rPr>
          <w:spacing w:val="-9"/>
        </w:rPr>
        <w:t> </w:t>
      </w:r>
      <w:r>
        <w:rPr/>
        <w:t>dissecção</w:t>
      </w:r>
      <w:r>
        <w:rPr>
          <w:spacing w:val="-7"/>
        </w:rPr>
        <w:t> </w:t>
      </w:r>
      <w:r>
        <w:rPr/>
        <w:t>de aorta é uma causa infrequente, mas deve ser considerada, particularmente em pacientes mais jovens com hipertensão arterial não controlada.</w:t>
      </w:r>
    </w:p>
    <w:p>
      <w:pPr>
        <w:pStyle w:val="BodyText"/>
        <w:ind w:left="414" w:firstLine="0"/>
      </w:pPr>
      <w:r>
        <w:rPr/>
        <w:t>Este</w:t>
      </w:r>
      <w:r>
        <w:rPr>
          <w:spacing w:val="-7"/>
        </w:rPr>
        <w:t> </w:t>
      </w:r>
      <w:r>
        <w:rPr/>
        <w:t>capítulo</w:t>
      </w:r>
      <w:r>
        <w:rPr>
          <w:spacing w:val="-4"/>
        </w:rPr>
        <w:t> </w:t>
      </w:r>
      <w:r>
        <w:rPr/>
        <w:t>se</w:t>
      </w:r>
      <w:r>
        <w:rPr>
          <w:spacing w:val="-6"/>
        </w:rPr>
        <w:t> </w:t>
      </w:r>
      <w:r>
        <w:rPr/>
        <w:t>limitará</w:t>
      </w:r>
      <w:r>
        <w:rPr>
          <w:spacing w:val="-7"/>
        </w:rPr>
        <w:t> </w:t>
      </w:r>
      <w:r>
        <w:rPr/>
        <w:t>ao</w:t>
      </w:r>
      <w:r>
        <w:rPr>
          <w:spacing w:val="-4"/>
        </w:rPr>
        <w:t> </w:t>
      </w:r>
      <w:r>
        <w:rPr/>
        <w:t>estudo</w:t>
      </w:r>
      <w:r>
        <w:rPr>
          <w:spacing w:val="-4"/>
        </w:rPr>
        <w:t> </w:t>
      </w:r>
      <w:r>
        <w:rPr/>
        <w:t>de</w:t>
      </w:r>
      <w:r>
        <w:rPr>
          <w:spacing w:val="-6"/>
        </w:rPr>
        <w:t> </w:t>
      </w:r>
      <w:r>
        <w:rPr/>
        <w:t>embolias</w:t>
      </w:r>
      <w:r>
        <w:rPr>
          <w:spacing w:val="4"/>
        </w:rPr>
        <w:t> </w:t>
      </w:r>
      <w:r>
        <w:rPr/>
        <w:t>e</w:t>
      </w:r>
      <w:r>
        <w:rPr>
          <w:spacing w:val="-6"/>
        </w:rPr>
        <w:t> </w:t>
      </w:r>
      <w:r>
        <w:rPr>
          <w:spacing w:val="-2"/>
        </w:rPr>
        <w:t>tromboses.</w:t>
      </w:r>
    </w:p>
    <w:p>
      <w:pPr>
        <w:pStyle w:val="BodyText"/>
        <w:spacing w:before="173"/>
        <w:ind w:left="0" w:firstLine="0"/>
        <w:jc w:val="left"/>
      </w:pPr>
    </w:p>
    <w:p>
      <w:pPr>
        <w:pStyle w:val="Heading5"/>
      </w:pPr>
      <w:r>
        <w:rPr>
          <w:color w:val="A26108"/>
        </w:rPr>
        <w:t>Embolia</w:t>
      </w:r>
      <w:r>
        <w:rPr>
          <w:color w:val="A26108"/>
          <w:spacing w:val="25"/>
        </w:rPr>
        <w:t> </w:t>
      </w:r>
      <w:r>
        <w:rPr>
          <w:color w:val="A26108"/>
          <w:spacing w:val="-2"/>
        </w:rPr>
        <w:t>arterial</w:t>
      </w:r>
    </w:p>
    <w:p>
      <w:pPr>
        <w:pStyle w:val="BodyText"/>
        <w:spacing w:line="276" w:lineRule="auto" w:before="122"/>
        <w:ind w:right="491"/>
      </w:pPr>
      <w:r>
        <w:rPr/>
        <w:t>Na maioria dos casos, a embolia é a manifestação distal de uma doença proximal existente no coração ou em uma artéria e, mais raramente, resulta de complicações relativas a procedimentos médicos ou radiológicos de diagnóstico ou tratamento.</w:t>
      </w:r>
    </w:p>
    <w:p>
      <w:pPr>
        <w:pStyle w:val="BodyText"/>
        <w:spacing w:line="276" w:lineRule="auto" w:before="64"/>
        <w:ind w:right="491"/>
      </w:pPr>
      <w:r>
        <w:rPr/>
        <w:t>A incidência de embolia nos membros inferiores é muito maior do que nos membros superiores e o ponto preferencial de localização do êmbolo é a bifurcação da artéria femoral comum, que é responsável por 35 a 50% desses casos. As artérias poplíteas, ilíacas e</w:t>
      </w:r>
      <w:r>
        <w:rPr>
          <w:spacing w:val="-1"/>
        </w:rPr>
        <w:t> </w:t>
      </w:r>
      <w:r>
        <w:rPr/>
        <w:t>aorta</w:t>
      </w:r>
      <w:r>
        <w:rPr>
          <w:spacing w:val="-1"/>
        </w:rPr>
        <w:t> </w:t>
      </w:r>
      <w:r>
        <w:rPr/>
        <w:t>também são afetadas, mas em menor número de</w:t>
      </w:r>
      <w:r>
        <w:rPr>
          <w:spacing w:val="-1"/>
        </w:rPr>
        <w:t> </w:t>
      </w:r>
      <w:r>
        <w:rPr/>
        <w:t>casos.</w:t>
      </w:r>
    </w:p>
    <w:p>
      <w:pPr>
        <w:pStyle w:val="BodyText"/>
        <w:spacing w:line="276" w:lineRule="auto"/>
        <w:ind w:right="491"/>
      </w:pPr>
      <w:r>
        <w:rPr/>
        <w:t>Nos membros superiores, a artéria mais frequentemente atingida é a braquial, seguindo-se, em ordem decrescente, as artérias axilar, radial, ulnar e subclávia.</w:t>
      </w:r>
    </w:p>
    <w:p>
      <w:pPr>
        <w:pStyle w:val="BodyText"/>
        <w:spacing w:line="276" w:lineRule="auto" w:before="48"/>
        <w:ind w:right="488"/>
      </w:pPr>
      <w:r>
        <w:rPr/>
        <w:t>A</w:t>
      </w:r>
      <w:r>
        <w:rPr>
          <w:spacing w:val="-9"/>
        </w:rPr>
        <w:t> </w:t>
      </w:r>
      <w:r>
        <w:rPr/>
        <w:t>causa</w:t>
      </w:r>
      <w:r>
        <w:rPr>
          <w:spacing w:val="-9"/>
        </w:rPr>
        <w:t> </w:t>
      </w:r>
      <w:r>
        <w:rPr/>
        <w:t>mais comum</w:t>
      </w:r>
      <w:r>
        <w:rPr>
          <w:spacing w:val="-6"/>
        </w:rPr>
        <w:t> </w:t>
      </w:r>
      <w:r>
        <w:rPr/>
        <w:t>de</w:t>
      </w:r>
      <w:r>
        <w:rPr>
          <w:spacing w:val="-9"/>
        </w:rPr>
        <w:t> </w:t>
      </w:r>
      <w:r>
        <w:rPr/>
        <w:t>formação</w:t>
      </w:r>
      <w:r>
        <w:rPr>
          <w:spacing w:val="-6"/>
        </w:rPr>
        <w:t> </w:t>
      </w:r>
      <w:r>
        <w:rPr/>
        <w:t>e</w:t>
      </w:r>
      <w:r>
        <w:rPr>
          <w:spacing w:val="-9"/>
        </w:rPr>
        <w:t> </w:t>
      </w:r>
      <w:r>
        <w:rPr/>
        <w:t>de</w:t>
      </w:r>
      <w:r>
        <w:rPr>
          <w:spacing w:val="-9"/>
        </w:rPr>
        <w:t> </w:t>
      </w:r>
      <w:r>
        <w:rPr/>
        <w:t>desprendimento</w:t>
      </w:r>
      <w:r>
        <w:rPr>
          <w:spacing w:val="-6"/>
        </w:rPr>
        <w:t> </w:t>
      </w:r>
      <w:r>
        <w:rPr/>
        <w:t>desses trombos, que</w:t>
      </w:r>
      <w:r>
        <w:rPr>
          <w:spacing w:val="-9"/>
        </w:rPr>
        <w:t> </w:t>
      </w:r>
      <w:r>
        <w:rPr/>
        <w:t>se</w:t>
      </w:r>
      <w:r>
        <w:rPr>
          <w:spacing w:val="-9"/>
        </w:rPr>
        <w:t> </w:t>
      </w:r>
      <w:r>
        <w:rPr/>
        <w:t>originam</w:t>
      </w:r>
      <w:r>
        <w:rPr>
          <w:spacing w:val="-6"/>
        </w:rPr>
        <w:t> </w:t>
      </w:r>
      <w:r>
        <w:rPr/>
        <w:t>no</w:t>
      </w:r>
      <w:r>
        <w:rPr>
          <w:spacing w:val="-6"/>
        </w:rPr>
        <w:t> </w:t>
      </w:r>
      <w:r>
        <w:rPr/>
        <w:t>coração</w:t>
      </w:r>
      <w:r>
        <w:rPr>
          <w:spacing w:val="-6"/>
        </w:rPr>
        <w:t> </w:t>
      </w:r>
      <w:r>
        <w:rPr/>
        <w:t>esquerdo, é a fibrilação atrial que acompanha várias doenças cardíacas, tais como estenose mitral de origem reumática, infarto do miocárdio, miocardioesclerose, insuficiência cardíaca e endocardite. Houve diminuição da prevalência da febre reumática como causadora da lesão valvar mitral e atualmente a embolização ocorre por fibrilação atrial ou por infarto do miocárdio que</w:t>
      </w:r>
      <w:r>
        <w:rPr>
          <w:spacing w:val="-1"/>
        </w:rPr>
        <w:t> </w:t>
      </w:r>
      <w:r>
        <w:rPr/>
        <w:t>acarreta</w:t>
      </w:r>
      <w:r>
        <w:rPr>
          <w:spacing w:val="-1"/>
        </w:rPr>
        <w:t> </w:t>
      </w:r>
      <w:r>
        <w:rPr/>
        <w:t>a</w:t>
      </w:r>
      <w:r>
        <w:rPr>
          <w:spacing w:val="-1"/>
        </w:rPr>
        <w:t> </w:t>
      </w:r>
      <w:r>
        <w:rPr/>
        <w:t>formação de</w:t>
      </w:r>
      <w:r>
        <w:rPr>
          <w:spacing w:val="-1"/>
        </w:rPr>
        <w:t> </w:t>
      </w:r>
      <w:r>
        <w:rPr/>
        <w:t>trombos murais com possibilidade</w:t>
      </w:r>
      <w:r>
        <w:rPr>
          <w:spacing w:val="-1"/>
        </w:rPr>
        <w:t> </w:t>
      </w:r>
      <w:r>
        <w:rPr/>
        <w:t>de</w:t>
      </w:r>
      <w:r>
        <w:rPr>
          <w:spacing w:val="-1"/>
        </w:rPr>
        <w:t> </w:t>
      </w:r>
      <w:r>
        <w:rPr/>
        <w:t>embolização.</w:t>
      </w:r>
    </w:p>
    <w:p>
      <w:pPr>
        <w:pStyle w:val="BodyText"/>
        <w:spacing w:line="276" w:lineRule="auto"/>
        <w:ind w:right="488"/>
      </w:pPr>
      <w:r>
        <w:rPr/>
        <w:t>A embolização pode ocorrer também em doentes submetidos a próteses valvares cardíacas e manobras de cardioversão e, mais raramente, no mixoma atrial.</w:t>
      </w:r>
    </w:p>
    <w:p>
      <w:pPr>
        <w:pStyle w:val="BodyText"/>
        <w:spacing w:line="276" w:lineRule="auto" w:before="49"/>
        <w:ind w:right="491"/>
      </w:pPr>
      <w:r>
        <w:rPr/>
        <w:t>Grandes embolizações a</w:t>
      </w:r>
      <w:r>
        <w:rPr>
          <w:spacing w:val="-4"/>
        </w:rPr>
        <w:t> </w:t>
      </w:r>
      <w:r>
        <w:rPr/>
        <w:t>partir de</w:t>
      </w:r>
      <w:r>
        <w:rPr>
          <w:spacing w:val="-4"/>
        </w:rPr>
        <w:t> </w:t>
      </w:r>
      <w:r>
        <w:rPr/>
        <w:t>lesões ateroscleróticas ou</w:t>
      </w:r>
      <w:r>
        <w:rPr>
          <w:spacing w:val="-2"/>
        </w:rPr>
        <w:t> </w:t>
      </w:r>
      <w:r>
        <w:rPr/>
        <w:t>aneurismas arteriais de</w:t>
      </w:r>
      <w:r>
        <w:rPr>
          <w:spacing w:val="-4"/>
        </w:rPr>
        <w:t> </w:t>
      </w:r>
      <w:r>
        <w:rPr/>
        <w:t>qualquer localização, como aorta e artérias ilíacas, poplíteas ou subclávias são pouco frequentes. Mais comumente, essas lesões são responsáveis por microembolizações; estes pequenos êmbolos vão se alojar em artérias de pequeno calibre das mãos ou dos pés, originando o quadro clínico conhecido como “síndrome do dedo azul” devido à coloração azul-arroxeada característica da isquemia provocada por essas obstruções.</w:t>
      </w:r>
    </w:p>
    <w:p>
      <w:pPr>
        <w:pStyle w:val="BodyText"/>
        <w:spacing w:before="133"/>
        <w:ind w:left="0" w:firstLine="0"/>
        <w:jc w:val="left"/>
      </w:pPr>
    </w:p>
    <w:p>
      <w:pPr>
        <w:pStyle w:val="Heading5"/>
        <w:spacing w:before="1"/>
      </w:pPr>
      <w:r>
        <w:rPr>
          <w:color w:val="A26108"/>
        </w:rPr>
        <w:t>Trombose</w:t>
      </w:r>
      <w:r>
        <w:rPr>
          <w:color w:val="A26108"/>
          <w:spacing w:val="31"/>
        </w:rPr>
        <w:t> </w:t>
      </w:r>
      <w:r>
        <w:rPr>
          <w:color w:val="A26108"/>
          <w:spacing w:val="-2"/>
        </w:rPr>
        <w:t>arterial</w:t>
      </w:r>
    </w:p>
    <w:p>
      <w:pPr>
        <w:pStyle w:val="BodyText"/>
        <w:spacing w:line="276" w:lineRule="auto" w:before="138"/>
        <w:ind w:right="488"/>
      </w:pPr>
      <w:r>
        <w:rPr/>
        <w:t>A</w:t>
      </w:r>
      <w:r>
        <w:rPr>
          <w:spacing w:val="-3"/>
        </w:rPr>
        <w:t> </w:t>
      </w:r>
      <w:r>
        <w:rPr/>
        <w:t>trombose</w:t>
      </w:r>
      <w:r>
        <w:rPr>
          <w:spacing w:val="-3"/>
        </w:rPr>
        <w:t> </w:t>
      </w:r>
      <w:r>
        <w:rPr/>
        <w:t>ocorre</w:t>
      </w:r>
      <w:r>
        <w:rPr>
          <w:spacing w:val="-3"/>
        </w:rPr>
        <w:t> </w:t>
      </w:r>
      <w:r>
        <w:rPr/>
        <w:t>geralmente</w:t>
      </w:r>
      <w:r>
        <w:rPr>
          <w:spacing w:val="-3"/>
        </w:rPr>
        <w:t> </w:t>
      </w:r>
      <w:r>
        <w:rPr/>
        <w:t>em</w:t>
      </w:r>
      <w:r>
        <w:rPr>
          <w:spacing w:val="-1"/>
        </w:rPr>
        <w:t> </w:t>
      </w:r>
      <w:r>
        <w:rPr/>
        <w:t>local arterial doente</w:t>
      </w:r>
      <w:r>
        <w:rPr>
          <w:spacing w:val="-3"/>
        </w:rPr>
        <w:t> </w:t>
      </w:r>
      <w:r>
        <w:rPr/>
        <w:t>devido</w:t>
      </w:r>
      <w:r>
        <w:rPr>
          <w:spacing w:val="-1"/>
        </w:rPr>
        <w:t> </w:t>
      </w:r>
      <w:r>
        <w:rPr/>
        <w:t>a</w:t>
      </w:r>
      <w:r>
        <w:rPr>
          <w:spacing w:val="-3"/>
        </w:rPr>
        <w:t> </w:t>
      </w:r>
      <w:r>
        <w:rPr/>
        <w:t>doença</w:t>
      </w:r>
      <w:r>
        <w:rPr>
          <w:spacing w:val="-3"/>
        </w:rPr>
        <w:t> </w:t>
      </w:r>
      <w:r>
        <w:rPr/>
        <w:t>aterosclerótica, que</w:t>
      </w:r>
      <w:r>
        <w:rPr>
          <w:spacing w:val="-3"/>
        </w:rPr>
        <w:t> </w:t>
      </w:r>
      <w:r>
        <w:rPr/>
        <w:t>em</w:t>
      </w:r>
      <w:r>
        <w:rPr>
          <w:spacing w:val="-1"/>
        </w:rPr>
        <w:t> </w:t>
      </w:r>
      <w:r>
        <w:rPr/>
        <w:t>geral acomete</w:t>
      </w:r>
      <w:r>
        <w:rPr>
          <w:spacing w:val="-3"/>
        </w:rPr>
        <w:t> </w:t>
      </w:r>
      <w:r>
        <w:rPr/>
        <w:t>a artéria</w:t>
      </w:r>
      <w:r>
        <w:rPr>
          <w:spacing w:val="-4"/>
        </w:rPr>
        <w:t> </w:t>
      </w:r>
      <w:r>
        <w:rPr/>
        <w:t>femoral no</w:t>
      </w:r>
      <w:r>
        <w:rPr>
          <w:spacing w:val="-2"/>
        </w:rPr>
        <w:t> </w:t>
      </w:r>
      <w:r>
        <w:rPr/>
        <w:t>canal de</w:t>
      </w:r>
      <w:r>
        <w:rPr>
          <w:spacing w:val="-4"/>
        </w:rPr>
        <w:t> </w:t>
      </w:r>
      <w:r>
        <w:rPr/>
        <w:t>Hunter (canal dos adutores), ou</w:t>
      </w:r>
      <w:r>
        <w:rPr>
          <w:spacing w:val="-2"/>
        </w:rPr>
        <w:t> </w:t>
      </w:r>
      <w:r>
        <w:rPr/>
        <w:t>por doenças inflamatórias, como</w:t>
      </w:r>
      <w:r>
        <w:rPr>
          <w:spacing w:val="-2"/>
        </w:rPr>
        <w:t> </w:t>
      </w:r>
      <w:r>
        <w:rPr/>
        <w:t>a</w:t>
      </w:r>
      <w:r>
        <w:rPr>
          <w:spacing w:val="-4"/>
        </w:rPr>
        <w:t> </w:t>
      </w:r>
      <w:r>
        <w:rPr/>
        <w:t>TAO</w:t>
      </w:r>
      <w:r>
        <w:rPr>
          <w:spacing w:val="-4"/>
        </w:rPr>
        <w:t> </w:t>
      </w:r>
      <w:r>
        <w:rPr/>
        <w:t>e</w:t>
      </w:r>
      <w:r>
        <w:rPr>
          <w:spacing w:val="-4"/>
        </w:rPr>
        <w:t> </w:t>
      </w:r>
      <w:r>
        <w:rPr/>
        <w:t>arterites, que levam</w:t>
      </w:r>
      <w:r>
        <w:rPr>
          <w:spacing w:val="-8"/>
        </w:rPr>
        <w:t> </w:t>
      </w:r>
      <w:r>
        <w:rPr/>
        <w:t>geralmente</w:t>
      </w:r>
      <w:r>
        <w:rPr>
          <w:spacing w:val="-10"/>
        </w:rPr>
        <w:t> </w:t>
      </w:r>
      <w:r>
        <w:rPr/>
        <w:t>à</w:t>
      </w:r>
      <w:r>
        <w:rPr>
          <w:spacing w:val="-10"/>
        </w:rPr>
        <w:t> </w:t>
      </w:r>
      <w:r>
        <w:rPr/>
        <w:t>trombose</w:t>
      </w:r>
      <w:r>
        <w:rPr>
          <w:spacing w:val="-10"/>
        </w:rPr>
        <w:t> </w:t>
      </w:r>
      <w:r>
        <w:rPr/>
        <w:t>de</w:t>
      </w:r>
      <w:r>
        <w:rPr>
          <w:spacing w:val="-10"/>
        </w:rPr>
        <w:t> </w:t>
      </w:r>
      <w:r>
        <w:rPr/>
        <w:t>artérias mais distais. Graças à</w:t>
      </w:r>
      <w:r>
        <w:rPr>
          <w:spacing w:val="-10"/>
        </w:rPr>
        <w:t> </w:t>
      </w:r>
      <w:r>
        <w:rPr/>
        <w:t>circulação</w:t>
      </w:r>
      <w:r>
        <w:rPr>
          <w:spacing w:val="-8"/>
        </w:rPr>
        <w:t> </w:t>
      </w:r>
      <w:r>
        <w:rPr/>
        <w:t>colateral</w:t>
      </w:r>
      <w:r>
        <w:rPr>
          <w:spacing w:val="-5"/>
        </w:rPr>
        <w:t> </w:t>
      </w:r>
      <w:r>
        <w:rPr/>
        <w:t>compensatória, que</w:t>
      </w:r>
      <w:r>
        <w:rPr>
          <w:spacing w:val="-10"/>
        </w:rPr>
        <w:t> </w:t>
      </w:r>
      <w:r>
        <w:rPr/>
        <w:t>se</w:t>
      </w:r>
      <w:r>
        <w:rPr>
          <w:spacing w:val="-10"/>
        </w:rPr>
        <w:t> </w:t>
      </w:r>
      <w:r>
        <w:rPr/>
        <w:t>forma</w:t>
      </w:r>
      <w:r>
        <w:rPr>
          <w:spacing w:val="-10"/>
        </w:rPr>
        <w:t> </w:t>
      </w:r>
      <w:r>
        <w:rPr/>
        <w:t>nas oclusões crônicas, a</w:t>
      </w:r>
      <w:r>
        <w:rPr>
          <w:spacing w:val="-2"/>
        </w:rPr>
        <w:t> </w:t>
      </w:r>
      <w:r>
        <w:rPr/>
        <w:t>isquemia</w:t>
      </w:r>
      <w:r>
        <w:rPr>
          <w:spacing w:val="-2"/>
        </w:rPr>
        <w:t> </w:t>
      </w:r>
      <w:r>
        <w:rPr/>
        <w:t>pode</w:t>
      </w:r>
      <w:r>
        <w:rPr>
          <w:spacing w:val="-2"/>
        </w:rPr>
        <w:t> </w:t>
      </w:r>
      <w:r>
        <w:rPr/>
        <w:t>ser mais branda</w:t>
      </w:r>
      <w:r>
        <w:rPr>
          <w:spacing w:val="-2"/>
        </w:rPr>
        <w:t> </w:t>
      </w:r>
      <w:r>
        <w:rPr/>
        <w:t>quando comparada</w:t>
      </w:r>
      <w:r>
        <w:rPr>
          <w:spacing w:val="-2"/>
        </w:rPr>
        <w:t> </w:t>
      </w:r>
      <w:r>
        <w:rPr/>
        <w:t>aos quadros embólicos.</w:t>
      </w:r>
    </w:p>
    <w:p>
      <w:pPr>
        <w:pStyle w:val="BodyText"/>
        <w:spacing w:line="276" w:lineRule="auto" w:before="64"/>
        <w:ind w:right="491"/>
      </w:pPr>
      <w:r>
        <w:rPr/>
        <w:t>A isquemia aguda pode ocorrer também por trombose de aneurisma de artéria poplítea ou mesmo em casos em que o doente, previamente, foi submetido a uma derivação arterial e sofre trombose desse enxerto.</w:t>
      </w:r>
    </w:p>
    <w:p>
      <w:pPr>
        <w:pStyle w:val="BodyText"/>
        <w:spacing w:line="276" w:lineRule="auto" w:before="49"/>
        <w:ind w:right="488"/>
      </w:pPr>
      <w:r>
        <w:rPr/>
        <w:t>Outra causa menos frequente de trombose arterial aguda são os estados de hipercoagulabilidade. Embora estejam geralmente associados a eventos venosos tromboembólicos, eles podem, também, provocar trombose arterial</w:t>
      </w:r>
      <w:r>
        <w:rPr>
          <w:spacing w:val="-8"/>
        </w:rPr>
        <w:t> </w:t>
      </w:r>
      <w:r>
        <w:rPr/>
        <w:t>particularmente</w:t>
      </w:r>
      <w:r>
        <w:rPr>
          <w:spacing w:val="-12"/>
        </w:rPr>
        <w:t> </w:t>
      </w:r>
      <w:r>
        <w:rPr/>
        <w:t>na</w:t>
      </w:r>
      <w:r>
        <w:rPr>
          <w:spacing w:val="-12"/>
        </w:rPr>
        <w:t> </w:t>
      </w:r>
      <w:r>
        <w:rPr/>
        <w:t>presença</w:t>
      </w:r>
      <w:r>
        <w:rPr>
          <w:spacing w:val="-12"/>
        </w:rPr>
        <w:t> </w:t>
      </w:r>
      <w:r>
        <w:rPr/>
        <w:t>de</w:t>
      </w:r>
      <w:r>
        <w:rPr>
          <w:spacing w:val="-12"/>
        </w:rPr>
        <w:t> </w:t>
      </w:r>
      <w:r>
        <w:rPr/>
        <w:t>neoplasias</w:t>
      </w:r>
      <w:r>
        <w:rPr>
          <w:spacing w:val="-2"/>
        </w:rPr>
        <w:t> </w:t>
      </w:r>
      <w:r>
        <w:rPr/>
        <w:t>malignas,</w:t>
      </w:r>
      <w:r>
        <w:rPr>
          <w:spacing w:val="-2"/>
        </w:rPr>
        <w:t> </w:t>
      </w:r>
      <w:r>
        <w:rPr/>
        <w:t>síndrome</w:t>
      </w:r>
      <w:r>
        <w:rPr>
          <w:spacing w:val="-12"/>
        </w:rPr>
        <w:t> </w:t>
      </w:r>
      <w:r>
        <w:rPr/>
        <w:t>antifosfolipídio,</w:t>
      </w:r>
      <w:r>
        <w:rPr>
          <w:spacing w:val="-2"/>
        </w:rPr>
        <w:t> </w:t>
      </w:r>
      <w:r>
        <w:rPr/>
        <w:t>deficiência</w:t>
      </w:r>
      <w:r>
        <w:rPr>
          <w:spacing w:val="-12"/>
        </w:rPr>
        <w:t> </w:t>
      </w:r>
      <w:r>
        <w:rPr/>
        <w:t>de</w:t>
      </w:r>
      <w:r>
        <w:rPr>
          <w:spacing w:val="-12"/>
        </w:rPr>
        <w:t> </w:t>
      </w:r>
      <w:r>
        <w:rPr/>
        <w:t>antitrombina</w:t>
      </w:r>
      <w:r>
        <w:rPr>
          <w:spacing w:val="-12"/>
        </w:rPr>
        <w:t> </w:t>
      </w:r>
      <w:r>
        <w:rPr/>
        <w:t>e </w:t>
      </w:r>
      <w:r>
        <w:rPr>
          <w:spacing w:val="-2"/>
        </w:rPr>
        <w:t>vasculites.</w:t>
      </w:r>
    </w:p>
    <w:p>
      <w:pPr>
        <w:pStyle w:val="BodyText"/>
        <w:spacing w:after="0" w:line="276" w:lineRule="auto"/>
        <w:sectPr>
          <w:pgSz w:w="11900" w:h="16840"/>
          <w:pgMar w:top="220" w:bottom="280" w:left="566" w:right="141"/>
        </w:sectPr>
      </w:pPr>
    </w:p>
    <w:p>
      <w:pPr>
        <w:pStyle w:val="Heading4"/>
        <w:spacing w:before="81"/>
      </w:pPr>
      <w:r>
        <w:rPr>
          <w:color w:val="242B67"/>
          <w:spacing w:val="-2"/>
        </w:rPr>
        <w:t>Fisiopatologia</w:t>
      </w:r>
    </w:p>
    <w:p>
      <w:pPr>
        <w:pStyle w:val="BodyText"/>
        <w:spacing w:line="276" w:lineRule="auto" w:before="132"/>
        <w:ind w:right="500"/>
      </w:pPr>
      <w:r>
        <w:rPr/>
        <w:t>A oclusão arterial aguda por embolia ou trombose pode desencadear uma série de fenômenos fisiopatológicos que interferem na evolução e no prognóstico do quadro clínico.</w:t>
      </w:r>
    </w:p>
    <w:p>
      <w:pPr>
        <w:pStyle w:val="BodyText"/>
        <w:spacing w:line="276" w:lineRule="auto"/>
        <w:ind w:right="501"/>
      </w:pPr>
      <w:r>
        <w:rPr/>
        <w:t>A gravidade da oclusão está relacionada diretamente ao calibre da artéria ocluída e da área por ela irrigada. Quanto mais calibrosa a artéria, mais grave é a isquemia e maiores as complicações decorrentes de alterações isquêmicas e metabólicas.</w:t>
      </w:r>
    </w:p>
    <w:p>
      <w:pPr>
        <w:pStyle w:val="BodyText"/>
        <w:spacing w:line="276" w:lineRule="auto" w:before="48"/>
        <w:ind w:right="491"/>
      </w:pPr>
      <w:r>
        <w:rPr/>
        <w:t>A</w:t>
      </w:r>
      <w:r>
        <w:rPr>
          <w:spacing w:val="-6"/>
        </w:rPr>
        <w:t> </w:t>
      </w:r>
      <w:r>
        <w:rPr/>
        <w:t>circulação</w:t>
      </w:r>
      <w:r>
        <w:rPr>
          <w:spacing w:val="-4"/>
        </w:rPr>
        <w:t> </w:t>
      </w:r>
      <w:r>
        <w:rPr/>
        <w:t>colateral</w:t>
      </w:r>
      <w:r>
        <w:rPr>
          <w:spacing w:val="-1"/>
        </w:rPr>
        <w:t> </w:t>
      </w:r>
      <w:r>
        <w:rPr/>
        <w:t>é</w:t>
      </w:r>
      <w:r>
        <w:rPr>
          <w:spacing w:val="-6"/>
        </w:rPr>
        <w:t> </w:t>
      </w:r>
      <w:r>
        <w:rPr/>
        <w:t>um</w:t>
      </w:r>
      <w:r>
        <w:rPr>
          <w:spacing w:val="-4"/>
        </w:rPr>
        <w:t> </w:t>
      </w:r>
      <w:r>
        <w:rPr/>
        <w:t>dos fatores mais importantes na</w:t>
      </w:r>
      <w:r>
        <w:rPr>
          <w:spacing w:val="-6"/>
        </w:rPr>
        <w:t> </w:t>
      </w:r>
      <w:r>
        <w:rPr/>
        <w:t>manutenção</w:t>
      </w:r>
      <w:r>
        <w:rPr>
          <w:spacing w:val="-4"/>
        </w:rPr>
        <w:t> </w:t>
      </w:r>
      <w:r>
        <w:rPr/>
        <w:t>da</w:t>
      </w:r>
      <w:r>
        <w:rPr>
          <w:spacing w:val="-6"/>
        </w:rPr>
        <w:t> </w:t>
      </w:r>
      <w:r>
        <w:rPr/>
        <w:t>vitalidade</w:t>
      </w:r>
      <w:r>
        <w:rPr>
          <w:spacing w:val="-6"/>
        </w:rPr>
        <w:t> </w:t>
      </w:r>
      <w:r>
        <w:rPr/>
        <w:t>dos tecidos. Se</w:t>
      </w:r>
      <w:r>
        <w:rPr>
          <w:spacing w:val="-6"/>
        </w:rPr>
        <w:t> </w:t>
      </w:r>
      <w:r>
        <w:rPr/>
        <w:t>ela</w:t>
      </w:r>
      <w:r>
        <w:rPr>
          <w:spacing w:val="-6"/>
        </w:rPr>
        <w:t> </w:t>
      </w:r>
      <w:r>
        <w:rPr/>
        <w:t>é</w:t>
      </w:r>
      <w:r>
        <w:rPr>
          <w:spacing w:val="-6"/>
        </w:rPr>
        <w:t> </w:t>
      </w:r>
      <w:r>
        <w:rPr/>
        <w:t>bem desenvolvida, como</w:t>
      </w:r>
      <w:r>
        <w:rPr>
          <w:spacing w:val="-2"/>
        </w:rPr>
        <w:t> </w:t>
      </w:r>
      <w:r>
        <w:rPr/>
        <w:t>geralmente</w:t>
      </w:r>
      <w:r>
        <w:rPr>
          <w:spacing w:val="-4"/>
        </w:rPr>
        <w:t> </w:t>
      </w:r>
      <w:r>
        <w:rPr/>
        <w:t>se</w:t>
      </w:r>
      <w:r>
        <w:rPr>
          <w:spacing w:val="-4"/>
        </w:rPr>
        <w:t> </w:t>
      </w:r>
      <w:r>
        <w:rPr/>
        <w:t>observa</w:t>
      </w:r>
      <w:r>
        <w:rPr>
          <w:spacing w:val="-4"/>
        </w:rPr>
        <w:t> </w:t>
      </w:r>
      <w:r>
        <w:rPr/>
        <w:t>nas tromboses arteriais, permite</w:t>
      </w:r>
      <w:r>
        <w:rPr>
          <w:spacing w:val="-4"/>
        </w:rPr>
        <w:t> </w:t>
      </w:r>
      <w:r>
        <w:rPr/>
        <w:t>manter por mais tempo</w:t>
      </w:r>
      <w:r>
        <w:rPr>
          <w:spacing w:val="-2"/>
        </w:rPr>
        <w:t> </w:t>
      </w:r>
      <w:r>
        <w:rPr/>
        <w:t>a</w:t>
      </w:r>
      <w:r>
        <w:rPr>
          <w:spacing w:val="-4"/>
        </w:rPr>
        <w:t> </w:t>
      </w:r>
      <w:r>
        <w:rPr/>
        <w:t>perfusão</w:t>
      </w:r>
      <w:r>
        <w:rPr>
          <w:spacing w:val="-2"/>
        </w:rPr>
        <w:t> </w:t>
      </w:r>
      <w:r>
        <w:rPr/>
        <w:t>para a</w:t>
      </w:r>
      <w:r>
        <w:rPr>
          <w:spacing w:val="-3"/>
        </w:rPr>
        <w:t> </w:t>
      </w:r>
      <w:r>
        <w:rPr/>
        <w:t>extremidade, tornando menos graves as alterações isquêmicas e</w:t>
      </w:r>
      <w:r>
        <w:rPr>
          <w:spacing w:val="-3"/>
        </w:rPr>
        <w:t> </w:t>
      </w:r>
      <w:r>
        <w:rPr/>
        <w:t>metabólicas.</w:t>
      </w:r>
    </w:p>
    <w:p>
      <w:pPr>
        <w:pStyle w:val="BodyText"/>
        <w:spacing w:line="276" w:lineRule="auto"/>
        <w:ind w:right="488"/>
      </w:pPr>
      <w:r>
        <w:rPr/>
        <w:t>Caso a oclusão arterial seja acompanhada de trombose secundária proximal e distal ao ponto ocluído, há comprometimento da</w:t>
      </w:r>
      <w:r>
        <w:rPr>
          <w:spacing w:val="-1"/>
        </w:rPr>
        <w:t> </w:t>
      </w:r>
      <w:r>
        <w:rPr/>
        <w:t>circulação colateral e</w:t>
      </w:r>
      <w:r>
        <w:rPr>
          <w:spacing w:val="-1"/>
        </w:rPr>
        <w:t> </w:t>
      </w:r>
      <w:r>
        <w:rPr/>
        <w:t>agravamento da</w:t>
      </w:r>
      <w:r>
        <w:rPr>
          <w:spacing w:val="-1"/>
        </w:rPr>
        <w:t> </w:t>
      </w:r>
      <w:r>
        <w:rPr/>
        <w:t>isquemia.</w:t>
      </w:r>
    </w:p>
    <w:p>
      <w:pPr>
        <w:pStyle w:val="BodyText"/>
        <w:spacing w:line="276" w:lineRule="auto" w:before="64"/>
        <w:ind w:right="491"/>
      </w:pPr>
      <w:r>
        <w:rPr/>
        <w:t>O espasmo arterial pode ser observado e geralmente atinge a porção distal ao local ocluído, reduzindo o fluxo sanguíneo para</w:t>
      </w:r>
      <w:r>
        <w:rPr>
          <w:spacing w:val="-2"/>
        </w:rPr>
        <w:t> </w:t>
      </w:r>
      <w:r>
        <w:rPr/>
        <w:t>a</w:t>
      </w:r>
      <w:r>
        <w:rPr>
          <w:spacing w:val="-2"/>
        </w:rPr>
        <w:t> </w:t>
      </w:r>
      <w:r>
        <w:rPr/>
        <w:t>área</w:t>
      </w:r>
      <w:r>
        <w:rPr>
          <w:spacing w:val="-2"/>
        </w:rPr>
        <w:t> </w:t>
      </w:r>
      <w:r>
        <w:rPr/>
        <w:t>isquêmica, favorecendo a</w:t>
      </w:r>
      <w:r>
        <w:rPr>
          <w:spacing w:val="-2"/>
        </w:rPr>
        <w:t> </w:t>
      </w:r>
      <w:r>
        <w:rPr/>
        <w:t>progressão da</w:t>
      </w:r>
      <w:r>
        <w:rPr>
          <w:spacing w:val="-2"/>
        </w:rPr>
        <w:t> </w:t>
      </w:r>
      <w:r>
        <w:rPr/>
        <w:t>trombose</w:t>
      </w:r>
      <w:r>
        <w:rPr>
          <w:spacing w:val="-2"/>
        </w:rPr>
        <w:t> </w:t>
      </w:r>
      <w:r>
        <w:rPr/>
        <w:t>secundária</w:t>
      </w:r>
      <w:r>
        <w:rPr>
          <w:spacing w:val="-2"/>
        </w:rPr>
        <w:t> </w:t>
      </w:r>
      <w:r>
        <w:rPr/>
        <w:t>e</w:t>
      </w:r>
      <w:r>
        <w:rPr>
          <w:spacing w:val="-2"/>
        </w:rPr>
        <w:t> </w:t>
      </w:r>
      <w:r>
        <w:rPr/>
        <w:t>consequentemente</w:t>
      </w:r>
      <w:r>
        <w:rPr>
          <w:spacing w:val="-2"/>
        </w:rPr>
        <w:t> </w:t>
      </w:r>
      <w:r>
        <w:rPr/>
        <w:t>agravando o prognóstico do membro.</w:t>
      </w:r>
    </w:p>
    <w:p>
      <w:pPr>
        <w:pStyle w:val="BodyText"/>
        <w:spacing w:line="276" w:lineRule="auto" w:before="49"/>
        <w:ind w:right="488"/>
      </w:pPr>
      <w:r>
        <w:rPr/>
        <w:t>A</w:t>
      </w:r>
      <w:r>
        <w:rPr>
          <w:spacing w:val="-2"/>
        </w:rPr>
        <w:t> </w:t>
      </w:r>
      <w:r>
        <w:rPr/>
        <w:t>redução do fluxo sanguíneo para</w:t>
      </w:r>
      <w:r>
        <w:rPr>
          <w:spacing w:val="-2"/>
        </w:rPr>
        <w:t> </w:t>
      </w:r>
      <w:r>
        <w:rPr/>
        <w:t>a</w:t>
      </w:r>
      <w:r>
        <w:rPr>
          <w:spacing w:val="-2"/>
        </w:rPr>
        <w:t> </w:t>
      </w:r>
      <w:r>
        <w:rPr/>
        <w:t>extremidade</w:t>
      </w:r>
      <w:r>
        <w:rPr>
          <w:spacing w:val="-2"/>
        </w:rPr>
        <w:t> </w:t>
      </w:r>
      <w:r>
        <w:rPr/>
        <w:t>e</w:t>
      </w:r>
      <w:r>
        <w:rPr>
          <w:spacing w:val="-2"/>
        </w:rPr>
        <w:t> </w:t>
      </w:r>
      <w:r>
        <w:rPr/>
        <w:t>a</w:t>
      </w:r>
      <w:r>
        <w:rPr>
          <w:spacing w:val="-2"/>
        </w:rPr>
        <w:t> </w:t>
      </w:r>
      <w:r>
        <w:rPr/>
        <w:t>diminuição da</w:t>
      </w:r>
      <w:r>
        <w:rPr>
          <w:spacing w:val="-2"/>
        </w:rPr>
        <w:t> </w:t>
      </w:r>
      <w:r>
        <w:rPr/>
        <w:t>pressão arterial no leito capilar refletem-se em lentidão da</w:t>
      </w:r>
      <w:r>
        <w:rPr>
          <w:spacing w:val="-2"/>
        </w:rPr>
        <w:t> </w:t>
      </w:r>
      <w:r>
        <w:rPr/>
        <w:t>circulação de</w:t>
      </w:r>
      <w:r>
        <w:rPr>
          <w:spacing w:val="-2"/>
        </w:rPr>
        <w:t> </w:t>
      </w:r>
      <w:r>
        <w:rPr/>
        <w:t>retorno, e</w:t>
      </w:r>
      <w:r>
        <w:rPr>
          <w:spacing w:val="-2"/>
        </w:rPr>
        <w:t> </w:t>
      </w:r>
      <w:r>
        <w:rPr/>
        <w:t>podem precipitar o aparecimento de</w:t>
      </w:r>
      <w:r>
        <w:rPr>
          <w:spacing w:val="-2"/>
        </w:rPr>
        <w:t> </w:t>
      </w:r>
      <w:r>
        <w:rPr/>
        <w:t>trombose</w:t>
      </w:r>
      <w:r>
        <w:rPr>
          <w:spacing w:val="-2"/>
        </w:rPr>
        <w:t> </w:t>
      </w:r>
      <w:r>
        <w:rPr/>
        <w:t>venosa.</w:t>
      </w:r>
    </w:p>
    <w:p>
      <w:pPr>
        <w:pStyle w:val="BodyText"/>
        <w:spacing w:line="276" w:lineRule="auto" w:before="64"/>
        <w:ind w:right="488"/>
      </w:pPr>
      <w:r>
        <w:rPr/>
        <w:t>Hipovolemia, hipotensão e insuficiência cardíaca são fatores de ordem geral que devem ser cuidadosamente tratados a fim de evitar piora do quadro clínico e da evolução da isquemia periférica.</w:t>
      </w:r>
    </w:p>
    <w:p>
      <w:pPr>
        <w:pStyle w:val="BodyText"/>
        <w:spacing w:line="276" w:lineRule="auto" w:before="48"/>
        <w:ind w:right="497"/>
      </w:pPr>
      <w:r>
        <w:rPr/>
        <w:t>Em relação ao comprometimento tecidual, as primeiras estruturas a sentirem os efeitos da isquemia são os nervos periféricos, vindo a seguir os músculos, a pele, tecido subcutâneo, cartilagem e ossos. Por isso, é</w:t>
      </w:r>
      <w:r>
        <w:rPr>
          <w:spacing w:val="80"/>
        </w:rPr>
        <w:t> </w:t>
      </w:r>
      <w:r>
        <w:rPr/>
        <w:t>importante</w:t>
      </w:r>
      <w:r>
        <w:rPr>
          <w:spacing w:val="-8"/>
        </w:rPr>
        <w:t> </w:t>
      </w:r>
      <w:r>
        <w:rPr/>
        <w:t>saber que, quanto</w:t>
      </w:r>
      <w:r>
        <w:rPr>
          <w:spacing w:val="-6"/>
        </w:rPr>
        <w:t> </w:t>
      </w:r>
      <w:r>
        <w:rPr/>
        <w:t>mais rapidamente</w:t>
      </w:r>
      <w:r>
        <w:rPr>
          <w:spacing w:val="-8"/>
        </w:rPr>
        <w:t> </w:t>
      </w:r>
      <w:r>
        <w:rPr/>
        <w:t>o</w:t>
      </w:r>
      <w:r>
        <w:rPr>
          <w:spacing w:val="-6"/>
        </w:rPr>
        <w:t> </w:t>
      </w:r>
      <w:r>
        <w:rPr/>
        <w:t>doente</w:t>
      </w:r>
      <w:r>
        <w:rPr>
          <w:spacing w:val="-8"/>
        </w:rPr>
        <w:t> </w:t>
      </w:r>
      <w:r>
        <w:rPr/>
        <w:t>for tratado, menores serão</w:t>
      </w:r>
      <w:r>
        <w:rPr>
          <w:spacing w:val="-6"/>
        </w:rPr>
        <w:t> </w:t>
      </w:r>
      <w:r>
        <w:rPr/>
        <w:t>as complicações decorrentes da isquemia e menos graves serão as sequelas.</w:t>
      </w:r>
    </w:p>
    <w:p>
      <w:pPr>
        <w:pStyle w:val="BodyText"/>
        <w:spacing w:before="186"/>
        <w:ind w:left="0" w:firstLine="0"/>
        <w:jc w:val="left"/>
      </w:pPr>
    </w:p>
    <w:p>
      <w:pPr>
        <w:pStyle w:val="Heading4"/>
      </w:pPr>
      <w:r>
        <w:rPr>
          <w:color w:val="242B67"/>
          <w:spacing w:val="-2"/>
        </w:rPr>
        <w:t>Diagnóstico</w:t>
      </w:r>
    </w:p>
    <w:p>
      <w:pPr>
        <w:pStyle w:val="BodyText"/>
        <w:spacing w:line="276" w:lineRule="auto" w:before="148"/>
        <w:ind w:right="491"/>
      </w:pPr>
      <w:r>
        <w:rPr/>
        <w:t>O</w:t>
      </w:r>
      <w:r>
        <w:rPr>
          <w:spacing w:val="-1"/>
        </w:rPr>
        <w:t> </w:t>
      </w:r>
      <w:r>
        <w:rPr/>
        <w:t>diagnóstico da</w:t>
      </w:r>
      <w:r>
        <w:rPr>
          <w:spacing w:val="-1"/>
        </w:rPr>
        <w:t> </w:t>
      </w:r>
      <w:r>
        <w:rPr/>
        <w:t>isquemia</w:t>
      </w:r>
      <w:r>
        <w:rPr>
          <w:spacing w:val="-1"/>
        </w:rPr>
        <w:t> </w:t>
      </w:r>
      <w:r>
        <w:rPr/>
        <w:t>aguda</w:t>
      </w:r>
      <w:r>
        <w:rPr>
          <w:spacing w:val="-1"/>
        </w:rPr>
        <w:t> </w:t>
      </w:r>
      <w:r>
        <w:rPr/>
        <w:t>é</w:t>
      </w:r>
      <w:r>
        <w:rPr>
          <w:spacing w:val="-1"/>
        </w:rPr>
        <w:t> </w:t>
      </w:r>
      <w:r>
        <w:rPr/>
        <w:t>clínico. O</w:t>
      </w:r>
      <w:r>
        <w:rPr>
          <w:spacing w:val="-1"/>
        </w:rPr>
        <w:t> </w:t>
      </w:r>
      <w:r>
        <w:rPr/>
        <w:t>paciente</w:t>
      </w:r>
      <w:r>
        <w:rPr>
          <w:spacing w:val="-1"/>
        </w:rPr>
        <w:t> </w:t>
      </w:r>
      <w:r>
        <w:rPr/>
        <w:t>se</w:t>
      </w:r>
      <w:r>
        <w:rPr>
          <w:spacing w:val="-1"/>
        </w:rPr>
        <w:t> </w:t>
      </w:r>
      <w:r>
        <w:rPr/>
        <w:t>queixa</w:t>
      </w:r>
      <w:r>
        <w:rPr>
          <w:spacing w:val="-1"/>
        </w:rPr>
        <w:t> </w:t>
      </w:r>
      <w:r>
        <w:rPr/>
        <w:t>de</w:t>
      </w:r>
      <w:r>
        <w:rPr>
          <w:spacing w:val="-1"/>
        </w:rPr>
        <w:t> </w:t>
      </w:r>
      <w:r>
        <w:rPr/>
        <w:t>adormecimento e</w:t>
      </w:r>
      <w:r>
        <w:rPr>
          <w:spacing w:val="-1"/>
        </w:rPr>
        <w:t> </w:t>
      </w:r>
      <w:r>
        <w:rPr/>
        <w:t>dor na</w:t>
      </w:r>
      <w:r>
        <w:rPr>
          <w:spacing w:val="-1"/>
        </w:rPr>
        <w:t> </w:t>
      </w:r>
      <w:r>
        <w:rPr/>
        <w:t>extremidade</w:t>
      </w:r>
      <w:r>
        <w:rPr>
          <w:spacing w:val="-1"/>
        </w:rPr>
        <w:t> </w:t>
      </w:r>
      <w:r>
        <w:rPr/>
        <w:t>e, em casos graves, perda da função motora e rigidez muscular.</w:t>
      </w:r>
    </w:p>
    <w:p>
      <w:pPr>
        <w:pStyle w:val="BodyText"/>
        <w:spacing w:line="276" w:lineRule="auto" w:before="48"/>
        <w:ind w:right="488"/>
      </w:pPr>
      <w:r>
        <w:rPr/>
        <w:t>A anamnese é importante no diagnóstico diferencial. Paciente com história de infarto do miocárdio ou arritmia induz a provável causa embólica. O início do sintoma é abrupto e de forte intensidade, o que leva o paciente ao hospital. Aqueles com história prévia de claudicação intermitente, diabetes, hipertensão ou tabagismo já são orientados para uma possível causa trombótica.</w:t>
      </w:r>
    </w:p>
    <w:p>
      <w:pPr>
        <w:pStyle w:val="BodyText"/>
        <w:spacing w:line="276" w:lineRule="auto"/>
        <w:ind w:right="488"/>
      </w:pPr>
      <w:r>
        <w:rPr/>
        <w:t>No</w:t>
      </w:r>
      <w:r>
        <w:rPr>
          <w:spacing w:val="-2"/>
        </w:rPr>
        <w:t> </w:t>
      </w:r>
      <w:r>
        <w:rPr/>
        <w:t>exame</w:t>
      </w:r>
      <w:r>
        <w:rPr>
          <w:spacing w:val="-5"/>
        </w:rPr>
        <w:t> </w:t>
      </w:r>
      <w:r>
        <w:rPr/>
        <w:t>físico, verifica-se</w:t>
      </w:r>
      <w:r>
        <w:rPr>
          <w:spacing w:val="-5"/>
        </w:rPr>
        <w:t> </w:t>
      </w:r>
      <w:r>
        <w:rPr/>
        <w:t>a</w:t>
      </w:r>
      <w:r>
        <w:rPr>
          <w:spacing w:val="-5"/>
        </w:rPr>
        <w:t> </w:t>
      </w:r>
      <w:r>
        <w:rPr/>
        <w:t>ausência</w:t>
      </w:r>
      <w:r>
        <w:rPr>
          <w:spacing w:val="-5"/>
        </w:rPr>
        <w:t> </w:t>
      </w:r>
      <w:r>
        <w:rPr/>
        <w:t>de</w:t>
      </w:r>
      <w:r>
        <w:rPr>
          <w:spacing w:val="-5"/>
        </w:rPr>
        <w:t> </w:t>
      </w:r>
      <w:r>
        <w:rPr/>
        <w:t>pulsações arteriais no</w:t>
      </w:r>
      <w:r>
        <w:rPr>
          <w:spacing w:val="-2"/>
        </w:rPr>
        <w:t> </w:t>
      </w:r>
      <w:r>
        <w:rPr/>
        <w:t>membro</w:t>
      </w:r>
      <w:r>
        <w:rPr>
          <w:spacing w:val="-2"/>
        </w:rPr>
        <w:t> </w:t>
      </w:r>
      <w:r>
        <w:rPr/>
        <w:t>acometido</w:t>
      </w:r>
      <w:r>
        <w:rPr>
          <w:spacing w:val="-2"/>
        </w:rPr>
        <w:t> </w:t>
      </w:r>
      <w:r>
        <w:rPr/>
        <w:t>e</w:t>
      </w:r>
      <w:r>
        <w:rPr>
          <w:spacing w:val="-5"/>
        </w:rPr>
        <w:t> </w:t>
      </w:r>
      <w:r>
        <w:rPr/>
        <w:t>o</w:t>
      </w:r>
      <w:r>
        <w:rPr>
          <w:spacing w:val="-2"/>
        </w:rPr>
        <w:t> </w:t>
      </w:r>
      <w:r>
        <w:rPr/>
        <w:t>nível mais proximal de falta de pulso permite prever o segmento arterial ocluído. Por exemplo, a ausência de pulsos femorais faz prever que</w:t>
      </w:r>
      <w:r>
        <w:rPr>
          <w:spacing w:val="-2"/>
        </w:rPr>
        <w:t> </w:t>
      </w:r>
      <w:r>
        <w:rPr/>
        <w:t>a</w:t>
      </w:r>
      <w:r>
        <w:rPr>
          <w:spacing w:val="-2"/>
        </w:rPr>
        <w:t> </w:t>
      </w:r>
      <w:r>
        <w:rPr/>
        <w:t>oclusão localiza-se</w:t>
      </w:r>
      <w:r>
        <w:rPr>
          <w:spacing w:val="-2"/>
        </w:rPr>
        <w:t> </w:t>
      </w:r>
      <w:r>
        <w:rPr/>
        <w:t>no setor aortoilíaco; na</w:t>
      </w:r>
      <w:r>
        <w:rPr>
          <w:spacing w:val="-2"/>
        </w:rPr>
        <w:t> </w:t>
      </w:r>
      <w:r>
        <w:rPr/>
        <w:t>ausência</w:t>
      </w:r>
      <w:r>
        <w:rPr>
          <w:spacing w:val="-2"/>
        </w:rPr>
        <w:t> </w:t>
      </w:r>
      <w:r>
        <w:rPr/>
        <w:t>de</w:t>
      </w:r>
      <w:r>
        <w:rPr>
          <w:spacing w:val="-2"/>
        </w:rPr>
        <w:t> </w:t>
      </w:r>
      <w:r>
        <w:rPr/>
        <w:t>pulso poplíteo e</w:t>
      </w:r>
      <w:r>
        <w:rPr>
          <w:spacing w:val="-2"/>
        </w:rPr>
        <w:t> </w:t>
      </w:r>
      <w:r>
        <w:rPr/>
        <w:t>presença</w:t>
      </w:r>
      <w:r>
        <w:rPr>
          <w:spacing w:val="-2"/>
        </w:rPr>
        <w:t> </w:t>
      </w:r>
      <w:r>
        <w:rPr/>
        <w:t>do femoral conclui-se</w:t>
      </w:r>
      <w:r>
        <w:rPr>
          <w:spacing w:val="-2"/>
        </w:rPr>
        <w:t> </w:t>
      </w:r>
      <w:r>
        <w:rPr/>
        <w:t>que</w:t>
      </w:r>
      <w:r>
        <w:rPr>
          <w:spacing w:val="-2"/>
        </w:rPr>
        <w:t> </w:t>
      </w:r>
      <w:r>
        <w:rPr/>
        <w:t>a oclusão</w:t>
      </w:r>
      <w:r>
        <w:rPr>
          <w:spacing w:val="-9"/>
        </w:rPr>
        <w:t> </w:t>
      </w:r>
      <w:r>
        <w:rPr/>
        <w:t>é</w:t>
      </w:r>
      <w:r>
        <w:rPr>
          <w:spacing w:val="-11"/>
        </w:rPr>
        <w:t> </w:t>
      </w:r>
      <w:r>
        <w:rPr/>
        <w:t>no</w:t>
      </w:r>
      <w:r>
        <w:rPr>
          <w:spacing w:val="-9"/>
        </w:rPr>
        <w:t> </w:t>
      </w:r>
      <w:r>
        <w:rPr/>
        <w:t>segmento</w:t>
      </w:r>
      <w:r>
        <w:rPr>
          <w:spacing w:val="-9"/>
        </w:rPr>
        <w:t> </w:t>
      </w:r>
      <w:r>
        <w:rPr/>
        <w:t>femoropoplíteo.</w:t>
      </w:r>
      <w:r>
        <w:rPr>
          <w:spacing w:val="-1"/>
        </w:rPr>
        <w:t> </w:t>
      </w:r>
      <w:r>
        <w:rPr/>
        <w:t>Pacientes</w:t>
      </w:r>
      <w:r>
        <w:rPr>
          <w:spacing w:val="-1"/>
        </w:rPr>
        <w:t> </w:t>
      </w:r>
      <w:r>
        <w:rPr/>
        <w:t>com</w:t>
      </w:r>
      <w:r>
        <w:rPr>
          <w:spacing w:val="-9"/>
        </w:rPr>
        <w:t> </w:t>
      </w:r>
      <w:r>
        <w:rPr/>
        <w:t>êmbolo</w:t>
      </w:r>
      <w:r>
        <w:rPr>
          <w:spacing w:val="-9"/>
        </w:rPr>
        <w:t> </w:t>
      </w:r>
      <w:r>
        <w:rPr/>
        <w:t>na</w:t>
      </w:r>
      <w:r>
        <w:rPr>
          <w:spacing w:val="-11"/>
        </w:rPr>
        <w:t> </w:t>
      </w:r>
      <w:r>
        <w:rPr/>
        <w:t>artéria</w:t>
      </w:r>
      <w:r>
        <w:rPr>
          <w:spacing w:val="-11"/>
        </w:rPr>
        <w:t> </w:t>
      </w:r>
      <w:r>
        <w:rPr/>
        <w:t>poplítea</w:t>
      </w:r>
      <w:r>
        <w:rPr>
          <w:spacing w:val="-11"/>
        </w:rPr>
        <w:t> </w:t>
      </w:r>
      <w:r>
        <w:rPr/>
        <w:t>apresentam</w:t>
      </w:r>
      <w:r>
        <w:rPr>
          <w:spacing w:val="-9"/>
        </w:rPr>
        <w:t> </w:t>
      </w:r>
      <w:r>
        <w:rPr/>
        <w:t>pulso</w:t>
      </w:r>
      <w:r>
        <w:rPr>
          <w:spacing w:val="-9"/>
        </w:rPr>
        <w:t> </w:t>
      </w:r>
      <w:r>
        <w:rPr/>
        <w:t>no</w:t>
      </w:r>
      <w:r>
        <w:rPr>
          <w:spacing w:val="-9"/>
        </w:rPr>
        <w:t> </w:t>
      </w:r>
      <w:r>
        <w:rPr/>
        <w:t>cavo</w:t>
      </w:r>
      <w:r>
        <w:rPr>
          <w:spacing w:val="-9"/>
        </w:rPr>
        <w:t> </w:t>
      </w:r>
      <w:r>
        <w:rPr/>
        <w:t>poplíteo e</w:t>
      </w:r>
      <w:r>
        <w:rPr>
          <w:spacing w:val="-8"/>
        </w:rPr>
        <w:t> </w:t>
      </w:r>
      <w:r>
        <w:rPr/>
        <w:t>ausência</w:t>
      </w:r>
      <w:r>
        <w:rPr>
          <w:spacing w:val="-8"/>
        </w:rPr>
        <w:t> </w:t>
      </w:r>
      <w:r>
        <w:rPr/>
        <w:t>dos distais (pediosa</w:t>
      </w:r>
      <w:r>
        <w:rPr>
          <w:spacing w:val="-8"/>
        </w:rPr>
        <w:t> </w:t>
      </w:r>
      <w:r>
        <w:rPr/>
        <w:t>e</w:t>
      </w:r>
      <w:r>
        <w:rPr>
          <w:spacing w:val="-8"/>
        </w:rPr>
        <w:t> </w:t>
      </w:r>
      <w:r>
        <w:rPr/>
        <w:t>tibial</w:t>
      </w:r>
      <w:r>
        <w:rPr>
          <w:spacing w:val="-3"/>
        </w:rPr>
        <w:t> </w:t>
      </w:r>
      <w:r>
        <w:rPr/>
        <w:t>posterior). Nos doentes com</w:t>
      </w:r>
      <w:r>
        <w:rPr>
          <w:spacing w:val="-6"/>
        </w:rPr>
        <w:t> </w:t>
      </w:r>
      <w:r>
        <w:rPr/>
        <w:t>aneurisma</w:t>
      </w:r>
      <w:r>
        <w:rPr>
          <w:spacing w:val="-8"/>
        </w:rPr>
        <w:t> </w:t>
      </w:r>
      <w:r>
        <w:rPr/>
        <w:t>de</w:t>
      </w:r>
      <w:r>
        <w:rPr>
          <w:spacing w:val="-8"/>
        </w:rPr>
        <w:t> </w:t>
      </w:r>
      <w:r>
        <w:rPr/>
        <w:t>artéria</w:t>
      </w:r>
      <w:r>
        <w:rPr>
          <w:spacing w:val="-8"/>
        </w:rPr>
        <w:t> </w:t>
      </w:r>
      <w:r>
        <w:rPr/>
        <w:t>poplítea</w:t>
      </w:r>
      <w:r>
        <w:rPr>
          <w:spacing w:val="-8"/>
        </w:rPr>
        <w:t> </w:t>
      </w:r>
      <w:r>
        <w:rPr/>
        <w:t>trombosado, pode-se palpar abaulamento não pulsátil no cavo poplíteo e ausência dos pulsos distais. Em alguns casos, o paciente apresenta artéria poplítea hiperpulsátil e áreas de cianose na face plantar e nos pododáctilos, o que evidencia microembolização a partir de um aneurisma naquela localização.</w:t>
      </w:r>
    </w:p>
    <w:p>
      <w:pPr>
        <w:spacing w:line="276" w:lineRule="auto" w:before="49"/>
        <w:ind w:left="68" w:right="487" w:firstLine="345"/>
        <w:jc w:val="both"/>
        <w:rPr>
          <w:sz w:val="23"/>
        </w:rPr>
      </w:pPr>
      <w:r>
        <w:rPr>
          <w:sz w:val="23"/>
        </w:rPr>
        <w:t>Os sinais e sintomas clássicos são: paresia, dor, palidez, ausência de pulso e paralisia (na língua inglesa, a forma mnemônica dos cinco “pês”: </w:t>
      </w:r>
      <w:r>
        <w:rPr>
          <w:i/>
          <w:sz w:val="23"/>
        </w:rPr>
        <w:t>paresthesia, pain, pallor, pulseless and paralysis</w:t>
      </w:r>
      <w:r>
        <w:rPr>
          <w:sz w:val="23"/>
        </w:rPr>
        <w:t>).</w:t>
      </w:r>
    </w:p>
    <w:p>
      <w:pPr>
        <w:pStyle w:val="BodyText"/>
        <w:spacing w:line="276" w:lineRule="auto"/>
        <w:ind w:right="491"/>
      </w:pPr>
      <w:r>
        <w:rPr/>
        <w:t>Ocasionalmente, os sintomas referidos pelo paciente melhoram com a perna pendente, o que faz com que o membro inferior acometido passe a apresentar edema, muitas vezes, levando ao diagnóstico errôneo de trombose venosa profunda.</w:t>
      </w:r>
    </w:p>
    <w:p>
      <w:pPr>
        <w:pStyle w:val="BodyText"/>
        <w:spacing w:line="290" w:lineRule="auto" w:before="64"/>
        <w:ind w:right="494"/>
      </w:pPr>
      <w:r>
        <w:rPr/>
        <w:t>Em esforço para padronizar a extensão da isquemia aguda e os resultados do tratamento, a SVS e ISCS publicaram os critérios que ficaram conhecidos como critérios de Rutherford, descritos a seguir:</w:t>
      </w:r>
      <w:r>
        <w:rPr>
          <w:vertAlign w:val="superscript"/>
        </w:rPr>
        <w:t>1</w:t>
      </w:r>
    </w:p>
    <w:p>
      <w:pPr>
        <w:pStyle w:val="ListParagraph"/>
        <w:numPr>
          <w:ilvl w:val="0"/>
          <w:numId w:val="28"/>
        </w:numPr>
        <w:tabs>
          <w:tab w:pos="395" w:val="left" w:leader="none"/>
        </w:tabs>
        <w:spacing w:line="240" w:lineRule="auto" w:before="145" w:after="0"/>
        <w:ind w:left="395" w:right="0" w:hanging="327"/>
        <w:jc w:val="both"/>
        <w:rPr>
          <w:sz w:val="23"/>
        </w:rPr>
      </w:pPr>
      <w:r>
        <w:rPr>
          <w:sz w:val="23"/>
        </w:rPr>
        <w:t>Classe</w:t>
      </w:r>
      <w:r>
        <w:rPr>
          <w:spacing w:val="-11"/>
          <w:sz w:val="23"/>
        </w:rPr>
        <w:t> </w:t>
      </w:r>
      <w:r>
        <w:rPr>
          <w:sz w:val="23"/>
        </w:rPr>
        <w:t>1:</w:t>
      </w:r>
      <w:r>
        <w:rPr>
          <w:spacing w:val="-3"/>
          <w:sz w:val="23"/>
        </w:rPr>
        <w:t> </w:t>
      </w:r>
      <w:r>
        <w:rPr>
          <w:sz w:val="23"/>
        </w:rPr>
        <w:t>o</w:t>
      </w:r>
      <w:r>
        <w:rPr>
          <w:spacing w:val="-5"/>
          <w:sz w:val="23"/>
        </w:rPr>
        <w:t> </w:t>
      </w:r>
      <w:r>
        <w:rPr>
          <w:sz w:val="23"/>
        </w:rPr>
        <w:t>membro</w:t>
      </w:r>
      <w:r>
        <w:rPr>
          <w:spacing w:val="-6"/>
          <w:sz w:val="23"/>
        </w:rPr>
        <w:t> </w:t>
      </w:r>
      <w:r>
        <w:rPr>
          <w:sz w:val="23"/>
        </w:rPr>
        <w:t>é</w:t>
      </w:r>
      <w:r>
        <w:rPr>
          <w:spacing w:val="-8"/>
          <w:sz w:val="23"/>
        </w:rPr>
        <w:t> </w:t>
      </w:r>
      <w:r>
        <w:rPr>
          <w:sz w:val="23"/>
        </w:rPr>
        <w:t>viável</w:t>
      </w:r>
      <w:r>
        <w:rPr>
          <w:spacing w:val="-3"/>
          <w:sz w:val="23"/>
        </w:rPr>
        <w:t> </w:t>
      </w:r>
      <w:r>
        <w:rPr>
          <w:sz w:val="23"/>
        </w:rPr>
        <w:t>e</w:t>
      </w:r>
      <w:r>
        <w:rPr>
          <w:spacing w:val="-8"/>
          <w:sz w:val="23"/>
        </w:rPr>
        <w:t> </w:t>
      </w:r>
      <w:r>
        <w:rPr>
          <w:sz w:val="23"/>
        </w:rPr>
        <w:t>permanece</w:t>
      </w:r>
      <w:r>
        <w:rPr>
          <w:spacing w:val="-8"/>
          <w:sz w:val="23"/>
        </w:rPr>
        <w:t> </w:t>
      </w:r>
      <w:r>
        <w:rPr>
          <w:sz w:val="23"/>
        </w:rPr>
        <w:t>assim,</w:t>
      </w:r>
      <w:r>
        <w:rPr>
          <w:spacing w:val="2"/>
          <w:sz w:val="23"/>
        </w:rPr>
        <w:t> </w:t>
      </w:r>
      <w:r>
        <w:rPr>
          <w:sz w:val="23"/>
        </w:rPr>
        <w:t>mesmo</w:t>
      </w:r>
      <w:r>
        <w:rPr>
          <w:spacing w:val="-5"/>
          <w:sz w:val="23"/>
        </w:rPr>
        <w:t> </w:t>
      </w:r>
      <w:r>
        <w:rPr>
          <w:sz w:val="23"/>
        </w:rPr>
        <w:t>sem</w:t>
      </w:r>
      <w:r>
        <w:rPr>
          <w:spacing w:val="-6"/>
          <w:sz w:val="23"/>
        </w:rPr>
        <w:t> </w:t>
      </w:r>
      <w:r>
        <w:rPr>
          <w:sz w:val="23"/>
        </w:rPr>
        <w:t>tratamento</w:t>
      </w:r>
      <w:r>
        <w:rPr>
          <w:spacing w:val="-5"/>
          <w:sz w:val="23"/>
        </w:rPr>
        <w:t> </w:t>
      </w:r>
      <w:r>
        <w:rPr>
          <w:spacing w:val="-2"/>
          <w:sz w:val="23"/>
        </w:rPr>
        <w:t>intervencionista</w:t>
      </w:r>
    </w:p>
    <w:p>
      <w:pPr>
        <w:pStyle w:val="ListParagraph"/>
        <w:numPr>
          <w:ilvl w:val="0"/>
          <w:numId w:val="28"/>
        </w:numPr>
        <w:tabs>
          <w:tab w:pos="395" w:val="left" w:leader="none"/>
        </w:tabs>
        <w:spacing w:line="240" w:lineRule="auto" w:before="56" w:after="0"/>
        <w:ind w:left="395" w:right="0" w:hanging="327"/>
        <w:jc w:val="both"/>
        <w:rPr>
          <w:sz w:val="23"/>
        </w:rPr>
      </w:pPr>
      <w:r>
        <w:rPr>
          <w:sz w:val="23"/>
        </w:rPr>
        <w:t>Classe</w:t>
      </w:r>
      <w:r>
        <w:rPr>
          <w:spacing w:val="-8"/>
          <w:sz w:val="23"/>
        </w:rPr>
        <w:t> </w:t>
      </w:r>
      <w:r>
        <w:rPr>
          <w:sz w:val="23"/>
        </w:rPr>
        <w:t>2: há</w:t>
      </w:r>
      <w:r>
        <w:rPr>
          <w:spacing w:val="-6"/>
          <w:sz w:val="23"/>
        </w:rPr>
        <w:t> </w:t>
      </w:r>
      <w:r>
        <w:rPr>
          <w:sz w:val="23"/>
        </w:rPr>
        <w:t>risco</w:t>
      </w:r>
      <w:r>
        <w:rPr>
          <w:spacing w:val="-3"/>
          <w:sz w:val="23"/>
        </w:rPr>
        <w:t> </w:t>
      </w:r>
      <w:r>
        <w:rPr>
          <w:sz w:val="23"/>
        </w:rPr>
        <w:t>de</w:t>
      </w:r>
      <w:r>
        <w:rPr>
          <w:spacing w:val="-5"/>
          <w:sz w:val="23"/>
        </w:rPr>
        <w:t> </w:t>
      </w:r>
      <w:r>
        <w:rPr>
          <w:sz w:val="23"/>
        </w:rPr>
        <w:t>perda</w:t>
      </w:r>
      <w:r>
        <w:rPr>
          <w:spacing w:val="-6"/>
          <w:sz w:val="23"/>
        </w:rPr>
        <w:t> </w:t>
      </w:r>
      <w:r>
        <w:rPr>
          <w:sz w:val="23"/>
        </w:rPr>
        <w:t>do</w:t>
      </w:r>
      <w:r>
        <w:rPr>
          <w:spacing w:val="-3"/>
          <w:sz w:val="23"/>
        </w:rPr>
        <w:t> </w:t>
      </w:r>
      <w:r>
        <w:rPr>
          <w:sz w:val="23"/>
        </w:rPr>
        <w:t>membro</w:t>
      </w:r>
      <w:r>
        <w:rPr>
          <w:spacing w:val="-3"/>
          <w:sz w:val="23"/>
        </w:rPr>
        <w:t> </w:t>
      </w:r>
      <w:r>
        <w:rPr>
          <w:sz w:val="23"/>
        </w:rPr>
        <w:t>e</w:t>
      </w:r>
      <w:r>
        <w:rPr>
          <w:spacing w:val="-5"/>
          <w:sz w:val="23"/>
        </w:rPr>
        <w:t> </w:t>
      </w:r>
      <w:r>
        <w:rPr>
          <w:sz w:val="23"/>
        </w:rPr>
        <w:t>necessidade</w:t>
      </w:r>
      <w:r>
        <w:rPr>
          <w:spacing w:val="-6"/>
          <w:sz w:val="23"/>
        </w:rPr>
        <w:t> </w:t>
      </w:r>
      <w:r>
        <w:rPr>
          <w:sz w:val="23"/>
        </w:rPr>
        <w:t>de</w:t>
      </w:r>
      <w:r>
        <w:rPr>
          <w:spacing w:val="-5"/>
          <w:sz w:val="23"/>
        </w:rPr>
        <w:t> </w:t>
      </w:r>
      <w:r>
        <w:rPr>
          <w:spacing w:val="-2"/>
          <w:sz w:val="23"/>
        </w:rPr>
        <w:t>revascularização</w:t>
      </w:r>
    </w:p>
    <w:p>
      <w:pPr>
        <w:pStyle w:val="ListParagraph"/>
        <w:numPr>
          <w:ilvl w:val="1"/>
          <w:numId w:val="28"/>
        </w:numPr>
        <w:tabs>
          <w:tab w:pos="806" w:val="left" w:leader="none"/>
        </w:tabs>
        <w:spacing w:line="240" w:lineRule="auto" w:before="72" w:after="0"/>
        <w:ind w:left="806" w:right="0" w:hanging="392"/>
        <w:jc w:val="both"/>
        <w:rPr>
          <w:sz w:val="23"/>
        </w:rPr>
      </w:pPr>
      <w:r>
        <w:rPr>
          <w:sz w:val="23"/>
        </w:rPr>
        <w:t>Classe</w:t>
      </w:r>
      <w:r>
        <w:rPr>
          <w:spacing w:val="-12"/>
          <w:sz w:val="23"/>
        </w:rPr>
        <w:t> </w:t>
      </w:r>
      <w:r>
        <w:rPr>
          <w:sz w:val="23"/>
        </w:rPr>
        <w:t>2A:</w:t>
      </w:r>
      <w:r>
        <w:rPr>
          <w:spacing w:val="-5"/>
          <w:sz w:val="23"/>
        </w:rPr>
        <w:t> </w:t>
      </w:r>
      <w:r>
        <w:rPr>
          <w:sz w:val="23"/>
        </w:rPr>
        <w:t>o</w:t>
      </w:r>
      <w:r>
        <w:rPr>
          <w:spacing w:val="-8"/>
          <w:sz w:val="23"/>
        </w:rPr>
        <w:t> </w:t>
      </w:r>
      <w:r>
        <w:rPr>
          <w:sz w:val="23"/>
        </w:rPr>
        <w:t>risco</w:t>
      </w:r>
      <w:r>
        <w:rPr>
          <w:spacing w:val="-7"/>
          <w:sz w:val="23"/>
        </w:rPr>
        <w:t> </w:t>
      </w:r>
      <w:r>
        <w:rPr>
          <w:sz w:val="23"/>
        </w:rPr>
        <w:t>de</w:t>
      </w:r>
      <w:r>
        <w:rPr>
          <w:spacing w:val="-10"/>
          <w:sz w:val="23"/>
        </w:rPr>
        <w:t> </w:t>
      </w:r>
      <w:r>
        <w:rPr>
          <w:sz w:val="23"/>
        </w:rPr>
        <w:t>perda</w:t>
      </w:r>
      <w:r>
        <w:rPr>
          <w:spacing w:val="-10"/>
          <w:sz w:val="23"/>
        </w:rPr>
        <w:t> </w:t>
      </w:r>
      <w:r>
        <w:rPr>
          <w:sz w:val="23"/>
        </w:rPr>
        <w:t>não</w:t>
      </w:r>
      <w:r>
        <w:rPr>
          <w:spacing w:val="-7"/>
          <w:sz w:val="23"/>
        </w:rPr>
        <w:t> </w:t>
      </w:r>
      <w:r>
        <w:rPr>
          <w:sz w:val="23"/>
        </w:rPr>
        <w:t>é</w:t>
      </w:r>
      <w:r>
        <w:rPr>
          <w:spacing w:val="-10"/>
          <w:sz w:val="23"/>
        </w:rPr>
        <w:t> </w:t>
      </w:r>
      <w:r>
        <w:rPr>
          <w:sz w:val="23"/>
        </w:rPr>
        <w:t>imediato</w:t>
      </w:r>
      <w:r>
        <w:rPr>
          <w:spacing w:val="-7"/>
          <w:sz w:val="23"/>
        </w:rPr>
        <w:t> </w:t>
      </w:r>
      <w:r>
        <w:rPr>
          <w:sz w:val="23"/>
        </w:rPr>
        <w:t>e</w:t>
      </w:r>
      <w:r>
        <w:rPr>
          <w:spacing w:val="-10"/>
          <w:sz w:val="23"/>
        </w:rPr>
        <w:t> </w:t>
      </w:r>
      <w:r>
        <w:rPr>
          <w:sz w:val="23"/>
        </w:rPr>
        <w:t>recomenda-se</w:t>
      </w:r>
      <w:r>
        <w:rPr>
          <w:spacing w:val="-10"/>
          <w:sz w:val="23"/>
        </w:rPr>
        <w:t> </w:t>
      </w:r>
      <w:r>
        <w:rPr>
          <w:sz w:val="23"/>
        </w:rPr>
        <w:t>revascularização</w:t>
      </w:r>
      <w:r>
        <w:rPr>
          <w:spacing w:val="-7"/>
          <w:sz w:val="23"/>
        </w:rPr>
        <w:t> </w:t>
      </w:r>
      <w:r>
        <w:rPr>
          <w:sz w:val="23"/>
        </w:rPr>
        <w:t>sem</w:t>
      </w:r>
      <w:r>
        <w:rPr>
          <w:spacing w:val="-7"/>
          <w:sz w:val="23"/>
        </w:rPr>
        <w:t> </w:t>
      </w:r>
      <w:r>
        <w:rPr>
          <w:spacing w:val="-2"/>
          <w:sz w:val="23"/>
        </w:rPr>
        <w:t>urgência</w:t>
      </w:r>
    </w:p>
    <w:p>
      <w:pPr>
        <w:pStyle w:val="ListParagraph"/>
        <w:spacing w:after="0" w:line="240" w:lineRule="auto"/>
        <w:jc w:val="both"/>
        <w:rPr>
          <w:sz w:val="23"/>
        </w:rPr>
        <w:sectPr>
          <w:pgSz w:w="11900" w:h="16840"/>
          <w:pgMar w:top="200" w:bottom="280" w:left="566" w:right="141"/>
        </w:sectPr>
      </w:pPr>
    </w:p>
    <w:p>
      <w:pPr>
        <w:pStyle w:val="ListParagraph"/>
        <w:numPr>
          <w:ilvl w:val="1"/>
          <w:numId w:val="28"/>
        </w:numPr>
        <w:tabs>
          <w:tab w:pos="885" w:val="left" w:leader="none"/>
        </w:tabs>
        <w:spacing w:line="276" w:lineRule="auto" w:before="63" w:after="0"/>
        <w:ind w:left="414" w:right="499" w:firstLine="0"/>
        <w:jc w:val="left"/>
        <w:rPr>
          <w:sz w:val="23"/>
        </w:rPr>
      </w:pPr>
      <w:r>
        <w:rPr>
          <w:sz w:val="23"/>
        </w:rPr>
        <w:t>Classe</w:t>
      </w:r>
      <w:r>
        <w:rPr>
          <w:spacing w:val="38"/>
          <w:sz w:val="23"/>
        </w:rPr>
        <w:t> </w:t>
      </w:r>
      <w:r>
        <w:rPr>
          <w:sz w:val="23"/>
        </w:rPr>
        <w:t>2B:</w:t>
      </w:r>
      <w:r>
        <w:rPr>
          <w:spacing w:val="40"/>
          <w:sz w:val="23"/>
        </w:rPr>
        <w:t> </w:t>
      </w:r>
      <w:r>
        <w:rPr>
          <w:sz w:val="23"/>
        </w:rPr>
        <w:t>o</w:t>
      </w:r>
      <w:r>
        <w:rPr>
          <w:spacing w:val="40"/>
          <w:sz w:val="23"/>
        </w:rPr>
        <w:t> </w:t>
      </w:r>
      <w:r>
        <w:rPr>
          <w:sz w:val="23"/>
        </w:rPr>
        <w:t>risco</w:t>
      </w:r>
      <w:r>
        <w:rPr>
          <w:spacing w:val="40"/>
          <w:sz w:val="23"/>
        </w:rPr>
        <w:t> </w:t>
      </w:r>
      <w:r>
        <w:rPr>
          <w:sz w:val="23"/>
        </w:rPr>
        <w:t>de</w:t>
      </w:r>
      <w:r>
        <w:rPr>
          <w:spacing w:val="38"/>
          <w:sz w:val="23"/>
        </w:rPr>
        <w:t> </w:t>
      </w:r>
      <w:r>
        <w:rPr>
          <w:sz w:val="23"/>
        </w:rPr>
        <w:t>perda</w:t>
      </w:r>
      <w:r>
        <w:rPr>
          <w:spacing w:val="38"/>
          <w:sz w:val="23"/>
        </w:rPr>
        <w:t> </w:t>
      </w:r>
      <w:r>
        <w:rPr>
          <w:sz w:val="23"/>
        </w:rPr>
        <w:t>do</w:t>
      </w:r>
      <w:r>
        <w:rPr>
          <w:spacing w:val="40"/>
          <w:sz w:val="23"/>
        </w:rPr>
        <w:t> </w:t>
      </w:r>
      <w:r>
        <w:rPr>
          <w:sz w:val="23"/>
        </w:rPr>
        <w:t>membro</w:t>
      </w:r>
      <w:r>
        <w:rPr>
          <w:spacing w:val="40"/>
          <w:sz w:val="23"/>
        </w:rPr>
        <w:t> </w:t>
      </w:r>
      <w:r>
        <w:rPr>
          <w:sz w:val="23"/>
        </w:rPr>
        <w:t>é</w:t>
      </w:r>
      <w:r>
        <w:rPr>
          <w:spacing w:val="38"/>
          <w:sz w:val="23"/>
        </w:rPr>
        <w:t> </w:t>
      </w:r>
      <w:r>
        <w:rPr>
          <w:sz w:val="23"/>
        </w:rPr>
        <w:t>imediato</w:t>
      </w:r>
      <w:r>
        <w:rPr>
          <w:spacing w:val="40"/>
          <w:sz w:val="23"/>
        </w:rPr>
        <w:t> </w:t>
      </w:r>
      <w:r>
        <w:rPr>
          <w:sz w:val="23"/>
        </w:rPr>
        <w:t>e</w:t>
      </w:r>
      <w:r>
        <w:rPr>
          <w:spacing w:val="38"/>
          <w:sz w:val="23"/>
        </w:rPr>
        <w:t> </w:t>
      </w:r>
      <w:r>
        <w:rPr>
          <w:sz w:val="23"/>
        </w:rPr>
        <w:t>necessita</w:t>
      </w:r>
      <w:r>
        <w:rPr>
          <w:spacing w:val="38"/>
          <w:sz w:val="23"/>
        </w:rPr>
        <w:t> </w:t>
      </w:r>
      <w:r>
        <w:rPr>
          <w:sz w:val="23"/>
        </w:rPr>
        <w:t>de</w:t>
      </w:r>
      <w:r>
        <w:rPr>
          <w:spacing w:val="38"/>
          <w:sz w:val="23"/>
        </w:rPr>
        <w:t> </w:t>
      </w:r>
      <w:r>
        <w:rPr>
          <w:sz w:val="23"/>
        </w:rPr>
        <w:t>revascularização</w:t>
      </w:r>
      <w:r>
        <w:rPr>
          <w:spacing w:val="40"/>
          <w:sz w:val="23"/>
        </w:rPr>
        <w:t> </w:t>
      </w:r>
      <w:r>
        <w:rPr>
          <w:sz w:val="23"/>
        </w:rPr>
        <w:t>urgente</w:t>
      </w:r>
      <w:r>
        <w:rPr>
          <w:spacing w:val="38"/>
          <w:sz w:val="23"/>
        </w:rPr>
        <w:t> </w:t>
      </w:r>
      <w:r>
        <w:rPr>
          <w:sz w:val="23"/>
        </w:rPr>
        <w:t>para</w:t>
      </w:r>
      <w:r>
        <w:rPr>
          <w:spacing w:val="38"/>
          <w:sz w:val="23"/>
        </w:rPr>
        <w:t> </w:t>
      </w:r>
      <w:r>
        <w:rPr>
          <w:sz w:val="23"/>
        </w:rPr>
        <w:t>seu </w:t>
      </w:r>
      <w:r>
        <w:rPr>
          <w:spacing w:val="-2"/>
          <w:sz w:val="23"/>
        </w:rPr>
        <w:t>salvamento</w:t>
      </w:r>
    </w:p>
    <w:p>
      <w:pPr>
        <w:pStyle w:val="ListParagraph"/>
        <w:numPr>
          <w:ilvl w:val="0"/>
          <w:numId w:val="28"/>
        </w:numPr>
        <w:tabs>
          <w:tab w:pos="395" w:val="left" w:leader="none"/>
        </w:tabs>
        <w:spacing w:line="240" w:lineRule="auto" w:before="17" w:after="0"/>
        <w:ind w:left="395" w:right="0" w:hanging="327"/>
        <w:jc w:val="both"/>
        <w:rPr>
          <w:sz w:val="23"/>
        </w:rPr>
      </w:pPr>
      <w:r>
        <w:rPr>
          <w:sz w:val="23"/>
        </w:rPr>
        <w:t>Classe</w:t>
      </w:r>
      <w:r>
        <w:rPr>
          <w:spacing w:val="-13"/>
          <w:sz w:val="23"/>
        </w:rPr>
        <w:t> </w:t>
      </w:r>
      <w:r>
        <w:rPr>
          <w:sz w:val="23"/>
        </w:rPr>
        <w:t>3:</w:t>
      </w:r>
      <w:r>
        <w:rPr>
          <w:spacing w:val="-6"/>
          <w:sz w:val="23"/>
        </w:rPr>
        <w:t> </w:t>
      </w:r>
      <w:r>
        <w:rPr>
          <w:sz w:val="23"/>
        </w:rPr>
        <w:t>o</w:t>
      </w:r>
      <w:r>
        <w:rPr>
          <w:spacing w:val="-8"/>
          <w:sz w:val="23"/>
        </w:rPr>
        <w:t> </w:t>
      </w:r>
      <w:r>
        <w:rPr>
          <w:sz w:val="23"/>
        </w:rPr>
        <w:t>membro</w:t>
      </w:r>
      <w:r>
        <w:rPr>
          <w:spacing w:val="-9"/>
          <w:sz w:val="23"/>
        </w:rPr>
        <w:t> </w:t>
      </w:r>
      <w:r>
        <w:rPr>
          <w:sz w:val="23"/>
        </w:rPr>
        <w:t>acometido</w:t>
      </w:r>
      <w:r>
        <w:rPr>
          <w:spacing w:val="-8"/>
          <w:sz w:val="23"/>
        </w:rPr>
        <w:t> </w:t>
      </w:r>
      <w:r>
        <w:rPr>
          <w:sz w:val="23"/>
        </w:rPr>
        <w:t>apresenta</w:t>
      </w:r>
      <w:r>
        <w:rPr>
          <w:spacing w:val="-11"/>
          <w:sz w:val="23"/>
        </w:rPr>
        <w:t> </w:t>
      </w:r>
      <w:r>
        <w:rPr>
          <w:sz w:val="23"/>
        </w:rPr>
        <w:t>isquemia</w:t>
      </w:r>
      <w:r>
        <w:rPr>
          <w:spacing w:val="-10"/>
          <w:sz w:val="23"/>
        </w:rPr>
        <w:t> </w:t>
      </w:r>
      <w:r>
        <w:rPr>
          <w:sz w:val="23"/>
        </w:rPr>
        <w:t>irreversível</w:t>
      </w:r>
      <w:r>
        <w:rPr>
          <w:spacing w:val="-6"/>
          <w:sz w:val="23"/>
        </w:rPr>
        <w:t> </w:t>
      </w:r>
      <w:r>
        <w:rPr>
          <w:sz w:val="23"/>
        </w:rPr>
        <w:t>e</w:t>
      </w:r>
      <w:r>
        <w:rPr>
          <w:spacing w:val="-11"/>
          <w:sz w:val="23"/>
        </w:rPr>
        <w:t> </w:t>
      </w:r>
      <w:r>
        <w:rPr>
          <w:sz w:val="23"/>
        </w:rPr>
        <w:t>inviável</w:t>
      </w:r>
      <w:r>
        <w:rPr>
          <w:spacing w:val="-6"/>
          <w:sz w:val="23"/>
        </w:rPr>
        <w:t> </w:t>
      </w:r>
      <w:r>
        <w:rPr>
          <w:sz w:val="23"/>
        </w:rPr>
        <w:t>para</w:t>
      </w:r>
      <w:r>
        <w:rPr>
          <w:spacing w:val="-10"/>
          <w:sz w:val="23"/>
        </w:rPr>
        <w:t> </w:t>
      </w:r>
      <w:r>
        <w:rPr>
          <w:spacing w:val="-2"/>
          <w:sz w:val="23"/>
        </w:rPr>
        <w:t>revascularização.</w:t>
      </w:r>
    </w:p>
    <w:p>
      <w:pPr>
        <w:pStyle w:val="BodyText"/>
        <w:spacing w:before="15"/>
        <w:ind w:left="0" w:firstLine="0"/>
        <w:jc w:val="left"/>
      </w:pPr>
    </w:p>
    <w:p>
      <w:pPr>
        <w:pStyle w:val="BodyText"/>
        <w:spacing w:line="283" w:lineRule="auto" w:before="0"/>
        <w:ind w:right="497"/>
      </w:pPr>
      <w:r>
        <w:rPr/>
        <w:t>A viabilidade do membro isquêmico pode ser avaliada pelos achados clínicos e pelos sinais ao Doppler linear, evidenciados nas artérias e veias do tornozelo e divididos em três grupos. Essas categorias foram formuladas pela SVS e ISCS:</w:t>
      </w:r>
      <w:r>
        <w:rPr>
          <w:vertAlign w:val="superscript"/>
        </w:rPr>
        <w:t>2</w:t>
      </w:r>
    </w:p>
    <w:p>
      <w:pPr>
        <w:pStyle w:val="ListParagraph"/>
        <w:numPr>
          <w:ilvl w:val="0"/>
          <w:numId w:val="28"/>
        </w:numPr>
        <w:tabs>
          <w:tab w:pos="428" w:val="left" w:leader="none"/>
        </w:tabs>
        <w:spacing w:line="276" w:lineRule="auto" w:before="9" w:after="0"/>
        <w:ind w:left="68" w:right="489" w:firstLine="0"/>
        <w:jc w:val="both"/>
        <w:rPr>
          <w:sz w:val="23"/>
        </w:rPr>
      </w:pPr>
      <w:r>
        <w:rPr>
          <w:sz w:val="23"/>
        </w:rPr>
        <w:t>Membro viável: o paciente não apresenta dor isquêmica, nem déficit neurológico, regular perfusão capilar e sinal de Doppler audível nas artérias podais com pressão &gt; 30 mmHg</w:t>
      </w:r>
    </w:p>
    <w:p>
      <w:pPr>
        <w:pStyle w:val="ListParagraph"/>
        <w:numPr>
          <w:ilvl w:val="0"/>
          <w:numId w:val="28"/>
        </w:numPr>
        <w:tabs>
          <w:tab w:pos="401" w:val="left" w:leader="none"/>
        </w:tabs>
        <w:spacing w:line="276" w:lineRule="auto" w:before="32" w:after="0"/>
        <w:ind w:left="68" w:right="489" w:firstLine="0"/>
        <w:jc w:val="both"/>
        <w:rPr>
          <w:sz w:val="23"/>
        </w:rPr>
      </w:pPr>
      <w:r>
        <w:rPr>
          <w:sz w:val="23"/>
        </w:rPr>
        <w:t>Membro</w:t>
      </w:r>
      <w:r>
        <w:rPr>
          <w:spacing w:val="-8"/>
          <w:sz w:val="23"/>
        </w:rPr>
        <w:t> </w:t>
      </w:r>
      <w:r>
        <w:rPr>
          <w:sz w:val="23"/>
        </w:rPr>
        <w:t>em</w:t>
      </w:r>
      <w:r>
        <w:rPr>
          <w:spacing w:val="-8"/>
          <w:sz w:val="23"/>
        </w:rPr>
        <w:t> </w:t>
      </w:r>
      <w:r>
        <w:rPr>
          <w:sz w:val="23"/>
        </w:rPr>
        <w:t>risco:</w:t>
      </w:r>
      <w:r>
        <w:rPr>
          <w:spacing w:val="-5"/>
          <w:sz w:val="23"/>
        </w:rPr>
        <w:t> </w:t>
      </w:r>
      <w:r>
        <w:rPr>
          <w:sz w:val="23"/>
        </w:rPr>
        <w:t>paciente</w:t>
      </w:r>
      <w:r>
        <w:rPr>
          <w:spacing w:val="-10"/>
          <w:sz w:val="23"/>
        </w:rPr>
        <w:t> </w:t>
      </w:r>
      <w:r>
        <w:rPr>
          <w:sz w:val="23"/>
        </w:rPr>
        <w:t>com</w:t>
      </w:r>
      <w:r>
        <w:rPr>
          <w:spacing w:val="-8"/>
          <w:sz w:val="23"/>
        </w:rPr>
        <w:t> </w:t>
      </w:r>
      <w:r>
        <w:rPr>
          <w:sz w:val="23"/>
        </w:rPr>
        <w:t>dor</w:t>
      </w:r>
      <w:r>
        <w:rPr>
          <w:spacing w:val="-2"/>
          <w:sz w:val="23"/>
        </w:rPr>
        <w:t> </w:t>
      </w:r>
      <w:r>
        <w:rPr>
          <w:sz w:val="23"/>
        </w:rPr>
        <w:t>isquêmica</w:t>
      </w:r>
      <w:r>
        <w:rPr>
          <w:spacing w:val="-10"/>
          <w:sz w:val="23"/>
        </w:rPr>
        <w:t> </w:t>
      </w:r>
      <w:r>
        <w:rPr>
          <w:sz w:val="23"/>
        </w:rPr>
        <w:t>controlável</w:t>
      </w:r>
      <w:r>
        <w:rPr>
          <w:spacing w:val="-5"/>
          <w:sz w:val="23"/>
        </w:rPr>
        <w:t> </w:t>
      </w:r>
      <w:r>
        <w:rPr>
          <w:sz w:val="23"/>
        </w:rPr>
        <w:t>com</w:t>
      </w:r>
      <w:r>
        <w:rPr>
          <w:spacing w:val="-8"/>
          <w:sz w:val="23"/>
        </w:rPr>
        <w:t> </w:t>
      </w:r>
      <w:r>
        <w:rPr>
          <w:sz w:val="23"/>
        </w:rPr>
        <w:t>medicação, presença</w:t>
      </w:r>
      <w:r>
        <w:rPr>
          <w:spacing w:val="-10"/>
          <w:sz w:val="23"/>
        </w:rPr>
        <w:t> </w:t>
      </w:r>
      <w:r>
        <w:rPr>
          <w:sz w:val="23"/>
        </w:rPr>
        <w:t>de</w:t>
      </w:r>
      <w:r>
        <w:rPr>
          <w:spacing w:val="-10"/>
          <w:sz w:val="23"/>
        </w:rPr>
        <w:t> </w:t>
      </w:r>
      <w:r>
        <w:rPr>
          <w:sz w:val="23"/>
        </w:rPr>
        <w:t>déficit</w:t>
      </w:r>
      <w:r>
        <w:rPr>
          <w:spacing w:val="-5"/>
          <w:sz w:val="23"/>
        </w:rPr>
        <w:t> </w:t>
      </w:r>
      <w:r>
        <w:rPr>
          <w:sz w:val="23"/>
        </w:rPr>
        <w:t>neurológico</w:t>
      </w:r>
      <w:r>
        <w:rPr>
          <w:spacing w:val="-8"/>
          <w:sz w:val="23"/>
        </w:rPr>
        <w:t> </w:t>
      </w:r>
      <w:r>
        <w:rPr>
          <w:sz w:val="23"/>
        </w:rPr>
        <w:t>leve e</w:t>
      </w:r>
      <w:r>
        <w:rPr>
          <w:spacing w:val="-1"/>
          <w:sz w:val="23"/>
        </w:rPr>
        <w:t> </w:t>
      </w:r>
      <w:r>
        <w:rPr>
          <w:sz w:val="23"/>
        </w:rPr>
        <w:t>fluxo ao Doppler não audível nas artérias podálicas, mas com fluxo venoso presente</w:t>
      </w:r>
    </w:p>
    <w:p>
      <w:pPr>
        <w:pStyle w:val="ListParagraph"/>
        <w:numPr>
          <w:ilvl w:val="0"/>
          <w:numId w:val="28"/>
        </w:numPr>
        <w:tabs>
          <w:tab w:pos="481" w:val="left" w:leader="none"/>
        </w:tabs>
        <w:spacing w:line="276" w:lineRule="auto" w:before="16" w:after="0"/>
        <w:ind w:left="68" w:right="489" w:firstLine="0"/>
        <w:jc w:val="both"/>
        <w:rPr>
          <w:sz w:val="23"/>
        </w:rPr>
      </w:pPr>
      <w:r>
        <w:rPr>
          <w:sz w:val="23"/>
        </w:rPr>
        <w:t>Membro inviável, isquemia irreversível: déficit sensitivo profundo, paralisia dos pododáctilos, rigidez muscular, ausência de enchimento capilar, pele com aspecto marmóreo e ausência de sinais arterial e venoso ao Doppler. Há</w:t>
      </w:r>
      <w:r>
        <w:rPr>
          <w:spacing w:val="-6"/>
          <w:sz w:val="23"/>
        </w:rPr>
        <w:t> </w:t>
      </w:r>
      <w:r>
        <w:rPr>
          <w:sz w:val="23"/>
        </w:rPr>
        <w:t>contraindicação</w:t>
      </w:r>
      <w:r>
        <w:rPr>
          <w:spacing w:val="-3"/>
          <w:sz w:val="23"/>
        </w:rPr>
        <w:t> </w:t>
      </w:r>
      <w:r>
        <w:rPr>
          <w:sz w:val="23"/>
        </w:rPr>
        <w:t>à</w:t>
      </w:r>
      <w:r>
        <w:rPr>
          <w:spacing w:val="-6"/>
          <w:sz w:val="23"/>
        </w:rPr>
        <w:t> </w:t>
      </w:r>
      <w:r>
        <w:rPr>
          <w:sz w:val="23"/>
        </w:rPr>
        <w:t>revascularização, e</w:t>
      </w:r>
      <w:r>
        <w:rPr>
          <w:spacing w:val="-6"/>
          <w:sz w:val="23"/>
        </w:rPr>
        <w:t> </w:t>
      </w:r>
      <w:r>
        <w:rPr>
          <w:sz w:val="23"/>
        </w:rPr>
        <w:t>deve-se</w:t>
      </w:r>
      <w:r>
        <w:rPr>
          <w:spacing w:val="-6"/>
          <w:sz w:val="23"/>
        </w:rPr>
        <w:t> </w:t>
      </w:r>
      <w:r>
        <w:rPr>
          <w:sz w:val="23"/>
        </w:rPr>
        <w:t>proceder à</w:t>
      </w:r>
      <w:r>
        <w:rPr>
          <w:spacing w:val="-6"/>
          <w:sz w:val="23"/>
        </w:rPr>
        <w:t> </w:t>
      </w:r>
      <w:r>
        <w:rPr>
          <w:sz w:val="23"/>
        </w:rPr>
        <w:t>amputação</w:t>
      </w:r>
      <w:r>
        <w:rPr>
          <w:spacing w:val="-3"/>
          <w:sz w:val="23"/>
        </w:rPr>
        <w:t> </w:t>
      </w:r>
      <w:r>
        <w:rPr>
          <w:sz w:val="23"/>
        </w:rPr>
        <w:t>do</w:t>
      </w:r>
      <w:r>
        <w:rPr>
          <w:spacing w:val="-3"/>
          <w:sz w:val="23"/>
        </w:rPr>
        <w:t> </w:t>
      </w:r>
      <w:r>
        <w:rPr>
          <w:sz w:val="23"/>
        </w:rPr>
        <w:t>membro.</w:t>
      </w:r>
    </w:p>
    <w:p>
      <w:pPr>
        <w:pStyle w:val="BodyText"/>
        <w:spacing w:before="186"/>
        <w:ind w:left="0" w:firstLine="0"/>
        <w:jc w:val="left"/>
      </w:pPr>
    </w:p>
    <w:p>
      <w:pPr>
        <w:pStyle w:val="Heading4"/>
      </w:pPr>
      <w:r>
        <w:rPr>
          <w:color w:val="242B67"/>
        </w:rPr>
        <w:t>Exames </w:t>
      </w:r>
      <w:r>
        <w:rPr>
          <w:color w:val="242B67"/>
          <w:spacing w:val="-2"/>
        </w:rPr>
        <w:t>complementares</w:t>
      </w:r>
    </w:p>
    <w:p>
      <w:pPr>
        <w:pStyle w:val="BodyText"/>
        <w:spacing w:line="280" w:lineRule="auto" w:before="132"/>
        <w:ind w:right="491"/>
      </w:pPr>
      <w:r>
        <w:rPr/>
        <w:t>O</w:t>
      </w:r>
      <w:r>
        <w:rPr>
          <w:spacing w:val="-5"/>
        </w:rPr>
        <w:t> </w:t>
      </w:r>
      <w:r>
        <w:rPr/>
        <w:t>uso</w:t>
      </w:r>
      <w:r>
        <w:rPr>
          <w:spacing w:val="-2"/>
        </w:rPr>
        <w:t> </w:t>
      </w:r>
      <w:r>
        <w:rPr/>
        <w:t>do</w:t>
      </w:r>
      <w:r>
        <w:rPr>
          <w:spacing w:val="-2"/>
        </w:rPr>
        <w:t> </w:t>
      </w:r>
      <w:r>
        <w:rPr/>
        <w:t>ultrassom-Doppler linear é</w:t>
      </w:r>
      <w:r>
        <w:rPr>
          <w:spacing w:val="-5"/>
        </w:rPr>
        <w:t> </w:t>
      </w:r>
      <w:r>
        <w:rPr/>
        <w:t>de</w:t>
      </w:r>
      <w:r>
        <w:rPr>
          <w:spacing w:val="-5"/>
        </w:rPr>
        <w:t> </w:t>
      </w:r>
      <w:r>
        <w:rPr/>
        <w:t>grande</w:t>
      </w:r>
      <w:r>
        <w:rPr>
          <w:spacing w:val="-5"/>
        </w:rPr>
        <w:t> </w:t>
      </w:r>
      <w:r>
        <w:rPr/>
        <w:t>importância</w:t>
      </w:r>
      <w:r>
        <w:rPr>
          <w:spacing w:val="-5"/>
        </w:rPr>
        <w:t> </w:t>
      </w:r>
      <w:r>
        <w:rPr/>
        <w:t>na</w:t>
      </w:r>
      <w:r>
        <w:rPr>
          <w:spacing w:val="-5"/>
        </w:rPr>
        <w:t> </w:t>
      </w:r>
      <w:r>
        <w:rPr/>
        <w:t>avaliação</w:t>
      </w:r>
      <w:r>
        <w:rPr>
          <w:spacing w:val="-2"/>
        </w:rPr>
        <w:t> </w:t>
      </w:r>
      <w:r>
        <w:rPr/>
        <w:t>do</w:t>
      </w:r>
      <w:r>
        <w:rPr>
          <w:spacing w:val="-2"/>
        </w:rPr>
        <w:t> </w:t>
      </w:r>
      <w:r>
        <w:rPr/>
        <w:t>grau</w:t>
      </w:r>
      <w:r>
        <w:rPr>
          <w:spacing w:val="-2"/>
        </w:rPr>
        <w:t> </w:t>
      </w:r>
      <w:r>
        <w:rPr/>
        <w:t>de</w:t>
      </w:r>
      <w:r>
        <w:rPr>
          <w:spacing w:val="-5"/>
        </w:rPr>
        <w:t> </w:t>
      </w:r>
      <w:r>
        <w:rPr/>
        <w:t>isquemia, como</w:t>
      </w:r>
      <w:r>
        <w:rPr>
          <w:spacing w:val="-2"/>
        </w:rPr>
        <w:t> </w:t>
      </w:r>
      <w:r>
        <w:rPr/>
        <w:t>comentado anteriormente. Pela característica do som na artéria tibial posterior ou pediosa, pode-se inferir que se trata de um fluxo monofásico ou bifásico ou estar inaudível (isquemia grave), e também pela verificação do fluxo venoso, se a veia se encontrar pérvia.</w:t>
      </w:r>
      <w:r>
        <w:rPr>
          <w:vertAlign w:val="superscript"/>
        </w:rPr>
        <w:t>3</w:t>
      </w:r>
    </w:p>
    <w:p>
      <w:pPr>
        <w:pStyle w:val="BodyText"/>
        <w:spacing w:line="280" w:lineRule="auto" w:before="59"/>
        <w:ind w:right="494"/>
      </w:pPr>
      <w:r>
        <w:rPr/>
        <w:t>Além disso, avalia-se o ITB, que é a medida da pressão arterial no tornozelo dividida pela pressão arterial medida no braço. Normalmente o ITB é maior que 1 em pessoas sem doença. Para os pacientes com claudicação intermitente, o</w:t>
      </w:r>
      <w:r>
        <w:rPr>
          <w:spacing w:val="-1"/>
        </w:rPr>
        <w:t> </w:t>
      </w:r>
      <w:r>
        <w:rPr/>
        <w:t>ITB varia</w:t>
      </w:r>
      <w:r>
        <w:rPr>
          <w:spacing w:val="-3"/>
        </w:rPr>
        <w:t> </w:t>
      </w:r>
      <w:r>
        <w:rPr/>
        <w:t>de</w:t>
      </w:r>
      <w:r>
        <w:rPr>
          <w:spacing w:val="-3"/>
        </w:rPr>
        <w:t> </w:t>
      </w:r>
      <w:r>
        <w:rPr/>
        <w:t>0,40</w:t>
      </w:r>
      <w:r>
        <w:rPr>
          <w:spacing w:val="-1"/>
        </w:rPr>
        <w:t> </w:t>
      </w:r>
      <w:r>
        <w:rPr/>
        <w:t>a</w:t>
      </w:r>
      <w:r>
        <w:rPr>
          <w:spacing w:val="-3"/>
        </w:rPr>
        <w:t> </w:t>
      </w:r>
      <w:r>
        <w:rPr/>
        <w:t>0,80, e</w:t>
      </w:r>
      <w:r>
        <w:rPr>
          <w:spacing w:val="-3"/>
        </w:rPr>
        <w:t> </w:t>
      </w:r>
      <w:r>
        <w:rPr/>
        <w:t>para</w:t>
      </w:r>
      <w:r>
        <w:rPr>
          <w:spacing w:val="-3"/>
        </w:rPr>
        <w:t> </w:t>
      </w:r>
      <w:r>
        <w:rPr/>
        <w:t>os pacientes com</w:t>
      </w:r>
      <w:r>
        <w:rPr>
          <w:spacing w:val="-1"/>
        </w:rPr>
        <w:t> </w:t>
      </w:r>
      <w:r>
        <w:rPr/>
        <w:t>isquemia</w:t>
      </w:r>
      <w:r>
        <w:rPr>
          <w:spacing w:val="-3"/>
        </w:rPr>
        <w:t> </w:t>
      </w:r>
      <w:r>
        <w:rPr/>
        <w:t>aguda</w:t>
      </w:r>
      <w:r>
        <w:rPr>
          <w:spacing w:val="-3"/>
        </w:rPr>
        <w:t> </w:t>
      </w:r>
      <w:r>
        <w:rPr/>
        <w:t>grave, menor que</w:t>
      </w:r>
      <w:r>
        <w:rPr>
          <w:spacing w:val="-3"/>
        </w:rPr>
        <w:t> </w:t>
      </w:r>
      <w:r>
        <w:rPr/>
        <w:t>0,40</w:t>
      </w:r>
      <w:r>
        <w:rPr>
          <w:spacing w:val="-1"/>
        </w:rPr>
        <w:t> </w:t>
      </w:r>
      <w:r>
        <w:rPr/>
        <w:t>ou</w:t>
      </w:r>
      <w:r>
        <w:rPr>
          <w:spacing w:val="-1"/>
        </w:rPr>
        <w:t> </w:t>
      </w:r>
      <w:r>
        <w:rPr/>
        <w:t>mesmo menor que 0,20 e, em alguns casos, inaudível.</w:t>
      </w:r>
      <w:r>
        <w:rPr>
          <w:vertAlign w:val="superscript"/>
        </w:rPr>
        <w:t>4</w:t>
      </w:r>
    </w:p>
    <w:p>
      <w:pPr>
        <w:pStyle w:val="BodyText"/>
        <w:spacing w:line="280" w:lineRule="auto" w:before="60"/>
        <w:ind w:right="488"/>
      </w:pPr>
      <w:r>
        <w:rPr/>
        <w:t>Pacientes com diabetes ou insuficiência renal crônica podem apresentar calcificações arteriais intensas, o que torna as artérias incompressíveis e levar a um falso ITB; nesses casos, pode-se realizar índice hálux-braço, que requer um</w:t>
      </w:r>
      <w:r>
        <w:rPr>
          <w:spacing w:val="-3"/>
        </w:rPr>
        <w:t> </w:t>
      </w:r>
      <w:r>
        <w:rPr/>
        <w:t>manguito</w:t>
      </w:r>
      <w:r>
        <w:rPr>
          <w:spacing w:val="-3"/>
        </w:rPr>
        <w:t> </w:t>
      </w:r>
      <w:r>
        <w:rPr/>
        <w:t>pequeno, próprio</w:t>
      </w:r>
      <w:r>
        <w:rPr>
          <w:spacing w:val="-3"/>
        </w:rPr>
        <w:t> </w:t>
      </w:r>
      <w:r>
        <w:rPr/>
        <w:t>para</w:t>
      </w:r>
      <w:r>
        <w:rPr>
          <w:spacing w:val="-5"/>
        </w:rPr>
        <w:t> </w:t>
      </w:r>
      <w:r>
        <w:rPr/>
        <w:t>pododáctilos, sendo</w:t>
      </w:r>
      <w:r>
        <w:rPr>
          <w:spacing w:val="-3"/>
        </w:rPr>
        <w:t> </w:t>
      </w:r>
      <w:r>
        <w:rPr/>
        <w:t>esse</w:t>
      </w:r>
      <w:r>
        <w:rPr>
          <w:spacing w:val="-5"/>
        </w:rPr>
        <w:t> </w:t>
      </w:r>
      <w:r>
        <w:rPr/>
        <w:t>índice</w:t>
      </w:r>
      <w:r>
        <w:rPr>
          <w:spacing w:val="-5"/>
        </w:rPr>
        <w:t> </w:t>
      </w:r>
      <w:r>
        <w:rPr/>
        <w:t>preditivo</w:t>
      </w:r>
      <w:r>
        <w:rPr>
          <w:spacing w:val="-3"/>
        </w:rPr>
        <w:t> </w:t>
      </w:r>
      <w:r>
        <w:rPr/>
        <w:t>e</w:t>
      </w:r>
      <w:r>
        <w:rPr>
          <w:spacing w:val="-5"/>
        </w:rPr>
        <w:t> </w:t>
      </w:r>
      <w:r>
        <w:rPr/>
        <w:t>confiável quanto</w:t>
      </w:r>
      <w:r>
        <w:rPr>
          <w:spacing w:val="-3"/>
        </w:rPr>
        <w:t> </w:t>
      </w:r>
      <w:r>
        <w:rPr/>
        <w:t>à</w:t>
      </w:r>
      <w:r>
        <w:rPr>
          <w:spacing w:val="-5"/>
        </w:rPr>
        <w:t> </w:t>
      </w:r>
      <w:r>
        <w:rPr/>
        <w:t>avaliação do grau de isquemia.</w:t>
      </w:r>
      <w:r>
        <w:rPr>
          <w:vertAlign w:val="superscript"/>
        </w:rPr>
        <w:t>5</w:t>
      </w:r>
    </w:p>
    <w:p>
      <w:pPr>
        <w:pStyle w:val="BodyText"/>
        <w:spacing w:line="280" w:lineRule="auto" w:before="44"/>
        <w:ind w:right="491"/>
      </w:pPr>
      <w:r>
        <w:rPr/>
        <w:t>O ultrassom-Doppler colorido tem sido usado em alguns centros e pode definir a extensão da oclusão, bem como visibilizar a parede arterial quanto à presença de placa aterosclerótica e calcificações. Diagnostica com precisão a presença de aneurisma trombosado de artéria poplítea e também o reenchimento das artérias distais, orientando possível derivação com substituto venoso.</w:t>
      </w:r>
      <w:r>
        <w:rPr>
          <w:vertAlign w:val="superscript"/>
        </w:rPr>
        <w:t>6</w:t>
      </w:r>
    </w:p>
    <w:p>
      <w:pPr>
        <w:pStyle w:val="BodyText"/>
        <w:spacing w:line="276" w:lineRule="auto" w:before="59"/>
        <w:ind w:right="488"/>
      </w:pPr>
      <w:r>
        <w:rPr/>
        <w:t>A angiografia por subtração digital ainda é considerada o padrão-ouro no diagnóstico diferencial da isquemia aguda e no planejamento cirúrgico. Na trombose arterial, observam-se irregularidades na parede arterial (placas aterosclerótica), circulação</w:t>
      </w:r>
      <w:r>
        <w:rPr>
          <w:spacing w:val="-1"/>
        </w:rPr>
        <w:t> </w:t>
      </w:r>
      <w:r>
        <w:rPr/>
        <w:t>colateral e, muitas vezes, reenchimento</w:t>
      </w:r>
      <w:r>
        <w:rPr>
          <w:spacing w:val="-1"/>
        </w:rPr>
        <w:t> </w:t>
      </w:r>
      <w:r>
        <w:rPr/>
        <w:t>de</w:t>
      </w:r>
      <w:r>
        <w:rPr>
          <w:spacing w:val="-4"/>
        </w:rPr>
        <w:t> </w:t>
      </w:r>
      <w:r>
        <w:rPr/>
        <w:t>artérias distais à</w:t>
      </w:r>
      <w:r>
        <w:rPr>
          <w:spacing w:val="-4"/>
        </w:rPr>
        <w:t> </w:t>
      </w:r>
      <w:r>
        <w:rPr/>
        <w:t>oclusão</w:t>
      </w:r>
      <w:r>
        <w:rPr>
          <w:spacing w:val="-1"/>
        </w:rPr>
        <w:t> </w:t>
      </w:r>
      <w:r>
        <w:rPr/>
        <w:t>(</w:t>
      </w:r>
      <w:r>
        <w:rPr>
          <w:color w:val="505050"/>
        </w:rPr>
        <w:t>Figura</w:t>
      </w:r>
      <w:r>
        <w:rPr>
          <w:color w:val="505050"/>
          <w:spacing w:val="-4"/>
        </w:rPr>
        <w:t> </w:t>
      </w:r>
      <w:r>
        <w:rPr>
          <w:color w:val="505050"/>
        </w:rPr>
        <w:t>59.13</w:t>
      </w:r>
      <w:r>
        <w:rPr/>
        <w:t>).</w:t>
      </w:r>
    </w:p>
    <w:p>
      <w:pPr>
        <w:pStyle w:val="BodyText"/>
        <w:spacing w:line="276" w:lineRule="auto" w:before="49"/>
        <w:ind w:right="491"/>
      </w:pPr>
      <w:r>
        <w:rPr/>
        <w:t>Nos quadros embólicos, visibilizam-se as artérias proximais à lesão com parede regular, normal, obstrução abrupta</w:t>
      </w:r>
      <w:r>
        <w:rPr>
          <w:spacing w:val="-2"/>
        </w:rPr>
        <w:t> </w:t>
      </w:r>
      <w:r>
        <w:rPr/>
        <w:t>da</w:t>
      </w:r>
      <w:r>
        <w:rPr>
          <w:spacing w:val="-2"/>
        </w:rPr>
        <w:t> </w:t>
      </w:r>
      <w:r>
        <w:rPr/>
        <w:t>artéria</w:t>
      </w:r>
      <w:r>
        <w:rPr>
          <w:spacing w:val="-2"/>
        </w:rPr>
        <w:t> </w:t>
      </w:r>
      <w:r>
        <w:rPr/>
        <w:t>com imagem de</w:t>
      </w:r>
      <w:r>
        <w:rPr>
          <w:spacing w:val="-2"/>
        </w:rPr>
        <w:t> </w:t>
      </w:r>
      <w:r>
        <w:rPr/>
        <w:t>trombo “em taça</w:t>
      </w:r>
      <w:r>
        <w:rPr>
          <w:spacing w:val="-2"/>
        </w:rPr>
        <w:t> </w:t>
      </w:r>
      <w:r>
        <w:rPr/>
        <w:t>invertida”; distalmente, o mais comum é</w:t>
      </w:r>
      <w:r>
        <w:rPr>
          <w:spacing w:val="-2"/>
        </w:rPr>
        <w:t> </w:t>
      </w:r>
      <w:r>
        <w:rPr/>
        <w:t>a</w:t>
      </w:r>
      <w:r>
        <w:rPr>
          <w:spacing w:val="-2"/>
        </w:rPr>
        <w:t> </w:t>
      </w:r>
      <w:r>
        <w:rPr/>
        <w:t>não visibilização do reenchimento distal (</w:t>
      </w:r>
      <w:r>
        <w:rPr>
          <w:color w:val="505050"/>
        </w:rPr>
        <w:t>Figura 59.14</w:t>
      </w:r>
      <w:r>
        <w:rPr/>
        <w:t>). Na prática, para os pacientes com história e exame físico típicos de oclusão embólica, a angiografia não é necessária ou de pouca ajuda no planejamento cirúrgico. Além disso, em muitos casos, o membro está em risco e a cirurgia requer urgência.</w:t>
      </w:r>
    </w:p>
    <w:p>
      <w:pPr>
        <w:pStyle w:val="BodyText"/>
        <w:spacing w:line="283" w:lineRule="auto" w:before="64"/>
        <w:ind w:right="491"/>
      </w:pPr>
      <w:r>
        <w:rPr/>
        <w:t>A</w:t>
      </w:r>
      <w:r>
        <w:rPr>
          <w:spacing w:val="-9"/>
        </w:rPr>
        <w:t> </w:t>
      </w:r>
      <w:r>
        <w:rPr/>
        <w:t>angiorressonância</w:t>
      </w:r>
      <w:r>
        <w:rPr>
          <w:spacing w:val="-9"/>
        </w:rPr>
        <w:t> </w:t>
      </w:r>
      <w:r>
        <w:rPr/>
        <w:t>e</w:t>
      </w:r>
      <w:r>
        <w:rPr>
          <w:spacing w:val="-9"/>
        </w:rPr>
        <w:t> </w:t>
      </w:r>
      <w:r>
        <w:rPr/>
        <w:t>a</w:t>
      </w:r>
      <w:r>
        <w:rPr>
          <w:spacing w:val="-9"/>
        </w:rPr>
        <w:t> </w:t>
      </w:r>
      <w:r>
        <w:rPr/>
        <w:t>angiotomografia</w:t>
      </w:r>
      <w:r>
        <w:rPr>
          <w:spacing w:val="-9"/>
        </w:rPr>
        <w:t> </w:t>
      </w:r>
      <w:r>
        <w:rPr/>
        <w:t>multicanal</w:t>
      </w:r>
      <w:r>
        <w:rPr>
          <w:spacing w:val="-4"/>
        </w:rPr>
        <w:t> </w:t>
      </w:r>
      <w:r>
        <w:rPr/>
        <w:t>com</w:t>
      </w:r>
      <w:r>
        <w:rPr>
          <w:spacing w:val="-7"/>
        </w:rPr>
        <w:t> </w:t>
      </w:r>
      <w:r>
        <w:rPr/>
        <w:t>reconstrução</w:t>
      </w:r>
      <w:r>
        <w:rPr>
          <w:spacing w:val="-7"/>
        </w:rPr>
        <w:t> </w:t>
      </w:r>
      <w:r>
        <w:rPr/>
        <w:t>têm</w:t>
      </w:r>
      <w:r>
        <w:rPr>
          <w:spacing w:val="-7"/>
        </w:rPr>
        <w:t> </w:t>
      </w:r>
      <w:r>
        <w:rPr/>
        <w:t>sido</w:t>
      </w:r>
      <w:r>
        <w:rPr>
          <w:spacing w:val="-7"/>
        </w:rPr>
        <w:t> </w:t>
      </w:r>
      <w:r>
        <w:rPr/>
        <w:t>usadas por</w:t>
      </w:r>
      <w:r>
        <w:rPr>
          <w:spacing w:val="-1"/>
        </w:rPr>
        <w:t> </w:t>
      </w:r>
      <w:r>
        <w:rPr/>
        <w:t>alguns centros. Com a evolução dos </w:t>
      </w:r>
      <w:r>
        <w:rPr>
          <w:i/>
        </w:rPr>
        <w:t>softwares </w:t>
      </w:r>
      <w:r>
        <w:rPr/>
        <w:t>nos últimos anos, as imagens têm melhorado de qualidade e podem mostrar definição semelhante à da arteriografia.</w:t>
      </w:r>
      <w:r>
        <w:rPr>
          <w:vertAlign w:val="superscript"/>
        </w:rPr>
        <w:t>7</w:t>
      </w:r>
    </w:p>
    <w:p>
      <w:pPr>
        <w:pStyle w:val="BodyText"/>
        <w:spacing w:after="0" w:line="283" w:lineRule="auto"/>
        <w:sectPr>
          <w:pgSz w:w="11900" w:h="16840"/>
          <w:pgMar w:top="200" w:bottom="280" w:left="566" w:right="141"/>
        </w:sectPr>
      </w:pPr>
    </w:p>
    <w:p>
      <w:pPr>
        <w:spacing w:line="240" w:lineRule="auto"/>
        <w:ind w:left="2260" w:right="0" w:firstLine="0"/>
        <w:rPr>
          <w:sz w:val="20"/>
        </w:rPr>
      </w:pPr>
      <w:r>
        <w:rPr>
          <w:sz w:val="20"/>
        </w:rPr>
        <w:drawing>
          <wp:inline distT="0" distB="0" distL="0" distR="0">
            <wp:extent cx="3974782" cy="2965799"/>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47" cstate="print"/>
                    <a:stretch>
                      <a:fillRect/>
                    </a:stretch>
                  </pic:blipFill>
                  <pic:spPr>
                    <a:xfrm>
                      <a:off x="0" y="0"/>
                      <a:ext cx="3974782" cy="2965799"/>
                    </a:xfrm>
                    <a:prstGeom prst="rect">
                      <a:avLst/>
                    </a:prstGeom>
                  </pic:spPr>
                </pic:pic>
              </a:graphicData>
            </a:graphic>
          </wp:inline>
        </w:drawing>
      </w:r>
      <w:r>
        <w:rPr>
          <w:sz w:val="20"/>
        </w:rPr>
      </w:r>
    </w:p>
    <w:p>
      <w:pPr>
        <w:pStyle w:val="BodyText"/>
        <w:spacing w:before="30"/>
        <w:ind w:left="0" w:firstLine="0"/>
        <w:jc w:val="left"/>
        <w:rPr>
          <w:sz w:val="19"/>
        </w:rPr>
      </w:pPr>
    </w:p>
    <w:p>
      <w:pPr>
        <w:spacing w:line="285" w:lineRule="auto" w:before="0"/>
        <w:ind w:left="68" w:right="497" w:firstLine="0"/>
        <w:jc w:val="left"/>
        <w:rPr>
          <w:rFonts w:ascii="Microsoft Sans Serif" w:hAnsi="Microsoft Sans Serif"/>
          <w:sz w:val="19"/>
        </w:rPr>
      </w:pPr>
      <w:r>
        <w:rPr>
          <w:rFonts w:ascii="Arial" w:hAnsi="Arial"/>
          <w:b/>
          <w:color w:val="242B67"/>
          <w:sz w:val="19"/>
        </w:rPr>
        <w:t>Figura</w:t>
      </w:r>
      <w:r>
        <w:rPr>
          <w:rFonts w:ascii="Arial" w:hAnsi="Arial"/>
          <w:b/>
          <w:color w:val="242B67"/>
          <w:spacing w:val="29"/>
          <w:sz w:val="19"/>
        </w:rPr>
        <w:t> </w:t>
      </w:r>
      <w:r>
        <w:rPr>
          <w:rFonts w:ascii="Arial" w:hAnsi="Arial"/>
          <w:b/>
          <w:color w:val="242B67"/>
          <w:sz w:val="19"/>
        </w:rPr>
        <w:t>59.13</w:t>
      </w:r>
      <w:r>
        <w:rPr>
          <w:rFonts w:ascii="Arial" w:hAnsi="Arial"/>
          <w:b/>
          <w:color w:val="242B67"/>
          <w:spacing w:val="40"/>
          <w:sz w:val="19"/>
        </w:rPr>
        <w:t> </w:t>
      </w:r>
      <w:r>
        <w:rPr>
          <w:rFonts w:ascii="Microsoft Sans Serif" w:hAnsi="Microsoft Sans Serif"/>
          <w:sz w:val="19"/>
        </w:rPr>
        <w:t>Aspecto</w:t>
      </w:r>
      <w:r>
        <w:rPr>
          <w:rFonts w:ascii="Microsoft Sans Serif" w:hAnsi="Microsoft Sans Serif"/>
          <w:spacing w:val="40"/>
          <w:sz w:val="19"/>
        </w:rPr>
        <w:t> </w:t>
      </w:r>
      <w:r>
        <w:rPr>
          <w:rFonts w:ascii="Microsoft Sans Serif" w:hAnsi="Microsoft Sans Serif"/>
          <w:sz w:val="19"/>
        </w:rPr>
        <w:t>arteriográfico</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trombose</w:t>
      </w:r>
      <w:r>
        <w:rPr>
          <w:rFonts w:ascii="Microsoft Sans Serif" w:hAnsi="Microsoft Sans Serif"/>
          <w:spacing w:val="40"/>
          <w:sz w:val="19"/>
        </w:rPr>
        <w:t> </w:t>
      </w:r>
      <w:r>
        <w:rPr>
          <w:rFonts w:ascii="Microsoft Sans Serif" w:hAnsi="Microsoft Sans Serif"/>
          <w:sz w:val="19"/>
        </w:rPr>
        <w:t>arterial</w:t>
      </w:r>
      <w:r>
        <w:rPr>
          <w:rFonts w:ascii="Microsoft Sans Serif" w:hAnsi="Microsoft Sans Serif"/>
          <w:spacing w:val="40"/>
          <w:sz w:val="19"/>
        </w:rPr>
        <w:t> </w:t>
      </w:r>
      <w:r>
        <w:rPr>
          <w:rFonts w:ascii="Microsoft Sans Serif" w:hAnsi="Microsoft Sans Serif"/>
          <w:sz w:val="19"/>
        </w:rPr>
        <w:t>aguda.</w:t>
      </w:r>
      <w:r>
        <w:rPr>
          <w:rFonts w:ascii="Microsoft Sans Serif" w:hAnsi="Microsoft Sans Serif"/>
          <w:spacing w:val="29"/>
          <w:sz w:val="19"/>
        </w:rPr>
        <w:t> </w:t>
      </w:r>
      <w:r>
        <w:rPr>
          <w:rFonts w:ascii="Microsoft Sans Serif" w:hAnsi="Microsoft Sans Serif"/>
          <w:sz w:val="19"/>
        </w:rPr>
        <w:t>Note</w:t>
      </w:r>
      <w:r>
        <w:rPr>
          <w:rFonts w:ascii="Microsoft Sans Serif" w:hAnsi="Microsoft Sans Serif"/>
          <w:spacing w:val="40"/>
          <w:sz w:val="19"/>
        </w:rPr>
        <w:t> </w:t>
      </w:r>
      <w:r>
        <w:rPr>
          <w:rFonts w:ascii="Microsoft Sans Serif" w:hAnsi="Microsoft Sans Serif"/>
          <w:sz w:val="19"/>
        </w:rPr>
        <w:t>interrupção</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artéria</w:t>
      </w:r>
      <w:r>
        <w:rPr>
          <w:rFonts w:ascii="Microsoft Sans Serif" w:hAnsi="Microsoft Sans Serif"/>
          <w:spacing w:val="40"/>
          <w:sz w:val="19"/>
        </w:rPr>
        <w:t> </w:t>
      </w:r>
      <w:r>
        <w:rPr>
          <w:rFonts w:ascii="Microsoft Sans Serif" w:hAnsi="Microsoft Sans Serif"/>
          <w:sz w:val="19"/>
        </w:rPr>
        <w:t>femoral</w:t>
      </w:r>
      <w:r>
        <w:rPr>
          <w:rFonts w:ascii="Microsoft Sans Serif" w:hAnsi="Microsoft Sans Serif"/>
          <w:spacing w:val="40"/>
          <w:sz w:val="19"/>
        </w:rPr>
        <w:t> </w:t>
      </w:r>
      <w:r>
        <w:rPr>
          <w:rFonts w:ascii="Microsoft Sans Serif" w:hAnsi="Microsoft Sans Serif"/>
          <w:sz w:val="19"/>
        </w:rPr>
        <w:t>no</w:t>
      </w:r>
      <w:r>
        <w:rPr>
          <w:rFonts w:ascii="Microsoft Sans Serif" w:hAnsi="Microsoft Sans Serif"/>
          <w:spacing w:val="40"/>
          <w:sz w:val="19"/>
        </w:rPr>
        <w:t> </w:t>
      </w:r>
      <w:r>
        <w:rPr>
          <w:rFonts w:ascii="Microsoft Sans Serif" w:hAnsi="Microsoft Sans Serif"/>
          <w:sz w:val="19"/>
        </w:rPr>
        <w:t>terço</w:t>
      </w:r>
      <w:r>
        <w:rPr>
          <w:rFonts w:ascii="Microsoft Sans Serif" w:hAnsi="Microsoft Sans Serif"/>
          <w:spacing w:val="40"/>
          <w:sz w:val="19"/>
        </w:rPr>
        <w:t> </w:t>
      </w:r>
      <w:r>
        <w:rPr>
          <w:rFonts w:ascii="Microsoft Sans Serif" w:hAnsi="Microsoft Sans Serif"/>
          <w:sz w:val="19"/>
        </w:rPr>
        <w:t>médio</w:t>
      </w:r>
      <w:r>
        <w:rPr>
          <w:rFonts w:ascii="Microsoft Sans Serif" w:hAnsi="Microsoft Sans Serif"/>
          <w:spacing w:val="40"/>
          <w:sz w:val="19"/>
        </w:rPr>
        <w:t> </w:t>
      </w:r>
      <w:r>
        <w:rPr>
          <w:rFonts w:ascii="Microsoft Sans Serif" w:hAnsi="Microsoft Sans Serif"/>
          <w:sz w:val="19"/>
        </w:rPr>
        <w:t>da coxa, mostrando alterações arterioscleróticas proximais.</w:t>
      </w:r>
    </w:p>
    <w:p>
      <w:pPr>
        <w:pStyle w:val="BodyText"/>
        <w:spacing w:before="48"/>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21632">
            <wp:simplePos x="0" y="0"/>
            <wp:positionH relativeFrom="page">
              <wp:posOffset>2262809</wp:posOffset>
            </wp:positionH>
            <wp:positionV relativeFrom="paragraph">
              <wp:posOffset>189660</wp:posOffset>
            </wp:positionV>
            <wp:extent cx="3037131" cy="3088100"/>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48" cstate="print"/>
                    <a:stretch>
                      <a:fillRect/>
                    </a:stretch>
                  </pic:blipFill>
                  <pic:spPr>
                    <a:xfrm>
                      <a:off x="0" y="0"/>
                      <a:ext cx="3037131" cy="3088100"/>
                    </a:xfrm>
                    <a:prstGeom prst="rect">
                      <a:avLst/>
                    </a:prstGeom>
                  </pic:spPr>
                </pic:pic>
              </a:graphicData>
            </a:graphic>
          </wp:anchor>
        </w:drawing>
      </w:r>
    </w:p>
    <w:p>
      <w:pPr>
        <w:pStyle w:val="BodyText"/>
        <w:spacing w:before="49"/>
        <w:ind w:left="0" w:firstLine="0"/>
        <w:jc w:val="left"/>
        <w:rPr>
          <w:rFonts w:ascii="Microsoft Sans Serif"/>
          <w:sz w:val="19"/>
        </w:rPr>
      </w:pPr>
    </w:p>
    <w:p>
      <w:pPr>
        <w:spacing w:line="280" w:lineRule="auto"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64"/>
          <w:sz w:val="19"/>
        </w:rPr>
        <w:t> </w:t>
      </w:r>
      <w:r>
        <w:rPr>
          <w:rFonts w:ascii="Arial" w:hAnsi="Arial"/>
          <w:b/>
          <w:color w:val="242B67"/>
          <w:sz w:val="19"/>
        </w:rPr>
        <w:t>59.14</w:t>
      </w:r>
      <w:r>
        <w:rPr>
          <w:rFonts w:ascii="Arial" w:hAnsi="Arial"/>
          <w:b/>
          <w:color w:val="242B67"/>
          <w:spacing w:val="68"/>
          <w:sz w:val="19"/>
        </w:rPr>
        <w:t> </w:t>
      </w:r>
      <w:r>
        <w:rPr>
          <w:rFonts w:ascii="Microsoft Sans Serif" w:hAnsi="Microsoft Sans Serif"/>
          <w:sz w:val="19"/>
        </w:rPr>
        <w:t>Aspecto</w:t>
      </w:r>
      <w:r>
        <w:rPr>
          <w:rFonts w:ascii="Microsoft Sans Serif" w:hAnsi="Microsoft Sans Serif"/>
          <w:spacing w:val="70"/>
          <w:sz w:val="19"/>
        </w:rPr>
        <w:t> </w:t>
      </w:r>
      <w:r>
        <w:rPr>
          <w:rFonts w:ascii="Microsoft Sans Serif" w:hAnsi="Microsoft Sans Serif"/>
          <w:sz w:val="19"/>
        </w:rPr>
        <w:t>arteriográfico</w:t>
      </w:r>
      <w:r>
        <w:rPr>
          <w:rFonts w:ascii="Microsoft Sans Serif" w:hAnsi="Microsoft Sans Serif"/>
          <w:spacing w:val="70"/>
          <w:sz w:val="19"/>
        </w:rPr>
        <w:t> </w:t>
      </w:r>
      <w:r>
        <w:rPr>
          <w:rFonts w:ascii="Microsoft Sans Serif" w:hAnsi="Microsoft Sans Serif"/>
          <w:sz w:val="19"/>
        </w:rPr>
        <w:t>de</w:t>
      </w:r>
      <w:r>
        <w:rPr>
          <w:rFonts w:ascii="Microsoft Sans Serif" w:hAnsi="Microsoft Sans Serif"/>
          <w:spacing w:val="70"/>
          <w:sz w:val="19"/>
        </w:rPr>
        <w:t> </w:t>
      </w:r>
      <w:r>
        <w:rPr>
          <w:rFonts w:ascii="Microsoft Sans Serif" w:hAnsi="Microsoft Sans Serif"/>
          <w:sz w:val="19"/>
        </w:rPr>
        <w:t>taça</w:t>
      </w:r>
      <w:r>
        <w:rPr>
          <w:rFonts w:ascii="Microsoft Sans Serif" w:hAnsi="Microsoft Sans Serif"/>
          <w:spacing w:val="70"/>
          <w:sz w:val="19"/>
        </w:rPr>
        <w:t> </w:t>
      </w:r>
      <w:r>
        <w:rPr>
          <w:rFonts w:ascii="Microsoft Sans Serif" w:hAnsi="Microsoft Sans Serif"/>
          <w:sz w:val="19"/>
        </w:rPr>
        <w:t>invertida</w:t>
      </w:r>
      <w:r>
        <w:rPr>
          <w:rFonts w:ascii="Microsoft Sans Serif" w:hAnsi="Microsoft Sans Serif"/>
          <w:spacing w:val="70"/>
          <w:sz w:val="19"/>
        </w:rPr>
        <w:t> </w:t>
      </w:r>
      <w:r>
        <w:rPr>
          <w:rFonts w:ascii="Microsoft Sans Serif" w:hAnsi="Microsoft Sans Serif"/>
          <w:sz w:val="19"/>
        </w:rPr>
        <w:t>em</w:t>
      </w:r>
      <w:r>
        <w:rPr>
          <w:rFonts w:ascii="Microsoft Sans Serif" w:hAnsi="Microsoft Sans Serif"/>
          <w:spacing w:val="64"/>
          <w:sz w:val="19"/>
        </w:rPr>
        <w:t> </w:t>
      </w:r>
      <w:r>
        <w:rPr>
          <w:rFonts w:ascii="Microsoft Sans Serif" w:hAnsi="Microsoft Sans Serif"/>
          <w:sz w:val="19"/>
        </w:rPr>
        <w:t>pacientes</w:t>
      </w:r>
      <w:r>
        <w:rPr>
          <w:rFonts w:ascii="Microsoft Sans Serif" w:hAnsi="Microsoft Sans Serif"/>
          <w:spacing w:val="64"/>
          <w:sz w:val="19"/>
        </w:rPr>
        <w:t> </w:t>
      </w:r>
      <w:r>
        <w:rPr>
          <w:rFonts w:ascii="Microsoft Sans Serif" w:hAnsi="Microsoft Sans Serif"/>
          <w:sz w:val="19"/>
        </w:rPr>
        <w:t>com</w:t>
      </w:r>
      <w:r>
        <w:rPr>
          <w:rFonts w:ascii="Microsoft Sans Serif" w:hAnsi="Microsoft Sans Serif"/>
          <w:spacing w:val="64"/>
          <w:sz w:val="19"/>
        </w:rPr>
        <w:t> </w:t>
      </w:r>
      <w:r>
        <w:rPr>
          <w:rFonts w:ascii="Microsoft Sans Serif" w:hAnsi="Microsoft Sans Serif"/>
          <w:sz w:val="19"/>
        </w:rPr>
        <w:t>embolia</w:t>
      </w:r>
      <w:r>
        <w:rPr>
          <w:rFonts w:ascii="Microsoft Sans Serif" w:hAnsi="Microsoft Sans Serif"/>
          <w:spacing w:val="70"/>
          <w:sz w:val="19"/>
        </w:rPr>
        <w:t> </w:t>
      </w:r>
      <w:r>
        <w:rPr>
          <w:rFonts w:ascii="Microsoft Sans Serif" w:hAnsi="Microsoft Sans Serif"/>
          <w:sz w:val="19"/>
        </w:rPr>
        <w:t>de</w:t>
      </w:r>
      <w:r>
        <w:rPr>
          <w:rFonts w:ascii="Microsoft Sans Serif" w:hAnsi="Microsoft Sans Serif"/>
          <w:spacing w:val="70"/>
          <w:sz w:val="19"/>
        </w:rPr>
        <w:t> </w:t>
      </w:r>
      <w:r>
        <w:rPr>
          <w:rFonts w:ascii="Microsoft Sans Serif" w:hAnsi="Microsoft Sans Serif"/>
          <w:sz w:val="19"/>
        </w:rPr>
        <w:t>artéria</w:t>
      </w:r>
      <w:r>
        <w:rPr>
          <w:rFonts w:ascii="Microsoft Sans Serif" w:hAnsi="Microsoft Sans Serif"/>
          <w:spacing w:val="70"/>
          <w:sz w:val="19"/>
        </w:rPr>
        <w:t> </w:t>
      </w:r>
      <w:r>
        <w:rPr>
          <w:rFonts w:ascii="Microsoft Sans Serif" w:hAnsi="Microsoft Sans Serif"/>
          <w:sz w:val="19"/>
        </w:rPr>
        <w:t>poplítea</w:t>
      </w:r>
      <w:r>
        <w:rPr>
          <w:rFonts w:ascii="Microsoft Sans Serif" w:hAnsi="Microsoft Sans Serif"/>
          <w:spacing w:val="70"/>
          <w:sz w:val="19"/>
        </w:rPr>
        <w:t> </w:t>
      </w:r>
      <w:r>
        <w:rPr>
          <w:rFonts w:ascii="Microsoft Sans Serif" w:hAnsi="Microsoft Sans Serif"/>
          <w:sz w:val="19"/>
        </w:rPr>
        <w:t>(</w:t>
      </w:r>
      <w:r>
        <w:rPr>
          <w:rFonts w:ascii="Arial" w:hAnsi="Arial"/>
          <w:i/>
          <w:sz w:val="19"/>
        </w:rPr>
        <w:t>esquerda</w:t>
      </w:r>
      <w:r>
        <w:rPr>
          <w:rFonts w:ascii="Microsoft Sans Serif" w:hAnsi="Microsoft Sans Serif"/>
          <w:sz w:val="19"/>
        </w:rPr>
        <w:t>)</w:t>
      </w:r>
      <w:r>
        <w:rPr>
          <w:rFonts w:ascii="Microsoft Sans Serif" w:hAnsi="Microsoft Sans Serif"/>
          <w:spacing w:val="61"/>
          <w:sz w:val="19"/>
        </w:rPr>
        <w:t> </w:t>
      </w:r>
      <w:r>
        <w:rPr>
          <w:rFonts w:ascii="Microsoft Sans Serif" w:hAnsi="Microsoft Sans Serif"/>
          <w:sz w:val="19"/>
        </w:rPr>
        <w:t>de bifurcação aórtica (</w:t>
      </w:r>
      <w:r>
        <w:rPr>
          <w:rFonts w:ascii="Arial" w:hAnsi="Arial"/>
          <w:i/>
          <w:sz w:val="19"/>
        </w:rPr>
        <w:t>direita</w:t>
      </w:r>
      <w:r>
        <w:rPr>
          <w:rFonts w:ascii="Microsoft Sans Serif" w:hAnsi="Microsoft Sans Serif"/>
          <w:sz w:val="19"/>
        </w:rPr>
        <w:t>).</w:t>
      </w:r>
    </w:p>
    <w:p>
      <w:pPr>
        <w:pStyle w:val="BodyText"/>
        <w:spacing w:before="0"/>
        <w:ind w:left="0" w:firstLine="0"/>
        <w:jc w:val="left"/>
        <w:rPr>
          <w:rFonts w:ascii="Microsoft Sans Serif"/>
          <w:sz w:val="19"/>
        </w:rPr>
      </w:pPr>
    </w:p>
    <w:p>
      <w:pPr>
        <w:pStyle w:val="BodyText"/>
        <w:spacing w:before="16"/>
        <w:ind w:left="0" w:firstLine="0"/>
        <w:jc w:val="left"/>
        <w:rPr>
          <w:rFonts w:ascii="Microsoft Sans Serif"/>
          <w:sz w:val="19"/>
        </w:rPr>
      </w:pPr>
    </w:p>
    <w:p>
      <w:pPr>
        <w:pStyle w:val="Heading4"/>
        <w:spacing w:before="1"/>
      </w:pPr>
      <w:r>
        <w:rPr>
          <w:color w:val="242B67"/>
          <w:spacing w:val="-2"/>
        </w:rPr>
        <w:t>Tratamento</w:t>
      </w:r>
    </w:p>
    <w:p>
      <w:pPr>
        <w:pStyle w:val="BodyText"/>
        <w:spacing w:line="276" w:lineRule="auto" w:before="131"/>
        <w:ind w:right="491"/>
      </w:pPr>
      <w:r>
        <w:rPr/>
        <w:t>O tratamento é baseado na gravidade da isquemia do membro, segundo a classificação de Rutherford mencionada anteriormente. É preciso lembrar que o grau de isquemia está relacionado não só com a perda do membro, mas também</w:t>
      </w:r>
      <w:r>
        <w:rPr>
          <w:spacing w:val="-2"/>
        </w:rPr>
        <w:t> </w:t>
      </w:r>
      <w:r>
        <w:rPr/>
        <w:t>o</w:t>
      </w:r>
      <w:r>
        <w:rPr>
          <w:spacing w:val="-2"/>
        </w:rPr>
        <w:t> </w:t>
      </w:r>
      <w:r>
        <w:rPr/>
        <w:t>alto</w:t>
      </w:r>
      <w:r>
        <w:rPr>
          <w:spacing w:val="-2"/>
        </w:rPr>
        <w:t> </w:t>
      </w:r>
      <w:r>
        <w:rPr/>
        <w:t>risco</w:t>
      </w:r>
      <w:r>
        <w:rPr>
          <w:spacing w:val="-2"/>
        </w:rPr>
        <w:t> </w:t>
      </w:r>
      <w:r>
        <w:rPr/>
        <w:t>de</w:t>
      </w:r>
      <w:r>
        <w:rPr>
          <w:spacing w:val="-5"/>
        </w:rPr>
        <w:t> </w:t>
      </w:r>
      <w:r>
        <w:rPr/>
        <w:t>óbito</w:t>
      </w:r>
      <w:r>
        <w:rPr>
          <w:spacing w:val="-2"/>
        </w:rPr>
        <w:t> </w:t>
      </w:r>
      <w:r>
        <w:rPr/>
        <w:t>desses pacientes devido</w:t>
      </w:r>
      <w:r>
        <w:rPr>
          <w:spacing w:val="-2"/>
        </w:rPr>
        <w:t> </w:t>
      </w:r>
      <w:r>
        <w:rPr/>
        <w:t>à</w:t>
      </w:r>
      <w:r>
        <w:rPr>
          <w:spacing w:val="-5"/>
        </w:rPr>
        <w:t> </w:t>
      </w:r>
      <w:r>
        <w:rPr/>
        <w:t>síndrome</w:t>
      </w:r>
      <w:r>
        <w:rPr>
          <w:spacing w:val="-5"/>
        </w:rPr>
        <w:t> </w:t>
      </w:r>
      <w:r>
        <w:rPr/>
        <w:t>de</w:t>
      </w:r>
      <w:r>
        <w:rPr>
          <w:spacing w:val="-5"/>
        </w:rPr>
        <w:t> </w:t>
      </w:r>
      <w:r>
        <w:rPr/>
        <w:t>reperfusão</w:t>
      </w:r>
      <w:r>
        <w:rPr>
          <w:spacing w:val="-2"/>
        </w:rPr>
        <w:t> </w:t>
      </w:r>
      <w:r>
        <w:rPr/>
        <w:t>pós-revascularização.</w:t>
      </w:r>
    </w:p>
    <w:p>
      <w:pPr>
        <w:pStyle w:val="BodyText"/>
        <w:spacing w:line="276" w:lineRule="auto" w:before="49"/>
        <w:ind w:right="500"/>
      </w:pPr>
      <w:r>
        <w:rPr/>
        <w:t>Se</w:t>
      </w:r>
      <w:r>
        <w:rPr>
          <w:spacing w:val="-2"/>
        </w:rPr>
        <w:t> </w:t>
      </w:r>
      <w:r>
        <w:rPr/>
        <w:t>o grau de</w:t>
      </w:r>
      <w:r>
        <w:rPr>
          <w:spacing w:val="-2"/>
        </w:rPr>
        <w:t> </w:t>
      </w:r>
      <w:r>
        <w:rPr/>
        <w:t>isquemia</w:t>
      </w:r>
      <w:r>
        <w:rPr>
          <w:spacing w:val="-2"/>
        </w:rPr>
        <w:t> </w:t>
      </w:r>
      <w:r>
        <w:rPr/>
        <w:t>é</w:t>
      </w:r>
      <w:r>
        <w:rPr>
          <w:spacing w:val="-2"/>
        </w:rPr>
        <w:t> </w:t>
      </w:r>
      <w:r>
        <w:rPr/>
        <w:t>classificado como classe</w:t>
      </w:r>
      <w:r>
        <w:rPr>
          <w:spacing w:val="-2"/>
        </w:rPr>
        <w:t> </w:t>
      </w:r>
      <w:r>
        <w:rPr/>
        <w:t>1 ou 2A, portanto sem ameaça</w:t>
      </w:r>
      <w:r>
        <w:rPr>
          <w:spacing w:val="-2"/>
        </w:rPr>
        <w:t> </w:t>
      </w:r>
      <w:r>
        <w:rPr/>
        <w:t>iminente</w:t>
      </w:r>
      <w:r>
        <w:rPr>
          <w:spacing w:val="-2"/>
        </w:rPr>
        <w:t> </w:t>
      </w:r>
      <w:r>
        <w:rPr/>
        <w:t>de</w:t>
      </w:r>
      <w:r>
        <w:rPr>
          <w:spacing w:val="-2"/>
        </w:rPr>
        <w:t> </w:t>
      </w:r>
      <w:r>
        <w:rPr/>
        <w:t>perda</w:t>
      </w:r>
      <w:r>
        <w:rPr>
          <w:spacing w:val="-2"/>
        </w:rPr>
        <w:t> </w:t>
      </w:r>
      <w:r>
        <w:rPr/>
        <w:t>do membro, a</w:t>
      </w:r>
      <w:r>
        <w:rPr>
          <w:spacing w:val="-2"/>
        </w:rPr>
        <w:t> </w:t>
      </w:r>
      <w:r>
        <w:rPr/>
        <w:t>conduta</w:t>
      </w:r>
      <w:r>
        <w:rPr>
          <w:spacing w:val="-2"/>
        </w:rPr>
        <w:t> </w:t>
      </w:r>
      <w:r>
        <w:rPr/>
        <w:t>pode</w:t>
      </w:r>
      <w:r>
        <w:rPr>
          <w:spacing w:val="-2"/>
        </w:rPr>
        <w:t> </w:t>
      </w:r>
      <w:r>
        <w:rPr/>
        <w:t>ser menos agressiva</w:t>
      </w:r>
      <w:r>
        <w:rPr>
          <w:spacing w:val="-2"/>
        </w:rPr>
        <w:t> </w:t>
      </w:r>
      <w:r>
        <w:rPr/>
        <w:t>até</w:t>
      </w:r>
      <w:r>
        <w:rPr>
          <w:spacing w:val="-2"/>
        </w:rPr>
        <w:t> </w:t>
      </w:r>
      <w:r>
        <w:rPr/>
        <w:t>se</w:t>
      </w:r>
      <w:r>
        <w:rPr>
          <w:spacing w:val="-2"/>
        </w:rPr>
        <w:t> </w:t>
      </w:r>
      <w:r>
        <w:rPr/>
        <w:t>estabelecer a</w:t>
      </w:r>
      <w:r>
        <w:rPr>
          <w:spacing w:val="-2"/>
        </w:rPr>
        <w:t> </w:t>
      </w:r>
      <w:r>
        <w:rPr/>
        <w:t>causa</w:t>
      </w:r>
      <w:r>
        <w:rPr>
          <w:spacing w:val="-2"/>
        </w:rPr>
        <w:t> </w:t>
      </w:r>
      <w:r>
        <w:rPr/>
        <w:t>do quadro isquêmico. O</w:t>
      </w:r>
      <w:r>
        <w:rPr>
          <w:spacing w:val="-2"/>
        </w:rPr>
        <w:t> </w:t>
      </w:r>
      <w:r>
        <w:rPr/>
        <w:t>estudo angiográfico ou com ultrassom-Doppler pode</w:t>
      </w:r>
      <w:r>
        <w:rPr>
          <w:spacing w:val="-1"/>
        </w:rPr>
        <w:t> </w:t>
      </w:r>
      <w:r>
        <w:rPr/>
        <w:t>ser realizado após a</w:t>
      </w:r>
      <w:r>
        <w:rPr>
          <w:spacing w:val="-1"/>
        </w:rPr>
        <w:t> </w:t>
      </w:r>
      <w:r>
        <w:rPr/>
        <w:t>avaliação clínica</w:t>
      </w:r>
      <w:r>
        <w:rPr>
          <w:spacing w:val="-1"/>
        </w:rPr>
        <w:t> </w:t>
      </w:r>
      <w:r>
        <w:rPr/>
        <w:t>e</w:t>
      </w:r>
      <w:r>
        <w:rPr>
          <w:spacing w:val="-1"/>
        </w:rPr>
        <w:t> </w:t>
      </w:r>
      <w:r>
        <w:rPr/>
        <w:t>das comorbidades.</w:t>
      </w:r>
    </w:p>
    <w:p>
      <w:pPr>
        <w:pStyle w:val="BodyText"/>
        <w:spacing w:line="276" w:lineRule="auto" w:before="64"/>
        <w:ind w:right="488"/>
      </w:pPr>
      <w:r>
        <w:rPr/>
        <w:t>Nesses casos, deve-se instituir, de imediato, a anticoagulação com heparina intravenosa não fracionada administrada 5.000 UI (unidades internacionais) em </w:t>
      </w:r>
      <w:r>
        <w:rPr>
          <w:i/>
        </w:rPr>
        <w:t>bolus </w:t>
      </w:r>
      <w:r>
        <w:rPr/>
        <w:t>seguida da infusão contínua de solução de soro fisiológico</w:t>
      </w:r>
      <w:r>
        <w:rPr>
          <w:spacing w:val="-7"/>
        </w:rPr>
        <w:t> </w:t>
      </w:r>
      <w:r>
        <w:rPr/>
        <w:t>de</w:t>
      </w:r>
      <w:r>
        <w:rPr>
          <w:spacing w:val="-9"/>
        </w:rPr>
        <w:t> </w:t>
      </w:r>
      <w:r>
        <w:rPr/>
        <w:t>250</w:t>
      </w:r>
      <w:r>
        <w:rPr>
          <w:spacing w:val="-7"/>
        </w:rPr>
        <w:t> </w:t>
      </w:r>
      <w:r>
        <w:rPr/>
        <w:t>m</w:t>
      </w:r>
      <w:r>
        <w:rPr>
          <w:i/>
        </w:rPr>
        <w:t>ℓ</w:t>
      </w:r>
      <w:r>
        <w:rPr>
          <w:i/>
          <w:spacing w:val="-4"/>
        </w:rPr>
        <w:t> </w:t>
      </w:r>
      <w:r>
        <w:rPr/>
        <w:t>e</w:t>
      </w:r>
      <w:r>
        <w:rPr>
          <w:spacing w:val="-9"/>
        </w:rPr>
        <w:t> </w:t>
      </w:r>
      <w:r>
        <w:rPr/>
        <w:t>10.000</w:t>
      </w:r>
      <w:r>
        <w:rPr>
          <w:spacing w:val="-7"/>
        </w:rPr>
        <w:t> </w:t>
      </w:r>
      <w:r>
        <w:rPr/>
        <w:t>UI</w:t>
      </w:r>
      <w:r>
        <w:rPr>
          <w:spacing w:val="-2"/>
        </w:rPr>
        <w:t> </w:t>
      </w:r>
      <w:r>
        <w:rPr/>
        <w:t>de</w:t>
      </w:r>
      <w:r>
        <w:rPr>
          <w:spacing w:val="-9"/>
        </w:rPr>
        <w:t> </w:t>
      </w:r>
      <w:r>
        <w:rPr/>
        <w:t>heparina</w:t>
      </w:r>
      <w:r>
        <w:rPr>
          <w:spacing w:val="-9"/>
        </w:rPr>
        <w:t> </w:t>
      </w:r>
      <w:r>
        <w:rPr/>
        <w:t>controlando-se</w:t>
      </w:r>
      <w:r>
        <w:rPr>
          <w:spacing w:val="-9"/>
        </w:rPr>
        <w:t> </w:t>
      </w:r>
      <w:r>
        <w:rPr/>
        <w:t>a</w:t>
      </w:r>
      <w:r>
        <w:rPr>
          <w:spacing w:val="-9"/>
        </w:rPr>
        <w:t> </w:t>
      </w:r>
      <w:r>
        <w:rPr/>
        <w:t>anticoagulação</w:t>
      </w:r>
      <w:r>
        <w:rPr>
          <w:spacing w:val="-7"/>
        </w:rPr>
        <w:t> </w:t>
      </w:r>
      <w:r>
        <w:rPr/>
        <w:t>com</w:t>
      </w:r>
      <w:r>
        <w:rPr>
          <w:spacing w:val="-7"/>
        </w:rPr>
        <w:t> </w:t>
      </w:r>
      <w:r>
        <w:rPr/>
        <w:t>as medidas de</w:t>
      </w:r>
      <w:r>
        <w:rPr>
          <w:spacing w:val="-9"/>
        </w:rPr>
        <w:t> </w:t>
      </w:r>
      <w:r>
        <w:rPr/>
        <w:t>TTPA</w:t>
      </w:r>
      <w:r>
        <w:rPr>
          <w:spacing w:val="-9"/>
        </w:rPr>
        <w:t> </w:t>
      </w:r>
      <w:r>
        <w:rPr/>
        <w:t>(tempo</w:t>
      </w:r>
      <w:r>
        <w:rPr>
          <w:spacing w:val="-7"/>
        </w:rPr>
        <w:t> </w:t>
      </w:r>
      <w:r>
        <w:rPr/>
        <w:t>de tromboplastina parcial ativada) a cada 6 h, mantendo-se o nível de anticoagulação entre 2 e 3 vezes o normal. O objetivo da anticoagulação é evitar a propagação do trombo proximal e distal, ao mesmo tempo prevenindo novos episódios embólicos.</w:t>
      </w:r>
    </w:p>
    <w:p>
      <w:pPr>
        <w:pStyle w:val="BodyText"/>
        <w:spacing w:after="0" w:line="276" w:lineRule="auto"/>
        <w:sectPr>
          <w:pgSz w:w="11900" w:h="16840"/>
          <w:pgMar w:top="280" w:bottom="280" w:left="566" w:right="141"/>
        </w:sectPr>
      </w:pPr>
    </w:p>
    <w:p>
      <w:pPr>
        <w:pStyle w:val="BodyText"/>
        <w:spacing w:line="276" w:lineRule="auto" w:before="61"/>
        <w:ind w:right="489"/>
      </w:pPr>
      <w:r>
        <w:rPr/>
        <w:t>Deve-se</w:t>
      </w:r>
      <w:r>
        <w:rPr>
          <w:spacing w:val="-13"/>
        </w:rPr>
        <w:t> </w:t>
      </w:r>
      <w:r>
        <w:rPr/>
        <w:t>também</w:t>
      </w:r>
      <w:r>
        <w:rPr>
          <w:spacing w:val="-11"/>
        </w:rPr>
        <w:t> </w:t>
      </w:r>
      <w:r>
        <w:rPr/>
        <w:t>aquecer</w:t>
      </w:r>
      <w:r>
        <w:rPr>
          <w:spacing w:val="-7"/>
        </w:rPr>
        <w:t> </w:t>
      </w:r>
      <w:r>
        <w:rPr/>
        <w:t>o</w:t>
      </w:r>
      <w:r>
        <w:rPr>
          <w:spacing w:val="-11"/>
        </w:rPr>
        <w:t> </w:t>
      </w:r>
      <w:r>
        <w:rPr/>
        <w:t>membro</w:t>
      </w:r>
      <w:r>
        <w:rPr>
          <w:spacing w:val="-11"/>
        </w:rPr>
        <w:t> </w:t>
      </w:r>
      <w:r>
        <w:rPr/>
        <w:t>acometido</w:t>
      </w:r>
      <w:r>
        <w:rPr>
          <w:spacing w:val="-11"/>
        </w:rPr>
        <w:t> </w:t>
      </w:r>
      <w:r>
        <w:rPr/>
        <w:t>com</w:t>
      </w:r>
      <w:r>
        <w:rPr>
          <w:spacing w:val="-11"/>
        </w:rPr>
        <w:t> </w:t>
      </w:r>
      <w:r>
        <w:rPr/>
        <w:t>enfaixamento</w:t>
      </w:r>
      <w:r>
        <w:rPr>
          <w:spacing w:val="-11"/>
        </w:rPr>
        <w:t> </w:t>
      </w:r>
      <w:r>
        <w:rPr/>
        <w:t>com</w:t>
      </w:r>
      <w:r>
        <w:rPr>
          <w:spacing w:val="-11"/>
        </w:rPr>
        <w:t> </w:t>
      </w:r>
      <w:r>
        <w:rPr/>
        <w:t>algodão</w:t>
      </w:r>
      <w:r>
        <w:rPr>
          <w:spacing w:val="-11"/>
        </w:rPr>
        <w:t> </w:t>
      </w:r>
      <w:r>
        <w:rPr/>
        <w:t>e</w:t>
      </w:r>
      <w:r>
        <w:rPr>
          <w:spacing w:val="-13"/>
        </w:rPr>
        <w:t> </w:t>
      </w:r>
      <w:r>
        <w:rPr/>
        <w:t>faixa</w:t>
      </w:r>
      <w:r>
        <w:rPr>
          <w:spacing w:val="-13"/>
        </w:rPr>
        <w:t> </w:t>
      </w:r>
      <w:r>
        <w:rPr/>
        <w:t>crepe</w:t>
      </w:r>
      <w:r>
        <w:rPr>
          <w:spacing w:val="-13"/>
        </w:rPr>
        <w:t> </w:t>
      </w:r>
      <w:r>
        <w:rPr/>
        <w:t>e</w:t>
      </w:r>
      <w:r>
        <w:rPr>
          <w:spacing w:val="-13"/>
        </w:rPr>
        <w:t> </w:t>
      </w:r>
      <w:r>
        <w:rPr/>
        <w:t>manter</w:t>
      </w:r>
      <w:r>
        <w:rPr>
          <w:spacing w:val="-7"/>
        </w:rPr>
        <w:t> </w:t>
      </w:r>
      <w:r>
        <w:rPr/>
        <w:t>o</w:t>
      </w:r>
      <w:r>
        <w:rPr>
          <w:spacing w:val="-11"/>
        </w:rPr>
        <w:t> </w:t>
      </w:r>
      <w:r>
        <w:rPr/>
        <w:t>paciente em repouso na posição em proclive.</w:t>
      </w:r>
    </w:p>
    <w:p>
      <w:pPr>
        <w:pStyle w:val="BodyText"/>
        <w:spacing w:line="276" w:lineRule="auto"/>
        <w:ind w:right="491"/>
      </w:pPr>
      <w:r>
        <w:rPr/>
        <w:t>Nos pacientes com isquemia grave (Rutherford classe 2B), há necessidade da imediata realização de um procedimento cirúrgico para</w:t>
      </w:r>
      <w:r>
        <w:rPr>
          <w:spacing w:val="-1"/>
        </w:rPr>
        <w:t> </w:t>
      </w:r>
      <w:r>
        <w:rPr/>
        <w:t>salvamento do membro. Esse</w:t>
      </w:r>
      <w:r>
        <w:rPr>
          <w:spacing w:val="-1"/>
        </w:rPr>
        <w:t> </w:t>
      </w:r>
      <w:r>
        <w:rPr/>
        <w:t>paciente</w:t>
      </w:r>
      <w:r>
        <w:rPr>
          <w:spacing w:val="-1"/>
        </w:rPr>
        <w:t> </w:t>
      </w:r>
      <w:r>
        <w:rPr/>
        <w:t>deve</w:t>
      </w:r>
      <w:r>
        <w:rPr>
          <w:spacing w:val="-1"/>
        </w:rPr>
        <w:t> </w:t>
      </w:r>
      <w:r>
        <w:rPr/>
        <w:t>ser submetido à</w:t>
      </w:r>
      <w:r>
        <w:rPr>
          <w:spacing w:val="-1"/>
        </w:rPr>
        <w:t> </w:t>
      </w:r>
      <w:r>
        <w:rPr/>
        <w:t>angiografia</w:t>
      </w:r>
      <w:r>
        <w:rPr>
          <w:spacing w:val="-1"/>
        </w:rPr>
        <w:t> </w:t>
      </w:r>
      <w:r>
        <w:rPr/>
        <w:t>para</w:t>
      </w:r>
      <w:r>
        <w:rPr>
          <w:spacing w:val="-1"/>
        </w:rPr>
        <w:t> </w:t>
      </w:r>
      <w:r>
        <w:rPr/>
        <w:t>definir a causa da oclusão arterial e indicar a melhor forma de tratamento. Nos centros em que há a possibilidade do uso de fibrinolíticos, a melhor conduta seria a realização da angiografia por punção arterial contralateral ao membro isquêmico, instalação de bainha introdutora valvulada, evitando-se nova punção posterior, o que seria ponto de sangramento em eventual uso do trombolítico.</w:t>
      </w:r>
    </w:p>
    <w:p>
      <w:pPr>
        <w:pStyle w:val="BodyText"/>
        <w:spacing w:line="276" w:lineRule="auto" w:before="49"/>
        <w:ind w:right="488"/>
      </w:pPr>
      <w:r>
        <w:rPr/>
        <w:t>Uma vez definida a causa da isquemia como sendo embólica a melhor forma de tratamento é a realização da retirada dos êmbolos e trombos secundários utilizando cateter balão de Fogarty.</w:t>
      </w:r>
    </w:p>
    <w:p>
      <w:pPr>
        <w:pStyle w:val="BodyText"/>
        <w:spacing w:line="276" w:lineRule="auto" w:before="64"/>
        <w:ind w:right="500"/>
      </w:pPr>
      <w:r>
        <w:rPr/>
        <w:t>No caso de embolias aortoilíacas e femorais, a via de acesso é por incisão realizada na região inguinal, dissecando-se a artéria femoral comum. Usa-se o cateter de Fogarty, via intra-arterial, inicialmente em sentido proximal para remover o trombo proximal e liberar a circulação arterial troncular e as colaterais e só posteriormente, em sentido distal, procurando remover todos os trombos secundários e mesmo alguns fragmentos desprendidos desse local e que tenham se alojado distalmente.</w:t>
      </w:r>
    </w:p>
    <w:p>
      <w:pPr>
        <w:pStyle w:val="BodyText"/>
        <w:spacing w:line="276" w:lineRule="auto" w:before="49"/>
        <w:ind w:right="498"/>
      </w:pPr>
      <w:r>
        <w:rPr/>
        <w:t>Quando o coágulo está</w:t>
      </w:r>
      <w:r>
        <w:rPr>
          <w:spacing w:val="-1"/>
        </w:rPr>
        <w:t> </w:t>
      </w:r>
      <w:r>
        <w:rPr/>
        <w:t>localizado somente</w:t>
      </w:r>
      <w:r>
        <w:rPr>
          <w:spacing w:val="-1"/>
        </w:rPr>
        <w:t> </w:t>
      </w:r>
      <w:r>
        <w:rPr/>
        <w:t>na</w:t>
      </w:r>
      <w:r>
        <w:rPr>
          <w:spacing w:val="-1"/>
        </w:rPr>
        <w:t> </w:t>
      </w:r>
      <w:r>
        <w:rPr/>
        <w:t>artéria</w:t>
      </w:r>
      <w:r>
        <w:rPr>
          <w:spacing w:val="-1"/>
        </w:rPr>
        <w:t> </w:t>
      </w:r>
      <w:r>
        <w:rPr/>
        <w:t>femoral comum, sua</w:t>
      </w:r>
      <w:r>
        <w:rPr>
          <w:spacing w:val="-1"/>
        </w:rPr>
        <w:t> </w:t>
      </w:r>
      <w:r>
        <w:rPr/>
        <w:t>remoção é</w:t>
      </w:r>
      <w:r>
        <w:rPr>
          <w:spacing w:val="-1"/>
        </w:rPr>
        <w:t> </w:t>
      </w:r>
      <w:r>
        <w:rPr/>
        <w:t>muito simples, mas deve-se sempre introduzir o cateter em sentido distal para se ter certeza de que a árvore distal está completamente livre de trombose secundária.</w:t>
      </w:r>
    </w:p>
    <w:p>
      <w:pPr>
        <w:pStyle w:val="BodyText"/>
        <w:spacing w:line="276" w:lineRule="auto" w:before="64"/>
        <w:ind w:right="488"/>
      </w:pPr>
      <w:r>
        <w:rPr/>
        <w:t>Nas embolias da</w:t>
      </w:r>
      <w:r>
        <w:rPr>
          <w:spacing w:val="-4"/>
        </w:rPr>
        <w:t> </w:t>
      </w:r>
      <w:r>
        <w:rPr/>
        <w:t>artéria</w:t>
      </w:r>
      <w:r>
        <w:rPr>
          <w:spacing w:val="-4"/>
        </w:rPr>
        <w:t> </w:t>
      </w:r>
      <w:r>
        <w:rPr/>
        <w:t>poplítea, é</w:t>
      </w:r>
      <w:r>
        <w:rPr>
          <w:spacing w:val="-4"/>
        </w:rPr>
        <w:t> </w:t>
      </w:r>
      <w:r>
        <w:rPr/>
        <w:t>preferível usar o</w:t>
      </w:r>
      <w:r>
        <w:rPr>
          <w:spacing w:val="-1"/>
        </w:rPr>
        <w:t> </w:t>
      </w:r>
      <w:r>
        <w:rPr/>
        <w:t>acesso</w:t>
      </w:r>
      <w:r>
        <w:rPr>
          <w:spacing w:val="-1"/>
        </w:rPr>
        <w:t> </w:t>
      </w:r>
      <w:r>
        <w:rPr/>
        <w:t>clássico</w:t>
      </w:r>
      <w:r>
        <w:rPr>
          <w:spacing w:val="-1"/>
        </w:rPr>
        <w:t> </w:t>
      </w:r>
      <w:r>
        <w:rPr/>
        <w:t>a</w:t>
      </w:r>
      <w:r>
        <w:rPr>
          <w:spacing w:val="-4"/>
        </w:rPr>
        <w:t> </w:t>
      </w:r>
      <w:r>
        <w:rPr/>
        <w:t>essa</w:t>
      </w:r>
      <w:r>
        <w:rPr>
          <w:spacing w:val="-4"/>
        </w:rPr>
        <w:t> </w:t>
      </w:r>
      <w:r>
        <w:rPr/>
        <w:t>artéria, no</w:t>
      </w:r>
      <w:r>
        <w:rPr>
          <w:spacing w:val="-1"/>
        </w:rPr>
        <w:t> </w:t>
      </w:r>
      <w:r>
        <w:rPr/>
        <w:t>terço</w:t>
      </w:r>
      <w:r>
        <w:rPr>
          <w:spacing w:val="-1"/>
        </w:rPr>
        <w:t> </w:t>
      </w:r>
      <w:r>
        <w:rPr/>
        <w:t>superior e</w:t>
      </w:r>
      <w:r>
        <w:rPr>
          <w:spacing w:val="-4"/>
        </w:rPr>
        <w:t> </w:t>
      </w:r>
      <w:r>
        <w:rPr/>
        <w:t>medial da perna, o que pode facilitar a passagem do cateter de Fogarty em sentido distal, desobstruindo as artérias tibial anterior, tibial posterior e fibular, removendo coágulos que tenham migrado distalmente e trombos que tenham se formado secundariamente.</w:t>
      </w:r>
    </w:p>
    <w:p>
      <w:pPr>
        <w:pStyle w:val="BodyText"/>
        <w:spacing w:line="276" w:lineRule="auto"/>
        <w:ind w:right="491"/>
      </w:pPr>
      <w:r>
        <w:rPr/>
        <w:t>Quando a história clínica e as imagens angiográficas indicarem que se trata de trombose arterial aguda com escasso reenchimento arterial distal, ou seja, leito distal com extensa trombose secundária, o tratamento fibrinolítico inicial é considerado o tratamento de primeira escolha, se não houver contraindicação para essa conduta, e, se necessário, posterior derivação em ponte com substituto autógeno (veia safena magna). Na última década, o</w:t>
      </w:r>
      <w:r>
        <w:rPr>
          <w:spacing w:val="-8"/>
        </w:rPr>
        <w:t> </w:t>
      </w:r>
      <w:r>
        <w:rPr/>
        <w:t>tratamento</w:t>
      </w:r>
      <w:r>
        <w:rPr>
          <w:spacing w:val="-8"/>
        </w:rPr>
        <w:t> </w:t>
      </w:r>
      <w:r>
        <w:rPr/>
        <w:t>endovascular</w:t>
      </w:r>
      <w:r>
        <w:rPr>
          <w:spacing w:val="-2"/>
        </w:rPr>
        <w:t> </w:t>
      </w:r>
      <w:r>
        <w:rPr/>
        <w:t>por</w:t>
      </w:r>
      <w:r>
        <w:rPr>
          <w:spacing w:val="-2"/>
        </w:rPr>
        <w:t> </w:t>
      </w:r>
      <w:r>
        <w:rPr/>
        <w:t>meio</w:t>
      </w:r>
      <w:r>
        <w:rPr>
          <w:spacing w:val="-8"/>
        </w:rPr>
        <w:t> </w:t>
      </w:r>
      <w:r>
        <w:rPr/>
        <w:t>de</w:t>
      </w:r>
      <w:r>
        <w:rPr>
          <w:spacing w:val="-10"/>
        </w:rPr>
        <w:t> </w:t>
      </w:r>
      <w:r>
        <w:rPr/>
        <w:t>angioplastias com</w:t>
      </w:r>
      <w:r>
        <w:rPr>
          <w:spacing w:val="-8"/>
        </w:rPr>
        <w:t> </w:t>
      </w:r>
      <w:r>
        <w:rPr/>
        <w:t>balões e</w:t>
      </w:r>
      <w:r>
        <w:rPr>
          <w:spacing w:val="-10"/>
        </w:rPr>
        <w:t> </w:t>
      </w:r>
      <w:r>
        <w:rPr/>
        <w:t>a</w:t>
      </w:r>
      <w:r>
        <w:rPr>
          <w:spacing w:val="-10"/>
        </w:rPr>
        <w:t> </w:t>
      </w:r>
      <w:r>
        <w:rPr/>
        <w:t>colocação</w:t>
      </w:r>
      <w:r>
        <w:rPr>
          <w:spacing w:val="-8"/>
        </w:rPr>
        <w:t> </w:t>
      </w:r>
      <w:r>
        <w:rPr/>
        <w:t>de</w:t>
      </w:r>
      <w:r>
        <w:rPr>
          <w:spacing w:val="-9"/>
        </w:rPr>
        <w:t> </w:t>
      </w:r>
      <w:r>
        <w:rPr>
          <w:i/>
        </w:rPr>
        <w:t>stents</w:t>
      </w:r>
      <w:r>
        <w:rPr>
          <w:i/>
          <w:spacing w:val="-2"/>
        </w:rPr>
        <w:t> </w:t>
      </w:r>
      <w:r>
        <w:rPr/>
        <w:t>têm</w:t>
      </w:r>
      <w:r>
        <w:rPr>
          <w:spacing w:val="-9"/>
        </w:rPr>
        <w:t> </w:t>
      </w:r>
      <w:r>
        <w:rPr/>
        <w:t>sido</w:t>
      </w:r>
      <w:r>
        <w:rPr>
          <w:spacing w:val="-9"/>
        </w:rPr>
        <w:t> </w:t>
      </w:r>
      <w:r>
        <w:rPr/>
        <w:t>indicados, após o tratamento fibrinolítico, como forma de reduzir a morbimortalidade.</w:t>
      </w:r>
    </w:p>
    <w:p>
      <w:pPr>
        <w:pStyle w:val="BodyText"/>
        <w:spacing w:line="283" w:lineRule="auto" w:before="49"/>
        <w:ind w:right="488"/>
      </w:pPr>
      <w:r>
        <w:rPr/>
        <w:t>O uso de trombolíticos, como os ativadores do plasminogênio (alteplase e reteplase), têm resultado em baixa morbidade e mortalidade quando instituídos por infusão no local do trombo por meio da utilização de cateteres multiperfurados instalados por técnica endovascular.</w:t>
      </w:r>
      <w:r>
        <w:rPr>
          <w:vertAlign w:val="superscript"/>
        </w:rPr>
        <w:t>8</w:t>
      </w:r>
    </w:p>
    <w:p>
      <w:pPr>
        <w:pStyle w:val="BodyText"/>
        <w:spacing w:line="283" w:lineRule="auto" w:before="57"/>
        <w:ind w:right="488"/>
      </w:pPr>
      <w:r>
        <w:rPr/>
        <w:t>Ouriel </w:t>
      </w:r>
      <w:r>
        <w:rPr>
          <w:i/>
        </w:rPr>
        <w:t>et al. </w:t>
      </w:r>
      <w:r>
        <w:rPr/>
        <w:t>compararam a evolução dos pacientes submetidos a tratamento fibrinolítico e cirúrgico e verificaram que o risco de amputação foi semelhante (18% em 1 ano), tendo sido o risco de mortalidade maior no grupo cirúrgico (42% × 16% em 1 ano).</w:t>
      </w:r>
      <w:r>
        <w:rPr>
          <w:vertAlign w:val="superscript"/>
        </w:rPr>
        <w:t>9</w:t>
      </w:r>
    </w:p>
    <w:p>
      <w:pPr>
        <w:pStyle w:val="BodyText"/>
        <w:spacing w:line="276" w:lineRule="auto" w:before="40"/>
        <w:ind w:right="491"/>
      </w:pPr>
      <w:r>
        <w:rPr/>
        <w:t>Quando há contraindicação à utilização do fibrinolítico, devido a hipertensão arterial grave, sangramentos em outros locais, cirurgias recentes, AVC recente etc., indica-se a realização de derivação arterial imediata, de preferência com substituto autógeno.</w:t>
      </w:r>
    </w:p>
    <w:p>
      <w:pPr>
        <w:pStyle w:val="BodyText"/>
        <w:spacing w:line="290" w:lineRule="auto"/>
        <w:ind w:right="491"/>
      </w:pPr>
      <w:r>
        <w:rPr/>
        <w:t>Alguns centros norte-americanos têm utilizado dispositivos de trombectomia mecânica percutânea, como o Angioget</w:t>
      </w:r>
      <w:r>
        <w:rPr>
          <w:vertAlign w:val="superscript"/>
        </w:rPr>
        <w:t>®</w:t>
      </w:r>
      <w:r>
        <w:rPr>
          <w:vertAlign w:val="baseline"/>
        </w:rPr>
        <w:t> e</w:t>
      </w:r>
      <w:r>
        <w:rPr>
          <w:spacing w:val="-1"/>
          <w:vertAlign w:val="baseline"/>
        </w:rPr>
        <w:t> </w:t>
      </w:r>
      <w:r>
        <w:rPr>
          <w:vertAlign w:val="baseline"/>
        </w:rPr>
        <w:t>Rotarex</w:t>
      </w:r>
      <w:r>
        <w:rPr>
          <w:vertAlign w:val="superscript"/>
        </w:rPr>
        <w:t>®</w:t>
      </w:r>
      <w:r>
        <w:rPr>
          <w:vertAlign w:val="baseline"/>
        </w:rPr>
        <w:t>, cujos resultados ainda</w:t>
      </w:r>
      <w:r>
        <w:rPr>
          <w:spacing w:val="-1"/>
          <w:vertAlign w:val="baseline"/>
        </w:rPr>
        <w:t> </w:t>
      </w:r>
      <w:r>
        <w:rPr>
          <w:vertAlign w:val="baseline"/>
        </w:rPr>
        <w:t>necessitam de</w:t>
      </w:r>
      <w:r>
        <w:rPr>
          <w:spacing w:val="-1"/>
          <w:vertAlign w:val="baseline"/>
        </w:rPr>
        <w:t> </w:t>
      </w:r>
      <w:r>
        <w:rPr>
          <w:vertAlign w:val="baseline"/>
        </w:rPr>
        <w:t>melhor avaliação.</w:t>
      </w:r>
    </w:p>
    <w:p>
      <w:pPr>
        <w:pStyle w:val="BodyText"/>
        <w:spacing w:before="118"/>
        <w:ind w:left="0" w:firstLine="0"/>
        <w:jc w:val="left"/>
      </w:pPr>
    </w:p>
    <w:p>
      <w:pPr>
        <w:pStyle w:val="Heading5"/>
      </w:pPr>
      <w:r>
        <w:rPr>
          <w:color w:val="A26108"/>
        </w:rPr>
        <w:t>Anticoagulação</w:t>
      </w:r>
      <w:r>
        <w:rPr>
          <w:color w:val="A26108"/>
          <w:spacing w:val="31"/>
        </w:rPr>
        <w:t> </w:t>
      </w:r>
      <w:r>
        <w:rPr>
          <w:color w:val="A26108"/>
        </w:rPr>
        <w:t>e</w:t>
      </w:r>
      <w:r>
        <w:rPr>
          <w:color w:val="A26108"/>
          <w:spacing w:val="32"/>
        </w:rPr>
        <w:t> </w:t>
      </w:r>
      <w:r>
        <w:rPr>
          <w:color w:val="A26108"/>
        </w:rPr>
        <w:t>antiagregação</w:t>
      </w:r>
      <w:r>
        <w:rPr>
          <w:color w:val="A26108"/>
          <w:spacing w:val="31"/>
        </w:rPr>
        <w:t> </w:t>
      </w:r>
      <w:r>
        <w:rPr>
          <w:color w:val="A26108"/>
          <w:spacing w:val="-2"/>
        </w:rPr>
        <w:t>plaquetária</w:t>
      </w:r>
    </w:p>
    <w:p>
      <w:pPr>
        <w:pStyle w:val="BodyText"/>
        <w:spacing w:line="276" w:lineRule="auto" w:before="138"/>
        <w:ind w:right="488"/>
      </w:pPr>
      <w:r>
        <w:rPr/>
        <w:t>Nos</w:t>
      </w:r>
      <w:r>
        <w:rPr>
          <w:spacing w:val="-2"/>
        </w:rPr>
        <w:t> </w:t>
      </w:r>
      <w:r>
        <w:rPr/>
        <w:t>pacientes</w:t>
      </w:r>
      <w:r>
        <w:rPr>
          <w:spacing w:val="-2"/>
        </w:rPr>
        <w:t> </w:t>
      </w:r>
      <w:r>
        <w:rPr/>
        <w:t>que</w:t>
      </w:r>
      <w:r>
        <w:rPr>
          <w:spacing w:val="-12"/>
        </w:rPr>
        <w:t> </w:t>
      </w:r>
      <w:r>
        <w:rPr/>
        <w:t>apresentaram</w:t>
      </w:r>
      <w:r>
        <w:rPr>
          <w:spacing w:val="-9"/>
        </w:rPr>
        <w:t> </w:t>
      </w:r>
      <w:r>
        <w:rPr/>
        <w:t>quadro</w:t>
      </w:r>
      <w:r>
        <w:rPr>
          <w:spacing w:val="-9"/>
        </w:rPr>
        <w:t> </w:t>
      </w:r>
      <w:r>
        <w:rPr/>
        <w:t>de</w:t>
      </w:r>
      <w:r>
        <w:rPr>
          <w:spacing w:val="-12"/>
        </w:rPr>
        <w:t> </w:t>
      </w:r>
      <w:r>
        <w:rPr/>
        <w:t>embolização</w:t>
      </w:r>
      <w:r>
        <w:rPr>
          <w:spacing w:val="-9"/>
        </w:rPr>
        <w:t> </w:t>
      </w:r>
      <w:r>
        <w:rPr/>
        <w:t>decorrente</w:t>
      </w:r>
      <w:r>
        <w:rPr>
          <w:spacing w:val="-12"/>
        </w:rPr>
        <w:t> </w:t>
      </w:r>
      <w:r>
        <w:rPr/>
        <w:t>de</w:t>
      </w:r>
      <w:r>
        <w:rPr>
          <w:spacing w:val="-12"/>
        </w:rPr>
        <w:t> </w:t>
      </w:r>
      <w:r>
        <w:rPr/>
        <w:t>infarto</w:t>
      </w:r>
      <w:r>
        <w:rPr>
          <w:spacing w:val="-9"/>
        </w:rPr>
        <w:t> </w:t>
      </w:r>
      <w:r>
        <w:rPr/>
        <w:t>do</w:t>
      </w:r>
      <w:r>
        <w:rPr>
          <w:spacing w:val="-9"/>
        </w:rPr>
        <w:t> </w:t>
      </w:r>
      <w:r>
        <w:rPr/>
        <w:t>miocárdio</w:t>
      </w:r>
      <w:r>
        <w:rPr>
          <w:spacing w:val="-9"/>
        </w:rPr>
        <w:t> </w:t>
      </w:r>
      <w:r>
        <w:rPr/>
        <w:t>ou</w:t>
      </w:r>
      <w:r>
        <w:rPr>
          <w:spacing w:val="-9"/>
        </w:rPr>
        <w:t> </w:t>
      </w:r>
      <w:r>
        <w:rPr/>
        <w:t>fibrilação</w:t>
      </w:r>
      <w:r>
        <w:rPr>
          <w:spacing w:val="-9"/>
        </w:rPr>
        <w:t> </w:t>
      </w:r>
      <w:r>
        <w:rPr/>
        <w:t>atrial,</w:t>
      </w:r>
      <w:r>
        <w:rPr>
          <w:spacing w:val="-2"/>
        </w:rPr>
        <w:t> </w:t>
      </w:r>
      <w:r>
        <w:rPr/>
        <w:t>a anticoagulação oral, com varfarina ou mais recentemente com os novos anticoagulantes orais, de forma perene, é obrigatória, exceto nos casos de haver contraindicação.</w:t>
      </w:r>
    </w:p>
    <w:p>
      <w:pPr>
        <w:pStyle w:val="BodyText"/>
        <w:spacing w:line="276" w:lineRule="auto" w:before="49"/>
        <w:ind w:right="501"/>
      </w:pPr>
      <w:r>
        <w:rPr/>
        <w:t>Nos</w:t>
      </w:r>
      <w:r>
        <w:rPr>
          <w:spacing w:val="-4"/>
        </w:rPr>
        <w:t> </w:t>
      </w:r>
      <w:r>
        <w:rPr/>
        <w:t>pacientes</w:t>
      </w:r>
      <w:r>
        <w:rPr>
          <w:spacing w:val="-4"/>
        </w:rPr>
        <w:t> </w:t>
      </w:r>
      <w:r>
        <w:rPr/>
        <w:t>submetidos</w:t>
      </w:r>
      <w:r>
        <w:rPr>
          <w:spacing w:val="-4"/>
        </w:rPr>
        <w:t> </w:t>
      </w:r>
      <w:r>
        <w:rPr/>
        <w:t>à</w:t>
      </w:r>
      <w:r>
        <w:rPr>
          <w:spacing w:val="-14"/>
        </w:rPr>
        <w:t> </w:t>
      </w:r>
      <w:r>
        <w:rPr/>
        <w:t>revascularização</w:t>
      </w:r>
      <w:r>
        <w:rPr>
          <w:spacing w:val="-12"/>
        </w:rPr>
        <w:t> </w:t>
      </w:r>
      <w:r>
        <w:rPr/>
        <w:t>arterial</w:t>
      </w:r>
      <w:r>
        <w:rPr>
          <w:spacing w:val="-9"/>
        </w:rPr>
        <w:t> </w:t>
      </w:r>
      <w:r>
        <w:rPr/>
        <w:t>com</w:t>
      </w:r>
      <w:r>
        <w:rPr>
          <w:spacing w:val="-12"/>
        </w:rPr>
        <w:t> </w:t>
      </w:r>
      <w:r>
        <w:rPr/>
        <w:t>veia</w:t>
      </w:r>
      <w:r>
        <w:rPr>
          <w:spacing w:val="-14"/>
        </w:rPr>
        <w:t> </w:t>
      </w:r>
      <w:r>
        <w:rPr/>
        <w:t>autógena</w:t>
      </w:r>
      <w:r>
        <w:rPr>
          <w:spacing w:val="-14"/>
        </w:rPr>
        <w:t> </w:t>
      </w:r>
      <w:r>
        <w:rPr/>
        <w:t>ou</w:t>
      </w:r>
      <w:r>
        <w:rPr>
          <w:spacing w:val="-12"/>
        </w:rPr>
        <w:t> </w:t>
      </w:r>
      <w:r>
        <w:rPr/>
        <w:t>prótese</w:t>
      </w:r>
      <w:r>
        <w:rPr>
          <w:spacing w:val="-14"/>
        </w:rPr>
        <w:t> </w:t>
      </w:r>
      <w:r>
        <w:rPr/>
        <w:t>e</w:t>
      </w:r>
      <w:r>
        <w:rPr>
          <w:spacing w:val="-14"/>
        </w:rPr>
        <w:t> </w:t>
      </w:r>
      <w:r>
        <w:rPr/>
        <w:t>mesmo</w:t>
      </w:r>
      <w:r>
        <w:rPr>
          <w:spacing w:val="-12"/>
        </w:rPr>
        <w:t> </w:t>
      </w:r>
      <w:r>
        <w:rPr/>
        <w:t>aqueles</w:t>
      </w:r>
      <w:r>
        <w:rPr>
          <w:spacing w:val="-4"/>
        </w:rPr>
        <w:t> </w:t>
      </w:r>
      <w:r>
        <w:rPr/>
        <w:t>submetidos à</w:t>
      </w:r>
      <w:r>
        <w:rPr>
          <w:spacing w:val="-13"/>
        </w:rPr>
        <w:t> </w:t>
      </w:r>
      <w:r>
        <w:rPr/>
        <w:t>angioplastia,</w:t>
      </w:r>
      <w:r>
        <w:rPr>
          <w:spacing w:val="-4"/>
        </w:rPr>
        <w:t> </w:t>
      </w:r>
      <w:r>
        <w:rPr/>
        <w:t>a</w:t>
      </w:r>
      <w:r>
        <w:rPr>
          <w:spacing w:val="-13"/>
        </w:rPr>
        <w:t> </w:t>
      </w:r>
      <w:r>
        <w:rPr/>
        <w:t>antiagregação</w:t>
      </w:r>
      <w:r>
        <w:rPr>
          <w:spacing w:val="-11"/>
        </w:rPr>
        <w:t> </w:t>
      </w:r>
      <w:r>
        <w:rPr/>
        <w:t>plaquetária</w:t>
      </w:r>
      <w:r>
        <w:rPr>
          <w:spacing w:val="-13"/>
        </w:rPr>
        <w:t> </w:t>
      </w:r>
      <w:r>
        <w:rPr/>
        <w:t>é</w:t>
      </w:r>
      <w:r>
        <w:rPr>
          <w:spacing w:val="-13"/>
        </w:rPr>
        <w:t> </w:t>
      </w:r>
      <w:r>
        <w:rPr/>
        <w:t>mandatória</w:t>
      </w:r>
      <w:r>
        <w:rPr>
          <w:spacing w:val="-13"/>
        </w:rPr>
        <w:t> </w:t>
      </w:r>
      <w:r>
        <w:rPr/>
        <w:t>e</w:t>
      </w:r>
      <w:r>
        <w:rPr>
          <w:spacing w:val="-13"/>
        </w:rPr>
        <w:t> </w:t>
      </w:r>
      <w:r>
        <w:rPr/>
        <w:t>realizada</w:t>
      </w:r>
      <w:r>
        <w:rPr>
          <w:spacing w:val="-13"/>
        </w:rPr>
        <w:t> </w:t>
      </w:r>
      <w:r>
        <w:rPr/>
        <w:t>com</w:t>
      </w:r>
      <w:r>
        <w:rPr>
          <w:spacing w:val="-11"/>
        </w:rPr>
        <w:t> </w:t>
      </w:r>
      <w:r>
        <w:rPr/>
        <w:t>AAS</w:t>
      </w:r>
      <w:r>
        <w:rPr>
          <w:spacing w:val="-8"/>
        </w:rPr>
        <w:t> </w:t>
      </w:r>
      <w:r>
        <w:rPr/>
        <w:t>e</w:t>
      </w:r>
      <w:r>
        <w:rPr>
          <w:spacing w:val="-13"/>
        </w:rPr>
        <w:t> </w:t>
      </w:r>
      <w:r>
        <w:rPr/>
        <w:t>clopidogrel,</w:t>
      </w:r>
      <w:r>
        <w:rPr>
          <w:spacing w:val="-4"/>
        </w:rPr>
        <w:t> </w:t>
      </w:r>
      <w:r>
        <w:rPr/>
        <w:t>por</w:t>
      </w:r>
      <w:r>
        <w:rPr>
          <w:spacing w:val="-6"/>
        </w:rPr>
        <w:t> </w:t>
      </w:r>
      <w:r>
        <w:rPr/>
        <w:t>um</w:t>
      </w:r>
      <w:r>
        <w:rPr>
          <w:spacing w:val="-11"/>
        </w:rPr>
        <w:t> </w:t>
      </w:r>
      <w:r>
        <w:rPr/>
        <w:t>período</w:t>
      </w:r>
      <w:r>
        <w:rPr>
          <w:spacing w:val="-11"/>
        </w:rPr>
        <w:t> </w:t>
      </w:r>
      <w:r>
        <w:rPr/>
        <w:t>mínimo de 6 meses.</w:t>
      </w:r>
    </w:p>
    <w:p>
      <w:pPr>
        <w:pStyle w:val="BodyText"/>
        <w:spacing w:before="185"/>
        <w:ind w:left="0" w:firstLine="0"/>
        <w:jc w:val="left"/>
      </w:pPr>
    </w:p>
    <w:p>
      <w:pPr>
        <w:pStyle w:val="Heading4"/>
      </w:pPr>
      <w:r>
        <w:rPr>
          <w:color w:val="242B67"/>
        </w:rPr>
        <w:t>Complicações pós-</w:t>
      </w:r>
      <w:r>
        <w:rPr>
          <w:color w:val="242B67"/>
          <w:spacing w:val="-2"/>
        </w:rPr>
        <w:t>operatórias</w:t>
      </w:r>
    </w:p>
    <w:p>
      <w:pPr>
        <w:pStyle w:val="Heading4"/>
        <w:spacing w:after="0"/>
        <w:sectPr>
          <w:pgSz w:w="11900" w:h="16840"/>
          <w:pgMar w:top="200" w:bottom="280" w:left="566" w:right="141"/>
        </w:sectPr>
      </w:pPr>
    </w:p>
    <w:p>
      <w:pPr>
        <w:pStyle w:val="BodyText"/>
        <w:spacing w:line="276" w:lineRule="auto" w:before="80"/>
        <w:ind w:right="494"/>
      </w:pPr>
      <w:r>
        <w:rPr/>
        <w:t>Edema</w:t>
      </w:r>
      <w:r>
        <w:rPr>
          <w:spacing w:val="-10"/>
        </w:rPr>
        <w:t> </w:t>
      </w:r>
      <w:r>
        <w:rPr/>
        <w:t>de</w:t>
      </w:r>
      <w:r>
        <w:rPr>
          <w:spacing w:val="-10"/>
        </w:rPr>
        <w:t> </w:t>
      </w:r>
      <w:r>
        <w:rPr/>
        <w:t>grau</w:t>
      </w:r>
      <w:r>
        <w:rPr>
          <w:spacing w:val="-8"/>
        </w:rPr>
        <w:t> </w:t>
      </w:r>
      <w:r>
        <w:rPr/>
        <w:t>variável</w:t>
      </w:r>
      <w:r>
        <w:rPr>
          <w:spacing w:val="-5"/>
        </w:rPr>
        <w:t> </w:t>
      </w:r>
      <w:r>
        <w:rPr/>
        <w:t>pode</w:t>
      </w:r>
      <w:r>
        <w:rPr>
          <w:spacing w:val="-10"/>
        </w:rPr>
        <w:t> </w:t>
      </w:r>
      <w:r>
        <w:rPr/>
        <w:t>ser</w:t>
      </w:r>
      <w:r>
        <w:rPr>
          <w:spacing w:val="-3"/>
        </w:rPr>
        <w:t> </w:t>
      </w:r>
      <w:r>
        <w:rPr/>
        <w:t>observado</w:t>
      </w:r>
      <w:r>
        <w:rPr>
          <w:spacing w:val="-8"/>
        </w:rPr>
        <w:t> </w:t>
      </w:r>
      <w:r>
        <w:rPr/>
        <w:t>nos membros revascularizados após o</w:t>
      </w:r>
      <w:r>
        <w:rPr>
          <w:spacing w:val="-8"/>
        </w:rPr>
        <w:t> </w:t>
      </w:r>
      <w:r>
        <w:rPr/>
        <w:t>tratamento</w:t>
      </w:r>
      <w:r>
        <w:rPr>
          <w:spacing w:val="-8"/>
        </w:rPr>
        <w:t> </w:t>
      </w:r>
      <w:r>
        <w:rPr/>
        <w:t>da</w:t>
      </w:r>
      <w:r>
        <w:rPr>
          <w:spacing w:val="-10"/>
        </w:rPr>
        <w:t> </w:t>
      </w:r>
      <w:r>
        <w:rPr/>
        <w:t>oclusão</w:t>
      </w:r>
      <w:r>
        <w:rPr>
          <w:spacing w:val="-8"/>
        </w:rPr>
        <w:t> </w:t>
      </w:r>
      <w:r>
        <w:rPr/>
        <w:t>arterial aguda. O edema pode estar relacionado com quadro de trombose venosa pós-operatória ou a lesão de vasos linfáticos, inadvertidamente lesados durante a operação.</w:t>
      </w:r>
    </w:p>
    <w:p>
      <w:pPr>
        <w:pStyle w:val="BodyText"/>
        <w:spacing w:line="276" w:lineRule="auto"/>
        <w:ind w:right="488"/>
      </w:pPr>
      <w:r>
        <w:rPr/>
        <w:t>No entanto, a causa principal do edema é o aumento da permeabilidade no território capilar, devido à isquemia prolongada e à própria revascularização do território que sofreu isquemia.</w:t>
      </w:r>
    </w:p>
    <w:p>
      <w:pPr>
        <w:pStyle w:val="BodyText"/>
        <w:spacing w:line="276" w:lineRule="auto" w:before="48"/>
        <w:ind w:right="501"/>
      </w:pPr>
      <w:r>
        <w:rPr/>
        <w:t>Se</w:t>
      </w:r>
      <w:r>
        <w:rPr>
          <w:spacing w:val="-2"/>
        </w:rPr>
        <w:t> </w:t>
      </w:r>
      <w:r>
        <w:rPr/>
        <w:t>o edema</w:t>
      </w:r>
      <w:r>
        <w:rPr>
          <w:spacing w:val="-2"/>
        </w:rPr>
        <w:t> </w:t>
      </w:r>
      <w:r>
        <w:rPr/>
        <w:t>é</w:t>
      </w:r>
      <w:r>
        <w:rPr>
          <w:spacing w:val="-2"/>
        </w:rPr>
        <w:t> </w:t>
      </w:r>
      <w:r>
        <w:rPr/>
        <w:t>discreto, a</w:t>
      </w:r>
      <w:r>
        <w:rPr>
          <w:spacing w:val="-2"/>
        </w:rPr>
        <w:t> </w:t>
      </w:r>
      <w:r>
        <w:rPr/>
        <w:t>recomendação do repouso em posição de</w:t>
      </w:r>
      <w:r>
        <w:rPr>
          <w:spacing w:val="-2"/>
        </w:rPr>
        <w:t> </w:t>
      </w:r>
      <w:r>
        <w:rPr/>
        <w:t>Trendelenburg é</w:t>
      </w:r>
      <w:r>
        <w:rPr>
          <w:spacing w:val="-2"/>
        </w:rPr>
        <w:t> </w:t>
      </w:r>
      <w:r>
        <w:rPr/>
        <w:t>suficiente</w:t>
      </w:r>
      <w:r>
        <w:rPr>
          <w:spacing w:val="-2"/>
        </w:rPr>
        <w:t> </w:t>
      </w:r>
      <w:r>
        <w:rPr/>
        <w:t>para</w:t>
      </w:r>
      <w:r>
        <w:rPr>
          <w:spacing w:val="-2"/>
        </w:rPr>
        <w:t> </w:t>
      </w:r>
      <w:r>
        <w:rPr/>
        <w:t>reverter, aos poucos, essa situação.</w:t>
      </w:r>
    </w:p>
    <w:p>
      <w:pPr>
        <w:pStyle w:val="BodyText"/>
        <w:spacing w:line="278" w:lineRule="auto"/>
        <w:ind w:right="488"/>
      </w:pPr>
      <w:r>
        <w:rPr/>
        <w:t>Se, no entanto, o edema é muito pronunciado e endurecido na região da panturrilha ou do antebraço, deve-se suspeitar de aumento de pressão em compartimentos musculares envolvidos normalmente por fáscias e o quadro clínico pode evoluir para síndrome compartimental, caracterizada por intensa dor local, compressão de estruturas musculares e nervosas locais e que não respondem a qualquer tratamento clínico. Nesses casos, é necessário optar por cirurgia de descompressão desses compartimentos por meio de fasciotomias realizadas por meio de incisões amplas ou escalonadas da pele, subcutâneo e fáscia dos três compartimentos principais da perna. A indicação da operação deve ser feita em regime de urgência, para evitar complicações isquêmicas graves da musculatura e de nervos periféricos, as quais podem ser irreversíveis.</w:t>
      </w:r>
      <w:r>
        <w:rPr>
          <w:vertAlign w:val="superscript"/>
        </w:rPr>
        <w:t>10</w:t>
      </w:r>
    </w:p>
    <w:p>
      <w:pPr>
        <w:pStyle w:val="BodyText"/>
        <w:spacing w:before="129"/>
        <w:ind w:left="0" w:firstLine="0"/>
        <w:jc w:val="left"/>
      </w:pPr>
    </w:p>
    <w:p>
      <w:pPr>
        <w:pStyle w:val="Heading5"/>
      </w:pPr>
      <w:r>
        <w:rPr>
          <w:color w:val="A26108"/>
        </w:rPr>
        <w:t>Síndrome</w:t>
      </w:r>
      <w:r>
        <w:rPr>
          <w:color w:val="A26108"/>
          <w:spacing w:val="18"/>
        </w:rPr>
        <w:t> </w:t>
      </w:r>
      <w:r>
        <w:rPr>
          <w:color w:val="A26108"/>
        </w:rPr>
        <w:t>de</w:t>
      </w:r>
      <w:r>
        <w:rPr>
          <w:color w:val="A26108"/>
          <w:spacing w:val="18"/>
        </w:rPr>
        <w:t> </w:t>
      </w:r>
      <w:r>
        <w:rPr>
          <w:color w:val="A26108"/>
        </w:rPr>
        <w:t>isquemia</w:t>
      </w:r>
      <w:r>
        <w:rPr>
          <w:color w:val="A26108"/>
          <w:spacing w:val="18"/>
        </w:rPr>
        <w:t> </w:t>
      </w:r>
      <w:r>
        <w:rPr>
          <w:color w:val="A26108"/>
        </w:rPr>
        <w:t>e</w:t>
      </w:r>
      <w:r>
        <w:rPr>
          <w:color w:val="A26108"/>
          <w:spacing w:val="18"/>
        </w:rPr>
        <w:t> </w:t>
      </w:r>
      <w:r>
        <w:rPr>
          <w:color w:val="A26108"/>
          <w:spacing w:val="-2"/>
        </w:rPr>
        <w:t>reperfusão</w:t>
      </w:r>
    </w:p>
    <w:p>
      <w:pPr>
        <w:pStyle w:val="BodyText"/>
        <w:spacing w:line="278" w:lineRule="auto" w:before="122"/>
        <w:ind w:right="491"/>
      </w:pPr>
      <w:r>
        <w:rPr/>
        <w:t>É o que se observa em caso de isquemia tecidual prolongada que causa alterações metabólicas muito importantes.</w:t>
      </w:r>
      <w:r>
        <w:rPr>
          <w:spacing w:val="-2"/>
        </w:rPr>
        <w:t> </w:t>
      </w:r>
      <w:r>
        <w:rPr/>
        <w:t>Haimovici,</w:t>
      </w:r>
      <w:r>
        <w:rPr>
          <w:spacing w:val="-2"/>
        </w:rPr>
        <w:t> </w:t>
      </w:r>
      <w:r>
        <w:rPr/>
        <w:t>em</w:t>
      </w:r>
      <w:r>
        <w:rPr>
          <w:spacing w:val="-9"/>
        </w:rPr>
        <w:t> </w:t>
      </w:r>
      <w:r>
        <w:rPr/>
        <w:t>trabalho</w:t>
      </w:r>
      <w:r>
        <w:rPr>
          <w:spacing w:val="-9"/>
        </w:rPr>
        <w:t> </w:t>
      </w:r>
      <w:r>
        <w:rPr/>
        <w:t>publicado,</w:t>
      </w:r>
      <w:r>
        <w:rPr>
          <w:spacing w:val="-2"/>
        </w:rPr>
        <w:t> </w:t>
      </w:r>
      <w:r>
        <w:rPr/>
        <w:t>apresenta</w:t>
      </w:r>
      <w:r>
        <w:rPr>
          <w:spacing w:val="-11"/>
        </w:rPr>
        <w:t> </w:t>
      </w:r>
      <w:r>
        <w:rPr/>
        <w:t>excelente</w:t>
      </w:r>
      <w:r>
        <w:rPr>
          <w:spacing w:val="-11"/>
        </w:rPr>
        <w:t> </w:t>
      </w:r>
      <w:r>
        <w:rPr/>
        <w:t>sistematização</w:t>
      </w:r>
      <w:r>
        <w:rPr>
          <w:spacing w:val="-9"/>
        </w:rPr>
        <w:t> </w:t>
      </w:r>
      <w:r>
        <w:rPr/>
        <w:t>dessa</w:t>
      </w:r>
      <w:r>
        <w:rPr>
          <w:spacing w:val="-11"/>
        </w:rPr>
        <w:t> </w:t>
      </w:r>
      <w:r>
        <w:rPr/>
        <w:t>síndrome</w:t>
      </w:r>
      <w:r>
        <w:rPr>
          <w:spacing w:val="-11"/>
        </w:rPr>
        <w:t> </w:t>
      </w:r>
      <w:r>
        <w:rPr/>
        <w:t>conhecida</w:t>
      </w:r>
      <w:r>
        <w:rPr>
          <w:spacing w:val="-11"/>
        </w:rPr>
        <w:t> </w:t>
      </w:r>
      <w:r>
        <w:rPr/>
        <w:t>como mionefropática.</w:t>
      </w:r>
      <w:r>
        <w:rPr>
          <w:vertAlign w:val="superscript"/>
        </w:rPr>
        <w:t>11</w:t>
      </w:r>
      <w:r>
        <w:rPr>
          <w:vertAlign w:val="baseline"/>
        </w:rPr>
        <w:t> Sua incidência não é elevada, mas é muito grave. Seu aparecimento agrava as lesões celulares provocadas pela isquemia e, na reperfusão, há formação de radicais livres e liberação de ácido láctico, potássio e toxinas que provocam acidose metabólica, hipoxemia, hiperpotassemia, mioglobinemia e elevação da creatinofosfoquinase, desidrogenase</w:t>
      </w:r>
      <w:r>
        <w:rPr>
          <w:spacing w:val="-1"/>
          <w:vertAlign w:val="baseline"/>
        </w:rPr>
        <w:t> </w:t>
      </w:r>
      <w:r>
        <w:rPr>
          <w:vertAlign w:val="baseline"/>
        </w:rPr>
        <w:t>láctica</w:t>
      </w:r>
      <w:r>
        <w:rPr>
          <w:spacing w:val="-1"/>
          <w:vertAlign w:val="baseline"/>
        </w:rPr>
        <w:t> </w:t>
      </w:r>
      <w:r>
        <w:rPr>
          <w:vertAlign w:val="baseline"/>
        </w:rPr>
        <w:t>e</w:t>
      </w:r>
      <w:r>
        <w:rPr>
          <w:spacing w:val="-1"/>
          <w:vertAlign w:val="baseline"/>
        </w:rPr>
        <w:t> </w:t>
      </w:r>
      <w:r>
        <w:rPr>
          <w:vertAlign w:val="baseline"/>
        </w:rPr>
        <w:t>transaminase</w:t>
      </w:r>
      <w:r>
        <w:rPr>
          <w:spacing w:val="-1"/>
          <w:vertAlign w:val="baseline"/>
        </w:rPr>
        <w:t> </w:t>
      </w:r>
      <w:r>
        <w:rPr>
          <w:vertAlign w:val="baseline"/>
        </w:rPr>
        <w:t>glutâmico-oxaloacética</w:t>
      </w:r>
      <w:r>
        <w:rPr>
          <w:spacing w:val="-1"/>
          <w:vertAlign w:val="baseline"/>
        </w:rPr>
        <w:t> </w:t>
      </w:r>
      <w:r>
        <w:rPr>
          <w:vertAlign w:val="baseline"/>
        </w:rPr>
        <w:t>(TGO).</w:t>
      </w:r>
    </w:p>
    <w:p>
      <w:pPr>
        <w:pStyle w:val="BodyText"/>
        <w:spacing w:line="276" w:lineRule="auto"/>
        <w:ind w:right="491"/>
      </w:pPr>
      <w:r>
        <w:rPr/>
        <w:t>Essas manifestações clínicas e metabólicas podem aparecer durante a revascularização do membro, ou logo após, com oligúria, anúria, mioglobinúria e, não raras vezes, levam o doente a óbito.</w:t>
      </w:r>
    </w:p>
    <w:p>
      <w:pPr>
        <w:pStyle w:val="BodyText"/>
        <w:spacing w:before="186"/>
        <w:ind w:left="0" w:firstLine="0"/>
        <w:jc w:val="left"/>
      </w:pPr>
    </w:p>
    <w:p>
      <w:pPr>
        <w:pStyle w:val="Heading4"/>
      </w:pPr>
      <w:r>
        <w:rPr>
          <w:color w:val="242B67"/>
          <w:spacing w:val="-2"/>
        </w:rPr>
        <w:t>Prognóstico</w:t>
      </w:r>
    </w:p>
    <w:p>
      <w:pPr>
        <w:pStyle w:val="BodyText"/>
        <w:spacing w:line="276" w:lineRule="auto" w:before="132"/>
        <w:ind w:right="500"/>
      </w:pPr>
      <w:r>
        <w:rPr/>
        <w:t>Depende de muitos fatores. Nos doentes idosos com grande comprometimento cardiovascular e atendidos tardiamente, o resultado é</w:t>
      </w:r>
      <w:r>
        <w:rPr>
          <w:spacing w:val="-1"/>
        </w:rPr>
        <w:t> </w:t>
      </w:r>
      <w:r>
        <w:rPr/>
        <w:t>sofrível quanto à</w:t>
      </w:r>
      <w:r>
        <w:rPr>
          <w:spacing w:val="-1"/>
        </w:rPr>
        <w:t> </w:t>
      </w:r>
      <w:r>
        <w:rPr/>
        <w:t>preservação do membro e</w:t>
      </w:r>
      <w:r>
        <w:rPr>
          <w:spacing w:val="-1"/>
        </w:rPr>
        <w:t> </w:t>
      </w:r>
      <w:r>
        <w:rPr/>
        <w:t>a</w:t>
      </w:r>
      <w:r>
        <w:rPr>
          <w:spacing w:val="-1"/>
        </w:rPr>
        <w:t> </w:t>
      </w:r>
      <w:r>
        <w:rPr/>
        <w:t>mortalidade</w:t>
      </w:r>
      <w:r>
        <w:rPr>
          <w:spacing w:val="-1"/>
        </w:rPr>
        <w:t> </w:t>
      </w:r>
      <w:r>
        <w:rPr/>
        <w:t>é</w:t>
      </w:r>
      <w:r>
        <w:rPr>
          <w:spacing w:val="-1"/>
        </w:rPr>
        <w:t> </w:t>
      </w:r>
      <w:r>
        <w:rPr/>
        <w:t>elevada.</w:t>
      </w:r>
    </w:p>
    <w:p>
      <w:pPr>
        <w:pStyle w:val="BodyText"/>
        <w:spacing w:before="64"/>
        <w:ind w:left="414" w:firstLine="0"/>
      </w:pPr>
      <w:r>
        <w:rPr/>
        <w:t>A</w:t>
      </w:r>
      <w:r>
        <w:rPr>
          <w:spacing w:val="-14"/>
        </w:rPr>
        <w:t> </w:t>
      </w:r>
      <w:r>
        <w:rPr/>
        <w:t>recuperação</w:t>
      </w:r>
      <w:r>
        <w:rPr>
          <w:spacing w:val="-9"/>
        </w:rPr>
        <w:t> </w:t>
      </w:r>
      <w:r>
        <w:rPr/>
        <w:t>total</w:t>
      </w:r>
      <w:r>
        <w:rPr>
          <w:spacing w:val="-7"/>
        </w:rPr>
        <w:t> </w:t>
      </w:r>
      <w:r>
        <w:rPr/>
        <w:t>ocorre</w:t>
      </w:r>
      <w:r>
        <w:rPr>
          <w:spacing w:val="-12"/>
        </w:rPr>
        <w:t> </w:t>
      </w:r>
      <w:r>
        <w:rPr/>
        <w:t>naquelas</w:t>
      </w:r>
      <w:r>
        <w:rPr>
          <w:spacing w:val="-2"/>
        </w:rPr>
        <w:t> </w:t>
      </w:r>
      <w:r>
        <w:rPr/>
        <w:t>em</w:t>
      </w:r>
      <w:r>
        <w:rPr>
          <w:spacing w:val="-9"/>
        </w:rPr>
        <w:t> </w:t>
      </w:r>
      <w:r>
        <w:rPr/>
        <w:t>que</w:t>
      </w:r>
      <w:r>
        <w:rPr>
          <w:spacing w:val="-12"/>
        </w:rPr>
        <w:t> </w:t>
      </w:r>
      <w:r>
        <w:rPr/>
        <w:t>todos</w:t>
      </w:r>
      <w:r>
        <w:rPr>
          <w:spacing w:val="-2"/>
        </w:rPr>
        <w:t> </w:t>
      </w:r>
      <w:r>
        <w:rPr/>
        <w:t>os</w:t>
      </w:r>
      <w:r>
        <w:rPr>
          <w:spacing w:val="-2"/>
        </w:rPr>
        <w:t> </w:t>
      </w:r>
      <w:r>
        <w:rPr/>
        <w:t>fatores</w:t>
      </w:r>
      <w:r>
        <w:rPr>
          <w:spacing w:val="-2"/>
        </w:rPr>
        <w:t> </w:t>
      </w:r>
      <w:r>
        <w:rPr/>
        <w:t>são</w:t>
      </w:r>
      <w:r>
        <w:rPr>
          <w:spacing w:val="-9"/>
        </w:rPr>
        <w:t> </w:t>
      </w:r>
      <w:r>
        <w:rPr>
          <w:spacing w:val="-2"/>
        </w:rPr>
        <w:t>favoráveis.</w:t>
      </w:r>
    </w:p>
    <w:p>
      <w:pPr>
        <w:pStyle w:val="BodyText"/>
        <w:spacing w:line="276" w:lineRule="auto" w:before="104"/>
        <w:ind w:right="497"/>
      </w:pPr>
      <w:r>
        <w:rPr/>
        <w:t>Sequelas neurológicas podem ocorrer. A mais grave e de difícil tratamento é a neurite isquêmica. Sequelas musculares em virtude da isquemia ou de lesões neurológicas também são identificadas. Amputações em casos de gangrena podem ser a única maneira de salvar a vida de alguns doentes.</w:t>
      </w:r>
    </w:p>
    <w:p>
      <w:pPr>
        <w:pStyle w:val="BodyText"/>
        <w:spacing w:before="48"/>
        <w:ind w:left="414" w:firstLine="0"/>
      </w:pPr>
      <w:r>
        <w:rPr/>
        <w:t>A</w:t>
      </w:r>
      <w:r>
        <w:rPr>
          <w:spacing w:val="-12"/>
        </w:rPr>
        <w:t> </w:t>
      </w:r>
      <w:r>
        <w:rPr/>
        <w:t>principal</w:t>
      </w:r>
      <w:r>
        <w:rPr>
          <w:spacing w:val="-7"/>
        </w:rPr>
        <w:t> </w:t>
      </w:r>
      <w:r>
        <w:rPr/>
        <w:t>causa</w:t>
      </w:r>
      <w:r>
        <w:rPr>
          <w:spacing w:val="-12"/>
        </w:rPr>
        <w:t> </w:t>
      </w:r>
      <w:r>
        <w:rPr/>
        <w:t>de</w:t>
      </w:r>
      <w:r>
        <w:rPr>
          <w:spacing w:val="-11"/>
        </w:rPr>
        <w:t> </w:t>
      </w:r>
      <w:r>
        <w:rPr/>
        <w:t>morte</w:t>
      </w:r>
      <w:r>
        <w:rPr>
          <w:spacing w:val="-12"/>
        </w:rPr>
        <w:t> </w:t>
      </w:r>
      <w:r>
        <w:rPr/>
        <w:t>é</w:t>
      </w:r>
      <w:r>
        <w:rPr>
          <w:spacing w:val="-12"/>
        </w:rPr>
        <w:t> </w:t>
      </w:r>
      <w:r>
        <w:rPr/>
        <w:t>a</w:t>
      </w:r>
      <w:r>
        <w:rPr>
          <w:spacing w:val="-11"/>
        </w:rPr>
        <w:t> </w:t>
      </w:r>
      <w:r>
        <w:rPr/>
        <w:t>cardiopatia,</w:t>
      </w:r>
      <w:r>
        <w:rPr>
          <w:spacing w:val="-2"/>
        </w:rPr>
        <w:t> </w:t>
      </w:r>
      <w:r>
        <w:rPr/>
        <w:t>principalmente</w:t>
      </w:r>
      <w:r>
        <w:rPr>
          <w:spacing w:val="-12"/>
        </w:rPr>
        <w:t> </w:t>
      </w:r>
      <w:r>
        <w:rPr/>
        <w:t>a</w:t>
      </w:r>
      <w:r>
        <w:rPr>
          <w:spacing w:val="-12"/>
        </w:rPr>
        <w:t> </w:t>
      </w:r>
      <w:r>
        <w:rPr/>
        <w:t>isquemia</w:t>
      </w:r>
      <w:r>
        <w:rPr>
          <w:spacing w:val="-11"/>
        </w:rPr>
        <w:t> </w:t>
      </w:r>
      <w:r>
        <w:rPr>
          <w:spacing w:val="-2"/>
        </w:rPr>
        <w:t>miocárdica.</w:t>
      </w:r>
    </w:p>
    <w:p>
      <w:pPr>
        <w:pStyle w:val="BodyText"/>
        <w:spacing w:before="104"/>
        <w:ind w:left="414" w:firstLine="0"/>
      </w:pPr>
      <w:r>
        <w:rPr/>
        <w:t>Outras</w:t>
      </w:r>
      <w:r>
        <w:rPr>
          <w:spacing w:val="-15"/>
        </w:rPr>
        <w:t> </w:t>
      </w:r>
      <w:r>
        <w:rPr/>
        <w:t>causas</w:t>
      </w:r>
      <w:r>
        <w:rPr>
          <w:spacing w:val="-10"/>
        </w:rPr>
        <w:t> </w:t>
      </w:r>
      <w:r>
        <w:rPr/>
        <w:t>são</w:t>
      </w:r>
      <w:r>
        <w:rPr>
          <w:spacing w:val="-14"/>
        </w:rPr>
        <w:t> </w:t>
      </w:r>
      <w:r>
        <w:rPr/>
        <w:t>embolia</w:t>
      </w:r>
      <w:r>
        <w:rPr>
          <w:spacing w:val="-15"/>
        </w:rPr>
        <w:t> </w:t>
      </w:r>
      <w:r>
        <w:rPr/>
        <w:t>pulmonar,</w:t>
      </w:r>
      <w:r>
        <w:rPr>
          <w:spacing w:val="-8"/>
        </w:rPr>
        <w:t> </w:t>
      </w:r>
      <w:r>
        <w:rPr/>
        <w:t>insuficiência</w:t>
      </w:r>
      <w:r>
        <w:rPr>
          <w:spacing w:val="-14"/>
        </w:rPr>
        <w:t> </w:t>
      </w:r>
      <w:r>
        <w:rPr/>
        <w:t>renal,</w:t>
      </w:r>
      <w:r>
        <w:rPr>
          <w:spacing w:val="-8"/>
        </w:rPr>
        <w:t> </w:t>
      </w:r>
      <w:r>
        <w:rPr/>
        <w:t>AVC</w:t>
      </w:r>
      <w:r>
        <w:rPr>
          <w:spacing w:val="-8"/>
        </w:rPr>
        <w:t> </w:t>
      </w:r>
      <w:r>
        <w:rPr/>
        <w:t>e</w:t>
      </w:r>
      <w:r>
        <w:rPr>
          <w:spacing w:val="-14"/>
        </w:rPr>
        <w:t> </w:t>
      </w:r>
      <w:r>
        <w:rPr/>
        <w:t>alterações</w:t>
      </w:r>
      <w:r>
        <w:rPr>
          <w:spacing w:val="-8"/>
        </w:rPr>
        <w:t> </w:t>
      </w:r>
      <w:r>
        <w:rPr/>
        <w:t>metabólicas</w:t>
      </w:r>
      <w:r>
        <w:rPr>
          <w:spacing w:val="-8"/>
        </w:rPr>
        <w:t> </w:t>
      </w:r>
      <w:r>
        <w:rPr>
          <w:spacing w:val="-2"/>
        </w:rPr>
        <w:t>irreversíveis.</w:t>
      </w:r>
    </w:p>
    <w:p>
      <w:pPr>
        <w:pStyle w:val="BodyText"/>
        <w:spacing w:before="124"/>
        <w:ind w:left="0" w:firstLine="0"/>
        <w:jc w:val="left"/>
        <w:rPr>
          <w:sz w:val="38"/>
        </w:rPr>
      </w:pPr>
    </w:p>
    <w:p>
      <w:pPr>
        <w:pStyle w:val="Heading3"/>
      </w:pPr>
      <w:r>
        <w:rPr>
          <w:color w:val="242B67"/>
        </w:rPr>
        <w:t>Tromboangiite</w:t>
      </w:r>
      <w:r>
        <w:rPr>
          <w:color w:val="242B67"/>
          <w:spacing w:val="5"/>
        </w:rPr>
        <w:t> </w:t>
      </w:r>
      <w:r>
        <w:rPr>
          <w:color w:val="242B67"/>
          <w:spacing w:val="-2"/>
        </w:rPr>
        <w:t>Obliterante</w:t>
      </w:r>
    </w:p>
    <w:p>
      <w:pPr>
        <w:pStyle w:val="BodyText"/>
        <w:spacing w:before="7"/>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22144">
                <wp:simplePos x="0" y="0"/>
                <wp:positionH relativeFrom="page">
                  <wp:posOffset>401543</wp:posOffset>
                </wp:positionH>
                <wp:positionV relativeFrom="paragraph">
                  <wp:posOffset>41522</wp:posOffset>
                </wp:positionV>
                <wp:extent cx="6753225" cy="10795"/>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6948pt;width:531.731217pt;height:.8008pt;mso-position-horizontal-relative:page;mso-position-vertical-relative:paragraph;z-index:-15694336;mso-wrap-distance-left:0;mso-wrap-distance-right:0" id="docshape45" filled="true" fillcolor="#242b67" stroked="false">
                <v:fill type="solid"/>
                <w10:wrap type="topAndBottom"/>
              </v:rect>
            </w:pict>
          </mc:Fallback>
        </mc:AlternateContent>
      </w:r>
    </w:p>
    <w:p>
      <w:pPr>
        <w:spacing w:before="117"/>
        <w:ind w:left="68" w:right="0" w:firstLine="0"/>
        <w:jc w:val="left"/>
        <w:rPr>
          <w:rFonts w:ascii="Arial"/>
          <w:i/>
          <w:sz w:val="25"/>
        </w:rPr>
      </w:pPr>
      <w:r>
        <w:rPr>
          <w:rFonts w:ascii="Arial"/>
          <w:i/>
          <w:sz w:val="25"/>
        </w:rPr>
        <w:t>Paulo</w:t>
      </w:r>
      <w:r>
        <w:rPr>
          <w:rFonts w:ascii="Arial"/>
          <w:i/>
          <w:spacing w:val="13"/>
          <w:sz w:val="25"/>
        </w:rPr>
        <w:t> </w:t>
      </w:r>
      <w:r>
        <w:rPr>
          <w:rFonts w:ascii="Arial"/>
          <w:i/>
          <w:spacing w:val="-2"/>
          <w:sz w:val="25"/>
        </w:rPr>
        <w:t>Kauffman</w:t>
      </w:r>
    </w:p>
    <w:p>
      <w:pPr>
        <w:pStyle w:val="BodyText"/>
        <w:spacing w:before="123"/>
        <w:ind w:left="0" w:firstLine="0"/>
        <w:jc w:val="left"/>
        <w:rPr>
          <w:rFonts w:ascii="Arial"/>
          <w:i/>
          <w:sz w:val="33"/>
        </w:rPr>
      </w:pPr>
    </w:p>
    <w:p>
      <w:pPr>
        <w:pStyle w:val="Heading4"/>
      </w:pPr>
      <w:r>
        <w:rPr>
          <w:color w:val="242B67"/>
          <w:spacing w:val="-2"/>
        </w:rPr>
        <w:t>Conceito</w:t>
      </w:r>
    </w:p>
    <w:p>
      <w:pPr>
        <w:pStyle w:val="BodyText"/>
        <w:spacing w:line="280" w:lineRule="auto" w:before="132"/>
        <w:ind w:right="501"/>
      </w:pPr>
      <w:r>
        <w:rPr/>
        <w:t>A</w:t>
      </w:r>
      <w:r>
        <w:rPr>
          <w:spacing w:val="-9"/>
        </w:rPr>
        <w:t> </w:t>
      </w:r>
      <w:r>
        <w:rPr/>
        <w:t>TAO</w:t>
      </w:r>
      <w:r>
        <w:rPr>
          <w:spacing w:val="-9"/>
        </w:rPr>
        <w:t> </w:t>
      </w:r>
      <w:r>
        <w:rPr/>
        <w:t>é</w:t>
      </w:r>
      <w:r>
        <w:rPr>
          <w:spacing w:val="-9"/>
        </w:rPr>
        <w:t> </w:t>
      </w:r>
      <w:r>
        <w:rPr/>
        <w:t>um</w:t>
      </w:r>
      <w:r>
        <w:rPr>
          <w:spacing w:val="-7"/>
        </w:rPr>
        <w:t> </w:t>
      </w:r>
      <w:r>
        <w:rPr/>
        <w:t>tipo</w:t>
      </w:r>
      <w:r>
        <w:rPr>
          <w:spacing w:val="-7"/>
        </w:rPr>
        <w:t> </w:t>
      </w:r>
      <w:r>
        <w:rPr/>
        <w:t>de</w:t>
      </w:r>
      <w:r>
        <w:rPr>
          <w:spacing w:val="-9"/>
        </w:rPr>
        <w:t> </w:t>
      </w:r>
      <w:r>
        <w:rPr/>
        <w:t>arterite, ou</w:t>
      </w:r>
      <w:r>
        <w:rPr>
          <w:spacing w:val="-7"/>
        </w:rPr>
        <w:t> </w:t>
      </w:r>
      <w:r>
        <w:rPr/>
        <w:t>seja, uma</w:t>
      </w:r>
      <w:r>
        <w:rPr>
          <w:spacing w:val="-9"/>
        </w:rPr>
        <w:t> </w:t>
      </w:r>
      <w:r>
        <w:rPr/>
        <w:t>doença</w:t>
      </w:r>
      <w:r>
        <w:rPr>
          <w:spacing w:val="-9"/>
        </w:rPr>
        <w:t> </w:t>
      </w:r>
      <w:r>
        <w:rPr/>
        <w:t>arterial</w:t>
      </w:r>
      <w:r>
        <w:rPr>
          <w:spacing w:val="-4"/>
        </w:rPr>
        <w:t> </w:t>
      </w:r>
      <w:r>
        <w:rPr/>
        <w:t>de</w:t>
      </w:r>
      <w:r>
        <w:rPr>
          <w:spacing w:val="-9"/>
        </w:rPr>
        <w:t> </w:t>
      </w:r>
      <w:r>
        <w:rPr/>
        <w:t>caráter</w:t>
      </w:r>
      <w:r>
        <w:rPr>
          <w:spacing w:val="-1"/>
        </w:rPr>
        <w:t> </w:t>
      </w:r>
      <w:r>
        <w:rPr/>
        <w:t>inflamatório</w:t>
      </w:r>
      <w:r>
        <w:rPr>
          <w:spacing w:val="-7"/>
        </w:rPr>
        <w:t> </w:t>
      </w:r>
      <w:r>
        <w:rPr/>
        <w:t>que</w:t>
      </w:r>
      <w:r>
        <w:rPr>
          <w:spacing w:val="-9"/>
        </w:rPr>
        <w:t> </w:t>
      </w:r>
      <w:r>
        <w:rPr/>
        <w:t>se</w:t>
      </w:r>
      <w:r>
        <w:rPr>
          <w:spacing w:val="-9"/>
        </w:rPr>
        <w:t> </w:t>
      </w:r>
      <w:r>
        <w:rPr/>
        <w:t>caracteriza</w:t>
      </w:r>
      <w:r>
        <w:rPr>
          <w:spacing w:val="-9"/>
        </w:rPr>
        <w:t> </w:t>
      </w:r>
      <w:r>
        <w:rPr/>
        <w:t>por</w:t>
      </w:r>
      <w:r>
        <w:rPr>
          <w:spacing w:val="-1"/>
        </w:rPr>
        <w:t> </w:t>
      </w:r>
      <w:r>
        <w:rPr/>
        <w:t>oclusões segmentares de artérias e veias de pequeno e médio calibres nos membros inferiores e superiores, em pacientes jovens, fumantes, predominando no sexo masculino. É conhecida também como doença de Buerger, pois foi Leo Buerger que</w:t>
      </w:r>
      <w:r>
        <w:rPr>
          <w:spacing w:val="-6"/>
        </w:rPr>
        <w:t> </w:t>
      </w:r>
      <w:r>
        <w:rPr/>
        <w:t>descreveu</w:t>
      </w:r>
      <w:r>
        <w:rPr>
          <w:spacing w:val="-3"/>
        </w:rPr>
        <w:t> </w:t>
      </w:r>
      <w:r>
        <w:rPr/>
        <w:t>os aspectos patológicos da</w:t>
      </w:r>
      <w:r>
        <w:rPr>
          <w:spacing w:val="-6"/>
        </w:rPr>
        <w:t> </w:t>
      </w:r>
      <w:r>
        <w:rPr/>
        <w:t>afecção</w:t>
      </w:r>
      <w:r>
        <w:rPr>
          <w:spacing w:val="-3"/>
        </w:rPr>
        <w:t> </w:t>
      </w:r>
      <w:r>
        <w:rPr/>
        <w:t>e</w:t>
      </w:r>
      <w:r>
        <w:rPr>
          <w:spacing w:val="-6"/>
        </w:rPr>
        <w:t> </w:t>
      </w:r>
      <w:r>
        <w:rPr/>
        <w:t>a</w:t>
      </w:r>
      <w:r>
        <w:rPr>
          <w:spacing w:val="-6"/>
        </w:rPr>
        <w:t> </w:t>
      </w:r>
      <w:r>
        <w:rPr/>
        <w:t>reconheceu</w:t>
      </w:r>
      <w:r>
        <w:rPr>
          <w:spacing w:val="-3"/>
        </w:rPr>
        <w:t> </w:t>
      </w:r>
      <w:r>
        <w:rPr/>
        <w:t>como</w:t>
      </w:r>
      <w:r>
        <w:rPr>
          <w:spacing w:val="-3"/>
        </w:rPr>
        <w:t> </w:t>
      </w:r>
      <w:r>
        <w:rPr/>
        <w:t>entidade</w:t>
      </w:r>
      <w:r>
        <w:rPr>
          <w:spacing w:val="-6"/>
        </w:rPr>
        <w:t> </w:t>
      </w:r>
      <w:r>
        <w:rPr/>
        <w:t>clínica</w:t>
      </w:r>
      <w:r>
        <w:rPr>
          <w:spacing w:val="-6"/>
        </w:rPr>
        <w:t> </w:t>
      </w:r>
      <w:r>
        <w:rPr/>
        <w:t>definida.</w:t>
      </w:r>
      <w:r>
        <w:rPr>
          <w:vertAlign w:val="superscript"/>
        </w:rPr>
        <w:t>1</w:t>
      </w:r>
    </w:p>
    <w:p>
      <w:pPr>
        <w:pStyle w:val="BodyText"/>
        <w:spacing w:after="0" w:line="280" w:lineRule="auto"/>
        <w:sectPr>
          <w:pgSz w:w="11900" w:h="16840"/>
          <w:pgMar w:top="180" w:bottom="280" w:left="566" w:right="141"/>
        </w:sectPr>
      </w:pPr>
    </w:p>
    <w:p>
      <w:pPr>
        <w:pStyle w:val="Heading4"/>
        <w:spacing w:before="77"/>
      </w:pPr>
      <w:r>
        <w:rPr>
          <w:color w:val="242B67"/>
          <w:spacing w:val="-2"/>
        </w:rPr>
        <w:t>Epidemiologia</w:t>
      </w:r>
    </w:p>
    <w:p>
      <w:pPr>
        <w:pStyle w:val="BodyText"/>
        <w:spacing w:line="280" w:lineRule="auto" w:before="131"/>
        <w:ind w:right="497"/>
      </w:pPr>
      <w:r>
        <w:rPr/>
        <w:t>A</w:t>
      </w:r>
      <w:r>
        <w:rPr>
          <w:spacing w:val="-3"/>
        </w:rPr>
        <w:t> </w:t>
      </w:r>
      <w:r>
        <w:rPr/>
        <w:t>TAO, apesar de</w:t>
      </w:r>
      <w:r>
        <w:rPr>
          <w:spacing w:val="-3"/>
        </w:rPr>
        <w:t> </w:t>
      </w:r>
      <w:r>
        <w:rPr/>
        <w:t>ter distribuição universal, predomina</w:t>
      </w:r>
      <w:r>
        <w:rPr>
          <w:spacing w:val="-3"/>
        </w:rPr>
        <w:t> </w:t>
      </w:r>
      <w:r>
        <w:rPr/>
        <w:t>nos países asiáticos, particularmente</w:t>
      </w:r>
      <w:r>
        <w:rPr>
          <w:spacing w:val="-3"/>
        </w:rPr>
        <w:t> </w:t>
      </w:r>
      <w:r>
        <w:rPr/>
        <w:t>naqueles situados no sudeste do continente, Índia e Israel, estando em declínio nos EUA provavelmente pela queda progressiva do hábito de fumar entre os homens. Contrastando com esse dado, a incidência da doença em mulheres está aumentando talvez porque o tabagismo esteja crescendo progressivamente em suas vidas.</w:t>
      </w:r>
      <w:r>
        <w:rPr>
          <w:vertAlign w:val="superscript"/>
        </w:rPr>
        <w:t>2</w:t>
      </w:r>
    </w:p>
    <w:p>
      <w:pPr>
        <w:pStyle w:val="BodyText"/>
        <w:spacing w:before="181"/>
        <w:ind w:left="0" w:firstLine="0"/>
        <w:jc w:val="left"/>
      </w:pPr>
    </w:p>
    <w:p>
      <w:pPr>
        <w:pStyle w:val="Heading4"/>
      </w:pPr>
      <w:r>
        <w:rPr>
          <w:color w:val="242B67"/>
          <w:spacing w:val="-2"/>
        </w:rPr>
        <w:t>Etiopatogenia</w:t>
      </w:r>
    </w:p>
    <w:p>
      <w:pPr>
        <w:pStyle w:val="BodyText"/>
        <w:spacing w:line="280" w:lineRule="auto" w:before="148"/>
        <w:ind w:right="491"/>
      </w:pPr>
      <w:r>
        <w:rPr/>
        <w:t>A etiologia da TAO é desconhecida, mas sua relação com o hábito de fumar é bastante evidente, sendo excepcional sua ocorrência em não fumantes; outro aspecto observado é que a abolição do hábito provoca estabilização da doença e o retorno ao tabagismo faz reaparecer as crises da doença.</w:t>
      </w:r>
      <w:r>
        <w:rPr>
          <w:vertAlign w:val="superscript"/>
        </w:rPr>
        <w:t>1</w:t>
      </w:r>
      <w:r>
        <w:rPr>
          <w:vertAlign w:val="baseline"/>
        </w:rPr>
        <w:t> Foi demonstrada relação de atividade de doença e tabagismo ativo com dosagem de um metabólito da nicotina, a cotinina, na urina. Reação de hipersensibilidade aos componentes do tabaco no endotélio vascular tem sido sugerida com base em achados de imunocomplexos circulantes biologicamente</w:t>
      </w:r>
      <w:r>
        <w:rPr>
          <w:spacing w:val="-10"/>
          <w:vertAlign w:val="baseline"/>
        </w:rPr>
        <w:t> </w:t>
      </w:r>
      <w:r>
        <w:rPr>
          <w:vertAlign w:val="baseline"/>
        </w:rPr>
        <w:t>ativos no</w:t>
      </w:r>
      <w:r>
        <w:rPr>
          <w:spacing w:val="-8"/>
          <w:vertAlign w:val="baseline"/>
        </w:rPr>
        <w:t> </w:t>
      </w:r>
      <w:r>
        <w:rPr>
          <w:vertAlign w:val="baseline"/>
        </w:rPr>
        <w:t>soro</w:t>
      </w:r>
      <w:r>
        <w:rPr>
          <w:spacing w:val="-8"/>
          <w:vertAlign w:val="baseline"/>
        </w:rPr>
        <w:t> </w:t>
      </w:r>
      <w:r>
        <w:rPr>
          <w:vertAlign w:val="baseline"/>
        </w:rPr>
        <w:t>de</w:t>
      </w:r>
      <w:r>
        <w:rPr>
          <w:spacing w:val="-10"/>
          <w:vertAlign w:val="baseline"/>
        </w:rPr>
        <w:t> </w:t>
      </w:r>
      <w:r>
        <w:rPr>
          <w:vertAlign w:val="baseline"/>
        </w:rPr>
        <w:t>fumante</w:t>
      </w:r>
      <w:r>
        <w:rPr>
          <w:spacing w:val="-10"/>
          <w:vertAlign w:val="baseline"/>
        </w:rPr>
        <w:t> </w:t>
      </w:r>
      <w:r>
        <w:rPr>
          <w:vertAlign w:val="baseline"/>
        </w:rPr>
        <w:t>portador</w:t>
      </w:r>
      <w:r>
        <w:rPr>
          <w:spacing w:val="-2"/>
          <w:vertAlign w:val="baseline"/>
        </w:rPr>
        <w:t> </w:t>
      </w:r>
      <w:r>
        <w:rPr>
          <w:vertAlign w:val="baseline"/>
        </w:rPr>
        <w:t>de</w:t>
      </w:r>
      <w:r>
        <w:rPr>
          <w:spacing w:val="-10"/>
          <w:vertAlign w:val="baseline"/>
        </w:rPr>
        <w:t> </w:t>
      </w:r>
      <w:r>
        <w:rPr>
          <w:vertAlign w:val="baseline"/>
        </w:rPr>
        <w:t>TAO. A</w:t>
      </w:r>
      <w:r>
        <w:rPr>
          <w:spacing w:val="-10"/>
          <w:vertAlign w:val="baseline"/>
        </w:rPr>
        <w:t> </w:t>
      </w:r>
      <w:r>
        <w:rPr>
          <w:vertAlign w:val="baseline"/>
        </w:rPr>
        <w:t>hipótese</w:t>
      </w:r>
      <w:r>
        <w:rPr>
          <w:spacing w:val="-10"/>
          <w:vertAlign w:val="baseline"/>
        </w:rPr>
        <w:t> </w:t>
      </w:r>
      <w:r>
        <w:rPr>
          <w:vertAlign w:val="baseline"/>
        </w:rPr>
        <w:t>de</w:t>
      </w:r>
      <w:r>
        <w:rPr>
          <w:spacing w:val="-10"/>
          <w:vertAlign w:val="baseline"/>
        </w:rPr>
        <w:t> </w:t>
      </w:r>
      <w:r>
        <w:rPr>
          <w:vertAlign w:val="baseline"/>
        </w:rPr>
        <w:t>mecanismo autoimune</w:t>
      </w:r>
      <w:r>
        <w:rPr>
          <w:spacing w:val="-8"/>
          <w:vertAlign w:val="baseline"/>
        </w:rPr>
        <w:t> </w:t>
      </w:r>
      <w:r>
        <w:rPr>
          <w:vertAlign w:val="baseline"/>
        </w:rPr>
        <w:t>fica</w:t>
      </w:r>
      <w:r>
        <w:rPr>
          <w:spacing w:val="-8"/>
          <w:vertAlign w:val="baseline"/>
        </w:rPr>
        <w:t> </w:t>
      </w:r>
      <w:r>
        <w:rPr>
          <w:vertAlign w:val="baseline"/>
        </w:rPr>
        <w:t>reforçada</w:t>
      </w:r>
      <w:r>
        <w:rPr>
          <w:spacing w:val="-8"/>
          <w:vertAlign w:val="baseline"/>
        </w:rPr>
        <w:t> </w:t>
      </w:r>
      <w:r>
        <w:rPr>
          <w:vertAlign w:val="baseline"/>
        </w:rPr>
        <w:t>com</w:t>
      </w:r>
      <w:r>
        <w:rPr>
          <w:spacing w:val="-6"/>
          <w:vertAlign w:val="baseline"/>
        </w:rPr>
        <w:t> </w:t>
      </w:r>
      <w:r>
        <w:rPr>
          <w:vertAlign w:val="baseline"/>
        </w:rPr>
        <w:t>o</w:t>
      </w:r>
      <w:r>
        <w:rPr>
          <w:spacing w:val="-6"/>
          <w:vertAlign w:val="baseline"/>
        </w:rPr>
        <w:t> </w:t>
      </w:r>
      <w:r>
        <w:rPr>
          <w:vertAlign w:val="baseline"/>
        </w:rPr>
        <w:t>relato</w:t>
      </w:r>
      <w:r>
        <w:rPr>
          <w:spacing w:val="-6"/>
          <w:vertAlign w:val="baseline"/>
        </w:rPr>
        <w:t> </w:t>
      </w:r>
      <w:r>
        <w:rPr>
          <w:vertAlign w:val="baseline"/>
        </w:rPr>
        <w:t>da</w:t>
      </w:r>
      <w:r>
        <w:rPr>
          <w:spacing w:val="-8"/>
          <w:vertAlign w:val="baseline"/>
        </w:rPr>
        <w:t> </w:t>
      </w:r>
      <w:r>
        <w:rPr>
          <w:vertAlign w:val="baseline"/>
        </w:rPr>
        <w:t>presença</w:t>
      </w:r>
      <w:r>
        <w:rPr>
          <w:spacing w:val="-8"/>
          <w:vertAlign w:val="baseline"/>
        </w:rPr>
        <w:t> </w:t>
      </w:r>
      <w:r>
        <w:rPr>
          <w:vertAlign w:val="baseline"/>
        </w:rPr>
        <w:t>de</w:t>
      </w:r>
      <w:r>
        <w:rPr>
          <w:spacing w:val="-8"/>
          <w:vertAlign w:val="baseline"/>
        </w:rPr>
        <w:t> </w:t>
      </w:r>
      <w:r>
        <w:rPr>
          <w:vertAlign w:val="baseline"/>
        </w:rPr>
        <w:t>anticorpos antinucleares e</w:t>
      </w:r>
      <w:r>
        <w:rPr>
          <w:spacing w:val="-8"/>
          <w:vertAlign w:val="baseline"/>
        </w:rPr>
        <w:t> </w:t>
      </w:r>
      <w:r>
        <w:rPr>
          <w:vertAlign w:val="baseline"/>
        </w:rPr>
        <w:t>aumento</w:t>
      </w:r>
      <w:r>
        <w:rPr>
          <w:spacing w:val="-6"/>
          <w:vertAlign w:val="baseline"/>
        </w:rPr>
        <w:t> </w:t>
      </w:r>
      <w:r>
        <w:rPr>
          <w:vertAlign w:val="baseline"/>
        </w:rPr>
        <w:t>da</w:t>
      </w:r>
      <w:r>
        <w:rPr>
          <w:spacing w:val="-8"/>
          <w:vertAlign w:val="baseline"/>
        </w:rPr>
        <w:t> </w:t>
      </w:r>
      <w:r>
        <w:rPr>
          <w:vertAlign w:val="baseline"/>
        </w:rPr>
        <w:t>produção</w:t>
      </w:r>
      <w:r>
        <w:rPr>
          <w:spacing w:val="-6"/>
          <w:vertAlign w:val="baseline"/>
        </w:rPr>
        <w:t> </w:t>
      </w:r>
      <w:r>
        <w:rPr>
          <w:vertAlign w:val="baseline"/>
        </w:rPr>
        <w:t>de</w:t>
      </w:r>
      <w:r>
        <w:rPr>
          <w:spacing w:val="-8"/>
          <w:vertAlign w:val="baseline"/>
        </w:rPr>
        <w:t> </w:t>
      </w:r>
      <w:r>
        <w:rPr>
          <w:vertAlign w:val="baseline"/>
        </w:rPr>
        <w:t>anticorpos específicos contra a parede arterial nessa afecção. Também antígenos do complexo de histocompatibilidade principal (HLA, do</w:t>
      </w:r>
      <w:r>
        <w:rPr>
          <w:spacing w:val="-1"/>
          <w:vertAlign w:val="baseline"/>
        </w:rPr>
        <w:t> </w:t>
      </w:r>
      <w:r>
        <w:rPr>
          <w:vertAlign w:val="baseline"/>
        </w:rPr>
        <w:t>inglês, </w:t>
      </w:r>
      <w:r>
        <w:rPr>
          <w:i/>
          <w:vertAlign w:val="baseline"/>
        </w:rPr>
        <w:t>human</w:t>
      </w:r>
      <w:r>
        <w:rPr>
          <w:i/>
          <w:spacing w:val="-1"/>
          <w:vertAlign w:val="baseline"/>
        </w:rPr>
        <w:t> </w:t>
      </w:r>
      <w:r>
        <w:rPr>
          <w:i/>
          <w:vertAlign w:val="baseline"/>
        </w:rPr>
        <w:t>leukocyte</w:t>
      </w:r>
      <w:r>
        <w:rPr>
          <w:i/>
          <w:spacing w:val="-4"/>
          <w:vertAlign w:val="baseline"/>
        </w:rPr>
        <w:t> </w:t>
      </w:r>
      <w:r>
        <w:rPr>
          <w:i/>
          <w:vertAlign w:val="baseline"/>
        </w:rPr>
        <w:t>antigen</w:t>
      </w:r>
      <w:r>
        <w:rPr>
          <w:vertAlign w:val="baseline"/>
        </w:rPr>
        <w:t>) têm</w:t>
      </w:r>
      <w:r>
        <w:rPr>
          <w:spacing w:val="-1"/>
          <w:vertAlign w:val="baseline"/>
        </w:rPr>
        <w:t> </w:t>
      </w:r>
      <w:r>
        <w:rPr>
          <w:vertAlign w:val="baseline"/>
        </w:rPr>
        <w:t>sido</w:t>
      </w:r>
      <w:r>
        <w:rPr>
          <w:spacing w:val="-1"/>
          <w:vertAlign w:val="baseline"/>
        </w:rPr>
        <w:t> </w:t>
      </w:r>
      <w:r>
        <w:rPr>
          <w:vertAlign w:val="baseline"/>
        </w:rPr>
        <w:t>encontrados com</w:t>
      </w:r>
      <w:r>
        <w:rPr>
          <w:spacing w:val="-1"/>
          <w:vertAlign w:val="baseline"/>
        </w:rPr>
        <w:t> </w:t>
      </w:r>
      <w:r>
        <w:rPr>
          <w:vertAlign w:val="baseline"/>
        </w:rPr>
        <w:t>frequência</w:t>
      </w:r>
      <w:r>
        <w:rPr>
          <w:spacing w:val="-4"/>
          <w:vertAlign w:val="baseline"/>
        </w:rPr>
        <w:t> </w:t>
      </w:r>
      <w:r>
        <w:rPr>
          <w:vertAlign w:val="baseline"/>
        </w:rPr>
        <w:t>variável.</w:t>
      </w:r>
      <w:r>
        <w:rPr>
          <w:vertAlign w:val="superscript"/>
        </w:rPr>
        <w:t>2</w:t>
      </w:r>
    </w:p>
    <w:p>
      <w:pPr>
        <w:pStyle w:val="BodyText"/>
        <w:spacing w:line="280" w:lineRule="auto" w:before="34"/>
        <w:ind w:right="491"/>
      </w:pPr>
      <w:r>
        <w:rPr/>
        <w:t>A disfunção endotelial com comprometimento da vasodilatação dependente do endotélio constitui outro mecanismo que possivelmente contribui para a ocorrência de lesões proliferativas segmentares e tromboses vasculares na TAO. Estudos recentes têm demonstrado, entretanto, que a diminuição da função endotelial que ocorre</w:t>
      </w:r>
      <w:r>
        <w:rPr>
          <w:spacing w:val="-10"/>
        </w:rPr>
        <w:t> </w:t>
      </w:r>
      <w:r>
        <w:rPr/>
        <w:t>nas</w:t>
      </w:r>
      <w:r>
        <w:rPr>
          <w:spacing w:val="-1"/>
        </w:rPr>
        <w:t> </w:t>
      </w:r>
      <w:r>
        <w:rPr/>
        <w:t>artérias</w:t>
      </w:r>
      <w:r>
        <w:rPr>
          <w:spacing w:val="-1"/>
        </w:rPr>
        <w:t> </w:t>
      </w:r>
      <w:r>
        <w:rPr/>
        <w:t>acometidas</w:t>
      </w:r>
      <w:r>
        <w:rPr>
          <w:spacing w:val="-1"/>
        </w:rPr>
        <w:t> </w:t>
      </w:r>
      <w:r>
        <w:rPr/>
        <w:t>pela</w:t>
      </w:r>
      <w:r>
        <w:rPr>
          <w:spacing w:val="-10"/>
        </w:rPr>
        <w:t> </w:t>
      </w:r>
      <w:r>
        <w:rPr/>
        <w:t>TAO</w:t>
      </w:r>
      <w:r>
        <w:rPr>
          <w:spacing w:val="-10"/>
        </w:rPr>
        <w:t> </w:t>
      </w:r>
      <w:r>
        <w:rPr/>
        <w:t>não</w:t>
      </w:r>
      <w:r>
        <w:rPr>
          <w:spacing w:val="-8"/>
        </w:rPr>
        <w:t> </w:t>
      </w:r>
      <w:r>
        <w:rPr/>
        <w:t>é</w:t>
      </w:r>
      <w:r>
        <w:rPr>
          <w:spacing w:val="-10"/>
        </w:rPr>
        <w:t> </w:t>
      </w:r>
      <w:r>
        <w:rPr/>
        <w:t>observada</w:t>
      </w:r>
      <w:r>
        <w:rPr>
          <w:spacing w:val="-10"/>
        </w:rPr>
        <w:t> </w:t>
      </w:r>
      <w:r>
        <w:rPr/>
        <w:t>na</w:t>
      </w:r>
      <w:r>
        <w:rPr>
          <w:spacing w:val="-10"/>
        </w:rPr>
        <w:t> </w:t>
      </w:r>
      <w:r>
        <w:rPr/>
        <w:t>circulação</w:t>
      </w:r>
      <w:r>
        <w:rPr>
          <w:spacing w:val="-8"/>
        </w:rPr>
        <w:t> </w:t>
      </w:r>
      <w:r>
        <w:rPr/>
        <w:t>colateral</w:t>
      </w:r>
      <w:r>
        <w:rPr>
          <w:spacing w:val="-5"/>
        </w:rPr>
        <w:t> </w:t>
      </w:r>
      <w:r>
        <w:rPr/>
        <w:t>que</w:t>
      </w:r>
      <w:r>
        <w:rPr>
          <w:spacing w:val="-10"/>
        </w:rPr>
        <w:t> </w:t>
      </w:r>
      <w:r>
        <w:rPr/>
        <w:t>se</w:t>
      </w:r>
      <w:r>
        <w:rPr>
          <w:spacing w:val="-10"/>
        </w:rPr>
        <w:t> </w:t>
      </w:r>
      <w:r>
        <w:rPr/>
        <w:t>desenvolve</w:t>
      </w:r>
      <w:r>
        <w:rPr>
          <w:spacing w:val="-10"/>
        </w:rPr>
        <w:t> </w:t>
      </w:r>
      <w:r>
        <w:rPr/>
        <w:t>nesses</w:t>
      </w:r>
      <w:r>
        <w:rPr>
          <w:spacing w:val="-1"/>
        </w:rPr>
        <w:t> </w:t>
      </w:r>
      <w:r>
        <w:rPr/>
        <w:t>pacientes (artérias em saca-rolha), medida</w:t>
      </w:r>
      <w:r>
        <w:rPr>
          <w:spacing w:val="-2"/>
        </w:rPr>
        <w:t> </w:t>
      </w:r>
      <w:r>
        <w:rPr/>
        <w:t>pela</w:t>
      </w:r>
      <w:r>
        <w:rPr>
          <w:spacing w:val="-2"/>
        </w:rPr>
        <w:t> </w:t>
      </w:r>
      <w:r>
        <w:rPr/>
        <w:t>avaliação de</w:t>
      </w:r>
      <w:r>
        <w:rPr>
          <w:spacing w:val="-2"/>
        </w:rPr>
        <w:t> </w:t>
      </w:r>
      <w:r>
        <w:rPr/>
        <w:t>vasodilatação mediada</w:t>
      </w:r>
      <w:r>
        <w:rPr>
          <w:spacing w:val="-2"/>
        </w:rPr>
        <w:t> </w:t>
      </w:r>
      <w:r>
        <w:rPr/>
        <w:t>por fluxo.</w:t>
      </w:r>
      <w:r>
        <w:rPr>
          <w:vertAlign w:val="superscript"/>
        </w:rPr>
        <w:t>3</w:t>
      </w:r>
    </w:p>
    <w:p>
      <w:pPr>
        <w:pStyle w:val="BodyText"/>
        <w:spacing w:before="175"/>
        <w:ind w:left="0" w:firstLine="0"/>
        <w:jc w:val="left"/>
      </w:pPr>
    </w:p>
    <w:p>
      <w:pPr>
        <w:pStyle w:val="Heading4"/>
      </w:pPr>
      <w:r>
        <w:rPr>
          <w:color w:val="242B67"/>
          <w:spacing w:val="-2"/>
        </w:rPr>
        <w:t>Patologia</w:t>
      </w:r>
    </w:p>
    <w:p>
      <w:pPr>
        <w:pStyle w:val="BodyText"/>
        <w:spacing w:line="276" w:lineRule="auto" w:before="132"/>
        <w:ind w:right="497"/>
      </w:pPr>
      <w:r>
        <w:rPr/>
        <w:t>As alterações histopatológicas da fase aguda se caracterizam por processo inflamatório de todas as camadas parietais do</w:t>
      </w:r>
      <w:r>
        <w:rPr>
          <w:spacing w:val="-3"/>
        </w:rPr>
        <w:t> </w:t>
      </w:r>
      <w:r>
        <w:rPr/>
        <w:t>vaso, preservando, no</w:t>
      </w:r>
      <w:r>
        <w:rPr>
          <w:spacing w:val="-3"/>
        </w:rPr>
        <w:t> </w:t>
      </w:r>
      <w:r>
        <w:rPr/>
        <w:t>entanto, a</w:t>
      </w:r>
      <w:r>
        <w:rPr>
          <w:spacing w:val="-6"/>
        </w:rPr>
        <w:t> </w:t>
      </w:r>
      <w:r>
        <w:rPr/>
        <w:t>lâmina</w:t>
      </w:r>
      <w:r>
        <w:rPr>
          <w:spacing w:val="-6"/>
        </w:rPr>
        <w:t> </w:t>
      </w:r>
      <w:r>
        <w:rPr/>
        <w:t>elástica</w:t>
      </w:r>
      <w:r>
        <w:rPr>
          <w:spacing w:val="-6"/>
        </w:rPr>
        <w:t> </w:t>
      </w:r>
      <w:r>
        <w:rPr/>
        <w:t>interna</w:t>
      </w:r>
      <w:r>
        <w:rPr>
          <w:spacing w:val="-6"/>
        </w:rPr>
        <w:t> </w:t>
      </w:r>
      <w:r>
        <w:rPr/>
        <w:t>nas artérias, o</w:t>
      </w:r>
      <w:r>
        <w:rPr>
          <w:spacing w:val="-3"/>
        </w:rPr>
        <w:t> </w:t>
      </w:r>
      <w:r>
        <w:rPr/>
        <w:t>que</w:t>
      </w:r>
      <w:r>
        <w:rPr>
          <w:spacing w:val="-6"/>
        </w:rPr>
        <w:t> </w:t>
      </w:r>
      <w:r>
        <w:rPr/>
        <w:t>distingue</w:t>
      </w:r>
      <w:r>
        <w:rPr>
          <w:spacing w:val="-6"/>
        </w:rPr>
        <w:t> </w:t>
      </w:r>
      <w:r>
        <w:rPr/>
        <w:t>a</w:t>
      </w:r>
      <w:r>
        <w:rPr>
          <w:spacing w:val="-6"/>
        </w:rPr>
        <w:t> </w:t>
      </w:r>
      <w:r>
        <w:rPr/>
        <w:t>tromboangiite</w:t>
      </w:r>
      <w:r>
        <w:rPr>
          <w:spacing w:val="-6"/>
        </w:rPr>
        <w:t> </w:t>
      </w:r>
      <w:r>
        <w:rPr/>
        <w:t>de outras arterites imunoalérgicas. Trombos hipercelulares, com</w:t>
      </w:r>
      <w:r>
        <w:rPr>
          <w:spacing w:val="-1"/>
        </w:rPr>
        <w:t> </w:t>
      </w:r>
      <w:r>
        <w:rPr/>
        <w:t>microabscessos e</w:t>
      </w:r>
      <w:r>
        <w:rPr>
          <w:spacing w:val="-4"/>
        </w:rPr>
        <w:t> </w:t>
      </w:r>
      <w:r>
        <w:rPr/>
        <w:t>células gigantes multinucleadas no seu interior, constituem aspectos característicos da doença.</w:t>
      </w:r>
    </w:p>
    <w:p>
      <w:pPr>
        <w:pStyle w:val="BodyText"/>
        <w:spacing w:line="285" w:lineRule="auto"/>
        <w:ind w:right="494"/>
      </w:pPr>
      <w:r>
        <w:rPr/>
        <w:t>Na</w:t>
      </w:r>
      <w:r>
        <w:rPr>
          <w:spacing w:val="-14"/>
        </w:rPr>
        <w:t> </w:t>
      </w:r>
      <w:r>
        <w:rPr/>
        <w:t>fase</w:t>
      </w:r>
      <w:r>
        <w:rPr>
          <w:spacing w:val="-14"/>
        </w:rPr>
        <w:t> </w:t>
      </w:r>
      <w:r>
        <w:rPr/>
        <w:t>crônica,</w:t>
      </w:r>
      <w:r>
        <w:rPr>
          <w:spacing w:val="-5"/>
        </w:rPr>
        <w:t> </w:t>
      </w:r>
      <w:r>
        <w:rPr/>
        <w:t>encontra-se</w:t>
      </w:r>
      <w:r>
        <w:rPr>
          <w:spacing w:val="-14"/>
        </w:rPr>
        <w:t> </w:t>
      </w:r>
      <w:r>
        <w:rPr/>
        <w:t>trombo</w:t>
      </w:r>
      <w:r>
        <w:rPr>
          <w:spacing w:val="-12"/>
        </w:rPr>
        <w:t> </w:t>
      </w:r>
      <w:r>
        <w:rPr/>
        <w:t>organizado</w:t>
      </w:r>
      <w:r>
        <w:rPr>
          <w:spacing w:val="-12"/>
        </w:rPr>
        <w:t> </w:t>
      </w:r>
      <w:r>
        <w:rPr/>
        <w:t>com</w:t>
      </w:r>
      <w:r>
        <w:rPr>
          <w:spacing w:val="-12"/>
        </w:rPr>
        <w:t> </w:t>
      </w:r>
      <w:r>
        <w:rPr/>
        <w:t>vários</w:t>
      </w:r>
      <w:r>
        <w:rPr>
          <w:spacing w:val="-5"/>
        </w:rPr>
        <w:t> </w:t>
      </w:r>
      <w:r>
        <w:rPr/>
        <w:t>graus</w:t>
      </w:r>
      <w:r>
        <w:rPr>
          <w:spacing w:val="-5"/>
        </w:rPr>
        <w:t> </w:t>
      </w:r>
      <w:r>
        <w:rPr/>
        <w:t>de</w:t>
      </w:r>
      <w:r>
        <w:rPr>
          <w:spacing w:val="-14"/>
        </w:rPr>
        <w:t> </w:t>
      </w:r>
      <w:r>
        <w:rPr/>
        <w:t>recanalização</w:t>
      </w:r>
      <w:r>
        <w:rPr>
          <w:spacing w:val="-12"/>
        </w:rPr>
        <w:t> </w:t>
      </w:r>
      <w:r>
        <w:rPr/>
        <w:t>e</w:t>
      </w:r>
      <w:r>
        <w:rPr>
          <w:spacing w:val="-14"/>
        </w:rPr>
        <w:t> </w:t>
      </w:r>
      <w:r>
        <w:rPr/>
        <w:t>reação</w:t>
      </w:r>
      <w:r>
        <w:rPr>
          <w:spacing w:val="-12"/>
        </w:rPr>
        <w:t> </w:t>
      </w:r>
      <w:r>
        <w:rPr/>
        <w:t>inflamatória</w:t>
      </w:r>
      <w:r>
        <w:rPr>
          <w:spacing w:val="-14"/>
        </w:rPr>
        <w:t> </w:t>
      </w:r>
      <w:r>
        <w:rPr/>
        <w:t>residual com intensa fibrose perivascular, não havendo mais hipercelularidade nos trombos. Não se observa calcificação parietal, diferentemente do que ocorre na arteriosclerose.</w:t>
      </w:r>
      <w:r>
        <w:rPr>
          <w:vertAlign w:val="superscript"/>
        </w:rPr>
        <w:t>2</w:t>
      </w:r>
      <w:r>
        <w:rPr>
          <w:vertAlign w:val="baseline"/>
        </w:rPr>
        <w:t> Em um segundo momento, caracterizado como fase subaguda, há organização progressiva do trombo.</w:t>
      </w:r>
      <w:r>
        <w:rPr>
          <w:vertAlign w:val="superscript"/>
        </w:rPr>
        <w:t>4,5</w:t>
      </w:r>
    </w:p>
    <w:p>
      <w:pPr>
        <w:pStyle w:val="BodyText"/>
        <w:spacing w:before="175"/>
        <w:ind w:left="0" w:firstLine="0"/>
        <w:jc w:val="left"/>
      </w:pPr>
    </w:p>
    <w:p>
      <w:pPr>
        <w:pStyle w:val="Heading4"/>
      </w:pPr>
      <w:r>
        <w:rPr>
          <w:color w:val="242B67"/>
        </w:rPr>
        <w:t>Quadro </w:t>
      </w:r>
      <w:r>
        <w:rPr>
          <w:color w:val="242B67"/>
          <w:spacing w:val="-2"/>
        </w:rPr>
        <w:t>clínico</w:t>
      </w:r>
    </w:p>
    <w:p>
      <w:pPr>
        <w:pStyle w:val="BodyText"/>
        <w:spacing w:line="276" w:lineRule="auto" w:before="132"/>
        <w:ind w:right="501"/>
      </w:pPr>
      <w:r>
        <w:rPr/>
        <w:t>Caracteristicamente</w:t>
      </w:r>
      <w:r>
        <w:rPr>
          <w:spacing w:val="-6"/>
        </w:rPr>
        <w:t> </w:t>
      </w:r>
      <w:r>
        <w:rPr/>
        <w:t>podemos descrever o</w:t>
      </w:r>
      <w:r>
        <w:rPr>
          <w:spacing w:val="-4"/>
        </w:rPr>
        <w:t> </w:t>
      </w:r>
      <w:r>
        <w:rPr/>
        <w:t>paciente</w:t>
      </w:r>
      <w:r>
        <w:rPr>
          <w:spacing w:val="-6"/>
        </w:rPr>
        <w:t> </w:t>
      </w:r>
      <w:r>
        <w:rPr/>
        <w:t>com</w:t>
      </w:r>
      <w:r>
        <w:rPr>
          <w:spacing w:val="-4"/>
        </w:rPr>
        <w:t> </w:t>
      </w:r>
      <w:r>
        <w:rPr/>
        <w:t>TAO</w:t>
      </w:r>
      <w:r>
        <w:rPr>
          <w:spacing w:val="-6"/>
        </w:rPr>
        <w:t> </w:t>
      </w:r>
      <w:r>
        <w:rPr/>
        <w:t>como</w:t>
      </w:r>
      <w:r>
        <w:rPr>
          <w:spacing w:val="-4"/>
        </w:rPr>
        <w:t> </w:t>
      </w:r>
      <w:r>
        <w:rPr/>
        <w:t>um</w:t>
      </w:r>
      <w:r>
        <w:rPr>
          <w:spacing w:val="-4"/>
        </w:rPr>
        <w:t> </w:t>
      </w:r>
      <w:r>
        <w:rPr/>
        <w:t>homem</w:t>
      </w:r>
      <w:r>
        <w:rPr>
          <w:spacing w:val="-4"/>
        </w:rPr>
        <w:t> </w:t>
      </w:r>
      <w:r>
        <w:rPr/>
        <w:t>jovem, fumante, com</w:t>
      </w:r>
      <w:r>
        <w:rPr>
          <w:spacing w:val="-4"/>
        </w:rPr>
        <w:t> </w:t>
      </w:r>
      <w:r>
        <w:rPr/>
        <w:t>início</w:t>
      </w:r>
      <w:r>
        <w:rPr>
          <w:spacing w:val="-4"/>
        </w:rPr>
        <w:t> </w:t>
      </w:r>
      <w:r>
        <w:rPr/>
        <w:t>dos sintomas abaixo dos 40 anos, e que apresenta, primeiramente, obstrução de pequenas artérias e veias distais dos membros; com a progressão da doença, artérias mais proximais podem também ser afetadas.</w:t>
      </w:r>
    </w:p>
    <w:p>
      <w:pPr>
        <w:pStyle w:val="BodyText"/>
        <w:spacing w:before="81"/>
        <w:ind w:left="414" w:firstLine="0"/>
      </w:pPr>
      <w:r>
        <w:rPr>
          <w:spacing w:val="-2"/>
        </w:rPr>
        <w:t>Abramson</w:t>
      </w:r>
      <w:r>
        <w:rPr>
          <w:spacing w:val="-3"/>
        </w:rPr>
        <w:t> </w:t>
      </w:r>
      <w:r>
        <w:rPr>
          <w:spacing w:val="-2"/>
        </w:rPr>
        <w:t>descreveu</w:t>
      </w:r>
      <w:r>
        <w:rPr>
          <w:spacing w:val="-3"/>
        </w:rPr>
        <w:t> </w:t>
      </w:r>
      <w:r>
        <w:rPr>
          <w:spacing w:val="-2"/>
        </w:rPr>
        <w:t>cinco</w:t>
      </w:r>
      <w:r>
        <w:rPr>
          <w:spacing w:val="-3"/>
        </w:rPr>
        <w:t> </w:t>
      </w:r>
      <w:r>
        <w:rPr>
          <w:spacing w:val="-2"/>
        </w:rPr>
        <w:t>estágios</w:t>
      </w:r>
      <w:r>
        <w:rPr>
          <w:spacing w:val="5"/>
        </w:rPr>
        <w:t> </w:t>
      </w:r>
      <w:r>
        <w:rPr>
          <w:spacing w:val="-2"/>
        </w:rPr>
        <w:t>da</w:t>
      </w:r>
      <w:r>
        <w:rPr>
          <w:spacing w:val="-5"/>
        </w:rPr>
        <w:t> </w:t>
      </w:r>
      <w:r>
        <w:rPr>
          <w:spacing w:val="-2"/>
        </w:rPr>
        <w:t>doença</w:t>
      </w:r>
      <w:r>
        <w:rPr>
          <w:spacing w:val="-6"/>
        </w:rPr>
        <w:t> </w:t>
      </w:r>
      <w:r>
        <w:rPr>
          <w:spacing w:val="-2"/>
        </w:rPr>
        <w:t>com base</w:t>
      </w:r>
      <w:r>
        <w:rPr>
          <w:spacing w:val="-6"/>
        </w:rPr>
        <w:t> </w:t>
      </w:r>
      <w:r>
        <w:rPr>
          <w:spacing w:val="-2"/>
        </w:rPr>
        <w:t>na</w:t>
      </w:r>
      <w:r>
        <w:rPr>
          <w:spacing w:val="-5"/>
        </w:rPr>
        <w:t> </w:t>
      </w:r>
      <w:r>
        <w:rPr>
          <w:spacing w:val="-2"/>
        </w:rPr>
        <w:t>localização</w:t>
      </w:r>
      <w:r>
        <w:rPr>
          <w:spacing w:val="-3"/>
        </w:rPr>
        <w:t> </w:t>
      </w:r>
      <w:r>
        <w:rPr>
          <w:spacing w:val="-2"/>
        </w:rPr>
        <w:t>e</w:t>
      </w:r>
      <w:r>
        <w:rPr>
          <w:spacing w:val="-6"/>
        </w:rPr>
        <w:t> </w:t>
      </w:r>
      <w:r>
        <w:rPr>
          <w:spacing w:val="-2"/>
        </w:rPr>
        <w:t>gravidade</w:t>
      </w:r>
      <w:r>
        <w:rPr>
          <w:spacing w:val="-5"/>
        </w:rPr>
        <w:t> </w:t>
      </w:r>
      <w:r>
        <w:rPr>
          <w:spacing w:val="-2"/>
        </w:rPr>
        <w:t>das</w:t>
      </w:r>
      <w:r>
        <w:rPr>
          <w:spacing w:val="5"/>
        </w:rPr>
        <w:t> </w:t>
      </w:r>
      <w:r>
        <w:rPr>
          <w:spacing w:val="-2"/>
        </w:rPr>
        <w:t>manifestações</w:t>
      </w:r>
      <w:r>
        <w:rPr>
          <w:spacing w:val="6"/>
        </w:rPr>
        <w:t> </w:t>
      </w:r>
      <w:r>
        <w:rPr>
          <w:spacing w:val="-2"/>
        </w:rPr>
        <w:t>clínicas.</w:t>
      </w:r>
      <w:r>
        <w:rPr>
          <w:spacing w:val="-2"/>
          <w:vertAlign w:val="superscript"/>
        </w:rPr>
        <w:t>6</w:t>
      </w:r>
    </w:p>
    <w:p>
      <w:pPr>
        <w:pStyle w:val="BodyText"/>
        <w:spacing w:line="278" w:lineRule="auto" w:before="52"/>
        <w:ind w:right="497" w:firstLine="0"/>
      </w:pPr>
      <w:r>
        <w:rPr>
          <w:rFonts w:ascii="Cambria" w:hAnsi="Cambria"/>
          <w:color w:val="5A5685"/>
        </w:rPr>
        <w:t>▶</w:t>
      </w:r>
      <w:r>
        <w:rPr>
          <w:rFonts w:ascii="Cambria" w:hAnsi="Cambria"/>
          <w:color w:val="5A5685"/>
          <w:spacing w:val="40"/>
        </w:rPr>
        <w:t> </w:t>
      </w:r>
      <w:r>
        <w:rPr>
          <w:rFonts w:ascii="Arial" w:hAnsi="Arial"/>
          <w:b/>
          <w:color w:val="5A5685"/>
        </w:rPr>
        <w:t>Primeiro estágio. </w:t>
      </w:r>
      <w:r>
        <w:rPr/>
        <w:t>Caracteriza-se pela ocorrência de tromboflebite em veias superficiais não varicosas nas extremidades, observada em cerca de 40% dos pacientes, condição essa que pode preceder por meses ou anos o aparecimento de comprometimento arterial. Menos frequentemente, as alterações venosas ocorrem quase concomitantes com o comprometimento arterial. As veias superficiais não varicosas tornam-se cordões avermelhados,</w:t>
      </w:r>
      <w:r>
        <w:rPr>
          <w:spacing w:val="-4"/>
        </w:rPr>
        <w:t> </w:t>
      </w:r>
      <w:r>
        <w:rPr/>
        <w:t>dolorosos</w:t>
      </w:r>
      <w:r>
        <w:rPr>
          <w:spacing w:val="-4"/>
        </w:rPr>
        <w:t> </w:t>
      </w:r>
      <w:r>
        <w:rPr/>
        <w:t>e</w:t>
      </w:r>
      <w:r>
        <w:rPr>
          <w:spacing w:val="-14"/>
        </w:rPr>
        <w:t> </w:t>
      </w:r>
      <w:r>
        <w:rPr/>
        <w:t>endurecidos</w:t>
      </w:r>
      <w:r>
        <w:rPr>
          <w:spacing w:val="-4"/>
        </w:rPr>
        <w:t> </w:t>
      </w:r>
      <w:r>
        <w:rPr/>
        <w:t>em</w:t>
      </w:r>
      <w:r>
        <w:rPr>
          <w:spacing w:val="-11"/>
        </w:rPr>
        <w:t> </w:t>
      </w:r>
      <w:r>
        <w:rPr/>
        <w:t>pequenos</w:t>
      </w:r>
      <w:r>
        <w:rPr>
          <w:spacing w:val="-4"/>
        </w:rPr>
        <w:t> </w:t>
      </w:r>
      <w:r>
        <w:rPr/>
        <w:t>segmentos</w:t>
      </w:r>
      <w:r>
        <w:rPr>
          <w:spacing w:val="-4"/>
        </w:rPr>
        <w:t> </w:t>
      </w:r>
      <w:r>
        <w:rPr/>
        <w:t>do</w:t>
      </w:r>
      <w:r>
        <w:rPr>
          <w:spacing w:val="-11"/>
        </w:rPr>
        <w:t> </w:t>
      </w:r>
      <w:r>
        <w:rPr/>
        <w:t>vaso,</w:t>
      </w:r>
      <w:r>
        <w:rPr>
          <w:spacing w:val="-4"/>
        </w:rPr>
        <w:t> </w:t>
      </w:r>
      <w:r>
        <w:rPr/>
        <w:t>geralmente</w:t>
      </w:r>
      <w:r>
        <w:rPr>
          <w:spacing w:val="-14"/>
        </w:rPr>
        <w:t> </w:t>
      </w:r>
      <w:r>
        <w:rPr/>
        <w:t>não</w:t>
      </w:r>
      <w:r>
        <w:rPr>
          <w:spacing w:val="-11"/>
        </w:rPr>
        <w:t> </w:t>
      </w:r>
      <w:r>
        <w:rPr/>
        <w:t>comprometendo</w:t>
      </w:r>
      <w:r>
        <w:rPr>
          <w:spacing w:val="-11"/>
        </w:rPr>
        <w:t> </w:t>
      </w:r>
      <w:r>
        <w:rPr/>
        <w:t>mais</w:t>
      </w:r>
      <w:r>
        <w:rPr>
          <w:spacing w:val="-4"/>
        </w:rPr>
        <w:t> </w:t>
      </w:r>
      <w:r>
        <w:rPr/>
        <w:t>de</w:t>
      </w:r>
      <w:r>
        <w:rPr>
          <w:spacing w:val="-14"/>
        </w:rPr>
        <w:t> </w:t>
      </w:r>
      <w:r>
        <w:rPr/>
        <w:t>5 cm de extensão, com regressão do processo inflamatório em cerca de 2 a 3 semanas. Novos surtos de flebite superficial no mesmo ou em outro trajeto venoso podem se suceder, resultando tardiamente em cordões endurecidos, recobertos por pele com manchas de cor castanha, sem sinais inflamatórios e indolores. Episódios repetidos de flebite superficial ocorrem em torno de 60% dos casos.</w:t>
      </w:r>
      <w:r>
        <w:rPr>
          <w:vertAlign w:val="superscript"/>
        </w:rPr>
        <w:t>2</w:t>
      </w:r>
      <w:r>
        <w:rPr>
          <w:vertAlign w:val="baseline"/>
        </w:rPr>
        <w:t> Devido a essas características, o processo é denominado tromboflebite superficial migratória.</w:t>
      </w:r>
    </w:p>
    <w:p>
      <w:pPr>
        <w:pStyle w:val="BodyText"/>
        <w:spacing w:before="17"/>
        <w:ind w:firstLine="0"/>
      </w:pPr>
      <w:r>
        <w:rPr>
          <w:rFonts w:ascii="Cambria" w:hAnsi="Cambria"/>
          <w:color w:val="5A5685"/>
        </w:rPr>
        <w:t>▶</w:t>
      </w:r>
      <w:r>
        <w:rPr>
          <w:rFonts w:ascii="Cambria" w:hAnsi="Cambria"/>
          <w:color w:val="5A5685"/>
          <w:spacing w:val="13"/>
        </w:rPr>
        <w:t> </w:t>
      </w:r>
      <w:r>
        <w:rPr>
          <w:rFonts w:ascii="Arial" w:hAnsi="Arial"/>
          <w:b/>
          <w:color w:val="5A5685"/>
        </w:rPr>
        <w:t>Segundo</w:t>
      </w:r>
      <w:r>
        <w:rPr>
          <w:rFonts w:ascii="Arial" w:hAnsi="Arial"/>
          <w:b/>
          <w:color w:val="5A5685"/>
          <w:spacing w:val="-5"/>
        </w:rPr>
        <w:t> </w:t>
      </w:r>
      <w:r>
        <w:rPr>
          <w:rFonts w:ascii="Arial" w:hAnsi="Arial"/>
          <w:b/>
          <w:color w:val="5A5685"/>
        </w:rPr>
        <w:t>estágio.</w:t>
      </w:r>
      <w:r>
        <w:rPr>
          <w:rFonts w:ascii="Arial" w:hAnsi="Arial"/>
          <w:b/>
          <w:color w:val="5A5685"/>
          <w:spacing w:val="-7"/>
        </w:rPr>
        <w:t> </w:t>
      </w:r>
      <w:r>
        <w:rPr/>
        <w:t>Há</w:t>
      </w:r>
      <w:r>
        <w:rPr>
          <w:spacing w:val="-3"/>
        </w:rPr>
        <w:t> </w:t>
      </w:r>
      <w:r>
        <w:rPr/>
        <w:t>início de</w:t>
      </w:r>
      <w:r>
        <w:rPr>
          <w:spacing w:val="-3"/>
        </w:rPr>
        <w:t> </w:t>
      </w:r>
      <w:r>
        <w:rPr/>
        <w:t>oclusão parcial</w:t>
      </w:r>
      <w:r>
        <w:rPr>
          <w:spacing w:val="2"/>
        </w:rPr>
        <w:t> </w:t>
      </w:r>
      <w:r>
        <w:rPr/>
        <w:t>das</w:t>
      </w:r>
      <w:r>
        <w:rPr>
          <w:spacing w:val="7"/>
        </w:rPr>
        <w:t> </w:t>
      </w:r>
      <w:r>
        <w:rPr/>
        <w:t>artérias,</w:t>
      </w:r>
      <w:r>
        <w:rPr>
          <w:spacing w:val="8"/>
        </w:rPr>
        <w:t> </w:t>
      </w:r>
      <w:r>
        <w:rPr/>
        <w:t>com queixa</w:t>
      </w:r>
      <w:r>
        <w:rPr>
          <w:spacing w:val="-3"/>
        </w:rPr>
        <w:t> </w:t>
      </w:r>
      <w:r>
        <w:rPr/>
        <w:t>de</w:t>
      </w:r>
      <w:r>
        <w:rPr>
          <w:spacing w:val="-3"/>
        </w:rPr>
        <w:t> </w:t>
      </w:r>
      <w:r>
        <w:rPr/>
        <w:t>claudicação</w:t>
      </w:r>
      <w:r>
        <w:rPr>
          <w:spacing w:val="-1"/>
        </w:rPr>
        <w:t> </w:t>
      </w:r>
      <w:r>
        <w:rPr/>
        <w:t>intermitente</w:t>
      </w:r>
      <w:r>
        <w:rPr>
          <w:spacing w:val="-2"/>
        </w:rPr>
        <w:t> </w:t>
      </w:r>
      <w:r>
        <w:rPr/>
        <w:t>na</w:t>
      </w:r>
      <w:r>
        <w:rPr>
          <w:spacing w:val="-3"/>
        </w:rPr>
        <w:t> </w:t>
      </w:r>
      <w:r>
        <w:rPr>
          <w:spacing w:val="-2"/>
        </w:rPr>
        <w:t>região</w:t>
      </w:r>
    </w:p>
    <w:p>
      <w:pPr>
        <w:pStyle w:val="BodyText"/>
        <w:spacing w:after="0"/>
        <w:sectPr>
          <w:pgSz w:w="11900" w:h="16840"/>
          <w:pgMar w:top="200" w:bottom="0" w:left="566" w:right="141"/>
        </w:sectPr>
      </w:pPr>
    </w:p>
    <w:p>
      <w:pPr>
        <w:pStyle w:val="BodyText"/>
        <w:spacing w:line="276" w:lineRule="auto" w:before="63"/>
        <w:ind w:right="497" w:firstLine="0"/>
      </w:pPr>
      <w:r>
        <w:rPr/>
        <w:t>plantar e/ou na musculatura posterior da perna, ou ainda, nos dedos do pé, relatada como sensação de adormecimento ao caminhar grandes distâncias ou rapidamente. O paciente pode, também, referir que seu pé está mais frio, transpirando mais e com retardo de crescimento das unhas. O exame físico pode não revelar qualquer anormalidade, com pulsações arteriais presentes ou discretamente diminuídas em intensidade. Nesse estágio, o diagnóstico se baseará quase que exclusivamente nos sintomas; a história de flebites superficiais de repetição reforça essa possibilidade.</w:t>
      </w:r>
    </w:p>
    <w:p>
      <w:pPr>
        <w:pStyle w:val="BodyText"/>
        <w:spacing w:line="278" w:lineRule="auto" w:before="8"/>
        <w:ind w:right="497" w:firstLine="0"/>
      </w:pPr>
      <w:r>
        <w:rPr>
          <w:rFonts w:ascii="Cambria" w:hAnsi="Cambria"/>
          <w:color w:val="5A5685"/>
        </w:rPr>
        <w:t>▶ </w:t>
      </w:r>
      <w:r>
        <w:rPr>
          <w:rFonts w:ascii="Arial" w:hAnsi="Arial"/>
          <w:b/>
          <w:color w:val="5A5685"/>
        </w:rPr>
        <w:t>Terceiro</w:t>
      </w:r>
      <w:r>
        <w:rPr>
          <w:rFonts w:ascii="Arial" w:hAnsi="Arial"/>
          <w:b/>
          <w:color w:val="5A5685"/>
          <w:spacing w:val="-13"/>
        </w:rPr>
        <w:t> </w:t>
      </w:r>
      <w:r>
        <w:rPr>
          <w:rFonts w:ascii="Arial" w:hAnsi="Arial"/>
          <w:b/>
          <w:color w:val="5A5685"/>
        </w:rPr>
        <w:t>estágio.</w:t>
      </w:r>
      <w:r>
        <w:rPr>
          <w:rFonts w:ascii="Arial" w:hAnsi="Arial"/>
          <w:b/>
          <w:color w:val="5A5685"/>
          <w:spacing w:val="-16"/>
        </w:rPr>
        <w:t> </w:t>
      </w:r>
      <w:r>
        <w:rPr/>
        <w:t>Aparecem</w:t>
      </w:r>
      <w:r>
        <w:rPr>
          <w:spacing w:val="-11"/>
        </w:rPr>
        <w:t> </w:t>
      </w:r>
      <w:r>
        <w:rPr/>
        <w:t>sintomas</w:t>
      </w:r>
      <w:r>
        <w:rPr>
          <w:spacing w:val="-5"/>
        </w:rPr>
        <w:t> </w:t>
      </w:r>
      <w:r>
        <w:rPr/>
        <w:t>e</w:t>
      </w:r>
      <w:r>
        <w:rPr>
          <w:spacing w:val="-14"/>
        </w:rPr>
        <w:t> </w:t>
      </w:r>
      <w:r>
        <w:rPr/>
        <w:t>sinais</w:t>
      </w:r>
      <w:r>
        <w:rPr>
          <w:spacing w:val="-5"/>
        </w:rPr>
        <w:t> </w:t>
      </w:r>
      <w:r>
        <w:rPr/>
        <w:t>evidentes</w:t>
      </w:r>
      <w:r>
        <w:rPr>
          <w:spacing w:val="-5"/>
        </w:rPr>
        <w:t> </w:t>
      </w:r>
      <w:r>
        <w:rPr/>
        <w:t>de</w:t>
      </w:r>
      <w:r>
        <w:rPr>
          <w:spacing w:val="-14"/>
        </w:rPr>
        <w:t> </w:t>
      </w:r>
      <w:r>
        <w:rPr/>
        <w:t>insuficiência</w:t>
      </w:r>
      <w:r>
        <w:rPr>
          <w:spacing w:val="-14"/>
        </w:rPr>
        <w:t> </w:t>
      </w:r>
      <w:r>
        <w:rPr/>
        <w:t>arterial.</w:t>
      </w:r>
      <w:r>
        <w:rPr>
          <w:spacing w:val="-5"/>
        </w:rPr>
        <w:t> </w:t>
      </w:r>
      <w:r>
        <w:rPr/>
        <w:t>A</w:t>
      </w:r>
      <w:r>
        <w:rPr>
          <w:spacing w:val="-14"/>
        </w:rPr>
        <w:t> </w:t>
      </w:r>
      <w:r>
        <w:rPr/>
        <w:t>claudicação</w:t>
      </w:r>
      <w:r>
        <w:rPr>
          <w:spacing w:val="-11"/>
        </w:rPr>
        <w:t> </w:t>
      </w:r>
      <w:r>
        <w:rPr/>
        <w:t>intermitente</w:t>
      </w:r>
      <w:r>
        <w:rPr>
          <w:spacing w:val="-14"/>
        </w:rPr>
        <w:t> </w:t>
      </w:r>
      <w:r>
        <w:rPr/>
        <w:t>na perna</w:t>
      </w:r>
      <w:r>
        <w:rPr>
          <w:spacing w:val="-13"/>
        </w:rPr>
        <w:t> </w:t>
      </w:r>
      <w:r>
        <w:rPr/>
        <w:t>ou</w:t>
      </w:r>
      <w:r>
        <w:rPr>
          <w:spacing w:val="-11"/>
        </w:rPr>
        <w:t> </w:t>
      </w:r>
      <w:r>
        <w:rPr/>
        <w:t>no</w:t>
      </w:r>
      <w:r>
        <w:rPr>
          <w:spacing w:val="-11"/>
        </w:rPr>
        <w:t> </w:t>
      </w:r>
      <w:r>
        <w:rPr/>
        <w:t>pé</w:t>
      </w:r>
      <w:r>
        <w:rPr>
          <w:spacing w:val="-13"/>
        </w:rPr>
        <w:t> </w:t>
      </w:r>
      <w:r>
        <w:rPr/>
        <w:t>aparece</w:t>
      </w:r>
      <w:r>
        <w:rPr>
          <w:spacing w:val="-13"/>
        </w:rPr>
        <w:t> </w:t>
      </w:r>
      <w:r>
        <w:rPr/>
        <w:t>mais</w:t>
      </w:r>
      <w:r>
        <w:rPr>
          <w:spacing w:val="-4"/>
        </w:rPr>
        <w:t> </w:t>
      </w:r>
      <w:r>
        <w:rPr/>
        <w:t>precocemente,</w:t>
      </w:r>
      <w:r>
        <w:rPr>
          <w:spacing w:val="-4"/>
        </w:rPr>
        <w:t> </w:t>
      </w:r>
      <w:r>
        <w:rPr/>
        <w:t>após</w:t>
      </w:r>
      <w:r>
        <w:rPr>
          <w:spacing w:val="-4"/>
        </w:rPr>
        <w:t> </w:t>
      </w:r>
      <w:r>
        <w:rPr/>
        <w:t>andar</w:t>
      </w:r>
      <w:r>
        <w:rPr>
          <w:spacing w:val="-7"/>
        </w:rPr>
        <w:t> </w:t>
      </w:r>
      <w:r>
        <w:rPr/>
        <w:t>distâncias</w:t>
      </w:r>
      <w:r>
        <w:rPr>
          <w:spacing w:val="-4"/>
        </w:rPr>
        <w:t> </w:t>
      </w:r>
      <w:r>
        <w:rPr/>
        <w:t>menores</w:t>
      </w:r>
      <w:r>
        <w:rPr>
          <w:spacing w:val="-4"/>
        </w:rPr>
        <w:t> </w:t>
      </w:r>
      <w:r>
        <w:rPr/>
        <w:t>e</w:t>
      </w:r>
      <w:r>
        <w:rPr>
          <w:spacing w:val="-13"/>
        </w:rPr>
        <w:t> </w:t>
      </w:r>
      <w:r>
        <w:rPr/>
        <w:t>lentamente.</w:t>
      </w:r>
      <w:r>
        <w:rPr>
          <w:spacing w:val="-4"/>
        </w:rPr>
        <w:t> </w:t>
      </w:r>
      <w:r>
        <w:rPr/>
        <w:t>O</w:t>
      </w:r>
      <w:r>
        <w:rPr>
          <w:spacing w:val="-13"/>
        </w:rPr>
        <w:t> </w:t>
      </w:r>
      <w:r>
        <w:rPr/>
        <w:t>paciente</w:t>
      </w:r>
      <w:r>
        <w:rPr>
          <w:spacing w:val="-13"/>
        </w:rPr>
        <w:t> </w:t>
      </w:r>
      <w:r>
        <w:rPr/>
        <w:t>ainda</w:t>
      </w:r>
      <w:r>
        <w:rPr>
          <w:spacing w:val="-13"/>
        </w:rPr>
        <w:t> </w:t>
      </w:r>
      <w:r>
        <w:rPr/>
        <w:t>é</w:t>
      </w:r>
      <w:r>
        <w:rPr>
          <w:spacing w:val="-13"/>
        </w:rPr>
        <w:t> </w:t>
      </w:r>
      <w:r>
        <w:rPr/>
        <w:t>capaz</w:t>
      </w:r>
      <w:r>
        <w:rPr>
          <w:spacing w:val="-13"/>
        </w:rPr>
        <w:t> </w:t>
      </w:r>
      <w:r>
        <w:rPr/>
        <w:t>de realizar suas tarefas diárias sem</w:t>
      </w:r>
      <w:r>
        <w:rPr>
          <w:spacing w:val="-1"/>
        </w:rPr>
        <w:t> </w:t>
      </w:r>
      <w:r>
        <w:rPr/>
        <w:t>grande</w:t>
      </w:r>
      <w:r>
        <w:rPr>
          <w:spacing w:val="-3"/>
        </w:rPr>
        <w:t> </w:t>
      </w:r>
      <w:r>
        <w:rPr/>
        <w:t>incapacidade, tendo, ocasionalmente, que</w:t>
      </w:r>
      <w:r>
        <w:rPr>
          <w:spacing w:val="-3"/>
        </w:rPr>
        <w:t> </w:t>
      </w:r>
      <w:r>
        <w:rPr/>
        <w:t>parar para</w:t>
      </w:r>
      <w:r>
        <w:rPr>
          <w:spacing w:val="-3"/>
        </w:rPr>
        <w:t> </w:t>
      </w:r>
      <w:r>
        <w:rPr/>
        <w:t>descansar. O</w:t>
      </w:r>
      <w:r>
        <w:rPr>
          <w:spacing w:val="-3"/>
        </w:rPr>
        <w:t> </w:t>
      </w:r>
      <w:r>
        <w:rPr/>
        <w:t>aumento da atividade simpática, resultando em sensibilidade ao frio e hiperidrose em 30% dos casos, e, particularmente, o fenômeno de Raynaud, incidindo em aproximadamente 50% dos pacientes, são outras manifestações observadas nos portadores de doença de Buerger nesse estágio.</w:t>
      </w:r>
      <w:r>
        <w:rPr>
          <w:vertAlign w:val="superscript"/>
        </w:rPr>
        <w:t>2</w:t>
      </w:r>
      <w:r>
        <w:rPr>
          <w:vertAlign w:val="baseline"/>
        </w:rPr>
        <w:t> Ausência de pulsações em um ou mais troncos arteriais e hipotermia dos dedos podem ser observadas. Palidez à elevação do membro e eritrocianose com retardo de enchimento venoso com a extremidade pendente são verificadas nessa fase quando, então, o diagnóstico de TAO torna-se evidente.</w:t>
      </w:r>
    </w:p>
    <w:p>
      <w:pPr>
        <w:pStyle w:val="BodyText"/>
        <w:spacing w:line="276" w:lineRule="auto" w:before="20"/>
        <w:ind w:right="497" w:firstLine="0"/>
      </w:pPr>
      <w:r>
        <w:rPr>
          <w:rFonts w:ascii="Cambria" w:hAnsi="Cambria"/>
          <w:color w:val="5A5685"/>
        </w:rPr>
        <w:t>▶</w:t>
      </w:r>
      <w:r>
        <w:rPr>
          <w:rFonts w:ascii="Cambria" w:hAnsi="Cambria"/>
          <w:color w:val="5A5685"/>
          <w:spacing w:val="40"/>
        </w:rPr>
        <w:t> </w:t>
      </w:r>
      <w:r>
        <w:rPr>
          <w:rFonts w:ascii="Arial" w:hAnsi="Arial"/>
          <w:b/>
          <w:color w:val="5A5685"/>
        </w:rPr>
        <w:t>Quarto estágio. </w:t>
      </w:r>
      <w:r>
        <w:rPr/>
        <w:t>Há progressão da doença, a claudicação intermitente torna-se limitante, podendo surgir dor isquêmica de repouso. A artéria poplítea e seus ramos tornam-se comprometidos com redução ou ausência de pulsações;</w:t>
      </w:r>
      <w:r>
        <w:rPr>
          <w:spacing w:val="-4"/>
        </w:rPr>
        <w:t> </w:t>
      </w:r>
      <w:r>
        <w:rPr/>
        <w:t>a</w:t>
      </w:r>
      <w:r>
        <w:rPr>
          <w:spacing w:val="-10"/>
        </w:rPr>
        <w:t> </w:t>
      </w:r>
      <w:r>
        <w:rPr/>
        <w:t>artéria</w:t>
      </w:r>
      <w:r>
        <w:rPr>
          <w:spacing w:val="-10"/>
        </w:rPr>
        <w:t> </w:t>
      </w:r>
      <w:r>
        <w:rPr/>
        <w:t>femoral, geralmente, permanece</w:t>
      </w:r>
      <w:r>
        <w:rPr>
          <w:spacing w:val="-10"/>
        </w:rPr>
        <w:t> </w:t>
      </w:r>
      <w:r>
        <w:rPr/>
        <w:t>com</w:t>
      </w:r>
      <w:r>
        <w:rPr>
          <w:spacing w:val="-7"/>
        </w:rPr>
        <w:t> </w:t>
      </w:r>
      <w:r>
        <w:rPr/>
        <w:t>pulsação</w:t>
      </w:r>
      <w:r>
        <w:rPr>
          <w:spacing w:val="-7"/>
        </w:rPr>
        <w:t> </w:t>
      </w:r>
      <w:r>
        <w:rPr/>
        <w:t>de</w:t>
      </w:r>
      <w:r>
        <w:rPr>
          <w:spacing w:val="-10"/>
        </w:rPr>
        <w:t> </w:t>
      </w:r>
      <w:r>
        <w:rPr/>
        <w:t>intensidade</w:t>
      </w:r>
      <w:r>
        <w:rPr>
          <w:spacing w:val="-10"/>
        </w:rPr>
        <w:t> </w:t>
      </w:r>
      <w:r>
        <w:rPr/>
        <w:t>normal. Nos membros superiores, as pulsações nas artérias radial</w:t>
      </w:r>
      <w:r>
        <w:rPr>
          <w:spacing w:val="-1"/>
        </w:rPr>
        <w:t> </w:t>
      </w:r>
      <w:r>
        <w:rPr/>
        <w:t>e</w:t>
      </w:r>
      <w:r>
        <w:rPr>
          <w:spacing w:val="-6"/>
        </w:rPr>
        <w:t> </w:t>
      </w:r>
      <w:r>
        <w:rPr/>
        <w:t>ulnar estão</w:t>
      </w:r>
      <w:r>
        <w:rPr>
          <w:spacing w:val="-4"/>
        </w:rPr>
        <w:t> </w:t>
      </w:r>
      <w:r>
        <w:rPr/>
        <w:t>diminuídas ou</w:t>
      </w:r>
      <w:r>
        <w:rPr>
          <w:spacing w:val="-4"/>
        </w:rPr>
        <w:t> </w:t>
      </w:r>
      <w:r>
        <w:rPr/>
        <w:t>ausentes, permanecendo</w:t>
      </w:r>
      <w:r>
        <w:rPr>
          <w:spacing w:val="-4"/>
        </w:rPr>
        <w:t> </w:t>
      </w:r>
      <w:r>
        <w:rPr/>
        <w:t>normais nas artérias braquial</w:t>
      </w:r>
      <w:r>
        <w:rPr>
          <w:spacing w:val="-1"/>
        </w:rPr>
        <w:t> </w:t>
      </w:r>
      <w:r>
        <w:rPr/>
        <w:t>e axilar. Em repouso, nos membros inferiores, mas também nos superiores, podemos notar hipotermia e rubor cianótico dos dedos na</w:t>
      </w:r>
      <w:r>
        <w:rPr>
          <w:spacing w:val="-2"/>
        </w:rPr>
        <w:t> </w:t>
      </w:r>
      <w:r>
        <w:rPr/>
        <w:t>posição horizontal e</w:t>
      </w:r>
      <w:r>
        <w:rPr>
          <w:spacing w:val="-2"/>
        </w:rPr>
        <w:t> </w:t>
      </w:r>
      <w:r>
        <w:rPr/>
        <w:t>alterações da</w:t>
      </w:r>
      <w:r>
        <w:rPr>
          <w:spacing w:val="-2"/>
        </w:rPr>
        <w:t> </w:t>
      </w:r>
      <w:r>
        <w:rPr/>
        <w:t>cor da</w:t>
      </w:r>
      <w:r>
        <w:rPr>
          <w:spacing w:val="-2"/>
        </w:rPr>
        <w:t> </w:t>
      </w:r>
      <w:r>
        <w:rPr/>
        <w:t>pele, referidas no estágio anterior, com a</w:t>
      </w:r>
      <w:r>
        <w:rPr>
          <w:spacing w:val="-2"/>
        </w:rPr>
        <w:t> </w:t>
      </w:r>
      <w:r>
        <w:rPr/>
        <w:t>elevação do membro e posterior posição pendente do mesmo: o tempo de enchimento venoso torna-se mais longo, e a hiperemia</w:t>
      </w:r>
      <w:r>
        <w:rPr>
          <w:spacing w:val="-6"/>
        </w:rPr>
        <w:t> </w:t>
      </w:r>
      <w:r>
        <w:rPr/>
        <w:t>reativa, retardada. Apesar do</w:t>
      </w:r>
      <w:r>
        <w:rPr>
          <w:spacing w:val="-3"/>
        </w:rPr>
        <w:t> </w:t>
      </w:r>
      <w:r>
        <w:rPr/>
        <w:t>agravamento</w:t>
      </w:r>
      <w:r>
        <w:rPr>
          <w:spacing w:val="-3"/>
        </w:rPr>
        <w:t> </w:t>
      </w:r>
      <w:r>
        <w:rPr/>
        <w:t>da</w:t>
      </w:r>
      <w:r>
        <w:rPr>
          <w:spacing w:val="-6"/>
        </w:rPr>
        <w:t> </w:t>
      </w:r>
      <w:r>
        <w:rPr/>
        <w:t>isquemia, não</w:t>
      </w:r>
      <w:r>
        <w:rPr>
          <w:spacing w:val="-3"/>
        </w:rPr>
        <w:t> </w:t>
      </w:r>
      <w:r>
        <w:rPr/>
        <w:t>aparecem, contudo, lesões tróficas.</w:t>
      </w:r>
    </w:p>
    <w:p>
      <w:pPr>
        <w:pStyle w:val="BodyText"/>
        <w:spacing w:line="276" w:lineRule="auto" w:before="11"/>
        <w:ind w:right="497" w:firstLine="0"/>
      </w:pPr>
      <w:r>
        <w:rPr>
          <w:rFonts w:ascii="Cambria" w:hAnsi="Cambria"/>
          <w:color w:val="5A5685"/>
        </w:rPr>
        <w:t>▶</w:t>
      </w:r>
      <w:r>
        <w:rPr>
          <w:rFonts w:ascii="Cambria" w:hAnsi="Cambria"/>
          <w:color w:val="5A5685"/>
          <w:spacing w:val="40"/>
        </w:rPr>
        <w:t> </w:t>
      </w:r>
      <w:r>
        <w:rPr>
          <w:rFonts w:ascii="Arial" w:hAnsi="Arial"/>
          <w:b/>
          <w:color w:val="5A5685"/>
        </w:rPr>
        <w:t>Quinto estágio. </w:t>
      </w:r>
      <w:r>
        <w:rPr/>
        <w:t>Dor de repouso em regiões do pé e da mão, nos quais áreas de gangrena iminente ou já estabelecida são notadas. A dor é contínua, acentuando-se com a atividade física, dificultando o sono da noite e determinando queda do estado geral do paciente. Ao exame observam-se sinais de isquemia grave na extremidade: cianose ou rubor cianótico fixo na região afetada que significa lesão pré-necrótica e que surge antes do aparecimento de úlceras ou gangrenas.</w:t>
      </w:r>
    </w:p>
    <w:p>
      <w:pPr>
        <w:pStyle w:val="BodyText"/>
        <w:spacing w:before="184"/>
        <w:ind w:left="0" w:firstLine="0"/>
        <w:jc w:val="left"/>
      </w:pPr>
    </w:p>
    <w:p>
      <w:pPr>
        <w:pStyle w:val="Heading4"/>
      </w:pPr>
      <w:r>
        <w:rPr>
          <w:color w:val="242B67"/>
          <w:spacing w:val="-2"/>
        </w:rPr>
        <w:t>Diagnóstico</w:t>
      </w:r>
    </w:p>
    <w:p>
      <w:pPr>
        <w:pStyle w:val="BodyText"/>
        <w:spacing w:line="290" w:lineRule="auto" w:before="148"/>
        <w:jc w:val="left"/>
      </w:pPr>
      <w:r>
        <w:rPr/>
        <w:t>Cinco</w:t>
      </w:r>
      <w:r>
        <w:rPr>
          <w:spacing w:val="37"/>
        </w:rPr>
        <w:t> </w:t>
      </w:r>
      <w:r>
        <w:rPr/>
        <w:t>manifestações</w:t>
      </w:r>
      <w:r>
        <w:rPr>
          <w:spacing w:val="40"/>
        </w:rPr>
        <w:t> </w:t>
      </w:r>
      <w:r>
        <w:rPr/>
        <w:t>clínicas,</w:t>
      </w:r>
      <w:r>
        <w:rPr>
          <w:spacing w:val="40"/>
        </w:rPr>
        <w:t> </w:t>
      </w:r>
      <w:r>
        <w:rPr/>
        <w:t>que</w:t>
      </w:r>
      <w:r>
        <w:rPr>
          <w:spacing w:val="35"/>
        </w:rPr>
        <w:t> </w:t>
      </w:r>
      <w:r>
        <w:rPr/>
        <w:t>ocorrem</w:t>
      </w:r>
      <w:r>
        <w:rPr>
          <w:spacing w:val="37"/>
        </w:rPr>
        <w:t> </w:t>
      </w:r>
      <w:r>
        <w:rPr/>
        <w:t>concomitantemente,</w:t>
      </w:r>
      <w:r>
        <w:rPr>
          <w:spacing w:val="40"/>
        </w:rPr>
        <w:t> </w:t>
      </w:r>
      <w:r>
        <w:rPr/>
        <w:t>têm</w:t>
      </w:r>
      <w:r>
        <w:rPr>
          <w:spacing w:val="37"/>
        </w:rPr>
        <w:t> </w:t>
      </w:r>
      <w:r>
        <w:rPr/>
        <w:t>sido</w:t>
      </w:r>
      <w:r>
        <w:rPr>
          <w:spacing w:val="37"/>
        </w:rPr>
        <w:t> </w:t>
      </w:r>
      <w:r>
        <w:rPr/>
        <w:t>consideradas</w:t>
      </w:r>
      <w:r>
        <w:rPr>
          <w:spacing w:val="40"/>
        </w:rPr>
        <w:t> </w:t>
      </w:r>
      <w:r>
        <w:rPr/>
        <w:t>por</w:t>
      </w:r>
      <w:r>
        <w:rPr>
          <w:spacing w:val="40"/>
        </w:rPr>
        <w:t> </w:t>
      </w:r>
      <w:r>
        <w:rPr/>
        <w:t>Shionoya</w:t>
      </w:r>
      <w:r>
        <w:rPr>
          <w:spacing w:val="35"/>
        </w:rPr>
        <w:t> </w:t>
      </w:r>
      <w:r>
        <w:rPr/>
        <w:t>como suficientes para se fazer o diagnóstico da doença de Buerger, a saber:</w:t>
      </w:r>
      <w:r>
        <w:rPr>
          <w:vertAlign w:val="superscript"/>
        </w:rPr>
        <w:t>7</w:t>
      </w:r>
    </w:p>
    <w:p>
      <w:pPr>
        <w:pStyle w:val="ListParagraph"/>
        <w:numPr>
          <w:ilvl w:val="0"/>
          <w:numId w:val="29"/>
        </w:numPr>
        <w:tabs>
          <w:tab w:pos="397" w:val="left" w:leader="none"/>
        </w:tabs>
        <w:spacing w:line="240" w:lineRule="auto" w:before="145" w:after="0"/>
        <w:ind w:left="397" w:right="0" w:hanging="329"/>
        <w:jc w:val="left"/>
        <w:rPr>
          <w:sz w:val="23"/>
        </w:rPr>
      </w:pPr>
      <w:r>
        <w:rPr>
          <w:sz w:val="23"/>
        </w:rPr>
        <w:t>História</w:t>
      </w:r>
      <w:r>
        <w:rPr>
          <w:spacing w:val="-3"/>
          <w:sz w:val="23"/>
        </w:rPr>
        <w:t> </w:t>
      </w:r>
      <w:r>
        <w:rPr>
          <w:sz w:val="23"/>
        </w:rPr>
        <w:t>de</w:t>
      </w:r>
      <w:r>
        <w:rPr>
          <w:spacing w:val="-3"/>
          <w:sz w:val="23"/>
        </w:rPr>
        <w:t> </w:t>
      </w:r>
      <w:r>
        <w:rPr>
          <w:spacing w:val="-2"/>
          <w:sz w:val="23"/>
        </w:rPr>
        <w:t>tabagismo</w:t>
      </w:r>
    </w:p>
    <w:p>
      <w:pPr>
        <w:pStyle w:val="ListParagraph"/>
        <w:numPr>
          <w:ilvl w:val="0"/>
          <w:numId w:val="29"/>
        </w:numPr>
        <w:tabs>
          <w:tab w:pos="397" w:val="left" w:leader="none"/>
        </w:tabs>
        <w:spacing w:line="240" w:lineRule="auto" w:before="56" w:after="0"/>
        <w:ind w:left="397" w:right="0" w:hanging="329"/>
        <w:jc w:val="left"/>
        <w:rPr>
          <w:sz w:val="23"/>
        </w:rPr>
      </w:pPr>
      <w:r>
        <w:rPr>
          <w:sz w:val="23"/>
        </w:rPr>
        <w:t>Início</w:t>
      </w:r>
      <w:r>
        <w:rPr>
          <w:spacing w:val="-6"/>
          <w:sz w:val="23"/>
        </w:rPr>
        <w:t> </w:t>
      </w:r>
      <w:r>
        <w:rPr>
          <w:sz w:val="23"/>
        </w:rPr>
        <w:t>dos</w:t>
      </w:r>
      <w:r>
        <w:rPr>
          <w:spacing w:val="1"/>
          <w:sz w:val="23"/>
        </w:rPr>
        <w:t> </w:t>
      </w:r>
      <w:r>
        <w:rPr>
          <w:sz w:val="23"/>
        </w:rPr>
        <w:t>sintomas</w:t>
      </w:r>
      <w:r>
        <w:rPr>
          <w:spacing w:val="2"/>
          <w:sz w:val="23"/>
        </w:rPr>
        <w:t> </w:t>
      </w:r>
      <w:r>
        <w:rPr>
          <w:sz w:val="23"/>
        </w:rPr>
        <w:t>antes</w:t>
      </w:r>
      <w:r>
        <w:rPr>
          <w:spacing w:val="2"/>
          <w:sz w:val="23"/>
        </w:rPr>
        <w:t> </w:t>
      </w:r>
      <w:r>
        <w:rPr>
          <w:sz w:val="23"/>
        </w:rPr>
        <w:t>dos</w:t>
      </w:r>
      <w:r>
        <w:rPr>
          <w:spacing w:val="1"/>
          <w:sz w:val="23"/>
        </w:rPr>
        <w:t> </w:t>
      </w:r>
      <w:r>
        <w:rPr>
          <w:sz w:val="23"/>
        </w:rPr>
        <w:t>50</w:t>
      </w:r>
      <w:r>
        <w:rPr>
          <w:spacing w:val="-6"/>
          <w:sz w:val="23"/>
        </w:rPr>
        <w:t> </w:t>
      </w:r>
      <w:r>
        <w:rPr>
          <w:sz w:val="23"/>
        </w:rPr>
        <w:t>anos</w:t>
      </w:r>
      <w:r>
        <w:rPr>
          <w:spacing w:val="2"/>
          <w:sz w:val="23"/>
        </w:rPr>
        <w:t> </w:t>
      </w:r>
      <w:r>
        <w:rPr>
          <w:sz w:val="23"/>
        </w:rPr>
        <w:t>de</w:t>
      </w:r>
      <w:r>
        <w:rPr>
          <w:spacing w:val="-8"/>
          <w:sz w:val="23"/>
        </w:rPr>
        <w:t> </w:t>
      </w:r>
      <w:r>
        <w:rPr>
          <w:spacing w:val="-4"/>
          <w:sz w:val="23"/>
        </w:rPr>
        <w:t>idade</w:t>
      </w:r>
    </w:p>
    <w:p>
      <w:pPr>
        <w:pStyle w:val="ListParagraph"/>
        <w:numPr>
          <w:ilvl w:val="0"/>
          <w:numId w:val="29"/>
        </w:numPr>
        <w:tabs>
          <w:tab w:pos="397" w:val="left" w:leader="none"/>
        </w:tabs>
        <w:spacing w:line="240" w:lineRule="auto" w:before="72" w:after="0"/>
        <w:ind w:left="397" w:right="0" w:hanging="329"/>
        <w:jc w:val="left"/>
        <w:rPr>
          <w:sz w:val="23"/>
        </w:rPr>
      </w:pPr>
      <w:r>
        <w:rPr>
          <w:sz w:val="23"/>
        </w:rPr>
        <w:t>Lesões</w:t>
      </w:r>
      <w:r>
        <w:rPr>
          <w:spacing w:val="-1"/>
          <w:sz w:val="23"/>
        </w:rPr>
        <w:t> </w:t>
      </w:r>
      <w:r>
        <w:rPr>
          <w:sz w:val="23"/>
        </w:rPr>
        <w:t>obstrutivas</w:t>
      </w:r>
      <w:r>
        <w:rPr>
          <w:spacing w:val="-1"/>
          <w:sz w:val="23"/>
        </w:rPr>
        <w:t> </w:t>
      </w:r>
      <w:r>
        <w:rPr>
          <w:sz w:val="23"/>
        </w:rPr>
        <w:t>arteriais </w:t>
      </w:r>
      <w:r>
        <w:rPr>
          <w:spacing w:val="-2"/>
          <w:sz w:val="23"/>
        </w:rPr>
        <w:t>infrapoplíteas</w:t>
      </w:r>
    </w:p>
    <w:p>
      <w:pPr>
        <w:pStyle w:val="ListParagraph"/>
        <w:numPr>
          <w:ilvl w:val="0"/>
          <w:numId w:val="29"/>
        </w:numPr>
        <w:tabs>
          <w:tab w:pos="397" w:val="left" w:leader="none"/>
        </w:tabs>
        <w:spacing w:line="240" w:lineRule="auto" w:before="55" w:after="0"/>
        <w:ind w:left="397" w:right="0" w:hanging="329"/>
        <w:jc w:val="left"/>
        <w:rPr>
          <w:sz w:val="23"/>
        </w:rPr>
      </w:pPr>
      <w:r>
        <w:rPr>
          <w:sz w:val="23"/>
        </w:rPr>
        <w:t>Lesões</w:t>
      </w:r>
      <w:r>
        <w:rPr>
          <w:spacing w:val="-3"/>
          <w:sz w:val="23"/>
        </w:rPr>
        <w:t> </w:t>
      </w:r>
      <w:r>
        <w:rPr>
          <w:sz w:val="23"/>
        </w:rPr>
        <w:t>arteriais obstrutivas</w:t>
      </w:r>
      <w:r>
        <w:rPr>
          <w:spacing w:val="-1"/>
          <w:sz w:val="23"/>
        </w:rPr>
        <w:t> </w:t>
      </w:r>
      <w:r>
        <w:rPr>
          <w:sz w:val="23"/>
        </w:rPr>
        <w:t>nos membros</w:t>
      </w:r>
      <w:r>
        <w:rPr>
          <w:spacing w:val="-1"/>
          <w:sz w:val="23"/>
        </w:rPr>
        <w:t> </w:t>
      </w:r>
      <w:r>
        <w:rPr>
          <w:sz w:val="23"/>
        </w:rPr>
        <w:t>superiores ou</w:t>
      </w:r>
      <w:r>
        <w:rPr>
          <w:spacing w:val="-8"/>
          <w:sz w:val="23"/>
        </w:rPr>
        <w:t> </w:t>
      </w:r>
      <w:r>
        <w:rPr>
          <w:sz w:val="23"/>
        </w:rPr>
        <w:t>presença</w:t>
      </w:r>
      <w:r>
        <w:rPr>
          <w:spacing w:val="-10"/>
          <w:sz w:val="23"/>
        </w:rPr>
        <w:t> </w:t>
      </w:r>
      <w:r>
        <w:rPr>
          <w:sz w:val="23"/>
        </w:rPr>
        <w:t>de</w:t>
      </w:r>
      <w:r>
        <w:rPr>
          <w:spacing w:val="-10"/>
          <w:sz w:val="23"/>
        </w:rPr>
        <w:t> </w:t>
      </w:r>
      <w:r>
        <w:rPr>
          <w:sz w:val="23"/>
        </w:rPr>
        <w:t>flebite</w:t>
      </w:r>
      <w:r>
        <w:rPr>
          <w:spacing w:val="-10"/>
          <w:sz w:val="23"/>
        </w:rPr>
        <w:t> </w:t>
      </w:r>
      <w:r>
        <w:rPr>
          <w:spacing w:val="-2"/>
          <w:sz w:val="23"/>
        </w:rPr>
        <w:t>migratória</w:t>
      </w:r>
    </w:p>
    <w:p>
      <w:pPr>
        <w:pStyle w:val="ListParagraph"/>
        <w:numPr>
          <w:ilvl w:val="0"/>
          <w:numId w:val="29"/>
        </w:numPr>
        <w:tabs>
          <w:tab w:pos="397" w:val="left" w:leader="none"/>
        </w:tabs>
        <w:spacing w:line="240" w:lineRule="auto" w:before="56" w:after="0"/>
        <w:ind w:left="397" w:right="0" w:hanging="329"/>
        <w:jc w:val="left"/>
        <w:rPr>
          <w:sz w:val="23"/>
        </w:rPr>
      </w:pPr>
      <w:r>
        <w:rPr>
          <w:sz w:val="23"/>
        </w:rPr>
        <w:t>Ausência</w:t>
      </w:r>
      <w:r>
        <w:rPr>
          <w:spacing w:val="-8"/>
          <w:sz w:val="23"/>
        </w:rPr>
        <w:t> </w:t>
      </w:r>
      <w:r>
        <w:rPr>
          <w:sz w:val="23"/>
        </w:rPr>
        <w:t>de</w:t>
      </w:r>
      <w:r>
        <w:rPr>
          <w:spacing w:val="-8"/>
          <w:sz w:val="23"/>
        </w:rPr>
        <w:t> </w:t>
      </w:r>
      <w:r>
        <w:rPr>
          <w:sz w:val="23"/>
        </w:rPr>
        <w:t>outros</w:t>
      </w:r>
      <w:r>
        <w:rPr>
          <w:spacing w:val="3"/>
          <w:sz w:val="23"/>
        </w:rPr>
        <w:t> </w:t>
      </w:r>
      <w:r>
        <w:rPr>
          <w:sz w:val="23"/>
        </w:rPr>
        <w:t>fatores</w:t>
      </w:r>
      <w:r>
        <w:rPr>
          <w:spacing w:val="2"/>
          <w:sz w:val="23"/>
        </w:rPr>
        <w:t> </w:t>
      </w:r>
      <w:r>
        <w:rPr>
          <w:sz w:val="23"/>
        </w:rPr>
        <w:t>de</w:t>
      </w:r>
      <w:r>
        <w:rPr>
          <w:spacing w:val="-8"/>
          <w:sz w:val="23"/>
        </w:rPr>
        <w:t> </w:t>
      </w:r>
      <w:r>
        <w:rPr>
          <w:sz w:val="23"/>
        </w:rPr>
        <w:t>risco</w:t>
      </w:r>
      <w:r>
        <w:rPr>
          <w:spacing w:val="-5"/>
          <w:sz w:val="23"/>
        </w:rPr>
        <w:t> </w:t>
      </w:r>
      <w:r>
        <w:rPr>
          <w:sz w:val="23"/>
        </w:rPr>
        <w:t>para</w:t>
      </w:r>
      <w:r>
        <w:rPr>
          <w:spacing w:val="-7"/>
          <w:sz w:val="23"/>
        </w:rPr>
        <w:t> </w:t>
      </w:r>
      <w:r>
        <w:rPr>
          <w:spacing w:val="-2"/>
          <w:sz w:val="23"/>
        </w:rPr>
        <w:t>aterosclerose.</w:t>
      </w:r>
    </w:p>
    <w:p>
      <w:pPr>
        <w:pStyle w:val="BodyText"/>
        <w:spacing w:before="16"/>
        <w:ind w:left="0" w:firstLine="0"/>
        <w:jc w:val="left"/>
      </w:pPr>
    </w:p>
    <w:p>
      <w:pPr>
        <w:pStyle w:val="BodyText"/>
        <w:spacing w:line="276" w:lineRule="auto" w:before="0"/>
        <w:ind w:right="500"/>
      </w:pPr>
      <w:r>
        <w:rPr/>
        <w:t>Não há exames laboratoriais específicos para os pacientes com TAO. No entanto, esses exames bioquímicos devem ser realizados para</w:t>
      </w:r>
      <w:r>
        <w:rPr>
          <w:spacing w:val="-1"/>
        </w:rPr>
        <w:t> </w:t>
      </w:r>
      <w:r>
        <w:rPr/>
        <w:t>afastar outras arterites, a</w:t>
      </w:r>
      <w:r>
        <w:rPr>
          <w:spacing w:val="-1"/>
        </w:rPr>
        <w:t> </w:t>
      </w:r>
      <w:r>
        <w:rPr/>
        <w:t>própria</w:t>
      </w:r>
      <w:r>
        <w:rPr>
          <w:spacing w:val="-1"/>
        </w:rPr>
        <w:t> </w:t>
      </w:r>
      <w:r>
        <w:rPr/>
        <w:t>aterosclerose</w:t>
      </w:r>
      <w:r>
        <w:rPr>
          <w:spacing w:val="-1"/>
        </w:rPr>
        <w:t> </w:t>
      </w:r>
      <w:r>
        <w:rPr/>
        <w:t>e, ainda, coagulopatias.</w:t>
      </w:r>
    </w:p>
    <w:p>
      <w:pPr>
        <w:pStyle w:val="BodyText"/>
        <w:spacing w:line="276" w:lineRule="auto" w:before="48"/>
        <w:ind w:right="488"/>
      </w:pPr>
      <w:r>
        <w:rPr/>
        <w:t>Exame não invasivo, como ultrassom-Doppler, pode ser útil para medir a pressão nas artérias distais à obstrução, possibilitando a avaliação do grau de isquemia do membro; entretanto, o mapeamento duplex é um exame mais completo, pois fornece informações anatômicas e funcionais, tornando possível identificar obstruções arteriais distais, características do fluxo em vasos distais à oclusão e alterações na parede arterial como espessamentos,</w:t>
      </w:r>
      <w:r>
        <w:rPr>
          <w:spacing w:val="-4"/>
        </w:rPr>
        <w:t> </w:t>
      </w:r>
      <w:r>
        <w:rPr/>
        <w:t>calcificação</w:t>
      </w:r>
      <w:r>
        <w:rPr>
          <w:spacing w:val="-11"/>
        </w:rPr>
        <w:t> </w:t>
      </w:r>
      <w:r>
        <w:rPr/>
        <w:t>e,</w:t>
      </w:r>
      <w:r>
        <w:rPr>
          <w:spacing w:val="-4"/>
        </w:rPr>
        <w:t> </w:t>
      </w:r>
      <w:r>
        <w:rPr/>
        <w:t>também,</w:t>
      </w:r>
      <w:r>
        <w:rPr>
          <w:spacing w:val="-4"/>
        </w:rPr>
        <w:t> </w:t>
      </w:r>
      <w:r>
        <w:rPr/>
        <w:t>trombos</w:t>
      </w:r>
      <w:r>
        <w:rPr>
          <w:spacing w:val="-4"/>
        </w:rPr>
        <w:t> </w:t>
      </w:r>
      <w:r>
        <w:rPr/>
        <w:t>intraluminares.</w:t>
      </w:r>
      <w:r>
        <w:rPr>
          <w:spacing w:val="-4"/>
        </w:rPr>
        <w:t> </w:t>
      </w:r>
      <w:r>
        <w:rPr/>
        <w:t>Ecocardiograma</w:t>
      </w:r>
      <w:r>
        <w:rPr>
          <w:spacing w:val="-14"/>
        </w:rPr>
        <w:t> </w:t>
      </w:r>
      <w:r>
        <w:rPr/>
        <w:t>bidimensional</w:t>
      </w:r>
      <w:r>
        <w:rPr>
          <w:spacing w:val="-9"/>
        </w:rPr>
        <w:t> </w:t>
      </w:r>
      <w:r>
        <w:rPr/>
        <w:t>e/ou</w:t>
      </w:r>
      <w:r>
        <w:rPr>
          <w:spacing w:val="-11"/>
        </w:rPr>
        <w:t> </w:t>
      </w:r>
      <w:r>
        <w:rPr/>
        <w:t>transesofágico deve ser realizado para excluir fonte proximal de êmbolo.</w:t>
      </w:r>
    </w:p>
    <w:p>
      <w:pPr>
        <w:pStyle w:val="BodyText"/>
        <w:spacing w:line="283" w:lineRule="auto"/>
        <w:ind w:right="488"/>
      </w:pPr>
      <w:r>
        <w:rPr/>
        <w:t>Atualmente, com a evolução da definição de imagem dos aparelhos de última geração, é possível inclusive caracterizar, classificar e</w:t>
      </w:r>
      <w:r>
        <w:rPr>
          <w:spacing w:val="-8"/>
        </w:rPr>
        <w:t> </w:t>
      </w:r>
      <w:r>
        <w:rPr/>
        <w:t>quantificar o</w:t>
      </w:r>
      <w:r>
        <w:rPr>
          <w:spacing w:val="-6"/>
        </w:rPr>
        <w:t> </w:t>
      </w:r>
      <w:r>
        <w:rPr/>
        <w:t>grau</w:t>
      </w:r>
      <w:r>
        <w:rPr>
          <w:spacing w:val="-6"/>
        </w:rPr>
        <w:t> </w:t>
      </w:r>
      <w:r>
        <w:rPr/>
        <w:t>de</w:t>
      </w:r>
      <w:r>
        <w:rPr>
          <w:spacing w:val="-8"/>
        </w:rPr>
        <w:t> </w:t>
      </w:r>
      <w:r>
        <w:rPr/>
        <w:t>desenvolvimento</w:t>
      </w:r>
      <w:r>
        <w:rPr>
          <w:spacing w:val="-6"/>
        </w:rPr>
        <w:t> </w:t>
      </w:r>
      <w:r>
        <w:rPr/>
        <w:t>e</w:t>
      </w:r>
      <w:r>
        <w:rPr>
          <w:spacing w:val="-8"/>
        </w:rPr>
        <w:t> </w:t>
      </w:r>
      <w:r>
        <w:rPr/>
        <w:t>eficácia</w:t>
      </w:r>
      <w:r>
        <w:rPr>
          <w:spacing w:val="-8"/>
        </w:rPr>
        <w:t> </w:t>
      </w:r>
      <w:r>
        <w:rPr/>
        <w:t>hemodinâmica</w:t>
      </w:r>
      <w:r>
        <w:rPr>
          <w:spacing w:val="-8"/>
        </w:rPr>
        <w:t> </w:t>
      </w:r>
      <w:r>
        <w:rPr/>
        <w:t>das artérias que</w:t>
      </w:r>
      <w:r>
        <w:rPr>
          <w:spacing w:val="-8"/>
        </w:rPr>
        <w:t> </w:t>
      </w:r>
      <w:r>
        <w:rPr/>
        <w:t>formam</w:t>
      </w:r>
      <w:r>
        <w:rPr>
          <w:spacing w:val="-6"/>
        </w:rPr>
        <w:t> </w:t>
      </w:r>
      <w:r>
        <w:rPr/>
        <w:t>a circulação colateral característica da TAO (colaterais em saca-rolha).</w:t>
      </w:r>
      <w:r>
        <w:rPr>
          <w:vertAlign w:val="superscript"/>
        </w:rPr>
        <w:t>8</w:t>
      </w:r>
    </w:p>
    <w:p>
      <w:pPr>
        <w:pStyle w:val="BodyText"/>
        <w:spacing w:before="57"/>
        <w:ind w:left="414" w:firstLine="0"/>
      </w:pPr>
      <w:r>
        <w:rPr/>
        <w:t>Embora</w:t>
      </w:r>
      <w:r>
        <w:rPr>
          <w:spacing w:val="-11"/>
        </w:rPr>
        <w:t> </w:t>
      </w:r>
      <w:r>
        <w:rPr/>
        <w:t>tenha</w:t>
      </w:r>
      <w:r>
        <w:rPr>
          <w:spacing w:val="-10"/>
        </w:rPr>
        <w:t> </w:t>
      </w:r>
      <w:r>
        <w:rPr/>
        <w:t>havido</w:t>
      </w:r>
      <w:r>
        <w:rPr>
          <w:spacing w:val="-8"/>
        </w:rPr>
        <w:t> </w:t>
      </w:r>
      <w:r>
        <w:rPr/>
        <w:t>grandes</w:t>
      </w:r>
      <w:r>
        <w:rPr>
          <w:spacing w:val="-1"/>
        </w:rPr>
        <w:t> </w:t>
      </w:r>
      <w:r>
        <w:rPr/>
        <w:t>avanços na</w:t>
      </w:r>
      <w:r>
        <w:rPr>
          <w:spacing w:val="-10"/>
        </w:rPr>
        <w:t> </w:t>
      </w:r>
      <w:r>
        <w:rPr/>
        <w:t>definição</w:t>
      </w:r>
      <w:r>
        <w:rPr>
          <w:spacing w:val="-8"/>
        </w:rPr>
        <w:t> </w:t>
      </w:r>
      <w:r>
        <w:rPr/>
        <w:t>de</w:t>
      </w:r>
      <w:r>
        <w:rPr>
          <w:spacing w:val="-11"/>
        </w:rPr>
        <w:t> </w:t>
      </w:r>
      <w:r>
        <w:rPr/>
        <w:t>imagens das</w:t>
      </w:r>
      <w:r>
        <w:rPr>
          <w:spacing w:val="-1"/>
        </w:rPr>
        <w:t> </w:t>
      </w:r>
      <w:r>
        <w:rPr/>
        <w:t>artérias mais distais</w:t>
      </w:r>
      <w:r>
        <w:rPr>
          <w:spacing w:val="-1"/>
        </w:rPr>
        <w:t> </w:t>
      </w:r>
      <w:r>
        <w:rPr/>
        <w:t>das extremidades, </w:t>
      </w:r>
      <w:r>
        <w:rPr>
          <w:spacing w:val="-2"/>
        </w:rPr>
        <w:t>tanto</w:t>
      </w:r>
    </w:p>
    <w:p>
      <w:pPr>
        <w:pStyle w:val="BodyText"/>
        <w:spacing w:after="0"/>
        <w:sectPr>
          <w:pgSz w:w="11900" w:h="16840"/>
          <w:pgMar w:top="200" w:bottom="280" w:left="566" w:right="141"/>
        </w:sectPr>
      </w:pPr>
    </w:p>
    <w:p>
      <w:pPr>
        <w:pStyle w:val="BodyText"/>
        <w:spacing w:line="290" w:lineRule="auto" w:before="77"/>
        <w:ind w:right="498" w:firstLine="0"/>
      </w:pPr>
      <w:r>
        <w:rPr/>
        <w:t>na</w:t>
      </w:r>
      <w:r>
        <w:rPr>
          <w:spacing w:val="-7"/>
        </w:rPr>
        <w:t> </w:t>
      </w:r>
      <w:r>
        <w:rPr/>
        <w:t>angiotomografia</w:t>
      </w:r>
      <w:r>
        <w:rPr>
          <w:spacing w:val="-7"/>
        </w:rPr>
        <w:t> </w:t>
      </w:r>
      <w:r>
        <w:rPr/>
        <w:t>como</w:t>
      </w:r>
      <w:r>
        <w:rPr>
          <w:spacing w:val="-5"/>
        </w:rPr>
        <w:t> </w:t>
      </w:r>
      <w:r>
        <w:rPr/>
        <w:t>na</w:t>
      </w:r>
      <w:r>
        <w:rPr>
          <w:spacing w:val="-7"/>
        </w:rPr>
        <w:t> </w:t>
      </w:r>
      <w:r>
        <w:rPr/>
        <w:t>angiorressonância</w:t>
      </w:r>
      <w:r>
        <w:rPr>
          <w:spacing w:val="-7"/>
        </w:rPr>
        <w:t> </w:t>
      </w:r>
      <w:r>
        <w:rPr/>
        <w:t>magnética, em</w:t>
      </w:r>
      <w:r>
        <w:rPr>
          <w:spacing w:val="-5"/>
        </w:rPr>
        <w:t> </w:t>
      </w:r>
      <w:r>
        <w:rPr/>
        <w:t>muitos pacientes a</w:t>
      </w:r>
      <w:r>
        <w:rPr>
          <w:spacing w:val="-7"/>
        </w:rPr>
        <w:t> </w:t>
      </w:r>
      <w:r>
        <w:rPr/>
        <w:t>arteriografia</w:t>
      </w:r>
      <w:r>
        <w:rPr>
          <w:spacing w:val="-7"/>
        </w:rPr>
        <w:t> </w:t>
      </w:r>
      <w:r>
        <w:rPr/>
        <w:t>contrastada</w:t>
      </w:r>
      <w:r>
        <w:rPr>
          <w:spacing w:val="-7"/>
        </w:rPr>
        <w:t> </w:t>
      </w:r>
      <w:r>
        <w:rPr/>
        <w:t>invasiva continua sendo de grande utilidade no estudo da doença das pequenas artérias distais.</w:t>
      </w:r>
      <w:r>
        <w:rPr>
          <w:vertAlign w:val="superscript"/>
        </w:rPr>
        <w:t>4</w:t>
      </w:r>
    </w:p>
    <w:p>
      <w:pPr>
        <w:pStyle w:val="BodyText"/>
        <w:spacing w:line="276" w:lineRule="auto" w:before="49"/>
        <w:ind w:right="494"/>
      </w:pPr>
      <w:r>
        <w:rPr/>
        <w:t>A arteriografia é, portanto, o exame complementar que fornece dados mais sugestivos da doença, a saber: artérias proximais de aspecto normal, sem irregularidades de parede características da aterosclerose ou dilatações aneurismáticas; obstruções segmentares das artérias infrapoplíteas e distais à artéria braquial, intercaladas com segmentos arteriais normais; rede de colaterais finas e tortuosas no trajeto dos vasos ocluídos (</w:t>
      </w:r>
      <w:r>
        <w:rPr>
          <w:color w:val="505050"/>
        </w:rPr>
        <w:t>Figura 59.15</w:t>
      </w:r>
      <w:r>
        <w:rPr/>
        <w:t>).</w:t>
      </w:r>
    </w:p>
    <w:p>
      <w:pPr>
        <w:pStyle w:val="BodyText"/>
        <w:spacing w:before="134"/>
        <w:ind w:left="0" w:firstLine="0"/>
        <w:jc w:val="left"/>
      </w:pPr>
    </w:p>
    <w:p>
      <w:pPr>
        <w:pStyle w:val="Heading5"/>
      </w:pPr>
      <w:r>
        <w:rPr>
          <w:color w:val="A26108"/>
        </w:rPr>
        <w:t>Diagnóstico</w:t>
      </w:r>
      <w:r>
        <w:rPr>
          <w:color w:val="A26108"/>
          <w:spacing w:val="36"/>
        </w:rPr>
        <w:t> </w:t>
      </w:r>
      <w:r>
        <w:rPr>
          <w:color w:val="A26108"/>
          <w:spacing w:val="-2"/>
        </w:rPr>
        <w:t>diferencial</w:t>
      </w:r>
    </w:p>
    <w:p>
      <w:pPr>
        <w:pStyle w:val="BodyText"/>
        <w:spacing w:line="276" w:lineRule="auto" w:before="122"/>
        <w:ind w:right="488"/>
      </w:pPr>
      <w:r>
        <w:rPr/>
        <w:t>Pode-se encontrar dificuldade diagnóstica entre doença de Buerger e arteriosclerose obliterante em portador de obstrução arterial crônica</w:t>
      </w:r>
      <w:r>
        <w:rPr>
          <w:spacing w:val="-1"/>
        </w:rPr>
        <w:t> </w:t>
      </w:r>
      <w:r>
        <w:rPr/>
        <w:t>periférica. Vários aspectos devem ser levados em conta:</w:t>
      </w:r>
    </w:p>
    <w:p>
      <w:pPr>
        <w:pStyle w:val="ListParagraph"/>
        <w:numPr>
          <w:ilvl w:val="0"/>
          <w:numId w:val="29"/>
        </w:numPr>
        <w:tabs>
          <w:tab w:pos="431" w:val="left" w:leader="none"/>
        </w:tabs>
        <w:spacing w:line="276" w:lineRule="auto" w:before="161" w:after="0"/>
        <w:ind w:left="68" w:right="502" w:firstLine="0"/>
        <w:jc w:val="both"/>
        <w:rPr>
          <w:sz w:val="23"/>
        </w:rPr>
      </w:pPr>
      <w:r>
        <w:rPr>
          <w:sz w:val="23"/>
        </w:rPr>
        <w:t>Idade de início: a TAO geralmente começa abaixo dos 40 anos, ao passo que a aterosclerose se manifesta, comumente, após os 45 anos. No entanto, na presença de diabetes, a aterosclerose pode se manifestar mais precocemente, em</w:t>
      </w:r>
      <w:r>
        <w:rPr>
          <w:spacing w:val="-1"/>
          <w:sz w:val="23"/>
        </w:rPr>
        <w:t> </w:t>
      </w:r>
      <w:r>
        <w:rPr>
          <w:sz w:val="23"/>
        </w:rPr>
        <w:t>torno</w:t>
      </w:r>
      <w:r>
        <w:rPr>
          <w:spacing w:val="-1"/>
          <w:sz w:val="23"/>
        </w:rPr>
        <w:t> </w:t>
      </w:r>
      <w:r>
        <w:rPr>
          <w:sz w:val="23"/>
        </w:rPr>
        <w:t>dos 40</w:t>
      </w:r>
      <w:r>
        <w:rPr>
          <w:spacing w:val="-1"/>
          <w:sz w:val="23"/>
        </w:rPr>
        <w:t> </w:t>
      </w:r>
      <w:r>
        <w:rPr>
          <w:sz w:val="23"/>
        </w:rPr>
        <w:t>anos, tornando</w:t>
      </w:r>
      <w:r>
        <w:rPr>
          <w:spacing w:val="-1"/>
          <w:sz w:val="23"/>
        </w:rPr>
        <w:t> </w:t>
      </w:r>
      <w:r>
        <w:rPr>
          <w:sz w:val="23"/>
        </w:rPr>
        <w:t>o</w:t>
      </w:r>
      <w:r>
        <w:rPr>
          <w:spacing w:val="-1"/>
          <w:sz w:val="23"/>
        </w:rPr>
        <w:t> </w:t>
      </w:r>
      <w:r>
        <w:rPr>
          <w:sz w:val="23"/>
        </w:rPr>
        <w:t>aspecto</w:t>
      </w:r>
      <w:r>
        <w:rPr>
          <w:spacing w:val="-1"/>
          <w:sz w:val="23"/>
        </w:rPr>
        <w:t> </w:t>
      </w:r>
      <w:r>
        <w:rPr>
          <w:sz w:val="23"/>
        </w:rPr>
        <w:t>idade</w:t>
      </w:r>
      <w:r>
        <w:rPr>
          <w:spacing w:val="-4"/>
          <w:sz w:val="23"/>
        </w:rPr>
        <w:t> </w:t>
      </w:r>
      <w:r>
        <w:rPr>
          <w:sz w:val="23"/>
        </w:rPr>
        <w:t>de</w:t>
      </w:r>
      <w:r>
        <w:rPr>
          <w:spacing w:val="-4"/>
          <w:sz w:val="23"/>
        </w:rPr>
        <w:t> </w:t>
      </w:r>
      <w:r>
        <w:rPr>
          <w:sz w:val="23"/>
        </w:rPr>
        <w:t>pouco</w:t>
      </w:r>
      <w:r>
        <w:rPr>
          <w:spacing w:val="-1"/>
          <w:sz w:val="23"/>
        </w:rPr>
        <w:t> </w:t>
      </w:r>
      <w:r>
        <w:rPr>
          <w:sz w:val="23"/>
        </w:rPr>
        <w:t>valor diagnóstico</w:t>
      </w:r>
      <w:r>
        <w:rPr>
          <w:spacing w:val="-1"/>
          <w:sz w:val="23"/>
        </w:rPr>
        <w:t> </w:t>
      </w:r>
      <w:r>
        <w:rPr>
          <w:sz w:val="23"/>
        </w:rPr>
        <w:t>nessa</w:t>
      </w:r>
      <w:r>
        <w:rPr>
          <w:spacing w:val="-4"/>
          <w:sz w:val="23"/>
        </w:rPr>
        <w:t> </w:t>
      </w:r>
      <w:r>
        <w:rPr>
          <w:sz w:val="23"/>
        </w:rPr>
        <w:t>circunstância</w:t>
      </w:r>
    </w:p>
    <w:p>
      <w:pPr>
        <w:pStyle w:val="ListParagraph"/>
        <w:numPr>
          <w:ilvl w:val="0"/>
          <w:numId w:val="29"/>
        </w:numPr>
        <w:tabs>
          <w:tab w:pos="425" w:val="left" w:leader="none"/>
        </w:tabs>
        <w:spacing w:line="276" w:lineRule="auto" w:before="32" w:after="0"/>
        <w:ind w:left="68" w:right="500" w:firstLine="0"/>
        <w:jc w:val="both"/>
        <w:rPr>
          <w:sz w:val="23"/>
        </w:rPr>
      </w:pPr>
      <w:r>
        <w:rPr>
          <w:sz w:val="23"/>
        </w:rPr>
        <w:t>Manifestações de aterosclerose em outros territórios orgânicos: sinais de insuficiência coronária e alterações arterioscleróticas nos vasos da retina associadas a hipertensão arterial, e níveis elevados de colesterol sanguíneo reforçam a hipótese de que as obstruções arteriais dos membros inferiores sejam de origem arteriosclerótica</w:t>
      </w:r>
    </w:p>
    <w:p>
      <w:pPr>
        <w:pStyle w:val="ListParagraph"/>
        <w:numPr>
          <w:ilvl w:val="0"/>
          <w:numId w:val="29"/>
        </w:numPr>
        <w:tabs>
          <w:tab w:pos="407" w:val="left" w:leader="none"/>
        </w:tabs>
        <w:spacing w:line="276" w:lineRule="auto" w:before="17" w:after="0"/>
        <w:ind w:left="68" w:right="489" w:firstLine="0"/>
        <w:jc w:val="both"/>
        <w:rPr>
          <w:sz w:val="23"/>
        </w:rPr>
      </w:pPr>
      <w:r>
        <w:rPr>
          <w:sz w:val="23"/>
        </w:rPr>
        <w:t>Outros dados clínicos: a total abstinência do fumo tende a afastar o diagnóstico de TAO, ao passo que história de tromboflebites superficiais de repetição reforça essa possibilidade, pois essa manifestação nunca está presente nos casos de arteriosclerose periférica. Da mesma forma, a ocorrência de lesões isquêmicas nos dedos das mãos é relativamente frequente na TAO (</w:t>
      </w:r>
      <w:r>
        <w:rPr>
          <w:color w:val="505050"/>
          <w:sz w:val="23"/>
        </w:rPr>
        <w:t>Figura 59.16</w:t>
      </w:r>
      <w:r>
        <w:rPr>
          <w:sz w:val="23"/>
        </w:rPr>
        <w:t>) e rara na arteriosclerose. A presença de diabetes, por sua vez, é muito rara em pacientes com TAO</w:t>
      </w:r>
    </w:p>
    <w:p>
      <w:pPr>
        <w:pStyle w:val="ListParagraph"/>
        <w:numPr>
          <w:ilvl w:val="0"/>
          <w:numId w:val="29"/>
        </w:numPr>
        <w:tabs>
          <w:tab w:pos="439" w:val="left" w:leader="none"/>
        </w:tabs>
        <w:spacing w:line="276" w:lineRule="auto" w:before="32" w:after="0"/>
        <w:ind w:left="68" w:right="489" w:firstLine="0"/>
        <w:jc w:val="both"/>
        <w:rPr>
          <w:sz w:val="23"/>
        </w:rPr>
      </w:pPr>
      <w:r>
        <w:rPr>
          <w:sz w:val="23"/>
        </w:rPr>
        <w:t>Aspectos arteriográficos: na arteriosclerose obliterante, as artérias mostram-se tortuosas e com defeitos de enchimento</w:t>
      </w:r>
      <w:r>
        <w:rPr>
          <w:spacing w:val="-3"/>
          <w:sz w:val="23"/>
        </w:rPr>
        <w:t> </w:t>
      </w:r>
      <w:r>
        <w:rPr>
          <w:sz w:val="23"/>
        </w:rPr>
        <w:t>excêntrico</w:t>
      </w:r>
      <w:r>
        <w:rPr>
          <w:spacing w:val="-3"/>
          <w:sz w:val="23"/>
        </w:rPr>
        <w:t> </w:t>
      </w:r>
      <w:r>
        <w:rPr>
          <w:sz w:val="23"/>
        </w:rPr>
        <w:t>devido</w:t>
      </w:r>
      <w:r>
        <w:rPr>
          <w:spacing w:val="-3"/>
          <w:sz w:val="23"/>
        </w:rPr>
        <w:t> </w:t>
      </w:r>
      <w:r>
        <w:rPr>
          <w:sz w:val="23"/>
        </w:rPr>
        <w:t>à</w:t>
      </w:r>
      <w:r>
        <w:rPr>
          <w:spacing w:val="-6"/>
          <w:sz w:val="23"/>
        </w:rPr>
        <w:t> </w:t>
      </w:r>
      <w:r>
        <w:rPr>
          <w:sz w:val="23"/>
        </w:rPr>
        <w:t>presença</w:t>
      </w:r>
      <w:r>
        <w:rPr>
          <w:spacing w:val="-6"/>
          <w:sz w:val="23"/>
        </w:rPr>
        <w:t> </w:t>
      </w:r>
      <w:r>
        <w:rPr>
          <w:sz w:val="23"/>
        </w:rPr>
        <w:t>das placas de</w:t>
      </w:r>
      <w:r>
        <w:rPr>
          <w:spacing w:val="-6"/>
          <w:sz w:val="23"/>
        </w:rPr>
        <w:t> </w:t>
      </w:r>
      <w:r>
        <w:rPr>
          <w:sz w:val="23"/>
        </w:rPr>
        <w:t>ateroma. Essas alterações predominam</w:t>
      </w:r>
      <w:r>
        <w:rPr>
          <w:spacing w:val="-3"/>
          <w:sz w:val="23"/>
        </w:rPr>
        <w:t> </w:t>
      </w:r>
      <w:r>
        <w:rPr>
          <w:sz w:val="23"/>
        </w:rPr>
        <w:t>nos troncos arteriais proximais, são pouco frequentes nos membros superiores e, não raramente, se acompanham de calcificação da parede do vaso. Por outro lado, os aspectos arteriográficos na TAO são bastante característicos e já citados </w:t>
      </w:r>
      <w:r>
        <w:rPr>
          <w:spacing w:val="-2"/>
          <w:sz w:val="23"/>
        </w:rPr>
        <w:t>anteriormente.</w:t>
      </w:r>
    </w:p>
    <w:p>
      <w:pPr>
        <w:pStyle w:val="BodyText"/>
        <w:spacing w:before="186"/>
        <w:ind w:left="0" w:firstLine="0"/>
        <w:jc w:val="left"/>
      </w:pPr>
    </w:p>
    <w:p>
      <w:pPr>
        <w:pStyle w:val="Heading4"/>
      </w:pPr>
      <w:r>
        <w:rPr>
          <w:color w:val="242B67"/>
          <w:spacing w:val="-2"/>
        </w:rPr>
        <w:t>Tratamento</w:t>
      </w:r>
    </w:p>
    <w:p>
      <w:pPr>
        <w:pStyle w:val="BodyText"/>
        <w:spacing w:line="276" w:lineRule="auto" w:before="132"/>
        <w:ind w:right="488"/>
      </w:pPr>
      <w:r>
        <w:rPr/>
        <w:t>A interrupção do fumo é medida fundamental para promover a estabilização da doença, pois os pacientes que continuam fumando não raramente necessitam de amputações maiores.</w:t>
      </w:r>
    </w:p>
    <w:p>
      <w:pPr>
        <w:pStyle w:val="BodyText"/>
        <w:spacing w:line="276" w:lineRule="auto"/>
        <w:ind w:right="488"/>
      </w:pPr>
      <w:r>
        <w:rPr/>
        <w:t>A dor isquêmica de repouso deve ser tratada com analgésicos potentes, associados, quando necessário, a antidepressivos e ansiolíticos de maneira a evitar que o paciente durma com o membro inferior pendente para fora do leito, aliviando o edema decorrente dessa postura e que agrava as condições de perfusão tecidual. Quando a dor se</w:t>
      </w:r>
      <w:r>
        <w:rPr>
          <w:spacing w:val="-5"/>
        </w:rPr>
        <w:t> </w:t>
      </w:r>
      <w:r>
        <w:rPr/>
        <w:t>torna</w:t>
      </w:r>
      <w:r>
        <w:rPr>
          <w:spacing w:val="-5"/>
        </w:rPr>
        <w:t> </w:t>
      </w:r>
      <w:r>
        <w:rPr/>
        <w:t>incontrolável pelas medidas habituais, pode-se</w:t>
      </w:r>
      <w:r>
        <w:rPr>
          <w:spacing w:val="-5"/>
        </w:rPr>
        <w:t> </w:t>
      </w:r>
      <w:r>
        <w:rPr/>
        <w:t>lançar mão</w:t>
      </w:r>
      <w:r>
        <w:rPr>
          <w:spacing w:val="-3"/>
        </w:rPr>
        <w:t> </w:t>
      </w:r>
      <w:r>
        <w:rPr/>
        <w:t>da</w:t>
      </w:r>
      <w:r>
        <w:rPr>
          <w:spacing w:val="-5"/>
        </w:rPr>
        <w:t> </w:t>
      </w:r>
      <w:r>
        <w:rPr/>
        <w:t>neurotripsia, ou</w:t>
      </w:r>
      <w:r>
        <w:rPr>
          <w:spacing w:val="-3"/>
        </w:rPr>
        <w:t> </w:t>
      </w:r>
      <w:r>
        <w:rPr/>
        <w:t>seja, procedimento</w:t>
      </w:r>
      <w:r>
        <w:rPr>
          <w:spacing w:val="-3"/>
        </w:rPr>
        <w:t> </w:t>
      </w:r>
      <w:r>
        <w:rPr/>
        <w:t>cirúrgico que consiste no esmagamento dos nervos sensitivos responsáveis pela inervação do pé.</w:t>
      </w:r>
    </w:p>
    <w:p>
      <w:pPr>
        <w:pStyle w:val="BodyText"/>
        <w:spacing w:after="0" w:line="276" w:lineRule="auto"/>
        <w:sectPr>
          <w:pgSz w:w="11900" w:h="16840"/>
          <w:pgMar w:top="180" w:bottom="280" w:left="566" w:right="141"/>
        </w:sectPr>
      </w:pPr>
    </w:p>
    <w:p>
      <w:pPr>
        <w:spacing w:line="240" w:lineRule="auto"/>
        <w:ind w:left="3830" w:right="0" w:firstLine="0"/>
        <w:rPr>
          <w:sz w:val="20"/>
        </w:rPr>
      </w:pPr>
      <w:r>
        <w:rPr>
          <w:sz w:val="20"/>
        </w:rPr>
        <w:drawing>
          <wp:inline distT="0" distB="0" distL="0" distR="0">
            <wp:extent cx="1987387" cy="3210401"/>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49" cstate="print"/>
                    <a:stretch>
                      <a:fillRect/>
                    </a:stretch>
                  </pic:blipFill>
                  <pic:spPr>
                    <a:xfrm>
                      <a:off x="0" y="0"/>
                      <a:ext cx="1987387" cy="3210401"/>
                    </a:xfrm>
                    <a:prstGeom prst="rect">
                      <a:avLst/>
                    </a:prstGeom>
                  </pic:spPr>
                </pic:pic>
              </a:graphicData>
            </a:graphic>
          </wp:inline>
        </w:drawing>
      </w:r>
      <w:r>
        <w:rPr>
          <w:sz w:val="20"/>
        </w:rPr>
      </w:r>
    </w:p>
    <w:p>
      <w:pPr>
        <w:pStyle w:val="BodyText"/>
        <w:spacing w:before="23"/>
        <w:ind w:left="0" w:firstLine="0"/>
        <w:jc w:val="left"/>
        <w:rPr>
          <w:sz w:val="19"/>
        </w:rPr>
      </w:pPr>
    </w:p>
    <w:p>
      <w:pPr>
        <w:spacing w:line="285" w:lineRule="auto" w:before="1"/>
        <w:ind w:left="68" w:right="0" w:firstLine="0"/>
        <w:jc w:val="left"/>
        <w:rPr>
          <w:rFonts w:ascii="Microsoft Sans Serif" w:hAnsi="Microsoft Sans Serif"/>
          <w:sz w:val="19"/>
        </w:rPr>
      </w:pPr>
      <w:r>
        <w:rPr>
          <w:rFonts w:ascii="Arial" w:hAnsi="Arial"/>
          <w:b/>
          <w:color w:val="242B67"/>
          <w:sz w:val="19"/>
        </w:rPr>
        <w:t>Figura 59.15</w:t>
      </w:r>
      <w:r>
        <w:rPr>
          <w:rFonts w:ascii="Arial" w:hAnsi="Arial"/>
          <w:b/>
          <w:color w:val="242B67"/>
          <w:spacing w:val="26"/>
          <w:sz w:val="19"/>
        </w:rPr>
        <w:t> </w:t>
      </w:r>
      <w:r>
        <w:rPr>
          <w:rFonts w:ascii="Microsoft Sans Serif" w:hAnsi="Microsoft Sans Serif"/>
          <w:sz w:val="19"/>
        </w:rPr>
        <w:t>Arteriografia</w:t>
      </w:r>
      <w:r>
        <w:rPr>
          <w:rFonts w:ascii="Microsoft Sans Serif" w:hAnsi="Microsoft Sans Serif"/>
          <w:spacing w:val="27"/>
          <w:sz w:val="19"/>
        </w:rPr>
        <w:t> </w:t>
      </w:r>
      <w:r>
        <w:rPr>
          <w:rFonts w:ascii="Microsoft Sans Serif" w:hAnsi="Microsoft Sans Serif"/>
          <w:sz w:val="19"/>
        </w:rPr>
        <w:t>de</w:t>
      </w:r>
      <w:r>
        <w:rPr>
          <w:rFonts w:ascii="Microsoft Sans Serif" w:hAnsi="Microsoft Sans Serif"/>
          <w:spacing w:val="27"/>
          <w:sz w:val="19"/>
        </w:rPr>
        <w:t> </w:t>
      </w:r>
      <w:r>
        <w:rPr>
          <w:rFonts w:ascii="Microsoft Sans Serif" w:hAnsi="Microsoft Sans Serif"/>
          <w:sz w:val="19"/>
        </w:rPr>
        <w:t>paciente</w:t>
      </w:r>
      <w:r>
        <w:rPr>
          <w:rFonts w:ascii="Microsoft Sans Serif" w:hAnsi="Microsoft Sans Serif"/>
          <w:spacing w:val="27"/>
          <w:sz w:val="19"/>
        </w:rPr>
        <w:t> </w:t>
      </w:r>
      <w:r>
        <w:rPr>
          <w:rFonts w:ascii="Microsoft Sans Serif" w:hAnsi="Microsoft Sans Serif"/>
          <w:sz w:val="19"/>
        </w:rPr>
        <w:t>com</w:t>
      </w:r>
      <w:r>
        <w:rPr>
          <w:rFonts w:ascii="Microsoft Sans Serif" w:hAnsi="Microsoft Sans Serif"/>
          <w:spacing w:val="21"/>
          <w:sz w:val="19"/>
        </w:rPr>
        <w:t> </w:t>
      </w:r>
      <w:r>
        <w:rPr>
          <w:rFonts w:ascii="Microsoft Sans Serif" w:hAnsi="Microsoft Sans Serif"/>
          <w:sz w:val="19"/>
        </w:rPr>
        <w:t>tromboangiite</w:t>
      </w:r>
      <w:r>
        <w:rPr>
          <w:rFonts w:ascii="Microsoft Sans Serif" w:hAnsi="Microsoft Sans Serif"/>
          <w:spacing w:val="27"/>
          <w:sz w:val="19"/>
        </w:rPr>
        <w:t> </w:t>
      </w:r>
      <w:r>
        <w:rPr>
          <w:rFonts w:ascii="Microsoft Sans Serif" w:hAnsi="Microsoft Sans Serif"/>
          <w:sz w:val="19"/>
        </w:rPr>
        <w:t>obliterante</w:t>
      </w:r>
      <w:r>
        <w:rPr>
          <w:rFonts w:ascii="Microsoft Sans Serif" w:hAnsi="Microsoft Sans Serif"/>
          <w:spacing w:val="27"/>
          <w:sz w:val="19"/>
        </w:rPr>
        <w:t> </w:t>
      </w:r>
      <w:r>
        <w:rPr>
          <w:rFonts w:ascii="Microsoft Sans Serif" w:hAnsi="Microsoft Sans Serif"/>
          <w:sz w:val="19"/>
        </w:rPr>
        <w:t>(TAO). Observar</w:t>
      </w:r>
      <w:r>
        <w:rPr>
          <w:rFonts w:ascii="Microsoft Sans Serif" w:hAnsi="Microsoft Sans Serif"/>
          <w:spacing w:val="21"/>
          <w:sz w:val="19"/>
        </w:rPr>
        <w:t> </w:t>
      </w:r>
      <w:r>
        <w:rPr>
          <w:rFonts w:ascii="Microsoft Sans Serif" w:hAnsi="Microsoft Sans Serif"/>
          <w:sz w:val="19"/>
        </w:rPr>
        <w:t>obstrução</w:t>
      </w:r>
      <w:r>
        <w:rPr>
          <w:rFonts w:ascii="Microsoft Sans Serif" w:hAnsi="Microsoft Sans Serif"/>
          <w:spacing w:val="27"/>
          <w:sz w:val="19"/>
        </w:rPr>
        <w:t> </w:t>
      </w:r>
      <w:r>
        <w:rPr>
          <w:rFonts w:ascii="Microsoft Sans Serif" w:hAnsi="Microsoft Sans Serif"/>
          <w:sz w:val="19"/>
        </w:rPr>
        <w:t>da</w:t>
      </w:r>
      <w:r>
        <w:rPr>
          <w:rFonts w:ascii="Microsoft Sans Serif" w:hAnsi="Microsoft Sans Serif"/>
          <w:spacing w:val="27"/>
          <w:sz w:val="19"/>
        </w:rPr>
        <w:t> </w:t>
      </w:r>
      <w:r>
        <w:rPr>
          <w:rFonts w:ascii="Microsoft Sans Serif" w:hAnsi="Microsoft Sans Serif"/>
          <w:sz w:val="19"/>
        </w:rPr>
        <w:t>artéria</w:t>
      </w:r>
      <w:r>
        <w:rPr>
          <w:rFonts w:ascii="Microsoft Sans Serif" w:hAnsi="Microsoft Sans Serif"/>
          <w:spacing w:val="27"/>
          <w:sz w:val="19"/>
        </w:rPr>
        <w:t> </w:t>
      </w:r>
      <w:r>
        <w:rPr>
          <w:rFonts w:ascii="Microsoft Sans Serif" w:hAnsi="Microsoft Sans Serif"/>
          <w:sz w:val="19"/>
        </w:rPr>
        <w:t>poplítea</w:t>
      </w:r>
      <w:r>
        <w:rPr>
          <w:rFonts w:ascii="Microsoft Sans Serif" w:hAnsi="Microsoft Sans Serif"/>
          <w:spacing w:val="27"/>
          <w:sz w:val="19"/>
        </w:rPr>
        <w:t> </w:t>
      </w:r>
      <w:r>
        <w:rPr>
          <w:rFonts w:ascii="Microsoft Sans Serif" w:hAnsi="Microsoft Sans Serif"/>
          <w:sz w:val="19"/>
        </w:rPr>
        <w:t>e</w:t>
      </w:r>
      <w:r>
        <w:rPr>
          <w:rFonts w:ascii="Microsoft Sans Serif" w:hAnsi="Microsoft Sans Serif"/>
          <w:spacing w:val="27"/>
          <w:sz w:val="19"/>
        </w:rPr>
        <w:t> </w:t>
      </w:r>
      <w:r>
        <w:rPr>
          <w:rFonts w:ascii="Microsoft Sans Serif" w:hAnsi="Microsoft Sans Serif"/>
          <w:sz w:val="19"/>
        </w:rPr>
        <w:t>das artérias</w:t>
      </w:r>
      <w:r>
        <w:rPr>
          <w:rFonts w:ascii="Microsoft Sans Serif" w:hAnsi="Microsoft Sans Serif"/>
          <w:spacing w:val="27"/>
          <w:sz w:val="19"/>
        </w:rPr>
        <w:t> </w:t>
      </w:r>
      <w:r>
        <w:rPr>
          <w:rFonts w:ascii="Microsoft Sans Serif" w:hAnsi="Microsoft Sans Serif"/>
          <w:sz w:val="19"/>
        </w:rPr>
        <w:t>da</w:t>
      </w:r>
      <w:r>
        <w:rPr>
          <w:rFonts w:ascii="Microsoft Sans Serif" w:hAnsi="Microsoft Sans Serif"/>
          <w:spacing w:val="35"/>
          <w:sz w:val="19"/>
        </w:rPr>
        <w:t> </w:t>
      </w:r>
      <w:r>
        <w:rPr>
          <w:rFonts w:ascii="Microsoft Sans Serif" w:hAnsi="Microsoft Sans Serif"/>
          <w:sz w:val="19"/>
        </w:rPr>
        <w:t>perna, com</w:t>
      </w:r>
      <w:r>
        <w:rPr>
          <w:rFonts w:ascii="Microsoft Sans Serif" w:hAnsi="Microsoft Sans Serif"/>
          <w:spacing w:val="27"/>
          <w:sz w:val="19"/>
        </w:rPr>
        <w:t> </w:t>
      </w:r>
      <w:r>
        <w:rPr>
          <w:rFonts w:ascii="Microsoft Sans Serif" w:hAnsi="Microsoft Sans Serif"/>
          <w:sz w:val="19"/>
        </w:rPr>
        <w:t>circulação</w:t>
      </w:r>
      <w:r>
        <w:rPr>
          <w:rFonts w:ascii="Microsoft Sans Serif" w:hAnsi="Microsoft Sans Serif"/>
          <w:spacing w:val="35"/>
          <w:sz w:val="19"/>
        </w:rPr>
        <w:t> </w:t>
      </w:r>
      <w:r>
        <w:rPr>
          <w:rFonts w:ascii="Microsoft Sans Serif" w:hAnsi="Microsoft Sans Serif"/>
          <w:sz w:val="19"/>
        </w:rPr>
        <w:t>colateral</w:t>
      </w:r>
      <w:r>
        <w:rPr>
          <w:rFonts w:ascii="Microsoft Sans Serif" w:hAnsi="Microsoft Sans Serif"/>
          <w:spacing w:val="35"/>
          <w:sz w:val="19"/>
        </w:rPr>
        <w:t> </w:t>
      </w:r>
      <w:r>
        <w:rPr>
          <w:rFonts w:ascii="Microsoft Sans Serif" w:hAnsi="Microsoft Sans Serif"/>
          <w:sz w:val="19"/>
        </w:rPr>
        <w:t>exuberante. Note</w:t>
      </w:r>
      <w:r>
        <w:rPr>
          <w:rFonts w:ascii="Microsoft Sans Serif" w:hAnsi="Microsoft Sans Serif"/>
          <w:spacing w:val="35"/>
          <w:sz w:val="19"/>
        </w:rPr>
        <w:t> </w:t>
      </w:r>
      <w:r>
        <w:rPr>
          <w:rFonts w:ascii="Microsoft Sans Serif" w:hAnsi="Microsoft Sans Serif"/>
          <w:sz w:val="19"/>
        </w:rPr>
        <w:t>artéria</w:t>
      </w:r>
      <w:r>
        <w:rPr>
          <w:rFonts w:ascii="Microsoft Sans Serif" w:hAnsi="Microsoft Sans Serif"/>
          <w:spacing w:val="35"/>
          <w:sz w:val="19"/>
        </w:rPr>
        <w:t> </w:t>
      </w:r>
      <w:r>
        <w:rPr>
          <w:rFonts w:ascii="Microsoft Sans Serif" w:hAnsi="Microsoft Sans Serif"/>
          <w:sz w:val="19"/>
        </w:rPr>
        <w:t>proximal</w:t>
      </w:r>
      <w:r>
        <w:rPr>
          <w:rFonts w:ascii="Microsoft Sans Serif" w:hAnsi="Microsoft Sans Serif"/>
          <w:spacing w:val="35"/>
          <w:sz w:val="19"/>
        </w:rPr>
        <w:t> </w:t>
      </w:r>
      <w:r>
        <w:rPr>
          <w:rFonts w:ascii="Microsoft Sans Serif" w:hAnsi="Microsoft Sans Serif"/>
          <w:sz w:val="19"/>
        </w:rPr>
        <w:t>à</w:t>
      </w:r>
      <w:r>
        <w:rPr>
          <w:rFonts w:ascii="Microsoft Sans Serif" w:hAnsi="Microsoft Sans Serif"/>
          <w:spacing w:val="35"/>
          <w:sz w:val="19"/>
        </w:rPr>
        <w:t> </w:t>
      </w:r>
      <w:r>
        <w:rPr>
          <w:rFonts w:ascii="Microsoft Sans Serif" w:hAnsi="Microsoft Sans Serif"/>
          <w:sz w:val="19"/>
        </w:rPr>
        <w:t>obstrução</w:t>
      </w:r>
      <w:r>
        <w:rPr>
          <w:rFonts w:ascii="Microsoft Sans Serif" w:hAnsi="Microsoft Sans Serif"/>
          <w:spacing w:val="35"/>
          <w:sz w:val="19"/>
        </w:rPr>
        <w:t> </w:t>
      </w:r>
      <w:r>
        <w:rPr>
          <w:rFonts w:ascii="Microsoft Sans Serif" w:hAnsi="Microsoft Sans Serif"/>
          <w:sz w:val="19"/>
        </w:rPr>
        <w:t>com</w:t>
      </w:r>
      <w:r>
        <w:rPr>
          <w:rFonts w:ascii="Microsoft Sans Serif" w:hAnsi="Microsoft Sans Serif"/>
          <w:spacing w:val="27"/>
          <w:sz w:val="19"/>
        </w:rPr>
        <w:t> </w:t>
      </w:r>
      <w:r>
        <w:rPr>
          <w:rFonts w:ascii="Microsoft Sans Serif" w:hAnsi="Microsoft Sans Serif"/>
          <w:sz w:val="19"/>
        </w:rPr>
        <w:t>aspecto</w:t>
      </w:r>
      <w:r>
        <w:rPr>
          <w:rFonts w:ascii="Microsoft Sans Serif" w:hAnsi="Microsoft Sans Serif"/>
          <w:spacing w:val="35"/>
          <w:sz w:val="19"/>
        </w:rPr>
        <w:t> </w:t>
      </w:r>
      <w:r>
        <w:rPr>
          <w:rFonts w:ascii="Microsoft Sans Serif" w:hAnsi="Microsoft Sans Serif"/>
          <w:sz w:val="19"/>
        </w:rPr>
        <w:t>normal.</w:t>
      </w:r>
    </w:p>
    <w:p>
      <w:pPr>
        <w:pStyle w:val="BodyText"/>
        <w:spacing w:before="53"/>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22656">
            <wp:simplePos x="0" y="0"/>
            <wp:positionH relativeFrom="page">
              <wp:posOffset>2659468</wp:posOffset>
            </wp:positionH>
            <wp:positionV relativeFrom="paragraph">
              <wp:posOffset>193089</wp:posOffset>
            </wp:positionV>
            <wp:extent cx="2252374" cy="299637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50" cstate="print"/>
                    <a:stretch>
                      <a:fillRect/>
                    </a:stretch>
                  </pic:blipFill>
                  <pic:spPr>
                    <a:xfrm>
                      <a:off x="0" y="0"/>
                      <a:ext cx="2252374" cy="2996374"/>
                    </a:xfrm>
                    <a:prstGeom prst="rect">
                      <a:avLst/>
                    </a:prstGeom>
                  </pic:spPr>
                </pic:pic>
              </a:graphicData>
            </a:graphic>
          </wp:anchor>
        </w:drawing>
      </w:r>
    </w:p>
    <w:p>
      <w:pPr>
        <w:pStyle w:val="BodyText"/>
        <w:spacing w:before="44"/>
        <w:ind w:left="0" w:firstLine="0"/>
        <w:jc w:val="left"/>
        <w:rPr>
          <w:rFonts w:ascii="Microsoft Sans Serif"/>
          <w:sz w:val="19"/>
        </w:rPr>
      </w:pPr>
    </w:p>
    <w:p>
      <w:pPr>
        <w:spacing w:line="285" w:lineRule="auto" w:before="0"/>
        <w:ind w:left="68" w:right="497" w:firstLine="0"/>
        <w:jc w:val="left"/>
        <w:rPr>
          <w:rFonts w:ascii="Microsoft Sans Serif" w:hAnsi="Microsoft Sans Serif"/>
          <w:sz w:val="19"/>
        </w:rPr>
      </w:pPr>
      <w:r>
        <w:rPr>
          <w:rFonts w:ascii="Arial" w:hAnsi="Arial"/>
          <w:b/>
          <w:color w:val="242B67"/>
          <w:sz w:val="19"/>
        </w:rPr>
        <w:t>Figura 59.16</w:t>
      </w:r>
      <w:r>
        <w:rPr>
          <w:rFonts w:ascii="Arial" w:hAnsi="Arial"/>
          <w:b/>
          <w:color w:val="242B67"/>
          <w:spacing w:val="32"/>
          <w:sz w:val="19"/>
        </w:rPr>
        <w:t> </w:t>
      </w:r>
      <w:r>
        <w:rPr>
          <w:rFonts w:ascii="Microsoft Sans Serif" w:hAnsi="Microsoft Sans Serif"/>
          <w:sz w:val="19"/>
        </w:rPr>
        <w:t>Comprometimento</w:t>
      </w:r>
      <w:r>
        <w:rPr>
          <w:rFonts w:ascii="Microsoft Sans Serif" w:hAnsi="Microsoft Sans Serif"/>
          <w:spacing w:val="34"/>
          <w:sz w:val="19"/>
        </w:rPr>
        <w:t> </w:t>
      </w:r>
      <w:r>
        <w:rPr>
          <w:rFonts w:ascii="Microsoft Sans Serif" w:hAnsi="Microsoft Sans Serif"/>
          <w:sz w:val="19"/>
        </w:rPr>
        <w:t>isquêmico</w:t>
      </w:r>
      <w:r>
        <w:rPr>
          <w:rFonts w:ascii="Microsoft Sans Serif" w:hAnsi="Microsoft Sans Serif"/>
          <w:spacing w:val="34"/>
          <w:sz w:val="19"/>
        </w:rPr>
        <w:t> </w:t>
      </w:r>
      <w:r>
        <w:rPr>
          <w:rFonts w:ascii="Microsoft Sans Serif" w:hAnsi="Microsoft Sans Serif"/>
          <w:sz w:val="19"/>
        </w:rPr>
        <w:t>de</w:t>
      </w:r>
      <w:r>
        <w:rPr>
          <w:rFonts w:ascii="Microsoft Sans Serif" w:hAnsi="Microsoft Sans Serif"/>
          <w:spacing w:val="34"/>
          <w:sz w:val="19"/>
        </w:rPr>
        <w:t> </w:t>
      </w:r>
      <w:r>
        <w:rPr>
          <w:rFonts w:ascii="Microsoft Sans Serif" w:hAnsi="Microsoft Sans Serif"/>
          <w:sz w:val="19"/>
        </w:rPr>
        <w:t>membros</w:t>
      </w:r>
      <w:r>
        <w:rPr>
          <w:rFonts w:ascii="Microsoft Sans Serif" w:hAnsi="Microsoft Sans Serif"/>
          <w:spacing w:val="28"/>
          <w:sz w:val="19"/>
        </w:rPr>
        <w:t> </w:t>
      </w:r>
      <w:r>
        <w:rPr>
          <w:rFonts w:ascii="Microsoft Sans Serif" w:hAnsi="Microsoft Sans Serif"/>
          <w:sz w:val="19"/>
        </w:rPr>
        <w:t>superior</w:t>
      </w:r>
      <w:r>
        <w:rPr>
          <w:rFonts w:ascii="Microsoft Sans Serif" w:hAnsi="Microsoft Sans Serif"/>
          <w:spacing w:val="28"/>
          <w:sz w:val="19"/>
        </w:rPr>
        <w:t> </w:t>
      </w:r>
      <w:r>
        <w:rPr>
          <w:rFonts w:ascii="Microsoft Sans Serif" w:hAnsi="Microsoft Sans Serif"/>
          <w:sz w:val="19"/>
        </w:rPr>
        <w:t>e</w:t>
      </w:r>
      <w:r>
        <w:rPr>
          <w:rFonts w:ascii="Microsoft Sans Serif" w:hAnsi="Microsoft Sans Serif"/>
          <w:spacing w:val="34"/>
          <w:sz w:val="19"/>
        </w:rPr>
        <w:t> </w:t>
      </w:r>
      <w:r>
        <w:rPr>
          <w:rFonts w:ascii="Microsoft Sans Serif" w:hAnsi="Microsoft Sans Serif"/>
          <w:sz w:val="19"/>
        </w:rPr>
        <w:t>inferior</w:t>
      </w:r>
      <w:r>
        <w:rPr>
          <w:rFonts w:ascii="Microsoft Sans Serif" w:hAnsi="Microsoft Sans Serif"/>
          <w:spacing w:val="28"/>
          <w:sz w:val="19"/>
        </w:rPr>
        <w:t> </w:t>
      </w:r>
      <w:r>
        <w:rPr>
          <w:rFonts w:ascii="Microsoft Sans Serif" w:hAnsi="Microsoft Sans Serif"/>
          <w:sz w:val="19"/>
        </w:rPr>
        <w:t>em</w:t>
      </w:r>
      <w:r>
        <w:rPr>
          <w:rFonts w:ascii="Microsoft Sans Serif" w:hAnsi="Microsoft Sans Serif"/>
          <w:spacing w:val="28"/>
          <w:sz w:val="19"/>
        </w:rPr>
        <w:t> </w:t>
      </w:r>
      <w:r>
        <w:rPr>
          <w:rFonts w:ascii="Microsoft Sans Serif" w:hAnsi="Microsoft Sans Serif"/>
          <w:sz w:val="19"/>
        </w:rPr>
        <w:t>paciente</w:t>
      </w:r>
      <w:r>
        <w:rPr>
          <w:rFonts w:ascii="Microsoft Sans Serif" w:hAnsi="Microsoft Sans Serif"/>
          <w:spacing w:val="34"/>
          <w:sz w:val="19"/>
        </w:rPr>
        <w:t> </w:t>
      </w:r>
      <w:r>
        <w:rPr>
          <w:rFonts w:ascii="Microsoft Sans Serif" w:hAnsi="Microsoft Sans Serif"/>
          <w:sz w:val="19"/>
        </w:rPr>
        <w:t>com</w:t>
      </w:r>
      <w:r>
        <w:rPr>
          <w:rFonts w:ascii="Microsoft Sans Serif" w:hAnsi="Microsoft Sans Serif"/>
          <w:spacing w:val="28"/>
          <w:sz w:val="19"/>
        </w:rPr>
        <w:t> </w:t>
      </w:r>
      <w:r>
        <w:rPr>
          <w:rFonts w:ascii="Microsoft Sans Serif" w:hAnsi="Microsoft Sans Serif"/>
          <w:sz w:val="19"/>
        </w:rPr>
        <w:t>tromboangiite</w:t>
      </w:r>
      <w:r>
        <w:rPr>
          <w:rFonts w:ascii="Microsoft Sans Serif" w:hAnsi="Microsoft Sans Serif"/>
          <w:spacing w:val="34"/>
          <w:sz w:val="19"/>
        </w:rPr>
        <w:t> </w:t>
      </w:r>
      <w:r>
        <w:rPr>
          <w:rFonts w:ascii="Microsoft Sans Serif" w:hAnsi="Microsoft Sans Serif"/>
          <w:sz w:val="19"/>
        </w:rPr>
        <w:t>obliterante,</w:t>
      </w:r>
      <w:r>
        <w:rPr>
          <w:rFonts w:ascii="Microsoft Sans Serif" w:hAnsi="Microsoft Sans Serif"/>
          <w:spacing w:val="21"/>
          <w:sz w:val="19"/>
        </w:rPr>
        <w:t> </w:t>
      </w:r>
      <w:r>
        <w:rPr>
          <w:rFonts w:ascii="Microsoft Sans Serif" w:hAnsi="Microsoft Sans Serif"/>
          <w:sz w:val="19"/>
        </w:rPr>
        <w:t>já com dedos amputados.</w:t>
      </w:r>
    </w:p>
    <w:p>
      <w:pPr>
        <w:pStyle w:val="BodyText"/>
        <w:ind w:left="0" w:firstLine="0"/>
        <w:jc w:val="left"/>
        <w:rPr>
          <w:rFonts w:ascii="Microsoft Sans Serif"/>
          <w:sz w:val="19"/>
        </w:rPr>
      </w:pPr>
    </w:p>
    <w:p>
      <w:pPr>
        <w:pStyle w:val="BodyText"/>
        <w:spacing w:line="276" w:lineRule="auto" w:before="0"/>
        <w:ind w:right="500"/>
      </w:pPr>
      <w:r>
        <w:rPr/>
        <w:t>Na presença de lesões isquêmicas infectadas nas extremidades, estará indicado o uso de antibióticos que, combatendo a infecção, podem auxiliar a reduzir a intensidade da dor.</w:t>
      </w:r>
    </w:p>
    <w:p>
      <w:pPr>
        <w:pStyle w:val="BodyText"/>
        <w:spacing w:line="280" w:lineRule="auto" w:before="48"/>
        <w:ind w:right="497"/>
      </w:pPr>
      <w:r>
        <w:rPr/>
        <w:t>Medicamentos vasodilatadores periféricos, antiagregantes plaquetários e anticoagulantes têm sido empregados com resultados variáveis. Anti-inflamatórios não hormonais são utilizados para tratar as flebites superficiais. Corticoides, apesar de propostos por alguns autores, não têm mostrado resultados consistentes no tratamento da TAO; a resposta a esses medicamentos depende da presença e do número de receptores de glicocorticoides na parede dos linfócitos.</w:t>
      </w:r>
      <w:r>
        <w:rPr>
          <w:vertAlign w:val="superscript"/>
        </w:rPr>
        <w:t>9</w:t>
      </w:r>
      <w:r>
        <w:rPr>
          <w:vertAlign w:val="baseline"/>
        </w:rPr>
        <w:t> Nos pacientes com TAO, o número desses receptores está diminuído, podendo explicar o pequeno efeito dos corticoides nessa afecção.</w:t>
      </w:r>
      <w:r>
        <w:rPr>
          <w:vertAlign w:val="superscript"/>
        </w:rPr>
        <w:t>2</w:t>
      </w:r>
    </w:p>
    <w:p>
      <w:pPr>
        <w:pStyle w:val="BodyText"/>
        <w:spacing w:line="283" w:lineRule="auto" w:before="66"/>
        <w:ind w:right="488"/>
      </w:pPr>
      <w:r>
        <w:rPr/>
        <w:t>Terapia</w:t>
      </w:r>
      <w:r>
        <w:rPr>
          <w:spacing w:val="-10"/>
        </w:rPr>
        <w:t> </w:t>
      </w:r>
      <w:r>
        <w:rPr/>
        <w:t>promissora, ainda</w:t>
      </w:r>
      <w:r>
        <w:rPr>
          <w:spacing w:val="-10"/>
        </w:rPr>
        <w:t> </w:t>
      </w:r>
      <w:r>
        <w:rPr/>
        <w:t>em</w:t>
      </w:r>
      <w:r>
        <w:rPr>
          <w:spacing w:val="-8"/>
        </w:rPr>
        <w:t> </w:t>
      </w:r>
      <w:r>
        <w:rPr/>
        <w:t>fase</w:t>
      </w:r>
      <w:r>
        <w:rPr>
          <w:spacing w:val="-10"/>
        </w:rPr>
        <w:t> </w:t>
      </w:r>
      <w:r>
        <w:rPr/>
        <w:t>experimental, na</w:t>
      </w:r>
      <w:r>
        <w:rPr>
          <w:spacing w:val="-10"/>
        </w:rPr>
        <w:t> </w:t>
      </w:r>
      <w:r>
        <w:rPr/>
        <w:t>doença</w:t>
      </w:r>
      <w:r>
        <w:rPr>
          <w:spacing w:val="-10"/>
        </w:rPr>
        <w:t> </w:t>
      </w:r>
      <w:r>
        <w:rPr/>
        <w:t>de</w:t>
      </w:r>
      <w:r>
        <w:rPr>
          <w:spacing w:val="-10"/>
        </w:rPr>
        <w:t> </w:t>
      </w:r>
      <w:r>
        <w:rPr/>
        <w:t>Buerger</w:t>
      </w:r>
      <w:r>
        <w:rPr>
          <w:spacing w:val="-3"/>
        </w:rPr>
        <w:t> </w:t>
      </w:r>
      <w:r>
        <w:rPr/>
        <w:t>é</w:t>
      </w:r>
      <w:r>
        <w:rPr>
          <w:spacing w:val="-10"/>
        </w:rPr>
        <w:t> </w:t>
      </w:r>
      <w:r>
        <w:rPr/>
        <w:t>a</w:t>
      </w:r>
      <w:r>
        <w:rPr>
          <w:spacing w:val="-10"/>
        </w:rPr>
        <w:t> </w:t>
      </w:r>
      <w:r>
        <w:rPr/>
        <w:t>angiogênese, obtida</w:t>
      </w:r>
      <w:r>
        <w:rPr>
          <w:spacing w:val="-10"/>
        </w:rPr>
        <w:t> </w:t>
      </w:r>
      <w:r>
        <w:rPr/>
        <w:t>por</w:t>
      </w:r>
      <w:r>
        <w:rPr>
          <w:spacing w:val="-3"/>
        </w:rPr>
        <w:t> </w:t>
      </w:r>
      <w:r>
        <w:rPr/>
        <w:t>transferência genética do fator de crescimento endotelial, que tem revelado resultados animadores.</w:t>
      </w:r>
      <w:r>
        <w:rPr>
          <w:vertAlign w:val="superscript"/>
        </w:rPr>
        <w:t>10</w:t>
      </w:r>
      <w:r>
        <w:rPr>
          <w:vertAlign w:val="baseline"/>
        </w:rPr>
        <w:t> Outra linha de pesquisa em angiogênese que tem sido investigada com mais frequência nos casos de isquemia crítica dos membros inferiores, especialmente na TAO, é o implante de células mononucleares autólogas obtidas da medula óssea (MNMO).</w:t>
      </w:r>
      <w:r>
        <w:rPr>
          <w:vertAlign w:val="superscript"/>
        </w:rPr>
        <w:t>11–14</w:t>
      </w:r>
      <w:r>
        <w:rPr>
          <w:vertAlign w:val="baseline"/>
        </w:rPr>
        <w:t> Com</w:t>
      </w:r>
      <w:r>
        <w:rPr>
          <w:spacing w:val="16"/>
          <w:vertAlign w:val="baseline"/>
        </w:rPr>
        <w:t> </w:t>
      </w:r>
      <w:r>
        <w:rPr>
          <w:vertAlign w:val="baseline"/>
        </w:rPr>
        <w:t>esse</w:t>
      </w:r>
      <w:r>
        <w:rPr>
          <w:spacing w:val="14"/>
          <w:vertAlign w:val="baseline"/>
        </w:rPr>
        <w:t> </w:t>
      </w:r>
      <w:r>
        <w:rPr>
          <w:vertAlign w:val="baseline"/>
        </w:rPr>
        <w:t>método</w:t>
      </w:r>
      <w:r>
        <w:rPr>
          <w:spacing w:val="16"/>
          <w:vertAlign w:val="baseline"/>
        </w:rPr>
        <w:t> </w:t>
      </w:r>
      <w:r>
        <w:rPr>
          <w:vertAlign w:val="baseline"/>
        </w:rPr>
        <w:t>terapêutico,</w:t>
      </w:r>
      <w:r>
        <w:rPr>
          <w:spacing w:val="25"/>
          <w:vertAlign w:val="baseline"/>
        </w:rPr>
        <w:t> </w:t>
      </w:r>
      <w:r>
        <w:rPr>
          <w:vertAlign w:val="baseline"/>
        </w:rPr>
        <w:t>Idei</w:t>
      </w:r>
      <w:r>
        <w:rPr>
          <w:spacing w:val="19"/>
          <w:vertAlign w:val="baseline"/>
        </w:rPr>
        <w:t> </w:t>
      </w:r>
      <w:r>
        <w:rPr>
          <w:i/>
          <w:vertAlign w:val="baseline"/>
        </w:rPr>
        <w:t>et al.</w:t>
      </w:r>
      <w:r>
        <w:rPr>
          <w:i/>
          <w:spacing w:val="29"/>
          <w:vertAlign w:val="baseline"/>
        </w:rPr>
        <w:t> </w:t>
      </w:r>
      <w:r>
        <w:rPr>
          <w:vertAlign w:val="baseline"/>
        </w:rPr>
        <w:t>referiram</w:t>
      </w:r>
      <w:r>
        <w:rPr>
          <w:spacing w:val="21"/>
          <w:vertAlign w:val="baseline"/>
        </w:rPr>
        <w:t> </w:t>
      </w:r>
      <w:r>
        <w:rPr>
          <w:vertAlign w:val="baseline"/>
        </w:rPr>
        <w:t>resultados</w:t>
      </w:r>
      <w:r>
        <w:rPr>
          <w:spacing w:val="29"/>
          <w:vertAlign w:val="baseline"/>
        </w:rPr>
        <w:t> </w:t>
      </w:r>
      <w:r>
        <w:rPr>
          <w:vertAlign w:val="baseline"/>
        </w:rPr>
        <w:t>eficientes</w:t>
      </w:r>
      <w:r>
        <w:rPr>
          <w:spacing w:val="29"/>
          <w:vertAlign w:val="baseline"/>
        </w:rPr>
        <w:t> </w:t>
      </w:r>
      <w:r>
        <w:rPr>
          <w:vertAlign w:val="baseline"/>
        </w:rPr>
        <w:t>e</w:t>
      </w:r>
      <w:r>
        <w:rPr>
          <w:spacing w:val="18"/>
          <w:vertAlign w:val="baseline"/>
        </w:rPr>
        <w:t> </w:t>
      </w:r>
      <w:r>
        <w:rPr>
          <w:vertAlign w:val="baseline"/>
        </w:rPr>
        <w:t>com</w:t>
      </w:r>
      <w:r>
        <w:rPr>
          <w:spacing w:val="21"/>
          <w:vertAlign w:val="baseline"/>
        </w:rPr>
        <w:t> </w:t>
      </w:r>
      <w:r>
        <w:rPr>
          <w:vertAlign w:val="baseline"/>
        </w:rPr>
        <w:t>poucas</w:t>
      </w:r>
      <w:r>
        <w:rPr>
          <w:spacing w:val="29"/>
          <w:vertAlign w:val="baseline"/>
        </w:rPr>
        <w:t> </w:t>
      </w:r>
      <w:r>
        <w:rPr>
          <w:vertAlign w:val="baseline"/>
        </w:rPr>
        <w:t>complicações</w:t>
      </w:r>
      <w:r>
        <w:rPr>
          <w:spacing w:val="29"/>
          <w:vertAlign w:val="baseline"/>
        </w:rPr>
        <w:t> </w:t>
      </w:r>
      <w:r>
        <w:rPr>
          <w:vertAlign w:val="baseline"/>
        </w:rPr>
        <w:t>em</w:t>
      </w:r>
      <w:r>
        <w:rPr>
          <w:spacing w:val="21"/>
          <w:vertAlign w:val="baseline"/>
        </w:rPr>
        <w:t> </w:t>
      </w:r>
      <w:r>
        <w:rPr>
          <w:vertAlign w:val="baseline"/>
        </w:rPr>
        <w:t>número</w:t>
      </w:r>
    </w:p>
    <w:p>
      <w:pPr>
        <w:pStyle w:val="BodyText"/>
        <w:spacing w:after="0" w:line="283" w:lineRule="auto"/>
        <w:sectPr>
          <w:pgSz w:w="11900" w:h="16840"/>
          <w:pgMar w:top="280" w:bottom="280" w:left="566" w:right="141"/>
        </w:sectPr>
      </w:pPr>
    </w:p>
    <w:p>
      <w:pPr>
        <w:pStyle w:val="BodyText"/>
        <w:spacing w:before="72"/>
        <w:ind w:firstLine="0"/>
      </w:pPr>
      <w:r>
        <w:rPr/>
        <w:t>significativo</w:t>
      </w:r>
      <w:r>
        <w:rPr>
          <w:spacing w:val="-14"/>
        </w:rPr>
        <w:t> </w:t>
      </w:r>
      <w:r>
        <w:rPr/>
        <w:t>de</w:t>
      </w:r>
      <w:r>
        <w:rPr>
          <w:spacing w:val="-13"/>
        </w:rPr>
        <w:t> </w:t>
      </w:r>
      <w:r>
        <w:rPr/>
        <w:t>pacientes</w:t>
      </w:r>
      <w:r>
        <w:rPr>
          <w:spacing w:val="-5"/>
        </w:rPr>
        <w:t> </w:t>
      </w:r>
      <w:r>
        <w:rPr/>
        <w:t>com</w:t>
      </w:r>
      <w:r>
        <w:rPr>
          <w:spacing w:val="-11"/>
        </w:rPr>
        <w:t> </w:t>
      </w:r>
      <w:r>
        <w:rPr/>
        <w:t>isquemia</w:t>
      </w:r>
      <w:r>
        <w:rPr>
          <w:spacing w:val="-14"/>
        </w:rPr>
        <w:t> </w:t>
      </w:r>
      <w:r>
        <w:rPr/>
        <w:t>crítica</w:t>
      </w:r>
      <w:r>
        <w:rPr>
          <w:spacing w:val="-13"/>
        </w:rPr>
        <w:t> </w:t>
      </w:r>
      <w:r>
        <w:rPr/>
        <w:t>de</w:t>
      </w:r>
      <w:r>
        <w:rPr>
          <w:spacing w:val="-14"/>
        </w:rPr>
        <w:t> </w:t>
      </w:r>
      <w:r>
        <w:rPr/>
        <w:t>membros</w:t>
      </w:r>
      <w:r>
        <w:rPr>
          <w:spacing w:val="-4"/>
        </w:rPr>
        <w:t> </w:t>
      </w:r>
      <w:r>
        <w:rPr>
          <w:spacing w:val="-2"/>
        </w:rPr>
        <w:t>inferiores.</w:t>
      </w:r>
      <w:r>
        <w:rPr>
          <w:spacing w:val="-2"/>
          <w:vertAlign w:val="superscript"/>
        </w:rPr>
        <w:t>15</w:t>
      </w:r>
    </w:p>
    <w:p>
      <w:pPr>
        <w:pStyle w:val="BodyText"/>
        <w:spacing w:line="280" w:lineRule="auto" w:before="103"/>
        <w:ind w:right="497"/>
      </w:pPr>
      <w:r>
        <w:rPr/>
        <w:t>Métodos de revascularização cirúrgica do membro têm mostrado resultados pouco consistentes nos pacientes com TAO, devendo ser utilizados somente em pacientes selecionados, com leito arterial favorável e que abandonaram</w:t>
      </w:r>
      <w:r>
        <w:rPr>
          <w:spacing w:val="-1"/>
        </w:rPr>
        <w:t> </w:t>
      </w:r>
      <w:r>
        <w:rPr/>
        <w:t>o</w:t>
      </w:r>
      <w:r>
        <w:rPr>
          <w:spacing w:val="-1"/>
        </w:rPr>
        <w:t> </w:t>
      </w:r>
      <w:r>
        <w:rPr/>
        <w:t>tabagismo. Operações indiretas, como</w:t>
      </w:r>
      <w:r>
        <w:rPr>
          <w:spacing w:val="-1"/>
        </w:rPr>
        <w:t> </w:t>
      </w:r>
      <w:r>
        <w:rPr/>
        <w:t>a</w:t>
      </w:r>
      <w:r>
        <w:rPr>
          <w:spacing w:val="-3"/>
        </w:rPr>
        <w:t> </w:t>
      </w:r>
      <w:r>
        <w:rPr/>
        <w:t>simpatectomia</w:t>
      </w:r>
      <w:r>
        <w:rPr>
          <w:spacing w:val="-3"/>
        </w:rPr>
        <w:t> </w:t>
      </w:r>
      <w:r>
        <w:rPr/>
        <w:t>lombar ou</w:t>
      </w:r>
      <w:r>
        <w:rPr>
          <w:spacing w:val="-1"/>
        </w:rPr>
        <w:t> </w:t>
      </w:r>
      <w:r>
        <w:rPr/>
        <w:t>cervicotorácica, podem</w:t>
      </w:r>
      <w:r>
        <w:rPr>
          <w:spacing w:val="-1"/>
        </w:rPr>
        <w:t> </w:t>
      </w:r>
      <w:r>
        <w:rPr/>
        <w:t>ser úteis em</w:t>
      </w:r>
      <w:r>
        <w:rPr>
          <w:spacing w:val="-7"/>
        </w:rPr>
        <w:t> </w:t>
      </w:r>
      <w:r>
        <w:rPr/>
        <w:t>determinados casos em</w:t>
      </w:r>
      <w:r>
        <w:rPr>
          <w:spacing w:val="-7"/>
        </w:rPr>
        <w:t> </w:t>
      </w:r>
      <w:r>
        <w:rPr/>
        <w:t>que</w:t>
      </w:r>
      <w:r>
        <w:rPr>
          <w:spacing w:val="-10"/>
        </w:rPr>
        <w:t> </w:t>
      </w:r>
      <w:r>
        <w:rPr/>
        <w:t>há</w:t>
      </w:r>
      <w:r>
        <w:rPr>
          <w:spacing w:val="-10"/>
        </w:rPr>
        <w:t> </w:t>
      </w:r>
      <w:r>
        <w:rPr/>
        <w:t>lesões tróficas localizadas nos dedos, associadas à</w:t>
      </w:r>
      <w:r>
        <w:rPr>
          <w:spacing w:val="-10"/>
        </w:rPr>
        <w:t> </w:t>
      </w:r>
      <w:r>
        <w:rPr/>
        <w:t>dor</w:t>
      </w:r>
      <w:r>
        <w:rPr>
          <w:spacing w:val="-2"/>
        </w:rPr>
        <w:t> </w:t>
      </w:r>
      <w:r>
        <w:rPr/>
        <w:t>isquêmica</w:t>
      </w:r>
      <w:r>
        <w:rPr>
          <w:spacing w:val="-10"/>
        </w:rPr>
        <w:t> </w:t>
      </w:r>
      <w:r>
        <w:rPr/>
        <w:t>de</w:t>
      </w:r>
      <w:r>
        <w:rPr>
          <w:spacing w:val="-10"/>
        </w:rPr>
        <w:t> </w:t>
      </w:r>
      <w:r>
        <w:rPr/>
        <w:t>repouso.</w:t>
      </w:r>
      <w:r>
        <w:rPr>
          <w:vertAlign w:val="superscript"/>
        </w:rPr>
        <w:t>16</w:t>
      </w:r>
      <w:r>
        <w:rPr>
          <w:spacing w:val="-1"/>
          <w:vertAlign w:val="baseline"/>
        </w:rPr>
        <w:t> </w:t>
      </w:r>
      <w:r>
        <w:rPr>
          <w:vertAlign w:val="baseline"/>
        </w:rPr>
        <w:t>A angioplastia</w:t>
      </w:r>
      <w:r>
        <w:rPr>
          <w:spacing w:val="-8"/>
          <w:vertAlign w:val="baseline"/>
        </w:rPr>
        <w:t> </w:t>
      </w:r>
      <w:r>
        <w:rPr>
          <w:vertAlign w:val="baseline"/>
        </w:rPr>
        <w:t>transluminal</w:t>
      </w:r>
      <w:r>
        <w:rPr>
          <w:spacing w:val="-3"/>
          <w:vertAlign w:val="baseline"/>
        </w:rPr>
        <w:t> </w:t>
      </w:r>
      <w:r>
        <w:rPr>
          <w:vertAlign w:val="baseline"/>
        </w:rPr>
        <w:t>percutânea, que</w:t>
      </w:r>
      <w:r>
        <w:rPr>
          <w:spacing w:val="-8"/>
          <w:vertAlign w:val="baseline"/>
        </w:rPr>
        <w:t> </w:t>
      </w:r>
      <w:r>
        <w:rPr>
          <w:vertAlign w:val="baseline"/>
        </w:rPr>
        <w:t>atualmente</w:t>
      </w:r>
      <w:r>
        <w:rPr>
          <w:spacing w:val="-8"/>
          <w:vertAlign w:val="baseline"/>
        </w:rPr>
        <w:t> </w:t>
      </w:r>
      <w:r>
        <w:rPr>
          <w:vertAlign w:val="baseline"/>
        </w:rPr>
        <w:t>é</w:t>
      </w:r>
      <w:r>
        <w:rPr>
          <w:spacing w:val="-8"/>
          <w:vertAlign w:val="baseline"/>
        </w:rPr>
        <w:t> </w:t>
      </w:r>
      <w:r>
        <w:rPr>
          <w:vertAlign w:val="baseline"/>
        </w:rPr>
        <w:t>largamente</w:t>
      </w:r>
      <w:r>
        <w:rPr>
          <w:spacing w:val="-8"/>
          <w:vertAlign w:val="baseline"/>
        </w:rPr>
        <w:t> </w:t>
      </w:r>
      <w:r>
        <w:rPr>
          <w:vertAlign w:val="baseline"/>
        </w:rPr>
        <w:t>utilizada</w:t>
      </w:r>
      <w:r>
        <w:rPr>
          <w:spacing w:val="-8"/>
          <w:vertAlign w:val="baseline"/>
        </w:rPr>
        <w:t> </w:t>
      </w:r>
      <w:r>
        <w:rPr>
          <w:vertAlign w:val="baseline"/>
        </w:rPr>
        <w:t>no</w:t>
      </w:r>
      <w:r>
        <w:rPr>
          <w:spacing w:val="-5"/>
          <w:vertAlign w:val="baseline"/>
        </w:rPr>
        <w:t> </w:t>
      </w:r>
      <w:r>
        <w:rPr>
          <w:vertAlign w:val="baseline"/>
        </w:rPr>
        <w:t>tratamento</w:t>
      </w:r>
      <w:r>
        <w:rPr>
          <w:spacing w:val="-5"/>
          <w:vertAlign w:val="baseline"/>
        </w:rPr>
        <w:t> </w:t>
      </w:r>
      <w:r>
        <w:rPr>
          <w:vertAlign w:val="baseline"/>
        </w:rPr>
        <w:t>de</w:t>
      </w:r>
      <w:r>
        <w:rPr>
          <w:spacing w:val="-8"/>
          <w:vertAlign w:val="baseline"/>
        </w:rPr>
        <w:t> </w:t>
      </w:r>
      <w:r>
        <w:rPr>
          <w:vertAlign w:val="baseline"/>
        </w:rPr>
        <w:t>lesões arteriais distais dos membros inferiores em pacientes arterioscleróticos, não tem sido empregada habitualmente nos portadores de TAO. No</w:t>
      </w:r>
      <w:r>
        <w:rPr>
          <w:spacing w:val="-6"/>
          <w:vertAlign w:val="baseline"/>
        </w:rPr>
        <w:t> </w:t>
      </w:r>
      <w:r>
        <w:rPr>
          <w:vertAlign w:val="baseline"/>
        </w:rPr>
        <w:t>entanto, Graziani</w:t>
      </w:r>
      <w:r>
        <w:rPr>
          <w:spacing w:val="-3"/>
          <w:vertAlign w:val="baseline"/>
        </w:rPr>
        <w:t> </w:t>
      </w:r>
      <w:r>
        <w:rPr>
          <w:i/>
          <w:vertAlign w:val="baseline"/>
        </w:rPr>
        <w:t>et</w:t>
      </w:r>
      <w:r>
        <w:rPr>
          <w:i/>
          <w:spacing w:val="-7"/>
          <w:vertAlign w:val="baseline"/>
        </w:rPr>
        <w:t> </w:t>
      </w:r>
      <w:r>
        <w:rPr>
          <w:i/>
          <w:vertAlign w:val="baseline"/>
        </w:rPr>
        <w:t>al. </w:t>
      </w:r>
      <w:r>
        <w:rPr>
          <w:vertAlign w:val="baseline"/>
        </w:rPr>
        <w:t>relataram</w:t>
      </w:r>
      <w:r>
        <w:rPr>
          <w:spacing w:val="-6"/>
          <w:vertAlign w:val="baseline"/>
        </w:rPr>
        <w:t> </w:t>
      </w:r>
      <w:r>
        <w:rPr>
          <w:vertAlign w:val="baseline"/>
        </w:rPr>
        <w:t>bons resultados com</w:t>
      </w:r>
      <w:r>
        <w:rPr>
          <w:spacing w:val="-6"/>
          <w:vertAlign w:val="baseline"/>
        </w:rPr>
        <w:t> </w:t>
      </w:r>
      <w:r>
        <w:rPr>
          <w:vertAlign w:val="baseline"/>
        </w:rPr>
        <w:t>essa</w:t>
      </w:r>
      <w:r>
        <w:rPr>
          <w:spacing w:val="-8"/>
          <w:vertAlign w:val="baseline"/>
        </w:rPr>
        <w:t> </w:t>
      </w:r>
      <w:r>
        <w:rPr>
          <w:vertAlign w:val="baseline"/>
        </w:rPr>
        <w:t>técnica</w:t>
      </w:r>
      <w:r>
        <w:rPr>
          <w:spacing w:val="-8"/>
          <w:vertAlign w:val="baseline"/>
        </w:rPr>
        <w:t> </w:t>
      </w:r>
      <w:r>
        <w:rPr>
          <w:vertAlign w:val="baseline"/>
        </w:rPr>
        <w:t>em</w:t>
      </w:r>
      <w:r>
        <w:rPr>
          <w:spacing w:val="-6"/>
          <w:vertAlign w:val="baseline"/>
        </w:rPr>
        <w:t> </w:t>
      </w:r>
      <w:r>
        <w:rPr>
          <w:vertAlign w:val="baseline"/>
        </w:rPr>
        <w:t>portadores de</w:t>
      </w:r>
      <w:r>
        <w:rPr>
          <w:spacing w:val="-8"/>
          <w:vertAlign w:val="baseline"/>
        </w:rPr>
        <w:t> </w:t>
      </w:r>
      <w:r>
        <w:rPr>
          <w:vertAlign w:val="baseline"/>
        </w:rPr>
        <w:t>TAO</w:t>
      </w:r>
      <w:r>
        <w:rPr>
          <w:spacing w:val="-8"/>
          <w:vertAlign w:val="baseline"/>
        </w:rPr>
        <w:t> </w:t>
      </w:r>
      <w:r>
        <w:rPr>
          <w:vertAlign w:val="baseline"/>
        </w:rPr>
        <w:t>acompanhados por 2 anos.</w:t>
      </w:r>
      <w:r>
        <w:rPr>
          <w:vertAlign w:val="superscript"/>
        </w:rPr>
        <w:t>17</w:t>
      </w:r>
    </w:p>
    <w:p>
      <w:pPr>
        <w:pStyle w:val="BodyText"/>
        <w:spacing w:before="176"/>
        <w:ind w:left="0" w:firstLine="0"/>
        <w:jc w:val="left"/>
      </w:pPr>
    </w:p>
    <w:p>
      <w:pPr>
        <w:pStyle w:val="Heading4"/>
        <w:spacing w:before="1"/>
      </w:pPr>
      <w:r>
        <w:rPr>
          <w:color w:val="242B67"/>
          <w:spacing w:val="-2"/>
        </w:rPr>
        <w:t>Prognóstico</w:t>
      </w:r>
    </w:p>
    <w:p>
      <w:pPr>
        <w:pStyle w:val="BodyText"/>
        <w:spacing w:line="276" w:lineRule="auto" w:before="131"/>
        <w:ind w:right="488"/>
      </w:pPr>
      <w:r>
        <w:rPr/>
        <w:t>A TAO tem evolução variável, com períodos de melhora e exacerbação da doença. A mudança de hábitos de vida nas fases iniciais da afecção, consistindo em abolição do hábito de fumar associada a medidas higiênicas e tratamento medicamentoso ou cirúrgico, constitui fator importante</w:t>
      </w:r>
      <w:r>
        <w:rPr>
          <w:spacing w:val="-3"/>
        </w:rPr>
        <w:t> </w:t>
      </w:r>
      <w:r>
        <w:rPr/>
        <w:t>para</w:t>
      </w:r>
      <w:r>
        <w:rPr>
          <w:spacing w:val="-3"/>
        </w:rPr>
        <w:t> </w:t>
      </w:r>
      <w:r>
        <w:rPr/>
        <w:t>evitar o agravamento da</w:t>
      </w:r>
      <w:r>
        <w:rPr>
          <w:spacing w:val="-3"/>
        </w:rPr>
        <w:t> </w:t>
      </w:r>
      <w:r>
        <w:rPr/>
        <w:t>moléstia.</w:t>
      </w:r>
    </w:p>
    <w:p>
      <w:pPr>
        <w:pStyle w:val="BodyText"/>
        <w:spacing w:line="276" w:lineRule="auto" w:before="49"/>
        <w:ind w:right="488"/>
      </w:pPr>
      <w:r>
        <w:rPr/>
        <w:t>Em</w:t>
      </w:r>
      <w:r>
        <w:rPr>
          <w:spacing w:val="-5"/>
        </w:rPr>
        <w:t> </w:t>
      </w:r>
      <w:r>
        <w:rPr/>
        <w:t>relação</w:t>
      </w:r>
      <w:r>
        <w:rPr>
          <w:spacing w:val="-5"/>
        </w:rPr>
        <w:t> </w:t>
      </w:r>
      <w:r>
        <w:rPr/>
        <w:t>ao</w:t>
      </w:r>
      <w:r>
        <w:rPr>
          <w:spacing w:val="-5"/>
        </w:rPr>
        <w:t> </w:t>
      </w:r>
      <w:r>
        <w:rPr/>
        <w:t>membro</w:t>
      </w:r>
      <w:r>
        <w:rPr>
          <w:spacing w:val="-5"/>
        </w:rPr>
        <w:t> </w:t>
      </w:r>
      <w:r>
        <w:rPr/>
        <w:t>superior, por ter uma</w:t>
      </w:r>
      <w:r>
        <w:rPr>
          <w:spacing w:val="-8"/>
        </w:rPr>
        <w:t> </w:t>
      </w:r>
      <w:r>
        <w:rPr/>
        <w:t>circulação</w:t>
      </w:r>
      <w:r>
        <w:rPr>
          <w:spacing w:val="-5"/>
        </w:rPr>
        <w:t> </w:t>
      </w:r>
      <w:r>
        <w:rPr/>
        <w:t>colateral</w:t>
      </w:r>
      <w:r>
        <w:rPr>
          <w:spacing w:val="-3"/>
        </w:rPr>
        <w:t> </w:t>
      </w:r>
      <w:r>
        <w:rPr/>
        <w:t>mais rica</w:t>
      </w:r>
      <w:r>
        <w:rPr>
          <w:spacing w:val="-8"/>
        </w:rPr>
        <w:t> </w:t>
      </w:r>
      <w:r>
        <w:rPr/>
        <w:t>e</w:t>
      </w:r>
      <w:r>
        <w:rPr>
          <w:spacing w:val="-8"/>
        </w:rPr>
        <w:t> </w:t>
      </w:r>
      <w:r>
        <w:rPr/>
        <w:t>ser menos sujeito</w:t>
      </w:r>
      <w:r>
        <w:rPr>
          <w:spacing w:val="-5"/>
        </w:rPr>
        <w:t> </w:t>
      </w:r>
      <w:r>
        <w:rPr/>
        <w:t>a</w:t>
      </w:r>
      <w:r>
        <w:rPr>
          <w:spacing w:val="-8"/>
        </w:rPr>
        <w:t> </w:t>
      </w:r>
      <w:r>
        <w:rPr/>
        <w:t>traumas do</w:t>
      </w:r>
      <w:r>
        <w:rPr>
          <w:spacing w:val="-5"/>
        </w:rPr>
        <w:t> </w:t>
      </w:r>
      <w:r>
        <w:rPr/>
        <w:t>que o membro inferior, seu comprometimento é</w:t>
      </w:r>
      <w:r>
        <w:rPr>
          <w:spacing w:val="-2"/>
        </w:rPr>
        <w:t> </w:t>
      </w:r>
      <w:r>
        <w:rPr/>
        <w:t>menos acentuado com prognóstico mais favorável.</w:t>
      </w:r>
    </w:p>
    <w:p>
      <w:pPr>
        <w:pStyle w:val="BodyText"/>
        <w:spacing w:line="276" w:lineRule="auto" w:before="64"/>
        <w:ind w:right="488"/>
      </w:pPr>
      <w:r>
        <w:rPr/>
        <w:t>Ao contrário do que ocorre com os arterioscleróticos que apresentam manifestações sistêmicas com sobrevida abreviada, os portadores de TAO têm bom prognóstico de vida.</w:t>
      </w:r>
    </w:p>
    <w:p>
      <w:pPr>
        <w:pStyle w:val="BodyText"/>
        <w:spacing w:before="257"/>
        <w:ind w:left="0" w:firstLine="0"/>
        <w:jc w:val="left"/>
      </w:pPr>
    </w:p>
    <w:p>
      <w:pPr>
        <w:pStyle w:val="Heading3"/>
      </w:pPr>
      <w:r>
        <w:rPr>
          <w:color w:val="242B67"/>
          <w:spacing w:val="-2"/>
        </w:rPr>
        <w:t>Ateroembolismo</w:t>
      </w:r>
    </w:p>
    <w:p>
      <w:pPr>
        <w:pStyle w:val="BodyText"/>
        <w:spacing w:before="0"/>
        <w:ind w:left="0" w:firstLine="0"/>
        <w:jc w:val="left"/>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623168">
                <wp:simplePos x="0" y="0"/>
                <wp:positionH relativeFrom="page">
                  <wp:posOffset>401543</wp:posOffset>
                </wp:positionH>
                <wp:positionV relativeFrom="paragraph">
                  <wp:posOffset>51761</wp:posOffset>
                </wp:positionV>
                <wp:extent cx="6753225" cy="10795"/>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75716pt;width:531.731217pt;height:.8008pt;mso-position-horizontal-relative:page;mso-position-vertical-relative:paragraph;z-index:-15693312;mso-wrap-distance-left:0;mso-wrap-distance-right:0" id="docshape46" filled="true" fillcolor="#242b67" stroked="false">
                <v:fill type="solid"/>
                <w10:wrap type="topAndBottom"/>
              </v:rect>
            </w:pict>
          </mc:Fallback>
        </mc:AlternateContent>
      </w:r>
    </w:p>
    <w:p>
      <w:pPr>
        <w:spacing w:before="117"/>
        <w:ind w:left="68" w:right="0" w:firstLine="0"/>
        <w:jc w:val="left"/>
        <w:rPr>
          <w:rFonts w:ascii="Arial" w:hAnsi="Arial"/>
          <w:i/>
          <w:sz w:val="25"/>
        </w:rPr>
      </w:pPr>
      <w:r>
        <w:rPr>
          <w:rFonts w:ascii="Arial" w:hAnsi="Arial"/>
          <w:i/>
          <w:sz w:val="25"/>
        </w:rPr>
        <w:t>Cid</w:t>
      </w:r>
      <w:r>
        <w:rPr>
          <w:rFonts w:ascii="Arial" w:hAnsi="Arial"/>
          <w:i/>
          <w:spacing w:val="11"/>
          <w:sz w:val="25"/>
        </w:rPr>
        <w:t> </w:t>
      </w:r>
      <w:r>
        <w:rPr>
          <w:rFonts w:ascii="Arial" w:hAnsi="Arial"/>
          <w:i/>
          <w:sz w:val="25"/>
        </w:rPr>
        <w:t>José</w:t>
      </w:r>
      <w:r>
        <w:rPr>
          <w:rFonts w:ascii="Arial" w:hAnsi="Arial"/>
          <w:i/>
          <w:spacing w:val="11"/>
          <w:sz w:val="25"/>
        </w:rPr>
        <w:t> </w:t>
      </w:r>
      <w:r>
        <w:rPr>
          <w:rFonts w:ascii="Arial" w:hAnsi="Arial"/>
          <w:i/>
          <w:sz w:val="25"/>
        </w:rPr>
        <w:t>Sitrângulo</w:t>
      </w:r>
      <w:r>
        <w:rPr>
          <w:rFonts w:ascii="Arial" w:hAnsi="Arial"/>
          <w:i/>
          <w:spacing w:val="11"/>
          <w:sz w:val="25"/>
        </w:rPr>
        <w:t> </w:t>
      </w:r>
      <w:r>
        <w:rPr>
          <w:rFonts w:ascii="Arial" w:hAnsi="Arial"/>
          <w:i/>
          <w:sz w:val="25"/>
        </w:rPr>
        <w:t>Jr.</w:t>
      </w:r>
      <w:r>
        <w:rPr>
          <w:rFonts w:ascii="Arial" w:hAnsi="Arial"/>
          <w:i/>
          <w:spacing w:val="12"/>
          <w:sz w:val="25"/>
        </w:rPr>
        <w:t> </w:t>
      </w:r>
      <w:r>
        <w:rPr>
          <w:rFonts w:ascii="Arial" w:hAnsi="Arial"/>
          <w:i/>
          <w:sz w:val="25"/>
        </w:rPr>
        <w:t>e</w:t>
      </w:r>
      <w:r>
        <w:rPr>
          <w:rFonts w:ascii="Arial" w:hAnsi="Arial"/>
          <w:i/>
          <w:spacing w:val="11"/>
          <w:sz w:val="25"/>
        </w:rPr>
        <w:t> </w:t>
      </w:r>
      <w:r>
        <w:rPr>
          <w:rFonts w:ascii="Arial" w:hAnsi="Arial"/>
          <w:i/>
          <w:sz w:val="25"/>
        </w:rPr>
        <w:t>Paulo</w:t>
      </w:r>
      <w:r>
        <w:rPr>
          <w:rFonts w:ascii="Arial" w:hAnsi="Arial"/>
          <w:i/>
          <w:spacing w:val="11"/>
          <w:sz w:val="25"/>
        </w:rPr>
        <w:t> </w:t>
      </w:r>
      <w:r>
        <w:rPr>
          <w:rFonts w:ascii="Arial" w:hAnsi="Arial"/>
          <w:i/>
          <w:spacing w:val="-2"/>
          <w:sz w:val="25"/>
        </w:rPr>
        <w:t>Kauffman</w:t>
      </w:r>
    </w:p>
    <w:p>
      <w:pPr>
        <w:pStyle w:val="BodyText"/>
        <w:spacing w:before="199"/>
        <w:ind w:left="0" w:firstLine="0"/>
        <w:jc w:val="left"/>
        <w:rPr>
          <w:rFonts w:ascii="Arial"/>
          <w:i/>
          <w:sz w:val="25"/>
        </w:rPr>
      </w:pPr>
    </w:p>
    <w:p>
      <w:pPr>
        <w:pStyle w:val="Heading4"/>
      </w:pPr>
      <w:r>
        <w:rPr>
          <w:color w:val="242B67"/>
          <w:spacing w:val="-2"/>
        </w:rPr>
        <w:t>Introdução</w:t>
      </w:r>
    </w:p>
    <w:p>
      <w:pPr>
        <w:pStyle w:val="BodyText"/>
        <w:spacing w:line="276" w:lineRule="auto" w:before="131"/>
        <w:ind w:right="490"/>
      </w:pPr>
      <w:r>
        <w:rPr/>
        <w:t>A ocorrência de quadros isquêmicos agudos nos dedos do pé de pacientes em que os pulsos distais são palpáveis</w:t>
      </w:r>
      <w:r>
        <w:rPr>
          <w:spacing w:val="-3"/>
        </w:rPr>
        <w:t> </w:t>
      </w:r>
      <w:r>
        <w:rPr/>
        <w:t>e</w:t>
      </w:r>
      <w:r>
        <w:rPr>
          <w:spacing w:val="-12"/>
        </w:rPr>
        <w:t> </w:t>
      </w:r>
      <w:r>
        <w:rPr/>
        <w:t>normais</w:t>
      </w:r>
      <w:r>
        <w:rPr>
          <w:spacing w:val="-3"/>
        </w:rPr>
        <w:t> </w:t>
      </w:r>
      <w:r>
        <w:rPr/>
        <w:t>sempre</w:t>
      </w:r>
      <w:r>
        <w:rPr>
          <w:spacing w:val="-12"/>
        </w:rPr>
        <w:t> </w:t>
      </w:r>
      <w:r>
        <w:rPr/>
        <w:t>chamou</w:t>
      </w:r>
      <w:r>
        <w:rPr>
          <w:spacing w:val="-10"/>
        </w:rPr>
        <w:t> </w:t>
      </w:r>
      <w:r>
        <w:rPr/>
        <w:t>a</w:t>
      </w:r>
      <w:r>
        <w:rPr>
          <w:spacing w:val="-12"/>
        </w:rPr>
        <w:t> </w:t>
      </w:r>
      <w:r>
        <w:rPr/>
        <w:t>atenção</w:t>
      </w:r>
      <w:r>
        <w:rPr>
          <w:spacing w:val="-10"/>
        </w:rPr>
        <w:t> </w:t>
      </w:r>
      <w:r>
        <w:rPr/>
        <w:t>dos</w:t>
      </w:r>
      <w:r>
        <w:rPr>
          <w:spacing w:val="-3"/>
        </w:rPr>
        <w:t> </w:t>
      </w:r>
      <w:r>
        <w:rPr/>
        <w:t>cirurgiões</w:t>
      </w:r>
      <w:r>
        <w:rPr>
          <w:spacing w:val="-3"/>
        </w:rPr>
        <w:t> </w:t>
      </w:r>
      <w:r>
        <w:rPr/>
        <w:t>vasculares.</w:t>
      </w:r>
      <w:r>
        <w:rPr>
          <w:spacing w:val="-3"/>
        </w:rPr>
        <w:t> </w:t>
      </w:r>
      <w:r>
        <w:rPr/>
        <w:t>A</w:t>
      </w:r>
      <w:r>
        <w:rPr>
          <w:spacing w:val="-12"/>
        </w:rPr>
        <w:t> </w:t>
      </w:r>
      <w:r>
        <w:rPr/>
        <w:t>identificação</w:t>
      </w:r>
      <w:r>
        <w:rPr>
          <w:spacing w:val="-10"/>
        </w:rPr>
        <w:t> </w:t>
      </w:r>
      <w:r>
        <w:rPr/>
        <w:t>de</w:t>
      </w:r>
      <w:r>
        <w:rPr>
          <w:spacing w:val="-12"/>
        </w:rPr>
        <w:t> </w:t>
      </w:r>
      <w:r>
        <w:rPr/>
        <w:t>microtrombos</w:t>
      </w:r>
      <w:r>
        <w:rPr>
          <w:spacing w:val="-3"/>
        </w:rPr>
        <w:t> </w:t>
      </w:r>
      <w:r>
        <w:rPr/>
        <w:t>formados por agregados plaquetários ou fragmentos de</w:t>
      </w:r>
      <w:r>
        <w:rPr>
          <w:spacing w:val="-2"/>
        </w:rPr>
        <w:t> </w:t>
      </w:r>
      <w:r>
        <w:rPr/>
        <w:t>placa</w:t>
      </w:r>
      <w:r>
        <w:rPr>
          <w:spacing w:val="-2"/>
        </w:rPr>
        <w:t> </w:t>
      </w:r>
      <w:r>
        <w:rPr/>
        <w:t>de</w:t>
      </w:r>
      <w:r>
        <w:rPr>
          <w:spacing w:val="-2"/>
        </w:rPr>
        <w:t> </w:t>
      </w:r>
      <w:r>
        <w:rPr/>
        <w:t>ateroma</w:t>
      </w:r>
      <w:r>
        <w:rPr>
          <w:spacing w:val="-2"/>
        </w:rPr>
        <w:t> </w:t>
      </w:r>
      <w:r>
        <w:rPr/>
        <w:t>na</w:t>
      </w:r>
      <w:r>
        <w:rPr>
          <w:spacing w:val="-2"/>
        </w:rPr>
        <w:t> </w:t>
      </w:r>
      <w:r>
        <w:rPr/>
        <w:t>forma</w:t>
      </w:r>
      <w:r>
        <w:rPr>
          <w:spacing w:val="-2"/>
        </w:rPr>
        <w:t> </w:t>
      </w:r>
      <w:r>
        <w:rPr/>
        <w:t>de</w:t>
      </w:r>
      <w:r>
        <w:rPr>
          <w:spacing w:val="-2"/>
        </w:rPr>
        <w:t> </w:t>
      </w:r>
      <w:r>
        <w:rPr/>
        <w:t>cristais de</w:t>
      </w:r>
      <w:r>
        <w:rPr>
          <w:spacing w:val="-2"/>
        </w:rPr>
        <w:t> </w:t>
      </w:r>
      <w:r>
        <w:rPr/>
        <w:t>colesterol, nas porções mais distais das artérias dos membros inferiores, confirmou</w:t>
      </w:r>
      <w:r>
        <w:rPr>
          <w:spacing w:val="-4"/>
        </w:rPr>
        <w:t> </w:t>
      </w:r>
      <w:r>
        <w:rPr/>
        <w:t>a</w:t>
      </w:r>
      <w:r>
        <w:rPr>
          <w:spacing w:val="-7"/>
        </w:rPr>
        <w:t> </w:t>
      </w:r>
      <w:r>
        <w:rPr/>
        <w:t>procedência</w:t>
      </w:r>
      <w:r>
        <w:rPr>
          <w:spacing w:val="-7"/>
        </w:rPr>
        <w:t> </w:t>
      </w:r>
      <w:r>
        <w:rPr/>
        <w:t>dos episódios de</w:t>
      </w:r>
      <w:r>
        <w:rPr>
          <w:spacing w:val="-7"/>
        </w:rPr>
        <w:t> </w:t>
      </w:r>
      <w:r>
        <w:rPr/>
        <w:t>microembolização</w:t>
      </w:r>
      <w:r>
        <w:rPr>
          <w:spacing w:val="-4"/>
        </w:rPr>
        <w:t> </w:t>
      </w:r>
      <w:r>
        <w:rPr/>
        <w:t>periférica provenientes de lesões ateroscleróticas irregulares de artérias tronculares proximais.</w:t>
      </w:r>
    </w:p>
    <w:p>
      <w:pPr>
        <w:pStyle w:val="BodyText"/>
        <w:spacing w:line="278" w:lineRule="auto"/>
        <w:ind w:right="491"/>
      </w:pPr>
      <w:r>
        <w:rPr/>
        <w:t>Esse</w:t>
      </w:r>
      <w:r>
        <w:rPr>
          <w:spacing w:val="-5"/>
        </w:rPr>
        <w:t> </w:t>
      </w:r>
      <w:r>
        <w:rPr/>
        <w:t>fenômeno, conhecido</w:t>
      </w:r>
      <w:r>
        <w:rPr>
          <w:spacing w:val="-2"/>
        </w:rPr>
        <w:t> </w:t>
      </w:r>
      <w:r>
        <w:rPr/>
        <w:t>como</w:t>
      </w:r>
      <w:r>
        <w:rPr>
          <w:spacing w:val="-2"/>
        </w:rPr>
        <w:t> </w:t>
      </w:r>
      <w:r>
        <w:rPr/>
        <w:t>ateroembolismo, pode</w:t>
      </w:r>
      <w:r>
        <w:rPr>
          <w:spacing w:val="-5"/>
        </w:rPr>
        <w:t> </w:t>
      </w:r>
      <w:r>
        <w:rPr/>
        <w:t>ocorrer em</w:t>
      </w:r>
      <w:r>
        <w:rPr>
          <w:spacing w:val="-2"/>
        </w:rPr>
        <w:t> </w:t>
      </w:r>
      <w:r>
        <w:rPr/>
        <w:t>qualquer território</w:t>
      </w:r>
      <w:r>
        <w:rPr>
          <w:spacing w:val="-2"/>
        </w:rPr>
        <w:t> </w:t>
      </w:r>
      <w:r>
        <w:rPr/>
        <w:t>arterial, mas no</w:t>
      </w:r>
      <w:r>
        <w:rPr>
          <w:spacing w:val="-2"/>
        </w:rPr>
        <w:t> </w:t>
      </w:r>
      <w:r>
        <w:rPr/>
        <w:t>membro inferior caracteriza-se</w:t>
      </w:r>
      <w:r>
        <w:rPr>
          <w:spacing w:val="-6"/>
        </w:rPr>
        <w:t> </w:t>
      </w:r>
      <w:r>
        <w:rPr/>
        <w:t>pela</w:t>
      </w:r>
      <w:r>
        <w:rPr>
          <w:spacing w:val="-6"/>
        </w:rPr>
        <w:t> </w:t>
      </w:r>
      <w:r>
        <w:rPr/>
        <w:t>apresentação</w:t>
      </w:r>
      <w:r>
        <w:rPr>
          <w:spacing w:val="-4"/>
        </w:rPr>
        <w:t> </w:t>
      </w:r>
      <w:r>
        <w:rPr/>
        <w:t>clássica</w:t>
      </w:r>
      <w:r>
        <w:rPr>
          <w:spacing w:val="-6"/>
        </w:rPr>
        <w:t> </w:t>
      </w:r>
      <w:r>
        <w:rPr/>
        <w:t>da</w:t>
      </w:r>
      <w:r>
        <w:rPr>
          <w:spacing w:val="-6"/>
        </w:rPr>
        <w:t> </w:t>
      </w:r>
      <w:r>
        <w:rPr/>
        <w:t>“síndrome</w:t>
      </w:r>
      <w:r>
        <w:rPr>
          <w:spacing w:val="-6"/>
        </w:rPr>
        <w:t> </w:t>
      </w:r>
      <w:r>
        <w:rPr/>
        <w:t>do</w:t>
      </w:r>
      <w:r>
        <w:rPr>
          <w:spacing w:val="-4"/>
        </w:rPr>
        <w:t> </w:t>
      </w:r>
      <w:r>
        <w:rPr/>
        <w:t>dedo</w:t>
      </w:r>
      <w:r>
        <w:rPr>
          <w:spacing w:val="-4"/>
        </w:rPr>
        <w:t> </w:t>
      </w:r>
      <w:r>
        <w:rPr/>
        <w:t>azul”. Esta</w:t>
      </w:r>
      <w:r>
        <w:rPr>
          <w:spacing w:val="-6"/>
        </w:rPr>
        <w:t> </w:t>
      </w:r>
      <w:r>
        <w:rPr/>
        <w:t>manifestação</w:t>
      </w:r>
      <w:r>
        <w:rPr>
          <w:spacing w:val="-4"/>
        </w:rPr>
        <w:t> </w:t>
      </w:r>
      <w:r>
        <w:rPr/>
        <w:t>aguda</w:t>
      </w:r>
      <w:r>
        <w:rPr>
          <w:spacing w:val="-6"/>
        </w:rPr>
        <w:t> </w:t>
      </w:r>
      <w:r>
        <w:rPr/>
        <w:t>de</w:t>
      </w:r>
      <w:r>
        <w:rPr>
          <w:spacing w:val="-6"/>
        </w:rPr>
        <w:t> </w:t>
      </w:r>
      <w:r>
        <w:rPr/>
        <w:t>isquemia digital é evidenciada por alteração súbita da temperatura e coloração do dedo, que inicialmente se torna frio e pálido, para posteriormente adquirir aspecto cianótico com pontos hemorrágicos isolados, associada a intensa reação inflamatória e dor local.</w:t>
      </w:r>
      <w:r>
        <w:rPr>
          <w:vertAlign w:val="superscript"/>
        </w:rPr>
        <w:t>1</w:t>
      </w:r>
      <w:r>
        <w:rPr>
          <w:vertAlign w:val="baseline"/>
        </w:rPr>
        <w:t> Quadros isquêmicos mais difusos e graves podem ocorrer por meio desse mecanismo, se houver uma “chuva” de microtrombos acometendo áreas mais extensas do pé (</w:t>
      </w:r>
      <w:r>
        <w:rPr>
          <w:color w:val="505050"/>
          <w:vertAlign w:val="baseline"/>
        </w:rPr>
        <w:t>Figura 59.17</w:t>
      </w:r>
      <w:r>
        <w:rPr>
          <w:vertAlign w:val="baseline"/>
        </w:rPr>
        <w:t>). Em algumas situações a manifestação clínica pode ser na forma de livedo reticular.</w:t>
      </w:r>
    </w:p>
    <w:p>
      <w:pPr>
        <w:pStyle w:val="BodyText"/>
        <w:spacing w:before="184"/>
        <w:ind w:left="0" w:firstLine="0"/>
        <w:jc w:val="left"/>
      </w:pPr>
    </w:p>
    <w:p>
      <w:pPr>
        <w:pStyle w:val="Heading4"/>
      </w:pPr>
      <w:r>
        <w:rPr>
          <w:color w:val="242B67"/>
          <w:spacing w:val="-2"/>
        </w:rPr>
        <w:t>Etiopatogenia</w:t>
      </w:r>
    </w:p>
    <w:p>
      <w:pPr>
        <w:pStyle w:val="BodyText"/>
        <w:spacing w:line="280" w:lineRule="auto" w:before="132"/>
        <w:ind w:right="488"/>
      </w:pPr>
      <w:r>
        <w:rPr/>
        <w:t>As fontes mais frequentes de</w:t>
      </w:r>
      <w:r>
        <w:rPr>
          <w:spacing w:val="-4"/>
        </w:rPr>
        <w:t> </w:t>
      </w:r>
      <w:r>
        <w:rPr/>
        <w:t>ateroembolismo</w:t>
      </w:r>
      <w:r>
        <w:rPr>
          <w:spacing w:val="-1"/>
        </w:rPr>
        <w:t> </w:t>
      </w:r>
      <w:r>
        <w:rPr/>
        <w:t>são</w:t>
      </w:r>
      <w:r>
        <w:rPr>
          <w:spacing w:val="-1"/>
        </w:rPr>
        <w:t> </w:t>
      </w:r>
      <w:r>
        <w:rPr/>
        <w:t>a</w:t>
      </w:r>
      <w:r>
        <w:rPr>
          <w:spacing w:val="-4"/>
        </w:rPr>
        <w:t> </w:t>
      </w:r>
      <w:r>
        <w:rPr/>
        <w:t>aorta</w:t>
      </w:r>
      <w:r>
        <w:rPr>
          <w:spacing w:val="-4"/>
        </w:rPr>
        <w:t> </w:t>
      </w:r>
      <w:r>
        <w:rPr/>
        <w:t>infrarrenal, as artérias ilíacas, femorais e</w:t>
      </w:r>
      <w:r>
        <w:rPr>
          <w:spacing w:val="-4"/>
        </w:rPr>
        <w:t> </w:t>
      </w:r>
      <w:r>
        <w:rPr/>
        <w:t>poplíteas. A presença, nessas artérias, de placas de ateroma estenóticas, irregulares e ulceradas é a principal causa de ateroembolismo. Entretanto, os trombos murais que se compactam de forma laminar nas paredes dos aneurismas arteriais, principalmente na aorta e na artéria poplítea, são sabidamente responsáveis por inúmeros casos de microembolização distal.</w:t>
      </w:r>
      <w:r>
        <w:rPr>
          <w:vertAlign w:val="superscript"/>
        </w:rPr>
        <w:t>2,3</w:t>
      </w:r>
    </w:p>
    <w:p>
      <w:pPr>
        <w:pStyle w:val="BodyText"/>
        <w:spacing w:line="276" w:lineRule="auto" w:before="54"/>
        <w:ind w:right="491"/>
      </w:pPr>
      <w:r>
        <w:rPr/>
        <w:t>Embora a ocorrência espontânea de ateroembolismo não seja frequente, a manipulação cirúrgica durante o ato operatório pode provocar desprendimento de microtrombos para o território digital, principalmente na abordagem dos aneurismas da aorta e da artéria poplítea. Mais importantes do que isto, como causa iatrogênica de ateroembolismo,</w:t>
      </w:r>
      <w:r>
        <w:rPr>
          <w:spacing w:val="25"/>
        </w:rPr>
        <w:t> </w:t>
      </w:r>
      <w:r>
        <w:rPr/>
        <w:t>são</w:t>
      </w:r>
      <w:r>
        <w:rPr>
          <w:spacing w:val="17"/>
        </w:rPr>
        <w:t> </w:t>
      </w:r>
      <w:r>
        <w:rPr/>
        <w:t>os</w:t>
      </w:r>
      <w:r>
        <w:rPr>
          <w:spacing w:val="25"/>
        </w:rPr>
        <w:t> </w:t>
      </w:r>
      <w:r>
        <w:rPr/>
        <w:t>procedimentos</w:t>
      </w:r>
      <w:r>
        <w:rPr>
          <w:spacing w:val="25"/>
        </w:rPr>
        <w:t> </w:t>
      </w:r>
      <w:r>
        <w:rPr/>
        <w:t>endovasculares</w:t>
      </w:r>
      <w:r>
        <w:rPr>
          <w:spacing w:val="25"/>
        </w:rPr>
        <w:t> </w:t>
      </w:r>
      <w:r>
        <w:rPr/>
        <w:t>diagnósticos</w:t>
      </w:r>
      <w:r>
        <w:rPr>
          <w:spacing w:val="25"/>
        </w:rPr>
        <w:t> </w:t>
      </w:r>
      <w:r>
        <w:rPr/>
        <w:t>e</w:t>
      </w:r>
      <w:r>
        <w:rPr>
          <w:spacing w:val="14"/>
        </w:rPr>
        <w:t> </w:t>
      </w:r>
      <w:r>
        <w:rPr/>
        <w:t>terapêuticos,</w:t>
      </w:r>
      <w:r>
        <w:rPr>
          <w:spacing w:val="25"/>
        </w:rPr>
        <w:t> </w:t>
      </w:r>
      <w:r>
        <w:rPr/>
        <w:t>com</w:t>
      </w:r>
      <w:r>
        <w:rPr>
          <w:spacing w:val="17"/>
        </w:rPr>
        <w:t> </w:t>
      </w:r>
      <w:r>
        <w:rPr/>
        <w:t>utilização</w:t>
      </w:r>
      <w:r>
        <w:rPr>
          <w:spacing w:val="17"/>
        </w:rPr>
        <w:t> </w:t>
      </w:r>
      <w:r>
        <w:rPr/>
        <w:t>de</w:t>
      </w:r>
      <w:r>
        <w:rPr>
          <w:spacing w:val="14"/>
        </w:rPr>
        <w:t> </w:t>
      </w:r>
      <w:r>
        <w:rPr/>
        <w:t>cateteres</w:t>
      </w:r>
      <w:r>
        <w:rPr>
          <w:spacing w:val="25"/>
        </w:rPr>
        <w:t> </w:t>
      </w:r>
      <w:r>
        <w:rPr/>
        <w:t>e</w:t>
      </w:r>
    </w:p>
    <w:p>
      <w:pPr>
        <w:pStyle w:val="BodyText"/>
        <w:spacing w:after="0" w:line="276" w:lineRule="auto"/>
        <w:sectPr>
          <w:pgSz w:w="11900" w:h="16840"/>
          <w:pgMar w:top="200" w:bottom="280" w:left="566" w:right="141"/>
        </w:sectPr>
      </w:pPr>
    </w:p>
    <w:p>
      <w:pPr>
        <w:pStyle w:val="BodyText"/>
        <w:spacing w:line="283" w:lineRule="auto" w:before="75"/>
        <w:ind w:right="497" w:firstLine="0"/>
      </w:pPr>
      <w:r>
        <w:rPr/>
        <w:t>dispositivos intra-arteriais que mobilizam e fragmentam as placas e trombos murais, facilitando sua embolização distal. Aliás, com</w:t>
      </w:r>
      <w:r>
        <w:rPr>
          <w:spacing w:val="-4"/>
        </w:rPr>
        <w:t> </w:t>
      </w:r>
      <w:r>
        <w:rPr/>
        <w:t>o</w:t>
      </w:r>
      <w:r>
        <w:rPr>
          <w:spacing w:val="-4"/>
        </w:rPr>
        <w:t> </w:t>
      </w:r>
      <w:r>
        <w:rPr/>
        <w:t>grande</w:t>
      </w:r>
      <w:r>
        <w:rPr>
          <w:spacing w:val="-7"/>
        </w:rPr>
        <w:t> </w:t>
      </w:r>
      <w:r>
        <w:rPr/>
        <w:t>desenvolvimento</w:t>
      </w:r>
      <w:r>
        <w:rPr>
          <w:spacing w:val="-4"/>
        </w:rPr>
        <w:t> </w:t>
      </w:r>
      <w:r>
        <w:rPr/>
        <w:t>que</w:t>
      </w:r>
      <w:r>
        <w:rPr>
          <w:spacing w:val="-7"/>
        </w:rPr>
        <w:t> </w:t>
      </w:r>
      <w:r>
        <w:rPr/>
        <w:t>se</w:t>
      </w:r>
      <w:r>
        <w:rPr>
          <w:spacing w:val="-7"/>
        </w:rPr>
        <w:t> </w:t>
      </w:r>
      <w:r>
        <w:rPr/>
        <w:t>observa</w:t>
      </w:r>
      <w:r>
        <w:rPr>
          <w:spacing w:val="-7"/>
        </w:rPr>
        <w:t> </w:t>
      </w:r>
      <w:r>
        <w:rPr/>
        <w:t>atualmente</w:t>
      </w:r>
      <w:r>
        <w:rPr>
          <w:spacing w:val="-7"/>
        </w:rPr>
        <w:t> </w:t>
      </w:r>
      <w:r>
        <w:rPr/>
        <w:t>da</w:t>
      </w:r>
      <w:r>
        <w:rPr>
          <w:spacing w:val="-7"/>
        </w:rPr>
        <w:t> </w:t>
      </w:r>
      <w:r>
        <w:rPr/>
        <w:t>cirurgia</w:t>
      </w:r>
      <w:r>
        <w:rPr>
          <w:spacing w:val="-7"/>
        </w:rPr>
        <w:t> </w:t>
      </w:r>
      <w:r>
        <w:rPr/>
        <w:t>endovascular, tem</w:t>
      </w:r>
      <w:r>
        <w:rPr>
          <w:spacing w:val="-4"/>
        </w:rPr>
        <w:t> </w:t>
      </w:r>
      <w:r>
        <w:rPr/>
        <w:t>sido</w:t>
      </w:r>
      <w:r>
        <w:rPr>
          <w:spacing w:val="-4"/>
        </w:rPr>
        <w:t> </w:t>
      </w:r>
      <w:r>
        <w:rPr/>
        <w:t>cada</w:t>
      </w:r>
      <w:r>
        <w:rPr>
          <w:spacing w:val="-7"/>
        </w:rPr>
        <w:t> </w:t>
      </w:r>
      <w:r>
        <w:rPr/>
        <w:t>vez mais frequente</w:t>
      </w:r>
      <w:r>
        <w:rPr>
          <w:spacing w:val="-5"/>
        </w:rPr>
        <w:t> </w:t>
      </w:r>
      <w:r>
        <w:rPr/>
        <w:t>a</w:t>
      </w:r>
      <w:r>
        <w:rPr>
          <w:spacing w:val="-5"/>
        </w:rPr>
        <w:t> </w:t>
      </w:r>
      <w:r>
        <w:rPr/>
        <w:t>ocorrência</w:t>
      </w:r>
      <w:r>
        <w:rPr>
          <w:spacing w:val="-5"/>
        </w:rPr>
        <w:t> </w:t>
      </w:r>
      <w:r>
        <w:rPr/>
        <w:t>de</w:t>
      </w:r>
      <w:r>
        <w:rPr>
          <w:spacing w:val="-5"/>
        </w:rPr>
        <w:t> </w:t>
      </w:r>
      <w:r>
        <w:rPr/>
        <w:t>microembolização</w:t>
      </w:r>
      <w:r>
        <w:rPr>
          <w:spacing w:val="-2"/>
        </w:rPr>
        <w:t> </w:t>
      </w:r>
      <w:r>
        <w:rPr/>
        <w:t>provocada</w:t>
      </w:r>
      <w:r>
        <w:rPr>
          <w:spacing w:val="-5"/>
        </w:rPr>
        <w:t> </w:t>
      </w:r>
      <w:r>
        <w:rPr/>
        <w:t>por dispositivos endovasculares.</w:t>
      </w:r>
      <w:r>
        <w:rPr>
          <w:vertAlign w:val="superscript"/>
        </w:rPr>
        <w:t>4</w:t>
      </w:r>
      <w:r>
        <w:rPr>
          <w:vertAlign w:val="baseline"/>
        </w:rPr>
        <w:t> Por essa</w:t>
      </w:r>
      <w:r>
        <w:rPr>
          <w:spacing w:val="-6"/>
          <w:vertAlign w:val="baseline"/>
        </w:rPr>
        <w:t> </w:t>
      </w:r>
      <w:r>
        <w:rPr>
          <w:vertAlign w:val="baseline"/>
        </w:rPr>
        <w:t>razão, uma série de medidas preventivas e equipamentos está sendo desenvolvida no sentido de se evitar esse tipo de complicação, que pode ser desastroso em algumas situações.</w:t>
      </w:r>
      <w:r>
        <w:rPr>
          <w:vertAlign w:val="superscript"/>
        </w:rPr>
        <w:t>5</w:t>
      </w:r>
    </w:p>
    <w:p>
      <w:pPr>
        <w:pStyle w:val="BodyText"/>
        <w:spacing w:before="36"/>
        <w:ind w:left="0" w:firstLine="0"/>
        <w:jc w:val="left"/>
        <w:rPr>
          <w:sz w:val="20"/>
        </w:rPr>
      </w:pPr>
      <w:r>
        <w:rPr>
          <w:sz w:val="20"/>
        </w:rPr>
        <w:drawing>
          <wp:anchor distT="0" distB="0" distL="0" distR="0" allowOverlap="1" layoutInCell="1" locked="0" behindDoc="1" simplePos="0" relativeHeight="487623680">
            <wp:simplePos x="0" y="0"/>
            <wp:positionH relativeFrom="page">
              <wp:posOffset>2537421</wp:posOffset>
            </wp:positionH>
            <wp:positionV relativeFrom="paragraph">
              <wp:posOffset>184481</wp:posOffset>
            </wp:positionV>
            <wp:extent cx="2486788" cy="2812923"/>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51" cstate="print"/>
                    <a:stretch>
                      <a:fillRect/>
                    </a:stretch>
                  </pic:blipFill>
                  <pic:spPr>
                    <a:xfrm>
                      <a:off x="0" y="0"/>
                      <a:ext cx="2486788" cy="2812923"/>
                    </a:xfrm>
                    <a:prstGeom prst="rect">
                      <a:avLst/>
                    </a:prstGeom>
                  </pic:spPr>
                </pic:pic>
              </a:graphicData>
            </a:graphic>
          </wp:anchor>
        </w:drawing>
      </w:r>
    </w:p>
    <w:p>
      <w:pPr>
        <w:spacing w:before="258"/>
        <w:ind w:left="68" w:right="0" w:firstLine="0"/>
        <w:jc w:val="both"/>
        <w:rPr>
          <w:rFonts w:ascii="Microsoft Sans Serif" w:hAnsi="Microsoft Sans Serif"/>
          <w:sz w:val="19"/>
        </w:rPr>
      </w:pPr>
      <w:r>
        <w:rPr>
          <w:rFonts w:ascii="Arial" w:hAnsi="Arial"/>
          <w:b/>
          <w:color w:val="242B67"/>
          <w:sz w:val="19"/>
        </w:rPr>
        <w:t>Figura</w:t>
      </w:r>
      <w:r>
        <w:rPr>
          <w:rFonts w:ascii="Arial" w:hAnsi="Arial"/>
          <w:b/>
          <w:color w:val="242B67"/>
          <w:spacing w:val="11"/>
          <w:sz w:val="19"/>
        </w:rPr>
        <w:t> </w:t>
      </w:r>
      <w:r>
        <w:rPr>
          <w:rFonts w:ascii="Arial" w:hAnsi="Arial"/>
          <w:b/>
          <w:color w:val="242B67"/>
          <w:sz w:val="19"/>
        </w:rPr>
        <w:t>59.17</w:t>
      </w:r>
      <w:r>
        <w:rPr>
          <w:rFonts w:ascii="Arial" w:hAnsi="Arial"/>
          <w:b/>
          <w:color w:val="242B67"/>
          <w:spacing w:val="13"/>
          <w:sz w:val="19"/>
        </w:rPr>
        <w:t> </w:t>
      </w:r>
      <w:r>
        <w:rPr>
          <w:rFonts w:ascii="Microsoft Sans Serif" w:hAnsi="Microsoft Sans Serif"/>
          <w:sz w:val="19"/>
        </w:rPr>
        <w:t>Áreas</w:t>
      </w:r>
      <w:r>
        <w:rPr>
          <w:rFonts w:ascii="Microsoft Sans Serif" w:hAnsi="Microsoft Sans Serif"/>
          <w:spacing w:val="9"/>
          <w:sz w:val="19"/>
        </w:rPr>
        <w:t> </w:t>
      </w:r>
      <w:r>
        <w:rPr>
          <w:rFonts w:ascii="Microsoft Sans Serif" w:hAnsi="Microsoft Sans Serif"/>
          <w:sz w:val="19"/>
        </w:rPr>
        <w:t>isquêmicas</w:t>
      </w:r>
      <w:r>
        <w:rPr>
          <w:rFonts w:ascii="Microsoft Sans Serif" w:hAnsi="Microsoft Sans Serif"/>
          <w:spacing w:val="9"/>
          <w:sz w:val="19"/>
        </w:rPr>
        <w:t> </w:t>
      </w:r>
      <w:r>
        <w:rPr>
          <w:rFonts w:ascii="Microsoft Sans Serif" w:hAnsi="Microsoft Sans Serif"/>
          <w:sz w:val="19"/>
        </w:rPr>
        <w:t>nos</w:t>
      </w:r>
      <w:r>
        <w:rPr>
          <w:rFonts w:ascii="Microsoft Sans Serif" w:hAnsi="Microsoft Sans Serif"/>
          <w:spacing w:val="9"/>
          <w:sz w:val="19"/>
        </w:rPr>
        <w:t> </w:t>
      </w:r>
      <w:r>
        <w:rPr>
          <w:rFonts w:ascii="Microsoft Sans Serif" w:hAnsi="Microsoft Sans Serif"/>
          <w:sz w:val="19"/>
        </w:rPr>
        <w:t>dedos</w:t>
      </w:r>
      <w:r>
        <w:rPr>
          <w:rFonts w:ascii="Microsoft Sans Serif" w:hAnsi="Microsoft Sans Serif"/>
          <w:spacing w:val="10"/>
          <w:sz w:val="19"/>
        </w:rPr>
        <w:t> </w:t>
      </w:r>
      <w:r>
        <w:rPr>
          <w:rFonts w:ascii="Microsoft Sans Serif" w:hAnsi="Microsoft Sans Serif"/>
          <w:sz w:val="19"/>
        </w:rPr>
        <w:t>do</w:t>
      </w:r>
      <w:r>
        <w:rPr>
          <w:rFonts w:ascii="Microsoft Sans Serif" w:hAnsi="Microsoft Sans Serif"/>
          <w:spacing w:val="15"/>
          <w:sz w:val="19"/>
        </w:rPr>
        <w:t> </w:t>
      </w:r>
      <w:r>
        <w:rPr>
          <w:rFonts w:ascii="Microsoft Sans Serif" w:hAnsi="Microsoft Sans Serif"/>
          <w:sz w:val="19"/>
        </w:rPr>
        <w:t>pé</w:t>
      </w:r>
      <w:r>
        <w:rPr>
          <w:rFonts w:ascii="Microsoft Sans Serif" w:hAnsi="Microsoft Sans Serif"/>
          <w:spacing w:val="15"/>
          <w:sz w:val="19"/>
        </w:rPr>
        <w:t> </w:t>
      </w:r>
      <w:r>
        <w:rPr>
          <w:rFonts w:ascii="Microsoft Sans Serif" w:hAnsi="Microsoft Sans Serif"/>
          <w:sz w:val="19"/>
        </w:rPr>
        <w:t>e</w:t>
      </w:r>
      <w:r>
        <w:rPr>
          <w:rFonts w:ascii="Microsoft Sans Serif" w:hAnsi="Microsoft Sans Serif"/>
          <w:spacing w:val="15"/>
          <w:sz w:val="19"/>
        </w:rPr>
        <w:t> </w:t>
      </w:r>
      <w:r>
        <w:rPr>
          <w:rFonts w:ascii="Microsoft Sans Serif" w:hAnsi="Microsoft Sans Serif"/>
          <w:sz w:val="19"/>
        </w:rPr>
        <w:t>na</w:t>
      </w:r>
      <w:r>
        <w:rPr>
          <w:rFonts w:ascii="Microsoft Sans Serif" w:hAnsi="Microsoft Sans Serif"/>
          <w:spacing w:val="16"/>
          <w:sz w:val="19"/>
        </w:rPr>
        <w:t> </w:t>
      </w:r>
      <w:r>
        <w:rPr>
          <w:rFonts w:ascii="Microsoft Sans Serif" w:hAnsi="Microsoft Sans Serif"/>
          <w:sz w:val="19"/>
        </w:rPr>
        <w:t>região</w:t>
      </w:r>
      <w:r>
        <w:rPr>
          <w:rFonts w:ascii="Microsoft Sans Serif" w:hAnsi="Microsoft Sans Serif"/>
          <w:spacing w:val="15"/>
          <w:sz w:val="19"/>
        </w:rPr>
        <w:t> </w:t>
      </w:r>
      <w:r>
        <w:rPr>
          <w:rFonts w:ascii="Microsoft Sans Serif" w:hAnsi="Microsoft Sans Serif"/>
          <w:sz w:val="19"/>
        </w:rPr>
        <w:t>plantar</w:t>
      </w:r>
      <w:r>
        <w:rPr>
          <w:rFonts w:ascii="Microsoft Sans Serif" w:hAnsi="Microsoft Sans Serif"/>
          <w:spacing w:val="9"/>
          <w:sz w:val="19"/>
        </w:rPr>
        <w:t> </w:t>
      </w:r>
      <w:r>
        <w:rPr>
          <w:rFonts w:ascii="Microsoft Sans Serif" w:hAnsi="Microsoft Sans Serif"/>
          <w:sz w:val="19"/>
        </w:rPr>
        <w:t>de</w:t>
      </w:r>
      <w:r>
        <w:rPr>
          <w:rFonts w:ascii="Microsoft Sans Serif" w:hAnsi="Microsoft Sans Serif"/>
          <w:spacing w:val="16"/>
          <w:sz w:val="19"/>
        </w:rPr>
        <w:t> </w:t>
      </w:r>
      <w:r>
        <w:rPr>
          <w:rFonts w:ascii="Microsoft Sans Serif" w:hAnsi="Microsoft Sans Serif"/>
          <w:spacing w:val="-2"/>
          <w:sz w:val="19"/>
        </w:rPr>
        <w:t>ateroembolismo.</w:t>
      </w:r>
    </w:p>
    <w:p>
      <w:pPr>
        <w:pStyle w:val="BodyText"/>
        <w:spacing w:before="0"/>
        <w:ind w:left="0" w:firstLine="0"/>
        <w:jc w:val="left"/>
        <w:rPr>
          <w:rFonts w:ascii="Microsoft Sans Serif"/>
          <w:sz w:val="19"/>
        </w:rPr>
      </w:pPr>
    </w:p>
    <w:p>
      <w:pPr>
        <w:pStyle w:val="BodyText"/>
        <w:spacing w:before="52"/>
        <w:ind w:left="0" w:firstLine="0"/>
        <w:jc w:val="left"/>
        <w:rPr>
          <w:rFonts w:ascii="Microsoft Sans Serif"/>
          <w:sz w:val="19"/>
        </w:rPr>
      </w:pPr>
    </w:p>
    <w:p>
      <w:pPr>
        <w:pStyle w:val="Heading4"/>
        <w:spacing w:before="1"/>
      </w:pPr>
      <w:r>
        <w:rPr>
          <w:color w:val="242B67"/>
          <w:spacing w:val="-2"/>
        </w:rPr>
        <w:t>Diagnóstico</w:t>
      </w:r>
    </w:p>
    <w:p>
      <w:pPr>
        <w:pStyle w:val="BodyText"/>
        <w:spacing w:line="276" w:lineRule="auto" w:before="131"/>
        <w:ind w:right="491"/>
      </w:pPr>
      <w:r>
        <w:rPr/>
        <w:t>O diagnóstico de ateroembolismo periférico é baseado principalmente em observação clínica, com o aparecimento súbito de área isquêmica localizada no dedo ou no pé de paciente que apresenta pulsos distais e, frequentemente, não tem queixa pregressa de claudicação intermitente. Chama a atenção, muitas vezes, o fato de a gravidade</w:t>
      </w:r>
      <w:r>
        <w:rPr>
          <w:spacing w:val="-5"/>
        </w:rPr>
        <w:t> </w:t>
      </w:r>
      <w:r>
        <w:rPr/>
        <w:t>da</w:t>
      </w:r>
      <w:r>
        <w:rPr>
          <w:spacing w:val="-5"/>
        </w:rPr>
        <w:t> </w:t>
      </w:r>
      <w:r>
        <w:rPr/>
        <w:t>isquemia</w:t>
      </w:r>
      <w:r>
        <w:rPr>
          <w:spacing w:val="-5"/>
        </w:rPr>
        <w:t> </w:t>
      </w:r>
      <w:r>
        <w:rPr/>
        <w:t>distal não</w:t>
      </w:r>
      <w:r>
        <w:rPr>
          <w:spacing w:val="-2"/>
        </w:rPr>
        <w:t> </w:t>
      </w:r>
      <w:r>
        <w:rPr/>
        <w:t>corresponder a</w:t>
      </w:r>
      <w:r>
        <w:rPr>
          <w:spacing w:val="-5"/>
        </w:rPr>
        <w:t> </w:t>
      </w:r>
      <w:r>
        <w:rPr/>
        <w:t>achados importantes de</w:t>
      </w:r>
      <w:r>
        <w:rPr>
          <w:spacing w:val="-5"/>
        </w:rPr>
        <w:t> </w:t>
      </w:r>
      <w:r>
        <w:rPr/>
        <w:t>obstrução</w:t>
      </w:r>
      <w:r>
        <w:rPr>
          <w:spacing w:val="-2"/>
        </w:rPr>
        <w:t> </w:t>
      </w:r>
      <w:r>
        <w:rPr/>
        <w:t>arterial proximal. A</w:t>
      </w:r>
      <w:r>
        <w:rPr>
          <w:spacing w:val="-5"/>
        </w:rPr>
        <w:t> </w:t>
      </w:r>
      <w:r>
        <w:rPr/>
        <w:t>ausência</w:t>
      </w:r>
      <w:r>
        <w:rPr>
          <w:spacing w:val="-5"/>
        </w:rPr>
        <w:t> </w:t>
      </w:r>
      <w:r>
        <w:rPr/>
        <w:t>de doença</w:t>
      </w:r>
      <w:r>
        <w:rPr>
          <w:spacing w:val="-2"/>
        </w:rPr>
        <w:t> </w:t>
      </w:r>
      <w:r>
        <w:rPr/>
        <w:t>cardíaca</w:t>
      </w:r>
      <w:r>
        <w:rPr>
          <w:spacing w:val="-2"/>
        </w:rPr>
        <w:t> </w:t>
      </w:r>
      <w:r>
        <w:rPr/>
        <w:t>que</w:t>
      </w:r>
      <w:r>
        <w:rPr>
          <w:spacing w:val="-2"/>
        </w:rPr>
        <w:t> </w:t>
      </w:r>
      <w:r>
        <w:rPr/>
        <w:t>justifique</w:t>
      </w:r>
      <w:r>
        <w:rPr>
          <w:spacing w:val="-2"/>
        </w:rPr>
        <w:t> </w:t>
      </w:r>
      <w:r>
        <w:rPr/>
        <w:t>fonte</w:t>
      </w:r>
      <w:r>
        <w:rPr>
          <w:spacing w:val="-2"/>
        </w:rPr>
        <w:t> </w:t>
      </w:r>
      <w:r>
        <w:rPr/>
        <w:t>embolígena</w:t>
      </w:r>
      <w:r>
        <w:rPr>
          <w:spacing w:val="-2"/>
        </w:rPr>
        <w:t> </w:t>
      </w:r>
      <w:r>
        <w:rPr/>
        <w:t>reforça, também, a</w:t>
      </w:r>
      <w:r>
        <w:rPr>
          <w:spacing w:val="-2"/>
        </w:rPr>
        <w:t> </w:t>
      </w:r>
      <w:r>
        <w:rPr/>
        <w:t>possibilidade</w:t>
      </w:r>
      <w:r>
        <w:rPr>
          <w:spacing w:val="-2"/>
        </w:rPr>
        <w:t> </w:t>
      </w:r>
      <w:r>
        <w:rPr/>
        <w:t>de</w:t>
      </w:r>
      <w:r>
        <w:rPr>
          <w:spacing w:val="-2"/>
        </w:rPr>
        <w:t> </w:t>
      </w:r>
      <w:r>
        <w:rPr/>
        <w:t>ateroembolismo.</w:t>
      </w:r>
    </w:p>
    <w:p>
      <w:pPr>
        <w:pStyle w:val="BodyText"/>
        <w:spacing w:line="278" w:lineRule="auto" w:before="49"/>
        <w:ind w:right="497"/>
      </w:pPr>
      <w:r>
        <w:rPr/>
        <w:t>Uma</w:t>
      </w:r>
      <w:r>
        <w:rPr>
          <w:spacing w:val="-7"/>
        </w:rPr>
        <w:t> </w:t>
      </w:r>
      <w:r>
        <w:rPr/>
        <w:t>vez</w:t>
      </w:r>
      <w:r>
        <w:rPr>
          <w:spacing w:val="-7"/>
        </w:rPr>
        <w:t> </w:t>
      </w:r>
      <w:r>
        <w:rPr/>
        <w:t>instalado</w:t>
      </w:r>
      <w:r>
        <w:rPr>
          <w:spacing w:val="-5"/>
        </w:rPr>
        <w:t> </w:t>
      </w:r>
      <w:r>
        <w:rPr/>
        <w:t>o</w:t>
      </w:r>
      <w:r>
        <w:rPr>
          <w:spacing w:val="-5"/>
        </w:rPr>
        <w:t> </w:t>
      </w:r>
      <w:r>
        <w:rPr/>
        <w:t>quadro</w:t>
      </w:r>
      <w:r>
        <w:rPr>
          <w:spacing w:val="-5"/>
        </w:rPr>
        <w:t> </w:t>
      </w:r>
      <w:r>
        <w:rPr/>
        <w:t>isquêmico</w:t>
      </w:r>
      <w:r>
        <w:rPr>
          <w:spacing w:val="-5"/>
        </w:rPr>
        <w:t> </w:t>
      </w:r>
      <w:r>
        <w:rPr/>
        <w:t>causado</w:t>
      </w:r>
      <w:r>
        <w:rPr>
          <w:spacing w:val="-5"/>
        </w:rPr>
        <w:t> </w:t>
      </w:r>
      <w:r>
        <w:rPr/>
        <w:t>por ateroembolismo, todo</w:t>
      </w:r>
      <w:r>
        <w:rPr>
          <w:spacing w:val="-5"/>
        </w:rPr>
        <w:t> </w:t>
      </w:r>
      <w:r>
        <w:rPr/>
        <w:t>esforço</w:t>
      </w:r>
      <w:r>
        <w:rPr>
          <w:spacing w:val="-5"/>
        </w:rPr>
        <w:t> </w:t>
      </w:r>
      <w:r>
        <w:rPr/>
        <w:t>deve</w:t>
      </w:r>
      <w:r>
        <w:rPr>
          <w:spacing w:val="-7"/>
        </w:rPr>
        <w:t> </w:t>
      </w:r>
      <w:r>
        <w:rPr/>
        <w:t>ser feito</w:t>
      </w:r>
      <w:r>
        <w:rPr>
          <w:spacing w:val="-5"/>
        </w:rPr>
        <w:t> </w:t>
      </w:r>
      <w:r>
        <w:rPr/>
        <w:t>para</w:t>
      </w:r>
      <w:r>
        <w:rPr>
          <w:spacing w:val="-7"/>
        </w:rPr>
        <w:t> </w:t>
      </w:r>
      <w:r>
        <w:rPr/>
        <w:t>identificar a</w:t>
      </w:r>
      <w:r>
        <w:rPr>
          <w:spacing w:val="-7"/>
        </w:rPr>
        <w:t> </w:t>
      </w:r>
      <w:r>
        <w:rPr/>
        <w:t>fonte</w:t>
      </w:r>
      <w:r>
        <w:rPr>
          <w:spacing w:val="-7"/>
        </w:rPr>
        <w:t> </w:t>
      </w:r>
      <w:r>
        <w:rPr/>
        <w:t>embolígena, tarefa</w:t>
      </w:r>
      <w:r>
        <w:rPr>
          <w:spacing w:val="-7"/>
        </w:rPr>
        <w:t> </w:t>
      </w:r>
      <w:r>
        <w:rPr/>
        <w:t>nem</w:t>
      </w:r>
      <w:r>
        <w:rPr>
          <w:spacing w:val="-5"/>
        </w:rPr>
        <w:t> </w:t>
      </w:r>
      <w:r>
        <w:rPr/>
        <w:t>sempre</w:t>
      </w:r>
      <w:r>
        <w:rPr>
          <w:spacing w:val="-7"/>
        </w:rPr>
        <w:t> </w:t>
      </w:r>
      <w:r>
        <w:rPr/>
        <w:t>fácil. Muitas vezes, as artérias proximais apresentam</w:t>
      </w:r>
      <w:r>
        <w:rPr>
          <w:spacing w:val="-5"/>
        </w:rPr>
        <w:t> </w:t>
      </w:r>
      <w:r>
        <w:rPr/>
        <w:t>lesões ateroscleróticas extensas e difusas que dificultam a definição do local exato em que possa ter ocorrido o desprendimento de microtrombo. De</w:t>
      </w:r>
      <w:r>
        <w:rPr>
          <w:spacing w:val="-6"/>
        </w:rPr>
        <w:t> </w:t>
      </w:r>
      <w:r>
        <w:rPr/>
        <w:t>maneira</w:t>
      </w:r>
      <w:r>
        <w:rPr>
          <w:spacing w:val="-6"/>
        </w:rPr>
        <w:t> </w:t>
      </w:r>
      <w:r>
        <w:rPr/>
        <w:t>geral, se</w:t>
      </w:r>
      <w:r>
        <w:rPr>
          <w:spacing w:val="-6"/>
        </w:rPr>
        <w:t> </w:t>
      </w:r>
      <w:r>
        <w:rPr/>
        <w:t>a</w:t>
      </w:r>
      <w:r>
        <w:rPr>
          <w:spacing w:val="-6"/>
        </w:rPr>
        <w:t> </w:t>
      </w:r>
      <w:r>
        <w:rPr/>
        <w:t>manifestação</w:t>
      </w:r>
      <w:r>
        <w:rPr>
          <w:spacing w:val="-3"/>
        </w:rPr>
        <w:t> </w:t>
      </w:r>
      <w:r>
        <w:rPr/>
        <w:t>isquêmica</w:t>
      </w:r>
      <w:r>
        <w:rPr>
          <w:spacing w:val="-6"/>
        </w:rPr>
        <w:t> </w:t>
      </w:r>
      <w:r>
        <w:rPr/>
        <w:t>for bilateral</w:t>
      </w:r>
      <w:r>
        <w:rPr>
          <w:spacing w:val="-1"/>
        </w:rPr>
        <w:t> </w:t>
      </w:r>
      <w:r>
        <w:rPr/>
        <w:t>pressupõe</w:t>
      </w:r>
      <w:r>
        <w:rPr>
          <w:spacing w:val="-6"/>
        </w:rPr>
        <w:t> </w:t>
      </w:r>
      <w:r>
        <w:rPr/>
        <w:t>origem</w:t>
      </w:r>
      <w:r>
        <w:rPr>
          <w:spacing w:val="-3"/>
        </w:rPr>
        <w:t> </w:t>
      </w:r>
      <w:r>
        <w:rPr/>
        <w:t>aórtica</w:t>
      </w:r>
      <w:r>
        <w:rPr>
          <w:spacing w:val="-6"/>
        </w:rPr>
        <w:t> </w:t>
      </w:r>
      <w:r>
        <w:rPr/>
        <w:t>da</w:t>
      </w:r>
      <w:r>
        <w:rPr>
          <w:spacing w:val="-6"/>
        </w:rPr>
        <w:t> </w:t>
      </w:r>
      <w:r>
        <w:rPr/>
        <w:t>embolização e, se for unilateral, é maior a probabilidade de se originar abaixo da bifurcação aórtica. Nessa situação pode-se recorrer a</w:t>
      </w:r>
      <w:r>
        <w:rPr>
          <w:spacing w:val="-5"/>
        </w:rPr>
        <w:t> </w:t>
      </w:r>
      <w:r>
        <w:rPr/>
        <w:t>exames subsidiários de</w:t>
      </w:r>
      <w:r>
        <w:rPr>
          <w:spacing w:val="-5"/>
        </w:rPr>
        <w:t> </w:t>
      </w:r>
      <w:r>
        <w:rPr/>
        <w:t>imagem</w:t>
      </w:r>
      <w:r>
        <w:rPr>
          <w:spacing w:val="-2"/>
        </w:rPr>
        <w:t> </w:t>
      </w:r>
      <w:r>
        <w:rPr/>
        <w:t>para</w:t>
      </w:r>
      <w:r>
        <w:rPr>
          <w:spacing w:val="-5"/>
        </w:rPr>
        <w:t> </w:t>
      </w:r>
      <w:r>
        <w:rPr/>
        <w:t>tentar esclarecer as dúvidas. O</w:t>
      </w:r>
      <w:r>
        <w:rPr>
          <w:spacing w:val="-5"/>
        </w:rPr>
        <w:t> </w:t>
      </w:r>
      <w:r>
        <w:rPr/>
        <w:t>eco-Doppler colorido</w:t>
      </w:r>
      <w:r>
        <w:rPr>
          <w:spacing w:val="-2"/>
        </w:rPr>
        <w:t> </w:t>
      </w:r>
      <w:r>
        <w:rPr/>
        <w:t>e</w:t>
      </w:r>
      <w:r>
        <w:rPr>
          <w:spacing w:val="-5"/>
        </w:rPr>
        <w:t> </w:t>
      </w:r>
      <w:r>
        <w:rPr/>
        <w:t>a</w:t>
      </w:r>
      <w:r>
        <w:rPr>
          <w:spacing w:val="-5"/>
        </w:rPr>
        <w:t> </w:t>
      </w:r>
      <w:r>
        <w:rPr/>
        <w:t>TC podem dar indicações da provável localização de lesão estenótica instável ou de aneurisma; no entanto, a arteriografia é o exame que proporciona melhores informações e detalhes da árvore arterial proximal (</w:t>
      </w:r>
      <w:r>
        <w:rPr>
          <w:color w:val="505050"/>
        </w:rPr>
        <w:t>Figura</w:t>
      </w:r>
      <w:r>
        <w:rPr>
          <w:color w:val="505050"/>
          <w:spacing w:val="-9"/>
        </w:rPr>
        <w:t> </w:t>
      </w:r>
      <w:r>
        <w:rPr>
          <w:color w:val="505050"/>
        </w:rPr>
        <w:t>59.18</w:t>
      </w:r>
      <w:r>
        <w:rPr/>
        <w:t>). Nesse caso, o estudo</w:t>
      </w:r>
      <w:r>
        <w:rPr>
          <w:spacing w:val="-9"/>
        </w:rPr>
        <w:t> </w:t>
      </w:r>
      <w:r>
        <w:rPr/>
        <w:t>deve</w:t>
      </w:r>
      <w:r>
        <w:rPr>
          <w:spacing w:val="-11"/>
        </w:rPr>
        <w:t> </w:t>
      </w:r>
      <w:r>
        <w:rPr/>
        <w:t>ser</w:t>
      </w:r>
      <w:r>
        <w:rPr>
          <w:spacing w:val="-4"/>
        </w:rPr>
        <w:t> </w:t>
      </w:r>
      <w:r>
        <w:rPr/>
        <w:t>completado</w:t>
      </w:r>
      <w:r>
        <w:rPr>
          <w:spacing w:val="-9"/>
        </w:rPr>
        <w:t> </w:t>
      </w:r>
      <w:r>
        <w:rPr/>
        <w:t>até</w:t>
      </w:r>
      <w:r>
        <w:rPr>
          <w:spacing w:val="-11"/>
        </w:rPr>
        <w:t> </w:t>
      </w:r>
      <w:r>
        <w:rPr/>
        <w:t>as</w:t>
      </w:r>
      <w:r>
        <w:rPr>
          <w:spacing w:val="-1"/>
        </w:rPr>
        <w:t> </w:t>
      </w:r>
      <w:r>
        <w:rPr/>
        <w:t>porções</w:t>
      </w:r>
      <w:r>
        <w:rPr>
          <w:spacing w:val="-1"/>
        </w:rPr>
        <w:t> </w:t>
      </w:r>
      <w:r>
        <w:rPr/>
        <w:t>mais</w:t>
      </w:r>
      <w:r>
        <w:rPr>
          <w:spacing w:val="-1"/>
        </w:rPr>
        <w:t> </w:t>
      </w:r>
      <w:r>
        <w:rPr/>
        <w:t>distais</w:t>
      </w:r>
      <w:r>
        <w:rPr>
          <w:spacing w:val="-1"/>
        </w:rPr>
        <w:t> </w:t>
      </w:r>
      <w:r>
        <w:rPr/>
        <w:t>dos</w:t>
      </w:r>
      <w:r>
        <w:rPr>
          <w:spacing w:val="-1"/>
        </w:rPr>
        <w:t> </w:t>
      </w:r>
      <w:r>
        <w:rPr/>
        <w:t>pés</w:t>
      </w:r>
      <w:r>
        <w:rPr>
          <w:spacing w:val="-1"/>
        </w:rPr>
        <w:t> </w:t>
      </w:r>
      <w:r>
        <w:rPr/>
        <w:t>para</w:t>
      </w:r>
      <w:r>
        <w:rPr>
          <w:spacing w:val="-11"/>
        </w:rPr>
        <w:t> </w:t>
      </w:r>
      <w:r>
        <w:rPr/>
        <w:t>tentar</w:t>
      </w:r>
      <w:r>
        <w:rPr>
          <w:spacing w:val="-4"/>
        </w:rPr>
        <w:t> </w:t>
      </w:r>
      <w:r>
        <w:rPr/>
        <w:t>identificar</w:t>
      </w:r>
      <w:r>
        <w:rPr>
          <w:spacing w:val="-4"/>
        </w:rPr>
        <w:t> </w:t>
      </w:r>
      <w:r>
        <w:rPr/>
        <w:t>também</w:t>
      </w:r>
      <w:r>
        <w:rPr>
          <w:spacing w:val="-9"/>
        </w:rPr>
        <w:t> </w:t>
      </w:r>
      <w:r>
        <w:rPr/>
        <w:t>sinais</w:t>
      </w:r>
      <w:r>
        <w:rPr>
          <w:spacing w:val="-1"/>
        </w:rPr>
        <w:t> </w:t>
      </w:r>
      <w:r>
        <w:rPr/>
        <w:t>radiológicos</w:t>
      </w:r>
      <w:r>
        <w:rPr>
          <w:spacing w:val="-1"/>
        </w:rPr>
        <w:t> </w:t>
      </w:r>
      <w:r>
        <w:rPr/>
        <w:t>de oclusão arterial aguda distal.</w:t>
      </w:r>
      <w:r>
        <w:rPr>
          <w:vertAlign w:val="superscript"/>
        </w:rPr>
        <w:t>6</w:t>
      </w:r>
      <w:r>
        <w:rPr>
          <w:vertAlign w:val="baseline"/>
        </w:rPr>
        <w:t> Quando a suspeita da origem dos microtrombos é a aorta torácica, pode ser investigada por eco-Doppler transesofágico.</w:t>
      </w:r>
      <w:r>
        <w:rPr>
          <w:vertAlign w:val="superscript"/>
        </w:rPr>
        <w:t>7</w:t>
      </w:r>
    </w:p>
    <w:p>
      <w:pPr>
        <w:pStyle w:val="BodyText"/>
        <w:spacing w:before="190"/>
        <w:ind w:left="0" w:firstLine="0"/>
        <w:jc w:val="left"/>
      </w:pPr>
    </w:p>
    <w:p>
      <w:pPr>
        <w:pStyle w:val="Heading4"/>
      </w:pPr>
      <w:r>
        <w:rPr>
          <w:color w:val="242B67"/>
          <w:spacing w:val="-2"/>
        </w:rPr>
        <w:t>Tratamento</w:t>
      </w:r>
    </w:p>
    <w:p>
      <w:pPr>
        <w:pStyle w:val="BodyText"/>
        <w:spacing w:line="276" w:lineRule="auto" w:before="148"/>
        <w:ind w:right="488"/>
      </w:pPr>
      <w:r>
        <w:rPr/>
        <w:t>Não</w:t>
      </w:r>
      <w:r>
        <w:rPr>
          <w:spacing w:val="-9"/>
        </w:rPr>
        <w:t> </w:t>
      </w:r>
      <w:r>
        <w:rPr/>
        <w:t>existe</w:t>
      </w:r>
      <w:r>
        <w:rPr>
          <w:spacing w:val="-11"/>
        </w:rPr>
        <w:t> </w:t>
      </w:r>
      <w:r>
        <w:rPr/>
        <w:t>consenso</w:t>
      </w:r>
      <w:r>
        <w:rPr>
          <w:spacing w:val="-9"/>
        </w:rPr>
        <w:t> </w:t>
      </w:r>
      <w:r>
        <w:rPr/>
        <w:t>sobre</w:t>
      </w:r>
      <w:r>
        <w:rPr>
          <w:spacing w:val="-11"/>
        </w:rPr>
        <w:t> </w:t>
      </w:r>
      <w:r>
        <w:rPr/>
        <w:t>a</w:t>
      </w:r>
      <w:r>
        <w:rPr>
          <w:spacing w:val="-11"/>
        </w:rPr>
        <w:t> </w:t>
      </w:r>
      <w:r>
        <w:rPr/>
        <w:t>abordagem</w:t>
      </w:r>
      <w:r>
        <w:rPr>
          <w:spacing w:val="-9"/>
        </w:rPr>
        <w:t> </w:t>
      </w:r>
      <w:r>
        <w:rPr/>
        <w:t>terapêutica</w:t>
      </w:r>
      <w:r>
        <w:rPr>
          <w:spacing w:val="-11"/>
        </w:rPr>
        <w:t> </w:t>
      </w:r>
      <w:r>
        <w:rPr/>
        <w:t>dos</w:t>
      </w:r>
      <w:r>
        <w:rPr>
          <w:spacing w:val="-1"/>
        </w:rPr>
        <w:t> </w:t>
      </w:r>
      <w:r>
        <w:rPr/>
        <w:t>casos</w:t>
      </w:r>
      <w:r>
        <w:rPr>
          <w:spacing w:val="-1"/>
        </w:rPr>
        <w:t> </w:t>
      </w:r>
      <w:r>
        <w:rPr/>
        <w:t>de</w:t>
      </w:r>
      <w:r>
        <w:rPr>
          <w:spacing w:val="-11"/>
        </w:rPr>
        <w:t> </w:t>
      </w:r>
      <w:r>
        <w:rPr/>
        <w:t>ateroembolismo,</w:t>
      </w:r>
      <w:r>
        <w:rPr>
          <w:spacing w:val="-1"/>
        </w:rPr>
        <w:t> </w:t>
      </w:r>
      <w:r>
        <w:rPr/>
        <w:t>em</w:t>
      </w:r>
      <w:r>
        <w:rPr>
          <w:spacing w:val="-9"/>
        </w:rPr>
        <w:t> </w:t>
      </w:r>
      <w:r>
        <w:rPr/>
        <w:t>parte</w:t>
      </w:r>
      <w:r>
        <w:rPr>
          <w:spacing w:val="-11"/>
        </w:rPr>
        <w:t> </w:t>
      </w:r>
      <w:r>
        <w:rPr/>
        <w:t>pela</w:t>
      </w:r>
      <w:r>
        <w:rPr>
          <w:spacing w:val="-11"/>
        </w:rPr>
        <w:t> </w:t>
      </w:r>
      <w:r>
        <w:rPr/>
        <w:t>variabilidade</w:t>
      </w:r>
      <w:r>
        <w:rPr>
          <w:spacing w:val="-11"/>
        </w:rPr>
        <w:t> </w:t>
      </w:r>
      <w:r>
        <w:rPr/>
        <w:t>de manifestações clínicas dependentes da extensão da área afetada por isquemia. Nos casos em que o episódio isquêmico</w:t>
      </w:r>
      <w:r>
        <w:rPr>
          <w:spacing w:val="-7"/>
        </w:rPr>
        <w:t> </w:t>
      </w:r>
      <w:r>
        <w:rPr/>
        <w:t>se</w:t>
      </w:r>
      <w:r>
        <w:rPr>
          <w:spacing w:val="-10"/>
        </w:rPr>
        <w:t> </w:t>
      </w:r>
      <w:r>
        <w:rPr/>
        <w:t>restringe</w:t>
      </w:r>
      <w:r>
        <w:rPr>
          <w:spacing w:val="-10"/>
        </w:rPr>
        <w:t> </w:t>
      </w:r>
      <w:r>
        <w:rPr/>
        <w:t>a</w:t>
      </w:r>
      <w:r>
        <w:rPr>
          <w:spacing w:val="-10"/>
        </w:rPr>
        <w:t> </w:t>
      </w:r>
      <w:r>
        <w:rPr/>
        <w:t>pequenos segmentos superficiais da</w:t>
      </w:r>
      <w:r>
        <w:rPr>
          <w:spacing w:val="-10"/>
        </w:rPr>
        <w:t> </w:t>
      </w:r>
      <w:r>
        <w:rPr/>
        <w:t>polpa</w:t>
      </w:r>
      <w:r>
        <w:rPr>
          <w:spacing w:val="-10"/>
        </w:rPr>
        <w:t> </w:t>
      </w:r>
      <w:r>
        <w:rPr/>
        <w:t>digital</w:t>
      </w:r>
      <w:r>
        <w:rPr>
          <w:spacing w:val="-5"/>
        </w:rPr>
        <w:t> </w:t>
      </w:r>
      <w:r>
        <w:rPr/>
        <w:t>unilateral, é</w:t>
      </w:r>
      <w:r>
        <w:rPr>
          <w:spacing w:val="-10"/>
        </w:rPr>
        <w:t> </w:t>
      </w:r>
      <w:r>
        <w:rPr/>
        <w:t>possível</w:t>
      </w:r>
      <w:r>
        <w:rPr>
          <w:spacing w:val="-5"/>
        </w:rPr>
        <w:t> </w:t>
      </w:r>
      <w:r>
        <w:rPr/>
        <w:t>optar</w:t>
      </w:r>
      <w:r>
        <w:rPr>
          <w:spacing w:val="-2"/>
        </w:rPr>
        <w:t> </w:t>
      </w:r>
      <w:r>
        <w:rPr/>
        <w:t>por</w:t>
      </w:r>
      <w:r>
        <w:rPr>
          <w:spacing w:val="-2"/>
        </w:rPr>
        <w:t> </w:t>
      </w:r>
      <w:r>
        <w:rPr/>
        <w:t>tratamento conservador utilizando, além da analgesia, fármacos antiagregantes plaquetários ou até anticoagulantes, embora a eficácia desse tipo de tratamento não esteja plenamente comprovada. Isto porque em um número elevado de casos pode haver recorrência do episódio ateroembólico com acometimento progressivo da extremidade, culminando, algumas</w:t>
      </w:r>
      <w:r>
        <w:rPr>
          <w:spacing w:val="-2"/>
        </w:rPr>
        <w:t> </w:t>
      </w:r>
      <w:r>
        <w:rPr/>
        <w:t>vezes,</w:t>
      </w:r>
      <w:r>
        <w:rPr>
          <w:spacing w:val="-2"/>
        </w:rPr>
        <w:t> </w:t>
      </w:r>
      <w:r>
        <w:rPr/>
        <w:t>em</w:t>
      </w:r>
      <w:r>
        <w:rPr>
          <w:spacing w:val="-9"/>
        </w:rPr>
        <w:t> </w:t>
      </w:r>
      <w:r>
        <w:rPr/>
        <w:t>gangrena</w:t>
      </w:r>
      <w:r>
        <w:rPr>
          <w:spacing w:val="-12"/>
        </w:rPr>
        <w:t> </w:t>
      </w:r>
      <w:r>
        <w:rPr/>
        <w:t>de</w:t>
      </w:r>
      <w:r>
        <w:rPr>
          <w:spacing w:val="-12"/>
        </w:rPr>
        <w:t> </w:t>
      </w:r>
      <w:r>
        <w:rPr/>
        <w:t>áreas</w:t>
      </w:r>
      <w:r>
        <w:rPr>
          <w:spacing w:val="-2"/>
        </w:rPr>
        <w:t> </w:t>
      </w:r>
      <w:r>
        <w:rPr/>
        <w:t>mais</w:t>
      </w:r>
      <w:r>
        <w:rPr>
          <w:spacing w:val="-2"/>
        </w:rPr>
        <w:t> </w:t>
      </w:r>
      <w:r>
        <w:rPr/>
        <w:t>extensas</w:t>
      </w:r>
      <w:r>
        <w:rPr>
          <w:spacing w:val="-2"/>
        </w:rPr>
        <w:t> </w:t>
      </w:r>
      <w:r>
        <w:rPr/>
        <w:t>do</w:t>
      </w:r>
      <w:r>
        <w:rPr>
          <w:spacing w:val="-9"/>
        </w:rPr>
        <w:t> </w:t>
      </w:r>
      <w:r>
        <w:rPr/>
        <w:t>pé,</w:t>
      </w:r>
      <w:r>
        <w:rPr>
          <w:spacing w:val="-2"/>
        </w:rPr>
        <w:t> </w:t>
      </w:r>
      <w:r>
        <w:rPr/>
        <w:t>que</w:t>
      </w:r>
      <w:r>
        <w:rPr>
          <w:spacing w:val="-12"/>
        </w:rPr>
        <w:t> </w:t>
      </w:r>
      <w:r>
        <w:rPr/>
        <w:t>resultam</w:t>
      </w:r>
      <w:r>
        <w:rPr>
          <w:spacing w:val="-9"/>
        </w:rPr>
        <w:t> </w:t>
      </w:r>
      <w:r>
        <w:rPr/>
        <w:t>frequentemente</w:t>
      </w:r>
      <w:r>
        <w:rPr>
          <w:spacing w:val="-12"/>
        </w:rPr>
        <w:t> </w:t>
      </w:r>
      <w:r>
        <w:rPr/>
        <w:t>na</w:t>
      </w:r>
      <w:r>
        <w:rPr>
          <w:spacing w:val="-12"/>
        </w:rPr>
        <w:t> </w:t>
      </w:r>
      <w:r>
        <w:rPr/>
        <w:t>indicação</w:t>
      </w:r>
      <w:r>
        <w:rPr>
          <w:spacing w:val="-9"/>
        </w:rPr>
        <w:t> </w:t>
      </w:r>
      <w:r>
        <w:rPr/>
        <w:t>de</w:t>
      </w:r>
      <w:r>
        <w:rPr>
          <w:spacing w:val="-12"/>
        </w:rPr>
        <w:t> </w:t>
      </w:r>
      <w:r>
        <w:rPr/>
        <w:t>amputação. Por outro lado, a</w:t>
      </w:r>
      <w:r>
        <w:rPr>
          <w:spacing w:val="-3"/>
        </w:rPr>
        <w:t> </w:t>
      </w:r>
      <w:r>
        <w:rPr/>
        <w:t>manutenção de</w:t>
      </w:r>
      <w:r>
        <w:rPr>
          <w:spacing w:val="-3"/>
        </w:rPr>
        <w:t> </w:t>
      </w:r>
      <w:r>
        <w:rPr/>
        <w:t>terapia</w:t>
      </w:r>
      <w:r>
        <w:rPr>
          <w:spacing w:val="-3"/>
        </w:rPr>
        <w:t> </w:t>
      </w:r>
      <w:r>
        <w:rPr/>
        <w:t>anticoagulante</w:t>
      </w:r>
      <w:r>
        <w:rPr>
          <w:spacing w:val="-3"/>
        </w:rPr>
        <w:t> </w:t>
      </w:r>
      <w:r>
        <w:rPr/>
        <w:t>oral por tempo prolongado tem sido relatada</w:t>
      </w:r>
      <w:r>
        <w:rPr>
          <w:spacing w:val="-3"/>
        </w:rPr>
        <w:t> </w:t>
      </w:r>
      <w:r>
        <w:rPr/>
        <w:t>como possível</w:t>
      </w:r>
    </w:p>
    <w:p>
      <w:pPr>
        <w:pStyle w:val="BodyText"/>
        <w:spacing w:after="0" w:line="276" w:lineRule="auto"/>
        <w:sectPr>
          <w:pgSz w:w="11900" w:h="16840"/>
          <w:pgMar w:top="180" w:bottom="280" w:left="566" w:right="141"/>
        </w:sectPr>
      </w:pPr>
    </w:p>
    <w:p>
      <w:pPr>
        <w:pStyle w:val="BodyText"/>
        <w:spacing w:before="70"/>
        <w:ind w:firstLine="0"/>
        <w:jc w:val="left"/>
      </w:pPr>
      <w:r>
        <w:rPr/>
        <w:t>causa</w:t>
      </w:r>
      <w:r>
        <w:rPr>
          <w:spacing w:val="-10"/>
        </w:rPr>
        <w:t> </w:t>
      </w:r>
      <w:r>
        <w:rPr/>
        <w:t>de</w:t>
      </w:r>
      <w:r>
        <w:rPr>
          <w:spacing w:val="-9"/>
        </w:rPr>
        <w:t> </w:t>
      </w:r>
      <w:r>
        <w:rPr/>
        <w:t>microembolismo</w:t>
      </w:r>
      <w:r>
        <w:rPr>
          <w:spacing w:val="-7"/>
        </w:rPr>
        <w:t> </w:t>
      </w:r>
      <w:r>
        <w:rPr/>
        <w:t>de</w:t>
      </w:r>
      <w:r>
        <w:rPr>
          <w:spacing w:val="-9"/>
        </w:rPr>
        <w:t> </w:t>
      </w:r>
      <w:r>
        <w:rPr/>
        <w:t>cristais</w:t>
      </w:r>
      <w:r>
        <w:rPr>
          <w:spacing w:val="1"/>
        </w:rPr>
        <w:t> </w:t>
      </w:r>
      <w:r>
        <w:rPr/>
        <w:t>de</w:t>
      </w:r>
      <w:r>
        <w:rPr>
          <w:spacing w:val="-9"/>
        </w:rPr>
        <w:t> </w:t>
      </w:r>
      <w:r>
        <w:rPr>
          <w:spacing w:val="-2"/>
        </w:rPr>
        <w:t>colesterol.</w:t>
      </w:r>
      <w:r>
        <w:rPr>
          <w:spacing w:val="-2"/>
          <w:vertAlign w:val="superscript"/>
        </w:rPr>
        <w:t>8</w:t>
      </w:r>
    </w:p>
    <w:p>
      <w:pPr>
        <w:pStyle w:val="BodyText"/>
        <w:spacing w:before="84"/>
        <w:ind w:left="0" w:firstLine="0"/>
        <w:jc w:val="left"/>
        <w:rPr>
          <w:sz w:val="20"/>
        </w:rPr>
      </w:pPr>
      <w:r>
        <w:rPr>
          <w:sz w:val="20"/>
        </w:rPr>
        <w:drawing>
          <wp:anchor distT="0" distB="0" distL="0" distR="0" allowOverlap="1" layoutInCell="1" locked="0" behindDoc="1" simplePos="0" relativeHeight="487624192">
            <wp:simplePos x="0" y="0"/>
            <wp:positionH relativeFrom="page">
              <wp:posOffset>2913735</wp:posOffset>
            </wp:positionH>
            <wp:positionV relativeFrom="paragraph">
              <wp:posOffset>214733</wp:posOffset>
            </wp:positionV>
            <wp:extent cx="1732595" cy="3485578"/>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52" cstate="print"/>
                    <a:stretch>
                      <a:fillRect/>
                    </a:stretch>
                  </pic:blipFill>
                  <pic:spPr>
                    <a:xfrm>
                      <a:off x="0" y="0"/>
                      <a:ext cx="1732595" cy="3485578"/>
                    </a:xfrm>
                    <a:prstGeom prst="rect">
                      <a:avLst/>
                    </a:prstGeom>
                  </pic:spPr>
                </pic:pic>
              </a:graphicData>
            </a:graphic>
          </wp:anchor>
        </w:drawing>
      </w:r>
    </w:p>
    <w:p>
      <w:pPr>
        <w:spacing w:line="285" w:lineRule="auto" w:before="255"/>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33"/>
          <w:sz w:val="19"/>
        </w:rPr>
        <w:t> </w:t>
      </w:r>
      <w:r>
        <w:rPr>
          <w:rFonts w:ascii="Arial" w:hAnsi="Arial"/>
          <w:b/>
          <w:color w:val="242B67"/>
          <w:sz w:val="19"/>
        </w:rPr>
        <w:t>59.18</w:t>
      </w:r>
      <w:r>
        <w:rPr>
          <w:rFonts w:ascii="Arial" w:hAnsi="Arial"/>
          <w:b/>
          <w:color w:val="242B67"/>
          <w:spacing w:val="40"/>
          <w:sz w:val="19"/>
        </w:rPr>
        <w:t> </w:t>
      </w:r>
      <w:r>
        <w:rPr>
          <w:rFonts w:ascii="Microsoft Sans Serif" w:hAnsi="Microsoft Sans Serif"/>
          <w:sz w:val="19"/>
        </w:rPr>
        <w:t>Arteriografia</w:t>
      </w:r>
      <w:r>
        <w:rPr>
          <w:rFonts w:ascii="Microsoft Sans Serif" w:hAnsi="Microsoft Sans Serif"/>
          <w:spacing w:val="40"/>
          <w:sz w:val="19"/>
        </w:rPr>
        <w:t> </w:t>
      </w:r>
      <w:r>
        <w:rPr>
          <w:rFonts w:ascii="Microsoft Sans Serif" w:hAnsi="Microsoft Sans Serif"/>
          <w:sz w:val="19"/>
        </w:rPr>
        <w:t>revelando</w:t>
      </w:r>
      <w:r>
        <w:rPr>
          <w:rFonts w:ascii="Microsoft Sans Serif" w:hAnsi="Microsoft Sans Serif"/>
          <w:spacing w:val="40"/>
          <w:sz w:val="19"/>
        </w:rPr>
        <w:t> </w:t>
      </w:r>
      <w:r>
        <w:rPr>
          <w:rFonts w:ascii="Microsoft Sans Serif" w:hAnsi="Microsoft Sans Serif"/>
          <w:sz w:val="19"/>
        </w:rPr>
        <w:t>placa</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ateroma</w:t>
      </w:r>
      <w:r>
        <w:rPr>
          <w:rFonts w:ascii="Microsoft Sans Serif" w:hAnsi="Microsoft Sans Serif"/>
          <w:spacing w:val="40"/>
          <w:sz w:val="19"/>
        </w:rPr>
        <w:t> </w:t>
      </w:r>
      <w:r>
        <w:rPr>
          <w:rFonts w:ascii="Microsoft Sans Serif" w:hAnsi="Microsoft Sans Serif"/>
          <w:sz w:val="19"/>
        </w:rPr>
        <w:t>estenosante</w:t>
      </w:r>
      <w:r>
        <w:rPr>
          <w:rFonts w:ascii="Microsoft Sans Serif" w:hAnsi="Microsoft Sans Serif"/>
          <w:spacing w:val="40"/>
          <w:sz w:val="19"/>
        </w:rPr>
        <w:t> </w:t>
      </w:r>
      <w:r>
        <w:rPr>
          <w:rFonts w:ascii="Microsoft Sans Serif" w:hAnsi="Microsoft Sans Serif"/>
          <w:sz w:val="19"/>
        </w:rPr>
        <w:t>na</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abdominal,</w:t>
      </w:r>
      <w:r>
        <w:rPr>
          <w:rFonts w:ascii="Microsoft Sans Serif" w:hAnsi="Microsoft Sans Serif"/>
          <w:spacing w:val="40"/>
          <w:sz w:val="19"/>
        </w:rPr>
        <w:t> </w:t>
      </w:r>
      <w:r>
        <w:rPr>
          <w:rFonts w:ascii="Microsoft Sans Serif" w:hAnsi="Microsoft Sans Serif"/>
          <w:sz w:val="19"/>
        </w:rPr>
        <w:t>responsável</w:t>
      </w:r>
      <w:r>
        <w:rPr>
          <w:rFonts w:ascii="Microsoft Sans Serif" w:hAnsi="Microsoft Sans Serif"/>
          <w:spacing w:val="40"/>
          <w:sz w:val="19"/>
        </w:rPr>
        <w:t> </w:t>
      </w:r>
      <w:r>
        <w:rPr>
          <w:rFonts w:ascii="Microsoft Sans Serif" w:hAnsi="Microsoft Sans Serif"/>
          <w:sz w:val="19"/>
        </w:rPr>
        <w:t>por</w:t>
      </w:r>
      <w:r>
        <w:rPr>
          <w:rFonts w:ascii="Microsoft Sans Serif" w:hAnsi="Microsoft Sans Serif"/>
          <w:spacing w:val="40"/>
          <w:sz w:val="19"/>
        </w:rPr>
        <w:t> </w:t>
      </w:r>
      <w:r>
        <w:rPr>
          <w:rFonts w:ascii="Microsoft Sans Serif" w:hAnsi="Microsoft Sans Serif"/>
          <w:sz w:val="19"/>
        </w:rPr>
        <w:t>episódio</w:t>
      </w:r>
      <w:r>
        <w:rPr>
          <w:rFonts w:ascii="Microsoft Sans Serif" w:hAnsi="Microsoft Sans Serif"/>
          <w:spacing w:val="40"/>
          <w:sz w:val="19"/>
        </w:rPr>
        <w:t> </w:t>
      </w:r>
      <w:r>
        <w:rPr>
          <w:rFonts w:ascii="Microsoft Sans Serif" w:hAnsi="Microsoft Sans Serif"/>
          <w:sz w:val="19"/>
        </w:rPr>
        <w:t>de ateroembolismo em ambos os pés em paciente do sexo feminino.</w:t>
      </w:r>
    </w:p>
    <w:p>
      <w:pPr>
        <w:pStyle w:val="BodyText"/>
        <w:ind w:left="0" w:firstLine="0"/>
        <w:jc w:val="left"/>
        <w:rPr>
          <w:rFonts w:ascii="Microsoft Sans Serif"/>
          <w:sz w:val="19"/>
        </w:rPr>
      </w:pPr>
    </w:p>
    <w:p>
      <w:pPr>
        <w:pStyle w:val="BodyText"/>
        <w:spacing w:line="276" w:lineRule="auto" w:before="0"/>
        <w:ind w:right="497"/>
      </w:pPr>
      <w:r>
        <w:rPr/>
        <w:t>Nos casos em que a manifestação inicial de isquemia é mais intensa ou há recorrência de microembolização, deve-se abordar cirurgicamente a região da lesão arterial proximal, responsável pelo evento. Muitas vezes, a endarterectomia localizada de lesão arterial troncular curta é suficiente para resolver o problema (</w:t>
      </w:r>
      <w:r>
        <w:rPr>
          <w:color w:val="505050"/>
        </w:rPr>
        <w:t>Figura 59.19</w:t>
      </w:r>
      <w:r>
        <w:rPr/>
        <w:t>). Entretanto, quando as lesões arteriais são muito extensas, difusas e indefinidas quanto ao local exato de fonte embolígena,</w:t>
      </w:r>
      <w:r>
        <w:rPr>
          <w:spacing w:val="-2"/>
        </w:rPr>
        <w:t> </w:t>
      </w:r>
      <w:r>
        <w:rPr/>
        <w:t>é</w:t>
      </w:r>
      <w:r>
        <w:rPr>
          <w:spacing w:val="-12"/>
        </w:rPr>
        <w:t> </w:t>
      </w:r>
      <w:r>
        <w:rPr/>
        <w:t>preferível</w:t>
      </w:r>
      <w:r>
        <w:rPr>
          <w:spacing w:val="-7"/>
        </w:rPr>
        <w:t> </w:t>
      </w:r>
      <w:r>
        <w:rPr/>
        <w:t>a</w:t>
      </w:r>
      <w:r>
        <w:rPr>
          <w:spacing w:val="-12"/>
        </w:rPr>
        <w:t> </w:t>
      </w:r>
      <w:r>
        <w:rPr/>
        <w:t>realização</w:t>
      </w:r>
      <w:r>
        <w:rPr>
          <w:spacing w:val="-10"/>
        </w:rPr>
        <w:t> </w:t>
      </w:r>
      <w:r>
        <w:rPr/>
        <w:t>de</w:t>
      </w:r>
      <w:r>
        <w:rPr>
          <w:spacing w:val="-12"/>
        </w:rPr>
        <w:t> </w:t>
      </w:r>
      <w:r>
        <w:rPr/>
        <w:t>derivações</w:t>
      </w:r>
      <w:r>
        <w:rPr>
          <w:spacing w:val="-2"/>
        </w:rPr>
        <w:t> </w:t>
      </w:r>
      <w:r>
        <w:rPr/>
        <w:t>com</w:t>
      </w:r>
      <w:r>
        <w:rPr>
          <w:spacing w:val="-10"/>
        </w:rPr>
        <w:t> </w:t>
      </w:r>
      <w:r>
        <w:rPr/>
        <w:t>prótese</w:t>
      </w:r>
      <w:r>
        <w:rPr>
          <w:spacing w:val="-12"/>
        </w:rPr>
        <w:t> </w:t>
      </w:r>
      <w:r>
        <w:rPr/>
        <w:t>ou</w:t>
      </w:r>
      <w:r>
        <w:rPr>
          <w:spacing w:val="-10"/>
        </w:rPr>
        <w:t> </w:t>
      </w:r>
      <w:r>
        <w:rPr/>
        <w:t>veia</w:t>
      </w:r>
      <w:r>
        <w:rPr>
          <w:spacing w:val="-12"/>
        </w:rPr>
        <w:t> </w:t>
      </w:r>
      <w:r>
        <w:rPr/>
        <w:t>safena,</w:t>
      </w:r>
      <w:r>
        <w:rPr>
          <w:spacing w:val="-2"/>
        </w:rPr>
        <w:t> </w:t>
      </w:r>
      <w:r>
        <w:rPr/>
        <w:t>com</w:t>
      </w:r>
      <w:r>
        <w:rPr>
          <w:spacing w:val="-10"/>
        </w:rPr>
        <w:t> </w:t>
      </w:r>
      <w:r>
        <w:rPr/>
        <w:t>exclusão</w:t>
      </w:r>
      <w:r>
        <w:rPr>
          <w:spacing w:val="-10"/>
        </w:rPr>
        <w:t> </w:t>
      </w:r>
      <w:r>
        <w:rPr/>
        <w:t>do</w:t>
      </w:r>
      <w:r>
        <w:rPr>
          <w:spacing w:val="-10"/>
        </w:rPr>
        <w:t> </w:t>
      </w:r>
      <w:r>
        <w:rPr/>
        <w:t>segmento</w:t>
      </w:r>
      <w:r>
        <w:rPr>
          <w:spacing w:val="-10"/>
        </w:rPr>
        <w:t> </w:t>
      </w:r>
      <w:r>
        <w:rPr/>
        <w:t>suspeito. Se a fonte embolígena for um aneurisma, este deve ser tratado para erradicar a área dos trombos murais. Em algumas</w:t>
      </w:r>
      <w:r>
        <w:rPr>
          <w:spacing w:val="-2"/>
        </w:rPr>
        <w:t> </w:t>
      </w:r>
      <w:r>
        <w:rPr/>
        <w:t>situações</w:t>
      </w:r>
      <w:r>
        <w:rPr>
          <w:spacing w:val="-2"/>
        </w:rPr>
        <w:t> </w:t>
      </w:r>
      <w:r>
        <w:rPr/>
        <w:t>especiais,</w:t>
      </w:r>
      <w:r>
        <w:rPr>
          <w:spacing w:val="-2"/>
        </w:rPr>
        <w:t> </w:t>
      </w:r>
      <w:r>
        <w:rPr/>
        <w:t>em</w:t>
      </w:r>
      <w:r>
        <w:rPr>
          <w:spacing w:val="-10"/>
        </w:rPr>
        <w:t> </w:t>
      </w:r>
      <w:r>
        <w:rPr/>
        <w:t>que</w:t>
      </w:r>
      <w:r>
        <w:rPr>
          <w:spacing w:val="-12"/>
        </w:rPr>
        <w:t> </w:t>
      </w:r>
      <w:r>
        <w:rPr/>
        <w:t>há</w:t>
      </w:r>
      <w:r>
        <w:rPr>
          <w:spacing w:val="-12"/>
        </w:rPr>
        <w:t> </w:t>
      </w:r>
      <w:r>
        <w:rPr/>
        <w:t>acometimento</w:t>
      </w:r>
      <w:r>
        <w:rPr>
          <w:spacing w:val="-10"/>
        </w:rPr>
        <w:t> </w:t>
      </w:r>
      <w:r>
        <w:rPr/>
        <w:t>preferencial</w:t>
      </w:r>
      <w:r>
        <w:rPr>
          <w:spacing w:val="-7"/>
        </w:rPr>
        <w:t> </w:t>
      </w:r>
      <w:r>
        <w:rPr/>
        <w:t>da</w:t>
      </w:r>
      <w:r>
        <w:rPr>
          <w:spacing w:val="-12"/>
        </w:rPr>
        <w:t> </w:t>
      </w:r>
      <w:r>
        <w:rPr/>
        <w:t>superfície</w:t>
      </w:r>
      <w:r>
        <w:rPr>
          <w:spacing w:val="-12"/>
        </w:rPr>
        <w:t> </w:t>
      </w:r>
      <w:r>
        <w:rPr/>
        <w:t>cutânea</w:t>
      </w:r>
      <w:r>
        <w:rPr>
          <w:spacing w:val="-12"/>
        </w:rPr>
        <w:t> </w:t>
      </w:r>
      <w:r>
        <w:rPr/>
        <w:t>da</w:t>
      </w:r>
      <w:r>
        <w:rPr>
          <w:spacing w:val="-12"/>
        </w:rPr>
        <w:t> </w:t>
      </w:r>
      <w:r>
        <w:rPr/>
        <w:t>extremidade,</w:t>
      </w:r>
      <w:r>
        <w:rPr>
          <w:spacing w:val="-2"/>
        </w:rPr>
        <w:t> </w:t>
      </w:r>
      <w:r>
        <w:rPr/>
        <w:t>cogita-se</w:t>
      </w:r>
      <w:r>
        <w:rPr>
          <w:spacing w:val="-12"/>
        </w:rPr>
        <w:t> </w:t>
      </w:r>
      <w:r>
        <w:rPr/>
        <w:t>a realização da simpatectomia lombar como medida coadjuvante dos cuidados terapêuticos. Em todos os casos, o tratamento clínico dos fatores de risco da aterosclerose deve ser intensificado, especialmente a terapia com </w:t>
      </w:r>
      <w:r>
        <w:rPr>
          <w:spacing w:val="-2"/>
        </w:rPr>
        <w:t>estatinas.</w:t>
      </w:r>
    </w:p>
    <w:p>
      <w:pPr>
        <w:pStyle w:val="BodyText"/>
        <w:spacing w:line="280" w:lineRule="auto" w:before="50"/>
        <w:ind w:right="491"/>
      </w:pPr>
      <w:r>
        <w:rPr/>
        <w:t>Uma nova modalidade de tratamento para as lesões arteriais que são fontes de ateroembolismo é a abordagem endovascular. Nesse caso, a irregularidade parietal pode ser recoberta por endopróteses revestidas com dácron, expandidas sobre</w:t>
      </w:r>
      <w:r>
        <w:rPr>
          <w:spacing w:val="-8"/>
        </w:rPr>
        <w:t> </w:t>
      </w:r>
      <w:r>
        <w:rPr/>
        <w:t>a</w:t>
      </w:r>
      <w:r>
        <w:rPr>
          <w:spacing w:val="-8"/>
        </w:rPr>
        <w:t> </w:t>
      </w:r>
      <w:r>
        <w:rPr/>
        <w:t>lesão</w:t>
      </w:r>
      <w:r>
        <w:rPr>
          <w:spacing w:val="-6"/>
        </w:rPr>
        <w:t> </w:t>
      </w:r>
      <w:r>
        <w:rPr/>
        <w:t>arterial</w:t>
      </w:r>
      <w:r>
        <w:rPr>
          <w:spacing w:val="-4"/>
        </w:rPr>
        <w:t> </w:t>
      </w:r>
      <w:r>
        <w:rPr/>
        <w:t>por</w:t>
      </w:r>
      <w:r>
        <w:rPr>
          <w:spacing w:val="-1"/>
        </w:rPr>
        <w:t> </w:t>
      </w:r>
      <w:r>
        <w:rPr/>
        <w:t>meio</w:t>
      </w:r>
      <w:r>
        <w:rPr>
          <w:spacing w:val="-6"/>
        </w:rPr>
        <w:t> </w:t>
      </w:r>
      <w:r>
        <w:rPr/>
        <w:t>de</w:t>
      </w:r>
      <w:r>
        <w:rPr>
          <w:spacing w:val="-8"/>
        </w:rPr>
        <w:t> </w:t>
      </w:r>
      <w:r>
        <w:rPr/>
        <w:t>balões dilatadores montados em</w:t>
      </w:r>
      <w:r>
        <w:rPr>
          <w:spacing w:val="-6"/>
        </w:rPr>
        <w:t> </w:t>
      </w:r>
      <w:r>
        <w:rPr/>
        <w:t>cateteres, introduzidos por</w:t>
      </w:r>
      <w:r>
        <w:rPr>
          <w:spacing w:val="-1"/>
        </w:rPr>
        <w:t> </w:t>
      </w:r>
      <w:r>
        <w:rPr/>
        <w:t>punção</w:t>
      </w:r>
      <w:r>
        <w:rPr>
          <w:spacing w:val="-6"/>
        </w:rPr>
        <w:t> </w:t>
      </w:r>
      <w:r>
        <w:rPr/>
        <w:t>da artéria femoral.</w:t>
      </w:r>
      <w:r>
        <w:rPr>
          <w:vertAlign w:val="superscript"/>
        </w:rPr>
        <w:t>9</w:t>
      </w:r>
    </w:p>
    <w:p>
      <w:pPr>
        <w:pStyle w:val="BodyText"/>
        <w:spacing w:line="280" w:lineRule="auto" w:before="59"/>
        <w:ind w:right="497"/>
      </w:pPr>
      <w:r>
        <w:rPr/>
        <w:t>Em alguns casos em que ocorre uma “chuva” de microtrombos consequente à operação aberta, ou mais frequentemente</w:t>
      </w:r>
      <w:r>
        <w:rPr>
          <w:spacing w:val="-13"/>
        </w:rPr>
        <w:t> </w:t>
      </w:r>
      <w:r>
        <w:rPr/>
        <w:t>na</w:t>
      </w:r>
      <w:r>
        <w:rPr>
          <w:spacing w:val="-13"/>
        </w:rPr>
        <w:t> </w:t>
      </w:r>
      <w:r>
        <w:rPr/>
        <w:t>correção</w:t>
      </w:r>
      <w:r>
        <w:rPr>
          <w:spacing w:val="-10"/>
        </w:rPr>
        <w:t> </w:t>
      </w:r>
      <w:r>
        <w:rPr/>
        <w:t>endovascular</w:t>
      </w:r>
      <w:r>
        <w:rPr>
          <w:spacing w:val="-5"/>
        </w:rPr>
        <w:t> </w:t>
      </w:r>
      <w:r>
        <w:rPr/>
        <w:t>do</w:t>
      </w:r>
      <w:r>
        <w:rPr>
          <w:spacing w:val="-10"/>
        </w:rPr>
        <w:t> </w:t>
      </w:r>
      <w:r>
        <w:rPr/>
        <w:t>aneurisma</w:t>
      </w:r>
      <w:r>
        <w:rPr>
          <w:spacing w:val="-13"/>
        </w:rPr>
        <w:t> </w:t>
      </w:r>
      <w:r>
        <w:rPr/>
        <w:t>da</w:t>
      </w:r>
      <w:r>
        <w:rPr>
          <w:spacing w:val="-13"/>
        </w:rPr>
        <w:t> </w:t>
      </w:r>
      <w:r>
        <w:rPr/>
        <w:t>aorta</w:t>
      </w:r>
      <w:r>
        <w:rPr>
          <w:spacing w:val="-13"/>
        </w:rPr>
        <w:t> </w:t>
      </w:r>
      <w:r>
        <w:rPr/>
        <w:t>infrarrenal,</w:t>
      </w:r>
      <w:r>
        <w:rPr>
          <w:spacing w:val="-3"/>
        </w:rPr>
        <w:t> </w:t>
      </w:r>
      <w:r>
        <w:rPr/>
        <w:t>as</w:t>
      </w:r>
      <w:r>
        <w:rPr>
          <w:spacing w:val="-3"/>
        </w:rPr>
        <w:t> </w:t>
      </w:r>
      <w:r>
        <w:rPr/>
        <w:t>manifestações</w:t>
      </w:r>
      <w:r>
        <w:rPr>
          <w:spacing w:val="-3"/>
        </w:rPr>
        <w:t> </w:t>
      </w:r>
      <w:r>
        <w:rPr/>
        <w:t>isquêmicas</w:t>
      </w:r>
      <w:r>
        <w:rPr>
          <w:spacing w:val="-3"/>
        </w:rPr>
        <w:t> </w:t>
      </w:r>
      <w:r>
        <w:rPr/>
        <w:t>podem</w:t>
      </w:r>
      <w:r>
        <w:rPr>
          <w:spacing w:val="-10"/>
        </w:rPr>
        <w:t> </w:t>
      </w:r>
      <w:r>
        <w:rPr/>
        <w:t>ser extensas e graves, havendo inclusive a possibilidade de acometimento de outros órgãos como os rins e demais vísceras. Nessa situação, o episódio se reveste de extrema gravidade, e seu tratamento cursa com morbidade e mortalidade não desprezíveis.</w:t>
      </w:r>
      <w:r>
        <w:rPr>
          <w:vertAlign w:val="superscript"/>
        </w:rPr>
        <w:t>10</w:t>
      </w:r>
    </w:p>
    <w:p>
      <w:pPr>
        <w:pStyle w:val="BodyText"/>
        <w:spacing w:after="0" w:line="280" w:lineRule="auto"/>
        <w:sectPr>
          <w:pgSz w:w="11900" w:h="16840"/>
          <w:pgMar w:top="200" w:bottom="280" w:left="566" w:right="141"/>
        </w:sectPr>
      </w:pPr>
    </w:p>
    <w:p>
      <w:pPr>
        <w:spacing w:line="240" w:lineRule="auto"/>
        <w:ind w:left="2853" w:right="0" w:firstLine="0"/>
        <w:rPr>
          <w:sz w:val="20"/>
        </w:rPr>
      </w:pPr>
      <w:r>
        <w:rPr>
          <w:sz w:val="20"/>
        </w:rPr>
        <w:drawing>
          <wp:inline distT="0" distB="0" distL="0" distR="0">
            <wp:extent cx="3230793" cy="3516153"/>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53" cstate="print"/>
                    <a:stretch>
                      <a:fillRect/>
                    </a:stretch>
                  </pic:blipFill>
                  <pic:spPr>
                    <a:xfrm>
                      <a:off x="0" y="0"/>
                      <a:ext cx="3230793" cy="3516153"/>
                    </a:xfrm>
                    <a:prstGeom prst="rect">
                      <a:avLst/>
                    </a:prstGeom>
                  </pic:spPr>
                </pic:pic>
              </a:graphicData>
            </a:graphic>
          </wp:inline>
        </w:drawing>
      </w:r>
      <w:r>
        <w:rPr>
          <w:sz w:val="20"/>
        </w:rPr>
      </w:r>
    </w:p>
    <w:p>
      <w:pPr>
        <w:pStyle w:val="BodyText"/>
        <w:spacing w:before="18"/>
        <w:ind w:left="0" w:firstLine="0"/>
        <w:jc w:val="left"/>
        <w:rPr>
          <w:sz w:val="19"/>
        </w:rPr>
      </w:pPr>
    </w:p>
    <w:p>
      <w:pPr>
        <w:spacing w:before="0"/>
        <w:ind w:left="0" w:right="461" w:firstLine="0"/>
        <w:jc w:val="center"/>
        <w:rPr>
          <w:rFonts w:ascii="Microsoft Sans Serif" w:hAnsi="Microsoft Sans Serif"/>
          <w:sz w:val="19"/>
        </w:rPr>
      </w:pPr>
      <w:r>
        <w:rPr>
          <w:rFonts w:ascii="Arial" w:hAnsi="Arial"/>
          <w:b/>
          <w:color w:val="242B67"/>
          <w:sz w:val="19"/>
        </w:rPr>
        <w:t>Figura</w:t>
      </w:r>
      <w:r>
        <w:rPr>
          <w:rFonts w:ascii="Arial" w:hAnsi="Arial"/>
          <w:b/>
          <w:color w:val="242B67"/>
          <w:spacing w:val="12"/>
          <w:sz w:val="19"/>
        </w:rPr>
        <w:t> </w:t>
      </w:r>
      <w:r>
        <w:rPr>
          <w:rFonts w:ascii="Arial" w:hAnsi="Arial"/>
          <w:b/>
          <w:color w:val="242B67"/>
          <w:sz w:val="19"/>
        </w:rPr>
        <w:t>59.19</w:t>
      </w:r>
      <w:r>
        <w:rPr>
          <w:rFonts w:ascii="Arial" w:hAnsi="Arial"/>
          <w:b/>
          <w:color w:val="242B67"/>
          <w:spacing w:val="13"/>
          <w:sz w:val="19"/>
        </w:rPr>
        <w:t> </w:t>
      </w:r>
      <w:r>
        <w:rPr>
          <w:rFonts w:ascii="Microsoft Sans Serif" w:hAnsi="Microsoft Sans Serif"/>
          <w:sz w:val="19"/>
        </w:rPr>
        <w:t>Aspecto</w:t>
      </w:r>
      <w:r>
        <w:rPr>
          <w:rFonts w:ascii="Microsoft Sans Serif" w:hAnsi="Microsoft Sans Serif"/>
          <w:spacing w:val="14"/>
          <w:sz w:val="19"/>
        </w:rPr>
        <w:t> </w:t>
      </w:r>
      <w:r>
        <w:rPr>
          <w:rFonts w:ascii="Microsoft Sans Serif" w:hAnsi="Microsoft Sans Serif"/>
          <w:sz w:val="19"/>
        </w:rPr>
        <w:t>cirúrgico</w:t>
      </w:r>
      <w:r>
        <w:rPr>
          <w:rFonts w:ascii="Microsoft Sans Serif" w:hAnsi="Microsoft Sans Serif"/>
          <w:spacing w:val="15"/>
          <w:sz w:val="19"/>
        </w:rPr>
        <w:t> </w:t>
      </w:r>
      <w:r>
        <w:rPr>
          <w:rFonts w:ascii="Microsoft Sans Serif" w:hAnsi="Microsoft Sans Serif"/>
          <w:sz w:val="19"/>
        </w:rPr>
        <w:t>da</w:t>
      </w:r>
      <w:r>
        <w:rPr>
          <w:rFonts w:ascii="Microsoft Sans Serif" w:hAnsi="Microsoft Sans Serif"/>
          <w:spacing w:val="14"/>
          <w:sz w:val="19"/>
        </w:rPr>
        <w:t> </w:t>
      </w:r>
      <w:r>
        <w:rPr>
          <w:rFonts w:ascii="Microsoft Sans Serif" w:hAnsi="Microsoft Sans Serif"/>
          <w:sz w:val="19"/>
        </w:rPr>
        <w:t>placa</w:t>
      </w:r>
      <w:r>
        <w:rPr>
          <w:rFonts w:ascii="Microsoft Sans Serif" w:hAnsi="Microsoft Sans Serif"/>
          <w:spacing w:val="15"/>
          <w:sz w:val="19"/>
        </w:rPr>
        <w:t> </w:t>
      </w:r>
      <w:r>
        <w:rPr>
          <w:rFonts w:ascii="Microsoft Sans Serif" w:hAnsi="Microsoft Sans Serif"/>
          <w:sz w:val="19"/>
        </w:rPr>
        <w:t>de</w:t>
      </w:r>
      <w:r>
        <w:rPr>
          <w:rFonts w:ascii="Microsoft Sans Serif" w:hAnsi="Microsoft Sans Serif"/>
          <w:spacing w:val="15"/>
          <w:sz w:val="19"/>
        </w:rPr>
        <w:t> </w:t>
      </w:r>
      <w:r>
        <w:rPr>
          <w:rFonts w:ascii="Microsoft Sans Serif" w:hAnsi="Microsoft Sans Serif"/>
          <w:sz w:val="19"/>
        </w:rPr>
        <w:t>ateroma</w:t>
      </w:r>
      <w:r>
        <w:rPr>
          <w:rFonts w:ascii="Microsoft Sans Serif" w:hAnsi="Microsoft Sans Serif"/>
          <w:spacing w:val="14"/>
          <w:sz w:val="19"/>
        </w:rPr>
        <w:t> </w:t>
      </w:r>
      <w:r>
        <w:rPr>
          <w:rFonts w:ascii="Microsoft Sans Serif" w:hAnsi="Microsoft Sans Serif"/>
          <w:sz w:val="19"/>
        </w:rPr>
        <w:t>estenosante</w:t>
      </w:r>
      <w:r>
        <w:rPr>
          <w:rFonts w:ascii="Microsoft Sans Serif" w:hAnsi="Microsoft Sans Serif"/>
          <w:spacing w:val="15"/>
          <w:sz w:val="19"/>
        </w:rPr>
        <w:t> </w:t>
      </w:r>
      <w:r>
        <w:rPr>
          <w:rFonts w:ascii="Microsoft Sans Serif" w:hAnsi="Microsoft Sans Serif"/>
          <w:sz w:val="19"/>
        </w:rPr>
        <w:t>e</w:t>
      </w:r>
      <w:r>
        <w:rPr>
          <w:rFonts w:ascii="Microsoft Sans Serif" w:hAnsi="Microsoft Sans Serif"/>
          <w:spacing w:val="14"/>
          <w:sz w:val="19"/>
        </w:rPr>
        <w:t> </w:t>
      </w:r>
      <w:r>
        <w:rPr>
          <w:rFonts w:ascii="Microsoft Sans Serif" w:hAnsi="Microsoft Sans Serif"/>
          <w:sz w:val="19"/>
        </w:rPr>
        <w:t>com</w:t>
      </w:r>
      <w:r>
        <w:rPr>
          <w:rFonts w:ascii="Microsoft Sans Serif" w:hAnsi="Microsoft Sans Serif"/>
          <w:spacing w:val="9"/>
          <w:sz w:val="19"/>
        </w:rPr>
        <w:t> </w:t>
      </w:r>
      <w:r>
        <w:rPr>
          <w:rFonts w:ascii="Microsoft Sans Serif" w:hAnsi="Microsoft Sans Serif"/>
          <w:sz w:val="19"/>
        </w:rPr>
        <w:t>vegetações</w:t>
      </w:r>
      <w:r>
        <w:rPr>
          <w:rFonts w:ascii="Microsoft Sans Serif" w:hAnsi="Microsoft Sans Serif"/>
          <w:spacing w:val="8"/>
          <w:sz w:val="19"/>
        </w:rPr>
        <w:t> </w:t>
      </w:r>
      <w:r>
        <w:rPr>
          <w:rFonts w:ascii="Microsoft Sans Serif" w:hAnsi="Microsoft Sans Serif"/>
          <w:sz w:val="19"/>
        </w:rPr>
        <w:t>na</w:t>
      </w:r>
      <w:r>
        <w:rPr>
          <w:rFonts w:ascii="Microsoft Sans Serif" w:hAnsi="Microsoft Sans Serif"/>
          <w:spacing w:val="14"/>
          <w:sz w:val="19"/>
        </w:rPr>
        <w:t> </w:t>
      </w:r>
      <w:r>
        <w:rPr>
          <w:rFonts w:ascii="Microsoft Sans Serif" w:hAnsi="Microsoft Sans Serif"/>
          <w:sz w:val="19"/>
        </w:rPr>
        <w:t>aorta</w:t>
      </w:r>
      <w:r>
        <w:rPr>
          <w:rFonts w:ascii="Microsoft Sans Serif" w:hAnsi="Microsoft Sans Serif"/>
          <w:spacing w:val="15"/>
          <w:sz w:val="19"/>
        </w:rPr>
        <w:t> </w:t>
      </w:r>
      <w:r>
        <w:rPr>
          <w:rFonts w:ascii="Microsoft Sans Serif" w:hAnsi="Microsoft Sans Serif"/>
          <w:sz w:val="19"/>
        </w:rPr>
        <w:t>da</w:t>
      </w:r>
      <w:r>
        <w:rPr>
          <w:rFonts w:ascii="Microsoft Sans Serif" w:hAnsi="Microsoft Sans Serif"/>
          <w:spacing w:val="15"/>
          <w:sz w:val="19"/>
        </w:rPr>
        <w:t> </w:t>
      </w:r>
      <w:r>
        <w:rPr>
          <w:rFonts w:ascii="Microsoft Sans Serif" w:hAnsi="Microsoft Sans Serif"/>
          <w:sz w:val="19"/>
        </w:rPr>
        <w:t>paciente</w:t>
      </w:r>
      <w:r>
        <w:rPr>
          <w:rFonts w:ascii="Microsoft Sans Serif" w:hAnsi="Microsoft Sans Serif"/>
          <w:spacing w:val="14"/>
          <w:sz w:val="19"/>
        </w:rPr>
        <w:t> </w:t>
      </w:r>
      <w:r>
        <w:rPr>
          <w:rFonts w:ascii="Microsoft Sans Serif" w:hAnsi="Microsoft Sans Serif"/>
          <w:sz w:val="19"/>
        </w:rPr>
        <w:t>da</w:t>
      </w:r>
      <w:r>
        <w:rPr>
          <w:rFonts w:ascii="Microsoft Sans Serif" w:hAnsi="Microsoft Sans Serif"/>
          <w:spacing w:val="15"/>
          <w:sz w:val="19"/>
        </w:rPr>
        <w:t> </w:t>
      </w:r>
      <w:r>
        <w:rPr>
          <w:rFonts w:ascii="Microsoft Sans Serif" w:hAnsi="Microsoft Sans Serif"/>
          <w:color w:val="505050"/>
          <w:sz w:val="19"/>
        </w:rPr>
        <w:t>Figura</w:t>
      </w:r>
      <w:r>
        <w:rPr>
          <w:rFonts w:ascii="Microsoft Sans Serif" w:hAnsi="Microsoft Sans Serif"/>
          <w:color w:val="505050"/>
          <w:spacing w:val="14"/>
          <w:sz w:val="19"/>
        </w:rPr>
        <w:t> </w:t>
      </w:r>
      <w:r>
        <w:rPr>
          <w:rFonts w:ascii="Microsoft Sans Serif" w:hAnsi="Microsoft Sans Serif"/>
          <w:color w:val="505050"/>
          <w:spacing w:val="-2"/>
          <w:sz w:val="19"/>
        </w:rPr>
        <w:t>59.18</w:t>
      </w:r>
      <w:r>
        <w:rPr>
          <w:rFonts w:ascii="Microsoft Sans Serif" w:hAnsi="Microsoft Sans Serif"/>
          <w:spacing w:val="-2"/>
          <w:sz w:val="19"/>
        </w:rPr>
        <w:t>.</w:t>
      </w:r>
    </w:p>
    <w:p>
      <w:pPr>
        <w:pStyle w:val="BodyText"/>
        <w:spacing w:before="0"/>
        <w:ind w:left="0" w:firstLine="0"/>
        <w:jc w:val="left"/>
        <w:rPr>
          <w:rFonts w:ascii="Microsoft Sans Serif"/>
          <w:sz w:val="19"/>
        </w:rPr>
      </w:pPr>
    </w:p>
    <w:p>
      <w:pPr>
        <w:pStyle w:val="BodyText"/>
        <w:spacing w:before="124"/>
        <w:ind w:left="0" w:firstLine="0"/>
        <w:jc w:val="left"/>
        <w:rPr>
          <w:rFonts w:ascii="Microsoft Sans Serif"/>
          <w:sz w:val="19"/>
        </w:rPr>
      </w:pPr>
    </w:p>
    <w:p>
      <w:pPr>
        <w:pStyle w:val="Heading3"/>
        <w:spacing w:before="1"/>
      </w:pPr>
      <w:r>
        <w:rPr>
          <w:color w:val="242B67"/>
        </w:rPr>
        <w:t>Arteriopatias</w:t>
      </w:r>
      <w:r>
        <w:rPr>
          <w:color w:val="242B67"/>
          <w:spacing w:val="5"/>
        </w:rPr>
        <w:t> </w:t>
      </w:r>
      <w:r>
        <w:rPr>
          <w:color w:val="242B67"/>
          <w:spacing w:val="-2"/>
        </w:rPr>
        <w:t>Funcionais</w:t>
      </w:r>
    </w:p>
    <w:p>
      <w:pPr>
        <w:pStyle w:val="BodyText"/>
        <w:spacing w:before="0"/>
        <w:ind w:left="0" w:firstLine="0"/>
        <w:jc w:val="left"/>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624704">
                <wp:simplePos x="0" y="0"/>
                <wp:positionH relativeFrom="page">
                  <wp:posOffset>401543</wp:posOffset>
                </wp:positionH>
                <wp:positionV relativeFrom="paragraph">
                  <wp:posOffset>51217</wp:posOffset>
                </wp:positionV>
                <wp:extent cx="6753225" cy="10795"/>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32884pt;width:531.731217pt;height:.8008pt;mso-position-horizontal-relative:page;mso-position-vertical-relative:paragraph;z-index:-15691776;mso-wrap-distance-left:0;mso-wrap-distance-right:0" id="docshape47" filled="true" fillcolor="#242b67" stroked="false">
                <v:fill type="solid"/>
                <w10:wrap type="topAndBottom"/>
              </v:rect>
            </w:pict>
          </mc:Fallback>
        </mc:AlternateContent>
      </w:r>
    </w:p>
    <w:p>
      <w:pPr>
        <w:spacing w:before="117"/>
        <w:ind w:left="68" w:right="0" w:firstLine="0"/>
        <w:jc w:val="left"/>
        <w:rPr>
          <w:rFonts w:ascii="Arial" w:hAnsi="Arial"/>
          <w:i/>
          <w:sz w:val="25"/>
        </w:rPr>
      </w:pPr>
      <w:r>
        <w:rPr>
          <w:rFonts w:ascii="Arial" w:hAnsi="Arial"/>
          <w:i/>
          <w:sz w:val="25"/>
        </w:rPr>
        <w:t>Erasmo</w:t>
      </w:r>
      <w:r>
        <w:rPr>
          <w:rFonts w:ascii="Arial" w:hAnsi="Arial"/>
          <w:i/>
          <w:spacing w:val="11"/>
          <w:sz w:val="25"/>
        </w:rPr>
        <w:t> </w:t>
      </w:r>
      <w:r>
        <w:rPr>
          <w:rFonts w:ascii="Arial" w:hAnsi="Arial"/>
          <w:i/>
          <w:sz w:val="25"/>
        </w:rPr>
        <w:t>Simão</w:t>
      </w:r>
      <w:r>
        <w:rPr>
          <w:rFonts w:ascii="Arial" w:hAnsi="Arial"/>
          <w:i/>
          <w:spacing w:val="12"/>
          <w:sz w:val="25"/>
        </w:rPr>
        <w:t> </w:t>
      </w:r>
      <w:r>
        <w:rPr>
          <w:rFonts w:ascii="Arial" w:hAnsi="Arial"/>
          <w:i/>
          <w:sz w:val="25"/>
        </w:rPr>
        <w:t>da</w:t>
      </w:r>
      <w:r>
        <w:rPr>
          <w:rFonts w:ascii="Arial" w:hAnsi="Arial"/>
          <w:i/>
          <w:spacing w:val="11"/>
          <w:sz w:val="25"/>
        </w:rPr>
        <w:t> </w:t>
      </w:r>
      <w:r>
        <w:rPr>
          <w:rFonts w:ascii="Arial" w:hAnsi="Arial"/>
          <w:i/>
          <w:sz w:val="25"/>
        </w:rPr>
        <w:t>Silva</w:t>
      </w:r>
      <w:r>
        <w:rPr>
          <w:rFonts w:ascii="Arial" w:hAnsi="Arial"/>
          <w:i/>
          <w:spacing w:val="12"/>
          <w:sz w:val="25"/>
        </w:rPr>
        <w:t> </w:t>
      </w:r>
      <w:r>
        <w:rPr>
          <w:rFonts w:ascii="Arial" w:hAnsi="Arial"/>
          <w:i/>
          <w:sz w:val="25"/>
        </w:rPr>
        <w:t>e</w:t>
      </w:r>
      <w:r>
        <w:rPr>
          <w:rFonts w:ascii="Arial" w:hAnsi="Arial"/>
          <w:i/>
          <w:spacing w:val="11"/>
          <w:sz w:val="25"/>
        </w:rPr>
        <w:t> </w:t>
      </w:r>
      <w:r>
        <w:rPr>
          <w:rFonts w:ascii="Arial" w:hAnsi="Arial"/>
          <w:i/>
          <w:sz w:val="25"/>
        </w:rPr>
        <w:t>Paulo</w:t>
      </w:r>
      <w:r>
        <w:rPr>
          <w:rFonts w:ascii="Arial" w:hAnsi="Arial"/>
          <w:i/>
          <w:spacing w:val="12"/>
          <w:sz w:val="25"/>
        </w:rPr>
        <w:t> </w:t>
      </w:r>
      <w:r>
        <w:rPr>
          <w:rFonts w:ascii="Arial" w:hAnsi="Arial"/>
          <w:i/>
          <w:spacing w:val="-2"/>
          <w:sz w:val="25"/>
        </w:rPr>
        <w:t>Kauffman</w:t>
      </w:r>
    </w:p>
    <w:p>
      <w:pPr>
        <w:pStyle w:val="BodyText"/>
        <w:spacing w:before="199"/>
        <w:ind w:left="0" w:firstLine="0"/>
        <w:jc w:val="left"/>
        <w:rPr>
          <w:rFonts w:ascii="Arial"/>
          <w:i/>
          <w:sz w:val="25"/>
        </w:rPr>
      </w:pPr>
    </w:p>
    <w:p>
      <w:pPr>
        <w:pStyle w:val="Heading4"/>
      </w:pPr>
      <w:r>
        <w:rPr>
          <w:color w:val="242B67"/>
          <w:spacing w:val="-2"/>
        </w:rPr>
        <w:t>Introdução</w:t>
      </w:r>
    </w:p>
    <w:p>
      <w:pPr>
        <w:pStyle w:val="BodyText"/>
        <w:spacing w:line="276" w:lineRule="auto" w:before="132"/>
        <w:ind w:right="491"/>
      </w:pPr>
      <w:r>
        <w:rPr/>
        <w:t>As</w:t>
      </w:r>
      <w:r>
        <w:rPr>
          <w:spacing w:val="-9"/>
        </w:rPr>
        <w:t> </w:t>
      </w:r>
      <w:r>
        <w:rPr/>
        <w:t>arteriopatias</w:t>
      </w:r>
      <w:r>
        <w:rPr>
          <w:spacing w:val="-7"/>
        </w:rPr>
        <w:t> </w:t>
      </w:r>
      <w:r>
        <w:rPr/>
        <w:t>funcionais</w:t>
      </w:r>
      <w:r>
        <w:rPr>
          <w:spacing w:val="-7"/>
        </w:rPr>
        <w:t> </w:t>
      </w:r>
      <w:r>
        <w:rPr/>
        <w:t>constituem</w:t>
      </w:r>
      <w:r>
        <w:rPr>
          <w:spacing w:val="-14"/>
        </w:rPr>
        <w:t> </w:t>
      </w:r>
      <w:r>
        <w:rPr/>
        <w:t>um</w:t>
      </w:r>
      <w:r>
        <w:rPr>
          <w:spacing w:val="-14"/>
        </w:rPr>
        <w:t> </w:t>
      </w:r>
      <w:r>
        <w:rPr/>
        <w:t>grupo</w:t>
      </w:r>
      <w:r>
        <w:rPr>
          <w:spacing w:val="-14"/>
        </w:rPr>
        <w:t> </w:t>
      </w:r>
      <w:r>
        <w:rPr/>
        <w:t>de</w:t>
      </w:r>
      <w:r>
        <w:rPr>
          <w:spacing w:val="-15"/>
        </w:rPr>
        <w:t> </w:t>
      </w:r>
      <w:r>
        <w:rPr/>
        <w:t>afecções</w:t>
      </w:r>
      <w:r>
        <w:rPr>
          <w:spacing w:val="-6"/>
        </w:rPr>
        <w:t> </w:t>
      </w:r>
      <w:r>
        <w:rPr/>
        <w:t>caracterizadas</w:t>
      </w:r>
      <w:r>
        <w:rPr>
          <w:spacing w:val="-7"/>
        </w:rPr>
        <w:t> </w:t>
      </w:r>
      <w:r>
        <w:rPr/>
        <w:t>predominantemente</w:t>
      </w:r>
      <w:r>
        <w:rPr>
          <w:spacing w:val="-15"/>
        </w:rPr>
        <w:t> </w:t>
      </w:r>
      <w:r>
        <w:rPr/>
        <w:t>por</w:t>
      </w:r>
      <w:r>
        <w:rPr>
          <w:spacing w:val="-8"/>
        </w:rPr>
        <w:t> </w:t>
      </w:r>
      <w:r>
        <w:rPr/>
        <w:t>distúrbio</w:t>
      </w:r>
      <w:r>
        <w:rPr>
          <w:spacing w:val="-14"/>
        </w:rPr>
        <w:t> </w:t>
      </w:r>
      <w:r>
        <w:rPr/>
        <w:t>no controle do tônus vascular. A base dessas arteriopatias está fundamentada no espasmo vascular (também são conhecidas como doenças vasoespásticas), associado a fatores extrínsecos e/ou intrínsecos. A manifestação principal, particularmente</w:t>
      </w:r>
      <w:r>
        <w:rPr>
          <w:spacing w:val="-4"/>
        </w:rPr>
        <w:t> </w:t>
      </w:r>
      <w:r>
        <w:rPr/>
        <w:t>na</w:t>
      </w:r>
      <w:r>
        <w:rPr>
          <w:spacing w:val="-4"/>
        </w:rPr>
        <w:t> </w:t>
      </w:r>
      <w:r>
        <w:rPr/>
        <w:t>fase</w:t>
      </w:r>
      <w:r>
        <w:rPr>
          <w:spacing w:val="-4"/>
        </w:rPr>
        <w:t> </w:t>
      </w:r>
      <w:r>
        <w:rPr/>
        <w:t>inicial, em</w:t>
      </w:r>
      <w:r>
        <w:rPr>
          <w:spacing w:val="-1"/>
        </w:rPr>
        <w:t> </w:t>
      </w:r>
      <w:r>
        <w:rPr/>
        <w:t>que</w:t>
      </w:r>
      <w:r>
        <w:rPr>
          <w:spacing w:val="-4"/>
        </w:rPr>
        <w:t> </w:t>
      </w:r>
      <w:r>
        <w:rPr/>
        <w:t>uma</w:t>
      </w:r>
      <w:r>
        <w:rPr>
          <w:spacing w:val="-4"/>
        </w:rPr>
        <w:t> </w:t>
      </w:r>
      <w:r>
        <w:rPr/>
        <w:t>doença</w:t>
      </w:r>
      <w:r>
        <w:rPr>
          <w:spacing w:val="-4"/>
        </w:rPr>
        <w:t> </w:t>
      </w:r>
      <w:r>
        <w:rPr/>
        <w:t>de</w:t>
      </w:r>
      <w:r>
        <w:rPr>
          <w:spacing w:val="-4"/>
        </w:rPr>
        <w:t> </w:t>
      </w:r>
      <w:r>
        <w:rPr/>
        <w:t>base</w:t>
      </w:r>
      <w:r>
        <w:rPr>
          <w:spacing w:val="-4"/>
        </w:rPr>
        <w:t> </w:t>
      </w:r>
      <w:r>
        <w:rPr/>
        <w:t>ainda</w:t>
      </w:r>
      <w:r>
        <w:rPr>
          <w:spacing w:val="-4"/>
        </w:rPr>
        <w:t> </w:t>
      </w:r>
      <w:r>
        <w:rPr/>
        <w:t>não</w:t>
      </w:r>
      <w:r>
        <w:rPr>
          <w:spacing w:val="-1"/>
        </w:rPr>
        <w:t> </w:t>
      </w:r>
      <w:r>
        <w:rPr/>
        <w:t>se</w:t>
      </w:r>
      <w:r>
        <w:rPr>
          <w:spacing w:val="-4"/>
        </w:rPr>
        <w:t> </w:t>
      </w:r>
      <w:r>
        <w:rPr/>
        <w:t>manifestou, são</w:t>
      </w:r>
      <w:r>
        <w:rPr>
          <w:spacing w:val="-1"/>
        </w:rPr>
        <w:t> </w:t>
      </w:r>
      <w:r>
        <w:rPr/>
        <w:t>as alterações na coloração da pele. A principal representante desse grupo de desordens é a síndrome de Raynaud, mas também fazem parte o livedo reticular, a eritromegalia, a acrocianose, a distrofia simpática reflexa, a enxaqueca e a angina </w:t>
      </w:r>
      <w:r>
        <w:rPr>
          <w:spacing w:val="-2"/>
        </w:rPr>
        <w:t>variante.</w:t>
      </w:r>
    </w:p>
    <w:p>
      <w:pPr>
        <w:pStyle w:val="BodyText"/>
        <w:spacing w:before="186"/>
        <w:ind w:left="0" w:firstLine="0"/>
        <w:jc w:val="left"/>
      </w:pPr>
    </w:p>
    <w:p>
      <w:pPr>
        <w:pStyle w:val="Heading4"/>
      </w:pPr>
      <w:r>
        <w:rPr>
          <w:color w:val="242B67"/>
        </w:rPr>
        <w:t>Fenômeno de </w:t>
      </w:r>
      <w:r>
        <w:rPr>
          <w:color w:val="242B67"/>
          <w:spacing w:val="-2"/>
        </w:rPr>
        <w:t>Raynaud</w:t>
      </w:r>
    </w:p>
    <w:p>
      <w:pPr>
        <w:pStyle w:val="BodyText"/>
        <w:spacing w:line="280" w:lineRule="auto" w:before="148"/>
        <w:ind w:right="491"/>
      </w:pPr>
      <w:r>
        <w:rPr/>
        <w:t>Em</w:t>
      </w:r>
      <w:r>
        <w:rPr>
          <w:spacing w:val="-8"/>
        </w:rPr>
        <w:t> </w:t>
      </w:r>
      <w:r>
        <w:rPr/>
        <w:t>1862,</w:t>
      </w:r>
      <w:r>
        <w:rPr>
          <w:spacing w:val="-1"/>
        </w:rPr>
        <w:t> </w:t>
      </w:r>
      <w:r>
        <w:rPr/>
        <w:t>Maurice</w:t>
      </w:r>
      <w:r>
        <w:rPr>
          <w:spacing w:val="-11"/>
        </w:rPr>
        <w:t> </w:t>
      </w:r>
      <w:r>
        <w:rPr/>
        <w:t>Raynaud</w:t>
      </w:r>
      <w:r>
        <w:rPr>
          <w:spacing w:val="-8"/>
        </w:rPr>
        <w:t> </w:t>
      </w:r>
      <w:r>
        <w:rPr/>
        <w:t>descreveu</w:t>
      </w:r>
      <w:r>
        <w:rPr>
          <w:spacing w:val="-8"/>
        </w:rPr>
        <w:t> </w:t>
      </w:r>
      <w:r>
        <w:rPr/>
        <w:t>pessoas</w:t>
      </w:r>
      <w:r>
        <w:rPr>
          <w:spacing w:val="-1"/>
        </w:rPr>
        <w:t> </w:t>
      </w:r>
      <w:r>
        <w:rPr/>
        <w:t>que,</w:t>
      </w:r>
      <w:r>
        <w:rPr>
          <w:spacing w:val="-1"/>
        </w:rPr>
        <w:t> </w:t>
      </w:r>
      <w:r>
        <w:rPr/>
        <w:t>quando</w:t>
      </w:r>
      <w:r>
        <w:rPr>
          <w:spacing w:val="-8"/>
        </w:rPr>
        <w:t> </w:t>
      </w:r>
      <w:r>
        <w:rPr/>
        <w:t>eram</w:t>
      </w:r>
      <w:r>
        <w:rPr>
          <w:spacing w:val="-8"/>
        </w:rPr>
        <w:t> </w:t>
      </w:r>
      <w:r>
        <w:rPr/>
        <w:t>expostas</w:t>
      </w:r>
      <w:r>
        <w:rPr>
          <w:spacing w:val="-1"/>
        </w:rPr>
        <w:t> </w:t>
      </w:r>
      <w:r>
        <w:rPr/>
        <w:t>a</w:t>
      </w:r>
      <w:r>
        <w:rPr>
          <w:spacing w:val="-11"/>
        </w:rPr>
        <w:t> </w:t>
      </w:r>
      <w:r>
        <w:rPr/>
        <w:t>baixas</w:t>
      </w:r>
      <w:r>
        <w:rPr>
          <w:spacing w:val="-1"/>
        </w:rPr>
        <w:t> </w:t>
      </w:r>
      <w:r>
        <w:rPr/>
        <w:t>temperaturas,</w:t>
      </w:r>
      <w:r>
        <w:rPr>
          <w:spacing w:val="-1"/>
        </w:rPr>
        <w:t> </w:t>
      </w:r>
      <w:r>
        <w:rPr/>
        <w:t>apresentavam isquemia digital na mão, sendo descrita por ele como uma resposta exagerada do sistema nervoso central. Posteriormente foi criado o termo síndrome de Raynaud que abrange a doença de Raynaud, na ausência de uma doença</w:t>
      </w:r>
      <w:r>
        <w:rPr>
          <w:spacing w:val="-3"/>
        </w:rPr>
        <w:t> </w:t>
      </w:r>
      <w:r>
        <w:rPr/>
        <w:t>de</w:t>
      </w:r>
      <w:r>
        <w:rPr>
          <w:spacing w:val="-3"/>
        </w:rPr>
        <w:t> </w:t>
      </w:r>
      <w:r>
        <w:rPr/>
        <w:t>base</w:t>
      </w:r>
      <w:r>
        <w:rPr>
          <w:spacing w:val="-3"/>
        </w:rPr>
        <w:t> </w:t>
      </w:r>
      <w:r>
        <w:rPr/>
        <w:t>que</w:t>
      </w:r>
      <w:r>
        <w:rPr>
          <w:spacing w:val="-3"/>
        </w:rPr>
        <w:t> </w:t>
      </w:r>
      <w:r>
        <w:rPr/>
        <w:t>leve</w:t>
      </w:r>
      <w:r>
        <w:rPr>
          <w:spacing w:val="-3"/>
        </w:rPr>
        <w:t> </w:t>
      </w:r>
      <w:r>
        <w:rPr/>
        <w:t>ao</w:t>
      </w:r>
      <w:r>
        <w:rPr>
          <w:spacing w:val="-1"/>
        </w:rPr>
        <w:t> </w:t>
      </w:r>
      <w:r>
        <w:rPr/>
        <w:t>quadro</w:t>
      </w:r>
      <w:r>
        <w:rPr>
          <w:spacing w:val="-1"/>
        </w:rPr>
        <w:t> </w:t>
      </w:r>
      <w:r>
        <w:rPr/>
        <w:t>e</w:t>
      </w:r>
      <w:r>
        <w:rPr>
          <w:spacing w:val="-3"/>
        </w:rPr>
        <w:t> </w:t>
      </w:r>
      <w:r>
        <w:rPr/>
        <w:t>fenômeno</w:t>
      </w:r>
      <w:r>
        <w:rPr>
          <w:spacing w:val="-1"/>
        </w:rPr>
        <w:t> </w:t>
      </w:r>
      <w:r>
        <w:rPr/>
        <w:t>de</w:t>
      </w:r>
      <w:r>
        <w:rPr>
          <w:spacing w:val="-3"/>
        </w:rPr>
        <w:t> </w:t>
      </w:r>
      <w:r>
        <w:rPr/>
        <w:t>Raynaud, que</w:t>
      </w:r>
      <w:r>
        <w:rPr>
          <w:spacing w:val="-3"/>
        </w:rPr>
        <w:t> </w:t>
      </w:r>
      <w:r>
        <w:rPr/>
        <w:t>é</w:t>
      </w:r>
      <w:r>
        <w:rPr>
          <w:spacing w:val="-3"/>
        </w:rPr>
        <w:t> </w:t>
      </w:r>
      <w:r>
        <w:rPr/>
        <w:t>utilizado</w:t>
      </w:r>
      <w:r>
        <w:rPr>
          <w:spacing w:val="-1"/>
        </w:rPr>
        <w:t> </w:t>
      </w:r>
      <w:r>
        <w:rPr/>
        <w:t>atualmente</w:t>
      </w:r>
      <w:r>
        <w:rPr>
          <w:spacing w:val="-3"/>
        </w:rPr>
        <w:t> </w:t>
      </w:r>
      <w:r>
        <w:rPr/>
        <w:t>para</w:t>
      </w:r>
      <w:r>
        <w:rPr>
          <w:spacing w:val="-3"/>
        </w:rPr>
        <w:t> </w:t>
      </w:r>
      <w:r>
        <w:rPr/>
        <w:t>descrever episódios de vasoconstrição das artérias digitais, arteríolas pré-capilares e </w:t>
      </w:r>
      <w:r>
        <w:rPr>
          <w:i/>
        </w:rPr>
        <w:t>shunts </w:t>
      </w:r>
      <w:r>
        <w:rPr/>
        <w:t>arteriovenosos cutâneos em pacientes com evidência de uma afecção orgânica que explique o quadro.</w:t>
      </w:r>
      <w:r>
        <w:rPr>
          <w:vertAlign w:val="superscript"/>
        </w:rPr>
        <w:t>1</w:t>
      </w:r>
      <w:r>
        <w:rPr>
          <w:vertAlign w:val="baseline"/>
        </w:rPr>
        <w:t> Outros dividem a síndrome em formas vasoespástica e obstrutiva. A última é secundária à obstrução arterial.</w:t>
      </w:r>
      <w:r>
        <w:rPr>
          <w:vertAlign w:val="superscript"/>
        </w:rPr>
        <w:t>2</w:t>
      </w:r>
      <w:r>
        <w:rPr>
          <w:vertAlign w:val="baseline"/>
        </w:rPr>
        <w:t> A tendência recente é chamar os pacientes sem causa aparente de portadores do fenômeno de Raynaud primário, e de portadores secundários aqueles nos quais existe uma causa detectável.</w:t>
      </w:r>
      <w:r>
        <w:rPr>
          <w:vertAlign w:val="superscript"/>
        </w:rPr>
        <w:t>1</w:t>
      </w:r>
    </w:p>
    <w:p>
      <w:pPr>
        <w:pStyle w:val="BodyText"/>
        <w:spacing w:line="276" w:lineRule="auto" w:before="50"/>
        <w:ind w:right="491"/>
      </w:pPr>
      <w:r>
        <w:rPr/>
        <w:t>A fase isquêmica da crise é evidenciada por palidez ou cianose da pele dos dedos. Tipicamente tem início em um ou vários dedos da mão, quando expostos ao frio ou a alguma situação de estresse, e avança para os outros dedos rapidamente (</w:t>
      </w:r>
      <w:r>
        <w:rPr>
          <w:color w:val="505050"/>
        </w:rPr>
        <w:t>Figura 59.20</w:t>
      </w:r>
      <w:r>
        <w:rPr/>
        <w:t>). A crise termina geralmente de modo rápido, com vermelhidão nos dedos acometidos (hiperemia reativa). Na maioria dos pacientes (80%) o episódio é secundário à exposição ao frio, mas pode</w:t>
      </w:r>
      <w:r>
        <w:rPr>
          <w:spacing w:val="-8"/>
        </w:rPr>
        <w:t> </w:t>
      </w:r>
      <w:r>
        <w:rPr/>
        <w:t>representar</w:t>
      </w:r>
      <w:r>
        <w:rPr>
          <w:spacing w:val="-1"/>
        </w:rPr>
        <w:t> </w:t>
      </w:r>
      <w:r>
        <w:rPr/>
        <w:t>a</w:t>
      </w:r>
      <w:r>
        <w:rPr>
          <w:spacing w:val="-8"/>
        </w:rPr>
        <w:t> </w:t>
      </w:r>
      <w:r>
        <w:rPr/>
        <w:t>manifestação</w:t>
      </w:r>
      <w:r>
        <w:rPr>
          <w:spacing w:val="-6"/>
        </w:rPr>
        <w:t> </w:t>
      </w:r>
      <w:r>
        <w:rPr/>
        <w:t>de</w:t>
      </w:r>
      <w:r>
        <w:rPr>
          <w:spacing w:val="-8"/>
        </w:rPr>
        <w:t> </w:t>
      </w:r>
      <w:r>
        <w:rPr/>
        <w:t>uma</w:t>
      </w:r>
      <w:r>
        <w:rPr>
          <w:spacing w:val="-8"/>
        </w:rPr>
        <w:t> </w:t>
      </w:r>
      <w:r>
        <w:rPr/>
        <w:t>doença</w:t>
      </w:r>
      <w:r>
        <w:rPr>
          <w:spacing w:val="-8"/>
        </w:rPr>
        <w:t> </w:t>
      </w:r>
      <w:r>
        <w:rPr/>
        <w:t>de</w:t>
      </w:r>
      <w:r>
        <w:rPr>
          <w:spacing w:val="-8"/>
        </w:rPr>
        <w:t> </w:t>
      </w:r>
      <w:r>
        <w:rPr/>
        <w:t>base</w:t>
      </w:r>
      <w:r>
        <w:rPr>
          <w:spacing w:val="-8"/>
        </w:rPr>
        <w:t> </w:t>
      </w:r>
      <w:r>
        <w:rPr/>
        <w:t>ou</w:t>
      </w:r>
      <w:r>
        <w:rPr>
          <w:spacing w:val="-6"/>
        </w:rPr>
        <w:t> </w:t>
      </w:r>
      <w:r>
        <w:rPr/>
        <w:t>de</w:t>
      </w:r>
      <w:r>
        <w:rPr>
          <w:spacing w:val="-8"/>
        </w:rPr>
        <w:t> </w:t>
      </w:r>
      <w:r>
        <w:rPr/>
        <w:t>isquemia</w:t>
      </w:r>
      <w:r>
        <w:rPr>
          <w:spacing w:val="-8"/>
        </w:rPr>
        <w:t> </w:t>
      </w:r>
      <w:r>
        <w:rPr/>
        <w:t>arterial</w:t>
      </w:r>
      <w:r>
        <w:rPr>
          <w:spacing w:val="-3"/>
        </w:rPr>
        <w:t> </w:t>
      </w:r>
      <w:r>
        <w:rPr/>
        <w:t>aguda</w:t>
      </w:r>
      <w:r>
        <w:rPr>
          <w:spacing w:val="-8"/>
        </w:rPr>
        <w:t> </w:t>
      </w:r>
      <w:r>
        <w:rPr/>
        <w:t>do</w:t>
      </w:r>
      <w:r>
        <w:rPr>
          <w:spacing w:val="-6"/>
        </w:rPr>
        <w:t> </w:t>
      </w:r>
      <w:r>
        <w:rPr/>
        <w:t>membro</w:t>
      </w:r>
      <w:r>
        <w:rPr>
          <w:spacing w:val="-6"/>
        </w:rPr>
        <w:t> </w:t>
      </w:r>
      <w:r>
        <w:rPr/>
        <w:t>superior</w:t>
      </w:r>
      <w:r>
        <w:rPr>
          <w:spacing w:val="-1"/>
        </w:rPr>
        <w:t> </w:t>
      </w:r>
      <w:r>
        <w:rPr/>
        <w:t>(embolia</w:t>
      </w:r>
    </w:p>
    <w:p>
      <w:pPr>
        <w:pStyle w:val="BodyText"/>
        <w:spacing w:after="0" w:line="276" w:lineRule="auto"/>
        <w:sectPr>
          <w:pgSz w:w="11900" w:h="16840"/>
          <w:pgMar w:top="280" w:bottom="280" w:left="566" w:right="141"/>
        </w:sectPr>
      </w:pPr>
    </w:p>
    <w:p>
      <w:pPr>
        <w:pStyle w:val="BodyText"/>
        <w:spacing w:line="290" w:lineRule="auto" w:before="72"/>
        <w:ind w:right="510" w:firstLine="0"/>
      </w:pPr>
      <w:r>
        <w:rPr/>
        <w:t>arterial aguda, compressão da artéria subclávia e plexo braquial na síndrome do desfiladeiro torácico, arteriosclerose, arterite).</w:t>
      </w:r>
      <w:r>
        <w:rPr>
          <w:vertAlign w:val="superscript"/>
        </w:rPr>
        <w:t>1–3</w:t>
      </w:r>
    </w:p>
    <w:p>
      <w:pPr>
        <w:pStyle w:val="BodyText"/>
        <w:spacing w:before="30"/>
        <w:ind w:left="0" w:firstLine="0"/>
        <w:jc w:val="left"/>
        <w:rPr>
          <w:sz w:val="20"/>
        </w:rPr>
      </w:pPr>
      <w:r>
        <w:rPr>
          <w:sz w:val="20"/>
        </w:rPr>
        <w:drawing>
          <wp:anchor distT="0" distB="0" distL="0" distR="0" allowOverlap="1" layoutInCell="1" locked="0" behindDoc="1" simplePos="0" relativeHeight="487625216">
            <wp:simplePos x="0" y="0"/>
            <wp:positionH relativeFrom="page">
              <wp:posOffset>2364511</wp:posOffset>
            </wp:positionH>
            <wp:positionV relativeFrom="paragraph">
              <wp:posOffset>180926</wp:posOffset>
            </wp:positionV>
            <wp:extent cx="2833314" cy="6247542"/>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54" cstate="print"/>
                    <a:stretch>
                      <a:fillRect/>
                    </a:stretch>
                  </pic:blipFill>
                  <pic:spPr>
                    <a:xfrm>
                      <a:off x="0" y="0"/>
                      <a:ext cx="2833314" cy="6247542"/>
                    </a:xfrm>
                    <a:prstGeom prst="rect">
                      <a:avLst/>
                    </a:prstGeom>
                  </pic:spPr>
                </pic:pic>
              </a:graphicData>
            </a:graphic>
          </wp:anchor>
        </w:drawing>
      </w:r>
    </w:p>
    <w:p>
      <w:pPr>
        <w:spacing w:before="243"/>
        <w:ind w:left="68" w:right="0" w:firstLine="0"/>
        <w:jc w:val="both"/>
        <w:rPr>
          <w:rFonts w:ascii="Microsoft Sans Serif" w:hAnsi="Microsoft Sans Serif"/>
          <w:sz w:val="19"/>
        </w:rPr>
      </w:pPr>
      <w:r>
        <w:rPr>
          <w:rFonts w:ascii="Arial" w:hAnsi="Arial"/>
          <w:b/>
          <w:color w:val="242B67"/>
          <w:sz w:val="19"/>
        </w:rPr>
        <w:t>Figura</w:t>
      </w:r>
      <w:r>
        <w:rPr>
          <w:rFonts w:ascii="Arial" w:hAnsi="Arial"/>
          <w:b/>
          <w:color w:val="242B67"/>
          <w:spacing w:val="16"/>
          <w:sz w:val="19"/>
        </w:rPr>
        <w:t> </w:t>
      </w:r>
      <w:r>
        <w:rPr>
          <w:rFonts w:ascii="Arial" w:hAnsi="Arial"/>
          <w:b/>
          <w:color w:val="242B67"/>
          <w:sz w:val="19"/>
        </w:rPr>
        <w:t>59.20</w:t>
      </w:r>
      <w:r>
        <w:rPr>
          <w:rFonts w:ascii="Arial" w:hAnsi="Arial"/>
          <w:b/>
          <w:color w:val="242B67"/>
          <w:spacing w:val="17"/>
          <w:sz w:val="19"/>
        </w:rPr>
        <w:t> </w:t>
      </w:r>
      <w:r>
        <w:rPr>
          <w:rFonts w:ascii="Microsoft Sans Serif" w:hAnsi="Microsoft Sans Serif"/>
          <w:sz w:val="19"/>
        </w:rPr>
        <w:t>Palidez</w:t>
      </w:r>
      <w:r>
        <w:rPr>
          <w:rFonts w:ascii="Microsoft Sans Serif" w:hAnsi="Microsoft Sans Serif"/>
          <w:spacing w:val="12"/>
          <w:sz w:val="19"/>
        </w:rPr>
        <w:t> </w:t>
      </w:r>
      <w:r>
        <w:rPr>
          <w:rFonts w:ascii="Microsoft Sans Serif" w:hAnsi="Microsoft Sans Serif"/>
          <w:sz w:val="19"/>
        </w:rPr>
        <w:t>inicial</w:t>
      </w:r>
      <w:r>
        <w:rPr>
          <w:rFonts w:ascii="Microsoft Sans Serif" w:hAnsi="Microsoft Sans Serif"/>
          <w:spacing w:val="19"/>
          <w:sz w:val="19"/>
        </w:rPr>
        <w:t> </w:t>
      </w:r>
      <w:r>
        <w:rPr>
          <w:rFonts w:ascii="Microsoft Sans Serif" w:hAnsi="Microsoft Sans Serif"/>
          <w:sz w:val="19"/>
        </w:rPr>
        <w:t>(</w:t>
      </w:r>
      <w:r>
        <w:rPr>
          <w:rFonts w:ascii="Arial" w:hAnsi="Arial"/>
          <w:b/>
          <w:sz w:val="19"/>
        </w:rPr>
        <w:t>A</w:t>
      </w:r>
      <w:r>
        <w:rPr>
          <w:rFonts w:ascii="Microsoft Sans Serif" w:hAnsi="Microsoft Sans Serif"/>
          <w:sz w:val="19"/>
        </w:rPr>
        <w:t>)</w:t>
      </w:r>
      <w:r>
        <w:rPr>
          <w:rFonts w:ascii="Microsoft Sans Serif" w:hAnsi="Microsoft Sans Serif"/>
          <w:spacing w:val="12"/>
          <w:sz w:val="19"/>
        </w:rPr>
        <w:t> </w:t>
      </w:r>
      <w:r>
        <w:rPr>
          <w:rFonts w:ascii="Microsoft Sans Serif" w:hAnsi="Microsoft Sans Serif"/>
          <w:sz w:val="19"/>
        </w:rPr>
        <w:t>no</w:t>
      </w:r>
      <w:r>
        <w:rPr>
          <w:rFonts w:ascii="Microsoft Sans Serif" w:hAnsi="Microsoft Sans Serif"/>
          <w:spacing w:val="19"/>
          <w:sz w:val="19"/>
        </w:rPr>
        <w:t> </w:t>
      </w:r>
      <w:r>
        <w:rPr>
          <w:rFonts w:ascii="Microsoft Sans Serif" w:hAnsi="Microsoft Sans Serif"/>
          <w:sz w:val="19"/>
        </w:rPr>
        <w:t>fenômeno</w:t>
      </w:r>
      <w:r>
        <w:rPr>
          <w:rFonts w:ascii="Microsoft Sans Serif" w:hAnsi="Microsoft Sans Serif"/>
          <w:spacing w:val="18"/>
          <w:sz w:val="19"/>
        </w:rPr>
        <w:t> </w:t>
      </w:r>
      <w:r>
        <w:rPr>
          <w:rFonts w:ascii="Microsoft Sans Serif" w:hAnsi="Microsoft Sans Serif"/>
          <w:sz w:val="19"/>
        </w:rPr>
        <w:t>de</w:t>
      </w:r>
      <w:r>
        <w:rPr>
          <w:rFonts w:ascii="Microsoft Sans Serif" w:hAnsi="Microsoft Sans Serif"/>
          <w:spacing w:val="19"/>
          <w:sz w:val="19"/>
        </w:rPr>
        <w:t> </w:t>
      </w:r>
      <w:r>
        <w:rPr>
          <w:rFonts w:ascii="Microsoft Sans Serif" w:hAnsi="Microsoft Sans Serif"/>
          <w:sz w:val="19"/>
        </w:rPr>
        <w:t>Raynaud</w:t>
      </w:r>
      <w:r>
        <w:rPr>
          <w:rFonts w:ascii="Microsoft Sans Serif" w:hAnsi="Microsoft Sans Serif"/>
          <w:spacing w:val="19"/>
          <w:sz w:val="19"/>
        </w:rPr>
        <w:t> </w:t>
      </w:r>
      <w:r>
        <w:rPr>
          <w:rFonts w:ascii="Microsoft Sans Serif" w:hAnsi="Microsoft Sans Serif"/>
          <w:sz w:val="19"/>
        </w:rPr>
        <w:t>seguida</w:t>
      </w:r>
      <w:r>
        <w:rPr>
          <w:rFonts w:ascii="Microsoft Sans Serif" w:hAnsi="Microsoft Sans Serif"/>
          <w:spacing w:val="18"/>
          <w:sz w:val="19"/>
        </w:rPr>
        <w:t> </w:t>
      </w:r>
      <w:r>
        <w:rPr>
          <w:rFonts w:ascii="Microsoft Sans Serif" w:hAnsi="Microsoft Sans Serif"/>
          <w:sz w:val="19"/>
        </w:rPr>
        <w:t>de</w:t>
      </w:r>
      <w:r>
        <w:rPr>
          <w:rFonts w:ascii="Microsoft Sans Serif" w:hAnsi="Microsoft Sans Serif"/>
          <w:spacing w:val="19"/>
          <w:sz w:val="19"/>
        </w:rPr>
        <w:t> </w:t>
      </w:r>
      <w:r>
        <w:rPr>
          <w:rFonts w:ascii="Microsoft Sans Serif" w:hAnsi="Microsoft Sans Serif"/>
          <w:sz w:val="19"/>
        </w:rPr>
        <w:t>cianose</w:t>
      </w:r>
      <w:r>
        <w:rPr>
          <w:rFonts w:ascii="Microsoft Sans Serif" w:hAnsi="Microsoft Sans Serif"/>
          <w:spacing w:val="19"/>
          <w:sz w:val="19"/>
        </w:rPr>
        <w:t> </w:t>
      </w:r>
      <w:r>
        <w:rPr>
          <w:rFonts w:ascii="Microsoft Sans Serif" w:hAnsi="Microsoft Sans Serif"/>
          <w:spacing w:val="-4"/>
          <w:sz w:val="19"/>
        </w:rPr>
        <w:t>(</w:t>
      </w:r>
      <w:r>
        <w:rPr>
          <w:rFonts w:ascii="Arial" w:hAnsi="Arial"/>
          <w:b/>
          <w:spacing w:val="-4"/>
          <w:sz w:val="19"/>
        </w:rPr>
        <w:t>B</w:t>
      </w:r>
      <w:r>
        <w:rPr>
          <w:rFonts w:ascii="Microsoft Sans Serif" w:hAnsi="Microsoft Sans Serif"/>
          <w:spacing w:val="-4"/>
          <w:sz w:val="19"/>
        </w:rPr>
        <w:t>).</w:t>
      </w:r>
    </w:p>
    <w:p>
      <w:pPr>
        <w:pStyle w:val="BodyText"/>
        <w:spacing w:before="107"/>
        <w:ind w:left="0" w:firstLine="0"/>
        <w:jc w:val="left"/>
        <w:rPr>
          <w:rFonts w:ascii="Microsoft Sans Serif"/>
          <w:sz w:val="19"/>
        </w:rPr>
      </w:pPr>
    </w:p>
    <w:p>
      <w:pPr>
        <w:pStyle w:val="BodyText"/>
        <w:spacing w:line="276" w:lineRule="auto" w:before="0"/>
        <w:ind w:right="488"/>
      </w:pPr>
      <w:r>
        <w:rPr/>
        <w:t>A frequência do fenômeno de Raynaud é variável na população (3 a 5%) em decorrência da tendência a se exagerar a</w:t>
      </w:r>
      <w:r>
        <w:rPr>
          <w:spacing w:val="-7"/>
        </w:rPr>
        <w:t> </w:t>
      </w:r>
      <w:r>
        <w:rPr/>
        <w:t>queixa</w:t>
      </w:r>
      <w:r>
        <w:rPr>
          <w:spacing w:val="-7"/>
        </w:rPr>
        <w:t> </w:t>
      </w:r>
      <w:r>
        <w:rPr/>
        <w:t>de</w:t>
      </w:r>
      <w:r>
        <w:rPr>
          <w:spacing w:val="-7"/>
        </w:rPr>
        <w:t> </w:t>
      </w:r>
      <w:r>
        <w:rPr/>
        <w:t>hipersensibilidade</w:t>
      </w:r>
      <w:r>
        <w:rPr>
          <w:spacing w:val="-7"/>
        </w:rPr>
        <w:t> </w:t>
      </w:r>
      <w:r>
        <w:rPr/>
        <w:t>ao</w:t>
      </w:r>
      <w:r>
        <w:rPr>
          <w:spacing w:val="-5"/>
        </w:rPr>
        <w:t> </w:t>
      </w:r>
      <w:r>
        <w:rPr/>
        <w:t>frio. A</w:t>
      </w:r>
      <w:r>
        <w:rPr>
          <w:spacing w:val="-7"/>
        </w:rPr>
        <w:t> </w:t>
      </w:r>
      <w:r>
        <w:rPr/>
        <w:t>variabilidade</w:t>
      </w:r>
      <w:r>
        <w:rPr>
          <w:spacing w:val="-7"/>
        </w:rPr>
        <w:t> </w:t>
      </w:r>
      <w:r>
        <w:rPr/>
        <w:t>também</w:t>
      </w:r>
      <w:r>
        <w:rPr>
          <w:spacing w:val="-5"/>
        </w:rPr>
        <w:t> </w:t>
      </w:r>
      <w:r>
        <w:rPr/>
        <w:t>decorre</w:t>
      </w:r>
      <w:r>
        <w:rPr>
          <w:spacing w:val="-7"/>
        </w:rPr>
        <w:t> </w:t>
      </w:r>
      <w:r>
        <w:rPr/>
        <w:t>das diferenças de</w:t>
      </w:r>
      <w:r>
        <w:rPr>
          <w:spacing w:val="-7"/>
        </w:rPr>
        <w:t> </w:t>
      </w:r>
      <w:r>
        <w:rPr/>
        <w:t>prevalência</w:t>
      </w:r>
      <w:r>
        <w:rPr>
          <w:spacing w:val="-7"/>
        </w:rPr>
        <w:t> </w:t>
      </w:r>
      <w:r>
        <w:rPr/>
        <w:t>entre grupos étnicos e clima.</w:t>
      </w:r>
    </w:p>
    <w:p>
      <w:pPr>
        <w:pStyle w:val="BodyText"/>
        <w:spacing w:before="49"/>
        <w:ind w:left="414" w:firstLine="0"/>
      </w:pPr>
      <w:r>
        <w:rPr/>
        <w:t>Obviamente,</w:t>
      </w:r>
      <w:r>
        <w:rPr>
          <w:spacing w:val="-1"/>
        </w:rPr>
        <w:t> </w:t>
      </w:r>
      <w:r>
        <w:rPr/>
        <w:t>é</w:t>
      </w:r>
      <w:r>
        <w:rPr>
          <w:spacing w:val="-9"/>
        </w:rPr>
        <w:t> </w:t>
      </w:r>
      <w:r>
        <w:rPr/>
        <w:t>importante</w:t>
      </w:r>
      <w:r>
        <w:rPr>
          <w:spacing w:val="-9"/>
        </w:rPr>
        <w:t> </w:t>
      </w:r>
      <w:r>
        <w:rPr/>
        <w:t>o</w:t>
      </w:r>
      <w:r>
        <w:rPr>
          <w:spacing w:val="-5"/>
        </w:rPr>
        <w:t> </w:t>
      </w:r>
      <w:r>
        <w:rPr/>
        <w:t>diagnóstico</w:t>
      </w:r>
      <w:r>
        <w:rPr>
          <w:spacing w:val="-6"/>
        </w:rPr>
        <w:t> </w:t>
      </w:r>
      <w:r>
        <w:rPr/>
        <w:t>diferencial</w:t>
      </w:r>
      <w:r>
        <w:rPr>
          <w:spacing w:val="-3"/>
        </w:rPr>
        <w:t> </w:t>
      </w:r>
      <w:r>
        <w:rPr/>
        <w:t>das</w:t>
      </w:r>
      <w:r>
        <w:rPr>
          <w:spacing w:val="1"/>
        </w:rPr>
        <w:t> </w:t>
      </w:r>
      <w:r>
        <w:rPr/>
        <w:t>formas</w:t>
      </w:r>
      <w:r>
        <w:rPr>
          <w:spacing w:val="2"/>
        </w:rPr>
        <w:t> </w:t>
      </w:r>
      <w:r>
        <w:rPr/>
        <w:t>primária</w:t>
      </w:r>
      <w:r>
        <w:rPr>
          <w:spacing w:val="-9"/>
        </w:rPr>
        <w:t> </w:t>
      </w:r>
      <w:r>
        <w:rPr/>
        <w:t>e</w:t>
      </w:r>
      <w:r>
        <w:rPr>
          <w:spacing w:val="-9"/>
        </w:rPr>
        <w:t> </w:t>
      </w:r>
      <w:r>
        <w:rPr/>
        <w:t>secundária</w:t>
      </w:r>
      <w:r>
        <w:rPr>
          <w:spacing w:val="-9"/>
        </w:rPr>
        <w:t> </w:t>
      </w:r>
      <w:r>
        <w:rPr/>
        <w:t>do</w:t>
      </w:r>
      <w:r>
        <w:rPr>
          <w:spacing w:val="-5"/>
        </w:rPr>
        <w:t> </w:t>
      </w:r>
      <w:r>
        <w:rPr/>
        <w:t>fenômeno</w:t>
      </w:r>
      <w:r>
        <w:rPr>
          <w:spacing w:val="-6"/>
        </w:rPr>
        <w:t> </w:t>
      </w:r>
      <w:r>
        <w:rPr/>
        <w:t>de</w:t>
      </w:r>
      <w:r>
        <w:rPr>
          <w:spacing w:val="-8"/>
        </w:rPr>
        <w:t> </w:t>
      </w:r>
      <w:r>
        <w:rPr>
          <w:spacing w:val="-2"/>
        </w:rPr>
        <w:t>Raynaud.</w:t>
      </w:r>
    </w:p>
    <w:p>
      <w:pPr>
        <w:pStyle w:val="BodyText"/>
        <w:spacing w:before="55"/>
        <w:ind w:firstLine="0"/>
      </w:pPr>
      <w:r>
        <w:rPr/>
        <w:t>Os</w:t>
      </w:r>
      <w:r>
        <w:rPr>
          <w:spacing w:val="-1"/>
        </w:rPr>
        <w:t> </w:t>
      </w:r>
      <w:r>
        <w:rPr/>
        <w:t>critérios</w:t>
      </w:r>
      <w:r>
        <w:rPr>
          <w:spacing w:val="-1"/>
        </w:rPr>
        <w:t> </w:t>
      </w:r>
      <w:r>
        <w:rPr/>
        <w:t>aceitos</w:t>
      </w:r>
      <w:r>
        <w:rPr>
          <w:spacing w:val="-1"/>
        </w:rPr>
        <w:t> </w:t>
      </w:r>
      <w:r>
        <w:rPr/>
        <w:t>para</w:t>
      </w:r>
      <w:r>
        <w:rPr>
          <w:spacing w:val="-10"/>
        </w:rPr>
        <w:t> </w:t>
      </w:r>
      <w:r>
        <w:rPr/>
        <w:t>diagnóstico</w:t>
      </w:r>
      <w:r>
        <w:rPr>
          <w:spacing w:val="-8"/>
        </w:rPr>
        <w:t> </w:t>
      </w:r>
      <w:r>
        <w:rPr/>
        <w:t>da</w:t>
      </w:r>
      <w:r>
        <w:rPr>
          <w:spacing w:val="-11"/>
        </w:rPr>
        <w:t> </w:t>
      </w:r>
      <w:r>
        <w:rPr/>
        <w:t>forma</w:t>
      </w:r>
      <w:r>
        <w:rPr>
          <w:spacing w:val="-10"/>
        </w:rPr>
        <w:t> </w:t>
      </w:r>
      <w:r>
        <w:rPr/>
        <w:t>primária</w:t>
      </w:r>
      <w:r>
        <w:rPr>
          <w:spacing w:val="-10"/>
        </w:rPr>
        <w:t> </w:t>
      </w:r>
      <w:r>
        <w:rPr>
          <w:spacing w:val="-2"/>
        </w:rPr>
        <w:t>são:</w:t>
      </w:r>
      <w:r>
        <w:rPr>
          <w:spacing w:val="-2"/>
          <w:vertAlign w:val="superscript"/>
        </w:rPr>
        <w:t>4</w:t>
      </w:r>
    </w:p>
    <w:p>
      <w:pPr>
        <w:pStyle w:val="ListParagraph"/>
        <w:numPr>
          <w:ilvl w:val="0"/>
          <w:numId w:val="30"/>
        </w:numPr>
        <w:tabs>
          <w:tab w:pos="397" w:val="left" w:leader="none"/>
        </w:tabs>
        <w:spacing w:line="240" w:lineRule="auto" w:before="200" w:after="0"/>
        <w:ind w:left="397" w:right="0" w:hanging="329"/>
        <w:jc w:val="left"/>
        <w:rPr>
          <w:sz w:val="23"/>
        </w:rPr>
      </w:pPr>
      <w:r>
        <w:rPr>
          <w:sz w:val="23"/>
        </w:rPr>
        <w:t>Crises</w:t>
      </w:r>
      <w:r>
        <w:rPr>
          <w:spacing w:val="-4"/>
          <w:sz w:val="23"/>
        </w:rPr>
        <w:t> </w:t>
      </w:r>
      <w:r>
        <w:rPr>
          <w:sz w:val="23"/>
        </w:rPr>
        <w:t>simétricas</w:t>
      </w:r>
      <w:r>
        <w:rPr>
          <w:spacing w:val="-4"/>
          <w:sz w:val="23"/>
        </w:rPr>
        <w:t> </w:t>
      </w:r>
      <w:r>
        <w:rPr>
          <w:sz w:val="23"/>
        </w:rPr>
        <w:t>(nas</w:t>
      </w:r>
      <w:r>
        <w:rPr>
          <w:spacing w:val="-4"/>
          <w:sz w:val="23"/>
        </w:rPr>
        <w:t> </w:t>
      </w:r>
      <w:r>
        <w:rPr>
          <w:sz w:val="23"/>
        </w:rPr>
        <w:t>duas</w:t>
      </w:r>
      <w:r>
        <w:rPr>
          <w:spacing w:val="-4"/>
          <w:sz w:val="23"/>
        </w:rPr>
        <w:t> </w:t>
      </w:r>
      <w:r>
        <w:rPr>
          <w:sz w:val="23"/>
        </w:rPr>
        <w:t>mãos)</w:t>
      </w:r>
      <w:r>
        <w:rPr>
          <w:spacing w:val="-6"/>
          <w:sz w:val="23"/>
        </w:rPr>
        <w:t> </w:t>
      </w:r>
      <w:r>
        <w:rPr>
          <w:sz w:val="23"/>
        </w:rPr>
        <w:t>desencadeadas</w:t>
      </w:r>
      <w:r>
        <w:rPr>
          <w:spacing w:val="-3"/>
          <w:sz w:val="23"/>
        </w:rPr>
        <w:t> </w:t>
      </w:r>
      <w:r>
        <w:rPr>
          <w:sz w:val="23"/>
        </w:rPr>
        <w:t>pelo</w:t>
      </w:r>
      <w:r>
        <w:rPr>
          <w:spacing w:val="-11"/>
          <w:sz w:val="23"/>
        </w:rPr>
        <w:t> </w:t>
      </w:r>
      <w:r>
        <w:rPr>
          <w:sz w:val="23"/>
        </w:rPr>
        <w:t>frio</w:t>
      </w:r>
      <w:r>
        <w:rPr>
          <w:spacing w:val="-11"/>
          <w:sz w:val="23"/>
        </w:rPr>
        <w:t> </w:t>
      </w:r>
      <w:r>
        <w:rPr>
          <w:sz w:val="23"/>
        </w:rPr>
        <w:t>e/ou</w:t>
      </w:r>
      <w:r>
        <w:rPr>
          <w:spacing w:val="-11"/>
          <w:sz w:val="23"/>
        </w:rPr>
        <w:t> </w:t>
      </w:r>
      <w:r>
        <w:rPr>
          <w:sz w:val="23"/>
        </w:rPr>
        <w:t>alterações</w:t>
      </w:r>
      <w:r>
        <w:rPr>
          <w:spacing w:val="-3"/>
          <w:sz w:val="23"/>
        </w:rPr>
        <w:t> </w:t>
      </w:r>
      <w:r>
        <w:rPr>
          <w:spacing w:val="-2"/>
          <w:sz w:val="23"/>
        </w:rPr>
        <w:t>emocionais</w:t>
      </w:r>
    </w:p>
    <w:p>
      <w:pPr>
        <w:pStyle w:val="ListParagraph"/>
        <w:numPr>
          <w:ilvl w:val="0"/>
          <w:numId w:val="30"/>
        </w:numPr>
        <w:tabs>
          <w:tab w:pos="397" w:val="left" w:leader="none"/>
        </w:tabs>
        <w:spacing w:line="240" w:lineRule="auto" w:before="72" w:after="0"/>
        <w:ind w:left="397" w:right="0" w:hanging="329"/>
        <w:jc w:val="left"/>
        <w:rPr>
          <w:sz w:val="23"/>
        </w:rPr>
      </w:pPr>
      <w:r>
        <w:rPr>
          <w:sz w:val="23"/>
        </w:rPr>
        <w:t>Ausência</w:t>
      </w:r>
      <w:r>
        <w:rPr>
          <w:spacing w:val="-15"/>
          <w:sz w:val="23"/>
        </w:rPr>
        <w:t> </w:t>
      </w:r>
      <w:r>
        <w:rPr>
          <w:sz w:val="23"/>
        </w:rPr>
        <w:t>de</w:t>
      </w:r>
      <w:r>
        <w:rPr>
          <w:spacing w:val="-14"/>
          <w:sz w:val="23"/>
        </w:rPr>
        <w:t> </w:t>
      </w:r>
      <w:r>
        <w:rPr>
          <w:sz w:val="23"/>
        </w:rPr>
        <w:t>ulceração</w:t>
      </w:r>
      <w:r>
        <w:rPr>
          <w:spacing w:val="-12"/>
          <w:sz w:val="23"/>
        </w:rPr>
        <w:t> </w:t>
      </w:r>
      <w:r>
        <w:rPr>
          <w:sz w:val="23"/>
        </w:rPr>
        <w:t>nos</w:t>
      </w:r>
      <w:r>
        <w:rPr>
          <w:spacing w:val="-6"/>
          <w:sz w:val="23"/>
        </w:rPr>
        <w:t> </w:t>
      </w:r>
      <w:r>
        <w:rPr>
          <w:sz w:val="23"/>
        </w:rPr>
        <w:t>dedos</w:t>
      </w:r>
      <w:r>
        <w:rPr>
          <w:spacing w:val="-5"/>
          <w:sz w:val="23"/>
        </w:rPr>
        <w:t> </w:t>
      </w:r>
      <w:r>
        <w:rPr>
          <w:sz w:val="23"/>
        </w:rPr>
        <w:t>ou</w:t>
      </w:r>
      <w:r>
        <w:rPr>
          <w:spacing w:val="-12"/>
          <w:sz w:val="23"/>
        </w:rPr>
        <w:t> </w:t>
      </w:r>
      <w:r>
        <w:rPr>
          <w:spacing w:val="-2"/>
          <w:sz w:val="23"/>
        </w:rPr>
        <w:t>gangrena</w:t>
      </w:r>
    </w:p>
    <w:p>
      <w:pPr>
        <w:pStyle w:val="ListParagraph"/>
        <w:numPr>
          <w:ilvl w:val="0"/>
          <w:numId w:val="30"/>
        </w:numPr>
        <w:tabs>
          <w:tab w:pos="397" w:val="left" w:leader="none"/>
        </w:tabs>
        <w:spacing w:line="240" w:lineRule="auto" w:before="56" w:after="0"/>
        <w:ind w:left="397" w:right="0" w:hanging="329"/>
        <w:jc w:val="left"/>
        <w:rPr>
          <w:sz w:val="23"/>
        </w:rPr>
      </w:pPr>
      <w:r>
        <w:rPr>
          <w:sz w:val="23"/>
        </w:rPr>
        <w:t>Ausência</w:t>
      </w:r>
      <w:r>
        <w:rPr>
          <w:spacing w:val="-13"/>
          <w:sz w:val="23"/>
        </w:rPr>
        <w:t> </w:t>
      </w:r>
      <w:r>
        <w:rPr>
          <w:sz w:val="23"/>
        </w:rPr>
        <w:t>de</w:t>
      </w:r>
      <w:r>
        <w:rPr>
          <w:spacing w:val="-13"/>
          <w:sz w:val="23"/>
        </w:rPr>
        <w:t> </w:t>
      </w:r>
      <w:r>
        <w:rPr>
          <w:sz w:val="23"/>
        </w:rPr>
        <w:t>uma</w:t>
      </w:r>
      <w:r>
        <w:rPr>
          <w:spacing w:val="-13"/>
          <w:sz w:val="23"/>
        </w:rPr>
        <w:t> </w:t>
      </w:r>
      <w:r>
        <w:rPr>
          <w:sz w:val="23"/>
        </w:rPr>
        <w:t>doença</w:t>
      </w:r>
      <w:r>
        <w:rPr>
          <w:spacing w:val="-13"/>
          <w:sz w:val="23"/>
        </w:rPr>
        <w:t> </w:t>
      </w:r>
      <w:r>
        <w:rPr>
          <w:sz w:val="23"/>
        </w:rPr>
        <w:t>evidente</w:t>
      </w:r>
      <w:r>
        <w:rPr>
          <w:spacing w:val="-13"/>
          <w:sz w:val="23"/>
        </w:rPr>
        <w:t> </w:t>
      </w:r>
      <w:r>
        <w:rPr>
          <w:sz w:val="23"/>
        </w:rPr>
        <w:t>na</w:t>
      </w:r>
      <w:r>
        <w:rPr>
          <w:spacing w:val="-13"/>
          <w:sz w:val="23"/>
        </w:rPr>
        <w:t> </w:t>
      </w:r>
      <w:r>
        <w:rPr>
          <w:sz w:val="23"/>
        </w:rPr>
        <w:t>história</w:t>
      </w:r>
      <w:r>
        <w:rPr>
          <w:spacing w:val="-13"/>
          <w:sz w:val="23"/>
        </w:rPr>
        <w:t> </w:t>
      </w:r>
      <w:r>
        <w:rPr>
          <w:sz w:val="23"/>
        </w:rPr>
        <w:t>clínica</w:t>
      </w:r>
      <w:r>
        <w:rPr>
          <w:spacing w:val="-13"/>
          <w:sz w:val="23"/>
        </w:rPr>
        <w:t> </w:t>
      </w:r>
      <w:r>
        <w:rPr>
          <w:sz w:val="23"/>
        </w:rPr>
        <w:t>e</w:t>
      </w:r>
      <w:r>
        <w:rPr>
          <w:spacing w:val="-13"/>
          <w:sz w:val="23"/>
        </w:rPr>
        <w:t> </w:t>
      </w:r>
      <w:r>
        <w:rPr>
          <w:sz w:val="23"/>
        </w:rPr>
        <w:t>exame</w:t>
      </w:r>
      <w:r>
        <w:rPr>
          <w:spacing w:val="-13"/>
          <w:sz w:val="23"/>
        </w:rPr>
        <w:t> </w:t>
      </w:r>
      <w:r>
        <w:rPr>
          <w:spacing w:val="-2"/>
          <w:sz w:val="23"/>
        </w:rPr>
        <w:t>físico</w:t>
      </w:r>
    </w:p>
    <w:p>
      <w:pPr>
        <w:pStyle w:val="ListParagraph"/>
        <w:numPr>
          <w:ilvl w:val="0"/>
          <w:numId w:val="30"/>
        </w:numPr>
        <w:tabs>
          <w:tab w:pos="397" w:val="left" w:leader="none"/>
        </w:tabs>
        <w:spacing w:line="240" w:lineRule="auto" w:before="72" w:after="0"/>
        <w:ind w:left="397" w:right="0" w:hanging="329"/>
        <w:jc w:val="left"/>
        <w:rPr>
          <w:sz w:val="23"/>
        </w:rPr>
      </w:pPr>
      <w:r>
        <w:rPr>
          <w:sz w:val="23"/>
        </w:rPr>
        <w:t>Capilares</w:t>
      </w:r>
      <w:r>
        <w:rPr>
          <w:spacing w:val="-7"/>
          <w:sz w:val="23"/>
        </w:rPr>
        <w:t> </w:t>
      </w:r>
      <w:r>
        <w:rPr>
          <w:sz w:val="23"/>
        </w:rPr>
        <w:t>ungueais</w:t>
      </w:r>
      <w:r>
        <w:rPr>
          <w:spacing w:val="-6"/>
          <w:sz w:val="23"/>
        </w:rPr>
        <w:t> </w:t>
      </w:r>
      <w:r>
        <w:rPr>
          <w:sz w:val="23"/>
        </w:rPr>
        <w:t>de</w:t>
      </w:r>
      <w:r>
        <w:rPr>
          <w:spacing w:val="-15"/>
          <w:sz w:val="23"/>
        </w:rPr>
        <w:t> </w:t>
      </w:r>
      <w:r>
        <w:rPr>
          <w:sz w:val="23"/>
        </w:rPr>
        <w:t>distribuição</w:t>
      </w:r>
      <w:r>
        <w:rPr>
          <w:spacing w:val="-12"/>
          <w:sz w:val="23"/>
        </w:rPr>
        <w:t> </w:t>
      </w:r>
      <w:r>
        <w:rPr>
          <w:spacing w:val="-2"/>
          <w:sz w:val="23"/>
        </w:rPr>
        <w:t>normal</w:t>
      </w:r>
    </w:p>
    <w:p>
      <w:pPr>
        <w:pStyle w:val="ListParagraph"/>
        <w:numPr>
          <w:ilvl w:val="0"/>
          <w:numId w:val="30"/>
        </w:numPr>
        <w:tabs>
          <w:tab w:pos="397" w:val="left" w:leader="none"/>
        </w:tabs>
        <w:spacing w:line="240" w:lineRule="auto" w:before="56" w:after="0"/>
        <w:ind w:left="397" w:right="0" w:hanging="329"/>
        <w:jc w:val="left"/>
        <w:rPr>
          <w:sz w:val="23"/>
        </w:rPr>
      </w:pPr>
      <w:r>
        <w:rPr>
          <w:spacing w:val="-2"/>
          <w:sz w:val="23"/>
        </w:rPr>
        <w:t>Velocidade</w:t>
      </w:r>
      <w:r>
        <w:rPr>
          <w:spacing w:val="-13"/>
          <w:sz w:val="23"/>
        </w:rPr>
        <w:t> </w:t>
      </w:r>
      <w:r>
        <w:rPr>
          <w:spacing w:val="-2"/>
          <w:sz w:val="23"/>
        </w:rPr>
        <w:t>de</w:t>
      </w:r>
      <w:r>
        <w:rPr>
          <w:spacing w:val="-12"/>
          <w:sz w:val="23"/>
        </w:rPr>
        <w:t> </w:t>
      </w:r>
      <w:r>
        <w:rPr>
          <w:spacing w:val="-2"/>
          <w:sz w:val="23"/>
        </w:rPr>
        <w:t>hemossedimentação</w:t>
      </w:r>
      <w:r>
        <w:rPr>
          <w:spacing w:val="-12"/>
          <w:sz w:val="23"/>
        </w:rPr>
        <w:t> </w:t>
      </w:r>
      <w:r>
        <w:rPr>
          <w:spacing w:val="-2"/>
          <w:sz w:val="23"/>
        </w:rPr>
        <w:t>normal</w:t>
      </w:r>
    </w:p>
    <w:p>
      <w:pPr>
        <w:pStyle w:val="ListParagraph"/>
        <w:numPr>
          <w:ilvl w:val="0"/>
          <w:numId w:val="30"/>
        </w:numPr>
        <w:tabs>
          <w:tab w:pos="397" w:val="left" w:leader="none"/>
        </w:tabs>
        <w:spacing w:line="240" w:lineRule="auto" w:before="56" w:after="0"/>
        <w:ind w:left="397" w:right="0" w:hanging="329"/>
        <w:jc w:val="left"/>
        <w:rPr>
          <w:sz w:val="23"/>
        </w:rPr>
      </w:pPr>
      <w:r>
        <w:rPr>
          <w:sz w:val="23"/>
        </w:rPr>
        <w:t>Testes</w:t>
      </w:r>
      <w:r>
        <w:rPr>
          <w:spacing w:val="-15"/>
          <w:sz w:val="23"/>
        </w:rPr>
        <w:t> </w:t>
      </w:r>
      <w:r>
        <w:rPr>
          <w:sz w:val="23"/>
        </w:rPr>
        <w:t>sorológicos</w:t>
      </w:r>
      <w:r>
        <w:rPr>
          <w:spacing w:val="-9"/>
          <w:sz w:val="23"/>
        </w:rPr>
        <w:t> </w:t>
      </w:r>
      <w:r>
        <w:rPr>
          <w:sz w:val="23"/>
        </w:rPr>
        <w:t>normais,</w:t>
      </w:r>
      <w:r>
        <w:rPr>
          <w:spacing w:val="-8"/>
          <w:sz w:val="23"/>
        </w:rPr>
        <w:t> </w:t>
      </w:r>
      <w:r>
        <w:rPr>
          <w:sz w:val="23"/>
        </w:rPr>
        <w:t>particularmente</w:t>
      </w:r>
      <w:r>
        <w:rPr>
          <w:spacing w:val="-15"/>
          <w:sz w:val="23"/>
        </w:rPr>
        <w:t> </w:t>
      </w:r>
      <w:r>
        <w:rPr>
          <w:sz w:val="23"/>
        </w:rPr>
        <w:t>negativos</w:t>
      </w:r>
      <w:r>
        <w:rPr>
          <w:spacing w:val="-8"/>
          <w:sz w:val="23"/>
        </w:rPr>
        <w:t> </w:t>
      </w:r>
      <w:r>
        <w:rPr>
          <w:sz w:val="23"/>
        </w:rPr>
        <w:t>para</w:t>
      </w:r>
      <w:r>
        <w:rPr>
          <w:spacing w:val="-14"/>
          <w:sz w:val="23"/>
        </w:rPr>
        <w:t> </w:t>
      </w:r>
      <w:r>
        <w:rPr>
          <w:sz w:val="23"/>
        </w:rPr>
        <w:t>anticorpo</w:t>
      </w:r>
      <w:r>
        <w:rPr>
          <w:spacing w:val="-14"/>
          <w:sz w:val="23"/>
        </w:rPr>
        <w:t> </w:t>
      </w:r>
      <w:r>
        <w:rPr>
          <w:spacing w:val="-2"/>
          <w:sz w:val="23"/>
        </w:rPr>
        <w:t>antinuclear.</w:t>
      </w:r>
    </w:p>
    <w:p>
      <w:pPr>
        <w:pStyle w:val="BodyText"/>
        <w:spacing w:before="15"/>
        <w:ind w:left="0" w:firstLine="0"/>
        <w:jc w:val="left"/>
      </w:pPr>
    </w:p>
    <w:p>
      <w:pPr>
        <w:pStyle w:val="BodyText"/>
        <w:spacing w:line="276" w:lineRule="auto" w:before="0"/>
        <w:ind w:right="491"/>
      </w:pPr>
      <w:r>
        <w:rPr/>
        <w:t>Outras características clínicas também</w:t>
      </w:r>
      <w:r>
        <w:rPr>
          <w:spacing w:val="-4"/>
        </w:rPr>
        <w:t> </w:t>
      </w:r>
      <w:r>
        <w:rPr/>
        <w:t>são</w:t>
      </w:r>
      <w:r>
        <w:rPr>
          <w:spacing w:val="-4"/>
        </w:rPr>
        <w:t> </w:t>
      </w:r>
      <w:r>
        <w:rPr/>
        <w:t>importantes na</w:t>
      </w:r>
      <w:r>
        <w:rPr>
          <w:spacing w:val="-6"/>
        </w:rPr>
        <w:t> </w:t>
      </w:r>
      <w:r>
        <w:rPr/>
        <w:t>forma</w:t>
      </w:r>
      <w:r>
        <w:rPr>
          <w:spacing w:val="-6"/>
        </w:rPr>
        <w:t> </w:t>
      </w:r>
      <w:r>
        <w:rPr/>
        <w:t>primária. A</w:t>
      </w:r>
      <w:r>
        <w:rPr>
          <w:spacing w:val="-6"/>
        </w:rPr>
        <w:t> </w:t>
      </w:r>
      <w:r>
        <w:rPr/>
        <w:t>mediana</w:t>
      </w:r>
      <w:r>
        <w:rPr>
          <w:spacing w:val="-6"/>
        </w:rPr>
        <w:t> </w:t>
      </w:r>
      <w:r>
        <w:rPr/>
        <w:t>da</w:t>
      </w:r>
      <w:r>
        <w:rPr>
          <w:spacing w:val="-6"/>
        </w:rPr>
        <w:t> </w:t>
      </w:r>
      <w:r>
        <w:rPr/>
        <w:t>idade</w:t>
      </w:r>
      <w:r>
        <w:rPr>
          <w:spacing w:val="-6"/>
        </w:rPr>
        <w:t> </w:t>
      </w:r>
      <w:r>
        <w:rPr/>
        <w:t>de</w:t>
      </w:r>
      <w:r>
        <w:rPr>
          <w:spacing w:val="-6"/>
        </w:rPr>
        <w:t> </w:t>
      </w:r>
      <w:r>
        <w:rPr/>
        <w:t>aparecimento dos</w:t>
      </w:r>
      <w:r>
        <w:rPr>
          <w:spacing w:val="33"/>
        </w:rPr>
        <w:t> </w:t>
      </w:r>
      <w:r>
        <w:rPr/>
        <w:t>sintomas</w:t>
      </w:r>
      <w:r>
        <w:rPr>
          <w:spacing w:val="33"/>
        </w:rPr>
        <w:t> </w:t>
      </w:r>
      <w:r>
        <w:rPr/>
        <w:t>é</w:t>
      </w:r>
      <w:r>
        <w:rPr>
          <w:spacing w:val="21"/>
        </w:rPr>
        <w:t> </w:t>
      </w:r>
      <w:r>
        <w:rPr/>
        <w:t>14</w:t>
      </w:r>
      <w:r>
        <w:rPr>
          <w:spacing w:val="24"/>
        </w:rPr>
        <w:t> </w:t>
      </w:r>
      <w:r>
        <w:rPr/>
        <w:t>anos</w:t>
      </w:r>
      <w:r>
        <w:rPr>
          <w:spacing w:val="33"/>
        </w:rPr>
        <w:t> </w:t>
      </w:r>
      <w:r>
        <w:rPr/>
        <w:t>(somente</w:t>
      </w:r>
      <w:r>
        <w:rPr>
          <w:spacing w:val="21"/>
        </w:rPr>
        <w:t> </w:t>
      </w:r>
      <w:r>
        <w:rPr/>
        <w:t>em</w:t>
      </w:r>
      <w:r>
        <w:rPr>
          <w:spacing w:val="24"/>
        </w:rPr>
        <w:t> </w:t>
      </w:r>
      <w:r>
        <w:rPr/>
        <w:t>27%</w:t>
      </w:r>
      <w:r>
        <w:rPr>
          <w:spacing w:val="27"/>
        </w:rPr>
        <w:t> </w:t>
      </w:r>
      <w:r>
        <w:rPr/>
        <w:t>dos</w:t>
      </w:r>
      <w:r>
        <w:rPr>
          <w:spacing w:val="33"/>
        </w:rPr>
        <w:t> </w:t>
      </w:r>
      <w:r>
        <w:rPr/>
        <w:t>pacientes</w:t>
      </w:r>
      <w:r>
        <w:rPr>
          <w:spacing w:val="33"/>
        </w:rPr>
        <w:t> </w:t>
      </w:r>
      <w:r>
        <w:rPr/>
        <w:t>os</w:t>
      </w:r>
      <w:r>
        <w:rPr>
          <w:spacing w:val="33"/>
        </w:rPr>
        <w:t> </w:t>
      </w:r>
      <w:r>
        <w:rPr/>
        <w:t>sintomas</w:t>
      </w:r>
      <w:r>
        <w:rPr>
          <w:spacing w:val="33"/>
        </w:rPr>
        <w:t> </w:t>
      </w:r>
      <w:r>
        <w:rPr/>
        <w:t>têm</w:t>
      </w:r>
      <w:r>
        <w:rPr>
          <w:spacing w:val="24"/>
        </w:rPr>
        <w:t> </w:t>
      </w:r>
      <w:r>
        <w:rPr/>
        <w:t>início</w:t>
      </w:r>
      <w:r>
        <w:rPr>
          <w:spacing w:val="24"/>
        </w:rPr>
        <w:t> </w:t>
      </w:r>
      <w:r>
        <w:rPr/>
        <w:t>após</w:t>
      </w:r>
      <w:r>
        <w:rPr>
          <w:spacing w:val="33"/>
        </w:rPr>
        <w:t> </w:t>
      </w:r>
      <w:r>
        <w:rPr/>
        <w:t>os</w:t>
      </w:r>
      <w:r>
        <w:rPr>
          <w:spacing w:val="33"/>
        </w:rPr>
        <w:t> </w:t>
      </w:r>
      <w:r>
        <w:rPr/>
        <w:t>40</w:t>
      </w:r>
      <w:r>
        <w:rPr>
          <w:spacing w:val="24"/>
        </w:rPr>
        <w:t> </w:t>
      </w:r>
      <w:r>
        <w:rPr/>
        <w:t>anos),</w:t>
      </w:r>
      <w:r>
        <w:rPr>
          <w:spacing w:val="33"/>
        </w:rPr>
        <w:t> </w:t>
      </w:r>
      <w:r>
        <w:rPr/>
        <w:t>os</w:t>
      </w:r>
      <w:r>
        <w:rPr>
          <w:spacing w:val="33"/>
        </w:rPr>
        <w:t> </w:t>
      </w:r>
      <w:r>
        <w:rPr/>
        <w:t>sintomas</w:t>
      </w:r>
    </w:p>
    <w:p>
      <w:pPr>
        <w:pStyle w:val="BodyText"/>
        <w:spacing w:after="0" w:line="276" w:lineRule="auto"/>
        <w:sectPr>
          <w:pgSz w:w="11900" w:h="16840"/>
          <w:pgMar w:top="180" w:bottom="280" w:left="566" w:right="141"/>
        </w:sectPr>
      </w:pPr>
    </w:p>
    <w:p>
      <w:pPr>
        <w:pStyle w:val="BodyText"/>
        <w:spacing w:line="276" w:lineRule="auto" w:before="71"/>
        <w:ind w:right="504" w:firstLine="0"/>
      </w:pPr>
      <w:r>
        <w:rPr/>
        <w:t>geralmente são leves (somente 12% de crises incapacitantes) e 25% dos indivíduos têm história familiar positiva. No</w:t>
      </w:r>
      <w:r>
        <w:rPr>
          <w:spacing w:val="-8"/>
        </w:rPr>
        <w:t> </w:t>
      </w:r>
      <w:r>
        <w:rPr/>
        <w:t>seguimento</w:t>
      </w:r>
      <w:r>
        <w:rPr>
          <w:spacing w:val="-8"/>
        </w:rPr>
        <w:t> </w:t>
      </w:r>
      <w:r>
        <w:rPr/>
        <w:t>dos pacientes que</w:t>
      </w:r>
      <w:r>
        <w:rPr>
          <w:spacing w:val="-11"/>
        </w:rPr>
        <w:t> </w:t>
      </w:r>
      <w:r>
        <w:rPr/>
        <w:t>se</w:t>
      </w:r>
      <w:r>
        <w:rPr>
          <w:spacing w:val="-11"/>
        </w:rPr>
        <w:t> </w:t>
      </w:r>
      <w:r>
        <w:rPr/>
        <w:t>enquadram</w:t>
      </w:r>
      <w:r>
        <w:rPr>
          <w:spacing w:val="-8"/>
        </w:rPr>
        <w:t> </w:t>
      </w:r>
      <w:r>
        <w:rPr/>
        <w:t>corretamente</w:t>
      </w:r>
      <w:r>
        <w:rPr>
          <w:spacing w:val="-11"/>
        </w:rPr>
        <w:t> </w:t>
      </w:r>
      <w:r>
        <w:rPr/>
        <w:t>nos critérios do</w:t>
      </w:r>
      <w:r>
        <w:rPr>
          <w:spacing w:val="-8"/>
        </w:rPr>
        <w:t> </w:t>
      </w:r>
      <w:r>
        <w:rPr/>
        <w:t>fenômeno</w:t>
      </w:r>
      <w:r>
        <w:rPr>
          <w:spacing w:val="-8"/>
        </w:rPr>
        <w:t> </w:t>
      </w:r>
      <w:r>
        <w:rPr/>
        <w:t>primário, somente</w:t>
      </w:r>
      <w:r>
        <w:rPr>
          <w:spacing w:val="-11"/>
        </w:rPr>
        <w:t> </w:t>
      </w:r>
      <w:r>
        <w:rPr/>
        <w:t>em</w:t>
      </w:r>
      <w:r>
        <w:rPr>
          <w:spacing w:val="-8"/>
        </w:rPr>
        <w:t> </w:t>
      </w:r>
      <w:r>
        <w:rPr/>
        <w:t>12% aparece uma doença após um período de 2 anos.</w:t>
      </w:r>
    </w:p>
    <w:p>
      <w:pPr>
        <w:pStyle w:val="BodyText"/>
        <w:spacing w:before="80"/>
        <w:ind w:left="414" w:firstLine="0"/>
      </w:pPr>
      <w:r>
        <w:rPr/>
        <w:t>Os</w:t>
      </w:r>
      <w:r>
        <w:rPr>
          <w:spacing w:val="-5"/>
        </w:rPr>
        <w:t> </w:t>
      </w:r>
      <w:r>
        <w:rPr/>
        <w:t>achados</w:t>
      </w:r>
      <w:r>
        <w:rPr>
          <w:spacing w:val="-3"/>
        </w:rPr>
        <w:t> </w:t>
      </w:r>
      <w:r>
        <w:rPr/>
        <w:t>que</w:t>
      </w:r>
      <w:r>
        <w:rPr>
          <w:spacing w:val="-12"/>
        </w:rPr>
        <w:t> </w:t>
      </w:r>
      <w:r>
        <w:rPr/>
        <w:t>sugerem</w:t>
      </w:r>
      <w:r>
        <w:rPr>
          <w:spacing w:val="-10"/>
        </w:rPr>
        <w:t> </w:t>
      </w:r>
      <w:r>
        <w:rPr/>
        <w:t>a</w:t>
      </w:r>
      <w:r>
        <w:rPr>
          <w:spacing w:val="-12"/>
        </w:rPr>
        <w:t> </w:t>
      </w:r>
      <w:r>
        <w:rPr/>
        <w:t>forma</w:t>
      </w:r>
      <w:r>
        <w:rPr>
          <w:spacing w:val="-13"/>
        </w:rPr>
        <w:t> </w:t>
      </w:r>
      <w:r>
        <w:rPr/>
        <w:t>secundária</w:t>
      </w:r>
      <w:r>
        <w:rPr>
          <w:spacing w:val="-12"/>
        </w:rPr>
        <w:t> </w:t>
      </w:r>
      <w:r>
        <w:rPr/>
        <w:t>do</w:t>
      </w:r>
      <w:r>
        <w:rPr>
          <w:spacing w:val="-10"/>
        </w:rPr>
        <w:t> </w:t>
      </w:r>
      <w:r>
        <w:rPr/>
        <w:t>fenômeno</w:t>
      </w:r>
      <w:r>
        <w:rPr>
          <w:spacing w:val="-9"/>
        </w:rPr>
        <w:t> </w:t>
      </w:r>
      <w:r>
        <w:rPr/>
        <w:t>de</w:t>
      </w:r>
      <w:r>
        <w:rPr>
          <w:spacing w:val="-13"/>
        </w:rPr>
        <w:t> </w:t>
      </w:r>
      <w:r>
        <w:rPr/>
        <w:t>Raynaud</w:t>
      </w:r>
      <w:r>
        <w:rPr>
          <w:spacing w:val="-9"/>
        </w:rPr>
        <w:t> </w:t>
      </w:r>
      <w:r>
        <w:rPr>
          <w:spacing w:val="-2"/>
        </w:rPr>
        <w:t>são:</w:t>
      </w:r>
      <w:r>
        <w:rPr>
          <w:spacing w:val="-2"/>
          <w:vertAlign w:val="superscript"/>
        </w:rPr>
        <w:t>1</w:t>
      </w:r>
    </w:p>
    <w:p>
      <w:pPr>
        <w:pStyle w:val="ListParagraph"/>
        <w:numPr>
          <w:ilvl w:val="0"/>
          <w:numId w:val="30"/>
        </w:numPr>
        <w:tabs>
          <w:tab w:pos="397" w:val="left" w:leader="none"/>
        </w:tabs>
        <w:spacing w:line="240" w:lineRule="auto" w:before="200" w:after="0"/>
        <w:ind w:left="397" w:right="0" w:hanging="329"/>
        <w:jc w:val="left"/>
        <w:rPr>
          <w:sz w:val="23"/>
        </w:rPr>
      </w:pPr>
      <w:r>
        <w:rPr>
          <w:sz w:val="23"/>
        </w:rPr>
        <w:t>Idade</w:t>
      </w:r>
      <w:r>
        <w:rPr>
          <w:spacing w:val="-9"/>
          <w:sz w:val="23"/>
        </w:rPr>
        <w:t> </w:t>
      </w:r>
      <w:r>
        <w:rPr>
          <w:sz w:val="23"/>
        </w:rPr>
        <w:t>superior</w:t>
      </w:r>
      <w:r>
        <w:rPr>
          <w:spacing w:val="2"/>
          <w:sz w:val="23"/>
        </w:rPr>
        <w:t> </w:t>
      </w:r>
      <w:r>
        <w:rPr>
          <w:sz w:val="23"/>
        </w:rPr>
        <w:t>a</w:t>
      </w:r>
      <w:r>
        <w:rPr>
          <w:spacing w:val="-6"/>
          <w:sz w:val="23"/>
        </w:rPr>
        <w:t> </w:t>
      </w:r>
      <w:r>
        <w:rPr>
          <w:sz w:val="23"/>
        </w:rPr>
        <w:t>30</w:t>
      </w:r>
      <w:r>
        <w:rPr>
          <w:spacing w:val="-3"/>
          <w:sz w:val="23"/>
        </w:rPr>
        <w:t> </w:t>
      </w:r>
      <w:r>
        <w:rPr>
          <w:spacing w:val="-4"/>
          <w:sz w:val="23"/>
        </w:rPr>
        <w:t>anos</w:t>
      </w:r>
    </w:p>
    <w:p>
      <w:pPr>
        <w:pStyle w:val="ListParagraph"/>
        <w:numPr>
          <w:ilvl w:val="0"/>
          <w:numId w:val="30"/>
        </w:numPr>
        <w:tabs>
          <w:tab w:pos="397" w:val="left" w:leader="none"/>
        </w:tabs>
        <w:spacing w:line="240" w:lineRule="auto" w:before="56" w:after="0"/>
        <w:ind w:left="397" w:right="0" w:hanging="329"/>
        <w:jc w:val="left"/>
        <w:rPr>
          <w:sz w:val="23"/>
        </w:rPr>
      </w:pPr>
      <w:r>
        <w:rPr>
          <w:sz w:val="23"/>
        </w:rPr>
        <w:t>Episódios</w:t>
      </w:r>
      <w:r>
        <w:rPr>
          <w:spacing w:val="3"/>
          <w:sz w:val="23"/>
        </w:rPr>
        <w:t> </w:t>
      </w:r>
      <w:r>
        <w:rPr>
          <w:sz w:val="23"/>
        </w:rPr>
        <w:t>intensos,</w:t>
      </w:r>
      <w:r>
        <w:rPr>
          <w:spacing w:val="3"/>
          <w:sz w:val="23"/>
        </w:rPr>
        <w:t> </w:t>
      </w:r>
      <w:r>
        <w:rPr>
          <w:sz w:val="23"/>
        </w:rPr>
        <w:t>muito</w:t>
      </w:r>
      <w:r>
        <w:rPr>
          <w:spacing w:val="-5"/>
          <w:sz w:val="23"/>
        </w:rPr>
        <w:t> </w:t>
      </w:r>
      <w:r>
        <w:rPr>
          <w:sz w:val="23"/>
        </w:rPr>
        <w:t>dolorosos</w:t>
      </w:r>
      <w:r>
        <w:rPr>
          <w:spacing w:val="4"/>
          <w:sz w:val="23"/>
        </w:rPr>
        <w:t> </w:t>
      </w:r>
      <w:r>
        <w:rPr>
          <w:sz w:val="23"/>
        </w:rPr>
        <w:t>e</w:t>
      </w:r>
      <w:r>
        <w:rPr>
          <w:spacing w:val="-8"/>
          <w:sz w:val="23"/>
        </w:rPr>
        <w:t> </w:t>
      </w:r>
      <w:r>
        <w:rPr>
          <w:sz w:val="23"/>
        </w:rPr>
        <w:t>associados</w:t>
      </w:r>
      <w:r>
        <w:rPr>
          <w:spacing w:val="4"/>
          <w:sz w:val="23"/>
        </w:rPr>
        <w:t> </w:t>
      </w:r>
      <w:r>
        <w:rPr>
          <w:sz w:val="23"/>
        </w:rPr>
        <w:t>a</w:t>
      </w:r>
      <w:r>
        <w:rPr>
          <w:spacing w:val="-8"/>
          <w:sz w:val="23"/>
        </w:rPr>
        <w:t> </w:t>
      </w:r>
      <w:r>
        <w:rPr>
          <w:sz w:val="23"/>
        </w:rPr>
        <w:t>lesões</w:t>
      </w:r>
      <w:r>
        <w:rPr>
          <w:spacing w:val="4"/>
          <w:sz w:val="23"/>
        </w:rPr>
        <w:t> </w:t>
      </w:r>
      <w:r>
        <w:rPr>
          <w:spacing w:val="-2"/>
          <w:sz w:val="23"/>
        </w:rPr>
        <w:t>digitais</w:t>
      </w:r>
    </w:p>
    <w:p>
      <w:pPr>
        <w:pStyle w:val="ListParagraph"/>
        <w:numPr>
          <w:ilvl w:val="0"/>
          <w:numId w:val="30"/>
        </w:numPr>
        <w:tabs>
          <w:tab w:pos="397" w:val="left" w:leader="none"/>
        </w:tabs>
        <w:spacing w:line="240" w:lineRule="auto" w:before="72" w:after="0"/>
        <w:ind w:left="397" w:right="0" w:hanging="329"/>
        <w:jc w:val="left"/>
        <w:rPr>
          <w:sz w:val="23"/>
        </w:rPr>
      </w:pPr>
      <w:r>
        <w:rPr>
          <w:spacing w:val="-2"/>
          <w:sz w:val="23"/>
        </w:rPr>
        <w:t>Manifestações</w:t>
      </w:r>
      <w:r>
        <w:rPr>
          <w:spacing w:val="5"/>
          <w:sz w:val="23"/>
        </w:rPr>
        <w:t> </w:t>
      </w:r>
      <w:r>
        <w:rPr>
          <w:spacing w:val="-2"/>
          <w:sz w:val="23"/>
        </w:rPr>
        <w:t>clínicas</w:t>
      </w:r>
      <w:r>
        <w:rPr>
          <w:spacing w:val="7"/>
          <w:sz w:val="23"/>
        </w:rPr>
        <w:t> </w:t>
      </w:r>
      <w:r>
        <w:rPr>
          <w:spacing w:val="-2"/>
          <w:sz w:val="23"/>
        </w:rPr>
        <w:t>que</w:t>
      </w:r>
      <w:r>
        <w:rPr>
          <w:spacing w:val="-5"/>
          <w:sz w:val="23"/>
        </w:rPr>
        <w:t> </w:t>
      </w:r>
      <w:r>
        <w:rPr>
          <w:spacing w:val="-2"/>
          <w:sz w:val="23"/>
        </w:rPr>
        <w:t>sugerem</w:t>
      </w:r>
      <w:r>
        <w:rPr>
          <w:spacing w:val="-1"/>
          <w:sz w:val="23"/>
        </w:rPr>
        <w:t> </w:t>
      </w:r>
      <w:r>
        <w:rPr>
          <w:spacing w:val="-2"/>
          <w:sz w:val="23"/>
        </w:rPr>
        <w:t>alguma</w:t>
      </w:r>
      <w:r>
        <w:rPr>
          <w:spacing w:val="-4"/>
          <w:sz w:val="23"/>
        </w:rPr>
        <w:t> </w:t>
      </w:r>
      <w:r>
        <w:rPr>
          <w:spacing w:val="-2"/>
          <w:sz w:val="23"/>
        </w:rPr>
        <w:t>doença</w:t>
      </w:r>
      <w:r>
        <w:rPr>
          <w:spacing w:val="-4"/>
          <w:sz w:val="23"/>
        </w:rPr>
        <w:t> </w:t>
      </w:r>
      <w:r>
        <w:rPr>
          <w:spacing w:val="-2"/>
          <w:sz w:val="23"/>
        </w:rPr>
        <w:t>do tecido</w:t>
      </w:r>
      <w:r>
        <w:rPr>
          <w:spacing w:val="-1"/>
          <w:sz w:val="23"/>
        </w:rPr>
        <w:t> </w:t>
      </w:r>
      <w:r>
        <w:rPr>
          <w:spacing w:val="-2"/>
          <w:sz w:val="23"/>
        </w:rPr>
        <w:t>conectivo</w:t>
      </w:r>
      <w:r>
        <w:rPr>
          <w:spacing w:val="-1"/>
          <w:sz w:val="23"/>
        </w:rPr>
        <w:t> </w:t>
      </w:r>
      <w:r>
        <w:rPr>
          <w:spacing w:val="-2"/>
          <w:sz w:val="23"/>
        </w:rPr>
        <w:t>ou doença</w:t>
      </w:r>
      <w:r>
        <w:rPr>
          <w:spacing w:val="-4"/>
          <w:sz w:val="23"/>
        </w:rPr>
        <w:t> </w:t>
      </w:r>
      <w:r>
        <w:rPr>
          <w:spacing w:val="-2"/>
          <w:sz w:val="23"/>
        </w:rPr>
        <w:t>obstrutiva</w:t>
      </w:r>
      <w:r>
        <w:rPr>
          <w:spacing w:val="-4"/>
          <w:sz w:val="23"/>
        </w:rPr>
        <w:t> </w:t>
      </w:r>
      <w:r>
        <w:rPr>
          <w:spacing w:val="-2"/>
          <w:sz w:val="23"/>
        </w:rPr>
        <w:t>arterial</w:t>
      </w:r>
      <w:r>
        <w:rPr>
          <w:spacing w:val="2"/>
          <w:sz w:val="23"/>
        </w:rPr>
        <w:t> </w:t>
      </w:r>
      <w:r>
        <w:rPr>
          <w:spacing w:val="-2"/>
          <w:sz w:val="23"/>
        </w:rPr>
        <w:t>proximal</w:t>
      </w:r>
    </w:p>
    <w:p>
      <w:pPr>
        <w:pStyle w:val="ListParagraph"/>
        <w:numPr>
          <w:ilvl w:val="0"/>
          <w:numId w:val="30"/>
        </w:numPr>
        <w:tabs>
          <w:tab w:pos="397" w:val="left" w:leader="none"/>
        </w:tabs>
        <w:spacing w:line="240" w:lineRule="auto" w:before="56" w:after="0"/>
        <w:ind w:left="397" w:right="0" w:hanging="329"/>
        <w:jc w:val="left"/>
        <w:rPr>
          <w:sz w:val="23"/>
        </w:rPr>
      </w:pPr>
      <w:r>
        <w:rPr>
          <w:sz w:val="23"/>
        </w:rPr>
        <w:t>Capilaroscopia</w:t>
      </w:r>
      <w:r>
        <w:rPr>
          <w:spacing w:val="-14"/>
          <w:sz w:val="23"/>
        </w:rPr>
        <w:t> </w:t>
      </w:r>
      <w:r>
        <w:rPr>
          <w:sz w:val="23"/>
        </w:rPr>
        <w:t>anormal</w:t>
      </w:r>
      <w:r>
        <w:rPr>
          <w:spacing w:val="-8"/>
          <w:sz w:val="23"/>
        </w:rPr>
        <w:t> </w:t>
      </w:r>
      <w:r>
        <w:rPr>
          <w:sz w:val="23"/>
        </w:rPr>
        <w:t>no</w:t>
      </w:r>
      <w:r>
        <w:rPr>
          <w:spacing w:val="-11"/>
          <w:sz w:val="23"/>
        </w:rPr>
        <w:t> </w:t>
      </w:r>
      <w:r>
        <w:rPr>
          <w:sz w:val="23"/>
        </w:rPr>
        <w:t>leito</w:t>
      </w:r>
      <w:r>
        <w:rPr>
          <w:spacing w:val="-11"/>
          <w:sz w:val="23"/>
        </w:rPr>
        <w:t> </w:t>
      </w:r>
      <w:r>
        <w:rPr>
          <w:spacing w:val="-2"/>
          <w:sz w:val="23"/>
        </w:rPr>
        <w:t>ungueal</w:t>
      </w:r>
    </w:p>
    <w:p>
      <w:pPr>
        <w:pStyle w:val="ListParagraph"/>
        <w:numPr>
          <w:ilvl w:val="0"/>
          <w:numId w:val="30"/>
        </w:numPr>
        <w:tabs>
          <w:tab w:pos="397" w:val="left" w:leader="none"/>
        </w:tabs>
        <w:spacing w:line="240" w:lineRule="auto" w:before="56" w:after="0"/>
        <w:ind w:left="397" w:right="0" w:hanging="329"/>
        <w:jc w:val="left"/>
        <w:rPr>
          <w:sz w:val="23"/>
        </w:rPr>
      </w:pPr>
      <w:r>
        <w:rPr>
          <w:spacing w:val="-2"/>
          <w:sz w:val="23"/>
        </w:rPr>
        <w:t>Pesquisa sorológica</w:t>
      </w:r>
      <w:r>
        <w:rPr>
          <w:sz w:val="23"/>
        </w:rPr>
        <w:t> </w:t>
      </w:r>
      <w:r>
        <w:rPr>
          <w:spacing w:val="-2"/>
          <w:sz w:val="23"/>
        </w:rPr>
        <w:t>positiva</w:t>
      </w:r>
      <w:r>
        <w:rPr>
          <w:spacing w:val="1"/>
          <w:sz w:val="23"/>
        </w:rPr>
        <w:t> </w:t>
      </w:r>
      <w:r>
        <w:rPr>
          <w:spacing w:val="-2"/>
          <w:sz w:val="23"/>
        </w:rPr>
        <w:t>(anticorpo</w:t>
      </w:r>
      <w:r>
        <w:rPr>
          <w:spacing w:val="3"/>
          <w:sz w:val="23"/>
        </w:rPr>
        <w:t> </w:t>
      </w:r>
      <w:r>
        <w:rPr>
          <w:spacing w:val="-2"/>
          <w:sz w:val="23"/>
        </w:rPr>
        <w:t>antinuclear,</w:t>
      </w:r>
      <w:r>
        <w:rPr>
          <w:spacing w:val="13"/>
          <w:sz w:val="23"/>
        </w:rPr>
        <w:t> </w:t>
      </w:r>
      <w:r>
        <w:rPr>
          <w:spacing w:val="-2"/>
          <w:sz w:val="23"/>
        </w:rPr>
        <w:t>fator</w:t>
      </w:r>
      <w:r>
        <w:rPr>
          <w:spacing w:val="9"/>
          <w:sz w:val="23"/>
        </w:rPr>
        <w:t> </w:t>
      </w:r>
      <w:r>
        <w:rPr>
          <w:spacing w:val="-2"/>
          <w:sz w:val="23"/>
        </w:rPr>
        <w:t>reumatoide,</w:t>
      </w:r>
      <w:r>
        <w:rPr>
          <w:spacing w:val="13"/>
          <w:sz w:val="23"/>
        </w:rPr>
        <w:t> </w:t>
      </w:r>
      <w:r>
        <w:rPr>
          <w:spacing w:val="-2"/>
          <w:sz w:val="23"/>
        </w:rPr>
        <w:t>esclerodermia</w:t>
      </w:r>
      <w:r>
        <w:rPr>
          <w:spacing w:val="1"/>
          <w:sz w:val="23"/>
        </w:rPr>
        <w:t> </w:t>
      </w:r>
      <w:r>
        <w:rPr>
          <w:spacing w:val="-2"/>
          <w:sz w:val="23"/>
        </w:rPr>
        <w:t>etc.).</w:t>
      </w:r>
    </w:p>
    <w:p>
      <w:pPr>
        <w:pStyle w:val="BodyText"/>
        <w:spacing w:before="15"/>
        <w:ind w:left="0" w:firstLine="0"/>
        <w:jc w:val="left"/>
      </w:pPr>
    </w:p>
    <w:p>
      <w:pPr>
        <w:pStyle w:val="BodyText"/>
        <w:spacing w:line="276" w:lineRule="auto" w:before="0"/>
        <w:ind w:right="497"/>
      </w:pPr>
      <w:r>
        <w:rPr/>
        <w:t>As manifestações clínicas são</w:t>
      </w:r>
      <w:r>
        <w:rPr>
          <w:spacing w:val="-2"/>
        </w:rPr>
        <w:t> </w:t>
      </w:r>
      <w:r>
        <w:rPr/>
        <w:t>detectadas por meio</w:t>
      </w:r>
      <w:r>
        <w:rPr>
          <w:spacing w:val="-2"/>
        </w:rPr>
        <w:t> </w:t>
      </w:r>
      <w:r>
        <w:rPr/>
        <w:t>de</w:t>
      </w:r>
      <w:r>
        <w:rPr>
          <w:spacing w:val="-4"/>
        </w:rPr>
        <w:t> </w:t>
      </w:r>
      <w:r>
        <w:rPr/>
        <w:t>detalhada</w:t>
      </w:r>
      <w:r>
        <w:rPr>
          <w:spacing w:val="-4"/>
        </w:rPr>
        <w:t> </w:t>
      </w:r>
      <w:r>
        <w:rPr/>
        <w:t>história</w:t>
      </w:r>
      <w:r>
        <w:rPr>
          <w:spacing w:val="-4"/>
        </w:rPr>
        <w:t> </w:t>
      </w:r>
      <w:r>
        <w:rPr/>
        <w:t>pesquisando</w:t>
      </w:r>
      <w:r>
        <w:rPr>
          <w:spacing w:val="-2"/>
        </w:rPr>
        <w:t> </w:t>
      </w:r>
      <w:r>
        <w:rPr/>
        <w:t>características de</w:t>
      </w:r>
      <w:r>
        <w:rPr>
          <w:spacing w:val="-4"/>
        </w:rPr>
        <w:t> </w:t>
      </w:r>
      <w:r>
        <w:rPr/>
        <w:t>doenças do tecido conectivo (artralgias, mialgias, febre, membranas secas, erupções cutâneas, anormalidades cardiopulmonares). Exposição a fármacos, agentes químicos, atividades profissionais (vibração constante nos membros superiores), quadros desencadeados por determinada postura (síndrome do desfiladeiro torácico), neuropatias (síndrome do carpo), hipotireoidismo, neoplasias também devem ser pesquisados. Arteriosclerose e compressão arterial proximal podem desencadear o fenômeno. Claudicação intermitente</w:t>
      </w:r>
      <w:r>
        <w:rPr>
          <w:spacing w:val="-1"/>
        </w:rPr>
        <w:t> </w:t>
      </w:r>
      <w:r>
        <w:rPr/>
        <w:t>do membro superior pode estar associada a outras manifestações da arteriosclerose em outros territórios, assim como a fatores de risco conhecidos (tabagismo, hipertensão arterial, diabetes, dislipidemia, sexo masculino, idade avançada), a sopro na região supraclavicular, a tumor na fossa supraclavicular (aneurisma, costela cervical, primeira costela torácica anômala) e necroses digitais sugerindo embolização (</w:t>
      </w:r>
      <w:r>
        <w:rPr>
          <w:color w:val="505050"/>
        </w:rPr>
        <w:t>Figura 59.21</w:t>
      </w:r>
      <w:r>
        <w:rPr/>
        <w:t>).</w:t>
      </w:r>
    </w:p>
    <w:p>
      <w:pPr>
        <w:pStyle w:val="BodyText"/>
        <w:spacing w:line="276" w:lineRule="auto" w:before="50"/>
        <w:ind w:right="491"/>
      </w:pPr>
      <w:r>
        <w:rPr/>
        <w:t>O</w:t>
      </w:r>
      <w:r>
        <w:rPr>
          <w:spacing w:val="-7"/>
        </w:rPr>
        <w:t> </w:t>
      </w:r>
      <w:r>
        <w:rPr/>
        <w:t>tratamento</w:t>
      </w:r>
      <w:r>
        <w:rPr>
          <w:spacing w:val="-4"/>
        </w:rPr>
        <w:t> </w:t>
      </w:r>
      <w:r>
        <w:rPr/>
        <w:t>inicial</w:t>
      </w:r>
      <w:r>
        <w:rPr>
          <w:spacing w:val="-1"/>
        </w:rPr>
        <w:t> </w:t>
      </w:r>
      <w:r>
        <w:rPr/>
        <w:t>visa</w:t>
      </w:r>
      <w:r>
        <w:rPr>
          <w:spacing w:val="-7"/>
        </w:rPr>
        <w:t> </w:t>
      </w:r>
      <w:r>
        <w:rPr/>
        <w:t>abordar a</w:t>
      </w:r>
      <w:r>
        <w:rPr>
          <w:spacing w:val="-7"/>
        </w:rPr>
        <w:t> </w:t>
      </w:r>
      <w:r>
        <w:rPr/>
        <w:t>causa</w:t>
      </w:r>
      <w:r>
        <w:rPr>
          <w:spacing w:val="-7"/>
        </w:rPr>
        <w:t> </w:t>
      </w:r>
      <w:r>
        <w:rPr/>
        <w:t>do</w:t>
      </w:r>
      <w:r>
        <w:rPr>
          <w:spacing w:val="-4"/>
        </w:rPr>
        <w:t> </w:t>
      </w:r>
      <w:r>
        <w:rPr/>
        <w:t>fenômeno, se</w:t>
      </w:r>
      <w:r>
        <w:rPr>
          <w:spacing w:val="-7"/>
        </w:rPr>
        <w:t> </w:t>
      </w:r>
      <w:r>
        <w:rPr/>
        <w:t>ela</w:t>
      </w:r>
      <w:r>
        <w:rPr>
          <w:spacing w:val="-7"/>
        </w:rPr>
        <w:t> </w:t>
      </w:r>
      <w:r>
        <w:rPr/>
        <w:t>existir. De</w:t>
      </w:r>
      <w:r>
        <w:rPr>
          <w:spacing w:val="-7"/>
        </w:rPr>
        <w:t> </w:t>
      </w:r>
      <w:r>
        <w:rPr/>
        <w:t>modo</w:t>
      </w:r>
      <w:r>
        <w:rPr>
          <w:spacing w:val="-4"/>
        </w:rPr>
        <w:t> </w:t>
      </w:r>
      <w:r>
        <w:rPr/>
        <w:t>geral, deve-se</w:t>
      </w:r>
      <w:r>
        <w:rPr>
          <w:spacing w:val="-7"/>
        </w:rPr>
        <w:t> </w:t>
      </w:r>
      <w:r>
        <w:rPr/>
        <w:t>evitar a</w:t>
      </w:r>
      <w:r>
        <w:rPr>
          <w:spacing w:val="-7"/>
        </w:rPr>
        <w:t> </w:t>
      </w:r>
      <w:r>
        <w:rPr/>
        <w:t>exposição ao frio e proteger as extremidades. Também de difícil execução são as medidas necessárias para evitar as crises desencadeadas por estresse emocional. O uso de medicamentos simpaticomiméticos também deve ser evitado, em especial</w:t>
      </w:r>
      <w:r>
        <w:rPr>
          <w:spacing w:val="-2"/>
        </w:rPr>
        <w:t> </w:t>
      </w:r>
      <w:r>
        <w:rPr/>
        <w:t>os derivados da</w:t>
      </w:r>
      <w:r>
        <w:rPr>
          <w:spacing w:val="-8"/>
        </w:rPr>
        <w:t> </w:t>
      </w:r>
      <w:r>
        <w:rPr/>
        <w:t>ergotamina</w:t>
      </w:r>
      <w:r>
        <w:rPr>
          <w:spacing w:val="-8"/>
        </w:rPr>
        <w:t> </w:t>
      </w:r>
      <w:r>
        <w:rPr/>
        <w:t>que</w:t>
      </w:r>
      <w:r>
        <w:rPr>
          <w:spacing w:val="-8"/>
        </w:rPr>
        <w:t> </w:t>
      </w:r>
      <w:r>
        <w:rPr/>
        <w:t>são</w:t>
      </w:r>
      <w:r>
        <w:rPr>
          <w:spacing w:val="-5"/>
        </w:rPr>
        <w:t> </w:t>
      </w:r>
      <w:r>
        <w:rPr/>
        <w:t>muito</w:t>
      </w:r>
      <w:r>
        <w:rPr>
          <w:spacing w:val="-5"/>
        </w:rPr>
        <w:t> </w:t>
      </w:r>
      <w:r>
        <w:rPr/>
        <w:t>comuns. O</w:t>
      </w:r>
      <w:r>
        <w:rPr>
          <w:spacing w:val="-8"/>
        </w:rPr>
        <w:t> </w:t>
      </w:r>
      <w:r>
        <w:rPr/>
        <w:t>tabagismo</w:t>
      </w:r>
      <w:r>
        <w:rPr>
          <w:spacing w:val="-5"/>
        </w:rPr>
        <w:t> </w:t>
      </w:r>
      <w:r>
        <w:rPr/>
        <w:t>tende</w:t>
      </w:r>
      <w:r>
        <w:rPr>
          <w:spacing w:val="-8"/>
        </w:rPr>
        <w:t> </w:t>
      </w:r>
      <w:r>
        <w:rPr/>
        <w:t>a</w:t>
      </w:r>
      <w:r>
        <w:rPr>
          <w:spacing w:val="-8"/>
        </w:rPr>
        <w:t> </w:t>
      </w:r>
      <w:r>
        <w:rPr/>
        <w:t>piorar as crises e</w:t>
      </w:r>
      <w:r>
        <w:rPr>
          <w:spacing w:val="-8"/>
        </w:rPr>
        <w:t> </w:t>
      </w:r>
      <w:r>
        <w:rPr/>
        <w:t>também</w:t>
      </w:r>
      <w:r>
        <w:rPr>
          <w:spacing w:val="-5"/>
        </w:rPr>
        <w:t> </w:t>
      </w:r>
      <w:r>
        <w:rPr/>
        <w:t>deve</w:t>
      </w:r>
      <w:r>
        <w:rPr>
          <w:spacing w:val="-8"/>
        </w:rPr>
        <w:t> </w:t>
      </w:r>
      <w:r>
        <w:rPr/>
        <w:t>ser </w:t>
      </w:r>
      <w:r>
        <w:rPr>
          <w:spacing w:val="-2"/>
        </w:rPr>
        <w:t>inibido.</w:t>
      </w:r>
    </w:p>
    <w:p>
      <w:pPr>
        <w:pStyle w:val="BodyText"/>
        <w:spacing w:line="280" w:lineRule="auto"/>
        <w:ind w:right="497"/>
      </w:pPr>
      <w:r>
        <w:rPr/>
        <w:t>Quanto</w:t>
      </w:r>
      <w:r>
        <w:rPr>
          <w:spacing w:val="-7"/>
        </w:rPr>
        <w:t> </w:t>
      </w:r>
      <w:r>
        <w:rPr/>
        <w:t>à</w:t>
      </w:r>
      <w:r>
        <w:rPr>
          <w:spacing w:val="-9"/>
        </w:rPr>
        <w:t> </w:t>
      </w:r>
      <w:r>
        <w:rPr/>
        <w:t>terapia</w:t>
      </w:r>
      <w:r>
        <w:rPr>
          <w:spacing w:val="-9"/>
        </w:rPr>
        <w:t> </w:t>
      </w:r>
      <w:r>
        <w:rPr/>
        <w:t>farmacológica, os bloqueadores dos canais de</w:t>
      </w:r>
      <w:r>
        <w:rPr>
          <w:spacing w:val="-9"/>
        </w:rPr>
        <w:t> </w:t>
      </w:r>
      <w:r>
        <w:rPr/>
        <w:t>cálcio</w:t>
      </w:r>
      <w:r>
        <w:rPr>
          <w:spacing w:val="-7"/>
        </w:rPr>
        <w:t> </w:t>
      </w:r>
      <w:r>
        <w:rPr/>
        <w:t>são</w:t>
      </w:r>
      <w:r>
        <w:rPr>
          <w:spacing w:val="-7"/>
        </w:rPr>
        <w:t> </w:t>
      </w:r>
      <w:r>
        <w:rPr/>
        <w:t>os agentes mais utilizados. Entre</w:t>
      </w:r>
      <w:r>
        <w:rPr>
          <w:spacing w:val="-9"/>
        </w:rPr>
        <w:t> </w:t>
      </w:r>
      <w:r>
        <w:rPr/>
        <w:t>eles, o uso de nifedipino na dose de 30 a 60 mg/dia mostrou-se benéfico, com redução do número de crises em mais de 60%.</w:t>
      </w:r>
      <w:r>
        <w:rPr>
          <w:vertAlign w:val="superscript"/>
        </w:rPr>
        <w:t>5</w:t>
      </w:r>
      <w:r>
        <w:rPr>
          <w:vertAlign w:val="baseline"/>
        </w:rPr>
        <w:t> Efeitos colaterais (particularmente cefaleia e intolerância gastrintestinal) do uso de nifedipino ocorrem em até 15% dos pacientes, o que exige a interrupção do tratamento. Outros bloqueadores dos canais de cálcio (anlodipino)</w:t>
      </w:r>
      <w:r>
        <w:rPr>
          <w:spacing w:val="-1"/>
          <w:vertAlign w:val="baseline"/>
        </w:rPr>
        <w:t> </w:t>
      </w:r>
      <w:r>
        <w:rPr>
          <w:vertAlign w:val="baseline"/>
        </w:rPr>
        <w:t>têm</w:t>
      </w:r>
      <w:r>
        <w:rPr>
          <w:spacing w:val="-6"/>
          <w:vertAlign w:val="baseline"/>
        </w:rPr>
        <w:t> </w:t>
      </w:r>
      <w:r>
        <w:rPr>
          <w:vertAlign w:val="baseline"/>
        </w:rPr>
        <w:t>sido</w:t>
      </w:r>
      <w:r>
        <w:rPr>
          <w:spacing w:val="-6"/>
          <w:vertAlign w:val="baseline"/>
        </w:rPr>
        <w:t> </w:t>
      </w:r>
      <w:r>
        <w:rPr>
          <w:vertAlign w:val="baseline"/>
        </w:rPr>
        <w:t>usados com</w:t>
      </w:r>
      <w:r>
        <w:rPr>
          <w:spacing w:val="-6"/>
          <w:vertAlign w:val="baseline"/>
        </w:rPr>
        <w:t> </w:t>
      </w:r>
      <w:r>
        <w:rPr>
          <w:vertAlign w:val="baseline"/>
        </w:rPr>
        <w:t>redução</w:t>
      </w:r>
      <w:r>
        <w:rPr>
          <w:spacing w:val="-6"/>
          <w:vertAlign w:val="baseline"/>
        </w:rPr>
        <w:t> </w:t>
      </w:r>
      <w:r>
        <w:rPr>
          <w:vertAlign w:val="baseline"/>
        </w:rPr>
        <w:t>em</w:t>
      </w:r>
      <w:r>
        <w:rPr>
          <w:spacing w:val="-6"/>
          <w:vertAlign w:val="baseline"/>
        </w:rPr>
        <w:t> </w:t>
      </w:r>
      <w:r>
        <w:rPr>
          <w:vertAlign w:val="baseline"/>
        </w:rPr>
        <w:t>50%</w:t>
      </w:r>
      <w:r>
        <w:rPr>
          <w:spacing w:val="-4"/>
          <w:vertAlign w:val="baseline"/>
        </w:rPr>
        <w:t> </w:t>
      </w:r>
      <w:r>
        <w:rPr>
          <w:vertAlign w:val="baseline"/>
        </w:rPr>
        <w:t>das crises. Outros fármacos simpaticolíticos têm</w:t>
      </w:r>
      <w:r>
        <w:rPr>
          <w:spacing w:val="-6"/>
          <w:vertAlign w:val="baseline"/>
        </w:rPr>
        <w:t> </w:t>
      </w:r>
      <w:r>
        <w:rPr>
          <w:vertAlign w:val="baseline"/>
        </w:rPr>
        <w:t>sido</w:t>
      </w:r>
      <w:r>
        <w:rPr>
          <w:spacing w:val="-6"/>
          <w:vertAlign w:val="baseline"/>
        </w:rPr>
        <w:t> </w:t>
      </w:r>
      <w:r>
        <w:rPr>
          <w:vertAlign w:val="baseline"/>
        </w:rPr>
        <w:t>utilizados como o prazosina (bloqueador adrenérgico a</w:t>
      </w:r>
      <w:r>
        <w:rPr>
          <w:vertAlign w:val="subscript"/>
        </w:rPr>
        <w:t>1</w:t>
      </w:r>
      <w:r>
        <w:rPr>
          <w:vertAlign w:val="baseline"/>
        </w:rPr>
        <w:t>), losartana (antagonista do receptor tipo 1 da angiotensina II) e fluoxetina. A utilização de prostaglandinas (iloprost, alprostadil), disponíveis para infusão venosa contínua, tem sido reservada às crises agudas muito intensas e quando as medidas de suporte e medicamentosas não surtiram efeito (</w:t>
      </w:r>
      <w:r>
        <w:rPr>
          <w:color w:val="505050"/>
          <w:vertAlign w:val="baseline"/>
        </w:rPr>
        <w:t>Tabela 59.1</w:t>
      </w:r>
      <w:r>
        <w:rPr>
          <w:vertAlign w:val="baseline"/>
        </w:rPr>
        <w:t>).</w:t>
      </w:r>
    </w:p>
    <w:p>
      <w:pPr>
        <w:pStyle w:val="BodyText"/>
        <w:spacing w:line="278" w:lineRule="auto" w:before="50"/>
        <w:ind w:right="498"/>
      </w:pPr>
      <w:r>
        <w:rPr/>
        <w:t>O</w:t>
      </w:r>
      <w:r>
        <w:rPr>
          <w:spacing w:val="-7"/>
        </w:rPr>
        <w:t> </w:t>
      </w:r>
      <w:r>
        <w:rPr/>
        <w:t>papel</w:t>
      </w:r>
      <w:r>
        <w:rPr>
          <w:spacing w:val="-1"/>
        </w:rPr>
        <w:t> </w:t>
      </w:r>
      <w:r>
        <w:rPr/>
        <w:t>da</w:t>
      </w:r>
      <w:r>
        <w:rPr>
          <w:spacing w:val="-7"/>
        </w:rPr>
        <w:t> </w:t>
      </w:r>
      <w:r>
        <w:rPr/>
        <w:t>simpatectomia</w:t>
      </w:r>
      <w:r>
        <w:rPr>
          <w:spacing w:val="-7"/>
        </w:rPr>
        <w:t> </w:t>
      </w:r>
      <w:r>
        <w:rPr/>
        <w:t>para</w:t>
      </w:r>
      <w:r>
        <w:rPr>
          <w:spacing w:val="-7"/>
        </w:rPr>
        <w:t> </w:t>
      </w:r>
      <w:r>
        <w:rPr/>
        <w:t>o</w:t>
      </w:r>
      <w:r>
        <w:rPr>
          <w:spacing w:val="-3"/>
        </w:rPr>
        <w:t> </w:t>
      </w:r>
      <w:r>
        <w:rPr/>
        <w:t>fenômeno</w:t>
      </w:r>
      <w:r>
        <w:rPr>
          <w:spacing w:val="-3"/>
        </w:rPr>
        <w:t> </w:t>
      </w:r>
      <w:r>
        <w:rPr/>
        <w:t>de</w:t>
      </w:r>
      <w:r>
        <w:rPr>
          <w:spacing w:val="-7"/>
        </w:rPr>
        <w:t> </w:t>
      </w:r>
      <w:r>
        <w:rPr/>
        <w:t>Raynaud</w:t>
      </w:r>
      <w:r>
        <w:rPr>
          <w:spacing w:val="-3"/>
        </w:rPr>
        <w:t> </w:t>
      </w:r>
      <w:r>
        <w:rPr/>
        <w:t>é</w:t>
      </w:r>
      <w:r>
        <w:rPr>
          <w:spacing w:val="-7"/>
        </w:rPr>
        <w:t> </w:t>
      </w:r>
      <w:r>
        <w:rPr/>
        <w:t>questionável, devido</w:t>
      </w:r>
      <w:r>
        <w:rPr>
          <w:spacing w:val="-3"/>
        </w:rPr>
        <w:t> </w:t>
      </w:r>
      <w:r>
        <w:rPr/>
        <w:t>aos altos índices de</w:t>
      </w:r>
      <w:r>
        <w:rPr>
          <w:spacing w:val="-7"/>
        </w:rPr>
        <w:t> </w:t>
      </w:r>
      <w:r>
        <w:rPr/>
        <w:t>recidiva</w:t>
      </w:r>
      <w:r>
        <w:rPr>
          <w:spacing w:val="-7"/>
        </w:rPr>
        <w:t> </w:t>
      </w:r>
      <w:r>
        <w:rPr/>
        <w:t>dos sintomas que</w:t>
      </w:r>
      <w:r>
        <w:rPr>
          <w:spacing w:val="-4"/>
        </w:rPr>
        <w:t> </w:t>
      </w:r>
      <w:r>
        <w:rPr/>
        <w:t>ocorrem</w:t>
      </w:r>
      <w:r>
        <w:rPr>
          <w:spacing w:val="-2"/>
        </w:rPr>
        <w:t> </w:t>
      </w:r>
      <w:r>
        <w:rPr/>
        <w:t>precocemente. Alguns autores defendem</w:t>
      </w:r>
      <w:r>
        <w:rPr>
          <w:spacing w:val="-2"/>
        </w:rPr>
        <w:t> </w:t>
      </w:r>
      <w:r>
        <w:rPr/>
        <w:t>sua</w:t>
      </w:r>
      <w:r>
        <w:rPr>
          <w:spacing w:val="-4"/>
        </w:rPr>
        <w:t> </w:t>
      </w:r>
      <w:r>
        <w:rPr/>
        <w:t>realização</w:t>
      </w:r>
      <w:r>
        <w:rPr>
          <w:spacing w:val="-2"/>
        </w:rPr>
        <w:t> </w:t>
      </w:r>
      <w:r>
        <w:rPr/>
        <w:t>atualmente</w:t>
      </w:r>
      <w:r>
        <w:rPr>
          <w:spacing w:val="-4"/>
        </w:rPr>
        <w:t> </w:t>
      </w:r>
      <w:r>
        <w:rPr/>
        <w:t>devido</w:t>
      </w:r>
      <w:r>
        <w:rPr>
          <w:spacing w:val="-2"/>
        </w:rPr>
        <w:t> </w:t>
      </w:r>
      <w:r>
        <w:rPr/>
        <w:t>à</w:t>
      </w:r>
      <w:r>
        <w:rPr>
          <w:spacing w:val="-4"/>
        </w:rPr>
        <w:t> </w:t>
      </w:r>
      <w:r>
        <w:rPr/>
        <w:t>natureza</w:t>
      </w:r>
      <w:r>
        <w:rPr>
          <w:spacing w:val="-4"/>
        </w:rPr>
        <w:t> </w:t>
      </w:r>
      <w:r>
        <w:rPr/>
        <w:t>menos invasiva</w:t>
      </w:r>
      <w:r>
        <w:rPr>
          <w:spacing w:val="-5"/>
        </w:rPr>
        <w:t> </w:t>
      </w:r>
      <w:r>
        <w:rPr/>
        <w:t>do</w:t>
      </w:r>
      <w:r>
        <w:rPr>
          <w:spacing w:val="-3"/>
        </w:rPr>
        <w:t> </w:t>
      </w:r>
      <w:r>
        <w:rPr/>
        <w:t>procedimento, realizada</w:t>
      </w:r>
      <w:r>
        <w:rPr>
          <w:spacing w:val="-5"/>
        </w:rPr>
        <w:t> </w:t>
      </w:r>
      <w:r>
        <w:rPr/>
        <w:t>por via</w:t>
      </w:r>
      <w:r>
        <w:rPr>
          <w:spacing w:val="-5"/>
        </w:rPr>
        <w:t> </w:t>
      </w:r>
      <w:r>
        <w:rPr/>
        <w:t>videoendoscópica. Apesar de</w:t>
      </w:r>
      <w:r>
        <w:rPr>
          <w:spacing w:val="-5"/>
        </w:rPr>
        <w:t> </w:t>
      </w:r>
      <w:r>
        <w:rPr/>
        <w:t>a</w:t>
      </w:r>
      <w:r>
        <w:rPr>
          <w:spacing w:val="-5"/>
        </w:rPr>
        <w:t> </w:t>
      </w:r>
      <w:r>
        <w:rPr/>
        <w:t>recidiva</w:t>
      </w:r>
      <w:r>
        <w:rPr>
          <w:spacing w:val="-5"/>
        </w:rPr>
        <w:t> </w:t>
      </w:r>
      <w:r>
        <w:rPr/>
        <w:t>também</w:t>
      </w:r>
      <w:r>
        <w:rPr>
          <w:spacing w:val="-3"/>
        </w:rPr>
        <w:t> </w:t>
      </w:r>
      <w:r>
        <w:rPr/>
        <w:t>ser alta</w:t>
      </w:r>
      <w:r>
        <w:rPr>
          <w:spacing w:val="-5"/>
        </w:rPr>
        <w:t> </w:t>
      </w:r>
      <w:r>
        <w:rPr/>
        <w:t>por essa</w:t>
      </w:r>
      <w:r>
        <w:rPr>
          <w:spacing w:val="-5"/>
        </w:rPr>
        <w:t> </w:t>
      </w:r>
      <w:r>
        <w:rPr/>
        <w:t>via, a realização da simpatectomia permite a cura das úlceras digitais naqueles pacientes em que elas são dolorosas e de difícil tratamento.</w:t>
      </w:r>
      <w:r>
        <w:rPr>
          <w:vertAlign w:val="superscript"/>
        </w:rPr>
        <w:t>6</w:t>
      </w:r>
      <w:r>
        <w:rPr>
          <w:vertAlign w:val="baseline"/>
        </w:rPr>
        <w:t> Outra indicação da simpatectomia cervical é nos casos secundários à síndrome do desfiladeiro torácico em que a compressão crônica do plexo braquial e de suas fibras simpáticas determinam a cronicidade dos sintomas relacionados com o vasospasmo.</w:t>
      </w:r>
    </w:p>
    <w:p>
      <w:pPr>
        <w:pStyle w:val="BodyText"/>
        <w:spacing w:before="183"/>
        <w:ind w:left="0" w:firstLine="0"/>
        <w:jc w:val="left"/>
      </w:pPr>
    </w:p>
    <w:p>
      <w:pPr>
        <w:pStyle w:val="Heading4"/>
        <w:jc w:val="both"/>
      </w:pPr>
      <w:r>
        <w:rPr>
          <w:color w:val="242B67"/>
        </w:rPr>
        <w:t>Livedo </w:t>
      </w:r>
      <w:r>
        <w:rPr>
          <w:color w:val="242B67"/>
          <w:spacing w:val="-2"/>
        </w:rPr>
        <w:t>reticularis</w:t>
      </w:r>
    </w:p>
    <w:p>
      <w:pPr>
        <w:pStyle w:val="BodyText"/>
        <w:spacing w:line="276" w:lineRule="auto" w:before="132"/>
        <w:ind w:right="490"/>
      </w:pPr>
      <w:r>
        <w:rPr/>
        <w:t>Ao contrário da apresentação clínica preferencial do fenômeno de Raynaud que ocorre nas mãos, o </w:t>
      </w:r>
      <w:r>
        <w:rPr>
          <w:i/>
        </w:rPr>
        <w:t>livedo reticularis </w:t>
      </w:r>
      <w:r>
        <w:rPr/>
        <w:t>caracteriza-se pelo aparecimento em áreas alternadas, pálidas e cianóticas, que ocorrem nos membros inferiores (pernas e coxas) e superiores (</w:t>
      </w:r>
      <w:r>
        <w:rPr>
          <w:color w:val="505050"/>
        </w:rPr>
        <w:t>Figura</w:t>
      </w:r>
      <w:r>
        <w:rPr>
          <w:color w:val="505050"/>
          <w:spacing w:val="-7"/>
        </w:rPr>
        <w:t> </w:t>
      </w:r>
      <w:r>
        <w:rPr>
          <w:color w:val="505050"/>
        </w:rPr>
        <w:t>59.22</w:t>
      </w:r>
      <w:r>
        <w:rPr/>
        <w:t>). O aspecto clínico é de um rendado cianótico. Pode ocorrer em homens e mulheres na faixa etária entre 35 e 40 anos. Destacam-se duas formas, a idiopática (leve, melhora evitando-se</w:t>
      </w:r>
      <w:r>
        <w:rPr>
          <w:spacing w:val="-2"/>
        </w:rPr>
        <w:t> </w:t>
      </w:r>
      <w:r>
        <w:rPr/>
        <w:t>baixas temperaturas) e</w:t>
      </w:r>
      <w:r>
        <w:rPr>
          <w:spacing w:val="-2"/>
        </w:rPr>
        <w:t> </w:t>
      </w:r>
      <w:r>
        <w:rPr/>
        <w:t>a</w:t>
      </w:r>
      <w:r>
        <w:rPr>
          <w:spacing w:val="-2"/>
        </w:rPr>
        <w:t> </w:t>
      </w:r>
      <w:r>
        <w:rPr/>
        <w:t>sintomática</w:t>
      </w:r>
      <w:r>
        <w:rPr>
          <w:spacing w:val="-2"/>
        </w:rPr>
        <w:t> </w:t>
      </w:r>
      <w:r>
        <w:rPr/>
        <w:t>(intensa, podendo evoluir para</w:t>
      </w:r>
      <w:r>
        <w:rPr>
          <w:spacing w:val="-2"/>
        </w:rPr>
        <w:t> </w:t>
      </w:r>
      <w:r>
        <w:rPr/>
        <w:t>lesões cutâneas).</w:t>
      </w:r>
    </w:p>
    <w:p>
      <w:pPr>
        <w:pStyle w:val="BodyText"/>
        <w:spacing w:line="276" w:lineRule="auto" w:before="49"/>
        <w:ind w:right="488"/>
      </w:pPr>
      <w:r>
        <w:rPr/>
        <w:t>Pode estar associado a diversas alterações clínicas, fazendo parte dos sintomas dessas afecções. Destacam-se como</w:t>
      </w:r>
      <w:r>
        <w:rPr>
          <w:spacing w:val="58"/>
        </w:rPr>
        <w:t> </w:t>
      </w:r>
      <w:r>
        <w:rPr/>
        <w:t>fatores</w:t>
      </w:r>
      <w:r>
        <w:rPr>
          <w:spacing w:val="67"/>
        </w:rPr>
        <w:t> </w:t>
      </w:r>
      <w:r>
        <w:rPr/>
        <w:t>causais</w:t>
      </w:r>
      <w:r>
        <w:rPr>
          <w:spacing w:val="67"/>
        </w:rPr>
        <w:t> </w:t>
      </w:r>
      <w:r>
        <w:rPr/>
        <w:t>a</w:t>
      </w:r>
      <w:r>
        <w:rPr>
          <w:spacing w:val="40"/>
        </w:rPr>
        <w:t> </w:t>
      </w:r>
      <w:r>
        <w:rPr/>
        <w:t>instabilidade</w:t>
      </w:r>
      <w:r>
        <w:rPr>
          <w:spacing w:val="40"/>
        </w:rPr>
        <w:t> </w:t>
      </w:r>
      <w:r>
        <w:rPr/>
        <w:t>emocional,</w:t>
      </w:r>
      <w:r>
        <w:rPr>
          <w:spacing w:val="67"/>
        </w:rPr>
        <w:t> </w:t>
      </w:r>
      <w:r>
        <w:rPr/>
        <w:t>doenças</w:t>
      </w:r>
      <w:r>
        <w:rPr>
          <w:spacing w:val="67"/>
        </w:rPr>
        <w:t> </w:t>
      </w:r>
      <w:r>
        <w:rPr/>
        <w:t>arteriais</w:t>
      </w:r>
      <w:r>
        <w:rPr>
          <w:spacing w:val="67"/>
        </w:rPr>
        <w:t> </w:t>
      </w:r>
      <w:r>
        <w:rPr/>
        <w:t>obstrutivas,</w:t>
      </w:r>
      <w:r>
        <w:rPr>
          <w:spacing w:val="67"/>
        </w:rPr>
        <w:t> </w:t>
      </w:r>
      <w:r>
        <w:rPr/>
        <w:t>vasculites,</w:t>
      </w:r>
      <w:r>
        <w:rPr>
          <w:spacing w:val="67"/>
        </w:rPr>
        <w:t> </w:t>
      </w:r>
      <w:r>
        <w:rPr/>
        <w:t>doenças</w:t>
      </w:r>
      <w:r>
        <w:rPr>
          <w:spacing w:val="67"/>
        </w:rPr>
        <w:t> </w:t>
      </w:r>
      <w:r>
        <w:rPr/>
        <w:t>do</w:t>
      </w:r>
      <w:r>
        <w:rPr>
          <w:spacing w:val="58"/>
        </w:rPr>
        <w:t> </w:t>
      </w:r>
      <w:r>
        <w:rPr/>
        <w:t>tecido</w:t>
      </w:r>
    </w:p>
    <w:p>
      <w:pPr>
        <w:pStyle w:val="BodyText"/>
        <w:spacing w:after="0" w:line="276" w:lineRule="auto"/>
        <w:sectPr>
          <w:pgSz w:w="11900" w:h="16840"/>
          <w:pgMar w:top="180" w:bottom="280" w:left="566" w:right="141"/>
        </w:sectPr>
      </w:pPr>
    </w:p>
    <w:p>
      <w:pPr>
        <w:pStyle w:val="BodyText"/>
        <w:spacing w:line="276" w:lineRule="auto" w:before="72"/>
        <w:ind w:right="497" w:firstLine="0"/>
      </w:pPr>
      <w:r>
        <w:rPr/>
        <w:t>conectivo, endocrinopatias (hiperparatireoidismo), neuropatias, depósito de cristais, hipercoagulabilidade, crioglobulinemia, criofibrinogenemia e reações a medicamentos. O tratamento direciona-se à causa de base. Proteção da extremidade contra frio, vasodilatadores e simpatectomia (nos raros casos de ulceração cutânea intratável clinicamente) são opções para controle dos sintomas.</w:t>
      </w:r>
    </w:p>
    <w:p>
      <w:pPr>
        <w:pStyle w:val="BodyText"/>
        <w:spacing w:before="185"/>
        <w:ind w:left="0" w:firstLine="0"/>
        <w:jc w:val="left"/>
      </w:pPr>
    </w:p>
    <w:p>
      <w:pPr>
        <w:pStyle w:val="Heading4"/>
        <w:spacing w:before="1"/>
      </w:pPr>
      <w:r>
        <w:rPr>
          <w:color w:val="242B67"/>
          <w:spacing w:val="-2"/>
        </w:rPr>
        <w:t>Acrocianose</w:t>
      </w:r>
    </w:p>
    <w:p>
      <w:pPr>
        <w:pStyle w:val="BodyText"/>
        <w:spacing w:line="276" w:lineRule="auto" w:before="131"/>
        <w:ind w:right="488"/>
      </w:pPr>
      <w:r>
        <w:rPr/>
        <w:t>A acrocianose é a mais rara das desordens vasoespásticas e caracteriza-se por persistente cianose da extremidade afetada (</w:t>
      </w:r>
      <w:r>
        <w:rPr>
          <w:color w:val="505050"/>
        </w:rPr>
        <w:t>Figura</w:t>
      </w:r>
      <w:r>
        <w:rPr>
          <w:color w:val="505050"/>
          <w:spacing w:val="-7"/>
        </w:rPr>
        <w:t> </w:t>
      </w:r>
      <w:r>
        <w:rPr>
          <w:color w:val="505050"/>
        </w:rPr>
        <w:t>59.23</w:t>
      </w:r>
      <w:r>
        <w:rPr/>
        <w:t>). Pode afetar os pés ou as mãos, estando associada a extremidade fria e úmida, desencadeada pela exposição ao frio (sem ocorrência de palidez ou rubor). Preferencialmente atinge mulheres jovens e está associada a crioglobulinemia, uso de interferona-alfa 2, fator antinuclear e pesquisa de imunocomplexos positivos. O tratamento visa ao tratamento da causa de base e evitar e/ou proteger a extremidade do frio, pois raramente origina alterações tróficas.</w:t>
      </w:r>
    </w:p>
    <w:p>
      <w:pPr>
        <w:pStyle w:val="BodyText"/>
        <w:spacing w:before="186"/>
        <w:ind w:left="0" w:firstLine="0"/>
        <w:jc w:val="left"/>
      </w:pPr>
    </w:p>
    <w:p>
      <w:pPr>
        <w:pStyle w:val="Heading4"/>
      </w:pPr>
      <w:r>
        <w:rPr>
          <w:color w:val="242B67"/>
          <w:spacing w:val="-2"/>
        </w:rPr>
        <w:t>Eritromegalia</w:t>
      </w:r>
    </w:p>
    <w:p>
      <w:pPr>
        <w:pStyle w:val="BodyText"/>
        <w:spacing w:line="276" w:lineRule="auto" w:before="148"/>
        <w:ind w:right="501"/>
      </w:pPr>
      <w:r>
        <w:rPr/>
        <w:t>A eritromegalia é uma rara desordem de etiologia desconhecida e expressa por queimação, rubor das extremidades atingidas, que pode ser pés e mãos. O quadro geralmente é assimétrico e pode ocasionar necrose. Caracteristicamente, a</w:t>
      </w:r>
      <w:r>
        <w:rPr>
          <w:spacing w:val="-6"/>
        </w:rPr>
        <w:t> </w:t>
      </w:r>
      <w:r>
        <w:rPr/>
        <w:t>crise</w:t>
      </w:r>
      <w:r>
        <w:rPr>
          <w:spacing w:val="-6"/>
        </w:rPr>
        <w:t> </w:t>
      </w:r>
      <w:r>
        <w:rPr/>
        <w:t>é</w:t>
      </w:r>
      <w:r>
        <w:rPr>
          <w:spacing w:val="-6"/>
        </w:rPr>
        <w:t> </w:t>
      </w:r>
      <w:r>
        <w:rPr/>
        <w:t>desencadeada/agravada</w:t>
      </w:r>
      <w:r>
        <w:rPr>
          <w:spacing w:val="-6"/>
        </w:rPr>
        <w:t> </w:t>
      </w:r>
      <w:r>
        <w:rPr/>
        <w:t>pelo</w:t>
      </w:r>
      <w:r>
        <w:rPr>
          <w:spacing w:val="-3"/>
        </w:rPr>
        <w:t> </w:t>
      </w:r>
      <w:r>
        <w:rPr/>
        <w:t>calor e</w:t>
      </w:r>
      <w:r>
        <w:rPr>
          <w:spacing w:val="-6"/>
        </w:rPr>
        <w:t> </w:t>
      </w:r>
      <w:r>
        <w:rPr/>
        <w:t>melhora</w:t>
      </w:r>
      <w:r>
        <w:rPr>
          <w:spacing w:val="-6"/>
        </w:rPr>
        <w:t> </w:t>
      </w:r>
      <w:r>
        <w:rPr/>
        <w:t>com</w:t>
      </w:r>
      <w:r>
        <w:rPr>
          <w:spacing w:val="-3"/>
        </w:rPr>
        <w:t> </w:t>
      </w:r>
      <w:r>
        <w:rPr/>
        <w:t>a</w:t>
      </w:r>
      <w:r>
        <w:rPr>
          <w:spacing w:val="-6"/>
        </w:rPr>
        <w:t> </w:t>
      </w:r>
      <w:r>
        <w:rPr/>
        <w:t>exposição</w:t>
      </w:r>
      <w:r>
        <w:rPr>
          <w:spacing w:val="-3"/>
        </w:rPr>
        <w:t> </w:t>
      </w:r>
      <w:r>
        <w:rPr/>
        <w:t>da</w:t>
      </w:r>
      <w:r>
        <w:rPr>
          <w:spacing w:val="-6"/>
        </w:rPr>
        <w:t> </w:t>
      </w:r>
      <w:r>
        <w:rPr/>
        <w:t>extremidade</w:t>
      </w:r>
      <w:r>
        <w:rPr>
          <w:spacing w:val="-6"/>
        </w:rPr>
        <w:t> </w:t>
      </w:r>
      <w:r>
        <w:rPr/>
        <w:t>ao</w:t>
      </w:r>
      <w:r>
        <w:rPr>
          <w:spacing w:val="-3"/>
        </w:rPr>
        <w:t> </w:t>
      </w:r>
      <w:r>
        <w:rPr/>
        <w:t>frio. Além da melhora com exposição ao frio, a utilização de AAS melhora as crises.</w:t>
      </w:r>
    </w:p>
    <w:p>
      <w:pPr>
        <w:pStyle w:val="BodyText"/>
        <w:spacing w:line="276" w:lineRule="auto" w:before="49"/>
        <w:ind w:right="500"/>
      </w:pPr>
      <w:r>
        <w:rPr/>
        <w:t>Duas formas foram</w:t>
      </w:r>
      <w:r>
        <w:rPr>
          <w:spacing w:val="-8"/>
        </w:rPr>
        <w:t> </w:t>
      </w:r>
      <w:r>
        <w:rPr/>
        <w:t>descritas, a</w:t>
      </w:r>
      <w:r>
        <w:rPr>
          <w:spacing w:val="-11"/>
        </w:rPr>
        <w:t> </w:t>
      </w:r>
      <w:r>
        <w:rPr/>
        <w:t>eritromelalgia</w:t>
      </w:r>
      <w:r>
        <w:rPr>
          <w:spacing w:val="-11"/>
        </w:rPr>
        <w:t> </w:t>
      </w:r>
      <w:r>
        <w:rPr/>
        <w:t>e</w:t>
      </w:r>
      <w:r>
        <w:rPr>
          <w:spacing w:val="-11"/>
        </w:rPr>
        <w:t> </w:t>
      </w:r>
      <w:r>
        <w:rPr/>
        <w:t>a</w:t>
      </w:r>
      <w:r>
        <w:rPr>
          <w:spacing w:val="-11"/>
        </w:rPr>
        <w:t> </w:t>
      </w:r>
      <w:r>
        <w:rPr/>
        <w:t>eritermalgia. A</w:t>
      </w:r>
      <w:r>
        <w:rPr>
          <w:spacing w:val="-11"/>
        </w:rPr>
        <w:t> </w:t>
      </w:r>
      <w:r>
        <w:rPr/>
        <w:t>primeira</w:t>
      </w:r>
      <w:r>
        <w:rPr>
          <w:spacing w:val="-11"/>
        </w:rPr>
        <w:t> </w:t>
      </w:r>
      <w:r>
        <w:rPr/>
        <w:t>apresenta</w:t>
      </w:r>
      <w:r>
        <w:rPr>
          <w:spacing w:val="-11"/>
        </w:rPr>
        <w:t> </w:t>
      </w:r>
      <w:r>
        <w:rPr/>
        <w:t>as características apontadas anteriormente e a segunda é geralmente simétrica, não responde ao AAS e não causa úlceras. As duas estão associadas a</w:t>
      </w:r>
      <w:r>
        <w:rPr>
          <w:spacing w:val="-9"/>
        </w:rPr>
        <w:t> </w:t>
      </w:r>
      <w:r>
        <w:rPr/>
        <w:t>doenças sistêmicas, como</w:t>
      </w:r>
      <w:r>
        <w:rPr>
          <w:spacing w:val="-7"/>
        </w:rPr>
        <w:t> </w:t>
      </w:r>
      <w:r>
        <w:rPr/>
        <w:t>policitemia, doenças mieloproliferativas, doenças do</w:t>
      </w:r>
      <w:r>
        <w:rPr>
          <w:spacing w:val="-7"/>
        </w:rPr>
        <w:t> </w:t>
      </w:r>
      <w:r>
        <w:rPr/>
        <w:t>colágeno, infecção</w:t>
      </w:r>
      <w:r>
        <w:rPr>
          <w:spacing w:val="-7"/>
        </w:rPr>
        <w:t> </w:t>
      </w:r>
      <w:r>
        <w:rPr/>
        <w:t>por vírus HIV, associação com hipertensão arterial, diabetes e outras.</w:t>
      </w:r>
    </w:p>
    <w:p>
      <w:pPr>
        <w:pStyle w:val="BodyText"/>
        <w:spacing w:after="0" w:line="276" w:lineRule="auto"/>
        <w:sectPr>
          <w:pgSz w:w="11900" w:h="16840"/>
          <w:pgMar w:top="180" w:bottom="280" w:left="566" w:right="141"/>
        </w:sectPr>
      </w:pPr>
    </w:p>
    <w:p>
      <w:pPr>
        <w:spacing w:line="240" w:lineRule="auto"/>
        <w:ind w:left="66" w:right="0" w:firstLine="0"/>
        <w:rPr>
          <w:sz w:val="20"/>
        </w:rPr>
      </w:pPr>
      <w:r>
        <w:rPr>
          <w:sz w:val="20"/>
        </w:rPr>
        <w:drawing>
          <wp:inline distT="0" distB="0" distL="0" distR="0">
            <wp:extent cx="6721033" cy="8381047"/>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5" cstate="print"/>
                    <a:stretch>
                      <a:fillRect/>
                    </a:stretch>
                  </pic:blipFill>
                  <pic:spPr>
                    <a:xfrm>
                      <a:off x="0" y="0"/>
                      <a:ext cx="6721033" cy="8381047"/>
                    </a:xfrm>
                    <a:prstGeom prst="rect">
                      <a:avLst/>
                    </a:prstGeom>
                  </pic:spPr>
                </pic:pic>
              </a:graphicData>
            </a:graphic>
          </wp:inline>
        </w:drawing>
      </w:r>
      <w:r>
        <w:rPr>
          <w:sz w:val="20"/>
        </w:rPr>
      </w:r>
    </w:p>
    <w:p>
      <w:pPr>
        <w:pStyle w:val="BodyText"/>
        <w:spacing w:before="84"/>
        <w:ind w:left="0" w:firstLine="0"/>
        <w:jc w:val="left"/>
        <w:rPr>
          <w:sz w:val="19"/>
        </w:rPr>
      </w:pPr>
    </w:p>
    <w:p>
      <w:pPr>
        <w:spacing w:before="1"/>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4"/>
          <w:sz w:val="19"/>
        </w:rPr>
        <w:t> </w:t>
      </w:r>
      <w:r>
        <w:rPr>
          <w:rFonts w:ascii="Arial" w:hAnsi="Arial"/>
          <w:b/>
          <w:color w:val="242B67"/>
          <w:sz w:val="19"/>
        </w:rPr>
        <w:t>59.21</w:t>
      </w:r>
      <w:r>
        <w:rPr>
          <w:rFonts w:ascii="Arial" w:hAnsi="Arial"/>
          <w:b/>
          <w:color w:val="242B67"/>
          <w:spacing w:val="14"/>
          <w:sz w:val="19"/>
        </w:rPr>
        <w:t> </w:t>
      </w:r>
      <w:r>
        <w:rPr>
          <w:rFonts w:ascii="Microsoft Sans Serif" w:hAnsi="Microsoft Sans Serif"/>
          <w:sz w:val="19"/>
        </w:rPr>
        <w:t>Diagnóstico</w:t>
      </w:r>
      <w:r>
        <w:rPr>
          <w:rFonts w:ascii="Microsoft Sans Serif" w:hAnsi="Microsoft Sans Serif"/>
          <w:spacing w:val="16"/>
          <w:sz w:val="19"/>
        </w:rPr>
        <w:t> </w:t>
      </w:r>
      <w:r>
        <w:rPr>
          <w:rFonts w:ascii="Microsoft Sans Serif" w:hAnsi="Microsoft Sans Serif"/>
          <w:sz w:val="19"/>
        </w:rPr>
        <w:t>diferencial</w:t>
      </w:r>
      <w:r>
        <w:rPr>
          <w:rFonts w:ascii="Microsoft Sans Serif" w:hAnsi="Microsoft Sans Serif"/>
          <w:spacing w:val="16"/>
          <w:sz w:val="19"/>
        </w:rPr>
        <w:t> </w:t>
      </w:r>
      <w:r>
        <w:rPr>
          <w:rFonts w:ascii="Microsoft Sans Serif" w:hAnsi="Microsoft Sans Serif"/>
          <w:sz w:val="19"/>
        </w:rPr>
        <w:t>entre</w:t>
      </w:r>
      <w:r>
        <w:rPr>
          <w:rFonts w:ascii="Microsoft Sans Serif" w:hAnsi="Microsoft Sans Serif"/>
          <w:spacing w:val="16"/>
          <w:sz w:val="19"/>
        </w:rPr>
        <w:t> </w:t>
      </w:r>
      <w:r>
        <w:rPr>
          <w:rFonts w:ascii="Microsoft Sans Serif" w:hAnsi="Microsoft Sans Serif"/>
          <w:sz w:val="19"/>
        </w:rPr>
        <w:t>as</w:t>
      </w:r>
      <w:r>
        <w:rPr>
          <w:rFonts w:ascii="Microsoft Sans Serif" w:hAnsi="Microsoft Sans Serif"/>
          <w:spacing w:val="9"/>
          <w:sz w:val="19"/>
        </w:rPr>
        <w:t> </w:t>
      </w:r>
      <w:r>
        <w:rPr>
          <w:rFonts w:ascii="Microsoft Sans Serif" w:hAnsi="Microsoft Sans Serif"/>
          <w:sz w:val="19"/>
        </w:rPr>
        <w:t>formas</w:t>
      </w:r>
      <w:r>
        <w:rPr>
          <w:rFonts w:ascii="Microsoft Sans Serif" w:hAnsi="Microsoft Sans Serif"/>
          <w:spacing w:val="10"/>
          <w:sz w:val="19"/>
        </w:rPr>
        <w:t> </w:t>
      </w:r>
      <w:r>
        <w:rPr>
          <w:rFonts w:ascii="Microsoft Sans Serif" w:hAnsi="Microsoft Sans Serif"/>
          <w:sz w:val="19"/>
        </w:rPr>
        <w:t>do</w:t>
      </w:r>
      <w:r>
        <w:rPr>
          <w:rFonts w:ascii="Microsoft Sans Serif" w:hAnsi="Microsoft Sans Serif"/>
          <w:spacing w:val="16"/>
          <w:sz w:val="19"/>
        </w:rPr>
        <w:t> </w:t>
      </w:r>
      <w:r>
        <w:rPr>
          <w:rFonts w:ascii="Microsoft Sans Serif" w:hAnsi="Microsoft Sans Serif"/>
          <w:sz w:val="19"/>
        </w:rPr>
        <w:t>fenômeno</w:t>
      </w:r>
      <w:r>
        <w:rPr>
          <w:rFonts w:ascii="Microsoft Sans Serif" w:hAnsi="Microsoft Sans Serif"/>
          <w:spacing w:val="16"/>
          <w:sz w:val="19"/>
        </w:rPr>
        <w:t> </w:t>
      </w:r>
      <w:r>
        <w:rPr>
          <w:rFonts w:ascii="Microsoft Sans Serif" w:hAnsi="Microsoft Sans Serif"/>
          <w:sz w:val="19"/>
        </w:rPr>
        <w:t>de</w:t>
      </w:r>
      <w:r>
        <w:rPr>
          <w:rFonts w:ascii="Microsoft Sans Serif" w:hAnsi="Microsoft Sans Serif"/>
          <w:spacing w:val="16"/>
          <w:sz w:val="19"/>
        </w:rPr>
        <w:t> </w:t>
      </w:r>
      <w:r>
        <w:rPr>
          <w:rFonts w:ascii="Microsoft Sans Serif" w:hAnsi="Microsoft Sans Serif"/>
          <w:spacing w:val="-2"/>
          <w:sz w:val="19"/>
        </w:rPr>
        <w:t>Raynaud.</w:t>
      </w:r>
      <w:r>
        <w:rPr>
          <w:rFonts w:ascii="Microsoft Sans Serif" w:hAnsi="Microsoft Sans Serif"/>
          <w:spacing w:val="-2"/>
          <w:sz w:val="19"/>
          <w:vertAlign w:val="superscript"/>
        </w:rPr>
        <w:t>1</w:t>
      </w:r>
    </w:p>
    <w:p>
      <w:pPr>
        <w:pStyle w:val="BodyText"/>
        <w:spacing w:before="185"/>
        <w:ind w:left="0" w:firstLine="0"/>
        <w:jc w:val="left"/>
        <w:rPr>
          <w:rFonts w:ascii="Microsoft Sans Serif"/>
          <w:sz w:val="19"/>
        </w:rPr>
      </w:pPr>
    </w:p>
    <w:p>
      <w:pPr>
        <w:pStyle w:val="BodyText"/>
        <w:spacing w:before="0"/>
        <w:ind w:firstLine="0"/>
        <w:jc w:val="left"/>
        <w:rPr>
          <w:rFonts w:ascii="Microsoft Sans Serif" w:hAnsi="Microsoft Sans Serif"/>
        </w:rPr>
      </w:pPr>
      <w:r>
        <w:rPr>
          <w:rFonts w:ascii="Arial" w:hAnsi="Arial"/>
          <w:b/>
          <w:color w:val="242B67"/>
        </w:rPr>
        <w:t>Tabela</w:t>
      </w:r>
      <w:r>
        <w:rPr>
          <w:rFonts w:ascii="Arial" w:hAnsi="Arial"/>
          <w:b/>
          <w:color w:val="242B67"/>
          <w:spacing w:val="-1"/>
        </w:rPr>
        <w:t> </w:t>
      </w:r>
      <w:r>
        <w:rPr>
          <w:rFonts w:ascii="Arial" w:hAnsi="Arial"/>
          <w:b/>
          <w:color w:val="242B67"/>
        </w:rPr>
        <w:t>59.1</w:t>
      </w:r>
      <w:r>
        <w:rPr>
          <w:rFonts w:ascii="Arial" w:hAnsi="Arial"/>
          <w:b/>
          <w:color w:val="242B67"/>
          <w:spacing w:val="-2"/>
        </w:rPr>
        <w:t> </w:t>
      </w:r>
      <w:r>
        <w:rPr>
          <w:rFonts w:ascii="Microsoft Sans Serif" w:hAnsi="Microsoft Sans Serif"/>
        </w:rPr>
        <w:t>Tratamento</w:t>
      </w:r>
      <w:r>
        <w:rPr>
          <w:rFonts w:ascii="Microsoft Sans Serif" w:hAnsi="Microsoft Sans Serif"/>
          <w:spacing w:val="1"/>
        </w:rPr>
        <w:t> </w:t>
      </w:r>
      <w:r>
        <w:rPr>
          <w:rFonts w:ascii="Microsoft Sans Serif" w:hAnsi="Microsoft Sans Serif"/>
        </w:rPr>
        <w:t>farmacológico</w:t>
      </w:r>
      <w:r>
        <w:rPr>
          <w:rFonts w:ascii="Microsoft Sans Serif" w:hAnsi="Microsoft Sans Serif"/>
          <w:spacing w:val="1"/>
        </w:rPr>
        <w:t> </w:t>
      </w:r>
      <w:r>
        <w:rPr>
          <w:rFonts w:ascii="Microsoft Sans Serif" w:hAnsi="Microsoft Sans Serif"/>
        </w:rPr>
        <w:t>do</w:t>
      </w:r>
      <w:r>
        <w:rPr>
          <w:rFonts w:ascii="Microsoft Sans Serif" w:hAnsi="Microsoft Sans Serif"/>
          <w:spacing w:val="1"/>
        </w:rPr>
        <w:t> </w:t>
      </w:r>
      <w:r>
        <w:rPr>
          <w:rFonts w:ascii="Microsoft Sans Serif" w:hAnsi="Microsoft Sans Serif"/>
        </w:rPr>
        <w:t>fenômeno</w:t>
      </w:r>
      <w:r>
        <w:rPr>
          <w:rFonts w:ascii="Microsoft Sans Serif" w:hAnsi="Microsoft Sans Serif"/>
          <w:spacing w:val="1"/>
        </w:rPr>
        <w:t> </w:t>
      </w:r>
      <w:r>
        <w:rPr>
          <w:rFonts w:ascii="Microsoft Sans Serif" w:hAnsi="Microsoft Sans Serif"/>
        </w:rPr>
        <w:t>de</w:t>
      </w:r>
      <w:r>
        <w:rPr>
          <w:rFonts w:ascii="Microsoft Sans Serif" w:hAnsi="Microsoft Sans Serif"/>
          <w:spacing w:val="2"/>
        </w:rPr>
        <w:t> </w:t>
      </w:r>
      <w:r>
        <w:rPr>
          <w:rFonts w:ascii="Microsoft Sans Serif" w:hAnsi="Microsoft Sans Serif"/>
          <w:spacing w:val="-2"/>
        </w:rPr>
        <w:t>Raynaud.</w:t>
      </w:r>
      <w:r>
        <w:rPr>
          <w:rFonts w:ascii="Microsoft Sans Serif" w:hAnsi="Microsoft Sans Serif"/>
          <w:spacing w:val="-2"/>
          <w:vertAlign w:val="superscript"/>
        </w:rPr>
        <w:t>1</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435"/>
        <w:gridCol w:w="1489"/>
        <w:gridCol w:w="1569"/>
        <w:gridCol w:w="2033"/>
        <w:gridCol w:w="2073"/>
      </w:tblGrid>
      <w:tr>
        <w:trPr>
          <w:trHeight w:val="430" w:hRule="atLeast"/>
        </w:trPr>
        <w:tc>
          <w:tcPr>
            <w:tcW w:w="4924" w:type="dxa"/>
            <w:gridSpan w:val="2"/>
            <w:tcBorders>
              <w:top w:val="nil"/>
              <w:left w:val="nil"/>
            </w:tcBorders>
            <w:shd w:val="clear" w:color="auto" w:fill="242B67"/>
          </w:tcPr>
          <w:p>
            <w:pPr>
              <w:pStyle w:val="TableParagraph"/>
              <w:spacing w:before="91"/>
              <w:ind w:left="67"/>
              <w:rPr>
                <w:rFonts w:ascii="Arial"/>
                <w:b/>
                <w:sz w:val="21"/>
              </w:rPr>
            </w:pPr>
            <w:r>
              <w:rPr>
                <w:rFonts w:ascii="Arial"/>
                <w:b/>
                <w:color w:val="FFFFFF"/>
                <w:spacing w:val="-2"/>
                <w:w w:val="105"/>
                <w:sz w:val="21"/>
              </w:rPr>
              <w:t>Agentes</w:t>
            </w:r>
          </w:p>
        </w:tc>
        <w:tc>
          <w:tcPr>
            <w:tcW w:w="1569" w:type="dxa"/>
            <w:tcBorders>
              <w:top w:val="nil"/>
            </w:tcBorders>
            <w:shd w:val="clear" w:color="auto" w:fill="242B67"/>
          </w:tcPr>
          <w:p>
            <w:pPr>
              <w:pStyle w:val="TableParagraph"/>
              <w:spacing w:before="91"/>
              <w:ind w:left="66"/>
              <w:rPr>
                <w:rFonts w:ascii="Arial"/>
                <w:b/>
                <w:sz w:val="21"/>
              </w:rPr>
            </w:pPr>
            <w:r>
              <w:rPr>
                <w:rFonts w:ascii="Arial"/>
                <w:b/>
                <w:color w:val="FFFFFF"/>
                <w:spacing w:val="-4"/>
                <w:w w:val="105"/>
                <w:sz w:val="21"/>
              </w:rPr>
              <w:t>Dose</w:t>
            </w:r>
          </w:p>
        </w:tc>
        <w:tc>
          <w:tcPr>
            <w:tcW w:w="2033" w:type="dxa"/>
            <w:tcBorders>
              <w:top w:val="nil"/>
            </w:tcBorders>
            <w:shd w:val="clear" w:color="auto" w:fill="242B67"/>
          </w:tcPr>
          <w:p>
            <w:pPr>
              <w:pStyle w:val="TableParagraph"/>
              <w:spacing w:before="91"/>
              <w:ind w:left="67"/>
              <w:rPr>
                <w:rFonts w:ascii="Arial"/>
                <w:b/>
                <w:sz w:val="21"/>
              </w:rPr>
            </w:pPr>
            <w:r>
              <w:rPr>
                <w:rFonts w:ascii="Arial"/>
                <w:b/>
                <w:color w:val="FFFFFF"/>
                <w:w w:val="105"/>
                <w:sz w:val="21"/>
              </w:rPr>
              <w:t>Efeitos</w:t>
            </w:r>
            <w:r>
              <w:rPr>
                <w:rFonts w:ascii="Arial"/>
                <w:b/>
                <w:color w:val="FFFFFF"/>
                <w:spacing w:val="12"/>
                <w:w w:val="105"/>
                <w:sz w:val="21"/>
              </w:rPr>
              <w:t> </w:t>
            </w:r>
            <w:r>
              <w:rPr>
                <w:rFonts w:ascii="Arial"/>
                <w:b/>
                <w:color w:val="FFFFFF"/>
                <w:spacing w:val="-2"/>
                <w:w w:val="105"/>
                <w:sz w:val="21"/>
              </w:rPr>
              <w:t>adversos</w:t>
            </w:r>
          </w:p>
        </w:tc>
        <w:tc>
          <w:tcPr>
            <w:tcW w:w="2073" w:type="dxa"/>
            <w:tcBorders>
              <w:top w:val="nil"/>
              <w:right w:val="nil"/>
            </w:tcBorders>
            <w:shd w:val="clear" w:color="auto" w:fill="242B67"/>
          </w:tcPr>
          <w:p>
            <w:pPr>
              <w:pStyle w:val="TableParagraph"/>
              <w:spacing w:before="91"/>
              <w:ind w:left="68"/>
              <w:rPr>
                <w:rFonts w:ascii="Arial" w:hAnsi="Arial"/>
                <w:b/>
                <w:sz w:val="21"/>
              </w:rPr>
            </w:pPr>
            <w:r>
              <w:rPr>
                <w:rFonts w:ascii="Arial" w:hAnsi="Arial"/>
                <w:b/>
                <w:color w:val="FFFFFF"/>
                <w:spacing w:val="-2"/>
                <w:w w:val="105"/>
                <w:sz w:val="21"/>
              </w:rPr>
              <w:t>Comentários</w:t>
            </w:r>
          </w:p>
        </w:tc>
      </w:tr>
      <w:tr>
        <w:trPr>
          <w:trHeight w:val="732" w:hRule="atLeast"/>
        </w:trPr>
        <w:tc>
          <w:tcPr>
            <w:tcW w:w="3435" w:type="dxa"/>
            <w:vMerge w:val="restart"/>
            <w:tcBorders>
              <w:left w:val="nil"/>
              <w:bottom w:val="nil"/>
            </w:tcBorders>
            <w:shd w:val="clear" w:color="auto" w:fill="EDECF3"/>
          </w:tcPr>
          <w:p>
            <w:pPr>
              <w:pStyle w:val="TableParagraph"/>
              <w:spacing w:line="307" w:lineRule="auto"/>
              <w:ind w:left="67" w:right="260"/>
              <w:rPr>
                <w:sz w:val="21"/>
              </w:rPr>
            </w:pPr>
            <w:r>
              <w:rPr>
                <w:w w:val="105"/>
                <w:sz w:val="21"/>
              </w:rPr>
              <w:t>Bloqueadores dos canais </w:t>
            </w:r>
            <w:r>
              <w:rPr>
                <w:w w:val="105"/>
                <w:sz w:val="21"/>
              </w:rPr>
              <w:t>de </w:t>
            </w:r>
            <w:r>
              <w:rPr>
                <w:spacing w:val="-2"/>
                <w:w w:val="105"/>
                <w:sz w:val="21"/>
              </w:rPr>
              <w:t>cálcio</w:t>
            </w:r>
          </w:p>
        </w:tc>
        <w:tc>
          <w:tcPr>
            <w:tcW w:w="1489" w:type="dxa"/>
            <w:shd w:val="clear" w:color="auto" w:fill="EDECF3"/>
          </w:tcPr>
          <w:p>
            <w:pPr>
              <w:pStyle w:val="TableParagraph"/>
              <w:ind w:left="66"/>
              <w:rPr>
                <w:sz w:val="21"/>
              </w:rPr>
            </w:pPr>
            <w:r>
              <w:rPr>
                <w:spacing w:val="-2"/>
                <w:sz w:val="21"/>
              </w:rPr>
              <w:t>Nifedipino</w:t>
            </w:r>
          </w:p>
        </w:tc>
        <w:tc>
          <w:tcPr>
            <w:tcW w:w="1569" w:type="dxa"/>
            <w:shd w:val="clear" w:color="auto" w:fill="EDECF3"/>
          </w:tcPr>
          <w:p>
            <w:pPr>
              <w:pStyle w:val="TableParagraph"/>
              <w:spacing w:line="307" w:lineRule="auto"/>
              <w:ind w:left="66"/>
              <w:rPr>
                <w:sz w:val="21"/>
              </w:rPr>
            </w:pPr>
            <w:r>
              <w:rPr>
                <w:w w:val="105"/>
                <w:sz w:val="21"/>
              </w:rPr>
              <w:t>10 a 30 mg </w:t>
            </w:r>
            <w:r>
              <w:rPr>
                <w:w w:val="105"/>
                <w:sz w:val="21"/>
              </w:rPr>
              <w:t>3</w:t>
            </w:r>
            <w:r>
              <w:rPr>
                <w:w w:val="105"/>
                <w:sz w:val="21"/>
              </w:rPr>
              <w:t> </w:t>
            </w:r>
            <w:r>
              <w:rPr>
                <w:spacing w:val="-2"/>
                <w:w w:val="105"/>
                <w:sz w:val="21"/>
              </w:rPr>
              <w:t>vezes/dia</w:t>
            </w:r>
          </w:p>
        </w:tc>
        <w:tc>
          <w:tcPr>
            <w:tcW w:w="2033" w:type="dxa"/>
            <w:vMerge w:val="restart"/>
            <w:tcBorders>
              <w:bottom w:val="nil"/>
            </w:tcBorders>
            <w:shd w:val="clear" w:color="auto" w:fill="EDECF3"/>
          </w:tcPr>
          <w:p>
            <w:pPr>
              <w:pStyle w:val="TableParagraph"/>
              <w:spacing w:line="307" w:lineRule="auto"/>
              <w:ind w:left="67" w:right="136"/>
              <w:rPr>
                <w:sz w:val="21"/>
              </w:rPr>
            </w:pPr>
            <w:r>
              <w:rPr>
                <w:spacing w:val="-2"/>
                <w:w w:val="105"/>
                <w:sz w:val="21"/>
              </w:rPr>
              <w:t>Taquicardia, edema, </w:t>
            </w:r>
            <w:r>
              <w:rPr>
                <w:w w:val="105"/>
                <w:sz w:val="21"/>
              </w:rPr>
              <w:t>vermelhidão </w:t>
            </w:r>
            <w:r>
              <w:rPr>
                <w:w w:val="105"/>
                <w:sz w:val="21"/>
              </w:rPr>
              <w:t>na</w:t>
            </w:r>
          </w:p>
        </w:tc>
        <w:tc>
          <w:tcPr>
            <w:tcW w:w="2073" w:type="dxa"/>
            <w:vMerge w:val="restart"/>
            <w:tcBorders>
              <w:bottom w:val="nil"/>
              <w:right w:val="nil"/>
            </w:tcBorders>
            <w:shd w:val="clear" w:color="auto" w:fill="EDECF3"/>
          </w:tcPr>
          <w:p>
            <w:pPr>
              <w:pStyle w:val="TableParagraph"/>
              <w:spacing w:line="307" w:lineRule="auto" w:before="89"/>
              <w:ind w:left="68" w:right="237"/>
              <w:rPr>
                <w:sz w:val="21"/>
              </w:rPr>
            </w:pPr>
            <w:r>
              <w:rPr>
                <w:rFonts w:ascii="Arial" w:hAnsi="Arial"/>
                <w:i/>
                <w:w w:val="105"/>
                <w:sz w:val="21"/>
              </w:rPr>
              <w:t>Trials </w:t>
            </w:r>
            <w:r>
              <w:rPr>
                <w:w w:val="105"/>
                <w:sz w:val="21"/>
              </w:rPr>
              <w:t>placebo-</w:t>
            </w:r>
            <w:r>
              <w:rPr>
                <w:spacing w:val="-2"/>
                <w:w w:val="105"/>
                <w:sz w:val="21"/>
              </w:rPr>
              <w:t>controlados </w:t>
            </w:r>
            <w:r>
              <w:rPr>
                <w:w w:val="105"/>
                <w:sz w:val="21"/>
              </w:rPr>
              <w:t>indicam </w:t>
            </w:r>
            <w:r>
              <w:rPr>
                <w:w w:val="105"/>
                <w:sz w:val="21"/>
              </w:rPr>
              <w:t>benefício</w:t>
            </w:r>
          </w:p>
        </w:tc>
      </w:tr>
      <w:tr>
        <w:trPr>
          <w:trHeight w:val="508" w:hRule="atLeast"/>
        </w:trPr>
        <w:tc>
          <w:tcPr>
            <w:tcW w:w="3435" w:type="dxa"/>
            <w:vMerge/>
            <w:tcBorders>
              <w:top w:val="nil"/>
              <w:left w:val="nil"/>
              <w:bottom w:val="nil"/>
            </w:tcBorders>
            <w:shd w:val="clear" w:color="auto" w:fill="EDECF3"/>
          </w:tcPr>
          <w:p>
            <w:pPr>
              <w:rPr>
                <w:sz w:val="2"/>
                <w:szCs w:val="2"/>
              </w:rPr>
            </w:pPr>
          </w:p>
        </w:tc>
        <w:tc>
          <w:tcPr>
            <w:tcW w:w="1489" w:type="dxa"/>
            <w:tcBorders>
              <w:bottom w:val="nil"/>
            </w:tcBorders>
            <w:shd w:val="clear" w:color="auto" w:fill="EDECF3"/>
          </w:tcPr>
          <w:p>
            <w:pPr>
              <w:pStyle w:val="TableParagraph"/>
              <w:ind w:left="66"/>
              <w:rPr>
                <w:sz w:val="21"/>
              </w:rPr>
            </w:pPr>
            <w:r>
              <w:rPr>
                <w:spacing w:val="-2"/>
                <w:sz w:val="21"/>
              </w:rPr>
              <w:t>Anlodipino</w:t>
            </w:r>
          </w:p>
        </w:tc>
        <w:tc>
          <w:tcPr>
            <w:tcW w:w="1569" w:type="dxa"/>
            <w:tcBorders>
              <w:bottom w:val="nil"/>
            </w:tcBorders>
            <w:shd w:val="clear" w:color="auto" w:fill="EDECF3"/>
          </w:tcPr>
          <w:p>
            <w:pPr>
              <w:pStyle w:val="TableParagraph"/>
              <w:ind w:left="67"/>
              <w:rPr>
                <w:sz w:val="21"/>
              </w:rPr>
            </w:pPr>
            <w:r>
              <w:rPr>
                <w:w w:val="105"/>
                <w:sz w:val="21"/>
              </w:rPr>
              <w:t>5</w:t>
            </w:r>
            <w:r>
              <w:rPr>
                <w:spacing w:val="11"/>
                <w:w w:val="105"/>
                <w:sz w:val="21"/>
              </w:rPr>
              <w:t> </w:t>
            </w:r>
            <w:r>
              <w:rPr>
                <w:w w:val="105"/>
                <w:sz w:val="21"/>
              </w:rPr>
              <w:t>a</w:t>
            </w:r>
            <w:r>
              <w:rPr>
                <w:spacing w:val="11"/>
                <w:w w:val="105"/>
                <w:sz w:val="21"/>
              </w:rPr>
              <w:t> </w:t>
            </w:r>
            <w:r>
              <w:rPr>
                <w:w w:val="105"/>
                <w:sz w:val="21"/>
              </w:rPr>
              <w:t>20</w:t>
            </w:r>
            <w:r>
              <w:rPr>
                <w:spacing w:val="12"/>
                <w:w w:val="105"/>
                <w:sz w:val="21"/>
              </w:rPr>
              <w:t> </w:t>
            </w:r>
            <w:r>
              <w:rPr>
                <w:spacing w:val="-2"/>
                <w:w w:val="105"/>
                <w:sz w:val="21"/>
              </w:rPr>
              <w:t>mg/dia</w:t>
            </w:r>
          </w:p>
        </w:tc>
        <w:tc>
          <w:tcPr>
            <w:tcW w:w="2033" w:type="dxa"/>
            <w:vMerge/>
            <w:tcBorders>
              <w:top w:val="nil"/>
              <w:bottom w:val="nil"/>
            </w:tcBorders>
            <w:shd w:val="clear" w:color="auto" w:fill="EDECF3"/>
          </w:tcPr>
          <w:p>
            <w:pPr>
              <w:rPr>
                <w:sz w:val="2"/>
                <w:szCs w:val="2"/>
              </w:rPr>
            </w:pPr>
          </w:p>
        </w:tc>
        <w:tc>
          <w:tcPr>
            <w:tcW w:w="2073" w:type="dxa"/>
            <w:vMerge/>
            <w:tcBorders>
              <w:top w:val="nil"/>
              <w:bottom w:val="nil"/>
              <w:right w:val="nil"/>
            </w:tcBorders>
            <w:shd w:val="clear" w:color="auto" w:fill="EDECF3"/>
          </w:tcPr>
          <w:p>
            <w:pPr>
              <w:rPr>
                <w:sz w:val="2"/>
                <w:szCs w:val="2"/>
              </w:rPr>
            </w:pPr>
          </w:p>
        </w:tc>
      </w:tr>
    </w:tbl>
    <w:p>
      <w:pPr>
        <w:spacing w:after="0"/>
        <w:rPr>
          <w:sz w:val="2"/>
          <w:szCs w:val="2"/>
        </w:rPr>
        <w:sectPr>
          <w:pgSz w:w="11900" w:h="16840"/>
          <w:pgMar w:top="280" w:bottom="242"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435"/>
        <w:gridCol w:w="1489"/>
        <w:gridCol w:w="1569"/>
        <w:gridCol w:w="2033"/>
        <w:gridCol w:w="2089"/>
      </w:tblGrid>
      <w:tr>
        <w:trPr>
          <w:trHeight w:val="93" w:hRule="atLeast"/>
        </w:trPr>
        <w:tc>
          <w:tcPr>
            <w:tcW w:w="3435" w:type="dxa"/>
            <w:vMerge w:val="restart"/>
            <w:tcBorders>
              <w:top w:val="nil"/>
              <w:left w:val="nil"/>
            </w:tcBorders>
            <w:shd w:val="clear" w:color="auto" w:fill="EDECF3"/>
          </w:tcPr>
          <w:p>
            <w:pPr>
              <w:pStyle w:val="TableParagraph"/>
              <w:spacing w:before="0"/>
              <w:ind w:left="0"/>
              <w:rPr>
                <w:rFonts w:ascii="Times New Roman"/>
                <w:sz w:val="20"/>
              </w:rPr>
            </w:pPr>
          </w:p>
        </w:tc>
        <w:tc>
          <w:tcPr>
            <w:tcW w:w="1489" w:type="dxa"/>
            <w:tcBorders>
              <w:top w:val="nil"/>
            </w:tcBorders>
            <w:shd w:val="clear" w:color="auto" w:fill="EDECF3"/>
          </w:tcPr>
          <w:p>
            <w:pPr>
              <w:pStyle w:val="TableParagraph"/>
              <w:spacing w:before="0"/>
              <w:ind w:left="0"/>
              <w:rPr>
                <w:rFonts w:ascii="Times New Roman"/>
                <w:sz w:val="4"/>
              </w:rPr>
            </w:pPr>
          </w:p>
        </w:tc>
        <w:tc>
          <w:tcPr>
            <w:tcW w:w="1569" w:type="dxa"/>
            <w:tcBorders>
              <w:top w:val="nil"/>
            </w:tcBorders>
            <w:shd w:val="clear" w:color="auto" w:fill="EDECF3"/>
          </w:tcPr>
          <w:p>
            <w:pPr>
              <w:pStyle w:val="TableParagraph"/>
              <w:spacing w:before="0"/>
              <w:ind w:left="0"/>
              <w:rPr>
                <w:rFonts w:ascii="Times New Roman"/>
                <w:sz w:val="4"/>
              </w:rPr>
            </w:pPr>
          </w:p>
        </w:tc>
        <w:tc>
          <w:tcPr>
            <w:tcW w:w="2033" w:type="dxa"/>
            <w:vMerge w:val="restart"/>
            <w:tcBorders>
              <w:top w:val="nil"/>
            </w:tcBorders>
            <w:shd w:val="clear" w:color="auto" w:fill="EDECF3"/>
          </w:tcPr>
          <w:p>
            <w:pPr>
              <w:pStyle w:val="TableParagraph"/>
              <w:spacing w:line="307" w:lineRule="auto" w:before="0"/>
              <w:ind w:left="67" w:right="136"/>
              <w:rPr>
                <w:sz w:val="21"/>
              </w:rPr>
            </w:pPr>
            <w:r>
              <w:rPr>
                <w:w w:val="105"/>
                <w:sz w:val="21"/>
              </w:rPr>
              <w:t>face, </w:t>
            </w:r>
            <w:r>
              <w:rPr>
                <w:w w:val="105"/>
                <w:sz w:val="21"/>
              </w:rPr>
              <w:t>convulsão, dor de cabeça, </w:t>
            </w:r>
            <w:r>
              <w:rPr>
                <w:spacing w:val="-2"/>
                <w:w w:val="105"/>
                <w:sz w:val="21"/>
              </w:rPr>
              <w:t>constipação intestinal, hipotensão postural</w:t>
            </w:r>
          </w:p>
        </w:tc>
        <w:tc>
          <w:tcPr>
            <w:tcW w:w="2089" w:type="dxa"/>
            <w:vMerge w:val="restart"/>
            <w:tcBorders>
              <w:top w:val="nil"/>
              <w:right w:val="nil"/>
            </w:tcBorders>
            <w:shd w:val="clear" w:color="auto" w:fill="EDECF3"/>
          </w:tcPr>
          <w:p>
            <w:pPr>
              <w:pStyle w:val="TableParagraph"/>
              <w:spacing w:before="0"/>
              <w:ind w:left="0"/>
              <w:rPr>
                <w:rFonts w:ascii="Times New Roman"/>
                <w:sz w:val="20"/>
              </w:rPr>
            </w:pPr>
          </w:p>
        </w:tc>
      </w:tr>
      <w:tr>
        <w:trPr>
          <w:trHeight w:val="732" w:hRule="atLeast"/>
        </w:trPr>
        <w:tc>
          <w:tcPr>
            <w:tcW w:w="3435" w:type="dxa"/>
            <w:vMerge/>
            <w:tcBorders>
              <w:top w:val="nil"/>
              <w:left w:val="nil"/>
            </w:tcBorders>
            <w:shd w:val="clear" w:color="auto" w:fill="EDECF3"/>
          </w:tcPr>
          <w:p>
            <w:pPr>
              <w:rPr>
                <w:sz w:val="2"/>
                <w:szCs w:val="2"/>
              </w:rPr>
            </w:pPr>
          </w:p>
        </w:tc>
        <w:tc>
          <w:tcPr>
            <w:tcW w:w="1489" w:type="dxa"/>
            <w:shd w:val="clear" w:color="auto" w:fill="EDECF3"/>
          </w:tcPr>
          <w:p>
            <w:pPr>
              <w:pStyle w:val="TableParagraph"/>
              <w:ind w:left="66"/>
              <w:rPr>
                <w:sz w:val="21"/>
              </w:rPr>
            </w:pPr>
            <w:r>
              <w:rPr>
                <w:spacing w:val="-2"/>
                <w:sz w:val="21"/>
              </w:rPr>
              <w:t>Felodipino</w:t>
            </w:r>
          </w:p>
        </w:tc>
        <w:tc>
          <w:tcPr>
            <w:tcW w:w="1569" w:type="dxa"/>
            <w:shd w:val="clear" w:color="auto" w:fill="EDECF3"/>
          </w:tcPr>
          <w:p>
            <w:pPr>
              <w:pStyle w:val="TableParagraph"/>
              <w:spacing w:line="307" w:lineRule="auto"/>
              <w:ind w:left="66"/>
              <w:rPr>
                <w:sz w:val="21"/>
              </w:rPr>
            </w:pPr>
            <w:r>
              <w:rPr>
                <w:w w:val="105"/>
                <w:sz w:val="21"/>
              </w:rPr>
              <w:t>2,5 a 10 mg </w:t>
            </w:r>
            <w:r>
              <w:rPr>
                <w:w w:val="105"/>
                <w:sz w:val="21"/>
              </w:rPr>
              <w:t>2 </w:t>
            </w:r>
            <w:r>
              <w:rPr>
                <w:spacing w:val="-2"/>
                <w:w w:val="105"/>
                <w:sz w:val="21"/>
              </w:rPr>
              <w:t>vezes/dia</w:t>
            </w:r>
          </w:p>
        </w:tc>
        <w:tc>
          <w:tcPr>
            <w:tcW w:w="2033" w:type="dxa"/>
            <w:vMerge/>
            <w:tcBorders>
              <w:top w:val="nil"/>
            </w:tcBorders>
            <w:shd w:val="clear" w:color="auto" w:fill="EDECF3"/>
          </w:tcPr>
          <w:p>
            <w:pPr>
              <w:rPr>
                <w:sz w:val="2"/>
                <w:szCs w:val="2"/>
              </w:rPr>
            </w:pPr>
          </w:p>
        </w:tc>
        <w:tc>
          <w:tcPr>
            <w:tcW w:w="2089" w:type="dxa"/>
            <w:vMerge/>
            <w:tcBorders>
              <w:top w:val="nil"/>
              <w:right w:val="nil"/>
            </w:tcBorders>
            <w:shd w:val="clear" w:color="auto" w:fill="EDECF3"/>
          </w:tcPr>
          <w:p>
            <w:pPr>
              <w:rPr>
                <w:sz w:val="2"/>
                <w:szCs w:val="2"/>
              </w:rPr>
            </w:pPr>
          </w:p>
        </w:tc>
      </w:tr>
      <w:tr>
        <w:trPr>
          <w:trHeight w:val="732" w:hRule="atLeast"/>
        </w:trPr>
        <w:tc>
          <w:tcPr>
            <w:tcW w:w="3435" w:type="dxa"/>
            <w:vMerge/>
            <w:tcBorders>
              <w:top w:val="nil"/>
              <w:left w:val="nil"/>
            </w:tcBorders>
            <w:shd w:val="clear" w:color="auto" w:fill="EDECF3"/>
          </w:tcPr>
          <w:p>
            <w:pPr>
              <w:rPr>
                <w:sz w:val="2"/>
                <w:szCs w:val="2"/>
              </w:rPr>
            </w:pPr>
          </w:p>
        </w:tc>
        <w:tc>
          <w:tcPr>
            <w:tcW w:w="1489" w:type="dxa"/>
            <w:shd w:val="clear" w:color="auto" w:fill="EDECF3"/>
          </w:tcPr>
          <w:p>
            <w:pPr>
              <w:pStyle w:val="TableParagraph"/>
              <w:ind w:left="66"/>
              <w:rPr>
                <w:sz w:val="21"/>
              </w:rPr>
            </w:pPr>
            <w:r>
              <w:rPr>
                <w:spacing w:val="-2"/>
                <w:sz w:val="21"/>
              </w:rPr>
              <w:t>Diltizem</w:t>
            </w:r>
          </w:p>
        </w:tc>
        <w:tc>
          <w:tcPr>
            <w:tcW w:w="1569" w:type="dxa"/>
            <w:shd w:val="clear" w:color="auto" w:fill="EDECF3"/>
          </w:tcPr>
          <w:p>
            <w:pPr>
              <w:pStyle w:val="TableParagraph"/>
              <w:ind w:left="66"/>
              <w:rPr>
                <w:sz w:val="21"/>
              </w:rPr>
            </w:pPr>
            <w:r>
              <w:rPr>
                <w:w w:val="105"/>
                <w:sz w:val="21"/>
              </w:rPr>
              <w:t>30</w:t>
            </w:r>
            <w:r>
              <w:rPr>
                <w:spacing w:val="14"/>
                <w:w w:val="105"/>
                <w:sz w:val="21"/>
              </w:rPr>
              <w:t> </w:t>
            </w:r>
            <w:r>
              <w:rPr>
                <w:w w:val="105"/>
                <w:sz w:val="21"/>
              </w:rPr>
              <w:t>a</w:t>
            </w:r>
            <w:r>
              <w:rPr>
                <w:spacing w:val="15"/>
                <w:w w:val="105"/>
                <w:sz w:val="21"/>
              </w:rPr>
              <w:t> </w:t>
            </w:r>
            <w:r>
              <w:rPr>
                <w:w w:val="105"/>
                <w:sz w:val="21"/>
              </w:rPr>
              <w:t>120</w:t>
            </w:r>
            <w:r>
              <w:rPr>
                <w:spacing w:val="14"/>
                <w:w w:val="105"/>
                <w:sz w:val="21"/>
              </w:rPr>
              <w:t> </w:t>
            </w:r>
            <w:r>
              <w:rPr>
                <w:spacing w:val="-7"/>
                <w:w w:val="105"/>
                <w:sz w:val="21"/>
              </w:rPr>
              <w:t>mg</w:t>
            </w:r>
          </w:p>
          <w:p>
            <w:pPr>
              <w:pStyle w:val="TableParagraph"/>
              <w:spacing w:before="67"/>
              <w:ind w:left="66"/>
              <w:rPr>
                <w:sz w:val="21"/>
              </w:rPr>
            </w:pPr>
            <w:r>
              <w:rPr>
                <w:w w:val="105"/>
                <w:sz w:val="21"/>
              </w:rPr>
              <w:t>3</w:t>
            </w:r>
            <w:r>
              <w:rPr>
                <w:spacing w:val="9"/>
                <w:w w:val="105"/>
                <w:sz w:val="21"/>
              </w:rPr>
              <w:t> </w:t>
            </w:r>
            <w:r>
              <w:rPr>
                <w:spacing w:val="-2"/>
                <w:w w:val="105"/>
                <w:sz w:val="21"/>
              </w:rPr>
              <w:t>vezes/dia</w:t>
            </w:r>
          </w:p>
        </w:tc>
        <w:tc>
          <w:tcPr>
            <w:tcW w:w="2033" w:type="dxa"/>
            <w:vMerge/>
            <w:tcBorders>
              <w:top w:val="nil"/>
            </w:tcBorders>
            <w:shd w:val="clear" w:color="auto" w:fill="EDECF3"/>
          </w:tcPr>
          <w:p>
            <w:pPr>
              <w:rPr>
                <w:sz w:val="2"/>
                <w:szCs w:val="2"/>
              </w:rPr>
            </w:pPr>
          </w:p>
        </w:tc>
        <w:tc>
          <w:tcPr>
            <w:tcW w:w="2089" w:type="dxa"/>
            <w:vMerge/>
            <w:tcBorders>
              <w:top w:val="nil"/>
              <w:right w:val="nil"/>
            </w:tcBorders>
            <w:shd w:val="clear" w:color="auto" w:fill="EDECF3"/>
          </w:tcPr>
          <w:p>
            <w:pPr>
              <w:rPr>
                <w:sz w:val="2"/>
                <w:szCs w:val="2"/>
              </w:rPr>
            </w:pPr>
          </w:p>
        </w:tc>
      </w:tr>
      <w:tr>
        <w:trPr>
          <w:trHeight w:val="732" w:hRule="atLeast"/>
        </w:trPr>
        <w:tc>
          <w:tcPr>
            <w:tcW w:w="3435" w:type="dxa"/>
            <w:vMerge/>
            <w:tcBorders>
              <w:top w:val="nil"/>
              <w:left w:val="nil"/>
            </w:tcBorders>
            <w:shd w:val="clear" w:color="auto" w:fill="EDECF3"/>
          </w:tcPr>
          <w:p>
            <w:pPr>
              <w:rPr>
                <w:sz w:val="2"/>
                <w:szCs w:val="2"/>
              </w:rPr>
            </w:pPr>
          </w:p>
        </w:tc>
        <w:tc>
          <w:tcPr>
            <w:tcW w:w="1489" w:type="dxa"/>
            <w:shd w:val="clear" w:color="auto" w:fill="EDECF3"/>
          </w:tcPr>
          <w:p>
            <w:pPr>
              <w:pStyle w:val="TableParagraph"/>
              <w:ind w:left="66"/>
              <w:rPr>
                <w:sz w:val="21"/>
              </w:rPr>
            </w:pPr>
            <w:r>
              <w:rPr>
                <w:spacing w:val="-2"/>
                <w:w w:val="105"/>
                <w:sz w:val="21"/>
              </w:rPr>
              <w:t>Isradipino</w:t>
            </w:r>
          </w:p>
        </w:tc>
        <w:tc>
          <w:tcPr>
            <w:tcW w:w="1569" w:type="dxa"/>
            <w:shd w:val="clear" w:color="auto" w:fill="EDECF3"/>
          </w:tcPr>
          <w:p>
            <w:pPr>
              <w:pStyle w:val="TableParagraph"/>
              <w:ind w:left="66"/>
              <w:rPr>
                <w:sz w:val="21"/>
              </w:rPr>
            </w:pPr>
            <w:r>
              <w:rPr>
                <w:w w:val="105"/>
                <w:sz w:val="21"/>
              </w:rPr>
              <w:t>2,5</w:t>
            </w:r>
            <w:r>
              <w:rPr>
                <w:spacing w:val="14"/>
                <w:w w:val="105"/>
                <w:sz w:val="21"/>
              </w:rPr>
              <w:t> </w:t>
            </w:r>
            <w:r>
              <w:rPr>
                <w:w w:val="105"/>
                <w:sz w:val="21"/>
              </w:rPr>
              <w:t>a</w:t>
            </w:r>
            <w:r>
              <w:rPr>
                <w:spacing w:val="14"/>
                <w:w w:val="105"/>
                <w:sz w:val="21"/>
              </w:rPr>
              <w:t> </w:t>
            </w:r>
            <w:r>
              <w:rPr>
                <w:w w:val="105"/>
                <w:sz w:val="21"/>
              </w:rPr>
              <w:t>5,0</w:t>
            </w:r>
            <w:r>
              <w:rPr>
                <w:spacing w:val="14"/>
                <w:w w:val="105"/>
                <w:sz w:val="21"/>
              </w:rPr>
              <w:t> </w:t>
            </w:r>
            <w:r>
              <w:rPr>
                <w:spacing w:val="-7"/>
                <w:w w:val="105"/>
                <w:sz w:val="21"/>
              </w:rPr>
              <w:t>mg</w:t>
            </w:r>
          </w:p>
          <w:p>
            <w:pPr>
              <w:pStyle w:val="TableParagraph"/>
              <w:spacing w:before="67"/>
              <w:ind w:left="66"/>
              <w:rPr>
                <w:sz w:val="21"/>
              </w:rPr>
            </w:pPr>
            <w:r>
              <w:rPr>
                <w:w w:val="105"/>
                <w:sz w:val="21"/>
              </w:rPr>
              <w:t>2</w:t>
            </w:r>
            <w:r>
              <w:rPr>
                <w:spacing w:val="9"/>
                <w:w w:val="105"/>
                <w:sz w:val="21"/>
              </w:rPr>
              <w:t> </w:t>
            </w:r>
            <w:r>
              <w:rPr>
                <w:spacing w:val="-2"/>
                <w:w w:val="105"/>
                <w:sz w:val="21"/>
              </w:rPr>
              <w:t>vezes/dia</w:t>
            </w:r>
          </w:p>
        </w:tc>
        <w:tc>
          <w:tcPr>
            <w:tcW w:w="2033" w:type="dxa"/>
            <w:vMerge/>
            <w:tcBorders>
              <w:top w:val="nil"/>
            </w:tcBorders>
            <w:shd w:val="clear" w:color="auto" w:fill="EDECF3"/>
          </w:tcPr>
          <w:p>
            <w:pPr>
              <w:rPr>
                <w:sz w:val="2"/>
                <w:szCs w:val="2"/>
              </w:rPr>
            </w:pPr>
          </w:p>
        </w:tc>
        <w:tc>
          <w:tcPr>
            <w:tcW w:w="2089" w:type="dxa"/>
            <w:vMerge/>
            <w:tcBorders>
              <w:top w:val="nil"/>
              <w:right w:val="nil"/>
            </w:tcBorders>
            <w:shd w:val="clear" w:color="auto" w:fill="EDECF3"/>
          </w:tcPr>
          <w:p>
            <w:pPr>
              <w:rPr>
                <w:sz w:val="2"/>
                <w:szCs w:val="2"/>
              </w:rPr>
            </w:pPr>
          </w:p>
        </w:tc>
      </w:tr>
      <w:tr>
        <w:trPr>
          <w:trHeight w:val="1645" w:hRule="atLeast"/>
        </w:trPr>
        <w:tc>
          <w:tcPr>
            <w:tcW w:w="3435" w:type="dxa"/>
            <w:tcBorders>
              <w:left w:val="nil"/>
            </w:tcBorders>
            <w:shd w:val="clear" w:color="auto" w:fill="EDECF3"/>
          </w:tcPr>
          <w:p>
            <w:pPr>
              <w:pStyle w:val="TableParagraph"/>
              <w:ind w:left="67"/>
              <w:rPr>
                <w:sz w:val="21"/>
              </w:rPr>
            </w:pPr>
            <w:r>
              <w:rPr>
                <w:w w:val="105"/>
                <w:sz w:val="21"/>
              </w:rPr>
              <w:t>Agentes</w:t>
            </w:r>
            <w:r>
              <w:rPr>
                <w:spacing w:val="21"/>
                <w:w w:val="105"/>
                <w:sz w:val="21"/>
              </w:rPr>
              <w:t> </w:t>
            </w:r>
            <w:r>
              <w:rPr>
                <w:spacing w:val="-2"/>
                <w:w w:val="105"/>
                <w:sz w:val="21"/>
              </w:rPr>
              <w:t>simpaticolíticos</w:t>
            </w:r>
          </w:p>
        </w:tc>
        <w:tc>
          <w:tcPr>
            <w:tcW w:w="1489" w:type="dxa"/>
            <w:shd w:val="clear" w:color="auto" w:fill="EDECF3"/>
          </w:tcPr>
          <w:p>
            <w:pPr>
              <w:pStyle w:val="TableParagraph"/>
              <w:ind w:left="66"/>
              <w:rPr>
                <w:sz w:val="21"/>
              </w:rPr>
            </w:pPr>
            <w:r>
              <w:rPr>
                <w:spacing w:val="-2"/>
                <w:w w:val="105"/>
                <w:sz w:val="21"/>
              </w:rPr>
              <w:t>Prazosina</w:t>
            </w:r>
          </w:p>
        </w:tc>
        <w:tc>
          <w:tcPr>
            <w:tcW w:w="1569" w:type="dxa"/>
            <w:shd w:val="clear" w:color="auto" w:fill="EDECF3"/>
          </w:tcPr>
          <w:p>
            <w:pPr>
              <w:pStyle w:val="TableParagraph"/>
              <w:spacing w:line="307" w:lineRule="auto"/>
              <w:ind w:left="66"/>
              <w:rPr>
                <w:sz w:val="21"/>
              </w:rPr>
            </w:pPr>
            <w:r>
              <w:rPr>
                <w:w w:val="105"/>
                <w:sz w:val="21"/>
              </w:rPr>
              <w:t>1</w:t>
            </w:r>
            <w:r>
              <w:rPr>
                <w:spacing w:val="-1"/>
                <w:w w:val="105"/>
                <w:sz w:val="21"/>
              </w:rPr>
              <w:t> </w:t>
            </w:r>
            <w:r>
              <w:rPr>
                <w:w w:val="105"/>
                <w:sz w:val="21"/>
              </w:rPr>
              <w:t>a</w:t>
            </w:r>
            <w:r>
              <w:rPr>
                <w:spacing w:val="-1"/>
                <w:w w:val="105"/>
                <w:sz w:val="21"/>
              </w:rPr>
              <w:t> </w:t>
            </w:r>
            <w:r>
              <w:rPr>
                <w:w w:val="105"/>
                <w:sz w:val="21"/>
              </w:rPr>
              <w:t>5</w:t>
            </w:r>
            <w:r>
              <w:rPr>
                <w:spacing w:val="-1"/>
                <w:w w:val="105"/>
                <w:sz w:val="21"/>
              </w:rPr>
              <w:t> </w:t>
            </w:r>
            <w:r>
              <w:rPr>
                <w:w w:val="105"/>
                <w:sz w:val="21"/>
              </w:rPr>
              <w:t>mg</w:t>
            </w:r>
            <w:r>
              <w:rPr>
                <w:spacing w:val="-1"/>
                <w:w w:val="105"/>
                <w:sz w:val="21"/>
              </w:rPr>
              <w:t> </w:t>
            </w:r>
            <w:r>
              <w:rPr>
                <w:w w:val="105"/>
                <w:sz w:val="21"/>
              </w:rPr>
              <w:t>2</w:t>
            </w:r>
            <w:r>
              <w:rPr>
                <w:w w:val="105"/>
                <w:sz w:val="21"/>
              </w:rPr>
              <w:t> </w:t>
            </w:r>
            <w:r>
              <w:rPr>
                <w:spacing w:val="-2"/>
                <w:w w:val="105"/>
                <w:sz w:val="21"/>
              </w:rPr>
              <w:t>vezes/dia</w:t>
            </w:r>
          </w:p>
        </w:tc>
        <w:tc>
          <w:tcPr>
            <w:tcW w:w="2033" w:type="dxa"/>
            <w:shd w:val="clear" w:color="auto" w:fill="EDECF3"/>
          </w:tcPr>
          <w:p>
            <w:pPr>
              <w:pStyle w:val="TableParagraph"/>
              <w:spacing w:line="307" w:lineRule="auto"/>
              <w:ind w:left="67" w:right="128"/>
              <w:rPr>
                <w:sz w:val="21"/>
              </w:rPr>
            </w:pPr>
            <w:r>
              <w:rPr>
                <w:spacing w:val="-2"/>
                <w:w w:val="105"/>
                <w:sz w:val="21"/>
              </w:rPr>
              <w:t>Síncope, </w:t>
            </w:r>
            <w:r>
              <w:rPr>
                <w:spacing w:val="-2"/>
                <w:sz w:val="21"/>
              </w:rPr>
              <w:t>hipotensão </w:t>
            </w:r>
            <w:r>
              <w:rPr>
                <w:spacing w:val="-2"/>
                <w:w w:val="105"/>
                <w:sz w:val="21"/>
              </w:rPr>
              <w:t>postural, convulsão, palpitação</w:t>
            </w:r>
          </w:p>
        </w:tc>
        <w:tc>
          <w:tcPr>
            <w:tcW w:w="2089" w:type="dxa"/>
            <w:tcBorders>
              <w:right w:val="nil"/>
            </w:tcBorders>
            <w:shd w:val="clear" w:color="auto" w:fill="EDECF3"/>
          </w:tcPr>
          <w:p>
            <w:pPr>
              <w:pStyle w:val="TableParagraph"/>
              <w:spacing w:line="307" w:lineRule="auto"/>
              <w:ind w:left="68" w:right="285"/>
              <w:rPr>
                <w:sz w:val="21"/>
              </w:rPr>
            </w:pPr>
            <w:r>
              <w:rPr>
                <w:spacing w:val="-2"/>
                <w:w w:val="105"/>
                <w:sz w:val="21"/>
              </w:rPr>
              <w:t>Eficácia </w:t>
            </w:r>
            <w:r>
              <w:rPr>
                <w:spacing w:val="-2"/>
                <w:sz w:val="21"/>
              </w:rPr>
              <w:t>geralmente </w:t>
            </w:r>
            <w:r>
              <w:rPr>
                <w:spacing w:val="-2"/>
                <w:w w:val="105"/>
                <w:sz w:val="21"/>
              </w:rPr>
              <w:t>transitória</w:t>
            </w:r>
          </w:p>
        </w:tc>
      </w:tr>
      <w:tr>
        <w:trPr>
          <w:trHeight w:val="1037" w:hRule="atLeast"/>
        </w:trPr>
        <w:tc>
          <w:tcPr>
            <w:tcW w:w="3435" w:type="dxa"/>
            <w:tcBorders>
              <w:left w:val="nil"/>
            </w:tcBorders>
            <w:shd w:val="clear" w:color="auto" w:fill="EDECF3"/>
          </w:tcPr>
          <w:p>
            <w:pPr>
              <w:pStyle w:val="TableParagraph"/>
              <w:spacing w:line="307" w:lineRule="auto"/>
              <w:ind w:left="67" w:right="260"/>
              <w:rPr>
                <w:sz w:val="21"/>
              </w:rPr>
            </w:pPr>
            <w:r>
              <w:rPr>
                <w:w w:val="105"/>
                <w:sz w:val="21"/>
              </w:rPr>
              <w:t>Antagonista tipo I do receptor da angiotensina II</w:t>
            </w:r>
          </w:p>
        </w:tc>
        <w:tc>
          <w:tcPr>
            <w:tcW w:w="1489" w:type="dxa"/>
            <w:shd w:val="clear" w:color="auto" w:fill="EDECF3"/>
          </w:tcPr>
          <w:p>
            <w:pPr>
              <w:pStyle w:val="TableParagraph"/>
              <w:ind w:left="66"/>
              <w:rPr>
                <w:sz w:val="21"/>
              </w:rPr>
            </w:pPr>
            <w:r>
              <w:rPr>
                <w:spacing w:val="-2"/>
                <w:w w:val="105"/>
                <w:sz w:val="21"/>
              </w:rPr>
              <w:t>Losartana</w:t>
            </w:r>
          </w:p>
        </w:tc>
        <w:tc>
          <w:tcPr>
            <w:tcW w:w="1569" w:type="dxa"/>
            <w:shd w:val="clear" w:color="auto" w:fill="EDECF3"/>
          </w:tcPr>
          <w:p>
            <w:pPr>
              <w:pStyle w:val="TableParagraph"/>
              <w:ind w:left="66"/>
              <w:rPr>
                <w:sz w:val="21"/>
              </w:rPr>
            </w:pPr>
            <w:r>
              <w:rPr>
                <w:w w:val="105"/>
                <w:sz w:val="21"/>
              </w:rPr>
              <w:t>25</w:t>
            </w:r>
            <w:r>
              <w:rPr>
                <w:spacing w:val="12"/>
                <w:w w:val="105"/>
                <w:sz w:val="21"/>
              </w:rPr>
              <w:t> </w:t>
            </w:r>
            <w:r>
              <w:rPr>
                <w:w w:val="105"/>
                <w:sz w:val="21"/>
              </w:rPr>
              <w:t>a</w:t>
            </w:r>
            <w:r>
              <w:rPr>
                <w:spacing w:val="12"/>
                <w:w w:val="105"/>
                <w:sz w:val="21"/>
              </w:rPr>
              <w:t> </w:t>
            </w:r>
            <w:r>
              <w:rPr>
                <w:spacing w:val="-5"/>
                <w:w w:val="105"/>
                <w:sz w:val="21"/>
              </w:rPr>
              <w:t>100</w:t>
            </w:r>
          </w:p>
          <w:p>
            <w:pPr>
              <w:pStyle w:val="TableParagraph"/>
              <w:spacing w:before="67"/>
              <w:ind w:left="66"/>
              <w:rPr>
                <w:sz w:val="21"/>
              </w:rPr>
            </w:pPr>
            <w:r>
              <w:rPr>
                <w:spacing w:val="-2"/>
                <w:w w:val="105"/>
                <w:sz w:val="21"/>
              </w:rPr>
              <w:t>mg/dia</w:t>
            </w:r>
          </w:p>
        </w:tc>
        <w:tc>
          <w:tcPr>
            <w:tcW w:w="2033" w:type="dxa"/>
            <w:shd w:val="clear" w:color="auto" w:fill="EDECF3"/>
          </w:tcPr>
          <w:p>
            <w:pPr>
              <w:pStyle w:val="TableParagraph"/>
              <w:spacing w:line="307" w:lineRule="auto"/>
              <w:ind w:left="67"/>
              <w:rPr>
                <w:sz w:val="21"/>
              </w:rPr>
            </w:pPr>
            <w:r>
              <w:rPr>
                <w:w w:val="105"/>
                <w:sz w:val="21"/>
              </w:rPr>
              <w:t>Convulsão, dor </w:t>
            </w:r>
            <w:r>
              <w:rPr>
                <w:w w:val="105"/>
                <w:sz w:val="21"/>
              </w:rPr>
              <w:t>de cabeça, fadiga, </w:t>
            </w:r>
            <w:r>
              <w:rPr>
                <w:spacing w:val="-2"/>
                <w:w w:val="105"/>
                <w:sz w:val="21"/>
              </w:rPr>
              <w:t>diarreia</w:t>
            </w:r>
          </w:p>
        </w:tc>
        <w:tc>
          <w:tcPr>
            <w:tcW w:w="2089" w:type="dxa"/>
            <w:tcBorders>
              <w:right w:val="nil"/>
            </w:tcBorders>
            <w:shd w:val="clear" w:color="auto" w:fill="EDECF3"/>
          </w:tcPr>
          <w:p>
            <w:pPr>
              <w:pStyle w:val="TableParagraph"/>
              <w:spacing w:line="307" w:lineRule="auto" w:before="89"/>
              <w:ind w:left="68" w:right="285"/>
              <w:rPr>
                <w:sz w:val="21"/>
              </w:rPr>
            </w:pPr>
            <w:r>
              <w:rPr>
                <w:rFonts w:ascii="Arial" w:hAnsi="Arial"/>
                <w:i/>
                <w:w w:val="105"/>
                <w:sz w:val="21"/>
              </w:rPr>
              <w:t>Trial </w:t>
            </w:r>
            <w:r>
              <w:rPr>
                <w:w w:val="105"/>
                <w:sz w:val="21"/>
              </w:rPr>
              <w:t>placebo-controlado </w:t>
            </w:r>
            <w:r>
              <w:rPr>
                <w:w w:val="105"/>
                <w:sz w:val="21"/>
              </w:rPr>
              <w:t>indica </w:t>
            </w:r>
            <w:r>
              <w:rPr>
                <w:spacing w:val="-2"/>
                <w:w w:val="105"/>
                <w:sz w:val="21"/>
              </w:rPr>
              <w:t>benefício</w:t>
            </w:r>
          </w:p>
        </w:tc>
      </w:tr>
      <w:tr>
        <w:trPr>
          <w:trHeight w:val="1037" w:hRule="atLeast"/>
        </w:trPr>
        <w:tc>
          <w:tcPr>
            <w:tcW w:w="3435" w:type="dxa"/>
            <w:tcBorders>
              <w:left w:val="nil"/>
            </w:tcBorders>
            <w:shd w:val="clear" w:color="auto" w:fill="EDECF3"/>
          </w:tcPr>
          <w:p>
            <w:pPr>
              <w:pStyle w:val="TableParagraph"/>
              <w:spacing w:line="307" w:lineRule="auto"/>
              <w:ind w:left="67" w:right="260"/>
              <w:rPr>
                <w:sz w:val="21"/>
              </w:rPr>
            </w:pPr>
            <w:r>
              <w:rPr>
                <w:w w:val="105"/>
                <w:sz w:val="21"/>
              </w:rPr>
              <w:t>Inibidor seletivo da recaptação da serotonina</w:t>
            </w:r>
          </w:p>
        </w:tc>
        <w:tc>
          <w:tcPr>
            <w:tcW w:w="1489" w:type="dxa"/>
            <w:shd w:val="clear" w:color="auto" w:fill="EDECF3"/>
          </w:tcPr>
          <w:p>
            <w:pPr>
              <w:pStyle w:val="TableParagraph"/>
              <w:ind w:left="66"/>
              <w:rPr>
                <w:sz w:val="21"/>
              </w:rPr>
            </w:pPr>
            <w:r>
              <w:rPr>
                <w:spacing w:val="-2"/>
                <w:w w:val="105"/>
                <w:sz w:val="21"/>
              </w:rPr>
              <w:t>Fluoxetina</w:t>
            </w:r>
          </w:p>
        </w:tc>
        <w:tc>
          <w:tcPr>
            <w:tcW w:w="1569" w:type="dxa"/>
            <w:shd w:val="clear" w:color="auto" w:fill="EDECF3"/>
          </w:tcPr>
          <w:p>
            <w:pPr>
              <w:pStyle w:val="TableParagraph"/>
              <w:ind w:left="66"/>
              <w:rPr>
                <w:sz w:val="21"/>
              </w:rPr>
            </w:pPr>
            <w:r>
              <w:rPr>
                <w:w w:val="105"/>
                <w:sz w:val="21"/>
              </w:rPr>
              <w:t>20</w:t>
            </w:r>
            <w:r>
              <w:rPr>
                <w:spacing w:val="12"/>
                <w:w w:val="105"/>
                <w:sz w:val="21"/>
              </w:rPr>
              <w:t> </w:t>
            </w:r>
            <w:r>
              <w:rPr>
                <w:w w:val="105"/>
                <w:sz w:val="21"/>
              </w:rPr>
              <w:t>a</w:t>
            </w:r>
            <w:r>
              <w:rPr>
                <w:spacing w:val="12"/>
                <w:w w:val="105"/>
                <w:sz w:val="21"/>
              </w:rPr>
              <w:t> </w:t>
            </w:r>
            <w:r>
              <w:rPr>
                <w:spacing w:val="-5"/>
                <w:w w:val="105"/>
                <w:sz w:val="21"/>
              </w:rPr>
              <w:t>40</w:t>
            </w:r>
          </w:p>
          <w:p>
            <w:pPr>
              <w:pStyle w:val="TableParagraph"/>
              <w:spacing w:before="67"/>
              <w:ind w:left="66"/>
              <w:rPr>
                <w:sz w:val="21"/>
              </w:rPr>
            </w:pPr>
            <w:r>
              <w:rPr>
                <w:spacing w:val="-2"/>
                <w:w w:val="105"/>
                <w:sz w:val="21"/>
              </w:rPr>
              <w:t>mg/dia</w:t>
            </w:r>
          </w:p>
        </w:tc>
        <w:tc>
          <w:tcPr>
            <w:tcW w:w="2033" w:type="dxa"/>
            <w:shd w:val="clear" w:color="auto" w:fill="EDECF3"/>
          </w:tcPr>
          <w:p>
            <w:pPr>
              <w:pStyle w:val="TableParagraph"/>
              <w:spacing w:line="307" w:lineRule="auto"/>
              <w:ind w:left="67"/>
              <w:rPr>
                <w:sz w:val="21"/>
              </w:rPr>
            </w:pPr>
            <w:r>
              <w:rPr>
                <w:w w:val="105"/>
                <w:sz w:val="21"/>
              </w:rPr>
              <w:t>Insônia, náuseas diarreia, </w:t>
            </w:r>
            <w:r>
              <w:rPr>
                <w:w w:val="105"/>
                <w:sz w:val="21"/>
              </w:rPr>
              <w:t>tremores</w:t>
            </w:r>
          </w:p>
        </w:tc>
        <w:tc>
          <w:tcPr>
            <w:tcW w:w="2089" w:type="dxa"/>
            <w:tcBorders>
              <w:right w:val="nil"/>
            </w:tcBorders>
            <w:shd w:val="clear" w:color="auto" w:fill="EDECF3"/>
          </w:tcPr>
          <w:p>
            <w:pPr>
              <w:pStyle w:val="TableParagraph"/>
              <w:spacing w:line="307" w:lineRule="auto" w:before="89"/>
              <w:ind w:left="68" w:right="285"/>
              <w:rPr>
                <w:sz w:val="21"/>
              </w:rPr>
            </w:pPr>
            <w:r>
              <w:rPr>
                <w:rFonts w:ascii="Arial" w:hAnsi="Arial"/>
                <w:i/>
                <w:w w:val="105"/>
                <w:sz w:val="21"/>
              </w:rPr>
              <w:t>Trial </w:t>
            </w:r>
            <w:r>
              <w:rPr>
                <w:w w:val="105"/>
                <w:sz w:val="21"/>
              </w:rPr>
              <w:t>placebo-controlado </w:t>
            </w:r>
            <w:r>
              <w:rPr>
                <w:w w:val="105"/>
                <w:sz w:val="21"/>
              </w:rPr>
              <w:t>indica </w:t>
            </w:r>
            <w:r>
              <w:rPr>
                <w:spacing w:val="-2"/>
                <w:w w:val="105"/>
                <w:sz w:val="21"/>
              </w:rPr>
              <w:t>benefício</w:t>
            </w:r>
          </w:p>
        </w:tc>
      </w:tr>
      <w:tr>
        <w:trPr>
          <w:trHeight w:val="1645" w:hRule="atLeast"/>
        </w:trPr>
        <w:tc>
          <w:tcPr>
            <w:tcW w:w="3435" w:type="dxa"/>
            <w:tcBorders>
              <w:left w:val="nil"/>
            </w:tcBorders>
            <w:shd w:val="clear" w:color="auto" w:fill="EDECF3"/>
          </w:tcPr>
          <w:p>
            <w:pPr>
              <w:pStyle w:val="TableParagraph"/>
              <w:ind w:left="67"/>
              <w:rPr>
                <w:sz w:val="21"/>
              </w:rPr>
            </w:pPr>
            <w:r>
              <w:rPr>
                <w:spacing w:val="-2"/>
                <w:w w:val="105"/>
                <w:sz w:val="21"/>
              </w:rPr>
              <w:t>Vasodilatador</w:t>
            </w:r>
          </w:p>
        </w:tc>
        <w:tc>
          <w:tcPr>
            <w:tcW w:w="1489" w:type="dxa"/>
            <w:shd w:val="clear" w:color="auto" w:fill="EDECF3"/>
          </w:tcPr>
          <w:p>
            <w:pPr>
              <w:pStyle w:val="TableParagraph"/>
              <w:ind w:left="66"/>
              <w:rPr>
                <w:sz w:val="21"/>
              </w:rPr>
            </w:pPr>
            <w:r>
              <w:rPr>
                <w:spacing w:val="-2"/>
                <w:sz w:val="21"/>
              </w:rPr>
              <w:t>Nitroglicerina</w:t>
            </w:r>
          </w:p>
        </w:tc>
        <w:tc>
          <w:tcPr>
            <w:tcW w:w="1569" w:type="dxa"/>
            <w:shd w:val="clear" w:color="auto" w:fill="EDECF3"/>
          </w:tcPr>
          <w:p>
            <w:pPr>
              <w:pStyle w:val="TableParagraph"/>
              <w:ind w:left="67"/>
              <w:rPr>
                <w:sz w:val="21"/>
              </w:rPr>
            </w:pPr>
            <w:r>
              <w:rPr>
                <w:w w:val="105"/>
                <w:sz w:val="21"/>
              </w:rPr>
              <w:t>0,2</w:t>
            </w:r>
            <w:r>
              <w:rPr>
                <w:spacing w:val="13"/>
                <w:w w:val="105"/>
                <w:sz w:val="21"/>
              </w:rPr>
              <w:t> </w:t>
            </w:r>
            <w:r>
              <w:rPr>
                <w:w w:val="105"/>
                <w:sz w:val="21"/>
              </w:rPr>
              <w:t>a</w:t>
            </w:r>
            <w:r>
              <w:rPr>
                <w:spacing w:val="13"/>
                <w:w w:val="105"/>
                <w:sz w:val="21"/>
              </w:rPr>
              <w:t> </w:t>
            </w:r>
            <w:r>
              <w:rPr>
                <w:spacing w:val="-5"/>
                <w:w w:val="105"/>
                <w:sz w:val="21"/>
              </w:rPr>
              <w:t>0,4</w:t>
            </w:r>
          </w:p>
          <w:p>
            <w:pPr>
              <w:pStyle w:val="TableParagraph"/>
              <w:spacing w:line="307" w:lineRule="auto" w:before="67"/>
              <w:ind w:left="66"/>
              <w:rPr>
                <w:sz w:val="21"/>
              </w:rPr>
            </w:pPr>
            <w:r>
              <w:rPr>
                <w:w w:val="105"/>
                <w:sz w:val="21"/>
              </w:rPr>
              <w:t>mg/dia</w:t>
            </w:r>
            <w:r>
              <w:rPr>
                <w:spacing w:val="-13"/>
                <w:w w:val="105"/>
                <w:sz w:val="21"/>
              </w:rPr>
              <w:t> </w:t>
            </w:r>
            <w:r>
              <w:rPr>
                <w:w w:val="105"/>
                <w:sz w:val="21"/>
              </w:rPr>
              <w:t>disco </w:t>
            </w:r>
            <w:r>
              <w:rPr>
                <w:spacing w:val="-2"/>
                <w:w w:val="105"/>
                <w:sz w:val="21"/>
              </w:rPr>
              <w:t>intradérmico</w:t>
            </w:r>
          </w:p>
        </w:tc>
        <w:tc>
          <w:tcPr>
            <w:tcW w:w="2033" w:type="dxa"/>
            <w:shd w:val="clear" w:color="auto" w:fill="EDECF3"/>
          </w:tcPr>
          <w:p>
            <w:pPr>
              <w:pStyle w:val="TableParagraph"/>
              <w:spacing w:line="307" w:lineRule="auto"/>
              <w:ind w:left="67" w:right="128"/>
              <w:rPr>
                <w:sz w:val="21"/>
              </w:rPr>
            </w:pPr>
            <w:r>
              <w:rPr>
                <w:w w:val="105"/>
                <w:sz w:val="21"/>
              </w:rPr>
              <w:t>Dor de cabeça, </w:t>
            </w:r>
            <w:r>
              <w:rPr>
                <w:spacing w:val="-2"/>
                <w:w w:val="105"/>
                <w:sz w:val="21"/>
              </w:rPr>
              <w:t>taquicardia, </w:t>
            </w:r>
            <w:r>
              <w:rPr>
                <w:w w:val="105"/>
                <w:sz w:val="21"/>
              </w:rPr>
              <w:t>síncope, </w:t>
            </w:r>
            <w:r>
              <w:rPr>
                <w:w w:val="105"/>
                <w:sz w:val="21"/>
              </w:rPr>
              <w:t>angina, </w:t>
            </w:r>
            <w:r>
              <w:rPr>
                <w:spacing w:val="-2"/>
                <w:w w:val="105"/>
                <w:sz w:val="21"/>
              </w:rPr>
              <w:t>impotência, hipertensão</w:t>
            </w:r>
          </w:p>
        </w:tc>
        <w:tc>
          <w:tcPr>
            <w:tcW w:w="2089" w:type="dxa"/>
            <w:tcBorders>
              <w:right w:val="nil"/>
            </w:tcBorders>
            <w:shd w:val="clear" w:color="auto" w:fill="EDECF3"/>
          </w:tcPr>
          <w:p>
            <w:pPr>
              <w:pStyle w:val="TableParagraph"/>
              <w:spacing w:line="307" w:lineRule="auto"/>
              <w:ind w:left="68" w:right="125"/>
              <w:rPr>
                <w:sz w:val="21"/>
              </w:rPr>
            </w:pPr>
            <w:r>
              <w:rPr>
                <w:w w:val="105"/>
                <w:sz w:val="21"/>
              </w:rPr>
              <w:t>Sem estudos que suportem</w:t>
            </w:r>
            <w:r>
              <w:rPr>
                <w:spacing w:val="11"/>
                <w:w w:val="105"/>
                <w:sz w:val="21"/>
              </w:rPr>
              <w:t> </w:t>
            </w:r>
            <w:r>
              <w:rPr>
                <w:w w:val="105"/>
                <w:sz w:val="21"/>
              </w:rPr>
              <w:t>seu</w:t>
            </w:r>
            <w:r>
              <w:rPr>
                <w:spacing w:val="27"/>
                <w:w w:val="105"/>
                <w:sz w:val="21"/>
              </w:rPr>
              <w:t> </w:t>
            </w:r>
            <w:r>
              <w:rPr>
                <w:spacing w:val="-5"/>
                <w:w w:val="105"/>
                <w:sz w:val="21"/>
              </w:rPr>
              <w:t>uso</w:t>
            </w:r>
          </w:p>
        </w:tc>
      </w:tr>
      <w:tr>
        <w:trPr>
          <w:trHeight w:val="732" w:hRule="atLeast"/>
        </w:trPr>
        <w:tc>
          <w:tcPr>
            <w:tcW w:w="3435" w:type="dxa"/>
            <w:tcBorders>
              <w:left w:val="nil"/>
            </w:tcBorders>
            <w:shd w:val="clear" w:color="auto" w:fill="EDECF3"/>
          </w:tcPr>
          <w:p>
            <w:pPr>
              <w:pStyle w:val="TableParagraph"/>
              <w:ind w:left="67"/>
              <w:rPr>
                <w:sz w:val="21"/>
              </w:rPr>
            </w:pPr>
            <w:r>
              <w:rPr>
                <w:w w:val="105"/>
                <w:sz w:val="21"/>
              </w:rPr>
              <w:t>Outras</w:t>
            </w:r>
            <w:r>
              <w:rPr>
                <w:spacing w:val="27"/>
                <w:w w:val="105"/>
                <w:sz w:val="21"/>
              </w:rPr>
              <w:t> </w:t>
            </w:r>
            <w:r>
              <w:rPr>
                <w:w w:val="105"/>
                <w:sz w:val="21"/>
              </w:rPr>
              <w:t>drogas</w:t>
            </w:r>
            <w:r>
              <w:rPr>
                <w:spacing w:val="28"/>
                <w:w w:val="105"/>
                <w:sz w:val="21"/>
              </w:rPr>
              <w:t> </w:t>
            </w:r>
            <w:r>
              <w:rPr>
                <w:spacing w:val="-2"/>
                <w:w w:val="105"/>
                <w:sz w:val="21"/>
              </w:rPr>
              <w:t>vasoativas</w:t>
            </w:r>
          </w:p>
        </w:tc>
        <w:tc>
          <w:tcPr>
            <w:tcW w:w="1489" w:type="dxa"/>
            <w:shd w:val="clear" w:color="auto" w:fill="EDECF3"/>
          </w:tcPr>
          <w:p>
            <w:pPr>
              <w:pStyle w:val="TableParagraph"/>
              <w:ind w:left="66"/>
              <w:rPr>
                <w:sz w:val="21"/>
              </w:rPr>
            </w:pPr>
            <w:r>
              <w:rPr>
                <w:spacing w:val="-2"/>
                <w:sz w:val="21"/>
              </w:rPr>
              <w:t>Pentoxifilina</w:t>
            </w:r>
          </w:p>
        </w:tc>
        <w:tc>
          <w:tcPr>
            <w:tcW w:w="1569" w:type="dxa"/>
            <w:shd w:val="clear" w:color="auto" w:fill="EDECF3"/>
          </w:tcPr>
          <w:p>
            <w:pPr>
              <w:pStyle w:val="TableParagraph"/>
              <w:spacing w:line="307" w:lineRule="auto"/>
              <w:ind w:left="66"/>
              <w:rPr>
                <w:sz w:val="21"/>
              </w:rPr>
            </w:pPr>
            <w:r>
              <w:rPr>
                <w:w w:val="105"/>
                <w:sz w:val="21"/>
              </w:rPr>
              <w:t>400 mg 3 </w:t>
            </w:r>
            <w:r>
              <w:rPr>
                <w:spacing w:val="-2"/>
                <w:sz w:val="21"/>
              </w:rPr>
              <w:t>vezes/dia</w:t>
            </w:r>
          </w:p>
        </w:tc>
        <w:tc>
          <w:tcPr>
            <w:tcW w:w="2033" w:type="dxa"/>
            <w:shd w:val="clear" w:color="auto" w:fill="EDECF3"/>
          </w:tcPr>
          <w:p>
            <w:pPr>
              <w:pStyle w:val="TableParagraph"/>
              <w:spacing w:line="307" w:lineRule="auto"/>
              <w:ind w:left="67" w:right="128"/>
              <w:rPr>
                <w:sz w:val="21"/>
              </w:rPr>
            </w:pPr>
            <w:r>
              <w:rPr>
                <w:spacing w:val="-2"/>
                <w:w w:val="105"/>
                <w:sz w:val="21"/>
              </w:rPr>
              <w:t>Dispepsia, </w:t>
            </w:r>
            <w:r>
              <w:rPr>
                <w:w w:val="105"/>
                <w:sz w:val="21"/>
              </w:rPr>
              <w:t>náuseas, </w:t>
            </w:r>
            <w:r>
              <w:rPr>
                <w:w w:val="105"/>
                <w:sz w:val="21"/>
              </w:rPr>
              <w:t>vômitos</w:t>
            </w:r>
          </w:p>
        </w:tc>
        <w:tc>
          <w:tcPr>
            <w:tcW w:w="2089" w:type="dxa"/>
            <w:tcBorders>
              <w:right w:val="nil"/>
            </w:tcBorders>
            <w:shd w:val="clear" w:color="auto" w:fill="EDECF3"/>
          </w:tcPr>
          <w:p>
            <w:pPr>
              <w:pStyle w:val="TableParagraph"/>
              <w:spacing w:line="307" w:lineRule="auto"/>
              <w:ind w:left="68" w:right="125"/>
              <w:rPr>
                <w:sz w:val="21"/>
              </w:rPr>
            </w:pPr>
            <w:r>
              <w:rPr>
                <w:w w:val="105"/>
                <w:sz w:val="21"/>
              </w:rPr>
              <w:t>Sem estudos que suportem</w:t>
            </w:r>
            <w:r>
              <w:rPr>
                <w:spacing w:val="11"/>
                <w:w w:val="105"/>
                <w:sz w:val="21"/>
              </w:rPr>
              <w:t> </w:t>
            </w:r>
            <w:r>
              <w:rPr>
                <w:w w:val="105"/>
                <w:sz w:val="21"/>
              </w:rPr>
              <w:t>seu</w:t>
            </w:r>
            <w:r>
              <w:rPr>
                <w:spacing w:val="27"/>
                <w:w w:val="105"/>
                <w:sz w:val="21"/>
              </w:rPr>
              <w:t> </w:t>
            </w:r>
            <w:r>
              <w:rPr>
                <w:spacing w:val="-5"/>
                <w:w w:val="105"/>
                <w:sz w:val="21"/>
              </w:rPr>
              <w:t>uso</w:t>
            </w:r>
          </w:p>
        </w:tc>
      </w:tr>
      <w:tr>
        <w:trPr>
          <w:trHeight w:val="1647" w:hRule="atLeast"/>
        </w:trPr>
        <w:tc>
          <w:tcPr>
            <w:tcW w:w="3435" w:type="dxa"/>
            <w:tcBorders>
              <w:left w:val="nil"/>
              <w:bottom w:val="nil"/>
            </w:tcBorders>
            <w:shd w:val="clear" w:color="auto" w:fill="EDECF3"/>
          </w:tcPr>
          <w:p>
            <w:pPr>
              <w:pStyle w:val="TableParagraph"/>
              <w:ind w:left="67"/>
              <w:rPr>
                <w:sz w:val="21"/>
              </w:rPr>
            </w:pPr>
            <w:r>
              <w:rPr>
                <w:spacing w:val="-2"/>
                <w:w w:val="105"/>
                <w:sz w:val="21"/>
              </w:rPr>
              <w:t>Prostaglandinas</w:t>
            </w:r>
          </w:p>
        </w:tc>
        <w:tc>
          <w:tcPr>
            <w:tcW w:w="1489" w:type="dxa"/>
            <w:tcBorders>
              <w:bottom w:val="nil"/>
            </w:tcBorders>
            <w:shd w:val="clear" w:color="auto" w:fill="EDECF3"/>
          </w:tcPr>
          <w:p>
            <w:pPr>
              <w:pStyle w:val="TableParagraph"/>
              <w:ind w:left="66"/>
              <w:rPr>
                <w:sz w:val="21"/>
              </w:rPr>
            </w:pPr>
            <w:r>
              <w:rPr>
                <w:spacing w:val="-2"/>
                <w:sz w:val="21"/>
              </w:rPr>
              <w:t>Alprostadil</w:t>
            </w:r>
          </w:p>
        </w:tc>
        <w:tc>
          <w:tcPr>
            <w:tcW w:w="1569" w:type="dxa"/>
            <w:tcBorders>
              <w:bottom w:val="nil"/>
            </w:tcBorders>
            <w:shd w:val="clear" w:color="auto" w:fill="EDECF3"/>
          </w:tcPr>
          <w:p>
            <w:pPr>
              <w:pStyle w:val="TableParagraph"/>
              <w:ind w:left="66"/>
              <w:rPr>
                <w:sz w:val="21"/>
              </w:rPr>
            </w:pPr>
            <w:r>
              <w:rPr>
                <w:w w:val="105"/>
                <w:sz w:val="21"/>
              </w:rPr>
              <w:t>0,1</w:t>
            </w:r>
            <w:r>
              <w:rPr>
                <w:spacing w:val="13"/>
                <w:w w:val="105"/>
                <w:sz w:val="21"/>
              </w:rPr>
              <w:t> </w:t>
            </w:r>
            <w:r>
              <w:rPr>
                <w:w w:val="105"/>
                <w:sz w:val="21"/>
              </w:rPr>
              <w:t>a</w:t>
            </w:r>
            <w:r>
              <w:rPr>
                <w:spacing w:val="13"/>
                <w:w w:val="105"/>
                <w:sz w:val="21"/>
              </w:rPr>
              <w:t> </w:t>
            </w:r>
            <w:r>
              <w:rPr>
                <w:spacing w:val="-5"/>
                <w:w w:val="105"/>
                <w:sz w:val="21"/>
              </w:rPr>
              <w:t>0,4</w:t>
            </w:r>
          </w:p>
          <w:p>
            <w:pPr>
              <w:pStyle w:val="TableParagraph"/>
              <w:spacing w:line="307" w:lineRule="auto" w:before="67"/>
              <w:ind w:left="66" w:right="107"/>
              <w:rPr>
                <w:sz w:val="21"/>
              </w:rPr>
            </w:pPr>
            <w:r>
              <w:rPr>
                <w:w w:val="105"/>
                <w:sz w:val="21"/>
              </w:rPr>
              <w:t>µg/kg/IV, em</w:t>
            </w:r>
            <w:r>
              <w:rPr>
                <w:spacing w:val="40"/>
                <w:w w:val="105"/>
                <w:sz w:val="21"/>
              </w:rPr>
              <w:t> </w:t>
            </w:r>
            <w:r>
              <w:rPr>
                <w:w w:val="105"/>
                <w:sz w:val="21"/>
              </w:rPr>
              <w:t>6 a 24 h/2 a </w:t>
            </w:r>
            <w:r>
              <w:rPr>
                <w:w w:val="105"/>
                <w:sz w:val="21"/>
              </w:rPr>
              <w:t>5 </w:t>
            </w:r>
            <w:r>
              <w:rPr>
                <w:spacing w:val="-4"/>
                <w:w w:val="105"/>
                <w:sz w:val="21"/>
              </w:rPr>
              <w:t>dias</w:t>
            </w:r>
          </w:p>
        </w:tc>
        <w:tc>
          <w:tcPr>
            <w:tcW w:w="2033" w:type="dxa"/>
            <w:tcBorders>
              <w:bottom w:val="nil"/>
            </w:tcBorders>
            <w:shd w:val="clear" w:color="auto" w:fill="EDECF3"/>
          </w:tcPr>
          <w:p>
            <w:pPr>
              <w:pStyle w:val="TableParagraph"/>
              <w:spacing w:line="307" w:lineRule="auto"/>
              <w:ind w:left="67" w:right="128"/>
              <w:rPr>
                <w:sz w:val="21"/>
              </w:rPr>
            </w:pPr>
            <w:r>
              <w:rPr>
                <w:w w:val="105"/>
                <w:sz w:val="21"/>
              </w:rPr>
              <w:t>Diarreia, dor de </w:t>
            </w:r>
            <w:r>
              <w:rPr>
                <w:spacing w:val="-2"/>
                <w:w w:val="105"/>
                <w:sz w:val="21"/>
              </w:rPr>
              <w:t>cabeça, hipotensão, </w:t>
            </w:r>
            <w:r>
              <w:rPr>
                <w:w w:val="105"/>
                <w:sz w:val="21"/>
              </w:rPr>
              <w:t>erupção </w:t>
            </w:r>
            <w:r>
              <w:rPr>
                <w:w w:val="105"/>
                <w:sz w:val="21"/>
              </w:rPr>
              <w:t>cutânea</w:t>
            </w:r>
          </w:p>
        </w:tc>
        <w:tc>
          <w:tcPr>
            <w:tcW w:w="2089" w:type="dxa"/>
            <w:tcBorders>
              <w:bottom w:val="nil"/>
              <w:right w:val="nil"/>
            </w:tcBorders>
            <w:shd w:val="clear" w:color="auto" w:fill="EDECF3"/>
          </w:tcPr>
          <w:p>
            <w:pPr>
              <w:pStyle w:val="TableParagraph"/>
              <w:spacing w:line="307" w:lineRule="auto"/>
              <w:ind w:left="68" w:right="125"/>
              <w:rPr>
                <w:sz w:val="21"/>
              </w:rPr>
            </w:pPr>
            <w:r>
              <w:rPr>
                <w:w w:val="105"/>
                <w:sz w:val="21"/>
              </w:rPr>
              <w:t>Utilizado somente nos raros casos</w:t>
            </w:r>
            <w:r>
              <w:rPr>
                <w:spacing w:val="80"/>
                <w:w w:val="105"/>
                <w:sz w:val="21"/>
              </w:rPr>
              <w:t> </w:t>
            </w:r>
            <w:r>
              <w:rPr>
                <w:w w:val="105"/>
                <w:sz w:val="21"/>
              </w:rPr>
              <w:t>de isquemia </w:t>
            </w:r>
            <w:r>
              <w:rPr>
                <w:w w:val="105"/>
                <w:sz w:val="21"/>
              </w:rPr>
              <w:t>crítica </w:t>
            </w:r>
            <w:r>
              <w:rPr>
                <w:spacing w:val="-2"/>
                <w:w w:val="105"/>
                <w:sz w:val="21"/>
              </w:rPr>
              <w:t>(particularmente</w:t>
            </w:r>
            <w:r>
              <w:rPr>
                <w:spacing w:val="80"/>
                <w:w w:val="105"/>
                <w:sz w:val="21"/>
              </w:rPr>
              <w:t> </w:t>
            </w:r>
            <w:r>
              <w:rPr>
                <w:w w:val="105"/>
                <w:sz w:val="21"/>
              </w:rPr>
              <w:t>na forma primária)</w:t>
            </w:r>
          </w:p>
        </w:tc>
      </w:tr>
    </w:tbl>
    <w:p>
      <w:pPr>
        <w:spacing w:before="186"/>
        <w:ind w:left="68" w:right="0" w:firstLine="0"/>
        <w:jc w:val="left"/>
        <w:rPr>
          <w:rFonts w:ascii="Microsoft Sans Serif"/>
          <w:sz w:val="19"/>
        </w:rPr>
      </w:pPr>
      <w:r>
        <w:rPr>
          <w:rFonts w:ascii="Microsoft Sans Serif"/>
          <w:sz w:val="19"/>
        </w:rPr>
        <w:t>IV</w:t>
      </w:r>
      <w:r>
        <w:rPr>
          <w:rFonts w:ascii="Microsoft Sans Serif"/>
          <w:spacing w:val="-3"/>
          <w:sz w:val="19"/>
        </w:rPr>
        <w:t> </w:t>
      </w:r>
      <w:r>
        <w:rPr>
          <w:rFonts w:ascii="Microsoft Sans Serif"/>
          <w:sz w:val="19"/>
        </w:rPr>
        <w:t>=</w:t>
      </w:r>
      <w:r>
        <w:rPr>
          <w:rFonts w:ascii="Microsoft Sans Serif"/>
          <w:spacing w:val="-2"/>
          <w:sz w:val="19"/>
        </w:rPr>
        <w:t> </w:t>
      </w:r>
      <w:r>
        <w:rPr>
          <w:rFonts w:ascii="Microsoft Sans Serif"/>
          <w:sz w:val="19"/>
        </w:rPr>
        <w:t>via</w:t>
      </w:r>
      <w:r>
        <w:rPr>
          <w:rFonts w:ascii="Microsoft Sans Serif"/>
          <w:spacing w:val="3"/>
          <w:sz w:val="19"/>
        </w:rPr>
        <w:t> </w:t>
      </w:r>
      <w:r>
        <w:rPr>
          <w:rFonts w:ascii="Microsoft Sans Serif"/>
          <w:spacing w:val="-2"/>
          <w:sz w:val="19"/>
        </w:rPr>
        <w:t>intravenosa.</w:t>
      </w:r>
    </w:p>
    <w:p>
      <w:pPr>
        <w:spacing w:after="0"/>
        <w:jc w:val="left"/>
        <w:rPr>
          <w:rFonts w:ascii="Microsoft Sans Serif"/>
          <w:sz w:val="19"/>
        </w:rPr>
        <w:sectPr>
          <w:type w:val="continuous"/>
          <w:pgSz w:w="11900" w:h="16840"/>
          <w:pgMar w:top="260" w:bottom="280" w:left="566" w:right="141"/>
        </w:sectPr>
      </w:pPr>
    </w:p>
    <w:p>
      <w:pPr>
        <w:spacing w:line="240" w:lineRule="auto"/>
        <w:ind w:left="3269" w:right="0" w:firstLine="0"/>
        <w:rPr>
          <w:rFonts w:ascii="Microsoft Sans Serif"/>
          <w:sz w:val="20"/>
        </w:rPr>
      </w:pPr>
      <w:r>
        <w:rPr>
          <w:rFonts w:ascii="Microsoft Sans Serif"/>
          <w:sz w:val="20"/>
        </w:rPr>
        <w:drawing>
          <wp:inline distT="0" distB="0" distL="0" distR="0">
            <wp:extent cx="2700815" cy="5381244"/>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56" cstate="print"/>
                    <a:stretch>
                      <a:fillRect/>
                    </a:stretch>
                  </pic:blipFill>
                  <pic:spPr>
                    <a:xfrm>
                      <a:off x="0" y="0"/>
                      <a:ext cx="2700815" cy="5381244"/>
                    </a:xfrm>
                    <a:prstGeom prst="rect">
                      <a:avLst/>
                    </a:prstGeom>
                  </pic:spPr>
                </pic:pic>
              </a:graphicData>
            </a:graphic>
          </wp:inline>
        </w:drawing>
      </w:r>
      <w:r>
        <w:rPr>
          <w:rFonts w:ascii="Microsoft Sans Serif"/>
          <w:sz w:val="20"/>
        </w:rPr>
      </w:r>
    </w:p>
    <w:p>
      <w:pPr>
        <w:pStyle w:val="BodyText"/>
        <w:spacing w:before="11"/>
        <w:ind w:left="0" w:firstLine="0"/>
        <w:jc w:val="left"/>
        <w:rPr>
          <w:rFonts w:ascii="Microsoft Sans Serif"/>
          <w:sz w:val="19"/>
        </w:rPr>
      </w:pPr>
    </w:p>
    <w:p>
      <w:pPr>
        <w:spacing w:before="1"/>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9"/>
          <w:sz w:val="19"/>
        </w:rPr>
        <w:t> </w:t>
      </w:r>
      <w:r>
        <w:rPr>
          <w:rFonts w:ascii="Arial" w:hAnsi="Arial"/>
          <w:b/>
          <w:color w:val="242B67"/>
          <w:sz w:val="19"/>
        </w:rPr>
        <w:t>59.22</w:t>
      </w:r>
      <w:r>
        <w:rPr>
          <w:rFonts w:ascii="Arial" w:hAnsi="Arial"/>
          <w:b/>
          <w:color w:val="242B67"/>
          <w:spacing w:val="20"/>
          <w:sz w:val="19"/>
        </w:rPr>
        <w:t> </w:t>
      </w:r>
      <w:r>
        <w:rPr>
          <w:rFonts w:ascii="Microsoft Sans Serif" w:hAnsi="Microsoft Sans Serif"/>
          <w:sz w:val="19"/>
        </w:rPr>
        <w:t>Áreas</w:t>
      </w:r>
      <w:r>
        <w:rPr>
          <w:rFonts w:ascii="Microsoft Sans Serif" w:hAnsi="Microsoft Sans Serif"/>
          <w:spacing w:val="15"/>
          <w:sz w:val="19"/>
        </w:rPr>
        <w:t> </w:t>
      </w:r>
      <w:r>
        <w:rPr>
          <w:rFonts w:ascii="Microsoft Sans Serif" w:hAnsi="Microsoft Sans Serif"/>
          <w:sz w:val="19"/>
        </w:rPr>
        <w:t>cutâneas</w:t>
      </w:r>
      <w:r>
        <w:rPr>
          <w:rFonts w:ascii="Microsoft Sans Serif" w:hAnsi="Microsoft Sans Serif"/>
          <w:spacing w:val="15"/>
          <w:sz w:val="19"/>
        </w:rPr>
        <w:t> </w:t>
      </w:r>
      <w:r>
        <w:rPr>
          <w:rFonts w:ascii="Microsoft Sans Serif" w:hAnsi="Microsoft Sans Serif"/>
          <w:sz w:val="19"/>
        </w:rPr>
        <w:t>pálidas</w:t>
      </w:r>
      <w:r>
        <w:rPr>
          <w:rFonts w:ascii="Microsoft Sans Serif" w:hAnsi="Microsoft Sans Serif"/>
          <w:spacing w:val="14"/>
          <w:sz w:val="19"/>
        </w:rPr>
        <w:t> </w:t>
      </w:r>
      <w:r>
        <w:rPr>
          <w:rFonts w:ascii="Microsoft Sans Serif" w:hAnsi="Microsoft Sans Serif"/>
          <w:sz w:val="19"/>
        </w:rPr>
        <w:t>entremeadas</w:t>
      </w:r>
      <w:r>
        <w:rPr>
          <w:rFonts w:ascii="Microsoft Sans Serif" w:hAnsi="Microsoft Sans Serif"/>
          <w:spacing w:val="15"/>
          <w:sz w:val="19"/>
        </w:rPr>
        <w:t> </w:t>
      </w:r>
      <w:r>
        <w:rPr>
          <w:rFonts w:ascii="Microsoft Sans Serif" w:hAnsi="Microsoft Sans Serif"/>
          <w:sz w:val="19"/>
        </w:rPr>
        <w:t>com</w:t>
      </w:r>
      <w:r>
        <w:rPr>
          <w:rFonts w:ascii="Microsoft Sans Serif" w:hAnsi="Microsoft Sans Serif"/>
          <w:spacing w:val="15"/>
          <w:sz w:val="19"/>
        </w:rPr>
        <w:t> </w:t>
      </w:r>
      <w:r>
        <w:rPr>
          <w:rFonts w:ascii="Microsoft Sans Serif" w:hAnsi="Microsoft Sans Serif"/>
          <w:sz w:val="19"/>
        </w:rPr>
        <w:t>áreas</w:t>
      </w:r>
      <w:r>
        <w:rPr>
          <w:rFonts w:ascii="Microsoft Sans Serif" w:hAnsi="Microsoft Sans Serif"/>
          <w:spacing w:val="15"/>
          <w:sz w:val="19"/>
        </w:rPr>
        <w:t> </w:t>
      </w:r>
      <w:r>
        <w:rPr>
          <w:rFonts w:ascii="Microsoft Sans Serif" w:hAnsi="Microsoft Sans Serif"/>
          <w:sz w:val="19"/>
        </w:rPr>
        <w:t>cianóticas</w:t>
      </w:r>
      <w:r>
        <w:rPr>
          <w:rFonts w:ascii="Microsoft Sans Serif" w:hAnsi="Microsoft Sans Serif"/>
          <w:spacing w:val="14"/>
          <w:sz w:val="19"/>
        </w:rPr>
        <w:t> </w:t>
      </w:r>
      <w:r>
        <w:rPr>
          <w:rFonts w:ascii="Microsoft Sans Serif" w:hAnsi="Microsoft Sans Serif"/>
          <w:sz w:val="19"/>
        </w:rPr>
        <w:t>em</w:t>
      </w:r>
      <w:r>
        <w:rPr>
          <w:rFonts w:ascii="Microsoft Sans Serif" w:hAnsi="Microsoft Sans Serif"/>
          <w:spacing w:val="15"/>
          <w:sz w:val="19"/>
        </w:rPr>
        <w:t> </w:t>
      </w:r>
      <w:r>
        <w:rPr>
          <w:rFonts w:ascii="Microsoft Sans Serif" w:hAnsi="Microsoft Sans Serif"/>
          <w:sz w:val="19"/>
        </w:rPr>
        <w:t>portadora</w:t>
      </w:r>
      <w:r>
        <w:rPr>
          <w:rFonts w:ascii="Microsoft Sans Serif" w:hAnsi="Microsoft Sans Serif"/>
          <w:spacing w:val="22"/>
          <w:sz w:val="19"/>
        </w:rPr>
        <w:t> </w:t>
      </w:r>
      <w:r>
        <w:rPr>
          <w:rFonts w:ascii="Microsoft Sans Serif" w:hAnsi="Microsoft Sans Serif"/>
          <w:sz w:val="19"/>
        </w:rPr>
        <w:t>de</w:t>
      </w:r>
      <w:r>
        <w:rPr>
          <w:rFonts w:ascii="Microsoft Sans Serif" w:hAnsi="Microsoft Sans Serif"/>
          <w:spacing w:val="21"/>
          <w:sz w:val="19"/>
        </w:rPr>
        <w:t> </w:t>
      </w:r>
      <w:r>
        <w:rPr>
          <w:rFonts w:ascii="Arial" w:hAnsi="Arial"/>
          <w:i/>
          <w:sz w:val="19"/>
        </w:rPr>
        <w:t>livedo</w:t>
      </w:r>
      <w:r>
        <w:rPr>
          <w:rFonts w:ascii="Arial" w:hAnsi="Arial"/>
          <w:i/>
          <w:spacing w:val="20"/>
          <w:sz w:val="19"/>
        </w:rPr>
        <w:t> </w:t>
      </w:r>
      <w:r>
        <w:rPr>
          <w:rFonts w:ascii="Arial" w:hAnsi="Arial"/>
          <w:i/>
          <w:spacing w:val="-2"/>
          <w:sz w:val="19"/>
        </w:rPr>
        <w:t>reticularis</w:t>
      </w:r>
      <w:r>
        <w:rPr>
          <w:rFonts w:ascii="Microsoft Sans Serif" w:hAnsi="Microsoft Sans Serif"/>
          <w:spacing w:val="-2"/>
          <w:sz w:val="19"/>
        </w:rPr>
        <w:t>.</w:t>
      </w:r>
    </w:p>
    <w:p>
      <w:pPr>
        <w:pStyle w:val="BodyText"/>
        <w:spacing w:before="102"/>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25728">
            <wp:simplePos x="0" y="0"/>
            <wp:positionH relativeFrom="page">
              <wp:posOffset>2791688</wp:posOffset>
            </wp:positionH>
            <wp:positionV relativeFrom="paragraph">
              <wp:posOffset>224338</wp:posOffset>
            </wp:positionV>
            <wp:extent cx="1977194" cy="3271551"/>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57" cstate="print"/>
                    <a:stretch>
                      <a:fillRect/>
                    </a:stretch>
                  </pic:blipFill>
                  <pic:spPr>
                    <a:xfrm>
                      <a:off x="0" y="0"/>
                      <a:ext cx="1977194" cy="3271551"/>
                    </a:xfrm>
                    <a:prstGeom prst="rect">
                      <a:avLst/>
                    </a:prstGeom>
                  </pic:spPr>
                </pic:pic>
              </a:graphicData>
            </a:graphic>
          </wp:anchor>
        </w:drawing>
      </w:r>
    </w:p>
    <w:p>
      <w:pPr>
        <w:pStyle w:val="BodyText"/>
        <w:spacing w:before="35"/>
        <w:ind w:left="0" w:firstLine="0"/>
        <w:jc w:val="left"/>
        <w:rPr>
          <w:rFonts w:ascii="Microsoft Sans Serif"/>
          <w:sz w:val="19"/>
        </w:rPr>
      </w:pPr>
    </w:p>
    <w:p>
      <w:pPr>
        <w:spacing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3"/>
          <w:sz w:val="19"/>
        </w:rPr>
        <w:t> </w:t>
      </w:r>
      <w:r>
        <w:rPr>
          <w:rFonts w:ascii="Arial" w:hAnsi="Arial"/>
          <w:b/>
          <w:color w:val="242B67"/>
          <w:sz w:val="19"/>
        </w:rPr>
        <w:t>59.23</w:t>
      </w:r>
      <w:r>
        <w:rPr>
          <w:rFonts w:ascii="Arial" w:hAnsi="Arial"/>
          <w:b/>
          <w:color w:val="242B67"/>
          <w:spacing w:val="14"/>
          <w:sz w:val="19"/>
        </w:rPr>
        <w:t> </w:t>
      </w:r>
      <w:r>
        <w:rPr>
          <w:rFonts w:ascii="Microsoft Sans Serif" w:hAnsi="Microsoft Sans Serif"/>
          <w:sz w:val="19"/>
        </w:rPr>
        <w:t>Mãos</w:t>
      </w:r>
      <w:r>
        <w:rPr>
          <w:rFonts w:ascii="Microsoft Sans Serif" w:hAnsi="Microsoft Sans Serif"/>
          <w:spacing w:val="9"/>
          <w:sz w:val="19"/>
        </w:rPr>
        <w:t> </w:t>
      </w:r>
      <w:r>
        <w:rPr>
          <w:rFonts w:ascii="Microsoft Sans Serif" w:hAnsi="Microsoft Sans Serif"/>
          <w:sz w:val="19"/>
        </w:rPr>
        <w:t>com</w:t>
      </w:r>
      <w:r>
        <w:rPr>
          <w:rFonts w:ascii="Microsoft Sans Serif" w:hAnsi="Microsoft Sans Serif"/>
          <w:spacing w:val="9"/>
          <w:sz w:val="19"/>
        </w:rPr>
        <w:t> </w:t>
      </w:r>
      <w:r>
        <w:rPr>
          <w:rFonts w:ascii="Microsoft Sans Serif" w:hAnsi="Microsoft Sans Serif"/>
          <w:sz w:val="19"/>
        </w:rPr>
        <w:t>cianose</w:t>
      </w:r>
      <w:r>
        <w:rPr>
          <w:rFonts w:ascii="Microsoft Sans Serif" w:hAnsi="Microsoft Sans Serif"/>
          <w:spacing w:val="16"/>
          <w:sz w:val="19"/>
        </w:rPr>
        <w:t> </w:t>
      </w:r>
      <w:r>
        <w:rPr>
          <w:rFonts w:ascii="Microsoft Sans Serif" w:hAnsi="Microsoft Sans Serif"/>
          <w:sz w:val="19"/>
        </w:rPr>
        <w:t>persistente</w:t>
      </w:r>
      <w:r>
        <w:rPr>
          <w:rFonts w:ascii="Microsoft Sans Serif" w:hAnsi="Microsoft Sans Serif"/>
          <w:spacing w:val="15"/>
          <w:sz w:val="19"/>
        </w:rPr>
        <w:t> </w:t>
      </w:r>
      <w:r>
        <w:rPr>
          <w:rFonts w:ascii="Microsoft Sans Serif" w:hAnsi="Microsoft Sans Serif"/>
          <w:sz w:val="19"/>
        </w:rPr>
        <w:t>em</w:t>
      </w:r>
      <w:r>
        <w:rPr>
          <w:rFonts w:ascii="Microsoft Sans Serif" w:hAnsi="Microsoft Sans Serif"/>
          <w:spacing w:val="10"/>
          <w:sz w:val="19"/>
        </w:rPr>
        <w:t> </w:t>
      </w:r>
      <w:r>
        <w:rPr>
          <w:rFonts w:ascii="Microsoft Sans Serif" w:hAnsi="Microsoft Sans Serif"/>
          <w:sz w:val="19"/>
        </w:rPr>
        <w:t>portadores</w:t>
      </w:r>
      <w:r>
        <w:rPr>
          <w:rFonts w:ascii="Microsoft Sans Serif" w:hAnsi="Microsoft Sans Serif"/>
          <w:spacing w:val="9"/>
          <w:sz w:val="19"/>
        </w:rPr>
        <w:t> </w:t>
      </w:r>
      <w:r>
        <w:rPr>
          <w:rFonts w:ascii="Microsoft Sans Serif" w:hAnsi="Microsoft Sans Serif"/>
          <w:sz w:val="19"/>
        </w:rPr>
        <w:t>de</w:t>
      </w:r>
      <w:r>
        <w:rPr>
          <w:rFonts w:ascii="Microsoft Sans Serif" w:hAnsi="Microsoft Sans Serif"/>
          <w:spacing w:val="16"/>
          <w:sz w:val="19"/>
        </w:rPr>
        <w:t> </w:t>
      </w:r>
      <w:r>
        <w:rPr>
          <w:rFonts w:ascii="Microsoft Sans Serif" w:hAnsi="Microsoft Sans Serif"/>
          <w:spacing w:val="-2"/>
          <w:sz w:val="19"/>
        </w:rPr>
        <w:t>acrocianose.</w:t>
      </w:r>
    </w:p>
    <w:p>
      <w:pPr>
        <w:pStyle w:val="BodyText"/>
        <w:spacing w:before="0"/>
        <w:ind w:left="0" w:firstLine="0"/>
        <w:jc w:val="left"/>
        <w:rPr>
          <w:rFonts w:ascii="Microsoft Sans Serif"/>
          <w:sz w:val="19"/>
        </w:rPr>
      </w:pPr>
    </w:p>
    <w:p>
      <w:pPr>
        <w:pStyle w:val="BodyText"/>
        <w:spacing w:before="124"/>
        <w:ind w:left="0" w:firstLine="0"/>
        <w:jc w:val="left"/>
        <w:rPr>
          <w:rFonts w:ascii="Microsoft Sans Serif"/>
          <w:sz w:val="19"/>
        </w:rPr>
      </w:pPr>
    </w:p>
    <w:p>
      <w:pPr>
        <w:pStyle w:val="Heading3"/>
        <w:ind w:left="37"/>
      </w:pPr>
      <w:r>
        <w:rPr>
          <w:color w:val="242B67"/>
        </w:rPr>
        <w:t>Aprisionamento</w:t>
      </w:r>
      <w:r>
        <w:rPr>
          <w:color w:val="242B67"/>
          <w:spacing w:val="6"/>
        </w:rPr>
        <w:t> </w:t>
      </w:r>
      <w:r>
        <w:rPr>
          <w:color w:val="242B67"/>
        </w:rPr>
        <w:t>da</w:t>
      </w:r>
      <w:r>
        <w:rPr>
          <w:color w:val="242B67"/>
          <w:spacing w:val="6"/>
        </w:rPr>
        <w:t> </w:t>
      </w:r>
      <w:r>
        <w:rPr>
          <w:color w:val="242B67"/>
        </w:rPr>
        <w:t>Artéria</w:t>
      </w:r>
      <w:r>
        <w:rPr>
          <w:color w:val="242B67"/>
          <w:spacing w:val="7"/>
        </w:rPr>
        <w:t> </w:t>
      </w:r>
      <w:r>
        <w:rPr>
          <w:color w:val="242B67"/>
          <w:spacing w:val="-2"/>
        </w:rPr>
        <w:t>Poplítea</w:t>
      </w:r>
    </w:p>
    <w:p>
      <w:pPr>
        <w:pStyle w:val="BodyText"/>
        <w:spacing w:before="6"/>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26240">
                <wp:simplePos x="0" y="0"/>
                <wp:positionH relativeFrom="page">
                  <wp:posOffset>401543</wp:posOffset>
                </wp:positionH>
                <wp:positionV relativeFrom="paragraph">
                  <wp:posOffset>40611</wp:posOffset>
                </wp:positionV>
                <wp:extent cx="6753225" cy="10795"/>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197754pt;width:531.731217pt;height:.8008pt;mso-position-horizontal-relative:page;mso-position-vertical-relative:paragraph;z-index:-15690240;mso-wrap-distance-left:0;mso-wrap-distance-right:0" id="docshape48" filled="true" fillcolor="#242b67" stroked="false">
                <v:fill type="solid"/>
                <w10:wrap type="topAndBottom"/>
              </v:rect>
            </w:pict>
          </mc:Fallback>
        </mc:AlternateContent>
      </w:r>
    </w:p>
    <w:p>
      <w:pPr>
        <w:pStyle w:val="BodyText"/>
        <w:spacing w:after="0"/>
        <w:jc w:val="left"/>
        <w:rPr>
          <w:rFonts w:ascii="Microsoft Sans Serif"/>
          <w:sz w:val="3"/>
        </w:rPr>
        <w:sectPr>
          <w:pgSz w:w="11900" w:h="16840"/>
          <w:pgMar w:top="280" w:bottom="280" w:left="566" w:right="141"/>
        </w:sectPr>
      </w:pPr>
    </w:p>
    <w:p>
      <w:pPr>
        <w:spacing w:before="77"/>
        <w:ind w:left="68" w:right="0" w:firstLine="0"/>
        <w:jc w:val="left"/>
        <w:rPr>
          <w:rFonts w:ascii="Arial" w:hAnsi="Arial"/>
          <w:i/>
          <w:sz w:val="25"/>
        </w:rPr>
      </w:pPr>
      <w:r>
        <w:rPr>
          <w:rFonts w:ascii="Arial" w:hAnsi="Arial"/>
          <w:i/>
          <w:sz w:val="25"/>
        </w:rPr>
        <w:t>Paulo</w:t>
      </w:r>
      <w:r>
        <w:rPr>
          <w:rFonts w:ascii="Arial" w:hAnsi="Arial"/>
          <w:i/>
          <w:spacing w:val="13"/>
          <w:sz w:val="25"/>
        </w:rPr>
        <w:t> </w:t>
      </w:r>
      <w:r>
        <w:rPr>
          <w:rFonts w:ascii="Arial" w:hAnsi="Arial"/>
          <w:i/>
          <w:sz w:val="25"/>
        </w:rPr>
        <w:t>Celso</w:t>
      </w:r>
      <w:r>
        <w:rPr>
          <w:rFonts w:ascii="Arial" w:hAnsi="Arial"/>
          <w:i/>
          <w:spacing w:val="14"/>
          <w:sz w:val="25"/>
        </w:rPr>
        <w:t> </w:t>
      </w:r>
      <w:r>
        <w:rPr>
          <w:rFonts w:ascii="Arial" w:hAnsi="Arial"/>
          <w:i/>
          <w:sz w:val="25"/>
        </w:rPr>
        <w:t>Mota</w:t>
      </w:r>
      <w:r>
        <w:rPr>
          <w:rFonts w:ascii="Arial" w:hAnsi="Arial"/>
          <w:i/>
          <w:spacing w:val="14"/>
          <w:sz w:val="25"/>
        </w:rPr>
        <w:t> </w:t>
      </w:r>
      <w:r>
        <w:rPr>
          <w:rFonts w:ascii="Arial" w:hAnsi="Arial"/>
          <w:i/>
          <w:sz w:val="25"/>
        </w:rPr>
        <w:t>Guimarães</w:t>
      </w:r>
      <w:r>
        <w:rPr>
          <w:rFonts w:ascii="Arial" w:hAnsi="Arial"/>
          <w:i/>
          <w:spacing w:val="14"/>
          <w:sz w:val="25"/>
        </w:rPr>
        <w:t> </w:t>
      </w:r>
      <w:r>
        <w:rPr>
          <w:rFonts w:ascii="Arial" w:hAnsi="Arial"/>
          <w:i/>
          <w:sz w:val="25"/>
        </w:rPr>
        <w:t>e</w:t>
      </w:r>
      <w:r>
        <w:rPr>
          <w:rFonts w:ascii="Arial" w:hAnsi="Arial"/>
          <w:i/>
          <w:spacing w:val="13"/>
          <w:sz w:val="25"/>
        </w:rPr>
        <w:t> </w:t>
      </w:r>
      <w:r>
        <w:rPr>
          <w:rFonts w:ascii="Arial" w:hAnsi="Arial"/>
          <w:i/>
          <w:sz w:val="25"/>
        </w:rPr>
        <w:t>Paulo</w:t>
      </w:r>
      <w:r>
        <w:rPr>
          <w:rFonts w:ascii="Arial" w:hAnsi="Arial"/>
          <w:i/>
          <w:spacing w:val="14"/>
          <w:sz w:val="25"/>
        </w:rPr>
        <w:t> </w:t>
      </w:r>
      <w:r>
        <w:rPr>
          <w:rFonts w:ascii="Arial" w:hAnsi="Arial"/>
          <w:i/>
          <w:spacing w:val="-2"/>
          <w:sz w:val="25"/>
        </w:rPr>
        <w:t>Kauffman</w:t>
      </w:r>
    </w:p>
    <w:p>
      <w:pPr>
        <w:pStyle w:val="BodyText"/>
        <w:spacing w:before="199"/>
        <w:ind w:left="0" w:firstLine="0"/>
        <w:jc w:val="left"/>
        <w:rPr>
          <w:rFonts w:ascii="Arial"/>
          <w:i/>
          <w:sz w:val="25"/>
        </w:rPr>
      </w:pPr>
    </w:p>
    <w:p>
      <w:pPr>
        <w:pStyle w:val="Heading4"/>
      </w:pPr>
      <w:r>
        <w:rPr>
          <w:color w:val="242B67"/>
          <w:spacing w:val="-2"/>
        </w:rPr>
        <w:t>Introdução</w:t>
      </w:r>
    </w:p>
    <w:p>
      <w:pPr>
        <w:pStyle w:val="BodyText"/>
        <w:spacing w:line="276" w:lineRule="auto" w:before="132"/>
        <w:ind w:right="498"/>
      </w:pPr>
      <w:r>
        <w:rPr/>
        <w:t>A claudicação intermitente no paciente jovem é muito rara e, sempre que haja esta hipótese, devem ser lembrados os diagnósticos possíveis: aterosclerose</w:t>
      </w:r>
      <w:r>
        <w:rPr>
          <w:spacing w:val="-5"/>
        </w:rPr>
        <w:t> </w:t>
      </w:r>
      <w:r>
        <w:rPr/>
        <w:t>precoce</w:t>
      </w:r>
      <w:r>
        <w:rPr>
          <w:spacing w:val="-5"/>
        </w:rPr>
        <w:t> </w:t>
      </w:r>
      <w:r>
        <w:rPr/>
        <w:t>nas hiperlipidemias familiares, vasculites, diabetes tipo 1, doença</w:t>
      </w:r>
      <w:r>
        <w:rPr>
          <w:spacing w:val="-3"/>
        </w:rPr>
        <w:t> </w:t>
      </w:r>
      <w:r>
        <w:rPr/>
        <w:t>cística</w:t>
      </w:r>
      <w:r>
        <w:rPr>
          <w:spacing w:val="-3"/>
        </w:rPr>
        <w:t> </w:t>
      </w:r>
      <w:r>
        <w:rPr/>
        <w:t>da</w:t>
      </w:r>
      <w:r>
        <w:rPr>
          <w:spacing w:val="-3"/>
        </w:rPr>
        <w:t> </w:t>
      </w:r>
      <w:r>
        <w:rPr/>
        <w:t>artéria</w:t>
      </w:r>
      <w:r>
        <w:rPr>
          <w:spacing w:val="-3"/>
        </w:rPr>
        <w:t> </w:t>
      </w:r>
      <w:r>
        <w:rPr/>
        <w:t>poplítea, síndrome</w:t>
      </w:r>
      <w:r>
        <w:rPr>
          <w:spacing w:val="-3"/>
        </w:rPr>
        <w:t> </w:t>
      </w:r>
      <w:r>
        <w:rPr/>
        <w:t>compartimental crônica</w:t>
      </w:r>
      <w:r>
        <w:rPr>
          <w:spacing w:val="-3"/>
        </w:rPr>
        <w:t> </w:t>
      </w:r>
      <w:r>
        <w:rPr/>
        <w:t>e</w:t>
      </w:r>
      <w:r>
        <w:rPr>
          <w:spacing w:val="-3"/>
        </w:rPr>
        <w:t> </w:t>
      </w:r>
      <w:r>
        <w:rPr/>
        <w:t>aprisionamento da</w:t>
      </w:r>
      <w:r>
        <w:rPr>
          <w:spacing w:val="-3"/>
        </w:rPr>
        <w:t> </w:t>
      </w:r>
      <w:r>
        <w:rPr/>
        <w:t>artéria</w:t>
      </w:r>
      <w:r>
        <w:rPr>
          <w:spacing w:val="-3"/>
        </w:rPr>
        <w:t> </w:t>
      </w:r>
      <w:r>
        <w:rPr/>
        <w:t>poplítea.</w:t>
      </w:r>
    </w:p>
    <w:p>
      <w:pPr>
        <w:pStyle w:val="BodyText"/>
        <w:spacing w:line="276" w:lineRule="auto" w:before="64"/>
        <w:ind w:right="488"/>
      </w:pPr>
      <w:r>
        <w:rPr/>
        <w:t>O aprisionamento da artéria poplítea se dá em decorrência de variação anatômica da posição da artéria poplítea na região do cavo poplíteo: com esta variação, a artéria é envolvida pela porção medial do músculo gastrocnêmio, provocando um quadro de</w:t>
      </w:r>
      <w:r>
        <w:rPr>
          <w:spacing w:val="-1"/>
        </w:rPr>
        <w:t> </w:t>
      </w:r>
      <w:r>
        <w:rPr/>
        <w:t>isquemia</w:t>
      </w:r>
      <w:r>
        <w:rPr>
          <w:spacing w:val="-1"/>
        </w:rPr>
        <w:t> </w:t>
      </w:r>
      <w:r>
        <w:rPr/>
        <w:t>arterial periférica</w:t>
      </w:r>
      <w:r>
        <w:rPr>
          <w:spacing w:val="-1"/>
        </w:rPr>
        <w:t> </w:t>
      </w:r>
      <w:r>
        <w:rPr/>
        <w:t>durante</w:t>
      </w:r>
      <w:r>
        <w:rPr>
          <w:spacing w:val="-1"/>
        </w:rPr>
        <w:t> </w:t>
      </w:r>
      <w:r>
        <w:rPr/>
        <w:t>a</w:t>
      </w:r>
      <w:r>
        <w:rPr>
          <w:spacing w:val="-1"/>
        </w:rPr>
        <w:t> </w:t>
      </w:r>
      <w:r>
        <w:rPr/>
        <w:t>movimentação da</w:t>
      </w:r>
      <w:r>
        <w:rPr>
          <w:spacing w:val="-1"/>
        </w:rPr>
        <w:t> </w:t>
      </w:r>
      <w:r>
        <w:rPr/>
        <w:t>perna.</w:t>
      </w:r>
    </w:p>
    <w:p>
      <w:pPr>
        <w:pStyle w:val="BodyText"/>
        <w:spacing w:before="49"/>
        <w:ind w:left="414" w:firstLine="0"/>
      </w:pPr>
      <w:r>
        <w:rPr/>
        <w:t>Essa</w:t>
      </w:r>
      <w:r>
        <w:rPr>
          <w:spacing w:val="-6"/>
        </w:rPr>
        <w:t> </w:t>
      </w:r>
      <w:r>
        <w:rPr/>
        <w:t>condição</w:t>
      </w:r>
      <w:r>
        <w:rPr>
          <w:spacing w:val="-1"/>
        </w:rPr>
        <w:t> </w:t>
      </w:r>
      <w:r>
        <w:rPr/>
        <w:t>ocorre</w:t>
      </w:r>
      <w:r>
        <w:rPr>
          <w:spacing w:val="-4"/>
        </w:rPr>
        <w:t> </w:t>
      </w:r>
      <w:r>
        <w:rPr/>
        <w:t>mais</w:t>
      </w:r>
      <w:r>
        <w:rPr>
          <w:spacing w:val="6"/>
        </w:rPr>
        <w:t> </w:t>
      </w:r>
      <w:r>
        <w:rPr/>
        <w:t>frequentemente</w:t>
      </w:r>
      <w:r>
        <w:rPr>
          <w:spacing w:val="-4"/>
        </w:rPr>
        <w:t> </w:t>
      </w:r>
      <w:r>
        <w:rPr/>
        <w:t>em</w:t>
      </w:r>
      <w:r>
        <w:rPr>
          <w:spacing w:val="-1"/>
        </w:rPr>
        <w:t> </w:t>
      </w:r>
      <w:r>
        <w:rPr/>
        <w:t>homens,</w:t>
      </w:r>
      <w:r>
        <w:rPr>
          <w:spacing w:val="6"/>
        </w:rPr>
        <w:t> </w:t>
      </w:r>
      <w:r>
        <w:rPr/>
        <w:t>e</w:t>
      </w:r>
      <w:r>
        <w:rPr>
          <w:spacing w:val="-3"/>
        </w:rPr>
        <w:t> </w:t>
      </w:r>
      <w:r>
        <w:rPr/>
        <w:t>em</w:t>
      </w:r>
      <w:r>
        <w:rPr>
          <w:spacing w:val="-2"/>
        </w:rPr>
        <w:t> </w:t>
      </w:r>
      <w:r>
        <w:rPr/>
        <w:t>geral</w:t>
      </w:r>
      <w:r>
        <w:rPr>
          <w:spacing w:val="2"/>
        </w:rPr>
        <w:t> </w:t>
      </w:r>
      <w:r>
        <w:rPr/>
        <w:t>seus</w:t>
      </w:r>
      <w:r>
        <w:rPr>
          <w:spacing w:val="6"/>
        </w:rPr>
        <w:t> </w:t>
      </w:r>
      <w:r>
        <w:rPr/>
        <w:t>sintomas</w:t>
      </w:r>
      <w:r>
        <w:rPr>
          <w:spacing w:val="6"/>
        </w:rPr>
        <w:t> </w:t>
      </w:r>
      <w:r>
        <w:rPr/>
        <w:t>iniciam-se</w:t>
      </w:r>
      <w:r>
        <w:rPr>
          <w:spacing w:val="-4"/>
        </w:rPr>
        <w:t> </w:t>
      </w:r>
      <w:r>
        <w:rPr/>
        <w:t>antes</w:t>
      </w:r>
      <w:r>
        <w:rPr>
          <w:spacing w:val="7"/>
        </w:rPr>
        <w:t> </w:t>
      </w:r>
      <w:r>
        <w:rPr/>
        <w:t>dos</w:t>
      </w:r>
      <w:r>
        <w:rPr>
          <w:spacing w:val="6"/>
        </w:rPr>
        <w:t> </w:t>
      </w:r>
      <w:r>
        <w:rPr/>
        <w:t>40</w:t>
      </w:r>
      <w:r>
        <w:rPr>
          <w:spacing w:val="-1"/>
        </w:rPr>
        <w:t> </w:t>
      </w:r>
      <w:r>
        <w:rPr>
          <w:spacing w:val="-2"/>
        </w:rPr>
        <w:t>anos.</w:t>
      </w:r>
    </w:p>
    <w:p>
      <w:pPr>
        <w:pStyle w:val="BodyText"/>
        <w:spacing w:before="39"/>
        <w:ind w:firstLine="0"/>
      </w:pPr>
      <w:r>
        <w:rPr/>
        <w:t>Foi</w:t>
      </w:r>
      <w:r>
        <w:rPr>
          <w:spacing w:val="-6"/>
        </w:rPr>
        <w:t> </w:t>
      </w:r>
      <w:r>
        <w:rPr/>
        <w:t>primeiramente</w:t>
      </w:r>
      <w:r>
        <w:rPr>
          <w:spacing w:val="-10"/>
        </w:rPr>
        <w:t> </w:t>
      </w:r>
      <w:r>
        <w:rPr/>
        <w:t>descrita</w:t>
      </w:r>
      <w:r>
        <w:rPr>
          <w:spacing w:val="-10"/>
        </w:rPr>
        <w:t> </w:t>
      </w:r>
      <w:r>
        <w:rPr/>
        <w:t>por</w:t>
      </w:r>
      <w:r>
        <w:rPr>
          <w:spacing w:val="-3"/>
        </w:rPr>
        <w:t> </w:t>
      </w:r>
      <w:r>
        <w:rPr/>
        <w:t>Stuart,</w:t>
      </w:r>
      <w:r>
        <w:rPr>
          <w:spacing w:val="-1"/>
        </w:rPr>
        <w:t> </w:t>
      </w:r>
      <w:r>
        <w:rPr/>
        <w:t>em</w:t>
      </w:r>
      <w:r>
        <w:rPr>
          <w:spacing w:val="-7"/>
        </w:rPr>
        <w:t> </w:t>
      </w:r>
      <w:r>
        <w:rPr>
          <w:spacing w:val="-2"/>
        </w:rPr>
        <w:t>1879.</w:t>
      </w:r>
    </w:p>
    <w:p>
      <w:pPr>
        <w:pStyle w:val="BodyText"/>
        <w:spacing w:before="225"/>
        <w:ind w:left="0" w:firstLine="0"/>
        <w:jc w:val="left"/>
      </w:pPr>
    </w:p>
    <w:p>
      <w:pPr>
        <w:pStyle w:val="Heading4"/>
        <w:spacing w:before="1"/>
      </w:pPr>
      <w:r>
        <w:rPr>
          <w:color w:val="242B67"/>
          <w:spacing w:val="-2"/>
        </w:rPr>
        <w:t>Fisiopatologia</w:t>
      </w:r>
    </w:p>
    <w:p>
      <w:pPr>
        <w:pStyle w:val="BodyText"/>
        <w:spacing w:line="276" w:lineRule="auto" w:before="147"/>
        <w:ind w:right="488"/>
      </w:pPr>
      <w:r>
        <w:rPr/>
        <w:t>A artéria poplítea se origina da artéria isquiática primitiva do embrião, ao contrário das artérias femorais e tibiais, cuja origem é na artéria femoral comum. Portanto, a reabsorção de parte da artéria femoral e a junção com parte da artéria isquiática primitiva podem originar uma grande frequência de variações anatômicas da posição da artéria poplítea, em relação à musculatura gastrocnêmica. Apesar dessa grande variação, somente uma pequena porcentagem</w:t>
      </w:r>
      <w:r>
        <w:rPr>
          <w:spacing w:val="-12"/>
        </w:rPr>
        <w:t> </w:t>
      </w:r>
      <w:r>
        <w:rPr/>
        <w:t>dos</w:t>
      </w:r>
      <w:r>
        <w:rPr>
          <w:spacing w:val="-5"/>
        </w:rPr>
        <w:t> </w:t>
      </w:r>
      <w:r>
        <w:rPr/>
        <w:t>pacientes</w:t>
      </w:r>
      <w:r>
        <w:rPr>
          <w:spacing w:val="-5"/>
        </w:rPr>
        <w:t> </w:t>
      </w:r>
      <w:r>
        <w:rPr/>
        <w:t>evolui</w:t>
      </w:r>
      <w:r>
        <w:rPr>
          <w:spacing w:val="-9"/>
        </w:rPr>
        <w:t> </w:t>
      </w:r>
      <w:r>
        <w:rPr/>
        <w:t>com</w:t>
      </w:r>
      <w:r>
        <w:rPr>
          <w:spacing w:val="-12"/>
        </w:rPr>
        <w:t> </w:t>
      </w:r>
      <w:r>
        <w:rPr/>
        <w:t>sintomas.</w:t>
      </w:r>
      <w:r>
        <w:rPr>
          <w:spacing w:val="-5"/>
        </w:rPr>
        <w:t> </w:t>
      </w:r>
      <w:r>
        <w:rPr/>
        <w:t>Geralmente</w:t>
      </w:r>
      <w:r>
        <w:rPr>
          <w:spacing w:val="-14"/>
        </w:rPr>
        <w:t> </w:t>
      </w:r>
      <w:r>
        <w:rPr/>
        <w:t>estes</w:t>
      </w:r>
      <w:r>
        <w:rPr>
          <w:spacing w:val="-5"/>
        </w:rPr>
        <w:t> </w:t>
      </w:r>
      <w:r>
        <w:rPr/>
        <w:t>são</w:t>
      </w:r>
      <w:r>
        <w:rPr>
          <w:spacing w:val="-12"/>
        </w:rPr>
        <w:t> </w:t>
      </w:r>
      <w:r>
        <w:rPr/>
        <w:t>atletas,</w:t>
      </w:r>
      <w:r>
        <w:rPr>
          <w:spacing w:val="-5"/>
        </w:rPr>
        <w:t> </w:t>
      </w:r>
      <w:r>
        <w:rPr/>
        <w:t>principalmente</w:t>
      </w:r>
      <w:r>
        <w:rPr>
          <w:spacing w:val="-14"/>
        </w:rPr>
        <w:t> </w:t>
      </w:r>
      <w:r>
        <w:rPr/>
        <w:t>os</w:t>
      </w:r>
      <w:r>
        <w:rPr>
          <w:spacing w:val="-5"/>
        </w:rPr>
        <w:t> </w:t>
      </w:r>
      <w:r>
        <w:rPr/>
        <w:t>que</w:t>
      </w:r>
      <w:r>
        <w:rPr>
          <w:spacing w:val="-14"/>
        </w:rPr>
        <w:t> </w:t>
      </w:r>
      <w:r>
        <w:rPr/>
        <w:t>realizam</w:t>
      </w:r>
      <w:r>
        <w:rPr>
          <w:spacing w:val="-12"/>
        </w:rPr>
        <w:t> </w:t>
      </w:r>
      <w:r>
        <w:rPr/>
        <w:t>muita atividade com saltos (como basquetebol e voleibol), ou fazem frequentes caminhadas em subidas, que mais apresentam os sintomas de aprisionamento da artéria poplítea.</w:t>
      </w:r>
    </w:p>
    <w:p>
      <w:pPr>
        <w:pStyle w:val="BodyText"/>
        <w:spacing w:line="276" w:lineRule="auto" w:before="49"/>
        <w:ind w:right="491"/>
      </w:pPr>
      <w:r>
        <w:rPr/>
        <w:t>Na </w:t>
      </w:r>
      <w:r>
        <w:rPr>
          <w:color w:val="505050"/>
        </w:rPr>
        <w:t>Figura 59.24 </w:t>
      </w:r>
      <w:r>
        <w:rPr/>
        <w:t>estão esquematizadas as variações anatômicas mais frequentes, responsáveis pelo aprisionamento</w:t>
      </w:r>
      <w:r>
        <w:rPr>
          <w:spacing w:val="-1"/>
        </w:rPr>
        <w:t> </w:t>
      </w:r>
      <w:r>
        <w:rPr/>
        <w:t>da</w:t>
      </w:r>
      <w:r>
        <w:rPr>
          <w:spacing w:val="-3"/>
        </w:rPr>
        <w:t> </w:t>
      </w:r>
      <w:r>
        <w:rPr/>
        <w:t>artéria</w:t>
      </w:r>
      <w:r>
        <w:rPr>
          <w:spacing w:val="-3"/>
        </w:rPr>
        <w:t> </w:t>
      </w:r>
      <w:r>
        <w:rPr/>
        <w:t>poplítea: a</w:t>
      </w:r>
      <w:r>
        <w:rPr>
          <w:spacing w:val="-3"/>
        </w:rPr>
        <w:t> </w:t>
      </w:r>
      <w:r>
        <w:rPr/>
        <w:t>passagem</w:t>
      </w:r>
      <w:r>
        <w:rPr>
          <w:spacing w:val="-1"/>
        </w:rPr>
        <w:t> </w:t>
      </w:r>
      <w:r>
        <w:rPr/>
        <w:t>da</w:t>
      </w:r>
      <w:r>
        <w:rPr>
          <w:spacing w:val="-3"/>
        </w:rPr>
        <w:t> </w:t>
      </w:r>
      <w:r>
        <w:rPr/>
        <w:t>artéria</w:t>
      </w:r>
      <w:r>
        <w:rPr>
          <w:spacing w:val="-3"/>
        </w:rPr>
        <w:t> </w:t>
      </w:r>
      <w:r>
        <w:rPr/>
        <w:t>poplítea</w:t>
      </w:r>
      <w:r>
        <w:rPr>
          <w:spacing w:val="-3"/>
        </w:rPr>
        <w:t> </w:t>
      </w:r>
      <w:r>
        <w:rPr/>
        <w:t>pela</w:t>
      </w:r>
      <w:r>
        <w:rPr>
          <w:spacing w:val="-3"/>
        </w:rPr>
        <w:t> </w:t>
      </w:r>
      <w:r>
        <w:rPr/>
        <w:t>porção</w:t>
      </w:r>
      <w:r>
        <w:rPr>
          <w:spacing w:val="-1"/>
        </w:rPr>
        <w:t> </w:t>
      </w:r>
      <w:r>
        <w:rPr/>
        <w:t>medial do</w:t>
      </w:r>
      <w:r>
        <w:rPr>
          <w:spacing w:val="-1"/>
        </w:rPr>
        <w:t> </w:t>
      </w:r>
      <w:r>
        <w:rPr/>
        <w:t>músculo</w:t>
      </w:r>
      <w:r>
        <w:rPr>
          <w:spacing w:val="-1"/>
        </w:rPr>
        <w:t> </w:t>
      </w:r>
      <w:r>
        <w:rPr/>
        <w:t>gastrocnêmio, ou seu aprisionamento por inserções anômalas do músculo gastrocnêmio ou do músculo sóleo.</w:t>
      </w:r>
    </w:p>
    <w:p>
      <w:pPr>
        <w:pStyle w:val="BodyText"/>
        <w:spacing w:before="75"/>
        <w:ind w:left="0" w:firstLine="0"/>
        <w:jc w:val="left"/>
        <w:rPr>
          <w:sz w:val="20"/>
        </w:rPr>
      </w:pPr>
      <w:r>
        <w:rPr>
          <w:sz w:val="20"/>
        </w:rPr>
        <w:drawing>
          <wp:anchor distT="0" distB="0" distL="0" distR="0" allowOverlap="1" layoutInCell="1" locked="0" behindDoc="1" simplePos="0" relativeHeight="487626752">
            <wp:simplePos x="0" y="0"/>
            <wp:positionH relativeFrom="page">
              <wp:posOffset>401556</wp:posOffset>
            </wp:positionH>
            <wp:positionV relativeFrom="paragraph">
              <wp:posOffset>208907</wp:posOffset>
            </wp:positionV>
            <wp:extent cx="6730619" cy="4733734"/>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58" cstate="print"/>
                    <a:stretch>
                      <a:fillRect/>
                    </a:stretch>
                  </pic:blipFill>
                  <pic:spPr>
                    <a:xfrm>
                      <a:off x="0" y="0"/>
                      <a:ext cx="6730619" cy="4733734"/>
                    </a:xfrm>
                    <a:prstGeom prst="rect">
                      <a:avLst/>
                    </a:prstGeom>
                  </pic:spPr>
                </pic:pic>
              </a:graphicData>
            </a:graphic>
          </wp:anchor>
        </w:drawing>
      </w:r>
    </w:p>
    <w:p>
      <w:pPr>
        <w:spacing w:before="262"/>
        <w:ind w:left="68" w:right="0" w:firstLine="0"/>
        <w:jc w:val="both"/>
        <w:rPr>
          <w:rFonts w:ascii="Microsoft Sans Serif" w:hAnsi="Microsoft Sans Serif"/>
          <w:sz w:val="19"/>
        </w:rPr>
      </w:pPr>
      <w:r>
        <w:rPr>
          <w:rFonts w:ascii="Arial" w:hAnsi="Arial"/>
          <w:b/>
          <w:color w:val="242B67"/>
          <w:sz w:val="19"/>
        </w:rPr>
        <w:t>Figura</w:t>
      </w:r>
      <w:r>
        <w:rPr>
          <w:rFonts w:ascii="Arial" w:hAnsi="Arial"/>
          <w:b/>
          <w:color w:val="242B67"/>
          <w:spacing w:val="63"/>
          <w:sz w:val="19"/>
        </w:rPr>
        <w:t> </w:t>
      </w:r>
      <w:r>
        <w:rPr>
          <w:rFonts w:ascii="Arial" w:hAnsi="Arial"/>
          <w:b/>
          <w:color w:val="242B67"/>
          <w:sz w:val="19"/>
        </w:rPr>
        <w:t>59.24</w:t>
      </w:r>
      <w:r>
        <w:rPr>
          <w:rFonts w:ascii="Arial" w:hAnsi="Arial"/>
          <w:b/>
          <w:color w:val="242B67"/>
          <w:spacing w:val="63"/>
          <w:sz w:val="19"/>
        </w:rPr>
        <w:t> </w:t>
      </w:r>
      <w:r>
        <w:rPr>
          <w:rFonts w:ascii="Microsoft Sans Serif" w:hAnsi="Microsoft Sans Serif"/>
          <w:sz w:val="19"/>
        </w:rPr>
        <w:t>Anatomia</w:t>
      </w:r>
      <w:r>
        <w:rPr>
          <w:rFonts w:ascii="Microsoft Sans Serif" w:hAnsi="Microsoft Sans Serif"/>
          <w:spacing w:val="67"/>
          <w:sz w:val="19"/>
        </w:rPr>
        <w:t> </w:t>
      </w:r>
      <w:r>
        <w:rPr>
          <w:rFonts w:ascii="Microsoft Sans Serif" w:hAnsi="Microsoft Sans Serif"/>
          <w:sz w:val="19"/>
        </w:rPr>
        <w:t>da</w:t>
      </w:r>
      <w:r>
        <w:rPr>
          <w:rFonts w:ascii="Microsoft Sans Serif" w:hAnsi="Microsoft Sans Serif"/>
          <w:spacing w:val="66"/>
          <w:sz w:val="19"/>
        </w:rPr>
        <w:t> </w:t>
      </w:r>
      <w:r>
        <w:rPr>
          <w:rFonts w:ascii="Microsoft Sans Serif" w:hAnsi="Microsoft Sans Serif"/>
          <w:sz w:val="19"/>
        </w:rPr>
        <w:t>artéria</w:t>
      </w:r>
      <w:r>
        <w:rPr>
          <w:rFonts w:ascii="Microsoft Sans Serif" w:hAnsi="Microsoft Sans Serif"/>
          <w:spacing w:val="67"/>
          <w:sz w:val="19"/>
        </w:rPr>
        <w:t> </w:t>
      </w:r>
      <w:r>
        <w:rPr>
          <w:rFonts w:ascii="Microsoft Sans Serif" w:hAnsi="Microsoft Sans Serif"/>
          <w:sz w:val="19"/>
        </w:rPr>
        <w:t>poplítea.</w:t>
      </w:r>
      <w:r>
        <w:rPr>
          <w:rFonts w:ascii="Microsoft Sans Serif" w:hAnsi="Microsoft Sans Serif"/>
          <w:spacing w:val="54"/>
          <w:sz w:val="19"/>
        </w:rPr>
        <w:t> </w:t>
      </w:r>
      <w:r>
        <w:rPr>
          <w:rFonts w:ascii="Arial" w:hAnsi="Arial"/>
          <w:b/>
          <w:sz w:val="19"/>
        </w:rPr>
        <w:t>A.</w:t>
      </w:r>
      <w:r>
        <w:rPr>
          <w:rFonts w:ascii="Arial" w:hAnsi="Arial"/>
          <w:b/>
          <w:spacing w:val="51"/>
          <w:sz w:val="19"/>
        </w:rPr>
        <w:t> </w:t>
      </w:r>
      <w:r>
        <w:rPr>
          <w:rFonts w:ascii="Microsoft Sans Serif" w:hAnsi="Microsoft Sans Serif"/>
          <w:sz w:val="19"/>
        </w:rPr>
        <w:t>Posição</w:t>
      </w:r>
      <w:r>
        <w:rPr>
          <w:rFonts w:ascii="Microsoft Sans Serif" w:hAnsi="Microsoft Sans Serif"/>
          <w:spacing w:val="67"/>
          <w:sz w:val="19"/>
        </w:rPr>
        <w:t> </w:t>
      </w:r>
      <w:r>
        <w:rPr>
          <w:rFonts w:ascii="Microsoft Sans Serif" w:hAnsi="Microsoft Sans Serif"/>
          <w:sz w:val="19"/>
        </w:rPr>
        <w:t>normal.</w:t>
      </w:r>
      <w:r>
        <w:rPr>
          <w:rFonts w:ascii="Microsoft Sans Serif" w:hAnsi="Microsoft Sans Serif"/>
          <w:spacing w:val="53"/>
          <w:sz w:val="19"/>
        </w:rPr>
        <w:t> </w:t>
      </w:r>
      <w:r>
        <w:rPr>
          <w:rFonts w:ascii="Arial" w:hAnsi="Arial"/>
          <w:b/>
          <w:sz w:val="19"/>
        </w:rPr>
        <w:t>B.</w:t>
      </w:r>
      <w:r>
        <w:rPr>
          <w:rFonts w:ascii="Arial" w:hAnsi="Arial"/>
          <w:b/>
          <w:spacing w:val="52"/>
          <w:sz w:val="19"/>
        </w:rPr>
        <w:t> </w:t>
      </w:r>
      <w:r>
        <w:rPr>
          <w:rFonts w:ascii="Microsoft Sans Serif" w:hAnsi="Microsoft Sans Serif"/>
          <w:sz w:val="19"/>
        </w:rPr>
        <w:t>inserção</w:t>
      </w:r>
      <w:r>
        <w:rPr>
          <w:rFonts w:ascii="Microsoft Sans Serif" w:hAnsi="Microsoft Sans Serif"/>
          <w:spacing w:val="67"/>
          <w:sz w:val="19"/>
        </w:rPr>
        <w:t> </w:t>
      </w:r>
      <w:r>
        <w:rPr>
          <w:rFonts w:ascii="Microsoft Sans Serif" w:hAnsi="Microsoft Sans Serif"/>
          <w:sz w:val="19"/>
        </w:rPr>
        <w:t>do</w:t>
      </w:r>
      <w:r>
        <w:rPr>
          <w:rFonts w:ascii="Microsoft Sans Serif" w:hAnsi="Microsoft Sans Serif"/>
          <w:spacing w:val="67"/>
          <w:sz w:val="19"/>
        </w:rPr>
        <w:t> </w:t>
      </w:r>
      <w:r>
        <w:rPr>
          <w:rFonts w:ascii="Microsoft Sans Serif" w:hAnsi="Microsoft Sans Serif"/>
          <w:sz w:val="19"/>
        </w:rPr>
        <w:t>músculo</w:t>
      </w:r>
      <w:r>
        <w:rPr>
          <w:rFonts w:ascii="Microsoft Sans Serif" w:hAnsi="Microsoft Sans Serif"/>
          <w:spacing w:val="66"/>
          <w:sz w:val="19"/>
        </w:rPr>
        <w:t> </w:t>
      </w:r>
      <w:r>
        <w:rPr>
          <w:rFonts w:ascii="Microsoft Sans Serif" w:hAnsi="Microsoft Sans Serif"/>
          <w:sz w:val="19"/>
        </w:rPr>
        <w:t>gastrocnêmio</w:t>
      </w:r>
      <w:r>
        <w:rPr>
          <w:rFonts w:ascii="Microsoft Sans Serif" w:hAnsi="Microsoft Sans Serif"/>
          <w:spacing w:val="67"/>
          <w:sz w:val="19"/>
        </w:rPr>
        <w:t> </w:t>
      </w:r>
      <w:r>
        <w:rPr>
          <w:rFonts w:ascii="Microsoft Sans Serif" w:hAnsi="Microsoft Sans Serif"/>
          <w:spacing w:val="-2"/>
          <w:sz w:val="19"/>
        </w:rPr>
        <w:t>medialmente,</w:t>
      </w:r>
    </w:p>
    <w:p>
      <w:pPr>
        <w:spacing w:after="0"/>
        <w:jc w:val="both"/>
        <w:rPr>
          <w:rFonts w:ascii="Microsoft Sans Serif" w:hAnsi="Microsoft Sans Serif"/>
          <w:sz w:val="19"/>
        </w:rPr>
        <w:sectPr>
          <w:pgSz w:w="11900" w:h="16840"/>
          <w:pgMar w:top="160" w:bottom="280" w:left="566" w:right="141"/>
        </w:sectPr>
      </w:pPr>
    </w:p>
    <w:p>
      <w:pPr>
        <w:spacing w:before="77"/>
        <w:ind w:left="68" w:right="0" w:firstLine="0"/>
        <w:jc w:val="left"/>
        <w:rPr>
          <w:rFonts w:ascii="Microsoft Sans Serif" w:hAnsi="Microsoft Sans Serif"/>
          <w:sz w:val="19"/>
        </w:rPr>
      </w:pPr>
      <w:r>
        <w:rPr>
          <w:rFonts w:ascii="Microsoft Sans Serif" w:hAnsi="Microsoft Sans Serif"/>
          <w:sz w:val="19"/>
        </w:rPr>
        <w:t>aprisionando</w:t>
      </w:r>
      <w:r>
        <w:rPr>
          <w:rFonts w:ascii="Microsoft Sans Serif" w:hAnsi="Microsoft Sans Serif"/>
          <w:spacing w:val="26"/>
          <w:sz w:val="19"/>
        </w:rPr>
        <w:t> </w:t>
      </w:r>
      <w:r>
        <w:rPr>
          <w:rFonts w:ascii="Microsoft Sans Serif" w:hAnsi="Microsoft Sans Serif"/>
          <w:sz w:val="19"/>
        </w:rPr>
        <w:t>a</w:t>
      </w:r>
      <w:r>
        <w:rPr>
          <w:rFonts w:ascii="Microsoft Sans Serif" w:hAnsi="Microsoft Sans Serif"/>
          <w:spacing w:val="27"/>
          <w:sz w:val="19"/>
        </w:rPr>
        <w:t> </w:t>
      </w:r>
      <w:r>
        <w:rPr>
          <w:rFonts w:ascii="Microsoft Sans Serif" w:hAnsi="Microsoft Sans Serif"/>
          <w:sz w:val="19"/>
        </w:rPr>
        <w:t>artéria</w:t>
      </w:r>
      <w:r>
        <w:rPr>
          <w:rFonts w:ascii="Microsoft Sans Serif" w:hAnsi="Microsoft Sans Serif"/>
          <w:spacing w:val="27"/>
          <w:sz w:val="19"/>
        </w:rPr>
        <w:t> </w:t>
      </w:r>
      <w:r>
        <w:rPr>
          <w:rFonts w:ascii="Microsoft Sans Serif" w:hAnsi="Microsoft Sans Serif"/>
          <w:sz w:val="19"/>
        </w:rPr>
        <w:t>poplítea.</w:t>
      </w:r>
      <w:r>
        <w:rPr>
          <w:rFonts w:ascii="Microsoft Sans Serif" w:hAnsi="Microsoft Sans Serif"/>
          <w:spacing w:val="13"/>
          <w:sz w:val="19"/>
        </w:rPr>
        <w:t> </w:t>
      </w:r>
      <w:r>
        <w:rPr>
          <w:rFonts w:ascii="Arial" w:hAnsi="Arial"/>
          <w:b/>
          <w:sz w:val="19"/>
        </w:rPr>
        <w:t>C.</w:t>
      </w:r>
      <w:r>
        <w:rPr>
          <w:rFonts w:ascii="Arial" w:hAnsi="Arial"/>
          <w:b/>
          <w:spacing w:val="14"/>
          <w:sz w:val="19"/>
        </w:rPr>
        <w:t> </w:t>
      </w:r>
      <w:r>
        <w:rPr>
          <w:rFonts w:ascii="Microsoft Sans Serif" w:hAnsi="Microsoft Sans Serif"/>
          <w:sz w:val="19"/>
        </w:rPr>
        <w:t>Posicionamento</w:t>
      </w:r>
      <w:r>
        <w:rPr>
          <w:rFonts w:ascii="Microsoft Sans Serif" w:hAnsi="Microsoft Sans Serif"/>
          <w:spacing w:val="30"/>
          <w:sz w:val="19"/>
        </w:rPr>
        <w:t> </w:t>
      </w:r>
      <w:r>
        <w:rPr>
          <w:rFonts w:ascii="Microsoft Sans Serif" w:hAnsi="Microsoft Sans Serif"/>
          <w:sz w:val="19"/>
        </w:rPr>
        <w:t>da</w:t>
      </w:r>
      <w:r>
        <w:rPr>
          <w:rFonts w:ascii="Microsoft Sans Serif" w:hAnsi="Microsoft Sans Serif"/>
          <w:spacing w:val="31"/>
          <w:sz w:val="19"/>
        </w:rPr>
        <w:t> </w:t>
      </w:r>
      <w:r>
        <w:rPr>
          <w:rFonts w:ascii="Microsoft Sans Serif" w:hAnsi="Microsoft Sans Serif"/>
          <w:sz w:val="19"/>
        </w:rPr>
        <w:t>artéria</w:t>
      </w:r>
      <w:r>
        <w:rPr>
          <w:rFonts w:ascii="Microsoft Sans Serif" w:hAnsi="Microsoft Sans Serif"/>
          <w:spacing w:val="31"/>
          <w:sz w:val="19"/>
        </w:rPr>
        <w:t> </w:t>
      </w:r>
      <w:r>
        <w:rPr>
          <w:rFonts w:ascii="Microsoft Sans Serif" w:hAnsi="Microsoft Sans Serif"/>
          <w:sz w:val="19"/>
        </w:rPr>
        <w:t>poplítea</w:t>
      </w:r>
      <w:r>
        <w:rPr>
          <w:rFonts w:ascii="Microsoft Sans Serif" w:hAnsi="Microsoft Sans Serif"/>
          <w:spacing w:val="31"/>
          <w:sz w:val="19"/>
        </w:rPr>
        <w:t> </w:t>
      </w:r>
      <w:r>
        <w:rPr>
          <w:rFonts w:ascii="Microsoft Sans Serif" w:hAnsi="Microsoft Sans Serif"/>
          <w:sz w:val="19"/>
        </w:rPr>
        <w:t>medialmente</w:t>
      </w:r>
      <w:r>
        <w:rPr>
          <w:rFonts w:ascii="Microsoft Sans Serif" w:hAnsi="Microsoft Sans Serif"/>
          <w:spacing w:val="31"/>
          <w:sz w:val="19"/>
        </w:rPr>
        <w:t> </w:t>
      </w:r>
      <w:r>
        <w:rPr>
          <w:rFonts w:ascii="Microsoft Sans Serif" w:hAnsi="Microsoft Sans Serif"/>
          <w:sz w:val="19"/>
        </w:rPr>
        <w:t>à</w:t>
      </w:r>
      <w:r>
        <w:rPr>
          <w:rFonts w:ascii="Microsoft Sans Serif" w:hAnsi="Microsoft Sans Serif"/>
          <w:spacing w:val="31"/>
          <w:sz w:val="19"/>
        </w:rPr>
        <w:t> </w:t>
      </w:r>
      <w:r>
        <w:rPr>
          <w:rFonts w:ascii="Microsoft Sans Serif" w:hAnsi="Microsoft Sans Serif"/>
          <w:sz w:val="19"/>
        </w:rPr>
        <w:t>inserção</w:t>
      </w:r>
      <w:r>
        <w:rPr>
          <w:rFonts w:ascii="Microsoft Sans Serif" w:hAnsi="Microsoft Sans Serif"/>
          <w:spacing w:val="30"/>
          <w:sz w:val="19"/>
        </w:rPr>
        <w:t> </w:t>
      </w:r>
      <w:r>
        <w:rPr>
          <w:rFonts w:ascii="Microsoft Sans Serif" w:hAnsi="Microsoft Sans Serif"/>
          <w:sz w:val="19"/>
        </w:rPr>
        <w:t>do</w:t>
      </w:r>
      <w:r>
        <w:rPr>
          <w:rFonts w:ascii="Microsoft Sans Serif" w:hAnsi="Microsoft Sans Serif"/>
          <w:spacing w:val="31"/>
          <w:sz w:val="19"/>
        </w:rPr>
        <w:t> </w:t>
      </w:r>
      <w:r>
        <w:rPr>
          <w:rFonts w:ascii="Microsoft Sans Serif" w:hAnsi="Microsoft Sans Serif"/>
          <w:sz w:val="19"/>
        </w:rPr>
        <w:t>músculo</w:t>
      </w:r>
      <w:r>
        <w:rPr>
          <w:rFonts w:ascii="Microsoft Sans Serif" w:hAnsi="Microsoft Sans Serif"/>
          <w:spacing w:val="31"/>
          <w:sz w:val="19"/>
        </w:rPr>
        <w:t> </w:t>
      </w:r>
      <w:r>
        <w:rPr>
          <w:rFonts w:ascii="Microsoft Sans Serif" w:hAnsi="Microsoft Sans Serif"/>
          <w:spacing w:val="-2"/>
          <w:sz w:val="19"/>
        </w:rPr>
        <w:t>gastrocnêmio.</w:t>
      </w:r>
    </w:p>
    <w:p>
      <w:pPr>
        <w:spacing w:before="38"/>
        <w:ind w:left="68" w:right="0" w:firstLine="0"/>
        <w:jc w:val="left"/>
        <w:rPr>
          <w:rFonts w:ascii="Microsoft Sans Serif" w:hAnsi="Microsoft Sans Serif"/>
          <w:sz w:val="19"/>
        </w:rPr>
      </w:pPr>
      <w:r>
        <w:rPr>
          <w:rFonts w:ascii="Arial" w:hAnsi="Arial"/>
          <w:b/>
          <w:sz w:val="19"/>
        </w:rPr>
        <w:t>D.</w:t>
      </w:r>
      <w:r>
        <w:rPr>
          <w:rFonts w:ascii="Arial" w:hAnsi="Arial"/>
          <w:b/>
          <w:spacing w:val="2"/>
          <w:sz w:val="19"/>
        </w:rPr>
        <w:t> </w:t>
      </w:r>
      <w:r>
        <w:rPr>
          <w:rFonts w:ascii="Microsoft Sans Serif" w:hAnsi="Microsoft Sans Serif"/>
          <w:sz w:val="19"/>
        </w:rPr>
        <w:t>Inserção</w:t>
      </w:r>
      <w:r>
        <w:rPr>
          <w:rFonts w:ascii="Microsoft Sans Serif" w:hAnsi="Microsoft Sans Serif"/>
          <w:spacing w:val="19"/>
          <w:sz w:val="19"/>
        </w:rPr>
        <w:t> </w:t>
      </w:r>
      <w:r>
        <w:rPr>
          <w:rFonts w:ascii="Microsoft Sans Serif" w:hAnsi="Microsoft Sans Serif"/>
          <w:sz w:val="19"/>
        </w:rPr>
        <w:t>anômala</w:t>
      </w:r>
      <w:r>
        <w:rPr>
          <w:rFonts w:ascii="Microsoft Sans Serif" w:hAnsi="Microsoft Sans Serif"/>
          <w:spacing w:val="19"/>
          <w:sz w:val="19"/>
        </w:rPr>
        <w:t> </w:t>
      </w:r>
      <w:r>
        <w:rPr>
          <w:rFonts w:ascii="Microsoft Sans Serif" w:hAnsi="Microsoft Sans Serif"/>
          <w:sz w:val="19"/>
        </w:rPr>
        <w:t>do</w:t>
      </w:r>
      <w:r>
        <w:rPr>
          <w:rFonts w:ascii="Microsoft Sans Serif" w:hAnsi="Microsoft Sans Serif"/>
          <w:spacing w:val="19"/>
          <w:sz w:val="19"/>
        </w:rPr>
        <w:t> </w:t>
      </w:r>
      <w:r>
        <w:rPr>
          <w:rFonts w:ascii="Microsoft Sans Serif" w:hAnsi="Microsoft Sans Serif"/>
          <w:sz w:val="19"/>
        </w:rPr>
        <w:t>músculo</w:t>
      </w:r>
      <w:r>
        <w:rPr>
          <w:rFonts w:ascii="Microsoft Sans Serif" w:hAnsi="Microsoft Sans Serif"/>
          <w:spacing w:val="20"/>
          <w:sz w:val="19"/>
        </w:rPr>
        <w:t> </w:t>
      </w:r>
      <w:r>
        <w:rPr>
          <w:rFonts w:ascii="Microsoft Sans Serif" w:hAnsi="Microsoft Sans Serif"/>
          <w:spacing w:val="-2"/>
          <w:sz w:val="19"/>
        </w:rPr>
        <w:t>gastrocnêmio.</w:t>
      </w:r>
    </w:p>
    <w:p>
      <w:pPr>
        <w:pStyle w:val="BodyText"/>
        <w:spacing w:before="0"/>
        <w:ind w:left="0" w:firstLine="0"/>
        <w:jc w:val="left"/>
        <w:rPr>
          <w:rFonts w:ascii="Microsoft Sans Serif"/>
          <w:sz w:val="19"/>
        </w:rPr>
      </w:pPr>
    </w:p>
    <w:p>
      <w:pPr>
        <w:pStyle w:val="BodyText"/>
        <w:spacing w:before="53"/>
        <w:ind w:left="0" w:firstLine="0"/>
        <w:jc w:val="left"/>
        <w:rPr>
          <w:rFonts w:ascii="Microsoft Sans Serif"/>
          <w:sz w:val="19"/>
        </w:rPr>
      </w:pPr>
    </w:p>
    <w:p>
      <w:pPr>
        <w:pStyle w:val="Heading4"/>
      </w:pPr>
      <w:r>
        <w:rPr>
          <w:color w:val="242B67"/>
          <w:spacing w:val="-2"/>
        </w:rPr>
        <w:t>Diagnóstico</w:t>
      </w:r>
    </w:p>
    <w:p>
      <w:pPr>
        <w:pStyle w:val="BodyText"/>
        <w:spacing w:line="278" w:lineRule="auto" w:before="132"/>
        <w:ind w:right="499"/>
      </w:pPr>
      <w:r>
        <w:rPr/>
        <w:t>O diagnóstico é feito durante o exame físico, quando se observa diminuição ou ausência dos pulsos tibiais durante a dorsiflexão plantar ou hiperextensão do joelho; esta observação pode ser registrada, quando se analisa o volume de pulso com Doppler portátil, eco-Doppler colorido, angiorressonância, TC, ou durante a arteriografia.</w:t>
      </w:r>
      <w:r>
        <w:rPr>
          <w:vertAlign w:val="superscript"/>
        </w:rPr>
        <w:t>1–3</w:t>
      </w:r>
      <w:r>
        <w:rPr>
          <w:vertAlign w:val="baseline"/>
        </w:rPr>
        <w:t> Em todos os exames de imagem, fica evidenciada, durante a dorsiflexão plantar, a ocorrência de tração medial da artéria poplítea pela porção medial do gastrocnêmio, causando interrupção do fluxo arterial na artéria poplítea e distalmente. A RM é o melhor exame para demonstrar a compressão da artéria poplítea.</w:t>
      </w:r>
    </w:p>
    <w:p>
      <w:pPr>
        <w:pStyle w:val="BodyText"/>
        <w:spacing w:before="186"/>
        <w:ind w:left="0" w:firstLine="0"/>
        <w:jc w:val="left"/>
      </w:pPr>
    </w:p>
    <w:p>
      <w:pPr>
        <w:pStyle w:val="Heading4"/>
      </w:pPr>
      <w:r>
        <w:rPr>
          <w:color w:val="242B67"/>
          <w:spacing w:val="-2"/>
        </w:rPr>
        <w:t>Tratamento</w:t>
      </w:r>
    </w:p>
    <w:p>
      <w:pPr>
        <w:pStyle w:val="BodyText"/>
        <w:spacing w:line="280" w:lineRule="auto" w:before="148"/>
        <w:ind w:right="488"/>
      </w:pPr>
      <w:r>
        <w:rPr/>
        <w:t>Deve-se orientar os pacientes assintomáticos a evitar exercícios muito forçados, os quais podem traumatizar a artéria poplítea e desencadear os sintomas. Já os pacientes sintomáticos devem evitar os exercícios de caminhada em subidas, basquetebol, voleibol, atletismo com saltos. Muitas vezes, com a simples reorientação da prática esportiva, o paciente volta a ser assintomático.</w:t>
      </w:r>
      <w:r>
        <w:rPr>
          <w:vertAlign w:val="superscript"/>
        </w:rPr>
        <w:t>4</w:t>
      </w:r>
      <w:r>
        <w:rPr>
          <w:vertAlign w:val="baseline"/>
        </w:rPr>
        <w:t> Nos casos em que o paciente permanece com os sintomas de claudicação intermitente, deve-se realizar a cirurgia de liberação da artéria poplítea, seccionando as bandas musculares da</w:t>
      </w:r>
      <w:r>
        <w:rPr>
          <w:spacing w:val="-9"/>
          <w:vertAlign w:val="baseline"/>
        </w:rPr>
        <w:t> </w:t>
      </w:r>
      <w:r>
        <w:rPr>
          <w:vertAlign w:val="baseline"/>
        </w:rPr>
        <w:t>porção</w:t>
      </w:r>
      <w:r>
        <w:rPr>
          <w:spacing w:val="-6"/>
          <w:vertAlign w:val="baseline"/>
        </w:rPr>
        <w:t> </w:t>
      </w:r>
      <w:r>
        <w:rPr>
          <w:vertAlign w:val="baseline"/>
        </w:rPr>
        <w:t>medial</w:t>
      </w:r>
      <w:r>
        <w:rPr>
          <w:spacing w:val="-4"/>
          <w:vertAlign w:val="baseline"/>
        </w:rPr>
        <w:t> </w:t>
      </w:r>
      <w:r>
        <w:rPr>
          <w:vertAlign w:val="baseline"/>
        </w:rPr>
        <w:t>do</w:t>
      </w:r>
      <w:r>
        <w:rPr>
          <w:spacing w:val="-6"/>
          <w:vertAlign w:val="baseline"/>
        </w:rPr>
        <w:t> </w:t>
      </w:r>
      <w:r>
        <w:rPr>
          <w:vertAlign w:val="baseline"/>
        </w:rPr>
        <w:t>gastrocnêmio</w:t>
      </w:r>
      <w:r>
        <w:rPr>
          <w:spacing w:val="-6"/>
          <w:vertAlign w:val="baseline"/>
        </w:rPr>
        <w:t> </w:t>
      </w:r>
      <w:r>
        <w:rPr>
          <w:vertAlign w:val="baseline"/>
        </w:rPr>
        <w:t>que</w:t>
      </w:r>
      <w:r>
        <w:rPr>
          <w:spacing w:val="-9"/>
          <w:vertAlign w:val="baseline"/>
        </w:rPr>
        <w:t> </w:t>
      </w:r>
      <w:r>
        <w:rPr>
          <w:vertAlign w:val="baseline"/>
        </w:rPr>
        <w:t>a</w:t>
      </w:r>
      <w:r>
        <w:rPr>
          <w:spacing w:val="-9"/>
          <w:vertAlign w:val="baseline"/>
        </w:rPr>
        <w:t> </w:t>
      </w:r>
      <w:r>
        <w:rPr>
          <w:vertAlign w:val="baseline"/>
        </w:rPr>
        <w:t>envolvem. Tem-se</w:t>
      </w:r>
      <w:r>
        <w:rPr>
          <w:spacing w:val="-9"/>
          <w:vertAlign w:val="baseline"/>
        </w:rPr>
        <w:t> </w:t>
      </w:r>
      <w:r>
        <w:rPr>
          <w:vertAlign w:val="baseline"/>
        </w:rPr>
        <w:t>optado</w:t>
      </w:r>
      <w:r>
        <w:rPr>
          <w:spacing w:val="-6"/>
          <w:vertAlign w:val="baseline"/>
        </w:rPr>
        <w:t> </w:t>
      </w:r>
      <w:r>
        <w:rPr>
          <w:vertAlign w:val="baseline"/>
        </w:rPr>
        <w:t>pelo</w:t>
      </w:r>
      <w:r>
        <w:rPr>
          <w:spacing w:val="-6"/>
          <w:vertAlign w:val="baseline"/>
        </w:rPr>
        <w:t> </w:t>
      </w:r>
      <w:r>
        <w:rPr>
          <w:vertAlign w:val="baseline"/>
        </w:rPr>
        <w:t>acesso</w:t>
      </w:r>
      <w:r>
        <w:rPr>
          <w:spacing w:val="-6"/>
          <w:vertAlign w:val="baseline"/>
        </w:rPr>
        <w:t> </w:t>
      </w:r>
      <w:r>
        <w:rPr>
          <w:vertAlign w:val="baseline"/>
        </w:rPr>
        <w:t>medial</w:t>
      </w:r>
      <w:r>
        <w:rPr>
          <w:spacing w:val="-4"/>
          <w:vertAlign w:val="baseline"/>
        </w:rPr>
        <w:t> </w:t>
      </w:r>
      <w:r>
        <w:rPr>
          <w:vertAlign w:val="baseline"/>
        </w:rPr>
        <w:t>para</w:t>
      </w:r>
      <w:r>
        <w:rPr>
          <w:spacing w:val="-9"/>
          <w:vertAlign w:val="baseline"/>
        </w:rPr>
        <w:t> </w:t>
      </w:r>
      <w:r>
        <w:rPr>
          <w:vertAlign w:val="baseline"/>
        </w:rPr>
        <w:t>liberação</w:t>
      </w:r>
      <w:r>
        <w:rPr>
          <w:spacing w:val="-6"/>
          <w:vertAlign w:val="baseline"/>
        </w:rPr>
        <w:t> </w:t>
      </w:r>
      <w:r>
        <w:rPr>
          <w:vertAlign w:val="baseline"/>
        </w:rPr>
        <w:t>da artéria por ser mais rápida sua recuperação em relação aos outros acessos à artéria poplítea e atingir diretamente a porção muscular medial do gastrocnêmio.</w:t>
      </w:r>
      <w:r>
        <w:rPr>
          <w:vertAlign w:val="superscript"/>
        </w:rPr>
        <w:t>5</w:t>
      </w:r>
    </w:p>
    <w:p>
      <w:pPr>
        <w:pStyle w:val="BodyText"/>
        <w:spacing w:line="276" w:lineRule="auto" w:before="39"/>
        <w:ind w:right="494"/>
      </w:pPr>
      <w:r>
        <w:rPr/>
        <w:t>Nos casos em que já ocorreu lesão da parede arterial, deve-se avaliar a necessidade de reconstrução arterial concomitante, com a substituição da artéria poplítea lesada. Como os pacientes são jovens, e em função de sua melhor durabilidade a longo prazo, a veia safena não invertida, devalvulada, é preferencialmente utilizada como substituto arterial.</w:t>
      </w:r>
    </w:p>
    <w:p>
      <w:pPr>
        <w:pStyle w:val="BodyText"/>
        <w:spacing w:line="278" w:lineRule="auto"/>
        <w:ind w:right="491"/>
      </w:pPr>
      <w:r>
        <w:rPr/>
        <w:t>Convém lembrar que a maioria dos pacientes assintomáticos, com exames de imagem revelando o aprisionamento</w:t>
      </w:r>
      <w:r>
        <w:rPr>
          <w:spacing w:val="-6"/>
        </w:rPr>
        <w:t> </w:t>
      </w:r>
      <w:r>
        <w:rPr/>
        <w:t>da</w:t>
      </w:r>
      <w:r>
        <w:rPr>
          <w:spacing w:val="-9"/>
        </w:rPr>
        <w:t> </w:t>
      </w:r>
      <w:r>
        <w:rPr/>
        <w:t>artéria</w:t>
      </w:r>
      <w:r>
        <w:rPr>
          <w:spacing w:val="-9"/>
        </w:rPr>
        <w:t> </w:t>
      </w:r>
      <w:r>
        <w:rPr/>
        <w:t>poplítea, evolui</w:t>
      </w:r>
      <w:r>
        <w:rPr>
          <w:spacing w:val="-4"/>
        </w:rPr>
        <w:t> </w:t>
      </w:r>
      <w:r>
        <w:rPr/>
        <w:t>clinicamente</w:t>
      </w:r>
      <w:r>
        <w:rPr>
          <w:spacing w:val="-9"/>
        </w:rPr>
        <w:t> </w:t>
      </w:r>
      <w:r>
        <w:rPr/>
        <w:t>sem</w:t>
      </w:r>
      <w:r>
        <w:rPr>
          <w:spacing w:val="-6"/>
        </w:rPr>
        <w:t> </w:t>
      </w:r>
      <w:r>
        <w:rPr/>
        <w:t>complicações, notadamente</w:t>
      </w:r>
      <w:r>
        <w:rPr>
          <w:spacing w:val="-9"/>
        </w:rPr>
        <w:t> </w:t>
      </w:r>
      <w:r>
        <w:rPr/>
        <w:t>se</w:t>
      </w:r>
      <w:r>
        <w:rPr>
          <w:spacing w:val="-9"/>
        </w:rPr>
        <w:t> </w:t>
      </w:r>
      <w:r>
        <w:rPr/>
        <w:t>não</w:t>
      </w:r>
      <w:r>
        <w:rPr>
          <w:spacing w:val="-6"/>
        </w:rPr>
        <w:t> </w:t>
      </w:r>
      <w:r>
        <w:rPr/>
        <w:t>forçarem</w:t>
      </w:r>
      <w:r>
        <w:rPr>
          <w:spacing w:val="-6"/>
        </w:rPr>
        <w:t> </w:t>
      </w:r>
      <w:r>
        <w:rPr/>
        <w:t>o</w:t>
      </w:r>
      <w:r>
        <w:rPr>
          <w:spacing w:val="-6"/>
        </w:rPr>
        <w:t> </w:t>
      </w:r>
      <w:r>
        <w:rPr/>
        <w:t>membro, em</w:t>
      </w:r>
      <w:r>
        <w:rPr>
          <w:spacing w:val="-9"/>
        </w:rPr>
        <w:t> </w:t>
      </w:r>
      <w:r>
        <w:rPr/>
        <w:t>geral</w:t>
      </w:r>
      <w:r>
        <w:rPr>
          <w:spacing w:val="-7"/>
        </w:rPr>
        <w:t> </w:t>
      </w:r>
      <w:r>
        <w:rPr/>
        <w:t>evitando</w:t>
      </w:r>
      <w:r>
        <w:rPr>
          <w:spacing w:val="-9"/>
        </w:rPr>
        <w:t> </w:t>
      </w:r>
      <w:r>
        <w:rPr/>
        <w:t>adotar</w:t>
      </w:r>
      <w:r>
        <w:rPr>
          <w:spacing w:val="-4"/>
        </w:rPr>
        <w:t> </w:t>
      </w:r>
      <w:r>
        <w:rPr/>
        <w:t>a</w:t>
      </w:r>
      <w:r>
        <w:rPr>
          <w:spacing w:val="-11"/>
        </w:rPr>
        <w:t> </w:t>
      </w:r>
      <w:r>
        <w:rPr/>
        <w:t>posição</w:t>
      </w:r>
      <w:r>
        <w:rPr>
          <w:spacing w:val="-9"/>
        </w:rPr>
        <w:t> </w:t>
      </w:r>
      <w:r>
        <w:rPr/>
        <w:t>que</w:t>
      </w:r>
      <w:r>
        <w:rPr>
          <w:spacing w:val="-11"/>
        </w:rPr>
        <w:t> </w:t>
      </w:r>
      <w:r>
        <w:rPr/>
        <w:t>provoca</w:t>
      </w:r>
      <w:r>
        <w:rPr>
          <w:spacing w:val="-11"/>
        </w:rPr>
        <w:t> </w:t>
      </w:r>
      <w:r>
        <w:rPr/>
        <w:t>o</w:t>
      </w:r>
      <w:r>
        <w:rPr>
          <w:spacing w:val="-9"/>
        </w:rPr>
        <w:t> </w:t>
      </w:r>
      <w:r>
        <w:rPr/>
        <w:t>aprisionamento.</w:t>
      </w:r>
      <w:r>
        <w:rPr>
          <w:spacing w:val="-2"/>
        </w:rPr>
        <w:t> </w:t>
      </w:r>
      <w:r>
        <w:rPr/>
        <w:t>Também</w:t>
      </w:r>
      <w:r>
        <w:rPr>
          <w:spacing w:val="-9"/>
        </w:rPr>
        <w:t> </w:t>
      </w:r>
      <w:r>
        <w:rPr/>
        <w:t>é</w:t>
      </w:r>
      <w:r>
        <w:rPr>
          <w:spacing w:val="-11"/>
        </w:rPr>
        <w:t> </w:t>
      </w:r>
      <w:r>
        <w:rPr/>
        <w:t>importante</w:t>
      </w:r>
      <w:r>
        <w:rPr>
          <w:spacing w:val="-11"/>
        </w:rPr>
        <w:t> </w:t>
      </w:r>
      <w:r>
        <w:rPr/>
        <w:t>mencionar</w:t>
      </w:r>
      <w:r>
        <w:rPr>
          <w:spacing w:val="-4"/>
        </w:rPr>
        <w:t> </w:t>
      </w:r>
      <w:r>
        <w:rPr/>
        <w:t>que,</w:t>
      </w:r>
      <w:r>
        <w:rPr>
          <w:spacing w:val="-2"/>
        </w:rPr>
        <w:t> </w:t>
      </w:r>
      <w:r>
        <w:rPr/>
        <w:t>em</w:t>
      </w:r>
      <w:r>
        <w:rPr>
          <w:spacing w:val="-9"/>
        </w:rPr>
        <w:t> </w:t>
      </w:r>
      <w:r>
        <w:rPr/>
        <w:t>recente extensa revisão da literatura, Sinha </w:t>
      </w:r>
      <w:r>
        <w:rPr>
          <w:i/>
        </w:rPr>
        <w:t>et al. </w:t>
      </w:r>
      <w:r>
        <w:rPr/>
        <w:t>mostraram um alto índice de insucesso no tratamento cirúrgico dessa doença, com</w:t>
      </w:r>
      <w:r>
        <w:rPr>
          <w:spacing w:val="-7"/>
        </w:rPr>
        <w:t> </w:t>
      </w:r>
      <w:r>
        <w:rPr/>
        <w:t>falha</w:t>
      </w:r>
      <w:r>
        <w:rPr>
          <w:spacing w:val="-10"/>
        </w:rPr>
        <w:t> </w:t>
      </w:r>
      <w:r>
        <w:rPr/>
        <w:t>da</w:t>
      </w:r>
      <w:r>
        <w:rPr>
          <w:spacing w:val="-10"/>
        </w:rPr>
        <w:t> </w:t>
      </w:r>
      <w:r>
        <w:rPr/>
        <w:t>reconstrução</w:t>
      </w:r>
      <w:r>
        <w:rPr>
          <w:spacing w:val="-7"/>
        </w:rPr>
        <w:t> </w:t>
      </w:r>
      <w:r>
        <w:rPr/>
        <w:t>arterial</w:t>
      </w:r>
      <w:r>
        <w:rPr>
          <w:spacing w:val="-5"/>
        </w:rPr>
        <w:t> </w:t>
      </w:r>
      <w:r>
        <w:rPr/>
        <w:t>e</w:t>
      </w:r>
      <w:r>
        <w:rPr>
          <w:spacing w:val="-10"/>
        </w:rPr>
        <w:t> </w:t>
      </w:r>
      <w:r>
        <w:rPr/>
        <w:t>com</w:t>
      </w:r>
      <w:r>
        <w:rPr>
          <w:spacing w:val="-7"/>
        </w:rPr>
        <w:t> </w:t>
      </w:r>
      <w:r>
        <w:rPr/>
        <w:t>23%</w:t>
      </w:r>
      <w:r>
        <w:rPr>
          <w:spacing w:val="-5"/>
        </w:rPr>
        <w:t> </w:t>
      </w:r>
      <w:r>
        <w:rPr/>
        <w:t>dos pacientes permanecendo</w:t>
      </w:r>
      <w:r>
        <w:rPr>
          <w:spacing w:val="-7"/>
        </w:rPr>
        <w:t> </w:t>
      </w:r>
      <w:r>
        <w:rPr/>
        <w:t>sintomáticos após a</w:t>
      </w:r>
      <w:r>
        <w:rPr>
          <w:spacing w:val="-10"/>
        </w:rPr>
        <w:t> </w:t>
      </w:r>
      <w:r>
        <w:rPr/>
        <w:t>correção</w:t>
      </w:r>
      <w:r>
        <w:rPr>
          <w:spacing w:val="-7"/>
        </w:rPr>
        <w:t> </w:t>
      </w:r>
      <w:r>
        <w:rPr/>
        <w:t>do </w:t>
      </w:r>
      <w:r>
        <w:rPr>
          <w:spacing w:val="-2"/>
        </w:rPr>
        <w:t>aprisionamento.</w:t>
      </w:r>
      <w:r>
        <w:rPr>
          <w:spacing w:val="-2"/>
          <w:vertAlign w:val="superscript"/>
        </w:rPr>
        <w:t>6</w:t>
      </w:r>
    </w:p>
    <w:p>
      <w:pPr>
        <w:pStyle w:val="BodyText"/>
        <w:spacing w:before="257"/>
        <w:ind w:left="0" w:firstLine="0"/>
        <w:jc w:val="left"/>
      </w:pPr>
    </w:p>
    <w:p>
      <w:pPr>
        <w:pStyle w:val="Heading3"/>
        <w:ind w:left="37"/>
      </w:pPr>
      <w:r>
        <w:rPr>
          <w:color w:val="242B67"/>
        </w:rPr>
        <w:t>Algias</w:t>
      </w:r>
      <w:r>
        <w:rPr>
          <w:color w:val="242B67"/>
          <w:spacing w:val="14"/>
        </w:rPr>
        <w:t> </w:t>
      </w:r>
      <w:r>
        <w:rPr>
          <w:color w:val="242B67"/>
        </w:rPr>
        <w:t>Crônicas</w:t>
      </w:r>
      <w:r>
        <w:rPr>
          <w:color w:val="242B67"/>
          <w:spacing w:val="14"/>
        </w:rPr>
        <w:t> </w:t>
      </w:r>
      <w:r>
        <w:rPr>
          <w:color w:val="242B67"/>
        </w:rPr>
        <w:t>nos</w:t>
      </w:r>
      <w:r>
        <w:rPr>
          <w:color w:val="242B67"/>
          <w:spacing w:val="14"/>
        </w:rPr>
        <w:t> </w:t>
      </w:r>
      <w:r>
        <w:rPr>
          <w:color w:val="242B67"/>
        </w:rPr>
        <w:t>Membros</w:t>
      </w:r>
      <w:r>
        <w:rPr>
          <w:color w:val="242B67"/>
          <w:spacing w:val="14"/>
        </w:rPr>
        <w:t> </w:t>
      </w:r>
      <w:r>
        <w:rPr>
          <w:color w:val="242B67"/>
          <w:spacing w:val="-2"/>
        </w:rPr>
        <w:t>Inferiores</w:t>
      </w:r>
    </w:p>
    <w:p>
      <w:pPr>
        <w:pStyle w:val="BodyText"/>
        <w:spacing w:before="7"/>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27264">
                <wp:simplePos x="0" y="0"/>
                <wp:positionH relativeFrom="page">
                  <wp:posOffset>401543</wp:posOffset>
                </wp:positionH>
                <wp:positionV relativeFrom="paragraph">
                  <wp:posOffset>41314</wp:posOffset>
                </wp:positionV>
                <wp:extent cx="6753225" cy="10795"/>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53077pt;width:531.731217pt;height:.8008pt;mso-position-horizontal-relative:page;mso-position-vertical-relative:paragraph;z-index:-15689216;mso-wrap-distance-left:0;mso-wrap-distance-right:0" id="docshape49" filled="true" fillcolor="#242b67" stroked="false">
                <v:fill type="solid"/>
                <w10:wrap type="topAndBottom"/>
              </v:rect>
            </w:pict>
          </mc:Fallback>
        </mc:AlternateContent>
      </w:r>
    </w:p>
    <w:p>
      <w:pPr>
        <w:spacing w:before="118"/>
        <w:ind w:left="68" w:right="0" w:firstLine="0"/>
        <w:jc w:val="left"/>
        <w:rPr>
          <w:rFonts w:ascii="Arial" w:hAnsi="Arial"/>
          <w:i/>
          <w:sz w:val="25"/>
        </w:rPr>
      </w:pPr>
      <w:r>
        <w:rPr>
          <w:rFonts w:ascii="Arial" w:hAnsi="Arial"/>
          <w:i/>
          <w:sz w:val="25"/>
        </w:rPr>
        <w:t>Paulo</w:t>
      </w:r>
      <w:r>
        <w:rPr>
          <w:rFonts w:ascii="Arial" w:hAnsi="Arial"/>
          <w:i/>
          <w:spacing w:val="13"/>
          <w:sz w:val="25"/>
        </w:rPr>
        <w:t> </w:t>
      </w:r>
      <w:r>
        <w:rPr>
          <w:rFonts w:ascii="Arial" w:hAnsi="Arial"/>
          <w:i/>
          <w:sz w:val="25"/>
        </w:rPr>
        <w:t>Celso</w:t>
      </w:r>
      <w:r>
        <w:rPr>
          <w:rFonts w:ascii="Arial" w:hAnsi="Arial"/>
          <w:i/>
          <w:spacing w:val="14"/>
          <w:sz w:val="25"/>
        </w:rPr>
        <w:t> </w:t>
      </w:r>
      <w:r>
        <w:rPr>
          <w:rFonts w:ascii="Arial" w:hAnsi="Arial"/>
          <w:i/>
          <w:sz w:val="25"/>
        </w:rPr>
        <w:t>Mota</w:t>
      </w:r>
      <w:r>
        <w:rPr>
          <w:rFonts w:ascii="Arial" w:hAnsi="Arial"/>
          <w:i/>
          <w:spacing w:val="14"/>
          <w:sz w:val="25"/>
        </w:rPr>
        <w:t> </w:t>
      </w:r>
      <w:r>
        <w:rPr>
          <w:rFonts w:ascii="Arial" w:hAnsi="Arial"/>
          <w:i/>
          <w:sz w:val="25"/>
        </w:rPr>
        <w:t>Guimarães</w:t>
      </w:r>
      <w:r>
        <w:rPr>
          <w:rFonts w:ascii="Arial" w:hAnsi="Arial"/>
          <w:i/>
          <w:spacing w:val="14"/>
          <w:sz w:val="25"/>
        </w:rPr>
        <w:t> </w:t>
      </w:r>
      <w:r>
        <w:rPr>
          <w:rFonts w:ascii="Arial" w:hAnsi="Arial"/>
          <w:i/>
          <w:sz w:val="25"/>
        </w:rPr>
        <w:t>e</w:t>
      </w:r>
      <w:r>
        <w:rPr>
          <w:rFonts w:ascii="Arial" w:hAnsi="Arial"/>
          <w:i/>
          <w:spacing w:val="13"/>
          <w:sz w:val="25"/>
        </w:rPr>
        <w:t> </w:t>
      </w:r>
      <w:r>
        <w:rPr>
          <w:rFonts w:ascii="Arial" w:hAnsi="Arial"/>
          <w:i/>
          <w:sz w:val="25"/>
        </w:rPr>
        <w:t>Paulo</w:t>
      </w:r>
      <w:r>
        <w:rPr>
          <w:rFonts w:ascii="Arial" w:hAnsi="Arial"/>
          <w:i/>
          <w:spacing w:val="14"/>
          <w:sz w:val="25"/>
        </w:rPr>
        <w:t> </w:t>
      </w:r>
      <w:r>
        <w:rPr>
          <w:rFonts w:ascii="Arial" w:hAnsi="Arial"/>
          <w:i/>
          <w:spacing w:val="-2"/>
          <w:sz w:val="25"/>
        </w:rPr>
        <w:t>Kauffman</w:t>
      </w:r>
    </w:p>
    <w:p>
      <w:pPr>
        <w:pStyle w:val="BodyText"/>
        <w:spacing w:before="85"/>
        <w:ind w:left="0" w:firstLine="0"/>
        <w:jc w:val="left"/>
        <w:rPr>
          <w:rFonts w:ascii="Arial"/>
          <w:i/>
          <w:sz w:val="25"/>
        </w:rPr>
      </w:pPr>
    </w:p>
    <w:p>
      <w:pPr>
        <w:pStyle w:val="BodyText"/>
        <w:spacing w:line="280" w:lineRule="auto" w:before="0"/>
        <w:ind w:right="491"/>
      </w:pPr>
      <w:r>
        <w:rPr/>
        <w:t>A</w:t>
      </w:r>
      <w:r>
        <w:rPr>
          <w:spacing w:val="-2"/>
        </w:rPr>
        <w:t> </w:t>
      </w:r>
      <w:r>
        <w:rPr/>
        <w:t>dor crônica</w:t>
      </w:r>
      <w:r>
        <w:rPr>
          <w:spacing w:val="-2"/>
        </w:rPr>
        <w:t> </w:t>
      </w:r>
      <w:r>
        <w:rPr/>
        <w:t>nos membros inferiores é</w:t>
      </w:r>
      <w:r>
        <w:rPr>
          <w:spacing w:val="-2"/>
        </w:rPr>
        <w:t> </w:t>
      </w:r>
      <w:r>
        <w:rPr/>
        <w:t>muito frequente, sendo constatada</w:t>
      </w:r>
      <w:r>
        <w:rPr>
          <w:spacing w:val="-2"/>
        </w:rPr>
        <w:t> </w:t>
      </w:r>
      <w:r>
        <w:rPr/>
        <w:t>incidência</w:t>
      </w:r>
      <w:r>
        <w:rPr>
          <w:spacing w:val="-2"/>
        </w:rPr>
        <w:t> </w:t>
      </w:r>
      <w:r>
        <w:rPr/>
        <w:t>de</w:t>
      </w:r>
      <w:r>
        <w:rPr>
          <w:spacing w:val="-2"/>
        </w:rPr>
        <w:t> </w:t>
      </w:r>
      <w:r>
        <w:rPr/>
        <w:t>até</w:t>
      </w:r>
      <w:r>
        <w:rPr>
          <w:spacing w:val="-2"/>
        </w:rPr>
        <w:t> </w:t>
      </w:r>
      <w:r>
        <w:rPr/>
        <w:t>29% na</w:t>
      </w:r>
      <w:r>
        <w:rPr>
          <w:spacing w:val="-2"/>
        </w:rPr>
        <w:t> </w:t>
      </w:r>
      <w:r>
        <w:rPr/>
        <w:t>população geral. Essa incidência aumenta com a idade, até atingir o pico na quinta década de vida. Nos atendimentos de urgência, a queixa de dor nos membros inferiores está presente em 8% de todos os atendimentos.</w:t>
      </w:r>
      <w:r>
        <w:rPr>
          <w:vertAlign w:val="superscript"/>
        </w:rPr>
        <w:t>1</w:t>
      </w:r>
      <w:r>
        <w:rPr>
          <w:vertAlign w:val="baseline"/>
        </w:rPr>
        <w:t> Os pacientes referem com muita frequência a interferência da dor com a atividade diária, tanto no trabalho quanto na realização de tarefas no lar e até mesmo na escolha do lazer.</w:t>
      </w:r>
    </w:p>
    <w:p>
      <w:pPr>
        <w:pStyle w:val="BodyText"/>
        <w:spacing w:line="278" w:lineRule="auto" w:before="54"/>
        <w:ind w:right="488"/>
      </w:pPr>
      <w:r>
        <w:rPr/>
        <w:t>A dor aguda resulta da estimulação dos neurônios mielinizados Ad, sendo nesse caso bem caracterizada e localizada</w:t>
      </w:r>
      <w:r>
        <w:rPr>
          <w:spacing w:val="-12"/>
        </w:rPr>
        <w:t> </w:t>
      </w:r>
      <w:r>
        <w:rPr/>
        <w:t>pelo</w:t>
      </w:r>
      <w:r>
        <w:rPr>
          <w:spacing w:val="-9"/>
        </w:rPr>
        <w:t> </w:t>
      </w:r>
      <w:r>
        <w:rPr/>
        <w:t>paciente,</w:t>
      </w:r>
      <w:r>
        <w:rPr>
          <w:spacing w:val="-2"/>
        </w:rPr>
        <w:t> </w:t>
      </w:r>
      <w:r>
        <w:rPr/>
        <w:t>ou</w:t>
      </w:r>
      <w:r>
        <w:rPr>
          <w:spacing w:val="-9"/>
        </w:rPr>
        <w:t> </w:t>
      </w:r>
      <w:r>
        <w:rPr/>
        <w:t>da</w:t>
      </w:r>
      <w:r>
        <w:rPr>
          <w:spacing w:val="-12"/>
        </w:rPr>
        <w:t> </w:t>
      </w:r>
      <w:r>
        <w:rPr/>
        <w:t>estimulação</w:t>
      </w:r>
      <w:r>
        <w:rPr>
          <w:spacing w:val="-9"/>
        </w:rPr>
        <w:t> </w:t>
      </w:r>
      <w:r>
        <w:rPr/>
        <w:t>dos</w:t>
      </w:r>
      <w:r>
        <w:rPr>
          <w:spacing w:val="-2"/>
        </w:rPr>
        <w:t> </w:t>
      </w:r>
      <w:r>
        <w:rPr/>
        <w:t>neurônios</w:t>
      </w:r>
      <w:r>
        <w:rPr>
          <w:spacing w:val="-2"/>
        </w:rPr>
        <w:t> </w:t>
      </w:r>
      <w:r>
        <w:rPr/>
        <w:t>não</w:t>
      </w:r>
      <w:r>
        <w:rPr>
          <w:spacing w:val="-9"/>
        </w:rPr>
        <w:t> </w:t>
      </w:r>
      <w:r>
        <w:rPr/>
        <w:t>mielinizados</w:t>
      </w:r>
      <w:r>
        <w:rPr>
          <w:spacing w:val="-2"/>
        </w:rPr>
        <w:t> </w:t>
      </w:r>
      <w:r>
        <w:rPr/>
        <w:t>C;</w:t>
      </w:r>
      <w:r>
        <w:rPr>
          <w:spacing w:val="-7"/>
        </w:rPr>
        <w:t> </w:t>
      </w:r>
      <w:r>
        <w:rPr/>
        <w:t>nessa</w:t>
      </w:r>
      <w:r>
        <w:rPr>
          <w:spacing w:val="-12"/>
        </w:rPr>
        <w:t> </w:t>
      </w:r>
      <w:r>
        <w:rPr/>
        <w:t>situação,</w:t>
      </w:r>
      <w:r>
        <w:rPr>
          <w:spacing w:val="-2"/>
        </w:rPr>
        <w:t> </w:t>
      </w:r>
      <w:r>
        <w:rPr/>
        <w:t>a</w:t>
      </w:r>
      <w:r>
        <w:rPr>
          <w:spacing w:val="-12"/>
        </w:rPr>
        <w:t> </w:t>
      </w:r>
      <w:r>
        <w:rPr/>
        <w:t>dor</w:t>
      </w:r>
      <w:r>
        <w:rPr>
          <w:spacing w:val="-4"/>
        </w:rPr>
        <w:t> </w:t>
      </w:r>
      <w:r>
        <w:rPr/>
        <w:t>apresenta-se</w:t>
      </w:r>
      <w:r>
        <w:rPr>
          <w:spacing w:val="-12"/>
        </w:rPr>
        <w:t> </w:t>
      </w:r>
      <w:r>
        <w:rPr/>
        <w:t>em queimação ou parestesias, e é de mais difícil localização pelo paciente. Ambos os neurônios transmitem esse sinal por meio do peptídio P e do peptídio relacionado com o gene da calcitonina para diversos segmentos da medula espinal; esses sinais sobem até o tálamo, formação reticular e área cinzenta do cérebro médio. O córtex sensitivo integra os estímulos sensoriais com as funções cognitivas, produzindo a reação do paciente a esse estímulo. Em todas essas passagens do estímulo, desde o neurônio periférico até o córtex, existem mecanismos que modulam a intensidade do estímulo, podendo limitar a sensação de dor ou ampliá-la quando há um desequilíbrio desses </w:t>
      </w:r>
      <w:r>
        <w:rPr>
          <w:spacing w:val="-2"/>
        </w:rPr>
        <w:t>mecanismos.</w:t>
      </w:r>
      <w:r>
        <w:rPr>
          <w:spacing w:val="-2"/>
          <w:vertAlign w:val="superscript"/>
        </w:rPr>
        <w:t>2,3</w:t>
      </w:r>
    </w:p>
    <w:p>
      <w:pPr>
        <w:pStyle w:val="BodyText"/>
        <w:spacing w:after="0" w:line="278" w:lineRule="auto"/>
        <w:sectPr>
          <w:pgSz w:w="11900" w:h="16840"/>
          <w:pgMar w:top="180" w:bottom="280" w:left="566" w:right="141"/>
        </w:sectPr>
      </w:pPr>
    </w:p>
    <w:p>
      <w:pPr>
        <w:pStyle w:val="BodyText"/>
        <w:spacing w:line="276" w:lineRule="auto"/>
        <w:ind w:right="497"/>
      </w:pPr>
      <w:r>
        <w:rPr/>
        <w:t>O paciente com dor nos membros inferiores constitui um verdadeiro desafio diagnóstico e terapêutico, pois diversas etiologias são possíveis, tendo como base fisiopatológica alterações articulares, musculoesqueléticas, circulatórias e</w:t>
      </w:r>
      <w:r>
        <w:rPr>
          <w:spacing w:val="-3"/>
        </w:rPr>
        <w:t> </w:t>
      </w:r>
      <w:r>
        <w:rPr/>
        <w:t>neurológicas. A</w:t>
      </w:r>
      <w:r>
        <w:rPr>
          <w:spacing w:val="-3"/>
        </w:rPr>
        <w:t> </w:t>
      </w:r>
      <w:r>
        <w:rPr/>
        <w:t>importância</w:t>
      </w:r>
      <w:r>
        <w:rPr>
          <w:spacing w:val="-3"/>
        </w:rPr>
        <w:t> </w:t>
      </w:r>
      <w:r>
        <w:rPr/>
        <w:t>em</w:t>
      </w:r>
      <w:r>
        <w:rPr>
          <w:spacing w:val="-1"/>
        </w:rPr>
        <w:t> </w:t>
      </w:r>
      <w:r>
        <w:rPr/>
        <w:t>se</w:t>
      </w:r>
      <w:r>
        <w:rPr>
          <w:spacing w:val="-3"/>
        </w:rPr>
        <w:t> </w:t>
      </w:r>
      <w:r>
        <w:rPr/>
        <w:t>diagnosticar a</w:t>
      </w:r>
      <w:r>
        <w:rPr>
          <w:spacing w:val="-3"/>
        </w:rPr>
        <w:t> </w:t>
      </w:r>
      <w:r>
        <w:rPr/>
        <w:t>ocorrência</w:t>
      </w:r>
      <w:r>
        <w:rPr>
          <w:spacing w:val="-3"/>
        </w:rPr>
        <w:t> </w:t>
      </w:r>
      <w:r>
        <w:rPr/>
        <w:t>de</w:t>
      </w:r>
      <w:r>
        <w:rPr>
          <w:spacing w:val="-3"/>
        </w:rPr>
        <w:t> </w:t>
      </w:r>
      <w:r>
        <w:rPr/>
        <w:t>doença</w:t>
      </w:r>
      <w:r>
        <w:rPr>
          <w:spacing w:val="-3"/>
        </w:rPr>
        <w:t> </w:t>
      </w:r>
      <w:r>
        <w:rPr/>
        <w:t>arterial e</w:t>
      </w:r>
      <w:r>
        <w:rPr>
          <w:spacing w:val="-3"/>
        </w:rPr>
        <w:t> </w:t>
      </w:r>
      <w:r>
        <w:rPr/>
        <w:t>a</w:t>
      </w:r>
      <w:r>
        <w:rPr>
          <w:spacing w:val="-3"/>
        </w:rPr>
        <w:t> </w:t>
      </w:r>
      <w:r>
        <w:rPr/>
        <w:t>alta</w:t>
      </w:r>
      <w:r>
        <w:rPr>
          <w:spacing w:val="-3"/>
        </w:rPr>
        <w:t> </w:t>
      </w:r>
      <w:r>
        <w:rPr/>
        <w:t>incidência</w:t>
      </w:r>
      <w:r>
        <w:rPr>
          <w:spacing w:val="-3"/>
        </w:rPr>
        <w:t> </w:t>
      </w:r>
      <w:r>
        <w:rPr/>
        <w:t>de doença venosa nos membros inferiores leva, com frequência, esses pacientes à consulta com o cirurgião vascular. Muitas vezes, com a anamnese, principalmente, detalhando-se as características da dor, pode-se suspeitar do diagnóstico que é confirmado no exame físico. Diversas classificações foram estabelecidas para a descrição das doenças associadas à dor crônica dos membros inferiores. Neste capítulo, serão abordados os sintomas que direcionam a patologias específicas (</w:t>
      </w:r>
      <w:r>
        <w:rPr>
          <w:color w:val="505050"/>
        </w:rPr>
        <w:t>Tabela 59.2</w:t>
      </w:r>
      <w:r>
        <w:rPr/>
        <w:t>).</w:t>
      </w:r>
    </w:p>
    <w:p>
      <w:pPr>
        <w:pStyle w:val="BodyText"/>
        <w:spacing w:before="187"/>
        <w:ind w:left="0" w:firstLine="0"/>
        <w:jc w:val="left"/>
      </w:pPr>
    </w:p>
    <w:p>
      <w:pPr>
        <w:pStyle w:val="Heading4"/>
        <w:spacing w:line="273" w:lineRule="auto"/>
        <w:ind w:right="497"/>
      </w:pPr>
      <w:r>
        <w:rPr>
          <w:color w:val="242B67"/>
        </w:rPr>
        <w:t>Características da dor em membros inferiores que </w:t>
      </w:r>
      <w:r>
        <w:rPr>
          <w:color w:val="242B67"/>
        </w:rPr>
        <w:t>mais evidentemente auxiliam o diagnóstico</w:t>
      </w:r>
    </w:p>
    <w:p>
      <w:pPr>
        <w:pStyle w:val="BodyText"/>
        <w:spacing w:line="276" w:lineRule="auto" w:before="78"/>
        <w:ind w:right="491"/>
      </w:pPr>
      <w:r>
        <w:rPr/>
        <w:t>A dor nas estruturas musculares, esqueléticas e articulares pode ser referida na região acometida ou em estruturas distantes, apresenta exacerbação com o movimento ou ortostase, e melhora com o repouso. Em alguns casos, o movimento pode melhorar a dor e o repouso piorar, principalmente nas dores musculares crônicas. É normalmente referida como cãibra, peso, cansaço ou incômodo.</w:t>
      </w:r>
    </w:p>
    <w:p>
      <w:pPr>
        <w:pStyle w:val="BodyText"/>
        <w:spacing w:line="276" w:lineRule="auto"/>
        <w:ind w:right="500"/>
      </w:pPr>
      <w:r>
        <w:rPr/>
        <w:t>Quando o acometimento é das estruturas neurológicas (medula espinal, raízes nervosas, plexos ou troncos nervosos periféricos), geralmente a dor é persistente e referida como formigamento, queimação, choques ou agulhadas. Apresenta-se associada a alguma alteração neurológica local, como sensibilidade, disfunção neurovegetativa, motricidade e trofismo tecidual.</w:t>
      </w:r>
    </w:p>
    <w:p>
      <w:pPr>
        <w:pStyle w:val="BodyText"/>
        <w:spacing w:line="276" w:lineRule="auto" w:before="49"/>
        <w:ind w:right="488"/>
      </w:pPr>
      <w:r>
        <w:rPr/>
        <w:t>Nas alterações circulatórias, quando há comprometimento do fluxo arterial, ocorre dor em cãibra associada a alterações tróficas ou neurovegetativas, dependendo do tempo de</w:t>
      </w:r>
      <w:r>
        <w:rPr>
          <w:spacing w:val="-1"/>
        </w:rPr>
        <w:t> </w:t>
      </w:r>
      <w:r>
        <w:rPr/>
        <w:t>evolução dessa</w:t>
      </w:r>
      <w:r>
        <w:rPr>
          <w:spacing w:val="-1"/>
        </w:rPr>
        <w:t> </w:t>
      </w:r>
      <w:r>
        <w:rPr/>
        <w:t>dor. Quando há</w:t>
      </w:r>
      <w:r>
        <w:rPr>
          <w:spacing w:val="-1"/>
        </w:rPr>
        <w:t> </w:t>
      </w:r>
      <w:r>
        <w:rPr/>
        <w:t>acometimento da circulação venosa, pode-se inicialmente identificar a presença de cãibras e peso nas pernas, mas sem alterações tróficas; porém, com o evoluir da doença, os pacientes passam também a apresentar lesões na pele e no tecido </w:t>
      </w:r>
      <w:r>
        <w:rPr>
          <w:spacing w:val="-2"/>
        </w:rPr>
        <w:t>subcutâneo.</w:t>
      </w:r>
    </w:p>
    <w:p>
      <w:pPr>
        <w:pStyle w:val="BodyText"/>
        <w:spacing w:before="185"/>
        <w:ind w:left="0" w:firstLine="0"/>
        <w:jc w:val="left"/>
      </w:pPr>
    </w:p>
    <w:p>
      <w:pPr>
        <w:pStyle w:val="Heading4"/>
        <w:spacing w:before="1"/>
      </w:pPr>
      <w:r>
        <w:rPr>
          <w:color w:val="242B67"/>
        </w:rPr>
        <w:t>Localização e fatores de melhora e piora da </w:t>
      </w:r>
      <w:r>
        <w:rPr>
          <w:color w:val="242B67"/>
          <w:spacing w:val="-5"/>
        </w:rPr>
        <w:t>dor</w:t>
      </w:r>
    </w:p>
    <w:p>
      <w:pPr>
        <w:pStyle w:val="BodyText"/>
        <w:spacing w:line="276" w:lineRule="auto" w:before="147"/>
        <w:ind w:right="488"/>
      </w:pPr>
      <w:r>
        <w:rPr/>
        <w:t>A</w:t>
      </w:r>
      <w:r>
        <w:rPr>
          <w:spacing w:val="-8"/>
        </w:rPr>
        <w:t> </w:t>
      </w:r>
      <w:r>
        <w:rPr/>
        <w:t>capacidade</w:t>
      </w:r>
      <w:r>
        <w:rPr>
          <w:spacing w:val="-8"/>
        </w:rPr>
        <w:t> </w:t>
      </w:r>
      <w:r>
        <w:rPr/>
        <w:t>de</w:t>
      </w:r>
      <w:r>
        <w:rPr>
          <w:spacing w:val="-8"/>
        </w:rPr>
        <w:t> </w:t>
      </w:r>
      <w:r>
        <w:rPr/>
        <w:t>localizar um</w:t>
      </w:r>
      <w:r>
        <w:rPr>
          <w:spacing w:val="-5"/>
        </w:rPr>
        <w:t> </w:t>
      </w:r>
      <w:r>
        <w:rPr/>
        <w:t>ponto</w:t>
      </w:r>
      <w:r>
        <w:rPr>
          <w:spacing w:val="-5"/>
        </w:rPr>
        <w:t> </w:t>
      </w:r>
      <w:r>
        <w:rPr/>
        <w:t>doloroso</w:t>
      </w:r>
      <w:r>
        <w:rPr>
          <w:spacing w:val="-5"/>
        </w:rPr>
        <w:t> </w:t>
      </w:r>
      <w:r>
        <w:rPr/>
        <w:t>geralmente</w:t>
      </w:r>
      <w:r>
        <w:rPr>
          <w:spacing w:val="-8"/>
        </w:rPr>
        <w:t> </w:t>
      </w:r>
      <w:r>
        <w:rPr/>
        <w:t>está</w:t>
      </w:r>
      <w:r>
        <w:rPr>
          <w:spacing w:val="-8"/>
        </w:rPr>
        <w:t> </w:t>
      </w:r>
      <w:r>
        <w:rPr/>
        <w:t>associada</w:t>
      </w:r>
      <w:r>
        <w:rPr>
          <w:spacing w:val="-8"/>
        </w:rPr>
        <w:t> </w:t>
      </w:r>
      <w:r>
        <w:rPr/>
        <w:t>a</w:t>
      </w:r>
      <w:r>
        <w:rPr>
          <w:spacing w:val="-8"/>
        </w:rPr>
        <w:t> </w:t>
      </w:r>
      <w:r>
        <w:rPr/>
        <w:t>uma</w:t>
      </w:r>
      <w:r>
        <w:rPr>
          <w:spacing w:val="-8"/>
        </w:rPr>
        <w:t> </w:t>
      </w:r>
      <w:r>
        <w:rPr/>
        <w:t>lesão</w:t>
      </w:r>
      <w:r>
        <w:rPr>
          <w:spacing w:val="-5"/>
        </w:rPr>
        <w:t> </w:t>
      </w:r>
      <w:r>
        <w:rPr/>
        <w:t>específica, como</w:t>
      </w:r>
      <w:r>
        <w:rPr>
          <w:spacing w:val="-5"/>
        </w:rPr>
        <w:t> </w:t>
      </w:r>
      <w:r>
        <w:rPr/>
        <w:t>ruptura</w:t>
      </w:r>
      <w:r>
        <w:rPr>
          <w:spacing w:val="-8"/>
        </w:rPr>
        <w:t> </w:t>
      </w:r>
      <w:r>
        <w:rPr/>
        <w:t>de tendões, ruptura muscular, fraturas ósseas, presença de tumores. Já as dores articulares em regiões coxofemorais, joelhos e</w:t>
      </w:r>
      <w:r>
        <w:rPr>
          <w:spacing w:val="-3"/>
        </w:rPr>
        <w:t> </w:t>
      </w:r>
      <w:r>
        <w:rPr/>
        <w:t>tornozelos podem estar associadas a</w:t>
      </w:r>
      <w:r>
        <w:rPr>
          <w:spacing w:val="-3"/>
        </w:rPr>
        <w:t> </w:t>
      </w:r>
      <w:r>
        <w:rPr/>
        <w:t>alterações articulares (artrites, artroses, doenças reumáticas).</w:t>
      </w:r>
    </w:p>
    <w:p>
      <w:pPr>
        <w:pStyle w:val="BodyText"/>
        <w:spacing w:line="278" w:lineRule="auto" w:before="49"/>
        <w:ind w:right="500"/>
      </w:pPr>
      <w:r>
        <w:rPr/>
        <w:t>Dor na face lateral da coxa e da perna é muito sugestiva de comprometimento neurológico, seja por neuralgias crônicas (acometimento de</w:t>
      </w:r>
      <w:r>
        <w:rPr>
          <w:spacing w:val="-2"/>
        </w:rPr>
        <w:t> </w:t>
      </w:r>
      <w:r>
        <w:rPr/>
        <w:t>nervos específicos da</w:t>
      </w:r>
      <w:r>
        <w:rPr>
          <w:spacing w:val="-2"/>
        </w:rPr>
        <w:t> </w:t>
      </w:r>
      <w:r>
        <w:rPr/>
        <w:t>perna, como femoral, safeno, cutâneo lateral, ciático, obturador), seja</w:t>
      </w:r>
      <w:r>
        <w:rPr>
          <w:spacing w:val="-3"/>
        </w:rPr>
        <w:t> </w:t>
      </w:r>
      <w:r>
        <w:rPr/>
        <w:t>por compressão neurológica</w:t>
      </w:r>
      <w:r>
        <w:rPr>
          <w:spacing w:val="-3"/>
        </w:rPr>
        <w:t> </w:t>
      </w:r>
      <w:r>
        <w:rPr/>
        <w:t>no nível da</w:t>
      </w:r>
      <w:r>
        <w:rPr>
          <w:spacing w:val="-3"/>
        </w:rPr>
        <w:t> </w:t>
      </w:r>
      <w:r>
        <w:rPr/>
        <w:t>coluna</w:t>
      </w:r>
      <w:r>
        <w:rPr>
          <w:spacing w:val="-3"/>
        </w:rPr>
        <w:t> </w:t>
      </w:r>
      <w:r>
        <w:rPr/>
        <w:t>lombar ou sacral. No acometimento do canal raquidiano, a</w:t>
      </w:r>
      <w:r>
        <w:rPr>
          <w:spacing w:val="-3"/>
        </w:rPr>
        <w:t> </w:t>
      </w:r>
      <w:r>
        <w:rPr/>
        <w:t>dor pode iniciar-se na região lombar e apresentar irradiação para os membros inferiores, aparecendo durante a posição ortostática, deambulação ou quando há mudança posicional. Não se manifesta durante o repouso, podendo apresentar piora com o aumento da pressão intra-abdominal ou durante a tosse.</w:t>
      </w:r>
      <w:r>
        <w:rPr>
          <w:vertAlign w:val="superscript"/>
        </w:rPr>
        <w:t>2</w:t>
      </w:r>
    </w:p>
    <w:p>
      <w:pPr>
        <w:pStyle w:val="BodyText"/>
        <w:spacing w:line="276" w:lineRule="auto"/>
        <w:ind w:right="500"/>
      </w:pPr>
      <w:r>
        <w:rPr/>
        <w:t>Pontos dolorosos específicos devem ser investigados com exames de imagem, como radiografia, ultrassonografia, TC ou RM, para afastar processos neoplásicos, inflamatórios, cisto sinovial, fratura óssea ou corpo estranho.</w:t>
      </w:r>
    </w:p>
    <w:p>
      <w:pPr>
        <w:pStyle w:val="BodyText"/>
        <w:spacing w:before="87"/>
        <w:ind w:left="0" w:firstLine="0"/>
        <w:jc w:val="left"/>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3"/>
          <w:sz w:val="23"/>
        </w:rPr>
        <w:t> </w:t>
      </w:r>
      <w:r>
        <w:rPr>
          <w:rFonts w:ascii="Arial" w:hAnsi="Arial"/>
          <w:b/>
          <w:color w:val="242B67"/>
          <w:sz w:val="23"/>
        </w:rPr>
        <w:t>59.2</w:t>
      </w:r>
      <w:r>
        <w:rPr>
          <w:rFonts w:ascii="Arial" w:hAnsi="Arial"/>
          <w:b/>
          <w:color w:val="242B67"/>
          <w:spacing w:val="-4"/>
          <w:sz w:val="23"/>
        </w:rPr>
        <w:t> </w:t>
      </w:r>
      <w:r>
        <w:rPr>
          <w:rFonts w:ascii="Microsoft Sans Serif" w:hAnsi="Microsoft Sans Serif"/>
          <w:sz w:val="23"/>
        </w:rPr>
        <w:t>Correlação</w:t>
      </w:r>
      <w:r>
        <w:rPr>
          <w:rFonts w:ascii="Microsoft Sans Serif" w:hAnsi="Microsoft Sans Serif"/>
          <w:spacing w:val="-1"/>
          <w:sz w:val="23"/>
        </w:rPr>
        <w:t> </w:t>
      </w:r>
      <w:r>
        <w:rPr>
          <w:rFonts w:ascii="Microsoft Sans Serif" w:hAnsi="Microsoft Sans Serif"/>
          <w:sz w:val="23"/>
        </w:rPr>
        <w:t>entre</w:t>
      </w:r>
      <w:r>
        <w:rPr>
          <w:rFonts w:ascii="Microsoft Sans Serif" w:hAnsi="Microsoft Sans Serif"/>
          <w:spacing w:val="-1"/>
          <w:sz w:val="23"/>
        </w:rPr>
        <w:t> </w:t>
      </w:r>
      <w:r>
        <w:rPr>
          <w:rFonts w:ascii="Microsoft Sans Serif" w:hAnsi="Microsoft Sans Serif"/>
          <w:sz w:val="23"/>
        </w:rPr>
        <w:t>dor</w:t>
      </w:r>
      <w:r>
        <w:rPr>
          <w:rFonts w:ascii="Microsoft Sans Serif" w:hAnsi="Microsoft Sans Serif"/>
          <w:spacing w:val="3"/>
          <w:sz w:val="23"/>
        </w:rPr>
        <w:t> </w:t>
      </w:r>
      <w:r>
        <w:rPr>
          <w:rFonts w:ascii="Microsoft Sans Serif" w:hAnsi="Microsoft Sans Serif"/>
          <w:sz w:val="23"/>
        </w:rPr>
        <w:t>e</w:t>
      </w:r>
      <w:r>
        <w:rPr>
          <w:rFonts w:ascii="Microsoft Sans Serif" w:hAnsi="Microsoft Sans Serif"/>
          <w:spacing w:val="-1"/>
          <w:sz w:val="23"/>
        </w:rPr>
        <w:t> </w:t>
      </w:r>
      <w:r>
        <w:rPr>
          <w:rFonts w:ascii="Microsoft Sans Serif" w:hAnsi="Microsoft Sans Serif"/>
          <w:sz w:val="23"/>
        </w:rPr>
        <w:t>diagnóstico</w:t>
      </w:r>
      <w:r>
        <w:rPr>
          <w:rFonts w:ascii="Microsoft Sans Serif" w:hAnsi="Microsoft Sans Serif"/>
          <w:spacing w:val="-1"/>
          <w:sz w:val="23"/>
        </w:rPr>
        <w:t> </w:t>
      </w:r>
      <w:r>
        <w:rPr>
          <w:rFonts w:ascii="Microsoft Sans Serif" w:hAnsi="Microsoft Sans Serif"/>
          <w:spacing w:val="-2"/>
          <w:sz w:val="23"/>
        </w:rPr>
        <w:t>provável.</w:t>
      </w:r>
    </w:p>
    <w:p>
      <w:pPr>
        <w:pStyle w:val="BodyText"/>
        <w:spacing w:before="1"/>
        <w:ind w:left="0" w:firstLine="0"/>
        <w:jc w:val="left"/>
        <w:rPr>
          <w:rFonts w:ascii="Microsoft Sans Serif"/>
          <w:sz w:val="14"/>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417"/>
        <w:gridCol w:w="2338"/>
        <w:gridCol w:w="2370"/>
        <w:gridCol w:w="2322"/>
        <w:gridCol w:w="2170"/>
      </w:tblGrid>
      <w:tr>
        <w:trPr>
          <w:trHeight w:val="430" w:hRule="atLeast"/>
        </w:trPr>
        <w:tc>
          <w:tcPr>
            <w:tcW w:w="1417"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pacing w:val="-2"/>
                <w:w w:val="105"/>
                <w:sz w:val="21"/>
              </w:rPr>
              <w:t>Localização</w:t>
            </w:r>
          </w:p>
        </w:tc>
        <w:tc>
          <w:tcPr>
            <w:tcW w:w="2338" w:type="dxa"/>
            <w:tcBorders>
              <w:top w:val="nil"/>
            </w:tcBorders>
            <w:shd w:val="clear" w:color="auto" w:fill="242B67"/>
          </w:tcPr>
          <w:p>
            <w:pPr>
              <w:pStyle w:val="TableParagraph"/>
              <w:spacing w:before="91"/>
              <w:ind w:left="66"/>
              <w:rPr>
                <w:rFonts w:ascii="Arial" w:hAnsi="Arial"/>
                <w:b/>
                <w:sz w:val="21"/>
              </w:rPr>
            </w:pPr>
            <w:r>
              <w:rPr>
                <w:rFonts w:ascii="Arial" w:hAnsi="Arial"/>
                <w:b/>
                <w:color w:val="FFFFFF"/>
                <w:spacing w:val="-2"/>
                <w:w w:val="105"/>
                <w:sz w:val="21"/>
              </w:rPr>
              <w:t>Característica</w:t>
            </w:r>
          </w:p>
        </w:tc>
        <w:tc>
          <w:tcPr>
            <w:tcW w:w="2370" w:type="dxa"/>
            <w:tcBorders>
              <w:top w:val="nil"/>
            </w:tcBorders>
            <w:shd w:val="clear" w:color="auto" w:fill="242B67"/>
          </w:tcPr>
          <w:p>
            <w:pPr>
              <w:pStyle w:val="TableParagraph"/>
              <w:spacing w:before="91"/>
              <w:ind w:left="66"/>
              <w:rPr>
                <w:rFonts w:ascii="Arial"/>
                <w:b/>
                <w:sz w:val="21"/>
              </w:rPr>
            </w:pPr>
            <w:r>
              <w:rPr>
                <w:rFonts w:ascii="Arial"/>
                <w:b/>
                <w:color w:val="FFFFFF"/>
                <w:spacing w:val="-2"/>
                <w:w w:val="105"/>
                <w:sz w:val="21"/>
              </w:rPr>
              <w:t>Melhora</w:t>
            </w:r>
          </w:p>
        </w:tc>
        <w:tc>
          <w:tcPr>
            <w:tcW w:w="2322" w:type="dxa"/>
            <w:tcBorders>
              <w:top w:val="nil"/>
            </w:tcBorders>
            <w:shd w:val="clear" w:color="auto" w:fill="242B67"/>
          </w:tcPr>
          <w:p>
            <w:pPr>
              <w:pStyle w:val="TableParagraph"/>
              <w:spacing w:before="91"/>
              <w:ind w:left="66"/>
              <w:rPr>
                <w:rFonts w:ascii="Arial"/>
                <w:b/>
                <w:sz w:val="21"/>
              </w:rPr>
            </w:pPr>
            <w:r>
              <w:rPr>
                <w:rFonts w:ascii="Arial"/>
                <w:b/>
                <w:color w:val="FFFFFF"/>
                <w:spacing w:val="-4"/>
                <w:w w:val="105"/>
                <w:sz w:val="21"/>
              </w:rPr>
              <w:t>Piora</w:t>
            </w:r>
          </w:p>
        </w:tc>
        <w:tc>
          <w:tcPr>
            <w:tcW w:w="2170" w:type="dxa"/>
            <w:tcBorders>
              <w:top w:val="nil"/>
              <w:right w:val="nil"/>
            </w:tcBorders>
            <w:shd w:val="clear" w:color="auto" w:fill="242B67"/>
          </w:tcPr>
          <w:p>
            <w:pPr>
              <w:pStyle w:val="TableParagraph"/>
              <w:spacing w:before="91"/>
              <w:ind w:left="67"/>
              <w:rPr>
                <w:rFonts w:ascii="Arial" w:hAnsi="Arial"/>
                <w:b/>
                <w:sz w:val="21"/>
              </w:rPr>
            </w:pPr>
            <w:r>
              <w:rPr>
                <w:rFonts w:ascii="Arial" w:hAnsi="Arial"/>
                <w:b/>
                <w:color w:val="FFFFFF"/>
                <w:spacing w:val="-2"/>
                <w:w w:val="105"/>
                <w:sz w:val="21"/>
              </w:rPr>
              <w:t>Diagnóstico</w:t>
            </w:r>
          </w:p>
        </w:tc>
      </w:tr>
      <w:tr>
        <w:trPr>
          <w:trHeight w:val="1037" w:hRule="atLeast"/>
        </w:trPr>
        <w:tc>
          <w:tcPr>
            <w:tcW w:w="1417" w:type="dxa"/>
            <w:tcBorders>
              <w:left w:val="nil"/>
            </w:tcBorders>
            <w:shd w:val="clear" w:color="auto" w:fill="EDECF3"/>
          </w:tcPr>
          <w:p>
            <w:pPr>
              <w:pStyle w:val="TableParagraph"/>
              <w:ind w:left="67"/>
              <w:rPr>
                <w:sz w:val="21"/>
              </w:rPr>
            </w:pPr>
            <w:r>
              <w:rPr>
                <w:spacing w:val="-2"/>
                <w:w w:val="105"/>
                <w:sz w:val="21"/>
              </w:rPr>
              <w:t>Panturrilha</w:t>
            </w:r>
          </w:p>
        </w:tc>
        <w:tc>
          <w:tcPr>
            <w:tcW w:w="2338" w:type="dxa"/>
            <w:shd w:val="clear" w:color="auto" w:fill="EDECF3"/>
          </w:tcPr>
          <w:p>
            <w:pPr>
              <w:pStyle w:val="TableParagraph"/>
              <w:spacing w:line="307" w:lineRule="auto"/>
              <w:ind w:left="66" w:right="302"/>
              <w:rPr>
                <w:sz w:val="21"/>
              </w:rPr>
            </w:pPr>
            <w:r>
              <w:rPr>
                <w:w w:val="105"/>
                <w:sz w:val="21"/>
              </w:rPr>
              <w:t>Peso, cansaço, </w:t>
            </w:r>
            <w:r>
              <w:rPr>
                <w:w w:val="105"/>
                <w:sz w:val="21"/>
              </w:rPr>
              <w:t>dor mal definida</w:t>
            </w:r>
          </w:p>
        </w:tc>
        <w:tc>
          <w:tcPr>
            <w:tcW w:w="2370" w:type="dxa"/>
            <w:shd w:val="clear" w:color="auto" w:fill="EDECF3"/>
          </w:tcPr>
          <w:p>
            <w:pPr>
              <w:pStyle w:val="TableParagraph"/>
              <w:spacing w:line="307" w:lineRule="auto"/>
              <w:ind w:left="66"/>
              <w:rPr>
                <w:sz w:val="21"/>
              </w:rPr>
            </w:pPr>
            <w:r>
              <w:rPr>
                <w:spacing w:val="-2"/>
                <w:w w:val="105"/>
                <w:sz w:val="21"/>
              </w:rPr>
              <w:t>Movimentação, </w:t>
            </w:r>
            <w:r>
              <w:rPr>
                <w:w w:val="105"/>
                <w:sz w:val="21"/>
              </w:rPr>
              <w:t>elevação das </w:t>
            </w:r>
            <w:r>
              <w:rPr>
                <w:w w:val="105"/>
                <w:sz w:val="21"/>
              </w:rPr>
              <w:t>pernas, </w:t>
            </w:r>
            <w:r>
              <w:rPr>
                <w:spacing w:val="-2"/>
                <w:w w:val="105"/>
                <w:sz w:val="21"/>
              </w:rPr>
              <w:t>repouso</w:t>
            </w:r>
          </w:p>
        </w:tc>
        <w:tc>
          <w:tcPr>
            <w:tcW w:w="2322" w:type="dxa"/>
            <w:shd w:val="clear" w:color="auto" w:fill="EDECF3"/>
          </w:tcPr>
          <w:p>
            <w:pPr>
              <w:pStyle w:val="TableParagraph"/>
              <w:spacing w:line="307" w:lineRule="auto"/>
              <w:ind w:left="66" w:right="554"/>
              <w:rPr>
                <w:sz w:val="21"/>
              </w:rPr>
            </w:pPr>
            <w:r>
              <w:rPr>
                <w:w w:val="105"/>
                <w:sz w:val="21"/>
              </w:rPr>
              <w:t>Ortostase, </w:t>
            </w:r>
            <w:r>
              <w:rPr>
                <w:w w:val="105"/>
                <w:sz w:val="21"/>
              </w:rPr>
              <w:t>calor, período pré-</w:t>
            </w:r>
            <w:r>
              <w:rPr>
                <w:spacing w:val="-2"/>
                <w:w w:val="105"/>
                <w:sz w:val="21"/>
              </w:rPr>
              <w:t>menstrual</w:t>
            </w:r>
          </w:p>
        </w:tc>
        <w:tc>
          <w:tcPr>
            <w:tcW w:w="2170" w:type="dxa"/>
            <w:tcBorders>
              <w:right w:val="nil"/>
            </w:tcBorders>
            <w:shd w:val="clear" w:color="auto" w:fill="EDECF3"/>
          </w:tcPr>
          <w:p>
            <w:pPr>
              <w:pStyle w:val="TableParagraph"/>
              <w:spacing w:line="307" w:lineRule="auto"/>
              <w:ind w:left="67" w:right="280"/>
              <w:rPr>
                <w:sz w:val="21"/>
              </w:rPr>
            </w:pPr>
            <w:r>
              <w:rPr>
                <w:spacing w:val="-2"/>
                <w:sz w:val="21"/>
              </w:rPr>
              <w:t>Insuficiência </w:t>
            </w:r>
            <w:r>
              <w:rPr>
                <w:spacing w:val="-2"/>
                <w:w w:val="105"/>
                <w:sz w:val="21"/>
              </w:rPr>
              <w:t>venosa</w:t>
            </w:r>
          </w:p>
        </w:tc>
      </w:tr>
      <w:tr>
        <w:trPr>
          <w:trHeight w:val="1037" w:hRule="atLeast"/>
        </w:trPr>
        <w:tc>
          <w:tcPr>
            <w:tcW w:w="1417" w:type="dxa"/>
            <w:tcBorders>
              <w:left w:val="nil"/>
            </w:tcBorders>
            <w:shd w:val="clear" w:color="auto" w:fill="EDECF3"/>
          </w:tcPr>
          <w:p>
            <w:pPr>
              <w:pStyle w:val="TableParagraph"/>
              <w:ind w:left="67"/>
              <w:rPr>
                <w:sz w:val="21"/>
              </w:rPr>
            </w:pPr>
            <w:r>
              <w:rPr>
                <w:spacing w:val="-5"/>
                <w:w w:val="105"/>
                <w:sz w:val="21"/>
              </w:rPr>
              <w:t>Pés</w:t>
            </w:r>
          </w:p>
        </w:tc>
        <w:tc>
          <w:tcPr>
            <w:tcW w:w="2338" w:type="dxa"/>
            <w:shd w:val="clear" w:color="auto" w:fill="EDECF3"/>
          </w:tcPr>
          <w:p>
            <w:pPr>
              <w:pStyle w:val="TableParagraph"/>
              <w:spacing w:line="307" w:lineRule="auto"/>
              <w:ind w:left="66"/>
              <w:rPr>
                <w:sz w:val="21"/>
              </w:rPr>
            </w:pPr>
            <w:r>
              <w:rPr>
                <w:w w:val="105"/>
                <w:sz w:val="21"/>
              </w:rPr>
              <w:t>Pontadas, dor </w:t>
            </w:r>
            <w:r>
              <w:rPr>
                <w:w w:val="105"/>
                <w:sz w:val="21"/>
              </w:rPr>
              <w:t>bem localizada pelo </w:t>
            </w:r>
            <w:r>
              <w:rPr>
                <w:spacing w:val="-2"/>
                <w:w w:val="105"/>
                <w:sz w:val="21"/>
              </w:rPr>
              <w:t>paciente</w:t>
            </w:r>
          </w:p>
        </w:tc>
        <w:tc>
          <w:tcPr>
            <w:tcW w:w="2370" w:type="dxa"/>
            <w:shd w:val="clear" w:color="auto" w:fill="EDECF3"/>
          </w:tcPr>
          <w:p>
            <w:pPr>
              <w:pStyle w:val="TableParagraph"/>
              <w:spacing w:line="307" w:lineRule="auto"/>
              <w:ind w:left="66" w:right="212"/>
              <w:rPr>
                <w:sz w:val="21"/>
              </w:rPr>
            </w:pPr>
            <w:r>
              <w:rPr>
                <w:w w:val="105"/>
                <w:sz w:val="21"/>
              </w:rPr>
              <w:t>Parado sem </w:t>
            </w:r>
            <w:r>
              <w:rPr>
                <w:w w:val="105"/>
                <w:sz w:val="21"/>
              </w:rPr>
              <w:t>apoiar os pés no chão</w:t>
            </w:r>
          </w:p>
        </w:tc>
        <w:tc>
          <w:tcPr>
            <w:tcW w:w="2322" w:type="dxa"/>
            <w:shd w:val="clear" w:color="auto" w:fill="EDECF3"/>
          </w:tcPr>
          <w:p>
            <w:pPr>
              <w:pStyle w:val="TableParagraph"/>
              <w:spacing w:line="307" w:lineRule="auto"/>
              <w:ind w:left="66"/>
              <w:rPr>
                <w:sz w:val="21"/>
              </w:rPr>
            </w:pPr>
            <w:r>
              <w:rPr>
                <w:w w:val="105"/>
                <w:sz w:val="21"/>
              </w:rPr>
              <w:t>Ao apoiar os pés </w:t>
            </w:r>
            <w:r>
              <w:rPr>
                <w:w w:val="105"/>
                <w:sz w:val="21"/>
              </w:rPr>
              <w:t>no </w:t>
            </w:r>
            <w:r>
              <w:rPr>
                <w:spacing w:val="-4"/>
                <w:w w:val="105"/>
                <w:sz w:val="21"/>
              </w:rPr>
              <w:t>chão</w:t>
            </w:r>
          </w:p>
        </w:tc>
        <w:tc>
          <w:tcPr>
            <w:tcW w:w="2170" w:type="dxa"/>
            <w:tcBorders>
              <w:right w:val="nil"/>
            </w:tcBorders>
            <w:shd w:val="clear" w:color="auto" w:fill="EDECF3"/>
          </w:tcPr>
          <w:p>
            <w:pPr>
              <w:pStyle w:val="TableParagraph"/>
              <w:ind w:left="67"/>
              <w:rPr>
                <w:sz w:val="21"/>
              </w:rPr>
            </w:pPr>
            <w:r>
              <w:rPr>
                <w:w w:val="105"/>
                <w:sz w:val="21"/>
              </w:rPr>
              <w:t>Tendinites,</w:t>
            </w:r>
            <w:r>
              <w:rPr>
                <w:spacing w:val="19"/>
                <w:w w:val="105"/>
                <w:sz w:val="21"/>
              </w:rPr>
              <w:t> </w:t>
            </w:r>
            <w:r>
              <w:rPr>
                <w:spacing w:val="-2"/>
                <w:w w:val="105"/>
                <w:sz w:val="21"/>
              </w:rPr>
              <w:t>fraturas</w:t>
            </w:r>
          </w:p>
        </w:tc>
      </w:tr>
      <w:tr>
        <w:trPr>
          <w:trHeight w:val="315" w:hRule="atLeast"/>
        </w:trPr>
        <w:tc>
          <w:tcPr>
            <w:tcW w:w="1417" w:type="dxa"/>
            <w:tcBorders>
              <w:left w:val="nil"/>
              <w:bottom w:val="nil"/>
            </w:tcBorders>
            <w:shd w:val="clear" w:color="auto" w:fill="EDECF3"/>
          </w:tcPr>
          <w:p>
            <w:pPr>
              <w:pStyle w:val="TableParagraph"/>
              <w:spacing w:before="0"/>
              <w:ind w:left="0"/>
              <w:rPr>
                <w:rFonts w:ascii="Times New Roman"/>
                <w:sz w:val="22"/>
              </w:rPr>
            </w:pPr>
          </w:p>
        </w:tc>
        <w:tc>
          <w:tcPr>
            <w:tcW w:w="2338" w:type="dxa"/>
            <w:tcBorders>
              <w:bottom w:val="nil"/>
            </w:tcBorders>
            <w:shd w:val="clear" w:color="auto" w:fill="EDECF3"/>
          </w:tcPr>
          <w:p>
            <w:pPr>
              <w:pStyle w:val="TableParagraph"/>
              <w:spacing w:before="0"/>
              <w:ind w:left="0"/>
              <w:rPr>
                <w:rFonts w:ascii="Times New Roman"/>
                <w:sz w:val="22"/>
              </w:rPr>
            </w:pPr>
          </w:p>
        </w:tc>
        <w:tc>
          <w:tcPr>
            <w:tcW w:w="2370" w:type="dxa"/>
            <w:tcBorders>
              <w:bottom w:val="nil"/>
            </w:tcBorders>
            <w:shd w:val="clear" w:color="auto" w:fill="EDECF3"/>
          </w:tcPr>
          <w:p>
            <w:pPr>
              <w:pStyle w:val="TableParagraph"/>
              <w:spacing w:before="0"/>
              <w:ind w:left="0"/>
              <w:rPr>
                <w:rFonts w:ascii="Times New Roman"/>
                <w:sz w:val="22"/>
              </w:rPr>
            </w:pPr>
          </w:p>
        </w:tc>
        <w:tc>
          <w:tcPr>
            <w:tcW w:w="2322" w:type="dxa"/>
            <w:tcBorders>
              <w:bottom w:val="nil"/>
            </w:tcBorders>
            <w:shd w:val="clear" w:color="auto" w:fill="EDECF3"/>
          </w:tcPr>
          <w:p>
            <w:pPr>
              <w:pStyle w:val="TableParagraph"/>
              <w:spacing w:before="0"/>
              <w:ind w:left="0"/>
              <w:rPr>
                <w:rFonts w:ascii="Times New Roman"/>
                <w:sz w:val="22"/>
              </w:rPr>
            </w:pPr>
          </w:p>
        </w:tc>
        <w:tc>
          <w:tcPr>
            <w:tcW w:w="2170" w:type="dxa"/>
            <w:tcBorders>
              <w:bottom w:val="nil"/>
              <w:right w:val="nil"/>
            </w:tcBorders>
            <w:shd w:val="clear" w:color="auto" w:fill="EDECF3"/>
          </w:tcPr>
          <w:p>
            <w:pPr>
              <w:pStyle w:val="TableParagraph"/>
              <w:spacing w:before="0"/>
              <w:ind w:left="0"/>
              <w:rPr>
                <w:rFonts w:ascii="Times New Roman"/>
                <w:sz w:val="22"/>
              </w:rPr>
            </w:pPr>
          </w:p>
        </w:tc>
      </w:tr>
    </w:tbl>
    <w:p>
      <w:pPr>
        <w:pStyle w:val="TableParagraph"/>
        <w:spacing w:after="0"/>
        <w:rPr>
          <w:rFonts w:ascii="Times New Roman"/>
          <w:sz w:val="22"/>
        </w:rPr>
        <w:sectPr>
          <w:pgSz w:w="11900" w:h="16840"/>
          <w:pgMar w:top="18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417"/>
        <w:gridCol w:w="2338"/>
        <w:gridCol w:w="2370"/>
        <w:gridCol w:w="2322"/>
        <w:gridCol w:w="2154"/>
      </w:tblGrid>
      <w:tr>
        <w:trPr>
          <w:trHeight w:val="362" w:hRule="atLeast"/>
        </w:trPr>
        <w:tc>
          <w:tcPr>
            <w:tcW w:w="1417" w:type="dxa"/>
            <w:tcBorders>
              <w:top w:val="nil"/>
              <w:left w:val="nil"/>
            </w:tcBorders>
            <w:shd w:val="clear" w:color="auto" w:fill="EDECF3"/>
          </w:tcPr>
          <w:p>
            <w:pPr>
              <w:pStyle w:val="TableParagraph"/>
              <w:spacing w:before="43"/>
              <w:ind w:left="67"/>
              <w:rPr>
                <w:sz w:val="21"/>
              </w:rPr>
            </w:pPr>
            <w:r>
              <w:rPr>
                <w:spacing w:val="-5"/>
                <w:w w:val="105"/>
                <w:sz w:val="21"/>
              </w:rPr>
              <w:t>Pés</w:t>
            </w:r>
          </w:p>
        </w:tc>
        <w:tc>
          <w:tcPr>
            <w:tcW w:w="2338" w:type="dxa"/>
            <w:tcBorders>
              <w:top w:val="nil"/>
            </w:tcBorders>
            <w:shd w:val="clear" w:color="auto" w:fill="EDECF3"/>
          </w:tcPr>
          <w:p>
            <w:pPr>
              <w:pStyle w:val="TableParagraph"/>
              <w:spacing w:before="43"/>
              <w:ind w:left="66"/>
              <w:rPr>
                <w:sz w:val="21"/>
              </w:rPr>
            </w:pPr>
            <w:r>
              <w:rPr>
                <w:w w:val="105"/>
                <w:sz w:val="21"/>
              </w:rPr>
              <w:t>Dor</w:t>
            </w:r>
            <w:r>
              <w:rPr>
                <w:spacing w:val="14"/>
                <w:w w:val="105"/>
                <w:sz w:val="21"/>
              </w:rPr>
              <w:t> </w:t>
            </w:r>
            <w:r>
              <w:rPr>
                <w:spacing w:val="-2"/>
                <w:w w:val="105"/>
                <w:sz w:val="21"/>
              </w:rPr>
              <w:t>contínua</w:t>
            </w:r>
          </w:p>
        </w:tc>
        <w:tc>
          <w:tcPr>
            <w:tcW w:w="2370" w:type="dxa"/>
            <w:tcBorders>
              <w:top w:val="nil"/>
            </w:tcBorders>
            <w:shd w:val="clear" w:color="auto" w:fill="EDECF3"/>
          </w:tcPr>
          <w:p>
            <w:pPr>
              <w:pStyle w:val="TableParagraph"/>
              <w:spacing w:before="43"/>
              <w:ind w:left="66"/>
              <w:rPr>
                <w:sz w:val="21"/>
              </w:rPr>
            </w:pPr>
            <w:r>
              <w:rPr>
                <w:w w:val="195"/>
                <w:sz w:val="21"/>
              </w:rPr>
              <w:t>–</w:t>
            </w:r>
          </w:p>
        </w:tc>
        <w:tc>
          <w:tcPr>
            <w:tcW w:w="2322" w:type="dxa"/>
            <w:tcBorders>
              <w:top w:val="nil"/>
            </w:tcBorders>
            <w:shd w:val="clear" w:color="auto" w:fill="EDECF3"/>
          </w:tcPr>
          <w:p>
            <w:pPr>
              <w:pStyle w:val="TableParagraph"/>
              <w:spacing w:before="43"/>
              <w:ind w:left="66"/>
              <w:rPr>
                <w:sz w:val="21"/>
              </w:rPr>
            </w:pPr>
            <w:r>
              <w:rPr>
                <w:w w:val="195"/>
                <w:sz w:val="21"/>
              </w:rPr>
              <w:t>–</w:t>
            </w:r>
          </w:p>
        </w:tc>
        <w:tc>
          <w:tcPr>
            <w:tcW w:w="2154" w:type="dxa"/>
            <w:tcBorders>
              <w:top w:val="nil"/>
              <w:right w:val="nil"/>
            </w:tcBorders>
            <w:shd w:val="clear" w:color="auto" w:fill="EDECF3"/>
          </w:tcPr>
          <w:p>
            <w:pPr>
              <w:pStyle w:val="TableParagraph"/>
              <w:spacing w:before="43"/>
              <w:ind w:left="67"/>
              <w:rPr>
                <w:sz w:val="21"/>
              </w:rPr>
            </w:pPr>
            <w:r>
              <w:rPr>
                <w:spacing w:val="-2"/>
                <w:w w:val="105"/>
                <w:sz w:val="21"/>
              </w:rPr>
              <w:t>Artrites</w:t>
            </w:r>
          </w:p>
        </w:tc>
      </w:tr>
      <w:tr>
        <w:trPr>
          <w:trHeight w:val="732" w:hRule="atLeast"/>
        </w:trPr>
        <w:tc>
          <w:tcPr>
            <w:tcW w:w="1417" w:type="dxa"/>
            <w:tcBorders>
              <w:left w:val="nil"/>
            </w:tcBorders>
            <w:shd w:val="clear" w:color="auto" w:fill="EDECF3"/>
          </w:tcPr>
          <w:p>
            <w:pPr>
              <w:pStyle w:val="TableParagraph"/>
              <w:spacing w:line="307" w:lineRule="auto"/>
              <w:ind w:left="67"/>
              <w:rPr>
                <w:sz w:val="21"/>
              </w:rPr>
            </w:pPr>
            <w:r>
              <w:rPr>
                <w:w w:val="105"/>
                <w:sz w:val="21"/>
              </w:rPr>
              <w:t>Pernas</w:t>
            </w:r>
            <w:r>
              <w:rPr>
                <w:spacing w:val="-6"/>
                <w:w w:val="105"/>
                <w:sz w:val="21"/>
              </w:rPr>
              <w:t> </w:t>
            </w:r>
            <w:r>
              <w:rPr>
                <w:w w:val="105"/>
                <w:sz w:val="21"/>
              </w:rPr>
              <w:t>ou </w:t>
            </w:r>
            <w:r>
              <w:rPr>
                <w:spacing w:val="-4"/>
                <w:w w:val="105"/>
                <w:sz w:val="21"/>
              </w:rPr>
              <w:t>coxas</w:t>
            </w:r>
          </w:p>
        </w:tc>
        <w:tc>
          <w:tcPr>
            <w:tcW w:w="2338" w:type="dxa"/>
            <w:shd w:val="clear" w:color="auto" w:fill="EDECF3"/>
          </w:tcPr>
          <w:p>
            <w:pPr>
              <w:pStyle w:val="TableParagraph"/>
              <w:spacing w:line="307" w:lineRule="auto"/>
              <w:ind w:left="66"/>
              <w:rPr>
                <w:sz w:val="21"/>
              </w:rPr>
            </w:pPr>
            <w:r>
              <w:rPr>
                <w:w w:val="105"/>
                <w:sz w:val="21"/>
              </w:rPr>
              <w:t>Dor forte, tendo que parar à </w:t>
            </w:r>
            <w:r>
              <w:rPr>
                <w:w w:val="105"/>
                <w:sz w:val="21"/>
              </w:rPr>
              <w:t>deambulação</w:t>
            </w:r>
          </w:p>
        </w:tc>
        <w:tc>
          <w:tcPr>
            <w:tcW w:w="2370" w:type="dxa"/>
            <w:shd w:val="clear" w:color="auto" w:fill="EDECF3"/>
          </w:tcPr>
          <w:p>
            <w:pPr>
              <w:pStyle w:val="TableParagraph"/>
              <w:spacing w:line="307" w:lineRule="auto"/>
              <w:ind w:left="66"/>
              <w:rPr>
                <w:sz w:val="21"/>
              </w:rPr>
            </w:pPr>
            <w:r>
              <w:rPr>
                <w:w w:val="105"/>
                <w:sz w:val="21"/>
              </w:rPr>
              <w:t>Cerca de 1 min </w:t>
            </w:r>
            <w:r>
              <w:rPr>
                <w:w w:val="105"/>
                <w:sz w:val="21"/>
              </w:rPr>
              <w:t>após parar. Descidas</w:t>
            </w:r>
          </w:p>
        </w:tc>
        <w:tc>
          <w:tcPr>
            <w:tcW w:w="2322" w:type="dxa"/>
            <w:shd w:val="clear" w:color="auto" w:fill="EDECF3"/>
          </w:tcPr>
          <w:p>
            <w:pPr>
              <w:pStyle w:val="TableParagraph"/>
              <w:spacing w:line="307" w:lineRule="auto"/>
              <w:ind w:left="66"/>
              <w:rPr>
                <w:sz w:val="21"/>
              </w:rPr>
            </w:pPr>
            <w:r>
              <w:rPr>
                <w:w w:val="105"/>
                <w:sz w:val="21"/>
              </w:rPr>
              <w:t>Subidas, andar </w:t>
            </w:r>
            <w:r>
              <w:rPr>
                <w:w w:val="105"/>
                <w:sz w:val="21"/>
              </w:rPr>
              <w:t>mais </w:t>
            </w:r>
            <w:r>
              <w:rPr>
                <w:spacing w:val="-2"/>
                <w:w w:val="105"/>
                <w:sz w:val="21"/>
              </w:rPr>
              <w:t>rápido</w:t>
            </w:r>
          </w:p>
        </w:tc>
        <w:tc>
          <w:tcPr>
            <w:tcW w:w="2154" w:type="dxa"/>
            <w:tcBorders>
              <w:right w:val="nil"/>
            </w:tcBorders>
            <w:shd w:val="clear" w:color="auto" w:fill="EDECF3"/>
          </w:tcPr>
          <w:p>
            <w:pPr>
              <w:pStyle w:val="TableParagraph"/>
              <w:spacing w:line="307" w:lineRule="auto"/>
              <w:ind w:left="67" w:right="367"/>
              <w:rPr>
                <w:sz w:val="21"/>
              </w:rPr>
            </w:pPr>
            <w:r>
              <w:rPr>
                <w:spacing w:val="-2"/>
                <w:w w:val="105"/>
                <w:sz w:val="21"/>
              </w:rPr>
              <w:t>Insuficiência </w:t>
            </w:r>
            <w:r>
              <w:rPr>
                <w:w w:val="105"/>
                <w:sz w:val="21"/>
              </w:rPr>
              <w:t>arterial </w:t>
            </w:r>
            <w:r>
              <w:rPr>
                <w:w w:val="105"/>
                <w:sz w:val="21"/>
              </w:rPr>
              <w:t>periférica</w:t>
            </w:r>
          </w:p>
        </w:tc>
      </w:tr>
      <w:tr>
        <w:trPr>
          <w:trHeight w:val="732" w:hRule="atLeast"/>
        </w:trPr>
        <w:tc>
          <w:tcPr>
            <w:tcW w:w="1417" w:type="dxa"/>
            <w:tcBorders>
              <w:left w:val="nil"/>
            </w:tcBorders>
            <w:shd w:val="clear" w:color="auto" w:fill="EDECF3"/>
          </w:tcPr>
          <w:p>
            <w:pPr>
              <w:pStyle w:val="TableParagraph"/>
              <w:spacing w:line="307" w:lineRule="auto"/>
              <w:ind w:left="67"/>
              <w:rPr>
                <w:sz w:val="21"/>
              </w:rPr>
            </w:pPr>
            <w:r>
              <w:rPr>
                <w:w w:val="105"/>
                <w:sz w:val="21"/>
              </w:rPr>
              <w:t>Lateral </w:t>
            </w:r>
            <w:r>
              <w:rPr>
                <w:w w:val="105"/>
                <w:sz w:val="21"/>
              </w:rPr>
              <w:t>de </w:t>
            </w:r>
            <w:r>
              <w:rPr>
                <w:spacing w:val="-4"/>
                <w:w w:val="105"/>
                <w:sz w:val="21"/>
              </w:rPr>
              <w:t>coxa</w:t>
            </w:r>
          </w:p>
        </w:tc>
        <w:tc>
          <w:tcPr>
            <w:tcW w:w="2338" w:type="dxa"/>
            <w:shd w:val="clear" w:color="auto" w:fill="EDECF3"/>
          </w:tcPr>
          <w:p>
            <w:pPr>
              <w:pStyle w:val="TableParagraph"/>
              <w:spacing w:line="307" w:lineRule="auto"/>
              <w:ind w:left="66" w:right="302"/>
              <w:rPr>
                <w:sz w:val="21"/>
              </w:rPr>
            </w:pPr>
            <w:r>
              <w:rPr>
                <w:w w:val="105"/>
                <w:sz w:val="21"/>
              </w:rPr>
              <w:t>Dor forte, </w:t>
            </w:r>
            <w:r>
              <w:rPr>
                <w:spacing w:val="-2"/>
                <w:sz w:val="21"/>
              </w:rPr>
              <w:t>parestesias</w:t>
            </w:r>
          </w:p>
        </w:tc>
        <w:tc>
          <w:tcPr>
            <w:tcW w:w="2370" w:type="dxa"/>
            <w:shd w:val="clear" w:color="auto" w:fill="EDECF3"/>
          </w:tcPr>
          <w:p>
            <w:pPr>
              <w:pStyle w:val="TableParagraph"/>
              <w:ind w:left="66"/>
              <w:rPr>
                <w:sz w:val="21"/>
              </w:rPr>
            </w:pPr>
            <w:r>
              <w:rPr>
                <w:spacing w:val="-2"/>
                <w:sz w:val="21"/>
              </w:rPr>
              <w:t>Posicional,</w:t>
            </w:r>
          </w:p>
        </w:tc>
        <w:tc>
          <w:tcPr>
            <w:tcW w:w="2322" w:type="dxa"/>
            <w:shd w:val="clear" w:color="auto" w:fill="EDECF3"/>
          </w:tcPr>
          <w:p>
            <w:pPr>
              <w:pStyle w:val="TableParagraph"/>
              <w:spacing w:line="307" w:lineRule="auto"/>
              <w:ind w:left="66" w:right="22"/>
              <w:rPr>
                <w:sz w:val="21"/>
              </w:rPr>
            </w:pPr>
            <w:r>
              <w:rPr>
                <w:w w:val="105"/>
                <w:sz w:val="21"/>
              </w:rPr>
              <w:t>Abaixar fletindo </w:t>
            </w:r>
            <w:r>
              <w:rPr>
                <w:w w:val="105"/>
                <w:sz w:val="21"/>
              </w:rPr>
              <w:t>o </w:t>
            </w:r>
            <w:r>
              <w:rPr>
                <w:spacing w:val="-4"/>
                <w:w w:val="105"/>
                <w:sz w:val="21"/>
              </w:rPr>
              <w:t>dorso</w:t>
            </w:r>
          </w:p>
        </w:tc>
        <w:tc>
          <w:tcPr>
            <w:tcW w:w="2154" w:type="dxa"/>
            <w:tcBorders>
              <w:right w:val="nil"/>
            </w:tcBorders>
            <w:shd w:val="clear" w:color="auto" w:fill="EDECF3"/>
          </w:tcPr>
          <w:p>
            <w:pPr>
              <w:pStyle w:val="TableParagraph"/>
              <w:spacing w:line="307" w:lineRule="auto"/>
              <w:ind w:left="67" w:right="186"/>
              <w:rPr>
                <w:sz w:val="21"/>
              </w:rPr>
            </w:pPr>
            <w:r>
              <w:rPr>
                <w:w w:val="105"/>
                <w:sz w:val="21"/>
              </w:rPr>
              <w:t>Compressão de raiz</w:t>
            </w:r>
            <w:r>
              <w:rPr>
                <w:spacing w:val="13"/>
                <w:w w:val="105"/>
                <w:sz w:val="21"/>
              </w:rPr>
              <w:t> </w:t>
            </w:r>
            <w:r>
              <w:rPr>
                <w:spacing w:val="-2"/>
                <w:w w:val="105"/>
                <w:sz w:val="21"/>
              </w:rPr>
              <w:t>neurológica</w:t>
            </w:r>
          </w:p>
        </w:tc>
      </w:tr>
      <w:tr>
        <w:trPr>
          <w:trHeight w:val="734" w:hRule="atLeast"/>
        </w:trPr>
        <w:tc>
          <w:tcPr>
            <w:tcW w:w="1417" w:type="dxa"/>
            <w:tcBorders>
              <w:left w:val="nil"/>
              <w:bottom w:val="nil"/>
            </w:tcBorders>
            <w:shd w:val="clear" w:color="auto" w:fill="EDECF3"/>
          </w:tcPr>
          <w:p>
            <w:pPr>
              <w:pStyle w:val="TableParagraph"/>
              <w:ind w:left="67"/>
              <w:rPr>
                <w:sz w:val="21"/>
              </w:rPr>
            </w:pPr>
            <w:r>
              <w:rPr>
                <w:spacing w:val="-2"/>
                <w:w w:val="105"/>
                <w:sz w:val="21"/>
              </w:rPr>
              <w:t>Panturrilha</w:t>
            </w:r>
          </w:p>
        </w:tc>
        <w:tc>
          <w:tcPr>
            <w:tcW w:w="2338" w:type="dxa"/>
            <w:tcBorders>
              <w:bottom w:val="nil"/>
            </w:tcBorders>
            <w:shd w:val="clear" w:color="auto" w:fill="EDECF3"/>
          </w:tcPr>
          <w:p>
            <w:pPr>
              <w:pStyle w:val="TableParagraph"/>
              <w:spacing w:line="307" w:lineRule="auto"/>
              <w:ind w:left="66" w:right="302"/>
              <w:rPr>
                <w:sz w:val="21"/>
              </w:rPr>
            </w:pPr>
            <w:r>
              <w:rPr>
                <w:w w:val="105"/>
                <w:sz w:val="21"/>
              </w:rPr>
              <w:t>Pernas </w:t>
            </w:r>
            <w:r>
              <w:rPr>
                <w:w w:val="105"/>
                <w:sz w:val="21"/>
              </w:rPr>
              <w:t>irrequietas, dor muscular</w:t>
            </w:r>
          </w:p>
        </w:tc>
        <w:tc>
          <w:tcPr>
            <w:tcW w:w="2370" w:type="dxa"/>
            <w:tcBorders>
              <w:bottom w:val="nil"/>
            </w:tcBorders>
            <w:shd w:val="clear" w:color="auto" w:fill="EDECF3"/>
          </w:tcPr>
          <w:p>
            <w:pPr>
              <w:pStyle w:val="TableParagraph"/>
              <w:spacing w:line="307" w:lineRule="auto"/>
              <w:ind w:left="66" w:right="212"/>
              <w:rPr>
                <w:sz w:val="21"/>
              </w:rPr>
            </w:pPr>
            <w:r>
              <w:rPr>
                <w:w w:val="105"/>
                <w:sz w:val="21"/>
              </w:rPr>
              <w:t>Movimento,</w:t>
            </w:r>
            <w:r>
              <w:rPr>
                <w:spacing w:val="-3"/>
                <w:w w:val="105"/>
                <w:sz w:val="21"/>
              </w:rPr>
              <w:t> </w:t>
            </w:r>
            <w:r>
              <w:rPr>
                <w:w w:val="105"/>
                <w:sz w:val="21"/>
              </w:rPr>
              <w:t>ingesta de ferro</w:t>
            </w:r>
          </w:p>
        </w:tc>
        <w:tc>
          <w:tcPr>
            <w:tcW w:w="2322" w:type="dxa"/>
            <w:tcBorders>
              <w:bottom w:val="nil"/>
            </w:tcBorders>
            <w:shd w:val="clear" w:color="auto" w:fill="EDECF3"/>
          </w:tcPr>
          <w:p>
            <w:pPr>
              <w:pStyle w:val="TableParagraph"/>
              <w:spacing w:line="307" w:lineRule="auto"/>
              <w:ind w:left="66" w:right="22"/>
              <w:rPr>
                <w:sz w:val="21"/>
              </w:rPr>
            </w:pPr>
            <w:r>
              <w:rPr>
                <w:w w:val="105"/>
                <w:sz w:val="21"/>
              </w:rPr>
              <w:t>À noite, </w:t>
            </w:r>
            <w:r>
              <w:rPr>
                <w:w w:val="105"/>
                <w:sz w:val="21"/>
              </w:rPr>
              <w:t>repouso, déficit de ferro</w:t>
            </w:r>
          </w:p>
        </w:tc>
        <w:tc>
          <w:tcPr>
            <w:tcW w:w="2154" w:type="dxa"/>
            <w:tcBorders>
              <w:bottom w:val="nil"/>
              <w:right w:val="nil"/>
            </w:tcBorders>
            <w:shd w:val="clear" w:color="auto" w:fill="EDECF3"/>
          </w:tcPr>
          <w:p>
            <w:pPr>
              <w:pStyle w:val="TableParagraph"/>
              <w:spacing w:line="307" w:lineRule="auto"/>
              <w:ind w:left="67" w:right="186"/>
              <w:rPr>
                <w:sz w:val="21"/>
              </w:rPr>
            </w:pPr>
            <w:r>
              <w:rPr>
                <w:w w:val="105"/>
                <w:sz w:val="21"/>
              </w:rPr>
              <w:t>Síndrome das pernas </w:t>
            </w:r>
            <w:r>
              <w:rPr>
                <w:w w:val="105"/>
                <w:sz w:val="21"/>
              </w:rPr>
              <w:t>irrequietas</w:t>
            </w:r>
          </w:p>
        </w:tc>
      </w:tr>
    </w:tbl>
    <w:p>
      <w:pPr>
        <w:pStyle w:val="BodyText"/>
        <w:spacing w:line="276" w:lineRule="auto" w:before="176"/>
        <w:ind w:right="487"/>
      </w:pPr>
      <w:r>
        <w:rPr/>
        <w:t>Os exercícios intensos e</w:t>
      </w:r>
      <w:r>
        <w:rPr>
          <w:spacing w:val="-9"/>
        </w:rPr>
        <w:t> </w:t>
      </w:r>
      <w:r>
        <w:rPr/>
        <w:t>repetitivos podem</w:t>
      </w:r>
      <w:r>
        <w:rPr>
          <w:spacing w:val="-7"/>
        </w:rPr>
        <w:t> </w:t>
      </w:r>
      <w:r>
        <w:rPr/>
        <w:t>provocar</w:t>
      </w:r>
      <w:r>
        <w:rPr>
          <w:spacing w:val="-2"/>
        </w:rPr>
        <w:t> </w:t>
      </w:r>
      <w:r>
        <w:rPr/>
        <w:t>lesões e</w:t>
      </w:r>
      <w:r>
        <w:rPr>
          <w:spacing w:val="-9"/>
        </w:rPr>
        <w:t> </w:t>
      </w:r>
      <w:r>
        <w:rPr/>
        <w:t>dores crônicas, as fraturas patológicas, a</w:t>
      </w:r>
      <w:r>
        <w:rPr>
          <w:spacing w:val="-9"/>
        </w:rPr>
        <w:t> </w:t>
      </w:r>
      <w:r>
        <w:rPr/>
        <w:t>síndrome do estresse do músculo tibial, que ao ocorrer gera o aparecimento de dor à palpação da face anterior da crista da tíbia. Também</w:t>
      </w:r>
      <w:r>
        <w:rPr>
          <w:spacing w:val="-7"/>
        </w:rPr>
        <w:t> </w:t>
      </w:r>
      <w:r>
        <w:rPr/>
        <w:t>pode</w:t>
      </w:r>
      <w:r>
        <w:rPr>
          <w:spacing w:val="-9"/>
        </w:rPr>
        <w:t> </w:t>
      </w:r>
      <w:r>
        <w:rPr/>
        <w:t>surgir</w:t>
      </w:r>
      <w:r>
        <w:rPr>
          <w:spacing w:val="-2"/>
        </w:rPr>
        <w:t> </w:t>
      </w:r>
      <w:r>
        <w:rPr/>
        <w:t>a</w:t>
      </w:r>
      <w:r>
        <w:rPr>
          <w:spacing w:val="-9"/>
        </w:rPr>
        <w:t> </w:t>
      </w:r>
      <w:r>
        <w:rPr/>
        <w:t>síndrome</w:t>
      </w:r>
      <w:r>
        <w:rPr>
          <w:spacing w:val="-9"/>
        </w:rPr>
        <w:t> </w:t>
      </w:r>
      <w:r>
        <w:rPr/>
        <w:t>compartimental</w:t>
      </w:r>
      <w:r>
        <w:rPr>
          <w:spacing w:val="-4"/>
        </w:rPr>
        <w:t> </w:t>
      </w:r>
      <w:r>
        <w:rPr/>
        <w:t>na</w:t>
      </w:r>
      <w:r>
        <w:rPr>
          <w:spacing w:val="-9"/>
        </w:rPr>
        <w:t> </w:t>
      </w:r>
      <w:r>
        <w:rPr/>
        <w:t>perna:</w:t>
      </w:r>
      <w:r>
        <w:rPr>
          <w:spacing w:val="-4"/>
        </w:rPr>
        <w:t> </w:t>
      </w:r>
      <w:r>
        <w:rPr/>
        <w:t>o</w:t>
      </w:r>
      <w:r>
        <w:rPr>
          <w:spacing w:val="-7"/>
        </w:rPr>
        <w:t> </w:t>
      </w:r>
      <w:r>
        <w:rPr/>
        <w:t>exercício</w:t>
      </w:r>
      <w:r>
        <w:rPr>
          <w:spacing w:val="-7"/>
        </w:rPr>
        <w:t> </w:t>
      </w:r>
      <w:r>
        <w:rPr/>
        <w:t>pode</w:t>
      </w:r>
      <w:r>
        <w:rPr>
          <w:spacing w:val="-9"/>
        </w:rPr>
        <w:t> </w:t>
      </w:r>
      <w:r>
        <w:rPr/>
        <w:t>desencadear</w:t>
      </w:r>
      <w:r>
        <w:rPr>
          <w:spacing w:val="-2"/>
        </w:rPr>
        <w:t> </w:t>
      </w:r>
      <w:r>
        <w:rPr/>
        <w:t>o</w:t>
      </w:r>
      <w:r>
        <w:rPr>
          <w:spacing w:val="-7"/>
        </w:rPr>
        <w:t> </w:t>
      </w:r>
      <w:r>
        <w:rPr/>
        <w:t>edema</w:t>
      </w:r>
      <w:r>
        <w:rPr>
          <w:spacing w:val="-9"/>
        </w:rPr>
        <w:t> </w:t>
      </w:r>
      <w:r>
        <w:rPr/>
        <w:t>muscular</w:t>
      </w:r>
      <w:r>
        <w:rPr>
          <w:spacing w:val="-2"/>
        </w:rPr>
        <w:t> </w:t>
      </w:r>
      <w:r>
        <w:rPr/>
        <w:t>na panturrilha, acometendo os compartimentos anterior, lateral ou posterior. Há</w:t>
      </w:r>
      <w:r>
        <w:rPr>
          <w:spacing w:val="-1"/>
        </w:rPr>
        <w:t> </w:t>
      </w:r>
      <w:r>
        <w:rPr/>
        <w:t>compressão do feixe</w:t>
      </w:r>
      <w:r>
        <w:rPr>
          <w:spacing w:val="-1"/>
        </w:rPr>
        <w:t> </w:t>
      </w:r>
      <w:r>
        <w:rPr/>
        <w:t>vasculonervoso, iniciando com o aparecimento de sintomas de isquemia neurológica, com parestesias e dores, mas com a presença de pulso pedioso. Progredindo a compressão, seja pela não interrupção do exercício ou pelo aumento do edema e, consequentemente, da pressão dentro do compartimento muscular, pode ocorrer isquemia arterial por excessiva elevação da pressão compartimental e compressão do feixe vascular.</w:t>
      </w:r>
    </w:p>
    <w:p>
      <w:pPr>
        <w:pStyle w:val="BodyText"/>
        <w:spacing w:line="290" w:lineRule="auto" w:before="66"/>
        <w:ind w:right="500"/>
      </w:pPr>
      <w:r>
        <w:rPr/>
        <w:t>Pontos dolorosos no pé estão associados a calcificações nos tendões flexores, calosidades, cisto sinovial, artralgias ou até fraturas de estresse.</w:t>
      </w:r>
      <w:r>
        <w:rPr>
          <w:vertAlign w:val="superscript"/>
        </w:rPr>
        <w:t>4</w:t>
      </w:r>
    </w:p>
    <w:p>
      <w:pPr>
        <w:pStyle w:val="BodyText"/>
        <w:spacing w:line="276" w:lineRule="auto" w:before="48"/>
        <w:ind w:right="488"/>
      </w:pPr>
      <w:r>
        <w:rPr/>
        <w:t>A dor contínua na face plantar até a extremidade do hálux, associada a parestesias, pode ser decorrente de compressão neurológica no tornozelo, podendo estar acometidos os nervos plantar lateral, calcâneo medial, plantares medial e tibial. A estrutura mais acometida é o nervo tibial posterior na região do tarso, caracterizando a síndrome do túnel do tarso.</w:t>
      </w:r>
    </w:p>
    <w:p>
      <w:pPr>
        <w:pStyle w:val="BodyText"/>
        <w:spacing w:line="278" w:lineRule="auto" w:before="49"/>
        <w:ind w:right="488"/>
      </w:pPr>
      <w:r>
        <w:rPr/>
        <w:t>A dor nas pernas, principalmente nas panturrilhas, com piora no final do dia ou à noite, melhora com a movimentação e piora durante o repouso. Associada a parestesias e inquietação nas pernas, com verdadeira compulsão para movimentá-las, pode estar associada à síndrome das pernas irrequietas. Há incidência familiar e o diagnóstico</w:t>
      </w:r>
      <w:r>
        <w:rPr>
          <w:spacing w:val="-1"/>
        </w:rPr>
        <w:t> </w:t>
      </w:r>
      <w:r>
        <w:rPr/>
        <w:t>é</w:t>
      </w:r>
      <w:r>
        <w:rPr>
          <w:spacing w:val="-3"/>
        </w:rPr>
        <w:t> </w:t>
      </w:r>
      <w:r>
        <w:rPr/>
        <w:t>confirmado</w:t>
      </w:r>
      <w:r>
        <w:rPr>
          <w:spacing w:val="-1"/>
        </w:rPr>
        <w:t> </w:t>
      </w:r>
      <w:r>
        <w:rPr/>
        <w:t>durante</w:t>
      </w:r>
      <w:r>
        <w:rPr>
          <w:spacing w:val="-3"/>
        </w:rPr>
        <w:t> </w:t>
      </w:r>
      <w:r>
        <w:rPr/>
        <w:t>a</w:t>
      </w:r>
      <w:r>
        <w:rPr>
          <w:spacing w:val="-3"/>
        </w:rPr>
        <w:t> </w:t>
      </w:r>
      <w:r>
        <w:rPr/>
        <w:t>polissonografia, exame</w:t>
      </w:r>
      <w:r>
        <w:rPr>
          <w:spacing w:val="-3"/>
        </w:rPr>
        <w:t> </w:t>
      </w:r>
      <w:r>
        <w:rPr/>
        <w:t>para</w:t>
      </w:r>
      <w:r>
        <w:rPr>
          <w:spacing w:val="-3"/>
        </w:rPr>
        <w:t> </w:t>
      </w:r>
      <w:r>
        <w:rPr/>
        <w:t>estudo</w:t>
      </w:r>
      <w:r>
        <w:rPr>
          <w:spacing w:val="-1"/>
        </w:rPr>
        <w:t> </w:t>
      </w:r>
      <w:r>
        <w:rPr/>
        <w:t>detalhado</w:t>
      </w:r>
      <w:r>
        <w:rPr>
          <w:spacing w:val="-1"/>
        </w:rPr>
        <w:t> </w:t>
      </w:r>
      <w:r>
        <w:rPr/>
        <w:t>do</w:t>
      </w:r>
      <w:r>
        <w:rPr>
          <w:spacing w:val="-1"/>
        </w:rPr>
        <w:t> </w:t>
      </w:r>
      <w:r>
        <w:rPr/>
        <w:t>período</w:t>
      </w:r>
      <w:r>
        <w:rPr>
          <w:spacing w:val="-1"/>
        </w:rPr>
        <w:t> </w:t>
      </w:r>
      <w:r>
        <w:rPr/>
        <w:t>de</w:t>
      </w:r>
      <w:r>
        <w:rPr>
          <w:spacing w:val="-3"/>
        </w:rPr>
        <w:t> </w:t>
      </w:r>
      <w:r>
        <w:rPr/>
        <w:t>sono, constatando-se</w:t>
      </w:r>
      <w:r>
        <w:rPr>
          <w:spacing w:val="-5"/>
        </w:rPr>
        <w:t> </w:t>
      </w:r>
      <w:r>
        <w:rPr/>
        <w:t>movimentos característicos durante</w:t>
      </w:r>
      <w:r>
        <w:rPr>
          <w:spacing w:val="-5"/>
        </w:rPr>
        <w:t> </w:t>
      </w:r>
      <w:r>
        <w:rPr/>
        <w:t>a</w:t>
      </w:r>
      <w:r>
        <w:rPr>
          <w:spacing w:val="-5"/>
        </w:rPr>
        <w:t> </w:t>
      </w:r>
      <w:r>
        <w:rPr/>
        <w:t>fase</w:t>
      </w:r>
      <w:r>
        <w:rPr>
          <w:spacing w:val="-5"/>
        </w:rPr>
        <w:t> </w:t>
      </w:r>
      <w:r>
        <w:rPr/>
        <w:t>de</w:t>
      </w:r>
      <w:r>
        <w:rPr>
          <w:spacing w:val="-5"/>
        </w:rPr>
        <w:t> </w:t>
      </w:r>
      <w:r>
        <w:rPr/>
        <w:t>movimentos oculares não</w:t>
      </w:r>
      <w:r>
        <w:rPr>
          <w:spacing w:val="-3"/>
        </w:rPr>
        <w:t> </w:t>
      </w:r>
      <w:r>
        <w:rPr/>
        <w:t>rápidos (NREM, do</w:t>
      </w:r>
      <w:r>
        <w:rPr>
          <w:spacing w:val="-3"/>
        </w:rPr>
        <w:t> </w:t>
      </w:r>
      <w:r>
        <w:rPr/>
        <w:t>inglês, </w:t>
      </w:r>
      <w:r>
        <w:rPr>
          <w:i/>
        </w:rPr>
        <w:t>nonrapid</w:t>
      </w:r>
      <w:r>
        <w:rPr>
          <w:i/>
          <w:spacing w:val="-6"/>
        </w:rPr>
        <w:t> </w:t>
      </w:r>
      <w:r>
        <w:rPr>
          <w:i/>
        </w:rPr>
        <w:t>eye movements</w:t>
      </w:r>
      <w:r>
        <w:rPr/>
        <w:t>)</w:t>
      </w:r>
      <w:r>
        <w:rPr>
          <w:spacing w:val="-7"/>
        </w:rPr>
        <w:t> </w:t>
      </w:r>
      <w:r>
        <w:rPr/>
        <w:t>do</w:t>
      </w:r>
      <w:r>
        <w:rPr>
          <w:spacing w:val="-12"/>
        </w:rPr>
        <w:t> </w:t>
      </w:r>
      <w:r>
        <w:rPr/>
        <w:t>sono.</w:t>
      </w:r>
      <w:r>
        <w:rPr>
          <w:vertAlign w:val="superscript"/>
        </w:rPr>
        <w:t>5</w:t>
      </w:r>
      <w:r>
        <w:rPr>
          <w:vertAlign w:val="baseline"/>
        </w:rPr>
        <w:t> Alguns pacientes apresentam</w:t>
      </w:r>
      <w:r>
        <w:rPr>
          <w:spacing w:val="-7"/>
          <w:vertAlign w:val="baseline"/>
        </w:rPr>
        <w:t> </w:t>
      </w:r>
      <w:r>
        <w:rPr>
          <w:vertAlign w:val="baseline"/>
        </w:rPr>
        <w:t>deficiência</w:t>
      </w:r>
      <w:r>
        <w:rPr>
          <w:spacing w:val="-9"/>
          <w:vertAlign w:val="baseline"/>
        </w:rPr>
        <w:t> </w:t>
      </w:r>
      <w:r>
        <w:rPr>
          <w:vertAlign w:val="baseline"/>
        </w:rPr>
        <w:t>de</w:t>
      </w:r>
      <w:r>
        <w:rPr>
          <w:spacing w:val="-9"/>
          <w:vertAlign w:val="baseline"/>
        </w:rPr>
        <w:t> </w:t>
      </w:r>
      <w:r>
        <w:rPr>
          <w:vertAlign w:val="baseline"/>
        </w:rPr>
        <w:t>ferro, com</w:t>
      </w:r>
      <w:r>
        <w:rPr>
          <w:spacing w:val="-7"/>
          <w:vertAlign w:val="baseline"/>
        </w:rPr>
        <w:t> </w:t>
      </w:r>
      <w:r>
        <w:rPr>
          <w:vertAlign w:val="baseline"/>
        </w:rPr>
        <w:t>melhora</w:t>
      </w:r>
      <w:r>
        <w:rPr>
          <w:spacing w:val="-9"/>
          <w:vertAlign w:val="baseline"/>
        </w:rPr>
        <w:t> </w:t>
      </w:r>
      <w:r>
        <w:rPr>
          <w:vertAlign w:val="baseline"/>
        </w:rPr>
        <w:t>acentuada</w:t>
      </w:r>
      <w:r>
        <w:rPr>
          <w:spacing w:val="-9"/>
          <w:vertAlign w:val="baseline"/>
        </w:rPr>
        <w:t> </w:t>
      </w:r>
      <w:r>
        <w:rPr>
          <w:vertAlign w:val="baseline"/>
        </w:rPr>
        <w:t>quando</w:t>
      </w:r>
      <w:r>
        <w:rPr>
          <w:spacing w:val="-6"/>
          <w:vertAlign w:val="baseline"/>
        </w:rPr>
        <w:t> </w:t>
      </w:r>
      <w:r>
        <w:rPr>
          <w:vertAlign w:val="baseline"/>
        </w:rPr>
        <w:t>realizada</w:t>
      </w:r>
      <w:r>
        <w:rPr>
          <w:spacing w:val="-9"/>
          <w:vertAlign w:val="baseline"/>
        </w:rPr>
        <w:t> </w:t>
      </w:r>
      <w:r>
        <w:rPr>
          <w:vertAlign w:val="baseline"/>
        </w:rPr>
        <w:t>a sua reposição.</w:t>
      </w:r>
    </w:p>
    <w:p>
      <w:pPr>
        <w:pStyle w:val="BodyText"/>
        <w:spacing w:line="280" w:lineRule="auto" w:before="63"/>
        <w:ind w:right="491"/>
      </w:pPr>
      <w:r>
        <w:rPr/>
        <w:t>Durante a noite também podem ocorrer cãibras nas panturrilhas, que melhoram ao assumir a ortostase, algo muito frequente em pacientes idosos, e extremamente incômodo. As cãibras podem, em alguns pacientes, estar associadas</w:t>
      </w:r>
      <w:r>
        <w:rPr>
          <w:spacing w:val="-2"/>
        </w:rPr>
        <w:t> </w:t>
      </w:r>
      <w:r>
        <w:rPr/>
        <w:t>ao</w:t>
      </w:r>
      <w:r>
        <w:rPr>
          <w:spacing w:val="-10"/>
        </w:rPr>
        <w:t> </w:t>
      </w:r>
      <w:r>
        <w:rPr/>
        <w:t>uso</w:t>
      </w:r>
      <w:r>
        <w:rPr>
          <w:spacing w:val="-10"/>
        </w:rPr>
        <w:t> </w:t>
      </w:r>
      <w:r>
        <w:rPr/>
        <w:t>de</w:t>
      </w:r>
      <w:r>
        <w:rPr>
          <w:spacing w:val="-12"/>
        </w:rPr>
        <w:t> </w:t>
      </w:r>
      <w:r>
        <w:rPr/>
        <w:t>medicação</w:t>
      </w:r>
      <w:r>
        <w:rPr>
          <w:spacing w:val="-10"/>
        </w:rPr>
        <w:t> </w:t>
      </w:r>
      <w:r>
        <w:rPr/>
        <w:t>causadora</w:t>
      </w:r>
      <w:r>
        <w:rPr>
          <w:spacing w:val="-12"/>
        </w:rPr>
        <w:t> </w:t>
      </w:r>
      <w:r>
        <w:rPr/>
        <w:t>de</w:t>
      </w:r>
      <w:r>
        <w:rPr>
          <w:spacing w:val="-12"/>
        </w:rPr>
        <w:t> </w:t>
      </w:r>
      <w:r>
        <w:rPr/>
        <w:t>hipocalemia,</w:t>
      </w:r>
      <w:r>
        <w:rPr>
          <w:spacing w:val="-2"/>
        </w:rPr>
        <w:t> </w:t>
      </w:r>
      <w:r>
        <w:rPr/>
        <w:t>ou</w:t>
      </w:r>
      <w:r>
        <w:rPr>
          <w:spacing w:val="-10"/>
        </w:rPr>
        <w:t> </w:t>
      </w:r>
      <w:r>
        <w:rPr/>
        <w:t>mais</w:t>
      </w:r>
      <w:r>
        <w:rPr>
          <w:spacing w:val="-2"/>
        </w:rPr>
        <w:t> </w:t>
      </w:r>
      <w:r>
        <w:rPr/>
        <w:t>frequentemente</w:t>
      </w:r>
      <w:r>
        <w:rPr>
          <w:spacing w:val="-12"/>
        </w:rPr>
        <w:t> </w:t>
      </w:r>
      <w:r>
        <w:rPr/>
        <w:t>não</w:t>
      </w:r>
      <w:r>
        <w:rPr>
          <w:spacing w:val="-10"/>
        </w:rPr>
        <w:t> </w:t>
      </w:r>
      <w:r>
        <w:rPr/>
        <w:t>se</w:t>
      </w:r>
      <w:r>
        <w:rPr>
          <w:spacing w:val="-12"/>
        </w:rPr>
        <w:t> </w:t>
      </w:r>
      <w:r>
        <w:rPr/>
        <w:t>identifica</w:t>
      </w:r>
      <w:r>
        <w:rPr>
          <w:spacing w:val="-12"/>
        </w:rPr>
        <w:t> </w:t>
      </w:r>
      <w:r>
        <w:rPr/>
        <w:t>nenhuma</w:t>
      </w:r>
      <w:r>
        <w:rPr>
          <w:spacing w:val="-12"/>
        </w:rPr>
        <w:t> </w:t>
      </w:r>
      <w:r>
        <w:rPr/>
        <w:t>causa associada. Os pacientes apresentam boa melhora com o uso de quinidina.</w:t>
      </w:r>
      <w:r>
        <w:rPr>
          <w:vertAlign w:val="superscript"/>
        </w:rPr>
        <w:t>6</w:t>
      </w:r>
    </w:p>
    <w:p>
      <w:pPr>
        <w:pStyle w:val="BodyText"/>
        <w:spacing w:line="276" w:lineRule="auto" w:before="43"/>
        <w:ind w:right="488"/>
      </w:pPr>
      <w:r>
        <w:rPr/>
        <w:t>Nas fases iniciais da neuropatia periférica (diabetes, alcoolismo, intoxicação por metais pesados etc.) pode ocorrer uma situação de hiperestesia e parestesias, com aparecimento de sintomas incômodos e de difícil caracterização</w:t>
      </w:r>
      <w:r>
        <w:rPr>
          <w:spacing w:val="-5"/>
        </w:rPr>
        <w:t> </w:t>
      </w:r>
      <w:r>
        <w:rPr/>
        <w:t>pelo</w:t>
      </w:r>
      <w:r>
        <w:rPr>
          <w:spacing w:val="-5"/>
        </w:rPr>
        <w:t> </w:t>
      </w:r>
      <w:r>
        <w:rPr/>
        <w:t>paciente, como</w:t>
      </w:r>
      <w:r>
        <w:rPr>
          <w:spacing w:val="-5"/>
        </w:rPr>
        <w:t> </w:t>
      </w:r>
      <w:r>
        <w:rPr/>
        <w:t>sensações de</w:t>
      </w:r>
      <w:r>
        <w:rPr>
          <w:spacing w:val="-8"/>
        </w:rPr>
        <w:t> </w:t>
      </w:r>
      <w:r>
        <w:rPr/>
        <w:t>formigamento, choques, queimação. Diante</w:t>
      </w:r>
      <w:r>
        <w:rPr>
          <w:spacing w:val="-8"/>
        </w:rPr>
        <w:t> </w:t>
      </w:r>
      <w:r>
        <w:rPr/>
        <w:t>desses sintomas deve-se estar sempre atento à possibilidade de o paciente ter um quadro inicial de neuropatia periférica.</w:t>
      </w:r>
    </w:p>
    <w:p>
      <w:pPr>
        <w:pStyle w:val="BodyText"/>
        <w:spacing w:line="276" w:lineRule="auto"/>
        <w:ind w:right="497"/>
      </w:pPr>
      <w:r>
        <w:rPr/>
        <w:t>A</w:t>
      </w:r>
      <w:r>
        <w:rPr>
          <w:spacing w:val="-2"/>
        </w:rPr>
        <w:t> </w:t>
      </w:r>
      <w:r>
        <w:rPr/>
        <w:t>dor em panturrilha</w:t>
      </w:r>
      <w:r>
        <w:rPr>
          <w:spacing w:val="-2"/>
        </w:rPr>
        <w:t> </w:t>
      </w:r>
      <w:r>
        <w:rPr/>
        <w:t>com característica</w:t>
      </w:r>
      <w:r>
        <w:rPr>
          <w:spacing w:val="-2"/>
        </w:rPr>
        <w:t> </w:t>
      </w:r>
      <w:r>
        <w:rPr/>
        <w:t>de</w:t>
      </w:r>
      <w:r>
        <w:rPr>
          <w:spacing w:val="-2"/>
        </w:rPr>
        <w:t> </w:t>
      </w:r>
      <w:r>
        <w:rPr/>
        <w:t>peso ou cansaço, principalmente</w:t>
      </w:r>
      <w:r>
        <w:rPr>
          <w:spacing w:val="-2"/>
        </w:rPr>
        <w:t> </w:t>
      </w:r>
      <w:r>
        <w:rPr/>
        <w:t>no final do dia</w:t>
      </w:r>
      <w:r>
        <w:rPr>
          <w:spacing w:val="-2"/>
        </w:rPr>
        <w:t> </w:t>
      </w:r>
      <w:r>
        <w:rPr/>
        <w:t>e</w:t>
      </w:r>
      <w:r>
        <w:rPr>
          <w:spacing w:val="-2"/>
        </w:rPr>
        <w:t> </w:t>
      </w:r>
      <w:r>
        <w:rPr/>
        <w:t>melhora</w:t>
      </w:r>
      <w:r>
        <w:rPr>
          <w:spacing w:val="-2"/>
        </w:rPr>
        <w:t> </w:t>
      </w:r>
      <w:r>
        <w:rPr/>
        <w:t>ao elevar os membros inferiores, associada</w:t>
      </w:r>
      <w:r>
        <w:rPr>
          <w:spacing w:val="-6"/>
        </w:rPr>
        <w:t> </w:t>
      </w:r>
      <w:r>
        <w:rPr/>
        <w:t>ou</w:t>
      </w:r>
      <w:r>
        <w:rPr>
          <w:spacing w:val="-2"/>
        </w:rPr>
        <w:t> </w:t>
      </w:r>
      <w:r>
        <w:rPr/>
        <w:t>não</w:t>
      </w:r>
      <w:r>
        <w:rPr>
          <w:spacing w:val="-2"/>
        </w:rPr>
        <w:t> </w:t>
      </w:r>
      <w:r>
        <w:rPr/>
        <w:t>a</w:t>
      </w:r>
      <w:r>
        <w:rPr>
          <w:spacing w:val="-6"/>
        </w:rPr>
        <w:t> </w:t>
      </w:r>
      <w:r>
        <w:rPr/>
        <w:t>edema, é</w:t>
      </w:r>
      <w:r>
        <w:rPr>
          <w:spacing w:val="-6"/>
        </w:rPr>
        <w:t> </w:t>
      </w:r>
      <w:r>
        <w:rPr/>
        <w:t>comum</w:t>
      </w:r>
      <w:r>
        <w:rPr>
          <w:spacing w:val="-2"/>
        </w:rPr>
        <w:t> </w:t>
      </w:r>
      <w:r>
        <w:rPr/>
        <w:t>no</w:t>
      </w:r>
      <w:r>
        <w:rPr>
          <w:spacing w:val="-2"/>
        </w:rPr>
        <w:t> </w:t>
      </w:r>
      <w:r>
        <w:rPr/>
        <w:t>paciente</w:t>
      </w:r>
      <w:r>
        <w:rPr>
          <w:spacing w:val="-6"/>
        </w:rPr>
        <w:t> </w:t>
      </w:r>
      <w:r>
        <w:rPr/>
        <w:t>com</w:t>
      </w:r>
      <w:r>
        <w:rPr>
          <w:spacing w:val="-2"/>
        </w:rPr>
        <w:t> </w:t>
      </w:r>
      <w:r>
        <w:rPr/>
        <w:t>insuficiência</w:t>
      </w:r>
      <w:r>
        <w:rPr>
          <w:spacing w:val="-6"/>
        </w:rPr>
        <w:t> </w:t>
      </w:r>
      <w:r>
        <w:rPr/>
        <w:t>venosa. Na</w:t>
      </w:r>
      <w:r>
        <w:rPr>
          <w:spacing w:val="-6"/>
        </w:rPr>
        <w:t> </w:t>
      </w:r>
      <w:r>
        <w:rPr/>
        <w:t>fisiologia</w:t>
      </w:r>
      <w:r>
        <w:rPr>
          <w:spacing w:val="-6"/>
        </w:rPr>
        <w:t> </w:t>
      </w:r>
      <w:r>
        <w:rPr/>
        <w:t>do sistema venoso dos membros inferiores existem diversos mecanismos que possibilitam o retorno do sangue ao coração, mesmo</w:t>
      </w:r>
      <w:r>
        <w:rPr>
          <w:spacing w:val="-5"/>
        </w:rPr>
        <w:t> </w:t>
      </w:r>
      <w:r>
        <w:rPr/>
        <w:t>durante</w:t>
      </w:r>
      <w:r>
        <w:rPr>
          <w:spacing w:val="-8"/>
        </w:rPr>
        <w:t> </w:t>
      </w:r>
      <w:r>
        <w:rPr/>
        <w:t>a</w:t>
      </w:r>
      <w:r>
        <w:rPr>
          <w:spacing w:val="-8"/>
        </w:rPr>
        <w:t> </w:t>
      </w:r>
      <w:r>
        <w:rPr/>
        <w:t>deambulação. Todos esses mecanismos dependem</w:t>
      </w:r>
      <w:r>
        <w:rPr>
          <w:spacing w:val="-5"/>
        </w:rPr>
        <w:t> </w:t>
      </w:r>
      <w:r>
        <w:rPr/>
        <w:t>da</w:t>
      </w:r>
      <w:r>
        <w:rPr>
          <w:spacing w:val="-8"/>
        </w:rPr>
        <w:t> </w:t>
      </w:r>
      <w:r>
        <w:rPr/>
        <w:t>integridade</w:t>
      </w:r>
      <w:r>
        <w:rPr>
          <w:spacing w:val="-8"/>
        </w:rPr>
        <w:t> </w:t>
      </w:r>
      <w:r>
        <w:rPr/>
        <w:t>do</w:t>
      </w:r>
      <w:r>
        <w:rPr>
          <w:spacing w:val="-5"/>
        </w:rPr>
        <w:t> </w:t>
      </w:r>
      <w:r>
        <w:rPr/>
        <w:t>sistema</w:t>
      </w:r>
      <w:r>
        <w:rPr>
          <w:spacing w:val="-8"/>
        </w:rPr>
        <w:t> </w:t>
      </w:r>
      <w:r>
        <w:rPr/>
        <w:t>venoso</w:t>
      </w:r>
      <w:r>
        <w:rPr>
          <w:spacing w:val="-5"/>
        </w:rPr>
        <w:t> </w:t>
      </w:r>
      <w:r>
        <w:rPr/>
        <w:t>e</w:t>
      </w:r>
      <w:r>
        <w:rPr>
          <w:spacing w:val="-8"/>
        </w:rPr>
        <w:t> </w:t>
      </w:r>
      <w:r>
        <w:rPr/>
        <w:t>da perfeita movimentação dos músculos das pernas e pés, de tal modo que, se na posição em pé, parados, haverá bloqueio do retorno venoso, e a pressão venosa no dorso do pé iguala-se à pressão da coluna de sangue até o átrio direito, cerca de 90 mmHg. Quando se inicia a deambulação, a contração da panturrilha, acoplada ao sistema de valvas venosas, promove</w:t>
      </w:r>
      <w:r>
        <w:rPr>
          <w:spacing w:val="-5"/>
        </w:rPr>
        <w:t> </w:t>
      </w:r>
      <w:r>
        <w:rPr/>
        <w:t>o</w:t>
      </w:r>
      <w:r>
        <w:rPr>
          <w:spacing w:val="-3"/>
        </w:rPr>
        <w:t> </w:t>
      </w:r>
      <w:r>
        <w:rPr/>
        <w:t>retorno</w:t>
      </w:r>
      <w:r>
        <w:rPr>
          <w:spacing w:val="-3"/>
        </w:rPr>
        <w:t> </w:t>
      </w:r>
      <w:r>
        <w:rPr/>
        <w:t>sanguíneo</w:t>
      </w:r>
      <w:r>
        <w:rPr>
          <w:spacing w:val="-3"/>
        </w:rPr>
        <w:t> </w:t>
      </w:r>
      <w:r>
        <w:rPr/>
        <w:t>contra</w:t>
      </w:r>
      <w:r>
        <w:rPr>
          <w:spacing w:val="-5"/>
        </w:rPr>
        <w:t> </w:t>
      </w:r>
      <w:r>
        <w:rPr/>
        <w:t>a</w:t>
      </w:r>
      <w:r>
        <w:rPr>
          <w:spacing w:val="-5"/>
        </w:rPr>
        <w:t> </w:t>
      </w:r>
      <w:r>
        <w:rPr/>
        <w:t>ação</w:t>
      </w:r>
      <w:r>
        <w:rPr>
          <w:spacing w:val="-3"/>
        </w:rPr>
        <w:t> </w:t>
      </w:r>
      <w:r>
        <w:rPr/>
        <w:t>da</w:t>
      </w:r>
      <w:r>
        <w:rPr>
          <w:spacing w:val="-5"/>
        </w:rPr>
        <w:t> </w:t>
      </w:r>
      <w:r>
        <w:rPr/>
        <w:t>gravidade, diminuindo</w:t>
      </w:r>
      <w:r>
        <w:rPr>
          <w:spacing w:val="-3"/>
        </w:rPr>
        <w:t> </w:t>
      </w:r>
      <w:r>
        <w:rPr/>
        <w:t>a</w:t>
      </w:r>
      <w:r>
        <w:rPr>
          <w:spacing w:val="-5"/>
        </w:rPr>
        <w:t> </w:t>
      </w:r>
      <w:r>
        <w:rPr/>
        <w:t>pressão</w:t>
      </w:r>
      <w:r>
        <w:rPr>
          <w:spacing w:val="-3"/>
        </w:rPr>
        <w:t> </w:t>
      </w:r>
      <w:r>
        <w:rPr/>
        <w:t>venosa</w:t>
      </w:r>
      <w:r>
        <w:rPr>
          <w:spacing w:val="-5"/>
        </w:rPr>
        <w:t> </w:t>
      </w:r>
      <w:r>
        <w:rPr/>
        <w:t>no</w:t>
      </w:r>
      <w:r>
        <w:rPr>
          <w:spacing w:val="-3"/>
        </w:rPr>
        <w:t> </w:t>
      </w:r>
      <w:r>
        <w:rPr/>
        <w:t>dorso</w:t>
      </w:r>
      <w:r>
        <w:rPr>
          <w:spacing w:val="-3"/>
        </w:rPr>
        <w:t> </w:t>
      </w:r>
      <w:r>
        <w:rPr/>
        <w:t>do pé para 20 mmHg. Esta medida é chamada de pressão venosa deambulatória. Qualquer falha nesse mecanismo (alterações do sistema venoso, musculoesquelético ou do padrão de atividade) pode ocasionar graus diferentes de aumento da</w:t>
      </w:r>
      <w:r>
        <w:rPr>
          <w:spacing w:val="-2"/>
        </w:rPr>
        <w:t> </w:t>
      </w:r>
      <w:r>
        <w:rPr/>
        <w:t>pressão venosa</w:t>
      </w:r>
      <w:r>
        <w:rPr>
          <w:spacing w:val="-2"/>
        </w:rPr>
        <w:t> </w:t>
      </w:r>
      <w:r>
        <w:rPr/>
        <w:t>deambulatória</w:t>
      </w:r>
      <w:r>
        <w:rPr>
          <w:spacing w:val="-2"/>
        </w:rPr>
        <w:t> </w:t>
      </w:r>
      <w:r>
        <w:rPr/>
        <w:t>bem como graus diferentes de</w:t>
      </w:r>
      <w:r>
        <w:rPr>
          <w:spacing w:val="-2"/>
        </w:rPr>
        <w:t> </w:t>
      </w:r>
      <w:r>
        <w:rPr/>
        <w:t>sintomatologia</w:t>
      </w:r>
      <w:r>
        <w:rPr>
          <w:spacing w:val="-2"/>
        </w:rPr>
        <w:t> </w:t>
      </w:r>
      <w:r>
        <w:rPr/>
        <w:t>nos indivíduos.</w:t>
      </w:r>
    </w:p>
    <w:p>
      <w:pPr>
        <w:pStyle w:val="BodyText"/>
        <w:spacing w:line="276" w:lineRule="auto" w:before="50"/>
        <w:ind w:right="491"/>
      </w:pPr>
      <w:r>
        <w:rPr/>
        <w:t>Quando obtida a história clínica do paciente com algia nos membros inferiores, deve-se avaliar se não ocorreu piora</w:t>
      </w:r>
      <w:r>
        <w:rPr>
          <w:spacing w:val="-2"/>
        </w:rPr>
        <w:t> </w:t>
      </w:r>
      <w:r>
        <w:rPr/>
        <w:t>após diminuição da</w:t>
      </w:r>
      <w:r>
        <w:rPr>
          <w:spacing w:val="-2"/>
        </w:rPr>
        <w:t> </w:t>
      </w:r>
      <w:r>
        <w:rPr/>
        <w:t>movimentação diária, isto é, mudança</w:t>
      </w:r>
      <w:r>
        <w:rPr>
          <w:spacing w:val="-2"/>
        </w:rPr>
        <w:t> </w:t>
      </w:r>
      <w:r>
        <w:rPr/>
        <w:t>no padrão de</w:t>
      </w:r>
      <w:r>
        <w:rPr>
          <w:spacing w:val="-2"/>
        </w:rPr>
        <w:t> </w:t>
      </w:r>
      <w:r>
        <w:rPr/>
        <w:t>atividade, com o paciente</w:t>
      </w:r>
      <w:r>
        <w:rPr>
          <w:spacing w:val="-2"/>
        </w:rPr>
        <w:t> </w:t>
      </w:r>
      <w:r>
        <w:rPr/>
        <w:t>assumindo</w:t>
      </w:r>
    </w:p>
    <w:p>
      <w:pPr>
        <w:pStyle w:val="BodyText"/>
        <w:spacing w:after="0" w:line="276" w:lineRule="auto"/>
        <w:sectPr>
          <w:type w:val="continuous"/>
          <w:pgSz w:w="11900" w:h="16840"/>
          <w:pgMar w:top="260" w:bottom="280" w:left="566" w:right="141"/>
        </w:sectPr>
      </w:pPr>
    </w:p>
    <w:p>
      <w:pPr>
        <w:pStyle w:val="BodyText"/>
        <w:spacing w:line="280" w:lineRule="auto" w:before="70"/>
        <w:ind w:right="497" w:firstLine="0"/>
      </w:pPr>
      <w:r>
        <w:rPr/>
        <w:t>mais a ortostase e realizando menos exercícios e caminhadas. É muito frequente que a dor característica de insuficiência</w:t>
      </w:r>
      <w:r>
        <w:rPr>
          <w:spacing w:val="-1"/>
        </w:rPr>
        <w:t> </w:t>
      </w:r>
      <w:r>
        <w:rPr/>
        <w:t>venosa</w:t>
      </w:r>
      <w:r>
        <w:rPr>
          <w:spacing w:val="-1"/>
        </w:rPr>
        <w:t> </w:t>
      </w:r>
      <w:r>
        <w:rPr/>
        <w:t>inicie</w:t>
      </w:r>
      <w:r>
        <w:rPr>
          <w:spacing w:val="-1"/>
        </w:rPr>
        <w:t> </w:t>
      </w:r>
      <w:r>
        <w:rPr/>
        <w:t>dessa</w:t>
      </w:r>
      <w:r>
        <w:rPr>
          <w:spacing w:val="-1"/>
        </w:rPr>
        <w:t> </w:t>
      </w:r>
      <w:r>
        <w:rPr/>
        <w:t>maneira, quando o paciente</w:t>
      </w:r>
      <w:r>
        <w:rPr>
          <w:spacing w:val="-1"/>
        </w:rPr>
        <w:t> </w:t>
      </w:r>
      <w:r>
        <w:rPr/>
        <w:t>em estágios iniciais da</w:t>
      </w:r>
      <w:r>
        <w:rPr>
          <w:spacing w:val="-1"/>
        </w:rPr>
        <w:t> </w:t>
      </w:r>
      <w:r>
        <w:rPr/>
        <w:t>doença, por motivos diversos, para</w:t>
      </w:r>
      <w:r>
        <w:rPr>
          <w:spacing w:val="-6"/>
        </w:rPr>
        <w:t> </w:t>
      </w:r>
      <w:r>
        <w:rPr/>
        <w:t>de</w:t>
      </w:r>
      <w:r>
        <w:rPr>
          <w:spacing w:val="-6"/>
        </w:rPr>
        <w:t> </w:t>
      </w:r>
      <w:r>
        <w:rPr/>
        <w:t>realizar atividades físicas rotineiras. Ao</w:t>
      </w:r>
      <w:r>
        <w:rPr>
          <w:spacing w:val="-4"/>
        </w:rPr>
        <w:t> </w:t>
      </w:r>
      <w:r>
        <w:rPr/>
        <w:t>retomar essas atividades, ele</w:t>
      </w:r>
      <w:r>
        <w:rPr>
          <w:spacing w:val="-6"/>
        </w:rPr>
        <w:t> </w:t>
      </w:r>
      <w:r>
        <w:rPr/>
        <w:t>nota</w:t>
      </w:r>
      <w:r>
        <w:rPr>
          <w:spacing w:val="-6"/>
        </w:rPr>
        <w:t> </w:t>
      </w:r>
      <w:r>
        <w:rPr/>
        <w:t>melhora</w:t>
      </w:r>
      <w:r>
        <w:rPr>
          <w:spacing w:val="-6"/>
        </w:rPr>
        <w:t> </w:t>
      </w:r>
      <w:r>
        <w:rPr/>
        <w:t>da</w:t>
      </w:r>
      <w:r>
        <w:rPr>
          <w:spacing w:val="-6"/>
        </w:rPr>
        <w:t> </w:t>
      </w:r>
      <w:r>
        <w:rPr/>
        <w:t>sintomatologia. Pode ocorrer melhora com a movimentação das pernas, mas não há compulsão neste sentido, como na síndrome das pernas irrequietas.</w:t>
      </w:r>
      <w:r>
        <w:rPr>
          <w:vertAlign w:val="superscript"/>
        </w:rPr>
        <w:t>7</w:t>
      </w:r>
    </w:p>
    <w:p>
      <w:pPr>
        <w:pStyle w:val="BodyText"/>
        <w:spacing w:line="276" w:lineRule="auto" w:before="54"/>
        <w:ind w:right="498"/>
      </w:pPr>
      <w:r>
        <w:rPr/>
        <w:t>Por outro lado, em pacientes com insuficiência arterial (obstrução ou estenoses de artérias dos membros inferiores), ocorre dor na panturrilha ao deambular, com início após certa distância, e há piora progressiva, impossibilitando a continuação da marcha; o indivíduo é obrigado a parar de andar, cessando a dor cerca de 1 min após, podendo o paciente deambular novamente. Esse tipo de dor é conhecido como claudicação intermitente e constitui sintoma patognomônico de insuficiência arterial crônica nos membros inferiores.</w:t>
      </w:r>
    </w:p>
    <w:p>
      <w:pPr>
        <w:pStyle w:val="BodyText"/>
        <w:spacing w:line="276" w:lineRule="auto" w:before="49"/>
        <w:ind w:right="491"/>
      </w:pPr>
      <w:r>
        <w:rPr/>
        <w:t>Na fisiologia do sistema arterial dos membros inferiores, há um contínuo bombeamento de sangue, levando nutrientes e oxigênio e retirando diversos catabólitos dos músculos. Durante a atividade física, há maior aporte sanguíneo, em decorrência de vasodilatação do território arterial muscular. Com graus progressivos de esforço, ocorre o aumento gradual no fluxo arterial usual da artéria femoral. Portanto, nos pacientes com insuficiência arterial dos membros inferiores, a dor ao deambular se deve à impossibilidade de aumentar o fluxo arterial em relação</w:t>
      </w:r>
      <w:r>
        <w:rPr>
          <w:spacing w:val="-2"/>
        </w:rPr>
        <w:t> </w:t>
      </w:r>
      <w:r>
        <w:rPr/>
        <w:t>ao</w:t>
      </w:r>
      <w:r>
        <w:rPr>
          <w:spacing w:val="-2"/>
        </w:rPr>
        <w:t> </w:t>
      </w:r>
      <w:r>
        <w:rPr/>
        <w:t>fluxo</w:t>
      </w:r>
      <w:r>
        <w:rPr>
          <w:spacing w:val="-2"/>
        </w:rPr>
        <w:t> </w:t>
      </w:r>
      <w:r>
        <w:rPr/>
        <w:t>basal daquele</w:t>
      </w:r>
      <w:r>
        <w:rPr>
          <w:spacing w:val="-5"/>
        </w:rPr>
        <w:t> </w:t>
      </w:r>
      <w:r>
        <w:rPr/>
        <w:t>membro. A</w:t>
      </w:r>
      <w:r>
        <w:rPr>
          <w:spacing w:val="-5"/>
        </w:rPr>
        <w:t> </w:t>
      </w:r>
      <w:r>
        <w:rPr/>
        <w:t>intensidade</w:t>
      </w:r>
      <w:r>
        <w:rPr>
          <w:spacing w:val="-5"/>
        </w:rPr>
        <w:t> </w:t>
      </w:r>
      <w:r>
        <w:rPr/>
        <w:t>dos sintomas varia</w:t>
      </w:r>
      <w:r>
        <w:rPr>
          <w:spacing w:val="-5"/>
        </w:rPr>
        <w:t> </w:t>
      </w:r>
      <w:r>
        <w:rPr/>
        <w:t>conforme</w:t>
      </w:r>
      <w:r>
        <w:rPr>
          <w:spacing w:val="-5"/>
        </w:rPr>
        <w:t> </w:t>
      </w:r>
      <w:r>
        <w:rPr/>
        <w:t>o</w:t>
      </w:r>
      <w:r>
        <w:rPr>
          <w:spacing w:val="-2"/>
        </w:rPr>
        <w:t> </w:t>
      </w:r>
      <w:r>
        <w:rPr/>
        <w:t>grau</w:t>
      </w:r>
      <w:r>
        <w:rPr>
          <w:spacing w:val="-2"/>
        </w:rPr>
        <w:t> </w:t>
      </w:r>
      <w:r>
        <w:rPr/>
        <w:t>de</w:t>
      </w:r>
      <w:r>
        <w:rPr>
          <w:spacing w:val="-5"/>
        </w:rPr>
        <w:t> </w:t>
      </w:r>
      <w:r>
        <w:rPr/>
        <w:t>insuficiência</w:t>
      </w:r>
      <w:r>
        <w:rPr>
          <w:spacing w:val="-5"/>
        </w:rPr>
        <w:t> </w:t>
      </w:r>
      <w:r>
        <w:rPr/>
        <w:t>arterial. A vasodilatação no território muscular, desencadeada pela atividade física, associada à não elevação do fluxo sanguíneo decorrente de insuficiência arterial, leva ao desajuste entre o continente (sistema arterial) e o conteúdo (volume sanguíneo) no membro acometido. Esse desajuste é de tal monta que provoca queda acentuada na pressão arterial no nível do tornozelo para valores próximos de zero, momento em que o paciente refere a necessidade de parar a deambulação em decorrência de dor. Nos casos em que não há insuficiência arterial, mas o paciente apresenta dor ao deambular, não ocorre essa queda pressórica, devendo-se pesquisar outras causas.</w:t>
      </w:r>
    </w:p>
    <w:p>
      <w:pPr>
        <w:pStyle w:val="BodyText"/>
        <w:spacing w:line="276" w:lineRule="auto" w:before="66"/>
        <w:ind w:right="488"/>
      </w:pPr>
      <w:r>
        <w:rPr/>
        <w:t>O paciente com insuficiência arterial apresenta dor à deambulação com um padrão de distância fixa, e ela aparece</w:t>
      </w:r>
      <w:r>
        <w:rPr>
          <w:spacing w:val="-1"/>
        </w:rPr>
        <w:t> </w:t>
      </w:r>
      <w:r>
        <w:rPr/>
        <w:t>em distâncias mais curtas, quando ele</w:t>
      </w:r>
      <w:r>
        <w:rPr>
          <w:spacing w:val="-1"/>
        </w:rPr>
        <w:t> </w:t>
      </w:r>
      <w:r>
        <w:rPr/>
        <w:t>realiza</w:t>
      </w:r>
      <w:r>
        <w:rPr>
          <w:spacing w:val="-1"/>
        </w:rPr>
        <w:t> </w:t>
      </w:r>
      <w:r>
        <w:rPr/>
        <w:t>um esforço muscular maior (subidas, aumento de</w:t>
      </w:r>
      <w:r>
        <w:rPr>
          <w:spacing w:val="-1"/>
        </w:rPr>
        <w:t> </w:t>
      </w:r>
      <w:r>
        <w:rPr/>
        <w:t>velocidade da</w:t>
      </w:r>
      <w:r>
        <w:rPr>
          <w:spacing w:val="-11"/>
        </w:rPr>
        <w:t> </w:t>
      </w:r>
      <w:r>
        <w:rPr/>
        <w:t>marcha)</w:t>
      </w:r>
      <w:r>
        <w:rPr>
          <w:spacing w:val="-4"/>
        </w:rPr>
        <w:t> </w:t>
      </w:r>
      <w:r>
        <w:rPr/>
        <w:t>e</w:t>
      </w:r>
      <w:r>
        <w:rPr>
          <w:spacing w:val="-11"/>
        </w:rPr>
        <w:t> </w:t>
      </w:r>
      <w:r>
        <w:rPr/>
        <w:t>em</w:t>
      </w:r>
      <w:r>
        <w:rPr>
          <w:spacing w:val="-9"/>
        </w:rPr>
        <w:t> </w:t>
      </w:r>
      <w:r>
        <w:rPr/>
        <w:t>distâncias</w:t>
      </w:r>
      <w:r>
        <w:rPr>
          <w:spacing w:val="-1"/>
        </w:rPr>
        <w:t> </w:t>
      </w:r>
      <w:r>
        <w:rPr/>
        <w:t>mais</w:t>
      </w:r>
      <w:r>
        <w:rPr>
          <w:spacing w:val="-1"/>
        </w:rPr>
        <w:t> </w:t>
      </w:r>
      <w:r>
        <w:rPr/>
        <w:t>longas</w:t>
      </w:r>
      <w:r>
        <w:rPr>
          <w:spacing w:val="-1"/>
        </w:rPr>
        <w:t> </w:t>
      </w:r>
      <w:r>
        <w:rPr/>
        <w:t>ao</w:t>
      </w:r>
      <w:r>
        <w:rPr>
          <w:spacing w:val="-9"/>
        </w:rPr>
        <w:t> </w:t>
      </w:r>
      <w:r>
        <w:rPr/>
        <w:t>realizar</w:t>
      </w:r>
      <w:r>
        <w:rPr>
          <w:spacing w:val="-4"/>
        </w:rPr>
        <w:t> </w:t>
      </w:r>
      <w:r>
        <w:rPr/>
        <w:t>um</w:t>
      </w:r>
      <w:r>
        <w:rPr>
          <w:spacing w:val="-9"/>
        </w:rPr>
        <w:t> </w:t>
      </w:r>
      <w:r>
        <w:rPr/>
        <w:t>esforço</w:t>
      </w:r>
      <w:r>
        <w:rPr>
          <w:spacing w:val="-9"/>
        </w:rPr>
        <w:t> </w:t>
      </w:r>
      <w:r>
        <w:rPr/>
        <w:t>muscular</w:t>
      </w:r>
      <w:r>
        <w:rPr>
          <w:spacing w:val="-4"/>
        </w:rPr>
        <w:t> </w:t>
      </w:r>
      <w:r>
        <w:rPr/>
        <w:t>menor</w:t>
      </w:r>
      <w:r>
        <w:rPr>
          <w:spacing w:val="-4"/>
        </w:rPr>
        <w:t> </w:t>
      </w:r>
      <w:r>
        <w:rPr/>
        <w:t>(descidas,</w:t>
      </w:r>
      <w:r>
        <w:rPr>
          <w:spacing w:val="-1"/>
        </w:rPr>
        <w:t> </w:t>
      </w:r>
      <w:r>
        <w:rPr/>
        <w:t>diminuição</w:t>
      </w:r>
      <w:r>
        <w:rPr>
          <w:spacing w:val="-9"/>
        </w:rPr>
        <w:t> </w:t>
      </w:r>
      <w:r>
        <w:rPr/>
        <w:t>da</w:t>
      </w:r>
      <w:r>
        <w:rPr>
          <w:spacing w:val="-11"/>
        </w:rPr>
        <w:t> </w:t>
      </w:r>
      <w:r>
        <w:rPr/>
        <w:t>velocidade da marcha). Este padrão pode sofrer alteração, quando da piora da insuficiência arterial, passando o paciente a apresentar dor à</w:t>
      </w:r>
      <w:r>
        <w:rPr>
          <w:spacing w:val="-6"/>
        </w:rPr>
        <w:t> </w:t>
      </w:r>
      <w:r>
        <w:rPr/>
        <w:t>deambulação</w:t>
      </w:r>
      <w:r>
        <w:rPr>
          <w:spacing w:val="-3"/>
        </w:rPr>
        <w:t> </w:t>
      </w:r>
      <w:r>
        <w:rPr/>
        <w:t>em</w:t>
      </w:r>
      <w:r>
        <w:rPr>
          <w:spacing w:val="-3"/>
        </w:rPr>
        <w:t> </w:t>
      </w:r>
      <w:r>
        <w:rPr/>
        <w:t>distâncias mais curtas. Desse</w:t>
      </w:r>
      <w:r>
        <w:rPr>
          <w:spacing w:val="-6"/>
        </w:rPr>
        <w:t> </w:t>
      </w:r>
      <w:r>
        <w:rPr/>
        <w:t>modo, no</w:t>
      </w:r>
      <w:r>
        <w:rPr>
          <w:spacing w:val="-3"/>
        </w:rPr>
        <w:t> </w:t>
      </w:r>
      <w:r>
        <w:rPr/>
        <w:t>início, a</w:t>
      </w:r>
      <w:r>
        <w:rPr>
          <w:spacing w:val="-6"/>
        </w:rPr>
        <w:t> </w:t>
      </w:r>
      <w:r>
        <w:rPr/>
        <w:t>dor ocorre</w:t>
      </w:r>
      <w:r>
        <w:rPr>
          <w:spacing w:val="-6"/>
        </w:rPr>
        <w:t> </w:t>
      </w:r>
      <w:r>
        <w:rPr/>
        <w:t>nas longas distâncias; após alguns meses, nas distâncias inferiores a</w:t>
      </w:r>
      <w:r>
        <w:rPr>
          <w:spacing w:val="-4"/>
        </w:rPr>
        <w:t> </w:t>
      </w:r>
      <w:r>
        <w:rPr/>
        <w:t>100</w:t>
      </w:r>
      <w:r>
        <w:rPr>
          <w:spacing w:val="-1"/>
        </w:rPr>
        <w:t> </w:t>
      </w:r>
      <w:r>
        <w:rPr/>
        <w:t>m. Assim, os pacientes notarão</w:t>
      </w:r>
      <w:r>
        <w:rPr>
          <w:spacing w:val="-1"/>
        </w:rPr>
        <w:t> </w:t>
      </w:r>
      <w:r>
        <w:rPr/>
        <w:t>o</w:t>
      </w:r>
      <w:r>
        <w:rPr>
          <w:spacing w:val="-1"/>
        </w:rPr>
        <w:t> </w:t>
      </w:r>
      <w:r>
        <w:rPr/>
        <w:t>aparecimento</w:t>
      </w:r>
      <w:r>
        <w:rPr>
          <w:spacing w:val="-1"/>
        </w:rPr>
        <w:t> </w:t>
      </w:r>
      <w:r>
        <w:rPr/>
        <w:t>da</w:t>
      </w:r>
      <w:r>
        <w:rPr>
          <w:spacing w:val="-4"/>
        </w:rPr>
        <w:t> </w:t>
      </w:r>
      <w:r>
        <w:rPr/>
        <w:t>dor quando</w:t>
      </w:r>
      <w:r>
        <w:rPr>
          <w:spacing w:val="-1"/>
        </w:rPr>
        <w:t> </w:t>
      </w:r>
      <w:r>
        <w:rPr/>
        <w:t>o acometimento do seu fluxo arterial for grande o suficiente para impedir um aporte sanguíneo adequado para a distância que em geral deambulam.</w:t>
      </w:r>
    </w:p>
    <w:p>
      <w:pPr>
        <w:pStyle w:val="BodyText"/>
        <w:spacing w:line="276" w:lineRule="auto" w:before="49"/>
        <w:ind w:right="497"/>
      </w:pPr>
      <w:r>
        <w:rPr/>
        <w:t>Os pacientes que realizam corridas longas (p. ex., corredores de longas distâncias) podem apresentar claudicação</w:t>
      </w:r>
      <w:r>
        <w:rPr>
          <w:spacing w:val="-3"/>
        </w:rPr>
        <w:t> </w:t>
      </w:r>
      <w:r>
        <w:rPr/>
        <w:t>intermitente</w:t>
      </w:r>
      <w:r>
        <w:rPr>
          <w:spacing w:val="-6"/>
        </w:rPr>
        <w:t> </w:t>
      </w:r>
      <w:r>
        <w:rPr/>
        <w:t>com</w:t>
      </w:r>
      <w:r>
        <w:rPr>
          <w:spacing w:val="-3"/>
        </w:rPr>
        <w:t> </w:t>
      </w:r>
      <w:r>
        <w:rPr/>
        <w:t>um</w:t>
      </w:r>
      <w:r>
        <w:rPr>
          <w:spacing w:val="-3"/>
        </w:rPr>
        <w:t> </w:t>
      </w:r>
      <w:r>
        <w:rPr/>
        <w:t>acometimento</w:t>
      </w:r>
      <w:r>
        <w:rPr>
          <w:spacing w:val="-3"/>
        </w:rPr>
        <w:t> </w:t>
      </w:r>
      <w:r>
        <w:rPr/>
        <w:t>muito</w:t>
      </w:r>
      <w:r>
        <w:rPr>
          <w:spacing w:val="-3"/>
        </w:rPr>
        <w:t> </w:t>
      </w:r>
      <w:r>
        <w:rPr/>
        <w:t>leve</w:t>
      </w:r>
      <w:r>
        <w:rPr>
          <w:spacing w:val="-6"/>
        </w:rPr>
        <w:t> </w:t>
      </w:r>
      <w:r>
        <w:rPr/>
        <w:t>do</w:t>
      </w:r>
      <w:r>
        <w:rPr>
          <w:spacing w:val="-3"/>
        </w:rPr>
        <w:t> </w:t>
      </w:r>
      <w:r>
        <w:rPr/>
        <w:t>sistema</w:t>
      </w:r>
      <w:r>
        <w:rPr>
          <w:spacing w:val="-6"/>
        </w:rPr>
        <w:t> </w:t>
      </w:r>
      <w:r>
        <w:rPr/>
        <w:t>arterial, sem</w:t>
      </w:r>
      <w:r>
        <w:rPr>
          <w:spacing w:val="-3"/>
        </w:rPr>
        <w:t> </w:t>
      </w:r>
      <w:r>
        <w:rPr/>
        <w:t>nenhum</w:t>
      </w:r>
      <w:r>
        <w:rPr>
          <w:spacing w:val="-3"/>
        </w:rPr>
        <w:t> </w:t>
      </w:r>
      <w:r>
        <w:rPr/>
        <w:t>sintoma</w:t>
      </w:r>
      <w:r>
        <w:rPr>
          <w:spacing w:val="-6"/>
        </w:rPr>
        <w:t> </w:t>
      </w:r>
      <w:r>
        <w:rPr/>
        <w:t>ao</w:t>
      </w:r>
      <w:r>
        <w:rPr>
          <w:spacing w:val="-3"/>
        </w:rPr>
        <w:t> </w:t>
      </w:r>
      <w:r>
        <w:rPr/>
        <w:t>deambular. Já</w:t>
      </w:r>
      <w:r>
        <w:rPr>
          <w:spacing w:val="-11"/>
        </w:rPr>
        <w:t> </w:t>
      </w:r>
      <w:r>
        <w:rPr/>
        <w:t>aqueles</w:t>
      </w:r>
      <w:r>
        <w:rPr>
          <w:spacing w:val="-1"/>
        </w:rPr>
        <w:t> </w:t>
      </w:r>
      <w:r>
        <w:rPr/>
        <w:t>que</w:t>
      </w:r>
      <w:r>
        <w:rPr>
          <w:spacing w:val="-11"/>
        </w:rPr>
        <w:t> </w:t>
      </w:r>
      <w:r>
        <w:rPr/>
        <w:t>não</w:t>
      </w:r>
      <w:r>
        <w:rPr>
          <w:spacing w:val="-8"/>
        </w:rPr>
        <w:t> </w:t>
      </w:r>
      <w:r>
        <w:rPr/>
        <w:t>deambulam</w:t>
      </w:r>
      <w:r>
        <w:rPr>
          <w:spacing w:val="-8"/>
        </w:rPr>
        <w:t> </w:t>
      </w:r>
      <w:r>
        <w:rPr/>
        <w:t>em</w:t>
      </w:r>
      <w:r>
        <w:rPr>
          <w:spacing w:val="-8"/>
        </w:rPr>
        <w:t> </w:t>
      </w:r>
      <w:r>
        <w:rPr/>
        <w:t>razão</w:t>
      </w:r>
      <w:r>
        <w:rPr>
          <w:spacing w:val="-8"/>
        </w:rPr>
        <w:t> </w:t>
      </w:r>
      <w:r>
        <w:rPr/>
        <w:t>de</w:t>
      </w:r>
      <w:r>
        <w:rPr>
          <w:spacing w:val="-11"/>
        </w:rPr>
        <w:t> </w:t>
      </w:r>
      <w:r>
        <w:rPr/>
        <w:t>outras</w:t>
      </w:r>
      <w:r>
        <w:rPr>
          <w:spacing w:val="-1"/>
        </w:rPr>
        <w:t> </w:t>
      </w:r>
      <w:r>
        <w:rPr/>
        <w:t>patologias</w:t>
      </w:r>
      <w:r>
        <w:rPr>
          <w:spacing w:val="-1"/>
        </w:rPr>
        <w:t> </w:t>
      </w:r>
      <w:r>
        <w:rPr/>
        <w:t>(p.</w:t>
      </w:r>
      <w:r>
        <w:rPr>
          <w:spacing w:val="-1"/>
        </w:rPr>
        <w:t> </w:t>
      </w:r>
      <w:r>
        <w:rPr/>
        <w:t>ex.,</w:t>
      </w:r>
      <w:r>
        <w:rPr>
          <w:spacing w:val="-1"/>
        </w:rPr>
        <w:t> </w:t>
      </w:r>
      <w:r>
        <w:rPr/>
        <w:t>insuficiência</w:t>
      </w:r>
      <w:r>
        <w:rPr>
          <w:spacing w:val="-11"/>
        </w:rPr>
        <w:t> </w:t>
      </w:r>
      <w:r>
        <w:rPr/>
        <w:t>cardíaca),</w:t>
      </w:r>
      <w:r>
        <w:rPr>
          <w:spacing w:val="-1"/>
        </w:rPr>
        <w:t> </w:t>
      </w:r>
      <w:r>
        <w:rPr/>
        <w:t>podem</w:t>
      </w:r>
      <w:r>
        <w:rPr>
          <w:spacing w:val="-8"/>
        </w:rPr>
        <w:t> </w:t>
      </w:r>
      <w:r>
        <w:rPr/>
        <w:t>vir</w:t>
      </w:r>
      <w:r>
        <w:rPr>
          <w:spacing w:val="-3"/>
        </w:rPr>
        <w:t> </w:t>
      </w:r>
      <w:r>
        <w:rPr/>
        <w:t>a</w:t>
      </w:r>
      <w:r>
        <w:rPr>
          <w:spacing w:val="-11"/>
        </w:rPr>
        <w:t> </w:t>
      </w:r>
      <w:r>
        <w:rPr/>
        <w:t>apresentar dor do</w:t>
      </w:r>
      <w:r>
        <w:rPr>
          <w:spacing w:val="-1"/>
        </w:rPr>
        <w:t> </w:t>
      </w:r>
      <w:r>
        <w:rPr/>
        <w:t>tipo</w:t>
      </w:r>
      <w:r>
        <w:rPr>
          <w:spacing w:val="-1"/>
        </w:rPr>
        <w:t> </w:t>
      </w:r>
      <w:r>
        <w:rPr/>
        <w:t>claudicação</w:t>
      </w:r>
      <w:r>
        <w:rPr>
          <w:spacing w:val="-1"/>
        </w:rPr>
        <w:t> </w:t>
      </w:r>
      <w:r>
        <w:rPr/>
        <w:t>em</w:t>
      </w:r>
      <w:r>
        <w:rPr>
          <w:spacing w:val="-1"/>
        </w:rPr>
        <w:t> </w:t>
      </w:r>
      <w:r>
        <w:rPr/>
        <w:t>curtas distâncias, se</w:t>
      </w:r>
      <w:r>
        <w:rPr>
          <w:spacing w:val="-4"/>
        </w:rPr>
        <w:t> </w:t>
      </w:r>
      <w:r>
        <w:rPr/>
        <w:t>o</w:t>
      </w:r>
      <w:r>
        <w:rPr>
          <w:spacing w:val="-1"/>
        </w:rPr>
        <w:t> </w:t>
      </w:r>
      <w:r>
        <w:rPr/>
        <w:t>acometimento</w:t>
      </w:r>
      <w:r>
        <w:rPr>
          <w:spacing w:val="-1"/>
        </w:rPr>
        <w:t> </w:t>
      </w:r>
      <w:r>
        <w:rPr/>
        <w:t>arterial for muito</w:t>
      </w:r>
      <w:r>
        <w:rPr>
          <w:spacing w:val="-1"/>
        </w:rPr>
        <w:t> </w:t>
      </w:r>
      <w:r>
        <w:rPr/>
        <w:t>extenso. Nos casos mais graves, o aporte</w:t>
      </w:r>
      <w:r>
        <w:rPr>
          <w:spacing w:val="-2"/>
        </w:rPr>
        <w:t> </w:t>
      </w:r>
      <w:r>
        <w:rPr/>
        <w:t>arterial fica</w:t>
      </w:r>
      <w:r>
        <w:rPr>
          <w:spacing w:val="-2"/>
        </w:rPr>
        <w:t> </w:t>
      </w:r>
      <w:r>
        <w:rPr/>
        <w:t>tão limitado que</w:t>
      </w:r>
      <w:r>
        <w:rPr>
          <w:spacing w:val="-2"/>
        </w:rPr>
        <w:t> </w:t>
      </w:r>
      <w:r>
        <w:rPr/>
        <w:t>a</w:t>
      </w:r>
      <w:r>
        <w:rPr>
          <w:spacing w:val="-2"/>
        </w:rPr>
        <w:t> </w:t>
      </w:r>
      <w:r>
        <w:rPr/>
        <w:t>ação da</w:t>
      </w:r>
      <w:r>
        <w:rPr>
          <w:spacing w:val="-2"/>
        </w:rPr>
        <w:t> </w:t>
      </w:r>
      <w:r>
        <w:rPr/>
        <w:t>gravidade</w:t>
      </w:r>
      <w:r>
        <w:rPr>
          <w:spacing w:val="-2"/>
        </w:rPr>
        <w:t> </w:t>
      </w:r>
      <w:r>
        <w:rPr/>
        <w:t>torna-se</w:t>
      </w:r>
      <w:r>
        <w:rPr>
          <w:spacing w:val="-2"/>
        </w:rPr>
        <w:t> </w:t>
      </w:r>
      <w:r>
        <w:rPr/>
        <w:t>uma</w:t>
      </w:r>
      <w:r>
        <w:rPr>
          <w:spacing w:val="-2"/>
        </w:rPr>
        <w:t> </w:t>
      </w:r>
      <w:r>
        <w:rPr/>
        <w:t>ajuda</w:t>
      </w:r>
      <w:r>
        <w:rPr>
          <w:spacing w:val="-2"/>
        </w:rPr>
        <w:t> </w:t>
      </w:r>
      <w:r>
        <w:rPr/>
        <w:t>para</w:t>
      </w:r>
      <w:r>
        <w:rPr>
          <w:spacing w:val="-2"/>
        </w:rPr>
        <w:t> </w:t>
      </w:r>
      <w:r>
        <w:rPr/>
        <w:t>aumentar a</w:t>
      </w:r>
      <w:r>
        <w:rPr>
          <w:spacing w:val="-2"/>
        </w:rPr>
        <w:t> </w:t>
      </w:r>
      <w:r>
        <w:rPr/>
        <w:t>coluna</w:t>
      </w:r>
      <w:r>
        <w:rPr>
          <w:spacing w:val="-2"/>
        </w:rPr>
        <w:t> </w:t>
      </w:r>
      <w:r>
        <w:rPr/>
        <w:t>de</w:t>
      </w:r>
      <w:r>
        <w:rPr>
          <w:spacing w:val="-2"/>
        </w:rPr>
        <w:t> </w:t>
      </w:r>
      <w:r>
        <w:rPr/>
        <w:t>pressão na artéria. Desse</w:t>
      </w:r>
      <w:r>
        <w:rPr>
          <w:spacing w:val="-2"/>
        </w:rPr>
        <w:t> </w:t>
      </w:r>
      <w:r>
        <w:rPr/>
        <w:t>modo, quando o paciente</w:t>
      </w:r>
      <w:r>
        <w:rPr>
          <w:spacing w:val="-2"/>
        </w:rPr>
        <w:t> </w:t>
      </w:r>
      <w:r>
        <w:rPr/>
        <w:t>permanece</w:t>
      </w:r>
      <w:r>
        <w:rPr>
          <w:spacing w:val="-2"/>
        </w:rPr>
        <w:t> </w:t>
      </w:r>
      <w:r>
        <w:rPr/>
        <w:t>por alguns minutos em decúbito horizontal, apresenta</w:t>
      </w:r>
      <w:r>
        <w:rPr>
          <w:spacing w:val="-2"/>
        </w:rPr>
        <w:t> </w:t>
      </w:r>
      <w:r>
        <w:rPr/>
        <w:t>isquemia grave da extremidade com início de dor isquêmica. Quando isso ocorre, ele posiciona imediatamente a perna para baixo, ou passa para a posição sentada, havendo melhora da perfusão periférica e consequente diminuição da dor. Esse quadro é denominado dor isquêmica de repouso.</w:t>
      </w:r>
      <w:r>
        <w:rPr>
          <w:vertAlign w:val="superscript"/>
        </w:rPr>
        <w:t>8</w:t>
      </w:r>
      <w:r>
        <w:rPr>
          <w:vertAlign w:val="baseline"/>
        </w:rPr>
        <w:t> Não deve ser confundido com as cãibras noturnas, muito frequentes em</w:t>
      </w:r>
      <w:r>
        <w:rPr>
          <w:spacing w:val="-5"/>
          <w:vertAlign w:val="baseline"/>
        </w:rPr>
        <w:t> </w:t>
      </w:r>
      <w:r>
        <w:rPr>
          <w:vertAlign w:val="baseline"/>
        </w:rPr>
        <w:t>pacientes idosos, que</w:t>
      </w:r>
      <w:r>
        <w:rPr>
          <w:spacing w:val="-8"/>
          <w:vertAlign w:val="baseline"/>
        </w:rPr>
        <w:t> </w:t>
      </w:r>
      <w:r>
        <w:rPr>
          <w:vertAlign w:val="baseline"/>
        </w:rPr>
        <w:t>melhoram</w:t>
      </w:r>
      <w:r>
        <w:rPr>
          <w:spacing w:val="-5"/>
          <w:vertAlign w:val="baseline"/>
        </w:rPr>
        <w:t> </w:t>
      </w:r>
      <w:r>
        <w:rPr>
          <w:vertAlign w:val="baseline"/>
        </w:rPr>
        <w:t>com</w:t>
      </w:r>
      <w:r>
        <w:rPr>
          <w:spacing w:val="-5"/>
          <w:vertAlign w:val="baseline"/>
        </w:rPr>
        <w:t> </w:t>
      </w:r>
      <w:r>
        <w:rPr>
          <w:vertAlign w:val="baseline"/>
        </w:rPr>
        <w:t>a</w:t>
      </w:r>
      <w:r>
        <w:rPr>
          <w:spacing w:val="-8"/>
          <w:vertAlign w:val="baseline"/>
        </w:rPr>
        <w:t> </w:t>
      </w:r>
      <w:r>
        <w:rPr>
          <w:vertAlign w:val="baseline"/>
        </w:rPr>
        <w:t>ortostase, mas não</w:t>
      </w:r>
      <w:r>
        <w:rPr>
          <w:spacing w:val="-5"/>
          <w:vertAlign w:val="baseline"/>
        </w:rPr>
        <w:t> </w:t>
      </w:r>
      <w:r>
        <w:rPr>
          <w:vertAlign w:val="baseline"/>
        </w:rPr>
        <w:t>estão</w:t>
      </w:r>
      <w:r>
        <w:rPr>
          <w:spacing w:val="-5"/>
          <w:vertAlign w:val="baseline"/>
        </w:rPr>
        <w:t> </w:t>
      </w:r>
      <w:r>
        <w:rPr>
          <w:vertAlign w:val="baseline"/>
        </w:rPr>
        <w:t>associadas à</w:t>
      </w:r>
      <w:r>
        <w:rPr>
          <w:spacing w:val="-8"/>
          <w:vertAlign w:val="baseline"/>
        </w:rPr>
        <w:t> </w:t>
      </w:r>
      <w:r>
        <w:rPr>
          <w:vertAlign w:val="baseline"/>
        </w:rPr>
        <w:t>isquemia</w:t>
      </w:r>
      <w:r>
        <w:rPr>
          <w:spacing w:val="-8"/>
          <w:vertAlign w:val="baseline"/>
        </w:rPr>
        <w:t> </w:t>
      </w:r>
      <w:r>
        <w:rPr>
          <w:vertAlign w:val="baseline"/>
        </w:rPr>
        <w:t>arterial. Outro quadro clínico que causa confusão com a dor isquêmica de repouso é a neuropatia periférica do paciente com diabetes. Esses pacientes apresentam obstrução arterial com maior frequência, e o quadro de neuropatia periférica, principalmente em sua fase inicial, pode ser extremamente desconfortável para esses pacientes em razão das parestesias das extremidades, que pioram à noite, mas não melhoram com a mudança para a posição com os pés </w:t>
      </w:r>
      <w:r>
        <w:rPr>
          <w:spacing w:val="-2"/>
          <w:vertAlign w:val="baseline"/>
        </w:rPr>
        <w:t>pendentes.</w:t>
      </w:r>
    </w:p>
    <w:p>
      <w:pPr>
        <w:pStyle w:val="BodyText"/>
        <w:spacing w:line="280" w:lineRule="auto" w:before="83"/>
        <w:ind w:right="488"/>
      </w:pPr>
      <w:r>
        <w:rPr/>
        <w:t>Nos casos muito sintomáticos, sem melhora com medidas de fisiatria, pode-se utilizar anticonvulsivantes para melhora da dor crônica (gabapentina, pregabalina)</w:t>
      </w:r>
      <w:r>
        <w:rPr>
          <w:vertAlign w:val="superscript"/>
        </w:rPr>
        <w:t>9</w:t>
      </w:r>
      <w:r>
        <w:rPr>
          <w:vertAlign w:val="baseline"/>
        </w:rPr>
        <w:t> com relatos de melhora da sintomatologia. Convém lembrar o aparecimento da algia crônica nos membros inferiores com o uso diário crônico de medicações, sendo mais frequente</w:t>
      </w:r>
      <w:r>
        <w:rPr>
          <w:spacing w:val="-4"/>
          <w:vertAlign w:val="baseline"/>
        </w:rPr>
        <w:t> </w:t>
      </w:r>
      <w:r>
        <w:rPr>
          <w:vertAlign w:val="baseline"/>
        </w:rPr>
        <w:t>a</w:t>
      </w:r>
      <w:r>
        <w:rPr>
          <w:spacing w:val="-4"/>
          <w:vertAlign w:val="baseline"/>
        </w:rPr>
        <w:t> </w:t>
      </w:r>
      <w:r>
        <w:rPr>
          <w:vertAlign w:val="baseline"/>
        </w:rPr>
        <w:t>associação</w:t>
      </w:r>
      <w:r>
        <w:rPr>
          <w:spacing w:val="-1"/>
          <w:vertAlign w:val="baseline"/>
        </w:rPr>
        <w:t> </w:t>
      </w:r>
      <w:r>
        <w:rPr>
          <w:vertAlign w:val="baseline"/>
        </w:rPr>
        <w:t>com</w:t>
      </w:r>
      <w:r>
        <w:rPr>
          <w:spacing w:val="-1"/>
          <w:vertAlign w:val="baseline"/>
        </w:rPr>
        <w:t> </w:t>
      </w:r>
      <w:r>
        <w:rPr>
          <w:vertAlign w:val="baseline"/>
        </w:rPr>
        <w:t>as estatinas e</w:t>
      </w:r>
      <w:r>
        <w:rPr>
          <w:spacing w:val="-4"/>
          <w:vertAlign w:val="baseline"/>
        </w:rPr>
        <w:t> </w:t>
      </w:r>
      <w:r>
        <w:rPr>
          <w:vertAlign w:val="baseline"/>
        </w:rPr>
        <w:t>os diuréticos; no</w:t>
      </w:r>
      <w:r>
        <w:rPr>
          <w:spacing w:val="-1"/>
          <w:vertAlign w:val="baseline"/>
        </w:rPr>
        <w:t> </w:t>
      </w:r>
      <w:r>
        <w:rPr>
          <w:vertAlign w:val="baseline"/>
        </w:rPr>
        <w:t>entanto, esses medicamentos não</w:t>
      </w:r>
      <w:r>
        <w:rPr>
          <w:spacing w:val="-1"/>
          <w:vertAlign w:val="baseline"/>
        </w:rPr>
        <w:t> </w:t>
      </w:r>
      <w:r>
        <w:rPr>
          <w:vertAlign w:val="baseline"/>
        </w:rPr>
        <w:t>apresentam</w:t>
      </w:r>
      <w:r>
        <w:rPr>
          <w:spacing w:val="-1"/>
          <w:vertAlign w:val="baseline"/>
        </w:rPr>
        <w:t> </w:t>
      </w:r>
      <w:r>
        <w:rPr>
          <w:vertAlign w:val="baseline"/>
        </w:rPr>
        <w:t>incidência de ocorrência de dor tão elevada, como é o caso da algia com o uso de beta-agonistas de longa ação (formoterol) nos pacientes com asma.</w:t>
      </w:r>
      <w:r>
        <w:rPr>
          <w:vertAlign w:val="superscript"/>
        </w:rPr>
        <w:t>10</w:t>
      </w:r>
    </w:p>
    <w:p>
      <w:pPr>
        <w:pStyle w:val="BodyText"/>
        <w:spacing w:after="0" w:line="280" w:lineRule="auto"/>
        <w:sectPr>
          <w:pgSz w:w="11900" w:h="16840"/>
          <w:pgMar w:top="180" w:bottom="280" w:left="566" w:right="141"/>
        </w:sectPr>
      </w:pPr>
    </w:p>
    <w:p>
      <w:pPr>
        <w:pStyle w:val="Heading3"/>
        <w:spacing w:before="87"/>
      </w:pPr>
      <w:r>
        <w:rPr>
          <w:color w:val="242B67"/>
        </w:rPr>
        <w:t>Varizes</w:t>
      </w:r>
      <w:r>
        <w:rPr>
          <w:color w:val="242B67"/>
          <w:spacing w:val="12"/>
        </w:rPr>
        <w:t> </w:t>
      </w:r>
      <w:r>
        <w:rPr>
          <w:color w:val="242B67"/>
        </w:rPr>
        <w:t>dos</w:t>
      </w:r>
      <w:r>
        <w:rPr>
          <w:color w:val="242B67"/>
          <w:spacing w:val="12"/>
        </w:rPr>
        <w:t> </w:t>
      </w:r>
      <w:r>
        <w:rPr>
          <w:color w:val="242B67"/>
        </w:rPr>
        <w:t>Membros</w:t>
      </w:r>
      <w:r>
        <w:rPr>
          <w:color w:val="242B67"/>
          <w:spacing w:val="12"/>
        </w:rPr>
        <w:t> </w:t>
      </w:r>
      <w:r>
        <w:rPr>
          <w:color w:val="242B67"/>
          <w:spacing w:val="-2"/>
        </w:rPr>
        <w:t>Inferiores</w:t>
      </w:r>
    </w:p>
    <w:p>
      <w:pPr>
        <w:pStyle w:val="BodyText"/>
        <w:spacing w:before="6"/>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27776">
                <wp:simplePos x="0" y="0"/>
                <wp:positionH relativeFrom="page">
                  <wp:posOffset>401543</wp:posOffset>
                </wp:positionH>
                <wp:positionV relativeFrom="paragraph">
                  <wp:posOffset>40802</wp:posOffset>
                </wp:positionV>
                <wp:extent cx="6753225" cy="10795"/>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12811pt;width:531.731217pt;height:.8008pt;mso-position-horizontal-relative:page;mso-position-vertical-relative:paragraph;z-index:-15688704;mso-wrap-distance-left:0;mso-wrap-distance-right:0" id="docshape50" filled="true" fillcolor="#242b67" stroked="false">
                <v:fill type="solid"/>
                <w10:wrap type="topAndBottom"/>
              </v:rect>
            </w:pict>
          </mc:Fallback>
        </mc:AlternateContent>
      </w:r>
    </w:p>
    <w:p>
      <w:pPr>
        <w:spacing w:before="134"/>
        <w:ind w:left="68" w:right="0" w:firstLine="0"/>
        <w:jc w:val="left"/>
        <w:rPr>
          <w:rFonts w:ascii="Arial"/>
          <w:i/>
          <w:sz w:val="25"/>
        </w:rPr>
      </w:pPr>
      <w:r>
        <w:rPr>
          <w:rFonts w:ascii="Arial"/>
          <w:i/>
          <w:sz w:val="25"/>
        </w:rPr>
        <w:t>Baptista</w:t>
      </w:r>
      <w:r>
        <w:rPr>
          <w:rFonts w:ascii="Arial"/>
          <w:i/>
          <w:spacing w:val="13"/>
          <w:sz w:val="25"/>
        </w:rPr>
        <w:t> </w:t>
      </w:r>
      <w:r>
        <w:rPr>
          <w:rFonts w:ascii="Arial"/>
          <w:i/>
          <w:sz w:val="25"/>
        </w:rPr>
        <w:t>Muraco</w:t>
      </w:r>
      <w:r>
        <w:rPr>
          <w:rFonts w:ascii="Arial"/>
          <w:i/>
          <w:spacing w:val="13"/>
          <w:sz w:val="25"/>
        </w:rPr>
        <w:t> </w:t>
      </w:r>
      <w:r>
        <w:rPr>
          <w:rFonts w:ascii="Arial"/>
          <w:i/>
          <w:sz w:val="25"/>
        </w:rPr>
        <w:t>Netto</w:t>
      </w:r>
      <w:r>
        <w:rPr>
          <w:rFonts w:ascii="Arial"/>
          <w:i/>
          <w:spacing w:val="14"/>
          <w:sz w:val="25"/>
        </w:rPr>
        <w:t> </w:t>
      </w:r>
      <w:r>
        <w:rPr>
          <w:rFonts w:ascii="Arial"/>
          <w:i/>
          <w:sz w:val="25"/>
        </w:rPr>
        <w:t>e</w:t>
      </w:r>
      <w:r>
        <w:rPr>
          <w:rFonts w:ascii="Arial"/>
          <w:i/>
          <w:spacing w:val="13"/>
          <w:sz w:val="25"/>
        </w:rPr>
        <w:t> </w:t>
      </w:r>
      <w:r>
        <w:rPr>
          <w:rFonts w:ascii="Arial"/>
          <w:i/>
          <w:sz w:val="25"/>
        </w:rPr>
        <w:t>Paulo</w:t>
      </w:r>
      <w:r>
        <w:rPr>
          <w:rFonts w:ascii="Arial"/>
          <w:i/>
          <w:spacing w:val="14"/>
          <w:sz w:val="25"/>
        </w:rPr>
        <w:t> </w:t>
      </w:r>
      <w:r>
        <w:rPr>
          <w:rFonts w:ascii="Arial"/>
          <w:i/>
          <w:spacing w:val="-2"/>
          <w:sz w:val="25"/>
        </w:rPr>
        <w:t>Kauffman</w:t>
      </w:r>
    </w:p>
    <w:p>
      <w:pPr>
        <w:pStyle w:val="BodyText"/>
        <w:spacing w:before="198"/>
        <w:ind w:left="0" w:firstLine="0"/>
        <w:jc w:val="left"/>
        <w:rPr>
          <w:rFonts w:ascii="Arial"/>
          <w:i/>
          <w:sz w:val="25"/>
        </w:rPr>
      </w:pPr>
    </w:p>
    <w:p>
      <w:pPr>
        <w:pStyle w:val="Heading4"/>
      </w:pPr>
      <w:r>
        <w:rPr>
          <w:color w:val="242B67"/>
          <w:spacing w:val="-2"/>
        </w:rPr>
        <w:t>Introdução</w:t>
      </w:r>
    </w:p>
    <w:p>
      <w:pPr>
        <w:pStyle w:val="BodyText"/>
        <w:spacing w:line="276" w:lineRule="auto" w:before="132"/>
        <w:ind w:right="491"/>
      </w:pPr>
      <w:r>
        <w:rPr/>
        <w:t>As varizes dos membros inferiores são</w:t>
      </w:r>
      <w:r>
        <w:rPr>
          <w:spacing w:val="-2"/>
        </w:rPr>
        <w:t> </w:t>
      </w:r>
      <w:r>
        <w:rPr/>
        <w:t>representadas por dilatações e</w:t>
      </w:r>
      <w:r>
        <w:rPr>
          <w:spacing w:val="-5"/>
        </w:rPr>
        <w:t> </w:t>
      </w:r>
      <w:r>
        <w:rPr/>
        <w:t>tortuosidades de</w:t>
      </w:r>
      <w:r>
        <w:rPr>
          <w:spacing w:val="-5"/>
        </w:rPr>
        <w:t> </w:t>
      </w:r>
      <w:r>
        <w:rPr/>
        <w:t>veias do</w:t>
      </w:r>
      <w:r>
        <w:rPr>
          <w:spacing w:val="-2"/>
        </w:rPr>
        <w:t> </w:t>
      </w:r>
      <w:r>
        <w:rPr/>
        <w:t>sistema</w:t>
      </w:r>
      <w:r>
        <w:rPr>
          <w:spacing w:val="-5"/>
        </w:rPr>
        <w:t> </w:t>
      </w:r>
      <w:r>
        <w:rPr/>
        <w:t>venoso superficial e/ou perfurantes comunicantes, determinadas por alterações definitivas de suas paredes e/ou válvulas e cuja consequência são as alterações definitivas das suas funções.</w:t>
      </w:r>
    </w:p>
    <w:p>
      <w:pPr>
        <w:pStyle w:val="BodyText"/>
        <w:spacing w:line="276" w:lineRule="auto" w:before="49"/>
        <w:ind w:right="491"/>
      </w:pPr>
      <w:r>
        <w:rPr/>
        <w:t>Doença</w:t>
      </w:r>
      <w:r>
        <w:rPr>
          <w:spacing w:val="-3"/>
        </w:rPr>
        <w:t> </w:t>
      </w:r>
      <w:r>
        <w:rPr/>
        <w:t>de</w:t>
      </w:r>
      <w:r>
        <w:rPr>
          <w:spacing w:val="-3"/>
        </w:rPr>
        <w:t> </w:t>
      </w:r>
      <w:r>
        <w:rPr/>
        <w:t>elevada</w:t>
      </w:r>
      <w:r>
        <w:rPr>
          <w:spacing w:val="-3"/>
        </w:rPr>
        <w:t> </w:t>
      </w:r>
      <w:r>
        <w:rPr/>
        <w:t>incidência</w:t>
      </w:r>
      <w:r>
        <w:rPr>
          <w:spacing w:val="-3"/>
        </w:rPr>
        <w:t> </w:t>
      </w:r>
      <w:r>
        <w:rPr/>
        <w:t>acomete</w:t>
      </w:r>
      <w:r>
        <w:rPr>
          <w:spacing w:val="-3"/>
        </w:rPr>
        <w:t> </w:t>
      </w:r>
      <w:r>
        <w:rPr/>
        <w:t>pessoas de</w:t>
      </w:r>
      <w:r>
        <w:rPr>
          <w:spacing w:val="-3"/>
        </w:rPr>
        <w:t> </w:t>
      </w:r>
      <w:r>
        <w:rPr/>
        <w:t>diferentes faixas etárias e</w:t>
      </w:r>
      <w:r>
        <w:rPr>
          <w:spacing w:val="-3"/>
        </w:rPr>
        <w:t> </w:t>
      </w:r>
      <w:r>
        <w:rPr/>
        <w:t>preferencialmente</w:t>
      </w:r>
      <w:r>
        <w:rPr>
          <w:spacing w:val="-3"/>
        </w:rPr>
        <w:t> </w:t>
      </w:r>
      <w:r>
        <w:rPr/>
        <w:t>mulheres. Além dos problemas estéticos e da sintomatologia, provocam complicações importantes e graves, algumas das quais determinando sequelas funcionais irreversíveis e incapacitantes (</w:t>
      </w:r>
      <w:r>
        <w:rPr>
          <w:color w:val="505050"/>
        </w:rPr>
        <w:t>Figura 59.25</w:t>
      </w:r>
      <w:r>
        <w:rPr/>
        <w:t>). A úlcera varicosa é a mais conhecida</w:t>
      </w:r>
      <w:r>
        <w:rPr>
          <w:spacing w:val="-1"/>
        </w:rPr>
        <w:t> </w:t>
      </w:r>
      <w:r>
        <w:rPr/>
        <w:t>das complicações cutâneas das varizes (</w:t>
      </w:r>
      <w:r>
        <w:rPr>
          <w:color w:val="505050"/>
        </w:rPr>
        <w:t>Figura</w:t>
      </w:r>
      <w:r>
        <w:rPr>
          <w:color w:val="505050"/>
          <w:spacing w:val="-1"/>
        </w:rPr>
        <w:t> </w:t>
      </w:r>
      <w:r>
        <w:rPr>
          <w:color w:val="505050"/>
        </w:rPr>
        <w:t>59.26</w:t>
      </w:r>
      <w:r>
        <w:rPr/>
        <w:t>).</w:t>
      </w:r>
    </w:p>
    <w:p>
      <w:pPr>
        <w:pStyle w:val="BodyText"/>
        <w:spacing w:before="185"/>
        <w:ind w:left="0" w:firstLine="0"/>
        <w:jc w:val="left"/>
      </w:pPr>
    </w:p>
    <w:p>
      <w:pPr>
        <w:pStyle w:val="Heading4"/>
        <w:spacing w:before="1"/>
      </w:pPr>
      <w:r>
        <w:rPr>
          <w:color w:val="242B67"/>
          <w:spacing w:val="-2"/>
        </w:rPr>
        <w:t>Epidemiologia</w:t>
      </w:r>
    </w:p>
    <w:p>
      <w:pPr>
        <w:pStyle w:val="BodyText"/>
        <w:spacing w:line="276" w:lineRule="auto" w:before="147"/>
        <w:ind w:right="488"/>
      </w:pPr>
      <w:r>
        <w:rPr/>
        <w:t>As controvérsias que surgem na conceituação e na classificação interferem nos estudos de incidência e prevalência das varizes e da úlcera varicosa.</w:t>
      </w:r>
    </w:p>
    <w:p>
      <w:pPr>
        <w:pStyle w:val="BodyText"/>
        <w:spacing w:before="57"/>
        <w:ind w:left="0" w:firstLine="0"/>
        <w:jc w:val="left"/>
        <w:rPr>
          <w:sz w:val="20"/>
        </w:rPr>
      </w:pPr>
      <w:r>
        <w:rPr>
          <w:sz w:val="20"/>
        </w:rPr>
        <w:drawing>
          <wp:anchor distT="0" distB="0" distL="0" distR="0" allowOverlap="1" layoutInCell="1" locked="0" behindDoc="1" simplePos="0" relativeHeight="487628288">
            <wp:simplePos x="0" y="0"/>
            <wp:positionH relativeFrom="page">
              <wp:posOffset>2761170</wp:posOffset>
            </wp:positionH>
            <wp:positionV relativeFrom="paragraph">
              <wp:posOffset>197715</wp:posOffset>
            </wp:positionV>
            <wp:extent cx="2048535" cy="2751772"/>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59" cstate="print"/>
                    <a:stretch>
                      <a:fillRect/>
                    </a:stretch>
                  </pic:blipFill>
                  <pic:spPr>
                    <a:xfrm>
                      <a:off x="0" y="0"/>
                      <a:ext cx="2048535" cy="2751772"/>
                    </a:xfrm>
                    <a:prstGeom prst="rect">
                      <a:avLst/>
                    </a:prstGeom>
                  </pic:spPr>
                </pic:pic>
              </a:graphicData>
            </a:graphic>
          </wp:anchor>
        </w:drawing>
      </w:r>
    </w:p>
    <w:p>
      <w:pPr>
        <w:spacing w:line="285" w:lineRule="auto" w:before="229"/>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80"/>
          <w:sz w:val="19"/>
        </w:rPr>
        <w:t> </w:t>
      </w:r>
      <w:r>
        <w:rPr>
          <w:rFonts w:ascii="Arial" w:hAnsi="Arial"/>
          <w:b/>
          <w:color w:val="242B67"/>
          <w:sz w:val="19"/>
        </w:rPr>
        <w:t>59.25</w:t>
      </w:r>
      <w:r>
        <w:rPr>
          <w:rFonts w:ascii="Arial" w:hAnsi="Arial"/>
          <w:b/>
          <w:color w:val="242B67"/>
          <w:spacing w:val="80"/>
          <w:sz w:val="19"/>
        </w:rPr>
        <w:t> </w:t>
      </w:r>
      <w:r>
        <w:rPr>
          <w:rFonts w:ascii="Microsoft Sans Serif" w:hAnsi="Microsoft Sans Serif"/>
          <w:sz w:val="19"/>
        </w:rPr>
        <w:t>Varizes</w:t>
      </w:r>
      <w:r>
        <w:rPr>
          <w:rFonts w:ascii="Microsoft Sans Serif" w:hAnsi="Microsoft Sans Serif"/>
          <w:spacing w:val="80"/>
          <w:sz w:val="19"/>
        </w:rPr>
        <w:t> </w:t>
      </w:r>
      <w:r>
        <w:rPr>
          <w:rFonts w:ascii="Microsoft Sans Serif" w:hAnsi="Microsoft Sans Serif"/>
          <w:sz w:val="19"/>
        </w:rPr>
        <w:t>volumosas,</w:t>
      </w:r>
      <w:r>
        <w:rPr>
          <w:rFonts w:ascii="Microsoft Sans Serif" w:hAnsi="Microsoft Sans Serif"/>
          <w:spacing w:val="80"/>
          <w:sz w:val="19"/>
        </w:rPr>
        <w:t> </w:t>
      </w:r>
      <w:r>
        <w:rPr>
          <w:rFonts w:ascii="Microsoft Sans Serif" w:hAnsi="Microsoft Sans Serif"/>
          <w:sz w:val="19"/>
        </w:rPr>
        <w:t>com</w:t>
      </w:r>
      <w:r>
        <w:rPr>
          <w:rFonts w:ascii="Microsoft Sans Serif" w:hAnsi="Microsoft Sans Serif"/>
          <w:spacing w:val="80"/>
          <w:sz w:val="19"/>
        </w:rPr>
        <w:t> </w:t>
      </w:r>
      <w:r>
        <w:rPr>
          <w:rFonts w:ascii="Microsoft Sans Serif" w:hAnsi="Microsoft Sans Serif"/>
          <w:sz w:val="19"/>
        </w:rPr>
        <w:t>longo</w:t>
      </w:r>
      <w:r>
        <w:rPr>
          <w:rFonts w:ascii="Microsoft Sans Serif" w:hAnsi="Microsoft Sans Serif"/>
          <w:spacing w:val="80"/>
          <w:sz w:val="19"/>
        </w:rPr>
        <w:t> </w:t>
      </w:r>
      <w:r>
        <w:rPr>
          <w:rFonts w:ascii="Microsoft Sans Serif" w:hAnsi="Microsoft Sans Serif"/>
          <w:sz w:val="19"/>
        </w:rPr>
        <w:t>tempo</w:t>
      </w:r>
      <w:r>
        <w:rPr>
          <w:rFonts w:ascii="Microsoft Sans Serif" w:hAnsi="Microsoft Sans Serif"/>
          <w:spacing w:val="80"/>
          <w:sz w:val="19"/>
        </w:rPr>
        <w:t> </w:t>
      </w:r>
      <w:r>
        <w:rPr>
          <w:rFonts w:ascii="Microsoft Sans Serif" w:hAnsi="Microsoft Sans Serif"/>
          <w:sz w:val="19"/>
        </w:rPr>
        <w:t>de</w:t>
      </w:r>
      <w:r>
        <w:rPr>
          <w:rFonts w:ascii="Microsoft Sans Serif" w:hAnsi="Microsoft Sans Serif"/>
          <w:spacing w:val="80"/>
          <w:sz w:val="19"/>
        </w:rPr>
        <w:t> </w:t>
      </w:r>
      <w:r>
        <w:rPr>
          <w:rFonts w:ascii="Microsoft Sans Serif" w:hAnsi="Microsoft Sans Serif"/>
          <w:sz w:val="19"/>
        </w:rPr>
        <w:t>evolução,</w:t>
      </w:r>
      <w:r>
        <w:rPr>
          <w:rFonts w:ascii="Microsoft Sans Serif" w:hAnsi="Microsoft Sans Serif"/>
          <w:spacing w:val="80"/>
          <w:sz w:val="19"/>
        </w:rPr>
        <w:t> </w:t>
      </w:r>
      <w:r>
        <w:rPr>
          <w:rFonts w:ascii="Microsoft Sans Serif" w:hAnsi="Microsoft Sans Serif"/>
          <w:sz w:val="19"/>
        </w:rPr>
        <w:t>fibrose</w:t>
      </w:r>
      <w:r>
        <w:rPr>
          <w:rFonts w:ascii="Microsoft Sans Serif" w:hAnsi="Microsoft Sans Serif"/>
          <w:spacing w:val="80"/>
          <w:sz w:val="19"/>
        </w:rPr>
        <w:t> </w:t>
      </w:r>
      <w:r>
        <w:rPr>
          <w:rFonts w:ascii="Microsoft Sans Serif" w:hAnsi="Microsoft Sans Serif"/>
          <w:sz w:val="19"/>
        </w:rPr>
        <w:t>de</w:t>
      </w:r>
      <w:r>
        <w:rPr>
          <w:rFonts w:ascii="Microsoft Sans Serif" w:hAnsi="Microsoft Sans Serif"/>
          <w:spacing w:val="80"/>
          <w:sz w:val="19"/>
        </w:rPr>
        <w:t> </w:t>
      </w:r>
      <w:r>
        <w:rPr>
          <w:rFonts w:ascii="Microsoft Sans Serif" w:hAnsi="Microsoft Sans Serif"/>
          <w:sz w:val="19"/>
        </w:rPr>
        <w:t>subcutâneo,</w:t>
      </w:r>
      <w:r>
        <w:rPr>
          <w:rFonts w:ascii="Microsoft Sans Serif" w:hAnsi="Microsoft Sans Serif"/>
          <w:spacing w:val="80"/>
          <w:sz w:val="19"/>
        </w:rPr>
        <w:t> </w:t>
      </w:r>
      <w:r>
        <w:rPr>
          <w:rFonts w:ascii="Microsoft Sans Serif" w:hAnsi="Microsoft Sans Serif"/>
          <w:sz w:val="19"/>
        </w:rPr>
        <w:t>pigmentação</w:t>
      </w:r>
      <w:r>
        <w:rPr>
          <w:rFonts w:ascii="Microsoft Sans Serif" w:hAnsi="Microsoft Sans Serif"/>
          <w:spacing w:val="80"/>
          <w:sz w:val="19"/>
        </w:rPr>
        <w:t> </w:t>
      </w:r>
      <w:r>
        <w:rPr>
          <w:rFonts w:ascii="Microsoft Sans Serif" w:hAnsi="Microsoft Sans Serif"/>
          <w:sz w:val="19"/>
        </w:rPr>
        <w:t>cutânea,</w:t>
      </w:r>
      <w:r>
        <w:rPr>
          <w:rFonts w:ascii="Microsoft Sans Serif" w:hAnsi="Microsoft Sans Serif"/>
          <w:spacing w:val="40"/>
          <w:sz w:val="19"/>
        </w:rPr>
        <w:t> </w:t>
      </w:r>
      <w:r>
        <w:rPr>
          <w:rFonts w:ascii="Microsoft Sans Serif" w:hAnsi="Microsoft Sans Serif"/>
          <w:sz w:val="19"/>
        </w:rPr>
        <w:t>sintomatologia</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peso</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cansaço</w:t>
      </w:r>
      <w:r>
        <w:rPr>
          <w:rFonts w:ascii="Microsoft Sans Serif" w:hAnsi="Microsoft Sans Serif"/>
          <w:spacing w:val="40"/>
          <w:sz w:val="19"/>
        </w:rPr>
        <w:t> </w:t>
      </w:r>
      <w:r>
        <w:rPr>
          <w:rFonts w:ascii="Microsoft Sans Serif" w:hAnsi="Microsoft Sans Serif"/>
          <w:sz w:val="19"/>
        </w:rPr>
        <w:t>bem como</w:t>
      </w:r>
      <w:r>
        <w:rPr>
          <w:rFonts w:ascii="Microsoft Sans Serif" w:hAnsi="Microsoft Sans Serif"/>
          <w:spacing w:val="40"/>
          <w:sz w:val="19"/>
        </w:rPr>
        <w:t> </w:t>
      </w:r>
      <w:r>
        <w:rPr>
          <w:rFonts w:ascii="Microsoft Sans Serif" w:hAnsi="Microsoft Sans Serif"/>
          <w:sz w:val="19"/>
        </w:rPr>
        <w:t>dificuldades de</w:t>
      </w:r>
      <w:r>
        <w:rPr>
          <w:rFonts w:ascii="Microsoft Sans Serif" w:hAnsi="Microsoft Sans Serif"/>
          <w:spacing w:val="40"/>
          <w:sz w:val="19"/>
        </w:rPr>
        <w:t> </w:t>
      </w:r>
      <w:r>
        <w:rPr>
          <w:rFonts w:ascii="Microsoft Sans Serif" w:hAnsi="Microsoft Sans Serif"/>
          <w:sz w:val="19"/>
        </w:rPr>
        <w:t>movimentação</w:t>
      </w:r>
      <w:r>
        <w:rPr>
          <w:rFonts w:ascii="Microsoft Sans Serif" w:hAnsi="Microsoft Sans Serif"/>
          <w:spacing w:val="40"/>
          <w:sz w:val="19"/>
        </w:rPr>
        <w:t> </w:t>
      </w:r>
      <w:r>
        <w:rPr>
          <w:rFonts w:ascii="Microsoft Sans Serif" w:hAnsi="Microsoft Sans Serif"/>
          <w:sz w:val="19"/>
        </w:rPr>
        <w:t>articular.</w:t>
      </w:r>
    </w:p>
    <w:p>
      <w:pPr>
        <w:spacing w:after="0" w:line="285" w:lineRule="auto"/>
        <w:jc w:val="left"/>
        <w:rPr>
          <w:rFonts w:ascii="Microsoft Sans Serif" w:hAnsi="Microsoft Sans Serif"/>
          <w:sz w:val="19"/>
        </w:rPr>
        <w:sectPr>
          <w:pgSz w:w="11900" w:h="16840"/>
          <w:pgMar w:top="180" w:bottom="280" w:left="566" w:right="141"/>
        </w:sectPr>
      </w:pPr>
    </w:p>
    <w:p>
      <w:pPr>
        <w:spacing w:line="240" w:lineRule="auto"/>
        <w:ind w:left="3221" w:right="0" w:firstLine="0"/>
        <w:rPr>
          <w:rFonts w:ascii="Microsoft Sans Serif"/>
          <w:sz w:val="20"/>
        </w:rPr>
      </w:pPr>
      <w:r>
        <w:rPr>
          <w:rFonts w:ascii="Microsoft Sans Serif"/>
          <w:sz w:val="20"/>
        </w:rPr>
        <w:drawing>
          <wp:inline distT="0" distB="0" distL="0" distR="0">
            <wp:extent cx="2751771" cy="3159442"/>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60" cstate="print"/>
                    <a:stretch>
                      <a:fillRect/>
                    </a:stretch>
                  </pic:blipFill>
                  <pic:spPr>
                    <a:xfrm>
                      <a:off x="0" y="0"/>
                      <a:ext cx="2751771" cy="3159442"/>
                    </a:xfrm>
                    <a:prstGeom prst="rect">
                      <a:avLst/>
                    </a:prstGeom>
                  </pic:spPr>
                </pic:pic>
              </a:graphicData>
            </a:graphic>
          </wp:inline>
        </w:drawing>
      </w:r>
      <w:r>
        <w:rPr>
          <w:rFonts w:ascii="Microsoft Sans Serif"/>
          <w:sz w:val="20"/>
        </w:rPr>
      </w:r>
    </w:p>
    <w:p>
      <w:pPr>
        <w:pStyle w:val="BodyText"/>
        <w:spacing w:before="5"/>
        <w:ind w:left="0" w:firstLine="0"/>
        <w:jc w:val="left"/>
        <w:rPr>
          <w:rFonts w:ascii="Microsoft Sans Serif"/>
          <w:sz w:val="19"/>
        </w:rPr>
      </w:pPr>
    </w:p>
    <w:p>
      <w:pPr>
        <w:spacing w:line="285" w:lineRule="auto" w:before="0"/>
        <w:ind w:left="68" w:right="0" w:firstLine="0"/>
        <w:jc w:val="left"/>
        <w:rPr>
          <w:rFonts w:ascii="Microsoft Sans Serif" w:hAnsi="Microsoft Sans Serif"/>
          <w:sz w:val="19"/>
        </w:rPr>
      </w:pPr>
      <w:r>
        <w:rPr>
          <w:rFonts w:ascii="Arial" w:hAnsi="Arial"/>
          <w:b/>
          <w:color w:val="242B67"/>
          <w:sz w:val="19"/>
        </w:rPr>
        <w:t>Figura 59.26</w:t>
      </w:r>
      <w:r>
        <w:rPr>
          <w:rFonts w:ascii="Arial" w:hAnsi="Arial"/>
          <w:b/>
          <w:color w:val="242B67"/>
          <w:spacing w:val="30"/>
          <w:sz w:val="19"/>
        </w:rPr>
        <w:t> </w:t>
      </w:r>
      <w:r>
        <w:rPr>
          <w:rFonts w:ascii="Microsoft Sans Serif" w:hAnsi="Microsoft Sans Serif"/>
          <w:sz w:val="19"/>
        </w:rPr>
        <w:t>Úlcera</w:t>
      </w:r>
      <w:r>
        <w:rPr>
          <w:rFonts w:ascii="Microsoft Sans Serif" w:hAnsi="Microsoft Sans Serif"/>
          <w:spacing w:val="32"/>
          <w:sz w:val="19"/>
        </w:rPr>
        <w:t> </w:t>
      </w:r>
      <w:r>
        <w:rPr>
          <w:rFonts w:ascii="Microsoft Sans Serif" w:hAnsi="Microsoft Sans Serif"/>
          <w:sz w:val="19"/>
        </w:rPr>
        <w:t>varicosa</w:t>
      </w:r>
      <w:r>
        <w:rPr>
          <w:rFonts w:ascii="Microsoft Sans Serif" w:hAnsi="Microsoft Sans Serif"/>
          <w:spacing w:val="32"/>
          <w:sz w:val="19"/>
        </w:rPr>
        <w:t> </w:t>
      </w:r>
      <w:r>
        <w:rPr>
          <w:rFonts w:ascii="Microsoft Sans Serif" w:hAnsi="Microsoft Sans Serif"/>
          <w:sz w:val="19"/>
        </w:rPr>
        <w:t>extremamente</w:t>
      </w:r>
      <w:r>
        <w:rPr>
          <w:rFonts w:ascii="Microsoft Sans Serif" w:hAnsi="Microsoft Sans Serif"/>
          <w:spacing w:val="32"/>
          <w:sz w:val="19"/>
        </w:rPr>
        <w:t> </w:t>
      </w:r>
      <w:r>
        <w:rPr>
          <w:rFonts w:ascii="Microsoft Sans Serif" w:hAnsi="Microsoft Sans Serif"/>
          <w:sz w:val="19"/>
        </w:rPr>
        <w:t>frequente</w:t>
      </w:r>
      <w:r>
        <w:rPr>
          <w:rFonts w:ascii="Microsoft Sans Serif" w:hAnsi="Microsoft Sans Serif"/>
          <w:spacing w:val="32"/>
          <w:sz w:val="19"/>
        </w:rPr>
        <w:t> </w:t>
      </w:r>
      <w:r>
        <w:rPr>
          <w:rFonts w:ascii="Microsoft Sans Serif" w:hAnsi="Microsoft Sans Serif"/>
          <w:sz w:val="19"/>
        </w:rPr>
        <w:t>e</w:t>
      </w:r>
      <w:r>
        <w:rPr>
          <w:rFonts w:ascii="Microsoft Sans Serif" w:hAnsi="Microsoft Sans Serif"/>
          <w:spacing w:val="32"/>
          <w:sz w:val="19"/>
        </w:rPr>
        <w:t> </w:t>
      </w:r>
      <w:r>
        <w:rPr>
          <w:rFonts w:ascii="Microsoft Sans Serif" w:hAnsi="Microsoft Sans Serif"/>
          <w:sz w:val="19"/>
        </w:rPr>
        <w:t>característica,</w:t>
      </w:r>
      <w:r>
        <w:rPr>
          <w:rFonts w:ascii="Microsoft Sans Serif" w:hAnsi="Microsoft Sans Serif"/>
          <w:spacing w:val="20"/>
          <w:sz w:val="19"/>
        </w:rPr>
        <w:t> </w:t>
      </w:r>
      <w:r>
        <w:rPr>
          <w:rFonts w:ascii="Microsoft Sans Serif" w:hAnsi="Microsoft Sans Serif"/>
          <w:sz w:val="19"/>
        </w:rPr>
        <w:t>pois</w:t>
      </w:r>
      <w:r>
        <w:rPr>
          <w:rFonts w:ascii="Microsoft Sans Serif" w:hAnsi="Microsoft Sans Serif"/>
          <w:spacing w:val="26"/>
          <w:sz w:val="19"/>
        </w:rPr>
        <w:t> </w:t>
      </w:r>
      <w:r>
        <w:rPr>
          <w:rFonts w:ascii="Microsoft Sans Serif" w:hAnsi="Microsoft Sans Serif"/>
          <w:sz w:val="19"/>
        </w:rPr>
        <w:t>aparece</w:t>
      </w:r>
      <w:r>
        <w:rPr>
          <w:rFonts w:ascii="Microsoft Sans Serif" w:hAnsi="Microsoft Sans Serif"/>
          <w:spacing w:val="32"/>
          <w:sz w:val="19"/>
        </w:rPr>
        <w:t> </w:t>
      </w:r>
      <w:r>
        <w:rPr>
          <w:rFonts w:ascii="Microsoft Sans Serif" w:hAnsi="Microsoft Sans Serif"/>
          <w:sz w:val="19"/>
        </w:rPr>
        <w:t>como</w:t>
      </w:r>
      <w:r>
        <w:rPr>
          <w:rFonts w:ascii="Microsoft Sans Serif" w:hAnsi="Microsoft Sans Serif"/>
          <w:spacing w:val="32"/>
          <w:sz w:val="19"/>
        </w:rPr>
        <w:t> </w:t>
      </w:r>
      <w:r>
        <w:rPr>
          <w:rFonts w:ascii="Microsoft Sans Serif" w:hAnsi="Microsoft Sans Serif"/>
          <w:sz w:val="19"/>
        </w:rPr>
        <w:t>lesão</w:t>
      </w:r>
      <w:r>
        <w:rPr>
          <w:rFonts w:ascii="Microsoft Sans Serif" w:hAnsi="Microsoft Sans Serif"/>
          <w:spacing w:val="32"/>
          <w:sz w:val="19"/>
        </w:rPr>
        <w:t> </w:t>
      </w:r>
      <w:r>
        <w:rPr>
          <w:rFonts w:ascii="Microsoft Sans Serif" w:hAnsi="Microsoft Sans Serif"/>
          <w:sz w:val="19"/>
        </w:rPr>
        <w:t>dentro</w:t>
      </w:r>
      <w:r>
        <w:rPr>
          <w:rFonts w:ascii="Microsoft Sans Serif" w:hAnsi="Microsoft Sans Serif"/>
          <w:spacing w:val="32"/>
          <w:sz w:val="19"/>
        </w:rPr>
        <w:t> </w:t>
      </w:r>
      <w:r>
        <w:rPr>
          <w:rFonts w:ascii="Microsoft Sans Serif" w:hAnsi="Microsoft Sans Serif"/>
          <w:sz w:val="19"/>
        </w:rPr>
        <w:t>de</w:t>
      </w:r>
      <w:r>
        <w:rPr>
          <w:rFonts w:ascii="Microsoft Sans Serif" w:hAnsi="Microsoft Sans Serif"/>
          <w:spacing w:val="32"/>
          <w:sz w:val="19"/>
        </w:rPr>
        <w:t> </w:t>
      </w:r>
      <w:r>
        <w:rPr>
          <w:rFonts w:ascii="Microsoft Sans Serif" w:hAnsi="Microsoft Sans Serif"/>
          <w:sz w:val="19"/>
        </w:rPr>
        <w:t>uma</w:t>
      </w:r>
      <w:r>
        <w:rPr>
          <w:rFonts w:ascii="Microsoft Sans Serif" w:hAnsi="Microsoft Sans Serif"/>
          <w:spacing w:val="32"/>
          <w:sz w:val="19"/>
        </w:rPr>
        <w:t> </w:t>
      </w:r>
      <w:r>
        <w:rPr>
          <w:rFonts w:ascii="Microsoft Sans Serif" w:hAnsi="Microsoft Sans Serif"/>
          <w:sz w:val="19"/>
        </w:rPr>
        <w:t>área</w:t>
      </w:r>
      <w:r>
        <w:rPr>
          <w:rFonts w:ascii="Microsoft Sans Serif" w:hAnsi="Microsoft Sans Serif"/>
          <w:spacing w:val="32"/>
          <w:sz w:val="19"/>
        </w:rPr>
        <w:t> </w:t>
      </w:r>
      <w:r>
        <w:rPr>
          <w:rFonts w:ascii="Microsoft Sans Serif" w:hAnsi="Microsoft Sans Serif"/>
          <w:sz w:val="19"/>
        </w:rPr>
        <w:t>de dermatofibrose e pigmentação.</w:t>
      </w:r>
    </w:p>
    <w:p>
      <w:pPr>
        <w:pStyle w:val="BodyText"/>
        <w:ind w:left="0" w:firstLine="0"/>
        <w:jc w:val="left"/>
        <w:rPr>
          <w:rFonts w:ascii="Microsoft Sans Serif"/>
          <w:sz w:val="19"/>
        </w:rPr>
      </w:pPr>
    </w:p>
    <w:p>
      <w:pPr>
        <w:pStyle w:val="BodyText"/>
        <w:spacing w:line="276" w:lineRule="auto" w:before="0"/>
        <w:ind w:right="488"/>
      </w:pPr>
      <w:r>
        <w:rPr/>
        <w:t>Certos grupos analisam apenas as dilatações e tortuosidades definitivas das veias tronculares colaterais e perfurantes comunicantes, independentemente de suas dimensões. Outros separam as varizes, microvarizes, veias reticulares, telangiectasias em</w:t>
      </w:r>
      <w:r>
        <w:rPr>
          <w:spacing w:val="-2"/>
        </w:rPr>
        <w:t> </w:t>
      </w:r>
      <w:r>
        <w:rPr/>
        <w:t>função</w:t>
      </w:r>
      <w:r>
        <w:rPr>
          <w:spacing w:val="-2"/>
        </w:rPr>
        <w:t> </w:t>
      </w:r>
      <w:r>
        <w:rPr/>
        <w:t>de</w:t>
      </w:r>
      <w:r>
        <w:rPr>
          <w:spacing w:val="-5"/>
        </w:rPr>
        <w:t> </w:t>
      </w:r>
      <w:r>
        <w:rPr/>
        <w:t>seu</w:t>
      </w:r>
      <w:r>
        <w:rPr>
          <w:spacing w:val="-2"/>
        </w:rPr>
        <w:t> </w:t>
      </w:r>
      <w:r>
        <w:rPr/>
        <w:t>tamanho, sintomatologia, complicações e</w:t>
      </w:r>
      <w:r>
        <w:rPr>
          <w:spacing w:val="-5"/>
        </w:rPr>
        <w:t> </w:t>
      </w:r>
      <w:r>
        <w:rPr/>
        <w:t>terapia.</w:t>
      </w:r>
    </w:p>
    <w:p>
      <w:pPr>
        <w:pStyle w:val="BodyText"/>
        <w:spacing w:line="285" w:lineRule="auto"/>
        <w:ind w:right="498"/>
      </w:pPr>
      <w:r>
        <w:rPr/>
        <w:t>Alguns</w:t>
      </w:r>
      <w:r>
        <w:rPr>
          <w:spacing w:val="-5"/>
        </w:rPr>
        <w:t> </w:t>
      </w:r>
      <w:r>
        <w:rPr/>
        <w:t>estudos</w:t>
      </w:r>
      <w:r>
        <w:rPr>
          <w:spacing w:val="-5"/>
        </w:rPr>
        <w:t> </w:t>
      </w:r>
      <w:r>
        <w:rPr/>
        <w:t>de</w:t>
      </w:r>
      <w:r>
        <w:rPr>
          <w:spacing w:val="-14"/>
        </w:rPr>
        <w:t> </w:t>
      </w:r>
      <w:r>
        <w:rPr/>
        <w:t>prevalência</w:t>
      </w:r>
      <w:r>
        <w:rPr>
          <w:spacing w:val="-14"/>
        </w:rPr>
        <w:t> </w:t>
      </w:r>
      <w:r>
        <w:rPr/>
        <w:t>selecionam</w:t>
      </w:r>
      <w:r>
        <w:rPr>
          <w:spacing w:val="-12"/>
        </w:rPr>
        <w:t> </w:t>
      </w:r>
      <w:r>
        <w:rPr/>
        <w:t>grupos</w:t>
      </w:r>
      <w:r>
        <w:rPr>
          <w:spacing w:val="-5"/>
        </w:rPr>
        <w:t> </w:t>
      </w:r>
      <w:r>
        <w:rPr/>
        <w:t>populacionais</w:t>
      </w:r>
      <w:r>
        <w:rPr>
          <w:spacing w:val="-5"/>
        </w:rPr>
        <w:t> </w:t>
      </w:r>
      <w:r>
        <w:rPr/>
        <w:t>por</w:t>
      </w:r>
      <w:r>
        <w:rPr>
          <w:spacing w:val="-7"/>
        </w:rPr>
        <w:t> </w:t>
      </w:r>
      <w:r>
        <w:rPr/>
        <w:t>etnia,</w:t>
      </w:r>
      <w:r>
        <w:rPr>
          <w:spacing w:val="-5"/>
        </w:rPr>
        <w:t> </w:t>
      </w:r>
      <w:r>
        <w:rPr/>
        <w:t>situação</w:t>
      </w:r>
      <w:r>
        <w:rPr>
          <w:spacing w:val="-12"/>
        </w:rPr>
        <w:t> </w:t>
      </w:r>
      <w:r>
        <w:rPr/>
        <w:t>geográfica,</w:t>
      </w:r>
      <w:r>
        <w:rPr>
          <w:spacing w:val="-5"/>
        </w:rPr>
        <w:t> </w:t>
      </w:r>
      <w:r>
        <w:rPr/>
        <w:t>idade,</w:t>
      </w:r>
      <w:r>
        <w:rPr>
          <w:spacing w:val="-5"/>
        </w:rPr>
        <w:t> </w:t>
      </w:r>
      <w:r>
        <w:rPr/>
        <w:t>ocupação. Assim, em Tecumseh, verificou-se que a prevalência de varizes em mulheres foi de 25,9% e nos homens, de 12,9%.</w:t>
      </w:r>
      <w:r>
        <w:rPr>
          <w:vertAlign w:val="superscript"/>
        </w:rPr>
        <w:t>1</w:t>
      </w:r>
      <w:r>
        <w:rPr>
          <w:vertAlign w:val="baseline"/>
        </w:rPr>
        <w:t> Em Basle foram analisados operários de indústrias químicas, para varicosidades de todos os tipos, encontrando-se</w:t>
      </w:r>
      <w:r>
        <w:rPr>
          <w:spacing w:val="-2"/>
          <w:vertAlign w:val="baseline"/>
        </w:rPr>
        <w:t> </w:t>
      </w:r>
      <w:r>
        <w:rPr>
          <w:vertAlign w:val="baseline"/>
        </w:rPr>
        <w:t>incidência</w:t>
      </w:r>
      <w:r>
        <w:rPr>
          <w:spacing w:val="-2"/>
          <w:vertAlign w:val="baseline"/>
        </w:rPr>
        <w:t> </w:t>
      </w:r>
      <w:r>
        <w:rPr>
          <w:vertAlign w:val="baseline"/>
        </w:rPr>
        <w:t>de</w:t>
      </w:r>
      <w:r>
        <w:rPr>
          <w:spacing w:val="-2"/>
          <w:vertAlign w:val="baseline"/>
        </w:rPr>
        <w:t> </w:t>
      </w:r>
      <w:r>
        <w:rPr>
          <w:vertAlign w:val="baseline"/>
        </w:rPr>
        <w:t>55 a</w:t>
      </w:r>
      <w:r>
        <w:rPr>
          <w:spacing w:val="-2"/>
          <w:vertAlign w:val="baseline"/>
        </w:rPr>
        <w:t> </w:t>
      </w:r>
      <w:r>
        <w:rPr>
          <w:vertAlign w:val="baseline"/>
        </w:rPr>
        <w:t>68% em mulheres e</w:t>
      </w:r>
      <w:r>
        <w:rPr>
          <w:spacing w:val="-2"/>
          <w:vertAlign w:val="baseline"/>
        </w:rPr>
        <w:t> </w:t>
      </w:r>
      <w:r>
        <w:rPr>
          <w:vertAlign w:val="baseline"/>
        </w:rPr>
        <w:t>de</w:t>
      </w:r>
      <w:r>
        <w:rPr>
          <w:spacing w:val="-2"/>
          <w:vertAlign w:val="baseline"/>
        </w:rPr>
        <w:t> </w:t>
      </w:r>
      <w:r>
        <w:rPr>
          <w:vertAlign w:val="baseline"/>
        </w:rPr>
        <w:t>56 a</w:t>
      </w:r>
      <w:r>
        <w:rPr>
          <w:spacing w:val="-2"/>
          <w:vertAlign w:val="baseline"/>
        </w:rPr>
        <w:t> </w:t>
      </w:r>
      <w:r>
        <w:rPr>
          <w:vertAlign w:val="baseline"/>
        </w:rPr>
        <w:t>57% em homens.</w:t>
      </w:r>
      <w:r>
        <w:rPr>
          <w:vertAlign w:val="superscript"/>
        </w:rPr>
        <w:t>2</w:t>
      </w:r>
      <w:r>
        <w:rPr>
          <w:vertAlign w:val="baseline"/>
        </w:rPr>
        <w:t> Incluíram-se</w:t>
      </w:r>
      <w:r>
        <w:rPr>
          <w:spacing w:val="-4"/>
          <w:vertAlign w:val="baseline"/>
        </w:rPr>
        <w:t> </w:t>
      </w:r>
      <w:r>
        <w:rPr>
          <w:vertAlign w:val="baseline"/>
        </w:rPr>
        <w:t>varicosidades, veias reticulares e telangiectasias, e 3,2% representavam varizes de veias tronculares em homens e mulheres. Norgreen admite que 25 a 33% das mulheres e 10 a 20% dos homens sofrem de varizes nos membros inferiores.</w:t>
      </w:r>
      <w:r>
        <w:rPr>
          <w:vertAlign w:val="superscript"/>
        </w:rPr>
        <w:t>3</w:t>
      </w:r>
    </w:p>
    <w:p>
      <w:pPr>
        <w:pStyle w:val="BodyText"/>
        <w:spacing w:line="283" w:lineRule="auto" w:before="33"/>
        <w:ind w:right="488"/>
      </w:pPr>
      <w:r>
        <w:rPr/>
        <w:t>A prevalência das varicosidades aumenta com a idade. Estudos realizados em Israel e nos EUA mostram que homens que</w:t>
      </w:r>
      <w:r>
        <w:rPr>
          <w:spacing w:val="-1"/>
        </w:rPr>
        <w:t> </w:t>
      </w:r>
      <w:r>
        <w:rPr/>
        <w:t>têm 3% de</w:t>
      </w:r>
      <w:r>
        <w:rPr>
          <w:spacing w:val="-1"/>
        </w:rPr>
        <w:t> </w:t>
      </w:r>
      <w:r>
        <w:rPr/>
        <w:t>varizes antes dos 30 anos, chegam a</w:t>
      </w:r>
      <w:r>
        <w:rPr>
          <w:spacing w:val="-1"/>
        </w:rPr>
        <w:t> </w:t>
      </w:r>
      <w:r>
        <w:rPr/>
        <w:t>40% antes dos 70. Já</w:t>
      </w:r>
      <w:r>
        <w:rPr>
          <w:spacing w:val="-1"/>
        </w:rPr>
        <w:t> </w:t>
      </w:r>
      <w:r>
        <w:rPr/>
        <w:t>as mulheres apresentam de</w:t>
      </w:r>
      <w:r>
        <w:rPr>
          <w:spacing w:val="-1"/>
        </w:rPr>
        <w:t> </w:t>
      </w:r>
      <w:r>
        <w:rPr/>
        <w:t>20 a 50% nesse mesmo intervalo de idade.</w:t>
      </w:r>
      <w:r>
        <w:rPr>
          <w:vertAlign w:val="superscript"/>
        </w:rPr>
        <w:t>1,4</w:t>
      </w:r>
    </w:p>
    <w:p>
      <w:pPr>
        <w:pStyle w:val="BodyText"/>
        <w:spacing w:line="283" w:lineRule="auto" w:before="57"/>
        <w:ind w:right="494"/>
      </w:pPr>
      <w:r>
        <w:rPr/>
        <w:t>Os trabalhos que</w:t>
      </w:r>
      <w:r>
        <w:rPr>
          <w:spacing w:val="-7"/>
        </w:rPr>
        <w:t> </w:t>
      </w:r>
      <w:r>
        <w:rPr/>
        <w:t>analisam</w:t>
      </w:r>
      <w:r>
        <w:rPr>
          <w:spacing w:val="-5"/>
        </w:rPr>
        <w:t> </w:t>
      </w:r>
      <w:r>
        <w:rPr/>
        <w:t>a</w:t>
      </w:r>
      <w:r>
        <w:rPr>
          <w:spacing w:val="-7"/>
        </w:rPr>
        <w:t> </w:t>
      </w:r>
      <w:r>
        <w:rPr/>
        <w:t>incidência</w:t>
      </w:r>
      <w:r>
        <w:rPr>
          <w:spacing w:val="-7"/>
        </w:rPr>
        <w:t> </w:t>
      </w:r>
      <w:r>
        <w:rPr/>
        <w:t>de</w:t>
      </w:r>
      <w:r>
        <w:rPr>
          <w:spacing w:val="-7"/>
        </w:rPr>
        <w:t> </w:t>
      </w:r>
      <w:r>
        <w:rPr/>
        <w:t>varizes são</w:t>
      </w:r>
      <w:r>
        <w:rPr>
          <w:spacing w:val="-5"/>
        </w:rPr>
        <w:t> </w:t>
      </w:r>
      <w:r>
        <w:rPr/>
        <w:t>raros. Em</w:t>
      </w:r>
      <w:r>
        <w:rPr>
          <w:spacing w:val="-5"/>
        </w:rPr>
        <w:t> </w:t>
      </w:r>
      <w:r>
        <w:rPr/>
        <w:t>Framingham, anualmente, verificaram-se</w:t>
      </w:r>
      <w:r>
        <w:rPr>
          <w:spacing w:val="-7"/>
        </w:rPr>
        <w:t> </w:t>
      </w:r>
      <w:r>
        <w:rPr/>
        <w:t>2,6% em mulheres e</w:t>
      </w:r>
      <w:r>
        <w:rPr>
          <w:spacing w:val="-1"/>
        </w:rPr>
        <w:t> </w:t>
      </w:r>
      <w:r>
        <w:rPr/>
        <w:t>1,9% em homens.</w:t>
      </w:r>
      <w:r>
        <w:rPr>
          <w:vertAlign w:val="superscript"/>
        </w:rPr>
        <w:t>4</w:t>
      </w:r>
      <w:r>
        <w:rPr>
          <w:vertAlign w:val="baseline"/>
        </w:rPr>
        <w:t> Nos estudos de</w:t>
      </w:r>
      <w:r>
        <w:rPr>
          <w:spacing w:val="-1"/>
          <w:vertAlign w:val="baseline"/>
        </w:rPr>
        <w:t> </w:t>
      </w:r>
      <w:r>
        <w:rPr>
          <w:vertAlign w:val="baseline"/>
        </w:rPr>
        <w:t>Basle, em indivíduos sem varizes, elas se</w:t>
      </w:r>
      <w:r>
        <w:rPr>
          <w:spacing w:val="-1"/>
          <w:vertAlign w:val="baseline"/>
        </w:rPr>
        <w:t> </w:t>
      </w:r>
      <w:r>
        <w:rPr>
          <w:vertAlign w:val="baseline"/>
        </w:rPr>
        <w:t>desenvolveram a</w:t>
      </w:r>
      <w:r>
        <w:rPr>
          <w:spacing w:val="-1"/>
          <w:vertAlign w:val="baseline"/>
        </w:rPr>
        <w:t> </w:t>
      </w:r>
      <w:r>
        <w:rPr>
          <w:vertAlign w:val="baseline"/>
        </w:rPr>
        <w:t>uma taxa de 0,4 a 8% anualmente.</w:t>
      </w:r>
      <w:r>
        <w:rPr>
          <w:vertAlign w:val="superscript"/>
        </w:rPr>
        <w:t>2</w:t>
      </w:r>
      <w:r>
        <w:rPr>
          <w:vertAlign w:val="baseline"/>
        </w:rPr>
        <w:t> Nessa pesquisa, destaca-se a prevalência de varizes em multíparas, quando comparadas a</w:t>
      </w:r>
      <w:r>
        <w:rPr>
          <w:spacing w:val="-10"/>
          <w:vertAlign w:val="baseline"/>
        </w:rPr>
        <w:t> </w:t>
      </w:r>
      <w:r>
        <w:rPr>
          <w:vertAlign w:val="baseline"/>
        </w:rPr>
        <w:t>mulheres com</w:t>
      </w:r>
      <w:r>
        <w:rPr>
          <w:spacing w:val="-7"/>
          <w:vertAlign w:val="baseline"/>
        </w:rPr>
        <w:t> </w:t>
      </w:r>
      <w:r>
        <w:rPr>
          <w:vertAlign w:val="baseline"/>
        </w:rPr>
        <w:t>uma</w:t>
      </w:r>
      <w:r>
        <w:rPr>
          <w:spacing w:val="-10"/>
          <w:vertAlign w:val="baseline"/>
        </w:rPr>
        <w:t> </w:t>
      </w:r>
      <w:r>
        <w:rPr>
          <w:vertAlign w:val="baseline"/>
        </w:rPr>
        <w:t>só</w:t>
      </w:r>
      <w:r>
        <w:rPr>
          <w:spacing w:val="-7"/>
          <w:vertAlign w:val="baseline"/>
        </w:rPr>
        <w:t> </w:t>
      </w:r>
      <w:r>
        <w:rPr>
          <w:vertAlign w:val="baseline"/>
        </w:rPr>
        <w:t>gestação. Ainda</w:t>
      </w:r>
      <w:r>
        <w:rPr>
          <w:spacing w:val="-10"/>
          <w:vertAlign w:val="baseline"/>
        </w:rPr>
        <w:t> </w:t>
      </w:r>
      <w:r>
        <w:rPr>
          <w:vertAlign w:val="baseline"/>
        </w:rPr>
        <w:t>em</w:t>
      </w:r>
      <w:r>
        <w:rPr>
          <w:spacing w:val="-7"/>
          <w:vertAlign w:val="baseline"/>
        </w:rPr>
        <w:t> </w:t>
      </w:r>
      <w:r>
        <w:rPr>
          <w:vertAlign w:val="baseline"/>
        </w:rPr>
        <w:t>Framinghan</w:t>
      </w:r>
      <w:r>
        <w:rPr>
          <w:spacing w:val="-7"/>
          <w:vertAlign w:val="baseline"/>
        </w:rPr>
        <w:t> </w:t>
      </w:r>
      <w:r>
        <w:rPr>
          <w:vertAlign w:val="baseline"/>
        </w:rPr>
        <w:t>observou-se, após 16</w:t>
      </w:r>
      <w:r>
        <w:rPr>
          <w:spacing w:val="-7"/>
          <w:vertAlign w:val="baseline"/>
        </w:rPr>
        <w:t> </w:t>
      </w:r>
      <w:r>
        <w:rPr>
          <w:vertAlign w:val="baseline"/>
        </w:rPr>
        <w:t>anos, que</w:t>
      </w:r>
      <w:r>
        <w:rPr>
          <w:spacing w:val="-10"/>
          <w:vertAlign w:val="baseline"/>
        </w:rPr>
        <w:t> </w:t>
      </w:r>
      <w:r>
        <w:rPr>
          <w:vertAlign w:val="baseline"/>
        </w:rPr>
        <w:t>obesos tinham mais varizes, particularmente as mulheres com sobrepeso.</w:t>
      </w:r>
    </w:p>
    <w:p>
      <w:pPr>
        <w:pStyle w:val="BodyText"/>
        <w:spacing w:line="276" w:lineRule="auto" w:before="57"/>
        <w:ind w:right="491"/>
      </w:pPr>
      <w:r>
        <w:rPr/>
        <w:t>A</w:t>
      </w:r>
      <w:r>
        <w:rPr>
          <w:spacing w:val="-8"/>
        </w:rPr>
        <w:t> </w:t>
      </w:r>
      <w:r>
        <w:rPr/>
        <w:t>incidência</w:t>
      </w:r>
      <w:r>
        <w:rPr>
          <w:spacing w:val="-8"/>
        </w:rPr>
        <w:t> </w:t>
      </w:r>
      <w:r>
        <w:rPr/>
        <w:t>e</w:t>
      </w:r>
      <w:r>
        <w:rPr>
          <w:spacing w:val="-8"/>
        </w:rPr>
        <w:t> </w:t>
      </w:r>
      <w:r>
        <w:rPr/>
        <w:t>prevalência</w:t>
      </w:r>
      <w:r>
        <w:rPr>
          <w:spacing w:val="-8"/>
        </w:rPr>
        <w:t> </w:t>
      </w:r>
      <w:r>
        <w:rPr/>
        <w:t>das úlceras varicosas não</w:t>
      </w:r>
      <w:r>
        <w:rPr>
          <w:spacing w:val="-5"/>
        </w:rPr>
        <w:t> </w:t>
      </w:r>
      <w:r>
        <w:rPr/>
        <w:t>são</w:t>
      </w:r>
      <w:r>
        <w:rPr>
          <w:spacing w:val="-5"/>
        </w:rPr>
        <w:t> </w:t>
      </w:r>
      <w:r>
        <w:rPr/>
        <w:t>estudadas isoladamente. Os trabalhos incluem</w:t>
      </w:r>
      <w:r>
        <w:rPr>
          <w:spacing w:val="-5"/>
        </w:rPr>
        <w:t> </w:t>
      </w:r>
      <w:r>
        <w:rPr/>
        <w:t>também as lesões que acontecem na evolução e complicação crônica de tromboses venosas profundas, assim como outras em raras patologias que envolvem o sistema venoso profundo, sendo, todas, agrupadas como úlceras de estase venosa</w:t>
      </w:r>
      <w:r>
        <w:rPr>
          <w:spacing w:val="-10"/>
        </w:rPr>
        <w:t> </w:t>
      </w:r>
      <w:r>
        <w:rPr/>
        <w:t>crônica. Essas constituem</w:t>
      </w:r>
      <w:r>
        <w:rPr>
          <w:spacing w:val="-7"/>
        </w:rPr>
        <w:t> </w:t>
      </w:r>
      <w:r>
        <w:rPr/>
        <w:t>uma</w:t>
      </w:r>
      <w:r>
        <w:rPr>
          <w:spacing w:val="-10"/>
        </w:rPr>
        <w:t> </w:t>
      </w:r>
      <w:r>
        <w:rPr/>
        <w:t>das complicações mais importantes e</w:t>
      </w:r>
      <w:r>
        <w:rPr>
          <w:spacing w:val="-10"/>
        </w:rPr>
        <w:t> </w:t>
      </w:r>
      <w:r>
        <w:rPr/>
        <w:t>característica</w:t>
      </w:r>
      <w:r>
        <w:rPr>
          <w:spacing w:val="-10"/>
        </w:rPr>
        <w:t> </w:t>
      </w:r>
      <w:r>
        <w:rPr/>
        <w:t>da</w:t>
      </w:r>
      <w:r>
        <w:rPr>
          <w:spacing w:val="-10"/>
        </w:rPr>
        <w:t> </w:t>
      </w:r>
      <w:r>
        <w:rPr/>
        <w:t>doença, representando 73% das úlceras dos membros inferiores.</w:t>
      </w:r>
    </w:p>
    <w:p>
      <w:pPr>
        <w:pStyle w:val="BodyText"/>
        <w:spacing w:line="290" w:lineRule="auto" w:before="49"/>
        <w:ind w:right="501"/>
      </w:pPr>
      <w:r>
        <w:rPr/>
        <w:t>A</w:t>
      </w:r>
      <w:r>
        <w:rPr>
          <w:spacing w:val="-3"/>
        </w:rPr>
        <w:t> </w:t>
      </w:r>
      <w:r>
        <w:rPr/>
        <w:t>efetiva</w:t>
      </w:r>
      <w:r>
        <w:rPr>
          <w:spacing w:val="-3"/>
        </w:rPr>
        <w:t> </w:t>
      </w:r>
      <w:r>
        <w:rPr/>
        <w:t>prevalência</w:t>
      </w:r>
      <w:r>
        <w:rPr>
          <w:spacing w:val="-3"/>
        </w:rPr>
        <w:t> </w:t>
      </w:r>
      <w:r>
        <w:rPr/>
        <w:t>das úlceras de</w:t>
      </w:r>
      <w:r>
        <w:rPr>
          <w:spacing w:val="-3"/>
        </w:rPr>
        <w:t> </w:t>
      </w:r>
      <w:r>
        <w:rPr/>
        <w:t>origem venosa</w:t>
      </w:r>
      <w:r>
        <w:rPr>
          <w:spacing w:val="-3"/>
        </w:rPr>
        <w:t> </w:t>
      </w:r>
      <w:r>
        <w:rPr/>
        <w:t>é</w:t>
      </w:r>
      <w:r>
        <w:rPr>
          <w:spacing w:val="-3"/>
        </w:rPr>
        <w:t> </w:t>
      </w:r>
      <w:r>
        <w:rPr/>
        <w:t>variável e, em uma</w:t>
      </w:r>
      <w:r>
        <w:rPr>
          <w:spacing w:val="-3"/>
        </w:rPr>
        <w:t> </w:t>
      </w:r>
      <w:r>
        <w:rPr/>
        <w:t>população acima</w:t>
      </w:r>
      <w:r>
        <w:rPr>
          <w:spacing w:val="-3"/>
        </w:rPr>
        <w:t> </w:t>
      </w:r>
      <w:r>
        <w:rPr/>
        <w:t>de</w:t>
      </w:r>
      <w:r>
        <w:rPr>
          <w:spacing w:val="-3"/>
        </w:rPr>
        <w:t> </w:t>
      </w:r>
      <w:r>
        <w:rPr/>
        <w:t>18 anos de</w:t>
      </w:r>
      <w:r>
        <w:rPr>
          <w:spacing w:val="-3"/>
        </w:rPr>
        <w:t> </w:t>
      </w:r>
      <w:r>
        <w:rPr/>
        <w:t>idade, gira em torno de 0,3%. Na Suécia varia de 0,22% nos homens e 0,49% em mulheres.</w:t>
      </w:r>
      <w:r>
        <w:rPr>
          <w:vertAlign w:val="superscript"/>
        </w:rPr>
        <w:t>5</w:t>
      </w:r>
      <w:r>
        <w:rPr>
          <w:vertAlign w:val="baseline"/>
        </w:rPr>
        <w:t> Geralmente os trabalhos relatam predominância</w:t>
      </w:r>
      <w:r>
        <w:rPr>
          <w:spacing w:val="-3"/>
          <w:vertAlign w:val="baseline"/>
        </w:rPr>
        <w:t> </w:t>
      </w:r>
      <w:r>
        <w:rPr>
          <w:vertAlign w:val="baseline"/>
        </w:rPr>
        <w:t>da</w:t>
      </w:r>
      <w:r>
        <w:rPr>
          <w:spacing w:val="-3"/>
          <w:vertAlign w:val="baseline"/>
        </w:rPr>
        <w:t> </w:t>
      </w:r>
      <w:r>
        <w:rPr>
          <w:vertAlign w:val="baseline"/>
        </w:rPr>
        <w:t>lesão no sexo feminino, embora</w:t>
      </w:r>
      <w:r>
        <w:rPr>
          <w:spacing w:val="-3"/>
          <w:vertAlign w:val="baseline"/>
        </w:rPr>
        <w:t> </w:t>
      </w:r>
      <w:r>
        <w:rPr>
          <w:vertAlign w:val="baseline"/>
        </w:rPr>
        <w:t>Callam </w:t>
      </w:r>
      <w:r>
        <w:rPr>
          <w:i/>
          <w:vertAlign w:val="baseline"/>
        </w:rPr>
        <w:t>et al. </w:t>
      </w:r>
      <w:r>
        <w:rPr>
          <w:vertAlign w:val="baseline"/>
        </w:rPr>
        <w:t>encontrem prevalência</w:t>
      </w:r>
      <w:r>
        <w:rPr>
          <w:spacing w:val="-3"/>
          <w:vertAlign w:val="baseline"/>
        </w:rPr>
        <w:t> </w:t>
      </w:r>
      <w:r>
        <w:rPr>
          <w:vertAlign w:val="baseline"/>
        </w:rPr>
        <w:t>nos homens.</w:t>
      </w:r>
      <w:r>
        <w:rPr>
          <w:vertAlign w:val="superscript"/>
        </w:rPr>
        <w:t>6</w:t>
      </w:r>
    </w:p>
    <w:p>
      <w:pPr>
        <w:pStyle w:val="BodyText"/>
        <w:spacing w:line="290" w:lineRule="auto" w:before="49"/>
        <w:ind w:right="488"/>
      </w:pPr>
      <w:r>
        <w:rPr/>
        <w:t>Quando as úlceras estão em atividade, aparecem em 0,3% da população, mas, se considerarmos as abertas e cicatrizadas, esses valores chegam a 1%.</w:t>
      </w:r>
      <w:r>
        <w:rPr>
          <w:vertAlign w:val="superscript"/>
        </w:rPr>
        <w:t>5</w:t>
      </w:r>
    </w:p>
    <w:p>
      <w:pPr>
        <w:pStyle w:val="BodyText"/>
        <w:spacing w:line="290" w:lineRule="auto" w:before="33"/>
        <w:ind w:right="500"/>
      </w:pPr>
      <w:r>
        <w:rPr/>
        <w:t>Os trabalhos sobre a incidência de úlceras venosas são poucos. Em Basle, após 11 anos de seguimento, observou-se</w:t>
      </w:r>
      <w:r>
        <w:rPr>
          <w:spacing w:val="-1"/>
        </w:rPr>
        <w:t> </w:t>
      </w:r>
      <w:r>
        <w:rPr/>
        <w:t>incidência</w:t>
      </w:r>
      <w:r>
        <w:rPr>
          <w:spacing w:val="-1"/>
        </w:rPr>
        <w:t> </w:t>
      </w:r>
      <w:r>
        <w:rPr/>
        <w:t>de</w:t>
      </w:r>
      <w:r>
        <w:rPr>
          <w:spacing w:val="-1"/>
        </w:rPr>
        <w:t> </w:t>
      </w:r>
      <w:r>
        <w:rPr/>
        <w:t>0,2% anual em indivíduos que</w:t>
      </w:r>
      <w:r>
        <w:rPr>
          <w:spacing w:val="-1"/>
        </w:rPr>
        <w:t> </w:t>
      </w:r>
      <w:r>
        <w:rPr/>
        <w:t>não tinham varizes no início do estudo.</w:t>
      </w:r>
      <w:r>
        <w:rPr>
          <w:vertAlign w:val="superscript"/>
        </w:rPr>
        <w:t>2</w:t>
      </w:r>
    </w:p>
    <w:p>
      <w:pPr>
        <w:pStyle w:val="BodyText"/>
        <w:spacing w:after="0" w:line="290" w:lineRule="auto"/>
        <w:sectPr>
          <w:pgSz w:w="11900" w:h="16840"/>
          <w:pgMar w:top="280" w:bottom="280" w:left="566" w:right="141"/>
        </w:sectPr>
      </w:pPr>
    </w:p>
    <w:p>
      <w:pPr>
        <w:pStyle w:val="Heading4"/>
        <w:spacing w:before="64"/>
      </w:pPr>
      <w:r>
        <w:rPr>
          <w:color w:val="242B67"/>
          <w:spacing w:val="-2"/>
        </w:rPr>
        <w:t>Anatomia</w:t>
      </w:r>
    </w:p>
    <w:p>
      <w:pPr>
        <w:pStyle w:val="BodyText"/>
        <w:spacing w:before="132"/>
        <w:ind w:left="414" w:firstLine="0"/>
      </w:pPr>
      <w:r>
        <w:rPr/>
        <w:t>No</w:t>
      </w:r>
      <w:r>
        <w:rPr>
          <w:spacing w:val="-5"/>
        </w:rPr>
        <w:t> </w:t>
      </w:r>
      <w:r>
        <w:rPr/>
        <w:t>membro</w:t>
      </w:r>
      <w:r>
        <w:rPr>
          <w:spacing w:val="-4"/>
        </w:rPr>
        <w:t> </w:t>
      </w:r>
      <w:r>
        <w:rPr/>
        <w:t>inferior há</w:t>
      </w:r>
      <w:r>
        <w:rPr>
          <w:spacing w:val="-7"/>
        </w:rPr>
        <w:t> </w:t>
      </w:r>
      <w:r>
        <w:rPr/>
        <w:t>três</w:t>
      </w:r>
      <w:r>
        <w:rPr>
          <w:spacing w:val="4"/>
        </w:rPr>
        <w:t> </w:t>
      </w:r>
      <w:r>
        <w:rPr/>
        <w:t>sistemas</w:t>
      </w:r>
      <w:r>
        <w:rPr>
          <w:spacing w:val="3"/>
        </w:rPr>
        <w:t> </w:t>
      </w:r>
      <w:r>
        <w:rPr/>
        <w:t>venosos</w:t>
      </w:r>
      <w:r>
        <w:rPr>
          <w:spacing w:val="4"/>
        </w:rPr>
        <w:t> </w:t>
      </w:r>
      <w:r>
        <w:rPr/>
        <w:t>a</w:t>
      </w:r>
      <w:r>
        <w:rPr>
          <w:spacing w:val="-7"/>
        </w:rPr>
        <w:t> </w:t>
      </w:r>
      <w:r>
        <w:rPr>
          <w:spacing w:val="-2"/>
        </w:rPr>
        <w:t>considerar:</w:t>
      </w:r>
    </w:p>
    <w:p>
      <w:pPr>
        <w:pStyle w:val="ListParagraph"/>
        <w:numPr>
          <w:ilvl w:val="0"/>
          <w:numId w:val="31"/>
        </w:numPr>
        <w:tabs>
          <w:tab w:pos="397" w:val="left" w:leader="none"/>
        </w:tabs>
        <w:spacing w:line="240" w:lineRule="auto" w:before="200" w:after="0"/>
        <w:ind w:left="397" w:right="0" w:hanging="329"/>
        <w:jc w:val="left"/>
        <w:rPr>
          <w:sz w:val="23"/>
        </w:rPr>
      </w:pPr>
      <w:r>
        <w:rPr>
          <w:sz w:val="23"/>
        </w:rPr>
        <w:t>Profundo,</w:t>
      </w:r>
      <w:r>
        <w:rPr>
          <w:spacing w:val="-2"/>
          <w:sz w:val="23"/>
        </w:rPr>
        <w:t> subaponeurótico</w:t>
      </w:r>
    </w:p>
    <w:p>
      <w:pPr>
        <w:pStyle w:val="ListParagraph"/>
        <w:numPr>
          <w:ilvl w:val="0"/>
          <w:numId w:val="31"/>
        </w:numPr>
        <w:tabs>
          <w:tab w:pos="397" w:val="left" w:leader="none"/>
        </w:tabs>
        <w:spacing w:line="240" w:lineRule="auto" w:before="71" w:after="0"/>
        <w:ind w:left="397" w:right="0" w:hanging="329"/>
        <w:jc w:val="left"/>
        <w:rPr>
          <w:sz w:val="23"/>
        </w:rPr>
      </w:pPr>
      <w:r>
        <w:rPr>
          <w:sz w:val="23"/>
        </w:rPr>
        <w:t>Superficial,</w:t>
      </w:r>
      <w:r>
        <w:rPr>
          <w:spacing w:val="-11"/>
          <w:sz w:val="23"/>
        </w:rPr>
        <w:t> </w:t>
      </w:r>
      <w:r>
        <w:rPr>
          <w:spacing w:val="-2"/>
          <w:sz w:val="23"/>
        </w:rPr>
        <w:t>subcutâneo</w:t>
      </w:r>
    </w:p>
    <w:p>
      <w:pPr>
        <w:pStyle w:val="ListParagraph"/>
        <w:numPr>
          <w:ilvl w:val="0"/>
          <w:numId w:val="31"/>
        </w:numPr>
        <w:tabs>
          <w:tab w:pos="397" w:val="left" w:leader="none"/>
        </w:tabs>
        <w:spacing w:line="240" w:lineRule="auto" w:before="56" w:after="0"/>
        <w:ind w:left="397" w:right="0" w:hanging="329"/>
        <w:jc w:val="left"/>
        <w:rPr>
          <w:sz w:val="23"/>
        </w:rPr>
      </w:pPr>
      <w:r>
        <w:rPr>
          <w:sz w:val="23"/>
        </w:rPr>
        <w:t>Sistema</w:t>
      </w:r>
      <w:r>
        <w:rPr>
          <w:spacing w:val="-16"/>
          <w:sz w:val="23"/>
        </w:rPr>
        <w:t> </w:t>
      </w:r>
      <w:r>
        <w:rPr>
          <w:sz w:val="23"/>
        </w:rPr>
        <w:t>das</w:t>
      </w:r>
      <w:r>
        <w:rPr>
          <w:spacing w:val="-5"/>
          <w:sz w:val="23"/>
        </w:rPr>
        <w:t> </w:t>
      </w:r>
      <w:r>
        <w:rPr>
          <w:sz w:val="23"/>
        </w:rPr>
        <w:t>veias</w:t>
      </w:r>
      <w:r>
        <w:rPr>
          <w:spacing w:val="-4"/>
          <w:sz w:val="23"/>
        </w:rPr>
        <w:t> </w:t>
      </w:r>
      <w:r>
        <w:rPr>
          <w:sz w:val="23"/>
        </w:rPr>
        <w:t>perfurantes</w:t>
      </w:r>
      <w:r>
        <w:rPr>
          <w:spacing w:val="-5"/>
          <w:sz w:val="23"/>
        </w:rPr>
        <w:t> </w:t>
      </w:r>
      <w:r>
        <w:rPr>
          <w:sz w:val="23"/>
        </w:rPr>
        <w:t>comunicantes,</w:t>
      </w:r>
      <w:r>
        <w:rPr>
          <w:spacing w:val="-5"/>
          <w:sz w:val="23"/>
        </w:rPr>
        <w:t> </w:t>
      </w:r>
      <w:r>
        <w:rPr>
          <w:sz w:val="23"/>
        </w:rPr>
        <w:t>que</w:t>
      </w:r>
      <w:r>
        <w:rPr>
          <w:spacing w:val="-13"/>
          <w:sz w:val="23"/>
        </w:rPr>
        <w:t> </w:t>
      </w:r>
      <w:r>
        <w:rPr>
          <w:sz w:val="23"/>
        </w:rPr>
        <w:t>comunica</w:t>
      </w:r>
      <w:r>
        <w:rPr>
          <w:spacing w:val="-14"/>
          <w:sz w:val="23"/>
        </w:rPr>
        <w:t> </w:t>
      </w:r>
      <w:r>
        <w:rPr>
          <w:sz w:val="23"/>
        </w:rPr>
        <w:t>o</w:t>
      </w:r>
      <w:r>
        <w:rPr>
          <w:spacing w:val="-11"/>
          <w:sz w:val="23"/>
        </w:rPr>
        <w:t> </w:t>
      </w:r>
      <w:r>
        <w:rPr>
          <w:sz w:val="23"/>
        </w:rPr>
        <w:t>superficial</w:t>
      </w:r>
      <w:r>
        <w:rPr>
          <w:spacing w:val="-10"/>
          <w:sz w:val="23"/>
        </w:rPr>
        <w:t> </w:t>
      </w:r>
      <w:r>
        <w:rPr>
          <w:sz w:val="23"/>
        </w:rPr>
        <w:t>com</w:t>
      </w:r>
      <w:r>
        <w:rPr>
          <w:spacing w:val="-11"/>
          <w:sz w:val="23"/>
        </w:rPr>
        <w:t> </w:t>
      </w:r>
      <w:r>
        <w:rPr>
          <w:sz w:val="23"/>
        </w:rPr>
        <w:t>o</w:t>
      </w:r>
      <w:r>
        <w:rPr>
          <w:spacing w:val="-11"/>
          <w:sz w:val="23"/>
        </w:rPr>
        <w:t> </w:t>
      </w:r>
      <w:r>
        <w:rPr>
          <w:spacing w:val="-2"/>
          <w:sz w:val="23"/>
        </w:rPr>
        <w:t>profundo.</w:t>
      </w:r>
    </w:p>
    <w:p>
      <w:pPr>
        <w:pStyle w:val="BodyText"/>
        <w:spacing w:before="16"/>
        <w:ind w:left="0" w:firstLine="0"/>
        <w:jc w:val="left"/>
      </w:pPr>
    </w:p>
    <w:p>
      <w:pPr>
        <w:pStyle w:val="BodyText"/>
        <w:spacing w:line="276" w:lineRule="auto" w:before="0"/>
        <w:ind w:right="500"/>
      </w:pPr>
      <w:r>
        <w:rPr/>
        <w:t>O</w:t>
      </w:r>
      <w:r>
        <w:rPr>
          <w:spacing w:val="-6"/>
        </w:rPr>
        <w:t> </w:t>
      </w:r>
      <w:r>
        <w:rPr/>
        <w:t>sistema</w:t>
      </w:r>
      <w:r>
        <w:rPr>
          <w:spacing w:val="-5"/>
        </w:rPr>
        <w:t> </w:t>
      </w:r>
      <w:r>
        <w:rPr/>
        <w:t>venoso</w:t>
      </w:r>
      <w:r>
        <w:rPr>
          <w:spacing w:val="-2"/>
        </w:rPr>
        <w:t> </w:t>
      </w:r>
      <w:r>
        <w:rPr/>
        <w:t>profundo</w:t>
      </w:r>
      <w:r>
        <w:rPr>
          <w:spacing w:val="-2"/>
        </w:rPr>
        <w:t> </w:t>
      </w:r>
      <w:r>
        <w:rPr/>
        <w:t>é</w:t>
      </w:r>
      <w:r>
        <w:rPr>
          <w:spacing w:val="-5"/>
        </w:rPr>
        <w:t> </w:t>
      </w:r>
      <w:r>
        <w:rPr/>
        <w:t>formado</w:t>
      </w:r>
      <w:r>
        <w:rPr>
          <w:spacing w:val="-2"/>
        </w:rPr>
        <w:t> </w:t>
      </w:r>
      <w:r>
        <w:rPr/>
        <w:t>de</w:t>
      </w:r>
      <w:r>
        <w:rPr>
          <w:spacing w:val="-5"/>
        </w:rPr>
        <w:t> </w:t>
      </w:r>
      <w:r>
        <w:rPr/>
        <w:t>veias valvuladas que</w:t>
      </w:r>
      <w:r>
        <w:rPr>
          <w:spacing w:val="-5"/>
        </w:rPr>
        <w:t> </w:t>
      </w:r>
      <w:r>
        <w:rPr/>
        <w:t>se</w:t>
      </w:r>
      <w:r>
        <w:rPr>
          <w:spacing w:val="-5"/>
        </w:rPr>
        <w:t> </w:t>
      </w:r>
      <w:r>
        <w:rPr/>
        <w:t>situam</w:t>
      </w:r>
      <w:r>
        <w:rPr>
          <w:spacing w:val="-2"/>
        </w:rPr>
        <w:t> </w:t>
      </w:r>
      <w:r>
        <w:rPr/>
        <w:t>abaixo</w:t>
      </w:r>
      <w:r>
        <w:rPr>
          <w:spacing w:val="-2"/>
        </w:rPr>
        <w:t> </w:t>
      </w:r>
      <w:r>
        <w:rPr/>
        <w:t>da</w:t>
      </w:r>
      <w:r>
        <w:rPr>
          <w:spacing w:val="-5"/>
        </w:rPr>
        <w:t> </w:t>
      </w:r>
      <w:r>
        <w:rPr/>
        <w:t>aponeurose, entre</w:t>
      </w:r>
      <w:r>
        <w:rPr>
          <w:spacing w:val="-5"/>
        </w:rPr>
        <w:t> </w:t>
      </w:r>
      <w:r>
        <w:rPr/>
        <w:t>as massas musculares, e acompanham os troncos arteriais principais. Sob o ponto de vista funcional é o mais importante dos três sistemas, pois drena a maior parte do sangue das extremidades (85%).</w:t>
      </w:r>
    </w:p>
    <w:p>
      <w:pPr>
        <w:pStyle w:val="BodyText"/>
        <w:spacing w:line="280" w:lineRule="auto" w:before="48"/>
        <w:ind w:right="497"/>
      </w:pPr>
      <w:r>
        <w:rPr/>
        <w:t>Atualmente</w:t>
      </w:r>
      <w:r>
        <w:rPr>
          <w:spacing w:val="-6"/>
        </w:rPr>
        <w:t> </w:t>
      </w:r>
      <w:r>
        <w:rPr/>
        <w:t>não</w:t>
      </w:r>
      <w:r>
        <w:rPr>
          <w:spacing w:val="-3"/>
        </w:rPr>
        <w:t> </w:t>
      </w:r>
      <w:r>
        <w:rPr/>
        <w:t>se</w:t>
      </w:r>
      <w:r>
        <w:rPr>
          <w:spacing w:val="-6"/>
        </w:rPr>
        <w:t> </w:t>
      </w:r>
      <w:r>
        <w:rPr/>
        <w:t>admite</w:t>
      </w:r>
      <w:r>
        <w:rPr>
          <w:spacing w:val="-6"/>
        </w:rPr>
        <w:t> </w:t>
      </w:r>
      <w:r>
        <w:rPr/>
        <w:t>a</w:t>
      </w:r>
      <w:r>
        <w:rPr>
          <w:spacing w:val="-6"/>
        </w:rPr>
        <w:t> </w:t>
      </w:r>
      <w:r>
        <w:rPr/>
        <w:t>existência</w:t>
      </w:r>
      <w:r>
        <w:rPr>
          <w:spacing w:val="-6"/>
        </w:rPr>
        <w:t> </w:t>
      </w:r>
      <w:r>
        <w:rPr/>
        <w:t>de</w:t>
      </w:r>
      <w:r>
        <w:rPr>
          <w:spacing w:val="-6"/>
        </w:rPr>
        <w:t> </w:t>
      </w:r>
      <w:r>
        <w:rPr/>
        <w:t>varizes profundas, segundo</w:t>
      </w:r>
      <w:r>
        <w:rPr>
          <w:spacing w:val="-3"/>
        </w:rPr>
        <w:t> </w:t>
      </w:r>
      <w:r>
        <w:rPr/>
        <w:t>o</w:t>
      </w:r>
      <w:r>
        <w:rPr>
          <w:spacing w:val="-3"/>
        </w:rPr>
        <w:t> </w:t>
      </w:r>
      <w:r>
        <w:rPr/>
        <w:t>conceito</w:t>
      </w:r>
      <w:r>
        <w:rPr>
          <w:spacing w:val="-3"/>
        </w:rPr>
        <w:t> </w:t>
      </w:r>
      <w:r>
        <w:rPr/>
        <w:t>de</w:t>
      </w:r>
      <w:r>
        <w:rPr>
          <w:spacing w:val="-6"/>
        </w:rPr>
        <w:t> </w:t>
      </w:r>
      <w:r>
        <w:rPr/>
        <w:t>Verneuil. Todavia, Homans </w:t>
      </w:r>
      <w:r>
        <w:rPr>
          <w:i/>
        </w:rPr>
        <w:t>et al. </w:t>
      </w:r>
      <w:r>
        <w:rPr/>
        <w:t>verificaram que as veias do sistema profundo, após trombose e consequente recanalização, apresentam esclerose das paredes com perda de sua elasticidade e destruição das válvulas, tornando-se, assim, funcionalmente insuficientes e comportando-se, pois, como verdadeiras veias varicosas.</w:t>
      </w:r>
      <w:r>
        <w:rPr>
          <w:vertAlign w:val="superscript"/>
        </w:rPr>
        <w:t>7</w:t>
      </w:r>
    </w:p>
    <w:p>
      <w:pPr>
        <w:pStyle w:val="BodyText"/>
        <w:spacing w:line="276" w:lineRule="auto" w:before="60"/>
        <w:ind w:right="488"/>
      </w:pPr>
      <w:r>
        <w:rPr/>
        <w:t>O sistema venoso superficial é a sede habitual das varizes, sendo constituído por uma rede venosa que envolve todo</w:t>
      </w:r>
      <w:r>
        <w:rPr>
          <w:spacing w:val="-1"/>
        </w:rPr>
        <w:t> </w:t>
      </w:r>
      <w:r>
        <w:rPr/>
        <w:t>o</w:t>
      </w:r>
      <w:r>
        <w:rPr>
          <w:spacing w:val="-1"/>
        </w:rPr>
        <w:t> </w:t>
      </w:r>
      <w:r>
        <w:rPr/>
        <w:t>membro</w:t>
      </w:r>
      <w:r>
        <w:rPr>
          <w:spacing w:val="-1"/>
        </w:rPr>
        <w:t> </w:t>
      </w:r>
      <w:r>
        <w:rPr/>
        <w:t>e</w:t>
      </w:r>
      <w:r>
        <w:rPr>
          <w:spacing w:val="-5"/>
        </w:rPr>
        <w:t> </w:t>
      </w:r>
      <w:r>
        <w:rPr/>
        <w:t>que</w:t>
      </w:r>
      <w:r>
        <w:rPr>
          <w:spacing w:val="-5"/>
        </w:rPr>
        <w:t> </w:t>
      </w:r>
      <w:r>
        <w:rPr/>
        <w:t>conflui para</w:t>
      </w:r>
      <w:r>
        <w:rPr>
          <w:spacing w:val="-5"/>
        </w:rPr>
        <w:t> </w:t>
      </w:r>
      <w:r>
        <w:rPr/>
        <w:t>dois coletores: a</w:t>
      </w:r>
      <w:r>
        <w:rPr>
          <w:spacing w:val="-5"/>
        </w:rPr>
        <w:t> </w:t>
      </w:r>
      <w:r>
        <w:rPr/>
        <w:t>safena</w:t>
      </w:r>
      <w:r>
        <w:rPr>
          <w:spacing w:val="-5"/>
        </w:rPr>
        <w:t> </w:t>
      </w:r>
      <w:r>
        <w:rPr/>
        <w:t>interna</w:t>
      </w:r>
      <w:r>
        <w:rPr>
          <w:spacing w:val="-5"/>
        </w:rPr>
        <w:t> </w:t>
      </w:r>
      <w:r>
        <w:rPr/>
        <w:t>(magna) e</w:t>
      </w:r>
      <w:r>
        <w:rPr>
          <w:spacing w:val="-5"/>
        </w:rPr>
        <w:t> </w:t>
      </w:r>
      <w:r>
        <w:rPr/>
        <w:t>a</w:t>
      </w:r>
      <w:r>
        <w:rPr>
          <w:spacing w:val="-5"/>
        </w:rPr>
        <w:t> </w:t>
      </w:r>
      <w:r>
        <w:rPr/>
        <w:t>safena</w:t>
      </w:r>
      <w:r>
        <w:rPr>
          <w:spacing w:val="-5"/>
        </w:rPr>
        <w:t> </w:t>
      </w:r>
      <w:r>
        <w:rPr/>
        <w:t>externa</w:t>
      </w:r>
      <w:r>
        <w:rPr>
          <w:spacing w:val="-5"/>
        </w:rPr>
        <w:t> </w:t>
      </w:r>
      <w:r>
        <w:rPr/>
        <w:t>(parva). Esses troncos principais drenam o sangue da rede através de coletores menores (secundários) que são as colaterais das veias </w:t>
      </w:r>
      <w:r>
        <w:rPr>
          <w:spacing w:val="-2"/>
        </w:rPr>
        <w:t>safenas.</w:t>
      </w:r>
    </w:p>
    <w:p>
      <w:pPr>
        <w:pStyle w:val="BodyText"/>
        <w:spacing w:line="276" w:lineRule="auto" w:before="49"/>
        <w:ind w:right="491"/>
      </w:pPr>
      <w:r>
        <w:rPr/>
        <w:t>As veias perfurantes-comunicantes são pequenas veias que conectam o sistema venoso superficial com o profundo, atravessando a aponeurose por pequenos orifícios e pondo em comunicação os coletores principais ou secundários com as veias do sistema venoso profundo, no pé, perna e coxa. Podem ser únicas ou mais frequentemente duplas, providas de válvulas que orientam, como regra, a corrente sanguínea da superfície para a profundidade; quando varicosas ficam dilatadas assim como o orifício de penetração na aponeurose, tornando insuficientes suas válvulas. Nestas condições, na</w:t>
      </w:r>
      <w:r>
        <w:rPr>
          <w:spacing w:val="-4"/>
        </w:rPr>
        <w:t> </w:t>
      </w:r>
      <w:r>
        <w:rPr/>
        <w:t>posição</w:t>
      </w:r>
      <w:r>
        <w:rPr>
          <w:spacing w:val="-1"/>
        </w:rPr>
        <w:t> </w:t>
      </w:r>
      <w:r>
        <w:rPr/>
        <w:t>ortostática</w:t>
      </w:r>
      <w:r>
        <w:rPr>
          <w:spacing w:val="-4"/>
        </w:rPr>
        <w:t> </w:t>
      </w:r>
      <w:r>
        <w:rPr/>
        <w:t>e</w:t>
      </w:r>
      <w:r>
        <w:rPr>
          <w:spacing w:val="-4"/>
        </w:rPr>
        <w:t> </w:t>
      </w:r>
      <w:r>
        <w:rPr/>
        <w:t>durante</w:t>
      </w:r>
      <w:r>
        <w:rPr>
          <w:spacing w:val="-4"/>
        </w:rPr>
        <w:t> </w:t>
      </w:r>
      <w:r>
        <w:rPr/>
        <w:t>a</w:t>
      </w:r>
      <w:r>
        <w:rPr>
          <w:spacing w:val="-4"/>
        </w:rPr>
        <w:t> </w:t>
      </w:r>
      <w:r>
        <w:rPr/>
        <w:t>marcha, o</w:t>
      </w:r>
      <w:r>
        <w:rPr>
          <w:spacing w:val="-1"/>
        </w:rPr>
        <w:t> </w:t>
      </w:r>
      <w:r>
        <w:rPr/>
        <w:t>sangue</w:t>
      </w:r>
      <w:r>
        <w:rPr>
          <w:spacing w:val="-4"/>
        </w:rPr>
        <w:t> </w:t>
      </w:r>
      <w:r>
        <w:rPr/>
        <w:t>reflui do</w:t>
      </w:r>
      <w:r>
        <w:rPr>
          <w:spacing w:val="-1"/>
        </w:rPr>
        <w:t> </w:t>
      </w:r>
      <w:r>
        <w:rPr/>
        <w:t>sistema venoso profundo para o superficial.</w:t>
      </w:r>
    </w:p>
    <w:p>
      <w:pPr>
        <w:pStyle w:val="BodyText"/>
        <w:spacing w:before="186"/>
        <w:ind w:left="0" w:firstLine="0"/>
        <w:jc w:val="left"/>
      </w:pPr>
    </w:p>
    <w:p>
      <w:pPr>
        <w:pStyle w:val="Heading4"/>
      </w:pPr>
      <w:r>
        <w:rPr>
          <w:color w:val="242B67"/>
          <w:spacing w:val="-2"/>
        </w:rPr>
        <w:t>Etiologia</w:t>
      </w:r>
    </w:p>
    <w:p>
      <w:pPr>
        <w:pStyle w:val="BodyText"/>
        <w:spacing w:line="276" w:lineRule="auto" w:before="148"/>
        <w:ind w:right="500"/>
      </w:pPr>
      <w:r>
        <w:rPr/>
        <w:t>As varizes primitivas, idiopáticas ou essenciais não têm etiologia conhecida, porém, vários fatores predisponentes e desencadeantes têm sido aventados para explicá-las.</w:t>
      </w:r>
    </w:p>
    <w:p>
      <w:pPr>
        <w:pStyle w:val="BodyText"/>
        <w:spacing w:line="276" w:lineRule="auto" w:before="48"/>
        <w:ind w:right="488"/>
      </w:pPr>
      <w:r>
        <w:rPr/>
        <w:t>Entre</w:t>
      </w:r>
      <w:r>
        <w:rPr>
          <w:spacing w:val="-9"/>
        </w:rPr>
        <w:t> </w:t>
      </w:r>
      <w:r>
        <w:rPr/>
        <w:t>os fatores predisponentes, destaca-se</w:t>
      </w:r>
      <w:r>
        <w:rPr>
          <w:spacing w:val="-9"/>
        </w:rPr>
        <w:t> </w:t>
      </w:r>
      <w:r>
        <w:rPr/>
        <w:t>a</w:t>
      </w:r>
      <w:r>
        <w:rPr>
          <w:spacing w:val="-9"/>
        </w:rPr>
        <w:t> </w:t>
      </w:r>
      <w:r>
        <w:rPr/>
        <w:t>hereditariedade:</w:t>
      </w:r>
      <w:r>
        <w:rPr>
          <w:spacing w:val="-4"/>
        </w:rPr>
        <w:t> </w:t>
      </w:r>
      <w:r>
        <w:rPr/>
        <w:t>haveria</w:t>
      </w:r>
      <w:r>
        <w:rPr>
          <w:spacing w:val="-9"/>
        </w:rPr>
        <w:t> </w:t>
      </w:r>
      <w:r>
        <w:rPr/>
        <w:t>malformação</w:t>
      </w:r>
      <w:r>
        <w:rPr>
          <w:spacing w:val="-6"/>
        </w:rPr>
        <w:t> </w:t>
      </w:r>
      <w:r>
        <w:rPr/>
        <w:t>congênita</w:t>
      </w:r>
      <w:r>
        <w:rPr>
          <w:spacing w:val="-9"/>
        </w:rPr>
        <w:t> </w:t>
      </w:r>
      <w:r>
        <w:rPr/>
        <w:t>na</w:t>
      </w:r>
      <w:r>
        <w:rPr>
          <w:spacing w:val="-9"/>
        </w:rPr>
        <w:t> </w:t>
      </w:r>
      <w:r>
        <w:rPr/>
        <w:t>constituição</w:t>
      </w:r>
      <w:r>
        <w:rPr>
          <w:spacing w:val="-6"/>
        </w:rPr>
        <w:t> </w:t>
      </w:r>
      <w:r>
        <w:rPr/>
        <w:t>da veia</w:t>
      </w:r>
      <w:r>
        <w:rPr>
          <w:spacing w:val="-4"/>
        </w:rPr>
        <w:t> </w:t>
      </w:r>
      <w:r>
        <w:rPr/>
        <w:t>e</w:t>
      </w:r>
      <w:r>
        <w:rPr>
          <w:spacing w:val="-4"/>
        </w:rPr>
        <w:t> </w:t>
      </w:r>
      <w:r>
        <w:rPr/>
        <w:t>de</w:t>
      </w:r>
      <w:r>
        <w:rPr>
          <w:spacing w:val="-4"/>
        </w:rPr>
        <w:t> </w:t>
      </w:r>
      <w:r>
        <w:rPr/>
        <w:t>outros tecidos mesodérmicos. Em</w:t>
      </w:r>
      <w:r>
        <w:rPr>
          <w:spacing w:val="-2"/>
        </w:rPr>
        <w:t> </w:t>
      </w:r>
      <w:r>
        <w:rPr/>
        <w:t>favor dessa</w:t>
      </w:r>
      <w:r>
        <w:rPr>
          <w:spacing w:val="-4"/>
        </w:rPr>
        <w:t> </w:t>
      </w:r>
      <w:r>
        <w:rPr/>
        <w:t>hipótese</w:t>
      </w:r>
      <w:r>
        <w:rPr>
          <w:spacing w:val="-4"/>
        </w:rPr>
        <w:t> </w:t>
      </w:r>
      <w:r>
        <w:rPr/>
        <w:t>têm</w:t>
      </w:r>
      <w:r>
        <w:rPr>
          <w:spacing w:val="-2"/>
        </w:rPr>
        <w:t> </w:t>
      </w:r>
      <w:r>
        <w:rPr/>
        <w:t>sido</w:t>
      </w:r>
      <w:r>
        <w:rPr>
          <w:spacing w:val="-2"/>
        </w:rPr>
        <w:t> </w:t>
      </w:r>
      <w:r>
        <w:rPr/>
        <w:t>considerados vários argumentos, a</w:t>
      </w:r>
      <w:r>
        <w:rPr>
          <w:spacing w:val="-4"/>
        </w:rPr>
        <w:t> </w:t>
      </w:r>
      <w:r>
        <w:rPr/>
        <w:t>saber:</w:t>
      </w:r>
    </w:p>
    <w:p>
      <w:pPr>
        <w:pStyle w:val="ListParagraph"/>
        <w:numPr>
          <w:ilvl w:val="0"/>
          <w:numId w:val="31"/>
        </w:numPr>
        <w:tabs>
          <w:tab w:pos="412" w:val="left" w:leader="none"/>
        </w:tabs>
        <w:spacing w:line="276" w:lineRule="auto" w:before="161" w:after="0"/>
        <w:ind w:left="68" w:right="502" w:firstLine="0"/>
        <w:jc w:val="left"/>
        <w:rPr>
          <w:sz w:val="23"/>
        </w:rPr>
      </w:pPr>
      <w:r>
        <w:rPr>
          <w:sz w:val="23"/>
        </w:rPr>
        <w:t>As varizes coexistem, em grande número de casos, com outros defeitos do tecido de sustentação considerados hereditários, como vícios plantares, hérnia, hemorroidas e varicocele</w:t>
      </w:r>
    </w:p>
    <w:p>
      <w:pPr>
        <w:pStyle w:val="ListParagraph"/>
        <w:numPr>
          <w:ilvl w:val="0"/>
          <w:numId w:val="31"/>
        </w:numPr>
        <w:tabs>
          <w:tab w:pos="397" w:val="left" w:leader="none"/>
        </w:tabs>
        <w:spacing w:line="240" w:lineRule="auto" w:before="32" w:after="0"/>
        <w:ind w:left="397" w:right="0" w:hanging="329"/>
        <w:jc w:val="left"/>
        <w:rPr>
          <w:sz w:val="23"/>
        </w:rPr>
      </w:pPr>
      <w:r>
        <w:rPr>
          <w:sz w:val="23"/>
        </w:rPr>
        <w:t>Ausência</w:t>
      </w:r>
      <w:r>
        <w:rPr>
          <w:spacing w:val="-16"/>
          <w:sz w:val="23"/>
        </w:rPr>
        <w:t> </w:t>
      </w:r>
      <w:r>
        <w:rPr>
          <w:sz w:val="23"/>
        </w:rPr>
        <w:t>frequente</w:t>
      </w:r>
      <w:r>
        <w:rPr>
          <w:spacing w:val="-13"/>
          <w:sz w:val="23"/>
        </w:rPr>
        <w:t> </w:t>
      </w:r>
      <w:r>
        <w:rPr>
          <w:sz w:val="23"/>
        </w:rPr>
        <w:t>ou</w:t>
      </w:r>
      <w:r>
        <w:rPr>
          <w:spacing w:val="-10"/>
          <w:sz w:val="23"/>
        </w:rPr>
        <w:t> </w:t>
      </w:r>
      <w:r>
        <w:rPr>
          <w:sz w:val="23"/>
        </w:rPr>
        <w:t>defeito</w:t>
      </w:r>
      <w:r>
        <w:rPr>
          <w:spacing w:val="-11"/>
          <w:sz w:val="23"/>
        </w:rPr>
        <w:t> </w:t>
      </w:r>
      <w:r>
        <w:rPr>
          <w:sz w:val="23"/>
        </w:rPr>
        <w:t>de</w:t>
      </w:r>
      <w:r>
        <w:rPr>
          <w:spacing w:val="-13"/>
          <w:sz w:val="23"/>
        </w:rPr>
        <w:t> </w:t>
      </w:r>
      <w:r>
        <w:rPr>
          <w:sz w:val="23"/>
        </w:rPr>
        <w:t>implantação</w:t>
      </w:r>
      <w:r>
        <w:rPr>
          <w:spacing w:val="-11"/>
          <w:sz w:val="23"/>
        </w:rPr>
        <w:t> </w:t>
      </w:r>
      <w:r>
        <w:rPr>
          <w:sz w:val="23"/>
        </w:rPr>
        <w:t>da</w:t>
      </w:r>
      <w:r>
        <w:rPr>
          <w:spacing w:val="-13"/>
          <w:sz w:val="23"/>
        </w:rPr>
        <w:t> </w:t>
      </w:r>
      <w:r>
        <w:rPr>
          <w:sz w:val="23"/>
        </w:rPr>
        <w:t>válvula</w:t>
      </w:r>
      <w:r>
        <w:rPr>
          <w:spacing w:val="-13"/>
          <w:sz w:val="23"/>
        </w:rPr>
        <w:t> </w:t>
      </w:r>
      <w:r>
        <w:rPr>
          <w:sz w:val="23"/>
        </w:rPr>
        <w:t>ostial</w:t>
      </w:r>
      <w:r>
        <w:rPr>
          <w:spacing w:val="-8"/>
          <w:sz w:val="23"/>
        </w:rPr>
        <w:t> </w:t>
      </w:r>
      <w:r>
        <w:rPr>
          <w:sz w:val="23"/>
        </w:rPr>
        <w:t>da</w:t>
      </w:r>
      <w:r>
        <w:rPr>
          <w:spacing w:val="-13"/>
          <w:sz w:val="23"/>
        </w:rPr>
        <w:t> </w:t>
      </w:r>
      <w:r>
        <w:rPr>
          <w:sz w:val="23"/>
        </w:rPr>
        <w:t>safena</w:t>
      </w:r>
      <w:r>
        <w:rPr>
          <w:spacing w:val="-13"/>
          <w:sz w:val="23"/>
        </w:rPr>
        <w:t> </w:t>
      </w:r>
      <w:r>
        <w:rPr>
          <w:spacing w:val="-2"/>
          <w:sz w:val="23"/>
        </w:rPr>
        <w:t>interna</w:t>
      </w:r>
    </w:p>
    <w:p>
      <w:pPr>
        <w:pStyle w:val="ListParagraph"/>
        <w:numPr>
          <w:ilvl w:val="0"/>
          <w:numId w:val="31"/>
        </w:numPr>
        <w:tabs>
          <w:tab w:pos="397" w:val="left" w:leader="none"/>
        </w:tabs>
        <w:spacing w:line="240" w:lineRule="auto" w:before="56" w:after="0"/>
        <w:ind w:left="397" w:right="0" w:hanging="329"/>
        <w:jc w:val="left"/>
        <w:rPr>
          <w:sz w:val="23"/>
        </w:rPr>
      </w:pPr>
      <w:r>
        <w:rPr>
          <w:sz w:val="23"/>
        </w:rPr>
        <w:t>Persistência</w:t>
      </w:r>
      <w:r>
        <w:rPr>
          <w:spacing w:val="-15"/>
          <w:sz w:val="23"/>
        </w:rPr>
        <w:t> </w:t>
      </w:r>
      <w:r>
        <w:rPr>
          <w:sz w:val="23"/>
        </w:rPr>
        <w:t>anormal</w:t>
      </w:r>
      <w:r>
        <w:rPr>
          <w:spacing w:val="-14"/>
          <w:sz w:val="23"/>
        </w:rPr>
        <w:t> </w:t>
      </w:r>
      <w:r>
        <w:rPr>
          <w:sz w:val="23"/>
        </w:rPr>
        <w:t>de</w:t>
      </w:r>
      <w:r>
        <w:rPr>
          <w:spacing w:val="-15"/>
          <w:sz w:val="23"/>
        </w:rPr>
        <w:t> </w:t>
      </w:r>
      <w:r>
        <w:rPr>
          <w:sz w:val="23"/>
        </w:rPr>
        <w:t>anastomoses</w:t>
      </w:r>
      <w:r>
        <w:rPr>
          <w:spacing w:val="-12"/>
          <w:sz w:val="23"/>
        </w:rPr>
        <w:t> </w:t>
      </w:r>
      <w:r>
        <w:rPr>
          <w:sz w:val="23"/>
        </w:rPr>
        <w:t>arteriovenosas</w:t>
      </w:r>
      <w:r>
        <w:rPr>
          <w:spacing w:val="-8"/>
          <w:sz w:val="23"/>
        </w:rPr>
        <w:t> </w:t>
      </w:r>
      <w:r>
        <w:rPr>
          <w:spacing w:val="-2"/>
          <w:sz w:val="23"/>
        </w:rPr>
        <w:t>congênitas</w:t>
      </w:r>
    </w:p>
    <w:p>
      <w:pPr>
        <w:pStyle w:val="ListParagraph"/>
        <w:numPr>
          <w:ilvl w:val="0"/>
          <w:numId w:val="31"/>
        </w:numPr>
        <w:tabs>
          <w:tab w:pos="397" w:val="left" w:leader="none"/>
        </w:tabs>
        <w:spacing w:line="240" w:lineRule="auto" w:before="72" w:after="0"/>
        <w:ind w:left="397" w:right="0" w:hanging="329"/>
        <w:jc w:val="left"/>
        <w:rPr>
          <w:sz w:val="23"/>
        </w:rPr>
      </w:pPr>
      <w:r>
        <w:rPr>
          <w:sz w:val="23"/>
        </w:rPr>
        <w:t>Defeitos</w:t>
      </w:r>
      <w:r>
        <w:rPr>
          <w:spacing w:val="-3"/>
          <w:sz w:val="23"/>
        </w:rPr>
        <w:t> </w:t>
      </w:r>
      <w:r>
        <w:rPr>
          <w:sz w:val="23"/>
        </w:rPr>
        <w:t>estruturais</w:t>
      </w:r>
      <w:r>
        <w:rPr>
          <w:spacing w:val="-1"/>
          <w:sz w:val="23"/>
        </w:rPr>
        <w:t> </w:t>
      </w:r>
      <w:r>
        <w:rPr>
          <w:sz w:val="23"/>
        </w:rPr>
        <w:t>das veias</w:t>
      </w:r>
      <w:r>
        <w:rPr>
          <w:spacing w:val="-1"/>
          <w:sz w:val="23"/>
        </w:rPr>
        <w:t> </w:t>
      </w:r>
      <w:r>
        <w:rPr>
          <w:sz w:val="23"/>
        </w:rPr>
        <w:t>superficiais</w:t>
      </w:r>
      <w:r>
        <w:rPr>
          <w:spacing w:val="-1"/>
          <w:sz w:val="23"/>
        </w:rPr>
        <w:t> </w:t>
      </w:r>
      <w:r>
        <w:rPr>
          <w:sz w:val="23"/>
        </w:rPr>
        <w:t>vistos nos</w:t>
      </w:r>
      <w:r>
        <w:rPr>
          <w:spacing w:val="-1"/>
          <w:sz w:val="23"/>
        </w:rPr>
        <w:t> </w:t>
      </w:r>
      <w:r>
        <w:rPr>
          <w:sz w:val="23"/>
        </w:rPr>
        <w:t>estudos </w:t>
      </w:r>
      <w:r>
        <w:rPr>
          <w:spacing w:val="-2"/>
          <w:sz w:val="23"/>
        </w:rPr>
        <w:t>anatomopatológicos</w:t>
      </w:r>
    </w:p>
    <w:p>
      <w:pPr>
        <w:pStyle w:val="ListParagraph"/>
        <w:numPr>
          <w:ilvl w:val="0"/>
          <w:numId w:val="31"/>
        </w:numPr>
        <w:tabs>
          <w:tab w:pos="397" w:val="left" w:leader="none"/>
        </w:tabs>
        <w:spacing w:line="240" w:lineRule="auto" w:before="71" w:after="0"/>
        <w:ind w:left="397" w:right="0" w:hanging="329"/>
        <w:jc w:val="left"/>
        <w:rPr>
          <w:sz w:val="23"/>
        </w:rPr>
      </w:pPr>
      <w:r>
        <w:rPr>
          <w:spacing w:val="-2"/>
          <w:sz w:val="23"/>
        </w:rPr>
        <w:t>Elevada</w:t>
      </w:r>
      <w:r>
        <w:rPr>
          <w:spacing w:val="-9"/>
          <w:sz w:val="23"/>
        </w:rPr>
        <w:t> </w:t>
      </w:r>
      <w:r>
        <w:rPr>
          <w:spacing w:val="-2"/>
          <w:sz w:val="23"/>
        </w:rPr>
        <w:t>incidência</w:t>
      </w:r>
      <w:r>
        <w:rPr>
          <w:spacing w:val="-9"/>
          <w:sz w:val="23"/>
        </w:rPr>
        <w:t> </w:t>
      </w:r>
      <w:r>
        <w:rPr>
          <w:spacing w:val="-2"/>
          <w:sz w:val="23"/>
        </w:rPr>
        <w:t>familiar.</w:t>
      </w:r>
      <w:r>
        <w:rPr>
          <w:spacing w:val="-2"/>
          <w:sz w:val="23"/>
          <w:vertAlign w:val="superscript"/>
        </w:rPr>
        <w:t>8</w:t>
      </w:r>
    </w:p>
    <w:p>
      <w:pPr>
        <w:pStyle w:val="BodyText"/>
        <w:spacing w:before="0"/>
        <w:ind w:left="0" w:firstLine="0"/>
        <w:jc w:val="left"/>
      </w:pPr>
    </w:p>
    <w:p>
      <w:pPr>
        <w:pStyle w:val="BodyText"/>
        <w:spacing w:before="0"/>
        <w:ind w:left="414" w:firstLine="0"/>
      </w:pPr>
      <w:r>
        <w:rPr/>
        <w:t>Entre</w:t>
      </w:r>
      <w:r>
        <w:rPr>
          <w:spacing w:val="-15"/>
        </w:rPr>
        <w:t> </w:t>
      </w:r>
      <w:r>
        <w:rPr/>
        <w:t>os</w:t>
      </w:r>
      <w:r>
        <w:rPr>
          <w:spacing w:val="-3"/>
        </w:rPr>
        <w:t> </w:t>
      </w:r>
      <w:r>
        <w:rPr/>
        <w:t>fatores</w:t>
      </w:r>
      <w:r>
        <w:rPr>
          <w:spacing w:val="-3"/>
        </w:rPr>
        <w:t> </w:t>
      </w:r>
      <w:r>
        <w:rPr/>
        <w:t>desencadeantes</w:t>
      </w:r>
      <w:r>
        <w:rPr>
          <w:spacing w:val="-3"/>
        </w:rPr>
        <w:t> </w:t>
      </w:r>
      <w:r>
        <w:rPr/>
        <w:t>consideram-se</w:t>
      </w:r>
      <w:r>
        <w:rPr>
          <w:spacing w:val="-12"/>
        </w:rPr>
        <w:t> </w:t>
      </w:r>
      <w:r>
        <w:rPr/>
        <w:t>a</w:t>
      </w:r>
      <w:r>
        <w:rPr>
          <w:spacing w:val="-12"/>
        </w:rPr>
        <w:t> </w:t>
      </w:r>
      <w:r>
        <w:rPr/>
        <w:t>idade,</w:t>
      </w:r>
      <w:r>
        <w:rPr>
          <w:spacing w:val="-3"/>
        </w:rPr>
        <w:t> </w:t>
      </w:r>
      <w:r>
        <w:rPr/>
        <w:t>as</w:t>
      </w:r>
      <w:r>
        <w:rPr>
          <w:spacing w:val="-3"/>
        </w:rPr>
        <w:t> </w:t>
      </w:r>
      <w:r>
        <w:rPr/>
        <w:t>gestações</w:t>
      </w:r>
      <w:r>
        <w:rPr>
          <w:spacing w:val="-3"/>
        </w:rPr>
        <w:t> </w:t>
      </w:r>
      <w:r>
        <w:rPr/>
        <w:t>e</w:t>
      </w:r>
      <w:r>
        <w:rPr>
          <w:spacing w:val="-12"/>
        </w:rPr>
        <w:t> </w:t>
      </w:r>
      <w:r>
        <w:rPr/>
        <w:t>a</w:t>
      </w:r>
      <w:r>
        <w:rPr>
          <w:spacing w:val="-12"/>
        </w:rPr>
        <w:t> </w:t>
      </w:r>
      <w:r>
        <w:rPr>
          <w:spacing w:val="-2"/>
        </w:rPr>
        <w:t>profissão.</w:t>
      </w:r>
    </w:p>
    <w:p>
      <w:pPr>
        <w:pStyle w:val="BodyText"/>
        <w:spacing w:line="283" w:lineRule="auto" w:before="104"/>
        <w:ind w:right="501"/>
      </w:pPr>
      <w:r>
        <w:rPr/>
        <w:t>Com o envelhecimento do indivíduo há perda de tônus da parede e das válvulas da veia. Pratt, Lace e Wright, em 436 pessoas acima</w:t>
      </w:r>
      <w:r>
        <w:rPr>
          <w:spacing w:val="-1"/>
        </w:rPr>
        <w:t> </w:t>
      </w:r>
      <w:r>
        <w:rPr/>
        <w:t>de</w:t>
      </w:r>
      <w:r>
        <w:rPr>
          <w:spacing w:val="-1"/>
        </w:rPr>
        <w:t> </w:t>
      </w:r>
      <w:r>
        <w:rPr/>
        <w:t>40 anos e</w:t>
      </w:r>
      <w:r>
        <w:rPr>
          <w:spacing w:val="-1"/>
        </w:rPr>
        <w:t> </w:t>
      </w:r>
      <w:r>
        <w:rPr/>
        <w:t>trabalhando ativamente, encontraram veias dilatadas patologicamente</w:t>
      </w:r>
      <w:r>
        <w:rPr>
          <w:spacing w:val="-1"/>
        </w:rPr>
        <w:t> </w:t>
      </w:r>
      <w:r>
        <w:rPr/>
        <w:t>em 42% dos homens e 70% das mulheres.</w:t>
      </w:r>
      <w:r>
        <w:rPr>
          <w:vertAlign w:val="superscript"/>
        </w:rPr>
        <w:t>8</w:t>
      </w:r>
    </w:p>
    <w:p>
      <w:pPr>
        <w:pStyle w:val="BodyText"/>
        <w:spacing w:line="276" w:lineRule="auto" w:before="57"/>
        <w:ind w:right="501"/>
      </w:pPr>
      <w:r>
        <w:rPr/>
        <w:t>É de observação corrente o aparecimento de varicosidades em mulheres durante a gravidez. Nas gestantes predispostas a varizes, seja pelo aumento do fluxo sanguíneo nas veias ilíacas internas durante os três primeiros meses, ou pelo aumento do volume do útero grávido no segundo e terceiro trimestres, o sistema venoso dos membros inferiores, sob a ação da sobrecarga, cede e se torna varicoso. Além do fator mecânico na gravidez, tem sido também considerado o fator hormonal, ou seja, a ação da progesterona na musculatura lisa da parede da veia, provocando seu relaxamento e dilatação.</w:t>
      </w:r>
    </w:p>
    <w:p>
      <w:pPr>
        <w:pStyle w:val="BodyText"/>
        <w:spacing w:line="276" w:lineRule="auto" w:before="49"/>
        <w:ind w:right="497"/>
      </w:pPr>
      <w:r>
        <w:rPr/>
        <w:t>Os</w:t>
      </w:r>
      <w:r>
        <w:rPr>
          <w:spacing w:val="-2"/>
        </w:rPr>
        <w:t> </w:t>
      </w:r>
      <w:r>
        <w:rPr/>
        <w:t>indivíduos,</w:t>
      </w:r>
      <w:r>
        <w:rPr>
          <w:spacing w:val="-2"/>
        </w:rPr>
        <w:t> </w:t>
      </w:r>
      <w:r>
        <w:rPr/>
        <w:t>cuja</w:t>
      </w:r>
      <w:r>
        <w:rPr>
          <w:spacing w:val="-12"/>
        </w:rPr>
        <w:t> </w:t>
      </w:r>
      <w:r>
        <w:rPr/>
        <w:t>ocupação</w:t>
      </w:r>
      <w:r>
        <w:rPr>
          <w:spacing w:val="-10"/>
        </w:rPr>
        <w:t> </w:t>
      </w:r>
      <w:r>
        <w:rPr/>
        <w:t>exige</w:t>
      </w:r>
      <w:r>
        <w:rPr>
          <w:spacing w:val="-12"/>
        </w:rPr>
        <w:t> </w:t>
      </w:r>
      <w:r>
        <w:rPr/>
        <w:t>permanência</w:t>
      </w:r>
      <w:r>
        <w:rPr>
          <w:spacing w:val="-12"/>
        </w:rPr>
        <w:t> </w:t>
      </w:r>
      <w:r>
        <w:rPr/>
        <w:t>na</w:t>
      </w:r>
      <w:r>
        <w:rPr>
          <w:spacing w:val="-12"/>
        </w:rPr>
        <w:t> </w:t>
      </w:r>
      <w:r>
        <w:rPr/>
        <w:t>posição</w:t>
      </w:r>
      <w:r>
        <w:rPr>
          <w:spacing w:val="-10"/>
        </w:rPr>
        <w:t> </w:t>
      </w:r>
      <w:r>
        <w:rPr/>
        <w:t>ereta,</w:t>
      </w:r>
      <w:r>
        <w:rPr>
          <w:spacing w:val="-2"/>
        </w:rPr>
        <w:t> </w:t>
      </w:r>
      <w:r>
        <w:rPr/>
        <w:t>oferecem</w:t>
      </w:r>
      <w:r>
        <w:rPr>
          <w:spacing w:val="-10"/>
        </w:rPr>
        <w:t> </w:t>
      </w:r>
      <w:r>
        <w:rPr/>
        <w:t>condição</w:t>
      </w:r>
      <w:r>
        <w:rPr>
          <w:spacing w:val="-10"/>
        </w:rPr>
        <w:t> </w:t>
      </w:r>
      <w:r>
        <w:rPr/>
        <w:t>propícia</w:t>
      </w:r>
      <w:r>
        <w:rPr>
          <w:spacing w:val="-12"/>
        </w:rPr>
        <w:t> </w:t>
      </w:r>
      <w:r>
        <w:rPr/>
        <w:t>à</w:t>
      </w:r>
      <w:r>
        <w:rPr>
          <w:spacing w:val="-12"/>
        </w:rPr>
        <w:t> </w:t>
      </w:r>
      <w:r>
        <w:rPr/>
        <w:t>estase</w:t>
      </w:r>
      <w:r>
        <w:rPr>
          <w:spacing w:val="-12"/>
        </w:rPr>
        <w:t> </w:t>
      </w:r>
      <w:r>
        <w:rPr/>
        <w:t>nas</w:t>
      </w:r>
      <w:r>
        <w:rPr>
          <w:spacing w:val="-2"/>
        </w:rPr>
        <w:t> </w:t>
      </w:r>
      <w:r>
        <w:rPr/>
        <w:t>veias superficiais</w:t>
      </w:r>
      <w:r>
        <w:rPr>
          <w:spacing w:val="25"/>
        </w:rPr>
        <w:t> </w:t>
      </w:r>
      <w:r>
        <w:rPr/>
        <w:t>dos</w:t>
      </w:r>
      <w:r>
        <w:rPr>
          <w:spacing w:val="25"/>
        </w:rPr>
        <w:t> </w:t>
      </w:r>
      <w:r>
        <w:rPr/>
        <w:t>membros</w:t>
      </w:r>
      <w:r>
        <w:rPr>
          <w:spacing w:val="25"/>
        </w:rPr>
        <w:t> </w:t>
      </w:r>
      <w:r>
        <w:rPr/>
        <w:t>inferiores</w:t>
      </w:r>
      <w:r>
        <w:rPr>
          <w:spacing w:val="25"/>
        </w:rPr>
        <w:t> </w:t>
      </w:r>
      <w:r>
        <w:rPr/>
        <w:t>e,</w:t>
      </w:r>
      <w:r>
        <w:rPr>
          <w:spacing w:val="25"/>
        </w:rPr>
        <w:t> </w:t>
      </w:r>
      <w:r>
        <w:rPr/>
        <w:t>consequentemente,</w:t>
      </w:r>
      <w:r>
        <w:rPr>
          <w:spacing w:val="25"/>
        </w:rPr>
        <w:t> </w:t>
      </w:r>
      <w:r>
        <w:rPr/>
        <w:t>se forem</w:t>
      </w:r>
      <w:r>
        <w:rPr>
          <w:spacing w:val="17"/>
        </w:rPr>
        <w:t> </w:t>
      </w:r>
      <w:r>
        <w:rPr/>
        <w:t>predispostos,</w:t>
      </w:r>
      <w:r>
        <w:rPr>
          <w:spacing w:val="25"/>
        </w:rPr>
        <w:t> </w:t>
      </w:r>
      <w:r>
        <w:rPr/>
        <w:t>poderão</w:t>
      </w:r>
      <w:r>
        <w:rPr>
          <w:spacing w:val="17"/>
        </w:rPr>
        <w:t> </w:t>
      </w:r>
      <w:r>
        <w:rPr/>
        <w:t>se tornar</w:t>
      </w:r>
      <w:r>
        <w:rPr>
          <w:spacing w:val="22"/>
        </w:rPr>
        <w:t> </w:t>
      </w:r>
      <w:r>
        <w:rPr/>
        <w:t>varicosos.</w:t>
      </w:r>
      <w:r>
        <w:rPr>
          <w:spacing w:val="25"/>
        </w:rPr>
        <w:t> </w:t>
      </w:r>
      <w:r>
        <w:rPr/>
        <w:t>O</w:t>
      </w:r>
    </w:p>
    <w:p>
      <w:pPr>
        <w:pStyle w:val="BodyText"/>
        <w:spacing w:after="0" w:line="276" w:lineRule="auto"/>
        <w:sectPr>
          <w:pgSz w:w="11900" w:h="16840"/>
          <w:pgMar w:top="200" w:bottom="0" w:left="566" w:right="141"/>
        </w:sectPr>
      </w:pPr>
    </w:p>
    <w:p>
      <w:pPr>
        <w:pStyle w:val="BodyText"/>
        <w:spacing w:line="276" w:lineRule="auto" w:before="79"/>
        <w:ind w:right="501" w:firstLine="0"/>
      </w:pPr>
      <w:r>
        <w:rPr/>
        <w:t>mesmo</w:t>
      </w:r>
      <w:r>
        <w:rPr>
          <w:spacing w:val="-3"/>
        </w:rPr>
        <w:t> </w:t>
      </w:r>
      <w:r>
        <w:rPr/>
        <w:t>se</w:t>
      </w:r>
      <w:r>
        <w:rPr>
          <w:spacing w:val="-6"/>
        </w:rPr>
        <w:t> </w:t>
      </w:r>
      <w:r>
        <w:rPr/>
        <w:t>dá</w:t>
      </w:r>
      <w:r>
        <w:rPr>
          <w:spacing w:val="-6"/>
        </w:rPr>
        <w:t> </w:t>
      </w:r>
      <w:r>
        <w:rPr/>
        <w:t>com</w:t>
      </w:r>
      <w:r>
        <w:rPr>
          <w:spacing w:val="-3"/>
        </w:rPr>
        <w:t> </w:t>
      </w:r>
      <w:r>
        <w:rPr/>
        <w:t>os indivíduos cujas ocupações exigem, de</w:t>
      </w:r>
      <w:r>
        <w:rPr>
          <w:spacing w:val="-6"/>
        </w:rPr>
        <w:t> </w:t>
      </w:r>
      <w:r>
        <w:rPr/>
        <w:t>maneira</w:t>
      </w:r>
      <w:r>
        <w:rPr>
          <w:spacing w:val="-6"/>
        </w:rPr>
        <w:t> </w:t>
      </w:r>
      <w:r>
        <w:rPr/>
        <w:t>constante, a</w:t>
      </w:r>
      <w:r>
        <w:rPr>
          <w:spacing w:val="-6"/>
        </w:rPr>
        <w:t> </w:t>
      </w:r>
      <w:r>
        <w:rPr/>
        <w:t>prensa</w:t>
      </w:r>
      <w:r>
        <w:rPr>
          <w:spacing w:val="-6"/>
        </w:rPr>
        <w:t> </w:t>
      </w:r>
      <w:r>
        <w:rPr/>
        <w:t>abdominal, como</w:t>
      </w:r>
      <w:r>
        <w:rPr>
          <w:spacing w:val="-3"/>
        </w:rPr>
        <w:t> </w:t>
      </w:r>
      <w:r>
        <w:rPr/>
        <w:t>é</w:t>
      </w:r>
      <w:r>
        <w:rPr>
          <w:spacing w:val="-6"/>
        </w:rPr>
        <w:t> </w:t>
      </w:r>
      <w:r>
        <w:rPr/>
        <w:t>o</w:t>
      </w:r>
      <w:r>
        <w:rPr>
          <w:spacing w:val="-3"/>
        </w:rPr>
        <w:t> </w:t>
      </w:r>
      <w:r>
        <w:rPr/>
        <w:t>caso de estivadores e levantadores de peso.</w:t>
      </w:r>
    </w:p>
    <w:p>
      <w:pPr>
        <w:pStyle w:val="BodyText"/>
        <w:spacing w:line="276" w:lineRule="auto" w:before="64"/>
        <w:ind w:right="488"/>
      </w:pPr>
      <w:r>
        <w:rPr/>
        <w:t>As varizes secundárias, que aparecem em consequência de outras afecções, constituem apenas mais uma manifestação do quadro clínico das mesmas. A anamnese e o exame físico revelam outros sintomas e sinais que possibilitam o diagnóstico da doença primitiva, como sequela de trombose venosa profunda, fístula arteriovenosa, sequelas ortopédicas, obesidade mórbida.</w:t>
      </w:r>
    </w:p>
    <w:p>
      <w:pPr>
        <w:pStyle w:val="BodyText"/>
        <w:spacing w:before="186"/>
        <w:ind w:left="0" w:firstLine="0"/>
        <w:jc w:val="left"/>
      </w:pPr>
    </w:p>
    <w:p>
      <w:pPr>
        <w:pStyle w:val="Heading4"/>
      </w:pPr>
      <w:r>
        <w:rPr>
          <w:color w:val="242B67"/>
          <w:spacing w:val="-2"/>
        </w:rPr>
        <w:t>Patogenia</w:t>
      </w:r>
    </w:p>
    <w:p>
      <w:pPr>
        <w:pStyle w:val="BodyText"/>
        <w:spacing w:line="276" w:lineRule="auto" w:before="132"/>
        <w:ind w:right="497"/>
      </w:pPr>
      <w:r>
        <w:rPr/>
        <w:t>Nas varizes primitivas, embora o fator hereditário não esteja totalmente esclarecido, explica facilmente as alterações patogênicas. Os defeitos herdados são muito variáveis em relação ao número, intensidade e localização nas válvulas e nas paredes venosas. As localizações mais frequentes desses defeitos são nas válvulas da crossa da veia safena interna e externa e das perfurantes-comunicantes da face medial da perna. Quando insuficientes, permitem o refluxo do sangue</w:t>
      </w:r>
      <w:r>
        <w:rPr>
          <w:spacing w:val="-1"/>
        </w:rPr>
        <w:t> </w:t>
      </w:r>
      <w:r>
        <w:rPr/>
        <w:t>durante</w:t>
      </w:r>
      <w:r>
        <w:rPr>
          <w:spacing w:val="-1"/>
        </w:rPr>
        <w:t> </w:t>
      </w:r>
      <w:r>
        <w:rPr/>
        <w:t>os esforços e</w:t>
      </w:r>
      <w:r>
        <w:rPr>
          <w:spacing w:val="-1"/>
        </w:rPr>
        <w:t> </w:t>
      </w:r>
      <w:r>
        <w:rPr/>
        <w:t>à</w:t>
      </w:r>
      <w:r>
        <w:rPr>
          <w:spacing w:val="-1"/>
        </w:rPr>
        <w:t> </w:t>
      </w:r>
      <w:r>
        <w:rPr/>
        <w:t>deambulação, levando a</w:t>
      </w:r>
      <w:r>
        <w:rPr>
          <w:spacing w:val="-1"/>
        </w:rPr>
        <w:t> </w:t>
      </w:r>
      <w:r>
        <w:rPr/>
        <w:t>hipertensão e</w:t>
      </w:r>
      <w:r>
        <w:rPr>
          <w:spacing w:val="-1"/>
        </w:rPr>
        <w:t> </w:t>
      </w:r>
      <w:r>
        <w:rPr/>
        <w:t>consequente</w:t>
      </w:r>
      <w:r>
        <w:rPr>
          <w:spacing w:val="-1"/>
        </w:rPr>
        <w:t> </w:t>
      </w:r>
      <w:r>
        <w:rPr/>
        <w:t>dilatação dos segmentos venosos próximos. A dilatação determina insuficiência da válvula seguinte e, assim sucessiva e progressivamente, as veias vão se dilatando e se tornando varicosas.</w:t>
      </w:r>
    </w:p>
    <w:p>
      <w:pPr>
        <w:pStyle w:val="BodyText"/>
        <w:spacing w:before="186"/>
        <w:ind w:left="0" w:firstLine="0"/>
        <w:jc w:val="left"/>
      </w:pPr>
    </w:p>
    <w:p>
      <w:pPr>
        <w:pStyle w:val="Heading4"/>
      </w:pPr>
      <w:r>
        <w:rPr>
          <w:color w:val="242B67"/>
        </w:rPr>
        <w:t>Anatomia </w:t>
      </w:r>
      <w:r>
        <w:rPr>
          <w:color w:val="242B67"/>
          <w:spacing w:val="-2"/>
        </w:rPr>
        <w:t>patológica</w:t>
      </w:r>
    </w:p>
    <w:p>
      <w:pPr>
        <w:pStyle w:val="BodyText"/>
        <w:spacing w:line="276" w:lineRule="auto" w:before="132"/>
        <w:ind w:right="491"/>
      </w:pPr>
      <w:r>
        <w:rPr/>
        <w:t>A veia varicosa mostra-se dilatada, tortuosa e com alterações na sua parede. Estas alterações não são uniformemente distribuídas, sendo variáveis nos diferentes segmentos venosos.</w:t>
      </w:r>
    </w:p>
    <w:p>
      <w:pPr>
        <w:pStyle w:val="BodyText"/>
        <w:spacing w:line="276" w:lineRule="auto" w:before="64"/>
        <w:ind w:right="488"/>
      </w:pPr>
      <w:r>
        <w:rPr/>
        <w:t>A veia submetida à hipertensão resiste inicialmente mediante hipertrofia da camada muscular. Cede com a evolução, dando</w:t>
      </w:r>
      <w:r>
        <w:rPr>
          <w:spacing w:val="-3"/>
        </w:rPr>
        <w:t> </w:t>
      </w:r>
      <w:r>
        <w:rPr/>
        <w:t>lugar a</w:t>
      </w:r>
      <w:r>
        <w:rPr>
          <w:spacing w:val="-5"/>
        </w:rPr>
        <w:t> </w:t>
      </w:r>
      <w:r>
        <w:rPr/>
        <w:t>alterações degenerativas, como</w:t>
      </w:r>
      <w:r>
        <w:rPr>
          <w:spacing w:val="-3"/>
        </w:rPr>
        <w:t> </w:t>
      </w:r>
      <w:r>
        <w:rPr/>
        <w:t>rupturas de</w:t>
      </w:r>
      <w:r>
        <w:rPr>
          <w:spacing w:val="-5"/>
        </w:rPr>
        <w:t> </w:t>
      </w:r>
      <w:r>
        <w:rPr/>
        <w:t>feixes musculares e</w:t>
      </w:r>
      <w:r>
        <w:rPr>
          <w:spacing w:val="-5"/>
        </w:rPr>
        <w:t> </w:t>
      </w:r>
      <w:r>
        <w:rPr/>
        <w:t>elásticos e</w:t>
      </w:r>
      <w:r>
        <w:rPr>
          <w:spacing w:val="-5"/>
        </w:rPr>
        <w:t> </w:t>
      </w:r>
      <w:r>
        <w:rPr/>
        <w:t>fibrose. Na</w:t>
      </w:r>
      <w:r>
        <w:rPr>
          <w:spacing w:val="-5"/>
        </w:rPr>
        <w:t> </w:t>
      </w:r>
      <w:r>
        <w:rPr/>
        <w:t>fase inicial, o lúmen da veia é normalmente elítico, com eixo menor perpendicular à pele; torna-se progressivamente circular, alongado e irregular e as válvulas se tornam insuficientes.</w:t>
      </w:r>
    </w:p>
    <w:p>
      <w:pPr>
        <w:pStyle w:val="BodyText"/>
        <w:spacing w:before="186"/>
        <w:ind w:left="0" w:firstLine="0"/>
        <w:jc w:val="left"/>
      </w:pPr>
    </w:p>
    <w:p>
      <w:pPr>
        <w:pStyle w:val="Heading4"/>
      </w:pPr>
      <w:r>
        <w:rPr>
          <w:color w:val="242B67"/>
          <w:spacing w:val="-2"/>
        </w:rPr>
        <w:t>Fisiopatologia</w:t>
      </w:r>
    </w:p>
    <w:p>
      <w:pPr>
        <w:pStyle w:val="BodyText"/>
        <w:spacing w:line="276" w:lineRule="auto" w:before="132"/>
        <w:ind w:right="491"/>
      </w:pPr>
      <w:r>
        <w:rPr/>
        <w:t>Os fenômenos fisiopatológicos que envolvem o aparecimento, a evolução e as complicações das varizes são extensamente descritos no subcapítulo sobre sequela de trombose venosa profunda. Nas duas patologias existe estase venosa crônica que, além de comprometer os vasos tronculares, estende-se às vênulas e capilares, determinando</w:t>
      </w:r>
      <w:r>
        <w:rPr>
          <w:spacing w:val="-8"/>
        </w:rPr>
        <w:t> </w:t>
      </w:r>
      <w:r>
        <w:rPr/>
        <w:t>uma</w:t>
      </w:r>
      <w:r>
        <w:rPr>
          <w:spacing w:val="-10"/>
        </w:rPr>
        <w:t> </w:t>
      </w:r>
      <w:r>
        <w:rPr/>
        <w:t>microangiopatia</w:t>
      </w:r>
      <w:r>
        <w:rPr>
          <w:spacing w:val="-10"/>
        </w:rPr>
        <w:t> </w:t>
      </w:r>
      <w:r>
        <w:rPr/>
        <w:t>específica.</w:t>
      </w:r>
      <w:r>
        <w:rPr>
          <w:spacing w:val="-1"/>
        </w:rPr>
        <w:t> </w:t>
      </w:r>
      <w:r>
        <w:rPr/>
        <w:t>Modificações</w:t>
      </w:r>
      <w:r>
        <w:rPr>
          <w:spacing w:val="-1"/>
        </w:rPr>
        <w:t> </w:t>
      </w:r>
      <w:r>
        <w:rPr/>
        <w:t>enzimáticas</w:t>
      </w:r>
      <w:r>
        <w:rPr>
          <w:spacing w:val="-1"/>
        </w:rPr>
        <w:t> </w:t>
      </w:r>
      <w:r>
        <w:rPr/>
        <w:t>e</w:t>
      </w:r>
      <w:r>
        <w:rPr>
          <w:spacing w:val="-10"/>
        </w:rPr>
        <w:t> </w:t>
      </w:r>
      <w:r>
        <w:rPr/>
        <w:t>bioquímicas,</w:t>
      </w:r>
      <w:r>
        <w:rPr>
          <w:spacing w:val="-1"/>
        </w:rPr>
        <w:t> </w:t>
      </w:r>
      <w:r>
        <w:rPr/>
        <w:t>formação</w:t>
      </w:r>
      <w:r>
        <w:rPr>
          <w:spacing w:val="-8"/>
        </w:rPr>
        <w:t> </w:t>
      </w:r>
      <w:r>
        <w:rPr/>
        <w:t>de</w:t>
      </w:r>
      <w:r>
        <w:rPr>
          <w:spacing w:val="-10"/>
        </w:rPr>
        <w:t> </w:t>
      </w:r>
      <w:r>
        <w:rPr/>
        <w:t>manguitos</w:t>
      </w:r>
      <w:r>
        <w:rPr>
          <w:spacing w:val="-1"/>
        </w:rPr>
        <w:t> </w:t>
      </w:r>
      <w:r>
        <w:rPr/>
        <w:t>de fibrina em torno dos capilares, alterações da melanogênese e depósitos de hemossiderina, empilhamento leucocitário e produção de superóxidos, radicais livres e tromboxano são acontecimentos celulares que se estabelecem com a evolução da doença.</w:t>
      </w:r>
    </w:p>
    <w:p>
      <w:pPr>
        <w:pStyle w:val="BodyText"/>
        <w:spacing w:before="186"/>
        <w:ind w:left="0" w:firstLine="0"/>
        <w:jc w:val="left"/>
      </w:pPr>
    </w:p>
    <w:p>
      <w:pPr>
        <w:pStyle w:val="Heading4"/>
      </w:pPr>
      <w:r>
        <w:rPr>
          <w:color w:val="242B67"/>
        </w:rPr>
        <w:t>Quadro </w:t>
      </w:r>
      <w:r>
        <w:rPr>
          <w:color w:val="242B67"/>
          <w:spacing w:val="-2"/>
        </w:rPr>
        <w:t>clínico</w:t>
      </w:r>
    </w:p>
    <w:p>
      <w:pPr>
        <w:pStyle w:val="Heading5"/>
        <w:spacing w:before="194"/>
      </w:pPr>
      <w:r>
        <w:rPr>
          <w:color w:val="A26108"/>
          <w:spacing w:val="-2"/>
        </w:rPr>
        <w:t>Sintomatolologia</w:t>
      </w:r>
    </w:p>
    <w:p>
      <w:pPr>
        <w:pStyle w:val="BodyText"/>
        <w:spacing w:line="276" w:lineRule="auto" w:before="122"/>
        <w:ind w:right="488"/>
      </w:pPr>
      <w:r>
        <w:rPr/>
        <w:t>Os sintomas provocados pelas varizes dos membros inferiores são extremamente variáveis e dependem, na maioria dos casos, de sua intensidade, extensão, tempo de evolução e presença de complicações. Não existe, em alguns doentes, porém, relação entre o grau de formação varicosa e a intensidade das manifestações subjetivas; há indivíduos com grandes varizes e</w:t>
      </w:r>
      <w:r>
        <w:rPr>
          <w:spacing w:val="-1"/>
        </w:rPr>
        <w:t> </w:t>
      </w:r>
      <w:r>
        <w:rPr/>
        <w:t>sintomatologia</w:t>
      </w:r>
      <w:r>
        <w:rPr>
          <w:spacing w:val="-1"/>
        </w:rPr>
        <w:t> </w:t>
      </w:r>
      <w:r>
        <w:rPr/>
        <w:t>escassa, e</w:t>
      </w:r>
      <w:r>
        <w:rPr>
          <w:spacing w:val="-1"/>
        </w:rPr>
        <w:t> </w:t>
      </w:r>
      <w:r>
        <w:rPr/>
        <w:t>outros com varizes discretas e</w:t>
      </w:r>
      <w:r>
        <w:rPr>
          <w:spacing w:val="-1"/>
        </w:rPr>
        <w:t> </w:t>
      </w:r>
      <w:r>
        <w:rPr/>
        <w:t>sintomas intensos.</w:t>
      </w:r>
    </w:p>
    <w:p>
      <w:pPr>
        <w:pStyle w:val="BodyText"/>
        <w:spacing w:line="276" w:lineRule="auto" w:before="64"/>
        <w:ind w:right="497"/>
      </w:pPr>
      <w:r>
        <w:rPr/>
        <w:t>A</w:t>
      </w:r>
      <w:r>
        <w:rPr>
          <w:spacing w:val="-7"/>
        </w:rPr>
        <w:t> </w:t>
      </w:r>
      <w:r>
        <w:rPr/>
        <w:t>dor, quando</w:t>
      </w:r>
      <w:r>
        <w:rPr>
          <w:spacing w:val="-3"/>
        </w:rPr>
        <w:t> </w:t>
      </w:r>
      <w:r>
        <w:rPr/>
        <w:t>presente, tem</w:t>
      </w:r>
      <w:r>
        <w:rPr>
          <w:spacing w:val="-3"/>
        </w:rPr>
        <w:t> </w:t>
      </w:r>
      <w:r>
        <w:rPr/>
        <w:t>caráter e</w:t>
      </w:r>
      <w:r>
        <w:rPr>
          <w:spacing w:val="-7"/>
        </w:rPr>
        <w:t> </w:t>
      </w:r>
      <w:r>
        <w:rPr/>
        <w:t>intensidade</w:t>
      </w:r>
      <w:r>
        <w:rPr>
          <w:spacing w:val="-7"/>
        </w:rPr>
        <w:t> </w:t>
      </w:r>
      <w:r>
        <w:rPr/>
        <w:t>variáveis. Já</w:t>
      </w:r>
      <w:r>
        <w:rPr>
          <w:spacing w:val="-7"/>
        </w:rPr>
        <w:t> </w:t>
      </w:r>
      <w:r>
        <w:rPr/>
        <w:t>no</w:t>
      </w:r>
      <w:r>
        <w:rPr>
          <w:spacing w:val="-3"/>
        </w:rPr>
        <w:t> </w:t>
      </w:r>
      <w:r>
        <w:rPr/>
        <w:t>início</w:t>
      </w:r>
      <w:r>
        <w:rPr>
          <w:spacing w:val="-3"/>
        </w:rPr>
        <w:t> </w:t>
      </w:r>
      <w:r>
        <w:rPr/>
        <w:t>da</w:t>
      </w:r>
      <w:r>
        <w:rPr>
          <w:spacing w:val="-7"/>
        </w:rPr>
        <w:t> </w:t>
      </w:r>
      <w:r>
        <w:rPr/>
        <w:t>doença, o</w:t>
      </w:r>
      <w:r>
        <w:rPr>
          <w:spacing w:val="-3"/>
        </w:rPr>
        <w:t> </w:t>
      </w:r>
      <w:r>
        <w:rPr/>
        <w:t>indivíduo</w:t>
      </w:r>
      <w:r>
        <w:rPr>
          <w:spacing w:val="-3"/>
        </w:rPr>
        <w:t> </w:t>
      </w:r>
      <w:r>
        <w:rPr/>
        <w:t>pode</w:t>
      </w:r>
      <w:r>
        <w:rPr>
          <w:spacing w:val="-7"/>
        </w:rPr>
        <w:t> </w:t>
      </w:r>
      <w:r>
        <w:rPr/>
        <w:t>apresentar sensação de distensão, de plenitude e ardor nas varizes que se esboçam. Com o progredir da afecção, muitos doentes referem</w:t>
      </w:r>
      <w:r>
        <w:rPr>
          <w:spacing w:val="-6"/>
        </w:rPr>
        <w:t> </w:t>
      </w:r>
      <w:r>
        <w:rPr/>
        <w:t>sensação</w:t>
      </w:r>
      <w:r>
        <w:rPr>
          <w:spacing w:val="-6"/>
        </w:rPr>
        <w:t> </w:t>
      </w:r>
      <w:r>
        <w:rPr/>
        <w:t>de</w:t>
      </w:r>
      <w:r>
        <w:rPr>
          <w:spacing w:val="-8"/>
        </w:rPr>
        <w:t> </w:t>
      </w:r>
      <w:r>
        <w:rPr/>
        <w:t>peso</w:t>
      </w:r>
      <w:r>
        <w:rPr>
          <w:spacing w:val="-6"/>
        </w:rPr>
        <w:t> </w:t>
      </w:r>
      <w:r>
        <w:rPr/>
        <w:t>e</w:t>
      </w:r>
      <w:r>
        <w:rPr>
          <w:spacing w:val="-8"/>
        </w:rPr>
        <w:t> </w:t>
      </w:r>
      <w:r>
        <w:rPr/>
        <w:t>cansaço</w:t>
      </w:r>
      <w:r>
        <w:rPr>
          <w:spacing w:val="-6"/>
        </w:rPr>
        <w:t> </w:t>
      </w:r>
      <w:r>
        <w:rPr/>
        <w:t>nas pernas quando</w:t>
      </w:r>
      <w:r>
        <w:rPr>
          <w:spacing w:val="-6"/>
        </w:rPr>
        <w:t> </w:t>
      </w:r>
      <w:r>
        <w:rPr/>
        <w:t>em</w:t>
      </w:r>
      <w:r>
        <w:rPr>
          <w:spacing w:val="-6"/>
        </w:rPr>
        <w:t> </w:t>
      </w:r>
      <w:r>
        <w:rPr/>
        <w:t>pé</w:t>
      </w:r>
      <w:r>
        <w:rPr>
          <w:spacing w:val="-8"/>
        </w:rPr>
        <w:t> </w:t>
      </w:r>
      <w:r>
        <w:rPr/>
        <w:t>e</w:t>
      </w:r>
      <w:r>
        <w:rPr>
          <w:spacing w:val="-8"/>
        </w:rPr>
        <w:t> </w:t>
      </w:r>
      <w:r>
        <w:rPr/>
        <w:t>parados que</w:t>
      </w:r>
      <w:r>
        <w:rPr>
          <w:spacing w:val="-8"/>
        </w:rPr>
        <w:t> </w:t>
      </w:r>
      <w:r>
        <w:rPr/>
        <w:t>se</w:t>
      </w:r>
      <w:r>
        <w:rPr>
          <w:spacing w:val="-8"/>
        </w:rPr>
        <w:t> </w:t>
      </w:r>
      <w:r>
        <w:rPr/>
        <w:t>atenua</w:t>
      </w:r>
      <w:r>
        <w:rPr>
          <w:spacing w:val="-8"/>
        </w:rPr>
        <w:t> </w:t>
      </w:r>
      <w:r>
        <w:rPr/>
        <w:t>com</w:t>
      </w:r>
      <w:r>
        <w:rPr>
          <w:spacing w:val="-6"/>
        </w:rPr>
        <w:t> </w:t>
      </w:r>
      <w:r>
        <w:rPr/>
        <w:t>a</w:t>
      </w:r>
      <w:r>
        <w:rPr>
          <w:spacing w:val="-8"/>
        </w:rPr>
        <w:t> </w:t>
      </w:r>
      <w:r>
        <w:rPr/>
        <w:t>marcha</w:t>
      </w:r>
      <w:r>
        <w:rPr>
          <w:spacing w:val="-8"/>
        </w:rPr>
        <w:t> </w:t>
      </w:r>
      <w:r>
        <w:rPr/>
        <w:t>e</w:t>
      </w:r>
      <w:r>
        <w:rPr>
          <w:spacing w:val="-8"/>
        </w:rPr>
        <w:t> </w:t>
      </w:r>
      <w:r>
        <w:rPr/>
        <w:t>cessa com repouso na posição deitada. Nos casos mais avançados, à medida que se instalam edema, hiperpigmentação e fibrose, o peso e</w:t>
      </w:r>
      <w:r>
        <w:rPr>
          <w:spacing w:val="-1"/>
        </w:rPr>
        <w:t> </w:t>
      </w:r>
      <w:r>
        <w:rPr/>
        <w:t>o cansaço pioram no decorrer do dia, só melhorando com repouso prolongado e</w:t>
      </w:r>
      <w:r>
        <w:rPr>
          <w:spacing w:val="-1"/>
        </w:rPr>
        <w:t> </w:t>
      </w:r>
      <w:r>
        <w:rPr/>
        <w:t>com os membros inferiores elevados.</w:t>
      </w:r>
    </w:p>
    <w:p>
      <w:pPr>
        <w:pStyle w:val="BodyText"/>
        <w:spacing w:line="276" w:lineRule="auto"/>
        <w:ind w:right="500"/>
      </w:pPr>
      <w:r>
        <w:rPr/>
        <w:t>Em qualquer fase evolutiva, os sintomas intensificam-se na posição ortostática prolongada e, nas mulheres, durante o período menstrual e gestação.</w:t>
      </w:r>
    </w:p>
    <w:p>
      <w:pPr>
        <w:pStyle w:val="BodyText"/>
        <w:spacing w:after="0" w:line="276" w:lineRule="auto"/>
        <w:sectPr>
          <w:pgSz w:w="11900" w:h="16840"/>
          <w:pgMar w:top="160" w:bottom="280" w:left="566" w:right="141"/>
        </w:sectPr>
      </w:pPr>
    </w:p>
    <w:p>
      <w:pPr>
        <w:pStyle w:val="BodyText"/>
        <w:spacing w:line="276" w:lineRule="auto" w:before="71"/>
        <w:ind w:right="501"/>
      </w:pPr>
      <w:r>
        <w:rPr/>
        <w:t>Quando ocorrem complicações, como tromboflebite superficial, celulite ou úlcera, a dor torna-se contínua, mesmo em repouso, e surgem os sintomas locais inflamatórios próprios dessas condições.</w:t>
      </w:r>
    </w:p>
    <w:p>
      <w:pPr>
        <w:pStyle w:val="BodyText"/>
        <w:spacing w:line="276" w:lineRule="auto" w:before="64"/>
        <w:ind w:right="491"/>
      </w:pPr>
      <w:r>
        <w:rPr/>
        <w:t>As veias varicosas, de início, podem não ser visíveis, sendo perceptíveis somente à palpação. Com a evolução da doença, os trajetos venosos tornam-se progressivamente dilatados, alongados e tortuosos, com saliências na</w:t>
      </w:r>
      <w:r>
        <w:rPr>
          <w:spacing w:val="40"/>
        </w:rPr>
        <w:t> </w:t>
      </w:r>
      <w:r>
        <w:rPr>
          <w:spacing w:val="-2"/>
        </w:rPr>
        <w:t>pele.</w:t>
      </w:r>
    </w:p>
    <w:p>
      <w:pPr>
        <w:pStyle w:val="BodyText"/>
        <w:spacing w:before="134"/>
        <w:ind w:left="0" w:firstLine="0"/>
        <w:jc w:val="left"/>
      </w:pPr>
    </w:p>
    <w:p>
      <w:pPr>
        <w:pStyle w:val="Heading5"/>
      </w:pPr>
      <w:r>
        <w:rPr>
          <w:color w:val="A26108"/>
        </w:rPr>
        <w:t>Exame</w:t>
      </w:r>
      <w:r>
        <w:rPr>
          <w:color w:val="A26108"/>
          <w:spacing w:val="21"/>
        </w:rPr>
        <w:t> </w:t>
      </w:r>
      <w:r>
        <w:rPr>
          <w:color w:val="A26108"/>
          <w:spacing w:val="-2"/>
        </w:rPr>
        <w:t>físico</w:t>
      </w:r>
    </w:p>
    <w:p>
      <w:pPr>
        <w:pStyle w:val="BodyText"/>
        <w:spacing w:line="276" w:lineRule="auto" w:before="122"/>
        <w:ind w:right="488"/>
      </w:pPr>
      <w:r>
        <w:rPr/>
        <w:t>O exame físico geral minucioso e o exame local dos membros inferiores devem ser precedidos de anamnese completa em que o examinador investiga as ocorrências pregressas que possibilitem a interpretação adequada dos achados clínicos, principalmente os que dizem respeito às extremidades inferiores, tais como início e duração da doença, traumatismos dos membros, flebites superficiais e profundas, edema, dermatites, úlceras, intercorrências em ciclos grávido-puerperais, uso de</w:t>
      </w:r>
      <w:r>
        <w:rPr>
          <w:spacing w:val="-1"/>
        </w:rPr>
        <w:t> </w:t>
      </w:r>
      <w:r>
        <w:rPr/>
        <w:t>meias elásticas e</w:t>
      </w:r>
      <w:r>
        <w:rPr>
          <w:spacing w:val="-1"/>
        </w:rPr>
        <w:t> </w:t>
      </w:r>
      <w:r>
        <w:rPr/>
        <w:t>tratamento médico ou cirúrgico anterior.</w:t>
      </w:r>
    </w:p>
    <w:p>
      <w:pPr>
        <w:pStyle w:val="BodyText"/>
        <w:spacing w:line="276" w:lineRule="auto"/>
        <w:ind w:right="494"/>
      </w:pPr>
      <w:r>
        <w:rPr/>
        <w:t>O</w:t>
      </w:r>
      <w:r>
        <w:rPr>
          <w:spacing w:val="-10"/>
        </w:rPr>
        <w:t> </w:t>
      </w:r>
      <w:r>
        <w:rPr/>
        <w:t>exame</w:t>
      </w:r>
      <w:r>
        <w:rPr>
          <w:spacing w:val="-10"/>
        </w:rPr>
        <w:t> </w:t>
      </w:r>
      <w:r>
        <w:rPr/>
        <w:t>local</w:t>
      </w:r>
      <w:r>
        <w:rPr>
          <w:spacing w:val="-5"/>
        </w:rPr>
        <w:t> </w:t>
      </w:r>
      <w:r>
        <w:rPr/>
        <w:t>deve</w:t>
      </w:r>
      <w:r>
        <w:rPr>
          <w:spacing w:val="-10"/>
        </w:rPr>
        <w:t> </w:t>
      </w:r>
      <w:r>
        <w:rPr/>
        <w:t>ser</w:t>
      </w:r>
      <w:r>
        <w:rPr>
          <w:spacing w:val="-3"/>
        </w:rPr>
        <w:t> </w:t>
      </w:r>
      <w:r>
        <w:rPr/>
        <w:t>feito</w:t>
      </w:r>
      <w:r>
        <w:rPr>
          <w:spacing w:val="-8"/>
        </w:rPr>
        <w:t> </w:t>
      </w:r>
      <w:r>
        <w:rPr/>
        <w:t>com</w:t>
      </w:r>
      <w:r>
        <w:rPr>
          <w:spacing w:val="-8"/>
        </w:rPr>
        <w:t> </w:t>
      </w:r>
      <w:r>
        <w:rPr/>
        <w:t>orientação</w:t>
      </w:r>
      <w:r>
        <w:rPr>
          <w:spacing w:val="-8"/>
        </w:rPr>
        <w:t> </w:t>
      </w:r>
      <w:r>
        <w:rPr/>
        <w:t>e</w:t>
      </w:r>
      <w:r>
        <w:rPr>
          <w:spacing w:val="-10"/>
        </w:rPr>
        <w:t> </w:t>
      </w:r>
      <w:r>
        <w:rPr/>
        <w:t>cuidado, sendo</w:t>
      </w:r>
      <w:r>
        <w:rPr>
          <w:spacing w:val="-8"/>
        </w:rPr>
        <w:t> </w:t>
      </w:r>
      <w:r>
        <w:rPr/>
        <w:t>sua</w:t>
      </w:r>
      <w:r>
        <w:rPr>
          <w:spacing w:val="-10"/>
        </w:rPr>
        <w:t> </w:t>
      </w:r>
      <w:r>
        <w:rPr/>
        <w:t>finalidade</w:t>
      </w:r>
      <w:r>
        <w:rPr>
          <w:spacing w:val="-10"/>
        </w:rPr>
        <w:t> </w:t>
      </w:r>
      <w:r>
        <w:rPr/>
        <w:t>atingir</w:t>
      </w:r>
      <w:r>
        <w:rPr>
          <w:spacing w:val="-3"/>
        </w:rPr>
        <w:t> </w:t>
      </w:r>
      <w:r>
        <w:rPr/>
        <w:t>três objetivos fundamentais: auxiliar no diagnóstico etiológico diferencial, avaliar o grau evolutivo da doença e orientar o tipo do tratamento a ser realizado.</w:t>
      </w:r>
    </w:p>
    <w:p>
      <w:pPr>
        <w:pStyle w:val="BodyText"/>
        <w:spacing w:line="276" w:lineRule="auto" w:before="49"/>
        <w:ind w:right="488"/>
      </w:pPr>
      <w:r>
        <w:rPr/>
        <w:t>A dilatação venosa nas varizes primárias é geralmente sistematizada, comprometendo os troncos principais e suas colaterais. Nas varizes secundárias, ao contrário, é anárquica, comprometendo difusamente os sistemas venosos superficial e perfurante-comunicante; as alterações tróficas são mais precoces e extensas, tendendo a circunscrever a perna, notando-se ainda aumento de volume difuso, uniforme e permanente do membro, independente do edema. A presença de lesões ortopédicas, tais como vícios plantares e posturais, atrofias musculares, rigidez articular etc., e a existência de sinais, como sopro e frêmito contínuos com reforço sistólico, observados nas fístulas arteriovenosas, são importantes para o diagnóstico de varizes secundárias.</w:t>
      </w:r>
    </w:p>
    <w:p>
      <w:pPr>
        <w:pStyle w:val="BodyText"/>
        <w:spacing w:line="276" w:lineRule="auto"/>
        <w:ind w:right="497"/>
      </w:pPr>
      <w:r>
        <w:rPr/>
        <w:t>Tendo em mente o mapa da distribuição topográfica da rede venosa colateral superficial, a localização dos troncos principais e das perfurantes-comunicantes, a inspeção fornece ideias gerais das alterações básicas do sistema venoso. Observam-se também a forma e o volume dos membros e as alterações tróficas eventualmente </w:t>
      </w:r>
      <w:r>
        <w:rPr>
          <w:spacing w:val="-2"/>
        </w:rPr>
        <w:t>existentes.</w:t>
      </w:r>
    </w:p>
    <w:p>
      <w:pPr>
        <w:pStyle w:val="BodyText"/>
        <w:spacing w:line="276" w:lineRule="auto" w:before="64"/>
        <w:ind w:right="497"/>
      </w:pPr>
      <w:r>
        <w:rPr/>
        <w:t>A palpação e a percussão, isoladas ou simultâneas, das veias superficiais (teste de Schwatz e Heyerdale) possibilitam a demarcação dos trajetos e suas relações. São examinados sucessivamente os troncos, as colaterais e as perfurantes.</w:t>
      </w:r>
    </w:p>
    <w:p>
      <w:pPr>
        <w:pStyle w:val="BodyText"/>
        <w:spacing w:line="276" w:lineRule="auto" w:before="49"/>
        <w:ind w:right="488"/>
      </w:pPr>
      <w:r>
        <w:rPr/>
        <w:t>Numerosos testes clínicos foram</w:t>
      </w:r>
      <w:r>
        <w:rPr>
          <w:spacing w:val="-3"/>
        </w:rPr>
        <w:t> </w:t>
      </w:r>
      <w:r>
        <w:rPr/>
        <w:t>descritos e</w:t>
      </w:r>
      <w:r>
        <w:rPr>
          <w:spacing w:val="-6"/>
        </w:rPr>
        <w:t> </w:t>
      </w:r>
      <w:r>
        <w:rPr/>
        <w:t>empregados durante</w:t>
      </w:r>
      <w:r>
        <w:rPr>
          <w:spacing w:val="-6"/>
        </w:rPr>
        <w:t> </w:t>
      </w:r>
      <w:r>
        <w:rPr/>
        <w:t>muito</w:t>
      </w:r>
      <w:r>
        <w:rPr>
          <w:spacing w:val="-3"/>
        </w:rPr>
        <w:t> </w:t>
      </w:r>
      <w:r>
        <w:rPr/>
        <w:t>tempo</w:t>
      </w:r>
      <w:r>
        <w:rPr>
          <w:spacing w:val="-3"/>
        </w:rPr>
        <w:t> </w:t>
      </w:r>
      <w:r>
        <w:rPr/>
        <w:t>para</w:t>
      </w:r>
      <w:r>
        <w:rPr>
          <w:spacing w:val="-6"/>
        </w:rPr>
        <w:t> </w:t>
      </w:r>
      <w:r>
        <w:rPr/>
        <w:t>determinação</w:t>
      </w:r>
      <w:r>
        <w:rPr>
          <w:spacing w:val="-3"/>
        </w:rPr>
        <w:t> </w:t>
      </w:r>
      <w:r>
        <w:rPr/>
        <w:t>dos pontos de refluxo venosos (crossas das veias safenas interna e externa e insuficiência de perfurantes-comunicantes) e para o estudo da permeabilidade do sistema venoso profundo. Dentre estes testes, os empregados mais frequentemente foram os de Trendelenburg, Homans, Perthes, Ochsner, duplo-garrote etc.</w:t>
      </w:r>
    </w:p>
    <w:p>
      <w:pPr>
        <w:pStyle w:val="BodyText"/>
        <w:spacing w:line="276" w:lineRule="auto"/>
        <w:ind w:right="488"/>
      </w:pPr>
      <w:r>
        <w:rPr/>
        <w:t>Atualmente, esses testes são apenas de interesse acadêmico. São complexos e de interpretação imprecisa e foram abandonados à medida que melhoraram os conhecimentos da anatomia cirúrgica das veias superficiais dos membros inferiores e aumentou a experiência dos cirurgiões, nos diferentes centros, com a cirurgia radical das </w:t>
      </w:r>
      <w:r>
        <w:rPr>
          <w:spacing w:val="-2"/>
        </w:rPr>
        <w:t>varizes.</w:t>
      </w:r>
    </w:p>
    <w:p>
      <w:pPr>
        <w:pStyle w:val="BodyText"/>
        <w:spacing w:line="276" w:lineRule="auto" w:before="48"/>
        <w:ind w:right="488"/>
      </w:pPr>
      <w:r>
        <w:rPr/>
        <w:t>A</w:t>
      </w:r>
      <w:r>
        <w:rPr>
          <w:spacing w:val="-4"/>
        </w:rPr>
        <w:t> </w:t>
      </w:r>
      <w:r>
        <w:rPr/>
        <w:t>introdução, mais recentemente, do</w:t>
      </w:r>
      <w:r>
        <w:rPr>
          <w:spacing w:val="-2"/>
        </w:rPr>
        <w:t> </w:t>
      </w:r>
      <w:r>
        <w:rPr/>
        <w:t>método</w:t>
      </w:r>
      <w:r>
        <w:rPr>
          <w:spacing w:val="-2"/>
        </w:rPr>
        <w:t> </w:t>
      </w:r>
      <w:r>
        <w:rPr/>
        <w:t>“duplex-scan”</w:t>
      </w:r>
      <w:r>
        <w:rPr>
          <w:spacing w:val="-4"/>
        </w:rPr>
        <w:t> </w:t>
      </w:r>
      <w:r>
        <w:rPr/>
        <w:t>ou</w:t>
      </w:r>
      <w:r>
        <w:rPr>
          <w:spacing w:val="-2"/>
        </w:rPr>
        <w:t> </w:t>
      </w:r>
      <w:r>
        <w:rPr/>
        <w:t>“eco-Doppler”</w:t>
      </w:r>
      <w:r>
        <w:rPr>
          <w:spacing w:val="-4"/>
        </w:rPr>
        <w:t> </w:t>
      </w:r>
      <w:r>
        <w:rPr/>
        <w:t>para</w:t>
      </w:r>
      <w:r>
        <w:rPr>
          <w:spacing w:val="-4"/>
        </w:rPr>
        <w:t> </w:t>
      </w:r>
      <w:r>
        <w:rPr/>
        <w:t>estudo</w:t>
      </w:r>
      <w:r>
        <w:rPr>
          <w:spacing w:val="-2"/>
        </w:rPr>
        <w:t> </w:t>
      </w:r>
      <w:r>
        <w:rPr/>
        <w:t>das veias do</w:t>
      </w:r>
      <w:r>
        <w:rPr>
          <w:spacing w:val="-2"/>
        </w:rPr>
        <w:t> </w:t>
      </w:r>
      <w:r>
        <w:rPr/>
        <w:t>sistema venoso do membro inferior aprimorou o diagnóstico e contribuiu decisivamente para o aperfeiçoamento do mapeamento das varizes e do estudo das alterações venosas profundas e das perfurantes comunicantes. São observados pormenores que caracterizam, além das dilatações e tortuosidades de colaterais, refluxo nas crossas e nos troncos das safenas, insuficiência de perfurantes, oclusões, recanalizações e/ou insuficiências das veias </w:t>
      </w:r>
      <w:r>
        <w:rPr>
          <w:spacing w:val="-2"/>
        </w:rPr>
        <w:t>profundas.</w:t>
      </w:r>
    </w:p>
    <w:p>
      <w:pPr>
        <w:pStyle w:val="BodyText"/>
        <w:spacing w:line="276" w:lineRule="auto"/>
        <w:ind w:right="497"/>
      </w:pPr>
      <w:r>
        <w:rPr/>
        <w:t>A flebografia, até há alguns anos considerada um método imagenológico ideal para esses estudos, por ser processo invasivo e utilizar contraste, tem se restringido a alguns casos em que se estudam sequelas de tromboses venosas profundas.</w:t>
      </w:r>
    </w:p>
    <w:p>
      <w:pPr>
        <w:pStyle w:val="BodyText"/>
        <w:spacing w:before="186"/>
        <w:ind w:left="0" w:firstLine="0"/>
        <w:jc w:val="left"/>
      </w:pPr>
    </w:p>
    <w:p>
      <w:pPr>
        <w:pStyle w:val="Heading4"/>
      </w:pPr>
      <w:r>
        <w:rPr>
          <w:color w:val="242B67"/>
          <w:spacing w:val="-2"/>
        </w:rPr>
        <w:t>Complicações</w:t>
      </w:r>
    </w:p>
    <w:p>
      <w:pPr>
        <w:pStyle w:val="BodyText"/>
        <w:spacing w:before="132"/>
        <w:ind w:left="414" w:firstLine="0"/>
        <w:jc w:val="left"/>
      </w:pPr>
      <w:r>
        <w:rPr/>
        <w:t>As</w:t>
      </w:r>
      <w:r>
        <w:rPr>
          <w:spacing w:val="13"/>
        </w:rPr>
        <w:t> </w:t>
      </w:r>
      <w:r>
        <w:rPr/>
        <w:t>varizes</w:t>
      </w:r>
      <w:r>
        <w:rPr>
          <w:spacing w:val="15"/>
        </w:rPr>
        <w:t> </w:t>
      </w:r>
      <w:r>
        <w:rPr/>
        <w:t>dos</w:t>
      </w:r>
      <w:r>
        <w:rPr>
          <w:spacing w:val="15"/>
        </w:rPr>
        <w:t> </w:t>
      </w:r>
      <w:r>
        <w:rPr/>
        <w:t>membros</w:t>
      </w:r>
      <w:r>
        <w:rPr>
          <w:spacing w:val="15"/>
        </w:rPr>
        <w:t> </w:t>
      </w:r>
      <w:r>
        <w:rPr/>
        <w:t>inferiores,</w:t>
      </w:r>
      <w:r>
        <w:rPr>
          <w:spacing w:val="15"/>
        </w:rPr>
        <w:t> </w:t>
      </w:r>
      <w:r>
        <w:rPr/>
        <w:t>mesmo</w:t>
      </w:r>
      <w:r>
        <w:rPr>
          <w:spacing w:val="7"/>
        </w:rPr>
        <w:t> </w:t>
      </w:r>
      <w:r>
        <w:rPr/>
        <w:t>as</w:t>
      </w:r>
      <w:r>
        <w:rPr>
          <w:spacing w:val="15"/>
        </w:rPr>
        <w:t> </w:t>
      </w:r>
      <w:r>
        <w:rPr/>
        <w:t>grandes,</w:t>
      </w:r>
      <w:r>
        <w:rPr>
          <w:spacing w:val="15"/>
        </w:rPr>
        <w:t> </w:t>
      </w:r>
      <w:r>
        <w:rPr/>
        <w:t>são</w:t>
      </w:r>
      <w:r>
        <w:rPr>
          <w:spacing w:val="8"/>
        </w:rPr>
        <w:t> </w:t>
      </w:r>
      <w:r>
        <w:rPr/>
        <w:t>geralmente</w:t>
      </w:r>
      <w:r>
        <w:rPr>
          <w:spacing w:val="5"/>
        </w:rPr>
        <w:t> </w:t>
      </w:r>
      <w:r>
        <w:rPr/>
        <w:t>assintomáticas</w:t>
      </w:r>
      <w:r>
        <w:rPr>
          <w:spacing w:val="15"/>
        </w:rPr>
        <w:t> </w:t>
      </w:r>
      <w:r>
        <w:rPr/>
        <w:t>e</w:t>
      </w:r>
      <w:r>
        <w:rPr>
          <w:spacing w:val="5"/>
        </w:rPr>
        <w:t> </w:t>
      </w:r>
      <w:r>
        <w:rPr/>
        <w:t>podem</w:t>
      </w:r>
      <w:r>
        <w:rPr>
          <w:spacing w:val="7"/>
        </w:rPr>
        <w:t> </w:t>
      </w:r>
      <w:r>
        <w:rPr/>
        <w:t>não</w:t>
      </w:r>
      <w:r>
        <w:rPr>
          <w:spacing w:val="8"/>
        </w:rPr>
        <w:t> </w:t>
      </w:r>
      <w:r>
        <w:rPr>
          <w:spacing w:val="-2"/>
        </w:rPr>
        <w:t>ocasionar</w:t>
      </w:r>
    </w:p>
    <w:p>
      <w:pPr>
        <w:pStyle w:val="BodyText"/>
        <w:spacing w:after="0"/>
        <w:jc w:val="left"/>
        <w:sectPr>
          <w:pgSz w:w="11900" w:h="16840"/>
          <w:pgMar w:top="160" w:bottom="280" w:left="566" w:right="141"/>
        </w:sectPr>
      </w:pPr>
    </w:p>
    <w:p>
      <w:pPr>
        <w:pStyle w:val="BodyText"/>
        <w:spacing w:line="276" w:lineRule="auto" w:before="63"/>
        <w:ind w:right="498" w:firstLine="0"/>
      </w:pPr>
      <w:r>
        <w:rPr/>
        <w:t>complicações. Quando</w:t>
      </w:r>
      <w:r>
        <w:rPr>
          <w:spacing w:val="-6"/>
        </w:rPr>
        <w:t> </w:t>
      </w:r>
      <w:r>
        <w:rPr/>
        <w:t>estas ocorrem, entretanto, são</w:t>
      </w:r>
      <w:r>
        <w:rPr>
          <w:spacing w:val="-6"/>
        </w:rPr>
        <w:t> </w:t>
      </w:r>
      <w:r>
        <w:rPr/>
        <w:t>consideradas como</w:t>
      </w:r>
      <w:r>
        <w:rPr>
          <w:spacing w:val="-6"/>
        </w:rPr>
        <w:t> </w:t>
      </w:r>
      <w:r>
        <w:rPr/>
        <w:t>parte</w:t>
      </w:r>
      <w:r>
        <w:rPr>
          <w:spacing w:val="-8"/>
        </w:rPr>
        <w:t> </w:t>
      </w:r>
      <w:r>
        <w:rPr/>
        <w:t>do</w:t>
      </w:r>
      <w:r>
        <w:rPr>
          <w:spacing w:val="-6"/>
        </w:rPr>
        <w:t> </w:t>
      </w:r>
      <w:r>
        <w:rPr/>
        <w:t>conjunto</w:t>
      </w:r>
      <w:r>
        <w:rPr>
          <w:spacing w:val="-6"/>
        </w:rPr>
        <w:t> </w:t>
      </w:r>
      <w:r>
        <w:rPr/>
        <w:t>de</w:t>
      </w:r>
      <w:r>
        <w:rPr>
          <w:spacing w:val="-8"/>
        </w:rPr>
        <w:t> </w:t>
      </w:r>
      <w:r>
        <w:rPr/>
        <w:t>sinais ao</w:t>
      </w:r>
      <w:r>
        <w:rPr>
          <w:spacing w:val="-6"/>
        </w:rPr>
        <w:t> </w:t>
      </w:r>
      <w:r>
        <w:rPr/>
        <w:t>qual</w:t>
      </w:r>
      <w:r>
        <w:rPr>
          <w:spacing w:val="-3"/>
        </w:rPr>
        <w:t> </w:t>
      </w:r>
      <w:r>
        <w:rPr/>
        <w:t>se</w:t>
      </w:r>
      <w:r>
        <w:rPr>
          <w:spacing w:val="-8"/>
        </w:rPr>
        <w:t> </w:t>
      </w:r>
      <w:r>
        <w:rPr/>
        <w:t>dá</w:t>
      </w:r>
      <w:r>
        <w:rPr>
          <w:spacing w:val="-8"/>
        </w:rPr>
        <w:t> </w:t>
      </w:r>
      <w:r>
        <w:rPr/>
        <w:t>o nome</w:t>
      </w:r>
      <w:r>
        <w:rPr>
          <w:spacing w:val="-4"/>
        </w:rPr>
        <w:t> </w:t>
      </w:r>
      <w:r>
        <w:rPr/>
        <w:t>de</w:t>
      </w:r>
      <w:r>
        <w:rPr>
          <w:spacing w:val="-4"/>
        </w:rPr>
        <w:t> </w:t>
      </w:r>
      <w:r>
        <w:rPr/>
        <w:t>complexo</w:t>
      </w:r>
      <w:r>
        <w:rPr>
          <w:spacing w:val="-2"/>
        </w:rPr>
        <w:t> </w:t>
      </w:r>
      <w:r>
        <w:rPr/>
        <w:t>varicoso. Nem</w:t>
      </w:r>
      <w:r>
        <w:rPr>
          <w:spacing w:val="-2"/>
        </w:rPr>
        <w:t> </w:t>
      </w:r>
      <w:r>
        <w:rPr/>
        <w:t>sempre</w:t>
      </w:r>
      <w:r>
        <w:rPr>
          <w:spacing w:val="-4"/>
        </w:rPr>
        <w:t> </w:t>
      </w:r>
      <w:r>
        <w:rPr/>
        <w:t>é</w:t>
      </w:r>
      <w:r>
        <w:rPr>
          <w:spacing w:val="-4"/>
        </w:rPr>
        <w:t> </w:t>
      </w:r>
      <w:r>
        <w:rPr/>
        <w:t>possível prever a</w:t>
      </w:r>
      <w:r>
        <w:rPr>
          <w:spacing w:val="-4"/>
        </w:rPr>
        <w:t> </w:t>
      </w:r>
      <w:r>
        <w:rPr/>
        <w:t>evolução</w:t>
      </w:r>
      <w:r>
        <w:rPr>
          <w:spacing w:val="-2"/>
        </w:rPr>
        <w:t> </w:t>
      </w:r>
      <w:r>
        <w:rPr/>
        <w:t>de</w:t>
      </w:r>
      <w:r>
        <w:rPr>
          <w:spacing w:val="-4"/>
        </w:rPr>
        <w:t> </w:t>
      </w:r>
      <w:r>
        <w:rPr/>
        <w:t>um</w:t>
      </w:r>
      <w:r>
        <w:rPr>
          <w:spacing w:val="-2"/>
        </w:rPr>
        <w:t> </w:t>
      </w:r>
      <w:r>
        <w:rPr/>
        <w:t>determinado</w:t>
      </w:r>
      <w:r>
        <w:rPr>
          <w:spacing w:val="-2"/>
        </w:rPr>
        <w:t> </w:t>
      </w:r>
      <w:r>
        <w:rPr/>
        <w:t>caso. Daí a</w:t>
      </w:r>
      <w:r>
        <w:rPr>
          <w:spacing w:val="-4"/>
        </w:rPr>
        <w:t> </w:t>
      </w:r>
      <w:r>
        <w:rPr/>
        <w:t>necessidade de alertar o doente assintomático para a possibilidade do aparecimento do complexo varicoso, mais cedo ou mais tarde, quando, então, a</w:t>
      </w:r>
      <w:r>
        <w:rPr>
          <w:spacing w:val="-3"/>
        </w:rPr>
        <w:t> </w:t>
      </w:r>
      <w:r>
        <w:rPr/>
        <w:t>cirurgia</w:t>
      </w:r>
      <w:r>
        <w:rPr>
          <w:spacing w:val="-3"/>
        </w:rPr>
        <w:t> </w:t>
      </w:r>
      <w:r>
        <w:rPr/>
        <w:t>radical poderia</w:t>
      </w:r>
      <w:r>
        <w:rPr>
          <w:spacing w:val="-3"/>
        </w:rPr>
        <w:t> </w:t>
      </w:r>
      <w:r>
        <w:rPr/>
        <w:t>ser prejudicada</w:t>
      </w:r>
      <w:r>
        <w:rPr>
          <w:spacing w:val="-3"/>
        </w:rPr>
        <w:t> </w:t>
      </w:r>
      <w:r>
        <w:rPr/>
        <w:t>ou mesmo contraindicada.</w:t>
      </w:r>
    </w:p>
    <w:p>
      <w:pPr>
        <w:pStyle w:val="BodyText"/>
        <w:spacing w:line="276" w:lineRule="auto"/>
        <w:ind w:right="501"/>
      </w:pPr>
      <w:r>
        <w:rPr/>
        <w:t>Os elementos mais comuns do complexo varicoso são: edema, celulite, eczema, dermatofibrose, hiperpigmentação, hiper-hidrose, úlcera, equimose, hemorragia e flebite superficial. A incidência dessas complicações está</w:t>
      </w:r>
      <w:r>
        <w:rPr>
          <w:spacing w:val="-6"/>
        </w:rPr>
        <w:t> </w:t>
      </w:r>
      <w:r>
        <w:rPr/>
        <w:t>sempre</w:t>
      </w:r>
      <w:r>
        <w:rPr>
          <w:spacing w:val="-6"/>
        </w:rPr>
        <w:t> </w:t>
      </w:r>
      <w:r>
        <w:rPr/>
        <w:t>na</w:t>
      </w:r>
      <w:r>
        <w:rPr>
          <w:spacing w:val="-6"/>
        </w:rPr>
        <w:t> </w:t>
      </w:r>
      <w:r>
        <w:rPr/>
        <w:t>dependência</w:t>
      </w:r>
      <w:r>
        <w:rPr>
          <w:spacing w:val="-6"/>
        </w:rPr>
        <w:t> </w:t>
      </w:r>
      <w:r>
        <w:rPr/>
        <w:t>do</w:t>
      </w:r>
      <w:r>
        <w:rPr>
          <w:spacing w:val="-4"/>
        </w:rPr>
        <w:t> </w:t>
      </w:r>
      <w:r>
        <w:rPr/>
        <w:t>maior ou</w:t>
      </w:r>
      <w:r>
        <w:rPr>
          <w:spacing w:val="-4"/>
        </w:rPr>
        <w:t> </w:t>
      </w:r>
      <w:r>
        <w:rPr/>
        <w:t>menor grau</w:t>
      </w:r>
      <w:r>
        <w:rPr>
          <w:spacing w:val="-4"/>
        </w:rPr>
        <w:t> </w:t>
      </w:r>
      <w:r>
        <w:rPr/>
        <w:t>de</w:t>
      </w:r>
      <w:r>
        <w:rPr>
          <w:spacing w:val="-6"/>
        </w:rPr>
        <w:t> </w:t>
      </w:r>
      <w:r>
        <w:rPr/>
        <w:t>estase</w:t>
      </w:r>
      <w:r>
        <w:rPr>
          <w:spacing w:val="-6"/>
        </w:rPr>
        <w:t> </w:t>
      </w:r>
      <w:r>
        <w:rPr/>
        <w:t>venosa</w:t>
      </w:r>
      <w:r>
        <w:rPr>
          <w:spacing w:val="-6"/>
        </w:rPr>
        <w:t> </w:t>
      </w:r>
      <w:r>
        <w:rPr/>
        <w:t>e</w:t>
      </w:r>
      <w:r>
        <w:rPr>
          <w:spacing w:val="-6"/>
        </w:rPr>
        <w:t> </w:t>
      </w:r>
      <w:r>
        <w:rPr/>
        <w:t>do</w:t>
      </w:r>
      <w:r>
        <w:rPr>
          <w:spacing w:val="-4"/>
        </w:rPr>
        <w:t> </w:t>
      </w:r>
      <w:r>
        <w:rPr/>
        <w:t>estado</w:t>
      </w:r>
      <w:r>
        <w:rPr>
          <w:spacing w:val="-4"/>
        </w:rPr>
        <w:t> </w:t>
      </w:r>
      <w:r>
        <w:rPr/>
        <w:t>trófico</w:t>
      </w:r>
      <w:r>
        <w:rPr>
          <w:spacing w:val="-4"/>
        </w:rPr>
        <w:t> </w:t>
      </w:r>
      <w:r>
        <w:rPr/>
        <w:t>dos tecidos. Nos casos de</w:t>
      </w:r>
      <w:r>
        <w:rPr>
          <w:spacing w:val="-2"/>
        </w:rPr>
        <w:t> </w:t>
      </w:r>
      <w:r>
        <w:rPr/>
        <w:t>varizes essenciais ou primárias, essas complicações são tardias, enquanto nos de</w:t>
      </w:r>
      <w:r>
        <w:rPr>
          <w:spacing w:val="-2"/>
        </w:rPr>
        <w:t> </w:t>
      </w:r>
      <w:r>
        <w:rPr/>
        <w:t>varizes secundárias são precoces e mais graves.</w:t>
      </w:r>
    </w:p>
    <w:p>
      <w:pPr>
        <w:pStyle w:val="BodyText"/>
        <w:spacing w:line="276" w:lineRule="auto" w:before="49"/>
        <w:ind w:right="494"/>
      </w:pPr>
      <w:r>
        <w:rPr/>
        <w:t>O</w:t>
      </w:r>
      <w:r>
        <w:rPr>
          <w:spacing w:val="-1"/>
        </w:rPr>
        <w:t> </w:t>
      </w:r>
      <w:r>
        <w:rPr/>
        <w:t>edema, geralmente</w:t>
      </w:r>
      <w:r>
        <w:rPr>
          <w:spacing w:val="-1"/>
        </w:rPr>
        <w:t> </w:t>
      </w:r>
      <w:r>
        <w:rPr/>
        <w:t>a</w:t>
      </w:r>
      <w:r>
        <w:rPr>
          <w:spacing w:val="-1"/>
        </w:rPr>
        <w:t> </w:t>
      </w:r>
      <w:r>
        <w:rPr/>
        <w:t>primeira</w:t>
      </w:r>
      <w:r>
        <w:rPr>
          <w:spacing w:val="-1"/>
        </w:rPr>
        <w:t> </w:t>
      </w:r>
      <w:r>
        <w:rPr/>
        <w:t>complicação a</w:t>
      </w:r>
      <w:r>
        <w:rPr>
          <w:spacing w:val="-1"/>
        </w:rPr>
        <w:t> </w:t>
      </w:r>
      <w:r>
        <w:rPr/>
        <w:t>surgir, é</w:t>
      </w:r>
      <w:r>
        <w:rPr>
          <w:spacing w:val="-1"/>
        </w:rPr>
        <w:t> </w:t>
      </w:r>
      <w:r>
        <w:rPr/>
        <w:t>frio, mole</w:t>
      </w:r>
      <w:r>
        <w:rPr>
          <w:spacing w:val="-1"/>
        </w:rPr>
        <w:t> </w:t>
      </w:r>
      <w:r>
        <w:rPr/>
        <w:t>e</w:t>
      </w:r>
      <w:r>
        <w:rPr>
          <w:spacing w:val="-1"/>
        </w:rPr>
        <w:t> </w:t>
      </w:r>
      <w:r>
        <w:rPr/>
        <w:t>depressível, iniciando-se</w:t>
      </w:r>
      <w:r>
        <w:rPr>
          <w:spacing w:val="-1"/>
        </w:rPr>
        <w:t> </w:t>
      </w:r>
      <w:r>
        <w:rPr/>
        <w:t>no tornozelo e</w:t>
      </w:r>
      <w:r>
        <w:rPr>
          <w:spacing w:val="-1"/>
        </w:rPr>
        <w:t> </w:t>
      </w:r>
      <w:r>
        <w:rPr/>
        <w:t>aí se</w:t>
      </w:r>
      <w:r>
        <w:rPr>
          <w:spacing w:val="-10"/>
        </w:rPr>
        <w:t> </w:t>
      </w:r>
      <w:r>
        <w:rPr/>
        <w:t>mantendo</w:t>
      </w:r>
      <w:r>
        <w:rPr>
          <w:spacing w:val="-8"/>
        </w:rPr>
        <w:t> </w:t>
      </w:r>
      <w:r>
        <w:rPr/>
        <w:t>por</w:t>
      </w:r>
      <w:r>
        <w:rPr>
          <w:spacing w:val="-3"/>
        </w:rPr>
        <w:t> </w:t>
      </w:r>
      <w:r>
        <w:rPr/>
        <w:t>longo</w:t>
      </w:r>
      <w:r>
        <w:rPr>
          <w:spacing w:val="-8"/>
        </w:rPr>
        <w:t> </w:t>
      </w:r>
      <w:r>
        <w:rPr/>
        <w:t>tempo, sendo</w:t>
      </w:r>
      <w:r>
        <w:rPr>
          <w:spacing w:val="-8"/>
        </w:rPr>
        <w:t> </w:t>
      </w:r>
      <w:r>
        <w:rPr/>
        <w:t>geralmente</w:t>
      </w:r>
      <w:r>
        <w:rPr>
          <w:spacing w:val="-10"/>
        </w:rPr>
        <w:t> </w:t>
      </w:r>
      <w:r>
        <w:rPr/>
        <w:t>vespertino</w:t>
      </w:r>
      <w:r>
        <w:rPr>
          <w:spacing w:val="-8"/>
        </w:rPr>
        <w:t> </w:t>
      </w:r>
      <w:r>
        <w:rPr/>
        <w:t>e</w:t>
      </w:r>
      <w:r>
        <w:rPr>
          <w:spacing w:val="-10"/>
        </w:rPr>
        <w:t> </w:t>
      </w:r>
      <w:r>
        <w:rPr/>
        <w:t>desaparecendo</w:t>
      </w:r>
      <w:r>
        <w:rPr>
          <w:spacing w:val="-8"/>
        </w:rPr>
        <w:t> </w:t>
      </w:r>
      <w:r>
        <w:rPr/>
        <w:t>quando</w:t>
      </w:r>
      <w:r>
        <w:rPr>
          <w:spacing w:val="-8"/>
        </w:rPr>
        <w:t> </w:t>
      </w:r>
      <w:r>
        <w:rPr/>
        <w:t>o</w:t>
      </w:r>
      <w:r>
        <w:rPr>
          <w:spacing w:val="-8"/>
        </w:rPr>
        <w:t> </w:t>
      </w:r>
      <w:r>
        <w:rPr/>
        <w:t>doente</w:t>
      </w:r>
      <w:r>
        <w:rPr>
          <w:spacing w:val="-10"/>
        </w:rPr>
        <w:t> </w:t>
      </w:r>
      <w:r>
        <w:rPr/>
        <w:t>dorme. Com</w:t>
      </w:r>
      <w:r>
        <w:rPr>
          <w:spacing w:val="-8"/>
        </w:rPr>
        <w:t> </w:t>
      </w:r>
      <w:r>
        <w:rPr/>
        <w:t>o</w:t>
      </w:r>
      <w:r>
        <w:rPr>
          <w:spacing w:val="-8"/>
        </w:rPr>
        <w:t> </w:t>
      </w:r>
      <w:r>
        <w:rPr/>
        <w:t>tempo, lenta</w:t>
      </w:r>
      <w:r>
        <w:rPr>
          <w:spacing w:val="-3"/>
        </w:rPr>
        <w:t> </w:t>
      </w:r>
      <w:r>
        <w:rPr/>
        <w:t>e</w:t>
      </w:r>
      <w:r>
        <w:rPr>
          <w:spacing w:val="-3"/>
        </w:rPr>
        <w:t> </w:t>
      </w:r>
      <w:r>
        <w:rPr/>
        <w:t>progressivamente, vai ascendendo</w:t>
      </w:r>
      <w:r>
        <w:rPr>
          <w:spacing w:val="-1"/>
        </w:rPr>
        <w:t> </w:t>
      </w:r>
      <w:r>
        <w:rPr/>
        <w:t>até</w:t>
      </w:r>
      <w:r>
        <w:rPr>
          <w:spacing w:val="-3"/>
        </w:rPr>
        <w:t> </w:t>
      </w:r>
      <w:r>
        <w:rPr/>
        <w:t>o</w:t>
      </w:r>
      <w:r>
        <w:rPr>
          <w:spacing w:val="-1"/>
        </w:rPr>
        <w:t> </w:t>
      </w:r>
      <w:r>
        <w:rPr/>
        <w:t>joelho. Surtos de</w:t>
      </w:r>
      <w:r>
        <w:rPr>
          <w:spacing w:val="-3"/>
        </w:rPr>
        <w:t> </w:t>
      </w:r>
      <w:r>
        <w:rPr/>
        <w:t>celulite</w:t>
      </w:r>
      <w:r>
        <w:rPr>
          <w:spacing w:val="-3"/>
        </w:rPr>
        <w:t> </w:t>
      </w:r>
      <w:r>
        <w:rPr/>
        <w:t>e</w:t>
      </w:r>
      <w:r>
        <w:rPr>
          <w:spacing w:val="-3"/>
        </w:rPr>
        <w:t> </w:t>
      </w:r>
      <w:r>
        <w:rPr/>
        <w:t>erisipela</w:t>
      </w:r>
      <w:r>
        <w:rPr>
          <w:spacing w:val="-3"/>
        </w:rPr>
        <w:t> </w:t>
      </w:r>
      <w:r>
        <w:rPr/>
        <w:t>são</w:t>
      </w:r>
      <w:r>
        <w:rPr>
          <w:spacing w:val="-1"/>
        </w:rPr>
        <w:t> </w:t>
      </w:r>
      <w:r>
        <w:rPr/>
        <w:t>frequentes nos doentes que já apresentam edema, com ou sem úlcera. Esses processos infecciosos, quase sempre causados por estreptococo hemolítico, originam-se, na</w:t>
      </w:r>
      <w:r>
        <w:rPr>
          <w:spacing w:val="-2"/>
        </w:rPr>
        <w:t> </w:t>
      </w:r>
      <w:r>
        <w:rPr/>
        <w:t>maioria</w:t>
      </w:r>
      <w:r>
        <w:rPr>
          <w:spacing w:val="-2"/>
        </w:rPr>
        <w:t> </w:t>
      </w:r>
      <w:r>
        <w:rPr/>
        <w:t>dos casos, de</w:t>
      </w:r>
      <w:r>
        <w:rPr>
          <w:spacing w:val="-2"/>
        </w:rPr>
        <w:t> </w:t>
      </w:r>
      <w:r>
        <w:rPr/>
        <w:t>micoses interdigitais ou de</w:t>
      </w:r>
      <w:r>
        <w:rPr>
          <w:spacing w:val="-2"/>
        </w:rPr>
        <w:t> </w:t>
      </w:r>
      <w:r>
        <w:rPr/>
        <w:t>ferimentos plantares ou periungueais </w:t>
      </w:r>
      <w:r>
        <w:rPr>
          <w:spacing w:val="-2"/>
        </w:rPr>
        <w:t>infectados.</w:t>
      </w:r>
    </w:p>
    <w:p>
      <w:pPr>
        <w:pStyle w:val="BodyText"/>
        <w:spacing w:line="276" w:lineRule="auto"/>
        <w:ind w:right="497"/>
      </w:pPr>
      <w:r>
        <w:rPr/>
        <w:t>O eczema circunscrito ou difuso, pruriginoso, rebelde ao tratamento, é outra complicação comum das varizes dos membros inferiores. Geralmente está associado a celulite, úlcera, micoses interdigitais ou uso indevido de pomadas e outras medicações tópicas alergizantes.</w:t>
      </w:r>
    </w:p>
    <w:p>
      <w:pPr>
        <w:pStyle w:val="BodyText"/>
        <w:spacing w:line="276" w:lineRule="auto" w:before="48"/>
        <w:ind w:right="487"/>
      </w:pPr>
      <w:r>
        <w:rPr/>
        <w:t>A dermatofibrose, resultante do acúmulo de proteínas nos interstícios teciduais e dos repetidos surtos de celulite, é complicação grave que propicia o aparecimento de úlcera e dificulta sobremaneira o tratamento das varizes, pois provoca</w:t>
      </w:r>
      <w:r>
        <w:rPr>
          <w:spacing w:val="-1"/>
        </w:rPr>
        <w:t> </w:t>
      </w:r>
      <w:r>
        <w:rPr/>
        <w:t>alterações irreversíveis da</w:t>
      </w:r>
      <w:r>
        <w:rPr>
          <w:spacing w:val="-1"/>
        </w:rPr>
        <w:t> </w:t>
      </w:r>
      <w:r>
        <w:rPr/>
        <w:t>troficidade</w:t>
      </w:r>
      <w:r>
        <w:rPr>
          <w:spacing w:val="-1"/>
        </w:rPr>
        <w:t> </w:t>
      </w:r>
      <w:r>
        <w:rPr/>
        <w:t>dos tecidos superficiais da</w:t>
      </w:r>
      <w:r>
        <w:rPr>
          <w:spacing w:val="-1"/>
        </w:rPr>
        <w:t> </w:t>
      </w:r>
      <w:r>
        <w:rPr/>
        <w:t>perna.</w:t>
      </w:r>
    </w:p>
    <w:p>
      <w:pPr>
        <w:pStyle w:val="BodyText"/>
        <w:spacing w:line="276" w:lineRule="auto"/>
        <w:ind w:right="491"/>
      </w:pPr>
      <w:r>
        <w:rPr/>
        <w:t>A</w:t>
      </w:r>
      <w:r>
        <w:rPr>
          <w:spacing w:val="-13"/>
        </w:rPr>
        <w:t> </w:t>
      </w:r>
      <w:r>
        <w:rPr/>
        <w:t>hiperpigmentação</w:t>
      </w:r>
      <w:r>
        <w:rPr>
          <w:spacing w:val="-10"/>
        </w:rPr>
        <w:t> </w:t>
      </w:r>
      <w:r>
        <w:rPr/>
        <w:t>ocorre</w:t>
      </w:r>
      <w:r>
        <w:rPr>
          <w:spacing w:val="-13"/>
        </w:rPr>
        <w:t> </w:t>
      </w:r>
      <w:r>
        <w:rPr/>
        <w:t>em</w:t>
      </w:r>
      <w:r>
        <w:rPr>
          <w:spacing w:val="-10"/>
        </w:rPr>
        <w:t> </w:t>
      </w:r>
      <w:r>
        <w:rPr/>
        <w:t>alguns</w:t>
      </w:r>
      <w:r>
        <w:rPr>
          <w:spacing w:val="-3"/>
        </w:rPr>
        <w:t> </w:t>
      </w:r>
      <w:r>
        <w:rPr/>
        <w:t>pacientes</w:t>
      </w:r>
      <w:r>
        <w:rPr>
          <w:spacing w:val="-3"/>
        </w:rPr>
        <w:t> </w:t>
      </w:r>
      <w:r>
        <w:rPr/>
        <w:t>varicosos.</w:t>
      </w:r>
      <w:r>
        <w:rPr>
          <w:spacing w:val="-3"/>
        </w:rPr>
        <w:t> </w:t>
      </w:r>
      <w:r>
        <w:rPr/>
        <w:t>Deve-se</w:t>
      </w:r>
      <w:r>
        <w:rPr>
          <w:spacing w:val="-13"/>
        </w:rPr>
        <w:t> </w:t>
      </w:r>
      <w:r>
        <w:rPr/>
        <w:t>a</w:t>
      </w:r>
      <w:r>
        <w:rPr>
          <w:spacing w:val="-13"/>
        </w:rPr>
        <w:t> </w:t>
      </w:r>
      <w:r>
        <w:rPr/>
        <w:t>depósitos</w:t>
      </w:r>
      <w:r>
        <w:rPr>
          <w:spacing w:val="-3"/>
        </w:rPr>
        <w:t> </w:t>
      </w:r>
      <w:r>
        <w:rPr/>
        <w:t>de</w:t>
      </w:r>
      <w:r>
        <w:rPr>
          <w:spacing w:val="-13"/>
        </w:rPr>
        <w:t> </w:t>
      </w:r>
      <w:r>
        <w:rPr/>
        <w:t>hemossiderina,</w:t>
      </w:r>
      <w:r>
        <w:rPr>
          <w:spacing w:val="-3"/>
        </w:rPr>
        <w:t> </w:t>
      </w:r>
      <w:r>
        <w:rPr/>
        <w:t>localiza-se</w:t>
      </w:r>
      <w:r>
        <w:rPr>
          <w:spacing w:val="-13"/>
        </w:rPr>
        <w:t> </w:t>
      </w:r>
      <w:r>
        <w:rPr/>
        <w:t>no terço inferior da perna ou nos trajetos varicosos. Não dá sintomas próprios, mas interfere definitivamente no aspecto estético dos membros e prejudica sensivelmente o tratamento cirúrgico.</w:t>
      </w:r>
    </w:p>
    <w:p>
      <w:pPr>
        <w:pStyle w:val="BodyText"/>
        <w:spacing w:line="276" w:lineRule="auto" w:before="64"/>
        <w:ind w:right="498"/>
      </w:pPr>
      <w:r>
        <w:rPr/>
        <w:t>A úlcera é uma das complicações mais graves das varizes. Quase sempre localizada no terço inferior da perna, um pouco acima do maléolo interno, podendo, mais raramente, ter outras localizações. A incidência da úlcera varicosa</w:t>
      </w:r>
      <w:r>
        <w:rPr>
          <w:spacing w:val="-10"/>
        </w:rPr>
        <w:t> </w:t>
      </w:r>
      <w:r>
        <w:rPr/>
        <w:t>depende, em</w:t>
      </w:r>
      <w:r>
        <w:rPr>
          <w:spacing w:val="-8"/>
        </w:rPr>
        <w:t> </w:t>
      </w:r>
      <w:r>
        <w:rPr/>
        <w:t>parte, da</w:t>
      </w:r>
      <w:r>
        <w:rPr>
          <w:spacing w:val="-10"/>
        </w:rPr>
        <w:t> </w:t>
      </w:r>
      <w:r>
        <w:rPr/>
        <w:t>condição</w:t>
      </w:r>
      <w:r>
        <w:rPr>
          <w:spacing w:val="-8"/>
        </w:rPr>
        <w:t> </w:t>
      </w:r>
      <w:r>
        <w:rPr/>
        <w:t>social</w:t>
      </w:r>
      <w:r>
        <w:rPr>
          <w:spacing w:val="-5"/>
        </w:rPr>
        <w:t> </w:t>
      </w:r>
      <w:r>
        <w:rPr/>
        <w:t>do</w:t>
      </w:r>
      <w:r>
        <w:rPr>
          <w:spacing w:val="-8"/>
        </w:rPr>
        <w:t> </w:t>
      </w:r>
      <w:r>
        <w:rPr/>
        <w:t>doente. Na</w:t>
      </w:r>
      <w:r>
        <w:rPr>
          <w:spacing w:val="-10"/>
        </w:rPr>
        <w:t> </w:t>
      </w:r>
      <w:r>
        <w:rPr/>
        <w:t>clínica</w:t>
      </w:r>
      <w:r>
        <w:rPr>
          <w:spacing w:val="-10"/>
        </w:rPr>
        <w:t> </w:t>
      </w:r>
      <w:r>
        <w:rPr/>
        <w:t>particular</w:t>
      </w:r>
      <w:r>
        <w:rPr>
          <w:spacing w:val="-3"/>
        </w:rPr>
        <w:t> </w:t>
      </w:r>
      <w:r>
        <w:rPr/>
        <w:t>não</w:t>
      </w:r>
      <w:r>
        <w:rPr>
          <w:spacing w:val="-8"/>
        </w:rPr>
        <w:t> </w:t>
      </w:r>
      <w:r>
        <w:rPr/>
        <w:t>chega</w:t>
      </w:r>
      <w:r>
        <w:rPr>
          <w:spacing w:val="-10"/>
        </w:rPr>
        <w:t> </w:t>
      </w:r>
      <w:r>
        <w:rPr/>
        <w:t>a</w:t>
      </w:r>
      <w:r>
        <w:rPr>
          <w:spacing w:val="-10"/>
        </w:rPr>
        <w:t> </w:t>
      </w:r>
      <w:r>
        <w:rPr/>
        <w:t>10%</w:t>
      </w:r>
      <w:r>
        <w:rPr>
          <w:spacing w:val="-5"/>
        </w:rPr>
        <w:t> </w:t>
      </w:r>
      <w:r>
        <w:rPr/>
        <w:t>dos casos, mas nos hospitais gerais pode ultrapassar 30%. Instala-se após comprometimento intenso dos tecidos, pele e derme e, por isso, muitas vezes, aparece</w:t>
      </w:r>
      <w:r>
        <w:rPr>
          <w:spacing w:val="-4"/>
        </w:rPr>
        <w:t> </w:t>
      </w:r>
      <w:r>
        <w:rPr/>
        <w:t>após leve</w:t>
      </w:r>
      <w:r>
        <w:rPr>
          <w:spacing w:val="-4"/>
        </w:rPr>
        <w:t> </w:t>
      </w:r>
      <w:r>
        <w:rPr/>
        <w:t>traumatismo</w:t>
      </w:r>
      <w:r>
        <w:rPr>
          <w:spacing w:val="-1"/>
        </w:rPr>
        <w:t> </w:t>
      </w:r>
      <w:r>
        <w:rPr/>
        <w:t>que</w:t>
      </w:r>
      <w:r>
        <w:rPr>
          <w:spacing w:val="-4"/>
        </w:rPr>
        <w:t> </w:t>
      </w:r>
      <w:r>
        <w:rPr/>
        <w:t>não</w:t>
      </w:r>
      <w:r>
        <w:rPr>
          <w:spacing w:val="-1"/>
        </w:rPr>
        <w:t> </w:t>
      </w:r>
      <w:r>
        <w:rPr/>
        <w:t>teria</w:t>
      </w:r>
      <w:r>
        <w:rPr>
          <w:spacing w:val="-4"/>
        </w:rPr>
        <w:t> </w:t>
      </w:r>
      <w:r>
        <w:rPr/>
        <w:t>nenhuma</w:t>
      </w:r>
      <w:r>
        <w:rPr>
          <w:spacing w:val="-4"/>
        </w:rPr>
        <w:t> </w:t>
      </w:r>
      <w:r>
        <w:rPr/>
        <w:t>consequência</w:t>
      </w:r>
      <w:r>
        <w:rPr>
          <w:spacing w:val="-4"/>
        </w:rPr>
        <w:t> </w:t>
      </w:r>
      <w:r>
        <w:rPr/>
        <w:t>em</w:t>
      </w:r>
      <w:r>
        <w:rPr>
          <w:spacing w:val="-1"/>
        </w:rPr>
        <w:t> </w:t>
      </w:r>
      <w:r>
        <w:rPr/>
        <w:t>um</w:t>
      </w:r>
      <w:r>
        <w:rPr>
          <w:spacing w:val="-1"/>
        </w:rPr>
        <w:t> </w:t>
      </w:r>
      <w:r>
        <w:rPr/>
        <w:t>indivíduo</w:t>
      </w:r>
      <w:r>
        <w:rPr>
          <w:spacing w:val="-1"/>
        </w:rPr>
        <w:t> </w:t>
      </w:r>
      <w:r>
        <w:rPr/>
        <w:t>normal.</w:t>
      </w:r>
    </w:p>
    <w:p>
      <w:pPr>
        <w:pStyle w:val="BodyText"/>
        <w:spacing w:line="276" w:lineRule="auto" w:before="49"/>
        <w:ind w:right="491"/>
      </w:pPr>
      <w:r>
        <w:rPr/>
        <w:t>A úlcera varicosa aparece como uma ilha dentro de uma área de fibrose e pigmentação, com bordas pouco elevadas, fundo plano e cianótico, secretante, geralmente única e circunscrita por halos de celulite endurada e hiperpigmentação.</w:t>
      </w:r>
      <w:r>
        <w:rPr>
          <w:spacing w:val="-4"/>
        </w:rPr>
        <w:t> </w:t>
      </w:r>
      <w:r>
        <w:rPr/>
        <w:t>É</w:t>
      </w:r>
      <w:r>
        <w:rPr>
          <w:spacing w:val="-6"/>
        </w:rPr>
        <w:t> </w:t>
      </w:r>
      <w:r>
        <w:rPr/>
        <w:t>sede</w:t>
      </w:r>
      <w:r>
        <w:rPr>
          <w:spacing w:val="-13"/>
        </w:rPr>
        <w:t> </w:t>
      </w:r>
      <w:r>
        <w:rPr/>
        <w:t>frequente</w:t>
      </w:r>
      <w:r>
        <w:rPr>
          <w:spacing w:val="-13"/>
        </w:rPr>
        <w:t> </w:t>
      </w:r>
      <w:r>
        <w:rPr/>
        <w:t>de</w:t>
      </w:r>
      <w:r>
        <w:rPr>
          <w:spacing w:val="-13"/>
        </w:rPr>
        <w:t> </w:t>
      </w:r>
      <w:r>
        <w:rPr/>
        <w:t>infecção</w:t>
      </w:r>
      <w:r>
        <w:rPr>
          <w:spacing w:val="-10"/>
        </w:rPr>
        <w:t> </w:t>
      </w:r>
      <w:r>
        <w:rPr/>
        <w:t>secundária</w:t>
      </w:r>
      <w:r>
        <w:rPr>
          <w:spacing w:val="-13"/>
        </w:rPr>
        <w:t> </w:t>
      </w:r>
      <w:r>
        <w:rPr/>
        <w:t>e</w:t>
      </w:r>
      <w:r>
        <w:rPr>
          <w:spacing w:val="-13"/>
        </w:rPr>
        <w:t> </w:t>
      </w:r>
      <w:r>
        <w:rPr/>
        <w:t>eczema</w:t>
      </w:r>
      <w:r>
        <w:rPr>
          <w:spacing w:val="-13"/>
        </w:rPr>
        <w:t> </w:t>
      </w:r>
      <w:r>
        <w:rPr/>
        <w:t>tópico</w:t>
      </w:r>
      <w:r>
        <w:rPr>
          <w:spacing w:val="-10"/>
        </w:rPr>
        <w:t> </w:t>
      </w:r>
      <w:r>
        <w:rPr/>
        <w:t>medicamentoso,</w:t>
      </w:r>
      <w:r>
        <w:rPr>
          <w:spacing w:val="-4"/>
        </w:rPr>
        <w:t> </w:t>
      </w:r>
      <w:r>
        <w:rPr/>
        <w:t>representando</w:t>
      </w:r>
      <w:r>
        <w:rPr>
          <w:spacing w:val="-10"/>
        </w:rPr>
        <w:t> </w:t>
      </w:r>
      <w:r>
        <w:rPr/>
        <w:t>o</w:t>
      </w:r>
      <w:r>
        <w:rPr>
          <w:spacing w:val="-10"/>
        </w:rPr>
        <w:t> </w:t>
      </w:r>
      <w:r>
        <w:rPr/>
        <w:t>último grau de evolução da estase venosa crônica.</w:t>
      </w:r>
    </w:p>
    <w:p>
      <w:pPr>
        <w:pStyle w:val="BodyText"/>
        <w:spacing w:before="186"/>
        <w:ind w:left="0" w:firstLine="0"/>
        <w:jc w:val="left"/>
      </w:pPr>
    </w:p>
    <w:p>
      <w:pPr>
        <w:pStyle w:val="Heading4"/>
      </w:pPr>
      <w:r>
        <w:rPr>
          <w:color w:val="242B67"/>
          <w:spacing w:val="-2"/>
        </w:rPr>
        <w:t>Diagnóstico</w:t>
      </w:r>
    </w:p>
    <w:p>
      <w:pPr>
        <w:pStyle w:val="BodyText"/>
        <w:spacing w:line="276" w:lineRule="auto" w:before="132"/>
        <w:ind w:right="500"/>
      </w:pPr>
      <w:r>
        <w:rPr/>
        <w:t>As varizes dos membros inferiores são diagnosticadas por sintomatologia, exame físico e, quando necessário, por exames auxiliares, destacando-se a flebografia, o duplex-scan e mesmo a fotopletismografia.</w:t>
      </w:r>
    </w:p>
    <w:p>
      <w:pPr>
        <w:pStyle w:val="BodyText"/>
        <w:spacing w:line="276" w:lineRule="auto" w:before="64"/>
        <w:ind w:right="491"/>
      </w:pPr>
      <w:r>
        <w:rPr/>
        <w:t>O exame mais antigo utilizado no estudo das varizes é a flebografia, bem substituída pelo mapeamento duplex que não é invasivo.</w:t>
      </w:r>
    </w:p>
    <w:p>
      <w:pPr>
        <w:pStyle w:val="BodyText"/>
        <w:spacing w:line="276" w:lineRule="auto"/>
        <w:ind w:right="488"/>
      </w:pPr>
      <w:r>
        <w:rPr/>
        <w:t>O uso da ultrassonografia, associada ao efeito Doppler, permite o diagnóstico pormenorizado, morfológico e funcional dos troncos venosos profundos, superficiais e das perfurantes-comunicantes.</w:t>
      </w:r>
    </w:p>
    <w:p>
      <w:pPr>
        <w:pStyle w:val="BodyText"/>
        <w:spacing w:line="280" w:lineRule="auto" w:before="48"/>
        <w:ind w:right="488"/>
      </w:pPr>
      <w:r>
        <w:rPr/>
        <w:t>A fotopletismografia é mais utilizada para pesquisar os mecanismos do retorno venoso como um todo; permite que, com manobras específicas de dorsiflexão do pé, esvazie-se a rede capilar e, com aplicação do fotopletismógrafo, determine-se</w:t>
      </w:r>
      <w:r>
        <w:rPr>
          <w:spacing w:val="-9"/>
        </w:rPr>
        <w:t> </w:t>
      </w:r>
      <w:r>
        <w:rPr/>
        <w:t>o</w:t>
      </w:r>
      <w:r>
        <w:rPr>
          <w:spacing w:val="-7"/>
        </w:rPr>
        <w:t> </w:t>
      </w:r>
      <w:r>
        <w:rPr/>
        <w:t>tempo</w:t>
      </w:r>
      <w:r>
        <w:rPr>
          <w:spacing w:val="-7"/>
        </w:rPr>
        <w:t> </w:t>
      </w:r>
      <w:r>
        <w:rPr/>
        <w:t>necessário</w:t>
      </w:r>
      <w:r>
        <w:rPr>
          <w:spacing w:val="-7"/>
        </w:rPr>
        <w:t> </w:t>
      </w:r>
      <w:r>
        <w:rPr/>
        <w:t>para</w:t>
      </w:r>
      <w:r>
        <w:rPr>
          <w:spacing w:val="-9"/>
        </w:rPr>
        <w:t> </w:t>
      </w:r>
      <w:r>
        <w:rPr/>
        <w:t>o</w:t>
      </w:r>
      <w:r>
        <w:rPr>
          <w:spacing w:val="-7"/>
        </w:rPr>
        <w:t> </w:t>
      </w:r>
      <w:r>
        <w:rPr/>
        <w:t>seu</w:t>
      </w:r>
      <w:r>
        <w:rPr>
          <w:spacing w:val="-7"/>
        </w:rPr>
        <w:t> </w:t>
      </w:r>
      <w:r>
        <w:rPr/>
        <w:t>reenchimento. Um</w:t>
      </w:r>
      <w:r>
        <w:rPr>
          <w:spacing w:val="-7"/>
        </w:rPr>
        <w:t> </w:t>
      </w:r>
      <w:r>
        <w:rPr/>
        <w:t>valor</w:t>
      </w:r>
      <w:r>
        <w:rPr>
          <w:spacing w:val="-2"/>
        </w:rPr>
        <w:t> </w:t>
      </w:r>
      <w:r>
        <w:rPr/>
        <w:t>abaixo</w:t>
      </w:r>
      <w:r>
        <w:rPr>
          <w:spacing w:val="-7"/>
        </w:rPr>
        <w:t> </w:t>
      </w:r>
      <w:r>
        <w:rPr/>
        <w:t>de</w:t>
      </w:r>
      <w:r>
        <w:rPr>
          <w:spacing w:val="-9"/>
        </w:rPr>
        <w:t> </w:t>
      </w:r>
      <w:r>
        <w:rPr/>
        <w:t>20</w:t>
      </w:r>
      <w:r>
        <w:rPr>
          <w:spacing w:val="-7"/>
        </w:rPr>
        <w:t> </w:t>
      </w:r>
      <w:r>
        <w:rPr/>
        <w:t>s é</w:t>
      </w:r>
      <w:r>
        <w:rPr>
          <w:spacing w:val="-9"/>
        </w:rPr>
        <w:t> </w:t>
      </w:r>
      <w:r>
        <w:rPr/>
        <w:t>compatível com hipertensão venosa crônica.</w:t>
      </w:r>
      <w:r>
        <w:rPr>
          <w:vertAlign w:val="superscript"/>
        </w:rPr>
        <w:t>9</w:t>
      </w:r>
    </w:p>
    <w:p>
      <w:pPr>
        <w:pStyle w:val="BodyText"/>
        <w:spacing w:before="181"/>
        <w:ind w:left="0" w:firstLine="0"/>
        <w:jc w:val="left"/>
      </w:pPr>
    </w:p>
    <w:p>
      <w:pPr>
        <w:pStyle w:val="Heading4"/>
      </w:pPr>
      <w:r>
        <w:rPr>
          <w:color w:val="242B67"/>
          <w:spacing w:val="-2"/>
        </w:rPr>
        <w:t>Tratamento</w:t>
      </w:r>
    </w:p>
    <w:p>
      <w:pPr>
        <w:pStyle w:val="BodyText"/>
        <w:spacing w:line="276" w:lineRule="auto" w:before="131"/>
        <w:ind w:right="491"/>
      </w:pPr>
      <w:r>
        <w:rPr/>
        <w:t>As varizes dos membros inferiores foram</w:t>
      </w:r>
      <w:r>
        <w:rPr>
          <w:spacing w:val="-2"/>
        </w:rPr>
        <w:t> </w:t>
      </w:r>
      <w:r>
        <w:rPr/>
        <w:t>caracterizadas como</w:t>
      </w:r>
      <w:r>
        <w:rPr>
          <w:spacing w:val="-2"/>
        </w:rPr>
        <w:t> </w:t>
      </w:r>
      <w:r>
        <w:rPr/>
        <w:t>doença</w:t>
      </w:r>
      <w:r>
        <w:rPr>
          <w:spacing w:val="-4"/>
        </w:rPr>
        <w:t> </w:t>
      </w:r>
      <w:r>
        <w:rPr/>
        <w:t>500</w:t>
      </w:r>
      <w:r>
        <w:rPr>
          <w:spacing w:val="-2"/>
        </w:rPr>
        <w:t> </w:t>
      </w:r>
      <w:r>
        <w:rPr/>
        <w:t>a.C. e</w:t>
      </w:r>
      <w:r>
        <w:rPr>
          <w:spacing w:val="-4"/>
        </w:rPr>
        <w:t> </w:t>
      </w:r>
      <w:r>
        <w:rPr/>
        <w:t>desde</w:t>
      </w:r>
      <w:r>
        <w:rPr>
          <w:spacing w:val="-4"/>
        </w:rPr>
        <w:t> </w:t>
      </w:r>
      <w:r>
        <w:rPr/>
        <w:t>essa</w:t>
      </w:r>
      <w:r>
        <w:rPr>
          <w:spacing w:val="-4"/>
        </w:rPr>
        <w:t> </w:t>
      </w:r>
      <w:r>
        <w:rPr/>
        <w:t>época</w:t>
      </w:r>
      <w:r>
        <w:rPr>
          <w:spacing w:val="-4"/>
        </w:rPr>
        <w:t> </w:t>
      </w:r>
      <w:r>
        <w:rPr/>
        <w:t>despertaram grande</w:t>
      </w:r>
      <w:r>
        <w:rPr>
          <w:spacing w:val="-11"/>
        </w:rPr>
        <w:t> </w:t>
      </w:r>
      <w:r>
        <w:rPr/>
        <w:t>interesse</w:t>
      </w:r>
      <w:r>
        <w:rPr>
          <w:spacing w:val="-11"/>
        </w:rPr>
        <w:t> </w:t>
      </w:r>
      <w:r>
        <w:rPr/>
        <w:t>terapêutico,</w:t>
      </w:r>
      <w:r>
        <w:rPr>
          <w:spacing w:val="-1"/>
        </w:rPr>
        <w:t> </w:t>
      </w:r>
      <w:r>
        <w:rPr/>
        <w:t>tendo</w:t>
      </w:r>
      <w:r>
        <w:rPr>
          <w:spacing w:val="-9"/>
        </w:rPr>
        <w:t> </w:t>
      </w:r>
      <w:r>
        <w:rPr/>
        <w:t>sido</w:t>
      </w:r>
      <w:r>
        <w:rPr>
          <w:spacing w:val="-9"/>
        </w:rPr>
        <w:t> </w:t>
      </w:r>
      <w:r>
        <w:rPr/>
        <w:t>tratadas</w:t>
      </w:r>
      <w:r>
        <w:rPr>
          <w:spacing w:val="-1"/>
        </w:rPr>
        <w:t> </w:t>
      </w:r>
      <w:r>
        <w:rPr/>
        <w:t>com</w:t>
      </w:r>
      <w:r>
        <w:rPr>
          <w:spacing w:val="-9"/>
        </w:rPr>
        <w:t> </w:t>
      </w:r>
      <w:r>
        <w:rPr/>
        <w:t>vários</w:t>
      </w:r>
      <w:r>
        <w:rPr>
          <w:spacing w:val="-1"/>
        </w:rPr>
        <w:t> </w:t>
      </w:r>
      <w:r>
        <w:rPr/>
        <w:t>métodos</w:t>
      </w:r>
      <w:r>
        <w:rPr>
          <w:spacing w:val="-1"/>
        </w:rPr>
        <w:t> </w:t>
      </w:r>
      <w:r>
        <w:rPr/>
        <w:t>empíricos</w:t>
      </w:r>
      <w:r>
        <w:rPr>
          <w:spacing w:val="-1"/>
        </w:rPr>
        <w:t> </w:t>
      </w:r>
      <w:r>
        <w:rPr/>
        <w:t>e</w:t>
      </w:r>
      <w:r>
        <w:rPr>
          <w:spacing w:val="-11"/>
        </w:rPr>
        <w:t> </w:t>
      </w:r>
      <w:r>
        <w:rPr/>
        <w:t>exóticos</w:t>
      </w:r>
      <w:r>
        <w:rPr>
          <w:spacing w:val="-1"/>
        </w:rPr>
        <w:t> </w:t>
      </w:r>
      <w:r>
        <w:rPr/>
        <w:t>com</w:t>
      </w:r>
      <w:r>
        <w:rPr>
          <w:spacing w:val="-9"/>
        </w:rPr>
        <w:t> </w:t>
      </w:r>
      <w:r>
        <w:rPr/>
        <w:t>resultados</w:t>
      </w:r>
      <w:r>
        <w:rPr>
          <w:spacing w:val="-1"/>
        </w:rPr>
        <w:t> </w:t>
      </w:r>
      <w:r>
        <w:rPr/>
        <w:t>precários.</w:t>
      </w:r>
    </w:p>
    <w:p>
      <w:pPr>
        <w:pStyle w:val="BodyText"/>
        <w:spacing w:after="0" w:line="276" w:lineRule="auto"/>
        <w:sectPr>
          <w:pgSz w:w="11900" w:h="16840"/>
          <w:pgMar w:top="180" w:bottom="280" w:left="566" w:right="141"/>
        </w:sectPr>
      </w:pPr>
    </w:p>
    <w:p>
      <w:pPr>
        <w:pStyle w:val="BodyText"/>
        <w:spacing w:line="280" w:lineRule="auto" w:before="75"/>
        <w:ind w:right="488"/>
      </w:pPr>
      <w:r>
        <w:rPr/>
        <w:t>A era da moderna terapêutica cirúrgica das varizes inicia-se a partir de 1907 com os trabalhos de Babcock e de Moro e Novaro. Os princípios fisiopatológicos neles descritos possibilitam idealizar a cirurgia radical com a retirada</w:t>
      </w:r>
      <w:r>
        <w:rPr>
          <w:spacing w:val="-1"/>
        </w:rPr>
        <w:t> </w:t>
      </w:r>
      <w:r>
        <w:rPr/>
        <w:t>das veias safenas dilatadas e</w:t>
      </w:r>
      <w:r>
        <w:rPr>
          <w:spacing w:val="-1"/>
        </w:rPr>
        <w:t> </w:t>
      </w:r>
      <w:r>
        <w:rPr/>
        <w:t>tortuosas, ressecção das colaterais varicosas e</w:t>
      </w:r>
      <w:r>
        <w:rPr>
          <w:spacing w:val="-1"/>
        </w:rPr>
        <w:t> </w:t>
      </w:r>
      <w:r>
        <w:rPr/>
        <w:t>ligadura</w:t>
      </w:r>
      <w:r>
        <w:rPr>
          <w:spacing w:val="-1"/>
        </w:rPr>
        <w:t> </w:t>
      </w:r>
      <w:r>
        <w:rPr/>
        <w:t>das veias perfurantes-comunicantes insuficientes.</w:t>
      </w:r>
      <w:r>
        <w:rPr>
          <w:vertAlign w:val="superscript"/>
        </w:rPr>
        <w:t>10,11</w:t>
      </w:r>
    </w:p>
    <w:p>
      <w:pPr>
        <w:pStyle w:val="BodyText"/>
        <w:spacing w:line="283" w:lineRule="auto" w:before="60"/>
        <w:ind w:right="497"/>
      </w:pPr>
      <w:r>
        <w:rPr/>
        <w:t>Uma série de aperfeiçoamentos técnicos foi progressivamente introduzida até chegarmos aos dias de hoje, quando um grande número de doentes é operado com microincisões e excelentes resultados funcionais e </w:t>
      </w:r>
      <w:r>
        <w:rPr>
          <w:spacing w:val="-2"/>
        </w:rPr>
        <w:t>estéticos.</w:t>
      </w:r>
      <w:r>
        <w:rPr>
          <w:spacing w:val="-2"/>
          <w:vertAlign w:val="superscript"/>
        </w:rPr>
        <w:t>10–19</w:t>
      </w:r>
    </w:p>
    <w:p>
      <w:pPr>
        <w:pStyle w:val="BodyText"/>
        <w:spacing w:line="283" w:lineRule="auto" w:before="41"/>
        <w:ind w:right="491"/>
      </w:pPr>
      <w:r>
        <w:rPr/>
        <w:t>Em</w:t>
      </w:r>
      <w:r>
        <w:rPr>
          <w:spacing w:val="-1"/>
        </w:rPr>
        <w:t> </w:t>
      </w:r>
      <w:r>
        <w:rPr/>
        <w:t>1930, Biengeleisen</w:t>
      </w:r>
      <w:r>
        <w:rPr>
          <w:spacing w:val="-1"/>
        </w:rPr>
        <w:t> </w:t>
      </w:r>
      <w:r>
        <w:rPr/>
        <w:t>fabricou</w:t>
      </w:r>
      <w:r>
        <w:rPr>
          <w:spacing w:val="-1"/>
        </w:rPr>
        <w:t> </w:t>
      </w:r>
      <w:r>
        <w:rPr/>
        <w:t>as primeiras agulhas hipodérmicas de</w:t>
      </w:r>
      <w:r>
        <w:rPr>
          <w:spacing w:val="-3"/>
        </w:rPr>
        <w:t> </w:t>
      </w:r>
      <w:r>
        <w:rPr/>
        <w:t>calibre</w:t>
      </w:r>
      <w:r>
        <w:rPr>
          <w:spacing w:val="-3"/>
        </w:rPr>
        <w:t> </w:t>
      </w:r>
      <w:r>
        <w:rPr/>
        <w:t>extremamente</w:t>
      </w:r>
      <w:r>
        <w:rPr>
          <w:spacing w:val="-3"/>
        </w:rPr>
        <w:t> </w:t>
      </w:r>
      <w:r>
        <w:rPr/>
        <w:t>fino, conseguindo puncionar telangiectasias. Desenvolveu-se a partir desta época a técnica de escleroterapia para esses pequeninos vasos com a produção e o aperfeiçoamento de novas substâncias esclerosantes.</w:t>
      </w:r>
      <w:r>
        <w:rPr>
          <w:vertAlign w:val="superscript"/>
        </w:rPr>
        <w:t>20</w:t>
      </w:r>
    </w:p>
    <w:p>
      <w:pPr>
        <w:pStyle w:val="BodyText"/>
        <w:spacing w:line="276" w:lineRule="auto" w:before="56"/>
        <w:ind w:right="494"/>
      </w:pPr>
      <w:r>
        <w:rPr/>
        <w:t>Apesar de ainda existirem atualmente alguns poucos simpatizantes da esclerose de grandes varizes, tal procedimento foi praticamente abandonado. A esclerose farmacológica fica reservada às telangiectasias. As polêmicas e</w:t>
      </w:r>
      <w:r>
        <w:rPr>
          <w:spacing w:val="-1"/>
        </w:rPr>
        <w:t> </w:t>
      </w:r>
      <w:r>
        <w:rPr/>
        <w:t>controvérsias podem se</w:t>
      </w:r>
      <w:r>
        <w:rPr>
          <w:spacing w:val="-1"/>
        </w:rPr>
        <w:t> </w:t>
      </w:r>
      <w:r>
        <w:rPr/>
        <w:t>relacionar com o tratamento das microvarizes.</w:t>
      </w:r>
    </w:p>
    <w:p>
      <w:pPr>
        <w:pStyle w:val="BodyText"/>
        <w:spacing w:line="276" w:lineRule="auto" w:before="49"/>
        <w:ind w:right="491"/>
      </w:pPr>
      <w:r>
        <w:rPr/>
        <w:t>Existem alguns autores que separam as alterações venosas dos membros inferiores com base em um critério dimensional. Assim, as microvarizes teriam um calibre variável entre 2 e 5 mm, de menor calibre seriam as telangiectasias e de maior, as varizes. No entanto, além do tamanho, também se diferenciam pela sintomatologia e </w:t>
      </w:r>
      <w:r>
        <w:rPr>
          <w:spacing w:val="-2"/>
        </w:rPr>
        <w:t>evolução.</w:t>
      </w:r>
    </w:p>
    <w:p>
      <w:pPr>
        <w:pStyle w:val="BodyText"/>
        <w:spacing w:line="276" w:lineRule="auto"/>
        <w:ind w:right="491"/>
      </w:pPr>
      <w:r>
        <w:rPr/>
        <w:t>As microvarizes situam-se no tecido celular subcutâneo e, da mesma forma que as varizes, às vezes fazem relevo na</w:t>
      </w:r>
      <w:r>
        <w:rPr>
          <w:spacing w:val="-1"/>
        </w:rPr>
        <w:t> </w:t>
      </w:r>
      <w:r>
        <w:rPr/>
        <w:t>superfície</w:t>
      </w:r>
      <w:r>
        <w:rPr>
          <w:spacing w:val="-1"/>
        </w:rPr>
        <w:t> </w:t>
      </w:r>
      <w:r>
        <w:rPr/>
        <w:t>da</w:t>
      </w:r>
      <w:r>
        <w:rPr>
          <w:spacing w:val="-1"/>
        </w:rPr>
        <w:t> </w:t>
      </w:r>
      <w:r>
        <w:rPr/>
        <w:t>pele, revestidas apenas pela</w:t>
      </w:r>
      <w:r>
        <w:rPr>
          <w:spacing w:val="-1"/>
        </w:rPr>
        <w:t> </w:t>
      </w:r>
      <w:r>
        <w:rPr/>
        <w:t>epiderme. Quanto à</w:t>
      </w:r>
      <w:r>
        <w:rPr>
          <w:spacing w:val="-1"/>
        </w:rPr>
        <w:t> </w:t>
      </w:r>
      <w:r>
        <w:rPr/>
        <w:t>sintomatologia, produzem poucas queixas, geralmente</w:t>
      </w:r>
      <w:r>
        <w:rPr>
          <w:spacing w:val="-2"/>
        </w:rPr>
        <w:t> </w:t>
      </w:r>
      <w:r>
        <w:rPr/>
        <w:t>representadas por dor e</w:t>
      </w:r>
      <w:r>
        <w:rPr>
          <w:spacing w:val="-2"/>
        </w:rPr>
        <w:t> </w:t>
      </w:r>
      <w:r>
        <w:rPr/>
        <w:t>queimação nos trajetos. Sempre</w:t>
      </w:r>
      <w:r>
        <w:rPr>
          <w:spacing w:val="-2"/>
        </w:rPr>
        <w:t> </w:t>
      </w:r>
      <w:r>
        <w:rPr/>
        <w:t>evoluem de</w:t>
      </w:r>
      <w:r>
        <w:rPr>
          <w:spacing w:val="-2"/>
        </w:rPr>
        <w:t> </w:t>
      </w:r>
      <w:r>
        <w:rPr/>
        <w:t>forma</w:t>
      </w:r>
      <w:r>
        <w:rPr>
          <w:spacing w:val="-2"/>
        </w:rPr>
        <w:t> </w:t>
      </w:r>
      <w:r>
        <w:rPr/>
        <w:t>benigna</w:t>
      </w:r>
      <w:r>
        <w:rPr>
          <w:spacing w:val="-2"/>
        </w:rPr>
        <w:t> </w:t>
      </w:r>
      <w:r>
        <w:rPr/>
        <w:t>e, às vezes, quando muito superficiais, podem sangrar através de erosões dérmicas.</w:t>
      </w:r>
    </w:p>
    <w:p>
      <w:pPr>
        <w:pStyle w:val="BodyText"/>
        <w:spacing w:line="276" w:lineRule="auto" w:before="64"/>
        <w:ind w:right="491"/>
      </w:pPr>
      <w:r>
        <w:rPr/>
        <w:t>Diferem, portanto, das varizes que, quando descompensadas, evoluem com dor, peso e cansaço e podem determinar alterações cutâneas representadas por pigmentação, dermatofibrose</w:t>
      </w:r>
      <w:r>
        <w:rPr>
          <w:spacing w:val="-6"/>
        </w:rPr>
        <w:t> </w:t>
      </w:r>
      <w:r>
        <w:rPr/>
        <w:t>e</w:t>
      </w:r>
      <w:r>
        <w:rPr>
          <w:spacing w:val="-6"/>
        </w:rPr>
        <w:t> </w:t>
      </w:r>
      <w:r>
        <w:rPr/>
        <w:t>úlceras.</w:t>
      </w:r>
    </w:p>
    <w:p>
      <w:pPr>
        <w:pStyle w:val="BodyText"/>
        <w:spacing w:line="276" w:lineRule="auto" w:before="49"/>
        <w:ind w:right="491"/>
      </w:pPr>
      <w:r>
        <w:rPr/>
        <w:t>Quando as microvarizes e telangiectasias se associam às varizes, a sintomatologia e complicações dependem </w:t>
      </w:r>
      <w:r>
        <w:rPr>
          <w:spacing w:val="-2"/>
        </w:rPr>
        <w:t>destas.</w:t>
      </w:r>
    </w:p>
    <w:p>
      <w:pPr>
        <w:pStyle w:val="BodyText"/>
        <w:spacing w:line="276" w:lineRule="auto" w:before="64"/>
        <w:ind w:right="497"/>
      </w:pPr>
      <w:r>
        <w:rPr/>
        <w:t>O tratamento preconizado para as microvarizes é cirúrgico. A escleroterapia para esses vasos apresenta as mesmas contraindicações daquelas descritas para as varizes dos membros inferiores. A quantidade de substância esclerosante</w:t>
      </w:r>
      <w:r>
        <w:rPr>
          <w:spacing w:val="-8"/>
        </w:rPr>
        <w:t> </w:t>
      </w:r>
      <w:r>
        <w:rPr/>
        <w:t>usada</w:t>
      </w:r>
      <w:r>
        <w:rPr>
          <w:spacing w:val="-8"/>
        </w:rPr>
        <w:t> </w:t>
      </w:r>
      <w:r>
        <w:rPr/>
        <w:t>em</w:t>
      </w:r>
      <w:r>
        <w:rPr>
          <w:spacing w:val="-6"/>
        </w:rPr>
        <w:t> </w:t>
      </w:r>
      <w:r>
        <w:rPr/>
        <w:t>microvarizes é</w:t>
      </w:r>
      <w:r>
        <w:rPr>
          <w:spacing w:val="-8"/>
        </w:rPr>
        <w:t> </w:t>
      </w:r>
      <w:r>
        <w:rPr/>
        <w:t>maior do</w:t>
      </w:r>
      <w:r>
        <w:rPr>
          <w:spacing w:val="-6"/>
        </w:rPr>
        <w:t> </w:t>
      </w:r>
      <w:r>
        <w:rPr/>
        <w:t>que</w:t>
      </w:r>
      <w:r>
        <w:rPr>
          <w:spacing w:val="-8"/>
        </w:rPr>
        <w:t> </w:t>
      </w:r>
      <w:r>
        <w:rPr/>
        <w:t>a</w:t>
      </w:r>
      <w:r>
        <w:rPr>
          <w:spacing w:val="-8"/>
        </w:rPr>
        <w:t> </w:t>
      </w:r>
      <w:r>
        <w:rPr/>
        <w:t>injetada</w:t>
      </w:r>
      <w:r>
        <w:rPr>
          <w:spacing w:val="-8"/>
        </w:rPr>
        <w:t> </w:t>
      </w:r>
      <w:r>
        <w:rPr/>
        <w:t>em</w:t>
      </w:r>
      <w:r>
        <w:rPr>
          <w:spacing w:val="-6"/>
        </w:rPr>
        <w:t> </w:t>
      </w:r>
      <w:r>
        <w:rPr/>
        <w:t>telangiectasias. Geralmente</w:t>
      </w:r>
      <w:r>
        <w:rPr>
          <w:spacing w:val="-8"/>
        </w:rPr>
        <w:t> </w:t>
      </w:r>
      <w:r>
        <w:rPr/>
        <w:t>são</w:t>
      </w:r>
      <w:r>
        <w:rPr>
          <w:spacing w:val="-6"/>
        </w:rPr>
        <w:t> </w:t>
      </w:r>
      <w:r>
        <w:rPr/>
        <w:t>necessárias várias sessões de injeções para se ocluir o lúmen dos vasos em toda a extensão. Podem se formar coágulos que se recanalizam com o passar do tempo ou se pigmentam deixando manchas castanhas antiestéticas. Como se trata de veias grandes, há risco de o medicamento empregado não se diluir no sangue e chegar às veias maiores concentrado, determinando flebite e obstrução desses vasos.</w:t>
      </w:r>
    </w:p>
    <w:p>
      <w:pPr>
        <w:pStyle w:val="BodyText"/>
        <w:spacing w:line="276" w:lineRule="auto" w:before="49"/>
        <w:ind w:right="497"/>
      </w:pPr>
      <w:r>
        <w:rPr/>
        <w:t>As telangiectasias, quando esclerosadas, têm lúmen preenchido por reação inflamatória, enquanto as microvarizes se</w:t>
      </w:r>
      <w:r>
        <w:rPr>
          <w:spacing w:val="-8"/>
        </w:rPr>
        <w:t> </w:t>
      </w:r>
      <w:r>
        <w:rPr/>
        <w:t>enchem</w:t>
      </w:r>
      <w:r>
        <w:rPr>
          <w:spacing w:val="-6"/>
        </w:rPr>
        <w:t> </w:t>
      </w:r>
      <w:r>
        <w:rPr/>
        <w:t>de</w:t>
      </w:r>
      <w:r>
        <w:rPr>
          <w:spacing w:val="-8"/>
        </w:rPr>
        <w:t> </w:t>
      </w:r>
      <w:r>
        <w:rPr/>
        <w:t>coágulos. A</w:t>
      </w:r>
      <w:r>
        <w:rPr>
          <w:spacing w:val="-8"/>
        </w:rPr>
        <w:t> </w:t>
      </w:r>
      <w:r>
        <w:rPr/>
        <w:t>irritação</w:t>
      </w:r>
      <w:r>
        <w:rPr>
          <w:spacing w:val="-6"/>
        </w:rPr>
        <w:t> </w:t>
      </w:r>
      <w:r>
        <w:rPr/>
        <w:t>endotelial</w:t>
      </w:r>
      <w:r>
        <w:rPr>
          <w:spacing w:val="-3"/>
        </w:rPr>
        <w:t> </w:t>
      </w:r>
      <w:r>
        <w:rPr/>
        <w:t>e</w:t>
      </w:r>
      <w:r>
        <w:rPr>
          <w:spacing w:val="-8"/>
        </w:rPr>
        <w:t> </w:t>
      </w:r>
      <w:r>
        <w:rPr/>
        <w:t>o</w:t>
      </w:r>
      <w:r>
        <w:rPr>
          <w:spacing w:val="-6"/>
        </w:rPr>
        <w:t> </w:t>
      </w:r>
      <w:r>
        <w:rPr/>
        <w:t>sangue</w:t>
      </w:r>
      <w:r>
        <w:rPr>
          <w:spacing w:val="-8"/>
        </w:rPr>
        <w:t> </w:t>
      </w:r>
      <w:r>
        <w:rPr/>
        <w:t>coagulado</w:t>
      </w:r>
      <w:r>
        <w:rPr>
          <w:spacing w:val="-6"/>
        </w:rPr>
        <w:t> </w:t>
      </w:r>
      <w:r>
        <w:rPr/>
        <w:t>ocasionam</w:t>
      </w:r>
      <w:r>
        <w:rPr>
          <w:spacing w:val="-6"/>
        </w:rPr>
        <w:t> </w:t>
      </w:r>
      <w:r>
        <w:rPr/>
        <w:t>intensa</w:t>
      </w:r>
      <w:r>
        <w:rPr>
          <w:spacing w:val="-8"/>
        </w:rPr>
        <w:t> </w:t>
      </w:r>
      <w:r>
        <w:rPr/>
        <w:t>dor</w:t>
      </w:r>
      <w:r>
        <w:rPr>
          <w:spacing w:val="-1"/>
        </w:rPr>
        <w:t> </w:t>
      </w:r>
      <w:r>
        <w:rPr/>
        <w:t>e</w:t>
      </w:r>
      <w:r>
        <w:rPr>
          <w:spacing w:val="-8"/>
        </w:rPr>
        <w:t> </w:t>
      </w:r>
      <w:r>
        <w:rPr/>
        <w:t>rubor</w:t>
      </w:r>
      <w:r>
        <w:rPr>
          <w:spacing w:val="-1"/>
        </w:rPr>
        <w:t> </w:t>
      </w:r>
      <w:r>
        <w:rPr/>
        <w:t>nos trajetos venosos. Após alguns dias, esses segmentos se apresentam endurecidos e geralmente pigmentados. Em muitos casos, com o passar dos meses, ocorre recanalização das microvarizes com recidiva do processo, acrescida de pigmentação residual sobre esses vasos.</w:t>
      </w:r>
    </w:p>
    <w:p>
      <w:pPr>
        <w:pStyle w:val="BodyText"/>
        <w:spacing w:before="134"/>
        <w:ind w:left="0" w:firstLine="0"/>
        <w:jc w:val="left"/>
      </w:pPr>
    </w:p>
    <w:p>
      <w:pPr>
        <w:pStyle w:val="Heading5"/>
      </w:pPr>
      <w:r>
        <w:rPr>
          <w:color w:val="A26108"/>
        </w:rPr>
        <w:t>Tratamento</w:t>
      </w:r>
      <w:r>
        <w:rPr>
          <w:color w:val="A26108"/>
          <w:spacing w:val="34"/>
        </w:rPr>
        <w:t> </w:t>
      </w:r>
      <w:r>
        <w:rPr>
          <w:color w:val="A26108"/>
          <w:spacing w:val="-2"/>
        </w:rPr>
        <w:t>cirúrgico</w:t>
      </w:r>
    </w:p>
    <w:p>
      <w:pPr>
        <w:pStyle w:val="BodyText"/>
        <w:spacing w:line="276" w:lineRule="auto" w:before="138"/>
        <w:ind w:right="500"/>
      </w:pPr>
      <w:r>
        <w:rPr/>
        <w:t>O tratamento cirúrgico das varizes dos membros inferiores modificou-se sensivelmente nos últimos anos, graças aos novos conhecimentos fisiopatológicos e</w:t>
      </w:r>
      <w:r>
        <w:rPr>
          <w:spacing w:val="-9"/>
        </w:rPr>
        <w:t> </w:t>
      </w:r>
      <w:r>
        <w:rPr/>
        <w:t>à</w:t>
      </w:r>
      <w:r>
        <w:rPr>
          <w:spacing w:val="-9"/>
        </w:rPr>
        <w:t> </w:t>
      </w:r>
      <w:r>
        <w:rPr/>
        <w:t>introdução</w:t>
      </w:r>
      <w:r>
        <w:rPr>
          <w:spacing w:val="-7"/>
        </w:rPr>
        <w:t> </w:t>
      </w:r>
      <w:r>
        <w:rPr/>
        <w:t>de</w:t>
      </w:r>
      <w:r>
        <w:rPr>
          <w:spacing w:val="-9"/>
        </w:rPr>
        <w:t> </w:t>
      </w:r>
      <w:r>
        <w:rPr/>
        <w:t>modernas técnicas de</w:t>
      </w:r>
      <w:r>
        <w:rPr>
          <w:spacing w:val="-9"/>
        </w:rPr>
        <w:t> </w:t>
      </w:r>
      <w:r>
        <w:rPr/>
        <w:t>estudo</w:t>
      </w:r>
      <w:r>
        <w:rPr>
          <w:spacing w:val="-7"/>
        </w:rPr>
        <w:t> </w:t>
      </w:r>
      <w:r>
        <w:rPr/>
        <w:t>do</w:t>
      </w:r>
      <w:r>
        <w:rPr>
          <w:spacing w:val="-7"/>
        </w:rPr>
        <w:t> </w:t>
      </w:r>
      <w:r>
        <w:rPr/>
        <w:t>sistema</w:t>
      </w:r>
      <w:r>
        <w:rPr>
          <w:spacing w:val="-9"/>
        </w:rPr>
        <w:t> </w:t>
      </w:r>
      <w:r>
        <w:rPr/>
        <w:t>venoso.</w:t>
      </w:r>
    </w:p>
    <w:p>
      <w:pPr>
        <w:pStyle w:val="BodyText"/>
        <w:spacing w:line="276" w:lineRule="auto"/>
        <w:ind w:right="491"/>
      </w:pPr>
      <w:r>
        <w:rPr/>
        <w:t>A possibilidade de verificar diretamente a perviedade e a suficiência do sistema venoso profundo por meio do eco-Doppler</w:t>
      </w:r>
      <w:r>
        <w:rPr>
          <w:spacing w:val="-1"/>
        </w:rPr>
        <w:t> </w:t>
      </w:r>
      <w:r>
        <w:rPr/>
        <w:t>colorido</w:t>
      </w:r>
      <w:r>
        <w:rPr>
          <w:spacing w:val="-6"/>
        </w:rPr>
        <w:t> </w:t>
      </w:r>
      <w:r>
        <w:rPr/>
        <w:t>e</w:t>
      </w:r>
      <w:r>
        <w:rPr>
          <w:spacing w:val="-8"/>
        </w:rPr>
        <w:t> </w:t>
      </w:r>
      <w:r>
        <w:rPr/>
        <w:t>o</w:t>
      </w:r>
      <w:r>
        <w:rPr>
          <w:spacing w:val="-6"/>
        </w:rPr>
        <w:t> </w:t>
      </w:r>
      <w:r>
        <w:rPr/>
        <w:t>reconhecimento</w:t>
      </w:r>
      <w:r>
        <w:rPr>
          <w:spacing w:val="-6"/>
        </w:rPr>
        <w:t> </w:t>
      </w:r>
      <w:r>
        <w:rPr/>
        <w:t>da</w:t>
      </w:r>
      <w:r>
        <w:rPr>
          <w:spacing w:val="-8"/>
        </w:rPr>
        <w:t> </w:t>
      </w:r>
      <w:r>
        <w:rPr/>
        <w:t>importância</w:t>
      </w:r>
      <w:r>
        <w:rPr>
          <w:spacing w:val="-8"/>
        </w:rPr>
        <w:t> </w:t>
      </w:r>
      <w:r>
        <w:rPr/>
        <w:t>das veias perfurantes, não</w:t>
      </w:r>
      <w:r>
        <w:rPr>
          <w:spacing w:val="-6"/>
        </w:rPr>
        <w:t> </w:t>
      </w:r>
      <w:r>
        <w:rPr/>
        <w:t>só</w:t>
      </w:r>
      <w:r>
        <w:rPr>
          <w:spacing w:val="-6"/>
        </w:rPr>
        <w:t> </w:t>
      </w:r>
      <w:r>
        <w:rPr/>
        <w:t>na</w:t>
      </w:r>
      <w:r>
        <w:rPr>
          <w:spacing w:val="-8"/>
        </w:rPr>
        <w:t> </w:t>
      </w:r>
      <w:r>
        <w:rPr/>
        <w:t>patogênese</w:t>
      </w:r>
      <w:r>
        <w:rPr>
          <w:spacing w:val="-8"/>
        </w:rPr>
        <w:t> </w:t>
      </w:r>
      <w:r>
        <w:rPr/>
        <w:t>das alterações tróficas, mas também na recidiva da formação varicosa superficial, foram alguns dos elementos que influíram nessas modificações.</w:t>
      </w:r>
    </w:p>
    <w:p>
      <w:pPr>
        <w:pStyle w:val="BodyText"/>
        <w:spacing w:line="276" w:lineRule="auto" w:before="48"/>
        <w:ind w:right="491"/>
      </w:pPr>
      <w:r>
        <w:rPr/>
        <w:t>Com a visualização das veias profundas dos membros inferiores, tornou-se possível diagnosticar com precisão varizes secundárias ao comprometimento desse sistema, como ocorre na sequela pós-flebítica, e realizar, portanto, rigorosa seleção para a cirurgia.</w:t>
      </w:r>
    </w:p>
    <w:p>
      <w:pPr>
        <w:pStyle w:val="BodyText"/>
        <w:spacing w:line="276" w:lineRule="auto"/>
        <w:ind w:right="491"/>
      </w:pPr>
      <w:r>
        <w:rPr/>
        <w:t>O</w:t>
      </w:r>
      <w:r>
        <w:rPr>
          <w:spacing w:val="-13"/>
        </w:rPr>
        <w:t> </w:t>
      </w:r>
      <w:r>
        <w:rPr/>
        <w:t>tratamento</w:t>
      </w:r>
      <w:r>
        <w:rPr>
          <w:spacing w:val="-11"/>
        </w:rPr>
        <w:t> </w:t>
      </w:r>
      <w:r>
        <w:rPr/>
        <w:t>racional</w:t>
      </w:r>
      <w:r>
        <w:rPr>
          <w:spacing w:val="-9"/>
        </w:rPr>
        <w:t> </w:t>
      </w:r>
      <w:r>
        <w:rPr/>
        <w:t>das</w:t>
      </w:r>
      <w:r>
        <w:rPr>
          <w:spacing w:val="-4"/>
        </w:rPr>
        <w:t> </w:t>
      </w:r>
      <w:r>
        <w:rPr/>
        <w:t>varizes,</w:t>
      </w:r>
      <w:r>
        <w:rPr>
          <w:spacing w:val="-4"/>
        </w:rPr>
        <w:t> </w:t>
      </w:r>
      <w:r>
        <w:rPr/>
        <w:t>baseado</w:t>
      </w:r>
      <w:r>
        <w:rPr>
          <w:spacing w:val="-11"/>
        </w:rPr>
        <w:t> </w:t>
      </w:r>
      <w:r>
        <w:rPr/>
        <w:t>nos</w:t>
      </w:r>
      <w:r>
        <w:rPr>
          <w:spacing w:val="-4"/>
        </w:rPr>
        <w:t> </w:t>
      </w:r>
      <w:r>
        <w:rPr/>
        <w:t>conhecimentos</w:t>
      </w:r>
      <w:r>
        <w:rPr>
          <w:spacing w:val="-4"/>
        </w:rPr>
        <w:t> </w:t>
      </w:r>
      <w:r>
        <w:rPr/>
        <w:t>da</w:t>
      </w:r>
      <w:r>
        <w:rPr>
          <w:spacing w:val="-13"/>
        </w:rPr>
        <w:t> </w:t>
      </w:r>
      <w:r>
        <w:rPr/>
        <w:t>fisiopatologia</w:t>
      </w:r>
      <w:r>
        <w:rPr>
          <w:spacing w:val="-13"/>
        </w:rPr>
        <w:t> </w:t>
      </w:r>
      <w:r>
        <w:rPr/>
        <w:t>dessa</w:t>
      </w:r>
      <w:r>
        <w:rPr>
          <w:spacing w:val="-13"/>
        </w:rPr>
        <w:t> </w:t>
      </w:r>
      <w:r>
        <w:rPr/>
        <w:t>afecção,</w:t>
      </w:r>
      <w:r>
        <w:rPr>
          <w:spacing w:val="-4"/>
        </w:rPr>
        <w:t> </w:t>
      </w:r>
      <w:r>
        <w:rPr/>
        <w:t>visa</w:t>
      </w:r>
      <w:r>
        <w:rPr>
          <w:spacing w:val="-13"/>
        </w:rPr>
        <w:t> </w:t>
      </w:r>
      <w:r>
        <w:rPr/>
        <w:t>à</w:t>
      </w:r>
      <w:r>
        <w:rPr>
          <w:spacing w:val="-13"/>
        </w:rPr>
        <w:t> </w:t>
      </w:r>
      <w:r>
        <w:rPr/>
        <w:t>eliminação de</w:t>
      </w:r>
      <w:r>
        <w:rPr>
          <w:spacing w:val="17"/>
        </w:rPr>
        <w:t> </w:t>
      </w:r>
      <w:r>
        <w:rPr/>
        <w:t>todos</w:t>
      </w:r>
      <w:r>
        <w:rPr>
          <w:spacing w:val="28"/>
        </w:rPr>
        <w:t> </w:t>
      </w:r>
      <w:r>
        <w:rPr/>
        <w:t>os</w:t>
      </w:r>
      <w:r>
        <w:rPr>
          <w:spacing w:val="28"/>
        </w:rPr>
        <w:t> </w:t>
      </w:r>
      <w:r>
        <w:rPr/>
        <w:t>pontos</w:t>
      </w:r>
      <w:r>
        <w:rPr>
          <w:spacing w:val="28"/>
        </w:rPr>
        <w:t> </w:t>
      </w:r>
      <w:r>
        <w:rPr/>
        <w:t>de</w:t>
      </w:r>
      <w:r>
        <w:rPr>
          <w:spacing w:val="17"/>
        </w:rPr>
        <w:t> </w:t>
      </w:r>
      <w:r>
        <w:rPr/>
        <w:t>refluxo</w:t>
      </w:r>
      <w:r>
        <w:rPr>
          <w:spacing w:val="20"/>
        </w:rPr>
        <w:t> </w:t>
      </w:r>
      <w:r>
        <w:rPr/>
        <w:t>de</w:t>
      </w:r>
      <w:r>
        <w:rPr>
          <w:spacing w:val="17"/>
        </w:rPr>
        <w:t> </w:t>
      </w:r>
      <w:r>
        <w:rPr/>
        <w:t>sangue</w:t>
      </w:r>
      <w:r>
        <w:rPr>
          <w:spacing w:val="17"/>
        </w:rPr>
        <w:t> </w:t>
      </w:r>
      <w:r>
        <w:rPr/>
        <w:t>dos</w:t>
      </w:r>
      <w:r>
        <w:rPr>
          <w:spacing w:val="28"/>
        </w:rPr>
        <w:t> </w:t>
      </w:r>
      <w:r>
        <w:rPr/>
        <w:t>sistemas</w:t>
      </w:r>
      <w:r>
        <w:rPr>
          <w:spacing w:val="28"/>
        </w:rPr>
        <w:t> </w:t>
      </w:r>
      <w:r>
        <w:rPr/>
        <w:t>venoso</w:t>
      </w:r>
      <w:r>
        <w:rPr>
          <w:spacing w:val="20"/>
        </w:rPr>
        <w:t> </w:t>
      </w:r>
      <w:r>
        <w:rPr/>
        <w:t>profundo</w:t>
      </w:r>
      <w:r>
        <w:rPr>
          <w:spacing w:val="20"/>
        </w:rPr>
        <w:t> </w:t>
      </w:r>
      <w:r>
        <w:rPr/>
        <w:t>para</w:t>
      </w:r>
      <w:r>
        <w:rPr>
          <w:spacing w:val="17"/>
        </w:rPr>
        <w:t> </w:t>
      </w:r>
      <w:r>
        <w:rPr/>
        <w:t>o</w:t>
      </w:r>
      <w:r>
        <w:rPr>
          <w:spacing w:val="20"/>
        </w:rPr>
        <w:t> </w:t>
      </w:r>
      <w:r>
        <w:rPr/>
        <w:t>superficial,</w:t>
      </w:r>
      <w:r>
        <w:rPr>
          <w:spacing w:val="28"/>
        </w:rPr>
        <w:t> </w:t>
      </w:r>
      <w:r>
        <w:rPr/>
        <w:t>isto</w:t>
      </w:r>
      <w:r>
        <w:rPr>
          <w:spacing w:val="20"/>
        </w:rPr>
        <w:t> </w:t>
      </w:r>
      <w:r>
        <w:rPr/>
        <w:t>é,</w:t>
      </w:r>
      <w:r>
        <w:rPr>
          <w:spacing w:val="28"/>
        </w:rPr>
        <w:t> </w:t>
      </w:r>
      <w:r>
        <w:rPr/>
        <w:t>as</w:t>
      </w:r>
      <w:r>
        <w:rPr>
          <w:spacing w:val="28"/>
        </w:rPr>
        <w:t> </w:t>
      </w:r>
      <w:r>
        <w:rPr/>
        <w:t>crossas</w:t>
      </w:r>
      <w:r>
        <w:rPr>
          <w:spacing w:val="28"/>
        </w:rPr>
        <w:t> </w:t>
      </w:r>
      <w:r>
        <w:rPr/>
        <w:t>das</w:t>
      </w:r>
    </w:p>
    <w:p>
      <w:pPr>
        <w:pStyle w:val="BodyText"/>
        <w:spacing w:after="0" w:line="276" w:lineRule="auto"/>
        <w:sectPr>
          <w:pgSz w:w="11900" w:h="16840"/>
          <w:pgMar w:top="160" w:bottom="280" w:left="566" w:right="141"/>
        </w:sectPr>
      </w:pPr>
    </w:p>
    <w:p>
      <w:pPr>
        <w:pStyle w:val="BodyText"/>
        <w:spacing w:line="276" w:lineRule="auto" w:before="68"/>
        <w:ind w:right="510" w:firstLine="0"/>
      </w:pPr>
      <w:r>
        <w:rPr/>
        <w:t>veias safenas interna e externa, as perfurantes-comunicantes insuficientes e a extirpação das colaterais e pelotões </w:t>
      </w:r>
      <w:r>
        <w:rPr>
          <w:spacing w:val="-2"/>
        </w:rPr>
        <w:t>varicosos.</w:t>
      </w:r>
    </w:p>
    <w:p>
      <w:pPr>
        <w:pStyle w:val="BodyText"/>
        <w:spacing w:line="276" w:lineRule="auto" w:before="64"/>
        <w:ind w:right="488"/>
      </w:pPr>
      <w:r>
        <w:rPr/>
        <w:t>Faz</w:t>
      </w:r>
      <w:r>
        <w:rPr>
          <w:spacing w:val="-1"/>
        </w:rPr>
        <w:t> </w:t>
      </w:r>
      <w:r>
        <w:rPr/>
        <w:t>parte</w:t>
      </w:r>
      <w:r>
        <w:rPr>
          <w:spacing w:val="-1"/>
        </w:rPr>
        <w:t> </w:t>
      </w:r>
      <w:r>
        <w:rPr/>
        <w:t>do planejamento cirúrgico o tratamento da</w:t>
      </w:r>
      <w:r>
        <w:rPr>
          <w:spacing w:val="-1"/>
        </w:rPr>
        <w:t> </w:t>
      </w:r>
      <w:r>
        <w:rPr/>
        <w:t>veia</w:t>
      </w:r>
      <w:r>
        <w:rPr>
          <w:spacing w:val="-1"/>
        </w:rPr>
        <w:t> </w:t>
      </w:r>
      <w:r>
        <w:rPr/>
        <w:t>safena</w:t>
      </w:r>
      <w:r>
        <w:rPr>
          <w:spacing w:val="-1"/>
        </w:rPr>
        <w:t> </w:t>
      </w:r>
      <w:r>
        <w:rPr/>
        <w:t>magna. Até</w:t>
      </w:r>
      <w:r>
        <w:rPr>
          <w:spacing w:val="-1"/>
        </w:rPr>
        <w:t> </w:t>
      </w:r>
      <w:r>
        <w:rPr/>
        <w:t>há</w:t>
      </w:r>
      <w:r>
        <w:rPr>
          <w:spacing w:val="-1"/>
        </w:rPr>
        <w:t> </w:t>
      </w:r>
      <w:r>
        <w:rPr/>
        <w:t>alguns anos, vários serviços de cirurgia</w:t>
      </w:r>
      <w:r>
        <w:rPr>
          <w:spacing w:val="-5"/>
        </w:rPr>
        <w:t> </w:t>
      </w:r>
      <w:r>
        <w:rPr/>
        <w:t>vascular preconizavam</w:t>
      </w:r>
      <w:r>
        <w:rPr>
          <w:spacing w:val="-3"/>
        </w:rPr>
        <w:t> </w:t>
      </w:r>
      <w:r>
        <w:rPr/>
        <w:t>sempre</w:t>
      </w:r>
      <w:r>
        <w:rPr>
          <w:spacing w:val="-5"/>
        </w:rPr>
        <w:t> </w:t>
      </w:r>
      <w:r>
        <w:rPr/>
        <w:t>a</w:t>
      </w:r>
      <w:r>
        <w:rPr>
          <w:spacing w:val="-5"/>
        </w:rPr>
        <w:t> </w:t>
      </w:r>
      <w:r>
        <w:rPr/>
        <w:t>exérese</w:t>
      </w:r>
      <w:r>
        <w:rPr>
          <w:spacing w:val="-5"/>
        </w:rPr>
        <w:t> </w:t>
      </w:r>
      <w:r>
        <w:rPr/>
        <w:t>total dessa</w:t>
      </w:r>
      <w:r>
        <w:rPr>
          <w:spacing w:val="-5"/>
        </w:rPr>
        <w:t> </w:t>
      </w:r>
      <w:r>
        <w:rPr/>
        <w:t>veia</w:t>
      </w:r>
      <w:r>
        <w:rPr>
          <w:spacing w:val="-5"/>
        </w:rPr>
        <w:t> </w:t>
      </w:r>
      <w:r>
        <w:rPr/>
        <w:t>após ligadura</w:t>
      </w:r>
      <w:r>
        <w:rPr>
          <w:spacing w:val="-5"/>
        </w:rPr>
        <w:t> </w:t>
      </w:r>
      <w:r>
        <w:rPr/>
        <w:t>da</w:t>
      </w:r>
      <w:r>
        <w:rPr>
          <w:spacing w:val="-5"/>
        </w:rPr>
        <w:t> </w:t>
      </w:r>
      <w:r>
        <w:rPr/>
        <w:t>crossa, mesmo</w:t>
      </w:r>
      <w:r>
        <w:rPr>
          <w:spacing w:val="-3"/>
        </w:rPr>
        <w:t> </w:t>
      </w:r>
      <w:r>
        <w:rPr/>
        <w:t>nos casos em</w:t>
      </w:r>
      <w:r>
        <w:rPr>
          <w:spacing w:val="-3"/>
        </w:rPr>
        <w:t> </w:t>
      </w:r>
      <w:r>
        <w:rPr/>
        <w:t>que não se</w:t>
      </w:r>
      <w:r>
        <w:rPr>
          <w:spacing w:val="-1"/>
        </w:rPr>
        <w:t> </w:t>
      </w:r>
      <w:r>
        <w:rPr/>
        <w:t>detectavam sinais de</w:t>
      </w:r>
      <w:r>
        <w:rPr>
          <w:spacing w:val="-1"/>
        </w:rPr>
        <w:t> </w:t>
      </w:r>
      <w:r>
        <w:rPr/>
        <w:t>insuficiência. As recidivas eram atribuídas à</w:t>
      </w:r>
      <w:r>
        <w:rPr>
          <w:spacing w:val="-1"/>
        </w:rPr>
        <w:t> </w:t>
      </w:r>
      <w:r>
        <w:rPr/>
        <w:t>sua</w:t>
      </w:r>
      <w:r>
        <w:rPr>
          <w:spacing w:val="-1"/>
        </w:rPr>
        <w:t> </w:t>
      </w:r>
      <w:r>
        <w:rPr/>
        <w:t>preservação.</w:t>
      </w:r>
    </w:p>
    <w:p>
      <w:pPr>
        <w:pStyle w:val="BodyText"/>
        <w:spacing w:line="276" w:lineRule="auto" w:before="49"/>
        <w:ind w:right="497"/>
      </w:pPr>
      <w:r>
        <w:rPr/>
        <w:t>A experiência, ao longo dos anos, mostrou que a formação de varicosidades após cirurgia depende de outros fatores, como falha de técnica cirúrgica ou de mapeamento pré-operatório, indicação incorreta ou precoce, ou mesmo a</w:t>
      </w:r>
      <w:r>
        <w:rPr>
          <w:spacing w:val="-2"/>
        </w:rPr>
        <w:t> </w:t>
      </w:r>
      <w:r>
        <w:rPr/>
        <w:t>doença</w:t>
      </w:r>
      <w:r>
        <w:rPr>
          <w:spacing w:val="-2"/>
        </w:rPr>
        <w:t> </w:t>
      </w:r>
      <w:r>
        <w:rPr/>
        <w:t>varicosa</w:t>
      </w:r>
      <w:r>
        <w:rPr>
          <w:spacing w:val="-2"/>
        </w:rPr>
        <w:t> </w:t>
      </w:r>
      <w:r>
        <w:rPr/>
        <w:t>que</w:t>
      </w:r>
      <w:r>
        <w:rPr>
          <w:spacing w:val="-2"/>
        </w:rPr>
        <w:t> </w:t>
      </w:r>
      <w:r>
        <w:rPr/>
        <w:t>continua</w:t>
      </w:r>
      <w:r>
        <w:rPr>
          <w:spacing w:val="-2"/>
        </w:rPr>
        <w:t> </w:t>
      </w:r>
      <w:r>
        <w:rPr/>
        <w:t>a</w:t>
      </w:r>
      <w:r>
        <w:rPr>
          <w:spacing w:val="-2"/>
        </w:rPr>
        <w:t> </w:t>
      </w:r>
      <w:r>
        <w:rPr/>
        <w:t>se</w:t>
      </w:r>
      <w:r>
        <w:rPr>
          <w:spacing w:val="-2"/>
        </w:rPr>
        <w:t> </w:t>
      </w:r>
      <w:r>
        <w:rPr/>
        <w:t>manifestar. O</w:t>
      </w:r>
      <w:r>
        <w:rPr>
          <w:spacing w:val="-2"/>
        </w:rPr>
        <w:t> </w:t>
      </w:r>
      <w:r>
        <w:rPr/>
        <w:t>resultado dessas observações, assim como a</w:t>
      </w:r>
      <w:r>
        <w:rPr>
          <w:spacing w:val="-2"/>
        </w:rPr>
        <w:t> </w:t>
      </w:r>
      <w:r>
        <w:rPr/>
        <w:t>necessidade de preservar a safena para sua utilização como eventual substituto arterial, determina atualmente a manutenção dessa veia, sempre que possível. Assim, se clinicamente ou com mapeamento duplex não houver sinais de dilatações, tortuosidades ou</w:t>
      </w:r>
      <w:r>
        <w:rPr>
          <w:spacing w:val="-2"/>
        </w:rPr>
        <w:t> </w:t>
      </w:r>
      <w:r>
        <w:rPr/>
        <w:t>refluxo, a</w:t>
      </w:r>
      <w:r>
        <w:rPr>
          <w:spacing w:val="-5"/>
        </w:rPr>
        <w:t> </w:t>
      </w:r>
      <w:r>
        <w:rPr/>
        <w:t>safena</w:t>
      </w:r>
      <w:r>
        <w:rPr>
          <w:spacing w:val="-5"/>
        </w:rPr>
        <w:t> </w:t>
      </w:r>
      <w:r>
        <w:rPr/>
        <w:t>é</w:t>
      </w:r>
      <w:r>
        <w:rPr>
          <w:spacing w:val="-5"/>
        </w:rPr>
        <w:t> </w:t>
      </w:r>
      <w:r>
        <w:rPr/>
        <w:t>mantida, mesmo</w:t>
      </w:r>
      <w:r>
        <w:rPr>
          <w:spacing w:val="-2"/>
        </w:rPr>
        <w:t> </w:t>
      </w:r>
      <w:r>
        <w:rPr/>
        <w:t>que</w:t>
      </w:r>
      <w:r>
        <w:rPr>
          <w:spacing w:val="-5"/>
        </w:rPr>
        <w:t> </w:t>
      </w:r>
      <w:r>
        <w:rPr/>
        <w:t>seja</w:t>
      </w:r>
      <w:r>
        <w:rPr>
          <w:spacing w:val="-5"/>
        </w:rPr>
        <w:t> </w:t>
      </w:r>
      <w:r>
        <w:rPr/>
        <w:t>necessário</w:t>
      </w:r>
      <w:r>
        <w:rPr>
          <w:spacing w:val="-2"/>
        </w:rPr>
        <w:t> </w:t>
      </w:r>
      <w:r>
        <w:rPr/>
        <w:t>ligar colaterais da</w:t>
      </w:r>
      <w:r>
        <w:rPr>
          <w:spacing w:val="-5"/>
        </w:rPr>
        <w:t> </w:t>
      </w:r>
      <w:r>
        <w:rPr/>
        <w:t>crossa</w:t>
      </w:r>
      <w:r>
        <w:rPr>
          <w:spacing w:val="-5"/>
        </w:rPr>
        <w:t> </w:t>
      </w:r>
      <w:r>
        <w:rPr/>
        <w:t>ou</w:t>
      </w:r>
      <w:r>
        <w:rPr>
          <w:spacing w:val="-2"/>
        </w:rPr>
        <w:t> </w:t>
      </w:r>
      <w:r>
        <w:rPr/>
        <w:t>do tronco da veia.</w:t>
      </w:r>
    </w:p>
    <w:p>
      <w:pPr>
        <w:pStyle w:val="BodyText"/>
        <w:spacing w:before="134"/>
        <w:ind w:left="0" w:firstLine="0"/>
        <w:jc w:val="left"/>
      </w:pPr>
    </w:p>
    <w:p>
      <w:pPr>
        <w:pStyle w:val="Heading5"/>
      </w:pPr>
      <w:r>
        <w:rPr>
          <w:color w:val="A26108"/>
        </w:rPr>
        <w:t>Tratamento</w:t>
      </w:r>
      <w:r>
        <w:rPr>
          <w:color w:val="A26108"/>
          <w:spacing w:val="34"/>
        </w:rPr>
        <w:t> </w:t>
      </w:r>
      <w:r>
        <w:rPr>
          <w:color w:val="A26108"/>
          <w:spacing w:val="-2"/>
        </w:rPr>
        <w:t>conservador</w:t>
      </w:r>
    </w:p>
    <w:p>
      <w:pPr>
        <w:pStyle w:val="BodyText"/>
        <w:spacing w:line="276" w:lineRule="auto" w:before="138"/>
        <w:ind w:right="497"/>
      </w:pPr>
      <w:r>
        <w:rPr/>
        <w:t>Há situações em que o tratamento cirúrgico não é oportuno. Em casos de jovens, com varizes incipientes compensadas e assintomáticas, por exemplo, é conveniente aguardar um período de tempo suficiente para que as alterações</w:t>
      </w:r>
      <w:r>
        <w:rPr>
          <w:spacing w:val="-1"/>
        </w:rPr>
        <w:t> </w:t>
      </w:r>
      <w:r>
        <w:rPr/>
        <w:t>anatômicas</w:t>
      </w:r>
      <w:r>
        <w:rPr>
          <w:spacing w:val="-1"/>
        </w:rPr>
        <w:t> </w:t>
      </w:r>
      <w:r>
        <w:rPr/>
        <w:t>se</w:t>
      </w:r>
      <w:r>
        <w:rPr>
          <w:spacing w:val="-11"/>
        </w:rPr>
        <w:t> </w:t>
      </w:r>
      <w:r>
        <w:rPr/>
        <w:t>tornem</w:t>
      </w:r>
      <w:r>
        <w:rPr>
          <w:spacing w:val="-9"/>
        </w:rPr>
        <w:t> </w:t>
      </w:r>
      <w:r>
        <w:rPr/>
        <w:t>mais</w:t>
      </w:r>
      <w:r>
        <w:rPr>
          <w:spacing w:val="-1"/>
        </w:rPr>
        <w:t> </w:t>
      </w:r>
      <w:r>
        <w:rPr/>
        <w:t>definidas</w:t>
      </w:r>
      <w:r>
        <w:rPr>
          <w:spacing w:val="-1"/>
        </w:rPr>
        <w:t> </w:t>
      </w:r>
      <w:r>
        <w:rPr/>
        <w:t>e</w:t>
      </w:r>
      <w:r>
        <w:rPr>
          <w:spacing w:val="-11"/>
        </w:rPr>
        <w:t> </w:t>
      </w:r>
      <w:r>
        <w:rPr/>
        <w:t>possibilitem</w:t>
      </w:r>
      <w:r>
        <w:rPr>
          <w:spacing w:val="-9"/>
        </w:rPr>
        <w:t> </w:t>
      </w:r>
      <w:r>
        <w:rPr/>
        <w:t>a</w:t>
      </w:r>
      <w:r>
        <w:rPr>
          <w:spacing w:val="-11"/>
        </w:rPr>
        <w:t> </w:t>
      </w:r>
      <w:r>
        <w:rPr/>
        <w:t>correção</w:t>
      </w:r>
      <w:r>
        <w:rPr>
          <w:spacing w:val="-9"/>
        </w:rPr>
        <w:t> </w:t>
      </w:r>
      <w:r>
        <w:rPr/>
        <w:t>radical.</w:t>
      </w:r>
      <w:r>
        <w:rPr>
          <w:spacing w:val="-1"/>
        </w:rPr>
        <w:t> </w:t>
      </w:r>
      <w:r>
        <w:rPr/>
        <w:t>A</w:t>
      </w:r>
      <w:r>
        <w:rPr>
          <w:spacing w:val="-11"/>
        </w:rPr>
        <w:t> </w:t>
      </w:r>
      <w:r>
        <w:rPr/>
        <w:t>terapia</w:t>
      </w:r>
      <w:r>
        <w:rPr>
          <w:spacing w:val="-11"/>
        </w:rPr>
        <w:t> </w:t>
      </w:r>
      <w:r>
        <w:rPr/>
        <w:t>cirúrgica</w:t>
      </w:r>
      <w:r>
        <w:rPr>
          <w:spacing w:val="-11"/>
        </w:rPr>
        <w:t> </w:t>
      </w:r>
      <w:r>
        <w:rPr/>
        <w:t>das</w:t>
      </w:r>
      <w:r>
        <w:rPr>
          <w:spacing w:val="-1"/>
        </w:rPr>
        <w:t> </w:t>
      </w:r>
      <w:r>
        <w:rPr/>
        <w:t>varizes</w:t>
      </w:r>
      <w:r>
        <w:rPr>
          <w:spacing w:val="-1"/>
        </w:rPr>
        <w:t> </w:t>
      </w:r>
      <w:r>
        <w:rPr/>
        <w:t>dos membros inferiores durante a gestação apresenta alguns inconvenientes: representa trauma cirúrgico-anestésico eventualmente</w:t>
      </w:r>
      <w:r>
        <w:rPr>
          <w:spacing w:val="-8"/>
        </w:rPr>
        <w:t> </w:t>
      </w:r>
      <w:r>
        <w:rPr/>
        <w:t>significativo, obriga</w:t>
      </w:r>
      <w:r>
        <w:rPr>
          <w:spacing w:val="-8"/>
        </w:rPr>
        <w:t> </w:t>
      </w:r>
      <w:r>
        <w:rPr/>
        <w:t>a</w:t>
      </w:r>
      <w:r>
        <w:rPr>
          <w:spacing w:val="-8"/>
        </w:rPr>
        <w:t> </w:t>
      </w:r>
      <w:r>
        <w:rPr/>
        <w:t>operações mais extensas e</w:t>
      </w:r>
      <w:r>
        <w:rPr>
          <w:spacing w:val="-8"/>
        </w:rPr>
        <w:t> </w:t>
      </w:r>
      <w:r>
        <w:rPr/>
        <w:t>com</w:t>
      </w:r>
      <w:r>
        <w:rPr>
          <w:spacing w:val="-6"/>
        </w:rPr>
        <w:t> </w:t>
      </w:r>
      <w:r>
        <w:rPr/>
        <w:t>resultados estéticos não</w:t>
      </w:r>
      <w:r>
        <w:rPr>
          <w:spacing w:val="-6"/>
        </w:rPr>
        <w:t> </w:t>
      </w:r>
      <w:r>
        <w:rPr/>
        <w:t>satisfatórios, uma</w:t>
      </w:r>
      <w:r>
        <w:rPr>
          <w:spacing w:val="-8"/>
        </w:rPr>
        <w:t> </w:t>
      </w:r>
      <w:r>
        <w:rPr/>
        <w:t>vez que, em virtude das alterações hormonais e do ciclo grávido-puerperal, existe tendência a alargamento e pigmentação das cicatrizes operatórias.</w:t>
      </w:r>
    </w:p>
    <w:p>
      <w:pPr>
        <w:pStyle w:val="BodyText"/>
        <w:spacing w:line="276" w:lineRule="auto" w:before="49"/>
        <w:ind w:right="501"/>
      </w:pPr>
      <w:r>
        <w:rPr/>
        <w:t>A presença de complicações, tais como infecção, celulite, eczema ou úlcera, contraindica, também, temporariamente, a</w:t>
      </w:r>
      <w:r>
        <w:rPr>
          <w:spacing w:val="-5"/>
        </w:rPr>
        <w:t> </w:t>
      </w:r>
      <w:r>
        <w:rPr/>
        <w:t>cirurgia. O</w:t>
      </w:r>
      <w:r>
        <w:rPr>
          <w:spacing w:val="-5"/>
        </w:rPr>
        <w:t> </w:t>
      </w:r>
      <w:r>
        <w:rPr/>
        <w:t>doente</w:t>
      </w:r>
      <w:r>
        <w:rPr>
          <w:spacing w:val="-5"/>
        </w:rPr>
        <w:t> </w:t>
      </w:r>
      <w:r>
        <w:rPr/>
        <w:t>deve</w:t>
      </w:r>
      <w:r>
        <w:rPr>
          <w:spacing w:val="-5"/>
        </w:rPr>
        <w:t> </w:t>
      </w:r>
      <w:r>
        <w:rPr/>
        <w:t>ser tratado</w:t>
      </w:r>
      <w:r>
        <w:rPr>
          <w:spacing w:val="-2"/>
        </w:rPr>
        <w:t> </w:t>
      </w:r>
      <w:r>
        <w:rPr/>
        <w:t>previamente</w:t>
      </w:r>
      <w:r>
        <w:rPr>
          <w:spacing w:val="-5"/>
        </w:rPr>
        <w:t> </w:t>
      </w:r>
      <w:r>
        <w:rPr/>
        <w:t>por meios clínicos até</w:t>
      </w:r>
      <w:r>
        <w:rPr>
          <w:spacing w:val="-5"/>
        </w:rPr>
        <w:t> </w:t>
      </w:r>
      <w:r>
        <w:rPr/>
        <w:t>a</w:t>
      </w:r>
      <w:r>
        <w:rPr>
          <w:spacing w:val="-5"/>
        </w:rPr>
        <w:t> </w:t>
      </w:r>
      <w:r>
        <w:rPr/>
        <w:t>cura</w:t>
      </w:r>
      <w:r>
        <w:rPr>
          <w:spacing w:val="-5"/>
        </w:rPr>
        <w:t> </w:t>
      </w:r>
      <w:r>
        <w:rPr/>
        <w:t>dessas lesões e</w:t>
      </w:r>
      <w:r>
        <w:rPr>
          <w:spacing w:val="-5"/>
        </w:rPr>
        <w:t> </w:t>
      </w:r>
      <w:r>
        <w:rPr/>
        <w:t>só deve</w:t>
      </w:r>
      <w:r>
        <w:rPr>
          <w:spacing w:val="-4"/>
        </w:rPr>
        <w:t> </w:t>
      </w:r>
      <w:r>
        <w:rPr/>
        <w:t>ser submetido</w:t>
      </w:r>
      <w:r>
        <w:rPr>
          <w:spacing w:val="-1"/>
        </w:rPr>
        <w:t> </w:t>
      </w:r>
      <w:r>
        <w:rPr/>
        <w:t>à</w:t>
      </w:r>
      <w:r>
        <w:rPr>
          <w:spacing w:val="-4"/>
        </w:rPr>
        <w:t> </w:t>
      </w:r>
      <w:r>
        <w:rPr/>
        <w:t>operação</w:t>
      </w:r>
      <w:r>
        <w:rPr>
          <w:spacing w:val="-1"/>
        </w:rPr>
        <w:t> </w:t>
      </w:r>
      <w:r>
        <w:rPr/>
        <w:t>quando</w:t>
      </w:r>
      <w:r>
        <w:rPr>
          <w:spacing w:val="-1"/>
        </w:rPr>
        <w:t> </w:t>
      </w:r>
      <w:r>
        <w:rPr/>
        <w:t>apresentar condições tróficas dos membros mais próximas do</w:t>
      </w:r>
      <w:r>
        <w:rPr>
          <w:spacing w:val="-1"/>
        </w:rPr>
        <w:t> </w:t>
      </w:r>
      <w:r>
        <w:rPr/>
        <w:t>normal.</w:t>
      </w:r>
    </w:p>
    <w:p>
      <w:pPr>
        <w:pStyle w:val="BodyText"/>
        <w:spacing w:line="276" w:lineRule="auto"/>
        <w:ind w:right="491"/>
      </w:pPr>
      <w:r>
        <w:rPr/>
        <w:t>Ao lado dessas condições em que o tratamento cirúrgico é inoportuno e, portanto, contraindicado temporariamente, existem</w:t>
      </w:r>
      <w:r>
        <w:rPr>
          <w:spacing w:val="-4"/>
        </w:rPr>
        <w:t> </w:t>
      </w:r>
      <w:r>
        <w:rPr/>
        <w:t>algumas que</w:t>
      </w:r>
      <w:r>
        <w:rPr>
          <w:spacing w:val="-7"/>
        </w:rPr>
        <w:t> </w:t>
      </w:r>
      <w:r>
        <w:rPr/>
        <w:t>não</w:t>
      </w:r>
      <w:r>
        <w:rPr>
          <w:spacing w:val="-4"/>
        </w:rPr>
        <w:t> </w:t>
      </w:r>
      <w:r>
        <w:rPr/>
        <w:t>recomendam</w:t>
      </w:r>
      <w:r>
        <w:rPr>
          <w:spacing w:val="-4"/>
        </w:rPr>
        <w:t> </w:t>
      </w:r>
      <w:r>
        <w:rPr/>
        <w:t>em</w:t>
      </w:r>
      <w:r>
        <w:rPr>
          <w:spacing w:val="-4"/>
        </w:rPr>
        <w:t> </w:t>
      </w:r>
      <w:r>
        <w:rPr/>
        <w:t>definitivo</w:t>
      </w:r>
      <w:r>
        <w:rPr>
          <w:spacing w:val="-4"/>
        </w:rPr>
        <w:t> </w:t>
      </w:r>
      <w:r>
        <w:rPr/>
        <w:t>a</w:t>
      </w:r>
      <w:r>
        <w:rPr>
          <w:spacing w:val="-7"/>
        </w:rPr>
        <w:t> </w:t>
      </w:r>
      <w:r>
        <w:rPr/>
        <w:t>operação:</w:t>
      </w:r>
      <w:r>
        <w:rPr>
          <w:spacing w:val="-2"/>
        </w:rPr>
        <w:t> </w:t>
      </w:r>
      <w:r>
        <w:rPr/>
        <w:t>idade</w:t>
      </w:r>
      <w:r>
        <w:rPr>
          <w:spacing w:val="-7"/>
        </w:rPr>
        <w:t> </w:t>
      </w:r>
      <w:r>
        <w:rPr/>
        <w:t>avançada, doenças graves associadas e alterações tróficas cutâneas secundárias extensas.</w:t>
      </w:r>
    </w:p>
    <w:p>
      <w:pPr>
        <w:pStyle w:val="BodyText"/>
        <w:spacing w:line="276" w:lineRule="auto" w:before="64"/>
        <w:ind w:right="497"/>
      </w:pPr>
      <w:r>
        <w:rPr/>
        <w:t>Em todas essas situações, transitórias ou permanentes, está indicado o tratamento clínico, conservador, das varizes dos membros inferiores que varia em função da intensidade da hipertensão venosa superficial e do tipo de complicação existente.</w:t>
      </w:r>
    </w:p>
    <w:p>
      <w:pPr>
        <w:pStyle w:val="BodyText"/>
        <w:spacing w:before="9"/>
        <w:ind w:left="0" w:firstLine="0"/>
        <w:jc w:val="left"/>
      </w:pPr>
    </w:p>
    <w:p>
      <w:pPr>
        <w:pStyle w:val="Heading7"/>
      </w:pPr>
      <w:r>
        <w:rPr>
          <w:color w:val="242B67"/>
          <w:spacing w:val="-2"/>
        </w:rPr>
        <w:t>Edema</w:t>
      </w:r>
    </w:p>
    <w:p>
      <w:pPr>
        <w:pStyle w:val="BodyText"/>
        <w:spacing w:line="276" w:lineRule="auto" w:before="142"/>
        <w:ind w:right="491"/>
      </w:pPr>
      <w:r>
        <w:rPr/>
        <w:t>O tratamento do edema, consequente às varizes dos membros inferiores, baseia-se, fundamentalmente, em um conjunto de medidas que visam diminuir a pressão hidrostática no território capilar. O repouso em posição de Trendelenburg</w:t>
      </w:r>
      <w:r>
        <w:rPr>
          <w:spacing w:val="-7"/>
        </w:rPr>
        <w:t> </w:t>
      </w:r>
      <w:r>
        <w:rPr/>
        <w:t>é</w:t>
      </w:r>
      <w:r>
        <w:rPr>
          <w:spacing w:val="-10"/>
        </w:rPr>
        <w:t> </w:t>
      </w:r>
      <w:r>
        <w:rPr/>
        <w:t>útil</w:t>
      </w:r>
      <w:r>
        <w:rPr>
          <w:spacing w:val="-5"/>
        </w:rPr>
        <w:t> </w:t>
      </w:r>
      <w:r>
        <w:rPr/>
        <w:t>e</w:t>
      </w:r>
      <w:r>
        <w:rPr>
          <w:spacing w:val="-10"/>
        </w:rPr>
        <w:t> </w:t>
      </w:r>
      <w:r>
        <w:rPr/>
        <w:t>eficiente</w:t>
      </w:r>
      <w:r>
        <w:rPr>
          <w:spacing w:val="-10"/>
        </w:rPr>
        <w:t> </w:t>
      </w:r>
      <w:r>
        <w:rPr/>
        <w:t>no</w:t>
      </w:r>
      <w:r>
        <w:rPr>
          <w:spacing w:val="-7"/>
        </w:rPr>
        <w:t> </w:t>
      </w:r>
      <w:r>
        <w:rPr/>
        <w:t>alívio</w:t>
      </w:r>
      <w:r>
        <w:rPr>
          <w:spacing w:val="-7"/>
        </w:rPr>
        <w:t> </w:t>
      </w:r>
      <w:r>
        <w:rPr/>
        <w:t>da</w:t>
      </w:r>
      <w:r>
        <w:rPr>
          <w:spacing w:val="-10"/>
        </w:rPr>
        <w:t> </w:t>
      </w:r>
      <w:r>
        <w:rPr/>
        <w:t>hipertensão</w:t>
      </w:r>
      <w:r>
        <w:rPr>
          <w:spacing w:val="-7"/>
        </w:rPr>
        <w:t> </w:t>
      </w:r>
      <w:r>
        <w:rPr/>
        <w:t>venosa</w:t>
      </w:r>
      <w:r>
        <w:rPr>
          <w:spacing w:val="-10"/>
        </w:rPr>
        <w:t> </w:t>
      </w:r>
      <w:r>
        <w:rPr/>
        <w:t>superficial;</w:t>
      </w:r>
      <w:r>
        <w:rPr>
          <w:spacing w:val="-5"/>
        </w:rPr>
        <w:t> </w:t>
      </w:r>
      <w:r>
        <w:rPr/>
        <w:t>deve</w:t>
      </w:r>
      <w:r>
        <w:rPr>
          <w:spacing w:val="-10"/>
        </w:rPr>
        <w:t> </w:t>
      </w:r>
      <w:r>
        <w:rPr/>
        <w:t>ser</w:t>
      </w:r>
      <w:r>
        <w:rPr>
          <w:spacing w:val="-2"/>
        </w:rPr>
        <w:t> </w:t>
      </w:r>
      <w:r>
        <w:rPr/>
        <w:t>adotado</w:t>
      </w:r>
      <w:r>
        <w:rPr>
          <w:spacing w:val="-7"/>
        </w:rPr>
        <w:t> </w:t>
      </w:r>
      <w:r>
        <w:rPr/>
        <w:t>por</w:t>
      </w:r>
      <w:r>
        <w:rPr>
          <w:spacing w:val="-2"/>
        </w:rPr>
        <w:t> </w:t>
      </w:r>
      <w:r>
        <w:rPr/>
        <w:t>períodos variáveis, durante o dia, intercalado com as atividades diárias ou continuamente, por tempo prolongado, em função da intensidade do edema.</w:t>
      </w:r>
    </w:p>
    <w:p>
      <w:pPr>
        <w:pStyle w:val="BodyText"/>
        <w:spacing w:line="276" w:lineRule="auto" w:before="49"/>
        <w:ind w:right="491"/>
      </w:pPr>
      <w:r>
        <w:rPr/>
        <w:t>Sendo a atividade dos músculos da panturrilha o fator mais eficiente do retorno venoso do membro inferior, o doente</w:t>
      </w:r>
      <w:r>
        <w:rPr>
          <w:spacing w:val="-1"/>
        </w:rPr>
        <w:t> </w:t>
      </w:r>
      <w:r>
        <w:rPr/>
        <w:t>deve</w:t>
      </w:r>
      <w:r>
        <w:rPr>
          <w:spacing w:val="-1"/>
        </w:rPr>
        <w:t> </w:t>
      </w:r>
      <w:r>
        <w:rPr/>
        <w:t>ser estimulado a</w:t>
      </w:r>
      <w:r>
        <w:rPr>
          <w:spacing w:val="-1"/>
        </w:rPr>
        <w:t> </w:t>
      </w:r>
      <w:r>
        <w:rPr/>
        <w:t>andar muito e</w:t>
      </w:r>
      <w:r>
        <w:rPr>
          <w:spacing w:val="-1"/>
        </w:rPr>
        <w:t> </w:t>
      </w:r>
      <w:r>
        <w:rPr/>
        <w:t>a</w:t>
      </w:r>
      <w:r>
        <w:rPr>
          <w:spacing w:val="-1"/>
        </w:rPr>
        <w:t> </w:t>
      </w:r>
      <w:r>
        <w:rPr/>
        <w:t>não permanecer sentado ou de</w:t>
      </w:r>
      <w:r>
        <w:rPr>
          <w:spacing w:val="-1"/>
        </w:rPr>
        <w:t> </w:t>
      </w:r>
      <w:r>
        <w:rPr/>
        <w:t>pé</w:t>
      </w:r>
      <w:r>
        <w:rPr>
          <w:spacing w:val="-1"/>
        </w:rPr>
        <w:t> </w:t>
      </w:r>
      <w:r>
        <w:rPr/>
        <w:t>parado.</w:t>
      </w:r>
    </w:p>
    <w:p>
      <w:pPr>
        <w:pStyle w:val="BodyText"/>
        <w:spacing w:line="276" w:lineRule="auto" w:before="64"/>
        <w:ind w:right="488"/>
      </w:pPr>
      <w:r>
        <w:rPr/>
        <w:t>O</w:t>
      </w:r>
      <w:r>
        <w:rPr>
          <w:spacing w:val="-7"/>
        </w:rPr>
        <w:t> </w:t>
      </w:r>
      <w:r>
        <w:rPr/>
        <w:t>uso</w:t>
      </w:r>
      <w:r>
        <w:rPr>
          <w:spacing w:val="-4"/>
        </w:rPr>
        <w:t> </w:t>
      </w:r>
      <w:r>
        <w:rPr/>
        <w:t>de</w:t>
      </w:r>
      <w:r>
        <w:rPr>
          <w:spacing w:val="-7"/>
        </w:rPr>
        <w:t> </w:t>
      </w:r>
      <w:r>
        <w:rPr/>
        <w:t>meia</w:t>
      </w:r>
      <w:r>
        <w:rPr>
          <w:spacing w:val="-7"/>
        </w:rPr>
        <w:t> </w:t>
      </w:r>
      <w:r>
        <w:rPr/>
        <w:t>ou</w:t>
      </w:r>
      <w:r>
        <w:rPr>
          <w:spacing w:val="-4"/>
        </w:rPr>
        <w:t> </w:t>
      </w:r>
      <w:r>
        <w:rPr/>
        <w:t>enfaixamento</w:t>
      </w:r>
      <w:r>
        <w:rPr>
          <w:spacing w:val="-4"/>
        </w:rPr>
        <w:t> </w:t>
      </w:r>
      <w:r>
        <w:rPr/>
        <w:t>elástico</w:t>
      </w:r>
      <w:r>
        <w:rPr>
          <w:spacing w:val="-4"/>
        </w:rPr>
        <w:t> </w:t>
      </w:r>
      <w:r>
        <w:rPr/>
        <w:t>diminui</w:t>
      </w:r>
      <w:r>
        <w:rPr>
          <w:spacing w:val="-1"/>
        </w:rPr>
        <w:t> </w:t>
      </w:r>
      <w:r>
        <w:rPr/>
        <w:t>a</w:t>
      </w:r>
      <w:r>
        <w:rPr>
          <w:spacing w:val="-7"/>
        </w:rPr>
        <w:t> </w:t>
      </w:r>
      <w:r>
        <w:rPr/>
        <w:t>capacidade</w:t>
      </w:r>
      <w:r>
        <w:rPr>
          <w:spacing w:val="-7"/>
        </w:rPr>
        <w:t> </w:t>
      </w:r>
      <w:r>
        <w:rPr/>
        <w:t>da</w:t>
      </w:r>
      <w:r>
        <w:rPr>
          <w:spacing w:val="-7"/>
        </w:rPr>
        <w:t> </w:t>
      </w:r>
      <w:r>
        <w:rPr/>
        <w:t>rede</w:t>
      </w:r>
      <w:r>
        <w:rPr>
          <w:spacing w:val="-7"/>
        </w:rPr>
        <w:t> </w:t>
      </w:r>
      <w:r>
        <w:rPr/>
        <w:t>superficial</w:t>
      </w:r>
      <w:r>
        <w:rPr>
          <w:spacing w:val="-1"/>
        </w:rPr>
        <w:t> </w:t>
      </w:r>
      <w:r>
        <w:rPr/>
        <w:t>e</w:t>
      </w:r>
      <w:r>
        <w:rPr>
          <w:spacing w:val="-7"/>
        </w:rPr>
        <w:t> </w:t>
      </w:r>
      <w:r>
        <w:rPr/>
        <w:t>se</w:t>
      </w:r>
      <w:r>
        <w:rPr>
          <w:spacing w:val="-7"/>
        </w:rPr>
        <w:t> </w:t>
      </w:r>
      <w:r>
        <w:rPr/>
        <w:t>opõe</w:t>
      </w:r>
      <w:r>
        <w:rPr>
          <w:spacing w:val="-7"/>
        </w:rPr>
        <w:t> </w:t>
      </w:r>
      <w:r>
        <w:rPr/>
        <w:t>ao</w:t>
      </w:r>
      <w:r>
        <w:rPr>
          <w:spacing w:val="-4"/>
        </w:rPr>
        <w:t> </w:t>
      </w:r>
      <w:r>
        <w:rPr/>
        <w:t>refluxo</w:t>
      </w:r>
      <w:r>
        <w:rPr>
          <w:spacing w:val="-4"/>
        </w:rPr>
        <w:t> </w:t>
      </w:r>
      <w:r>
        <w:rPr/>
        <w:t>do</w:t>
      </w:r>
      <w:r>
        <w:rPr>
          <w:spacing w:val="-4"/>
        </w:rPr>
        <w:t> </w:t>
      </w:r>
      <w:r>
        <w:rPr/>
        <w:t>sangue no sistema venoso profundo. O doente deve ser orientado a adotá-lo, constantemente, durante o dia, a partir do momento que inicia a deambulação.</w:t>
      </w:r>
    </w:p>
    <w:p>
      <w:pPr>
        <w:pStyle w:val="BodyText"/>
        <w:spacing w:line="276" w:lineRule="auto" w:before="49"/>
        <w:ind w:right="500"/>
      </w:pPr>
      <w:r>
        <w:rPr/>
        <w:t>Deve ser corrigido qualquer bloqueio ou rigidez de articulações, particularmente da tibiotársica e do joelho. Medidas fisioterápicas e</w:t>
      </w:r>
      <w:r>
        <w:rPr>
          <w:spacing w:val="-8"/>
        </w:rPr>
        <w:t> </w:t>
      </w:r>
      <w:r>
        <w:rPr/>
        <w:t>exercícios adequados favorecem</w:t>
      </w:r>
      <w:r>
        <w:rPr>
          <w:spacing w:val="-6"/>
        </w:rPr>
        <w:t> </w:t>
      </w:r>
      <w:r>
        <w:rPr/>
        <w:t>a</w:t>
      </w:r>
      <w:r>
        <w:rPr>
          <w:spacing w:val="-8"/>
        </w:rPr>
        <w:t> </w:t>
      </w:r>
      <w:r>
        <w:rPr/>
        <w:t>recuperação</w:t>
      </w:r>
      <w:r>
        <w:rPr>
          <w:spacing w:val="-5"/>
        </w:rPr>
        <w:t> </w:t>
      </w:r>
      <w:r>
        <w:rPr/>
        <w:t>de</w:t>
      </w:r>
      <w:r>
        <w:rPr>
          <w:spacing w:val="-8"/>
        </w:rPr>
        <w:t> </w:t>
      </w:r>
      <w:r>
        <w:rPr/>
        <w:t>movimentos amplos dessas articulações e evitam postura e marcha viciosas que agravam o edema preexistente.</w:t>
      </w:r>
    </w:p>
    <w:p>
      <w:pPr>
        <w:pStyle w:val="BodyText"/>
        <w:spacing w:line="276" w:lineRule="auto" w:before="64"/>
        <w:ind w:right="488"/>
      </w:pPr>
      <w:r>
        <w:rPr/>
        <w:t>O edema do tecido celular subcutâneo e as alterações tróficas da pele propiciam condições favoráveis à proliferação</w:t>
      </w:r>
      <w:r>
        <w:rPr>
          <w:spacing w:val="-6"/>
        </w:rPr>
        <w:t> </w:t>
      </w:r>
      <w:r>
        <w:rPr/>
        <w:t>de</w:t>
      </w:r>
      <w:r>
        <w:rPr>
          <w:spacing w:val="-9"/>
        </w:rPr>
        <w:t> </w:t>
      </w:r>
      <w:r>
        <w:rPr/>
        <w:t>germes e</w:t>
      </w:r>
      <w:r>
        <w:rPr>
          <w:spacing w:val="-9"/>
        </w:rPr>
        <w:t> </w:t>
      </w:r>
      <w:r>
        <w:rPr/>
        <w:t>à</w:t>
      </w:r>
      <w:r>
        <w:rPr>
          <w:spacing w:val="-9"/>
        </w:rPr>
        <w:t> </w:t>
      </w:r>
      <w:r>
        <w:rPr/>
        <w:t>disseminação</w:t>
      </w:r>
      <w:r>
        <w:rPr>
          <w:spacing w:val="-6"/>
        </w:rPr>
        <w:t> </w:t>
      </w:r>
      <w:r>
        <w:rPr/>
        <w:t>dos processos inflamatórios. O</w:t>
      </w:r>
      <w:r>
        <w:rPr>
          <w:spacing w:val="-9"/>
        </w:rPr>
        <w:t> </w:t>
      </w:r>
      <w:r>
        <w:rPr/>
        <w:t>doente</w:t>
      </w:r>
      <w:r>
        <w:rPr>
          <w:spacing w:val="-9"/>
        </w:rPr>
        <w:t> </w:t>
      </w:r>
      <w:r>
        <w:rPr/>
        <w:t>é</w:t>
      </w:r>
      <w:r>
        <w:rPr>
          <w:spacing w:val="-9"/>
        </w:rPr>
        <w:t> </w:t>
      </w:r>
      <w:r>
        <w:rPr/>
        <w:t>esclarecido</w:t>
      </w:r>
      <w:r>
        <w:rPr>
          <w:spacing w:val="-6"/>
        </w:rPr>
        <w:t> </w:t>
      </w:r>
      <w:r>
        <w:rPr/>
        <w:t>sobre</w:t>
      </w:r>
      <w:r>
        <w:rPr>
          <w:spacing w:val="-9"/>
        </w:rPr>
        <w:t> </w:t>
      </w:r>
      <w:r>
        <w:rPr/>
        <w:t>a</w:t>
      </w:r>
      <w:r>
        <w:rPr>
          <w:spacing w:val="-9"/>
        </w:rPr>
        <w:t> </w:t>
      </w:r>
      <w:r>
        <w:rPr/>
        <w:t>necessidade</w:t>
      </w:r>
      <w:r>
        <w:rPr>
          <w:spacing w:val="-9"/>
        </w:rPr>
        <w:t> </w:t>
      </w:r>
      <w:r>
        <w:rPr/>
        <w:t>de manter perfeitas condições higiênicas das extremidades inferiores e orientado a lavá-las diariamente com sabão antisséptico, a evitar traumas, bem como a tratar e prevenir micoses interdigitais.</w:t>
      </w:r>
    </w:p>
    <w:p>
      <w:pPr>
        <w:pStyle w:val="BodyText"/>
        <w:spacing w:after="0" w:line="276" w:lineRule="auto"/>
        <w:sectPr>
          <w:pgSz w:w="11900" w:h="16840"/>
          <w:pgMar w:top="160" w:bottom="280" w:left="566" w:right="141"/>
        </w:sectPr>
      </w:pPr>
    </w:p>
    <w:p>
      <w:pPr>
        <w:pStyle w:val="Heading7"/>
        <w:spacing w:before="80"/>
      </w:pPr>
      <w:r>
        <w:rPr>
          <w:color w:val="242B67"/>
        </w:rPr>
        <w:t>Celulite e </w:t>
      </w:r>
      <w:r>
        <w:rPr>
          <w:color w:val="242B67"/>
          <w:spacing w:val="-2"/>
        </w:rPr>
        <w:t>erisipela</w:t>
      </w:r>
    </w:p>
    <w:p>
      <w:pPr>
        <w:pStyle w:val="BodyText"/>
        <w:spacing w:line="276" w:lineRule="auto" w:before="127"/>
        <w:ind w:right="488"/>
      </w:pPr>
      <w:r>
        <w:rPr/>
        <w:t>O tratamento dessas infecções cutâneas embasa-se no emprego de antibióticos e quimioterápicos por via sistêmica e de antisséptico local.</w:t>
      </w:r>
    </w:p>
    <w:p>
      <w:pPr>
        <w:pStyle w:val="BodyText"/>
        <w:spacing w:line="276" w:lineRule="auto" w:before="64"/>
        <w:ind w:right="491"/>
      </w:pPr>
      <w:r>
        <w:rPr/>
        <w:t>Os germes que mais frequentemente ocasionam celulite ou erisipela, os estreptococos beta-hemolíticos, são geralmente</w:t>
      </w:r>
      <w:r>
        <w:rPr>
          <w:spacing w:val="-2"/>
        </w:rPr>
        <w:t> </w:t>
      </w:r>
      <w:r>
        <w:rPr/>
        <w:t>sensíveis à</w:t>
      </w:r>
      <w:r>
        <w:rPr>
          <w:spacing w:val="-2"/>
        </w:rPr>
        <w:t> </w:t>
      </w:r>
      <w:r>
        <w:rPr/>
        <w:t>penicilina, tetraciclina</w:t>
      </w:r>
      <w:r>
        <w:rPr>
          <w:spacing w:val="-2"/>
        </w:rPr>
        <w:t> </w:t>
      </w:r>
      <w:r>
        <w:rPr/>
        <w:t>e</w:t>
      </w:r>
      <w:r>
        <w:rPr>
          <w:spacing w:val="-2"/>
        </w:rPr>
        <w:t> </w:t>
      </w:r>
      <w:r>
        <w:rPr/>
        <w:t>sulfas que</w:t>
      </w:r>
      <w:r>
        <w:rPr>
          <w:spacing w:val="-2"/>
        </w:rPr>
        <w:t> </w:t>
      </w:r>
      <w:r>
        <w:rPr/>
        <w:t>devem ser usadas, portanto, em doses eficientes.</w:t>
      </w:r>
    </w:p>
    <w:p>
      <w:pPr>
        <w:pStyle w:val="BodyText"/>
        <w:spacing w:line="276" w:lineRule="auto" w:before="48"/>
        <w:ind w:right="488"/>
      </w:pPr>
      <w:r>
        <w:rPr/>
        <w:t>Ao edema da hipertensão venosa superficial soma-se, nestes casos, linfedema secundário por bloqueio da circulação</w:t>
      </w:r>
      <w:r>
        <w:rPr>
          <w:spacing w:val="-11"/>
        </w:rPr>
        <w:t> </w:t>
      </w:r>
      <w:r>
        <w:rPr/>
        <w:t>linfática:</w:t>
      </w:r>
      <w:r>
        <w:rPr>
          <w:spacing w:val="-9"/>
        </w:rPr>
        <w:t> </w:t>
      </w:r>
      <w:r>
        <w:rPr/>
        <w:t>de</w:t>
      </w:r>
      <w:r>
        <w:rPr>
          <w:spacing w:val="-14"/>
        </w:rPr>
        <w:t> </w:t>
      </w:r>
      <w:r>
        <w:rPr/>
        <w:t>coletores</w:t>
      </w:r>
      <w:r>
        <w:rPr>
          <w:spacing w:val="-4"/>
        </w:rPr>
        <w:t> </w:t>
      </w:r>
      <w:r>
        <w:rPr/>
        <w:t>cutâneos,</w:t>
      </w:r>
      <w:r>
        <w:rPr>
          <w:spacing w:val="-4"/>
        </w:rPr>
        <w:t> </w:t>
      </w:r>
      <w:r>
        <w:rPr/>
        <w:t>tronculares</w:t>
      </w:r>
      <w:r>
        <w:rPr>
          <w:spacing w:val="-4"/>
        </w:rPr>
        <w:t> </w:t>
      </w:r>
      <w:r>
        <w:rPr/>
        <w:t>ou</w:t>
      </w:r>
      <w:r>
        <w:rPr>
          <w:spacing w:val="-11"/>
        </w:rPr>
        <w:t> </w:t>
      </w:r>
      <w:r>
        <w:rPr/>
        <w:t>dos</w:t>
      </w:r>
      <w:r>
        <w:rPr>
          <w:spacing w:val="-4"/>
        </w:rPr>
        <w:t> </w:t>
      </w:r>
      <w:r>
        <w:rPr/>
        <w:t>gânglios</w:t>
      </w:r>
      <w:r>
        <w:rPr>
          <w:spacing w:val="-4"/>
        </w:rPr>
        <w:t> </w:t>
      </w:r>
      <w:r>
        <w:rPr/>
        <w:t>regionais.</w:t>
      </w:r>
      <w:r>
        <w:rPr>
          <w:spacing w:val="-4"/>
        </w:rPr>
        <w:t> </w:t>
      </w:r>
      <w:r>
        <w:rPr/>
        <w:t>Devem</w:t>
      </w:r>
      <w:r>
        <w:rPr>
          <w:spacing w:val="-11"/>
        </w:rPr>
        <w:t> </w:t>
      </w:r>
      <w:r>
        <w:rPr/>
        <w:t>ser</w:t>
      </w:r>
      <w:r>
        <w:rPr>
          <w:spacing w:val="-7"/>
        </w:rPr>
        <w:t> </w:t>
      </w:r>
      <w:r>
        <w:rPr/>
        <w:t>empregadas</w:t>
      </w:r>
      <w:r>
        <w:rPr>
          <w:spacing w:val="-4"/>
        </w:rPr>
        <w:t> </w:t>
      </w:r>
      <w:r>
        <w:rPr/>
        <w:t>também</w:t>
      </w:r>
      <w:r>
        <w:rPr>
          <w:spacing w:val="-11"/>
        </w:rPr>
        <w:t> </w:t>
      </w:r>
      <w:r>
        <w:rPr/>
        <w:t>as medidas gerais de combate ao edema descritas anteriormente.</w:t>
      </w:r>
    </w:p>
    <w:p>
      <w:pPr>
        <w:pStyle w:val="BodyText"/>
        <w:spacing w:before="25"/>
        <w:ind w:left="0" w:firstLine="0"/>
        <w:jc w:val="left"/>
      </w:pPr>
    </w:p>
    <w:p>
      <w:pPr>
        <w:pStyle w:val="Heading7"/>
      </w:pPr>
      <w:r>
        <w:rPr>
          <w:color w:val="242B67"/>
          <w:spacing w:val="-2"/>
        </w:rPr>
        <w:t>Eczema</w:t>
      </w:r>
    </w:p>
    <w:p>
      <w:pPr>
        <w:pStyle w:val="BodyText"/>
        <w:spacing w:line="276" w:lineRule="auto" w:before="126"/>
        <w:ind w:right="500"/>
      </w:pPr>
      <w:r>
        <w:rPr/>
        <w:t>Ao lado das medidas gerais de combate à hipertensão venosa superficial, são usadas, localmente, soluções antissépticas, como as de permanganato de potássio na fase aguda ou secretante e pomadas de corticosteroides no eczema seco. Por via sistêmica, em ambos os casos, são prescritos anti-histamínicos e corticosteroides. Nos casos com infecção associada, são empregados antibióticos e quimioterápicos.</w:t>
      </w:r>
    </w:p>
    <w:p>
      <w:pPr>
        <w:pStyle w:val="BodyText"/>
        <w:spacing w:line="276" w:lineRule="auto"/>
        <w:ind w:right="488"/>
      </w:pPr>
      <w:r>
        <w:rPr/>
        <w:t>Toda medicação tópica, à base de antibióticos, deve ser evitada tendo em vista a grande frequência com que desencadeiam</w:t>
      </w:r>
      <w:r>
        <w:rPr>
          <w:spacing w:val="-2"/>
        </w:rPr>
        <w:t> </w:t>
      </w:r>
      <w:r>
        <w:rPr/>
        <w:t>dermatite</w:t>
      </w:r>
      <w:r>
        <w:rPr>
          <w:spacing w:val="-5"/>
        </w:rPr>
        <w:t> </w:t>
      </w:r>
      <w:r>
        <w:rPr/>
        <w:t>de</w:t>
      </w:r>
      <w:r>
        <w:rPr>
          <w:spacing w:val="-5"/>
        </w:rPr>
        <w:t> </w:t>
      </w:r>
      <w:r>
        <w:rPr/>
        <w:t>contato, agravando</w:t>
      </w:r>
      <w:r>
        <w:rPr>
          <w:spacing w:val="-2"/>
        </w:rPr>
        <w:t> </w:t>
      </w:r>
      <w:r>
        <w:rPr/>
        <w:t>as lesões eczematosas preexistentes.</w:t>
      </w:r>
    </w:p>
    <w:p>
      <w:pPr>
        <w:pStyle w:val="BodyText"/>
        <w:spacing w:before="24"/>
        <w:ind w:left="0" w:firstLine="0"/>
        <w:jc w:val="left"/>
      </w:pPr>
    </w:p>
    <w:p>
      <w:pPr>
        <w:pStyle w:val="Heading7"/>
      </w:pPr>
      <w:r>
        <w:rPr>
          <w:color w:val="242B67"/>
        </w:rPr>
        <w:t>Flebite </w:t>
      </w:r>
      <w:r>
        <w:rPr>
          <w:color w:val="242B67"/>
          <w:spacing w:val="-2"/>
        </w:rPr>
        <w:t>superficial</w:t>
      </w:r>
    </w:p>
    <w:p>
      <w:pPr>
        <w:pStyle w:val="BodyText"/>
        <w:spacing w:line="276" w:lineRule="auto" w:before="126"/>
        <w:ind w:right="497"/>
      </w:pPr>
      <w:r>
        <w:rPr/>
        <w:t>O tratamento das flebites superficiais segmentares e pouco extensas é ambulatorial, sendo usadas medicações anti-inflamatórias. O doente é orientado a deambular constantemente e a repousar com os membros inferiores elevados. As flebites superficiais muito</w:t>
      </w:r>
      <w:r>
        <w:rPr>
          <w:spacing w:val="-7"/>
        </w:rPr>
        <w:t> </w:t>
      </w:r>
      <w:r>
        <w:rPr/>
        <w:t>extensas, afetando</w:t>
      </w:r>
      <w:r>
        <w:rPr>
          <w:spacing w:val="-7"/>
        </w:rPr>
        <w:t> </w:t>
      </w:r>
      <w:r>
        <w:rPr/>
        <w:t>troncos e</w:t>
      </w:r>
      <w:r>
        <w:rPr>
          <w:spacing w:val="-9"/>
        </w:rPr>
        <w:t> </w:t>
      </w:r>
      <w:r>
        <w:rPr/>
        <w:t>colaterais, são</w:t>
      </w:r>
      <w:r>
        <w:rPr>
          <w:spacing w:val="-7"/>
        </w:rPr>
        <w:t> </w:t>
      </w:r>
      <w:r>
        <w:rPr/>
        <w:t>tratadas com</w:t>
      </w:r>
      <w:r>
        <w:rPr>
          <w:spacing w:val="-7"/>
        </w:rPr>
        <w:t> </w:t>
      </w:r>
      <w:r>
        <w:rPr/>
        <w:t>anticoagulantes da mesma maneira que as tromboses venosas profundas, em virtude da grande intensidade dos sintomas, do tempo prolongado de</w:t>
      </w:r>
      <w:r>
        <w:rPr>
          <w:spacing w:val="-1"/>
        </w:rPr>
        <w:t> </w:t>
      </w:r>
      <w:r>
        <w:rPr/>
        <w:t>resolução e</w:t>
      </w:r>
      <w:r>
        <w:rPr>
          <w:spacing w:val="-1"/>
        </w:rPr>
        <w:t> </w:t>
      </w:r>
      <w:r>
        <w:rPr/>
        <w:t>da</w:t>
      </w:r>
      <w:r>
        <w:rPr>
          <w:spacing w:val="-1"/>
        </w:rPr>
        <w:t> </w:t>
      </w:r>
      <w:r>
        <w:rPr/>
        <w:t>grande</w:t>
      </w:r>
      <w:r>
        <w:rPr>
          <w:spacing w:val="-1"/>
        </w:rPr>
        <w:t> </w:t>
      </w:r>
      <w:r>
        <w:rPr/>
        <w:t>frequência</w:t>
      </w:r>
      <w:r>
        <w:rPr>
          <w:spacing w:val="-1"/>
        </w:rPr>
        <w:t> </w:t>
      </w:r>
      <w:r>
        <w:rPr/>
        <w:t>com que</w:t>
      </w:r>
      <w:r>
        <w:rPr>
          <w:spacing w:val="-1"/>
        </w:rPr>
        <w:t> </w:t>
      </w:r>
      <w:r>
        <w:rPr/>
        <w:t>se</w:t>
      </w:r>
      <w:r>
        <w:rPr>
          <w:spacing w:val="-1"/>
        </w:rPr>
        <w:t> </w:t>
      </w:r>
      <w:r>
        <w:rPr/>
        <w:t>propagam para</w:t>
      </w:r>
      <w:r>
        <w:rPr>
          <w:spacing w:val="-1"/>
        </w:rPr>
        <w:t> </w:t>
      </w:r>
      <w:r>
        <w:rPr/>
        <w:t>as veias profundas.</w:t>
      </w:r>
    </w:p>
    <w:p>
      <w:pPr>
        <w:pStyle w:val="BodyText"/>
        <w:spacing w:before="9"/>
        <w:ind w:left="0" w:firstLine="0"/>
        <w:jc w:val="left"/>
      </w:pPr>
    </w:p>
    <w:p>
      <w:pPr>
        <w:pStyle w:val="Heading7"/>
      </w:pPr>
      <w:r>
        <w:rPr>
          <w:color w:val="242B67"/>
          <w:spacing w:val="-2"/>
        </w:rPr>
        <w:t>Úlcera</w:t>
      </w:r>
    </w:p>
    <w:p>
      <w:pPr>
        <w:pStyle w:val="BodyText"/>
        <w:spacing w:line="276" w:lineRule="auto" w:before="142"/>
        <w:ind w:right="500"/>
      </w:pPr>
      <w:r>
        <w:rPr/>
        <w:t>As lesões tróficas, como fibrose e pigmentação, são definitivas e irreversíveis. Os cuidados, como meias elásticas, cremes e cirurgias interferem em sua progressão e complicações secundárias. A complicação mais marcante</w:t>
      </w:r>
      <w:r>
        <w:rPr>
          <w:spacing w:val="-7"/>
        </w:rPr>
        <w:t> </w:t>
      </w:r>
      <w:r>
        <w:rPr/>
        <w:t>das varizes é</w:t>
      </w:r>
      <w:r>
        <w:rPr>
          <w:spacing w:val="-7"/>
        </w:rPr>
        <w:t> </w:t>
      </w:r>
      <w:r>
        <w:rPr/>
        <w:t>a</w:t>
      </w:r>
      <w:r>
        <w:rPr>
          <w:spacing w:val="-7"/>
        </w:rPr>
        <w:t> </w:t>
      </w:r>
      <w:r>
        <w:rPr/>
        <w:t>úlcera. Em</w:t>
      </w:r>
      <w:r>
        <w:rPr>
          <w:spacing w:val="-5"/>
        </w:rPr>
        <w:t> </w:t>
      </w:r>
      <w:r>
        <w:rPr/>
        <w:t>alguns casos a</w:t>
      </w:r>
      <w:r>
        <w:rPr>
          <w:spacing w:val="-7"/>
        </w:rPr>
        <w:t> </w:t>
      </w:r>
      <w:r>
        <w:rPr/>
        <w:t>recidiva</w:t>
      </w:r>
      <w:r>
        <w:rPr>
          <w:spacing w:val="-7"/>
        </w:rPr>
        <w:t> </w:t>
      </w:r>
      <w:r>
        <w:rPr/>
        <w:t>é</w:t>
      </w:r>
      <w:r>
        <w:rPr>
          <w:spacing w:val="-7"/>
        </w:rPr>
        <w:t> </w:t>
      </w:r>
      <w:r>
        <w:rPr/>
        <w:t>frequente</w:t>
      </w:r>
      <w:r>
        <w:rPr>
          <w:spacing w:val="-7"/>
        </w:rPr>
        <w:t> </w:t>
      </w:r>
      <w:r>
        <w:rPr/>
        <w:t>e, em</w:t>
      </w:r>
      <w:r>
        <w:rPr>
          <w:spacing w:val="-5"/>
        </w:rPr>
        <w:t> </w:t>
      </w:r>
      <w:r>
        <w:rPr/>
        <w:t>outros, evolui</w:t>
      </w:r>
      <w:r>
        <w:rPr>
          <w:spacing w:val="-1"/>
        </w:rPr>
        <w:t> </w:t>
      </w:r>
      <w:r>
        <w:rPr/>
        <w:t>cronicamente</w:t>
      </w:r>
      <w:r>
        <w:rPr>
          <w:spacing w:val="-7"/>
        </w:rPr>
        <w:t> </w:t>
      </w:r>
      <w:r>
        <w:rPr/>
        <w:t>por anos. Seu tratamento se relaciona com etiopatogenia, complicações e processos de cicatrização da lesão. Todos os procedimentos</w:t>
      </w:r>
      <w:r>
        <w:rPr>
          <w:spacing w:val="-2"/>
        </w:rPr>
        <w:t> </w:t>
      </w:r>
      <w:r>
        <w:rPr/>
        <w:t>já</w:t>
      </w:r>
      <w:r>
        <w:rPr>
          <w:spacing w:val="-12"/>
        </w:rPr>
        <w:t> </w:t>
      </w:r>
      <w:r>
        <w:rPr/>
        <w:t>comentados,</w:t>
      </w:r>
      <w:r>
        <w:rPr>
          <w:spacing w:val="-2"/>
        </w:rPr>
        <w:t> </w:t>
      </w:r>
      <w:r>
        <w:rPr/>
        <w:t>que</w:t>
      </w:r>
      <w:r>
        <w:rPr>
          <w:spacing w:val="-12"/>
        </w:rPr>
        <w:t> </w:t>
      </w:r>
      <w:r>
        <w:rPr/>
        <w:t>reduzem</w:t>
      </w:r>
      <w:r>
        <w:rPr>
          <w:spacing w:val="-9"/>
        </w:rPr>
        <w:t> </w:t>
      </w:r>
      <w:r>
        <w:rPr/>
        <w:t>a</w:t>
      </w:r>
      <w:r>
        <w:rPr>
          <w:spacing w:val="-12"/>
        </w:rPr>
        <w:t> </w:t>
      </w:r>
      <w:r>
        <w:rPr/>
        <w:t>hipertensão</w:t>
      </w:r>
      <w:r>
        <w:rPr>
          <w:spacing w:val="-9"/>
        </w:rPr>
        <w:t> </w:t>
      </w:r>
      <w:r>
        <w:rPr/>
        <w:t>venosa</w:t>
      </w:r>
      <w:r>
        <w:rPr>
          <w:spacing w:val="-12"/>
        </w:rPr>
        <w:t> </w:t>
      </w:r>
      <w:r>
        <w:rPr/>
        <w:t>deambulatória,</w:t>
      </w:r>
      <w:r>
        <w:rPr>
          <w:spacing w:val="-2"/>
        </w:rPr>
        <w:t> </w:t>
      </w:r>
      <w:r>
        <w:rPr/>
        <w:t>favorecem</w:t>
      </w:r>
      <w:r>
        <w:rPr>
          <w:spacing w:val="-9"/>
        </w:rPr>
        <w:t> </w:t>
      </w:r>
      <w:r>
        <w:rPr/>
        <w:t>o</w:t>
      </w:r>
      <w:r>
        <w:rPr>
          <w:spacing w:val="-9"/>
        </w:rPr>
        <w:t> </w:t>
      </w:r>
      <w:r>
        <w:rPr/>
        <w:t>fechamento</w:t>
      </w:r>
      <w:r>
        <w:rPr>
          <w:spacing w:val="-9"/>
        </w:rPr>
        <w:t> </w:t>
      </w:r>
      <w:r>
        <w:rPr/>
        <w:t>da</w:t>
      </w:r>
      <w:r>
        <w:rPr>
          <w:spacing w:val="-12"/>
        </w:rPr>
        <w:t> </w:t>
      </w:r>
      <w:r>
        <w:rPr/>
        <w:t>ferida.</w:t>
      </w:r>
    </w:p>
    <w:p>
      <w:pPr>
        <w:pStyle w:val="BodyText"/>
        <w:spacing w:line="276" w:lineRule="auto" w:before="49"/>
        <w:ind w:right="488"/>
      </w:pPr>
      <w:r>
        <w:rPr/>
        <w:t>A</w:t>
      </w:r>
      <w:r>
        <w:rPr>
          <w:spacing w:val="-6"/>
        </w:rPr>
        <w:t> </w:t>
      </w:r>
      <w:r>
        <w:rPr/>
        <w:t>principal</w:t>
      </w:r>
      <w:r>
        <w:rPr>
          <w:spacing w:val="-1"/>
        </w:rPr>
        <w:t> </w:t>
      </w:r>
      <w:r>
        <w:rPr/>
        <w:t>complicação</w:t>
      </w:r>
      <w:r>
        <w:rPr>
          <w:spacing w:val="-4"/>
        </w:rPr>
        <w:t> </w:t>
      </w:r>
      <w:r>
        <w:rPr/>
        <w:t>da</w:t>
      </w:r>
      <w:r>
        <w:rPr>
          <w:spacing w:val="-6"/>
        </w:rPr>
        <w:t> </w:t>
      </w:r>
      <w:r>
        <w:rPr/>
        <w:t>úlcera</w:t>
      </w:r>
      <w:r>
        <w:rPr>
          <w:spacing w:val="-6"/>
        </w:rPr>
        <w:t> </w:t>
      </w:r>
      <w:r>
        <w:rPr/>
        <w:t>é</w:t>
      </w:r>
      <w:r>
        <w:rPr>
          <w:spacing w:val="-6"/>
        </w:rPr>
        <w:t> </w:t>
      </w:r>
      <w:r>
        <w:rPr/>
        <w:t>a</w:t>
      </w:r>
      <w:r>
        <w:rPr>
          <w:spacing w:val="-6"/>
        </w:rPr>
        <w:t> </w:t>
      </w:r>
      <w:r>
        <w:rPr/>
        <w:t>infecção. Estudos demonstram</w:t>
      </w:r>
      <w:r>
        <w:rPr>
          <w:spacing w:val="-4"/>
        </w:rPr>
        <w:t> </w:t>
      </w:r>
      <w:r>
        <w:rPr/>
        <w:t>que</w:t>
      </w:r>
      <w:r>
        <w:rPr>
          <w:spacing w:val="-6"/>
        </w:rPr>
        <w:t> </w:t>
      </w:r>
      <w:r>
        <w:rPr/>
        <w:t>a</w:t>
      </w:r>
      <w:r>
        <w:rPr>
          <w:spacing w:val="-6"/>
        </w:rPr>
        <w:t> </w:t>
      </w:r>
      <w:r>
        <w:rPr/>
        <w:t>lesão</w:t>
      </w:r>
      <w:r>
        <w:rPr>
          <w:spacing w:val="-4"/>
        </w:rPr>
        <w:t> </w:t>
      </w:r>
      <w:r>
        <w:rPr/>
        <w:t>deve</w:t>
      </w:r>
      <w:r>
        <w:rPr>
          <w:spacing w:val="-6"/>
        </w:rPr>
        <w:t> </w:t>
      </w:r>
      <w:r>
        <w:rPr/>
        <w:t>ser considerada</w:t>
      </w:r>
      <w:r>
        <w:rPr>
          <w:spacing w:val="-6"/>
        </w:rPr>
        <w:t> </w:t>
      </w:r>
      <w:r>
        <w:rPr/>
        <w:t>infectada quando</w:t>
      </w:r>
      <w:r>
        <w:rPr>
          <w:spacing w:val="-9"/>
        </w:rPr>
        <w:t> </w:t>
      </w:r>
      <w:r>
        <w:rPr/>
        <w:t>tem</w:t>
      </w:r>
      <w:r>
        <w:rPr>
          <w:spacing w:val="-9"/>
        </w:rPr>
        <w:t> </w:t>
      </w:r>
      <w:r>
        <w:rPr/>
        <w:t>mais</w:t>
      </w:r>
      <w:r>
        <w:rPr>
          <w:spacing w:val="-2"/>
        </w:rPr>
        <w:t> </w:t>
      </w:r>
      <w:r>
        <w:rPr/>
        <w:t>de</w:t>
      </w:r>
      <w:r>
        <w:rPr>
          <w:spacing w:val="-11"/>
        </w:rPr>
        <w:t> </w:t>
      </w:r>
      <w:r>
        <w:rPr/>
        <w:t>100.000</w:t>
      </w:r>
      <w:r>
        <w:rPr>
          <w:spacing w:val="-9"/>
        </w:rPr>
        <w:t> </w:t>
      </w:r>
      <w:r>
        <w:rPr/>
        <w:t>colônias</w:t>
      </w:r>
      <w:r>
        <w:rPr>
          <w:spacing w:val="-2"/>
        </w:rPr>
        <w:t> </w:t>
      </w:r>
      <w:r>
        <w:rPr/>
        <w:t>de</w:t>
      </w:r>
      <w:r>
        <w:rPr>
          <w:spacing w:val="-11"/>
        </w:rPr>
        <w:t> </w:t>
      </w:r>
      <w:r>
        <w:rPr/>
        <w:t>bactérias</w:t>
      </w:r>
      <w:r>
        <w:rPr>
          <w:spacing w:val="-2"/>
        </w:rPr>
        <w:t> </w:t>
      </w:r>
      <w:r>
        <w:rPr/>
        <w:t>por</w:t>
      </w:r>
      <w:r>
        <w:rPr>
          <w:spacing w:val="-4"/>
        </w:rPr>
        <w:t> </w:t>
      </w:r>
      <w:r>
        <w:rPr/>
        <w:t>grama</w:t>
      </w:r>
      <w:r>
        <w:rPr>
          <w:spacing w:val="-11"/>
        </w:rPr>
        <w:t> </w:t>
      </w:r>
      <w:r>
        <w:rPr/>
        <w:t>de</w:t>
      </w:r>
      <w:r>
        <w:rPr>
          <w:spacing w:val="-11"/>
        </w:rPr>
        <w:t> </w:t>
      </w:r>
      <w:r>
        <w:rPr/>
        <w:t>tecido.</w:t>
      </w:r>
      <w:r>
        <w:rPr>
          <w:spacing w:val="-2"/>
        </w:rPr>
        <w:t> </w:t>
      </w:r>
      <w:r>
        <w:rPr/>
        <w:t>Clinicamente,</w:t>
      </w:r>
      <w:r>
        <w:rPr>
          <w:spacing w:val="-2"/>
        </w:rPr>
        <w:t> </w:t>
      </w:r>
      <w:r>
        <w:rPr/>
        <w:t>dor,</w:t>
      </w:r>
      <w:r>
        <w:rPr>
          <w:spacing w:val="-2"/>
        </w:rPr>
        <w:t> </w:t>
      </w:r>
      <w:r>
        <w:rPr/>
        <w:t>secreção,</w:t>
      </w:r>
      <w:r>
        <w:rPr>
          <w:spacing w:val="-2"/>
        </w:rPr>
        <w:t> </w:t>
      </w:r>
      <w:r>
        <w:rPr/>
        <w:t>inflamação</w:t>
      </w:r>
      <w:r>
        <w:rPr>
          <w:spacing w:val="-9"/>
        </w:rPr>
        <w:t> </w:t>
      </w:r>
      <w:r>
        <w:rPr/>
        <w:t>das bordas caracterizam o processo infeccioso. Nesta</w:t>
      </w:r>
      <w:r>
        <w:rPr>
          <w:spacing w:val="-2"/>
        </w:rPr>
        <w:t> </w:t>
      </w:r>
      <w:r>
        <w:rPr/>
        <w:t>situação, a</w:t>
      </w:r>
      <w:r>
        <w:rPr>
          <w:spacing w:val="-2"/>
        </w:rPr>
        <w:t> </w:t>
      </w:r>
      <w:r>
        <w:rPr/>
        <w:t>cicatrização é</w:t>
      </w:r>
      <w:r>
        <w:rPr>
          <w:spacing w:val="-2"/>
        </w:rPr>
        <w:t> </w:t>
      </w:r>
      <w:r>
        <w:rPr/>
        <w:t>retardada.</w:t>
      </w:r>
    </w:p>
    <w:p>
      <w:pPr>
        <w:pStyle w:val="BodyText"/>
        <w:spacing w:line="276" w:lineRule="auto"/>
        <w:ind w:right="488"/>
      </w:pPr>
      <w:r>
        <w:rPr/>
        <w:t>O uso de antibióticos tópicos não é efetivo, podendo determinar o desenvolvimento de cepas resistentes. Na ocorrência</w:t>
      </w:r>
      <w:r>
        <w:rPr>
          <w:spacing w:val="-10"/>
        </w:rPr>
        <w:t> </w:t>
      </w:r>
      <w:r>
        <w:rPr/>
        <w:t>de</w:t>
      </w:r>
      <w:r>
        <w:rPr>
          <w:spacing w:val="-10"/>
        </w:rPr>
        <w:t> </w:t>
      </w:r>
      <w:r>
        <w:rPr/>
        <w:t>infecção, prefere-se</w:t>
      </w:r>
      <w:r>
        <w:rPr>
          <w:spacing w:val="-10"/>
        </w:rPr>
        <w:t> </w:t>
      </w:r>
      <w:r>
        <w:rPr/>
        <w:t>a</w:t>
      </w:r>
      <w:r>
        <w:rPr>
          <w:spacing w:val="-10"/>
        </w:rPr>
        <w:t> </w:t>
      </w:r>
      <w:r>
        <w:rPr/>
        <w:t>antibioticoterapia</w:t>
      </w:r>
      <w:r>
        <w:rPr>
          <w:spacing w:val="-10"/>
        </w:rPr>
        <w:t> </w:t>
      </w:r>
      <w:r>
        <w:rPr/>
        <w:t>sistêmica. Somente</w:t>
      </w:r>
      <w:r>
        <w:rPr>
          <w:spacing w:val="-10"/>
        </w:rPr>
        <w:t> </w:t>
      </w:r>
      <w:r>
        <w:rPr/>
        <w:t>se</w:t>
      </w:r>
      <w:r>
        <w:rPr>
          <w:spacing w:val="-10"/>
        </w:rPr>
        <w:t> </w:t>
      </w:r>
      <w:r>
        <w:rPr/>
        <w:t>indica</w:t>
      </w:r>
      <w:r>
        <w:rPr>
          <w:spacing w:val="-10"/>
        </w:rPr>
        <w:t> </w:t>
      </w:r>
      <w:r>
        <w:rPr/>
        <w:t>uso</w:t>
      </w:r>
      <w:r>
        <w:rPr>
          <w:spacing w:val="-8"/>
        </w:rPr>
        <w:t> </w:t>
      </w:r>
      <w:r>
        <w:rPr/>
        <w:t>local</w:t>
      </w:r>
      <w:r>
        <w:rPr>
          <w:spacing w:val="-6"/>
        </w:rPr>
        <w:t> </w:t>
      </w:r>
      <w:r>
        <w:rPr/>
        <w:t>quando</w:t>
      </w:r>
      <w:r>
        <w:rPr>
          <w:spacing w:val="-8"/>
        </w:rPr>
        <w:t> </w:t>
      </w:r>
      <w:r>
        <w:rPr/>
        <w:t>o</w:t>
      </w:r>
      <w:r>
        <w:rPr>
          <w:spacing w:val="-8"/>
        </w:rPr>
        <w:t> </w:t>
      </w:r>
      <w:r>
        <w:rPr/>
        <w:t>antibiograma da bactéria isolada mostrar sensibilidade a antimicrobianos de difícil uso parenteral como </w:t>
      </w:r>
      <w:r>
        <w:rPr>
          <w:i/>
        </w:rPr>
        <w:t>Pseudomonas aeruginosa</w:t>
      </w:r>
      <w:r>
        <w:rPr/>
        <w:t>, sensível a raros antibióticos.</w:t>
      </w:r>
    </w:p>
    <w:p>
      <w:pPr>
        <w:pStyle w:val="BodyText"/>
        <w:spacing w:line="276" w:lineRule="auto" w:before="48"/>
        <w:ind w:right="488"/>
      </w:pPr>
      <w:r>
        <w:rPr/>
        <w:t>A cicatrização da úlcera se faz em três fases histológicas descritas como inflamatória, proliferativa e de remodelação</w:t>
      </w:r>
      <w:r>
        <w:rPr>
          <w:spacing w:val="-2"/>
        </w:rPr>
        <w:t> </w:t>
      </w:r>
      <w:r>
        <w:rPr/>
        <w:t>cicatricial. Na</w:t>
      </w:r>
      <w:r>
        <w:rPr>
          <w:spacing w:val="-5"/>
        </w:rPr>
        <w:t> </w:t>
      </w:r>
      <w:r>
        <w:rPr/>
        <w:t>maioria</w:t>
      </w:r>
      <w:r>
        <w:rPr>
          <w:spacing w:val="-5"/>
        </w:rPr>
        <w:t> </w:t>
      </w:r>
      <w:r>
        <w:rPr/>
        <w:t>das feridas, a</w:t>
      </w:r>
      <w:r>
        <w:rPr>
          <w:spacing w:val="-5"/>
        </w:rPr>
        <w:t> </w:t>
      </w:r>
      <w:r>
        <w:rPr/>
        <w:t>lesão</w:t>
      </w:r>
      <w:r>
        <w:rPr>
          <w:spacing w:val="-2"/>
        </w:rPr>
        <w:t> </w:t>
      </w:r>
      <w:r>
        <w:rPr/>
        <w:t>se</w:t>
      </w:r>
      <w:r>
        <w:rPr>
          <w:spacing w:val="-5"/>
        </w:rPr>
        <w:t> </w:t>
      </w:r>
      <w:r>
        <w:rPr/>
        <w:t>fecha</w:t>
      </w:r>
      <w:r>
        <w:rPr>
          <w:spacing w:val="-5"/>
        </w:rPr>
        <w:t> </w:t>
      </w:r>
      <w:r>
        <w:rPr/>
        <w:t>em</w:t>
      </w:r>
      <w:r>
        <w:rPr>
          <w:spacing w:val="-2"/>
        </w:rPr>
        <w:t> </w:t>
      </w:r>
      <w:r>
        <w:rPr/>
        <w:t>30</w:t>
      </w:r>
      <w:r>
        <w:rPr>
          <w:spacing w:val="-2"/>
        </w:rPr>
        <w:t> </w:t>
      </w:r>
      <w:r>
        <w:rPr/>
        <w:t>dias quando</w:t>
      </w:r>
      <w:r>
        <w:rPr>
          <w:spacing w:val="-2"/>
        </w:rPr>
        <w:t> </w:t>
      </w:r>
      <w:r>
        <w:rPr/>
        <w:t>o</w:t>
      </w:r>
      <w:r>
        <w:rPr>
          <w:spacing w:val="-2"/>
        </w:rPr>
        <w:t> </w:t>
      </w:r>
      <w:r>
        <w:rPr/>
        <w:t>tratamento</w:t>
      </w:r>
      <w:r>
        <w:rPr>
          <w:spacing w:val="-2"/>
        </w:rPr>
        <w:t> </w:t>
      </w:r>
      <w:r>
        <w:rPr/>
        <w:t>da</w:t>
      </w:r>
      <w:r>
        <w:rPr>
          <w:spacing w:val="-5"/>
        </w:rPr>
        <w:t> </w:t>
      </w:r>
      <w:r>
        <w:rPr/>
        <w:t>etiopatogenia</w:t>
      </w:r>
      <w:r>
        <w:rPr>
          <w:spacing w:val="-5"/>
        </w:rPr>
        <w:t> </w:t>
      </w:r>
      <w:r>
        <w:rPr/>
        <w:t>e das complicações é</w:t>
      </w:r>
      <w:r>
        <w:rPr>
          <w:spacing w:val="-1"/>
        </w:rPr>
        <w:t> </w:t>
      </w:r>
      <w:r>
        <w:rPr/>
        <w:t>feito com curativos simples compressivos e</w:t>
      </w:r>
      <w:r>
        <w:rPr>
          <w:spacing w:val="-1"/>
        </w:rPr>
        <w:t> </w:t>
      </w:r>
      <w:r>
        <w:rPr/>
        <w:t>cuidados de</w:t>
      </w:r>
      <w:r>
        <w:rPr>
          <w:spacing w:val="-1"/>
        </w:rPr>
        <w:t> </w:t>
      </w:r>
      <w:r>
        <w:rPr/>
        <w:t>higiene.</w:t>
      </w:r>
    </w:p>
    <w:p>
      <w:pPr>
        <w:pStyle w:val="BodyText"/>
        <w:spacing w:line="276" w:lineRule="auto"/>
        <w:ind w:right="497"/>
      </w:pPr>
      <w:r>
        <w:rPr/>
        <w:t>Em alguns doentes, apesar dessa terapêutica básica, a lesão evolui cronicamente, às vezes arrastando-se por mais de 1 ano. Trabalhos pioneiros, realizados por Winter na década de 1960, mostraram que curativos oclusivos ativam</w:t>
      </w:r>
      <w:r>
        <w:rPr>
          <w:spacing w:val="-6"/>
        </w:rPr>
        <w:t> </w:t>
      </w:r>
      <w:r>
        <w:rPr/>
        <w:t>e</w:t>
      </w:r>
      <w:r>
        <w:rPr>
          <w:spacing w:val="-8"/>
        </w:rPr>
        <w:t> </w:t>
      </w:r>
      <w:r>
        <w:rPr/>
        <w:t>reduzem</w:t>
      </w:r>
      <w:r>
        <w:rPr>
          <w:spacing w:val="-6"/>
        </w:rPr>
        <w:t> </w:t>
      </w:r>
      <w:r>
        <w:rPr/>
        <w:t>o</w:t>
      </w:r>
      <w:r>
        <w:rPr>
          <w:spacing w:val="-6"/>
        </w:rPr>
        <w:t> </w:t>
      </w:r>
      <w:r>
        <w:rPr/>
        <w:t>tempo</w:t>
      </w:r>
      <w:r>
        <w:rPr>
          <w:spacing w:val="-6"/>
        </w:rPr>
        <w:t> </w:t>
      </w:r>
      <w:r>
        <w:rPr/>
        <w:t>de</w:t>
      </w:r>
      <w:r>
        <w:rPr>
          <w:spacing w:val="-8"/>
        </w:rPr>
        <w:t> </w:t>
      </w:r>
      <w:r>
        <w:rPr/>
        <w:t>cicatrização. O</w:t>
      </w:r>
      <w:r>
        <w:rPr>
          <w:spacing w:val="-8"/>
        </w:rPr>
        <w:t> </w:t>
      </w:r>
      <w:r>
        <w:rPr/>
        <w:t>curativo</w:t>
      </w:r>
      <w:r>
        <w:rPr>
          <w:spacing w:val="-6"/>
        </w:rPr>
        <w:t> </w:t>
      </w:r>
      <w:r>
        <w:rPr/>
        <w:t>fechado</w:t>
      </w:r>
      <w:r>
        <w:rPr>
          <w:spacing w:val="-6"/>
        </w:rPr>
        <w:t> </w:t>
      </w:r>
      <w:r>
        <w:rPr/>
        <w:t>mantém</w:t>
      </w:r>
      <w:r>
        <w:rPr>
          <w:spacing w:val="-6"/>
        </w:rPr>
        <w:t> </w:t>
      </w:r>
      <w:r>
        <w:rPr/>
        <w:t>um</w:t>
      </w:r>
      <w:r>
        <w:rPr>
          <w:spacing w:val="-6"/>
        </w:rPr>
        <w:t> </w:t>
      </w:r>
      <w:r>
        <w:rPr/>
        <w:t>ambiente</w:t>
      </w:r>
      <w:r>
        <w:rPr>
          <w:spacing w:val="-8"/>
        </w:rPr>
        <w:t> </w:t>
      </w:r>
      <w:r>
        <w:rPr/>
        <w:t>úmido</w:t>
      </w:r>
      <w:r>
        <w:rPr>
          <w:spacing w:val="-6"/>
        </w:rPr>
        <w:t> </w:t>
      </w:r>
      <w:r>
        <w:rPr/>
        <w:t>que</w:t>
      </w:r>
      <w:r>
        <w:rPr>
          <w:spacing w:val="-8"/>
        </w:rPr>
        <w:t> </w:t>
      </w:r>
      <w:r>
        <w:rPr/>
        <w:t>evita</w:t>
      </w:r>
      <w:r>
        <w:rPr>
          <w:spacing w:val="-8"/>
        </w:rPr>
        <w:t> </w:t>
      </w:r>
      <w:r>
        <w:rPr/>
        <w:t>a</w:t>
      </w:r>
      <w:r>
        <w:rPr>
          <w:spacing w:val="-8"/>
        </w:rPr>
        <w:t> </w:t>
      </w:r>
      <w:r>
        <w:rPr/>
        <w:t>formação</w:t>
      </w:r>
      <w:r>
        <w:rPr>
          <w:spacing w:val="-6"/>
        </w:rPr>
        <w:t> </w:t>
      </w:r>
      <w:r>
        <w:rPr/>
        <w:t>de crosta, aumentando a velocidade de migração das células epiteliais, da síntese do colágeno, da formação do tecido de granulação e da angiogênese. Além disso, esses curativos mantêm um exsudato da ferida, rico em fatores de crescimento que aceleram os processos cicatriciais.</w:t>
      </w:r>
    </w:p>
    <w:p>
      <w:pPr>
        <w:pStyle w:val="BodyText"/>
        <w:spacing w:line="276" w:lineRule="auto"/>
        <w:ind w:right="488"/>
      </w:pPr>
      <w:r>
        <w:rPr/>
        <w:t>O</w:t>
      </w:r>
      <w:r>
        <w:rPr>
          <w:spacing w:val="-9"/>
        </w:rPr>
        <w:t> </w:t>
      </w:r>
      <w:r>
        <w:rPr/>
        <w:t>mais conhecido</w:t>
      </w:r>
      <w:r>
        <w:rPr>
          <w:spacing w:val="-6"/>
        </w:rPr>
        <w:t> </w:t>
      </w:r>
      <w:r>
        <w:rPr/>
        <w:t>e</w:t>
      </w:r>
      <w:r>
        <w:rPr>
          <w:spacing w:val="-8"/>
        </w:rPr>
        <w:t> </w:t>
      </w:r>
      <w:r>
        <w:rPr/>
        <w:t>clássico</w:t>
      </w:r>
      <w:r>
        <w:rPr>
          <w:spacing w:val="-6"/>
        </w:rPr>
        <w:t> </w:t>
      </w:r>
      <w:r>
        <w:rPr/>
        <w:t>dos curativos fechados é</w:t>
      </w:r>
      <w:r>
        <w:rPr>
          <w:spacing w:val="-8"/>
        </w:rPr>
        <w:t> </w:t>
      </w:r>
      <w:r>
        <w:rPr/>
        <w:t>a</w:t>
      </w:r>
      <w:r>
        <w:rPr>
          <w:spacing w:val="-8"/>
        </w:rPr>
        <w:t> </w:t>
      </w:r>
      <w:r>
        <w:rPr/>
        <w:t>“bota</w:t>
      </w:r>
      <w:r>
        <w:rPr>
          <w:spacing w:val="-8"/>
        </w:rPr>
        <w:t> </w:t>
      </w:r>
      <w:r>
        <w:rPr/>
        <w:t>de</w:t>
      </w:r>
      <w:r>
        <w:rPr>
          <w:spacing w:val="-8"/>
        </w:rPr>
        <w:t> </w:t>
      </w:r>
      <w:r>
        <w:rPr/>
        <w:t>Unna”</w:t>
      </w:r>
      <w:r>
        <w:rPr>
          <w:spacing w:val="-8"/>
        </w:rPr>
        <w:t> </w:t>
      </w:r>
      <w:r>
        <w:rPr/>
        <w:t>que, além</w:t>
      </w:r>
      <w:r>
        <w:rPr>
          <w:spacing w:val="-6"/>
        </w:rPr>
        <w:t> </w:t>
      </w:r>
      <w:r>
        <w:rPr/>
        <w:t>de</w:t>
      </w:r>
      <w:r>
        <w:rPr>
          <w:spacing w:val="-8"/>
        </w:rPr>
        <w:t> </w:t>
      </w:r>
      <w:r>
        <w:rPr/>
        <w:t>atuar</w:t>
      </w:r>
      <w:r>
        <w:rPr>
          <w:spacing w:val="-1"/>
        </w:rPr>
        <w:t> </w:t>
      </w:r>
      <w:r>
        <w:rPr/>
        <w:t>sobre</w:t>
      </w:r>
      <w:r>
        <w:rPr>
          <w:spacing w:val="-8"/>
        </w:rPr>
        <w:t> </w:t>
      </w:r>
      <w:r>
        <w:rPr/>
        <w:t>a</w:t>
      </w:r>
      <w:r>
        <w:rPr>
          <w:spacing w:val="-8"/>
        </w:rPr>
        <w:t> </w:t>
      </w:r>
      <w:r>
        <w:rPr/>
        <w:t>lesão, reduz</w:t>
      </w:r>
      <w:r>
        <w:rPr>
          <w:spacing w:val="-8"/>
        </w:rPr>
        <w:t> </w:t>
      </w:r>
      <w:r>
        <w:rPr/>
        <w:t>a estase venosa crônica. A bota tem restrições em úlceras infectadas e com muita secreção. Pode ser substituída por curativos compressivos que usam gases, esponjas e faixas elásticas.</w:t>
      </w:r>
    </w:p>
    <w:p>
      <w:pPr>
        <w:pStyle w:val="BodyText"/>
        <w:spacing w:before="48"/>
        <w:ind w:left="414" w:firstLine="0"/>
      </w:pPr>
      <w:r>
        <w:rPr/>
        <w:t>A</w:t>
      </w:r>
      <w:r>
        <w:rPr>
          <w:spacing w:val="9"/>
        </w:rPr>
        <w:t> </w:t>
      </w:r>
      <w:r>
        <w:rPr/>
        <w:t>indústria</w:t>
      </w:r>
      <w:r>
        <w:rPr>
          <w:spacing w:val="12"/>
        </w:rPr>
        <w:t> </w:t>
      </w:r>
      <w:r>
        <w:rPr/>
        <w:t>farmacêutica</w:t>
      </w:r>
      <w:r>
        <w:rPr>
          <w:spacing w:val="11"/>
        </w:rPr>
        <w:t> </w:t>
      </w:r>
      <w:r>
        <w:rPr/>
        <w:t>lançou,</w:t>
      </w:r>
      <w:r>
        <w:rPr>
          <w:spacing w:val="22"/>
        </w:rPr>
        <w:t> </w:t>
      </w:r>
      <w:r>
        <w:rPr/>
        <w:t>nos</w:t>
      </w:r>
      <w:r>
        <w:rPr>
          <w:spacing w:val="22"/>
        </w:rPr>
        <w:t> </w:t>
      </w:r>
      <w:r>
        <w:rPr/>
        <w:t>últimos</w:t>
      </w:r>
      <w:r>
        <w:rPr>
          <w:spacing w:val="22"/>
        </w:rPr>
        <w:t> </w:t>
      </w:r>
      <w:r>
        <w:rPr/>
        <w:t>anos,</w:t>
      </w:r>
      <w:r>
        <w:rPr>
          <w:spacing w:val="22"/>
        </w:rPr>
        <w:t> </w:t>
      </w:r>
      <w:r>
        <w:rPr/>
        <w:t>uma</w:t>
      </w:r>
      <w:r>
        <w:rPr>
          <w:spacing w:val="12"/>
        </w:rPr>
        <w:t> </w:t>
      </w:r>
      <w:r>
        <w:rPr/>
        <w:t>série</w:t>
      </w:r>
      <w:r>
        <w:rPr>
          <w:spacing w:val="12"/>
        </w:rPr>
        <w:t> </w:t>
      </w:r>
      <w:r>
        <w:rPr/>
        <w:t>de</w:t>
      </w:r>
      <w:r>
        <w:rPr>
          <w:spacing w:val="11"/>
        </w:rPr>
        <w:t> </w:t>
      </w:r>
      <w:r>
        <w:rPr/>
        <w:t>novos</w:t>
      </w:r>
      <w:r>
        <w:rPr>
          <w:spacing w:val="22"/>
        </w:rPr>
        <w:t> </w:t>
      </w:r>
      <w:r>
        <w:rPr/>
        <w:t>produtos</w:t>
      </w:r>
      <w:r>
        <w:rPr>
          <w:spacing w:val="22"/>
        </w:rPr>
        <w:t> </w:t>
      </w:r>
      <w:r>
        <w:rPr/>
        <w:t>que</w:t>
      </w:r>
      <w:r>
        <w:rPr>
          <w:spacing w:val="12"/>
        </w:rPr>
        <w:t> </w:t>
      </w:r>
      <w:r>
        <w:rPr/>
        <w:t>vão</w:t>
      </w:r>
      <w:r>
        <w:rPr>
          <w:spacing w:val="14"/>
        </w:rPr>
        <w:t> </w:t>
      </w:r>
      <w:r>
        <w:rPr/>
        <w:t>desde</w:t>
      </w:r>
      <w:r>
        <w:rPr>
          <w:spacing w:val="12"/>
        </w:rPr>
        <w:t> </w:t>
      </w:r>
      <w:r>
        <w:rPr>
          <w:spacing w:val="-2"/>
        </w:rPr>
        <w:t>modificações</w:t>
      </w:r>
    </w:p>
    <w:p>
      <w:pPr>
        <w:pStyle w:val="BodyText"/>
        <w:spacing w:after="0"/>
        <w:sectPr>
          <w:pgSz w:w="11900" w:h="16840"/>
          <w:pgMar w:top="160" w:bottom="280" w:left="566" w:right="141"/>
        </w:sectPr>
      </w:pPr>
    </w:p>
    <w:p>
      <w:pPr>
        <w:pStyle w:val="BodyText"/>
        <w:spacing w:line="276" w:lineRule="auto" w:before="72"/>
        <w:ind w:right="498" w:firstLine="0"/>
      </w:pPr>
      <w:r>
        <w:rPr/>
        <w:t>dos tradicionais curativos fechados com pasta de Unna, gases e esponjas absorventes com medicamentos impregnados até</w:t>
      </w:r>
      <w:r>
        <w:rPr>
          <w:spacing w:val="-1"/>
        </w:rPr>
        <w:t> </w:t>
      </w:r>
      <w:r>
        <w:rPr/>
        <w:t>novos produtos com base</w:t>
      </w:r>
      <w:r>
        <w:rPr>
          <w:spacing w:val="-1"/>
        </w:rPr>
        <w:t> </w:t>
      </w:r>
      <w:r>
        <w:rPr/>
        <w:t>em hidrocoloides, aglomerados de</w:t>
      </w:r>
      <w:r>
        <w:rPr>
          <w:spacing w:val="-1"/>
        </w:rPr>
        <w:t> </w:t>
      </w:r>
      <w:r>
        <w:rPr/>
        <w:t>fibras de</w:t>
      </w:r>
      <w:r>
        <w:rPr>
          <w:spacing w:val="-1"/>
        </w:rPr>
        <w:t> </w:t>
      </w:r>
      <w:r>
        <w:rPr/>
        <w:t>alginato ou carvão ativado. Além</w:t>
      </w:r>
      <w:r>
        <w:rPr>
          <w:spacing w:val="-2"/>
        </w:rPr>
        <w:t> </w:t>
      </w:r>
      <w:r>
        <w:rPr/>
        <w:t>de</w:t>
      </w:r>
      <w:r>
        <w:rPr>
          <w:spacing w:val="-4"/>
        </w:rPr>
        <w:t> </w:t>
      </w:r>
      <w:r>
        <w:rPr/>
        <w:t>manter o</w:t>
      </w:r>
      <w:r>
        <w:rPr>
          <w:spacing w:val="-2"/>
        </w:rPr>
        <w:t> </w:t>
      </w:r>
      <w:r>
        <w:rPr/>
        <w:t>ambiente</w:t>
      </w:r>
      <w:r>
        <w:rPr>
          <w:spacing w:val="-4"/>
        </w:rPr>
        <w:t> </w:t>
      </w:r>
      <w:r>
        <w:rPr/>
        <w:t>próprio</w:t>
      </w:r>
      <w:r>
        <w:rPr>
          <w:spacing w:val="-2"/>
        </w:rPr>
        <w:t> </w:t>
      </w:r>
      <w:r>
        <w:rPr/>
        <w:t>da</w:t>
      </w:r>
      <w:r>
        <w:rPr>
          <w:spacing w:val="-4"/>
        </w:rPr>
        <w:t> </w:t>
      </w:r>
      <w:r>
        <w:rPr/>
        <w:t>lesão, controlam</w:t>
      </w:r>
      <w:r>
        <w:rPr>
          <w:spacing w:val="-2"/>
        </w:rPr>
        <w:t> </w:t>
      </w:r>
      <w:r>
        <w:rPr/>
        <w:t>sua</w:t>
      </w:r>
      <w:r>
        <w:rPr>
          <w:spacing w:val="-4"/>
        </w:rPr>
        <w:t> </w:t>
      </w:r>
      <w:r>
        <w:rPr/>
        <w:t>hidratação, absorvem</w:t>
      </w:r>
      <w:r>
        <w:rPr>
          <w:spacing w:val="-2"/>
        </w:rPr>
        <w:t> </w:t>
      </w:r>
      <w:r>
        <w:rPr/>
        <w:t>o</w:t>
      </w:r>
      <w:r>
        <w:rPr>
          <w:spacing w:val="-2"/>
        </w:rPr>
        <w:t> </w:t>
      </w:r>
      <w:r>
        <w:rPr/>
        <w:t>excesso</w:t>
      </w:r>
      <w:r>
        <w:rPr>
          <w:spacing w:val="-2"/>
        </w:rPr>
        <w:t> </w:t>
      </w:r>
      <w:r>
        <w:rPr/>
        <w:t>de</w:t>
      </w:r>
      <w:r>
        <w:rPr>
          <w:spacing w:val="-4"/>
        </w:rPr>
        <w:t> </w:t>
      </w:r>
      <w:r>
        <w:rPr/>
        <w:t>secreção</w:t>
      </w:r>
      <w:r>
        <w:rPr>
          <w:spacing w:val="-2"/>
        </w:rPr>
        <w:t> </w:t>
      </w:r>
      <w:r>
        <w:rPr/>
        <w:t>e</w:t>
      </w:r>
      <w:r>
        <w:rPr>
          <w:spacing w:val="-4"/>
        </w:rPr>
        <w:t> </w:t>
      </w:r>
      <w:r>
        <w:rPr/>
        <w:t>evitam</w:t>
      </w:r>
      <w:r>
        <w:rPr>
          <w:spacing w:val="-2"/>
        </w:rPr>
        <w:t> </w:t>
      </w:r>
      <w:r>
        <w:rPr/>
        <w:t>a maceração das bordas da ferida.</w:t>
      </w:r>
    </w:p>
    <w:p>
      <w:pPr>
        <w:pStyle w:val="BodyText"/>
        <w:spacing w:line="276" w:lineRule="auto"/>
        <w:ind w:right="488"/>
      </w:pPr>
      <w:r>
        <w:rPr/>
        <w:t>Atualmente, há</w:t>
      </w:r>
      <w:r>
        <w:rPr>
          <w:spacing w:val="-1"/>
        </w:rPr>
        <w:t> </w:t>
      </w:r>
      <w:r>
        <w:rPr/>
        <w:t>os chamados curativos bioativos, obtidos por engenharia</w:t>
      </w:r>
      <w:r>
        <w:rPr>
          <w:spacing w:val="-1"/>
        </w:rPr>
        <w:t> </w:t>
      </w:r>
      <w:r>
        <w:rPr/>
        <w:t>genética</w:t>
      </w:r>
      <w:r>
        <w:rPr>
          <w:spacing w:val="-1"/>
        </w:rPr>
        <w:t> </w:t>
      </w:r>
      <w:r>
        <w:rPr/>
        <w:t>e</w:t>
      </w:r>
      <w:r>
        <w:rPr>
          <w:spacing w:val="-1"/>
        </w:rPr>
        <w:t> </w:t>
      </w:r>
      <w:r>
        <w:rPr/>
        <w:t>que</w:t>
      </w:r>
      <w:r>
        <w:rPr>
          <w:spacing w:val="-1"/>
        </w:rPr>
        <w:t> </w:t>
      </w:r>
      <w:r>
        <w:rPr/>
        <w:t>atuam especificamente em uma ou mais fases do processo histológico de cicatrização. Também estão sendo utilizados os equivalentes à pele humana, formados por uma matriz proteica derivada de bovino e preenchida por queratinócitos e fibroblastos </w:t>
      </w:r>
      <w:r>
        <w:rPr>
          <w:spacing w:val="-2"/>
        </w:rPr>
        <w:t>humanos.</w:t>
      </w:r>
    </w:p>
    <w:p>
      <w:pPr>
        <w:pStyle w:val="BodyText"/>
        <w:spacing w:before="134"/>
        <w:ind w:left="0" w:firstLine="0"/>
        <w:jc w:val="left"/>
      </w:pPr>
    </w:p>
    <w:p>
      <w:pPr>
        <w:pStyle w:val="Heading5"/>
        <w:jc w:val="both"/>
      </w:pPr>
      <w:r>
        <w:rPr>
          <w:color w:val="A26108"/>
        </w:rPr>
        <w:t>Tratamento</w:t>
      </w:r>
      <w:r>
        <w:rPr>
          <w:color w:val="A26108"/>
          <w:spacing w:val="34"/>
        </w:rPr>
        <w:t> </w:t>
      </w:r>
      <w:r>
        <w:rPr>
          <w:color w:val="A26108"/>
          <w:spacing w:val="-2"/>
        </w:rPr>
        <w:t>esclerosante</w:t>
      </w:r>
    </w:p>
    <w:p>
      <w:pPr>
        <w:pStyle w:val="BodyText"/>
        <w:spacing w:before="122"/>
        <w:ind w:left="414" w:firstLine="0"/>
      </w:pPr>
      <w:r>
        <w:rPr/>
        <w:t>O</w:t>
      </w:r>
      <w:r>
        <w:rPr>
          <w:spacing w:val="-17"/>
        </w:rPr>
        <w:t> </w:t>
      </w:r>
      <w:r>
        <w:rPr/>
        <w:t>procedimento</w:t>
      </w:r>
      <w:r>
        <w:rPr>
          <w:spacing w:val="-14"/>
        </w:rPr>
        <w:t> </w:t>
      </w:r>
      <w:r>
        <w:rPr/>
        <w:t>escleroterápico</w:t>
      </w:r>
      <w:r>
        <w:rPr>
          <w:spacing w:val="-15"/>
        </w:rPr>
        <w:t> </w:t>
      </w:r>
      <w:r>
        <w:rPr/>
        <w:t>pode</w:t>
      </w:r>
      <w:r>
        <w:rPr>
          <w:spacing w:val="-14"/>
        </w:rPr>
        <w:t> </w:t>
      </w:r>
      <w:r>
        <w:rPr/>
        <w:t>ser</w:t>
      </w:r>
      <w:r>
        <w:rPr>
          <w:spacing w:val="-14"/>
        </w:rPr>
        <w:t> </w:t>
      </w:r>
      <w:r>
        <w:rPr/>
        <w:t>realizado</w:t>
      </w:r>
      <w:r>
        <w:rPr>
          <w:spacing w:val="-15"/>
        </w:rPr>
        <w:t> </w:t>
      </w:r>
      <w:r>
        <w:rPr/>
        <w:t>por</w:t>
      </w:r>
      <w:r>
        <w:rPr>
          <w:spacing w:val="-14"/>
        </w:rPr>
        <w:t> </w:t>
      </w:r>
      <w:r>
        <w:rPr/>
        <w:t>meios</w:t>
      </w:r>
      <w:r>
        <w:rPr>
          <w:spacing w:val="-8"/>
        </w:rPr>
        <w:t> </w:t>
      </w:r>
      <w:r>
        <w:rPr/>
        <w:t>químicos</w:t>
      </w:r>
      <w:r>
        <w:rPr>
          <w:spacing w:val="-9"/>
        </w:rPr>
        <w:t> </w:t>
      </w:r>
      <w:r>
        <w:rPr/>
        <w:t>(medicamentos)</w:t>
      </w:r>
      <w:r>
        <w:rPr>
          <w:spacing w:val="-11"/>
        </w:rPr>
        <w:t> </w:t>
      </w:r>
      <w:r>
        <w:rPr/>
        <w:t>ou</w:t>
      </w:r>
      <w:r>
        <w:rPr>
          <w:spacing w:val="-14"/>
        </w:rPr>
        <w:t> </w:t>
      </w:r>
      <w:r>
        <w:rPr/>
        <w:t>térmicos</w:t>
      </w:r>
      <w:r>
        <w:rPr>
          <w:spacing w:val="-8"/>
        </w:rPr>
        <w:t> </w:t>
      </w:r>
      <w:r>
        <w:rPr>
          <w:spacing w:val="-2"/>
        </w:rPr>
        <w:t>(</w:t>
      </w:r>
      <w:r>
        <w:rPr>
          <w:i/>
          <w:spacing w:val="-2"/>
        </w:rPr>
        <w:t>laser</w:t>
      </w:r>
      <w:r>
        <w:rPr>
          <w:spacing w:val="-2"/>
        </w:rPr>
        <w:t>).</w:t>
      </w:r>
    </w:p>
    <w:p>
      <w:pPr>
        <w:pStyle w:val="BodyText"/>
        <w:spacing w:line="276" w:lineRule="auto" w:before="104"/>
        <w:ind w:right="488"/>
      </w:pPr>
      <w:r>
        <w:rPr/>
        <w:t>Nossa</w:t>
      </w:r>
      <w:r>
        <w:rPr>
          <w:spacing w:val="-7"/>
        </w:rPr>
        <w:t> </w:t>
      </w:r>
      <w:r>
        <w:rPr/>
        <w:t>experiência</w:t>
      </w:r>
      <w:r>
        <w:rPr>
          <w:spacing w:val="-7"/>
        </w:rPr>
        <w:t> </w:t>
      </w:r>
      <w:r>
        <w:rPr/>
        <w:t>mostra</w:t>
      </w:r>
      <w:r>
        <w:rPr>
          <w:spacing w:val="-7"/>
        </w:rPr>
        <w:t> </w:t>
      </w:r>
      <w:r>
        <w:rPr/>
        <w:t>que</w:t>
      </w:r>
      <w:r>
        <w:rPr>
          <w:spacing w:val="-7"/>
        </w:rPr>
        <w:t> </w:t>
      </w:r>
      <w:r>
        <w:rPr/>
        <w:t>a</w:t>
      </w:r>
      <w:r>
        <w:rPr>
          <w:spacing w:val="-7"/>
        </w:rPr>
        <w:t> </w:t>
      </w:r>
      <w:r>
        <w:rPr/>
        <w:t>melhor conduta</w:t>
      </w:r>
      <w:r>
        <w:rPr>
          <w:spacing w:val="-7"/>
        </w:rPr>
        <w:t> </w:t>
      </w:r>
      <w:r>
        <w:rPr/>
        <w:t>é</w:t>
      </w:r>
      <w:r>
        <w:rPr>
          <w:spacing w:val="-7"/>
        </w:rPr>
        <w:t> </w:t>
      </w:r>
      <w:r>
        <w:rPr/>
        <w:t>o</w:t>
      </w:r>
      <w:r>
        <w:rPr>
          <w:spacing w:val="-5"/>
        </w:rPr>
        <w:t> </w:t>
      </w:r>
      <w:r>
        <w:rPr/>
        <w:t>tratamento</w:t>
      </w:r>
      <w:r>
        <w:rPr>
          <w:spacing w:val="-5"/>
        </w:rPr>
        <w:t> </w:t>
      </w:r>
      <w:r>
        <w:rPr/>
        <w:t>com</w:t>
      </w:r>
      <w:r>
        <w:rPr>
          <w:spacing w:val="-5"/>
        </w:rPr>
        <w:t> </w:t>
      </w:r>
      <w:r>
        <w:rPr/>
        <w:t>esclerose</w:t>
      </w:r>
      <w:r>
        <w:rPr>
          <w:spacing w:val="-7"/>
        </w:rPr>
        <w:t> </w:t>
      </w:r>
      <w:r>
        <w:rPr/>
        <w:t>medicamentosa</w:t>
      </w:r>
      <w:r>
        <w:rPr>
          <w:spacing w:val="-7"/>
        </w:rPr>
        <w:t> </w:t>
      </w:r>
      <w:r>
        <w:rPr/>
        <w:t>na</w:t>
      </w:r>
      <w:r>
        <w:rPr>
          <w:spacing w:val="-7"/>
        </w:rPr>
        <w:t> </w:t>
      </w:r>
      <w:r>
        <w:rPr/>
        <w:t>grande</w:t>
      </w:r>
      <w:r>
        <w:rPr>
          <w:spacing w:val="-7"/>
        </w:rPr>
        <w:t> </w:t>
      </w:r>
      <w:r>
        <w:rPr/>
        <w:t>maioria dos casos, sendo o tratamento térmico acessório, auxiliar nos cuidados de algumas pequeninas telangiectasias avermelhadas, em doentes de pele muito clara.</w:t>
      </w:r>
    </w:p>
    <w:p>
      <w:pPr>
        <w:pStyle w:val="BodyText"/>
        <w:spacing w:line="276" w:lineRule="auto" w:before="48"/>
        <w:ind w:right="500"/>
      </w:pPr>
      <w:r>
        <w:rPr/>
        <w:t>Tratamentos alternativos, como o uso de espumas de produtos químicos, </w:t>
      </w:r>
      <w:r>
        <w:rPr>
          <w:i/>
        </w:rPr>
        <w:t>laser </w:t>
      </w:r>
      <w:r>
        <w:rPr/>
        <w:t>intravenoso e radiofrequência, têm resultados discutíveis, e alguns não foram aprovados pelos órgãos controladores de medicamentos e terapias. Logo, por enquanto não devem ser indicados.</w:t>
      </w:r>
    </w:p>
    <w:p>
      <w:pPr>
        <w:pStyle w:val="BodyText"/>
        <w:spacing w:before="0"/>
        <w:ind w:left="0" w:firstLine="0"/>
        <w:jc w:val="left"/>
      </w:pPr>
    </w:p>
    <w:p>
      <w:pPr>
        <w:pStyle w:val="BodyText"/>
        <w:spacing w:before="9"/>
        <w:ind w:left="0" w:firstLine="0"/>
        <w:jc w:val="left"/>
      </w:pPr>
    </w:p>
    <w:p>
      <w:pPr>
        <w:pStyle w:val="Heading3"/>
        <w:ind w:left="298" w:right="0"/>
        <w:jc w:val="both"/>
      </w:pPr>
      <w:r>
        <w:rPr>
          <w:color w:val="242B67"/>
        </w:rPr>
        <w:t>Trombose</w:t>
      </w:r>
      <w:r>
        <w:rPr>
          <w:color w:val="242B67"/>
          <w:spacing w:val="18"/>
        </w:rPr>
        <w:t> </w:t>
      </w:r>
      <w:r>
        <w:rPr>
          <w:color w:val="242B67"/>
        </w:rPr>
        <w:t>Venosa</w:t>
      </w:r>
      <w:r>
        <w:rPr>
          <w:color w:val="242B67"/>
          <w:spacing w:val="18"/>
        </w:rPr>
        <w:t> </w:t>
      </w:r>
      <w:r>
        <w:rPr>
          <w:color w:val="242B67"/>
        </w:rPr>
        <w:t>Profunda</w:t>
      </w:r>
      <w:r>
        <w:rPr>
          <w:color w:val="242B67"/>
          <w:spacing w:val="18"/>
        </w:rPr>
        <w:t> </w:t>
      </w:r>
      <w:r>
        <w:rPr>
          <w:color w:val="242B67"/>
        </w:rPr>
        <w:t>Aguda</w:t>
      </w:r>
      <w:r>
        <w:rPr>
          <w:color w:val="242B67"/>
          <w:spacing w:val="18"/>
        </w:rPr>
        <w:t> </w:t>
      </w:r>
      <w:r>
        <w:rPr>
          <w:color w:val="242B67"/>
        </w:rPr>
        <w:t>dos</w:t>
      </w:r>
      <w:r>
        <w:rPr>
          <w:color w:val="242B67"/>
          <w:spacing w:val="18"/>
        </w:rPr>
        <w:t> </w:t>
      </w:r>
      <w:r>
        <w:rPr>
          <w:color w:val="242B67"/>
        </w:rPr>
        <w:t>Membros</w:t>
      </w:r>
      <w:r>
        <w:rPr>
          <w:color w:val="242B67"/>
          <w:spacing w:val="18"/>
        </w:rPr>
        <w:t> </w:t>
      </w:r>
      <w:r>
        <w:rPr>
          <w:color w:val="242B67"/>
          <w:spacing w:val="-2"/>
        </w:rPr>
        <w:t>Inferiores</w:t>
      </w:r>
    </w:p>
    <w:p>
      <w:pPr>
        <w:pStyle w:val="BodyText"/>
        <w:spacing w:before="6"/>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28800">
                <wp:simplePos x="0" y="0"/>
                <wp:positionH relativeFrom="page">
                  <wp:posOffset>401543</wp:posOffset>
                </wp:positionH>
                <wp:positionV relativeFrom="paragraph">
                  <wp:posOffset>41089</wp:posOffset>
                </wp:positionV>
                <wp:extent cx="6753225" cy="10795"/>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35392pt;width:531.731217pt;height:.8008pt;mso-position-horizontal-relative:page;mso-position-vertical-relative:paragraph;z-index:-15687680;mso-wrap-distance-left:0;mso-wrap-distance-right:0" id="docshape51" filled="true" fillcolor="#242b67" stroked="false">
                <v:fill type="solid"/>
                <w10:wrap type="topAndBottom"/>
              </v:rect>
            </w:pict>
          </mc:Fallback>
        </mc:AlternateContent>
      </w:r>
    </w:p>
    <w:p>
      <w:pPr>
        <w:spacing w:before="117"/>
        <w:ind w:left="68" w:right="0" w:firstLine="0"/>
        <w:jc w:val="both"/>
        <w:rPr>
          <w:rFonts w:ascii="Arial" w:hAnsi="Arial"/>
          <w:i/>
          <w:sz w:val="25"/>
        </w:rPr>
      </w:pPr>
      <w:r>
        <w:rPr>
          <w:rFonts w:ascii="Arial" w:hAnsi="Arial"/>
          <w:i/>
          <w:sz w:val="25"/>
        </w:rPr>
        <w:t>Calógero</w:t>
      </w:r>
      <w:r>
        <w:rPr>
          <w:rFonts w:ascii="Arial" w:hAnsi="Arial"/>
          <w:i/>
          <w:spacing w:val="13"/>
          <w:sz w:val="25"/>
        </w:rPr>
        <w:t> </w:t>
      </w:r>
      <w:r>
        <w:rPr>
          <w:rFonts w:ascii="Arial" w:hAnsi="Arial"/>
          <w:i/>
          <w:sz w:val="25"/>
        </w:rPr>
        <w:t>Presti</w:t>
      </w:r>
      <w:r>
        <w:rPr>
          <w:rFonts w:ascii="Arial" w:hAnsi="Arial"/>
          <w:i/>
          <w:spacing w:val="13"/>
          <w:sz w:val="25"/>
        </w:rPr>
        <w:t> </w:t>
      </w:r>
      <w:r>
        <w:rPr>
          <w:rFonts w:ascii="Arial" w:hAnsi="Arial"/>
          <w:i/>
          <w:sz w:val="25"/>
        </w:rPr>
        <w:t>e</w:t>
      </w:r>
      <w:r>
        <w:rPr>
          <w:rFonts w:ascii="Arial" w:hAnsi="Arial"/>
          <w:i/>
          <w:spacing w:val="13"/>
          <w:sz w:val="25"/>
        </w:rPr>
        <w:t> </w:t>
      </w:r>
      <w:r>
        <w:rPr>
          <w:rFonts w:ascii="Arial" w:hAnsi="Arial"/>
          <w:i/>
          <w:sz w:val="25"/>
        </w:rPr>
        <w:t>Paulo</w:t>
      </w:r>
      <w:r>
        <w:rPr>
          <w:rFonts w:ascii="Arial" w:hAnsi="Arial"/>
          <w:i/>
          <w:spacing w:val="13"/>
          <w:sz w:val="25"/>
        </w:rPr>
        <w:t> </w:t>
      </w:r>
      <w:r>
        <w:rPr>
          <w:rFonts w:ascii="Arial" w:hAnsi="Arial"/>
          <w:i/>
          <w:spacing w:val="-2"/>
          <w:sz w:val="25"/>
        </w:rPr>
        <w:t>Kauffman</w:t>
      </w:r>
    </w:p>
    <w:p>
      <w:pPr>
        <w:pStyle w:val="BodyText"/>
        <w:spacing w:before="199"/>
        <w:ind w:left="0" w:firstLine="0"/>
        <w:jc w:val="left"/>
        <w:rPr>
          <w:rFonts w:ascii="Arial"/>
          <w:i/>
          <w:sz w:val="25"/>
        </w:rPr>
      </w:pPr>
    </w:p>
    <w:p>
      <w:pPr>
        <w:pStyle w:val="Heading4"/>
      </w:pPr>
      <w:r>
        <w:rPr>
          <w:color w:val="242B67"/>
          <w:spacing w:val="-2"/>
        </w:rPr>
        <w:t>Introdução</w:t>
      </w:r>
    </w:p>
    <w:p>
      <w:pPr>
        <w:pStyle w:val="BodyText"/>
        <w:spacing w:line="276" w:lineRule="auto" w:before="148"/>
        <w:ind w:right="491"/>
      </w:pPr>
      <w:r>
        <w:rPr/>
        <w:t>A trombose venosa profunda (TVP) aguda é a oclusão parcial ou total de veia profunda por trombo com inflamação primária ou secundária da parede do vaso. A TVP dos membros inferiores assume interesse particular, quer seja por sua alta incidência como devido ao tromboembolismo pulmonar (TEP) e às sequelas de hipertensão venosa</w:t>
      </w:r>
      <w:r>
        <w:rPr>
          <w:spacing w:val="-2"/>
        </w:rPr>
        <w:t> </w:t>
      </w:r>
      <w:r>
        <w:rPr/>
        <w:t>crônica</w:t>
      </w:r>
      <w:r>
        <w:rPr>
          <w:spacing w:val="-2"/>
        </w:rPr>
        <w:t> </w:t>
      </w:r>
      <w:r>
        <w:rPr/>
        <w:t>que</w:t>
      </w:r>
      <w:r>
        <w:rPr>
          <w:spacing w:val="-2"/>
        </w:rPr>
        <w:t> </w:t>
      </w:r>
      <w:r>
        <w:rPr/>
        <w:t>pode</w:t>
      </w:r>
      <w:r>
        <w:rPr>
          <w:spacing w:val="-2"/>
        </w:rPr>
        <w:t> </w:t>
      </w:r>
      <w:r>
        <w:rPr/>
        <w:t>provocar. Nem sempre</w:t>
      </w:r>
      <w:r>
        <w:rPr>
          <w:spacing w:val="-2"/>
        </w:rPr>
        <w:t> </w:t>
      </w:r>
      <w:r>
        <w:rPr/>
        <w:t>é</w:t>
      </w:r>
      <w:r>
        <w:rPr>
          <w:spacing w:val="-2"/>
        </w:rPr>
        <w:t> </w:t>
      </w:r>
      <w:r>
        <w:rPr/>
        <w:t>reconhecida</w:t>
      </w:r>
      <w:r>
        <w:rPr>
          <w:spacing w:val="-2"/>
        </w:rPr>
        <w:t> </w:t>
      </w:r>
      <w:r>
        <w:rPr/>
        <w:t>na</w:t>
      </w:r>
      <w:r>
        <w:rPr>
          <w:spacing w:val="-2"/>
        </w:rPr>
        <w:t> </w:t>
      </w:r>
      <w:r>
        <w:rPr/>
        <w:t>fase</w:t>
      </w:r>
      <w:r>
        <w:rPr>
          <w:spacing w:val="-2"/>
        </w:rPr>
        <w:t> </w:t>
      </w:r>
      <w:r>
        <w:rPr/>
        <w:t>aguda, podendo determinar morte</w:t>
      </w:r>
      <w:r>
        <w:rPr>
          <w:spacing w:val="-2"/>
        </w:rPr>
        <w:t> </w:t>
      </w:r>
      <w:r>
        <w:rPr/>
        <w:t>súbita</w:t>
      </w:r>
      <w:r>
        <w:rPr>
          <w:spacing w:val="-2"/>
        </w:rPr>
        <w:t> </w:t>
      </w:r>
      <w:r>
        <w:rPr/>
        <w:t>por embolia</w:t>
      </w:r>
      <w:r>
        <w:rPr>
          <w:spacing w:val="-8"/>
        </w:rPr>
        <w:t> </w:t>
      </w:r>
      <w:r>
        <w:rPr/>
        <w:t>pulmonar</w:t>
      </w:r>
      <w:r>
        <w:rPr>
          <w:spacing w:val="-2"/>
        </w:rPr>
        <w:t> </w:t>
      </w:r>
      <w:r>
        <w:rPr/>
        <w:t>(EP). Acomete</w:t>
      </w:r>
      <w:r>
        <w:rPr>
          <w:spacing w:val="-8"/>
        </w:rPr>
        <w:t> </w:t>
      </w:r>
      <w:r>
        <w:rPr/>
        <w:t>pacientes hospitalizados no</w:t>
      </w:r>
      <w:r>
        <w:rPr>
          <w:spacing w:val="-6"/>
        </w:rPr>
        <w:t> </w:t>
      </w:r>
      <w:r>
        <w:rPr/>
        <w:t>período</w:t>
      </w:r>
      <w:r>
        <w:rPr>
          <w:spacing w:val="-6"/>
        </w:rPr>
        <w:t> </w:t>
      </w:r>
      <w:r>
        <w:rPr/>
        <w:t>pós-operatório, gestantes, politraumatizados, portadores de doenças inflamatórias, infecciosas, degenerativas, e muitas vezes pacientes sem sinais de outras patologias. Estudos realizados nos EUA</w:t>
      </w:r>
      <w:r>
        <w:rPr>
          <w:spacing w:val="-10"/>
        </w:rPr>
        <w:t> </w:t>
      </w:r>
      <w:r>
        <w:rPr/>
        <w:t>mostram</w:t>
      </w:r>
      <w:r>
        <w:rPr>
          <w:spacing w:val="-7"/>
        </w:rPr>
        <w:t> </w:t>
      </w:r>
      <w:r>
        <w:rPr/>
        <w:t>que</w:t>
      </w:r>
      <w:r>
        <w:rPr>
          <w:spacing w:val="-10"/>
        </w:rPr>
        <w:t> </w:t>
      </w:r>
      <w:r>
        <w:rPr/>
        <w:t>anualmente</w:t>
      </w:r>
      <w:r>
        <w:rPr>
          <w:spacing w:val="-10"/>
        </w:rPr>
        <w:t> </w:t>
      </w:r>
      <w:r>
        <w:rPr/>
        <w:t>cerca</w:t>
      </w:r>
      <w:r>
        <w:rPr>
          <w:spacing w:val="-10"/>
        </w:rPr>
        <w:t> </w:t>
      </w:r>
      <w:r>
        <w:rPr/>
        <w:t>de</w:t>
      </w:r>
      <w:r>
        <w:rPr>
          <w:spacing w:val="-10"/>
        </w:rPr>
        <w:t> </w:t>
      </w:r>
      <w:r>
        <w:rPr/>
        <w:t>600</w:t>
      </w:r>
      <w:r>
        <w:rPr>
          <w:spacing w:val="-7"/>
        </w:rPr>
        <w:t> </w:t>
      </w:r>
      <w:r>
        <w:rPr/>
        <w:t>mil</w:t>
      </w:r>
      <w:r>
        <w:rPr>
          <w:spacing w:val="-5"/>
        </w:rPr>
        <w:t> </w:t>
      </w:r>
      <w:r>
        <w:rPr/>
        <w:t>pessoas apresentam</w:t>
      </w:r>
      <w:r>
        <w:rPr>
          <w:spacing w:val="-7"/>
        </w:rPr>
        <w:t> </w:t>
      </w:r>
      <w:r>
        <w:rPr/>
        <w:t>TEP</w:t>
      </w:r>
      <w:r>
        <w:rPr>
          <w:spacing w:val="-5"/>
        </w:rPr>
        <w:t> </w:t>
      </w:r>
      <w:r>
        <w:rPr/>
        <w:t>e</w:t>
      </w:r>
      <w:r>
        <w:rPr>
          <w:spacing w:val="-10"/>
        </w:rPr>
        <w:t> </w:t>
      </w:r>
      <w:r>
        <w:rPr/>
        <w:t>cerca de 60 mil evoluem para o óbito.</w:t>
      </w:r>
    </w:p>
    <w:p>
      <w:pPr>
        <w:pStyle w:val="BodyText"/>
        <w:spacing w:before="186"/>
        <w:ind w:left="0" w:firstLine="0"/>
        <w:jc w:val="left"/>
      </w:pPr>
    </w:p>
    <w:p>
      <w:pPr>
        <w:pStyle w:val="Heading4"/>
        <w:spacing w:before="1"/>
      </w:pPr>
      <w:r>
        <w:rPr>
          <w:color w:val="242B67"/>
          <w:spacing w:val="-2"/>
        </w:rPr>
        <w:t>Fisiopatologia</w:t>
      </w:r>
    </w:p>
    <w:p>
      <w:pPr>
        <w:pStyle w:val="BodyText"/>
        <w:spacing w:line="276" w:lineRule="auto" w:before="131"/>
        <w:ind w:right="497"/>
      </w:pPr>
      <w:r>
        <w:rPr/>
        <w:t>Em 1860, Virchow atribuiu grande importância à estase venosa crônica dos membros e estabeleceu os princípios básicos da fisiopatologia da trombose venosa que são conhecidos até hoje como tríade de Virchow, na qual se admite que três elementos se mesclam em maior ou menor grau, resultando na formação do coágulo intravascular: a</w:t>
      </w:r>
      <w:r>
        <w:rPr>
          <w:spacing w:val="-1"/>
        </w:rPr>
        <w:t> </w:t>
      </w:r>
      <w:r>
        <w:rPr/>
        <w:t>estase</w:t>
      </w:r>
      <w:r>
        <w:rPr>
          <w:spacing w:val="-1"/>
        </w:rPr>
        <w:t> </w:t>
      </w:r>
      <w:r>
        <w:rPr/>
        <w:t>venosa, a</w:t>
      </w:r>
      <w:r>
        <w:rPr>
          <w:spacing w:val="-1"/>
        </w:rPr>
        <w:t> </w:t>
      </w:r>
      <w:r>
        <w:rPr/>
        <w:t>lesão endotelial e</w:t>
      </w:r>
      <w:r>
        <w:rPr>
          <w:spacing w:val="-1"/>
        </w:rPr>
        <w:t> </w:t>
      </w:r>
      <w:r>
        <w:rPr/>
        <w:t>a</w:t>
      </w:r>
      <w:r>
        <w:rPr>
          <w:spacing w:val="-1"/>
        </w:rPr>
        <w:t> </w:t>
      </w:r>
      <w:r>
        <w:rPr/>
        <w:t>hipercoagulabilidade</w:t>
      </w:r>
      <w:r>
        <w:rPr>
          <w:spacing w:val="-1"/>
        </w:rPr>
        <w:t> </w:t>
      </w:r>
      <w:r>
        <w:rPr/>
        <w:t>sanguínea. Os dois primeiros constituem os fatores desencadeantes do processo trombótico, ao passo que a hipercoagulabilidade pode ser considerada um fator predisponente</w:t>
      </w:r>
      <w:r>
        <w:rPr>
          <w:spacing w:val="-3"/>
        </w:rPr>
        <w:t> </w:t>
      </w:r>
      <w:r>
        <w:rPr/>
        <w:t>nas situações clínicas que</w:t>
      </w:r>
      <w:r>
        <w:rPr>
          <w:spacing w:val="-3"/>
        </w:rPr>
        <w:t> </w:t>
      </w:r>
      <w:r>
        <w:rPr/>
        <w:t>induzem ao “estado trombogênico”.</w:t>
      </w:r>
    </w:p>
    <w:p>
      <w:pPr>
        <w:pStyle w:val="BodyText"/>
        <w:spacing w:line="276" w:lineRule="auto" w:before="49"/>
        <w:ind w:right="491"/>
      </w:pPr>
      <w:r>
        <w:rPr/>
        <w:t>O trauma endotelial desencadeia as reações em cascata da coagulação por três vias: (1) exposição do tecido subendotelial, ativando a tromboplastina tecidual; (2) liberação do fator de necrose tumoral; (3) liberação de interleucina-1</w:t>
      </w:r>
      <w:r>
        <w:rPr>
          <w:spacing w:val="-3"/>
        </w:rPr>
        <w:t> </w:t>
      </w:r>
      <w:r>
        <w:rPr/>
        <w:t>pelas células endoteliais e</w:t>
      </w:r>
      <w:r>
        <w:rPr>
          <w:spacing w:val="-6"/>
        </w:rPr>
        <w:t> </w:t>
      </w:r>
      <w:r>
        <w:rPr/>
        <w:t>por toxinas liberadas em</w:t>
      </w:r>
      <w:r>
        <w:rPr>
          <w:spacing w:val="-3"/>
        </w:rPr>
        <w:t> </w:t>
      </w:r>
      <w:r>
        <w:rPr/>
        <w:t>consequência</w:t>
      </w:r>
      <w:r>
        <w:rPr>
          <w:spacing w:val="-6"/>
        </w:rPr>
        <w:t> </w:t>
      </w:r>
      <w:r>
        <w:rPr/>
        <w:t>da</w:t>
      </w:r>
      <w:r>
        <w:rPr>
          <w:spacing w:val="-6"/>
        </w:rPr>
        <w:t> </w:t>
      </w:r>
      <w:r>
        <w:rPr/>
        <w:t>necrose</w:t>
      </w:r>
      <w:r>
        <w:rPr>
          <w:spacing w:val="-6"/>
        </w:rPr>
        <w:t> </w:t>
      </w:r>
      <w:r>
        <w:rPr/>
        <w:t>ou</w:t>
      </w:r>
      <w:r>
        <w:rPr>
          <w:spacing w:val="-3"/>
        </w:rPr>
        <w:t> </w:t>
      </w:r>
      <w:r>
        <w:rPr/>
        <w:t>lesão</w:t>
      </w:r>
      <w:r>
        <w:rPr>
          <w:spacing w:val="-3"/>
        </w:rPr>
        <w:t> </w:t>
      </w:r>
      <w:r>
        <w:rPr/>
        <w:t>tecidual.</w:t>
      </w:r>
    </w:p>
    <w:p>
      <w:pPr>
        <w:pStyle w:val="BodyText"/>
        <w:spacing w:line="276" w:lineRule="auto"/>
        <w:ind w:right="491"/>
      </w:pPr>
      <w:r>
        <w:rPr/>
        <w:t>A hipercoagulabilidade sanguínea desempenha papel fundamental na gênese da TVP. Estados fisiológicos ou patológicos como gestação, puerpério, reposição hormonal, neoplasias e infecções sistêmicas podem elevar os níveis séricos dos fatores de coagulação e diminuir de maneira transitória ou permanente os inibidores da ativação dos mecanismos da coagulação sanguínea.</w:t>
      </w:r>
    </w:p>
    <w:p>
      <w:pPr>
        <w:pStyle w:val="BodyText"/>
        <w:spacing w:line="276" w:lineRule="auto"/>
        <w:ind w:right="498"/>
      </w:pPr>
      <w:r>
        <w:rPr/>
        <w:t>A estase venosa pode levar à ampliação dos efeitos descritos pela diminuição da depuração dos fatores trombogênicos,</w:t>
      </w:r>
      <w:r>
        <w:rPr>
          <w:spacing w:val="75"/>
          <w:w w:val="150"/>
        </w:rPr>
        <w:t> </w:t>
      </w:r>
      <w:r>
        <w:rPr/>
        <w:t>aumentando</w:t>
      </w:r>
      <w:r>
        <w:rPr>
          <w:spacing w:val="80"/>
        </w:rPr>
        <w:t> </w:t>
      </w:r>
      <w:r>
        <w:rPr/>
        <w:t>seu</w:t>
      </w:r>
      <w:r>
        <w:rPr>
          <w:spacing w:val="80"/>
        </w:rPr>
        <w:t> </w:t>
      </w:r>
      <w:r>
        <w:rPr/>
        <w:t>tempo</w:t>
      </w:r>
      <w:r>
        <w:rPr>
          <w:spacing w:val="80"/>
        </w:rPr>
        <w:t> </w:t>
      </w:r>
      <w:r>
        <w:rPr/>
        <w:t>de</w:t>
      </w:r>
      <w:r>
        <w:rPr>
          <w:spacing w:val="80"/>
        </w:rPr>
        <w:t> </w:t>
      </w:r>
      <w:r>
        <w:rPr/>
        <w:t>ação</w:t>
      </w:r>
      <w:r>
        <w:rPr>
          <w:spacing w:val="80"/>
        </w:rPr>
        <w:t> </w:t>
      </w:r>
      <w:r>
        <w:rPr/>
        <w:t>e</w:t>
      </w:r>
      <w:r>
        <w:rPr>
          <w:spacing w:val="80"/>
        </w:rPr>
        <w:t> </w:t>
      </w:r>
      <w:r>
        <w:rPr/>
        <w:t>reduzindo</w:t>
      </w:r>
      <w:r>
        <w:rPr>
          <w:spacing w:val="80"/>
        </w:rPr>
        <w:t> </w:t>
      </w:r>
      <w:r>
        <w:rPr/>
        <w:t>a</w:t>
      </w:r>
      <w:r>
        <w:rPr>
          <w:spacing w:val="80"/>
        </w:rPr>
        <w:t> </w:t>
      </w:r>
      <w:r>
        <w:rPr/>
        <w:t>chegada</w:t>
      </w:r>
      <w:r>
        <w:rPr>
          <w:spacing w:val="80"/>
        </w:rPr>
        <w:t> </w:t>
      </w:r>
      <w:r>
        <w:rPr/>
        <w:t>de</w:t>
      </w:r>
      <w:r>
        <w:rPr>
          <w:spacing w:val="80"/>
        </w:rPr>
        <w:t> </w:t>
      </w:r>
      <w:r>
        <w:rPr/>
        <w:t>trombomodulina,</w:t>
      </w:r>
      <w:r>
        <w:rPr>
          <w:spacing w:val="75"/>
          <w:w w:val="150"/>
        </w:rPr>
        <w:t> </w:t>
      </w:r>
      <w:r>
        <w:rPr/>
        <w:t>importante</w:t>
      </w:r>
    </w:p>
    <w:p>
      <w:pPr>
        <w:pStyle w:val="BodyText"/>
        <w:spacing w:after="0" w:line="276" w:lineRule="auto"/>
        <w:sectPr>
          <w:pgSz w:w="11900" w:h="16840"/>
          <w:pgMar w:top="160" w:bottom="280" w:left="566" w:right="141"/>
        </w:sectPr>
      </w:pPr>
    </w:p>
    <w:p>
      <w:pPr>
        <w:pStyle w:val="BodyText"/>
        <w:ind w:firstLine="0"/>
      </w:pPr>
      <w:r>
        <w:rPr>
          <w:spacing w:val="-2"/>
        </w:rPr>
        <w:t>anticoagulante</w:t>
      </w:r>
      <w:r>
        <w:rPr>
          <w:spacing w:val="-9"/>
        </w:rPr>
        <w:t> </w:t>
      </w:r>
      <w:r>
        <w:rPr>
          <w:spacing w:val="-2"/>
        </w:rPr>
        <w:t>natural</w:t>
      </w:r>
      <w:r>
        <w:rPr>
          <w:spacing w:val="-4"/>
        </w:rPr>
        <w:t> </w:t>
      </w:r>
      <w:r>
        <w:rPr>
          <w:spacing w:val="-2"/>
        </w:rPr>
        <w:t>produzido</w:t>
      </w:r>
      <w:r>
        <w:rPr>
          <w:spacing w:val="-7"/>
        </w:rPr>
        <w:t> </w:t>
      </w:r>
      <w:r>
        <w:rPr>
          <w:spacing w:val="-2"/>
        </w:rPr>
        <w:t>pelas</w:t>
      </w:r>
      <w:r>
        <w:rPr>
          <w:spacing w:val="1"/>
        </w:rPr>
        <w:t> </w:t>
      </w:r>
      <w:r>
        <w:rPr>
          <w:spacing w:val="-2"/>
        </w:rPr>
        <w:t>células</w:t>
      </w:r>
      <w:r>
        <w:rPr>
          <w:spacing w:val="2"/>
        </w:rPr>
        <w:t> </w:t>
      </w:r>
      <w:r>
        <w:rPr>
          <w:spacing w:val="-2"/>
        </w:rPr>
        <w:t>endoteliais.</w:t>
      </w:r>
    </w:p>
    <w:p>
      <w:pPr>
        <w:pStyle w:val="BodyText"/>
        <w:spacing w:line="276" w:lineRule="auto" w:before="103"/>
        <w:ind w:right="491"/>
      </w:pPr>
      <w:r>
        <w:rPr/>
        <w:t>A TVP costuma ocorrer no pós-operatório de cirurgia de grande porte e em politraumatizados devido ao aumento dos fatores de coagulação, diminuição da atividade fibrinolítica e imobilidade. Pacientes submetidos a cirurgias ortopédicas, em especial artroplastia</w:t>
      </w:r>
      <w:r>
        <w:rPr>
          <w:spacing w:val="-1"/>
        </w:rPr>
        <w:t> </w:t>
      </w:r>
      <w:r>
        <w:rPr/>
        <w:t>do joelho e</w:t>
      </w:r>
      <w:r>
        <w:rPr>
          <w:spacing w:val="-1"/>
        </w:rPr>
        <w:t> </w:t>
      </w:r>
      <w:r>
        <w:rPr/>
        <w:t>quadril, apresentam alta</w:t>
      </w:r>
      <w:r>
        <w:rPr>
          <w:spacing w:val="-1"/>
        </w:rPr>
        <w:t> </w:t>
      </w:r>
      <w:r>
        <w:rPr/>
        <w:t>incidência</w:t>
      </w:r>
      <w:r>
        <w:rPr>
          <w:spacing w:val="-1"/>
        </w:rPr>
        <w:t> </w:t>
      </w:r>
      <w:r>
        <w:rPr/>
        <w:t>de</w:t>
      </w:r>
      <w:r>
        <w:rPr>
          <w:spacing w:val="-1"/>
        </w:rPr>
        <w:t> </w:t>
      </w:r>
      <w:r>
        <w:rPr/>
        <w:t>TVP.</w:t>
      </w:r>
    </w:p>
    <w:p>
      <w:pPr>
        <w:pStyle w:val="BodyText"/>
        <w:spacing w:line="290" w:lineRule="auto" w:before="49"/>
        <w:ind w:right="491"/>
      </w:pPr>
      <w:r>
        <w:rPr/>
        <w:t>Tumores malignos, idade avançada, insuficiência cardíaca, história prévia de TVP e obesidade também são considerados fatores de risco para a doença tromboembólica.</w:t>
      </w:r>
      <w:r>
        <w:rPr>
          <w:vertAlign w:val="superscript"/>
        </w:rPr>
        <w:t>1</w:t>
      </w:r>
    </w:p>
    <w:p>
      <w:pPr>
        <w:pStyle w:val="BodyText"/>
        <w:spacing w:line="276" w:lineRule="auto" w:before="49"/>
        <w:ind w:right="488"/>
      </w:pPr>
      <w:r>
        <w:rPr/>
        <w:t>O</w:t>
      </w:r>
      <w:r>
        <w:rPr>
          <w:spacing w:val="-9"/>
        </w:rPr>
        <w:t> </w:t>
      </w:r>
      <w:r>
        <w:rPr/>
        <w:t>coágulo</w:t>
      </w:r>
      <w:r>
        <w:rPr>
          <w:spacing w:val="-7"/>
        </w:rPr>
        <w:t> </w:t>
      </w:r>
      <w:r>
        <w:rPr/>
        <w:t>na</w:t>
      </w:r>
      <w:r>
        <w:rPr>
          <w:spacing w:val="-9"/>
        </w:rPr>
        <w:t> </w:t>
      </w:r>
      <w:r>
        <w:rPr/>
        <w:t>TVP</w:t>
      </w:r>
      <w:r>
        <w:rPr>
          <w:spacing w:val="-4"/>
        </w:rPr>
        <w:t> </w:t>
      </w:r>
      <w:r>
        <w:rPr/>
        <w:t>é</w:t>
      </w:r>
      <w:r>
        <w:rPr>
          <w:spacing w:val="-9"/>
        </w:rPr>
        <w:t> </w:t>
      </w:r>
      <w:r>
        <w:rPr/>
        <w:t>formado, em</w:t>
      </w:r>
      <w:r>
        <w:rPr>
          <w:spacing w:val="-7"/>
        </w:rPr>
        <w:t> </w:t>
      </w:r>
      <w:r>
        <w:rPr/>
        <w:t>sua</w:t>
      </w:r>
      <w:r>
        <w:rPr>
          <w:spacing w:val="-9"/>
        </w:rPr>
        <w:t> </w:t>
      </w:r>
      <w:r>
        <w:rPr/>
        <w:t>maior</w:t>
      </w:r>
      <w:r>
        <w:rPr>
          <w:spacing w:val="-2"/>
        </w:rPr>
        <w:t> </w:t>
      </w:r>
      <w:r>
        <w:rPr/>
        <w:t>parte, de</w:t>
      </w:r>
      <w:r>
        <w:rPr>
          <w:spacing w:val="-9"/>
        </w:rPr>
        <w:t> </w:t>
      </w:r>
      <w:r>
        <w:rPr/>
        <w:t>fibrina</w:t>
      </w:r>
      <w:r>
        <w:rPr>
          <w:spacing w:val="-9"/>
        </w:rPr>
        <w:t> </w:t>
      </w:r>
      <w:r>
        <w:rPr/>
        <w:t>e</w:t>
      </w:r>
      <w:r>
        <w:rPr>
          <w:spacing w:val="-9"/>
        </w:rPr>
        <w:t> </w:t>
      </w:r>
      <w:r>
        <w:rPr/>
        <w:t>hemácias, e</w:t>
      </w:r>
      <w:r>
        <w:rPr>
          <w:spacing w:val="-9"/>
        </w:rPr>
        <w:t> </w:t>
      </w:r>
      <w:r>
        <w:rPr/>
        <w:t>em</w:t>
      </w:r>
      <w:r>
        <w:rPr>
          <w:spacing w:val="-7"/>
        </w:rPr>
        <w:t> </w:t>
      </w:r>
      <w:r>
        <w:rPr/>
        <w:t>menor</w:t>
      </w:r>
      <w:r>
        <w:rPr>
          <w:spacing w:val="-2"/>
        </w:rPr>
        <w:t> </w:t>
      </w:r>
      <w:r>
        <w:rPr/>
        <w:t>quantidade, de</w:t>
      </w:r>
      <w:r>
        <w:rPr>
          <w:spacing w:val="-9"/>
        </w:rPr>
        <w:t> </w:t>
      </w:r>
      <w:r>
        <w:rPr/>
        <w:t>plaquetas e leucócitos. Inicia-se em geral em regiões de fluxo turbulento das cúspides valvulares das veias profundas da panturrilha. Permanecendo os fatores que provocaram sua formação, o trombo inicial aumenta e progride nos sentidos distal e</w:t>
      </w:r>
      <w:r>
        <w:rPr>
          <w:spacing w:val="-2"/>
        </w:rPr>
        <w:t> </w:t>
      </w:r>
      <w:r>
        <w:rPr/>
        <w:t>proximal, atingindo veias maiores e</w:t>
      </w:r>
      <w:r>
        <w:rPr>
          <w:spacing w:val="-2"/>
        </w:rPr>
        <w:t> </w:t>
      </w:r>
      <w:r>
        <w:rPr/>
        <w:t>alcançando troncos coletores principais.</w:t>
      </w:r>
    </w:p>
    <w:p>
      <w:pPr>
        <w:pStyle w:val="BodyText"/>
        <w:spacing w:line="276" w:lineRule="auto" w:before="48"/>
        <w:ind w:right="488"/>
      </w:pPr>
      <w:r>
        <w:rPr/>
        <w:t>No trombo é possível distinguir três partes: a cabeça, parte inicial aderente à parede da veia, o corpo, aderente parcial ou totalmente à parede da veia e a cauda, parte flutuante, livre na corrente sanguínea e que pode se fragmentar e produzir TEP. Quanto mais lento o fluxo sanguíneo, maior e mais rápido será o comprimento do trombo, possibilitando a formação de caudas compridas e grossas que, ao se soltar, ocasionam embolias mais graves. Quanto</w:t>
      </w:r>
      <w:r>
        <w:rPr>
          <w:spacing w:val="-1"/>
        </w:rPr>
        <w:t> </w:t>
      </w:r>
      <w:r>
        <w:rPr/>
        <w:t>mais extensa</w:t>
      </w:r>
      <w:r>
        <w:rPr>
          <w:spacing w:val="-4"/>
        </w:rPr>
        <w:t> </w:t>
      </w:r>
      <w:r>
        <w:rPr/>
        <w:t>a</w:t>
      </w:r>
      <w:r>
        <w:rPr>
          <w:spacing w:val="-4"/>
        </w:rPr>
        <w:t> </w:t>
      </w:r>
      <w:r>
        <w:rPr/>
        <w:t>propagação, tanto</w:t>
      </w:r>
      <w:r>
        <w:rPr>
          <w:spacing w:val="-1"/>
        </w:rPr>
        <w:t> </w:t>
      </w:r>
      <w:r>
        <w:rPr/>
        <w:t>mais graves o</w:t>
      </w:r>
      <w:r>
        <w:rPr>
          <w:spacing w:val="-1"/>
        </w:rPr>
        <w:t> </w:t>
      </w:r>
      <w:r>
        <w:rPr/>
        <w:t>quadro</w:t>
      </w:r>
      <w:r>
        <w:rPr>
          <w:spacing w:val="-1"/>
        </w:rPr>
        <w:t> </w:t>
      </w:r>
      <w:r>
        <w:rPr/>
        <w:t>clínico</w:t>
      </w:r>
      <w:r>
        <w:rPr>
          <w:spacing w:val="-1"/>
        </w:rPr>
        <w:t> </w:t>
      </w:r>
      <w:r>
        <w:rPr/>
        <w:t>e</w:t>
      </w:r>
      <w:r>
        <w:rPr>
          <w:spacing w:val="-4"/>
        </w:rPr>
        <w:t> </w:t>
      </w:r>
      <w:r>
        <w:rPr/>
        <w:t>as sequelas a</w:t>
      </w:r>
      <w:r>
        <w:rPr>
          <w:spacing w:val="-4"/>
        </w:rPr>
        <w:t> </w:t>
      </w:r>
      <w:r>
        <w:rPr/>
        <w:t>longo</w:t>
      </w:r>
      <w:r>
        <w:rPr>
          <w:spacing w:val="-1"/>
        </w:rPr>
        <w:t> </w:t>
      </w:r>
      <w:r>
        <w:rPr/>
        <w:t>prazo.</w:t>
      </w:r>
    </w:p>
    <w:p>
      <w:pPr>
        <w:pStyle w:val="BodyText"/>
        <w:spacing w:before="186"/>
        <w:ind w:left="0" w:firstLine="0"/>
        <w:jc w:val="left"/>
      </w:pPr>
    </w:p>
    <w:p>
      <w:pPr>
        <w:pStyle w:val="Heading4"/>
        <w:jc w:val="both"/>
      </w:pPr>
      <w:r>
        <w:rPr>
          <w:color w:val="242B67"/>
        </w:rPr>
        <w:t>Trombose venosa profunda e </w:t>
      </w:r>
      <w:r>
        <w:rPr>
          <w:color w:val="242B67"/>
          <w:spacing w:val="-2"/>
        </w:rPr>
        <w:t>coagulação</w:t>
      </w:r>
    </w:p>
    <w:p>
      <w:pPr>
        <w:pStyle w:val="BodyText"/>
        <w:spacing w:line="276" w:lineRule="auto" w:before="148"/>
        <w:ind w:right="497"/>
      </w:pPr>
      <w:r>
        <w:rPr/>
        <w:t>As principais causas de</w:t>
      </w:r>
      <w:r>
        <w:rPr>
          <w:spacing w:val="-4"/>
        </w:rPr>
        <w:t> </w:t>
      </w:r>
      <w:r>
        <w:rPr/>
        <w:t>eventos oclusivos venosos são</w:t>
      </w:r>
      <w:r>
        <w:rPr>
          <w:spacing w:val="-2"/>
        </w:rPr>
        <w:t> </w:t>
      </w:r>
      <w:r>
        <w:rPr/>
        <w:t>as doenças hematológicas decorrentes de</w:t>
      </w:r>
      <w:r>
        <w:rPr>
          <w:spacing w:val="-4"/>
        </w:rPr>
        <w:t> </w:t>
      </w:r>
      <w:r>
        <w:rPr/>
        <w:t>alterações dos mecanismos de coagulação do sangue, dentre as quais se destacam as trombofilias hereditárias, a síndrome antifosfolipídio e</w:t>
      </w:r>
      <w:r>
        <w:rPr>
          <w:spacing w:val="-2"/>
        </w:rPr>
        <w:t> </w:t>
      </w:r>
      <w:r>
        <w:rPr/>
        <w:t>as alterações hemostáticas das doenças onco-hematológicas.</w:t>
      </w:r>
    </w:p>
    <w:p>
      <w:pPr>
        <w:pStyle w:val="BodyText"/>
        <w:spacing w:line="276" w:lineRule="auto" w:before="49"/>
        <w:ind w:right="500"/>
      </w:pPr>
      <w:r>
        <w:rPr/>
        <w:t>A</w:t>
      </w:r>
      <w:r>
        <w:rPr>
          <w:spacing w:val="-8"/>
        </w:rPr>
        <w:t> </w:t>
      </w:r>
      <w:r>
        <w:rPr/>
        <w:t>trombofilia</w:t>
      </w:r>
      <w:r>
        <w:rPr>
          <w:spacing w:val="-8"/>
        </w:rPr>
        <w:t> </w:t>
      </w:r>
      <w:r>
        <w:rPr/>
        <w:t>hereditária</w:t>
      </w:r>
      <w:r>
        <w:rPr>
          <w:spacing w:val="-8"/>
        </w:rPr>
        <w:t> </w:t>
      </w:r>
      <w:r>
        <w:rPr/>
        <w:t>é</w:t>
      </w:r>
      <w:r>
        <w:rPr>
          <w:spacing w:val="-8"/>
        </w:rPr>
        <w:t> </w:t>
      </w:r>
      <w:r>
        <w:rPr/>
        <w:t>causada</w:t>
      </w:r>
      <w:r>
        <w:rPr>
          <w:spacing w:val="-8"/>
        </w:rPr>
        <w:t> </w:t>
      </w:r>
      <w:r>
        <w:rPr/>
        <w:t>por defeito</w:t>
      </w:r>
      <w:r>
        <w:rPr>
          <w:spacing w:val="-6"/>
        </w:rPr>
        <w:t> </w:t>
      </w:r>
      <w:r>
        <w:rPr/>
        <w:t>genético</w:t>
      </w:r>
      <w:r>
        <w:rPr>
          <w:spacing w:val="-6"/>
        </w:rPr>
        <w:t> </w:t>
      </w:r>
      <w:r>
        <w:rPr/>
        <w:t>nas moléculas dos fatores anticoagulantes ou</w:t>
      </w:r>
      <w:r>
        <w:rPr>
          <w:spacing w:val="-6"/>
        </w:rPr>
        <w:t> </w:t>
      </w:r>
      <w:r>
        <w:rPr/>
        <w:t>em</w:t>
      </w:r>
      <w:r>
        <w:rPr>
          <w:spacing w:val="-6"/>
        </w:rPr>
        <w:t> </w:t>
      </w:r>
      <w:r>
        <w:rPr/>
        <w:t>outras proteínas de interação. Em geral se manifesta em grupos familiares, em indivíduos jovens, sadios, por vezes com episódios recorrentes de trombose venosa, sem causa aparente.</w:t>
      </w:r>
    </w:p>
    <w:p>
      <w:pPr>
        <w:pStyle w:val="BodyText"/>
        <w:spacing w:line="278" w:lineRule="auto" w:before="64"/>
        <w:ind w:right="497"/>
      </w:pPr>
      <w:r>
        <w:rPr/>
        <w:t>Considerava-se que as principais causas de trombofilia hereditária fossem as alterações moleculares das proteínas inibidoras da</w:t>
      </w:r>
      <w:r>
        <w:rPr>
          <w:spacing w:val="-3"/>
        </w:rPr>
        <w:t> </w:t>
      </w:r>
      <w:r>
        <w:rPr/>
        <w:t>coagulação, as proteínas C e</w:t>
      </w:r>
      <w:r>
        <w:rPr>
          <w:spacing w:val="-3"/>
        </w:rPr>
        <w:t> </w:t>
      </w:r>
      <w:r>
        <w:rPr/>
        <w:t>S, antitrombina</w:t>
      </w:r>
      <w:r>
        <w:rPr>
          <w:spacing w:val="-3"/>
        </w:rPr>
        <w:t> </w:t>
      </w:r>
      <w:r>
        <w:rPr/>
        <w:t>III e</w:t>
      </w:r>
      <w:r>
        <w:rPr>
          <w:spacing w:val="-3"/>
        </w:rPr>
        <w:t> </w:t>
      </w:r>
      <w:r>
        <w:rPr/>
        <w:t>presença</w:t>
      </w:r>
      <w:r>
        <w:rPr>
          <w:spacing w:val="-3"/>
        </w:rPr>
        <w:t> </w:t>
      </w:r>
      <w:r>
        <w:rPr/>
        <w:t>de</w:t>
      </w:r>
      <w:r>
        <w:rPr>
          <w:spacing w:val="-3"/>
        </w:rPr>
        <w:t> </w:t>
      </w:r>
      <w:r>
        <w:rPr/>
        <w:t>anormalidades funcionais do fibrinogênio;</w:t>
      </w:r>
      <w:r>
        <w:rPr>
          <w:spacing w:val="-6"/>
        </w:rPr>
        <w:t> </w:t>
      </w:r>
      <w:r>
        <w:rPr/>
        <w:t>no</w:t>
      </w:r>
      <w:r>
        <w:rPr>
          <w:spacing w:val="-8"/>
        </w:rPr>
        <w:t> </w:t>
      </w:r>
      <w:r>
        <w:rPr/>
        <w:t>entanto,</w:t>
      </w:r>
      <w:r>
        <w:rPr>
          <w:spacing w:val="-1"/>
        </w:rPr>
        <w:t> </w:t>
      </w:r>
      <w:r>
        <w:rPr/>
        <w:t>estudos</w:t>
      </w:r>
      <w:r>
        <w:rPr>
          <w:spacing w:val="-1"/>
        </w:rPr>
        <w:t> </w:t>
      </w:r>
      <w:r>
        <w:rPr/>
        <w:t>fenotípicos</w:t>
      </w:r>
      <w:r>
        <w:rPr>
          <w:spacing w:val="-1"/>
        </w:rPr>
        <w:t> </w:t>
      </w:r>
      <w:r>
        <w:rPr/>
        <w:t>demonstram</w:t>
      </w:r>
      <w:r>
        <w:rPr>
          <w:spacing w:val="-8"/>
        </w:rPr>
        <w:t> </w:t>
      </w:r>
      <w:r>
        <w:rPr/>
        <w:t>que</w:t>
      </w:r>
      <w:r>
        <w:rPr>
          <w:spacing w:val="-11"/>
        </w:rPr>
        <w:t> </w:t>
      </w:r>
      <w:r>
        <w:rPr/>
        <w:t>essas</w:t>
      </w:r>
      <w:r>
        <w:rPr>
          <w:spacing w:val="-1"/>
        </w:rPr>
        <w:t> </w:t>
      </w:r>
      <w:r>
        <w:rPr/>
        <w:t>alterações</w:t>
      </w:r>
      <w:r>
        <w:rPr>
          <w:spacing w:val="-1"/>
        </w:rPr>
        <w:t> </w:t>
      </w:r>
      <w:r>
        <w:rPr/>
        <w:t>são</w:t>
      </w:r>
      <w:r>
        <w:rPr>
          <w:spacing w:val="-8"/>
        </w:rPr>
        <w:t> </w:t>
      </w:r>
      <w:r>
        <w:rPr/>
        <w:t>responsáveis</w:t>
      </w:r>
      <w:r>
        <w:rPr>
          <w:spacing w:val="-1"/>
        </w:rPr>
        <w:t> </w:t>
      </w:r>
      <w:r>
        <w:rPr/>
        <w:t>apenas</w:t>
      </w:r>
      <w:r>
        <w:rPr>
          <w:spacing w:val="-1"/>
        </w:rPr>
        <w:t> </w:t>
      </w:r>
      <w:r>
        <w:rPr/>
        <w:t>por</w:t>
      </w:r>
      <w:r>
        <w:rPr>
          <w:spacing w:val="-4"/>
        </w:rPr>
        <w:t> </w:t>
      </w:r>
      <w:r>
        <w:rPr/>
        <w:t>5</w:t>
      </w:r>
      <w:r>
        <w:rPr>
          <w:spacing w:val="-8"/>
        </w:rPr>
        <w:t> </w:t>
      </w:r>
      <w:r>
        <w:rPr/>
        <w:t>a</w:t>
      </w:r>
      <w:r>
        <w:rPr>
          <w:spacing w:val="-11"/>
        </w:rPr>
        <w:t> </w:t>
      </w:r>
      <w:r>
        <w:rPr/>
        <w:t>10% desses eventos. Em 1993, Dahlbäck </w:t>
      </w:r>
      <w:r>
        <w:rPr>
          <w:i/>
        </w:rPr>
        <w:t>et al. </w:t>
      </w:r>
      <w:r>
        <w:rPr/>
        <w:t>descreveram nova causa de trombofilia hereditária, a resistência do plasma de alguns pacientes à ação anticoagulante da proteína C ativada (RPCa) exógena. Estudos demonstraram a presença dessa alteração em cerca de 20 a 60% dos casos de TVP, sendo considerada o maior fator de risco, e sua prevalência em populações gerais é de 2 a 10%. Outros estudos constataram que misturas de plasmas de pacientes com</w:t>
      </w:r>
      <w:r>
        <w:rPr>
          <w:spacing w:val="-4"/>
        </w:rPr>
        <w:t> </w:t>
      </w:r>
      <w:r>
        <w:rPr/>
        <w:t>RPCa</w:t>
      </w:r>
      <w:r>
        <w:rPr>
          <w:spacing w:val="-6"/>
        </w:rPr>
        <w:t> </w:t>
      </w:r>
      <w:r>
        <w:rPr/>
        <w:t>e</w:t>
      </w:r>
      <w:r>
        <w:rPr>
          <w:spacing w:val="-6"/>
        </w:rPr>
        <w:t> </w:t>
      </w:r>
      <w:r>
        <w:rPr/>
        <w:t>plasmas de</w:t>
      </w:r>
      <w:r>
        <w:rPr>
          <w:spacing w:val="-6"/>
        </w:rPr>
        <w:t> </w:t>
      </w:r>
      <w:r>
        <w:rPr/>
        <w:t>pacientes deficientes em</w:t>
      </w:r>
      <w:r>
        <w:rPr>
          <w:spacing w:val="-4"/>
        </w:rPr>
        <w:t> </w:t>
      </w:r>
      <w:r>
        <w:rPr/>
        <w:t>fatores da</w:t>
      </w:r>
      <w:r>
        <w:rPr>
          <w:spacing w:val="-6"/>
        </w:rPr>
        <w:t> </w:t>
      </w:r>
      <w:r>
        <w:rPr/>
        <w:t>coagulação</w:t>
      </w:r>
      <w:r>
        <w:rPr>
          <w:spacing w:val="-4"/>
        </w:rPr>
        <w:t> </w:t>
      </w:r>
      <w:r>
        <w:rPr/>
        <w:t>não</w:t>
      </w:r>
      <w:r>
        <w:rPr>
          <w:spacing w:val="-4"/>
        </w:rPr>
        <w:t> </w:t>
      </w:r>
      <w:r>
        <w:rPr/>
        <w:t>ocorreram</w:t>
      </w:r>
      <w:r>
        <w:rPr>
          <w:spacing w:val="-4"/>
        </w:rPr>
        <w:t> </w:t>
      </w:r>
      <w:r>
        <w:rPr/>
        <w:t>somente</w:t>
      </w:r>
      <w:r>
        <w:rPr>
          <w:spacing w:val="-6"/>
        </w:rPr>
        <w:t> </w:t>
      </w:r>
      <w:r>
        <w:rPr/>
        <w:t>quando</w:t>
      </w:r>
      <w:r>
        <w:rPr>
          <w:spacing w:val="-4"/>
        </w:rPr>
        <w:t> </w:t>
      </w:r>
      <w:r>
        <w:rPr/>
        <w:t>uma</w:t>
      </w:r>
      <w:r>
        <w:rPr>
          <w:spacing w:val="-6"/>
        </w:rPr>
        <w:t> </w:t>
      </w:r>
      <w:r>
        <w:rPr/>
        <w:t>dessas misturas era realizada com plasma deficiente em fator V, o que sugere um defeito da molécula do fator V (fator V de</w:t>
      </w:r>
      <w:r>
        <w:rPr>
          <w:spacing w:val="-5"/>
        </w:rPr>
        <w:t> </w:t>
      </w:r>
      <w:r>
        <w:rPr/>
        <w:t>Leiden).</w:t>
      </w:r>
      <w:r>
        <w:rPr>
          <w:vertAlign w:val="superscript"/>
        </w:rPr>
        <w:t>2</w:t>
      </w:r>
      <w:r>
        <w:rPr>
          <w:vertAlign w:val="baseline"/>
        </w:rPr>
        <w:t> A</w:t>
      </w:r>
      <w:r>
        <w:rPr>
          <w:spacing w:val="-3"/>
          <w:vertAlign w:val="baseline"/>
        </w:rPr>
        <w:t> </w:t>
      </w:r>
      <w:r>
        <w:rPr>
          <w:vertAlign w:val="baseline"/>
        </w:rPr>
        <w:t>RPCa,</w:t>
      </w:r>
      <w:r>
        <w:rPr>
          <w:spacing w:val="9"/>
          <w:vertAlign w:val="baseline"/>
        </w:rPr>
        <w:t> </w:t>
      </w:r>
      <w:r>
        <w:rPr>
          <w:vertAlign w:val="baseline"/>
        </w:rPr>
        <w:t>na</w:t>
      </w:r>
      <w:r>
        <w:rPr>
          <w:spacing w:val="-3"/>
          <w:vertAlign w:val="baseline"/>
        </w:rPr>
        <w:t> </w:t>
      </w:r>
      <w:r>
        <w:rPr>
          <w:vertAlign w:val="baseline"/>
        </w:rPr>
        <w:t>maioria</w:t>
      </w:r>
      <w:r>
        <w:rPr>
          <w:spacing w:val="-3"/>
          <w:vertAlign w:val="baseline"/>
        </w:rPr>
        <w:t> </w:t>
      </w:r>
      <w:r>
        <w:rPr>
          <w:vertAlign w:val="baseline"/>
        </w:rPr>
        <w:t>dos</w:t>
      </w:r>
      <w:r>
        <w:rPr>
          <w:spacing w:val="9"/>
          <w:vertAlign w:val="baseline"/>
        </w:rPr>
        <w:t> </w:t>
      </w:r>
      <w:r>
        <w:rPr>
          <w:vertAlign w:val="baseline"/>
        </w:rPr>
        <w:t>casos,</w:t>
      </w:r>
      <w:r>
        <w:rPr>
          <w:spacing w:val="9"/>
          <w:vertAlign w:val="baseline"/>
        </w:rPr>
        <w:t> </w:t>
      </w:r>
      <w:r>
        <w:rPr>
          <w:vertAlign w:val="baseline"/>
        </w:rPr>
        <w:t>se</w:t>
      </w:r>
      <w:r>
        <w:rPr>
          <w:spacing w:val="-3"/>
          <w:vertAlign w:val="baseline"/>
        </w:rPr>
        <w:t> </w:t>
      </w:r>
      <w:r>
        <w:rPr>
          <w:vertAlign w:val="baseline"/>
        </w:rPr>
        <w:t>dá</w:t>
      </w:r>
      <w:r>
        <w:rPr>
          <w:spacing w:val="-3"/>
          <w:vertAlign w:val="baseline"/>
        </w:rPr>
        <w:t> </w:t>
      </w:r>
      <w:r>
        <w:rPr>
          <w:vertAlign w:val="baseline"/>
        </w:rPr>
        <w:t>em função de</w:t>
      </w:r>
      <w:r>
        <w:rPr>
          <w:spacing w:val="-3"/>
          <w:vertAlign w:val="baseline"/>
        </w:rPr>
        <w:t> </w:t>
      </w:r>
      <w:r>
        <w:rPr>
          <w:vertAlign w:val="baseline"/>
        </w:rPr>
        <w:t>uma</w:t>
      </w:r>
      <w:r>
        <w:rPr>
          <w:spacing w:val="-3"/>
          <w:vertAlign w:val="baseline"/>
        </w:rPr>
        <w:t> </w:t>
      </w:r>
      <w:r>
        <w:rPr>
          <w:vertAlign w:val="baseline"/>
        </w:rPr>
        <w:t>mutação simples</w:t>
      </w:r>
      <w:r>
        <w:rPr>
          <w:spacing w:val="9"/>
          <w:vertAlign w:val="baseline"/>
        </w:rPr>
        <w:t> </w:t>
      </w:r>
      <w:r>
        <w:rPr>
          <w:vertAlign w:val="baseline"/>
        </w:rPr>
        <w:t>R506Q</w:t>
      </w:r>
      <w:r>
        <w:rPr>
          <w:spacing w:val="-3"/>
          <w:vertAlign w:val="baseline"/>
        </w:rPr>
        <w:t> </w:t>
      </w:r>
      <w:r>
        <w:rPr>
          <w:vertAlign w:val="baseline"/>
        </w:rPr>
        <w:t>no gene</w:t>
      </w:r>
      <w:r>
        <w:rPr>
          <w:spacing w:val="-3"/>
          <w:vertAlign w:val="baseline"/>
        </w:rPr>
        <w:t> </w:t>
      </w:r>
      <w:r>
        <w:rPr>
          <w:vertAlign w:val="baseline"/>
        </w:rPr>
        <w:t>do fator V</w:t>
      </w:r>
      <w:r>
        <w:rPr>
          <w:spacing w:val="-3"/>
          <w:vertAlign w:val="baseline"/>
        </w:rPr>
        <w:t> </w:t>
      </w:r>
      <w:r>
        <w:rPr>
          <w:vertAlign w:val="baseline"/>
        </w:rPr>
        <w:t>e a mutação em homozigose está associada a um risco maior de trombose do que em heterozigose.</w:t>
      </w:r>
      <w:r>
        <w:rPr>
          <w:vertAlign w:val="superscript"/>
        </w:rPr>
        <w:t>3</w:t>
      </w:r>
    </w:p>
    <w:p>
      <w:pPr>
        <w:pStyle w:val="BodyText"/>
        <w:spacing w:line="283" w:lineRule="auto" w:before="53"/>
        <w:ind w:right="488"/>
      </w:pPr>
      <w:r>
        <w:rPr/>
        <w:t>Outro fator genético foi descrito por McCully, em 1969, observando que pacientes com a síndrome de homocisteinemia</w:t>
      </w:r>
      <w:r>
        <w:rPr>
          <w:spacing w:val="-4"/>
        </w:rPr>
        <w:t> </w:t>
      </w:r>
      <w:r>
        <w:rPr/>
        <w:t>familiar apresentavam</w:t>
      </w:r>
      <w:r>
        <w:rPr>
          <w:spacing w:val="-2"/>
        </w:rPr>
        <w:t> </w:t>
      </w:r>
      <w:r>
        <w:rPr/>
        <w:t>mais complicações ateroscleróticas.</w:t>
      </w:r>
      <w:r>
        <w:rPr>
          <w:vertAlign w:val="superscript"/>
        </w:rPr>
        <w:t>4</w:t>
      </w:r>
      <w:r>
        <w:rPr>
          <w:vertAlign w:val="baseline"/>
        </w:rPr>
        <w:t> Estudos posteriores confirmaram seu papel como fator de</w:t>
      </w:r>
      <w:r>
        <w:rPr>
          <w:spacing w:val="-3"/>
          <w:vertAlign w:val="baseline"/>
        </w:rPr>
        <w:t> </w:t>
      </w:r>
      <w:r>
        <w:rPr>
          <w:vertAlign w:val="baseline"/>
        </w:rPr>
        <w:t>risco para</w:t>
      </w:r>
      <w:r>
        <w:rPr>
          <w:spacing w:val="-3"/>
          <w:vertAlign w:val="baseline"/>
        </w:rPr>
        <w:t> </w:t>
      </w:r>
      <w:r>
        <w:rPr>
          <w:vertAlign w:val="baseline"/>
        </w:rPr>
        <w:t>as complicações trombóticas arteriais e, também, para</w:t>
      </w:r>
      <w:r>
        <w:rPr>
          <w:spacing w:val="-3"/>
          <w:vertAlign w:val="baseline"/>
        </w:rPr>
        <w:t> </w:t>
      </w:r>
      <w:r>
        <w:rPr>
          <w:vertAlign w:val="baseline"/>
        </w:rPr>
        <w:t>a</w:t>
      </w:r>
      <w:r>
        <w:rPr>
          <w:spacing w:val="-3"/>
          <w:vertAlign w:val="baseline"/>
        </w:rPr>
        <w:t> </w:t>
      </w:r>
      <w:r>
        <w:rPr>
          <w:vertAlign w:val="baseline"/>
        </w:rPr>
        <w:t>trombose</w:t>
      </w:r>
      <w:r>
        <w:rPr>
          <w:spacing w:val="-3"/>
          <w:vertAlign w:val="baseline"/>
        </w:rPr>
        <w:t> </w:t>
      </w:r>
      <w:r>
        <w:rPr>
          <w:vertAlign w:val="baseline"/>
        </w:rPr>
        <w:t>venosa.</w:t>
      </w:r>
    </w:p>
    <w:p>
      <w:pPr>
        <w:pStyle w:val="BodyText"/>
        <w:spacing w:line="280" w:lineRule="auto" w:before="57"/>
        <w:ind w:right="488"/>
      </w:pPr>
      <w:r>
        <w:rPr/>
        <w:t>A homocisteína é um aminoácido não essencial formado durante o metabolismo da metionina. Sob a ação da cistationa betassintetase, em reação dependente da vitamina B</w:t>
      </w:r>
      <w:r>
        <w:rPr>
          <w:vertAlign w:val="subscript"/>
        </w:rPr>
        <w:t>6</w:t>
      </w:r>
      <w:r>
        <w:rPr>
          <w:vertAlign w:val="baseline"/>
        </w:rPr>
        <w:t>, a homocisteína é transformada em cisteína e excretada pelo rim. Pode ser transformada novamente em metionina por via metabólica dependente da metilcobalamina (vitamina B</w:t>
      </w:r>
      <w:r>
        <w:rPr>
          <w:vertAlign w:val="subscript"/>
        </w:rPr>
        <w:t>12</w:t>
      </w:r>
      <w:r>
        <w:rPr>
          <w:vertAlign w:val="baseline"/>
        </w:rPr>
        <w:t>) e dos folatos, cofator e cossubstrato dessa reação.</w:t>
      </w:r>
    </w:p>
    <w:p>
      <w:pPr>
        <w:pStyle w:val="BodyText"/>
        <w:spacing w:line="276" w:lineRule="auto" w:before="75"/>
        <w:ind w:right="491"/>
      </w:pPr>
      <w:r>
        <w:rPr/>
        <w:t>Vários mecanismos podem</w:t>
      </w:r>
      <w:r>
        <w:rPr>
          <w:spacing w:val="-7"/>
        </w:rPr>
        <w:t> </w:t>
      </w:r>
      <w:r>
        <w:rPr/>
        <w:t>explicar</w:t>
      </w:r>
      <w:r>
        <w:rPr>
          <w:spacing w:val="-3"/>
        </w:rPr>
        <w:t> </w:t>
      </w:r>
      <w:r>
        <w:rPr/>
        <w:t>a</w:t>
      </w:r>
      <w:r>
        <w:rPr>
          <w:spacing w:val="-10"/>
        </w:rPr>
        <w:t> </w:t>
      </w:r>
      <w:r>
        <w:rPr/>
        <w:t>relação</w:t>
      </w:r>
      <w:r>
        <w:rPr>
          <w:spacing w:val="-7"/>
        </w:rPr>
        <w:t> </w:t>
      </w:r>
      <w:r>
        <w:rPr/>
        <w:t>entre</w:t>
      </w:r>
      <w:r>
        <w:rPr>
          <w:spacing w:val="-10"/>
        </w:rPr>
        <w:t> </w:t>
      </w:r>
      <w:r>
        <w:rPr/>
        <w:t>trombose</w:t>
      </w:r>
      <w:r>
        <w:rPr>
          <w:spacing w:val="-10"/>
        </w:rPr>
        <w:t> </w:t>
      </w:r>
      <w:r>
        <w:rPr/>
        <w:t>e</w:t>
      </w:r>
      <w:r>
        <w:rPr>
          <w:spacing w:val="-10"/>
        </w:rPr>
        <w:t> </w:t>
      </w:r>
      <w:r>
        <w:rPr/>
        <w:t>hiper-homocisteinemia:</w:t>
      </w:r>
      <w:r>
        <w:rPr>
          <w:spacing w:val="-5"/>
        </w:rPr>
        <w:t> </w:t>
      </w:r>
      <w:r>
        <w:rPr/>
        <w:t>o</w:t>
      </w:r>
      <w:r>
        <w:rPr>
          <w:spacing w:val="-7"/>
        </w:rPr>
        <w:t> </w:t>
      </w:r>
      <w:r>
        <w:rPr/>
        <w:t>efeito</w:t>
      </w:r>
      <w:r>
        <w:rPr>
          <w:spacing w:val="-7"/>
        </w:rPr>
        <w:t> </w:t>
      </w:r>
      <w:r>
        <w:rPr/>
        <w:t>citotóxico</w:t>
      </w:r>
      <w:r>
        <w:rPr>
          <w:spacing w:val="-7"/>
        </w:rPr>
        <w:t> </w:t>
      </w:r>
      <w:r>
        <w:rPr/>
        <w:t>direto sobre</w:t>
      </w:r>
      <w:r>
        <w:rPr>
          <w:spacing w:val="-5"/>
        </w:rPr>
        <w:t> </w:t>
      </w:r>
      <w:r>
        <w:rPr/>
        <w:t>as células endoteliais, síntese</w:t>
      </w:r>
      <w:r>
        <w:rPr>
          <w:spacing w:val="-5"/>
        </w:rPr>
        <w:t> </w:t>
      </w:r>
      <w:r>
        <w:rPr/>
        <w:t>de</w:t>
      </w:r>
      <w:r>
        <w:rPr>
          <w:spacing w:val="-5"/>
        </w:rPr>
        <w:t> </w:t>
      </w:r>
      <w:r>
        <w:rPr/>
        <w:t>prostaciclina, aumento</w:t>
      </w:r>
      <w:r>
        <w:rPr>
          <w:spacing w:val="-3"/>
        </w:rPr>
        <w:t> </w:t>
      </w:r>
      <w:r>
        <w:rPr/>
        <w:t>da</w:t>
      </w:r>
      <w:r>
        <w:rPr>
          <w:spacing w:val="-5"/>
        </w:rPr>
        <w:t> </w:t>
      </w:r>
      <w:r>
        <w:rPr/>
        <w:t>adesividade</w:t>
      </w:r>
      <w:r>
        <w:rPr>
          <w:spacing w:val="-5"/>
        </w:rPr>
        <w:t> </w:t>
      </w:r>
      <w:r>
        <w:rPr/>
        <w:t>e</w:t>
      </w:r>
      <w:r>
        <w:rPr>
          <w:spacing w:val="-5"/>
        </w:rPr>
        <w:t> </w:t>
      </w:r>
      <w:r>
        <w:rPr/>
        <w:t>agregabilidade</w:t>
      </w:r>
      <w:r>
        <w:rPr>
          <w:spacing w:val="-5"/>
        </w:rPr>
        <w:t> </w:t>
      </w:r>
      <w:r>
        <w:rPr/>
        <w:t>plaquetária, ativação do</w:t>
      </w:r>
      <w:r>
        <w:rPr>
          <w:spacing w:val="-3"/>
        </w:rPr>
        <w:t> </w:t>
      </w:r>
      <w:r>
        <w:rPr/>
        <w:t>fator V, secreção</w:t>
      </w:r>
      <w:r>
        <w:rPr>
          <w:spacing w:val="-3"/>
        </w:rPr>
        <w:t> </w:t>
      </w:r>
      <w:r>
        <w:rPr/>
        <w:t>de</w:t>
      </w:r>
      <w:r>
        <w:rPr>
          <w:spacing w:val="-5"/>
        </w:rPr>
        <w:t> </w:t>
      </w:r>
      <w:r>
        <w:rPr/>
        <w:t>fator de</w:t>
      </w:r>
      <w:r>
        <w:rPr>
          <w:spacing w:val="-5"/>
        </w:rPr>
        <w:t> </w:t>
      </w:r>
      <w:r>
        <w:rPr/>
        <w:t>von</w:t>
      </w:r>
      <w:r>
        <w:rPr>
          <w:spacing w:val="-3"/>
        </w:rPr>
        <w:t> </w:t>
      </w:r>
      <w:r>
        <w:rPr/>
        <w:t>Willebrand</w:t>
      </w:r>
      <w:r>
        <w:rPr>
          <w:spacing w:val="-3"/>
        </w:rPr>
        <w:t> </w:t>
      </w:r>
      <w:r>
        <w:rPr/>
        <w:t>e</w:t>
      </w:r>
      <w:r>
        <w:rPr>
          <w:spacing w:val="-5"/>
        </w:rPr>
        <w:t> </w:t>
      </w:r>
      <w:r>
        <w:rPr/>
        <w:t>correlação</w:t>
      </w:r>
      <w:r>
        <w:rPr>
          <w:spacing w:val="-3"/>
        </w:rPr>
        <w:t> </w:t>
      </w:r>
      <w:r>
        <w:rPr/>
        <w:t>com</w:t>
      </w:r>
      <w:r>
        <w:rPr>
          <w:spacing w:val="-3"/>
        </w:rPr>
        <w:t> </w:t>
      </w:r>
      <w:r>
        <w:rPr/>
        <w:t>níveis de</w:t>
      </w:r>
      <w:r>
        <w:rPr>
          <w:spacing w:val="-5"/>
        </w:rPr>
        <w:t> </w:t>
      </w:r>
      <w:r>
        <w:rPr/>
        <w:t>fibrinogênio. A</w:t>
      </w:r>
      <w:r>
        <w:rPr>
          <w:spacing w:val="-5"/>
        </w:rPr>
        <w:t> </w:t>
      </w:r>
      <w:r>
        <w:rPr/>
        <w:t>reposição</w:t>
      </w:r>
      <w:r>
        <w:rPr>
          <w:spacing w:val="-3"/>
        </w:rPr>
        <w:t> </w:t>
      </w:r>
      <w:r>
        <w:rPr/>
        <w:t>de</w:t>
      </w:r>
      <w:r>
        <w:rPr>
          <w:spacing w:val="-5"/>
        </w:rPr>
        <w:t> </w:t>
      </w:r>
      <w:r>
        <w:rPr/>
        <w:t>folatos em doses de</w:t>
      </w:r>
      <w:r>
        <w:rPr>
          <w:spacing w:val="-3"/>
        </w:rPr>
        <w:t> </w:t>
      </w:r>
      <w:r>
        <w:rPr/>
        <w:t>0,65 a</w:t>
      </w:r>
      <w:r>
        <w:rPr>
          <w:spacing w:val="-3"/>
        </w:rPr>
        <w:t> </w:t>
      </w:r>
      <w:r>
        <w:rPr/>
        <w:t>10 mg/dia</w:t>
      </w:r>
      <w:r>
        <w:rPr>
          <w:spacing w:val="-3"/>
        </w:rPr>
        <w:t> </w:t>
      </w:r>
      <w:r>
        <w:rPr/>
        <w:t>reduz</w:t>
      </w:r>
      <w:r>
        <w:rPr>
          <w:spacing w:val="-3"/>
        </w:rPr>
        <w:t> </w:t>
      </w:r>
      <w:r>
        <w:rPr/>
        <w:t>os níveis elevados de</w:t>
      </w:r>
      <w:r>
        <w:rPr>
          <w:spacing w:val="-3"/>
        </w:rPr>
        <w:t> </w:t>
      </w:r>
      <w:r>
        <w:rPr/>
        <w:t>homocisteína; entretanto não há</w:t>
      </w:r>
      <w:r>
        <w:rPr>
          <w:spacing w:val="-3"/>
        </w:rPr>
        <w:t> </w:t>
      </w:r>
      <w:r>
        <w:rPr/>
        <w:t>ainda</w:t>
      </w:r>
      <w:r>
        <w:rPr>
          <w:spacing w:val="-3"/>
        </w:rPr>
        <w:t> </w:t>
      </w:r>
      <w:r>
        <w:rPr/>
        <w:t>evidências de</w:t>
      </w:r>
      <w:r>
        <w:rPr>
          <w:spacing w:val="-3"/>
        </w:rPr>
        <w:t> </w:t>
      </w:r>
      <w:r>
        <w:rPr/>
        <w:t>que</w:t>
      </w:r>
      <w:r>
        <w:rPr>
          <w:spacing w:val="-3"/>
        </w:rPr>
        <w:t> </w:t>
      </w:r>
      <w:r>
        <w:rPr/>
        <w:t>por meio de</w:t>
      </w:r>
      <w:r>
        <w:rPr>
          <w:spacing w:val="-1"/>
        </w:rPr>
        <w:t> </w:t>
      </w:r>
      <w:r>
        <w:rPr/>
        <w:t>dieta</w:t>
      </w:r>
      <w:r>
        <w:rPr>
          <w:spacing w:val="-1"/>
        </w:rPr>
        <w:t> </w:t>
      </w:r>
      <w:r>
        <w:rPr/>
        <w:t>ou suplementação vitamínica</w:t>
      </w:r>
      <w:r>
        <w:rPr>
          <w:spacing w:val="-1"/>
        </w:rPr>
        <w:t> </w:t>
      </w:r>
      <w:r>
        <w:rPr/>
        <w:t>possa</w:t>
      </w:r>
      <w:r>
        <w:rPr>
          <w:spacing w:val="-1"/>
        </w:rPr>
        <w:t> </w:t>
      </w:r>
      <w:r>
        <w:rPr/>
        <w:t>haver efeitos clínicos benéficos.</w:t>
      </w:r>
    </w:p>
    <w:p>
      <w:pPr>
        <w:pStyle w:val="BodyText"/>
        <w:spacing w:line="276" w:lineRule="auto" w:before="49"/>
        <w:ind w:right="498"/>
      </w:pPr>
      <w:r>
        <w:rPr/>
        <w:t>As alterações trombóticas que ocorrem nos pacientes com neoplasias malignas são distúrbios multifatoriais. Muitos pacientes apresentam processo de</w:t>
      </w:r>
      <w:r>
        <w:rPr>
          <w:spacing w:val="-3"/>
        </w:rPr>
        <w:t> </w:t>
      </w:r>
      <w:r>
        <w:rPr/>
        <w:t>coagulação intravascular disseminada</w:t>
      </w:r>
      <w:r>
        <w:rPr>
          <w:spacing w:val="-3"/>
        </w:rPr>
        <w:t> </w:t>
      </w:r>
      <w:r>
        <w:rPr/>
        <w:t>de</w:t>
      </w:r>
      <w:r>
        <w:rPr>
          <w:spacing w:val="-3"/>
        </w:rPr>
        <w:t> </w:t>
      </w:r>
      <w:r>
        <w:rPr/>
        <w:t>baixo grau com diminuição dos níveis de antitrombina III, proteínas S e C, bem como redução da meia-vida de fibrinogênio e plaquetas, acompanhada</w:t>
      </w:r>
      <w:r>
        <w:rPr>
          <w:spacing w:val="-3"/>
        </w:rPr>
        <w:t> </w:t>
      </w:r>
      <w:r>
        <w:rPr/>
        <w:t>por elevação compensatória</w:t>
      </w:r>
      <w:r>
        <w:rPr>
          <w:spacing w:val="-3"/>
        </w:rPr>
        <w:t> </w:t>
      </w:r>
      <w:r>
        <w:rPr/>
        <w:t>de</w:t>
      </w:r>
      <w:r>
        <w:rPr>
          <w:spacing w:val="-3"/>
        </w:rPr>
        <w:t> </w:t>
      </w:r>
      <w:r>
        <w:rPr/>
        <w:t>fatores da</w:t>
      </w:r>
      <w:r>
        <w:rPr>
          <w:spacing w:val="-3"/>
        </w:rPr>
        <w:t> </w:t>
      </w:r>
      <w:r>
        <w:rPr/>
        <w:t>coagulação e</w:t>
      </w:r>
      <w:r>
        <w:rPr>
          <w:spacing w:val="-3"/>
        </w:rPr>
        <w:t> </w:t>
      </w:r>
      <w:r>
        <w:rPr/>
        <w:t>enzimas fibrinolíticos, o que</w:t>
      </w:r>
      <w:r>
        <w:rPr>
          <w:spacing w:val="-3"/>
        </w:rPr>
        <w:t> </w:t>
      </w:r>
      <w:r>
        <w:rPr/>
        <w:t>torna</w:t>
      </w:r>
      <w:r>
        <w:rPr>
          <w:spacing w:val="-3"/>
        </w:rPr>
        <w:t> </w:t>
      </w:r>
      <w:r>
        <w:rPr/>
        <w:t>o paciente</w:t>
      </w:r>
    </w:p>
    <w:p>
      <w:pPr>
        <w:pStyle w:val="BodyText"/>
        <w:spacing w:after="0" w:line="276" w:lineRule="auto"/>
        <w:sectPr>
          <w:pgSz w:w="11900" w:h="16840"/>
          <w:pgMar w:top="160" w:bottom="280" w:left="566" w:right="141"/>
        </w:sectPr>
      </w:pPr>
    </w:p>
    <w:p>
      <w:pPr>
        <w:pStyle w:val="BodyText"/>
        <w:spacing w:line="276" w:lineRule="auto" w:before="77"/>
        <w:ind w:right="510" w:firstLine="0"/>
      </w:pPr>
      <w:r>
        <w:rPr/>
        <w:t>suscetível</w:t>
      </w:r>
      <w:r>
        <w:rPr>
          <w:spacing w:val="-1"/>
        </w:rPr>
        <w:t> </w:t>
      </w:r>
      <w:r>
        <w:rPr/>
        <w:t>a</w:t>
      </w:r>
      <w:r>
        <w:rPr>
          <w:spacing w:val="-6"/>
        </w:rPr>
        <w:t> </w:t>
      </w:r>
      <w:r>
        <w:rPr/>
        <w:t>eventos trombóticos ou</w:t>
      </w:r>
      <w:r>
        <w:rPr>
          <w:spacing w:val="-4"/>
        </w:rPr>
        <w:t> </w:t>
      </w:r>
      <w:r>
        <w:rPr/>
        <w:t>hemorrágicos desencadeados por pequenas alterações da</w:t>
      </w:r>
      <w:r>
        <w:rPr>
          <w:spacing w:val="-6"/>
        </w:rPr>
        <w:t> </w:t>
      </w:r>
      <w:r>
        <w:rPr/>
        <w:t>hemostasia. Algumas dessas anormalidades tendem</w:t>
      </w:r>
      <w:r>
        <w:rPr>
          <w:spacing w:val="-3"/>
        </w:rPr>
        <w:t> </w:t>
      </w:r>
      <w:r>
        <w:rPr/>
        <w:t>a</w:t>
      </w:r>
      <w:r>
        <w:rPr>
          <w:spacing w:val="-6"/>
        </w:rPr>
        <w:t> </w:t>
      </w:r>
      <w:r>
        <w:rPr/>
        <w:t>se</w:t>
      </w:r>
      <w:r>
        <w:rPr>
          <w:spacing w:val="-6"/>
        </w:rPr>
        <w:t> </w:t>
      </w:r>
      <w:r>
        <w:rPr/>
        <w:t>normalizar após o</w:t>
      </w:r>
      <w:r>
        <w:rPr>
          <w:spacing w:val="-3"/>
        </w:rPr>
        <w:t> </w:t>
      </w:r>
      <w:r>
        <w:rPr/>
        <w:t>tratamento</w:t>
      </w:r>
      <w:r>
        <w:rPr>
          <w:spacing w:val="-3"/>
        </w:rPr>
        <w:t> </w:t>
      </w:r>
      <w:r>
        <w:rPr/>
        <w:t>antineoplásico, enquanto</w:t>
      </w:r>
      <w:r>
        <w:rPr>
          <w:spacing w:val="-3"/>
        </w:rPr>
        <w:t> </w:t>
      </w:r>
      <w:r>
        <w:rPr/>
        <w:t>outras podem</w:t>
      </w:r>
      <w:r>
        <w:rPr>
          <w:spacing w:val="-3"/>
        </w:rPr>
        <w:t> </w:t>
      </w:r>
      <w:r>
        <w:rPr/>
        <w:t>se</w:t>
      </w:r>
      <w:r>
        <w:rPr>
          <w:spacing w:val="-6"/>
        </w:rPr>
        <w:t> </w:t>
      </w:r>
      <w:r>
        <w:rPr/>
        <w:t>agravar, como a redução de antitrombina III em pacientes sob terapia hormonal.</w:t>
      </w:r>
    </w:p>
    <w:p>
      <w:pPr>
        <w:pStyle w:val="BodyText"/>
        <w:spacing w:line="278" w:lineRule="auto" w:before="64"/>
        <w:ind w:right="497"/>
      </w:pPr>
      <w:r>
        <w:rPr/>
        <w:t>A presença persistente de anticorpos anticardiolipina e/ou anticoagulante lúpico afeta cerca de 25% dos pacientes com trombose venosa não explicada. O anticoagulante lúpico promove a inibição das reações da coagulação que são dependentes de fosfolipídios (ativação dos fatores X e IX e da protrombina), prolongando o tempo de coagulação </w:t>
      </w:r>
      <w:r>
        <w:rPr>
          <w:i/>
        </w:rPr>
        <w:t>in vitro</w:t>
      </w:r>
      <w:r>
        <w:rPr/>
        <w:t>. O papel dos anticorpos que causam a síndrome antifosfolipídio não é claro; até o momento não se conhece a relação de causa e efeito. Os possíveis mecanismos patogênicos dos anticorpos antifosfolipídios são: ação sobre as plaquetas estimulando sua agregação, lesão endotelial com expressão de moléculas de adesão para leucócitos e maior expressão de fator tecidual, interferência no sistema da proteína C da coagulação, inibição da antitrombina III e bloqueio do sistema fibrinolítico.</w:t>
      </w:r>
      <w:r>
        <w:rPr>
          <w:vertAlign w:val="superscript"/>
        </w:rPr>
        <w:t>5</w:t>
      </w:r>
    </w:p>
    <w:p>
      <w:pPr>
        <w:pStyle w:val="BodyText"/>
        <w:spacing w:before="182"/>
        <w:ind w:left="0" w:firstLine="0"/>
        <w:jc w:val="left"/>
      </w:pPr>
    </w:p>
    <w:p>
      <w:pPr>
        <w:pStyle w:val="Heading4"/>
        <w:jc w:val="both"/>
      </w:pPr>
      <w:r>
        <w:rPr>
          <w:color w:val="242B67"/>
        </w:rPr>
        <w:t>Quadro </w:t>
      </w:r>
      <w:r>
        <w:rPr>
          <w:color w:val="242B67"/>
          <w:spacing w:val="-2"/>
        </w:rPr>
        <w:t>clínico</w:t>
      </w:r>
    </w:p>
    <w:p>
      <w:pPr>
        <w:pStyle w:val="BodyText"/>
        <w:spacing w:line="276" w:lineRule="auto" w:before="132"/>
        <w:ind w:right="488"/>
      </w:pPr>
      <w:r>
        <w:rPr/>
        <w:t>Deve ser realizada cuidadosa história clínica para identificação dos possíveis fatores predisponentes e desencadeantes da</w:t>
      </w:r>
      <w:r>
        <w:rPr>
          <w:spacing w:val="-3"/>
        </w:rPr>
        <w:t> </w:t>
      </w:r>
      <w:r>
        <w:rPr/>
        <w:t>TVP, embora</w:t>
      </w:r>
      <w:r>
        <w:rPr>
          <w:spacing w:val="-3"/>
        </w:rPr>
        <w:t> </w:t>
      </w:r>
      <w:r>
        <w:rPr/>
        <w:t>muitas vezes ela</w:t>
      </w:r>
      <w:r>
        <w:rPr>
          <w:spacing w:val="-3"/>
        </w:rPr>
        <w:t> </w:t>
      </w:r>
      <w:r>
        <w:rPr/>
        <w:t>possa</w:t>
      </w:r>
      <w:r>
        <w:rPr>
          <w:spacing w:val="-3"/>
        </w:rPr>
        <w:t> </w:t>
      </w:r>
      <w:r>
        <w:rPr/>
        <w:t>ocorrer sem nenhuma</w:t>
      </w:r>
      <w:r>
        <w:rPr>
          <w:spacing w:val="-3"/>
        </w:rPr>
        <w:t> </w:t>
      </w:r>
      <w:r>
        <w:rPr/>
        <w:t>causa</w:t>
      </w:r>
      <w:r>
        <w:rPr>
          <w:spacing w:val="-3"/>
        </w:rPr>
        <w:t> </w:t>
      </w:r>
      <w:r>
        <w:rPr/>
        <w:t>aparente.</w:t>
      </w:r>
    </w:p>
    <w:p>
      <w:pPr>
        <w:pStyle w:val="BodyText"/>
        <w:spacing w:line="276" w:lineRule="auto" w:before="48"/>
        <w:ind w:right="497"/>
      </w:pPr>
      <w:r>
        <w:rPr/>
        <w:t>A TVP não é apenas uma doença localizada, mas de todo o organismo. O paciente pode apresentar sintomas gerais como febre, mal-estar, taquipneia e taquicardia. Os sintomas e sinais locais da presença do trombo no interior</w:t>
      </w:r>
      <w:r>
        <w:rPr>
          <w:spacing w:val="-2"/>
        </w:rPr>
        <w:t> </w:t>
      </w:r>
      <w:r>
        <w:rPr/>
        <w:t>da</w:t>
      </w:r>
      <w:r>
        <w:rPr>
          <w:spacing w:val="-9"/>
        </w:rPr>
        <w:t> </w:t>
      </w:r>
      <w:r>
        <w:rPr/>
        <w:t>veia, por</w:t>
      </w:r>
      <w:r>
        <w:rPr>
          <w:spacing w:val="-2"/>
        </w:rPr>
        <w:t> </w:t>
      </w:r>
      <w:r>
        <w:rPr/>
        <w:t>seu</w:t>
      </w:r>
      <w:r>
        <w:rPr>
          <w:spacing w:val="-7"/>
        </w:rPr>
        <w:t> </w:t>
      </w:r>
      <w:r>
        <w:rPr/>
        <w:t>efeito</w:t>
      </w:r>
      <w:r>
        <w:rPr>
          <w:spacing w:val="-7"/>
        </w:rPr>
        <w:t> </w:t>
      </w:r>
      <w:r>
        <w:rPr/>
        <w:t>mecânico, inflamatório</w:t>
      </w:r>
      <w:r>
        <w:rPr>
          <w:spacing w:val="-7"/>
        </w:rPr>
        <w:t> </w:t>
      </w:r>
      <w:r>
        <w:rPr/>
        <w:t>e</w:t>
      </w:r>
      <w:r>
        <w:rPr>
          <w:spacing w:val="-9"/>
        </w:rPr>
        <w:t> </w:t>
      </w:r>
      <w:r>
        <w:rPr/>
        <w:t>reflexo, dependem</w:t>
      </w:r>
      <w:r>
        <w:rPr>
          <w:spacing w:val="-7"/>
        </w:rPr>
        <w:t> </w:t>
      </w:r>
      <w:r>
        <w:rPr/>
        <w:t>do</w:t>
      </w:r>
      <w:r>
        <w:rPr>
          <w:spacing w:val="-7"/>
        </w:rPr>
        <w:t> </w:t>
      </w:r>
      <w:r>
        <w:rPr/>
        <w:t>grau, localização</w:t>
      </w:r>
      <w:r>
        <w:rPr>
          <w:spacing w:val="-7"/>
        </w:rPr>
        <w:t> </w:t>
      </w:r>
      <w:r>
        <w:rPr/>
        <w:t>e</w:t>
      </w:r>
      <w:r>
        <w:rPr>
          <w:spacing w:val="-9"/>
        </w:rPr>
        <w:t> </w:t>
      </w:r>
      <w:r>
        <w:rPr/>
        <w:t>extensão</w:t>
      </w:r>
      <w:r>
        <w:rPr>
          <w:spacing w:val="-7"/>
        </w:rPr>
        <w:t> </w:t>
      </w:r>
      <w:r>
        <w:rPr/>
        <w:t>da</w:t>
      </w:r>
      <w:r>
        <w:rPr>
          <w:spacing w:val="-9"/>
        </w:rPr>
        <w:t> </w:t>
      </w:r>
      <w:r>
        <w:rPr/>
        <w:t>lesão. O</w:t>
      </w:r>
      <w:r>
        <w:rPr>
          <w:spacing w:val="-2"/>
        </w:rPr>
        <w:t> </w:t>
      </w:r>
      <w:r>
        <w:rPr/>
        <w:t>sintoma</w:t>
      </w:r>
      <w:r>
        <w:rPr>
          <w:spacing w:val="-2"/>
        </w:rPr>
        <w:t> </w:t>
      </w:r>
      <w:r>
        <w:rPr/>
        <w:t>mais comum é</w:t>
      </w:r>
      <w:r>
        <w:rPr>
          <w:spacing w:val="-2"/>
        </w:rPr>
        <w:t> </w:t>
      </w:r>
      <w:r>
        <w:rPr/>
        <w:t>a</w:t>
      </w:r>
      <w:r>
        <w:rPr>
          <w:spacing w:val="-2"/>
        </w:rPr>
        <w:t> </w:t>
      </w:r>
      <w:r>
        <w:rPr/>
        <w:t>dor na</w:t>
      </w:r>
      <w:r>
        <w:rPr>
          <w:spacing w:val="-2"/>
        </w:rPr>
        <w:t> </w:t>
      </w:r>
      <w:r>
        <w:rPr/>
        <w:t>panturrilha, coxa</w:t>
      </w:r>
      <w:r>
        <w:rPr>
          <w:spacing w:val="-2"/>
        </w:rPr>
        <w:t> </w:t>
      </w:r>
      <w:r>
        <w:rPr/>
        <w:t>ou região inguinal que</w:t>
      </w:r>
      <w:r>
        <w:rPr>
          <w:spacing w:val="-2"/>
        </w:rPr>
        <w:t> </w:t>
      </w:r>
      <w:r>
        <w:rPr/>
        <w:t>pode</w:t>
      </w:r>
      <w:r>
        <w:rPr>
          <w:spacing w:val="-2"/>
        </w:rPr>
        <w:t> </w:t>
      </w:r>
      <w:r>
        <w:rPr/>
        <w:t>não ser significativa</w:t>
      </w:r>
      <w:r>
        <w:rPr>
          <w:spacing w:val="-2"/>
        </w:rPr>
        <w:t> </w:t>
      </w:r>
      <w:r>
        <w:rPr/>
        <w:t>e</w:t>
      </w:r>
      <w:r>
        <w:rPr>
          <w:spacing w:val="-2"/>
        </w:rPr>
        <w:t> </w:t>
      </w:r>
      <w:r>
        <w:rPr/>
        <w:t>ser descrita pelo</w:t>
      </w:r>
      <w:r>
        <w:rPr>
          <w:spacing w:val="-8"/>
        </w:rPr>
        <w:t> </w:t>
      </w:r>
      <w:r>
        <w:rPr/>
        <w:t>paciente</w:t>
      </w:r>
      <w:r>
        <w:rPr>
          <w:spacing w:val="-10"/>
        </w:rPr>
        <w:t> </w:t>
      </w:r>
      <w:r>
        <w:rPr/>
        <w:t>como</w:t>
      </w:r>
      <w:r>
        <w:rPr>
          <w:spacing w:val="-8"/>
        </w:rPr>
        <w:t> </w:t>
      </w:r>
      <w:r>
        <w:rPr/>
        <w:t>de</w:t>
      </w:r>
      <w:r>
        <w:rPr>
          <w:spacing w:val="-10"/>
        </w:rPr>
        <w:t> </w:t>
      </w:r>
      <w:r>
        <w:rPr/>
        <w:t>pequena</w:t>
      </w:r>
      <w:r>
        <w:rPr>
          <w:spacing w:val="-10"/>
        </w:rPr>
        <w:t> </w:t>
      </w:r>
      <w:r>
        <w:rPr/>
        <w:t>intensidade, às vezes em</w:t>
      </w:r>
      <w:r>
        <w:rPr>
          <w:spacing w:val="-8"/>
        </w:rPr>
        <w:t> </w:t>
      </w:r>
      <w:r>
        <w:rPr/>
        <w:t>forma</w:t>
      </w:r>
      <w:r>
        <w:rPr>
          <w:spacing w:val="-10"/>
        </w:rPr>
        <w:t> </w:t>
      </w:r>
      <w:r>
        <w:rPr/>
        <w:t>de</w:t>
      </w:r>
      <w:r>
        <w:rPr>
          <w:spacing w:val="-10"/>
        </w:rPr>
        <w:t> </w:t>
      </w:r>
      <w:r>
        <w:rPr/>
        <w:t>cãibras ou</w:t>
      </w:r>
      <w:r>
        <w:rPr>
          <w:spacing w:val="-8"/>
        </w:rPr>
        <w:t> </w:t>
      </w:r>
      <w:r>
        <w:rPr/>
        <w:t>sensação</w:t>
      </w:r>
      <w:r>
        <w:rPr>
          <w:spacing w:val="-8"/>
        </w:rPr>
        <w:t> </w:t>
      </w:r>
      <w:r>
        <w:rPr/>
        <w:t>de</w:t>
      </w:r>
      <w:r>
        <w:rPr>
          <w:spacing w:val="-10"/>
        </w:rPr>
        <w:t> </w:t>
      </w:r>
      <w:r>
        <w:rPr/>
        <w:t>peso</w:t>
      </w:r>
      <w:r>
        <w:rPr>
          <w:spacing w:val="-8"/>
        </w:rPr>
        <w:t> </w:t>
      </w:r>
      <w:r>
        <w:rPr/>
        <w:t>na</w:t>
      </w:r>
      <w:r>
        <w:rPr>
          <w:spacing w:val="-10"/>
        </w:rPr>
        <w:t> </w:t>
      </w:r>
      <w:r>
        <w:rPr/>
        <w:t>perna</w:t>
      </w:r>
      <w:r>
        <w:rPr>
          <w:spacing w:val="-10"/>
        </w:rPr>
        <w:t> </w:t>
      </w:r>
      <w:r>
        <w:rPr/>
        <w:t>ou</w:t>
      </w:r>
      <w:r>
        <w:rPr>
          <w:spacing w:val="-8"/>
        </w:rPr>
        <w:t> </w:t>
      </w:r>
      <w:r>
        <w:rPr/>
        <w:t>coxa</w:t>
      </w:r>
      <w:r>
        <w:rPr>
          <w:spacing w:val="-10"/>
        </w:rPr>
        <w:t> </w:t>
      </w:r>
      <w:r>
        <w:rPr/>
        <w:t>que se agrava em poucos dias. No entanto, a TVP dos membros inferiores pode ser assintomática, especialmente em pacientes com moléstias graves, idosos e restritos ao leito.</w:t>
      </w:r>
    </w:p>
    <w:p>
      <w:pPr>
        <w:pStyle w:val="BodyText"/>
        <w:spacing w:line="276" w:lineRule="auto"/>
        <w:ind w:right="491"/>
      </w:pPr>
      <w:r>
        <w:rPr/>
        <w:t>Quando a dor se instala, tende a se exacerbar com a atividade física e a melhorar com o repouso e elevação do membro no leito.</w:t>
      </w:r>
    </w:p>
    <w:p>
      <w:pPr>
        <w:pStyle w:val="BodyText"/>
        <w:spacing w:line="276" w:lineRule="auto" w:before="64"/>
        <w:ind w:right="488"/>
      </w:pPr>
      <w:r>
        <w:rPr/>
        <w:t>A musculatura da perna deve ser cuidadosamente examinada no sentido de se identificarem regiões de empastamento muscular e</w:t>
      </w:r>
      <w:r>
        <w:rPr>
          <w:spacing w:val="-3"/>
        </w:rPr>
        <w:t> </w:t>
      </w:r>
      <w:r>
        <w:rPr/>
        <w:t>cordões dolorosos endurecidos palpáveis nos trajetos vasculares.</w:t>
      </w:r>
    </w:p>
    <w:p>
      <w:pPr>
        <w:pStyle w:val="BodyText"/>
        <w:spacing w:line="276" w:lineRule="auto" w:before="49"/>
        <w:ind w:right="491"/>
      </w:pPr>
      <w:r>
        <w:rPr/>
        <w:t>O sinal mais característico, porém não específico de trombose venosa da panturrilha, é o sinal de Homans, ou seja, limitação da dorsiflexão do pé causada pela irritabilidade dos músculos sóleo e gastrocnêmio.</w:t>
      </w:r>
    </w:p>
    <w:p>
      <w:pPr>
        <w:pStyle w:val="BodyText"/>
        <w:spacing w:line="276" w:lineRule="auto" w:before="64"/>
        <w:ind w:right="488"/>
      </w:pPr>
      <w:r>
        <w:rPr/>
        <w:t>O edema unilateral do membro é bastante sugestivo de TVP. Quando bilateral, deve-se suspeitar de causa sistêmica, como</w:t>
      </w:r>
      <w:r>
        <w:rPr>
          <w:spacing w:val="-5"/>
        </w:rPr>
        <w:t> </w:t>
      </w:r>
      <w:r>
        <w:rPr/>
        <w:t>insuficiência</w:t>
      </w:r>
      <w:r>
        <w:rPr>
          <w:spacing w:val="-8"/>
        </w:rPr>
        <w:t> </w:t>
      </w:r>
      <w:r>
        <w:rPr/>
        <w:t>cardíaca</w:t>
      </w:r>
      <w:r>
        <w:rPr>
          <w:spacing w:val="-8"/>
        </w:rPr>
        <w:t> </w:t>
      </w:r>
      <w:r>
        <w:rPr/>
        <w:t>congestiva;</w:t>
      </w:r>
      <w:r>
        <w:rPr>
          <w:spacing w:val="-3"/>
        </w:rPr>
        <w:t> </w:t>
      </w:r>
      <w:r>
        <w:rPr/>
        <w:t>no</w:t>
      </w:r>
      <w:r>
        <w:rPr>
          <w:spacing w:val="-5"/>
        </w:rPr>
        <w:t> </w:t>
      </w:r>
      <w:r>
        <w:rPr/>
        <w:t>entanto, pode</w:t>
      </w:r>
      <w:r>
        <w:rPr>
          <w:spacing w:val="-8"/>
        </w:rPr>
        <w:t> </w:t>
      </w:r>
      <w:r>
        <w:rPr/>
        <w:t>ocorrer quando</w:t>
      </w:r>
      <w:r>
        <w:rPr>
          <w:spacing w:val="-5"/>
        </w:rPr>
        <w:t> </w:t>
      </w:r>
      <w:r>
        <w:rPr/>
        <w:t>há</w:t>
      </w:r>
      <w:r>
        <w:rPr>
          <w:spacing w:val="-8"/>
        </w:rPr>
        <w:t> </w:t>
      </w:r>
      <w:r>
        <w:rPr/>
        <w:t>trombose</w:t>
      </w:r>
      <w:r>
        <w:rPr>
          <w:spacing w:val="-8"/>
        </w:rPr>
        <w:t> </w:t>
      </w:r>
      <w:r>
        <w:rPr/>
        <w:t>de</w:t>
      </w:r>
      <w:r>
        <w:rPr>
          <w:spacing w:val="-8"/>
        </w:rPr>
        <w:t> </w:t>
      </w:r>
      <w:r>
        <w:rPr/>
        <w:t>cava</w:t>
      </w:r>
      <w:r>
        <w:rPr>
          <w:spacing w:val="-8"/>
        </w:rPr>
        <w:t> </w:t>
      </w:r>
      <w:r>
        <w:rPr/>
        <w:t>inferior. O grau do edema</w:t>
      </w:r>
      <w:r>
        <w:rPr>
          <w:spacing w:val="-2"/>
        </w:rPr>
        <w:t> </w:t>
      </w:r>
      <w:r>
        <w:rPr/>
        <w:t>é</w:t>
      </w:r>
      <w:r>
        <w:rPr>
          <w:spacing w:val="-2"/>
        </w:rPr>
        <w:t> </w:t>
      </w:r>
      <w:r>
        <w:rPr/>
        <w:t>variável, dependendo da</w:t>
      </w:r>
      <w:r>
        <w:rPr>
          <w:spacing w:val="-2"/>
        </w:rPr>
        <w:t> </w:t>
      </w:r>
      <w:r>
        <w:rPr/>
        <w:t>circulação colateral e</w:t>
      </w:r>
      <w:r>
        <w:rPr>
          <w:spacing w:val="-2"/>
        </w:rPr>
        <w:t> </w:t>
      </w:r>
      <w:r>
        <w:rPr/>
        <w:t>extensão do processo trombótico. O</w:t>
      </w:r>
      <w:r>
        <w:rPr>
          <w:spacing w:val="-2"/>
        </w:rPr>
        <w:t> </w:t>
      </w:r>
      <w:r>
        <w:rPr/>
        <w:t>edema</w:t>
      </w:r>
      <w:r>
        <w:rPr>
          <w:spacing w:val="-2"/>
        </w:rPr>
        <w:t> </w:t>
      </w:r>
      <w:r>
        <w:rPr/>
        <w:t>do pé</w:t>
      </w:r>
      <w:r>
        <w:rPr>
          <w:spacing w:val="-2"/>
        </w:rPr>
        <w:t> </w:t>
      </w:r>
      <w:r>
        <w:rPr/>
        <w:t>e da</w:t>
      </w:r>
      <w:r>
        <w:rPr>
          <w:spacing w:val="-2"/>
        </w:rPr>
        <w:t> </w:t>
      </w:r>
      <w:r>
        <w:rPr/>
        <w:t>perna</w:t>
      </w:r>
      <w:r>
        <w:rPr>
          <w:spacing w:val="-2"/>
        </w:rPr>
        <w:t> </w:t>
      </w:r>
      <w:r>
        <w:rPr/>
        <w:t>sugere</w:t>
      </w:r>
      <w:r>
        <w:rPr>
          <w:spacing w:val="-2"/>
        </w:rPr>
        <w:t> </w:t>
      </w:r>
      <w:r>
        <w:rPr/>
        <w:t>que</w:t>
      </w:r>
      <w:r>
        <w:rPr>
          <w:spacing w:val="-2"/>
        </w:rPr>
        <w:t> </w:t>
      </w:r>
      <w:r>
        <w:rPr/>
        <w:t>a</w:t>
      </w:r>
      <w:r>
        <w:rPr>
          <w:spacing w:val="-2"/>
        </w:rPr>
        <w:t> </w:t>
      </w:r>
      <w:r>
        <w:rPr/>
        <w:t>trombose</w:t>
      </w:r>
      <w:r>
        <w:rPr>
          <w:spacing w:val="-2"/>
        </w:rPr>
        <w:t> </w:t>
      </w:r>
      <w:r>
        <w:rPr/>
        <w:t>atingiu a</w:t>
      </w:r>
      <w:r>
        <w:rPr>
          <w:spacing w:val="-2"/>
        </w:rPr>
        <w:t> </w:t>
      </w:r>
      <w:r>
        <w:rPr/>
        <w:t>veia</w:t>
      </w:r>
      <w:r>
        <w:rPr>
          <w:spacing w:val="-2"/>
        </w:rPr>
        <w:t> </w:t>
      </w:r>
      <w:r>
        <w:rPr/>
        <w:t>poplítea</w:t>
      </w:r>
      <w:r>
        <w:rPr>
          <w:spacing w:val="-2"/>
        </w:rPr>
        <w:t> </w:t>
      </w:r>
      <w:r>
        <w:rPr/>
        <w:t>ou femoral e, quando há</w:t>
      </w:r>
      <w:r>
        <w:rPr>
          <w:spacing w:val="-2"/>
        </w:rPr>
        <w:t> </w:t>
      </w:r>
      <w:r>
        <w:rPr/>
        <w:t>edema</w:t>
      </w:r>
      <w:r>
        <w:rPr>
          <w:spacing w:val="-2"/>
        </w:rPr>
        <w:t> </w:t>
      </w:r>
      <w:r>
        <w:rPr/>
        <w:t>até</w:t>
      </w:r>
      <w:r>
        <w:rPr>
          <w:spacing w:val="-2"/>
        </w:rPr>
        <w:t> </w:t>
      </w:r>
      <w:r>
        <w:rPr/>
        <w:t>a</w:t>
      </w:r>
      <w:r>
        <w:rPr>
          <w:spacing w:val="-2"/>
        </w:rPr>
        <w:t> </w:t>
      </w:r>
      <w:r>
        <w:rPr/>
        <w:t>raiz</w:t>
      </w:r>
      <w:r>
        <w:rPr>
          <w:spacing w:val="-2"/>
        </w:rPr>
        <w:t> </w:t>
      </w:r>
      <w:r>
        <w:rPr/>
        <w:t>da</w:t>
      </w:r>
      <w:r>
        <w:rPr>
          <w:spacing w:val="-2"/>
        </w:rPr>
        <w:t> </w:t>
      </w:r>
      <w:r>
        <w:rPr/>
        <w:t>coxa, é</w:t>
      </w:r>
      <w:r>
        <w:rPr>
          <w:spacing w:val="-2"/>
        </w:rPr>
        <w:t> </w:t>
      </w:r>
      <w:r>
        <w:rPr/>
        <w:t>sinal de comprometimento iliacofemoral. Nos pacientes acamados, o edema pode estar ausente ou ser de pequenas proporções devido à diminuição da pressão venosa no decúbito horizontal.</w:t>
      </w:r>
    </w:p>
    <w:p>
      <w:pPr>
        <w:pStyle w:val="BodyText"/>
        <w:spacing w:line="276" w:lineRule="auto" w:before="49"/>
        <w:ind w:right="488"/>
      </w:pPr>
      <w:r>
        <w:rPr/>
        <w:t>A</w:t>
      </w:r>
      <w:r>
        <w:rPr>
          <w:spacing w:val="-5"/>
        </w:rPr>
        <w:t> </w:t>
      </w:r>
      <w:r>
        <w:rPr/>
        <w:t>circulação</w:t>
      </w:r>
      <w:r>
        <w:rPr>
          <w:spacing w:val="-2"/>
        </w:rPr>
        <w:t> </w:t>
      </w:r>
      <w:r>
        <w:rPr/>
        <w:t>colateral se</w:t>
      </w:r>
      <w:r>
        <w:rPr>
          <w:spacing w:val="-5"/>
        </w:rPr>
        <w:t> </w:t>
      </w:r>
      <w:r>
        <w:rPr/>
        <w:t>faz</w:t>
      </w:r>
      <w:r>
        <w:rPr>
          <w:spacing w:val="-5"/>
        </w:rPr>
        <w:t> </w:t>
      </w:r>
      <w:r>
        <w:rPr/>
        <w:t>em</w:t>
      </w:r>
      <w:r>
        <w:rPr>
          <w:spacing w:val="-2"/>
        </w:rPr>
        <w:t> </w:t>
      </w:r>
      <w:r>
        <w:rPr/>
        <w:t>parte</w:t>
      </w:r>
      <w:r>
        <w:rPr>
          <w:spacing w:val="-5"/>
        </w:rPr>
        <w:t> </w:t>
      </w:r>
      <w:r>
        <w:rPr/>
        <w:t>pelas veias superficiais que</w:t>
      </w:r>
      <w:r>
        <w:rPr>
          <w:spacing w:val="-5"/>
        </w:rPr>
        <w:t> </w:t>
      </w:r>
      <w:r>
        <w:rPr/>
        <w:t>se</w:t>
      </w:r>
      <w:r>
        <w:rPr>
          <w:spacing w:val="-5"/>
        </w:rPr>
        <w:t> </w:t>
      </w:r>
      <w:r>
        <w:rPr/>
        <w:t>tornam</w:t>
      </w:r>
      <w:r>
        <w:rPr>
          <w:spacing w:val="-2"/>
        </w:rPr>
        <w:t> </w:t>
      </w:r>
      <w:r>
        <w:rPr/>
        <w:t>dilatadas e</w:t>
      </w:r>
      <w:r>
        <w:rPr>
          <w:spacing w:val="-5"/>
        </w:rPr>
        <w:t> </w:t>
      </w:r>
      <w:r>
        <w:rPr/>
        <w:t>visíveis, em</w:t>
      </w:r>
      <w:r>
        <w:rPr>
          <w:spacing w:val="-2"/>
        </w:rPr>
        <w:t> </w:t>
      </w:r>
      <w:r>
        <w:rPr/>
        <w:t>especial na região inguinal nas tromboses iliacofemorais.</w:t>
      </w:r>
    </w:p>
    <w:p>
      <w:pPr>
        <w:pStyle w:val="BodyText"/>
        <w:spacing w:line="276" w:lineRule="auto"/>
        <w:ind w:right="491"/>
      </w:pPr>
      <w:r>
        <w:rPr/>
        <w:t>Em</w:t>
      </w:r>
      <w:r>
        <w:rPr>
          <w:spacing w:val="-7"/>
        </w:rPr>
        <w:t> </w:t>
      </w:r>
      <w:r>
        <w:rPr/>
        <w:t>tromboses venosas extensas pode</w:t>
      </w:r>
      <w:r>
        <w:rPr>
          <w:spacing w:val="-9"/>
        </w:rPr>
        <w:t> </w:t>
      </w:r>
      <w:r>
        <w:rPr/>
        <w:t>haver</w:t>
      </w:r>
      <w:r>
        <w:rPr>
          <w:spacing w:val="-1"/>
        </w:rPr>
        <w:t> </w:t>
      </w:r>
      <w:r>
        <w:rPr/>
        <w:t>vasospasmo</w:t>
      </w:r>
      <w:r>
        <w:rPr>
          <w:spacing w:val="-7"/>
        </w:rPr>
        <w:t> </w:t>
      </w:r>
      <w:r>
        <w:rPr/>
        <w:t>arterial</w:t>
      </w:r>
      <w:r>
        <w:rPr>
          <w:spacing w:val="-3"/>
        </w:rPr>
        <w:t> </w:t>
      </w:r>
      <w:r>
        <w:rPr/>
        <w:t>que</w:t>
      </w:r>
      <w:r>
        <w:rPr>
          <w:spacing w:val="-9"/>
        </w:rPr>
        <w:t> </w:t>
      </w:r>
      <w:r>
        <w:rPr/>
        <w:t>produz</w:t>
      </w:r>
      <w:r>
        <w:rPr>
          <w:spacing w:val="-9"/>
        </w:rPr>
        <w:t> </w:t>
      </w:r>
      <w:r>
        <w:rPr/>
        <w:t>palidez</w:t>
      </w:r>
      <w:r>
        <w:rPr>
          <w:spacing w:val="-9"/>
        </w:rPr>
        <w:t> </w:t>
      </w:r>
      <w:r>
        <w:rPr/>
        <w:t>por</w:t>
      </w:r>
      <w:r>
        <w:rPr>
          <w:spacing w:val="-1"/>
        </w:rPr>
        <w:t> </w:t>
      </w:r>
      <w:r>
        <w:rPr/>
        <w:t>diminuição</w:t>
      </w:r>
      <w:r>
        <w:rPr>
          <w:spacing w:val="-7"/>
        </w:rPr>
        <w:t> </w:t>
      </w:r>
      <w:r>
        <w:rPr/>
        <w:t>de</w:t>
      </w:r>
      <w:r>
        <w:rPr>
          <w:spacing w:val="-9"/>
        </w:rPr>
        <w:t> </w:t>
      </w:r>
      <w:r>
        <w:rPr/>
        <w:t>irrigação da pele, caracterizando o que se chama de flegmasia </w:t>
      </w:r>
      <w:r>
        <w:rPr>
          <w:i/>
        </w:rPr>
        <w:t>alba dolens </w:t>
      </w:r>
      <w:r>
        <w:rPr/>
        <w:t>(</w:t>
      </w:r>
      <w:r>
        <w:rPr>
          <w:color w:val="505050"/>
        </w:rPr>
        <w:t>Figura 59.27</w:t>
      </w:r>
      <w:r>
        <w:rPr/>
        <w:t>). Quando a trombose venosa é extensa e maciça, pode haver bloqueio da circulação colateral e o retorno venoso pode ser tão prejudicado que a estase</w:t>
      </w:r>
      <w:r>
        <w:rPr>
          <w:spacing w:val="-3"/>
        </w:rPr>
        <w:t> </w:t>
      </w:r>
      <w:r>
        <w:rPr/>
        <w:t>compromete</w:t>
      </w:r>
      <w:r>
        <w:rPr>
          <w:spacing w:val="-3"/>
        </w:rPr>
        <w:t> </w:t>
      </w:r>
      <w:r>
        <w:rPr/>
        <w:t>de</w:t>
      </w:r>
      <w:r>
        <w:rPr>
          <w:spacing w:val="-3"/>
        </w:rPr>
        <w:t> </w:t>
      </w:r>
      <w:r>
        <w:rPr/>
        <w:t>forma</w:t>
      </w:r>
      <w:r>
        <w:rPr>
          <w:spacing w:val="-3"/>
        </w:rPr>
        <w:t> </w:t>
      </w:r>
      <w:r>
        <w:rPr/>
        <w:t>grave</w:t>
      </w:r>
      <w:r>
        <w:rPr>
          <w:spacing w:val="-3"/>
        </w:rPr>
        <w:t> </w:t>
      </w:r>
      <w:r>
        <w:rPr/>
        <w:t>o</w:t>
      </w:r>
      <w:r>
        <w:rPr>
          <w:spacing w:val="-1"/>
        </w:rPr>
        <w:t> </w:t>
      </w:r>
      <w:r>
        <w:rPr/>
        <w:t>leito</w:t>
      </w:r>
      <w:r>
        <w:rPr>
          <w:spacing w:val="-1"/>
        </w:rPr>
        <w:t> </w:t>
      </w:r>
      <w:r>
        <w:rPr/>
        <w:t>capilar com</w:t>
      </w:r>
      <w:r>
        <w:rPr>
          <w:spacing w:val="-1"/>
        </w:rPr>
        <w:t> </w:t>
      </w:r>
      <w:r>
        <w:rPr/>
        <w:t>risco</w:t>
      </w:r>
      <w:r>
        <w:rPr>
          <w:spacing w:val="-1"/>
        </w:rPr>
        <w:t> </w:t>
      </w:r>
      <w:r>
        <w:rPr/>
        <w:t>de</w:t>
      </w:r>
      <w:r>
        <w:rPr>
          <w:spacing w:val="-3"/>
        </w:rPr>
        <w:t> </w:t>
      </w:r>
      <w:r>
        <w:rPr/>
        <w:t>necrose</w:t>
      </w:r>
      <w:r>
        <w:rPr>
          <w:spacing w:val="-3"/>
        </w:rPr>
        <w:t> </w:t>
      </w:r>
      <w:r>
        <w:rPr/>
        <w:t>da</w:t>
      </w:r>
      <w:r>
        <w:rPr>
          <w:spacing w:val="-3"/>
        </w:rPr>
        <w:t> </w:t>
      </w:r>
      <w:r>
        <w:rPr/>
        <w:t>extremidade. Nessa</w:t>
      </w:r>
      <w:r>
        <w:rPr>
          <w:spacing w:val="-3"/>
        </w:rPr>
        <w:t> </w:t>
      </w:r>
      <w:r>
        <w:rPr/>
        <w:t>condição, o</w:t>
      </w:r>
      <w:r>
        <w:rPr>
          <w:spacing w:val="-1"/>
        </w:rPr>
        <w:t> </w:t>
      </w:r>
      <w:r>
        <w:rPr/>
        <w:t>membro adquire</w:t>
      </w:r>
      <w:r>
        <w:rPr>
          <w:spacing w:val="-15"/>
        </w:rPr>
        <w:t> </w:t>
      </w:r>
      <w:r>
        <w:rPr/>
        <w:t>coloração</w:t>
      </w:r>
      <w:r>
        <w:rPr>
          <w:spacing w:val="-14"/>
        </w:rPr>
        <w:t> </w:t>
      </w:r>
      <w:r>
        <w:rPr/>
        <w:t>fortemente</w:t>
      </w:r>
      <w:r>
        <w:rPr>
          <w:spacing w:val="-15"/>
        </w:rPr>
        <w:t> </w:t>
      </w:r>
      <w:r>
        <w:rPr/>
        <w:t>violácea,</w:t>
      </w:r>
      <w:r>
        <w:rPr>
          <w:spacing w:val="-14"/>
        </w:rPr>
        <w:t> </w:t>
      </w:r>
      <w:r>
        <w:rPr/>
        <w:t>caracterizando</w:t>
      </w:r>
      <w:r>
        <w:rPr>
          <w:spacing w:val="-14"/>
        </w:rPr>
        <w:t> </w:t>
      </w:r>
      <w:r>
        <w:rPr/>
        <w:t>a</w:t>
      </w:r>
      <w:r>
        <w:rPr>
          <w:spacing w:val="-15"/>
        </w:rPr>
        <w:t> </w:t>
      </w:r>
      <w:r>
        <w:rPr/>
        <w:t>flegmasia</w:t>
      </w:r>
      <w:r>
        <w:rPr>
          <w:spacing w:val="-14"/>
        </w:rPr>
        <w:t> </w:t>
      </w:r>
      <w:r>
        <w:rPr>
          <w:i/>
        </w:rPr>
        <w:t>cerulea</w:t>
      </w:r>
      <w:r>
        <w:rPr>
          <w:i/>
          <w:spacing w:val="-14"/>
        </w:rPr>
        <w:t> </w:t>
      </w:r>
      <w:r>
        <w:rPr>
          <w:i/>
        </w:rPr>
        <w:t>dolens</w:t>
      </w:r>
      <w:r>
        <w:rPr/>
        <w:t>,</w:t>
      </w:r>
      <w:r>
        <w:rPr>
          <w:spacing w:val="-15"/>
        </w:rPr>
        <w:t> </w:t>
      </w:r>
      <w:r>
        <w:rPr/>
        <w:t>podendo</w:t>
      </w:r>
      <w:r>
        <w:rPr>
          <w:spacing w:val="-14"/>
        </w:rPr>
        <w:t> </w:t>
      </w:r>
      <w:r>
        <w:rPr/>
        <w:t>ocorrer</w:t>
      </w:r>
      <w:r>
        <w:rPr>
          <w:spacing w:val="-15"/>
        </w:rPr>
        <w:t> </w:t>
      </w:r>
      <w:r>
        <w:rPr/>
        <w:t>gangrena</w:t>
      </w:r>
      <w:r>
        <w:rPr>
          <w:spacing w:val="-14"/>
        </w:rPr>
        <w:t> </w:t>
      </w:r>
      <w:r>
        <w:rPr/>
        <w:t>venosa, com taxa de mortalidade extremamente alta e os pacientes que sobrevivem com frequência podem necessitar de amputação do membro. No entanto, felizmente, as complicações isquêmicas na TVP são raras, ocorrendo em 2 a 10% dos pacientes.</w:t>
      </w:r>
    </w:p>
    <w:p>
      <w:pPr>
        <w:pStyle w:val="BodyText"/>
        <w:spacing w:after="0" w:line="276" w:lineRule="auto"/>
        <w:sectPr>
          <w:pgSz w:w="11900" w:h="16840"/>
          <w:pgMar w:top="160" w:bottom="280" w:left="566" w:right="141"/>
        </w:sectPr>
      </w:pPr>
    </w:p>
    <w:p>
      <w:pPr>
        <w:spacing w:line="240" w:lineRule="auto"/>
        <w:ind w:left="3910" w:right="0" w:firstLine="0"/>
        <w:rPr>
          <w:sz w:val="20"/>
        </w:rPr>
      </w:pPr>
      <w:r>
        <w:rPr>
          <w:sz w:val="20"/>
        </w:rPr>
        <w:drawing>
          <wp:inline distT="0" distB="0" distL="0" distR="0">
            <wp:extent cx="1875282" cy="3740372"/>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61" cstate="print"/>
                    <a:stretch>
                      <a:fillRect/>
                    </a:stretch>
                  </pic:blipFill>
                  <pic:spPr>
                    <a:xfrm>
                      <a:off x="0" y="0"/>
                      <a:ext cx="1875282" cy="3740372"/>
                    </a:xfrm>
                    <a:prstGeom prst="rect">
                      <a:avLst/>
                    </a:prstGeom>
                  </pic:spPr>
                </pic:pic>
              </a:graphicData>
            </a:graphic>
          </wp:inline>
        </w:drawing>
      </w:r>
      <w:r>
        <w:rPr>
          <w:sz w:val="20"/>
        </w:rPr>
      </w:r>
    </w:p>
    <w:p>
      <w:pPr>
        <w:spacing w:before="213"/>
        <w:ind w:left="68" w:right="0" w:firstLine="0"/>
        <w:jc w:val="left"/>
        <w:rPr>
          <w:rFonts w:ascii="Microsoft Sans Serif"/>
          <w:sz w:val="19"/>
        </w:rPr>
      </w:pPr>
      <w:r>
        <w:rPr>
          <w:rFonts w:ascii="Arial"/>
          <w:b/>
          <w:color w:val="242B67"/>
          <w:sz w:val="19"/>
        </w:rPr>
        <w:t>Figura</w:t>
      </w:r>
      <w:r>
        <w:rPr>
          <w:rFonts w:ascii="Arial"/>
          <w:b/>
          <w:color w:val="242B67"/>
          <w:spacing w:val="15"/>
          <w:sz w:val="19"/>
        </w:rPr>
        <w:t> </w:t>
      </w:r>
      <w:r>
        <w:rPr>
          <w:rFonts w:ascii="Arial"/>
          <w:b/>
          <w:color w:val="242B67"/>
          <w:sz w:val="19"/>
        </w:rPr>
        <w:t>59.27</w:t>
      </w:r>
      <w:r>
        <w:rPr>
          <w:rFonts w:ascii="Arial"/>
          <w:b/>
          <w:color w:val="242B67"/>
          <w:spacing w:val="16"/>
          <w:sz w:val="19"/>
        </w:rPr>
        <w:t> </w:t>
      </w:r>
      <w:r>
        <w:rPr>
          <w:rFonts w:ascii="Microsoft Sans Serif"/>
          <w:sz w:val="19"/>
        </w:rPr>
        <w:t>Flegmasia</w:t>
      </w:r>
      <w:r>
        <w:rPr>
          <w:rFonts w:ascii="Microsoft Sans Serif"/>
          <w:spacing w:val="17"/>
          <w:sz w:val="19"/>
        </w:rPr>
        <w:t> </w:t>
      </w:r>
      <w:r>
        <w:rPr>
          <w:rFonts w:ascii="Arial"/>
          <w:i/>
          <w:sz w:val="19"/>
        </w:rPr>
        <w:t>alba</w:t>
      </w:r>
      <w:r>
        <w:rPr>
          <w:rFonts w:ascii="Arial"/>
          <w:i/>
          <w:spacing w:val="16"/>
          <w:sz w:val="19"/>
        </w:rPr>
        <w:t> </w:t>
      </w:r>
      <w:r>
        <w:rPr>
          <w:rFonts w:ascii="Arial"/>
          <w:i/>
          <w:sz w:val="19"/>
        </w:rPr>
        <w:t>dolens</w:t>
      </w:r>
      <w:r>
        <w:rPr>
          <w:rFonts w:ascii="Arial"/>
          <w:i/>
          <w:spacing w:val="8"/>
          <w:sz w:val="19"/>
        </w:rPr>
        <w:t> </w:t>
      </w:r>
      <w:r>
        <w:rPr>
          <w:rFonts w:ascii="Microsoft Sans Serif"/>
          <w:sz w:val="19"/>
        </w:rPr>
        <w:t>no</w:t>
      </w:r>
      <w:r>
        <w:rPr>
          <w:rFonts w:ascii="Microsoft Sans Serif"/>
          <w:spacing w:val="17"/>
          <w:sz w:val="19"/>
        </w:rPr>
        <w:t> </w:t>
      </w:r>
      <w:r>
        <w:rPr>
          <w:rFonts w:ascii="Microsoft Sans Serif"/>
          <w:sz w:val="19"/>
        </w:rPr>
        <w:t>membro</w:t>
      </w:r>
      <w:r>
        <w:rPr>
          <w:rFonts w:ascii="Microsoft Sans Serif"/>
          <w:spacing w:val="18"/>
          <w:sz w:val="19"/>
        </w:rPr>
        <w:t> </w:t>
      </w:r>
      <w:r>
        <w:rPr>
          <w:rFonts w:ascii="Microsoft Sans Serif"/>
          <w:sz w:val="19"/>
        </w:rPr>
        <w:t>inferior</w:t>
      </w:r>
      <w:r>
        <w:rPr>
          <w:rFonts w:ascii="Microsoft Sans Serif"/>
          <w:spacing w:val="11"/>
          <w:sz w:val="19"/>
        </w:rPr>
        <w:t> </w:t>
      </w:r>
      <w:r>
        <w:rPr>
          <w:rFonts w:ascii="Microsoft Sans Serif"/>
          <w:spacing w:val="-2"/>
          <w:sz w:val="19"/>
        </w:rPr>
        <w:t>direito.</w:t>
      </w:r>
    </w:p>
    <w:p>
      <w:pPr>
        <w:pStyle w:val="BodyText"/>
        <w:spacing w:before="0"/>
        <w:ind w:left="0" w:firstLine="0"/>
        <w:jc w:val="left"/>
        <w:rPr>
          <w:rFonts w:ascii="Microsoft Sans Serif"/>
          <w:sz w:val="19"/>
        </w:rPr>
      </w:pPr>
    </w:p>
    <w:p>
      <w:pPr>
        <w:pStyle w:val="BodyText"/>
        <w:spacing w:before="52"/>
        <w:ind w:left="0" w:firstLine="0"/>
        <w:jc w:val="left"/>
        <w:rPr>
          <w:rFonts w:ascii="Microsoft Sans Serif"/>
          <w:sz w:val="19"/>
        </w:rPr>
      </w:pPr>
    </w:p>
    <w:p>
      <w:pPr>
        <w:pStyle w:val="Heading4"/>
        <w:spacing w:before="1"/>
      </w:pPr>
      <w:r>
        <w:rPr>
          <w:color w:val="242B67"/>
        </w:rPr>
        <w:t>Métodos auxiliares de </w:t>
      </w:r>
      <w:r>
        <w:rPr>
          <w:color w:val="242B67"/>
          <w:spacing w:val="-2"/>
        </w:rPr>
        <w:t>diagnóstico</w:t>
      </w:r>
    </w:p>
    <w:p>
      <w:pPr>
        <w:pStyle w:val="BodyText"/>
        <w:spacing w:line="276" w:lineRule="auto" w:before="147"/>
        <w:ind w:right="497"/>
      </w:pPr>
      <w:r>
        <w:rPr/>
        <w:t>A</w:t>
      </w:r>
      <w:r>
        <w:rPr>
          <w:spacing w:val="-4"/>
        </w:rPr>
        <w:t> </w:t>
      </w:r>
      <w:r>
        <w:rPr/>
        <w:t>flebografia, o</w:t>
      </w:r>
      <w:r>
        <w:rPr>
          <w:spacing w:val="-1"/>
        </w:rPr>
        <w:t> </w:t>
      </w:r>
      <w:r>
        <w:rPr/>
        <w:t>mapeamento</w:t>
      </w:r>
      <w:r>
        <w:rPr>
          <w:spacing w:val="-1"/>
        </w:rPr>
        <w:t> </w:t>
      </w:r>
      <w:r>
        <w:rPr/>
        <w:t>duplex, a</w:t>
      </w:r>
      <w:r>
        <w:rPr>
          <w:spacing w:val="-4"/>
        </w:rPr>
        <w:t> </w:t>
      </w:r>
      <w:r>
        <w:rPr/>
        <w:t>TC, a</w:t>
      </w:r>
      <w:r>
        <w:rPr>
          <w:spacing w:val="-4"/>
        </w:rPr>
        <w:t> </w:t>
      </w:r>
      <w:r>
        <w:rPr/>
        <w:t>cintigrafia</w:t>
      </w:r>
      <w:r>
        <w:rPr>
          <w:spacing w:val="-4"/>
        </w:rPr>
        <w:t> </w:t>
      </w:r>
      <w:r>
        <w:rPr/>
        <w:t>venosa</w:t>
      </w:r>
      <w:r>
        <w:rPr>
          <w:spacing w:val="-4"/>
        </w:rPr>
        <w:t> </w:t>
      </w:r>
      <w:r>
        <w:rPr/>
        <w:t>e</w:t>
      </w:r>
      <w:r>
        <w:rPr>
          <w:spacing w:val="-4"/>
        </w:rPr>
        <w:t> </w:t>
      </w:r>
      <w:r>
        <w:rPr/>
        <w:t>a</w:t>
      </w:r>
      <w:r>
        <w:rPr>
          <w:spacing w:val="-4"/>
        </w:rPr>
        <w:t> </w:t>
      </w:r>
      <w:r>
        <w:rPr/>
        <w:t>pletismografia</w:t>
      </w:r>
      <w:r>
        <w:rPr>
          <w:spacing w:val="-4"/>
        </w:rPr>
        <w:t> </w:t>
      </w:r>
      <w:r>
        <w:rPr/>
        <w:t>são</w:t>
      </w:r>
      <w:r>
        <w:rPr>
          <w:spacing w:val="-1"/>
        </w:rPr>
        <w:t> </w:t>
      </w:r>
      <w:r>
        <w:rPr/>
        <w:t>os métodos diagnósticos mais utilizados e se baseiam no estudo de imagem e fluxo venoso. Esses métodos, apesar de serem de alta sensibilidade na detecção da TVP dos grandes troncos venosos suprageniculares, têm baixa sensibilidade na detecção de TVP ao nível da perna, em especial das veias musculares da panturrilha. O teste do fibrinogênio marcado com iodo-125, apesar de apresentar grande número de falso-positivos, é o mais sensível para TVP muscular das veias da</w:t>
      </w:r>
      <w:r>
        <w:rPr>
          <w:spacing w:val="-6"/>
        </w:rPr>
        <w:t> </w:t>
      </w:r>
      <w:r>
        <w:rPr/>
        <w:t>panturrilha. No</w:t>
      </w:r>
      <w:r>
        <w:rPr>
          <w:spacing w:val="-3"/>
        </w:rPr>
        <w:t> </w:t>
      </w:r>
      <w:r>
        <w:rPr/>
        <w:t>entanto, deixou</w:t>
      </w:r>
      <w:r>
        <w:rPr>
          <w:spacing w:val="-3"/>
        </w:rPr>
        <w:t> </w:t>
      </w:r>
      <w:r>
        <w:rPr/>
        <w:t>de</w:t>
      </w:r>
      <w:r>
        <w:rPr>
          <w:spacing w:val="-6"/>
        </w:rPr>
        <w:t> </w:t>
      </w:r>
      <w:r>
        <w:rPr/>
        <w:t>ser utilizado</w:t>
      </w:r>
      <w:r>
        <w:rPr>
          <w:spacing w:val="-3"/>
        </w:rPr>
        <w:t> </w:t>
      </w:r>
      <w:r>
        <w:rPr/>
        <w:t>e</w:t>
      </w:r>
      <w:r>
        <w:rPr>
          <w:spacing w:val="-6"/>
        </w:rPr>
        <w:t> </w:t>
      </w:r>
      <w:r>
        <w:rPr/>
        <w:t>não</w:t>
      </w:r>
      <w:r>
        <w:rPr>
          <w:spacing w:val="-3"/>
        </w:rPr>
        <w:t> </w:t>
      </w:r>
      <w:r>
        <w:rPr/>
        <w:t>está</w:t>
      </w:r>
      <w:r>
        <w:rPr>
          <w:spacing w:val="-6"/>
        </w:rPr>
        <w:t> </w:t>
      </w:r>
      <w:r>
        <w:rPr/>
        <w:t>disponível</w:t>
      </w:r>
      <w:r>
        <w:rPr>
          <w:spacing w:val="-1"/>
        </w:rPr>
        <w:t> </w:t>
      </w:r>
      <w:r>
        <w:rPr/>
        <w:t>comercialmente</w:t>
      </w:r>
      <w:r>
        <w:rPr>
          <w:spacing w:val="-6"/>
        </w:rPr>
        <w:t> </w:t>
      </w:r>
      <w:r>
        <w:rPr/>
        <w:t>devido aos riscos de contaminação biológica.</w:t>
      </w:r>
    </w:p>
    <w:p>
      <w:pPr>
        <w:pStyle w:val="BodyText"/>
        <w:spacing w:before="119"/>
        <w:ind w:left="0" w:firstLine="0"/>
        <w:jc w:val="left"/>
      </w:pPr>
    </w:p>
    <w:p>
      <w:pPr>
        <w:pStyle w:val="Heading5"/>
      </w:pPr>
      <w:r>
        <w:rPr>
          <w:color w:val="A26108"/>
        </w:rPr>
        <w:t>Mapeamento</w:t>
      </w:r>
      <w:r>
        <w:rPr>
          <w:color w:val="A26108"/>
          <w:spacing w:val="38"/>
        </w:rPr>
        <w:t> </w:t>
      </w:r>
      <w:r>
        <w:rPr>
          <w:color w:val="A26108"/>
          <w:spacing w:val="-2"/>
        </w:rPr>
        <w:t>duplex</w:t>
      </w:r>
    </w:p>
    <w:p>
      <w:pPr>
        <w:pStyle w:val="BodyText"/>
        <w:spacing w:line="278" w:lineRule="auto" w:before="138"/>
        <w:ind w:right="497"/>
      </w:pPr>
      <w:r>
        <w:rPr/>
        <w:t>É o método mais utilizado atualmente por ser não invasivo e pela versatilidade. Quando realizado por examinadores experientes, apresenta alta sensibilidade no diagnóstico de trombose em grandes troncos venosos. Nesse exame, a veia trombosada aparece como imagem hiperecogênica e as paredes não colabam à compressão. Determina</w:t>
      </w:r>
      <w:r>
        <w:rPr>
          <w:spacing w:val="-9"/>
        </w:rPr>
        <w:t> </w:t>
      </w:r>
      <w:r>
        <w:rPr/>
        <w:t>localização</w:t>
      </w:r>
      <w:r>
        <w:rPr>
          <w:spacing w:val="-6"/>
        </w:rPr>
        <w:t> </w:t>
      </w:r>
      <w:r>
        <w:rPr/>
        <w:t>e</w:t>
      </w:r>
      <w:r>
        <w:rPr>
          <w:spacing w:val="-9"/>
        </w:rPr>
        <w:t> </w:t>
      </w:r>
      <w:r>
        <w:rPr/>
        <w:t>extensão</w:t>
      </w:r>
      <w:r>
        <w:rPr>
          <w:spacing w:val="-6"/>
        </w:rPr>
        <w:t> </w:t>
      </w:r>
      <w:r>
        <w:rPr/>
        <w:t>da</w:t>
      </w:r>
      <w:r>
        <w:rPr>
          <w:spacing w:val="-9"/>
        </w:rPr>
        <w:t> </w:t>
      </w:r>
      <w:r>
        <w:rPr/>
        <w:t>trombose, torna</w:t>
      </w:r>
      <w:r>
        <w:rPr>
          <w:spacing w:val="-9"/>
        </w:rPr>
        <w:t> </w:t>
      </w:r>
      <w:r>
        <w:rPr/>
        <w:t>possível</w:t>
      </w:r>
      <w:r>
        <w:rPr>
          <w:spacing w:val="-4"/>
        </w:rPr>
        <w:t> </w:t>
      </w:r>
      <w:r>
        <w:rPr/>
        <w:t>diagnosticar</w:t>
      </w:r>
      <w:r>
        <w:rPr>
          <w:spacing w:val="-1"/>
        </w:rPr>
        <w:t> </w:t>
      </w:r>
      <w:r>
        <w:rPr/>
        <w:t>trombos oclusivos e</w:t>
      </w:r>
      <w:r>
        <w:rPr>
          <w:spacing w:val="-9"/>
        </w:rPr>
        <w:t> </w:t>
      </w:r>
      <w:r>
        <w:rPr/>
        <w:t>não</w:t>
      </w:r>
      <w:r>
        <w:rPr>
          <w:spacing w:val="-6"/>
        </w:rPr>
        <w:t> </w:t>
      </w:r>
      <w:r>
        <w:rPr/>
        <w:t>oclusivos, se</w:t>
      </w:r>
      <w:r>
        <w:rPr>
          <w:spacing w:val="-9"/>
        </w:rPr>
        <w:t> </w:t>
      </w:r>
      <w:r>
        <w:rPr/>
        <w:t>há cauda flutuante e se o trombo é recente ou antigo (</w:t>
      </w:r>
      <w:r>
        <w:rPr>
          <w:color w:val="505050"/>
        </w:rPr>
        <w:t>Figura</w:t>
      </w:r>
      <w:r>
        <w:rPr>
          <w:color w:val="505050"/>
          <w:spacing w:val="-6"/>
        </w:rPr>
        <w:t> </w:t>
      </w:r>
      <w:r>
        <w:rPr>
          <w:color w:val="505050"/>
        </w:rPr>
        <w:t>59.28</w:t>
      </w:r>
      <w:r>
        <w:rPr/>
        <w:t>).</w:t>
      </w:r>
      <w:r>
        <w:rPr>
          <w:vertAlign w:val="superscript"/>
        </w:rPr>
        <w:t>6</w:t>
      </w:r>
      <w:r>
        <w:rPr>
          <w:vertAlign w:val="baseline"/>
        </w:rPr>
        <w:t> As veias tibiais, fibulares e veias musculares da panturrilha também podem ser identificadas quando o método é utilizado por examinadores experientes. Compressões extrínsecas por linfadenomegalias, tumores, hematomas ou cistos também podem ser facilmente identificados, mesmo na presença concomitante da TVP com o mapeamento duplex. Este método tem como principal limitação a necessidade de profissionais altamente treinados e competentes para obtenção e interpretação dos dados, além do alto custo do equipamento.</w:t>
      </w:r>
    </w:p>
    <w:p>
      <w:pPr>
        <w:pStyle w:val="BodyText"/>
        <w:spacing w:after="0" w:line="278" w:lineRule="auto"/>
        <w:sectPr>
          <w:pgSz w:w="11900" w:h="16840"/>
          <w:pgMar w:top="280" w:bottom="280" w:left="566" w:right="141"/>
        </w:sectPr>
      </w:pPr>
    </w:p>
    <w:p>
      <w:pPr>
        <w:spacing w:line="240" w:lineRule="auto"/>
        <w:ind w:left="2516" w:right="0" w:firstLine="0"/>
        <w:rPr>
          <w:sz w:val="20"/>
        </w:rPr>
      </w:pPr>
      <w:r>
        <w:rPr>
          <w:sz w:val="20"/>
        </w:rPr>
        <w:drawing>
          <wp:inline distT="0" distB="0" distL="0" distR="0">
            <wp:extent cx="3648640" cy="2476595"/>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62" cstate="print"/>
                    <a:stretch>
                      <a:fillRect/>
                    </a:stretch>
                  </pic:blipFill>
                  <pic:spPr>
                    <a:xfrm>
                      <a:off x="0" y="0"/>
                      <a:ext cx="3648640" cy="2476595"/>
                    </a:xfrm>
                    <a:prstGeom prst="rect">
                      <a:avLst/>
                    </a:prstGeom>
                  </pic:spPr>
                </pic:pic>
              </a:graphicData>
            </a:graphic>
          </wp:inline>
        </w:drawing>
      </w:r>
      <w:r>
        <w:rPr>
          <w:sz w:val="20"/>
        </w:rPr>
      </w:r>
    </w:p>
    <w:p>
      <w:pPr>
        <w:spacing w:before="209"/>
        <w:ind w:left="68" w:right="0" w:firstLine="0"/>
        <w:jc w:val="left"/>
        <w:rPr>
          <w:rFonts w:ascii="Microsoft Sans Serif"/>
          <w:sz w:val="19"/>
        </w:rPr>
      </w:pPr>
      <w:r>
        <w:rPr>
          <w:rFonts w:ascii="Arial"/>
          <w:b/>
          <w:color w:val="242B67"/>
          <w:sz w:val="19"/>
        </w:rPr>
        <w:t>Figura</w:t>
      </w:r>
      <w:r>
        <w:rPr>
          <w:rFonts w:ascii="Arial"/>
          <w:b/>
          <w:color w:val="242B67"/>
          <w:spacing w:val="15"/>
          <w:sz w:val="19"/>
        </w:rPr>
        <w:t> </w:t>
      </w:r>
      <w:r>
        <w:rPr>
          <w:rFonts w:ascii="Arial"/>
          <w:b/>
          <w:color w:val="242B67"/>
          <w:sz w:val="19"/>
        </w:rPr>
        <w:t>59.28</w:t>
      </w:r>
      <w:r>
        <w:rPr>
          <w:rFonts w:ascii="Arial"/>
          <w:b/>
          <w:color w:val="242B67"/>
          <w:spacing w:val="16"/>
          <w:sz w:val="19"/>
        </w:rPr>
        <w:t> </w:t>
      </w:r>
      <w:r>
        <w:rPr>
          <w:rFonts w:ascii="Microsoft Sans Serif"/>
          <w:sz w:val="19"/>
        </w:rPr>
        <w:t>Eco-Doppler</w:t>
      </w:r>
      <w:r>
        <w:rPr>
          <w:rFonts w:ascii="Microsoft Sans Serif"/>
          <w:spacing w:val="12"/>
          <w:sz w:val="19"/>
        </w:rPr>
        <w:t> </w:t>
      </w:r>
      <w:r>
        <w:rPr>
          <w:rFonts w:ascii="Microsoft Sans Serif"/>
          <w:sz w:val="19"/>
        </w:rPr>
        <w:t>colorido</w:t>
      </w:r>
      <w:r>
        <w:rPr>
          <w:rFonts w:ascii="Microsoft Sans Serif"/>
          <w:spacing w:val="18"/>
          <w:sz w:val="19"/>
        </w:rPr>
        <w:t> </w:t>
      </w:r>
      <w:r>
        <w:rPr>
          <w:rFonts w:ascii="Microsoft Sans Serif"/>
          <w:sz w:val="19"/>
        </w:rPr>
        <w:t>mostrando</w:t>
      </w:r>
      <w:r>
        <w:rPr>
          <w:rFonts w:ascii="Microsoft Sans Serif"/>
          <w:spacing w:val="17"/>
          <w:sz w:val="19"/>
        </w:rPr>
        <w:t> </w:t>
      </w:r>
      <w:r>
        <w:rPr>
          <w:rFonts w:ascii="Microsoft Sans Serif"/>
          <w:sz w:val="19"/>
        </w:rPr>
        <w:t>trombose</w:t>
      </w:r>
      <w:r>
        <w:rPr>
          <w:rFonts w:ascii="Microsoft Sans Serif"/>
          <w:spacing w:val="18"/>
          <w:sz w:val="19"/>
        </w:rPr>
        <w:t> </w:t>
      </w:r>
      <w:r>
        <w:rPr>
          <w:rFonts w:ascii="Microsoft Sans Serif"/>
          <w:sz w:val="19"/>
        </w:rPr>
        <w:t>de</w:t>
      </w:r>
      <w:r>
        <w:rPr>
          <w:rFonts w:ascii="Microsoft Sans Serif"/>
          <w:spacing w:val="18"/>
          <w:sz w:val="19"/>
        </w:rPr>
        <w:t> </w:t>
      </w:r>
      <w:r>
        <w:rPr>
          <w:rFonts w:ascii="Microsoft Sans Serif"/>
          <w:sz w:val="19"/>
        </w:rPr>
        <w:t>via</w:t>
      </w:r>
      <w:r>
        <w:rPr>
          <w:rFonts w:ascii="Microsoft Sans Serif"/>
          <w:spacing w:val="18"/>
          <w:sz w:val="19"/>
        </w:rPr>
        <w:t> </w:t>
      </w:r>
      <w:r>
        <w:rPr>
          <w:rFonts w:ascii="Microsoft Sans Serif"/>
          <w:sz w:val="19"/>
        </w:rPr>
        <w:t>femoral</w:t>
      </w:r>
      <w:r>
        <w:rPr>
          <w:rFonts w:ascii="Microsoft Sans Serif"/>
          <w:spacing w:val="18"/>
          <w:sz w:val="19"/>
        </w:rPr>
        <w:t> </w:t>
      </w:r>
      <w:r>
        <w:rPr>
          <w:rFonts w:ascii="Microsoft Sans Serif"/>
          <w:spacing w:val="-2"/>
          <w:sz w:val="19"/>
        </w:rPr>
        <w:t>superficial.</w:t>
      </w:r>
    </w:p>
    <w:p>
      <w:pPr>
        <w:pStyle w:val="BodyText"/>
        <w:spacing w:before="0"/>
        <w:ind w:left="0" w:firstLine="0"/>
        <w:jc w:val="left"/>
        <w:rPr>
          <w:rFonts w:ascii="Microsoft Sans Serif"/>
          <w:sz w:val="19"/>
        </w:rPr>
      </w:pPr>
    </w:p>
    <w:p>
      <w:pPr>
        <w:pStyle w:val="BodyText"/>
        <w:spacing w:before="1"/>
        <w:ind w:left="0" w:firstLine="0"/>
        <w:jc w:val="left"/>
        <w:rPr>
          <w:rFonts w:ascii="Microsoft Sans Serif"/>
          <w:sz w:val="19"/>
        </w:rPr>
      </w:pPr>
    </w:p>
    <w:p>
      <w:pPr>
        <w:pStyle w:val="Heading5"/>
      </w:pPr>
      <w:r>
        <w:rPr>
          <w:color w:val="A26108"/>
          <w:spacing w:val="-2"/>
        </w:rPr>
        <w:t>Flebografia</w:t>
      </w:r>
    </w:p>
    <w:p>
      <w:pPr>
        <w:pStyle w:val="BodyText"/>
        <w:spacing w:line="276" w:lineRule="auto" w:before="138"/>
        <w:ind w:right="491"/>
      </w:pPr>
      <w:r>
        <w:rPr/>
        <w:t>Apesar da evolução tecnológica dos exames de imagem não invasivos, a flebografia contrastada é ainda o padrão-ouro no diagnóstico da TVP dos membros inferiores (</w:t>
      </w:r>
      <w:r>
        <w:rPr>
          <w:color w:val="505050"/>
        </w:rPr>
        <w:t>Figura 59.29</w:t>
      </w:r>
      <w:r>
        <w:rPr/>
        <w:t>). Tem alta sensibilidade e especificidade. No entanto, apresenta riscos de reações alérgicas e anafiláticas pelo uso do contraste iodado, podendo provocar irritação endotelial e agravamento da trombose venosa. Por isso, muitos profissionais evitam pedir</w:t>
      </w:r>
      <w:r>
        <w:rPr>
          <w:spacing w:val="-2"/>
        </w:rPr>
        <w:t> </w:t>
      </w:r>
      <w:r>
        <w:rPr/>
        <w:t>a</w:t>
      </w:r>
      <w:r>
        <w:rPr>
          <w:spacing w:val="-10"/>
        </w:rPr>
        <w:t> </w:t>
      </w:r>
      <w:r>
        <w:rPr/>
        <w:t>flebografia</w:t>
      </w:r>
      <w:r>
        <w:rPr>
          <w:spacing w:val="-10"/>
        </w:rPr>
        <w:t> </w:t>
      </w:r>
      <w:r>
        <w:rPr/>
        <w:t>de</w:t>
      </w:r>
      <w:r>
        <w:rPr>
          <w:spacing w:val="-10"/>
        </w:rPr>
        <w:t> </w:t>
      </w:r>
      <w:r>
        <w:rPr/>
        <w:t>rotina, especialmente</w:t>
      </w:r>
      <w:r>
        <w:rPr>
          <w:spacing w:val="-10"/>
        </w:rPr>
        <w:t> </w:t>
      </w:r>
      <w:r>
        <w:rPr/>
        <w:t>quando</w:t>
      </w:r>
      <w:r>
        <w:rPr>
          <w:spacing w:val="-7"/>
        </w:rPr>
        <w:t> </w:t>
      </w:r>
      <w:r>
        <w:rPr/>
        <w:t>a</w:t>
      </w:r>
      <w:r>
        <w:rPr>
          <w:spacing w:val="-10"/>
        </w:rPr>
        <w:t> </w:t>
      </w:r>
      <w:r>
        <w:rPr/>
        <w:t>suspeita</w:t>
      </w:r>
      <w:r>
        <w:rPr>
          <w:spacing w:val="-10"/>
        </w:rPr>
        <w:t> </w:t>
      </w:r>
      <w:r>
        <w:rPr/>
        <w:t>de</w:t>
      </w:r>
      <w:r>
        <w:rPr>
          <w:spacing w:val="-10"/>
        </w:rPr>
        <w:t> </w:t>
      </w:r>
      <w:r>
        <w:rPr/>
        <w:t>TVP</w:t>
      </w:r>
      <w:r>
        <w:rPr>
          <w:spacing w:val="-5"/>
        </w:rPr>
        <w:t> </w:t>
      </w:r>
      <w:r>
        <w:rPr/>
        <w:t>não</w:t>
      </w:r>
      <w:r>
        <w:rPr>
          <w:spacing w:val="-7"/>
        </w:rPr>
        <w:t> </w:t>
      </w:r>
      <w:r>
        <w:rPr/>
        <w:t>é</w:t>
      </w:r>
      <w:r>
        <w:rPr>
          <w:spacing w:val="-10"/>
        </w:rPr>
        <w:t> </w:t>
      </w:r>
      <w:r>
        <w:rPr/>
        <w:t>forte, defendendo</w:t>
      </w:r>
      <w:r>
        <w:rPr>
          <w:spacing w:val="-7"/>
        </w:rPr>
        <w:t> </w:t>
      </w:r>
      <w:r>
        <w:rPr/>
        <w:t>inicialmente</w:t>
      </w:r>
      <w:r>
        <w:rPr>
          <w:spacing w:val="-10"/>
        </w:rPr>
        <w:t> </w:t>
      </w:r>
      <w:r>
        <w:rPr/>
        <w:t>métodos não invasivos, em especial o mapeamento duplex.</w:t>
      </w:r>
    </w:p>
    <w:p>
      <w:pPr>
        <w:pStyle w:val="BodyText"/>
        <w:spacing w:before="134"/>
        <w:ind w:left="0" w:firstLine="0"/>
        <w:jc w:val="left"/>
      </w:pPr>
    </w:p>
    <w:p>
      <w:pPr>
        <w:pStyle w:val="Heading5"/>
      </w:pPr>
      <w:r>
        <w:rPr>
          <w:color w:val="A26108"/>
          <w:spacing w:val="-2"/>
        </w:rPr>
        <w:t>Pletismografia</w:t>
      </w:r>
    </w:p>
    <w:p>
      <w:pPr>
        <w:pStyle w:val="BodyText"/>
        <w:spacing w:line="276" w:lineRule="auto" w:before="138"/>
        <w:ind w:right="488"/>
      </w:pPr>
      <w:r>
        <w:rPr/>
        <w:t>A oclusão de veias maiores do sistema venoso profundo da perna e coxa diminui a complacência e aumenta a resistência ao fluxo. A pletismografia, por qualquer das modalidades, de impedância, a ar, ou de mercúrio (</w:t>
      </w:r>
      <w:r>
        <w:rPr>
          <w:i/>
        </w:rPr>
        <w:t>strain-gauge</w:t>
      </w:r>
      <w:r>
        <w:rPr/>
        <w:t>) baseia-se na determinação das variações de volume do membro. Aplica-se um manguito proximal na coxa até uma pressão de 50 mmHg, suficiente para o bloqueio do retorno venoso. No paciente normal, o aumento do volume do membro, após o bloqueio, aumenta de 2 a 3% e, nos pacientes com trombose venosa, esse aumento é sensivelmente menor. O registro da variação do volume é realizado com um sensor colocado na perna. É possível, também, a obtenção do gráfico do tempo de recuperação do volume do membro após remoção do manguito proximal. Nos pacientes com</w:t>
      </w:r>
      <w:r>
        <w:rPr>
          <w:spacing w:val="-2"/>
        </w:rPr>
        <w:t> </w:t>
      </w:r>
      <w:r>
        <w:rPr/>
        <w:t>TVP, o</w:t>
      </w:r>
      <w:r>
        <w:rPr>
          <w:spacing w:val="-2"/>
        </w:rPr>
        <w:t> </w:t>
      </w:r>
      <w:r>
        <w:rPr/>
        <w:t>tempo</w:t>
      </w:r>
      <w:r>
        <w:rPr>
          <w:spacing w:val="-2"/>
        </w:rPr>
        <w:t> </w:t>
      </w:r>
      <w:r>
        <w:rPr/>
        <w:t>de</w:t>
      </w:r>
      <w:r>
        <w:rPr>
          <w:spacing w:val="-5"/>
        </w:rPr>
        <w:t> </w:t>
      </w:r>
      <w:r>
        <w:rPr/>
        <w:t>recuperação</w:t>
      </w:r>
      <w:r>
        <w:rPr>
          <w:spacing w:val="-2"/>
        </w:rPr>
        <w:t> </w:t>
      </w:r>
      <w:r>
        <w:rPr/>
        <w:t>do</w:t>
      </w:r>
      <w:r>
        <w:rPr>
          <w:spacing w:val="-2"/>
        </w:rPr>
        <w:t> </w:t>
      </w:r>
      <w:r>
        <w:rPr/>
        <w:t>volume</w:t>
      </w:r>
      <w:r>
        <w:rPr>
          <w:spacing w:val="-5"/>
        </w:rPr>
        <w:t> </w:t>
      </w:r>
      <w:r>
        <w:rPr/>
        <w:t>é</w:t>
      </w:r>
      <w:r>
        <w:rPr>
          <w:spacing w:val="-5"/>
        </w:rPr>
        <w:t> </w:t>
      </w:r>
      <w:r>
        <w:rPr/>
        <w:t>maior. É possível calcular a</w:t>
      </w:r>
      <w:r>
        <w:rPr>
          <w:spacing w:val="-5"/>
        </w:rPr>
        <w:t> </w:t>
      </w:r>
      <w:r>
        <w:rPr/>
        <w:t>resistência</w:t>
      </w:r>
      <w:r>
        <w:rPr>
          <w:spacing w:val="-5"/>
        </w:rPr>
        <w:t> </w:t>
      </w:r>
      <w:r>
        <w:rPr/>
        <w:t>ao retorno venoso que costuma ser 3 a 5 vezes maior nos pacientes com TVP. No entanto, apesar de sensível para os trombos em veias maiores e acima do joelho, o método é ineficiente no diagnóstico das tromboses das veias da </w:t>
      </w:r>
      <w:r>
        <w:rPr>
          <w:spacing w:val="-2"/>
        </w:rPr>
        <w:t>perna.</w:t>
      </w:r>
    </w:p>
    <w:p>
      <w:pPr>
        <w:pStyle w:val="BodyText"/>
        <w:spacing w:before="135"/>
        <w:ind w:left="0" w:firstLine="0"/>
        <w:jc w:val="left"/>
      </w:pPr>
    </w:p>
    <w:p>
      <w:pPr>
        <w:pStyle w:val="Heading5"/>
      </w:pPr>
      <w:r>
        <w:rPr>
          <w:color w:val="A26108"/>
        </w:rPr>
        <w:t>Cintigrafia</w:t>
      </w:r>
      <w:r>
        <w:rPr>
          <w:color w:val="A26108"/>
          <w:spacing w:val="31"/>
        </w:rPr>
        <w:t> </w:t>
      </w:r>
      <w:r>
        <w:rPr>
          <w:color w:val="A26108"/>
          <w:spacing w:val="-2"/>
        </w:rPr>
        <w:t>venosa</w:t>
      </w:r>
    </w:p>
    <w:p>
      <w:pPr>
        <w:pStyle w:val="BodyText"/>
        <w:spacing w:line="276" w:lineRule="auto" w:before="123"/>
        <w:ind w:right="491"/>
      </w:pPr>
      <w:r>
        <w:rPr/>
        <w:t>A venografia radioisotópica realizada com macroagregado de albumina marcada com tecnécio é procedimento minimamente invasivo, causa pouco desconforto, é rápido, pode ser repetido a cada 24 h e associado ao mapeamento</w:t>
      </w:r>
      <w:r>
        <w:rPr>
          <w:spacing w:val="-4"/>
        </w:rPr>
        <w:t> </w:t>
      </w:r>
      <w:r>
        <w:rPr/>
        <w:t>pulmonar. Esse</w:t>
      </w:r>
      <w:r>
        <w:rPr>
          <w:spacing w:val="-6"/>
        </w:rPr>
        <w:t> </w:t>
      </w:r>
      <w:r>
        <w:rPr/>
        <w:t>método, apesar da</w:t>
      </w:r>
      <w:r>
        <w:rPr>
          <w:spacing w:val="-6"/>
        </w:rPr>
        <w:t> </w:t>
      </w:r>
      <w:r>
        <w:rPr/>
        <w:t>definição</w:t>
      </w:r>
      <w:r>
        <w:rPr>
          <w:spacing w:val="-4"/>
        </w:rPr>
        <w:t> </w:t>
      </w:r>
      <w:r>
        <w:rPr/>
        <w:t>de</w:t>
      </w:r>
      <w:r>
        <w:rPr>
          <w:spacing w:val="-6"/>
        </w:rPr>
        <w:t> </w:t>
      </w:r>
      <w:r>
        <w:rPr/>
        <w:t>imagem</w:t>
      </w:r>
      <w:r>
        <w:rPr>
          <w:spacing w:val="-4"/>
        </w:rPr>
        <w:t> </w:t>
      </w:r>
      <w:r>
        <w:rPr/>
        <w:t>ser bem</w:t>
      </w:r>
      <w:r>
        <w:rPr>
          <w:spacing w:val="-4"/>
        </w:rPr>
        <w:t> </w:t>
      </w:r>
      <w:r>
        <w:rPr/>
        <w:t>inferior à</w:t>
      </w:r>
      <w:r>
        <w:rPr>
          <w:spacing w:val="-6"/>
        </w:rPr>
        <w:t> </w:t>
      </w:r>
      <w:r>
        <w:rPr/>
        <w:t>flebografia</w:t>
      </w:r>
      <w:r>
        <w:rPr>
          <w:spacing w:val="-6"/>
        </w:rPr>
        <w:t> </w:t>
      </w:r>
      <w:r>
        <w:rPr/>
        <w:t>convencional, é particularmente útil para o estudo das veias da coxa e pelve.</w:t>
      </w:r>
    </w:p>
    <w:p>
      <w:pPr>
        <w:pStyle w:val="BodyText"/>
        <w:spacing w:before="133"/>
        <w:ind w:left="0" w:firstLine="0"/>
        <w:jc w:val="left"/>
      </w:pPr>
    </w:p>
    <w:p>
      <w:pPr>
        <w:pStyle w:val="Heading5"/>
      </w:pPr>
      <w:r>
        <w:rPr>
          <w:color w:val="A26108"/>
        </w:rPr>
        <w:t>Tomografia</w:t>
      </w:r>
      <w:r>
        <w:rPr>
          <w:color w:val="A26108"/>
          <w:spacing w:val="34"/>
        </w:rPr>
        <w:t> </w:t>
      </w:r>
      <w:r>
        <w:rPr>
          <w:color w:val="A26108"/>
          <w:spacing w:val="-2"/>
        </w:rPr>
        <w:t>computadorizada</w:t>
      </w:r>
    </w:p>
    <w:p>
      <w:pPr>
        <w:pStyle w:val="BodyText"/>
        <w:spacing w:line="276" w:lineRule="auto" w:before="139"/>
        <w:ind w:right="500"/>
      </w:pPr>
      <w:r>
        <w:rPr/>
        <w:t>Exame</w:t>
      </w:r>
      <w:r>
        <w:rPr>
          <w:spacing w:val="-1"/>
        </w:rPr>
        <w:t> </w:t>
      </w:r>
      <w:r>
        <w:rPr/>
        <w:t>útil no diagnóstico da</w:t>
      </w:r>
      <w:r>
        <w:rPr>
          <w:spacing w:val="-1"/>
        </w:rPr>
        <w:t> </w:t>
      </w:r>
      <w:r>
        <w:rPr/>
        <w:t>TVP de</w:t>
      </w:r>
      <w:r>
        <w:rPr>
          <w:spacing w:val="-1"/>
        </w:rPr>
        <w:t> </w:t>
      </w:r>
      <w:r>
        <w:rPr/>
        <w:t>veias abdominais e</w:t>
      </w:r>
      <w:r>
        <w:rPr>
          <w:spacing w:val="-1"/>
        </w:rPr>
        <w:t> </w:t>
      </w:r>
      <w:r>
        <w:rPr/>
        <w:t>pélvicas (</w:t>
      </w:r>
      <w:r>
        <w:rPr>
          <w:color w:val="505050"/>
        </w:rPr>
        <w:t>Figura</w:t>
      </w:r>
      <w:r>
        <w:rPr>
          <w:color w:val="505050"/>
          <w:spacing w:val="-7"/>
        </w:rPr>
        <w:t> </w:t>
      </w:r>
      <w:r>
        <w:rPr>
          <w:color w:val="505050"/>
        </w:rPr>
        <w:t>59.30</w:t>
      </w:r>
      <w:r>
        <w:rPr/>
        <w:t>).</w:t>
      </w:r>
      <w:r>
        <w:rPr>
          <w:spacing w:val="15"/>
        </w:rPr>
        <w:t> </w:t>
      </w:r>
      <w:r>
        <w:rPr/>
        <w:t>Quando há suspeita de TEP, é</w:t>
      </w:r>
      <w:r>
        <w:rPr>
          <w:spacing w:val="-1"/>
        </w:rPr>
        <w:t> </w:t>
      </w:r>
      <w:r>
        <w:rPr/>
        <w:t>possível ao mesmo tempo realizar-se</w:t>
      </w:r>
      <w:r>
        <w:rPr>
          <w:spacing w:val="-1"/>
        </w:rPr>
        <w:t> </w:t>
      </w:r>
      <w:r>
        <w:rPr/>
        <w:t>a</w:t>
      </w:r>
      <w:r>
        <w:rPr>
          <w:spacing w:val="-1"/>
        </w:rPr>
        <w:t> </w:t>
      </w:r>
      <w:r>
        <w:rPr/>
        <w:t>angiotomografia</w:t>
      </w:r>
      <w:r>
        <w:rPr>
          <w:spacing w:val="-1"/>
        </w:rPr>
        <w:t> </w:t>
      </w:r>
      <w:r>
        <w:rPr/>
        <w:t>torácica</w:t>
      </w:r>
      <w:r>
        <w:rPr>
          <w:spacing w:val="-1"/>
        </w:rPr>
        <w:t> </w:t>
      </w:r>
      <w:r>
        <w:rPr/>
        <w:t>(</w:t>
      </w:r>
      <w:r>
        <w:rPr>
          <w:color w:val="505050"/>
        </w:rPr>
        <w:t>Figura</w:t>
      </w:r>
      <w:r>
        <w:rPr>
          <w:color w:val="505050"/>
          <w:spacing w:val="-9"/>
        </w:rPr>
        <w:t> </w:t>
      </w:r>
      <w:r>
        <w:rPr>
          <w:color w:val="505050"/>
        </w:rPr>
        <w:t>59.31</w:t>
      </w:r>
      <w:r>
        <w:rPr/>
        <w:t>), pouco utilizada para diagnóstico da</w:t>
      </w:r>
      <w:r>
        <w:rPr>
          <w:spacing w:val="-6"/>
        </w:rPr>
        <w:t> </w:t>
      </w:r>
      <w:r>
        <w:rPr/>
        <w:t>TVP</w:t>
      </w:r>
      <w:r>
        <w:rPr>
          <w:spacing w:val="-1"/>
        </w:rPr>
        <w:t> </w:t>
      </w:r>
      <w:r>
        <w:rPr/>
        <w:t>dos membros devido</w:t>
      </w:r>
      <w:r>
        <w:rPr>
          <w:spacing w:val="-4"/>
        </w:rPr>
        <w:t> </w:t>
      </w:r>
      <w:r>
        <w:rPr/>
        <w:t>à</w:t>
      </w:r>
      <w:r>
        <w:rPr>
          <w:spacing w:val="-6"/>
        </w:rPr>
        <w:t> </w:t>
      </w:r>
      <w:r>
        <w:rPr/>
        <w:t>necessidade</w:t>
      </w:r>
      <w:r>
        <w:rPr>
          <w:spacing w:val="-6"/>
        </w:rPr>
        <w:t> </w:t>
      </w:r>
      <w:r>
        <w:rPr/>
        <w:t>de</w:t>
      </w:r>
      <w:r>
        <w:rPr>
          <w:spacing w:val="-6"/>
        </w:rPr>
        <w:t> </w:t>
      </w:r>
      <w:r>
        <w:rPr/>
        <w:t>uso</w:t>
      </w:r>
      <w:r>
        <w:rPr>
          <w:spacing w:val="-4"/>
        </w:rPr>
        <w:t> </w:t>
      </w:r>
      <w:r>
        <w:rPr/>
        <w:t>de</w:t>
      </w:r>
      <w:r>
        <w:rPr>
          <w:spacing w:val="-6"/>
        </w:rPr>
        <w:t> </w:t>
      </w:r>
      <w:r>
        <w:rPr/>
        <w:t>contraste</w:t>
      </w:r>
      <w:r>
        <w:rPr>
          <w:spacing w:val="-6"/>
        </w:rPr>
        <w:t> </w:t>
      </w:r>
      <w:r>
        <w:rPr/>
        <w:t>iodado</w:t>
      </w:r>
      <w:r>
        <w:rPr>
          <w:spacing w:val="-4"/>
        </w:rPr>
        <w:t> </w:t>
      </w:r>
      <w:r>
        <w:rPr/>
        <w:t>intravenoso</w:t>
      </w:r>
      <w:r>
        <w:rPr>
          <w:spacing w:val="-4"/>
        </w:rPr>
        <w:t> </w:t>
      </w:r>
      <w:r>
        <w:rPr/>
        <w:t>e</w:t>
      </w:r>
      <w:r>
        <w:rPr>
          <w:spacing w:val="-6"/>
        </w:rPr>
        <w:t> </w:t>
      </w:r>
      <w:r>
        <w:rPr/>
        <w:t>ao</w:t>
      </w:r>
      <w:r>
        <w:rPr>
          <w:spacing w:val="-4"/>
        </w:rPr>
        <w:t> </w:t>
      </w:r>
      <w:r>
        <w:rPr/>
        <w:t>seu</w:t>
      </w:r>
      <w:r>
        <w:rPr>
          <w:spacing w:val="-4"/>
        </w:rPr>
        <w:t> </w:t>
      </w:r>
      <w:r>
        <w:rPr/>
        <w:t>alto</w:t>
      </w:r>
      <w:r>
        <w:rPr>
          <w:spacing w:val="-4"/>
        </w:rPr>
        <w:t> </w:t>
      </w:r>
      <w:r>
        <w:rPr/>
        <w:t>custo. Bastante</w:t>
      </w:r>
      <w:r>
        <w:rPr>
          <w:spacing w:val="-6"/>
        </w:rPr>
        <w:t> </w:t>
      </w:r>
      <w:r>
        <w:rPr/>
        <w:t>útil quando há</w:t>
      </w:r>
      <w:r>
        <w:rPr>
          <w:spacing w:val="-1"/>
        </w:rPr>
        <w:t> </w:t>
      </w:r>
      <w:r>
        <w:rPr/>
        <w:t>suspeita</w:t>
      </w:r>
      <w:r>
        <w:rPr>
          <w:spacing w:val="-1"/>
        </w:rPr>
        <w:t> </w:t>
      </w:r>
      <w:r>
        <w:rPr/>
        <w:t>de</w:t>
      </w:r>
      <w:r>
        <w:rPr>
          <w:spacing w:val="-1"/>
        </w:rPr>
        <w:t> </w:t>
      </w:r>
      <w:r>
        <w:rPr/>
        <w:t>compressão venosa</w:t>
      </w:r>
      <w:r>
        <w:rPr>
          <w:spacing w:val="-1"/>
        </w:rPr>
        <w:t> </w:t>
      </w:r>
      <w:r>
        <w:rPr/>
        <w:t>por tumores e</w:t>
      </w:r>
      <w:r>
        <w:rPr>
          <w:spacing w:val="-1"/>
        </w:rPr>
        <w:t> </w:t>
      </w:r>
      <w:r>
        <w:rPr/>
        <w:t>no estudo de</w:t>
      </w:r>
      <w:r>
        <w:rPr>
          <w:spacing w:val="-1"/>
        </w:rPr>
        <w:t> </w:t>
      </w:r>
      <w:r>
        <w:rPr/>
        <w:t>anomalias venosas intra-abdominais.</w:t>
      </w:r>
    </w:p>
    <w:p>
      <w:pPr>
        <w:pStyle w:val="BodyText"/>
        <w:spacing w:after="0" w:line="276" w:lineRule="auto"/>
        <w:sectPr>
          <w:pgSz w:w="11900" w:h="16840"/>
          <w:pgMar w:top="280" w:bottom="280" w:left="566" w:right="141"/>
        </w:sectPr>
      </w:pPr>
    </w:p>
    <w:p>
      <w:pPr>
        <w:spacing w:line="240" w:lineRule="auto"/>
        <w:ind w:left="3397" w:right="0" w:firstLine="0"/>
        <w:rPr>
          <w:sz w:val="20"/>
        </w:rPr>
      </w:pPr>
      <w:r>
        <w:rPr>
          <w:sz w:val="20"/>
        </w:rPr>
        <w:drawing>
          <wp:inline distT="0" distB="0" distL="0" distR="0">
            <wp:extent cx="2527548" cy="383209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63" cstate="print"/>
                    <a:stretch>
                      <a:fillRect/>
                    </a:stretch>
                  </pic:blipFill>
                  <pic:spPr>
                    <a:xfrm>
                      <a:off x="0" y="0"/>
                      <a:ext cx="2527548" cy="3832098"/>
                    </a:xfrm>
                    <a:prstGeom prst="rect">
                      <a:avLst/>
                    </a:prstGeom>
                  </pic:spPr>
                </pic:pic>
              </a:graphicData>
            </a:graphic>
          </wp:inline>
        </w:drawing>
      </w:r>
      <w:r>
        <w:rPr>
          <w:sz w:val="20"/>
        </w:rPr>
      </w:r>
    </w:p>
    <w:p>
      <w:pPr>
        <w:spacing w:before="217"/>
        <w:ind w:left="68" w:right="0" w:firstLine="0"/>
        <w:jc w:val="left"/>
        <w:rPr>
          <w:rFonts w:ascii="Microsoft Sans Serif"/>
          <w:sz w:val="19"/>
        </w:rPr>
      </w:pPr>
      <w:r>
        <w:rPr>
          <w:rFonts w:ascii="Arial"/>
          <w:b/>
          <w:color w:val="242B67"/>
          <w:sz w:val="19"/>
        </w:rPr>
        <w:t>Figura</w:t>
      </w:r>
      <w:r>
        <w:rPr>
          <w:rFonts w:ascii="Arial"/>
          <w:b/>
          <w:color w:val="242B67"/>
          <w:spacing w:val="20"/>
          <w:sz w:val="19"/>
        </w:rPr>
        <w:t> </w:t>
      </w:r>
      <w:r>
        <w:rPr>
          <w:rFonts w:ascii="Arial"/>
          <w:b/>
          <w:color w:val="242B67"/>
          <w:sz w:val="19"/>
        </w:rPr>
        <w:t>59.29</w:t>
      </w:r>
      <w:r>
        <w:rPr>
          <w:rFonts w:ascii="Arial"/>
          <w:b/>
          <w:color w:val="242B67"/>
          <w:spacing w:val="20"/>
          <w:sz w:val="19"/>
        </w:rPr>
        <w:t> </w:t>
      </w:r>
      <w:r>
        <w:rPr>
          <w:rFonts w:ascii="Microsoft Sans Serif"/>
          <w:sz w:val="19"/>
        </w:rPr>
        <w:t>Flebografia</w:t>
      </w:r>
      <w:r>
        <w:rPr>
          <w:rFonts w:ascii="Microsoft Sans Serif"/>
          <w:spacing w:val="23"/>
          <w:sz w:val="19"/>
        </w:rPr>
        <w:t> </w:t>
      </w:r>
      <w:r>
        <w:rPr>
          <w:rFonts w:ascii="Microsoft Sans Serif"/>
          <w:sz w:val="19"/>
        </w:rPr>
        <w:t>digital</w:t>
      </w:r>
      <w:r>
        <w:rPr>
          <w:rFonts w:ascii="Microsoft Sans Serif"/>
          <w:spacing w:val="22"/>
          <w:sz w:val="19"/>
        </w:rPr>
        <w:t> </w:t>
      </w:r>
      <w:r>
        <w:rPr>
          <w:rFonts w:ascii="Microsoft Sans Serif"/>
          <w:sz w:val="19"/>
        </w:rPr>
        <w:t>mostrando</w:t>
      </w:r>
      <w:r>
        <w:rPr>
          <w:rFonts w:ascii="Microsoft Sans Serif"/>
          <w:spacing w:val="22"/>
          <w:sz w:val="19"/>
        </w:rPr>
        <w:t> </w:t>
      </w:r>
      <w:r>
        <w:rPr>
          <w:rFonts w:ascii="Microsoft Sans Serif"/>
          <w:sz w:val="19"/>
        </w:rPr>
        <w:t>trombose</w:t>
      </w:r>
      <w:r>
        <w:rPr>
          <w:rFonts w:ascii="Microsoft Sans Serif"/>
          <w:spacing w:val="22"/>
          <w:sz w:val="19"/>
        </w:rPr>
        <w:t> </w:t>
      </w:r>
      <w:r>
        <w:rPr>
          <w:rFonts w:ascii="Microsoft Sans Serif"/>
          <w:sz w:val="19"/>
        </w:rPr>
        <w:t>venosa</w:t>
      </w:r>
      <w:r>
        <w:rPr>
          <w:rFonts w:ascii="Microsoft Sans Serif"/>
          <w:spacing w:val="23"/>
          <w:sz w:val="19"/>
        </w:rPr>
        <w:t> </w:t>
      </w:r>
      <w:r>
        <w:rPr>
          <w:rFonts w:ascii="Microsoft Sans Serif"/>
          <w:sz w:val="19"/>
        </w:rPr>
        <w:t>profunda</w:t>
      </w:r>
      <w:r>
        <w:rPr>
          <w:rFonts w:ascii="Microsoft Sans Serif"/>
          <w:spacing w:val="22"/>
          <w:sz w:val="19"/>
        </w:rPr>
        <w:t> </w:t>
      </w:r>
      <w:r>
        <w:rPr>
          <w:rFonts w:ascii="Microsoft Sans Serif"/>
          <w:sz w:val="19"/>
        </w:rPr>
        <w:t>aguda</w:t>
      </w:r>
      <w:r>
        <w:rPr>
          <w:rFonts w:ascii="Microsoft Sans Serif"/>
          <w:spacing w:val="22"/>
          <w:sz w:val="19"/>
        </w:rPr>
        <w:t> </w:t>
      </w:r>
      <w:r>
        <w:rPr>
          <w:rFonts w:ascii="Microsoft Sans Serif"/>
          <w:sz w:val="19"/>
        </w:rPr>
        <w:t>iliacofemoral</w:t>
      </w:r>
      <w:r>
        <w:rPr>
          <w:rFonts w:ascii="Microsoft Sans Serif"/>
          <w:spacing w:val="22"/>
          <w:sz w:val="19"/>
        </w:rPr>
        <w:t> </w:t>
      </w:r>
      <w:r>
        <w:rPr>
          <w:rFonts w:ascii="Microsoft Sans Serif"/>
          <w:spacing w:val="-2"/>
          <w:sz w:val="19"/>
        </w:rPr>
        <w:t>extensa.</w:t>
      </w:r>
    </w:p>
    <w:p>
      <w:pPr>
        <w:pStyle w:val="BodyText"/>
        <w:spacing w:before="118"/>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29312">
            <wp:simplePos x="0" y="0"/>
            <wp:positionH relativeFrom="page">
              <wp:posOffset>1825459</wp:posOffset>
            </wp:positionH>
            <wp:positionV relativeFrom="paragraph">
              <wp:posOffset>234187</wp:posOffset>
            </wp:positionV>
            <wp:extent cx="3923828" cy="2578512"/>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64" cstate="print"/>
                    <a:stretch>
                      <a:fillRect/>
                    </a:stretch>
                  </pic:blipFill>
                  <pic:spPr>
                    <a:xfrm>
                      <a:off x="0" y="0"/>
                      <a:ext cx="3923828" cy="2578512"/>
                    </a:xfrm>
                    <a:prstGeom prst="rect">
                      <a:avLst/>
                    </a:prstGeom>
                  </pic:spPr>
                </pic:pic>
              </a:graphicData>
            </a:graphic>
          </wp:anchor>
        </w:drawing>
      </w:r>
    </w:p>
    <w:p>
      <w:pPr>
        <w:pStyle w:val="BodyText"/>
        <w:spacing w:before="22"/>
        <w:ind w:left="0" w:firstLine="0"/>
        <w:jc w:val="left"/>
        <w:rPr>
          <w:rFonts w:ascii="Microsoft Sans Serif"/>
          <w:sz w:val="19"/>
        </w:rPr>
      </w:pPr>
    </w:p>
    <w:p>
      <w:pPr>
        <w:spacing w:line="285" w:lineRule="auto" w:before="0"/>
        <w:ind w:left="68" w:right="497" w:firstLine="0"/>
        <w:jc w:val="left"/>
        <w:rPr>
          <w:rFonts w:ascii="Microsoft Sans Serif" w:hAnsi="Microsoft Sans Serif"/>
          <w:sz w:val="19"/>
        </w:rPr>
      </w:pPr>
      <w:r>
        <w:rPr>
          <w:rFonts w:ascii="Arial" w:hAnsi="Arial"/>
          <w:b/>
          <w:color w:val="242B67"/>
          <w:sz w:val="19"/>
        </w:rPr>
        <w:t>Figura</w:t>
      </w:r>
      <w:r>
        <w:rPr>
          <w:rFonts w:ascii="Arial" w:hAnsi="Arial"/>
          <w:b/>
          <w:color w:val="242B67"/>
          <w:spacing w:val="30"/>
          <w:sz w:val="19"/>
        </w:rPr>
        <w:t> </w:t>
      </w:r>
      <w:r>
        <w:rPr>
          <w:rFonts w:ascii="Arial" w:hAnsi="Arial"/>
          <w:b/>
          <w:color w:val="242B67"/>
          <w:sz w:val="19"/>
        </w:rPr>
        <w:t>59.30</w:t>
      </w:r>
      <w:r>
        <w:rPr>
          <w:rFonts w:ascii="Arial" w:hAnsi="Arial"/>
          <w:b/>
          <w:color w:val="242B67"/>
          <w:spacing w:val="40"/>
          <w:sz w:val="19"/>
        </w:rPr>
        <w:t> </w:t>
      </w:r>
      <w:r>
        <w:rPr>
          <w:rFonts w:ascii="Microsoft Sans Serif" w:hAnsi="Microsoft Sans Serif"/>
          <w:sz w:val="19"/>
        </w:rPr>
        <w:t>Tomografia</w:t>
      </w:r>
      <w:r>
        <w:rPr>
          <w:rFonts w:ascii="Microsoft Sans Serif" w:hAnsi="Microsoft Sans Serif"/>
          <w:spacing w:val="40"/>
          <w:sz w:val="19"/>
        </w:rPr>
        <w:t> </w:t>
      </w:r>
      <w:r>
        <w:rPr>
          <w:rFonts w:ascii="Microsoft Sans Serif" w:hAnsi="Microsoft Sans Serif"/>
          <w:sz w:val="19"/>
        </w:rPr>
        <w:t>computadorizada</w:t>
      </w:r>
      <w:r>
        <w:rPr>
          <w:rFonts w:ascii="Microsoft Sans Serif" w:hAnsi="Microsoft Sans Serif"/>
          <w:spacing w:val="40"/>
          <w:sz w:val="19"/>
        </w:rPr>
        <w:t> </w:t>
      </w:r>
      <w:r>
        <w:rPr>
          <w:rFonts w:ascii="Microsoft Sans Serif" w:hAnsi="Microsoft Sans Serif"/>
          <w:sz w:val="19"/>
        </w:rPr>
        <w:t>(TC)</w:t>
      </w:r>
      <w:r>
        <w:rPr>
          <w:rFonts w:ascii="Microsoft Sans Serif" w:hAnsi="Microsoft Sans Serif"/>
          <w:spacing w:val="37"/>
          <w:sz w:val="19"/>
        </w:rPr>
        <w:t> </w:t>
      </w:r>
      <w:r>
        <w:rPr>
          <w:rFonts w:ascii="Microsoft Sans Serif" w:hAnsi="Microsoft Sans Serif"/>
          <w:sz w:val="19"/>
        </w:rPr>
        <w:t>abdominal</w:t>
      </w:r>
      <w:r>
        <w:rPr>
          <w:rFonts w:ascii="Microsoft Sans Serif" w:hAnsi="Microsoft Sans Serif"/>
          <w:spacing w:val="40"/>
          <w:sz w:val="19"/>
        </w:rPr>
        <w:t> </w:t>
      </w:r>
      <w:r>
        <w:rPr>
          <w:rFonts w:ascii="Microsoft Sans Serif" w:hAnsi="Microsoft Sans Serif"/>
          <w:sz w:val="19"/>
        </w:rPr>
        <w:t>com</w:t>
      </w:r>
      <w:r>
        <w:rPr>
          <w:rFonts w:ascii="Microsoft Sans Serif" w:hAnsi="Microsoft Sans Serif"/>
          <w:spacing w:val="37"/>
          <w:sz w:val="19"/>
        </w:rPr>
        <w:t> </w:t>
      </w:r>
      <w:r>
        <w:rPr>
          <w:rFonts w:ascii="Microsoft Sans Serif" w:hAnsi="Microsoft Sans Serif"/>
          <w:sz w:val="19"/>
        </w:rPr>
        <w:t>contraste</w:t>
      </w:r>
      <w:r>
        <w:rPr>
          <w:rFonts w:ascii="Microsoft Sans Serif" w:hAnsi="Microsoft Sans Serif"/>
          <w:spacing w:val="40"/>
          <w:sz w:val="19"/>
        </w:rPr>
        <w:t> </w:t>
      </w:r>
      <w:r>
        <w:rPr>
          <w:rFonts w:ascii="Microsoft Sans Serif" w:hAnsi="Microsoft Sans Serif"/>
          <w:sz w:val="19"/>
        </w:rPr>
        <w:t>mostrando</w:t>
      </w:r>
      <w:r>
        <w:rPr>
          <w:rFonts w:ascii="Microsoft Sans Serif" w:hAnsi="Microsoft Sans Serif"/>
          <w:spacing w:val="40"/>
          <w:sz w:val="19"/>
        </w:rPr>
        <w:t> </w:t>
      </w:r>
      <w:r>
        <w:rPr>
          <w:rFonts w:ascii="Microsoft Sans Serif" w:hAnsi="Microsoft Sans Serif"/>
          <w:sz w:val="19"/>
        </w:rPr>
        <w:t>trombo</w:t>
      </w:r>
      <w:r>
        <w:rPr>
          <w:rFonts w:ascii="Microsoft Sans Serif" w:hAnsi="Microsoft Sans Serif"/>
          <w:spacing w:val="40"/>
          <w:sz w:val="19"/>
        </w:rPr>
        <w:t> </w:t>
      </w:r>
      <w:r>
        <w:rPr>
          <w:rFonts w:ascii="Microsoft Sans Serif" w:hAnsi="Microsoft Sans Serif"/>
          <w:sz w:val="19"/>
        </w:rPr>
        <w:t>em</w:t>
      </w:r>
      <w:r>
        <w:rPr>
          <w:rFonts w:ascii="Microsoft Sans Serif" w:hAnsi="Microsoft Sans Serif"/>
          <w:spacing w:val="37"/>
          <w:sz w:val="19"/>
        </w:rPr>
        <w:t> </w:t>
      </w:r>
      <w:r>
        <w:rPr>
          <w:rFonts w:ascii="Microsoft Sans Serif" w:hAnsi="Microsoft Sans Serif"/>
          <w:sz w:val="19"/>
        </w:rPr>
        <w:t>cava</w:t>
      </w:r>
      <w:r>
        <w:rPr>
          <w:rFonts w:ascii="Microsoft Sans Serif" w:hAnsi="Microsoft Sans Serif"/>
          <w:spacing w:val="40"/>
          <w:sz w:val="19"/>
        </w:rPr>
        <w:t> </w:t>
      </w:r>
      <w:r>
        <w:rPr>
          <w:rFonts w:ascii="Microsoft Sans Serif" w:hAnsi="Microsoft Sans Serif"/>
          <w:sz w:val="19"/>
        </w:rPr>
        <w:t>no</w:t>
      </w:r>
      <w:r>
        <w:rPr>
          <w:rFonts w:ascii="Microsoft Sans Serif" w:hAnsi="Microsoft Sans Serif"/>
          <w:spacing w:val="40"/>
          <w:sz w:val="19"/>
        </w:rPr>
        <w:t> </w:t>
      </w:r>
      <w:r>
        <w:rPr>
          <w:rFonts w:ascii="Microsoft Sans Serif" w:hAnsi="Microsoft Sans Serif"/>
          <w:sz w:val="19"/>
        </w:rPr>
        <w:t>nível</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veia renal esquerda.</w:t>
      </w:r>
    </w:p>
    <w:p>
      <w:pPr>
        <w:pStyle w:val="BodyText"/>
        <w:spacing w:before="159"/>
        <w:ind w:left="0" w:firstLine="0"/>
        <w:jc w:val="left"/>
        <w:rPr>
          <w:rFonts w:ascii="Microsoft Sans Serif"/>
          <w:sz w:val="19"/>
        </w:rPr>
      </w:pPr>
    </w:p>
    <w:p>
      <w:pPr>
        <w:pStyle w:val="Heading5"/>
      </w:pPr>
      <w:r>
        <w:rPr>
          <w:color w:val="A26108"/>
        </w:rPr>
        <w:t>Ressonância</w:t>
      </w:r>
      <w:r>
        <w:rPr>
          <w:color w:val="A26108"/>
          <w:spacing w:val="39"/>
        </w:rPr>
        <w:t> </w:t>
      </w:r>
      <w:r>
        <w:rPr>
          <w:color w:val="A26108"/>
          <w:spacing w:val="-2"/>
        </w:rPr>
        <w:t>magnética</w:t>
      </w:r>
    </w:p>
    <w:p>
      <w:pPr>
        <w:pStyle w:val="BodyText"/>
        <w:spacing w:line="276" w:lineRule="auto" w:before="138"/>
        <w:ind w:right="501"/>
      </w:pPr>
      <w:r>
        <w:rPr/>
        <w:t>Técnica diagnóstica pouco utilizada devido à baixa resolução em relação à flebografia convencional, mapeamento</w:t>
      </w:r>
      <w:r>
        <w:rPr>
          <w:spacing w:val="-5"/>
        </w:rPr>
        <w:t> </w:t>
      </w:r>
      <w:r>
        <w:rPr/>
        <w:t>duplex</w:t>
      </w:r>
      <w:r>
        <w:rPr>
          <w:spacing w:val="-5"/>
        </w:rPr>
        <w:t> </w:t>
      </w:r>
      <w:r>
        <w:rPr/>
        <w:t>ou</w:t>
      </w:r>
      <w:r>
        <w:rPr>
          <w:spacing w:val="-5"/>
        </w:rPr>
        <w:t> </w:t>
      </w:r>
      <w:r>
        <w:rPr/>
        <w:t>mesmo</w:t>
      </w:r>
      <w:r>
        <w:rPr>
          <w:spacing w:val="-5"/>
        </w:rPr>
        <w:t> </w:t>
      </w:r>
      <w:r>
        <w:rPr/>
        <w:t>venografia</w:t>
      </w:r>
      <w:r>
        <w:rPr>
          <w:spacing w:val="-8"/>
        </w:rPr>
        <w:t> </w:t>
      </w:r>
      <w:r>
        <w:rPr/>
        <w:t>radioisotópica. Artefatos com</w:t>
      </w:r>
      <w:r>
        <w:rPr>
          <w:spacing w:val="-5"/>
        </w:rPr>
        <w:t> </w:t>
      </w:r>
      <w:r>
        <w:rPr/>
        <w:t>frequência</w:t>
      </w:r>
      <w:r>
        <w:rPr>
          <w:spacing w:val="-8"/>
        </w:rPr>
        <w:t> </w:t>
      </w:r>
      <w:r>
        <w:rPr/>
        <w:t>interferem</w:t>
      </w:r>
      <w:r>
        <w:rPr>
          <w:spacing w:val="-5"/>
        </w:rPr>
        <w:t> </w:t>
      </w:r>
      <w:r>
        <w:rPr/>
        <w:t>na</w:t>
      </w:r>
      <w:r>
        <w:rPr>
          <w:spacing w:val="-8"/>
        </w:rPr>
        <w:t> </w:t>
      </w:r>
      <w:r>
        <w:rPr/>
        <w:t>interpretação</w:t>
      </w:r>
      <w:r>
        <w:rPr>
          <w:spacing w:val="-5"/>
        </w:rPr>
        <w:t> </w:t>
      </w:r>
      <w:r>
        <w:rPr/>
        <w:t>das imagens. O baixo fluxo no interior das veias pode ser confundido com coágulos.</w:t>
      </w:r>
    </w:p>
    <w:p>
      <w:pPr>
        <w:pStyle w:val="BodyText"/>
        <w:spacing w:before="134"/>
        <w:ind w:left="0" w:firstLine="0"/>
        <w:jc w:val="left"/>
      </w:pPr>
    </w:p>
    <w:p>
      <w:pPr>
        <w:pStyle w:val="Heading5"/>
      </w:pPr>
      <w:r>
        <w:rPr>
          <w:color w:val="A26108"/>
        </w:rPr>
        <w:t>Exames</w:t>
      </w:r>
      <w:r>
        <w:rPr>
          <w:color w:val="A26108"/>
          <w:spacing w:val="24"/>
        </w:rPr>
        <w:t> </w:t>
      </w:r>
      <w:r>
        <w:rPr>
          <w:color w:val="A26108"/>
          <w:spacing w:val="-2"/>
        </w:rPr>
        <w:t>laboratoriais</w:t>
      </w:r>
    </w:p>
    <w:p>
      <w:pPr>
        <w:pStyle w:val="BodyText"/>
        <w:spacing w:line="280" w:lineRule="auto" w:before="138"/>
        <w:ind w:right="488"/>
      </w:pPr>
      <w:r>
        <w:rPr/>
        <w:t>Infelizmente não há exames hematológicos que tornem possível identificar com segurança a ocorrência de trombose venosa em fase aguda. Recentemente tem sido utilizada a dosagem plasmática do dímero-D. Trata-se de marcador da</w:t>
      </w:r>
      <w:r>
        <w:rPr>
          <w:spacing w:val="-8"/>
        </w:rPr>
        <w:t> </w:t>
      </w:r>
      <w:r>
        <w:rPr/>
        <w:t>ativação</w:t>
      </w:r>
      <w:r>
        <w:rPr>
          <w:spacing w:val="-5"/>
        </w:rPr>
        <w:t> </w:t>
      </w:r>
      <w:r>
        <w:rPr/>
        <w:t>da</w:t>
      </w:r>
      <w:r>
        <w:rPr>
          <w:spacing w:val="-8"/>
        </w:rPr>
        <w:t> </w:t>
      </w:r>
      <w:r>
        <w:rPr/>
        <w:t>fibrinólise</w:t>
      </w:r>
      <w:r>
        <w:rPr>
          <w:spacing w:val="-8"/>
        </w:rPr>
        <w:t> </w:t>
      </w:r>
      <w:r>
        <w:rPr/>
        <w:t>secundária</w:t>
      </w:r>
      <w:r>
        <w:rPr>
          <w:spacing w:val="-8"/>
        </w:rPr>
        <w:t> </w:t>
      </w:r>
      <w:r>
        <w:rPr/>
        <w:t>à</w:t>
      </w:r>
      <w:r>
        <w:rPr>
          <w:spacing w:val="-8"/>
        </w:rPr>
        <w:t> </w:t>
      </w:r>
      <w:r>
        <w:rPr/>
        <w:t>formação</w:t>
      </w:r>
      <w:r>
        <w:rPr>
          <w:spacing w:val="-5"/>
        </w:rPr>
        <w:t> </w:t>
      </w:r>
      <w:r>
        <w:rPr/>
        <w:t>de</w:t>
      </w:r>
      <w:r>
        <w:rPr>
          <w:spacing w:val="-8"/>
        </w:rPr>
        <w:t> </w:t>
      </w:r>
      <w:r>
        <w:rPr/>
        <w:t>fibrina, resultante</w:t>
      </w:r>
      <w:r>
        <w:rPr>
          <w:spacing w:val="-8"/>
        </w:rPr>
        <w:t> </w:t>
      </w:r>
      <w:r>
        <w:rPr/>
        <w:t>da</w:t>
      </w:r>
      <w:r>
        <w:rPr>
          <w:spacing w:val="-8"/>
        </w:rPr>
        <w:t> </w:t>
      </w:r>
      <w:r>
        <w:rPr/>
        <w:t>ação</w:t>
      </w:r>
      <w:r>
        <w:rPr>
          <w:spacing w:val="-5"/>
        </w:rPr>
        <w:t> </w:t>
      </w:r>
      <w:r>
        <w:rPr/>
        <w:t>da</w:t>
      </w:r>
      <w:r>
        <w:rPr>
          <w:spacing w:val="-8"/>
        </w:rPr>
        <w:t> </w:t>
      </w:r>
      <w:r>
        <w:rPr/>
        <w:t>plasmina</w:t>
      </w:r>
      <w:r>
        <w:rPr>
          <w:spacing w:val="-8"/>
        </w:rPr>
        <w:t> </w:t>
      </w:r>
      <w:r>
        <w:rPr/>
        <w:t>sobre</w:t>
      </w:r>
      <w:r>
        <w:rPr>
          <w:spacing w:val="-8"/>
        </w:rPr>
        <w:t> </w:t>
      </w:r>
      <w:r>
        <w:rPr/>
        <w:t>o</w:t>
      </w:r>
      <w:r>
        <w:rPr>
          <w:spacing w:val="-5"/>
        </w:rPr>
        <w:t> </w:t>
      </w:r>
      <w:r>
        <w:rPr/>
        <w:t>trombo já</w:t>
      </w:r>
      <w:r>
        <w:rPr>
          <w:spacing w:val="-7"/>
        </w:rPr>
        <w:t> </w:t>
      </w:r>
      <w:r>
        <w:rPr/>
        <w:t>formado.</w:t>
      </w:r>
      <w:r>
        <w:rPr>
          <w:vertAlign w:val="superscript"/>
        </w:rPr>
        <w:t>7</w:t>
      </w:r>
      <w:r>
        <w:rPr>
          <w:vertAlign w:val="baseline"/>
        </w:rPr>
        <w:t> Quando seus níveis no plasma são normais, exclui com segurança o diagnóstico de TVP; no entanto, devido ao grande número de falso-positivos, tem baixa especificidade.</w:t>
      </w:r>
    </w:p>
    <w:p>
      <w:pPr>
        <w:pStyle w:val="BodyText"/>
        <w:spacing w:after="0" w:line="280" w:lineRule="auto"/>
        <w:sectPr>
          <w:pgSz w:w="11900" w:h="16840"/>
          <w:pgMar w:top="280" w:bottom="280" w:left="566" w:right="141"/>
        </w:sectPr>
      </w:pPr>
    </w:p>
    <w:p>
      <w:pPr>
        <w:spacing w:line="240" w:lineRule="auto"/>
        <w:ind w:left="1684" w:right="0" w:firstLine="0"/>
        <w:rPr>
          <w:sz w:val="20"/>
        </w:rPr>
      </w:pPr>
      <w:r>
        <w:rPr>
          <w:sz w:val="20"/>
        </w:rPr>
        <w:drawing>
          <wp:inline distT="0" distB="0" distL="0" distR="0">
            <wp:extent cx="4718776" cy="4606671"/>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65" cstate="print"/>
                    <a:stretch>
                      <a:fillRect/>
                    </a:stretch>
                  </pic:blipFill>
                  <pic:spPr>
                    <a:xfrm>
                      <a:off x="0" y="0"/>
                      <a:ext cx="4718776" cy="4606671"/>
                    </a:xfrm>
                    <a:prstGeom prst="rect">
                      <a:avLst/>
                    </a:prstGeom>
                  </pic:spPr>
                </pic:pic>
              </a:graphicData>
            </a:graphic>
          </wp:inline>
        </w:drawing>
      </w:r>
      <w:r>
        <w:rPr>
          <w:sz w:val="20"/>
        </w:rPr>
      </w:r>
    </w:p>
    <w:p>
      <w:pPr>
        <w:spacing w:line="285" w:lineRule="auto" w:before="207"/>
        <w:ind w:left="68" w:right="497" w:firstLine="0"/>
        <w:jc w:val="left"/>
        <w:rPr>
          <w:rFonts w:ascii="Microsoft Sans Serif" w:hAnsi="Microsoft Sans Serif"/>
          <w:sz w:val="19"/>
        </w:rPr>
      </w:pPr>
      <w:r>
        <w:rPr>
          <w:rFonts w:ascii="Arial" w:hAnsi="Arial"/>
          <w:b/>
          <w:color w:val="242B67"/>
          <w:sz w:val="19"/>
        </w:rPr>
        <w:t>Figura</w:t>
      </w:r>
      <w:r>
        <w:rPr>
          <w:rFonts w:ascii="Arial" w:hAnsi="Arial"/>
          <w:b/>
          <w:color w:val="242B67"/>
          <w:spacing w:val="35"/>
          <w:sz w:val="19"/>
        </w:rPr>
        <w:t> </w:t>
      </w:r>
      <w:r>
        <w:rPr>
          <w:rFonts w:ascii="Arial" w:hAnsi="Arial"/>
          <w:b/>
          <w:color w:val="242B67"/>
          <w:sz w:val="19"/>
        </w:rPr>
        <w:t>59.31</w:t>
      </w:r>
      <w:r>
        <w:rPr>
          <w:rFonts w:ascii="Arial" w:hAnsi="Arial"/>
          <w:b/>
          <w:color w:val="242B67"/>
          <w:spacing w:val="40"/>
          <w:sz w:val="19"/>
        </w:rPr>
        <w:t> </w:t>
      </w:r>
      <w:r>
        <w:rPr>
          <w:rFonts w:ascii="Microsoft Sans Serif" w:hAnsi="Microsoft Sans Serif"/>
          <w:sz w:val="19"/>
        </w:rPr>
        <w:t>Angiotomografia</w:t>
      </w:r>
      <w:r>
        <w:rPr>
          <w:rFonts w:ascii="Microsoft Sans Serif" w:hAnsi="Microsoft Sans Serif"/>
          <w:spacing w:val="40"/>
          <w:sz w:val="19"/>
        </w:rPr>
        <w:t> </w:t>
      </w:r>
      <w:r>
        <w:rPr>
          <w:rFonts w:ascii="Microsoft Sans Serif" w:hAnsi="Microsoft Sans Serif"/>
          <w:sz w:val="19"/>
        </w:rPr>
        <w:t>torácica</w:t>
      </w:r>
      <w:r>
        <w:rPr>
          <w:rFonts w:ascii="Microsoft Sans Serif" w:hAnsi="Microsoft Sans Serif"/>
          <w:spacing w:val="40"/>
          <w:sz w:val="19"/>
        </w:rPr>
        <w:t> </w:t>
      </w:r>
      <w:r>
        <w:rPr>
          <w:rFonts w:ascii="Microsoft Sans Serif" w:hAnsi="Microsoft Sans Serif"/>
          <w:sz w:val="19"/>
        </w:rPr>
        <w:t>mostrando</w:t>
      </w:r>
      <w:r>
        <w:rPr>
          <w:rFonts w:ascii="Microsoft Sans Serif" w:hAnsi="Microsoft Sans Serif"/>
          <w:spacing w:val="40"/>
          <w:sz w:val="19"/>
        </w:rPr>
        <w:t> </w:t>
      </w:r>
      <w:r>
        <w:rPr>
          <w:rFonts w:ascii="Microsoft Sans Serif" w:hAnsi="Microsoft Sans Serif"/>
          <w:sz w:val="19"/>
        </w:rPr>
        <w:t>embolia</w:t>
      </w:r>
      <w:r>
        <w:rPr>
          <w:rFonts w:ascii="Microsoft Sans Serif" w:hAnsi="Microsoft Sans Serif"/>
          <w:spacing w:val="40"/>
          <w:sz w:val="19"/>
        </w:rPr>
        <w:t> </w:t>
      </w:r>
      <w:r>
        <w:rPr>
          <w:rFonts w:ascii="Microsoft Sans Serif" w:hAnsi="Microsoft Sans Serif"/>
          <w:sz w:val="19"/>
        </w:rPr>
        <w:t>pulmonar</w:t>
      </w:r>
      <w:r>
        <w:rPr>
          <w:rFonts w:ascii="Microsoft Sans Serif" w:hAnsi="Microsoft Sans Serif"/>
          <w:spacing w:val="36"/>
          <w:sz w:val="19"/>
        </w:rPr>
        <w:t> </w:t>
      </w:r>
      <w:r>
        <w:rPr>
          <w:rFonts w:ascii="Microsoft Sans Serif" w:hAnsi="Microsoft Sans Serif"/>
          <w:sz w:val="19"/>
        </w:rPr>
        <w:t>(EP)</w:t>
      </w:r>
      <w:r>
        <w:rPr>
          <w:rFonts w:ascii="Microsoft Sans Serif" w:hAnsi="Microsoft Sans Serif"/>
          <w:spacing w:val="36"/>
          <w:sz w:val="19"/>
        </w:rPr>
        <w:t> </w:t>
      </w:r>
      <w:r>
        <w:rPr>
          <w:rFonts w:ascii="Microsoft Sans Serif" w:hAnsi="Microsoft Sans Serif"/>
          <w:sz w:val="19"/>
        </w:rPr>
        <w:t>bilateral,</w:t>
      </w:r>
      <w:r>
        <w:rPr>
          <w:rFonts w:ascii="Microsoft Sans Serif" w:hAnsi="Microsoft Sans Serif"/>
          <w:spacing w:val="28"/>
          <w:sz w:val="19"/>
        </w:rPr>
        <w:t> </w:t>
      </w:r>
      <w:r>
        <w:rPr>
          <w:rFonts w:ascii="Microsoft Sans Serif" w:hAnsi="Microsoft Sans Serif"/>
          <w:sz w:val="19"/>
        </w:rPr>
        <w:t>com</w:t>
      </w:r>
      <w:r>
        <w:rPr>
          <w:rFonts w:ascii="Microsoft Sans Serif" w:hAnsi="Microsoft Sans Serif"/>
          <w:spacing w:val="36"/>
          <w:sz w:val="19"/>
        </w:rPr>
        <w:t> </w:t>
      </w:r>
      <w:r>
        <w:rPr>
          <w:rFonts w:ascii="Microsoft Sans Serif" w:hAnsi="Microsoft Sans Serif"/>
          <w:sz w:val="19"/>
        </w:rPr>
        <w:t>trombos</w:t>
      </w:r>
      <w:r>
        <w:rPr>
          <w:rFonts w:ascii="Microsoft Sans Serif" w:hAnsi="Microsoft Sans Serif"/>
          <w:spacing w:val="36"/>
          <w:sz w:val="19"/>
        </w:rPr>
        <w:t> </w:t>
      </w:r>
      <w:r>
        <w:rPr>
          <w:rFonts w:ascii="Microsoft Sans Serif" w:hAnsi="Microsoft Sans Serif"/>
          <w:sz w:val="19"/>
        </w:rPr>
        <w:t>no</w:t>
      </w:r>
      <w:r>
        <w:rPr>
          <w:rFonts w:ascii="Microsoft Sans Serif" w:hAnsi="Microsoft Sans Serif"/>
          <w:spacing w:val="40"/>
          <w:sz w:val="19"/>
        </w:rPr>
        <w:t> </w:t>
      </w:r>
      <w:r>
        <w:rPr>
          <w:rFonts w:ascii="Microsoft Sans Serif" w:hAnsi="Microsoft Sans Serif"/>
          <w:sz w:val="19"/>
        </w:rPr>
        <w:t>interior</w:t>
      </w:r>
      <w:r>
        <w:rPr>
          <w:rFonts w:ascii="Microsoft Sans Serif" w:hAnsi="Microsoft Sans Serif"/>
          <w:spacing w:val="36"/>
          <w:sz w:val="19"/>
        </w:rPr>
        <w:t> </w:t>
      </w:r>
      <w:r>
        <w:rPr>
          <w:rFonts w:ascii="Microsoft Sans Serif" w:hAnsi="Microsoft Sans Serif"/>
          <w:sz w:val="19"/>
        </w:rPr>
        <w:t>dos</w:t>
      </w:r>
      <w:r>
        <w:rPr>
          <w:rFonts w:ascii="Microsoft Sans Serif" w:hAnsi="Microsoft Sans Serif"/>
          <w:spacing w:val="36"/>
          <w:sz w:val="19"/>
        </w:rPr>
        <w:t> </w:t>
      </w:r>
      <w:r>
        <w:rPr>
          <w:rFonts w:ascii="Microsoft Sans Serif" w:hAnsi="Microsoft Sans Serif"/>
          <w:sz w:val="19"/>
        </w:rPr>
        <w:t>troncos das artérias pulmonares.</w:t>
      </w:r>
    </w:p>
    <w:p>
      <w:pPr>
        <w:pStyle w:val="BodyText"/>
        <w:spacing w:before="0"/>
        <w:ind w:left="0" w:firstLine="0"/>
        <w:jc w:val="left"/>
        <w:rPr>
          <w:rFonts w:ascii="Microsoft Sans Serif"/>
          <w:sz w:val="19"/>
        </w:rPr>
      </w:pPr>
    </w:p>
    <w:p>
      <w:pPr>
        <w:pStyle w:val="BodyText"/>
        <w:spacing w:before="11"/>
        <w:ind w:left="0" w:firstLine="0"/>
        <w:jc w:val="left"/>
        <w:rPr>
          <w:rFonts w:ascii="Microsoft Sans Serif"/>
          <w:sz w:val="19"/>
        </w:rPr>
      </w:pPr>
    </w:p>
    <w:p>
      <w:pPr>
        <w:pStyle w:val="Heading4"/>
        <w:spacing w:before="1"/>
      </w:pPr>
      <w:r>
        <w:rPr>
          <w:color w:val="242B67"/>
        </w:rPr>
        <w:t>Diagnóstico </w:t>
      </w:r>
      <w:r>
        <w:rPr>
          <w:color w:val="242B67"/>
          <w:spacing w:val="-2"/>
        </w:rPr>
        <w:t>diferencial</w:t>
      </w:r>
    </w:p>
    <w:p>
      <w:pPr>
        <w:pStyle w:val="Heading5"/>
        <w:spacing w:before="193"/>
      </w:pPr>
      <w:r>
        <w:rPr>
          <w:color w:val="A26108"/>
        </w:rPr>
        <w:t>Ruptura</w:t>
      </w:r>
      <w:r>
        <w:rPr>
          <w:color w:val="A26108"/>
          <w:spacing w:val="23"/>
        </w:rPr>
        <w:t> </w:t>
      </w:r>
      <w:r>
        <w:rPr>
          <w:color w:val="A26108"/>
          <w:spacing w:val="-2"/>
        </w:rPr>
        <w:t>muscular</w:t>
      </w:r>
    </w:p>
    <w:p>
      <w:pPr>
        <w:pStyle w:val="BodyText"/>
        <w:spacing w:line="276" w:lineRule="auto" w:before="138"/>
        <w:ind w:right="491"/>
      </w:pPr>
      <w:r>
        <w:rPr/>
        <w:t>A ruptura de músculos da panturrilha pode ser espontânea, durante a marcha ou após esforço, descrita pelo paciente</w:t>
      </w:r>
      <w:r>
        <w:rPr>
          <w:spacing w:val="-6"/>
        </w:rPr>
        <w:t> </w:t>
      </w:r>
      <w:r>
        <w:rPr/>
        <w:t>como</w:t>
      </w:r>
      <w:r>
        <w:rPr>
          <w:spacing w:val="-3"/>
        </w:rPr>
        <w:t> </w:t>
      </w:r>
      <w:r>
        <w:rPr/>
        <w:t>dor súbita</w:t>
      </w:r>
      <w:r>
        <w:rPr>
          <w:spacing w:val="-6"/>
        </w:rPr>
        <w:t> </w:t>
      </w:r>
      <w:r>
        <w:rPr/>
        <w:t>na</w:t>
      </w:r>
      <w:r>
        <w:rPr>
          <w:spacing w:val="-6"/>
        </w:rPr>
        <w:t> </w:t>
      </w:r>
      <w:r>
        <w:rPr/>
        <w:t>panturrilha</w:t>
      </w:r>
      <w:r>
        <w:rPr>
          <w:spacing w:val="-6"/>
        </w:rPr>
        <w:t> </w:t>
      </w:r>
      <w:r>
        <w:rPr/>
        <w:t>ao</w:t>
      </w:r>
      <w:r>
        <w:rPr>
          <w:spacing w:val="-3"/>
        </w:rPr>
        <w:t> </w:t>
      </w:r>
      <w:r>
        <w:rPr/>
        <w:t>andar ou</w:t>
      </w:r>
      <w:r>
        <w:rPr>
          <w:spacing w:val="-3"/>
        </w:rPr>
        <w:t> </w:t>
      </w:r>
      <w:r>
        <w:rPr/>
        <w:t>ao</w:t>
      </w:r>
      <w:r>
        <w:rPr>
          <w:spacing w:val="-3"/>
        </w:rPr>
        <w:t> </w:t>
      </w:r>
      <w:r>
        <w:rPr/>
        <w:t>exercício, conhecida</w:t>
      </w:r>
      <w:r>
        <w:rPr>
          <w:spacing w:val="-6"/>
        </w:rPr>
        <w:t> </w:t>
      </w:r>
      <w:r>
        <w:rPr/>
        <w:t>com</w:t>
      </w:r>
      <w:r>
        <w:rPr>
          <w:spacing w:val="-4"/>
        </w:rPr>
        <w:t> </w:t>
      </w:r>
      <w:r>
        <w:rPr/>
        <w:t>“síndrome</w:t>
      </w:r>
      <w:r>
        <w:rPr>
          <w:spacing w:val="-6"/>
        </w:rPr>
        <w:t> </w:t>
      </w:r>
      <w:r>
        <w:rPr/>
        <w:t>da</w:t>
      </w:r>
      <w:r>
        <w:rPr>
          <w:spacing w:val="-6"/>
        </w:rPr>
        <w:t> </w:t>
      </w:r>
      <w:r>
        <w:rPr/>
        <w:t>pedrada”, por assim parecer ao paciente. Há hematoma e edema muscular, aumento do volume e tensão da panturrilha, dor e por vezes impossibilidade de deambular. O diagnóstico diferencial é importante, pois a administração equívoca de anticoagulantes pode</w:t>
      </w:r>
      <w:r>
        <w:rPr>
          <w:spacing w:val="-5"/>
        </w:rPr>
        <w:t> </w:t>
      </w:r>
      <w:r>
        <w:rPr/>
        <w:t>aumentar o</w:t>
      </w:r>
      <w:r>
        <w:rPr>
          <w:spacing w:val="-2"/>
        </w:rPr>
        <w:t> </w:t>
      </w:r>
      <w:r>
        <w:rPr/>
        <w:t>hematoma</w:t>
      </w:r>
      <w:r>
        <w:rPr>
          <w:spacing w:val="-5"/>
        </w:rPr>
        <w:t> </w:t>
      </w:r>
      <w:r>
        <w:rPr/>
        <w:t>subfascial e</w:t>
      </w:r>
      <w:r>
        <w:rPr>
          <w:spacing w:val="-5"/>
        </w:rPr>
        <w:t> </w:t>
      </w:r>
      <w:r>
        <w:rPr/>
        <w:t>provocar síndrome</w:t>
      </w:r>
      <w:r>
        <w:rPr>
          <w:spacing w:val="-5"/>
        </w:rPr>
        <w:t> </w:t>
      </w:r>
      <w:r>
        <w:rPr/>
        <w:t>compartimental.</w:t>
      </w:r>
    </w:p>
    <w:p>
      <w:pPr>
        <w:pStyle w:val="BodyText"/>
        <w:spacing w:before="134"/>
        <w:ind w:left="0" w:firstLine="0"/>
        <w:jc w:val="left"/>
      </w:pPr>
    </w:p>
    <w:p>
      <w:pPr>
        <w:pStyle w:val="Heading5"/>
      </w:pPr>
      <w:r>
        <w:rPr>
          <w:color w:val="A26108"/>
        </w:rPr>
        <w:t>Hematoma</w:t>
      </w:r>
      <w:r>
        <w:rPr>
          <w:color w:val="A26108"/>
          <w:spacing w:val="30"/>
        </w:rPr>
        <w:t> </w:t>
      </w:r>
      <w:r>
        <w:rPr>
          <w:color w:val="A26108"/>
        </w:rPr>
        <w:t>muscular</w:t>
      </w:r>
      <w:r>
        <w:rPr>
          <w:color w:val="A26108"/>
          <w:spacing w:val="31"/>
        </w:rPr>
        <w:t> </w:t>
      </w:r>
      <w:r>
        <w:rPr>
          <w:color w:val="A26108"/>
          <w:spacing w:val="-2"/>
        </w:rPr>
        <w:t>espontâneo</w:t>
      </w:r>
    </w:p>
    <w:p>
      <w:pPr>
        <w:pStyle w:val="BodyText"/>
        <w:spacing w:line="276" w:lineRule="auto" w:before="122"/>
        <w:ind w:right="488"/>
      </w:pPr>
      <w:r>
        <w:rPr/>
        <w:t>Ocorre primariamente em pacientes que fazem uso de anticoagulantes com quadro semelhante ao descrito para ruptura muscular.</w:t>
      </w:r>
    </w:p>
    <w:p>
      <w:pPr>
        <w:pStyle w:val="BodyText"/>
        <w:spacing w:before="134"/>
        <w:ind w:left="0" w:firstLine="0"/>
        <w:jc w:val="left"/>
      </w:pPr>
    </w:p>
    <w:p>
      <w:pPr>
        <w:pStyle w:val="Heading5"/>
      </w:pPr>
      <w:r>
        <w:rPr>
          <w:color w:val="A26108"/>
        </w:rPr>
        <w:t>Ruptura</w:t>
      </w:r>
      <w:r>
        <w:rPr>
          <w:color w:val="A26108"/>
          <w:spacing w:val="14"/>
        </w:rPr>
        <w:t> </w:t>
      </w:r>
      <w:r>
        <w:rPr>
          <w:color w:val="A26108"/>
        </w:rPr>
        <w:t>de</w:t>
      </w:r>
      <w:r>
        <w:rPr>
          <w:color w:val="A26108"/>
          <w:spacing w:val="15"/>
        </w:rPr>
        <w:t> </w:t>
      </w:r>
      <w:r>
        <w:rPr>
          <w:color w:val="A26108"/>
        </w:rPr>
        <w:t>cisto</w:t>
      </w:r>
      <w:r>
        <w:rPr>
          <w:color w:val="A26108"/>
          <w:spacing w:val="15"/>
        </w:rPr>
        <w:t> </w:t>
      </w:r>
      <w:r>
        <w:rPr>
          <w:color w:val="A26108"/>
        </w:rPr>
        <w:t>de</w:t>
      </w:r>
      <w:r>
        <w:rPr>
          <w:color w:val="A26108"/>
          <w:spacing w:val="15"/>
        </w:rPr>
        <w:t> </w:t>
      </w:r>
      <w:r>
        <w:rPr>
          <w:color w:val="A26108"/>
          <w:spacing w:val="-2"/>
        </w:rPr>
        <w:t>Baker</w:t>
      </w:r>
    </w:p>
    <w:p>
      <w:pPr>
        <w:pStyle w:val="BodyText"/>
        <w:spacing w:line="276" w:lineRule="auto" w:before="138"/>
        <w:ind w:right="494"/>
      </w:pPr>
      <w:r>
        <w:rPr/>
        <w:t>A ruptura de cisto sinovial (</w:t>
      </w:r>
      <w:r>
        <w:rPr>
          <w:color w:val="505050"/>
        </w:rPr>
        <w:t>Figura 59.32</w:t>
      </w:r>
      <w:r>
        <w:rPr/>
        <w:t>) na fossa poplítea pode provocar quadro bastante semelhante a TVP com edema importante por compressão da veia poplítea. O líquido sinovial pode se infiltrar nos compartimentos musculares da panturrilha, produzindo intenso processo inflamatório, quadro clínico conhecido como </w:t>
      </w:r>
      <w:r>
        <w:rPr>
          <w:spacing w:val="-2"/>
        </w:rPr>
        <w:t>pseudotromboflebite.</w:t>
      </w:r>
    </w:p>
    <w:p>
      <w:pPr>
        <w:pStyle w:val="BodyText"/>
        <w:spacing w:before="134"/>
        <w:ind w:left="0" w:firstLine="0"/>
        <w:jc w:val="left"/>
      </w:pPr>
    </w:p>
    <w:p>
      <w:pPr>
        <w:pStyle w:val="Heading5"/>
      </w:pPr>
      <w:r>
        <w:rPr>
          <w:color w:val="A26108"/>
        </w:rPr>
        <w:t>Celulite</w:t>
      </w:r>
      <w:r>
        <w:rPr>
          <w:color w:val="A26108"/>
          <w:spacing w:val="20"/>
        </w:rPr>
        <w:t> </w:t>
      </w:r>
      <w:r>
        <w:rPr>
          <w:color w:val="A26108"/>
        </w:rPr>
        <w:t>infecciosa</w:t>
      </w:r>
      <w:r>
        <w:rPr>
          <w:color w:val="A26108"/>
          <w:spacing w:val="20"/>
        </w:rPr>
        <w:t> </w:t>
      </w:r>
      <w:r>
        <w:rPr>
          <w:color w:val="A26108"/>
        </w:rPr>
        <w:t>e</w:t>
      </w:r>
      <w:r>
        <w:rPr>
          <w:color w:val="A26108"/>
          <w:spacing w:val="20"/>
        </w:rPr>
        <w:t> </w:t>
      </w:r>
      <w:r>
        <w:rPr>
          <w:color w:val="A26108"/>
          <w:spacing w:val="-2"/>
        </w:rPr>
        <w:t>erisipela</w:t>
      </w:r>
    </w:p>
    <w:p>
      <w:pPr>
        <w:pStyle w:val="BodyText"/>
        <w:spacing w:line="276" w:lineRule="auto" w:before="138"/>
        <w:ind w:right="488"/>
      </w:pPr>
      <w:r>
        <w:rPr/>
        <w:t>Processos infecciosos de</w:t>
      </w:r>
      <w:r>
        <w:rPr>
          <w:spacing w:val="-6"/>
        </w:rPr>
        <w:t> </w:t>
      </w:r>
      <w:r>
        <w:rPr/>
        <w:t>pele</w:t>
      </w:r>
      <w:r>
        <w:rPr>
          <w:spacing w:val="-6"/>
        </w:rPr>
        <w:t> </w:t>
      </w:r>
      <w:r>
        <w:rPr/>
        <w:t>e</w:t>
      </w:r>
      <w:r>
        <w:rPr>
          <w:spacing w:val="-6"/>
        </w:rPr>
        <w:t> </w:t>
      </w:r>
      <w:r>
        <w:rPr/>
        <w:t>tecido</w:t>
      </w:r>
      <w:r>
        <w:rPr>
          <w:spacing w:val="-3"/>
        </w:rPr>
        <w:t> </w:t>
      </w:r>
      <w:r>
        <w:rPr/>
        <w:t>celular subcutâneo</w:t>
      </w:r>
      <w:r>
        <w:rPr>
          <w:spacing w:val="-3"/>
        </w:rPr>
        <w:t> </w:t>
      </w:r>
      <w:r>
        <w:rPr/>
        <w:t>que</w:t>
      </w:r>
      <w:r>
        <w:rPr>
          <w:spacing w:val="-6"/>
        </w:rPr>
        <w:t> </w:t>
      </w:r>
      <w:r>
        <w:rPr/>
        <w:t>se</w:t>
      </w:r>
      <w:r>
        <w:rPr>
          <w:spacing w:val="-6"/>
        </w:rPr>
        <w:t> </w:t>
      </w:r>
      <w:r>
        <w:rPr/>
        <w:t>manifestam</w:t>
      </w:r>
      <w:r>
        <w:rPr>
          <w:spacing w:val="-3"/>
        </w:rPr>
        <w:t> </w:t>
      </w:r>
      <w:r>
        <w:rPr/>
        <w:t>por edema, eritema, dor e</w:t>
      </w:r>
      <w:r>
        <w:rPr>
          <w:spacing w:val="-6"/>
        </w:rPr>
        <w:t> </w:t>
      </w:r>
      <w:r>
        <w:rPr/>
        <w:t>febre. O edema</w:t>
      </w:r>
      <w:r>
        <w:rPr>
          <w:spacing w:val="-3"/>
        </w:rPr>
        <w:t> </w:t>
      </w:r>
      <w:r>
        <w:rPr/>
        <w:t>é</w:t>
      </w:r>
      <w:r>
        <w:rPr>
          <w:spacing w:val="-3"/>
        </w:rPr>
        <w:t> </w:t>
      </w:r>
      <w:r>
        <w:rPr/>
        <w:t>subcutâneo</w:t>
      </w:r>
      <w:r>
        <w:rPr>
          <w:spacing w:val="-1"/>
        </w:rPr>
        <w:t> </w:t>
      </w:r>
      <w:r>
        <w:rPr/>
        <w:t>e, diferentemente</w:t>
      </w:r>
      <w:r>
        <w:rPr>
          <w:spacing w:val="-3"/>
        </w:rPr>
        <w:t> </w:t>
      </w:r>
      <w:r>
        <w:rPr/>
        <w:t>da</w:t>
      </w:r>
      <w:r>
        <w:rPr>
          <w:spacing w:val="-3"/>
        </w:rPr>
        <w:t> </w:t>
      </w:r>
      <w:r>
        <w:rPr/>
        <w:t>TVP, não</w:t>
      </w:r>
      <w:r>
        <w:rPr>
          <w:spacing w:val="-1"/>
        </w:rPr>
        <w:t> </w:t>
      </w:r>
      <w:r>
        <w:rPr/>
        <w:t>há</w:t>
      </w:r>
      <w:r>
        <w:rPr>
          <w:spacing w:val="-3"/>
        </w:rPr>
        <w:t> </w:t>
      </w:r>
      <w:r>
        <w:rPr/>
        <w:t>empastamento</w:t>
      </w:r>
      <w:r>
        <w:rPr>
          <w:spacing w:val="-1"/>
        </w:rPr>
        <w:t> </w:t>
      </w:r>
      <w:r>
        <w:rPr/>
        <w:t>muscular. Na</w:t>
      </w:r>
      <w:r>
        <w:rPr>
          <w:spacing w:val="-3"/>
        </w:rPr>
        <w:t> </w:t>
      </w:r>
      <w:r>
        <w:rPr/>
        <w:t>evolução</w:t>
      </w:r>
      <w:r>
        <w:rPr>
          <w:spacing w:val="-1"/>
        </w:rPr>
        <w:t> </w:t>
      </w:r>
      <w:r>
        <w:rPr/>
        <w:t>da</w:t>
      </w:r>
      <w:r>
        <w:rPr>
          <w:spacing w:val="-3"/>
        </w:rPr>
        <w:t> </w:t>
      </w:r>
      <w:r>
        <w:rPr/>
        <w:t>erisipela</w:t>
      </w:r>
      <w:r>
        <w:rPr>
          <w:spacing w:val="-3"/>
        </w:rPr>
        <w:t> </w:t>
      </w:r>
      <w:r>
        <w:rPr/>
        <w:t>podem</w:t>
      </w:r>
      <w:r>
        <w:rPr>
          <w:spacing w:val="-1"/>
        </w:rPr>
        <w:t> </w:t>
      </w:r>
      <w:r>
        <w:rPr/>
        <w:t>se</w:t>
      </w:r>
    </w:p>
    <w:p>
      <w:pPr>
        <w:pStyle w:val="BodyText"/>
        <w:spacing w:after="0" w:line="276" w:lineRule="auto"/>
        <w:sectPr>
          <w:pgSz w:w="11900" w:h="16840"/>
          <w:pgMar w:top="280" w:bottom="280" w:left="566" w:right="141"/>
        </w:sectPr>
      </w:pPr>
    </w:p>
    <w:p>
      <w:pPr>
        <w:pStyle w:val="BodyText"/>
        <w:spacing w:before="78"/>
        <w:ind w:firstLine="0"/>
        <w:jc w:val="left"/>
      </w:pPr>
      <w:r>
        <w:rPr/>
        <w:t>tornar</w:t>
      </w:r>
      <w:r>
        <w:rPr>
          <w:spacing w:val="-17"/>
        </w:rPr>
        <w:t> </w:t>
      </w:r>
      <w:r>
        <w:rPr/>
        <w:t>evidentes</w:t>
      </w:r>
      <w:r>
        <w:rPr>
          <w:spacing w:val="-11"/>
        </w:rPr>
        <w:t> </w:t>
      </w:r>
      <w:r>
        <w:rPr/>
        <w:t>sinais</w:t>
      </w:r>
      <w:r>
        <w:rPr>
          <w:spacing w:val="-8"/>
        </w:rPr>
        <w:t> </w:t>
      </w:r>
      <w:r>
        <w:rPr/>
        <w:t>de</w:t>
      </w:r>
      <w:r>
        <w:rPr>
          <w:spacing w:val="-14"/>
        </w:rPr>
        <w:t> </w:t>
      </w:r>
      <w:r>
        <w:rPr/>
        <w:t>linfangite,</w:t>
      </w:r>
      <w:r>
        <w:rPr>
          <w:spacing w:val="-8"/>
        </w:rPr>
        <w:t> </w:t>
      </w:r>
      <w:r>
        <w:rPr/>
        <w:t>adenopatia</w:t>
      </w:r>
      <w:r>
        <w:rPr>
          <w:spacing w:val="-15"/>
        </w:rPr>
        <w:t> </w:t>
      </w:r>
      <w:r>
        <w:rPr/>
        <w:t>inguinal,</w:t>
      </w:r>
      <w:r>
        <w:rPr>
          <w:spacing w:val="-8"/>
        </w:rPr>
        <w:t> </w:t>
      </w:r>
      <w:r>
        <w:rPr/>
        <w:t>petéquias</w:t>
      </w:r>
      <w:r>
        <w:rPr>
          <w:spacing w:val="-8"/>
        </w:rPr>
        <w:t> </w:t>
      </w:r>
      <w:r>
        <w:rPr/>
        <w:t>e</w:t>
      </w:r>
      <w:r>
        <w:rPr>
          <w:spacing w:val="-14"/>
        </w:rPr>
        <w:t> </w:t>
      </w:r>
      <w:r>
        <w:rPr>
          <w:spacing w:val="-2"/>
        </w:rPr>
        <w:t>flictenas.</w:t>
      </w:r>
    </w:p>
    <w:p>
      <w:pPr>
        <w:pStyle w:val="BodyText"/>
        <w:spacing w:before="173"/>
        <w:ind w:left="0" w:firstLine="0"/>
        <w:jc w:val="left"/>
      </w:pPr>
    </w:p>
    <w:p>
      <w:pPr>
        <w:pStyle w:val="Heading5"/>
      </w:pPr>
      <w:r>
        <w:rPr>
          <w:color w:val="A26108"/>
          <w:spacing w:val="-2"/>
        </w:rPr>
        <w:t>Miosites</w:t>
      </w:r>
    </w:p>
    <w:p>
      <w:pPr>
        <w:pStyle w:val="BodyText"/>
        <w:spacing w:line="276" w:lineRule="auto" w:before="138"/>
        <w:ind w:right="488"/>
      </w:pPr>
      <w:r>
        <w:rPr/>
        <w:t>São</w:t>
      </w:r>
      <w:r>
        <w:rPr>
          <w:spacing w:val="-1"/>
        </w:rPr>
        <w:t> </w:t>
      </w:r>
      <w:r>
        <w:rPr/>
        <w:t>processos inflamatórios musculares, podendo</w:t>
      </w:r>
      <w:r>
        <w:rPr>
          <w:spacing w:val="-1"/>
        </w:rPr>
        <w:t> </w:t>
      </w:r>
      <w:r>
        <w:rPr/>
        <w:t>ocasionar edema</w:t>
      </w:r>
      <w:r>
        <w:rPr>
          <w:spacing w:val="-4"/>
        </w:rPr>
        <w:t> </w:t>
      </w:r>
      <w:r>
        <w:rPr/>
        <w:t>e</w:t>
      </w:r>
      <w:r>
        <w:rPr>
          <w:spacing w:val="-4"/>
        </w:rPr>
        <w:t> </w:t>
      </w:r>
      <w:r>
        <w:rPr/>
        <w:t>necrose</w:t>
      </w:r>
      <w:r>
        <w:rPr>
          <w:spacing w:val="-4"/>
        </w:rPr>
        <w:t> </w:t>
      </w:r>
      <w:r>
        <w:rPr/>
        <w:t>(rabdomiólise). Assemelham-se</w:t>
      </w:r>
      <w:r>
        <w:rPr>
          <w:spacing w:val="-4"/>
        </w:rPr>
        <w:t> </w:t>
      </w:r>
      <w:r>
        <w:rPr/>
        <w:t>à TVP pelo edema e dor à palpação muscular, aumento da tensão da panturrilha e da coxa. Há elevação das enzimas musculares séricas e, nos casos mais graves, acidose metabólica, hiperpotassemia e mioglobinúria, podendo ser fatal por insuficiência</w:t>
      </w:r>
      <w:r>
        <w:rPr>
          <w:spacing w:val="-5"/>
        </w:rPr>
        <w:t> </w:t>
      </w:r>
      <w:r>
        <w:rPr/>
        <w:t>renal e</w:t>
      </w:r>
      <w:r>
        <w:rPr>
          <w:spacing w:val="-5"/>
        </w:rPr>
        <w:t> </w:t>
      </w:r>
      <w:r>
        <w:rPr/>
        <w:t>hipercalemia. Podem</w:t>
      </w:r>
      <w:r>
        <w:rPr>
          <w:spacing w:val="-2"/>
        </w:rPr>
        <w:t> </w:t>
      </w:r>
      <w:r>
        <w:rPr/>
        <w:t>ser causadas por fármacos ou</w:t>
      </w:r>
      <w:r>
        <w:rPr>
          <w:spacing w:val="-2"/>
        </w:rPr>
        <w:t> </w:t>
      </w:r>
      <w:r>
        <w:rPr/>
        <w:t>esforço</w:t>
      </w:r>
      <w:r>
        <w:rPr>
          <w:spacing w:val="-2"/>
        </w:rPr>
        <w:t> </w:t>
      </w:r>
      <w:r>
        <w:rPr/>
        <w:t>muscular exagerado.</w:t>
      </w:r>
    </w:p>
    <w:p>
      <w:pPr>
        <w:pStyle w:val="BodyText"/>
        <w:spacing w:before="81"/>
        <w:ind w:left="0" w:firstLine="0"/>
        <w:jc w:val="left"/>
        <w:rPr>
          <w:sz w:val="20"/>
        </w:rPr>
      </w:pPr>
      <w:r>
        <w:rPr>
          <w:sz w:val="20"/>
        </w:rPr>
        <w:drawing>
          <wp:anchor distT="0" distB="0" distL="0" distR="0" allowOverlap="1" layoutInCell="1" locked="0" behindDoc="1" simplePos="0" relativeHeight="487629824">
            <wp:simplePos x="0" y="0"/>
            <wp:positionH relativeFrom="page">
              <wp:posOffset>2018703</wp:posOffset>
            </wp:positionH>
            <wp:positionV relativeFrom="paragraph">
              <wp:posOffset>212964</wp:posOffset>
            </wp:positionV>
            <wp:extent cx="3536538" cy="5330285"/>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66" cstate="print"/>
                    <a:stretch>
                      <a:fillRect/>
                    </a:stretch>
                  </pic:blipFill>
                  <pic:spPr>
                    <a:xfrm>
                      <a:off x="0" y="0"/>
                      <a:ext cx="3536538" cy="5330285"/>
                    </a:xfrm>
                    <a:prstGeom prst="rect">
                      <a:avLst/>
                    </a:prstGeom>
                  </pic:spPr>
                </pic:pic>
              </a:graphicData>
            </a:graphic>
          </wp:anchor>
        </w:drawing>
      </w:r>
    </w:p>
    <w:p>
      <w:pPr>
        <w:spacing w:before="197"/>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6"/>
          <w:sz w:val="19"/>
        </w:rPr>
        <w:t> </w:t>
      </w:r>
      <w:r>
        <w:rPr>
          <w:rFonts w:ascii="Arial" w:hAnsi="Arial"/>
          <w:b/>
          <w:color w:val="242B67"/>
          <w:sz w:val="19"/>
        </w:rPr>
        <w:t>59.32</w:t>
      </w:r>
      <w:r>
        <w:rPr>
          <w:rFonts w:ascii="Arial" w:hAnsi="Arial"/>
          <w:b/>
          <w:color w:val="242B67"/>
          <w:spacing w:val="16"/>
          <w:sz w:val="19"/>
        </w:rPr>
        <w:t> </w:t>
      </w:r>
      <w:r>
        <w:rPr>
          <w:rFonts w:ascii="Microsoft Sans Serif" w:hAnsi="Microsoft Sans Serif"/>
          <w:sz w:val="19"/>
        </w:rPr>
        <w:t>Ultrassonografia</w:t>
      </w:r>
      <w:r>
        <w:rPr>
          <w:rFonts w:ascii="Microsoft Sans Serif" w:hAnsi="Microsoft Sans Serif"/>
          <w:spacing w:val="18"/>
          <w:sz w:val="19"/>
        </w:rPr>
        <w:t> </w:t>
      </w:r>
      <w:r>
        <w:rPr>
          <w:rFonts w:ascii="Microsoft Sans Serif" w:hAnsi="Microsoft Sans Serif"/>
          <w:sz w:val="19"/>
        </w:rPr>
        <w:t>mostrando</w:t>
      </w:r>
      <w:r>
        <w:rPr>
          <w:rFonts w:ascii="Microsoft Sans Serif" w:hAnsi="Microsoft Sans Serif"/>
          <w:spacing w:val="18"/>
          <w:sz w:val="19"/>
        </w:rPr>
        <w:t> </w:t>
      </w:r>
      <w:r>
        <w:rPr>
          <w:rFonts w:ascii="Microsoft Sans Serif" w:hAnsi="Microsoft Sans Serif"/>
          <w:sz w:val="19"/>
        </w:rPr>
        <w:t>cisto</w:t>
      </w:r>
      <w:r>
        <w:rPr>
          <w:rFonts w:ascii="Microsoft Sans Serif" w:hAnsi="Microsoft Sans Serif"/>
          <w:spacing w:val="19"/>
          <w:sz w:val="19"/>
        </w:rPr>
        <w:t> </w:t>
      </w:r>
      <w:r>
        <w:rPr>
          <w:rFonts w:ascii="Microsoft Sans Serif" w:hAnsi="Microsoft Sans Serif"/>
          <w:sz w:val="19"/>
        </w:rPr>
        <w:t>poplíteo</w:t>
      </w:r>
      <w:r>
        <w:rPr>
          <w:rFonts w:ascii="Microsoft Sans Serif" w:hAnsi="Microsoft Sans Serif"/>
          <w:spacing w:val="18"/>
          <w:sz w:val="19"/>
        </w:rPr>
        <w:t> </w:t>
      </w:r>
      <w:r>
        <w:rPr>
          <w:rFonts w:ascii="Microsoft Sans Serif" w:hAnsi="Microsoft Sans Serif"/>
          <w:spacing w:val="-2"/>
          <w:sz w:val="19"/>
        </w:rPr>
        <w:t>roto.</w:t>
      </w:r>
    </w:p>
    <w:p>
      <w:pPr>
        <w:pStyle w:val="BodyText"/>
        <w:spacing w:before="0"/>
        <w:ind w:left="0" w:firstLine="0"/>
        <w:jc w:val="left"/>
        <w:rPr>
          <w:rFonts w:ascii="Microsoft Sans Serif"/>
          <w:sz w:val="19"/>
        </w:rPr>
      </w:pPr>
    </w:p>
    <w:p>
      <w:pPr>
        <w:pStyle w:val="BodyText"/>
        <w:spacing w:before="1"/>
        <w:ind w:left="0" w:firstLine="0"/>
        <w:jc w:val="left"/>
        <w:rPr>
          <w:rFonts w:ascii="Microsoft Sans Serif"/>
          <w:sz w:val="19"/>
        </w:rPr>
      </w:pPr>
    </w:p>
    <w:p>
      <w:pPr>
        <w:pStyle w:val="Heading5"/>
      </w:pPr>
      <w:r>
        <w:rPr>
          <w:color w:val="A26108"/>
        </w:rPr>
        <w:t>Compressões</w:t>
      </w:r>
      <w:r>
        <w:rPr>
          <w:color w:val="A26108"/>
          <w:spacing w:val="41"/>
        </w:rPr>
        <w:t> </w:t>
      </w:r>
      <w:r>
        <w:rPr>
          <w:color w:val="A26108"/>
          <w:spacing w:val="-2"/>
        </w:rPr>
        <w:t>extrínsecas</w:t>
      </w:r>
    </w:p>
    <w:p>
      <w:pPr>
        <w:pStyle w:val="BodyText"/>
        <w:spacing w:before="138"/>
        <w:ind w:left="414" w:firstLine="0"/>
        <w:jc w:val="left"/>
      </w:pPr>
      <w:r>
        <w:rPr/>
        <w:t>Edema</w:t>
      </w:r>
      <w:r>
        <w:rPr>
          <w:spacing w:val="-17"/>
        </w:rPr>
        <w:t> </w:t>
      </w:r>
      <w:r>
        <w:rPr/>
        <w:t>causado</w:t>
      </w:r>
      <w:r>
        <w:rPr>
          <w:spacing w:val="-12"/>
        </w:rPr>
        <w:t> </w:t>
      </w:r>
      <w:r>
        <w:rPr/>
        <w:t>por</w:t>
      </w:r>
      <w:r>
        <w:rPr>
          <w:spacing w:val="-7"/>
        </w:rPr>
        <w:t> </w:t>
      </w:r>
      <w:r>
        <w:rPr/>
        <w:t>tumores,</w:t>
      </w:r>
      <w:r>
        <w:rPr>
          <w:spacing w:val="-5"/>
        </w:rPr>
        <w:t> </w:t>
      </w:r>
      <w:r>
        <w:rPr/>
        <w:t>hematomas</w:t>
      </w:r>
      <w:r>
        <w:rPr>
          <w:spacing w:val="-5"/>
        </w:rPr>
        <w:t> </w:t>
      </w:r>
      <w:r>
        <w:rPr/>
        <w:t>ou</w:t>
      </w:r>
      <w:r>
        <w:rPr>
          <w:spacing w:val="-12"/>
        </w:rPr>
        <w:t> </w:t>
      </w:r>
      <w:r>
        <w:rPr/>
        <w:t>abscessos</w:t>
      </w:r>
      <w:r>
        <w:rPr>
          <w:spacing w:val="-5"/>
        </w:rPr>
        <w:t> </w:t>
      </w:r>
      <w:r>
        <w:rPr/>
        <w:t>que</w:t>
      </w:r>
      <w:r>
        <w:rPr>
          <w:spacing w:val="-14"/>
        </w:rPr>
        <w:t> </w:t>
      </w:r>
      <w:r>
        <w:rPr/>
        <w:t>comprimem</w:t>
      </w:r>
      <w:r>
        <w:rPr>
          <w:spacing w:val="-12"/>
        </w:rPr>
        <w:t> </w:t>
      </w:r>
      <w:r>
        <w:rPr/>
        <w:t>veias</w:t>
      </w:r>
      <w:r>
        <w:rPr>
          <w:spacing w:val="-5"/>
        </w:rPr>
        <w:t> </w:t>
      </w:r>
      <w:r>
        <w:rPr>
          <w:spacing w:val="-2"/>
        </w:rPr>
        <w:t>adjacentes.</w:t>
      </w:r>
    </w:p>
    <w:p>
      <w:pPr>
        <w:pStyle w:val="BodyText"/>
        <w:spacing w:line="276" w:lineRule="auto" w:before="104"/>
        <w:ind w:right="500"/>
      </w:pPr>
      <w:r>
        <w:rPr/>
        <w:t>A TVP pode coexistir na maioria das situações citadas, o que exige extremo cuidado nas avaliações dos sinais clínicos, testes laboratoriais e exames de imagem para sua exclusão.</w:t>
      </w:r>
    </w:p>
    <w:p>
      <w:pPr>
        <w:pStyle w:val="BodyText"/>
        <w:spacing w:before="185"/>
        <w:ind w:left="0" w:firstLine="0"/>
        <w:jc w:val="left"/>
      </w:pPr>
    </w:p>
    <w:p>
      <w:pPr>
        <w:pStyle w:val="Heading4"/>
      </w:pPr>
      <w:r>
        <w:rPr>
          <w:color w:val="242B67"/>
          <w:spacing w:val="-2"/>
        </w:rPr>
        <w:t>Tratamento</w:t>
      </w:r>
    </w:p>
    <w:p>
      <w:pPr>
        <w:pStyle w:val="BodyText"/>
        <w:spacing w:line="276" w:lineRule="auto" w:before="132"/>
        <w:ind w:right="500"/>
      </w:pPr>
      <w:r>
        <w:rPr/>
        <w:t>A estratégia de tratamento da TVP depende do local e da extensão da doença, da magnitude dos sintomas, dos fatores de risco envolvidos e da existência de doenças associadas, em especial das complicações embólicas </w:t>
      </w:r>
      <w:r>
        <w:rPr>
          <w:spacing w:val="-2"/>
        </w:rPr>
        <w:t>pulmonares.</w:t>
      </w:r>
    </w:p>
    <w:p>
      <w:pPr>
        <w:pStyle w:val="BodyText"/>
        <w:spacing w:line="276" w:lineRule="auto" w:before="49"/>
        <w:ind w:right="488"/>
      </w:pPr>
      <w:r>
        <w:rPr/>
        <w:t>De maneira geral, o tratamento de escolha é o tratamento clínico conservador. Nos casos de TVP de grande extensão,</w:t>
      </w:r>
      <w:r>
        <w:rPr>
          <w:spacing w:val="40"/>
        </w:rPr>
        <w:t> </w:t>
      </w:r>
      <w:r>
        <w:rPr/>
        <w:t>a</w:t>
      </w:r>
      <w:r>
        <w:rPr>
          <w:spacing w:val="40"/>
        </w:rPr>
        <w:t> </w:t>
      </w:r>
      <w:r>
        <w:rPr/>
        <w:t>tendência</w:t>
      </w:r>
      <w:r>
        <w:rPr>
          <w:spacing w:val="40"/>
        </w:rPr>
        <w:t> </w:t>
      </w:r>
      <w:r>
        <w:rPr/>
        <w:t>atual</w:t>
      </w:r>
      <w:r>
        <w:rPr>
          <w:spacing w:val="40"/>
        </w:rPr>
        <w:t> </w:t>
      </w:r>
      <w:r>
        <w:rPr/>
        <w:t>é</w:t>
      </w:r>
      <w:r>
        <w:rPr>
          <w:spacing w:val="40"/>
        </w:rPr>
        <w:t> </w:t>
      </w:r>
      <w:r>
        <w:rPr/>
        <w:t>a</w:t>
      </w:r>
      <w:r>
        <w:rPr>
          <w:spacing w:val="40"/>
        </w:rPr>
        <w:t> </w:t>
      </w:r>
      <w:r>
        <w:rPr/>
        <w:t>utilização</w:t>
      </w:r>
      <w:r>
        <w:rPr>
          <w:spacing w:val="40"/>
        </w:rPr>
        <w:t> </w:t>
      </w:r>
      <w:r>
        <w:rPr/>
        <w:t>de</w:t>
      </w:r>
      <w:r>
        <w:rPr>
          <w:spacing w:val="40"/>
        </w:rPr>
        <w:t> </w:t>
      </w:r>
      <w:r>
        <w:rPr/>
        <w:t>métodos</w:t>
      </w:r>
      <w:r>
        <w:rPr>
          <w:spacing w:val="40"/>
        </w:rPr>
        <w:t> </w:t>
      </w:r>
      <w:r>
        <w:rPr/>
        <w:t>de</w:t>
      </w:r>
      <w:r>
        <w:rPr>
          <w:spacing w:val="40"/>
        </w:rPr>
        <w:t> </w:t>
      </w:r>
      <w:r>
        <w:rPr/>
        <w:t>fibrinólise</w:t>
      </w:r>
      <w:r>
        <w:rPr>
          <w:spacing w:val="40"/>
        </w:rPr>
        <w:t> </w:t>
      </w:r>
      <w:r>
        <w:rPr/>
        <w:t>ou</w:t>
      </w:r>
      <w:r>
        <w:rPr>
          <w:spacing w:val="40"/>
        </w:rPr>
        <w:t> </w:t>
      </w:r>
      <w:r>
        <w:rPr/>
        <w:t>trombectomia</w:t>
      </w:r>
      <w:r>
        <w:rPr>
          <w:spacing w:val="40"/>
        </w:rPr>
        <w:t> </w:t>
      </w:r>
      <w:r>
        <w:rPr/>
        <w:t>cirúrgica</w:t>
      </w:r>
      <w:r>
        <w:rPr>
          <w:spacing w:val="40"/>
        </w:rPr>
        <w:t> </w:t>
      </w:r>
      <w:r>
        <w:rPr/>
        <w:t>no</w:t>
      </w:r>
      <w:r>
        <w:rPr>
          <w:spacing w:val="40"/>
        </w:rPr>
        <w:t> </w:t>
      </w:r>
      <w:r>
        <w:rPr/>
        <w:t>sentido</w:t>
      </w:r>
      <w:r>
        <w:rPr>
          <w:spacing w:val="40"/>
        </w:rPr>
        <w:t> </w:t>
      </w:r>
      <w:r>
        <w:rPr/>
        <w:t>de</w:t>
      </w:r>
    </w:p>
    <w:p>
      <w:pPr>
        <w:pStyle w:val="BodyText"/>
        <w:spacing w:after="0" w:line="276" w:lineRule="auto"/>
        <w:sectPr>
          <w:pgSz w:w="11900" w:h="16840"/>
          <w:pgMar w:top="140" w:bottom="280" w:left="566" w:right="141"/>
        </w:sectPr>
      </w:pPr>
    </w:p>
    <w:p>
      <w:pPr>
        <w:pStyle w:val="BodyText"/>
        <w:spacing w:before="70"/>
        <w:ind w:firstLine="0"/>
        <w:jc w:val="left"/>
      </w:pPr>
      <w:r>
        <w:rPr/>
        <w:t>minimizar</w:t>
      </w:r>
      <w:r>
        <w:rPr>
          <w:spacing w:val="-2"/>
        </w:rPr>
        <w:t> </w:t>
      </w:r>
      <w:r>
        <w:rPr/>
        <w:t>as</w:t>
      </w:r>
      <w:r>
        <w:rPr>
          <w:spacing w:val="1"/>
        </w:rPr>
        <w:t> </w:t>
      </w:r>
      <w:r>
        <w:rPr/>
        <w:t>sequelas</w:t>
      </w:r>
      <w:r>
        <w:rPr>
          <w:spacing w:val="1"/>
        </w:rPr>
        <w:t> </w:t>
      </w:r>
      <w:r>
        <w:rPr/>
        <w:t>tardias,</w:t>
      </w:r>
      <w:r>
        <w:rPr>
          <w:spacing w:val="1"/>
        </w:rPr>
        <w:t> </w:t>
      </w:r>
      <w:r>
        <w:rPr/>
        <w:t>ou</w:t>
      </w:r>
      <w:r>
        <w:rPr>
          <w:spacing w:val="-7"/>
        </w:rPr>
        <w:t> </w:t>
      </w:r>
      <w:r>
        <w:rPr/>
        <w:t>seja,</w:t>
      </w:r>
      <w:r>
        <w:rPr>
          <w:spacing w:val="1"/>
        </w:rPr>
        <w:t> </w:t>
      </w:r>
      <w:r>
        <w:rPr/>
        <w:t>a</w:t>
      </w:r>
      <w:r>
        <w:rPr>
          <w:spacing w:val="-9"/>
        </w:rPr>
        <w:t> </w:t>
      </w:r>
      <w:r>
        <w:rPr/>
        <w:t>síndrome</w:t>
      </w:r>
      <w:r>
        <w:rPr>
          <w:spacing w:val="-9"/>
        </w:rPr>
        <w:t> </w:t>
      </w:r>
      <w:r>
        <w:rPr/>
        <w:t>pós-</w:t>
      </w:r>
      <w:r>
        <w:rPr>
          <w:spacing w:val="-2"/>
        </w:rPr>
        <w:t>trombótica.</w:t>
      </w:r>
    </w:p>
    <w:p>
      <w:pPr>
        <w:pStyle w:val="BodyText"/>
        <w:spacing w:before="173"/>
        <w:ind w:left="0" w:firstLine="0"/>
        <w:jc w:val="left"/>
      </w:pPr>
    </w:p>
    <w:p>
      <w:pPr>
        <w:pStyle w:val="Heading5"/>
      </w:pPr>
      <w:r>
        <w:rPr>
          <w:color w:val="A26108"/>
        </w:rPr>
        <w:t>Tratamento</w:t>
      </w:r>
      <w:r>
        <w:rPr>
          <w:color w:val="A26108"/>
          <w:spacing w:val="34"/>
        </w:rPr>
        <w:t> </w:t>
      </w:r>
      <w:r>
        <w:rPr>
          <w:color w:val="A26108"/>
          <w:spacing w:val="-2"/>
        </w:rPr>
        <w:t>clínico</w:t>
      </w:r>
    </w:p>
    <w:p>
      <w:pPr>
        <w:pStyle w:val="Heading7"/>
        <w:spacing w:before="139"/>
      </w:pPr>
      <w:r>
        <w:rPr>
          <w:color w:val="242B67"/>
        </w:rPr>
        <w:t>Medidas </w:t>
      </w:r>
      <w:r>
        <w:rPr>
          <w:color w:val="242B67"/>
          <w:spacing w:val="-2"/>
        </w:rPr>
        <w:t>gerais</w:t>
      </w:r>
    </w:p>
    <w:p>
      <w:pPr>
        <w:pStyle w:val="BodyText"/>
        <w:spacing w:line="276" w:lineRule="auto" w:before="126"/>
        <w:ind w:right="491"/>
      </w:pPr>
      <w:r>
        <w:rPr/>
        <w:t>Na</w:t>
      </w:r>
      <w:r>
        <w:rPr>
          <w:spacing w:val="-2"/>
        </w:rPr>
        <w:t> </w:t>
      </w:r>
      <w:r>
        <w:rPr/>
        <w:t>fase</w:t>
      </w:r>
      <w:r>
        <w:rPr>
          <w:spacing w:val="-2"/>
        </w:rPr>
        <w:t> </w:t>
      </w:r>
      <w:r>
        <w:rPr/>
        <w:t>aguda</w:t>
      </w:r>
      <w:r>
        <w:rPr>
          <w:spacing w:val="-2"/>
        </w:rPr>
        <w:t> </w:t>
      </w:r>
      <w:r>
        <w:rPr/>
        <w:t>o paciente</w:t>
      </w:r>
      <w:r>
        <w:rPr>
          <w:spacing w:val="-2"/>
        </w:rPr>
        <w:t> </w:t>
      </w:r>
      <w:r>
        <w:rPr/>
        <w:t>deve</w:t>
      </w:r>
      <w:r>
        <w:rPr>
          <w:spacing w:val="-2"/>
        </w:rPr>
        <w:t> </w:t>
      </w:r>
      <w:r>
        <w:rPr/>
        <w:t>ser mantido em repouso, na</w:t>
      </w:r>
      <w:r>
        <w:rPr>
          <w:spacing w:val="-2"/>
        </w:rPr>
        <w:t> </w:t>
      </w:r>
      <w:r>
        <w:rPr/>
        <w:t>posição de</w:t>
      </w:r>
      <w:r>
        <w:rPr>
          <w:spacing w:val="-2"/>
        </w:rPr>
        <w:t> </w:t>
      </w:r>
      <w:r>
        <w:rPr/>
        <w:t>Trendelenburg, aumentando-se</w:t>
      </w:r>
      <w:r>
        <w:rPr>
          <w:spacing w:val="-2"/>
        </w:rPr>
        <w:t> </w:t>
      </w:r>
      <w:r>
        <w:rPr/>
        <w:t>o retorno venoso pela circulação colateral, o que permite a redução do edema do membro em poucos dias. Em geral, não há necessidade de administração de analgésicos ou anti-inflamatórios, pois a heparina utilizada tem atividade anti-inflamatória. Assim</w:t>
      </w:r>
      <w:r>
        <w:rPr>
          <w:spacing w:val="-3"/>
        </w:rPr>
        <w:t> </w:t>
      </w:r>
      <w:r>
        <w:rPr/>
        <w:t>que</w:t>
      </w:r>
      <w:r>
        <w:rPr>
          <w:spacing w:val="-7"/>
        </w:rPr>
        <w:t> </w:t>
      </w:r>
      <w:r>
        <w:rPr/>
        <w:t>ocorrerem</w:t>
      </w:r>
      <w:r>
        <w:rPr>
          <w:spacing w:val="-3"/>
        </w:rPr>
        <w:t> </w:t>
      </w:r>
      <w:r>
        <w:rPr/>
        <w:t>a</w:t>
      </w:r>
      <w:r>
        <w:rPr>
          <w:spacing w:val="-7"/>
        </w:rPr>
        <w:t> </w:t>
      </w:r>
      <w:r>
        <w:rPr/>
        <w:t>diminuição</w:t>
      </w:r>
      <w:r>
        <w:rPr>
          <w:spacing w:val="-3"/>
        </w:rPr>
        <w:t> </w:t>
      </w:r>
      <w:r>
        <w:rPr/>
        <w:t>do</w:t>
      </w:r>
      <w:r>
        <w:rPr>
          <w:spacing w:val="-3"/>
        </w:rPr>
        <w:t> </w:t>
      </w:r>
      <w:r>
        <w:rPr/>
        <w:t>edema</w:t>
      </w:r>
      <w:r>
        <w:rPr>
          <w:spacing w:val="-7"/>
        </w:rPr>
        <w:t> </w:t>
      </w:r>
      <w:r>
        <w:rPr/>
        <w:t>e</w:t>
      </w:r>
      <w:r>
        <w:rPr>
          <w:spacing w:val="-7"/>
        </w:rPr>
        <w:t> </w:t>
      </w:r>
      <w:r>
        <w:rPr/>
        <w:t>o</w:t>
      </w:r>
      <w:r>
        <w:rPr>
          <w:spacing w:val="-3"/>
        </w:rPr>
        <w:t> </w:t>
      </w:r>
      <w:r>
        <w:rPr/>
        <w:t>alívio</w:t>
      </w:r>
      <w:r>
        <w:rPr>
          <w:spacing w:val="-3"/>
        </w:rPr>
        <w:t> </w:t>
      </w:r>
      <w:r>
        <w:rPr/>
        <w:t>da</w:t>
      </w:r>
      <w:r>
        <w:rPr>
          <w:spacing w:val="-7"/>
        </w:rPr>
        <w:t> </w:t>
      </w:r>
      <w:r>
        <w:rPr/>
        <w:t>dor, é</w:t>
      </w:r>
      <w:r>
        <w:rPr>
          <w:spacing w:val="-7"/>
        </w:rPr>
        <w:t> </w:t>
      </w:r>
      <w:r>
        <w:rPr/>
        <w:t>fundamental</w:t>
      </w:r>
      <w:r>
        <w:rPr>
          <w:spacing w:val="-1"/>
        </w:rPr>
        <w:t> </w:t>
      </w:r>
      <w:r>
        <w:rPr/>
        <w:t>o</w:t>
      </w:r>
      <w:r>
        <w:rPr>
          <w:spacing w:val="-3"/>
        </w:rPr>
        <w:t> </w:t>
      </w:r>
      <w:r>
        <w:rPr/>
        <w:t>uso</w:t>
      </w:r>
      <w:r>
        <w:rPr>
          <w:spacing w:val="-3"/>
        </w:rPr>
        <w:t> </w:t>
      </w:r>
      <w:r>
        <w:rPr/>
        <w:t>de</w:t>
      </w:r>
      <w:r>
        <w:rPr>
          <w:spacing w:val="-7"/>
        </w:rPr>
        <w:t> </w:t>
      </w:r>
      <w:r>
        <w:rPr/>
        <w:t>meias elásticas e</w:t>
      </w:r>
      <w:r>
        <w:rPr>
          <w:spacing w:val="-3"/>
        </w:rPr>
        <w:t> </w:t>
      </w:r>
      <w:r>
        <w:rPr/>
        <w:t>estímulo à</w:t>
      </w:r>
      <w:r>
        <w:rPr>
          <w:spacing w:val="-3"/>
        </w:rPr>
        <w:t> </w:t>
      </w:r>
      <w:r>
        <w:rPr/>
        <w:t>deambulação. Desta</w:t>
      </w:r>
      <w:r>
        <w:rPr>
          <w:spacing w:val="-3"/>
        </w:rPr>
        <w:t> </w:t>
      </w:r>
      <w:r>
        <w:rPr/>
        <w:t>maneira, a</w:t>
      </w:r>
      <w:r>
        <w:rPr>
          <w:spacing w:val="-3"/>
        </w:rPr>
        <w:t> </w:t>
      </w:r>
      <w:r>
        <w:rPr/>
        <w:t>contração ativa</w:t>
      </w:r>
      <w:r>
        <w:rPr>
          <w:spacing w:val="-3"/>
        </w:rPr>
        <w:t> </w:t>
      </w:r>
      <w:r>
        <w:rPr/>
        <w:t>da</w:t>
      </w:r>
      <w:r>
        <w:rPr>
          <w:spacing w:val="-3"/>
        </w:rPr>
        <w:t> </w:t>
      </w:r>
      <w:r>
        <w:rPr/>
        <w:t>musculatura</w:t>
      </w:r>
      <w:r>
        <w:rPr>
          <w:spacing w:val="-3"/>
        </w:rPr>
        <w:t> </w:t>
      </w:r>
      <w:r>
        <w:rPr/>
        <w:t>da</w:t>
      </w:r>
      <w:r>
        <w:rPr>
          <w:spacing w:val="-3"/>
        </w:rPr>
        <w:t> </w:t>
      </w:r>
      <w:r>
        <w:rPr/>
        <w:t>panturrilha, associada</w:t>
      </w:r>
      <w:r>
        <w:rPr>
          <w:spacing w:val="-3"/>
        </w:rPr>
        <w:t> </w:t>
      </w:r>
      <w:r>
        <w:rPr/>
        <w:t>à</w:t>
      </w:r>
      <w:r>
        <w:rPr>
          <w:spacing w:val="-3"/>
        </w:rPr>
        <w:t> </w:t>
      </w:r>
      <w:r>
        <w:rPr/>
        <w:t>compressão elástica, promove considerável aumento do fluxo venoso e diminui o risco de progressão da trombose, fragmentação de</w:t>
      </w:r>
      <w:r>
        <w:rPr>
          <w:spacing w:val="-1"/>
        </w:rPr>
        <w:t> </w:t>
      </w:r>
      <w:r>
        <w:rPr/>
        <w:t>novos trombos, prevenindo, em última</w:t>
      </w:r>
      <w:r>
        <w:rPr>
          <w:spacing w:val="-1"/>
        </w:rPr>
        <w:t> </w:t>
      </w:r>
      <w:r>
        <w:rPr/>
        <w:t>análise, a</w:t>
      </w:r>
      <w:r>
        <w:rPr>
          <w:spacing w:val="-1"/>
        </w:rPr>
        <w:t> </w:t>
      </w:r>
      <w:r>
        <w:rPr/>
        <w:t>embolia</w:t>
      </w:r>
      <w:r>
        <w:rPr>
          <w:spacing w:val="-1"/>
        </w:rPr>
        <w:t> </w:t>
      </w:r>
      <w:r>
        <w:rPr/>
        <w:t>pulmonar.</w:t>
      </w:r>
    </w:p>
    <w:p>
      <w:pPr>
        <w:pStyle w:val="BodyText"/>
        <w:spacing w:before="25"/>
        <w:ind w:left="0" w:firstLine="0"/>
        <w:jc w:val="left"/>
      </w:pPr>
    </w:p>
    <w:p>
      <w:pPr>
        <w:pStyle w:val="Heading7"/>
      </w:pPr>
      <w:r>
        <w:rPr>
          <w:color w:val="242B67"/>
          <w:spacing w:val="-2"/>
        </w:rPr>
        <w:t>Anticoagulação</w:t>
      </w:r>
    </w:p>
    <w:p>
      <w:pPr>
        <w:pStyle w:val="BodyText"/>
        <w:spacing w:line="276" w:lineRule="auto" w:before="126"/>
        <w:ind w:right="497"/>
      </w:pPr>
      <w:r>
        <w:rPr/>
        <w:t>Os anticoagulantes constituem</w:t>
      </w:r>
      <w:r>
        <w:rPr>
          <w:spacing w:val="-7"/>
        </w:rPr>
        <w:t> </w:t>
      </w:r>
      <w:r>
        <w:rPr/>
        <w:t>a</w:t>
      </w:r>
      <w:r>
        <w:rPr>
          <w:spacing w:val="-10"/>
        </w:rPr>
        <w:t> </w:t>
      </w:r>
      <w:r>
        <w:rPr/>
        <w:t>base</w:t>
      </w:r>
      <w:r>
        <w:rPr>
          <w:spacing w:val="-10"/>
        </w:rPr>
        <w:t> </w:t>
      </w:r>
      <w:r>
        <w:rPr/>
        <w:t>do</w:t>
      </w:r>
      <w:r>
        <w:rPr>
          <w:spacing w:val="-7"/>
        </w:rPr>
        <w:t> </w:t>
      </w:r>
      <w:r>
        <w:rPr/>
        <w:t>tratamento</w:t>
      </w:r>
      <w:r>
        <w:rPr>
          <w:spacing w:val="-7"/>
        </w:rPr>
        <w:t> </w:t>
      </w:r>
      <w:r>
        <w:rPr/>
        <w:t>da</w:t>
      </w:r>
      <w:r>
        <w:rPr>
          <w:spacing w:val="-10"/>
        </w:rPr>
        <w:t> </w:t>
      </w:r>
      <w:r>
        <w:rPr/>
        <w:t>TVP. Os mais utilizados são</w:t>
      </w:r>
      <w:r>
        <w:rPr>
          <w:spacing w:val="-7"/>
        </w:rPr>
        <w:t> </w:t>
      </w:r>
      <w:r>
        <w:rPr/>
        <w:t>as heparinas, administradas por via intravenosa ou subcutânea e os anticoagulantes orais (cumarínicos). Seu efeito terapêutico principal é impedir a progressão da trombose, ou seja, bloquear o processo de formação de novos coágulos. No entanto, os anticoagulantes não são capazes de estimular o processo fibrinolítico, sendo, portanto, agentes essencialmente profiláticos. Na fase aguda, a heparina é a medicação de escolha, pois, uma vez administrada por via venosa, sua ação</w:t>
      </w:r>
      <w:r>
        <w:rPr>
          <w:spacing w:val="-8"/>
        </w:rPr>
        <w:t> </w:t>
      </w:r>
      <w:r>
        <w:rPr/>
        <w:t>é</w:t>
      </w:r>
      <w:r>
        <w:rPr>
          <w:spacing w:val="-11"/>
        </w:rPr>
        <w:t> </w:t>
      </w:r>
      <w:r>
        <w:rPr/>
        <w:t>imediata,</w:t>
      </w:r>
      <w:r>
        <w:rPr>
          <w:spacing w:val="-1"/>
        </w:rPr>
        <w:t> </w:t>
      </w:r>
      <w:r>
        <w:rPr/>
        <w:t>ao</w:t>
      </w:r>
      <w:r>
        <w:rPr>
          <w:spacing w:val="-8"/>
        </w:rPr>
        <w:t> </w:t>
      </w:r>
      <w:r>
        <w:rPr/>
        <w:t>passo</w:t>
      </w:r>
      <w:r>
        <w:rPr>
          <w:spacing w:val="-8"/>
        </w:rPr>
        <w:t> </w:t>
      </w:r>
      <w:r>
        <w:rPr/>
        <w:t>que</w:t>
      </w:r>
      <w:r>
        <w:rPr>
          <w:spacing w:val="-11"/>
        </w:rPr>
        <w:t> </w:t>
      </w:r>
      <w:r>
        <w:rPr/>
        <w:t>os</w:t>
      </w:r>
      <w:r>
        <w:rPr>
          <w:spacing w:val="-1"/>
        </w:rPr>
        <w:t> </w:t>
      </w:r>
      <w:r>
        <w:rPr/>
        <w:t>anticoagulantes</w:t>
      </w:r>
      <w:r>
        <w:rPr>
          <w:spacing w:val="-1"/>
        </w:rPr>
        <w:t> </w:t>
      </w:r>
      <w:r>
        <w:rPr/>
        <w:t>orais</w:t>
      </w:r>
      <w:r>
        <w:rPr>
          <w:spacing w:val="-1"/>
        </w:rPr>
        <w:t> </w:t>
      </w:r>
      <w:r>
        <w:rPr/>
        <w:t>(cumarínicos)</w:t>
      </w:r>
      <w:r>
        <w:rPr>
          <w:spacing w:val="-3"/>
        </w:rPr>
        <w:t> </w:t>
      </w:r>
      <w:r>
        <w:rPr/>
        <w:t>têm</w:t>
      </w:r>
      <w:r>
        <w:rPr>
          <w:spacing w:val="-8"/>
        </w:rPr>
        <w:t> </w:t>
      </w:r>
      <w:r>
        <w:rPr/>
        <w:t>ação</w:t>
      </w:r>
      <w:r>
        <w:rPr>
          <w:spacing w:val="-8"/>
        </w:rPr>
        <w:t> </w:t>
      </w:r>
      <w:r>
        <w:rPr/>
        <w:t>mais</w:t>
      </w:r>
      <w:r>
        <w:rPr>
          <w:spacing w:val="-1"/>
        </w:rPr>
        <w:t> </w:t>
      </w:r>
      <w:r>
        <w:rPr/>
        <w:t>lenta,</w:t>
      </w:r>
      <w:r>
        <w:rPr>
          <w:spacing w:val="-1"/>
        </w:rPr>
        <w:t> </w:t>
      </w:r>
      <w:r>
        <w:rPr/>
        <w:t>necessitando</w:t>
      </w:r>
      <w:r>
        <w:rPr>
          <w:spacing w:val="-8"/>
        </w:rPr>
        <w:t> </w:t>
      </w:r>
      <w:r>
        <w:rPr/>
        <w:t>3</w:t>
      </w:r>
      <w:r>
        <w:rPr>
          <w:spacing w:val="-8"/>
        </w:rPr>
        <w:t> </w:t>
      </w:r>
      <w:r>
        <w:rPr/>
        <w:t>a</w:t>
      </w:r>
      <w:r>
        <w:rPr>
          <w:spacing w:val="-11"/>
        </w:rPr>
        <w:t> </w:t>
      </w:r>
      <w:r>
        <w:rPr/>
        <w:t>4</w:t>
      </w:r>
      <w:r>
        <w:rPr>
          <w:spacing w:val="-8"/>
        </w:rPr>
        <w:t> </w:t>
      </w:r>
      <w:r>
        <w:rPr/>
        <w:t>dias</w:t>
      </w:r>
      <w:r>
        <w:rPr>
          <w:spacing w:val="-1"/>
        </w:rPr>
        <w:t> </w:t>
      </w:r>
      <w:r>
        <w:rPr/>
        <w:t>de latência para início de sua atividade. Novos anticoagulantes orais foram lançados recentemente no mercado, e um deles já tem aprovação para tratamento da TVP aguda.</w:t>
      </w:r>
    </w:p>
    <w:p>
      <w:pPr>
        <w:pStyle w:val="BodyText"/>
        <w:spacing w:line="276" w:lineRule="auto" w:before="50"/>
        <w:ind w:right="494"/>
      </w:pPr>
      <w:r>
        <w:rPr/>
        <w:t>Após curto período de uso da heparina, inicia-se ao mesmo tempo a administração de anticoagulante oral (cumarínicos), devendo-se mantê-la até que o anticoagulante oral alcance efeito pleno. Quando se utiliza o novo anticoagulante oral (dabigatrana) na fase aguda da TVP, a heparina é dispensável.</w:t>
      </w:r>
    </w:p>
    <w:p>
      <w:pPr>
        <w:pStyle w:val="BodyText"/>
        <w:spacing w:before="68"/>
        <w:ind w:left="0" w:firstLine="0"/>
        <w:jc w:val="left"/>
      </w:pPr>
    </w:p>
    <w:p>
      <w:pPr>
        <w:pStyle w:val="Heading9"/>
      </w:pPr>
      <w:r>
        <w:rPr>
          <w:color w:val="A26108"/>
          <w:spacing w:val="-2"/>
        </w:rPr>
        <w:t>Heparina</w:t>
      </w:r>
    </w:p>
    <w:p>
      <w:pPr>
        <w:pStyle w:val="BodyText"/>
        <w:spacing w:before="117"/>
        <w:ind w:left="414" w:firstLine="0"/>
      </w:pPr>
      <w:r>
        <w:rPr/>
        <w:t>A</w:t>
      </w:r>
      <w:r>
        <w:rPr>
          <w:spacing w:val="25"/>
        </w:rPr>
        <w:t> </w:t>
      </w:r>
      <w:r>
        <w:rPr/>
        <w:t>heparina</w:t>
      </w:r>
      <w:r>
        <w:rPr>
          <w:spacing w:val="26"/>
        </w:rPr>
        <w:t> </w:t>
      </w:r>
      <w:r>
        <w:rPr/>
        <w:t>é</w:t>
      </w:r>
      <w:r>
        <w:rPr>
          <w:spacing w:val="26"/>
        </w:rPr>
        <w:t> </w:t>
      </w:r>
      <w:r>
        <w:rPr/>
        <w:t>uma</w:t>
      </w:r>
      <w:r>
        <w:rPr>
          <w:spacing w:val="26"/>
        </w:rPr>
        <w:t> </w:t>
      </w:r>
      <w:r>
        <w:rPr/>
        <w:t>mistura</w:t>
      </w:r>
      <w:r>
        <w:rPr>
          <w:spacing w:val="26"/>
        </w:rPr>
        <w:t> </w:t>
      </w:r>
      <w:r>
        <w:rPr/>
        <w:t>de</w:t>
      </w:r>
      <w:r>
        <w:rPr>
          <w:spacing w:val="26"/>
        </w:rPr>
        <w:t> </w:t>
      </w:r>
      <w:r>
        <w:rPr/>
        <w:t>polímeros</w:t>
      </w:r>
      <w:r>
        <w:rPr>
          <w:spacing w:val="37"/>
        </w:rPr>
        <w:t> </w:t>
      </w:r>
      <w:r>
        <w:rPr/>
        <w:t>de</w:t>
      </w:r>
      <w:r>
        <w:rPr>
          <w:spacing w:val="26"/>
        </w:rPr>
        <w:t> </w:t>
      </w:r>
      <w:r>
        <w:rPr/>
        <w:t>polissacarídeo</w:t>
      </w:r>
      <w:r>
        <w:rPr>
          <w:spacing w:val="28"/>
        </w:rPr>
        <w:t> </w:t>
      </w:r>
      <w:r>
        <w:rPr/>
        <w:t>natural</w:t>
      </w:r>
      <w:r>
        <w:rPr>
          <w:spacing w:val="32"/>
        </w:rPr>
        <w:t> </w:t>
      </w:r>
      <w:r>
        <w:rPr/>
        <w:t>com</w:t>
      </w:r>
      <w:r>
        <w:rPr>
          <w:spacing w:val="29"/>
        </w:rPr>
        <w:t> </w:t>
      </w:r>
      <w:r>
        <w:rPr/>
        <w:t>peso</w:t>
      </w:r>
      <w:r>
        <w:rPr>
          <w:spacing w:val="28"/>
        </w:rPr>
        <w:t> </w:t>
      </w:r>
      <w:r>
        <w:rPr/>
        <w:t>molecular</w:t>
      </w:r>
      <w:r>
        <w:rPr>
          <w:spacing w:val="35"/>
        </w:rPr>
        <w:t> </w:t>
      </w:r>
      <w:r>
        <w:rPr/>
        <w:t>variando</w:t>
      </w:r>
      <w:r>
        <w:rPr>
          <w:spacing w:val="28"/>
        </w:rPr>
        <w:t> </w:t>
      </w:r>
      <w:r>
        <w:rPr/>
        <w:t>de</w:t>
      </w:r>
      <w:r>
        <w:rPr>
          <w:spacing w:val="26"/>
        </w:rPr>
        <w:t> </w:t>
      </w:r>
      <w:r>
        <w:rPr/>
        <w:t>3.000</w:t>
      </w:r>
      <w:r>
        <w:rPr>
          <w:spacing w:val="29"/>
        </w:rPr>
        <w:t> </w:t>
      </w:r>
      <w:r>
        <w:rPr>
          <w:spacing w:val="-10"/>
        </w:rPr>
        <w:t>a</w:t>
      </w:r>
    </w:p>
    <w:p>
      <w:pPr>
        <w:pStyle w:val="BodyText"/>
        <w:spacing w:before="40"/>
        <w:ind w:firstLine="0"/>
      </w:pPr>
      <w:r>
        <w:rPr/>
        <w:t>30.000</w:t>
      </w:r>
      <w:r>
        <w:rPr>
          <w:spacing w:val="-9"/>
        </w:rPr>
        <w:t> </w:t>
      </w:r>
      <w:r>
        <w:rPr/>
        <w:t>dáltons,</w:t>
      </w:r>
      <w:r>
        <w:rPr>
          <w:spacing w:val="-2"/>
        </w:rPr>
        <w:t> </w:t>
      </w:r>
      <w:r>
        <w:rPr/>
        <w:t>extraído</w:t>
      </w:r>
      <w:r>
        <w:rPr>
          <w:spacing w:val="-9"/>
        </w:rPr>
        <w:t> </w:t>
      </w:r>
      <w:r>
        <w:rPr/>
        <w:t>de</w:t>
      </w:r>
      <w:r>
        <w:rPr>
          <w:spacing w:val="-11"/>
        </w:rPr>
        <w:t> </w:t>
      </w:r>
      <w:r>
        <w:rPr/>
        <w:t>vísceras</w:t>
      </w:r>
      <w:r>
        <w:rPr>
          <w:spacing w:val="-1"/>
        </w:rPr>
        <w:t> </w:t>
      </w:r>
      <w:r>
        <w:rPr>
          <w:spacing w:val="-2"/>
        </w:rPr>
        <w:t>animais.</w:t>
      </w:r>
    </w:p>
    <w:p>
      <w:pPr>
        <w:pStyle w:val="BodyText"/>
        <w:spacing w:line="276" w:lineRule="auto" w:before="104"/>
        <w:ind w:right="501"/>
      </w:pPr>
      <w:r>
        <w:rPr/>
        <w:t>Tem efeito anticoagulante imediato, inibindo a trombina e os fatores Xa e IXa. Liga-se à antitrombina III, promovendo</w:t>
      </w:r>
      <w:r>
        <w:rPr>
          <w:spacing w:val="-4"/>
        </w:rPr>
        <w:t> </w:t>
      </w:r>
      <w:r>
        <w:rPr/>
        <w:t>alterações na</w:t>
      </w:r>
      <w:r>
        <w:rPr>
          <w:spacing w:val="-6"/>
        </w:rPr>
        <w:t> </w:t>
      </w:r>
      <w:r>
        <w:rPr/>
        <w:t>conformação</w:t>
      </w:r>
      <w:r>
        <w:rPr>
          <w:spacing w:val="-4"/>
        </w:rPr>
        <w:t> </w:t>
      </w:r>
      <w:r>
        <w:rPr/>
        <w:t>que</w:t>
      </w:r>
      <w:r>
        <w:rPr>
          <w:spacing w:val="-6"/>
        </w:rPr>
        <w:t> </w:t>
      </w:r>
      <w:r>
        <w:rPr/>
        <w:t>ativam</w:t>
      </w:r>
      <w:r>
        <w:rPr>
          <w:spacing w:val="-4"/>
        </w:rPr>
        <w:t> </w:t>
      </w:r>
      <w:r>
        <w:rPr/>
        <w:t>seu</w:t>
      </w:r>
      <w:r>
        <w:rPr>
          <w:spacing w:val="-4"/>
        </w:rPr>
        <w:t> </w:t>
      </w:r>
      <w:r>
        <w:rPr/>
        <w:t>poder anticoagulante, inibindo</w:t>
      </w:r>
      <w:r>
        <w:rPr>
          <w:spacing w:val="-4"/>
        </w:rPr>
        <w:t> </w:t>
      </w:r>
      <w:r>
        <w:rPr/>
        <w:t>a</w:t>
      </w:r>
      <w:r>
        <w:rPr>
          <w:spacing w:val="-6"/>
        </w:rPr>
        <w:t> </w:t>
      </w:r>
      <w:r>
        <w:rPr/>
        <w:t>produção</w:t>
      </w:r>
      <w:r>
        <w:rPr>
          <w:spacing w:val="-4"/>
        </w:rPr>
        <w:t> </w:t>
      </w:r>
      <w:r>
        <w:rPr/>
        <w:t>da</w:t>
      </w:r>
      <w:r>
        <w:rPr>
          <w:spacing w:val="-6"/>
        </w:rPr>
        <w:t> </w:t>
      </w:r>
      <w:r>
        <w:rPr/>
        <w:t>fibrina. Além do efeito anticoagulante, a</w:t>
      </w:r>
      <w:r>
        <w:rPr>
          <w:spacing w:val="-3"/>
        </w:rPr>
        <w:t> </w:t>
      </w:r>
      <w:r>
        <w:rPr/>
        <w:t>heparina</w:t>
      </w:r>
      <w:r>
        <w:rPr>
          <w:spacing w:val="-3"/>
        </w:rPr>
        <w:t> </w:t>
      </w:r>
      <w:r>
        <w:rPr/>
        <w:t>inibe</w:t>
      </w:r>
      <w:r>
        <w:rPr>
          <w:spacing w:val="-3"/>
        </w:rPr>
        <w:t> </w:t>
      </w:r>
      <w:r>
        <w:rPr/>
        <w:t>a</w:t>
      </w:r>
      <w:r>
        <w:rPr>
          <w:spacing w:val="-3"/>
        </w:rPr>
        <w:t> </w:t>
      </w:r>
      <w:r>
        <w:rPr/>
        <w:t>função plaquetária</w:t>
      </w:r>
      <w:r>
        <w:rPr>
          <w:spacing w:val="-3"/>
        </w:rPr>
        <w:t> </w:t>
      </w:r>
      <w:r>
        <w:rPr/>
        <w:t>e</w:t>
      </w:r>
      <w:r>
        <w:rPr>
          <w:spacing w:val="-3"/>
        </w:rPr>
        <w:t> </w:t>
      </w:r>
      <w:r>
        <w:rPr/>
        <w:t>prolonga</w:t>
      </w:r>
      <w:r>
        <w:rPr>
          <w:spacing w:val="-3"/>
        </w:rPr>
        <w:t> </w:t>
      </w:r>
      <w:r>
        <w:rPr/>
        <w:t>o tempo de</w:t>
      </w:r>
      <w:r>
        <w:rPr>
          <w:spacing w:val="-3"/>
        </w:rPr>
        <w:t> </w:t>
      </w:r>
      <w:r>
        <w:rPr/>
        <w:t>sangramento.</w:t>
      </w:r>
    </w:p>
    <w:p>
      <w:pPr>
        <w:pStyle w:val="BodyText"/>
        <w:spacing w:line="280" w:lineRule="auto" w:before="48"/>
        <w:ind w:right="488"/>
      </w:pPr>
      <w:r>
        <w:rPr/>
        <w:t>Na fase aguda, a heparina deve ser administrada em altas doses, na forma não fracionada, por via venosa contínua ou via subcutânea (SC) ou na forma fracionada, somente por via subcutânea. A forma venosa é preferida por produzir efeito</w:t>
      </w:r>
      <w:r>
        <w:rPr>
          <w:spacing w:val="-1"/>
        </w:rPr>
        <w:t> </w:t>
      </w:r>
      <w:r>
        <w:rPr/>
        <w:t>imediato, não</w:t>
      </w:r>
      <w:r>
        <w:rPr>
          <w:spacing w:val="-1"/>
        </w:rPr>
        <w:t> </w:t>
      </w:r>
      <w:r>
        <w:rPr/>
        <w:t>depender de</w:t>
      </w:r>
      <w:r>
        <w:rPr>
          <w:spacing w:val="-4"/>
        </w:rPr>
        <w:t> </w:t>
      </w:r>
      <w:r>
        <w:rPr/>
        <w:t>condições individuais de</w:t>
      </w:r>
      <w:r>
        <w:rPr>
          <w:spacing w:val="-4"/>
        </w:rPr>
        <w:t> </w:t>
      </w:r>
      <w:r>
        <w:rPr/>
        <w:t>absorção, facilidade</w:t>
      </w:r>
      <w:r>
        <w:rPr>
          <w:spacing w:val="-4"/>
        </w:rPr>
        <w:t> </w:t>
      </w:r>
      <w:r>
        <w:rPr/>
        <w:t>de</w:t>
      </w:r>
      <w:r>
        <w:rPr>
          <w:spacing w:val="-4"/>
        </w:rPr>
        <w:t> </w:t>
      </w:r>
      <w:r>
        <w:rPr/>
        <w:t>reversão</w:t>
      </w:r>
      <w:r>
        <w:rPr>
          <w:spacing w:val="-1"/>
        </w:rPr>
        <w:t> </w:t>
      </w:r>
      <w:r>
        <w:rPr/>
        <w:t>do</w:t>
      </w:r>
      <w:r>
        <w:rPr>
          <w:spacing w:val="-1"/>
        </w:rPr>
        <w:t> </w:t>
      </w:r>
      <w:r>
        <w:rPr/>
        <w:t>efeito</w:t>
      </w:r>
      <w:r>
        <w:rPr>
          <w:spacing w:val="-1"/>
        </w:rPr>
        <w:t> </w:t>
      </w:r>
      <w:r>
        <w:rPr/>
        <w:t>e por não produzir hematomas no local de absorção.</w:t>
      </w:r>
      <w:r>
        <w:rPr>
          <w:vertAlign w:val="superscript"/>
        </w:rPr>
        <w:t>8</w:t>
      </w:r>
    </w:p>
    <w:p>
      <w:pPr>
        <w:pStyle w:val="BodyText"/>
        <w:spacing w:line="276" w:lineRule="auto" w:before="60"/>
        <w:ind w:right="488"/>
      </w:pPr>
      <w:r>
        <w:rPr/>
        <w:t>O tratamento convencional da TVP na fase aguda consiste na administração de heparina venosa contínua. A infusão</w:t>
      </w:r>
      <w:r>
        <w:rPr>
          <w:spacing w:val="-11"/>
        </w:rPr>
        <w:t> </w:t>
      </w:r>
      <w:r>
        <w:rPr/>
        <w:t>contínua</w:t>
      </w:r>
      <w:r>
        <w:rPr>
          <w:spacing w:val="-13"/>
        </w:rPr>
        <w:t> </w:t>
      </w:r>
      <w:r>
        <w:rPr/>
        <w:t>propicia</w:t>
      </w:r>
      <w:r>
        <w:rPr>
          <w:spacing w:val="-13"/>
        </w:rPr>
        <w:t> </w:t>
      </w:r>
      <w:r>
        <w:rPr/>
        <w:t>doses</w:t>
      </w:r>
      <w:r>
        <w:rPr>
          <w:spacing w:val="-3"/>
        </w:rPr>
        <w:t> </w:t>
      </w:r>
      <w:r>
        <w:rPr/>
        <w:t>totais</w:t>
      </w:r>
      <w:r>
        <w:rPr>
          <w:spacing w:val="-3"/>
        </w:rPr>
        <w:t> </w:t>
      </w:r>
      <w:r>
        <w:rPr/>
        <w:t>diárias</w:t>
      </w:r>
      <w:r>
        <w:rPr>
          <w:spacing w:val="-3"/>
        </w:rPr>
        <w:t> </w:t>
      </w:r>
      <w:r>
        <w:rPr/>
        <w:t>mais</w:t>
      </w:r>
      <w:r>
        <w:rPr>
          <w:spacing w:val="-3"/>
        </w:rPr>
        <w:t> </w:t>
      </w:r>
      <w:r>
        <w:rPr/>
        <w:t>baixas</w:t>
      </w:r>
      <w:r>
        <w:rPr>
          <w:spacing w:val="-3"/>
        </w:rPr>
        <w:t> </w:t>
      </w:r>
      <w:r>
        <w:rPr/>
        <w:t>e</w:t>
      </w:r>
      <w:r>
        <w:rPr>
          <w:spacing w:val="-13"/>
        </w:rPr>
        <w:t> </w:t>
      </w:r>
      <w:r>
        <w:rPr/>
        <w:t>menor</w:t>
      </w:r>
      <w:r>
        <w:rPr>
          <w:spacing w:val="-5"/>
        </w:rPr>
        <w:t> </w:t>
      </w:r>
      <w:r>
        <w:rPr/>
        <w:t>incidência</w:t>
      </w:r>
      <w:r>
        <w:rPr>
          <w:spacing w:val="-13"/>
        </w:rPr>
        <w:t> </w:t>
      </w:r>
      <w:r>
        <w:rPr/>
        <w:t>de</w:t>
      </w:r>
      <w:r>
        <w:rPr>
          <w:spacing w:val="-13"/>
        </w:rPr>
        <w:t> </w:t>
      </w:r>
      <w:r>
        <w:rPr/>
        <w:t>complicações</w:t>
      </w:r>
      <w:r>
        <w:rPr>
          <w:spacing w:val="-3"/>
        </w:rPr>
        <w:t> </w:t>
      </w:r>
      <w:r>
        <w:rPr/>
        <w:t>hemorrágicas</w:t>
      </w:r>
      <w:r>
        <w:rPr>
          <w:spacing w:val="-3"/>
        </w:rPr>
        <w:t> </w:t>
      </w:r>
      <w:r>
        <w:rPr/>
        <w:t>quando comparada</w:t>
      </w:r>
      <w:r>
        <w:rPr>
          <w:spacing w:val="-1"/>
        </w:rPr>
        <w:t> </w:t>
      </w:r>
      <w:r>
        <w:rPr/>
        <w:t>à</w:t>
      </w:r>
      <w:r>
        <w:rPr>
          <w:spacing w:val="-1"/>
        </w:rPr>
        <w:t> </w:t>
      </w:r>
      <w:r>
        <w:rPr/>
        <w:t>intermitente. Pode</w:t>
      </w:r>
      <w:r>
        <w:rPr>
          <w:spacing w:val="-1"/>
        </w:rPr>
        <w:t> </w:t>
      </w:r>
      <w:r>
        <w:rPr/>
        <w:t>ser aplicada</w:t>
      </w:r>
      <w:r>
        <w:rPr>
          <w:spacing w:val="-1"/>
        </w:rPr>
        <w:t> </w:t>
      </w:r>
      <w:r>
        <w:rPr/>
        <w:t>dose</w:t>
      </w:r>
      <w:r>
        <w:rPr>
          <w:spacing w:val="-1"/>
        </w:rPr>
        <w:t> </w:t>
      </w:r>
      <w:r>
        <w:rPr/>
        <w:t>inicial em </w:t>
      </w:r>
      <w:r>
        <w:rPr>
          <w:i/>
        </w:rPr>
        <w:t>bolus </w:t>
      </w:r>
      <w:r>
        <w:rPr/>
        <w:t>de 2.500 a 5.000 UI, dependendo das condições clínicas do paciente, em especial quando há embolia pulmonar grave associada. Em seguida, o tratamento de manutenção</w:t>
      </w:r>
      <w:r>
        <w:rPr>
          <w:spacing w:val="-6"/>
        </w:rPr>
        <w:t> </w:t>
      </w:r>
      <w:r>
        <w:rPr/>
        <w:t>deve</w:t>
      </w:r>
      <w:r>
        <w:rPr>
          <w:spacing w:val="-9"/>
        </w:rPr>
        <w:t> </w:t>
      </w:r>
      <w:r>
        <w:rPr/>
        <w:t>ser</w:t>
      </w:r>
      <w:r>
        <w:rPr>
          <w:spacing w:val="-1"/>
        </w:rPr>
        <w:t> </w:t>
      </w:r>
      <w:r>
        <w:rPr/>
        <w:t>feito</w:t>
      </w:r>
      <w:r>
        <w:rPr>
          <w:spacing w:val="-6"/>
        </w:rPr>
        <w:t> </w:t>
      </w:r>
      <w:r>
        <w:rPr/>
        <w:t>com</w:t>
      </w:r>
      <w:r>
        <w:rPr>
          <w:spacing w:val="-6"/>
        </w:rPr>
        <w:t> </w:t>
      </w:r>
      <w:r>
        <w:rPr/>
        <w:t>bomba</w:t>
      </w:r>
      <w:r>
        <w:rPr>
          <w:spacing w:val="-9"/>
        </w:rPr>
        <w:t> </w:t>
      </w:r>
      <w:r>
        <w:rPr/>
        <w:t>de</w:t>
      </w:r>
      <w:r>
        <w:rPr>
          <w:spacing w:val="-9"/>
        </w:rPr>
        <w:t> </w:t>
      </w:r>
      <w:r>
        <w:rPr/>
        <w:t>infusão</w:t>
      </w:r>
      <w:r>
        <w:rPr>
          <w:spacing w:val="-6"/>
        </w:rPr>
        <w:t> </w:t>
      </w:r>
      <w:r>
        <w:rPr/>
        <w:t>contínua</w:t>
      </w:r>
      <w:r>
        <w:rPr>
          <w:spacing w:val="-9"/>
        </w:rPr>
        <w:t> </w:t>
      </w:r>
      <w:r>
        <w:rPr/>
        <w:t>e</w:t>
      </w:r>
      <w:r>
        <w:rPr>
          <w:spacing w:val="-9"/>
        </w:rPr>
        <w:t> </w:t>
      </w:r>
      <w:r>
        <w:rPr/>
        <w:t>a</w:t>
      </w:r>
      <w:r>
        <w:rPr>
          <w:spacing w:val="-9"/>
        </w:rPr>
        <w:t> </w:t>
      </w:r>
      <w:r>
        <w:rPr/>
        <w:t>heparina</w:t>
      </w:r>
      <w:r>
        <w:rPr>
          <w:spacing w:val="-9"/>
        </w:rPr>
        <w:t> </w:t>
      </w:r>
      <w:r>
        <w:rPr/>
        <w:t>diluída</w:t>
      </w:r>
      <w:r>
        <w:rPr>
          <w:spacing w:val="-9"/>
        </w:rPr>
        <w:t> </w:t>
      </w:r>
      <w:r>
        <w:rPr/>
        <w:t>em</w:t>
      </w:r>
      <w:r>
        <w:rPr>
          <w:spacing w:val="-6"/>
        </w:rPr>
        <w:t> </w:t>
      </w:r>
      <w:r>
        <w:rPr/>
        <w:t>soro</w:t>
      </w:r>
      <w:r>
        <w:rPr>
          <w:spacing w:val="-6"/>
        </w:rPr>
        <w:t> </w:t>
      </w:r>
      <w:r>
        <w:rPr/>
        <w:t>fisiológico, com</w:t>
      </w:r>
      <w:r>
        <w:rPr>
          <w:spacing w:val="-6"/>
        </w:rPr>
        <w:t> </w:t>
      </w:r>
      <w:r>
        <w:rPr/>
        <w:t>dose</w:t>
      </w:r>
      <w:r>
        <w:rPr>
          <w:spacing w:val="-9"/>
        </w:rPr>
        <w:t> </w:t>
      </w:r>
      <w:r>
        <w:rPr/>
        <w:t>média de 1.000 a 2.000 UI/h, mantendo-se o TTPA entre 1,5 e 2,5 vezes do valor normal.</w:t>
      </w:r>
    </w:p>
    <w:p>
      <w:pPr>
        <w:pStyle w:val="BodyText"/>
        <w:spacing w:line="276" w:lineRule="auto" w:before="49"/>
        <w:ind w:right="488"/>
      </w:pPr>
      <w:r>
        <w:rPr/>
        <w:t>Na</w:t>
      </w:r>
      <w:r>
        <w:rPr>
          <w:spacing w:val="-9"/>
        </w:rPr>
        <w:t> </w:t>
      </w:r>
      <w:r>
        <w:rPr/>
        <w:t>administração</w:t>
      </w:r>
      <w:r>
        <w:rPr>
          <w:spacing w:val="-6"/>
        </w:rPr>
        <w:t> </w:t>
      </w:r>
      <w:r>
        <w:rPr/>
        <w:t>intermitente, as aplicações devem</w:t>
      </w:r>
      <w:r>
        <w:rPr>
          <w:spacing w:val="-6"/>
        </w:rPr>
        <w:t> </w:t>
      </w:r>
      <w:r>
        <w:rPr/>
        <w:t>ser divididas a</w:t>
      </w:r>
      <w:r>
        <w:rPr>
          <w:spacing w:val="-9"/>
        </w:rPr>
        <w:t> </w:t>
      </w:r>
      <w:r>
        <w:rPr/>
        <w:t>cada</w:t>
      </w:r>
      <w:r>
        <w:rPr>
          <w:spacing w:val="-9"/>
        </w:rPr>
        <w:t> </w:t>
      </w:r>
      <w:r>
        <w:rPr/>
        <w:t>3</w:t>
      </w:r>
      <w:r>
        <w:rPr>
          <w:spacing w:val="-6"/>
        </w:rPr>
        <w:t> </w:t>
      </w:r>
      <w:r>
        <w:rPr/>
        <w:t>a</w:t>
      </w:r>
      <w:r>
        <w:rPr>
          <w:spacing w:val="-9"/>
        </w:rPr>
        <w:t> </w:t>
      </w:r>
      <w:r>
        <w:rPr/>
        <w:t>5</w:t>
      </w:r>
      <w:r>
        <w:rPr>
          <w:spacing w:val="-6"/>
        </w:rPr>
        <w:t> </w:t>
      </w:r>
      <w:r>
        <w:rPr/>
        <w:t>h, pois a</w:t>
      </w:r>
      <w:r>
        <w:rPr>
          <w:spacing w:val="-9"/>
        </w:rPr>
        <w:t> </w:t>
      </w:r>
      <w:r>
        <w:rPr/>
        <w:t>vida</w:t>
      </w:r>
      <w:r>
        <w:rPr>
          <w:spacing w:val="-9"/>
        </w:rPr>
        <w:t> </w:t>
      </w:r>
      <w:r>
        <w:rPr/>
        <w:t>média</w:t>
      </w:r>
      <w:r>
        <w:rPr>
          <w:spacing w:val="-9"/>
        </w:rPr>
        <w:t> </w:t>
      </w:r>
      <w:r>
        <w:rPr/>
        <w:t>da</w:t>
      </w:r>
      <w:r>
        <w:rPr>
          <w:spacing w:val="-9"/>
        </w:rPr>
        <w:t> </w:t>
      </w:r>
      <w:r>
        <w:rPr/>
        <w:t>heparina</w:t>
      </w:r>
      <w:r>
        <w:rPr>
          <w:spacing w:val="-9"/>
        </w:rPr>
        <w:t> </w:t>
      </w:r>
      <w:r>
        <w:rPr/>
        <w:t>é de 1 h e 30 min e pode permanecer na circulação por 3 a 5 h, dependendo do sistema monócito-macrófago, neutralização plasmática e excreção urinária.</w:t>
      </w:r>
    </w:p>
    <w:p>
      <w:pPr>
        <w:pStyle w:val="BodyText"/>
        <w:spacing w:line="280" w:lineRule="auto" w:before="64"/>
        <w:ind w:right="497"/>
      </w:pPr>
      <w:r>
        <w:rPr/>
        <w:t>As principais complicações do uso da heparina são os fenômenos hemorrágicos que variam de 3 a 5%, aparentemente relacionados com fatores de risco individuais e não com os níveis de TTPA.</w:t>
      </w:r>
      <w:r>
        <w:rPr>
          <w:vertAlign w:val="superscript"/>
        </w:rPr>
        <w:t>8</w:t>
      </w:r>
      <w:r>
        <w:rPr>
          <w:vertAlign w:val="baseline"/>
        </w:rPr>
        <w:t> A principal forma de prevenção dos fenômenos hemorrágicos é a observação de condições que possam contraindicar a utilização da </w:t>
      </w:r>
      <w:r>
        <w:rPr>
          <w:spacing w:val="-2"/>
          <w:vertAlign w:val="baseline"/>
        </w:rPr>
        <w:t>heparina.</w:t>
      </w:r>
    </w:p>
    <w:p>
      <w:pPr>
        <w:pStyle w:val="BodyText"/>
        <w:spacing w:before="60"/>
        <w:ind w:left="414" w:firstLine="0"/>
      </w:pPr>
      <w:r>
        <w:rPr/>
        <w:t>A</w:t>
      </w:r>
      <w:r>
        <w:rPr>
          <w:spacing w:val="17"/>
        </w:rPr>
        <w:t> </w:t>
      </w:r>
      <w:r>
        <w:rPr/>
        <w:t>contraindicação</w:t>
      </w:r>
      <w:r>
        <w:rPr>
          <w:spacing w:val="20"/>
        </w:rPr>
        <w:t> </w:t>
      </w:r>
      <w:r>
        <w:rPr/>
        <w:t>ao</w:t>
      </w:r>
      <w:r>
        <w:rPr>
          <w:spacing w:val="20"/>
        </w:rPr>
        <w:t> </w:t>
      </w:r>
      <w:r>
        <w:rPr/>
        <w:t>uso</w:t>
      </w:r>
      <w:r>
        <w:rPr>
          <w:spacing w:val="20"/>
        </w:rPr>
        <w:t> </w:t>
      </w:r>
      <w:r>
        <w:rPr/>
        <w:t>da</w:t>
      </w:r>
      <w:r>
        <w:rPr>
          <w:spacing w:val="17"/>
        </w:rPr>
        <w:t> </w:t>
      </w:r>
      <w:r>
        <w:rPr/>
        <w:t>heparina</w:t>
      </w:r>
      <w:r>
        <w:rPr>
          <w:spacing w:val="17"/>
        </w:rPr>
        <w:t> </w:t>
      </w:r>
      <w:r>
        <w:rPr/>
        <w:t>é</w:t>
      </w:r>
      <w:r>
        <w:rPr>
          <w:spacing w:val="18"/>
        </w:rPr>
        <w:t> </w:t>
      </w:r>
      <w:r>
        <w:rPr/>
        <w:t>absoluta</w:t>
      </w:r>
      <w:r>
        <w:rPr>
          <w:spacing w:val="17"/>
        </w:rPr>
        <w:t> </w:t>
      </w:r>
      <w:r>
        <w:rPr/>
        <w:t>em</w:t>
      </w:r>
      <w:r>
        <w:rPr>
          <w:spacing w:val="20"/>
        </w:rPr>
        <w:t> </w:t>
      </w:r>
      <w:r>
        <w:rPr/>
        <w:t>pacientes</w:t>
      </w:r>
      <w:r>
        <w:rPr>
          <w:spacing w:val="28"/>
        </w:rPr>
        <w:t> </w:t>
      </w:r>
      <w:r>
        <w:rPr/>
        <w:t>na</w:t>
      </w:r>
      <w:r>
        <w:rPr>
          <w:spacing w:val="17"/>
        </w:rPr>
        <w:t> </w:t>
      </w:r>
      <w:r>
        <w:rPr/>
        <w:t>vigência</w:t>
      </w:r>
      <w:r>
        <w:rPr>
          <w:spacing w:val="18"/>
        </w:rPr>
        <w:t> </w:t>
      </w:r>
      <w:r>
        <w:rPr/>
        <w:t>de</w:t>
      </w:r>
      <w:r>
        <w:rPr>
          <w:spacing w:val="17"/>
        </w:rPr>
        <w:t> </w:t>
      </w:r>
      <w:r>
        <w:rPr/>
        <w:t>hemorragias</w:t>
      </w:r>
      <w:r>
        <w:rPr>
          <w:spacing w:val="28"/>
        </w:rPr>
        <w:t> </w:t>
      </w:r>
      <w:r>
        <w:rPr/>
        <w:t>de</w:t>
      </w:r>
      <w:r>
        <w:rPr>
          <w:spacing w:val="18"/>
        </w:rPr>
        <w:t> </w:t>
      </w:r>
      <w:r>
        <w:rPr/>
        <w:t>qualquer</w:t>
      </w:r>
      <w:r>
        <w:rPr>
          <w:spacing w:val="26"/>
        </w:rPr>
        <w:t> </w:t>
      </w:r>
      <w:r>
        <w:rPr>
          <w:spacing w:val="-2"/>
        </w:rPr>
        <w:t>tipo,</w:t>
      </w:r>
    </w:p>
    <w:p>
      <w:pPr>
        <w:pStyle w:val="BodyText"/>
        <w:spacing w:after="0"/>
        <w:sectPr>
          <w:pgSz w:w="11900" w:h="16840"/>
          <w:pgMar w:top="160" w:bottom="280" w:left="566" w:right="141"/>
        </w:sectPr>
      </w:pPr>
    </w:p>
    <w:p>
      <w:pPr>
        <w:pStyle w:val="BodyText"/>
        <w:spacing w:line="276" w:lineRule="auto" w:before="63"/>
        <w:ind w:right="510" w:firstLine="0"/>
      </w:pPr>
      <w:r>
        <w:rPr/>
        <w:t>trauma recente em sistema nervoso central ou acidente vascular hemorrágico e coagulopatia grave. Entre as contraindicações relativas, podemos citar o sangramento digestivo recente, plaquetopenia, endocardite bacteriana, retinopatia diabética, senilidade e hipertensão arterial sistêmica grave.</w:t>
      </w:r>
    </w:p>
    <w:p>
      <w:pPr>
        <w:pStyle w:val="BodyText"/>
        <w:spacing w:line="276" w:lineRule="auto" w:before="64"/>
        <w:ind w:right="488"/>
      </w:pPr>
      <w:r>
        <w:rPr/>
        <w:t>A mais frequente complicação não hemorrágica da heparina é a trombocitopenia. A mais comum, de pouca gravidade, ocorre</w:t>
      </w:r>
      <w:r>
        <w:rPr>
          <w:spacing w:val="-7"/>
        </w:rPr>
        <w:t> </w:t>
      </w:r>
      <w:r>
        <w:rPr/>
        <w:t>precocemente</w:t>
      </w:r>
      <w:r>
        <w:rPr>
          <w:spacing w:val="-7"/>
        </w:rPr>
        <w:t> </w:t>
      </w:r>
      <w:r>
        <w:rPr/>
        <w:t>e</w:t>
      </w:r>
      <w:r>
        <w:rPr>
          <w:spacing w:val="-7"/>
        </w:rPr>
        <w:t> </w:t>
      </w:r>
      <w:r>
        <w:rPr/>
        <w:t>está</w:t>
      </w:r>
      <w:r>
        <w:rPr>
          <w:spacing w:val="-7"/>
        </w:rPr>
        <w:t> </w:t>
      </w:r>
      <w:r>
        <w:rPr/>
        <w:t>relacionada</w:t>
      </w:r>
      <w:r>
        <w:rPr>
          <w:spacing w:val="-7"/>
        </w:rPr>
        <w:t> </w:t>
      </w:r>
      <w:r>
        <w:rPr/>
        <w:t>com</w:t>
      </w:r>
      <w:r>
        <w:rPr>
          <w:spacing w:val="-5"/>
        </w:rPr>
        <w:t> </w:t>
      </w:r>
      <w:r>
        <w:rPr/>
        <w:t>a</w:t>
      </w:r>
      <w:r>
        <w:rPr>
          <w:spacing w:val="-7"/>
        </w:rPr>
        <w:t> </w:t>
      </w:r>
      <w:r>
        <w:rPr/>
        <w:t>capacidade</w:t>
      </w:r>
      <w:r>
        <w:rPr>
          <w:spacing w:val="-7"/>
        </w:rPr>
        <w:t> </w:t>
      </w:r>
      <w:r>
        <w:rPr/>
        <w:t>de</w:t>
      </w:r>
      <w:r>
        <w:rPr>
          <w:spacing w:val="-7"/>
        </w:rPr>
        <w:t> </w:t>
      </w:r>
      <w:r>
        <w:rPr/>
        <w:t>alguns produtos da</w:t>
      </w:r>
      <w:r>
        <w:rPr>
          <w:spacing w:val="-7"/>
        </w:rPr>
        <w:t> </w:t>
      </w:r>
      <w:r>
        <w:rPr/>
        <w:t>heparina</w:t>
      </w:r>
      <w:r>
        <w:rPr>
          <w:spacing w:val="-7"/>
        </w:rPr>
        <w:t> </w:t>
      </w:r>
      <w:r>
        <w:rPr/>
        <w:t>não</w:t>
      </w:r>
      <w:r>
        <w:rPr>
          <w:spacing w:val="-5"/>
        </w:rPr>
        <w:t> </w:t>
      </w:r>
      <w:r>
        <w:rPr/>
        <w:t>fracionada induzirem agregação plaquetária. Em menos de</w:t>
      </w:r>
      <w:r>
        <w:rPr>
          <w:spacing w:val="-1"/>
        </w:rPr>
        <w:t> </w:t>
      </w:r>
      <w:r>
        <w:rPr/>
        <w:t>3% dos casos a</w:t>
      </w:r>
      <w:r>
        <w:rPr>
          <w:spacing w:val="-1"/>
        </w:rPr>
        <w:t> </w:t>
      </w:r>
      <w:r>
        <w:rPr/>
        <w:t>plaquetopenia</w:t>
      </w:r>
      <w:r>
        <w:rPr>
          <w:spacing w:val="-1"/>
        </w:rPr>
        <w:t> </w:t>
      </w:r>
      <w:r>
        <w:rPr/>
        <w:t>é</w:t>
      </w:r>
      <w:r>
        <w:rPr>
          <w:spacing w:val="-1"/>
        </w:rPr>
        <w:t> </w:t>
      </w:r>
      <w:r>
        <w:rPr/>
        <w:t>de</w:t>
      </w:r>
      <w:r>
        <w:rPr>
          <w:spacing w:val="-1"/>
        </w:rPr>
        <w:t> </w:t>
      </w:r>
      <w:r>
        <w:rPr/>
        <w:t>causa</w:t>
      </w:r>
      <w:r>
        <w:rPr>
          <w:spacing w:val="-1"/>
        </w:rPr>
        <w:t> </w:t>
      </w:r>
      <w:r>
        <w:rPr/>
        <w:t>imunológica, aparecendo em geral de 7 a 21 dias do início do tratamento, podendo causar fenômenos trombóticos ou hemorrágicos, sendo necessário suspender seu uso. Outros efeitos adversos, como necrose de pele, hipersensibilidade e osteoporose por uso prolongado são mais raros.</w:t>
      </w:r>
    </w:p>
    <w:p>
      <w:pPr>
        <w:pStyle w:val="BodyText"/>
        <w:spacing w:before="53"/>
        <w:ind w:left="0" w:firstLine="0"/>
        <w:jc w:val="left"/>
      </w:pPr>
    </w:p>
    <w:p>
      <w:pPr>
        <w:pStyle w:val="Heading9"/>
        <w:jc w:val="both"/>
      </w:pPr>
      <w:r>
        <w:rPr>
          <w:color w:val="A26108"/>
        </w:rPr>
        <w:t>Anticoagulantes</w:t>
      </w:r>
      <w:r>
        <w:rPr>
          <w:color w:val="A26108"/>
          <w:spacing w:val="39"/>
        </w:rPr>
        <w:t> </w:t>
      </w:r>
      <w:r>
        <w:rPr>
          <w:color w:val="A26108"/>
          <w:spacing w:val="-2"/>
        </w:rPr>
        <w:t>orais</w:t>
      </w:r>
    </w:p>
    <w:p>
      <w:pPr>
        <w:pStyle w:val="BodyText"/>
        <w:spacing w:before="117"/>
        <w:ind w:left="414" w:firstLine="0"/>
        <w:jc w:val="left"/>
      </w:pPr>
      <w:r>
        <w:rPr/>
        <w:t>Incluem-se</w:t>
      </w:r>
      <w:r>
        <w:rPr>
          <w:spacing w:val="-11"/>
        </w:rPr>
        <w:t> </w:t>
      </w:r>
      <w:r>
        <w:rPr/>
        <w:t>nesse</w:t>
      </w:r>
      <w:r>
        <w:rPr>
          <w:spacing w:val="-8"/>
        </w:rPr>
        <w:t> </w:t>
      </w:r>
      <w:r>
        <w:rPr/>
        <w:t>grupo</w:t>
      </w:r>
      <w:r>
        <w:rPr>
          <w:spacing w:val="-5"/>
        </w:rPr>
        <w:t> </w:t>
      </w:r>
      <w:r>
        <w:rPr/>
        <w:t>as</w:t>
      </w:r>
      <w:r>
        <w:rPr>
          <w:spacing w:val="2"/>
        </w:rPr>
        <w:t> </w:t>
      </w:r>
      <w:r>
        <w:rPr/>
        <w:t>antivitamina</w:t>
      </w:r>
      <w:r>
        <w:rPr>
          <w:spacing w:val="-8"/>
        </w:rPr>
        <w:t> </w:t>
      </w:r>
      <w:r>
        <w:rPr/>
        <w:t>K</w:t>
      </w:r>
      <w:r>
        <w:rPr>
          <w:spacing w:val="-9"/>
        </w:rPr>
        <w:t> </w:t>
      </w:r>
      <w:r>
        <w:rPr/>
        <w:t>e</w:t>
      </w:r>
      <w:r>
        <w:rPr>
          <w:spacing w:val="-8"/>
        </w:rPr>
        <w:t> </w:t>
      </w:r>
      <w:r>
        <w:rPr/>
        <w:t>os</w:t>
      </w:r>
      <w:r>
        <w:rPr>
          <w:spacing w:val="2"/>
        </w:rPr>
        <w:t> </w:t>
      </w:r>
      <w:r>
        <w:rPr/>
        <w:t>novos</w:t>
      </w:r>
      <w:r>
        <w:rPr>
          <w:spacing w:val="3"/>
        </w:rPr>
        <w:t> </w:t>
      </w:r>
      <w:r>
        <w:rPr>
          <w:spacing w:val="-2"/>
        </w:rPr>
        <w:t>anticoagulantes</w:t>
      </w:r>
    </w:p>
    <w:p>
      <w:pPr>
        <w:pStyle w:val="BodyText"/>
        <w:spacing w:before="28"/>
        <w:ind w:left="0" w:firstLine="0"/>
        <w:jc w:val="left"/>
      </w:pPr>
    </w:p>
    <w:p>
      <w:pPr>
        <w:spacing w:before="0"/>
        <w:ind w:left="68" w:right="0" w:firstLine="0"/>
        <w:jc w:val="both"/>
        <w:rPr>
          <w:rFonts w:ascii="Arial"/>
          <w:b/>
          <w:i/>
          <w:sz w:val="25"/>
        </w:rPr>
      </w:pPr>
      <w:r>
        <w:rPr>
          <w:rFonts w:ascii="Arial"/>
          <w:b/>
          <w:i/>
          <w:color w:val="5A5685"/>
          <w:sz w:val="25"/>
        </w:rPr>
        <w:t>Antivitamina</w:t>
      </w:r>
      <w:r>
        <w:rPr>
          <w:rFonts w:ascii="Arial"/>
          <w:b/>
          <w:i/>
          <w:color w:val="5A5685"/>
          <w:spacing w:val="31"/>
          <w:sz w:val="25"/>
        </w:rPr>
        <w:t> </w:t>
      </w:r>
      <w:r>
        <w:rPr>
          <w:rFonts w:ascii="Arial"/>
          <w:b/>
          <w:i/>
          <w:color w:val="5A5685"/>
          <w:spacing w:val="-10"/>
          <w:sz w:val="25"/>
        </w:rPr>
        <w:t>K</w:t>
      </w:r>
    </w:p>
    <w:p>
      <w:pPr>
        <w:pStyle w:val="BodyText"/>
        <w:spacing w:line="278" w:lineRule="auto" w:before="116"/>
        <w:ind w:right="488"/>
      </w:pPr>
      <w:r>
        <w:rPr/>
        <w:t>São substâncias que, devido à semelhança química com a vitamina K1, competem com ela na fase final de síntese dos</w:t>
      </w:r>
      <w:r>
        <w:rPr>
          <w:spacing w:val="27"/>
        </w:rPr>
        <w:t> </w:t>
      </w:r>
      <w:r>
        <w:rPr/>
        <w:t>fatores</w:t>
      </w:r>
      <w:r>
        <w:rPr>
          <w:spacing w:val="27"/>
        </w:rPr>
        <w:t> </w:t>
      </w:r>
      <w:r>
        <w:rPr/>
        <w:t>II,</w:t>
      </w:r>
      <w:r>
        <w:rPr>
          <w:spacing w:val="27"/>
        </w:rPr>
        <w:t> </w:t>
      </w:r>
      <w:r>
        <w:rPr/>
        <w:t>VII,</w:t>
      </w:r>
      <w:r>
        <w:rPr>
          <w:spacing w:val="27"/>
        </w:rPr>
        <w:t> </w:t>
      </w:r>
      <w:r>
        <w:rPr/>
        <w:t>IX e X e da proteína C</w:t>
      </w:r>
      <w:r>
        <w:rPr>
          <w:spacing w:val="27"/>
        </w:rPr>
        <w:t> </w:t>
      </w:r>
      <w:r>
        <w:rPr/>
        <w:t>e S.</w:t>
      </w:r>
      <w:r>
        <w:rPr>
          <w:vertAlign w:val="superscript"/>
        </w:rPr>
        <w:t>9</w:t>
      </w:r>
      <w:r>
        <w:rPr>
          <w:spacing w:val="27"/>
          <w:vertAlign w:val="baseline"/>
        </w:rPr>
        <w:t> </w:t>
      </w:r>
      <w:r>
        <w:rPr>
          <w:vertAlign w:val="baseline"/>
        </w:rPr>
        <w:t>Não agem sobre os</w:t>
      </w:r>
      <w:r>
        <w:rPr>
          <w:spacing w:val="28"/>
          <w:vertAlign w:val="baseline"/>
        </w:rPr>
        <w:t> </w:t>
      </w:r>
      <w:r>
        <w:rPr>
          <w:vertAlign w:val="baseline"/>
        </w:rPr>
        <w:t>fatores</w:t>
      </w:r>
      <w:r>
        <w:rPr>
          <w:spacing w:val="28"/>
          <w:vertAlign w:val="baseline"/>
        </w:rPr>
        <w:t> </w:t>
      </w:r>
      <w:r>
        <w:rPr>
          <w:vertAlign w:val="baseline"/>
        </w:rPr>
        <w:t>de coagulação circulantes</w:t>
      </w:r>
      <w:r>
        <w:rPr>
          <w:spacing w:val="28"/>
          <w:vertAlign w:val="baseline"/>
        </w:rPr>
        <w:t> </w:t>
      </w:r>
      <w:r>
        <w:rPr>
          <w:vertAlign w:val="baseline"/>
        </w:rPr>
        <w:t>e, sim, sobre os que estão sendo sintetizados no fígado; por isso seu efeito não é imediato, dependendo de vários fatores: tipo</w:t>
      </w:r>
      <w:r>
        <w:rPr>
          <w:spacing w:val="-1"/>
          <w:vertAlign w:val="baseline"/>
        </w:rPr>
        <w:t> </w:t>
      </w:r>
      <w:r>
        <w:rPr>
          <w:vertAlign w:val="baseline"/>
        </w:rPr>
        <w:t>de</w:t>
      </w:r>
      <w:r>
        <w:rPr>
          <w:spacing w:val="-4"/>
          <w:vertAlign w:val="baseline"/>
        </w:rPr>
        <w:t> </w:t>
      </w:r>
      <w:r>
        <w:rPr>
          <w:vertAlign w:val="baseline"/>
        </w:rPr>
        <w:t>fármaco, sensibilidade</w:t>
      </w:r>
      <w:r>
        <w:rPr>
          <w:spacing w:val="-4"/>
          <w:vertAlign w:val="baseline"/>
        </w:rPr>
        <w:t> </w:t>
      </w:r>
      <w:r>
        <w:rPr>
          <w:vertAlign w:val="baseline"/>
        </w:rPr>
        <w:t>do</w:t>
      </w:r>
      <w:r>
        <w:rPr>
          <w:spacing w:val="-1"/>
          <w:vertAlign w:val="baseline"/>
        </w:rPr>
        <w:t> </w:t>
      </w:r>
      <w:r>
        <w:rPr>
          <w:vertAlign w:val="baseline"/>
        </w:rPr>
        <w:t>paciente, variação</w:t>
      </w:r>
      <w:r>
        <w:rPr>
          <w:spacing w:val="-1"/>
          <w:vertAlign w:val="baseline"/>
        </w:rPr>
        <w:t> </w:t>
      </w:r>
      <w:r>
        <w:rPr>
          <w:vertAlign w:val="baseline"/>
        </w:rPr>
        <w:t>da</w:t>
      </w:r>
      <w:r>
        <w:rPr>
          <w:spacing w:val="-4"/>
          <w:vertAlign w:val="baseline"/>
        </w:rPr>
        <w:t> </w:t>
      </w:r>
      <w:r>
        <w:rPr>
          <w:vertAlign w:val="baseline"/>
        </w:rPr>
        <w:t>ingestão</w:t>
      </w:r>
      <w:r>
        <w:rPr>
          <w:spacing w:val="-1"/>
          <w:vertAlign w:val="baseline"/>
        </w:rPr>
        <w:t> </w:t>
      </w:r>
      <w:r>
        <w:rPr>
          <w:vertAlign w:val="baseline"/>
        </w:rPr>
        <w:t>de</w:t>
      </w:r>
      <w:r>
        <w:rPr>
          <w:spacing w:val="-4"/>
          <w:vertAlign w:val="baseline"/>
        </w:rPr>
        <w:t> </w:t>
      </w:r>
      <w:r>
        <w:rPr>
          <w:vertAlign w:val="baseline"/>
        </w:rPr>
        <w:t>vitamina</w:t>
      </w:r>
      <w:r>
        <w:rPr>
          <w:spacing w:val="-4"/>
          <w:vertAlign w:val="baseline"/>
        </w:rPr>
        <w:t> </w:t>
      </w:r>
      <w:r>
        <w:rPr>
          <w:vertAlign w:val="baseline"/>
        </w:rPr>
        <w:t>K</w:t>
      </w:r>
      <w:r>
        <w:rPr>
          <w:spacing w:val="-4"/>
          <w:vertAlign w:val="baseline"/>
        </w:rPr>
        <w:t> </w:t>
      </w:r>
      <w:r>
        <w:rPr>
          <w:vertAlign w:val="baseline"/>
        </w:rPr>
        <w:t>na</w:t>
      </w:r>
      <w:r>
        <w:rPr>
          <w:spacing w:val="-4"/>
          <w:vertAlign w:val="baseline"/>
        </w:rPr>
        <w:t> </w:t>
      </w:r>
      <w:r>
        <w:rPr>
          <w:vertAlign w:val="baseline"/>
        </w:rPr>
        <w:t>alimentação, e</w:t>
      </w:r>
      <w:r>
        <w:rPr>
          <w:spacing w:val="-4"/>
          <w:vertAlign w:val="baseline"/>
        </w:rPr>
        <w:t> </w:t>
      </w:r>
      <w:r>
        <w:rPr>
          <w:vertAlign w:val="baseline"/>
        </w:rPr>
        <w:t>alterações na flora intestinal produtora de vitamina K. Os derivados da cumarina e indandiona incluem-se nesse grupo de </w:t>
      </w:r>
      <w:r>
        <w:rPr>
          <w:spacing w:val="-2"/>
          <w:vertAlign w:val="baseline"/>
        </w:rPr>
        <w:t>substâncias.</w:t>
      </w:r>
    </w:p>
    <w:p>
      <w:pPr>
        <w:pStyle w:val="BodyText"/>
        <w:spacing w:line="276" w:lineRule="auto" w:before="66"/>
        <w:ind w:right="488"/>
      </w:pPr>
      <w:r>
        <w:rPr/>
        <w:t>O</w:t>
      </w:r>
      <w:r>
        <w:rPr>
          <w:spacing w:val="-6"/>
        </w:rPr>
        <w:t> </w:t>
      </w:r>
      <w:r>
        <w:rPr/>
        <w:t>controle</w:t>
      </w:r>
      <w:r>
        <w:rPr>
          <w:spacing w:val="-6"/>
        </w:rPr>
        <w:t> </w:t>
      </w:r>
      <w:r>
        <w:rPr/>
        <w:t>do</w:t>
      </w:r>
      <w:r>
        <w:rPr>
          <w:spacing w:val="-3"/>
        </w:rPr>
        <w:t> </w:t>
      </w:r>
      <w:r>
        <w:rPr/>
        <w:t>tratamento</w:t>
      </w:r>
      <w:r>
        <w:rPr>
          <w:spacing w:val="-3"/>
        </w:rPr>
        <w:t> </w:t>
      </w:r>
      <w:r>
        <w:rPr/>
        <w:t>com</w:t>
      </w:r>
      <w:r>
        <w:rPr>
          <w:spacing w:val="-3"/>
        </w:rPr>
        <w:t> </w:t>
      </w:r>
      <w:r>
        <w:rPr/>
        <w:t>anticoagulantes orais é</w:t>
      </w:r>
      <w:r>
        <w:rPr>
          <w:spacing w:val="-6"/>
        </w:rPr>
        <w:t> </w:t>
      </w:r>
      <w:r>
        <w:rPr/>
        <w:t>realizado</w:t>
      </w:r>
      <w:r>
        <w:rPr>
          <w:spacing w:val="-3"/>
        </w:rPr>
        <w:t> </w:t>
      </w:r>
      <w:r>
        <w:rPr/>
        <w:t>pelo</w:t>
      </w:r>
      <w:r>
        <w:rPr>
          <w:spacing w:val="-3"/>
        </w:rPr>
        <w:t> </w:t>
      </w:r>
      <w:r>
        <w:rPr/>
        <w:t>método</w:t>
      </w:r>
      <w:r>
        <w:rPr>
          <w:spacing w:val="-3"/>
        </w:rPr>
        <w:t> </w:t>
      </w:r>
      <w:r>
        <w:rPr/>
        <w:t>de</w:t>
      </w:r>
      <w:r>
        <w:rPr>
          <w:spacing w:val="-6"/>
        </w:rPr>
        <w:t> </w:t>
      </w:r>
      <w:r>
        <w:rPr/>
        <w:t>Quick</w:t>
      </w:r>
      <w:r>
        <w:rPr>
          <w:spacing w:val="-3"/>
        </w:rPr>
        <w:t> </w:t>
      </w:r>
      <w:r>
        <w:rPr/>
        <w:t>ou</w:t>
      </w:r>
      <w:r>
        <w:rPr>
          <w:spacing w:val="-3"/>
        </w:rPr>
        <w:t> </w:t>
      </w:r>
      <w:r>
        <w:rPr/>
        <w:t>tempo</w:t>
      </w:r>
      <w:r>
        <w:rPr>
          <w:spacing w:val="-3"/>
        </w:rPr>
        <w:t> </w:t>
      </w:r>
      <w:r>
        <w:rPr/>
        <w:t>de</w:t>
      </w:r>
      <w:r>
        <w:rPr>
          <w:spacing w:val="-6"/>
        </w:rPr>
        <w:t> </w:t>
      </w:r>
      <w:r>
        <w:rPr/>
        <w:t>protrombina (TP). Os resultados, expressos em segundos, são comparados ao controle (plasma de indivíduos normais do dia) e apresentados em porcentagem do controle normal (atividade de protrombina).</w:t>
      </w:r>
    </w:p>
    <w:p>
      <w:pPr>
        <w:pStyle w:val="BodyText"/>
        <w:spacing w:line="276" w:lineRule="auto" w:before="48"/>
        <w:ind w:right="488"/>
      </w:pPr>
      <w:r>
        <w:rPr/>
        <w:t>A</w:t>
      </w:r>
      <w:r>
        <w:rPr>
          <w:spacing w:val="-9"/>
        </w:rPr>
        <w:t> </w:t>
      </w:r>
      <w:r>
        <w:rPr/>
        <w:t>comparação</w:t>
      </w:r>
      <w:r>
        <w:rPr>
          <w:spacing w:val="-7"/>
        </w:rPr>
        <w:t> </w:t>
      </w:r>
      <w:r>
        <w:rPr/>
        <w:t>desses resultados por</w:t>
      </w:r>
      <w:r>
        <w:rPr>
          <w:spacing w:val="-1"/>
        </w:rPr>
        <w:t> </w:t>
      </w:r>
      <w:r>
        <w:rPr/>
        <w:t>diversos laboratórios é</w:t>
      </w:r>
      <w:r>
        <w:rPr>
          <w:spacing w:val="-9"/>
        </w:rPr>
        <w:t> </w:t>
      </w:r>
      <w:r>
        <w:rPr/>
        <w:t>difícil</w:t>
      </w:r>
      <w:r>
        <w:rPr>
          <w:spacing w:val="-4"/>
        </w:rPr>
        <w:t> </w:t>
      </w:r>
      <w:r>
        <w:rPr/>
        <w:t>devido</w:t>
      </w:r>
      <w:r>
        <w:rPr>
          <w:spacing w:val="-7"/>
        </w:rPr>
        <w:t> </w:t>
      </w:r>
      <w:r>
        <w:rPr/>
        <w:t>à</w:t>
      </w:r>
      <w:r>
        <w:rPr>
          <w:spacing w:val="-9"/>
        </w:rPr>
        <w:t> </w:t>
      </w:r>
      <w:r>
        <w:rPr/>
        <w:t>não</w:t>
      </w:r>
      <w:r>
        <w:rPr>
          <w:spacing w:val="-7"/>
        </w:rPr>
        <w:t> </w:t>
      </w:r>
      <w:r>
        <w:rPr/>
        <w:t>padronização</w:t>
      </w:r>
      <w:r>
        <w:rPr>
          <w:spacing w:val="-7"/>
        </w:rPr>
        <w:t> </w:t>
      </w:r>
      <w:r>
        <w:rPr/>
        <w:t>da</w:t>
      </w:r>
      <w:r>
        <w:rPr>
          <w:spacing w:val="-9"/>
        </w:rPr>
        <w:t> </w:t>
      </w:r>
      <w:r>
        <w:rPr/>
        <w:t>tromboplastina utilizada</w:t>
      </w:r>
      <w:r>
        <w:rPr>
          <w:spacing w:val="-7"/>
        </w:rPr>
        <w:t> </w:t>
      </w:r>
      <w:r>
        <w:rPr/>
        <w:t>nesse</w:t>
      </w:r>
      <w:r>
        <w:rPr>
          <w:spacing w:val="-7"/>
        </w:rPr>
        <w:t> </w:t>
      </w:r>
      <w:r>
        <w:rPr/>
        <w:t>método. Atualmente, a</w:t>
      </w:r>
      <w:r>
        <w:rPr>
          <w:spacing w:val="-7"/>
        </w:rPr>
        <w:t> </w:t>
      </w:r>
      <w:r>
        <w:rPr/>
        <w:t>maioria</w:t>
      </w:r>
      <w:r>
        <w:rPr>
          <w:spacing w:val="-7"/>
        </w:rPr>
        <w:t> </w:t>
      </w:r>
      <w:r>
        <w:rPr/>
        <w:t>dos centros diagnósticos especializados usa</w:t>
      </w:r>
      <w:r>
        <w:rPr>
          <w:spacing w:val="-7"/>
        </w:rPr>
        <w:t> </w:t>
      </w:r>
      <w:r>
        <w:rPr/>
        <w:t>sistema</w:t>
      </w:r>
      <w:r>
        <w:rPr>
          <w:spacing w:val="-7"/>
        </w:rPr>
        <w:t> </w:t>
      </w:r>
      <w:r>
        <w:rPr/>
        <w:t>de</w:t>
      </w:r>
      <w:r>
        <w:rPr>
          <w:spacing w:val="-7"/>
        </w:rPr>
        <w:t> </w:t>
      </w:r>
      <w:r>
        <w:rPr/>
        <w:t>padronização que</w:t>
      </w:r>
      <w:r>
        <w:rPr>
          <w:spacing w:val="-4"/>
        </w:rPr>
        <w:t> </w:t>
      </w:r>
      <w:r>
        <w:rPr/>
        <w:t>permite</w:t>
      </w:r>
      <w:r>
        <w:rPr>
          <w:spacing w:val="-4"/>
        </w:rPr>
        <w:t> </w:t>
      </w:r>
      <w:r>
        <w:rPr/>
        <w:t>o</w:t>
      </w:r>
      <w:r>
        <w:rPr>
          <w:spacing w:val="-1"/>
        </w:rPr>
        <w:t> </w:t>
      </w:r>
      <w:r>
        <w:rPr/>
        <w:t>estabelecimento</w:t>
      </w:r>
      <w:r>
        <w:rPr>
          <w:spacing w:val="-1"/>
        </w:rPr>
        <w:t> </w:t>
      </w:r>
      <w:r>
        <w:rPr/>
        <w:t>de</w:t>
      </w:r>
      <w:r>
        <w:rPr>
          <w:spacing w:val="-4"/>
        </w:rPr>
        <w:t> </w:t>
      </w:r>
      <w:r>
        <w:rPr/>
        <w:t>paralelismo</w:t>
      </w:r>
      <w:r>
        <w:rPr>
          <w:spacing w:val="-1"/>
        </w:rPr>
        <w:t> </w:t>
      </w:r>
      <w:r>
        <w:rPr/>
        <w:t>entre</w:t>
      </w:r>
      <w:r>
        <w:rPr>
          <w:spacing w:val="-4"/>
        </w:rPr>
        <w:t> </w:t>
      </w:r>
      <w:r>
        <w:rPr/>
        <w:t>as diversas tromboplastinas utilizadas nos vários laboratórios e uma</w:t>
      </w:r>
      <w:r>
        <w:rPr>
          <w:spacing w:val="-1"/>
        </w:rPr>
        <w:t> </w:t>
      </w:r>
      <w:r>
        <w:rPr/>
        <w:t>tromboplastina</w:t>
      </w:r>
      <w:r>
        <w:rPr>
          <w:spacing w:val="-1"/>
        </w:rPr>
        <w:t> </w:t>
      </w:r>
      <w:r>
        <w:rPr/>
        <w:t>padrão, a</w:t>
      </w:r>
      <w:r>
        <w:rPr>
          <w:spacing w:val="-1"/>
        </w:rPr>
        <w:t> </w:t>
      </w:r>
      <w:r>
        <w:rPr/>
        <w:t>relação normalizada</w:t>
      </w:r>
      <w:r>
        <w:rPr>
          <w:spacing w:val="-1"/>
        </w:rPr>
        <w:t> </w:t>
      </w:r>
      <w:r>
        <w:rPr/>
        <w:t>internacional (INR, do inglês, </w:t>
      </w:r>
      <w:r>
        <w:rPr>
          <w:i/>
        </w:rPr>
        <w:t>international normalized ratio</w:t>
      </w:r>
      <w:r>
        <w:rPr/>
        <w:t>).</w:t>
      </w:r>
    </w:p>
    <w:p>
      <w:pPr>
        <w:pStyle w:val="BodyText"/>
        <w:spacing w:line="276" w:lineRule="auto"/>
        <w:ind w:right="501"/>
      </w:pPr>
      <w:r>
        <w:rPr/>
        <w:t>Na fase aguda da TVP, é recomendado manter a INR em 2,0 a 4,0, ao passo que na fase de manutenção, os níveis recomendados devem variar entre 2,0 e 3,0.</w:t>
      </w:r>
    </w:p>
    <w:p>
      <w:pPr>
        <w:pStyle w:val="BodyText"/>
        <w:spacing w:line="276" w:lineRule="auto" w:before="48"/>
        <w:ind w:right="501"/>
      </w:pPr>
      <w:r>
        <w:rPr/>
        <w:t>Alguns medicamentos podem potencializar a ação dos anticoagulantes orais, entre eles: cloranfenicol, neomicina, tetraciclina, fenilbutazona, clofibrato, fenantoína, ácido nalidíxico, metotrexato, salicilatos, sulfonamidas, cimetidina, trimetoprima, AAS, paracetamol, quinina, quinidina, azatriopina etc. Outros fármacos podem</w:t>
      </w:r>
      <w:r>
        <w:rPr>
          <w:spacing w:val="-13"/>
        </w:rPr>
        <w:t> </w:t>
      </w:r>
      <w:r>
        <w:rPr/>
        <w:t>inibir</w:t>
      </w:r>
      <w:r>
        <w:rPr>
          <w:spacing w:val="-8"/>
        </w:rPr>
        <w:t> </w:t>
      </w:r>
      <w:r>
        <w:rPr/>
        <w:t>a</w:t>
      </w:r>
      <w:r>
        <w:rPr>
          <w:spacing w:val="-15"/>
        </w:rPr>
        <w:t> </w:t>
      </w:r>
      <w:r>
        <w:rPr/>
        <w:t>ação</w:t>
      </w:r>
      <w:r>
        <w:rPr>
          <w:spacing w:val="-12"/>
        </w:rPr>
        <w:t> </w:t>
      </w:r>
      <w:r>
        <w:rPr/>
        <w:t>anticoagulante:</w:t>
      </w:r>
      <w:r>
        <w:rPr>
          <w:spacing w:val="-10"/>
        </w:rPr>
        <w:t> </w:t>
      </w:r>
      <w:r>
        <w:rPr/>
        <w:t>colchicina,</w:t>
      </w:r>
      <w:r>
        <w:rPr>
          <w:spacing w:val="-6"/>
        </w:rPr>
        <w:t> </w:t>
      </w:r>
      <w:r>
        <w:rPr/>
        <w:t>barbitúricos,</w:t>
      </w:r>
      <w:r>
        <w:rPr>
          <w:spacing w:val="-6"/>
        </w:rPr>
        <w:t> </w:t>
      </w:r>
      <w:r>
        <w:rPr/>
        <w:t>carbamazepina,</w:t>
      </w:r>
      <w:r>
        <w:rPr>
          <w:spacing w:val="-6"/>
        </w:rPr>
        <w:t> </w:t>
      </w:r>
      <w:r>
        <w:rPr/>
        <w:t>rifampicina,</w:t>
      </w:r>
      <w:r>
        <w:rPr>
          <w:spacing w:val="-6"/>
        </w:rPr>
        <w:t> </w:t>
      </w:r>
      <w:r>
        <w:rPr/>
        <w:t>diuréticos,</w:t>
      </w:r>
      <w:r>
        <w:rPr>
          <w:spacing w:val="-6"/>
        </w:rPr>
        <w:t> </w:t>
      </w:r>
      <w:r>
        <w:rPr/>
        <w:t>estrógenos</w:t>
      </w:r>
      <w:r>
        <w:rPr>
          <w:spacing w:val="-6"/>
        </w:rPr>
        <w:t> </w:t>
      </w:r>
      <w:r>
        <w:rPr/>
        <w:t>etc.</w:t>
      </w:r>
    </w:p>
    <w:p>
      <w:pPr>
        <w:pStyle w:val="BodyText"/>
        <w:spacing w:line="276" w:lineRule="auto"/>
        <w:ind w:right="488"/>
      </w:pPr>
      <w:r>
        <w:rPr/>
        <w:t>A</w:t>
      </w:r>
      <w:r>
        <w:rPr>
          <w:spacing w:val="-7"/>
        </w:rPr>
        <w:t> </w:t>
      </w:r>
      <w:r>
        <w:rPr/>
        <w:t>hemorragia</w:t>
      </w:r>
      <w:r>
        <w:rPr>
          <w:spacing w:val="-7"/>
        </w:rPr>
        <w:t> </w:t>
      </w:r>
      <w:r>
        <w:rPr/>
        <w:t>é</w:t>
      </w:r>
      <w:r>
        <w:rPr>
          <w:spacing w:val="-7"/>
        </w:rPr>
        <w:t> </w:t>
      </w:r>
      <w:r>
        <w:rPr/>
        <w:t>a</w:t>
      </w:r>
      <w:r>
        <w:rPr>
          <w:spacing w:val="-7"/>
        </w:rPr>
        <w:t> </w:t>
      </w:r>
      <w:r>
        <w:rPr/>
        <w:t>principal</w:t>
      </w:r>
      <w:r>
        <w:rPr>
          <w:spacing w:val="-1"/>
        </w:rPr>
        <w:t> </w:t>
      </w:r>
      <w:r>
        <w:rPr/>
        <w:t>complicação</w:t>
      </w:r>
      <w:r>
        <w:rPr>
          <w:spacing w:val="-4"/>
        </w:rPr>
        <w:t> </w:t>
      </w:r>
      <w:r>
        <w:rPr/>
        <w:t>do</w:t>
      </w:r>
      <w:r>
        <w:rPr>
          <w:spacing w:val="-4"/>
        </w:rPr>
        <w:t> </w:t>
      </w:r>
      <w:r>
        <w:rPr/>
        <w:t>uso</w:t>
      </w:r>
      <w:r>
        <w:rPr>
          <w:spacing w:val="-4"/>
        </w:rPr>
        <w:t> </w:t>
      </w:r>
      <w:r>
        <w:rPr/>
        <w:t>dos anticoagulantes orais, ocorrendo, em</w:t>
      </w:r>
      <w:r>
        <w:rPr>
          <w:spacing w:val="-4"/>
        </w:rPr>
        <w:t> </w:t>
      </w:r>
      <w:r>
        <w:rPr/>
        <w:t>geral, devido</w:t>
      </w:r>
      <w:r>
        <w:rPr>
          <w:spacing w:val="-4"/>
        </w:rPr>
        <w:t> </w:t>
      </w:r>
      <w:r>
        <w:rPr/>
        <w:t>a</w:t>
      </w:r>
      <w:r>
        <w:rPr>
          <w:spacing w:val="-7"/>
        </w:rPr>
        <w:t> </w:t>
      </w:r>
      <w:r>
        <w:rPr/>
        <w:t>erro</w:t>
      </w:r>
      <w:r>
        <w:rPr>
          <w:spacing w:val="-4"/>
        </w:rPr>
        <w:t> </w:t>
      </w:r>
      <w:r>
        <w:rPr/>
        <w:t>na dose, uso de medicação que potencializa a ação anticoagulante ou falta de exames laboratoriais de controle regulares. A falha pode ocorrer também por erro técnico na determinação do TP, pois os reagentes utilizados são extratos de tecidos e passíveis de alterações e instabilidade. Pode ocorrer, também, em pacientes com patologias digestivas como hérnia de hiato, úlcera péptica, diverticulite ou tumores não diagnosticados ou não considerados. Outras</w:t>
      </w:r>
      <w:r>
        <w:rPr>
          <w:spacing w:val="-4"/>
        </w:rPr>
        <w:t> </w:t>
      </w:r>
      <w:r>
        <w:rPr/>
        <w:t>situações</w:t>
      </w:r>
      <w:r>
        <w:rPr>
          <w:spacing w:val="-4"/>
        </w:rPr>
        <w:t> </w:t>
      </w:r>
      <w:r>
        <w:rPr/>
        <w:t>importantes,</w:t>
      </w:r>
      <w:r>
        <w:rPr>
          <w:spacing w:val="-4"/>
        </w:rPr>
        <w:t> </w:t>
      </w:r>
      <w:r>
        <w:rPr/>
        <w:t>que</w:t>
      </w:r>
      <w:r>
        <w:rPr>
          <w:spacing w:val="-14"/>
        </w:rPr>
        <w:t> </w:t>
      </w:r>
      <w:r>
        <w:rPr/>
        <w:t>podem</w:t>
      </w:r>
      <w:r>
        <w:rPr>
          <w:spacing w:val="-12"/>
        </w:rPr>
        <w:t> </w:t>
      </w:r>
      <w:r>
        <w:rPr/>
        <w:t>instabilizar</w:t>
      </w:r>
      <w:r>
        <w:rPr>
          <w:spacing w:val="-6"/>
        </w:rPr>
        <w:t> </w:t>
      </w:r>
      <w:r>
        <w:rPr/>
        <w:t>e</w:t>
      </w:r>
      <w:r>
        <w:rPr>
          <w:spacing w:val="-14"/>
        </w:rPr>
        <w:t> </w:t>
      </w:r>
      <w:r>
        <w:rPr/>
        <w:t>provocar</w:t>
      </w:r>
      <w:r>
        <w:rPr>
          <w:spacing w:val="-6"/>
        </w:rPr>
        <w:t> </w:t>
      </w:r>
      <w:r>
        <w:rPr/>
        <w:t>acidentes</w:t>
      </w:r>
      <w:r>
        <w:rPr>
          <w:spacing w:val="-4"/>
        </w:rPr>
        <w:t> </w:t>
      </w:r>
      <w:r>
        <w:rPr/>
        <w:t>hemorrágicos,</w:t>
      </w:r>
      <w:r>
        <w:rPr>
          <w:spacing w:val="-4"/>
        </w:rPr>
        <w:t> </w:t>
      </w:r>
      <w:r>
        <w:rPr/>
        <w:t>são</w:t>
      </w:r>
      <w:r>
        <w:rPr>
          <w:spacing w:val="-12"/>
        </w:rPr>
        <w:t> </w:t>
      </w:r>
      <w:r>
        <w:rPr/>
        <w:t>as</w:t>
      </w:r>
      <w:r>
        <w:rPr>
          <w:spacing w:val="-4"/>
        </w:rPr>
        <w:t> </w:t>
      </w:r>
      <w:r>
        <w:rPr/>
        <w:t>alterações</w:t>
      </w:r>
      <w:r>
        <w:rPr>
          <w:spacing w:val="-4"/>
        </w:rPr>
        <w:t> </w:t>
      </w:r>
      <w:r>
        <w:rPr/>
        <w:t>hepáticas decorrentes da insuficiência cardíaca congestiva, hepatite e outras viroses.</w:t>
      </w:r>
    </w:p>
    <w:p>
      <w:pPr>
        <w:pStyle w:val="BodyText"/>
        <w:spacing w:line="283" w:lineRule="auto"/>
        <w:ind w:right="491"/>
      </w:pPr>
      <w:r>
        <w:rPr/>
        <w:t>Os anticoagulantes orais podem</w:t>
      </w:r>
      <w:r>
        <w:rPr>
          <w:spacing w:val="-6"/>
        </w:rPr>
        <w:t> </w:t>
      </w:r>
      <w:r>
        <w:rPr/>
        <w:t>causar</w:t>
      </w:r>
      <w:r>
        <w:rPr>
          <w:spacing w:val="-1"/>
        </w:rPr>
        <w:t> </w:t>
      </w:r>
      <w:r>
        <w:rPr/>
        <w:t>descolamento</w:t>
      </w:r>
      <w:r>
        <w:rPr>
          <w:spacing w:val="-6"/>
        </w:rPr>
        <w:t> </w:t>
      </w:r>
      <w:r>
        <w:rPr/>
        <w:t>prematuro</w:t>
      </w:r>
      <w:r>
        <w:rPr>
          <w:spacing w:val="-6"/>
        </w:rPr>
        <w:t> </w:t>
      </w:r>
      <w:r>
        <w:rPr/>
        <w:t>da</w:t>
      </w:r>
      <w:r>
        <w:rPr>
          <w:spacing w:val="-8"/>
        </w:rPr>
        <w:t> </w:t>
      </w:r>
      <w:r>
        <w:rPr/>
        <w:t>placenta, anormalidades do</w:t>
      </w:r>
      <w:r>
        <w:rPr>
          <w:spacing w:val="-6"/>
        </w:rPr>
        <w:t> </w:t>
      </w:r>
      <w:r>
        <w:rPr/>
        <w:t>sistema</w:t>
      </w:r>
      <w:r>
        <w:rPr>
          <w:spacing w:val="-8"/>
        </w:rPr>
        <w:t> </w:t>
      </w:r>
      <w:r>
        <w:rPr/>
        <w:t>nervoso central, sangramento fetal e embriopatia varfarínica, caracterizada por hipoplasia nasal e/ou não consolidação das epífises.</w:t>
      </w:r>
      <w:r>
        <w:rPr>
          <w:spacing w:val="14"/>
        </w:rPr>
        <w:t> </w:t>
      </w:r>
      <w:r>
        <w:rPr/>
        <w:t>Por esse motivo,</w:t>
      </w:r>
      <w:r>
        <w:rPr>
          <w:spacing w:val="14"/>
        </w:rPr>
        <w:t> </w:t>
      </w:r>
      <w:r>
        <w:rPr/>
        <w:t>não devem ser administrados</w:t>
      </w:r>
      <w:r>
        <w:rPr>
          <w:spacing w:val="14"/>
        </w:rPr>
        <w:t> </w:t>
      </w:r>
      <w:r>
        <w:rPr/>
        <w:t>durante o primeiro trimestre da gestação.</w:t>
      </w:r>
      <w:r>
        <w:rPr>
          <w:vertAlign w:val="superscript"/>
        </w:rPr>
        <w:t>10</w:t>
      </w:r>
      <w:r>
        <w:rPr>
          <w:vertAlign w:val="baseline"/>
        </w:rPr>
        <w:t> Nesse período, o fármaco de escolha é a heparina. Podem ser usados após o terceiro mês de gestação, devendo ser suspensos na proximidade do parto devido à hipoprotrombinemia do recém-nascido.</w:t>
      </w:r>
      <w:r>
        <w:rPr>
          <w:vertAlign w:val="superscript"/>
        </w:rPr>
        <w:t>11</w:t>
      </w:r>
    </w:p>
    <w:p>
      <w:pPr>
        <w:pStyle w:val="BodyText"/>
        <w:spacing w:line="283" w:lineRule="auto" w:before="41"/>
        <w:ind w:right="488"/>
      </w:pPr>
      <w:r>
        <w:rPr/>
        <w:t>Os cumarínicos podem ser usados no período de aleitamento. Alguns estudos não encontraram nenhuma atividade no leite de pacientes tratadas ou no sangue dos lactentes. Apesar disso, aconselha-se que os lactentes, nessas condições, devem ter a alimentação suplementada com vitamina K.</w:t>
      </w:r>
      <w:r>
        <w:rPr>
          <w:vertAlign w:val="superscript"/>
        </w:rPr>
        <w:t>8</w:t>
      </w:r>
    </w:p>
    <w:p>
      <w:pPr>
        <w:pStyle w:val="BodyText"/>
        <w:spacing w:line="276" w:lineRule="auto" w:before="57"/>
        <w:ind w:right="497"/>
      </w:pPr>
      <w:r>
        <w:rPr/>
        <w:t>Em</w:t>
      </w:r>
      <w:r>
        <w:rPr>
          <w:spacing w:val="-6"/>
        </w:rPr>
        <w:t> </w:t>
      </w:r>
      <w:r>
        <w:rPr/>
        <w:t>situações de</w:t>
      </w:r>
      <w:r>
        <w:rPr>
          <w:spacing w:val="-9"/>
        </w:rPr>
        <w:t> </w:t>
      </w:r>
      <w:r>
        <w:rPr/>
        <w:t>emergência, as complicações hemorrágicas causadas por</w:t>
      </w:r>
      <w:r>
        <w:rPr>
          <w:spacing w:val="-2"/>
        </w:rPr>
        <w:t> </w:t>
      </w:r>
      <w:r>
        <w:rPr/>
        <w:t>altas doses de</w:t>
      </w:r>
      <w:r>
        <w:rPr>
          <w:spacing w:val="-9"/>
        </w:rPr>
        <w:t> </w:t>
      </w:r>
      <w:r>
        <w:rPr/>
        <w:t>cumarínicos devem</w:t>
      </w:r>
      <w:r>
        <w:rPr>
          <w:spacing w:val="-6"/>
        </w:rPr>
        <w:t> </w:t>
      </w:r>
      <w:r>
        <w:rPr/>
        <w:t>ser revertidas com</w:t>
      </w:r>
      <w:r>
        <w:rPr>
          <w:spacing w:val="-3"/>
        </w:rPr>
        <w:t> </w:t>
      </w:r>
      <w:r>
        <w:rPr/>
        <w:t>o</w:t>
      </w:r>
      <w:r>
        <w:rPr>
          <w:spacing w:val="-3"/>
        </w:rPr>
        <w:t> </w:t>
      </w:r>
      <w:r>
        <w:rPr/>
        <w:t>uso</w:t>
      </w:r>
      <w:r>
        <w:rPr>
          <w:spacing w:val="-3"/>
        </w:rPr>
        <w:t> </w:t>
      </w:r>
      <w:r>
        <w:rPr/>
        <w:t>de</w:t>
      </w:r>
      <w:r>
        <w:rPr>
          <w:spacing w:val="-5"/>
        </w:rPr>
        <w:t> </w:t>
      </w:r>
      <w:r>
        <w:rPr/>
        <w:t>plasma</w:t>
      </w:r>
      <w:r>
        <w:rPr>
          <w:spacing w:val="-5"/>
        </w:rPr>
        <w:t> </w:t>
      </w:r>
      <w:r>
        <w:rPr/>
        <w:t>fresco</w:t>
      </w:r>
      <w:r>
        <w:rPr>
          <w:spacing w:val="-3"/>
        </w:rPr>
        <w:t> </w:t>
      </w:r>
      <w:r>
        <w:rPr/>
        <w:t>congelado. Produtos comerciais de</w:t>
      </w:r>
      <w:r>
        <w:rPr>
          <w:spacing w:val="-5"/>
        </w:rPr>
        <w:t> </w:t>
      </w:r>
      <w:r>
        <w:rPr/>
        <w:t>complexo</w:t>
      </w:r>
      <w:r>
        <w:rPr>
          <w:spacing w:val="-3"/>
        </w:rPr>
        <w:t> </w:t>
      </w:r>
      <w:r>
        <w:rPr/>
        <w:t>protrombínico</w:t>
      </w:r>
      <w:r>
        <w:rPr>
          <w:spacing w:val="-3"/>
        </w:rPr>
        <w:t> </w:t>
      </w:r>
      <w:r>
        <w:rPr/>
        <w:t>também</w:t>
      </w:r>
      <w:r>
        <w:rPr>
          <w:spacing w:val="-3"/>
        </w:rPr>
        <w:t> </w:t>
      </w:r>
      <w:r>
        <w:rPr/>
        <w:t>podem ser</w:t>
      </w:r>
      <w:r>
        <w:rPr>
          <w:spacing w:val="39"/>
        </w:rPr>
        <w:t> </w:t>
      </w:r>
      <w:r>
        <w:rPr/>
        <w:t>utilizados;</w:t>
      </w:r>
      <w:r>
        <w:rPr>
          <w:spacing w:val="37"/>
        </w:rPr>
        <w:t> </w:t>
      </w:r>
      <w:r>
        <w:rPr/>
        <w:t>no</w:t>
      </w:r>
      <w:r>
        <w:rPr>
          <w:spacing w:val="34"/>
        </w:rPr>
        <w:t> </w:t>
      </w:r>
      <w:r>
        <w:rPr/>
        <w:t>entanto,</w:t>
      </w:r>
      <w:r>
        <w:rPr>
          <w:spacing w:val="40"/>
        </w:rPr>
        <w:t> </w:t>
      </w:r>
      <w:r>
        <w:rPr/>
        <w:t>altas</w:t>
      </w:r>
      <w:r>
        <w:rPr>
          <w:spacing w:val="40"/>
        </w:rPr>
        <w:t> </w:t>
      </w:r>
      <w:r>
        <w:rPr/>
        <w:t>doses</w:t>
      </w:r>
      <w:r>
        <w:rPr>
          <w:spacing w:val="40"/>
        </w:rPr>
        <w:t> </w:t>
      </w:r>
      <w:r>
        <w:rPr/>
        <w:t>desses</w:t>
      </w:r>
      <w:r>
        <w:rPr>
          <w:spacing w:val="40"/>
        </w:rPr>
        <w:t> </w:t>
      </w:r>
      <w:r>
        <w:rPr/>
        <w:t>produtos</w:t>
      </w:r>
      <w:r>
        <w:rPr>
          <w:spacing w:val="40"/>
        </w:rPr>
        <w:t> </w:t>
      </w:r>
      <w:r>
        <w:rPr/>
        <w:t>podem</w:t>
      </w:r>
      <w:r>
        <w:rPr>
          <w:spacing w:val="34"/>
        </w:rPr>
        <w:t> </w:t>
      </w:r>
      <w:r>
        <w:rPr/>
        <w:t>provocar</w:t>
      </w:r>
      <w:r>
        <w:rPr>
          <w:spacing w:val="39"/>
        </w:rPr>
        <w:t> </w:t>
      </w:r>
      <w:r>
        <w:rPr/>
        <w:t>situações</w:t>
      </w:r>
      <w:r>
        <w:rPr>
          <w:spacing w:val="40"/>
        </w:rPr>
        <w:t> </w:t>
      </w:r>
      <w:r>
        <w:rPr/>
        <w:t>trombóticas.</w:t>
      </w:r>
      <w:r>
        <w:rPr>
          <w:spacing w:val="40"/>
        </w:rPr>
        <w:t> </w:t>
      </w:r>
      <w:r>
        <w:rPr/>
        <w:t>Quando</w:t>
      </w:r>
      <w:r>
        <w:rPr>
          <w:spacing w:val="34"/>
        </w:rPr>
        <w:t> </w:t>
      </w:r>
      <w:r>
        <w:rPr/>
        <w:t>não</w:t>
      </w:r>
      <w:r>
        <w:rPr>
          <w:spacing w:val="34"/>
        </w:rPr>
        <w:t> </w:t>
      </w:r>
      <w:r>
        <w:rPr/>
        <w:t>há</w:t>
      </w:r>
    </w:p>
    <w:p>
      <w:pPr>
        <w:pStyle w:val="BodyText"/>
        <w:spacing w:after="0" w:line="276" w:lineRule="auto"/>
        <w:sectPr>
          <w:pgSz w:w="11900" w:h="16840"/>
          <w:pgMar w:top="160" w:bottom="280" w:left="566" w:right="141"/>
        </w:sectPr>
      </w:pPr>
    </w:p>
    <w:p>
      <w:pPr>
        <w:pStyle w:val="BodyText"/>
        <w:spacing w:line="276" w:lineRule="auto" w:before="75"/>
        <w:ind w:right="497" w:firstLine="0"/>
        <w:jc w:val="left"/>
      </w:pPr>
      <w:r>
        <w:rPr/>
        <w:t>urgência,</w:t>
      </w:r>
      <w:r>
        <w:rPr>
          <w:spacing w:val="25"/>
        </w:rPr>
        <w:t> </w:t>
      </w:r>
      <w:r>
        <w:rPr/>
        <w:t>a reversão</w:t>
      </w:r>
      <w:r>
        <w:rPr>
          <w:spacing w:val="16"/>
        </w:rPr>
        <w:t> </w:t>
      </w:r>
      <w:r>
        <w:rPr/>
        <w:t>pode ser</w:t>
      </w:r>
      <w:r>
        <w:rPr>
          <w:spacing w:val="21"/>
        </w:rPr>
        <w:t> </w:t>
      </w:r>
      <w:r>
        <w:rPr/>
        <w:t>realizada com</w:t>
      </w:r>
      <w:r>
        <w:rPr>
          <w:spacing w:val="16"/>
        </w:rPr>
        <w:t> </w:t>
      </w:r>
      <w:r>
        <w:rPr/>
        <w:t>o</w:t>
      </w:r>
      <w:r>
        <w:rPr>
          <w:spacing w:val="16"/>
        </w:rPr>
        <w:t> </w:t>
      </w:r>
      <w:r>
        <w:rPr/>
        <w:t>uso</w:t>
      </w:r>
      <w:r>
        <w:rPr>
          <w:spacing w:val="16"/>
        </w:rPr>
        <w:t> </w:t>
      </w:r>
      <w:r>
        <w:rPr/>
        <w:t>de vitamina K.</w:t>
      </w:r>
      <w:r>
        <w:rPr>
          <w:spacing w:val="25"/>
        </w:rPr>
        <w:t> </w:t>
      </w:r>
      <w:r>
        <w:rPr/>
        <w:t>Cada miligrama da vitamina K eleva o</w:t>
      </w:r>
      <w:r>
        <w:rPr>
          <w:spacing w:val="16"/>
        </w:rPr>
        <w:t> </w:t>
      </w:r>
      <w:r>
        <w:rPr/>
        <w:t>TP</w:t>
      </w:r>
      <w:r>
        <w:rPr>
          <w:spacing w:val="20"/>
        </w:rPr>
        <w:t> </w:t>
      </w:r>
      <w:r>
        <w:rPr/>
        <w:t>em 10% após cerca de 6 h.</w:t>
      </w:r>
    </w:p>
    <w:p>
      <w:pPr>
        <w:spacing w:before="253"/>
        <w:ind w:left="68" w:right="0" w:firstLine="0"/>
        <w:jc w:val="left"/>
        <w:rPr>
          <w:rFonts w:ascii="Arial"/>
          <w:b/>
          <w:i/>
          <w:sz w:val="25"/>
        </w:rPr>
      </w:pPr>
      <w:r>
        <w:rPr>
          <w:rFonts w:ascii="Arial"/>
          <w:b/>
          <w:i/>
          <w:color w:val="5A5685"/>
          <w:sz w:val="25"/>
        </w:rPr>
        <w:t>Inibidores</w:t>
      </w:r>
      <w:r>
        <w:rPr>
          <w:rFonts w:ascii="Arial"/>
          <w:b/>
          <w:i/>
          <w:color w:val="5A5685"/>
          <w:spacing w:val="11"/>
          <w:sz w:val="25"/>
        </w:rPr>
        <w:t> </w:t>
      </w:r>
      <w:r>
        <w:rPr>
          <w:rFonts w:ascii="Arial"/>
          <w:b/>
          <w:i/>
          <w:color w:val="5A5685"/>
          <w:sz w:val="25"/>
        </w:rPr>
        <w:t>do</w:t>
      </w:r>
      <w:r>
        <w:rPr>
          <w:rFonts w:ascii="Arial"/>
          <w:b/>
          <w:i/>
          <w:color w:val="5A5685"/>
          <w:spacing w:val="11"/>
          <w:sz w:val="25"/>
        </w:rPr>
        <w:t> </w:t>
      </w:r>
      <w:r>
        <w:rPr>
          <w:rFonts w:ascii="Arial"/>
          <w:b/>
          <w:i/>
          <w:color w:val="5A5685"/>
          <w:sz w:val="25"/>
        </w:rPr>
        <w:t>fator</w:t>
      </w:r>
      <w:r>
        <w:rPr>
          <w:rFonts w:ascii="Arial"/>
          <w:b/>
          <w:i/>
          <w:color w:val="5A5685"/>
          <w:spacing w:val="12"/>
          <w:sz w:val="25"/>
        </w:rPr>
        <w:t> </w:t>
      </w:r>
      <w:r>
        <w:rPr>
          <w:rFonts w:ascii="Arial"/>
          <w:b/>
          <w:i/>
          <w:color w:val="5A5685"/>
          <w:sz w:val="25"/>
        </w:rPr>
        <w:t>X</w:t>
      </w:r>
      <w:r>
        <w:rPr>
          <w:rFonts w:ascii="Arial"/>
          <w:b/>
          <w:i/>
          <w:color w:val="5A5685"/>
          <w:spacing w:val="11"/>
          <w:sz w:val="25"/>
        </w:rPr>
        <w:t> </w:t>
      </w:r>
      <w:r>
        <w:rPr>
          <w:rFonts w:ascii="Arial"/>
          <w:b/>
          <w:i/>
          <w:color w:val="5A5685"/>
          <w:sz w:val="25"/>
        </w:rPr>
        <w:t>ativado</w:t>
      </w:r>
      <w:r>
        <w:rPr>
          <w:rFonts w:ascii="Arial"/>
          <w:b/>
          <w:i/>
          <w:color w:val="5A5685"/>
          <w:spacing w:val="12"/>
          <w:sz w:val="25"/>
        </w:rPr>
        <w:t> </w:t>
      </w:r>
      <w:r>
        <w:rPr>
          <w:rFonts w:ascii="Arial"/>
          <w:b/>
          <w:i/>
          <w:color w:val="5A5685"/>
          <w:sz w:val="25"/>
        </w:rPr>
        <w:t>(FXa)</w:t>
      </w:r>
      <w:r>
        <w:rPr>
          <w:rFonts w:ascii="Arial"/>
          <w:b/>
          <w:i/>
          <w:color w:val="5A5685"/>
          <w:spacing w:val="11"/>
          <w:sz w:val="25"/>
        </w:rPr>
        <w:t> </w:t>
      </w:r>
      <w:r>
        <w:rPr>
          <w:rFonts w:ascii="Arial"/>
          <w:b/>
          <w:i/>
          <w:color w:val="5A5685"/>
          <w:sz w:val="25"/>
        </w:rPr>
        <w:t>e</w:t>
      </w:r>
      <w:r>
        <w:rPr>
          <w:rFonts w:ascii="Arial"/>
          <w:b/>
          <w:i/>
          <w:color w:val="5A5685"/>
          <w:spacing w:val="12"/>
          <w:sz w:val="25"/>
        </w:rPr>
        <w:t> </w:t>
      </w:r>
      <w:r>
        <w:rPr>
          <w:rFonts w:ascii="Arial"/>
          <w:b/>
          <w:i/>
          <w:color w:val="5A5685"/>
          <w:sz w:val="25"/>
        </w:rPr>
        <w:t>do</w:t>
      </w:r>
      <w:r>
        <w:rPr>
          <w:rFonts w:ascii="Arial"/>
          <w:b/>
          <w:i/>
          <w:color w:val="5A5685"/>
          <w:spacing w:val="11"/>
          <w:sz w:val="25"/>
        </w:rPr>
        <w:t> </w:t>
      </w:r>
      <w:r>
        <w:rPr>
          <w:rFonts w:ascii="Arial"/>
          <w:b/>
          <w:i/>
          <w:color w:val="5A5685"/>
          <w:sz w:val="25"/>
        </w:rPr>
        <w:t>fator</w:t>
      </w:r>
      <w:r>
        <w:rPr>
          <w:rFonts w:ascii="Arial"/>
          <w:b/>
          <w:i/>
          <w:color w:val="5A5685"/>
          <w:spacing w:val="11"/>
          <w:sz w:val="25"/>
        </w:rPr>
        <w:t> </w:t>
      </w:r>
      <w:r>
        <w:rPr>
          <w:rFonts w:ascii="Arial"/>
          <w:b/>
          <w:i/>
          <w:color w:val="5A5685"/>
          <w:sz w:val="25"/>
        </w:rPr>
        <w:t>II</w:t>
      </w:r>
      <w:r>
        <w:rPr>
          <w:rFonts w:ascii="Arial"/>
          <w:b/>
          <w:i/>
          <w:color w:val="5A5685"/>
          <w:spacing w:val="12"/>
          <w:sz w:val="25"/>
        </w:rPr>
        <w:t> </w:t>
      </w:r>
      <w:r>
        <w:rPr>
          <w:rFonts w:ascii="Arial"/>
          <w:b/>
          <w:i/>
          <w:color w:val="5A5685"/>
          <w:sz w:val="25"/>
        </w:rPr>
        <w:t>ativado</w:t>
      </w:r>
      <w:r>
        <w:rPr>
          <w:rFonts w:ascii="Arial"/>
          <w:b/>
          <w:i/>
          <w:color w:val="5A5685"/>
          <w:spacing w:val="11"/>
          <w:sz w:val="25"/>
        </w:rPr>
        <w:t> </w:t>
      </w:r>
      <w:r>
        <w:rPr>
          <w:rFonts w:ascii="Arial"/>
          <w:b/>
          <w:i/>
          <w:color w:val="5A5685"/>
          <w:spacing w:val="-2"/>
          <w:sz w:val="25"/>
        </w:rPr>
        <w:t>(FIIa)</w:t>
      </w:r>
    </w:p>
    <w:p>
      <w:pPr>
        <w:pStyle w:val="BodyText"/>
        <w:spacing w:line="276" w:lineRule="auto" w:before="116"/>
        <w:ind w:right="488"/>
      </w:pPr>
      <w:r>
        <w:rPr/>
        <w:t>Novos anticoagulantes orais estão</w:t>
      </w:r>
      <w:r>
        <w:rPr>
          <w:spacing w:val="-2"/>
        </w:rPr>
        <w:t> </w:t>
      </w:r>
      <w:r>
        <w:rPr/>
        <w:t>sendo</w:t>
      </w:r>
      <w:r>
        <w:rPr>
          <w:spacing w:val="-2"/>
        </w:rPr>
        <w:t> </w:t>
      </w:r>
      <w:r>
        <w:rPr/>
        <w:t>desenvolvidos baseados no</w:t>
      </w:r>
      <w:r>
        <w:rPr>
          <w:spacing w:val="-2"/>
        </w:rPr>
        <w:t> </w:t>
      </w:r>
      <w:r>
        <w:rPr/>
        <w:t>conceito</w:t>
      </w:r>
      <w:r>
        <w:rPr>
          <w:spacing w:val="-2"/>
        </w:rPr>
        <w:t> </w:t>
      </w:r>
      <w:r>
        <w:rPr/>
        <w:t>inovador de</w:t>
      </w:r>
      <w:r>
        <w:rPr>
          <w:spacing w:val="-4"/>
        </w:rPr>
        <w:t> </w:t>
      </w:r>
      <w:r>
        <w:rPr/>
        <w:t>inibição</w:t>
      </w:r>
      <w:r>
        <w:rPr>
          <w:spacing w:val="-2"/>
        </w:rPr>
        <w:t> </w:t>
      </w:r>
      <w:r>
        <w:rPr/>
        <w:t>de</w:t>
      </w:r>
      <w:r>
        <w:rPr>
          <w:spacing w:val="-4"/>
        </w:rPr>
        <w:t> </w:t>
      </w:r>
      <w:r>
        <w:rPr/>
        <w:t>um</w:t>
      </w:r>
      <w:r>
        <w:rPr>
          <w:spacing w:val="-2"/>
        </w:rPr>
        <w:t> </w:t>
      </w:r>
      <w:r>
        <w:rPr/>
        <w:t>única enzima</w:t>
      </w:r>
      <w:r>
        <w:rPr>
          <w:spacing w:val="-4"/>
        </w:rPr>
        <w:t> </w:t>
      </w:r>
      <w:r>
        <w:rPr/>
        <w:t>da</w:t>
      </w:r>
      <w:r>
        <w:rPr>
          <w:spacing w:val="-4"/>
        </w:rPr>
        <w:t> </w:t>
      </w:r>
      <w:r>
        <w:rPr/>
        <w:t>cascata</w:t>
      </w:r>
      <w:r>
        <w:rPr>
          <w:spacing w:val="-4"/>
        </w:rPr>
        <w:t> </w:t>
      </w:r>
      <w:r>
        <w:rPr/>
        <w:t>da</w:t>
      </w:r>
      <w:r>
        <w:rPr>
          <w:spacing w:val="-4"/>
        </w:rPr>
        <w:t> </w:t>
      </w:r>
      <w:r>
        <w:rPr/>
        <w:t>coagulação</w:t>
      </w:r>
      <w:r>
        <w:rPr>
          <w:spacing w:val="-1"/>
        </w:rPr>
        <w:t> </w:t>
      </w:r>
      <w:r>
        <w:rPr/>
        <w:t>para</w:t>
      </w:r>
      <w:r>
        <w:rPr>
          <w:spacing w:val="-4"/>
        </w:rPr>
        <w:t> </w:t>
      </w:r>
      <w:r>
        <w:rPr/>
        <w:t>obter atividade</w:t>
      </w:r>
      <w:r>
        <w:rPr>
          <w:spacing w:val="-4"/>
        </w:rPr>
        <w:t> </w:t>
      </w:r>
      <w:r>
        <w:rPr/>
        <w:t>anticoagulante.</w:t>
      </w:r>
    </w:p>
    <w:p>
      <w:pPr>
        <w:pStyle w:val="BodyText"/>
        <w:spacing w:line="276" w:lineRule="auto" w:before="49"/>
        <w:ind w:right="497"/>
      </w:pPr>
      <w:r>
        <w:rPr/>
        <w:t>Nos últimos anos, medicações utilizadas por via oral com essa propriedade foram desenvolvidas, e três delas estão</w:t>
      </w:r>
      <w:r>
        <w:rPr>
          <w:spacing w:val="-10"/>
        </w:rPr>
        <w:t> </w:t>
      </w:r>
      <w:r>
        <w:rPr/>
        <w:t>em</w:t>
      </w:r>
      <w:r>
        <w:rPr>
          <w:spacing w:val="-10"/>
        </w:rPr>
        <w:t> </w:t>
      </w:r>
      <w:r>
        <w:rPr/>
        <w:t>uso,</w:t>
      </w:r>
      <w:r>
        <w:rPr>
          <w:spacing w:val="-2"/>
        </w:rPr>
        <w:t> </w:t>
      </w:r>
      <w:r>
        <w:rPr/>
        <w:t>a</w:t>
      </w:r>
      <w:r>
        <w:rPr>
          <w:spacing w:val="-12"/>
        </w:rPr>
        <w:t> </w:t>
      </w:r>
      <w:r>
        <w:rPr/>
        <w:t>saber:</w:t>
      </w:r>
      <w:r>
        <w:rPr>
          <w:spacing w:val="-7"/>
        </w:rPr>
        <w:t> </w:t>
      </w:r>
      <w:r>
        <w:rPr/>
        <w:t>rivaroxabana,</w:t>
      </w:r>
      <w:r>
        <w:rPr>
          <w:spacing w:val="-2"/>
        </w:rPr>
        <w:t> </w:t>
      </w:r>
      <w:r>
        <w:rPr/>
        <w:t>apixabana</w:t>
      </w:r>
      <w:r>
        <w:rPr>
          <w:spacing w:val="-12"/>
        </w:rPr>
        <w:t> </w:t>
      </w:r>
      <w:r>
        <w:rPr/>
        <w:t>e</w:t>
      </w:r>
      <w:r>
        <w:rPr>
          <w:spacing w:val="-12"/>
        </w:rPr>
        <w:t> </w:t>
      </w:r>
      <w:r>
        <w:rPr/>
        <w:t>dabigatrana.</w:t>
      </w:r>
      <w:r>
        <w:rPr>
          <w:spacing w:val="-2"/>
        </w:rPr>
        <w:t> </w:t>
      </w:r>
      <w:r>
        <w:rPr/>
        <w:t>As</w:t>
      </w:r>
      <w:r>
        <w:rPr>
          <w:spacing w:val="-2"/>
        </w:rPr>
        <w:t> </w:t>
      </w:r>
      <w:r>
        <w:rPr/>
        <w:t>duas</w:t>
      </w:r>
      <w:r>
        <w:rPr>
          <w:spacing w:val="-3"/>
        </w:rPr>
        <w:t> </w:t>
      </w:r>
      <w:r>
        <w:rPr/>
        <w:t>primeiras</w:t>
      </w:r>
      <w:r>
        <w:rPr>
          <w:spacing w:val="-2"/>
        </w:rPr>
        <w:t> </w:t>
      </w:r>
      <w:r>
        <w:rPr/>
        <w:t>são</w:t>
      </w:r>
      <w:r>
        <w:rPr>
          <w:spacing w:val="-10"/>
        </w:rPr>
        <w:t> </w:t>
      </w:r>
      <w:r>
        <w:rPr/>
        <w:t>inibidoras</w:t>
      </w:r>
      <w:r>
        <w:rPr>
          <w:spacing w:val="-2"/>
        </w:rPr>
        <w:t> </w:t>
      </w:r>
      <w:r>
        <w:rPr/>
        <w:t>altamente</w:t>
      </w:r>
      <w:r>
        <w:rPr>
          <w:spacing w:val="-12"/>
        </w:rPr>
        <w:t> </w:t>
      </w:r>
      <w:r>
        <w:rPr/>
        <w:t>seletivas</w:t>
      </w:r>
      <w:r>
        <w:rPr>
          <w:spacing w:val="-2"/>
        </w:rPr>
        <w:t> </w:t>
      </w:r>
      <w:r>
        <w:rPr/>
        <w:t>e reversíveis do FXa e a última, inibidora direta da trombina (FIIa).</w:t>
      </w:r>
    </w:p>
    <w:p>
      <w:pPr>
        <w:pStyle w:val="BodyText"/>
        <w:spacing w:line="290" w:lineRule="auto" w:before="64"/>
        <w:ind w:right="488"/>
      </w:pPr>
      <w:r>
        <w:rPr/>
        <w:t>A rivaroxabana e a apixabana, uma vez ingeridas, apresentam pico máximo entre 1 e 3 h, com meia-vida semelhante</w:t>
      </w:r>
      <w:r>
        <w:rPr>
          <w:spacing w:val="-6"/>
        </w:rPr>
        <w:t> </w:t>
      </w:r>
      <w:r>
        <w:rPr/>
        <w:t>entre</w:t>
      </w:r>
      <w:r>
        <w:rPr>
          <w:spacing w:val="-6"/>
        </w:rPr>
        <w:t> </w:t>
      </w:r>
      <w:r>
        <w:rPr/>
        <w:t>7</w:t>
      </w:r>
      <w:r>
        <w:rPr>
          <w:spacing w:val="-3"/>
        </w:rPr>
        <w:t> </w:t>
      </w:r>
      <w:r>
        <w:rPr/>
        <w:t>e</w:t>
      </w:r>
      <w:r>
        <w:rPr>
          <w:spacing w:val="-6"/>
        </w:rPr>
        <w:t> </w:t>
      </w:r>
      <w:r>
        <w:rPr/>
        <w:t>14</w:t>
      </w:r>
      <w:r>
        <w:rPr>
          <w:spacing w:val="-3"/>
        </w:rPr>
        <w:t> </w:t>
      </w:r>
      <w:r>
        <w:rPr/>
        <w:t>h.</w:t>
      </w:r>
      <w:r>
        <w:rPr>
          <w:vertAlign w:val="superscript"/>
        </w:rPr>
        <w:t>12</w:t>
      </w:r>
      <w:r>
        <w:rPr>
          <w:vertAlign w:val="baseline"/>
        </w:rPr>
        <w:t> Por revelarem</w:t>
      </w:r>
      <w:r>
        <w:rPr>
          <w:spacing w:val="-3"/>
          <w:vertAlign w:val="baseline"/>
        </w:rPr>
        <w:t> </w:t>
      </w:r>
      <w:r>
        <w:rPr>
          <w:vertAlign w:val="baseline"/>
        </w:rPr>
        <w:t>biodisponibilidade</w:t>
      </w:r>
      <w:r>
        <w:rPr>
          <w:spacing w:val="-5"/>
          <w:vertAlign w:val="baseline"/>
        </w:rPr>
        <w:t> </w:t>
      </w:r>
      <w:r>
        <w:rPr>
          <w:vertAlign w:val="baseline"/>
        </w:rPr>
        <w:t>relativamente</w:t>
      </w:r>
      <w:r>
        <w:rPr>
          <w:spacing w:val="-5"/>
          <w:vertAlign w:val="baseline"/>
        </w:rPr>
        <w:t> </w:t>
      </w:r>
      <w:r>
        <w:rPr>
          <w:vertAlign w:val="baseline"/>
        </w:rPr>
        <w:t>alta, não</w:t>
      </w:r>
      <w:r>
        <w:rPr>
          <w:spacing w:val="-3"/>
          <w:vertAlign w:val="baseline"/>
        </w:rPr>
        <w:t> </w:t>
      </w:r>
      <w:r>
        <w:rPr>
          <w:vertAlign w:val="baseline"/>
        </w:rPr>
        <w:t>necessitam</w:t>
      </w:r>
      <w:r>
        <w:rPr>
          <w:spacing w:val="-3"/>
          <w:vertAlign w:val="baseline"/>
        </w:rPr>
        <w:t> </w:t>
      </w:r>
      <w:r>
        <w:rPr>
          <w:vertAlign w:val="baseline"/>
        </w:rPr>
        <w:t>de</w:t>
      </w:r>
      <w:r>
        <w:rPr>
          <w:spacing w:val="-5"/>
          <w:vertAlign w:val="baseline"/>
        </w:rPr>
        <w:t> </w:t>
      </w:r>
      <w:r>
        <w:rPr>
          <w:vertAlign w:val="baseline"/>
        </w:rPr>
        <w:t>monitoramento rotineiro de seus efeitos anticoagulantes.</w:t>
      </w:r>
      <w:r>
        <w:rPr>
          <w:vertAlign w:val="superscript"/>
        </w:rPr>
        <w:t>13</w:t>
      </w:r>
    </w:p>
    <w:p>
      <w:pPr>
        <w:pStyle w:val="BodyText"/>
        <w:spacing w:line="280" w:lineRule="auto" w:before="49"/>
        <w:ind w:right="490"/>
      </w:pPr>
      <w:r>
        <w:rPr/>
        <w:t>Dabigatrana, contrastando com os inibidores de FXa, tem baixa biodisponibilidade oral (6%) e por si só não mostra absorção quando ingerida por via oral. É utilizada na forma de etexilato de dabigatrana, que, uma vez absorvido, se</w:t>
      </w:r>
      <w:r>
        <w:rPr>
          <w:spacing w:val="-1"/>
        </w:rPr>
        <w:t> </w:t>
      </w:r>
      <w:r>
        <w:rPr/>
        <w:t>converte, no fígado, em dabigatrana. Por ter baixa</w:t>
      </w:r>
      <w:r>
        <w:rPr>
          <w:spacing w:val="-1"/>
        </w:rPr>
        <w:t> </w:t>
      </w:r>
      <w:r>
        <w:rPr/>
        <w:t>biodisponibilidade, são necessárias altas doses do medicamento para manter um efeito anticoagulante adequado. Sua meia-vida é mais longa do que a dos inibidores do FXa (14 a 17 h)</w:t>
      </w:r>
      <w:r>
        <w:rPr>
          <w:vertAlign w:val="superscript"/>
        </w:rPr>
        <w:t>1</w:t>
      </w:r>
      <w:r>
        <w:rPr>
          <w:vertAlign w:val="baseline"/>
        </w:rPr>
        <w:t> e mais de 80% do fármaco são eliminados por via renal, o que implica o seu acúmulo em pacientes com insuficiência renal.</w:t>
      </w:r>
      <w:r>
        <w:rPr>
          <w:vertAlign w:val="superscript"/>
        </w:rPr>
        <w:t>13</w:t>
      </w:r>
    </w:p>
    <w:p>
      <w:pPr>
        <w:pStyle w:val="BodyText"/>
        <w:spacing w:line="280" w:lineRule="auto" w:before="50"/>
        <w:ind w:right="488"/>
      </w:pPr>
      <w:r>
        <w:rPr/>
        <w:t>Todos eles mostraram, pelo menos, não inferioridade em relação à enoxaparina na profilaxia de tromboembolismo venoso após operações ortopédicas como prótese de quadril e de joelho. Rivaroxabana e dabigatrana são fármacos já aprovados para prevenção de AVC em pacientes com fibrilação atrial, e a primeira já tem uso aprovado para tratamento da TVP e foi a única das três que mostrou benefício adicional na prevenção secundária nas síndromes coronarianas agudas.</w:t>
      </w:r>
      <w:r>
        <w:rPr>
          <w:vertAlign w:val="superscript"/>
        </w:rPr>
        <w:t>14</w:t>
      </w:r>
    </w:p>
    <w:p>
      <w:pPr>
        <w:pStyle w:val="BodyText"/>
        <w:spacing w:line="283" w:lineRule="auto" w:before="54"/>
        <w:ind w:right="491"/>
      </w:pPr>
      <w:r>
        <w:rPr/>
        <w:t>Um aspecto ainda controverso na literatura é a possibilidade de os efeitos trombogênicos, induzidos pelo inibidor da trombina (dabigatrana), provocarem aumento na incidência de infartos do miocárdio. Em alguns estudos, essa</w:t>
      </w:r>
      <w:r>
        <w:rPr>
          <w:spacing w:val="-5"/>
        </w:rPr>
        <w:t> </w:t>
      </w:r>
      <w:r>
        <w:rPr/>
        <w:t>ocorrência</w:t>
      </w:r>
      <w:r>
        <w:rPr>
          <w:spacing w:val="-5"/>
        </w:rPr>
        <w:t> </w:t>
      </w:r>
      <w:r>
        <w:rPr/>
        <w:t>foi observada</w:t>
      </w:r>
      <w:r>
        <w:rPr>
          <w:spacing w:val="-5"/>
        </w:rPr>
        <w:t> </w:t>
      </w:r>
      <w:r>
        <w:rPr/>
        <w:t>com</w:t>
      </w:r>
      <w:r>
        <w:rPr>
          <w:spacing w:val="-2"/>
        </w:rPr>
        <w:t> </w:t>
      </w:r>
      <w:r>
        <w:rPr/>
        <w:t>a</w:t>
      </w:r>
      <w:r>
        <w:rPr>
          <w:spacing w:val="-5"/>
        </w:rPr>
        <w:t> </w:t>
      </w:r>
      <w:r>
        <w:rPr/>
        <w:t>dabigatrana, quando</w:t>
      </w:r>
      <w:r>
        <w:rPr>
          <w:spacing w:val="-2"/>
        </w:rPr>
        <w:t> </w:t>
      </w:r>
      <w:r>
        <w:rPr/>
        <w:t>comparada</w:t>
      </w:r>
      <w:r>
        <w:rPr>
          <w:spacing w:val="-5"/>
        </w:rPr>
        <w:t> </w:t>
      </w:r>
      <w:r>
        <w:rPr/>
        <w:t>com</w:t>
      </w:r>
      <w:r>
        <w:rPr>
          <w:spacing w:val="-2"/>
        </w:rPr>
        <w:t> </w:t>
      </w:r>
      <w:r>
        <w:rPr/>
        <w:t>os antagonistas da</w:t>
      </w:r>
      <w:r>
        <w:rPr>
          <w:spacing w:val="-5"/>
        </w:rPr>
        <w:t> </w:t>
      </w:r>
      <w:r>
        <w:rPr/>
        <w:t>vitamina</w:t>
      </w:r>
      <w:r>
        <w:rPr>
          <w:spacing w:val="-5"/>
        </w:rPr>
        <w:t> </w:t>
      </w:r>
      <w:r>
        <w:rPr/>
        <w:t>K.</w:t>
      </w:r>
      <w:r>
        <w:rPr>
          <w:vertAlign w:val="superscript"/>
        </w:rPr>
        <w:t>15</w:t>
      </w:r>
      <w:r>
        <w:rPr>
          <w:vertAlign w:val="baseline"/>
        </w:rPr>
        <w:t> Teoricamente, a</w:t>
      </w:r>
      <w:r>
        <w:rPr>
          <w:spacing w:val="-6"/>
          <w:vertAlign w:val="baseline"/>
        </w:rPr>
        <w:t> </w:t>
      </w:r>
      <w:r>
        <w:rPr>
          <w:vertAlign w:val="baseline"/>
        </w:rPr>
        <w:t>inibição</w:t>
      </w:r>
      <w:r>
        <w:rPr>
          <w:spacing w:val="-4"/>
          <w:vertAlign w:val="baseline"/>
        </w:rPr>
        <w:t> </w:t>
      </w:r>
      <w:r>
        <w:rPr>
          <w:vertAlign w:val="baseline"/>
        </w:rPr>
        <w:t>da</w:t>
      </w:r>
      <w:r>
        <w:rPr>
          <w:spacing w:val="-6"/>
          <w:vertAlign w:val="baseline"/>
        </w:rPr>
        <w:t> </w:t>
      </w:r>
      <w:r>
        <w:rPr>
          <w:vertAlign w:val="baseline"/>
        </w:rPr>
        <w:t>trombina</w:t>
      </w:r>
      <w:r>
        <w:rPr>
          <w:spacing w:val="-6"/>
          <w:vertAlign w:val="baseline"/>
        </w:rPr>
        <w:t> </w:t>
      </w:r>
      <w:r>
        <w:rPr>
          <w:vertAlign w:val="baseline"/>
        </w:rPr>
        <w:t>poderia</w:t>
      </w:r>
      <w:r>
        <w:rPr>
          <w:spacing w:val="-6"/>
          <w:vertAlign w:val="baseline"/>
        </w:rPr>
        <w:t> </w:t>
      </w:r>
      <w:r>
        <w:rPr>
          <w:vertAlign w:val="baseline"/>
        </w:rPr>
        <w:t>bloquear ou</w:t>
      </w:r>
      <w:r>
        <w:rPr>
          <w:spacing w:val="-4"/>
          <w:vertAlign w:val="baseline"/>
        </w:rPr>
        <w:t> </w:t>
      </w:r>
      <w:r>
        <w:rPr>
          <w:vertAlign w:val="baseline"/>
        </w:rPr>
        <w:t>retardar a</w:t>
      </w:r>
      <w:r>
        <w:rPr>
          <w:spacing w:val="-6"/>
          <w:vertAlign w:val="baseline"/>
        </w:rPr>
        <w:t> </w:t>
      </w:r>
      <w:r>
        <w:rPr>
          <w:vertAlign w:val="baseline"/>
        </w:rPr>
        <w:t>ativação</w:t>
      </w:r>
      <w:r>
        <w:rPr>
          <w:spacing w:val="-4"/>
          <w:vertAlign w:val="baseline"/>
        </w:rPr>
        <w:t> </w:t>
      </w:r>
      <w:r>
        <w:rPr>
          <w:vertAlign w:val="baseline"/>
        </w:rPr>
        <w:t>da</w:t>
      </w:r>
      <w:r>
        <w:rPr>
          <w:spacing w:val="-6"/>
          <w:vertAlign w:val="baseline"/>
        </w:rPr>
        <w:t> </w:t>
      </w:r>
      <w:r>
        <w:rPr>
          <w:vertAlign w:val="baseline"/>
        </w:rPr>
        <w:t>proteína</w:t>
      </w:r>
      <w:r>
        <w:rPr>
          <w:spacing w:val="-6"/>
          <w:vertAlign w:val="baseline"/>
        </w:rPr>
        <w:t> </w:t>
      </w:r>
      <w:r>
        <w:rPr>
          <w:vertAlign w:val="baseline"/>
        </w:rPr>
        <w:t>C, favorecendo</w:t>
      </w:r>
      <w:r>
        <w:rPr>
          <w:spacing w:val="-4"/>
          <w:vertAlign w:val="baseline"/>
        </w:rPr>
        <w:t> </w:t>
      </w:r>
      <w:r>
        <w:rPr>
          <w:vertAlign w:val="baseline"/>
        </w:rPr>
        <w:t>um</w:t>
      </w:r>
      <w:r>
        <w:rPr>
          <w:spacing w:val="-4"/>
          <w:vertAlign w:val="baseline"/>
        </w:rPr>
        <w:t> </w:t>
      </w:r>
      <w:r>
        <w:rPr>
          <w:vertAlign w:val="baseline"/>
        </w:rPr>
        <w:t>estado procoagulante</w:t>
      </w:r>
      <w:r>
        <w:rPr>
          <w:spacing w:val="-3"/>
          <w:vertAlign w:val="baseline"/>
        </w:rPr>
        <w:t> </w:t>
      </w:r>
      <w:r>
        <w:rPr>
          <w:vertAlign w:val="baseline"/>
        </w:rPr>
        <w:t>em certos casos, uma</w:t>
      </w:r>
      <w:r>
        <w:rPr>
          <w:spacing w:val="-3"/>
          <w:vertAlign w:val="baseline"/>
        </w:rPr>
        <w:t> </w:t>
      </w:r>
      <w:r>
        <w:rPr>
          <w:vertAlign w:val="baseline"/>
        </w:rPr>
        <w:t>vez</w:t>
      </w:r>
      <w:r>
        <w:rPr>
          <w:spacing w:val="-3"/>
          <w:vertAlign w:val="baseline"/>
        </w:rPr>
        <w:t> </w:t>
      </w:r>
      <w:r>
        <w:rPr>
          <w:vertAlign w:val="baseline"/>
        </w:rPr>
        <w:t>que</w:t>
      </w:r>
      <w:r>
        <w:rPr>
          <w:spacing w:val="-3"/>
          <w:vertAlign w:val="baseline"/>
        </w:rPr>
        <w:t> </w:t>
      </w:r>
      <w:r>
        <w:rPr>
          <w:vertAlign w:val="baseline"/>
        </w:rPr>
        <w:t>a</w:t>
      </w:r>
      <w:r>
        <w:rPr>
          <w:spacing w:val="-3"/>
          <w:vertAlign w:val="baseline"/>
        </w:rPr>
        <w:t> </w:t>
      </w:r>
      <w:r>
        <w:rPr>
          <w:vertAlign w:val="baseline"/>
        </w:rPr>
        <w:t>proteína</w:t>
      </w:r>
      <w:r>
        <w:rPr>
          <w:spacing w:val="-3"/>
          <w:vertAlign w:val="baseline"/>
        </w:rPr>
        <w:t> </w:t>
      </w:r>
      <w:r>
        <w:rPr>
          <w:vertAlign w:val="baseline"/>
        </w:rPr>
        <w:t>C ativada</w:t>
      </w:r>
      <w:r>
        <w:rPr>
          <w:spacing w:val="-3"/>
          <w:vertAlign w:val="baseline"/>
        </w:rPr>
        <w:t> </w:t>
      </w:r>
      <w:r>
        <w:rPr>
          <w:vertAlign w:val="baseline"/>
        </w:rPr>
        <w:t>é</w:t>
      </w:r>
      <w:r>
        <w:rPr>
          <w:spacing w:val="-3"/>
          <w:vertAlign w:val="baseline"/>
        </w:rPr>
        <w:t> </w:t>
      </w:r>
      <w:r>
        <w:rPr>
          <w:vertAlign w:val="baseline"/>
        </w:rPr>
        <w:t>considerada</w:t>
      </w:r>
      <w:r>
        <w:rPr>
          <w:spacing w:val="-3"/>
          <w:vertAlign w:val="baseline"/>
        </w:rPr>
        <w:t> </w:t>
      </w:r>
      <w:r>
        <w:rPr>
          <w:vertAlign w:val="baseline"/>
        </w:rPr>
        <w:t>um anticoagulante</w:t>
      </w:r>
      <w:r>
        <w:rPr>
          <w:spacing w:val="-3"/>
          <w:vertAlign w:val="baseline"/>
        </w:rPr>
        <w:t> </w:t>
      </w:r>
      <w:r>
        <w:rPr>
          <w:vertAlign w:val="baseline"/>
        </w:rPr>
        <w:t>natural.</w:t>
      </w:r>
      <w:r>
        <w:rPr>
          <w:vertAlign w:val="superscript"/>
        </w:rPr>
        <w:t>16</w:t>
      </w:r>
    </w:p>
    <w:p>
      <w:pPr>
        <w:pStyle w:val="BodyText"/>
        <w:spacing w:line="276" w:lineRule="auto" w:before="41"/>
        <w:ind w:right="488"/>
      </w:pPr>
      <w:r>
        <w:rPr/>
        <w:t>Complicações hemorrágicas são pouco frequentes com esses novos anticoagulantes, analogamente com o que ocorre com as heparinas fracionadas. Todas mostraram redução significativa nos eventos hemorrágicos intracranianos. A associação desses agentes com antiagregantes plaquetários (AAS, clopidogrel) aumenta o risco hemorrágico, devendo ser utilizada com precaução. Deve-se evitar essa associação com tratamento antiplaquetário </w:t>
      </w:r>
      <w:r>
        <w:rPr>
          <w:spacing w:val="-2"/>
        </w:rPr>
        <w:t>duplo.</w:t>
      </w:r>
    </w:p>
    <w:p>
      <w:pPr>
        <w:pStyle w:val="BodyText"/>
        <w:spacing w:line="276" w:lineRule="auto"/>
        <w:ind w:right="488"/>
      </w:pPr>
      <w:r>
        <w:rPr/>
        <w:t>O monitoramento rotineiro da coagulação não é necessário com o uso desses medicamentos devido à sua biodisponibilidade relativamente alta e farmacocinética previsível. Não há antídoto direto conhecido para esses novos anticoagulantes. Estão sendo desenvolvidos estudos para encontrá-lo, seja por meio de anticorpos monoclonais ou de substância neutralizadoras inespecíficas. A reversibilidade da ação desses agentes fica na dependência de sua meia-vida de eliminação.</w:t>
      </w:r>
    </w:p>
    <w:p>
      <w:pPr>
        <w:pStyle w:val="BodyText"/>
        <w:spacing w:line="276" w:lineRule="auto"/>
        <w:ind w:right="500"/>
      </w:pPr>
      <w:r>
        <w:rPr/>
        <w:t>A interação com antivirais, antibióticos antiarrítmicos pode afetar a concentração desses anticoagulantes. Indutores ou inibidores das enzimas CYP3A4 e p-glicoproteína podem diminuir ou aumentar a concentração </w:t>
      </w:r>
      <w:r>
        <w:rPr>
          <w:spacing w:val="-2"/>
        </w:rPr>
        <w:t>sanguínea.</w:t>
      </w:r>
    </w:p>
    <w:p>
      <w:pPr>
        <w:pStyle w:val="BodyText"/>
        <w:spacing w:line="276" w:lineRule="auto" w:before="48"/>
        <w:ind w:right="487"/>
      </w:pPr>
      <w:r>
        <w:rPr/>
        <w:t>São necessários cuidados em pacientes com lesões gastrintestinais pelo fato de estarem mais sujeitos a sangramentos nesses locais e</w:t>
      </w:r>
      <w:r>
        <w:rPr>
          <w:spacing w:val="-10"/>
        </w:rPr>
        <w:t> </w:t>
      </w:r>
      <w:r>
        <w:rPr/>
        <w:t>também</w:t>
      </w:r>
      <w:r>
        <w:rPr>
          <w:spacing w:val="-8"/>
        </w:rPr>
        <w:t> </w:t>
      </w:r>
      <w:r>
        <w:rPr/>
        <w:t>em</w:t>
      </w:r>
      <w:r>
        <w:rPr>
          <w:spacing w:val="-8"/>
        </w:rPr>
        <w:t> </w:t>
      </w:r>
      <w:r>
        <w:rPr/>
        <w:t>idosos, pois podem</w:t>
      </w:r>
      <w:r>
        <w:rPr>
          <w:spacing w:val="-8"/>
        </w:rPr>
        <w:t> </w:t>
      </w:r>
      <w:r>
        <w:rPr/>
        <w:t>apresentar</w:t>
      </w:r>
      <w:r>
        <w:rPr>
          <w:spacing w:val="-3"/>
        </w:rPr>
        <w:t> </w:t>
      </w:r>
      <w:r>
        <w:rPr/>
        <w:t>imprevisível</w:t>
      </w:r>
      <w:r>
        <w:rPr>
          <w:spacing w:val="-6"/>
        </w:rPr>
        <w:t> </w:t>
      </w:r>
      <w:r>
        <w:rPr/>
        <w:t>deterioração</w:t>
      </w:r>
      <w:r>
        <w:rPr>
          <w:spacing w:val="-8"/>
        </w:rPr>
        <w:t> </w:t>
      </w:r>
      <w:r>
        <w:rPr/>
        <w:t>da</w:t>
      </w:r>
      <w:r>
        <w:rPr>
          <w:spacing w:val="-10"/>
        </w:rPr>
        <w:t> </w:t>
      </w:r>
      <w:r>
        <w:rPr/>
        <w:t>função</w:t>
      </w:r>
      <w:r>
        <w:rPr>
          <w:spacing w:val="-8"/>
        </w:rPr>
        <w:t> </w:t>
      </w:r>
      <w:r>
        <w:rPr/>
        <w:t>renal</w:t>
      </w:r>
      <w:r>
        <w:rPr>
          <w:spacing w:val="-6"/>
        </w:rPr>
        <w:t> </w:t>
      </w:r>
      <w:r>
        <w:rPr/>
        <w:t>e consequente</w:t>
      </w:r>
      <w:r>
        <w:rPr>
          <w:spacing w:val="-15"/>
        </w:rPr>
        <w:t> </w:t>
      </w:r>
      <w:r>
        <w:rPr/>
        <w:t>acúmulo</w:t>
      </w:r>
      <w:r>
        <w:rPr>
          <w:spacing w:val="-14"/>
        </w:rPr>
        <w:t> </w:t>
      </w:r>
      <w:r>
        <w:rPr/>
        <w:t>do</w:t>
      </w:r>
      <w:r>
        <w:rPr>
          <w:spacing w:val="-13"/>
        </w:rPr>
        <w:t> </w:t>
      </w:r>
      <w:r>
        <w:rPr/>
        <w:t>medicamento,</w:t>
      </w:r>
      <w:r>
        <w:rPr>
          <w:spacing w:val="-7"/>
        </w:rPr>
        <w:t> </w:t>
      </w:r>
      <w:r>
        <w:rPr/>
        <w:t>causando</w:t>
      </w:r>
      <w:r>
        <w:rPr>
          <w:spacing w:val="-13"/>
        </w:rPr>
        <w:t> </w:t>
      </w:r>
      <w:r>
        <w:rPr/>
        <w:t>eventos</w:t>
      </w:r>
      <w:r>
        <w:rPr>
          <w:spacing w:val="-7"/>
        </w:rPr>
        <w:t> </w:t>
      </w:r>
      <w:r>
        <w:rPr/>
        <w:t>hemorrágicos.</w:t>
      </w:r>
      <w:r>
        <w:rPr>
          <w:spacing w:val="-7"/>
        </w:rPr>
        <w:t> </w:t>
      </w:r>
      <w:r>
        <w:rPr/>
        <w:t>Todos</w:t>
      </w:r>
      <w:r>
        <w:rPr>
          <w:spacing w:val="-7"/>
        </w:rPr>
        <w:t> </w:t>
      </w:r>
      <w:r>
        <w:rPr/>
        <w:t>eles</w:t>
      </w:r>
      <w:r>
        <w:rPr>
          <w:spacing w:val="-7"/>
        </w:rPr>
        <w:t> </w:t>
      </w:r>
      <w:r>
        <w:rPr/>
        <w:t>são</w:t>
      </w:r>
      <w:r>
        <w:rPr>
          <w:spacing w:val="-13"/>
        </w:rPr>
        <w:t> </w:t>
      </w:r>
      <w:r>
        <w:rPr/>
        <w:t>contraindicados</w:t>
      </w:r>
      <w:r>
        <w:rPr>
          <w:spacing w:val="-7"/>
        </w:rPr>
        <w:t> </w:t>
      </w:r>
      <w:r>
        <w:rPr/>
        <w:t>na</w:t>
      </w:r>
      <w:r>
        <w:rPr>
          <w:spacing w:val="-15"/>
        </w:rPr>
        <w:t> </w:t>
      </w:r>
      <w:r>
        <w:rPr/>
        <w:t>gestação e na lactação.</w:t>
      </w:r>
    </w:p>
    <w:p>
      <w:pPr>
        <w:pStyle w:val="BodyText"/>
        <w:spacing w:before="69"/>
        <w:ind w:left="0" w:firstLine="0"/>
        <w:jc w:val="left"/>
      </w:pPr>
    </w:p>
    <w:p>
      <w:pPr>
        <w:pStyle w:val="Heading9"/>
      </w:pPr>
      <w:r>
        <w:rPr>
          <w:color w:val="A26108"/>
        </w:rPr>
        <w:t>Heparina</w:t>
      </w:r>
      <w:r>
        <w:rPr>
          <w:color w:val="A26108"/>
          <w:spacing w:val="14"/>
        </w:rPr>
        <w:t> </w:t>
      </w:r>
      <w:r>
        <w:rPr>
          <w:color w:val="A26108"/>
        </w:rPr>
        <w:t>de</w:t>
      </w:r>
      <w:r>
        <w:rPr>
          <w:color w:val="A26108"/>
          <w:spacing w:val="13"/>
        </w:rPr>
        <w:t> </w:t>
      </w:r>
      <w:r>
        <w:rPr>
          <w:color w:val="A26108"/>
        </w:rPr>
        <w:t>baixo</w:t>
      </w:r>
      <w:r>
        <w:rPr>
          <w:color w:val="A26108"/>
          <w:spacing w:val="14"/>
        </w:rPr>
        <w:t> </w:t>
      </w:r>
      <w:r>
        <w:rPr>
          <w:color w:val="A26108"/>
        </w:rPr>
        <w:t>peso</w:t>
      </w:r>
      <w:r>
        <w:rPr>
          <w:color w:val="A26108"/>
          <w:spacing w:val="14"/>
        </w:rPr>
        <w:t> </w:t>
      </w:r>
      <w:r>
        <w:rPr>
          <w:color w:val="A26108"/>
          <w:spacing w:val="-2"/>
        </w:rPr>
        <w:t>molecular</w:t>
      </w:r>
    </w:p>
    <w:p>
      <w:pPr>
        <w:pStyle w:val="BodyText"/>
        <w:spacing w:line="276" w:lineRule="auto" w:before="117"/>
        <w:ind w:right="488"/>
      </w:pPr>
      <w:r>
        <w:rPr/>
        <w:t>A heparina de baixo peso molecular (HBPM) é obtida pela despolimerização da heparina com produção de fragmentos de</w:t>
      </w:r>
      <w:r>
        <w:rPr>
          <w:spacing w:val="-10"/>
        </w:rPr>
        <w:t> </w:t>
      </w:r>
      <w:r>
        <w:rPr/>
        <w:t>peso</w:t>
      </w:r>
      <w:r>
        <w:rPr>
          <w:spacing w:val="-7"/>
        </w:rPr>
        <w:t> </w:t>
      </w:r>
      <w:r>
        <w:rPr/>
        <w:t>molecular</w:t>
      </w:r>
      <w:r>
        <w:rPr>
          <w:spacing w:val="-2"/>
        </w:rPr>
        <w:t> </w:t>
      </w:r>
      <w:r>
        <w:rPr/>
        <w:t>entre</w:t>
      </w:r>
      <w:r>
        <w:rPr>
          <w:spacing w:val="-10"/>
        </w:rPr>
        <w:t> </w:t>
      </w:r>
      <w:r>
        <w:rPr/>
        <w:t>4.000</w:t>
      </w:r>
      <w:r>
        <w:rPr>
          <w:spacing w:val="-7"/>
        </w:rPr>
        <w:t> </w:t>
      </w:r>
      <w:r>
        <w:rPr/>
        <w:t>e</w:t>
      </w:r>
      <w:r>
        <w:rPr>
          <w:spacing w:val="-10"/>
        </w:rPr>
        <w:t> </w:t>
      </w:r>
      <w:r>
        <w:rPr/>
        <w:t>6.000</w:t>
      </w:r>
      <w:r>
        <w:rPr>
          <w:spacing w:val="-7"/>
        </w:rPr>
        <w:t> </w:t>
      </w:r>
      <w:r>
        <w:rPr/>
        <w:t>dáltons, que</w:t>
      </w:r>
      <w:r>
        <w:rPr>
          <w:spacing w:val="-10"/>
        </w:rPr>
        <w:t> </w:t>
      </w:r>
      <w:r>
        <w:rPr/>
        <w:t>têm</w:t>
      </w:r>
      <w:r>
        <w:rPr>
          <w:spacing w:val="-7"/>
        </w:rPr>
        <w:t> </w:t>
      </w:r>
      <w:r>
        <w:rPr/>
        <w:t>ação</w:t>
      </w:r>
      <w:r>
        <w:rPr>
          <w:spacing w:val="-7"/>
        </w:rPr>
        <w:t> </w:t>
      </w:r>
      <w:r>
        <w:rPr/>
        <w:t>menor</w:t>
      </w:r>
      <w:r>
        <w:rPr>
          <w:spacing w:val="-2"/>
        </w:rPr>
        <w:t> </w:t>
      </w:r>
      <w:r>
        <w:rPr/>
        <w:t>na</w:t>
      </w:r>
      <w:r>
        <w:rPr>
          <w:spacing w:val="-10"/>
        </w:rPr>
        <w:t> </w:t>
      </w:r>
      <w:r>
        <w:rPr/>
        <w:t>inibição</w:t>
      </w:r>
      <w:r>
        <w:rPr>
          <w:spacing w:val="-7"/>
        </w:rPr>
        <w:t> </w:t>
      </w:r>
      <w:r>
        <w:rPr/>
        <w:t>da</w:t>
      </w:r>
      <w:r>
        <w:rPr>
          <w:spacing w:val="-10"/>
        </w:rPr>
        <w:t> </w:t>
      </w:r>
      <w:r>
        <w:rPr/>
        <w:t>trombina, mantendo</w:t>
      </w:r>
      <w:r>
        <w:rPr>
          <w:spacing w:val="-7"/>
        </w:rPr>
        <w:t> </w:t>
      </w:r>
      <w:r>
        <w:rPr/>
        <w:t>a capacidade</w:t>
      </w:r>
      <w:r>
        <w:rPr>
          <w:spacing w:val="-5"/>
        </w:rPr>
        <w:t> </w:t>
      </w:r>
      <w:r>
        <w:rPr/>
        <w:t>de</w:t>
      </w:r>
      <w:r>
        <w:rPr>
          <w:spacing w:val="-5"/>
        </w:rPr>
        <w:t> </w:t>
      </w:r>
      <w:r>
        <w:rPr/>
        <w:t>bloquear o</w:t>
      </w:r>
      <w:r>
        <w:rPr>
          <w:spacing w:val="-3"/>
        </w:rPr>
        <w:t> </w:t>
      </w:r>
      <w:r>
        <w:rPr/>
        <w:t>fator Xa. Tem</w:t>
      </w:r>
      <w:r>
        <w:rPr>
          <w:spacing w:val="-3"/>
        </w:rPr>
        <w:t> </w:t>
      </w:r>
      <w:r>
        <w:rPr/>
        <w:t>menor afinidade</w:t>
      </w:r>
      <w:r>
        <w:rPr>
          <w:spacing w:val="-5"/>
        </w:rPr>
        <w:t> </w:t>
      </w:r>
      <w:r>
        <w:rPr/>
        <w:t>por proteínas plasmáticas, vasculares, células endoteliais,</w:t>
      </w:r>
    </w:p>
    <w:p>
      <w:pPr>
        <w:pStyle w:val="BodyText"/>
        <w:spacing w:after="0" w:line="276" w:lineRule="auto"/>
        <w:sectPr>
          <w:pgSz w:w="11900" w:h="16840"/>
          <w:pgMar w:top="140" w:bottom="280" w:left="566" w:right="141"/>
        </w:sectPr>
      </w:pPr>
    </w:p>
    <w:p>
      <w:pPr>
        <w:pStyle w:val="BodyText"/>
        <w:spacing w:line="290" w:lineRule="auto" w:before="67"/>
        <w:ind w:right="510" w:firstLine="0"/>
      </w:pPr>
      <w:r>
        <w:rPr/>
        <w:t>macrófagos e</w:t>
      </w:r>
      <w:r>
        <w:rPr>
          <w:spacing w:val="-9"/>
        </w:rPr>
        <w:t> </w:t>
      </w:r>
      <w:r>
        <w:rPr/>
        <w:t>plaquetas, apresentando, portanto, biodisponibilidade</w:t>
      </w:r>
      <w:r>
        <w:rPr>
          <w:spacing w:val="-9"/>
        </w:rPr>
        <w:t> </w:t>
      </w:r>
      <w:r>
        <w:rPr/>
        <w:t>e</w:t>
      </w:r>
      <w:r>
        <w:rPr>
          <w:spacing w:val="-9"/>
        </w:rPr>
        <w:t> </w:t>
      </w:r>
      <w:r>
        <w:rPr/>
        <w:t>meia-vida</w:t>
      </w:r>
      <w:r>
        <w:rPr>
          <w:spacing w:val="-9"/>
        </w:rPr>
        <w:t> </w:t>
      </w:r>
      <w:r>
        <w:rPr/>
        <w:t>plasmática</w:t>
      </w:r>
      <w:r>
        <w:rPr>
          <w:spacing w:val="-9"/>
        </w:rPr>
        <w:t> </w:t>
      </w:r>
      <w:r>
        <w:rPr/>
        <w:t>maiores, respostas mais previsíveis em doses fixas e</w:t>
      </w:r>
      <w:r>
        <w:rPr>
          <w:spacing w:val="-3"/>
        </w:rPr>
        <w:t> </w:t>
      </w:r>
      <w:r>
        <w:rPr/>
        <w:t>redução dos efeitos colaterais relacionados com plaquetopenia.</w:t>
      </w:r>
      <w:r>
        <w:rPr>
          <w:vertAlign w:val="superscript"/>
        </w:rPr>
        <w:t>17</w:t>
      </w:r>
    </w:p>
    <w:p>
      <w:pPr>
        <w:pStyle w:val="BodyText"/>
        <w:spacing w:line="280" w:lineRule="auto" w:before="49"/>
        <w:ind w:right="491"/>
      </w:pPr>
      <w:r>
        <w:rPr/>
        <w:t>Por sua</w:t>
      </w:r>
      <w:r>
        <w:rPr>
          <w:spacing w:val="-8"/>
        </w:rPr>
        <w:t> </w:t>
      </w:r>
      <w:r>
        <w:rPr/>
        <w:t>maior disponibilidade</w:t>
      </w:r>
      <w:r>
        <w:rPr>
          <w:spacing w:val="-8"/>
        </w:rPr>
        <w:t> </w:t>
      </w:r>
      <w:r>
        <w:rPr/>
        <w:t>e</w:t>
      </w:r>
      <w:r>
        <w:rPr>
          <w:spacing w:val="-8"/>
        </w:rPr>
        <w:t> </w:t>
      </w:r>
      <w:r>
        <w:rPr/>
        <w:t>meia-vida</w:t>
      </w:r>
      <w:r>
        <w:rPr>
          <w:spacing w:val="-8"/>
        </w:rPr>
        <w:t> </w:t>
      </w:r>
      <w:r>
        <w:rPr/>
        <w:t>mais longa, a</w:t>
      </w:r>
      <w:r>
        <w:rPr>
          <w:spacing w:val="-8"/>
        </w:rPr>
        <w:t> </w:t>
      </w:r>
      <w:r>
        <w:rPr/>
        <w:t>HBPM é</w:t>
      </w:r>
      <w:r>
        <w:rPr>
          <w:spacing w:val="-8"/>
        </w:rPr>
        <w:t> </w:t>
      </w:r>
      <w:r>
        <w:rPr/>
        <w:t>usada</w:t>
      </w:r>
      <w:r>
        <w:rPr>
          <w:spacing w:val="-8"/>
        </w:rPr>
        <w:t> </w:t>
      </w:r>
      <w:r>
        <w:rPr/>
        <w:t>rotineiramente</w:t>
      </w:r>
      <w:r>
        <w:rPr>
          <w:spacing w:val="-8"/>
        </w:rPr>
        <w:t> </w:t>
      </w:r>
      <w:r>
        <w:rPr/>
        <w:t>por via</w:t>
      </w:r>
      <w:r>
        <w:rPr>
          <w:spacing w:val="-8"/>
        </w:rPr>
        <w:t> </w:t>
      </w:r>
      <w:r>
        <w:rPr/>
        <w:t>subcutânea, com dose peso-dependente e sem necessidade de monitoramento laboratorial. Isso possibilita a simplificação do tratamento anticoagulante, dá oportunidade de tratamento a pacientes selecionados em domicílio e redução dos custos. Adicionalmente, acredita-se que haveria menor mortalidade entre os pacientes tratados com HBPM; no entanto, isto ainda necessita ser confirmado.</w:t>
      </w:r>
      <w:r>
        <w:rPr>
          <w:vertAlign w:val="superscript"/>
        </w:rPr>
        <w:t>18</w:t>
      </w:r>
    </w:p>
    <w:p>
      <w:pPr>
        <w:pStyle w:val="BodyText"/>
        <w:spacing w:before="123"/>
        <w:ind w:left="0" w:firstLine="0"/>
        <w:jc w:val="left"/>
      </w:pPr>
    </w:p>
    <w:p>
      <w:pPr>
        <w:pStyle w:val="Heading5"/>
      </w:pPr>
      <w:r>
        <w:rPr>
          <w:color w:val="A26108"/>
        </w:rPr>
        <w:t>Remoção</w:t>
      </w:r>
      <w:r>
        <w:rPr>
          <w:color w:val="A26108"/>
          <w:spacing w:val="21"/>
        </w:rPr>
        <w:t> </w:t>
      </w:r>
      <w:r>
        <w:rPr>
          <w:color w:val="A26108"/>
        </w:rPr>
        <w:t>precoce</w:t>
      </w:r>
      <w:r>
        <w:rPr>
          <w:color w:val="A26108"/>
          <w:spacing w:val="21"/>
        </w:rPr>
        <w:t> </w:t>
      </w:r>
      <w:r>
        <w:rPr>
          <w:color w:val="A26108"/>
        </w:rPr>
        <w:t>do</w:t>
      </w:r>
      <w:r>
        <w:rPr>
          <w:color w:val="A26108"/>
          <w:spacing w:val="21"/>
        </w:rPr>
        <w:t> </w:t>
      </w:r>
      <w:r>
        <w:rPr>
          <w:color w:val="A26108"/>
          <w:spacing w:val="-2"/>
        </w:rPr>
        <w:t>coágulo</w:t>
      </w:r>
    </w:p>
    <w:p>
      <w:pPr>
        <w:pStyle w:val="BodyText"/>
        <w:spacing w:line="276" w:lineRule="auto" w:before="123"/>
        <w:ind w:right="488"/>
      </w:pPr>
      <w:r>
        <w:rPr/>
        <w:t>O tratamento clássico da TVP com heparina, seguida do uso de anticoagulante oral, é um método eficaz na prevenção de TEP e da extensão do trombo. No entanto, esses fármacos não têm ação fibrinolítica. Os principais métodos existentes para a remoção precoce do coágulo e restabelecimento da função venosa e preservação do endotelial e</w:t>
      </w:r>
      <w:r>
        <w:rPr>
          <w:spacing w:val="-2"/>
        </w:rPr>
        <w:t> </w:t>
      </w:r>
      <w:r>
        <w:rPr/>
        <w:t>valvular são a</w:t>
      </w:r>
      <w:r>
        <w:rPr>
          <w:spacing w:val="-2"/>
        </w:rPr>
        <w:t> </w:t>
      </w:r>
      <w:r>
        <w:rPr/>
        <w:t>trombectomia</w:t>
      </w:r>
      <w:r>
        <w:rPr>
          <w:spacing w:val="-2"/>
        </w:rPr>
        <w:t> </w:t>
      </w:r>
      <w:r>
        <w:rPr/>
        <w:t>cirúrgica</w:t>
      </w:r>
      <w:r>
        <w:rPr>
          <w:spacing w:val="-2"/>
        </w:rPr>
        <w:t> </w:t>
      </w:r>
      <w:r>
        <w:rPr/>
        <w:t>(mecânica) e</w:t>
      </w:r>
      <w:r>
        <w:rPr>
          <w:spacing w:val="-2"/>
        </w:rPr>
        <w:t> </w:t>
      </w:r>
      <w:r>
        <w:rPr/>
        <w:t>fibrinólise</w:t>
      </w:r>
      <w:r>
        <w:rPr>
          <w:spacing w:val="-2"/>
        </w:rPr>
        <w:t> </w:t>
      </w:r>
      <w:r>
        <w:rPr/>
        <w:t>farmacológica.</w:t>
      </w:r>
    </w:p>
    <w:p>
      <w:pPr>
        <w:pStyle w:val="BodyText"/>
        <w:spacing w:before="24"/>
        <w:ind w:left="0" w:firstLine="0"/>
        <w:jc w:val="left"/>
      </w:pPr>
    </w:p>
    <w:p>
      <w:pPr>
        <w:pStyle w:val="Heading7"/>
      </w:pPr>
      <w:r>
        <w:rPr>
          <w:color w:val="242B67"/>
        </w:rPr>
        <w:t>Trombectomia </w:t>
      </w:r>
      <w:r>
        <w:rPr>
          <w:color w:val="242B67"/>
          <w:spacing w:val="-2"/>
        </w:rPr>
        <w:t>cirúrgica</w:t>
      </w:r>
    </w:p>
    <w:p>
      <w:pPr>
        <w:pStyle w:val="BodyText"/>
        <w:spacing w:line="276" w:lineRule="auto" w:before="126"/>
        <w:ind w:right="488"/>
      </w:pPr>
      <w:r>
        <w:rPr/>
        <w:t>Leriche</w:t>
      </w:r>
      <w:r>
        <w:rPr>
          <w:spacing w:val="-2"/>
        </w:rPr>
        <w:t> </w:t>
      </w:r>
      <w:r>
        <w:rPr/>
        <w:t>e</w:t>
      </w:r>
      <w:r>
        <w:rPr>
          <w:spacing w:val="-2"/>
        </w:rPr>
        <w:t> </w:t>
      </w:r>
      <w:r>
        <w:rPr/>
        <w:t>Fontaine, na</w:t>
      </w:r>
      <w:r>
        <w:rPr>
          <w:spacing w:val="-2"/>
        </w:rPr>
        <w:t> </w:t>
      </w:r>
      <w:r>
        <w:rPr/>
        <w:t>década</w:t>
      </w:r>
      <w:r>
        <w:rPr>
          <w:spacing w:val="-2"/>
        </w:rPr>
        <w:t> </w:t>
      </w:r>
      <w:r>
        <w:rPr/>
        <w:t>de</w:t>
      </w:r>
      <w:r>
        <w:rPr>
          <w:spacing w:val="-2"/>
        </w:rPr>
        <w:t> </w:t>
      </w:r>
      <w:r>
        <w:rPr/>
        <w:t>1940, descreveram a</w:t>
      </w:r>
      <w:r>
        <w:rPr>
          <w:spacing w:val="-2"/>
        </w:rPr>
        <w:t> </w:t>
      </w:r>
      <w:r>
        <w:rPr/>
        <w:t>técnica</w:t>
      </w:r>
      <w:r>
        <w:rPr>
          <w:spacing w:val="-2"/>
        </w:rPr>
        <w:t> </w:t>
      </w:r>
      <w:r>
        <w:rPr/>
        <w:t>para</w:t>
      </w:r>
      <w:r>
        <w:rPr>
          <w:spacing w:val="-2"/>
        </w:rPr>
        <w:t> </w:t>
      </w:r>
      <w:r>
        <w:rPr/>
        <w:t>a</w:t>
      </w:r>
      <w:r>
        <w:rPr>
          <w:spacing w:val="-2"/>
        </w:rPr>
        <w:t> </w:t>
      </w:r>
      <w:r>
        <w:rPr/>
        <w:t>TVP dos membros inferiores. Consiste</w:t>
      </w:r>
      <w:r>
        <w:rPr>
          <w:spacing w:val="-2"/>
        </w:rPr>
        <w:t> </w:t>
      </w:r>
      <w:r>
        <w:rPr/>
        <w:t>na remoção do coágulo das veias por meio de cateteres e compressão extrínseca do membro (manual ou por faixa de Esmarch), visando expulsar os trombos através de flebotomia na femoral.</w:t>
      </w:r>
    </w:p>
    <w:p>
      <w:pPr>
        <w:pStyle w:val="BodyText"/>
        <w:spacing w:line="283" w:lineRule="auto"/>
        <w:ind w:right="497"/>
      </w:pPr>
      <w:r>
        <w:rPr/>
        <w:t>A</w:t>
      </w:r>
      <w:r>
        <w:rPr>
          <w:spacing w:val="-15"/>
        </w:rPr>
        <w:t> </w:t>
      </w:r>
      <w:r>
        <w:rPr/>
        <w:t>experiência</w:t>
      </w:r>
      <w:r>
        <w:rPr>
          <w:spacing w:val="-14"/>
        </w:rPr>
        <w:t> </w:t>
      </w:r>
      <w:r>
        <w:rPr/>
        <w:t>inicial</w:t>
      </w:r>
      <w:r>
        <w:rPr>
          <w:spacing w:val="-12"/>
        </w:rPr>
        <w:t> </w:t>
      </w:r>
      <w:r>
        <w:rPr/>
        <w:t>da</w:t>
      </w:r>
      <w:r>
        <w:rPr>
          <w:spacing w:val="-15"/>
        </w:rPr>
        <w:t> </w:t>
      </w:r>
      <w:r>
        <w:rPr/>
        <w:t>trombectomia</w:t>
      </w:r>
      <w:r>
        <w:rPr>
          <w:spacing w:val="-14"/>
        </w:rPr>
        <w:t> </w:t>
      </w:r>
      <w:r>
        <w:rPr/>
        <w:t>venosa</w:t>
      </w:r>
      <w:r>
        <w:rPr>
          <w:spacing w:val="-15"/>
        </w:rPr>
        <w:t> </w:t>
      </w:r>
      <w:r>
        <w:rPr/>
        <w:t>cirúrgica</w:t>
      </w:r>
      <w:r>
        <w:rPr>
          <w:spacing w:val="-14"/>
        </w:rPr>
        <w:t> </w:t>
      </w:r>
      <w:r>
        <w:rPr/>
        <w:t>foi</w:t>
      </w:r>
      <w:r>
        <w:rPr>
          <w:spacing w:val="-10"/>
        </w:rPr>
        <w:t> </w:t>
      </w:r>
      <w:r>
        <w:rPr/>
        <w:t>bastante</w:t>
      </w:r>
      <w:r>
        <w:rPr>
          <w:spacing w:val="-15"/>
        </w:rPr>
        <w:t> </w:t>
      </w:r>
      <w:r>
        <w:rPr/>
        <w:t>entusiástica</w:t>
      </w:r>
      <w:r>
        <w:rPr>
          <w:spacing w:val="-14"/>
        </w:rPr>
        <w:t> </w:t>
      </w:r>
      <w:r>
        <w:rPr/>
        <w:t>devido</w:t>
      </w:r>
      <w:r>
        <w:rPr>
          <w:spacing w:val="-13"/>
        </w:rPr>
        <w:t> </w:t>
      </w:r>
      <w:r>
        <w:rPr/>
        <w:t>aos</w:t>
      </w:r>
      <w:r>
        <w:rPr>
          <w:spacing w:val="-6"/>
        </w:rPr>
        <w:t> </w:t>
      </w:r>
      <w:r>
        <w:rPr/>
        <w:t>excelentes</w:t>
      </w:r>
      <w:r>
        <w:rPr>
          <w:spacing w:val="-6"/>
        </w:rPr>
        <w:t> </w:t>
      </w:r>
      <w:r>
        <w:rPr/>
        <w:t>resultados publicados. No entanto, publicações subsequentes mostraram alta incidência de retrombose e ineficácia na prevenção das complicações tardias da síndrome pós-flebítica.</w:t>
      </w:r>
      <w:r>
        <w:rPr>
          <w:vertAlign w:val="superscript"/>
        </w:rPr>
        <w:t>19</w:t>
      </w:r>
      <w:r>
        <w:rPr>
          <w:vertAlign w:val="baseline"/>
        </w:rPr>
        <w:t> Apesar de utilizada em alguns centros europeus com sucesso, a técnica foi ignorada na maioria dos centros. Os serviços que continuaram a utilizar e refinar a técnica publicaram resultados cada vez melhores.</w:t>
      </w:r>
      <w:r>
        <w:rPr>
          <w:vertAlign w:val="superscript"/>
        </w:rPr>
        <w:t>20</w:t>
      </w:r>
      <w:r>
        <w:rPr>
          <w:vertAlign w:val="baseline"/>
        </w:rPr>
        <w:t> Entretanto, não existe consenso, a longo prazo, quanto à superioridade do tratamento cirúrgico em relação ao clínico na prevenção da síndrome pós-flebítica. Há ressalvas quanto à sua utilização ampla, pois muitos trabalhos não reproduziram os mesmos bons resultados tanto no pós-operatório imediato como na evolução clínica a longo prazo.</w:t>
      </w:r>
      <w:r>
        <w:rPr>
          <w:vertAlign w:val="superscript"/>
        </w:rPr>
        <w:t>19</w:t>
      </w:r>
    </w:p>
    <w:p>
      <w:pPr>
        <w:pStyle w:val="Heading7"/>
        <w:spacing w:before="258"/>
      </w:pPr>
      <w:r>
        <w:rPr>
          <w:color w:val="242B67"/>
        </w:rPr>
        <w:t>Fibrinólise </w:t>
      </w:r>
      <w:r>
        <w:rPr>
          <w:color w:val="242B67"/>
          <w:spacing w:val="-2"/>
        </w:rPr>
        <w:t>farmacológica</w:t>
      </w:r>
    </w:p>
    <w:p>
      <w:pPr>
        <w:pStyle w:val="BodyText"/>
        <w:spacing w:line="276" w:lineRule="auto" w:before="143"/>
        <w:ind w:right="491"/>
      </w:pPr>
      <w:r>
        <w:rPr/>
        <w:t>A restauração do fluxo venoso, eliminando-se o trombo e preservando, mesmo de maneira parcial, a função venosa</w:t>
      </w:r>
      <w:r>
        <w:rPr>
          <w:spacing w:val="-3"/>
        </w:rPr>
        <w:t> </w:t>
      </w:r>
      <w:r>
        <w:rPr/>
        <w:t>são os objetivos ideais do tratamento da</w:t>
      </w:r>
      <w:r>
        <w:rPr>
          <w:spacing w:val="-3"/>
        </w:rPr>
        <w:t> </w:t>
      </w:r>
      <w:r>
        <w:rPr/>
        <w:t>trombose</w:t>
      </w:r>
      <w:r>
        <w:rPr>
          <w:spacing w:val="-3"/>
        </w:rPr>
        <w:t> </w:t>
      </w:r>
      <w:r>
        <w:rPr/>
        <w:t>venosa, seja</w:t>
      </w:r>
      <w:r>
        <w:rPr>
          <w:spacing w:val="-3"/>
        </w:rPr>
        <w:t> </w:t>
      </w:r>
      <w:r>
        <w:rPr/>
        <w:t>por métodos mecânicos ou farmacológicos.</w:t>
      </w:r>
    </w:p>
    <w:p>
      <w:pPr>
        <w:pStyle w:val="BodyText"/>
        <w:spacing w:line="280" w:lineRule="auto" w:before="48"/>
        <w:ind w:right="497"/>
      </w:pPr>
      <w:r>
        <w:rPr/>
        <w:t>A terapêutica fibrinolítica para o tratamento da isquemia miocárdica e do TEP modificou o prognóstico dos portadores dessas patologias. Consequentemente, despertou o interesse pelo uso dos mesmos recursos para o tratamento de TVP. Inicialmente, a administração de fibrinolíticos por via venosa sistêmica para o tratamento de TVP não apresentou resultados animadores devido a</w:t>
      </w:r>
      <w:r>
        <w:rPr>
          <w:spacing w:val="-1"/>
        </w:rPr>
        <w:t> </w:t>
      </w:r>
      <w:r>
        <w:rPr/>
        <w:t>uma</w:t>
      </w:r>
      <w:r>
        <w:rPr>
          <w:spacing w:val="-1"/>
        </w:rPr>
        <w:t> </w:t>
      </w:r>
      <w:r>
        <w:rPr/>
        <w:t>incidência</w:t>
      </w:r>
      <w:r>
        <w:rPr>
          <w:spacing w:val="-1"/>
        </w:rPr>
        <w:t> </w:t>
      </w:r>
      <w:r>
        <w:rPr/>
        <w:t>inaceitável de</w:t>
      </w:r>
      <w:r>
        <w:rPr>
          <w:spacing w:val="-1"/>
        </w:rPr>
        <w:t> </w:t>
      </w:r>
      <w:r>
        <w:rPr/>
        <w:t>complicações hemorrágicas e</w:t>
      </w:r>
      <w:r>
        <w:rPr>
          <w:spacing w:val="-1"/>
        </w:rPr>
        <w:t> </w:t>
      </w:r>
      <w:r>
        <w:rPr/>
        <w:t>à sua baixa eficácia.</w:t>
      </w:r>
      <w:r>
        <w:rPr>
          <w:vertAlign w:val="superscript"/>
        </w:rPr>
        <w:t>21</w:t>
      </w:r>
    </w:p>
    <w:p>
      <w:pPr>
        <w:pStyle w:val="BodyText"/>
        <w:spacing w:line="283" w:lineRule="auto" w:before="54"/>
        <w:ind w:right="500"/>
      </w:pPr>
      <w:r>
        <w:rPr/>
        <w:t>O desenvolvimento de métodos de trombólise venosa seletiva por cateteres intratrombo, na década de 1990, utilizando</w:t>
      </w:r>
      <w:r>
        <w:rPr>
          <w:spacing w:val="-6"/>
        </w:rPr>
        <w:t> </w:t>
      </w:r>
      <w:r>
        <w:rPr/>
        <w:t>uroquinase, propiciou</w:t>
      </w:r>
      <w:r>
        <w:rPr>
          <w:spacing w:val="-6"/>
        </w:rPr>
        <w:t> </w:t>
      </w:r>
      <w:r>
        <w:rPr/>
        <w:t>redução</w:t>
      </w:r>
      <w:r>
        <w:rPr>
          <w:spacing w:val="-6"/>
        </w:rPr>
        <w:t> </w:t>
      </w:r>
      <w:r>
        <w:rPr/>
        <w:t>da</w:t>
      </w:r>
      <w:r>
        <w:rPr>
          <w:spacing w:val="-9"/>
        </w:rPr>
        <w:t> </w:t>
      </w:r>
      <w:r>
        <w:rPr/>
        <w:t>dose</w:t>
      </w:r>
      <w:r>
        <w:rPr>
          <w:spacing w:val="-9"/>
        </w:rPr>
        <w:t> </w:t>
      </w:r>
      <w:r>
        <w:rPr/>
        <w:t>total</w:t>
      </w:r>
      <w:r>
        <w:rPr>
          <w:spacing w:val="-4"/>
        </w:rPr>
        <w:t> </w:t>
      </w:r>
      <w:r>
        <w:rPr/>
        <w:t>do</w:t>
      </w:r>
      <w:r>
        <w:rPr>
          <w:spacing w:val="-6"/>
        </w:rPr>
        <w:t> </w:t>
      </w:r>
      <w:r>
        <w:rPr/>
        <w:t>fármaco</w:t>
      </w:r>
      <w:r>
        <w:rPr>
          <w:spacing w:val="-6"/>
        </w:rPr>
        <w:t> </w:t>
      </w:r>
      <w:r>
        <w:rPr/>
        <w:t>e</w:t>
      </w:r>
      <w:r>
        <w:rPr>
          <w:spacing w:val="-9"/>
        </w:rPr>
        <w:t> </w:t>
      </w:r>
      <w:r>
        <w:rPr/>
        <w:t>maior</w:t>
      </w:r>
      <w:r>
        <w:rPr>
          <w:spacing w:val="-1"/>
        </w:rPr>
        <w:t> </w:t>
      </w:r>
      <w:r>
        <w:rPr/>
        <w:t>índice</w:t>
      </w:r>
      <w:r>
        <w:rPr>
          <w:spacing w:val="-9"/>
        </w:rPr>
        <w:t> </w:t>
      </w:r>
      <w:r>
        <w:rPr/>
        <w:t>de</w:t>
      </w:r>
      <w:r>
        <w:rPr>
          <w:spacing w:val="-9"/>
        </w:rPr>
        <w:t> </w:t>
      </w:r>
      <w:r>
        <w:rPr/>
        <w:t>sucesso</w:t>
      </w:r>
      <w:r>
        <w:rPr>
          <w:spacing w:val="-6"/>
        </w:rPr>
        <w:t> </w:t>
      </w:r>
      <w:r>
        <w:rPr/>
        <w:t>terapêutico</w:t>
      </w:r>
      <w:r>
        <w:rPr>
          <w:spacing w:val="-6"/>
        </w:rPr>
        <w:t> </w:t>
      </w:r>
      <w:r>
        <w:rPr/>
        <w:t>com</w:t>
      </w:r>
      <w:r>
        <w:rPr>
          <w:spacing w:val="-6"/>
        </w:rPr>
        <w:t> </w:t>
      </w:r>
      <w:r>
        <w:rPr/>
        <w:t>menor risco e menos efeitos colaterais.</w:t>
      </w:r>
      <w:r>
        <w:rPr>
          <w:vertAlign w:val="superscript"/>
        </w:rPr>
        <w:t>22</w:t>
      </w:r>
    </w:p>
    <w:p>
      <w:pPr>
        <w:pStyle w:val="BodyText"/>
        <w:spacing w:line="276" w:lineRule="auto" w:before="41"/>
        <w:ind w:right="487"/>
      </w:pPr>
      <w:r>
        <w:rPr/>
        <w:t>Em 1999, os pesquisadores passaram a utilizar outros fármacos fibrinolíticos, em especial rt-PA, devido à retirada</w:t>
      </w:r>
      <w:r>
        <w:rPr>
          <w:spacing w:val="-1"/>
        </w:rPr>
        <w:t> </w:t>
      </w:r>
      <w:r>
        <w:rPr/>
        <w:t>da</w:t>
      </w:r>
      <w:r>
        <w:rPr>
          <w:spacing w:val="-1"/>
        </w:rPr>
        <w:t> </w:t>
      </w:r>
      <w:r>
        <w:rPr/>
        <w:t>uroquinase</w:t>
      </w:r>
      <w:r>
        <w:rPr>
          <w:spacing w:val="-1"/>
        </w:rPr>
        <w:t> </w:t>
      </w:r>
      <w:r>
        <w:rPr/>
        <w:t>do mercado pela</w:t>
      </w:r>
      <w:r>
        <w:rPr>
          <w:spacing w:val="-1"/>
        </w:rPr>
        <w:t> </w:t>
      </w:r>
      <w:r>
        <w:rPr/>
        <w:t>Food and Drug Administration (FDA) e</w:t>
      </w:r>
      <w:r>
        <w:rPr>
          <w:spacing w:val="-1"/>
        </w:rPr>
        <w:t> </w:t>
      </w:r>
      <w:r>
        <w:rPr/>
        <w:t>às reações alérgicas desfavoráveis observadas com a utilização da estreptoquinase.</w:t>
      </w:r>
    </w:p>
    <w:p>
      <w:pPr>
        <w:pStyle w:val="BodyText"/>
        <w:spacing w:line="276" w:lineRule="auto" w:before="81"/>
        <w:ind w:right="500"/>
      </w:pPr>
      <w:r>
        <w:rPr/>
        <w:t>Alguns autores publicaram séries com bons resultados imediatos;</w:t>
      </w:r>
      <w:r>
        <w:rPr>
          <w:vertAlign w:val="superscript"/>
        </w:rPr>
        <w:t>23</w:t>
      </w:r>
      <w:r>
        <w:rPr>
          <w:vertAlign w:val="baseline"/>
        </w:rPr>
        <w:t> no entanto, ainda não existem trabalhos prospectivos que assegurem os benefícios dessa técnica.</w:t>
      </w:r>
    </w:p>
    <w:p>
      <w:pPr>
        <w:pStyle w:val="BodyText"/>
        <w:spacing w:before="185"/>
        <w:ind w:left="0" w:firstLine="0"/>
        <w:jc w:val="left"/>
      </w:pPr>
    </w:p>
    <w:p>
      <w:pPr>
        <w:pStyle w:val="Heading4"/>
      </w:pPr>
      <w:r>
        <w:rPr>
          <w:color w:val="242B67"/>
          <w:spacing w:val="-2"/>
        </w:rPr>
        <w:t>Profilaxia</w:t>
      </w:r>
    </w:p>
    <w:p>
      <w:pPr>
        <w:pStyle w:val="BodyText"/>
        <w:spacing w:line="276" w:lineRule="auto" w:before="132"/>
        <w:ind w:right="491"/>
      </w:pPr>
      <w:r>
        <w:rPr/>
        <w:t>A TVP é problema internacional de saúde pública, seja pela sua incidência ou pelas complicações agudas, em especial o TEP que</w:t>
      </w:r>
      <w:r>
        <w:rPr>
          <w:spacing w:val="-2"/>
        </w:rPr>
        <w:t> </w:t>
      </w:r>
      <w:r>
        <w:rPr/>
        <w:t>pode</w:t>
      </w:r>
      <w:r>
        <w:rPr>
          <w:spacing w:val="-2"/>
        </w:rPr>
        <w:t> </w:t>
      </w:r>
      <w:r>
        <w:rPr/>
        <w:t>ser fatal e</w:t>
      </w:r>
      <w:r>
        <w:rPr>
          <w:spacing w:val="-2"/>
        </w:rPr>
        <w:t> </w:t>
      </w:r>
      <w:r>
        <w:rPr/>
        <w:t>também pela</w:t>
      </w:r>
      <w:r>
        <w:rPr>
          <w:spacing w:val="-2"/>
        </w:rPr>
        <w:t> </w:t>
      </w:r>
      <w:r>
        <w:rPr/>
        <w:t>complicação tardia</w:t>
      </w:r>
      <w:r>
        <w:rPr>
          <w:spacing w:val="-2"/>
        </w:rPr>
        <w:t> </w:t>
      </w:r>
      <w:r>
        <w:rPr/>
        <w:t>representada</w:t>
      </w:r>
      <w:r>
        <w:rPr>
          <w:spacing w:val="-2"/>
        </w:rPr>
        <w:t> </w:t>
      </w:r>
      <w:r>
        <w:rPr/>
        <w:t>pela</w:t>
      </w:r>
      <w:r>
        <w:rPr>
          <w:spacing w:val="-2"/>
        </w:rPr>
        <w:t> </w:t>
      </w:r>
      <w:r>
        <w:rPr/>
        <w:t>síndrome</w:t>
      </w:r>
      <w:r>
        <w:rPr>
          <w:spacing w:val="-2"/>
        </w:rPr>
        <w:t> </w:t>
      </w:r>
      <w:r>
        <w:rPr/>
        <w:t>pós-flebítica.</w:t>
      </w:r>
    </w:p>
    <w:p>
      <w:pPr>
        <w:pStyle w:val="BodyText"/>
        <w:spacing w:before="64"/>
        <w:ind w:left="414" w:firstLine="0"/>
        <w:jc w:val="left"/>
      </w:pPr>
      <w:r>
        <w:rPr/>
        <w:t>Muitos</w:t>
      </w:r>
      <w:r>
        <w:rPr>
          <w:spacing w:val="9"/>
        </w:rPr>
        <w:t> </w:t>
      </w:r>
      <w:r>
        <w:rPr/>
        <w:t>eventos</w:t>
      </w:r>
      <w:r>
        <w:rPr>
          <w:spacing w:val="11"/>
        </w:rPr>
        <w:t> </w:t>
      </w:r>
      <w:r>
        <w:rPr/>
        <w:t>de</w:t>
      </w:r>
      <w:r>
        <w:rPr>
          <w:spacing w:val="1"/>
        </w:rPr>
        <w:t> </w:t>
      </w:r>
      <w:r>
        <w:rPr/>
        <w:t>TVP</w:t>
      </w:r>
      <w:r>
        <w:rPr>
          <w:spacing w:val="7"/>
        </w:rPr>
        <w:t> </w:t>
      </w:r>
      <w:r>
        <w:rPr/>
        <w:t>não</w:t>
      </w:r>
      <w:r>
        <w:rPr>
          <w:spacing w:val="4"/>
        </w:rPr>
        <w:t> </w:t>
      </w:r>
      <w:r>
        <w:rPr/>
        <w:t>são</w:t>
      </w:r>
      <w:r>
        <w:rPr>
          <w:spacing w:val="4"/>
        </w:rPr>
        <w:t> </w:t>
      </w:r>
      <w:r>
        <w:rPr/>
        <w:t>detectados</w:t>
      </w:r>
      <w:r>
        <w:rPr>
          <w:spacing w:val="11"/>
        </w:rPr>
        <w:t> </w:t>
      </w:r>
      <w:r>
        <w:rPr/>
        <w:t>pelas</w:t>
      </w:r>
      <w:r>
        <w:rPr>
          <w:spacing w:val="11"/>
        </w:rPr>
        <w:t> </w:t>
      </w:r>
      <w:r>
        <w:rPr/>
        <w:t>dificuldades</w:t>
      </w:r>
      <w:r>
        <w:rPr>
          <w:spacing w:val="11"/>
        </w:rPr>
        <w:t> </w:t>
      </w:r>
      <w:r>
        <w:rPr/>
        <w:t>diagnósticas</w:t>
      </w:r>
      <w:r>
        <w:rPr>
          <w:spacing w:val="12"/>
        </w:rPr>
        <w:t> </w:t>
      </w:r>
      <w:r>
        <w:rPr/>
        <w:t>já</w:t>
      </w:r>
      <w:r>
        <w:rPr>
          <w:spacing w:val="1"/>
        </w:rPr>
        <w:t> </w:t>
      </w:r>
      <w:r>
        <w:rPr/>
        <w:t>expostas.</w:t>
      </w:r>
      <w:r>
        <w:rPr>
          <w:spacing w:val="11"/>
        </w:rPr>
        <w:t> </w:t>
      </w:r>
      <w:r>
        <w:rPr/>
        <w:t>Portanto,</w:t>
      </w:r>
      <w:r>
        <w:rPr>
          <w:spacing w:val="12"/>
        </w:rPr>
        <w:t> </w:t>
      </w:r>
      <w:r>
        <w:rPr/>
        <w:t>é</w:t>
      </w:r>
      <w:r>
        <w:rPr>
          <w:spacing w:val="1"/>
        </w:rPr>
        <w:t> </w:t>
      </w:r>
      <w:r>
        <w:rPr/>
        <w:t>de</w:t>
      </w:r>
      <w:r>
        <w:rPr>
          <w:spacing w:val="2"/>
        </w:rPr>
        <w:t> </w:t>
      </w:r>
      <w:r>
        <w:rPr>
          <w:spacing w:val="-2"/>
        </w:rPr>
        <w:t>extrema</w:t>
      </w:r>
    </w:p>
    <w:p>
      <w:pPr>
        <w:pStyle w:val="BodyText"/>
        <w:spacing w:after="0"/>
        <w:jc w:val="left"/>
        <w:sectPr>
          <w:pgSz w:w="11900" w:h="16840"/>
          <w:pgMar w:top="160" w:bottom="280" w:left="566" w:right="141"/>
        </w:sectPr>
      </w:pPr>
    </w:p>
    <w:p>
      <w:pPr>
        <w:pStyle w:val="BodyText"/>
        <w:spacing w:line="276" w:lineRule="auto" w:before="79"/>
        <w:ind w:right="510" w:firstLine="0"/>
      </w:pPr>
      <w:r>
        <w:rPr/>
        <w:t>importância, para o médico, o conhecimento da epidemiologia e definição dos grupos de risco para aplicar os recursos profiláticos e tratamento precoce.</w:t>
      </w:r>
    </w:p>
    <w:p>
      <w:pPr>
        <w:pStyle w:val="BodyText"/>
        <w:spacing w:line="276" w:lineRule="auto"/>
        <w:ind w:right="488"/>
      </w:pPr>
      <w:r>
        <w:rPr/>
        <w:t>Em pacientes cirúrgicos pode se desenvolver TVP e seu risco aumenta com a idade, obesidade, presença de doenças malignas, TVP prévia, varizes e trombofilia. A duração da cirurgia, tipo de anestesia, imobilidade, desidratação e</w:t>
      </w:r>
      <w:r>
        <w:rPr>
          <w:spacing w:val="-2"/>
        </w:rPr>
        <w:t> </w:t>
      </w:r>
      <w:r>
        <w:rPr/>
        <w:t>sepse</w:t>
      </w:r>
      <w:r>
        <w:rPr>
          <w:spacing w:val="-2"/>
        </w:rPr>
        <w:t> </w:t>
      </w:r>
      <w:r>
        <w:rPr/>
        <w:t>também afetam o risco da</w:t>
      </w:r>
      <w:r>
        <w:rPr>
          <w:spacing w:val="-2"/>
        </w:rPr>
        <w:t> </w:t>
      </w:r>
      <w:r>
        <w:rPr/>
        <w:t>doença</w:t>
      </w:r>
      <w:r>
        <w:rPr>
          <w:spacing w:val="-2"/>
        </w:rPr>
        <w:t> </w:t>
      </w:r>
      <w:r>
        <w:rPr/>
        <w:t>trombótica. Estudos em pacientes cirúrgicos mostram que</w:t>
      </w:r>
      <w:r>
        <w:rPr>
          <w:spacing w:val="-2"/>
        </w:rPr>
        <w:t> </w:t>
      </w:r>
      <w:r>
        <w:rPr/>
        <w:t>o risco de tromboembolismo venoso continua mesmo após a alta hospitalar.</w:t>
      </w:r>
    </w:p>
    <w:p>
      <w:pPr>
        <w:pStyle w:val="BodyText"/>
        <w:spacing w:line="276" w:lineRule="auto" w:before="49"/>
        <w:ind w:right="497"/>
      </w:pPr>
      <w:r>
        <w:rPr/>
        <w:t>De</w:t>
      </w:r>
      <w:r>
        <w:rPr>
          <w:spacing w:val="-11"/>
        </w:rPr>
        <w:t> </w:t>
      </w:r>
      <w:r>
        <w:rPr/>
        <w:t>acordo</w:t>
      </w:r>
      <w:r>
        <w:rPr>
          <w:spacing w:val="-8"/>
        </w:rPr>
        <w:t> </w:t>
      </w:r>
      <w:r>
        <w:rPr/>
        <w:t>com</w:t>
      </w:r>
      <w:r>
        <w:rPr>
          <w:spacing w:val="-8"/>
        </w:rPr>
        <w:t> </w:t>
      </w:r>
      <w:r>
        <w:rPr/>
        <w:t>a</w:t>
      </w:r>
      <w:r>
        <w:rPr>
          <w:spacing w:val="-11"/>
        </w:rPr>
        <w:t> </w:t>
      </w:r>
      <w:r>
        <w:rPr/>
        <w:t>classificação</w:t>
      </w:r>
      <w:r>
        <w:rPr>
          <w:spacing w:val="-8"/>
        </w:rPr>
        <w:t> </w:t>
      </w:r>
      <w:r>
        <w:rPr/>
        <w:t>de</w:t>
      </w:r>
      <w:r>
        <w:rPr>
          <w:spacing w:val="-11"/>
        </w:rPr>
        <w:t> </w:t>
      </w:r>
      <w:r>
        <w:rPr/>
        <w:t>risco, vários métodos, farmacológicos e</w:t>
      </w:r>
      <w:r>
        <w:rPr>
          <w:spacing w:val="-11"/>
        </w:rPr>
        <w:t> </w:t>
      </w:r>
      <w:r>
        <w:rPr/>
        <w:t>mecânicos, podem</w:t>
      </w:r>
      <w:r>
        <w:rPr>
          <w:spacing w:val="-8"/>
        </w:rPr>
        <w:t> </w:t>
      </w:r>
      <w:r>
        <w:rPr/>
        <w:t>ser</w:t>
      </w:r>
      <w:r>
        <w:rPr>
          <w:spacing w:val="-3"/>
        </w:rPr>
        <w:t> </w:t>
      </w:r>
      <w:r>
        <w:rPr/>
        <w:t>utilizados. Nos pacientes de baixo risco (idade &lt; 40 anos, cirurgia de pequeno porte) não há estudos para se recomendar qualquer tipo de recurso farmacológico. Em pacientes de moderado risco (idade &gt; 40 anos, cirurgia maior, sem outros</w:t>
      </w:r>
      <w:r>
        <w:rPr>
          <w:spacing w:val="40"/>
        </w:rPr>
        <w:t> </w:t>
      </w:r>
      <w:r>
        <w:rPr/>
        <w:t>fatores de risco) recomenda-se o uso de heparina não fracionada em baixas doses (5.000 UI, via subcutânea, de 12/12 h) ou HBPM e, como opção alternativa, o uso de</w:t>
      </w:r>
      <w:r>
        <w:rPr>
          <w:spacing w:val="-2"/>
        </w:rPr>
        <w:t> </w:t>
      </w:r>
      <w:r>
        <w:rPr/>
        <w:t>meias elásticas e</w:t>
      </w:r>
      <w:r>
        <w:rPr>
          <w:spacing w:val="-2"/>
        </w:rPr>
        <w:t> </w:t>
      </w:r>
      <w:r>
        <w:rPr/>
        <w:t>compressão pneumática</w:t>
      </w:r>
      <w:r>
        <w:rPr>
          <w:spacing w:val="-2"/>
        </w:rPr>
        <w:t> </w:t>
      </w:r>
      <w:r>
        <w:rPr/>
        <w:t>intermitente. Em pacientes de alto risco (idade &gt; 60 anos, cirurgias maiores e fatores de risco adicionais), efetua-se a associação de terapêutica</w:t>
      </w:r>
      <w:r>
        <w:rPr>
          <w:spacing w:val="-4"/>
        </w:rPr>
        <w:t> </w:t>
      </w:r>
      <w:r>
        <w:rPr/>
        <w:t>farmacológica</w:t>
      </w:r>
      <w:r>
        <w:rPr>
          <w:spacing w:val="-4"/>
        </w:rPr>
        <w:t> </w:t>
      </w:r>
      <w:r>
        <w:rPr/>
        <w:t>com</w:t>
      </w:r>
      <w:r>
        <w:rPr>
          <w:spacing w:val="-1"/>
        </w:rPr>
        <w:t> </w:t>
      </w:r>
      <w:r>
        <w:rPr/>
        <w:t>meias elásticas e</w:t>
      </w:r>
      <w:r>
        <w:rPr>
          <w:spacing w:val="-4"/>
        </w:rPr>
        <w:t> </w:t>
      </w:r>
      <w:r>
        <w:rPr/>
        <w:t>compressão</w:t>
      </w:r>
      <w:r>
        <w:rPr>
          <w:spacing w:val="-1"/>
        </w:rPr>
        <w:t> </w:t>
      </w:r>
      <w:r>
        <w:rPr/>
        <w:t>pneumática</w:t>
      </w:r>
      <w:r>
        <w:rPr>
          <w:spacing w:val="-4"/>
        </w:rPr>
        <w:t> </w:t>
      </w:r>
      <w:r>
        <w:rPr/>
        <w:t>intermitente.</w:t>
      </w:r>
    </w:p>
    <w:p>
      <w:pPr>
        <w:pStyle w:val="BodyText"/>
        <w:spacing w:line="276" w:lineRule="auto"/>
        <w:ind w:right="491"/>
      </w:pPr>
      <w:r>
        <w:rPr/>
        <w:t>A duração da profilaxia deve ser mantida até a deambulação normal do paciente e, em casos especiais, mesmo após a alta hospitalar.</w:t>
      </w:r>
    </w:p>
    <w:p>
      <w:pPr>
        <w:pStyle w:val="BodyText"/>
        <w:spacing w:line="276" w:lineRule="auto" w:before="48"/>
        <w:ind w:right="488"/>
      </w:pPr>
      <w:r>
        <w:rPr/>
        <w:t>A interrupção cirúrgica da veia cava inferior para evitar que coágulos se dirijam ao pulmão é a proposta publicada, em 1868, por Trousseau e durante muito tempo técnicas de ligadura ou “plicatura” da veia cava infrarrenal por meio de cirurgia direta foram utilizadas, com alta morbidade e mortalidade.</w:t>
      </w:r>
    </w:p>
    <w:p>
      <w:pPr>
        <w:pStyle w:val="BodyText"/>
        <w:spacing w:line="276" w:lineRule="auto"/>
        <w:ind w:right="491"/>
      </w:pPr>
      <w:r>
        <w:rPr/>
        <w:t>A partir da década de 1970, foi possível a utilização de dispositivos endovasculares, “os guarda-chuvas” ou “filtros de</w:t>
      </w:r>
      <w:r>
        <w:rPr>
          <w:spacing w:val="-6"/>
        </w:rPr>
        <w:t> </w:t>
      </w:r>
      <w:r>
        <w:rPr/>
        <w:t>cava”, que</w:t>
      </w:r>
      <w:r>
        <w:rPr>
          <w:spacing w:val="-6"/>
        </w:rPr>
        <w:t> </w:t>
      </w:r>
      <w:r>
        <w:rPr/>
        <w:t>podem</w:t>
      </w:r>
      <w:r>
        <w:rPr>
          <w:spacing w:val="-4"/>
        </w:rPr>
        <w:t> </w:t>
      </w:r>
      <w:r>
        <w:rPr/>
        <w:t>ser introduzidos por simples dissecção</w:t>
      </w:r>
      <w:r>
        <w:rPr>
          <w:spacing w:val="-4"/>
        </w:rPr>
        <w:t> </w:t>
      </w:r>
      <w:r>
        <w:rPr/>
        <w:t>ou</w:t>
      </w:r>
      <w:r>
        <w:rPr>
          <w:spacing w:val="-4"/>
        </w:rPr>
        <w:t> </w:t>
      </w:r>
      <w:r>
        <w:rPr/>
        <w:t>mesmo</w:t>
      </w:r>
      <w:r>
        <w:rPr>
          <w:spacing w:val="-4"/>
        </w:rPr>
        <w:t> </w:t>
      </w:r>
      <w:r>
        <w:rPr/>
        <w:t>punção</w:t>
      </w:r>
      <w:r>
        <w:rPr>
          <w:spacing w:val="-4"/>
        </w:rPr>
        <w:t> </w:t>
      </w:r>
      <w:r>
        <w:rPr/>
        <w:t>da</w:t>
      </w:r>
      <w:r>
        <w:rPr>
          <w:spacing w:val="-6"/>
        </w:rPr>
        <w:t> </w:t>
      </w:r>
      <w:r>
        <w:rPr/>
        <w:t>veia</w:t>
      </w:r>
      <w:r>
        <w:rPr>
          <w:spacing w:val="-6"/>
        </w:rPr>
        <w:t> </w:t>
      </w:r>
      <w:r>
        <w:rPr/>
        <w:t>jugular ou</w:t>
      </w:r>
      <w:r>
        <w:rPr>
          <w:spacing w:val="-4"/>
        </w:rPr>
        <w:t> </w:t>
      </w:r>
      <w:r>
        <w:rPr/>
        <w:t>femoral e implantados no interior da</w:t>
      </w:r>
      <w:r>
        <w:rPr>
          <w:spacing w:val="-1"/>
        </w:rPr>
        <w:t> </w:t>
      </w:r>
      <w:r>
        <w:rPr/>
        <w:t>veia</w:t>
      </w:r>
      <w:r>
        <w:rPr>
          <w:spacing w:val="-1"/>
        </w:rPr>
        <w:t> </w:t>
      </w:r>
      <w:r>
        <w:rPr/>
        <w:t>cava</w:t>
      </w:r>
      <w:r>
        <w:rPr>
          <w:spacing w:val="-1"/>
        </w:rPr>
        <w:t> </w:t>
      </w:r>
      <w:r>
        <w:rPr/>
        <w:t>por controle</w:t>
      </w:r>
      <w:r>
        <w:rPr>
          <w:spacing w:val="-1"/>
        </w:rPr>
        <w:t> </w:t>
      </w:r>
      <w:r>
        <w:rPr/>
        <w:t>fluoroscópico, sem a</w:t>
      </w:r>
      <w:r>
        <w:rPr>
          <w:spacing w:val="-1"/>
        </w:rPr>
        <w:t> </w:t>
      </w:r>
      <w:r>
        <w:rPr/>
        <w:t>necessidade</w:t>
      </w:r>
      <w:r>
        <w:rPr>
          <w:spacing w:val="-1"/>
        </w:rPr>
        <w:t> </w:t>
      </w:r>
      <w:r>
        <w:rPr/>
        <w:t>de</w:t>
      </w:r>
      <w:r>
        <w:rPr>
          <w:spacing w:val="-1"/>
        </w:rPr>
        <w:t> </w:t>
      </w:r>
      <w:r>
        <w:rPr/>
        <w:t>abrir o abdome</w:t>
      </w:r>
      <w:r>
        <w:rPr>
          <w:spacing w:val="-1"/>
        </w:rPr>
        <w:t> </w:t>
      </w:r>
      <w:r>
        <w:rPr/>
        <w:t>e</w:t>
      </w:r>
      <w:r>
        <w:rPr>
          <w:spacing w:val="-1"/>
        </w:rPr>
        <w:t> </w:t>
      </w:r>
      <w:r>
        <w:rPr/>
        <w:t>com baixo risco operatório. Os filtros de</w:t>
      </w:r>
      <w:r>
        <w:rPr>
          <w:spacing w:val="-1"/>
        </w:rPr>
        <w:t> </w:t>
      </w:r>
      <w:r>
        <w:rPr/>
        <w:t>veia</w:t>
      </w:r>
      <w:r>
        <w:rPr>
          <w:spacing w:val="-1"/>
        </w:rPr>
        <w:t> </w:t>
      </w:r>
      <w:r>
        <w:rPr/>
        <w:t>cava</w:t>
      </w:r>
      <w:r>
        <w:rPr>
          <w:spacing w:val="-1"/>
        </w:rPr>
        <w:t> </w:t>
      </w:r>
      <w:r>
        <w:rPr/>
        <w:t>capturam os êmbolos venosos sem interrupção do fluxo de</w:t>
      </w:r>
      <w:r>
        <w:rPr>
          <w:spacing w:val="-1"/>
        </w:rPr>
        <w:t> </w:t>
      </w:r>
      <w:r>
        <w:rPr/>
        <w:t>sangue.</w:t>
      </w:r>
    </w:p>
    <w:p>
      <w:pPr>
        <w:pStyle w:val="BodyText"/>
        <w:spacing w:before="64"/>
        <w:ind w:left="414" w:firstLine="0"/>
      </w:pPr>
      <w:r>
        <w:rPr/>
        <w:t>São</w:t>
      </w:r>
      <w:r>
        <w:rPr>
          <w:spacing w:val="-14"/>
        </w:rPr>
        <w:t> </w:t>
      </w:r>
      <w:r>
        <w:rPr/>
        <w:t>indicações</w:t>
      </w:r>
      <w:r>
        <w:rPr>
          <w:spacing w:val="-4"/>
        </w:rPr>
        <w:t> </w:t>
      </w:r>
      <w:r>
        <w:rPr/>
        <w:t>absolutas</w:t>
      </w:r>
      <w:r>
        <w:rPr>
          <w:spacing w:val="-5"/>
        </w:rPr>
        <w:t> </w:t>
      </w:r>
      <w:r>
        <w:rPr/>
        <w:t>da</w:t>
      </w:r>
      <w:r>
        <w:rPr>
          <w:spacing w:val="-14"/>
        </w:rPr>
        <w:t> </w:t>
      </w:r>
      <w:r>
        <w:rPr/>
        <w:t>colocação</w:t>
      </w:r>
      <w:r>
        <w:rPr>
          <w:spacing w:val="-11"/>
        </w:rPr>
        <w:t> </w:t>
      </w:r>
      <w:r>
        <w:rPr/>
        <w:t>de</w:t>
      </w:r>
      <w:r>
        <w:rPr>
          <w:spacing w:val="-14"/>
        </w:rPr>
        <w:t> </w:t>
      </w:r>
      <w:r>
        <w:rPr/>
        <w:t>filtro</w:t>
      </w:r>
      <w:r>
        <w:rPr>
          <w:spacing w:val="-11"/>
        </w:rPr>
        <w:t> </w:t>
      </w:r>
      <w:r>
        <w:rPr/>
        <w:t>de</w:t>
      </w:r>
      <w:r>
        <w:rPr>
          <w:spacing w:val="-14"/>
        </w:rPr>
        <w:t> </w:t>
      </w:r>
      <w:r>
        <w:rPr/>
        <w:t>veia</w:t>
      </w:r>
      <w:r>
        <w:rPr>
          <w:spacing w:val="-14"/>
        </w:rPr>
        <w:t> </w:t>
      </w:r>
      <w:r>
        <w:rPr/>
        <w:t>cava</w:t>
      </w:r>
      <w:r>
        <w:rPr>
          <w:spacing w:val="-13"/>
        </w:rPr>
        <w:t> </w:t>
      </w:r>
      <w:r>
        <w:rPr>
          <w:spacing w:val="-2"/>
        </w:rPr>
        <w:t>inferior:</w:t>
      </w:r>
    </w:p>
    <w:p>
      <w:pPr>
        <w:pStyle w:val="ListParagraph"/>
        <w:numPr>
          <w:ilvl w:val="0"/>
          <w:numId w:val="32"/>
        </w:numPr>
        <w:tabs>
          <w:tab w:pos="397" w:val="left" w:leader="none"/>
        </w:tabs>
        <w:spacing w:line="240" w:lineRule="auto" w:before="200" w:after="0"/>
        <w:ind w:left="397" w:right="0" w:hanging="329"/>
        <w:jc w:val="left"/>
        <w:rPr>
          <w:sz w:val="23"/>
        </w:rPr>
      </w:pPr>
      <w:r>
        <w:rPr>
          <w:spacing w:val="-2"/>
          <w:sz w:val="23"/>
        </w:rPr>
        <w:t>EP na</w:t>
      </w:r>
      <w:r>
        <w:rPr>
          <w:spacing w:val="-6"/>
          <w:sz w:val="23"/>
        </w:rPr>
        <w:t> </w:t>
      </w:r>
      <w:r>
        <w:rPr>
          <w:spacing w:val="-2"/>
          <w:sz w:val="23"/>
        </w:rPr>
        <w:t>vigência</w:t>
      </w:r>
      <w:r>
        <w:rPr>
          <w:spacing w:val="-6"/>
          <w:sz w:val="23"/>
        </w:rPr>
        <w:t> </w:t>
      </w:r>
      <w:r>
        <w:rPr>
          <w:spacing w:val="-2"/>
          <w:sz w:val="23"/>
        </w:rPr>
        <w:t>da</w:t>
      </w:r>
      <w:r>
        <w:rPr>
          <w:spacing w:val="-7"/>
          <w:sz w:val="23"/>
        </w:rPr>
        <w:t> </w:t>
      </w:r>
      <w:r>
        <w:rPr>
          <w:spacing w:val="-2"/>
          <w:sz w:val="23"/>
        </w:rPr>
        <w:t>anticoagulação</w:t>
      </w:r>
      <w:r>
        <w:rPr>
          <w:spacing w:val="-3"/>
          <w:sz w:val="23"/>
        </w:rPr>
        <w:t> </w:t>
      </w:r>
      <w:r>
        <w:rPr>
          <w:spacing w:val="-2"/>
          <w:sz w:val="23"/>
        </w:rPr>
        <w:t>efetiva</w:t>
      </w:r>
    </w:p>
    <w:p>
      <w:pPr>
        <w:pStyle w:val="ListParagraph"/>
        <w:numPr>
          <w:ilvl w:val="0"/>
          <w:numId w:val="32"/>
        </w:numPr>
        <w:tabs>
          <w:tab w:pos="397" w:val="left" w:leader="none"/>
        </w:tabs>
        <w:spacing w:line="240" w:lineRule="auto" w:before="56" w:after="0"/>
        <w:ind w:left="397" w:right="0" w:hanging="329"/>
        <w:jc w:val="left"/>
        <w:rPr>
          <w:sz w:val="23"/>
        </w:rPr>
      </w:pPr>
      <w:r>
        <w:rPr>
          <w:sz w:val="23"/>
        </w:rPr>
        <w:t>EP</w:t>
      </w:r>
      <w:r>
        <w:rPr>
          <w:spacing w:val="-5"/>
          <w:sz w:val="23"/>
        </w:rPr>
        <w:t> </w:t>
      </w:r>
      <w:r>
        <w:rPr>
          <w:sz w:val="23"/>
        </w:rPr>
        <w:t>em</w:t>
      </w:r>
      <w:r>
        <w:rPr>
          <w:spacing w:val="-8"/>
          <w:sz w:val="23"/>
        </w:rPr>
        <w:t> </w:t>
      </w:r>
      <w:r>
        <w:rPr>
          <w:sz w:val="23"/>
        </w:rPr>
        <w:t>pacientes com</w:t>
      </w:r>
      <w:r>
        <w:rPr>
          <w:spacing w:val="-7"/>
          <w:sz w:val="23"/>
        </w:rPr>
        <w:t> </w:t>
      </w:r>
      <w:r>
        <w:rPr>
          <w:sz w:val="23"/>
        </w:rPr>
        <w:t>hemorragia</w:t>
      </w:r>
      <w:r>
        <w:rPr>
          <w:spacing w:val="-10"/>
          <w:sz w:val="23"/>
        </w:rPr>
        <w:t> </w:t>
      </w:r>
      <w:r>
        <w:rPr>
          <w:sz w:val="23"/>
        </w:rPr>
        <w:t>ou</w:t>
      </w:r>
      <w:r>
        <w:rPr>
          <w:spacing w:val="-7"/>
          <w:sz w:val="23"/>
        </w:rPr>
        <w:t> </w:t>
      </w:r>
      <w:r>
        <w:rPr>
          <w:sz w:val="23"/>
        </w:rPr>
        <w:t>com</w:t>
      </w:r>
      <w:r>
        <w:rPr>
          <w:spacing w:val="-8"/>
          <w:sz w:val="23"/>
        </w:rPr>
        <w:t> </w:t>
      </w:r>
      <w:r>
        <w:rPr>
          <w:sz w:val="23"/>
        </w:rPr>
        <w:t>risco</w:t>
      </w:r>
      <w:r>
        <w:rPr>
          <w:spacing w:val="-7"/>
          <w:sz w:val="23"/>
        </w:rPr>
        <w:t> </w:t>
      </w:r>
      <w:r>
        <w:rPr>
          <w:sz w:val="23"/>
        </w:rPr>
        <w:t>em</w:t>
      </w:r>
      <w:r>
        <w:rPr>
          <w:spacing w:val="-7"/>
          <w:sz w:val="23"/>
        </w:rPr>
        <w:t> </w:t>
      </w:r>
      <w:r>
        <w:rPr>
          <w:spacing w:val="-2"/>
          <w:sz w:val="23"/>
        </w:rPr>
        <w:t>potencial.</w:t>
      </w:r>
    </w:p>
    <w:p>
      <w:pPr>
        <w:pStyle w:val="BodyText"/>
        <w:spacing w:before="0"/>
        <w:ind w:left="0" w:firstLine="0"/>
        <w:jc w:val="left"/>
      </w:pPr>
    </w:p>
    <w:p>
      <w:pPr>
        <w:pStyle w:val="BodyText"/>
        <w:spacing w:before="32"/>
        <w:ind w:left="0" w:firstLine="0"/>
        <w:jc w:val="left"/>
      </w:pPr>
    </w:p>
    <w:p>
      <w:pPr>
        <w:pStyle w:val="Heading3"/>
        <w:ind w:left="37"/>
      </w:pPr>
      <w:r>
        <w:rPr>
          <w:color w:val="242B67"/>
        </w:rPr>
        <w:t>Sequela</w:t>
      </w:r>
      <w:r>
        <w:rPr>
          <w:color w:val="242B67"/>
          <w:spacing w:val="13"/>
        </w:rPr>
        <w:t> </w:t>
      </w:r>
      <w:r>
        <w:rPr>
          <w:color w:val="242B67"/>
        </w:rPr>
        <w:t>de</w:t>
      </w:r>
      <w:r>
        <w:rPr>
          <w:color w:val="242B67"/>
          <w:spacing w:val="14"/>
        </w:rPr>
        <w:t> </w:t>
      </w:r>
      <w:r>
        <w:rPr>
          <w:color w:val="242B67"/>
        </w:rPr>
        <w:t>Trombose</w:t>
      </w:r>
      <w:r>
        <w:rPr>
          <w:color w:val="242B67"/>
          <w:spacing w:val="13"/>
        </w:rPr>
        <w:t> </w:t>
      </w:r>
      <w:r>
        <w:rPr>
          <w:color w:val="242B67"/>
        </w:rPr>
        <w:t>Venosa</w:t>
      </w:r>
      <w:r>
        <w:rPr>
          <w:color w:val="242B67"/>
          <w:spacing w:val="14"/>
        </w:rPr>
        <w:t> </w:t>
      </w:r>
      <w:r>
        <w:rPr>
          <w:color w:val="242B67"/>
          <w:spacing w:val="-2"/>
        </w:rPr>
        <w:t>Profunda</w:t>
      </w:r>
    </w:p>
    <w:p>
      <w:pPr>
        <w:pStyle w:val="BodyText"/>
        <w:spacing w:before="0"/>
        <w:ind w:left="0" w:firstLine="0"/>
        <w:jc w:val="left"/>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630336">
                <wp:simplePos x="0" y="0"/>
                <wp:positionH relativeFrom="page">
                  <wp:posOffset>401543</wp:posOffset>
                </wp:positionH>
                <wp:positionV relativeFrom="paragraph">
                  <wp:posOffset>51189</wp:posOffset>
                </wp:positionV>
                <wp:extent cx="6753225" cy="1079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30697pt;width:531.731217pt;height:.8008pt;mso-position-horizontal-relative:page;mso-position-vertical-relative:paragraph;z-index:-15686144;mso-wrap-distance-left:0;mso-wrap-distance-right:0" id="docshape52" filled="true" fillcolor="#242b67" stroked="false">
                <v:fill type="solid"/>
                <w10:wrap type="topAndBottom"/>
              </v:rect>
            </w:pict>
          </mc:Fallback>
        </mc:AlternateContent>
      </w:r>
    </w:p>
    <w:p>
      <w:pPr>
        <w:spacing w:before="118"/>
        <w:ind w:left="68" w:right="0" w:firstLine="0"/>
        <w:jc w:val="both"/>
        <w:rPr>
          <w:rFonts w:ascii="Arial"/>
          <w:i/>
          <w:sz w:val="25"/>
        </w:rPr>
      </w:pPr>
      <w:r>
        <w:rPr>
          <w:rFonts w:ascii="Arial"/>
          <w:i/>
          <w:sz w:val="25"/>
        </w:rPr>
        <w:t>Baptista</w:t>
      </w:r>
      <w:r>
        <w:rPr>
          <w:rFonts w:ascii="Arial"/>
          <w:i/>
          <w:spacing w:val="13"/>
          <w:sz w:val="25"/>
        </w:rPr>
        <w:t> </w:t>
      </w:r>
      <w:r>
        <w:rPr>
          <w:rFonts w:ascii="Arial"/>
          <w:i/>
          <w:sz w:val="25"/>
        </w:rPr>
        <w:t>Muraco</w:t>
      </w:r>
      <w:r>
        <w:rPr>
          <w:rFonts w:ascii="Arial"/>
          <w:i/>
          <w:spacing w:val="13"/>
          <w:sz w:val="25"/>
        </w:rPr>
        <w:t> </w:t>
      </w:r>
      <w:r>
        <w:rPr>
          <w:rFonts w:ascii="Arial"/>
          <w:i/>
          <w:sz w:val="25"/>
        </w:rPr>
        <w:t>Netto</w:t>
      </w:r>
      <w:r>
        <w:rPr>
          <w:rFonts w:ascii="Arial"/>
          <w:i/>
          <w:spacing w:val="14"/>
          <w:sz w:val="25"/>
        </w:rPr>
        <w:t> </w:t>
      </w:r>
      <w:r>
        <w:rPr>
          <w:rFonts w:ascii="Arial"/>
          <w:i/>
          <w:sz w:val="25"/>
        </w:rPr>
        <w:t>e</w:t>
      </w:r>
      <w:r>
        <w:rPr>
          <w:rFonts w:ascii="Arial"/>
          <w:i/>
          <w:spacing w:val="13"/>
          <w:sz w:val="25"/>
        </w:rPr>
        <w:t> </w:t>
      </w:r>
      <w:r>
        <w:rPr>
          <w:rFonts w:ascii="Arial"/>
          <w:i/>
          <w:sz w:val="25"/>
        </w:rPr>
        <w:t>Paulo</w:t>
      </w:r>
      <w:r>
        <w:rPr>
          <w:rFonts w:ascii="Arial"/>
          <w:i/>
          <w:spacing w:val="14"/>
          <w:sz w:val="25"/>
        </w:rPr>
        <w:t> </w:t>
      </w:r>
      <w:r>
        <w:rPr>
          <w:rFonts w:ascii="Arial"/>
          <w:i/>
          <w:spacing w:val="-2"/>
          <w:sz w:val="25"/>
        </w:rPr>
        <w:t>Kauffman</w:t>
      </w:r>
    </w:p>
    <w:p>
      <w:pPr>
        <w:pStyle w:val="BodyText"/>
        <w:spacing w:before="198"/>
        <w:ind w:left="0" w:firstLine="0"/>
        <w:jc w:val="left"/>
        <w:rPr>
          <w:rFonts w:ascii="Arial"/>
          <w:i/>
          <w:sz w:val="25"/>
        </w:rPr>
      </w:pPr>
    </w:p>
    <w:p>
      <w:pPr>
        <w:pStyle w:val="Heading4"/>
      </w:pPr>
      <w:r>
        <w:rPr>
          <w:color w:val="242B67"/>
          <w:spacing w:val="-2"/>
        </w:rPr>
        <w:t>Introdução</w:t>
      </w:r>
    </w:p>
    <w:p>
      <w:pPr>
        <w:pStyle w:val="BodyText"/>
        <w:spacing w:line="276" w:lineRule="auto" w:before="132"/>
        <w:ind w:right="487"/>
      </w:pPr>
      <w:r>
        <w:rPr/>
        <w:t>A sequela da trombose venosa profunda (STVP), também conhecida como síndrome pós-flebítica ou síndrome pós-trombótica, é condição patológica na qual distúrbios funcionais do retorno venoso do sangue dos membros inferiores determinam a sintomatologia e as lesões tróficas características que a situam dentro de um grupo de doenças que compõem a síndrome de hipertensão venosa crônica (</w:t>
      </w:r>
      <w:r>
        <w:rPr>
          <w:color w:val="505050"/>
        </w:rPr>
        <w:t>Figura 59.33</w:t>
      </w:r>
      <w:r>
        <w:rPr/>
        <w:t>).</w:t>
      </w:r>
    </w:p>
    <w:p>
      <w:pPr>
        <w:pStyle w:val="BodyText"/>
        <w:spacing w:line="276" w:lineRule="auto"/>
        <w:ind w:right="487"/>
      </w:pPr>
      <w:r>
        <w:rPr/>
        <w:t>A</w:t>
      </w:r>
      <w:r>
        <w:rPr>
          <w:spacing w:val="-12"/>
        </w:rPr>
        <w:t> </w:t>
      </w:r>
      <w:r>
        <w:rPr/>
        <w:t>STVP</w:t>
      </w:r>
      <w:r>
        <w:rPr>
          <w:spacing w:val="-7"/>
        </w:rPr>
        <w:t> </w:t>
      </w:r>
      <w:r>
        <w:rPr/>
        <w:t>acomete</w:t>
      </w:r>
      <w:r>
        <w:rPr>
          <w:spacing w:val="-12"/>
        </w:rPr>
        <w:t> </w:t>
      </w:r>
      <w:r>
        <w:rPr/>
        <w:t>pessoas</w:t>
      </w:r>
      <w:r>
        <w:rPr>
          <w:spacing w:val="-2"/>
        </w:rPr>
        <w:t> </w:t>
      </w:r>
      <w:r>
        <w:rPr/>
        <w:t>de</w:t>
      </w:r>
      <w:r>
        <w:rPr>
          <w:spacing w:val="-12"/>
        </w:rPr>
        <w:t> </w:t>
      </w:r>
      <w:r>
        <w:rPr/>
        <w:t>diferentes</w:t>
      </w:r>
      <w:r>
        <w:rPr>
          <w:spacing w:val="-2"/>
        </w:rPr>
        <w:t> </w:t>
      </w:r>
      <w:r>
        <w:rPr/>
        <w:t>faixas</w:t>
      </w:r>
      <w:r>
        <w:rPr>
          <w:spacing w:val="-2"/>
        </w:rPr>
        <w:t> </w:t>
      </w:r>
      <w:r>
        <w:rPr/>
        <w:t>etárias,</w:t>
      </w:r>
      <w:r>
        <w:rPr>
          <w:spacing w:val="-2"/>
        </w:rPr>
        <w:t> </w:t>
      </w:r>
      <w:r>
        <w:rPr/>
        <w:t>podendo</w:t>
      </w:r>
      <w:r>
        <w:rPr>
          <w:spacing w:val="-10"/>
        </w:rPr>
        <w:t> </w:t>
      </w:r>
      <w:r>
        <w:rPr/>
        <w:t>produzir</w:t>
      </w:r>
      <w:r>
        <w:rPr>
          <w:spacing w:val="-4"/>
        </w:rPr>
        <w:t> </w:t>
      </w:r>
      <w:r>
        <w:rPr/>
        <w:t>complicações</w:t>
      </w:r>
      <w:r>
        <w:rPr>
          <w:spacing w:val="-2"/>
        </w:rPr>
        <w:t> </w:t>
      </w:r>
      <w:r>
        <w:rPr/>
        <w:t>estéticas</w:t>
      </w:r>
      <w:r>
        <w:rPr>
          <w:spacing w:val="-2"/>
        </w:rPr>
        <w:t> </w:t>
      </w:r>
      <w:r>
        <w:rPr/>
        <w:t>e</w:t>
      </w:r>
      <w:r>
        <w:rPr>
          <w:spacing w:val="-12"/>
        </w:rPr>
        <w:t> </w:t>
      </w:r>
      <w:r>
        <w:rPr/>
        <w:t>funcionais</w:t>
      </w:r>
      <w:r>
        <w:rPr>
          <w:spacing w:val="-2"/>
        </w:rPr>
        <w:t> </w:t>
      </w:r>
      <w:r>
        <w:rPr/>
        <w:t>que evoluem lentamente, estendendo-se ao longo dos anos. Além do edema e aumento de volume do membro acometido, podem surgir lesões cutâneas típicas, como fibrose do tecido celular subcutâneo e hiperpigmentação, além de</w:t>
      </w:r>
      <w:r>
        <w:rPr>
          <w:spacing w:val="-1"/>
        </w:rPr>
        <w:t> </w:t>
      </w:r>
      <w:r>
        <w:rPr/>
        <w:t>úlceras que</w:t>
      </w:r>
      <w:r>
        <w:rPr>
          <w:spacing w:val="-1"/>
        </w:rPr>
        <w:t> </w:t>
      </w:r>
      <w:r>
        <w:rPr/>
        <w:t>recidivam com frequência; as sequelas cutâneas e</w:t>
      </w:r>
      <w:r>
        <w:rPr>
          <w:spacing w:val="-1"/>
        </w:rPr>
        <w:t> </w:t>
      </w:r>
      <w:r>
        <w:rPr/>
        <w:t>funcionais, mesmo com a</w:t>
      </w:r>
      <w:r>
        <w:rPr>
          <w:spacing w:val="-1"/>
        </w:rPr>
        <w:t> </w:t>
      </w:r>
      <w:r>
        <w:rPr/>
        <w:t>cura</w:t>
      </w:r>
      <w:r>
        <w:rPr>
          <w:spacing w:val="-1"/>
        </w:rPr>
        <w:t> </w:t>
      </w:r>
      <w:r>
        <w:rPr/>
        <w:t>da</w:t>
      </w:r>
      <w:r>
        <w:rPr>
          <w:spacing w:val="-1"/>
        </w:rPr>
        <w:t> </w:t>
      </w:r>
      <w:r>
        <w:rPr/>
        <w:t>lesão, são definitivas. No membro superior, as tromboses e</w:t>
      </w:r>
      <w:r>
        <w:rPr>
          <w:spacing w:val="-1"/>
        </w:rPr>
        <w:t> </w:t>
      </w:r>
      <w:r>
        <w:rPr/>
        <w:t>sequelas são muito pouco frequentes e</w:t>
      </w:r>
      <w:r>
        <w:rPr>
          <w:spacing w:val="-1"/>
        </w:rPr>
        <w:t> </w:t>
      </w:r>
      <w:r>
        <w:rPr/>
        <w:t>geralmente</w:t>
      </w:r>
      <w:r>
        <w:rPr>
          <w:spacing w:val="-1"/>
        </w:rPr>
        <w:t> </w:t>
      </w:r>
      <w:r>
        <w:rPr/>
        <w:t>se</w:t>
      </w:r>
      <w:r>
        <w:rPr>
          <w:spacing w:val="-1"/>
        </w:rPr>
        <w:t> </w:t>
      </w:r>
      <w:r>
        <w:rPr/>
        <w:t>manifestam de maneira crônica por aumento de volume do membro. Uma série de publicações mostra as horas de serviço perdidas, as faltas ao trabalho e mesmo a aposentadoria de indivíduos jovens em uma fase precoce e produtiva da </w:t>
      </w:r>
      <w:r>
        <w:rPr>
          <w:spacing w:val="-2"/>
        </w:rPr>
        <w:t>vida.</w:t>
      </w:r>
    </w:p>
    <w:p>
      <w:pPr>
        <w:pStyle w:val="BodyText"/>
        <w:spacing w:after="0" w:line="276" w:lineRule="auto"/>
        <w:sectPr>
          <w:pgSz w:w="11900" w:h="16840"/>
          <w:pgMar w:top="140" w:bottom="280" w:left="566" w:right="141"/>
        </w:sectPr>
      </w:pPr>
    </w:p>
    <w:p>
      <w:pPr>
        <w:spacing w:line="240" w:lineRule="auto"/>
        <w:ind w:left="3461" w:right="0" w:firstLine="0"/>
        <w:rPr>
          <w:sz w:val="20"/>
        </w:rPr>
      </w:pPr>
      <w:r>
        <w:rPr>
          <w:sz w:val="20"/>
        </w:rPr>
        <w:drawing>
          <wp:inline distT="0" distB="0" distL="0" distR="0">
            <wp:extent cx="2446011" cy="3770947"/>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67" cstate="print"/>
                    <a:stretch>
                      <a:fillRect/>
                    </a:stretch>
                  </pic:blipFill>
                  <pic:spPr>
                    <a:xfrm>
                      <a:off x="0" y="0"/>
                      <a:ext cx="2446011" cy="3770947"/>
                    </a:xfrm>
                    <a:prstGeom prst="rect">
                      <a:avLst/>
                    </a:prstGeom>
                  </pic:spPr>
                </pic:pic>
              </a:graphicData>
            </a:graphic>
          </wp:inline>
        </w:drawing>
      </w:r>
      <w:r>
        <w:rPr>
          <w:sz w:val="20"/>
        </w:rPr>
      </w:r>
    </w:p>
    <w:p>
      <w:pPr>
        <w:spacing w:line="285" w:lineRule="auto" w:before="195"/>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30"/>
          <w:sz w:val="19"/>
        </w:rPr>
        <w:t> </w:t>
      </w:r>
      <w:r>
        <w:rPr>
          <w:rFonts w:ascii="Arial" w:hAnsi="Arial"/>
          <w:b/>
          <w:color w:val="242B67"/>
          <w:sz w:val="19"/>
        </w:rPr>
        <w:t>59.33</w:t>
      </w:r>
      <w:r>
        <w:rPr>
          <w:rFonts w:ascii="Arial" w:hAnsi="Arial"/>
          <w:b/>
          <w:color w:val="242B67"/>
          <w:spacing w:val="40"/>
          <w:sz w:val="19"/>
        </w:rPr>
        <w:t> </w:t>
      </w:r>
      <w:r>
        <w:rPr>
          <w:rFonts w:ascii="Microsoft Sans Serif" w:hAnsi="Microsoft Sans Serif"/>
          <w:sz w:val="19"/>
        </w:rPr>
        <w:t>Sequela</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trombose</w:t>
      </w:r>
      <w:r>
        <w:rPr>
          <w:rFonts w:ascii="Microsoft Sans Serif" w:hAnsi="Microsoft Sans Serif"/>
          <w:spacing w:val="40"/>
          <w:sz w:val="19"/>
        </w:rPr>
        <w:t> </w:t>
      </w:r>
      <w:r>
        <w:rPr>
          <w:rFonts w:ascii="Microsoft Sans Serif" w:hAnsi="Microsoft Sans Serif"/>
          <w:sz w:val="19"/>
        </w:rPr>
        <w:t>venosa</w:t>
      </w:r>
      <w:r>
        <w:rPr>
          <w:rFonts w:ascii="Microsoft Sans Serif" w:hAnsi="Microsoft Sans Serif"/>
          <w:spacing w:val="40"/>
          <w:sz w:val="19"/>
        </w:rPr>
        <w:t> </w:t>
      </w:r>
      <w:r>
        <w:rPr>
          <w:rFonts w:ascii="Microsoft Sans Serif" w:hAnsi="Microsoft Sans Serif"/>
          <w:sz w:val="19"/>
        </w:rPr>
        <w:t>profunda</w:t>
      </w:r>
      <w:r>
        <w:rPr>
          <w:rFonts w:ascii="Microsoft Sans Serif" w:hAnsi="Microsoft Sans Serif"/>
          <w:spacing w:val="40"/>
          <w:sz w:val="19"/>
        </w:rPr>
        <w:t> </w:t>
      </w:r>
      <w:r>
        <w:rPr>
          <w:rFonts w:ascii="Microsoft Sans Serif" w:hAnsi="Microsoft Sans Serif"/>
          <w:sz w:val="19"/>
        </w:rPr>
        <w:t>com</w:t>
      </w:r>
      <w:r>
        <w:rPr>
          <w:rFonts w:ascii="Microsoft Sans Serif" w:hAnsi="Microsoft Sans Serif"/>
          <w:spacing w:val="40"/>
          <w:sz w:val="19"/>
        </w:rPr>
        <w:t> </w:t>
      </w:r>
      <w:r>
        <w:rPr>
          <w:rFonts w:ascii="Microsoft Sans Serif" w:hAnsi="Microsoft Sans Serif"/>
          <w:sz w:val="19"/>
        </w:rPr>
        <w:t>8</w:t>
      </w:r>
      <w:r>
        <w:rPr>
          <w:rFonts w:ascii="Microsoft Sans Serif" w:hAnsi="Microsoft Sans Serif"/>
          <w:spacing w:val="40"/>
          <w:sz w:val="19"/>
        </w:rPr>
        <w:t> </w:t>
      </w:r>
      <w:r>
        <w:rPr>
          <w:rFonts w:ascii="Microsoft Sans Serif" w:hAnsi="Microsoft Sans Serif"/>
          <w:sz w:val="19"/>
        </w:rPr>
        <w:t>anos</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evolução.</w:t>
      </w:r>
      <w:r>
        <w:rPr>
          <w:rFonts w:ascii="Microsoft Sans Serif" w:hAnsi="Microsoft Sans Serif"/>
          <w:spacing w:val="37"/>
          <w:sz w:val="19"/>
        </w:rPr>
        <w:t> </w:t>
      </w:r>
      <w:r>
        <w:rPr>
          <w:rFonts w:ascii="Microsoft Sans Serif" w:hAnsi="Microsoft Sans Serif"/>
          <w:sz w:val="19"/>
        </w:rPr>
        <w:t>Aumento</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volume,</w:t>
      </w:r>
      <w:r>
        <w:rPr>
          <w:rFonts w:ascii="Microsoft Sans Serif" w:hAnsi="Microsoft Sans Serif"/>
          <w:spacing w:val="37"/>
          <w:sz w:val="19"/>
        </w:rPr>
        <w:t> </w:t>
      </w:r>
      <w:r>
        <w:rPr>
          <w:rFonts w:ascii="Microsoft Sans Serif" w:hAnsi="Microsoft Sans Serif"/>
          <w:sz w:val="19"/>
        </w:rPr>
        <w:t>dermatofibrose</w:t>
      </w:r>
      <w:r>
        <w:rPr>
          <w:rFonts w:ascii="Microsoft Sans Serif" w:hAnsi="Microsoft Sans Serif"/>
          <w:spacing w:val="40"/>
          <w:sz w:val="19"/>
        </w:rPr>
        <w:t> </w:t>
      </w:r>
      <w:r>
        <w:rPr>
          <w:rFonts w:ascii="Microsoft Sans Serif" w:hAnsi="Microsoft Sans Serif"/>
          <w:sz w:val="19"/>
        </w:rPr>
        <w:t>e pigmentação, edema de parte distal da perna e do pé e úlcera.</w:t>
      </w:r>
    </w:p>
    <w:p>
      <w:pPr>
        <w:pStyle w:val="BodyText"/>
        <w:spacing w:before="0"/>
        <w:ind w:left="0" w:firstLine="0"/>
        <w:jc w:val="left"/>
        <w:rPr>
          <w:rFonts w:ascii="Microsoft Sans Serif"/>
          <w:sz w:val="19"/>
        </w:rPr>
      </w:pPr>
    </w:p>
    <w:p>
      <w:pPr>
        <w:pStyle w:val="BodyText"/>
        <w:spacing w:before="12"/>
        <w:ind w:left="0" w:firstLine="0"/>
        <w:jc w:val="left"/>
        <w:rPr>
          <w:rFonts w:ascii="Microsoft Sans Serif"/>
          <w:sz w:val="19"/>
        </w:rPr>
      </w:pPr>
    </w:p>
    <w:p>
      <w:pPr>
        <w:pStyle w:val="Heading4"/>
      </w:pPr>
      <w:r>
        <w:rPr>
          <w:color w:val="242B67"/>
        </w:rPr>
        <w:t>Incidência e </w:t>
      </w:r>
      <w:r>
        <w:rPr>
          <w:color w:val="242B67"/>
          <w:spacing w:val="-2"/>
        </w:rPr>
        <w:t>prevalência</w:t>
      </w:r>
    </w:p>
    <w:p>
      <w:pPr>
        <w:pStyle w:val="BodyText"/>
        <w:spacing w:line="280" w:lineRule="auto" w:before="164"/>
        <w:ind w:right="487"/>
      </w:pPr>
      <w:r>
        <w:rPr/>
        <w:t>Um em cada 1.000 doentes tem trombose venosa profunda aguda, segundo Goldhaber</w:t>
      </w:r>
      <w:r>
        <w:rPr>
          <w:vertAlign w:val="superscript"/>
        </w:rPr>
        <w:t>24</w:t>
      </w:r>
      <w:r>
        <w:rPr>
          <w:vertAlign w:val="baseline"/>
        </w:rPr>
        <w:t> e Anderson e Wheeler.</w:t>
      </w:r>
      <w:r>
        <w:rPr>
          <w:vertAlign w:val="superscript"/>
        </w:rPr>
        <w:t>25</w:t>
      </w:r>
      <w:r>
        <w:rPr>
          <w:vertAlign w:val="baseline"/>
        </w:rPr>
        <w:t> Suas complicações são a EP na fase aguda e a sequela na crônica; sua incidência e prevalência são de difícil</w:t>
      </w:r>
      <w:r>
        <w:rPr>
          <w:spacing w:val="-1"/>
          <w:vertAlign w:val="baseline"/>
        </w:rPr>
        <w:t> </w:t>
      </w:r>
      <w:r>
        <w:rPr>
          <w:vertAlign w:val="baseline"/>
        </w:rPr>
        <w:t>avaliação</w:t>
      </w:r>
      <w:r>
        <w:rPr>
          <w:spacing w:val="-3"/>
          <w:vertAlign w:val="baseline"/>
        </w:rPr>
        <w:t> </w:t>
      </w:r>
      <w:r>
        <w:rPr>
          <w:vertAlign w:val="baseline"/>
        </w:rPr>
        <w:t>e</w:t>
      </w:r>
      <w:r>
        <w:rPr>
          <w:spacing w:val="-6"/>
          <w:vertAlign w:val="baseline"/>
        </w:rPr>
        <w:t> </w:t>
      </w:r>
      <w:r>
        <w:rPr>
          <w:vertAlign w:val="baseline"/>
        </w:rPr>
        <w:t>as discrepâncias observadas justificam-se</w:t>
      </w:r>
      <w:r>
        <w:rPr>
          <w:spacing w:val="-6"/>
          <w:vertAlign w:val="baseline"/>
        </w:rPr>
        <w:t> </w:t>
      </w:r>
      <w:r>
        <w:rPr>
          <w:vertAlign w:val="baseline"/>
        </w:rPr>
        <w:t>pela</w:t>
      </w:r>
      <w:r>
        <w:rPr>
          <w:spacing w:val="-6"/>
          <w:vertAlign w:val="baseline"/>
        </w:rPr>
        <w:t> </w:t>
      </w:r>
      <w:r>
        <w:rPr>
          <w:vertAlign w:val="baseline"/>
        </w:rPr>
        <w:t>dificuldade</w:t>
      </w:r>
      <w:r>
        <w:rPr>
          <w:spacing w:val="-6"/>
          <w:vertAlign w:val="baseline"/>
        </w:rPr>
        <w:t> </w:t>
      </w:r>
      <w:r>
        <w:rPr>
          <w:vertAlign w:val="baseline"/>
        </w:rPr>
        <w:t>de</w:t>
      </w:r>
      <w:r>
        <w:rPr>
          <w:spacing w:val="-6"/>
          <w:vertAlign w:val="baseline"/>
        </w:rPr>
        <w:t> </w:t>
      </w:r>
      <w:r>
        <w:rPr>
          <w:vertAlign w:val="baseline"/>
        </w:rPr>
        <w:t>tratar e</w:t>
      </w:r>
      <w:r>
        <w:rPr>
          <w:spacing w:val="-6"/>
          <w:vertAlign w:val="baseline"/>
        </w:rPr>
        <w:t> </w:t>
      </w:r>
      <w:r>
        <w:rPr>
          <w:vertAlign w:val="baseline"/>
        </w:rPr>
        <w:t>acompanhar séries de</w:t>
      </w:r>
      <w:r>
        <w:rPr>
          <w:spacing w:val="-6"/>
          <w:vertAlign w:val="baseline"/>
        </w:rPr>
        <w:t> </w:t>
      </w:r>
      <w:r>
        <w:rPr>
          <w:vertAlign w:val="baseline"/>
        </w:rPr>
        <w:t>casos por longos períodos.</w:t>
      </w:r>
    </w:p>
    <w:p>
      <w:pPr>
        <w:pStyle w:val="BodyText"/>
        <w:spacing w:line="280" w:lineRule="auto" w:before="43"/>
        <w:ind w:right="497"/>
      </w:pPr>
      <w:r>
        <w:rPr/>
        <w:t>A longo prazo, em alguns doentes desenvolvem-se importantes sequelas. Norgren, em um grupo de pacientes analisados, observou 67% com dor e edema, 23% com pigmentação e 3% com úlcera de perna.</w:t>
      </w:r>
      <w:r>
        <w:rPr>
          <w:vertAlign w:val="superscript"/>
        </w:rPr>
        <w:t>26</w:t>
      </w:r>
      <w:r>
        <w:rPr>
          <w:vertAlign w:val="baseline"/>
        </w:rPr>
        <w:t> Heldal </w:t>
      </w:r>
      <w:r>
        <w:rPr>
          <w:i/>
          <w:vertAlign w:val="baseline"/>
        </w:rPr>
        <w:t>et al. </w:t>
      </w:r>
      <w:r>
        <w:rPr>
          <w:vertAlign w:val="baseline"/>
        </w:rPr>
        <w:t>estudaram a</w:t>
      </w:r>
      <w:r>
        <w:rPr>
          <w:spacing w:val="-3"/>
          <w:vertAlign w:val="baseline"/>
        </w:rPr>
        <w:t> </w:t>
      </w:r>
      <w:r>
        <w:rPr>
          <w:vertAlign w:val="baseline"/>
        </w:rPr>
        <w:t>evolução dessa</w:t>
      </w:r>
      <w:r>
        <w:rPr>
          <w:spacing w:val="-3"/>
          <w:vertAlign w:val="baseline"/>
        </w:rPr>
        <w:t> </w:t>
      </w:r>
      <w:r>
        <w:rPr>
          <w:vertAlign w:val="baseline"/>
        </w:rPr>
        <w:t>patologia, em 76 pacientes, com seguimento médio de</w:t>
      </w:r>
      <w:r>
        <w:rPr>
          <w:spacing w:val="-3"/>
          <w:vertAlign w:val="baseline"/>
        </w:rPr>
        <w:t> </w:t>
      </w:r>
      <w:r>
        <w:rPr>
          <w:vertAlign w:val="baseline"/>
        </w:rPr>
        <w:t>7,5 anos; 41 morreram e</w:t>
      </w:r>
      <w:r>
        <w:rPr>
          <w:spacing w:val="-3"/>
          <w:vertAlign w:val="baseline"/>
        </w:rPr>
        <w:t> </w:t>
      </w:r>
      <w:r>
        <w:rPr>
          <w:vertAlign w:val="baseline"/>
        </w:rPr>
        <w:t>apenas 25 foram seguidos. Desses, 42% tiveram sintomas, e a metade, 21%, teve problemas graves. Com a utilização do Doppler, 82% mostravam evidências de trombose venosa aguda no passado. Os sintomas tiveram a mesma frequência</w:t>
      </w:r>
      <w:r>
        <w:rPr>
          <w:spacing w:val="-1"/>
          <w:vertAlign w:val="baseline"/>
        </w:rPr>
        <w:t> </w:t>
      </w:r>
      <w:r>
        <w:rPr>
          <w:vertAlign w:val="baseline"/>
        </w:rPr>
        <w:t>nas obstruções proximais ou distais, mas as complicações predominaram nas oclusões mais distais. No membro contralateral, que serviu de controle, não se detectou qualquer sinal ou sintoma de trombose.</w:t>
      </w:r>
      <w:r>
        <w:rPr>
          <w:vertAlign w:val="superscript"/>
        </w:rPr>
        <w:t>27</w:t>
      </w:r>
    </w:p>
    <w:p>
      <w:pPr>
        <w:pStyle w:val="BodyText"/>
        <w:spacing w:line="280" w:lineRule="auto" w:before="61"/>
        <w:ind w:right="497"/>
      </w:pPr>
      <w:r>
        <w:rPr/>
        <w:t>As úlceras de estase venosa crônica representam a mais importante e característica complicação da doença e, como o seu mecanismo fisiopatológico de lesão tecidual é semelhante ao das úlceras das varizes primárias, são estudadas em</w:t>
      </w:r>
      <w:r>
        <w:rPr>
          <w:spacing w:val="-8"/>
        </w:rPr>
        <w:t> </w:t>
      </w:r>
      <w:r>
        <w:rPr/>
        <w:t>conjunto</w:t>
      </w:r>
      <w:r>
        <w:rPr>
          <w:spacing w:val="-8"/>
        </w:rPr>
        <w:t> </w:t>
      </w:r>
      <w:r>
        <w:rPr/>
        <w:t>e</w:t>
      </w:r>
      <w:r>
        <w:rPr>
          <w:spacing w:val="-11"/>
        </w:rPr>
        <w:t> </w:t>
      </w:r>
      <w:r>
        <w:rPr/>
        <w:t>representam</w:t>
      </w:r>
      <w:r>
        <w:rPr>
          <w:spacing w:val="-8"/>
        </w:rPr>
        <w:t> </w:t>
      </w:r>
      <w:r>
        <w:rPr/>
        <w:t>73%</w:t>
      </w:r>
      <w:r>
        <w:rPr>
          <w:spacing w:val="-6"/>
        </w:rPr>
        <w:t> </w:t>
      </w:r>
      <w:r>
        <w:rPr/>
        <w:t>das úlceras dos membros inferiores;</w:t>
      </w:r>
      <w:r>
        <w:rPr>
          <w:spacing w:val="-6"/>
        </w:rPr>
        <w:t> </w:t>
      </w:r>
      <w:r>
        <w:rPr/>
        <w:t>segundo</w:t>
      </w:r>
      <w:r>
        <w:rPr>
          <w:spacing w:val="-8"/>
        </w:rPr>
        <w:t> </w:t>
      </w:r>
      <w:r>
        <w:rPr/>
        <w:t>Nelzén</w:t>
      </w:r>
      <w:r>
        <w:rPr>
          <w:spacing w:val="-8"/>
        </w:rPr>
        <w:t> </w:t>
      </w:r>
      <w:r>
        <w:rPr>
          <w:i/>
        </w:rPr>
        <w:t>et</w:t>
      </w:r>
      <w:r>
        <w:rPr>
          <w:i/>
          <w:spacing w:val="-7"/>
        </w:rPr>
        <w:t> </w:t>
      </w:r>
      <w:r>
        <w:rPr>
          <w:i/>
        </w:rPr>
        <w:t>al.</w:t>
      </w:r>
      <w:r>
        <w:rPr/>
        <w:t>,</w:t>
      </w:r>
      <w:r>
        <w:rPr>
          <w:spacing w:val="-2"/>
        </w:rPr>
        <w:t> </w:t>
      </w:r>
      <w:r>
        <w:rPr/>
        <w:t>a</w:t>
      </w:r>
      <w:r>
        <w:rPr>
          <w:spacing w:val="-12"/>
        </w:rPr>
        <w:t> </w:t>
      </w:r>
      <w:r>
        <w:rPr/>
        <w:t>prevalência efetiva dessas lesões é variável, mas gira em torno de 0,3% em uma população acima dos 18 anos; quando consideramos feridas abertas e cicatrizadas, essa taxa sobe para 1%.</w:t>
      </w:r>
      <w:r>
        <w:rPr>
          <w:vertAlign w:val="superscript"/>
        </w:rPr>
        <w:t>28</w:t>
      </w:r>
      <w:r>
        <w:rPr>
          <w:vertAlign w:val="baseline"/>
        </w:rPr>
        <w:t> Os trabalhos sobre incidência de úlceras venosas são poucos. Em Basle, após 11 anos de seguimento, observou-se 0,2% de incidência anual em indivíduos que não tinham varizes.</w:t>
      </w:r>
      <w:r>
        <w:rPr>
          <w:vertAlign w:val="superscript"/>
        </w:rPr>
        <w:t>29</w:t>
      </w:r>
    </w:p>
    <w:p>
      <w:pPr>
        <w:pStyle w:val="BodyText"/>
        <w:spacing w:before="181"/>
        <w:ind w:left="0" w:firstLine="0"/>
        <w:jc w:val="left"/>
      </w:pPr>
    </w:p>
    <w:p>
      <w:pPr>
        <w:pStyle w:val="Heading4"/>
      </w:pPr>
      <w:r>
        <w:rPr>
          <w:color w:val="242B67"/>
          <w:spacing w:val="-2"/>
        </w:rPr>
        <w:t>Fisiopatologia</w:t>
      </w:r>
    </w:p>
    <w:p>
      <w:pPr>
        <w:pStyle w:val="BodyText"/>
        <w:spacing w:line="276" w:lineRule="auto" w:before="132"/>
        <w:ind w:right="488"/>
      </w:pPr>
      <w:r>
        <w:rPr/>
        <w:t>A</w:t>
      </w:r>
      <w:r>
        <w:rPr>
          <w:spacing w:val="-7"/>
        </w:rPr>
        <w:t> </w:t>
      </w:r>
      <w:r>
        <w:rPr/>
        <w:t>STVP</w:t>
      </w:r>
      <w:r>
        <w:rPr>
          <w:spacing w:val="-2"/>
        </w:rPr>
        <w:t> </w:t>
      </w:r>
      <w:r>
        <w:rPr/>
        <w:t>pode</w:t>
      </w:r>
      <w:r>
        <w:rPr>
          <w:spacing w:val="-7"/>
        </w:rPr>
        <w:t> </w:t>
      </w:r>
      <w:r>
        <w:rPr/>
        <w:t>ser considerada</w:t>
      </w:r>
      <w:r>
        <w:rPr>
          <w:spacing w:val="-7"/>
        </w:rPr>
        <w:t> </w:t>
      </w:r>
      <w:r>
        <w:rPr/>
        <w:t>também</w:t>
      </w:r>
      <w:r>
        <w:rPr>
          <w:spacing w:val="-4"/>
        </w:rPr>
        <w:t> </w:t>
      </w:r>
      <w:r>
        <w:rPr/>
        <w:t>uma</w:t>
      </w:r>
      <w:r>
        <w:rPr>
          <w:spacing w:val="-7"/>
        </w:rPr>
        <w:t> </w:t>
      </w:r>
      <w:r>
        <w:rPr/>
        <w:t>doença</w:t>
      </w:r>
      <w:r>
        <w:rPr>
          <w:spacing w:val="-7"/>
        </w:rPr>
        <w:t> </w:t>
      </w:r>
      <w:r>
        <w:rPr/>
        <w:t>gravitacional, ou</w:t>
      </w:r>
      <w:r>
        <w:rPr>
          <w:spacing w:val="-4"/>
        </w:rPr>
        <w:t> </w:t>
      </w:r>
      <w:r>
        <w:rPr/>
        <w:t>seja, estado</w:t>
      </w:r>
      <w:r>
        <w:rPr>
          <w:spacing w:val="-4"/>
        </w:rPr>
        <w:t> </w:t>
      </w:r>
      <w:r>
        <w:rPr/>
        <w:t>mórbido</w:t>
      </w:r>
      <w:r>
        <w:rPr>
          <w:spacing w:val="-4"/>
        </w:rPr>
        <w:t> </w:t>
      </w:r>
      <w:r>
        <w:rPr/>
        <w:t>cuja</w:t>
      </w:r>
      <w:r>
        <w:rPr>
          <w:spacing w:val="-7"/>
        </w:rPr>
        <w:t> </w:t>
      </w:r>
      <w:r>
        <w:rPr/>
        <w:t>fisiopatologia</w:t>
      </w:r>
      <w:r>
        <w:rPr>
          <w:spacing w:val="-7"/>
        </w:rPr>
        <w:t> </w:t>
      </w:r>
      <w:r>
        <w:rPr/>
        <w:t>se associa</w:t>
      </w:r>
      <w:r>
        <w:rPr>
          <w:spacing w:val="-1"/>
        </w:rPr>
        <w:t> </w:t>
      </w:r>
      <w:r>
        <w:rPr/>
        <w:t>às dificuldades que</w:t>
      </w:r>
      <w:r>
        <w:rPr>
          <w:spacing w:val="-1"/>
        </w:rPr>
        <w:t> </w:t>
      </w:r>
      <w:r>
        <w:rPr/>
        <w:t>a</w:t>
      </w:r>
      <w:r>
        <w:rPr>
          <w:spacing w:val="-1"/>
        </w:rPr>
        <w:t> </w:t>
      </w:r>
      <w:r>
        <w:rPr/>
        <w:t>ação da</w:t>
      </w:r>
      <w:r>
        <w:rPr>
          <w:spacing w:val="-1"/>
        </w:rPr>
        <w:t> </w:t>
      </w:r>
      <w:r>
        <w:rPr/>
        <w:t>gravidade</w:t>
      </w:r>
      <w:r>
        <w:rPr>
          <w:spacing w:val="-1"/>
        </w:rPr>
        <w:t> </w:t>
      </w:r>
      <w:r>
        <w:rPr/>
        <w:t>opõe</w:t>
      </w:r>
      <w:r>
        <w:rPr>
          <w:spacing w:val="-1"/>
        </w:rPr>
        <w:t> </w:t>
      </w:r>
      <w:r>
        <w:rPr/>
        <w:t>ao retorno venoso do sangue</w:t>
      </w:r>
      <w:r>
        <w:rPr>
          <w:spacing w:val="-1"/>
        </w:rPr>
        <w:t> </w:t>
      </w:r>
      <w:r>
        <w:rPr/>
        <w:t>dos membros inferiores.</w:t>
      </w:r>
    </w:p>
    <w:p>
      <w:pPr>
        <w:pStyle w:val="BodyText"/>
        <w:spacing w:line="276" w:lineRule="auto" w:before="64"/>
        <w:ind w:right="488"/>
      </w:pPr>
      <w:r>
        <w:rPr/>
        <w:t>Embora existam vários fatores que participam da circulação venosa, o mecanismo propulsor básico é representado pelo coração venoso periférico. A pressão residual final no leito arteriolocapilar, promovida pela sístole cardíaca, a compressão da esponja plantar, o acoplamento de artérias e veias contidas em bainhas musculoaponeuróticas</w:t>
      </w:r>
      <w:r>
        <w:rPr>
          <w:spacing w:val="80"/>
        </w:rPr>
        <w:t> </w:t>
      </w:r>
      <w:r>
        <w:rPr/>
        <w:t>inextensíveis</w:t>
      </w:r>
      <w:r>
        <w:rPr>
          <w:spacing w:val="80"/>
        </w:rPr>
        <w:t> </w:t>
      </w:r>
      <w:r>
        <w:rPr/>
        <w:t>e</w:t>
      </w:r>
      <w:r>
        <w:rPr>
          <w:spacing w:val="80"/>
        </w:rPr>
        <w:t> </w:t>
      </w:r>
      <w:r>
        <w:rPr/>
        <w:t>a</w:t>
      </w:r>
      <w:r>
        <w:rPr>
          <w:spacing w:val="80"/>
        </w:rPr>
        <w:t> </w:t>
      </w:r>
      <w:r>
        <w:rPr/>
        <w:t>aspiração</w:t>
      </w:r>
      <w:r>
        <w:rPr>
          <w:spacing w:val="80"/>
        </w:rPr>
        <w:t> </w:t>
      </w:r>
      <w:r>
        <w:rPr/>
        <w:t>produzida</w:t>
      </w:r>
      <w:r>
        <w:rPr>
          <w:spacing w:val="80"/>
        </w:rPr>
        <w:t> </w:t>
      </w:r>
      <w:r>
        <w:rPr/>
        <w:t>durante</w:t>
      </w:r>
      <w:r>
        <w:rPr>
          <w:spacing w:val="80"/>
        </w:rPr>
        <w:t> </w:t>
      </w:r>
      <w:r>
        <w:rPr/>
        <w:t>a</w:t>
      </w:r>
      <w:r>
        <w:rPr>
          <w:spacing w:val="80"/>
        </w:rPr>
        <w:t> </w:t>
      </w:r>
      <w:r>
        <w:rPr/>
        <w:t>inspiração</w:t>
      </w:r>
      <w:r>
        <w:rPr>
          <w:spacing w:val="80"/>
        </w:rPr>
        <w:t> </w:t>
      </w:r>
      <w:r>
        <w:rPr/>
        <w:t>respiratória</w:t>
      </w:r>
      <w:r>
        <w:rPr>
          <w:spacing w:val="80"/>
        </w:rPr>
        <w:t> </w:t>
      </w:r>
      <w:r>
        <w:rPr/>
        <w:t>são</w:t>
      </w:r>
      <w:r>
        <w:rPr>
          <w:spacing w:val="80"/>
        </w:rPr>
        <w:t> </w:t>
      </w:r>
      <w:r>
        <w:rPr/>
        <w:t>fatores</w:t>
      </w:r>
    </w:p>
    <w:p>
      <w:pPr>
        <w:pStyle w:val="BodyText"/>
        <w:spacing w:after="0" w:line="276" w:lineRule="auto"/>
        <w:sectPr>
          <w:pgSz w:w="11900" w:h="16840"/>
          <w:pgMar w:top="280" w:bottom="280" w:left="566" w:right="141"/>
        </w:sectPr>
      </w:pPr>
    </w:p>
    <w:p>
      <w:pPr>
        <w:pStyle w:val="BodyText"/>
        <w:spacing w:before="64"/>
        <w:ind w:firstLine="0"/>
        <w:jc w:val="left"/>
      </w:pPr>
      <w:r>
        <w:rPr>
          <w:spacing w:val="-2"/>
        </w:rPr>
        <w:t>complementares.</w:t>
      </w:r>
    </w:p>
    <w:p>
      <w:pPr>
        <w:pStyle w:val="BodyText"/>
        <w:spacing w:line="276" w:lineRule="auto" w:before="104"/>
        <w:ind w:right="490"/>
      </w:pPr>
      <w:r>
        <w:rPr/>
        <w:t>O coração venoso periférico é constituído por: musculatura posterior da perna, seios venosos contidos no seu interior e veias tronculares profundas envolvidas por esses músculos, veias perfurantes comunicantes e sistema venoso superficial. Todas essas veias são providas de</w:t>
      </w:r>
      <w:r>
        <w:rPr>
          <w:spacing w:val="-1"/>
        </w:rPr>
        <w:t> </w:t>
      </w:r>
      <w:r>
        <w:rPr/>
        <w:t>válvulas que</w:t>
      </w:r>
      <w:r>
        <w:rPr>
          <w:spacing w:val="-1"/>
        </w:rPr>
        <w:t> </w:t>
      </w:r>
      <w:r>
        <w:rPr/>
        <w:t>orientam a</w:t>
      </w:r>
      <w:r>
        <w:rPr>
          <w:spacing w:val="-1"/>
        </w:rPr>
        <w:t> </w:t>
      </w:r>
      <w:r>
        <w:rPr/>
        <w:t>coluna</w:t>
      </w:r>
      <w:r>
        <w:rPr>
          <w:spacing w:val="-1"/>
        </w:rPr>
        <w:t> </w:t>
      </w:r>
      <w:r>
        <w:rPr/>
        <w:t>sanguínea</w:t>
      </w:r>
      <w:r>
        <w:rPr>
          <w:spacing w:val="-1"/>
        </w:rPr>
        <w:t> </w:t>
      </w:r>
      <w:r>
        <w:rPr/>
        <w:t>da</w:t>
      </w:r>
      <w:r>
        <w:rPr>
          <w:spacing w:val="-1"/>
        </w:rPr>
        <w:t> </w:t>
      </w:r>
      <w:r>
        <w:rPr/>
        <w:t>periferia</w:t>
      </w:r>
      <w:r>
        <w:rPr>
          <w:spacing w:val="-1"/>
        </w:rPr>
        <w:t> </w:t>
      </w:r>
      <w:r>
        <w:rPr/>
        <w:t>para</w:t>
      </w:r>
      <w:r>
        <w:rPr>
          <w:spacing w:val="-1"/>
        </w:rPr>
        <w:t> </w:t>
      </w:r>
      <w:r>
        <w:rPr/>
        <w:t>a profundidade e desta para o coração.</w:t>
      </w:r>
    </w:p>
    <w:p>
      <w:pPr>
        <w:pStyle w:val="BodyText"/>
        <w:spacing w:line="280" w:lineRule="auto" w:before="49"/>
        <w:ind w:right="491"/>
      </w:pPr>
      <w:r>
        <w:rPr/>
        <w:t>A hipertensão venosa crônica é consequência da manutenção da pressão venosa elevada durante o movimento deambulatório. A contração da musculatura posterior da perna propulsiona o sangue centripetamente; quando o paciente está parado e em bípede estação, ou sentado, as válvulas se fecham e impedem o refluxo sanguíneo. A pressão venosa medida no dorso do pé é considerada elevada quando seu valor é superior a 30 mm de mercúrio e, quanto mais alta, maior a incidência de lesão trófica e úlcera.</w:t>
      </w:r>
      <w:r>
        <w:rPr>
          <w:vertAlign w:val="superscript"/>
        </w:rPr>
        <w:t>30</w:t>
      </w:r>
    </w:p>
    <w:p>
      <w:pPr>
        <w:pStyle w:val="BodyText"/>
        <w:spacing w:line="276" w:lineRule="auto" w:before="54"/>
        <w:ind w:right="491"/>
      </w:pPr>
      <w:r>
        <w:rPr/>
        <w:t>A</w:t>
      </w:r>
      <w:r>
        <w:rPr>
          <w:spacing w:val="-5"/>
        </w:rPr>
        <w:t> </w:t>
      </w:r>
      <w:r>
        <w:rPr/>
        <w:t>desorganização</w:t>
      </w:r>
      <w:r>
        <w:rPr>
          <w:spacing w:val="-3"/>
        </w:rPr>
        <w:t> </w:t>
      </w:r>
      <w:r>
        <w:rPr/>
        <w:t>circulatória</w:t>
      </w:r>
      <w:r>
        <w:rPr>
          <w:spacing w:val="-5"/>
        </w:rPr>
        <w:t> </w:t>
      </w:r>
      <w:r>
        <w:rPr/>
        <w:t>é</w:t>
      </w:r>
      <w:r>
        <w:rPr>
          <w:spacing w:val="-5"/>
        </w:rPr>
        <w:t> </w:t>
      </w:r>
      <w:r>
        <w:rPr/>
        <w:t>determinada</w:t>
      </w:r>
      <w:r>
        <w:rPr>
          <w:spacing w:val="-5"/>
        </w:rPr>
        <w:t> </w:t>
      </w:r>
      <w:r>
        <w:rPr/>
        <w:t>por oclusão</w:t>
      </w:r>
      <w:r>
        <w:rPr>
          <w:spacing w:val="-3"/>
        </w:rPr>
        <w:t> </w:t>
      </w:r>
      <w:r>
        <w:rPr/>
        <w:t>crônica</w:t>
      </w:r>
      <w:r>
        <w:rPr>
          <w:spacing w:val="-5"/>
        </w:rPr>
        <w:t> </w:t>
      </w:r>
      <w:r>
        <w:rPr/>
        <w:t>ou</w:t>
      </w:r>
      <w:r>
        <w:rPr>
          <w:spacing w:val="-3"/>
        </w:rPr>
        <w:t> </w:t>
      </w:r>
      <w:r>
        <w:rPr/>
        <w:t>recanalização</w:t>
      </w:r>
      <w:r>
        <w:rPr>
          <w:spacing w:val="-3"/>
        </w:rPr>
        <w:t> </w:t>
      </w:r>
      <w:r>
        <w:rPr/>
        <w:t>e</w:t>
      </w:r>
      <w:r>
        <w:rPr>
          <w:spacing w:val="-5"/>
        </w:rPr>
        <w:t> </w:t>
      </w:r>
      <w:r>
        <w:rPr/>
        <w:t>lesão</w:t>
      </w:r>
      <w:r>
        <w:rPr>
          <w:spacing w:val="-3"/>
        </w:rPr>
        <w:t> </w:t>
      </w:r>
      <w:r>
        <w:rPr/>
        <w:t>valvular do</w:t>
      </w:r>
      <w:r>
        <w:rPr>
          <w:spacing w:val="-3"/>
        </w:rPr>
        <w:t> </w:t>
      </w:r>
      <w:r>
        <w:rPr/>
        <w:t>segmento venoso poplíteo-fêmoro-ilíaco ou das veias de perna. O aumento de pressão gerado se transmite pelas veias menores ao leito arteriolocapilar e a longo prazo determina varizes secundárias e/ou lesões tróficas, como dermatofibrose, pigmentação e, em vários casos, estase.</w:t>
      </w:r>
    </w:p>
    <w:p>
      <w:pPr>
        <w:pStyle w:val="BodyText"/>
        <w:spacing w:line="276" w:lineRule="auto" w:before="49"/>
        <w:ind w:right="497"/>
      </w:pPr>
      <w:r>
        <w:rPr/>
        <w:t>Os eventos fisiopatológicos que caracterizam essa microangiopatia foram muito estudados nestas últimas décadas, podendo se separar os conhecimentos clássicos dos novos e modernos estudados a partir da década de </w:t>
      </w:r>
      <w:r>
        <w:rPr>
          <w:spacing w:val="-2"/>
        </w:rPr>
        <w:t>1980.</w:t>
      </w:r>
    </w:p>
    <w:p>
      <w:pPr>
        <w:pStyle w:val="BodyText"/>
        <w:spacing w:line="276" w:lineRule="auto" w:before="64"/>
        <w:ind w:right="497"/>
      </w:pPr>
      <w:r>
        <w:rPr/>
        <w:t>Classicamente se admite que a hipertensão venosa crônica no leito arteriolocapilar interfere nas trocas metabólicas</w:t>
      </w:r>
      <w:r>
        <w:rPr>
          <w:spacing w:val="-1"/>
        </w:rPr>
        <w:t> </w:t>
      </w:r>
      <w:r>
        <w:rPr/>
        <w:t>entre</w:t>
      </w:r>
      <w:r>
        <w:rPr>
          <w:spacing w:val="-11"/>
        </w:rPr>
        <w:t> </w:t>
      </w:r>
      <w:r>
        <w:rPr/>
        <w:t>sangue</w:t>
      </w:r>
      <w:r>
        <w:rPr>
          <w:spacing w:val="-11"/>
        </w:rPr>
        <w:t> </w:t>
      </w:r>
      <w:r>
        <w:rPr/>
        <w:t>e</w:t>
      </w:r>
      <w:r>
        <w:rPr>
          <w:spacing w:val="-11"/>
        </w:rPr>
        <w:t> </w:t>
      </w:r>
      <w:r>
        <w:rPr/>
        <w:t>tecido,</w:t>
      </w:r>
      <w:r>
        <w:rPr>
          <w:spacing w:val="-1"/>
        </w:rPr>
        <w:t> </w:t>
      </w:r>
      <w:r>
        <w:rPr/>
        <w:t>ocorrendo</w:t>
      </w:r>
      <w:r>
        <w:rPr>
          <w:spacing w:val="-9"/>
        </w:rPr>
        <w:t> </w:t>
      </w:r>
      <w:r>
        <w:rPr/>
        <w:t>a</w:t>
      </w:r>
      <w:r>
        <w:rPr>
          <w:spacing w:val="-11"/>
        </w:rPr>
        <w:t> </w:t>
      </w:r>
      <w:r>
        <w:rPr/>
        <w:t>retenção</w:t>
      </w:r>
      <w:r>
        <w:rPr>
          <w:spacing w:val="-9"/>
        </w:rPr>
        <w:t> </w:t>
      </w:r>
      <w:r>
        <w:rPr/>
        <w:t>de</w:t>
      </w:r>
      <w:r>
        <w:rPr>
          <w:spacing w:val="-11"/>
        </w:rPr>
        <w:t> </w:t>
      </w:r>
      <w:r>
        <w:rPr/>
        <w:t>catabólitos</w:t>
      </w:r>
      <w:r>
        <w:rPr>
          <w:spacing w:val="-1"/>
        </w:rPr>
        <w:t> </w:t>
      </w:r>
      <w:r>
        <w:rPr/>
        <w:t>ácidos,</w:t>
      </w:r>
      <w:r>
        <w:rPr>
          <w:spacing w:val="-1"/>
        </w:rPr>
        <w:t> </w:t>
      </w:r>
      <w:r>
        <w:rPr/>
        <w:t>resultando</w:t>
      </w:r>
      <w:r>
        <w:rPr>
          <w:spacing w:val="-9"/>
        </w:rPr>
        <w:t> </w:t>
      </w:r>
      <w:r>
        <w:rPr/>
        <w:t>em</w:t>
      </w:r>
      <w:r>
        <w:rPr>
          <w:spacing w:val="-9"/>
        </w:rPr>
        <w:t> </w:t>
      </w:r>
      <w:r>
        <w:rPr/>
        <w:t>acidose</w:t>
      </w:r>
      <w:r>
        <w:rPr>
          <w:spacing w:val="-11"/>
        </w:rPr>
        <w:t> </w:t>
      </w:r>
      <w:r>
        <w:rPr/>
        <w:t>tecidual.</w:t>
      </w:r>
      <w:r>
        <w:rPr>
          <w:spacing w:val="-1"/>
        </w:rPr>
        <w:t> </w:t>
      </w:r>
      <w:r>
        <w:rPr/>
        <w:t>Nesta situação se altera uma série de reações enzimáticas e bioquímicas com aumento de histamina, serotonina, bradicinina que são substâncias vasodilatadoras e vasopermeabilizantes e que determinam migração leucocitária. Grandes moléculas proteicas passam para o interstício, estimulando o aumento de fibroblastos e a fibrose tecidual resultante acaba comprimindo os capilares por ela envolvidos.</w:t>
      </w:r>
    </w:p>
    <w:p>
      <w:pPr>
        <w:pStyle w:val="BodyText"/>
        <w:spacing w:line="276" w:lineRule="auto"/>
        <w:ind w:right="491"/>
      </w:pPr>
      <w:r>
        <w:rPr/>
        <w:t>A hemoglobina, que permanece no interior dos tecidos, transforma-se em hemossiderina que dá coloração castanha à pele. Nesse ambiente, ocorre aumento da melanogênese com maior produção de melanina, que também contribui para o escurecimento cutâneo; espontaneamente ou por trauma pode ocorrer lesão de pele nessa área de alteração trófica, iniciando-se a úlcera de estase venosa que tem dimensões variáveis, muitas vezes cicatriza e recidiva ou permanece aberta cronicamente.</w:t>
      </w:r>
    </w:p>
    <w:p>
      <w:pPr>
        <w:pStyle w:val="BodyText"/>
        <w:spacing w:line="280" w:lineRule="auto" w:before="49"/>
        <w:ind w:right="491"/>
      </w:pPr>
      <w:r>
        <w:rPr/>
        <w:t>Uma</w:t>
      </w:r>
      <w:r>
        <w:rPr>
          <w:spacing w:val="-2"/>
        </w:rPr>
        <w:t> </w:t>
      </w:r>
      <w:r>
        <w:rPr/>
        <w:t>das primeiras cogitações sobre</w:t>
      </w:r>
      <w:r>
        <w:rPr>
          <w:spacing w:val="-2"/>
        </w:rPr>
        <w:t> </w:t>
      </w:r>
      <w:r>
        <w:rPr/>
        <w:t>a</w:t>
      </w:r>
      <w:r>
        <w:rPr>
          <w:spacing w:val="-2"/>
        </w:rPr>
        <w:t> </w:t>
      </w:r>
      <w:r>
        <w:rPr/>
        <w:t>origem da</w:t>
      </w:r>
      <w:r>
        <w:rPr>
          <w:spacing w:val="-2"/>
        </w:rPr>
        <w:t> </w:t>
      </w:r>
      <w:r>
        <w:rPr/>
        <w:t>hipertensão venosa</w:t>
      </w:r>
      <w:r>
        <w:rPr>
          <w:spacing w:val="-2"/>
        </w:rPr>
        <w:t> </w:t>
      </w:r>
      <w:r>
        <w:rPr/>
        <w:t>crônica</w:t>
      </w:r>
      <w:r>
        <w:rPr>
          <w:spacing w:val="-2"/>
        </w:rPr>
        <w:t> </w:t>
      </w:r>
      <w:r>
        <w:rPr/>
        <w:t>foi a</w:t>
      </w:r>
      <w:r>
        <w:rPr>
          <w:spacing w:val="-2"/>
        </w:rPr>
        <w:t> </w:t>
      </w:r>
      <w:r>
        <w:rPr/>
        <w:t>possibilidade</w:t>
      </w:r>
      <w:r>
        <w:rPr>
          <w:spacing w:val="-2"/>
        </w:rPr>
        <w:t> </w:t>
      </w:r>
      <w:r>
        <w:rPr/>
        <w:t>de</w:t>
      </w:r>
      <w:r>
        <w:rPr>
          <w:spacing w:val="-2"/>
        </w:rPr>
        <w:t> </w:t>
      </w:r>
      <w:r>
        <w:rPr/>
        <w:t>um aumento patológico de fístulas arteriovenosas periféricas. Esta hipótese foi abandonada após observações feitas por Lindemayer</w:t>
      </w:r>
      <w:r>
        <w:rPr>
          <w:spacing w:val="-3"/>
        </w:rPr>
        <w:t> </w:t>
      </w:r>
      <w:r>
        <w:rPr>
          <w:i/>
        </w:rPr>
        <w:t>et</w:t>
      </w:r>
      <w:r>
        <w:rPr>
          <w:i/>
          <w:spacing w:val="-6"/>
        </w:rPr>
        <w:t> </w:t>
      </w:r>
      <w:r>
        <w:rPr>
          <w:i/>
        </w:rPr>
        <w:t>al.</w:t>
      </w:r>
      <w:r>
        <w:rPr/>
        <w:t>, utilizando</w:t>
      </w:r>
      <w:r>
        <w:rPr>
          <w:spacing w:val="-2"/>
        </w:rPr>
        <w:t> </w:t>
      </w:r>
      <w:r>
        <w:rPr/>
        <w:t>injeção</w:t>
      </w:r>
      <w:r>
        <w:rPr>
          <w:spacing w:val="-2"/>
        </w:rPr>
        <w:t> </w:t>
      </w:r>
      <w:r>
        <w:rPr/>
        <w:t>de</w:t>
      </w:r>
      <w:r>
        <w:rPr>
          <w:spacing w:val="-5"/>
        </w:rPr>
        <w:t> </w:t>
      </w:r>
      <w:r>
        <w:rPr/>
        <w:t>esferas de</w:t>
      </w:r>
      <w:r>
        <w:rPr>
          <w:spacing w:val="-5"/>
        </w:rPr>
        <w:t> </w:t>
      </w:r>
      <w:r>
        <w:rPr/>
        <w:t>albumina</w:t>
      </w:r>
      <w:r>
        <w:rPr>
          <w:spacing w:val="-5"/>
        </w:rPr>
        <w:t> </w:t>
      </w:r>
      <w:r>
        <w:rPr/>
        <w:t>marcadas com</w:t>
      </w:r>
      <w:r>
        <w:rPr>
          <w:spacing w:val="-2"/>
        </w:rPr>
        <w:t> </w:t>
      </w:r>
      <w:r>
        <w:rPr/>
        <w:t>iodo</w:t>
      </w:r>
      <w:r>
        <w:rPr>
          <w:spacing w:val="-2"/>
        </w:rPr>
        <w:t> </w:t>
      </w:r>
      <w:r>
        <w:rPr/>
        <w:t>radioativo; em</w:t>
      </w:r>
      <w:r>
        <w:rPr>
          <w:spacing w:val="-2"/>
        </w:rPr>
        <w:t> </w:t>
      </w:r>
      <w:r>
        <w:rPr/>
        <w:t>doentes com</w:t>
      </w:r>
      <w:r>
        <w:rPr>
          <w:spacing w:val="-2"/>
        </w:rPr>
        <w:t> </w:t>
      </w:r>
      <w:r>
        <w:rPr/>
        <w:t>estase venosa</w:t>
      </w:r>
      <w:r>
        <w:rPr>
          <w:spacing w:val="-2"/>
        </w:rPr>
        <w:t> </w:t>
      </w:r>
      <w:r>
        <w:rPr/>
        <w:t>crônica, não observaram aumento da</w:t>
      </w:r>
      <w:r>
        <w:rPr>
          <w:spacing w:val="-2"/>
        </w:rPr>
        <w:t> </w:t>
      </w:r>
      <w:r>
        <w:rPr/>
        <w:t>captação pulmonar do radiofármaco.</w:t>
      </w:r>
      <w:r>
        <w:rPr>
          <w:vertAlign w:val="superscript"/>
        </w:rPr>
        <w:t>31</w:t>
      </w:r>
    </w:p>
    <w:p>
      <w:pPr>
        <w:pStyle w:val="BodyText"/>
        <w:spacing w:line="280" w:lineRule="auto" w:before="59"/>
        <w:ind w:right="500"/>
      </w:pPr>
      <w:r>
        <w:rPr/>
        <w:t>A</w:t>
      </w:r>
      <w:r>
        <w:rPr>
          <w:spacing w:val="-10"/>
        </w:rPr>
        <w:t> </w:t>
      </w:r>
      <w:r>
        <w:rPr/>
        <w:t>partir</w:t>
      </w:r>
      <w:r>
        <w:rPr>
          <w:spacing w:val="-3"/>
        </w:rPr>
        <w:t> </w:t>
      </w:r>
      <w:r>
        <w:rPr/>
        <w:t>da</w:t>
      </w:r>
      <w:r>
        <w:rPr>
          <w:spacing w:val="-10"/>
        </w:rPr>
        <w:t> </w:t>
      </w:r>
      <w:r>
        <w:rPr/>
        <w:t>década</w:t>
      </w:r>
      <w:r>
        <w:rPr>
          <w:spacing w:val="-10"/>
        </w:rPr>
        <w:t> </w:t>
      </w:r>
      <w:r>
        <w:rPr/>
        <w:t>de</w:t>
      </w:r>
      <w:r>
        <w:rPr>
          <w:spacing w:val="-10"/>
        </w:rPr>
        <w:t> </w:t>
      </w:r>
      <w:r>
        <w:rPr/>
        <w:t>1980,</w:t>
      </w:r>
      <w:r>
        <w:rPr>
          <w:spacing w:val="-1"/>
        </w:rPr>
        <w:t> </w:t>
      </w:r>
      <w:r>
        <w:rPr/>
        <w:t>tiveram</w:t>
      </w:r>
      <w:r>
        <w:rPr>
          <w:spacing w:val="-8"/>
        </w:rPr>
        <w:t> </w:t>
      </w:r>
      <w:r>
        <w:rPr/>
        <w:t>início</w:t>
      </w:r>
      <w:r>
        <w:rPr>
          <w:spacing w:val="-8"/>
        </w:rPr>
        <w:t> </w:t>
      </w:r>
      <w:r>
        <w:rPr/>
        <w:t>as</w:t>
      </w:r>
      <w:r>
        <w:rPr>
          <w:spacing w:val="-1"/>
        </w:rPr>
        <w:t> </w:t>
      </w:r>
      <w:r>
        <w:rPr/>
        <w:t>modernas</w:t>
      </w:r>
      <w:r>
        <w:rPr>
          <w:spacing w:val="-1"/>
        </w:rPr>
        <w:t> </w:t>
      </w:r>
      <w:r>
        <w:rPr/>
        <w:t>pesquisas</w:t>
      </w:r>
      <w:r>
        <w:rPr>
          <w:spacing w:val="-1"/>
        </w:rPr>
        <w:t> </w:t>
      </w:r>
      <w:r>
        <w:rPr/>
        <w:t>sobre</w:t>
      </w:r>
      <w:r>
        <w:rPr>
          <w:spacing w:val="-10"/>
        </w:rPr>
        <w:t> </w:t>
      </w:r>
      <w:r>
        <w:rPr/>
        <w:t>a</w:t>
      </w:r>
      <w:r>
        <w:rPr>
          <w:spacing w:val="-10"/>
        </w:rPr>
        <w:t> </w:t>
      </w:r>
      <w:r>
        <w:rPr/>
        <w:t>microangiopatia</w:t>
      </w:r>
      <w:r>
        <w:rPr>
          <w:spacing w:val="-10"/>
        </w:rPr>
        <w:t> </w:t>
      </w:r>
      <w:r>
        <w:rPr/>
        <w:t>nas</w:t>
      </w:r>
      <w:r>
        <w:rPr>
          <w:spacing w:val="-1"/>
        </w:rPr>
        <w:t> </w:t>
      </w:r>
      <w:r>
        <w:rPr/>
        <w:t>complicações</w:t>
      </w:r>
      <w:r>
        <w:rPr>
          <w:spacing w:val="-1"/>
        </w:rPr>
        <w:t> </w:t>
      </w:r>
      <w:r>
        <w:rPr/>
        <w:t>das varizes e/ou nas sequelas de trombose venosa profunda e em outras doenças pouco frequentes que determinam aumento significativo e constante da pressão venosa nos membros inferiores. Werner </w:t>
      </w:r>
      <w:r>
        <w:rPr>
          <w:i/>
        </w:rPr>
        <w:t>et al. </w:t>
      </w:r>
      <w:r>
        <w:rPr/>
        <w:t>observaram, por microscopia eletrônica nas áreas de fibrose e pigmentação, células endoteliais dos capilares edemaciadas com aumento dos poros entre elas, o que possibilitava a passagem de hemácias.</w:t>
      </w:r>
      <w:r>
        <w:rPr>
          <w:vertAlign w:val="superscript"/>
        </w:rPr>
        <w:t>32</w:t>
      </w:r>
    </w:p>
    <w:p>
      <w:pPr>
        <w:pStyle w:val="BodyText"/>
        <w:spacing w:line="290" w:lineRule="auto" w:before="39"/>
        <w:ind w:right="488"/>
      </w:pPr>
      <w:r>
        <w:rPr/>
        <w:t>Em 1979, Fagrell, empregando a capilaroscopia, observou que, nas áreas de pele comprometidas, o número de capilares era</w:t>
      </w:r>
      <w:r>
        <w:rPr>
          <w:spacing w:val="-1"/>
        </w:rPr>
        <w:t> </w:t>
      </w:r>
      <w:r>
        <w:rPr/>
        <w:t>menor, havia</w:t>
      </w:r>
      <w:r>
        <w:rPr>
          <w:spacing w:val="-1"/>
        </w:rPr>
        <w:t> </w:t>
      </w:r>
      <w:r>
        <w:rPr/>
        <w:t>grande</w:t>
      </w:r>
      <w:r>
        <w:rPr>
          <w:spacing w:val="-1"/>
        </w:rPr>
        <w:t> </w:t>
      </w:r>
      <w:r>
        <w:rPr/>
        <w:t>afastamento entre</w:t>
      </w:r>
      <w:r>
        <w:rPr>
          <w:spacing w:val="-1"/>
        </w:rPr>
        <w:t> </w:t>
      </w:r>
      <w:r>
        <w:rPr/>
        <w:t>eles e</w:t>
      </w:r>
      <w:r>
        <w:rPr>
          <w:spacing w:val="-1"/>
        </w:rPr>
        <w:t> </w:t>
      </w:r>
      <w:r>
        <w:rPr/>
        <w:t>muitos se</w:t>
      </w:r>
      <w:r>
        <w:rPr>
          <w:spacing w:val="-1"/>
        </w:rPr>
        <w:t> </w:t>
      </w:r>
      <w:r>
        <w:rPr/>
        <w:t>apresentavam alargados e</w:t>
      </w:r>
      <w:r>
        <w:rPr>
          <w:spacing w:val="-1"/>
        </w:rPr>
        <w:t> </w:t>
      </w:r>
      <w:r>
        <w:rPr/>
        <w:t>tortuosos.</w:t>
      </w:r>
      <w:r>
        <w:rPr>
          <w:vertAlign w:val="superscript"/>
        </w:rPr>
        <w:t>33</w:t>
      </w:r>
    </w:p>
    <w:p>
      <w:pPr>
        <w:pStyle w:val="BodyText"/>
        <w:spacing w:line="278" w:lineRule="auto" w:before="48"/>
        <w:ind w:right="491"/>
      </w:pPr>
      <w:r>
        <w:rPr/>
        <w:t>Em</w:t>
      </w:r>
      <w:r>
        <w:rPr>
          <w:spacing w:val="-3"/>
        </w:rPr>
        <w:t> </w:t>
      </w:r>
      <w:r>
        <w:rPr/>
        <w:t>1982, Burnand</w:t>
      </w:r>
      <w:r>
        <w:rPr>
          <w:spacing w:val="-3"/>
        </w:rPr>
        <w:t> </w:t>
      </w:r>
      <w:r>
        <w:rPr>
          <w:i/>
        </w:rPr>
        <w:t>et</w:t>
      </w:r>
      <w:r>
        <w:rPr>
          <w:i/>
          <w:spacing w:val="-5"/>
        </w:rPr>
        <w:t> </w:t>
      </w:r>
      <w:r>
        <w:rPr>
          <w:i/>
        </w:rPr>
        <w:t>al. </w:t>
      </w:r>
      <w:r>
        <w:rPr/>
        <w:t>descreveram, utilizando imunofluorescência, a</w:t>
      </w:r>
      <w:r>
        <w:rPr>
          <w:spacing w:val="-2"/>
        </w:rPr>
        <w:t> </w:t>
      </w:r>
      <w:r>
        <w:rPr/>
        <w:t>presença</w:t>
      </w:r>
      <w:r>
        <w:rPr>
          <w:spacing w:val="-2"/>
        </w:rPr>
        <w:t> </w:t>
      </w:r>
      <w:r>
        <w:rPr/>
        <w:t>de</w:t>
      </w:r>
      <w:r>
        <w:rPr>
          <w:spacing w:val="-2"/>
        </w:rPr>
        <w:t> </w:t>
      </w:r>
      <w:r>
        <w:rPr/>
        <w:t>um manguito de</w:t>
      </w:r>
      <w:r>
        <w:rPr>
          <w:spacing w:val="-2"/>
        </w:rPr>
        <w:t> </w:t>
      </w:r>
      <w:r>
        <w:rPr/>
        <w:t>fibrina</w:t>
      </w:r>
      <w:r>
        <w:rPr>
          <w:spacing w:val="-2"/>
        </w:rPr>
        <w:t> </w:t>
      </w:r>
      <w:r>
        <w:rPr/>
        <w:t>ao redor dos capilares na área de dermatofibrose e pigmentação. Formularam uma interessante hipótese para esse achado: a permeabilidade aumentada secundariamente à estase venosa e a fibrinólise diminuída favoreciam a formação do manguito; as grandes moléculas de fibrinogênio, mantidas em maior quantidade no tecido adjacente aos capilares, polimerizavam-se em fibrina. Foi observada redução da atividade fibrinolítica no sangue de veias periféricas, na parede de veias varicosas e após injeção de fibrina nessas áreas de dermatolipoesclerose. A fibrina formaria uma barreira à difusão do oxigênio, determinando isquemia.</w:t>
      </w:r>
      <w:r>
        <w:rPr>
          <w:vertAlign w:val="superscript"/>
        </w:rPr>
        <w:t>34</w:t>
      </w:r>
      <w:r>
        <w:rPr>
          <w:vertAlign w:val="baseline"/>
        </w:rPr>
        <w:t> O uso de fármacos fibrinolíticos, mesmo reduzindo o manguito de</w:t>
      </w:r>
      <w:r>
        <w:rPr>
          <w:spacing w:val="-2"/>
          <w:vertAlign w:val="baseline"/>
        </w:rPr>
        <w:t> </w:t>
      </w:r>
      <w:r>
        <w:rPr>
          <w:vertAlign w:val="baseline"/>
        </w:rPr>
        <w:t>fibrina, não trouxe</w:t>
      </w:r>
      <w:r>
        <w:rPr>
          <w:spacing w:val="-2"/>
          <w:vertAlign w:val="baseline"/>
        </w:rPr>
        <w:t> </w:t>
      </w:r>
      <w:r>
        <w:rPr>
          <w:vertAlign w:val="baseline"/>
        </w:rPr>
        <w:t>qualquer melhora</w:t>
      </w:r>
      <w:r>
        <w:rPr>
          <w:spacing w:val="-2"/>
          <w:vertAlign w:val="baseline"/>
        </w:rPr>
        <w:t> </w:t>
      </w:r>
      <w:r>
        <w:rPr>
          <w:vertAlign w:val="baseline"/>
        </w:rPr>
        <w:t>nas lesões ou na</w:t>
      </w:r>
      <w:r>
        <w:rPr>
          <w:spacing w:val="-2"/>
          <w:vertAlign w:val="baseline"/>
        </w:rPr>
        <w:t> </w:t>
      </w:r>
      <w:r>
        <w:rPr>
          <w:vertAlign w:val="baseline"/>
        </w:rPr>
        <w:t>progressão da</w:t>
      </w:r>
      <w:r>
        <w:rPr>
          <w:spacing w:val="-2"/>
          <w:vertAlign w:val="baseline"/>
        </w:rPr>
        <w:t> </w:t>
      </w:r>
      <w:r>
        <w:rPr>
          <w:vertAlign w:val="baseline"/>
        </w:rPr>
        <w:t>doença.</w:t>
      </w:r>
    </w:p>
    <w:p>
      <w:pPr>
        <w:pStyle w:val="BodyText"/>
        <w:spacing w:line="283" w:lineRule="auto" w:before="61"/>
        <w:ind w:right="500"/>
      </w:pPr>
      <w:r>
        <w:rPr/>
        <w:t>Ainda em 1982, Bollinger </w:t>
      </w:r>
      <w:r>
        <w:rPr>
          <w:i/>
        </w:rPr>
        <w:t>et al.</w:t>
      </w:r>
      <w:r>
        <w:rPr/>
        <w:t>, pela videomicroscopia de fluorescência, constataram a presença de vários capilares com redução de fluxo nas áreas cutâneas lesadas. O fluxo total não se alterava, pois havia, em outras áreas, maior circulação compensando a deficiência.</w:t>
      </w:r>
      <w:r>
        <w:rPr>
          <w:vertAlign w:val="superscript"/>
        </w:rPr>
        <w:t>35</w:t>
      </w:r>
    </w:p>
    <w:p>
      <w:pPr>
        <w:pStyle w:val="BodyText"/>
        <w:spacing w:after="0" w:line="283" w:lineRule="auto"/>
        <w:sectPr>
          <w:pgSz w:w="11900" w:h="16840"/>
          <w:pgMar w:top="160" w:bottom="280" w:left="566" w:right="141"/>
        </w:sectPr>
      </w:pPr>
    </w:p>
    <w:p>
      <w:pPr>
        <w:pStyle w:val="BodyText"/>
        <w:spacing w:line="280" w:lineRule="auto" w:before="76"/>
        <w:ind w:right="497"/>
      </w:pPr>
      <w:r>
        <w:rPr/>
        <w:t>Thomas </w:t>
      </w:r>
      <w:r>
        <w:rPr>
          <w:i/>
        </w:rPr>
        <w:t>et al.</w:t>
      </w:r>
      <w:r>
        <w:rPr/>
        <w:t>, em 1988, estudaram o hemograma de indivíduos normais e com hipertensão venosa crônica. Colheram sangue</w:t>
      </w:r>
      <w:r>
        <w:rPr>
          <w:spacing w:val="-3"/>
        </w:rPr>
        <w:t> </w:t>
      </w:r>
      <w:r>
        <w:rPr/>
        <w:t>de</w:t>
      </w:r>
      <w:r>
        <w:rPr>
          <w:spacing w:val="-3"/>
        </w:rPr>
        <w:t> </w:t>
      </w:r>
      <w:r>
        <w:rPr/>
        <w:t>veias superficiais e</w:t>
      </w:r>
      <w:r>
        <w:rPr>
          <w:spacing w:val="-3"/>
        </w:rPr>
        <w:t> </w:t>
      </w:r>
      <w:r>
        <w:rPr/>
        <w:t>depois mantiveram os doentes sentados por 1 h, fazendo nova</w:t>
      </w:r>
      <w:r>
        <w:rPr>
          <w:spacing w:val="-3"/>
        </w:rPr>
        <w:t> </w:t>
      </w:r>
      <w:r>
        <w:rPr/>
        <w:t>coleta. Nos doentes com</w:t>
      </w:r>
      <w:r>
        <w:rPr>
          <w:spacing w:val="-5"/>
        </w:rPr>
        <w:t> </w:t>
      </w:r>
      <w:r>
        <w:rPr/>
        <w:t>estase</w:t>
      </w:r>
      <w:r>
        <w:rPr>
          <w:spacing w:val="-7"/>
        </w:rPr>
        <w:t> </w:t>
      </w:r>
      <w:r>
        <w:rPr/>
        <w:t>venosa</w:t>
      </w:r>
      <w:r>
        <w:rPr>
          <w:spacing w:val="-7"/>
        </w:rPr>
        <w:t> </w:t>
      </w:r>
      <w:r>
        <w:rPr/>
        <w:t>crônica, houve</w:t>
      </w:r>
      <w:r>
        <w:rPr>
          <w:spacing w:val="-7"/>
        </w:rPr>
        <w:t> </w:t>
      </w:r>
      <w:r>
        <w:rPr/>
        <w:t>redução</w:t>
      </w:r>
      <w:r>
        <w:rPr>
          <w:spacing w:val="-4"/>
        </w:rPr>
        <w:t> </w:t>
      </w:r>
      <w:r>
        <w:rPr/>
        <w:t>de</w:t>
      </w:r>
      <w:r>
        <w:rPr>
          <w:spacing w:val="-7"/>
        </w:rPr>
        <w:t> </w:t>
      </w:r>
      <w:r>
        <w:rPr/>
        <w:t>25%</w:t>
      </w:r>
      <w:r>
        <w:rPr>
          <w:spacing w:val="-1"/>
        </w:rPr>
        <w:t> </w:t>
      </w:r>
      <w:r>
        <w:rPr/>
        <w:t>no</w:t>
      </w:r>
      <w:r>
        <w:rPr>
          <w:spacing w:val="-4"/>
        </w:rPr>
        <w:t> </w:t>
      </w:r>
      <w:r>
        <w:rPr/>
        <w:t>número</w:t>
      </w:r>
      <w:r>
        <w:rPr>
          <w:spacing w:val="-4"/>
        </w:rPr>
        <w:t> </w:t>
      </w:r>
      <w:r>
        <w:rPr/>
        <w:t>de</w:t>
      </w:r>
      <w:r>
        <w:rPr>
          <w:spacing w:val="-7"/>
        </w:rPr>
        <w:t> </w:t>
      </w:r>
      <w:r>
        <w:rPr/>
        <w:t>leucócitos, ao</w:t>
      </w:r>
      <w:r>
        <w:rPr>
          <w:spacing w:val="-4"/>
        </w:rPr>
        <w:t> </w:t>
      </w:r>
      <w:r>
        <w:rPr/>
        <w:t>passo</w:t>
      </w:r>
      <w:r>
        <w:rPr>
          <w:spacing w:val="-4"/>
        </w:rPr>
        <w:t> </w:t>
      </w:r>
      <w:r>
        <w:rPr/>
        <w:t>que</w:t>
      </w:r>
      <w:r>
        <w:rPr>
          <w:spacing w:val="-7"/>
        </w:rPr>
        <w:t> </w:t>
      </w:r>
      <w:r>
        <w:rPr/>
        <w:t>nos normais essa redução chegou a 5%.</w:t>
      </w:r>
      <w:r>
        <w:rPr>
          <w:vertAlign w:val="superscript"/>
        </w:rPr>
        <w:t>36</w:t>
      </w:r>
    </w:p>
    <w:p>
      <w:pPr>
        <w:pStyle w:val="BodyText"/>
        <w:spacing w:line="280" w:lineRule="auto" w:before="60"/>
        <w:ind w:right="488"/>
      </w:pPr>
      <w:r>
        <w:rPr/>
        <w:t>Scott</w:t>
      </w:r>
      <w:r>
        <w:rPr>
          <w:spacing w:val="-4"/>
        </w:rPr>
        <w:t> </w:t>
      </w:r>
      <w:r>
        <w:rPr>
          <w:i/>
        </w:rPr>
        <w:t>et</w:t>
      </w:r>
      <w:r>
        <w:rPr>
          <w:i/>
          <w:spacing w:val="-4"/>
        </w:rPr>
        <w:t> </w:t>
      </w:r>
      <w:r>
        <w:rPr>
          <w:i/>
        </w:rPr>
        <w:t>al.</w:t>
      </w:r>
      <w:r>
        <w:rPr/>
        <w:t>, em</w:t>
      </w:r>
      <w:r>
        <w:rPr>
          <w:spacing w:val="-5"/>
        </w:rPr>
        <w:t> </w:t>
      </w:r>
      <w:r>
        <w:rPr/>
        <w:t>1989, mostraram</w:t>
      </w:r>
      <w:r>
        <w:rPr>
          <w:spacing w:val="-5"/>
        </w:rPr>
        <w:t> </w:t>
      </w:r>
      <w:r>
        <w:rPr/>
        <w:t>que</w:t>
      </w:r>
      <w:r>
        <w:rPr>
          <w:spacing w:val="-7"/>
        </w:rPr>
        <w:t> </w:t>
      </w:r>
      <w:r>
        <w:rPr/>
        <w:t>nos doentes sentados, com</w:t>
      </w:r>
      <w:r>
        <w:rPr>
          <w:spacing w:val="-5"/>
        </w:rPr>
        <w:t> </w:t>
      </w:r>
      <w:r>
        <w:rPr/>
        <w:t>os membros inferiores pendentes, o</w:t>
      </w:r>
      <w:r>
        <w:rPr>
          <w:spacing w:val="-5"/>
        </w:rPr>
        <w:t> </w:t>
      </w:r>
      <w:r>
        <w:rPr/>
        <w:t>número</w:t>
      </w:r>
      <w:r>
        <w:rPr>
          <w:spacing w:val="-5"/>
        </w:rPr>
        <w:t> </w:t>
      </w:r>
      <w:r>
        <w:rPr/>
        <w:t>de capilares funcionantes era reduzido. Baseados nas observações de Thomas </w:t>
      </w:r>
      <w:r>
        <w:rPr>
          <w:i/>
        </w:rPr>
        <w:t>et al.</w:t>
      </w:r>
      <w:r>
        <w:rPr/>
        <w:t>, admitiram haver sequestro temporário de leucócitos nos capilares, com oclusão transitória, determinando hipofluxo regional e isquemia </w:t>
      </w:r>
      <w:r>
        <w:rPr>
          <w:spacing w:val="-2"/>
        </w:rPr>
        <w:t>tecidual.</w:t>
      </w:r>
      <w:r>
        <w:rPr>
          <w:spacing w:val="-2"/>
          <w:vertAlign w:val="superscript"/>
        </w:rPr>
        <w:t>37</w:t>
      </w:r>
    </w:p>
    <w:p>
      <w:pPr>
        <w:pStyle w:val="BodyText"/>
        <w:spacing w:line="280" w:lineRule="auto" w:before="43"/>
        <w:ind w:right="488"/>
      </w:pPr>
      <w:r>
        <w:rPr/>
        <w:t>Coleridge Smith, em 1988, admitiu que a hipertensão venosa crônica provocava aproximação e aderência leucocitária entre si e com as paredes capilares nas regiões comprometidas. Como o fluxo total não se alterava, supôs que em outras áreas haveria aumento de velocidade circulatória determinando fluxo heterogêneo. Além de determinar isquemia transitória, os leucócitos aderidos eram ativados, degranulando e liberando radicais livres, superóxidos e</w:t>
      </w:r>
      <w:r>
        <w:rPr>
          <w:spacing w:val="-3"/>
        </w:rPr>
        <w:t> </w:t>
      </w:r>
      <w:r>
        <w:rPr/>
        <w:t>enzimas proteolíticas responsáveis por danos às paredes dos capilares e</w:t>
      </w:r>
      <w:r>
        <w:rPr>
          <w:spacing w:val="-3"/>
        </w:rPr>
        <w:t> </w:t>
      </w:r>
      <w:r>
        <w:rPr/>
        <w:t>aos tecidos.</w:t>
      </w:r>
      <w:r>
        <w:rPr>
          <w:vertAlign w:val="superscript"/>
        </w:rPr>
        <w:t>38</w:t>
      </w:r>
    </w:p>
    <w:p>
      <w:pPr>
        <w:pStyle w:val="BodyText"/>
        <w:spacing w:line="278" w:lineRule="auto" w:before="55"/>
        <w:ind w:right="491"/>
      </w:pPr>
      <w:r>
        <w:rPr/>
        <w:t>Edwards </w:t>
      </w:r>
      <w:r>
        <w:rPr>
          <w:i/>
        </w:rPr>
        <w:t>et</w:t>
      </w:r>
      <w:r>
        <w:rPr>
          <w:i/>
          <w:spacing w:val="-3"/>
        </w:rPr>
        <w:t> </w:t>
      </w:r>
      <w:r>
        <w:rPr>
          <w:i/>
        </w:rPr>
        <w:t>al.</w:t>
      </w:r>
      <w:r>
        <w:rPr/>
        <w:t>, em 1992, estudaram a dosagem de superóxidos e radicais livres produzidos por neutrófilos em doentes com úlceras de estase venosa crônica; colheram sangue em veia do sistema superficial em três situações: após repouso em decúbito dorsal horizontal, depois de permanecerem sentados com as pernas pendentes e após voltarem à posição deitada. O tromboxano aumentou progressivamente e os superóxidos aumentaram e voltaram aos valores iniciais. Como grupo-controle utilizaram doentes com úlceras de perna, os quais permaneceram deitados o tempo todo e nos quais não houve qualquer alteração.</w:t>
      </w:r>
      <w:r>
        <w:rPr>
          <w:vertAlign w:val="superscript"/>
        </w:rPr>
        <w:t>39</w:t>
      </w:r>
    </w:p>
    <w:p>
      <w:pPr>
        <w:pStyle w:val="BodyText"/>
        <w:spacing w:line="280" w:lineRule="auto" w:before="49"/>
        <w:ind w:right="491"/>
      </w:pPr>
      <w:r>
        <w:rPr/>
        <w:t>Guimarães </w:t>
      </w:r>
      <w:r>
        <w:rPr>
          <w:i/>
        </w:rPr>
        <w:t>et al.</w:t>
      </w:r>
      <w:r>
        <w:rPr/>
        <w:t>, em 1996, compararam as variações do leucograma e do tromboxano B2 em doentes com estase venosa crônica com as de indivíduos normais. Após diferentes manobras de posicionamento, colheram o sangue</w:t>
      </w:r>
      <w:r>
        <w:rPr>
          <w:spacing w:val="-11"/>
        </w:rPr>
        <w:t> </w:t>
      </w:r>
      <w:r>
        <w:rPr/>
        <w:t>da</w:t>
      </w:r>
      <w:r>
        <w:rPr>
          <w:spacing w:val="-11"/>
        </w:rPr>
        <w:t> </w:t>
      </w:r>
      <w:r>
        <w:rPr/>
        <w:t>veia</w:t>
      </w:r>
      <w:r>
        <w:rPr>
          <w:spacing w:val="-11"/>
        </w:rPr>
        <w:t> </w:t>
      </w:r>
      <w:r>
        <w:rPr/>
        <w:t>femoral.</w:t>
      </w:r>
      <w:r>
        <w:rPr>
          <w:spacing w:val="-1"/>
        </w:rPr>
        <w:t> </w:t>
      </w:r>
      <w:r>
        <w:rPr/>
        <w:t>Notaram,</w:t>
      </w:r>
      <w:r>
        <w:rPr>
          <w:spacing w:val="-1"/>
        </w:rPr>
        <w:t> </w:t>
      </w:r>
      <w:r>
        <w:rPr/>
        <w:t>com</w:t>
      </w:r>
      <w:r>
        <w:rPr>
          <w:spacing w:val="-9"/>
        </w:rPr>
        <w:t> </w:t>
      </w:r>
      <w:r>
        <w:rPr/>
        <w:t>o</w:t>
      </w:r>
      <w:r>
        <w:rPr>
          <w:spacing w:val="-9"/>
        </w:rPr>
        <w:t> </w:t>
      </w:r>
      <w:r>
        <w:rPr/>
        <w:t>ortostatismo,</w:t>
      </w:r>
      <w:r>
        <w:rPr>
          <w:spacing w:val="-1"/>
        </w:rPr>
        <w:t> </w:t>
      </w:r>
      <w:r>
        <w:rPr/>
        <w:t>considerável</w:t>
      </w:r>
      <w:r>
        <w:rPr>
          <w:spacing w:val="-7"/>
        </w:rPr>
        <w:t> </w:t>
      </w:r>
      <w:r>
        <w:rPr/>
        <w:t>redução</w:t>
      </w:r>
      <w:r>
        <w:rPr>
          <w:spacing w:val="-9"/>
        </w:rPr>
        <w:t> </w:t>
      </w:r>
      <w:r>
        <w:rPr/>
        <w:t>na</w:t>
      </w:r>
      <w:r>
        <w:rPr>
          <w:spacing w:val="-11"/>
        </w:rPr>
        <w:t> </w:t>
      </w:r>
      <w:r>
        <w:rPr/>
        <w:t>contagem</w:t>
      </w:r>
      <w:r>
        <w:rPr>
          <w:spacing w:val="-9"/>
        </w:rPr>
        <w:t> </w:t>
      </w:r>
      <w:r>
        <w:rPr/>
        <w:t>dos</w:t>
      </w:r>
      <w:r>
        <w:rPr>
          <w:spacing w:val="-1"/>
        </w:rPr>
        <w:t> </w:t>
      </w:r>
      <w:r>
        <w:rPr/>
        <w:t>leucócitos</w:t>
      </w:r>
      <w:r>
        <w:rPr>
          <w:spacing w:val="-1"/>
        </w:rPr>
        <w:t> </w:t>
      </w:r>
      <w:r>
        <w:rPr/>
        <w:t>e</w:t>
      </w:r>
      <w:r>
        <w:rPr>
          <w:spacing w:val="-11"/>
        </w:rPr>
        <w:t> </w:t>
      </w:r>
      <w:r>
        <w:rPr/>
        <w:t>suficiente ativação dessas células e</w:t>
      </w:r>
      <w:r>
        <w:rPr>
          <w:spacing w:val="-3"/>
        </w:rPr>
        <w:t> </w:t>
      </w:r>
      <w:r>
        <w:rPr/>
        <w:t>das plaquetas, ocasionando a</w:t>
      </w:r>
      <w:r>
        <w:rPr>
          <w:spacing w:val="-3"/>
        </w:rPr>
        <w:t> </w:t>
      </w:r>
      <w:r>
        <w:rPr/>
        <w:t>elevação dos níveis de</w:t>
      </w:r>
      <w:r>
        <w:rPr>
          <w:spacing w:val="-3"/>
        </w:rPr>
        <w:t> </w:t>
      </w:r>
      <w:r>
        <w:rPr/>
        <w:t>tromboxano B2.</w:t>
      </w:r>
      <w:r>
        <w:rPr>
          <w:vertAlign w:val="superscript"/>
        </w:rPr>
        <w:t>40</w:t>
      </w:r>
    </w:p>
    <w:p>
      <w:pPr>
        <w:pStyle w:val="BodyText"/>
        <w:spacing w:line="276" w:lineRule="auto" w:before="59"/>
        <w:ind w:right="488"/>
      </w:pPr>
      <w:r>
        <w:rPr/>
        <w:t>Atualmente se admite que o comportamento dos leucócitos, superóxidos e tromboxano é semelhante ao que se observa</w:t>
      </w:r>
      <w:r>
        <w:rPr>
          <w:spacing w:val="-5"/>
        </w:rPr>
        <w:t> </w:t>
      </w:r>
      <w:r>
        <w:rPr/>
        <w:t>no</w:t>
      </w:r>
      <w:r>
        <w:rPr>
          <w:spacing w:val="-3"/>
        </w:rPr>
        <w:t> </w:t>
      </w:r>
      <w:r>
        <w:rPr/>
        <w:t>estudo</w:t>
      </w:r>
      <w:r>
        <w:rPr>
          <w:spacing w:val="-3"/>
        </w:rPr>
        <w:t> </w:t>
      </w:r>
      <w:r>
        <w:rPr/>
        <w:t>experimental de</w:t>
      </w:r>
      <w:r>
        <w:rPr>
          <w:spacing w:val="-5"/>
        </w:rPr>
        <w:t> </w:t>
      </w:r>
      <w:r>
        <w:rPr/>
        <w:t>isquemia</w:t>
      </w:r>
      <w:r>
        <w:rPr>
          <w:spacing w:val="-5"/>
        </w:rPr>
        <w:t> </w:t>
      </w:r>
      <w:r>
        <w:rPr/>
        <w:t>e</w:t>
      </w:r>
      <w:r>
        <w:rPr>
          <w:spacing w:val="-5"/>
        </w:rPr>
        <w:t> </w:t>
      </w:r>
      <w:r>
        <w:rPr/>
        <w:t>reperfusão</w:t>
      </w:r>
      <w:r>
        <w:rPr>
          <w:spacing w:val="-3"/>
        </w:rPr>
        <w:t> </w:t>
      </w:r>
      <w:r>
        <w:rPr/>
        <w:t>de</w:t>
      </w:r>
      <w:r>
        <w:rPr>
          <w:spacing w:val="-5"/>
        </w:rPr>
        <w:t> </w:t>
      </w:r>
      <w:r>
        <w:rPr/>
        <w:t>membros, sugerindo</w:t>
      </w:r>
      <w:r>
        <w:rPr>
          <w:spacing w:val="-3"/>
        </w:rPr>
        <w:t> </w:t>
      </w:r>
      <w:r>
        <w:rPr/>
        <w:t>que</w:t>
      </w:r>
      <w:r>
        <w:rPr>
          <w:spacing w:val="-5"/>
        </w:rPr>
        <w:t> </w:t>
      </w:r>
      <w:r>
        <w:rPr/>
        <w:t>as lesões tróficas cutâneas da estase venosa crônica acontecem pela manutenção, ao longo dos anos, de mecanismos alternados e transitórios de isquemia e reperfusão.</w:t>
      </w:r>
    </w:p>
    <w:p>
      <w:pPr>
        <w:pStyle w:val="BodyText"/>
        <w:spacing w:before="186"/>
        <w:ind w:left="0" w:firstLine="0"/>
        <w:jc w:val="left"/>
      </w:pPr>
    </w:p>
    <w:p>
      <w:pPr>
        <w:pStyle w:val="Heading4"/>
      </w:pPr>
      <w:r>
        <w:rPr>
          <w:color w:val="242B67"/>
          <w:spacing w:val="-2"/>
        </w:rPr>
        <w:t>Diagnóstico</w:t>
      </w:r>
    </w:p>
    <w:p>
      <w:pPr>
        <w:pStyle w:val="BodyText"/>
        <w:spacing w:line="276" w:lineRule="auto" w:before="132"/>
        <w:ind w:right="492"/>
      </w:pPr>
      <w:r>
        <w:rPr/>
        <w:t>A STVP é diagnosticada por seu quadro clínico e, quando necessário, por exames auxiliares como fotopletismografia, duplex-scan e flebografia.</w:t>
      </w:r>
    </w:p>
    <w:p>
      <w:pPr>
        <w:pStyle w:val="BodyText"/>
        <w:spacing w:line="276" w:lineRule="auto" w:before="64"/>
        <w:ind w:right="491"/>
      </w:pPr>
      <w:r>
        <w:rPr/>
        <w:t>A história pregressa de trombose venosa profunda, a existência de fibrose de subcutâneo e pigmentação castanha</w:t>
      </w:r>
      <w:r>
        <w:rPr>
          <w:spacing w:val="-7"/>
        </w:rPr>
        <w:t> </w:t>
      </w:r>
      <w:r>
        <w:rPr/>
        <w:t>que</w:t>
      </w:r>
      <w:r>
        <w:rPr>
          <w:spacing w:val="-7"/>
        </w:rPr>
        <w:t> </w:t>
      </w:r>
      <w:r>
        <w:rPr/>
        <w:t>se</w:t>
      </w:r>
      <w:r>
        <w:rPr>
          <w:spacing w:val="-7"/>
        </w:rPr>
        <w:t> </w:t>
      </w:r>
      <w:r>
        <w:rPr/>
        <w:t>estabelece</w:t>
      </w:r>
      <w:r>
        <w:rPr>
          <w:spacing w:val="-7"/>
        </w:rPr>
        <w:t> </w:t>
      </w:r>
      <w:r>
        <w:rPr/>
        <w:t>depois de</w:t>
      </w:r>
      <w:r>
        <w:rPr>
          <w:spacing w:val="-7"/>
        </w:rPr>
        <w:t> </w:t>
      </w:r>
      <w:r>
        <w:rPr/>
        <w:t>surtos inflamatórios inespecíficos e</w:t>
      </w:r>
      <w:r>
        <w:rPr>
          <w:spacing w:val="-7"/>
        </w:rPr>
        <w:t> </w:t>
      </w:r>
      <w:r>
        <w:rPr/>
        <w:t>vai</w:t>
      </w:r>
      <w:r>
        <w:rPr>
          <w:spacing w:val="-2"/>
        </w:rPr>
        <w:t> </w:t>
      </w:r>
      <w:r>
        <w:rPr/>
        <w:t>se</w:t>
      </w:r>
      <w:r>
        <w:rPr>
          <w:spacing w:val="-7"/>
        </w:rPr>
        <w:t> </w:t>
      </w:r>
      <w:r>
        <w:rPr/>
        <w:t>estendendo</w:t>
      </w:r>
      <w:r>
        <w:rPr>
          <w:spacing w:val="-4"/>
        </w:rPr>
        <w:t> </w:t>
      </w:r>
      <w:r>
        <w:rPr/>
        <w:t>com</w:t>
      </w:r>
      <w:r>
        <w:rPr>
          <w:spacing w:val="-4"/>
        </w:rPr>
        <w:t> </w:t>
      </w:r>
      <w:r>
        <w:rPr/>
        <w:t>o</w:t>
      </w:r>
      <w:r>
        <w:rPr>
          <w:spacing w:val="-4"/>
        </w:rPr>
        <w:t> </w:t>
      </w:r>
      <w:r>
        <w:rPr/>
        <w:t>passar dos anos e o aparecimento de pequenas úlceras bastante dolorosas nessas áreas, de difícil tratamento e que recidivam com frequência ou aumentam progressivamente, transformando-se em grandes lesões são marcas características da doença. As varizes, quando</w:t>
      </w:r>
      <w:r>
        <w:rPr>
          <w:spacing w:val="-2"/>
        </w:rPr>
        <w:t> </w:t>
      </w:r>
      <w:r>
        <w:rPr/>
        <w:t>presentes, são</w:t>
      </w:r>
      <w:r>
        <w:rPr>
          <w:spacing w:val="-2"/>
        </w:rPr>
        <w:t> </w:t>
      </w:r>
      <w:r>
        <w:rPr/>
        <w:t>sempre</w:t>
      </w:r>
      <w:r>
        <w:rPr>
          <w:spacing w:val="-5"/>
        </w:rPr>
        <w:t> </w:t>
      </w:r>
      <w:r>
        <w:rPr/>
        <w:t>secundárias e</w:t>
      </w:r>
      <w:r>
        <w:rPr>
          <w:spacing w:val="-5"/>
        </w:rPr>
        <w:t> </w:t>
      </w:r>
      <w:r>
        <w:rPr/>
        <w:t>importantes pelas complicações e</w:t>
      </w:r>
      <w:r>
        <w:rPr>
          <w:spacing w:val="-5"/>
        </w:rPr>
        <w:t> </w:t>
      </w:r>
      <w:r>
        <w:rPr/>
        <w:t>extensão.</w:t>
      </w:r>
    </w:p>
    <w:p>
      <w:pPr>
        <w:pStyle w:val="BodyText"/>
        <w:spacing w:line="276" w:lineRule="auto" w:before="49"/>
        <w:ind w:right="491"/>
      </w:pPr>
      <w:r>
        <w:rPr/>
        <w:t>A</w:t>
      </w:r>
      <w:r>
        <w:rPr>
          <w:spacing w:val="-7"/>
        </w:rPr>
        <w:t> </w:t>
      </w:r>
      <w:r>
        <w:rPr/>
        <w:t>sintomatologia</w:t>
      </w:r>
      <w:r>
        <w:rPr>
          <w:spacing w:val="-7"/>
        </w:rPr>
        <w:t> </w:t>
      </w:r>
      <w:r>
        <w:rPr/>
        <w:t>é</w:t>
      </w:r>
      <w:r>
        <w:rPr>
          <w:spacing w:val="-7"/>
        </w:rPr>
        <w:t> </w:t>
      </w:r>
      <w:r>
        <w:rPr/>
        <w:t>bem</w:t>
      </w:r>
      <w:r>
        <w:rPr>
          <w:spacing w:val="-3"/>
        </w:rPr>
        <w:t> </w:t>
      </w:r>
      <w:r>
        <w:rPr/>
        <w:t>mais importante</w:t>
      </w:r>
      <w:r>
        <w:rPr>
          <w:spacing w:val="-7"/>
        </w:rPr>
        <w:t> </w:t>
      </w:r>
      <w:r>
        <w:rPr/>
        <w:t>do</w:t>
      </w:r>
      <w:r>
        <w:rPr>
          <w:spacing w:val="-3"/>
        </w:rPr>
        <w:t> </w:t>
      </w:r>
      <w:r>
        <w:rPr/>
        <w:t>que</w:t>
      </w:r>
      <w:r>
        <w:rPr>
          <w:spacing w:val="-7"/>
        </w:rPr>
        <w:t> </w:t>
      </w:r>
      <w:r>
        <w:rPr/>
        <w:t>nas varizes primárias, com</w:t>
      </w:r>
      <w:r>
        <w:rPr>
          <w:spacing w:val="-3"/>
        </w:rPr>
        <w:t> </w:t>
      </w:r>
      <w:r>
        <w:rPr/>
        <w:t>queixa</w:t>
      </w:r>
      <w:r>
        <w:rPr>
          <w:spacing w:val="-7"/>
        </w:rPr>
        <w:t> </w:t>
      </w:r>
      <w:r>
        <w:rPr/>
        <w:t>de</w:t>
      </w:r>
      <w:r>
        <w:rPr>
          <w:spacing w:val="-7"/>
        </w:rPr>
        <w:t> </w:t>
      </w:r>
      <w:r>
        <w:rPr/>
        <w:t>peso</w:t>
      </w:r>
      <w:r>
        <w:rPr>
          <w:spacing w:val="-3"/>
        </w:rPr>
        <w:t> </w:t>
      </w:r>
      <w:r>
        <w:rPr/>
        <w:t>e</w:t>
      </w:r>
      <w:r>
        <w:rPr>
          <w:spacing w:val="-7"/>
        </w:rPr>
        <w:t> </w:t>
      </w:r>
      <w:r>
        <w:rPr/>
        <w:t>cansaço</w:t>
      </w:r>
      <w:r>
        <w:rPr>
          <w:spacing w:val="-3"/>
        </w:rPr>
        <w:t> </w:t>
      </w:r>
      <w:r>
        <w:rPr/>
        <w:t>acentuado nas pernas, sintomas que aumentam no transcorrer do dia, em dias quentes e no período menstrual e são aliviados com o repouso na cama e com os membros elevados.</w:t>
      </w:r>
    </w:p>
    <w:p>
      <w:pPr>
        <w:pStyle w:val="BodyText"/>
        <w:spacing w:line="276" w:lineRule="auto"/>
        <w:ind w:right="500"/>
      </w:pPr>
      <w:r>
        <w:rPr/>
        <w:t>A localização da fibroesclerose e da pigmentação depende da topografia da estase venosa. Assim, nas varizes primárias, nas quais o</w:t>
      </w:r>
      <w:r>
        <w:rPr>
          <w:spacing w:val="-4"/>
        </w:rPr>
        <w:t> </w:t>
      </w:r>
      <w:r>
        <w:rPr/>
        <w:t>comprometimento</w:t>
      </w:r>
      <w:r>
        <w:rPr>
          <w:spacing w:val="-4"/>
        </w:rPr>
        <w:t> </w:t>
      </w:r>
      <w:r>
        <w:rPr/>
        <w:t>da</w:t>
      </w:r>
      <w:r>
        <w:rPr>
          <w:spacing w:val="-7"/>
        </w:rPr>
        <w:t> </w:t>
      </w:r>
      <w:r>
        <w:rPr/>
        <w:t>veia</w:t>
      </w:r>
      <w:r>
        <w:rPr>
          <w:spacing w:val="-7"/>
        </w:rPr>
        <w:t> </w:t>
      </w:r>
      <w:r>
        <w:rPr/>
        <w:t>safena</w:t>
      </w:r>
      <w:r>
        <w:rPr>
          <w:spacing w:val="-7"/>
        </w:rPr>
        <w:t> </w:t>
      </w:r>
      <w:r>
        <w:rPr/>
        <w:t>magna</w:t>
      </w:r>
      <w:r>
        <w:rPr>
          <w:spacing w:val="-7"/>
        </w:rPr>
        <w:t> </w:t>
      </w:r>
      <w:r>
        <w:rPr/>
        <w:t>e</w:t>
      </w:r>
      <w:r>
        <w:rPr>
          <w:spacing w:val="-7"/>
        </w:rPr>
        <w:t> </w:t>
      </w:r>
      <w:r>
        <w:rPr/>
        <w:t>perfurantes da</w:t>
      </w:r>
      <w:r>
        <w:rPr>
          <w:spacing w:val="-7"/>
        </w:rPr>
        <w:t> </w:t>
      </w:r>
      <w:r>
        <w:rPr/>
        <w:t>face</w:t>
      </w:r>
      <w:r>
        <w:rPr>
          <w:spacing w:val="-7"/>
        </w:rPr>
        <w:t> </w:t>
      </w:r>
      <w:r>
        <w:rPr/>
        <w:t>interna</w:t>
      </w:r>
      <w:r>
        <w:rPr>
          <w:spacing w:val="-7"/>
        </w:rPr>
        <w:t> </w:t>
      </w:r>
      <w:r>
        <w:rPr/>
        <w:t>e</w:t>
      </w:r>
      <w:r>
        <w:rPr>
          <w:spacing w:val="-7"/>
        </w:rPr>
        <w:t> </w:t>
      </w:r>
      <w:r>
        <w:rPr/>
        <w:t>distal</w:t>
      </w:r>
      <w:r>
        <w:rPr>
          <w:spacing w:val="-1"/>
        </w:rPr>
        <w:t> </w:t>
      </w:r>
      <w:r>
        <w:rPr/>
        <w:t>da</w:t>
      </w:r>
      <w:r>
        <w:rPr>
          <w:spacing w:val="-7"/>
        </w:rPr>
        <w:t> </w:t>
      </w:r>
      <w:r>
        <w:rPr/>
        <w:t>perna</w:t>
      </w:r>
      <w:r>
        <w:rPr>
          <w:spacing w:val="-7"/>
        </w:rPr>
        <w:t> </w:t>
      </w:r>
      <w:r>
        <w:rPr/>
        <w:t>é</w:t>
      </w:r>
      <w:r>
        <w:rPr>
          <w:spacing w:val="-7"/>
        </w:rPr>
        <w:t> </w:t>
      </w:r>
      <w:r>
        <w:rPr/>
        <w:t>mais frequente, as lesões tróficas se situam mais em face interna e distal da perna. Na STVP, as lesões têm distribuição mais extensa, em bota ou meia, comprometendo todo o terço distal da perna.</w:t>
      </w:r>
    </w:p>
    <w:p>
      <w:pPr>
        <w:pStyle w:val="BodyText"/>
        <w:spacing w:line="276" w:lineRule="auto" w:before="64"/>
        <w:ind w:right="500"/>
      </w:pPr>
      <w:r>
        <w:rPr/>
        <w:t>Surtos</w:t>
      </w:r>
      <w:r>
        <w:rPr>
          <w:spacing w:val="-2"/>
        </w:rPr>
        <w:t> </w:t>
      </w:r>
      <w:r>
        <w:rPr/>
        <w:t>de</w:t>
      </w:r>
      <w:r>
        <w:rPr>
          <w:spacing w:val="-11"/>
        </w:rPr>
        <w:t> </w:t>
      </w:r>
      <w:r>
        <w:rPr/>
        <w:t>celulite</w:t>
      </w:r>
      <w:r>
        <w:rPr>
          <w:spacing w:val="-11"/>
        </w:rPr>
        <w:t> </w:t>
      </w:r>
      <w:r>
        <w:rPr/>
        <w:t>e</w:t>
      </w:r>
      <w:r>
        <w:rPr>
          <w:spacing w:val="-11"/>
        </w:rPr>
        <w:t> </w:t>
      </w:r>
      <w:r>
        <w:rPr/>
        <w:t>erisipela</w:t>
      </w:r>
      <w:r>
        <w:rPr>
          <w:spacing w:val="-11"/>
        </w:rPr>
        <w:t> </w:t>
      </w:r>
      <w:r>
        <w:rPr/>
        <w:t>e</w:t>
      </w:r>
      <w:r>
        <w:rPr>
          <w:spacing w:val="-11"/>
        </w:rPr>
        <w:t> </w:t>
      </w:r>
      <w:r>
        <w:rPr/>
        <w:t>eczema</w:t>
      </w:r>
      <w:r>
        <w:rPr>
          <w:spacing w:val="-11"/>
        </w:rPr>
        <w:t> </w:t>
      </w:r>
      <w:r>
        <w:rPr/>
        <w:t>úmido</w:t>
      </w:r>
      <w:r>
        <w:rPr>
          <w:spacing w:val="-9"/>
        </w:rPr>
        <w:t> </w:t>
      </w:r>
      <w:r>
        <w:rPr/>
        <w:t>ou</w:t>
      </w:r>
      <w:r>
        <w:rPr>
          <w:spacing w:val="-9"/>
        </w:rPr>
        <w:t> </w:t>
      </w:r>
      <w:r>
        <w:rPr/>
        <w:t>seco</w:t>
      </w:r>
      <w:r>
        <w:rPr>
          <w:spacing w:val="-9"/>
        </w:rPr>
        <w:t> </w:t>
      </w:r>
      <w:r>
        <w:rPr/>
        <w:t>são</w:t>
      </w:r>
      <w:r>
        <w:rPr>
          <w:spacing w:val="-9"/>
        </w:rPr>
        <w:t> </w:t>
      </w:r>
      <w:r>
        <w:rPr/>
        <w:t>eventos</w:t>
      </w:r>
      <w:r>
        <w:rPr>
          <w:spacing w:val="-2"/>
        </w:rPr>
        <w:t> </w:t>
      </w:r>
      <w:r>
        <w:rPr/>
        <w:t>observados</w:t>
      </w:r>
      <w:r>
        <w:rPr>
          <w:spacing w:val="-2"/>
        </w:rPr>
        <w:t> </w:t>
      </w:r>
      <w:r>
        <w:rPr/>
        <w:t>ocasionalmente</w:t>
      </w:r>
      <w:r>
        <w:rPr>
          <w:spacing w:val="-11"/>
        </w:rPr>
        <w:t> </w:t>
      </w:r>
      <w:r>
        <w:rPr/>
        <w:t>em</w:t>
      </w:r>
      <w:r>
        <w:rPr>
          <w:spacing w:val="-9"/>
        </w:rPr>
        <w:t> </w:t>
      </w:r>
      <w:r>
        <w:rPr/>
        <w:t>alguns</w:t>
      </w:r>
      <w:r>
        <w:rPr>
          <w:spacing w:val="-2"/>
        </w:rPr>
        <w:t> </w:t>
      </w:r>
      <w:r>
        <w:rPr/>
        <w:t>doentes e complicam ainda mais as lesões preexistentes.</w:t>
      </w:r>
    </w:p>
    <w:p>
      <w:pPr>
        <w:pStyle w:val="BodyText"/>
        <w:spacing w:line="276" w:lineRule="auto" w:before="49"/>
        <w:ind w:right="488"/>
      </w:pPr>
      <w:r>
        <w:rPr/>
        <w:t>A</w:t>
      </w:r>
      <w:r>
        <w:rPr>
          <w:spacing w:val="-1"/>
        </w:rPr>
        <w:t> </w:t>
      </w:r>
      <w:r>
        <w:rPr/>
        <w:t>úlcera, na</w:t>
      </w:r>
      <w:r>
        <w:rPr>
          <w:spacing w:val="-1"/>
        </w:rPr>
        <w:t> </w:t>
      </w:r>
      <w:r>
        <w:rPr/>
        <w:t>STVP, é</w:t>
      </w:r>
      <w:r>
        <w:rPr>
          <w:spacing w:val="-1"/>
        </w:rPr>
        <w:t> </w:t>
      </w:r>
      <w:r>
        <w:rPr/>
        <w:t>a</w:t>
      </w:r>
      <w:r>
        <w:rPr>
          <w:spacing w:val="-1"/>
        </w:rPr>
        <w:t> </w:t>
      </w:r>
      <w:r>
        <w:rPr/>
        <w:t>mais característica</w:t>
      </w:r>
      <w:r>
        <w:rPr>
          <w:spacing w:val="-1"/>
        </w:rPr>
        <w:t> </w:t>
      </w:r>
      <w:r>
        <w:rPr/>
        <w:t>das que</w:t>
      </w:r>
      <w:r>
        <w:rPr>
          <w:spacing w:val="-1"/>
        </w:rPr>
        <w:t> </w:t>
      </w:r>
      <w:r>
        <w:rPr/>
        <w:t>acometem os membros inferiores porque</w:t>
      </w:r>
      <w:r>
        <w:rPr>
          <w:spacing w:val="-1"/>
        </w:rPr>
        <w:t> </w:t>
      </w:r>
      <w:r>
        <w:rPr/>
        <w:t>sempre</w:t>
      </w:r>
      <w:r>
        <w:rPr>
          <w:spacing w:val="-1"/>
        </w:rPr>
        <w:t> </w:t>
      </w:r>
      <w:r>
        <w:rPr/>
        <w:t>se</w:t>
      </w:r>
      <w:r>
        <w:rPr>
          <w:spacing w:val="-1"/>
        </w:rPr>
        <w:t> </w:t>
      </w:r>
      <w:r>
        <w:rPr/>
        <w:t>localiza no interior da área de fibrose e pigmentação; inicia-se de forma espontânea ou traumática, tem tamanho e profundidade variáveis com diversas cicatrizações e recidivas. Enquanto as úlceras varicosas só doem quando infectadas, estas são quase sempre muito doloridas e sintomáticas.</w:t>
      </w:r>
    </w:p>
    <w:p>
      <w:pPr>
        <w:pStyle w:val="BodyText"/>
        <w:spacing w:after="0" w:line="276" w:lineRule="auto"/>
        <w:sectPr>
          <w:pgSz w:w="11900" w:h="16840"/>
          <w:pgMar w:top="140" w:bottom="280" w:left="566" w:right="141"/>
        </w:sectPr>
      </w:pPr>
    </w:p>
    <w:p>
      <w:pPr>
        <w:pStyle w:val="BodyText"/>
        <w:spacing w:line="276" w:lineRule="auto" w:before="68"/>
        <w:ind w:right="491"/>
      </w:pPr>
      <w:r>
        <w:rPr/>
        <w:t>A fotopletismografia foi usada inicialmente por Barnes </w:t>
      </w:r>
      <w:r>
        <w:rPr>
          <w:i/>
        </w:rPr>
        <w:t>et al. </w:t>
      </w:r>
      <w:r>
        <w:rPr/>
        <w:t>em 1973 e baseia-se no enchimento do leito capilar, após seu</w:t>
      </w:r>
      <w:r>
        <w:rPr>
          <w:spacing w:val="-6"/>
        </w:rPr>
        <w:t> </w:t>
      </w:r>
      <w:r>
        <w:rPr/>
        <w:t>esvaziamento</w:t>
      </w:r>
      <w:r>
        <w:rPr>
          <w:spacing w:val="-6"/>
        </w:rPr>
        <w:t> </w:t>
      </w:r>
      <w:r>
        <w:rPr/>
        <w:t>com</w:t>
      </w:r>
      <w:r>
        <w:rPr>
          <w:spacing w:val="-6"/>
        </w:rPr>
        <w:t> </w:t>
      </w:r>
      <w:r>
        <w:rPr/>
        <w:t>manobras de</w:t>
      </w:r>
      <w:r>
        <w:rPr>
          <w:spacing w:val="-8"/>
        </w:rPr>
        <w:t> </w:t>
      </w:r>
      <w:r>
        <w:rPr/>
        <w:t>flexão</w:t>
      </w:r>
      <w:r>
        <w:rPr>
          <w:spacing w:val="-6"/>
        </w:rPr>
        <w:t> </w:t>
      </w:r>
      <w:r>
        <w:rPr/>
        <w:t>e</w:t>
      </w:r>
      <w:r>
        <w:rPr>
          <w:spacing w:val="-8"/>
        </w:rPr>
        <w:t> </w:t>
      </w:r>
      <w:r>
        <w:rPr/>
        <w:t>extensão</w:t>
      </w:r>
      <w:r>
        <w:rPr>
          <w:spacing w:val="-6"/>
        </w:rPr>
        <w:t> </w:t>
      </w:r>
      <w:r>
        <w:rPr/>
        <w:t>do</w:t>
      </w:r>
      <w:r>
        <w:rPr>
          <w:spacing w:val="-6"/>
        </w:rPr>
        <w:t> </w:t>
      </w:r>
      <w:r>
        <w:rPr/>
        <w:t>pé</w:t>
      </w:r>
      <w:r>
        <w:rPr>
          <w:spacing w:val="-8"/>
        </w:rPr>
        <w:t> </w:t>
      </w:r>
      <w:r>
        <w:rPr/>
        <w:t>e</w:t>
      </w:r>
      <w:r>
        <w:rPr>
          <w:spacing w:val="-8"/>
        </w:rPr>
        <w:t> </w:t>
      </w:r>
      <w:r>
        <w:rPr/>
        <w:t>perna;</w:t>
      </w:r>
      <w:r>
        <w:rPr>
          <w:spacing w:val="-3"/>
        </w:rPr>
        <w:t> </w:t>
      </w:r>
      <w:r>
        <w:rPr/>
        <w:t>valor abaixo</w:t>
      </w:r>
      <w:r>
        <w:rPr>
          <w:spacing w:val="-6"/>
        </w:rPr>
        <w:t> </w:t>
      </w:r>
      <w:r>
        <w:rPr/>
        <w:t>de</w:t>
      </w:r>
      <w:r>
        <w:rPr>
          <w:spacing w:val="-8"/>
        </w:rPr>
        <w:t> </w:t>
      </w:r>
      <w:r>
        <w:rPr/>
        <w:t>20</w:t>
      </w:r>
      <w:r>
        <w:rPr>
          <w:spacing w:val="-6"/>
        </w:rPr>
        <w:t> </w:t>
      </w:r>
      <w:r>
        <w:rPr/>
        <w:t>s é</w:t>
      </w:r>
      <w:r>
        <w:rPr>
          <w:spacing w:val="-8"/>
        </w:rPr>
        <w:t> </w:t>
      </w:r>
      <w:r>
        <w:rPr/>
        <w:t>compatível com estase venosa crônica.</w:t>
      </w:r>
    </w:p>
    <w:p>
      <w:pPr>
        <w:pStyle w:val="BodyText"/>
        <w:spacing w:line="283" w:lineRule="auto"/>
        <w:ind w:right="497"/>
      </w:pPr>
      <w:r>
        <w:rPr/>
        <w:t>O uso do ultrassom, associado ao efeito Doppler, caracteriza o mapeamento duplex utilizado inicialmente por Szendro </w:t>
      </w:r>
      <w:r>
        <w:rPr>
          <w:i/>
        </w:rPr>
        <w:t>et al.</w:t>
      </w:r>
      <w:r>
        <w:rPr>
          <w:vertAlign w:val="superscript"/>
        </w:rPr>
        <w:t>41</w:t>
      </w:r>
      <w:r>
        <w:rPr>
          <w:vertAlign w:val="baseline"/>
        </w:rPr>
        <w:t> É exame excelente, pois mostra oclusões, refluxos por lesão e insuficiência valvular, além de permitir a</w:t>
      </w:r>
      <w:r>
        <w:rPr>
          <w:spacing w:val="-6"/>
          <w:vertAlign w:val="baseline"/>
        </w:rPr>
        <w:t> </w:t>
      </w:r>
      <w:r>
        <w:rPr>
          <w:vertAlign w:val="baseline"/>
        </w:rPr>
        <w:t>medida</w:t>
      </w:r>
      <w:r>
        <w:rPr>
          <w:spacing w:val="-6"/>
          <w:vertAlign w:val="baseline"/>
        </w:rPr>
        <w:t> </w:t>
      </w:r>
      <w:r>
        <w:rPr>
          <w:vertAlign w:val="baseline"/>
        </w:rPr>
        <w:t>do</w:t>
      </w:r>
      <w:r>
        <w:rPr>
          <w:spacing w:val="-4"/>
          <w:vertAlign w:val="baseline"/>
        </w:rPr>
        <w:t> </w:t>
      </w:r>
      <w:r>
        <w:rPr>
          <w:vertAlign w:val="baseline"/>
        </w:rPr>
        <w:t>refluxo</w:t>
      </w:r>
      <w:r>
        <w:rPr>
          <w:spacing w:val="-4"/>
          <w:vertAlign w:val="baseline"/>
        </w:rPr>
        <w:t> </w:t>
      </w:r>
      <w:r>
        <w:rPr>
          <w:vertAlign w:val="baseline"/>
        </w:rPr>
        <w:t>em</w:t>
      </w:r>
      <w:r>
        <w:rPr>
          <w:spacing w:val="-4"/>
          <w:vertAlign w:val="baseline"/>
        </w:rPr>
        <w:t> </w:t>
      </w:r>
      <w:r>
        <w:rPr>
          <w:vertAlign w:val="baseline"/>
        </w:rPr>
        <w:t>mm/s, bem</w:t>
      </w:r>
      <w:r>
        <w:rPr>
          <w:spacing w:val="-4"/>
          <w:vertAlign w:val="baseline"/>
        </w:rPr>
        <w:t> </w:t>
      </w:r>
      <w:r>
        <w:rPr>
          <w:vertAlign w:val="baseline"/>
        </w:rPr>
        <w:t>como</w:t>
      </w:r>
      <w:r>
        <w:rPr>
          <w:spacing w:val="-4"/>
          <w:vertAlign w:val="baseline"/>
        </w:rPr>
        <w:t> </w:t>
      </w:r>
      <w:r>
        <w:rPr>
          <w:vertAlign w:val="baseline"/>
        </w:rPr>
        <w:t>o</w:t>
      </w:r>
      <w:r>
        <w:rPr>
          <w:spacing w:val="-4"/>
          <w:vertAlign w:val="baseline"/>
        </w:rPr>
        <w:t> </w:t>
      </w:r>
      <w:r>
        <w:rPr>
          <w:vertAlign w:val="baseline"/>
        </w:rPr>
        <w:t>tempo</w:t>
      </w:r>
      <w:r>
        <w:rPr>
          <w:spacing w:val="-4"/>
          <w:vertAlign w:val="baseline"/>
        </w:rPr>
        <w:t> </w:t>
      </w:r>
      <w:r>
        <w:rPr>
          <w:vertAlign w:val="baseline"/>
        </w:rPr>
        <w:t>de</w:t>
      </w:r>
      <w:r>
        <w:rPr>
          <w:spacing w:val="-6"/>
          <w:vertAlign w:val="baseline"/>
        </w:rPr>
        <w:t> </w:t>
      </w:r>
      <w:r>
        <w:rPr>
          <w:vertAlign w:val="baseline"/>
        </w:rPr>
        <w:t>fechamento</w:t>
      </w:r>
      <w:r>
        <w:rPr>
          <w:spacing w:val="-4"/>
          <w:vertAlign w:val="baseline"/>
        </w:rPr>
        <w:t> </w:t>
      </w:r>
      <w:r>
        <w:rPr>
          <w:vertAlign w:val="baseline"/>
        </w:rPr>
        <w:t>valvular e</w:t>
      </w:r>
      <w:r>
        <w:rPr>
          <w:spacing w:val="-6"/>
          <w:vertAlign w:val="baseline"/>
        </w:rPr>
        <w:t> </w:t>
      </w:r>
      <w:r>
        <w:rPr>
          <w:vertAlign w:val="baseline"/>
        </w:rPr>
        <w:t>a</w:t>
      </w:r>
      <w:r>
        <w:rPr>
          <w:spacing w:val="-6"/>
          <w:vertAlign w:val="baseline"/>
        </w:rPr>
        <w:t> </w:t>
      </w:r>
      <w:r>
        <w:rPr>
          <w:vertAlign w:val="baseline"/>
        </w:rPr>
        <w:t>velocidade</w:t>
      </w:r>
      <w:r>
        <w:rPr>
          <w:spacing w:val="-6"/>
          <w:vertAlign w:val="baseline"/>
        </w:rPr>
        <w:t> </w:t>
      </w:r>
      <w:r>
        <w:rPr>
          <w:vertAlign w:val="baseline"/>
        </w:rPr>
        <w:t>do</w:t>
      </w:r>
      <w:r>
        <w:rPr>
          <w:spacing w:val="-4"/>
          <w:vertAlign w:val="baseline"/>
        </w:rPr>
        <w:t> </w:t>
      </w:r>
      <w:r>
        <w:rPr>
          <w:vertAlign w:val="baseline"/>
        </w:rPr>
        <w:t>pico</w:t>
      </w:r>
      <w:r>
        <w:rPr>
          <w:spacing w:val="-4"/>
          <w:vertAlign w:val="baseline"/>
        </w:rPr>
        <w:t> </w:t>
      </w:r>
      <w:r>
        <w:rPr>
          <w:vertAlign w:val="baseline"/>
        </w:rPr>
        <w:t>sistólico.</w:t>
      </w:r>
    </w:p>
    <w:p>
      <w:pPr>
        <w:pStyle w:val="BodyText"/>
        <w:spacing w:line="276" w:lineRule="auto" w:before="41"/>
        <w:ind w:right="497"/>
      </w:pPr>
      <w:r>
        <w:rPr/>
        <w:t>O exame mais antigo e tido como padrão-ouro no estudo da STVP é a flebografia realizada segundo duas modalidades técnicas: ascendente e descendente. A primeira mostra aspectos predominantemente morfológicos como paredes, válvulas e lúmen, ao passo que a segunda caracteriza os aspectos funcionais, particularmente os refluxos venosos. Pela alta especificidade e sensibilidade, é considerada o exame ideal, embora na maioria dos casos seja muito bem substituída pelo duplex-scan, que caracteriza a morfologia e a funcionalidade do sistema venoso, e não é invasivo.</w:t>
      </w:r>
    </w:p>
    <w:p>
      <w:pPr>
        <w:pStyle w:val="BodyText"/>
        <w:spacing w:before="186"/>
        <w:ind w:left="0" w:firstLine="0"/>
        <w:jc w:val="left"/>
      </w:pPr>
    </w:p>
    <w:p>
      <w:pPr>
        <w:pStyle w:val="Heading4"/>
      </w:pPr>
      <w:r>
        <w:rPr>
          <w:color w:val="242B67"/>
          <w:spacing w:val="-2"/>
        </w:rPr>
        <w:t>Tratamento</w:t>
      </w:r>
    </w:p>
    <w:p>
      <w:pPr>
        <w:pStyle w:val="BodyText"/>
        <w:spacing w:line="276" w:lineRule="auto" w:before="132"/>
        <w:ind w:right="490"/>
      </w:pPr>
      <w:r>
        <w:rPr/>
        <w:t>O tratamento da STVP pode ser abordado sob dois aspectos: etiopatogênico e das lesões tróficas. O primeiro tem como objetivo combater o aumento de pressão venosa ou corrigir os mecanismos responsáveis por esse aumento, ou seja, as oclusões ou lesões valvulares do sistema venoso profundo. A terapêutica das lesões tróficas envolve</w:t>
      </w:r>
      <w:r>
        <w:rPr>
          <w:spacing w:val="-1"/>
        </w:rPr>
        <w:t> </w:t>
      </w:r>
      <w:r>
        <w:rPr/>
        <w:t>cuidados com a</w:t>
      </w:r>
      <w:r>
        <w:rPr>
          <w:spacing w:val="-1"/>
        </w:rPr>
        <w:t> </w:t>
      </w:r>
      <w:r>
        <w:rPr/>
        <w:t>fibrose</w:t>
      </w:r>
      <w:r>
        <w:rPr>
          <w:spacing w:val="-1"/>
        </w:rPr>
        <w:t> </w:t>
      </w:r>
      <w:r>
        <w:rPr/>
        <w:t>e</w:t>
      </w:r>
      <w:r>
        <w:rPr>
          <w:spacing w:val="-1"/>
        </w:rPr>
        <w:t> </w:t>
      </w:r>
      <w:r>
        <w:rPr/>
        <w:t>pigmentação de</w:t>
      </w:r>
      <w:r>
        <w:rPr>
          <w:spacing w:val="-1"/>
        </w:rPr>
        <w:t> </w:t>
      </w:r>
      <w:r>
        <w:rPr/>
        <w:t>pele</w:t>
      </w:r>
      <w:r>
        <w:rPr>
          <w:spacing w:val="-1"/>
        </w:rPr>
        <w:t> </w:t>
      </w:r>
      <w:r>
        <w:rPr/>
        <w:t>e</w:t>
      </w:r>
      <w:r>
        <w:rPr>
          <w:spacing w:val="-1"/>
        </w:rPr>
        <w:t> </w:t>
      </w:r>
      <w:r>
        <w:rPr/>
        <w:t>subcutâneo e</w:t>
      </w:r>
      <w:r>
        <w:rPr>
          <w:spacing w:val="-1"/>
        </w:rPr>
        <w:t> </w:t>
      </w:r>
      <w:r>
        <w:rPr/>
        <w:t>com a</w:t>
      </w:r>
      <w:r>
        <w:rPr>
          <w:spacing w:val="-1"/>
        </w:rPr>
        <w:t> </w:t>
      </w:r>
      <w:r>
        <w:rPr/>
        <w:t>úlcera</w:t>
      </w:r>
      <w:r>
        <w:rPr>
          <w:spacing w:val="-1"/>
        </w:rPr>
        <w:t> </w:t>
      </w:r>
      <w:r>
        <w:rPr/>
        <w:t>de</w:t>
      </w:r>
      <w:r>
        <w:rPr>
          <w:spacing w:val="-1"/>
        </w:rPr>
        <w:t> </w:t>
      </w:r>
      <w:r>
        <w:rPr/>
        <w:t>estase.</w:t>
      </w:r>
    </w:p>
    <w:p>
      <w:pPr>
        <w:pStyle w:val="BodyText"/>
        <w:spacing w:line="276" w:lineRule="auto" w:before="64"/>
        <w:ind w:right="498"/>
      </w:pPr>
      <w:r>
        <w:rPr/>
        <w:t>O aumento da pressão venosa deambulatória pode ser resolvido ou minimizado com o uso de meias ou faixas elásticas. As meias são mais práticas e efetivas, pois oferecem uma compressão gradual de valor segmentar constante e que se reduz proximalmente. Nesses doentes, preferem-se as meias que dão compressão superior a 40 mmHg</w:t>
      </w:r>
      <w:r>
        <w:rPr>
          <w:spacing w:val="-2"/>
        </w:rPr>
        <w:t> </w:t>
      </w:r>
      <w:r>
        <w:rPr/>
        <w:t>conhecidas como</w:t>
      </w:r>
      <w:r>
        <w:rPr>
          <w:spacing w:val="-2"/>
        </w:rPr>
        <w:t> </w:t>
      </w:r>
      <w:r>
        <w:rPr/>
        <w:t>meias de</w:t>
      </w:r>
      <w:r>
        <w:rPr>
          <w:spacing w:val="-5"/>
        </w:rPr>
        <w:t> </w:t>
      </w:r>
      <w:r>
        <w:rPr/>
        <w:t>alta</w:t>
      </w:r>
      <w:r>
        <w:rPr>
          <w:spacing w:val="-5"/>
        </w:rPr>
        <w:t> </w:t>
      </w:r>
      <w:r>
        <w:rPr/>
        <w:t>compressão; funcionam</w:t>
      </w:r>
      <w:r>
        <w:rPr>
          <w:spacing w:val="-2"/>
        </w:rPr>
        <w:t> </w:t>
      </w:r>
      <w:r>
        <w:rPr/>
        <w:t>acopladas à</w:t>
      </w:r>
      <w:r>
        <w:rPr>
          <w:spacing w:val="-5"/>
        </w:rPr>
        <w:t> </w:t>
      </w:r>
      <w:r>
        <w:rPr/>
        <w:t>musculatura</w:t>
      </w:r>
      <w:r>
        <w:rPr>
          <w:spacing w:val="-5"/>
        </w:rPr>
        <w:t> </w:t>
      </w:r>
      <w:r>
        <w:rPr/>
        <w:t>da</w:t>
      </w:r>
      <w:r>
        <w:rPr>
          <w:spacing w:val="-5"/>
        </w:rPr>
        <w:t> </w:t>
      </w:r>
      <w:r>
        <w:rPr/>
        <w:t>panturrilha, preferindo-se as curtas até o joelho ou o modelo “meia-calça”. Para desempenhar sua função com perfeição, é necessário que as articulações do membro inferior estejam livres e o movimento deambulatório seja normal.</w:t>
      </w:r>
    </w:p>
    <w:p>
      <w:pPr>
        <w:pStyle w:val="BodyText"/>
        <w:spacing w:line="276" w:lineRule="auto"/>
        <w:ind w:right="491"/>
      </w:pPr>
      <w:r>
        <w:rPr/>
        <w:t>Para</w:t>
      </w:r>
      <w:r>
        <w:rPr>
          <w:spacing w:val="-1"/>
        </w:rPr>
        <w:t> </w:t>
      </w:r>
      <w:r>
        <w:rPr/>
        <w:t>correção das lesões valvulares secundárias à</w:t>
      </w:r>
      <w:r>
        <w:rPr>
          <w:spacing w:val="-1"/>
        </w:rPr>
        <w:t> </w:t>
      </w:r>
      <w:r>
        <w:rPr/>
        <w:t>recanalização das tromboses, várias técnicas de</w:t>
      </w:r>
      <w:r>
        <w:rPr>
          <w:spacing w:val="-1"/>
        </w:rPr>
        <w:t> </w:t>
      </w:r>
      <w:r>
        <w:rPr/>
        <w:t>reconstrução são preconizadas como valvuloplastias, transplantes de segmentos venosos valvulados ou mesmo derivações venosas que</w:t>
      </w:r>
      <w:r>
        <w:rPr>
          <w:spacing w:val="-2"/>
        </w:rPr>
        <w:t> </w:t>
      </w:r>
      <w:r>
        <w:rPr/>
        <w:t>têm resultados precários a</w:t>
      </w:r>
      <w:r>
        <w:rPr>
          <w:spacing w:val="-2"/>
        </w:rPr>
        <w:t> </w:t>
      </w:r>
      <w:r>
        <w:rPr/>
        <w:t>curto ou longo prazo. Quando não há</w:t>
      </w:r>
      <w:r>
        <w:rPr>
          <w:spacing w:val="-2"/>
        </w:rPr>
        <w:t> </w:t>
      </w:r>
      <w:r>
        <w:rPr/>
        <w:t>recanalização da</w:t>
      </w:r>
      <w:r>
        <w:rPr>
          <w:spacing w:val="-2"/>
        </w:rPr>
        <w:t> </w:t>
      </w:r>
      <w:r>
        <w:rPr/>
        <w:t>veia, a</w:t>
      </w:r>
      <w:r>
        <w:rPr>
          <w:spacing w:val="-2"/>
        </w:rPr>
        <w:t> </w:t>
      </w:r>
      <w:r>
        <w:rPr/>
        <w:t>cirurgia</w:t>
      </w:r>
      <w:r>
        <w:rPr>
          <w:spacing w:val="-2"/>
        </w:rPr>
        <w:t> </w:t>
      </w:r>
      <w:r>
        <w:rPr/>
        <w:t>mais indicada, em</w:t>
      </w:r>
      <w:r>
        <w:rPr>
          <w:spacing w:val="-5"/>
        </w:rPr>
        <w:t> </w:t>
      </w:r>
      <w:r>
        <w:rPr/>
        <w:t>casos de</w:t>
      </w:r>
      <w:r>
        <w:rPr>
          <w:spacing w:val="-8"/>
        </w:rPr>
        <w:t> </w:t>
      </w:r>
      <w:r>
        <w:rPr/>
        <w:t>trombose</w:t>
      </w:r>
      <w:r>
        <w:rPr>
          <w:spacing w:val="-8"/>
        </w:rPr>
        <w:t> </w:t>
      </w:r>
      <w:r>
        <w:rPr/>
        <w:t>de</w:t>
      </w:r>
      <w:r>
        <w:rPr>
          <w:spacing w:val="-8"/>
        </w:rPr>
        <w:t> </w:t>
      </w:r>
      <w:r>
        <w:rPr/>
        <w:t>veia</w:t>
      </w:r>
      <w:r>
        <w:rPr>
          <w:spacing w:val="-8"/>
        </w:rPr>
        <w:t> </w:t>
      </w:r>
      <w:r>
        <w:rPr/>
        <w:t>ilíaca, é</w:t>
      </w:r>
      <w:r>
        <w:rPr>
          <w:spacing w:val="-8"/>
        </w:rPr>
        <w:t> </w:t>
      </w:r>
      <w:r>
        <w:rPr/>
        <w:t>a</w:t>
      </w:r>
      <w:r>
        <w:rPr>
          <w:spacing w:val="-8"/>
        </w:rPr>
        <w:t> </w:t>
      </w:r>
      <w:r>
        <w:rPr/>
        <w:t>de</w:t>
      </w:r>
      <w:r>
        <w:rPr>
          <w:spacing w:val="-8"/>
        </w:rPr>
        <w:t> </w:t>
      </w:r>
      <w:r>
        <w:rPr/>
        <w:t>Palma</w:t>
      </w:r>
      <w:r>
        <w:rPr>
          <w:spacing w:val="-8"/>
        </w:rPr>
        <w:t> </w:t>
      </w:r>
      <w:r>
        <w:rPr/>
        <w:t>e</w:t>
      </w:r>
      <w:r>
        <w:rPr>
          <w:spacing w:val="-8"/>
        </w:rPr>
        <w:t> </w:t>
      </w:r>
      <w:r>
        <w:rPr/>
        <w:t>Esperon, que</w:t>
      </w:r>
      <w:r>
        <w:rPr>
          <w:spacing w:val="-8"/>
        </w:rPr>
        <w:t> </w:t>
      </w:r>
      <w:r>
        <w:rPr/>
        <w:t>consiste</w:t>
      </w:r>
      <w:r>
        <w:rPr>
          <w:spacing w:val="-8"/>
        </w:rPr>
        <w:t> </w:t>
      </w:r>
      <w:r>
        <w:rPr/>
        <w:t>em</w:t>
      </w:r>
      <w:r>
        <w:rPr>
          <w:spacing w:val="-5"/>
        </w:rPr>
        <w:t> </w:t>
      </w:r>
      <w:r>
        <w:rPr/>
        <w:t>derivar a</w:t>
      </w:r>
      <w:r>
        <w:rPr>
          <w:spacing w:val="-8"/>
        </w:rPr>
        <w:t> </w:t>
      </w:r>
      <w:r>
        <w:rPr/>
        <w:t>corrente</w:t>
      </w:r>
      <w:r>
        <w:rPr>
          <w:spacing w:val="-8"/>
        </w:rPr>
        <w:t> </w:t>
      </w:r>
      <w:r>
        <w:rPr/>
        <w:t>sanguínea venosa</w:t>
      </w:r>
      <w:r>
        <w:rPr>
          <w:spacing w:val="-1"/>
        </w:rPr>
        <w:t> </w:t>
      </w:r>
      <w:r>
        <w:rPr/>
        <w:t>do membro doente</w:t>
      </w:r>
      <w:r>
        <w:rPr>
          <w:spacing w:val="-1"/>
        </w:rPr>
        <w:t> </w:t>
      </w:r>
      <w:r>
        <w:rPr/>
        <w:t>para</w:t>
      </w:r>
      <w:r>
        <w:rPr>
          <w:spacing w:val="-1"/>
        </w:rPr>
        <w:t> </w:t>
      </w:r>
      <w:r>
        <w:rPr/>
        <w:t>o membro são por meio de</w:t>
      </w:r>
      <w:r>
        <w:rPr>
          <w:spacing w:val="-1"/>
        </w:rPr>
        <w:t> </w:t>
      </w:r>
      <w:r>
        <w:rPr/>
        <w:t>ponte</w:t>
      </w:r>
      <w:r>
        <w:rPr>
          <w:spacing w:val="-1"/>
        </w:rPr>
        <w:t> </w:t>
      </w:r>
      <w:r>
        <w:rPr/>
        <w:t>de</w:t>
      </w:r>
      <w:r>
        <w:rPr>
          <w:spacing w:val="-1"/>
        </w:rPr>
        <w:t> </w:t>
      </w:r>
      <w:r>
        <w:rPr/>
        <w:t>veia</w:t>
      </w:r>
      <w:r>
        <w:rPr>
          <w:spacing w:val="-1"/>
        </w:rPr>
        <w:t> </w:t>
      </w:r>
      <w:r>
        <w:rPr/>
        <w:t>safena</w:t>
      </w:r>
      <w:r>
        <w:rPr>
          <w:spacing w:val="-1"/>
        </w:rPr>
        <w:t> </w:t>
      </w:r>
      <w:r>
        <w:rPr/>
        <w:t>magna</w:t>
      </w:r>
      <w:r>
        <w:rPr>
          <w:spacing w:val="-1"/>
        </w:rPr>
        <w:t> </w:t>
      </w:r>
      <w:r>
        <w:rPr/>
        <w:t>suprapúbica.</w:t>
      </w:r>
    </w:p>
    <w:p>
      <w:pPr>
        <w:pStyle w:val="BodyText"/>
        <w:spacing w:line="276" w:lineRule="auto" w:before="49"/>
        <w:ind w:right="500"/>
      </w:pPr>
      <w:r>
        <w:rPr/>
        <w:t>As lesões tróficas como fibrose e pigmentação são irreversíveis. Os cuidados, como o uso de meias elásticas, cremes e cirurgias, podem impedir a progressão dessas lesões e as complicações subsequentes.</w:t>
      </w:r>
    </w:p>
    <w:p>
      <w:pPr>
        <w:pStyle w:val="BodyText"/>
        <w:spacing w:line="276" w:lineRule="auto" w:before="64"/>
        <w:ind w:right="488"/>
      </w:pPr>
      <w:r>
        <w:rPr/>
        <w:t>O tratamento da úlcera baseia-se no combate à hipertensão venosa e à infecção, favorecendo, assim, a cicatrização da lesão. A bota de Unna e os curativos compressivos têm papel importante na redução da pressão venosa aumentada durante a deambulação.</w:t>
      </w:r>
    </w:p>
    <w:p>
      <w:pPr>
        <w:pStyle w:val="BodyText"/>
        <w:spacing w:line="276" w:lineRule="auto" w:before="49"/>
        <w:ind w:right="488"/>
      </w:pPr>
      <w:r>
        <w:rPr/>
        <w:t>A principal complicação da úlcera é a infecção e considerações a respeito do diagnóstico e tratamento dessa complicação já foram feitas no tópico sobre varizes dos membros inferiores.</w:t>
      </w:r>
    </w:p>
    <w:p>
      <w:pPr>
        <w:pStyle w:val="BodyText"/>
        <w:spacing w:line="276" w:lineRule="auto" w:before="64"/>
        <w:ind w:right="488"/>
      </w:pPr>
      <w:r>
        <w:rPr/>
        <w:t>Atualmente se tentam algumas cirurgias endovasculares, utilizando-se </w:t>
      </w:r>
      <w:r>
        <w:rPr>
          <w:i/>
        </w:rPr>
        <w:t>stents </w:t>
      </w:r>
      <w:r>
        <w:rPr/>
        <w:t>na veia ilíaca e mesmo na cava inferior, com o objetivo de melhorar as sequelas das tromboses venosas profundas.</w:t>
      </w:r>
    </w:p>
    <w:p>
      <w:pPr>
        <w:pStyle w:val="BodyText"/>
        <w:spacing w:before="257"/>
        <w:ind w:left="0" w:firstLine="0"/>
        <w:jc w:val="left"/>
      </w:pPr>
    </w:p>
    <w:p>
      <w:pPr>
        <w:pStyle w:val="Heading3"/>
      </w:pPr>
      <w:r>
        <w:rPr>
          <w:color w:val="242B67"/>
          <w:spacing w:val="-2"/>
        </w:rPr>
        <w:t>Linfedema</w:t>
      </w:r>
    </w:p>
    <w:p>
      <w:pPr>
        <w:pStyle w:val="BodyText"/>
        <w:spacing w:before="0"/>
        <w:ind w:left="0" w:firstLine="0"/>
        <w:jc w:val="left"/>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630848">
                <wp:simplePos x="0" y="0"/>
                <wp:positionH relativeFrom="page">
                  <wp:posOffset>401543</wp:posOffset>
                </wp:positionH>
                <wp:positionV relativeFrom="paragraph">
                  <wp:posOffset>51415</wp:posOffset>
                </wp:positionV>
                <wp:extent cx="6753225" cy="10795"/>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48481pt;width:531.731217pt;height:.8008pt;mso-position-horizontal-relative:page;mso-position-vertical-relative:paragraph;z-index:-15685632;mso-wrap-distance-left:0;mso-wrap-distance-right:0" id="docshape53" filled="true" fillcolor="#242b67" stroked="false">
                <v:fill type="solid"/>
                <w10:wrap type="topAndBottom"/>
              </v:rect>
            </w:pict>
          </mc:Fallback>
        </mc:AlternateContent>
      </w:r>
    </w:p>
    <w:p>
      <w:pPr>
        <w:spacing w:before="118"/>
        <w:ind w:left="68" w:right="0" w:firstLine="0"/>
        <w:jc w:val="left"/>
        <w:rPr>
          <w:rFonts w:ascii="Arial" w:hAnsi="Arial"/>
          <w:i/>
          <w:sz w:val="25"/>
        </w:rPr>
      </w:pPr>
      <w:r>
        <w:rPr>
          <w:rFonts w:ascii="Arial" w:hAnsi="Arial"/>
          <w:i/>
          <w:sz w:val="25"/>
        </w:rPr>
        <w:t>Raul</w:t>
      </w:r>
      <w:r>
        <w:rPr>
          <w:rFonts w:ascii="Arial" w:hAnsi="Arial"/>
          <w:i/>
          <w:spacing w:val="13"/>
          <w:sz w:val="25"/>
        </w:rPr>
        <w:t> </w:t>
      </w:r>
      <w:r>
        <w:rPr>
          <w:rFonts w:ascii="Arial" w:hAnsi="Arial"/>
          <w:i/>
          <w:sz w:val="25"/>
        </w:rPr>
        <w:t>Ignácio</w:t>
      </w:r>
      <w:r>
        <w:rPr>
          <w:rFonts w:ascii="Arial" w:hAnsi="Arial"/>
          <w:i/>
          <w:spacing w:val="13"/>
          <w:sz w:val="25"/>
        </w:rPr>
        <w:t> </w:t>
      </w:r>
      <w:r>
        <w:rPr>
          <w:rFonts w:ascii="Arial" w:hAnsi="Arial"/>
          <w:i/>
          <w:sz w:val="25"/>
        </w:rPr>
        <w:t>Rojas</w:t>
      </w:r>
      <w:r>
        <w:rPr>
          <w:rFonts w:ascii="Arial" w:hAnsi="Arial"/>
          <w:i/>
          <w:spacing w:val="13"/>
          <w:sz w:val="25"/>
        </w:rPr>
        <w:t> </w:t>
      </w:r>
      <w:r>
        <w:rPr>
          <w:rFonts w:ascii="Arial" w:hAnsi="Arial"/>
          <w:i/>
          <w:sz w:val="25"/>
        </w:rPr>
        <w:t>Martinez</w:t>
      </w:r>
      <w:r>
        <w:rPr>
          <w:rFonts w:ascii="Arial" w:hAnsi="Arial"/>
          <w:i/>
          <w:spacing w:val="14"/>
          <w:sz w:val="25"/>
        </w:rPr>
        <w:t> </w:t>
      </w:r>
      <w:r>
        <w:rPr>
          <w:rFonts w:ascii="Arial" w:hAnsi="Arial"/>
          <w:i/>
          <w:sz w:val="25"/>
        </w:rPr>
        <w:t>e</w:t>
      </w:r>
      <w:r>
        <w:rPr>
          <w:rFonts w:ascii="Arial" w:hAnsi="Arial"/>
          <w:i/>
          <w:spacing w:val="13"/>
          <w:sz w:val="25"/>
        </w:rPr>
        <w:t> </w:t>
      </w:r>
      <w:r>
        <w:rPr>
          <w:rFonts w:ascii="Arial" w:hAnsi="Arial"/>
          <w:i/>
          <w:sz w:val="25"/>
        </w:rPr>
        <w:t>Paulo</w:t>
      </w:r>
      <w:r>
        <w:rPr>
          <w:rFonts w:ascii="Arial" w:hAnsi="Arial"/>
          <w:i/>
          <w:spacing w:val="13"/>
          <w:sz w:val="25"/>
        </w:rPr>
        <w:t> </w:t>
      </w:r>
      <w:r>
        <w:rPr>
          <w:rFonts w:ascii="Arial" w:hAnsi="Arial"/>
          <w:i/>
          <w:spacing w:val="-2"/>
          <w:sz w:val="25"/>
        </w:rPr>
        <w:t>Kauffman</w:t>
      </w:r>
    </w:p>
    <w:p>
      <w:pPr>
        <w:pStyle w:val="BodyText"/>
        <w:spacing w:before="198"/>
        <w:ind w:left="0" w:firstLine="0"/>
        <w:jc w:val="left"/>
        <w:rPr>
          <w:rFonts w:ascii="Arial"/>
          <w:i/>
          <w:sz w:val="25"/>
        </w:rPr>
      </w:pPr>
    </w:p>
    <w:p>
      <w:pPr>
        <w:pStyle w:val="Heading4"/>
      </w:pPr>
      <w:r>
        <w:rPr>
          <w:color w:val="242B67"/>
          <w:spacing w:val="-2"/>
        </w:rPr>
        <w:t>Introdução</w:t>
      </w:r>
    </w:p>
    <w:p>
      <w:pPr>
        <w:pStyle w:val="BodyText"/>
        <w:spacing w:line="280" w:lineRule="auto" w:before="132"/>
        <w:ind w:right="488"/>
      </w:pPr>
      <w:r>
        <w:rPr/>
        <w:t>É doença crônica caracterizada por alterações teciduais e tumefação dos tecidos moles devido a acúmulo de líquido intersticial rico em proteínas, causado por deficiência da drenagem da linfa decorrente de falha de transporte, alterações da carga linfática e/ou por falha na proteólise extralinfática das proteínas plasmáticas.</w:t>
      </w:r>
      <w:r>
        <w:rPr>
          <w:vertAlign w:val="superscript"/>
        </w:rPr>
        <w:t>1</w:t>
      </w:r>
      <w:r>
        <w:rPr>
          <w:vertAlign w:val="baseline"/>
        </w:rPr>
        <w:t> O termo</w:t>
      </w:r>
      <w:r>
        <w:rPr>
          <w:spacing w:val="78"/>
          <w:vertAlign w:val="baseline"/>
        </w:rPr>
        <w:t> </w:t>
      </w:r>
      <w:r>
        <w:rPr>
          <w:vertAlign w:val="baseline"/>
        </w:rPr>
        <w:t>linfedema,</w:t>
      </w:r>
      <w:r>
        <w:rPr>
          <w:spacing w:val="80"/>
          <w:vertAlign w:val="baseline"/>
        </w:rPr>
        <w:t> </w:t>
      </w:r>
      <w:r>
        <w:rPr>
          <w:vertAlign w:val="baseline"/>
        </w:rPr>
        <w:t>apesar</w:t>
      </w:r>
      <w:r>
        <w:rPr>
          <w:spacing w:val="80"/>
          <w:vertAlign w:val="baseline"/>
        </w:rPr>
        <w:t> </w:t>
      </w:r>
      <w:r>
        <w:rPr>
          <w:vertAlign w:val="baseline"/>
        </w:rPr>
        <w:t>de</w:t>
      </w:r>
      <w:r>
        <w:rPr>
          <w:spacing w:val="75"/>
          <w:vertAlign w:val="baseline"/>
        </w:rPr>
        <w:t> </w:t>
      </w:r>
      <w:r>
        <w:rPr>
          <w:vertAlign w:val="baseline"/>
        </w:rPr>
        <w:t>amplamente</w:t>
      </w:r>
      <w:r>
        <w:rPr>
          <w:spacing w:val="75"/>
          <w:vertAlign w:val="baseline"/>
        </w:rPr>
        <w:t> </w:t>
      </w:r>
      <w:r>
        <w:rPr>
          <w:vertAlign w:val="baseline"/>
        </w:rPr>
        <w:t>difundido,</w:t>
      </w:r>
      <w:r>
        <w:rPr>
          <w:spacing w:val="80"/>
          <w:vertAlign w:val="baseline"/>
        </w:rPr>
        <w:t> </w:t>
      </w:r>
      <w:r>
        <w:rPr>
          <w:vertAlign w:val="baseline"/>
        </w:rPr>
        <w:t>descreve</w:t>
      </w:r>
      <w:r>
        <w:rPr>
          <w:spacing w:val="75"/>
          <w:vertAlign w:val="baseline"/>
        </w:rPr>
        <w:t> </w:t>
      </w:r>
      <w:r>
        <w:rPr>
          <w:vertAlign w:val="baseline"/>
        </w:rPr>
        <w:t>somente</w:t>
      </w:r>
      <w:r>
        <w:rPr>
          <w:spacing w:val="75"/>
          <w:vertAlign w:val="baseline"/>
        </w:rPr>
        <w:t> </w:t>
      </w:r>
      <w:r>
        <w:rPr>
          <w:vertAlign w:val="baseline"/>
        </w:rPr>
        <w:t>um</w:t>
      </w:r>
      <w:r>
        <w:rPr>
          <w:spacing w:val="78"/>
          <w:vertAlign w:val="baseline"/>
        </w:rPr>
        <w:t> </w:t>
      </w:r>
      <w:r>
        <w:rPr>
          <w:vertAlign w:val="baseline"/>
        </w:rPr>
        <w:t>sinal</w:t>
      </w:r>
      <w:r>
        <w:rPr>
          <w:spacing w:val="80"/>
          <w:vertAlign w:val="baseline"/>
        </w:rPr>
        <w:t> </w:t>
      </w:r>
      <w:r>
        <w:rPr>
          <w:vertAlign w:val="baseline"/>
        </w:rPr>
        <w:t>clínico,</w:t>
      </w:r>
      <w:r>
        <w:rPr>
          <w:spacing w:val="80"/>
          <w:vertAlign w:val="baseline"/>
        </w:rPr>
        <w:t> </w:t>
      </w:r>
      <w:r>
        <w:rPr>
          <w:vertAlign w:val="baseline"/>
        </w:rPr>
        <w:t>dentre</w:t>
      </w:r>
      <w:r>
        <w:rPr>
          <w:spacing w:val="75"/>
          <w:vertAlign w:val="baseline"/>
        </w:rPr>
        <w:t> </w:t>
      </w:r>
      <w:r>
        <w:rPr>
          <w:vertAlign w:val="baseline"/>
        </w:rPr>
        <w:t>outros,</w:t>
      </w:r>
      <w:r>
        <w:rPr>
          <w:spacing w:val="80"/>
          <w:vertAlign w:val="baseline"/>
        </w:rPr>
        <w:t> </w:t>
      </w:r>
      <w:r>
        <w:rPr>
          <w:vertAlign w:val="baseline"/>
        </w:rPr>
        <w:t>da</w:t>
      </w:r>
    </w:p>
    <w:p>
      <w:pPr>
        <w:pStyle w:val="BodyText"/>
        <w:spacing w:after="0" w:line="280" w:lineRule="auto"/>
        <w:sectPr>
          <w:pgSz w:w="11900" w:h="16840"/>
          <w:pgMar w:top="140" w:bottom="280" w:left="566" w:right="141"/>
        </w:sectPr>
      </w:pPr>
    </w:p>
    <w:p>
      <w:pPr>
        <w:pStyle w:val="BodyText"/>
        <w:spacing w:line="283" w:lineRule="auto" w:before="61"/>
        <w:ind w:right="498" w:firstLine="0"/>
      </w:pPr>
      <w:r>
        <w:rPr/>
        <w:t>insuficiência</w:t>
      </w:r>
      <w:r>
        <w:rPr>
          <w:spacing w:val="-14"/>
        </w:rPr>
        <w:t> </w:t>
      </w:r>
      <w:r>
        <w:rPr/>
        <w:t>linfática</w:t>
      </w:r>
      <w:r>
        <w:rPr>
          <w:spacing w:val="-14"/>
        </w:rPr>
        <w:t> </w:t>
      </w:r>
      <w:r>
        <w:rPr/>
        <w:t>e</w:t>
      </w:r>
      <w:r>
        <w:rPr>
          <w:spacing w:val="-14"/>
        </w:rPr>
        <w:t> </w:t>
      </w:r>
      <w:r>
        <w:rPr/>
        <w:t>se</w:t>
      </w:r>
      <w:r>
        <w:rPr>
          <w:spacing w:val="-14"/>
        </w:rPr>
        <w:t> </w:t>
      </w:r>
      <w:r>
        <w:rPr/>
        <w:t>restringe</w:t>
      </w:r>
      <w:r>
        <w:rPr>
          <w:spacing w:val="-14"/>
        </w:rPr>
        <w:t> </w:t>
      </w:r>
      <w:r>
        <w:rPr/>
        <w:t>apenas</w:t>
      </w:r>
      <w:r>
        <w:rPr>
          <w:spacing w:val="-5"/>
        </w:rPr>
        <w:t> </w:t>
      </w:r>
      <w:r>
        <w:rPr/>
        <w:t>a</w:t>
      </w:r>
      <w:r>
        <w:rPr>
          <w:spacing w:val="-14"/>
        </w:rPr>
        <w:t> </w:t>
      </w:r>
      <w:r>
        <w:rPr/>
        <w:t>uma</w:t>
      </w:r>
      <w:r>
        <w:rPr>
          <w:spacing w:val="-14"/>
        </w:rPr>
        <w:t> </w:t>
      </w:r>
      <w:r>
        <w:rPr/>
        <w:t>porcentagem</w:t>
      </w:r>
      <w:r>
        <w:rPr>
          <w:spacing w:val="-11"/>
        </w:rPr>
        <w:t> </w:t>
      </w:r>
      <w:r>
        <w:rPr/>
        <w:t>dos</w:t>
      </w:r>
      <w:r>
        <w:rPr>
          <w:spacing w:val="-5"/>
        </w:rPr>
        <w:t> </w:t>
      </w:r>
      <w:r>
        <w:rPr/>
        <w:t>pacientes</w:t>
      </w:r>
      <w:r>
        <w:rPr>
          <w:spacing w:val="-5"/>
        </w:rPr>
        <w:t> </w:t>
      </w:r>
      <w:r>
        <w:rPr/>
        <w:t>com</w:t>
      </w:r>
      <w:r>
        <w:rPr>
          <w:spacing w:val="-11"/>
        </w:rPr>
        <w:t> </w:t>
      </w:r>
      <w:r>
        <w:rPr/>
        <w:t>alterações</w:t>
      </w:r>
      <w:r>
        <w:rPr>
          <w:spacing w:val="-5"/>
        </w:rPr>
        <w:t> </w:t>
      </w:r>
      <w:r>
        <w:rPr/>
        <w:t>linfáticas.</w:t>
      </w:r>
      <w:r>
        <w:rPr>
          <w:spacing w:val="-5"/>
        </w:rPr>
        <w:t> </w:t>
      </w:r>
      <w:r>
        <w:rPr/>
        <w:t>Insuficiência linfática seria o termo mais correto e abrangente para descrever a doença, deixando-se o termo linfedema para caracterizar formas clínicas de</w:t>
      </w:r>
      <w:r>
        <w:rPr>
          <w:spacing w:val="-2"/>
        </w:rPr>
        <w:t> </w:t>
      </w:r>
      <w:r>
        <w:rPr/>
        <w:t>linfopatias acompanhadas de</w:t>
      </w:r>
      <w:r>
        <w:rPr>
          <w:spacing w:val="-2"/>
        </w:rPr>
        <w:t> </w:t>
      </w:r>
      <w:r>
        <w:rPr/>
        <w:t>edema.</w:t>
      </w:r>
      <w:r>
        <w:rPr>
          <w:vertAlign w:val="superscript"/>
        </w:rPr>
        <w:t>1,2</w:t>
      </w:r>
    </w:p>
    <w:p>
      <w:pPr>
        <w:pStyle w:val="BodyText"/>
        <w:spacing w:before="177"/>
        <w:ind w:left="0" w:firstLine="0"/>
        <w:jc w:val="left"/>
      </w:pPr>
    </w:p>
    <w:p>
      <w:pPr>
        <w:pStyle w:val="Heading4"/>
        <w:spacing w:before="1"/>
      </w:pPr>
      <w:r>
        <w:rPr>
          <w:color w:val="242B67"/>
        </w:rPr>
        <w:t>Fisiologia do sistema </w:t>
      </w:r>
      <w:r>
        <w:rPr>
          <w:color w:val="242B67"/>
          <w:spacing w:val="-2"/>
        </w:rPr>
        <w:t>linfático</w:t>
      </w:r>
    </w:p>
    <w:p>
      <w:pPr>
        <w:pStyle w:val="BodyText"/>
        <w:spacing w:line="276" w:lineRule="auto" w:before="131"/>
        <w:ind w:right="488"/>
      </w:pPr>
      <w:r>
        <w:rPr/>
        <w:t>A função do sistema linfático é drenar fluidos, eletrólitos, macromoléculas e células que não podem retornar à circulação, pois os capilares sanguíneos têm permeabilidade seletiva. Aproximadamente 40 a 50% das proteínas séricas são transportadas a cada dia pelos vasos linfáticos. A absorção é realizada pelos capilares linfáticos, nos quais junções intercelulares se</w:t>
      </w:r>
      <w:r>
        <w:rPr>
          <w:spacing w:val="-9"/>
        </w:rPr>
        <w:t> </w:t>
      </w:r>
      <w:r>
        <w:rPr/>
        <w:t>abrem</w:t>
      </w:r>
      <w:r>
        <w:rPr>
          <w:spacing w:val="-7"/>
        </w:rPr>
        <w:t> </w:t>
      </w:r>
      <w:r>
        <w:rPr/>
        <w:t>com</w:t>
      </w:r>
      <w:r>
        <w:rPr>
          <w:spacing w:val="-7"/>
        </w:rPr>
        <w:t> </w:t>
      </w:r>
      <w:r>
        <w:rPr/>
        <w:t>o</w:t>
      </w:r>
      <w:r>
        <w:rPr>
          <w:spacing w:val="-7"/>
        </w:rPr>
        <w:t> </w:t>
      </w:r>
      <w:r>
        <w:rPr/>
        <w:t>aumento</w:t>
      </w:r>
      <w:r>
        <w:rPr>
          <w:spacing w:val="-7"/>
        </w:rPr>
        <w:t> </w:t>
      </w:r>
      <w:r>
        <w:rPr/>
        <w:t>da</w:t>
      </w:r>
      <w:r>
        <w:rPr>
          <w:spacing w:val="-9"/>
        </w:rPr>
        <w:t> </w:t>
      </w:r>
      <w:r>
        <w:rPr/>
        <w:t>pressão</w:t>
      </w:r>
      <w:r>
        <w:rPr>
          <w:spacing w:val="-7"/>
        </w:rPr>
        <w:t> </w:t>
      </w:r>
      <w:r>
        <w:rPr/>
        <w:t>intersticial, possibilitando</w:t>
      </w:r>
      <w:r>
        <w:rPr>
          <w:spacing w:val="-7"/>
        </w:rPr>
        <w:t> </w:t>
      </w:r>
      <w:r>
        <w:rPr/>
        <w:t>a</w:t>
      </w:r>
      <w:r>
        <w:rPr>
          <w:spacing w:val="-9"/>
        </w:rPr>
        <w:t> </w:t>
      </w:r>
      <w:r>
        <w:rPr/>
        <w:t>entrada</w:t>
      </w:r>
      <w:r>
        <w:rPr>
          <w:spacing w:val="-9"/>
        </w:rPr>
        <w:t> </w:t>
      </w:r>
      <w:r>
        <w:rPr/>
        <w:t>de</w:t>
      </w:r>
      <w:r>
        <w:rPr>
          <w:spacing w:val="-9"/>
        </w:rPr>
        <w:t> </w:t>
      </w:r>
      <w:r>
        <w:rPr/>
        <w:t>moléculas e substâncias de alto peso molecular e líquido. As microfibrilas, próximas às junções intercelulares dos capilares linfáticos, impedem o colabamento dos linfáticos. Vários fatores influenciam o transporte</w:t>
      </w:r>
      <w:r>
        <w:rPr>
          <w:spacing w:val="-1"/>
        </w:rPr>
        <w:t> </w:t>
      </w:r>
      <w:r>
        <w:rPr/>
        <w:t>da</w:t>
      </w:r>
      <w:r>
        <w:rPr>
          <w:spacing w:val="-1"/>
        </w:rPr>
        <w:t> </w:t>
      </w:r>
      <w:r>
        <w:rPr/>
        <w:t>linfa, aumentando ou diminuindo o seu fluxo. Assim, a</w:t>
      </w:r>
      <w:r>
        <w:rPr>
          <w:spacing w:val="-2"/>
        </w:rPr>
        <w:t> </w:t>
      </w:r>
      <w:r>
        <w:rPr/>
        <w:t>contratilidade</w:t>
      </w:r>
      <w:r>
        <w:rPr>
          <w:spacing w:val="-2"/>
        </w:rPr>
        <w:t> </w:t>
      </w:r>
      <w:r>
        <w:rPr/>
        <w:t>intrínseca</w:t>
      </w:r>
      <w:r>
        <w:rPr>
          <w:spacing w:val="-2"/>
        </w:rPr>
        <w:t> </w:t>
      </w:r>
      <w:r>
        <w:rPr/>
        <w:t>dos linfáticos, a</w:t>
      </w:r>
      <w:r>
        <w:rPr>
          <w:spacing w:val="-2"/>
        </w:rPr>
        <w:t> </w:t>
      </w:r>
      <w:r>
        <w:rPr/>
        <w:t>contratilidade</w:t>
      </w:r>
      <w:r>
        <w:rPr>
          <w:spacing w:val="-2"/>
        </w:rPr>
        <w:t> </w:t>
      </w:r>
      <w:r>
        <w:rPr/>
        <w:t>muscular (exercício ativo ou passivo), a pulsatilidade arterial e a pressão negativa torácica facilitam o fluxo da linfa. Por outro lado, o aumento da pressão venosa central e intra-abdominal bem como a presença dos linfonodos funcionam como resistência, diminuindo o transporte linfático.</w:t>
      </w:r>
    </w:p>
    <w:p>
      <w:pPr>
        <w:pStyle w:val="BodyText"/>
        <w:spacing w:before="187"/>
        <w:ind w:left="0" w:firstLine="0"/>
        <w:jc w:val="left"/>
      </w:pPr>
    </w:p>
    <w:p>
      <w:pPr>
        <w:pStyle w:val="Heading4"/>
      </w:pPr>
      <w:r>
        <w:rPr>
          <w:color w:val="242B67"/>
          <w:spacing w:val="-2"/>
        </w:rPr>
        <w:t>Fisiopatologia</w:t>
      </w:r>
    </w:p>
    <w:p>
      <w:pPr>
        <w:spacing w:line="278" w:lineRule="auto" w:before="148"/>
        <w:ind w:left="68" w:right="487" w:firstLine="345"/>
        <w:jc w:val="both"/>
        <w:rPr>
          <w:sz w:val="23"/>
        </w:rPr>
      </w:pPr>
      <w:r>
        <w:rPr>
          <w:sz w:val="23"/>
        </w:rPr>
        <w:t>Foldi compara o funcionamento dos linfáticos com o do coração, estabelecendo conceitos de </w:t>
      </w:r>
      <w:r>
        <w:rPr>
          <w:i/>
          <w:sz w:val="23"/>
        </w:rPr>
        <w:t>suficiência e insuficiência</w:t>
      </w:r>
      <w:r>
        <w:rPr>
          <w:i/>
          <w:spacing w:val="-5"/>
          <w:sz w:val="23"/>
        </w:rPr>
        <w:t> </w:t>
      </w:r>
      <w:r>
        <w:rPr>
          <w:i/>
          <w:sz w:val="23"/>
        </w:rPr>
        <w:t>linfática</w:t>
      </w:r>
      <w:r>
        <w:rPr>
          <w:sz w:val="23"/>
        </w:rPr>
        <w:t>. Afirma</w:t>
      </w:r>
      <w:r>
        <w:rPr>
          <w:spacing w:val="-5"/>
          <w:sz w:val="23"/>
        </w:rPr>
        <w:t> </w:t>
      </w:r>
      <w:r>
        <w:rPr>
          <w:sz w:val="23"/>
        </w:rPr>
        <w:t>que</w:t>
      </w:r>
      <w:r>
        <w:rPr>
          <w:spacing w:val="-5"/>
          <w:sz w:val="23"/>
        </w:rPr>
        <w:t> </w:t>
      </w:r>
      <w:r>
        <w:rPr>
          <w:sz w:val="23"/>
        </w:rPr>
        <w:t>um</w:t>
      </w:r>
      <w:r>
        <w:rPr>
          <w:spacing w:val="-3"/>
          <w:sz w:val="23"/>
        </w:rPr>
        <w:t> </w:t>
      </w:r>
      <w:r>
        <w:rPr>
          <w:sz w:val="23"/>
        </w:rPr>
        <w:t>sistema</w:t>
      </w:r>
      <w:r>
        <w:rPr>
          <w:spacing w:val="-5"/>
          <w:sz w:val="23"/>
        </w:rPr>
        <w:t> </w:t>
      </w:r>
      <w:r>
        <w:rPr>
          <w:sz w:val="23"/>
        </w:rPr>
        <w:t>linfático</w:t>
      </w:r>
      <w:r>
        <w:rPr>
          <w:spacing w:val="-3"/>
          <w:sz w:val="23"/>
        </w:rPr>
        <w:t> </w:t>
      </w:r>
      <w:r>
        <w:rPr>
          <w:sz w:val="23"/>
        </w:rPr>
        <w:t>é</w:t>
      </w:r>
      <w:r>
        <w:rPr>
          <w:spacing w:val="-5"/>
          <w:sz w:val="23"/>
        </w:rPr>
        <w:t> </w:t>
      </w:r>
      <w:r>
        <w:rPr>
          <w:sz w:val="23"/>
        </w:rPr>
        <w:t>suficiente</w:t>
      </w:r>
      <w:r>
        <w:rPr>
          <w:spacing w:val="-5"/>
          <w:sz w:val="23"/>
        </w:rPr>
        <w:t> </w:t>
      </w:r>
      <w:r>
        <w:rPr>
          <w:sz w:val="23"/>
        </w:rPr>
        <w:t>quando</w:t>
      </w:r>
      <w:r>
        <w:rPr>
          <w:spacing w:val="-3"/>
          <w:sz w:val="23"/>
        </w:rPr>
        <w:t> </w:t>
      </w:r>
      <w:r>
        <w:rPr>
          <w:sz w:val="23"/>
        </w:rPr>
        <w:t>a</w:t>
      </w:r>
      <w:r>
        <w:rPr>
          <w:spacing w:val="-5"/>
          <w:sz w:val="23"/>
        </w:rPr>
        <w:t> </w:t>
      </w:r>
      <w:r>
        <w:rPr>
          <w:i/>
          <w:sz w:val="23"/>
        </w:rPr>
        <w:t>capacidade</w:t>
      </w:r>
      <w:r>
        <w:rPr>
          <w:i/>
          <w:spacing w:val="-8"/>
          <w:sz w:val="23"/>
        </w:rPr>
        <w:t> </w:t>
      </w:r>
      <w:r>
        <w:rPr>
          <w:i/>
          <w:sz w:val="23"/>
        </w:rPr>
        <w:t>de</w:t>
      </w:r>
      <w:r>
        <w:rPr>
          <w:i/>
          <w:spacing w:val="-8"/>
          <w:sz w:val="23"/>
        </w:rPr>
        <w:t> </w:t>
      </w:r>
      <w:r>
        <w:rPr>
          <w:i/>
          <w:sz w:val="23"/>
        </w:rPr>
        <w:t>transporte</w:t>
      </w:r>
      <w:r>
        <w:rPr>
          <w:i/>
          <w:spacing w:val="-4"/>
          <w:sz w:val="23"/>
        </w:rPr>
        <w:t> </w:t>
      </w:r>
      <w:r>
        <w:rPr>
          <w:sz w:val="23"/>
        </w:rPr>
        <w:t>é</w:t>
      </w:r>
      <w:r>
        <w:rPr>
          <w:spacing w:val="-4"/>
          <w:sz w:val="23"/>
        </w:rPr>
        <w:t> </w:t>
      </w:r>
      <w:r>
        <w:rPr>
          <w:sz w:val="23"/>
        </w:rPr>
        <w:t>maior que a</w:t>
      </w:r>
      <w:r>
        <w:rPr>
          <w:spacing w:val="-8"/>
          <w:sz w:val="23"/>
        </w:rPr>
        <w:t> </w:t>
      </w:r>
      <w:r>
        <w:rPr>
          <w:i/>
          <w:sz w:val="23"/>
        </w:rPr>
        <w:t>carga</w:t>
      </w:r>
      <w:r>
        <w:rPr>
          <w:i/>
          <w:spacing w:val="-5"/>
          <w:sz w:val="23"/>
        </w:rPr>
        <w:t> </w:t>
      </w:r>
      <w:r>
        <w:rPr>
          <w:i/>
          <w:sz w:val="23"/>
        </w:rPr>
        <w:t>linfática</w:t>
      </w:r>
      <w:r>
        <w:rPr>
          <w:sz w:val="23"/>
        </w:rPr>
        <w:t>.</w:t>
      </w:r>
      <w:r>
        <w:rPr>
          <w:sz w:val="23"/>
          <w:vertAlign w:val="superscript"/>
        </w:rPr>
        <w:t>1</w:t>
      </w:r>
      <w:r>
        <w:rPr>
          <w:sz w:val="23"/>
          <w:vertAlign w:val="baseline"/>
        </w:rPr>
        <w:t> Quando</w:t>
      </w:r>
      <w:r>
        <w:rPr>
          <w:spacing w:val="-4"/>
          <w:sz w:val="23"/>
          <w:vertAlign w:val="baseline"/>
        </w:rPr>
        <w:t> </w:t>
      </w:r>
      <w:r>
        <w:rPr>
          <w:sz w:val="23"/>
          <w:vertAlign w:val="baseline"/>
        </w:rPr>
        <w:t>a</w:t>
      </w:r>
      <w:r>
        <w:rPr>
          <w:spacing w:val="-6"/>
          <w:sz w:val="23"/>
          <w:vertAlign w:val="baseline"/>
        </w:rPr>
        <w:t> </w:t>
      </w:r>
      <w:r>
        <w:rPr>
          <w:sz w:val="23"/>
          <w:vertAlign w:val="baseline"/>
        </w:rPr>
        <w:t>carga</w:t>
      </w:r>
      <w:r>
        <w:rPr>
          <w:spacing w:val="-6"/>
          <w:sz w:val="23"/>
          <w:vertAlign w:val="baseline"/>
        </w:rPr>
        <w:t> </w:t>
      </w:r>
      <w:r>
        <w:rPr>
          <w:sz w:val="23"/>
          <w:vertAlign w:val="baseline"/>
        </w:rPr>
        <w:t>linfática</w:t>
      </w:r>
      <w:r>
        <w:rPr>
          <w:spacing w:val="-6"/>
          <w:sz w:val="23"/>
          <w:vertAlign w:val="baseline"/>
        </w:rPr>
        <w:t> </w:t>
      </w:r>
      <w:r>
        <w:rPr>
          <w:sz w:val="23"/>
          <w:vertAlign w:val="baseline"/>
        </w:rPr>
        <w:t>supera</w:t>
      </w:r>
      <w:r>
        <w:rPr>
          <w:spacing w:val="-6"/>
          <w:sz w:val="23"/>
          <w:vertAlign w:val="baseline"/>
        </w:rPr>
        <w:t> </w:t>
      </w:r>
      <w:r>
        <w:rPr>
          <w:sz w:val="23"/>
          <w:vertAlign w:val="baseline"/>
        </w:rPr>
        <w:t>a</w:t>
      </w:r>
      <w:r>
        <w:rPr>
          <w:spacing w:val="-6"/>
          <w:sz w:val="23"/>
          <w:vertAlign w:val="baseline"/>
        </w:rPr>
        <w:t> </w:t>
      </w:r>
      <w:r>
        <w:rPr>
          <w:sz w:val="23"/>
          <w:vertAlign w:val="baseline"/>
        </w:rPr>
        <w:t>capacidade</w:t>
      </w:r>
      <w:r>
        <w:rPr>
          <w:spacing w:val="-6"/>
          <w:sz w:val="23"/>
          <w:vertAlign w:val="baseline"/>
        </w:rPr>
        <w:t> </w:t>
      </w:r>
      <w:r>
        <w:rPr>
          <w:sz w:val="23"/>
          <w:vertAlign w:val="baseline"/>
        </w:rPr>
        <w:t>de</w:t>
      </w:r>
      <w:r>
        <w:rPr>
          <w:spacing w:val="-6"/>
          <w:sz w:val="23"/>
          <w:vertAlign w:val="baseline"/>
        </w:rPr>
        <w:t> </w:t>
      </w:r>
      <w:r>
        <w:rPr>
          <w:sz w:val="23"/>
          <w:vertAlign w:val="baseline"/>
        </w:rPr>
        <w:t>transporte, surge</w:t>
      </w:r>
      <w:r>
        <w:rPr>
          <w:spacing w:val="-6"/>
          <w:sz w:val="23"/>
          <w:vertAlign w:val="baseline"/>
        </w:rPr>
        <w:t> </w:t>
      </w:r>
      <w:r>
        <w:rPr>
          <w:sz w:val="23"/>
          <w:vertAlign w:val="baseline"/>
        </w:rPr>
        <w:t>edema</w:t>
      </w:r>
      <w:r>
        <w:rPr>
          <w:spacing w:val="-6"/>
          <w:sz w:val="23"/>
          <w:vertAlign w:val="baseline"/>
        </w:rPr>
        <w:t> </w:t>
      </w:r>
      <w:r>
        <w:rPr>
          <w:sz w:val="23"/>
          <w:vertAlign w:val="baseline"/>
        </w:rPr>
        <w:t>de</w:t>
      </w:r>
      <w:r>
        <w:rPr>
          <w:spacing w:val="-5"/>
          <w:sz w:val="23"/>
          <w:vertAlign w:val="baseline"/>
        </w:rPr>
        <w:t> </w:t>
      </w:r>
      <w:r>
        <w:rPr>
          <w:i/>
          <w:sz w:val="23"/>
          <w:vertAlign w:val="baseline"/>
        </w:rPr>
        <w:t>alto</w:t>
      </w:r>
      <w:r>
        <w:rPr>
          <w:i/>
          <w:spacing w:val="-2"/>
          <w:sz w:val="23"/>
          <w:vertAlign w:val="baseline"/>
        </w:rPr>
        <w:t> </w:t>
      </w:r>
      <w:r>
        <w:rPr>
          <w:i/>
          <w:sz w:val="23"/>
          <w:vertAlign w:val="baseline"/>
        </w:rPr>
        <w:t>fluxo</w:t>
      </w:r>
      <w:r>
        <w:rPr>
          <w:i/>
          <w:spacing w:val="-2"/>
          <w:sz w:val="23"/>
          <w:vertAlign w:val="baseline"/>
        </w:rPr>
        <w:t> </w:t>
      </w:r>
      <w:r>
        <w:rPr>
          <w:i/>
          <w:sz w:val="23"/>
          <w:vertAlign w:val="baseline"/>
        </w:rPr>
        <w:t>e</w:t>
      </w:r>
      <w:r>
        <w:rPr>
          <w:i/>
          <w:spacing w:val="-4"/>
          <w:sz w:val="23"/>
          <w:vertAlign w:val="baseline"/>
        </w:rPr>
        <w:t> </w:t>
      </w:r>
      <w:r>
        <w:rPr>
          <w:i/>
          <w:sz w:val="23"/>
          <w:vertAlign w:val="baseline"/>
        </w:rPr>
        <w:t>pobre</w:t>
      </w:r>
      <w:r>
        <w:rPr>
          <w:i/>
          <w:spacing w:val="-4"/>
          <w:sz w:val="23"/>
          <w:vertAlign w:val="baseline"/>
        </w:rPr>
        <w:t> </w:t>
      </w:r>
      <w:r>
        <w:rPr>
          <w:i/>
          <w:sz w:val="23"/>
          <w:vertAlign w:val="baseline"/>
        </w:rPr>
        <w:t>em proteínas por insuficiência funcional ou dinâmica linfática </w:t>
      </w:r>
      <w:r>
        <w:rPr>
          <w:sz w:val="23"/>
          <w:vertAlign w:val="baseline"/>
        </w:rPr>
        <w:t>(p. ex., hipopoproteinemia, insuficiência venosa crônica). Se a carga linfática é normal e a capacidade de transporte está reduzida pela presença de um sistema linfático alterado ou doente, seja de causa congênita ou adquirida, ocorrerá um edema </w:t>
      </w:r>
      <w:r>
        <w:rPr>
          <w:i/>
          <w:sz w:val="23"/>
          <w:vertAlign w:val="baseline"/>
        </w:rPr>
        <w:t>de baixo fluxo e rico em proteínas</w:t>
      </w:r>
      <w:r>
        <w:rPr>
          <w:i/>
          <w:spacing w:val="-4"/>
          <w:sz w:val="23"/>
          <w:vertAlign w:val="baseline"/>
        </w:rPr>
        <w:t> </w:t>
      </w:r>
      <w:r>
        <w:rPr>
          <w:i/>
          <w:sz w:val="23"/>
          <w:vertAlign w:val="baseline"/>
        </w:rPr>
        <w:t>por</w:t>
      </w:r>
      <w:r>
        <w:rPr>
          <w:i/>
          <w:spacing w:val="-4"/>
          <w:sz w:val="23"/>
          <w:vertAlign w:val="baseline"/>
        </w:rPr>
        <w:t> </w:t>
      </w:r>
      <w:r>
        <w:rPr>
          <w:i/>
          <w:sz w:val="23"/>
          <w:vertAlign w:val="baseline"/>
        </w:rPr>
        <w:t>insuficiência</w:t>
      </w:r>
      <w:r>
        <w:rPr>
          <w:i/>
          <w:spacing w:val="-11"/>
          <w:sz w:val="23"/>
          <w:vertAlign w:val="baseline"/>
        </w:rPr>
        <w:t> </w:t>
      </w:r>
      <w:r>
        <w:rPr>
          <w:i/>
          <w:sz w:val="23"/>
          <w:vertAlign w:val="baseline"/>
        </w:rPr>
        <w:t>mecânica</w:t>
      </w:r>
      <w:r>
        <w:rPr>
          <w:i/>
          <w:spacing w:val="-11"/>
          <w:sz w:val="23"/>
          <w:vertAlign w:val="baseline"/>
        </w:rPr>
        <w:t> </w:t>
      </w:r>
      <w:r>
        <w:rPr>
          <w:i/>
          <w:sz w:val="23"/>
          <w:vertAlign w:val="baseline"/>
        </w:rPr>
        <w:t>do</w:t>
      </w:r>
      <w:r>
        <w:rPr>
          <w:i/>
          <w:spacing w:val="-11"/>
          <w:sz w:val="23"/>
          <w:vertAlign w:val="baseline"/>
        </w:rPr>
        <w:t> </w:t>
      </w:r>
      <w:r>
        <w:rPr>
          <w:i/>
          <w:sz w:val="23"/>
          <w:vertAlign w:val="baseline"/>
        </w:rPr>
        <w:t>sistema</w:t>
      </w:r>
      <w:r>
        <w:rPr>
          <w:i/>
          <w:spacing w:val="-11"/>
          <w:sz w:val="23"/>
          <w:vertAlign w:val="baseline"/>
        </w:rPr>
        <w:t> </w:t>
      </w:r>
      <w:r>
        <w:rPr>
          <w:i/>
          <w:sz w:val="23"/>
          <w:vertAlign w:val="baseline"/>
        </w:rPr>
        <w:t>linfático</w:t>
      </w:r>
      <w:r>
        <w:rPr>
          <w:i/>
          <w:spacing w:val="-10"/>
          <w:sz w:val="23"/>
          <w:vertAlign w:val="baseline"/>
        </w:rPr>
        <w:t> </w:t>
      </w:r>
      <w:r>
        <w:rPr>
          <w:sz w:val="23"/>
          <w:vertAlign w:val="baseline"/>
        </w:rPr>
        <w:t>porque</w:t>
      </w:r>
      <w:r>
        <w:rPr>
          <w:spacing w:val="-11"/>
          <w:sz w:val="23"/>
          <w:vertAlign w:val="baseline"/>
        </w:rPr>
        <w:t> </w:t>
      </w:r>
      <w:r>
        <w:rPr>
          <w:sz w:val="23"/>
          <w:vertAlign w:val="baseline"/>
        </w:rPr>
        <w:t>a</w:t>
      </w:r>
      <w:r>
        <w:rPr>
          <w:spacing w:val="-11"/>
          <w:sz w:val="23"/>
          <w:vertAlign w:val="baseline"/>
        </w:rPr>
        <w:t> </w:t>
      </w:r>
      <w:r>
        <w:rPr>
          <w:sz w:val="23"/>
          <w:vertAlign w:val="baseline"/>
        </w:rPr>
        <w:t>carga</w:t>
      </w:r>
      <w:r>
        <w:rPr>
          <w:spacing w:val="-11"/>
          <w:sz w:val="23"/>
          <w:vertAlign w:val="baseline"/>
        </w:rPr>
        <w:t> </w:t>
      </w:r>
      <w:r>
        <w:rPr>
          <w:sz w:val="23"/>
          <w:vertAlign w:val="baseline"/>
        </w:rPr>
        <w:t>linfática</w:t>
      </w:r>
      <w:r>
        <w:rPr>
          <w:spacing w:val="-11"/>
          <w:sz w:val="23"/>
          <w:vertAlign w:val="baseline"/>
        </w:rPr>
        <w:t> </w:t>
      </w:r>
      <w:r>
        <w:rPr>
          <w:sz w:val="23"/>
          <w:vertAlign w:val="baseline"/>
        </w:rPr>
        <w:t>intersticial</w:t>
      </w:r>
      <w:r>
        <w:rPr>
          <w:spacing w:val="-7"/>
          <w:sz w:val="23"/>
          <w:vertAlign w:val="baseline"/>
        </w:rPr>
        <w:t> </w:t>
      </w:r>
      <w:r>
        <w:rPr>
          <w:sz w:val="23"/>
          <w:vertAlign w:val="baseline"/>
        </w:rPr>
        <w:t>excede</w:t>
      </w:r>
      <w:r>
        <w:rPr>
          <w:spacing w:val="-11"/>
          <w:sz w:val="23"/>
          <w:vertAlign w:val="baseline"/>
        </w:rPr>
        <w:t> </w:t>
      </w:r>
      <w:r>
        <w:rPr>
          <w:sz w:val="23"/>
          <w:vertAlign w:val="baseline"/>
        </w:rPr>
        <w:t>a</w:t>
      </w:r>
      <w:r>
        <w:rPr>
          <w:spacing w:val="-11"/>
          <w:sz w:val="23"/>
          <w:vertAlign w:val="baseline"/>
        </w:rPr>
        <w:t> </w:t>
      </w:r>
      <w:r>
        <w:rPr>
          <w:sz w:val="23"/>
          <w:vertAlign w:val="baseline"/>
        </w:rPr>
        <w:t>capacidade</w:t>
      </w:r>
      <w:r>
        <w:rPr>
          <w:spacing w:val="-11"/>
          <w:sz w:val="23"/>
          <w:vertAlign w:val="baseline"/>
        </w:rPr>
        <w:t> </w:t>
      </w:r>
      <w:r>
        <w:rPr>
          <w:sz w:val="23"/>
          <w:vertAlign w:val="baseline"/>
        </w:rPr>
        <w:t>de transporte. Isso acontece quando o fluxo linfático se reduz em até 80% ou mais, existindo até então o chamado </w:t>
      </w:r>
      <w:r>
        <w:rPr>
          <w:i/>
          <w:sz w:val="23"/>
          <w:vertAlign w:val="baseline"/>
        </w:rPr>
        <w:t>estágio latente do linfedema, de linfoestase compensada ou linfedema subclínico</w:t>
      </w:r>
      <w:r>
        <w:rPr>
          <w:sz w:val="23"/>
          <w:vertAlign w:val="baseline"/>
        </w:rPr>
        <w:t>, sem edema aparente e mantido por</w:t>
      </w:r>
      <w:r>
        <w:rPr>
          <w:spacing w:val="-2"/>
          <w:sz w:val="23"/>
          <w:vertAlign w:val="baseline"/>
        </w:rPr>
        <w:t> </w:t>
      </w:r>
      <w:r>
        <w:rPr>
          <w:sz w:val="23"/>
          <w:vertAlign w:val="baseline"/>
        </w:rPr>
        <w:t>mecanismos compensadores. No</w:t>
      </w:r>
      <w:r>
        <w:rPr>
          <w:spacing w:val="-8"/>
          <w:sz w:val="23"/>
          <w:vertAlign w:val="baseline"/>
        </w:rPr>
        <w:t> </w:t>
      </w:r>
      <w:r>
        <w:rPr>
          <w:sz w:val="23"/>
          <w:vertAlign w:val="baseline"/>
        </w:rPr>
        <w:t>linfedema</w:t>
      </w:r>
      <w:r>
        <w:rPr>
          <w:spacing w:val="-10"/>
          <w:sz w:val="23"/>
          <w:vertAlign w:val="baseline"/>
        </w:rPr>
        <w:t> </w:t>
      </w:r>
      <w:r>
        <w:rPr>
          <w:sz w:val="23"/>
          <w:vertAlign w:val="baseline"/>
        </w:rPr>
        <w:t>rico</w:t>
      </w:r>
      <w:r>
        <w:rPr>
          <w:spacing w:val="-8"/>
          <w:sz w:val="23"/>
          <w:vertAlign w:val="baseline"/>
        </w:rPr>
        <w:t> </w:t>
      </w:r>
      <w:r>
        <w:rPr>
          <w:sz w:val="23"/>
          <w:vertAlign w:val="baseline"/>
        </w:rPr>
        <w:t>em</w:t>
      </w:r>
      <w:r>
        <w:rPr>
          <w:spacing w:val="-8"/>
          <w:sz w:val="23"/>
          <w:vertAlign w:val="baseline"/>
        </w:rPr>
        <w:t> </w:t>
      </w:r>
      <w:r>
        <w:rPr>
          <w:sz w:val="23"/>
          <w:vertAlign w:val="baseline"/>
        </w:rPr>
        <w:t>proteínas, a</w:t>
      </w:r>
      <w:r>
        <w:rPr>
          <w:spacing w:val="-10"/>
          <w:sz w:val="23"/>
          <w:vertAlign w:val="baseline"/>
        </w:rPr>
        <w:t> </w:t>
      </w:r>
      <w:r>
        <w:rPr>
          <w:sz w:val="23"/>
          <w:vertAlign w:val="baseline"/>
        </w:rPr>
        <w:t>pressão</w:t>
      </w:r>
      <w:r>
        <w:rPr>
          <w:spacing w:val="-8"/>
          <w:sz w:val="23"/>
          <w:vertAlign w:val="baseline"/>
        </w:rPr>
        <w:t> </w:t>
      </w:r>
      <w:r>
        <w:rPr>
          <w:sz w:val="23"/>
          <w:vertAlign w:val="baseline"/>
        </w:rPr>
        <w:t>intersticial</w:t>
      </w:r>
      <w:r>
        <w:rPr>
          <w:spacing w:val="-5"/>
          <w:sz w:val="23"/>
          <w:vertAlign w:val="baseline"/>
        </w:rPr>
        <w:t> </w:t>
      </w:r>
      <w:r>
        <w:rPr>
          <w:sz w:val="23"/>
          <w:vertAlign w:val="baseline"/>
        </w:rPr>
        <w:t>oncótica</w:t>
      </w:r>
      <w:r>
        <w:rPr>
          <w:spacing w:val="-10"/>
          <w:sz w:val="23"/>
          <w:vertAlign w:val="baseline"/>
        </w:rPr>
        <w:t> </w:t>
      </w:r>
      <w:r>
        <w:rPr>
          <w:sz w:val="23"/>
          <w:vertAlign w:val="baseline"/>
        </w:rPr>
        <w:t>aumenta</w:t>
      </w:r>
      <w:r>
        <w:rPr>
          <w:spacing w:val="-10"/>
          <w:sz w:val="23"/>
          <w:vertAlign w:val="baseline"/>
        </w:rPr>
        <w:t> </w:t>
      </w:r>
      <w:r>
        <w:rPr>
          <w:sz w:val="23"/>
          <w:vertAlign w:val="baseline"/>
        </w:rPr>
        <w:t>e</w:t>
      </w:r>
      <w:r>
        <w:rPr>
          <w:spacing w:val="-10"/>
          <w:sz w:val="23"/>
          <w:vertAlign w:val="baseline"/>
        </w:rPr>
        <w:t> </w:t>
      </w:r>
      <w:r>
        <w:rPr>
          <w:sz w:val="23"/>
          <w:vertAlign w:val="baseline"/>
        </w:rPr>
        <w:t>favorece maior acúmulo</w:t>
      </w:r>
      <w:r>
        <w:rPr>
          <w:spacing w:val="-5"/>
          <w:sz w:val="23"/>
          <w:vertAlign w:val="baseline"/>
        </w:rPr>
        <w:t> </w:t>
      </w:r>
      <w:r>
        <w:rPr>
          <w:sz w:val="23"/>
          <w:vertAlign w:val="baseline"/>
        </w:rPr>
        <w:t>de</w:t>
      </w:r>
      <w:r>
        <w:rPr>
          <w:spacing w:val="-8"/>
          <w:sz w:val="23"/>
          <w:vertAlign w:val="baseline"/>
        </w:rPr>
        <w:t> </w:t>
      </w:r>
      <w:r>
        <w:rPr>
          <w:sz w:val="23"/>
          <w:vertAlign w:val="baseline"/>
        </w:rPr>
        <w:t>fluidos. Quando</w:t>
      </w:r>
      <w:r>
        <w:rPr>
          <w:spacing w:val="-5"/>
          <w:sz w:val="23"/>
          <w:vertAlign w:val="baseline"/>
        </w:rPr>
        <w:t> </w:t>
      </w:r>
      <w:r>
        <w:rPr>
          <w:sz w:val="23"/>
          <w:vertAlign w:val="baseline"/>
        </w:rPr>
        <w:t>ocorrem</w:t>
      </w:r>
      <w:r>
        <w:rPr>
          <w:spacing w:val="-5"/>
          <w:sz w:val="23"/>
          <w:vertAlign w:val="baseline"/>
        </w:rPr>
        <w:t> </w:t>
      </w:r>
      <w:r>
        <w:rPr>
          <w:sz w:val="23"/>
          <w:vertAlign w:val="baseline"/>
        </w:rPr>
        <w:t>simultaneamente</w:t>
      </w:r>
      <w:r>
        <w:rPr>
          <w:spacing w:val="-8"/>
          <w:sz w:val="23"/>
          <w:vertAlign w:val="baseline"/>
        </w:rPr>
        <w:t> </w:t>
      </w:r>
      <w:r>
        <w:rPr>
          <w:sz w:val="23"/>
          <w:vertAlign w:val="baseline"/>
        </w:rPr>
        <w:t>ambas as alterações, de</w:t>
      </w:r>
      <w:r>
        <w:rPr>
          <w:spacing w:val="-8"/>
          <w:sz w:val="23"/>
          <w:vertAlign w:val="baseline"/>
        </w:rPr>
        <w:t> </w:t>
      </w:r>
      <w:r>
        <w:rPr>
          <w:sz w:val="23"/>
          <w:vertAlign w:val="baseline"/>
        </w:rPr>
        <w:t>carga</w:t>
      </w:r>
      <w:r>
        <w:rPr>
          <w:spacing w:val="-8"/>
          <w:sz w:val="23"/>
          <w:vertAlign w:val="baseline"/>
        </w:rPr>
        <w:t> </w:t>
      </w:r>
      <w:r>
        <w:rPr>
          <w:sz w:val="23"/>
          <w:vertAlign w:val="baseline"/>
        </w:rPr>
        <w:t>e</w:t>
      </w:r>
      <w:r>
        <w:rPr>
          <w:spacing w:val="-8"/>
          <w:sz w:val="23"/>
          <w:vertAlign w:val="baseline"/>
        </w:rPr>
        <w:t> </w:t>
      </w:r>
      <w:r>
        <w:rPr>
          <w:sz w:val="23"/>
          <w:vertAlign w:val="baseline"/>
        </w:rPr>
        <w:t>de</w:t>
      </w:r>
      <w:r>
        <w:rPr>
          <w:spacing w:val="-8"/>
          <w:sz w:val="23"/>
          <w:vertAlign w:val="baseline"/>
        </w:rPr>
        <w:t> </w:t>
      </w:r>
      <w:r>
        <w:rPr>
          <w:sz w:val="23"/>
          <w:vertAlign w:val="baseline"/>
        </w:rPr>
        <w:t>transporte, produz-se um edema acentuado por </w:t>
      </w:r>
      <w:r>
        <w:rPr>
          <w:i/>
          <w:sz w:val="23"/>
          <w:vertAlign w:val="baseline"/>
        </w:rPr>
        <w:t>insuficiência da válvula de segurança</w:t>
      </w:r>
      <w:r>
        <w:rPr>
          <w:sz w:val="23"/>
          <w:vertAlign w:val="baseline"/>
        </w:rPr>
        <w:t>, que geralmente ocasiona necrose tissular. Geralmente o sistema linfático superficial é o mais afetado nos casos de linfedema, sendo o profundo mais </w:t>
      </w:r>
      <w:r>
        <w:rPr>
          <w:spacing w:val="-2"/>
          <w:sz w:val="23"/>
          <w:vertAlign w:val="baseline"/>
        </w:rPr>
        <w:t>preservado.</w:t>
      </w:r>
      <w:r>
        <w:rPr>
          <w:spacing w:val="-2"/>
          <w:sz w:val="23"/>
          <w:vertAlign w:val="superscript"/>
        </w:rPr>
        <w:t>2,3</w:t>
      </w:r>
    </w:p>
    <w:p>
      <w:pPr>
        <w:pStyle w:val="BodyText"/>
        <w:spacing w:before="182"/>
        <w:ind w:left="0" w:firstLine="0"/>
        <w:jc w:val="left"/>
      </w:pPr>
    </w:p>
    <w:p>
      <w:pPr>
        <w:pStyle w:val="Heading4"/>
      </w:pPr>
      <w:r>
        <w:rPr>
          <w:color w:val="242B67"/>
        </w:rPr>
        <w:t>Alterações teciduais causadas pelo </w:t>
      </w:r>
      <w:r>
        <w:rPr>
          <w:color w:val="242B67"/>
          <w:spacing w:val="-2"/>
        </w:rPr>
        <w:t>linfedema</w:t>
      </w:r>
    </w:p>
    <w:p>
      <w:pPr>
        <w:pStyle w:val="BodyText"/>
        <w:spacing w:line="276" w:lineRule="auto" w:before="132"/>
        <w:ind w:right="491"/>
      </w:pPr>
      <w:r>
        <w:rPr/>
        <w:t>O edema rico em proteínas provoca alterações nos tecidos, facilitando a instalação de infecções e criando um círculo vicioso que se torna crônico e complica o edema, que, por sua vez, aumenta a distância intercapilar, entre capilares e linfáticos, e entre células e capilares, dificultando os intercâmbios metabólicos, favorecendo a hipoxia tecidual e a acidose que provocarão transtornos tróficos.</w:t>
      </w:r>
    </w:p>
    <w:p>
      <w:pPr>
        <w:pStyle w:val="BodyText"/>
        <w:spacing w:line="276" w:lineRule="auto" w:before="49"/>
        <w:ind w:right="488"/>
      </w:pPr>
      <w:r>
        <w:rPr/>
        <w:t>O acúmulo de fluido intersticial origina dilatação dos vasos linfáticos remanescentes causando incompetência valvular com posterior refluxo linfático do tecido subcutâneo para o plexo dérmico. O acúmulo de proteínas provoca</w:t>
      </w:r>
      <w:r>
        <w:rPr>
          <w:spacing w:val="-4"/>
        </w:rPr>
        <w:t> </w:t>
      </w:r>
      <w:r>
        <w:rPr/>
        <w:t>inflamação</w:t>
      </w:r>
      <w:r>
        <w:rPr>
          <w:spacing w:val="-2"/>
        </w:rPr>
        <w:t> </w:t>
      </w:r>
      <w:r>
        <w:rPr/>
        <w:t>crônica: há</w:t>
      </w:r>
      <w:r>
        <w:rPr>
          <w:spacing w:val="-4"/>
        </w:rPr>
        <w:t> </w:t>
      </w:r>
      <w:r>
        <w:rPr/>
        <w:t>considerável aumento</w:t>
      </w:r>
      <w:r>
        <w:rPr>
          <w:spacing w:val="-2"/>
        </w:rPr>
        <w:t> </w:t>
      </w:r>
      <w:r>
        <w:rPr/>
        <w:t>de</w:t>
      </w:r>
      <w:r>
        <w:rPr>
          <w:spacing w:val="-4"/>
        </w:rPr>
        <w:t> </w:t>
      </w:r>
      <w:r>
        <w:rPr/>
        <w:t>fibroblastos, fibrina</w:t>
      </w:r>
      <w:r>
        <w:rPr>
          <w:spacing w:val="-4"/>
        </w:rPr>
        <w:t> </w:t>
      </w:r>
      <w:r>
        <w:rPr/>
        <w:t>e</w:t>
      </w:r>
      <w:r>
        <w:rPr>
          <w:spacing w:val="-4"/>
        </w:rPr>
        <w:t> </w:t>
      </w:r>
      <w:r>
        <w:rPr/>
        <w:t>colágeno, promovendo</w:t>
      </w:r>
      <w:r>
        <w:rPr>
          <w:spacing w:val="-2"/>
        </w:rPr>
        <w:t> </w:t>
      </w:r>
      <w:r>
        <w:rPr/>
        <w:t>fibrose</w:t>
      </w:r>
      <w:r>
        <w:rPr>
          <w:spacing w:val="-4"/>
        </w:rPr>
        <w:t> </w:t>
      </w:r>
      <w:r>
        <w:rPr/>
        <w:t>cada vez mais intensa que se instala também nos vasos linfáticos e linfonodos, levando-os à perda de função.</w:t>
      </w:r>
    </w:p>
    <w:p>
      <w:pPr>
        <w:pStyle w:val="BodyText"/>
        <w:spacing w:line="276" w:lineRule="auto" w:before="64"/>
        <w:ind w:right="501"/>
      </w:pPr>
      <w:r>
        <w:rPr/>
        <w:t>As alterações na homeostase e na imunidade locorregional explicam a incidência de processos infecciosos, inflamatórios e degenerativos.</w:t>
      </w:r>
    </w:p>
    <w:p>
      <w:pPr>
        <w:pStyle w:val="BodyText"/>
        <w:spacing w:line="283" w:lineRule="auto"/>
        <w:ind w:right="498"/>
      </w:pPr>
      <w:r>
        <w:rPr/>
        <w:t>Finalmente, o processo evolui para lipodermatoesclerose, com hiperqueratose, hiperacantose, verrucosidades, vesículas e</w:t>
      </w:r>
      <w:r>
        <w:rPr>
          <w:spacing w:val="-7"/>
        </w:rPr>
        <w:t> </w:t>
      </w:r>
      <w:r>
        <w:rPr/>
        <w:t>fístulas linfáticas. O</w:t>
      </w:r>
      <w:r>
        <w:rPr>
          <w:spacing w:val="-7"/>
        </w:rPr>
        <w:t> </w:t>
      </w:r>
      <w:r>
        <w:rPr/>
        <w:t>tecido</w:t>
      </w:r>
      <w:r>
        <w:rPr>
          <w:spacing w:val="-5"/>
        </w:rPr>
        <w:t> </w:t>
      </w:r>
      <w:r>
        <w:rPr/>
        <w:t>celular subcutâneo</w:t>
      </w:r>
      <w:r>
        <w:rPr>
          <w:spacing w:val="-5"/>
        </w:rPr>
        <w:t> </w:t>
      </w:r>
      <w:r>
        <w:rPr/>
        <w:t>e</w:t>
      </w:r>
      <w:r>
        <w:rPr>
          <w:spacing w:val="-7"/>
        </w:rPr>
        <w:t> </w:t>
      </w:r>
      <w:r>
        <w:rPr/>
        <w:t>a</w:t>
      </w:r>
      <w:r>
        <w:rPr>
          <w:spacing w:val="-7"/>
        </w:rPr>
        <w:t> </w:t>
      </w:r>
      <w:r>
        <w:rPr/>
        <w:t>pele</w:t>
      </w:r>
      <w:r>
        <w:rPr>
          <w:spacing w:val="-7"/>
        </w:rPr>
        <w:t> </w:t>
      </w:r>
      <w:r>
        <w:rPr/>
        <w:t>adquirem</w:t>
      </w:r>
      <w:r>
        <w:rPr>
          <w:spacing w:val="-5"/>
        </w:rPr>
        <w:t> </w:t>
      </w:r>
      <w:r>
        <w:rPr/>
        <w:t>aspecto</w:t>
      </w:r>
      <w:r>
        <w:rPr>
          <w:spacing w:val="-5"/>
        </w:rPr>
        <w:t> </w:t>
      </w:r>
      <w:r>
        <w:rPr/>
        <w:t>paquidermiforme:</w:t>
      </w:r>
      <w:r>
        <w:rPr>
          <w:spacing w:val="-3"/>
        </w:rPr>
        <w:t> </w:t>
      </w:r>
      <w:r>
        <w:rPr/>
        <w:t>é</w:t>
      </w:r>
      <w:r>
        <w:rPr>
          <w:spacing w:val="-7"/>
        </w:rPr>
        <w:t> </w:t>
      </w:r>
      <w:r>
        <w:rPr/>
        <w:t>a</w:t>
      </w:r>
      <w:r>
        <w:rPr>
          <w:spacing w:val="-7"/>
        </w:rPr>
        <w:t> </w:t>
      </w:r>
      <w:r>
        <w:rPr/>
        <w:t>chamada elefantíase</w:t>
      </w:r>
      <w:r>
        <w:rPr>
          <w:vertAlign w:val="superscript"/>
        </w:rPr>
        <w:t>3</w:t>
      </w:r>
      <w:r>
        <w:rPr>
          <w:vertAlign w:val="baseline"/>
        </w:rPr>
        <w:t> (</w:t>
      </w:r>
      <w:r>
        <w:rPr>
          <w:color w:val="505050"/>
          <w:vertAlign w:val="baseline"/>
        </w:rPr>
        <w:t>Figura 59.34</w:t>
      </w:r>
      <w:r>
        <w:rPr>
          <w:vertAlign w:val="baseline"/>
        </w:rPr>
        <w:t>).</w:t>
      </w:r>
    </w:p>
    <w:p>
      <w:pPr>
        <w:pStyle w:val="BodyText"/>
        <w:spacing w:line="276" w:lineRule="auto" w:before="40"/>
        <w:ind w:right="488"/>
      </w:pPr>
      <w:r>
        <w:rPr/>
        <w:t>Na insuficiência venosa crônica existe um mecanismo complexo que influi na formação do linfedema – a insuficiência</w:t>
      </w:r>
      <w:r>
        <w:rPr>
          <w:spacing w:val="-1"/>
        </w:rPr>
        <w:t> </w:t>
      </w:r>
      <w:r>
        <w:rPr/>
        <w:t>linfática</w:t>
      </w:r>
      <w:r>
        <w:rPr>
          <w:spacing w:val="-1"/>
        </w:rPr>
        <w:t> </w:t>
      </w:r>
      <w:r>
        <w:rPr/>
        <w:t>dinâmica</w:t>
      </w:r>
      <w:r>
        <w:rPr>
          <w:spacing w:val="-1"/>
        </w:rPr>
        <w:t> </w:t>
      </w:r>
      <w:r>
        <w:rPr/>
        <w:t>por excesso de</w:t>
      </w:r>
      <w:r>
        <w:rPr>
          <w:spacing w:val="-1"/>
        </w:rPr>
        <w:t> </w:t>
      </w:r>
      <w:r>
        <w:rPr/>
        <w:t>carga</w:t>
      </w:r>
      <w:r>
        <w:rPr>
          <w:spacing w:val="-1"/>
        </w:rPr>
        <w:t> </w:t>
      </w:r>
      <w:r>
        <w:rPr/>
        <w:t>junto com linfangite</w:t>
      </w:r>
      <w:r>
        <w:rPr>
          <w:spacing w:val="-1"/>
        </w:rPr>
        <w:t> </w:t>
      </w:r>
      <w:r>
        <w:rPr/>
        <w:t>crônica</w:t>
      </w:r>
      <w:r>
        <w:rPr>
          <w:spacing w:val="-1"/>
        </w:rPr>
        <w:t> </w:t>
      </w:r>
      <w:r>
        <w:rPr/>
        <w:t>que</w:t>
      </w:r>
      <w:r>
        <w:rPr>
          <w:spacing w:val="-1"/>
        </w:rPr>
        <w:t> </w:t>
      </w:r>
      <w:r>
        <w:rPr/>
        <w:t>favorece</w:t>
      </w:r>
      <w:r>
        <w:rPr>
          <w:spacing w:val="-1"/>
        </w:rPr>
        <w:t> </w:t>
      </w:r>
      <w:r>
        <w:rPr/>
        <w:t>o bloqueio das vias</w:t>
      </w:r>
    </w:p>
    <w:p>
      <w:pPr>
        <w:pStyle w:val="BodyText"/>
        <w:spacing w:after="0" w:line="276" w:lineRule="auto"/>
        <w:sectPr>
          <w:pgSz w:w="11900" w:h="16840"/>
          <w:pgMar w:top="160" w:bottom="280" w:left="566" w:right="141"/>
        </w:sectPr>
      </w:pPr>
    </w:p>
    <w:p>
      <w:pPr>
        <w:pStyle w:val="BodyText"/>
        <w:spacing w:before="89"/>
        <w:ind w:firstLine="0"/>
        <w:jc w:val="left"/>
      </w:pPr>
      <w:r>
        <w:rPr>
          <w:spacing w:val="-2"/>
        </w:rPr>
        <w:t>(insuficiência</w:t>
      </w:r>
      <w:r>
        <w:rPr>
          <w:spacing w:val="7"/>
        </w:rPr>
        <w:t> </w:t>
      </w:r>
      <w:r>
        <w:rPr>
          <w:spacing w:val="-2"/>
        </w:rPr>
        <w:t>mecânica).</w:t>
      </w:r>
      <w:r>
        <w:rPr>
          <w:spacing w:val="-2"/>
          <w:vertAlign w:val="superscript"/>
        </w:rPr>
        <w:t>4</w:t>
      </w:r>
    </w:p>
    <w:p>
      <w:pPr>
        <w:pStyle w:val="BodyText"/>
        <w:spacing w:before="225"/>
        <w:ind w:left="0" w:firstLine="0"/>
        <w:jc w:val="left"/>
      </w:pPr>
    </w:p>
    <w:p>
      <w:pPr>
        <w:pStyle w:val="Heading4"/>
      </w:pPr>
      <w:r>
        <w:rPr>
          <w:color w:val="242B67"/>
        </w:rPr>
        <w:t>Classificação etiológica do </w:t>
      </w:r>
      <w:r>
        <w:rPr>
          <w:color w:val="242B67"/>
          <w:spacing w:val="-2"/>
        </w:rPr>
        <w:t>linfedema</w:t>
      </w:r>
    </w:p>
    <w:p>
      <w:pPr>
        <w:pStyle w:val="BodyText"/>
        <w:spacing w:before="148"/>
        <w:ind w:left="414" w:firstLine="0"/>
        <w:jc w:val="left"/>
      </w:pPr>
      <w:r>
        <w:rPr/>
        <w:t>O</w:t>
      </w:r>
      <w:r>
        <w:rPr>
          <w:spacing w:val="-15"/>
        </w:rPr>
        <w:t> </w:t>
      </w:r>
      <w:r>
        <w:rPr/>
        <w:t>linfedema</w:t>
      </w:r>
      <w:r>
        <w:rPr>
          <w:spacing w:val="-13"/>
        </w:rPr>
        <w:t> </w:t>
      </w:r>
      <w:r>
        <w:rPr/>
        <w:t>pode</w:t>
      </w:r>
      <w:r>
        <w:rPr>
          <w:spacing w:val="-12"/>
        </w:rPr>
        <w:t> </w:t>
      </w:r>
      <w:r>
        <w:rPr/>
        <w:t>ser</w:t>
      </w:r>
      <w:r>
        <w:rPr>
          <w:spacing w:val="-6"/>
        </w:rPr>
        <w:t> </w:t>
      </w:r>
      <w:r>
        <w:rPr/>
        <w:t>classificado</w:t>
      </w:r>
      <w:r>
        <w:rPr>
          <w:spacing w:val="-10"/>
        </w:rPr>
        <w:t> </w:t>
      </w:r>
      <w:r>
        <w:rPr/>
        <w:t>etiologicamente</w:t>
      </w:r>
      <w:r>
        <w:rPr>
          <w:spacing w:val="-12"/>
        </w:rPr>
        <w:t> </w:t>
      </w:r>
      <w:r>
        <w:rPr/>
        <w:t>de</w:t>
      </w:r>
      <w:r>
        <w:rPr>
          <w:spacing w:val="-13"/>
        </w:rPr>
        <w:t> </w:t>
      </w:r>
      <w:r>
        <w:rPr/>
        <w:t>acordo</w:t>
      </w:r>
      <w:r>
        <w:rPr>
          <w:spacing w:val="-10"/>
        </w:rPr>
        <w:t> </w:t>
      </w:r>
      <w:r>
        <w:rPr/>
        <w:t>com</w:t>
      </w:r>
      <w:r>
        <w:rPr>
          <w:spacing w:val="-10"/>
        </w:rPr>
        <w:t> </w:t>
      </w:r>
      <w:r>
        <w:rPr/>
        <w:t>o</w:t>
      </w:r>
      <w:r>
        <w:rPr>
          <w:spacing w:val="-10"/>
        </w:rPr>
        <w:t> </w:t>
      </w:r>
      <w:r>
        <w:rPr/>
        <w:t>esquema</w:t>
      </w:r>
      <w:r>
        <w:rPr>
          <w:spacing w:val="-13"/>
        </w:rPr>
        <w:t> </w:t>
      </w:r>
      <w:r>
        <w:rPr/>
        <w:t>a</w:t>
      </w:r>
      <w:r>
        <w:rPr>
          <w:spacing w:val="-12"/>
        </w:rPr>
        <w:t> </w:t>
      </w:r>
      <w:r>
        <w:rPr>
          <w:spacing w:val="-2"/>
        </w:rPr>
        <w:t>seguir:</w:t>
      </w:r>
      <w:r>
        <w:rPr>
          <w:spacing w:val="-2"/>
          <w:vertAlign w:val="superscript"/>
        </w:rPr>
        <w:t>3</w:t>
      </w:r>
    </w:p>
    <w:p>
      <w:pPr>
        <w:pStyle w:val="ListParagraph"/>
        <w:numPr>
          <w:ilvl w:val="0"/>
          <w:numId w:val="33"/>
        </w:numPr>
        <w:tabs>
          <w:tab w:pos="397" w:val="left" w:leader="none"/>
        </w:tabs>
        <w:spacing w:line="240" w:lineRule="auto" w:before="200" w:after="0"/>
        <w:ind w:left="397" w:right="0" w:hanging="329"/>
        <w:jc w:val="left"/>
        <w:rPr>
          <w:sz w:val="23"/>
        </w:rPr>
      </w:pPr>
      <w:r>
        <w:rPr>
          <w:spacing w:val="-2"/>
          <w:sz w:val="23"/>
        </w:rPr>
        <w:t>Primários</w:t>
      </w:r>
    </w:p>
    <w:p>
      <w:pPr>
        <w:pStyle w:val="ListParagraph"/>
        <w:numPr>
          <w:ilvl w:val="1"/>
          <w:numId w:val="33"/>
        </w:numPr>
        <w:tabs>
          <w:tab w:pos="807" w:val="left" w:leader="none"/>
        </w:tabs>
        <w:spacing w:line="240" w:lineRule="auto" w:before="72" w:after="0"/>
        <w:ind w:left="807" w:right="0" w:hanging="393"/>
        <w:jc w:val="left"/>
        <w:rPr>
          <w:sz w:val="23"/>
        </w:rPr>
      </w:pPr>
      <w:r>
        <w:rPr>
          <w:sz w:val="23"/>
        </w:rPr>
        <w:t>Malformações</w:t>
      </w:r>
      <w:r>
        <w:rPr>
          <w:spacing w:val="-11"/>
          <w:sz w:val="23"/>
        </w:rPr>
        <w:t> </w:t>
      </w:r>
      <w:r>
        <w:rPr>
          <w:sz w:val="23"/>
        </w:rPr>
        <w:t>do</w:t>
      </w:r>
      <w:r>
        <w:rPr>
          <w:spacing w:val="-14"/>
          <w:sz w:val="23"/>
        </w:rPr>
        <w:t> </w:t>
      </w:r>
      <w:r>
        <w:rPr>
          <w:sz w:val="23"/>
        </w:rPr>
        <w:t>sistema</w:t>
      </w:r>
      <w:r>
        <w:rPr>
          <w:spacing w:val="-15"/>
          <w:sz w:val="23"/>
        </w:rPr>
        <w:t> </w:t>
      </w:r>
      <w:r>
        <w:rPr>
          <w:sz w:val="23"/>
        </w:rPr>
        <w:t>linfático</w:t>
      </w:r>
      <w:r>
        <w:rPr>
          <w:spacing w:val="-13"/>
          <w:sz w:val="23"/>
        </w:rPr>
        <w:t> </w:t>
      </w:r>
      <w:r>
        <w:rPr>
          <w:sz w:val="23"/>
        </w:rPr>
        <w:t>(aplasia,</w:t>
      </w:r>
      <w:r>
        <w:rPr>
          <w:spacing w:val="-8"/>
          <w:sz w:val="23"/>
        </w:rPr>
        <w:t> </w:t>
      </w:r>
      <w:r>
        <w:rPr>
          <w:sz w:val="23"/>
        </w:rPr>
        <w:t>hipoplasia,</w:t>
      </w:r>
      <w:r>
        <w:rPr>
          <w:spacing w:val="-7"/>
          <w:sz w:val="23"/>
        </w:rPr>
        <w:t> </w:t>
      </w:r>
      <w:r>
        <w:rPr>
          <w:sz w:val="23"/>
        </w:rPr>
        <w:t>linfangiectasia,</w:t>
      </w:r>
      <w:r>
        <w:rPr>
          <w:spacing w:val="-7"/>
          <w:sz w:val="23"/>
        </w:rPr>
        <w:t> </w:t>
      </w:r>
      <w:r>
        <w:rPr>
          <w:spacing w:val="-2"/>
          <w:sz w:val="23"/>
        </w:rPr>
        <w:t>hiperplasia)</w:t>
      </w:r>
    </w:p>
    <w:p>
      <w:pPr>
        <w:pStyle w:val="ListParagraph"/>
        <w:numPr>
          <w:ilvl w:val="2"/>
          <w:numId w:val="33"/>
        </w:numPr>
        <w:tabs>
          <w:tab w:pos="1130" w:val="left" w:leader="none"/>
        </w:tabs>
        <w:spacing w:line="240" w:lineRule="auto" w:before="55" w:after="0"/>
        <w:ind w:left="1130" w:right="0" w:hanging="393"/>
        <w:jc w:val="left"/>
        <w:rPr>
          <w:sz w:val="23"/>
        </w:rPr>
      </w:pPr>
      <w:r>
        <w:rPr>
          <w:sz w:val="23"/>
        </w:rPr>
        <w:t>Congênitos</w:t>
      </w:r>
      <w:r>
        <w:rPr>
          <w:spacing w:val="1"/>
          <w:sz w:val="23"/>
        </w:rPr>
        <w:t> </w:t>
      </w:r>
      <w:r>
        <w:rPr>
          <w:sz w:val="23"/>
        </w:rPr>
        <w:t>(antes</w:t>
      </w:r>
      <w:r>
        <w:rPr>
          <w:spacing w:val="2"/>
          <w:sz w:val="23"/>
        </w:rPr>
        <w:t> </w:t>
      </w:r>
      <w:r>
        <w:rPr>
          <w:sz w:val="23"/>
        </w:rPr>
        <w:t>dos</w:t>
      </w:r>
      <w:r>
        <w:rPr>
          <w:spacing w:val="2"/>
          <w:sz w:val="23"/>
        </w:rPr>
        <w:t> </w:t>
      </w:r>
      <w:r>
        <w:rPr>
          <w:sz w:val="23"/>
        </w:rPr>
        <w:t>2</w:t>
      </w:r>
      <w:r>
        <w:rPr>
          <w:spacing w:val="-6"/>
          <w:sz w:val="23"/>
        </w:rPr>
        <w:t> </w:t>
      </w:r>
      <w:r>
        <w:rPr>
          <w:sz w:val="23"/>
        </w:rPr>
        <w:t>anos)</w:t>
      </w:r>
      <w:r>
        <w:rPr>
          <w:spacing w:val="-1"/>
          <w:sz w:val="23"/>
        </w:rPr>
        <w:t> </w:t>
      </w:r>
      <w:r>
        <w:rPr>
          <w:sz w:val="23"/>
        </w:rPr>
        <w:t>–</w:t>
      </w:r>
      <w:r>
        <w:rPr>
          <w:spacing w:val="-6"/>
          <w:sz w:val="23"/>
        </w:rPr>
        <w:t> </w:t>
      </w:r>
      <w:r>
        <w:rPr>
          <w:sz w:val="23"/>
        </w:rPr>
        <w:t>familiar </w:t>
      </w:r>
      <w:r>
        <w:rPr>
          <w:spacing w:val="-2"/>
          <w:sz w:val="23"/>
        </w:rPr>
        <w:t>(Milroy)</w:t>
      </w:r>
    </w:p>
    <w:p>
      <w:pPr>
        <w:pStyle w:val="ListParagraph"/>
        <w:numPr>
          <w:ilvl w:val="2"/>
          <w:numId w:val="33"/>
        </w:numPr>
        <w:tabs>
          <w:tab w:pos="1130" w:val="left" w:leader="none"/>
        </w:tabs>
        <w:spacing w:line="240" w:lineRule="auto" w:before="72" w:after="0"/>
        <w:ind w:left="1130" w:right="0" w:hanging="393"/>
        <w:jc w:val="left"/>
        <w:rPr>
          <w:sz w:val="23"/>
        </w:rPr>
      </w:pPr>
      <w:r>
        <w:rPr>
          <w:sz w:val="23"/>
        </w:rPr>
        <w:t>Precoces</w:t>
      </w:r>
      <w:r>
        <w:rPr>
          <w:spacing w:val="3"/>
          <w:sz w:val="23"/>
        </w:rPr>
        <w:t> </w:t>
      </w:r>
      <w:r>
        <w:rPr>
          <w:sz w:val="23"/>
        </w:rPr>
        <w:t>(entre</w:t>
      </w:r>
      <w:r>
        <w:rPr>
          <w:spacing w:val="-7"/>
          <w:sz w:val="23"/>
        </w:rPr>
        <w:t> </w:t>
      </w:r>
      <w:r>
        <w:rPr>
          <w:sz w:val="23"/>
        </w:rPr>
        <w:t>2</w:t>
      </w:r>
      <w:r>
        <w:rPr>
          <w:spacing w:val="-5"/>
          <w:sz w:val="23"/>
        </w:rPr>
        <w:t> </w:t>
      </w:r>
      <w:r>
        <w:rPr>
          <w:sz w:val="23"/>
        </w:rPr>
        <w:t>e</w:t>
      </w:r>
      <w:r>
        <w:rPr>
          <w:spacing w:val="-7"/>
          <w:sz w:val="23"/>
        </w:rPr>
        <w:t> </w:t>
      </w:r>
      <w:r>
        <w:rPr>
          <w:sz w:val="23"/>
        </w:rPr>
        <w:t>35</w:t>
      </w:r>
      <w:r>
        <w:rPr>
          <w:spacing w:val="-4"/>
          <w:sz w:val="23"/>
        </w:rPr>
        <w:t> </w:t>
      </w:r>
      <w:r>
        <w:rPr>
          <w:spacing w:val="-2"/>
          <w:sz w:val="23"/>
        </w:rPr>
        <w:t>anos)</w:t>
      </w:r>
    </w:p>
    <w:p>
      <w:pPr>
        <w:pStyle w:val="ListParagraph"/>
        <w:numPr>
          <w:ilvl w:val="2"/>
          <w:numId w:val="33"/>
        </w:numPr>
        <w:tabs>
          <w:tab w:pos="1130" w:val="left" w:leader="none"/>
        </w:tabs>
        <w:spacing w:line="240" w:lineRule="auto" w:before="56" w:after="0"/>
        <w:ind w:left="1130" w:right="0" w:hanging="393"/>
        <w:jc w:val="left"/>
        <w:rPr>
          <w:sz w:val="23"/>
        </w:rPr>
      </w:pPr>
      <w:r>
        <w:rPr>
          <w:sz w:val="23"/>
        </w:rPr>
        <w:t>Tardios</w:t>
      </w:r>
      <w:r>
        <w:rPr>
          <w:spacing w:val="2"/>
          <w:sz w:val="23"/>
        </w:rPr>
        <w:t> </w:t>
      </w:r>
      <w:r>
        <w:rPr>
          <w:sz w:val="23"/>
        </w:rPr>
        <w:t>(após</w:t>
      </w:r>
      <w:r>
        <w:rPr>
          <w:spacing w:val="5"/>
          <w:sz w:val="23"/>
        </w:rPr>
        <w:t> </w:t>
      </w:r>
      <w:r>
        <w:rPr>
          <w:sz w:val="23"/>
        </w:rPr>
        <w:t>os</w:t>
      </w:r>
      <w:r>
        <w:rPr>
          <w:spacing w:val="4"/>
          <w:sz w:val="23"/>
        </w:rPr>
        <w:t> </w:t>
      </w:r>
      <w:r>
        <w:rPr>
          <w:sz w:val="23"/>
        </w:rPr>
        <w:t>35</w:t>
      </w:r>
      <w:r>
        <w:rPr>
          <w:spacing w:val="-3"/>
          <w:sz w:val="23"/>
        </w:rPr>
        <w:t> </w:t>
      </w:r>
      <w:r>
        <w:rPr>
          <w:spacing w:val="-4"/>
          <w:sz w:val="23"/>
        </w:rPr>
        <w:t>anos)</w:t>
      </w:r>
    </w:p>
    <w:p>
      <w:pPr>
        <w:pStyle w:val="ListParagraph"/>
        <w:numPr>
          <w:ilvl w:val="0"/>
          <w:numId w:val="33"/>
        </w:numPr>
        <w:tabs>
          <w:tab w:pos="397" w:val="left" w:leader="none"/>
        </w:tabs>
        <w:spacing w:line="240" w:lineRule="auto" w:before="72" w:after="0"/>
        <w:ind w:left="397" w:right="0" w:hanging="329"/>
        <w:jc w:val="left"/>
        <w:rPr>
          <w:sz w:val="23"/>
        </w:rPr>
      </w:pPr>
      <w:r>
        <w:rPr>
          <w:spacing w:val="-2"/>
          <w:sz w:val="23"/>
        </w:rPr>
        <w:t>Secundários</w:t>
      </w:r>
    </w:p>
    <w:p>
      <w:pPr>
        <w:pStyle w:val="ListParagraph"/>
        <w:numPr>
          <w:ilvl w:val="0"/>
          <w:numId w:val="34"/>
        </w:numPr>
        <w:tabs>
          <w:tab w:pos="1130" w:val="left" w:leader="none"/>
        </w:tabs>
        <w:spacing w:line="240" w:lineRule="auto" w:before="56" w:after="0"/>
        <w:ind w:left="1130" w:right="0" w:hanging="393"/>
        <w:jc w:val="left"/>
        <w:rPr>
          <w:sz w:val="23"/>
        </w:rPr>
      </w:pPr>
      <w:r>
        <w:rPr>
          <w:sz w:val="23"/>
        </w:rPr>
        <w:t>Neoplasia</w:t>
      </w:r>
      <w:r>
        <w:rPr>
          <w:spacing w:val="-14"/>
          <w:sz w:val="23"/>
        </w:rPr>
        <w:t> </w:t>
      </w:r>
      <w:r>
        <w:rPr>
          <w:sz w:val="23"/>
        </w:rPr>
        <w:t>maligna</w:t>
      </w:r>
      <w:r>
        <w:rPr>
          <w:spacing w:val="-14"/>
          <w:sz w:val="23"/>
        </w:rPr>
        <w:t> </w:t>
      </w:r>
      <w:r>
        <w:rPr>
          <w:sz w:val="23"/>
        </w:rPr>
        <w:t>primária</w:t>
      </w:r>
      <w:r>
        <w:rPr>
          <w:spacing w:val="-13"/>
          <w:sz w:val="23"/>
        </w:rPr>
        <w:t> </w:t>
      </w:r>
      <w:r>
        <w:rPr>
          <w:sz w:val="23"/>
        </w:rPr>
        <w:t>ou</w:t>
      </w:r>
      <w:r>
        <w:rPr>
          <w:spacing w:val="-11"/>
          <w:sz w:val="23"/>
        </w:rPr>
        <w:t> </w:t>
      </w:r>
      <w:r>
        <w:rPr>
          <w:spacing w:val="-2"/>
          <w:sz w:val="23"/>
        </w:rPr>
        <w:t>recidivada</w:t>
      </w:r>
    </w:p>
    <w:p>
      <w:pPr>
        <w:pStyle w:val="ListParagraph"/>
        <w:numPr>
          <w:ilvl w:val="0"/>
          <w:numId w:val="34"/>
        </w:numPr>
        <w:tabs>
          <w:tab w:pos="1130" w:val="left" w:leader="none"/>
        </w:tabs>
        <w:spacing w:line="240" w:lineRule="auto" w:before="56" w:after="0"/>
        <w:ind w:left="1130" w:right="0" w:hanging="393"/>
        <w:jc w:val="left"/>
        <w:rPr>
          <w:sz w:val="23"/>
        </w:rPr>
      </w:pPr>
      <w:r>
        <w:rPr>
          <w:spacing w:val="-2"/>
          <w:sz w:val="23"/>
        </w:rPr>
        <w:t>Propagação intralinfática</w:t>
      </w:r>
      <w:r>
        <w:rPr>
          <w:spacing w:val="-4"/>
          <w:sz w:val="23"/>
        </w:rPr>
        <w:t> </w:t>
      </w:r>
      <w:r>
        <w:rPr>
          <w:spacing w:val="-2"/>
          <w:sz w:val="23"/>
        </w:rPr>
        <w:t>de</w:t>
      </w:r>
      <w:r>
        <w:rPr>
          <w:spacing w:val="-3"/>
          <w:sz w:val="23"/>
        </w:rPr>
        <w:t> </w:t>
      </w:r>
      <w:r>
        <w:rPr>
          <w:spacing w:val="-2"/>
          <w:sz w:val="23"/>
        </w:rPr>
        <w:t>tumores</w:t>
      </w:r>
    </w:p>
    <w:p>
      <w:pPr>
        <w:pStyle w:val="ListParagraph"/>
        <w:numPr>
          <w:ilvl w:val="0"/>
          <w:numId w:val="34"/>
        </w:numPr>
        <w:tabs>
          <w:tab w:pos="1130" w:val="left" w:leader="none"/>
        </w:tabs>
        <w:spacing w:line="240" w:lineRule="auto" w:before="72" w:after="0"/>
        <w:ind w:left="1130" w:right="0" w:hanging="393"/>
        <w:jc w:val="left"/>
        <w:rPr>
          <w:sz w:val="23"/>
        </w:rPr>
      </w:pPr>
      <w:r>
        <w:rPr>
          <w:sz w:val="23"/>
        </w:rPr>
        <w:t>Compressão</w:t>
      </w:r>
      <w:r>
        <w:rPr>
          <w:spacing w:val="-7"/>
          <w:sz w:val="23"/>
        </w:rPr>
        <w:t> </w:t>
      </w:r>
      <w:r>
        <w:rPr>
          <w:sz w:val="23"/>
        </w:rPr>
        <w:t>extrínseca</w:t>
      </w:r>
      <w:r>
        <w:rPr>
          <w:spacing w:val="-10"/>
          <w:sz w:val="23"/>
        </w:rPr>
        <w:t> </w:t>
      </w:r>
      <w:r>
        <w:rPr>
          <w:sz w:val="23"/>
        </w:rPr>
        <w:t>de</w:t>
      </w:r>
      <w:r>
        <w:rPr>
          <w:spacing w:val="-9"/>
          <w:sz w:val="23"/>
        </w:rPr>
        <w:t> </w:t>
      </w:r>
      <w:r>
        <w:rPr>
          <w:spacing w:val="-2"/>
          <w:sz w:val="23"/>
        </w:rPr>
        <w:t>linfáticos</w:t>
      </w:r>
    </w:p>
    <w:p>
      <w:pPr>
        <w:pStyle w:val="ListParagraph"/>
        <w:numPr>
          <w:ilvl w:val="1"/>
          <w:numId w:val="33"/>
        </w:numPr>
        <w:tabs>
          <w:tab w:pos="807" w:val="left" w:leader="none"/>
        </w:tabs>
        <w:spacing w:line="240" w:lineRule="auto" w:before="55" w:after="0"/>
        <w:ind w:left="807" w:right="0" w:hanging="393"/>
        <w:jc w:val="left"/>
        <w:rPr>
          <w:sz w:val="23"/>
        </w:rPr>
      </w:pPr>
      <w:r>
        <w:rPr>
          <w:sz w:val="23"/>
        </w:rPr>
        <w:t>Síndrome</w:t>
      </w:r>
      <w:r>
        <w:rPr>
          <w:spacing w:val="-14"/>
          <w:sz w:val="23"/>
        </w:rPr>
        <w:t> </w:t>
      </w:r>
      <w:r>
        <w:rPr>
          <w:sz w:val="23"/>
        </w:rPr>
        <w:t>de</w:t>
      </w:r>
      <w:r>
        <w:rPr>
          <w:spacing w:val="-14"/>
          <w:sz w:val="23"/>
        </w:rPr>
        <w:t> </w:t>
      </w:r>
      <w:r>
        <w:rPr>
          <w:sz w:val="23"/>
        </w:rPr>
        <w:t>Stewart-Treves</w:t>
      </w:r>
      <w:r>
        <w:rPr>
          <w:spacing w:val="-4"/>
          <w:sz w:val="23"/>
        </w:rPr>
        <w:t> </w:t>
      </w:r>
      <w:r>
        <w:rPr>
          <w:spacing w:val="-2"/>
          <w:sz w:val="23"/>
        </w:rPr>
        <w:t>(angiossarcoma)</w:t>
      </w:r>
    </w:p>
    <w:p>
      <w:pPr>
        <w:pStyle w:val="ListParagraph"/>
        <w:numPr>
          <w:ilvl w:val="1"/>
          <w:numId w:val="33"/>
        </w:numPr>
        <w:tabs>
          <w:tab w:pos="807" w:val="left" w:leader="none"/>
        </w:tabs>
        <w:spacing w:line="240" w:lineRule="auto" w:before="72" w:after="0"/>
        <w:ind w:left="807" w:right="0" w:hanging="393"/>
        <w:jc w:val="left"/>
        <w:rPr>
          <w:sz w:val="23"/>
        </w:rPr>
      </w:pPr>
      <w:r>
        <w:rPr>
          <w:sz w:val="23"/>
        </w:rPr>
        <w:t>Traumatismos, </w:t>
      </w:r>
      <w:r>
        <w:rPr>
          <w:spacing w:val="-2"/>
          <w:sz w:val="23"/>
        </w:rPr>
        <w:t>queimaduras</w:t>
      </w:r>
    </w:p>
    <w:p>
      <w:pPr>
        <w:pStyle w:val="ListParagraph"/>
        <w:numPr>
          <w:ilvl w:val="1"/>
          <w:numId w:val="33"/>
        </w:numPr>
        <w:tabs>
          <w:tab w:pos="807" w:val="left" w:leader="none"/>
        </w:tabs>
        <w:spacing w:line="240" w:lineRule="auto" w:before="56" w:after="0"/>
        <w:ind w:left="807" w:right="0" w:hanging="393"/>
        <w:jc w:val="left"/>
        <w:rPr>
          <w:sz w:val="23"/>
        </w:rPr>
      </w:pPr>
      <w:r>
        <w:rPr>
          <w:sz w:val="23"/>
        </w:rPr>
        <w:t>Linfangites</w:t>
      </w:r>
      <w:r>
        <w:rPr>
          <w:spacing w:val="-11"/>
          <w:sz w:val="23"/>
        </w:rPr>
        <w:t> </w:t>
      </w:r>
      <w:r>
        <w:rPr>
          <w:sz w:val="23"/>
        </w:rPr>
        <w:t>(bacteriana,</w:t>
      </w:r>
      <w:r>
        <w:rPr>
          <w:spacing w:val="-9"/>
          <w:sz w:val="23"/>
        </w:rPr>
        <w:t> </w:t>
      </w:r>
      <w:r>
        <w:rPr>
          <w:sz w:val="23"/>
        </w:rPr>
        <w:t>micótica,</w:t>
      </w:r>
      <w:r>
        <w:rPr>
          <w:spacing w:val="-8"/>
          <w:sz w:val="23"/>
        </w:rPr>
        <w:t> </w:t>
      </w:r>
      <w:r>
        <w:rPr>
          <w:sz w:val="23"/>
        </w:rPr>
        <w:t>parasitária,</w:t>
      </w:r>
      <w:r>
        <w:rPr>
          <w:spacing w:val="-8"/>
          <w:sz w:val="23"/>
        </w:rPr>
        <w:t> </w:t>
      </w:r>
      <w:r>
        <w:rPr>
          <w:sz w:val="23"/>
        </w:rPr>
        <w:t>picadas</w:t>
      </w:r>
      <w:r>
        <w:rPr>
          <w:spacing w:val="-8"/>
          <w:sz w:val="23"/>
        </w:rPr>
        <w:t> </w:t>
      </w:r>
      <w:r>
        <w:rPr>
          <w:sz w:val="23"/>
        </w:rPr>
        <w:t>de</w:t>
      </w:r>
      <w:r>
        <w:rPr>
          <w:spacing w:val="-15"/>
          <w:sz w:val="23"/>
        </w:rPr>
        <w:t> </w:t>
      </w:r>
      <w:r>
        <w:rPr>
          <w:sz w:val="23"/>
        </w:rPr>
        <w:t>insetos,</w:t>
      </w:r>
      <w:r>
        <w:rPr>
          <w:spacing w:val="-8"/>
          <w:sz w:val="23"/>
        </w:rPr>
        <w:t> </w:t>
      </w:r>
      <w:r>
        <w:rPr>
          <w:sz w:val="23"/>
        </w:rPr>
        <w:t>produtos</w:t>
      </w:r>
      <w:r>
        <w:rPr>
          <w:spacing w:val="-8"/>
          <w:sz w:val="23"/>
        </w:rPr>
        <w:t> </w:t>
      </w:r>
      <w:r>
        <w:rPr>
          <w:spacing w:val="-2"/>
          <w:sz w:val="23"/>
        </w:rPr>
        <w:t>químicos)</w:t>
      </w:r>
    </w:p>
    <w:p>
      <w:pPr>
        <w:pStyle w:val="ListParagraph"/>
        <w:numPr>
          <w:ilvl w:val="2"/>
          <w:numId w:val="33"/>
        </w:numPr>
        <w:tabs>
          <w:tab w:pos="1130" w:val="left" w:leader="none"/>
        </w:tabs>
        <w:spacing w:line="240" w:lineRule="auto" w:before="72" w:after="0"/>
        <w:ind w:left="1130" w:right="0" w:hanging="393"/>
        <w:jc w:val="left"/>
        <w:rPr>
          <w:sz w:val="23"/>
        </w:rPr>
      </w:pPr>
      <w:r>
        <w:rPr>
          <w:spacing w:val="-2"/>
          <w:sz w:val="23"/>
        </w:rPr>
        <w:t>Iatrogênicos</w:t>
      </w:r>
    </w:p>
    <w:p>
      <w:pPr>
        <w:pStyle w:val="ListParagraph"/>
        <w:numPr>
          <w:ilvl w:val="2"/>
          <w:numId w:val="33"/>
        </w:numPr>
        <w:tabs>
          <w:tab w:pos="1130" w:val="left" w:leader="none"/>
        </w:tabs>
        <w:spacing w:line="240" w:lineRule="auto" w:before="56" w:after="0"/>
        <w:ind w:left="1130" w:right="0" w:hanging="393"/>
        <w:jc w:val="left"/>
        <w:rPr>
          <w:sz w:val="23"/>
        </w:rPr>
      </w:pPr>
      <w:r>
        <w:rPr>
          <w:spacing w:val="-2"/>
          <w:sz w:val="23"/>
        </w:rPr>
        <w:t>Dissecções</w:t>
      </w:r>
      <w:r>
        <w:rPr>
          <w:spacing w:val="5"/>
          <w:sz w:val="23"/>
        </w:rPr>
        <w:t> </w:t>
      </w:r>
      <w:r>
        <w:rPr>
          <w:spacing w:val="-2"/>
          <w:sz w:val="23"/>
        </w:rPr>
        <w:t>amplas</w:t>
      </w:r>
    </w:p>
    <w:p>
      <w:pPr>
        <w:pStyle w:val="ListParagraph"/>
        <w:numPr>
          <w:ilvl w:val="2"/>
          <w:numId w:val="33"/>
        </w:numPr>
        <w:tabs>
          <w:tab w:pos="1130" w:val="left" w:leader="none"/>
        </w:tabs>
        <w:spacing w:line="240" w:lineRule="auto" w:before="56" w:after="0"/>
        <w:ind w:left="1130" w:right="0" w:hanging="393"/>
        <w:jc w:val="left"/>
        <w:rPr>
          <w:sz w:val="23"/>
        </w:rPr>
      </w:pPr>
      <w:r>
        <w:rPr>
          <w:spacing w:val="-2"/>
          <w:sz w:val="23"/>
        </w:rPr>
        <w:t>Radioterapia</w:t>
      </w:r>
    </w:p>
    <w:p>
      <w:pPr>
        <w:pStyle w:val="ListParagraph"/>
        <w:numPr>
          <w:ilvl w:val="2"/>
          <w:numId w:val="33"/>
        </w:numPr>
        <w:tabs>
          <w:tab w:pos="1130" w:val="left" w:leader="none"/>
        </w:tabs>
        <w:spacing w:line="240" w:lineRule="auto" w:before="71" w:after="0"/>
        <w:ind w:left="1130" w:right="0" w:hanging="393"/>
        <w:jc w:val="left"/>
        <w:rPr>
          <w:sz w:val="23"/>
        </w:rPr>
      </w:pPr>
      <w:r>
        <w:rPr>
          <w:sz w:val="23"/>
        </w:rPr>
        <w:t>Sequelas</w:t>
      </w:r>
      <w:r>
        <w:rPr>
          <w:spacing w:val="-13"/>
          <w:sz w:val="23"/>
        </w:rPr>
        <w:t> </w:t>
      </w:r>
      <w:r>
        <w:rPr>
          <w:sz w:val="23"/>
        </w:rPr>
        <w:t>de</w:t>
      </w:r>
      <w:r>
        <w:rPr>
          <w:spacing w:val="-14"/>
          <w:sz w:val="23"/>
        </w:rPr>
        <w:t> </w:t>
      </w:r>
      <w:r>
        <w:rPr>
          <w:sz w:val="23"/>
        </w:rPr>
        <w:t>tratamentos</w:t>
      </w:r>
      <w:r>
        <w:rPr>
          <w:spacing w:val="-12"/>
          <w:sz w:val="23"/>
        </w:rPr>
        <w:t> </w:t>
      </w:r>
      <w:r>
        <w:rPr>
          <w:spacing w:val="-2"/>
          <w:sz w:val="23"/>
        </w:rPr>
        <w:t>cirúrgicos</w:t>
      </w:r>
    </w:p>
    <w:p>
      <w:pPr>
        <w:pStyle w:val="ListParagraph"/>
        <w:numPr>
          <w:ilvl w:val="2"/>
          <w:numId w:val="33"/>
        </w:numPr>
        <w:tabs>
          <w:tab w:pos="1130" w:val="left" w:leader="none"/>
        </w:tabs>
        <w:spacing w:line="240" w:lineRule="auto" w:before="56" w:after="0"/>
        <w:ind w:left="1130" w:right="0" w:hanging="393"/>
        <w:jc w:val="left"/>
        <w:rPr>
          <w:sz w:val="23"/>
        </w:rPr>
      </w:pPr>
      <w:r>
        <w:rPr>
          <w:sz w:val="23"/>
        </w:rPr>
        <w:t>Ressecção</w:t>
      </w:r>
      <w:r>
        <w:rPr>
          <w:spacing w:val="-12"/>
          <w:sz w:val="23"/>
        </w:rPr>
        <w:t> </w:t>
      </w:r>
      <w:r>
        <w:rPr>
          <w:sz w:val="23"/>
        </w:rPr>
        <w:t>de</w:t>
      </w:r>
      <w:r>
        <w:rPr>
          <w:spacing w:val="-13"/>
          <w:sz w:val="23"/>
        </w:rPr>
        <w:t> </w:t>
      </w:r>
      <w:r>
        <w:rPr>
          <w:sz w:val="23"/>
        </w:rPr>
        <w:t>linfonodos</w:t>
      </w:r>
      <w:r>
        <w:rPr>
          <w:spacing w:val="-5"/>
          <w:sz w:val="23"/>
        </w:rPr>
        <w:t> </w:t>
      </w:r>
      <w:r>
        <w:rPr>
          <w:sz w:val="23"/>
        </w:rPr>
        <w:t>(mama,</w:t>
      </w:r>
      <w:r>
        <w:rPr>
          <w:spacing w:val="-4"/>
          <w:sz w:val="23"/>
        </w:rPr>
        <w:t> </w:t>
      </w:r>
      <w:r>
        <w:rPr>
          <w:spacing w:val="-2"/>
          <w:sz w:val="23"/>
        </w:rPr>
        <w:t>próstata)</w:t>
      </w:r>
    </w:p>
    <w:p>
      <w:pPr>
        <w:pStyle w:val="ListParagraph"/>
        <w:numPr>
          <w:ilvl w:val="2"/>
          <w:numId w:val="33"/>
        </w:numPr>
        <w:tabs>
          <w:tab w:pos="1130" w:val="left" w:leader="none"/>
        </w:tabs>
        <w:spacing w:line="240" w:lineRule="auto" w:before="72" w:after="0"/>
        <w:ind w:left="1130" w:right="0" w:hanging="393"/>
        <w:jc w:val="left"/>
        <w:rPr>
          <w:sz w:val="23"/>
        </w:rPr>
      </w:pPr>
      <w:r>
        <w:rPr>
          <w:sz w:val="23"/>
        </w:rPr>
        <w:t>Lipectomias,</w:t>
      </w:r>
      <w:r>
        <w:rPr>
          <w:spacing w:val="-12"/>
          <w:sz w:val="23"/>
        </w:rPr>
        <w:t> </w:t>
      </w:r>
      <w:r>
        <w:rPr>
          <w:sz w:val="23"/>
        </w:rPr>
        <w:t>lipoaspiração</w:t>
      </w:r>
      <w:r>
        <w:rPr>
          <w:spacing w:val="-14"/>
          <w:sz w:val="23"/>
        </w:rPr>
        <w:t> </w:t>
      </w:r>
      <w:r>
        <w:rPr>
          <w:sz w:val="23"/>
        </w:rPr>
        <w:t>e</w:t>
      </w:r>
      <w:r>
        <w:rPr>
          <w:spacing w:val="-14"/>
          <w:sz w:val="23"/>
        </w:rPr>
        <w:t> </w:t>
      </w:r>
      <w:r>
        <w:rPr>
          <w:spacing w:val="-2"/>
          <w:sz w:val="23"/>
        </w:rPr>
        <w:t>outras</w:t>
      </w:r>
    </w:p>
    <w:p>
      <w:pPr>
        <w:pStyle w:val="ListParagraph"/>
        <w:numPr>
          <w:ilvl w:val="2"/>
          <w:numId w:val="33"/>
        </w:numPr>
        <w:tabs>
          <w:tab w:pos="1130" w:val="left" w:leader="none"/>
        </w:tabs>
        <w:spacing w:line="240" w:lineRule="auto" w:before="56" w:after="0"/>
        <w:ind w:left="1130" w:right="0" w:hanging="393"/>
        <w:jc w:val="left"/>
        <w:rPr>
          <w:sz w:val="23"/>
        </w:rPr>
      </w:pPr>
      <w:r>
        <w:rPr>
          <w:spacing w:val="-2"/>
          <w:sz w:val="23"/>
        </w:rPr>
        <w:t>Fleboextração</w:t>
      </w:r>
    </w:p>
    <w:p>
      <w:pPr>
        <w:pStyle w:val="ListParagraph"/>
        <w:numPr>
          <w:ilvl w:val="0"/>
          <w:numId w:val="33"/>
        </w:numPr>
        <w:tabs>
          <w:tab w:pos="397" w:val="left" w:leader="none"/>
        </w:tabs>
        <w:spacing w:line="240" w:lineRule="auto" w:before="72" w:after="0"/>
        <w:ind w:left="397" w:right="0" w:hanging="329"/>
        <w:jc w:val="left"/>
        <w:rPr>
          <w:sz w:val="23"/>
        </w:rPr>
      </w:pPr>
      <w:r>
        <w:rPr>
          <w:sz w:val="23"/>
        </w:rPr>
        <w:t>Entidades</w:t>
      </w:r>
      <w:r>
        <w:rPr>
          <w:spacing w:val="-11"/>
          <w:sz w:val="23"/>
        </w:rPr>
        <w:t> </w:t>
      </w:r>
      <w:r>
        <w:rPr>
          <w:spacing w:val="-2"/>
          <w:sz w:val="23"/>
        </w:rPr>
        <w:t>clínicas</w:t>
      </w:r>
    </w:p>
    <w:p>
      <w:pPr>
        <w:pStyle w:val="ListParagraph"/>
        <w:numPr>
          <w:ilvl w:val="1"/>
          <w:numId w:val="33"/>
        </w:numPr>
        <w:tabs>
          <w:tab w:pos="807" w:val="left" w:leader="none"/>
        </w:tabs>
        <w:spacing w:line="240" w:lineRule="auto" w:before="56" w:after="0"/>
        <w:ind w:left="807" w:right="0" w:hanging="393"/>
        <w:jc w:val="left"/>
        <w:rPr>
          <w:sz w:val="23"/>
        </w:rPr>
      </w:pPr>
      <w:r>
        <w:rPr>
          <w:spacing w:val="-2"/>
          <w:sz w:val="23"/>
        </w:rPr>
        <w:t>Obesidade</w:t>
      </w:r>
      <w:r>
        <w:rPr>
          <w:spacing w:val="-9"/>
          <w:sz w:val="23"/>
        </w:rPr>
        <w:t> </w:t>
      </w:r>
      <w:r>
        <w:rPr>
          <w:spacing w:val="-2"/>
          <w:sz w:val="23"/>
        </w:rPr>
        <w:t>mórbida</w:t>
      </w:r>
    </w:p>
    <w:p>
      <w:pPr>
        <w:pStyle w:val="ListParagraph"/>
        <w:numPr>
          <w:ilvl w:val="1"/>
          <w:numId w:val="33"/>
        </w:numPr>
        <w:tabs>
          <w:tab w:pos="807" w:val="left" w:leader="none"/>
        </w:tabs>
        <w:spacing w:line="240" w:lineRule="auto" w:before="72" w:after="0"/>
        <w:ind w:left="807" w:right="0" w:hanging="393"/>
        <w:jc w:val="left"/>
        <w:rPr>
          <w:sz w:val="23"/>
        </w:rPr>
      </w:pPr>
      <w:r>
        <w:rPr>
          <w:spacing w:val="-2"/>
          <w:sz w:val="23"/>
        </w:rPr>
        <w:t>Insuficiência</w:t>
      </w:r>
      <w:r>
        <w:rPr>
          <w:spacing w:val="2"/>
          <w:sz w:val="23"/>
        </w:rPr>
        <w:t> </w:t>
      </w:r>
      <w:r>
        <w:rPr>
          <w:spacing w:val="-2"/>
          <w:sz w:val="23"/>
        </w:rPr>
        <w:t>venosa</w:t>
      </w:r>
      <w:r>
        <w:rPr>
          <w:spacing w:val="2"/>
          <w:sz w:val="23"/>
        </w:rPr>
        <w:t> </w:t>
      </w:r>
      <w:r>
        <w:rPr>
          <w:spacing w:val="-2"/>
          <w:sz w:val="23"/>
        </w:rPr>
        <w:t>crônica</w:t>
      </w:r>
    </w:p>
    <w:p>
      <w:pPr>
        <w:pStyle w:val="ListParagraph"/>
        <w:numPr>
          <w:ilvl w:val="1"/>
          <w:numId w:val="33"/>
        </w:numPr>
        <w:tabs>
          <w:tab w:pos="807" w:val="left" w:leader="none"/>
        </w:tabs>
        <w:spacing w:line="240" w:lineRule="auto" w:before="55" w:after="0"/>
        <w:ind w:left="807" w:right="0" w:hanging="393"/>
        <w:jc w:val="left"/>
        <w:rPr>
          <w:sz w:val="23"/>
        </w:rPr>
      </w:pPr>
      <w:r>
        <w:rPr>
          <w:spacing w:val="-2"/>
          <w:sz w:val="23"/>
        </w:rPr>
        <w:t>Insuficiência</w:t>
      </w:r>
      <w:r>
        <w:rPr>
          <w:spacing w:val="-4"/>
          <w:sz w:val="23"/>
        </w:rPr>
        <w:t> </w:t>
      </w:r>
      <w:r>
        <w:rPr>
          <w:spacing w:val="-2"/>
          <w:sz w:val="23"/>
        </w:rPr>
        <w:t>cardíaca</w:t>
      </w:r>
      <w:r>
        <w:rPr>
          <w:spacing w:val="-4"/>
          <w:sz w:val="23"/>
        </w:rPr>
        <w:t> </w:t>
      </w:r>
      <w:r>
        <w:rPr>
          <w:spacing w:val="-2"/>
          <w:sz w:val="23"/>
        </w:rPr>
        <w:t>congestiva</w:t>
      </w:r>
    </w:p>
    <w:p>
      <w:pPr>
        <w:pStyle w:val="ListParagraph"/>
        <w:numPr>
          <w:ilvl w:val="1"/>
          <w:numId w:val="33"/>
        </w:numPr>
        <w:tabs>
          <w:tab w:pos="807" w:val="left" w:leader="none"/>
        </w:tabs>
        <w:spacing w:line="240" w:lineRule="auto" w:before="56" w:after="0"/>
        <w:ind w:left="807" w:right="0" w:hanging="393"/>
        <w:jc w:val="left"/>
        <w:rPr>
          <w:sz w:val="23"/>
        </w:rPr>
      </w:pPr>
      <w:r>
        <w:rPr>
          <w:spacing w:val="-2"/>
          <w:sz w:val="23"/>
        </w:rPr>
        <w:t>Hipertensão portal.</w:t>
      </w:r>
    </w:p>
    <w:p>
      <w:pPr>
        <w:pStyle w:val="BodyText"/>
        <w:spacing w:before="173"/>
        <w:ind w:left="0" w:firstLine="0"/>
        <w:jc w:val="left"/>
      </w:pPr>
    </w:p>
    <w:p>
      <w:pPr>
        <w:pStyle w:val="Heading5"/>
      </w:pPr>
      <w:r>
        <w:rPr>
          <w:color w:val="A26108"/>
        </w:rPr>
        <w:t>Linfedemas</w:t>
      </w:r>
      <w:r>
        <w:rPr>
          <w:color w:val="A26108"/>
          <w:spacing w:val="35"/>
        </w:rPr>
        <w:t> </w:t>
      </w:r>
      <w:r>
        <w:rPr>
          <w:color w:val="A26108"/>
          <w:spacing w:val="-2"/>
        </w:rPr>
        <w:t>primários</w:t>
      </w:r>
    </w:p>
    <w:p>
      <w:pPr>
        <w:pStyle w:val="BodyText"/>
        <w:spacing w:line="276" w:lineRule="auto" w:before="139"/>
        <w:ind w:right="497"/>
      </w:pPr>
      <w:r>
        <w:rPr/>
        <w:t>São</w:t>
      </w:r>
      <w:r>
        <w:rPr>
          <w:spacing w:val="-10"/>
        </w:rPr>
        <w:t> </w:t>
      </w:r>
      <w:r>
        <w:rPr/>
        <w:t>causados</w:t>
      </w:r>
      <w:r>
        <w:rPr>
          <w:spacing w:val="-2"/>
        </w:rPr>
        <w:t> </w:t>
      </w:r>
      <w:r>
        <w:rPr/>
        <w:t>por</w:t>
      </w:r>
      <w:r>
        <w:rPr>
          <w:spacing w:val="-5"/>
        </w:rPr>
        <w:t> </w:t>
      </w:r>
      <w:r>
        <w:rPr/>
        <w:t>anomalias</w:t>
      </w:r>
      <w:r>
        <w:rPr>
          <w:spacing w:val="-2"/>
        </w:rPr>
        <w:t> </w:t>
      </w:r>
      <w:r>
        <w:rPr/>
        <w:t>no</w:t>
      </w:r>
      <w:r>
        <w:rPr>
          <w:spacing w:val="-10"/>
        </w:rPr>
        <w:t> </w:t>
      </w:r>
      <w:r>
        <w:rPr/>
        <w:t>desenvolvimento</w:t>
      </w:r>
      <w:r>
        <w:rPr>
          <w:spacing w:val="-10"/>
        </w:rPr>
        <w:t> </w:t>
      </w:r>
      <w:r>
        <w:rPr/>
        <w:t>do</w:t>
      </w:r>
      <w:r>
        <w:rPr>
          <w:spacing w:val="-10"/>
        </w:rPr>
        <w:t> </w:t>
      </w:r>
      <w:r>
        <w:rPr/>
        <w:t>sistema</w:t>
      </w:r>
      <w:r>
        <w:rPr>
          <w:spacing w:val="-12"/>
        </w:rPr>
        <w:t> </w:t>
      </w:r>
      <w:r>
        <w:rPr/>
        <w:t>linfático,</w:t>
      </w:r>
      <w:r>
        <w:rPr>
          <w:spacing w:val="-2"/>
        </w:rPr>
        <w:t> </w:t>
      </w:r>
      <w:r>
        <w:rPr/>
        <w:t>acometendo</w:t>
      </w:r>
      <w:r>
        <w:rPr>
          <w:spacing w:val="-10"/>
        </w:rPr>
        <w:t> </w:t>
      </w:r>
      <w:r>
        <w:rPr/>
        <w:t>1</w:t>
      </w:r>
      <w:r>
        <w:rPr>
          <w:spacing w:val="-10"/>
        </w:rPr>
        <w:t> </w:t>
      </w:r>
      <w:r>
        <w:rPr/>
        <w:t>em</w:t>
      </w:r>
      <w:r>
        <w:rPr>
          <w:spacing w:val="-10"/>
        </w:rPr>
        <w:t> </w:t>
      </w:r>
      <w:r>
        <w:rPr/>
        <w:t>cada</w:t>
      </w:r>
      <w:r>
        <w:rPr>
          <w:spacing w:val="-12"/>
        </w:rPr>
        <w:t> </w:t>
      </w:r>
      <w:r>
        <w:rPr/>
        <w:t>10.000</w:t>
      </w:r>
      <w:r>
        <w:rPr>
          <w:spacing w:val="-10"/>
        </w:rPr>
        <w:t> </w:t>
      </w:r>
      <w:r>
        <w:rPr/>
        <w:t>indivíduos. O momento de aparecimento do edema depende do equilíbrio entre o grau de acometimento e os mecanismos compensadores. São mais frequentes nos membros inferiores. Estão subdivididos em congênitos, precoces e tardios, de acordo com a idade de aparecimento do edema.</w:t>
      </w:r>
    </w:p>
    <w:p>
      <w:pPr>
        <w:pStyle w:val="BodyText"/>
        <w:spacing w:after="0" w:line="276" w:lineRule="auto"/>
        <w:sectPr>
          <w:pgSz w:w="11900" w:h="16840"/>
          <w:pgMar w:top="140" w:bottom="280" w:left="566" w:right="141"/>
        </w:sectPr>
      </w:pPr>
    </w:p>
    <w:p>
      <w:pPr>
        <w:spacing w:line="240" w:lineRule="auto"/>
        <w:ind w:left="3670" w:right="0" w:firstLine="0"/>
        <w:rPr>
          <w:sz w:val="20"/>
        </w:rPr>
      </w:pPr>
      <w:r>
        <w:rPr>
          <w:sz w:val="20"/>
        </w:rPr>
        <w:drawing>
          <wp:inline distT="0" distB="0" distL="0" distR="0">
            <wp:extent cx="2191223" cy="3475386"/>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68" cstate="print"/>
                    <a:stretch>
                      <a:fillRect/>
                    </a:stretch>
                  </pic:blipFill>
                  <pic:spPr>
                    <a:xfrm>
                      <a:off x="0" y="0"/>
                      <a:ext cx="2191223" cy="3475386"/>
                    </a:xfrm>
                    <a:prstGeom prst="rect">
                      <a:avLst/>
                    </a:prstGeom>
                  </pic:spPr>
                </pic:pic>
              </a:graphicData>
            </a:graphic>
          </wp:inline>
        </w:drawing>
      </w:r>
      <w:r>
        <w:rPr>
          <w:sz w:val="20"/>
        </w:rPr>
      </w:r>
    </w:p>
    <w:p>
      <w:pPr>
        <w:spacing w:line="285" w:lineRule="auto" w:before="189"/>
        <w:ind w:left="68" w:right="508" w:firstLine="0"/>
        <w:jc w:val="both"/>
        <w:rPr>
          <w:rFonts w:ascii="Microsoft Sans Serif" w:hAnsi="Microsoft Sans Serif"/>
          <w:sz w:val="19"/>
        </w:rPr>
      </w:pPr>
      <w:r>
        <w:rPr>
          <w:rFonts w:ascii="Arial" w:hAnsi="Arial"/>
          <w:b/>
          <w:color w:val="242B67"/>
          <w:sz w:val="19"/>
        </w:rPr>
        <w:t>Figura</w:t>
      </w:r>
      <w:r>
        <w:rPr>
          <w:rFonts w:ascii="Arial" w:hAnsi="Arial"/>
          <w:b/>
          <w:color w:val="242B67"/>
          <w:spacing w:val="40"/>
          <w:sz w:val="19"/>
        </w:rPr>
        <w:t> </w:t>
      </w:r>
      <w:r>
        <w:rPr>
          <w:rFonts w:ascii="Arial" w:hAnsi="Arial"/>
          <w:b/>
          <w:color w:val="242B67"/>
          <w:sz w:val="19"/>
        </w:rPr>
        <w:t>59.34</w:t>
      </w:r>
      <w:r>
        <w:rPr>
          <w:rFonts w:ascii="Arial" w:hAnsi="Arial"/>
          <w:b/>
          <w:color w:val="242B67"/>
          <w:spacing w:val="40"/>
          <w:sz w:val="19"/>
        </w:rPr>
        <w:t> </w:t>
      </w:r>
      <w:r>
        <w:rPr>
          <w:rFonts w:ascii="Microsoft Sans Serif" w:hAnsi="Microsoft Sans Serif"/>
          <w:sz w:val="19"/>
        </w:rPr>
        <w:t>Linfedema</w:t>
      </w:r>
      <w:r>
        <w:rPr>
          <w:rFonts w:ascii="Microsoft Sans Serif" w:hAnsi="Microsoft Sans Serif"/>
          <w:spacing w:val="40"/>
          <w:sz w:val="19"/>
        </w:rPr>
        <w:t> </w:t>
      </w:r>
      <w:r>
        <w:rPr>
          <w:rFonts w:ascii="Microsoft Sans Serif" w:hAnsi="Microsoft Sans Serif"/>
          <w:sz w:val="19"/>
        </w:rPr>
        <w:t>primário</w:t>
      </w:r>
      <w:r>
        <w:rPr>
          <w:rFonts w:ascii="Microsoft Sans Serif" w:hAnsi="Microsoft Sans Serif"/>
          <w:spacing w:val="40"/>
          <w:sz w:val="19"/>
        </w:rPr>
        <w:t> </w:t>
      </w:r>
      <w:r>
        <w:rPr>
          <w:rFonts w:ascii="Microsoft Sans Serif" w:hAnsi="Microsoft Sans Serif"/>
          <w:sz w:val="19"/>
        </w:rPr>
        <w:t>precoce</w:t>
      </w:r>
      <w:r>
        <w:rPr>
          <w:rFonts w:ascii="Microsoft Sans Serif" w:hAnsi="Microsoft Sans Serif"/>
          <w:spacing w:val="40"/>
          <w:sz w:val="19"/>
        </w:rPr>
        <w:t> </w:t>
      </w:r>
      <w:r>
        <w:rPr>
          <w:rFonts w:ascii="Microsoft Sans Serif" w:hAnsi="Microsoft Sans Serif"/>
          <w:sz w:val="19"/>
        </w:rPr>
        <w:t>do</w:t>
      </w:r>
      <w:r>
        <w:rPr>
          <w:rFonts w:ascii="Microsoft Sans Serif" w:hAnsi="Microsoft Sans Serif"/>
          <w:spacing w:val="40"/>
          <w:sz w:val="19"/>
        </w:rPr>
        <w:t> </w:t>
      </w:r>
      <w:r>
        <w:rPr>
          <w:rFonts w:ascii="Microsoft Sans Serif" w:hAnsi="Microsoft Sans Serif"/>
          <w:sz w:val="19"/>
        </w:rPr>
        <w:t>membro</w:t>
      </w:r>
      <w:r>
        <w:rPr>
          <w:rFonts w:ascii="Microsoft Sans Serif" w:hAnsi="Microsoft Sans Serif"/>
          <w:spacing w:val="40"/>
          <w:sz w:val="19"/>
        </w:rPr>
        <w:t> </w:t>
      </w:r>
      <w:r>
        <w:rPr>
          <w:rFonts w:ascii="Microsoft Sans Serif" w:hAnsi="Microsoft Sans Serif"/>
          <w:sz w:val="19"/>
        </w:rPr>
        <w:t>inferior</w:t>
      </w:r>
      <w:r>
        <w:rPr>
          <w:rFonts w:ascii="Microsoft Sans Serif" w:hAnsi="Microsoft Sans Serif"/>
          <w:spacing w:val="40"/>
          <w:sz w:val="19"/>
        </w:rPr>
        <w:t> </w:t>
      </w:r>
      <w:r>
        <w:rPr>
          <w:rFonts w:ascii="Microsoft Sans Serif" w:hAnsi="Microsoft Sans Serif"/>
          <w:sz w:val="19"/>
        </w:rPr>
        <w:t>direito. Elefantíase</w:t>
      </w:r>
      <w:r>
        <w:rPr>
          <w:rFonts w:ascii="Microsoft Sans Serif" w:hAnsi="Microsoft Sans Serif"/>
          <w:spacing w:val="40"/>
          <w:sz w:val="19"/>
        </w:rPr>
        <w:t> </w:t>
      </w:r>
      <w:r>
        <w:rPr>
          <w:rFonts w:ascii="Microsoft Sans Serif" w:hAnsi="Microsoft Sans Serif"/>
          <w:sz w:val="19"/>
        </w:rPr>
        <w:t>depois</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repetidos</w:t>
      </w:r>
      <w:r>
        <w:rPr>
          <w:rFonts w:ascii="Microsoft Sans Serif" w:hAnsi="Microsoft Sans Serif"/>
          <w:spacing w:val="40"/>
          <w:sz w:val="19"/>
        </w:rPr>
        <w:t> </w:t>
      </w:r>
      <w:r>
        <w:rPr>
          <w:rFonts w:ascii="Microsoft Sans Serif" w:hAnsi="Microsoft Sans Serif"/>
          <w:sz w:val="19"/>
        </w:rPr>
        <w:t>episódios</w:t>
      </w:r>
      <w:r>
        <w:rPr>
          <w:rFonts w:ascii="Microsoft Sans Serif" w:hAnsi="Microsoft Sans Serif"/>
          <w:spacing w:val="40"/>
          <w:sz w:val="19"/>
        </w:rPr>
        <w:t> </w:t>
      </w:r>
      <w:r>
        <w:rPr>
          <w:rFonts w:ascii="Microsoft Sans Serif" w:hAnsi="Microsoft Sans Serif"/>
          <w:sz w:val="19"/>
        </w:rPr>
        <w:t>de processos infecciosos. Observe o aumento de volume proporcional do dorso do pé em relação aos demais segmentos do membro</w:t>
      </w:r>
      <w:r>
        <w:rPr>
          <w:rFonts w:ascii="Microsoft Sans Serif" w:hAnsi="Microsoft Sans Serif"/>
          <w:spacing w:val="40"/>
          <w:sz w:val="19"/>
        </w:rPr>
        <w:t> </w:t>
      </w:r>
      <w:r>
        <w:rPr>
          <w:rFonts w:ascii="Microsoft Sans Serif" w:hAnsi="Microsoft Sans Serif"/>
          <w:sz w:val="19"/>
        </w:rPr>
        <w:t>acometido.</w:t>
      </w:r>
      <w:r>
        <w:rPr>
          <w:rFonts w:ascii="Microsoft Sans Serif" w:hAnsi="Microsoft Sans Serif"/>
          <w:spacing w:val="40"/>
          <w:sz w:val="19"/>
        </w:rPr>
        <w:t> </w:t>
      </w:r>
      <w:r>
        <w:rPr>
          <w:rFonts w:ascii="Microsoft Sans Serif" w:hAnsi="Microsoft Sans Serif"/>
          <w:sz w:val="19"/>
        </w:rPr>
        <w:t>Tipicamente,</w:t>
      </w:r>
      <w:r>
        <w:rPr>
          <w:rFonts w:ascii="Microsoft Sans Serif" w:hAnsi="Microsoft Sans Serif"/>
          <w:spacing w:val="40"/>
          <w:sz w:val="19"/>
        </w:rPr>
        <w:t> </w:t>
      </w:r>
      <w:r>
        <w:rPr>
          <w:rFonts w:ascii="Microsoft Sans Serif" w:hAnsi="Microsoft Sans Serif"/>
          <w:sz w:val="19"/>
        </w:rPr>
        <w:t>a</w:t>
      </w:r>
      <w:r>
        <w:rPr>
          <w:rFonts w:ascii="Microsoft Sans Serif" w:hAnsi="Microsoft Sans Serif"/>
          <w:spacing w:val="40"/>
          <w:sz w:val="19"/>
        </w:rPr>
        <w:t> </w:t>
      </w:r>
      <w:r>
        <w:rPr>
          <w:rFonts w:ascii="Microsoft Sans Serif" w:hAnsi="Microsoft Sans Serif"/>
          <w:sz w:val="19"/>
        </w:rPr>
        <w:t>consistência</w:t>
      </w:r>
      <w:r>
        <w:rPr>
          <w:rFonts w:ascii="Microsoft Sans Serif" w:hAnsi="Microsoft Sans Serif"/>
          <w:spacing w:val="40"/>
          <w:sz w:val="19"/>
        </w:rPr>
        <w:t> </w:t>
      </w:r>
      <w:r>
        <w:rPr>
          <w:rFonts w:ascii="Microsoft Sans Serif" w:hAnsi="Microsoft Sans Serif"/>
          <w:sz w:val="19"/>
        </w:rPr>
        <w:t>endurecida</w:t>
      </w:r>
      <w:r>
        <w:rPr>
          <w:rFonts w:ascii="Microsoft Sans Serif" w:hAnsi="Microsoft Sans Serif"/>
          <w:spacing w:val="40"/>
          <w:sz w:val="19"/>
        </w:rPr>
        <w:t> </w:t>
      </w:r>
      <w:r>
        <w:rPr>
          <w:rFonts w:ascii="Microsoft Sans Serif" w:hAnsi="Microsoft Sans Serif"/>
          <w:sz w:val="19"/>
        </w:rPr>
        <w:t>e</w:t>
      </w:r>
      <w:r>
        <w:rPr>
          <w:rFonts w:ascii="Microsoft Sans Serif" w:hAnsi="Microsoft Sans Serif"/>
          <w:spacing w:val="40"/>
          <w:sz w:val="19"/>
        </w:rPr>
        <w:t> </w:t>
      </w:r>
      <w:r>
        <w:rPr>
          <w:rFonts w:ascii="Microsoft Sans Serif" w:hAnsi="Microsoft Sans Serif"/>
          <w:sz w:val="19"/>
        </w:rPr>
        <w:t>a</w:t>
      </w:r>
      <w:r>
        <w:rPr>
          <w:rFonts w:ascii="Microsoft Sans Serif" w:hAnsi="Microsoft Sans Serif"/>
          <w:spacing w:val="40"/>
          <w:sz w:val="19"/>
        </w:rPr>
        <w:t> </w:t>
      </w:r>
      <w:r>
        <w:rPr>
          <w:rFonts w:ascii="Microsoft Sans Serif" w:hAnsi="Microsoft Sans Serif"/>
          <w:sz w:val="19"/>
        </w:rPr>
        <w:t>elasticidade</w:t>
      </w:r>
      <w:r>
        <w:rPr>
          <w:rFonts w:ascii="Microsoft Sans Serif" w:hAnsi="Microsoft Sans Serif"/>
          <w:spacing w:val="40"/>
          <w:sz w:val="19"/>
        </w:rPr>
        <w:t> </w:t>
      </w:r>
      <w:r>
        <w:rPr>
          <w:rFonts w:ascii="Microsoft Sans Serif" w:hAnsi="Microsoft Sans Serif"/>
          <w:sz w:val="19"/>
        </w:rPr>
        <w:t>diminuída</w:t>
      </w:r>
      <w:r>
        <w:rPr>
          <w:rFonts w:ascii="Microsoft Sans Serif" w:hAnsi="Microsoft Sans Serif"/>
          <w:spacing w:val="40"/>
          <w:sz w:val="19"/>
        </w:rPr>
        <w:t> </w:t>
      </w:r>
      <w:r>
        <w:rPr>
          <w:rFonts w:ascii="Microsoft Sans Serif" w:hAnsi="Microsoft Sans Serif"/>
          <w:sz w:val="19"/>
        </w:rPr>
        <w:t>da</w:t>
      </w:r>
      <w:r>
        <w:rPr>
          <w:rFonts w:ascii="Microsoft Sans Serif" w:hAnsi="Microsoft Sans Serif"/>
          <w:spacing w:val="40"/>
          <w:sz w:val="19"/>
        </w:rPr>
        <w:t> </w:t>
      </w:r>
      <w:r>
        <w:rPr>
          <w:rFonts w:ascii="Microsoft Sans Serif" w:hAnsi="Microsoft Sans Serif"/>
          <w:sz w:val="19"/>
        </w:rPr>
        <w:t>pele</w:t>
      </w:r>
      <w:r>
        <w:rPr>
          <w:rFonts w:ascii="Microsoft Sans Serif" w:hAnsi="Microsoft Sans Serif"/>
          <w:spacing w:val="40"/>
          <w:sz w:val="19"/>
        </w:rPr>
        <w:t> </w:t>
      </w:r>
      <w:r>
        <w:rPr>
          <w:rFonts w:ascii="Microsoft Sans Serif" w:hAnsi="Microsoft Sans Serif"/>
          <w:sz w:val="19"/>
        </w:rPr>
        <w:t>denotam</w:t>
      </w:r>
      <w:r>
        <w:rPr>
          <w:rFonts w:ascii="Microsoft Sans Serif" w:hAnsi="Microsoft Sans Serif"/>
          <w:spacing w:val="40"/>
          <w:sz w:val="19"/>
        </w:rPr>
        <w:t> </w:t>
      </w:r>
      <w:r>
        <w:rPr>
          <w:rFonts w:ascii="Microsoft Sans Serif" w:hAnsi="Microsoft Sans Serif"/>
          <w:sz w:val="19"/>
        </w:rPr>
        <w:t>estágio avançado da doença.</w:t>
      </w:r>
    </w:p>
    <w:p>
      <w:pPr>
        <w:pStyle w:val="BodyText"/>
        <w:spacing w:before="66"/>
        <w:ind w:left="0" w:firstLine="0"/>
        <w:jc w:val="left"/>
        <w:rPr>
          <w:rFonts w:ascii="Microsoft Sans Serif"/>
          <w:sz w:val="19"/>
        </w:rPr>
      </w:pPr>
    </w:p>
    <w:p>
      <w:pPr>
        <w:pStyle w:val="BodyText"/>
        <w:spacing w:line="280" w:lineRule="auto" w:before="0"/>
        <w:ind w:right="498"/>
      </w:pPr>
      <w:r>
        <w:rPr/>
        <w:t>O linfedema </w:t>
      </w:r>
      <w:r>
        <w:rPr>
          <w:i/>
        </w:rPr>
        <w:t>congênito </w:t>
      </w:r>
      <w:r>
        <w:rPr/>
        <w:t>constitui 10 a 15% dos linfedemas primários e surge antes do segundo ano de idade, podendo estar associado a outras síndromes e malformações, ocorrer isoladamente (linfedema congênito simples) ou ter transmissão hereditária e familiar, a chamada doença de Milroy, originalmente descrita em 1892, autossômica</w:t>
      </w:r>
      <w:r>
        <w:rPr>
          <w:spacing w:val="-13"/>
        </w:rPr>
        <w:t> </w:t>
      </w:r>
      <w:r>
        <w:rPr/>
        <w:t>e</w:t>
      </w:r>
      <w:r>
        <w:rPr>
          <w:spacing w:val="-13"/>
        </w:rPr>
        <w:t> </w:t>
      </w:r>
      <w:r>
        <w:rPr/>
        <w:t>dominante,</w:t>
      </w:r>
      <w:r>
        <w:rPr>
          <w:spacing w:val="-2"/>
        </w:rPr>
        <w:t> </w:t>
      </w:r>
      <w:r>
        <w:rPr/>
        <w:t>que</w:t>
      </w:r>
      <w:r>
        <w:rPr>
          <w:spacing w:val="-13"/>
        </w:rPr>
        <w:t> </w:t>
      </w:r>
      <w:r>
        <w:rPr/>
        <w:t>apresenta</w:t>
      </w:r>
      <w:r>
        <w:rPr>
          <w:spacing w:val="-13"/>
        </w:rPr>
        <w:t> </w:t>
      </w:r>
      <w:r>
        <w:rPr/>
        <w:t>grau</w:t>
      </w:r>
      <w:r>
        <w:rPr>
          <w:spacing w:val="-10"/>
        </w:rPr>
        <w:t> </w:t>
      </w:r>
      <w:r>
        <w:rPr/>
        <w:t>acentuado</w:t>
      </w:r>
      <w:r>
        <w:rPr>
          <w:spacing w:val="-10"/>
        </w:rPr>
        <w:t> </w:t>
      </w:r>
      <w:r>
        <w:rPr/>
        <w:t>de</w:t>
      </w:r>
      <w:r>
        <w:rPr>
          <w:spacing w:val="-13"/>
        </w:rPr>
        <w:t> </w:t>
      </w:r>
      <w:r>
        <w:rPr/>
        <w:t>hipoplasia</w:t>
      </w:r>
      <w:r>
        <w:rPr>
          <w:spacing w:val="-13"/>
        </w:rPr>
        <w:t> </w:t>
      </w:r>
      <w:r>
        <w:rPr/>
        <w:t>ou</w:t>
      </w:r>
      <w:r>
        <w:rPr>
          <w:spacing w:val="-10"/>
        </w:rPr>
        <w:t> </w:t>
      </w:r>
      <w:r>
        <w:rPr/>
        <w:t>mesmo</w:t>
      </w:r>
      <w:r>
        <w:rPr>
          <w:spacing w:val="-10"/>
        </w:rPr>
        <w:t> </w:t>
      </w:r>
      <w:r>
        <w:rPr/>
        <w:t>aplasia</w:t>
      </w:r>
      <w:r>
        <w:rPr>
          <w:spacing w:val="-13"/>
        </w:rPr>
        <w:t> </w:t>
      </w:r>
      <w:r>
        <w:rPr/>
        <w:t>linfática,</w:t>
      </w:r>
      <w:r>
        <w:rPr>
          <w:spacing w:val="-2"/>
        </w:rPr>
        <w:t> </w:t>
      </w:r>
      <w:r>
        <w:rPr/>
        <w:t>com</w:t>
      </w:r>
      <w:r>
        <w:rPr>
          <w:spacing w:val="-10"/>
        </w:rPr>
        <w:t> </w:t>
      </w:r>
      <w:r>
        <w:rPr/>
        <w:t>incidência</w:t>
      </w:r>
      <w:r>
        <w:rPr>
          <w:spacing w:val="-13"/>
        </w:rPr>
        <w:t> </w:t>
      </w:r>
      <w:r>
        <w:rPr/>
        <w:t>de 1 em cada 6.000 nascimentos.</w:t>
      </w:r>
      <w:r>
        <w:rPr>
          <w:vertAlign w:val="superscript"/>
        </w:rPr>
        <w:t>3,5</w:t>
      </w:r>
    </w:p>
    <w:p>
      <w:pPr>
        <w:pStyle w:val="BodyText"/>
        <w:spacing w:line="276" w:lineRule="auto" w:before="55"/>
        <w:ind w:right="488"/>
      </w:pPr>
      <w:r>
        <w:rPr/>
        <w:t>O</w:t>
      </w:r>
      <w:r>
        <w:rPr>
          <w:spacing w:val="-10"/>
        </w:rPr>
        <w:t> </w:t>
      </w:r>
      <w:r>
        <w:rPr/>
        <w:t>linfedema</w:t>
      </w:r>
      <w:r>
        <w:rPr>
          <w:spacing w:val="-10"/>
        </w:rPr>
        <w:t> </w:t>
      </w:r>
      <w:r>
        <w:rPr>
          <w:i/>
        </w:rPr>
        <w:t>precoce</w:t>
      </w:r>
      <w:r>
        <w:rPr>
          <w:i/>
          <w:spacing w:val="-6"/>
        </w:rPr>
        <w:t> </w:t>
      </w:r>
      <w:r>
        <w:rPr/>
        <w:t>aparece</w:t>
      </w:r>
      <w:r>
        <w:rPr>
          <w:spacing w:val="-6"/>
        </w:rPr>
        <w:t> </w:t>
      </w:r>
      <w:r>
        <w:rPr/>
        <w:t>entre</w:t>
      </w:r>
      <w:r>
        <w:rPr>
          <w:spacing w:val="-6"/>
        </w:rPr>
        <w:t> </w:t>
      </w:r>
      <w:r>
        <w:rPr/>
        <w:t>2</w:t>
      </w:r>
      <w:r>
        <w:rPr>
          <w:spacing w:val="-4"/>
        </w:rPr>
        <w:t> </w:t>
      </w:r>
      <w:r>
        <w:rPr/>
        <w:t>e</w:t>
      </w:r>
      <w:r>
        <w:rPr>
          <w:spacing w:val="-6"/>
        </w:rPr>
        <w:t> </w:t>
      </w:r>
      <w:r>
        <w:rPr/>
        <w:t>35</w:t>
      </w:r>
      <w:r>
        <w:rPr>
          <w:spacing w:val="-4"/>
        </w:rPr>
        <w:t> </w:t>
      </w:r>
      <w:r>
        <w:rPr/>
        <w:t>anos de</w:t>
      </w:r>
      <w:r>
        <w:rPr>
          <w:spacing w:val="-6"/>
        </w:rPr>
        <w:t> </w:t>
      </w:r>
      <w:r>
        <w:rPr/>
        <w:t>idade, com</w:t>
      </w:r>
      <w:r>
        <w:rPr>
          <w:spacing w:val="-4"/>
        </w:rPr>
        <w:t> </w:t>
      </w:r>
      <w:r>
        <w:rPr/>
        <w:t>maior frequência</w:t>
      </w:r>
      <w:r>
        <w:rPr>
          <w:spacing w:val="-6"/>
        </w:rPr>
        <w:t> </w:t>
      </w:r>
      <w:r>
        <w:rPr/>
        <w:t>em</w:t>
      </w:r>
      <w:r>
        <w:rPr>
          <w:spacing w:val="-4"/>
        </w:rPr>
        <w:t> </w:t>
      </w:r>
      <w:r>
        <w:rPr/>
        <w:t>mulheres (4:1), é</w:t>
      </w:r>
      <w:r>
        <w:rPr>
          <w:spacing w:val="-6"/>
        </w:rPr>
        <w:t> </w:t>
      </w:r>
      <w:r>
        <w:rPr/>
        <w:t>geralmente bilateral e, na</w:t>
      </w:r>
      <w:r>
        <w:rPr>
          <w:spacing w:val="-5"/>
        </w:rPr>
        <w:t> </w:t>
      </w:r>
      <w:r>
        <w:rPr/>
        <w:t>maioria</w:t>
      </w:r>
      <w:r>
        <w:rPr>
          <w:spacing w:val="-5"/>
        </w:rPr>
        <w:t> </w:t>
      </w:r>
      <w:r>
        <w:rPr/>
        <w:t>dos casos, torna-se</w:t>
      </w:r>
      <w:r>
        <w:rPr>
          <w:spacing w:val="-5"/>
        </w:rPr>
        <w:t> </w:t>
      </w:r>
      <w:r>
        <w:rPr/>
        <w:t>aparente</w:t>
      </w:r>
      <w:r>
        <w:rPr>
          <w:spacing w:val="-5"/>
        </w:rPr>
        <w:t> </w:t>
      </w:r>
      <w:r>
        <w:rPr/>
        <w:t>na</w:t>
      </w:r>
      <w:r>
        <w:rPr>
          <w:spacing w:val="-5"/>
        </w:rPr>
        <w:t> </w:t>
      </w:r>
      <w:r>
        <w:rPr/>
        <w:t>puberdade, provavelmente</w:t>
      </w:r>
      <w:r>
        <w:rPr>
          <w:spacing w:val="-5"/>
        </w:rPr>
        <w:t> </w:t>
      </w:r>
      <w:r>
        <w:rPr/>
        <w:t>devido</w:t>
      </w:r>
      <w:r>
        <w:rPr>
          <w:spacing w:val="-3"/>
        </w:rPr>
        <w:t> </w:t>
      </w:r>
      <w:r>
        <w:rPr/>
        <w:t>à</w:t>
      </w:r>
      <w:r>
        <w:rPr>
          <w:spacing w:val="-5"/>
        </w:rPr>
        <w:t> </w:t>
      </w:r>
      <w:r>
        <w:rPr/>
        <w:t>influência</w:t>
      </w:r>
      <w:r>
        <w:rPr>
          <w:spacing w:val="-5"/>
        </w:rPr>
        <w:t> </w:t>
      </w:r>
      <w:r>
        <w:rPr/>
        <w:t>do</w:t>
      </w:r>
      <w:r>
        <w:rPr>
          <w:spacing w:val="-3"/>
        </w:rPr>
        <w:t> </w:t>
      </w:r>
      <w:r>
        <w:rPr/>
        <w:t>estrógeno</w:t>
      </w:r>
      <w:r>
        <w:rPr>
          <w:spacing w:val="-3"/>
        </w:rPr>
        <w:t> </w:t>
      </w:r>
      <w:r>
        <w:rPr/>
        <w:t>e à hipoplasia dos coletores linfáticos que não acompanham o crescimento do membro (</w:t>
      </w:r>
      <w:r>
        <w:rPr>
          <w:color w:val="505050"/>
        </w:rPr>
        <w:t>Figura 59.34</w:t>
      </w:r>
      <w:r>
        <w:rPr/>
        <w:t>). Quando apresenta característica familiar, é denominada síndrome de Meige.</w:t>
      </w:r>
    </w:p>
    <w:p>
      <w:pPr>
        <w:pStyle w:val="BodyText"/>
        <w:spacing w:line="276" w:lineRule="auto" w:before="49"/>
        <w:ind w:right="488"/>
      </w:pPr>
      <w:r>
        <w:rPr/>
        <w:t>O linfedema primário </w:t>
      </w:r>
      <w:r>
        <w:rPr>
          <w:i/>
        </w:rPr>
        <w:t>tardio </w:t>
      </w:r>
      <w:r>
        <w:rPr/>
        <w:t>aparece após os 35 anos de idade, comumente no sexo feminino e o grau de acometimento linfático é leve.</w:t>
      </w:r>
    </w:p>
    <w:p>
      <w:pPr>
        <w:pStyle w:val="BodyText"/>
        <w:spacing w:before="133"/>
        <w:ind w:left="0" w:firstLine="0"/>
        <w:jc w:val="left"/>
      </w:pPr>
    </w:p>
    <w:p>
      <w:pPr>
        <w:pStyle w:val="Heading5"/>
        <w:jc w:val="both"/>
      </w:pPr>
      <w:r>
        <w:rPr>
          <w:color w:val="A26108"/>
        </w:rPr>
        <w:t>Linfedemas</w:t>
      </w:r>
      <w:r>
        <w:rPr>
          <w:color w:val="A26108"/>
          <w:spacing w:val="35"/>
        </w:rPr>
        <w:t> </w:t>
      </w:r>
      <w:r>
        <w:rPr>
          <w:color w:val="A26108"/>
          <w:spacing w:val="-2"/>
        </w:rPr>
        <w:t>secundários</w:t>
      </w:r>
    </w:p>
    <w:p>
      <w:pPr>
        <w:pStyle w:val="BodyText"/>
        <w:spacing w:line="278" w:lineRule="auto" w:before="138"/>
        <w:ind w:right="491"/>
      </w:pPr>
      <w:r>
        <w:rPr/>
        <w:t>São</w:t>
      </w:r>
      <w:r>
        <w:rPr>
          <w:spacing w:val="-6"/>
        </w:rPr>
        <w:t> </w:t>
      </w:r>
      <w:r>
        <w:rPr/>
        <w:t>causados por</w:t>
      </w:r>
      <w:r>
        <w:rPr>
          <w:spacing w:val="-1"/>
        </w:rPr>
        <w:t> </w:t>
      </w:r>
      <w:r>
        <w:rPr/>
        <w:t>doenças ou</w:t>
      </w:r>
      <w:r>
        <w:rPr>
          <w:spacing w:val="-6"/>
        </w:rPr>
        <w:t> </w:t>
      </w:r>
      <w:r>
        <w:rPr/>
        <w:t>anormalidades que</w:t>
      </w:r>
      <w:r>
        <w:rPr>
          <w:spacing w:val="-8"/>
        </w:rPr>
        <w:t> </w:t>
      </w:r>
      <w:r>
        <w:rPr/>
        <w:t>não</w:t>
      </w:r>
      <w:r>
        <w:rPr>
          <w:spacing w:val="-6"/>
        </w:rPr>
        <w:t> </w:t>
      </w:r>
      <w:r>
        <w:rPr/>
        <w:t>se</w:t>
      </w:r>
      <w:r>
        <w:rPr>
          <w:spacing w:val="-8"/>
        </w:rPr>
        <w:t> </w:t>
      </w:r>
      <w:r>
        <w:rPr/>
        <w:t>originam</w:t>
      </w:r>
      <w:r>
        <w:rPr>
          <w:spacing w:val="-6"/>
        </w:rPr>
        <w:t> </w:t>
      </w:r>
      <w:r>
        <w:rPr/>
        <w:t>no</w:t>
      </w:r>
      <w:r>
        <w:rPr>
          <w:spacing w:val="-6"/>
        </w:rPr>
        <w:t> </w:t>
      </w:r>
      <w:r>
        <w:rPr/>
        <w:t>sistema</w:t>
      </w:r>
      <w:r>
        <w:rPr>
          <w:spacing w:val="-8"/>
        </w:rPr>
        <w:t> </w:t>
      </w:r>
      <w:r>
        <w:rPr/>
        <w:t>linfático, existindo</w:t>
      </w:r>
      <w:r>
        <w:rPr>
          <w:spacing w:val="-6"/>
        </w:rPr>
        <w:t> </w:t>
      </w:r>
      <w:r>
        <w:rPr/>
        <w:t>lesão</w:t>
      </w:r>
      <w:r>
        <w:rPr>
          <w:spacing w:val="-6"/>
        </w:rPr>
        <w:t> </w:t>
      </w:r>
      <w:r>
        <w:rPr/>
        <w:t>em</w:t>
      </w:r>
      <w:r>
        <w:rPr>
          <w:spacing w:val="-6"/>
        </w:rPr>
        <w:t> </w:t>
      </w:r>
      <w:r>
        <w:rPr/>
        <w:t>tecido linfático previamente normal. As causas mais frequentes de linfedema secundário são: pós-cirúrgico, pós-radioterápico e</w:t>
      </w:r>
      <w:r>
        <w:rPr>
          <w:spacing w:val="-1"/>
        </w:rPr>
        <w:t> </w:t>
      </w:r>
      <w:r>
        <w:rPr/>
        <w:t>as neoplasias malignas, seja</w:t>
      </w:r>
      <w:r>
        <w:rPr>
          <w:spacing w:val="-1"/>
        </w:rPr>
        <w:t> </w:t>
      </w:r>
      <w:r>
        <w:rPr/>
        <w:t>por compressão extrínseca, invasão dos vasos linfáticos/linfonodos ou ambos. São raros os linfedemas por trauma ou queimadura, devido à capacidade de regeneração dos linfáticos. O linfangiossarcoma</w:t>
      </w:r>
      <w:r>
        <w:rPr>
          <w:spacing w:val="-15"/>
        </w:rPr>
        <w:t> </w:t>
      </w:r>
      <w:r>
        <w:rPr/>
        <w:t>(Stewart-Treves)</w:t>
      </w:r>
      <w:r>
        <w:rPr>
          <w:spacing w:val="-14"/>
        </w:rPr>
        <w:t> </w:t>
      </w:r>
      <w:r>
        <w:rPr/>
        <w:t>aparece</w:t>
      </w:r>
      <w:r>
        <w:rPr>
          <w:spacing w:val="-15"/>
        </w:rPr>
        <w:t> </w:t>
      </w:r>
      <w:r>
        <w:rPr/>
        <w:t>como</w:t>
      </w:r>
      <w:r>
        <w:rPr>
          <w:spacing w:val="-14"/>
        </w:rPr>
        <w:t> </w:t>
      </w:r>
      <w:r>
        <w:rPr/>
        <w:t>complicação</w:t>
      </w:r>
      <w:r>
        <w:rPr>
          <w:spacing w:val="-14"/>
        </w:rPr>
        <w:t> </w:t>
      </w:r>
      <w:r>
        <w:rPr/>
        <w:t>do</w:t>
      </w:r>
      <w:r>
        <w:rPr>
          <w:spacing w:val="-15"/>
        </w:rPr>
        <w:t> </w:t>
      </w:r>
      <w:r>
        <w:rPr/>
        <w:t>linfedema</w:t>
      </w:r>
      <w:r>
        <w:rPr>
          <w:spacing w:val="-14"/>
        </w:rPr>
        <w:t> </w:t>
      </w:r>
      <w:r>
        <w:rPr/>
        <w:t>crônico.</w:t>
      </w:r>
      <w:r>
        <w:rPr>
          <w:spacing w:val="-12"/>
        </w:rPr>
        <w:t> </w:t>
      </w:r>
      <w:r>
        <w:rPr/>
        <w:t>O</w:t>
      </w:r>
      <w:r>
        <w:rPr>
          <w:spacing w:val="-15"/>
        </w:rPr>
        <w:t> </w:t>
      </w:r>
      <w:r>
        <w:rPr/>
        <w:t>linfedema</w:t>
      </w:r>
      <w:r>
        <w:rPr>
          <w:spacing w:val="-14"/>
        </w:rPr>
        <w:t> </w:t>
      </w:r>
      <w:r>
        <w:rPr/>
        <w:t>pós-mastectomia é o mais frequente nos países desenvolvidos, com uma incidência entre 18 e 25%, aumentando para 40% com a adição de radioterapia, segundo alguns autores.</w:t>
      </w:r>
      <w:r>
        <w:rPr>
          <w:vertAlign w:val="superscript"/>
        </w:rPr>
        <w:t>3,6</w:t>
      </w:r>
    </w:p>
    <w:p>
      <w:pPr>
        <w:pStyle w:val="BodyText"/>
        <w:spacing w:line="276" w:lineRule="auto" w:before="63"/>
        <w:ind w:right="500"/>
      </w:pPr>
      <w:r>
        <w:rPr/>
        <w:t>As linfangites e/ou</w:t>
      </w:r>
      <w:r>
        <w:rPr>
          <w:spacing w:val="-1"/>
        </w:rPr>
        <w:t> </w:t>
      </w:r>
      <w:r>
        <w:rPr/>
        <w:t>erisipelas desencadeantes de</w:t>
      </w:r>
      <w:r>
        <w:rPr>
          <w:spacing w:val="-4"/>
        </w:rPr>
        <w:t> </w:t>
      </w:r>
      <w:r>
        <w:rPr/>
        <w:t>linfedema, em</w:t>
      </w:r>
      <w:r>
        <w:rPr>
          <w:spacing w:val="-1"/>
        </w:rPr>
        <w:t> </w:t>
      </w:r>
      <w:r>
        <w:rPr/>
        <w:t>membros previamente</w:t>
      </w:r>
      <w:r>
        <w:rPr>
          <w:spacing w:val="-4"/>
        </w:rPr>
        <w:t> </w:t>
      </w:r>
      <w:r>
        <w:rPr/>
        <w:t>sadios, são</w:t>
      </w:r>
      <w:r>
        <w:rPr>
          <w:spacing w:val="-1"/>
        </w:rPr>
        <w:t> </w:t>
      </w:r>
      <w:r>
        <w:rPr/>
        <w:t>muito</w:t>
      </w:r>
      <w:r>
        <w:rPr>
          <w:spacing w:val="-1"/>
        </w:rPr>
        <w:t> </w:t>
      </w:r>
      <w:r>
        <w:rPr/>
        <w:t>menos frequentes do que se pensava. Na sua maioria, esses indivíduos já eram portadores de anomalias primárias ou secundárias do sistema linfático, e a infecção foi o </w:t>
      </w:r>
      <w:r>
        <w:rPr>
          <w:i/>
        </w:rPr>
        <w:t>gatilho </w:t>
      </w:r>
      <w:r>
        <w:rPr/>
        <w:t>que desencadeou o linfedema (</w:t>
      </w:r>
      <w:r>
        <w:rPr>
          <w:color w:val="505050"/>
        </w:rPr>
        <w:t>Figura 59.34</w:t>
      </w:r>
      <w:r>
        <w:rPr/>
        <w:t>).</w:t>
      </w:r>
    </w:p>
    <w:p>
      <w:pPr>
        <w:pStyle w:val="BodyText"/>
        <w:spacing w:line="276" w:lineRule="auto" w:before="48"/>
        <w:ind w:right="491"/>
      </w:pPr>
      <w:r>
        <w:rPr/>
        <w:t>A filariose vem sendo cada vez menos frequente em nosso meio, inclusive no Nordeste Brasileiro. Além do processo inflamatório da filariose, existe a ação mecânica direta do verme sobre o vaso e a linfoparalisia induzida por</w:t>
      </w:r>
      <w:r>
        <w:rPr>
          <w:spacing w:val="-5"/>
        </w:rPr>
        <w:t> </w:t>
      </w:r>
      <w:r>
        <w:rPr/>
        <w:t>uma</w:t>
      </w:r>
      <w:r>
        <w:rPr>
          <w:spacing w:val="-12"/>
        </w:rPr>
        <w:t> </w:t>
      </w:r>
      <w:r>
        <w:rPr/>
        <w:t>substância</w:t>
      </w:r>
      <w:r>
        <w:rPr>
          <w:spacing w:val="-12"/>
        </w:rPr>
        <w:t> </w:t>
      </w:r>
      <w:r>
        <w:rPr/>
        <w:t>por</w:t>
      </w:r>
      <w:r>
        <w:rPr>
          <w:spacing w:val="-5"/>
        </w:rPr>
        <w:t> </w:t>
      </w:r>
      <w:r>
        <w:rPr/>
        <w:t>ele</w:t>
      </w:r>
      <w:r>
        <w:rPr>
          <w:spacing w:val="-12"/>
        </w:rPr>
        <w:t> </w:t>
      </w:r>
      <w:r>
        <w:rPr/>
        <w:t>liberada.</w:t>
      </w:r>
      <w:r>
        <w:rPr>
          <w:spacing w:val="-3"/>
        </w:rPr>
        <w:t> </w:t>
      </w:r>
      <w:r>
        <w:rPr/>
        <w:t>Algumas</w:t>
      </w:r>
      <w:r>
        <w:rPr>
          <w:spacing w:val="-3"/>
        </w:rPr>
        <w:t> </w:t>
      </w:r>
      <w:r>
        <w:rPr/>
        <w:t>causas</w:t>
      </w:r>
      <w:r>
        <w:rPr>
          <w:spacing w:val="-3"/>
        </w:rPr>
        <w:t> </w:t>
      </w:r>
      <w:r>
        <w:rPr/>
        <w:t>de</w:t>
      </w:r>
      <w:r>
        <w:rPr>
          <w:spacing w:val="-12"/>
        </w:rPr>
        <w:t> </w:t>
      </w:r>
      <w:r>
        <w:rPr/>
        <w:t>linfedemas</w:t>
      </w:r>
      <w:r>
        <w:rPr>
          <w:spacing w:val="-3"/>
        </w:rPr>
        <w:t> </w:t>
      </w:r>
      <w:r>
        <w:rPr/>
        <w:t>secundários</w:t>
      </w:r>
      <w:r>
        <w:rPr>
          <w:spacing w:val="-3"/>
        </w:rPr>
        <w:t> </w:t>
      </w:r>
      <w:r>
        <w:rPr/>
        <w:t>são</w:t>
      </w:r>
      <w:r>
        <w:rPr>
          <w:spacing w:val="-10"/>
        </w:rPr>
        <w:t> </w:t>
      </w:r>
      <w:r>
        <w:rPr/>
        <w:t>congênitas:</w:t>
      </w:r>
      <w:r>
        <w:rPr>
          <w:spacing w:val="-7"/>
        </w:rPr>
        <w:t> </w:t>
      </w:r>
      <w:r>
        <w:rPr/>
        <w:t>a</w:t>
      </w:r>
      <w:r>
        <w:rPr>
          <w:spacing w:val="-12"/>
        </w:rPr>
        <w:t> </w:t>
      </w:r>
      <w:r>
        <w:rPr/>
        <w:t>banda</w:t>
      </w:r>
      <w:r>
        <w:rPr>
          <w:spacing w:val="-12"/>
        </w:rPr>
        <w:t> </w:t>
      </w:r>
      <w:r>
        <w:rPr/>
        <w:t>amniótica</w:t>
      </w:r>
      <w:r>
        <w:rPr>
          <w:spacing w:val="-12"/>
        </w:rPr>
        <w:t> </w:t>
      </w:r>
      <w:r>
        <w:rPr/>
        <w:t>e a síndrome de Papendieck.</w:t>
      </w:r>
    </w:p>
    <w:p>
      <w:pPr>
        <w:pStyle w:val="BodyText"/>
        <w:spacing w:after="0" w:line="276" w:lineRule="auto"/>
        <w:sectPr>
          <w:pgSz w:w="11900" w:h="16840"/>
          <w:pgMar w:top="280" w:bottom="280" w:left="566" w:right="141"/>
        </w:sectPr>
      </w:pPr>
    </w:p>
    <w:p>
      <w:pPr>
        <w:pStyle w:val="Heading4"/>
        <w:spacing w:before="75"/>
      </w:pPr>
      <w:r>
        <w:rPr>
          <w:color w:val="242B67"/>
        </w:rPr>
        <w:t>Classificação clínica de </w:t>
      </w:r>
      <w:r>
        <w:rPr>
          <w:color w:val="242B67"/>
          <w:spacing w:val="-2"/>
        </w:rPr>
        <w:t>linfedema</w:t>
      </w:r>
    </w:p>
    <w:p>
      <w:pPr>
        <w:pStyle w:val="BodyText"/>
        <w:spacing w:before="147"/>
        <w:ind w:left="414" w:firstLine="0"/>
        <w:jc w:val="left"/>
      </w:pPr>
      <w:r>
        <w:rPr/>
        <w:t>Clinicamente,</w:t>
      </w:r>
      <w:r>
        <w:rPr>
          <w:spacing w:val="-5"/>
        </w:rPr>
        <w:t> </w:t>
      </w:r>
      <w:r>
        <w:rPr/>
        <w:t>o</w:t>
      </w:r>
      <w:r>
        <w:rPr>
          <w:spacing w:val="-11"/>
        </w:rPr>
        <w:t> </w:t>
      </w:r>
      <w:r>
        <w:rPr/>
        <w:t>linfedema</w:t>
      </w:r>
      <w:r>
        <w:rPr>
          <w:spacing w:val="-13"/>
        </w:rPr>
        <w:t> </w:t>
      </w:r>
      <w:r>
        <w:rPr/>
        <w:t>pode</w:t>
      </w:r>
      <w:r>
        <w:rPr>
          <w:spacing w:val="-14"/>
        </w:rPr>
        <w:t> </w:t>
      </w:r>
      <w:r>
        <w:rPr/>
        <w:t>ser</w:t>
      </w:r>
      <w:r>
        <w:rPr>
          <w:spacing w:val="-6"/>
        </w:rPr>
        <w:t> </w:t>
      </w:r>
      <w:r>
        <w:rPr/>
        <w:t>classificado</w:t>
      </w:r>
      <w:r>
        <w:rPr>
          <w:spacing w:val="-11"/>
        </w:rPr>
        <w:t> </w:t>
      </w:r>
      <w:r>
        <w:rPr>
          <w:spacing w:val="-4"/>
        </w:rPr>
        <w:t>em:</w:t>
      </w:r>
      <w:r>
        <w:rPr>
          <w:spacing w:val="-4"/>
          <w:vertAlign w:val="superscript"/>
        </w:rPr>
        <w:t>7</w:t>
      </w:r>
    </w:p>
    <w:p>
      <w:pPr>
        <w:pStyle w:val="ListParagraph"/>
        <w:numPr>
          <w:ilvl w:val="0"/>
          <w:numId w:val="33"/>
        </w:numPr>
        <w:tabs>
          <w:tab w:pos="439" w:val="left" w:leader="none"/>
        </w:tabs>
        <w:spacing w:line="276" w:lineRule="auto" w:before="200" w:after="0"/>
        <w:ind w:left="68" w:right="501" w:firstLine="0"/>
        <w:jc w:val="left"/>
        <w:rPr>
          <w:sz w:val="23"/>
        </w:rPr>
      </w:pPr>
      <w:r>
        <w:rPr>
          <w:sz w:val="23"/>
        </w:rPr>
        <w:t>Agudo:</w:t>
      </w:r>
      <w:r>
        <w:rPr>
          <w:spacing w:val="33"/>
          <w:sz w:val="23"/>
        </w:rPr>
        <w:t> </w:t>
      </w:r>
      <w:r>
        <w:rPr>
          <w:sz w:val="23"/>
        </w:rPr>
        <w:t>após</w:t>
      </w:r>
      <w:r>
        <w:rPr>
          <w:spacing w:val="39"/>
          <w:sz w:val="23"/>
        </w:rPr>
        <w:t> </w:t>
      </w:r>
      <w:r>
        <w:rPr>
          <w:sz w:val="23"/>
        </w:rPr>
        <w:t>cirurgia</w:t>
      </w:r>
      <w:r>
        <w:rPr>
          <w:spacing w:val="28"/>
          <w:sz w:val="23"/>
        </w:rPr>
        <w:t> </w:t>
      </w:r>
      <w:r>
        <w:rPr>
          <w:sz w:val="23"/>
        </w:rPr>
        <w:t>ou</w:t>
      </w:r>
      <w:r>
        <w:rPr>
          <w:spacing w:val="30"/>
          <w:sz w:val="23"/>
        </w:rPr>
        <w:t> </w:t>
      </w:r>
      <w:r>
        <w:rPr>
          <w:sz w:val="23"/>
        </w:rPr>
        <w:t>radioterapia,</w:t>
      </w:r>
      <w:r>
        <w:rPr>
          <w:spacing w:val="39"/>
          <w:sz w:val="23"/>
        </w:rPr>
        <w:t> </w:t>
      </w:r>
      <w:r>
        <w:rPr>
          <w:sz w:val="23"/>
        </w:rPr>
        <w:t>obstrução</w:t>
      </w:r>
      <w:r>
        <w:rPr>
          <w:spacing w:val="30"/>
          <w:sz w:val="23"/>
        </w:rPr>
        <w:t> </w:t>
      </w:r>
      <w:r>
        <w:rPr>
          <w:sz w:val="23"/>
        </w:rPr>
        <w:t>linfática</w:t>
      </w:r>
      <w:r>
        <w:rPr>
          <w:spacing w:val="28"/>
          <w:sz w:val="23"/>
        </w:rPr>
        <w:t> </w:t>
      </w:r>
      <w:r>
        <w:rPr>
          <w:sz w:val="23"/>
        </w:rPr>
        <w:t>por</w:t>
      </w:r>
      <w:r>
        <w:rPr>
          <w:spacing w:val="36"/>
          <w:sz w:val="23"/>
        </w:rPr>
        <w:t> </w:t>
      </w:r>
      <w:r>
        <w:rPr>
          <w:sz w:val="23"/>
        </w:rPr>
        <w:t>tumores</w:t>
      </w:r>
      <w:r>
        <w:rPr>
          <w:spacing w:val="39"/>
          <w:sz w:val="23"/>
        </w:rPr>
        <w:t> </w:t>
      </w:r>
      <w:r>
        <w:rPr>
          <w:sz w:val="23"/>
        </w:rPr>
        <w:t>ou</w:t>
      </w:r>
      <w:r>
        <w:rPr>
          <w:spacing w:val="30"/>
          <w:sz w:val="23"/>
        </w:rPr>
        <w:t> </w:t>
      </w:r>
      <w:r>
        <w:rPr>
          <w:sz w:val="23"/>
        </w:rPr>
        <w:t>traumatismos.</w:t>
      </w:r>
      <w:r>
        <w:rPr>
          <w:spacing w:val="39"/>
          <w:sz w:val="23"/>
        </w:rPr>
        <w:t> </w:t>
      </w:r>
      <w:r>
        <w:rPr>
          <w:sz w:val="23"/>
        </w:rPr>
        <w:t>Alguns</w:t>
      </w:r>
      <w:r>
        <w:rPr>
          <w:spacing w:val="39"/>
          <w:sz w:val="23"/>
        </w:rPr>
        <w:t> </w:t>
      </w:r>
      <w:r>
        <w:rPr>
          <w:sz w:val="23"/>
        </w:rPr>
        <w:t>linfedemas podem apresentar resolução espontânea</w:t>
      </w:r>
    </w:p>
    <w:p>
      <w:pPr>
        <w:pStyle w:val="ListParagraph"/>
        <w:numPr>
          <w:ilvl w:val="0"/>
          <w:numId w:val="33"/>
        </w:numPr>
        <w:tabs>
          <w:tab w:pos="397" w:val="left" w:leader="none"/>
        </w:tabs>
        <w:spacing w:line="240" w:lineRule="auto" w:before="33" w:after="0"/>
        <w:ind w:left="397" w:right="0" w:hanging="329"/>
        <w:jc w:val="left"/>
        <w:rPr>
          <w:sz w:val="23"/>
        </w:rPr>
      </w:pPr>
      <w:r>
        <w:rPr>
          <w:sz w:val="23"/>
        </w:rPr>
        <w:t>Crônico:</w:t>
      </w:r>
      <w:r>
        <w:rPr>
          <w:spacing w:val="-9"/>
          <w:sz w:val="23"/>
        </w:rPr>
        <w:t> </w:t>
      </w:r>
      <w:r>
        <w:rPr>
          <w:sz w:val="23"/>
        </w:rPr>
        <w:t>encontra-se</w:t>
      </w:r>
      <w:r>
        <w:rPr>
          <w:spacing w:val="-13"/>
          <w:sz w:val="23"/>
        </w:rPr>
        <w:t> </w:t>
      </w:r>
      <w:r>
        <w:rPr>
          <w:sz w:val="23"/>
        </w:rPr>
        <w:t>subdividido</w:t>
      </w:r>
      <w:r>
        <w:rPr>
          <w:spacing w:val="-10"/>
          <w:sz w:val="23"/>
        </w:rPr>
        <w:t> </w:t>
      </w:r>
      <w:r>
        <w:rPr>
          <w:sz w:val="23"/>
        </w:rPr>
        <w:t>em</w:t>
      </w:r>
      <w:r>
        <w:rPr>
          <w:spacing w:val="-11"/>
          <w:sz w:val="23"/>
        </w:rPr>
        <w:t> </w:t>
      </w:r>
      <w:r>
        <w:rPr>
          <w:sz w:val="23"/>
        </w:rPr>
        <w:t>quatro</w:t>
      </w:r>
      <w:r>
        <w:rPr>
          <w:spacing w:val="-10"/>
          <w:sz w:val="23"/>
        </w:rPr>
        <w:t> </w:t>
      </w:r>
      <w:r>
        <w:rPr>
          <w:spacing w:val="-2"/>
          <w:sz w:val="23"/>
        </w:rPr>
        <w:t>estágios:</w:t>
      </w:r>
    </w:p>
    <w:p>
      <w:pPr>
        <w:pStyle w:val="ListParagraph"/>
        <w:numPr>
          <w:ilvl w:val="1"/>
          <w:numId w:val="33"/>
        </w:numPr>
        <w:tabs>
          <w:tab w:pos="807" w:val="left" w:leader="none"/>
        </w:tabs>
        <w:spacing w:line="240" w:lineRule="auto" w:before="56" w:after="0"/>
        <w:ind w:left="807" w:right="0" w:hanging="393"/>
        <w:jc w:val="left"/>
        <w:rPr>
          <w:sz w:val="23"/>
        </w:rPr>
      </w:pPr>
      <w:r>
        <w:rPr>
          <w:sz w:val="23"/>
        </w:rPr>
        <w:t>Estágio</w:t>
      </w:r>
      <w:r>
        <w:rPr>
          <w:spacing w:val="-9"/>
          <w:sz w:val="23"/>
        </w:rPr>
        <w:t> </w:t>
      </w:r>
      <w:r>
        <w:rPr>
          <w:sz w:val="23"/>
        </w:rPr>
        <w:t>0:</w:t>
      </w:r>
      <w:r>
        <w:rPr>
          <w:spacing w:val="-5"/>
          <w:sz w:val="23"/>
        </w:rPr>
        <w:t> </w:t>
      </w:r>
      <w:r>
        <w:rPr>
          <w:sz w:val="23"/>
        </w:rPr>
        <w:t>assintomático</w:t>
      </w:r>
      <w:r>
        <w:rPr>
          <w:spacing w:val="-7"/>
          <w:sz w:val="23"/>
        </w:rPr>
        <w:t> </w:t>
      </w:r>
      <w:r>
        <w:rPr>
          <w:sz w:val="23"/>
        </w:rPr>
        <w:t>(subclínico</w:t>
      </w:r>
      <w:r>
        <w:rPr>
          <w:spacing w:val="-6"/>
          <w:sz w:val="23"/>
        </w:rPr>
        <w:t> </w:t>
      </w:r>
      <w:r>
        <w:rPr>
          <w:sz w:val="23"/>
        </w:rPr>
        <w:t>ou</w:t>
      </w:r>
      <w:r>
        <w:rPr>
          <w:spacing w:val="-7"/>
          <w:sz w:val="23"/>
        </w:rPr>
        <w:t> </w:t>
      </w:r>
      <w:r>
        <w:rPr>
          <w:sz w:val="23"/>
        </w:rPr>
        <w:t>latente), em</w:t>
      </w:r>
      <w:r>
        <w:rPr>
          <w:spacing w:val="-7"/>
          <w:sz w:val="23"/>
        </w:rPr>
        <w:t> </w:t>
      </w:r>
      <w:r>
        <w:rPr>
          <w:sz w:val="23"/>
        </w:rPr>
        <w:t>que</w:t>
      </w:r>
      <w:r>
        <w:rPr>
          <w:spacing w:val="-9"/>
          <w:sz w:val="23"/>
        </w:rPr>
        <w:t> </w:t>
      </w:r>
      <w:r>
        <w:rPr>
          <w:sz w:val="23"/>
        </w:rPr>
        <w:t>a</w:t>
      </w:r>
      <w:r>
        <w:rPr>
          <w:spacing w:val="-9"/>
          <w:sz w:val="23"/>
        </w:rPr>
        <w:t> </w:t>
      </w:r>
      <w:r>
        <w:rPr>
          <w:sz w:val="23"/>
        </w:rPr>
        <w:t>reserva</w:t>
      </w:r>
      <w:r>
        <w:rPr>
          <w:spacing w:val="-10"/>
          <w:sz w:val="23"/>
        </w:rPr>
        <w:t> </w:t>
      </w:r>
      <w:r>
        <w:rPr>
          <w:sz w:val="23"/>
        </w:rPr>
        <w:t>funcional</w:t>
      </w:r>
      <w:r>
        <w:rPr>
          <w:spacing w:val="-4"/>
          <w:sz w:val="23"/>
        </w:rPr>
        <w:t> </w:t>
      </w:r>
      <w:r>
        <w:rPr>
          <w:sz w:val="23"/>
        </w:rPr>
        <w:t>está</w:t>
      </w:r>
      <w:r>
        <w:rPr>
          <w:spacing w:val="-9"/>
          <w:sz w:val="23"/>
        </w:rPr>
        <w:t> </w:t>
      </w:r>
      <w:r>
        <w:rPr>
          <w:spacing w:val="-2"/>
          <w:sz w:val="23"/>
        </w:rPr>
        <w:t>reduzida</w:t>
      </w:r>
    </w:p>
    <w:p>
      <w:pPr>
        <w:pStyle w:val="ListParagraph"/>
        <w:numPr>
          <w:ilvl w:val="1"/>
          <w:numId w:val="33"/>
        </w:numPr>
        <w:tabs>
          <w:tab w:pos="816" w:val="left" w:leader="none"/>
        </w:tabs>
        <w:spacing w:line="276" w:lineRule="auto" w:before="71" w:after="0"/>
        <w:ind w:left="414" w:right="502" w:firstLine="0"/>
        <w:jc w:val="left"/>
        <w:rPr>
          <w:sz w:val="23"/>
        </w:rPr>
      </w:pPr>
      <w:r>
        <w:rPr>
          <w:sz w:val="23"/>
        </w:rPr>
        <w:t>Estágio I: reversível, com edema</w:t>
      </w:r>
      <w:r>
        <w:rPr>
          <w:spacing w:val="-1"/>
          <w:sz w:val="23"/>
        </w:rPr>
        <w:t> </w:t>
      </w:r>
      <w:r>
        <w:rPr>
          <w:sz w:val="23"/>
        </w:rPr>
        <w:t>depressível (sinal de</w:t>
      </w:r>
      <w:r>
        <w:rPr>
          <w:spacing w:val="-1"/>
          <w:sz w:val="23"/>
        </w:rPr>
        <w:t> </w:t>
      </w:r>
      <w:r>
        <w:rPr>
          <w:sz w:val="23"/>
        </w:rPr>
        <w:t>Godet positivo), pouca</w:t>
      </w:r>
      <w:r>
        <w:rPr>
          <w:spacing w:val="-1"/>
          <w:sz w:val="23"/>
        </w:rPr>
        <w:t> </w:t>
      </w:r>
      <w:r>
        <w:rPr>
          <w:sz w:val="23"/>
        </w:rPr>
        <w:t>ou nenhuma</w:t>
      </w:r>
      <w:r>
        <w:rPr>
          <w:spacing w:val="-1"/>
          <w:sz w:val="23"/>
        </w:rPr>
        <w:t> </w:t>
      </w:r>
      <w:r>
        <w:rPr>
          <w:sz w:val="23"/>
        </w:rPr>
        <w:t>fibrose</w:t>
      </w:r>
      <w:r>
        <w:rPr>
          <w:spacing w:val="-1"/>
          <w:sz w:val="23"/>
        </w:rPr>
        <w:t> </w:t>
      </w:r>
      <w:r>
        <w:rPr>
          <w:sz w:val="23"/>
        </w:rPr>
        <w:t>tecidual e regressão completa após o repouso noturno</w:t>
      </w:r>
    </w:p>
    <w:p>
      <w:pPr>
        <w:pStyle w:val="ListParagraph"/>
        <w:numPr>
          <w:ilvl w:val="1"/>
          <w:numId w:val="33"/>
        </w:numPr>
        <w:tabs>
          <w:tab w:pos="841" w:val="left" w:leader="none"/>
        </w:tabs>
        <w:spacing w:line="276" w:lineRule="auto" w:before="17" w:after="0"/>
        <w:ind w:left="414" w:right="499" w:firstLine="0"/>
        <w:jc w:val="left"/>
        <w:rPr>
          <w:sz w:val="23"/>
        </w:rPr>
      </w:pPr>
      <w:r>
        <w:rPr>
          <w:sz w:val="23"/>
        </w:rPr>
        <w:t>Estágio II: espontaneamente irreversível, progressão do edema para fibrose (sinal de Godet negativo) e o repouso noturno não se acompanha de regressão significativa do edema</w:t>
      </w:r>
    </w:p>
    <w:p>
      <w:pPr>
        <w:pStyle w:val="ListParagraph"/>
        <w:numPr>
          <w:ilvl w:val="1"/>
          <w:numId w:val="33"/>
        </w:numPr>
        <w:tabs>
          <w:tab w:pos="875" w:val="left" w:leader="none"/>
        </w:tabs>
        <w:spacing w:line="276" w:lineRule="auto" w:before="32" w:after="0"/>
        <w:ind w:left="414" w:right="495" w:firstLine="0"/>
        <w:jc w:val="left"/>
        <w:rPr>
          <w:sz w:val="23"/>
        </w:rPr>
      </w:pPr>
      <w:r>
        <w:rPr>
          <w:sz w:val="23"/>
        </w:rPr>
        <w:t>Estágio</w:t>
      </w:r>
      <w:r>
        <w:rPr>
          <w:spacing w:val="23"/>
          <w:sz w:val="23"/>
        </w:rPr>
        <w:t> </w:t>
      </w:r>
      <w:r>
        <w:rPr>
          <w:sz w:val="23"/>
        </w:rPr>
        <w:t>III:</w:t>
      </w:r>
      <w:r>
        <w:rPr>
          <w:spacing w:val="26"/>
          <w:sz w:val="23"/>
        </w:rPr>
        <w:t> </w:t>
      </w:r>
      <w:r>
        <w:rPr>
          <w:sz w:val="23"/>
        </w:rPr>
        <w:t>fibrose</w:t>
      </w:r>
      <w:r>
        <w:rPr>
          <w:spacing w:val="20"/>
          <w:sz w:val="23"/>
        </w:rPr>
        <w:t> </w:t>
      </w:r>
      <w:r>
        <w:rPr>
          <w:sz w:val="23"/>
        </w:rPr>
        <w:t>acentuada</w:t>
      </w:r>
      <w:r>
        <w:rPr>
          <w:spacing w:val="20"/>
          <w:sz w:val="23"/>
        </w:rPr>
        <w:t> </w:t>
      </w:r>
      <w:r>
        <w:rPr>
          <w:sz w:val="23"/>
        </w:rPr>
        <w:t>(elefantíase),</w:t>
      </w:r>
      <w:r>
        <w:rPr>
          <w:spacing w:val="31"/>
          <w:sz w:val="23"/>
        </w:rPr>
        <w:t> </w:t>
      </w:r>
      <w:r>
        <w:rPr>
          <w:sz w:val="23"/>
        </w:rPr>
        <w:t>com</w:t>
      </w:r>
      <w:r>
        <w:rPr>
          <w:spacing w:val="23"/>
          <w:sz w:val="23"/>
        </w:rPr>
        <w:t> </w:t>
      </w:r>
      <w:r>
        <w:rPr>
          <w:sz w:val="23"/>
        </w:rPr>
        <w:t>grandes</w:t>
      </w:r>
      <w:r>
        <w:rPr>
          <w:spacing w:val="31"/>
          <w:sz w:val="23"/>
        </w:rPr>
        <w:t> </w:t>
      </w:r>
      <w:r>
        <w:rPr>
          <w:sz w:val="23"/>
        </w:rPr>
        <w:t>deformações</w:t>
      </w:r>
      <w:r>
        <w:rPr>
          <w:spacing w:val="31"/>
          <w:sz w:val="23"/>
        </w:rPr>
        <w:t> </w:t>
      </w:r>
      <w:r>
        <w:rPr>
          <w:sz w:val="23"/>
        </w:rPr>
        <w:t>e</w:t>
      </w:r>
      <w:r>
        <w:rPr>
          <w:spacing w:val="20"/>
          <w:sz w:val="23"/>
        </w:rPr>
        <w:t> </w:t>
      </w:r>
      <w:r>
        <w:rPr>
          <w:sz w:val="23"/>
        </w:rPr>
        <w:t>incapacidade</w:t>
      </w:r>
      <w:r>
        <w:rPr>
          <w:spacing w:val="20"/>
          <w:sz w:val="23"/>
        </w:rPr>
        <w:t> </w:t>
      </w:r>
      <w:r>
        <w:rPr>
          <w:sz w:val="23"/>
        </w:rPr>
        <w:t>funcional</w:t>
      </w:r>
      <w:r>
        <w:rPr>
          <w:spacing w:val="26"/>
          <w:sz w:val="23"/>
        </w:rPr>
        <w:t> </w:t>
      </w:r>
      <w:r>
        <w:rPr>
          <w:sz w:val="23"/>
        </w:rPr>
        <w:t>(</w:t>
      </w:r>
      <w:r>
        <w:rPr>
          <w:color w:val="505050"/>
          <w:sz w:val="23"/>
        </w:rPr>
        <w:t>Figura </w:t>
      </w:r>
      <w:r>
        <w:rPr>
          <w:color w:val="505050"/>
          <w:spacing w:val="-2"/>
          <w:sz w:val="23"/>
        </w:rPr>
        <w:t>59.34</w:t>
      </w:r>
      <w:r>
        <w:rPr>
          <w:spacing w:val="-2"/>
          <w:sz w:val="23"/>
        </w:rPr>
        <w:t>).</w:t>
      </w:r>
    </w:p>
    <w:p>
      <w:pPr>
        <w:pStyle w:val="BodyText"/>
        <w:spacing w:before="186"/>
        <w:ind w:left="0" w:firstLine="0"/>
        <w:jc w:val="left"/>
      </w:pPr>
    </w:p>
    <w:p>
      <w:pPr>
        <w:pStyle w:val="Heading4"/>
      </w:pPr>
      <w:r>
        <w:rPr>
          <w:color w:val="242B67"/>
        </w:rPr>
        <w:t>Diagnóstico clínico do </w:t>
      </w:r>
      <w:r>
        <w:rPr>
          <w:color w:val="242B67"/>
          <w:spacing w:val="-2"/>
        </w:rPr>
        <w:t>linfedema</w:t>
      </w:r>
    </w:p>
    <w:p>
      <w:pPr>
        <w:pStyle w:val="BodyText"/>
        <w:spacing w:line="278" w:lineRule="auto" w:before="131"/>
        <w:ind w:right="497"/>
      </w:pPr>
      <w:r>
        <w:rPr/>
        <w:t>A </w:t>
      </w:r>
      <w:r>
        <w:rPr>
          <w:i/>
        </w:rPr>
        <w:t>anamnese </w:t>
      </w:r>
      <w:r>
        <w:rPr/>
        <w:t>deve ser completa, minuciosa e corretamente orientada para conseguir diferenciar as causas dos fatores desencadeantes do linfedema. O linfedema afeta geralmente as extremidades, mas pode envolver a face, a genitália</w:t>
      </w:r>
      <w:r>
        <w:rPr>
          <w:spacing w:val="-10"/>
        </w:rPr>
        <w:t> </w:t>
      </w:r>
      <w:r>
        <w:rPr/>
        <w:t>e</w:t>
      </w:r>
      <w:r>
        <w:rPr>
          <w:spacing w:val="-10"/>
        </w:rPr>
        <w:t> </w:t>
      </w:r>
      <w:r>
        <w:rPr/>
        <w:t>o</w:t>
      </w:r>
      <w:r>
        <w:rPr>
          <w:spacing w:val="-8"/>
        </w:rPr>
        <w:t> </w:t>
      </w:r>
      <w:r>
        <w:rPr/>
        <w:t>tronco.</w:t>
      </w:r>
      <w:r>
        <w:rPr>
          <w:spacing w:val="-1"/>
        </w:rPr>
        <w:t> </w:t>
      </w:r>
      <w:r>
        <w:rPr/>
        <w:t>A</w:t>
      </w:r>
      <w:r>
        <w:rPr>
          <w:spacing w:val="-10"/>
        </w:rPr>
        <w:t> </w:t>
      </w:r>
      <w:r>
        <w:rPr/>
        <w:t>idade</w:t>
      </w:r>
      <w:r>
        <w:rPr>
          <w:spacing w:val="-10"/>
        </w:rPr>
        <w:t> </w:t>
      </w:r>
      <w:r>
        <w:rPr/>
        <w:t>do</w:t>
      </w:r>
      <w:r>
        <w:rPr>
          <w:spacing w:val="-8"/>
        </w:rPr>
        <w:t> </w:t>
      </w:r>
      <w:r>
        <w:rPr/>
        <w:t>paciente,</w:t>
      </w:r>
      <w:r>
        <w:rPr>
          <w:spacing w:val="-1"/>
        </w:rPr>
        <w:t> </w:t>
      </w:r>
      <w:r>
        <w:rPr/>
        <w:t>quando</w:t>
      </w:r>
      <w:r>
        <w:rPr>
          <w:spacing w:val="-8"/>
        </w:rPr>
        <w:t> </w:t>
      </w:r>
      <w:r>
        <w:rPr/>
        <w:t>do</w:t>
      </w:r>
      <w:r>
        <w:rPr>
          <w:spacing w:val="-8"/>
        </w:rPr>
        <w:t> </w:t>
      </w:r>
      <w:r>
        <w:rPr/>
        <w:t>aparecimento</w:t>
      </w:r>
      <w:r>
        <w:rPr>
          <w:spacing w:val="-8"/>
        </w:rPr>
        <w:t> </w:t>
      </w:r>
      <w:r>
        <w:rPr/>
        <w:t>do</w:t>
      </w:r>
      <w:r>
        <w:rPr>
          <w:spacing w:val="-8"/>
        </w:rPr>
        <w:t> </w:t>
      </w:r>
      <w:r>
        <w:rPr/>
        <w:t>linfedema,</w:t>
      </w:r>
      <w:r>
        <w:rPr>
          <w:spacing w:val="-1"/>
        </w:rPr>
        <w:t> </w:t>
      </w:r>
      <w:r>
        <w:rPr/>
        <w:t>define</w:t>
      </w:r>
      <w:r>
        <w:rPr>
          <w:spacing w:val="-10"/>
        </w:rPr>
        <w:t> </w:t>
      </w:r>
      <w:r>
        <w:rPr/>
        <w:t>a</w:t>
      </w:r>
      <w:r>
        <w:rPr>
          <w:spacing w:val="-10"/>
        </w:rPr>
        <w:t> </w:t>
      </w:r>
      <w:r>
        <w:rPr/>
        <w:t>classificação</w:t>
      </w:r>
      <w:r>
        <w:rPr>
          <w:spacing w:val="-8"/>
        </w:rPr>
        <w:t> </w:t>
      </w:r>
      <w:r>
        <w:rPr/>
        <w:t>do</w:t>
      </w:r>
      <w:r>
        <w:rPr>
          <w:spacing w:val="-8"/>
        </w:rPr>
        <w:t> </w:t>
      </w:r>
      <w:r>
        <w:rPr/>
        <w:t>linfedema primário. Se estiver presente ao nascimento ou surgir até os 2 anos de idade, é considerado linfedema congênito, que</w:t>
      </w:r>
      <w:r>
        <w:rPr>
          <w:spacing w:val="-2"/>
        </w:rPr>
        <w:t> </w:t>
      </w:r>
      <w:r>
        <w:rPr/>
        <w:t>pode</w:t>
      </w:r>
      <w:r>
        <w:rPr>
          <w:spacing w:val="-2"/>
        </w:rPr>
        <w:t> </w:t>
      </w:r>
      <w:r>
        <w:rPr/>
        <w:t>ser simples ou familiar (doença</w:t>
      </w:r>
      <w:r>
        <w:rPr>
          <w:spacing w:val="-2"/>
        </w:rPr>
        <w:t> </w:t>
      </w:r>
      <w:r>
        <w:rPr/>
        <w:t>de</w:t>
      </w:r>
      <w:r>
        <w:rPr>
          <w:spacing w:val="-2"/>
        </w:rPr>
        <w:t> </w:t>
      </w:r>
      <w:r>
        <w:rPr/>
        <w:t>Milroy). Após essa</w:t>
      </w:r>
      <w:r>
        <w:rPr>
          <w:spacing w:val="-2"/>
        </w:rPr>
        <w:t> </w:t>
      </w:r>
      <w:r>
        <w:rPr/>
        <w:t>idade</w:t>
      </w:r>
      <w:r>
        <w:rPr>
          <w:spacing w:val="-2"/>
        </w:rPr>
        <w:t> </w:t>
      </w:r>
      <w:r>
        <w:rPr/>
        <w:t>até</w:t>
      </w:r>
      <w:r>
        <w:rPr>
          <w:spacing w:val="-2"/>
        </w:rPr>
        <w:t> </w:t>
      </w:r>
      <w:r>
        <w:rPr/>
        <w:t>os 35, é</w:t>
      </w:r>
      <w:r>
        <w:rPr>
          <w:spacing w:val="-2"/>
        </w:rPr>
        <w:t> </w:t>
      </w:r>
      <w:r>
        <w:rPr/>
        <w:t>denominado linfedema</w:t>
      </w:r>
      <w:r>
        <w:rPr>
          <w:spacing w:val="-2"/>
        </w:rPr>
        <w:t> </w:t>
      </w:r>
      <w:r>
        <w:rPr/>
        <w:t>primário precoce e, após os 35 anos, linfedema tardio. Se o aparecimento é recente em indivíduos de mais idade, particularmente se predominar em regiões proximais dos membros, deve-se sempre considerar a possibilidade de uma neoplasia obstruindo a drenagem linfática (edema rizomélico).</w:t>
      </w:r>
      <w:r>
        <w:rPr>
          <w:vertAlign w:val="superscript"/>
        </w:rPr>
        <w:t>8</w:t>
      </w:r>
    </w:p>
    <w:p>
      <w:pPr>
        <w:pStyle w:val="BodyText"/>
        <w:spacing w:line="278" w:lineRule="auto" w:before="45"/>
        <w:ind w:right="497"/>
      </w:pPr>
      <w:r>
        <w:rPr/>
        <w:t>Além disso, quando o linfedema surge espontaneamente, em geral existe história de infecção (celulite, erisipela), trauma, picada de inseto, gravidez, viagem prolongada ou a áreas endêmicas como fator ou </w:t>
      </w:r>
      <w:r>
        <w:rPr>
          <w:i/>
        </w:rPr>
        <w:t>gatilho </w:t>
      </w:r>
      <w:r>
        <w:rPr/>
        <w:t>desencadeante. A frequência de processos infecciosos torna possível uma noção do grau de lesão tecidual no linfedema. O</w:t>
      </w:r>
      <w:r>
        <w:rPr>
          <w:spacing w:val="-3"/>
        </w:rPr>
        <w:t> </w:t>
      </w:r>
      <w:r>
        <w:rPr/>
        <w:t>tempo de</w:t>
      </w:r>
      <w:r>
        <w:rPr>
          <w:spacing w:val="-3"/>
        </w:rPr>
        <w:t> </w:t>
      </w:r>
      <w:r>
        <w:rPr/>
        <w:t>regressão do edema</w:t>
      </w:r>
      <w:r>
        <w:rPr>
          <w:spacing w:val="-3"/>
        </w:rPr>
        <w:t> </w:t>
      </w:r>
      <w:r>
        <w:rPr/>
        <w:t>com o repouso costuma</w:t>
      </w:r>
      <w:r>
        <w:rPr>
          <w:spacing w:val="-3"/>
        </w:rPr>
        <w:t> </w:t>
      </w:r>
      <w:r>
        <w:rPr/>
        <w:t>ser lento, com dias de</w:t>
      </w:r>
      <w:r>
        <w:rPr>
          <w:spacing w:val="-3"/>
        </w:rPr>
        <w:t> </w:t>
      </w:r>
      <w:r>
        <w:rPr/>
        <w:t>duração, sendo um dado indireto do estágio evolutivo e</w:t>
      </w:r>
      <w:r>
        <w:rPr>
          <w:spacing w:val="-2"/>
        </w:rPr>
        <w:t> </w:t>
      </w:r>
      <w:r>
        <w:rPr/>
        <w:t>prognóstico do linfedema. Nos linfedemas secundários, pode</w:t>
      </w:r>
      <w:r>
        <w:rPr>
          <w:spacing w:val="-2"/>
        </w:rPr>
        <w:t> </w:t>
      </w:r>
      <w:r>
        <w:rPr/>
        <w:t>haver antecedentes de tratamentos cirúrgicos ou radioterápicos.</w:t>
      </w:r>
      <w:r>
        <w:rPr>
          <w:vertAlign w:val="superscript"/>
        </w:rPr>
        <w:t>8</w:t>
      </w:r>
    </w:p>
    <w:p>
      <w:pPr>
        <w:pStyle w:val="BodyText"/>
        <w:spacing w:line="276" w:lineRule="auto"/>
        <w:ind w:right="488"/>
      </w:pPr>
      <w:r>
        <w:rPr/>
        <w:t>O</w:t>
      </w:r>
      <w:r>
        <w:rPr>
          <w:spacing w:val="-7"/>
        </w:rPr>
        <w:t> </w:t>
      </w:r>
      <w:r>
        <w:rPr>
          <w:i/>
        </w:rPr>
        <w:t>exame</w:t>
      </w:r>
      <w:r>
        <w:rPr>
          <w:i/>
          <w:spacing w:val="-7"/>
        </w:rPr>
        <w:t> </w:t>
      </w:r>
      <w:r>
        <w:rPr>
          <w:i/>
        </w:rPr>
        <w:t>físico </w:t>
      </w:r>
      <w:r>
        <w:rPr/>
        <w:t>completo da área afetada e de todos os órgãos e sistemas do organismo deverá ser minucioso e ajudar a</w:t>
      </w:r>
      <w:r>
        <w:rPr>
          <w:spacing w:val="-3"/>
        </w:rPr>
        <w:t> </w:t>
      </w:r>
      <w:r>
        <w:rPr/>
        <w:t>estabelecer o diagnóstico etiológico, grau de</w:t>
      </w:r>
      <w:r>
        <w:rPr>
          <w:spacing w:val="-3"/>
        </w:rPr>
        <w:t> </w:t>
      </w:r>
      <w:r>
        <w:rPr/>
        <w:t>evolução e</w:t>
      </w:r>
      <w:r>
        <w:rPr>
          <w:spacing w:val="-3"/>
        </w:rPr>
        <w:t> </w:t>
      </w:r>
      <w:r>
        <w:rPr/>
        <w:t>prognóstico da</w:t>
      </w:r>
      <w:r>
        <w:rPr>
          <w:spacing w:val="-3"/>
        </w:rPr>
        <w:t> </w:t>
      </w:r>
      <w:r>
        <w:rPr/>
        <w:t>doença.</w:t>
      </w:r>
    </w:p>
    <w:p>
      <w:pPr>
        <w:pStyle w:val="BodyText"/>
        <w:spacing w:line="280" w:lineRule="auto" w:before="64"/>
        <w:ind w:right="491"/>
      </w:pPr>
      <w:r>
        <w:rPr/>
        <w:t>A palpação dos centros linfonodais é fundamental, especialmente quando se suspeita da ocorrência ou recrudescência de processos neoplásicos. A presença de linfonodos regionais palpáveis nos linfedemas primários pode ser sugestiva de hipoplasia dos vasos linfáticos distais, sendo de valor prognóstico nesses pacientes. A presença</w:t>
      </w:r>
      <w:r>
        <w:rPr>
          <w:spacing w:val="-1"/>
        </w:rPr>
        <w:t> </w:t>
      </w:r>
      <w:r>
        <w:rPr/>
        <w:t>de</w:t>
      </w:r>
      <w:r>
        <w:rPr>
          <w:spacing w:val="-1"/>
        </w:rPr>
        <w:t> </w:t>
      </w:r>
      <w:r>
        <w:rPr/>
        <w:t>nevos, hipertrofia</w:t>
      </w:r>
      <w:r>
        <w:rPr>
          <w:spacing w:val="-1"/>
        </w:rPr>
        <w:t> </w:t>
      </w:r>
      <w:r>
        <w:rPr/>
        <w:t>e</w:t>
      </w:r>
      <w:r>
        <w:rPr>
          <w:spacing w:val="-1"/>
        </w:rPr>
        <w:t> </w:t>
      </w:r>
      <w:r>
        <w:rPr/>
        <w:t>varizes no membro afetado pode</w:t>
      </w:r>
      <w:r>
        <w:rPr>
          <w:spacing w:val="-1"/>
        </w:rPr>
        <w:t> </w:t>
      </w:r>
      <w:r>
        <w:rPr/>
        <w:t>sugerir a</w:t>
      </w:r>
      <w:r>
        <w:rPr>
          <w:spacing w:val="-1"/>
        </w:rPr>
        <w:t> </w:t>
      </w:r>
      <w:r>
        <w:rPr/>
        <w:t>síndrome</w:t>
      </w:r>
      <w:r>
        <w:rPr>
          <w:spacing w:val="-1"/>
        </w:rPr>
        <w:t> </w:t>
      </w:r>
      <w:r>
        <w:rPr/>
        <w:t>de</w:t>
      </w:r>
      <w:r>
        <w:rPr>
          <w:spacing w:val="-1"/>
        </w:rPr>
        <w:t> </w:t>
      </w:r>
      <w:r>
        <w:rPr/>
        <w:t>Klippel-Trenaunnay.</w:t>
      </w:r>
      <w:r>
        <w:rPr>
          <w:vertAlign w:val="superscript"/>
        </w:rPr>
        <w:t>8</w:t>
      </w:r>
    </w:p>
    <w:p>
      <w:pPr>
        <w:pStyle w:val="BodyText"/>
        <w:spacing w:line="278" w:lineRule="auto" w:before="44"/>
        <w:ind w:right="491"/>
      </w:pPr>
      <w:r>
        <w:rPr/>
        <w:t>O</w:t>
      </w:r>
      <w:r>
        <w:rPr>
          <w:spacing w:val="-8"/>
        </w:rPr>
        <w:t> </w:t>
      </w:r>
      <w:r>
        <w:rPr/>
        <w:t>linfedema, no</w:t>
      </w:r>
      <w:r>
        <w:rPr>
          <w:spacing w:val="-5"/>
        </w:rPr>
        <w:t> </w:t>
      </w:r>
      <w:r>
        <w:rPr/>
        <w:t>seu</w:t>
      </w:r>
      <w:r>
        <w:rPr>
          <w:spacing w:val="-5"/>
        </w:rPr>
        <w:t> </w:t>
      </w:r>
      <w:r>
        <w:rPr/>
        <w:t>estágio</w:t>
      </w:r>
      <w:r>
        <w:rPr>
          <w:spacing w:val="-5"/>
        </w:rPr>
        <w:t> </w:t>
      </w:r>
      <w:r>
        <w:rPr/>
        <w:t>inicial, é</w:t>
      </w:r>
      <w:r>
        <w:rPr>
          <w:spacing w:val="-8"/>
        </w:rPr>
        <w:t> </w:t>
      </w:r>
      <w:r>
        <w:rPr/>
        <w:t>mole, depressível</w:t>
      </w:r>
      <w:r>
        <w:rPr>
          <w:spacing w:val="-3"/>
        </w:rPr>
        <w:t> </w:t>
      </w:r>
      <w:r>
        <w:rPr/>
        <w:t>à</w:t>
      </w:r>
      <w:r>
        <w:rPr>
          <w:spacing w:val="-8"/>
        </w:rPr>
        <w:t> </w:t>
      </w:r>
      <w:r>
        <w:rPr/>
        <w:t>compressão</w:t>
      </w:r>
      <w:r>
        <w:rPr>
          <w:spacing w:val="-5"/>
        </w:rPr>
        <w:t> </w:t>
      </w:r>
      <w:r>
        <w:rPr/>
        <w:t>digital, deixando</w:t>
      </w:r>
      <w:r>
        <w:rPr>
          <w:spacing w:val="-5"/>
        </w:rPr>
        <w:t> </w:t>
      </w:r>
      <w:r>
        <w:rPr/>
        <w:t>fóvea</w:t>
      </w:r>
      <w:r>
        <w:rPr>
          <w:spacing w:val="-8"/>
        </w:rPr>
        <w:t> </w:t>
      </w:r>
      <w:r>
        <w:rPr/>
        <w:t>(sinal</w:t>
      </w:r>
      <w:r>
        <w:rPr>
          <w:spacing w:val="-3"/>
        </w:rPr>
        <w:t> </w:t>
      </w:r>
      <w:r>
        <w:rPr/>
        <w:t>de</w:t>
      </w:r>
      <w:r>
        <w:rPr>
          <w:spacing w:val="-8"/>
        </w:rPr>
        <w:t> </w:t>
      </w:r>
      <w:r>
        <w:rPr/>
        <w:t>Godet</w:t>
      </w:r>
      <w:r>
        <w:rPr>
          <w:spacing w:val="-3"/>
        </w:rPr>
        <w:t> </w:t>
      </w:r>
      <w:r>
        <w:rPr/>
        <w:t>ou cacifo positivo), é indolor, pode ter início segmentar e progredir pelo membro todo. No membro inferior, inclui o pé, progride lentamente, pode ser uni ou bilateral, não diminui com o decúbito, passando a ser duro com fibrose e hipertrofia</w:t>
      </w:r>
      <w:r>
        <w:rPr>
          <w:spacing w:val="-6"/>
        </w:rPr>
        <w:t> </w:t>
      </w:r>
      <w:r>
        <w:rPr/>
        <w:t>da</w:t>
      </w:r>
      <w:r>
        <w:rPr>
          <w:spacing w:val="-6"/>
        </w:rPr>
        <w:t> </w:t>
      </w:r>
      <w:r>
        <w:rPr/>
        <w:t>pele</w:t>
      </w:r>
      <w:r>
        <w:rPr>
          <w:spacing w:val="-6"/>
        </w:rPr>
        <w:t> </w:t>
      </w:r>
      <w:r>
        <w:rPr/>
        <w:t>no</w:t>
      </w:r>
      <w:r>
        <w:rPr>
          <w:spacing w:val="-3"/>
        </w:rPr>
        <w:t> </w:t>
      </w:r>
      <w:r>
        <w:rPr/>
        <w:t>seu</w:t>
      </w:r>
      <w:r>
        <w:rPr>
          <w:spacing w:val="-3"/>
        </w:rPr>
        <w:t> </w:t>
      </w:r>
      <w:r>
        <w:rPr/>
        <w:t>estágio</w:t>
      </w:r>
      <w:r>
        <w:rPr>
          <w:spacing w:val="-3"/>
        </w:rPr>
        <w:t> </w:t>
      </w:r>
      <w:r>
        <w:rPr/>
        <w:t>crônico</w:t>
      </w:r>
      <w:r>
        <w:rPr>
          <w:spacing w:val="-3"/>
        </w:rPr>
        <w:t> </w:t>
      </w:r>
      <w:r>
        <w:rPr/>
        <w:t>(</w:t>
      </w:r>
      <w:r>
        <w:rPr>
          <w:color w:val="505050"/>
        </w:rPr>
        <w:t>Figuras 59.34</w:t>
      </w:r>
      <w:r>
        <w:rPr>
          <w:color w:val="505050"/>
          <w:spacing w:val="-5"/>
        </w:rPr>
        <w:t> </w:t>
      </w:r>
      <w:r>
        <w:rPr/>
        <w:t>e</w:t>
      </w:r>
      <w:r>
        <w:rPr>
          <w:spacing w:val="-7"/>
        </w:rPr>
        <w:t> </w:t>
      </w:r>
      <w:r>
        <w:rPr>
          <w:color w:val="505050"/>
        </w:rPr>
        <w:t>59.35</w:t>
      </w:r>
      <w:r>
        <w:rPr/>
        <w:t>). A</w:t>
      </w:r>
      <w:r>
        <w:rPr>
          <w:spacing w:val="-6"/>
        </w:rPr>
        <w:t> </w:t>
      </w:r>
      <w:r>
        <w:rPr/>
        <w:t>localização</w:t>
      </w:r>
      <w:r>
        <w:rPr>
          <w:spacing w:val="-3"/>
        </w:rPr>
        <w:t> </w:t>
      </w:r>
      <w:r>
        <w:rPr/>
        <w:t>distal sugere</w:t>
      </w:r>
      <w:r>
        <w:rPr>
          <w:spacing w:val="-6"/>
        </w:rPr>
        <w:t> </w:t>
      </w:r>
      <w:r>
        <w:rPr/>
        <w:t>linfedema</w:t>
      </w:r>
      <w:r>
        <w:rPr>
          <w:spacing w:val="-6"/>
        </w:rPr>
        <w:t> </w:t>
      </w:r>
      <w:r>
        <w:rPr/>
        <w:t>primário, e a proximal é mais sugestiva de linfedema secundário. Geralmente é assimétrico quando bilateral. O aspecto frio, pálido e indolor do linfedema pode mudar se houver infecção (celulite, erisipela).</w:t>
      </w:r>
      <w:r>
        <w:rPr>
          <w:vertAlign w:val="superscript"/>
        </w:rPr>
        <w:t>8</w:t>
      </w:r>
    </w:p>
    <w:p>
      <w:pPr>
        <w:pStyle w:val="BodyText"/>
        <w:spacing w:line="276" w:lineRule="auto"/>
        <w:ind w:right="488"/>
      </w:pPr>
      <w:r>
        <w:rPr/>
        <w:t>A</w:t>
      </w:r>
      <w:r>
        <w:rPr>
          <w:spacing w:val="-6"/>
        </w:rPr>
        <w:t> </w:t>
      </w:r>
      <w:r>
        <w:rPr/>
        <w:t>consistência</w:t>
      </w:r>
      <w:r>
        <w:rPr>
          <w:spacing w:val="-6"/>
        </w:rPr>
        <w:t> </w:t>
      </w:r>
      <w:r>
        <w:rPr/>
        <w:t>e</w:t>
      </w:r>
      <w:r>
        <w:rPr>
          <w:spacing w:val="-6"/>
        </w:rPr>
        <w:t> </w:t>
      </w:r>
      <w:r>
        <w:rPr/>
        <w:t>textura</w:t>
      </w:r>
      <w:r>
        <w:rPr>
          <w:spacing w:val="-6"/>
        </w:rPr>
        <w:t> </w:t>
      </w:r>
      <w:r>
        <w:rPr/>
        <w:t>da</w:t>
      </w:r>
      <w:r>
        <w:rPr>
          <w:spacing w:val="-7"/>
        </w:rPr>
        <w:t> </w:t>
      </w:r>
      <w:r>
        <w:rPr/>
        <w:t>pele</w:t>
      </w:r>
      <w:r>
        <w:rPr>
          <w:spacing w:val="-6"/>
        </w:rPr>
        <w:t> </w:t>
      </w:r>
      <w:r>
        <w:rPr/>
        <w:t>podem</w:t>
      </w:r>
      <w:r>
        <w:rPr>
          <w:spacing w:val="-4"/>
        </w:rPr>
        <w:t> </w:t>
      </w:r>
      <w:r>
        <w:rPr/>
        <w:t>variar amplamente, desde</w:t>
      </w:r>
      <w:r>
        <w:rPr>
          <w:spacing w:val="-6"/>
        </w:rPr>
        <w:t> </w:t>
      </w:r>
      <w:r>
        <w:rPr/>
        <w:t>a</w:t>
      </w:r>
      <w:r>
        <w:rPr>
          <w:spacing w:val="-6"/>
        </w:rPr>
        <w:t> </w:t>
      </w:r>
      <w:r>
        <w:rPr/>
        <w:t>pele</w:t>
      </w:r>
      <w:r>
        <w:rPr>
          <w:spacing w:val="-6"/>
        </w:rPr>
        <w:t> </w:t>
      </w:r>
      <w:r>
        <w:rPr/>
        <w:t>normal</w:t>
      </w:r>
      <w:r>
        <w:rPr>
          <w:spacing w:val="-1"/>
        </w:rPr>
        <w:t> </w:t>
      </w:r>
      <w:r>
        <w:rPr/>
        <w:t>no</w:t>
      </w:r>
      <w:r>
        <w:rPr>
          <w:spacing w:val="-4"/>
        </w:rPr>
        <w:t> </w:t>
      </w:r>
      <w:r>
        <w:rPr/>
        <w:t>início</w:t>
      </w:r>
      <w:r>
        <w:rPr>
          <w:spacing w:val="-4"/>
        </w:rPr>
        <w:t> </w:t>
      </w:r>
      <w:r>
        <w:rPr/>
        <w:t>até</w:t>
      </w:r>
      <w:r>
        <w:rPr>
          <w:spacing w:val="-6"/>
        </w:rPr>
        <w:t> </w:t>
      </w:r>
      <w:r>
        <w:rPr/>
        <w:t>a</w:t>
      </w:r>
      <w:r>
        <w:rPr>
          <w:spacing w:val="-6"/>
        </w:rPr>
        <w:t> </w:t>
      </w:r>
      <w:r>
        <w:rPr/>
        <w:t>consistência</w:t>
      </w:r>
      <w:r>
        <w:rPr>
          <w:spacing w:val="-6"/>
        </w:rPr>
        <w:t> </w:t>
      </w:r>
      <w:r>
        <w:rPr/>
        <w:t>dura e lenhosa da fibrose tecidual no linfedema crônico. A pele do membro com linfedema é pálida, podendo se tornar avermelhada</w:t>
      </w:r>
      <w:r>
        <w:rPr>
          <w:spacing w:val="-3"/>
        </w:rPr>
        <w:t> </w:t>
      </w:r>
      <w:r>
        <w:rPr/>
        <w:t>na</w:t>
      </w:r>
      <w:r>
        <w:rPr>
          <w:spacing w:val="-3"/>
        </w:rPr>
        <w:t> </w:t>
      </w:r>
      <w:r>
        <w:rPr/>
        <w:t>vigência</w:t>
      </w:r>
      <w:r>
        <w:rPr>
          <w:spacing w:val="-3"/>
        </w:rPr>
        <w:t> </w:t>
      </w:r>
      <w:r>
        <w:rPr/>
        <w:t>de</w:t>
      </w:r>
      <w:r>
        <w:rPr>
          <w:spacing w:val="-3"/>
        </w:rPr>
        <w:t> </w:t>
      </w:r>
      <w:r>
        <w:rPr/>
        <w:t>processos infecciosos ou</w:t>
      </w:r>
      <w:r>
        <w:rPr>
          <w:spacing w:val="-1"/>
        </w:rPr>
        <w:t> </w:t>
      </w:r>
      <w:r>
        <w:rPr/>
        <w:t>inflamatórios. Nos linfedemas de</w:t>
      </w:r>
      <w:r>
        <w:rPr>
          <w:spacing w:val="-3"/>
        </w:rPr>
        <w:t> </w:t>
      </w:r>
      <w:r>
        <w:rPr/>
        <w:t>longa</w:t>
      </w:r>
      <w:r>
        <w:rPr>
          <w:spacing w:val="-3"/>
        </w:rPr>
        <w:t> </w:t>
      </w:r>
      <w:r>
        <w:rPr/>
        <w:t>duração</w:t>
      </w:r>
      <w:r>
        <w:rPr>
          <w:spacing w:val="-1"/>
        </w:rPr>
        <w:t> </w:t>
      </w:r>
      <w:r>
        <w:rPr/>
        <w:t>e</w:t>
      </w:r>
      <w:r>
        <w:rPr>
          <w:spacing w:val="-3"/>
        </w:rPr>
        <w:t> </w:t>
      </w:r>
      <w:r>
        <w:rPr/>
        <w:t>com</w:t>
      </w:r>
      <w:r>
        <w:rPr>
          <w:spacing w:val="-1"/>
        </w:rPr>
        <w:t> </w:t>
      </w:r>
      <w:r>
        <w:rPr/>
        <w:t>surtos infecciosos</w:t>
      </w:r>
      <w:r>
        <w:rPr>
          <w:spacing w:val="-1"/>
        </w:rPr>
        <w:t> </w:t>
      </w:r>
      <w:r>
        <w:rPr/>
        <w:t>múltiplos</w:t>
      </w:r>
      <w:r>
        <w:rPr>
          <w:spacing w:val="-1"/>
        </w:rPr>
        <w:t> </w:t>
      </w:r>
      <w:r>
        <w:rPr/>
        <w:t>são</w:t>
      </w:r>
      <w:r>
        <w:rPr>
          <w:spacing w:val="-8"/>
        </w:rPr>
        <w:t> </w:t>
      </w:r>
      <w:r>
        <w:rPr/>
        <w:t>encontradas</w:t>
      </w:r>
      <w:r>
        <w:rPr>
          <w:spacing w:val="-1"/>
        </w:rPr>
        <w:t> </w:t>
      </w:r>
      <w:r>
        <w:rPr/>
        <w:t>alterações</w:t>
      </w:r>
      <w:r>
        <w:rPr>
          <w:spacing w:val="-1"/>
        </w:rPr>
        <w:t> </w:t>
      </w:r>
      <w:r>
        <w:rPr/>
        <w:t>da</w:t>
      </w:r>
      <w:r>
        <w:rPr>
          <w:spacing w:val="-11"/>
        </w:rPr>
        <w:t> </w:t>
      </w:r>
      <w:r>
        <w:rPr/>
        <w:t>pele</w:t>
      </w:r>
      <w:r>
        <w:rPr>
          <w:spacing w:val="-11"/>
        </w:rPr>
        <w:t> </w:t>
      </w:r>
      <w:r>
        <w:rPr/>
        <w:t>típicas,</w:t>
      </w:r>
      <w:r>
        <w:rPr>
          <w:spacing w:val="-1"/>
        </w:rPr>
        <w:t> </w:t>
      </w:r>
      <w:r>
        <w:rPr/>
        <w:t>como</w:t>
      </w:r>
      <w:r>
        <w:rPr>
          <w:spacing w:val="-8"/>
        </w:rPr>
        <w:t> </w:t>
      </w:r>
      <w:r>
        <w:rPr/>
        <w:t>hiperqueratose</w:t>
      </w:r>
      <w:r>
        <w:rPr>
          <w:spacing w:val="-11"/>
        </w:rPr>
        <w:t> </w:t>
      </w:r>
      <w:r>
        <w:rPr/>
        <w:t>e</w:t>
      </w:r>
      <w:r>
        <w:rPr>
          <w:spacing w:val="-11"/>
        </w:rPr>
        <w:t> </w:t>
      </w:r>
      <w:r>
        <w:rPr/>
        <w:t>lesões</w:t>
      </w:r>
      <w:r>
        <w:rPr>
          <w:spacing w:val="-1"/>
        </w:rPr>
        <w:t> </w:t>
      </w:r>
      <w:r>
        <w:rPr/>
        <w:t>verrucosas</w:t>
      </w:r>
      <w:r>
        <w:rPr>
          <w:spacing w:val="-1"/>
        </w:rPr>
        <w:t> </w:t>
      </w:r>
      <w:r>
        <w:rPr/>
        <w:t>chamadas de</w:t>
      </w:r>
      <w:r>
        <w:rPr>
          <w:spacing w:val="-9"/>
        </w:rPr>
        <w:t> </w:t>
      </w:r>
      <w:r>
        <w:rPr/>
        <w:t>verrucose</w:t>
      </w:r>
      <w:r>
        <w:rPr>
          <w:spacing w:val="-9"/>
        </w:rPr>
        <w:t> </w:t>
      </w:r>
      <w:r>
        <w:rPr/>
        <w:t>linfostática, de</w:t>
      </w:r>
      <w:r>
        <w:rPr>
          <w:spacing w:val="-9"/>
        </w:rPr>
        <w:t> </w:t>
      </w:r>
      <w:r>
        <w:rPr/>
        <w:t>difícil</w:t>
      </w:r>
      <w:r>
        <w:rPr>
          <w:spacing w:val="-4"/>
        </w:rPr>
        <w:t> </w:t>
      </w:r>
      <w:r>
        <w:rPr/>
        <w:t>tratamento</w:t>
      </w:r>
      <w:r>
        <w:rPr>
          <w:spacing w:val="-7"/>
        </w:rPr>
        <w:t> </w:t>
      </w:r>
      <w:r>
        <w:rPr/>
        <w:t>e</w:t>
      </w:r>
      <w:r>
        <w:rPr>
          <w:spacing w:val="-9"/>
        </w:rPr>
        <w:t> </w:t>
      </w:r>
      <w:r>
        <w:rPr/>
        <w:t>que</w:t>
      </w:r>
      <w:r>
        <w:rPr>
          <w:spacing w:val="-9"/>
        </w:rPr>
        <w:t> </w:t>
      </w:r>
      <w:r>
        <w:rPr/>
        <w:t>podem</w:t>
      </w:r>
      <w:r>
        <w:rPr>
          <w:spacing w:val="-7"/>
        </w:rPr>
        <w:t> </w:t>
      </w:r>
      <w:r>
        <w:rPr/>
        <w:t>ser</w:t>
      </w:r>
      <w:r>
        <w:rPr>
          <w:spacing w:val="-2"/>
        </w:rPr>
        <w:t> </w:t>
      </w:r>
      <w:r>
        <w:rPr/>
        <w:t>focos crônicos de</w:t>
      </w:r>
      <w:r>
        <w:rPr>
          <w:spacing w:val="-9"/>
        </w:rPr>
        <w:t> </w:t>
      </w:r>
      <w:r>
        <w:rPr/>
        <w:t>infecção. A</w:t>
      </w:r>
      <w:r>
        <w:rPr>
          <w:spacing w:val="-9"/>
        </w:rPr>
        <w:t> </w:t>
      </w:r>
      <w:r>
        <w:rPr/>
        <w:t>fistulização</w:t>
      </w:r>
      <w:r>
        <w:rPr>
          <w:spacing w:val="-7"/>
        </w:rPr>
        <w:t> </w:t>
      </w:r>
      <w:r>
        <w:rPr/>
        <w:t>pode</w:t>
      </w:r>
      <w:r>
        <w:rPr>
          <w:spacing w:val="-9"/>
        </w:rPr>
        <w:t> </w:t>
      </w:r>
      <w:r>
        <w:rPr/>
        <w:t>estar presente e, se drenar fluido leitoso, temos o denominado refluxo quiloso. Os espaços interdigitais devem ser meticulosamente inspecionados, na pesquisa de dermatofitoses que atuem como porta de entrada para processos infecciosos. O sinal de Godet é de valor prognóstico, pois quanto maior o deslocamento de líquido com a digitopressão,</w:t>
      </w:r>
      <w:r>
        <w:rPr>
          <w:spacing w:val="70"/>
        </w:rPr>
        <w:t> </w:t>
      </w:r>
      <w:r>
        <w:rPr/>
        <w:t>menor</w:t>
      </w:r>
      <w:r>
        <w:rPr>
          <w:spacing w:val="67"/>
        </w:rPr>
        <w:t> </w:t>
      </w:r>
      <w:r>
        <w:rPr/>
        <w:t>a</w:t>
      </w:r>
      <w:r>
        <w:rPr>
          <w:spacing w:val="58"/>
        </w:rPr>
        <w:t> </w:t>
      </w:r>
      <w:r>
        <w:rPr/>
        <w:t>fibrose</w:t>
      </w:r>
      <w:r>
        <w:rPr>
          <w:spacing w:val="58"/>
        </w:rPr>
        <w:t> </w:t>
      </w:r>
      <w:r>
        <w:rPr/>
        <w:t>tecidual,</w:t>
      </w:r>
      <w:r>
        <w:rPr>
          <w:spacing w:val="70"/>
        </w:rPr>
        <w:t> </w:t>
      </w:r>
      <w:r>
        <w:rPr/>
        <w:t>significando</w:t>
      </w:r>
      <w:r>
        <w:rPr>
          <w:spacing w:val="60"/>
        </w:rPr>
        <w:t> </w:t>
      </w:r>
      <w:r>
        <w:rPr/>
        <w:t>maior</w:t>
      </w:r>
      <w:r>
        <w:rPr>
          <w:spacing w:val="67"/>
        </w:rPr>
        <w:t> </w:t>
      </w:r>
      <w:r>
        <w:rPr/>
        <w:t>possibilidade</w:t>
      </w:r>
      <w:r>
        <w:rPr>
          <w:spacing w:val="58"/>
        </w:rPr>
        <w:t> </w:t>
      </w:r>
      <w:r>
        <w:rPr/>
        <w:t>de</w:t>
      </w:r>
      <w:r>
        <w:rPr>
          <w:spacing w:val="58"/>
        </w:rPr>
        <w:t> </w:t>
      </w:r>
      <w:r>
        <w:rPr/>
        <w:t>alcançar</w:t>
      </w:r>
      <w:r>
        <w:rPr>
          <w:spacing w:val="67"/>
        </w:rPr>
        <w:t> </w:t>
      </w:r>
      <w:r>
        <w:rPr/>
        <w:t>bom</w:t>
      </w:r>
      <w:r>
        <w:rPr>
          <w:spacing w:val="60"/>
        </w:rPr>
        <w:t> </w:t>
      </w:r>
      <w:r>
        <w:rPr/>
        <w:t>resultado</w:t>
      </w:r>
      <w:r>
        <w:rPr>
          <w:spacing w:val="60"/>
        </w:rPr>
        <w:t> </w:t>
      </w:r>
      <w:r>
        <w:rPr/>
        <w:t>com</w:t>
      </w:r>
      <w:r>
        <w:rPr>
          <w:spacing w:val="60"/>
        </w:rPr>
        <w:t> </w:t>
      </w:r>
      <w:r>
        <w:rPr/>
        <w:t>o</w:t>
      </w:r>
    </w:p>
    <w:p>
      <w:pPr>
        <w:pStyle w:val="BodyText"/>
        <w:spacing w:after="0" w:line="276" w:lineRule="auto"/>
        <w:sectPr>
          <w:pgSz w:w="11900" w:h="16840"/>
          <w:pgMar w:top="160" w:bottom="280" w:left="566" w:right="141"/>
        </w:sectPr>
      </w:pPr>
    </w:p>
    <w:p>
      <w:pPr>
        <w:pStyle w:val="BodyText"/>
        <w:spacing w:before="86"/>
        <w:ind w:firstLine="0"/>
      </w:pPr>
      <w:r>
        <w:rPr>
          <w:spacing w:val="-2"/>
        </w:rPr>
        <w:t>tratamento</w:t>
      </w:r>
      <w:r>
        <w:rPr>
          <w:spacing w:val="-3"/>
        </w:rPr>
        <w:t> </w:t>
      </w:r>
      <w:r>
        <w:rPr>
          <w:spacing w:val="-2"/>
        </w:rPr>
        <w:t>clínico.</w:t>
      </w:r>
      <w:r>
        <w:rPr>
          <w:spacing w:val="-2"/>
          <w:vertAlign w:val="superscript"/>
        </w:rPr>
        <w:t>8</w:t>
      </w:r>
    </w:p>
    <w:p>
      <w:pPr>
        <w:pStyle w:val="BodyText"/>
        <w:spacing w:before="128"/>
        <w:ind w:left="0" w:firstLine="0"/>
        <w:jc w:val="left"/>
        <w:rPr>
          <w:sz w:val="20"/>
        </w:rPr>
      </w:pPr>
      <w:r>
        <w:rPr>
          <w:sz w:val="20"/>
        </w:rPr>
        <w:drawing>
          <wp:anchor distT="0" distB="0" distL="0" distR="0" allowOverlap="1" layoutInCell="1" locked="0" behindDoc="1" simplePos="0" relativeHeight="487631360">
            <wp:simplePos x="0" y="0"/>
            <wp:positionH relativeFrom="page">
              <wp:posOffset>2608605</wp:posOffset>
            </wp:positionH>
            <wp:positionV relativeFrom="paragraph">
              <wp:posOffset>242698</wp:posOffset>
            </wp:positionV>
            <wp:extent cx="2344105" cy="3393852"/>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69" cstate="print"/>
                    <a:stretch>
                      <a:fillRect/>
                    </a:stretch>
                  </pic:blipFill>
                  <pic:spPr>
                    <a:xfrm>
                      <a:off x="0" y="0"/>
                      <a:ext cx="2344105" cy="3393852"/>
                    </a:xfrm>
                    <a:prstGeom prst="rect">
                      <a:avLst/>
                    </a:prstGeom>
                  </pic:spPr>
                </pic:pic>
              </a:graphicData>
            </a:graphic>
          </wp:anchor>
        </w:drawing>
      </w:r>
    </w:p>
    <w:p>
      <w:pPr>
        <w:spacing w:line="285" w:lineRule="auto" w:before="211"/>
        <w:ind w:left="68" w:right="497" w:firstLine="0"/>
        <w:jc w:val="both"/>
        <w:rPr>
          <w:rFonts w:ascii="Microsoft Sans Serif" w:hAnsi="Microsoft Sans Serif"/>
          <w:sz w:val="19"/>
        </w:rPr>
      </w:pPr>
      <w:r>
        <w:rPr>
          <w:rFonts w:ascii="Arial" w:hAnsi="Arial"/>
          <w:b/>
          <w:color w:val="242B67"/>
          <w:sz w:val="19"/>
        </w:rPr>
        <w:t>Figura 59.35 </w:t>
      </w:r>
      <w:r>
        <w:rPr>
          <w:rFonts w:ascii="Microsoft Sans Serif" w:hAnsi="Microsoft Sans Serif"/>
          <w:sz w:val="19"/>
        </w:rPr>
        <w:t>Pé de paciente com linfedema de membro inferior. Note infiltração edematosa do dorso do pé e dos dedos.</w:t>
      </w:r>
      <w:r>
        <w:rPr>
          <w:rFonts w:ascii="Microsoft Sans Serif" w:hAnsi="Microsoft Sans Serif"/>
          <w:spacing w:val="40"/>
          <w:sz w:val="19"/>
        </w:rPr>
        <w:t> </w:t>
      </w:r>
      <w:r>
        <w:rPr>
          <w:rFonts w:ascii="Microsoft Sans Serif" w:hAnsi="Microsoft Sans Serif"/>
          <w:sz w:val="19"/>
        </w:rPr>
        <w:t>Esse</w:t>
      </w:r>
      <w:r>
        <w:rPr>
          <w:rFonts w:ascii="Microsoft Sans Serif" w:hAnsi="Microsoft Sans Serif"/>
          <w:spacing w:val="21"/>
          <w:sz w:val="19"/>
        </w:rPr>
        <w:t> </w:t>
      </w:r>
      <w:r>
        <w:rPr>
          <w:rFonts w:ascii="Microsoft Sans Serif" w:hAnsi="Microsoft Sans Serif"/>
          <w:sz w:val="19"/>
        </w:rPr>
        <w:t>infiltrado</w:t>
      </w:r>
      <w:r>
        <w:rPr>
          <w:rFonts w:ascii="Microsoft Sans Serif" w:hAnsi="Microsoft Sans Serif"/>
          <w:spacing w:val="21"/>
          <w:sz w:val="19"/>
        </w:rPr>
        <w:t> </w:t>
      </w:r>
      <w:r>
        <w:rPr>
          <w:rFonts w:ascii="Microsoft Sans Serif" w:hAnsi="Microsoft Sans Serif"/>
          <w:sz w:val="19"/>
        </w:rPr>
        <w:t>dificulta</w:t>
      </w:r>
      <w:r>
        <w:rPr>
          <w:rFonts w:ascii="Microsoft Sans Serif" w:hAnsi="Microsoft Sans Serif"/>
          <w:spacing w:val="21"/>
          <w:sz w:val="19"/>
        </w:rPr>
        <w:t> </w:t>
      </w:r>
      <w:r>
        <w:rPr>
          <w:rFonts w:ascii="Microsoft Sans Serif" w:hAnsi="Microsoft Sans Serif"/>
          <w:sz w:val="19"/>
        </w:rPr>
        <w:t>a</w:t>
      </w:r>
      <w:r>
        <w:rPr>
          <w:rFonts w:ascii="Microsoft Sans Serif" w:hAnsi="Microsoft Sans Serif"/>
          <w:spacing w:val="21"/>
          <w:sz w:val="19"/>
        </w:rPr>
        <w:t> </w:t>
      </w:r>
      <w:r>
        <w:rPr>
          <w:rFonts w:ascii="Microsoft Sans Serif" w:hAnsi="Microsoft Sans Serif"/>
          <w:sz w:val="19"/>
        </w:rPr>
        <w:t>preensão</w:t>
      </w:r>
      <w:r>
        <w:rPr>
          <w:rFonts w:ascii="Microsoft Sans Serif" w:hAnsi="Microsoft Sans Serif"/>
          <w:spacing w:val="21"/>
          <w:sz w:val="19"/>
        </w:rPr>
        <w:t> </w:t>
      </w:r>
      <w:r>
        <w:rPr>
          <w:rFonts w:ascii="Microsoft Sans Serif" w:hAnsi="Microsoft Sans Serif"/>
          <w:sz w:val="19"/>
        </w:rPr>
        <w:t>digital</w:t>
      </w:r>
      <w:r>
        <w:rPr>
          <w:rFonts w:ascii="Microsoft Sans Serif" w:hAnsi="Microsoft Sans Serif"/>
          <w:spacing w:val="21"/>
          <w:sz w:val="19"/>
        </w:rPr>
        <w:t> </w:t>
      </w:r>
      <w:r>
        <w:rPr>
          <w:rFonts w:ascii="Microsoft Sans Serif" w:hAnsi="Microsoft Sans Serif"/>
          <w:sz w:val="19"/>
        </w:rPr>
        <w:t>da</w:t>
      </w:r>
      <w:r>
        <w:rPr>
          <w:rFonts w:ascii="Microsoft Sans Serif" w:hAnsi="Microsoft Sans Serif"/>
          <w:spacing w:val="21"/>
          <w:sz w:val="19"/>
        </w:rPr>
        <w:t> </w:t>
      </w:r>
      <w:r>
        <w:rPr>
          <w:rFonts w:ascii="Microsoft Sans Serif" w:hAnsi="Microsoft Sans Serif"/>
          <w:sz w:val="19"/>
        </w:rPr>
        <w:t>pele</w:t>
      </w:r>
      <w:r>
        <w:rPr>
          <w:rFonts w:ascii="Microsoft Sans Serif" w:hAnsi="Microsoft Sans Serif"/>
          <w:spacing w:val="21"/>
          <w:sz w:val="19"/>
        </w:rPr>
        <w:t> </w:t>
      </w:r>
      <w:r>
        <w:rPr>
          <w:rFonts w:ascii="Microsoft Sans Serif" w:hAnsi="Microsoft Sans Serif"/>
          <w:sz w:val="19"/>
        </w:rPr>
        <w:t>da</w:t>
      </w:r>
      <w:r>
        <w:rPr>
          <w:rFonts w:ascii="Microsoft Sans Serif" w:hAnsi="Microsoft Sans Serif"/>
          <w:spacing w:val="21"/>
          <w:sz w:val="19"/>
        </w:rPr>
        <w:t> </w:t>
      </w:r>
      <w:r>
        <w:rPr>
          <w:rFonts w:ascii="Microsoft Sans Serif" w:hAnsi="Microsoft Sans Serif"/>
          <w:sz w:val="19"/>
        </w:rPr>
        <w:t>base</w:t>
      </w:r>
      <w:r>
        <w:rPr>
          <w:rFonts w:ascii="Microsoft Sans Serif" w:hAnsi="Microsoft Sans Serif"/>
          <w:spacing w:val="21"/>
          <w:sz w:val="19"/>
        </w:rPr>
        <w:t> </w:t>
      </w:r>
      <w:r>
        <w:rPr>
          <w:rFonts w:ascii="Microsoft Sans Serif" w:hAnsi="Microsoft Sans Serif"/>
          <w:sz w:val="19"/>
        </w:rPr>
        <w:t>dos</w:t>
      </w:r>
      <w:r>
        <w:rPr>
          <w:rFonts w:ascii="Microsoft Sans Serif" w:hAnsi="Microsoft Sans Serif"/>
          <w:spacing w:val="15"/>
          <w:sz w:val="19"/>
        </w:rPr>
        <w:t> </w:t>
      </w:r>
      <w:r>
        <w:rPr>
          <w:rFonts w:ascii="Microsoft Sans Serif" w:hAnsi="Microsoft Sans Serif"/>
          <w:sz w:val="19"/>
        </w:rPr>
        <w:t>dedos, definindo</w:t>
      </w:r>
      <w:r>
        <w:rPr>
          <w:rFonts w:ascii="Microsoft Sans Serif" w:hAnsi="Microsoft Sans Serif"/>
          <w:spacing w:val="21"/>
          <w:sz w:val="19"/>
        </w:rPr>
        <w:t> </w:t>
      </w:r>
      <w:r>
        <w:rPr>
          <w:rFonts w:ascii="Microsoft Sans Serif" w:hAnsi="Microsoft Sans Serif"/>
          <w:sz w:val="19"/>
        </w:rPr>
        <w:t>o</w:t>
      </w:r>
      <w:r>
        <w:rPr>
          <w:rFonts w:ascii="Microsoft Sans Serif" w:hAnsi="Microsoft Sans Serif"/>
          <w:spacing w:val="21"/>
          <w:sz w:val="19"/>
        </w:rPr>
        <w:t> </w:t>
      </w:r>
      <w:r>
        <w:rPr>
          <w:rFonts w:ascii="Microsoft Sans Serif" w:hAnsi="Microsoft Sans Serif"/>
          <w:sz w:val="19"/>
        </w:rPr>
        <w:t>sinal</w:t>
      </w:r>
      <w:r>
        <w:rPr>
          <w:rFonts w:ascii="Microsoft Sans Serif" w:hAnsi="Microsoft Sans Serif"/>
          <w:spacing w:val="21"/>
          <w:sz w:val="19"/>
        </w:rPr>
        <w:t> </w:t>
      </w:r>
      <w:r>
        <w:rPr>
          <w:rFonts w:ascii="Microsoft Sans Serif" w:hAnsi="Microsoft Sans Serif"/>
          <w:sz w:val="19"/>
        </w:rPr>
        <w:t>de</w:t>
      </w:r>
      <w:r>
        <w:rPr>
          <w:rFonts w:ascii="Microsoft Sans Serif" w:hAnsi="Microsoft Sans Serif"/>
          <w:spacing w:val="21"/>
          <w:sz w:val="19"/>
        </w:rPr>
        <w:t> </w:t>
      </w:r>
      <w:r>
        <w:rPr>
          <w:rFonts w:ascii="Microsoft Sans Serif" w:hAnsi="Microsoft Sans Serif"/>
          <w:sz w:val="19"/>
        </w:rPr>
        <w:t>Stemmer. O pé</w:t>
      </w:r>
      <w:r>
        <w:rPr>
          <w:rFonts w:ascii="Microsoft Sans Serif" w:hAnsi="Microsoft Sans Serif"/>
          <w:spacing w:val="21"/>
          <w:sz w:val="19"/>
        </w:rPr>
        <w:t> </w:t>
      </w:r>
      <w:r>
        <w:rPr>
          <w:rFonts w:ascii="Microsoft Sans Serif" w:hAnsi="Microsoft Sans Serif"/>
          <w:sz w:val="19"/>
        </w:rPr>
        <w:t>e</w:t>
      </w:r>
      <w:r>
        <w:rPr>
          <w:rFonts w:ascii="Microsoft Sans Serif" w:hAnsi="Microsoft Sans Serif"/>
          <w:spacing w:val="21"/>
          <w:sz w:val="19"/>
        </w:rPr>
        <w:t> </w:t>
      </w:r>
      <w:r>
        <w:rPr>
          <w:rFonts w:ascii="Microsoft Sans Serif" w:hAnsi="Microsoft Sans Serif"/>
          <w:sz w:val="19"/>
        </w:rPr>
        <w:t>os</w:t>
      </w:r>
      <w:r>
        <w:rPr>
          <w:rFonts w:ascii="Microsoft Sans Serif" w:hAnsi="Microsoft Sans Serif"/>
          <w:spacing w:val="15"/>
          <w:sz w:val="19"/>
        </w:rPr>
        <w:t> </w:t>
      </w:r>
      <w:r>
        <w:rPr>
          <w:rFonts w:ascii="Microsoft Sans Serif" w:hAnsi="Microsoft Sans Serif"/>
          <w:sz w:val="19"/>
        </w:rPr>
        <w:t>dedos</w:t>
      </w:r>
      <w:r>
        <w:rPr>
          <w:rFonts w:ascii="Microsoft Sans Serif" w:hAnsi="Microsoft Sans Serif"/>
          <w:spacing w:val="15"/>
          <w:sz w:val="19"/>
        </w:rPr>
        <w:t> </w:t>
      </w:r>
      <w:r>
        <w:rPr>
          <w:rFonts w:ascii="Microsoft Sans Serif" w:hAnsi="Microsoft Sans Serif"/>
          <w:sz w:val="19"/>
        </w:rPr>
        <w:t>não se encontram preservados no linfedema.</w:t>
      </w:r>
    </w:p>
    <w:p>
      <w:pPr>
        <w:pStyle w:val="BodyText"/>
        <w:spacing w:before="66"/>
        <w:ind w:left="0" w:firstLine="0"/>
        <w:jc w:val="left"/>
        <w:rPr>
          <w:rFonts w:ascii="Microsoft Sans Serif"/>
          <w:sz w:val="19"/>
        </w:rPr>
      </w:pPr>
    </w:p>
    <w:p>
      <w:pPr>
        <w:pStyle w:val="BodyText"/>
        <w:spacing w:line="278" w:lineRule="auto" w:before="0"/>
        <w:ind w:right="494"/>
      </w:pPr>
      <w:r>
        <w:rPr/>
        <w:t>O</w:t>
      </w:r>
      <w:r>
        <w:rPr>
          <w:spacing w:val="-9"/>
        </w:rPr>
        <w:t> </w:t>
      </w:r>
      <w:r>
        <w:rPr/>
        <w:t>sinal</w:t>
      </w:r>
      <w:r>
        <w:rPr>
          <w:spacing w:val="-4"/>
        </w:rPr>
        <w:t> </w:t>
      </w:r>
      <w:r>
        <w:rPr/>
        <w:t>de</w:t>
      </w:r>
      <w:r>
        <w:rPr>
          <w:spacing w:val="-9"/>
        </w:rPr>
        <w:t> </w:t>
      </w:r>
      <w:r>
        <w:rPr/>
        <w:t>Stemmer</w:t>
      </w:r>
      <w:r>
        <w:rPr>
          <w:spacing w:val="-2"/>
        </w:rPr>
        <w:t> </w:t>
      </w:r>
      <w:r>
        <w:rPr/>
        <w:t>foi</w:t>
      </w:r>
      <w:r>
        <w:rPr>
          <w:spacing w:val="-4"/>
        </w:rPr>
        <w:t> </w:t>
      </w:r>
      <w:r>
        <w:rPr/>
        <w:t>descrito</w:t>
      </w:r>
      <w:r>
        <w:rPr>
          <w:spacing w:val="-7"/>
        </w:rPr>
        <w:t> </w:t>
      </w:r>
      <w:r>
        <w:rPr/>
        <w:t>como</w:t>
      </w:r>
      <w:r>
        <w:rPr>
          <w:spacing w:val="-7"/>
        </w:rPr>
        <w:t> </w:t>
      </w:r>
      <w:r>
        <w:rPr/>
        <w:t>patognomônico</w:t>
      </w:r>
      <w:r>
        <w:rPr>
          <w:spacing w:val="-7"/>
        </w:rPr>
        <w:t> </w:t>
      </w:r>
      <w:r>
        <w:rPr/>
        <w:t>do</w:t>
      </w:r>
      <w:r>
        <w:rPr>
          <w:spacing w:val="-7"/>
        </w:rPr>
        <w:t> </w:t>
      </w:r>
      <w:r>
        <w:rPr/>
        <w:t>linfedema. O</w:t>
      </w:r>
      <w:r>
        <w:rPr>
          <w:spacing w:val="-9"/>
        </w:rPr>
        <w:t> </w:t>
      </w:r>
      <w:r>
        <w:rPr/>
        <w:t>sinal</w:t>
      </w:r>
      <w:r>
        <w:rPr>
          <w:spacing w:val="-4"/>
        </w:rPr>
        <w:t> </w:t>
      </w:r>
      <w:r>
        <w:rPr/>
        <w:t>está</w:t>
      </w:r>
      <w:r>
        <w:rPr>
          <w:spacing w:val="-9"/>
        </w:rPr>
        <w:t> </w:t>
      </w:r>
      <w:r>
        <w:rPr/>
        <w:t>presente</w:t>
      </w:r>
      <w:r>
        <w:rPr>
          <w:spacing w:val="-9"/>
        </w:rPr>
        <w:t> </w:t>
      </w:r>
      <w:r>
        <w:rPr/>
        <w:t>quando</w:t>
      </w:r>
      <w:r>
        <w:rPr>
          <w:spacing w:val="-7"/>
        </w:rPr>
        <w:t> </w:t>
      </w:r>
      <w:r>
        <w:rPr/>
        <w:t>não</w:t>
      </w:r>
      <w:r>
        <w:rPr>
          <w:spacing w:val="-7"/>
        </w:rPr>
        <w:t> </w:t>
      </w:r>
      <w:r>
        <w:rPr/>
        <w:t>é</w:t>
      </w:r>
      <w:r>
        <w:rPr>
          <w:spacing w:val="-9"/>
        </w:rPr>
        <w:t> </w:t>
      </w:r>
      <w:r>
        <w:rPr/>
        <w:t>possível a preensão da pele na base do dedo, pois o linfedema não poupa os dedos e o espessamento cutâneo da base dos mesmos impede a preensão cutânea (</w:t>
      </w:r>
      <w:r>
        <w:rPr>
          <w:color w:val="505050"/>
        </w:rPr>
        <w:t>Figura 59.35</w:t>
      </w:r>
      <w:r>
        <w:rPr/>
        <w:t>). Esse sinal é pesquisado habitualmente na base do segundo pododáctilo. Nos linfedemas primários incipientes, em que</w:t>
      </w:r>
      <w:r>
        <w:rPr>
          <w:spacing w:val="-1"/>
        </w:rPr>
        <w:t> </w:t>
      </w:r>
      <w:r>
        <w:rPr/>
        <w:t>o edema</w:t>
      </w:r>
      <w:r>
        <w:rPr>
          <w:spacing w:val="-1"/>
        </w:rPr>
        <w:t> </w:t>
      </w:r>
      <w:r>
        <w:rPr/>
        <w:t>se</w:t>
      </w:r>
      <w:r>
        <w:rPr>
          <w:spacing w:val="-1"/>
        </w:rPr>
        <w:t> </w:t>
      </w:r>
      <w:r>
        <w:rPr/>
        <w:t>inicia</w:t>
      </w:r>
      <w:r>
        <w:rPr>
          <w:spacing w:val="-1"/>
        </w:rPr>
        <w:t> </w:t>
      </w:r>
      <w:r>
        <w:rPr/>
        <w:t>distalmente, este</w:t>
      </w:r>
      <w:r>
        <w:rPr>
          <w:spacing w:val="-1"/>
        </w:rPr>
        <w:t> </w:t>
      </w:r>
      <w:r>
        <w:rPr/>
        <w:t>sinal (decorrente</w:t>
      </w:r>
      <w:r>
        <w:rPr>
          <w:spacing w:val="-1"/>
        </w:rPr>
        <w:t> </w:t>
      </w:r>
      <w:r>
        <w:rPr/>
        <w:t>de infiltração</w:t>
      </w:r>
      <w:r>
        <w:rPr>
          <w:spacing w:val="-3"/>
        </w:rPr>
        <w:t> </w:t>
      </w:r>
      <w:r>
        <w:rPr/>
        <w:t>digital) possibilita</w:t>
      </w:r>
      <w:r>
        <w:rPr>
          <w:spacing w:val="-6"/>
        </w:rPr>
        <w:t> </w:t>
      </w:r>
      <w:r>
        <w:rPr/>
        <w:t>o</w:t>
      </w:r>
      <w:r>
        <w:rPr>
          <w:spacing w:val="-3"/>
        </w:rPr>
        <w:t> </w:t>
      </w:r>
      <w:r>
        <w:rPr/>
        <w:t>diagnóstico</w:t>
      </w:r>
      <w:r>
        <w:rPr>
          <w:spacing w:val="-3"/>
        </w:rPr>
        <w:t> </w:t>
      </w:r>
      <w:r>
        <w:rPr/>
        <w:t>diferencial</w:t>
      </w:r>
      <w:r>
        <w:rPr>
          <w:spacing w:val="-1"/>
        </w:rPr>
        <w:t> </w:t>
      </w:r>
      <w:r>
        <w:rPr/>
        <w:t>precoce, antes mesmo</w:t>
      </w:r>
      <w:r>
        <w:rPr>
          <w:spacing w:val="-3"/>
        </w:rPr>
        <w:t> </w:t>
      </w:r>
      <w:r>
        <w:rPr/>
        <w:t>do</w:t>
      </w:r>
      <w:r>
        <w:rPr>
          <w:spacing w:val="-3"/>
        </w:rPr>
        <w:t> </w:t>
      </w:r>
      <w:r>
        <w:rPr/>
        <w:t>aumento</w:t>
      </w:r>
      <w:r>
        <w:rPr>
          <w:spacing w:val="-3"/>
        </w:rPr>
        <w:t> </w:t>
      </w:r>
      <w:r>
        <w:rPr/>
        <w:t>de</w:t>
      </w:r>
      <w:r>
        <w:rPr>
          <w:spacing w:val="-6"/>
        </w:rPr>
        <w:t> </w:t>
      </w:r>
      <w:r>
        <w:rPr/>
        <w:t>volume</w:t>
      </w:r>
      <w:r>
        <w:rPr>
          <w:spacing w:val="-6"/>
        </w:rPr>
        <w:t> </w:t>
      </w:r>
      <w:r>
        <w:rPr/>
        <w:t>do</w:t>
      </w:r>
      <w:r>
        <w:rPr>
          <w:spacing w:val="-3"/>
        </w:rPr>
        <w:t> </w:t>
      </w:r>
      <w:r>
        <w:rPr/>
        <w:t>tornozelo</w:t>
      </w:r>
      <w:r>
        <w:rPr>
          <w:spacing w:val="-3"/>
        </w:rPr>
        <w:t> </w:t>
      </w:r>
      <w:r>
        <w:rPr/>
        <w:t>e da perna.</w:t>
      </w:r>
      <w:r>
        <w:rPr>
          <w:vertAlign w:val="superscript"/>
        </w:rPr>
        <w:t>9</w:t>
      </w:r>
    </w:p>
    <w:p>
      <w:pPr>
        <w:pStyle w:val="BodyText"/>
        <w:spacing w:before="186"/>
        <w:ind w:left="0" w:firstLine="0"/>
        <w:jc w:val="left"/>
      </w:pPr>
    </w:p>
    <w:p>
      <w:pPr>
        <w:pStyle w:val="Heading4"/>
        <w:jc w:val="both"/>
      </w:pPr>
      <w:r>
        <w:rPr>
          <w:color w:val="242B67"/>
        </w:rPr>
        <w:t>Diagnóstico </w:t>
      </w:r>
      <w:r>
        <w:rPr>
          <w:color w:val="242B67"/>
          <w:spacing w:val="-2"/>
        </w:rPr>
        <w:t>diferencial</w:t>
      </w:r>
    </w:p>
    <w:p>
      <w:pPr>
        <w:pStyle w:val="BodyText"/>
        <w:spacing w:line="278" w:lineRule="auto" w:before="132"/>
        <w:ind w:right="497"/>
      </w:pPr>
      <w:r>
        <w:rPr/>
        <w:t>Os edemas de origem sistêmica podem ser: cardíacos, renais, hepáticos, digestivos (má absorção-hipoproteinemia), por desnutrição, endócrinos (idiopático, Cushing, hiper ou hipotireoidismo), edema cíclico idiopático e angioedema hereditário. As causas mais frequentes de edema são sistêmicas. Nessas situações, o sistema linfático é normal, porém o linfedema pode coexistir com doenças sistêmicas. Também os pacientes com edema crônico de membros inferiores são mais suscetíveis a infecções que podem lesar os linfáticos e agravar o edema. Esse edema de origem sistêmica é de progressão lenta, mole, indolor, acomete o rosto, pode incluir ascite, quando acomete o membro é bilateral, simétrico, diminuindo com o decúbito, e com sinal de Godet pronunciado. Devem ser investigados o sintoma e o sinal específico da afecção causadora.</w:t>
      </w:r>
      <w:r>
        <w:rPr>
          <w:vertAlign w:val="superscript"/>
        </w:rPr>
        <w:t>8,9</w:t>
      </w:r>
    </w:p>
    <w:p>
      <w:pPr>
        <w:pStyle w:val="BodyText"/>
        <w:spacing w:line="276" w:lineRule="auto" w:before="44"/>
        <w:ind w:right="500"/>
      </w:pPr>
      <w:r>
        <w:rPr/>
        <w:t>No edema por insuficiência cardíaca, a história de dispneia de esforço ou de decúbito, com estase jugular, hepatomegalia, alteração da ausculta cardíaca e pulmonar são sinais clínicos característicos. O edema é simétrico, indolor, frio e depressível. Além dos membros inferiores, o edema também pode ser observado na região lombossacra, parede abdominal e, ocasionalmente, na face.</w:t>
      </w:r>
    </w:p>
    <w:p>
      <w:pPr>
        <w:pStyle w:val="BodyText"/>
        <w:spacing w:line="276" w:lineRule="auto"/>
        <w:ind w:right="497"/>
      </w:pPr>
      <w:r>
        <w:rPr/>
        <w:t>Na síndrome nefrótica, a hipoalbuminemia diminui a reabsorção do fluido intersticial. O edema é bilateral, simétrico, com sinal de Godet pronunciado; pode se iniciar nos membros inferiores, mais frequentemente é generalizado com acometimento matinal das pálpebras. Síndrome nefrítica e hipertensão renovascular são outras causas de edema de origem renal.</w:t>
      </w:r>
    </w:p>
    <w:p>
      <w:pPr>
        <w:pStyle w:val="BodyText"/>
        <w:spacing w:line="276" w:lineRule="auto" w:before="64"/>
        <w:ind w:right="497"/>
      </w:pPr>
      <w:r>
        <w:rPr/>
        <w:t>Na insuficiência hepática avançada, a hipoproteinemia pode originar edema dos membros inferiores, bilateral, simétrico, frio, indolor e depressível. Os sinais clínicos característicos nesses pacientes constituem a presença de ascite, telangiectasias cutâneas, ginecomastia e icterícia.</w:t>
      </w:r>
    </w:p>
    <w:p>
      <w:pPr>
        <w:pStyle w:val="BodyText"/>
        <w:spacing w:after="0" w:line="276" w:lineRule="auto"/>
        <w:sectPr>
          <w:pgSz w:w="11900" w:h="16840"/>
          <w:pgMar w:top="140" w:bottom="280" w:left="566" w:right="141"/>
        </w:sectPr>
      </w:pPr>
    </w:p>
    <w:p>
      <w:pPr>
        <w:pStyle w:val="BodyText"/>
        <w:spacing w:line="276" w:lineRule="auto" w:before="62"/>
        <w:ind w:right="497"/>
      </w:pPr>
      <w:r>
        <w:rPr/>
        <w:t>Alterações hormonais, dentre</w:t>
      </w:r>
      <w:r>
        <w:rPr>
          <w:spacing w:val="-10"/>
        </w:rPr>
        <w:t> </w:t>
      </w:r>
      <w:r>
        <w:rPr/>
        <w:t>as quais as da</w:t>
      </w:r>
      <w:r>
        <w:rPr>
          <w:spacing w:val="-10"/>
        </w:rPr>
        <w:t> </w:t>
      </w:r>
      <w:r>
        <w:rPr/>
        <w:t>tireoide, podem</w:t>
      </w:r>
      <w:r>
        <w:rPr>
          <w:spacing w:val="-7"/>
        </w:rPr>
        <w:t> </w:t>
      </w:r>
      <w:r>
        <w:rPr/>
        <w:t>provocar</w:t>
      </w:r>
      <w:r>
        <w:rPr>
          <w:spacing w:val="-2"/>
        </w:rPr>
        <w:t> </w:t>
      </w:r>
      <w:r>
        <w:rPr/>
        <w:t>edema</w:t>
      </w:r>
      <w:r>
        <w:rPr>
          <w:spacing w:val="-10"/>
        </w:rPr>
        <w:t> </w:t>
      </w:r>
      <w:r>
        <w:rPr/>
        <w:t>dos membros inferiores e</w:t>
      </w:r>
      <w:r>
        <w:rPr>
          <w:spacing w:val="-10"/>
        </w:rPr>
        <w:t> </w:t>
      </w:r>
      <w:r>
        <w:rPr/>
        <w:t>os sinais clínicos podem não ser tão evidentes, particularmente no hipotireoidismo. A anamnese detalhada de sinais e sintomas de hipo e hipertireoidismo deve ser realizada. O edema deve-se à degeneração mixomatosa difusa do colágeno, sendo assim endurecido e pouco depressível. Além disso, podem aparecer lesões hiperqueratóticas na pele e geralmente o pé é poupado do edema. Esses pacientes não têm antecedentes de processos infecciosos, comuns no linfedema.</w:t>
      </w:r>
    </w:p>
    <w:p>
      <w:pPr>
        <w:pStyle w:val="BodyText"/>
        <w:spacing w:line="278" w:lineRule="auto"/>
        <w:ind w:right="491"/>
      </w:pPr>
      <w:r>
        <w:rPr/>
        <w:t>O</w:t>
      </w:r>
      <w:r>
        <w:rPr>
          <w:spacing w:val="-11"/>
        </w:rPr>
        <w:t> </w:t>
      </w:r>
      <w:r>
        <w:rPr/>
        <w:t>edema</w:t>
      </w:r>
      <w:r>
        <w:rPr>
          <w:spacing w:val="-11"/>
        </w:rPr>
        <w:t> </w:t>
      </w:r>
      <w:r>
        <w:rPr/>
        <w:t>cíclico</w:t>
      </w:r>
      <w:r>
        <w:rPr>
          <w:spacing w:val="-8"/>
        </w:rPr>
        <w:t> </w:t>
      </w:r>
      <w:r>
        <w:rPr/>
        <w:t>idiopático</w:t>
      </w:r>
      <w:r>
        <w:rPr>
          <w:spacing w:val="-8"/>
        </w:rPr>
        <w:t> </w:t>
      </w:r>
      <w:r>
        <w:rPr/>
        <w:t>está</w:t>
      </w:r>
      <w:r>
        <w:rPr>
          <w:spacing w:val="-11"/>
        </w:rPr>
        <w:t> </w:t>
      </w:r>
      <w:r>
        <w:rPr/>
        <w:t>associado</w:t>
      </w:r>
      <w:r>
        <w:rPr>
          <w:spacing w:val="-8"/>
        </w:rPr>
        <w:t> </w:t>
      </w:r>
      <w:r>
        <w:rPr/>
        <w:t>a</w:t>
      </w:r>
      <w:r>
        <w:rPr>
          <w:spacing w:val="-11"/>
        </w:rPr>
        <w:t> </w:t>
      </w:r>
      <w:r>
        <w:rPr/>
        <w:t>distúrbios</w:t>
      </w:r>
      <w:r>
        <w:rPr>
          <w:spacing w:val="-1"/>
        </w:rPr>
        <w:t> </w:t>
      </w:r>
      <w:r>
        <w:rPr/>
        <w:t>dos</w:t>
      </w:r>
      <w:r>
        <w:rPr>
          <w:spacing w:val="-1"/>
        </w:rPr>
        <w:t> </w:t>
      </w:r>
      <w:r>
        <w:rPr/>
        <w:t>hormônios</w:t>
      </w:r>
      <w:r>
        <w:rPr>
          <w:spacing w:val="-1"/>
        </w:rPr>
        <w:t> </w:t>
      </w:r>
      <w:r>
        <w:rPr/>
        <w:t>femininos</w:t>
      </w:r>
      <w:r>
        <w:rPr>
          <w:spacing w:val="-1"/>
        </w:rPr>
        <w:t> </w:t>
      </w:r>
      <w:r>
        <w:rPr/>
        <w:t>por</w:t>
      </w:r>
      <w:r>
        <w:rPr>
          <w:spacing w:val="-3"/>
        </w:rPr>
        <w:t> </w:t>
      </w:r>
      <w:r>
        <w:rPr/>
        <w:t>insuficiência</w:t>
      </w:r>
      <w:r>
        <w:rPr>
          <w:spacing w:val="-11"/>
        </w:rPr>
        <w:t> </w:t>
      </w:r>
      <w:r>
        <w:rPr/>
        <w:t>do</w:t>
      </w:r>
      <w:r>
        <w:rPr>
          <w:spacing w:val="-8"/>
        </w:rPr>
        <w:t> </w:t>
      </w:r>
      <w:r>
        <w:rPr/>
        <w:t>corpo</w:t>
      </w:r>
      <w:r>
        <w:rPr>
          <w:spacing w:val="-8"/>
        </w:rPr>
        <w:t> </w:t>
      </w:r>
      <w:r>
        <w:rPr/>
        <w:t>lúteo que aumenta a permeabilidade capilar. O edema aparece durante o período de atividade ovariana em mulheres jovens, evoluindo em surtos ou ciclos, com aumento do peso superior a 1,5 kg durante o dia e edema difuso bilateral que regride com o repouso noturno. Pode se associar a edema de face e mãos. No seu estágio crônico, o edema se acompanha de polidipsia, oligúria, astenia, dispneia de esforço, obstipação intestinal, cefaleia e hiperaldosteronismo secundário por retenção hidrossalina. O diagnóstico diferencial pode ser difícil, sendo necessária a linfocintigrafia.</w:t>
      </w:r>
      <w:r>
        <w:rPr>
          <w:vertAlign w:val="superscript"/>
        </w:rPr>
        <w:t>8</w:t>
      </w:r>
    </w:p>
    <w:p>
      <w:pPr>
        <w:pStyle w:val="BodyText"/>
        <w:spacing w:line="290" w:lineRule="auto" w:before="47"/>
        <w:ind w:right="491"/>
      </w:pPr>
      <w:r>
        <w:rPr/>
        <w:t>O angioedema hereditário, doença autossômica dominante caracterizada por deficiência no sistema do complemento, aparece</w:t>
      </w:r>
      <w:r>
        <w:rPr>
          <w:spacing w:val="-4"/>
        </w:rPr>
        <w:t> </w:t>
      </w:r>
      <w:r>
        <w:rPr/>
        <w:t>em</w:t>
      </w:r>
      <w:r>
        <w:rPr>
          <w:spacing w:val="-2"/>
        </w:rPr>
        <w:t> </w:t>
      </w:r>
      <w:r>
        <w:rPr/>
        <w:t>surtos espontâneos e</w:t>
      </w:r>
      <w:r>
        <w:rPr>
          <w:spacing w:val="-4"/>
        </w:rPr>
        <w:t> </w:t>
      </w:r>
      <w:r>
        <w:rPr/>
        <w:t>reversíveis, atingindo</w:t>
      </w:r>
      <w:r>
        <w:rPr>
          <w:spacing w:val="-2"/>
        </w:rPr>
        <w:t> </w:t>
      </w:r>
      <w:r>
        <w:rPr/>
        <w:t>frequentemente</w:t>
      </w:r>
      <w:r>
        <w:rPr>
          <w:spacing w:val="-4"/>
        </w:rPr>
        <w:t> </w:t>
      </w:r>
      <w:r>
        <w:rPr/>
        <w:t>o</w:t>
      </w:r>
      <w:r>
        <w:rPr>
          <w:spacing w:val="-2"/>
        </w:rPr>
        <w:t> </w:t>
      </w:r>
      <w:r>
        <w:rPr/>
        <w:t>segmento</w:t>
      </w:r>
      <w:r>
        <w:rPr>
          <w:spacing w:val="-2"/>
        </w:rPr>
        <w:t> </w:t>
      </w:r>
      <w:r>
        <w:rPr/>
        <w:t>cefálico.</w:t>
      </w:r>
      <w:r>
        <w:rPr>
          <w:vertAlign w:val="superscript"/>
        </w:rPr>
        <w:t>8</w:t>
      </w:r>
    </w:p>
    <w:p>
      <w:pPr>
        <w:pStyle w:val="BodyText"/>
        <w:spacing w:line="283" w:lineRule="auto" w:before="48"/>
        <w:ind w:right="497"/>
      </w:pPr>
      <w:r>
        <w:rPr/>
        <w:t>Os edemas de origem local decorrem de insuficiência venosa, malformações vasculares, hematomas, traumáticos, postura inadequada, eritrocianose frígida, inflamações, uso de medicamentos e lipodistrofia </w:t>
      </w:r>
      <w:r>
        <w:rPr>
          <w:spacing w:val="-2"/>
        </w:rPr>
        <w:t>(lipedema).</w:t>
      </w:r>
      <w:r>
        <w:rPr>
          <w:spacing w:val="-2"/>
          <w:vertAlign w:val="superscript"/>
        </w:rPr>
        <w:t>8,9</w:t>
      </w:r>
    </w:p>
    <w:p>
      <w:pPr>
        <w:pStyle w:val="BodyText"/>
        <w:spacing w:line="276" w:lineRule="auto" w:before="41"/>
        <w:ind w:right="488"/>
      </w:pPr>
      <w:r>
        <w:rPr/>
        <w:t>As doenças venosas respondem pela maior parte dos edemas unilaterais. Mesmo assim, não raramente há alterações associadas dos sistemas venoso e linfático.</w:t>
      </w:r>
    </w:p>
    <w:p>
      <w:pPr>
        <w:pStyle w:val="BodyText"/>
        <w:spacing w:line="276" w:lineRule="auto" w:before="64"/>
        <w:ind w:right="491"/>
      </w:pPr>
      <w:r>
        <w:rPr/>
        <w:t>Na insuficiência venosa crônica, o edema é mole, indolor, segmentar ou total, uni ou bilateral e de progressão lenta;</w:t>
      </w:r>
      <w:r>
        <w:rPr>
          <w:spacing w:val="-1"/>
        </w:rPr>
        <w:t> </w:t>
      </w:r>
      <w:r>
        <w:rPr/>
        <w:t>diminui</w:t>
      </w:r>
      <w:r>
        <w:rPr>
          <w:spacing w:val="-1"/>
        </w:rPr>
        <w:t> </w:t>
      </w:r>
      <w:r>
        <w:rPr/>
        <w:t>com</w:t>
      </w:r>
      <w:r>
        <w:rPr>
          <w:spacing w:val="-4"/>
        </w:rPr>
        <w:t> </w:t>
      </w:r>
      <w:r>
        <w:rPr/>
        <w:t>a</w:t>
      </w:r>
      <w:r>
        <w:rPr>
          <w:spacing w:val="-6"/>
        </w:rPr>
        <w:t> </w:t>
      </w:r>
      <w:r>
        <w:rPr/>
        <w:t>elevação</w:t>
      </w:r>
      <w:r>
        <w:rPr>
          <w:spacing w:val="-4"/>
        </w:rPr>
        <w:t> </w:t>
      </w:r>
      <w:r>
        <w:rPr/>
        <w:t>do</w:t>
      </w:r>
      <w:r>
        <w:rPr>
          <w:spacing w:val="-4"/>
        </w:rPr>
        <w:t> </w:t>
      </w:r>
      <w:r>
        <w:rPr/>
        <w:t>membro, podendo-se</w:t>
      </w:r>
      <w:r>
        <w:rPr>
          <w:spacing w:val="-6"/>
        </w:rPr>
        <w:t> </w:t>
      </w:r>
      <w:r>
        <w:rPr/>
        <w:t>observar a</w:t>
      </w:r>
      <w:r>
        <w:rPr>
          <w:spacing w:val="-6"/>
        </w:rPr>
        <w:t> </w:t>
      </w:r>
      <w:r>
        <w:rPr/>
        <w:t>presença</w:t>
      </w:r>
      <w:r>
        <w:rPr>
          <w:spacing w:val="-6"/>
        </w:rPr>
        <w:t> </w:t>
      </w:r>
      <w:r>
        <w:rPr/>
        <w:t>de</w:t>
      </w:r>
      <w:r>
        <w:rPr>
          <w:spacing w:val="-6"/>
        </w:rPr>
        <w:t> </w:t>
      </w:r>
      <w:r>
        <w:rPr/>
        <w:t>varizes, sinais de</w:t>
      </w:r>
      <w:r>
        <w:rPr>
          <w:spacing w:val="-6"/>
        </w:rPr>
        <w:t> </w:t>
      </w:r>
      <w:r>
        <w:rPr/>
        <w:t>hipertensão</w:t>
      </w:r>
      <w:r>
        <w:rPr>
          <w:spacing w:val="-4"/>
        </w:rPr>
        <w:t> </w:t>
      </w:r>
      <w:r>
        <w:rPr/>
        <w:t>venosa e alterações tróficas na pele. O dorso do pé e os dedos geralmente não estão acometidos pelo edema que, geralmente, é</w:t>
      </w:r>
      <w:r>
        <w:rPr>
          <w:spacing w:val="-3"/>
        </w:rPr>
        <w:t> </w:t>
      </w:r>
      <w:r>
        <w:rPr/>
        <w:t>menos endurecido</w:t>
      </w:r>
      <w:r>
        <w:rPr>
          <w:spacing w:val="-1"/>
        </w:rPr>
        <w:t> </w:t>
      </w:r>
      <w:r>
        <w:rPr/>
        <w:t>do</w:t>
      </w:r>
      <w:r>
        <w:rPr>
          <w:spacing w:val="-1"/>
        </w:rPr>
        <w:t> </w:t>
      </w:r>
      <w:r>
        <w:rPr/>
        <w:t>que</w:t>
      </w:r>
      <w:r>
        <w:rPr>
          <w:spacing w:val="-3"/>
        </w:rPr>
        <w:t> </w:t>
      </w:r>
      <w:r>
        <w:rPr/>
        <w:t>no</w:t>
      </w:r>
      <w:r>
        <w:rPr>
          <w:spacing w:val="-1"/>
        </w:rPr>
        <w:t> </w:t>
      </w:r>
      <w:r>
        <w:rPr/>
        <w:t>linfedema</w:t>
      </w:r>
      <w:r>
        <w:rPr>
          <w:spacing w:val="-3"/>
        </w:rPr>
        <w:t> </w:t>
      </w:r>
      <w:r>
        <w:rPr/>
        <w:t>e</w:t>
      </w:r>
      <w:r>
        <w:rPr>
          <w:spacing w:val="-3"/>
        </w:rPr>
        <w:t> </w:t>
      </w:r>
      <w:r>
        <w:rPr/>
        <w:t>regride</w:t>
      </w:r>
      <w:r>
        <w:rPr>
          <w:spacing w:val="-3"/>
        </w:rPr>
        <w:t> </w:t>
      </w:r>
      <w:r>
        <w:rPr/>
        <w:t>completamente</w:t>
      </w:r>
      <w:r>
        <w:rPr>
          <w:spacing w:val="-3"/>
        </w:rPr>
        <w:t> </w:t>
      </w:r>
      <w:r>
        <w:rPr/>
        <w:t>após o</w:t>
      </w:r>
      <w:r>
        <w:rPr>
          <w:spacing w:val="-1"/>
        </w:rPr>
        <w:t> </w:t>
      </w:r>
      <w:r>
        <w:rPr/>
        <w:t>repouso</w:t>
      </w:r>
      <w:r>
        <w:rPr>
          <w:spacing w:val="-1"/>
        </w:rPr>
        <w:t> </w:t>
      </w:r>
      <w:r>
        <w:rPr/>
        <w:t>noturno.</w:t>
      </w:r>
    </w:p>
    <w:p>
      <w:pPr>
        <w:pStyle w:val="BodyText"/>
        <w:spacing w:line="276" w:lineRule="auto"/>
        <w:ind w:right="497"/>
      </w:pPr>
      <w:r>
        <w:rPr/>
        <w:t>Na TVP, o edema é de aparecimento rápido, mole, quente, doloroso (sinal de Homans), de início súbito, geralmente unilateral, podendo ser segmentar ou total, com </w:t>
      </w:r>
      <w:r>
        <w:rPr>
          <w:i/>
        </w:rPr>
        <w:t>empastamento </w:t>
      </w:r>
      <w:r>
        <w:rPr/>
        <w:t>muscular, cianose e dilatação das veias superficiais. O</w:t>
      </w:r>
      <w:r>
        <w:rPr>
          <w:spacing w:val="-1"/>
        </w:rPr>
        <w:t> </w:t>
      </w:r>
      <w:r>
        <w:rPr/>
        <w:t>aparecimento de</w:t>
      </w:r>
      <w:r>
        <w:rPr>
          <w:spacing w:val="-1"/>
        </w:rPr>
        <w:t> </w:t>
      </w:r>
      <w:r>
        <w:rPr/>
        <w:t>edema</w:t>
      </w:r>
      <w:r>
        <w:rPr>
          <w:spacing w:val="-1"/>
        </w:rPr>
        <w:t> </w:t>
      </w:r>
      <w:r>
        <w:rPr/>
        <w:t>após trauma</w:t>
      </w:r>
      <w:r>
        <w:rPr>
          <w:spacing w:val="-1"/>
        </w:rPr>
        <w:t> </w:t>
      </w:r>
      <w:r>
        <w:rPr/>
        <w:t>ou cirurgia</w:t>
      </w:r>
      <w:r>
        <w:rPr>
          <w:spacing w:val="-1"/>
        </w:rPr>
        <w:t> </w:t>
      </w:r>
      <w:r>
        <w:rPr/>
        <w:t>não é</w:t>
      </w:r>
      <w:r>
        <w:rPr>
          <w:spacing w:val="-1"/>
        </w:rPr>
        <w:t> </w:t>
      </w:r>
      <w:r>
        <w:rPr/>
        <w:t>sugestivo de</w:t>
      </w:r>
      <w:r>
        <w:rPr>
          <w:spacing w:val="-1"/>
        </w:rPr>
        <w:t> </w:t>
      </w:r>
      <w:r>
        <w:rPr/>
        <w:t>linfedema, visto que</w:t>
      </w:r>
      <w:r>
        <w:rPr>
          <w:spacing w:val="-1"/>
        </w:rPr>
        <w:t> </w:t>
      </w:r>
      <w:r>
        <w:rPr/>
        <w:t>a</w:t>
      </w:r>
      <w:r>
        <w:rPr>
          <w:spacing w:val="-1"/>
        </w:rPr>
        <w:t> </w:t>
      </w:r>
      <w:r>
        <w:rPr/>
        <w:t>trombose venosa profunda não é rara nesses casos.</w:t>
      </w:r>
    </w:p>
    <w:p>
      <w:pPr>
        <w:pStyle w:val="BodyText"/>
        <w:spacing w:line="278" w:lineRule="auto" w:before="49"/>
        <w:ind w:right="497"/>
      </w:pPr>
      <w:r>
        <w:rPr/>
        <w:t>Nas malformações vasculares, faz-se</w:t>
      </w:r>
      <w:r>
        <w:rPr>
          <w:spacing w:val="-1"/>
        </w:rPr>
        <w:t> </w:t>
      </w:r>
      <w:r>
        <w:rPr/>
        <w:t>necessário distinguir a</w:t>
      </w:r>
      <w:r>
        <w:rPr>
          <w:spacing w:val="-1"/>
        </w:rPr>
        <w:t> </w:t>
      </w:r>
      <w:r>
        <w:rPr/>
        <w:t>associação e/ou predomínio do linfedema</w:t>
      </w:r>
      <w:r>
        <w:rPr>
          <w:spacing w:val="-1"/>
        </w:rPr>
        <w:t> </w:t>
      </w:r>
      <w:r>
        <w:rPr/>
        <w:t>sobre</w:t>
      </w:r>
      <w:r>
        <w:rPr>
          <w:spacing w:val="-1"/>
        </w:rPr>
        <w:t> </w:t>
      </w:r>
      <w:r>
        <w:rPr/>
        <w:t>as outras alterações vasculares. A ocorrência de hipertrofia do membro, de nevo cutâneo e de varizes deve sugerir o diagnóstico de síndrome de Klippel-Trenaunay, em que a incidência de linfedema pode chegar a até 15% dos casos.</w:t>
      </w:r>
      <w:r>
        <w:rPr>
          <w:vertAlign w:val="superscript"/>
        </w:rPr>
        <w:t>8</w:t>
      </w:r>
      <w:r>
        <w:rPr>
          <w:vertAlign w:val="baseline"/>
        </w:rPr>
        <w:t> É importante</w:t>
      </w:r>
      <w:r>
        <w:rPr>
          <w:spacing w:val="-3"/>
          <w:vertAlign w:val="baseline"/>
        </w:rPr>
        <w:t> </w:t>
      </w:r>
      <w:r>
        <w:rPr>
          <w:vertAlign w:val="baseline"/>
        </w:rPr>
        <w:t>o diagnóstico diferencial com o gigantismo do membro, especialmente</w:t>
      </w:r>
      <w:r>
        <w:rPr>
          <w:spacing w:val="-3"/>
          <w:vertAlign w:val="baseline"/>
        </w:rPr>
        <w:t> </w:t>
      </w:r>
      <w:r>
        <w:rPr>
          <w:vertAlign w:val="baseline"/>
        </w:rPr>
        <w:t>em recém-nascidos. O gigantismo pode apresentar grau variável de hipertrofia do tecido subcutâneo, mas a consistência da pele é sempre normal e quase sempre unilateral. Além disso, os dedos têm aparência normal e o aumento de volume é proporcional, ao passo que no linfedema o pé apresenta aumento de volume comparativamente maior do que o restante do membro.</w:t>
      </w:r>
    </w:p>
    <w:p>
      <w:pPr>
        <w:pStyle w:val="BodyText"/>
        <w:spacing w:line="278" w:lineRule="auto" w:before="60"/>
        <w:ind w:right="488"/>
      </w:pPr>
      <w:r>
        <w:rPr/>
        <w:t>O lipedema não é, na realidade, edema e sim um acúmulo anormalmente excessivo de gordura localizada na região glútea e nos membros inferiores, que aparece em mulheres jovens, quase sempre com histórico familiar e sem antecedente de celulite ou erisipela. O termo mais adequado para esse quadro é lipodistrofia. É bilateral, simétrico</w:t>
      </w:r>
      <w:r>
        <w:rPr>
          <w:spacing w:val="-5"/>
        </w:rPr>
        <w:t> </w:t>
      </w:r>
      <w:r>
        <w:rPr/>
        <w:t>e</w:t>
      </w:r>
      <w:r>
        <w:rPr>
          <w:spacing w:val="-8"/>
        </w:rPr>
        <w:t> </w:t>
      </w:r>
      <w:r>
        <w:rPr/>
        <w:t>respeita</w:t>
      </w:r>
      <w:r>
        <w:rPr>
          <w:spacing w:val="-8"/>
        </w:rPr>
        <w:t> </w:t>
      </w:r>
      <w:r>
        <w:rPr/>
        <w:t>o</w:t>
      </w:r>
      <w:r>
        <w:rPr>
          <w:spacing w:val="-5"/>
        </w:rPr>
        <w:t> </w:t>
      </w:r>
      <w:r>
        <w:rPr/>
        <w:t>pé, não</w:t>
      </w:r>
      <w:r>
        <w:rPr>
          <w:spacing w:val="-5"/>
        </w:rPr>
        <w:t> </w:t>
      </w:r>
      <w:r>
        <w:rPr/>
        <w:t>diminui</w:t>
      </w:r>
      <w:r>
        <w:rPr>
          <w:spacing w:val="-3"/>
        </w:rPr>
        <w:t> </w:t>
      </w:r>
      <w:r>
        <w:rPr/>
        <w:t>com</w:t>
      </w:r>
      <w:r>
        <w:rPr>
          <w:spacing w:val="-5"/>
        </w:rPr>
        <w:t> </w:t>
      </w:r>
      <w:r>
        <w:rPr/>
        <w:t>o</w:t>
      </w:r>
      <w:r>
        <w:rPr>
          <w:spacing w:val="-5"/>
        </w:rPr>
        <w:t> </w:t>
      </w:r>
      <w:r>
        <w:rPr/>
        <w:t>decúbito</w:t>
      </w:r>
      <w:r>
        <w:rPr>
          <w:spacing w:val="-5"/>
        </w:rPr>
        <w:t> </w:t>
      </w:r>
      <w:r>
        <w:rPr/>
        <w:t>ou</w:t>
      </w:r>
      <w:r>
        <w:rPr>
          <w:spacing w:val="-5"/>
        </w:rPr>
        <w:t> </w:t>
      </w:r>
      <w:r>
        <w:rPr/>
        <w:t>repouso</w:t>
      </w:r>
      <w:r>
        <w:rPr>
          <w:spacing w:val="-5"/>
        </w:rPr>
        <w:t> </w:t>
      </w:r>
      <w:r>
        <w:rPr/>
        <w:t>prolongado, é</w:t>
      </w:r>
      <w:r>
        <w:rPr>
          <w:spacing w:val="-8"/>
        </w:rPr>
        <w:t> </w:t>
      </w:r>
      <w:r>
        <w:rPr/>
        <w:t>mole</w:t>
      </w:r>
      <w:r>
        <w:rPr>
          <w:spacing w:val="-8"/>
        </w:rPr>
        <w:t> </w:t>
      </w:r>
      <w:r>
        <w:rPr/>
        <w:t>no</w:t>
      </w:r>
      <w:r>
        <w:rPr>
          <w:spacing w:val="-5"/>
        </w:rPr>
        <w:t> </w:t>
      </w:r>
      <w:r>
        <w:rPr/>
        <w:t>início</w:t>
      </w:r>
      <w:r>
        <w:rPr>
          <w:spacing w:val="-5"/>
        </w:rPr>
        <w:t> </w:t>
      </w:r>
      <w:r>
        <w:rPr/>
        <w:t>evoluindo</w:t>
      </w:r>
      <w:r>
        <w:rPr>
          <w:spacing w:val="-5"/>
        </w:rPr>
        <w:t> </w:t>
      </w:r>
      <w:r>
        <w:rPr/>
        <w:t>para</w:t>
      </w:r>
      <w:r>
        <w:rPr>
          <w:spacing w:val="-8"/>
        </w:rPr>
        <w:t> </w:t>
      </w:r>
      <w:r>
        <w:rPr/>
        <w:t>duro, sem</w:t>
      </w:r>
      <w:r>
        <w:rPr>
          <w:spacing w:val="-4"/>
        </w:rPr>
        <w:t> </w:t>
      </w:r>
      <w:r>
        <w:rPr/>
        <w:t>sinal</w:t>
      </w:r>
      <w:r>
        <w:rPr>
          <w:spacing w:val="-2"/>
        </w:rPr>
        <w:t> </w:t>
      </w:r>
      <w:r>
        <w:rPr/>
        <w:t>de</w:t>
      </w:r>
      <w:r>
        <w:rPr>
          <w:spacing w:val="-6"/>
        </w:rPr>
        <w:t> </w:t>
      </w:r>
      <w:r>
        <w:rPr/>
        <w:t>Godet. É geralmente</w:t>
      </w:r>
      <w:r>
        <w:rPr>
          <w:spacing w:val="-6"/>
        </w:rPr>
        <w:t> </w:t>
      </w:r>
      <w:r>
        <w:rPr/>
        <w:t>indolor, mas frequentemente</w:t>
      </w:r>
      <w:r>
        <w:rPr>
          <w:spacing w:val="-6"/>
        </w:rPr>
        <w:t> </w:t>
      </w:r>
      <w:r>
        <w:rPr/>
        <w:t>as pacientes se</w:t>
      </w:r>
      <w:r>
        <w:rPr>
          <w:spacing w:val="-6"/>
        </w:rPr>
        <w:t> </w:t>
      </w:r>
      <w:r>
        <w:rPr/>
        <w:t>queixam</w:t>
      </w:r>
      <w:r>
        <w:rPr>
          <w:spacing w:val="-4"/>
        </w:rPr>
        <w:t> </w:t>
      </w:r>
      <w:r>
        <w:rPr/>
        <w:t>de</w:t>
      </w:r>
      <w:r>
        <w:rPr>
          <w:spacing w:val="-6"/>
        </w:rPr>
        <w:t> </w:t>
      </w:r>
      <w:r>
        <w:rPr/>
        <w:t>hipersensibilidade</w:t>
      </w:r>
      <w:r>
        <w:rPr>
          <w:spacing w:val="-6"/>
        </w:rPr>
        <w:t> </w:t>
      </w:r>
      <w:r>
        <w:rPr/>
        <w:t>local, pré-tibial. A consistência e a elasticidade da pele estão preservadas, não se obtendo o sinal de Stemmer.</w:t>
      </w:r>
      <w:r>
        <w:rPr>
          <w:vertAlign w:val="superscript"/>
        </w:rPr>
        <w:t>10</w:t>
      </w:r>
    </w:p>
    <w:p>
      <w:pPr>
        <w:pStyle w:val="BodyText"/>
        <w:spacing w:line="276" w:lineRule="auto" w:before="49"/>
        <w:ind w:right="491"/>
      </w:pPr>
      <w:r>
        <w:rPr/>
        <w:t>Quadros psiquiátricos ou tentativas de forjar doenças para obtenção de benefícios securitários podem levar o paciente a garrotear o membro e provocar edema. Mesmo quando a consistência da pele é normal, o diagnóstico diferencial pode ser difícil e pode ser necessário realizar linfocintigrafia.</w:t>
      </w:r>
    </w:p>
    <w:p>
      <w:pPr>
        <w:pStyle w:val="BodyText"/>
        <w:spacing w:line="290" w:lineRule="auto"/>
        <w:ind w:right="500"/>
      </w:pPr>
      <w:r>
        <w:rPr/>
        <w:t>As medicações mais frequentemente relacionadas com edema são os anti-inflamatórios e os anti-hipertensivos (bloqueadores do canal do cálcio).</w:t>
      </w:r>
      <w:r>
        <w:rPr>
          <w:vertAlign w:val="superscript"/>
        </w:rPr>
        <w:t>8</w:t>
      </w:r>
    </w:p>
    <w:p>
      <w:pPr>
        <w:pStyle w:val="BodyText"/>
        <w:spacing w:before="169"/>
        <w:ind w:left="0" w:firstLine="0"/>
        <w:jc w:val="left"/>
      </w:pPr>
    </w:p>
    <w:p>
      <w:pPr>
        <w:pStyle w:val="Heading4"/>
      </w:pPr>
      <w:r>
        <w:rPr>
          <w:color w:val="242B67"/>
        </w:rPr>
        <w:t>Métodos auxiliares de </w:t>
      </w:r>
      <w:r>
        <w:rPr>
          <w:color w:val="242B67"/>
          <w:spacing w:val="-2"/>
        </w:rPr>
        <w:t>diagnóstico</w:t>
      </w:r>
    </w:p>
    <w:p>
      <w:pPr>
        <w:pStyle w:val="BodyText"/>
        <w:spacing w:before="132"/>
        <w:ind w:left="414" w:firstLine="0"/>
        <w:jc w:val="left"/>
      </w:pPr>
      <w:r>
        <w:rPr/>
        <w:t>Os</w:t>
      </w:r>
      <w:r>
        <w:rPr>
          <w:spacing w:val="40"/>
        </w:rPr>
        <w:t> </w:t>
      </w:r>
      <w:r>
        <w:rPr/>
        <w:t>métodos</w:t>
      </w:r>
      <w:r>
        <w:rPr>
          <w:spacing w:val="40"/>
        </w:rPr>
        <w:t> </w:t>
      </w:r>
      <w:r>
        <w:rPr/>
        <w:t>auxiliares</w:t>
      </w:r>
      <w:r>
        <w:rPr>
          <w:spacing w:val="40"/>
        </w:rPr>
        <w:t> </w:t>
      </w:r>
      <w:r>
        <w:rPr/>
        <w:t>de</w:t>
      </w:r>
      <w:r>
        <w:rPr>
          <w:spacing w:val="29"/>
        </w:rPr>
        <w:t> </w:t>
      </w:r>
      <w:r>
        <w:rPr/>
        <w:t>diagnóstico</w:t>
      </w:r>
      <w:r>
        <w:rPr>
          <w:spacing w:val="31"/>
        </w:rPr>
        <w:t> </w:t>
      </w:r>
      <w:r>
        <w:rPr/>
        <w:t>ajudam</w:t>
      </w:r>
      <w:r>
        <w:rPr>
          <w:spacing w:val="31"/>
        </w:rPr>
        <w:t> </w:t>
      </w:r>
      <w:r>
        <w:rPr/>
        <w:t>a</w:t>
      </w:r>
      <w:r>
        <w:rPr>
          <w:spacing w:val="29"/>
        </w:rPr>
        <w:t> </w:t>
      </w:r>
      <w:r>
        <w:rPr/>
        <w:t>avaliar</w:t>
      </w:r>
      <w:r>
        <w:rPr>
          <w:spacing w:val="38"/>
        </w:rPr>
        <w:t> </w:t>
      </w:r>
      <w:r>
        <w:rPr/>
        <w:t>o</w:t>
      </w:r>
      <w:r>
        <w:rPr>
          <w:spacing w:val="31"/>
        </w:rPr>
        <w:t> </w:t>
      </w:r>
      <w:r>
        <w:rPr/>
        <w:t>grau</w:t>
      </w:r>
      <w:r>
        <w:rPr>
          <w:spacing w:val="31"/>
        </w:rPr>
        <w:t> </w:t>
      </w:r>
      <w:r>
        <w:rPr/>
        <w:t>de</w:t>
      </w:r>
      <w:r>
        <w:rPr>
          <w:spacing w:val="29"/>
        </w:rPr>
        <w:t> </w:t>
      </w:r>
      <w:r>
        <w:rPr/>
        <w:t>acometimento</w:t>
      </w:r>
      <w:r>
        <w:rPr>
          <w:spacing w:val="31"/>
        </w:rPr>
        <w:t> </w:t>
      </w:r>
      <w:r>
        <w:rPr/>
        <w:t>do</w:t>
      </w:r>
      <w:r>
        <w:rPr>
          <w:spacing w:val="32"/>
        </w:rPr>
        <w:t> </w:t>
      </w:r>
      <w:r>
        <w:rPr/>
        <w:t>sistema</w:t>
      </w:r>
      <w:r>
        <w:rPr>
          <w:spacing w:val="28"/>
        </w:rPr>
        <w:t> </w:t>
      </w:r>
      <w:r>
        <w:rPr/>
        <w:t>linfático</w:t>
      </w:r>
      <w:r>
        <w:rPr>
          <w:spacing w:val="32"/>
        </w:rPr>
        <w:t> </w:t>
      </w:r>
      <w:r>
        <w:rPr/>
        <w:t>e</w:t>
      </w:r>
      <w:r>
        <w:rPr>
          <w:spacing w:val="29"/>
        </w:rPr>
        <w:t> </w:t>
      </w:r>
      <w:r>
        <w:rPr>
          <w:spacing w:val="-5"/>
        </w:rPr>
        <w:t>dos</w:t>
      </w:r>
    </w:p>
    <w:p>
      <w:pPr>
        <w:pStyle w:val="BodyText"/>
        <w:spacing w:after="0"/>
        <w:jc w:val="left"/>
        <w:sectPr>
          <w:pgSz w:w="11900" w:h="16840"/>
          <w:pgMar w:top="140" w:bottom="280" w:left="566" w:right="141"/>
        </w:sectPr>
      </w:pPr>
    </w:p>
    <w:p>
      <w:pPr>
        <w:pStyle w:val="BodyText"/>
        <w:spacing w:line="290" w:lineRule="auto" w:before="74"/>
        <w:ind w:firstLine="0"/>
        <w:jc w:val="left"/>
      </w:pPr>
      <w:r>
        <w:rPr/>
        <w:t>compartimentos</w:t>
      </w:r>
      <w:r>
        <w:rPr>
          <w:spacing w:val="66"/>
        </w:rPr>
        <w:t> </w:t>
      </w:r>
      <w:r>
        <w:rPr/>
        <w:t>teciduais</w:t>
      </w:r>
      <w:r>
        <w:rPr>
          <w:spacing w:val="66"/>
        </w:rPr>
        <w:t> </w:t>
      </w:r>
      <w:r>
        <w:rPr/>
        <w:t>envolvidos,</w:t>
      </w:r>
      <w:r>
        <w:rPr>
          <w:spacing w:val="66"/>
        </w:rPr>
        <w:t> </w:t>
      </w:r>
      <w:r>
        <w:rPr/>
        <w:t>além</w:t>
      </w:r>
      <w:r>
        <w:rPr>
          <w:spacing w:val="40"/>
        </w:rPr>
        <w:t> </w:t>
      </w:r>
      <w:r>
        <w:rPr/>
        <w:t>de</w:t>
      </w:r>
      <w:r>
        <w:rPr>
          <w:spacing w:val="40"/>
        </w:rPr>
        <w:t> </w:t>
      </w:r>
      <w:r>
        <w:rPr/>
        <w:t>possibilitar</w:t>
      </w:r>
      <w:r>
        <w:rPr>
          <w:spacing w:val="40"/>
        </w:rPr>
        <w:t> </w:t>
      </w:r>
      <w:r>
        <w:rPr/>
        <w:t>a</w:t>
      </w:r>
      <w:r>
        <w:rPr>
          <w:spacing w:val="40"/>
        </w:rPr>
        <w:t> </w:t>
      </w:r>
      <w:r>
        <w:rPr/>
        <w:t>programação</w:t>
      </w:r>
      <w:r>
        <w:rPr>
          <w:spacing w:val="40"/>
        </w:rPr>
        <w:t> </w:t>
      </w:r>
      <w:r>
        <w:rPr/>
        <w:t>terapêutica</w:t>
      </w:r>
      <w:r>
        <w:rPr>
          <w:spacing w:val="40"/>
        </w:rPr>
        <w:t> </w:t>
      </w:r>
      <w:r>
        <w:rPr/>
        <w:t>e</w:t>
      </w:r>
      <w:r>
        <w:rPr>
          <w:spacing w:val="40"/>
        </w:rPr>
        <w:t> </w:t>
      </w:r>
      <w:r>
        <w:rPr/>
        <w:t>a</w:t>
      </w:r>
      <w:r>
        <w:rPr>
          <w:spacing w:val="40"/>
        </w:rPr>
        <w:t> </w:t>
      </w:r>
      <w:r>
        <w:rPr/>
        <w:t>avaliação</w:t>
      </w:r>
      <w:r>
        <w:rPr>
          <w:spacing w:val="40"/>
        </w:rPr>
        <w:t> </w:t>
      </w:r>
      <w:r>
        <w:rPr/>
        <w:t>de</w:t>
      </w:r>
      <w:r>
        <w:rPr>
          <w:spacing w:val="40"/>
        </w:rPr>
        <w:t> </w:t>
      </w:r>
      <w:r>
        <w:rPr/>
        <w:t>seus </w:t>
      </w:r>
      <w:r>
        <w:rPr>
          <w:spacing w:val="-2"/>
        </w:rPr>
        <w:t>resultados.</w:t>
      </w:r>
      <w:r>
        <w:rPr>
          <w:spacing w:val="-2"/>
          <w:vertAlign w:val="superscript"/>
        </w:rPr>
        <w:t>11</w:t>
      </w:r>
    </w:p>
    <w:p>
      <w:pPr>
        <w:pStyle w:val="BodyText"/>
        <w:spacing w:before="118"/>
        <w:ind w:left="0" w:firstLine="0"/>
        <w:jc w:val="left"/>
      </w:pPr>
    </w:p>
    <w:p>
      <w:pPr>
        <w:pStyle w:val="Heading5"/>
      </w:pPr>
      <w:r>
        <w:rPr>
          <w:color w:val="A26108"/>
          <w:spacing w:val="-2"/>
        </w:rPr>
        <w:t>Radiografia</w:t>
      </w:r>
    </w:p>
    <w:p>
      <w:pPr>
        <w:pStyle w:val="BodyText"/>
        <w:spacing w:before="138"/>
        <w:ind w:left="414" w:firstLine="0"/>
        <w:jc w:val="left"/>
      </w:pPr>
      <w:r>
        <w:rPr>
          <w:spacing w:val="-2"/>
        </w:rPr>
        <w:t>É</w:t>
      </w:r>
      <w:r>
        <w:rPr/>
        <w:t> </w:t>
      </w:r>
      <w:r>
        <w:rPr>
          <w:spacing w:val="-2"/>
        </w:rPr>
        <w:t>empregada</w:t>
      </w:r>
      <w:r>
        <w:rPr>
          <w:spacing w:val="-8"/>
        </w:rPr>
        <w:t> </w:t>
      </w:r>
      <w:r>
        <w:rPr>
          <w:spacing w:val="-2"/>
        </w:rPr>
        <w:t>para</w:t>
      </w:r>
      <w:r>
        <w:rPr>
          <w:spacing w:val="-7"/>
        </w:rPr>
        <w:t> </w:t>
      </w:r>
      <w:r>
        <w:rPr>
          <w:spacing w:val="-2"/>
        </w:rPr>
        <w:t>excluir</w:t>
      </w:r>
      <w:r>
        <w:rPr/>
        <w:t> </w:t>
      </w:r>
      <w:r>
        <w:rPr>
          <w:spacing w:val="-2"/>
        </w:rPr>
        <w:t>anormalidades</w:t>
      </w:r>
      <w:r>
        <w:rPr>
          <w:spacing w:val="4"/>
        </w:rPr>
        <w:t> </w:t>
      </w:r>
      <w:r>
        <w:rPr>
          <w:spacing w:val="-2"/>
        </w:rPr>
        <w:t>ósseas.</w:t>
      </w:r>
    </w:p>
    <w:p>
      <w:pPr>
        <w:pStyle w:val="BodyText"/>
        <w:spacing w:before="173"/>
        <w:ind w:left="0" w:firstLine="0"/>
        <w:jc w:val="left"/>
      </w:pPr>
    </w:p>
    <w:p>
      <w:pPr>
        <w:pStyle w:val="Heading5"/>
      </w:pPr>
      <w:r>
        <w:rPr>
          <w:color w:val="A26108"/>
        </w:rPr>
        <w:t>Mapeamento</w:t>
      </w:r>
      <w:r>
        <w:rPr>
          <w:color w:val="A26108"/>
          <w:spacing w:val="22"/>
        </w:rPr>
        <w:t> </w:t>
      </w:r>
      <w:r>
        <w:rPr>
          <w:color w:val="A26108"/>
        </w:rPr>
        <w:t>duplex</w:t>
      </w:r>
      <w:r>
        <w:rPr>
          <w:color w:val="A26108"/>
          <w:spacing w:val="23"/>
        </w:rPr>
        <w:t> </w:t>
      </w:r>
      <w:r>
        <w:rPr>
          <w:color w:val="A26108"/>
        </w:rPr>
        <w:t>colorido</w:t>
      </w:r>
      <w:r>
        <w:rPr>
          <w:color w:val="A26108"/>
          <w:spacing w:val="22"/>
        </w:rPr>
        <w:t> </w:t>
      </w:r>
      <w:r>
        <w:rPr>
          <w:color w:val="A26108"/>
        </w:rPr>
        <w:t>arterial</w:t>
      </w:r>
      <w:r>
        <w:rPr>
          <w:color w:val="A26108"/>
          <w:spacing w:val="23"/>
        </w:rPr>
        <w:t> </w:t>
      </w:r>
      <w:r>
        <w:rPr>
          <w:color w:val="A26108"/>
        </w:rPr>
        <w:t>e</w:t>
      </w:r>
      <w:r>
        <w:rPr>
          <w:color w:val="A26108"/>
          <w:spacing w:val="23"/>
        </w:rPr>
        <w:t> </w:t>
      </w:r>
      <w:r>
        <w:rPr>
          <w:color w:val="A26108"/>
          <w:spacing w:val="-2"/>
        </w:rPr>
        <w:t>venoso</w:t>
      </w:r>
    </w:p>
    <w:p>
      <w:pPr>
        <w:pStyle w:val="BodyText"/>
        <w:spacing w:line="276" w:lineRule="auto" w:before="122"/>
        <w:jc w:val="left"/>
      </w:pPr>
      <w:r>
        <w:rPr/>
        <w:t>É</w:t>
      </w:r>
      <w:r>
        <w:rPr>
          <w:spacing w:val="-3"/>
        </w:rPr>
        <w:t> </w:t>
      </w:r>
      <w:r>
        <w:rPr/>
        <w:t>indicado</w:t>
      </w:r>
      <w:r>
        <w:rPr>
          <w:spacing w:val="-9"/>
        </w:rPr>
        <w:t> </w:t>
      </w:r>
      <w:r>
        <w:rPr/>
        <w:t>para</w:t>
      </w:r>
      <w:r>
        <w:rPr>
          <w:spacing w:val="-11"/>
        </w:rPr>
        <w:t> </w:t>
      </w:r>
      <w:r>
        <w:rPr/>
        <w:t>diagnóstico</w:t>
      </w:r>
      <w:r>
        <w:rPr>
          <w:spacing w:val="-9"/>
        </w:rPr>
        <w:t> </w:t>
      </w:r>
      <w:r>
        <w:rPr/>
        <w:t>de</w:t>
      </w:r>
      <w:r>
        <w:rPr>
          <w:spacing w:val="-11"/>
        </w:rPr>
        <w:t> </w:t>
      </w:r>
      <w:r>
        <w:rPr/>
        <w:t>patologias</w:t>
      </w:r>
      <w:r>
        <w:rPr>
          <w:spacing w:val="-1"/>
        </w:rPr>
        <w:t> </w:t>
      </w:r>
      <w:r>
        <w:rPr/>
        <w:t>vasculares</w:t>
      </w:r>
      <w:r>
        <w:rPr>
          <w:spacing w:val="-1"/>
        </w:rPr>
        <w:t> </w:t>
      </w:r>
      <w:r>
        <w:rPr/>
        <w:t>associadas,</w:t>
      </w:r>
      <w:r>
        <w:rPr>
          <w:spacing w:val="-1"/>
        </w:rPr>
        <w:t> </w:t>
      </w:r>
      <w:r>
        <w:rPr/>
        <w:t>além</w:t>
      </w:r>
      <w:r>
        <w:rPr>
          <w:spacing w:val="-9"/>
        </w:rPr>
        <w:t> </w:t>
      </w:r>
      <w:r>
        <w:rPr/>
        <w:t>de</w:t>
      </w:r>
      <w:r>
        <w:rPr>
          <w:spacing w:val="-11"/>
        </w:rPr>
        <w:t> </w:t>
      </w:r>
      <w:r>
        <w:rPr/>
        <w:t>poder</w:t>
      </w:r>
      <w:r>
        <w:rPr>
          <w:spacing w:val="-3"/>
        </w:rPr>
        <w:t> </w:t>
      </w:r>
      <w:r>
        <w:rPr/>
        <w:t>evidenciar</w:t>
      </w:r>
      <w:r>
        <w:rPr>
          <w:spacing w:val="-3"/>
        </w:rPr>
        <w:t> </w:t>
      </w:r>
      <w:r>
        <w:rPr/>
        <w:t>canais</w:t>
      </w:r>
      <w:r>
        <w:rPr>
          <w:spacing w:val="-1"/>
        </w:rPr>
        <w:t> </w:t>
      </w:r>
      <w:r>
        <w:rPr/>
        <w:t>linfáticos</w:t>
      </w:r>
      <w:r>
        <w:rPr>
          <w:spacing w:val="-1"/>
        </w:rPr>
        <w:t> </w:t>
      </w:r>
      <w:r>
        <w:rPr/>
        <w:t>com ectasia, espessamento de pele e subcutâneo com aspecto de </w:t>
      </w:r>
      <w:r>
        <w:rPr>
          <w:i/>
        </w:rPr>
        <w:t>favo de mel</w:t>
      </w:r>
      <w:r>
        <w:rPr/>
        <w:t>.</w:t>
      </w:r>
    </w:p>
    <w:p>
      <w:pPr>
        <w:pStyle w:val="BodyText"/>
        <w:spacing w:before="134"/>
        <w:ind w:left="0" w:firstLine="0"/>
        <w:jc w:val="left"/>
      </w:pPr>
    </w:p>
    <w:p>
      <w:pPr>
        <w:pStyle w:val="Heading5"/>
      </w:pPr>
      <w:r>
        <w:rPr>
          <w:color w:val="A26108"/>
          <w:spacing w:val="-2"/>
        </w:rPr>
        <w:t>Arteriografia</w:t>
      </w:r>
    </w:p>
    <w:p>
      <w:pPr>
        <w:pStyle w:val="BodyText"/>
        <w:spacing w:before="138"/>
        <w:ind w:left="414" w:firstLine="0"/>
        <w:jc w:val="left"/>
      </w:pPr>
      <w:r>
        <w:rPr/>
        <w:t>É</w:t>
      </w:r>
      <w:r>
        <w:rPr>
          <w:spacing w:val="-8"/>
        </w:rPr>
        <w:t> </w:t>
      </w:r>
      <w:r>
        <w:rPr/>
        <w:t>indicada</w:t>
      </w:r>
      <w:r>
        <w:rPr>
          <w:spacing w:val="-13"/>
        </w:rPr>
        <w:t> </w:t>
      </w:r>
      <w:r>
        <w:rPr/>
        <w:t>na</w:t>
      </w:r>
      <w:r>
        <w:rPr>
          <w:spacing w:val="-13"/>
        </w:rPr>
        <w:t> </w:t>
      </w:r>
      <w:r>
        <w:rPr/>
        <w:t>suspeita</w:t>
      </w:r>
      <w:r>
        <w:rPr>
          <w:spacing w:val="-12"/>
        </w:rPr>
        <w:t> </w:t>
      </w:r>
      <w:r>
        <w:rPr/>
        <w:t>de</w:t>
      </w:r>
      <w:r>
        <w:rPr>
          <w:spacing w:val="-13"/>
        </w:rPr>
        <w:t> </w:t>
      </w:r>
      <w:r>
        <w:rPr/>
        <w:t>patologia</w:t>
      </w:r>
      <w:r>
        <w:rPr>
          <w:spacing w:val="-13"/>
        </w:rPr>
        <w:t> </w:t>
      </w:r>
      <w:r>
        <w:rPr/>
        <w:t>vascular</w:t>
      </w:r>
      <w:r>
        <w:rPr>
          <w:spacing w:val="-6"/>
        </w:rPr>
        <w:t> </w:t>
      </w:r>
      <w:r>
        <w:rPr/>
        <w:t>fistular</w:t>
      </w:r>
      <w:r>
        <w:rPr>
          <w:spacing w:val="-5"/>
        </w:rPr>
        <w:t> </w:t>
      </w:r>
      <w:r>
        <w:rPr/>
        <w:t>(Klippel-Trenaunay)</w:t>
      </w:r>
      <w:r>
        <w:rPr>
          <w:spacing w:val="-6"/>
        </w:rPr>
        <w:t> </w:t>
      </w:r>
      <w:r>
        <w:rPr/>
        <w:t>ou</w:t>
      </w:r>
      <w:r>
        <w:rPr>
          <w:spacing w:val="-10"/>
        </w:rPr>
        <w:t> </w:t>
      </w:r>
      <w:r>
        <w:rPr>
          <w:spacing w:val="-2"/>
        </w:rPr>
        <w:t>hiperostomia.</w:t>
      </w:r>
    </w:p>
    <w:p>
      <w:pPr>
        <w:pStyle w:val="BodyText"/>
        <w:spacing w:before="173"/>
        <w:ind w:left="0" w:firstLine="0"/>
        <w:jc w:val="left"/>
      </w:pPr>
    </w:p>
    <w:p>
      <w:pPr>
        <w:pStyle w:val="Heading5"/>
      </w:pPr>
      <w:r>
        <w:rPr>
          <w:color w:val="A26108"/>
        </w:rPr>
        <w:t>Tomografia</w:t>
      </w:r>
      <w:r>
        <w:rPr>
          <w:color w:val="A26108"/>
          <w:spacing w:val="34"/>
        </w:rPr>
        <w:t> </w:t>
      </w:r>
      <w:r>
        <w:rPr>
          <w:color w:val="A26108"/>
          <w:spacing w:val="-2"/>
        </w:rPr>
        <w:t>computadorizada</w:t>
      </w:r>
    </w:p>
    <w:p>
      <w:pPr>
        <w:pStyle w:val="BodyText"/>
        <w:spacing w:line="276" w:lineRule="auto" w:before="138"/>
        <w:jc w:val="left"/>
      </w:pPr>
      <w:r>
        <w:rPr/>
        <w:t>Possibilita</w:t>
      </w:r>
      <w:r>
        <w:rPr>
          <w:spacing w:val="33"/>
        </w:rPr>
        <w:t> </w:t>
      </w:r>
      <w:r>
        <w:rPr/>
        <w:t>a</w:t>
      </w:r>
      <w:r>
        <w:rPr>
          <w:spacing w:val="33"/>
        </w:rPr>
        <w:t> </w:t>
      </w:r>
      <w:r>
        <w:rPr/>
        <w:t>avaliação</w:t>
      </w:r>
      <w:r>
        <w:rPr>
          <w:spacing w:val="36"/>
        </w:rPr>
        <w:t> </w:t>
      </w:r>
      <w:r>
        <w:rPr/>
        <w:t>não</w:t>
      </w:r>
      <w:r>
        <w:rPr>
          <w:spacing w:val="36"/>
        </w:rPr>
        <w:t> </w:t>
      </w:r>
      <w:r>
        <w:rPr/>
        <w:t>invasiva</w:t>
      </w:r>
      <w:r>
        <w:rPr>
          <w:spacing w:val="33"/>
        </w:rPr>
        <w:t> </w:t>
      </w:r>
      <w:r>
        <w:rPr/>
        <w:t>do</w:t>
      </w:r>
      <w:r>
        <w:rPr>
          <w:spacing w:val="36"/>
        </w:rPr>
        <w:t> </w:t>
      </w:r>
      <w:r>
        <w:rPr/>
        <w:t>comprometimento</w:t>
      </w:r>
      <w:r>
        <w:rPr>
          <w:spacing w:val="36"/>
        </w:rPr>
        <w:t> </w:t>
      </w:r>
      <w:r>
        <w:rPr/>
        <w:t>tecidual</w:t>
      </w:r>
      <w:r>
        <w:rPr>
          <w:spacing w:val="39"/>
        </w:rPr>
        <w:t> </w:t>
      </w:r>
      <w:r>
        <w:rPr/>
        <w:t>no</w:t>
      </w:r>
      <w:r>
        <w:rPr>
          <w:spacing w:val="36"/>
        </w:rPr>
        <w:t> </w:t>
      </w:r>
      <w:r>
        <w:rPr/>
        <w:t>linfedema.</w:t>
      </w:r>
      <w:r>
        <w:rPr>
          <w:spacing w:val="40"/>
        </w:rPr>
        <w:t> </w:t>
      </w:r>
      <w:r>
        <w:rPr/>
        <w:t>Também</w:t>
      </w:r>
      <w:r>
        <w:rPr>
          <w:spacing w:val="36"/>
        </w:rPr>
        <w:t> </w:t>
      </w:r>
      <w:r>
        <w:rPr/>
        <w:t>torna</w:t>
      </w:r>
      <w:r>
        <w:rPr>
          <w:spacing w:val="33"/>
        </w:rPr>
        <w:t> </w:t>
      </w:r>
      <w:r>
        <w:rPr/>
        <w:t>possível</w:t>
      </w:r>
      <w:r>
        <w:rPr>
          <w:spacing w:val="39"/>
        </w:rPr>
        <w:t> </w:t>
      </w:r>
      <w:r>
        <w:rPr/>
        <w:t>a identificação de</w:t>
      </w:r>
      <w:r>
        <w:rPr>
          <w:spacing w:val="-3"/>
        </w:rPr>
        <w:t> </w:t>
      </w:r>
      <w:r>
        <w:rPr/>
        <w:t>massas ou recidivas tumorais e</w:t>
      </w:r>
      <w:r>
        <w:rPr>
          <w:spacing w:val="-3"/>
        </w:rPr>
        <w:t> </w:t>
      </w:r>
      <w:r>
        <w:rPr/>
        <w:t>obstruções linfáticas como causa</w:t>
      </w:r>
      <w:r>
        <w:rPr>
          <w:spacing w:val="-3"/>
        </w:rPr>
        <w:t> </w:t>
      </w:r>
      <w:r>
        <w:rPr/>
        <w:t>de</w:t>
      </w:r>
      <w:r>
        <w:rPr>
          <w:spacing w:val="-3"/>
        </w:rPr>
        <w:t> </w:t>
      </w:r>
      <w:r>
        <w:rPr/>
        <w:t>linfedema</w:t>
      </w:r>
      <w:r>
        <w:rPr>
          <w:spacing w:val="-3"/>
        </w:rPr>
        <w:t> </w:t>
      </w:r>
      <w:r>
        <w:rPr/>
        <w:t>secundário.</w:t>
      </w:r>
    </w:p>
    <w:p>
      <w:pPr>
        <w:pStyle w:val="BodyText"/>
        <w:spacing w:line="290" w:lineRule="auto" w:before="49"/>
        <w:jc w:val="left"/>
      </w:pPr>
      <w:r>
        <w:rPr/>
        <w:t>O</w:t>
      </w:r>
      <w:r>
        <w:rPr>
          <w:spacing w:val="22"/>
        </w:rPr>
        <w:t> </w:t>
      </w:r>
      <w:r>
        <w:rPr/>
        <w:t>estudo</w:t>
      </w:r>
      <w:r>
        <w:rPr>
          <w:spacing w:val="26"/>
        </w:rPr>
        <w:t> </w:t>
      </w:r>
      <w:r>
        <w:rPr/>
        <w:t>por</w:t>
      </w:r>
      <w:r>
        <w:rPr>
          <w:spacing w:val="31"/>
        </w:rPr>
        <w:t> </w:t>
      </w:r>
      <w:r>
        <w:rPr/>
        <w:t>TC</w:t>
      </w:r>
      <w:r>
        <w:rPr>
          <w:spacing w:val="34"/>
        </w:rPr>
        <w:t> </w:t>
      </w:r>
      <w:r>
        <w:rPr/>
        <w:t>é</w:t>
      </w:r>
      <w:r>
        <w:rPr>
          <w:spacing w:val="23"/>
        </w:rPr>
        <w:t> </w:t>
      </w:r>
      <w:r>
        <w:rPr/>
        <w:t>realizado</w:t>
      </w:r>
      <w:r>
        <w:rPr>
          <w:spacing w:val="26"/>
        </w:rPr>
        <w:t> </w:t>
      </w:r>
      <w:r>
        <w:rPr/>
        <w:t>sem</w:t>
      </w:r>
      <w:r>
        <w:rPr>
          <w:spacing w:val="26"/>
        </w:rPr>
        <w:t> </w:t>
      </w:r>
      <w:r>
        <w:rPr/>
        <w:t>o</w:t>
      </w:r>
      <w:r>
        <w:rPr>
          <w:spacing w:val="26"/>
        </w:rPr>
        <w:t> </w:t>
      </w:r>
      <w:r>
        <w:rPr/>
        <w:t>uso</w:t>
      </w:r>
      <w:r>
        <w:rPr>
          <w:spacing w:val="26"/>
        </w:rPr>
        <w:t> </w:t>
      </w:r>
      <w:r>
        <w:rPr/>
        <w:t>de</w:t>
      </w:r>
      <w:r>
        <w:rPr>
          <w:spacing w:val="23"/>
        </w:rPr>
        <w:t> </w:t>
      </w:r>
      <w:r>
        <w:rPr/>
        <w:t>contraste</w:t>
      </w:r>
      <w:r>
        <w:rPr>
          <w:spacing w:val="23"/>
        </w:rPr>
        <w:t> </w:t>
      </w:r>
      <w:r>
        <w:rPr/>
        <w:t>intravenoso,</w:t>
      </w:r>
      <w:r>
        <w:rPr>
          <w:spacing w:val="34"/>
        </w:rPr>
        <w:t> </w:t>
      </w:r>
      <w:r>
        <w:rPr/>
        <w:t>por</w:t>
      </w:r>
      <w:r>
        <w:rPr>
          <w:spacing w:val="31"/>
        </w:rPr>
        <w:t> </w:t>
      </w:r>
      <w:r>
        <w:rPr/>
        <w:t>meio</w:t>
      </w:r>
      <w:r>
        <w:rPr>
          <w:spacing w:val="26"/>
        </w:rPr>
        <w:t> </w:t>
      </w:r>
      <w:r>
        <w:rPr/>
        <w:t>de</w:t>
      </w:r>
      <w:r>
        <w:rPr>
          <w:spacing w:val="23"/>
        </w:rPr>
        <w:t> </w:t>
      </w:r>
      <w:r>
        <w:rPr/>
        <w:t>cortes</w:t>
      </w:r>
      <w:r>
        <w:rPr>
          <w:spacing w:val="34"/>
        </w:rPr>
        <w:t> </w:t>
      </w:r>
      <w:r>
        <w:rPr/>
        <w:t>transversais</w:t>
      </w:r>
      <w:r>
        <w:rPr>
          <w:spacing w:val="34"/>
        </w:rPr>
        <w:t> </w:t>
      </w:r>
      <w:r>
        <w:rPr/>
        <w:t>nas</w:t>
      </w:r>
      <w:r>
        <w:rPr>
          <w:spacing w:val="34"/>
        </w:rPr>
        <w:t> </w:t>
      </w:r>
      <w:r>
        <w:rPr/>
        <w:t>áreas afetadas. Nos membros com linfedema, podem ser observadas as seguintes alterações:</w:t>
      </w:r>
      <w:r>
        <w:rPr>
          <w:vertAlign w:val="superscript"/>
        </w:rPr>
        <w:t>11,12</w:t>
      </w:r>
    </w:p>
    <w:p>
      <w:pPr>
        <w:pStyle w:val="ListParagraph"/>
        <w:numPr>
          <w:ilvl w:val="0"/>
          <w:numId w:val="35"/>
        </w:numPr>
        <w:tabs>
          <w:tab w:pos="397" w:val="left" w:leader="none"/>
        </w:tabs>
        <w:spacing w:line="240" w:lineRule="auto" w:before="145" w:after="0"/>
        <w:ind w:left="397" w:right="0" w:hanging="329"/>
        <w:jc w:val="left"/>
        <w:rPr>
          <w:sz w:val="23"/>
        </w:rPr>
      </w:pPr>
      <w:r>
        <w:rPr>
          <w:sz w:val="23"/>
        </w:rPr>
        <w:t>Espessamento</w:t>
      </w:r>
      <w:r>
        <w:rPr>
          <w:spacing w:val="-8"/>
          <w:sz w:val="23"/>
        </w:rPr>
        <w:t> </w:t>
      </w:r>
      <w:r>
        <w:rPr>
          <w:sz w:val="23"/>
        </w:rPr>
        <w:t>da</w:t>
      </w:r>
      <w:r>
        <w:rPr>
          <w:spacing w:val="-7"/>
          <w:sz w:val="23"/>
        </w:rPr>
        <w:t> </w:t>
      </w:r>
      <w:r>
        <w:rPr>
          <w:spacing w:val="-4"/>
          <w:sz w:val="23"/>
        </w:rPr>
        <w:t>pele</w:t>
      </w:r>
    </w:p>
    <w:p>
      <w:pPr>
        <w:pStyle w:val="ListParagraph"/>
        <w:numPr>
          <w:ilvl w:val="0"/>
          <w:numId w:val="35"/>
        </w:numPr>
        <w:tabs>
          <w:tab w:pos="397" w:val="left" w:leader="none"/>
        </w:tabs>
        <w:spacing w:line="240" w:lineRule="auto" w:before="71" w:after="0"/>
        <w:ind w:left="397" w:right="0" w:hanging="329"/>
        <w:jc w:val="left"/>
        <w:rPr>
          <w:sz w:val="23"/>
        </w:rPr>
      </w:pPr>
      <w:r>
        <w:rPr>
          <w:sz w:val="23"/>
        </w:rPr>
        <w:t>Aumento</w:t>
      </w:r>
      <w:r>
        <w:rPr>
          <w:spacing w:val="-13"/>
          <w:sz w:val="23"/>
        </w:rPr>
        <w:t> </w:t>
      </w:r>
      <w:r>
        <w:rPr>
          <w:sz w:val="23"/>
        </w:rPr>
        <w:t>do</w:t>
      </w:r>
      <w:r>
        <w:rPr>
          <w:spacing w:val="-11"/>
          <w:sz w:val="23"/>
        </w:rPr>
        <w:t> </w:t>
      </w:r>
      <w:r>
        <w:rPr>
          <w:sz w:val="23"/>
        </w:rPr>
        <w:t>diâmetro</w:t>
      </w:r>
      <w:r>
        <w:rPr>
          <w:spacing w:val="-11"/>
          <w:sz w:val="23"/>
        </w:rPr>
        <w:t> </w:t>
      </w:r>
      <w:r>
        <w:rPr>
          <w:sz w:val="23"/>
        </w:rPr>
        <w:t>do</w:t>
      </w:r>
      <w:r>
        <w:rPr>
          <w:spacing w:val="-10"/>
          <w:sz w:val="23"/>
        </w:rPr>
        <w:t> </w:t>
      </w:r>
      <w:r>
        <w:rPr>
          <w:sz w:val="23"/>
        </w:rPr>
        <w:t>membro,</w:t>
      </w:r>
      <w:r>
        <w:rPr>
          <w:spacing w:val="-4"/>
          <w:sz w:val="23"/>
        </w:rPr>
        <w:t> </w:t>
      </w:r>
      <w:r>
        <w:rPr>
          <w:sz w:val="23"/>
        </w:rPr>
        <w:t>preferencialmente</w:t>
      </w:r>
      <w:r>
        <w:rPr>
          <w:spacing w:val="-13"/>
          <w:sz w:val="23"/>
        </w:rPr>
        <w:t> </w:t>
      </w:r>
      <w:r>
        <w:rPr>
          <w:sz w:val="23"/>
        </w:rPr>
        <w:t>à</w:t>
      </w:r>
      <w:r>
        <w:rPr>
          <w:spacing w:val="-13"/>
          <w:sz w:val="23"/>
        </w:rPr>
        <w:t> </w:t>
      </w:r>
      <w:r>
        <w:rPr>
          <w:sz w:val="23"/>
        </w:rPr>
        <w:t>custa</w:t>
      </w:r>
      <w:r>
        <w:rPr>
          <w:spacing w:val="-13"/>
          <w:sz w:val="23"/>
        </w:rPr>
        <w:t> </w:t>
      </w:r>
      <w:r>
        <w:rPr>
          <w:sz w:val="23"/>
        </w:rPr>
        <w:t>de</w:t>
      </w:r>
      <w:r>
        <w:rPr>
          <w:spacing w:val="-13"/>
          <w:sz w:val="23"/>
        </w:rPr>
        <w:t> </w:t>
      </w:r>
      <w:r>
        <w:rPr>
          <w:sz w:val="23"/>
        </w:rPr>
        <w:t>hipertrofia</w:t>
      </w:r>
      <w:r>
        <w:rPr>
          <w:spacing w:val="-13"/>
          <w:sz w:val="23"/>
        </w:rPr>
        <w:t> </w:t>
      </w:r>
      <w:r>
        <w:rPr>
          <w:sz w:val="23"/>
        </w:rPr>
        <w:t>do</w:t>
      </w:r>
      <w:r>
        <w:rPr>
          <w:spacing w:val="-11"/>
          <w:sz w:val="23"/>
        </w:rPr>
        <w:t> </w:t>
      </w:r>
      <w:r>
        <w:rPr>
          <w:sz w:val="23"/>
        </w:rPr>
        <w:t>tecido</w:t>
      </w:r>
      <w:r>
        <w:rPr>
          <w:spacing w:val="-10"/>
          <w:sz w:val="23"/>
        </w:rPr>
        <w:t> </w:t>
      </w:r>
      <w:r>
        <w:rPr>
          <w:spacing w:val="-2"/>
          <w:sz w:val="23"/>
        </w:rPr>
        <w:t>subcutâneo</w:t>
      </w:r>
    </w:p>
    <w:p>
      <w:pPr>
        <w:pStyle w:val="ListParagraph"/>
        <w:numPr>
          <w:ilvl w:val="0"/>
          <w:numId w:val="35"/>
        </w:numPr>
        <w:tabs>
          <w:tab w:pos="447" w:val="left" w:leader="none"/>
        </w:tabs>
        <w:spacing w:line="276" w:lineRule="auto" w:before="56" w:after="0"/>
        <w:ind w:left="68" w:right="492" w:firstLine="0"/>
        <w:jc w:val="left"/>
        <w:rPr>
          <w:sz w:val="23"/>
        </w:rPr>
      </w:pPr>
      <w:r>
        <w:rPr>
          <w:sz w:val="23"/>
        </w:rPr>
        <w:t>Alteração</w:t>
      </w:r>
      <w:r>
        <w:rPr>
          <w:spacing w:val="36"/>
          <w:sz w:val="23"/>
        </w:rPr>
        <w:t> </w:t>
      </w:r>
      <w:r>
        <w:rPr>
          <w:sz w:val="23"/>
        </w:rPr>
        <w:t>característica</w:t>
      </w:r>
      <w:r>
        <w:rPr>
          <w:spacing w:val="34"/>
          <w:sz w:val="23"/>
        </w:rPr>
        <w:t> </w:t>
      </w:r>
      <w:r>
        <w:rPr>
          <w:sz w:val="23"/>
        </w:rPr>
        <w:t>do</w:t>
      </w:r>
      <w:r>
        <w:rPr>
          <w:spacing w:val="36"/>
          <w:sz w:val="23"/>
        </w:rPr>
        <w:t> </w:t>
      </w:r>
      <w:r>
        <w:rPr>
          <w:sz w:val="23"/>
        </w:rPr>
        <w:t>subcutâneo,</w:t>
      </w:r>
      <w:r>
        <w:rPr>
          <w:spacing w:val="40"/>
          <w:sz w:val="23"/>
        </w:rPr>
        <w:t> </w:t>
      </w:r>
      <w:r>
        <w:rPr>
          <w:sz w:val="23"/>
        </w:rPr>
        <w:t>que</w:t>
      </w:r>
      <w:r>
        <w:rPr>
          <w:spacing w:val="34"/>
          <w:sz w:val="23"/>
        </w:rPr>
        <w:t> </w:t>
      </w:r>
      <w:r>
        <w:rPr>
          <w:sz w:val="23"/>
        </w:rPr>
        <w:t>se</w:t>
      </w:r>
      <w:r>
        <w:rPr>
          <w:spacing w:val="34"/>
          <w:sz w:val="23"/>
        </w:rPr>
        <w:t> </w:t>
      </w:r>
      <w:r>
        <w:rPr>
          <w:sz w:val="23"/>
        </w:rPr>
        <w:t>apresenta</w:t>
      </w:r>
      <w:r>
        <w:rPr>
          <w:spacing w:val="34"/>
          <w:sz w:val="23"/>
        </w:rPr>
        <w:t> </w:t>
      </w:r>
      <w:r>
        <w:rPr>
          <w:sz w:val="23"/>
        </w:rPr>
        <w:t>heterogêneo,</w:t>
      </w:r>
      <w:r>
        <w:rPr>
          <w:spacing w:val="40"/>
          <w:sz w:val="23"/>
        </w:rPr>
        <w:t> </w:t>
      </w:r>
      <w:r>
        <w:rPr>
          <w:sz w:val="23"/>
        </w:rPr>
        <w:t>com</w:t>
      </w:r>
      <w:r>
        <w:rPr>
          <w:spacing w:val="36"/>
          <w:sz w:val="23"/>
        </w:rPr>
        <w:t> </w:t>
      </w:r>
      <w:r>
        <w:rPr>
          <w:sz w:val="23"/>
        </w:rPr>
        <w:t>a</w:t>
      </w:r>
      <w:r>
        <w:rPr>
          <w:spacing w:val="34"/>
          <w:sz w:val="23"/>
        </w:rPr>
        <w:t> </w:t>
      </w:r>
      <w:r>
        <w:rPr>
          <w:sz w:val="23"/>
        </w:rPr>
        <w:t>presença</w:t>
      </w:r>
      <w:r>
        <w:rPr>
          <w:spacing w:val="34"/>
          <w:sz w:val="23"/>
        </w:rPr>
        <w:t> </w:t>
      </w:r>
      <w:r>
        <w:rPr>
          <w:sz w:val="23"/>
        </w:rPr>
        <w:t>de</w:t>
      </w:r>
      <w:r>
        <w:rPr>
          <w:spacing w:val="34"/>
          <w:sz w:val="23"/>
        </w:rPr>
        <w:t> </w:t>
      </w:r>
      <w:r>
        <w:rPr>
          <w:sz w:val="23"/>
        </w:rPr>
        <w:t>trabeculado</w:t>
      </w:r>
      <w:r>
        <w:rPr>
          <w:spacing w:val="36"/>
          <w:sz w:val="23"/>
        </w:rPr>
        <w:t> </w:t>
      </w:r>
      <w:r>
        <w:rPr>
          <w:sz w:val="23"/>
        </w:rPr>
        <w:t>com aspecto de</w:t>
      </w:r>
      <w:r>
        <w:rPr>
          <w:spacing w:val="-3"/>
          <w:sz w:val="23"/>
        </w:rPr>
        <w:t> </w:t>
      </w:r>
      <w:r>
        <w:rPr>
          <w:i/>
          <w:sz w:val="23"/>
        </w:rPr>
        <w:t>favo de</w:t>
      </w:r>
      <w:r>
        <w:rPr>
          <w:i/>
          <w:spacing w:val="-3"/>
          <w:sz w:val="23"/>
        </w:rPr>
        <w:t> </w:t>
      </w:r>
      <w:r>
        <w:rPr>
          <w:i/>
          <w:sz w:val="23"/>
        </w:rPr>
        <w:t>mel</w:t>
      </w:r>
      <w:r>
        <w:rPr>
          <w:sz w:val="23"/>
        </w:rPr>
        <w:t>, correspondendo a</w:t>
      </w:r>
      <w:r>
        <w:rPr>
          <w:spacing w:val="-3"/>
          <w:sz w:val="23"/>
        </w:rPr>
        <w:t> </w:t>
      </w:r>
      <w:r>
        <w:rPr>
          <w:sz w:val="23"/>
        </w:rPr>
        <w:t>áreas de</w:t>
      </w:r>
      <w:r>
        <w:rPr>
          <w:spacing w:val="-3"/>
          <w:sz w:val="23"/>
        </w:rPr>
        <w:t> </w:t>
      </w:r>
      <w:r>
        <w:rPr>
          <w:sz w:val="23"/>
        </w:rPr>
        <w:t>gordura</w:t>
      </w:r>
      <w:r>
        <w:rPr>
          <w:spacing w:val="-3"/>
          <w:sz w:val="23"/>
        </w:rPr>
        <w:t> </w:t>
      </w:r>
      <w:r>
        <w:rPr>
          <w:sz w:val="23"/>
        </w:rPr>
        <w:t>circundadas por fluido, tecido fibrótico, ou ambos</w:t>
      </w:r>
    </w:p>
    <w:p>
      <w:pPr>
        <w:pStyle w:val="ListParagraph"/>
        <w:numPr>
          <w:ilvl w:val="0"/>
          <w:numId w:val="35"/>
        </w:numPr>
        <w:tabs>
          <w:tab w:pos="397" w:val="left" w:leader="none"/>
        </w:tabs>
        <w:spacing w:line="240" w:lineRule="auto" w:before="33" w:after="0"/>
        <w:ind w:left="397" w:right="0" w:hanging="329"/>
        <w:jc w:val="left"/>
        <w:rPr>
          <w:sz w:val="23"/>
        </w:rPr>
      </w:pPr>
      <w:r>
        <w:rPr>
          <w:spacing w:val="-2"/>
          <w:sz w:val="23"/>
        </w:rPr>
        <w:t>Aumento da</w:t>
      </w:r>
      <w:r>
        <w:rPr>
          <w:spacing w:val="-4"/>
          <w:sz w:val="23"/>
        </w:rPr>
        <w:t> </w:t>
      </w:r>
      <w:r>
        <w:rPr>
          <w:spacing w:val="-2"/>
          <w:sz w:val="23"/>
        </w:rPr>
        <w:t>densidade</w:t>
      </w:r>
      <w:r>
        <w:rPr>
          <w:spacing w:val="-3"/>
          <w:sz w:val="23"/>
        </w:rPr>
        <w:t> </w:t>
      </w:r>
      <w:r>
        <w:rPr>
          <w:spacing w:val="-2"/>
          <w:sz w:val="23"/>
        </w:rPr>
        <w:t>tomográfica</w:t>
      </w:r>
      <w:r>
        <w:rPr>
          <w:spacing w:val="-4"/>
          <w:sz w:val="23"/>
        </w:rPr>
        <w:t> </w:t>
      </w:r>
      <w:r>
        <w:rPr>
          <w:spacing w:val="-2"/>
          <w:sz w:val="23"/>
        </w:rPr>
        <w:t>do</w:t>
      </w:r>
      <w:r>
        <w:rPr>
          <w:spacing w:val="-1"/>
          <w:sz w:val="23"/>
        </w:rPr>
        <w:t> </w:t>
      </w:r>
      <w:r>
        <w:rPr>
          <w:spacing w:val="-2"/>
          <w:sz w:val="23"/>
        </w:rPr>
        <w:t>subcutâneo</w:t>
      </w:r>
    </w:p>
    <w:p>
      <w:pPr>
        <w:pStyle w:val="ListParagraph"/>
        <w:numPr>
          <w:ilvl w:val="0"/>
          <w:numId w:val="35"/>
        </w:numPr>
        <w:tabs>
          <w:tab w:pos="397" w:val="left" w:leader="none"/>
        </w:tabs>
        <w:spacing w:line="240" w:lineRule="auto" w:before="55" w:after="0"/>
        <w:ind w:left="397" w:right="0" w:hanging="329"/>
        <w:jc w:val="left"/>
        <w:rPr>
          <w:sz w:val="23"/>
        </w:rPr>
      </w:pPr>
      <w:r>
        <w:rPr>
          <w:spacing w:val="-2"/>
          <w:sz w:val="23"/>
        </w:rPr>
        <w:t>Diminuição</w:t>
      </w:r>
      <w:r>
        <w:rPr>
          <w:spacing w:val="-3"/>
          <w:sz w:val="23"/>
        </w:rPr>
        <w:t> </w:t>
      </w:r>
      <w:r>
        <w:rPr>
          <w:spacing w:val="-2"/>
          <w:sz w:val="23"/>
        </w:rPr>
        <w:t>do</w:t>
      </w:r>
      <w:r>
        <w:rPr>
          <w:spacing w:val="-3"/>
          <w:sz w:val="23"/>
        </w:rPr>
        <w:t> </w:t>
      </w:r>
      <w:r>
        <w:rPr>
          <w:spacing w:val="-2"/>
          <w:sz w:val="23"/>
        </w:rPr>
        <w:t>compartimento</w:t>
      </w:r>
      <w:r>
        <w:rPr>
          <w:spacing w:val="-3"/>
          <w:sz w:val="23"/>
        </w:rPr>
        <w:t> </w:t>
      </w:r>
      <w:r>
        <w:rPr>
          <w:spacing w:val="-2"/>
          <w:sz w:val="23"/>
        </w:rPr>
        <w:t>muscular</w:t>
      </w:r>
      <w:r>
        <w:rPr>
          <w:spacing w:val="2"/>
          <w:sz w:val="23"/>
        </w:rPr>
        <w:t> </w:t>
      </w:r>
      <w:r>
        <w:rPr>
          <w:spacing w:val="-2"/>
          <w:sz w:val="23"/>
        </w:rPr>
        <w:t>por</w:t>
      </w:r>
      <w:r>
        <w:rPr>
          <w:spacing w:val="3"/>
          <w:sz w:val="23"/>
        </w:rPr>
        <w:t> </w:t>
      </w:r>
      <w:r>
        <w:rPr>
          <w:spacing w:val="-2"/>
          <w:sz w:val="23"/>
        </w:rPr>
        <w:t>atrofia.</w:t>
      </w:r>
    </w:p>
    <w:p>
      <w:pPr>
        <w:pStyle w:val="BodyText"/>
        <w:spacing w:before="16"/>
        <w:ind w:left="0" w:firstLine="0"/>
        <w:jc w:val="left"/>
      </w:pPr>
    </w:p>
    <w:p>
      <w:pPr>
        <w:pStyle w:val="BodyText"/>
        <w:spacing w:line="276" w:lineRule="auto" w:before="0"/>
        <w:ind w:right="497"/>
        <w:jc w:val="left"/>
      </w:pPr>
      <w:r>
        <w:rPr/>
        <w:t>No edema de origem venosa, não há espessamento da pele, a densidade do subcutâneo é próxima do normal e ocorre aumento do compartimento muscular pelo edema.</w:t>
      </w:r>
    </w:p>
    <w:p>
      <w:pPr>
        <w:pStyle w:val="BodyText"/>
        <w:spacing w:line="276" w:lineRule="auto" w:before="48"/>
        <w:jc w:val="left"/>
      </w:pPr>
      <w:r>
        <w:rPr/>
        <w:t>A</w:t>
      </w:r>
      <w:r>
        <w:rPr>
          <w:spacing w:val="32"/>
        </w:rPr>
        <w:t> </w:t>
      </w:r>
      <w:r>
        <w:rPr/>
        <w:t>avaliação</w:t>
      </w:r>
      <w:r>
        <w:rPr>
          <w:spacing w:val="35"/>
        </w:rPr>
        <w:t> </w:t>
      </w:r>
      <w:r>
        <w:rPr/>
        <w:t>da</w:t>
      </w:r>
      <w:r>
        <w:rPr>
          <w:spacing w:val="32"/>
        </w:rPr>
        <w:t> </w:t>
      </w:r>
      <w:r>
        <w:rPr/>
        <w:t>eficácia</w:t>
      </w:r>
      <w:r>
        <w:rPr>
          <w:spacing w:val="32"/>
        </w:rPr>
        <w:t> </w:t>
      </w:r>
      <w:r>
        <w:rPr/>
        <w:t>do</w:t>
      </w:r>
      <w:r>
        <w:rPr>
          <w:spacing w:val="35"/>
        </w:rPr>
        <w:t> </w:t>
      </w:r>
      <w:r>
        <w:rPr/>
        <w:t>tratamento</w:t>
      </w:r>
      <w:r>
        <w:rPr>
          <w:spacing w:val="35"/>
        </w:rPr>
        <w:t> </w:t>
      </w:r>
      <w:r>
        <w:rPr/>
        <w:t>conservador</w:t>
      </w:r>
      <w:r>
        <w:rPr>
          <w:spacing w:val="40"/>
        </w:rPr>
        <w:t> </w:t>
      </w:r>
      <w:r>
        <w:rPr/>
        <w:t>pode</w:t>
      </w:r>
      <w:r>
        <w:rPr>
          <w:spacing w:val="32"/>
        </w:rPr>
        <w:t> </w:t>
      </w:r>
      <w:r>
        <w:rPr/>
        <w:t>ser</w:t>
      </w:r>
      <w:r>
        <w:rPr>
          <w:spacing w:val="40"/>
        </w:rPr>
        <w:t> </w:t>
      </w:r>
      <w:r>
        <w:rPr/>
        <w:t>feita</w:t>
      </w:r>
      <w:r>
        <w:rPr>
          <w:spacing w:val="32"/>
        </w:rPr>
        <w:t> </w:t>
      </w:r>
      <w:r>
        <w:rPr/>
        <w:t>por</w:t>
      </w:r>
      <w:r>
        <w:rPr>
          <w:spacing w:val="40"/>
        </w:rPr>
        <w:t> </w:t>
      </w:r>
      <w:r>
        <w:rPr/>
        <w:t>estudos</w:t>
      </w:r>
      <w:r>
        <w:rPr>
          <w:spacing w:val="40"/>
        </w:rPr>
        <w:t> </w:t>
      </w:r>
      <w:r>
        <w:rPr/>
        <w:t>tomográficos</w:t>
      </w:r>
      <w:r>
        <w:rPr>
          <w:spacing w:val="40"/>
        </w:rPr>
        <w:t> </w:t>
      </w:r>
      <w:r>
        <w:rPr/>
        <w:t>de</w:t>
      </w:r>
      <w:r>
        <w:rPr>
          <w:spacing w:val="32"/>
        </w:rPr>
        <w:t> </w:t>
      </w:r>
      <w:r>
        <w:rPr/>
        <w:t>controle.</w:t>
      </w:r>
      <w:r>
        <w:rPr>
          <w:spacing w:val="40"/>
        </w:rPr>
        <w:t> </w:t>
      </w:r>
      <w:r>
        <w:rPr/>
        <w:t>A obstrução linfática por invasão ou compressão tumoral também pode ser avaliada por TC.</w:t>
      </w:r>
    </w:p>
    <w:p>
      <w:pPr>
        <w:pStyle w:val="BodyText"/>
        <w:spacing w:before="134"/>
        <w:ind w:left="0" w:firstLine="0"/>
        <w:jc w:val="left"/>
      </w:pPr>
    </w:p>
    <w:p>
      <w:pPr>
        <w:pStyle w:val="Heading5"/>
      </w:pPr>
      <w:r>
        <w:rPr>
          <w:color w:val="A26108"/>
        </w:rPr>
        <w:t>Linfografia</w:t>
      </w:r>
      <w:r>
        <w:rPr>
          <w:color w:val="A26108"/>
          <w:spacing w:val="31"/>
        </w:rPr>
        <w:t> </w:t>
      </w:r>
      <w:r>
        <w:rPr>
          <w:color w:val="A26108"/>
          <w:spacing w:val="-2"/>
        </w:rPr>
        <w:t>radiológica</w:t>
      </w:r>
    </w:p>
    <w:p>
      <w:pPr>
        <w:pStyle w:val="BodyText"/>
        <w:spacing w:line="276" w:lineRule="auto" w:before="138"/>
        <w:ind w:right="491"/>
      </w:pPr>
      <w:r>
        <w:rPr/>
        <w:t>Consiste no estudo anatômico-radioscópico do sistema linfático utilizando-se uma substância de contraste, em geral lipiodol ultrafluido, que é injetado diretamente no gânglio ou no vaso linfático.</w:t>
      </w:r>
    </w:p>
    <w:p>
      <w:pPr>
        <w:pStyle w:val="BodyText"/>
        <w:spacing w:line="283" w:lineRule="auto" w:before="64"/>
        <w:ind w:right="500"/>
      </w:pPr>
      <w:r>
        <w:rPr/>
        <w:t>Embora</w:t>
      </w:r>
      <w:r>
        <w:rPr>
          <w:spacing w:val="-1"/>
        </w:rPr>
        <w:t> </w:t>
      </w:r>
      <w:r>
        <w:rPr/>
        <w:t>tenha</w:t>
      </w:r>
      <w:r>
        <w:rPr>
          <w:spacing w:val="-1"/>
        </w:rPr>
        <w:t> </w:t>
      </w:r>
      <w:r>
        <w:rPr/>
        <w:t>sido muito utilizado no passado, devido às possíveis complicações como linfangites, fenômenos alérgicos e</w:t>
      </w:r>
      <w:r>
        <w:rPr>
          <w:spacing w:val="-2"/>
        </w:rPr>
        <w:t> </w:t>
      </w:r>
      <w:r>
        <w:rPr/>
        <w:t>embolia</w:t>
      </w:r>
      <w:r>
        <w:rPr>
          <w:spacing w:val="-2"/>
        </w:rPr>
        <w:t> </w:t>
      </w:r>
      <w:r>
        <w:rPr/>
        <w:t>pulmonar e, ainda</w:t>
      </w:r>
      <w:r>
        <w:rPr>
          <w:spacing w:val="-2"/>
        </w:rPr>
        <w:t> </w:t>
      </w:r>
      <w:r>
        <w:rPr/>
        <w:t>com o advento da</w:t>
      </w:r>
      <w:r>
        <w:rPr>
          <w:spacing w:val="-2"/>
        </w:rPr>
        <w:t> </w:t>
      </w:r>
      <w:r>
        <w:rPr/>
        <w:t>linfocintigrafia, sua</w:t>
      </w:r>
      <w:r>
        <w:rPr>
          <w:spacing w:val="-2"/>
        </w:rPr>
        <w:t> </w:t>
      </w:r>
      <w:r>
        <w:rPr/>
        <w:t>indicação atualmente</w:t>
      </w:r>
      <w:r>
        <w:rPr>
          <w:spacing w:val="-2"/>
        </w:rPr>
        <w:t> </w:t>
      </w:r>
      <w:r>
        <w:rPr/>
        <w:t>é</w:t>
      </w:r>
      <w:r>
        <w:rPr>
          <w:spacing w:val="-2"/>
        </w:rPr>
        <w:t> </w:t>
      </w:r>
      <w:r>
        <w:rPr/>
        <w:t>muito restrita, podendo-se citar algumas indicações relativas:</w:t>
      </w:r>
      <w:r>
        <w:rPr>
          <w:vertAlign w:val="superscript"/>
        </w:rPr>
        <w:t>13</w:t>
      </w:r>
    </w:p>
    <w:p>
      <w:pPr>
        <w:pStyle w:val="ListParagraph"/>
        <w:numPr>
          <w:ilvl w:val="0"/>
          <w:numId w:val="35"/>
        </w:numPr>
        <w:tabs>
          <w:tab w:pos="397" w:val="left" w:leader="none"/>
        </w:tabs>
        <w:spacing w:line="240" w:lineRule="auto" w:before="153" w:after="0"/>
        <w:ind w:left="397" w:right="0" w:hanging="329"/>
        <w:jc w:val="left"/>
        <w:rPr>
          <w:sz w:val="23"/>
        </w:rPr>
      </w:pPr>
      <w:r>
        <w:rPr>
          <w:sz w:val="23"/>
        </w:rPr>
        <w:t>No</w:t>
      </w:r>
      <w:r>
        <w:rPr>
          <w:spacing w:val="-3"/>
          <w:sz w:val="23"/>
        </w:rPr>
        <w:t> </w:t>
      </w:r>
      <w:r>
        <w:rPr>
          <w:sz w:val="23"/>
        </w:rPr>
        <w:t>caso</w:t>
      </w:r>
      <w:r>
        <w:rPr>
          <w:spacing w:val="-3"/>
          <w:sz w:val="23"/>
        </w:rPr>
        <w:t> </w:t>
      </w:r>
      <w:r>
        <w:rPr>
          <w:sz w:val="23"/>
        </w:rPr>
        <w:t>de</w:t>
      </w:r>
      <w:r>
        <w:rPr>
          <w:spacing w:val="-6"/>
          <w:sz w:val="23"/>
        </w:rPr>
        <w:t> </w:t>
      </w:r>
      <w:r>
        <w:rPr>
          <w:sz w:val="23"/>
        </w:rPr>
        <w:t>quilo</w:t>
      </w:r>
      <w:r>
        <w:rPr>
          <w:spacing w:val="-3"/>
          <w:sz w:val="23"/>
        </w:rPr>
        <w:t> </w:t>
      </w:r>
      <w:r>
        <w:rPr>
          <w:sz w:val="23"/>
        </w:rPr>
        <w:t>na</w:t>
      </w:r>
      <w:r>
        <w:rPr>
          <w:spacing w:val="-5"/>
          <w:sz w:val="23"/>
        </w:rPr>
        <w:t> </w:t>
      </w:r>
      <w:r>
        <w:rPr>
          <w:sz w:val="23"/>
        </w:rPr>
        <w:t>urina</w:t>
      </w:r>
      <w:r>
        <w:rPr>
          <w:spacing w:val="-6"/>
          <w:sz w:val="23"/>
        </w:rPr>
        <w:t> </w:t>
      </w:r>
      <w:r>
        <w:rPr>
          <w:sz w:val="23"/>
        </w:rPr>
        <w:t>ou</w:t>
      </w:r>
      <w:r>
        <w:rPr>
          <w:spacing w:val="-2"/>
          <w:sz w:val="23"/>
        </w:rPr>
        <w:t> quilúria</w:t>
      </w:r>
    </w:p>
    <w:p>
      <w:pPr>
        <w:pStyle w:val="ListParagraph"/>
        <w:numPr>
          <w:ilvl w:val="0"/>
          <w:numId w:val="35"/>
        </w:numPr>
        <w:tabs>
          <w:tab w:pos="397" w:val="left" w:leader="none"/>
        </w:tabs>
        <w:spacing w:line="240" w:lineRule="auto" w:before="56" w:after="0"/>
        <w:ind w:left="397" w:right="0" w:hanging="329"/>
        <w:jc w:val="left"/>
        <w:rPr>
          <w:sz w:val="23"/>
        </w:rPr>
      </w:pPr>
      <w:r>
        <w:rPr>
          <w:sz w:val="23"/>
        </w:rPr>
        <w:t>Na</w:t>
      </w:r>
      <w:r>
        <w:rPr>
          <w:spacing w:val="-13"/>
          <w:sz w:val="23"/>
        </w:rPr>
        <w:t> </w:t>
      </w:r>
      <w:r>
        <w:rPr>
          <w:sz w:val="23"/>
        </w:rPr>
        <w:t>localização</w:t>
      </w:r>
      <w:r>
        <w:rPr>
          <w:spacing w:val="-11"/>
          <w:sz w:val="23"/>
        </w:rPr>
        <w:t> </w:t>
      </w:r>
      <w:r>
        <w:rPr>
          <w:sz w:val="23"/>
        </w:rPr>
        <w:t>de</w:t>
      </w:r>
      <w:r>
        <w:rPr>
          <w:spacing w:val="-13"/>
          <w:sz w:val="23"/>
        </w:rPr>
        <w:t> </w:t>
      </w:r>
      <w:r>
        <w:rPr>
          <w:sz w:val="23"/>
        </w:rPr>
        <w:t>pontos</w:t>
      </w:r>
      <w:r>
        <w:rPr>
          <w:spacing w:val="-3"/>
          <w:sz w:val="23"/>
        </w:rPr>
        <w:t> </w:t>
      </w:r>
      <w:r>
        <w:rPr>
          <w:sz w:val="23"/>
        </w:rPr>
        <w:t>de</w:t>
      </w:r>
      <w:r>
        <w:rPr>
          <w:spacing w:val="-13"/>
          <w:sz w:val="23"/>
        </w:rPr>
        <w:t> </w:t>
      </w:r>
      <w:r>
        <w:rPr>
          <w:sz w:val="23"/>
        </w:rPr>
        <w:t>refluxo</w:t>
      </w:r>
      <w:r>
        <w:rPr>
          <w:spacing w:val="-11"/>
          <w:sz w:val="23"/>
        </w:rPr>
        <w:t> </w:t>
      </w:r>
      <w:r>
        <w:rPr>
          <w:sz w:val="23"/>
        </w:rPr>
        <w:t>nas</w:t>
      </w:r>
      <w:r>
        <w:rPr>
          <w:spacing w:val="-3"/>
          <w:sz w:val="23"/>
        </w:rPr>
        <w:t> </w:t>
      </w:r>
      <w:r>
        <w:rPr>
          <w:spacing w:val="-2"/>
          <w:sz w:val="23"/>
        </w:rPr>
        <w:t>fístulas</w:t>
      </w:r>
    </w:p>
    <w:p>
      <w:pPr>
        <w:pStyle w:val="ListParagraph"/>
        <w:numPr>
          <w:ilvl w:val="0"/>
          <w:numId w:val="35"/>
        </w:numPr>
        <w:tabs>
          <w:tab w:pos="397" w:val="left" w:leader="none"/>
        </w:tabs>
        <w:spacing w:line="240" w:lineRule="auto" w:before="56" w:after="0"/>
        <w:ind w:left="397" w:right="0" w:hanging="329"/>
        <w:jc w:val="left"/>
        <w:rPr>
          <w:sz w:val="23"/>
        </w:rPr>
      </w:pPr>
      <w:r>
        <w:rPr>
          <w:sz w:val="23"/>
        </w:rPr>
        <w:t>Na</w:t>
      </w:r>
      <w:r>
        <w:rPr>
          <w:spacing w:val="-13"/>
          <w:sz w:val="23"/>
        </w:rPr>
        <w:t> </w:t>
      </w:r>
      <w:r>
        <w:rPr>
          <w:sz w:val="23"/>
        </w:rPr>
        <w:t>avaliação</w:t>
      </w:r>
      <w:r>
        <w:rPr>
          <w:spacing w:val="-10"/>
          <w:sz w:val="23"/>
        </w:rPr>
        <w:t> </w:t>
      </w:r>
      <w:r>
        <w:rPr>
          <w:sz w:val="23"/>
        </w:rPr>
        <w:t>do</w:t>
      </w:r>
      <w:r>
        <w:rPr>
          <w:spacing w:val="-10"/>
          <w:sz w:val="23"/>
        </w:rPr>
        <w:t> </w:t>
      </w:r>
      <w:r>
        <w:rPr>
          <w:sz w:val="23"/>
        </w:rPr>
        <w:t>sistema</w:t>
      </w:r>
      <w:r>
        <w:rPr>
          <w:spacing w:val="-13"/>
          <w:sz w:val="23"/>
        </w:rPr>
        <w:t> </w:t>
      </w:r>
      <w:r>
        <w:rPr>
          <w:sz w:val="23"/>
        </w:rPr>
        <w:t>linfático</w:t>
      </w:r>
      <w:r>
        <w:rPr>
          <w:spacing w:val="-10"/>
          <w:sz w:val="23"/>
        </w:rPr>
        <w:t> </w:t>
      </w:r>
      <w:r>
        <w:rPr>
          <w:sz w:val="23"/>
        </w:rPr>
        <w:t>de</w:t>
      </w:r>
      <w:r>
        <w:rPr>
          <w:spacing w:val="-12"/>
          <w:sz w:val="23"/>
        </w:rPr>
        <w:t> </w:t>
      </w:r>
      <w:r>
        <w:rPr>
          <w:sz w:val="23"/>
        </w:rPr>
        <w:t>extremidades</w:t>
      </w:r>
      <w:r>
        <w:rPr>
          <w:spacing w:val="-3"/>
          <w:sz w:val="23"/>
        </w:rPr>
        <w:t> </w:t>
      </w:r>
      <w:r>
        <w:rPr>
          <w:sz w:val="23"/>
        </w:rPr>
        <w:t>para</w:t>
      </w:r>
      <w:r>
        <w:rPr>
          <w:spacing w:val="-13"/>
          <w:sz w:val="23"/>
        </w:rPr>
        <w:t> </w:t>
      </w:r>
      <w:r>
        <w:rPr>
          <w:sz w:val="23"/>
        </w:rPr>
        <w:t>realização</w:t>
      </w:r>
      <w:r>
        <w:rPr>
          <w:spacing w:val="-10"/>
          <w:sz w:val="23"/>
        </w:rPr>
        <w:t> </w:t>
      </w:r>
      <w:r>
        <w:rPr>
          <w:sz w:val="23"/>
        </w:rPr>
        <w:t>de</w:t>
      </w:r>
      <w:r>
        <w:rPr>
          <w:spacing w:val="-13"/>
          <w:sz w:val="23"/>
        </w:rPr>
        <w:t> </w:t>
      </w:r>
      <w:r>
        <w:rPr>
          <w:sz w:val="23"/>
        </w:rPr>
        <w:t>cirurgias</w:t>
      </w:r>
      <w:r>
        <w:rPr>
          <w:spacing w:val="-3"/>
          <w:sz w:val="23"/>
        </w:rPr>
        <w:t> </w:t>
      </w:r>
      <w:r>
        <w:rPr>
          <w:sz w:val="23"/>
        </w:rPr>
        <w:t>diretas</w:t>
      </w:r>
      <w:r>
        <w:rPr>
          <w:spacing w:val="-3"/>
          <w:sz w:val="23"/>
        </w:rPr>
        <w:t> </w:t>
      </w:r>
      <w:r>
        <w:rPr>
          <w:sz w:val="23"/>
        </w:rPr>
        <w:t>sobre</w:t>
      </w:r>
      <w:r>
        <w:rPr>
          <w:spacing w:val="-12"/>
          <w:sz w:val="23"/>
        </w:rPr>
        <w:t> </w:t>
      </w:r>
      <w:r>
        <w:rPr>
          <w:sz w:val="23"/>
        </w:rPr>
        <w:t>os</w:t>
      </w:r>
      <w:r>
        <w:rPr>
          <w:spacing w:val="-3"/>
          <w:sz w:val="23"/>
        </w:rPr>
        <w:t> </w:t>
      </w:r>
      <w:r>
        <w:rPr>
          <w:sz w:val="23"/>
        </w:rPr>
        <w:t>vasos</w:t>
      </w:r>
      <w:r>
        <w:rPr>
          <w:spacing w:val="-3"/>
          <w:sz w:val="23"/>
        </w:rPr>
        <w:t> </w:t>
      </w:r>
      <w:r>
        <w:rPr>
          <w:spacing w:val="-2"/>
          <w:sz w:val="23"/>
        </w:rPr>
        <w:t>linfáticos</w:t>
      </w:r>
    </w:p>
    <w:p>
      <w:pPr>
        <w:pStyle w:val="ListParagraph"/>
        <w:numPr>
          <w:ilvl w:val="0"/>
          <w:numId w:val="35"/>
        </w:numPr>
        <w:tabs>
          <w:tab w:pos="437" w:val="left" w:leader="none"/>
        </w:tabs>
        <w:spacing w:line="276" w:lineRule="auto" w:before="72" w:after="0"/>
        <w:ind w:left="68" w:right="489" w:firstLine="0"/>
        <w:jc w:val="both"/>
        <w:rPr>
          <w:sz w:val="23"/>
        </w:rPr>
      </w:pPr>
      <w:r>
        <w:rPr>
          <w:sz w:val="23"/>
        </w:rPr>
        <w:t>Na diferenciação de quadros de aplasia, hipoplasia (linfedema primário congênito) e hiperplasia (linfedema secundário) dos vasos linfáticos, particularmente quando não se dispõe de linfocintigrafia ou quando esse exame não demonstra resultados conclusivos.</w:t>
      </w:r>
    </w:p>
    <w:p>
      <w:pPr>
        <w:pStyle w:val="BodyText"/>
        <w:spacing w:before="133"/>
        <w:ind w:left="0" w:firstLine="0"/>
        <w:jc w:val="left"/>
      </w:pPr>
    </w:p>
    <w:p>
      <w:pPr>
        <w:pStyle w:val="Heading5"/>
        <w:spacing w:before="1"/>
      </w:pPr>
      <w:r>
        <w:rPr>
          <w:color w:val="A26108"/>
        </w:rPr>
        <w:t>Linfografia</w:t>
      </w:r>
      <w:r>
        <w:rPr>
          <w:color w:val="A26108"/>
          <w:spacing w:val="28"/>
        </w:rPr>
        <w:t> </w:t>
      </w:r>
      <w:r>
        <w:rPr>
          <w:color w:val="A26108"/>
        </w:rPr>
        <w:t>radioisotópica</w:t>
      </w:r>
      <w:r>
        <w:rPr>
          <w:color w:val="A26108"/>
          <w:spacing w:val="28"/>
        </w:rPr>
        <w:t> </w:t>
      </w:r>
      <w:r>
        <w:rPr>
          <w:color w:val="A26108"/>
        </w:rPr>
        <w:t>ou</w:t>
      </w:r>
      <w:r>
        <w:rPr>
          <w:color w:val="A26108"/>
          <w:spacing w:val="29"/>
        </w:rPr>
        <w:t> </w:t>
      </w:r>
      <w:r>
        <w:rPr>
          <w:color w:val="A26108"/>
          <w:spacing w:val="-2"/>
        </w:rPr>
        <w:t>linfocintigrafia</w:t>
      </w:r>
    </w:p>
    <w:p>
      <w:pPr>
        <w:pStyle w:val="BodyText"/>
        <w:spacing w:line="276" w:lineRule="auto" w:before="138"/>
        <w:ind w:right="501"/>
      </w:pPr>
      <w:r>
        <w:rPr/>
        <w:t>Estuda a drenagem linfática espontânea de radiofármacos, que pode ser comparada ao fluxo linfático real. Possibilita o</w:t>
      </w:r>
      <w:r>
        <w:rPr>
          <w:spacing w:val="13"/>
        </w:rPr>
        <w:t> </w:t>
      </w:r>
      <w:r>
        <w:rPr/>
        <w:t>estudo</w:t>
      </w:r>
      <w:r>
        <w:rPr>
          <w:spacing w:val="13"/>
        </w:rPr>
        <w:t> </w:t>
      </w:r>
      <w:r>
        <w:rPr/>
        <w:t>dinâmico</w:t>
      </w:r>
      <w:r>
        <w:rPr>
          <w:spacing w:val="13"/>
        </w:rPr>
        <w:t> </w:t>
      </w:r>
      <w:r>
        <w:rPr/>
        <w:t>da função</w:t>
      </w:r>
      <w:r>
        <w:rPr>
          <w:spacing w:val="13"/>
        </w:rPr>
        <w:t> </w:t>
      </w:r>
      <w:r>
        <w:rPr/>
        <w:t>do</w:t>
      </w:r>
      <w:r>
        <w:rPr>
          <w:spacing w:val="13"/>
        </w:rPr>
        <w:t> </w:t>
      </w:r>
      <w:r>
        <w:rPr/>
        <w:t>sistema linfático</w:t>
      </w:r>
      <w:r>
        <w:rPr>
          <w:spacing w:val="13"/>
        </w:rPr>
        <w:t> </w:t>
      </w:r>
      <w:r>
        <w:rPr/>
        <w:t>e diagnostica o</w:t>
      </w:r>
      <w:r>
        <w:rPr>
          <w:spacing w:val="13"/>
        </w:rPr>
        <w:t> </w:t>
      </w:r>
      <w:r>
        <w:rPr/>
        <w:t>grau</w:t>
      </w:r>
      <w:r>
        <w:rPr>
          <w:spacing w:val="13"/>
        </w:rPr>
        <w:t> </w:t>
      </w:r>
      <w:r>
        <w:rPr/>
        <w:t>de acometimento</w:t>
      </w:r>
      <w:r>
        <w:rPr>
          <w:spacing w:val="13"/>
        </w:rPr>
        <w:t> </w:t>
      </w:r>
      <w:r>
        <w:rPr/>
        <w:t>das</w:t>
      </w:r>
      <w:r>
        <w:rPr>
          <w:spacing w:val="21"/>
        </w:rPr>
        <w:t> </w:t>
      </w:r>
      <w:r>
        <w:rPr/>
        <w:t>estruturas</w:t>
      </w:r>
    </w:p>
    <w:p>
      <w:pPr>
        <w:pStyle w:val="BodyText"/>
        <w:spacing w:after="0" w:line="276" w:lineRule="auto"/>
        <w:sectPr>
          <w:pgSz w:w="11900" w:h="16840"/>
          <w:pgMar w:top="140" w:bottom="280" w:left="566" w:right="141"/>
        </w:sectPr>
      </w:pPr>
    </w:p>
    <w:p>
      <w:pPr>
        <w:pStyle w:val="BodyText"/>
        <w:spacing w:before="83"/>
        <w:ind w:firstLine="0"/>
      </w:pPr>
      <w:r>
        <w:rPr/>
        <w:t>linfáticas.</w:t>
      </w:r>
      <w:r>
        <w:rPr>
          <w:spacing w:val="-11"/>
        </w:rPr>
        <w:t> </w:t>
      </w:r>
      <w:r>
        <w:rPr/>
        <w:t>Suas</w:t>
      </w:r>
      <w:r>
        <w:rPr>
          <w:spacing w:val="-10"/>
        </w:rPr>
        <w:t> </w:t>
      </w:r>
      <w:r>
        <w:rPr/>
        <w:t>principais</w:t>
      </w:r>
      <w:r>
        <w:rPr>
          <w:spacing w:val="-11"/>
        </w:rPr>
        <w:t> </w:t>
      </w:r>
      <w:r>
        <w:rPr/>
        <w:t>indicações</w:t>
      </w:r>
      <w:r>
        <w:rPr>
          <w:spacing w:val="-10"/>
        </w:rPr>
        <w:t> </w:t>
      </w:r>
      <w:r>
        <w:rPr>
          <w:spacing w:val="-2"/>
        </w:rPr>
        <w:t>são:</w:t>
      </w:r>
      <w:r>
        <w:rPr>
          <w:spacing w:val="-2"/>
          <w:vertAlign w:val="superscript"/>
        </w:rPr>
        <w:t>12</w:t>
      </w:r>
    </w:p>
    <w:p>
      <w:pPr>
        <w:pStyle w:val="ListParagraph"/>
        <w:numPr>
          <w:ilvl w:val="0"/>
          <w:numId w:val="35"/>
        </w:numPr>
        <w:tabs>
          <w:tab w:pos="417" w:val="left" w:leader="none"/>
        </w:tabs>
        <w:spacing w:line="276" w:lineRule="auto" w:before="199" w:after="0"/>
        <w:ind w:left="68" w:right="502" w:firstLine="0"/>
        <w:jc w:val="both"/>
        <w:rPr>
          <w:sz w:val="23"/>
        </w:rPr>
      </w:pPr>
      <w:r>
        <w:rPr>
          <w:sz w:val="23"/>
        </w:rPr>
        <w:t>Diagnóstico diferencial dos edemas: é o método inicial de escolha para afastar ou confirmar lesões linfáticas, demonstrando precocemente um acúmulo do radiofármaco nas regiões distais e/ou demora em aparecer nos linfonodos regionais</w:t>
      </w:r>
    </w:p>
    <w:p>
      <w:pPr>
        <w:pStyle w:val="ListParagraph"/>
        <w:numPr>
          <w:ilvl w:val="0"/>
          <w:numId w:val="35"/>
        </w:numPr>
        <w:tabs>
          <w:tab w:pos="395" w:val="left" w:leader="none"/>
        </w:tabs>
        <w:spacing w:line="240" w:lineRule="auto" w:before="33" w:after="0"/>
        <w:ind w:left="395" w:right="0" w:hanging="327"/>
        <w:jc w:val="both"/>
        <w:rPr>
          <w:sz w:val="23"/>
        </w:rPr>
      </w:pPr>
      <w:r>
        <w:rPr>
          <w:sz w:val="23"/>
        </w:rPr>
        <w:t>Controle</w:t>
      </w:r>
      <w:r>
        <w:rPr>
          <w:spacing w:val="-12"/>
          <w:sz w:val="23"/>
        </w:rPr>
        <w:t> </w:t>
      </w:r>
      <w:r>
        <w:rPr>
          <w:sz w:val="23"/>
        </w:rPr>
        <w:t>do</w:t>
      </w:r>
      <w:r>
        <w:rPr>
          <w:spacing w:val="-10"/>
          <w:sz w:val="23"/>
        </w:rPr>
        <w:t> </w:t>
      </w:r>
      <w:r>
        <w:rPr>
          <w:sz w:val="23"/>
        </w:rPr>
        <w:t>tratamento</w:t>
      </w:r>
      <w:r>
        <w:rPr>
          <w:spacing w:val="-10"/>
          <w:sz w:val="23"/>
        </w:rPr>
        <w:t> </w:t>
      </w:r>
      <w:r>
        <w:rPr>
          <w:sz w:val="23"/>
        </w:rPr>
        <w:t>do</w:t>
      </w:r>
      <w:r>
        <w:rPr>
          <w:spacing w:val="-9"/>
          <w:sz w:val="23"/>
        </w:rPr>
        <w:t> </w:t>
      </w:r>
      <w:r>
        <w:rPr>
          <w:sz w:val="23"/>
        </w:rPr>
        <w:t>linfedema,</w:t>
      </w:r>
      <w:r>
        <w:rPr>
          <w:spacing w:val="-3"/>
          <w:sz w:val="23"/>
        </w:rPr>
        <w:t> </w:t>
      </w:r>
      <w:r>
        <w:rPr>
          <w:sz w:val="23"/>
        </w:rPr>
        <w:t>avaliando</w:t>
      </w:r>
      <w:r>
        <w:rPr>
          <w:spacing w:val="-9"/>
          <w:sz w:val="23"/>
        </w:rPr>
        <w:t> </w:t>
      </w:r>
      <w:r>
        <w:rPr>
          <w:sz w:val="23"/>
        </w:rPr>
        <w:t>os</w:t>
      </w:r>
      <w:r>
        <w:rPr>
          <w:spacing w:val="-3"/>
          <w:sz w:val="23"/>
        </w:rPr>
        <w:t> </w:t>
      </w:r>
      <w:r>
        <w:rPr>
          <w:sz w:val="23"/>
        </w:rPr>
        <w:t>resultados</w:t>
      </w:r>
      <w:r>
        <w:rPr>
          <w:spacing w:val="-2"/>
          <w:sz w:val="23"/>
        </w:rPr>
        <w:t> </w:t>
      </w:r>
      <w:r>
        <w:rPr>
          <w:sz w:val="23"/>
        </w:rPr>
        <w:t>dos</w:t>
      </w:r>
      <w:r>
        <w:rPr>
          <w:spacing w:val="-3"/>
          <w:sz w:val="23"/>
        </w:rPr>
        <w:t> </w:t>
      </w:r>
      <w:r>
        <w:rPr>
          <w:sz w:val="23"/>
        </w:rPr>
        <w:t>mesmos,</w:t>
      </w:r>
      <w:r>
        <w:rPr>
          <w:spacing w:val="-2"/>
          <w:sz w:val="23"/>
        </w:rPr>
        <w:t> </w:t>
      </w:r>
      <w:r>
        <w:rPr>
          <w:sz w:val="23"/>
        </w:rPr>
        <w:t>seja</w:t>
      </w:r>
      <w:r>
        <w:rPr>
          <w:spacing w:val="-12"/>
          <w:sz w:val="23"/>
        </w:rPr>
        <w:t> </w:t>
      </w:r>
      <w:r>
        <w:rPr>
          <w:sz w:val="23"/>
        </w:rPr>
        <w:t>conservador</w:t>
      </w:r>
      <w:r>
        <w:rPr>
          <w:spacing w:val="-5"/>
          <w:sz w:val="23"/>
        </w:rPr>
        <w:t> </w:t>
      </w:r>
      <w:r>
        <w:rPr>
          <w:sz w:val="23"/>
        </w:rPr>
        <w:t>ou</w:t>
      </w:r>
      <w:r>
        <w:rPr>
          <w:spacing w:val="-9"/>
          <w:sz w:val="23"/>
        </w:rPr>
        <w:t> </w:t>
      </w:r>
      <w:r>
        <w:rPr>
          <w:spacing w:val="-2"/>
          <w:sz w:val="23"/>
        </w:rPr>
        <w:t>cirúrgico</w:t>
      </w:r>
    </w:p>
    <w:p>
      <w:pPr>
        <w:pStyle w:val="ListParagraph"/>
        <w:numPr>
          <w:ilvl w:val="0"/>
          <w:numId w:val="35"/>
        </w:numPr>
        <w:tabs>
          <w:tab w:pos="402" w:val="left" w:leader="none"/>
        </w:tabs>
        <w:spacing w:line="276" w:lineRule="auto" w:before="56" w:after="0"/>
        <w:ind w:left="68" w:right="489" w:firstLine="0"/>
        <w:jc w:val="both"/>
        <w:rPr>
          <w:sz w:val="23"/>
        </w:rPr>
      </w:pPr>
      <w:r>
        <w:rPr>
          <w:sz w:val="23"/>
        </w:rPr>
        <w:t>Localização</w:t>
      </w:r>
      <w:r>
        <w:rPr>
          <w:spacing w:val="-6"/>
          <w:sz w:val="23"/>
        </w:rPr>
        <w:t> </w:t>
      </w:r>
      <w:r>
        <w:rPr>
          <w:sz w:val="23"/>
        </w:rPr>
        <w:t>de</w:t>
      </w:r>
      <w:r>
        <w:rPr>
          <w:spacing w:val="-9"/>
          <w:sz w:val="23"/>
        </w:rPr>
        <w:t> </w:t>
      </w:r>
      <w:r>
        <w:rPr>
          <w:sz w:val="23"/>
        </w:rPr>
        <w:t>linfonodos com</w:t>
      </w:r>
      <w:r>
        <w:rPr>
          <w:spacing w:val="-6"/>
          <w:sz w:val="23"/>
        </w:rPr>
        <w:t> </w:t>
      </w:r>
      <w:r>
        <w:rPr>
          <w:sz w:val="23"/>
        </w:rPr>
        <w:t>infiltração</w:t>
      </w:r>
      <w:r>
        <w:rPr>
          <w:spacing w:val="-6"/>
          <w:sz w:val="23"/>
        </w:rPr>
        <w:t> </w:t>
      </w:r>
      <w:r>
        <w:rPr>
          <w:sz w:val="23"/>
        </w:rPr>
        <w:t>cancerosa</w:t>
      </w:r>
      <w:r>
        <w:rPr>
          <w:spacing w:val="-9"/>
          <w:sz w:val="23"/>
        </w:rPr>
        <w:t> </w:t>
      </w:r>
      <w:r>
        <w:rPr>
          <w:sz w:val="23"/>
        </w:rPr>
        <w:t>e</w:t>
      </w:r>
      <w:r>
        <w:rPr>
          <w:spacing w:val="-9"/>
          <w:sz w:val="23"/>
        </w:rPr>
        <w:t> </w:t>
      </w:r>
      <w:r>
        <w:rPr>
          <w:sz w:val="23"/>
        </w:rPr>
        <w:t>pequenas metástases que</w:t>
      </w:r>
      <w:r>
        <w:rPr>
          <w:spacing w:val="-9"/>
          <w:sz w:val="23"/>
        </w:rPr>
        <w:t> </w:t>
      </w:r>
      <w:r>
        <w:rPr>
          <w:sz w:val="23"/>
        </w:rPr>
        <w:t>não</w:t>
      </w:r>
      <w:r>
        <w:rPr>
          <w:spacing w:val="-6"/>
          <w:sz w:val="23"/>
        </w:rPr>
        <w:t> </w:t>
      </w:r>
      <w:r>
        <w:rPr>
          <w:sz w:val="23"/>
        </w:rPr>
        <w:t>se</w:t>
      </w:r>
      <w:r>
        <w:rPr>
          <w:spacing w:val="-9"/>
          <w:sz w:val="23"/>
        </w:rPr>
        <w:t> </w:t>
      </w:r>
      <w:r>
        <w:rPr>
          <w:sz w:val="23"/>
        </w:rPr>
        <w:t>evidenciam</w:t>
      </w:r>
      <w:r>
        <w:rPr>
          <w:spacing w:val="-6"/>
          <w:sz w:val="23"/>
        </w:rPr>
        <w:t> </w:t>
      </w:r>
      <w:r>
        <w:rPr>
          <w:sz w:val="23"/>
        </w:rPr>
        <w:t>à</w:t>
      </w:r>
      <w:r>
        <w:rPr>
          <w:spacing w:val="-9"/>
          <w:sz w:val="23"/>
        </w:rPr>
        <w:t> </w:t>
      </w:r>
      <w:r>
        <w:rPr>
          <w:sz w:val="23"/>
        </w:rPr>
        <w:t>radiografia e à TC.</w:t>
      </w:r>
    </w:p>
    <w:p>
      <w:pPr>
        <w:pStyle w:val="BodyText"/>
        <w:spacing w:line="278" w:lineRule="auto" w:before="224"/>
        <w:ind w:right="491"/>
      </w:pPr>
      <w:r>
        <w:rPr/>
        <w:t>Injetam-se</w:t>
      </w:r>
      <w:r>
        <w:rPr>
          <w:spacing w:val="-6"/>
        </w:rPr>
        <w:t> </w:t>
      </w:r>
      <w:r>
        <w:rPr/>
        <w:t>pequenas quantidades de</w:t>
      </w:r>
      <w:r>
        <w:rPr>
          <w:spacing w:val="-6"/>
        </w:rPr>
        <w:t> </w:t>
      </w:r>
      <w:r>
        <w:rPr/>
        <w:t>macromolécula</w:t>
      </w:r>
      <w:r>
        <w:rPr>
          <w:spacing w:val="-6"/>
        </w:rPr>
        <w:t> </w:t>
      </w:r>
      <w:r>
        <w:rPr/>
        <w:t>marcada</w:t>
      </w:r>
      <w:r>
        <w:rPr>
          <w:spacing w:val="-6"/>
        </w:rPr>
        <w:t> </w:t>
      </w:r>
      <w:r>
        <w:rPr/>
        <w:t>com</w:t>
      </w:r>
      <w:r>
        <w:rPr>
          <w:spacing w:val="-4"/>
        </w:rPr>
        <w:t> </w:t>
      </w:r>
      <w:r>
        <w:rPr/>
        <w:t>material</w:t>
      </w:r>
      <w:r>
        <w:rPr>
          <w:spacing w:val="-2"/>
        </w:rPr>
        <w:t> </w:t>
      </w:r>
      <w:r>
        <w:rPr/>
        <w:t>radioativo, em</w:t>
      </w:r>
      <w:r>
        <w:rPr>
          <w:spacing w:val="-4"/>
        </w:rPr>
        <w:t> </w:t>
      </w:r>
      <w:r>
        <w:rPr/>
        <w:t>geral</w:t>
      </w:r>
      <w:r>
        <w:rPr>
          <w:spacing w:val="-2"/>
        </w:rPr>
        <w:t> </w:t>
      </w:r>
      <w:r>
        <w:rPr/>
        <w:t>o</w:t>
      </w:r>
      <w:r>
        <w:rPr>
          <w:spacing w:val="-4"/>
        </w:rPr>
        <w:t> </w:t>
      </w:r>
      <w:r>
        <w:rPr/>
        <w:t>tecnécio-99m (</w:t>
      </w:r>
      <w:r>
        <w:rPr>
          <w:vertAlign w:val="superscript"/>
        </w:rPr>
        <w:t>99m</w:t>
      </w:r>
      <w:r>
        <w:rPr>
          <w:vertAlign w:val="baseline"/>
        </w:rPr>
        <w:t>Tc), por via subcutânea ou intradérmica no primeiro espaço interdigital da mão ou do pé. As macromoléculas mais empregadas são</w:t>
      </w:r>
      <w:r>
        <w:rPr>
          <w:spacing w:val="-1"/>
          <w:vertAlign w:val="baseline"/>
        </w:rPr>
        <w:t> </w:t>
      </w:r>
      <w:r>
        <w:rPr>
          <w:vertAlign w:val="baseline"/>
        </w:rPr>
        <w:t>os coloides de</w:t>
      </w:r>
      <w:r>
        <w:rPr>
          <w:spacing w:val="-3"/>
          <w:vertAlign w:val="baseline"/>
        </w:rPr>
        <w:t> </w:t>
      </w:r>
      <w:r>
        <w:rPr>
          <w:vertAlign w:val="baseline"/>
        </w:rPr>
        <w:t>trissulfeto</w:t>
      </w:r>
      <w:r>
        <w:rPr>
          <w:spacing w:val="-1"/>
          <w:vertAlign w:val="baseline"/>
        </w:rPr>
        <w:t> </w:t>
      </w:r>
      <w:r>
        <w:rPr>
          <w:vertAlign w:val="baseline"/>
        </w:rPr>
        <w:t>de</w:t>
      </w:r>
      <w:r>
        <w:rPr>
          <w:spacing w:val="-3"/>
          <w:vertAlign w:val="baseline"/>
        </w:rPr>
        <w:t> </w:t>
      </w:r>
      <w:r>
        <w:rPr>
          <w:vertAlign w:val="baseline"/>
        </w:rPr>
        <w:t>antimônio</w:t>
      </w:r>
      <w:r>
        <w:rPr>
          <w:spacing w:val="-1"/>
          <w:vertAlign w:val="baseline"/>
        </w:rPr>
        <w:t> </w:t>
      </w:r>
      <w:r>
        <w:rPr>
          <w:vertAlign w:val="baseline"/>
        </w:rPr>
        <w:t>e</w:t>
      </w:r>
      <w:r>
        <w:rPr>
          <w:spacing w:val="-3"/>
          <w:vertAlign w:val="baseline"/>
        </w:rPr>
        <w:t> </w:t>
      </w:r>
      <w:r>
        <w:rPr>
          <w:vertAlign w:val="baseline"/>
        </w:rPr>
        <w:t>o</w:t>
      </w:r>
      <w:r>
        <w:rPr>
          <w:spacing w:val="-1"/>
          <w:vertAlign w:val="baseline"/>
        </w:rPr>
        <w:t> </w:t>
      </w:r>
      <w:r>
        <w:rPr>
          <w:vertAlign w:val="baseline"/>
        </w:rPr>
        <w:t>sulfúrico, a</w:t>
      </w:r>
      <w:r>
        <w:rPr>
          <w:spacing w:val="-3"/>
          <w:vertAlign w:val="baseline"/>
        </w:rPr>
        <w:t> </w:t>
      </w:r>
      <w:r>
        <w:rPr>
          <w:vertAlign w:val="baseline"/>
        </w:rPr>
        <w:t>albumina</w:t>
      </w:r>
      <w:r>
        <w:rPr>
          <w:spacing w:val="-3"/>
          <w:vertAlign w:val="baseline"/>
        </w:rPr>
        <w:t> </w:t>
      </w:r>
      <w:r>
        <w:rPr>
          <w:vertAlign w:val="baseline"/>
        </w:rPr>
        <w:t>humana</w:t>
      </w:r>
      <w:r>
        <w:rPr>
          <w:spacing w:val="-3"/>
          <w:vertAlign w:val="baseline"/>
        </w:rPr>
        <w:t> </w:t>
      </w:r>
      <w:r>
        <w:rPr>
          <w:vertAlign w:val="baseline"/>
        </w:rPr>
        <w:t>e</w:t>
      </w:r>
      <w:r>
        <w:rPr>
          <w:spacing w:val="-3"/>
          <w:vertAlign w:val="baseline"/>
        </w:rPr>
        <w:t> </w:t>
      </w:r>
      <w:r>
        <w:rPr>
          <w:vertAlign w:val="baseline"/>
        </w:rPr>
        <w:t>dextrana</w:t>
      </w:r>
      <w:r>
        <w:rPr>
          <w:spacing w:val="-3"/>
          <w:vertAlign w:val="baseline"/>
        </w:rPr>
        <w:t> </w:t>
      </w:r>
      <w:r>
        <w:rPr>
          <w:vertAlign w:val="baseline"/>
        </w:rPr>
        <w:t>500, esta última muito utilizada. As imagens dos vasos linfáticos e linfonodos captam-se através de uma câmara de cintilação. Na</w:t>
      </w:r>
      <w:r>
        <w:rPr>
          <w:spacing w:val="-9"/>
          <w:vertAlign w:val="baseline"/>
        </w:rPr>
        <w:t> </w:t>
      </w:r>
      <w:r>
        <w:rPr>
          <w:vertAlign w:val="baseline"/>
        </w:rPr>
        <w:t>linfocintigrafia</w:t>
      </w:r>
      <w:r>
        <w:rPr>
          <w:spacing w:val="-9"/>
          <w:vertAlign w:val="baseline"/>
        </w:rPr>
        <w:t> </w:t>
      </w:r>
      <w:r>
        <w:rPr>
          <w:vertAlign w:val="baseline"/>
        </w:rPr>
        <w:t>normal, observa-se</w:t>
      </w:r>
      <w:r>
        <w:rPr>
          <w:spacing w:val="-9"/>
          <w:vertAlign w:val="baseline"/>
        </w:rPr>
        <w:t> </w:t>
      </w:r>
      <w:r>
        <w:rPr>
          <w:vertAlign w:val="baseline"/>
        </w:rPr>
        <w:t>o</w:t>
      </w:r>
      <w:r>
        <w:rPr>
          <w:spacing w:val="-7"/>
          <w:vertAlign w:val="baseline"/>
        </w:rPr>
        <w:t> </w:t>
      </w:r>
      <w:r>
        <w:rPr>
          <w:vertAlign w:val="baseline"/>
        </w:rPr>
        <w:t>ponto</w:t>
      </w:r>
      <w:r>
        <w:rPr>
          <w:spacing w:val="-7"/>
          <w:vertAlign w:val="baseline"/>
        </w:rPr>
        <w:t> </w:t>
      </w:r>
      <w:r>
        <w:rPr>
          <w:vertAlign w:val="baseline"/>
        </w:rPr>
        <w:t>de</w:t>
      </w:r>
      <w:r>
        <w:rPr>
          <w:spacing w:val="-9"/>
          <w:vertAlign w:val="baseline"/>
        </w:rPr>
        <w:t> </w:t>
      </w:r>
      <w:r>
        <w:rPr>
          <w:vertAlign w:val="baseline"/>
        </w:rPr>
        <w:t>injeção</w:t>
      </w:r>
      <w:r>
        <w:rPr>
          <w:spacing w:val="-7"/>
          <w:vertAlign w:val="baseline"/>
        </w:rPr>
        <w:t> </w:t>
      </w:r>
      <w:r>
        <w:rPr>
          <w:vertAlign w:val="baseline"/>
        </w:rPr>
        <w:t>com</w:t>
      </w:r>
      <w:r>
        <w:rPr>
          <w:spacing w:val="-7"/>
          <w:vertAlign w:val="baseline"/>
        </w:rPr>
        <w:t> </w:t>
      </w:r>
      <w:r>
        <w:rPr>
          <w:vertAlign w:val="baseline"/>
        </w:rPr>
        <w:t>o</w:t>
      </w:r>
      <w:r>
        <w:rPr>
          <w:spacing w:val="-7"/>
          <w:vertAlign w:val="baseline"/>
        </w:rPr>
        <w:t> </w:t>
      </w:r>
      <w:r>
        <w:rPr>
          <w:vertAlign w:val="baseline"/>
        </w:rPr>
        <w:t>acúmulo</w:t>
      </w:r>
      <w:r>
        <w:rPr>
          <w:spacing w:val="-7"/>
          <w:vertAlign w:val="baseline"/>
        </w:rPr>
        <w:t> </w:t>
      </w:r>
      <w:r>
        <w:rPr>
          <w:vertAlign w:val="baseline"/>
        </w:rPr>
        <w:t>do</w:t>
      </w:r>
      <w:r>
        <w:rPr>
          <w:spacing w:val="-7"/>
          <w:vertAlign w:val="baseline"/>
        </w:rPr>
        <w:t> </w:t>
      </w:r>
      <w:r>
        <w:rPr>
          <w:vertAlign w:val="baseline"/>
        </w:rPr>
        <w:t>radiofármaco</w:t>
      </w:r>
      <w:r>
        <w:rPr>
          <w:spacing w:val="-7"/>
          <w:vertAlign w:val="baseline"/>
        </w:rPr>
        <w:t> </w:t>
      </w:r>
      <w:r>
        <w:rPr>
          <w:vertAlign w:val="baseline"/>
        </w:rPr>
        <w:t>e</w:t>
      </w:r>
      <w:r>
        <w:rPr>
          <w:spacing w:val="-9"/>
          <w:vertAlign w:val="baseline"/>
        </w:rPr>
        <w:t> </w:t>
      </w:r>
      <w:r>
        <w:rPr>
          <w:vertAlign w:val="baseline"/>
        </w:rPr>
        <w:t>a</w:t>
      </w:r>
      <w:r>
        <w:rPr>
          <w:spacing w:val="-9"/>
          <w:vertAlign w:val="baseline"/>
        </w:rPr>
        <w:t> </w:t>
      </w:r>
      <w:r>
        <w:rPr>
          <w:vertAlign w:val="baseline"/>
        </w:rPr>
        <w:t>progressão simétrica</w:t>
      </w:r>
      <w:r>
        <w:rPr>
          <w:spacing w:val="-1"/>
          <w:vertAlign w:val="baseline"/>
        </w:rPr>
        <w:t> </w:t>
      </w:r>
      <w:r>
        <w:rPr>
          <w:vertAlign w:val="baseline"/>
        </w:rPr>
        <w:t>nos dois membros contrastando os vasos coletores que</w:t>
      </w:r>
      <w:r>
        <w:rPr>
          <w:spacing w:val="-1"/>
          <w:vertAlign w:val="baseline"/>
        </w:rPr>
        <w:t> </w:t>
      </w:r>
      <w:r>
        <w:rPr>
          <w:vertAlign w:val="baseline"/>
        </w:rPr>
        <w:t>acompanham a</w:t>
      </w:r>
      <w:r>
        <w:rPr>
          <w:spacing w:val="-1"/>
          <w:vertAlign w:val="baseline"/>
        </w:rPr>
        <w:t> </w:t>
      </w:r>
      <w:r>
        <w:rPr>
          <w:vertAlign w:val="baseline"/>
        </w:rPr>
        <w:t>veia</w:t>
      </w:r>
      <w:r>
        <w:rPr>
          <w:spacing w:val="-1"/>
          <w:vertAlign w:val="baseline"/>
        </w:rPr>
        <w:t> </w:t>
      </w:r>
      <w:r>
        <w:rPr>
          <w:vertAlign w:val="baseline"/>
        </w:rPr>
        <w:t>safena</w:t>
      </w:r>
      <w:r>
        <w:rPr>
          <w:spacing w:val="-1"/>
          <w:vertAlign w:val="baseline"/>
        </w:rPr>
        <w:t> </w:t>
      </w:r>
      <w:r>
        <w:rPr>
          <w:vertAlign w:val="baseline"/>
        </w:rPr>
        <w:t>magna. O</w:t>
      </w:r>
      <w:r>
        <w:rPr>
          <w:spacing w:val="-1"/>
          <w:vertAlign w:val="baseline"/>
        </w:rPr>
        <w:t> </w:t>
      </w:r>
      <w:r>
        <w:rPr>
          <w:vertAlign w:val="baseline"/>
        </w:rPr>
        <w:t>acúmulo na região inguinal corresponde aos linfonodos (</w:t>
      </w:r>
      <w:r>
        <w:rPr>
          <w:color w:val="505050"/>
          <w:vertAlign w:val="baseline"/>
        </w:rPr>
        <w:t>Figura 59.36</w:t>
      </w:r>
      <w:r>
        <w:rPr>
          <w:vertAlign w:val="baseline"/>
        </w:rPr>
        <w:t>).</w:t>
      </w:r>
    </w:p>
    <w:p>
      <w:pPr>
        <w:pStyle w:val="BodyText"/>
        <w:spacing w:line="276" w:lineRule="auto" w:before="63"/>
        <w:ind w:right="491"/>
      </w:pPr>
      <w:r>
        <w:rPr/>
        <w:t>No</w:t>
      </w:r>
      <w:r>
        <w:rPr>
          <w:spacing w:val="-7"/>
        </w:rPr>
        <w:t> </w:t>
      </w:r>
      <w:r>
        <w:rPr/>
        <w:t>estudo</w:t>
      </w:r>
      <w:r>
        <w:rPr>
          <w:spacing w:val="-7"/>
        </w:rPr>
        <w:t> </w:t>
      </w:r>
      <w:r>
        <w:rPr/>
        <w:t>morfológico</w:t>
      </w:r>
      <w:r>
        <w:rPr>
          <w:spacing w:val="-7"/>
        </w:rPr>
        <w:t> </w:t>
      </w:r>
      <w:r>
        <w:rPr/>
        <w:t>qualitativo</w:t>
      </w:r>
      <w:r>
        <w:rPr>
          <w:spacing w:val="-7"/>
        </w:rPr>
        <w:t> </w:t>
      </w:r>
      <w:r>
        <w:rPr/>
        <w:t>das imagens estáticas de</w:t>
      </w:r>
      <w:r>
        <w:rPr>
          <w:spacing w:val="-9"/>
        </w:rPr>
        <w:t> </w:t>
      </w:r>
      <w:r>
        <w:rPr/>
        <w:t>pacientes com</w:t>
      </w:r>
      <w:r>
        <w:rPr>
          <w:spacing w:val="-7"/>
        </w:rPr>
        <w:t> </w:t>
      </w:r>
      <w:r>
        <w:rPr/>
        <w:t>linfedema, observam-se:</w:t>
      </w:r>
      <w:r>
        <w:rPr>
          <w:spacing w:val="-5"/>
        </w:rPr>
        <w:t> </w:t>
      </w:r>
      <w:r>
        <w:rPr/>
        <w:t>ausência</w:t>
      </w:r>
      <w:r>
        <w:rPr>
          <w:spacing w:val="-9"/>
        </w:rPr>
        <w:t> </w:t>
      </w:r>
      <w:r>
        <w:rPr/>
        <w:t>ou retardo de trânsito nos coletores e/ou linfonodos, traçado pouco definido, aparecimento de linfonodos intermediários, dilatações, tortuosidades, vias colaterais e refluxo dérmico. O refluxo dérmico é comum em imagens mais tardias, e corresponde ao transporte extravascular da macromolécula injetada devido à destruição ou agenesia</w:t>
      </w:r>
      <w:r>
        <w:rPr>
          <w:spacing w:val="-6"/>
        </w:rPr>
        <w:t> </w:t>
      </w:r>
      <w:r>
        <w:rPr/>
        <w:t>dos linfáticos (</w:t>
      </w:r>
      <w:r>
        <w:rPr>
          <w:color w:val="505050"/>
        </w:rPr>
        <w:t>Figura</w:t>
      </w:r>
      <w:r>
        <w:rPr>
          <w:color w:val="505050"/>
          <w:spacing w:val="-10"/>
        </w:rPr>
        <w:t> </w:t>
      </w:r>
      <w:r>
        <w:rPr>
          <w:color w:val="505050"/>
        </w:rPr>
        <w:t>59.37</w:t>
      </w:r>
      <w:r>
        <w:rPr/>
        <w:t>). Assim, a</w:t>
      </w:r>
      <w:r>
        <w:rPr>
          <w:spacing w:val="-2"/>
        </w:rPr>
        <w:t> </w:t>
      </w:r>
      <w:r>
        <w:rPr/>
        <w:t>avaliação clínica</w:t>
      </w:r>
      <w:r>
        <w:rPr>
          <w:spacing w:val="-2"/>
        </w:rPr>
        <w:t> </w:t>
      </w:r>
      <w:r>
        <w:rPr/>
        <w:t>somada</w:t>
      </w:r>
      <w:r>
        <w:rPr>
          <w:spacing w:val="-2"/>
        </w:rPr>
        <w:t> </w:t>
      </w:r>
      <w:r>
        <w:rPr/>
        <w:t>aos achados linfocintigráficos possibilita fazer o diagnóstico diferencial entre linfedemas primários e secundários. No linfedema primário, é possível distinguir, precocemente, a aplasia ou hipoplasia de vasos linfáticos.</w:t>
      </w:r>
    </w:p>
    <w:p>
      <w:pPr>
        <w:pStyle w:val="BodyText"/>
        <w:spacing w:before="93"/>
        <w:ind w:left="0" w:firstLine="0"/>
        <w:jc w:val="left"/>
        <w:rPr>
          <w:sz w:val="20"/>
        </w:rPr>
      </w:pPr>
      <w:r>
        <w:rPr>
          <w:sz w:val="20"/>
        </w:rPr>
        <w:drawing>
          <wp:anchor distT="0" distB="0" distL="0" distR="0" allowOverlap="1" layoutInCell="1" locked="0" behindDoc="1" simplePos="0" relativeHeight="487631872">
            <wp:simplePos x="0" y="0"/>
            <wp:positionH relativeFrom="page">
              <wp:posOffset>1886483</wp:posOffset>
            </wp:positionH>
            <wp:positionV relativeFrom="paragraph">
              <wp:posOffset>220546</wp:posOffset>
            </wp:positionV>
            <wp:extent cx="3791331" cy="4056316"/>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70" cstate="print"/>
                    <a:stretch>
                      <a:fillRect/>
                    </a:stretch>
                  </pic:blipFill>
                  <pic:spPr>
                    <a:xfrm>
                      <a:off x="0" y="0"/>
                      <a:ext cx="3791331" cy="4056316"/>
                    </a:xfrm>
                    <a:prstGeom prst="rect">
                      <a:avLst/>
                    </a:prstGeom>
                  </pic:spPr>
                </pic:pic>
              </a:graphicData>
            </a:graphic>
          </wp:anchor>
        </w:drawing>
      </w:r>
    </w:p>
    <w:p>
      <w:pPr>
        <w:spacing w:line="285" w:lineRule="auto" w:before="189"/>
        <w:ind w:left="68" w:right="503" w:firstLine="0"/>
        <w:jc w:val="both"/>
        <w:rPr>
          <w:rFonts w:ascii="Microsoft Sans Serif" w:hAnsi="Microsoft Sans Serif"/>
          <w:sz w:val="19"/>
        </w:rPr>
      </w:pPr>
      <w:r>
        <w:rPr>
          <w:rFonts w:ascii="Arial" w:hAnsi="Arial"/>
          <w:b/>
          <w:color w:val="242B67"/>
          <w:sz w:val="19"/>
        </w:rPr>
        <w:t>Figura 59.36 </w:t>
      </w:r>
      <w:r>
        <w:rPr>
          <w:rFonts w:ascii="Microsoft Sans Serif" w:hAnsi="Microsoft Sans Serif"/>
          <w:sz w:val="19"/>
        </w:rPr>
        <w:t>Linfocintigrafia de paciente com linfedema incipiente apresentando transporte/condução lenta (ou retardo no transporte) do radioisótopo, apresentando aspecto normal após 2 h da injeção. Observe os pedículos linfáticos</w:t>
      </w:r>
      <w:r>
        <w:rPr>
          <w:rFonts w:ascii="Microsoft Sans Serif" w:hAnsi="Microsoft Sans Serif"/>
          <w:spacing w:val="40"/>
          <w:sz w:val="19"/>
        </w:rPr>
        <w:t> </w:t>
      </w:r>
      <w:r>
        <w:rPr>
          <w:rFonts w:ascii="Microsoft Sans Serif" w:hAnsi="Microsoft Sans Serif"/>
          <w:sz w:val="19"/>
        </w:rPr>
        <w:t>acompanhando</w:t>
      </w:r>
      <w:r>
        <w:rPr>
          <w:rFonts w:ascii="Microsoft Sans Serif" w:hAnsi="Microsoft Sans Serif"/>
          <w:spacing w:val="37"/>
          <w:sz w:val="19"/>
        </w:rPr>
        <w:t> </w:t>
      </w:r>
      <w:r>
        <w:rPr>
          <w:rFonts w:ascii="Microsoft Sans Serif" w:hAnsi="Microsoft Sans Serif"/>
          <w:sz w:val="19"/>
        </w:rPr>
        <w:t>o</w:t>
      </w:r>
      <w:r>
        <w:rPr>
          <w:rFonts w:ascii="Microsoft Sans Serif" w:hAnsi="Microsoft Sans Serif"/>
          <w:spacing w:val="37"/>
          <w:sz w:val="19"/>
        </w:rPr>
        <w:t> </w:t>
      </w:r>
      <w:r>
        <w:rPr>
          <w:rFonts w:ascii="Microsoft Sans Serif" w:hAnsi="Microsoft Sans Serif"/>
          <w:sz w:val="19"/>
        </w:rPr>
        <w:t>trajeto</w:t>
      </w:r>
      <w:r>
        <w:rPr>
          <w:rFonts w:ascii="Microsoft Sans Serif" w:hAnsi="Microsoft Sans Serif"/>
          <w:spacing w:val="37"/>
          <w:sz w:val="19"/>
        </w:rPr>
        <w:t> </w:t>
      </w:r>
      <w:r>
        <w:rPr>
          <w:rFonts w:ascii="Microsoft Sans Serif" w:hAnsi="Microsoft Sans Serif"/>
          <w:sz w:val="19"/>
        </w:rPr>
        <w:t>da</w:t>
      </w:r>
      <w:r>
        <w:rPr>
          <w:rFonts w:ascii="Microsoft Sans Serif" w:hAnsi="Microsoft Sans Serif"/>
          <w:spacing w:val="37"/>
          <w:sz w:val="19"/>
        </w:rPr>
        <w:t> </w:t>
      </w:r>
      <w:r>
        <w:rPr>
          <w:rFonts w:ascii="Microsoft Sans Serif" w:hAnsi="Microsoft Sans Serif"/>
          <w:sz w:val="19"/>
        </w:rPr>
        <w:t>safena</w:t>
      </w:r>
      <w:r>
        <w:rPr>
          <w:rFonts w:ascii="Microsoft Sans Serif" w:hAnsi="Microsoft Sans Serif"/>
          <w:spacing w:val="37"/>
          <w:sz w:val="19"/>
        </w:rPr>
        <w:t> </w:t>
      </w:r>
      <w:r>
        <w:rPr>
          <w:rFonts w:ascii="Microsoft Sans Serif" w:hAnsi="Microsoft Sans Serif"/>
          <w:sz w:val="19"/>
        </w:rPr>
        <w:t>magna</w:t>
      </w:r>
      <w:r>
        <w:rPr>
          <w:rFonts w:ascii="Microsoft Sans Serif" w:hAnsi="Microsoft Sans Serif"/>
          <w:spacing w:val="37"/>
          <w:sz w:val="19"/>
        </w:rPr>
        <w:t> </w:t>
      </w:r>
      <w:r>
        <w:rPr>
          <w:rFonts w:ascii="Microsoft Sans Serif" w:hAnsi="Microsoft Sans Serif"/>
          <w:sz w:val="19"/>
        </w:rPr>
        <w:t>e</w:t>
      </w:r>
      <w:r>
        <w:rPr>
          <w:rFonts w:ascii="Microsoft Sans Serif" w:hAnsi="Microsoft Sans Serif"/>
          <w:spacing w:val="37"/>
          <w:sz w:val="19"/>
        </w:rPr>
        <w:t> </w:t>
      </w:r>
      <w:r>
        <w:rPr>
          <w:rFonts w:ascii="Microsoft Sans Serif" w:hAnsi="Microsoft Sans Serif"/>
          <w:sz w:val="19"/>
        </w:rPr>
        <w:t>contrastando</w:t>
      </w:r>
      <w:r>
        <w:rPr>
          <w:rFonts w:ascii="Microsoft Sans Serif" w:hAnsi="Microsoft Sans Serif"/>
          <w:spacing w:val="37"/>
          <w:sz w:val="19"/>
        </w:rPr>
        <w:t> </w:t>
      </w:r>
      <w:r>
        <w:rPr>
          <w:rFonts w:ascii="Microsoft Sans Serif" w:hAnsi="Microsoft Sans Serif"/>
          <w:sz w:val="19"/>
        </w:rPr>
        <w:t>os</w:t>
      </w:r>
      <w:r>
        <w:rPr>
          <w:rFonts w:ascii="Microsoft Sans Serif" w:hAnsi="Microsoft Sans Serif"/>
          <w:spacing w:val="29"/>
          <w:sz w:val="19"/>
        </w:rPr>
        <w:t> </w:t>
      </w:r>
      <w:r>
        <w:rPr>
          <w:rFonts w:ascii="Microsoft Sans Serif" w:hAnsi="Microsoft Sans Serif"/>
          <w:sz w:val="19"/>
        </w:rPr>
        <w:t>linfonodos</w:t>
      </w:r>
      <w:r>
        <w:rPr>
          <w:rFonts w:ascii="Microsoft Sans Serif" w:hAnsi="Microsoft Sans Serif"/>
          <w:spacing w:val="29"/>
          <w:sz w:val="19"/>
        </w:rPr>
        <w:t> </w:t>
      </w:r>
      <w:r>
        <w:rPr>
          <w:rFonts w:ascii="Microsoft Sans Serif" w:hAnsi="Microsoft Sans Serif"/>
          <w:sz w:val="19"/>
        </w:rPr>
        <w:t>inguinais</w:t>
      </w:r>
      <w:r>
        <w:rPr>
          <w:rFonts w:ascii="Microsoft Sans Serif" w:hAnsi="Microsoft Sans Serif"/>
          <w:spacing w:val="29"/>
          <w:sz w:val="19"/>
        </w:rPr>
        <w:t> </w:t>
      </w:r>
      <w:r>
        <w:rPr>
          <w:rFonts w:ascii="Microsoft Sans Serif" w:hAnsi="Microsoft Sans Serif"/>
          <w:sz w:val="19"/>
        </w:rPr>
        <w:t>e</w:t>
      </w:r>
      <w:r>
        <w:rPr>
          <w:rFonts w:ascii="Microsoft Sans Serif" w:hAnsi="Microsoft Sans Serif"/>
          <w:spacing w:val="37"/>
          <w:sz w:val="19"/>
        </w:rPr>
        <w:t> </w:t>
      </w:r>
      <w:r>
        <w:rPr>
          <w:rFonts w:ascii="Microsoft Sans Serif" w:hAnsi="Microsoft Sans Serif"/>
          <w:sz w:val="19"/>
        </w:rPr>
        <w:t>as</w:t>
      </w:r>
      <w:r>
        <w:rPr>
          <w:rFonts w:ascii="Microsoft Sans Serif" w:hAnsi="Microsoft Sans Serif"/>
          <w:spacing w:val="29"/>
          <w:sz w:val="19"/>
        </w:rPr>
        <w:t> </w:t>
      </w:r>
      <w:r>
        <w:rPr>
          <w:rFonts w:ascii="Microsoft Sans Serif" w:hAnsi="Microsoft Sans Serif"/>
          <w:sz w:val="19"/>
        </w:rPr>
        <w:t>cadeias</w:t>
      </w:r>
      <w:r>
        <w:rPr>
          <w:rFonts w:ascii="Microsoft Sans Serif" w:hAnsi="Microsoft Sans Serif"/>
          <w:spacing w:val="29"/>
          <w:sz w:val="19"/>
        </w:rPr>
        <w:t> </w:t>
      </w:r>
      <w:r>
        <w:rPr>
          <w:rFonts w:ascii="Microsoft Sans Serif" w:hAnsi="Microsoft Sans Serif"/>
          <w:sz w:val="19"/>
        </w:rPr>
        <w:t>ilíacas</w:t>
      </w:r>
      <w:r>
        <w:rPr>
          <w:rFonts w:ascii="Microsoft Sans Serif" w:hAnsi="Microsoft Sans Serif"/>
          <w:spacing w:val="29"/>
          <w:sz w:val="19"/>
        </w:rPr>
        <w:t> </w:t>
      </w:r>
      <w:r>
        <w:rPr>
          <w:rFonts w:ascii="Microsoft Sans Serif" w:hAnsi="Microsoft Sans Serif"/>
          <w:sz w:val="19"/>
        </w:rPr>
        <w:t>bilateralmente.</w:t>
      </w:r>
    </w:p>
    <w:p>
      <w:pPr>
        <w:spacing w:after="0" w:line="285" w:lineRule="auto"/>
        <w:jc w:val="both"/>
        <w:rPr>
          <w:rFonts w:ascii="Microsoft Sans Serif" w:hAnsi="Microsoft Sans Serif"/>
          <w:sz w:val="19"/>
        </w:rPr>
        <w:sectPr>
          <w:pgSz w:w="11900" w:h="16840"/>
          <w:pgMar w:top="140" w:bottom="280" w:left="566" w:right="141"/>
        </w:sectPr>
      </w:pPr>
    </w:p>
    <w:p>
      <w:pPr>
        <w:spacing w:line="240" w:lineRule="auto"/>
        <w:ind w:left="1668" w:right="0" w:firstLine="0"/>
        <w:rPr>
          <w:rFonts w:ascii="Microsoft Sans Serif"/>
          <w:sz w:val="20"/>
        </w:rPr>
      </w:pPr>
      <w:r>
        <w:rPr>
          <w:rFonts w:ascii="Microsoft Sans Serif"/>
          <w:sz w:val="20"/>
        </w:rPr>
        <w:drawing>
          <wp:inline distT="0" distB="0" distL="0" distR="0">
            <wp:extent cx="4728975" cy="3516153"/>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71" cstate="print"/>
                    <a:stretch>
                      <a:fillRect/>
                    </a:stretch>
                  </pic:blipFill>
                  <pic:spPr>
                    <a:xfrm>
                      <a:off x="0" y="0"/>
                      <a:ext cx="4728975" cy="3516153"/>
                    </a:xfrm>
                    <a:prstGeom prst="rect">
                      <a:avLst/>
                    </a:prstGeom>
                  </pic:spPr>
                </pic:pic>
              </a:graphicData>
            </a:graphic>
          </wp:inline>
        </w:drawing>
      </w:r>
      <w:r>
        <w:rPr>
          <w:rFonts w:ascii="Microsoft Sans Serif"/>
          <w:sz w:val="20"/>
        </w:rPr>
      </w:r>
    </w:p>
    <w:p>
      <w:pPr>
        <w:spacing w:line="285" w:lineRule="auto" w:before="183"/>
        <w:ind w:left="68" w:right="508" w:firstLine="0"/>
        <w:jc w:val="both"/>
        <w:rPr>
          <w:rFonts w:ascii="Microsoft Sans Serif" w:hAnsi="Microsoft Sans Serif"/>
          <w:sz w:val="19"/>
        </w:rPr>
      </w:pPr>
      <w:r>
        <w:rPr>
          <w:rFonts w:ascii="Arial" w:hAnsi="Arial"/>
          <w:b/>
          <w:color w:val="242B67"/>
          <w:sz w:val="19"/>
        </w:rPr>
        <w:t>Figura 59.37 </w:t>
      </w:r>
      <w:r>
        <w:rPr>
          <w:rFonts w:ascii="Microsoft Sans Serif" w:hAnsi="Microsoft Sans Serif"/>
          <w:sz w:val="19"/>
        </w:rPr>
        <w:t>Linfocintigrafia no linfedema avançado. Ausência de trânsito no membro inferior esquerdo e grande refluxo dérmico em perna esquerda, com transporte/condução alentecida. Do lado direito, nota-se um transporte normal do radioisótopo</w:t>
      </w:r>
      <w:r>
        <w:rPr>
          <w:rFonts w:ascii="Microsoft Sans Serif" w:hAnsi="Microsoft Sans Serif"/>
          <w:spacing w:val="29"/>
          <w:sz w:val="19"/>
        </w:rPr>
        <w:t> </w:t>
      </w:r>
      <w:r>
        <w:rPr>
          <w:rFonts w:ascii="Microsoft Sans Serif" w:hAnsi="Microsoft Sans Serif"/>
          <w:sz w:val="19"/>
        </w:rPr>
        <w:t>com</w:t>
      </w:r>
      <w:r>
        <w:rPr>
          <w:rFonts w:ascii="Microsoft Sans Serif" w:hAnsi="Microsoft Sans Serif"/>
          <w:spacing w:val="21"/>
          <w:sz w:val="19"/>
        </w:rPr>
        <w:t> </w:t>
      </w:r>
      <w:r>
        <w:rPr>
          <w:rFonts w:ascii="Microsoft Sans Serif" w:hAnsi="Microsoft Sans Serif"/>
          <w:sz w:val="19"/>
        </w:rPr>
        <w:t>clareamento</w:t>
      </w:r>
      <w:r>
        <w:rPr>
          <w:rFonts w:ascii="Microsoft Sans Serif" w:hAnsi="Microsoft Sans Serif"/>
          <w:spacing w:val="29"/>
          <w:sz w:val="19"/>
        </w:rPr>
        <w:t> </w:t>
      </w:r>
      <w:r>
        <w:rPr>
          <w:rFonts w:ascii="Microsoft Sans Serif" w:hAnsi="Microsoft Sans Serif"/>
          <w:sz w:val="19"/>
        </w:rPr>
        <w:t>total</w:t>
      </w:r>
      <w:r>
        <w:rPr>
          <w:rFonts w:ascii="Microsoft Sans Serif" w:hAnsi="Microsoft Sans Serif"/>
          <w:spacing w:val="29"/>
          <w:sz w:val="19"/>
        </w:rPr>
        <w:t> </w:t>
      </w:r>
      <w:r>
        <w:rPr>
          <w:rFonts w:ascii="Microsoft Sans Serif" w:hAnsi="Microsoft Sans Serif"/>
          <w:sz w:val="19"/>
        </w:rPr>
        <w:t>do</w:t>
      </w:r>
      <w:r>
        <w:rPr>
          <w:rFonts w:ascii="Microsoft Sans Serif" w:hAnsi="Microsoft Sans Serif"/>
          <w:spacing w:val="29"/>
          <w:sz w:val="19"/>
        </w:rPr>
        <w:t> </w:t>
      </w:r>
      <w:r>
        <w:rPr>
          <w:rFonts w:ascii="Microsoft Sans Serif" w:hAnsi="Microsoft Sans Serif"/>
          <w:sz w:val="19"/>
        </w:rPr>
        <w:t>membro</w:t>
      </w:r>
      <w:r>
        <w:rPr>
          <w:rFonts w:ascii="Microsoft Sans Serif" w:hAnsi="Microsoft Sans Serif"/>
          <w:spacing w:val="29"/>
          <w:sz w:val="19"/>
        </w:rPr>
        <w:t> </w:t>
      </w:r>
      <w:r>
        <w:rPr>
          <w:rFonts w:ascii="Microsoft Sans Serif" w:hAnsi="Microsoft Sans Serif"/>
          <w:sz w:val="19"/>
        </w:rPr>
        <w:t>e</w:t>
      </w:r>
      <w:r>
        <w:rPr>
          <w:rFonts w:ascii="Microsoft Sans Serif" w:hAnsi="Microsoft Sans Serif"/>
          <w:spacing w:val="29"/>
          <w:sz w:val="19"/>
        </w:rPr>
        <w:t> </w:t>
      </w:r>
      <w:r>
        <w:rPr>
          <w:rFonts w:ascii="Microsoft Sans Serif" w:hAnsi="Microsoft Sans Serif"/>
          <w:sz w:val="19"/>
        </w:rPr>
        <w:t>visibilização</w:t>
      </w:r>
      <w:r>
        <w:rPr>
          <w:rFonts w:ascii="Microsoft Sans Serif" w:hAnsi="Microsoft Sans Serif"/>
          <w:spacing w:val="29"/>
          <w:sz w:val="19"/>
        </w:rPr>
        <w:t> </w:t>
      </w:r>
      <w:r>
        <w:rPr>
          <w:rFonts w:ascii="Microsoft Sans Serif" w:hAnsi="Microsoft Sans Serif"/>
          <w:sz w:val="19"/>
        </w:rPr>
        <w:t>dos</w:t>
      </w:r>
      <w:r>
        <w:rPr>
          <w:rFonts w:ascii="Microsoft Sans Serif" w:hAnsi="Microsoft Sans Serif"/>
          <w:spacing w:val="21"/>
          <w:sz w:val="19"/>
        </w:rPr>
        <w:t> </w:t>
      </w:r>
      <w:r>
        <w:rPr>
          <w:rFonts w:ascii="Microsoft Sans Serif" w:hAnsi="Microsoft Sans Serif"/>
          <w:sz w:val="19"/>
        </w:rPr>
        <w:t>linfonodos</w:t>
      </w:r>
      <w:r>
        <w:rPr>
          <w:rFonts w:ascii="Microsoft Sans Serif" w:hAnsi="Microsoft Sans Serif"/>
          <w:spacing w:val="21"/>
          <w:sz w:val="19"/>
        </w:rPr>
        <w:t> </w:t>
      </w:r>
      <w:r>
        <w:rPr>
          <w:rFonts w:ascii="Microsoft Sans Serif" w:hAnsi="Microsoft Sans Serif"/>
          <w:sz w:val="19"/>
        </w:rPr>
        <w:t>inguinais</w:t>
      </w:r>
      <w:r>
        <w:rPr>
          <w:rFonts w:ascii="Microsoft Sans Serif" w:hAnsi="Microsoft Sans Serif"/>
          <w:spacing w:val="21"/>
          <w:sz w:val="19"/>
        </w:rPr>
        <w:t> </w:t>
      </w:r>
      <w:r>
        <w:rPr>
          <w:rFonts w:ascii="Microsoft Sans Serif" w:hAnsi="Microsoft Sans Serif"/>
          <w:sz w:val="19"/>
        </w:rPr>
        <w:t>após</w:t>
      </w:r>
      <w:r>
        <w:rPr>
          <w:rFonts w:ascii="Microsoft Sans Serif" w:hAnsi="Microsoft Sans Serif"/>
          <w:spacing w:val="21"/>
          <w:sz w:val="19"/>
        </w:rPr>
        <w:t> </w:t>
      </w:r>
      <w:r>
        <w:rPr>
          <w:rFonts w:ascii="Microsoft Sans Serif" w:hAnsi="Microsoft Sans Serif"/>
          <w:sz w:val="19"/>
        </w:rPr>
        <w:t>2</w:t>
      </w:r>
      <w:r>
        <w:rPr>
          <w:rFonts w:ascii="Microsoft Sans Serif" w:hAnsi="Microsoft Sans Serif"/>
          <w:spacing w:val="29"/>
          <w:sz w:val="19"/>
        </w:rPr>
        <w:t> </w:t>
      </w:r>
      <w:r>
        <w:rPr>
          <w:rFonts w:ascii="Microsoft Sans Serif" w:hAnsi="Microsoft Sans Serif"/>
          <w:sz w:val="19"/>
        </w:rPr>
        <w:t>h</w:t>
      </w:r>
      <w:r>
        <w:rPr>
          <w:rFonts w:ascii="Microsoft Sans Serif" w:hAnsi="Microsoft Sans Serif"/>
          <w:spacing w:val="29"/>
          <w:sz w:val="19"/>
        </w:rPr>
        <w:t> </w:t>
      </w:r>
      <w:r>
        <w:rPr>
          <w:rFonts w:ascii="Microsoft Sans Serif" w:hAnsi="Microsoft Sans Serif"/>
          <w:sz w:val="19"/>
        </w:rPr>
        <w:t>somente</w:t>
      </w:r>
      <w:r>
        <w:rPr>
          <w:rFonts w:ascii="Microsoft Sans Serif" w:hAnsi="Microsoft Sans Serif"/>
          <w:spacing w:val="29"/>
          <w:sz w:val="19"/>
        </w:rPr>
        <w:t> </w:t>
      </w:r>
      <w:r>
        <w:rPr>
          <w:rFonts w:ascii="Microsoft Sans Serif" w:hAnsi="Microsoft Sans Serif"/>
          <w:sz w:val="19"/>
        </w:rPr>
        <w:t>do</w:t>
      </w:r>
      <w:r>
        <w:rPr>
          <w:rFonts w:ascii="Microsoft Sans Serif" w:hAnsi="Microsoft Sans Serif"/>
          <w:spacing w:val="29"/>
          <w:sz w:val="19"/>
        </w:rPr>
        <w:t> </w:t>
      </w:r>
      <w:r>
        <w:rPr>
          <w:rFonts w:ascii="Microsoft Sans Serif" w:hAnsi="Microsoft Sans Serif"/>
          <w:sz w:val="19"/>
        </w:rPr>
        <w:t>lado</w:t>
      </w:r>
      <w:r>
        <w:rPr>
          <w:rFonts w:ascii="Microsoft Sans Serif" w:hAnsi="Microsoft Sans Serif"/>
          <w:spacing w:val="29"/>
          <w:sz w:val="19"/>
        </w:rPr>
        <w:t> </w:t>
      </w:r>
      <w:r>
        <w:rPr>
          <w:rFonts w:ascii="Microsoft Sans Serif" w:hAnsi="Microsoft Sans Serif"/>
          <w:sz w:val="19"/>
        </w:rPr>
        <w:t>direito.</w:t>
      </w:r>
    </w:p>
    <w:p>
      <w:pPr>
        <w:pStyle w:val="BodyText"/>
        <w:ind w:left="0" w:firstLine="0"/>
        <w:jc w:val="left"/>
        <w:rPr>
          <w:rFonts w:ascii="Microsoft Sans Serif"/>
          <w:sz w:val="19"/>
        </w:rPr>
      </w:pPr>
    </w:p>
    <w:p>
      <w:pPr>
        <w:pStyle w:val="BodyText"/>
        <w:spacing w:line="280" w:lineRule="auto" w:before="1"/>
        <w:ind w:right="489"/>
      </w:pPr>
      <w:r>
        <w:rPr/>
        <w:t>No estudo quantitativo ou semiquantitativo das imagens dinâmicas da linfocintigrafia pode-se observar a fisiopatologia do linfedema, além dos mecanismos compensadores no estágio latente e o funcionamento de cada segmento do sistema linfático. Torna possível, ainda, em membros sem edemas e/ou com imagens estáticas normais, a detecção precoce de pequenas alterações da dinâmica da circulação linfática, sensibilizando o estudo </w:t>
      </w:r>
      <w:r>
        <w:rPr>
          <w:spacing w:val="-2"/>
        </w:rPr>
        <w:t>qualitativo.</w:t>
      </w:r>
      <w:r>
        <w:rPr>
          <w:spacing w:val="-2"/>
          <w:vertAlign w:val="superscript"/>
        </w:rPr>
        <w:t>14</w:t>
      </w:r>
    </w:p>
    <w:p>
      <w:pPr>
        <w:pStyle w:val="BodyText"/>
        <w:spacing w:line="283" w:lineRule="auto" w:before="54"/>
        <w:ind w:right="488"/>
      </w:pPr>
      <w:r>
        <w:rPr/>
        <w:t>Apesar de perder para a linfografia direta na definição anatômica, a linfocintigrafia é um estudo objetivo que permite a visualização dos linfáticos periféricos e diagnostica alterações linfáticas em mais de 90% dos casos, sendo útil como método de</w:t>
      </w:r>
      <w:r>
        <w:rPr>
          <w:spacing w:val="-1"/>
        </w:rPr>
        <w:t> </w:t>
      </w:r>
      <w:r>
        <w:rPr/>
        <w:t>diagnóstico inicial do linfedema, substituindo a</w:t>
      </w:r>
      <w:r>
        <w:rPr>
          <w:spacing w:val="-1"/>
        </w:rPr>
        <w:t> </w:t>
      </w:r>
      <w:r>
        <w:rPr/>
        <w:t>linfografia</w:t>
      </w:r>
      <w:r>
        <w:rPr>
          <w:spacing w:val="-1"/>
        </w:rPr>
        <w:t> </w:t>
      </w:r>
      <w:r>
        <w:rPr/>
        <w:t>convencional.</w:t>
      </w:r>
      <w:r>
        <w:rPr>
          <w:vertAlign w:val="superscript"/>
        </w:rPr>
        <w:t>15</w:t>
      </w:r>
    </w:p>
    <w:p>
      <w:pPr>
        <w:pStyle w:val="BodyText"/>
        <w:spacing w:before="126"/>
        <w:ind w:left="0" w:firstLine="0"/>
        <w:jc w:val="left"/>
      </w:pPr>
    </w:p>
    <w:p>
      <w:pPr>
        <w:pStyle w:val="Heading5"/>
      </w:pPr>
      <w:r>
        <w:rPr>
          <w:color w:val="A26108"/>
        </w:rPr>
        <w:t>Ressonância</w:t>
      </w:r>
      <w:r>
        <w:rPr>
          <w:color w:val="A26108"/>
          <w:spacing w:val="39"/>
        </w:rPr>
        <w:t> </w:t>
      </w:r>
      <w:r>
        <w:rPr>
          <w:color w:val="A26108"/>
          <w:spacing w:val="-2"/>
        </w:rPr>
        <w:t>magnética</w:t>
      </w:r>
    </w:p>
    <w:p>
      <w:pPr>
        <w:pStyle w:val="BodyText"/>
        <w:spacing w:before="138"/>
        <w:ind w:left="414" w:firstLine="0"/>
      </w:pPr>
      <w:r>
        <w:rPr/>
        <w:t>Complementa</w:t>
      </w:r>
      <w:r>
        <w:rPr>
          <w:spacing w:val="-15"/>
        </w:rPr>
        <w:t> </w:t>
      </w:r>
      <w:r>
        <w:rPr/>
        <w:t>os</w:t>
      </w:r>
      <w:r>
        <w:rPr>
          <w:spacing w:val="-3"/>
        </w:rPr>
        <w:t> </w:t>
      </w:r>
      <w:r>
        <w:rPr/>
        <w:t>outros</w:t>
      </w:r>
      <w:r>
        <w:rPr>
          <w:spacing w:val="-3"/>
        </w:rPr>
        <w:t> </w:t>
      </w:r>
      <w:r>
        <w:rPr/>
        <w:t>exames</w:t>
      </w:r>
      <w:r>
        <w:rPr>
          <w:spacing w:val="-3"/>
        </w:rPr>
        <w:t> </w:t>
      </w:r>
      <w:r>
        <w:rPr/>
        <w:t>na</w:t>
      </w:r>
      <w:r>
        <w:rPr>
          <w:spacing w:val="-12"/>
        </w:rPr>
        <w:t> </w:t>
      </w:r>
      <w:r>
        <w:rPr/>
        <w:t>suspeita</w:t>
      </w:r>
      <w:r>
        <w:rPr>
          <w:spacing w:val="-13"/>
        </w:rPr>
        <w:t> </w:t>
      </w:r>
      <w:r>
        <w:rPr/>
        <w:t>de</w:t>
      </w:r>
      <w:r>
        <w:rPr>
          <w:spacing w:val="-12"/>
        </w:rPr>
        <w:t> </w:t>
      </w:r>
      <w:r>
        <w:rPr/>
        <w:t>malformações</w:t>
      </w:r>
      <w:r>
        <w:rPr>
          <w:spacing w:val="-3"/>
        </w:rPr>
        <w:t> </w:t>
      </w:r>
      <w:r>
        <w:rPr/>
        <w:t>vasculares</w:t>
      </w:r>
      <w:r>
        <w:rPr>
          <w:spacing w:val="-3"/>
        </w:rPr>
        <w:t> </w:t>
      </w:r>
      <w:r>
        <w:rPr/>
        <w:t>e</w:t>
      </w:r>
      <w:r>
        <w:rPr>
          <w:spacing w:val="-12"/>
        </w:rPr>
        <w:t> </w:t>
      </w:r>
      <w:r>
        <w:rPr/>
        <w:t>massas</w:t>
      </w:r>
      <w:r>
        <w:rPr>
          <w:spacing w:val="-3"/>
        </w:rPr>
        <w:t> </w:t>
      </w:r>
      <w:r>
        <w:rPr>
          <w:spacing w:val="-2"/>
        </w:rPr>
        <w:t>tumorais.</w:t>
      </w:r>
    </w:p>
    <w:p>
      <w:pPr>
        <w:pStyle w:val="BodyText"/>
        <w:spacing w:line="283" w:lineRule="auto" w:before="88"/>
        <w:ind w:right="501"/>
      </w:pPr>
      <w:r>
        <w:rPr/>
        <w:t>Avanços na RM têm aprimorado a visualização anatômica e funcional das alterações linfáticas no linfedema, com</w:t>
      </w:r>
      <w:r>
        <w:rPr>
          <w:spacing w:val="-8"/>
        </w:rPr>
        <w:t> </w:t>
      </w:r>
      <w:r>
        <w:rPr/>
        <w:t>e</w:t>
      </w:r>
      <w:r>
        <w:rPr>
          <w:spacing w:val="-11"/>
        </w:rPr>
        <w:t> </w:t>
      </w:r>
      <w:r>
        <w:rPr/>
        <w:t>sem</w:t>
      </w:r>
      <w:r>
        <w:rPr>
          <w:spacing w:val="-8"/>
        </w:rPr>
        <w:t> </w:t>
      </w:r>
      <w:r>
        <w:rPr/>
        <w:t>uso</w:t>
      </w:r>
      <w:r>
        <w:rPr>
          <w:spacing w:val="-8"/>
        </w:rPr>
        <w:t> </w:t>
      </w:r>
      <w:r>
        <w:rPr/>
        <w:t>de</w:t>
      </w:r>
      <w:r>
        <w:rPr>
          <w:spacing w:val="-11"/>
        </w:rPr>
        <w:t> </w:t>
      </w:r>
      <w:r>
        <w:rPr/>
        <w:t>contraste</w:t>
      </w:r>
      <w:r>
        <w:rPr>
          <w:spacing w:val="-11"/>
        </w:rPr>
        <w:t> </w:t>
      </w:r>
      <w:r>
        <w:rPr/>
        <w:t>paramagnético.</w:t>
      </w:r>
      <w:r>
        <w:rPr>
          <w:spacing w:val="-1"/>
        </w:rPr>
        <w:t> </w:t>
      </w:r>
      <w:r>
        <w:rPr/>
        <w:t>No</w:t>
      </w:r>
      <w:r>
        <w:rPr>
          <w:spacing w:val="-8"/>
        </w:rPr>
        <w:t> </w:t>
      </w:r>
      <w:r>
        <w:rPr/>
        <w:t>entanto,</w:t>
      </w:r>
      <w:r>
        <w:rPr>
          <w:spacing w:val="-1"/>
        </w:rPr>
        <w:t> </w:t>
      </w:r>
      <w:r>
        <w:rPr/>
        <w:t>no</w:t>
      </w:r>
      <w:r>
        <w:rPr>
          <w:spacing w:val="-8"/>
        </w:rPr>
        <w:t> </w:t>
      </w:r>
      <w:r>
        <w:rPr/>
        <w:t>diagnóstico</w:t>
      </w:r>
      <w:r>
        <w:rPr>
          <w:spacing w:val="-8"/>
        </w:rPr>
        <w:t> </w:t>
      </w:r>
      <w:r>
        <w:rPr/>
        <w:t>específico</w:t>
      </w:r>
      <w:r>
        <w:rPr>
          <w:spacing w:val="-8"/>
        </w:rPr>
        <w:t> </w:t>
      </w:r>
      <w:r>
        <w:rPr/>
        <w:t>do</w:t>
      </w:r>
      <w:r>
        <w:rPr>
          <w:spacing w:val="-8"/>
        </w:rPr>
        <w:t> </w:t>
      </w:r>
      <w:r>
        <w:rPr/>
        <w:t>linfedema,</w:t>
      </w:r>
      <w:r>
        <w:rPr>
          <w:spacing w:val="-1"/>
        </w:rPr>
        <w:t> </w:t>
      </w:r>
      <w:r>
        <w:rPr/>
        <w:t>seu</w:t>
      </w:r>
      <w:r>
        <w:rPr>
          <w:spacing w:val="-8"/>
        </w:rPr>
        <w:t> </w:t>
      </w:r>
      <w:r>
        <w:rPr/>
        <w:t>papel</w:t>
      </w:r>
      <w:r>
        <w:rPr>
          <w:spacing w:val="-6"/>
        </w:rPr>
        <w:t> </w:t>
      </w:r>
      <w:r>
        <w:rPr/>
        <w:t>ainda</w:t>
      </w:r>
      <w:r>
        <w:rPr>
          <w:spacing w:val="-11"/>
        </w:rPr>
        <w:t> </w:t>
      </w:r>
      <w:r>
        <w:rPr/>
        <w:t>não se encontra bem definido.</w:t>
      </w:r>
      <w:r>
        <w:rPr>
          <w:vertAlign w:val="superscript"/>
        </w:rPr>
        <w:t>11</w:t>
      </w:r>
    </w:p>
    <w:p>
      <w:pPr>
        <w:pStyle w:val="BodyText"/>
        <w:spacing w:before="126"/>
        <w:ind w:left="0" w:firstLine="0"/>
        <w:jc w:val="left"/>
      </w:pPr>
    </w:p>
    <w:p>
      <w:pPr>
        <w:pStyle w:val="Heading5"/>
      </w:pPr>
      <w:r>
        <w:rPr>
          <w:color w:val="A26108"/>
        </w:rPr>
        <w:t>Espectroscopia</w:t>
      </w:r>
      <w:r>
        <w:rPr>
          <w:color w:val="A26108"/>
          <w:spacing w:val="29"/>
        </w:rPr>
        <w:t> </w:t>
      </w:r>
      <w:r>
        <w:rPr>
          <w:color w:val="A26108"/>
        </w:rPr>
        <w:t>por</w:t>
      </w:r>
      <w:r>
        <w:rPr>
          <w:color w:val="A26108"/>
          <w:spacing w:val="29"/>
        </w:rPr>
        <w:t> </w:t>
      </w:r>
      <w:r>
        <w:rPr>
          <w:color w:val="A26108"/>
          <w:spacing w:val="-2"/>
        </w:rPr>
        <w:t>bioimpedância</w:t>
      </w:r>
    </w:p>
    <w:p>
      <w:pPr>
        <w:pStyle w:val="BodyText"/>
        <w:spacing w:line="290" w:lineRule="auto" w:before="138"/>
        <w:ind w:right="491"/>
      </w:pPr>
      <w:r>
        <w:rPr/>
        <w:t>É</w:t>
      </w:r>
      <w:r>
        <w:rPr>
          <w:spacing w:val="-2"/>
        </w:rPr>
        <w:t> </w:t>
      </w:r>
      <w:r>
        <w:rPr/>
        <w:t>um</w:t>
      </w:r>
      <w:r>
        <w:rPr>
          <w:spacing w:val="-6"/>
        </w:rPr>
        <w:t> </w:t>
      </w:r>
      <w:r>
        <w:rPr/>
        <w:t>método</w:t>
      </w:r>
      <w:r>
        <w:rPr>
          <w:spacing w:val="-6"/>
        </w:rPr>
        <w:t> </w:t>
      </w:r>
      <w:r>
        <w:rPr/>
        <w:t>ainda</w:t>
      </w:r>
      <w:r>
        <w:rPr>
          <w:spacing w:val="-9"/>
        </w:rPr>
        <w:t> </w:t>
      </w:r>
      <w:r>
        <w:rPr/>
        <w:t>em</w:t>
      </w:r>
      <w:r>
        <w:rPr>
          <w:spacing w:val="-6"/>
        </w:rPr>
        <w:t> </w:t>
      </w:r>
      <w:r>
        <w:rPr/>
        <w:t>investigação;</w:t>
      </w:r>
      <w:r>
        <w:rPr>
          <w:spacing w:val="-4"/>
        </w:rPr>
        <w:t> </w:t>
      </w:r>
      <w:r>
        <w:rPr/>
        <w:t>determina</w:t>
      </w:r>
      <w:r>
        <w:rPr>
          <w:spacing w:val="-9"/>
        </w:rPr>
        <w:t> </w:t>
      </w:r>
      <w:r>
        <w:rPr/>
        <w:t>o</w:t>
      </w:r>
      <w:r>
        <w:rPr>
          <w:spacing w:val="-6"/>
        </w:rPr>
        <w:t> </w:t>
      </w:r>
      <w:r>
        <w:rPr/>
        <w:t>volume</w:t>
      </w:r>
      <w:r>
        <w:rPr>
          <w:spacing w:val="-9"/>
        </w:rPr>
        <w:t> </w:t>
      </w:r>
      <w:r>
        <w:rPr/>
        <w:t>do</w:t>
      </w:r>
      <w:r>
        <w:rPr>
          <w:spacing w:val="-6"/>
        </w:rPr>
        <w:t> </w:t>
      </w:r>
      <w:r>
        <w:rPr/>
        <w:t>liquido</w:t>
      </w:r>
      <w:r>
        <w:rPr>
          <w:spacing w:val="-6"/>
        </w:rPr>
        <w:t> </w:t>
      </w:r>
      <w:r>
        <w:rPr/>
        <w:t>extracelular</w:t>
      </w:r>
      <w:r>
        <w:rPr>
          <w:spacing w:val="-2"/>
        </w:rPr>
        <w:t> </w:t>
      </w:r>
      <w:r>
        <w:rPr/>
        <w:t>e</w:t>
      </w:r>
      <w:r>
        <w:rPr>
          <w:spacing w:val="-9"/>
        </w:rPr>
        <w:t> </w:t>
      </w:r>
      <w:r>
        <w:rPr/>
        <w:t>se</w:t>
      </w:r>
      <w:r>
        <w:rPr>
          <w:spacing w:val="-9"/>
        </w:rPr>
        <w:t> </w:t>
      </w:r>
      <w:r>
        <w:rPr/>
        <w:t>apresenta</w:t>
      </w:r>
      <w:r>
        <w:rPr>
          <w:spacing w:val="-9"/>
        </w:rPr>
        <w:t> </w:t>
      </w:r>
      <w:r>
        <w:rPr/>
        <w:t>como</w:t>
      </w:r>
      <w:r>
        <w:rPr>
          <w:spacing w:val="-6"/>
        </w:rPr>
        <w:t> </w:t>
      </w:r>
      <w:r>
        <w:rPr/>
        <w:t>um</w:t>
      </w:r>
      <w:r>
        <w:rPr>
          <w:spacing w:val="-6"/>
        </w:rPr>
        <w:t> </w:t>
      </w:r>
      <w:r>
        <w:rPr/>
        <w:t>estudo promissor para o diagnóstico do linfedema.</w:t>
      </w:r>
      <w:r>
        <w:rPr>
          <w:vertAlign w:val="superscript"/>
        </w:rPr>
        <w:t>16</w:t>
      </w:r>
    </w:p>
    <w:p>
      <w:pPr>
        <w:pStyle w:val="BodyText"/>
        <w:spacing w:before="170"/>
        <w:ind w:left="0" w:firstLine="0"/>
        <w:jc w:val="left"/>
      </w:pPr>
    </w:p>
    <w:p>
      <w:pPr>
        <w:pStyle w:val="Heading4"/>
      </w:pPr>
      <w:r>
        <w:rPr>
          <w:color w:val="242B67"/>
          <w:spacing w:val="-2"/>
        </w:rPr>
        <w:t>Tratamento</w:t>
      </w:r>
    </w:p>
    <w:p>
      <w:pPr>
        <w:pStyle w:val="BodyText"/>
        <w:spacing w:line="283" w:lineRule="auto" w:before="132"/>
        <w:ind w:right="491"/>
      </w:pPr>
      <w:r>
        <w:rPr/>
        <w:t>O tratamento do linfedema é, até agora, paliativo. O restabelecimento da função linfática normal e a regressão completa das alterações teciduais ainda não foram obtidos com a terapêutica atual. Ainda não se dispõe de tratamento ideal, obtendo-se, no máximo, redução significativa do edema.</w:t>
      </w:r>
      <w:r>
        <w:rPr>
          <w:vertAlign w:val="superscript"/>
        </w:rPr>
        <w:t>17</w:t>
      </w:r>
    </w:p>
    <w:p>
      <w:pPr>
        <w:pStyle w:val="BodyText"/>
        <w:spacing w:line="276" w:lineRule="auto" w:before="57"/>
        <w:ind w:right="491"/>
      </w:pPr>
      <w:r>
        <w:rPr/>
        <w:t>Antes do estabelecimento de um tratamento, é fundamental definir o diagnóstico etiológico e o estágio clínico em que se encontra a doença. O objetivo terapêutico é a redução do edema para manter ou recuperar a funcionalidade, reduzir as complicações e restaurar o aspecto estético do membro. Este tratamento requer, necessariamente,</w:t>
      </w:r>
      <w:r>
        <w:rPr>
          <w:spacing w:val="25"/>
        </w:rPr>
        <w:t> </w:t>
      </w:r>
      <w:r>
        <w:rPr/>
        <w:t>uma abordagem</w:t>
      </w:r>
      <w:r>
        <w:rPr>
          <w:spacing w:val="16"/>
        </w:rPr>
        <w:t> </w:t>
      </w:r>
      <w:r>
        <w:rPr/>
        <w:t>multidisciplinar</w:t>
      </w:r>
      <w:r>
        <w:rPr>
          <w:spacing w:val="21"/>
        </w:rPr>
        <w:t> </w:t>
      </w:r>
      <w:r>
        <w:rPr/>
        <w:t>e,</w:t>
      </w:r>
      <w:r>
        <w:rPr>
          <w:spacing w:val="25"/>
        </w:rPr>
        <w:t> </w:t>
      </w:r>
      <w:r>
        <w:rPr/>
        <w:t>na maioria das</w:t>
      </w:r>
      <w:r>
        <w:rPr>
          <w:spacing w:val="25"/>
        </w:rPr>
        <w:t> </w:t>
      </w:r>
      <w:r>
        <w:rPr/>
        <w:t>vezes,</w:t>
      </w:r>
      <w:r>
        <w:rPr>
          <w:spacing w:val="25"/>
        </w:rPr>
        <w:t> </w:t>
      </w:r>
      <w:r>
        <w:rPr/>
        <w:t>é demorado</w:t>
      </w:r>
      <w:r>
        <w:rPr>
          <w:spacing w:val="16"/>
        </w:rPr>
        <w:t> </w:t>
      </w:r>
      <w:r>
        <w:rPr/>
        <w:t>e custoso.</w:t>
      </w:r>
      <w:r>
        <w:rPr>
          <w:spacing w:val="25"/>
        </w:rPr>
        <w:t> </w:t>
      </w:r>
      <w:r>
        <w:rPr/>
        <w:t>A maioria dos</w:t>
      </w:r>
    </w:p>
    <w:p>
      <w:pPr>
        <w:pStyle w:val="BodyText"/>
        <w:spacing w:after="0" w:line="276" w:lineRule="auto"/>
        <w:sectPr>
          <w:pgSz w:w="11900" w:h="16840"/>
          <w:pgMar w:top="280" w:bottom="280" w:left="566" w:right="141"/>
        </w:sectPr>
      </w:pPr>
    </w:p>
    <w:p>
      <w:pPr>
        <w:pStyle w:val="BodyText"/>
        <w:spacing w:line="290" w:lineRule="auto" w:before="71"/>
        <w:ind w:firstLine="0"/>
        <w:jc w:val="left"/>
      </w:pPr>
      <w:r>
        <w:rPr/>
        <w:t>linfedemas</w:t>
      </w:r>
      <w:r>
        <w:rPr>
          <w:spacing w:val="18"/>
        </w:rPr>
        <w:t> </w:t>
      </w:r>
      <w:r>
        <w:rPr/>
        <w:t>é passível de tratamento conservador e,</w:t>
      </w:r>
      <w:r>
        <w:rPr>
          <w:spacing w:val="18"/>
        </w:rPr>
        <w:t> </w:t>
      </w:r>
      <w:r>
        <w:rPr/>
        <w:t>somente em casos</w:t>
      </w:r>
      <w:r>
        <w:rPr>
          <w:spacing w:val="18"/>
        </w:rPr>
        <w:t> </w:t>
      </w:r>
      <w:r>
        <w:rPr/>
        <w:t>selecionados,</w:t>
      </w:r>
      <w:r>
        <w:rPr>
          <w:spacing w:val="18"/>
        </w:rPr>
        <w:t> </w:t>
      </w:r>
      <w:r>
        <w:rPr/>
        <w:t>estaria indicado o tratamento </w:t>
      </w:r>
      <w:r>
        <w:rPr>
          <w:spacing w:val="-2"/>
        </w:rPr>
        <w:t>cirúrgico.</w:t>
      </w:r>
      <w:r>
        <w:rPr>
          <w:spacing w:val="-2"/>
          <w:vertAlign w:val="superscript"/>
        </w:rPr>
        <w:t>17</w:t>
      </w:r>
    </w:p>
    <w:p>
      <w:pPr>
        <w:pStyle w:val="BodyText"/>
        <w:spacing w:before="118"/>
        <w:ind w:left="0" w:firstLine="0"/>
        <w:jc w:val="left"/>
      </w:pPr>
    </w:p>
    <w:p>
      <w:pPr>
        <w:pStyle w:val="Heading5"/>
      </w:pPr>
      <w:r>
        <w:rPr>
          <w:color w:val="A26108"/>
        </w:rPr>
        <w:t>Tratamento</w:t>
      </w:r>
      <w:r>
        <w:rPr>
          <w:color w:val="A26108"/>
          <w:spacing w:val="34"/>
        </w:rPr>
        <w:t> </w:t>
      </w:r>
      <w:r>
        <w:rPr>
          <w:color w:val="A26108"/>
          <w:spacing w:val="-2"/>
        </w:rPr>
        <w:t>clínico</w:t>
      </w:r>
    </w:p>
    <w:p>
      <w:pPr>
        <w:pStyle w:val="BodyText"/>
        <w:spacing w:line="278" w:lineRule="auto" w:before="138"/>
        <w:ind w:right="498"/>
      </w:pPr>
      <w:r>
        <w:rPr/>
        <w:t>Se</w:t>
      </w:r>
      <w:r>
        <w:rPr>
          <w:spacing w:val="-5"/>
        </w:rPr>
        <w:t> </w:t>
      </w:r>
      <w:r>
        <w:rPr/>
        <w:t>for considerado</w:t>
      </w:r>
      <w:r>
        <w:rPr>
          <w:spacing w:val="-2"/>
        </w:rPr>
        <w:t> </w:t>
      </w:r>
      <w:r>
        <w:rPr/>
        <w:t>que</w:t>
      </w:r>
      <w:r>
        <w:rPr>
          <w:spacing w:val="-5"/>
        </w:rPr>
        <w:t> </w:t>
      </w:r>
      <w:r>
        <w:rPr/>
        <w:t>o</w:t>
      </w:r>
      <w:r>
        <w:rPr>
          <w:spacing w:val="-2"/>
        </w:rPr>
        <w:t> </w:t>
      </w:r>
      <w:r>
        <w:rPr/>
        <w:t>linfedema</w:t>
      </w:r>
      <w:r>
        <w:rPr>
          <w:spacing w:val="-5"/>
        </w:rPr>
        <w:t> </w:t>
      </w:r>
      <w:r>
        <w:rPr/>
        <w:t>é</w:t>
      </w:r>
      <w:r>
        <w:rPr>
          <w:spacing w:val="-5"/>
        </w:rPr>
        <w:t> </w:t>
      </w:r>
      <w:r>
        <w:rPr/>
        <w:t>uma</w:t>
      </w:r>
      <w:r>
        <w:rPr>
          <w:spacing w:val="-5"/>
        </w:rPr>
        <w:t> </w:t>
      </w:r>
      <w:r>
        <w:rPr/>
        <w:t>doença</w:t>
      </w:r>
      <w:r>
        <w:rPr>
          <w:spacing w:val="-5"/>
        </w:rPr>
        <w:t> </w:t>
      </w:r>
      <w:r>
        <w:rPr/>
        <w:t>cuja</w:t>
      </w:r>
      <w:r>
        <w:rPr>
          <w:spacing w:val="-5"/>
        </w:rPr>
        <w:t> </w:t>
      </w:r>
      <w:r>
        <w:rPr/>
        <w:t>etiologia</w:t>
      </w:r>
      <w:r>
        <w:rPr>
          <w:spacing w:val="-5"/>
        </w:rPr>
        <w:t> </w:t>
      </w:r>
      <w:r>
        <w:rPr/>
        <w:t>nem</w:t>
      </w:r>
      <w:r>
        <w:rPr>
          <w:spacing w:val="-2"/>
        </w:rPr>
        <w:t> </w:t>
      </w:r>
      <w:r>
        <w:rPr/>
        <w:t>sempre</w:t>
      </w:r>
      <w:r>
        <w:rPr>
          <w:spacing w:val="-5"/>
        </w:rPr>
        <w:t> </w:t>
      </w:r>
      <w:r>
        <w:rPr/>
        <w:t>é</w:t>
      </w:r>
      <w:r>
        <w:rPr>
          <w:spacing w:val="-5"/>
        </w:rPr>
        <w:t> </w:t>
      </w:r>
      <w:r>
        <w:rPr/>
        <w:t>conhecida, passível de</w:t>
      </w:r>
      <w:r>
        <w:rPr>
          <w:spacing w:val="-5"/>
        </w:rPr>
        <w:t> </w:t>
      </w:r>
      <w:r>
        <w:rPr/>
        <w:t>ocasionar deformações</w:t>
      </w:r>
      <w:r>
        <w:rPr>
          <w:spacing w:val="-2"/>
        </w:rPr>
        <w:t> </w:t>
      </w:r>
      <w:r>
        <w:rPr/>
        <w:t>físicas</w:t>
      </w:r>
      <w:r>
        <w:rPr>
          <w:spacing w:val="-2"/>
        </w:rPr>
        <w:t> </w:t>
      </w:r>
      <w:r>
        <w:rPr/>
        <w:t>e</w:t>
      </w:r>
      <w:r>
        <w:rPr>
          <w:spacing w:val="-11"/>
        </w:rPr>
        <w:t> </w:t>
      </w:r>
      <w:r>
        <w:rPr/>
        <w:t>que</w:t>
      </w:r>
      <w:r>
        <w:rPr>
          <w:spacing w:val="-11"/>
        </w:rPr>
        <w:t> </w:t>
      </w:r>
      <w:r>
        <w:rPr/>
        <w:t>sua</w:t>
      </w:r>
      <w:r>
        <w:rPr>
          <w:spacing w:val="-11"/>
        </w:rPr>
        <w:t> </w:t>
      </w:r>
      <w:r>
        <w:rPr/>
        <w:t>resolução</w:t>
      </w:r>
      <w:r>
        <w:rPr>
          <w:spacing w:val="-9"/>
        </w:rPr>
        <w:t> </w:t>
      </w:r>
      <w:r>
        <w:rPr/>
        <w:t>terapêutica</w:t>
      </w:r>
      <w:r>
        <w:rPr>
          <w:spacing w:val="-11"/>
        </w:rPr>
        <w:t> </w:t>
      </w:r>
      <w:r>
        <w:rPr/>
        <w:t>é</w:t>
      </w:r>
      <w:r>
        <w:rPr>
          <w:spacing w:val="-11"/>
        </w:rPr>
        <w:t> </w:t>
      </w:r>
      <w:r>
        <w:rPr/>
        <w:t>parcial,</w:t>
      </w:r>
      <w:r>
        <w:rPr>
          <w:spacing w:val="-2"/>
        </w:rPr>
        <w:t> </w:t>
      </w:r>
      <w:r>
        <w:rPr/>
        <w:t>é</w:t>
      </w:r>
      <w:r>
        <w:rPr>
          <w:spacing w:val="-11"/>
        </w:rPr>
        <w:t> </w:t>
      </w:r>
      <w:r>
        <w:rPr/>
        <w:t>compreensível</w:t>
      </w:r>
      <w:r>
        <w:rPr>
          <w:spacing w:val="-7"/>
        </w:rPr>
        <w:t> </w:t>
      </w:r>
      <w:r>
        <w:rPr/>
        <w:t>que</w:t>
      </w:r>
      <w:r>
        <w:rPr>
          <w:spacing w:val="-11"/>
        </w:rPr>
        <w:t> </w:t>
      </w:r>
      <w:r>
        <w:rPr/>
        <w:t>o</w:t>
      </w:r>
      <w:r>
        <w:rPr>
          <w:spacing w:val="-9"/>
        </w:rPr>
        <w:t> </w:t>
      </w:r>
      <w:r>
        <w:rPr/>
        <w:t>paciente</w:t>
      </w:r>
      <w:r>
        <w:rPr>
          <w:spacing w:val="-11"/>
        </w:rPr>
        <w:t> </w:t>
      </w:r>
      <w:r>
        <w:rPr/>
        <w:t>aceite</w:t>
      </w:r>
      <w:r>
        <w:rPr>
          <w:spacing w:val="-11"/>
        </w:rPr>
        <w:t> </w:t>
      </w:r>
      <w:r>
        <w:rPr/>
        <w:t>com</w:t>
      </w:r>
      <w:r>
        <w:rPr>
          <w:spacing w:val="-9"/>
        </w:rPr>
        <w:t> </w:t>
      </w:r>
      <w:r>
        <w:rPr/>
        <w:t>dificuldade a</w:t>
      </w:r>
      <w:r>
        <w:rPr>
          <w:spacing w:val="-11"/>
        </w:rPr>
        <w:t> </w:t>
      </w:r>
      <w:r>
        <w:rPr/>
        <w:t>doença.</w:t>
      </w:r>
      <w:r>
        <w:rPr>
          <w:spacing w:val="-2"/>
        </w:rPr>
        <w:t> </w:t>
      </w:r>
      <w:r>
        <w:rPr/>
        <w:t>Geralmente,</w:t>
      </w:r>
      <w:r>
        <w:rPr>
          <w:spacing w:val="-2"/>
        </w:rPr>
        <w:t> </w:t>
      </w:r>
      <w:r>
        <w:rPr/>
        <w:t>quando</w:t>
      </w:r>
      <w:r>
        <w:rPr>
          <w:spacing w:val="-9"/>
        </w:rPr>
        <w:t> </w:t>
      </w:r>
      <w:r>
        <w:rPr/>
        <w:t>ele</w:t>
      </w:r>
      <w:r>
        <w:rPr>
          <w:spacing w:val="-11"/>
        </w:rPr>
        <w:t> </w:t>
      </w:r>
      <w:r>
        <w:rPr/>
        <w:t>procura</w:t>
      </w:r>
      <w:r>
        <w:rPr>
          <w:spacing w:val="-11"/>
        </w:rPr>
        <w:t> </w:t>
      </w:r>
      <w:r>
        <w:rPr/>
        <w:t>um</w:t>
      </w:r>
      <w:r>
        <w:rPr>
          <w:spacing w:val="-9"/>
        </w:rPr>
        <w:t> </w:t>
      </w:r>
      <w:r>
        <w:rPr/>
        <w:t>especialista</w:t>
      </w:r>
      <w:r>
        <w:rPr>
          <w:spacing w:val="-11"/>
        </w:rPr>
        <w:t> </w:t>
      </w:r>
      <w:r>
        <w:rPr/>
        <w:t>vascular</w:t>
      </w:r>
      <w:r>
        <w:rPr>
          <w:spacing w:val="-4"/>
        </w:rPr>
        <w:t> </w:t>
      </w:r>
      <w:r>
        <w:rPr/>
        <w:t>em</w:t>
      </w:r>
      <w:r>
        <w:rPr>
          <w:spacing w:val="-9"/>
        </w:rPr>
        <w:t> </w:t>
      </w:r>
      <w:r>
        <w:rPr/>
        <w:t>linfopatia,</w:t>
      </w:r>
      <w:r>
        <w:rPr>
          <w:spacing w:val="-2"/>
        </w:rPr>
        <w:t> </w:t>
      </w:r>
      <w:r>
        <w:rPr/>
        <w:t>já</w:t>
      </w:r>
      <w:r>
        <w:rPr>
          <w:spacing w:val="-11"/>
        </w:rPr>
        <w:t> </w:t>
      </w:r>
      <w:r>
        <w:rPr/>
        <w:t>recorreu</w:t>
      </w:r>
      <w:r>
        <w:rPr>
          <w:spacing w:val="-9"/>
        </w:rPr>
        <w:t> </w:t>
      </w:r>
      <w:r>
        <w:rPr/>
        <w:t>antes</w:t>
      </w:r>
      <w:r>
        <w:rPr>
          <w:spacing w:val="-2"/>
        </w:rPr>
        <w:t> </w:t>
      </w:r>
      <w:r>
        <w:rPr/>
        <w:t>a</w:t>
      </w:r>
      <w:r>
        <w:rPr>
          <w:spacing w:val="-11"/>
        </w:rPr>
        <w:t> </w:t>
      </w:r>
      <w:r>
        <w:rPr/>
        <w:t>diversos</w:t>
      </w:r>
      <w:r>
        <w:rPr>
          <w:spacing w:val="-2"/>
        </w:rPr>
        <w:t> </w:t>
      </w:r>
      <w:r>
        <w:rPr/>
        <w:t>outros especialistas, que nem sempre diagnosticaram e trataram corretamente sua doença. Os repetidos fracassos, indiferença, desesperança, e falta de confiança no médico leva o paciente, em algumas ocasiões, a sofrer graves problemas psicológicos. Psicose e depressões são relativamente frequentes nestes pacientes, que devem ter apoio psicológico.</w:t>
      </w:r>
      <w:r>
        <w:rPr>
          <w:vertAlign w:val="superscript"/>
        </w:rPr>
        <w:t>18</w:t>
      </w:r>
      <w:r>
        <w:rPr>
          <w:vertAlign w:val="baseline"/>
        </w:rPr>
        <w:t> Por outro lado, deve-se esclarecer o paciente de maneira bem clara, desde o início, que não existem resultados espetaculares nem</w:t>
      </w:r>
      <w:r>
        <w:rPr>
          <w:spacing w:val="-5"/>
          <w:vertAlign w:val="baseline"/>
        </w:rPr>
        <w:t> </w:t>
      </w:r>
      <w:r>
        <w:rPr>
          <w:vertAlign w:val="baseline"/>
        </w:rPr>
        <w:t>cura</w:t>
      </w:r>
      <w:r>
        <w:rPr>
          <w:spacing w:val="-8"/>
          <w:vertAlign w:val="baseline"/>
        </w:rPr>
        <w:t> </w:t>
      </w:r>
      <w:r>
        <w:rPr>
          <w:vertAlign w:val="baseline"/>
        </w:rPr>
        <w:t>completa;</w:t>
      </w:r>
      <w:r>
        <w:rPr>
          <w:spacing w:val="-3"/>
          <w:vertAlign w:val="baseline"/>
        </w:rPr>
        <w:t> </w:t>
      </w:r>
      <w:r>
        <w:rPr>
          <w:vertAlign w:val="baseline"/>
        </w:rPr>
        <w:t>deve-se</w:t>
      </w:r>
      <w:r>
        <w:rPr>
          <w:spacing w:val="-8"/>
          <w:vertAlign w:val="baseline"/>
        </w:rPr>
        <w:t> </w:t>
      </w:r>
      <w:r>
        <w:rPr>
          <w:vertAlign w:val="baseline"/>
        </w:rPr>
        <w:t>conscientizá-lo</w:t>
      </w:r>
      <w:r>
        <w:rPr>
          <w:spacing w:val="-5"/>
          <w:vertAlign w:val="baseline"/>
        </w:rPr>
        <w:t> </w:t>
      </w:r>
      <w:r>
        <w:rPr>
          <w:vertAlign w:val="baseline"/>
        </w:rPr>
        <w:t>de</w:t>
      </w:r>
      <w:r>
        <w:rPr>
          <w:spacing w:val="-8"/>
          <w:vertAlign w:val="baseline"/>
        </w:rPr>
        <w:t> </w:t>
      </w:r>
      <w:r>
        <w:rPr>
          <w:vertAlign w:val="baseline"/>
        </w:rPr>
        <w:t>que</w:t>
      </w:r>
      <w:r>
        <w:rPr>
          <w:spacing w:val="-8"/>
          <w:vertAlign w:val="baseline"/>
        </w:rPr>
        <w:t> </w:t>
      </w:r>
      <w:r>
        <w:rPr>
          <w:vertAlign w:val="baseline"/>
        </w:rPr>
        <w:t>se</w:t>
      </w:r>
      <w:r>
        <w:rPr>
          <w:spacing w:val="-8"/>
          <w:vertAlign w:val="baseline"/>
        </w:rPr>
        <w:t> </w:t>
      </w:r>
      <w:r>
        <w:rPr>
          <w:vertAlign w:val="baseline"/>
        </w:rPr>
        <w:t>pretende</w:t>
      </w:r>
      <w:r>
        <w:rPr>
          <w:spacing w:val="-8"/>
          <w:vertAlign w:val="baseline"/>
        </w:rPr>
        <w:t> </w:t>
      </w:r>
      <w:r>
        <w:rPr>
          <w:vertAlign w:val="baseline"/>
        </w:rPr>
        <w:t>conter e</w:t>
      </w:r>
      <w:r>
        <w:rPr>
          <w:spacing w:val="-8"/>
          <w:vertAlign w:val="baseline"/>
        </w:rPr>
        <w:t> </w:t>
      </w:r>
      <w:r>
        <w:rPr>
          <w:vertAlign w:val="baseline"/>
        </w:rPr>
        <w:t>reduzir ao</w:t>
      </w:r>
      <w:r>
        <w:rPr>
          <w:spacing w:val="-5"/>
          <w:vertAlign w:val="baseline"/>
        </w:rPr>
        <w:t> </w:t>
      </w:r>
      <w:r>
        <w:rPr>
          <w:vertAlign w:val="baseline"/>
        </w:rPr>
        <w:t>máximo a evolução do linfedema, sua colaboração é imprescindível para enfrentar um programa terapêutico geralmente tedioso e de longa duração.</w:t>
      </w:r>
    </w:p>
    <w:p>
      <w:pPr>
        <w:pStyle w:val="BodyText"/>
        <w:spacing w:line="290" w:lineRule="auto" w:before="39"/>
        <w:ind w:right="488"/>
      </w:pPr>
      <w:r>
        <w:rPr/>
        <w:t>O</w:t>
      </w:r>
      <w:r>
        <w:rPr>
          <w:spacing w:val="-6"/>
        </w:rPr>
        <w:t> </w:t>
      </w:r>
      <w:r>
        <w:rPr/>
        <w:t>tratamento</w:t>
      </w:r>
      <w:r>
        <w:rPr>
          <w:spacing w:val="-3"/>
        </w:rPr>
        <w:t> </w:t>
      </w:r>
      <w:r>
        <w:rPr/>
        <w:t>conservador, com</w:t>
      </w:r>
      <w:r>
        <w:rPr>
          <w:spacing w:val="-3"/>
        </w:rPr>
        <w:t> </w:t>
      </w:r>
      <w:r>
        <w:rPr/>
        <w:t>resultados mais consistentes, é</w:t>
      </w:r>
      <w:r>
        <w:rPr>
          <w:spacing w:val="-6"/>
        </w:rPr>
        <w:t> </w:t>
      </w:r>
      <w:r>
        <w:rPr/>
        <w:t>a</w:t>
      </w:r>
      <w:r>
        <w:rPr>
          <w:spacing w:val="-6"/>
        </w:rPr>
        <w:t> </w:t>
      </w:r>
      <w:r>
        <w:rPr/>
        <w:t>terapia</w:t>
      </w:r>
      <w:r>
        <w:rPr>
          <w:spacing w:val="-6"/>
        </w:rPr>
        <w:t> </w:t>
      </w:r>
      <w:r>
        <w:rPr/>
        <w:t>física</w:t>
      </w:r>
      <w:r>
        <w:rPr>
          <w:spacing w:val="-6"/>
        </w:rPr>
        <w:t> </w:t>
      </w:r>
      <w:r>
        <w:rPr/>
        <w:t>complexa</w:t>
      </w:r>
      <w:r>
        <w:rPr>
          <w:spacing w:val="-6"/>
        </w:rPr>
        <w:t> </w:t>
      </w:r>
      <w:r>
        <w:rPr/>
        <w:t>(TFC) descompressiva ou suas variantes, que produz resultados satisfatórios na maior parte dos pacientes.</w:t>
      </w:r>
      <w:r>
        <w:rPr>
          <w:vertAlign w:val="superscript"/>
        </w:rPr>
        <w:t>17</w:t>
      </w:r>
    </w:p>
    <w:p>
      <w:pPr>
        <w:pStyle w:val="BodyText"/>
        <w:spacing w:line="280" w:lineRule="auto" w:before="49"/>
        <w:ind w:right="487"/>
      </w:pPr>
      <w:r>
        <w:rPr/>
        <w:t>A TFC exige os seguintes pré-requisitos, para ser bem-sucedida: supervisão contínua por médico e fisioterapeuta especializados em linfologia, em um centro adequando com disponibilidade de materiais para compressão</w:t>
      </w:r>
      <w:r>
        <w:rPr>
          <w:spacing w:val="-5"/>
        </w:rPr>
        <w:t> </w:t>
      </w:r>
      <w:r>
        <w:rPr/>
        <w:t>do</w:t>
      </w:r>
      <w:r>
        <w:rPr>
          <w:spacing w:val="-5"/>
        </w:rPr>
        <w:t> </w:t>
      </w:r>
      <w:r>
        <w:rPr/>
        <w:t>membro</w:t>
      </w:r>
      <w:r>
        <w:rPr>
          <w:spacing w:val="-5"/>
        </w:rPr>
        <w:t> </w:t>
      </w:r>
      <w:r>
        <w:rPr/>
        <w:t>e</w:t>
      </w:r>
      <w:r>
        <w:rPr>
          <w:spacing w:val="-7"/>
        </w:rPr>
        <w:t> </w:t>
      </w:r>
      <w:r>
        <w:rPr/>
        <w:t>a</w:t>
      </w:r>
      <w:r>
        <w:rPr>
          <w:spacing w:val="-7"/>
        </w:rPr>
        <w:t> </w:t>
      </w:r>
      <w:r>
        <w:rPr/>
        <w:t>adesão</w:t>
      </w:r>
      <w:r>
        <w:rPr>
          <w:spacing w:val="-5"/>
        </w:rPr>
        <w:t> </w:t>
      </w:r>
      <w:r>
        <w:rPr/>
        <w:t>total</w:t>
      </w:r>
      <w:r>
        <w:rPr>
          <w:spacing w:val="-2"/>
        </w:rPr>
        <w:t> </w:t>
      </w:r>
      <w:r>
        <w:rPr/>
        <w:t>do</w:t>
      </w:r>
      <w:r>
        <w:rPr>
          <w:spacing w:val="-5"/>
        </w:rPr>
        <w:t> </w:t>
      </w:r>
      <w:r>
        <w:rPr/>
        <w:t>paciente</w:t>
      </w:r>
      <w:r>
        <w:rPr>
          <w:spacing w:val="-7"/>
        </w:rPr>
        <w:t> </w:t>
      </w:r>
      <w:r>
        <w:rPr/>
        <w:t>ao</w:t>
      </w:r>
      <w:r>
        <w:rPr>
          <w:spacing w:val="-5"/>
        </w:rPr>
        <w:t> </w:t>
      </w:r>
      <w:r>
        <w:rPr/>
        <w:t>tratamento. Os resultados dependem, fundamentalmente, do estágio clínico, da idade do paciente e do tempo de evolução do linfedema.</w:t>
      </w:r>
      <w:r>
        <w:rPr>
          <w:vertAlign w:val="superscript"/>
        </w:rPr>
        <w:t>17</w:t>
      </w:r>
    </w:p>
    <w:p>
      <w:pPr>
        <w:pStyle w:val="BodyText"/>
        <w:spacing w:line="278" w:lineRule="auto" w:before="59"/>
        <w:ind w:right="497"/>
      </w:pPr>
      <w:r>
        <w:rPr/>
        <w:t>A TFC consta de quatro medidas fundamentais que funcionam em conjunto:</w:t>
      </w:r>
      <w:r>
        <w:rPr>
          <w:vertAlign w:val="superscript"/>
        </w:rPr>
        <w:t>17</w:t>
      </w:r>
      <w:r>
        <w:rPr>
          <w:vertAlign w:val="baseline"/>
        </w:rPr>
        <w:t> drenagem linfática manual, cuidados da pele, compressão e exercícios miolinfocinéticos. A drenagem linfática manual é realizada com baixa pressão</w:t>
      </w:r>
      <w:r>
        <w:rPr>
          <w:spacing w:val="-1"/>
          <w:vertAlign w:val="baseline"/>
        </w:rPr>
        <w:t> </w:t>
      </w:r>
      <w:r>
        <w:rPr>
          <w:vertAlign w:val="baseline"/>
        </w:rPr>
        <w:t>em</w:t>
      </w:r>
      <w:r>
        <w:rPr>
          <w:spacing w:val="-1"/>
          <w:vertAlign w:val="baseline"/>
        </w:rPr>
        <w:t> </w:t>
      </w:r>
      <w:r>
        <w:rPr>
          <w:vertAlign w:val="baseline"/>
        </w:rPr>
        <w:t>áreas normais próximas à</w:t>
      </w:r>
      <w:r>
        <w:rPr>
          <w:spacing w:val="-4"/>
          <w:vertAlign w:val="baseline"/>
        </w:rPr>
        <w:t> </w:t>
      </w:r>
      <w:r>
        <w:rPr>
          <w:vertAlign w:val="baseline"/>
        </w:rPr>
        <w:t>região</w:t>
      </w:r>
      <w:r>
        <w:rPr>
          <w:spacing w:val="-1"/>
          <w:vertAlign w:val="baseline"/>
        </w:rPr>
        <w:t> </w:t>
      </w:r>
      <w:r>
        <w:rPr>
          <w:vertAlign w:val="baseline"/>
        </w:rPr>
        <w:t>afetada</w:t>
      </w:r>
      <w:r>
        <w:rPr>
          <w:spacing w:val="-4"/>
          <w:vertAlign w:val="baseline"/>
        </w:rPr>
        <w:t> </w:t>
      </w:r>
      <w:r>
        <w:rPr>
          <w:vertAlign w:val="baseline"/>
        </w:rPr>
        <w:t>para</w:t>
      </w:r>
      <w:r>
        <w:rPr>
          <w:spacing w:val="-4"/>
          <w:vertAlign w:val="baseline"/>
        </w:rPr>
        <w:t> </w:t>
      </w:r>
      <w:r>
        <w:rPr>
          <w:vertAlign w:val="baseline"/>
        </w:rPr>
        <w:t>estimular a</w:t>
      </w:r>
      <w:r>
        <w:rPr>
          <w:spacing w:val="-4"/>
          <w:vertAlign w:val="baseline"/>
        </w:rPr>
        <w:t> </w:t>
      </w:r>
      <w:r>
        <w:rPr>
          <w:vertAlign w:val="baseline"/>
        </w:rPr>
        <w:t>atividade</w:t>
      </w:r>
      <w:r>
        <w:rPr>
          <w:spacing w:val="-4"/>
          <w:vertAlign w:val="baseline"/>
        </w:rPr>
        <w:t> </w:t>
      </w:r>
      <w:r>
        <w:rPr>
          <w:vertAlign w:val="baseline"/>
        </w:rPr>
        <w:t>linfática; na</w:t>
      </w:r>
      <w:r>
        <w:rPr>
          <w:spacing w:val="-4"/>
          <w:vertAlign w:val="baseline"/>
        </w:rPr>
        <w:t> </w:t>
      </w:r>
      <w:r>
        <w:rPr>
          <w:vertAlign w:val="baseline"/>
        </w:rPr>
        <w:t>região</w:t>
      </w:r>
      <w:r>
        <w:rPr>
          <w:spacing w:val="-1"/>
          <w:vertAlign w:val="baseline"/>
        </w:rPr>
        <w:t> </w:t>
      </w:r>
      <w:r>
        <w:rPr>
          <w:vertAlign w:val="baseline"/>
        </w:rPr>
        <w:t>com</w:t>
      </w:r>
      <w:r>
        <w:rPr>
          <w:spacing w:val="-1"/>
          <w:vertAlign w:val="baseline"/>
        </w:rPr>
        <w:t> </w:t>
      </w:r>
      <w:r>
        <w:rPr>
          <w:vertAlign w:val="baseline"/>
        </w:rPr>
        <w:t>linfedema</w:t>
      </w:r>
      <w:r>
        <w:rPr>
          <w:spacing w:val="-4"/>
          <w:vertAlign w:val="baseline"/>
        </w:rPr>
        <w:t> </w:t>
      </w:r>
      <w:r>
        <w:rPr>
          <w:vertAlign w:val="baseline"/>
        </w:rPr>
        <w:t>a pressão aplicada é maior para tratar os tecidos fibróticos. A compressão por bandagens é realizada com múltiplas camadas, com objetivos distintos: proteção da</w:t>
      </w:r>
      <w:r>
        <w:rPr>
          <w:spacing w:val="-1"/>
          <w:vertAlign w:val="baseline"/>
        </w:rPr>
        <w:t> </w:t>
      </w:r>
      <w:r>
        <w:rPr>
          <w:vertAlign w:val="baseline"/>
        </w:rPr>
        <w:t>pele</w:t>
      </w:r>
      <w:r>
        <w:rPr>
          <w:spacing w:val="-1"/>
          <w:vertAlign w:val="baseline"/>
        </w:rPr>
        <w:t> </w:t>
      </w:r>
      <w:r>
        <w:rPr>
          <w:vertAlign w:val="baseline"/>
        </w:rPr>
        <w:t>e</w:t>
      </w:r>
      <w:r>
        <w:rPr>
          <w:spacing w:val="-1"/>
          <w:vertAlign w:val="baseline"/>
        </w:rPr>
        <w:t> </w:t>
      </w:r>
      <w:r>
        <w:rPr>
          <w:vertAlign w:val="baseline"/>
        </w:rPr>
        <w:t>das saliências ósseas, configuração de</w:t>
      </w:r>
      <w:r>
        <w:rPr>
          <w:spacing w:val="-1"/>
          <w:vertAlign w:val="baseline"/>
        </w:rPr>
        <w:t> </w:t>
      </w:r>
      <w:r>
        <w:rPr>
          <w:vertAlign w:val="baseline"/>
        </w:rPr>
        <w:t>uma</w:t>
      </w:r>
      <w:r>
        <w:rPr>
          <w:spacing w:val="-1"/>
          <w:vertAlign w:val="baseline"/>
        </w:rPr>
        <w:t> </w:t>
      </w:r>
      <w:r>
        <w:rPr>
          <w:vertAlign w:val="baseline"/>
        </w:rPr>
        <w:t>forma</w:t>
      </w:r>
      <w:r>
        <w:rPr>
          <w:spacing w:val="-1"/>
          <w:vertAlign w:val="baseline"/>
        </w:rPr>
        <w:t> </w:t>
      </w:r>
      <w:r>
        <w:rPr>
          <w:vertAlign w:val="baseline"/>
        </w:rPr>
        <w:t>cilíndrica</w:t>
      </w:r>
      <w:r>
        <w:rPr>
          <w:spacing w:val="-1"/>
          <w:vertAlign w:val="baseline"/>
        </w:rPr>
        <w:t> </w:t>
      </w:r>
      <w:r>
        <w:rPr>
          <w:vertAlign w:val="baseline"/>
        </w:rPr>
        <w:t>e compressão propriamente dita. As meias ou luvas de alta compressão (média de 40 mmHg), com medidas adaptadas ao</w:t>
      </w:r>
      <w:r>
        <w:rPr>
          <w:spacing w:val="-6"/>
          <w:vertAlign w:val="baseline"/>
        </w:rPr>
        <w:t> </w:t>
      </w:r>
      <w:r>
        <w:rPr>
          <w:vertAlign w:val="baseline"/>
        </w:rPr>
        <w:t>paciente</w:t>
      </w:r>
      <w:r>
        <w:rPr>
          <w:spacing w:val="-8"/>
          <w:vertAlign w:val="baseline"/>
        </w:rPr>
        <w:t> </w:t>
      </w:r>
      <w:r>
        <w:rPr>
          <w:vertAlign w:val="baseline"/>
        </w:rPr>
        <w:t>são</w:t>
      </w:r>
      <w:r>
        <w:rPr>
          <w:spacing w:val="-6"/>
          <w:vertAlign w:val="baseline"/>
        </w:rPr>
        <w:t> </w:t>
      </w:r>
      <w:r>
        <w:rPr>
          <w:vertAlign w:val="baseline"/>
        </w:rPr>
        <w:t>indicadas, uma</w:t>
      </w:r>
      <w:r>
        <w:rPr>
          <w:spacing w:val="-8"/>
          <w:vertAlign w:val="baseline"/>
        </w:rPr>
        <w:t> </w:t>
      </w:r>
      <w:r>
        <w:rPr>
          <w:vertAlign w:val="baseline"/>
        </w:rPr>
        <w:t>vez</w:t>
      </w:r>
      <w:r>
        <w:rPr>
          <w:spacing w:val="-8"/>
          <w:vertAlign w:val="baseline"/>
        </w:rPr>
        <w:t> </w:t>
      </w:r>
      <w:r>
        <w:rPr>
          <w:vertAlign w:val="baseline"/>
        </w:rPr>
        <w:t>iniciada</w:t>
      </w:r>
      <w:r>
        <w:rPr>
          <w:spacing w:val="-8"/>
          <w:vertAlign w:val="baseline"/>
        </w:rPr>
        <w:t> </w:t>
      </w:r>
      <w:r>
        <w:rPr>
          <w:vertAlign w:val="baseline"/>
        </w:rPr>
        <w:t>a</w:t>
      </w:r>
      <w:r>
        <w:rPr>
          <w:spacing w:val="-8"/>
          <w:vertAlign w:val="baseline"/>
        </w:rPr>
        <w:t> </w:t>
      </w:r>
      <w:r>
        <w:rPr>
          <w:vertAlign w:val="baseline"/>
        </w:rPr>
        <w:t>fase</w:t>
      </w:r>
      <w:r>
        <w:rPr>
          <w:spacing w:val="-8"/>
          <w:vertAlign w:val="baseline"/>
        </w:rPr>
        <w:t> </w:t>
      </w:r>
      <w:r>
        <w:rPr>
          <w:vertAlign w:val="baseline"/>
        </w:rPr>
        <w:t>de</w:t>
      </w:r>
      <w:r>
        <w:rPr>
          <w:spacing w:val="-8"/>
          <w:vertAlign w:val="baseline"/>
        </w:rPr>
        <w:t> </w:t>
      </w:r>
      <w:r>
        <w:rPr>
          <w:vertAlign w:val="baseline"/>
        </w:rPr>
        <w:t>manutenção. Os exercícios miolinfocinéticos visam estimular a</w:t>
      </w:r>
      <w:r>
        <w:rPr>
          <w:spacing w:val="-1"/>
          <w:vertAlign w:val="baseline"/>
        </w:rPr>
        <w:t> </w:t>
      </w:r>
      <w:r>
        <w:rPr>
          <w:vertAlign w:val="baseline"/>
        </w:rPr>
        <w:t>atividade</w:t>
      </w:r>
      <w:r>
        <w:rPr>
          <w:spacing w:val="-1"/>
          <w:vertAlign w:val="baseline"/>
        </w:rPr>
        <w:t> </w:t>
      </w:r>
      <w:r>
        <w:rPr>
          <w:vertAlign w:val="baseline"/>
        </w:rPr>
        <w:t>muscular e</w:t>
      </w:r>
      <w:r>
        <w:rPr>
          <w:spacing w:val="-1"/>
          <w:vertAlign w:val="baseline"/>
        </w:rPr>
        <w:t> </w:t>
      </w:r>
      <w:r>
        <w:rPr>
          <w:vertAlign w:val="baseline"/>
        </w:rPr>
        <w:t>recuperar a</w:t>
      </w:r>
      <w:r>
        <w:rPr>
          <w:spacing w:val="-1"/>
          <w:vertAlign w:val="baseline"/>
        </w:rPr>
        <w:t> </w:t>
      </w:r>
      <w:r>
        <w:rPr>
          <w:vertAlign w:val="baseline"/>
        </w:rPr>
        <w:t>amplitude</w:t>
      </w:r>
      <w:r>
        <w:rPr>
          <w:spacing w:val="-1"/>
          <w:vertAlign w:val="baseline"/>
        </w:rPr>
        <w:t> </w:t>
      </w:r>
      <w:r>
        <w:rPr>
          <w:vertAlign w:val="baseline"/>
        </w:rPr>
        <w:t>de</w:t>
      </w:r>
      <w:r>
        <w:rPr>
          <w:spacing w:val="-1"/>
          <w:vertAlign w:val="baseline"/>
        </w:rPr>
        <w:t> </w:t>
      </w:r>
      <w:r>
        <w:rPr>
          <w:vertAlign w:val="baseline"/>
        </w:rPr>
        <w:t>movimento articular. Os cuidados de</w:t>
      </w:r>
      <w:r>
        <w:rPr>
          <w:spacing w:val="-1"/>
          <w:vertAlign w:val="baseline"/>
        </w:rPr>
        <w:t> </w:t>
      </w:r>
      <w:r>
        <w:rPr>
          <w:vertAlign w:val="baseline"/>
        </w:rPr>
        <w:t>pele</w:t>
      </w:r>
      <w:r>
        <w:rPr>
          <w:spacing w:val="-1"/>
          <w:vertAlign w:val="baseline"/>
        </w:rPr>
        <w:t> </w:t>
      </w:r>
      <w:r>
        <w:rPr>
          <w:vertAlign w:val="baseline"/>
        </w:rPr>
        <w:t>servem para</w:t>
      </w:r>
      <w:r>
        <w:rPr>
          <w:spacing w:val="-1"/>
          <w:vertAlign w:val="baseline"/>
        </w:rPr>
        <w:t> </w:t>
      </w:r>
      <w:r>
        <w:rPr>
          <w:vertAlign w:val="baseline"/>
        </w:rPr>
        <w:t>a prevenção de infecções bacterianas e micóticas. A TFC divide-se em duas fases: descongestiva e de manutenção. Na</w:t>
      </w:r>
      <w:r>
        <w:rPr>
          <w:spacing w:val="-1"/>
          <w:vertAlign w:val="baseline"/>
        </w:rPr>
        <w:t> </w:t>
      </w:r>
      <w:r>
        <w:rPr>
          <w:vertAlign w:val="baseline"/>
        </w:rPr>
        <w:t>primeira, a</w:t>
      </w:r>
      <w:r>
        <w:rPr>
          <w:spacing w:val="-1"/>
          <w:vertAlign w:val="baseline"/>
        </w:rPr>
        <w:t> </w:t>
      </w:r>
      <w:r>
        <w:rPr>
          <w:vertAlign w:val="baseline"/>
        </w:rPr>
        <w:t>maior parte</w:t>
      </w:r>
      <w:r>
        <w:rPr>
          <w:spacing w:val="-1"/>
          <w:vertAlign w:val="baseline"/>
        </w:rPr>
        <w:t> </w:t>
      </w:r>
      <w:r>
        <w:rPr>
          <w:vertAlign w:val="baseline"/>
        </w:rPr>
        <w:t>do edema</w:t>
      </w:r>
      <w:r>
        <w:rPr>
          <w:spacing w:val="-1"/>
          <w:vertAlign w:val="baseline"/>
        </w:rPr>
        <w:t> </w:t>
      </w:r>
      <w:r>
        <w:rPr>
          <w:vertAlign w:val="baseline"/>
        </w:rPr>
        <w:t>mobilizado é</w:t>
      </w:r>
      <w:r>
        <w:rPr>
          <w:spacing w:val="-1"/>
          <w:vertAlign w:val="baseline"/>
        </w:rPr>
        <w:t> </w:t>
      </w:r>
      <w:r>
        <w:rPr>
          <w:vertAlign w:val="baseline"/>
        </w:rPr>
        <w:t>reabsorvida</w:t>
      </w:r>
      <w:r>
        <w:rPr>
          <w:spacing w:val="-1"/>
          <w:vertAlign w:val="baseline"/>
        </w:rPr>
        <w:t> </w:t>
      </w:r>
      <w:r>
        <w:rPr>
          <w:vertAlign w:val="baseline"/>
        </w:rPr>
        <w:t>e</w:t>
      </w:r>
      <w:r>
        <w:rPr>
          <w:spacing w:val="-1"/>
          <w:vertAlign w:val="baseline"/>
        </w:rPr>
        <w:t> </w:t>
      </w:r>
      <w:r>
        <w:rPr>
          <w:vertAlign w:val="baseline"/>
        </w:rPr>
        <w:t>se</w:t>
      </w:r>
      <w:r>
        <w:rPr>
          <w:spacing w:val="-1"/>
          <w:vertAlign w:val="baseline"/>
        </w:rPr>
        <w:t> </w:t>
      </w:r>
      <w:r>
        <w:rPr>
          <w:vertAlign w:val="baseline"/>
        </w:rPr>
        <w:t>inicia</w:t>
      </w:r>
      <w:r>
        <w:rPr>
          <w:spacing w:val="-1"/>
          <w:vertAlign w:val="baseline"/>
        </w:rPr>
        <w:t> </w:t>
      </w:r>
      <w:r>
        <w:rPr>
          <w:vertAlign w:val="baseline"/>
        </w:rPr>
        <w:t>a</w:t>
      </w:r>
      <w:r>
        <w:rPr>
          <w:spacing w:val="-1"/>
          <w:vertAlign w:val="baseline"/>
        </w:rPr>
        <w:t> </w:t>
      </w:r>
      <w:r>
        <w:rPr>
          <w:vertAlign w:val="baseline"/>
        </w:rPr>
        <w:t>regressão das alterações teciduais e, na fase</w:t>
      </w:r>
      <w:r>
        <w:rPr>
          <w:spacing w:val="-1"/>
          <w:vertAlign w:val="baseline"/>
        </w:rPr>
        <w:t> </w:t>
      </w:r>
      <w:r>
        <w:rPr>
          <w:vertAlign w:val="baseline"/>
        </w:rPr>
        <w:t>de</w:t>
      </w:r>
      <w:r>
        <w:rPr>
          <w:spacing w:val="-1"/>
          <w:vertAlign w:val="baseline"/>
        </w:rPr>
        <w:t> </w:t>
      </w:r>
      <w:r>
        <w:rPr>
          <w:vertAlign w:val="baseline"/>
        </w:rPr>
        <w:t>manutenção, tenta-se</w:t>
      </w:r>
      <w:r>
        <w:rPr>
          <w:spacing w:val="-1"/>
          <w:vertAlign w:val="baseline"/>
        </w:rPr>
        <w:t> </w:t>
      </w:r>
      <w:r>
        <w:rPr>
          <w:vertAlign w:val="baseline"/>
        </w:rPr>
        <w:t>manter as melhoras obtidas, podendo estender-se</w:t>
      </w:r>
      <w:r>
        <w:rPr>
          <w:spacing w:val="-1"/>
          <w:vertAlign w:val="baseline"/>
        </w:rPr>
        <w:t> </w:t>
      </w:r>
      <w:r>
        <w:rPr>
          <w:vertAlign w:val="baseline"/>
        </w:rPr>
        <w:t>por toda</w:t>
      </w:r>
      <w:r>
        <w:rPr>
          <w:spacing w:val="-1"/>
          <w:vertAlign w:val="baseline"/>
        </w:rPr>
        <w:t> </w:t>
      </w:r>
      <w:r>
        <w:rPr>
          <w:vertAlign w:val="baseline"/>
        </w:rPr>
        <w:t>a</w:t>
      </w:r>
      <w:r>
        <w:rPr>
          <w:spacing w:val="-1"/>
          <w:vertAlign w:val="baseline"/>
        </w:rPr>
        <w:t> </w:t>
      </w:r>
      <w:r>
        <w:rPr>
          <w:vertAlign w:val="baseline"/>
        </w:rPr>
        <w:t>vida.</w:t>
      </w:r>
      <w:r>
        <w:rPr>
          <w:vertAlign w:val="superscript"/>
        </w:rPr>
        <w:t>17</w:t>
      </w:r>
    </w:p>
    <w:p>
      <w:pPr>
        <w:pStyle w:val="BodyText"/>
        <w:spacing w:before="53"/>
        <w:ind w:left="414" w:firstLine="0"/>
      </w:pPr>
      <w:r>
        <w:rPr/>
        <w:t>Outras</w:t>
      </w:r>
      <w:r>
        <w:rPr>
          <w:spacing w:val="-4"/>
        </w:rPr>
        <w:t> </w:t>
      </w:r>
      <w:r>
        <w:rPr/>
        <w:t>formas</w:t>
      </w:r>
      <w:r>
        <w:rPr>
          <w:spacing w:val="-2"/>
        </w:rPr>
        <w:t> </w:t>
      </w:r>
      <w:r>
        <w:rPr/>
        <w:t>de</w:t>
      </w:r>
      <w:r>
        <w:rPr>
          <w:spacing w:val="-11"/>
        </w:rPr>
        <w:t> </w:t>
      </w:r>
      <w:r>
        <w:rPr/>
        <w:t>tratamento</w:t>
      </w:r>
      <w:r>
        <w:rPr>
          <w:spacing w:val="-9"/>
        </w:rPr>
        <w:t> </w:t>
      </w:r>
      <w:r>
        <w:rPr/>
        <w:t>clínico</w:t>
      </w:r>
      <w:r>
        <w:rPr>
          <w:spacing w:val="-9"/>
        </w:rPr>
        <w:t> </w:t>
      </w:r>
      <w:r>
        <w:rPr/>
        <w:t>são</w:t>
      </w:r>
      <w:r>
        <w:rPr>
          <w:spacing w:val="-9"/>
        </w:rPr>
        <w:t> </w:t>
      </w:r>
      <w:r>
        <w:rPr/>
        <w:t>o</w:t>
      </w:r>
      <w:r>
        <w:rPr>
          <w:spacing w:val="-9"/>
        </w:rPr>
        <w:t> </w:t>
      </w:r>
      <w:r>
        <w:rPr/>
        <w:t>medicamentoso</w:t>
      </w:r>
      <w:r>
        <w:rPr>
          <w:spacing w:val="-9"/>
        </w:rPr>
        <w:t> </w:t>
      </w:r>
      <w:r>
        <w:rPr/>
        <w:t>e</w:t>
      </w:r>
      <w:r>
        <w:rPr>
          <w:spacing w:val="-11"/>
        </w:rPr>
        <w:t> </w:t>
      </w:r>
      <w:r>
        <w:rPr/>
        <w:t>a</w:t>
      </w:r>
      <w:r>
        <w:rPr>
          <w:spacing w:val="-12"/>
        </w:rPr>
        <w:t> </w:t>
      </w:r>
      <w:r>
        <w:rPr/>
        <w:t>compressão</w:t>
      </w:r>
      <w:r>
        <w:rPr>
          <w:spacing w:val="-8"/>
        </w:rPr>
        <w:t> </w:t>
      </w:r>
      <w:r>
        <w:rPr>
          <w:spacing w:val="-2"/>
        </w:rPr>
        <w:t>pneumática.</w:t>
      </w:r>
    </w:p>
    <w:p>
      <w:pPr>
        <w:pStyle w:val="BodyText"/>
        <w:spacing w:line="280" w:lineRule="auto" w:before="104"/>
        <w:ind w:right="491"/>
      </w:pPr>
      <w:r>
        <w:rPr/>
        <w:t>O uso de medicamentos é considerado um adjuvante no tratamento do linfedema. Os diuréticos não têm indicação, exceto no tratamento de doenças concomitantes, como hipertensão ou insuficiência cardíaca, promovendo, também, piora do linfedema. Os antibióticos são utilizados para tratamento das celulites e erisipelas que ocorrem no curso da doença. Essas infecções constituem fator importante no agravamento do linfedema. Antibióticos profiláticos, como a penicilina benzatina, são eficazes e recomendados a cada 3 semanas nos 6 meses que</w:t>
      </w:r>
      <w:r>
        <w:rPr>
          <w:spacing w:val="-4"/>
        </w:rPr>
        <w:t> </w:t>
      </w:r>
      <w:r>
        <w:rPr/>
        <w:t>sucedem</w:t>
      </w:r>
      <w:r>
        <w:rPr>
          <w:spacing w:val="-1"/>
        </w:rPr>
        <w:t> </w:t>
      </w:r>
      <w:r>
        <w:rPr/>
        <w:t>um</w:t>
      </w:r>
      <w:r>
        <w:rPr>
          <w:spacing w:val="-1"/>
        </w:rPr>
        <w:t> </w:t>
      </w:r>
      <w:r>
        <w:rPr/>
        <w:t>surto</w:t>
      </w:r>
      <w:r>
        <w:rPr>
          <w:spacing w:val="-1"/>
        </w:rPr>
        <w:t> </w:t>
      </w:r>
      <w:r>
        <w:rPr/>
        <w:t>infeccioso.</w:t>
      </w:r>
      <w:r>
        <w:rPr>
          <w:vertAlign w:val="superscript"/>
        </w:rPr>
        <w:t>17</w:t>
      </w:r>
      <w:r>
        <w:rPr>
          <w:vertAlign w:val="baseline"/>
        </w:rPr>
        <w:t> Uma</w:t>
      </w:r>
      <w:r>
        <w:rPr>
          <w:spacing w:val="-1"/>
          <w:vertAlign w:val="baseline"/>
        </w:rPr>
        <w:t> </w:t>
      </w:r>
      <w:r>
        <w:rPr>
          <w:vertAlign w:val="baseline"/>
        </w:rPr>
        <w:t>alternativa</w:t>
      </w:r>
      <w:r>
        <w:rPr>
          <w:spacing w:val="-1"/>
          <w:vertAlign w:val="baseline"/>
        </w:rPr>
        <w:t> </w:t>
      </w:r>
      <w:r>
        <w:rPr>
          <w:vertAlign w:val="baseline"/>
        </w:rPr>
        <w:t>à</w:t>
      </w:r>
      <w:r>
        <w:rPr>
          <w:spacing w:val="-1"/>
          <w:vertAlign w:val="baseline"/>
        </w:rPr>
        <w:t> </w:t>
      </w:r>
      <w:r>
        <w:rPr>
          <w:vertAlign w:val="baseline"/>
        </w:rPr>
        <w:t>penicilina</w:t>
      </w:r>
      <w:r>
        <w:rPr>
          <w:spacing w:val="-1"/>
          <w:vertAlign w:val="baseline"/>
        </w:rPr>
        <w:t> </w:t>
      </w:r>
      <w:r>
        <w:rPr>
          <w:vertAlign w:val="baseline"/>
        </w:rPr>
        <w:t>seria</w:t>
      </w:r>
      <w:r>
        <w:rPr>
          <w:spacing w:val="-1"/>
          <w:vertAlign w:val="baseline"/>
        </w:rPr>
        <w:t> </w:t>
      </w:r>
      <w:r>
        <w:rPr>
          <w:vertAlign w:val="baseline"/>
        </w:rPr>
        <w:t>a</w:t>
      </w:r>
      <w:r>
        <w:rPr>
          <w:spacing w:val="-1"/>
          <w:vertAlign w:val="baseline"/>
        </w:rPr>
        <w:t> </w:t>
      </w:r>
      <w:r>
        <w:rPr>
          <w:vertAlign w:val="baseline"/>
        </w:rPr>
        <w:t>azitromicina</w:t>
      </w:r>
      <w:r>
        <w:rPr>
          <w:spacing w:val="-1"/>
          <w:vertAlign w:val="baseline"/>
        </w:rPr>
        <w:t> </w:t>
      </w:r>
      <w:r>
        <w:rPr>
          <w:vertAlign w:val="baseline"/>
        </w:rPr>
        <w:t>500 mg/dia</w:t>
      </w:r>
      <w:r>
        <w:rPr>
          <w:spacing w:val="-1"/>
          <w:vertAlign w:val="baseline"/>
        </w:rPr>
        <w:t> </w:t>
      </w:r>
      <w:r>
        <w:rPr>
          <w:vertAlign w:val="baseline"/>
        </w:rPr>
        <w:t>durante</w:t>
      </w:r>
      <w:r>
        <w:rPr>
          <w:spacing w:val="-1"/>
          <w:vertAlign w:val="baseline"/>
        </w:rPr>
        <w:t> </w:t>
      </w:r>
      <w:r>
        <w:rPr>
          <w:vertAlign w:val="baseline"/>
        </w:rPr>
        <w:t>5 dias, ou amoxicilina</w:t>
      </w:r>
      <w:r>
        <w:rPr>
          <w:spacing w:val="-1"/>
          <w:vertAlign w:val="baseline"/>
        </w:rPr>
        <w:t> </w:t>
      </w:r>
      <w:r>
        <w:rPr>
          <w:vertAlign w:val="baseline"/>
        </w:rPr>
        <w:t>com ácido clavulânico 500 mg/dia</w:t>
      </w:r>
      <w:r>
        <w:rPr>
          <w:spacing w:val="-1"/>
          <w:vertAlign w:val="baseline"/>
        </w:rPr>
        <w:t> </w:t>
      </w:r>
      <w:r>
        <w:rPr>
          <w:vertAlign w:val="baseline"/>
        </w:rPr>
        <w:t>durante</w:t>
      </w:r>
      <w:r>
        <w:rPr>
          <w:spacing w:val="-1"/>
          <w:vertAlign w:val="baseline"/>
        </w:rPr>
        <w:t> </w:t>
      </w:r>
      <w:r>
        <w:rPr>
          <w:vertAlign w:val="baseline"/>
        </w:rPr>
        <w:t>períodos de</w:t>
      </w:r>
      <w:r>
        <w:rPr>
          <w:spacing w:val="-1"/>
          <w:vertAlign w:val="baseline"/>
        </w:rPr>
        <w:t> </w:t>
      </w:r>
      <w:r>
        <w:rPr>
          <w:vertAlign w:val="baseline"/>
        </w:rPr>
        <w:t>6 meses a</w:t>
      </w:r>
      <w:r>
        <w:rPr>
          <w:spacing w:val="-1"/>
          <w:vertAlign w:val="baseline"/>
        </w:rPr>
        <w:t> </w:t>
      </w:r>
      <w:r>
        <w:rPr>
          <w:vertAlign w:val="baseline"/>
        </w:rPr>
        <w:t>1 ano. O</w:t>
      </w:r>
      <w:r>
        <w:rPr>
          <w:spacing w:val="-1"/>
          <w:vertAlign w:val="baseline"/>
        </w:rPr>
        <w:t> </w:t>
      </w:r>
      <w:r>
        <w:rPr>
          <w:vertAlign w:val="baseline"/>
        </w:rPr>
        <w:t>uso de</w:t>
      </w:r>
      <w:r>
        <w:rPr>
          <w:spacing w:val="-1"/>
          <w:vertAlign w:val="baseline"/>
        </w:rPr>
        <w:t> </w:t>
      </w:r>
      <w:r>
        <w:rPr>
          <w:vertAlign w:val="baseline"/>
        </w:rPr>
        <w:t>antifúngicos tópicos na região interdigital é recomendado em razão da alta incidência de dermatofitoses nesses pacientes.</w:t>
      </w:r>
      <w:r>
        <w:rPr>
          <w:vertAlign w:val="superscript"/>
        </w:rPr>
        <w:t>19</w:t>
      </w:r>
      <w:r>
        <w:rPr>
          <w:vertAlign w:val="baseline"/>
        </w:rPr>
        <w:t> Ainda não existe consenso relativo ao uso de benzopironas e da diosmina, existindo resultados discordantes nesse sentido, porém se associado a outras medidas terapêuticas, parece melhorar esses resultados.</w:t>
      </w:r>
      <w:r>
        <w:rPr>
          <w:vertAlign w:val="superscript"/>
        </w:rPr>
        <w:t>17</w:t>
      </w:r>
    </w:p>
    <w:p>
      <w:pPr>
        <w:pStyle w:val="BodyText"/>
        <w:spacing w:line="280" w:lineRule="auto" w:before="45"/>
        <w:ind w:right="498"/>
      </w:pPr>
      <w:r>
        <w:rPr/>
        <w:t>As câmaras de compressão pneumática intermitente transportam o fluido acumulado para áreas onde linfáticos normais possam promover sua drenagem efetiva, porém a redução efetiva do edema deve-se ao deslocamento de água</w:t>
      </w:r>
      <w:r>
        <w:rPr>
          <w:spacing w:val="-3"/>
        </w:rPr>
        <w:t> </w:t>
      </w:r>
      <w:r>
        <w:rPr/>
        <w:t>sem aumento do transporte</w:t>
      </w:r>
      <w:r>
        <w:rPr>
          <w:spacing w:val="-3"/>
        </w:rPr>
        <w:t> </w:t>
      </w:r>
      <w:r>
        <w:rPr/>
        <w:t>de</w:t>
      </w:r>
      <w:r>
        <w:rPr>
          <w:spacing w:val="-3"/>
        </w:rPr>
        <w:t> </w:t>
      </w:r>
      <w:r>
        <w:rPr/>
        <w:t>macromoléculas. Uma</w:t>
      </w:r>
      <w:r>
        <w:rPr>
          <w:spacing w:val="-3"/>
        </w:rPr>
        <w:t> </w:t>
      </w:r>
      <w:r>
        <w:rPr/>
        <w:t>ampla</w:t>
      </w:r>
      <w:r>
        <w:rPr>
          <w:spacing w:val="-3"/>
        </w:rPr>
        <w:t> </w:t>
      </w:r>
      <w:r>
        <w:rPr/>
        <w:t>variedade</w:t>
      </w:r>
      <w:r>
        <w:rPr>
          <w:spacing w:val="-3"/>
        </w:rPr>
        <w:t> </w:t>
      </w:r>
      <w:r>
        <w:rPr/>
        <w:t>de</w:t>
      </w:r>
      <w:r>
        <w:rPr>
          <w:spacing w:val="-3"/>
        </w:rPr>
        <w:t> </w:t>
      </w:r>
      <w:r>
        <w:rPr/>
        <w:t>aparelhos encontra-se</w:t>
      </w:r>
      <w:r>
        <w:rPr>
          <w:spacing w:val="-3"/>
        </w:rPr>
        <w:t> </w:t>
      </w:r>
      <w:r>
        <w:rPr/>
        <w:t>disponível no mercado. Não</w:t>
      </w:r>
      <w:r>
        <w:rPr>
          <w:spacing w:val="-2"/>
        </w:rPr>
        <w:t> </w:t>
      </w:r>
      <w:r>
        <w:rPr/>
        <w:t>foram</w:t>
      </w:r>
      <w:r>
        <w:rPr>
          <w:spacing w:val="-2"/>
        </w:rPr>
        <w:t> </w:t>
      </w:r>
      <w:r>
        <w:rPr/>
        <w:t>demonstradas vantagens entre</w:t>
      </w:r>
      <w:r>
        <w:rPr>
          <w:spacing w:val="-5"/>
        </w:rPr>
        <w:t> </w:t>
      </w:r>
      <w:r>
        <w:rPr/>
        <w:t>os distintos aparelhos e</w:t>
      </w:r>
      <w:r>
        <w:rPr>
          <w:spacing w:val="-5"/>
        </w:rPr>
        <w:t> </w:t>
      </w:r>
      <w:r>
        <w:rPr/>
        <w:t>não</w:t>
      </w:r>
      <w:r>
        <w:rPr>
          <w:spacing w:val="-2"/>
        </w:rPr>
        <w:t> </w:t>
      </w:r>
      <w:r>
        <w:rPr/>
        <w:t>existe</w:t>
      </w:r>
      <w:r>
        <w:rPr>
          <w:spacing w:val="-5"/>
        </w:rPr>
        <w:t> </w:t>
      </w:r>
      <w:r>
        <w:rPr/>
        <w:t>consenso</w:t>
      </w:r>
      <w:r>
        <w:rPr>
          <w:spacing w:val="-2"/>
        </w:rPr>
        <w:t> </w:t>
      </w:r>
      <w:r>
        <w:rPr/>
        <w:t>quanto</w:t>
      </w:r>
      <w:r>
        <w:rPr>
          <w:spacing w:val="-2"/>
        </w:rPr>
        <w:t> </w:t>
      </w:r>
      <w:r>
        <w:rPr/>
        <w:t>às pressões que</w:t>
      </w:r>
      <w:r>
        <w:rPr>
          <w:spacing w:val="-7"/>
        </w:rPr>
        <w:t> </w:t>
      </w:r>
      <w:r>
        <w:rPr/>
        <w:t>devam</w:t>
      </w:r>
      <w:r>
        <w:rPr>
          <w:spacing w:val="-4"/>
        </w:rPr>
        <w:t> </w:t>
      </w:r>
      <w:r>
        <w:rPr/>
        <w:t>ser utilizadas, duração</w:t>
      </w:r>
      <w:r>
        <w:rPr>
          <w:spacing w:val="-4"/>
        </w:rPr>
        <w:t> </w:t>
      </w:r>
      <w:r>
        <w:rPr/>
        <w:t>e</w:t>
      </w:r>
      <w:r>
        <w:rPr>
          <w:spacing w:val="-7"/>
        </w:rPr>
        <w:t> </w:t>
      </w:r>
      <w:r>
        <w:rPr/>
        <w:t>frequência</w:t>
      </w:r>
      <w:r>
        <w:rPr>
          <w:spacing w:val="-7"/>
        </w:rPr>
        <w:t> </w:t>
      </w:r>
      <w:r>
        <w:rPr/>
        <w:t>das sessões.</w:t>
      </w:r>
      <w:r>
        <w:rPr>
          <w:vertAlign w:val="superscript"/>
        </w:rPr>
        <w:t>17</w:t>
      </w:r>
      <w:r>
        <w:rPr>
          <w:vertAlign w:val="baseline"/>
        </w:rPr>
        <w:t> Sua</w:t>
      </w:r>
      <w:r>
        <w:rPr>
          <w:spacing w:val="-7"/>
          <w:vertAlign w:val="baseline"/>
        </w:rPr>
        <w:t> </w:t>
      </w:r>
      <w:r>
        <w:rPr>
          <w:vertAlign w:val="baseline"/>
        </w:rPr>
        <w:t>associação</w:t>
      </w:r>
      <w:r>
        <w:rPr>
          <w:spacing w:val="-4"/>
          <w:vertAlign w:val="baseline"/>
        </w:rPr>
        <w:t> </w:t>
      </w:r>
      <w:r>
        <w:rPr>
          <w:vertAlign w:val="baseline"/>
        </w:rPr>
        <w:t>com</w:t>
      </w:r>
      <w:r>
        <w:rPr>
          <w:spacing w:val="-4"/>
          <w:vertAlign w:val="baseline"/>
        </w:rPr>
        <w:t> </w:t>
      </w:r>
      <w:r>
        <w:rPr>
          <w:vertAlign w:val="baseline"/>
        </w:rPr>
        <w:t>a</w:t>
      </w:r>
      <w:r>
        <w:rPr>
          <w:spacing w:val="-7"/>
          <w:vertAlign w:val="baseline"/>
        </w:rPr>
        <w:t> </w:t>
      </w:r>
      <w:r>
        <w:rPr>
          <w:vertAlign w:val="baseline"/>
        </w:rPr>
        <w:t>TFC parece</w:t>
      </w:r>
      <w:r>
        <w:rPr>
          <w:spacing w:val="-7"/>
          <w:vertAlign w:val="baseline"/>
        </w:rPr>
        <w:t> </w:t>
      </w:r>
      <w:r>
        <w:rPr>
          <w:vertAlign w:val="baseline"/>
        </w:rPr>
        <w:t>produzir resultados melhores do que com o emprego isolado desses métodos.</w:t>
      </w:r>
      <w:r>
        <w:rPr>
          <w:vertAlign w:val="superscript"/>
        </w:rPr>
        <w:t>17</w:t>
      </w:r>
    </w:p>
    <w:p>
      <w:pPr>
        <w:pStyle w:val="BodyText"/>
        <w:spacing w:line="290" w:lineRule="auto"/>
        <w:ind w:right="488"/>
      </w:pPr>
      <w:r>
        <w:rPr/>
        <w:t>Outras medidas adjuvantes que estão em desenvolvimento incluem a aplicação de hipertermia, oxigenoterapia hiperbárica e </w:t>
      </w:r>
      <w:r>
        <w:rPr>
          <w:i/>
        </w:rPr>
        <w:t>laser </w:t>
      </w:r>
      <w:r>
        <w:rPr/>
        <w:t>de baixa intensidade.</w:t>
      </w:r>
      <w:r>
        <w:rPr>
          <w:vertAlign w:val="superscript"/>
        </w:rPr>
        <w:t>21–23</w:t>
      </w:r>
    </w:p>
    <w:p>
      <w:pPr>
        <w:pStyle w:val="BodyText"/>
        <w:spacing w:after="0" w:line="290" w:lineRule="auto"/>
        <w:sectPr>
          <w:pgSz w:w="11900" w:h="16840"/>
          <w:pgMar w:top="140" w:bottom="280" w:left="566" w:right="141"/>
        </w:sectPr>
      </w:pPr>
    </w:p>
    <w:p>
      <w:pPr>
        <w:pStyle w:val="Heading5"/>
        <w:spacing w:before="81"/>
      </w:pPr>
      <w:r>
        <w:rPr>
          <w:color w:val="A26108"/>
        </w:rPr>
        <w:t>Tratamento</w:t>
      </w:r>
      <w:r>
        <w:rPr>
          <w:color w:val="A26108"/>
          <w:spacing w:val="34"/>
        </w:rPr>
        <w:t> </w:t>
      </w:r>
      <w:r>
        <w:rPr>
          <w:color w:val="A26108"/>
          <w:spacing w:val="-2"/>
        </w:rPr>
        <w:t>cirúrgico</w:t>
      </w:r>
    </w:p>
    <w:p>
      <w:pPr>
        <w:pStyle w:val="BodyText"/>
        <w:spacing w:line="283" w:lineRule="auto" w:before="138"/>
        <w:ind w:right="488"/>
      </w:pPr>
      <w:r>
        <w:rPr/>
        <w:t>Partindo</w:t>
      </w:r>
      <w:r>
        <w:rPr>
          <w:spacing w:val="-9"/>
        </w:rPr>
        <w:t> </w:t>
      </w:r>
      <w:r>
        <w:rPr/>
        <w:t>do</w:t>
      </w:r>
      <w:r>
        <w:rPr>
          <w:spacing w:val="-9"/>
        </w:rPr>
        <w:t> </w:t>
      </w:r>
      <w:r>
        <w:rPr/>
        <w:t>conceito</w:t>
      </w:r>
      <w:r>
        <w:rPr>
          <w:spacing w:val="-9"/>
        </w:rPr>
        <w:t> </w:t>
      </w:r>
      <w:r>
        <w:rPr/>
        <w:t>de</w:t>
      </w:r>
      <w:r>
        <w:rPr>
          <w:spacing w:val="-12"/>
        </w:rPr>
        <w:t> </w:t>
      </w:r>
      <w:r>
        <w:rPr/>
        <w:t>que</w:t>
      </w:r>
      <w:r>
        <w:rPr>
          <w:spacing w:val="-12"/>
        </w:rPr>
        <w:t> </w:t>
      </w:r>
      <w:r>
        <w:rPr/>
        <w:t>a</w:t>
      </w:r>
      <w:r>
        <w:rPr>
          <w:spacing w:val="-12"/>
        </w:rPr>
        <w:t> </w:t>
      </w:r>
      <w:r>
        <w:rPr/>
        <w:t>maioria</w:t>
      </w:r>
      <w:r>
        <w:rPr>
          <w:spacing w:val="-12"/>
        </w:rPr>
        <w:t> </w:t>
      </w:r>
      <w:r>
        <w:rPr/>
        <w:t>dos</w:t>
      </w:r>
      <w:r>
        <w:rPr>
          <w:spacing w:val="-2"/>
        </w:rPr>
        <w:t> </w:t>
      </w:r>
      <w:r>
        <w:rPr/>
        <w:t>linfedemas</w:t>
      </w:r>
      <w:r>
        <w:rPr>
          <w:spacing w:val="-2"/>
        </w:rPr>
        <w:t> </w:t>
      </w:r>
      <w:r>
        <w:rPr/>
        <w:t>periféricos</w:t>
      </w:r>
      <w:r>
        <w:rPr>
          <w:spacing w:val="-2"/>
        </w:rPr>
        <w:t> </w:t>
      </w:r>
      <w:r>
        <w:rPr/>
        <w:t>é</w:t>
      </w:r>
      <w:r>
        <w:rPr>
          <w:spacing w:val="-12"/>
        </w:rPr>
        <w:t> </w:t>
      </w:r>
      <w:r>
        <w:rPr/>
        <w:t>de</w:t>
      </w:r>
      <w:r>
        <w:rPr>
          <w:spacing w:val="-12"/>
        </w:rPr>
        <w:t> </w:t>
      </w:r>
      <w:r>
        <w:rPr/>
        <w:t>tratamento</w:t>
      </w:r>
      <w:r>
        <w:rPr>
          <w:spacing w:val="-9"/>
        </w:rPr>
        <w:t> </w:t>
      </w:r>
      <w:r>
        <w:rPr/>
        <w:t>clínico,</w:t>
      </w:r>
      <w:r>
        <w:rPr>
          <w:spacing w:val="-2"/>
        </w:rPr>
        <w:t> </w:t>
      </w:r>
      <w:r>
        <w:rPr/>
        <w:t>pode-se</w:t>
      </w:r>
      <w:r>
        <w:rPr>
          <w:spacing w:val="-12"/>
        </w:rPr>
        <w:t> </w:t>
      </w:r>
      <w:r>
        <w:rPr/>
        <w:t>mencionar</w:t>
      </w:r>
      <w:r>
        <w:rPr>
          <w:spacing w:val="-5"/>
        </w:rPr>
        <w:t> </w:t>
      </w:r>
      <w:r>
        <w:rPr/>
        <w:t>que alguns, após tratamento clínico bem-conduzido, com resposta satisfatória, são passíveis de tratamento cirúrgico. Duas técnicas têm sido propostas: as cirurgias ressectivas e as reconstrutivas ou de derivação.</w:t>
      </w:r>
      <w:r>
        <w:rPr>
          <w:vertAlign w:val="superscript"/>
        </w:rPr>
        <w:t>24</w:t>
      </w:r>
    </w:p>
    <w:p>
      <w:pPr>
        <w:pStyle w:val="BodyText"/>
        <w:spacing w:before="57"/>
        <w:ind w:left="414" w:firstLine="0"/>
      </w:pPr>
      <w:r>
        <w:rPr/>
        <w:t>Assim,</w:t>
      </w:r>
      <w:r>
        <w:rPr>
          <w:spacing w:val="-12"/>
        </w:rPr>
        <w:t> </w:t>
      </w:r>
      <w:r>
        <w:rPr/>
        <w:t>indica-se</w:t>
      </w:r>
      <w:r>
        <w:rPr>
          <w:spacing w:val="-15"/>
        </w:rPr>
        <w:t> </w:t>
      </w:r>
      <w:r>
        <w:rPr/>
        <w:t>tratamento</w:t>
      </w:r>
      <w:r>
        <w:rPr>
          <w:spacing w:val="-13"/>
        </w:rPr>
        <w:t> </w:t>
      </w:r>
      <w:r>
        <w:rPr/>
        <w:t>cirúrgico,</w:t>
      </w:r>
      <w:r>
        <w:rPr>
          <w:spacing w:val="-6"/>
        </w:rPr>
        <w:t> </w:t>
      </w:r>
      <w:r>
        <w:rPr/>
        <w:t>essencialmente</w:t>
      </w:r>
      <w:r>
        <w:rPr>
          <w:spacing w:val="-15"/>
        </w:rPr>
        <w:t> </w:t>
      </w:r>
      <w:r>
        <w:rPr/>
        <w:t>de</w:t>
      </w:r>
      <w:r>
        <w:rPr>
          <w:spacing w:val="-14"/>
        </w:rPr>
        <w:t> </w:t>
      </w:r>
      <w:r>
        <w:rPr/>
        <w:t>caráter</w:t>
      </w:r>
      <w:r>
        <w:rPr>
          <w:spacing w:val="-9"/>
        </w:rPr>
        <w:t> </w:t>
      </w:r>
      <w:r>
        <w:rPr/>
        <w:t>ressectivo,</w:t>
      </w:r>
      <w:r>
        <w:rPr>
          <w:spacing w:val="-6"/>
        </w:rPr>
        <w:t> </w:t>
      </w:r>
      <w:r>
        <w:rPr>
          <w:spacing w:val="-2"/>
        </w:rPr>
        <w:t>para:</w:t>
      </w:r>
      <w:r>
        <w:rPr>
          <w:spacing w:val="-2"/>
          <w:vertAlign w:val="superscript"/>
        </w:rPr>
        <w:t>25</w:t>
      </w:r>
    </w:p>
    <w:p>
      <w:pPr>
        <w:pStyle w:val="ListParagraph"/>
        <w:numPr>
          <w:ilvl w:val="0"/>
          <w:numId w:val="36"/>
        </w:numPr>
        <w:tabs>
          <w:tab w:pos="395" w:val="left" w:leader="none"/>
        </w:tabs>
        <w:spacing w:line="240" w:lineRule="auto" w:before="200" w:after="0"/>
        <w:ind w:left="395" w:right="0" w:hanging="327"/>
        <w:jc w:val="both"/>
        <w:rPr>
          <w:sz w:val="23"/>
        </w:rPr>
      </w:pPr>
      <w:r>
        <w:rPr>
          <w:sz w:val="23"/>
        </w:rPr>
        <w:t>Linfedema</w:t>
      </w:r>
      <w:r>
        <w:rPr>
          <w:spacing w:val="-17"/>
          <w:sz w:val="23"/>
        </w:rPr>
        <w:t> </w:t>
      </w:r>
      <w:r>
        <w:rPr>
          <w:sz w:val="23"/>
        </w:rPr>
        <w:t>penoescrotal:</w:t>
      </w:r>
      <w:r>
        <w:rPr>
          <w:spacing w:val="-10"/>
          <w:sz w:val="23"/>
        </w:rPr>
        <w:t> </w:t>
      </w:r>
      <w:r>
        <w:rPr>
          <w:sz w:val="23"/>
        </w:rPr>
        <w:t>é</w:t>
      </w:r>
      <w:r>
        <w:rPr>
          <w:spacing w:val="-14"/>
          <w:sz w:val="23"/>
        </w:rPr>
        <w:t> </w:t>
      </w:r>
      <w:r>
        <w:rPr>
          <w:sz w:val="23"/>
        </w:rPr>
        <w:t>o</w:t>
      </w:r>
      <w:r>
        <w:rPr>
          <w:spacing w:val="-13"/>
          <w:sz w:val="23"/>
        </w:rPr>
        <w:t> </w:t>
      </w:r>
      <w:r>
        <w:rPr>
          <w:sz w:val="23"/>
        </w:rPr>
        <w:t>único</w:t>
      </w:r>
      <w:r>
        <w:rPr>
          <w:spacing w:val="-12"/>
          <w:sz w:val="23"/>
        </w:rPr>
        <w:t> </w:t>
      </w:r>
      <w:r>
        <w:rPr>
          <w:sz w:val="23"/>
        </w:rPr>
        <w:t>tipo</w:t>
      </w:r>
      <w:r>
        <w:rPr>
          <w:spacing w:val="-12"/>
          <w:sz w:val="23"/>
        </w:rPr>
        <w:t> </w:t>
      </w:r>
      <w:r>
        <w:rPr>
          <w:sz w:val="23"/>
        </w:rPr>
        <w:t>de</w:t>
      </w:r>
      <w:r>
        <w:rPr>
          <w:spacing w:val="-14"/>
          <w:sz w:val="23"/>
        </w:rPr>
        <w:t> </w:t>
      </w:r>
      <w:r>
        <w:rPr>
          <w:sz w:val="23"/>
        </w:rPr>
        <w:t>linfedema</w:t>
      </w:r>
      <w:r>
        <w:rPr>
          <w:spacing w:val="-15"/>
          <w:sz w:val="23"/>
        </w:rPr>
        <w:t> </w:t>
      </w:r>
      <w:r>
        <w:rPr>
          <w:sz w:val="23"/>
        </w:rPr>
        <w:t>com</w:t>
      </w:r>
      <w:r>
        <w:rPr>
          <w:spacing w:val="-12"/>
          <w:sz w:val="23"/>
        </w:rPr>
        <w:t> </w:t>
      </w:r>
      <w:r>
        <w:rPr>
          <w:sz w:val="23"/>
        </w:rPr>
        <w:t>indicação</w:t>
      </w:r>
      <w:r>
        <w:rPr>
          <w:spacing w:val="-12"/>
          <w:sz w:val="23"/>
        </w:rPr>
        <w:t> </w:t>
      </w:r>
      <w:r>
        <w:rPr>
          <w:sz w:val="23"/>
        </w:rPr>
        <w:t>cirúrgica</w:t>
      </w:r>
      <w:r>
        <w:rPr>
          <w:spacing w:val="-14"/>
          <w:sz w:val="23"/>
        </w:rPr>
        <w:t> </w:t>
      </w:r>
      <w:r>
        <w:rPr>
          <w:spacing w:val="-2"/>
          <w:sz w:val="23"/>
        </w:rPr>
        <w:t>inicial</w:t>
      </w:r>
    </w:p>
    <w:p>
      <w:pPr>
        <w:pStyle w:val="ListParagraph"/>
        <w:numPr>
          <w:ilvl w:val="0"/>
          <w:numId w:val="36"/>
        </w:numPr>
        <w:tabs>
          <w:tab w:pos="420" w:val="left" w:leader="none"/>
        </w:tabs>
        <w:spacing w:line="276" w:lineRule="auto" w:before="71" w:after="0"/>
        <w:ind w:left="68" w:right="497" w:firstLine="0"/>
        <w:jc w:val="both"/>
        <w:rPr>
          <w:sz w:val="23"/>
        </w:rPr>
      </w:pPr>
      <w:r>
        <w:rPr>
          <w:sz w:val="23"/>
        </w:rPr>
        <w:t>Linfedema gigante do membro que, após uma redução significativa do seu volume com o tratamento clínico, manteve as medidas finais e sem crises de linfangite por período de, no mínimo, 1 ano e que ficou com uma sobra em avental de pele e subcutâneo ou com lesões irreversíveis de pele (verrucosidades). Realiza-se dermolipectomia ou lipoaspiração</w:t>
      </w:r>
    </w:p>
    <w:p>
      <w:pPr>
        <w:pStyle w:val="ListParagraph"/>
        <w:numPr>
          <w:ilvl w:val="0"/>
          <w:numId w:val="36"/>
        </w:numPr>
        <w:tabs>
          <w:tab w:pos="416" w:val="left" w:leader="none"/>
        </w:tabs>
        <w:spacing w:line="276" w:lineRule="auto" w:before="17" w:after="0"/>
        <w:ind w:left="68" w:right="489" w:firstLine="0"/>
        <w:jc w:val="both"/>
        <w:rPr>
          <w:sz w:val="23"/>
        </w:rPr>
      </w:pPr>
      <w:r>
        <w:rPr>
          <w:sz w:val="23"/>
        </w:rPr>
        <w:t>Grandes obesos, que apresentam áreas de linfedema com atrito de um membro com outro, impossibilitando a </w:t>
      </w:r>
      <w:r>
        <w:rPr>
          <w:spacing w:val="-2"/>
          <w:sz w:val="23"/>
        </w:rPr>
        <w:t>marcha</w:t>
      </w:r>
    </w:p>
    <w:p>
      <w:pPr>
        <w:pStyle w:val="ListParagraph"/>
        <w:numPr>
          <w:ilvl w:val="0"/>
          <w:numId w:val="36"/>
        </w:numPr>
        <w:tabs>
          <w:tab w:pos="395" w:val="left" w:leader="none"/>
        </w:tabs>
        <w:spacing w:line="240" w:lineRule="auto" w:before="32" w:after="0"/>
        <w:ind w:left="395" w:right="0" w:hanging="327"/>
        <w:jc w:val="both"/>
        <w:rPr>
          <w:sz w:val="23"/>
        </w:rPr>
      </w:pPr>
      <w:r>
        <w:rPr>
          <w:sz w:val="23"/>
        </w:rPr>
        <w:t>Nos</w:t>
      </w:r>
      <w:r>
        <w:rPr>
          <w:spacing w:val="-6"/>
          <w:sz w:val="23"/>
        </w:rPr>
        <w:t> </w:t>
      </w:r>
      <w:r>
        <w:rPr>
          <w:sz w:val="23"/>
        </w:rPr>
        <w:t>raros</w:t>
      </w:r>
      <w:r>
        <w:rPr>
          <w:spacing w:val="-6"/>
          <w:sz w:val="23"/>
        </w:rPr>
        <w:t> </w:t>
      </w:r>
      <w:r>
        <w:rPr>
          <w:sz w:val="23"/>
        </w:rPr>
        <w:t>casos</w:t>
      </w:r>
      <w:r>
        <w:rPr>
          <w:spacing w:val="-5"/>
          <w:sz w:val="23"/>
        </w:rPr>
        <w:t> </w:t>
      </w:r>
      <w:r>
        <w:rPr>
          <w:sz w:val="23"/>
        </w:rPr>
        <w:t>de</w:t>
      </w:r>
      <w:r>
        <w:rPr>
          <w:spacing w:val="-15"/>
          <w:sz w:val="23"/>
        </w:rPr>
        <w:t> </w:t>
      </w:r>
      <w:r>
        <w:rPr>
          <w:sz w:val="23"/>
        </w:rPr>
        <w:t>malignização,</w:t>
      </w:r>
      <w:r>
        <w:rPr>
          <w:spacing w:val="-5"/>
          <w:sz w:val="23"/>
        </w:rPr>
        <w:t> </w:t>
      </w:r>
      <w:r>
        <w:rPr>
          <w:sz w:val="23"/>
        </w:rPr>
        <w:t>as</w:t>
      </w:r>
      <w:r>
        <w:rPr>
          <w:spacing w:val="-6"/>
          <w:sz w:val="23"/>
        </w:rPr>
        <w:t> </w:t>
      </w:r>
      <w:r>
        <w:rPr>
          <w:sz w:val="23"/>
        </w:rPr>
        <w:t>amputações</w:t>
      </w:r>
      <w:r>
        <w:rPr>
          <w:spacing w:val="-5"/>
          <w:sz w:val="23"/>
        </w:rPr>
        <w:t> </w:t>
      </w:r>
      <w:r>
        <w:rPr>
          <w:sz w:val="23"/>
        </w:rPr>
        <w:t>são</w:t>
      </w:r>
      <w:r>
        <w:rPr>
          <w:spacing w:val="-12"/>
          <w:sz w:val="23"/>
        </w:rPr>
        <w:t> </w:t>
      </w:r>
      <w:r>
        <w:rPr>
          <w:spacing w:val="-2"/>
          <w:sz w:val="23"/>
        </w:rPr>
        <w:t>indicadas.</w:t>
      </w:r>
    </w:p>
    <w:p>
      <w:pPr>
        <w:pStyle w:val="BodyText"/>
        <w:spacing w:before="0"/>
        <w:ind w:left="0" w:firstLine="0"/>
        <w:jc w:val="left"/>
      </w:pPr>
    </w:p>
    <w:p>
      <w:pPr>
        <w:pStyle w:val="BodyText"/>
        <w:spacing w:line="290" w:lineRule="auto" w:before="0"/>
        <w:ind w:right="488"/>
      </w:pPr>
      <w:r>
        <w:rPr/>
        <w:t>As ressecções têm por objetivo reduzir o volume do membro tentando restaurar sua funcionalidade. A lipoaspiração pode</w:t>
      </w:r>
      <w:r>
        <w:rPr>
          <w:spacing w:val="-1"/>
        </w:rPr>
        <w:t> </w:t>
      </w:r>
      <w:r>
        <w:rPr/>
        <w:t>ser usada</w:t>
      </w:r>
      <w:r>
        <w:rPr>
          <w:spacing w:val="-1"/>
        </w:rPr>
        <w:t> </w:t>
      </w:r>
      <w:r>
        <w:rPr/>
        <w:t>em casos muito específicos, não havendo consenso nessa</w:t>
      </w:r>
      <w:r>
        <w:rPr>
          <w:spacing w:val="-1"/>
        </w:rPr>
        <w:t> </w:t>
      </w:r>
      <w:r>
        <w:rPr/>
        <w:t>indicação.</w:t>
      </w:r>
      <w:r>
        <w:rPr>
          <w:vertAlign w:val="superscript"/>
        </w:rPr>
        <w:t>26</w:t>
      </w:r>
    </w:p>
    <w:p>
      <w:pPr>
        <w:pStyle w:val="BodyText"/>
        <w:spacing w:line="280" w:lineRule="auto" w:before="49"/>
        <w:ind w:right="488"/>
      </w:pPr>
      <w:r>
        <w:rPr/>
        <w:t>As técnicas de</w:t>
      </w:r>
      <w:r>
        <w:rPr>
          <w:spacing w:val="-3"/>
        </w:rPr>
        <w:t> </w:t>
      </w:r>
      <w:r>
        <w:rPr/>
        <w:t>microcirurgia</w:t>
      </w:r>
      <w:r>
        <w:rPr>
          <w:spacing w:val="-3"/>
        </w:rPr>
        <w:t> </w:t>
      </w:r>
      <w:r>
        <w:rPr/>
        <w:t>de</w:t>
      </w:r>
      <w:r>
        <w:rPr>
          <w:spacing w:val="-3"/>
        </w:rPr>
        <w:t> </w:t>
      </w:r>
      <w:r>
        <w:rPr/>
        <w:t>derivação e</w:t>
      </w:r>
      <w:r>
        <w:rPr>
          <w:spacing w:val="-3"/>
        </w:rPr>
        <w:t> </w:t>
      </w:r>
      <w:r>
        <w:rPr/>
        <w:t>as reconstrutivas objetivam restaurar o fluxo linfático, por meio de anastomose linfovenosa ou linfolinfática ou mesmo de transplante de vasos linfáticos e enxertos linfáticos. Essas técnicas ainda não ganharam muitos adeptos, limitando-se, sua prática, a poucos centros especializados. Sua indicação preferencial são os casos de linfedema secundário à obstrução mecânica em uma fase inicial (p. ex., linfedema</w:t>
      </w:r>
      <w:r>
        <w:rPr>
          <w:spacing w:val="-3"/>
        </w:rPr>
        <w:t> </w:t>
      </w:r>
      <w:r>
        <w:rPr/>
        <w:t>pós-mastectomia</w:t>
      </w:r>
      <w:r>
        <w:rPr>
          <w:spacing w:val="-3"/>
        </w:rPr>
        <w:t> </w:t>
      </w:r>
      <w:r>
        <w:rPr/>
        <w:t>ou</w:t>
      </w:r>
      <w:r>
        <w:rPr>
          <w:spacing w:val="-1"/>
        </w:rPr>
        <w:t> </w:t>
      </w:r>
      <w:r>
        <w:rPr/>
        <w:t>pós-trauma), porém</w:t>
      </w:r>
      <w:r>
        <w:rPr>
          <w:spacing w:val="-1"/>
        </w:rPr>
        <w:t> </w:t>
      </w:r>
      <w:r>
        <w:rPr/>
        <w:t>as indicações ainda</w:t>
      </w:r>
      <w:r>
        <w:rPr>
          <w:spacing w:val="-3"/>
        </w:rPr>
        <w:t> </w:t>
      </w:r>
      <w:r>
        <w:rPr/>
        <w:t>não</w:t>
      </w:r>
      <w:r>
        <w:rPr>
          <w:spacing w:val="-1"/>
        </w:rPr>
        <w:t> </w:t>
      </w:r>
      <w:r>
        <w:rPr/>
        <w:t>estão</w:t>
      </w:r>
      <w:r>
        <w:rPr>
          <w:spacing w:val="-1"/>
        </w:rPr>
        <w:t> </w:t>
      </w:r>
      <w:r>
        <w:rPr/>
        <w:t>claramente</w:t>
      </w:r>
      <w:r>
        <w:rPr>
          <w:spacing w:val="-3"/>
        </w:rPr>
        <w:t> </w:t>
      </w:r>
      <w:r>
        <w:rPr/>
        <w:t>estabelecidas.</w:t>
      </w:r>
      <w:r>
        <w:rPr>
          <w:vertAlign w:val="superscript"/>
        </w:rPr>
        <w:t>27</w:t>
      </w:r>
    </w:p>
    <w:p>
      <w:pPr>
        <w:pStyle w:val="BodyText"/>
        <w:spacing w:before="175"/>
        <w:ind w:left="0" w:firstLine="0"/>
        <w:jc w:val="left"/>
      </w:pPr>
    </w:p>
    <w:p>
      <w:pPr>
        <w:pStyle w:val="Heading4"/>
      </w:pPr>
      <w:r>
        <w:rPr>
          <w:color w:val="242B67"/>
          <w:spacing w:val="-2"/>
        </w:rPr>
        <w:t>Prognóstico</w:t>
      </w:r>
    </w:p>
    <w:p>
      <w:pPr>
        <w:pStyle w:val="BodyText"/>
        <w:spacing w:line="278" w:lineRule="auto" w:before="132"/>
        <w:ind w:right="497"/>
      </w:pPr>
      <w:r>
        <w:rPr/>
        <w:t>O</w:t>
      </w:r>
      <w:r>
        <w:rPr>
          <w:spacing w:val="-13"/>
        </w:rPr>
        <w:t> </w:t>
      </w:r>
      <w:r>
        <w:rPr/>
        <w:t>prognóstico</w:t>
      </w:r>
      <w:r>
        <w:rPr>
          <w:spacing w:val="-11"/>
        </w:rPr>
        <w:t> </w:t>
      </w:r>
      <w:r>
        <w:rPr/>
        <w:t>do</w:t>
      </w:r>
      <w:r>
        <w:rPr>
          <w:spacing w:val="-11"/>
        </w:rPr>
        <w:t> </w:t>
      </w:r>
      <w:r>
        <w:rPr/>
        <w:t>linfedema</w:t>
      </w:r>
      <w:r>
        <w:rPr>
          <w:spacing w:val="-13"/>
        </w:rPr>
        <w:t> </w:t>
      </w:r>
      <w:r>
        <w:rPr/>
        <w:t>é</w:t>
      </w:r>
      <w:r>
        <w:rPr>
          <w:spacing w:val="-14"/>
        </w:rPr>
        <w:t> </w:t>
      </w:r>
      <w:r>
        <w:rPr/>
        <w:t>reservado,</w:t>
      </w:r>
      <w:r>
        <w:rPr>
          <w:spacing w:val="-4"/>
        </w:rPr>
        <w:t> </w:t>
      </w:r>
      <w:r>
        <w:rPr/>
        <w:t>dependendo</w:t>
      </w:r>
      <w:r>
        <w:rPr>
          <w:spacing w:val="-11"/>
        </w:rPr>
        <w:t> </w:t>
      </w:r>
      <w:r>
        <w:rPr/>
        <w:t>de</w:t>
      </w:r>
      <w:r>
        <w:rPr>
          <w:spacing w:val="-13"/>
        </w:rPr>
        <w:t> </w:t>
      </w:r>
      <w:r>
        <w:rPr/>
        <w:t>sua</w:t>
      </w:r>
      <w:r>
        <w:rPr>
          <w:spacing w:val="-14"/>
        </w:rPr>
        <w:t> </w:t>
      </w:r>
      <w:r>
        <w:rPr/>
        <w:t>cronicidade,</w:t>
      </w:r>
      <w:r>
        <w:rPr>
          <w:spacing w:val="-4"/>
        </w:rPr>
        <w:t> </w:t>
      </w:r>
      <w:r>
        <w:rPr/>
        <w:t>complicações</w:t>
      </w:r>
      <w:r>
        <w:rPr>
          <w:spacing w:val="-4"/>
        </w:rPr>
        <w:t> </w:t>
      </w:r>
      <w:r>
        <w:rPr/>
        <w:t>e</w:t>
      </w:r>
      <w:r>
        <w:rPr>
          <w:spacing w:val="-13"/>
        </w:rPr>
        <w:t> </w:t>
      </w:r>
      <w:r>
        <w:rPr/>
        <w:t>fatores</w:t>
      </w:r>
      <w:r>
        <w:rPr>
          <w:spacing w:val="-4"/>
        </w:rPr>
        <w:t> </w:t>
      </w:r>
      <w:r>
        <w:rPr/>
        <w:t>desencadeantes e agravantes. O linfedema primário costuma estabilizar-se após vários anos de atividade. Pacientes com linfedema crônico com 10 anos de evolução têm risco de 10% de desenvolver linfangiossarcoma, altamente agressivo, que requer amputação do membro acometido, com sobrevida inferior a 10% em 5 anos. Essa degeneração maligna é mais frequentemente</w:t>
      </w:r>
      <w:r>
        <w:rPr>
          <w:spacing w:val="-2"/>
        </w:rPr>
        <w:t> </w:t>
      </w:r>
      <w:r>
        <w:rPr/>
        <w:t>observada</w:t>
      </w:r>
      <w:r>
        <w:rPr>
          <w:spacing w:val="-2"/>
        </w:rPr>
        <w:t> </w:t>
      </w:r>
      <w:r>
        <w:rPr/>
        <w:t>em pacientes com linfedema</w:t>
      </w:r>
      <w:r>
        <w:rPr>
          <w:spacing w:val="-2"/>
        </w:rPr>
        <w:t> </w:t>
      </w:r>
      <w:r>
        <w:rPr/>
        <w:t>pós-mastectomia</w:t>
      </w:r>
      <w:r>
        <w:rPr>
          <w:spacing w:val="-2"/>
        </w:rPr>
        <w:t> </w:t>
      </w:r>
      <w:r>
        <w:rPr/>
        <w:t>descrita</w:t>
      </w:r>
      <w:r>
        <w:rPr>
          <w:spacing w:val="-2"/>
        </w:rPr>
        <w:t> </w:t>
      </w:r>
      <w:r>
        <w:rPr/>
        <w:t>como síndrome</w:t>
      </w:r>
      <w:r>
        <w:rPr>
          <w:spacing w:val="-2"/>
        </w:rPr>
        <w:t> </w:t>
      </w:r>
      <w:r>
        <w:rPr/>
        <w:t>de</w:t>
      </w:r>
      <w:r>
        <w:rPr>
          <w:spacing w:val="-2"/>
        </w:rPr>
        <w:t> </w:t>
      </w:r>
      <w:r>
        <w:rPr/>
        <w:t>Stewart-Treves, com incidência estimada em 0,5%.</w:t>
      </w:r>
      <w:r>
        <w:rPr>
          <w:vertAlign w:val="superscript"/>
        </w:rPr>
        <w:t>28</w:t>
      </w:r>
    </w:p>
    <w:p>
      <w:pPr>
        <w:pStyle w:val="BodyText"/>
        <w:spacing w:line="283" w:lineRule="auto"/>
        <w:ind w:right="501"/>
      </w:pPr>
      <w:r>
        <w:rPr/>
        <w:t>As terapias gênicas, de células-tronco e de engenharia molecular, encontram-se em desenvolvimento, constituindo</w:t>
      </w:r>
      <w:r>
        <w:rPr>
          <w:spacing w:val="-8"/>
        </w:rPr>
        <w:t> </w:t>
      </w:r>
      <w:r>
        <w:rPr/>
        <w:t>perspectivas</w:t>
      </w:r>
      <w:r>
        <w:rPr>
          <w:spacing w:val="-1"/>
        </w:rPr>
        <w:t> </w:t>
      </w:r>
      <w:r>
        <w:rPr/>
        <w:t>terapêuticas</w:t>
      </w:r>
      <w:r>
        <w:rPr>
          <w:spacing w:val="-1"/>
        </w:rPr>
        <w:t> </w:t>
      </w:r>
      <w:r>
        <w:rPr/>
        <w:t>futuras</w:t>
      </w:r>
      <w:r>
        <w:rPr>
          <w:spacing w:val="-1"/>
        </w:rPr>
        <w:t> </w:t>
      </w:r>
      <w:r>
        <w:rPr/>
        <w:t>com</w:t>
      </w:r>
      <w:r>
        <w:rPr>
          <w:spacing w:val="-8"/>
        </w:rPr>
        <w:t> </w:t>
      </w:r>
      <w:r>
        <w:rPr/>
        <w:t>grande</w:t>
      </w:r>
      <w:r>
        <w:rPr>
          <w:spacing w:val="-10"/>
        </w:rPr>
        <w:t> </w:t>
      </w:r>
      <w:r>
        <w:rPr/>
        <w:t>potencial</w:t>
      </w:r>
      <w:r>
        <w:rPr>
          <w:spacing w:val="-6"/>
        </w:rPr>
        <w:t> </w:t>
      </w:r>
      <w:r>
        <w:rPr/>
        <w:t>na</w:t>
      </w:r>
      <w:r>
        <w:rPr>
          <w:spacing w:val="-10"/>
        </w:rPr>
        <w:t> </w:t>
      </w:r>
      <w:r>
        <w:rPr/>
        <w:t>modulação</w:t>
      </w:r>
      <w:r>
        <w:rPr>
          <w:spacing w:val="-8"/>
        </w:rPr>
        <w:t> </w:t>
      </w:r>
      <w:r>
        <w:rPr/>
        <w:t>do</w:t>
      </w:r>
      <w:r>
        <w:rPr>
          <w:spacing w:val="-8"/>
        </w:rPr>
        <w:t> </w:t>
      </w:r>
      <w:r>
        <w:rPr/>
        <w:t>crescimento</w:t>
      </w:r>
      <w:r>
        <w:rPr>
          <w:spacing w:val="-8"/>
        </w:rPr>
        <w:t> </w:t>
      </w:r>
      <w:r>
        <w:rPr/>
        <w:t>do</w:t>
      </w:r>
      <w:r>
        <w:rPr>
          <w:spacing w:val="-8"/>
        </w:rPr>
        <w:t> </w:t>
      </w:r>
      <w:r>
        <w:rPr/>
        <w:t>vaso</w:t>
      </w:r>
      <w:r>
        <w:rPr>
          <w:spacing w:val="-8"/>
        </w:rPr>
        <w:t> </w:t>
      </w:r>
      <w:r>
        <w:rPr/>
        <w:t>linfático, dando início à tão almejada terapêutica da linfangiogênese.</w:t>
      </w:r>
      <w:r>
        <w:rPr>
          <w:vertAlign w:val="superscript"/>
        </w:rPr>
        <w:t>29,30</w:t>
      </w:r>
    </w:p>
    <w:p>
      <w:pPr>
        <w:pStyle w:val="BodyText"/>
        <w:spacing w:before="249"/>
        <w:ind w:left="0" w:firstLine="0"/>
        <w:jc w:val="left"/>
      </w:pPr>
    </w:p>
    <w:p>
      <w:pPr>
        <w:pStyle w:val="Heading3"/>
        <w:ind w:left="37"/>
      </w:pPr>
      <w:r>
        <w:rPr>
          <w:color w:val="242B67"/>
        </w:rPr>
        <w:t>Síndrome</w:t>
      </w:r>
      <w:r>
        <w:rPr>
          <w:color w:val="242B67"/>
          <w:spacing w:val="17"/>
        </w:rPr>
        <w:t> </w:t>
      </w:r>
      <w:r>
        <w:rPr>
          <w:color w:val="242B67"/>
        </w:rPr>
        <w:t>do</w:t>
      </w:r>
      <w:r>
        <w:rPr>
          <w:color w:val="242B67"/>
          <w:spacing w:val="17"/>
        </w:rPr>
        <w:t> </w:t>
      </w:r>
      <w:r>
        <w:rPr>
          <w:color w:val="242B67"/>
        </w:rPr>
        <w:t>Desfiladeiro</w:t>
      </w:r>
      <w:r>
        <w:rPr>
          <w:color w:val="242B67"/>
          <w:spacing w:val="17"/>
        </w:rPr>
        <w:t> </w:t>
      </w:r>
      <w:r>
        <w:rPr>
          <w:color w:val="242B67"/>
          <w:spacing w:val="-2"/>
        </w:rPr>
        <w:t>Torácico</w:t>
      </w:r>
    </w:p>
    <w:p>
      <w:pPr>
        <w:pStyle w:val="BodyText"/>
        <w:spacing w:before="7"/>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32384">
                <wp:simplePos x="0" y="0"/>
                <wp:positionH relativeFrom="page">
                  <wp:posOffset>401543</wp:posOffset>
                </wp:positionH>
                <wp:positionV relativeFrom="paragraph">
                  <wp:posOffset>41263</wp:posOffset>
                </wp:positionV>
                <wp:extent cx="6753225" cy="10795"/>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49129pt;width:531.731217pt;height:.8008pt;mso-position-horizontal-relative:page;mso-position-vertical-relative:paragraph;z-index:-15684096;mso-wrap-distance-left:0;mso-wrap-distance-right:0" id="docshape54" filled="true" fillcolor="#242b67" stroked="false">
                <v:fill type="solid"/>
                <w10:wrap type="topAndBottom"/>
              </v:rect>
            </w:pict>
          </mc:Fallback>
        </mc:AlternateContent>
      </w:r>
    </w:p>
    <w:p>
      <w:pPr>
        <w:spacing w:before="118"/>
        <w:ind w:left="68" w:right="0" w:firstLine="0"/>
        <w:jc w:val="left"/>
        <w:rPr>
          <w:rFonts w:ascii="Arial" w:hAnsi="Arial"/>
          <w:i/>
          <w:sz w:val="25"/>
        </w:rPr>
      </w:pPr>
      <w:r>
        <w:rPr>
          <w:rFonts w:ascii="Arial" w:hAnsi="Arial"/>
          <w:i/>
          <w:sz w:val="25"/>
        </w:rPr>
        <w:t>Erasmo</w:t>
      </w:r>
      <w:r>
        <w:rPr>
          <w:rFonts w:ascii="Arial" w:hAnsi="Arial"/>
          <w:i/>
          <w:spacing w:val="11"/>
          <w:sz w:val="25"/>
        </w:rPr>
        <w:t> </w:t>
      </w:r>
      <w:r>
        <w:rPr>
          <w:rFonts w:ascii="Arial" w:hAnsi="Arial"/>
          <w:i/>
          <w:sz w:val="25"/>
        </w:rPr>
        <w:t>Simão</w:t>
      </w:r>
      <w:r>
        <w:rPr>
          <w:rFonts w:ascii="Arial" w:hAnsi="Arial"/>
          <w:i/>
          <w:spacing w:val="12"/>
          <w:sz w:val="25"/>
        </w:rPr>
        <w:t> </w:t>
      </w:r>
      <w:r>
        <w:rPr>
          <w:rFonts w:ascii="Arial" w:hAnsi="Arial"/>
          <w:i/>
          <w:sz w:val="25"/>
        </w:rPr>
        <w:t>da</w:t>
      </w:r>
      <w:r>
        <w:rPr>
          <w:rFonts w:ascii="Arial" w:hAnsi="Arial"/>
          <w:i/>
          <w:spacing w:val="11"/>
          <w:sz w:val="25"/>
        </w:rPr>
        <w:t> </w:t>
      </w:r>
      <w:r>
        <w:rPr>
          <w:rFonts w:ascii="Arial" w:hAnsi="Arial"/>
          <w:i/>
          <w:sz w:val="25"/>
        </w:rPr>
        <w:t>Silva</w:t>
      </w:r>
      <w:r>
        <w:rPr>
          <w:rFonts w:ascii="Arial" w:hAnsi="Arial"/>
          <w:i/>
          <w:spacing w:val="12"/>
          <w:sz w:val="25"/>
        </w:rPr>
        <w:t> </w:t>
      </w:r>
      <w:r>
        <w:rPr>
          <w:rFonts w:ascii="Arial" w:hAnsi="Arial"/>
          <w:i/>
          <w:sz w:val="25"/>
        </w:rPr>
        <w:t>e</w:t>
      </w:r>
      <w:r>
        <w:rPr>
          <w:rFonts w:ascii="Arial" w:hAnsi="Arial"/>
          <w:i/>
          <w:spacing w:val="11"/>
          <w:sz w:val="25"/>
        </w:rPr>
        <w:t> </w:t>
      </w:r>
      <w:r>
        <w:rPr>
          <w:rFonts w:ascii="Arial" w:hAnsi="Arial"/>
          <w:i/>
          <w:sz w:val="25"/>
        </w:rPr>
        <w:t>Paulo</w:t>
      </w:r>
      <w:r>
        <w:rPr>
          <w:rFonts w:ascii="Arial" w:hAnsi="Arial"/>
          <w:i/>
          <w:spacing w:val="12"/>
          <w:sz w:val="25"/>
        </w:rPr>
        <w:t> </w:t>
      </w:r>
      <w:r>
        <w:rPr>
          <w:rFonts w:ascii="Arial" w:hAnsi="Arial"/>
          <w:i/>
          <w:spacing w:val="-2"/>
          <w:sz w:val="25"/>
        </w:rPr>
        <w:t>Kauffman</w:t>
      </w:r>
    </w:p>
    <w:p>
      <w:pPr>
        <w:pStyle w:val="BodyText"/>
        <w:spacing w:before="198"/>
        <w:ind w:left="0" w:firstLine="0"/>
        <w:jc w:val="left"/>
        <w:rPr>
          <w:rFonts w:ascii="Arial"/>
          <w:i/>
          <w:sz w:val="25"/>
        </w:rPr>
      </w:pPr>
    </w:p>
    <w:p>
      <w:pPr>
        <w:pStyle w:val="Heading4"/>
      </w:pPr>
      <w:r>
        <w:rPr>
          <w:color w:val="242B67"/>
          <w:spacing w:val="-2"/>
        </w:rPr>
        <w:t>Introdução</w:t>
      </w:r>
    </w:p>
    <w:p>
      <w:pPr>
        <w:pStyle w:val="BodyText"/>
        <w:spacing w:line="280" w:lineRule="auto" w:before="148"/>
        <w:ind w:right="487"/>
      </w:pPr>
      <w:r>
        <w:rPr/>
        <w:t>Os sinais e sintomas, bem como os achados casuais, assintomáticos, decorrentes da compressão dos vasos e nervos que deixam a região toracocervical e se dirigem para os membros superiores, compreendem um dos capítulos mais controversos do conhecimento médico. Essa controvérsia pode ser constatada pela variabilidade na denominação</w:t>
      </w:r>
      <w:r>
        <w:rPr>
          <w:spacing w:val="-4"/>
        </w:rPr>
        <w:t> </w:t>
      </w:r>
      <w:r>
        <w:rPr/>
        <w:t>da</w:t>
      </w:r>
      <w:r>
        <w:rPr>
          <w:spacing w:val="-6"/>
        </w:rPr>
        <w:t> </w:t>
      </w:r>
      <w:r>
        <w:rPr/>
        <w:t>entidade</w:t>
      </w:r>
      <w:r>
        <w:rPr>
          <w:spacing w:val="-6"/>
        </w:rPr>
        <w:t> </w:t>
      </w:r>
      <w:r>
        <w:rPr/>
        <w:t>ao</w:t>
      </w:r>
      <w:r>
        <w:rPr>
          <w:spacing w:val="-4"/>
        </w:rPr>
        <w:t> </w:t>
      </w:r>
      <w:r>
        <w:rPr/>
        <w:t>longo</w:t>
      </w:r>
      <w:r>
        <w:rPr>
          <w:spacing w:val="-4"/>
        </w:rPr>
        <w:t> </w:t>
      </w:r>
      <w:r>
        <w:rPr/>
        <w:t>do</w:t>
      </w:r>
      <w:r>
        <w:rPr>
          <w:spacing w:val="-4"/>
        </w:rPr>
        <w:t> </w:t>
      </w:r>
      <w:r>
        <w:rPr/>
        <w:t>tempo, a</w:t>
      </w:r>
      <w:r>
        <w:rPr>
          <w:spacing w:val="-6"/>
        </w:rPr>
        <w:t> </w:t>
      </w:r>
      <w:r>
        <w:rPr/>
        <w:t>saber: </w:t>
      </w:r>
      <w:r>
        <w:rPr>
          <w:i/>
        </w:rPr>
        <w:t>síndrome</w:t>
      </w:r>
      <w:r>
        <w:rPr>
          <w:i/>
          <w:spacing w:val="-6"/>
        </w:rPr>
        <w:t> </w:t>
      </w:r>
      <w:r>
        <w:rPr>
          <w:i/>
        </w:rPr>
        <w:t>da</w:t>
      </w:r>
      <w:r>
        <w:rPr>
          <w:i/>
          <w:spacing w:val="-4"/>
        </w:rPr>
        <w:t> </w:t>
      </w:r>
      <w:r>
        <w:rPr>
          <w:i/>
        </w:rPr>
        <w:t>costela</w:t>
      </w:r>
      <w:r>
        <w:rPr>
          <w:i/>
          <w:spacing w:val="-4"/>
        </w:rPr>
        <w:t> </w:t>
      </w:r>
      <w:r>
        <w:rPr>
          <w:i/>
        </w:rPr>
        <w:t>cervical</w:t>
      </w:r>
      <w:r>
        <w:rPr>
          <w:i/>
          <w:spacing w:val="-4"/>
        </w:rPr>
        <w:t> </w:t>
      </w:r>
      <w:r>
        <w:rPr/>
        <w:t>(descrição</w:t>
      </w:r>
      <w:r>
        <w:rPr>
          <w:spacing w:val="-4"/>
        </w:rPr>
        <w:t> </w:t>
      </w:r>
      <w:r>
        <w:rPr/>
        <w:t>inicial</w:t>
      </w:r>
      <w:r>
        <w:rPr>
          <w:spacing w:val="-2"/>
        </w:rPr>
        <w:t> </w:t>
      </w:r>
      <w:r>
        <w:rPr/>
        <w:t>do</w:t>
      </w:r>
      <w:r>
        <w:rPr>
          <w:spacing w:val="-4"/>
        </w:rPr>
        <w:t> </w:t>
      </w:r>
      <w:r>
        <w:rPr/>
        <w:t>significado de uma costela cervical pelos relatos pioneiros de Galeno e Vesalius, passando pelos achados de necropsia de Crooke</w:t>
      </w:r>
      <w:r>
        <w:rPr>
          <w:spacing w:val="-5"/>
        </w:rPr>
        <w:t> </w:t>
      </w:r>
      <w:r>
        <w:rPr/>
        <w:t>1651, Hunauld</w:t>
      </w:r>
      <w:r>
        <w:rPr>
          <w:spacing w:val="-3"/>
        </w:rPr>
        <w:t> </w:t>
      </w:r>
      <w:r>
        <w:rPr/>
        <w:t>1743</w:t>
      </w:r>
      <w:r>
        <w:rPr>
          <w:spacing w:val="-3"/>
        </w:rPr>
        <w:t> </w:t>
      </w:r>
      <w:r>
        <w:rPr/>
        <w:t>e</w:t>
      </w:r>
      <w:r>
        <w:rPr>
          <w:spacing w:val="-5"/>
        </w:rPr>
        <w:t> </w:t>
      </w:r>
      <w:r>
        <w:rPr/>
        <w:t>Pilling</w:t>
      </w:r>
      <w:r>
        <w:rPr>
          <w:spacing w:val="-3"/>
        </w:rPr>
        <w:t> </w:t>
      </w:r>
      <w:r>
        <w:rPr/>
        <w:t>1860, somando-se</w:t>
      </w:r>
      <w:r>
        <w:rPr>
          <w:spacing w:val="-5"/>
        </w:rPr>
        <w:t> </w:t>
      </w:r>
      <w:r>
        <w:rPr/>
        <w:t>a</w:t>
      </w:r>
      <w:r>
        <w:rPr>
          <w:spacing w:val="-5"/>
        </w:rPr>
        <w:t> </w:t>
      </w:r>
      <w:r>
        <w:rPr/>
        <w:t>tentativa</w:t>
      </w:r>
      <w:r>
        <w:rPr>
          <w:spacing w:val="-5"/>
        </w:rPr>
        <w:t> </w:t>
      </w:r>
      <w:r>
        <w:rPr/>
        <w:t>de</w:t>
      </w:r>
      <w:r>
        <w:rPr>
          <w:spacing w:val="-5"/>
        </w:rPr>
        <w:t> </w:t>
      </w:r>
      <w:r>
        <w:rPr/>
        <w:t>tratamento</w:t>
      </w:r>
      <w:r>
        <w:rPr>
          <w:spacing w:val="-3"/>
        </w:rPr>
        <w:t> </w:t>
      </w:r>
      <w:r>
        <w:rPr/>
        <w:t>clínico</w:t>
      </w:r>
      <w:r>
        <w:rPr>
          <w:spacing w:val="-3"/>
        </w:rPr>
        <w:t> </w:t>
      </w:r>
      <w:r>
        <w:rPr/>
        <w:t>de</w:t>
      </w:r>
      <w:r>
        <w:rPr>
          <w:spacing w:val="-5"/>
        </w:rPr>
        <w:t> </w:t>
      </w:r>
      <w:r>
        <w:rPr/>
        <w:t>A. Cooper, em</w:t>
      </w:r>
      <w:r>
        <w:rPr>
          <w:spacing w:val="-3"/>
        </w:rPr>
        <w:t> </w:t>
      </w:r>
      <w:r>
        <w:rPr/>
        <w:t>1818, e a primeira ressecção cirúrgica por Coote, em 1861).</w:t>
      </w:r>
      <w:r>
        <w:rPr>
          <w:vertAlign w:val="superscript"/>
        </w:rPr>
        <w:t>1,2</w:t>
      </w:r>
      <w:r>
        <w:rPr>
          <w:vertAlign w:val="baseline"/>
        </w:rPr>
        <w:t> A </w:t>
      </w:r>
      <w:r>
        <w:rPr>
          <w:i/>
          <w:vertAlign w:val="baseline"/>
        </w:rPr>
        <w:t>síndrome do músculo escaleno anterior</w:t>
      </w:r>
      <w:r>
        <w:rPr>
          <w:vertAlign w:val="baseline"/>
        </w:rPr>
        <w:t>, descrita por Naffziger e Grant,</w:t>
      </w:r>
      <w:r>
        <w:rPr>
          <w:vertAlign w:val="superscript"/>
        </w:rPr>
        <w:t>3</w:t>
      </w:r>
      <w:r>
        <w:rPr>
          <w:vertAlign w:val="baseline"/>
        </w:rPr>
        <w:t> foi popularizada pela clássica descrição de Adson (1947)</w:t>
      </w:r>
      <w:r>
        <w:rPr>
          <w:vertAlign w:val="superscript"/>
        </w:rPr>
        <w:t>4</w:t>
      </w:r>
      <w:r>
        <w:rPr>
          <w:vertAlign w:val="baseline"/>
        </w:rPr>
        <w:t> e mudou o foco da costela cervical para o papel dos músculos escalenos na compressão do feixe vasculonervoso. Nota-se que o mesmo Adson, em publicação,</w:t>
      </w:r>
      <w:r>
        <w:rPr>
          <w:spacing w:val="22"/>
          <w:vertAlign w:val="baseline"/>
        </w:rPr>
        <w:t> </w:t>
      </w:r>
      <w:r>
        <w:rPr>
          <w:vertAlign w:val="baseline"/>
        </w:rPr>
        <w:t>não menos</w:t>
      </w:r>
      <w:r>
        <w:rPr>
          <w:spacing w:val="22"/>
          <w:vertAlign w:val="baseline"/>
        </w:rPr>
        <w:t> </w:t>
      </w:r>
      <w:r>
        <w:rPr>
          <w:vertAlign w:val="baseline"/>
        </w:rPr>
        <w:t>clássica,</w:t>
      </w:r>
      <w:r>
        <w:rPr>
          <w:spacing w:val="22"/>
          <w:vertAlign w:val="baseline"/>
        </w:rPr>
        <w:t> </w:t>
      </w:r>
      <w:r>
        <w:rPr>
          <w:vertAlign w:val="baseline"/>
        </w:rPr>
        <w:t>coautoria de Coffey (1927),</w:t>
      </w:r>
      <w:r>
        <w:rPr>
          <w:vertAlign w:val="superscript"/>
        </w:rPr>
        <w:t>5</w:t>
      </w:r>
      <w:r>
        <w:rPr>
          <w:spacing w:val="20"/>
          <w:vertAlign w:val="baseline"/>
        </w:rPr>
        <w:t> </w:t>
      </w:r>
      <w:r>
        <w:rPr>
          <w:vertAlign w:val="baseline"/>
        </w:rPr>
        <w:t>postulou e confirmou o papel</w:t>
      </w:r>
      <w:r>
        <w:rPr>
          <w:spacing w:val="15"/>
          <w:vertAlign w:val="baseline"/>
        </w:rPr>
        <w:t> </w:t>
      </w:r>
      <w:r>
        <w:rPr>
          <w:vertAlign w:val="baseline"/>
        </w:rPr>
        <w:t>primordial</w:t>
      </w:r>
      <w:r>
        <w:rPr>
          <w:spacing w:val="15"/>
          <w:vertAlign w:val="baseline"/>
        </w:rPr>
        <w:t> </w:t>
      </w:r>
      <w:r>
        <w:rPr>
          <w:vertAlign w:val="baseline"/>
        </w:rPr>
        <w:t>da costela</w:t>
      </w:r>
    </w:p>
    <w:p>
      <w:pPr>
        <w:pStyle w:val="BodyText"/>
        <w:spacing w:after="0" w:line="280" w:lineRule="auto"/>
        <w:sectPr>
          <w:pgSz w:w="11900" w:h="16840"/>
          <w:pgMar w:top="120" w:bottom="280" w:left="566" w:right="141"/>
        </w:sectPr>
      </w:pPr>
    </w:p>
    <w:p>
      <w:pPr>
        <w:pStyle w:val="BodyText"/>
        <w:spacing w:line="278" w:lineRule="auto" w:before="76"/>
        <w:ind w:right="497" w:firstLine="0"/>
      </w:pPr>
      <w:r>
        <w:rPr/>
        <w:t>cervical</w:t>
      </w:r>
      <w:r>
        <w:rPr>
          <w:spacing w:val="-3"/>
        </w:rPr>
        <w:t> </w:t>
      </w:r>
      <w:r>
        <w:rPr/>
        <w:t>como</w:t>
      </w:r>
      <w:r>
        <w:rPr>
          <w:spacing w:val="-5"/>
        </w:rPr>
        <w:t> </w:t>
      </w:r>
      <w:r>
        <w:rPr/>
        <w:t>elemento</w:t>
      </w:r>
      <w:r>
        <w:rPr>
          <w:spacing w:val="-5"/>
        </w:rPr>
        <w:t> </w:t>
      </w:r>
      <w:r>
        <w:rPr/>
        <w:t>fundamental</w:t>
      </w:r>
      <w:r>
        <w:rPr>
          <w:spacing w:val="-3"/>
        </w:rPr>
        <w:t> </w:t>
      </w:r>
      <w:r>
        <w:rPr/>
        <w:t>de</w:t>
      </w:r>
      <w:r>
        <w:rPr>
          <w:spacing w:val="-8"/>
        </w:rPr>
        <w:t> </w:t>
      </w:r>
      <w:r>
        <w:rPr/>
        <w:t>compressão. </w:t>
      </w:r>
      <w:r>
        <w:rPr>
          <w:i/>
        </w:rPr>
        <w:t>Síndrome</w:t>
      </w:r>
      <w:r>
        <w:rPr>
          <w:i/>
          <w:spacing w:val="-15"/>
        </w:rPr>
        <w:t> </w:t>
      </w:r>
      <w:r>
        <w:rPr>
          <w:i/>
        </w:rPr>
        <w:t>costoclavicular </w:t>
      </w:r>
      <w:r>
        <w:rPr/>
        <w:t>representa</w:t>
      </w:r>
      <w:r>
        <w:rPr>
          <w:spacing w:val="-3"/>
        </w:rPr>
        <w:t> </w:t>
      </w:r>
      <w:r>
        <w:rPr/>
        <w:t>a</w:t>
      </w:r>
      <w:r>
        <w:rPr>
          <w:spacing w:val="-3"/>
        </w:rPr>
        <w:t> </w:t>
      </w:r>
      <w:r>
        <w:rPr/>
        <w:t>introdução</w:t>
      </w:r>
      <w:r>
        <w:rPr>
          <w:spacing w:val="-1"/>
        </w:rPr>
        <w:t> </w:t>
      </w:r>
      <w:r>
        <w:rPr/>
        <w:t>do</w:t>
      </w:r>
      <w:r>
        <w:rPr>
          <w:spacing w:val="-1"/>
        </w:rPr>
        <w:t> </w:t>
      </w:r>
      <w:r>
        <w:rPr/>
        <w:t>conceito de que uma série de pacientes poderia ter sintomas semelhantes devido à compressão no espaço costoclavicular (Falconer e Weddell).</w:t>
      </w:r>
      <w:r>
        <w:rPr>
          <w:vertAlign w:val="superscript"/>
        </w:rPr>
        <w:t>6</w:t>
      </w:r>
      <w:r>
        <w:rPr>
          <w:vertAlign w:val="baseline"/>
        </w:rPr>
        <w:t> </w:t>
      </w:r>
      <w:r>
        <w:rPr>
          <w:i/>
          <w:vertAlign w:val="baseline"/>
        </w:rPr>
        <w:t>Síndrome da hiperabdução, </w:t>
      </w:r>
      <w:r>
        <w:rPr>
          <w:vertAlign w:val="baseline"/>
        </w:rPr>
        <w:t>descrita por Wright (1945),</w:t>
      </w:r>
      <w:r>
        <w:rPr>
          <w:vertAlign w:val="superscript"/>
        </w:rPr>
        <w:t>7</w:t>
      </w:r>
      <w:r>
        <w:rPr>
          <w:vertAlign w:val="baseline"/>
        </w:rPr>
        <w:t> apontava para uma nova área de compressão baseada no espaço entre o tendão do músculo peitoral menor e o processo coracoide da escápula. Finalmente a denominação aceita atualmente, proposta por Peet </w:t>
      </w:r>
      <w:r>
        <w:rPr>
          <w:i/>
          <w:vertAlign w:val="baseline"/>
        </w:rPr>
        <w:t>et al.</w:t>
      </w:r>
      <w:r>
        <w:rPr>
          <w:vertAlign w:val="baseline"/>
        </w:rPr>
        <w:t>, em 1956,</w:t>
      </w:r>
      <w:r>
        <w:rPr>
          <w:vertAlign w:val="superscript"/>
        </w:rPr>
        <w:t>8</w:t>
      </w:r>
      <w:r>
        <w:rPr>
          <w:vertAlign w:val="baseline"/>
        </w:rPr>
        <w:t> é s</w:t>
      </w:r>
      <w:r>
        <w:rPr>
          <w:i/>
          <w:vertAlign w:val="baseline"/>
        </w:rPr>
        <w:t>índrome do desfiladeiro torácico</w:t>
      </w:r>
      <w:r>
        <w:rPr>
          <w:vertAlign w:val="baseline"/>
        </w:rPr>
        <w:t>. A mudança do nome foi acompanhada pela mudança do conceito, responsabilizando o quadro pela associação de alterações anatômicas e fisiológicas no trajeto dos vasos e nervos da região. Embora a denominação tenha ganhado ampla aceitação, as controvérsias persistem e também podem ser constatadas pela ampla gama de propostas de tratamento: tratamento clínico, ressecção da costela cervical, ressecção da primeira costela torácica, ressecção da apófise transversa da sétima vértebra cervical, escalenotomia, escalenectomia, claviculectomia e ressecção de bandas fibróticas no trajeto vasculonervoso. Completam a confusão sobre o tema: a ausência de um padrão clínico bem definido, de um método diagnóstico preciso e de um fator preditivo que aponte para uma boa evolução</w:t>
      </w:r>
      <w:r>
        <w:rPr>
          <w:spacing w:val="-1"/>
          <w:vertAlign w:val="baseline"/>
        </w:rPr>
        <w:t> </w:t>
      </w:r>
      <w:r>
        <w:rPr>
          <w:vertAlign w:val="baseline"/>
        </w:rPr>
        <w:t>após o</w:t>
      </w:r>
      <w:r>
        <w:rPr>
          <w:spacing w:val="-1"/>
          <w:vertAlign w:val="baseline"/>
        </w:rPr>
        <w:t> </w:t>
      </w:r>
      <w:r>
        <w:rPr>
          <w:vertAlign w:val="baseline"/>
        </w:rPr>
        <w:t>tratamento</w:t>
      </w:r>
      <w:r>
        <w:rPr>
          <w:spacing w:val="-1"/>
          <w:vertAlign w:val="baseline"/>
        </w:rPr>
        <w:t> </w:t>
      </w:r>
      <w:r>
        <w:rPr>
          <w:vertAlign w:val="baseline"/>
        </w:rPr>
        <w:t>proposto; a</w:t>
      </w:r>
      <w:r>
        <w:rPr>
          <w:spacing w:val="-4"/>
          <w:vertAlign w:val="baseline"/>
        </w:rPr>
        <w:t> </w:t>
      </w:r>
      <w:r>
        <w:rPr>
          <w:vertAlign w:val="baseline"/>
        </w:rPr>
        <w:t>interferência</w:t>
      </w:r>
      <w:r>
        <w:rPr>
          <w:spacing w:val="-4"/>
          <w:vertAlign w:val="baseline"/>
        </w:rPr>
        <w:t> </w:t>
      </w:r>
      <w:r>
        <w:rPr>
          <w:vertAlign w:val="baseline"/>
        </w:rPr>
        <w:t>de</w:t>
      </w:r>
      <w:r>
        <w:rPr>
          <w:spacing w:val="-4"/>
          <w:vertAlign w:val="baseline"/>
        </w:rPr>
        <w:t> </w:t>
      </w:r>
      <w:r>
        <w:rPr>
          <w:vertAlign w:val="baseline"/>
        </w:rPr>
        <w:t>fatores psicossociais (litígio</w:t>
      </w:r>
      <w:r>
        <w:rPr>
          <w:spacing w:val="-1"/>
          <w:vertAlign w:val="baseline"/>
        </w:rPr>
        <w:t> </w:t>
      </w:r>
      <w:r>
        <w:rPr>
          <w:vertAlign w:val="baseline"/>
        </w:rPr>
        <w:t>trabalhista</w:t>
      </w:r>
      <w:r>
        <w:rPr>
          <w:spacing w:val="-4"/>
          <w:vertAlign w:val="baseline"/>
        </w:rPr>
        <w:t> </w:t>
      </w:r>
      <w:r>
        <w:rPr>
          <w:vertAlign w:val="baseline"/>
        </w:rPr>
        <w:t>entre</w:t>
      </w:r>
      <w:r>
        <w:rPr>
          <w:spacing w:val="-4"/>
          <w:vertAlign w:val="baseline"/>
        </w:rPr>
        <w:t> </w:t>
      </w:r>
      <w:r>
        <w:rPr>
          <w:vertAlign w:val="baseline"/>
        </w:rPr>
        <w:t>o</w:t>
      </w:r>
      <w:r>
        <w:rPr>
          <w:spacing w:val="-1"/>
          <w:vertAlign w:val="baseline"/>
        </w:rPr>
        <w:t> </w:t>
      </w:r>
      <w:r>
        <w:rPr>
          <w:vertAlign w:val="baseline"/>
        </w:rPr>
        <w:t>paciente</w:t>
      </w:r>
      <w:r>
        <w:rPr>
          <w:spacing w:val="-4"/>
          <w:vertAlign w:val="baseline"/>
        </w:rPr>
        <w:t> </w:t>
      </w:r>
      <w:r>
        <w:rPr>
          <w:vertAlign w:val="baseline"/>
        </w:rPr>
        <w:t>e</w:t>
      </w:r>
      <w:r>
        <w:rPr>
          <w:spacing w:val="-4"/>
          <w:vertAlign w:val="baseline"/>
        </w:rPr>
        <w:t> </w:t>
      </w:r>
      <w:r>
        <w:rPr>
          <w:vertAlign w:val="baseline"/>
        </w:rPr>
        <w:t>o seu empregador, labilidade</w:t>
      </w:r>
      <w:r>
        <w:rPr>
          <w:spacing w:val="-1"/>
          <w:vertAlign w:val="baseline"/>
        </w:rPr>
        <w:t> </w:t>
      </w:r>
      <w:r>
        <w:rPr>
          <w:vertAlign w:val="baseline"/>
        </w:rPr>
        <w:t>emocional desses pacientes); as múltiplas especialidades abordando o tema</w:t>
      </w:r>
      <w:r>
        <w:rPr>
          <w:spacing w:val="-1"/>
          <w:vertAlign w:val="baseline"/>
        </w:rPr>
        <w:t> </w:t>
      </w:r>
      <w:r>
        <w:rPr>
          <w:vertAlign w:val="baseline"/>
        </w:rPr>
        <w:t>de</w:t>
      </w:r>
      <w:r>
        <w:rPr>
          <w:spacing w:val="-1"/>
          <w:vertAlign w:val="baseline"/>
        </w:rPr>
        <w:t> </w:t>
      </w:r>
      <w:r>
        <w:rPr>
          <w:vertAlign w:val="baseline"/>
        </w:rPr>
        <w:t>maneira isolada;</w:t>
      </w:r>
      <w:r>
        <w:rPr>
          <w:spacing w:val="-2"/>
          <w:vertAlign w:val="baseline"/>
        </w:rPr>
        <w:t> </w:t>
      </w:r>
      <w:r>
        <w:rPr>
          <w:vertAlign w:val="baseline"/>
        </w:rPr>
        <w:t>os relatos com</w:t>
      </w:r>
      <w:r>
        <w:rPr>
          <w:spacing w:val="-4"/>
          <w:vertAlign w:val="baseline"/>
        </w:rPr>
        <w:t> </w:t>
      </w:r>
      <w:r>
        <w:rPr>
          <w:vertAlign w:val="baseline"/>
        </w:rPr>
        <w:t>base</w:t>
      </w:r>
      <w:r>
        <w:rPr>
          <w:spacing w:val="-8"/>
          <w:vertAlign w:val="baseline"/>
        </w:rPr>
        <w:t> </w:t>
      </w:r>
      <w:r>
        <w:rPr>
          <w:vertAlign w:val="baseline"/>
        </w:rPr>
        <w:t>em</w:t>
      </w:r>
      <w:r>
        <w:rPr>
          <w:spacing w:val="-4"/>
          <w:vertAlign w:val="baseline"/>
        </w:rPr>
        <w:t> </w:t>
      </w:r>
      <w:r>
        <w:rPr>
          <w:vertAlign w:val="baseline"/>
        </w:rPr>
        <w:t>experiência</w:t>
      </w:r>
      <w:r>
        <w:rPr>
          <w:spacing w:val="-8"/>
          <w:vertAlign w:val="baseline"/>
        </w:rPr>
        <w:t> </w:t>
      </w:r>
      <w:r>
        <w:rPr>
          <w:vertAlign w:val="baseline"/>
        </w:rPr>
        <w:t>do</w:t>
      </w:r>
      <w:r>
        <w:rPr>
          <w:spacing w:val="-4"/>
          <w:vertAlign w:val="baseline"/>
        </w:rPr>
        <w:t> </w:t>
      </w:r>
      <w:r>
        <w:rPr>
          <w:vertAlign w:val="baseline"/>
        </w:rPr>
        <w:t>médico-cirurgião</w:t>
      </w:r>
      <w:r>
        <w:rPr>
          <w:spacing w:val="-4"/>
          <w:vertAlign w:val="baseline"/>
        </w:rPr>
        <w:t> </w:t>
      </w:r>
      <w:r>
        <w:rPr>
          <w:vertAlign w:val="baseline"/>
        </w:rPr>
        <w:t>na</w:t>
      </w:r>
      <w:r>
        <w:rPr>
          <w:spacing w:val="-8"/>
          <w:vertAlign w:val="baseline"/>
        </w:rPr>
        <w:t> </w:t>
      </w:r>
      <w:r>
        <w:rPr>
          <w:vertAlign w:val="baseline"/>
        </w:rPr>
        <w:t>condução</w:t>
      </w:r>
      <w:r>
        <w:rPr>
          <w:spacing w:val="-4"/>
          <w:vertAlign w:val="baseline"/>
        </w:rPr>
        <w:t> </w:t>
      </w:r>
      <w:r>
        <w:rPr>
          <w:vertAlign w:val="baseline"/>
        </w:rPr>
        <w:t>dos pacientes e</w:t>
      </w:r>
      <w:r>
        <w:rPr>
          <w:spacing w:val="-8"/>
          <w:vertAlign w:val="baseline"/>
        </w:rPr>
        <w:t> </w:t>
      </w:r>
      <w:r>
        <w:rPr>
          <w:vertAlign w:val="baseline"/>
        </w:rPr>
        <w:t>a</w:t>
      </w:r>
      <w:r>
        <w:rPr>
          <w:spacing w:val="-8"/>
          <w:vertAlign w:val="baseline"/>
        </w:rPr>
        <w:t> </w:t>
      </w:r>
      <w:r>
        <w:rPr>
          <w:vertAlign w:val="baseline"/>
        </w:rPr>
        <w:t>ausência</w:t>
      </w:r>
      <w:r>
        <w:rPr>
          <w:spacing w:val="-8"/>
          <w:vertAlign w:val="baseline"/>
        </w:rPr>
        <w:t> </w:t>
      </w:r>
      <w:r>
        <w:rPr>
          <w:vertAlign w:val="baseline"/>
        </w:rPr>
        <w:t>de</w:t>
      </w:r>
      <w:r>
        <w:rPr>
          <w:spacing w:val="-8"/>
          <w:vertAlign w:val="baseline"/>
        </w:rPr>
        <w:t> </w:t>
      </w:r>
      <w:r>
        <w:rPr>
          <w:vertAlign w:val="baseline"/>
        </w:rPr>
        <w:t>estudos randomizados entre as diversas formas de tratamento.</w:t>
      </w:r>
    </w:p>
    <w:p>
      <w:pPr>
        <w:spacing w:line="276" w:lineRule="auto" w:before="72"/>
        <w:ind w:left="68" w:right="500" w:firstLine="345"/>
        <w:jc w:val="both"/>
        <w:rPr>
          <w:sz w:val="23"/>
        </w:rPr>
      </w:pPr>
      <w:r>
        <w:rPr>
          <w:sz w:val="23"/>
        </w:rPr>
        <w:t>A abordagem proposta aqui segue as recomendações modernas propostas por Wilbourn,</w:t>
      </w:r>
      <w:r>
        <w:rPr>
          <w:sz w:val="23"/>
          <w:vertAlign w:val="superscript"/>
        </w:rPr>
        <w:t>9</w:t>
      </w:r>
      <w:r>
        <w:rPr>
          <w:sz w:val="23"/>
          <w:vertAlign w:val="baseline"/>
        </w:rPr>
        <w:t> dividindo as formas da síndrome do desfiladeiro torácico pelas estruturas que estão comprometidas (nervo, veia e artéria) e não pelas estruturas que as comprimem. Nesse contexto, as formas da síndrome são divididas em </w:t>
      </w:r>
      <w:r>
        <w:rPr>
          <w:i/>
          <w:sz w:val="23"/>
          <w:vertAlign w:val="baseline"/>
        </w:rPr>
        <w:t>arterial, venosa, neurológica verdadeira, neurológica inespecífica e traumática neurovascular</w:t>
      </w:r>
      <w:r>
        <w:rPr>
          <w:sz w:val="23"/>
          <w:vertAlign w:val="baseline"/>
        </w:rPr>
        <w:t>.</w:t>
      </w:r>
    </w:p>
    <w:p>
      <w:pPr>
        <w:pStyle w:val="BodyText"/>
        <w:spacing w:before="186"/>
        <w:ind w:left="0" w:firstLine="0"/>
        <w:jc w:val="left"/>
      </w:pPr>
    </w:p>
    <w:p>
      <w:pPr>
        <w:pStyle w:val="Heading4"/>
      </w:pPr>
      <w:r>
        <w:rPr>
          <w:color w:val="242B67"/>
          <w:spacing w:val="-2"/>
        </w:rPr>
        <w:t>Definição</w:t>
      </w:r>
    </w:p>
    <w:p>
      <w:pPr>
        <w:pStyle w:val="BodyText"/>
        <w:spacing w:line="276" w:lineRule="auto" w:before="132"/>
        <w:ind w:right="488"/>
      </w:pPr>
      <w:r>
        <w:rPr/>
        <w:t>A síndrome do desfiladeiro torácico abrange um grupo de diferentes desordens, que podem afetar as artérias e veias subclávias, as artérias e veias axilares, diferentes componentes do plexo braquial ou afetar em conjunto os vasos</w:t>
      </w:r>
      <w:r>
        <w:rPr>
          <w:spacing w:val="-1"/>
        </w:rPr>
        <w:t> </w:t>
      </w:r>
      <w:r>
        <w:rPr/>
        <w:t>e</w:t>
      </w:r>
      <w:r>
        <w:rPr>
          <w:spacing w:val="-11"/>
        </w:rPr>
        <w:t> </w:t>
      </w:r>
      <w:r>
        <w:rPr/>
        <w:t>nervos,</w:t>
      </w:r>
      <w:r>
        <w:rPr>
          <w:spacing w:val="-1"/>
        </w:rPr>
        <w:t> </w:t>
      </w:r>
      <w:r>
        <w:rPr/>
        <w:t>quando</w:t>
      </w:r>
      <w:r>
        <w:rPr>
          <w:spacing w:val="-9"/>
        </w:rPr>
        <w:t> </w:t>
      </w:r>
      <w:r>
        <w:rPr/>
        <w:t>estes</w:t>
      </w:r>
      <w:r>
        <w:rPr>
          <w:spacing w:val="-1"/>
        </w:rPr>
        <w:t> </w:t>
      </w:r>
      <w:r>
        <w:rPr/>
        <w:t>atravessam</w:t>
      </w:r>
      <w:r>
        <w:rPr>
          <w:spacing w:val="-9"/>
        </w:rPr>
        <w:t> </w:t>
      </w:r>
      <w:r>
        <w:rPr/>
        <w:t>a</w:t>
      </w:r>
      <w:r>
        <w:rPr>
          <w:spacing w:val="-11"/>
        </w:rPr>
        <w:t> </w:t>
      </w:r>
      <w:r>
        <w:rPr/>
        <w:t>região</w:t>
      </w:r>
      <w:r>
        <w:rPr>
          <w:spacing w:val="-9"/>
        </w:rPr>
        <w:t> </w:t>
      </w:r>
      <w:r>
        <w:rPr/>
        <w:t>de</w:t>
      </w:r>
      <w:r>
        <w:rPr>
          <w:spacing w:val="-11"/>
        </w:rPr>
        <w:t> </w:t>
      </w:r>
      <w:r>
        <w:rPr/>
        <w:t>transição</w:t>
      </w:r>
      <w:r>
        <w:rPr>
          <w:spacing w:val="-9"/>
        </w:rPr>
        <w:t> </w:t>
      </w:r>
      <w:r>
        <w:rPr/>
        <w:t>toracocervicobraquial.</w:t>
      </w:r>
      <w:r>
        <w:rPr>
          <w:spacing w:val="-1"/>
        </w:rPr>
        <w:t> </w:t>
      </w:r>
      <w:r>
        <w:rPr/>
        <w:t>É</w:t>
      </w:r>
      <w:r>
        <w:rPr>
          <w:spacing w:val="-4"/>
        </w:rPr>
        <w:t> </w:t>
      </w:r>
      <w:r>
        <w:rPr/>
        <w:t>de</w:t>
      </w:r>
      <w:r>
        <w:rPr>
          <w:spacing w:val="-11"/>
        </w:rPr>
        <w:t> </w:t>
      </w:r>
      <w:r>
        <w:rPr/>
        <w:t>fundamental</w:t>
      </w:r>
      <w:r>
        <w:rPr>
          <w:spacing w:val="-6"/>
        </w:rPr>
        <w:t> </w:t>
      </w:r>
      <w:r>
        <w:rPr/>
        <w:t>importância, portanto, que o clínico tenha perfeita ideia da definição de síndrome, isto é, pacientes com sintomas semelhantes podem ter locais anatômicos de doença distintos ou uma alteração no mesmo local anatômico pode provocar compressões em estruturas diferentes.</w:t>
      </w:r>
    </w:p>
    <w:p>
      <w:pPr>
        <w:pStyle w:val="BodyText"/>
        <w:spacing w:before="186"/>
        <w:ind w:left="0" w:firstLine="0"/>
        <w:jc w:val="left"/>
      </w:pPr>
    </w:p>
    <w:p>
      <w:pPr>
        <w:pStyle w:val="Heading4"/>
      </w:pPr>
      <w:r>
        <w:rPr>
          <w:color w:val="242B67"/>
          <w:spacing w:val="-2"/>
        </w:rPr>
        <w:t>Anatomia</w:t>
      </w:r>
    </w:p>
    <w:p>
      <w:pPr>
        <w:pStyle w:val="BodyText"/>
        <w:spacing w:line="278" w:lineRule="auto" w:before="131"/>
        <w:ind w:right="488"/>
      </w:pPr>
      <w:r>
        <w:rPr/>
        <w:t>Os locais de compressão vascular e/ou nervosa podem ocorrer, primeiro na abertura torácica superior. Esta região é delimitada pelo manúbrio esternal, primeira costela torácica e primeira vértebra torácica. Nota-se que essa região</w:t>
      </w:r>
      <w:r>
        <w:rPr>
          <w:spacing w:val="-7"/>
        </w:rPr>
        <w:t> </w:t>
      </w:r>
      <w:r>
        <w:rPr/>
        <w:t>é</w:t>
      </w:r>
      <w:r>
        <w:rPr>
          <w:spacing w:val="-9"/>
        </w:rPr>
        <w:t> </w:t>
      </w:r>
      <w:r>
        <w:rPr/>
        <w:t>guarnecida</w:t>
      </w:r>
      <w:r>
        <w:rPr>
          <w:spacing w:val="-9"/>
        </w:rPr>
        <w:t> </w:t>
      </w:r>
      <w:r>
        <w:rPr/>
        <w:t>somente</w:t>
      </w:r>
      <w:r>
        <w:rPr>
          <w:spacing w:val="-9"/>
        </w:rPr>
        <w:t> </w:t>
      </w:r>
      <w:r>
        <w:rPr/>
        <w:t>por</w:t>
      </w:r>
      <w:r>
        <w:rPr>
          <w:spacing w:val="-1"/>
        </w:rPr>
        <w:t> </w:t>
      </w:r>
      <w:r>
        <w:rPr/>
        <w:t>elementos ósseos que</w:t>
      </w:r>
      <w:r>
        <w:rPr>
          <w:spacing w:val="-9"/>
        </w:rPr>
        <w:t> </w:t>
      </w:r>
      <w:r>
        <w:rPr/>
        <w:t>podem</w:t>
      </w:r>
      <w:r>
        <w:rPr>
          <w:spacing w:val="-7"/>
        </w:rPr>
        <w:t> </w:t>
      </w:r>
      <w:r>
        <w:rPr/>
        <w:t>comprimir</w:t>
      </w:r>
      <w:r>
        <w:rPr>
          <w:spacing w:val="-1"/>
        </w:rPr>
        <w:t> </w:t>
      </w:r>
      <w:r>
        <w:rPr/>
        <w:t>predominantemente</w:t>
      </w:r>
      <w:r>
        <w:rPr>
          <w:spacing w:val="-9"/>
        </w:rPr>
        <w:t> </w:t>
      </w:r>
      <w:r>
        <w:rPr/>
        <w:t>estruturas vasculares. O segundo local de compressão ocorre no triângulo interescalênico, que é delimitado anteriormente pelo músculo escaleno anterior, posteriormente pelo músculo escaleno médio e inferiormente pela primeira costela torácica. Portanto, o vértice deste triângulo é superior, formado pela origem dos dois músculos escalenos nas vértebras cervicais (C</w:t>
      </w:r>
      <w:r>
        <w:rPr>
          <w:vertAlign w:val="subscript"/>
        </w:rPr>
        <w:t>4</w:t>
      </w:r>
      <w:r>
        <w:rPr>
          <w:vertAlign w:val="baseline"/>
        </w:rPr>
        <w:t>-C</w:t>
      </w:r>
      <w:r>
        <w:rPr>
          <w:vertAlign w:val="subscript"/>
        </w:rPr>
        <w:t>6</w:t>
      </w:r>
      <w:r>
        <w:rPr>
          <w:vertAlign w:val="baseline"/>
        </w:rPr>
        <w:t>) e a base é inferior, formada pela primeira costela. Os músculos escalenos têm a função de flexionar o pescoço e</w:t>
      </w:r>
      <w:r>
        <w:rPr>
          <w:spacing w:val="-3"/>
          <w:vertAlign w:val="baseline"/>
        </w:rPr>
        <w:t> </w:t>
      </w:r>
      <w:r>
        <w:rPr>
          <w:vertAlign w:val="baseline"/>
        </w:rPr>
        <w:t>elevar a</w:t>
      </w:r>
      <w:r>
        <w:rPr>
          <w:spacing w:val="-3"/>
          <w:vertAlign w:val="baseline"/>
        </w:rPr>
        <w:t> </w:t>
      </w:r>
      <w:r>
        <w:rPr>
          <w:vertAlign w:val="baseline"/>
        </w:rPr>
        <w:t>primeira</w:t>
      </w:r>
      <w:r>
        <w:rPr>
          <w:spacing w:val="-3"/>
          <w:vertAlign w:val="baseline"/>
        </w:rPr>
        <w:t> </w:t>
      </w:r>
      <w:r>
        <w:rPr>
          <w:vertAlign w:val="baseline"/>
        </w:rPr>
        <w:t>costela</w:t>
      </w:r>
      <w:r>
        <w:rPr>
          <w:spacing w:val="-3"/>
          <w:vertAlign w:val="baseline"/>
        </w:rPr>
        <w:t> </w:t>
      </w:r>
      <w:r>
        <w:rPr>
          <w:vertAlign w:val="baseline"/>
        </w:rPr>
        <w:t>durante</w:t>
      </w:r>
      <w:r>
        <w:rPr>
          <w:spacing w:val="-3"/>
          <w:vertAlign w:val="baseline"/>
        </w:rPr>
        <w:t> </w:t>
      </w:r>
      <w:r>
        <w:rPr>
          <w:vertAlign w:val="baseline"/>
        </w:rPr>
        <w:t>a</w:t>
      </w:r>
      <w:r>
        <w:rPr>
          <w:spacing w:val="-3"/>
          <w:vertAlign w:val="baseline"/>
        </w:rPr>
        <w:t> </w:t>
      </w:r>
      <w:r>
        <w:rPr>
          <w:vertAlign w:val="baseline"/>
        </w:rPr>
        <w:t>inspiração, aproximando-a</w:t>
      </w:r>
      <w:r>
        <w:rPr>
          <w:spacing w:val="-3"/>
          <w:vertAlign w:val="baseline"/>
        </w:rPr>
        <w:t> </w:t>
      </w:r>
      <w:r>
        <w:rPr>
          <w:vertAlign w:val="baseline"/>
        </w:rPr>
        <w:t>da</w:t>
      </w:r>
      <w:r>
        <w:rPr>
          <w:spacing w:val="-3"/>
          <w:vertAlign w:val="baseline"/>
        </w:rPr>
        <w:t> </w:t>
      </w:r>
      <w:r>
        <w:rPr>
          <w:vertAlign w:val="baseline"/>
        </w:rPr>
        <w:t>clavícula. Por este</w:t>
      </w:r>
      <w:r>
        <w:rPr>
          <w:spacing w:val="-3"/>
          <w:vertAlign w:val="baseline"/>
        </w:rPr>
        <w:t> </w:t>
      </w:r>
      <w:r>
        <w:rPr>
          <w:vertAlign w:val="baseline"/>
        </w:rPr>
        <w:t>triângulo passam a artéria subclávia, anterior e as raízes do plexo braquial (C</w:t>
      </w:r>
      <w:r>
        <w:rPr>
          <w:vertAlign w:val="subscript"/>
        </w:rPr>
        <w:t>5,</w:t>
      </w:r>
      <w:r>
        <w:rPr>
          <w:vertAlign w:val="baseline"/>
        </w:rPr>
        <w:t> C</w:t>
      </w:r>
      <w:r>
        <w:rPr>
          <w:vertAlign w:val="subscript"/>
        </w:rPr>
        <w:t>6</w:t>
      </w:r>
      <w:r>
        <w:rPr>
          <w:vertAlign w:val="baseline"/>
        </w:rPr>
        <w:t>, C</w:t>
      </w:r>
      <w:r>
        <w:rPr>
          <w:vertAlign w:val="subscript"/>
        </w:rPr>
        <w:t>7</w:t>
      </w:r>
      <w:r>
        <w:rPr>
          <w:vertAlign w:val="baseline"/>
        </w:rPr>
        <w:t>, C</w:t>
      </w:r>
      <w:r>
        <w:rPr>
          <w:vertAlign w:val="subscript"/>
        </w:rPr>
        <w:t>8</w:t>
      </w:r>
      <w:r>
        <w:rPr>
          <w:vertAlign w:val="baseline"/>
        </w:rPr>
        <w:t>, T</w:t>
      </w:r>
      <w:r>
        <w:rPr>
          <w:vertAlign w:val="subscript"/>
        </w:rPr>
        <w:t>1</w:t>
      </w:r>
      <w:r>
        <w:rPr>
          <w:vertAlign w:val="baseline"/>
        </w:rPr>
        <w:t>), posteriormente. A veia subclávia</w:t>
      </w:r>
      <w:r>
        <w:rPr>
          <w:spacing w:val="-5"/>
          <w:vertAlign w:val="baseline"/>
        </w:rPr>
        <w:t> </w:t>
      </w:r>
      <w:r>
        <w:rPr>
          <w:vertAlign w:val="baseline"/>
        </w:rPr>
        <w:t>localiza-se</w:t>
      </w:r>
      <w:r>
        <w:rPr>
          <w:spacing w:val="-5"/>
          <w:vertAlign w:val="baseline"/>
        </w:rPr>
        <w:t> </w:t>
      </w:r>
      <w:r>
        <w:rPr>
          <w:vertAlign w:val="baseline"/>
        </w:rPr>
        <w:t>anteriormente</w:t>
      </w:r>
      <w:r>
        <w:rPr>
          <w:spacing w:val="-5"/>
          <w:vertAlign w:val="baseline"/>
        </w:rPr>
        <w:t> </w:t>
      </w:r>
      <w:r>
        <w:rPr>
          <w:vertAlign w:val="baseline"/>
        </w:rPr>
        <w:t>ao</w:t>
      </w:r>
      <w:r>
        <w:rPr>
          <w:spacing w:val="-3"/>
          <w:vertAlign w:val="baseline"/>
        </w:rPr>
        <w:t> </w:t>
      </w:r>
      <w:r>
        <w:rPr>
          <w:vertAlign w:val="baseline"/>
        </w:rPr>
        <w:t>músculo</w:t>
      </w:r>
      <w:r>
        <w:rPr>
          <w:spacing w:val="-3"/>
          <w:vertAlign w:val="baseline"/>
        </w:rPr>
        <w:t> </w:t>
      </w:r>
      <w:r>
        <w:rPr>
          <w:vertAlign w:val="baseline"/>
        </w:rPr>
        <w:t>escaleno</w:t>
      </w:r>
      <w:r>
        <w:rPr>
          <w:spacing w:val="-3"/>
          <w:vertAlign w:val="baseline"/>
        </w:rPr>
        <w:t> </w:t>
      </w:r>
      <w:r>
        <w:rPr>
          <w:vertAlign w:val="baseline"/>
        </w:rPr>
        <w:t>anterior (portanto, na</w:t>
      </w:r>
      <w:r>
        <w:rPr>
          <w:spacing w:val="-5"/>
          <w:vertAlign w:val="baseline"/>
        </w:rPr>
        <w:t> </w:t>
      </w:r>
      <w:r>
        <w:rPr>
          <w:vertAlign w:val="baseline"/>
        </w:rPr>
        <w:t>situação</w:t>
      </w:r>
      <w:r>
        <w:rPr>
          <w:spacing w:val="-3"/>
          <w:vertAlign w:val="baseline"/>
        </w:rPr>
        <w:t> </w:t>
      </w:r>
      <w:r>
        <w:rPr>
          <w:vertAlign w:val="baseline"/>
        </w:rPr>
        <w:t>anatômica</w:t>
      </w:r>
      <w:r>
        <w:rPr>
          <w:spacing w:val="-5"/>
          <w:vertAlign w:val="baseline"/>
        </w:rPr>
        <w:t> </w:t>
      </w:r>
      <w:r>
        <w:rPr>
          <w:vertAlign w:val="baseline"/>
        </w:rPr>
        <w:t>normal</w:t>
      </w:r>
      <w:r>
        <w:rPr>
          <w:spacing w:val="-1"/>
          <w:vertAlign w:val="baseline"/>
        </w:rPr>
        <w:t> </w:t>
      </w:r>
      <w:r>
        <w:rPr>
          <w:vertAlign w:val="baseline"/>
        </w:rPr>
        <w:t>não</w:t>
      </w:r>
      <w:r>
        <w:rPr>
          <w:spacing w:val="-3"/>
          <w:vertAlign w:val="baseline"/>
        </w:rPr>
        <w:t> </w:t>
      </w:r>
      <w:r>
        <w:rPr>
          <w:vertAlign w:val="baseline"/>
        </w:rPr>
        <w:t>pode ser comprimida</w:t>
      </w:r>
      <w:r>
        <w:rPr>
          <w:spacing w:val="-7"/>
          <w:vertAlign w:val="baseline"/>
        </w:rPr>
        <w:t> </w:t>
      </w:r>
      <w:r>
        <w:rPr>
          <w:vertAlign w:val="baseline"/>
        </w:rPr>
        <w:t>nesse</w:t>
      </w:r>
      <w:r>
        <w:rPr>
          <w:spacing w:val="-7"/>
          <w:vertAlign w:val="baseline"/>
        </w:rPr>
        <w:t> </w:t>
      </w:r>
      <w:r>
        <w:rPr>
          <w:vertAlign w:val="baseline"/>
        </w:rPr>
        <w:t>local, mas pode</w:t>
      </w:r>
      <w:r>
        <w:rPr>
          <w:spacing w:val="-7"/>
          <w:vertAlign w:val="baseline"/>
        </w:rPr>
        <w:t> </w:t>
      </w:r>
      <w:r>
        <w:rPr>
          <w:vertAlign w:val="baseline"/>
        </w:rPr>
        <w:t>ser lesada</w:t>
      </w:r>
      <w:r>
        <w:rPr>
          <w:spacing w:val="-7"/>
          <w:vertAlign w:val="baseline"/>
        </w:rPr>
        <w:t> </w:t>
      </w:r>
      <w:r>
        <w:rPr>
          <w:vertAlign w:val="baseline"/>
        </w:rPr>
        <w:t>nos procedimentos cirúrgicos na</w:t>
      </w:r>
      <w:r>
        <w:rPr>
          <w:spacing w:val="-7"/>
          <w:vertAlign w:val="baseline"/>
        </w:rPr>
        <w:t> </w:t>
      </w:r>
      <w:r>
        <w:rPr>
          <w:vertAlign w:val="baseline"/>
        </w:rPr>
        <w:t>região). Duas estruturas nervosas são importantes do ponto de vista de acesso cirúrgico, nas relações do triângulo, embora não façam parte do mesmo. O</w:t>
      </w:r>
      <w:r>
        <w:rPr>
          <w:spacing w:val="-8"/>
          <w:vertAlign w:val="baseline"/>
        </w:rPr>
        <w:t> </w:t>
      </w:r>
      <w:r>
        <w:rPr>
          <w:vertAlign w:val="baseline"/>
        </w:rPr>
        <w:t>nervo</w:t>
      </w:r>
      <w:r>
        <w:rPr>
          <w:spacing w:val="-5"/>
          <w:vertAlign w:val="baseline"/>
        </w:rPr>
        <w:t> </w:t>
      </w:r>
      <w:r>
        <w:rPr>
          <w:vertAlign w:val="baseline"/>
        </w:rPr>
        <w:t>frênico, anterior ao</w:t>
      </w:r>
      <w:r>
        <w:rPr>
          <w:spacing w:val="-5"/>
          <w:vertAlign w:val="baseline"/>
        </w:rPr>
        <w:t> </w:t>
      </w:r>
      <w:r>
        <w:rPr>
          <w:vertAlign w:val="baseline"/>
        </w:rPr>
        <w:t>músculo</w:t>
      </w:r>
      <w:r>
        <w:rPr>
          <w:spacing w:val="-5"/>
          <w:vertAlign w:val="baseline"/>
        </w:rPr>
        <w:t> </w:t>
      </w:r>
      <w:r>
        <w:rPr>
          <w:vertAlign w:val="baseline"/>
        </w:rPr>
        <w:t>escaleno</w:t>
      </w:r>
      <w:r>
        <w:rPr>
          <w:spacing w:val="-5"/>
          <w:vertAlign w:val="baseline"/>
        </w:rPr>
        <w:t> </w:t>
      </w:r>
      <w:r>
        <w:rPr>
          <w:vertAlign w:val="baseline"/>
        </w:rPr>
        <w:t>anterior, responsável</w:t>
      </w:r>
      <w:r>
        <w:rPr>
          <w:spacing w:val="-3"/>
          <w:vertAlign w:val="baseline"/>
        </w:rPr>
        <w:t> </w:t>
      </w:r>
      <w:r>
        <w:rPr>
          <w:vertAlign w:val="baseline"/>
        </w:rPr>
        <w:t>pela</w:t>
      </w:r>
      <w:r>
        <w:rPr>
          <w:spacing w:val="-8"/>
          <w:vertAlign w:val="baseline"/>
        </w:rPr>
        <w:t> </w:t>
      </w:r>
      <w:r>
        <w:rPr>
          <w:vertAlign w:val="baseline"/>
        </w:rPr>
        <w:t>inervação</w:t>
      </w:r>
      <w:r>
        <w:rPr>
          <w:spacing w:val="-5"/>
          <w:vertAlign w:val="baseline"/>
        </w:rPr>
        <w:t> </w:t>
      </w:r>
      <w:r>
        <w:rPr>
          <w:vertAlign w:val="baseline"/>
        </w:rPr>
        <w:t>do</w:t>
      </w:r>
      <w:r>
        <w:rPr>
          <w:spacing w:val="-5"/>
          <w:vertAlign w:val="baseline"/>
        </w:rPr>
        <w:t> </w:t>
      </w:r>
      <w:r>
        <w:rPr>
          <w:vertAlign w:val="baseline"/>
        </w:rPr>
        <w:t>diafragma, e</w:t>
      </w:r>
      <w:r>
        <w:rPr>
          <w:spacing w:val="-8"/>
          <w:vertAlign w:val="baseline"/>
        </w:rPr>
        <w:t> </w:t>
      </w:r>
      <w:r>
        <w:rPr>
          <w:vertAlign w:val="baseline"/>
        </w:rPr>
        <w:t>o</w:t>
      </w:r>
      <w:r>
        <w:rPr>
          <w:spacing w:val="-5"/>
          <w:vertAlign w:val="baseline"/>
        </w:rPr>
        <w:t> </w:t>
      </w:r>
      <w:r>
        <w:rPr>
          <w:vertAlign w:val="baseline"/>
        </w:rPr>
        <w:t>nervo torácico longo, que tem origem nas raízes do plexo braquial, corre junto ao músculo escaleno médio e inerva o músculo serrátil anterior (sua lesão provoca uma deformidade conhecida como </w:t>
      </w:r>
      <w:r>
        <w:rPr>
          <w:i/>
          <w:vertAlign w:val="baseline"/>
        </w:rPr>
        <w:t>escápula alada</w:t>
      </w:r>
      <w:r>
        <w:rPr>
          <w:vertAlign w:val="baseline"/>
        </w:rPr>
        <w:t>). O terceiro espaço passível</w:t>
      </w:r>
      <w:r>
        <w:rPr>
          <w:spacing w:val="-5"/>
          <w:vertAlign w:val="baseline"/>
        </w:rPr>
        <w:t> </w:t>
      </w:r>
      <w:r>
        <w:rPr>
          <w:vertAlign w:val="baseline"/>
        </w:rPr>
        <w:t>de</w:t>
      </w:r>
      <w:r>
        <w:rPr>
          <w:spacing w:val="-10"/>
          <w:vertAlign w:val="baseline"/>
        </w:rPr>
        <w:t> </w:t>
      </w:r>
      <w:r>
        <w:rPr>
          <w:vertAlign w:val="baseline"/>
        </w:rPr>
        <w:t>compressão</w:t>
      </w:r>
      <w:r>
        <w:rPr>
          <w:spacing w:val="-7"/>
          <w:vertAlign w:val="baseline"/>
        </w:rPr>
        <w:t> </w:t>
      </w:r>
      <w:r>
        <w:rPr>
          <w:vertAlign w:val="baseline"/>
        </w:rPr>
        <w:t>é</w:t>
      </w:r>
      <w:r>
        <w:rPr>
          <w:spacing w:val="-10"/>
          <w:vertAlign w:val="baseline"/>
        </w:rPr>
        <w:t> </w:t>
      </w:r>
      <w:r>
        <w:rPr>
          <w:vertAlign w:val="baseline"/>
        </w:rPr>
        <w:t>o</w:t>
      </w:r>
      <w:r>
        <w:rPr>
          <w:spacing w:val="-7"/>
          <w:vertAlign w:val="baseline"/>
        </w:rPr>
        <w:t> </w:t>
      </w:r>
      <w:r>
        <w:rPr>
          <w:vertAlign w:val="baseline"/>
        </w:rPr>
        <w:t>espaço</w:t>
      </w:r>
      <w:r>
        <w:rPr>
          <w:spacing w:val="-7"/>
          <w:vertAlign w:val="baseline"/>
        </w:rPr>
        <w:t> </w:t>
      </w:r>
      <w:r>
        <w:rPr>
          <w:vertAlign w:val="baseline"/>
        </w:rPr>
        <w:t>costoclavicular. Ao</w:t>
      </w:r>
      <w:r>
        <w:rPr>
          <w:spacing w:val="-7"/>
          <w:vertAlign w:val="baseline"/>
        </w:rPr>
        <w:t> </w:t>
      </w:r>
      <w:r>
        <w:rPr>
          <w:vertAlign w:val="baseline"/>
        </w:rPr>
        <w:t>contrário</w:t>
      </w:r>
      <w:r>
        <w:rPr>
          <w:spacing w:val="-7"/>
          <w:vertAlign w:val="baseline"/>
        </w:rPr>
        <w:t> </w:t>
      </w:r>
      <w:r>
        <w:rPr>
          <w:vertAlign w:val="baseline"/>
        </w:rPr>
        <w:t>dos anteriores pode</w:t>
      </w:r>
      <w:r>
        <w:rPr>
          <w:spacing w:val="-10"/>
          <w:vertAlign w:val="baseline"/>
        </w:rPr>
        <w:t> </w:t>
      </w:r>
      <w:r>
        <w:rPr>
          <w:vertAlign w:val="baseline"/>
        </w:rPr>
        <w:t>ocorrer</w:t>
      </w:r>
      <w:r>
        <w:rPr>
          <w:spacing w:val="-2"/>
          <w:vertAlign w:val="baseline"/>
        </w:rPr>
        <w:t> </w:t>
      </w:r>
      <w:r>
        <w:rPr>
          <w:vertAlign w:val="baseline"/>
        </w:rPr>
        <w:t>nesse</w:t>
      </w:r>
      <w:r>
        <w:rPr>
          <w:spacing w:val="-10"/>
          <w:vertAlign w:val="baseline"/>
        </w:rPr>
        <w:t> </w:t>
      </w:r>
      <w:r>
        <w:rPr>
          <w:vertAlign w:val="baseline"/>
        </w:rPr>
        <w:t>local</w:t>
      </w:r>
      <w:r>
        <w:rPr>
          <w:spacing w:val="-5"/>
          <w:vertAlign w:val="baseline"/>
        </w:rPr>
        <w:t> </w:t>
      </w:r>
      <w:r>
        <w:rPr>
          <w:vertAlign w:val="baseline"/>
        </w:rPr>
        <w:t>compressão dos três elementos:</w:t>
      </w:r>
      <w:r>
        <w:rPr>
          <w:spacing w:val="-1"/>
          <w:vertAlign w:val="baseline"/>
        </w:rPr>
        <w:t> </w:t>
      </w:r>
      <w:r>
        <w:rPr>
          <w:vertAlign w:val="baseline"/>
        </w:rPr>
        <w:t>artéria, veia</w:t>
      </w:r>
      <w:r>
        <w:rPr>
          <w:spacing w:val="-6"/>
          <w:vertAlign w:val="baseline"/>
        </w:rPr>
        <w:t> </w:t>
      </w:r>
      <w:r>
        <w:rPr>
          <w:vertAlign w:val="baseline"/>
        </w:rPr>
        <w:t>e</w:t>
      </w:r>
      <w:r>
        <w:rPr>
          <w:spacing w:val="-6"/>
          <w:vertAlign w:val="baseline"/>
        </w:rPr>
        <w:t> </w:t>
      </w:r>
      <w:r>
        <w:rPr>
          <w:vertAlign w:val="baseline"/>
        </w:rPr>
        <w:t>nervo. Este</w:t>
      </w:r>
      <w:r>
        <w:rPr>
          <w:spacing w:val="-6"/>
          <w:vertAlign w:val="baseline"/>
        </w:rPr>
        <w:t> </w:t>
      </w:r>
      <w:r>
        <w:rPr>
          <w:vertAlign w:val="baseline"/>
        </w:rPr>
        <w:t>espaço</w:t>
      </w:r>
      <w:r>
        <w:rPr>
          <w:spacing w:val="-3"/>
          <w:vertAlign w:val="baseline"/>
        </w:rPr>
        <w:t> </w:t>
      </w:r>
      <w:r>
        <w:rPr>
          <w:vertAlign w:val="baseline"/>
        </w:rPr>
        <w:t>é</w:t>
      </w:r>
      <w:r>
        <w:rPr>
          <w:spacing w:val="-6"/>
          <w:vertAlign w:val="baseline"/>
        </w:rPr>
        <w:t> </w:t>
      </w:r>
      <w:r>
        <w:rPr>
          <w:vertAlign w:val="baseline"/>
        </w:rPr>
        <w:t>limitado, anteriormente, pela</w:t>
      </w:r>
      <w:r>
        <w:rPr>
          <w:spacing w:val="-6"/>
          <w:vertAlign w:val="baseline"/>
        </w:rPr>
        <w:t> </w:t>
      </w:r>
      <w:r>
        <w:rPr>
          <w:vertAlign w:val="baseline"/>
        </w:rPr>
        <w:t>clavícula, músculo</w:t>
      </w:r>
      <w:r>
        <w:rPr>
          <w:spacing w:val="-3"/>
          <w:vertAlign w:val="baseline"/>
        </w:rPr>
        <w:t> </w:t>
      </w:r>
      <w:r>
        <w:rPr>
          <w:vertAlign w:val="baseline"/>
        </w:rPr>
        <w:t>subclávio</w:t>
      </w:r>
      <w:r>
        <w:rPr>
          <w:spacing w:val="-3"/>
          <w:vertAlign w:val="baseline"/>
        </w:rPr>
        <w:t> </w:t>
      </w:r>
      <w:r>
        <w:rPr>
          <w:vertAlign w:val="baseline"/>
        </w:rPr>
        <w:t>e ligamento costoclavicular, posteriormente, pela primeira costela torácica. A transição entre as veias subclávia e axilar, artérias subclávia e axilar, bem como a transição entre os troncos do plexo braquial (superior, médio e inferior)</w:t>
      </w:r>
      <w:r>
        <w:rPr>
          <w:spacing w:val="57"/>
          <w:vertAlign w:val="baseline"/>
        </w:rPr>
        <w:t> </w:t>
      </w:r>
      <w:r>
        <w:rPr>
          <w:vertAlign w:val="baseline"/>
        </w:rPr>
        <w:t>e</w:t>
      </w:r>
      <w:r>
        <w:rPr>
          <w:spacing w:val="40"/>
          <w:vertAlign w:val="baseline"/>
        </w:rPr>
        <w:t> </w:t>
      </w:r>
      <w:r>
        <w:rPr>
          <w:vertAlign w:val="baseline"/>
        </w:rPr>
        <w:t>seus</w:t>
      </w:r>
      <w:r>
        <w:rPr>
          <w:spacing w:val="60"/>
          <w:vertAlign w:val="baseline"/>
        </w:rPr>
        <w:t> </w:t>
      </w:r>
      <w:r>
        <w:rPr>
          <w:vertAlign w:val="baseline"/>
        </w:rPr>
        <w:t>fascículos</w:t>
      </w:r>
      <w:r>
        <w:rPr>
          <w:spacing w:val="60"/>
          <w:vertAlign w:val="baseline"/>
        </w:rPr>
        <w:t> </w:t>
      </w:r>
      <w:r>
        <w:rPr>
          <w:vertAlign w:val="baseline"/>
        </w:rPr>
        <w:t>(lateral,</w:t>
      </w:r>
      <w:r>
        <w:rPr>
          <w:spacing w:val="60"/>
          <w:vertAlign w:val="baseline"/>
        </w:rPr>
        <w:t> </w:t>
      </w:r>
      <w:r>
        <w:rPr>
          <w:vertAlign w:val="baseline"/>
        </w:rPr>
        <w:t>superior</w:t>
      </w:r>
      <w:r>
        <w:rPr>
          <w:spacing w:val="57"/>
          <w:vertAlign w:val="baseline"/>
        </w:rPr>
        <w:t> </w:t>
      </w:r>
      <w:r>
        <w:rPr>
          <w:vertAlign w:val="baseline"/>
        </w:rPr>
        <w:t>e</w:t>
      </w:r>
      <w:r>
        <w:rPr>
          <w:spacing w:val="40"/>
          <w:vertAlign w:val="baseline"/>
        </w:rPr>
        <w:t> </w:t>
      </w:r>
      <w:r>
        <w:rPr>
          <w:vertAlign w:val="baseline"/>
        </w:rPr>
        <w:t>médio)</w:t>
      </w:r>
      <w:r>
        <w:rPr>
          <w:spacing w:val="57"/>
          <w:vertAlign w:val="baseline"/>
        </w:rPr>
        <w:t> </w:t>
      </w:r>
      <w:r>
        <w:rPr>
          <w:vertAlign w:val="baseline"/>
        </w:rPr>
        <w:t>podem</w:t>
      </w:r>
      <w:r>
        <w:rPr>
          <w:spacing w:val="40"/>
          <w:vertAlign w:val="baseline"/>
        </w:rPr>
        <w:t> </w:t>
      </w:r>
      <w:r>
        <w:rPr>
          <w:vertAlign w:val="baseline"/>
        </w:rPr>
        <w:t>ser</w:t>
      </w:r>
      <w:r>
        <w:rPr>
          <w:spacing w:val="57"/>
          <w:vertAlign w:val="baseline"/>
        </w:rPr>
        <w:t> </w:t>
      </w:r>
      <w:r>
        <w:rPr>
          <w:vertAlign w:val="baseline"/>
        </w:rPr>
        <w:t>comprimidas</w:t>
      </w:r>
      <w:r>
        <w:rPr>
          <w:spacing w:val="60"/>
          <w:vertAlign w:val="baseline"/>
        </w:rPr>
        <w:t> </w:t>
      </w:r>
      <w:r>
        <w:rPr>
          <w:vertAlign w:val="baseline"/>
        </w:rPr>
        <w:t>nessa</w:t>
      </w:r>
      <w:r>
        <w:rPr>
          <w:spacing w:val="40"/>
          <w:vertAlign w:val="baseline"/>
        </w:rPr>
        <w:t> </w:t>
      </w:r>
      <w:r>
        <w:rPr>
          <w:vertAlign w:val="baseline"/>
        </w:rPr>
        <w:t>região.</w:t>
      </w:r>
      <w:r>
        <w:rPr>
          <w:spacing w:val="60"/>
          <w:vertAlign w:val="baseline"/>
        </w:rPr>
        <w:t> </w:t>
      </w:r>
      <w:r>
        <w:rPr>
          <w:vertAlign w:val="baseline"/>
        </w:rPr>
        <w:t>Distalmente,</w:t>
      </w:r>
      <w:r>
        <w:rPr>
          <w:spacing w:val="60"/>
          <w:vertAlign w:val="baseline"/>
        </w:rPr>
        <w:t> </w:t>
      </w:r>
      <w:r>
        <w:rPr>
          <w:vertAlign w:val="baseline"/>
        </w:rPr>
        <w:t>os</w:t>
      </w:r>
    </w:p>
    <w:p>
      <w:pPr>
        <w:pStyle w:val="BodyText"/>
        <w:spacing w:after="0" w:line="278" w:lineRule="auto"/>
        <w:sectPr>
          <w:pgSz w:w="11900" w:h="16840"/>
          <w:pgMar w:top="120" w:bottom="280" w:left="566" w:right="141"/>
        </w:sectPr>
      </w:pPr>
    </w:p>
    <w:p>
      <w:pPr>
        <w:pStyle w:val="BodyText"/>
        <w:spacing w:line="276" w:lineRule="auto" w:before="68"/>
        <w:ind w:right="497" w:firstLine="0"/>
      </w:pPr>
      <w:r>
        <w:rPr/>
        <w:t>elementos do pedículo, agora vasos axilares e fascículos do plexo braquial, passam pela região limitada anteriormente pelo tendão do músculo peitoral menor e o processo coracoide da escápula. Raramente pode ocorrer compressão na região axilar (músculo axilopeitoral de Langer ou a compressão pode ocorrer pelos próprios fascículos do plexo braquial que envolvem a artéria axilar).</w:t>
      </w:r>
    </w:p>
    <w:p>
      <w:pPr>
        <w:pStyle w:val="BodyText"/>
        <w:spacing w:line="278" w:lineRule="auto" w:before="64"/>
        <w:ind w:right="491"/>
      </w:pPr>
      <w:r>
        <w:rPr/>
        <w:t>As compressões vasculares são relativamente fáceis de compreender, mas as compressões nervosas requerem um</w:t>
      </w:r>
      <w:r>
        <w:rPr>
          <w:spacing w:val="-9"/>
        </w:rPr>
        <w:t> </w:t>
      </w:r>
      <w:r>
        <w:rPr/>
        <w:t>conhecimento</w:t>
      </w:r>
      <w:r>
        <w:rPr>
          <w:spacing w:val="-9"/>
        </w:rPr>
        <w:t> </w:t>
      </w:r>
      <w:r>
        <w:rPr/>
        <w:t>anatômico</w:t>
      </w:r>
      <w:r>
        <w:rPr>
          <w:spacing w:val="-9"/>
        </w:rPr>
        <w:t> </w:t>
      </w:r>
      <w:r>
        <w:rPr/>
        <w:t>apurado</w:t>
      </w:r>
      <w:r>
        <w:rPr>
          <w:spacing w:val="-9"/>
        </w:rPr>
        <w:t> </w:t>
      </w:r>
      <w:r>
        <w:rPr/>
        <w:t>da</w:t>
      </w:r>
      <w:r>
        <w:rPr>
          <w:spacing w:val="-11"/>
        </w:rPr>
        <w:t> </w:t>
      </w:r>
      <w:r>
        <w:rPr/>
        <w:t>formação</w:t>
      </w:r>
      <w:r>
        <w:rPr>
          <w:spacing w:val="-9"/>
        </w:rPr>
        <w:t> </w:t>
      </w:r>
      <w:r>
        <w:rPr/>
        <w:t>e</w:t>
      </w:r>
      <w:r>
        <w:rPr>
          <w:spacing w:val="-11"/>
        </w:rPr>
        <w:t> </w:t>
      </w:r>
      <w:r>
        <w:rPr/>
        <w:t>distribuição</w:t>
      </w:r>
      <w:r>
        <w:rPr>
          <w:spacing w:val="-9"/>
        </w:rPr>
        <w:t> </w:t>
      </w:r>
      <w:r>
        <w:rPr/>
        <w:t>do</w:t>
      </w:r>
      <w:r>
        <w:rPr>
          <w:spacing w:val="-9"/>
        </w:rPr>
        <w:t> </w:t>
      </w:r>
      <w:r>
        <w:rPr/>
        <w:t>plexo</w:t>
      </w:r>
      <w:r>
        <w:rPr>
          <w:spacing w:val="-9"/>
        </w:rPr>
        <w:t> </w:t>
      </w:r>
      <w:r>
        <w:rPr/>
        <w:t>braquial.</w:t>
      </w:r>
      <w:r>
        <w:rPr>
          <w:spacing w:val="-1"/>
        </w:rPr>
        <w:t> </w:t>
      </w:r>
      <w:r>
        <w:rPr/>
        <w:t>O</w:t>
      </w:r>
      <w:r>
        <w:rPr>
          <w:spacing w:val="-11"/>
        </w:rPr>
        <w:t> </w:t>
      </w:r>
      <w:r>
        <w:rPr/>
        <w:t>plexo</w:t>
      </w:r>
      <w:r>
        <w:rPr>
          <w:spacing w:val="-9"/>
        </w:rPr>
        <w:t> </w:t>
      </w:r>
      <w:r>
        <w:rPr/>
        <w:t>braquial</w:t>
      </w:r>
      <w:r>
        <w:rPr>
          <w:spacing w:val="-6"/>
        </w:rPr>
        <w:t> </w:t>
      </w:r>
      <w:r>
        <w:rPr/>
        <w:t>é</w:t>
      </w:r>
      <w:r>
        <w:rPr>
          <w:spacing w:val="-11"/>
        </w:rPr>
        <w:t> </w:t>
      </w:r>
      <w:r>
        <w:rPr/>
        <w:t>formado</w:t>
      </w:r>
      <w:r>
        <w:rPr>
          <w:spacing w:val="-9"/>
        </w:rPr>
        <w:t> </w:t>
      </w:r>
      <w:r>
        <w:rPr/>
        <w:t>pela união</w:t>
      </w:r>
      <w:r>
        <w:rPr>
          <w:spacing w:val="-2"/>
        </w:rPr>
        <w:t> </w:t>
      </w:r>
      <w:r>
        <w:rPr/>
        <w:t>dos ramos anteriores dos nervos espinais cervicais e</w:t>
      </w:r>
      <w:r>
        <w:rPr>
          <w:spacing w:val="-5"/>
        </w:rPr>
        <w:t> </w:t>
      </w:r>
      <w:r>
        <w:rPr/>
        <w:t>torácicos, conhecidos como</w:t>
      </w:r>
      <w:r>
        <w:rPr>
          <w:spacing w:val="-2"/>
        </w:rPr>
        <w:t> </w:t>
      </w:r>
      <w:r>
        <w:rPr/>
        <w:t>C</w:t>
      </w:r>
      <w:r>
        <w:rPr>
          <w:vertAlign w:val="subscript"/>
        </w:rPr>
        <w:t>5</w:t>
      </w:r>
      <w:r>
        <w:rPr>
          <w:vertAlign w:val="baseline"/>
        </w:rPr>
        <w:t>-C</w:t>
      </w:r>
      <w:r>
        <w:rPr>
          <w:vertAlign w:val="subscript"/>
        </w:rPr>
        <w:t>8</w:t>
      </w:r>
      <w:r>
        <w:rPr>
          <w:vertAlign w:val="baseline"/>
        </w:rPr>
        <w:t> e</w:t>
      </w:r>
      <w:r>
        <w:rPr>
          <w:spacing w:val="-6"/>
          <w:vertAlign w:val="baseline"/>
        </w:rPr>
        <w:t> </w:t>
      </w:r>
      <w:r>
        <w:rPr>
          <w:vertAlign w:val="baseline"/>
        </w:rPr>
        <w:t>pela</w:t>
      </w:r>
      <w:r>
        <w:rPr>
          <w:spacing w:val="-6"/>
          <w:vertAlign w:val="baseline"/>
        </w:rPr>
        <w:t> </w:t>
      </w:r>
      <w:r>
        <w:rPr>
          <w:vertAlign w:val="baseline"/>
        </w:rPr>
        <w:t>maior parte</w:t>
      </w:r>
      <w:r>
        <w:rPr>
          <w:spacing w:val="-6"/>
          <w:vertAlign w:val="baseline"/>
        </w:rPr>
        <w:t> </w:t>
      </w:r>
      <w:r>
        <w:rPr>
          <w:vertAlign w:val="baseline"/>
        </w:rPr>
        <w:t>do ramo anterior de T</w:t>
      </w:r>
      <w:r>
        <w:rPr>
          <w:vertAlign w:val="subscript"/>
        </w:rPr>
        <w:t>1</w:t>
      </w:r>
      <w:r>
        <w:rPr>
          <w:vertAlign w:val="baseline"/>
        </w:rPr>
        <w:t>, formando as </w:t>
      </w:r>
      <w:r>
        <w:rPr>
          <w:i/>
          <w:vertAlign w:val="baseline"/>
        </w:rPr>
        <w:t>raízes </w:t>
      </w:r>
      <w:r>
        <w:rPr>
          <w:vertAlign w:val="baseline"/>
        </w:rPr>
        <w:t>do plexo. Distalmente, após a passagem pelo triângulo interescalênico as raízes de</w:t>
      </w:r>
      <w:r>
        <w:rPr>
          <w:spacing w:val="-3"/>
          <w:vertAlign w:val="baseline"/>
        </w:rPr>
        <w:t> </w:t>
      </w:r>
      <w:r>
        <w:rPr>
          <w:vertAlign w:val="baseline"/>
        </w:rPr>
        <w:t>C</w:t>
      </w:r>
      <w:r>
        <w:rPr>
          <w:vertAlign w:val="subscript"/>
        </w:rPr>
        <w:t>5</w:t>
      </w:r>
      <w:r>
        <w:rPr>
          <w:vertAlign w:val="baseline"/>
        </w:rPr>
        <w:t> e</w:t>
      </w:r>
      <w:r>
        <w:rPr>
          <w:spacing w:val="-3"/>
          <w:vertAlign w:val="baseline"/>
        </w:rPr>
        <w:t> </w:t>
      </w:r>
      <w:r>
        <w:rPr>
          <w:vertAlign w:val="baseline"/>
        </w:rPr>
        <w:t>C</w:t>
      </w:r>
      <w:r>
        <w:rPr>
          <w:vertAlign w:val="subscript"/>
        </w:rPr>
        <w:t>6</w:t>
      </w:r>
      <w:r>
        <w:rPr>
          <w:vertAlign w:val="baseline"/>
        </w:rPr>
        <w:t> formam o tronco superior, C</w:t>
      </w:r>
      <w:r>
        <w:rPr>
          <w:vertAlign w:val="subscript"/>
        </w:rPr>
        <w:t>7</w:t>
      </w:r>
      <w:r>
        <w:rPr>
          <w:vertAlign w:val="baseline"/>
        </w:rPr>
        <w:t> forma</w:t>
      </w:r>
      <w:r>
        <w:rPr>
          <w:spacing w:val="-3"/>
          <w:vertAlign w:val="baseline"/>
        </w:rPr>
        <w:t> </w:t>
      </w:r>
      <w:r>
        <w:rPr>
          <w:vertAlign w:val="baseline"/>
        </w:rPr>
        <w:t>o tronco médio e</w:t>
      </w:r>
      <w:r>
        <w:rPr>
          <w:spacing w:val="-3"/>
          <w:vertAlign w:val="baseline"/>
        </w:rPr>
        <w:t> </w:t>
      </w:r>
      <w:r>
        <w:rPr>
          <w:vertAlign w:val="baseline"/>
        </w:rPr>
        <w:t>C</w:t>
      </w:r>
      <w:r>
        <w:rPr>
          <w:vertAlign w:val="subscript"/>
        </w:rPr>
        <w:t>8</w:t>
      </w:r>
      <w:r>
        <w:rPr>
          <w:vertAlign w:val="baseline"/>
        </w:rPr>
        <w:t> e</w:t>
      </w:r>
      <w:r>
        <w:rPr>
          <w:spacing w:val="-3"/>
          <w:vertAlign w:val="baseline"/>
        </w:rPr>
        <w:t> </w:t>
      </w:r>
      <w:r>
        <w:rPr>
          <w:vertAlign w:val="baseline"/>
        </w:rPr>
        <w:t>T</w:t>
      </w:r>
      <w:r>
        <w:rPr>
          <w:vertAlign w:val="subscript"/>
        </w:rPr>
        <w:t>1</w:t>
      </w:r>
      <w:r>
        <w:rPr>
          <w:vertAlign w:val="baseline"/>
        </w:rPr>
        <w:t> formam o tronco inferior. O</w:t>
      </w:r>
      <w:r>
        <w:rPr>
          <w:spacing w:val="-1"/>
          <w:vertAlign w:val="baseline"/>
        </w:rPr>
        <w:t> </w:t>
      </w:r>
      <w:r>
        <w:rPr>
          <w:vertAlign w:val="baseline"/>
        </w:rPr>
        <w:t>tronco inferior localiza-se na porção medial mais estreita e passível de compressão no espaço costoclavicular. As raízes proximais (C</w:t>
      </w:r>
      <w:r>
        <w:rPr>
          <w:vertAlign w:val="subscript"/>
        </w:rPr>
        <w:t>5</w:t>
      </w:r>
      <w:r>
        <w:rPr>
          <w:vertAlign w:val="baseline"/>
        </w:rPr>
        <w:t> e C</w:t>
      </w:r>
      <w:r>
        <w:rPr>
          <w:vertAlign w:val="subscript"/>
        </w:rPr>
        <w:t>6</w:t>
      </w:r>
      <w:r>
        <w:rPr>
          <w:vertAlign w:val="baseline"/>
        </w:rPr>
        <w:t>) são as mais vulneráveis às compressões no triângulo interescalênico, quando existe uma</w:t>
      </w:r>
      <w:r>
        <w:rPr>
          <w:spacing w:val="40"/>
          <w:vertAlign w:val="baseline"/>
        </w:rPr>
        <w:t> </w:t>
      </w:r>
      <w:r>
        <w:rPr>
          <w:vertAlign w:val="baseline"/>
        </w:rPr>
        <w:t>costela</w:t>
      </w:r>
      <w:r>
        <w:rPr>
          <w:spacing w:val="-3"/>
          <w:vertAlign w:val="baseline"/>
        </w:rPr>
        <w:t> </w:t>
      </w:r>
      <w:r>
        <w:rPr>
          <w:vertAlign w:val="baseline"/>
        </w:rPr>
        <w:t>cervical ou</w:t>
      </w:r>
      <w:r>
        <w:rPr>
          <w:spacing w:val="-1"/>
          <w:vertAlign w:val="baseline"/>
        </w:rPr>
        <w:t> </w:t>
      </w:r>
      <w:r>
        <w:rPr>
          <w:vertAlign w:val="baseline"/>
        </w:rPr>
        <w:t>bandas fibróticas nessa</w:t>
      </w:r>
      <w:r>
        <w:rPr>
          <w:spacing w:val="-3"/>
          <w:vertAlign w:val="baseline"/>
        </w:rPr>
        <w:t> </w:t>
      </w:r>
      <w:r>
        <w:rPr>
          <w:vertAlign w:val="baseline"/>
        </w:rPr>
        <w:t>região. Os troncos do</w:t>
      </w:r>
      <w:r>
        <w:rPr>
          <w:spacing w:val="-1"/>
          <w:vertAlign w:val="baseline"/>
        </w:rPr>
        <w:t> </w:t>
      </w:r>
      <w:r>
        <w:rPr>
          <w:vertAlign w:val="baseline"/>
        </w:rPr>
        <w:t>plexo</w:t>
      </w:r>
      <w:r>
        <w:rPr>
          <w:spacing w:val="-1"/>
          <w:vertAlign w:val="baseline"/>
        </w:rPr>
        <w:t> </w:t>
      </w:r>
      <w:r>
        <w:rPr>
          <w:vertAlign w:val="baseline"/>
        </w:rPr>
        <w:t>braquial dividem-se</w:t>
      </w:r>
      <w:r>
        <w:rPr>
          <w:spacing w:val="-3"/>
          <w:vertAlign w:val="baseline"/>
        </w:rPr>
        <w:t> </w:t>
      </w:r>
      <w:r>
        <w:rPr>
          <w:vertAlign w:val="baseline"/>
        </w:rPr>
        <w:t>e</w:t>
      </w:r>
      <w:r>
        <w:rPr>
          <w:spacing w:val="-3"/>
          <w:vertAlign w:val="baseline"/>
        </w:rPr>
        <w:t> </w:t>
      </w:r>
      <w:r>
        <w:rPr>
          <w:vertAlign w:val="baseline"/>
        </w:rPr>
        <w:t>formam</w:t>
      </w:r>
      <w:r>
        <w:rPr>
          <w:spacing w:val="-1"/>
          <w:vertAlign w:val="baseline"/>
        </w:rPr>
        <w:t> </w:t>
      </w:r>
      <w:r>
        <w:rPr>
          <w:vertAlign w:val="baseline"/>
        </w:rPr>
        <w:t>os fascículos lateral, medial e posterior, na região da axila. Dos fascículos formam-se nervos para tronco, braço, antebraço e mão. O fascículo medial originado das raízes inferiores (tronco inferior) origina os nervos ulnar, peitoral medial, cutâneo medial do braço, cutâneo medial do antebraço e mediano. O fascículo posterior (recebe fibras dos três troncos) e origina os nervos radial, axilar, toracodorsal e subescapulares. O fascículo lateral recebe fibras dos troncos superior e médio e origina os nervos musculocutâneo e mediano. Portanto, entre os três nervos mais importantes para a inervação da mão, o nervo mediano recebe fibras dos troncos superior e inferior, o ulnar é exclusivo</w:t>
      </w:r>
      <w:r>
        <w:rPr>
          <w:spacing w:val="-3"/>
          <w:vertAlign w:val="baseline"/>
        </w:rPr>
        <w:t> </w:t>
      </w:r>
      <w:r>
        <w:rPr>
          <w:vertAlign w:val="baseline"/>
        </w:rPr>
        <w:t>do</w:t>
      </w:r>
      <w:r>
        <w:rPr>
          <w:spacing w:val="-3"/>
          <w:vertAlign w:val="baseline"/>
        </w:rPr>
        <w:t> </w:t>
      </w:r>
      <w:r>
        <w:rPr>
          <w:vertAlign w:val="baseline"/>
        </w:rPr>
        <w:t>tronco</w:t>
      </w:r>
      <w:r>
        <w:rPr>
          <w:spacing w:val="-3"/>
          <w:vertAlign w:val="baseline"/>
        </w:rPr>
        <w:t> </w:t>
      </w:r>
      <w:r>
        <w:rPr>
          <w:vertAlign w:val="baseline"/>
        </w:rPr>
        <w:t>inferior e</w:t>
      </w:r>
      <w:r>
        <w:rPr>
          <w:spacing w:val="-6"/>
          <w:vertAlign w:val="baseline"/>
        </w:rPr>
        <w:t> </w:t>
      </w:r>
      <w:r>
        <w:rPr>
          <w:vertAlign w:val="baseline"/>
        </w:rPr>
        <w:t>o</w:t>
      </w:r>
      <w:r>
        <w:rPr>
          <w:spacing w:val="-3"/>
          <w:vertAlign w:val="baseline"/>
        </w:rPr>
        <w:t> </w:t>
      </w:r>
      <w:r>
        <w:rPr>
          <w:vertAlign w:val="baseline"/>
        </w:rPr>
        <w:t>radial recebe</w:t>
      </w:r>
      <w:r>
        <w:rPr>
          <w:spacing w:val="-6"/>
          <w:vertAlign w:val="baseline"/>
        </w:rPr>
        <w:t> </w:t>
      </w:r>
      <w:r>
        <w:rPr>
          <w:vertAlign w:val="baseline"/>
        </w:rPr>
        <w:t>fibras dos três troncos. Apesar de</w:t>
      </w:r>
      <w:r>
        <w:rPr>
          <w:spacing w:val="-6"/>
          <w:vertAlign w:val="baseline"/>
        </w:rPr>
        <w:t> </w:t>
      </w:r>
      <w:r>
        <w:rPr>
          <w:vertAlign w:val="baseline"/>
        </w:rPr>
        <w:t>parecer complexa</w:t>
      </w:r>
      <w:r>
        <w:rPr>
          <w:spacing w:val="-6"/>
          <w:vertAlign w:val="baseline"/>
        </w:rPr>
        <w:t> </w:t>
      </w:r>
      <w:r>
        <w:rPr>
          <w:vertAlign w:val="baseline"/>
        </w:rPr>
        <w:t>essa</w:t>
      </w:r>
      <w:r>
        <w:rPr>
          <w:spacing w:val="-6"/>
          <w:vertAlign w:val="baseline"/>
        </w:rPr>
        <w:t> </w:t>
      </w:r>
      <w:r>
        <w:rPr>
          <w:vertAlign w:val="baseline"/>
        </w:rPr>
        <w:t>formação</w:t>
      </w:r>
      <w:r>
        <w:rPr>
          <w:spacing w:val="-3"/>
          <w:vertAlign w:val="baseline"/>
        </w:rPr>
        <w:t> </w:t>
      </w:r>
      <w:r>
        <w:rPr>
          <w:vertAlign w:val="baseline"/>
        </w:rPr>
        <w:t>do plexo e de sua distribuição, ela demonstra porque os sintomas e sinais na síndrome do desfiladeiro, tipo neurológica, não são fáceis de serem avaliados e muitas vezes interpretados como queixas confusas. Como lesão por compressão ocorre antes da formação do nervo terminal, pode existir uma ampla gama de manifestações </w:t>
      </w:r>
      <w:r>
        <w:rPr>
          <w:spacing w:val="-2"/>
          <w:vertAlign w:val="baseline"/>
        </w:rPr>
        <w:t>neurológicas.</w:t>
      </w:r>
    </w:p>
    <w:p>
      <w:pPr>
        <w:pStyle w:val="BodyText"/>
        <w:spacing w:before="202"/>
        <w:ind w:left="0" w:firstLine="0"/>
        <w:jc w:val="left"/>
      </w:pPr>
    </w:p>
    <w:p>
      <w:pPr>
        <w:pStyle w:val="Heading4"/>
      </w:pPr>
      <w:r>
        <w:rPr>
          <w:color w:val="242B67"/>
          <w:spacing w:val="-2"/>
        </w:rPr>
        <w:t>Diagnóstico</w:t>
      </w:r>
    </w:p>
    <w:p>
      <w:pPr>
        <w:pStyle w:val="BodyText"/>
        <w:spacing w:line="278" w:lineRule="auto" w:before="132"/>
        <w:ind w:right="491"/>
      </w:pPr>
      <w:r>
        <w:rPr/>
        <w:t>São múltiplas as formas de apresentação clínica da síndrome do desfiladeiro torácico. História e exame clínico sumários frequentemente levam a diagnósticos incorretos. Por exemplo, uma extremidade superior dolorosa, fria, levemente cianótica em que a rotação cervical ocasiona o desaparecimento do pulso radial, pode levar a um diagnóstico</w:t>
      </w:r>
      <w:r>
        <w:rPr>
          <w:spacing w:val="-7"/>
        </w:rPr>
        <w:t> </w:t>
      </w:r>
      <w:r>
        <w:rPr/>
        <w:t>da</w:t>
      </w:r>
      <w:r>
        <w:rPr>
          <w:spacing w:val="-9"/>
        </w:rPr>
        <w:t> </w:t>
      </w:r>
      <w:r>
        <w:rPr/>
        <w:t>forma</w:t>
      </w:r>
      <w:r>
        <w:rPr>
          <w:spacing w:val="-9"/>
        </w:rPr>
        <w:t> </w:t>
      </w:r>
      <w:r>
        <w:rPr/>
        <w:t>arterial</w:t>
      </w:r>
      <w:r>
        <w:rPr>
          <w:spacing w:val="-4"/>
        </w:rPr>
        <w:t> </w:t>
      </w:r>
      <w:r>
        <w:rPr/>
        <w:t>ou</w:t>
      </w:r>
      <w:r>
        <w:rPr>
          <w:spacing w:val="-7"/>
        </w:rPr>
        <w:t> </w:t>
      </w:r>
      <w:r>
        <w:rPr/>
        <w:t>venosa</w:t>
      </w:r>
      <w:r>
        <w:rPr>
          <w:spacing w:val="-9"/>
        </w:rPr>
        <w:t> </w:t>
      </w:r>
      <w:r>
        <w:rPr/>
        <w:t>da</w:t>
      </w:r>
      <w:r>
        <w:rPr>
          <w:spacing w:val="-9"/>
        </w:rPr>
        <w:t> </w:t>
      </w:r>
      <w:r>
        <w:rPr/>
        <w:t>síndrome. A</w:t>
      </w:r>
      <w:r>
        <w:rPr>
          <w:spacing w:val="-9"/>
        </w:rPr>
        <w:t> </w:t>
      </w:r>
      <w:r>
        <w:rPr/>
        <w:t>compressão</w:t>
      </w:r>
      <w:r>
        <w:rPr>
          <w:spacing w:val="-7"/>
        </w:rPr>
        <w:t> </w:t>
      </w:r>
      <w:r>
        <w:rPr/>
        <w:t>neurológica</w:t>
      </w:r>
      <w:r>
        <w:rPr>
          <w:spacing w:val="-9"/>
        </w:rPr>
        <w:t> </w:t>
      </w:r>
      <w:r>
        <w:rPr/>
        <w:t>envolvendo</w:t>
      </w:r>
      <w:r>
        <w:rPr>
          <w:spacing w:val="-7"/>
        </w:rPr>
        <w:t> </w:t>
      </w:r>
      <w:r>
        <w:rPr/>
        <w:t>as fibras simpáticas do plexo</w:t>
      </w:r>
      <w:r>
        <w:rPr>
          <w:spacing w:val="-2"/>
        </w:rPr>
        <w:t> </w:t>
      </w:r>
      <w:r>
        <w:rPr/>
        <w:t>braquial produz</w:t>
      </w:r>
      <w:r>
        <w:rPr>
          <w:spacing w:val="-5"/>
        </w:rPr>
        <w:t> </w:t>
      </w:r>
      <w:r>
        <w:rPr/>
        <w:t>dor, cianose</w:t>
      </w:r>
      <w:r>
        <w:rPr>
          <w:spacing w:val="-5"/>
        </w:rPr>
        <w:t> </w:t>
      </w:r>
      <w:r>
        <w:rPr/>
        <w:t>e</w:t>
      </w:r>
      <w:r>
        <w:rPr>
          <w:spacing w:val="-5"/>
        </w:rPr>
        <w:t> </w:t>
      </w:r>
      <w:r>
        <w:rPr/>
        <w:t>diminuição</w:t>
      </w:r>
      <w:r>
        <w:rPr>
          <w:spacing w:val="-2"/>
        </w:rPr>
        <w:t> </w:t>
      </w:r>
      <w:r>
        <w:rPr/>
        <w:t>da</w:t>
      </w:r>
      <w:r>
        <w:rPr>
          <w:spacing w:val="-5"/>
        </w:rPr>
        <w:t> </w:t>
      </w:r>
      <w:r>
        <w:rPr/>
        <w:t>temperatura</w:t>
      </w:r>
      <w:r>
        <w:rPr>
          <w:spacing w:val="-5"/>
        </w:rPr>
        <w:t> </w:t>
      </w:r>
      <w:r>
        <w:rPr/>
        <w:t>do</w:t>
      </w:r>
      <w:r>
        <w:rPr>
          <w:spacing w:val="-2"/>
        </w:rPr>
        <w:t> </w:t>
      </w:r>
      <w:r>
        <w:rPr/>
        <w:t>membro. Neste</w:t>
      </w:r>
      <w:r>
        <w:rPr>
          <w:spacing w:val="-5"/>
        </w:rPr>
        <w:t> </w:t>
      </w:r>
      <w:r>
        <w:rPr/>
        <w:t>caso, a</w:t>
      </w:r>
      <w:r>
        <w:rPr>
          <w:spacing w:val="-5"/>
        </w:rPr>
        <w:t> </w:t>
      </w:r>
      <w:r>
        <w:rPr/>
        <w:t>manobra</w:t>
      </w:r>
      <w:r>
        <w:rPr>
          <w:spacing w:val="-5"/>
        </w:rPr>
        <w:t> </w:t>
      </w:r>
      <w:r>
        <w:rPr/>
        <w:t>que</w:t>
      </w:r>
      <w:r>
        <w:rPr>
          <w:spacing w:val="-5"/>
        </w:rPr>
        <w:t> </w:t>
      </w:r>
      <w:r>
        <w:rPr/>
        <w:t>faz</w:t>
      </w:r>
      <w:r>
        <w:rPr>
          <w:spacing w:val="-5"/>
        </w:rPr>
        <w:t> </w:t>
      </w:r>
      <w:r>
        <w:rPr/>
        <w:t>o</w:t>
      </w:r>
      <w:r>
        <w:rPr>
          <w:spacing w:val="-2"/>
        </w:rPr>
        <w:t> </w:t>
      </w:r>
      <w:r>
        <w:rPr/>
        <w:t>pulso radial desaparecer pode</w:t>
      </w:r>
      <w:r>
        <w:rPr>
          <w:spacing w:val="-5"/>
        </w:rPr>
        <w:t> </w:t>
      </w:r>
      <w:r>
        <w:rPr/>
        <w:t>não</w:t>
      </w:r>
      <w:r>
        <w:rPr>
          <w:spacing w:val="-2"/>
        </w:rPr>
        <w:t> </w:t>
      </w:r>
      <w:r>
        <w:rPr/>
        <w:t>ter relação</w:t>
      </w:r>
      <w:r>
        <w:rPr>
          <w:spacing w:val="-2"/>
        </w:rPr>
        <w:t> </w:t>
      </w:r>
      <w:r>
        <w:rPr/>
        <w:t>causal direta, pois é</w:t>
      </w:r>
      <w:r>
        <w:rPr>
          <w:spacing w:val="-5"/>
        </w:rPr>
        <w:t> </w:t>
      </w:r>
      <w:r>
        <w:rPr/>
        <w:t>um</w:t>
      </w:r>
      <w:r>
        <w:rPr>
          <w:spacing w:val="-2"/>
        </w:rPr>
        <w:t> </w:t>
      </w:r>
      <w:r>
        <w:rPr/>
        <w:t>achado</w:t>
      </w:r>
      <w:r>
        <w:rPr>
          <w:spacing w:val="-2"/>
        </w:rPr>
        <w:t> </w:t>
      </w:r>
      <w:r>
        <w:rPr/>
        <w:t>clínico</w:t>
      </w:r>
      <w:r>
        <w:rPr>
          <w:spacing w:val="-2"/>
        </w:rPr>
        <w:t> </w:t>
      </w:r>
      <w:r>
        <w:rPr/>
        <w:t>casual não</w:t>
      </w:r>
      <w:r>
        <w:rPr>
          <w:spacing w:val="-2"/>
        </w:rPr>
        <w:t> </w:t>
      </w:r>
      <w:r>
        <w:rPr/>
        <w:t>incomum.</w:t>
      </w:r>
      <w:r>
        <w:rPr>
          <w:vertAlign w:val="superscript"/>
        </w:rPr>
        <w:t>7</w:t>
      </w:r>
    </w:p>
    <w:p>
      <w:pPr>
        <w:pStyle w:val="BodyText"/>
        <w:spacing w:line="278" w:lineRule="auto" w:before="49"/>
        <w:ind w:right="497"/>
      </w:pPr>
      <w:r>
        <w:rPr/>
        <w:t>Em todos os pacientes com suspeita da síndrome do desfiladeiro torácico, em qualquer uma de suas formas, deve-se sistematizar a anamnese e o exame físico. Identificar na anamnese a ocorrência de um fator desencadeante como trauma súbito no segmento cervical (do tipo chicote, fraturas da clavícula ou primeira costela), trauma contínuo (p. ex., atividade profissional e hábito, posturas repetidas de se elevar os braços acima da cabeça ou dormir</w:t>
      </w:r>
      <w:r>
        <w:rPr>
          <w:spacing w:val="-5"/>
        </w:rPr>
        <w:t> </w:t>
      </w:r>
      <w:r>
        <w:rPr/>
        <w:t>com</w:t>
      </w:r>
      <w:r>
        <w:rPr>
          <w:spacing w:val="-10"/>
        </w:rPr>
        <w:t> </w:t>
      </w:r>
      <w:r>
        <w:rPr/>
        <w:t>os</w:t>
      </w:r>
      <w:r>
        <w:rPr>
          <w:spacing w:val="-2"/>
        </w:rPr>
        <w:t> </w:t>
      </w:r>
      <w:r>
        <w:rPr/>
        <w:t>membros</w:t>
      </w:r>
      <w:r>
        <w:rPr>
          <w:spacing w:val="-2"/>
        </w:rPr>
        <w:t> </w:t>
      </w:r>
      <w:r>
        <w:rPr/>
        <w:t>acima</w:t>
      </w:r>
      <w:r>
        <w:rPr>
          <w:spacing w:val="-12"/>
        </w:rPr>
        <w:t> </w:t>
      </w:r>
      <w:r>
        <w:rPr/>
        <w:t>dos</w:t>
      </w:r>
      <w:r>
        <w:rPr>
          <w:spacing w:val="-2"/>
        </w:rPr>
        <w:t> </w:t>
      </w:r>
      <w:r>
        <w:rPr/>
        <w:t>ombros)</w:t>
      </w:r>
      <w:r>
        <w:rPr>
          <w:spacing w:val="-5"/>
        </w:rPr>
        <w:t> </w:t>
      </w:r>
      <w:r>
        <w:rPr/>
        <w:t>ou</w:t>
      </w:r>
      <w:r>
        <w:rPr>
          <w:spacing w:val="-10"/>
        </w:rPr>
        <w:t> </w:t>
      </w:r>
      <w:r>
        <w:rPr/>
        <w:t>trauma</w:t>
      </w:r>
      <w:r>
        <w:rPr>
          <w:spacing w:val="-12"/>
        </w:rPr>
        <w:t> </w:t>
      </w:r>
      <w:r>
        <w:rPr/>
        <w:t>emocional</w:t>
      </w:r>
      <w:r>
        <w:rPr>
          <w:spacing w:val="-8"/>
        </w:rPr>
        <w:t> </w:t>
      </w:r>
      <w:r>
        <w:rPr/>
        <w:t>(identificar</w:t>
      </w:r>
      <w:r>
        <w:rPr>
          <w:spacing w:val="-5"/>
        </w:rPr>
        <w:t> </w:t>
      </w:r>
      <w:r>
        <w:rPr/>
        <w:t>labilidade</w:t>
      </w:r>
      <w:r>
        <w:rPr>
          <w:spacing w:val="-12"/>
        </w:rPr>
        <w:t> </w:t>
      </w:r>
      <w:r>
        <w:rPr/>
        <w:t>emocional</w:t>
      </w:r>
      <w:r>
        <w:rPr>
          <w:spacing w:val="-8"/>
        </w:rPr>
        <w:t> </w:t>
      </w:r>
      <w:r>
        <w:rPr/>
        <w:t>nesses</w:t>
      </w:r>
      <w:r>
        <w:rPr>
          <w:spacing w:val="-2"/>
        </w:rPr>
        <w:t> </w:t>
      </w:r>
      <w:r>
        <w:rPr/>
        <w:t>pacientes é fundamental, pois a dor cervical e no braço, hoje, pode tornar-se dor no joelho amanhã). Algumas questões sociopsicológicas, como litígios trabalhistas, solicitação de indenizações, obrigatoriamente devem ser exploradas com</w:t>
      </w:r>
      <w:r>
        <w:rPr>
          <w:spacing w:val="-2"/>
        </w:rPr>
        <w:t> </w:t>
      </w:r>
      <w:r>
        <w:rPr/>
        <w:t>a</w:t>
      </w:r>
      <w:r>
        <w:rPr>
          <w:spacing w:val="-5"/>
        </w:rPr>
        <w:t> </w:t>
      </w:r>
      <w:r>
        <w:rPr/>
        <w:t>ajuda</w:t>
      </w:r>
      <w:r>
        <w:rPr>
          <w:spacing w:val="-5"/>
        </w:rPr>
        <w:t> </w:t>
      </w:r>
      <w:r>
        <w:rPr/>
        <w:t>de</w:t>
      </w:r>
      <w:r>
        <w:rPr>
          <w:spacing w:val="-5"/>
        </w:rPr>
        <w:t> </w:t>
      </w:r>
      <w:r>
        <w:rPr/>
        <w:t>psicólogos e</w:t>
      </w:r>
      <w:r>
        <w:rPr>
          <w:spacing w:val="-5"/>
        </w:rPr>
        <w:t> </w:t>
      </w:r>
      <w:r>
        <w:rPr/>
        <w:t>do</w:t>
      </w:r>
      <w:r>
        <w:rPr>
          <w:spacing w:val="-2"/>
        </w:rPr>
        <w:t> </w:t>
      </w:r>
      <w:r>
        <w:rPr/>
        <w:t>serviço</w:t>
      </w:r>
      <w:r>
        <w:rPr>
          <w:spacing w:val="-2"/>
        </w:rPr>
        <w:t> </w:t>
      </w:r>
      <w:r>
        <w:rPr/>
        <w:t>social. Posições e</w:t>
      </w:r>
      <w:r>
        <w:rPr>
          <w:spacing w:val="-5"/>
        </w:rPr>
        <w:t> </w:t>
      </w:r>
      <w:r>
        <w:rPr/>
        <w:t>condutas que</w:t>
      </w:r>
      <w:r>
        <w:rPr>
          <w:spacing w:val="-5"/>
        </w:rPr>
        <w:t> </w:t>
      </w:r>
      <w:r>
        <w:rPr/>
        <w:t>desencadeiam</w:t>
      </w:r>
      <w:r>
        <w:rPr>
          <w:spacing w:val="-2"/>
        </w:rPr>
        <w:t> </w:t>
      </w:r>
      <w:r>
        <w:rPr/>
        <w:t>os sintomas são</w:t>
      </w:r>
      <w:r>
        <w:rPr>
          <w:spacing w:val="-2"/>
        </w:rPr>
        <w:t> </w:t>
      </w:r>
      <w:r>
        <w:rPr/>
        <w:t>importantes. O</w:t>
      </w:r>
      <w:r>
        <w:rPr>
          <w:spacing w:val="-5"/>
        </w:rPr>
        <w:t> </w:t>
      </w:r>
      <w:r>
        <w:rPr/>
        <w:t>tempo</w:t>
      </w:r>
      <w:r>
        <w:rPr>
          <w:spacing w:val="-3"/>
        </w:rPr>
        <w:t> </w:t>
      </w:r>
      <w:r>
        <w:rPr/>
        <w:t>de</w:t>
      </w:r>
      <w:r>
        <w:rPr>
          <w:spacing w:val="-5"/>
        </w:rPr>
        <w:t> </w:t>
      </w:r>
      <w:r>
        <w:rPr/>
        <w:t>duração, frequência, tipo</w:t>
      </w:r>
      <w:r>
        <w:rPr>
          <w:spacing w:val="-3"/>
        </w:rPr>
        <w:t> </w:t>
      </w:r>
      <w:r>
        <w:rPr/>
        <w:t>(dor, parestesia, hipoestesia, claudicação, diminuição</w:t>
      </w:r>
      <w:r>
        <w:rPr>
          <w:spacing w:val="-3"/>
        </w:rPr>
        <w:t> </w:t>
      </w:r>
      <w:r>
        <w:rPr/>
        <w:t>da</w:t>
      </w:r>
      <w:r>
        <w:rPr>
          <w:spacing w:val="-5"/>
        </w:rPr>
        <w:t> </w:t>
      </w:r>
      <w:r>
        <w:rPr/>
        <w:t>temperatura, palidez e cianose) e localização dos sintomas (dor na região cefálica, cervical, no ombro, no peito, no dorso, nas faces interna e externa do braço e antebraço, mãos e dedos) também devem ser minuciosamente abordados. Defeitos e anomalias ósseas em outros territórios (siringomielia, malformação de pododáctilos, torcicolo congênito etc.) podem coexistir com anomalias no desfiladeiro torácico.</w:t>
      </w:r>
      <w:r>
        <w:rPr>
          <w:vertAlign w:val="superscript"/>
        </w:rPr>
        <w:t>5</w:t>
      </w:r>
    </w:p>
    <w:p>
      <w:pPr>
        <w:pStyle w:val="BodyText"/>
        <w:spacing w:line="276" w:lineRule="auto" w:before="48"/>
        <w:ind w:right="488"/>
      </w:pPr>
      <w:r>
        <w:rPr/>
        <w:t>Ao exame físico geral, grande atenção deve ser dispensada à região cervical, tórax e membros superiores. A melhor forma de exame é com o paciente sentado sobre a maca, com as pernas pendentes e mãos ao longo das coxas. À inspeção, analisa-se a postura em estado natural confortável (ombros caídos, escoliose, cifose cervicais), tamanho das mamas (desproporcional para a paciente), procuram-se assimetrias cervicais, atrofias de grupos musculares, circulação venosa superficial exuberante (colateral), palidez, cianose e lesões de extremidade. À palpação</w:t>
      </w:r>
      <w:r>
        <w:rPr>
          <w:spacing w:val="-7"/>
        </w:rPr>
        <w:t> </w:t>
      </w:r>
      <w:r>
        <w:rPr/>
        <w:t>cervical, busca-se</w:t>
      </w:r>
      <w:r>
        <w:rPr>
          <w:spacing w:val="-10"/>
        </w:rPr>
        <w:t> </w:t>
      </w:r>
      <w:r>
        <w:rPr/>
        <w:t>a</w:t>
      </w:r>
      <w:r>
        <w:rPr>
          <w:spacing w:val="-10"/>
        </w:rPr>
        <w:t> </w:t>
      </w:r>
      <w:r>
        <w:rPr/>
        <w:t>detecção</w:t>
      </w:r>
      <w:r>
        <w:rPr>
          <w:spacing w:val="-7"/>
        </w:rPr>
        <w:t> </w:t>
      </w:r>
      <w:r>
        <w:rPr/>
        <w:t>de</w:t>
      </w:r>
      <w:r>
        <w:rPr>
          <w:spacing w:val="-10"/>
        </w:rPr>
        <w:t> </w:t>
      </w:r>
      <w:r>
        <w:rPr/>
        <w:t>espasmos musculares, dor</w:t>
      </w:r>
      <w:r>
        <w:rPr>
          <w:spacing w:val="-2"/>
        </w:rPr>
        <w:t> </w:t>
      </w:r>
      <w:r>
        <w:rPr/>
        <w:t>à</w:t>
      </w:r>
      <w:r>
        <w:rPr>
          <w:spacing w:val="-10"/>
        </w:rPr>
        <w:t> </w:t>
      </w:r>
      <w:r>
        <w:rPr/>
        <w:t>palpação</w:t>
      </w:r>
      <w:r>
        <w:rPr>
          <w:spacing w:val="-7"/>
        </w:rPr>
        <w:t> </w:t>
      </w:r>
      <w:r>
        <w:rPr/>
        <w:t>e</w:t>
      </w:r>
      <w:r>
        <w:rPr>
          <w:spacing w:val="-10"/>
        </w:rPr>
        <w:t> </w:t>
      </w:r>
      <w:r>
        <w:rPr/>
        <w:t>percussão</w:t>
      </w:r>
      <w:r>
        <w:rPr>
          <w:spacing w:val="-7"/>
        </w:rPr>
        <w:t> </w:t>
      </w:r>
      <w:r>
        <w:rPr/>
        <w:t>da</w:t>
      </w:r>
      <w:r>
        <w:rPr>
          <w:spacing w:val="-10"/>
        </w:rPr>
        <w:t> </w:t>
      </w:r>
      <w:r>
        <w:rPr/>
        <w:t>fossa</w:t>
      </w:r>
      <w:r>
        <w:rPr>
          <w:spacing w:val="-10"/>
        </w:rPr>
        <w:t> </w:t>
      </w:r>
      <w:r>
        <w:rPr/>
        <w:t>supraclavicular (raízes</w:t>
      </w:r>
      <w:r>
        <w:rPr>
          <w:spacing w:val="16"/>
        </w:rPr>
        <w:t> </w:t>
      </w:r>
      <w:r>
        <w:rPr/>
        <w:t>inferiores</w:t>
      </w:r>
      <w:r>
        <w:rPr>
          <w:spacing w:val="16"/>
        </w:rPr>
        <w:t> </w:t>
      </w:r>
      <w:r>
        <w:rPr/>
        <w:t>do plexo,</w:t>
      </w:r>
      <w:r>
        <w:rPr>
          <w:spacing w:val="16"/>
        </w:rPr>
        <w:t> </w:t>
      </w:r>
      <w:r>
        <w:rPr/>
        <w:t>C</w:t>
      </w:r>
      <w:r>
        <w:rPr>
          <w:vertAlign w:val="subscript"/>
        </w:rPr>
        <w:t>8</w:t>
      </w:r>
      <w:r>
        <w:rPr>
          <w:spacing w:val="15"/>
          <w:vertAlign w:val="baseline"/>
        </w:rPr>
        <w:t> </w:t>
      </w:r>
      <w:r>
        <w:rPr>
          <w:vertAlign w:val="baseline"/>
        </w:rPr>
        <w:t>e T</w:t>
      </w:r>
      <w:r>
        <w:rPr>
          <w:vertAlign w:val="subscript"/>
        </w:rPr>
        <w:t>1</w:t>
      </w:r>
      <w:r>
        <w:rPr>
          <w:vertAlign w:val="baseline"/>
        </w:rPr>
        <w:t>)</w:t>
      </w:r>
      <w:r>
        <w:rPr>
          <w:spacing w:val="19"/>
          <w:vertAlign w:val="baseline"/>
        </w:rPr>
        <w:t> </w:t>
      </w:r>
      <w:r>
        <w:rPr>
          <w:vertAlign w:val="baseline"/>
        </w:rPr>
        <w:t>e da face lateral</w:t>
      </w:r>
      <w:r>
        <w:rPr>
          <w:spacing w:val="15"/>
          <w:vertAlign w:val="baseline"/>
        </w:rPr>
        <w:t> </w:t>
      </w:r>
      <w:r>
        <w:rPr>
          <w:vertAlign w:val="baseline"/>
        </w:rPr>
        <w:t>da coluna cervical</w:t>
      </w:r>
      <w:r>
        <w:rPr>
          <w:spacing w:val="15"/>
          <w:vertAlign w:val="baseline"/>
        </w:rPr>
        <w:t> </w:t>
      </w:r>
      <w:r>
        <w:rPr>
          <w:vertAlign w:val="baseline"/>
        </w:rPr>
        <w:t>(área das</w:t>
      </w:r>
      <w:r>
        <w:rPr>
          <w:spacing w:val="22"/>
          <w:vertAlign w:val="baseline"/>
        </w:rPr>
        <w:t> </w:t>
      </w:r>
      <w:r>
        <w:rPr>
          <w:vertAlign w:val="baseline"/>
        </w:rPr>
        <w:t>raízes</w:t>
      </w:r>
      <w:r>
        <w:rPr>
          <w:spacing w:val="22"/>
          <w:vertAlign w:val="baseline"/>
        </w:rPr>
        <w:t> </w:t>
      </w:r>
      <w:r>
        <w:rPr>
          <w:vertAlign w:val="baseline"/>
        </w:rPr>
        <w:t>superiores,</w:t>
      </w:r>
      <w:r>
        <w:rPr>
          <w:spacing w:val="22"/>
          <w:vertAlign w:val="baseline"/>
        </w:rPr>
        <w:t> </w:t>
      </w:r>
      <w:r>
        <w:rPr>
          <w:vertAlign w:val="baseline"/>
        </w:rPr>
        <w:t>C</w:t>
      </w:r>
      <w:r>
        <w:rPr>
          <w:vertAlign w:val="subscript"/>
        </w:rPr>
        <w:t>5</w:t>
      </w:r>
      <w:r>
        <w:rPr>
          <w:vertAlign w:val="baseline"/>
        </w:rPr>
        <w:t>, C</w:t>
      </w:r>
      <w:r>
        <w:rPr>
          <w:vertAlign w:val="subscript"/>
        </w:rPr>
        <w:t>6</w:t>
      </w:r>
      <w:r>
        <w:rPr>
          <w:vertAlign w:val="baseline"/>
        </w:rPr>
        <w:t>,</w:t>
      </w:r>
      <w:r>
        <w:rPr>
          <w:spacing w:val="24"/>
          <w:vertAlign w:val="baseline"/>
        </w:rPr>
        <w:t> </w:t>
      </w:r>
      <w:r>
        <w:rPr>
          <w:vertAlign w:val="baseline"/>
        </w:rPr>
        <w:t>e</w:t>
      </w:r>
      <w:r>
        <w:rPr>
          <w:spacing w:val="12"/>
          <w:vertAlign w:val="baseline"/>
        </w:rPr>
        <w:t> </w:t>
      </w:r>
      <w:r>
        <w:rPr>
          <w:vertAlign w:val="baseline"/>
        </w:rPr>
        <w:t>C</w:t>
      </w:r>
      <w:r>
        <w:rPr>
          <w:vertAlign w:val="subscript"/>
        </w:rPr>
        <w:t>7</w:t>
      </w:r>
      <w:r>
        <w:rPr>
          <w:vertAlign w:val="baseline"/>
        </w:rPr>
        <w:t>).</w:t>
      </w:r>
    </w:p>
    <w:p>
      <w:pPr>
        <w:pStyle w:val="BodyText"/>
        <w:spacing w:after="0" w:line="276" w:lineRule="auto"/>
        <w:sectPr>
          <w:pgSz w:w="11900" w:h="16840"/>
          <w:pgMar w:top="140" w:bottom="280" w:left="566" w:right="141"/>
        </w:sectPr>
      </w:pPr>
    </w:p>
    <w:p>
      <w:pPr>
        <w:pStyle w:val="BodyText"/>
        <w:spacing w:line="280" w:lineRule="auto" w:before="80"/>
        <w:ind w:right="497" w:firstLine="0"/>
      </w:pPr>
      <w:r>
        <w:rPr/>
        <w:t>Palpam-se os trajetos vasculares à procura dos pulsos e/ou frêmitos nas regiões supra e infraclaviculares, axilar, braquial, radial e ulnar. As manobras de rotação cervical, elevação dos membros e abaixamento dos ombros, provocando diminuição ou ausência dos pulsos e/ou frêmitos-sopros, no passado foram consideradas patognomônicas da síndrome do desfiladeiro torácico.</w:t>
      </w:r>
      <w:r>
        <w:rPr>
          <w:vertAlign w:val="superscript"/>
        </w:rPr>
        <w:t>4,5</w:t>
      </w:r>
      <w:r>
        <w:rPr>
          <w:vertAlign w:val="baseline"/>
        </w:rPr>
        <w:t> Posteriormente notou-se que esse era um achado comum em pessoas sem essas queixas</w:t>
      </w:r>
      <w:r>
        <w:rPr>
          <w:vertAlign w:val="superscript"/>
        </w:rPr>
        <w:t>7</w:t>
      </w:r>
      <w:r>
        <w:rPr>
          <w:vertAlign w:val="baseline"/>
        </w:rPr>
        <w:t> e os testes dinâmicos só são valorizados, hoje em dia, se desencadearem ou não sintomas de</w:t>
      </w:r>
      <w:r>
        <w:rPr>
          <w:spacing w:val="-3"/>
          <w:vertAlign w:val="baseline"/>
        </w:rPr>
        <w:t> </w:t>
      </w:r>
      <w:r>
        <w:rPr>
          <w:vertAlign w:val="baseline"/>
        </w:rPr>
        <w:t>compressão</w:t>
      </w:r>
      <w:r>
        <w:rPr>
          <w:spacing w:val="-1"/>
          <w:vertAlign w:val="baseline"/>
        </w:rPr>
        <w:t> </w:t>
      </w:r>
      <w:r>
        <w:rPr>
          <w:vertAlign w:val="baseline"/>
        </w:rPr>
        <w:t>neurológica.</w:t>
      </w:r>
      <w:r>
        <w:rPr>
          <w:vertAlign w:val="superscript"/>
        </w:rPr>
        <w:t>10,11</w:t>
      </w:r>
      <w:r>
        <w:rPr>
          <w:vertAlign w:val="baseline"/>
        </w:rPr>
        <w:t> Entre</w:t>
      </w:r>
      <w:r>
        <w:rPr>
          <w:spacing w:val="-2"/>
          <w:vertAlign w:val="baseline"/>
        </w:rPr>
        <w:t> </w:t>
      </w:r>
      <w:r>
        <w:rPr>
          <w:vertAlign w:val="baseline"/>
        </w:rPr>
        <w:t>essas manobras, as mais tradicionais são a</w:t>
      </w:r>
      <w:r>
        <w:rPr>
          <w:spacing w:val="-2"/>
          <w:vertAlign w:val="baseline"/>
        </w:rPr>
        <w:t> </w:t>
      </w:r>
      <w:r>
        <w:rPr>
          <w:vertAlign w:val="baseline"/>
        </w:rPr>
        <w:t>manobra</w:t>
      </w:r>
      <w:r>
        <w:rPr>
          <w:spacing w:val="-2"/>
          <w:vertAlign w:val="baseline"/>
        </w:rPr>
        <w:t> </w:t>
      </w:r>
      <w:r>
        <w:rPr>
          <w:vertAlign w:val="baseline"/>
        </w:rPr>
        <w:t>de</w:t>
      </w:r>
      <w:r>
        <w:rPr>
          <w:spacing w:val="-2"/>
          <w:vertAlign w:val="baseline"/>
        </w:rPr>
        <w:t> </w:t>
      </w:r>
      <w:r>
        <w:rPr>
          <w:vertAlign w:val="baseline"/>
        </w:rPr>
        <w:t>Adson</w:t>
      </w:r>
      <w:r>
        <w:rPr>
          <w:vertAlign w:val="superscript"/>
        </w:rPr>
        <w:t>5</w:t>
      </w:r>
      <w:r>
        <w:rPr>
          <w:vertAlign w:val="baseline"/>
        </w:rPr>
        <w:t> que consiste</w:t>
      </w:r>
      <w:r>
        <w:rPr>
          <w:spacing w:val="-13"/>
          <w:vertAlign w:val="baseline"/>
        </w:rPr>
        <w:t> </w:t>
      </w:r>
      <w:r>
        <w:rPr>
          <w:vertAlign w:val="baseline"/>
        </w:rPr>
        <w:t>no</w:t>
      </w:r>
      <w:r>
        <w:rPr>
          <w:spacing w:val="-10"/>
          <w:vertAlign w:val="baseline"/>
        </w:rPr>
        <w:t> </w:t>
      </w:r>
      <w:r>
        <w:rPr>
          <w:vertAlign w:val="baseline"/>
        </w:rPr>
        <w:t>desaparecimento</w:t>
      </w:r>
      <w:r>
        <w:rPr>
          <w:spacing w:val="-10"/>
          <w:vertAlign w:val="baseline"/>
        </w:rPr>
        <w:t> </w:t>
      </w:r>
      <w:r>
        <w:rPr>
          <w:vertAlign w:val="baseline"/>
        </w:rPr>
        <w:t>do</w:t>
      </w:r>
      <w:r>
        <w:rPr>
          <w:spacing w:val="-10"/>
          <w:vertAlign w:val="baseline"/>
        </w:rPr>
        <w:t> </w:t>
      </w:r>
      <w:r>
        <w:rPr>
          <w:vertAlign w:val="baseline"/>
        </w:rPr>
        <w:t>pulso</w:t>
      </w:r>
      <w:r>
        <w:rPr>
          <w:spacing w:val="-10"/>
          <w:vertAlign w:val="baseline"/>
        </w:rPr>
        <w:t> </w:t>
      </w:r>
      <w:r>
        <w:rPr>
          <w:vertAlign w:val="baseline"/>
        </w:rPr>
        <w:t>radial</w:t>
      </w:r>
      <w:r>
        <w:rPr>
          <w:spacing w:val="-8"/>
          <w:vertAlign w:val="baseline"/>
        </w:rPr>
        <w:t> </w:t>
      </w:r>
      <w:r>
        <w:rPr>
          <w:vertAlign w:val="baseline"/>
        </w:rPr>
        <w:t>(ou</w:t>
      </w:r>
      <w:r>
        <w:rPr>
          <w:spacing w:val="-10"/>
          <w:vertAlign w:val="baseline"/>
        </w:rPr>
        <w:t> </w:t>
      </w:r>
      <w:r>
        <w:rPr>
          <w:vertAlign w:val="baseline"/>
        </w:rPr>
        <w:t>diminuição</w:t>
      </w:r>
      <w:r>
        <w:rPr>
          <w:spacing w:val="-10"/>
          <w:vertAlign w:val="baseline"/>
        </w:rPr>
        <w:t> </w:t>
      </w:r>
      <w:r>
        <w:rPr>
          <w:vertAlign w:val="baseline"/>
        </w:rPr>
        <w:t>acentuada),</w:t>
      </w:r>
      <w:r>
        <w:rPr>
          <w:spacing w:val="-3"/>
          <w:vertAlign w:val="baseline"/>
        </w:rPr>
        <w:t> </w:t>
      </w:r>
      <w:r>
        <w:rPr>
          <w:vertAlign w:val="baseline"/>
        </w:rPr>
        <w:t>quando</w:t>
      </w:r>
      <w:r>
        <w:rPr>
          <w:spacing w:val="-10"/>
          <w:vertAlign w:val="baseline"/>
        </w:rPr>
        <w:t> </w:t>
      </w:r>
      <w:r>
        <w:rPr>
          <w:vertAlign w:val="baseline"/>
        </w:rPr>
        <w:t>o</w:t>
      </w:r>
      <w:r>
        <w:rPr>
          <w:spacing w:val="-10"/>
          <w:vertAlign w:val="baseline"/>
        </w:rPr>
        <w:t> </w:t>
      </w:r>
      <w:r>
        <w:rPr>
          <w:vertAlign w:val="baseline"/>
        </w:rPr>
        <w:t>indivíduo,</w:t>
      </w:r>
      <w:r>
        <w:rPr>
          <w:spacing w:val="-3"/>
          <w:vertAlign w:val="baseline"/>
        </w:rPr>
        <w:t> </w:t>
      </w:r>
      <w:r>
        <w:rPr>
          <w:vertAlign w:val="baseline"/>
        </w:rPr>
        <w:t>sentado,</w:t>
      </w:r>
      <w:r>
        <w:rPr>
          <w:spacing w:val="-3"/>
          <w:vertAlign w:val="baseline"/>
        </w:rPr>
        <w:t> </w:t>
      </w:r>
      <w:r>
        <w:rPr>
          <w:vertAlign w:val="baseline"/>
        </w:rPr>
        <w:t>estende</w:t>
      </w:r>
      <w:r>
        <w:rPr>
          <w:spacing w:val="-13"/>
          <w:vertAlign w:val="baseline"/>
        </w:rPr>
        <w:t> </w:t>
      </w:r>
      <w:r>
        <w:rPr>
          <w:vertAlign w:val="baseline"/>
        </w:rPr>
        <w:t>e</w:t>
      </w:r>
      <w:r>
        <w:rPr>
          <w:spacing w:val="-13"/>
          <w:vertAlign w:val="baseline"/>
        </w:rPr>
        <w:t> </w:t>
      </w:r>
      <w:r>
        <w:rPr>
          <w:vertAlign w:val="baseline"/>
        </w:rPr>
        <w:t>roda a</w:t>
      </w:r>
      <w:r>
        <w:rPr>
          <w:spacing w:val="-11"/>
          <w:vertAlign w:val="baseline"/>
        </w:rPr>
        <w:t> </w:t>
      </w:r>
      <w:r>
        <w:rPr>
          <w:vertAlign w:val="baseline"/>
        </w:rPr>
        <w:t>cabeça</w:t>
      </w:r>
      <w:r>
        <w:rPr>
          <w:spacing w:val="-11"/>
          <w:vertAlign w:val="baseline"/>
        </w:rPr>
        <w:t> </w:t>
      </w:r>
      <w:r>
        <w:rPr>
          <w:vertAlign w:val="baseline"/>
        </w:rPr>
        <w:t>para</w:t>
      </w:r>
      <w:r>
        <w:rPr>
          <w:spacing w:val="-11"/>
          <w:vertAlign w:val="baseline"/>
        </w:rPr>
        <w:t> </w:t>
      </w:r>
      <w:r>
        <w:rPr>
          <w:vertAlign w:val="baseline"/>
        </w:rPr>
        <w:t>o</w:t>
      </w:r>
      <w:r>
        <w:rPr>
          <w:spacing w:val="-9"/>
          <w:vertAlign w:val="baseline"/>
        </w:rPr>
        <w:t> </w:t>
      </w:r>
      <w:r>
        <w:rPr>
          <w:vertAlign w:val="baseline"/>
        </w:rPr>
        <w:t>lado</w:t>
      </w:r>
      <w:r>
        <w:rPr>
          <w:spacing w:val="-9"/>
          <w:vertAlign w:val="baseline"/>
        </w:rPr>
        <w:t> </w:t>
      </w:r>
      <w:r>
        <w:rPr>
          <w:vertAlign w:val="baseline"/>
        </w:rPr>
        <w:t>examinado,</w:t>
      </w:r>
      <w:r>
        <w:rPr>
          <w:spacing w:val="-1"/>
          <w:vertAlign w:val="baseline"/>
        </w:rPr>
        <w:t> </w:t>
      </w:r>
      <w:r>
        <w:rPr>
          <w:vertAlign w:val="baseline"/>
        </w:rPr>
        <w:t>realizando</w:t>
      </w:r>
      <w:r>
        <w:rPr>
          <w:spacing w:val="-9"/>
          <w:vertAlign w:val="baseline"/>
        </w:rPr>
        <w:t> </w:t>
      </w:r>
      <w:r>
        <w:rPr>
          <w:vertAlign w:val="baseline"/>
        </w:rPr>
        <w:t>uma</w:t>
      </w:r>
      <w:r>
        <w:rPr>
          <w:spacing w:val="-11"/>
          <w:vertAlign w:val="baseline"/>
        </w:rPr>
        <w:t> </w:t>
      </w:r>
      <w:r>
        <w:rPr>
          <w:vertAlign w:val="baseline"/>
        </w:rPr>
        <w:t>inspiração</w:t>
      </w:r>
      <w:r>
        <w:rPr>
          <w:spacing w:val="-9"/>
          <w:vertAlign w:val="baseline"/>
        </w:rPr>
        <w:t> </w:t>
      </w:r>
      <w:r>
        <w:rPr>
          <w:vertAlign w:val="baseline"/>
        </w:rPr>
        <w:t>profunda.</w:t>
      </w:r>
      <w:r>
        <w:rPr>
          <w:spacing w:val="-1"/>
          <w:vertAlign w:val="baseline"/>
        </w:rPr>
        <w:t> </w:t>
      </w:r>
      <w:r>
        <w:rPr>
          <w:vertAlign w:val="baseline"/>
        </w:rPr>
        <w:t>Essa</w:t>
      </w:r>
      <w:r>
        <w:rPr>
          <w:spacing w:val="-11"/>
          <w:vertAlign w:val="baseline"/>
        </w:rPr>
        <w:t> </w:t>
      </w:r>
      <w:r>
        <w:rPr>
          <w:vertAlign w:val="baseline"/>
        </w:rPr>
        <w:t>manobra</w:t>
      </w:r>
      <w:r>
        <w:rPr>
          <w:spacing w:val="-11"/>
          <w:vertAlign w:val="baseline"/>
        </w:rPr>
        <w:t> </w:t>
      </w:r>
      <w:r>
        <w:rPr>
          <w:vertAlign w:val="baseline"/>
        </w:rPr>
        <w:t>tensiona</w:t>
      </w:r>
      <w:r>
        <w:rPr>
          <w:spacing w:val="-11"/>
          <w:vertAlign w:val="baseline"/>
        </w:rPr>
        <w:t> </w:t>
      </w:r>
      <w:r>
        <w:rPr>
          <w:vertAlign w:val="baseline"/>
        </w:rPr>
        <w:t>os</w:t>
      </w:r>
      <w:r>
        <w:rPr>
          <w:spacing w:val="-1"/>
          <w:vertAlign w:val="baseline"/>
        </w:rPr>
        <w:t> </w:t>
      </w:r>
      <w:r>
        <w:rPr>
          <w:vertAlign w:val="baseline"/>
        </w:rPr>
        <w:t>músculos</w:t>
      </w:r>
      <w:r>
        <w:rPr>
          <w:spacing w:val="-1"/>
          <w:vertAlign w:val="baseline"/>
        </w:rPr>
        <w:t> </w:t>
      </w:r>
      <w:r>
        <w:rPr>
          <w:vertAlign w:val="baseline"/>
        </w:rPr>
        <w:t>escalenos e</w:t>
      </w:r>
      <w:r>
        <w:rPr>
          <w:spacing w:val="-12"/>
          <w:vertAlign w:val="baseline"/>
        </w:rPr>
        <w:t> </w:t>
      </w:r>
      <w:r>
        <w:rPr>
          <w:vertAlign w:val="baseline"/>
        </w:rPr>
        <w:t>diminui</w:t>
      </w:r>
      <w:r>
        <w:rPr>
          <w:spacing w:val="-7"/>
          <w:vertAlign w:val="baseline"/>
        </w:rPr>
        <w:t> </w:t>
      </w:r>
      <w:r>
        <w:rPr>
          <w:vertAlign w:val="baseline"/>
        </w:rPr>
        <w:t>o</w:t>
      </w:r>
      <w:r>
        <w:rPr>
          <w:spacing w:val="-9"/>
          <w:vertAlign w:val="baseline"/>
        </w:rPr>
        <w:t> </w:t>
      </w:r>
      <w:r>
        <w:rPr>
          <w:vertAlign w:val="baseline"/>
        </w:rPr>
        <w:t>triângulo</w:t>
      </w:r>
      <w:r>
        <w:rPr>
          <w:spacing w:val="-9"/>
          <w:vertAlign w:val="baseline"/>
        </w:rPr>
        <w:t> </w:t>
      </w:r>
      <w:r>
        <w:rPr>
          <w:vertAlign w:val="baseline"/>
        </w:rPr>
        <w:t>interescalênico.</w:t>
      </w:r>
      <w:r>
        <w:rPr>
          <w:spacing w:val="-2"/>
          <w:vertAlign w:val="baseline"/>
        </w:rPr>
        <w:t> </w:t>
      </w:r>
      <w:r>
        <w:rPr>
          <w:vertAlign w:val="baseline"/>
        </w:rPr>
        <w:t>A</w:t>
      </w:r>
      <w:r>
        <w:rPr>
          <w:spacing w:val="-12"/>
          <w:vertAlign w:val="baseline"/>
        </w:rPr>
        <w:t> </w:t>
      </w:r>
      <w:r>
        <w:rPr>
          <w:vertAlign w:val="baseline"/>
        </w:rPr>
        <w:t>manobra</w:t>
      </w:r>
      <w:r>
        <w:rPr>
          <w:spacing w:val="-12"/>
          <w:vertAlign w:val="baseline"/>
        </w:rPr>
        <w:t> </w:t>
      </w:r>
      <w:r>
        <w:rPr>
          <w:vertAlign w:val="baseline"/>
        </w:rPr>
        <w:t>da</w:t>
      </w:r>
      <w:r>
        <w:rPr>
          <w:spacing w:val="-12"/>
          <w:vertAlign w:val="baseline"/>
        </w:rPr>
        <w:t> </w:t>
      </w:r>
      <w:r>
        <w:rPr>
          <w:vertAlign w:val="baseline"/>
        </w:rPr>
        <w:t>hiperabdução</w:t>
      </w:r>
      <w:r>
        <w:rPr>
          <w:spacing w:val="-9"/>
          <w:vertAlign w:val="baseline"/>
        </w:rPr>
        <w:t> </w:t>
      </w:r>
      <w:r>
        <w:rPr>
          <w:vertAlign w:val="baseline"/>
        </w:rPr>
        <w:t>do</w:t>
      </w:r>
      <w:r>
        <w:rPr>
          <w:spacing w:val="-9"/>
          <w:vertAlign w:val="baseline"/>
        </w:rPr>
        <w:t> </w:t>
      </w:r>
      <w:r>
        <w:rPr>
          <w:vertAlign w:val="baseline"/>
        </w:rPr>
        <w:t>membro</w:t>
      </w:r>
      <w:r>
        <w:rPr>
          <w:spacing w:val="-9"/>
          <w:vertAlign w:val="baseline"/>
        </w:rPr>
        <w:t> </w:t>
      </w:r>
      <w:r>
        <w:rPr>
          <w:vertAlign w:val="baseline"/>
        </w:rPr>
        <w:t>superior</w:t>
      </w:r>
      <w:r>
        <w:rPr>
          <w:vertAlign w:val="superscript"/>
        </w:rPr>
        <w:t>7</w:t>
      </w:r>
      <w:r>
        <w:rPr>
          <w:spacing w:val="-3"/>
          <w:vertAlign w:val="baseline"/>
        </w:rPr>
        <w:t> </w:t>
      </w:r>
      <w:r>
        <w:rPr>
          <w:vertAlign w:val="baseline"/>
        </w:rPr>
        <w:t>tem</w:t>
      </w:r>
      <w:r>
        <w:rPr>
          <w:spacing w:val="-9"/>
          <w:vertAlign w:val="baseline"/>
        </w:rPr>
        <w:t> </w:t>
      </w:r>
      <w:r>
        <w:rPr>
          <w:vertAlign w:val="baseline"/>
        </w:rPr>
        <w:t>como</w:t>
      </w:r>
      <w:r>
        <w:rPr>
          <w:spacing w:val="-9"/>
          <w:vertAlign w:val="baseline"/>
        </w:rPr>
        <w:t> </w:t>
      </w:r>
      <w:r>
        <w:rPr>
          <w:vertAlign w:val="baseline"/>
        </w:rPr>
        <w:t>objetivo</w:t>
      </w:r>
      <w:r>
        <w:rPr>
          <w:spacing w:val="-9"/>
          <w:vertAlign w:val="baseline"/>
        </w:rPr>
        <w:t> </w:t>
      </w:r>
      <w:r>
        <w:rPr>
          <w:vertAlign w:val="baseline"/>
        </w:rPr>
        <w:t>diminuir o</w:t>
      </w:r>
      <w:r>
        <w:rPr>
          <w:spacing w:val="-2"/>
          <w:vertAlign w:val="baseline"/>
        </w:rPr>
        <w:t> </w:t>
      </w:r>
      <w:r>
        <w:rPr>
          <w:vertAlign w:val="baseline"/>
        </w:rPr>
        <w:t>espaço</w:t>
      </w:r>
      <w:r>
        <w:rPr>
          <w:spacing w:val="-2"/>
          <w:vertAlign w:val="baseline"/>
        </w:rPr>
        <w:t> </w:t>
      </w:r>
      <w:r>
        <w:rPr>
          <w:vertAlign w:val="baseline"/>
        </w:rPr>
        <w:t>entre</w:t>
      </w:r>
      <w:r>
        <w:rPr>
          <w:spacing w:val="-5"/>
          <w:vertAlign w:val="baseline"/>
        </w:rPr>
        <w:t> </w:t>
      </w:r>
      <w:r>
        <w:rPr>
          <w:vertAlign w:val="baseline"/>
        </w:rPr>
        <w:t>a</w:t>
      </w:r>
      <w:r>
        <w:rPr>
          <w:spacing w:val="-5"/>
          <w:vertAlign w:val="baseline"/>
        </w:rPr>
        <w:t> </w:t>
      </w:r>
      <w:r>
        <w:rPr>
          <w:vertAlign w:val="baseline"/>
        </w:rPr>
        <w:t>clavícula</w:t>
      </w:r>
      <w:r>
        <w:rPr>
          <w:spacing w:val="-5"/>
          <w:vertAlign w:val="baseline"/>
        </w:rPr>
        <w:t> </w:t>
      </w:r>
      <w:r>
        <w:rPr>
          <w:vertAlign w:val="baseline"/>
        </w:rPr>
        <w:t>e</w:t>
      </w:r>
      <w:r>
        <w:rPr>
          <w:spacing w:val="-5"/>
          <w:vertAlign w:val="baseline"/>
        </w:rPr>
        <w:t> </w:t>
      </w:r>
      <w:r>
        <w:rPr>
          <w:vertAlign w:val="baseline"/>
        </w:rPr>
        <w:t>a</w:t>
      </w:r>
      <w:r>
        <w:rPr>
          <w:spacing w:val="-5"/>
          <w:vertAlign w:val="baseline"/>
        </w:rPr>
        <w:t> </w:t>
      </w:r>
      <w:r>
        <w:rPr>
          <w:vertAlign w:val="baseline"/>
        </w:rPr>
        <w:t>primeira</w:t>
      </w:r>
      <w:r>
        <w:rPr>
          <w:spacing w:val="-5"/>
          <w:vertAlign w:val="baseline"/>
        </w:rPr>
        <w:t> </w:t>
      </w:r>
      <w:r>
        <w:rPr>
          <w:vertAlign w:val="baseline"/>
        </w:rPr>
        <w:t>costela</w:t>
      </w:r>
      <w:r>
        <w:rPr>
          <w:spacing w:val="-5"/>
          <w:vertAlign w:val="baseline"/>
        </w:rPr>
        <w:t> </w:t>
      </w:r>
      <w:r>
        <w:rPr>
          <w:vertAlign w:val="baseline"/>
        </w:rPr>
        <w:t>e</w:t>
      </w:r>
      <w:r>
        <w:rPr>
          <w:spacing w:val="-5"/>
          <w:vertAlign w:val="baseline"/>
        </w:rPr>
        <w:t> </w:t>
      </w:r>
      <w:r>
        <w:rPr>
          <w:vertAlign w:val="baseline"/>
        </w:rPr>
        <w:t>também</w:t>
      </w:r>
      <w:r>
        <w:rPr>
          <w:spacing w:val="-2"/>
          <w:vertAlign w:val="baseline"/>
        </w:rPr>
        <w:t> </w:t>
      </w:r>
      <w:r>
        <w:rPr>
          <w:vertAlign w:val="baseline"/>
        </w:rPr>
        <w:t>comprimir os vasos axilares e</w:t>
      </w:r>
      <w:r>
        <w:rPr>
          <w:spacing w:val="-5"/>
          <w:vertAlign w:val="baseline"/>
        </w:rPr>
        <w:t> </w:t>
      </w:r>
      <w:r>
        <w:rPr>
          <w:vertAlign w:val="baseline"/>
        </w:rPr>
        <w:t>fascículos do</w:t>
      </w:r>
      <w:r>
        <w:rPr>
          <w:spacing w:val="-2"/>
          <w:vertAlign w:val="baseline"/>
        </w:rPr>
        <w:t> </w:t>
      </w:r>
      <w:r>
        <w:rPr>
          <w:vertAlign w:val="baseline"/>
        </w:rPr>
        <w:t>plexo</w:t>
      </w:r>
      <w:r>
        <w:rPr>
          <w:spacing w:val="-2"/>
          <w:vertAlign w:val="baseline"/>
        </w:rPr>
        <w:t> </w:t>
      </w:r>
      <w:r>
        <w:rPr>
          <w:vertAlign w:val="baseline"/>
        </w:rPr>
        <w:t>braquial entre o tendão do músculo peitoral menor e o processo coracoide. É realizada com o paciente sentado, pescoço na posição neutra e reta, abduzindo o membro superior. A manobra costoclavicular é realizada com o paciente ereto, tórax anteriorizado e ombros para trás. Solicita-se ao paciente nesse momento que abaixe os ombros, reduzindo o espaço</w:t>
      </w:r>
      <w:r>
        <w:rPr>
          <w:spacing w:val="-9"/>
          <w:vertAlign w:val="baseline"/>
        </w:rPr>
        <w:t> </w:t>
      </w:r>
      <w:r>
        <w:rPr>
          <w:vertAlign w:val="baseline"/>
        </w:rPr>
        <w:t>costoclavicular.</w:t>
      </w:r>
      <w:r>
        <w:rPr>
          <w:spacing w:val="-1"/>
          <w:vertAlign w:val="baseline"/>
        </w:rPr>
        <w:t> </w:t>
      </w:r>
      <w:r>
        <w:rPr>
          <w:vertAlign w:val="baseline"/>
        </w:rPr>
        <w:t>Roos</w:t>
      </w:r>
      <w:r>
        <w:rPr>
          <w:spacing w:val="-1"/>
          <w:vertAlign w:val="baseline"/>
        </w:rPr>
        <w:t> </w:t>
      </w:r>
      <w:r>
        <w:rPr>
          <w:vertAlign w:val="baseline"/>
        </w:rPr>
        <w:t>propôs</w:t>
      </w:r>
      <w:r>
        <w:rPr>
          <w:spacing w:val="-1"/>
          <w:vertAlign w:val="baseline"/>
        </w:rPr>
        <w:t> </w:t>
      </w:r>
      <w:r>
        <w:rPr>
          <w:vertAlign w:val="baseline"/>
        </w:rPr>
        <w:t>uma</w:t>
      </w:r>
      <w:r>
        <w:rPr>
          <w:spacing w:val="-11"/>
          <w:vertAlign w:val="baseline"/>
        </w:rPr>
        <w:t> </w:t>
      </w:r>
      <w:r>
        <w:rPr>
          <w:vertAlign w:val="baseline"/>
        </w:rPr>
        <w:t>manobra</w:t>
      </w:r>
      <w:r>
        <w:rPr>
          <w:spacing w:val="-11"/>
          <w:vertAlign w:val="baseline"/>
        </w:rPr>
        <w:t> </w:t>
      </w:r>
      <w:r>
        <w:rPr>
          <w:vertAlign w:val="baseline"/>
        </w:rPr>
        <w:t>conhecida</w:t>
      </w:r>
      <w:r>
        <w:rPr>
          <w:spacing w:val="-11"/>
          <w:vertAlign w:val="baseline"/>
        </w:rPr>
        <w:t> </w:t>
      </w:r>
      <w:r>
        <w:rPr>
          <w:vertAlign w:val="baseline"/>
        </w:rPr>
        <w:t>como</w:t>
      </w:r>
      <w:r>
        <w:rPr>
          <w:spacing w:val="-9"/>
          <w:vertAlign w:val="baseline"/>
        </w:rPr>
        <w:t> </w:t>
      </w:r>
      <w:r>
        <w:rPr>
          <w:vertAlign w:val="baseline"/>
        </w:rPr>
        <w:t>AER,</w:t>
      </w:r>
      <w:r>
        <w:rPr>
          <w:spacing w:val="-1"/>
          <w:vertAlign w:val="baseline"/>
        </w:rPr>
        <w:t> </w:t>
      </w:r>
      <w:r>
        <w:rPr>
          <w:vertAlign w:val="baseline"/>
        </w:rPr>
        <w:t>abdução-rotação</w:t>
      </w:r>
      <w:r>
        <w:rPr>
          <w:spacing w:val="-9"/>
          <w:vertAlign w:val="baseline"/>
        </w:rPr>
        <w:t> </w:t>
      </w:r>
      <w:r>
        <w:rPr>
          <w:vertAlign w:val="baseline"/>
        </w:rPr>
        <w:t>externa.</w:t>
      </w:r>
      <w:r>
        <w:rPr>
          <w:vertAlign w:val="superscript"/>
        </w:rPr>
        <w:t>10</w:t>
      </w:r>
      <w:r>
        <w:rPr>
          <w:spacing w:val="-1"/>
          <w:vertAlign w:val="baseline"/>
        </w:rPr>
        <w:t> </w:t>
      </w:r>
      <w:r>
        <w:rPr>
          <w:vertAlign w:val="baseline"/>
        </w:rPr>
        <w:t>Os braços são abduzidos e alinhados com os ombros, os antebraços são flexionados em 90</w:t>
      </w:r>
      <w:r>
        <w:rPr>
          <w:u w:val="single"/>
          <w:vertAlign w:val="superscript"/>
        </w:rPr>
        <w:t>o</w:t>
      </w:r>
      <w:r>
        <w:rPr>
          <w:vertAlign w:val="baseline"/>
        </w:rPr>
        <w:t> e as mãos rodadas externamente. O paciente se mantém nessa posição por 3 min (bilateralmente) e se ocorrer desencadeamento dos sintomas, a manobra é considerada positiva. Em todos os trabalhos do autor, foi o teste que mostrou maior relação entre a positividade e melhora do sintomas com o tratamento cirúrgico.</w:t>
      </w:r>
      <w:r>
        <w:rPr>
          <w:vertAlign w:val="superscript"/>
        </w:rPr>
        <w:t>10,11</w:t>
      </w:r>
      <w:r>
        <w:rPr>
          <w:vertAlign w:val="baseline"/>
        </w:rPr>
        <w:t> Sanders </w:t>
      </w:r>
      <w:r>
        <w:rPr>
          <w:i/>
          <w:vertAlign w:val="baseline"/>
        </w:rPr>
        <w:t>et al. </w:t>
      </w:r>
      <w:r>
        <w:rPr>
          <w:vertAlign w:val="baseline"/>
        </w:rPr>
        <w:t>reproduziam os sintomas neurológicos nos pacientes por meio de uma variação do teste de Roos.</w:t>
      </w:r>
      <w:r>
        <w:rPr>
          <w:vertAlign w:val="superscript"/>
        </w:rPr>
        <w:t>12</w:t>
      </w:r>
      <w:r>
        <w:rPr>
          <w:vertAlign w:val="baseline"/>
        </w:rPr>
        <w:t> Somente um braço era abduzido, o antebraço flexionado, a mão rodada externamente e o pescoço virado e estendido para o lado oposto (segundo os autores a manobra era positiva, isto é, desencadeava os sintomas, em mais de 90% dos indivíduos).</w:t>
      </w:r>
    </w:p>
    <w:p>
      <w:pPr>
        <w:pStyle w:val="BodyText"/>
        <w:spacing w:line="276" w:lineRule="auto" w:before="84"/>
        <w:ind w:right="491"/>
      </w:pPr>
      <w:r>
        <w:rPr/>
        <w:t>Na forma arterial, os pacientes podem apresentar-se nos extremos da afecção, ou seja, assintomáticos ou com necrose e isquemia grave da extremidade, dependendo da fase da lesão na parede da artéria. Compressões graves, por exemplo, uma costela cervical completa (tem origem na sétima vértebra cervical e articula-se com a primeira costela torácica), podem levar à compressão da artéria subclávia. Embora 90% dessas costelas não provoquem sintomas, em alguns pacientes podem ocorrer lesão arterial, estenose e formação de aneurisma pós-estenótico (</w:t>
      </w:r>
      <w:r>
        <w:rPr>
          <w:color w:val="505050"/>
        </w:rPr>
        <w:t>Figura</w:t>
      </w:r>
      <w:r>
        <w:rPr>
          <w:color w:val="505050"/>
          <w:spacing w:val="-6"/>
        </w:rPr>
        <w:t> </w:t>
      </w:r>
      <w:r>
        <w:rPr>
          <w:color w:val="505050"/>
        </w:rPr>
        <w:t>59.38</w:t>
      </w:r>
      <w:r>
        <w:rPr/>
        <w:t>). Formam-se</w:t>
      </w:r>
      <w:r>
        <w:rPr>
          <w:spacing w:val="-3"/>
        </w:rPr>
        <w:t> </w:t>
      </w:r>
      <w:r>
        <w:rPr/>
        <w:t>trombos nesses aneurismas que</w:t>
      </w:r>
      <w:r>
        <w:rPr>
          <w:spacing w:val="-3"/>
        </w:rPr>
        <w:t> </w:t>
      </w:r>
      <w:r>
        <w:rPr/>
        <w:t>migram</w:t>
      </w:r>
      <w:r>
        <w:rPr>
          <w:spacing w:val="-1"/>
        </w:rPr>
        <w:t> </w:t>
      </w:r>
      <w:r>
        <w:rPr/>
        <w:t>(na</w:t>
      </w:r>
      <w:r>
        <w:rPr>
          <w:spacing w:val="-3"/>
        </w:rPr>
        <w:t> </w:t>
      </w:r>
      <w:r>
        <w:rPr/>
        <w:t>forma</w:t>
      </w:r>
      <w:r>
        <w:rPr>
          <w:spacing w:val="-3"/>
        </w:rPr>
        <w:t> </w:t>
      </w:r>
      <w:r>
        <w:rPr/>
        <w:t>de</w:t>
      </w:r>
      <w:r>
        <w:rPr>
          <w:spacing w:val="-3"/>
        </w:rPr>
        <w:t> </w:t>
      </w:r>
      <w:r>
        <w:rPr/>
        <w:t>êmbolos) para</w:t>
      </w:r>
      <w:r>
        <w:rPr>
          <w:spacing w:val="-3"/>
        </w:rPr>
        <w:t> </w:t>
      </w:r>
      <w:r>
        <w:rPr/>
        <w:t>a</w:t>
      </w:r>
      <w:r>
        <w:rPr>
          <w:spacing w:val="-3"/>
        </w:rPr>
        <w:t> </w:t>
      </w:r>
      <w:r>
        <w:rPr/>
        <w:t>circulação</w:t>
      </w:r>
      <w:r>
        <w:rPr>
          <w:spacing w:val="-1"/>
        </w:rPr>
        <w:t> </w:t>
      </w:r>
      <w:r>
        <w:rPr/>
        <w:t>distal, provocando</w:t>
      </w:r>
      <w:r>
        <w:rPr>
          <w:spacing w:val="-3"/>
        </w:rPr>
        <w:t> </w:t>
      </w:r>
      <w:r>
        <w:rPr/>
        <w:t>necroses digitais ou</w:t>
      </w:r>
      <w:r>
        <w:rPr>
          <w:spacing w:val="-3"/>
        </w:rPr>
        <w:t> </w:t>
      </w:r>
      <w:r>
        <w:rPr/>
        <w:t>mesmo</w:t>
      </w:r>
      <w:r>
        <w:rPr>
          <w:spacing w:val="-3"/>
        </w:rPr>
        <w:t> </w:t>
      </w:r>
      <w:r>
        <w:rPr/>
        <w:t>quadros de</w:t>
      </w:r>
      <w:r>
        <w:rPr>
          <w:spacing w:val="-6"/>
        </w:rPr>
        <w:t> </w:t>
      </w:r>
      <w:r>
        <w:rPr/>
        <w:t>obstrução</w:t>
      </w:r>
      <w:r>
        <w:rPr>
          <w:spacing w:val="-3"/>
        </w:rPr>
        <w:t> </w:t>
      </w:r>
      <w:r>
        <w:rPr/>
        <w:t>arterial aguda</w:t>
      </w:r>
      <w:r>
        <w:rPr>
          <w:spacing w:val="-6"/>
        </w:rPr>
        <w:t> </w:t>
      </w:r>
      <w:r>
        <w:rPr/>
        <w:t>do</w:t>
      </w:r>
      <w:r>
        <w:rPr>
          <w:spacing w:val="-3"/>
        </w:rPr>
        <w:t> </w:t>
      </w:r>
      <w:r>
        <w:rPr/>
        <w:t>membro</w:t>
      </w:r>
      <w:r>
        <w:rPr>
          <w:spacing w:val="-3"/>
        </w:rPr>
        <w:t> </w:t>
      </w:r>
      <w:r>
        <w:rPr/>
        <w:t>superior. Na</w:t>
      </w:r>
      <w:r>
        <w:rPr>
          <w:spacing w:val="-6"/>
        </w:rPr>
        <w:t> </w:t>
      </w:r>
      <w:r>
        <w:rPr/>
        <w:t>fase</w:t>
      </w:r>
      <w:r>
        <w:rPr>
          <w:spacing w:val="-6"/>
        </w:rPr>
        <w:t> </w:t>
      </w:r>
      <w:r>
        <w:rPr/>
        <w:t>inicial, o paciente pode queixar-se de um tumor na região supraclavicular que corresponde à costela cervical. Nos assintomáticos e naqueles na fase inicial do quadro, o exame de ultrassom-Doppler pode detectar lesão na parede arterial e/ou aneurisma. Na fase avançada de oclusão arterial e isquemia, os pulsos radial e ulnar podem estar ausentes,</w:t>
      </w:r>
      <w:r>
        <w:rPr>
          <w:spacing w:val="-1"/>
        </w:rPr>
        <w:t> </w:t>
      </w:r>
      <w:r>
        <w:rPr/>
        <w:t>as</w:t>
      </w:r>
      <w:r>
        <w:rPr>
          <w:spacing w:val="-1"/>
        </w:rPr>
        <w:t> </w:t>
      </w:r>
      <w:r>
        <w:rPr/>
        <w:t>lesões</w:t>
      </w:r>
      <w:r>
        <w:rPr>
          <w:spacing w:val="-1"/>
        </w:rPr>
        <w:t> </w:t>
      </w:r>
      <w:r>
        <w:rPr/>
        <w:t>tróficas</w:t>
      </w:r>
      <w:r>
        <w:rPr>
          <w:spacing w:val="-1"/>
        </w:rPr>
        <w:t> </w:t>
      </w:r>
      <w:r>
        <w:rPr/>
        <w:t>nos</w:t>
      </w:r>
      <w:r>
        <w:rPr>
          <w:spacing w:val="-1"/>
        </w:rPr>
        <w:t> </w:t>
      </w:r>
      <w:r>
        <w:rPr/>
        <w:t>dedos</w:t>
      </w:r>
      <w:r>
        <w:rPr>
          <w:spacing w:val="-1"/>
        </w:rPr>
        <w:t> </w:t>
      </w:r>
      <w:r>
        <w:rPr/>
        <w:t>e</w:t>
      </w:r>
      <w:r>
        <w:rPr>
          <w:spacing w:val="-11"/>
        </w:rPr>
        <w:t> </w:t>
      </w:r>
      <w:r>
        <w:rPr/>
        <w:t>mãos</w:t>
      </w:r>
      <w:r>
        <w:rPr>
          <w:spacing w:val="-1"/>
        </w:rPr>
        <w:t> </w:t>
      </w:r>
      <w:r>
        <w:rPr/>
        <w:t>evidentes,</w:t>
      </w:r>
      <w:r>
        <w:rPr>
          <w:spacing w:val="-1"/>
        </w:rPr>
        <w:t> </w:t>
      </w:r>
      <w:r>
        <w:rPr/>
        <w:t>sendo</w:t>
      </w:r>
      <w:r>
        <w:rPr>
          <w:spacing w:val="-8"/>
        </w:rPr>
        <w:t> </w:t>
      </w:r>
      <w:r>
        <w:rPr/>
        <w:t>a</w:t>
      </w:r>
      <w:r>
        <w:rPr>
          <w:spacing w:val="-11"/>
        </w:rPr>
        <w:t> </w:t>
      </w:r>
      <w:r>
        <w:rPr/>
        <w:t>angiografia</w:t>
      </w:r>
      <w:r>
        <w:rPr>
          <w:spacing w:val="-11"/>
        </w:rPr>
        <w:t> </w:t>
      </w:r>
      <w:r>
        <w:rPr/>
        <w:t>necessária</w:t>
      </w:r>
      <w:r>
        <w:rPr>
          <w:spacing w:val="-11"/>
        </w:rPr>
        <w:t> </w:t>
      </w:r>
      <w:r>
        <w:rPr/>
        <w:t>para</w:t>
      </w:r>
      <w:r>
        <w:rPr>
          <w:spacing w:val="-11"/>
        </w:rPr>
        <w:t> </w:t>
      </w:r>
      <w:r>
        <w:rPr/>
        <w:t>planejamento</w:t>
      </w:r>
      <w:r>
        <w:rPr>
          <w:spacing w:val="-8"/>
        </w:rPr>
        <w:t> </w:t>
      </w:r>
      <w:r>
        <w:rPr/>
        <w:t>cirúrgico.</w:t>
      </w:r>
    </w:p>
    <w:p>
      <w:pPr>
        <w:pStyle w:val="BodyText"/>
        <w:spacing w:after="0" w:line="276" w:lineRule="auto"/>
        <w:sectPr>
          <w:pgSz w:w="11900" w:h="16840"/>
          <w:pgMar w:top="120" w:bottom="280" w:left="566" w:right="141"/>
        </w:sectPr>
      </w:pPr>
    </w:p>
    <w:p>
      <w:pPr>
        <w:spacing w:line="240" w:lineRule="auto"/>
        <w:ind w:left="2388" w:right="0" w:firstLine="0"/>
        <w:rPr>
          <w:sz w:val="20"/>
        </w:rPr>
      </w:pPr>
      <w:r>
        <w:rPr>
          <w:sz w:val="20"/>
        </w:rPr>
        <w:drawing>
          <wp:inline distT="0" distB="0" distL="0" distR="0">
            <wp:extent cx="3811713" cy="6430994"/>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72" cstate="print"/>
                    <a:stretch>
                      <a:fillRect/>
                    </a:stretch>
                  </pic:blipFill>
                  <pic:spPr>
                    <a:xfrm>
                      <a:off x="0" y="0"/>
                      <a:ext cx="3811713" cy="6430994"/>
                    </a:xfrm>
                    <a:prstGeom prst="rect">
                      <a:avLst/>
                    </a:prstGeom>
                  </pic:spPr>
                </pic:pic>
              </a:graphicData>
            </a:graphic>
          </wp:inline>
        </w:drawing>
      </w:r>
      <w:r>
        <w:rPr>
          <w:sz w:val="20"/>
        </w:rPr>
      </w:r>
    </w:p>
    <w:p>
      <w:pPr>
        <w:spacing w:line="280" w:lineRule="auto" w:before="187"/>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35"/>
          <w:sz w:val="19"/>
        </w:rPr>
        <w:t> </w:t>
      </w:r>
      <w:r>
        <w:rPr>
          <w:rFonts w:ascii="Arial" w:hAnsi="Arial"/>
          <w:b/>
          <w:color w:val="242B67"/>
          <w:sz w:val="19"/>
        </w:rPr>
        <w:t>59.38</w:t>
      </w:r>
      <w:r>
        <w:rPr>
          <w:rFonts w:ascii="Arial" w:hAnsi="Arial"/>
          <w:b/>
          <w:color w:val="242B67"/>
          <w:spacing w:val="35"/>
          <w:sz w:val="19"/>
        </w:rPr>
        <w:t> </w:t>
      </w:r>
      <w:r>
        <w:rPr>
          <w:rFonts w:ascii="Microsoft Sans Serif" w:hAnsi="Microsoft Sans Serif"/>
          <w:sz w:val="19"/>
        </w:rPr>
        <w:t>Angiotomografia.</w:t>
      </w:r>
      <w:r>
        <w:rPr>
          <w:rFonts w:ascii="Microsoft Sans Serif" w:hAnsi="Microsoft Sans Serif"/>
          <w:spacing w:val="24"/>
          <w:sz w:val="19"/>
        </w:rPr>
        <w:t> </w:t>
      </w:r>
      <w:r>
        <w:rPr>
          <w:rFonts w:ascii="Arial" w:hAnsi="Arial"/>
          <w:b/>
          <w:sz w:val="19"/>
        </w:rPr>
        <w:t>A.</w:t>
      </w:r>
      <w:r>
        <w:rPr>
          <w:rFonts w:ascii="Arial" w:hAnsi="Arial"/>
          <w:b/>
          <w:spacing w:val="23"/>
          <w:sz w:val="19"/>
        </w:rPr>
        <w:t> </w:t>
      </w:r>
      <w:r>
        <w:rPr>
          <w:rFonts w:ascii="Microsoft Sans Serif" w:hAnsi="Microsoft Sans Serif"/>
          <w:sz w:val="19"/>
        </w:rPr>
        <w:t>Aneurisma</w:t>
      </w:r>
      <w:r>
        <w:rPr>
          <w:rFonts w:ascii="Microsoft Sans Serif" w:hAnsi="Microsoft Sans Serif"/>
          <w:spacing w:val="39"/>
          <w:sz w:val="19"/>
        </w:rPr>
        <w:t> </w:t>
      </w:r>
      <w:r>
        <w:rPr>
          <w:rFonts w:ascii="Microsoft Sans Serif" w:hAnsi="Microsoft Sans Serif"/>
          <w:sz w:val="19"/>
        </w:rPr>
        <w:t>pós-estenótico</w:t>
      </w:r>
      <w:r>
        <w:rPr>
          <w:rFonts w:ascii="Microsoft Sans Serif" w:hAnsi="Microsoft Sans Serif"/>
          <w:spacing w:val="39"/>
          <w:sz w:val="19"/>
        </w:rPr>
        <w:t> </w:t>
      </w:r>
      <w:r>
        <w:rPr>
          <w:rFonts w:ascii="Microsoft Sans Serif" w:hAnsi="Microsoft Sans Serif"/>
          <w:sz w:val="19"/>
        </w:rPr>
        <w:t>na</w:t>
      </w:r>
      <w:r>
        <w:rPr>
          <w:rFonts w:ascii="Microsoft Sans Serif" w:hAnsi="Microsoft Sans Serif"/>
          <w:spacing w:val="39"/>
          <w:sz w:val="19"/>
        </w:rPr>
        <w:t> </w:t>
      </w:r>
      <w:r>
        <w:rPr>
          <w:rFonts w:ascii="Microsoft Sans Serif" w:hAnsi="Microsoft Sans Serif"/>
          <w:sz w:val="19"/>
        </w:rPr>
        <w:t>artéria</w:t>
      </w:r>
      <w:r>
        <w:rPr>
          <w:rFonts w:ascii="Microsoft Sans Serif" w:hAnsi="Microsoft Sans Serif"/>
          <w:spacing w:val="39"/>
          <w:sz w:val="19"/>
        </w:rPr>
        <w:t> </w:t>
      </w:r>
      <w:r>
        <w:rPr>
          <w:rFonts w:ascii="Microsoft Sans Serif" w:hAnsi="Microsoft Sans Serif"/>
          <w:sz w:val="19"/>
        </w:rPr>
        <w:t>subclávia</w:t>
      </w:r>
      <w:r>
        <w:rPr>
          <w:rFonts w:ascii="Microsoft Sans Serif" w:hAnsi="Microsoft Sans Serif"/>
          <w:spacing w:val="39"/>
          <w:sz w:val="19"/>
        </w:rPr>
        <w:t> </w:t>
      </w:r>
      <w:r>
        <w:rPr>
          <w:rFonts w:ascii="Microsoft Sans Serif" w:hAnsi="Microsoft Sans Serif"/>
          <w:sz w:val="19"/>
        </w:rPr>
        <w:t>direita</w:t>
      </w:r>
      <w:r>
        <w:rPr>
          <w:rFonts w:ascii="Microsoft Sans Serif" w:hAnsi="Microsoft Sans Serif"/>
          <w:spacing w:val="39"/>
          <w:sz w:val="19"/>
        </w:rPr>
        <w:t> </w:t>
      </w:r>
      <w:r>
        <w:rPr>
          <w:rFonts w:ascii="Microsoft Sans Serif" w:hAnsi="Microsoft Sans Serif"/>
          <w:sz w:val="19"/>
        </w:rPr>
        <w:t>na</w:t>
      </w:r>
      <w:r>
        <w:rPr>
          <w:rFonts w:ascii="Microsoft Sans Serif" w:hAnsi="Microsoft Sans Serif"/>
          <w:spacing w:val="39"/>
          <w:sz w:val="19"/>
        </w:rPr>
        <w:t> </w:t>
      </w:r>
      <w:r>
        <w:rPr>
          <w:rFonts w:ascii="Microsoft Sans Serif" w:hAnsi="Microsoft Sans Serif"/>
          <w:sz w:val="19"/>
        </w:rPr>
        <w:t>presença</w:t>
      </w:r>
      <w:r>
        <w:rPr>
          <w:rFonts w:ascii="Microsoft Sans Serif" w:hAnsi="Microsoft Sans Serif"/>
          <w:spacing w:val="39"/>
          <w:sz w:val="19"/>
        </w:rPr>
        <w:t> </w:t>
      </w:r>
      <w:r>
        <w:rPr>
          <w:rFonts w:ascii="Microsoft Sans Serif" w:hAnsi="Microsoft Sans Serif"/>
          <w:sz w:val="19"/>
        </w:rPr>
        <w:t>de</w:t>
      </w:r>
      <w:r>
        <w:rPr>
          <w:rFonts w:ascii="Microsoft Sans Serif" w:hAnsi="Microsoft Sans Serif"/>
          <w:spacing w:val="39"/>
          <w:sz w:val="19"/>
        </w:rPr>
        <w:t> </w:t>
      </w:r>
      <w:r>
        <w:rPr>
          <w:rFonts w:ascii="Microsoft Sans Serif" w:hAnsi="Microsoft Sans Serif"/>
          <w:sz w:val="19"/>
        </w:rPr>
        <w:t>costela</w:t>
      </w:r>
      <w:r>
        <w:rPr>
          <w:rFonts w:ascii="Microsoft Sans Serif" w:hAnsi="Microsoft Sans Serif"/>
          <w:spacing w:val="39"/>
          <w:sz w:val="19"/>
        </w:rPr>
        <w:t> </w:t>
      </w:r>
      <w:r>
        <w:rPr>
          <w:rFonts w:ascii="Microsoft Sans Serif" w:hAnsi="Microsoft Sans Serif"/>
          <w:sz w:val="19"/>
        </w:rPr>
        <w:t>cervical completa. </w:t>
      </w:r>
      <w:r>
        <w:rPr>
          <w:rFonts w:ascii="Arial" w:hAnsi="Arial"/>
          <w:b/>
          <w:sz w:val="19"/>
        </w:rPr>
        <w:t>B. </w:t>
      </w:r>
      <w:r>
        <w:rPr>
          <w:rFonts w:ascii="Microsoft Sans Serif" w:hAnsi="Microsoft Sans Serif"/>
          <w:sz w:val="19"/>
        </w:rPr>
        <w:t>Elevação</w:t>
      </w:r>
      <w:r>
        <w:rPr>
          <w:rFonts w:ascii="Microsoft Sans Serif" w:hAnsi="Microsoft Sans Serif"/>
          <w:spacing w:val="38"/>
          <w:sz w:val="19"/>
        </w:rPr>
        <w:t> </w:t>
      </w:r>
      <w:r>
        <w:rPr>
          <w:rFonts w:ascii="Microsoft Sans Serif" w:hAnsi="Microsoft Sans Serif"/>
          <w:sz w:val="19"/>
        </w:rPr>
        <w:t>do</w:t>
      </w:r>
      <w:r>
        <w:rPr>
          <w:rFonts w:ascii="Microsoft Sans Serif" w:hAnsi="Microsoft Sans Serif"/>
          <w:spacing w:val="38"/>
          <w:sz w:val="19"/>
        </w:rPr>
        <w:t> </w:t>
      </w:r>
      <w:r>
        <w:rPr>
          <w:rFonts w:ascii="Microsoft Sans Serif" w:hAnsi="Microsoft Sans Serif"/>
          <w:sz w:val="19"/>
        </w:rPr>
        <w:t>membro</w:t>
      </w:r>
      <w:r>
        <w:rPr>
          <w:rFonts w:ascii="Microsoft Sans Serif" w:hAnsi="Microsoft Sans Serif"/>
          <w:spacing w:val="38"/>
          <w:sz w:val="19"/>
        </w:rPr>
        <w:t> </w:t>
      </w:r>
      <w:r>
        <w:rPr>
          <w:rFonts w:ascii="Microsoft Sans Serif" w:hAnsi="Microsoft Sans Serif"/>
          <w:sz w:val="19"/>
        </w:rPr>
        <w:t>superior. Note</w:t>
      </w:r>
      <w:r>
        <w:rPr>
          <w:rFonts w:ascii="Microsoft Sans Serif" w:hAnsi="Microsoft Sans Serif"/>
          <w:spacing w:val="38"/>
          <w:sz w:val="19"/>
        </w:rPr>
        <w:t> </w:t>
      </w:r>
      <w:r>
        <w:rPr>
          <w:rFonts w:ascii="Microsoft Sans Serif" w:hAnsi="Microsoft Sans Serif"/>
          <w:sz w:val="19"/>
        </w:rPr>
        <w:t>a</w:t>
      </w:r>
      <w:r>
        <w:rPr>
          <w:rFonts w:ascii="Microsoft Sans Serif" w:hAnsi="Microsoft Sans Serif"/>
          <w:spacing w:val="38"/>
          <w:sz w:val="19"/>
        </w:rPr>
        <w:t> </w:t>
      </w:r>
      <w:r>
        <w:rPr>
          <w:rFonts w:ascii="Microsoft Sans Serif" w:hAnsi="Microsoft Sans Serif"/>
          <w:sz w:val="19"/>
        </w:rPr>
        <w:t>oclusão</w:t>
      </w:r>
      <w:r>
        <w:rPr>
          <w:rFonts w:ascii="Microsoft Sans Serif" w:hAnsi="Microsoft Sans Serif"/>
          <w:spacing w:val="38"/>
          <w:sz w:val="19"/>
        </w:rPr>
        <w:t> </w:t>
      </w:r>
      <w:r>
        <w:rPr>
          <w:rFonts w:ascii="Microsoft Sans Serif" w:hAnsi="Microsoft Sans Serif"/>
          <w:sz w:val="19"/>
        </w:rPr>
        <w:t>da</w:t>
      </w:r>
      <w:r>
        <w:rPr>
          <w:rFonts w:ascii="Microsoft Sans Serif" w:hAnsi="Microsoft Sans Serif"/>
          <w:spacing w:val="38"/>
          <w:sz w:val="19"/>
        </w:rPr>
        <w:t> </w:t>
      </w:r>
      <w:r>
        <w:rPr>
          <w:rFonts w:ascii="Microsoft Sans Serif" w:hAnsi="Microsoft Sans Serif"/>
          <w:sz w:val="19"/>
        </w:rPr>
        <w:t>artéria</w:t>
      </w:r>
      <w:r>
        <w:rPr>
          <w:rFonts w:ascii="Microsoft Sans Serif" w:hAnsi="Microsoft Sans Serif"/>
          <w:spacing w:val="38"/>
          <w:sz w:val="19"/>
        </w:rPr>
        <w:t> </w:t>
      </w:r>
      <w:r>
        <w:rPr>
          <w:rFonts w:ascii="Microsoft Sans Serif" w:hAnsi="Microsoft Sans Serif"/>
          <w:sz w:val="19"/>
        </w:rPr>
        <w:t>subclávia.</w:t>
      </w:r>
    </w:p>
    <w:p>
      <w:pPr>
        <w:pStyle w:val="BodyText"/>
        <w:spacing w:before="86"/>
        <w:ind w:left="0" w:firstLine="0"/>
        <w:jc w:val="left"/>
        <w:rPr>
          <w:rFonts w:ascii="Microsoft Sans Serif"/>
          <w:sz w:val="19"/>
        </w:rPr>
      </w:pPr>
    </w:p>
    <w:p>
      <w:pPr>
        <w:pStyle w:val="BodyText"/>
        <w:spacing w:line="278" w:lineRule="auto" w:before="0"/>
        <w:ind w:right="490"/>
      </w:pPr>
      <w:r>
        <w:rPr/>
        <w:t>Existem quatro tipos de costela cervical, segundo Gruber, citado por Adson.</w:t>
      </w:r>
      <w:r>
        <w:rPr>
          <w:vertAlign w:val="superscript"/>
        </w:rPr>
        <w:t>5</w:t>
      </w:r>
      <w:r>
        <w:rPr>
          <w:vertAlign w:val="baseline"/>
        </w:rPr>
        <w:t> Entre nós, Wolosker descreveu sete tipos de costela dependendo do seu tamanho e se existia ou não uma articulação verdadeira com a primeira costela torácica. As incompletas não chegam até a primeira costela torácica ou, se chegam, o fazem por tratos fibrosos. Além das costelas cervicais, encontradas mais em mulheres que em homens, 70% bilaterais, 90% assintomáticas e com uma prevalência na população variando de 0,05 a 1,0%, uma mega-apófise transversa da sétima vértebra cervical ou uma primeira costela rudimentar</w:t>
      </w:r>
      <w:r>
        <w:rPr>
          <w:vertAlign w:val="superscript"/>
        </w:rPr>
        <w:t>5</w:t>
      </w:r>
      <w:r>
        <w:rPr>
          <w:vertAlign w:val="baseline"/>
        </w:rPr>
        <w:t> e mais raramente ainda uma clavícula malformada</w:t>
      </w:r>
      <w:r>
        <w:rPr>
          <w:vertAlign w:val="superscript"/>
        </w:rPr>
        <w:t>13</w:t>
      </w:r>
      <w:r>
        <w:rPr>
          <w:vertAlign w:val="baseline"/>
        </w:rPr>
        <w:t> podem</w:t>
      </w:r>
      <w:r>
        <w:rPr>
          <w:spacing w:val="-2"/>
          <w:vertAlign w:val="baseline"/>
        </w:rPr>
        <w:t> </w:t>
      </w:r>
      <w:r>
        <w:rPr>
          <w:vertAlign w:val="baseline"/>
        </w:rPr>
        <w:t>originar compressão</w:t>
      </w:r>
      <w:r>
        <w:rPr>
          <w:spacing w:val="-2"/>
          <w:vertAlign w:val="baseline"/>
        </w:rPr>
        <w:t> </w:t>
      </w:r>
      <w:r>
        <w:rPr>
          <w:vertAlign w:val="baseline"/>
        </w:rPr>
        <w:t>no</w:t>
      </w:r>
      <w:r>
        <w:rPr>
          <w:spacing w:val="-2"/>
          <w:vertAlign w:val="baseline"/>
        </w:rPr>
        <w:t> </w:t>
      </w:r>
      <w:r>
        <w:rPr>
          <w:vertAlign w:val="baseline"/>
        </w:rPr>
        <w:t>desfiladeiro</w:t>
      </w:r>
      <w:r>
        <w:rPr>
          <w:spacing w:val="-2"/>
          <w:vertAlign w:val="baseline"/>
        </w:rPr>
        <w:t> </w:t>
      </w:r>
      <w:r>
        <w:rPr>
          <w:vertAlign w:val="baseline"/>
        </w:rPr>
        <w:t>(</w:t>
      </w:r>
      <w:r>
        <w:rPr>
          <w:color w:val="505050"/>
          <w:vertAlign w:val="baseline"/>
        </w:rPr>
        <w:t>Figuras 59.39</w:t>
      </w:r>
      <w:r>
        <w:rPr>
          <w:color w:val="505050"/>
          <w:spacing w:val="-1"/>
          <w:vertAlign w:val="baseline"/>
        </w:rPr>
        <w:t> </w:t>
      </w:r>
      <w:r>
        <w:rPr>
          <w:vertAlign w:val="baseline"/>
        </w:rPr>
        <w:t>a</w:t>
      </w:r>
      <w:r>
        <w:rPr>
          <w:spacing w:val="-3"/>
          <w:vertAlign w:val="baseline"/>
        </w:rPr>
        <w:t> </w:t>
      </w:r>
      <w:r>
        <w:rPr>
          <w:color w:val="505050"/>
          <w:vertAlign w:val="baseline"/>
        </w:rPr>
        <w:t>59.41</w:t>
      </w:r>
      <w:r>
        <w:rPr>
          <w:vertAlign w:val="baseline"/>
        </w:rPr>
        <w:t>). Como</w:t>
      </w:r>
      <w:r>
        <w:rPr>
          <w:spacing w:val="-2"/>
          <w:vertAlign w:val="baseline"/>
        </w:rPr>
        <w:t> </w:t>
      </w:r>
      <w:r>
        <w:rPr>
          <w:vertAlign w:val="baseline"/>
        </w:rPr>
        <w:t>mencionado</w:t>
      </w:r>
      <w:r>
        <w:rPr>
          <w:spacing w:val="-2"/>
          <w:vertAlign w:val="baseline"/>
        </w:rPr>
        <w:t> </w:t>
      </w:r>
      <w:r>
        <w:rPr>
          <w:vertAlign w:val="baseline"/>
        </w:rPr>
        <w:t>anteriormente, uma</w:t>
      </w:r>
      <w:r>
        <w:rPr>
          <w:spacing w:val="-5"/>
          <w:vertAlign w:val="baseline"/>
        </w:rPr>
        <w:t> </w:t>
      </w:r>
      <w:r>
        <w:rPr>
          <w:vertAlign w:val="baseline"/>
        </w:rPr>
        <w:t>costela cervical completa pode causar lesão arterial, porém as anomalias ósseas causam mais lesão neurológica que vascular e geralmente as causas da síndrome decorrem de compressões por partes moles (bandas fibrosas,</w:t>
      </w:r>
      <w:r>
        <w:rPr>
          <w:spacing w:val="40"/>
          <w:vertAlign w:val="baseline"/>
        </w:rPr>
        <w:t> </w:t>
      </w:r>
      <w:r>
        <w:rPr>
          <w:vertAlign w:val="baseline"/>
        </w:rPr>
        <w:t>músculos hipertrofiados ou</w:t>
      </w:r>
      <w:r>
        <w:rPr>
          <w:spacing w:val="-2"/>
          <w:vertAlign w:val="baseline"/>
        </w:rPr>
        <w:t> </w:t>
      </w:r>
      <w:r>
        <w:rPr>
          <w:vertAlign w:val="baseline"/>
        </w:rPr>
        <w:t>anômalos) e</w:t>
      </w:r>
      <w:r>
        <w:rPr>
          <w:spacing w:val="-5"/>
          <w:vertAlign w:val="baseline"/>
        </w:rPr>
        <w:t> </w:t>
      </w:r>
      <w:r>
        <w:rPr>
          <w:vertAlign w:val="baseline"/>
        </w:rPr>
        <w:t>não</w:t>
      </w:r>
      <w:r>
        <w:rPr>
          <w:spacing w:val="-2"/>
          <w:vertAlign w:val="baseline"/>
        </w:rPr>
        <w:t> </w:t>
      </w:r>
      <w:r>
        <w:rPr>
          <w:vertAlign w:val="baseline"/>
        </w:rPr>
        <w:t>por estruturas ósseas.</w:t>
      </w:r>
      <w:r>
        <w:rPr>
          <w:vertAlign w:val="superscript"/>
        </w:rPr>
        <w:t>10,11,14</w:t>
      </w:r>
      <w:r>
        <w:rPr>
          <w:vertAlign w:val="baseline"/>
        </w:rPr>
        <w:t> Em razão dessa</w:t>
      </w:r>
      <w:r>
        <w:rPr>
          <w:spacing w:val="-3"/>
          <w:vertAlign w:val="baseline"/>
        </w:rPr>
        <w:t> </w:t>
      </w:r>
      <w:r>
        <w:rPr>
          <w:vertAlign w:val="baseline"/>
        </w:rPr>
        <w:t>série</w:t>
      </w:r>
      <w:r>
        <w:rPr>
          <w:spacing w:val="-3"/>
          <w:vertAlign w:val="baseline"/>
        </w:rPr>
        <w:t> </w:t>
      </w:r>
      <w:r>
        <w:rPr>
          <w:vertAlign w:val="baseline"/>
        </w:rPr>
        <w:t>de</w:t>
      </w:r>
      <w:r>
        <w:rPr>
          <w:spacing w:val="-3"/>
          <w:vertAlign w:val="baseline"/>
        </w:rPr>
        <w:t> </w:t>
      </w:r>
      <w:r>
        <w:rPr>
          <w:vertAlign w:val="baseline"/>
        </w:rPr>
        <w:t>anomalias ósseas, as radiografias da coluna cervical e tórax são necessárias nesta forma da afecção. Angiografia (por subtração, por angiotomografia ou por RM) é utilizada para confirmação do diagnóstico de lesão arterial (aneurisma, trombose) e planejamento cirúrgico (revascularização).</w:t>
      </w:r>
    </w:p>
    <w:p>
      <w:pPr>
        <w:pStyle w:val="BodyText"/>
        <w:spacing w:line="276" w:lineRule="auto" w:before="64"/>
        <w:ind w:right="498"/>
      </w:pPr>
      <w:r>
        <w:rPr/>
        <w:t>Na forma venosa da síndrome, a apresentação clínica clássica recebe o nome de trombose venosa subclávio-axilar primária</w:t>
      </w:r>
      <w:r>
        <w:rPr>
          <w:spacing w:val="-7"/>
        </w:rPr>
        <w:t> </w:t>
      </w:r>
      <w:r>
        <w:rPr/>
        <w:t>ou</w:t>
      </w:r>
      <w:r>
        <w:rPr>
          <w:spacing w:val="-4"/>
        </w:rPr>
        <w:t> </w:t>
      </w:r>
      <w:r>
        <w:rPr/>
        <w:t>de</w:t>
      </w:r>
      <w:r>
        <w:rPr>
          <w:spacing w:val="-7"/>
        </w:rPr>
        <w:t> </w:t>
      </w:r>
      <w:r>
        <w:rPr/>
        <w:t>esforço</w:t>
      </w:r>
      <w:r>
        <w:rPr>
          <w:spacing w:val="-4"/>
        </w:rPr>
        <w:t> </w:t>
      </w:r>
      <w:r>
        <w:rPr/>
        <w:t>ou</w:t>
      </w:r>
      <w:r>
        <w:rPr>
          <w:spacing w:val="-4"/>
        </w:rPr>
        <w:t> </w:t>
      </w:r>
      <w:r>
        <w:rPr/>
        <w:t>síndrome</w:t>
      </w:r>
      <w:r>
        <w:rPr>
          <w:spacing w:val="-7"/>
        </w:rPr>
        <w:t> </w:t>
      </w:r>
      <w:r>
        <w:rPr/>
        <w:t>de</w:t>
      </w:r>
      <w:r>
        <w:rPr>
          <w:spacing w:val="-7"/>
        </w:rPr>
        <w:t> </w:t>
      </w:r>
      <w:r>
        <w:rPr/>
        <w:t>Paget-Schroetter (</w:t>
      </w:r>
      <w:r>
        <w:rPr>
          <w:color w:val="505050"/>
        </w:rPr>
        <w:t>Figura</w:t>
      </w:r>
      <w:r>
        <w:rPr>
          <w:color w:val="505050"/>
          <w:spacing w:val="-9"/>
        </w:rPr>
        <w:t> </w:t>
      </w:r>
      <w:r>
        <w:rPr>
          <w:color w:val="505050"/>
        </w:rPr>
        <w:t>59.42</w:t>
      </w:r>
      <w:r>
        <w:rPr/>
        <w:t>). Os pacientes geralmente</w:t>
      </w:r>
      <w:r>
        <w:rPr>
          <w:spacing w:val="-4"/>
        </w:rPr>
        <w:t> </w:t>
      </w:r>
      <w:r>
        <w:rPr/>
        <w:t>são</w:t>
      </w:r>
      <w:r>
        <w:rPr>
          <w:spacing w:val="-2"/>
        </w:rPr>
        <w:t> </w:t>
      </w:r>
      <w:r>
        <w:rPr/>
        <w:t>homens jovens,</w:t>
      </w:r>
      <w:r>
        <w:rPr>
          <w:spacing w:val="40"/>
        </w:rPr>
        <w:t> </w:t>
      </w:r>
      <w:r>
        <w:rPr/>
        <w:t>na</w:t>
      </w:r>
      <w:r>
        <w:rPr>
          <w:spacing w:val="36"/>
        </w:rPr>
        <w:t> </w:t>
      </w:r>
      <w:r>
        <w:rPr/>
        <w:t>terceira</w:t>
      </w:r>
      <w:r>
        <w:rPr>
          <w:spacing w:val="36"/>
        </w:rPr>
        <w:t> </w:t>
      </w:r>
      <w:r>
        <w:rPr/>
        <w:t>década</w:t>
      </w:r>
      <w:r>
        <w:rPr>
          <w:spacing w:val="36"/>
        </w:rPr>
        <w:t> </w:t>
      </w:r>
      <w:r>
        <w:rPr/>
        <w:t>da</w:t>
      </w:r>
      <w:r>
        <w:rPr>
          <w:spacing w:val="36"/>
        </w:rPr>
        <w:t> </w:t>
      </w:r>
      <w:r>
        <w:rPr/>
        <w:t>vida,</w:t>
      </w:r>
      <w:r>
        <w:rPr>
          <w:spacing w:val="40"/>
        </w:rPr>
        <w:t> </w:t>
      </w:r>
      <w:r>
        <w:rPr/>
        <w:t>que</w:t>
      </w:r>
      <w:r>
        <w:rPr>
          <w:spacing w:val="36"/>
        </w:rPr>
        <w:t> </w:t>
      </w:r>
      <w:r>
        <w:rPr/>
        <w:t>apresentam</w:t>
      </w:r>
      <w:r>
        <w:rPr>
          <w:spacing w:val="39"/>
        </w:rPr>
        <w:t> </w:t>
      </w:r>
      <w:r>
        <w:rPr/>
        <w:t>de</w:t>
      </w:r>
      <w:r>
        <w:rPr>
          <w:spacing w:val="36"/>
        </w:rPr>
        <w:t> </w:t>
      </w:r>
      <w:r>
        <w:rPr/>
        <w:t>modo</w:t>
      </w:r>
      <w:r>
        <w:rPr>
          <w:spacing w:val="39"/>
        </w:rPr>
        <w:t> </w:t>
      </w:r>
      <w:r>
        <w:rPr/>
        <w:t>súbito</w:t>
      </w:r>
      <w:r>
        <w:rPr>
          <w:spacing w:val="39"/>
        </w:rPr>
        <w:t> </w:t>
      </w:r>
      <w:r>
        <w:rPr/>
        <w:t>edema,</w:t>
      </w:r>
      <w:r>
        <w:rPr>
          <w:spacing w:val="40"/>
        </w:rPr>
        <w:t> </w:t>
      </w:r>
      <w:r>
        <w:rPr/>
        <w:t>dor,</w:t>
      </w:r>
      <w:r>
        <w:rPr>
          <w:spacing w:val="40"/>
        </w:rPr>
        <w:t> </w:t>
      </w:r>
      <w:r>
        <w:rPr/>
        <w:t>cianose</w:t>
      </w:r>
      <w:r>
        <w:rPr>
          <w:spacing w:val="36"/>
        </w:rPr>
        <w:t> </w:t>
      </w:r>
      <w:r>
        <w:rPr/>
        <w:t>no</w:t>
      </w:r>
      <w:r>
        <w:rPr>
          <w:spacing w:val="39"/>
        </w:rPr>
        <w:t> </w:t>
      </w:r>
      <w:r>
        <w:rPr/>
        <w:t>membro</w:t>
      </w:r>
      <w:r>
        <w:rPr>
          <w:spacing w:val="39"/>
        </w:rPr>
        <w:t> </w:t>
      </w:r>
      <w:r>
        <w:rPr/>
        <w:t>superior</w:t>
      </w:r>
    </w:p>
    <w:p>
      <w:pPr>
        <w:pStyle w:val="BodyText"/>
        <w:spacing w:after="0" w:line="276" w:lineRule="auto"/>
        <w:sectPr>
          <w:pgSz w:w="11900" w:h="16840"/>
          <w:pgMar w:top="280" w:bottom="280" w:left="566" w:right="141"/>
        </w:sectPr>
      </w:pPr>
    </w:p>
    <w:p>
      <w:pPr>
        <w:pStyle w:val="BodyText"/>
        <w:spacing w:line="276" w:lineRule="auto"/>
        <w:ind w:right="497" w:firstLine="0"/>
      </w:pPr>
      <w:r>
        <w:rPr/>
        <w:t>desencadeados por exercício físico, geralmente de alta intensidade. Quadros não tão evidentes podem ocorrer geralmente devido a obstruções parciais e segmentares. Nesses pacientes, os sintomas são desencadeados pela movimentação do membro e uma história súbita não é possível. Tromboses venosas dos membros superiores também são manifestações paraneoplásicas e inflamatórias; portanto, na história e exame clínico devem-se pesquisar alterações sistêmicas (tumores, em particular tumores de mama, primeira costela, clavícula, carcinoma broncogênico,</w:t>
      </w:r>
      <w:r>
        <w:rPr>
          <w:spacing w:val="-1"/>
        </w:rPr>
        <w:t> </w:t>
      </w:r>
      <w:r>
        <w:rPr/>
        <w:t>Pancoast,</w:t>
      </w:r>
      <w:r>
        <w:rPr>
          <w:spacing w:val="-1"/>
        </w:rPr>
        <w:t> </w:t>
      </w:r>
      <w:r>
        <w:rPr/>
        <w:t>lúpus,</w:t>
      </w:r>
      <w:r>
        <w:rPr>
          <w:spacing w:val="-1"/>
        </w:rPr>
        <w:t> </w:t>
      </w:r>
      <w:r>
        <w:rPr/>
        <w:t>artrite</w:t>
      </w:r>
      <w:r>
        <w:rPr>
          <w:spacing w:val="-10"/>
        </w:rPr>
        <w:t> </w:t>
      </w:r>
      <w:r>
        <w:rPr/>
        <w:t>reumatoide,</w:t>
      </w:r>
      <w:r>
        <w:rPr>
          <w:spacing w:val="-1"/>
        </w:rPr>
        <w:t> </w:t>
      </w:r>
      <w:r>
        <w:rPr/>
        <w:t>poliarterite</w:t>
      </w:r>
      <w:r>
        <w:rPr>
          <w:spacing w:val="-10"/>
        </w:rPr>
        <w:t> </w:t>
      </w:r>
      <w:r>
        <w:rPr/>
        <w:t>nodosa).</w:t>
      </w:r>
      <w:r>
        <w:rPr>
          <w:spacing w:val="-1"/>
        </w:rPr>
        <w:t> </w:t>
      </w:r>
      <w:r>
        <w:rPr/>
        <w:t>O</w:t>
      </w:r>
      <w:r>
        <w:rPr>
          <w:spacing w:val="-10"/>
        </w:rPr>
        <w:t> </w:t>
      </w:r>
      <w:r>
        <w:rPr/>
        <w:t>local</w:t>
      </w:r>
      <w:r>
        <w:rPr>
          <w:spacing w:val="-6"/>
        </w:rPr>
        <w:t> </w:t>
      </w:r>
      <w:r>
        <w:rPr/>
        <w:t>anatômico</w:t>
      </w:r>
      <w:r>
        <w:rPr>
          <w:spacing w:val="-8"/>
        </w:rPr>
        <w:t> </w:t>
      </w:r>
      <w:r>
        <w:rPr/>
        <w:t>preferencial</w:t>
      </w:r>
      <w:r>
        <w:rPr>
          <w:spacing w:val="-6"/>
        </w:rPr>
        <w:t> </w:t>
      </w:r>
      <w:r>
        <w:rPr/>
        <w:t>de</w:t>
      </w:r>
      <w:r>
        <w:rPr>
          <w:spacing w:val="-10"/>
        </w:rPr>
        <w:t> </w:t>
      </w:r>
      <w:r>
        <w:rPr/>
        <w:t>obstrução venosa ocorre no espaço costoclavicular e junto ao tendão do músculo peitoral menor. Além da compressão pelo tendão do músculo peitoral menor, a trombose primária está associada a estreitamento do espaço costoclavicular pela queda dos ombros, hipertrofia do músculo subclávio e ligamento costoclavicular alargado. Os exames auxiliares para</w:t>
      </w:r>
      <w:r>
        <w:rPr>
          <w:spacing w:val="-8"/>
        </w:rPr>
        <w:t> </w:t>
      </w:r>
      <w:r>
        <w:rPr/>
        <w:t>diagnóstico</w:t>
      </w:r>
      <w:r>
        <w:rPr>
          <w:spacing w:val="-5"/>
        </w:rPr>
        <w:t> </w:t>
      </w:r>
      <w:r>
        <w:rPr/>
        <w:t>compreendem, além</w:t>
      </w:r>
      <w:r>
        <w:rPr>
          <w:spacing w:val="-5"/>
        </w:rPr>
        <w:t> </w:t>
      </w:r>
      <w:r>
        <w:rPr/>
        <w:t>das radiografias de</w:t>
      </w:r>
      <w:r>
        <w:rPr>
          <w:spacing w:val="-8"/>
        </w:rPr>
        <w:t> </w:t>
      </w:r>
      <w:r>
        <w:rPr/>
        <w:t>tórax</w:t>
      </w:r>
      <w:r>
        <w:rPr>
          <w:spacing w:val="-5"/>
        </w:rPr>
        <w:t> </w:t>
      </w:r>
      <w:r>
        <w:rPr/>
        <w:t>e</w:t>
      </w:r>
      <w:r>
        <w:rPr>
          <w:spacing w:val="-8"/>
        </w:rPr>
        <w:t> </w:t>
      </w:r>
      <w:r>
        <w:rPr/>
        <w:t>região</w:t>
      </w:r>
      <w:r>
        <w:rPr>
          <w:spacing w:val="-5"/>
        </w:rPr>
        <w:t> </w:t>
      </w:r>
      <w:r>
        <w:rPr/>
        <w:t>cervical, o</w:t>
      </w:r>
      <w:r>
        <w:rPr>
          <w:spacing w:val="-5"/>
        </w:rPr>
        <w:t> </w:t>
      </w:r>
      <w:r>
        <w:rPr/>
        <w:t>ultrassom-Doppler e</w:t>
      </w:r>
      <w:r>
        <w:rPr>
          <w:spacing w:val="-8"/>
        </w:rPr>
        <w:t> </w:t>
      </w:r>
      <w:r>
        <w:rPr/>
        <w:t>a flebografia. Este último fornece exata extensão da trombose e local de obstrução, sugerindo um diagnóstico anatômico. A veia utilizada para flebografia pode ser empregada para terapêutica trombolítica local por cateter. O eco-Doppler colorido pode ser repetido várias vezes para análise da evolução do tratamento por ser método não invasivo. TC, RM e radiografias simples podem ser utilizadas para detecção de estruturas comprimindo as veias subclávia e axilar.</w:t>
      </w:r>
    </w:p>
    <w:p>
      <w:pPr>
        <w:pStyle w:val="BodyText"/>
        <w:spacing w:before="95"/>
        <w:ind w:left="0" w:firstLine="0"/>
        <w:jc w:val="left"/>
        <w:rPr>
          <w:sz w:val="20"/>
        </w:rPr>
      </w:pPr>
      <w:r>
        <w:rPr>
          <w:sz w:val="20"/>
        </w:rPr>
        <w:drawing>
          <wp:anchor distT="0" distB="0" distL="0" distR="0" allowOverlap="1" layoutInCell="1" locked="0" behindDoc="1" simplePos="0" relativeHeight="487632896">
            <wp:simplePos x="0" y="0"/>
            <wp:positionH relativeFrom="page">
              <wp:posOffset>2039048</wp:posOffset>
            </wp:positionH>
            <wp:positionV relativeFrom="paragraph">
              <wp:posOffset>222175</wp:posOffset>
            </wp:positionV>
            <wp:extent cx="3485580" cy="5146833"/>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73" cstate="print"/>
                    <a:stretch>
                      <a:fillRect/>
                    </a:stretch>
                  </pic:blipFill>
                  <pic:spPr>
                    <a:xfrm>
                      <a:off x="0" y="0"/>
                      <a:ext cx="3485580" cy="5146833"/>
                    </a:xfrm>
                    <a:prstGeom prst="rect">
                      <a:avLst/>
                    </a:prstGeom>
                  </pic:spPr>
                </pic:pic>
              </a:graphicData>
            </a:graphic>
          </wp:anchor>
        </w:drawing>
      </w:r>
    </w:p>
    <w:p>
      <w:pPr>
        <w:spacing w:line="285" w:lineRule="auto" w:before="200"/>
        <w:ind w:left="68" w:right="508" w:firstLine="0"/>
        <w:jc w:val="both"/>
        <w:rPr>
          <w:rFonts w:ascii="Microsoft Sans Serif" w:hAnsi="Microsoft Sans Serif"/>
          <w:sz w:val="19"/>
        </w:rPr>
      </w:pPr>
      <w:r>
        <w:rPr>
          <w:rFonts w:ascii="Arial" w:hAnsi="Arial"/>
          <w:b/>
          <w:color w:val="242B67"/>
          <w:sz w:val="19"/>
        </w:rPr>
        <w:t>Figura</w:t>
      </w:r>
      <w:r>
        <w:rPr>
          <w:rFonts w:ascii="Arial" w:hAnsi="Arial"/>
          <w:b/>
          <w:color w:val="242B67"/>
          <w:spacing w:val="21"/>
          <w:sz w:val="19"/>
        </w:rPr>
        <w:t> </w:t>
      </w:r>
      <w:r>
        <w:rPr>
          <w:rFonts w:ascii="Arial" w:hAnsi="Arial"/>
          <w:b/>
          <w:color w:val="242B67"/>
          <w:sz w:val="19"/>
        </w:rPr>
        <w:t>59.39</w:t>
      </w:r>
      <w:r>
        <w:rPr>
          <w:rFonts w:ascii="Arial" w:hAnsi="Arial"/>
          <w:b/>
          <w:color w:val="242B67"/>
          <w:spacing w:val="21"/>
          <w:sz w:val="19"/>
        </w:rPr>
        <w:t> </w:t>
      </w:r>
      <w:r>
        <w:rPr>
          <w:rFonts w:ascii="Arial" w:hAnsi="Arial"/>
          <w:b/>
          <w:sz w:val="19"/>
        </w:rPr>
        <w:t>A.</w:t>
      </w:r>
      <w:r>
        <w:rPr>
          <w:rFonts w:ascii="Arial" w:hAnsi="Arial"/>
          <w:b/>
          <w:spacing w:val="15"/>
          <w:sz w:val="19"/>
        </w:rPr>
        <w:t> </w:t>
      </w:r>
      <w:r>
        <w:rPr>
          <w:rFonts w:ascii="Microsoft Sans Serif" w:hAnsi="Microsoft Sans Serif"/>
          <w:sz w:val="19"/>
        </w:rPr>
        <w:t>Aspecto</w:t>
      </w:r>
      <w:r>
        <w:rPr>
          <w:rFonts w:ascii="Microsoft Sans Serif" w:hAnsi="Microsoft Sans Serif"/>
          <w:spacing w:val="33"/>
          <w:sz w:val="19"/>
        </w:rPr>
        <w:t> </w:t>
      </w:r>
      <w:r>
        <w:rPr>
          <w:rFonts w:ascii="Microsoft Sans Serif" w:hAnsi="Microsoft Sans Serif"/>
          <w:sz w:val="19"/>
        </w:rPr>
        <w:t>clínico</w:t>
      </w:r>
      <w:r>
        <w:rPr>
          <w:rFonts w:ascii="Microsoft Sans Serif" w:hAnsi="Microsoft Sans Serif"/>
          <w:spacing w:val="33"/>
          <w:sz w:val="19"/>
        </w:rPr>
        <w:t> </w:t>
      </w:r>
      <w:r>
        <w:rPr>
          <w:rFonts w:ascii="Microsoft Sans Serif" w:hAnsi="Microsoft Sans Serif"/>
          <w:sz w:val="19"/>
        </w:rPr>
        <w:t>mostrando</w:t>
      </w:r>
      <w:r>
        <w:rPr>
          <w:rFonts w:ascii="Microsoft Sans Serif" w:hAnsi="Microsoft Sans Serif"/>
          <w:spacing w:val="33"/>
          <w:sz w:val="19"/>
        </w:rPr>
        <w:t> </w:t>
      </w:r>
      <w:r>
        <w:rPr>
          <w:rFonts w:ascii="Microsoft Sans Serif" w:hAnsi="Microsoft Sans Serif"/>
          <w:sz w:val="19"/>
        </w:rPr>
        <w:t>tumoração</w:t>
      </w:r>
      <w:r>
        <w:rPr>
          <w:rFonts w:ascii="Microsoft Sans Serif" w:hAnsi="Microsoft Sans Serif"/>
          <w:spacing w:val="33"/>
          <w:sz w:val="19"/>
        </w:rPr>
        <w:t> </w:t>
      </w:r>
      <w:r>
        <w:rPr>
          <w:rFonts w:ascii="Microsoft Sans Serif" w:hAnsi="Microsoft Sans Serif"/>
          <w:sz w:val="19"/>
        </w:rPr>
        <w:t>na</w:t>
      </w:r>
      <w:r>
        <w:rPr>
          <w:rFonts w:ascii="Microsoft Sans Serif" w:hAnsi="Microsoft Sans Serif"/>
          <w:spacing w:val="33"/>
          <w:sz w:val="19"/>
        </w:rPr>
        <w:t> </w:t>
      </w:r>
      <w:r>
        <w:rPr>
          <w:rFonts w:ascii="Microsoft Sans Serif" w:hAnsi="Microsoft Sans Serif"/>
          <w:sz w:val="19"/>
        </w:rPr>
        <w:t>região</w:t>
      </w:r>
      <w:r>
        <w:rPr>
          <w:rFonts w:ascii="Microsoft Sans Serif" w:hAnsi="Microsoft Sans Serif"/>
          <w:spacing w:val="33"/>
          <w:sz w:val="19"/>
        </w:rPr>
        <w:t> </w:t>
      </w:r>
      <w:r>
        <w:rPr>
          <w:rFonts w:ascii="Microsoft Sans Serif" w:hAnsi="Microsoft Sans Serif"/>
          <w:sz w:val="19"/>
        </w:rPr>
        <w:t>supraclavicular</w:t>
      </w:r>
      <w:r>
        <w:rPr>
          <w:rFonts w:ascii="Microsoft Sans Serif" w:hAnsi="Microsoft Sans Serif"/>
          <w:spacing w:val="26"/>
          <w:sz w:val="19"/>
        </w:rPr>
        <w:t> </w:t>
      </w:r>
      <w:r>
        <w:rPr>
          <w:rFonts w:ascii="Microsoft Sans Serif" w:hAnsi="Microsoft Sans Serif"/>
          <w:sz w:val="19"/>
        </w:rPr>
        <w:t>direita.</w:t>
      </w:r>
      <w:r>
        <w:rPr>
          <w:rFonts w:ascii="Microsoft Sans Serif" w:hAnsi="Microsoft Sans Serif"/>
          <w:spacing w:val="19"/>
          <w:sz w:val="19"/>
        </w:rPr>
        <w:t> </w:t>
      </w:r>
      <w:r>
        <w:rPr>
          <w:rFonts w:ascii="Arial" w:hAnsi="Arial"/>
          <w:b/>
          <w:sz w:val="19"/>
        </w:rPr>
        <w:t>B.</w:t>
      </w:r>
      <w:r>
        <w:rPr>
          <w:rFonts w:ascii="Arial" w:hAnsi="Arial"/>
          <w:b/>
          <w:spacing w:val="14"/>
          <w:sz w:val="19"/>
        </w:rPr>
        <w:t> </w:t>
      </w:r>
      <w:r>
        <w:rPr>
          <w:rFonts w:ascii="Microsoft Sans Serif" w:hAnsi="Microsoft Sans Serif"/>
          <w:sz w:val="19"/>
        </w:rPr>
        <w:t>Radiografia</w:t>
      </w:r>
      <w:r>
        <w:rPr>
          <w:rFonts w:ascii="Microsoft Sans Serif" w:hAnsi="Microsoft Sans Serif"/>
          <w:spacing w:val="31"/>
          <w:sz w:val="19"/>
        </w:rPr>
        <w:t> </w:t>
      </w:r>
      <w:r>
        <w:rPr>
          <w:rFonts w:ascii="Microsoft Sans Serif" w:hAnsi="Microsoft Sans Serif"/>
          <w:sz w:val="19"/>
        </w:rPr>
        <w:t>simples</w:t>
      </w:r>
      <w:r>
        <w:rPr>
          <w:rFonts w:ascii="Microsoft Sans Serif" w:hAnsi="Microsoft Sans Serif"/>
          <w:spacing w:val="23"/>
          <w:sz w:val="19"/>
        </w:rPr>
        <w:t> </w:t>
      </w:r>
      <w:r>
        <w:rPr>
          <w:rFonts w:ascii="Microsoft Sans Serif" w:hAnsi="Microsoft Sans Serif"/>
          <w:sz w:val="19"/>
        </w:rPr>
        <w:t>revelando a origem da tumoração (costela cervical).</w:t>
      </w:r>
    </w:p>
    <w:p>
      <w:pPr>
        <w:spacing w:after="0" w:line="285" w:lineRule="auto"/>
        <w:jc w:val="both"/>
        <w:rPr>
          <w:rFonts w:ascii="Microsoft Sans Serif" w:hAnsi="Microsoft Sans Serif"/>
          <w:sz w:val="19"/>
        </w:rPr>
        <w:sectPr>
          <w:pgSz w:w="11900" w:h="16840"/>
          <w:pgMar w:top="140" w:bottom="280" w:left="566" w:right="141"/>
        </w:sectPr>
      </w:pPr>
    </w:p>
    <w:p>
      <w:pPr>
        <w:spacing w:line="240" w:lineRule="auto"/>
        <w:ind w:left="2693" w:right="0" w:firstLine="0"/>
        <w:rPr>
          <w:rFonts w:ascii="Microsoft Sans Serif"/>
          <w:sz w:val="20"/>
        </w:rPr>
      </w:pPr>
      <w:r>
        <w:rPr>
          <w:rFonts w:ascii="Microsoft Sans Serif"/>
          <w:sz w:val="20"/>
        </w:rPr>
        <w:drawing>
          <wp:inline distT="0" distB="0" distL="0" distR="0">
            <wp:extent cx="3424423" cy="2568321"/>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74" cstate="print"/>
                    <a:stretch>
                      <a:fillRect/>
                    </a:stretch>
                  </pic:blipFill>
                  <pic:spPr>
                    <a:xfrm>
                      <a:off x="0" y="0"/>
                      <a:ext cx="3424423" cy="2568321"/>
                    </a:xfrm>
                    <a:prstGeom prst="rect">
                      <a:avLst/>
                    </a:prstGeom>
                  </pic:spPr>
                </pic:pic>
              </a:graphicData>
            </a:graphic>
          </wp:inline>
        </w:drawing>
      </w:r>
      <w:r>
        <w:rPr>
          <w:rFonts w:ascii="Microsoft Sans Serif"/>
          <w:sz w:val="20"/>
        </w:rPr>
      </w:r>
    </w:p>
    <w:p>
      <w:pPr>
        <w:spacing w:before="184"/>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7"/>
          <w:sz w:val="19"/>
        </w:rPr>
        <w:t> </w:t>
      </w:r>
      <w:r>
        <w:rPr>
          <w:rFonts w:ascii="Arial" w:hAnsi="Arial"/>
          <w:b/>
          <w:color w:val="242B67"/>
          <w:sz w:val="19"/>
        </w:rPr>
        <w:t>59.40</w:t>
      </w:r>
      <w:r>
        <w:rPr>
          <w:rFonts w:ascii="Arial" w:hAnsi="Arial"/>
          <w:b/>
          <w:color w:val="242B67"/>
          <w:spacing w:val="18"/>
          <w:sz w:val="19"/>
        </w:rPr>
        <w:t> </w:t>
      </w:r>
      <w:r>
        <w:rPr>
          <w:rFonts w:ascii="Microsoft Sans Serif" w:hAnsi="Microsoft Sans Serif"/>
          <w:sz w:val="19"/>
        </w:rPr>
        <w:t>Trombose</w:t>
      </w:r>
      <w:r>
        <w:rPr>
          <w:rFonts w:ascii="Microsoft Sans Serif" w:hAnsi="Microsoft Sans Serif"/>
          <w:spacing w:val="20"/>
          <w:sz w:val="19"/>
        </w:rPr>
        <w:t> </w:t>
      </w:r>
      <w:r>
        <w:rPr>
          <w:rFonts w:ascii="Microsoft Sans Serif" w:hAnsi="Microsoft Sans Serif"/>
          <w:sz w:val="19"/>
        </w:rPr>
        <w:t>da</w:t>
      </w:r>
      <w:r>
        <w:rPr>
          <w:rFonts w:ascii="Microsoft Sans Serif" w:hAnsi="Microsoft Sans Serif"/>
          <w:spacing w:val="20"/>
          <w:sz w:val="19"/>
        </w:rPr>
        <w:t> </w:t>
      </w:r>
      <w:r>
        <w:rPr>
          <w:rFonts w:ascii="Microsoft Sans Serif" w:hAnsi="Microsoft Sans Serif"/>
          <w:sz w:val="19"/>
        </w:rPr>
        <w:t>artéria</w:t>
      </w:r>
      <w:r>
        <w:rPr>
          <w:rFonts w:ascii="Microsoft Sans Serif" w:hAnsi="Microsoft Sans Serif"/>
          <w:spacing w:val="20"/>
          <w:sz w:val="19"/>
        </w:rPr>
        <w:t> </w:t>
      </w:r>
      <w:r>
        <w:rPr>
          <w:rFonts w:ascii="Microsoft Sans Serif" w:hAnsi="Microsoft Sans Serif"/>
          <w:sz w:val="19"/>
        </w:rPr>
        <w:t>subclávia</w:t>
      </w:r>
      <w:r>
        <w:rPr>
          <w:rFonts w:ascii="Microsoft Sans Serif" w:hAnsi="Microsoft Sans Serif"/>
          <w:spacing w:val="20"/>
          <w:sz w:val="19"/>
        </w:rPr>
        <w:t> </w:t>
      </w:r>
      <w:r>
        <w:rPr>
          <w:rFonts w:ascii="Microsoft Sans Serif" w:hAnsi="Microsoft Sans Serif"/>
          <w:sz w:val="19"/>
        </w:rPr>
        <w:t>causada</w:t>
      </w:r>
      <w:r>
        <w:rPr>
          <w:rFonts w:ascii="Microsoft Sans Serif" w:hAnsi="Microsoft Sans Serif"/>
          <w:spacing w:val="19"/>
          <w:sz w:val="19"/>
        </w:rPr>
        <w:t> </w:t>
      </w:r>
      <w:r>
        <w:rPr>
          <w:rFonts w:ascii="Microsoft Sans Serif" w:hAnsi="Microsoft Sans Serif"/>
          <w:sz w:val="19"/>
        </w:rPr>
        <w:t>por</w:t>
      </w:r>
      <w:r>
        <w:rPr>
          <w:rFonts w:ascii="Microsoft Sans Serif" w:hAnsi="Microsoft Sans Serif"/>
          <w:spacing w:val="13"/>
          <w:sz w:val="19"/>
        </w:rPr>
        <w:t> </w:t>
      </w:r>
      <w:r>
        <w:rPr>
          <w:rFonts w:ascii="Microsoft Sans Serif" w:hAnsi="Microsoft Sans Serif"/>
          <w:sz w:val="19"/>
        </w:rPr>
        <w:t>malformação</w:t>
      </w:r>
      <w:r>
        <w:rPr>
          <w:rFonts w:ascii="Microsoft Sans Serif" w:hAnsi="Microsoft Sans Serif"/>
          <w:spacing w:val="20"/>
          <w:sz w:val="19"/>
        </w:rPr>
        <w:t> </w:t>
      </w:r>
      <w:r>
        <w:rPr>
          <w:rFonts w:ascii="Microsoft Sans Serif" w:hAnsi="Microsoft Sans Serif"/>
          <w:sz w:val="19"/>
        </w:rPr>
        <w:t>clavicular</w:t>
      </w:r>
      <w:r>
        <w:rPr>
          <w:rFonts w:ascii="Microsoft Sans Serif" w:hAnsi="Microsoft Sans Serif"/>
          <w:spacing w:val="13"/>
          <w:sz w:val="19"/>
        </w:rPr>
        <w:t> </w:t>
      </w:r>
      <w:r>
        <w:rPr>
          <w:rFonts w:ascii="Microsoft Sans Serif" w:hAnsi="Microsoft Sans Serif"/>
          <w:sz w:val="19"/>
        </w:rPr>
        <w:t>(disostose</w:t>
      </w:r>
      <w:r>
        <w:rPr>
          <w:rFonts w:ascii="Microsoft Sans Serif" w:hAnsi="Microsoft Sans Serif"/>
          <w:spacing w:val="20"/>
          <w:sz w:val="19"/>
        </w:rPr>
        <w:t> </w:t>
      </w:r>
      <w:r>
        <w:rPr>
          <w:rFonts w:ascii="Microsoft Sans Serif" w:hAnsi="Microsoft Sans Serif"/>
          <w:spacing w:val="-2"/>
          <w:sz w:val="19"/>
        </w:rPr>
        <w:t>clavicular).</w:t>
      </w:r>
    </w:p>
    <w:p>
      <w:pPr>
        <w:pStyle w:val="BodyText"/>
        <w:spacing w:before="155"/>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33408">
            <wp:simplePos x="0" y="0"/>
            <wp:positionH relativeFrom="page">
              <wp:posOffset>2201786</wp:posOffset>
            </wp:positionH>
            <wp:positionV relativeFrom="paragraph">
              <wp:posOffset>257542</wp:posOffset>
            </wp:positionV>
            <wp:extent cx="3159452" cy="2181034"/>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75" cstate="print"/>
                    <a:stretch>
                      <a:fillRect/>
                    </a:stretch>
                  </pic:blipFill>
                  <pic:spPr>
                    <a:xfrm>
                      <a:off x="0" y="0"/>
                      <a:ext cx="3159452" cy="2181034"/>
                    </a:xfrm>
                    <a:prstGeom prst="rect">
                      <a:avLst/>
                    </a:prstGeom>
                  </pic:spPr>
                </pic:pic>
              </a:graphicData>
            </a:graphic>
          </wp:anchor>
        </w:drawing>
      </w:r>
    </w:p>
    <w:p>
      <w:pPr>
        <w:spacing w:line="285" w:lineRule="auto" w:before="202"/>
        <w:ind w:left="68" w:right="497"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8"/>
          <w:sz w:val="19"/>
        </w:rPr>
        <w:t> </w:t>
      </w:r>
      <w:r>
        <w:rPr>
          <w:rFonts w:ascii="Arial" w:hAnsi="Arial"/>
          <w:b/>
          <w:color w:val="242B67"/>
          <w:sz w:val="19"/>
        </w:rPr>
        <w:t>59.41</w:t>
      </w:r>
      <w:r>
        <w:rPr>
          <w:rFonts w:ascii="Arial" w:hAnsi="Arial"/>
          <w:b/>
          <w:color w:val="242B67"/>
          <w:spacing w:val="23"/>
          <w:sz w:val="19"/>
        </w:rPr>
        <w:t> </w:t>
      </w:r>
      <w:r>
        <w:rPr>
          <w:rFonts w:ascii="Microsoft Sans Serif" w:hAnsi="Microsoft Sans Serif"/>
          <w:sz w:val="19"/>
        </w:rPr>
        <w:t>Consequência</w:t>
      </w:r>
      <w:r>
        <w:rPr>
          <w:rFonts w:ascii="Microsoft Sans Serif" w:hAnsi="Microsoft Sans Serif"/>
          <w:spacing w:val="26"/>
          <w:sz w:val="19"/>
        </w:rPr>
        <w:t> </w:t>
      </w:r>
      <w:r>
        <w:rPr>
          <w:rFonts w:ascii="Microsoft Sans Serif" w:hAnsi="Microsoft Sans Serif"/>
          <w:sz w:val="19"/>
        </w:rPr>
        <w:t>clínica</w:t>
      </w:r>
      <w:r>
        <w:rPr>
          <w:rFonts w:ascii="Microsoft Sans Serif" w:hAnsi="Microsoft Sans Serif"/>
          <w:spacing w:val="26"/>
          <w:sz w:val="19"/>
        </w:rPr>
        <w:t> </w:t>
      </w:r>
      <w:r>
        <w:rPr>
          <w:rFonts w:ascii="Microsoft Sans Serif" w:hAnsi="Microsoft Sans Serif"/>
          <w:sz w:val="19"/>
        </w:rPr>
        <w:t>avançada</w:t>
      </w:r>
      <w:r>
        <w:rPr>
          <w:rFonts w:ascii="Microsoft Sans Serif" w:hAnsi="Microsoft Sans Serif"/>
          <w:spacing w:val="26"/>
          <w:sz w:val="19"/>
        </w:rPr>
        <w:t> </w:t>
      </w:r>
      <w:r>
        <w:rPr>
          <w:rFonts w:ascii="Microsoft Sans Serif" w:hAnsi="Microsoft Sans Serif"/>
          <w:sz w:val="19"/>
        </w:rPr>
        <w:t>de</w:t>
      </w:r>
      <w:r>
        <w:rPr>
          <w:rFonts w:ascii="Microsoft Sans Serif" w:hAnsi="Microsoft Sans Serif"/>
          <w:spacing w:val="26"/>
          <w:sz w:val="19"/>
        </w:rPr>
        <w:t> </w:t>
      </w:r>
      <w:r>
        <w:rPr>
          <w:rFonts w:ascii="Microsoft Sans Serif" w:hAnsi="Microsoft Sans Serif"/>
          <w:sz w:val="19"/>
        </w:rPr>
        <w:t>compressão</w:t>
      </w:r>
      <w:r>
        <w:rPr>
          <w:rFonts w:ascii="Microsoft Sans Serif" w:hAnsi="Microsoft Sans Serif"/>
          <w:spacing w:val="26"/>
          <w:sz w:val="19"/>
        </w:rPr>
        <w:t> </w:t>
      </w:r>
      <w:r>
        <w:rPr>
          <w:rFonts w:ascii="Microsoft Sans Serif" w:hAnsi="Microsoft Sans Serif"/>
          <w:sz w:val="19"/>
        </w:rPr>
        <w:t>de</w:t>
      </w:r>
      <w:r>
        <w:rPr>
          <w:rFonts w:ascii="Microsoft Sans Serif" w:hAnsi="Microsoft Sans Serif"/>
          <w:spacing w:val="26"/>
          <w:sz w:val="19"/>
        </w:rPr>
        <w:t> </w:t>
      </w:r>
      <w:r>
        <w:rPr>
          <w:rFonts w:ascii="Microsoft Sans Serif" w:hAnsi="Microsoft Sans Serif"/>
          <w:sz w:val="19"/>
        </w:rPr>
        <w:t>artéria</w:t>
      </w:r>
      <w:r>
        <w:rPr>
          <w:rFonts w:ascii="Microsoft Sans Serif" w:hAnsi="Microsoft Sans Serif"/>
          <w:spacing w:val="26"/>
          <w:sz w:val="19"/>
        </w:rPr>
        <w:t> </w:t>
      </w:r>
      <w:r>
        <w:rPr>
          <w:rFonts w:ascii="Microsoft Sans Serif" w:hAnsi="Microsoft Sans Serif"/>
          <w:sz w:val="19"/>
        </w:rPr>
        <w:t>subclávia</w:t>
      </w:r>
      <w:r>
        <w:rPr>
          <w:rFonts w:ascii="Microsoft Sans Serif" w:hAnsi="Microsoft Sans Serif"/>
          <w:spacing w:val="26"/>
          <w:sz w:val="19"/>
        </w:rPr>
        <w:t> </w:t>
      </w:r>
      <w:r>
        <w:rPr>
          <w:rFonts w:ascii="Microsoft Sans Serif" w:hAnsi="Microsoft Sans Serif"/>
          <w:sz w:val="19"/>
        </w:rPr>
        <w:t>no</w:t>
      </w:r>
      <w:r>
        <w:rPr>
          <w:rFonts w:ascii="Microsoft Sans Serif" w:hAnsi="Microsoft Sans Serif"/>
          <w:spacing w:val="26"/>
          <w:sz w:val="19"/>
        </w:rPr>
        <w:t> </w:t>
      </w:r>
      <w:r>
        <w:rPr>
          <w:rFonts w:ascii="Microsoft Sans Serif" w:hAnsi="Microsoft Sans Serif"/>
          <w:sz w:val="19"/>
        </w:rPr>
        <w:t>desfiladeiro</w:t>
      </w:r>
      <w:r>
        <w:rPr>
          <w:rFonts w:ascii="Microsoft Sans Serif" w:hAnsi="Microsoft Sans Serif"/>
          <w:spacing w:val="26"/>
          <w:sz w:val="19"/>
        </w:rPr>
        <w:t> </w:t>
      </w:r>
      <w:r>
        <w:rPr>
          <w:rFonts w:ascii="Microsoft Sans Serif" w:hAnsi="Microsoft Sans Serif"/>
          <w:sz w:val="19"/>
        </w:rPr>
        <w:t>torácico. A</w:t>
      </w:r>
      <w:r>
        <w:rPr>
          <w:rFonts w:ascii="Microsoft Sans Serif" w:hAnsi="Microsoft Sans Serif"/>
          <w:spacing w:val="18"/>
          <w:sz w:val="19"/>
        </w:rPr>
        <w:t> </w:t>
      </w:r>
      <w:r>
        <w:rPr>
          <w:rFonts w:ascii="Microsoft Sans Serif" w:hAnsi="Microsoft Sans Serif"/>
          <w:sz w:val="19"/>
        </w:rPr>
        <w:t>formação</w:t>
      </w:r>
      <w:r>
        <w:rPr>
          <w:rFonts w:ascii="Microsoft Sans Serif" w:hAnsi="Microsoft Sans Serif"/>
          <w:spacing w:val="26"/>
          <w:sz w:val="19"/>
        </w:rPr>
        <w:t> </w:t>
      </w:r>
      <w:r>
        <w:rPr>
          <w:rFonts w:ascii="Microsoft Sans Serif" w:hAnsi="Microsoft Sans Serif"/>
          <w:sz w:val="19"/>
        </w:rPr>
        <w:t>de um</w:t>
      </w:r>
      <w:r>
        <w:rPr>
          <w:rFonts w:ascii="Microsoft Sans Serif" w:hAnsi="Microsoft Sans Serif"/>
          <w:spacing w:val="36"/>
          <w:sz w:val="19"/>
        </w:rPr>
        <w:t> </w:t>
      </w:r>
      <w:r>
        <w:rPr>
          <w:rFonts w:ascii="Microsoft Sans Serif" w:hAnsi="Microsoft Sans Serif"/>
          <w:sz w:val="19"/>
        </w:rPr>
        <w:t>aneurisma</w:t>
      </w:r>
      <w:r>
        <w:rPr>
          <w:rFonts w:ascii="Microsoft Sans Serif" w:hAnsi="Microsoft Sans Serif"/>
          <w:spacing w:val="40"/>
          <w:sz w:val="19"/>
        </w:rPr>
        <w:t> </w:t>
      </w:r>
      <w:r>
        <w:rPr>
          <w:rFonts w:ascii="Microsoft Sans Serif" w:hAnsi="Microsoft Sans Serif"/>
          <w:sz w:val="19"/>
        </w:rPr>
        <w:t>arterial</w:t>
      </w:r>
      <w:r>
        <w:rPr>
          <w:rFonts w:ascii="Microsoft Sans Serif" w:hAnsi="Microsoft Sans Serif"/>
          <w:spacing w:val="40"/>
          <w:sz w:val="19"/>
        </w:rPr>
        <w:t> </w:t>
      </w:r>
      <w:r>
        <w:rPr>
          <w:rFonts w:ascii="Microsoft Sans Serif" w:hAnsi="Microsoft Sans Serif"/>
          <w:sz w:val="19"/>
        </w:rPr>
        <w:t>pode</w:t>
      </w:r>
      <w:r>
        <w:rPr>
          <w:rFonts w:ascii="Microsoft Sans Serif" w:hAnsi="Microsoft Sans Serif"/>
          <w:spacing w:val="40"/>
          <w:sz w:val="19"/>
        </w:rPr>
        <w:t> </w:t>
      </w:r>
      <w:r>
        <w:rPr>
          <w:rFonts w:ascii="Microsoft Sans Serif" w:hAnsi="Microsoft Sans Serif"/>
          <w:sz w:val="19"/>
        </w:rPr>
        <w:t>determinar</w:t>
      </w:r>
      <w:r>
        <w:rPr>
          <w:rFonts w:ascii="Microsoft Sans Serif" w:hAnsi="Microsoft Sans Serif"/>
          <w:spacing w:val="36"/>
          <w:sz w:val="19"/>
        </w:rPr>
        <w:t> </w:t>
      </w:r>
      <w:r>
        <w:rPr>
          <w:rFonts w:ascii="Microsoft Sans Serif" w:hAnsi="Microsoft Sans Serif"/>
          <w:sz w:val="19"/>
        </w:rPr>
        <w:t>necrose</w:t>
      </w:r>
      <w:r>
        <w:rPr>
          <w:rFonts w:ascii="Microsoft Sans Serif" w:hAnsi="Microsoft Sans Serif"/>
          <w:spacing w:val="40"/>
          <w:sz w:val="19"/>
        </w:rPr>
        <w:t> </w:t>
      </w:r>
      <w:r>
        <w:rPr>
          <w:rFonts w:ascii="Microsoft Sans Serif" w:hAnsi="Microsoft Sans Serif"/>
          <w:sz w:val="19"/>
        </w:rPr>
        <w:t>digital</w:t>
      </w:r>
      <w:r>
        <w:rPr>
          <w:rFonts w:ascii="Microsoft Sans Serif" w:hAnsi="Microsoft Sans Serif"/>
          <w:spacing w:val="40"/>
          <w:sz w:val="19"/>
        </w:rPr>
        <w:t> </w:t>
      </w:r>
      <w:r>
        <w:rPr>
          <w:rFonts w:ascii="Microsoft Sans Serif" w:hAnsi="Microsoft Sans Serif"/>
          <w:sz w:val="19"/>
        </w:rPr>
        <w:t>por</w:t>
      </w:r>
      <w:r>
        <w:rPr>
          <w:rFonts w:ascii="Microsoft Sans Serif" w:hAnsi="Microsoft Sans Serif"/>
          <w:spacing w:val="36"/>
          <w:sz w:val="19"/>
        </w:rPr>
        <w:t> </w:t>
      </w:r>
      <w:r>
        <w:rPr>
          <w:rFonts w:ascii="Microsoft Sans Serif" w:hAnsi="Microsoft Sans Serif"/>
          <w:sz w:val="19"/>
        </w:rPr>
        <w:t>mecanismo</w:t>
      </w:r>
      <w:r>
        <w:rPr>
          <w:rFonts w:ascii="Microsoft Sans Serif" w:hAnsi="Microsoft Sans Serif"/>
          <w:spacing w:val="40"/>
          <w:sz w:val="19"/>
        </w:rPr>
        <w:t> </w:t>
      </w:r>
      <w:r>
        <w:rPr>
          <w:rFonts w:ascii="Microsoft Sans Serif" w:hAnsi="Microsoft Sans Serif"/>
          <w:sz w:val="19"/>
        </w:rPr>
        <w:t>de</w:t>
      </w:r>
      <w:r>
        <w:rPr>
          <w:rFonts w:ascii="Microsoft Sans Serif" w:hAnsi="Microsoft Sans Serif"/>
          <w:spacing w:val="40"/>
          <w:sz w:val="19"/>
        </w:rPr>
        <w:t> </w:t>
      </w:r>
      <w:r>
        <w:rPr>
          <w:rFonts w:ascii="Microsoft Sans Serif" w:hAnsi="Microsoft Sans Serif"/>
          <w:sz w:val="19"/>
        </w:rPr>
        <w:t>ateroembolismo.</w:t>
      </w:r>
    </w:p>
    <w:p>
      <w:pPr>
        <w:spacing w:after="0" w:line="285" w:lineRule="auto"/>
        <w:jc w:val="left"/>
        <w:rPr>
          <w:rFonts w:ascii="Microsoft Sans Serif" w:hAnsi="Microsoft Sans Serif"/>
          <w:sz w:val="19"/>
        </w:rPr>
        <w:sectPr>
          <w:pgSz w:w="11900" w:h="16840"/>
          <w:pgMar w:top="280" w:bottom="280" w:left="566" w:right="141"/>
        </w:sectPr>
      </w:pPr>
    </w:p>
    <w:p>
      <w:pPr>
        <w:spacing w:line="240" w:lineRule="auto"/>
        <w:ind w:left="2645" w:right="0" w:firstLine="0"/>
        <w:rPr>
          <w:rFonts w:ascii="Microsoft Sans Serif"/>
          <w:sz w:val="20"/>
        </w:rPr>
      </w:pPr>
      <w:r>
        <w:rPr>
          <w:rFonts w:ascii="Microsoft Sans Serif"/>
          <w:sz w:val="20"/>
        </w:rPr>
        <w:drawing>
          <wp:inline distT="0" distB="0" distL="0" distR="0">
            <wp:extent cx="3495775" cy="553412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76" cstate="print"/>
                    <a:stretch>
                      <a:fillRect/>
                    </a:stretch>
                  </pic:blipFill>
                  <pic:spPr>
                    <a:xfrm>
                      <a:off x="0" y="0"/>
                      <a:ext cx="3495775" cy="5534120"/>
                    </a:xfrm>
                    <a:prstGeom prst="rect">
                      <a:avLst/>
                    </a:prstGeom>
                  </pic:spPr>
                </pic:pic>
              </a:graphicData>
            </a:graphic>
          </wp:inline>
        </w:drawing>
      </w:r>
      <w:r>
        <w:rPr>
          <w:rFonts w:ascii="Microsoft Sans Serif"/>
          <w:sz w:val="20"/>
        </w:rPr>
      </w:r>
    </w:p>
    <w:p>
      <w:pPr>
        <w:spacing w:line="285" w:lineRule="auto" w:before="187"/>
        <w:ind w:left="68" w:right="0" w:firstLine="0"/>
        <w:jc w:val="left"/>
        <w:rPr>
          <w:rFonts w:ascii="Microsoft Sans Serif" w:hAnsi="Microsoft Sans Serif"/>
          <w:sz w:val="19"/>
        </w:rPr>
      </w:pPr>
      <w:r>
        <w:rPr>
          <w:rFonts w:ascii="Arial" w:hAnsi="Arial"/>
          <w:b/>
          <w:color w:val="242B67"/>
          <w:sz w:val="19"/>
        </w:rPr>
        <w:t>Figura 59.42 </w:t>
      </w:r>
      <w:r>
        <w:rPr>
          <w:rFonts w:ascii="Arial" w:hAnsi="Arial"/>
          <w:b/>
          <w:sz w:val="19"/>
        </w:rPr>
        <w:t>A.</w:t>
      </w:r>
      <w:r>
        <w:rPr>
          <w:rFonts w:ascii="Arial" w:hAnsi="Arial"/>
          <w:b/>
          <w:spacing w:val="16"/>
          <w:sz w:val="19"/>
        </w:rPr>
        <w:t> </w:t>
      </w:r>
      <w:r>
        <w:rPr>
          <w:rFonts w:ascii="Microsoft Sans Serif" w:hAnsi="Microsoft Sans Serif"/>
          <w:sz w:val="19"/>
        </w:rPr>
        <w:t>Edema</w:t>
      </w:r>
      <w:r>
        <w:rPr>
          <w:rFonts w:ascii="Microsoft Sans Serif" w:hAnsi="Microsoft Sans Serif"/>
          <w:spacing w:val="32"/>
          <w:sz w:val="19"/>
        </w:rPr>
        <w:t> </w:t>
      </w:r>
      <w:r>
        <w:rPr>
          <w:rFonts w:ascii="Microsoft Sans Serif" w:hAnsi="Microsoft Sans Serif"/>
          <w:sz w:val="19"/>
        </w:rPr>
        <w:t>do</w:t>
      </w:r>
      <w:r>
        <w:rPr>
          <w:rFonts w:ascii="Microsoft Sans Serif" w:hAnsi="Microsoft Sans Serif"/>
          <w:spacing w:val="32"/>
          <w:sz w:val="19"/>
        </w:rPr>
        <w:t> </w:t>
      </w:r>
      <w:r>
        <w:rPr>
          <w:rFonts w:ascii="Microsoft Sans Serif" w:hAnsi="Microsoft Sans Serif"/>
          <w:sz w:val="19"/>
        </w:rPr>
        <w:t>membro</w:t>
      </w:r>
      <w:r>
        <w:rPr>
          <w:rFonts w:ascii="Microsoft Sans Serif" w:hAnsi="Microsoft Sans Serif"/>
          <w:spacing w:val="32"/>
          <w:sz w:val="19"/>
        </w:rPr>
        <w:t> </w:t>
      </w:r>
      <w:r>
        <w:rPr>
          <w:rFonts w:ascii="Microsoft Sans Serif" w:hAnsi="Microsoft Sans Serif"/>
          <w:sz w:val="19"/>
        </w:rPr>
        <w:t>superior</w:t>
      </w:r>
      <w:r>
        <w:rPr>
          <w:rFonts w:ascii="Microsoft Sans Serif" w:hAnsi="Microsoft Sans Serif"/>
          <w:spacing w:val="25"/>
          <w:sz w:val="19"/>
        </w:rPr>
        <w:t> </w:t>
      </w:r>
      <w:r>
        <w:rPr>
          <w:rFonts w:ascii="Microsoft Sans Serif" w:hAnsi="Microsoft Sans Serif"/>
          <w:sz w:val="19"/>
        </w:rPr>
        <w:t>direito</w:t>
      </w:r>
      <w:r>
        <w:rPr>
          <w:rFonts w:ascii="Microsoft Sans Serif" w:hAnsi="Microsoft Sans Serif"/>
          <w:spacing w:val="32"/>
          <w:sz w:val="19"/>
        </w:rPr>
        <w:t> </w:t>
      </w:r>
      <w:r>
        <w:rPr>
          <w:rFonts w:ascii="Microsoft Sans Serif" w:hAnsi="Microsoft Sans Serif"/>
          <w:sz w:val="19"/>
        </w:rPr>
        <w:t>secundário</w:t>
      </w:r>
      <w:r>
        <w:rPr>
          <w:rFonts w:ascii="Microsoft Sans Serif" w:hAnsi="Microsoft Sans Serif"/>
          <w:spacing w:val="32"/>
          <w:sz w:val="19"/>
        </w:rPr>
        <w:t> </w:t>
      </w:r>
      <w:r>
        <w:rPr>
          <w:rFonts w:ascii="Microsoft Sans Serif" w:hAnsi="Microsoft Sans Serif"/>
          <w:sz w:val="19"/>
        </w:rPr>
        <w:t>à</w:t>
      </w:r>
      <w:r>
        <w:rPr>
          <w:rFonts w:ascii="Microsoft Sans Serif" w:hAnsi="Microsoft Sans Serif"/>
          <w:spacing w:val="32"/>
          <w:sz w:val="19"/>
        </w:rPr>
        <w:t> </w:t>
      </w:r>
      <w:r>
        <w:rPr>
          <w:rFonts w:ascii="Microsoft Sans Serif" w:hAnsi="Microsoft Sans Serif"/>
          <w:sz w:val="19"/>
        </w:rPr>
        <w:t>trombose</w:t>
      </w:r>
      <w:r>
        <w:rPr>
          <w:rFonts w:ascii="Microsoft Sans Serif" w:hAnsi="Microsoft Sans Serif"/>
          <w:spacing w:val="32"/>
          <w:sz w:val="19"/>
        </w:rPr>
        <w:t> </w:t>
      </w:r>
      <w:r>
        <w:rPr>
          <w:rFonts w:ascii="Microsoft Sans Serif" w:hAnsi="Microsoft Sans Serif"/>
          <w:sz w:val="19"/>
        </w:rPr>
        <w:t>venosa</w:t>
      </w:r>
      <w:r>
        <w:rPr>
          <w:rFonts w:ascii="Microsoft Sans Serif" w:hAnsi="Microsoft Sans Serif"/>
          <w:spacing w:val="32"/>
          <w:sz w:val="19"/>
        </w:rPr>
        <w:t> </w:t>
      </w:r>
      <w:r>
        <w:rPr>
          <w:rFonts w:ascii="Microsoft Sans Serif" w:hAnsi="Microsoft Sans Serif"/>
          <w:sz w:val="19"/>
        </w:rPr>
        <w:t>por</w:t>
      </w:r>
      <w:r>
        <w:rPr>
          <w:rFonts w:ascii="Microsoft Sans Serif" w:hAnsi="Microsoft Sans Serif"/>
          <w:spacing w:val="25"/>
          <w:sz w:val="19"/>
        </w:rPr>
        <w:t> </w:t>
      </w:r>
      <w:r>
        <w:rPr>
          <w:rFonts w:ascii="Microsoft Sans Serif" w:hAnsi="Microsoft Sans Serif"/>
          <w:sz w:val="19"/>
        </w:rPr>
        <w:t>compressão</w:t>
      </w:r>
      <w:r>
        <w:rPr>
          <w:rFonts w:ascii="Microsoft Sans Serif" w:hAnsi="Microsoft Sans Serif"/>
          <w:spacing w:val="32"/>
          <w:sz w:val="19"/>
        </w:rPr>
        <w:t> </w:t>
      </w:r>
      <w:r>
        <w:rPr>
          <w:rFonts w:ascii="Microsoft Sans Serif" w:hAnsi="Microsoft Sans Serif"/>
          <w:sz w:val="19"/>
        </w:rPr>
        <w:t>costoclavicular.</w:t>
      </w:r>
      <w:r>
        <w:rPr>
          <w:rFonts w:ascii="Microsoft Sans Serif" w:hAnsi="Microsoft Sans Serif"/>
          <w:spacing w:val="18"/>
          <w:sz w:val="19"/>
        </w:rPr>
        <w:t> </w:t>
      </w:r>
      <w:r>
        <w:rPr>
          <w:rFonts w:ascii="Arial" w:hAnsi="Arial"/>
          <w:b/>
          <w:sz w:val="19"/>
        </w:rPr>
        <w:t>B.</w:t>
      </w:r>
      <w:r>
        <w:rPr>
          <w:rFonts w:ascii="Arial" w:hAnsi="Arial"/>
          <w:b/>
          <w:spacing w:val="20"/>
          <w:sz w:val="19"/>
        </w:rPr>
        <w:t> </w:t>
      </w:r>
      <w:r>
        <w:rPr>
          <w:rFonts w:ascii="Microsoft Sans Serif" w:hAnsi="Microsoft Sans Serif"/>
          <w:sz w:val="19"/>
        </w:rPr>
        <w:t>A flebografia revela obstrução da veia subclávia.</w:t>
      </w:r>
    </w:p>
    <w:p>
      <w:pPr>
        <w:pStyle w:val="BodyText"/>
        <w:ind w:left="0" w:firstLine="0"/>
        <w:jc w:val="left"/>
        <w:rPr>
          <w:rFonts w:ascii="Microsoft Sans Serif"/>
          <w:sz w:val="19"/>
        </w:rPr>
      </w:pPr>
    </w:p>
    <w:p>
      <w:pPr>
        <w:pStyle w:val="BodyText"/>
        <w:spacing w:line="276" w:lineRule="auto" w:before="0"/>
        <w:ind w:right="501"/>
      </w:pPr>
      <w:r>
        <w:rPr/>
        <w:t>A forma neurogênica da síndrome do desfiladeiro torácico é a forma mais comum. Existem duas formas neurogênicas: a verdadeira e a inespecífica.</w:t>
      </w:r>
    </w:p>
    <w:p>
      <w:pPr>
        <w:pStyle w:val="BodyText"/>
        <w:spacing w:line="283" w:lineRule="auto" w:before="64"/>
        <w:ind w:right="497"/>
      </w:pPr>
      <w:r>
        <w:rPr/>
        <w:t>A forma neurogênica verdadeira é rara, geralmente unilateral, com predomínio em crianças e mulheres jovens. Está associada a costela cervical, primeira costela rudimentar ou com um processo transverso aumentado (C</w:t>
      </w:r>
      <w:r>
        <w:rPr>
          <w:vertAlign w:val="subscript"/>
        </w:rPr>
        <w:t>7</w:t>
      </w:r>
      <w:r>
        <w:rPr>
          <w:vertAlign w:val="baseline"/>
        </w:rPr>
        <w:t>). Predomina a compressão das fibras proximais do tronco inferior do plexo, com sintomas predominantemente motores, a saber, fraqueza da mão e antebraço, atrofia da musculatura, em especial da eminência tênar (</w:t>
      </w:r>
      <w:r>
        <w:rPr>
          <w:color w:val="505050"/>
          <w:vertAlign w:val="baseline"/>
        </w:rPr>
        <w:t>Figura 59.43</w:t>
      </w:r>
      <w:r>
        <w:rPr>
          <w:vertAlign w:val="baseline"/>
        </w:rPr>
        <w:t>). O</w:t>
      </w:r>
      <w:r>
        <w:rPr>
          <w:spacing w:val="-2"/>
          <w:vertAlign w:val="baseline"/>
        </w:rPr>
        <w:t> </w:t>
      </w:r>
      <w:r>
        <w:rPr>
          <w:vertAlign w:val="baseline"/>
        </w:rPr>
        <w:t>exame</w:t>
      </w:r>
      <w:r>
        <w:rPr>
          <w:spacing w:val="-2"/>
          <w:vertAlign w:val="baseline"/>
        </w:rPr>
        <w:t> </w:t>
      </w:r>
      <w:r>
        <w:rPr>
          <w:vertAlign w:val="baseline"/>
        </w:rPr>
        <w:t>clínico demonstra</w:t>
      </w:r>
      <w:r>
        <w:rPr>
          <w:spacing w:val="-2"/>
          <w:vertAlign w:val="baseline"/>
        </w:rPr>
        <w:t> </w:t>
      </w:r>
      <w:r>
        <w:rPr>
          <w:vertAlign w:val="baseline"/>
        </w:rPr>
        <w:t>fraqueza</w:t>
      </w:r>
      <w:r>
        <w:rPr>
          <w:spacing w:val="-2"/>
          <w:vertAlign w:val="baseline"/>
        </w:rPr>
        <w:t> </w:t>
      </w:r>
      <w:r>
        <w:rPr>
          <w:vertAlign w:val="baseline"/>
        </w:rPr>
        <w:t>da</w:t>
      </w:r>
      <w:r>
        <w:rPr>
          <w:spacing w:val="-2"/>
          <w:vertAlign w:val="baseline"/>
        </w:rPr>
        <w:t> </w:t>
      </w:r>
      <w:r>
        <w:rPr>
          <w:vertAlign w:val="baseline"/>
        </w:rPr>
        <w:t>mão e</w:t>
      </w:r>
      <w:r>
        <w:rPr>
          <w:spacing w:val="-2"/>
          <w:vertAlign w:val="baseline"/>
        </w:rPr>
        <w:t> </w:t>
      </w:r>
      <w:r>
        <w:rPr>
          <w:vertAlign w:val="baseline"/>
        </w:rPr>
        <w:t>déficit de</w:t>
      </w:r>
      <w:r>
        <w:rPr>
          <w:spacing w:val="-2"/>
          <w:vertAlign w:val="baseline"/>
        </w:rPr>
        <w:t> </w:t>
      </w:r>
      <w:r>
        <w:rPr>
          <w:vertAlign w:val="baseline"/>
        </w:rPr>
        <w:t>sensibilidade</w:t>
      </w:r>
      <w:r>
        <w:rPr>
          <w:spacing w:val="-2"/>
          <w:vertAlign w:val="baseline"/>
        </w:rPr>
        <w:t> </w:t>
      </w:r>
      <w:r>
        <w:rPr>
          <w:vertAlign w:val="baseline"/>
        </w:rPr>
        <w:t>no trajeto de</w:t>
      </w:r>
      <w:r>
        <w:rPr>
          <w:spacing w:val="-2"/>
          <w:vertAlign w:val="baseline"/>
        </w:rPr>
        <w:t> </w:t>
      </w:r>
      <w:r>
        <w:rPr>
          <w:vertAlign w:val="baseline"/>
        </w:rPr>
        <w:t>T</w:t>
      </w:r>
      <w:r>
        <w:rPr>
          <w:vertAlign w:val="subscript"/>
        </w:rPr>
        <w:t>1</w:t>
      </w:r>
      <w:r>
        <w:rPr>
          <w:vertAlign w:val="baseline"/>
        </w:rPr>
        <w:t> (axila</w:t>
      </w:r>
      <w:r>
        <w:rPr>
          <w:spacing w:val="-3"/>
          <w:vertAlign w:val="baseline"/>
        </w:rPr>
        <w:t> </w:t>
      </w:r>
      <w:r>
        <w:rPr>
          <w:vertAlign w:val="baseline"/>
        </w:rPr>
        <w:t>e</w:t>
      </w:r>
      <w:r>
        <w:rPr>
          <w:spacing w:val="-3"/>
          <w:vertAlign w:val="baseline"/>
        </w:rPr>
        <w:t> </w:t>
      </w:r>
      <w:r>
        <w:rPr>
          <w:vertAlign w:val="baseline"/>
        </w:rPr>
        <w:t>face</w:t>
      </w:r>
      <w:r>
        <w:rPr>
          <w:spacing w:val="-3"/>
          <w:vertAlign w:val="baseline"/>
        </w:rPr>
        <w:t> </w:t>
      </w:r>
      <w:r>
        <w:rPr>
          <w:vertAlign w:val="baseline"/>
        </w:rPr>
        <w:t>anterior do</w:t>
      </w:r>
      <w:r>
        <w:rPr>
          <w:spacing w:val="-15"/>
          <w:vertAlign w:val="baseline"/>
        </w:rPr>
        <w:t> </w:t>
      </w:r>
      <w:r>
        <w:rPr>
          <w:vertAlign w:val="baseline"/>
        </w:rPr>
        <w:t>antebraço).</w:t>
      </w:r>
      <w:r>
        <w:rPr>
          <w:spacing w:val="-5"/>
          <w:vertAlign w:val="baseline"/>
        </w:rPr>
        <w:t> </w:t>
      </w:r>
      <w:r>
        <w:rPr>
          <w:vertAlign w:val="baseline"/>
        </w:rPr>
        <w:t>A</w:t>
      </w:r>
      <w:r>
        <w:rPr>
          <w:spacing w:val="-15"/>
          <w:vertAlign w:val="baseline"/>
        </w:rPr>
        <w:t> </w:t>
      </w:r>
      <w:r>
        <w:rPr>
          <w:vertAlign w:val="baseline"/>
        </w:rPr>
        <w:t>eletroneuromiografia</w:t>
      </w:r>
      <w:r>
        <w:rPr>
          <w:spacing w:val="-14"/>
          <w:vertAlign w:val="baseline"/>
        </w:rPr>
        <w:t> </w:t>
      </w:r>
      <w:r>
        <w:rPr>
          <w:vertAlign w:val="baseline"/>
        </w:rPr>
        <w:t>revela</w:t>
      </w:r>
      <w:r>
        <w:rPr>
          <w:spacing w:val="-15"/>
          <w:vertAlign w:val="baseline"/>
        </w:rPr>
        <w:t> </w:t>
      </w:r>
      <w:r>
        <w:rPr>
          <w:vertAlign w:val="baseline"/>
        </w:rPr>
        <w:t>aqui</w:t>
      </w:r>
      <w:r>
        <w:rPr>
          <w:spacing w:val="-10"/>
          <w:vertAlign w:val="baseline"/>
        </w:rPr>
        <w:t> </w:t>
      </w:r>
      <w:r>
        <w:rPr>
          <w:vertAlign w:val="baseline"/>
        </w:rPr>
        <w:t>comprometimento</w:t>
      </w:r>
      <w:r>
        <w:rPr>
          <w:spacing w:val="-13"/>
          <w:vertAlign w:val="baseline"/>
        </w:rPr>
        <w:t> </w:t>
      </w:r>
      <w:r>
        <w:rPr>
          <w:vertAlign w:val="baseline"/>
        </w:rPr>
        <w:t>específico</w:t>
      </w:r>
      <w:r>
        <w:rPr>
          <w:spacing w:val="-13"/>
          <w:vertAlign w:val="baseline"/>
        </w:rPr>
        <w:t> </w:t>
      </w:r>
      <w:r>
        <w:rPr>
          <w:vertAlign w:val="baseline"/>
        </w:rPr>
        <w:t>da</w:t>
      </w:r>
      <w:r>
        <w:rPr>
          <w:spacing w:val="-15"/>
          <w:vertAlign w:val="baseline"/>
        </w:rPr>
        <w:t> </w:t>
      </w:r>
      <w:r>
        <w:rPr>
          <w:vertAlign w:val="baseline"/>
        </w:rPr>
        <w:t>área</w:t>
      </w:r>
      <w:r>
        <w:rPr>
          <w:spacing w:val="-14"/>
          <w:vertAlign w:val="baseline"/>
        </w:rPr>
        <w:t> </w:t>
      </w:r>
      <w:r>
        <w:rPr>
          <w:vertAlign w:val="baseline"/>
        </w:rPr>
        <w:t>inervada</w:t>
      </w:r>
      <w:r>
        <w:rPr>
          <w:spacing w:val="-15"/>
          <w:vertAlign w:val="baseline"/>
        </w:rPr>
        <w:t> </w:t>
      </w:r>
      <w:r>
        <w:rPr>
          <w:vertAlign w:val="baseline"/>
        </w:rPr>
        <w:t>pelo</w:t>
      </w:r>
      <w:r>
        <w:rPr>
          <w:spacing w:val="-12"/>
          <w:vertAlign w:val="baseline"/>
        </w:rPr>
        <w:t> </w:t>
      </w:r>
      <w:r>
        <w:rPr>
          <w:vertAlign w:val="baseline"/>
        </w:rPr>
        <w:t>tronco</w:t>
      </w:r>
      <w:r>
        <w:rPr>
          <w:spacing w:val="-13"/>
          <w:vertAlign w:val="baseline"/>
        </w:rPr>
        <w:t> </w:t>
      </w:r>
      <w:r>
        <w:rPr>
          <w:vertAlign w:val="baseline"/>
        </w:rPr>
        <w:t>inferior do plexo.</w:t>
      </w:r>
      <w:r>
        <w:rPr>
          <w:vertAlign w:val="superscript"/>
        </w:rPr>
        <w:t>9</w:t>
      </w:r>
    </w:p>
    <w:p>
      <w:pPr>
        <w:pStyle w:val="BodyText"/>
        <w:spacing w:line="280" w:lineRule="auto" w:before="42"/>
        <w:ind w:right="491"/>
      </w:pPr>
      <w:r>
        <w:rPr/>
        <w:t>A forma neurológica inespecífica também é mais frequente em mulheres, acometendo adultos e sendo geralmente bilateral. Trauma agudo levando a hiperextensão do pescoço (síndrome da chicotada) ou trauma repetitivo (o trauma causaria a lesão dos músculos escalenos com inflamação, fibrose e/ou hipertrofia, desencadeando</w:t>
      </w:r>
      <w:r>
        <w:rPr>
          <w:spacing w:val="-10"/>
        </w:rPr>
        <w:t> </w:t>
      </w:r>
      <w:r>
        <w:rPr/>
        <w:t>o</w:t>
      </w:r>
      <w:r>
        <w:rPr>
          <w:spacing w:val="-10"/>
        </w:rPr>
        <w:t> </w:t>
      </w:r>
      <w:r>
        <w:rPr/>
        <w:t>processo)</w:t>
      </w:r>
      <w:r>
        <w:rPr>
          <w:vertAlign w:val="superscript"/>
        </w:rPr>
        <w:t>14</w:t>
      </w:r>
      <w:r>
        <w:rPr>
          <w:spacing w:val="-3"/>
          <w:vertAlign w:val="baseline"/>
        </w:rPr>
        <w:t> </w:t>
      </w:r>
      <w:r>
        <w:rPr>
          <w:vertAlign w:val="baseline"/>
        </w:rPr>
        <w:t>provoca</w:t>
      </w:r>
      <w:r>
        <w:rPr>
          <w:spacing w:val="-12"/>
          <w:vertAlign w:val="baseline"/>
        </w:rPr>
        <w:t> </w:t>
      </w:r>
      <w:r>
        <w:rPr>
          <w:vertAlign w:val="baseline"/>
        </w:rPr>
        <w:t>os</w:t>
      </w:r>
      <w:r>
        <w:rPr>
          <w:spacing w:val="-2"/>
          <w:vertAlign w:val="baseline"/>
        </w:rPr>
        <w:t> </w:t>
      </w:r>
      <w:r>
        <w:rPr>
          <w:vertAlign w:val="baseline"/>
        </w:rPr>
        <w:t>sintomas</w:t>
      </w:r>
      <w:r>
        <w:rPr>
          <w:spacing w:val="-2"/>
          <w:vertAlign w:val="baseline"/>
        </w:rPr>
        <w:t> </w:t>
      </w:r>
      <w:r>
        <w:rPr>
          <w:vertAlign w:val="baseline"/>
        </w:rPr>
        <w:t>em</w:t>
      </w:r>
      <w:r>
        <w:rPr>
          <w:spacing w:val="-10"/>
          <w:vertAlign w:val="baseline"/>
        </w:rPr>
        <w:t> </w:t>
      </w:r>
      <w:r>
        <w:rPr>
          <w:vertAlign w:val="baseline"/>
        </w:rPr>
        <w:t>pacientes</w:t>
      </w:r>
      <w:r>
        <w:rPr>
          <w:spacing w:val="-2"/>
          <w:vertAlign w:val="baseline"/>
        </w:rPr>
        <w:t> </w:t>
      </w:r>
      <w:r>
        <w:rPr>
          <w:vertAlign w:val="baseline"/>
        </w:rPr>
        <w:t>com</w:t>
      </w:r>
      <w:r>
        <w:rPr>
          <w:spacing w:val="-10"/>
          <w:vertAlign w:val="baseline"/>
        </w:rPr>
        <w:t> </w:t>
      </w:r>
      <w:r>
        <w:rPr>
          <w:vertAlign w:val="baseline"/>
        </w:rPr>
        <w:t>fatores</w:t>
      </w:r>
      <w:r>
        <w:rPr>
          <w:spacing w:val="-2"/>
          <w:vertAlign w:val="baseline"/>
        </w:rPr>
        <w:t> </w:t>
      </w:r>
      <w:r>
        <w:rPr>
          <w:vertAlign w:val="baseline"/>
        </w:rPr>
        <w:t>predisponentes,</w:t>
      </w:r>
      <w:r>
        <w:rPr>
          <w:spacing w:val="-2"/>
          <w:vertAlign w:val="baseline"/>
        </w:rPr>
        <w:t> </w:t>
      </w:r>
      <w:r>
        <w:rPr>
          <w:vertAlign w:val="baseline"/>
        </w:rPr>
        <w:t>como</w:t>
      </w:r>
      <w:r>
        <w:rPr>
          <w:spacing w:val="-10"/>
          <w:vertAlign w:val="baseline"/>
        </w:rPr>
        <w:t> </w:t>
      </w:r>
      <w:r>
        <w:rPr>
          <w:vertAlign w:val="baseline"/>
        </w:rPr>
        <w:t>alterações</w:t>
      </w:r>
      <w:r>
        <w:rPr>
          <w:spacing w:val="-2"/>
          <w:vertAlign w:val="baseline"/>
        </w:rPr>
        <w:t> </w:t>
      </w:r>
      <w:r>
        <w:rPr>
          <w:vertAlign w:val="baseline"/>
        </w:rPr>
        <w:t>ósseas (costela cervical, apófise transversa de C</w:t>
      </w:r>
      <w:r>
        <w:rPr>
          <w:vertAlign w:val="subscript"/>
        </w:rPr>
        <w:t>7</w:t>
      </w:r>
      <w:r>
        <w:rPr>
          <w:vertAlign w:val="baseline"/>
        </w:rPr>
        <w:t> aumentada, ombros caídos, com redução do espaço costoclavicular) ou, de modo muito mais frequente, bandas musculofibróticas na área do desfiladeiro (tanto em estudos de necropsia como em procedimentos cirúrgicos, várias formas de bandas foram descritas: banda unindo uma costela cervical incompleta</w:t>
      </w:r>
      <w:r>
        <w:rPr>
          <w:spacing w:val="-6"/>
          <w:vertAlign w:val="baseline"/>
        </w:rPr>
        <w:t> </w:t>
      </w:r>
      <w:r>
        <w:rPr>
          <w:vertAlign w:val="baseline"/>
        </w:rPr>
        <w:t>com</w:t>
      </w:r>
      <w:r>
        <w:rPr>
          <w:spacing w:val="-3"/>
          <w:vertAlign w:val="baseline"/>
        </w:rPr>
        <w:t> </w:t>
      </w:r>
      <w:r>
        <w:rPr>
          <w:vertAlign w:val="baseline"/>
        </w:rPr>
        <w:t>a</w:t>
      </w:r>
      <w:r>
        <w:rPr>
          <w:spacing w:val="-6"/>
          <w:vertAlign w:val="baseline"/>
        </w:rPr>
        <w:t> </w:t>
      </w:r>
      <w:r>
        <w:rPr>
          <w:vertAlign w:val="baseline"/>
        </w:rPr>
        <w:t>primeira</w:t>
      </w:r>
      <w:r>
        <w:rPr>
          <w:spacing w:val="-6"/>
          <w:vertAlign w:val="baseline"/>
        </w:rPr>
        <w:t> </w:t>
      </w:r>
      <w:r>
        <w:rPr>
          <w:vertAlign w:val="baseline"/>
        </w:rPr>
        <w:t>costela, banda</w:t>
      </w:r>
      <w:r>
        <w:rPr>
          <w:spacing w:val="-6"/>
          <w:vertAlign w:val="baseline"/>
        </w:rPr>
        <w:t> </w:t>
      </w:r>
      <w:r>
        <w:rPr>
          <w:vertAlign w:val="baseline"/>
        </w:rPr>
        <w:t>unindo</w:t>
      </w:r>
      <w:r>
        <w:rPr>
          <w:spacing w:val="-3"/>
          <w:vertAlign w:val="baseline"/>
        </w:rPr>
        <w:t> </w:t>
      </w:r>
      <w:r>
        <w:rPr>
          <w:vertAlign w:val="baseline"/>
        </w:rPr>
        <w:t>a</w:t>
      </w:r>
      <w:r>
        <w:rPr>
          <w:spacing w:val="-6"/>
          <w:vertAlign w:val="baseline"/>
        </w:rPr>
        <w:t> </w:t>
      </w:r>
      <w:r>
        <w:rPr>
          <w:vertAlign w:val="baseline"/>
        </w:rPr>
        <w:t>apófise</w:t>
      </w:r>
      <w:r>
        <w:rPr>
          <w:spacing w:val="-6"/>
          <w:vertAlign w:val="baseline"/>
        </w:rPr>
        <w:t> </w:t>
      </w:r>
      <w:r>
        <w:rPr>
          <w:vertAlign w:val="baseline"/>
        </w:rPr>
        <w:t>transversa</w:t>
      </w:r>
      <w:r>
        <w:rPr>
          <w:spacing w:val="-6"/>
          <w:vertAlign w:val="baseline"/>
        </w:rPr>
        <w:t> </w:t>
      </w:r>
      <w:r>
        <w:rPr>
          <w:vertAlign w:val="baseline"/>
        </w:rPr>
        <w:t>de</w:t>
      </w:r>
      <w:r>
        <w:rPr>
          <w:spacing w:val="-6"/>
          <w:vertAlign w:val="baseline"/>
        </w:rPr>
        <w:t> </w:t>
      </w:r>
      <w:r>
        <w:rPr>
          <w:vertAlign w:val="baseline"/>
        </w:rPr>
        <w:t>C</w:t>
      </w:r>
      <w:r>
        <w:rPr>
          <w:vertAlign w:val="subscript"/>
        </w:rPr>
        <w:t>7</w:t>
      </w:r>
      <w:r>
        <w:rPr>
          <w:vertAlign w:val="baseline"/>
        </w:rPr>
        <w:t> à</w:t>
      </w:r>
      <w:r>
        <w:rPr>
          <w:spacing w:val="-7"/>
          <w:vertAlign w:val="baseline"/>
        </w:rPr>
        <w:t> </w:t>
      </w:r>
      <w:r>
        <w:rPr>
          <w:vertAlign w:val="baseline"/>
        </w:rPr>
        <w:t>primeira</w:t>
      </w:r>
      <w:r>
        <w:rPr>
          <w:spacing w:val="-7"/>
          <w:vertAlign w:val="baseline"/>
        </w:rPr>
        <w:t> </w:t>
      </w:r>
      <w:r>
        <w:rPr>
          <w:vertAlign w:val="baseline"/>
        </w:rPr>
        <w:t>costela, banda</w:t>
      </w:r>
      <w:r>
        <w:rPr>
          <w:spacing w:val="-7"/>
          <w:vertAlign w:val="baseline"/>
        </w:rPr>
        <w:t> </w:t>
      </w:r>
      <w:r>
        <w:rPr>
          <w:vertAlign w:val="baseline"/>
        </w:rPr>
        <w:t>que</w:t>
      </w:r>
      <w:r>
        <w:rPr>
          <w:spacing w:val="-7"/>
          <w:vertAlign w:val="baseline"/>
        </w:rPr>
        <w:t> </w:t>
      </w:r>
      <w:r>
        <w:rPr>
          <w:vertAlign w:val="baseline"/>
        </w:rPr>
        <w:t>se</w:t>
      </w:r>
      <w:r>
        <w:rPr>
          <w:spacing w:val="-7"/>
          <w:vertAlign w:val="baseline"/>
        </w:rPr>
        <w:t> </w:t>
      </w:r>
      <w:r>
        <w:rPr>
          <w:vertAlign w:val="baseline"/>
        </w:rPr>
        <w:t>origina no colo do primeira</w:t>
      </w:r>
      <w:r>
        <w:rPr>
          <w:spacing w:val="-1"/>
          <w:vertAlign w:val="baseline"/>
        </w:rPr>
        <w:t> </w:t>
      </w:r>
      <w:r>
        <w:rPr>
          <w:vertAlign w:val="baseline"/>
        </w:rPr>
        <w:t>costela</w:t>
      </w:r>
      <w:r>
        <w:rPr>
          <w:spacing w:val="-1"/>
          <w:vertAlign w:val="baseline"/>
        </w:rPr>
        <w:t> </w:t>
      </w:r>
      <w:r>
        <w:rPr>
          <w:vertAlign w:val="baseline"/>
        </w:rPr>
        <w:t>e</w:t>
      </w:r>
      <w:r>
        <w:rPr>
          <w:spacing w:val="-1"/>
          <w:vertAlign w:val="baseline"/>
        </w:rPr>
        <w:t> </w:t>
      </w:r>
      <w:r>
        <w:rPr>
          <w:vertAlign w:val="baseline"/>
        </w:rPr>
        <w:t>termina</w:t>
      </w:r>
      <w:r>
        <w:rPr>
          <w:spacing w:val="-1"/>
          <w:vertAlign w:val="baseline"/>
        </w:rPr>
        <w:t> </w:t>
      </w:r>
      <w:r>
        <w:rPr>
          <w:vertAlign w:val="baseline"/>
        </w:rPr>
        <w:t>junto ao tubérculo de</w:t>
      </w:r>
      <w:r>
        <w:rPr>
          <w:spacing w:val="-1"/>
          <w:vertAlign w:val="baseline"/>
        </w:rPr>
        <w:t> </w:t>
      </w:r>
      <w:r>
        <w:rPr>
          <w:vertAlign w:val="baseline"/>
        </w:rPr>
        <w:t>inserção do músculo escaleno anterior, banda</w:t>
      </w:r>
      <w:r>
        <w:rPr>
          <w:spacing w:val="-1"/>
          <w:vertAlign w:val="baseline"/>
        </w:rPr>
        <w:t> </w:t>
      </w:r>
      <w:r>
        <w:rPr>
          <w:vertAlign w:val="baseline"/>
        </w:rPr>
        <w:t>muscular entre os músculos escaleno anterior e médio, músculo escaleno mínimo, que tem origem nas vértebras cervicais inferiores,</w:t>
      </w:r>
      <w:r>
        <w:rPr>
          <w:spacing w:val="40"/>
          <w:vertAlign w:val="baseline"/>
        </w:rPr>
        <w:t> </w:t>
      </w:r>
      <w:r>
        <w:rPr>
          <w:vertAlign w:val="baseline"/>
        </w:rPr>
        <w:t>situa-se</w:t>
      </w:r>
      <w:r>
        <w:rPr>
          <w:spacing w:val="29"/>
          <w:vertAlign w:val="baseline"/>
        </w:rPr>
        <w:t> </w:t>
      </w:r>
      <w:r>
        <w:rPr>
          <w:vertAlign w:val="baseline"/>
        </w:rPr>
        <w:t>entre</w:t>
      </w:r>
      <w:r>
        <w:rPr>
          <w:spacing w:val="29"/>
          <w:vertAlign w:val="baseline"/>
        </w:rPr>
        <w:t> </w:t>
      </w:r>
      <w:r>
        <w:rPr>
          <w:vertAlign w:val="baseline"/>
        </w:rPr>
        <w:t>a</w:t>
      </w:r>
      <w:r>
        <w:rPr>
          <w:spacing w:val="29"/>
          <w:vertAlign w:val="baseline"/>
        </w:rPr>
        <w:t> </w:t>
      </w:r>
      <w:r>
        <w:rPr>
          <w:vertAlign w:val="baseline"/>
        </w:rPr>
        <w:t>artéria</w:t>
      </w:r>
      <w:r>
        <w:rPr>
          <w:spacing w:val="29"/>
          <w:vertAlign w:val="baseline"/>
        </w:rPr>
        <w:t> </w:t>
      </w:r>
      <w:r>
        <w:rPr>
          <w:vertAlign w:val="baseline"/>
        </w:rPr>
        <w:t>subclávia</w:t>
      </w:r>
      <w:r>
        <w:rPr>
          <w:spacing w:val="29"/>
          <w:vertAlign w:val="baseline"/>
        </w:rPr>
        <w:t> </w:t>
      </w:r>
      <w:r>
        <w:rPr>
          <w:vertAlign w:val="baseline"/>
        </w:rPr>
        <w:t>e</w:t>
      </w:r>
      <w:r>
        <w:rPr>
          <w:spacing w:val="29"/>
          <w:vertAlign w:val="baseline"/>
        </w:rPr>
        <w:t> </w:t>
      </w:r>
      <w:r>
        <w:rPr>
          <w:vertAlign w:val="baseline"/>
        </w:rPr>
        <w:t>o</w:t>
      </w:r>
      <w:r>
        <w:rPr>
          <w:spacing w:val="32"/>
          <w:vertAlign w:val="baseline"/>
        </w:rPr>
        <w:t> </w:t>
      </w:r>
      <w:r>
        <w:rPr>
          <w:vertAlign w:val="baseline"/>
        </w:rPr>
        <w:t>plexo</w:t>
      </w:r>
      <w:r>
        <w:rPr>
          <w:spacing w:val="32"/>
          <w:vertAlign w:val="baseline"/>
        </w:rPr>
        <w:t> </w:t>
      </w:r>
      <w:r>
        <w:rPr>
          <w:vertAlign w:val="baseline"/>
        </w:rPr>
        <w:t>braquial</w:t>
      </w:r>
      <w:r>
        <w:rPr>
          <w:spacing w:val="34"/>
          <w:vertAlign w:val="baseline"/>
        </w:rPr>
        <w:t> </w:t>
      </w:r>
      <w:r>
        <w:rPr>
          <w:vertAlign w:val="baseline"/>
        </w:rPr>
        <w:t>e</w:t>
      </w:r>
      <w:r>
        <w:rPr>
          <w:spacing w:val="29"/>
          <w:vertAlign w:val="baseline"/>
        </w:rPr>
        <w:t> </w:t>
      </w:r>
      <w:r>
        <w:rPr>
          <w:vertAlign w:val="baseline"/>
        </w:rPr>
        <w:t>insere-se</w:t>
      </w:r>
      <w:r>
        <w:rPr>
          <w:spacing w:val="29"/>
          <w:vertAlign w:val="baseline"/>
        </w:rPr>
        <w:t> </w:t>
      </w:r>
      <w:r>
        <w:rPr>
          <w:vertAlign w:val="baseline"/>
        </w:rPr>
        <w:t>na</w:t>
      </w:r>
      <w:r>
        <w:rPr>
          <w:spacing w:val="29"/>
          <w:vertAlign w:val="baseline"/>
        </w:rPr>
        <w:t> </w:t>
      </w:r>
      <w:r>
        <w:rPr>
          <w:vertAlign w:val="baseline"/>
        </w:rPr>
        <w:t>primeira</w:t>
      </w:r>
      <w:r>
        <w:rPr>
          <w:spacing w:val="29"/>
          <w:vertAlign w:val="baseline"/>
        </w:rPr>
        <w:t> </w:t>
      </w:r>
      <w:r>
        <w:rPr>
          <w:vertAlign w:val="baseline"/>
        </w:rPr>
        <w:t>costela,</w:t>
      </w:r>
      <w:r>
        <w:rPr>
          <w:spacing w:val="40"/>
          <w:vertAlign w:val="baseline"/>
        </w:rPr>
        <w:t> </w:t>
      </w:r>
      <w:r>
        <w:rPr>
          <w:vertAlign w:val="baseline"/>
        </w:rPr>
        <w:t>direta</w:t>
      </w:r>
      <w:r>
        <w:rPr>
          <w:spacing w:val="29"/>
          <w:vertAlign w:val="baseline"/>
        </w:rPr>
        <w:t> </w:t>
      </w:r>
      <w:r>
        <w:rPr>
          <w:vertAlign w:val="baseline"/>
        </w:rPr>
        <w:t>fusão</w:t>
      </w:r>
      <w:r>
        <w:rPr>
          <w:spacing w:val="32"/>
          <w:vertAlign w:val="baseline"/>
        </w:rPr>
        <w:t> </w:t>
      </w:r>
      <w:r>
        <w:rPr>
          <w:vertAlign w:val="baseline"/>
        </w:rPr>
        <w:t>das</w:t>
      </w:r>
    </w:p>
    <w:p>
      <w:pPr>
        <w:pStyle w:val="BodyText"/>
        <w:spacing w:after="0" w:line="280" w:lineRule="auto"/>
        <w:sectPr>
          <w:pgSz w:w="11900" w:h="16840"/>
          <w:pgMar w:top="280" w:bottom="280" w:left="566" w:right="141"/>
        </w:sectPr>
      </w:pPr>
    </w:p>
    <w:p>
      <w:pPr>
        <w:pStyle w:val="BodyText"/>
        <w:spacing w:line="278" w:lineRule="auto" w:before="61"/>
        <w:ind w:right="497" w:firstLine="0"/>
      </w:pPr>
      <w:r>
        <w:rPr/>
        <w:t>fibras do músculo escaleno anterior no plexo braquial, desenvolvimento anormal da parte superior do músculo escaleno anterior, separando os troncos do plexo e finalmente, espesso ligamento imediatamente posterior ao músculo escaleno anterior). Dois tipos clínicos podem ser diferenciados na forma inespecífica. O primeiro é a compressão de raízes inferiores, que é a mais comum (80%). A dor e parestesia são referidas no pescoço, face interna</w:t>
      </w:r>
      <w:r>
        <w:rPr>
          <w:spacing w:val="-2"/>
        </w:rPr>
        <w:t> </w:t>
      </w:r>
      <w:r>
        <w:rPr/>
        <w:t>do braço, antebraço e</w:t>
      </w:r>
      <w:r>
        <w:rPr>
          <w:spacing w:val="-2"/>
        </w:rPr>
        <w:t> </w:t>
      </w:r>
      <w:r>
        <w:rPr/>
        <w:t>no quarto e</w:t>
      </w:r>
      <w:r>
        <w:rPr>
          <w:spacing w:val="-2"/>
        </w:rPr>
        <w:t> </w:t>
      </w:r>
      <w:r>
        <w:rPr/>
        <w:t>quinto dedos da</w:t>
      </w:r>
      <w:r>
        <w:rPr>
          <w:spacing w:val="-2"/>
        </w:rPr>
        <w:t> </w:t>
      </w:r>
      <w:r>
        <w:rPr/>
        <w:t>mão. O</w:t>
      </w:r>
      <w:r>
        <w:rPr>
          <w:spacing w:val="-2"/>
        </w:rPr>
        <w:t> </w:t>
      </w:r>
      <w:r>
        <w:rPr/>
        <w:t>segundo é</w:t>
      </w:r>
      <w:r>
        <w:rPr>
          <w:spacing w:val="-2"/>
        </w:rPr>
        <w:t> </w:t>
      </w:r>
      <w:r>
        <w:rPr/>
        <w:t>a</w:t>
      </w:r>
      <w:r>
        <w:rPr>
          <w:spacing w:val="-2"/>
        </w:rPr>
        <w:t> </w:t>
      </w:r>
      <w:r>
        <w:rPr/>
        <w:t>compressão das raízes superiores. A dor e parestesia ocorrem no ombro, parede anterior e posterior do tórax, pescoço e cabeça (cefaleia occipital), irradiando-se para a face lateral do braço e antebraço.</w:t>
      </w:r>
      <w:r>
        <w:rPr>
          <w:vertAlign w:val="superscript"/>
        </w:rPr>
        <w:t>9</w:t>
      </w:r>
      <w:r>
        <w:rPr>
          <w:vertAlign w:val="baseline"/>
        </w:rPr>
        <w:t> Na forma inespecífica, os achados eletroneuromiográficos não são conclusivos, pois as compressões são intermitentes (não se veem atrofias graves como na forma verdadeira), as radiografias de pescoço podem mostrar as alterações ósseas, que são raras, sendo o diagnóstico eminentemente clínico.</w:t>
      </w:r>
    </w:p>
    <w:p>
      <w:pPr>
        <w:pStyle w:val="BodyText"/>
        <w:spacing w:after="0" w:line="278" w:lineRule="auto"/>
        <w:sectPr>
          <w:pgSz w:w="11900" w:h="16840"/>
          <w:pgMar w:top="140" w:bottom="280" w:left="566" w:right="141"/>
        </w:sectPr>
      </w:pPr>
    </w:p>
    <w:p>
      <w:pPr>
        <w:spacing w:line="240" w:lineRule="auto"/>
        <w:ind w:left="2693" w:right="0" w:firstLine="0"/>
        <w:rPr>
          <w:sz w:val="20"/>
        </w:rPr>
      </w:pPr>
      <w:r>
        <w:rPr>
          <w:sz w:val="20"/>
        </w:rPr>
        <w:drawing>
          <wp:inline distT="0" distB="0" distL="0" distR="0">
            <wp:extent cx="3434622" cy="8652795"/>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77" cstate="print"/>
                    <a:stretch>
                      <a:fillRect/>
                    </a:stretch>
                  </pic:blipFill>
                  <pic:spPr>
                    <a:xfrm>
                      <a:off x="0" y="0"/>
                      <a:ext cx="3434622" cy="8652795"/>
                    </a:xfrm>
                    <a:prstGeom prst="rect">
                      <a:avLst/>
                    </a:prstGeom>
                  </pic:spPr>
                </pic:pic>
              </a:graphicData>
            </a:graphic>
          </wp:inline>
        </w:drawing>
      </w:r>
      <w:r>
        <w:rPr>
          <w:sz w:val="20"/>
        </w:rPr>
      </w:r>
    </w:p>
    <w:p>
      <w:pPr>
        <w:spacing w:line="285" w:lineRule="auto" w:before="161"/>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80"/>
          <w:sz w:val="19"/>
        </w:rPr>
        <w:t> </w:t>
      </w:r>
      <w:r>
        <w:rPr>
          <w:rFonts w:ascii="Arial" w:hAnsi="Arial"/>
          <w:b/>
          <w:color w:val="242B67"/>
          <w:sz w:val="19"/>
        </w:rPr>
        <w:t>59.43</w:t>
      </w:r>
      <w:r>
        <w:rPr>
          <w:rFonts w:ascii="Arial" w:hAnsi="Arial"/>
          <w:b/>
          <w:color w:val="242B67"/>
          <w:spacing w:val="80"/>
          <w:sz w:val="19"/>
        </w:rPr>
        <w:t> </w:t>
      </w:r>
      <w:r>
        <w:rPr>
          <w:rFonts w:ascii="Microsoft Sans Serif" w:hAnsi="Microsoft Sans Serif"/>
          <w:sz w:val="19"/>
        </w:rPr>
        <w:t>Atrofia</w:t>
      </w:r>
      <w:r>
        <w:rPr>
          <w:rFonts w:ascii="Microsoft Sans Serif" w:hAnsi="Microsoft Sans Serif"/>
          <w:spacing w:val="80"/>
          <w:sz w:val="19"/>
        </w:rPr>
        <w:t> </w:t>
      </w:r>
      <w:r>
        <w:rPr>
          <w:rFonts w:ascii="Microsoft Sans Serif" w:hAnsi="Microsoft Sans Serif"/>
          <w:sz w:val="19"/>
        </w:rPr>
        <w:t>muscular</w:t>
      </w:r>
      <w:r>
        <w:rPr>
          <w:rFonts w:ascii="Microsoft Sans Serif" w:hAnsi="Microsoft Sans Serif"/>
          <w:spacing w:val="80"/>
          <w:sz w:val="19"/>
        </w:rPr>
        <w:t> </w:t>
      </w:r>
      <w:r>
        <w:rPr>
          <w:rFonts w:ascii="Microsoft Sans Serif" w:hAnsi="Microsoft Sans Serif"/>
          <w:sz w:val="19"/>
        </w:rPr>
        <w:t>na</w:t>
      </w:r>
      <w:r>
        <w:rPr>
          <w:rFonts w:ascii="Microsoft Sans Serif" w:hAnsi="Microsoft Sans Serif"/>
          <w:spacing w:val="80"/>
          <w:sz w:val="19"/>
        </w:rPr>
        <w:t> </w:t>
      </w:r>
      <w:r>
        <w:rPr>
          <w:rFonts w:ascii="Microsoft Sans Serif" w:hAnsi="Microsoft Sans Serif"/>
          <w:sz w:val="19"/>
        </w:rPr>
        <w:t>eminência</w:t>
      </w:r>
      <w:r>
        <w:rPr>
          <w:rFonts w:ascii="Microsoft Sans Serif" w:hAnsi="Microsoft Sans Serif"/>
          <w:spacing w:val="80"/>
          <w:sz w:val="19"/>
        </w:rPr>
        <w:t> </w:t>
      </w:r>
      <w:r>
        <w:rPr>
          <w:rFonts w:ascii="Microsoft Sans Serif" w:hAnsi="Microsoft Sans Serif"/>
          <w:sz w:val="19"/>
        </w:rPr>
        <w:t>tênar</w:t>
      </w:r>
      <w:r>
        <w:rPr>
          <w:rFonts w:ascii="Microsoft Sans Serif" w:hAnsi="Microsoft Sans Serif"/>
          <w:spacing w:val="80"/>
          <w:sz w:val="19"/>
        </w:rPr>
        <w:t> </w:t>
      </w:r>
      <w:r>
        <w:rPr>
          <w:rFonts w:ascii="Microsoft Sans Serif" w:hAnsi="Microsoft Sans Serif"/>
          <w:sz w:val="19"/>
        </w:rPr>
        <w:t>causada</w:t>
      </w:r>
      <w:r>
        <w:rPr>
          <w:rFonts w:ascii="Microsoft Sans Serif" w:hAnsi="Microsoft Sans Serif"/>
          <w:spacing w:val="80"/>
          <w:sz w:val="19"/>
        </w:rPr>
        <w:t> </w:t>
      </w:r>
      <w:r>
        <w:rPr>
          <w:rFonts w:ascii="Microsoft Sans Serif" w:hAnsi="Microsoft Sans Serif"/>
          <w:sz w:val="19"/>
        </w:rPr>
        <w:t>por</w:t>
      </w:r>
      <w:r>
        <w:rPr>
          <w:rFonts w:ascii="Microsoft Sans Serif" w:hAnsi="Microsoft Sans Serif"/>
          <w:spacing w:val="80"/>
          <w:sz w:val="19"/>
        </w:rPr>
        <w:t> </w:t>
      </w:r>
      <w:r>
        <w:rPr>
          <w:rFonts w:ascii="Microsoft Sans Serif" w:hAnsi="Microsoft Sans Serif"/>
          <w:sz w:val="19"/>
        </w:rPr>
        <w:t>compressão</w:t>
      </w:r>
      <w:r>
        <w:rPr>
          <w:rFonts w:ascii="Microsoft Sans Serif" w:hAnsi="Microsoft Sans Serif"/>
          <w:spacing w:val="80"/>
          <w:sz w:val="19"/>
        </w:rPr>
        <w:t> </w:t>
      </w:r>
      <w:r>
        <w:rPr>
          <w:rFonts w:ascii="Microsoft Sans Serif" w:hAnsi="Microsoft Sans Serif"/>
          <w:sz w:val="19"/>
        </w:rPr>
        <w:t>neurológica</w:t>
      </w:r>
      <w:r>
        <w:rPr>
          <w:rFonts w:ascii="Microsoft Sans Serif" w:hAnsi="Microsoft Sans Serif"/>
          <w:spacing w:val="80"/>
          <w:sz w:val="19"/>
        </w:rPr>
        <w:t> </w:t>
      </w:r>
      <w:r>
        <w:rPr>
          <w:rFonts w:ascii="Microsoft Sans Serif" w:hAnsi="Microsoft Sans Serif"/>
          <w:sz w:val="19"/>
        </w:rPr>
        <w:t>associada</w:t>
      </w:r>
      <w:r>
        <w:rPr>
          <w:rFonts w:ascii="Microsoft Sans Serif" w:hAnsi="Microsoft Sans Serif"/>
          <w:spacing w:val="80"/>
          <w:sz w:val="19"/>
        </w:rPr>
        <w:t> </w:t>
      </w:r>
      <w:r>
        <w:rPr>
          <w:rFonts w:ascii="Microsoft Sans Serif" w:hAnsi="Microsoft Sans Serif"/>
          <w:sz w:val="19"/>
        </w:rPr>
        <w:t>a</w:t>
      </w:r>
      <w:r>
        <w:rPr>
          <w:rFonts w:ascii="Microsoft Sans Serif" w:hAnsi="Microsoft Sans Serif"/>
          <w:spacing w:val="80"/>
          <w:sz w:val="19"/>
        </w:rPr>
        <w:t> </w:t>
      </w:r>
      <w:r>
        <w:rPr>
          <w:rFonts w:ascii="Microsoft Sans Serif" w:hAnsi="Microsoft Sans Serif"/>
          <w:sz w:val="19"/>
        </w:rPr>
        <w:t>fenômenos vasomotores em decorrência de costela cervical bilateral.</w:t>
      </w:r>
    </w:p>
    <w:p>
      <w:pPr>
        <w:pStyle w:val="BodyText"/>
        <w:ind w:left="0" w:firstLine="0"/>
        <w:jc w:val="left"/>
        <w:rPr>
          <w:rFonts w:ascii="Microsoft Sans Serif"/>
          <w:sz w:val="19"/>
        </w:rPr>
      </w:pPr>
    </w:p>
    <w:p>
      <w:pPr>
        <w:pStyle w:val="BodyText"/>
        <w:spacing w:line="280" w:lineRule="auto" w:before="0"/>
        <w:ind w:right="488"/>
      </w:pPr>
      <w:r>
        <w:rPr/>
        <w:t>A forma traumática neurovascular é rara, unilateral, afeta homens jovens e está associada a trauma direto na clavícula</w:t>
      </w:r>
      <w:r>
        <w:rPr>
          <w:spacing w:val="-5"/>
        </w:rPr>
        <w:t> </w:t>
      </w:r>
      <w:r>
        <w:rPr/>
        <w:t>ou</w:t>
      </w:r>
      <w:r>
        <w:rPr>
          <w:spacing w:val="-2"/>
        </w:rPr>
        <w:t> </w:t>
      </w:r>
      <w:r>
        <w:rPr/>
        <w:t>primeira</w:t>
      </w:r>
      <w:r>
        <w:rPr>
          <w:spacing w:val="-5"/>
        </w:rPr>
        <w:t> </w:t>
      </w:r>
      <w:r>
        <w:rPr/>
        <w:t>costela. Dependendo</w:t>
      </w:r>
      <w:r>
        <w:rPr>
          <w:spacing w:val="-2"/>
        </w:rPr>
        <w:t> </w:t>
      </w:r>
      <w:r>
        <w:rPr/>
        <w:t>da</w:t>
      </w:r>
      <w:r>
        <w:rPr>
          <w:spacing w:val="-5"/>
        </w:rPr>
        <w:t> </w:t>
      </w:r>
      <w:r>
        <w:rPr/>
        <w:t>intensidade</w:t>
      </w:r>
      <w:r>
        <w:rPr>
          <w:spacing w:val="-5"/>
        </w:rPr>
        <w:t> </w:t>
      </w:r>
      <w:r>
        <w:rPr/>
        <w:t>do</w:t>
      </w:r>
      <w:r>
        <w:rPr>
          <w:spacing w:val="-2"/>
        </w:rPr>
        <w:t> </w:t>
      </w:r>
      <w:r>
        <w:rPr/>
        <w:t>trauma, a</w:t>
      </w:r>
      <w:r>
        <w:rPr>
          <w:spacing w:val="-5"/>
        </w:rPr>
        <w:t> </w:t>
      </w:r>
      <w:r>
        <w:rPr/>
        <w:t>lesão</w:t>
      </w:r>
      <w:r>
        <w:rPr>
          <w:spacing w:val="-2"/>
        </w:rPr>
        <w:t> </w:t>
      </w:r>
      <w:r>
        <w:rPr/>
        <w:t>associada</w:t>
      </w:r>
      <w:r>
        <w:rPr>
          <w:spacing w:val="-5"/>
        </w:rPr>
        <w:t> </w:t>
      </w:r>
      <w:r>
        <w:rPr/>
        <w:t>da</w:t>
      </w:r>
      <w:r>
        <w:rPr>
          <w:spacing w:val="-5"/>
        </w:rPr>
        <w:t> </w:t>
      </w:r>
      <w:r>
        <w:rPr/>
        <w:t>artéria, veia</w:t>
      </w:r>
      <w:r>
        <w:rPr>
          <w:spacing w:val="-5"/>
        </w:rPr>
        <w:t> </w:t>
      </w:r>
      <w:r>
        <w:rPr/>
        <w:t>e</w:t>
      </w:r>
      <w:r>
        <w:rPr>
          <w:spacing w:val="-5"/>
        </w:rPr>
        <w:t> </w:t>
      </w:r>
      <w:r>
        <w:rPr/>
        <w:t>plexo</w:t>
      </w:r>
      <w:r>
        <w:rPr>
          <w:spacing w:val="-2"/>
        </w:rPr>
        <w:t> </w:t>
      </w:r>
      <w:r>
        <w:rPr/>
        <w:t>pode estar presente. Sequelas da própria fratura ou sequela cirúrgica (calo ósseo ou placas de fixação óssea) podem determinar compressão futura.</w:t>
      </w:r>
      <w:r>
        <w:rPr>
          <w:vertAlign w:val="superscript"/>
        </w:rPr>
        <w:t>9</w:t>
      </w:r>
    </w:p>
    <w:p>
      <w:pPr>
        <w:pStyle w:val="BodyText"/>
        <w:spacing w:before="60"/>
        <w:ind w:left="414" w:firstLine="0"/>
      </w:pPr>
      <w:r>
        <w:rPr/>
        <w:t>Doenças</w:t>
      </w:r>
      <w:r>
        <w:rPr>
          <w:spacing w:val="18"/>
        </w:rPr>
        <w:t> </w:t>
      </w:r>
      <w:r>
        <w:rPr/>
        <w:t>na</w:t>
      </w:r>
      <w:r>
        <w:rPr>
          <w:spacing w:val="8"/>
        </w:rPr>
        <w:t> </w:t>
      </w:r>
      <w:r>
        <w:rPr/>
        <w:t>coluna</w:t>
      </w:r>
      <w:r>
        <w:rPr>
          <w:spacing w:val="9"/>
        </w:rPr>
        <w:t> </w:t>
      </w:r>
      <w:r>
        <w:rPr/>
        <w:t>cervical,</w:t>
      </w:r>
      <w:r>
        <w:rPr>
          <w:spacing w:val="18"/>
        </w:rPr>
        <w:t> </w:t>
      </w:r>
      <w:r>
        <w:rPr/>
        <w:t>no</w:t>
      </w:r>
      <w:r>
        <w:rPr>
          <w:spacing w:val="11"/>
        </w:rPr>
        <w:t> </w:t>
      </w:r>
      <w:r>
        <w:rPr/>
        <w:t>ombro,</w:t>
      </w:r>
      <w:r>
        <w:rPr>
          <w:spacing w:val="18"/>
        </w:rPr>
        <w:t> </w:t>
      </w:r>
      <w:r>
        <w:rPr/>
        <w:t>na</w:t>
      </w:r>
      <w:r>
        <w:rPr>
          <w:spacing w:val="9"/>
        </w:rPr>
        <w:t> </w:t>
      </w:r>
      <w:r>
        <w:rPr/>
        <w:t>musculatura</w:t>
      </w:r>
      <w:r>
        <w:rPr>
          <w:spacing w:val="8"/>
        </w:rPr>
        <w:t> </w:t>
      </w:r>
      <w:r>
        <w:rPr/>
        <w:t>cervical</w:t>
      </w:r>
      <w:r>
        <w:rPr>
          <w:spacing w:val="13"/>
        </w:rPr>
        <w:t> </w:t>
      </w:r>
      <w:r>
        <w:rPr/>
        <w:t>e</w:t>
      </w:r>
      <w:r>
        <w:rPr>
          <w:spacing w:val="9"/>
        </w:rPr>
        <w:t> </w:t>
      </w:r>
      <w:r>
        <w:rPr/>
        <w:t>nos</w:t>
      </w:r>
      <w:r>
        <w:rPr>
          <w:spacing w:val="18"/>
        </w:rPr>
        <w:t> </w:t>
      </w:r>
      <w:r>
        <w:rPr/>
        <w:t>músculos</w:t>
      </w:r>
      <w:r>
        <w:rPr>
          <w:spacing w:val="19"/>
        </w:rPr>
        <w:t> </w:t>
      </w:r>
      <w:r>
        <w:rPr/>
        <w:t>do</w:t>
      </w:r>
      <w:r>
        <w:rPr>
          <w:spacing w:val="10"/>
        </w:rPr>
        <w:t> </w:t>
      </w:r>
      <w:r>
        <w:rPr/>
        <w:t>dorso,</w:t>
      </w:r>
      <w:r>
        <w:rPr>
          <w:spacing w:val="19"/>
        </w:rPr>
        <w:t> </w:t>
      </w:r>
      <w:r>
        <w:rPr/>
        <w:t>bem</w:t>
      </w:r>
      <w:r>
        <w:rPr>
          <w:spacing w:val="11"/>
        </w:rPr>
        <w:t> </w:t>
      </w:r>
      <w:r>
        <w:rPr/>
        <w:t>como</w:t>
      </w:r>
      <w:r>
        <w:rPr>
          <w:spacing w:val="11"/>
        </w:rPr>
        <w:t> </w:t>
      </w:r>
      <w:r>
        <w:rPr>
          <w:spacing w:val="-2"/>
        </w:rPr>
        <w:t>doenças</w:t>
      </w:r>
    </w:p>
    <w:p>
      <w:pPr>
        <w:pStyle w:val="BodyText"/>
        <w:spacing w:after="0"/>
        <w:sectPr>
          <w:pgSz w:w="11900" w:h="16840"/>
          <w:pgMar w:top="280" w:bottom="280" w:left="566" w:right="141"/>
        </w:sectPr>
      </w:pPr>
    </w:p>
    <w:p>
      <w:pPr>
        <w:pStyle w:val="BodyText"/>
        <w:spacing w:line="276" w:lineRule="auto" w:before="66"/>
        <w:ind w:right="501" w:firstLine="0"/>
      </w:pPr>
      <w:r>
        <w:rPr/>
        <w:t>sistêmicas degenerativas devem</w:t>
      </w:r>
      <w:r>
        <w:rPr>
          <w:spacing w:val="-1"/>
        </w:rPr>
        <w:t> </w:t>
      </w:r>
      <w:r>
        <w:rPr/>
        <w:t>ser cuidadosamente</w:t>
      </w:r>
      <w:r>
        <w:rPr>
          <w:spacing w:val="-4"/>
        </w:rPr>
        <w:t> </w:t>
      </w:r>
      <w:r>
        <w:rPr/>
        <w:t>descartadas em</w:t>
      </w:r>
      <w:r>
        <w:rPr>
          <w:spacing w:val="-1"/>
        </w:rPr>
        <w:t> </w:t>
      </w:r>
      <w:r>
        <w:rPr/>
        <w:t>pacientes com</w:t>
      </w:r>
      <w:r>
        <w:rPr>
          <w:spacing w:val="-1"/>
        </w:rPr>
        <w:t> </w:t>
      </w:r>
      <w:r>
        <w:rPr/>
        <w:t>suspeita</w:t>
      </w:r>
      <w:r>
        <w:rPr>
          <w:spacing w:val="-4"/>
        </w:rPr>
        <w:t> </w:t>
      </w:r>
      <w:r>
        <w:rPr/>
        <w:t>clínica</w:t>
      </w:r>
      <w:r>
        <w:rPr>
          <w:spacing w:val="-4"/>
        </w:rPr>
        <w:t> </w:t>
      </w:r>
      <w:r>
        <w:rPr/>
        <w:t>da</w:t>
      </w:r>
      <w:r>
        <w:rPr>
          <w:spacing w:val="-4"/>
        </w:rPr>
        <w:t> </w:t>
      </w:r>
      <w:r>
        <w:rPr/>
        <w:t>síndrome</w:t>
      </w:r>
      <w:r>
        <w:rPr>
          <w:spacing w:val="-4"/>
        </w:rPr>
        <w:t> </w:t>
      </w:r>
      <w:r>
        <w:rPr/>
        <w:t>do desfiladeiro torácico. Os quadros mais problemáticos na diferenciação são: tendinite do ombro, síndrome do túnel do carpo, síndrome do túnel do cuboide ou do nervo ulnar no cotovelo, síndrome do túnel do pronador ou radial, espasmo na musculatura cervical, hérnia de disco, artrite cervical, estenose do canal espinal e lesão do plexo braquial por estiramento.</w:t>
      </w:r>
    </w:p>
    <w:p>
      <w:pPr>
        <w:pStyle w:val="BodyText"/>
        <w:spacing w:before="186"/>
        <w:ind w:left="0" w:firstLine="0"/>
        <w:jc w:val="left"/>
      </w:pPr>
    </w:p>
    <w:p>
      <w:pPr>
        <w:pStyle w:val="Heading4"/>
      </w:pPr>
      <w:r>
        <w:rPr>
          <w:color w:val="242B67"/>
          <w:spacing w:val="-2"/>
        </w:rPr>
        <w:t>Tratamento</w:t>
      </w:r>
    </w:p>
    <w:p>
      <w:pPr>
        <w:pStyle w:val="BodyText"/>
        <w:spacing w:line="276" w:lineRule="auto" w:before="132"/>
        <w:ind w:right="491"/>
      </w:pPr>
      <w:r>
        <w:rPr/>
        <w:t>Anomalias ósseas encontradas casualmente, assintomáticas, não devem ser tratadas de rotina. Quando determinam</w:t>
      </w:r>
      <w:r>
        <w:rPr>
          <w:spacing w:val="-8"/>
        </w:rPr>
        <w:t> </w:t>
      </w:r>
      <w:r>
        <w:rPr/>
        <w:t>lesão</w:t>
      </w:r>
      <w:r>
        <w:rPr>
          <w:spacing w:val="-8"/>
        </w:rPr>
        <w:t> </w:t>
      </w:r>
      <w:r>
        <w:rPr/>
        <w:t>assintomática</w:t>
      </w:r>
      <w:r>
        <w:rPr>
          <w:spacing w:val="-11"/>
        </w:rPr>
        <w:t> </w:t>
      </w:r>
      <w:r>
        <w:rPr/>
        <w:t>na</w:t>
      </w:r>
      <w:r>
        <w:rPr>
          <w:spacing w:val="-11"/>
        </w:rPr>
        <w:t> </w:t>
      </w:r>
      <w:r>
        <w:rPr/>
        <w:t>artéria</w:t>
      </w:r>
      <w:r>
        <w:rPr>
          <w:spacing w:val="-11"/>
        </w:rPr>
        <w:t> </w:t>
      </w:r>
      <w:r>
        <w:rPr/>
        <w:t>subclávia, o</w:t>
      </w:r>
      <w:r>
        <w:rPr>
          <w:spacing w:val="-8"/>
        </w:rPr>
        <w:t> </w:t>
      </w:r>
      <w:r>
        <w:rPr/>
        <w:t>tratamento</w:t>
      </w:r>
      <w:r>
        <w:rPr>
          <w:spacing w:val="-8"/>
        </w:rPr>
        <w:t> </w:t>
      </w:r>
      <w:r>
        <w:rPr/>
        <w:t>é</w:t>
      </w:r>
      <w:r>
        <w:rPr>
          <w:spacing w:val="-11"/>
        </w:rPr>
        <w:t> </w:t>
      </w:r>
      <w:r>
        <w:rPr/>
        <w:t>imperativo</w:t>
      </w:r>
      <w:r>
        <w:rPr>
          <w:spacing w:val="-8"/>
        </w:rPr>
        <w:t> </w:t>
      </w:r>
      <w:r>
        <w:rPr/>
        <w:t>para</w:t>
      </w:r>
      <w:r>
        <w:rPr>
          <w:spacing w:val="-11"/>
        </w:rPr>
        <w:t> </w:t>
      </w:r>
      <w:r>
        <w:rPr/>
        <w:t>evitar</w:t>
      </w:r>
      <w:r>
        <w:rPr>
          <w:spacing w:val="-3"/>
        </w:rPr>
        <w:t> </w:t>
      </w:r>
      <w:r>
        <w:rPr/>
        <w:t>evolução</w:t>
      </w:r>
      <w:r>
        <w:rPr>
          <w:spacing w:val="-8"/>
        </w:rPr>
        <w:t> </w:t>
      </w:r>
      <w:r>
        <w:rPr/>
        <w:t>para</w:t>
      </w:r>
      <w:r>
        <w:rPr>
          <w:spacing w:val="-11"/>
        </w:rPr>
        <w:t> </w:t>
      </w:r>
      <w:r>
        <w:rPr/>
        <w:t>aneurisma, com trombose e embolia distal que ameaçam o membro. As compressões vasculares sintomáticas devem ser tratadas por descompressão do desfiladeiro, optando-se pela remoção da causa identificável ou quando não, pela remoção da primeira costela torácica, que é o assoalho do espaço costoclavicular, mais a escalenectomia. Lesão endotelial, dilatação aneurismática (pós-estenótica) e trombose sintomática da artéria subclávia e axilar indicam necessidade de tratamento cirúrgico. Primeiro para a remoção da compressão em qualquer um dos espaços e segundo para revascularização do membro em risco de necrose ou com séria limitação às atividades diárias (claudicação intermitente incapacitante). Nas revascularizações da extremidade superior, os enxertos com veia autógena</w:t>
      </w:r>
      <w:r>
        <w:rPr>
          <w:spacing w:val="-2"/>
        </w:rPr>
        <w:t> </w:t>
      </w:r>
      <w:r>
        <w:rPr/>
        <w:t>(veia</w:t>
      </w:r>
      <w:r>
        <w:rPr>
          <w:spacing w:val="-2"/>
        </w:rPr>
        <w:t> </w:t>
      </w:r>
      <w:r>
        <w:rPr/>
        <w:t>do membro superior ou veia</w:t>
      </w:r>
      <w:r>
        <w:rPr>
          <w:spacing w:val="-2"/>
        </w:rPr>
        <w:t> </w:t>
      </w:r>
      <w:r>
        <w:rPr/>
        <w:t>safena) compreendem a</w:t>
      </w:r>
      <w:r>
        <w:rPr>
          <w:spacing w:val="-2"/>
        </w:rPr>
        <w:t> </w:t>
      </w:r>
      <w:r>
        <w:rPr/>
        <w:t>primeira</w:t>
      </w:r>
      <w:r>
        <w:rPr>
          <w:spacing w:val="-2"/>
        </w:rPr>
        <w:t> </w:t>
      </w:r>
      <w:r>
        <w:rPr/>
        <w:t>escolha, sendo as próteses vasculares utilizadas quando não se encontram substitutos venosos no indivíduo. As angioplastias para lesões estenóticas causadas pela</w:t>
      </w:r>
      <w:r>
        <w:rPr>
          <w:spacing w:val="-8"/>
        </w:rPr>
        <w:t> </w:t>
      </w:r>
      <w:r>
        <w:rPr/>
        <w:t>compressão</w:t>
      </w:r>
      <w:r>
        <w:rPr>
          <w:spacing w:val="-6"/>
        </w:rPr>
        <w:t> </w:t>
      </w:r>
      <w:r>
        <w:rPr/>
        <w:t>podem</w:t>
      </w:r>
      <w:r>
        <w:rPr>
          <w:spacing w:val="-6"/>
        </w:rPr>
        <w:t> </w:t>
      </w:r>
      <w:r>
        <w:rPr/>
        <w:t>ser</w:t>
      </w:r>
      <w:r>
        <w:rPr>
          <w:spacing w:val="-1"/>
        </w:rPr>
        <w:t> </w:t>
      </w:r>
      <w:r>
        <w:rPr/>
        <w:t>utilizadas nas lesões segmentares que</w:t>
      </w:r>
      <w:r>
        <w:rPr>
          <w:spacing w:val="-8"/>
        </w:rPr>
        <w:t> </w:t>
      </w:r>
      <w:r>
        <w:rPr/>
        <w:t>causam</w:t>
      </w:r>
      <w:r>
        <w:rPr>
          <w:spacing w:val="-6"/>
        </w:rPr>
        <w:t> </w:t>
      </w:r>
      <w:r>
        <w:rPr/>
        <w:t>muitos sintomas ou</w:t>
      </w:r>
      <w:r>
        <w:rPr>
          <w:spacing w:val="-6"/>
        </w:rPr>
        <w:t> </w:t>
      </w:r>
      <w:r>
        <w:rPr/>
        <w:t>em</w:t>
      </w:r>
      <w:r>
        <w:rPr>
          <w:spacing w:val="-6"/>
        </w:rPr>
        <w:t> </w:t>
      </w:r>
      <w:r>
        <w:rPr/>
        <w:t>risco</w:t>
      </w:r>
      <w:r>
        <w:rPr>
          <w:spacing w:val="-6"/>
        </w:rPr>
        <w:t> </w:t>
      </w:r>
      <w:r>
        <w:rPr/>
        <w:t>de trombose e oclusão. A utilização de </w:t>
      </w:r>
      <w:r>
        <w:rPr>
          <w:i/>
        </w:rPr>
        <w:t>stents </w:t>
      </w:r>
      <w:r>
        <w:rPr/>
        <w:t>nessa localização apresenta limitações devido à grande mobilidade e torção a que as artérias subclávias estão sujeitas (podem ocorrer migrações e fraturas de </w:t>
      </w:r>
      <w:r>
        <w:rPr>
          <w:i/>
        </w:rPr>
        <w:t>stents</w:t>
      </w:r>
      <w:r>
        <w:rPr/>
        <w:t>).</w:t>
      </w:r>
    </w:p>
    <w:p>
      <w:pPr>
        <w:pStyle w:val="BodyText"/>
        <w:spacing w:line="278" w:lineRule="auto" w:before="66"/>
        <w:ind w:right="497"/>
      </w:pPr>
      <w:r>
        <w:rPr/>
        <w:t>As opções de tratamento na forma venosa aguda, que em geral acomete jovens e potencialmente pode causar dificuldades nas atividades e retrombose venosa, são anticoagulação plena, imediata, com heparina inicialmente e manutenção</w:t>
      </w:r>
      <w:r>
        <w:rPr>
          <w:spacing w:val="-8"/>
        </w:rPr>
        <w:t> </w:t>
      </w:r>
      <w:r>
        <w:rPr/>
        <w:t>da</w:t>
      </w:r>
      <w:r>
        <w:rPr>
          <w:spacing w:val="-10"/>
        </w:rPr>
        <w:t> </w:t>
      </w:r>
      <w:r>
        <w:rPr/>
        <w:t>anticoagulação</w:t>
      </w:r>
      <w:r>
        <w:rPr>
          <w:spacing w:val="-8"/>
        </w:rPr>
        <w:t> </w:t>
      </w:r>
      <w:r>
        <w:rPr/>
        <w:t>por</w:t>
      </w:r>
      <w:r>
        <w:rPr>
          <w:spacing w:val="-3"/>
        </w:rPr>
        <w:t> </w:t>
      </w:r>
      <w:r>
        <w:rPr/>
        <w:t>3</w:t>
      </w:r>
      <w:r>
        <w:rPr>
          <w:spacing w:val="-8"/>
        </w:rPr>
        <w:t> </w:t>
      </w:r>
      <w:r>
        <w:rPr/>
        <w:t>a</w:t>
      </w:r>
      <w:r>
        <w:rPr>
          <w:spacing w:val="-10"/>
        </w:rPr>
        <w:t> </w:t>
      </w:r>
      <w:r>
        <w:rPr/>
        <w:t>6</w:t>
      </w:r>
      <w:r>
        <w:rPr>
          <w:spacing w:val="-8"/>
        </w:rPr>
        <w:t> </w:t>
      </w:r>
      <w:r>
        <w:rPr/>
        <w:t>meses,</w:t>
      </w:r>
      <w:r>
        <w:rPr>
          <w:spacing w:val="-1"/>
        </w:rPr>
        <w:t> </w:t>
      </w:r>
      <w:r>
        <w:rPr/>
        <w:t>com</w:t>
      </w:r>
      <w:r>
        <w:rPr>
          <w:spacing w:val="-8"/>
        </w:rPr>
        <w:t> </w:t>
      </w:r>
      <w:r>
        <w:rPr/>
        <w:t>anticoagulante</w:t>
      </w:r>
      <w:r>
        <w:rPr>
          <w:spacing w:val="-10"/>
        </w:rPr>
        <w:t> </w:t>
      </w:r>
      <w:r>
        <w:rPr/>
        <w:t>oral;</w:t>
      </w:r>
      <w:r>
        <w:rPr>
          <w:spacing w:val="-5"/>
        </w:rPr>
        <w:t> </w:t>
      </w:r>
      <w:r>
        <w:rPr/>
        <w:t>ou</w:t>
      </w:r>
      <w:r>
        <w:rPr>
          <w:spacing w:val="-8"/>
        </w:rPr>
        <w:t> </w:t>
      </w:r>
      <w:r>
        <w:rPr/>
        <w:t>o</w:t>
      </w:r>
      <w:r>
        <w:rPr>
          <w:spacing w:val="-8"/>
        </w:rPr>
        <w:t> </w:t>
      </w:r>
      <w:r>
        <w:rPr/>
        <w:t>tratamento</w:t>
      </w:r>
      <w:r>
        <w:rPr>
          <w:spacing w:val="-8"/>
        </w:rPr>
        <w:t> </w:t>
      </w:r>
      <w:r>
        <w:rPr/>
        <w:t>intervencionista,</w:t>
      </w:r>
      <w:r>
        <w:rPr>
          <w:spacing w:val="-1"/>
        </w:rPr>
        <w:t> </w:t>
      </w:r>
      <w:r>
        <w:rPr/>
        <w:t>que</w:t>
      </w:r>
      <w:r>
        <w:rPr>
          <w:spacing w:val="-10"/>
        </w:rPr>
        <w:t> </w:t>
      </w:r>
      <w:r>
        <w:rPr/>
        <w:t>varia de remoção cirúrgica do trombo (trombectomia venosa) à trombólise (com trombolíticos); ou as duas opções associadas</w:t>
      </w:r>
      <w:r>
        <w:rPr>
          <w:spacing w:val="-2"/>
        </w:rPr>
        <w:t> </w:t>
      </w:r>
      <w:r>
        <w:rPr/>
        <w:t>e</w:t>
      </w:r>
      <w:r>
        <w:rPr>
          <w:spacing w:val="-12"/>
        </w:rPr>
        <w:t> </w:t>
      </w:r>
      <w:r>
        <w:rPr/>
        <w:t>seguidas</w:t>
      </w:r>
      <w:r>
        <w:rPr>
          <w:spacing w:val="-2"/>
        </w:rPr>
        <w:t> </w:t>
      </w:r>
      <w:r>
        <w:rPr/>
        <w:t>de</w:t>
      </w:r>
      <w:r>
        <w:rPr>
          <w:spacing w:val="-12"/>
        </w:rPr>
        <w:t> </w:t>
      </w:r>
      <w:r>
        <w:rPr/>
        <w:t>anticoagulação</w:t>
      </w:r>
      <w:r>
        <w:rPr>
          <w:spacing w:val="-9"/>
        </w:rPr>
        <w:t> </w:t>
      </w:r>
      <w:r>
        <w:rPr/>
        <w:t>prolongada.</w:t>
      </w:r>
      <w:r>
        <w:rPr>
          <w:spacing w:val="-2"/>
        </w:rPr>
        <w:t> </w:t>
      </w:r>
      <w:r>
        <w:rPr/>
        <w:t>Guzzo</w:t>
      </w:r>
      <w:r>
        <w:rPr>
          <w:spacing w:val="-9"/>
        </w:rPr>
        <w:t> </w:t>
      </w:r>
      <w:r>
        <w:rPr>
          <w:i/>
        </w:rPr>
        <w:t>et</w:t>
      </w:r>
      <w:r>
        <w:rPr>
          <w:i/>
          <w:spacing w:val="-10"/>
        </w:rPr>
        <w:t> </w:t>
      </w:r>
      <w:r>
        <w:rPr>
          <w:i/>
        </w:rPr>
        <w:t>al.</w:t>
      </w:r>
      <w:r>
        <w:rPr>
          <w:i/>
          <w:spacing w:val="-2"/>
        </w:rPr>
        <w:t> </w:t>
      </w:r>
      <w:r>
        <w:rPr/>
        <w:t>verificaram</w:t>
      </w:r>
      <w:r>
        <w:rPr>
          <w:spacing w:val="-9"/>
        </w:rPr>
        <w:t> </w:t>
      </w:r>
      <w:r>
        <w:rPr/>
        <w:t>que</w:t>
      </w:r>
      <w:r>
        <w:rPr>
          <w:spacing w:val="-12"/>
        </w:rPr>
        <w:t> </w:t>
      </w:r>
      <w:r>
        <w:rPr/>
        <w:t>a</w:t>
      </w:r>
      <w:r>
        <w:rPr>
          <w:spacing w:val="-12"/>
        </w:rPr>
        <w:t> </w:t>
      </w:r>
      <w:r>
        <w:rPr/>
        <w:t>simples</w:t>
      </w:r>
      <w:r>
        <w:rPr>
          <w:spacing w:val="-2"/>
        </w:rPr>
        <w:t> </w:t>
      </w:r>
      <w:r>
        <w:rPr/>
        <w:t>anticoagulação</w:t>
      </w:r>
      <w:r>
        <w:rPr>
          <w:spacing w:val="-9"/>
        </w:rPr>
        <w:t> </w:t>
      </w:r>
      <w:r>
        <w:rPr/>
        <w:t>antes</w:t>
      </w:r>
      <w:r>
        <w:rPr>
          <w:spacing w:val="-2"/>
        </w:rPr>
        <w:t> </w:t>
      </w:r>
      <w:r>
        <w:rPr/>
        <w:t>da retirada</w:t>
      </w:r>
      <w:r>
        <w:rPr>
          <w:spacing w:val="-4"/>
        </w:rPr>
        <w:t> </w:t>
      </w:r>
      <w:r>
        <w:rPr/>
        <w:t>da</w:t>
      </w:r>
      <w:r>
        <w:rPr>
          <w:spacing w:val="-4"/>
        </w:rPr>
        <w:t> </w:t>
      </w:r>
      <w:r>
        <w:rPr/>
        <w:t>primeira</w:t>
      </w:r>
      <w:r>
        <w:rPr>
          <w:spacing w:val="-4"/>
        </w:rPr>
        <w:t> </w:t>
      </w:r>
      <w:r>
        <w:rPr/>
        <w:t>costela</w:t>
      </w:r>
      <w:r>
        <w:rPr>
          <w:spacing w:val="-4"/>
        </w:rPr>
        <w:t> </w:t>
      </w:r>
      <w:r>
        <w:rPr/>
        <w:t>mostrou</w:t>
      </w:r>
      <w:r>
        <w:rPr>
          <w:spacing w:val="-1"/>
        </w:rPr>
        <w:t> </w:t>
      </w:r>
      <w:r>
        <w:rPr/>
        <w:t>resultados semelhantes, em</w:t>
      </w:r>
      <w:r>
        <w:rPr>
          <w:spacing w:val="-1"/>
        </w:rPr>
        <w:t> </w:t>
      </w:r>
      <w:r>
        <w:rPr/>
        <w:t>termos de</w:t>
      </w:r>
      <w:r>
        <w:rPr>
          <w:spacing w:val="-4"/>
        </w:rPr>
        <w:t> </w:t>
      </w:r>
      <w:r>
        <w:rPr/>
        <w:t>perviedade, aos obtidos com</w:t>
      </w:r>
      <w:r>
        <w:rPr>
          <w:spacing w:val="-1"/>
        </w:rPr>
        <w:t> </w:t>
      </w:r>
      <w:r>
        <w:rPr/>
        <w:t>trombólise no final de 1 ano de seguimento. Concluíram que a anticoagulação deve ser o tratamento inicial de todos os casos de síndrome de Paget-Schroetter.</w:t>
      </w:r>
      <w:r>
        <w:rPr>
          <w:vertAlign w:val="superscript"/>
        </w:rPr>
        <w:t>15</w:t>
      </w:r>
      <w:r>
        <w:rPr>
          <w:vertAlign w:val="baseline"/>
        </w:rPr>
        <w:t> Alguns autores preconizam a venoplastia com </w:t>
      </w:r>
      <w:r>
        <w:rPr>
          <w:i/>
          <w:vertAlign w:val="baseline"/>
        </w:rPr>
        <w:t>stent </w:t>
      </w:r>
      <w:r>
        <w:rPr>
          <w:vertAlign w:val="baseline"/>
        </w:rPr>
        <w:t>a seguir da trombólise ou remendo venoso seguindo a trombectomia quando existe evidência de que a veia subclávia ou axilar estão lesadas. A descompressão do desfiladeiro (espaço costoclavicular e espaço abaixo do tendão do músculo peitoral menor) é obtida com a remoção da primeira costela ou escalenectomia e/ou secção do tendão do músculo peitoral menor. A descompressão pode ser realizada imediatamente após a trombólise ou trombectomia venosa ou postergada para alguns meses depois, correndo-se o risco de retrombose, mas evitando-se o risco de hemorragia, pela alteração da hemostasia associada a heparina e fibrinolíticos utilizados. O acesso para a trombectomia venosa é feito via uma incisão</w:t>
      </w:r>
      <w:r>
        <w:rPr>
          <w:spacing w:val="-6"/>
          <w:vertAlign w:val="baseline"/>
        </w:rPr>
        <w:t> </w:t>
      </w:r>
      <w:r>
        <w:rPr>
          <w:vertAlign w:val="baseline"/>
        </w:rPr>
        <w:t>infraclavicular</w:t>
      </w:r>
      <w:r>
        <w:rPr>
          <w:spacing w:val="-1"/>
          <w:vertAlign w:val="baseline"/>
        </w:rPr>
        <w:t> </w:t>
      </w:r>
      <w:r>
        <w:rPr>
          <w:vertAlign w:val="baseline"/>
        </w:rPr>
        <w:t>e</w:t>
      </w:r>
      <w:r>
        <w:rPr>
          <w:spacing w:val="-8"/>
          <w:vertAlign w:val="baseline"/>
        </w:rPr>
        <w:t> </w:t>
      </w:r>
      <w:r>
        <w:rPr>
          <w:vertAlign w:val="baseline"/>
        </w:rPr>
        <w:t>o</w:t>
      </w:r>
      <w:r>
        <w:rPr>
          <w:spacing w:val="-6"/>
          <w:vertAlign w:val="baseline"/>
        </w:rPr>
        <w:t> </w:t>
      </w:r>
      <w:r>
        <w:rPr>
          <w:vertAlign w:val="baseline"/>
        </w:rPr>
        <w:t>acesso</w:t>
      </w:r>
      <w:r>
        <w:rPr>
          <w:spacing w:val="-6"/>
          <w:vertAlign w:val="baseline"/>
        </w:rPr>
        <w:t> </w:t>
      </w:r>
      <w:r>
        <w:rPr>
          <w:vertAlign w:val="baseline"/>
        </w:rPr>
        <w:t>preferencial</w:t>
      </w:r>
      <w:r>
        <w:rPr>
          <w:spacing w:val="-3"/>
          <w:vertAlign w:val="baseline"/>
        </w:rPr>
        <w:t> </w:t>
      </w:r>
      <w:r>
        <w:rPr>
          <w:vertAlign w:val="baseline"/>
        </w:rPr>
        <w:t>para</w:t>
      </w:r>
      <w:r>
        <w:rPr>
          <w:spacing w:val="-8"/>
          <w:vertAlign w:val="baseline"/>
        </w:rPr>
        <w:t> </w:t>
      </w:r>
      <w:r>
        <w:rPr>
          <w:vertAlign w:val="baseline"/>
        </w:rPr>
        <w:t>remoção</w:t>
      </w:r>
      <w:r>
        <w:rPr>
          <w:spacing w:val="-6"/>
          <w:vertAlign w:val="baseline"/>
        </w:rPr>
        <w:t> </w:t>
      </w:r>
      <w:r>
        <w:rPr>
          <w:vertAlign w:val="baseline"/>
        </w:rPr>
        <w:t>da</w:t>
      </w:r>
      <w:r>
        <w:rPr>
          <w:spacing w:val="-8"/>
          <w:vertAlign w:val="baseline"/>
        </w:rPr>
        <w:t> </w:t>
      </w:r>
      <w:r>
        <w:rPr>
          <w:vertAlign w:val="baseline"/>
        </w:rPr>
        <w:t>primeira</w:t>
      </w:r>
      <w:r>
        <w:rPr>
          <w:spacing w:val="-8"/>
          <w:vertAlign w:val="baseline"/>
        </w:rPr>
        <w:t> </w:t>
      </w:r>
      <w:r>
        <w:rPr>
          <w:vertAlign w:val="baseline"/>
        </w:rPr>
        <w:t>costela</w:t>
      </w:r>
      <w:r>
        <w:rPr>
          <w:spacing w:val="-8"/>
          <w:vertAlign w:val="baseline"/>
        </w:rPr>
        <w:t> </w:t>
      </w:r>
      <w:r>
        <w:rPr>
          <w:vertAlign w:val="baseline"/>
        </w:rPr>
        <w:t>torácica, nos pacientes com</w:t>
      </w:r>
      <w:r>
        <w:rPr>
          <w:spacing w:val="-6"/>
          <w:vertAlign w:val="baseline"/>
        </w:rPr>
        <w:t> </w:t>
      </w:r>
      <w:r>
        <w:rPr>
          <w:vertAlign w:val="baseline"/>
        </w:rPr>
        <w:t>a</w:t>
      </w:r>
      <w:r>
        <w:rPr>
          <w:spacing w:val="-8"/>
          <w:vertAlign w:val="baseline"/>
        </w:rPr>
        <w:t> </w:t>
      </w:r>
      <w:r>
        <w:rPr>
          <w:vertAlign w:val="baseline"/>
        </w:rPr>
        <w:t>forma venosa da síndrome, é pela via transaxilar. No entanto, temos utilizado com sucesso a ressecção do primeiro arco costal por videotoracoscopia, técnica</w:t>
      </w:r>
      <w:r>
        <w:rPr>
          <w:spacing w:val="-1"/>
          <w:vertAlign w:val="baseline"/>
        </w:rPr>
        <w:t> </w:t>
      </w:r>
      <w:r>
        <w:rPr>
          <w:vertAlign w:val="baseline"/>
        </w:rPr>
        <w:t>muito semelhante</w:t>
      </w:r>
      <w:r>
        <w:rPr>
          <w:spacing w:val="-1"/>
          <w:vertAlign w:val="baseline"/>
        </w:rPr>
        <w:t> </w:t>
      </w:r>
      <w:r>
        <w:rPr>
          <w:vertAlign w:val="baseline"/>
        </w:rPr>
        <w:t>à</w:t>
      </w:r>
      <w:r>
        <w:rPr>
          <w:spacing w:val="-1"/>
          <w:vertAlign w:val="baseline"/>
        </w:rPr>
        <w:t> </w:t>
      </w:r>
      <w:r>
        <w:rPr>
          <w:vertAlign w:val="baseline"/>
        </w:rPr>
        <w:t>utilizada</w:t>
      </w:r>
      <w:r>
        <w:rPr>
          <w:spacing w:val="-1"/>
          <w:vertAlign w:val="baseline"/>
        </w:rPr>
        <w:t> </w:t>
      </w:r>
      <w:r>
        <w:rPr>
          <w:vertAlign w:val="baseline"/>
        </w:rPr>
        <w:t>por Loscertales </w:t>
      </w:r>
      <w:r>
        <w:rPr>
          <w:i/>
          <w:vertAlign w:val="baseline"/>
        </w:rPr>
        <w:t>et al.</w:t>
      </w:r>
      <w:r>
        <w:rPr>
          <w:vertAlign w:val="superscript"/>
        </w:rPr>
        <w:t>16</w:t>
      </w:r>
    </w:p>
    <w:p>
      <w:pPr>
        <w:pStyle w:val="BodyText"/>
        <w:spacing w:line="276" w:lineRule="auto" w:before="38"/>
        <w:ind w:right="488"/>
      </w:pPr>
      <w:r>
        <w:rPr/>
        <w:t>Na forma neurológica verdadeira existe uma estrutura comprimindo o plexo braquial, geralmente uma banda fibrosa</w:t>
      </w:r>
      <w:r>
        <w:rPr>
          <w:spacing w:val="-3"/>
        </w:rPr>
        <w:t> </w:t>
      </w:r>
      <w:r>
        <w:rPr/>
        <w:t>e</w:t>
      </w:r>
      <w:r>
        <w:rPr>
          <w:spacing w:val="-3"/>
        </w:rPr>
        <w:t> </w:t>
      </w:r>
      <w:r>
        <w:rPr/>
        <w:t>raramente</w:t>
      </w:r>
      <w:r>
        <w:rPr>
          <w:spacing w:val="-3"/>
        </w:rPr>
        <w:t> </w:t>
      </w:r>
      <w:r>
        <w:rPr/>
        <w:t>uma</w:t>
      </w:r>
      <w:r>
        <w:rPr>
          <w:spacing w:val="-3"/>
        </w:rPr>
        <w:t> </w:t>
      </w:r>
      <w:r>
        <w:rPr/>
        <w:t>estrutura</w:t>
      </w:r>
      <w:r>
        <w:rPr>
          <w:spacing w:val="-3"/>
        </w:rPr>
        <w:t> </w:t>
      </w:r>
      <w:r>
        <w:rPr/>
        <w:t>óssea. Nesta</w:t>
      </w:r>
      <w:r>
        <w:rPr>
          <w:spacing w:val="-3"/>
        </w:rPr>
        <w:t> </w:t>
      </w:r>
      <w:r>
        <w:rPr/>
        <w:t>forma, o tratamento clínico é</w:t>
      </w:r>
      <w:r>
        <w:rPr>
          <w:spacing w:val="-3"/>
        </w:rPr>
        <w:t> </w:t>
      </w:r>
      <w:r>
        <w:rPr/>
        <w:t>ineficiente</w:t>
      </w:r>
      <w:r>
        <w:rPr>
          <w:spacing w:val="-3"/>
        </w:rPr>
        <w:t> </w:t>
      </w:r>
      <w:r>
        <w:rPr/>
        <w:t>e</w:t>
      </w:r>
      <w:r>
        <w:rPr>
          <w:spacing w:val="-3"/>
        </w:rPr>
        <w:t> </w:t>
      </w:r>
      <w:r>
        <w:rPr/>
        <w:t>a</w:t>
      </w:r>
      <w:r>
        <w:rPr>
          <w:spacing w:val="-3"/>
        </w:rPr>
        <w:t> </w:t>
      </w:r>
      <w:r>
        <w:rPr/>
        <w:t>descompressão torna-se necessária. A remoção de uma costela cervical e uma apófise transversa muito longa associada à escalenectomia anterior e média por via supraclavicular é a melhor opção. Uma primeira costela torácica rudimentar causadora da compressão pode ser retirada por via supraclavicular ou transaxilar, dependendo da experiência do cirurgião. A escalenectomia e remoção de bandas anormais é mais fácil pela via supraclavicular, mas os adeptos da via transaxilar relatam ser possível esta via.</w:t>
      </w:r>
    </w:p>
    <w:p>
      <w:pPr>
        <w:pStyle w:val="BodyText"/>
        <w:spacing w:line="276" w:lineRule="auto"/>
        <w:ind w:right="488"/>
      </w:pPr>
      <w:r>
        <w:rPr/>
        <w:t>Por definição, na</w:t>
      </w:r>
      <w:r>
        <w:rPr>
          <w:spacing w:val="-3"/>
        </w:rPr>
        <w:t> </w:t>
      </w:r>
      <w:r>
        <w:rPr/>
        <w:t>forma</w:t>
      </w:r>
      <w:r>
        <w:rPr>
          <w:spacing w:val="-3"/>
        </w:rPr>
        <w:t> </w:t>
      </w:r>
      <w:r>
        <w:rPr/>
        <w:t>neurogênica</w:t>
      </w:r>
      <w:r>
        <w:rPr>
          <w:spacing w:val="-3"/>
        </w:rPr>
        <w:t> </w:t>
      </w:r>
      <w:r>
        <w:rPr/>
        <w:t>inespecífica</w:t>
      </w:r>
      <w:r>
        <w:rPr>
          <w:spacing w:val="-3"/>
        </w:rPr>
        <w:t> </w:t>
      </w:r>
      <w:r>
        <w:rPr/>
        <w:t>da</w:t>
      </w:r>
      <w:r>
        <w:rPr>
          <w:spacing w:val="-3"/>
        </w:rPr>
        <w:t> </w:t>
      </w:r>
      <w:r>
        <w:rPr/>
        <w:t>síndrome</w:t>
      </w:r>
      <w:r>
        <w:rPr>
          <w:spacing w:val="-3"/>
        </w:rPr>
        <w:t> </w:t>
      </w:r>
      <w:r>
        <w:rPr/>
        <w:t>do</w:t>
      </w:r>
      <w:r>
        <w:rPr>
          <w:spacing w:val="-1"/>
        </w:rPr>
        <w:t> </w:t>
      </w:r>
      <w:r>
        <w:rPr/>
        <w:t>desfiladeiro</w:t>
      </w:r>
      <w:r>
        <w:rPr>
          <w:spacing w:val="-1"/>
        </w:rPr>
        <w:t> </w:t>
      </w:r>
      <w:r>
        <w:rPr/>
        <w:t>torácico</w:t>
      </w:r>
      <w:r>
        <w:rPr>
          <w:spacing w:val="-1"/>
        </w:rPr>
        <w:t> </w:t>
      </w:r>
      <w:r>
        <w:rPr/>
        <w:t>não</w:t>
      </w:r>
      <w:r>
        <w:rPr>
          <w:spacing w:val="-1"/>
        </w:rPr>
        <w:t> </w:t>
      </w:r>
      <w:r>
        <w:rPr/>
        <w:t>existe</w:t>
      </w:r>
      <w:r>
        <w:rPr>
          <w:spacing w:val="-3"/>
        </w:rPr>
        <w:t> </w:t>
      </w:r>
      <w:r>
        <w:rPr/>
        <w:t>uma</w:t>
      </w:r>
      <w:r>
        <w:rPr>
          <w:spacing w:val="-3"/>
        </w:rPr>
        <w:t> </w:t>
      </w:r>
      <w:r>
        <w:rPr/>
        <w:t>anomalia óssea</w:t>
      </w:r>
      <w:r>
        <w:rPr>
          <w:spacing w:val="-9"/>
        </w:rPr>
        <w:t> </w:t>
      </w:r>
      <w:r>
        <w:rPr/>
        <w:t>comprimindo</w:t>
      </w:r>
      <w:r>
        <w:rPr>
          <w:spacing w:val="-7"/>
        </w:rPr>
        <w:t> </w:t>
      </w:r>
      <w:r>
        <w:rPr/>
        <w:t>o</w:t>
      </w:r>
      <w:r>
        <w:rPr>
          <w:spacing w:val="-7"/>
        </w:rPr>
        <w:t> </w:t>
      </w:r>
      <w:r>
        <w:rPr/>
        <w:t>plexo</w:t>
      </w:r>
      <w:r>
        <w:rPr>
          <w:spacing w:val="-7"/>
        </w:rPr>
        <w:t> </w:t>
      </w:r>
      <w:r>
        <w:rPr/>
        <w:t>e</w:t>
      </w:r>
      <w:r>
        <w:rPr>
          <w:spacing w:val="-9"/>
        </w:rPr>
        <w:t> </w:t>
      </w:r>
      <w:r>
        <w:rPr/>
        <w:t>não</w:t>
      </w:r>
      <w:r>
        <w:rPr>
          <w:spacing w:val="-7"/>
        </w:rPr>
        <w:t> </w:t>
      </w:r>
      <w:r>
        <w:rPr/>
        <w:t>existe</w:t>
      </w:r>
      <w:r>
        <w:rPr>
          <w:spacing w:val="-9"/>
        </w:rPr>
        <w:t> </w:t>
      </w:r>
      <w:r>
        <w:rPr/>
        <w:t>repercussão</w:t>
      </w:r>
      <w:r>
        <w:rPr>
          <w:spacing w:val="-7"/>
        </w:rPr>
        <w:t> </w:t>
      </w:r>
      <w:r>
        <w:rPr/>
        <w:t>neurológica</w:t>
      </w:r>
      <w:r>
        <w:rPr>
          <w:spacing w:val="-9"/>
        </w:rPr>
        <w:t> </w:t>
      </w:r>
      <w:r>
        <w:rPr/>
        <w:t>grave</w:t>
      </w:r>
      <w:r>
        <w:rPr>
          <w:spacing w:val="-9"/>
        </w:rPr>
        <w:t> </w:t>
      </w:r>
      <w:r>
        <w:rPr/>
        <w:t>que</w:t>
      </w:r>
      <w:r>
        <w:rPr>
          <w:spacing w:val="-9"/>
        </w:rPr>
        <w:t> </w:t>
      </w:r>
      <w:r>
        <w:rPr/>
        <w:t>indique</w:t>
      </w:r>
      <w:r>
        <w:rPr>
          <w:spacing w:val="-9"/>
        </w:rPr>
        <w:t> </w:t>
      </w:r>
      <w:r>
        <w:rPr/>
        <w:t>lesão</w:t>
      </w:r>
      <w:r>
        <w:rPr>
          <w:spacing w:val="-7"/>
        </w:rPr>
        <w:t> </w:t>
      </w:r>
      <w:r>
        <w:rPr/>
        <w:t>nervosa</w:t>
      </w:r>
      <w:r>
        <w:rPr>
          <w:spacing w:val="-9"/>
        </w:rPr>
        <w:t> </w:t>
      </w:r>
      <w:r>
        <w:rPr/>
        <w:t>irreversível, como atrofia muscular e evidente achado eletroneuromiográfico. Esta é a forma mais comum de apresentação clínica da síndrome e também a mais controversa. Alguns autores não acreditam nesta forma da síndrome e discordam taxativamente de qualquer proposta de tratamento cirúrgico para a afecção. Estes autores atribuem os sintomas a quadros originados a partir de doenças da coluna cervical, ombro, compressões neurológicas no túnel do carpo ou</w:t>
      </w:r>
    </w:p>
    <w:p>
      <w:pPr>
        <w:pStyle w:val="BodyText"/>
        <w:spacing w:after="0" w:line="276" w:lineRule="auto"/>
        <w:sectPr>
          <w:pgSz w:w="11900" w:h="16840"/>
          <w:pgMar w:top="140" w:bottom="280" w:left="566" w:right="141"/>
        </w:sectPr>
      </w:pPr>
    </w:p>
    <w:p>
      <w:pPr>
        <w:pStyle w:val="BodyText"/>
        <w:spacing w:line="276" w:lineRule="auto" w:before="78"/>
        <w:ind w:right="497" w:firstLine="0"/>
      </w:pPr>
      <w:r>
        <w:rPr/>
        <w:t>do</w:t>
      </w:r>
      <w:r>
        <w:rPr>
          <w:spacing w:val="-2"/>
        </w:rPr>
        <w:t> </w:t>
      </w:r>
      <w:r>
        <w:rPr/>
        <w:t>nervo</w:t>
      </w:r>
      <w:r>
        <w:rPr>
          <w:spacing w:val="-2"/>
        </w:rPr>
        <w:t> </w:t>
      </w:r>
      <w:r>
        <w:rPr/>
        <w:t>ulnar no</w:t>
      </w:r>
      <w:r>
        <w:rPr>
          <w:spacing w:val="-2"/>
        </w:rPr>
        <w:t> </w:t>
      </w:r>
      <w:r>
        <w:rPr/>
        <w:t>cotovelo</w:t>
      </w:r>
      <w:r>
        <w:rPr>
          <w:spacing w:val="-2"/>
        </w:rPr>
        <w:t> </w:t>
      </w:r>
      <w:r>
        <w:rPr/>
        <w:t>ou</w:t>
      </w:r>
      <w:r>
        <w:rPr>
          <w:spacing w:val="-2"/>
        </w:rPr>
        <w:t> </w:t>
      </w:r>
      <w:r>
        <w:rPr/>
        <w:t>problemas psiquiátricos. Atualmente</w:t>
      </w:r>
      <w:r>
        <w:rPr>
          <w:spacing w:val="-4"/>
        </w:rPr>
        <w:t> </w:t>
      </w:r>
      <w:r>
        <w:rPr/>
        <w:t>não</w:t>
      </w:r>
      <w:r>
        <w:rPr>
          <w:spacing w:val="-2"/>
        </w:rPr>
        <w:t> </w:t>
      </w:r>
      <w:r>
        <w:rPr/>
        <w:t>há</w:t>
      </w:r>
      <w:r>
        <w:rPr>
          <w:spacing w:val="-4"/>
        </w:rPr>
        <w:t> </w:t>
      </w:r>
      <w:r>
        <w:rPr/>
        <w:t>dúvida</w:t>
      </w:r>
      <w:r>
        <w:rPr>
          <w:spacing w:val="-4"/>
        </w:rPr>
        <w:t> </w:t>
      </w:r>
      <w:r>
        <w:rPr/>
        <w:t>quanto</w:t>
      </w:r>
      <w:r>
        <w:rPr>
          <w:spacing w:val="-2"/>
        </w:rPr>
        <w:t> </w:t>
      </w:r>
      <w:r>
        <w:rPr/>
        <w:t>a</w:t>
      </w:r>
      <w:r>
        <w:rPr>
          <w:spacing w:val="-4"/>
        </w:rPr>
        <w:t> </w:t>
      </w:r>
      <w:r>
        <w:rPr/>
        <w:t>uma</w:t>
      </w:r>
      <w:r>
        <w:rPr>
          <w:spacing w:val="-4"/>
        </w:rPr>
        <w:t> </w:t>
      </w:r>
      <w:r>
        <w:rPr/>
        <w:t>questão. Pacientes com queixas sugestivas e enquadrados nesta forma da síndrome devem ser tratados insistentemente por meios clínicos. O</w:t>
      </w:r>
      <w:r>
        <w:rPr>
          <w:spacing w:val="-4"/>
        </w:rPr>
        <w:t> </w:t>
      </w:r>
      <w:r>
        <w:rPr/>
        <w:t>tratamento</w:t>
      </w:r>
      <w:r>
        <w:rPr>
          <w:spacing w:val="-2"/>
        </w:rPr>
        <w:t> </w:t>
      </w:r>
      <w:r>
        <w:rPr/>
        <w:t>clínico</w:t>
      </w:r>
      <w:r>
        <w:rPr>
          <w:spacing w:val="-2"/>
        </w:rPr>
        <w:t> </w:t>
      </w:r>
      <w:r>
        <w:rPr/>
        <w:t>se</w:t>
      </w:r>
      <w:r>
        <w:rPr>
          <w:spacing w:val="-4"/>
        </w:rPr>
        <w:t> </w:t>
      </w:r>
      <w:r>
        <w:rPr/>
        <w:t>baseia</w:t>
      </w:r>
      <w:r>
        <w:rPr>
          <w:spacing w:val="-5"/>
        </w:rPr>
        <w:t> </w:t>
      </w:r>
      <w:r>
        <w:rPr/>
        <w:t>em</w:t>
      </w:r>
      <w:r>
        <w:rPr>
          <w:spacing w:val="-2"/>
        </w:rPr>
        <w:t> </w:t>
      </w:r>
      <w:r>
        <w:rPr/>
        <w:t>uma</w:t>
      </w:r>
      <w:r>
        <w:rPr>
          <w:spacing w:val="-4"/>
        </w:rPr>
        <w:t> </w:t>
      </w:r>
      <w:r>
        <w:rPr/>
        <w:t>ampla</w:t>
      </w:r>
      <w:r>
        <w:rPr>
          <w:spacing w:val="-5"/>
        </w:rPr>
        <w:t> </w:t>
      </w:r>
      <w:r>
        <w:rPr/>
        <w:t>gama</w:t>
      </w:r>
      <w:r>
        <w:rPr>
          <w:spacing w:val="-4"/>
        </w:rPr>
        <w:t> </w:t>
      </w:r>
      <w:r>
        <w:rPr/>
        <w:t>de</w:t>
      </w:r>
      <w:r>
        <w:rPr>
          <w:spacing w:val="-5"/>
        </w:rPr>
        <w:t> </w:t>
      </w:r>
      <w:r>
        <w:rPr/>
        <w:t>opções, dependendo</w:t>
      </w:r>
      <w:r>
        <w:rPr>
          <w:spacing w:val="-2"/>
        </w:rPr>
        <w:t> </w:t>
      </w:r>
      <w:r>
        <w:rPr/>
        <w:t>das características do</w:t>
      </w:r>
      <w:r>
        <w:rPr>
          <w:spacing w:val="-2"/>
        </w:rPr>
        <w:t> </w:t>
      </w:r>
      <w:r>
        <w:rPr/>
        <w:t>paciente e da intensidade dos seus sintomas. Alguns necessitarão de psicoterapia e a maioria, de fisioterapia, orientada por profissionais que conhecem o tipo de afecção. Exercícios dirigidos para correção de postura, fortalecimento da cintura</w:t>
      </w:r>
      <w:r>
        <w:rPr>
          <w:spacing w:val="-6"/>
        </w:rPr>
        <w:t> </w:t>
      </w:r>
      <w:r>
        <w:rPr/>
        <w:t>escapular (para</w:t>
      </w:r>
      <w:r>
        <w:rPr>
          <w:spacing w:val="-6"/>
        </w:rPr>
        <w:t> </w:t>
      </w:r>
      <w:r>
        <w:rPr/>
        <w:t>melhorar a</w:t>
      </w:r>
      <w:r>
        <w:rPr>
          <w:spacing w:val="-6"/>
        </w:rPr>
        <w:t> </w:t>
      </w:r>
      <w:r>
        <w:rPr/>
        <w:t>queda</w:t>
      </w:r>
      <w:r>
        <w:rPr>
          <w:spacing w:val="-6"/>
        </w:rPr>
        <w:t> </w:t>
      </w:r>
      <w:r>
        <w:rPr/>
        <w:t>dos ombros), associados à</w:t>
      </w:r>
      <w:r>
        <w:rPr>
          <w:spacing w:val="-6"/>
        </w:rPr>
        <w:t> </w:t>
      </w:r>
      <w:r>
        <w:rPr/>
        <w:t>correção</w:t>
      </w:r>
      <w:r>
        <w:rPr>
          <w:spacing w:val="-3"/>
        </w:rPr>
        <w:t> </w:t>
      </w:r>
      <w:r>
        <w:rPr/>
        <w:t>de</w:t>
      </w:r>
      <w:r>
        <w:rPr>
          <w:spacing w:val="-6"/>
        </w:rPr>
        <w:t> </w:t>
      </w:r>
      <w:r>
        <w:rPr/>
        <w:t>hábitos e</w:t>
      </w:r>
      <w:r>
        <w:rPr>
          <w:spacing w:val="-6"/>
        </w:rPr>
        <w:t> </w:t>
      </w:r>
      <w:r>
        <w:rPr/>
        <w:t>até</w:t>
      </w:r>
      <w:r>
        <w:rPr>
          <w:spacing w:val="-6"/>
        </w:rPr>
        <w:t> </w:t>
      </w:r>
      <w:r>
        <w:rPr/>
        <w:t>mudança</w:t>
      </w:r>
      <w:r>
        <w:rPr>
          <w:spacing w:val="-6"/>
        </w:rPr>
        <w:t> </w:t>
      </w:r>
      <w:r>
        <w:rPr/>
        <w:t>de</w:t>
      </w:r>
      <w:r>
        <w:rPr>
          <w:spacing w:val="-6"/>
        </w:rPr>
        <w:t> </w:t>
      </w:r>
      <w:r>
        <w:rPr/>
        <w:t>emprego, devem</w:t>
      </w:r>
      <w:r>
        <w:rPr>
          <w:spacing w:val="-6"/>
        </w:rPr>
        <w:t> </w:t>
      </w:r>
      <w:r>
        <w:rPr/>
        <w:t>ser propostos. A</w:t>
      </w:r>
      <w:r>
        <w:rPr>
          <w:spacing w:val="-8"/>
        </w:rPr>
        <w:t> </w:t>
      </w:r>
      <w:r>
        <w:rPr/>
        <w:t>terapia</w:t>
      </w:r>
      <w:r>
        <w:rPr>
          <w:spacing w:val="-8"/>
        </w:rPr>
        <w:t> </w:t>
      </w:r>
      <w:r>
        <w:rPr/>
        <w:t>medicamentosa</w:t>
      </w:r>
      <w:r>
        <w:rPr>
          <w:spacing w:val="-8"/>
        </w:rPr>
        <w:t> </w:t>
      </w:r>
      <w:r>
        <w:rPr/>
        <w:t>baseia-se</w:t>
      </w:r>
      <w:r>
        <w:rPr>
          <w:spacing w:val="-8"/>
        </w:rPr>
        <w:t> </w:t>
      </w:r>
      <w:r>
        <w:rPr/>
        <w:t>na</w:t>
      </w:r>
      <w:r>
        <w:rPr>
          <w:spacing w:val="-8"/>
        </w:rPr>
        <w:t> </w:t>
      </w:r>
      <w:r>
        <w:rPr/>
        <w:t>utilização</w:t>
      </w:r>
      <w:r>
        <w:rPr>
          <w:spacing w:val="-6"/>
        </w:rPr>
        <w:t> </w:t>
      </w:r>
      <w:r>
        <w:rPr/>
        <w:t>de</w:t>
      </w:r>
      <w:r>
        <w:rPr>
          <w:spacing w:val="-8"/>
        </w:rPr>
        <w:t> </w:t>
      </w:r>
      <w:r>
        <w:rPr/>
        <w:t>analgésicos, relaxantes musculares e</w:t>
      </w:r>
      <w:r>
        <w:rPr>
          <w:spacing w:val="-8"/>
        </w:rPr>
        <w:t> </w:t>
      </w:r>
      <w:r>
        <w:rPr/>
        <w:t>anti-inflamatórios. Antineuríticos (gabapentina, antidepressivos tricíclicos) e ansiolíticos devem ser tentados se as primeiras medicações não surtirem efeito e com indicação precisa neurológica e psiquiátrica. Todas as tentativas devem ser utilizadas por pelo menos 6 meses. A ausência de melhora ou piora do quadro, afastando as causas de diagnóstico diferencial, tende a confirmar uma forma neurogênica inespecífica de difícil controle e para esses pacientes propostas de descompressão cirúrgica podem ser oferecidas.</w:t>
      </w:r>
    </w:p>
    <w:p>
      <w:pPr>
        <w:pStyle w:val="BodyText"/>
        <w:spacing w:line="278" w:lineRule="auto" w:before="66"/>
        <w:ind w:right="497"/>
      </w:pPr>
      <w:r>
        <w:rPr/>
        <w:t>O tratamento cirúrgico nos dias atuais, após uma era de inúmeras propostas de solução da afecção, é exceção, pois acarreta risco de lesão neurológica, lesão inadvertida de veia e artéria subclávia, pneumotórax e índices de recidiva</w:t>
      </w:r>
      <w:r>
        <w:rPr>
          <w:spacing w:val="-1"/>
        </w:rPr>
        <w:t> </w:t>
      </w:r>
      <w:r>
        <w:rPr/>
        <w:t>importantes (20%), particularmente</w:t>
      </w:r>
      <w:r>
        <w:rPr>
          <w:spacing w:val="-1"/>
        </w:rPr>
        <w:t> </w:t>
      </w:r>
      <w:r>
        <w:rPr/>
        <w:t>quando é</w:t>
      </w:r>
      <w:r>
        <w:rPr>
          <w:spacing w:val="-1"/>
        </w:rPr>
        <w:t> </w:t>
      </w:r>
      <w:r>
        <w:rPr/>
        <w:t>feito o seguimento a</w:t>
      </w:r>
      <w:r>
        <w:rPr>
          <w:spacing w:val="-1"/>
        </w:rPr>
        <w:t> </w:t>
      </w:r>
      <w:r>
        <w:rPr/>
        <w:t>longo prazo.</w:t>
      </w:r>
      <w:r>
        <w:rPr>
          <w:vertAlign w:val="superscript"/>
        </w:rPr>
        <w:t>17</w:t>
      </w:r>
      <w:r>
        <w:rPr>
          <w:vertAlign w:val="baseline"/>
        </w:rPr>
        <w:t> Além desses problemas, uma corrente acredita que o quadro pode ser autolimitado e os sintomas desaparecem após alguns anos, pois, se isso não ocorresse, existiria uma legião imensa de pacientes com paralisia dos membros superiores por lesão neurológica crônica e isto não ocorre.</w:t>
      </w:r>
    </w:p>
    <w:p>
      <w:pPr>
        <w:pStyle w:val="BodyText"/>
        <w:spacing w:line="280" w:lineRule="auto" w:before="49"/>
        <w:ind w:right="488"/>
      </w:pPr>
      <w:r>
        <w:rPr/>
        <w:t>A proposta de tratamento cirúrgico mais simples e com menor número de complicações é a escalenectomia anterior que é geralmente associada a escalenectomia média. Com esta manobra, o triângulo interescalênico é ampliado, explora-se</w:t>
      </w:r>
      <w:r>
        <w:rPr>
          <w:spacing w:val="-10"/>
        </w:rPr>
        <w:t> </w:t>
      </w:r>
      <w:r>
        <w:rPr/>
        <w:t>a</w:t>
      </w:r>
      <w:r>
        <w:rPr>
          <w:spacing w:val="-10"/>
        </w:rPr>
        <w:t> </w:t>
      </w:r>
      <w:r>
        <w:rPr/>
        <w:t>presença</w:t>
      </w:r>
      <w:r>
        <w:rPr>
          <w:spacing w:val="-10"/>
        </w:rPr>
        <w:t> </w:t>
      </w:r>
      <w:r>
        <w:rPr/>
        <w:t>de</w:t>
      </w:r>
      <w:r>
        <w:rPr>
          <w:spacing w:val="-10"/>
        </w:rPr>
        <w:t> </w:t>
      </w:r>
      <w:r>
        <w:rPr/>
        <w:t>bandas fibromusculares anormais e</w:t>
      </w:r>
      <w:r>
        <w:rPr>
          <w:spacing w:val="-10"/>
        </w:rPr>
        <w:t> </w:t>
      </w:r>
      <w:r>
        <w:rPr/>
        <w:t>a</w:t>
      </w:r>
      <w:r>
        <w:rPr>
          <w:spacing w:val="-10"/>
        </w:rPr>
        <w:t> </w:t>
      </w:r>
      <w:r>
        <w:rPr/>
        <w:t>secção</w:t>
      </w:r>
      <w:r>
        <w:rPr>
          <w:spacing w:val="-8"/>
        </w:rPr>
        <w:t> </w:t>
      </w:r>
      <w:r>
        <w:rPr/>
        <w:t>muscular</w:t>
      </w:r>
      <w:r>
        <w:rPr>
          <w:spacing w:val="-3"/>
        </w:rPr>
        <w:t> </w:t>
      </w:r>
      <w:r>
        <w:rPr/>
        <w:t>tende</w:t>
      </w:r>
      <w:r>
        <w:rPr>
          <w:spacing w:val="-10"/>
        </w:rPr>
        <w:t> </w:t>
      </w:r>
      <w:r>
        <w:rPr/>
        <w:t>a</w:t>
      </w:r>
      <w:r>
        <w:rPr>
          <w:spacing w:val="-10"/>
        </w:rPr>
        <w:t> </w:t>
      </w:r>
      <w:r>
        <w:rPr/>
        <w:t>abaixar</w:t>
      </w:r>
      <w:r>
        <w:rPr>
          <w:spacing w:val="-3"/>
        </w:rPr>
        <w:t> </w:t>
      </w:r>
      <w:r>
        <w:rPr/>
        <w:t>a</w:t>
      </w:r>
      <w:r>
        <w:rPr>
          <w:spacing w:val="-10"/>
        </w:rPr>
        <w:t> </w:t>
      </w:r>
      <w:r>
        <w:rPr/>
        <w:t>primeira costela, ampliando o espaço costoclavicular. Esse procedimento é realizado pela via supraclavicular.</w:t>
      </w:r>
      <w:r>
        <w:rPr>
          <w:vertAlign w:val="superscript"/>
        </w:rPr>
        <w:t>4</w:t>
      </w:r>
      <w:r>
        <w:rPr>
          <w:vertAlign w:val="baseline"/>
        </w:rPr>
        <w:t> Em virtude das recidivas dos sintomas com este procedimento, foi proposta a ressecção da primeira costela, por ser esta o assoalho do espaço costoclavicular e onde se inserem os músculos escaleno anterior e médio. Portanto, necessariamente os escalenos são seccionados e o espaço é ampliado pela remoção de um dos seus limites. A ressecção da primeira costela foi proposta inicialmente pela via supraclavicular</w:t>
      </w:r>
      <w:r>
        <w:rPr>
          <w:vertAlign w:val="superscript"/>
        </w:rPr>
        <w:t>6</w:t>
      </w:r>
      <w:r>
        <w:rPr>
          <w:vertAlign w:val="baseline"/>
        </w:rPr>
        <w:t> e com o tempo, pela via posterior (paraescapular), via transaxilar e infraclavicular. Rapidamente, a via transaxilar tornou-se a via preferencial e praticada extensamente nas décadas de 1960, 1970 e 1980. Nos últimos anos, novamente a técnica pela via supraclavicular foi enaltecida, pois permite, com apenas uma incisão, a ampla escalenectomia anterior e média associadas e também a remoção das bandas fibróticas.</w:t>
      </w:r>
      <w:r>
        <w:rPr>
          <w:vertAlign w:val="superscript"/>
        </w:rPr>
        <w:t>18</w:t>
      </w:r>
    </w:p>
    <w:p>
      <w:pPr>
        <w:pStyle w:val="BodyText"/>
        <w:spacing w:line="276" w:lineRule="auto" w:before="51"/>
        <w:ind w:right="497"/>
      </w:pPr>
      <w:r>
        <w:rPr/>
        <w:t>Alguns</w:t>
      </w:r>
      <w:r>
        <w:rPr>
          <w:spacing w:val="-4"/>
        </w:rPr>
        <w:t> </w:t>
      </w:r>
      <w:r>
        <w:rPr/>
        <w:t>autores</w:t>
      </w:r>
      <w:r>
        <w:rPr>
          <w:spacing w:val="-4"/>
        </w:rPr>
        <w:t> </w:t>
      </w:r>
      <w:r>
        <w:rPr/>
        <w:t>propõem</w:t>
      </w:r>
      <w:r>
        <w:rPr>
          <w:spacing w:val="-11"/>
        </w:rPr>
        <w:t> </w:t>
      </w:r>
      <w:r>
        <w:rPr/>
        <w:t>uma</w:t>
      </w:r>
      <w:r>
        <w:rPr>
          <w:spacing w:val="-13"/>
        </w:rPr>
        <w:t> </w:t>
      </w:r>
      <w:r>
        <w:rPr/>
        <w:t>conduta</w:t>
      </w:r>
      <w:r>
        <w:rPr>
          <w:spacing w:val="-13"/>
        </w:rPr>
        <w:t> </w:t>
      </w:r>
      <w:r>
        <w:rPr/>
        <w:t>cirúrgica</w:t>
      </w:r>
      <w:r>
        <w:rPr>
          <w:spacing w:val="-13"/>
        </w:rPr>
        <w:t> </w:t>
      </w:r>
      <w:r>
        <w:rPr/>
        <w:t>seletiva,</w:t>
      </w:r>
      <w:r>
        <w:rPr>
          <w:spacing w:val="-4"/>
        </w:rPr>
        <w:t> </w:t>
      </w:r>
      <w:r>
        <w:rPr/>
        <w:t>dependendo</w:t>
      </w:r>
      <w:r>
        <w:rPr>
          <w:spacing w:val="-11"/>
        </w:rPr>
        <w:t> </w:t>
      </w:r>
      <w:r>
        <w:rPr/>
        <w:t>da</w:t>
      </w:r>
      <w:r>
        <w:rPr>
          <w:spacing w:val="-13"/>
        </w:rPr>
        <w:t> </w:t>
      </w:r>
      <w:r>
        <w:rPr/>
        <w:t>natureza</w:t>
      </w:r>
      <w:r>
        <w:rPr>
          <w:spacing w:val="-13"/>
        </w:rPr>
        <w:t> </w:t>
      </w:r>
      <w:r>
        <w:rPr/>
        <w:t>dos</w:t>
      </w:r>
      <w:r>
        <w:rPr>
          <w:spacing w:val="-4"/>
        </w:rPr>
        <w:t> </w:t>
      </w:r>
      <w:r>
        <w:rPr/>
        <w:t>sintomas</w:t>
      </w:r>
      <w:r>
        <w:rPr>
          <w:spacing w:val="-4"/>
        </w:rPr>
        <w:t> </w:t>
      </w:r>
      <w:r>
        <w:rPr/>
        <w:t>neurológicos</w:t>
      </w:r>
      <w:r>
        <w:rPr>
          <w:spacing w:val="-4"/>
        </w:rPr>
        <w:t> </w:t>
      </w:r>
      <w:r>
        <w:rPr/>
        <w:t>dos pacientes. Se</w:t>
      </w:r>
      <w:r>
        <w:rPr>
          <w:spacing w:val="-2"/>
        </w:rPr>
        <w:t> </w:t>
      </w:r>
      <w:r>
        <w:rPr/>
        <w:t>a</w:t>
      </w:r>
      <w:r>
        <w:rPr>
          <w:spacing w:val="-2"/>
        </w:rPr>
        <w:t> </w:t>
      </w:r>
      <w:r>
        <w:rPr/>
        <w:t>sintomatologia</w:t>
      </w:r>
      <w:r>
        <w:rPr>
          <w:spacing w:val="-2"/>
        </w:rPr>
        <w:t> </w:t>
      </w:r>
      <w:r>
        <w:rPr/>
        <w:t>é</w:t>
      </w:r>
      <w:r>
        <w:rPr>
          <w:spacing w:val="-2"/>
        </w:rPr>
        <w:t> </w:t>
      </w:r>
      <w:r>
        <w:rPr/>
        <w:t>mista, com evidência</w:t>
      </w:r>
      <w:r>
        <w:rPr>
          <w:spacing w:val="-2"/>
        </w:rPr>
        <w:t> </w:t>
      </w:r>
      <w:r>
        <w:rPr/>
        <w:t>de</w:t>
      </w:r>
      <w:r>
        <w:rPr>
          <w:spacing w:val="-2"/>
        </w:rPr>
        <w:t> </w:t>
      </w:r>
      <w:r>
        <w:rPr/>
        <w:t>compressão das raízes superiores e</w:t>
      </w:r>
      <w:r>
        <w:rPr>
          <w:spacing w:val="-2"/>
        </w:rPr>
        <w:t> </w:t>
      </w:r>
      <w:r>
        <w:rPr/>
        <w:t>inferiores ou somente compressão</w:t>
      </w:r>
      <w:r>
        <w:rPr>
          <w:spacing w:val="-3"/>
        </w:rPr>
        <w:t> </w:t>
      </w:r>
      <w:r>
        <w:rPr/>
        <w:t>das raízes inferiores, a</w:t>
      </w:r>
      <w:r>
        <w:rPr>
          <w:spacing w:val="-5"/>
        </w:rPr>
        <w:t> </w:t>
      </w:r>
      <w:r>
        <w:rPr/>
        <w:t>ressecção</w:t>
      </w:r>
      <w:r>
        <w:rPr>
          <w:spacing w:val="-3"/>
        </w:rPr>
        <w:t> </w:t>
      </w:r>
      <w:r>
        <w:rPr/>
        <w:t>da</w:t>
      </w:r>
      <w:r>
        <w:rPr>
          <w:spacing w:val="-5"/>
        </w:rPr>
        <w:t> </w:t>
      </w:r>
      <w:r>
        <w:rPr/>
        <w:t>primeira</w:t>
      </w:r>
      <w:r>
        <w:rPr>
          <w:spacing w:val="-5"/>
        </w:rPr>
        <w:t> </w:t>
      </w:r>
      <w:r>
        <w:rPr/>
        <w:t>costela, mais a</w:t>
      </w:r>
      <w:r>
        <w:rPr>
          <w:spacing w:val="-5"/>
        </w:rPr>
        <w:t> </w:t>
      </w:r>
      <w:r>
        <w:rPr/>
        <w:t>escalenectomia</w:t>
      </w:r>
      <w:r>
        <w:rPr>
          <w:spacing w:val="-5"/>
        </w:rPr>
        <w:t> </w:t>
      </w:r>
      <w:r>
        <w:rPr/>
        <w:t>é</w:t>
      </w:r>
      <w:r>
        <w:rPr>
          <w:spacing w:val="-5"/>
        </w:rPr>
        <w:t> </w:t>
      </w:r>
      <w:r>
        <w:rPr/>
        <w:t>feita</w:t>
      </w:r>
      <w:r>
        <w:rPr>
          <w:spacing w:val="-5"/>
        </w:rPr>
        <w:t> </w:t>
      </w:r>
      <w:r>
        <w:rPr/>
        <w:t>pela</w:t>
      </w:r>
      <w:r>
        <w:rPr>
          <w:spacing w:val="-5"/>
        </w:rPr>
        <w:t> </w:t>
      </w:r>
      <w:r>
        <w:rPr/>
        <w:t>via</w:t>
      </w:r>
      <w:r>
        <w:rPr>
          <w:spacing w:val="-5"/>
        </w:rPr>
        <w:t> </w:t>
      </w:r>
      <w:r>
        <w:rPr/>
        <w:t>transaxilar. Se a compressão ocorre nas raízes superiores, somente a escalenectomia é feita pela via supraclavicular.</w:t>
      </w:r>
    </w:p>
    <w:p>
      <w:pPr>
        <w:pStyle w:val="BodyText"/>
        <w:spacing w:line="278" w:lineRule="auto" w:before="48"/>
        <w:ind w:right="491"/>
      </w:pPr>
      <w:r>
        <w:rPr/>
        <w:t>Mais controvérsias se observam no tratamento cirúrgico dessa modalidade da síndrome, quando se comparam as duas vias mais utilizadas e se constatam semelhanças nos resultados. Além desse fato, em maior número de séries estudadas, os próprios autores consideram seus resultados excelentes e bons em até 90% dos pacientes. Análises recentes são mais pessimistas e indicam melhora em 65% dos pacientes,</w:t>
      </w:r>
      <w:r>
        <w:rPr>
          <w:vertAlign w:val="superscript"/>
        </w:rPr>
        <w:t>18</w:t>
      </w:r>
      <w:r>
        <w:rPr>
          <w:vertAlign w:val="baseline"/>
        </w:rPr>
        <w:t> ao passo que quando a avaliação</w:t>
      </w:r>
      <w:r>
        <w:rPr>
          <w:spacing w:val="-14"/>
          <w:vertAlign w:val="baseline"/>
        </w:rPr>
        <w:t> </w:t>
      </w:r>
      <w:r>
        <w:rPr>
          <w:vertAlign w:val="baseline"/>
        </w:rPr>
        <w:t>é</w:t>
      </w:r>
      <w:r>
        <w:rPr>
          <w:spacing w:val="-15"/>
          <w:vertAlign w:val="baseline"/>
        </w:rPr>
        <w:t> </w:t>
      </w:r>
      <w:r>
        <w:rPr>
          <w:vertAlign w:val="baseline"/>
        </w:rPr>
        <w:t>feita,</w:t>
      </w:r>
      <w:r>
        <w:rPr>
          <w:spacing w:val="-6"/>
          <w:vertAlign w:val="baseline"/>
        </w:rPr>
        <w:t> </w:t>
      </w:r>
      <w:r>
        <w:rPr>
          <w:vertAlign w:val="baseline"/>
        </w:rPr>
        <w:t>independentemente,</w:t>
      </w:r>
      <w:r>
        <w:rPr>
          <w:spacing w:val="-6"/>
          <w:vertAlign w:val="baseline"/>
        </w:rPr>
        <w:t> </w:t>
      </w:r>
      <w:r>
        <w:rPr>
          <w:vertAlign w:val="baseline"/>
        </w:rPr>
        <w:t>por</w:t>
      </w:r>
      <w:r>
        <w:rPr>
          <w:spacing w:val="-8"/>
          <w:vertAlign w:val="baseline"/>
        </w:rPr>
        <w:t> </w:t>
      </w:r>
      <w:r>
        <w:rPr>
          <w:vertAlign w:val="baseline"/>
        </w:rPr>
        <w:t>grupos</w:t>
      </w:r>
      <w:r>
        <w:rPr>
          <w:spacing w:val="-6"/>
          <w:vertAlign w:val="baseline"/>
        </w:rPr>
        <w:t> </w:t>
      </w:r>
      <w:r>
        <w:rPr>
          <w:vertAlign w:val="baseline"/>
        </w:rPr>
        <w:t>de</w:t>
      </w:r>
      <w:r>
        <w:rPr>
          <w:spacing w:val="-15"/>
          <w:vertAlign w:val="baseline"/>
        </w:rPr>
        <w:t> </w:t>
      </w:r>
      <w:r>
        <w:rPr>
          <w:vertAlign w:val="baseline"/>
        </w:rPr>
        <w:t>neurologistas</w:t>
      </w:r>
      <w:r>
        <w:rPr>
          <w:spacing w:val="-6"/>
          <w:vertAlign w:val="baseline"/>
        </w:rPr>
        <w:t> </w:t>
      </w:r>
      <w:r>
        <w:rPr>
          <w:vertAlign w:val="baseline"/>
        </w:rPr>
        <w:t>que</w:t>
      </w:r>
      <w:r>
        <w:rPr>
          <w:spacing w:val="-15"/>
          <w:vertAlign w:val="baseline"/>
        </w:rPr>
        <w:t> </w:t>
      </w:r>
      <w:r>
        <w:rPr>
          <w:vertAlign w:val="baseline"/>
        </w:rPr>
        <w:t>não</w:t>
      </w:r>
      <w:r>
        <w:rPr>
          <w:spacing w:val="-12"/>
          <w:vertAlign w:val="baseline"/>
        </w:rPr>
        <w:t> </w:t>
      </w:r>
      <w:r>
        <w:rPr>
          <w:vertAlign w:val="baseline"/>
        </w:rPr>
        <w:t>estavam</w:t>
      </w:r>
      <w:r>
        <w:rPr>
          <w:spacing w:val="-13"/>
          <w:vertAlign w:val="baseline"/>
        </w:rPr>
        <w:t> </w:t>
      </w:r>
      <w:r>
        <w:rPr>
          <w:vertAlign w:val="baseline"/>
        </w:rPr>
        <w:t>envolvidos</w:t>
      </w:r>
      <w:r>
        <w:rPr>
          <w:spacing w:val="-6"/>
          <w:vertAlign w:val="baseline"/>
        </w:rPr>
        <w:t> </w:t>
      </w:r>
      <w:r>
        <w:rPr>
          <w:vertAlign w:val="baseline"/>
        </w:rPr>
        <w:t>no</w:t>
      </w:r>
      <w:r>
        <w:rPr>
          <w:spacing w:val="-13"/>
          <w:vertAlign w:val="baseline"/>
        </w:rPr>
        <w:t> </w:t>
      </w:r>
      <w:r>
        <w:rPr>
          <w:vertAlign w:val="baseline"/>
        </w:rPr>
        <w:t>tratamento</w:t>
      </w:r>
      <w:r>
        <w:rPr>
          <w:spacing w:val="-13"/>
          <w:vertAlign w:val="baseline"/>
        </w:rPr>
        <w:t> </w:t>
      </w:r>
      <w:r>
        <w:rPr>
          <w:vertAlign w:val="baseline"/>
        </w:rPr>
        <w:t>inicial, 7% dos pacientes têm resolução total do quadro, 27% melhoram muito, 40% melhoram muito pouco, 13% não mudam o </w:t>
      </w:r>
      <w:r>
        <w:rPr>
          <w:i/>
          <w:vertAlign w:val="baseline"/>
        </w:rPr>
        <w:t>status </w:t>
      </w:r>
      <w:r>
        <w:rPr>
          <w:vertAlign w:val="baseline"/>
        </w:rPr>
        <w:t>e 13% pioram. Estes resultados tendem a piorar com o tempo de evolução e a se equilibrar com o tratamento clínico.</w:t>
      </w:r>
    </w:p>
    <w:p>
      <w:pPr>
        <w:pStyle w:val="BodyText"/>
        <w:spacing w:line="276" w:lineRule="auto" w:before="60"/>
        <w:ind w:right="488"/>
      </w:pPr>
      <w:r>
        <w:rPr/>
        <w:t>A cautela deve ser enfatizada no tratamento de todas as formas da síndrome do desfiladeiro torácico. O tratamento clínico na forma arterial, quando já está estabelecida uma lesão arterial, pode ser catastrófico, pois a trombose-embolização</w:t>
      </w:r>
      <w:r>
        <w:rPr>
          <w:spacing w:val="-2"/>
        </w:rPr>
        <w:t> </w:t>
      </w:r>
      <w:r>
        <w:rPr/>
        <w:t>pode</w:t>
      </w:r>
      <w:r>
        <w:rPr>
          <w:spacing w:val="-5"/>
        </w:rPr>
        <w:t> </w:t>
      </w:r>
      <w:r>
        <w:rPr/>
        <w:t>resultar em</w:t>
      </w:r>
      <w:r>
        <w:rPr>
          <w:spacing w:val="-2"/>
        </w:rPr>
        <w:t> </w:t>
      </w:r>
      <w:r>
        <w:rPr/>
        <w:t>necrose</w:t>
      </w:r>
      <w:r>
        <w:rPr>
          <w:spacing w:val="-5"/>
        </w:rPr>
        <w:t> </w:t>
      </w:r>
      <w:r>
        <w:rPr/>
        <w:t>irreversível, com</w:t>
      </w:r>
      <w:r>
        <w:rPr>
          <w:spacing w:val="-2"/>
        </w:rPr>
        <w:t> </w:t>
      </w:r>
      <w:r>
        <w:rPr/>
        <w:t>a</w:t>
      </w:r>
      <w:r>
        <w:rPr>
          <w:spacing w:val="-5"/>
        </w:rPr>
        <w:t> </w:t>
      </w:r>
      <w:r>
        <w:rPr/>
        <w:t>perda</w:t>
      </w:r>
      <w:r>
        <w:rPr>
          <w:spacing w:val="-5"/>
        </w:rPr>
        <w:t> </w:t>
      </w:r>
      <w:r>
        <w:rPr/>
        <w:t>de</w:t>
      </w:r>
      <w:r>
        <w:rPr>
          <w:spacing w:val="-5"/>
        </w:rPr>
        <w:t> </w:t>
      </w:r>
      <w:r>
        <w:rPr/>
        <w:t>dedos ou</w:t>
      </w:r>
      <w:r>
        <w:rPr>
          <w:spacing w:val="-2"/>
        </w:rPr>
        <w:t> </w:t>
      </w:r>
      <w:r>
        <w:rPr/>
        <w:t>da</w:t>
      </w:r>
      <w:r>
        <w:rPr>
          <w:spacing w:val="-5"/>
        </w:rPr>
        <w:t> </w:t>
      </w:r>
      <w:r>
        <w:rPr/>
        <w:t>mão. Do</w:t>
      </w:r>
      <w:r>
        <w:rPr>
          <w:spacing w:val="-2"/>
        </w:rPr>
        <w:t> </w:t>
      </w:r>
      <w:r>
        <w:rPr/>
        <w:t>mesmo</w:t>
      </w:r>
      <w:r>
        <w:rPr>
          <w:spacing w:val="-2"/>
        </w:rPr>
        <w:t> </w:t>
      </w:r>
      <w:r>
        <w:rPr/>
        <w:t>modo, o tratamento</w:t>
      </w:r>
      <w:r>
        <w:rPr>
          <w:spacing w:val="-7"/>
        </w:rPr>
        <w:t> </w:t>
      </w:r>
      <w:r>
        <w:rPr/>
        <w:t>cirúrgico</w:t>
      </w:r>
      <w:r>
        <w:rPr>
          <w:spacing w:val="-7"/>
        </w:rPr>
        <w:t> </w:t>
      </w:r>
      <w:r>
        <w:rPr/>
        <w:t>intempestivo</w:t>
      </w:r>
      <w:r>
        <w:rPr>
          <w:spacing w:val="-7"/>
        </w:rPr>
        <w:t> </w:t>
      </w:r>
      <w:r>
        <w:rPr/>
        <w:t>da</w:t>
      </w:r>
      <w:r>
        <w:rPr>
          <w:spacing w:val="-10"/>
        </w:rPr>
        <w:t> </w:t>
      </w:r>
      <w:r>
        <w:rPr/>
        <w:t>forma</w:t>
      </w:r>
      <w:r>
        <w:rPr>
          <w:spacing w:val="-10"/>
        </w:rPr>
        <w:t> </w:t>
      </w:r>
      <w:r>
        <w:rPr/>
        <w:t>neurológica</w:t>
      </w:r>
      <w:r>
        <w:rPr>
          <w:spacing w:val="-10"/>
        </w:rPr>
        <w:t> </w:t>
      </w:r>
      <w:r>
        <w:rPr/>
        <w:t>pode</w:t>
      </w:r>
      <w:r>
        <w:rPr>
          <w:spacing w:val="-10"/>
        </w:rPr>
        <w:t> </w:t>
      </w:r>
      <w:r>
        <w:rPr/>
        <w:t>transformar</w:t>
      </w:r>
      <w:r>
        <w:rPr>
          <w:spacing w:val="-3"/>
        </w:rPr>
        <w:t> </w:t>
      </w:r>
      <w:r>
        <w:rPr/>
        <w:t>um</w:t>
      </w:r>
      <w:r>
        <w:rPr>
          <w:spacing w:val="-7"/>
        </w:rPr>
        <w:t> </w:t>
      </w:r>
      <w:r>
        <w:rPr/>
        <w:t>paciente, com</w:t>
      </w:r>
      <w:r>
        <w:rPr>
          <w:spacing w:val="-7"/>
        </w:rPr>
        <w:t> </w:t>
      </w:r>
      <w:r>
        <w:rPr/>
        <w:t>queixas moderadas, em um incapacitado devido às sequelas do tratamento. O ponto fundamental parece ser, em princípio, o diagnóstico diferencial e a seguir classificar adequadamente cada paciente na forma da síndrome. Com essas premissas, uma adequada</w:t>
      </w:r>
      <w:r>
        <w:rPr>
          <w:spacing w:val="-2"/>
        </w:rPr>
        <w:t> </w:t>
      </w:r>
      <w:r>
        <w:rPr/>
        <w:t>relação médico-paciente-família</w:t>
      </w:r>
      <w:r>
        <w:rPr>
          <w:spacing w:val="-2"/>
        </w:rPr>
        <w:t> </w:t>
      </w:r>
      <w:r>
        <w:rPr/>
        <w:t>e</w:t>
      </w:r>
      <w:r>
        <w:rPr>
          <w:spacing w:val="-2"/>
        </w:rPr>
        <w:t> </w:t>
      </w:r>
      <w:r>
        <w:rPr/>
        <w:t>abordagem multidisciplinar podem-se</w:t>
      </w:r>
      <w:r>
        <w:rPr>
          <w:spacing w:val="-2"/>
        </w:rPr>
        <w:t> </w:t>
      </w:r>
      <w:r>
        <w:rPr/>
        <w:t>obter os melhores resultados no tratamento destes pacientes.</w:t>
      </w:r>
    </w:p>
    <w:p>
      <w:pPr>
        <w:pStyle w:val="BodyText"/>
        <w:spacing w:after="0" w:line="276" w:lineRule="auto"/>
        <w:sectPr>
          <w:pgSz w:w="11900" w:h="16840"/>
          <w:pgMar w:top="120" w:bottom="280" w:left="566" w:right="141"/>
        </w:sectPr>
      </w:pPr>
    </w:p>
    <w:p>
      <w:pPr>
        <w:pStyle w:val="Heading3"/>
        <w:spacing w:before="75"/>
      </w:pPr>
      <w:r>
        <w:rPr>
          <w:color w:val="242B67"/>
        </w:rPr>
        <w:t>Pé</w:t>
      </w:r>
      <w:r>
        <w:rPr>
          <w:color w:val="242B67"/>
          <w:spacing w:val="9"/>
        </w:rPr>
        <w:t> </w:t>
      </w:r>
      <w:r>
        <w:rPr>
          <w:color w:val="242B67"/>
          <w:spacing w:val="-2"/>
        </w:rPr>
        <w:t>Diabético</w:t>
      </w:r>
    </w:p>
    <w:p>
      <w:pPr>
        <w:pStyle w:val="BodyText"/>
        <w:spacing w:before="6"/>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33920">
                <wp:simplePos x="0" y="0"/>
                <wp:positionH relativeFrom="page">
                  <wp:posOffset>401543</wp:posOffset>
                </wp:positionH>
                <wp:positionV relativeFrom="paragraph">
                  <wp:posOffset>41001</wp:posOffset>
                </wp:positionV>
                <wp:extent cx="6753225" cy="10795"/>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28453pt;width:531.731217pt;height:.8008pt;mso-position-horizontal-relative:page;mso-position-vertical-relative:paragraph;z-index:-15682560;mso-wrap-distance-left:0;mso-wrap-distance-right:0" id="docshape55" filled="true" fillcolor="#242b67" stroked="false">
                <v:fill type="solid"/>
                <w10:wrap type="topAndBottom"/>
              </v:rect>
            </w:pict>
          </mc:Fallback>
        </mc:AlternateContent>
      </w:r>
    </w:p>
    <w:p>
      <w:pPr>
        <w:spacing w:before="134"/>
        <w:ind w:left="68" w:right="0" w:firstLine="0"/>
        <w:jc w:val="left"/>
        <w:rPr>
          <w:rFonts w:ascii="Arial" w:hAnsi="Arial"/>
          <w:i/>
          <w:sz w:val="25"/>
        </w:rPr>
      </w:pPr>
      <w:r>
        <w:rPr>
          <w:rFonts w:ascii="Arial" w:hAnsi="Arial"/>
          <w:i/>
          <w:sz w:val="25"/>
        </w:rPr>
        <w:t>Raul</w:t>
      </w:r>
      <w:r>
        <w:rPr>
          <w:rFonts w:ascii="Arial" w:hAnsi="Arial"/>
          <w:i/>
          <w:spacing w:val="13"/>
          <w:sz w:val="25"/>
        </w:rPr>
        <w:t> </w:t>
      </w:r>
      <w:r>
        <w:rPr>
          <w:rFonts w:ascii="Arial" w:hAnsi="Arial"/>
          <w:i/>
          <w:sz w:val="25"/>
        </w:rPr>
        <w:t>Ignácio</w:t>
      </w:r>
      <w:r>
        <w:rPr>
          <w:rFonts w:ascii="Arial" w:hAnsi="Arial"/>
          <w:i/>
          <w:spacing w:val="13"/>
          <w:sz w:val="25"/>
        </w:rPr>
        <w:t> </w:t>
      </w:r>
      <w:r>
        <w:rPr>
          <w:rFonts w:ascii="Arial" w:hAnsi="Arial"/>
          <w:i/>
          <w:sz w:val="25"/>
        </w:rPr>
        <w:t>Rojas</w:t>
      </w:r>
      <w:r>
        <w:rPr>
          <w:rFonts w:ascii="Arial" w:hAnsi="Arial"/>
          <w:i/>
          <w:spacing w:val="13"/>
          <w:sz w:val="25"/>
        </w:rPr>
        <w:t> </w:t>
      </w:r>
      <w:r>
        <w:rPr>
          <w:rFonts w:ascii="Arial" w:hAnsi="Arial"/>
          <w:i/>
          <w:sz w:val="25"/>
        </w:rPr>
        <w:t>Martinez</w:t>
      </w:r>
      <w:r>
        <w:rPr>
          <w:rFonts w:ascii="Arial" w:hAnsi="Arial"/>
          <w:i/>
          <w:spacing w:val="14"/>
          <w:sz w:val="25"/>
        </w:rPr>
        <w:t> </w:t>
      </w:r>
      <w:r>
        <w:rPr>
          <w:rFonts w:ascii="Arial" w:hAnsi="Arial"/>
          <w:i/>
          <w:sz w:val="25"/>
        </w:rPr>
        <w:t>e</w:t>
      </w:r>
      <w:r>
        <w:rPr>
          <w:rFonts w:ascii="Arial" w:hAnsi="Arial"/>
          <w:i/>
          <w:spacing w:val="13"/>
          <w:sz w:val="25"/>
        </w:rPr>
        <w:t> </w:t>
      </w:r>
      <w:r>
        <w:rPr>
          <w:rFonts w:ascii="Arial" w:hAnsi="Arial"/>
          <w:i/>
          <w:sz w:val="25"/>
        </w:rPr>
        <w:t>Paulo</w:t>
      </w:r>
      <w:r>
        <w:rPr>
          <w:rFonts w:ascii="Arial" w:hAnsi="Arial"/>
          <w:i/>
          <w:spacing w:val="13"/>
          <w:sz w:val="25"/>
        </w:rPr>
        <w:t> </w:t>
      </w:r>
      <w:r>
        <w:rPr>
          <w:rFonts w:ascii="Arial" w:hAnsi="Arial"/>
          <w:i/>
          <w:spacing w:val="-2"/>
          <w:sz w:val="25"/>
        </w:rPr>
        <w:t>Kauffman</w:t>
      </w:r>
    </w:p>
    <w:p>
      <w:pPr>
        <w:pStyle w:val="BodyText"/>
        <w:spacing w:before="198"/>
        <w:ind w:left="0" w:firstLine="0"/>
        <w:jc w:val="left"/>
        <w:rPr>
          <w:rFonts w:ascii="Arial"/>
          <w:i/>
          <w:sz w:val="25"/>
        </w:rPr>
      </w:pPr>
    </w:p>
    <w:p>
      <w:pPr>
        <w:pStyle w:val="Heading4"/>
      </w:pPr>
      <w:r>
        <w:rPr>
          <w:color w:val="242B67"/>
        </w:rPr>
        <w:t>Considerações </w:t>
      </w:r>
      <w:r>
        <w:rPr>
          <w:color w:val="242B67"/>
          <w:spacing w:val="-2"/>
        </w:rPr>
        <w:t>gerais</w:t>
      </w:r>
    </w:p>
    <w:p>
      <w:pPr>
        <w:pStyle w:val="BodyText"/>
        <w:spacing w:line="276" w:lineRule="auto" w:before="132"/>
        <w:ind w:right="488"/>
      </w:pPr>
      <w:r>
        <w:rPr/>
        <w:t>No diabético, em particular, o pé torna-se extremamente vulnerável, pois a neuropatia periférica associada à arteriopatia</w:t>
      </w:r>
      <w:r>
        <w:rPr>
          <w:spacing w:val="-5"/>
        </w:rPr>
        <w:t> </w:t>
      </w:r>
      <w:r>
        <w:rPr/>
        <w:t>favorece</w:t>
      </w:r>
      <w:r>
        <w:rPr>
          <w:spacing w:val="-5"/>
        </w:rPr>
        <w:t> </w:t>
      </w:r>
      <w:r>
        <w:rPr/>
        <w:t>o</w:t>
      </w:r>
      <w:r>
        <w:rPr>
          <w:spacing w:val="-2"/>
        </w:rPr>
        <w:t> </w:t>
      </w:r>
      <w:r>
        <w:rPr/>
        <w:t>aparecimento</w:t>
      </w:r>
      <w:r>
        <w:rPr>
          <w:spacing w:val="-2"/>
        </w:rPr>
        <w:t> </w:t>
      </w:r>
      <w:r>
        <w:rPr/>
        <w:t>de</w:t>
      </w:r>
      <w:r>
        <w:rPr>
          <w:spacing w:val="-5"/>
        </w:rPr>
        <w:t> </w:t>
      </w:r>
      <w:r>
        <w:rPr/>
        <w:t>lesões tróficas que</w:t>
      </w:r>
      <w:r>
        <w:rPr>
          <w:spacing w:val="-5"/>
        </w:rPr>
        <w:t> </w:t>
      </w:r>
      <w:r>
        <w:rPr/>
        <w:t>habitualmente</w:t>
      </w:r>
      <w:r>
        <w:rPr>
          <w:spacing w:val="-5"/>
        </w:rPr>
        <w:t> </w:t>
      </w:r>
      <w:r>
        <w:rPr/>
        <w:t>se</w:t>
      </w:r>
      <w:r>
        <w:rPr>
          <w:spacing w:val="-5"/>
        </w:rPr>
        <w:t> </w:t>
      </w:r>
      <w:r>
        <w:rPr/>
        <w:t>infectam, pondo</w:t>
      </w:r>
      <w:r>
        <w:rPr>
          <w:spacing w:val="-2"/>
        </w:rPr>
        <w:t> </w:t>
      </w:r>
      <w:r>
        <w:rPr/>
        <w:t>em</w:t>
      </w:r>
      <w:r>
        <w:rPr>
          <w:spacing w:val="-2"/>
        </w:rPr>
        <w:t> </w:t>
      </w:r>
      <w:r>
        <w:rPr/>
        <w:t>risco</w:t>
      </w:r>
      <w:r>
        <w:rPr>
          <w:spacing w:val="-2"/>
        </w:rPr>
        <w:t> </w:t>
      </w:r>
      <w:r>
        <w:rPr/>
        <w:t>não</w:t>
      </w:r>
      <w:r>
        <w:rPr>
          <w:spacing w:val="-2"/>
        </w:rPr>
        <w:t> </w:t>
      </w:r>
      <w:r>
        <w:rPr/>
        <w:t>somente a viabilidade do membro afetado, mas também a própria vida do paciente. Essas alterações nos pés caracterizam o que se conhece como pé diabético; ocorrem em 1 em cada 5 diabéticos, geralmente na quinta década de vida, com evolução da doença de aproximadamente 18 anos e, apesar de a maioria apresentar diabetes tipo 2, em geral necessitam de insulina para obter bom controle da glicemia.</w:t>
      </w:r>
    </w:p>
    <w:p>
      <w:pPr>
        <w:pStyle w:val="BodyText"/>
        <w:spacing w:line="278" w:lineRule="auto" w:before="49"/>
        <w:ind w:right="491"/>
      </w:pPr>
      <w:r>
        <w:rPr/>
        <w:t>A</w:t>
      </w:r>
      <w:r>
        <w:rPr>
          <w:spacing w:val="-6"/>
        </w:rPr>
        <w:t> </w:t>
      </w:r>
      <w:r>
        <w:rPr/>
        <w:t>prevalência</w:t>
      </w:r>
      <w:r>
        <w:rPr>
          <w:spacing w:val="-6"/>
        </w:rPr>
        <w:t> </w:t>
      </w:r>
      <w:r>
        <w:rPr/>
        <w:t>de</w:t>
      </w:r>
      <w:r>
        <w:rPr>
          <w:spacing w:val="-6"/>
        </w:rPr>
        <w:t> </w:t>
      </w:r>
      <w:r>
        <w:rPr/>
        <w:t>diabetes melito</w:t>
      </w:r>
      <w:r>
        <w:rPr>
          <w:spacing w:val="-3"/>
        </w:rPr>
        <w:t> </w:t>
      </w:r>
      <w:r>
        <w:rPr/>
        <w:t>no</w:t>
      </w:r>
      <w:r>
        <w:rPr>
          <w:spacing w:val="-3"/>
        </w:rPr>
        <w:t> </w:t>
      </w:r>
      <w:r>
        <w:rPr/>
        <w:t>mundo</w:t>
      </w:r>
      <w:r>
        <w:rPr>
          <w:spacing w:val="-3"/>
        </w:rPr>
        <w:t> </w:t>
      </w:r>
      <w:r>
        <w:rPr/>
        <w:t>ocidental</w:t>
      </w:r>
      <w:r>
        <w:rPr>
          <w:spacing w:val="-1"/>
        </w:rPr>
        <w:t> </w:t>
      </w:r>
      <w:r>
        <w:rPr/>
        <w:t>varia</w:t>
      </w:r>
      <w:r>
        <w:rPr>
          <w:spacing w:val="-6"/>
        </w:rPr>
        <w:t> </w:t>
      </w:r>
      <w:r>
        <w:rPr/>
        <w:t>de</w:t>
      </w:r>
      <w:r>
        <w:rPr>
          <w:spacing w:val="-6"/>
        </w:rPr>
        <w:t> </w:t>
      </w:r>
      <w:r>
        <w:rPr/>
        <w:t>2</w:t>
      </w:r>
      <w:r>
        <w:rPr>
          <w:spacing w:val="-3"/>
        </w:rPr>
        <w:t> </w:t>
      </w:r>
      <w:r>
        <w:rPr/>
        <w:t>a</w:t>
      </w:r>
      <w:r>
        <w:rPr>
          <w:spacing w:val="-6"/>
        </w:rPr>
        <w:t> </w:t>
      </w:r>
      <w:r>
        <w:rPr/>
        <w:t>5%;</w:t>
      </w:r>
      <w:r>
        <w:rPr>
          <w:spacing w:val="-1"/>
        </w:rPr>
        <w:t> </w:t>
      </w:r>
      <w:r>
        <w:rPr/>
        <w:t>80</w:t>
      </w:r>
      <w:r>
        <w:rPr>
          <w:spacing w:val="-3"/>
        </w:rPr>
        <w:t> </w:t>
      </w:r>
      <w:r>
        <w:rPr/>
        <w:t>a</w:t>
      </w:r>
      <w:r>
        <w:rPr>
          <w:spacing w:val="-6"/>
        </w:rPr>
        <w:t> </w:t>
      </w:r>
      <w:r>
        <w:rPr/>
        <w:t>90%</w:t>
      </w:r>
      <w:r>
        <w:rPr>
          <w:spacing w:val="-1"/>
        </w:rPr>
        <w:t> </w:t>
      </w:r>
      <w:r>
        <w:rPr/>
        <w:t>dos portadores têm</w:t>
      </w:r>
      <w:r>
        <w:rPr>
          <w:spacing w:val="-3"/>
        </w:rPr>
        <w:t> </w:t>
      </w:r>
      <w:r>
        <w:rPr/>
        <w:t>diabetes do tipo</w:t>
      </w:r>
      <w:r>
        <w:rPr>
          <w:spacing w:val="-1"/>
        </w:rPr>
        <w:t> </w:t>
      </w:r>
      <w:r>
        <w:rPr/>
        <w:t>2. Nos EUA</w:t>
      </w:r>
      <w:r>
        <w:rPr>
          <w:spacing w:val="-3"/>
        </w:rPr>
        <w:t> </w:t>
      </w:r>
      <w:r>
        <w:rPr/>
        <w:t>estima-se</w:t>
      </w:r>
      <w:r>
        <w:rPr>
          <w:spacing w:val="-3"/>
        </w:rPr>
        <w:t> </w:t>
      </w:r>
      <w:r>
        <w:rPr/>
        <w:t>que</w:t>
      </w:r>
      <w:r>
        <w:rPr>
          <w:spacing w:val="-3"/>
        </w:rPr>
        <w:t> </w:t>
      </w:r>
      <w:r>
        <w:rPr/>
        <w:t>25% dos diabéticos apresentarão</w:t>
      </w:r>
      <w:r>
        <w:rPr>
          <w:spacing w:val="-1"/>
        </w:rPr>
        <w:t> </w:t>
      </w:r>
      <w:r>
        <w:rPr/>
        <w:t>problemas nos pés, e</w:t>
      </w:r>
      <w:r>
        <w:rPr>
          <w:spacing w:val="-3"/>
        </w:rPr>
        <w:t> </w:t>
      </w:r>
      <w:r>
        <w:rPr/>
        <w:t>a</w:t>
      </w:r>
      <w:r>
        <w:rPr>
          <w:spacing w:val="-3"/>
        </w:rPr>
        <w:t> </w:t>
      </w:r>
      <w:r>
        <w:rPr/>
        <w:t>infecção</w:t>
      </w:r>
      <w:r>
        <w:rPr>
          <w:spacing w:val="-1"/>
        </w:rPr>
        <w:t> </w:t>
      </w:r>
      <w:r>
        <w:rPr/>
        <w:t>nesse</w:t>
      </w:r>
      <w:r>
        <w:rPr>
          <w:spacing w:val="-3"/>
        </w:rPr>
        <w:t> </w:t>
      </w:r>
      <w:r>
        <w:rPr/>
        <w:t>segmento</w:t>
      </w:r>
      <w:r>
        <w:rPr>
          <w:spacing w:val="-1"/>
        </w:rPr>
        <w:t> </w:t>
      </w:r>
      <w:r>
        <w:rPr/>
        <w:t>e suas sequelas são as complicações que mais frequentemente determinam sua hospitalização, acarretando custos significativos, avaliados em mais de 1 bilhão de dólares por ano. O diabetes melito afeta cerca de 16 milhões de pessoas, ou seja, 6% da população, com mais de 650.000 casos novos por ano EUA, constituindo uma das principais causas de doença renal em estágio terminal, de doença cardiovascular, de cegueira, de neuropatia periférica e de amputação de membro inferior.</w:t>
      </w:r>
      <w:r>
        <w:rPr>
          <w:vertAlign w:val="superscript"/>
        </w:rPr>
        <w:t>1</w:t>
      </w:r>
    </w:p>
    <w:p>
      <w:pPr>
        <w:pStyle w:val="BodyText"/>
        <w:spacing w:line="276" w:lineRule="auto" w:before="63"/>
        <w:ind w:right="501"/>
      </w:pPr>
      <w:r>
        <w:rPr/>
        <w:t>Neuropatia diabética sintomática tem prevalência de quase 20% em insulinodependentes. No entanto, anormalidades na</w:t>
      </w:r>
      <w:r>
        <w:rPr>
          <w:spacing w:val="-6"/>
        </w:rPr>
        <w:t> </w:t>
      </w:r>
      <w:r>
        <w:rPr/>
        <w:t>condução</w:t>
      </w:r>
      <w:r>
        <w:rPr>
          <w:spacing w:val="-3"/>
        </w:rPr>
        <w:t> </w:t>
      </w:r>
      <w:r>
        <w:rPr/>
        <w:t>elétrica</w:t>
      </w:r>
      <w:r>
        <w:rPr>
          <w:spacing w:val="-6"/>
        </w:rPr>
        <w:t> </w:t>
      </w:r>
      <w:r>
        <w:rPr/>
        <w:t>do</w:t>
      </w:r>
      <w:r>
        <w:rPr>
          <w:spacing w:val="-3"/>
        </w:rPr>
        <w:t> </w:t>
      </w:r>
      <w:r>
        <w:rPr/>
        <w:t>nervo</w:t>
      </w:r>
      <w:r>
        <w:rPr>
          <w:spacing w:val="-3"/>
        </w:rPr>
        <w:t> </w:t>
      </w:r>
      <w:r>
        <w:rPr/>
        <w:t>são</w:t>
      </w:r>
      <w:r>
        <w:rPr>
          <w:spacing w:val="-3"/>
        </w:rPr>
        <w:t> </w:t>
      </w:r>
      <w:r>
        <w:rPr/>
        <w:t>observadas em</w:t>
      </w:r>
      <w:r>
        <w:rPr>
          <w:spacing w:val="-3"/>
        </w:rPr>
        <w:t> </w:t>
      </w:r>
      <w:r>
        <w:rPr/>
        <w:t>aproximadamente</w:t>
      </w:r>
      <w:r>
        <w:rPr>
          <w:spacing w:val="-6"/>
        </w:rPr>
        <w:t> </w:t>
      </w:r>
      <w:r>
        <w:rPr/>
        <w:t>80% dos diabéticos.</w:t>
      </w:r>
    </w:p>
    <w:p>
      <w:pPr>
        <w:pStyle w:val="BodyText"/>
        <w:spacing w:line="280" w:lineRule="auto" w:before="64"/>
        <w:ind w:right="488"/>
      </w:pPr>
      <w:r>
        <w:rPr/>
        <w:t>Úlceras e gangrena nas extremidades inferiores incidem em aproximadamente 15% dos diabéticos idosos. O risco</w:t>
      </w:r>
      <w:r>
        <w:rPr>
          <w:spacing w:val="-3"/>
        </w:rPr>
        <w:t> </w:t>
      </w:r>
      <w:r>
        <w:rPr/>
        <w:t>de</w:t>
      </w:r>
      <w:r>
        <w:rPr>
          <w:spacing w:val="-5"/>
        </w:rPr>
        <w:t> </w:t>
      </w:r>
      <w:r>
        <w:rPr/>
        <w:t>amputação</w:t>
      </w:r>
      <w:r>
        <w:rPr>
          <w:spacing w:val="-3"/>
        </w:rPr>
        <w:t> </w:t>
      </w:r>
      <w:r>
        <w:rPr/>
        <w:t>nos diabéticos é</w:t>
      </w:r>
      <w:r>
        <w:rPr>
          <w:spacing w:val="-5"/>
        </w:rPr>
        <w:t> </w:t>
      </w:r>
      <w:r>
        <w:rPr/>
        <w:t>de</w:t>
      </w:r>
      <w:r>
        <w:rPr>
          <w:spacing w:val="-5"/>
        </w:rPr>
        <w:t> </w:t>
      </w:r>
      <w:r>
        <w:rPr/>
        <w:t>cerca</w:t>
      </w:r>
      <w:r>
        <w:rPr>
          <w:spacing w:val="-5"/>
        </w:rPr>
        <w:t> </w:t>
      </w:r>
      <w:r>
        <w:rPr/>
        <w:t>de</w:t>
      </w:r>
      <w:r>
        <w:rPr>
          <w:spacing w:val="-5"/>
        </w:rPr>
        <w:t> </w:t>
      </w:r>
      <w:r>
        <w:rPr/>
        <w:t>1% ao</w:t>
      </w:r>
      <w:r>
        <w:rPr>
          <w:spacing w:val="-3"/>
        </w:rPr>
        <w:t> </w:t>
      </w:r>
      <w:r>
        <w:rPr/>
        <w:t>ano. Apesar de</w:t>
      </w:r>
      <w:r>
        <w:rPr>
          <w:spacing w:val="-5"/>
        </w:rPr>
        <w:t> </w:t>
      </w:r>
      <w:r>
        <w:rPr/>
        <w:t>apenas 3% dos diabéticos serem</w:t>
      </w:r>
      <w:r>
        <w:rPr>
          <w:spacing w:val="-3"/>
        </w:rPr>
        <w:t> </w:t>
      </w:r>
      <w:r>
        <w:rPr/>
        <w:t>amputados, 50% de todas as grandes amputações não traumáticas dos membros inferiores são realizadas em diabéticos.</w:t>
      </w:r>
      <w:r>
        <w:rPr>
          <w:vertAlign w:val="superscript"/>
        </w:rPr>
        <w:t>1</w:t>
      </w:r>
      <w:r>
        <w:rPr>
          <w:vertAlign w:val="baseline"/>
        </w:rPr>
        <w:t> Calcula-se que 20% desses diabéticos amputados morrem em um período máximo de 2 anos e, após 3 anos da amputação, somente cerca de 50% deles estão vivos. Pacientes diabéticos têm risco em torno de 15 a 40 vezes maior de amputação do que os não diabéticos.</w:t>
      </w:r>
      <w:r>
        <w:rPr>
          <w:vertAlign w:val="superscript"/>
        </w:rPr>
        <w:t>1</w:t>
      </w:r>
    </w:p>
    <w:p>
      <w:pPr>
        <w:pStyle w:val="BodyText"/>
        <w:spacing w:line="276" w:lineRule="auto" w:before="49"/>
        <w:ind w:right="488"/>
      </w:pPr>
      <w:r>
        <w:rPr/>
        <w:t>Consequentemente, o pé diabético constitui, sem dúvida, um grande problema de saúde pública, sendo sua assistência dispendiosa tanto para o paciente quanto para a sociedade.</w:t>
      </w:r>
    </w:p>
    <w:p>
      <w:pPr>
        <w:pStyle w:val="BodyText"/>
        <w:spacing w:before="186"/>
        <w:ind w:left="0" w:firstLine="0"/>
        <w:jc w:val="left"/>
      </w:pPr>
    </w:p>
    <w:p>
      <w:pPr>
        <w:pStyle w:val="Heading4"/>
      </w:pPr>
      <w:r>
        <w:rPr>
          <w:color w:val="242B67"/>
        </w:rPr>
        <w:t>Aspectos anatômicos do </w:t>
      </w:r>
      <w:r>
        <w:rPr>
          <w:color w:val="242B67"/>
          <w:spacing w:val="-5"/>
        </w:rPr>
        <w:t>pé</w:t>
      </w:r>
    </w:p>
    <w:p>
      <w:pPr>
        <w:pStyle w:val="BodyText"/>
        <w:spacing w:line="278" w:lineRule="auto" w:before="132"/>
        <w:ind w:right="491"/>
      </w:pPr>
      <w:r>
        <w:rPr/>
        <w:t>No pé existem quatro compartimentos: </w:t>
      </w:r>
      <w:r>
        <w:rPr>
          <w:i/>
        </w:rPr>
        <w:t>medial</w:t>
      </w:r>
      <w:r>
        <w:rPr/>
        <w:t>, </w:t>
      </w:r>
      <w:r>
        <w:rPr>
          <w:i/>
        </w:rPr>
        <w:t>central-plantar</w:t>
      </w:r>
      <w:r>
        <w:rPr/>
        <w:t>, </w:t>
      </w:r>
      <w:r>
        <w:rPr>
          <w:i/>
        </w:rPr>
        <w:t>central-profundo </w:t>
      </w:r>
      <w:r>
        <w:rPr/>
        <w:t>e </w:t>
      </w:r>
      <w:r>
        <w:rPr>
          <w:i/>
        </w:rPr>
        <w:t>lateral</w:t>
      </w:r>
      <w:r>
        <w:rPr/>
        <w:t>. Como esses quatro compartimentos estão limitados por estruturas ósseas e aponeuróticas rígidas, o edema que se associa à infecção pode</w:t>
      </w:r>
      <w:r>
        <w:rPr>
          <w:spacing w:val="-11"/>
        </w:rPr>
        <w:t> </w:t>
      </w:r>
      <w:r>
        <w:rPr/>
        <w:t>elevar</w:t>
      </w:r>
      <w:r>
        <w:rPr>
          <w:spacing w:val="-3"/>
        </w:rPr>
        <w:t> </w:t>
      </w:r>
      <w:r>
        <w:rPr/>
        <w:t>rapidamente</w:t>
      </w:r>
      <w:r>
        <w:rPr>
          <w:spacing w:val="-11"/>
        </w:rPr>
        <w:t> </w:t>
      </w:r>
      <w:r>
        <w:rPr/>
        <w:t>a</w:t>
      </w:r>
      <w:r>
        <w:rPr>
          <w:spacing w:val="-11"/>
        </w:rPr>
        <w:t> </w:t>
      </w:r>
      <w:r>
        <w:rPr/>
        <w:t>pressão</w:t>
      </w:r>
      <w:r>
        <w:rPr>
          <w:spacing w:val="-8"/>
        </w:rPr>
        <w:t> </w:t>
      </w:r>
      <w:r>
        <w:rPr/>
        <w:t>compartimental,</w:t>
      </w:r>
      <w:r>
        <w:rPr>
          <w:spacing w:val="-1"/>
        </w:rPr>
        <w:t> </w:t>
      </w:r>
      <w:r>
        <w:rPr/>
        <w:t>resultando</w:t>
      </w:r>
      <w:r>
        <w:rPr>
          <w:spacing w:val="-8"/>
        </w:rPr>
        <w:t> </w:t>
      </w:r>
      <w:r>
        <w:rPr/>
        <w:t>necrose</w:t>
      </w:r>
      <w:r>
        <w:rPr>
          <w:spacing w:val="-11"/>
        </w:rPr>
        <w:t> </w:t>
      </w:r>
      <w:r>
        <w:rPr/>
        <w:t>isquêmica</w:t>
      </w:r>
      <w:r>
        <w:rPr>
          <w:spacing w:val="-11"/>
        </w:rPr>
        <w:t> </w:t>
      </w:r>
      <w:r>
        <w:rPr/>
        <w:t>dos</w:t>
      </w:r>
      <w:r>
        <w:rPr>
          <w:spacing w:val="-1"/>
        </w:rPr>
        <w:t> </w:t>
      </w:r>
      <w:r>
        <w:rPr/>
        <w:t>tecidos</w:t>
      </w:r>
      <w:r>
        <w:rPr>
          <w:spacing w:val="-1"/>
        </w:rPr>
        <w:t> </w:t>
      </w:r>
      <w:r>
        <w:rPr/>
        <w:t>confinados.</w:t>
      </w:r>
      <w:r>
        <w:rPr>
          <w:spacing w:val="-1"/>
        </w:rPr>
        <w:t> </w:t>
      </w:r>
      <w:r>
        <w:rPr/>
        <w:t>Com</w:t>
      </w:r>
      <w:r>
        <w:rPr>
          <w:spacing w:val="-8"/>
        </w:rPr>
        <w:t> </w:t>
      </w:r>
      <w:r>
        <w:rPr/>
        <w:t>base nesse conhecimento anatômico, as infecções plantares podem mostrar alterações localizadas pouco acentuadas. Assim, um paciente com tumefação discreta da região, mas com manifestações tóxicas sistêmicas deve ser investigado no sentido de se detectar possível infecção oculta no pé. A disseminação da infecção pode ocorrer de um compartimento para outro devido à existência de comunicações entre eles.</w:t>
      </w:r>
      <w:r>
        <w:rPr>
          <w:vertAlign w:val="superscript"/>
        </w:rPr>
        <w:t>2</w:t>
      </w:r>
    </w:p>
    <w:p>
      <w:pPr>
        <w:pStyle w:val="BodyText"/>
        <w:spacing w:before="199"/>
        <w:ind w:left="0" w:firstLine="0"/>
        <w:jc w:val="left"/>
      </w:pPr>
    </w:p>
    <w:p>
      <w:pPr>
        <w:pStyle w:val="Heading4"/>
        <w:spacing w:before="1"/>
      </w:pPr>
      <w:r>
        <w:rPr>
          <w:color w:val="242B67"/>
        </w:rPr>
        <w:t>Aspectos fisiológicos do </w:t>
      </w:r>
      <w:r>
        <w:rPr>
          <w:color w:val="242B67"/>
          <w:spacing w:val="-5"/>
        </w:rPr>
        <w:t>pé</w:t>
      </w:r>
    </w:p>
    <w:p>
      <w:pPr>
        <w:pStyle w:val="BodyText"/>
        <w:spacing w:line="276" w:lineRule="auto" w:before="131"/>
        <w:ind w:right="488"/>
      </w:pPr>
      <w:r>
        <w:rPr/>
        <w:t>O pé, sendo o segmento corporal que mantém nosso organismo em contato com o solo, está frequentemente sujeito a trauma, necessita absorver as forças de impacto da deambulação e da corrida, ajustar-se às superfícies irregulares, proporcionar a ação de alavanca para a propulsão e acomodar as forças transversas associadas aos movimentos do joelho e dos quadris. A superfície plantar normal, com sua epiderme grossa e o coxim adiposo subcutâneo, é uma região especializada que absorve as forças de impacto da locomoção, protegendo os tecidos moles subjacentes e as estruturas ósseas. Assim, os fatores que alteram a distribuição normal das forças de locomoção</w:t>
      </w:r>
      <w:r>
        <w:rPr>
          <w:spacing w:val="-4"/>
        </w:rPr>
        <w:t> </w:t>
      </w:r>
      <w:r>
        <w:rPr/>
        <w:t>ou</w:t>
      </w:r>
      <w:r>
        <w:rPr>
          <w:spacing w:val="-4"/>
        </w:rPr>
        <w:t> </w:t>
      </w:r>
      <w:r>
        <w:rPr/>
        <w:t>a</w:t>
      </w:r>
      <w:r>
        <w:rPr>
          <w:spacing w:val="-7"/>
        </w:rPr>
        <w:t> </w:t>
      </w:r>
      <w:r>
        <w:rPr/>
        <w:t>sensibilidade</w:t>
      </w:r>
      <w:r>
        <w:rPr>
          <w:spacing w:val="-7"/>
        </w:rPr>
        <w:t> </w:t>
      </w:r>
      <w:r>
        <w:rPr/>
        <w:t>do</w:t>
      </w:r>
      <w:r>
        <w:rPr>
          <w:spacing w:val="-4"/>
        </w:rPr>
        <w:t> </w:t>
      </w:r>
      <w:r>
        <w:rPr/>
        <w:t>pé, como</w:t>
      </w:r>
      <w:r>
        <w:rPr>
          <w:spacing w:val="-4"/>
        </w:rPr>
        <w:t> </w:t>
      </w:r>
      <w:r>
        <w:rPr/>
        <w:t>ocorre</w:t>
      </w:r>
      <w:r>
        <w:rPr>
          <w:spacing w:val="-7"/>
        </w:rPr>
        <w:t> </w:t>
      </w:r>
      <w:r>
        <w:rPr/>
        <w:t>nos diabéticos, potencializam</w:t>
      </w:r>
      <w:r>
        <w:rPr>
          <w:spacing w:val="-4"/>
        </w:rPr>
        <w:t> </w:t>
      </w:r>
      <w:r>
        <w:rPr/>
        <w:t>o</w:t>
      </w:r>
      <w:r>
        <w:rPr>
          <w:spacing w:val="-4"/>
        </w:rPr>
        <w:t> </w:t>
      </w:r>
      <w:r>
        <w:rPr/>
        <w:t>risco</w:t>
      </w:r>
      <w:r>
        <w:rPr>
          <w:spacing w:val="-4"/>
        </w:rPr>
        <w:t> </w:t>
      </w:r>
      <w:r>
        <w:rPr/>
        <w:t>de</w:t>
      </w:r>
      <w:r>
        <w:rPr>
          <w:spacing w:val="-7"/>
        </w:rPr>
        <w:t> </w:t>
      </w:r>
      <w:r>
        <w:rPr/>
        <w:t>lesão</w:t>
      </w:r>
      <w:r>
        <w:rPr>
          <w:spacing w:val="-4"/>
        </w:rPr>
        <w:t> </w:t>
      </w:r>
      <w:r>
        <w:rPr/>
        <w:t>no</w:t>
      </w:r>
      <w:r>
        <w:rPr>
          <w:spacing w:val="-4"/>
        </w:rPr>
        <w:t> </w:t>
      </w:r>
      <w:r>
        <w:rPr/>
        <w:t>local. Analisado sob</w:t>
      </w:r>
      <w:r>
        <w:rPr>
          <w:spacing w:val="-3"/>
        </w:rPr>
        <w:t> </w:t>
      </w:r>
      <w:r>
        <w:rPr/>
        <w:t>os aspectos circulatório</w:t>
      </w:r>
      <w:r>
        <w:rPr>
          <w:spacing w:val="-3"/>
        </w:rPr>
        <w:t> </w:t>
      </w:r>
      <w:r>
        <w:rPr/>
        <w:t>e</w:t>
      </w:r>
      <w:r>
        <w:rPr>
          <w:spacing w:val="-7"/>
        </w:rPr>
        <w:t> </w:t>
      </w:r>
      <w:r>
        <w:rPr/>
        <w:t>neurológico, chega-se</w:t>
      </w:r>
      <w:r>
        <w:rPr>
          <w:spacing w:val="-7"/>
        </w:rPr>
        <w:t> </w:t>
      </w:r>
      <w:r>
        <w:rPr/>
        <w:t>à</w:t>
      </w:r>
      <w:r>
        <w:rPr>
          <w:spacing w:val="-7"/>
        </w:rPr>
        <w:t> </w:t>
      </w:r>
      <w:r>
        <w:rPr/>
        <w:t>conclusão</w:t>
      </w:r>
      <w:r>
        <w:rPr>
          <w:spacing w:val="-3"/>
        </w:rPr>
        <w:t> </w:t>
      </w:r>
      <w:r>
        <w:rPr/>
        <w:t>de</w:t>
      </w:r>
      <w:r>
        <w:rPr>
          <w:spacing w:val="-7"/>
        </w:rPr>
        <w:t> </w:t>
      </w:r>
      <w:r>
        <w:rPr/>
        <w:t>que</w:t>
      </w:r>
      <w:r>
        <w:rPr>
          <w:spacing w:val="-7"/>
        </w:rPr>
        <w:t> </w:t>
      </w:r>
      <w:r>
        <w:rPr/>
        <w:t>o</w:t>
      </w:r>
      <w:r>
        <w:rPr>
          <w:spacing w:val="-3"/>
        </w:rPr>
        <w:t> </w:t>
      </w:r>
      <w:r>
        <w:rPr/>
        <w:t>pé</w:t>
      </w:r>
      <w:r>
        <w:rPr>
          <w:spacing w:val="-7"/>
        </w:rPr>
        <w:t> </w:t>
      </w:r>
      <w:r>
        <w:rPr/>
        <w:t>é</w:t>
      </w:r>
      <w:r>
        <w:rPr>
          <w:spacing w:val="-7"/>
        </w:rPr>
        <w:t> </w:t>
      </w:r>
      <w:r>
        <w:rPr/>
        <w:t>um</w:t>
      </w:r>
      <w:r>
        <w:rPr>
          <w:spacing w:val="-4"/>
        </w:rPr>
        <w:t> </w:t>
      </w:r>
      <w:r>
        <w:rPr/>
        <w:t>segmento</w:t>
      </w:r>
      <w:r>
        <w:rPr>
          <w:spacing w:val="-3"/>
        </w:rPr>
        <w:t> </w:t>
      </w:r>
      <w:r>
        <w:rPr/>
        <w:t>dos menos favorecidos do</w:t>
      </w:r>
      <w:r>
        <w:rPr>
          <w:spacing w:val="24"/>
        </w:rPr>
        <w:t> </w:t>
      </w:r>
      <w:r>
        <w:rPr/>
        <w:t>organismo,</w:t>
      </w:r>
      <w:r>
        <w:rPr>
          <w:spacing w:val="33"/>
        </w:rPr>
        <w:t> </w:t>
      </w:r>
      <w:r>
        <w:rPr/>
        <w:t>pois</w:t>
      </w:r>
      <w:r>
        <w:rPr>
          <w:spacing w:val="33"/>
        </w:rPr>
        <w:t> </w:t>
      </w:r>
      <w:r>
        <w:rPr/>
        <w:t>se</w:t>
      </w:r>
      <w:r>
        <w:rPr>
          <w:spacing w:val="21"/>
        </w:rPr>
        <w:t> </w:t>
      </w:r>
      <w:r>
        <w:rPr/>
        <w:t>situa</w:t>
      </w:r>
      <w:r>
        <w:rPr>
          <w:spacing w:val="21"/>
        </w:rPr>
        <w:t> </w:t>
      </w:r>
      <w:r>
        <w:rPr/>
        <w:t>no</w:t>
      </w:r>
      <w:r>
        <w:rPr>
          <w:spacing w:val="24"/>
        </w:rPr>
        <w:t> </w:t>
      </w:r>
      <w:r>
        <w:rPr/>
        <w:t>ponto</w:t>
      </w:r>
      <w:r>
        <w:rPr>
          <w:spacing w:val="24"/>
        </w:rPr>
        <w:t> </w:t>
      </w:r>
      <w:r>
        <w:rPr/>
        <w:t>mais</w:t>
      </w:r>
      <w:r>
        <w:rPr>
          <w:spacing w:val="33"/>
        </w:rPr>
        <w:t> </w:t>
      </w:r>
      <w:r>
        <w:rPr/>
        <w:t>distante</w:t>
      </w:r>
      <w:r>
        <w:rPr>
          <w:spacing w:val="21"/>
        </w:rPr>
        <w:t> </w:t>
      </w:r>
      <w:r>
        <w:rPr/>
        <w:t>dos</w:t>
      </w:r>
      <w:r>
        <w:rPr>
          <w:spacing w:val="33"/>
        </w:rPr>
        <w:t> </w:t>
      </w:r>
      <w:r>
        <w:rPr/>
        <w:t>órgãos</w:t>
      </w:r>
      <w:r>
        <w:rPr>
          <w:spacing w:val="33"/>
        </w:rPr>
        <w:t> </w:t>
      </w:r>
      <w:r>
        <w:rPr/>
        <w:t>centrais,</w:t>
      </w:r>
      <w:r>
        <w:rPr>
          <w:spacing w:val="33"/>
        </w:rPr>
        <w:t> </w:t>
      </w:r>
      <w:r>
        <w:rPr/>
        <w:t>respectivamente</w:t>
      </w:r>
      <w:r>
        <w:rPr>
          <w:spacing w:val="21"/>
        </w:rPr>
        <w:t> </w:t>
      </w:r>
      <w:r>
        <w:rPr/>
        <w:t>o</w:t>
      </w:r>
      <w:r>
        <w:rPr>
          <w:spacing w:val="24"/>
        </w:rPr>
        <w:t> </w:t>
      </w:r>
      <w:r>
        <w:rPr/>
        <w:t>coração</w:t>
      </w:r>
      <w:r>
        <w:rPr>
          <w:spacing w:val="24"/>
        </w:rPr>
        <w:t> </w:t>
      </w:r>
      <w:r>
        <w:rPr/>
        <w:t>e</w:t>
      </w:r>
      <w:r>
        <w:rPr>
          <w:spacing w:val="21"/>
        </w:rPr>
        <w:t> </w:t>
      </w:r>
      <w:r>
        <w:rPr/>
        <w:t>o</w:t>
      </w:r>
      <w:r>
        <w:rPr>
          <w:spacing w:val="24"/>
        </w:rPr>
        <w:t> </w:t>
      </w:r>
      <w:r>
        <w:rPr/>
        <w:t>cérebro,</w:t>
      </w:r>
    </w:p>
    <w:p>
      <w:pPr>
        <w:pStyle w:val="BodyText"/>
        <w:spacing w:after="0" w:line="276" w:lineRule="auto"/>
        <w:sectPr>
          <w:pgSz w:w="11900" w:h="16840"/>
          <w:pgMar w:top="140" w:bottom="280" w:left="566" w:right="141"/>
        </w:sectPr>
      </w:pPr>
    </w:p>
    <w:p>
      <w:pPr>
        <w:pStyle w:val="BodyText"/>
        <w:spacing w:before="62"/>
        <w:ind w:firstLine="0"/>
        <w:jc w:val="left"/>
      </w:pPr>
      <w:r>
        <w:rPr/>
        <w:t>tendo</w:t>
      </w:r>
      <w:r>
        <w:rPr>
          <w:spacing w:val="-14"/>
        </w:rPr>
        <w:t> </w:t>
      </w:r>
      <w:r>
        <w:rPr/>
        <w:t>consequentemente</w:t>
      </w:r>
      <w:r>
        <w:rPr>
          <w:spacing w:val="-13"/>
        </w:rPr>
        <w:t> </w:t>
      </w:r>
      <w:r>
        <w:rPr/>
        <w:t>as</w:t>
      </w:r>
      <w:r>
        <w:rPr>
          <w:spacing w:val="-5"/>
        </w:rPr>
        <w:t> </w:t>
      </w:r>
      <w:r>
        <w:rPr/>
        <w:t>mais</w:t>
      </w:r>
      <w:r>
        <w:rPr>
          <w:spacing w:val="-4"/>
        </w:rPr>
        <w:t> </w:t>
      </w:r>
      <w:r>
        <w:rPr/>
        <w:t>longas</w:t>
      </w:r>
      <w:r>
        <w:rPr>
          <w:spacing w:val="-4"/>
        </w:rPr>
        <w:t> </w:t>
      </w:r>
      <w:r>
        <w:rPr/>
        <w:t>vias</w:t>
      </w:r>
      <w:r>
        <w:rPr>
          <w:spacing w:val="-5"/>
        </w:rPr>
        <w:t> </w:t>
      </w:r>
      <w:r>
        <w:rPr/>
        <w:t>arteriais,</w:t>
      </w:r>
      <w:r>
        <w:rPr>
          <w:spacing w:val="-4"/>
        </w:rPr>
        <w:t> </w:t>
      </w:r>
      <w:r>
        <w:rPr/>
        <w:t>venosas</w:t>
      </w:r>
      <w:r>
        <w:rPr>
          <w:spacing w:val="-4"/>
        </w:rPr>
        <w:t> </w:t>
      </w:r>
      <w:r>
        <w:rPr/>
        <w:t>e</w:t>
      </w:r>
      <w:r>
        <w:rPr>
          <w:spacing w:val="-14"/>
        </w:rPr>
        <w:t> </w:t>
      </w:r>
      <w:r>
        <w:rPr/>
        <w:t>nervosas</w:t>
      </w:r>
      <w:r>
        <w:rPr>
          <w:spacing w:val="-4"/>
        </w:rPr>
        <w:t> </w:t>
      </w:r>
      <w:r>
        <w:rPr/>
        <w:t>do</w:t>
      </w:r>
      <w:r>
        <w:rPr>
          <w:spacing w:val="-11"/>
        </w:rPr>
        <w:t> </w:t>
      </w:r>
      <w:r>
        <w:rPr>
          <w:spacing w:val="-2"/>
        </w:rPr>
        <w:t>corpo.</w:t>
      </w:r>
    </w:p>
    <w:p>
      <w:pPr>
        <w:pStyle w:val="BodyText"/>
        <w:spacing w:before="225"/>
        <w:ind w:left="0" w:firstLine="0"/>
        <w:jc w:val="left"/>
      </w:pPr>
    </w:p>
    <w:p>
      <w:pPr>
        <w:pStyle w:val="Heading4"/>
        <w:spacing w:before="1"/>
      </w:pPr>
      <w:r>
        <w:rPr>
          <w:color w:val="242B67"/>
          <w:spacing w:val="-2"/>
        </w:rPr>
        <w:t>Fisiopatologia</w:t>
      </w:r>
    </w:p>
    <w:p>
      <w:pPr>
        <w:pStyle w:val="BodyText"/>
        <w:spacing w:before="131"/>
        <w:ind w:left="414" w:firstLine="0"/>
        <w:jc w:val="left"/>
      </w:pPr>
      <w:r>
        <w:rPr/>
        <w:t>O</w:t>
      </w:r>
      <w:r>
        <w:rPr>
          <w:spacing w:val="-12"/>
        </w:rPr>
        <w:t> </w:t>
      </w:r>
      <w:r>
        <w:rPr/>
        <w:t>pé</w:t>
      </w:r>
      <w:r>
        <w:rPr>
          <w:spacing w:val="-11"/>
        </w:rPr>
        <w:t> </w:t>
      </w:r>
      <w:r>
        <w:rPr/>
        <w:t>diabético</w:t>
      </w:r>
      <w:r>
        <w:rPr>
          <w:spacing w:val="-9"/>
        </w:rPr>
        <w:t> </w:t>
      </w:r>
      <w:r>
        <w:rPr/>
        <w:t>resulta</w:t>
      </w:r>
      <w:r>
        <w:rPr>
          <w:spacing w:val="-11"/>
        </w:rPr>
        <w:t> </w:t>
      </w:r>
      <w:r>
        <w:rPr/>
        <w:t>da</w:t>
      </w:r>
      <w:r>
        <w:rPr>
          <w:spacing w:val="-12"/>
        </w:rPr>
        <w:t> </w:t>
      </w:r>
      <w:r>
        <w:rPr/>
        <w:t>inter-relação</w:t>
      </w:r>
      <w:r>
        <w:rPr>
          <w:spacing w:val="-9"/>
        </w:rPr>
        <w:t> </w:t>
      </w:r>
      <w:r>
        <w:rPr/>
        <w:t>única</w:t>
      </w:r>
      <w:r>
        <w:rPr>
          <w:spacing w:val="-11"/>
        </w:rPr>
        <w:t> </w:t>
      </w:r>
      <w:r>
        <w:rPr/>
        <w:t>e</w:t>
      </w:r>
      <w:r>
        <w:rPr>
          <w:spacing w:val="-11"/>
        </w:rPr>
        <w:t> </w:t>
      </w:r>
      <w:r>
        <w:rPr/>
        <w:t>crônica</w:t>
      </w:r>
      <w:r>
        <w:rPr>
          <w:spacing w:val="-12"/>
        </w:rPr>
        <w:t> </w:t>
      </w:r>
      <w:r>
        <w:rPr/>
        <w:t>de</w:t>
      </w:r>
      <w:r>
        <w:rPr>
          <w:spacing w:val="-11"/>
        </w:rPr>
        <w:t> </w:t>
      </w:r>
      <w:r>
        <w:rPr/>
        <w:t>três</w:t>
      </w:r>
      <w:r>
        <w:rPr>
          <w:spacing w:val="-2"/>
        </w:rPr>
        <w:t> </w:t>
      </w:r>
      <w:r>
        <w:rPr/>
        <w:t>distúrbios:</w:t>
      </w:r>
      <w:r>
        <w:rPr>
          <w:spacing w:val="-6"/>
        </w:rPr>
        <w:t> </w:t>
      </w:r>
      <w:r>
        <w:rPr/>
        <w:t>vasculopatia,</w:t>
      </w:r>
      <w:r>
        <w:rPr>
          <w:spacing w:val="-2"/>
        </w:rPr>
        <w:t> </w:t>
      </w:r>
      <w:r>
        <w:rPr/>
        <w:t>neuropatia</w:t>
      </w:r>
      <w:r>
        <w:rPr>
          <w:spacing w:val="-11"/>
        </w:rPr>
        <w:t> </w:t>
      </w:r>
      <w:r>
        <w:rPr/>
        <w:t>e</w:t>
      </w:r>
      <w:r>
        <w:rPr>
          <w:spacing w:val="-11"/>
        </w:rPr>
        <w:t> </w:t>
      </w:r>
      <w:r>
        <w:rPr>
          <w:spacing w:val="-2"/>
        </w:rPr>
        <w:t>infecção.</w:t>
      </w:r>
    </w:p>
    <w:p>
      <w:pPr>
        <w:pStyle w:val="BodyText"/>
        <w:spacing w:before="173"/>
        <w:ind w:left="0" w:firstLine="0"/>
        <w:jc w:val="left"/>
      </w:pPr>
    </w:p>
    <w:p>
      <w:pPr>
        <w:pStyle w:val="Heading5"/>
        <w:spacing w:before="1"/>
      </w:pPr>
      <w:r>
        <w:rPr>
          <w:color w:val="A26108"/>
          <w:spacing w:val="-2"/>
        </w:rPr>
        <w:t>Vasculopatia</w:t>
      </w:r>
    </w:p>
    <w:p>
      <w:pPr>
        <w:pStyle w:val="BodyText"/>
        <w:spacing w:line="276" w:lineRule="auto" w:before="138"/>
        <w:ind w:right="488"/>
      </w:pPr>
      <w:r>
        <w:rPr/>
        <w:t>Grande parte das complicações do diabetes deve-se a alterações na função e na estrutura dos vasos. No pé diabético existem dois tipos de vasculopatia:</w:t>
      </w:r>
    </w:p>
    <w:p>
      <w:pPr>
        <w:pStyle w:val="ListParagraph"/>
        <w:numPr>
          <w:ilvl w:val="0"/>
          <w:numId w:val="37"/>
        </w:numPr>
        <w:tabs>
          <w:tab w:pos="419" w:val="left" w:leader="none"/>
        </w:tabs>
        <w:spacing w:line="276" w:lineRule="auto" w:before="160" w:after="0"/>
        <w:ind w:left="68" w:right="489" w:firstLine="0"/>
        <w:jc w:val="both"/>
        <w:rPr>
          <w:sz w:val="23"/>
        </w:rPr>
      </w:pPr>
      <w:r>
        <w:rPr>
          <w:sz w:val="23"/>
        </w:rPr>
        <w:t>Disfunção microangiopática não oclusiva, que é única do diabetes, acometendo os capilares e as arteríolas da retina, rins e nervos periféricos</w:t>
      </w:r>
    </w:p>
    <w:p>
      <w:pPr>
        <w:pStyle w:val="ListParagraph"/>
        <w:numPr>
          <w:ilvl w:val="0"/>
          <w:numId w:val="37"/>
        </w:numPr>
        <w:tabs>
          <w:tab w:pos="551" w:val="left" w:leader="none"/>
        </w:tabs>
        <w:spacing w:line="276" w:lineRule="auto" w:before="16" w:after="0"/>
        <w:ind w:left="68" w:right="502" w:firstLine="0"/>
        <w:jc w:val="both"/>
        <w:rPr>
          <w:sz w:val="23"/>
        </w:rPr>
      </w:pPr>
      <w:r>
        <w:rPr>
          <w:sz w:val="23"/>
        </w:rPr>
        <w:t>Macroangiopatia caracterizada pelas lesões ateroscleróticas das artérias coronárias e periféricas, morfologicamente</w:t>
      </w:r>
      <w:r>
        <w:rPr>
          <w:spacing w:val="-6"/>
          <w:sz w:val="23"/>
        </w:rPr>
        <w:t> </w:t>
      </w:r>
      <w:r>
        <w:rPr>
          <w:sz w:val="23"/>
        </w:rPr>
        <w:t>similares aos dos pacientes não</w:t>
      </w:r>
      <w:r>
        <w:rPr>
          <w:spacing w:val="-4"/>
          <w:sz w:val="23"/>
        </w:rPr>
        <w:t> </w:t>
      </w:r>
      <w:r>
        <w:rPr>
          <w:sz w:val="23"/>
        </w:rPr>
        <w:t>diabéticos, porém</w:t>
      </w:r>
      <w:r>
        <w:rPr>
          <w:spacing w:val="-4"/>
          <w:sz w:val="23"/>
        </w:rPr>
        <w:t> </w:t>
      </w:r>
      <w:r>
        <w:rPr>
          <w:sz w:val="23"/>
        </w:rPr>
        <w:t>de</w:t>
      </w:r>
      <w:r>
        <w:rPr>
          <w:spacing w:val="-6"/>
          <w:sz w:val="23"/>
        </w:rPr>
        <w:t> </w:t>
      </w:r>
      <w:r>
        <w:rPr>
          <w:sz w:val="23"/>
        </w:rPr>
        <w:t>aparecimento</w:t>
      </w:r>
      <w:r>
        <w:rPr>
          <w:spacing w:val="-4"/>
          <w:sz w:val="23"/>
        </w:rPr>
        <w:t> </w:t>
      </w:r>
      <w:r>
        <w:rPr>
          <w:sz w:val="23"/>
        </w:rPr>
        <w:t>mais precoce, evolução</w:t>
      </w:r>
      <w:r>
        <w:rPr>
          <w:spacing w:val="-4"/>
          <w:sz w:val="23"/>
        </w:rPr>
        <w:t> </w:t>
      </w:r>
      <w:r>
        <w:rPr>
          <w:sz w:val="23"/>
        </w:rPr>
        <w:t>mais rápida e distribuição diferente.</w:t>
      </w:r>
    </w:p>
    <w:p>
      <w:pPr>
        <w:pStyle w:val="BodyText"/>
        <w:spacing w:before="25"/>
        <w:ind w:left="0" w:firstLine="0"/>
        <w:jc w:val="left"/>
      </w:pPr>
    </w:p>
    <w:p>
      <w:pPr>
        <w:pStyle w:val="Heading7"/>
      </w:pPr>
      <w:r>
        <w:rPr>
          <w:color w:val="242B67"/>
          <w:spacing w:val="-2"/>
        </w:rPr>
        <w:t>Microangiopatia</w:t>
      </w:r>
    </w:p>
    <w:p>
      <w:pPr>
        <w:pStyle w:val="BodyText"/>
        <w:spacing w:line="280" w:lineRule="auto" w:before="126"/>
        <w:ind w:right="488"/>
      </w:pPr>
      <w:r>
        <w:rPr/>
        <w:t>A</w:t>
      </w:r>
      <w:r>
        <w:rPr>
          <w:spacing w:val="-12"/>
        </w:rPr>
        <w:t> </w:t>
      </w:r>
      <w:r>
        <w:rPr/>
        <w:t>retinopatia</w:t>
      </w:r>
      <w:r>
        <w:rPr>
          <w:spacing w:val="-12"/>
        </w:rPr>
        <w:t> </w:t>
      </w:r>
      <w:r>
        <w:rPr/>
        <w:t>é</w:t>
      </w:r>
      <w:r>
        <w:rPr>
          <w:spacing w:val="-12"/>
        </w:rPr>
        <w:t> </w:t>
      </w:r>
      <w:r>
        <w:rPr/>
        <w:t>a</w:t>
      </w:r>
      <w:r>
        <w:rPr>
          <w:spacing w:val="-12"/>
        </w:rPr>
        <w:t> </w:t>
      </w:r>
      <w:r>
        <w:rPr/>
        <w:t>complicação</w:t>
      </w:r>
      <w:r>
        <w:rPr>
          <w:spacing w:val="-9"/>
        </w:rPr>
        <w:t> </w:t>
      </w:r>
      <w:r>
        <w:rPr/>
        <w:t>microvascular</w:t>
      </w:r>
      <w:r>
        <w:rPr>
          <w:spacing w:val="-4"/>
        </w:rPr>
        <w:t> </w:t>
      </w:r>
      <w:r>
        <w:rPr/>
        <w:t>mais</w:t>
      </w:r>
      <w:r>
        <w:rPr>
          <w:spacing w:val="-1"/>
        </w:rPr>
        <w:t> </w:t>
      </w:r>
      <w:r>
        <w:rPr/>
        <w:t>frequente</w:t>
      </w:r>
      <w:r>
        <w:rPr>
          <w:spacing w:val="-12"/>
        </w:rPr>
        <w:t> </w:t>
      </w:r>
      <w:r>
        <w:rPr/>
        <w:t>e</w:t>
      </w:r>
      <w:r>
        <w:rPr>
          <w:spacing w:val="-12"/>
        </w:rPr>
        <w:t> </w:t>
      </w:r>
      <w:r>
        <w:rPr/>
        <w:t>característica</w:t>
      </w:r>
      <w:r>
        <w:rPr>
          <w:spacing w:val="-12"/>
        </w:rPr>
        <w:t> </w:t>
      </w:r>
      <w:r>
        <w:rPr/>
        <w:t>dos</w:t>
      </w:r>
      <w:r>
        <w:rPr>
          <w:spacing w:val="-1"/>
        </w:rPr>
        <w:t> </w:t>
      </w:r>
      <w:r>
        <w:rPr/>
        <w:t>diabetes.</w:t>
      </w:r>
      <w:r>
        <w:rPr>
          <w:spacing w:val="-1"/>
        </w:rPr>
        <w:t> </w:t>
      </w:r>
      <w:r>
        <w:rPr/>
        <w:t>Existe</w:t>
      </w:r>
      <w:r>
        <w:rPr>
          <w:spacing w:val="-12"/>
        </w:rPr>
        <w:t> </w:t>
      </w:r>
      <w:r>
        <w:rPr/>
        <w:t>correlação</w:t>
      </w:r>
      <w:r>
        <w:rPr>
          <w:spacing w:val="-9"/>
        </w:rPr>
        <w:t> </w:t>
      </w:r>
      <w:r>
        <w:rPr/>
        <w:t>entre o desenvolvimento da retinopatia e a duração do diabetes, o mesmo ocorrendo com a nefropatia e a neuropatia. Estudos têm demonstrado o retardo do desenvolvimento ou da progressão das complicações microangiopáticas, obtidas com o controle intensivo e rigoroso da glicemia, afirmando a relação direta existente entre diabetes, hiperglicemia e complicações microvasculares.</w:t>
      </w:r>
      <w:r>
        <w:rPr>
          <w:vertAlign w:val="superscript"/>
        </w:rPr>
        <w:t>3</w:t>
      </w:r>
      <w:r>
        <w:rPr>
          <w:vertAlign w:val="baseline"/>
        </w:rPr>
        <w:t> Estudos morfológicos e fisiológicos têm demonstrado que não existe lesão oclusiva arteriolar,</w:t>
      </w:r>
      <w:r>
        <w:rPr>
          <w:vertAlign w:val="superscript"/>
        </w:rPr>
        <w:t>4,5</w:t>
      </w:r>
      <w:r>
        <w:rPr>
          <w:vertAlign w:val="baseline"/>
        </w:rPr>
        <w:t> descartando a concepção errônea da “intratável” lesão oclusiva microvascular e reforçando a</w:t>
      </w:r>
      <w:r>
        <w:rPr>
          <w:spacing w:val="-1"/>
          <w:vertAlign w:val="baseline"/>
        </w:rPr>
        <w:t> </w:t>
      </w:r>
      <w:r>
        <w:rPr>
          <w:vertAlign w:val="baseline"/>
        </w:rPr>
        <w:t>possibilidade</w:t>
      </w:r>
      <w:r>
        <w:rPr>
          <w:spacing w:val="-1"/>
          <w:vertAlign w:val="baseline"/>
        </w:rPr>
        <w:t> </w:t>
      </w:r>
      <w:r>
        <w:rPr>
          <w:vertAlign w:val="baseline"/>
        </w:rPr>
        <w:t>de</w:t>
      </w:r>
      <w:r>
        <w:rPr>
          <w:spacing w:val="-1"/>
          <w:vertAlign w:val="baseline"/>
        </w:rPr>
        <w:t> </w:t>
      </w:r>
      <w:r>
        <w:rPr>
          <w:vertAlign w:val="baseline"/>
        </w:rPr>
        <w:t>revascularização dos membros isquêmicos nos diabéticos.</w:t>
      </w:r>
    </w:p>
    <w:p>
      <w:pPr>
        <w:pStyle w:val="BodyText"/>
        <w:spacing w:line="280" w:lineRule="auto" w:before="60"/>
        <w:ind w:right="491"/>
      </w:pPr>
      <w:r>
        <w:rPr/>
        <w:t>A</w:t>
      </w:r>
      <w:r>
        <w:rPr>
          <w:spacing w:val="-1"/>
        </w:rPr>
        <w:t> </w:t>
      </w:r>
      <w:r>
        <w:rPr/>
        <w:t>disfunção microvascular consiste</w:t>
      </w:r>
      <w:r>
        <w:rPr>
          <w:spacing w:val="-1"/>
        </w:rPr>
        <w:t> </w:t>
      </w:r>
      <w:r>
        <w:rPr/>
        <w:t>em aumento da</w:t>
      </w:r>
      <w:r>
        <w:rPr>
          <w:spacing w:val="-1"/>
        </w:rPr>
        <w:t> </w:t>
      </w:r>
      <w:r>
        <w:rPr/>
        <w:t>permeabilidade</w:t>
      </w:r>
      <w:r>
        <w:rPr>
          <w:spacing w:val="-1"/>
        </w:rPr>
        <w:t> </w:t>
      </w:r>
      <w:r>
        <w:rPr/>
        <w:t>vascular e</w:t>
      </w:r>
      <w:r>
        <w:rPr>
          <w:spacing w:val="-1"/>
        </w:rPr>
        <w:t> </w:t>
      </w:r>
      <w:r>
        <w:rPr/>
        <w:t>alteração da</w:t>
      </w:r>
      <w:r>
        <w:rPr>
          <w:spacing w:val="-1"/>
        </w:rPr>
        <w:t> </w:t>
      </w:r>
      <w:r>
        <w:rPr/>
        <w:t>autorregulação e</w:t>
      </w:r>
      <w:r>
        <w:rPr>
          <w:spacing w:val="-1"/>
        </w:rPr>
        <w:t> </w:t>
      </w:r>
      <w:r>
        <w:rPr/>
        <w:t>do tônus vascular. Esta microangiopatia, provavelmente, resulta de múltiplas alterações bioquímicas na presença de hiperglicemia que atuam sinergicamente para causar mudanças estruturais e funcionais em múltiplas áreas das arteríolas e</w:t>
      </w:r>
      <w:r>
        <w:rPr>
          <w:spacing w:val="-2"/>
        </w:rPr>
        <w:t> </w:t>
      </w:r>
      <w:r>
        <w:rPr/>
        <w:t>capilares. Essas mudanças afetam a</w:t>
      </w:r>
      <w:r>
        <w:rPr>
          <w:spacing w:val="-2"/>
        </w:rPr>
        <w:t> </w:t>
      </w:r>
      <w:r>
        <w:rPr/>
        <w:t>membrana</w:t>
      </w:r>
      <w:r>
        <w:rPr>
          <w:spacing w:val="-2"/>
        </w:rPr>
        <w:t> </w:t>
      </w:r>
      <w:r>
        <w:rPr/>
        <w:t>basal, o músculo liso e, principalmente, o endotélio.</w:t>
      </w:r>
      <w:r>
        <w:rPr>
          <w:vertAlign w:val="superscript"/>
        </w:rPr>
        <w:t>6</w:t>
      </w:r>
    </w:p>
    <w:p>
      <w:pPr>
        <w:pStyle w:val="BodyText"/>
        <w:spacing w:before="64"/>
        <w:ind w:left="0" w:firstLine="0"/>
        <w:jc w:val="left"/>
      </w:pPr>
    </w:p>
    <w:p>
      <w:pPr>
        <w:pStyle w:val="Heading9"/>
      </w:pPr>
      <w:r>
        <w:rPr>
          <w:color w:val="A26108"/>
        </w:rPr>
        <w:t>Membrana</w:t>
      </w:r>
      <w:r>
        <w:rPr>
          <w:color w:val="A26108"/>
          <w:spacing w:val="26"/>
        </w:rPr>
        <w:t> </w:t>
      </w:r>
      <w:r>
        <w:rPr>
          <w:color w:val="A26108"/>
          <w:spacing w:val="-2"/>
        </w:rPr>
        <w:t>basal</w:t>
      </w:r>
    </w:p>
    <w:p>
      <w:pPr>
        <w:pStyle w:val="BodyText"/>
        <w:spacing w:line="280" w:lineRule="auto" w:before="117"/>
        <w:ind w:right="497"/>
      </w:pPr>
      <w:r>
        <w:rPr/>
        <w:t>O</w:t>
      </w:r>
      <w:r>
        <w:rPr>
          <w:spacing w:val="-1"/>
        </w:rPr>
        <w:t> </w:t>
      </w:r>
      <w:r>
        <w:rPr/>
        <w:t>espessamento da</w:t>
      </w:r>
      <w:r>
        <w:rPr>
          <w:spacing w:val="-1"/>
        </w:rPr>
        <w:t> </w:t>
      </w:r>
      <w:r>
        <w:rPr/>
        <w:t>membrana</w:t>
      </w:r>
      <w:r>
        <w:rPr>
          <w:spacing w:val="-1"/>
        </w:rPr>
        <w:t> </w:t>
      </w:r>
      <w:r>
        <w:rPr/>
        <w:t>basal dos capilares não reduz</w:t>
      </w:r>
      <w:r>
        <w:rPr>
          <w:spacing w:val="-1"/>
        </w:rPr>
        <w:t> </w:t>
      </w:r>
      <w:r>
        <w:rPr/>
        <w:t>seu lúmen, e</w:t>
      </w:r>
      <w:r>
        <w:rPr>
          <w:spacing w:val="-1"/>
        </w:rPr>
        <w:t> </w:t>
      </w:r>
      <w:r>
        <w:rPr/>
        <w:t>o fluxo sanguíneo arteriolar pode</w:t>
      </w:r>
      <w:r>
        <w:rPr>
          <w:spacing w:val="-1"/>
        </w:rPr>
        <w:t> </w:t>
      </w:r>
      <w:r>
        <w:rPr/>
        <w:t>ser normal ou mesmo aumentado.</w:t>
      </w:r>
      <w:r>
        <w:rPr>
          <w:vertAlign w:val="superscript"/>
        </w:rPr>
        <w:t>4</w:t>
      </w:r>
      <w:r>
        <w:rPr>
          <w:vertAlign w:val="baseline"/>
        </w:rPr>
        <w:t> No rim, a glicosilação não enzimática reduz a carga elétrica na membrana basal, com transudação de albumina, aumento do mesângio e albuminúria. Aumento similar da permeabilidade vascular acontece na retina e contribui para a formação do exsudato macular. O espessamento da membrana basal impede a migração</w:t>
      </w:r>
      <w:r>
        <w:rPr>
          <w:spacing w:val="-6"/>
          <w:vertAlign w:val="baseline"/>
        </w:rPr>
        <w:t> </w:t>
      </w:r>
      <w:r>
        <w:rPr>
          <w:vertAlign w:val="baseline"/>
        </w:rPr>
        <w:t>dos leucócitos e</w:t>
      </w:r>
      <w:r>
        <w:rPr>
          <w:spacing w:val="-10"/>
          <w:vertAlign w:val="baseline"/>
        </w:rPr>
        <w:t> </w:t>
      </w:r>
      <w:r>
        <w:rPr>
          <w:vertAlign w:val="baseline"/>
        </w:rPr>
        <w:t>a</w:t>
      </w:r>
      <w:r>
        <w:rPr>
          <w:spacing w:val="-10"/>
          <w:vertAlign w:val="baseline"/>
        </w:rPr>
        <w:t> </w:t>
      </w:r>
      <w:r>
        <w:rPr>
          <w:vertAlign w:val="baseline"/>
        </w:rPr>
        <w:t>resposta</w:t>
      </w:r>
      <w:r>
        <w:rPr>
          <w:spacing w:val="-10"/>
          <w:vertAlign w:val="baseline"/>
        </w:rPr>
        <w:t> </w:t>
      </w:r>
      <w:r>
        <w:rPr>
          <w:vertAlign w:val="baseline"/>
        </w:rPr>
        <w:t>hiperêmica</w:t>
      </w:r>
      <w:r>
        <w:rPr>
          <w:spacing w:val="-10"/>
          <w:vertAlign w:val="baseline"/>
        </w:rPr>
        <w:t> </w:t>
      </w:r>
      <w:r>
        <w:rPr>
          <w:vertAlign w:val="baseline"/>
        </w:rPr>
        <w:t>após uma</w:t>
      </w:r>
      <w:r>
        <w:rPr>
          <w:spacing w:val="-10"/>
          <w:vertAlign w:val="baseline"/>
        </w:rPr>
        <w:t> </w:t>
      </w:r>
      <w:r>
        <w:rPr>
          <w:vertAlign w:val="baseline"/>
        </w:rPr>
        <w:t>lesão, diminuindo</w:t>
      </w:r>
      <w:r>
        <w:rPr>
          <w:spacing w:val="-6"/>
          <w:vertAlign w:val="baseline"/>
        </w:rPr>
        <w:t> </w:t>
      </w:r>
      <w:r>
        <w:rPr>
          <w:vertAlign w:val="baseline"/>
        </w:rPr>
        <w:t>a</w:t>
      </w:r>
      <w:r>
        <w:rPr>
          <w:spacing w:val="-10"/>
          <w:vertAlign w:val="baseline"/>
        </w:rPr>
        <w:t> </w:t>
      </w:r>
      <w:r>
        <w:rPr>
          <w:vertAlign w:val="baseline"/>
        </w:rPr>
        <w:t>capacidade</w:t>
      </w:r>
      <w:r>
        <w:rPr>
          <w:spacing w:val="-10"/>
          <w:vertAlign w:val="baseline"/>
        </w:rPr>
        <w:t> </w:t>
      </w:r>
      <w:r>
        <w:rPr>
          <w:vertAlign w:val="baseline"/>
        </w:rPr>
        <w:t>de</w:t>
      </w:r>
      <w:r>
        <w:rPr>
          <w:spacing w:val="-10"/>
          <w:vertAlign w:val="baseline"/>
        </w:rPr>
        <w:t> </w:t>
      </w:r>
      <w:r>
        <w:rPr>
          <w:vertAlign w:val="baseline"/>
        </w:rPr>
        <w:t>reação</w:t>
      </w:r>
      <w:r>
        <w:rPr>
          <w:spacing w:val="-6"/>
          <w:vertAlign w:val="baseline"/>
        </w:rPr>
        <w:t> </w:t>
      </w:r>
      <w:r>
        <w:rPr>
          <w:vertAlign w:val="baseline"/>
        </w:rPr>
        <w:t>do</w:t>
      </w:r>
      <w:r>
        <w:rPr>
          <w:spacing w:val="-6"/>
          <w:vertAlign w:val="baseline"/>
        </w:rPr>
        <w:t> </w:t>
      </w:r>
      <w:r>
        <w:rPr>
          <w:vertAlign w:val="baseline"/>
        </w:rPr>
        <w:t>pé</w:t>
      </w:r>
      <w:r>
        <w:rPr>
          <w:spacing w:val="-10"/>
          <w:vertAlign w:val="baseline"/>
        </w:rPr>
        <w:t> </w:t>
      </w:r>
      <w:r>
        <w:rPr>
          <w:vertAlign w:val="baseline"/>
        </w:rPr>
        <w:t>ante</w:t>
      </w:r>
      <w:r>
        <w:rPr>
          <w:spacing w:val="-10"/>
          <w:vertAlign w:val="baseline"/>
        </w:rPr>
        <w:t> </w:t>
      </w:r>
      <w:r>
        <w:rPr>
          <w:vertAlign w:val="baseline"/>
        </w:rPr>
        <w:t>uma </w:t>
      </w:r>
      <w:r>
        <w:rPr>
          <w:spacing w:val="-2"/>
          <w:vertAlign w:val="baseline"/>
        </w:rPr>
        <w:t>infecção.</w:t>
      </w:r>
      <w:r>
        <w:rPr>
          <w:spacing w:val="-2"/>
          <w:vertAlign w:val="superscript"/>
        </w:rPr>
        <w:t>4</w:t>
      </w:r>
    </w:p>
    <w:p>
      <w:pPr>
        <w:pStyle w:val="BodyText"/>
        <w:spacing w:before="53"/>
        <w:ind w:left="0" w:firstLine="0"/>
        <w:jc w:val="left"/>
      </w:pPr>
    </w:p>
    <w:p>
      <w:pPr>
        <w:pStyle w:val="Heading9"/>
      </w:pPr>
      <w:r>
        <w:rPr>
          <w:color w:val="A26108"/>
        </w:rPr>
        <w:t>Músculo</w:t>
      </w:r>
      <w:r>
        <w:rPr>
          <w:color w:val="A26108"/>
          <w:spacing w:val="21"/>
        </w:rPr>
        <w:t> </w:t>
      </w:r>
      <w:r>
        <w:rPr>
          <w:color w:val="A26108"/>
          <w:spacing w:val="-4"/>
        </w:rPr>
        <w:t>liso</w:t>
      </w:r>
    </w:p>
    <w:p>
      <w:pPr>
        <w:pStyle w:val="BodyText"/>
        <w:spacing w:line="280" w:lineRule="auto" w:before="117"/>
        <w:ind w:right="491"/>
      </w:pPr>
      <w:r>
        <w:rPr/>
        <w:t>O fluxo sanguíneo total na microcirculação da pele é similar em diabéticos e não diabéticos, porém o fluxo capilar encontra-se reduzido no diabético, indicando uma distribuição alterada e isquemia funcional da pele.</w:t>
      </w:r>
      <w:r>
        <w:rPr>
          <w:vertAlign w:val="superscript"/>
        </w:rPr>
        <w:t>5</w:t>
      </w:r>
      <w:r>
        <w:rPr>
          <w:vertAlign w:val="baseline"/>
        </w:rPr>
        <w:t> Também existe alteração funcional do </w:t>
      </w:r>
      <w:r>
        <w:rPr>
          <w:i/>
          <w:vertAlign w:val="baseline"/>
        </w:rPr>
        <w:t>músculo liso</w:t>
      </w:r>
      <w:r>
        <w:rPr>
          <w:vertAlign w:val="baseline"/>
        </w:rPr>
        <w:t>, responsável pela incapacidade de vasodilatação e aumento do fluxo sanguíneo da microvasculatura em resposta a uma lesão. Essas alterações também afetam a </w:t>
      </w:r>
      <w:r>
        <w:rPr>
          <w:i/>
          <w:vertAlign w:val="baseline"/>
        </w:rPr>
        <w:t>reserva</w:t>
      </w:r>
      <w:r>
        <w:rPr>
          <w:i/>
          <w:spacing w:val="-5"/>
          <w:vertAlign w:val="baseline"/>
        </w:rPr>
        <w:t> </w:t>
      </w:r>
      <w:r>
        <w:rPr>
          <w:i/>
          <w:vertAlign w:val="baseline"/>
        </w:rPr>
        <w:t>vascular </w:t>
      </w:r>
      <w:r>
        <w:rPr>
          <w:vertAlign w:val="baseline"/>
        </w:rPr>
        <w:t>dos vasos periféricos, coronários e cerebrais. Foi demonstrada diminuição da reserva vascular nos diabéticos, mesmo com angiografia coronária e cerebral normal e sem complicações macrovasculares, reforçando a existência de alteração funcional vascular precoce.</w:t>
      </w:r>
      <w:r>
        <w:rPr>
          <w:vertAlign w:val="superscript"/>
        </w:rPr>
        <w:t>7</w:t>
      </w:r>
      <w:r>
        <w:rPr>
          <w:vertAlign w:val="baseline"/>
        </w:rPr>
        <w:t> O risco, a gravidade e a frequência do AVC aumentam ainda mais entre diabéticos com complicações microvasculares, sugerindo que a microangiopatia introduz um fator adicional à fisiopatologia do AVC.</w:t>
      </w:r>
      <w:r>
        <w:rPr>
          <w:vertAlign w:val="superscript"/>
        </w:rPr>
        <w:t>7</w:t>
      </w:r>
    </w:p>
    <w:p>
      <w:pPr>
        <w:pStyle w:val="BodyText"/>
        <w:spacing w:before="69"/>
        <w:ind w:left="0" w:firstLine="0"/>
        <w:jc w:val="left"/>
      </w:pPr>
    </w:p>
    <w:p>
      <w:pPr>
        <w:pStyle w:val="Heading9"/>
        <w:spacing w:before="1"/>
      </w:pPr>
      <w:r>
        <w:rPr>
          <w:color w:val="A26108"/>
          <w:spacing w:val="-2"/>
        </w:rPr>
        <w:t>Endotélio</w:t>
      </w:r>
    </w:p>
    <w:p>
      <w:pPr>
        <w:pStyle w:val="BodyText"/>
        <w:spacing w:before="116"/>
        <w:ind w:left="414" w:firstLine="0"/>
        <w:jc w:val="left"/>
      </w:pPr>
      <w:r>
        <w:rPr/>
        <w:t>O</w:t>
      </w:r>
      <w:r>
        <w:rPr>
          <w:spacing w:val="-6"/>
        </w:rPr>
        <w:t> </w:t>
      </w:r>
      <w:r>
        <w:rPr/>
        <w:t>endotélio</w:t>
      </w:r>
      <w:r>
        <w:rPr>
          <w:spacing w:val="-2"/>
        </w:rPr>
        <w:t> </w:t>
      </w:r>
      <w:r>
        <w:rPr/>
        <w:t>tem</w:t>
      </w:r>
      <w:r>
        <w:rPr>
          <w:spacing w:val="-3"/>
        </w:rPr>
        <w:t> </w:t>
      </w:r>
      <w:r>
        <w:rPr/>
        <w:t>um</w:t>
      </w:r>
      <w:r>
        <w:rPr>
          <w:spacing w:val="-3"/>
        </w:rPr>
        <w:t> </w:t>
      </w:r>
      <w:r>
        <w:rPr/>
        <w:t>papel importante</w:t>
      </w:r>
      <w:r>
        <w:rPr>
          <w:spacing w:val="-5"/>
        </w:rPr>
        <w:t> </w:t>
      </w:r>
      <w:r>
        <w:rPr/>
        <w:t>no</w:t>
      </w:r>
      <w:r>
        <w:rPr>
          <w:spacing w:val="-3"/>
        </w:rPr>
        <w:t> </w:t>
      </w:r>
      <w:r>
        <w:rPr/>
        <w:t>controle</w:t>
      </w:r>
      <w:r>
        <w:rPr>
          <w:spacing w:val="-5"/>
        </w:rPr>
        <w:t> </w:t>
      </w:r>
      <w:r>
        <w:rPr/>
        <w:t>do</w:t>
      </w:r>
      <w:r>
        <w:rPr>
          <w:spacing w:val="-3"/>
        </w:rPr>
        <w:t> </w:t>
      </w:r>
      <w:r>
        <w:rPr/>
        <w:t>tônus</w:t>
      </w:r>
      <w:r>
        <w:rPr>
          <w:spacing w:val="6"/>
        </w:rPr>
        <w:t> </w:t>
      </w:r>
      <w:r>
        <w:rPr/>
        <w:t>vasomotor</w:t>
      </w:r>
      <w:r>
        <w:rPr>
          <w:spacing w:val="3"/>
        </w:rPr>
        <w:t> </w:t>
      </w:r>
      <w:r>
        <w:rPr/>
        <w:t>e</w:t>
      </w:r>
      <w:r>
        <w:rPr>
          <w:spacing w:val="-5"/>
        </w:rPr>
        <w:t> </w:t>
      </w:r>
      <w:r>
        <w:rPr/>
        <w:t>na</w:t>
      </w:r>
      <w:r>
        <w:rPr>
          <w:spacing w:val="-6"/>
        </w:rPr>
        <w:t> </w:t>
      </w:r>
      <w:r>
        <w:rPr/>
        <w:t>prevenção</w:t>
      </w:r>
      <w:r>
        <w:rPr>
          <w:spacing w:val="-2"/>
        </w:rPr>
        <w:t> </w:t>
      </w:r>
      <w:r>
        <w:rPr/>
        <w:t>da</w:t>
      </w:r>
      <w:r>
        <w:rPr>
          <w:spacing w:val="-5"/>
        </w:rPr>
        <w:t> </w:t>
      </w:r>
      <w:r>
        <w:rPr/>
        <w:t>trombose,</w:t>
      </w:r>
      <w:r>
        <w:rPr>
          <w:spacing w:val="5"/>
        </w:rPr>
        <w:t> </w:t>
      </w:r>
      <w:r>
        <w:rPr/>
        <w:t>por</w:t>
      </w:r>
      <w:r>
        <w:rPr>
          <w:spacing w:val="3"/>
        </w:rPr>
        <w:t> </w:t>
      </w:r>
      <w:r>
        <w:rPr/>
        <w:t>meio</w:t>
      </w:r>
      <w:r>
        <w:rPr>
          <w:spacing w:val="-2"/>
        </w:rPr>
        <w:t> </w:t>
      </w:r>
      <w:r>
        <w:rPr>
          <w:spacing w:val="-5"/>
        </w:rPr>
        <w:t>da</w:t>
      </w:r>
    </w:p>
    <w:p>
      <w:pPr>
        <w:pStyle w:val="BodyText"/>
        <w:spacing w:after="0"/>
        <w:jc w:val="left"/>
        <w:sectPr>
          <w:pgSz w:w="11900" w:h="16840"/>
          <w:pgMar w:top="140" w:bottom="280" w:left="566" w:right="141"/>
        </w:sectPr>
      </w:pPr>
    </w:p>
    <w:p>
      <w:pPr>
        <w:pStyle w:val="BodyText"/>
        <w:spacing w:line="283" w:lineRule="auto" w:before="71"/>
        <w:ind w:right="497" w:firstLine="0"/>
      </w:pPr>
      <w:r>
        <w:rPr/>
        <w:t>síntese</w:t>
      </w:r>
      <w:r>
        <w:rPr>
          <w:spacing w:val="-12"/>
        </w:rPr>
        <w:t> </w:t>
      </w:r>
      <w:r>
        <w:rPr/>
        <w:t>e</w:t>
      </w:r>
      <w:r>
        <w:rPr>
          <w:spacing w:val="-12"/>
        </w:rPr>
        <w:t> </w:t>
      </w:r>
      <w:r>
        <w:rPr/>
        <w:t>liberação</w:t>
      </w:r>
      <w:r>
        <w:rPr>
          <w:spacing w:val="-10"/>
        </w:rPr>
        <w:t> </w:t>
      </w:r>
      <w:r>
        <w:rPr/>
        <w:t>de</w:t>
      </w:r>
      <w:r>
        <w:rPr>
          <w:spacing w:val="-12"/>
        </w:rPr>
        <w:t> </w:t>
      </w:r>
      <w:r>
        <w:rPr/>
        <w:t>substâncias,</w:t>
      </w:r>
      <w:r>
        <w:rPr>
          <w:spacing w:val="-2"/>
        </w:rPr>
        <w:t> </w:t>
      </w:r>
      <w:r>
        <w:rPr/>
        <w:t>como</w:t>
      </w:r>
      <w:r>
        <w:rPr>
          <w:spacing w:val="-10"/>
        </w:rPr>
        <w:t> </w:t>
      </w:r>
      <w:r>
        <w:rPr/>
        <w:t>prostaglandinas,</w:t>
      </w:r>
      <w:r>
        <w:rPr>
          <w:spacing w:val="-2"/>
        </w:rPr>
        <w:t> </w:t>
      </w:r>
      <w:r>
        <w:rPr/>
        <w:t>endotelinas</w:t>
      </w:r>
      <w:r>
        <w:rPr>
          <w:spacing w:val="-2"/>
        </w:rPr>
        <w:t> </w:t>
      </w:r>
      <w:r>
        <w:rPr/>
        <w:t>e</w:t>
      </w:r>
      <w:r>
        <w:rPr>
          <w:spacing w:val="-12"/>
        </w:rPr>
        <w:t> </w:t>
      </w:r>
      <w:r>
        <w:rPr/>
        <w:t>óxido</w:t>
      </w:r>
      <w:r>
        <w:rPr>
          <w:spacing w:val="-10"/>
        </w:rPr>
        <w:t> </w:t>
      </w:r>
      <w:r>
        <w:rPr/>
        <w:t>nítrico.</w:t>
      </w:r>
      <w:r>
        <w:rPr>
          <w:vertAlign w:val="superscript"/>
        </w:rPr>
        <w:t>8</w:t>
      </w:r>
      <w:r>
        <w:rPr>
          <w:spacing w:val="-3"/>
          <w:vertAlign w:val="baseline"/>
        </w:rPr>
        <w:t> </w:t>
      </w:r>
      <w:r>
        <w:rPr>
          <w:vertAlign w:val="baseline"/>
        </w:rPr>
        <w:t>A</w:t>
      </w:r>
      <w:r>
        <w:rPr>
          <w:spacing w:val="-12"/>
          <w:vertAlign w:val="baseline"/>
        </w:rPr>
        <w:t> </w:t>
      </w:r>
      <w:r>
        <w:rPr>
          <w:i/>
          <w:vertAlign w:val="baseline"/>
        </w:rPr>
        <w:t>função</w:t>
      </w:r>
      <w:r>
        <w:rPr>
          <w:i/>
          <w:spacing w:val="-10"/>
          <w:vertAlign w:val="baseline"/>
        </w:rPr>
        <w:t> </w:t>
      </w:r>
      <w:r>
        <w:rPr>
          <w:i/>
          <w:vertAlign w:val="baseline"/>
        </w:rPr>
        <w:t>endotelial</w:t>
      </w:r>
      <w:r>
        <w:rPr>
          <w:i/>
          <w:spacing w:val="-8"/>
          <w:vertAlign w:val="baseline"/>
        </w:rPr>
        <w:t> </w:t>
      </w:r>
      <w:r>
        <w:rPr>
          <w:vertAlign w:val="baseline"/>
        </w:rPr>
        <w:t>encontra-se alterada no diabético e os principais mecanismos responsáveis pela disfunção vascular </w:t>
      </w:r>
      <w:r>
        <w:rPr>
          <w:i/>
          <w:vertAlign w:val="baseline"/>
        </w:rPr>
        <w:t>endotélio-dependente </w:t>
      </w:r>
      <w:r>
        <w:rPr>
          <w:spacing w:val="-2"/>
          <w:vertAlign w:val="baseline"/>
        </w:rPr>
        <w:t>são:</w:t>
      </w:r>
      <w:r>
        <w:rPr>
          <w:spacing w:val="-2"/>
          <w:vertAlign w:val="superscript"/>
        </w:rPr>
        <w:t>8</w:t>
      </w:r>
    </w:p>
    <w:p>
      <w:pPr>
        <w:pStyle w:val="ListParagraph"/>
        <w:numPr>
          <w:ilvl w:val="0"/>
          <w:numId w:val="37"/>
        </w:numPr>
        <w:tabs>
          <w:tab w:pos="397" w:val="left" w:leader="none"/>
        </w:tabs>
        <w:spacing w:line="240" w:lineRule="auto" w:before="153" w:after="0"/>
        <w:ind w:left="397" w:right="0" w:hanging="329"/>
        <w:jc w:val="left"/>
        <w:rPr>
          <w:sz w:val="23"/>
        </w:rPr>
      </w:pPr>
      <w:r>
        <w:rPr>
          <w:sz w:val="23"/>
        </w:rPr>
        <w:t>Alterações</w:t>
      </w:r>
      <w:r>
        <w:rPr>
          <w:spacing w:val="-2"/>
          <w:sz w:val="23"/>
        </w:rPr>
        <w:t> </w:t>
      </w:r>
      <w:r>
        <w:rPr>
          <w:sz w:val="23"/>
        </w:rPr>
        <w:t>na</w:t>
      </w:r>
      <w:r>
        <w:rPr>
          <w:spacing w:val="-11"/>
          <w:sz w:val="23"/>
        </w:rPr>
        <w:t> </w:t>
      </w:r>
      <w:r>
        <w:rPr>
          <w:sz w:val="23"/>
        </w:rPr>
        <w:t>via</w:t>
      </w:r>
      <w:r>
        <w:rPr>
          <w:spacing w:val="-12"/>
          <w:sz w:val="23"/>
        </w:rPr>
        <w:t> </w:t>
      </w:r>
      <w:r>
        <w:rPr>
          <w:sz w:val="23"/>
        </w:rPr>
        <w:t>do</w:t>
      </w:r>
      <w:r>
        <w:rPr>
          <w:spacing w:val="-9"/>
          <w:sz w:val="23"/>
        </w:rPr>
        <w:t> </w:t>
      </w:r>
      <w:r>
        <w:rPr>
          <w:sz w:val="23"/>
        </w:rPr>
        <w:t>óxido</w:t>
      </w:r>
      <w:r>
        <w:rPr>
          <w:spacing w:val="-8"/>
          <w:sz w:val="23"/>
        </w:rPr>
        <w:t> </w:t>
      </w:r>
      <w:r>
        <w:rPr>
          <w:spacing w:val="-2"/>
          <w:sz w:val="23"/>
        </w:rPr>
        <w:t>nítrico</w:t>
      </w:r>
    </w:p>
    <w:p>
      <w:pPr>
        <w:pStyle w:val="ListParagraph"/>
        <w:numPr>
          <w:ilvl w:val="0"/>
          <w:numId w:val="37"/>
        </w:numPr>
        <w:tabs>
          <w:tab w:pos="397" w:val="left" w:leader="none"/>
        </w:tabs>
        <w:spacing w:line="240" w:lineRule="auto" w:before="72" w:after="0"/>
        <w:ind w:left="397" w:right="0" w:hanging="329"/>
        <w:jc w:val="left"/>
        <w:rPr>
          <w:sz w:val="23"/>
        </w:rPr>
      </w:pPr>
      <w:r>
        <w:rPr>
          <w:sz w:val="23"/>
        </w:rPr>
        <w:t>Produção</w:t>
      </w:r>
      <w:r>
        <w:rPr>
          <w:spacing w:val="-15"/>
          <w:sz w:val="23"/>
        </w:rPr>
        <w:t> </w:t>
      </w:r>
      <w:r>
        <w:rPr>
          <w:sz w:val="23"/>
        </w:rPr>
        <w:t>anormal</w:t>
      </w:r>
      <w:r>
        <w:rPr>
          <w:spacing w:val="-13"/>
          <w:sz w:val="23"/>
        </w:rPr>
        <w:t> </w:t>
      </w:r>
      <w:r>
        <w:rPr>
          <w:sz w:val="23"/>
        </w:rPr>
        <w:t>de</w:t>
      </w:r>
      <w:r>
        <w:rPr>
          <w:spacing w:val="-15"/>
          <w:sz w:val="23"/>
        </w:rPr>
        <w:t> </w:t>
      </w:r>
      <w:r>
        <w:rPr>
          <w:sz w:val="23"/>
        </w:rPr>
        <w:t>substâncias</w:t>
      </w:r>
      <w:r>
        <w:rPr>
          <w:spacing w:val="-7"/>
          <w:sz w:val="23"/>
        </w:rPr>
        <w:t> </w:t>
      </w:r>
      <w:r>
        <w:rPr>
          <w:spacing w:val="-2"/>
          <w:sz w:val="23"/>
        </w:rPr>
        <w:t>vasoconstritoras</w:t>
      </w:r>
    </w:p>
    <w:p>
      <w:pPr>
        <w:pStyle w:val="ListParagraph"/>
        <w:numPr>
          <w:ilvl w:val="0"/>
          <w:numId w:val="37"/>
        </w:numPr>
        <w:tabs>
          <w:tab w:pos="397" w:val="left" w:leader="none"/>
        </w:tabs>
        <w:spacing w:line="240" w:lineRule="auto" w:before="71" w:after="0"/>
        <w:ind w:left="397" w:right="0" w:hanging="329"/>
        <w:jc w:val="left"/>
        <w:rPr>
          <w:sz w:val="23"/>
        </w:rPr>
      </w:pPr>
      <w:r>
        <w:rPr>
          <w:spacing w:val="-2"/>
          <w:sz w:val="23"/>
        </w:rPr>
        <w:t>Diminuição</w:t>
      </w:r>
      <w:r>
        <w:rPr>
          <w:spacing w:val="-3"/>
          <w:sz w:val="23"/>
        </w:rPr>
        <w:t> </w:t>
      </w:r>
      <w:r>
        <w:rPr>
          <w:spacing w:val="-2"/>
          <w:sz w:val="23"/>
        </w:rPr>
        <w:t>da</w:t>
      </w:r>
      <w:r>
        <w:rPr>
          <w:spacing w:val="-5"/>
          <w:sz w:val="23"/>
        </w:rPr>
        <w:t> </w:t>
      </w:r>
      <w:r>
        <w:rPr>
          <w:spacing w:val="-2"/>
          <w:sz w:val="23"/>
        </w:rPr>
        <w:t>atividade</w:t>
      </w:r>
      <w:r>
        <w:rPr>
          <w:spacing w:val="-5"/>
          <w:sz w:val="23"/>
        </w:rPr>
        <w:t> </w:t>
      </w:r>
      <w:r>
        <w:rPr>
          <w:spacing w:val="-2"/>
          <w:sz w:val="23"/>
        </w:rPr>
        <w:t>de</w:t>
      </w:r>
      <w:r>
        <w:rPr>
          <w:spacing w:val="-5"/>
          <w:sz w:val="23"/>
        </w:rPr>
        <w:t> </w:t>
      </w:r>
      <w:r>
        <w:rPr>
          <w:spacing w:val="-2"/>
          <w:sz w:val="23"/>
        </w:rPr>
        <w:t>Na</w:t>
      </w:r>
      <w:r>
        <w:rPr>
          <w:spacing w:val="-2"/>
          <w:sz w:val="23"/>
          <w:vertAlign w:val="superscript"/>
        </w:rPr>
        <w:t>+</w:t>
      </w:r>
      <w:r>
        <w:rPr>
          <w:spacing w:val="-2"/>
          <w:sz w:val="23"/>
          <w:vertAlign w:val="baseline"/>
        </w:rPr>
        <w:t>/K</w:t>
      </w:r>
      <w:r>
        <w:rPr>
          <w:spacing w:val="-2"/>
          <w:sz w:val="23"/>
          <w:vertAlign w:val="superscript"/>
        </w:rPr>
        <w:t>+</w:t>
      </w:r>
      <w:r>
        <w:rPr>
          <w:spacing w:val="-2"/>
          <w:sz w:val="23"/>
          <w:vertAlign w:val="baseline"/>
        </w:rPr>
        <w:t>ATPase</w:t>
      </w:r>
    </w:p>
    <w:p>
      <w:pPr>
        <w:pStyle w:val="ListParagraph"/>
        <w:numPr>
          <w:ilvl w:val="0"/>
          <w:numId w:val="37"/>
        </w:numPr>
        <w:tabs>
          <w:tab w:pos="397" w:val="left" w:leader="none"/>
        </w:tabs>
        <w:spacing w:line="240" w:lineRule="auto" w:before="56" w:after="0"/>
        <w:ind w:left="397" w:right="0" w:hanging="329"/>
        <w:jc w:val="left"/>
        <w:rPr>
          <w:sz w:val="23"/>
        </w:rPr>
      </w:pPr>
      <w:r>
        <w:rPr>
          <w:sz w:val="23"/>
        </w:rPr>
        <w:t>Produtos</w:t>
      </w:r>
      <w:r>
        <w:rPr>
          <w:spacing w:val="-12"/>
          <w:sz w:val="23"/>
        </w:rPr>
        <w:t> </w:t>
      </w:r>
      <w:r>
        <w:rPr>
          <w:sz w:val="23"/>
        </w:rPr>
        <w:t>finais</w:t>
      </w:r>
      <w:r>
        <w:rPr>
          <w:spacing w:val="-7"/>
          <w:sz w:val="23"/>
        </w:rPr>
        <w:t> </w:t>
      </w:r>
      <w:r>
        <w:rPr>
          <w:sz w:val="23"/>
        </w:rPr>
        <w:t>da</w:t>
      </w:r>
      <w:r>
        <w:rPr>
          <w:spacing w:val="-15"/>
          <w:sz w:val="23"/>
        </w:rPr>
        <w:t> </w:t>
      </w:r>
      <w:r>
        <w:rPr>
          <w:sz w:val="23"/>
        </w:rPr>
        <w:t>glicosilação</w:t>
      </w:r>
      <w:r>
        <w:rPr>
          <w:spacing w:val="-13"/>
          <w:sz w:val="23"/>
        </w:rPr>
        <w:t> </w:t>
      </w:r>
      <w:r>
        <w:rPr>
          <w:sz w:val="23"/>
        </w:rPr>
        <w:t>avançada</w:t>
      </w:r>
      <w:r>
        <w:rPr>
          <w:spacing w:val="-14"/>
          <w:sz w:val="23"/>
        </w:rPr>
        <w:t> </w:t>
      </w:r>
      <w:r>
        <w:rPr>
          <w:sz w:val="23"/>
        </w:rPr>
        <w:t>(AGE,</w:t>
      </w:r>
      <w:r>
        <w:rPr>
          <w:spacing w:val="-7"/>
          <w:sz w:val="23"/>
        </w:rPr>
        <w:t> </w:t>
      </w:r>
      <w:r>
        <w:rPr>
          <w:sz w:val="23"/>
        </w:rPr>
        <w:t>do</w:t>
      </w:r>
      <w:r>
        <w:rPr>
          <w:spacing w:val="-14"/>
          <w:sz w:val="23"/>
        </w:rPr>
        <w:t> </w:t>
      </w:r>
      <w:r>
        <w:rPr>
          <w:sz w:val="23"/>
        </w:rPr>
        <w:t>inglês,</w:t>
      </w:r>
      <w:r>
        <w:rPr>
          <w:spacing w:val="-7"/>
          <w:sz w:val="23"/>
        </w:rPr>
        <w:t> </w:t>
      </w:r>
      <w:r>
        <w:rPr>
          <w:i/>
          <w:sz w:val="23"/>
        </w:rPr>
        <w:t>advanced</w:t>
      </w:r>
      <w:r>
        <w:rPr>
          <w:i/>
          <w:spacing w:val="-13"/>
          <w:sz w:val="23"/>
        </w:rPr>
        <w:t> </w:t>
      </w:r>
      <w:r>
        <w:rPr>
          <w:i/>
          <w:sz w:val="23"/>
        </w:rPr>
        <w:t>glycation</w:t>
      </w:r>
      <w:r>
        <w:rPr>
          <w:i/>
          <w:spacing w:val="-14"/>
          <w:sz w:val="23"/>
        </w:rPr>
        <w:t> </w:t>
      </w:r>
      <w:r>
        <w:rPr>
          <w:i/>
          <w:sz w:val="23"/>
        </w:rPr>
        <w:t>end</w:t>
      </w:r>
      <w:r>
        <w:rPr>
          <w:i/>
          <w:spacing w:val="-13"/>
          <w:sz w:val="23"/>
        </w:rPr>
        <w:t> </w:t>
      </w:r>
      <w:r>
        <w:rPr>
          <w:i/>
          <w:spacing w:val="-2"/>
          <w:sz w:val="23"/>
        </w:rPr>
        <w:t>products</w:t>
      </w:r>
      <w:r>
        <w:rPr>
          <w:spacing w:val="-2"/>
          <w:sz w:val="23"/>
        </w:rPr>
        <w:t>).</w:t>
      </w:r>
    </w:p>
    <w:p>
      <w:pPr>
        <w:pStyle w:val="BodyText"/>
        <w:spacing w:before="16"/>
        <w:ind w:left="0" w:firstLine="0"/>
        <w:jc w:val="left"/>
      </w:pPr>
    </w:p>
    <w:p>
      <w:pPr>
        <w:pStyle w:val="BodyText"/>
        <w:spacing w:line="278" w:lineRule="auto" w:before="0"/>
        <w:ind w:right="488"/>
      </w:pPr>
      <w:r>
        <w:rPr/>
        <w:t>Em</w:t>
      </w:r>
      <w:r>
        <w:rPr>
          <w:spacing w:val="-8"/>
        </w:rPr>
        <w:t> </w:t>
      </w:r>
      <w:r>
        <w:rPr/>
        <w:t>1980</w:t>
      </w:r>
      <w:r>
        <w:rPr>
          <w:spacing w:val="-8"/>
        </w:rPr>
        <w:t> </w:t>
      </w:r>
      <w:r>
        <w:rPr/>
        <w:t>foi</w:t>
      </w:r>
      <w:r>
        <w:rPr>
          <w:spacing w:val="-5"/>
        </w:rPr>
        <w:t> </w:t>
      </w:r>
      <w:r>
        <w:rPr/>
        <w:t>descoberta</w:t>
      </w:r>
      <w:r>
        <w:rPr>
          <w:spacing w:val="-10"/>
        </w:rPr>
        <w:t> </w:t>
      </w:r>
      <w:r>
        <w:rPr/>
        <w:t>uma</w:t>
      </w:r>
      <w:r>
        <w:rPr>
          <w:spacing w:val="-10"/>
        </w:rPr>
        <w:t> </w:t>
      </w:r>
      <w:r>
        <w:rPr/>
        <w:t>substância</w:t>
      </w:r>
      <w:r>
        <w:rPr>
          <w:spacing w:val="-10"/>
        </w:rPr>
        <w:t> </w:t>
      </w:r>
      <w:r>
        <w:rPr/>
        <w:t>que,</w:t>
      </w:r>
      <w:r>
        <w:rPr>
          <w:spacing w:val="-1"/>
        </w:rPr>
        <w:t> </w:t>
      </w:r>
      <w:r>
        <w:rPr/>
        <w:t>liberada</w:t>
      </w:r>
      <w:r>
        <w:rPr>
          <w:spacing w:val="-10"/>
        </w:rPr>
        <w:t> </w:t>
      </w:r>
      <w:r>
        <w:rPr/>
        <w:t>pelo</w:t>
      </w:r>
      <w:r>
        <w:rPr>
          <w:spacing w:val="-8"/>
        </w:rPr>
        <w:t> </w:t>
      </w:r>
      <w:r>
        <w:rPr/>
        <w:t>endotélio,</w:t>
      </w:r>
      <w:r>
        <w:rPr>
          <w:spacing w:val="-1"/>
        </w:rPr>
        <w:t> </w:t>
      </w:r>
      <w:r>
        <w:rPr/>
        <w:t>produz</w:t>
      </w:r>
      <w:r>
        <w:rPr>
          <w:spacing w:val="-10"/>
        </w:rPr>
        <w:t> </w:t>
      </w:r>
      <w:r>
        <w:rPr/>
        <w:t>vasodilatação</w:t>
      </w:r>
      <w:r>
        <w:rPr>
          <w:spacing w:val="-8"/>
        </w:rPr>
        <w:t> </w:t>
      </w:r>
      <w:r>
        <w:rPr/>
        <w:t>arterial.</w:t>
      </w:r>
      <w:r>
        <w:rPr>
          <w:spacing w:val="-1"/>
        </w:rPr>
        <w:t> </w:t>
      </w:r>
      <w:r>
        <w:rPr/>
        <w:t>Denominada inicialmente “fator de relaxamento derivado do endotélio”, a partir de 1987 passou a ser conhecida como “óxido nítrico derivado do endotélio” (EDNO, do inglês, </w:t>
      </w:r>
      <w:r>
        <w:rPr>
          <w:i/>
        </w:rPr>
        <w:t>endothelium-derived relaxing factor nitric oxide</w:t>
      </w:r>
      <w:r>
        <w:rPr/>
        <w:t>), e causa o relaxamento do músculo liso arterial em resposta a acetilcolina e a outros vasodilatadores. A insulina tem efeito vasodilatador por meio da modulação da síntese e liberação de EDNO pelo endotélio. Assim, parece existir diminuição da síntese e/ou liberação do EDNO, resposta diminuída do músculo liso ao EDNO ou aumento da desativação do óxido nítrico.</w:t>
      </w:r>
      <w:r>
        <w:rPr>
          <w:vertAlign w:val="superscript"/>
        </w:rPr>
        <w:t>9</w:t>
      </w:r>
    </w:p>
    <w:p>
      <w:pPr>
        <w:pStyle w:val="BodyText"/>
        <w:spacing w:line="278" w:lineRule="auto" w:before="46"/>
        <w:ind w:right="491"/>
      </w:pPr>
      <w:r>
        <w:rPr/>
        <w:t>Há</w:t>
      </w:r>
      <w:r>
        <w:rPr>
          <w:spacing w:val="-1"/>
        </w:rPr>
        <w:t> </w:t>
      </w:r>
      <w:r>
        <w:rPr/>
        <w:t>controvérsias sobre</w:t>
      </w:r>
      <w:r>
        <w:rPr>
          <w:spacing w:val="-1"/>
        </w:rPr>
        <w:t> </w:t>
      </w:r>
      <w:r>
        <w:rPr/>
        <w:t>a</w:t>
      </w:r>
      <w:r>
        <w:rPr>
          <w:spacing w:val="-1"/>
        </w:rPr>
        <w:t> </w:t>
      </w:r>
      <w:r>
        <w:rPr/>
        <w:t>importância</w:t>
      </w:r>
      <w:r>
        <w:rPr>
          <w:spacing w:val="-1"/>
        </w:rPr>
        <w:t> </w:t>
      </w:r>
      <w:r>
        <w:rPr/>
        <w:t>dos </w:t>
      </w:r>
      <w:r>
        <w:rPr>
          <w:i/>
        </w:rPr>
        <w:t>radicais livres </w:t>
      </w:r>
      <w:r>
        <w:rPr/>
        <w:t>na vasculopatia diabética; sabe-se que existe aumento da produção dos radicais livres no diabético que poderia contribuir para a disfunção endotelial. Os radicais livres impedem a vasodilatação EDNO-dependente e a administração de sequestradores de radicais livres melhora esta resposta.</w:t>
      </w:r>
      <w:r>
        <w:rPr>
          <w:vertAlign w:val="superscript"/>
        </w:rPr>
        <w:t>10</w:t>
      </w:r>
      <w:r>
        <w:rPr>
          <w:vertAlign w:val="baseline"/>
        </w:rPr>
        <w:t> Uma</w:t>
      </w:r>
      <w:r>
        <w:rPr>
          <w:spacing w:val="-5"/>
          <w:vertAlign w:val="baseline"/>
        </w:rPr>
        <w:t> </w:t>
      </w:r>
      <w:r>
        <w:rPr>
          <w:vertAlign w:val="baseline"/>
        </w:rPr>
        <w:t>fonte</w:t>
      </w:r>
      <w:r>
        <w:rPr>
          <w:spacing w:val="-5"/>
          <w:vertAlign w:val="baseline"/>
        </w:rPr>
        <w:t> </w:t>
      </w:r>
      <w:r>
        <w:rPr>
          <w:vertAlign w:val="baseline"/>
        </w:rPr>
        <w:t>de</w:t>
      </w:r>
      <w:r>
        <w:rPr>
          <w:spacing w:val="-5"/>
          <w:vertAlign w:val="baseline"/>
        </w:rPr>
        <w:t> </w:t>
      </w:r>
      <w:r>
        <w:rPr>
          <w:vertAlign w:val="baseline"/>
        </w:rPr>
        <w:t>radicais livres, potencialmente</w:t>
      </w:r>
      <w:r>
        <w:rPr>
          <w:spacing w:val="-5"/>
          <w:vertAlign w:val="baseline"/>
        </w:rPr>
        <w:t> </w:t>
      </w:r>
      <w:r>
        <w:rPr>
          <w:vertAlign w:val="baseline"/>
        </w:rPr>
        <w:t>tratável, é</w:t>
      </w:r>
      <w:r>
        <w:rPr>
          <w:spacing w:val="-5"/>
          <w:vertAlign w:val="baseline"/>
        </w:rPr>
        <w:t> </w:t>
      </w:r>
      <w:r>
        <w:rPr>
          <w:vertAlign w:val="baseline"/>
        </w:rPr>
        <w:t>a</w:t>
      </w:r>
      <w:r>
        <w:rPr>
          <w:spacing w:val="-5"/>
          <w:vertAlign w:val="baseline"/>
        </w:rPr>
        <w:t> </w:t>
      </w:r>
      <w:r>
        <w:rPr>
          <w:vertAlign w:val="baseline"/>
        </w:rPr>
        <w:t>hiperlipidemia. Níveis altos de</w:t>
      </w:r>
      <w:r>
        <w:rPr>
          <w:spacing w:val="-5"/>
          <w:vertAlign w:val="baseline"/>
        </w:rPr>
        <w:t> </w:t>
      </w:r>
      <w:r>
        <w:rPr>
          <w:vertAlign w:val="baseline"/>
        </w:rPr>
        <w:t>lipoproteína</w:t>
      </w:r>
      <w:r>
        <w:rPr>
          <w:spacing w:val="-5"/>
          <w:vertAlign w:val="baseline"/>
        </w:rPr>
        <w:t> </w:t>
      </w:r>
      <w:r>
        <w:rPr>
          <w:vertAlign w:val="baseline"/>
        </w:rPr>
        <w:t>de baixa densidade (LDL, do inglês, </w:t>
      </w:r>
      <w:r>
        <w:rPr>
          <w:i/>
          <w:vertAlign w:val="baseline"/>
        </w:rPr>
        <w:t>low-density lipoprotein</w:t>
      </w:r>
      <w:r>
        <w:rPr>
          <w:vertAlign w:val="baseline"/>
        </w:rPr>
        <w:t>) e lipoproteína de densidade muito baixa (VLDL, do inglês, </w:t>
      </w:r>
      <w:r>
        <w:rPr>
          <w:i/>
          <w:vertAlign w:val="baseline"/>
        </w:rPr>
        <w:t>very low-density lipoprotein</w:t>
      </w:r>
      <w:r>
        <w:rPr>
          <w:vertAlign w:val="baseline"/>
        </w:rPr>
        <w:t>) são frequentes no diabetes. A hiperglicemia promove a oxidação do LDL, produzindo radicais livres que desativam o EDNO.</w:t>
      </w:r>
    </w:p>
    <w:p>
      <w:pPr>
        <w:pStyle w:val="BodyText"/>
        <w:spacing w:line="276" w:lineRule="auto" w:before="63"/>
        <w:ind w:right="491"/>
      </w:pPr>
      <w:r>
        <w:rPr/>
        <w:t>Os AGE são o resultado de uma irreversível e complexa reação entre glicose e proteína, e se encontram em níveis elevados no diabetes. Os AGEs impedem a ação vasodilatadora do EDNO, mas essa resposta endotélio-dependente é melhorada com a administração de inibidores de AGE. Os AGEs também diminuem a carga elétrica da membrana basal, aumentando a permeabilidade vascular.</w:t>
      </w:r>
    </w:p>
    <w:p>
      <w:pPr>
        <w:pStyle w:val="BodyText"/>
        <w:spacing w:before="69"/>
        <w:ind w:left="0" w:firstLine="0"/>
        <w:jc w:val="left"/>
      </w:pPr>
    </w:p>
    <w:p>
      <w:pPr>
        <w:pStyle w:val="Heading9"/>
        <w:jc w:val="both"/>
      </w:pPr>
      <w:r>
        <w:rPr>
          <w:color w:val="A26108"/>
        </w:rPr>
        <w:t>Microangiopatia</w:t>
      </w:r>
      <w:r>
        <w:rPr>
          <w:color w:val="A26108"/>
          <w:spacing w:val="21"/>
        </w:rPr>
        <w:t> </w:t>
      </w:r>
      <w:r>
        <w:rPr>
          <w:color w:val="A26108"/>
        </w:rPr>
        <w:t>e</w:t>
      </w:r>
      <w:r>
        <w:rPr>
          <w:color w:val="A26108"/>
          <w:spacing w:val="22"/>
        </w:rPr>
        <w:t> </w:t>
      </w:r>
      <w:r>
        <w:rPr>
          <w:color w:val="A26108"/>
          <w:spacing w:val="-2"/>
        </w:rPr>
        <w:t>metabolismo</w:t>
      </w:r>
    </w:p>
    <w:p>
      <w:pPr>
        <w:pStyle w:val="BodyText"/>
        <w:spacing w:line="278" w:lineRule="auto" w:before="116"/>
        <w:ind w:right="487"/>
      </w:pPr>
      <w:r>
        <w:rPr/>
        <w:t>No</w:t>
      </w:r>
      <w:r>
        <w:rPr>
          <w:spacing w:val="-10"/>
        </w:rPr>
        <w:t> </w:t>
      </w:r>
      <w:r>
        <w:rPr/>
        <w:t>diabetes</w:t>
      </w:r>
      <w:r>
        <w:rPr>
          <w:spacing w:val="-3"/>
        </w:rPr>
        <w:t> </w:t>
      </w:r>
      <w:r>
        <w:rPr/>
        <w:t>existe</w:t>
      </w:r>
      <w:r>
        <w:rPr>
          <w:spacing w:val="-12"/>
        </w:rPr>
        <w:t> </w:t>
      </w:r>
      <w:r>
        <w:rPr/>
        <w:t>uma</w:t>
      </w:r>
      <w:r>
        <w:rPr>
          <w:spacing w:val="-12"/>
        </w:rPr>
        <w:t> </w:t>
      </w:r>
      <w:r>
        <w:rPr/>
        <w:t>forma</w:t>
      </w:r>
      <w:r>
        <w:rPr>
          <w:spacing w:val="-12"/>
        </w:rPr>
        <w:t> </w:t>
      </w:r>
      <w:r>
        <w:rPr/>
        <w:t>de</w:t>
      </w:r>
      <w:r>
        <w:rPr>
          <w:spacing w:val="-12"/>
        </w:rPr>
        <w:t> </w:t>
      </w:r>
      <w:r>
        <w:rPr/>
        <w:t>isquemia</w:t>
      </w:r>
      <w:r>
        <w:rPr>
          <w:spacing w:val="-12"/>
        </w:rPr>
        <w:t> </w:t>
      </w:r>
      <w:r>
        <w:rPr/>
        <w:t>tecidual</w:t>
      </w:r>
      <w:r>
        <w:rPr>
          <w:spacing w:val="-7"/>
        </w:rPr>
        <w:t> </w:t>
      </w:r>
      <w:r>
        <w:rPr/>
        <w:t>metabólica</w:t>
      </w:r>
      <w:r>
        <w:rPr>
          <w:spacing w:val="-12"/>
        </w:rPr>
        <w:t> </w:t>
      </w:r>
      <w:r>
        <w:rPr/>
        <w:t>relacionada</w:t>
      </w:r>
      <w:r>
        <w:rPr>
          <w:spacing w:val="-12"/>
        </w:rPr>
        <w:t> </w:t>
      </w:r>
      <w:r>
        <w:rPr/>
        <w:t>com</w:t>
      </w:r>
      <w:r>
        <w:rPr>
          <w:spacing w:val="-10"/>
        </w:rPr>
        <w:t> </w:t>
      </w:r>
      <w:r>
        <w:rPr/>
        <w:t>hiperglicemia.</w:t>
      </w:r>
      <w:r>
        <w:rPr>
          <w:spacing w:val="-3"/>
        </w:rPr>
        <w:t> </w:t>
      </w:r>
      <w:r>
        <w:rPr/>
        <w:t>Estudos</w:t>
      </w:r>
      <w:r>
        <w:rPr>
          <w:spacing w:val="-2"/>
        </w:rPr>
        <w:t> </w:t>
      </w:r>
      <w:r>
        <w:rPr>
          <w:i/>
        </w:rPr>
        <w:t>in</w:t>
      </w:r>
      <w:r>
        <w:rPr>
          <w:i/>
          <w:spacing w:val="-10"/>
        </w:rPr>
        <w:t> </w:t>
      </w:r>
      <w:r>
        <w:rPr>
          <w:i/>
        </w:rPr>
        <w:t>vitro</w:t>
      </w:r>
      <w:r>
        <w:rPr>
          <w:i/>
          <w:spacing w:val="-10"/>
        </w:rPr>
        <w:t> </w:t>
      </w:r>
      <w:r>
        <w:rPr/>
        <w:t>e </w:t>
      </w:r>
      <w:r>
        <w:rPr>
          <w:i/>
        </w:rPr>
        <w:t>in</w:t>
      </w:r>
      <w:r>
        <w:rPr>
          <w:i/>
          <w:spacing w:val="-10"/>
        </w:rPr>
        <w:t> </w:t>
      </w:r>
      <w:r>
        <w:rPr>
          <w:i/>
        </w:rPr>
        <w:t>vivo</w:t>
      </w:r>
      <w:r>
        <w:rPr>
          <w:i/>
          <w:spacing w:val="-3"/>
        </w:rPr>
        <w:t> </w:t>
      </w:r>
      <w:r>
        <w:rPr/>
        <w:t>demonstram</w:t>
      </w:r>
      <w:r>
        <w:rPr>
          <w:spacing w:val="-3"/>
        </w:rPr>
        <w:t> </w:t>
      </w:r>
      <w:r>
        <w:rPr/>
        <w:t>menor utilização</w:t>
      </w:r>
      <w:r>
        <w:rPr>
          <w:spacing w:val="-3"/>
        </w:rPr>
        <w:t> </w:t>
      </w:r>
      <w:r>
        <w:rPr/>
        <w:t>de</w:t>
      </w:r>
      <w:r>
        <w:rPr>
          <w:spacing w:val="-5"/>
        </w:rPr>
        <w:t> </w:t>
      </w:r>
      <w:r>
        <w:rPr/>
        <w:t>oxigênio</w:t>
      </w:r>
      <w:r>
        <w:rPr>
          <w:spacing w:val="-3"/>
        </w:rPr>
        <w:t> </w:t>
      </w:r>
      <w:r>
        <w:rPr/>
        <w:t>tecidual</w:t>
      </w:r>
      <w:r>
        <w:rPr>
          <w:spacing w:val="-1"/>
        </w:rPr>
        <w:t> </w:t>
      </w:r>
      <w:r>
        <w:rPr/>
        <w:t>durante</w:t>
      </w:r>
      <w:r>
        <w:rPr>
          <w:spacing w:val="-5"/>
        </w:rPr>
        <w:t> </w:t>
      </w:r>
      <w:r>
        <w:rPr/>
        <w:t>os episódios agudos de</w:t>
      </w:r>
      <w:r>
        <w:rPr>
          <w:spacing w:val="-5"/>
        </w:rPr>
        <w:t> </w:t>
      </w:r>
      <w:r>
        <w:rPr/>
        <w:t>hiperglicemia</w:t>
      </w:r>
      <w:r>
        <w:rPr>
          <w:spacing w:val="-5"/>
        </w:rPr>
        <w:t> </w:t>
      </w:r>
      <w:r>
        <w:rPr/>
        <w:t>que</w:t>
      </w:r>
      <w:r>
        <w:rPr>
          <w:spacing w:val="-5"/>
        </w:rPr>
        <w:t> </w:t>
      </w:r>
      <w:r>
        <w:rPr/>
        <w:t>parece ser devido à “shuntagem” preferencial da glicose pela via do sorbitol, em vez de fazê-lo por via glicolítica, resultando em menor produção de energia. Esse processo recebeu o nome de “pseudo-hipoxia induzida por hiperglicemia” e está associado a níveis intracelulares elevados de frutose, sorbitol e lactato. Os níveis elevados desses produtos metabólicos correlacionam-se</w:t>
      </w:r>
      <w:r>
        <w:rPr>
          <w:spacing w:val="-9"/>
        </w:rPr>
        <w:t> </w:t>
      </w:r>
      <w:r>
        <w:rPr/>
        <w:t>a</w:t>
      </w:r>
      <w:r>
        <w:rPr>
          <w:spacing w:val="-9"/>
        </w:rPr>
        <w:t> </w:t>
      </w:r>
      <w:r>
        <w:rPr/>
        <w:t>deterioração</w:t>
      </w:r>
      <w:r>
        <w:rPr>
          <w:spacing w:val="-6"/>
        </w:rPr>
        <w:t> </w:t>
      </w:r>
      <w:r>
        <w:rPr/>
        <w:t>da</w:t>
      </w:r>
      <w:r>
        <w:rPr>
          <w:spacing w:val="-9"/>
        </w:rPr>
        <w:t> </w:t>
      </w:r>
      <w:r>
        <w:rPr/>
        <w:t>função</w:t>
      </w:r>
      <w:r>
        <w:rPr>
          <w:spacing w:val="-6"/>
        </w:rPr>
        <w:t> </w:t>
      </w:r>
      <w:r>
        <w:rPr/>
        <w:t>neural, esquelética</w:t>
      </w:r>
      <w:r>
        <w:rPr>
          <w:spacing w:val="-9"/>
        </w:rPr>
        <w:t> </w:t>
      </w:r>
      <w:r>
        <w:rPr/>
        <w:t>e</w:t>
      </w:r>
      <w:r>
        <w:rPr>
          <w:spacing w:val="-9"/>
        </w:rPr>
        <w:t> </w:t>
      </w:r>
      <w:r>
        <w:rPr/>
        <w:t>do</w:t>
      </w:r>
      <w:r>
        <w:rPr>
          <w:spacing w:val="-6"/>
        </w:rPr>
        <w:t> </w:t>
      </w:r>
      <w:r>
        <w:rPr/>
        <w:t>músculo</w:t>
      </w:r>
      <w:r>
        <w:rPr>
          <w:spacing w:val="-6"/>
        </w:rPr>
        <w:t> </w:t>
      </w:r>
      <w:r>
        <w:rPr/>
        <w:t>liso, assim como a maior permeabilidade capilar. Esse bloqueio da utilização do oxigênio poderia explicar por que os diabéticos, precariamente controlados, experimentam maior grau de perda tecidual que os não diabéticos após episódios isquêmicos relativamente</w:t>
      </w:r>
      <w:r>
        <w:rPr>
          <w:spacing w:val="-8"/>
        </w:rPr>
        <w:t> </w:t>
      </w:r>
      <w:r>
        <w:rPr/>
        <w:t>leves. Esses achados poderiam</w:t>
      </w:r>
      <w:r>
        <w:rPr>
          <w:spacing w:val="-6"/>
        </w:rPr>
        <w:t> </w:t>
      </w:r>
      <w:r>
        <w:rPr/>
        <w:t>explicar também</w:t>
      </w:r>
      <w:r>
        <w:rPr>
          <w:spacing w:val="-6"/>
        </w:rPr>
        <w:t> </w:t>
      </w:r>
      <w:r>
        <w:rPr/>
        <w:t>por que</w:t>
      </w:r>
      <w:r>
        <w:rPr>
          <w:spacing w:val="-8"/>
        </w:rPr>
        <w:t> </w:t>
      </w:r>
      <w:r>
        <w:rPr/>
        <w:t>os diabéticos são</w:t>
      </w:r>
      <w:r>
        <w:rPr>
          <w:spacing w:val="-6"/>
        </w:rPr>
        <w:t> </w:t>
      </w:r>
      <w:r>
        <w:rPr/>
        <w:t>mais propensos a apresentar ulcerações nos pés do que os não diabéticos com tensões transcutâneas de oxigênio similares nos pés.</w:t>
      </w:r>
      <w:r>
        <w:rPr>
          <w:vertAlign w:val="superscript"/>
        </w:rPr>
        <w:t>11</w:t>
      </w:r>
      <w:r>
        <w:rPr>
          <w:vertAlign w:val="baseline"/>
        </w:rPr>
        <w:t> Além disso, o aumento da permeabilidade vascular resultante dessa pseudo-hipoxia poderia acelerar a aterogênese por permitir o acesso subendotelial das proteínas e lipídios aterogênicos. Assim, o controle da</w:t>
      </w:r>
      <w:r>
        <w:rPr>
          <w:spacing w:val="-4"/>
          <w:vertAlign w:val="baseline"/>
        </w:rPr>
        <w:t> </w:t>
      </w:r>
      <w:r>
        <w:rPr>
          <w:vertAlign w:val="baseline"/>
        </w:rPr>
        <w:t>hiperglicemia</w:t>
      </w:r>
      <w:r>
        <w:rPr>
          <w:spacing w:val="-4"/>
          <w:vertAlign w:val="baseline"/>
        </w:rPr>
        <w:t> </w:t>
      </w:r>
      <w:r>
        <w:rPr>
          <w:vertAlign w:val="baseline"/>
        </w:rPr>
        <w:t>pode</w:t>
      </w:r>
      <w:r>
        <w:rPr>
          <w:spacing w:val="-4"/>
          <w:vertAlign w:val="baseline"/>
        </w:rPr>
        <w:t> </w:t>
      </w:r>
      <w:r>
        <w:rPr>
          <w:vertAlign w:val="baseline"/>
        </w:rPr>
        <w:t>ser importante</w:t>
      </w:r>
      <w:r>
        <w:rPr>
          <w:spacing w:val="-4"/>
          <w:vertAlign w:val="baseline"/>
        </w:rPr>
        <w:t> </w:t>
      </w:r>
      <w:r>
        <w:rPr>
          <w:vertAlign w:val="baseline"/>
        </w:rPr>
        <w:t>tanto</w:t>
      </w:r>
      <w:r>
        <w:rPr>
          <w:spacing w:val="-1"/>
          <w:vertAlign w:val="baseline"/>
        </w:rPr>
        <w:t> </w:t>
      </w:r>
      <w:r>
        <w:rPr>
          <w:vertAlign w:val="baseline"/>
        </w:rPr>
        <w:t>no</w:t>
      </w:r>
      <w:r>
        <w:rPr>
          <w:spacing w:val="-2"/>
          <w:vertAlign w:val="baseline"/>
        </w:rPr>
        <w:t> </w:t>
      </w:r>
      <w:r>
        <w:rPr>
          <w:vertAlign w:val="baseline"/>
        </w:rPr>
        <w:t>tratamento</w:t>
      </w:r>
      <w:r>
        <w:rPr>
          <w:spacing w:val="-1"/>
          <w:vertAlign w:val="baseline"/>
        </w:rPr>
        <w:t> </w:t>
      </w:r>
      <w:r>
        <w:rPr>
          <w:vertAlign w:val="baseline"/>
        </w:rPr>
        <w:t>quanto</w:t>
      </w:r>
      <w:r>
        <w:rPr>
          <w:spacing w:val="-2"/>
          <w:vertAlign w:val="baseline"/>
        </w:rPr>
        <w:t> </w:t>
      </w:r>
      <w:r>
        <w:rPr>
          <w:vertAlign w:val="baseline"/>
        </w:rPr>
        <w:t>na</w:t>
      </w:r>
      <w:r>
        <w:rPr>
          <w:spacing w:val="-4"/>
          <w:vertAlign w:val="baseline"/>
        </w:rPr>
        <w:t> </w:t>
      </w:r>
      <w:r>
        <w:rPr>
          <w:vertAlign w:val="baseline"/>
        </w:rPr>
        <w:t>cicatrização</w:t>
      </w:r>
      <w:r>
        <w:rPr>
          <w:spacing w:val="-1"/>
          <w:vertAlign w:val="baseline"/>
        </w:rPr>
        <w:t> </w:t>
      </w:r>
      <w:r>
        <w:rPr>
          <w:vertAlign w:val="baseline"/>
        </w:rPr>
        <w:t>das lesões do</w:t>
      </w:r>
      <w:r>
        <w:rPr>
          <w:spacing w:val="-1"/>
          <w:vertAlign w:val="baseline"/>
        </w:rPr>
        <w:t> </w:t>
      </w:r>
      <w:r>
        <w:rPr>
          <w:vertAlign w:val="baseline"/>
        </w:rPr>
        <w:t>pé</w:t>
      </w:r>
      <w:r>
        <w:rPr>
          <w:spacing w:val="-4"/>
          <w:vertAlign w:val="baseline"/>
        </w:rPr>
        <w:t> </w:t>
      </w:r>
      <w:r>
        <w:rPr>
          <w:vertAlign w:val="baseline"/>
        </w:rPr>
        <w:t>diabético.</w:t>
      </w:r>
    </w:p>
    <w:p>
      <w:pPr>
        <w:pStyle w:val="BodyText"/>
        <w:spacing w:line="280" w:lineRule="auto" w:before="32"/>
        <w:ind w:right="497"/>
      </w:pPr>
      <w:r>
        <w:rPr/>
        <w:t>A</w:t>
      </w:r>
      <w:r>
        <w:rPr>
          <w:spacing w:val="-10"/>
        </w:rPr>
        <w:t> </w:t>
      </w:r>
      <w:r>
        <w:rPr/>
        <w:t>hiperglicemia</w:t>
      </w:r>
      <w:r>
        <w:rPr>
          <w:spacing w:val="-10"/>
        </w:rPr>
        <w:t> </w:t>
      </w:r>
      <w:r>
        <w:rPr/>
        <w:t>é</w:t>
      </w:r>
      <w:r>
        <w:rPr>
          <w:spacing w:val="-10"/>
        </w:rPr>
        <w:t> </w:t>
      </w:r>
      <w:r>
        <w:rPr/>
        <w:t>tóxica</w:t>
      </w:r>
      <w:r>
        <w:rPr>
          <w:spacing w:val="-10"/>
        </w:rPr>
        <w:t> </w:t>
      </w:r>
      <w:r>
        <w:rPr/>
        <w:t>para</w:t>
      </w:r>
      <w:r>
        <w:rPr>
          <w:spacing w:val="-10"/>
        </w:rPr>
        <w:t> </w:t>
      </w:r>
      <w:r>
        <w:rPr/>
        <w:t>o</w:t>
      </w:r>
      <w:r>
        <w:rPr>
          <w:spacing w:val="-8"/>
        </w:rPr>
        <w:t> </w:t>
      </w:r>
      <w:r>
        <w:rPr/>
        <w:t>tecido</w:t>
      </w:r>
      <w:r>
        <w:rPr>
          <w:spacing w:val="-8"/>
        </w:rPr>
        <w:t> </w:t>
      </w:r>
      <w:r>
        <w:rPr/>
        <w:t>cerebral</w:t>
      </w:r>
      <w:r>
        <w:rPr>
          <w:spacing w:val="-5"/>
        </w:rPr>
        <w:t> </w:t>
      </w:r>
      <w:r>
        <w:rPr/>
        <w:t>infartado, aumentando</w:t>
      </w:r>
      <w:r>
        <w:rPr>
          <w:spacing w:val="-8"/>
        </w:rPr>
        <w:t> </w:t>
      </w:r>
      <w:r>
        <w:rPr/>
        <w:t>a</w:t>
      </w:r>
      <w:r>
        <w:rPr>
          <w:spacing w:val="-10"/>
        </w:rPr>
        <w:t> </w:t>
      </w:r>
      <w:r>
        <w:rPr/>
        <w:t>gravidade</w:t>
      </w:r>
      <w:r>
        <w:rPr>
          <w:spacing w:val="-10"/>
        </w:rPr>
        <w:t> </w:t>
      </w:r>
      <w:r>
        <w:rPr/>
        <w:t>do</w:t>
      </w:r>
      <w:r>
        <w:rPr>
          <w:spacing w:val="-8"/>
        </w:rPr>
        <w:t> </w:t>
      </w:r>
      <w:r>
        <w:rPr/>
        <w:t>acidente</w:t>
      </w:r>
      <w:r>
        <w:rPr>
          <w:spacing w:val="-10"/>
        </w:rPr>
        <w:t> </w:t>
      </w:r>
      <w:r>
        <w:rPr/>
        <w:t>vascular</w:t>
      </w:r>
      <w:r>
        <w:rPr>
          <w:spacing w:val="-2"/>
        </w:rPr>
        <w:t> </w:t>
      </w:r>
      <w:r>
        <w:rPr/>
        <w:t>cerebral. A hiperglicemia isolada causa diminuição do fluxo sanguíneo e alteração da resposta vasodilatadora cerebral. Este efeito</w:t>
      </w:r>
      <w:r>
        <w:rPr>
          <w:spacing w:val="-6"/>
        </w:rPr>
        <w:t> </w:t>
      </w:r>
      <w:r>
        <w:rPr/>
        <w:t>pode</w:t>
      </w:r>
      <w:r>
        <w:rPr>
          <w:spacing w:val="-8"/>
        </w:rPr>
        <w:t> </w:t>
      </w:r>
      <w:r>
        <w:rPr/>
        <w:t>ser abolido</w:t>
      </w:r>
      <w:r>
        <w:rPr>
          <w:spacing w:val="-6"/>
        </w:rPr>
        <w:t> </w:t>
      </w:r>
      <w:r>
        <w:rPr/>
        <w:t>com</w:t>
      </w:r>
      <w:r>
        <w:rPr>
          <w:spacing w:val="-6"/>
        </w:rPr>
        <w:t> </w:t>
      </w:r>
      <w:r>
        <w:rPr/>
        <w:t>a</w:t>
      </w:r>
      <w:r>
        <w:rPr>
          <w:spacing w:val="-8"/>
        </w:rPr>
        <w:t> </w:t>
      </w:r>
      <w:r>
        <w:rPr/>
        <w:t>retirada</w:t>
      </w:r>
      <w:r>
        <w:rPr>
          <w:spacing w:val="-8"/>
        </w:rPr>
        <w:t> </w:t>
      </w:r>
      <w:r>
        <w:rPr/>
        <w:t>do</w:t>
      </w:r>
      <w:r>
        <w:rPr>
          <w:spacing w:val="-6"/>
        </w:rPr>
        <w:t> </w:t>
      </w:r>
      <w:r>
        <w:rPr/>
        <w:t>endotélio, sugerindo</w:t>
      </w:r>
      <w:r>
        <w:rPr>
          <w:spacing w:val="-6"/>
        </w:rPr>
        <w:t> </w:t>
      </w:r>
      <w:r>
        <w:rPr/>
        <w:t>um</w:t>
      </w:r>
      <w:r>
        <w:rPr>
          <w:spacing w:val="-6"/>
        </w:rPr>
        <w:t> </w:t>
      </w:r>
      <w:r>
        <w:rPr/>
        <w:t>mecanismo</w:t>
      </w:r>
      <w:r>
        <w:rPr>
          <w:spacing w:val="-6"/>
        </w:rPr>
        <w:t> </w:t>
      </w:r>
      <w:r>
        <w:rPr/>
        <w:t>endotélio-dependente</w:t>
      </w:r>
      <w:r>
        <w:rPr>
          <w:spacing w:val="-8"/>
        </w:rPr>
        <w:t> </w:t>
      </w:r>
      <w:r>
        <w:rPr/>
        <w:t>e</w:t>
      </w:r>
      <w:r>
        <w:rPr>
          <w:spacing w:val="-8"/>
        </w:rPr>
        <w:t> </w:t>
      </w:r>
      <w:r>
        <w:rPr/>
        <w:t>óxido</w:t>
      </w:r>
      <w:r>
        <w:rPr>
          <w:spacing w:val="-6"/>
        </w:rPr>
        <w:t> </w:t>
      </w:r>
      <w:r>
        <w:rPr/>
        <w:t>nítrico-dependente.</w:t>
      </w:r>
      <w:r>
        <w:rPr>
          <w:vertAlign w:val="superscript"/>
        </w:rPr>
        <w:t>12</w:t>
      </w:r>
      <w:r>
        <w:rPr>
          <w:spacing w:val="-11"/>
          <w:vertAlign w:val="baseline"/>
        </w:rPr>
        <w:t> </w:t>
      </w:r>
      <w:r>
        <w:rPr>
          <w:vertAlign w:val="baseline"/>
        </w:rPr>
        <w:t>Múltiplas</w:t>
      </w:r>
      <w:r>
        <w:rPr>
          <w:spacing w:val="-7"/>
          <w:vertAlign w:val="baseline"/>
        </w:rPr>
        <w:t> </w:t>
      </w:r>
      <w:r>
        <w:rPr>
          <w:vertAlign w:val="baseline"/>
        </w:rPr>
        <w:t>alterações</w:t>
      </w:r>
      <w:r>
        <w:rPr>
          <w:spacing w:val="-8"/>
          <w:vertAlign w:val="baseline"/>
        </w:rPr>
        <w:t> </w:t>
      </w:r>
      <w:r>
        <w:rPr>
          <w:vertAlign w:val="baseline"/>
        </w:rPr>
        <w:t>metabólicas</w:t>
      </w:r>
      <w:r>
        <w:rPr>
          <w:spacing w:val="-8"/>
          <w:vertAlign w:val="baseline"/>
        </w:rPr>
        <w:t> </w:t>
      </w:r>
      <w:r>
        <w:rPr>
          <w:vertAlign w:val="baseline"/>
        </w:rPr>
        <w:t>também</w:t>
      </w:r>
      <w:r>
        <w:rPr>
          <w:spacing w:val="-14"/>
          <w:vertAlign w:val="baseline"/>
        </w:rPr>
        <w:t> </w:t>
      </w:r>
      <w:r>
        <w:rPr>
          <w:vertAlign w:val="baseline"/>
        </w:rPr>
        <w:t>contribuem</w:t>
      </w:r>
      <w:r>
        <w:rPr>
          <w:spacing w:val="-14"/>
          <w:vertAlign w:val="baseline"/>
        </w:rPr>
        <w:t> </w:t>
      </w:r>
      <w:r>
        <w:rPr>
          <w:vertAlign w:val="baseline"/>
        </w:rPr>
        <w:t>para</w:t>
      </w:r>
      <w:r>
        <w:rPr>
          <w:spacing w:val="-15"/>
          <w:vertAlign w:val="baseline"/>
        </w:rPr>
        <w:t> </w:t>
      </w:r>
      <w:r>
        <w:rPr>
          <w:vertAlign w:val="baseline"/>
        </w:rPr>
        <w:t>piorar</w:t>
      </w:r>
      <w:r>
        <w:rPr>
          <w:spacing w:val="-9"/>
          <w:vertAlign w:val="baseline"/>
        </w:rPr>
        <w:t> </w:t>
      </w:r>
      <w:r>
        <w:rPr>
          <w:vertAlign w:val="baseline"/>
        </w:rPr>
        <w:t>a</w:t>
      </w:r>
      <w:r>
        <w:rPr>
          <w:spacing w:val="-15"/>
          <w:vertAlign w:val="baseline"/>
        </w:rPr>
        <w:t> </w:t>
      </w:r>
      <w:r>
        <w:rPr>
          <w:vertAlign w:val="baseline"/>
        </w:rPr>
        <w:t>evolução</w:t>
      </w:r>
      <w:r>
        <w:rPr>
          <w:spacing w:val="-13"/>
          <w:vertAlign w:val="baseline"/>
        </w:rPr>
        <w:t> </w:t>
      </w:r>
      <w:r>
        <w:rPr>
          <w:vertAlign w:val="baseline"/>
        </w:rPr>
        <w:t>do</w:t>
      </w:r>
      <w:r>
        <w:rPr>
          <w:spacing w:val="-14"/>
          <w:vertAlign w:val="baseline"/>
        </w:rPr>
        <w:t> </w:t>
      </w:r>
      <w:r>
        <w:rPr>
          <w:vertAlign w:val="baseline"/>
        </w:rPr>
        <w:t>episódio</w:t>
      </w:r>
      <w:r>
        <w:rPr>
          <w:spacing w:val="-14"/>
          <w:vertAlign w:val="baseline"/>
        </w:rPr>
        <w:t> </w:t>
      </w:r>
      <w:r>
        <w:rPr>
          <w:vertAlign w:val="baseline"/>
        </w:rPr>
        <w:t>isquêmico</w:t>
      </w:r>
      <w:r>
        <w:rPr>
          <w:spacing w:val="-14"/>
          <w:vertAlign w:val="baseline"/>
        </w:rPr>
        <w:t> </w:t>
      </w:r>
      <w:r>
        <w:rPr>
          <w:vertAlign w:val="baseline"/>
        </w:rPr>
        <w:t>na vigência da hiperglicemia. O metabolismo anaeróbico da glicose durante a isquemia produz lactato e AGEs que se acumulam no cérebro, diminuindo o pH intracelular, o que resulta em morte celular.</w:t>
      </w:r>
      <w:r>
        <w:rPr>
          <w:vertAlign w:val="superscript"/>
        </w:rPr>
        <w:t>12</w:t>
      </w:r>
    </w:p>
    <w:p>
      <w:pPr>
        <w:pStyle w:val="BodyText"/>
        <w:spacing w:before="69"/>
        <w:ind w:left="0" w:firstLine="0"/>
        <w:jc w:val="left"/>
      </w:pPr>
    </w:p>
    <w:p>
      <w:pPr>
        <w:pStyle w:val="Heading9"/>
        <w:spacing w:before="1"/>
        <w:jc w:val="both"/>
      </w:pPr>
      <w:r>
        <w:rPr>
          <w:color w:val="A26108"/>
        </w:rPr>
        <w:t>Neuropatia</w:t>
      </w:r>
      <w:r>
        <w:rPr>
          <w:color w:val="A26108"/>
          <w:spacing w:val="15"/>
        </w:rPr>
        <w:t> </w:t>
      </w:r>
      <w:r>
        <w:rPr>
          <w:color w:val="A26108"/>
        </w:rPr>
        <w:t>e</w:t>
      </w:r>
      <w:r>
        <w:rPr>
          <w:color w:val="A26108"/>
          <w:spacing w:val="15"/>
        </w:rPr>
        <w:t> </w:t>
      </w:r>
      <w:r>
        <w:rPr>
          <w:color w:val="A26108"/>
          <w:spacing w:val="-2"/>
        </w:rPr>
        <w:t>microangiopatia</w:t>
      </w:r>
    </w:p>
    <w:p>
      <w:pPr>
        <w:pStyle w:val="BodyText"/>
        <w:spacing w:line="276" w:lineRule="auto" w:before="116"/>
        <w:ind w:right="488"/>
      </w:pPr>
      <w:r>
        <w:rPr/>
        <w:t>A microangiopatia também tem participação na patogênese da neuropatia diabética. A hiperglicemia induz a conversão</w:t>
      </w:r>
      <w:r>
        <w:rPr>
          <w:spacing w:val="56"/>
        </w:rPr>
        <w:t> </w:t>
      </w:r>
      <w:r>
        <w:rPr/>
        <w:t>de</w:t>
      </w:r>
      <w:r>
        <w:rPr>
          <w:spacing w:val="54"/>
        </w:rPr>
        <w:t> </w:t>
      </w:r>
      <w:r>
        <w:rPr/>
        <w:t>glicose</w:t>
      </w:r>
      <w:r>
        <w:rPr>
          <w:spacing w:val="54"/>
        </w:rPr>
        <w:t> </w:t>
      </w:r>
      <w:r>
        <w:rPr/>
        <w:t>a</w:t>
      </w:r>
      <w:r>
        <w:rPr>
          <w:spacing w:val="54"/>
        </w:rPr>
        <w:t> </w:t>
      </w:r>
      <w:r>
        <w:rPr/>
        <w:t>sorbitol</w:t>
      </w:r>
      <w:r>
        <w:rPr>
          <w:spacing w:val="60"/>
        </w:rPr>
        <w:t> </w:t>
      </w:r>
      <w:r>
        <w:rPr/>
        <w:t>pelo</w:t>
      </w:r>
      <w:r>
        <w:rPr>
          <w:spacing w:val="56"/>
        </w:rPr>
        <w:t> </w:t>
      </w:r>
      <w:r>
        <w:rPr/>
        <w:t>aumento</w:t>
      </w:r>
      <w:r>
        <w:rPr>
          <w:spacing w:val="56"/>
        </w:rPr>
        <w:t> </w:t>
      </w:r>
      <w:r>
        <w:rPr/>
        <w:t>da</w:t>
      </w:r>
      <w:r>
        <w:rPr>
          <w:spacing w:val="54"/>
        </w:rPr>
        <w:t> </w:t>
      </w:r>
      <w:r>
        <w:rPr/>
        <w:t>atividade</w:t>
      </w:r>
      <w:r>
        <w:rPr>
          <w:spacing w:val="54"/>
        </w:rPr>
        <w:t> </w:t>
      </w:r>
      <w:r>
        <w:rPr/>
        <w:t>da</w:t>
      </w:r>
      <w:r>
        <w:rPr>
          <w:spacing w:val="54"/>
        </w:rPr>
        <w:t> </w:t>
      </w:r>
      <w:r>
        <w:rPr/>
        <w:t>aldolase</w:t>
      </w:r>
      <w:r>
        <w:rPr>
          <w:spacing w:val="54"/>
        </w:rPr>
        <w:t> </w:t>
      </w:r>
      <w:r>
        <w:rPr/>
        <w:t>redutase,</w:t>
      </w:r>
      <w:r>
        <w:rPr>
          <w:spacing w:val="66"/>
        </w:rPr>
        <w:t> </w:t>
      </w:r>
      <w:r>
        <w:rPr/>
        <w:t>que</w:t>
      </w:r>
      <w:r>
        <w:rPr>
          <w:spacing w:val="54"/>
        </w:rPr>
        <w:t> </w:t>
      </w:r>
      <w:r>
        <w:rPr/>
        <w:t>impede</w:t>
      </w:r>
      <w:r>
        <w:rPr>
          <w:spacing w:val="54"/>
        </w:rPr>
        <w:t> </w:t>
      </w:r>
      <w:r>
        <w:rPr/>
        <w:t>a</w:t>
      </w:r>
      <w:r>
        <w:rPr>
          <w:spacing w:val="54"/>
        </w:rPr>
        <w:t> </w:t>
      </w:r>
      <w:r>
        <w:rPr/>
        <w:t>captação</w:t>
      </w:r>
      <w:r>
        <w:rPr>
          <w:spacing w:val="56"/>
        </w:rPr>
        <w:t> </w:t>
      </w:r>
      <w:r>
        <w:rPr/>
        <w:t>de</w:t>
      </w:r>
    </w:p>
    <w:p>
      <w:pPr>
        <w:pStyle w:val="BodyText"/>
        <w:spacing w:after="0" w:line="276" w:lineRule="auto"/>
        <w:sectPr>
          <w:pgSz w:w="11900" w:h="16840"/>
          <w:pgMar w:top="140" w:bottom="280" w:left="566" w:right="141"/>
        </w:sectPr>
      </w:pPr>
    </w:p>
    <w:p>
      <w:pPr>
        <w:pStyle w:val="BodyText"/>
        <w:spacing w:line="290" w:lineRule="auto" w:before="83"/>
        <w:ind w:right="497" w:firstLine="0"/>
      </w:pPr>
      <w:r>
        <w:rPr/>
        <w:t>mioinositol pela célula. A diminuição de mioinositol determina diminuição da atividade de Na</w:t>
      </w:r>
      <w:r>
        <w:rPr>
          <w:vertAlign w:val="superscript"/>
        </w:rPr>
        <w:t>+</w:t>
      </w:r>
      <w:r>
        <w:rPr>
          <w:vertAlign w:val="baseline"/>
        </w:rPr>
        <w:t>/K</w:t>
      </w:r>
      <w:r>
        <w:rPr>
          <w:vertAlign w:val="superscript"/>
        </w:rPr>
        <w:t>+</w:t>
      </w:r>
      <w:r>
        <w:rPr>
          <w:vertAlign w:val="baseline"/>
        </w:rPr>
        <w:t>ATPase que resulta em perda da condução elétrica pelo neurônio.</w:t>
      </w:r>
      <w:r>
        <w:rPr>
          <w:vertAlign w:val="superscript"/>
        </w:rPr>
        <w:t>13</w:t>
      </w:r>
    </w:p>
    <w:p>
      <w:pPr>
        <w:pStyle w:val="BodyText"/>
        <w:spacing w:line="283" w:lineRule="auto" w:before="49"/>
        <w:ind w:right="487"/>
      </w:pPr>
      <w:r>
        <w:rPr/>
        <w:t>Existe relação entre neuropatia, microangiopatia e os distúrbios metabólicos do diabetes. Inibidores do EDNO também diminuem a atividade de Na</w:t>
      </w:r>
      <w:r>
        <w:rPr>
          <w:vertAlign w:val="superscript"/>
        </w:rPr>
        <w:t>+</w:t>
      </w:r>
      <w:r>
        <w:rPr>
          <w:vertAlign w:val="baseline"/>
        </w:rPr>
        <w:t>/K</w:t>
      </w:r>
      <w:r>
        <w:rPr>
          <w:vertAlign w:val="superscript"/>
        </w:rPr>
        <w:t>+</w:t>
      </w:r>
      <w:r>
        <w:rPr>
          <w:vertAlign w:val="baseline"/>
        </w:rPr>
        <w:t>ATPase que determinam a diminuição da condução elétrica neural. Essas disfunções são</w:t>
      </w:r>
      <w:r>
        <w:rPr>
          <w:spacing w:val="-7"/>
          <w:vertAlign w:val="baseline"/>
        </w:rPr>
        <w:t> </w:t>
      </w:r>
      <w:r>
        <w:rPr>
          <w:vertAlign w:val="baseline"/>
        </w:rPr>
        <w:t>devidas à</w:t>
      </w:r>
      <w:r>
        <w:rPr>
          <w:spacing w:val="-9"/>
          <w:vertAlign w:val="baseline"/>
        </w:rPr>
        <w:t> </w:t>
      </w:r>
      <w:r>
        <w:rPr>
          <w:vertAlign w:val="baseline"/>
        </w:rPr>
        <w:t>diminuição</w:t>
      </w:r>
      <w:r>
        <w:rPr>
          <w:spacing w:val="-7"/>
          <w:vertAlign w:val="baseline"/>
        </w:rPr>
        <w:t> </w:t>
      </w:r>
      <w:r>
        <w:rPr>
          <w:vertAlign w:val="baseline"/>
        </w:rPr>
        <w:t>do</w:t>
      </w:r>
      <w:r>
        <w:rPr>
          <w:spacing w:val="-7"/>
          <w:vertAlign w:val="baseline"/>
        </w:rPr>
        <w:t> </w:t>
      </w:r>
      <w:r>
        <w:rPr>
          <w:vertAlign w:val="baseline"/>
        </w:rPr>
        <w:t>óxido</w:t>
      </w:r>
      <w:r>
        <w:rPr>
          <w:spacing w:val="-7"/>
          <w:vertAlign w:val="baseline"/>
        </w:rPr>
        <w:t> </w:t>
      </w:r>
      <w:r>
        <w:rPr>
          <w:vertAlign w:val="baseline"/>
        </w:rPr>
        <w:t>nítrico</w:t>
      </w:r>
      <w:r>
        <w:rPr>
          <w:spacing w:val="-7"/>
          <w:vertAlign w:val="baseline"/>
        </w:rPr>
        <w:t> </w:t>
      </w:r>
      <w:r>
        <w:rPr>
          <w:vertAlign w:val="baseline"/>
        </w:rPr>
        <w:t>e</w:t>
      </w:r>
      <w:r>
        <w:rPr>
          <w:spacing w:val="-9"/>
          <w:vertAlign w:val="baseline"/>
        </w:rPr>
        <w:t> </w:t>
      </w:r>
      <w:r>
        <w:rPr>
          <w:vertAlign w:val="baseline"/>
        </w:rPr>
        <w:t>se</w:t>
      </w:r>
      <w:r>
        <w:rPr>
          <w:spacing w:val="-9"/>
          <w:vertAlign w:val="baseline"/>
        </w:rPr>
        <w:t> </w:t>
      </w:r>
      <w:r>
        <w:rPr>
          <w:vertAlign w:val="baseline"/>
        </w:rPr>
        <w:t>correlacionam</w:t>
      </w:r>
      <w:r>
        <w:rPr>
          <w:spacing w:val="-7"/>
          <w:vertAlign w:val="baseline"/>
        </w:rPr>
        <w:t> </w:t>
      </w:r>
      <w:r>
        <w:rPr>
          <w:vertAlign w:val="baseline"/>
        </w:rPr>
        <w:t>com</w:t>
      </w:r>
      <w:r>
        <w:rPr>
          <w:spacing w:val="-7"/>
          <w:vertAlign w:val="baseline"/>
        </w:rPr>
        <w:t> </w:t>
      </w:r>
      <w:r>
        <w:rPr>
          <w:vertAlign w:val="baseline"/>
        </w:rPr>
        <w:t>o</w:t>
      </w:r>
      <w:r>
        <w:rPr>
          <w:spacing w:val="-7"/>
          <w:vertAlign w:val="baseline"/>
        </w:rPr>
        <w:t> </w:t>
      </w:r>
      <w:r>
        <w:rPr>
          <w:vertAlign w:val="baseline"/>
        </w:rPr>
        <w:t>achado</w:t>
      </w:r>
      <w:r>
        <w:rPr>
          <w:spacing w:val="-7"/>
          <w:vertAlign w:val="baseline"/>
        </w:rPr>
        <w:t> </w:t>
      </w:r>
      <w:r>
        <w:rPr>
          <w:vertAlign w:val="baseline"/>
        </w:rPr>
        <w:t>de</w:t>
      </w:r>
      <w:r>
        <w:rPr>
          <w:spacing w:val="-9"/>
          <w:vertAlign w:val="baseline"/>
        </w:rPr>
        <w:t> </w:t>
      </w:r>
      <w:r>
        <w:rPr>
          <w:vertAlign w:val="baseline"/>
        </w:rPr>
        <w:t>níveis reduzidos de</w:t>
      </w:r>
      <w:r>
        <w:rPr>
          <w:spacing w:val="-9"/>
          <w:vertAlign w:val="baseline"/>
        </w:rPr>
        <w:t> </w:t>
      </w:r>
      <w:r>
        <w:rPr>
          <w:vertAlign w:val="baseline"/>
        </w:rPr>
        <w:t>óxido nítrico</w:t>
      </w:r>
      <w:r>
        <w:rPr>
          <w:spacing w:val="-11"/>
          <w:vertAlign w:val="baseline"/>
        </w:rPr>
        <w:t> </w:t>
      </w:r>
      <w:r>
        <w:rPr>
          <w:vertAlign w:val="baseline"/>
        </w:rPr>
        <w:t>sintetase</w:t>
      </w:r>
      <w:r>
        <w:rPr>
          <w:spacing w:val="-13"/>
          <w:vertAlign w:val="baseline"/>
        </w:rPr>
        <w:t> </w:t>
      </w:r>
      <w:r>
        <w:rPr>
          <w:vertAlign w:val="baseline"/>
        </w:rPr>
        <w:t>em</w:t>
      </w:r>
      <w:r>
        <w:rPr>
          <w:spacing w:val="-11"/>
          <w:vertAlign w:val="baseline"/>
        </w:rPr>
        <w:t> </w:t>
      </w:r>
      <w:r>
        <w:rPr>
          <w:vertAlign w:val="baseline"/>
        </w:rPr>
        <w:t>pacientes</w:t>
      </w:r>
      <w:r>
        <w:rPr>
          <w:spacing w:val="-3"/>
          <w:vertAlign w:val="baseline"/>
        </w:rPr>
        <w:t> </w:t>
      </w:r>
      <w:r>
        <w:rPr>
          <w:vertAlign w:val="baseline"/>
        </w:rPr>
        <w:t>com</w:t>
      </w:r>
      <w:r>
        <w:rPr>
          <w:spacing w:val="-11"/>
          <w:vertAlign w:val="baseline"/>
        </w:rPr>
        <w:t> </w:t>
      </w:r>
      <w:r>
        <w:rPr>
          <w:vertAlign w:val="baseline"/>
        </w:rPr>
        <w:t>neuropatia</w:t>
      </w:r>
      <w:r>
        <w:rPr>
          <w:spacing w:val="-13"/>
          <w:vertAlign w:val="baseline"/>
        </w:rPr>
        <w:t> </w:t>
      </w:r>
      <w:r>
        <w:rPr>
          <w:vertAlign w:val="baseline"/>
        </w:rPr>
        <w:t>diabética.</w:t>
      </w:r>
      <w:r>
        <w:rPr>
          <w:spacing w:val="-3"/>
          <w:vertAlign w:val="baseline"/>
        </w:rPr>
        <w:t> </w:t>
      </w:r>
      <w:r>
        <w:rPr>
          <w:vertAlign w:val="baseline"/>
        </w:rPr>
        <w:t>Há</w:t>
      </w:r>
      <w:r>
        <w:rPr>
          <w:spacing w:val="-13"/>
          <w:vertAlign w:val="baseline"/>
        </w:rPr>
        <w:t> </w:t>
      </w:r>
      <w:r>
        <w:rPr>
          <w:vertAlign w:val="baseline"/>
        </w:rPr>
        <w:t>também</w:t>
      </w:r>
      <w:r>
        <w:rPr>
          <w:spacing w:val="-11"/>
          <w:vertAlign w:val="baseline"/>
        </w:rPr>
        <w:t> </w:t>
      </w:r>
      <w:r>
        <w:rPr>
          <w:vertAlign w:val="baseline"/>
        </w:rPr>
        <w:t>hipoxia</w:t>
      </w:r>
      <w:r>
        <w:rPr>
          <w:spacing w:val="-13"/>
          <w:vertAlign w:val="baseline"/>
        </w:rPr>
        <w:t> </w:t>
      </w:r>
      <w:r>
        <w:rPr>
          <w:vertAlign w:val="baseline"/>
        </w:rPr>
        <w:t>neural</w:t>
      </w:r>
      <w:r>
        <w:rPr>
          <w:spacing w:val="-8"/>
          <w:vertAlign w:val="baseline"/>
        </w:rPr>
        <w:t> </w:t>
      </w:r>
      <w:r>
        <w:rPr>
          <w:vertAlign w:val="baseline"/>
        </w:rPr>
        <w:t>como</w:t>
      </w:r>
      <w:r>
        <w:rPr>
          <w:spacing w:val="-11"/>
          <w:vertAlign w:val="baseline"/>
        </w:rPr>
        <w:t> </w:t>
      </w:r>
      <w:r>
        <w:rPr>
          <w:vertAlign w:val="baseline"/>
        </w:rPr>
        <w:t>resultado</w:t>
      </w:r>
      <w:r>
        <w:rPr>
          <w:spacing w:val="-11"/>
          <w:vertAlign w:val="baseline"/>
        </w:rPr>
        <w:t> </w:t>
      </w:r>
      <w:r>
        <w:rPr>
          <w:vertAlign w:val="baseline"/>
        </w:rPr>
        <w:t>da</w:t>
      </w:r>
      <w:r>
        <w:rPr>
          <w:spacing w:val="-13"/>
          <w:vertAlign w:val="baseline"/>
        </w:rPr>
        <w:t> </w:t>
      </w:r>
      <w:r>
        <w:rPr>
          <w:vertAlign w:val="baseline"/>
        </w:rPr>
        <w:t>diminuição</w:t>
      </w:r>
      <w:r>
        <w:rPr>
          <w:spacing w:val="-11"/>
          <w:vertAlign w:val="baseline"/>
        </w:rPr>
        <w:t> </w:t>
      </w:r>
      <w:r>
        <w:rPr>
          <w:vertAlign w:val="baseline"/>
        </w:rPr>
        <w:t>da irrigação endoneural, aumento da</w:t>
      </w:r>
      <w:r>
        <w:rPr>
          <w:spacing w:val="-2"/>
          <w:vertAlign w:val="baseline"/>
        </w:rPr>
        <w:t> </w:t>
      </w:r>
      <w:r>
        <w:rPr>
          <w:vertAlign w:val="baseline"/>
        </w:rPr>
        <w:t>resistência</w:t>
      </w:r>
      <w:r>
        <w:rPr>
          <w:spacing w:val="-2"/>
          <w:vertAlign w:val="baseline"/>
        </w:rPr>
        <w:t> </w:t>
      </w:r>
      <w:r>
        <w:rPr>
          <w:vertAlign w:val="baseline"/>
        </w:rPr>
        <w:t>vascular e</w:t>
      </w:r>
      <w:r>
        <w:rPr>
          <w:spacing w:val="-2"/>
          <w:vertAlign w:val="baseline"/>
        </w:rPr>
        <w:t> </w:t>
      </w:r>
      <w:r>
        <w:rPr>
          <w:vertAlign w:val="baseline"/>
        </w:rPr>
        <w:t>diminuição da</w:t>
      </w:r>
      <w:r>
        <w:rPr>
          <w:spacing w:val="-2"/>
          <w:vertAlign w:val="baseline"/>
        </w:rPr>
        <w:t> </w:t>
      </w:r>
      <w:r>
        <w:rPr>
          <w:vertAlign w:val="baseline"/>
        </w:rPr>
        <w:t>produção de</w:t>
      </w:r>
      <w:r>
        <w:rPr>
          <w:spacing w:val="-2"/>
          <w:vertAlign w:val="baseline"/>
        </w:rPr>
        <w:t> </w:t>
      </w:r>
      <w:r>
        <w:rPr>
          <w:vertAlign w:val="baseline"/>
        </w:rPr>
        <w:t>óxido nítrico.</w:t>
      </w:r>
      <w:r>
        <w:rPr>
          <w:vertAlign w:val="superscript"/>
        </w:rPr>
        <w:t>14</w:t>
      </w:r>
    </w:p>
    <w:p>
      <w:pPr>
        <w:pStyle w:val="BodyText"/>
        <w:spacing w:before="1"/>
        <w:ind w:left="0" w:firstLine="0"/>
        <w:jc w:val="left"/>
      </w:pPr>
    </w:p>
    <w:p>
      <w:pPr>
        <w:pStyle w:val="Heading7"/>
      </w:pPr>
      <w:r>
        <w:rPr>
          <w:color w:val="242B67"/>
          <w:spacing w:val="-2"/>
        </w:rPr>
        <w:t>Macroangiopatia</w:t>
      </w:r>
    </w:p>
    <w:p>
      <w:pPr>
        <w:pStyle w:val="BodyText"/>
        <w:spacing w:line="280" w:lineRule="auto" w:before="126"/>
        <w:ind w:right="488"/>
      </w:pPr>
      <w:r>
        <w:rPr/>
        <w:t>A</w:t>
      </w:r>
      <w:r>
        <w:rPr>
          <w:spacing w:val="-12"/>
        </w:rPr>
        <w:t> </w:t>
      </w:r>
      <w:r>
        <w:rPr/>
        <w:t>doença</w:t>
      </w:r>
      <w:r>
        <w:rPr>
          <w:spacing w:val="-12"/>
        </w:rPr>
        <w:t> </w:t>
      </w:r>
      <w:r>
        <w:rPr/>
        <w:t>aterosclerótica</w:t>
      </w:r>
      <w:r>
        <w:rPr>
          <w:spacing w:val="-12"/>
        </w:rPr>
        <w:t> </w:t>
      </w:r>
      <w:r>
        <w:rPr/>
        <w:t>no</w:t>
      </w:r>
      <w:r>
        <w:rPr>
          <w:spacing w:val="-9"/>
        </w:rPr>
        <w:t> </w:t>
      </w:r>
      <w:r>
        <w:rPr/>
        <w:t>diabético</w:t>
      </w:r>
      <w:r>
        <w:rPr>
          <w:spacing w:val="-9"/>
        </w:rPr>
        <w:t> </w:t>
      </w:r>
      <w:r>
        <w:rPr/>
        <w:t>é</w:t>
      </w:r>
      <w:r>
        <w:rPr>
          <w:spacing w:val="-12"/>
        </w:rPr>
        <w:t> </w:t>
      </w:r>
      <w:r>
        <w:rPr/>
        <w:t>a</w:t>
      </w:r>
      <w:r>
        <w:rPr>
          <w:spacing w:val="-12"/>
        </w:rPr>
        <w:t> </w:t>
      </w:r>
      <w:r>
        <w:rPr/>
        <w:t>mesma</w:t>
      </w:r>
      <w:r>
        <w:rPr>
          <w:spacing w:val="-12"/>
        </w:rPr>
        <w:t> </w:t>
      </w:r>
      <w:r>
        <w:rPr/>
        <w:t>dos</w:t>
      </w:r>
      <w:r>
        <w:rPr>
          <w:spacing w:val="-2"/>
        </w:rPr>
        <w:t> </w:t>
      </w:r>
      <w:r>
        <w:rPr/>
        <w:t>não</w:t>
      </w:r>
      <w:r>
        <w:rPr>
          <w:spacing w:val="-9"/>
        </w:rPr>
        <w:t> </w:t>
      </w:r>
      <w:r>
        <w:rPr/>
        <w:t>diabéticos,</w:t>
      </w:r>
      <w:r>
        <w:rPr>
          <w:spacing w:val="-2"/>
        </w:rPr>
        <w:t> </w:t>
      </w:r>
      <w:r>
        <w:rPr/>
        <w:t>porém,</w:t>
      </w:r>
      <w:r>
        <w:rPr>
          <w:spacing w:val="-2"/>
        </w:rPr>
        <w:t> </w:t>
      </w:r>
      <w:r>
        <w:rPr/>
        <w:t>manifesta-se</w:t>
      </w:r>
      <w:r>
        <w:rPr>
          <w:spacing w:val="-12"/>
        </w:rPr>
        <w:t> </w:t>
      </w:r>
      <w:r>
        <w:rPr/>
        <w:t>em</w:t>
      </w:r>
      <w:r>
        <w:rPr>
          <w:spacing w:val="-9"/>
        </w:rPr>
        <w:t> </w:t>
      </w:r>
      <w:r>
        <w:rPr/>
        <w:t>idade</w:t>
      </w:r>
      <w:r>
        <w:rPr>
          <w:spacing w:val="-12"/>
        </w:rPr>
        <w:t> </w:t>
      </w:r>
      <w:r>
        <w:rPr/>
        <w:t>mais</w:t>
      </w:r>
      <w:r>
        <w:rPr>
          <w:spacing w:val="-2"/>
        </w:rPr>
        <w:t> </w:t>
      </w:r>
      <w:r>
        <w:rPr/>
        <w:t>precoce e tende a acometer vasos periféricos mais distais e menores, geralmente abaixo da região poplítea. A macroangiopatia potencializa a isquemia neural, demonstrando que a revascularização do membro pode estacionar ou retardar a progressão da neuropatia.</w:t>
      </w:r>
      <w:r>
        <w:rPr>
          <w:vertAlign w:val="superscript"/>
        </w:rPr>
        <w:t>15</w:t>
      </w:r>
    </w:p>
    <w:p>
      <w:pPr>
        <w:pStyle w:val="BodyText"/>
        <w:spacing w:before="129"/>
        <w:ind w:left="0" w:firstLine="0"/>
        <w:jc w:val="left"/>
      </w:pPr>
    </w:p>
    <w:p>
      <w:pPr>
        <w:pStyle w:val="Heading5"/>
      </w:pPr>
      <w:r>
        <w:rPr>
          <w:color w:val="A26108"/>
          <w:spacing w:val="-2"/>
        </w:rPr>
        <w:t>Neuropatia</w:t>
      </w:r>
    </w:p>
    <w:p>
      <w:pPr>
        <w:pStyle w:val="BodyText"/>
        <w:spacing w:line="276" w:lineRule="auto" w:before="138"/>
        <w:ind w:right="488"/>
      </w:pPr>
      <w:r>
        <w:rPr/>
        <w:t>O</w:t>
      </w:r>
      <w:r>
        <w:rPr>
          <w:spacing w:val="-4"/>
        </w:rPr>
        <w:t> </w:t>
      </w:r>
      <w:r>
        <w:rPr/>
        <w:t>diabetes altera</w:t>
      </w:r>
      <w:r>
        <w:rPr>
          <w:spacing w:val="-4"/>
        </w:rPr>
        <w:t> </w:t>
      </w:r>
      <w:r>
        <w:rPr/>
        <w:t>o</w:t>
      </w:r>
      <w:r>
        <w:rPr>
          <w:spacing w:val="-1"/>
        </w:rPr>
        <w:t> </w:t>
      </w:r>
      <w:r>
        <w:rPr/>
        <w:t>reflexo</w:t>
      </w:r>
      <w:r>
        <w:rPr>
          <w:spacing w:val="-1"/>
        </w:rPr>
        <w:t> </w:t>
      </w:r>
      <w:r>
        <w:rPr/>
        <w:t>axônico. A</w:t>
      </w:r>
      <w:r>
        <w:rPr>
          <w:spacing w:val="-4"/>
        </w:rPr>
        <w:t> </w:t>
      </w:r>
      <w:r>
        <w:rPr/>
        <w:t>lesão</w:t>
      </w:r>
      <w:r>
        <w:rPr>
          <w:spacing w:val="-1"/>
        </w:rPr>
        <w:t> </w:t>
      </w:r>
      <w:r>
        <w:rPr/>
        <w:t>estimula</w:t>
      </w:r>
      <w:r>
        <w:rPr>
          <w:spacing w:val="-4"/>
        </w:rPr>
        <w:t> </w:t>
      </w:r>
      <w:r>
        <w:rPr/>
        <w:t>as fibras tipo</w:t>
      </w:r>
      <w:r>
        <w:rPr>
          <w:spacing w:val="-1"/>
        </w:rPr>
        <w:t> </w:t>
      </w:r>
      <w:r>
        <w:rPr/>
        <w:t>C nociceptivas, que</w:t>
      </w:r>
      <w:r>
        <w:rPr>
          <w:spacing w:val="-4"/>
        </w:rPr>
        <w:t> </w:t>
      </w:r>
      <w:r>
        <w:rPr/>
        <w:t>levam</w:t>
      </w:r>
      <w:r>
        <w:rPr>
          <w:spacing w:val="-1"/>
        </w:rPr>
        <w:t> </w:t>
      </w:r>
      <w:r>
        <w:rPr/>
        <w:t>o</w:t>
      </w:r>
      <w:r>
        <w:rPr>
          <w:spacing w:val="-1"/>
        </w:rPr>
        <w:t> </w:t>
      </w:r>
      <w:r>
        <w:rPr/>
        <w:t>estímulo</w:t>
      </w:r>
      <w:r>
        <w:rPr>
          <w:spacing w:val="-1"/>
        </w:rPr>
        <w:t> </w:t>
      </w:r>
      <w:r>
        <w:rPr/>
        <w:t>para</w:t>
      </w:r>
      <w:r>
        <w:rPr>
          <w:spacing w:val="-4"/>
        </w:rPr>
        <w:t> </w:t>
      </w:r>
      <w:r>
        <w:rPr/>
        <w:t>a medula espinal (ortodrômico). O reflexo axônico estimula a secreção de várias substâncias ativas, como a substância P e o peptídio calcitonina gene-similar que direta ou indiretamente (pela liberação da histamina pelo mastócito)</w:t>
      </w:r>
      <w:r>
        <w:rPr>
          <w:spacing w:val="-8"/>
        </w:rPr>
        <w:t> </w:t>
      </w:r>
      <w:r>
        <w:rPr/>
        <w:t>promovem</w:t>
      </w:r>
      <w:r>
        <w:rPr>
          <w:spacing w:val="-12"/>
        </w:rPr>
        <w:t> </w:t>
      </w:r>
      <w:r>
        <w:rPr/>
        <w:t>vasodilatação</w:t>
      </w:r>
      <w:r>
        <w:rPr>
          <w:spacing w:val="-12"/>
        </w:rPr>
        <w:t> </w:t>
      </w:r>
      <w:r>
        <w:rPr/>
        <w:t>e</w:t>
      </w:r>
      <w:r>
        <w:rPr>
          <w:spacing w:val="-14"/>
        </w:rPr>
        <w:t> </w:t>
      </w:r>
      <w:r>
        <w:rPr/>
        <w:t>aumentam</w:t>
      </w:r>
      <w:r>
        <w:rPr>
          <w:spacing w:val="-12"/>
        </w:rPr>
        <w:t> </w:t>
      </w:r>
      <w:r>
        <w:rPr/>
        <w:t>a</w:t>
      </w:r>
      <w:r>
        <w:rPr>
          <w:spacing w:val="-14"/>
        </w:rPr>
        <w:t> </w:t>
      </w:r>
      <w:r>
        <w:rPr/>
        <w:t>permeabilidade</w:t>
      </w:r>
      <w:r>
        <w:rPr>
          <w:spacing w:val="-14"/>
        </w:rPr>
        <w:t> </w:t>
      </w:r>
      <w:r>
        <w:rPr/>
        <w:t>capilar.</w:t>
      </w:r>
      <w:r>
        <w:rPr>
          <w:spacing w:val="-6"/>
        </w:rPr>
        <w:t> </w:t>
      </w:r>
      <w:r>
        <w:rPr/>
        <w:t>Esta</w:t>
      </w:r>
      <w:r>
        <w:rPr>
          <w:spacing w:val="-14"/>
        </w:rPr>
        <w:t> </w:t>
      </w:r>
      <w:r>
        <w:rPr/>
        <w:t>resposta</w:t>
      </w:r>
      <w:r>
        <w:rPr>
          <w:spacing w:val="-14"/>
        </w:rPr>
        <w:t> </w:t>
      </w:r>
      <w:r>
        <w:rPr/>
        <w:t>vasodilatadora</w:t>
      </w:r>
      <w:r>
        <w:rPr>
          <w:spacing w:val="-14"/>
        </w:rPr>
        <w:t> </w:t>
      </w:r>
      <w:r>
        <w:rPr/>
        <w:t>neurogênica encontra-se</w:t>
      </w:r>
      <w:r>
        <w:rPr>
          <w:spacing w:val="-2"/>
        </w:rPr>
        <w:t> </w:t>
      </w:r>
      <w:r>
        <w:rPr/>
        <w:t>alterada</w:t>
      </w:r>
      <w:r>
        <w:rPr>
          <w:spacing w:val="-2"/>
        </w:rPr>
        <w:t> </w:t>
      </w:r>
      <w:r>
        <w:rPr/>
        <w:t>no diabetes, diminuindo a</w:t>
      </w:r>
      <w:r>
        <w:rPr>
          <w:spacing w:val="-2"/>
        </w:rPr>
        <w:t> </w:t>
      </w:r>
      <w:r>
        <w:rPr/>
        <w:t>resposta</w:t>
      </w:r>
      <w:r>
        <w:rPr>
          <w:spacing w:val="-2"/>
        </w:rPr>
        <w:t> </w:t>
      </w:r>
      <w:r>
        <w:rPr/>
        <w:t>hiperêmica</w:t>
      </w:r>
      <w:r>
        <w:rPr>
          <w:spacing w:val="-2"/>
        </w:rPr>
        <w:t> </w:t>
      </w:r>
      <w:r>
        <w:rPr/>
        <w:t>sob condições de</w:t>
      </w:r>
      <w:r>
        <w:rPr>
          <w:spacing w:val="-2"/>
        </w:rPr>
        <w:t> </w:t>
      </w:r>
      <w:r>
        <w:rPr/>
        <w:t>lesão e</w:t>
      </w:r>
      <w:r>
        <w:rPr>
          <w:spacing w:val="-2"/>
        </w:rPr>
        <w:t> </w:t>
      </w:r>
      <w:r>
        <w:rPr/>
        <w:t>inflamação.</w:t>
      </w:r>
    </w:p>
    <w:p>
      <w:pPr>
        <w:pStyle w:val="BodyText"/>
        <w:spacing w:line="283" w:lineRule="auto"/>
        <w:ind w:right="488"/>
      </w:pPr>
      <w:r>
        <w:rPr/>
        <w:t>É provável que o ácido linoleico, um precursor das prostaglandinas, tenha um papel na patogênese da neuropatia. Estudos multicêntricos demonstraram que o tratamento com prostaglandina E1 ou com altas doses de ácido</w:t>
      </w:r>
      <w:r>
        <w:rPr>
          <w:spacing w:val="-8"/>
        </w:rPr>
        <w:t> </w:t>
      </w:r>
      <w:r>
        <w:rPr/>
        <w:t>gamalinoleico</w:t>
      </w:r>
      <w:r>
        <w:rPr>
          <w:spacing w:val="-8"/>
        </w:rPr>
        <w:t> </w:t>
      </w:r>
      <w:r>
        <w:rPr/>
        <w:t>estabiliza</w:t>
      </w:r>
      <w:r>
        <w:rPr>
          <w:spacing w:val="-10"/>
        </w:rPr>
        <w:t> </w:t>
      </w:r>
      <w:r>
        <w:rPr/>
        <w:t>e</w:t>
      </w:r>
      <w:r>
        <w:rPr>
          <w:spacing w:val="-10"/>
        </w:rPr>
        <w:t> </w:t>
      </w:r>
      <w:r>
        <w:rPr/>
        <w:t>ocasionalmente</w:t>
      </w:r>
      <w:r>
        <w:rPr>
          <w:spacing w:val="-10"/>
        </w:rPr>
        <w:t> </w:t>
      </w:r>
      <w:r>
        <w:rPr/>
        <w:t>produz</w:t>
      </w:r>
      <w:r>
        <w:rPr>
          <w:spacing w:val="-10"/>
        </w:rPr>
        <w:t> </w:t>
      </w:r>
      <w:r>
        <w:rPr/>
        <w:t>certa</w:t>
      </w:r>
      <w:r>
        <w:rPr>
          <w:spacing w:val="-10"/>
        </w:rPr>
        <w:t> </w:t>
      </w:r>
      <w:r>
        <w:rPr/>
        <w:t>melhora</w:t>
      </w:r>
      <w:r>
        <w:rPr>
          <w:spacing w:val="-10"/>
        </w:rPr>
        <w:t> </w:t>
      </w:r>
      <w:r>
        <w:rPr/>
        <w:t>na</w:t>
      </w:r>
      <w:r>
        <w:rPr>
          <w:spacing w:val="-10"/>
        </w:rPr>
        <w:t> </w:t>
      </w:r>
      <w:r>
        <w:rPr/>
        <w:t>polineuropatia</w:t>
      </w:r>
      <w:r>
        <w:rPr>
          <w:spacing w:val="-10"/>
        </w:rPr>
        <w:t> </w:t>
      </w:r>
      <w:r>
        <w:rPr/>
        <w:t>diabética</w:t>
      </w:r>
      <w:r>
        <w:rPr>
          <w:spacing w:val="-10"/>
        </w:rPr>
        <w:t> </w:t>
      </w:r>
      <w:r>
        <w:rPr/>
        <w:t>leve.</w:t>
      </w:r>
      <w:r>
        <w:rPr>
          <w:vertAlign w:val="superscript"/>
        </w:rPr>
        <w:t>16,17</w:t>
      </w:r>
      <w:r>
        <w:rPr>
          <w:spacing w:val="-7"/>
          <w:vertAlign w:val="baseline"/>
        </w:rPr>
        <w:t> </w:t>
      </w:r>
      <w:r>
        <w:rPr>
          <w:vertAlign w:val="baseline"/>
        </w:rPr>
        <w:t>Também existe</w:t>
      </w:r>
      <w:r>
        <w:rPr>
          <w:spacing w:val="-5"/>
          <w:vertAlign w:val="baseline"/>
        </w:rPr>
        <w:t> </w:t>
      </w:r>
      <w:r>
        <w:rPr>
          <w:vertAlign w:val="baseline"/>
        </w:rPr>
        <w:t>evidência</w:t>
      </w:r>
      <w:r>
        <w:rPr>
          <w:spacing w:val="-5"/>
          <w:vertAlign w:val="baseline"/>
        </w:rPr>
        <w:t> </w:t>
      </w:r>
      <w:r>
        <w:rPr>
          <w:vertAlign w:val="baseline"/>
        </w:rPr>
        <w:t>de</w:t>
      </w:r>
      <w:r>
        <w:rPr>
          <w:spacing w:val="-5"/>
          <w:vertAlign w:val="baseline"/>
        </w:rPr>
        <w:t> </w:t>
      </w:r>
      <w:r>
        <w:rPr>
          <w:vertAlign w:val="baseline"/>
        </w:rPr>
        <w:t>que</w:t>
      </w:r>
      <w:r>
        <w:rPr>
          <w:spacing w:val="-5"/>
          <w:vertAlign w:val="baseline"/>
        </w:rPr>
        <w:t> </w:t>
      </w:r>
      <w:r>
        <w:rPr>
          <w:vertAlign w:val="baseline"/>
        </w:rPr>
        <w:t>um</w:t>
      </w:r>
      <w:r>
        <w:rPr>
          <w:spacing w:val="-2"/>
          <w:vertAlign w:val="baseline"/>
        </w:rPr>
        <w:t> </w:t>
      </w:r>
      <w:r>
        <w:rPr>
          <w:vertAlign w:val="baseline"/>
        </w:rPr>
        <w:t>subgrupo</w:t>
      </w:r>
      <w:r>
        <w:rPr>
          <w:spacing w:val="-2"/>
          <w:vertAlign w:val="baseline"/>
        </w:rPr>
        <w:t> </w:t>
      </w:r>
      <w:r>
        <w:rPr>
          <w:vertAlign w:val="baseline"/>
        </w:rPr>
        <w:t>de</w:t>
      </w:r>
      <w:r>
        <w:rPr>
          <w:spacing w:val="-5"/>
          <w:vertAlign w:val="baseline"/>
        </w:rPr>
        <w:t> </w:t>
      </w:r>
      <w:r>
        <w:rPr>
          <w:vertAlign w:val="baseline"/>
        </w:rPr>
        <w:t>pacientes neuropáticos com</w:t>
      </w:r>
      <w:r>
        <w:rPr>
          <w:spacing w:val="-2"/>
          <w:vertAlign w:val="baseline"/>
        </w:rPr>
        <w:t> </w:t>
      </w:r>
      <w:r>
        <w:rPr>
          <w:vertAlign w:val="baseline"/>
        </w:rPr>
        <w:t>neuropatia</w:t>
      </w:r>
      <w:r>
        <w:rPr>
          <w:spacing w:val="-5"/>
          <w:vertAlign w:val="baseline"/>
        </w:rPr>
        <w:t> </w:t>
      </w:r>
      <w:r>
        <w:rPr>
          <w:vertAlign w:val="baseline"/>
        </w:rPr>
        <w:t>compressiva</w:t>
      </w:r>
      <w:r>
        <w:rPr>
          <w:spacing w:val="-5"/>
          <w:vertAlign w:val="baseline"/>
        </w:rPr>
        <w:t> </w:t>
      </w:r>
      <w:r>
        <w:rPr>
          <w:vertAlign w:val="baseline"/>
        </w:rPr>
        <w:t>concomitante</w:t>
      </w:r>
      <w:r>
        <w:rPr>
          <w:spacing w:val="-5"/>
          <w:vertAlign w:val="baseline"/>
        </w:rPr>
        <w:t> </w:t>
      </w:r>
      <w:r>
        <w:rPr>
          <w:vertAlign w:val="baseline"/>
        </w:rPr>
        <w:t>possa</w:t>
      </w:r>
      <w:r>
        <w:rPr>
          <w:spacing w:val="-5"/>
          <w:vertAlign w:val="baseline"/>
        </w:rPr>
        <w:t> </w:t>
      </w:r>
      <w:r>
        <w:rPr>
          <w:vertAlign w:val="baseline"/>
        </w:rPr>
        <w:t>se beneficiar com a descompressão cirúrgica.</w:t>
      </w:r>
      <w:r>
        <w:rPr>
          <w:vertAlign w:val="superscript"/>
        </w:rPr>
        <w:t>18</w:t>
      </w:r>
    </w:p>
    <w:p>
      <w:pPr>
        <w:pStyle w:val="BodyText"/>
        <w:spacing w:line="276" w:lineRule="auto" w:before="41"/>
        <w:ind w:right="491"/>
      </w:pPr>
      <w:r>
        <w:rPr/>
        <w:t>Independentemente de as manifestações neurológicas decorrerem de neuropatia distal progressiva ou compressiva focal, o resultado final é menor sensibilidade plantar, atrofia dos músculos intrínsecos do pé e ausência de respostas glandulares e vasomotoras autônomas.</w:t>
      </w:r>
    </w:p>
    <w:p>
      <w:pPr>
        <w:pStyle w:val="BodyText"/>
        <w:spacing w:before="186"/>
        <w:ind w:left="0" w:firstLine="0"/>
        <w:jc w:val="left"/>
      </w:pPr>
    </w:p>
    <w:p>
      <w:pPr>
        <w:pStyle w:val="Heading4"/>
      </w:pPr>
      <w:r>
        <w:rPr>
          <w:color w:val="242B67"/>
        </w:rPr>
        <w:t>Manifestações </w:t>
      </w:r>
      <w:r>
        <w:rPr>
          <w:color w:val="242B67"/>
          <w:spacing w:val="-2"/>
        </w:rPr>
        <w:t>clínicas</w:t>
      </w:r>
    </w:p>
    <w:p>
      <w:pPr>
        <w:pStyle w:val="Heading9"/>
        <w:spacing w:before="144"/>
      </w:pPr>
      <w:r>
        <w:rPr>
          <w:color w:val="A26108"/>
        </w:rPr>
        <w:t>Neuropatia</w:t>
      </w:r>
      <w:r>
        <w:rPr>
          <w:color w:val="A26108"/>
          <w:spacing w:val="27"/>
        </w:rPr>
        <w:t> </w:t>
      </w:r>
      <w:r>
        <w:rPr>
          <w:color w:val="A26108"/>
          <w:spacing w:val="-2"/>
        </w:rPr>
        <w:t>periférica</w:t>
      </w:r>
    </w:p>
    <w:p>
      <w:pPr>
        <w:pStyle w:val="BodyText"/>
        <w:spacing w:line="276" w:lineRule="auto" w:before="101"/>
        <w:ind w:right="488"/>
      </w:pPr>
      <w:r>
        <w:rPr/>
        <w:t>A</w:t>
      </w:r>
      <w:r>
        <w:rPr>
          <w:spacing w:val="-14"/>
        </w:rPr>
        <w:t> </w:t>
      </w:r>
      <w:r>
        <w:rPr/>
        <w:t>neuropatia</w:t>
      </w:r>
      <w:r>
        <w:rPr>
          <w:spacing w:val="-14"/>
        </w:rPr>
        <w:t> </w:t>
      </w:r>
      <w:r>
        <w:rPr/>
        <w:t>periférica</w:t>
      </w:r>
      <w:r>
        <w:rPr>
          <w:spacing w:val="-14"/>
        </w:rPr>
        <w:t> </w:t>
      </w:r>
      <w:r>
        <w:rPr/>
        <w:t>favorece</w:t>
      </w:r>
      <w:r>
        <w:rPr>
          <w:spacing w:val="-14"/>
        </w:rPr>
        <w:t> </w:t>
      </w:r>
      <w:r>
        <w:rPr/>
        <w:t>o</w:t>
      </w:r>
      <w:r>
        <w:rPr>
          <w:spacing w:val="-12"/>
        </w:rPr>
        <w:t> </w:t>
      </w:r>
      <w:r>
        <w:rPr/>
        <w:t>aparecimento</w:t>
      </w:r>
      <w:r>
        <w:rPr>
          <w:spacing w:val="-12"/>
        </w:rPr>
        <w:t> </w:t>
      </w:r>
      <w:r>
        <w:rPr/>
        <w:t>de</w:t>
      </w:r>
      <w:r>
        <w:rPr>
          <w:spacing w:val="-14"/>
        </w:rPr>
        <w:t> </w:t>
      </w:r>
      <w:r>
        <w:rPr/>
        <w:t>lesões</w:t>
      </w:r>
      <w:r>
        <w:rPr>
          <w:spacing w:val="-5"/>
        </w:rPr>
        <w:t> </w:t>
      </w:r>
      <w:r>
        <w:rPr/>
        <w:t>que</w:t>
      </w:r>
      <w:r>
        <w:rPr>
          <w:spacing w:val="-14"/>
        </w:rPr>
        <w:t> </w:t>
      </w:r>
      <w:r>
        <w:rPr/>
        <w:t>muitas</w:t>
      </w:r>
      <w:r>
        <w:rPr>
          <w:spacing w:val="-5"/>
        </w:rPr>
        <w:t> </w:t>
      </w:r>
      <w:r>
        <w:rPr/>
        <w:t>vezes</w:t>
      </w:r>
      <w:r>
        <w:rPr>
          <w:spacing w:val="-5"/>
        </w:rPr>
        <w:t> </w:t>
      </w:r>
      <w:r>
        <w:rPr/>
        <w:t>não</w:t>
      </w:r>
      <w:r>
        <w:rPr>
          <w:spacing w:val="-12"/>
        </w:rPr>
        <w:t> </w:t>
      </w:r>
      <w:r>
        <w:rPr/>
        <w:t>são</w:t>
      </w:r>
      <w:r>
        <w:rPr>
          <w:spacing w:val="-12"/>
        </w:rPr>
        <w:t> </w:t>
      </w:r>
      <w:r>
        <w:rPr/>
        <w:t>reconhecidas</w:t>
      </w:r>
      <w:r>
        <w:rPr>
          <w:spacing w:val="-5"/>
        </w:rPr>
        <w:t> </w:t>
      </w:r>
      <w:r>
        <w:rPr/>
        <w:t>pelo</w:t>
      </w:r>
      <w:r>
        <w:rPr>
          <w:spacing w:val="-12"/>
        </w:rPr>
        <w:t> </w:t>
      </w:r>
      <w:r>
        <w:rPr/>
        <w:t>paciente</w:t>
      </w:r>
      <w:r>
        <w:rPr>
          <w:spacing w:val="-14"/>
        </w:rPr>
        <w:t> </w:t>
      </w:r>
      <w:r>
        <w:rPr/>
        <w:t>e potencializam o risco de infecções. Presente em 50 a 60% dos diabéticos e em mais de 80% deles que apresentam lesões, a neuropatia mostra uma relação direta com as lesões tróficas no pé.</w:t>
      </w:r>
    </w:p>
    <w:p>
      <w:pPr>
        <w:pStyle w:val="BodyText"/>
        <w:spacing w:line="276" w:lineRule="auto" w:before="64"/>
        <w:ind w:right="497"/>
      </w:pPr>
      <w:r>
        <w:rPr/>
        <w:t>A incidência de neuropatia aumenta com a duração do diabetes e constitui, talvez, o fator de risco mais importante e de difícil tratamento da doença, podendo ser controlada e retardar sua progressão com bom controle glicêmico. O comprometimento do nervo periférico pode afetar as fibras sensitivas, motoras e autonômicas e, frequentemente, é bilateral e simétrico. Costuma ser um processo lento, podendo se manifestar, de início, por cãibras noturnas e parestesias, evoluindo posteriormente para perda da sensibilidade superficial, profunda e dos reflexos tendinosos. A neuropatia diabética pode ser focal ou difusa, e, nessa última, se incluem três tipos: sensitiva, motora e autonômica.</w:t>
      </w:r>
    </w:p>
    <w:p>
      <w:pPr>
        <w:pStyle w:val="BodyText"/>
        <w:spacing w:before="69"/>
        <w:ind w:left="0" w:firstLine="0"/>
        <w:jc w:val="left"/>
      </w:pPr>
    </w:p>
    <w:p>
      <w:pPr>
        <w:pStyle w:val="Heading9"/>
      </w:pPr>
      <w:r>
        <w:rPr>
          <w:color w:val="A26108"/>
        </w:rPr>
        <w:t>Neuropatia</w:t>
      </w:r>
      <w:r>
        <w:rPr>
          <w:color w:val="A26108"/>
          <w:spacing w:val="27"/>
        </w:rPr>
        <w:t> </w:t>
      </w:r>
      <w:r>
        <w:rPr>
          <w:color w:val="A26108"/>
          <w:spacing w:val="-2"/>
        </w:rPr>
        <w:t>sensitiva</w:t>
      </w:r>
    </w:p>
    <w:p>
      <w:pPr>
        <w:pStyle w:val="BodyText"/>
        <w:spacing w:line="276" w:lineRule="auto" w:before="117"/>
        <w:ind w:right="498"/>
      </w:pPr>
      <w:r>
        <w:rPr/>
        <w:t>O diabético perde a sensibilidade do pé e a capacidade de reagir a traumas químicos, térmicos ou mecânicos, permitindo a progressão de infecções. Concomitantemente, ocorre perda da sensação vibratória. O chamado mal perfurante plantar ou úlcera neurotrófica plantar, por ser indolor, continua a ser traumatizado na deambulação, ampliando-se e terminando por apresentar infecção. Essa lesão é habitualmente vista em extremidades com boa perfusão e com pulsações arteriais normais e pode, também, ter origem em calosidades que se formam em pontos de pressão na região plantar (</w:t>
      </w:r>
      <w:r>
        <w:rPr>
          <w:color w:val="505050"/>
        </w:rPr>
        <w:t>Figura 59.44</w:t>
      </w:r>
      <w:r>
        <w:rPr/>
        <w:t>).</w:t>
      </w:r>
    </w:p>
    <w:p>
      <w:pPr>
        <w:pStyle w:val="BodyText"/>
        <w:spacing w:after="0" w:line="276" w:lineRule="auto"/>
        <w:sectPr>
          <w:pgSz w:w="11900" w:h="16840"/>
          <w:pgMar w:top="120" w:bottom="280" w:left="566" w:right="141"/>
        </w:sectPr>
      </w:pPr>
    </w:p>
    <w:p>
      <w:pPr>
        <w:spacing w:line="240" w:lineRule="auto"/>
        <w:ind w:left="3590" w:right="0" w:firstLine="0"/>
        <w:rPr>
          <w:sz w:val="20"/>
        </w:rPr>
      </w:pPr>
      <w:r>
        <w:rPr>
          <w:sz w:val="20"/>
        </w:rPr>
        <w:drawing>
          <wp:inline distT="0" distB="0" distL="0" distR="0">
            <wp:extent cx="2293147" cy="347538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78" cstate="print"/>
                    <a:stretch>
                      <a:fillRect/>
                    </a:stretch>
                  </pic:blipFill>
                  <pic:spPr>
                    <a:xfrm>
                      <a:off x="0" y="0"/>
                      <a:ext cx="2293147" cy="3475386"/>
                    </a:xfrm>
                    <a:prstGeom prst="rect">
                      <a:avLst/>
                    </a:prstGeom>
                  </pic:spPr>
                </pic:pic>
              </a:graphicData>
            </a:graphic>
          </wp:inline>
        </w:drawing>
      </w:r>
      <w:r>
        <w:rPr>
          <w:sz w:val="20"/>
        </w:rPr>
      </w:r>
    </w:p>
    <w:p>
      <w:pPr>
        <w:spacing w:before="184"/>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9"/>
          <w:sz w:val="19"/>
        </w:rPr>
        <w:t> </w:t>
      </w:r>
      <w:r>
        <w:rPr>
          <w:rFonts w:ascii="Arial" w:hAnsi="Arial"/>
          <w:b/>
          <w:color w:val="242B67"/>
          <w:sz w:val="19"/>
        </w:rPr>
        <w:t>59.44</w:t>
      </w:r>
      <w:r>
        <w:rPr>
          <w:rFonts w:ascii="Arial" w:hAnsi="Arial"/>
          <w:b/>
          <w:color w:val="242B67"/>
          <w:spacing w:val="19"/>
          <w:sz w:val="19"/>
        </w:rPr>
        <w:t> </w:t>
      </w:r>
      <w:r>
        <w:rPr>
          <w:rFonts w:ascii="Microsoft Sans Serif" w:hAnsi="Microsoft Sans Serif"/>
          <w:sz w:val="19"/>
        </w:rPr>
        <w:t>Pé</w:t>
      </w:r>
      <w:r>
        <w:rPr>
          <w:rFonts w:ascii="Microsoft Sans Serif" w:hAnsi="Microsoft Sans Serif"/>
          <w:spacing w:val="21"/>
          <w:sz w:val="19"/>
        </w:rPr>
        <w:t> </w:t>
      </w:r>
      <w:r>
        <w:rPr>
          <w:rFonts w:ascii="Microsoft Sans Serif" w:hAnsi="Microsoft Sans Serif"/>
          <w:sz w:val="19"/>
        </w:rPr>
        <w:t>neuropático</w:t>
      </w:r>
      <w:r>
        <w:rPr>
          <w:rFonts w:ascii="Microsoft Sans Serif" w:hAnsi="Microsoft Sans Serif"/>
          <w:spacing w:val="21"/>
          <w:sz w:val="19"/>
        </w:rPr>
        <w:t> </w:t>
      </w:r>
      <w:r>
        <w:rPr>
          <w:rFonts w:ascii="Microsoft Sans Serif" w:hAnsi="Microsoft Sans Serif"/>
          <w:sz w:val="19"/>
        </w:rPr>
        <w:t>com</w:t>
      </w:r>
      <w:r>
        <w:rPr>
          <w:rFonts w:ascii="Microsoft Sans Serif" w:hAnsi="Microsoft Sans Serif"/>
          <w:spacing w:val="14"/>
          <w:sz w:val="19"/>
        </w:rPr>
        <w:t> </w:t>
      </w:r>
      <w:r>
        <w:rPr>
          <w:rFonts w:ascii="Microsoft Sans Serif" w:hAnsi="Microsoft Sans Serif"/>
          <w:sz w:val="19"/>
        </w:rPr>
        <w:t>alterações</w:t>
      </w:r>
      <w:r>
        <w:rPr>
          <w:rFonts w:ascii="Microsoft Sans Serif" w:hAnsi="Microsoft Sans Serif"/>
          <w:spacing w:val="14"/>
          <w:sz w:val="19"/>
        </w:rPr>
        <w:t> </w:t>
      </w:r>
      <w:r>
        <w:rPr>
          <w:rFonts w:ascii="Microsoft Sans Serif" w:hAnsi="Microsoft Sans Serif"/>
          <w:sz w:val="19"/>
        </w:rPr>
        <w:t>estruturais</w:t>
      </w:r>
      <w:r>
        <w:rPr>
          <w:rFonts w:ascii="Microsoft Sans Serif" w:hAnsi="Microsoft Sans Serif"/>
          <w:spacing w:val="14"/>
          <w:sz w:val="19"/>
        </w:rPr>
        <w:t> </w:t>
      </w:r>
      <w:r>
        <w:rPr>
          <w:rFonts w:ascii="Microsoft Sans Serif" w:hAnsi="Microsoft Sans Serif"/>
          <w:sz w:val="19"/>
        </w:rPr>
        <w:t>acentuadas</w:t>
      </w:r>
      <w:r>
        <w:rPr>
          <w:rFonts w:ascii="Microsoft Sans Serif" w:hAnsi="Microsoft Sans Serif"/>
          <w:spacing w:val="15"/>
          <w:sz w:val="19"/>
        </w:rPr>
        <w:t> </w:t>
      </w:r>
      <w:r>
        <w:rPr>
          <w:rFonts w:ascii="Microsoft Sans Serif" w:hAnsi="Microsoft Sans Serif"/>
          <w:sz w:val="19"/>
        </w:rPr>
        <w:t>e</w:t>
      </w:r>
      <w:r>
        <w:rPr>
          <w:rFonts w:ascii="Microsoft Sans Serif" w:hAnsi="Microsoft Sans Serif"/>
          <w:spacing w:val="21"/>
          <w:sz w:val="19"/>
        </w:rPr>
        <w:t> </w:t>
      </w:r>
      <w:r>
        <w:rPr>
          <w:rFonts w:ascii="Microsoft Sans Serif" w:hAnsi="Microsoft Sans Serif"/>
          <w:sz w:val="19"/>
        </w:rPr>
        <w:t>úlceras</w:t>
      </w:r>
      <w:r>
        <w:rPr>
          <w:rFonts w:ascii="Microsoft Sans Serif" w:hAnsi="Microsoft Sans Serif"/>
          <w:spacing w:val="14"/>
          <w:sz w:val="19"/>
        </w:rPr>
        <w:t> </w:t>
      </w:r>
      <w:r>
        <w:rPr>
          <w:rFonts w:ascii="Microsoft Sans Serif" w:hAnsi="Microsoft Sans Serif"/>
          <w:sz w:val="19"/>
        </w:rPr>
        <w:t>neurotróficas</w:t>
      </w:r>
      <w:r>
        <w:rPr>
          <w:rFonts w:ascii="Microsoft Sans Serif" w:hAnsi="Microsoft Sans Serif"/>
          <w:spacing w:val="14"/>
          <w:sz w:val="19"/>
        </w:rPr>
        <w:t> </w:t>
      </w:r>
      <w:r>
        <w:rPr>
          <w:rFonts w:ascii="Microsoft Sans Serif" w:hAnsi="Microsoft Sans Serif"/>
          <w:spacing w:val="-2"/>
          <w:sz w:val="19"/>
        </w:rPr>
        <w:t>plantares.</w:t>
      </w:r>
    </w:p>
    <w:p>
      <w:pPr>
        <w:pStyle w:val="BodyText"/>
        <w:spacing w:before="106"/>
        <w:ind w:left="0" w:firstLine="0"/>
        <w:jc w:val="left"/>
        <w:rPr>
          <w:rFonts w:ascii="Microsoft Sans Serif"/>
          <w:sz w:val="19"/>
        </w:rPr>
      </w:pPr>
    </w:p>
    <w:p>
      <w:pPr>
        <w:pStyle w:val="BodyText"/>
        <w:spacing w:line="276" w:lineRule="auto" w:before="0"/>
        <w:ind w:right="488"/>
      </w:pPr>
      <w:r>
        <w:rPr/>
        <w:t>Por outro</w:t>
      </w:r>
      <w:r>
        <w:rPr>
          <w:spacing w:val="-4"/>
        </w:rPr>
        <w:t> </w:t>
      </w:r>
      <w:r>
        <w:rPr/>
        <w:t>lado, a</w:t>
      </w:r>
      <w:r>
        <w:rPr>
          <w:spacing w:val="-7"/>
        </w:rPr>
        <w:t> </w:t>
      </w:r>
      <w:r>
        <w:rPr/>
        <w:t>neuropatia</w:t>
      </w:r>
      <w:r>
        <w:rPr>
          <w:spacing w:val="-7"/>
        </w:rPr>
        <w:t> </w:t>
      </w:r>
      <w:r>
        <w:rPr/>
        <w:t>sensitiva</w:t>
      </w:r>
      <w:r>
        <w:rPr>
          <w:spacing w:val="-7"/>
        </w:rPr>
        <w:t> </w:t>
      </w:r>
      <w:r>
        <w:rPr/>
        <w:t>pode, em</w:t>
      </w:r>
      <w:r>
        <w:rPr>
          <w:spacing w:val="-4"/>
        </w:rPr>
        <w:t> </w:t>
      </w:r>
      <w:r>
        <w:rPr/>
        <w:t>alguns casos, cursar com</w:t>
      </w:r>
      <w:r>
        <w:rPr>
          <w:spacing w:val="-4"/>
        </w:rPr>
        <w:t> </w:t>
      </w:r>
      <w:r>
        <w:rPr/>
        <w:t>dor e</w:t>
      </w:r>
      <w:r>
        <w:rPr>
          <w:spacing w:val="-7"/>
        </w:rPr>
        <w:t> </w:t>
      </w:r>
      <w:r>
        <w:rPr/>
        <w:t>parestesias. Quando</w:t>
      </w:r>
      <w:r>
        <w:rPr>
          <w:spacing w:val="-4"/>
        </w:rPr>
        <w:t> </w:t>
      </w:r>
      <w:r>
        <w:rPr/>
        <w:t>há</w:t>
      </w:r>
      <w:r>
        <w:rPr>
          <w:spacing w:val="-7"/>
        </w:rPr>
        <w:t> </w:t>
      </w:r>
      <w:r>
        <w:rPr/>
        <w:t>dor, ela</w:t>
      </w:r>
      <w:r>
        <w:rPr>
          <w:spacing w:val="-7"/>
        </w:rPr>
        <w:t> </w:t>
      </w:r>
      <w:r>
        <w:rPr/>
        <w:t>é geralmente intensa e predominantemente noturna, tendo muitas vezes caráter de queimação e melhorando com o caminhar, diferentemente da dor de insuficiência arterial. Pode, também, existir hiperestesia cutânea no pé e na perna, que</w:t>
      </w:r>
      <w:r>
        <w:rPr>
          <w:spacing w:val="-1"/>
        </w:rPr>
        <w:t> </w:t>
      </w:r>
      <w:r>
        <w:rPr/>
        <w:t>faz</w:t>
      </w:r>
      <w:r>
        <w:rPr>
          <w:spacing w:val="-1"/>
        </w:rPr>
        <w:t> </w:t>
      </w:r>
      <w:r>
        <w:rPr/>
        <w:t>com que</w:t>
      </w:r>
      <w:r>
        <w:rPr>
          <w:spacing w:val="-1"/>
        </w:rPr>
        <w:t> </w:t>
      </w:r>
      <w:r>
        <w:rPr/>
        <w:t>o paciente</w:t>
      </w:r>
      <w:r>
        <w:rPr>
          <w:spacing w:val="-1"/>
        </w:rPr>
        <w:t> </w:t>
      </w:r>
      <w:r>
        <w:rPr/>
        <w:t>não tolere</w:t>
      </w:r>
      <w:r>
        <w:rPr>
          <w:spacing w:val="-1"/>
        </w:rPr>
        <w:t> </w:t>
      </w:r>
      <w:r>
        <w:rPr/>
        <w:t>um simples toque</w:t>
      </w:r>
      <w:r>
        <w:rPr>
          <w:spacing w:val="-1"/>
        </w:rPr>
        <w:t> </w:t>
      </w:r>
      <w:r>
        <w:rPr/>
        <w:t>ou o roçar da</w:t>
      </w:r>
      <w:r>
        <w:rPr>
          <w:spacing w:val="-1"/>
        </w:rPr>
        <w:t> </w:t>
      </w:r>
      <w:r>
        <w:rPr/>
        <w:t>roupa</w:t>
      </w:r>
      <w:r>
        <w:rPr>
          <w:spacing w:val="-1"/>
        </w:rPr>
        <w:t> </w:t>
      </w:r>
      <w:r>
        <w:rPr/>
        <w:t>ou lençol nessas regiões.</w:t>
      </w:r>
    </w:p>
    <w:p>
      <w:pPr>
        <w:pStyle w:val="BodyText"/>
        <w:spacing w:before="69"/>
        <w:ind w:left="0" w:firstLine="0"/>
        <w:jc w:val="left"/>
      </w:pPr>
    </w:p>
    <w:p>
      <w:pPr>
        <w:pStyle w:val="Heading9"/>
      </w:pPr>
      <w:r>
        <w:rPr>
          <w:color w:val="A26108"/>
        </w:rPr>
        <w:t>Neuropatia</w:t>
      </w:r>
      <w:r>
        <w:rPr>
          <w:color w:val="A26108"/>
          <w:spacing w:val="27"/>
        </w:rPr>
        <w:t> </w:t>
      </w:r>
      <w:r>
        <w:rPr>
          <w:color w:val="A26108"/>
          <w:spacing w:val="-2"/>
        </w:rPr>
        <w:t>motora</w:t>
      </w:r>
    </w:p>
    <w:p>
      <w:pPr>
        <w:pStyle w:val="BodyText"/>
        <w:spacing w:line="276" w:lineRule="auto" w:before="116"/>
        <w:ind w:right="497"/>
      </w:pPr>
      <w:r>
        <w:rPr/>
        <w:t>Há</w:t>
      </w:r>
      <w:r>
        <w:rPr>
          <w:spacing w:val="-7"/>
        </w:rPr>
        <w:t> </w:t>
      </w:r>
      <w:r>
        <w:rPr/>
        <w:t>perda</w:t>
      </w:r>
      <w:r>
        <w:rPr>
          <w:spacing w:val="-7"/>
        </w:rPr>
        <w:t> </w:t>
      </w:r>
      <w:r>
        <w:rPr/>
        <w:t>de</w:t>
      </w:r>
      <w:r>
        <w:rPr>
          <w:spacing w:val="-7"/>
        </w:rPr>
        <w:t> </w:t>
      </w:r>
      <w:r>
        <w:rPr/>
        <w:t>força</w:t>
      </w:r>
      <w:r>
        <w:rPr>
          <w:spacing w:val="-7"/>
        </w:rPr>
        <w:t> </w:t>
      </w:r>
      <w:r>
        <w:rPr/>
        <w:t>e</w:t>
      </w:r>
      <w:r>
        <w:rPr>
          <w:spacing w:val="-7"/>
        </w:rPr>
        <w:t> </w:t>
      </w:r>
      <w:r>
        <w:rPr/>
        <w:t>ulterior atrofia</w:t>
      </w:r>
      <w:r>
        <w:rPr>
          <w:spacing w:val="-7"/>
        </w:rPr>
        <w:t> </w:t>
      </w:r>
      <w:r>
        <w:rPr/>
        <w:t>dos músculos intrínsecos (lumbricais e</w:t>
      </w:r>
      <w:r>
        <w:rPr>
          <w:spacing w:val="-7"/>
        </w:rPr>
        <w:t> </w:t>
      </w:r>
      <w:r>
        <w:rPr/>
        <w:t>interósseos) do</w:t>
      </w:r>
      <w:r>
        <w:rPr>
          <w:spacing w:val="-4"/>
        </w:rPr>
        <w:t> </w:t>
      </w:r>
      <w:r>
        <w:rPr/>
        <w:t>pé</w:t>
      </w:r>
      <w:r>
        <w:rPr>
          <w:spacing w:val="-7"/>
        </w:rPr>
        <w:t> </w:t>
      </w:r>
      <w:r>
        <w:rPr/>
        <w:t>que</w:t>
      </w:r>
      <w:r>
        <w:rPr>
          <w:spacing w:val="-7"/>
        </w:rPr>
        <w:t> </w:t>
      </w:r>
      <w:r>
        <w:rPr/>
        <w:t>estabilizam</w:t>
      </w:r>
      <w:r>
        <w:rPr>
          <w:spacing w:val="-4"/>
        </w:rPr>
        <w:t> </w:t>
      </w:r>
      <w:r>
        <w:rPr/>
        <w:t>os dedos, produzindo desequilíbrios tendinosos e resultando em deformidades ósseas, dedos em martelo, com proeminência das cabeças dos metatarsianos e do calcâneo. As articulações comprometidas apresentam-se aumentadas de</w:t>
      </w:r>
      <w:r>
        <w:rPr>
          <w:spacing w:val="-7"/>
        </w:rPr>
        <w:t> </w:t>
      </w:r>
      <w:r>
        <w:rPr/>
        <w:t>volume</w:t>
      </w:r>
      <w:r>
        <w:rPr>
          <w:spacing w:val="-7"/>
        </w:rPr>
        <w:t> </w:t>
      </w:r>
      <w:r>
        <w:rPr/>
        <w:t>e</w:t>
      </w:r>
      <w:r>
        <w:rPr>
          <w:spacing w:val="-7"/>
        </w:rPr>
        <w:t> </w:t>
      </w:r>
      <w:r>
        <w:rPr/>
        <w:t>indolores e</w:t>
      </w:r>
      <w:r>
        <w:rPr>
          <w:spacing w:val="-7"/>
        </w:rPr>
        <w:t> </w:t>
      </w:r>
      <w:r>
        <w:rPr/>
        <w:t>o</w:t>
      </w:r>
      <w:r>
        <w:rPr>
          <w:spacing w:val="-5"/>
        </w:rPr>
        <w:t> </w:t>
      </w:r>
      <w:r>
        <w:rPr/>
        <w:t>pé</w:t>
      </w:r>
      <w:r>
        <w:rPr>
          <w:spacing w:val="-7"/>
        </w:rPr>
        <w:t> </w:t>
      </w:r>
      <w:r>
        <w:rPr/>
        <w:t>torna-se</w:t>
      </w:r>
      <w:r>
        <w:rPr>
          <w:spacing w:val="-7"/>
        </w:rPr>
        <w:t> </w:t>
      </w:r>
      <w:r>
        <w:rPr/>
        <w:t>edemaciado, mais curto</w:t>
      </w:r>
      <w:r>
        <w:rPr>
          <w:spacing w:val="-5"/>
        </w:rPr>
        <w:t> </w:t>
      </w:r>
      <w:r>
        <w:rPr/>
        <w:t>e</w:t>
      </w:r>
      <w:r>
        <w:rPr>
          <w:spacing w:val="-7"/>
        </w:rPr>
        <w:t> </w:t>
      </w:r>
      <w:r>
        <w:rPr/>
        <w:t>mais largo</w:t>
      </w:r>
      <w:r>
        <w:rPr>
          <w:spacing w:val="-5"/>
        </w:rPr>
        <w:t> </w:t>
      </w:r>
      <w:r>
        <w:rPr/>
        <w:t>e</w:t>
      </w:r>
      <w:r>
        <w:rPr>
          <w:spacing w:val="-7"/>
        </w:rPr>
        <w:t> </w:t>
      </w:r>
      <w:r>
        <w:rPr/>
        <w:t>o</w:t>
      </w:r>
      <w:r>
        <w:rPr>
          <w:spacing w:val="-5"/>
        </w:rPr>
        <w:t> </w:t>
      </w:r>
      <w:r>
        <w:rPr/>
        <w:t>arco</w:t>
      </w:r>
      <w:r>
        <w:rPr>
          <w:spacing w:val="-5"/>
        </w:rPr>
        <w:t> </w:t>
      </w:r>
      <w:r>
        <w:rPr/>
        <w:t>longitudinal</w:t>
      </w:r>
      <w:r>
        <w:rPr>
          <w:spacing w:val="-2"/>
        </w:rPr>
        <w:t> </w:t>
      </w:r>
      <w:r>
        <w:rPr/>
        <w:t>desaba (</w:t>
      </w:r>
      <w:r>
        <w:rPr>
          <w:color w:val="505050"/>
        </w:rPr>
        <w:t>Figura</w:t>
      </w:r>
      <w:r>
        <w:rPr>
          <w:color w:val="505050"/>
          <w:spacing w:val="-10"/>
        </w:rPr>
        <w:t> </w:t>
      </w:r>
      <w:r>
        <w:rPr>
          <w:color w:val="505050"/>
        </w:rPr>
        <w:t>59.45</w:t>
      </w:r>
      <w:r>
        <w:rPr/>
        <w:t>). Essas alterações acabam evoluindo para</w:t>
      </w:r>
      <w:r>
        <w:rPr>
          <w:spacing w:val="-3"/>
        </w:rPr>
        <w:t> </w:t>
      </w:r>
      <w:r>
        <w:rPr/>
        <w:t>a</w:t>
      </w:r>
      <w:r>
        <w:rPr>
          <w:spacing w:val="-3"/>
        </w:rPr>
        <w:t> </w:t>
      </w:r>
      <w:r>
        <w:rPr/>
        <w:t>chamada</w:t>
      </w:r>
      <w:r>
        <w:rPr>
          <w:spacing w:val="-3"/>
        </w:rPr>
        <w:t> </w:t>
      </w:r>
      <w:r>
        <w:rPr>
          <w:i/>
        </w:rPr>
        <w:t>neuroartropatia de</w:t>
      </w:r>
      <w:r>
        <w:rPr>
          <w:i/>
          <w:spacing w:val="-3"/>
        </w:rPr>
        <w:t> </w:t>
      </w:r>
      <w:r>
        <w:rPr>
          <w:i/>
        </w:rPr>
        <w:t>Charcot </w:t>
      </w:r>
      <w:r>
        <w:rPr/>
        <w:t>com queda</w:t>
      </w:r>
      <w:r>
        <w:rPr>
          <w:spacing w:val="-3"/>
        </w:rPr>
        <w:t> </w:t>
      </w:r>
      <w:r>
        <w:rPr/>
        <w:t>do arco plantar e deslocamentos ósseos que expõem as cabeças dos metatarsos a traumatismos excessivos e desviam a região do pé responsável pela sustentação de uma área protegida para uma área desprotegida da superfície plantar, criando rearranjos ósseos e vários novos pontos de pressão sujeitos a lesões de estresse mecânico repetitivo, com risco de formar calosidades que posteriormente inflamam e ulceram.</w:t>
      </w:r>
    </w:p>
    <w:p>
      <w:pPr>
        <w:pStyle w:val="BodyText"/>
        <w:spacing w:before="70"/>
        <w:ind w:left="0" w:firstLine="0"/>
        <w:jc w:val="left"/>
      </w:pPr>
    </w:p>
    <w:p>
      <w:pPr>
        <w:pStyle w:val="Heading9"/>
      </w:pPr>
      <w:r>
        <w:rPr>
          <w:color w:val="A26108"/>
        </w:rPr>
        <w:t>Neuropatia</w:t>
      </w:r>
      <w:r>
        <w:rPr>
          <w:color w:val="A26108"/>
          <w:spacing w:val="27"/>
        </w:rPr>
        <w:t> </w:t>
      </w:r>
      <w:r>
        <w:rPr>
          <w:color w:val="A26108"/>
          <w:spacing w:val="-2"/>
        </w:rPr>
        <w:t>autonômica</w:t>
      </w:r>
    </w:p>
    <w:p>
      <w:pPr>
        <w:pStyle w:val="BodyText"/>
        <w:spacing w:line="276" w:lineRule="auto" w:before="101"/>
        <w:ind w:right="488"/>
      </w:pPr>
      <w:r>
        <w:rPr/>
        <w:t>Há diminuição na produção de suor, ficando, então, a pele seca, hiperqueratótica, com tendência a fissuras que oferecem uma porta de entrada às bactérias. A perda do tônus simpático diminui a resistência dos pequenos vasos da pele e promove abertura das comunicações arteriovenosas, determinando venodilatação, insuficiência venosa e edema que facilitam a infecção. A anidrose do pé costuma ser quente apesar de, muitas vezes, haver obstruções arteriais e ausência de pulsos distais, caracterizando um pé autossimpatectomizado.</w:t>
      </w:r>
    </w:p>
    <w:p>
      <w:pPr>
        <w:pStyle w:val="BodyText"/>
        <w:spacing w:before="68"/>
        <w:ind w:left="0" w:firstLine="0"/>
        <w:jc w:val="left"/>
      </w:pPr>
    </w:p>
    <w:p>
      <w:pPr>
        <w:pStyle w:val="Heading9"/>
      </w:pPr>
      <w:r>
        <w:rPr>
          <w:color w:val="A26108"/>
        </w:rPr>
        <w:t>Vasculopatia</w:t>
      </w:r>
      <w:r>
        <w:rPr>
          <w:color w:val="A26108"/>
          <w:spacing w:val="31"/>
        </w:rPr>
        <w:t> </w:t>
      </w:r>
      <w:r>
        <w:rPr>
          <w:color w:val="A26108"/>
          <w:spacing w:val="-2"/>
        </w:rPr>
        <w:t>periférica</w:t>
      </w:r>
    </w:p>
    <w:p>
      <w:pPr>
        <w:pStyle w:val="BodyText"/>
        <w:spacing w:line="276" w:lineRule="auto" w:before="117"/>
        <w:ind w:right="497"/>
      </w:pPr>
      <w:r>
        <w:rPr/>
        <w:t>A</w:t>
      </w:r>
      <w:r>
        <w:rPr>
          <w:spacing w:val="-2"/>
        </w:rPr>
        <w:t> </w:t>
      </w:r>
      <w:r>
        <w:rPr/>
        <w:t>doença</w:t>
      </w:r>
      <w:r>
        <w:rPr>
          <w:spacing w:val="-2"/>
        </w:rPr>
        <w:t> </w:t>
      </w:r>
      <w:r>
        <w:rPr/>
        <w:t>arterial periférica</w:t>
      </w:r>
      <w:r>
        <w:rPr>
          <w:spacing w:val="-2"/>
        </w:rPr>
        <w:t> </w:t>
      </w:r>
      <w:r>
        <w:rPr/>
        <w:t>ocorre</w:t>
      </w:r>
      <w:r>
        <w:rPr>
          <w:spacing w:val="-2"/>
        </w:rPr>
        <w:t> </w:t>
      </w:r>
      <w:r>
        <w:rPr/>
        <w:t>em mais de</w:t>
      </w:r>
      <w:r>
        <w:rPr>
          <w:spacing w:val="-2"/>
        </w:rPr>
        <w:t> </w:t>
      </w:r>
      <w:r>
        <w:rPr/>
        <w:t>50% dos diabéticos com 10 a</w:t>
      </w:r>
      <w:r>
        <w:rPr>
          <w:spacing w:val="-2"/>
        </w:rPr>
        <w:t> </w:t>
      </w:r>
      <w:r>
        <w:rPr/>
        <w:t>15 anos da</w:t>
      </w:r>
      <w:r>
        <w:rPr>
          <w:spacing w:val="-2"/>
        </w:rPr>
        <w:t> </w:t>
      </w:r>
      <w:r>
        <w:rPr/>
        <w:t>doença. Em diabéticos que haviam sido diagnosticados há menos de 1 ano, constatou-se que 2% apresentavam calcificações arteriais nos membros inferiores, evidenciadas nas radiografias simples e</w:t>
      </w:r>
      <w:r>
        <w:rPr>
          <w:spacing w:val="-2"/>
        </w:rPr>
        <w:t> </w:t>
      </w:r>
      <w:r>
        <w:rPr/>
        <w:t>em 13% um ou mais pulsos podais estavam ausentes. A</w:t>
      </w:r>
      <w:r>
        <w:rPr>
          <w:spacing w:val="-9"/>
        </w:rPr>
        <w:t> </w:t>
      </w:r>
      <w:r>
        <w:rPr/>
        <w:t>insuficiência</w:t>
      </w:r>
      <w:r>
        <w:rPr>
          <w:spacing w:val="-9"/>
        </w:rPr>
        <w:t> </w:t>
      </w:r>
      <w:r>
        <w:rPr/>
        <w:t>arterial</w:t>
      </w:r>
      <w:r>
        <w:rPr>
          <w:spacing w:val="-4"/>
        </w:rPr>
        <w:t> </w:t>
      </w:r>
      <w:r>
        <w:rPr/>
        <w:t>está</w:t>
      </w:r>
      <w:r>
        <w:rPr>
          <w:spacing w:val="-9"/>
        </w:rPr>
        <w:t> </w:t>
      </w:r>
      <w:r>
        <w:rPr/>
        <w:t>presente</w:t>
      </w:r>
      <w:r>
        <w:rPr>
          <w:spacing w:val="-9"/>
        </w:rPr>
        <w:t> </w:t>
      </w:r>
      <w:r>
        <w:rPr/>
        <w:t>em</w:t>
      </w:r>
      <w:r>
        <w:rPr>
          <w:spacing w:val="-6"/>
        </w:rPr>
        <w:t> </w:t>
      </w:r>
      <w:r>
        <w:rPr/>
        <w:t>60%</w:t>
      </w:r>
      <w:r>
        <w:rPr>
          <w:spacing w:val="-4"/>
        </w:rPr>
        <w:t> </w:t>
      </w:r>
      <w:r>
        <w:rPr/>
        <w:t>dos pacientes que</w:t>
      </w:r>
      <w:r>
        <w:rPr>
          <w:spacing w:val="-9"/>
        </w:rPr>
        <w:t> </w:t>
      </w:r>
      <w:r>
        <w:rPr/>
        <w:t>apresentam</w:t>
      </w:r>
      <w:r>
        <w:rPr>
          <w:spacing w:val="-6"/>
        </w:rPr>
        <w:t> </w:t>
      </w:r>
      <w:r>
        <w:rPr/>
        <w:t>úlceras de</w:t>
      </w:r>
      <w:r>
        <w:rPr>
          <w:spacing w:val="-9"/>
        </w:rPr>
        <w:t> </w:t>
      </w:r>
      <w:r>
        <w:rPr/>
        <w:t>difícil</w:t>
      </w:r>
      <w:r>
        <w:rPr>
          <w:spacing w:val="-4"/>
        </w:rPr>
        <w:t> </w:t>
      </w:r>
      <w:r>
        <w:rPr/>
        <w:t>cicatrização</w:t>
      </w:r>
      <w:r>
        <w:rPr>
          <w:spacing w:val="-6"/>
        </w:rPr>
        <w:t> </w:t>
      </w:r>
      <w:r>
        <w:rPr/>
        <w:t>e</w:t>
      </w:r>
      <w:r>
        <w:rPr>
          <w:spacing w:val="-9"/>
        </w:rPr>
        <w:t> </w:t>
      </w:r>
      <w:r>
        <w:rPr/>
        <w:t>em</w:t>
      </w:r>
      <w:r>
        <w:rPr>
          <w:spacing w:val="-6"/>
        </w:rPr>
        <w:t> </w:t>
      </w:r>
      <w:r>
        <w:rPr/>
        <w:t>46% daqueles submetidos à amputação. A isquemia favorece a infecção pela diminuição do fluxo sanguíneo e da oxigenação</w:t>
      </w:r>
      <w:r>
        <w:rPr>
          <w:spacing w:val="-2"/>
        </w:rPr>
        <w:t> </w:t>
      </w:r>
      <w:r>
        <w:rPr/>
        <w:t>dos tecidos, enfraquecendo</w:t>
      </w:r>
      <w:r>
        <w:rPr>
          <w:spacing w:val="-2"/>
        </w:rPr>
        <w:t> </w:t>
      </w:r>
      <w:r>
        <w:rPr/>
        <w:t>as defesas locais e</w:t>
      </w:r>
      <w:r>
        <w:rPr>
          <w:spacing w:val="-5"/>
        </w:rPr>
        <w:t> </w:t>
      </w:r>
      <w:r>
        <w:rPr/>
        <w:t>dificultando</w:t>
      </w:r>
      <w:r>
        <w:rPr>
          <w:spacing w:val="-2"/>
        </w:rPr>
        <w:t> </w:t>
      </w:r>
      <w:r>
        <w:rPr/>
        <w:t>a</w:t>
      </w:r>
      <w:r>
        <w:rPr>
          <w:spacing w:val="-5"/>
        </w:rPr>
        <w:t> </w:t>
      </w:r>
      <w:r>
        <w:rPr/>
        <w:t>cicatrização</w:t>
      </w:r>
      <w:r>
        <w:rPr>
          <w:spacing w:val="-2"/>
        </w:rPr>
        <w:t> </w:t>
      </w:r>
      <w:r>
        <w:rPr/>
        <w:t>(</w:t>
      </w:r>
      <w:r>
        <w:rPr>
          <w:color w:val="505050"/>
        </w:rPr>
        <w:t>Figura</w:t>
      </w:r>
      <w:r>
        <w:rPr>
          <w:color w:val="505050"/>
          <w:spacing w:val="-5"/>
        </w:rPr>
        <w:t> </w:t>
      </w:r>
      <w:r>
        <w:rPr>
          <w:color w:val="505050"/>
        </w:rPr>
        <w:t>59.46</w:t>
      </w:r>
      <w:r>
        <w:rPr/>
        <w:t>).</w:t>
      </w:r>
    </w:p>
    <w:p>
      <w:pPr>
        <w:pStyle w:val="BodyText"/>
        <w:spacing w:after="0" w:line="276" w:lineRule="auto"/>
        <w:sectPr>
          <w:pgSz w:w="11900" w:h="16840"/>
          <w:pgMar w:top="280" w:bottom="280" w:left="566" w:right="141"/>
        </w:sectPr>
      </w:pPr>
    </w:p>
    <w:p>
      <w:pPr>
        <w:spacing w:before="68"/>
        <w:ind w:left="68" w:right="0" w:firstLine="0"/>
        <w:jc w:val="left"/>
        <w:rPr>
          <w:rFonts w:ascii="Arial" w:hAnsi="Arial"/>
          <w:b/>
          <w:i/>
          <w:sz w:val="25"/>
        </w:rPr>
      </w:pPr>
      <w:r>
        <w:rPr>
          <w:rFonts w:ascii="Arial" w:hAnsi="Arial"/>
          <w:b/>
          <w:i/>
          <w:color w:val="5A5685"/>
          <w:spacing w:val="-2"/>
          <w:sz w:val="25"/>
        </w:rPr>
        <w:t>Diagnóstico</w:t>
      </w:r>
    </w:p>
    <w:p>
      <w:pPr>
        <w:pStyle w:val="BodyText"/>
        <w:spacing w:line="276" w:lineRule="auto" w:before="117"/>
        <w:ind w:right="488"/>
      </w:pPr>
      <w:r>
        <w:rPr/>
        <w:t>Inicia-se</w:t>
      </w:r>
      <w:r>
        <w:rPr>
          <w:spacing w:val="-9"/>
        </w:rPr>
        <w:t> </w:t>
      </w:r>
      <w:r>
        <w:rPr/>
        <w:t>pelo</w:t>
      </w:r>
      <w:r>
        <w:rPr>
          <w:spacing w:val="-7"/>
        </w:rPr>
        <w:t> </w:t>
      </w:r>
      <w:r>
        <w:rPr/>
        <w:t>exame</w:t>
      </w:r>
      <w:r>
        <w:rPr>
          <w:spacing w:val="-9"/>
        </w:rPr>
        <w:t> </w:t>
      </w:r>
      <w:r>
        <w:rPr/>
        <w:t>físico</w:t>
      </w:r>
      <w:r>
        <w:rPr>
          <w:spacing w:val="-7"/>
        </w:rPr>
        <w:t> </w:t>
      </w:r>
      <w:r>
        <w:rPr/>
        <w:t>cuidadoso</w:t>
      </w:r>
      <w:r>
        <w:rPr>
          <w:spacing w:val="-7"/>
        </w:rPr>
        <w:t> </w:t>
      </w:r>
      <w:r>
        <w:rPr/>
        <w:t>do</w:t>
      </w:r>
      <w:r>
        <w:rPr>
          <w:spacing w:val="-7"/>
        </w:rPr>
        <w:t> </w:t>
      </w:r>
      <w:r>
        <w:rPr/>
        <w:t>pé, observando-se</w:t>
      </w:r>
      <w:r>
        <w:rPr>
          <w:spacing w:val="-9"/>
        </w:rPr>
        <w:t> </w:t>
      </w:r>
      <w:r>
        <w:rPr/>
        <w:t>coloração</w:t>
      </w:r>
      <w:r>
        <w:rPr>
          <w:spacing w:val="-7"/>
        </w:rPr>
        <w:t> </w:t>
      </w:r>
      <w:r>
        <w:rPr/>
        <w:t>da</w:t>
      </w:r>
      <w:r>
        <w:rPr>
          <w:spacing w:val="-9"/>
        </w:rPr>
        <w:t> </w:t>
      </w:r>
      <w:r>
        <w:rPr/>
        <w:t>pele</w:t>
      </w:r>
      <w:r>
        <w:rPr>
          <w:spacing w:val="-9"/>
        </w:rPr>
        <w:t> </w:t>
      </w:r>
      <w:r>
        <w:rPr/>
        <w:t>e</w:t>
      </w:r>
      <w:r>
        <w:rPr>
          <w:spacing w:val="-9"/>
        </w:rPr>
        <w:t> </w:t>
      </w:r>
      <w:r>
        <w:rPr/>
        <w:t>aspecto</w:t>
      </w:r>
      <w:r>
        <w:rPr>
          <w:spacing w:val="-7"/>
        </w:rPr>
        <w:t> </w:t>
      </w:r>
      <w:r>
        <w:rPr/>
        <w:t>dos fâneros, presença</w:t>
      </w:r>
      <w:r>
        <w:rPr>
          <w:spacing w:val="-9"/>
        </w:rPr>
        <w:t> </w:t>
      </w:r>
      <w:r>
        <w:rPr/>
        <w:t>de deformidades ósseas e</w:t>
      </w:r>
      <w:r>
        <w:rPr>
          <w:spacing w:val="-10"/>
        </w:rPr>
        <w:t> </w:t>
      </w:r>
      <w:r>
        <w:rPr/>
        <w:t>articulares, fissuras cutâneas, edema, calosidades e</w:t>
      </w:r>
      <w:r>
        <w:rPr>
          <w:spacing w:val="-10"/>
        </w:rPr>
        <w:t> </w:t>
      </w:r>
      <w:r>
        <w:rPr/>
        <w:t>úlceras. As pulsações arteriais devem</w:t>
      </w:r>
      <w:r>
        <w:rPr>
          <w:spacing w:val="-8"/>
        </w:rPr>
        <w:t> </w:t>
      </w:r>
      <w:r>
        <w:rPr/>
        <w:t>ser verificadas, assim como a temperatura e umidade da pele. A avaliação neurológica deve incluir sensibilidade tátil, térmica e dolorosa, além da sensibilidade vibratória e dos reflexos tendinosos.</w:t>
      </w:r>
    </w:p>
    <w:p>
      <w:pPr>
        <w:pStyle w:val="BodyText"/>
        <w:spacing w:before="107"/>
        <w:ind w:left="0" w:firstLine="0"/>
        <w:jc w:val="left"/>
        <w:rPr>
          <w:sz w:val="20"/>
        </w:rPr>
      </w:pPr>
      <w:r>
        <w:rPr>
          <w:sz w:val="20"/>
        </w:rPr>
        <w:drawing>
          <wp:anchor distT="0" distB="0" distL="0" distR="0" allowOverlap="1" layoutInCell="1" locked="0" behindDoc="1" simplePos="0" relativeHeight="487634432">
            <wp:simplePos x="0" y="0"/>
            <wp:positionH relativeFrom="page">
              <wp:posOffset>2049221</wp:posOffset>
            </wp:positionH>
            <wp:positionV relativeFrom="paragraph">
              <wp:posOffset>229227</wp:posOffset>
            </wp:positionV>
            <wp:extent cx="3475392" cy="2119883"/>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79" cstate="print"/>
                    <a:stretch>
                      <a:fillRect/>
                    </a:stretch>
                  </pic:blipFill>
                  <pic:spPr>
                    <a:xfrm>
                      <a:off x="0" y="0"/>
                      <a:ext cx="3475392" cy="2119883"/>
                    </a:xfrm>
                    <a:prstGeom prst="rect">
                      <a:avLst/>
                    </a:prstGeom>
                  </pic:spPr>
                </pic:pic>
              </a:graphicData>
            </a:graphic>
          </wp:anchor>
        </w:drawing>
      </w:r>
    </w:p>
    <w:p>
      <w:pPr>
        <w:spacing w:before="181"/>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2"/>
          <w:sz w:val="19"/>
        </w:rPr>
        <w:t> </w:t>
      </w:r>
      <w:r>
        <w:rPr>
          <w:rFonts w:ascii="Arial" w:hAnsi="Arial"/>
          <w:b/>
          <w:color w:val="242B67"/>
          <w:sz w:val="19"/>
        </w:rPr>
        <w:t>59.45</w:t>
      </w:r>
      <w:r>
        <w:rPr>
          <w:rFonts w:ascii="Arial" w:hAnsi="Arial"/>
          <w:b/>
          <w:color w:val="242B67"/>
          <w:spacing w:val="13"/>
          <w:sz w:val="19"/>
        </w:rPr>
        <w:t> </w:t>
      </w:r>
      <w:r>
        <w:rPr>
          <w:rFonts w:ascii="Microsoft Sans Serif" w:hAnsi="Microsoft Sans Serif"/>
          <w:sz w:val="19"/>
        </w:rPr>
        <w:t>Pé</w:t>
      </w:r>
      <w:r>
        <w:rPr>
          <w:rFonts w:ascii="Microsoft Sans Serif" w:hAnsi="Microsoft Sans Serif"/>
          <w:spacing w:val="15"/>
          <w:sz w:val="19"/>
        </w:rPr>
        <w:t> </w:t>
      </w:r>
      <w:r>
        <w:rPr>
          <w:rFonts w:ascii="Microsoft Sans Serif" w:hAnsi="Microsoft Sans Serif"/>
          <w:sz w:val="19"/>
        </w:rPr>
        <w:t>neuropático</w:t>
      </w:r>
      <w:r>
        <w:rPr>
          <w:rFonts w:ascii="Microsoft Sans Serif" w:hAnsi="Microsoft Sans Serif"/>
          <w:spacing w:val="15"/>
          <w:sz w:val="19"/>
        </w:rPr>
        <w:t> </w:t>
      </w:r>
      <w:r>
        <w:rPr>
          <w:rFonts w:ascii="Microsoft Sans Serif" w:hAnsi="Microsoft Sans Serif"/>
          <w:sz w:val="19"/>
        </w:rPr>
        <w:t>com</w:t>
      </w:r>
      <w:r>
        <w:rPr>
          <w:rFonts w:ascii="Microsoft Sans Serif" w:hAnsi="Microsoft Sans Serif"/>
          <w:spacing w:val="8"/>
          <w:sz w:val="19"/>
        </w:rPr>
        <w:t> </w:t>
      </w:r>
      <w:r>
        <w:rPr>
          <w:rFonts w:ascii="Microsoft Sans Serif" w:hAnsi="Microsoft Sans Serif"/>
          <w:sz w:val="19"/>
        </w:rPr>
        <w:t>queda</w:t>
      </w:r>
      <w:r>
        <w:rPr>
          <w:rFonts w:ascii="Microsoft Sans Serif" w:hAnsi="Microsoft Sans Serif"/>
          <w:spacing w:val="15"/>
          <w:sz w:val="19"/>
        </w:rPr>
        <w:t> </w:t>
      </w:r>
      <w:r>
        <w:rPr>
          <w:rFonts w:ascii="Microsoft Sans Serif" w:hAnsi="Microsoft Sans Serif"/>
          <w:sz w:val="19"/>
        </w:rPr>
        <w:t>do</w:t>
      </w:r>
      <w:r>
        <w:rPr>
          <w:rFonts w:ascii="Microsoft Sans Serif" w:hAnsi="Microsoft Sans Serif"/>
          <w:spacing w:val="15"/>
          <w:sz w:val="19"/>
        </w:rPr>
        <w:t> </w:t>
      </w:r>
      <w:r>
        <w:rPr>
          <w:rFonts w:ascii="Microsoft Sans Serif" w:hAnsi="Microsoft Sans Serif"/>
          <w:sz w:val="19"/>
        </w:rPr>
        <w:t>arco</w:t>
      </w:r>
      <w:r>
        <w:rPr>
          <w:rFonts w:ascii="Microsoft Sans Serif" w:hAnsi="Microsoft Sans Serif"/>
          <w:spacing w:val="14"/>
          <w:sz w:val="19"/>
        </w:rPr>
        <w:t> </w:t>
      </w:r>
      <w:r>
        <w:rPr>
          <w:rFonts w:ascii="Microsoft Sans Serif" w:hAnsi="Microsoft Sans Serif"/>
          <w:sz w:val="19"/>
        </w:rPr>
        <w:t>plantar</w:t>
      </w:r>
      <w:r>
        <w:rPr>
          <w:rFonts w:ascii="Microsoft Sans Serif" w:hAnsi="Microsoft Sans Serif"/>
          <w:spacing w:val="9"/>
          <w:sz w:val="19"/>
        </w:rPr>
        <w:t> </w:t>
      </w:r>
      <w:r>
        <w:rPr>
          <w:rFonts w:ascii="Microsoft Sans Serif" w:hAnsi="Microsoft Sans Serif"/>
          <w:sz w:val="19"/>
        </w:rPr>
        <w:t>e</w:t>
      </w:r>
      <w:r>
        <w:rPr>
          <w:rFonts w:ascii="Microsoft Sans Serif" w:hAnsi="Microsoft Sans Serif"/>
          <w:spacing w:val="15"/>
          <w:sz w:val="19"/>
        </w:rPr>
        <w:t> </w:t>
      </w:r>
      <w:r>
        <w:rPr>
          <w:rFonts w:ascii="Microsoft Sans Serif" w:hAnsi="Microsoft Sans Serif"/>
          <w:sz w:val="19"/>
        </w:rPr>
        <w:t>dedos</w:t>
      </w:r>
      <w:r>
        <w:rPr>
          <w:rFonts w:ascii="Microsoft Sans Serif" w:hAnsi="Microsoft Sans Serif"/>
          <w:spacing w:val="8"/>
          <w:sz w:val="19"/>
        </w:rPr>
        <w:t> </w:t>
      </w:r>
      <w:r>
        <w:rPr>
          <w:rFonts w:ascii="Microsoft Sans Serif" w:hAnsi="Microsoft Sans Serif"/>
          <w:sz w:val="19"/>
        </w:rPr>
        <w:t>“em</w:t>
      </w:r>
      <w:r>
        <w:rPr>
          <w:rFonts w:ascii="Microsoft Sans Serif" w:hAnsi="Microsoft Sans Serif"/>
          <w:spacing w:val="9"/>
          <w:sz w:val="19"/>
        </w:rPr>
        <w:t> </w:t>
      </w:r>
      <w:r>
        <w:rPr>
          <w:rFonts w:ascii="Microsoft Sans Serif" w:hAnsi="Microsoft Sans Serif"/>
          <w:spacing w:val="-2"/>
          <w:sz w:val="19"/>
        </w:rPr>
        <w:t>martelo”.</w:t>
      </w:r>
    </w:p>
    <w:p>
      <w:pPr>
        <w:pStyle w:val="BodyText"/>
        <w:spacing w:before="160"/>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34944">
            <wp:simplePos x="0" y="0"/>
            <wp:positionH relativeFrom="page">
              <wp:posOffset>2039048</wp:posOffset>
            </wp:positionH>
            <wp:positionV relativeFrom="paragraph">
              <wp:posOffset>260704</wp:posOffset>
            </wp:positionV>
            <wp:extent cx="3485578" cy="2211609"/>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80" cstate="print"/>
                    <a:stretch>
                      <a:fillRect/>
                    </a:stretch>
                  </pic:blipFill>
                  <pic:spPr>
                    <a:xfrm>
                      <a:off x="0" y="0"/>
                      <a:ext cx="3485578" cy="2211609"/>
                    </a:xfrm>
                    <a:prstGeom prst="rect">
                      <a:avLst/>
                    </a:prstGeom>
                  </pic:spPr>
                </pic:pic>
              </a:graphicData>
            </a:graphic>
          </wp:anchor>
        </w:drawing>
      </w:r>
    </w:p>
    <w:p>
      <w:pPr>
        <w:spacing w:before="197"/>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4"/>
          <w:sz w:val="19"/>
        </w:rPr>
        <w:t> </w:t>
      </w:r>
      <w:r>
        <w:rPr>
          <w:rFonts w:ascii="Arial" w:hAnsi="Arial"/>
          <w:b/>
          <w:color w:val="242B67"/>
          <w:sz w:val="19"/>
        </w:rPr>
        <w:t>59.46</w:t>
      </w:r>
      <w:r>
        <w:rPr>
          <w:rFonts w:ascii="Arial" w:hAnsi="Arial"/>
          <w:b/>
          <w:color w:val="242B67"/>
          <w:spacing w:val="14"/>
          <w:sz w:val="19"/>
        </w:rPr>
        <w:t> </w:t>
      </w:r>
      <w:r>
        <w:rPr>
          <w:rFonts w:ascii="Microsoft Sans Serif" w:hAnsi="Microsoft Sans Serif"/>
          <w:sz w:val="19"/>
        </w:rPr>
        <w:t>Pé</w:t>
      </w:r>
      <w:r>
        <w:rPr>
          <w:rFonts w:ascii="Microsoft Sans Serif" w:hAnsi="Microsoft Sans Serif"/>
          <w:spacing w:val="15"/>
          <w:sz w:val="19"/>
        </w:rPr>
        <w:t> </w:t>
      </w:r>
      <w:r>
        <w:rPr>
          <w:rFonts w:ascii="Microsoft Sans Serif" w:hAnsi="Microsoft Sans Serif"/>
          <w:sz w:val="19"/>
        </w:rPr>
        <w:t>neuropático</w:t>
      </w:r>
      <w:r>
        <w:rPr>
          <w:rFonts w:ascii="Microsoft Sans Serif" w:hAnsi="Microsoft Sans Serif"/>
          <w:spacing w:val="16"/>
          <w:sz w:val="19"/>
        </w:rPr>
        <w:t> </w:t>
      </w:r>
      <w:r>
        <w:rPr>
          <w:rFonts w:ascii="Microsoft Sans Serif" w:hAnsi="Microsoft Sans Serif"/>
          <w:sz w:val="19"/>
        </w:rPr>
        <w:t>e</w:t>
      </w:r>
      <w:r>
        <w:rPr>
          <w:rFonts w:ascii="Microsoft Sans Serif" w:hAnsi="Microsoft Sans Serif"/>
          <w:spacing w:val="16"/>
          <w:sz w:val="19"/>
        </w:rPr>
        <w:t> </w:t>
      </w:r>
      <w:r>
        <w:rPr>
          <w:rFonts w:ascii="Microsoft Sans Serif" w:hAnsi="Microsoft Sans Serif"/>
          <w:sz w:val="19"/>
        </w:rPr>
        <w:t>isquêmico</w:t>
      </w:r>
      <w:r>
        <w:rPr>
          <w:rFonts w:ascii="Microsoft Sans Serif" w:hAnsi="Microsoft Sans Serif"/>
          <w:spacing w:val="16"/>
          <w:sz w:val="19"/>
        </w:rPr>
        <w:t> </w:t>
      </w:r>
      <w:r>
        <w:rPr>
          <w:rFonts w:ascii="Microsoft Sans Serif" w:hAnsi="Microsoft Sans Serif"/>
          <w:sz w:val="19"/>
        </w:rPr>
        <w:t>notando-se</w:t>
      </w:r>
      <w:r>
        <w:rPr>
          <w:rFonts w:ascii="Microsoft Sans Serif" w:hAnsi="Microsoft Sans Serif"/>
          <w:spacing w:val="16"/>
          <w:sz w:val="19"/>
        </w:rPr>
        <w:t> </w:t>
      </w:r>
      <w:r>
        <w:rPr>
          <w:rFonts w:ascii="Microsoft Sans Serif" w:hAnsi="Microsoft Sans Serif"/>
          <w:sz w:val="19"/>
        </w:rPr>
        <w:t>pele</w:t>
      </w:r>
      <w:r>
        <w:rPr>
          <w:rFonts w:ascii="Microsoft Sans Serif" w:hAnsi="Microsoft Sans Serif"/>
          <w:spacing w:val="16"/>
          <w:sz w:val="19"/>
        </w:rPr>
        <w:t> </w:t>
      </w:r>
      <w:r>
        <w:rPr>
          <w:rFonts w:ascii="Microsoft Sans Serif" w:hAnsi="Microsoft Sans Serif"/>
          <w:sz w:val="19"/>
        </w:rPr>
        <w:t>seca</w:t>
      </w:r>
      <w:r>
        <w:rPr>
          <w:rFonts w:ascii="Microsoft Sans Serif" w:hAnsi="Microsoft Sans Serif"/>
          <w:spacing w:val="16"/>
          <w:sz w:val="19"/>
        </w:rPr>
        <w:t> </w:t>
      </w:r>
      <w:r>
        <w:rPr>
          <w:rFonts w:ascii="Microsoft Sans Serif" w:hAnsi="Microsoft Sans Serif"/>
          <w:sz w:val="19"/>
        </w:rPr>
        <w:t>e</w:t>
      </w:r>
      <w:r>
        <w:rPr>
          <w:rFonts w:ascii="Microsoft Sans Serif" w:hAnsi="Microsoft Sans Serif"/>
          <w:spacing w:val="16"/>
          <w:sz w:val="19"/>
        </w:rPr>
        <w:t> </w:t>
      </w:r>
      <w:r>
        <w:rPr>
          <w:rFonts w:ascii="Microsoft Sans Serif" w:hAnsi="Microsoft Sans Serif"/>
          <w:sz w:val="19"/>
        </w:rPr>
        <w:t>descamativa</w:t>
      </w:r>
      <w:r>
        <w:rPr>
          <w:rFonts w:ascii="Microsoft Sans Serif" w:hAnsi="Microsoft Sans Serif"/>
          <w:spacing w:val="16"/>
          <w:sz w:val="19"/>
        </w:rPr>
        <w:t> </w:t>
      </w:r>
      <w:r>
        <w:rPr>
          <w:rFonts w:ascii="Microsoft Sans Serif" w:hAnsi="Microsoft Sans Serif"/>
          <w:sz w:val="19"/>
        </w:rPr>
        <w:t>e</w:t>
      </w:r>
      <w:r>
        <w:rPr>
          <w:rFonts w:ascii="Microsoft Sans Serif" w:hAnsi="Microsoft Sans Serif"/>
          <w:spacing w:val="16"/>
          <w:sz w:val="19"/>
        </w:rPr>
        <w:t> </w:t>
      </w:r>
      <w:r>
        <w:rPr>
          <w:rFonts w:ascii="Microsoft Sans Serif" w:hAnsi="Microsoft Sans Serif"/>
          <w:sz w:val="19"/>
        </w:rPr>
        <w:t>necrose</w:t>
      </w:r>
      <w:r>
        <w:rPr>
          <w:rFonts w:ascii="Microsoft Sans Serif" w:hAnsi="Microsoft Sans Serif"/>
          <w:spacing w:val="16"/>
          <w:sz w:val="19"/>
        </w:rPr>
        <w:t> </w:t>
      </w:r>
      <w:r>
        <w:rPr>
          <w:rFonts w:ascii="Microsoft Sans Serif" w:hAnsi="Microsoft Sans Serif"/>
          <w:sz w:val="19"/>
        </w:rPr>
        <w:t>de</w:t>
      </w:r>
      <w:r>
        <w:rPr>
          <w:rFonts w:ascii="Microsoft Sans Serif" w:hAnsi="Microsoft Sans Serif"/>
          <w:spacing w:val="16"/>
          <w:sz w:val="19"/>
        </w:rPr>
        <w:t> </w:t>
      </w:r>
      <w:r>
        <w:rPr>
          <w:rFonts w:ascii="Microsoft Sans Serif" w:hAnsi="Microsoft Sans Serif"/>
          <w:sz w:val="19"/>
        </w:rPr>
        <w:t>quinto</w:t>
      </w:r>
      <w:r>
        <w:rPr>
          <w:rFonts w:ascii="Microsoft Sans Serif" w:hAnsi="Microsoft Sans Serif"/>
          <w:spacing w:val="15"/>
          <w:sz w:val="19"/>
        </w:rPr>
        <w:t> </w:t>
      </w:r>
      <w:r>
        <w:rPr>
          <w:rFonts w:ascii="Microsoft Sans Serif" w:hAnsi="Microsoft Sans Serif"/>
          <w:spacing w:val="-2"/>
          <w:sz w:val="19"/>
        </w:rPr>
        <w:t>dedo.</w:t>
      </w:r>
    </w:p>
    <w:p>
      <w:pPr>
        <w:pStyle w:val="BodyText"/>
        <w:spacing w:before="106"/>
        <w:ind w:left="0" w:firstLine="0"/>
        <w:jc w:val="left"/>
        <w:rPr>
          <w:rFonts w:ascii="Microsoft Sans Serif"/>
          <w:sz w:val="19"/>
        </w:rPr>
      </w:pPr>
    </w:p>
    <w:p>
      <w:pPr>
        <w:pStyle w:val="BodyText"/>
        <w:spacing w:line="276" w:lineRule="auto" w:before="0"/>
        <w:ind w:right="500"/>
      </w:pPr>
      <w:r>
        <w:rPr/>
        <w:t>Necroses cutâneas localizadas decorrentes da microangiopatia evoluem para lesões ulceradas, as chamadas úlceras</w:t>
      </w:r>
      <w:r>
        <w:rPr>
          <w:spacing w:val="-4"/>
        </w:rPr>
        <w:t> </w:t>
      </w:r>
      <w:r>
        <w:rPr/>
        <w:t>microangiopáticas,</w:t>
      </w:r>
      <w:r>
        <w:rPr>
          <w:spacing w:val="-4"/>
        </w:rPr>
        <w:t> </w:t>
      </w:r>
      <w:r>
        <w:rPr/>
        <w:t>que</w:t>
      </w:r>
      <w:r>
        <w:rPr>
          <w:spacing w:val="-13"/>
        </w:rPr>
        <w:t> </w:t>
      </w:r>
      <w:r>
        <w:rPr/>
        <w:t>são</w:t>
      </w:r>
      <w:r>
        <w:rPr>
          <w:spacing w:val="-11"/>
        </w:rPr>
        <w:t> </w:t>
      </w:r>
      <w:r>
        <w:rPr/>
        <w:t>muito</w:t>
      </w:r>
      <w:r>
        <w:rPr>
          <w:spacing w:val="-11"/>
        </w:rPr>
        <w:t> </w:t>
      </w:r>
      <w:r>
        <w:rPr/>
        <w:t>dolorosas,</w:t>
      </w:r>
      <w:r>
        <w:rPr>
          <w:spacing w:val="-4"/>
        </w:rPr>
        <w:t> </w:t>
      </w:r>
      <w:r>
        <w:rPr/>
        <w:t>localizando-se,</w:t>
      </w:r>
      <w:r>
        <w:rPr>
          <w:spacing w:val="-4"/>
        </w:rPr>
        <w:t> </w:t>
      </w:r>
      <w:r>
        <w:rPr/>
        <w:t>geralmente,</w:t>
      </w:r>
      <w:r>
        <w:rPr>
          <w:spacing w:val="-4"/>
        </w:rPr>
        <w:t> </w:t>
      </w:r>
      <w:r>
        <w:rPr/>
        <w:t>na</w:t>
      </w:r>
      <w:r>
        <w:rPr>
          <w:spacing w:val="-13"/>
        </w:rPr>
        <w:t> </w:t>
      </w:r>
      <w:r>
        <w:rPr/>
        <w:t>face</w:t>
      </w:r>
      <w:r>
        <w:rPr>
          <w:spacing w:val="-13"/>
        </w:rPr>
        <w:t> </w:t>
      </w:r>
      <w:r>
        <w:rPr/>
        <w:t>lateral</w:t>
      </w:r>
      <w:r>
        <w:rPr>
          <w:spacing w:val="-8"/>
        </w:rPr>
        <w:t> </w:t>
      </w:r>
      <w:r>
        <w:rPr/>
        <w:t>ou</w:t>
      </w:r>
      <w:r>
        <w:rPr>
          <w:spacing w:val="-11"/>
        </w:rPr>
        <w:t> </w:t>
      </w:r>
      <w:r>
        <w:rPr/>
        <w:t>posterior</w:t>
      </w:r>
      <w:r>
        <w:rPr>
          <w:spacing w:val="-6"/>
        </w:rPr>
        <w:t> </w:t>
      </w:r>
      <w:r>
        <w:rPr/>
        <w:t>do</w:t>
      </w:r>
      <w:r>
        <w:rPr>
          <w:spacing w:val="-11"/>
        </w:rPr>
        <w:t> </w:t>
      </w:r>
      <w:r>
        <w:rPr/>
        <w:t>terço inferior da</w:t>
      </w:r>
      <w:r>
        <w:rPr>
          <w:spacing w:val="-8"/>
        </w:rPr>
        <w:t> </w:t>
      </w:r>
      <w:r>
        <w:rPr/>
        <w:t>perna, no</w:t>
      </w:r>
      <w:r>
        <w:rPr>
          <w:spacing w:val="-5"/>
        </w:rPr>
        <w:t> </w:t>
      </w:r>
      <w:r>
        <w:rPr/>
        <w:t>dorso</w:t>
      </w:r>
      <w:r>
        <w:rPr>
          <w:spacing w:val="-5"/>
        </w:rPr>
        <w:t> </w:t>
      </w:r>
      <w:r>
        <w:rPr/>
        <w:t>do</w:t>
      </w:r>
      <w:r>
        <w:rPr>
          <w:spacing w:val="-5"/>
        </w:rPr>
        <w:t> </w:t>
      </w:r>
      <w:r>
        <w:rPr/>
        <w:t>pé</w:t>
      </w:r>
      <w:r>
        <w:rPr>
          <w:spacing w:val="-8"/>
        </w:rPr>
        <w:t> </w:t>
      </w:r>
      <w:r>
        <w:rPr/>
        <w:t>(</w:t>
      </w:r>
      <w:r>
        <w:rPr>
          <w:color w:val="505050"/>
        </w:rPr>
        <w:t>Figura</w:t>
      </w:r>
      <w:r>
        <w:rPr>
          <w:color w:val="505050"/>
          <w:spacing w:val="-8"/>
        </w:rPr>
        <w:t> </w:t>
      </w:r>
      <w:r>
        <w:rPr>
          <w:color w:val="505050"/>
        </w:rPr>
        <w:t>59.47</w:t>
      </w:r>
      <w:r>
        <w:rPr/>
        <w:t>) ou</w:t>
      </w:r>
      <w:r>
        <w:rPr>
          <w:spacing w:val="-4"/>
        </w:rPr>
        <w:t> </w:t>
      </w:r>
      <w:r>
        <w:rPr/>
        <w:t>nas regiões maleolares;</w:t>
      </w:r>
      <w:r>
        <w:rPr>
          <w:spacing w:val="-1"/>
        </w:rPr>
        <w:t> </w:t>
      </w:r>
      <w:r>
        <w:rPr/>
        <w:t>a</w:t>
      </w:r>
      <w:r>
        <w:rPr>
          <w:spacing w:val="-7"/>
        </w:rPr>
        <w:t> </w:t>
      </w:r>
      <w:r>
        <w:rPr/>
        <w:t>infecção</w:t>
      </w:r>
      <w:r>
        <w:rPr>
          <w:spacing w:val="-4"/>
        </w:rPr>
        <w:t> </w:t>
      </w:r>
      <w:r>
        <w:rPr/>
        <w:t>dessas lesões tende</w:t>
      </w:r>
      <w:r>
        <w:rPr>
          <w:spacing w:val="-7"/>
        </w:rPr>
        <w:t> </w:t>
      </w:r>
      <w:r>
        <w:rPr/>
        <w:t>a</w:t>
      </w:r>
      <w:r>
        <w:rPr>
          <w:spacing w:val="-7"/>
        </w:rPr>
        <w:t> </w:t>
      </w:r>
      <w:r>
        <w:rPr/>
        <w:t>ampliar a área de necrose cutânea.</w:t>
      </w:r>
    </w:p>
    <w:p>
      <w:pPr>
        <w:pStyle w:val="BodyText"/>
        <w:spacing w:line="278" w:lineRule="auto" w:before="49"/>
        <w:ind w:right="488"/>
      </w:pPr>
      <w:r>
        <w:rPr/>
        <w:t>Devido à nossa situação socioeconômica, em muitos pacientes, a falta de cuidados e higiene do pé e o uso de sapatos inadequados representam importantes fatores que facilitam o surgimento de infecções que variam de micoses locais da unha até lesões necróticas extensas que ameaçam a viabilidade do membro ou inclusive a vida (</w:t>
      </w:r>
      <w:r>
        <w:rPr>
          <w:color w:val="505050"/>
        </w:rPr>
        <w:t>Figura 59.48</w:t>
      </w:r>
      <w:r>
        <w:rPr/>
        <w:t>). O diagnóstico precoce e o tratamento definitivo podem ser retardados em virtude da alteração da sensibilidade no pé, da visão precária do paciente decorrente da retinopatia ou da falha do médico em diagnosticar com exatidão a extensão do processo infeccioso. Como o surgimento de infecção costuma ser multifatorial, todo diabético</w:t>
      </w:r>
      <w:r>
        <w:rPr>
          <w:spacing w:val="-8"/>
        </w:rPr>
        <w:t> </w:t>
      </w:r>
      <w:r>
        <w:rPr/>
        <w:t>com</w:t>
      </w:r>
      <w:r>
        <w:rPr>
          <w:spacing w:val="-8"/>
        </w:rPr>
        <w:t> </w:t>
      </w:r>
      <w:r>
        <w:rPr/>
        <w:t>infecção</w:t>
      </w:r>
      <w:r>
        <w:rPr>
          <w:spacing w:val="-8"/>
        </w:rPr>
        <w:t> </w:t>
      </w:r>
      <w:r>
        <w:rPr/>
        <w:t>no</w:t>
      </w:r>
      <w:r>
        <w:rPr>
          <w:spacing w:val="-8"/>
        </w:rPr>
        <w:t> </w:t>
      </w:r>
      <w:r>
        <w:rPr/>
        <w:t>pé</w:t>
      </w:r>
      <w:r>
        <w:rPr>
          <w:spacing w:val="-10"/>
        </w:rPr>
        <w:t> </w:t>
      </w:r>
      <w:r>
        <w:rPr/>
        <w:t>deve</w:t>
      </w:r>
      <w:r>
        <w:rPr>
          <w:spacing w:val="-10"/>
        </w:rPr>
        <w:t> </w:t>
      </w:r>
      <w:r>
        <w:rPr/>
        <w:t>ser</w:t>
      </w:r>
      <w:r>
        <w:rPr>
          <w:spacing w:val="-3"/>
        </w:rPr>
        <w:t> </w:t>
      </w:r>
      <w:r>
        <w:rPr/>
        <w:t>avaliado</w:t>
      </w:r>
      <w:r>
        <w:rPr>
          <w:spacing w:val="-8"/>
        </w:rPr>
        <w:t> </w:t>
      </w:r>
      <w:r>
        <w:rPr/>
        <w:t>para</w:t>
      </w:r>
      <w:r>
        <w:rPr>
          <w:spacing w:val="-10"/>
        </w:rPr>
        <w:t> </w:t>
      </w:r>
      <w:r>
        <w:rPr/>
        <w:t>a</w:t>
      </w:r>
      <w:r>
        <w:rPr>
          <w:spacing w:val="-10"/>
        </w:rPr>
        <w:t> </w:t>
      </w:r>
      <w:r>
        <w:rPr/>
        <w:t>possível</w:t>
      </w:r>
      <w:r>
        <w:rPr>
          <w:spacing w:val="-5"/>
        </w:rPr>
        <w:t> </w:t>
      </w:r>
      <w:r>
        <w:rPr/>
        <w:t>presença</w:t>
      </w:r>
      <w:r>
        <w:rPr>
          <w:spacing w:val="-10"/>
        </w:rPr>
        <w:t> </w:t>
      </w:r>
      <w:r>
        <w:rPr/>
        <w:t>de</w:t>
      </w:r>
      <w:r>
        <w:rPr>
          <w:spacing w:val="-10"/>
        </w:rPr>
        <w:t> </w:t>
      </w:r>
      <w:r>
        <w:rPr/>
        <w:t>doença</w:t>
      </w:r>
      <w:r>
        <w:rPr>
          <w:spacing w:val="-10"/>
        </w:rPr>
        <w:t> </w:t>
      </w:r>
      <w:r>
        <w:rPr/>
        <w:t>vascular</w:t>
      </w:r>
      <w:r>
        <w:rPr>
          <w:spacing w:val="-3"/>
        </w:rPr>
        <w:t> </w:t>
      </w:r>
      <w:r>
        <w:rPr/>
        <w:t>e/ou</w:t>
      </w:r>
      <w:r>
        <w:rPr>
          <w:spacing w:val="-8"/>
        </w:rPr>
        <w:t> </w:t>
      </w:r>
      <w:r>
        <w:rPr/>
        <w:t>neurológica. Deve-se avaliar se a pele do pé se apresenta seca, escamosa e rachada, observando se há atrofia do dorso do pé, fissuras plantares, entre os dedos, unhas grossas e descoloridas pela micose e calos que necessitem debridamento. A infecção é geralmente causada por quebra da barreira cutânea. Os sinais clássicos de infecção (calor, rubor, dor, induração, secreção) nem sempre estão presentes devido a neuropatia e microangiopatia, devendo assim ser considerado pé diabético infectado quando há, no mínimo, dois sintomas ou sinais (</w:t>
      </w:r>
      <w:r>
        <w:rPr>
          <w:color w:val="505050"/>
        </w:rPr>
        <w:t>Figura 59.49</w:t>
      </w:r>
      <w:r>
        <w:rPr/>
        <w:t>).</w:t>
      </w:r>
      <w:r>
        <w:rPr>
          <w:vertAlign w:val="superscript"/>
        </w:rPr>
        <w:t>19</w:t>
      </w:r>
      <w:r>
        <w:rPr>
          <w:vertAlign w:val="baseline"/>
        </w:rPr>
        <w:t> Sinais sistêmicos como febre, calafrio e leucocitose e, sinais locais, como eritema, induração e edema podem estar ausentes em mais de dois terços das lesões infectadas no pé e nesses casos a hiperglicemia costuma ser a única alteração</w:t>
      </w:r>
      <w:r>
        <w:rPr>
          <w:spacing w:val="-12"/>
          <w:vertAlign w:val="baseline"/>
        </w:rPr>
        <w:t> </w:t>
      </w:r>
      <w:r>
        <w:rPr>
          <w:vertAlign w:val="baseline"/>
        </w:rPr>
        <w:t>presente.</w:t>
      </w:r>
      <w:r>
        <w:rPr>
          <w:vertAlign w:val="superscript"/>
        </w:rPr>
        <w:t>19</w:t>
      </w:r>
      <w:r>
        <w:rPr>
          <w:vertAlign w:val="baseline"/>
        </w:rPr>
        <w:t> Recentes estudos têm</w:t>
      </w:r>
      <w:r>
        <w:rPr>
          <w:spacing w:val="-6"/>
          <w:vertAlign w:val="baseline"/>
        </w:rPr>
        <w:t> </w:t>
      </w:r>
      <w:r>
        <w:rPr>
          <w:vertAlign w:val="baseline"/>
        </w:rPr>
        <w:t>demonstrado</w:t>
      </w:r>
      <w:r>
        <w:rPr>
          <w:spacing w:val="-6"/>
          <w:vertAlign w:val="baseline"/>
        </w:rPr>
        <w:t> </w:t>
      </w:r>
      <w:r>
        <w:rPr>
          <w:vertAlign w:val="baseline"/>
        </w:rPr>
        <w:t>que</w:t>
      </w:r>
      <w:r>
        <w:rPr>
          <w:spacing w:val="-8"/>
          <w:vertAlign w:val="baseline"/>
        </w:rPr>
        <w:t> </w:t>
      </w:r>
      <w:r>
        <w:rPr>
          <w:vertAlign w:val="baseline"/>
        </w:rPr>
        <w:t>marcadores inflamatórios como</w:t>
      </w:r>
      <w:r>
        <w:rPr>
          <w:spacing w:val="-6"/>
          <w:vertAlign w:val="baseline"/>
        </w:rPr>
        <w:t> </w:t>
      </w:r>
      <w:r>
        <w:rPr>
          <w:vertAlign w:val="baseline"/>
        </w:rPr>
        <w:t>a</w:t>
      </w:r>
      <w:r>
        <w:rPr>
          <w:spacing w:val="-8"/>
          <w:vertAlign w:val="baseline"/>
        </w:rPr>
        <w:t> </w:t>
      </w:r>
      <w:r>
        <w:rPr>
          <w:vertAlign w:val="baseline"/>
        </w:rPr>
        <w:t>hemossedimentação,</w:t>
      </w:r>
    </w:p>
    <w:p>
      <w:pPr>
        <w:pStyle w:val="BodyText"/>
        <w:spacing w:after="0" w:line="278" w:lineRule="auto"/>
        <w:sectPr>
          <w:pgSz w:w="11900" w:h="16840"/>
          <w:pgMar w:top="120" w:bottom="280" w:left="566" w:right="141"/>
        </w:sectPr>
      </w:pPr>
    </w:p>
    <w:p>
      <w:pPr>
        <w:pStyle w:val="BodyText"/>
        <w:spacing w:line="290" w:lineRule="auto" w:before="64"/>
        <w:ind w:right="497" w:firstLine="0"/>
        <w:jc w:val="left"/>
      </w:pPr>
      <w:r>
        <w:rPr/>
        <w:t>a proteína C reativa e a procalcitonina têm boa acurácia para diagnosticar infecções subclínicas, como indicadores de falha terapêutica, ou para determinar que a infecção esteja resolvida.</w:t>
      </w:r>
      <w:r>
        <w:rPr>
          <w:vertAlign w:val="superscript"/>
        </w:rPr>
        <w:t>19</w:t>
      </w:r>
    </w:p>
    <w:p>
      <w:pPr>
        <w:pStyle w:val="BodyText"/>
        <w:spacing w:before="98"/>
        <w:ind w:left="0" w:firstLine="0"/>
        <w:jc w:val="left"/>
        <w:rPr>
          <w:sz w:val="20"/>
        </w:rPr>
      </w:pPr>
      <w:r>
        <w:rPr>
          <w:sz w:val="20"/>
        </w:rPr>
        <w:drawing>
          <wp:anchor distT="0" distB="0" distL="0" distR="0" allowOverlap="1" layoutInCell="1" locked="0" behindDoc="1" simplePos="0" relativeHeight="487635456">
            <wp:simplePos x="0" y="0"/>
            <wp:positionH relativeFrom="page">
              <wp:posOffset>2039048</wp:posOffset>
            </wp:positionH>
            <wp:positionV relativeFrom="paragraph">
              <wp:posOffset>224106</wp:posOffset>
            </wp:positionV>
            <wp:extent cx="3485582" cy="1997582"/>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81" cstate="print"/>
                    <a:stretch>
                      <a:fillRect/>
                    </a:stretch>
                  </pic:blipFill>
                  <pic:spPr>
                    <a:xfrm>
                      <a:off x="0" y="0"/>
                      <a:ext cx="3485582" cy="1997582"/>
                    </a:xfrm>
                    <a:prstGeom prst="rect">
                      <a:avLst/>
                    </a:prstGeom>
                  </pic:spPr>
                </pic:pic>
              </a:graphicData>
            </a:graphic>
          </wp:anchor>
        </w:drawing>
      </w:r>
    </w:p>
    <w:p>
      <w:pPr>
        <w:spacing w:before="19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6"/>
          <w:sz w:val="19"/>
        </w:rPr>
        <w:t> </w:t>
      </w:r>
      <w:r>
        <w:rPr>
          <w:rFonts w:ascii="Arial" w:hAnsi="Arial"/>
          <w:b/>
          <w:color w:val="242B67"/>
          <w:sz w:val="19"/>
        </w:rPr>
        <w:t>59.47</w:t>
      </w:r>
      <w:r>
        <w:rPr>
          <w:rFonts w:ascii="Arial" w:hAnsi="Arial"/>
          <w:b/>
          <w:color w:val="242B67"/>
          <w:spacing w:val="17"/>
          <w:sz w:val="19"/>
        </w:rPr>
        <w:t> </w:t>
      </w:r>
      <w:r>
        <w:rPr>
          <w:rFonts w:ascii="Microsoft Sans Serif" w:hAnsi="Microsoft Sans Serif"/>
          <w:sz w:val="19"/>
        </w:rPr>
        <w:t>Úlcera</w:t>
      </w:r>
      <w:r>
        <w:rPr>
          <w:rFonts w:ascii="Microsoft Sans Serif" w:hAnsi="Microsoft Sans Serif"/>
          <w:spacing w:val="18"/>
          <w:sz w:val="19"/>
        </w:rPr>
        <w:t> </w:t>
      </w:r>
      <w:r>
        <w:rPr>
          <w:rFonts w:ascii="Microsoft Sans Serif" w:hAnsi="Microsoft Sans Serif"/>
          <w:sz w:val="19"/>
        </w:rPr>
        <w:t>isquêmica</w:t>
      </w:r>
      <w:r>
        <w:rPr>
          <w:rFonts w:ascii="Microsoft Sans Serif" w:hAnsi="Microsoft Sans Serif"/>
          <w:spacing w:val="19"/>
          <w:sz w:val="19"/>
        </w:rPr>
        <w:t> </w:t>
      </w:r>
      <w:r>
        <w:rPr>
          <w:rFonts w:ascii="Microsoft Sans Serif" w:hAnsi="Microsoft Sans Serif"/>
          <w:sz w:val="19"/>
        </w:rPr>
        <w:t>microangiopática</w:t>
      </w:r>
      <w:r>
        <w:rPr>
          <w:rFonts w:ascii="Microsoft Sans Serif" w:hAnsi="Microsoft Sans Serif"/>
          <w:spacing w:val="19"/>
          <w:sz w:val="19"/>
        </w:rPr>
        <w:t> </w:t>
      </w:r>
      <w:r>
        <w:rPr>
          <w:rFonts w:ascii="Microsoft Sans Serif" w:hAnsi="Microsoft Sans Serif"/>
          <w:sz w:val="19"/>
        </w:rPr>
        <w:t>no</w:t>
      </w:r>
      <w:r>
        <w:rPr>
          <w:rFonts w:ascii="Microsoft Sans Serif" w:hAnsi="Microsoft Sans Serif"/>
          <w:spacing w:val="18"/>
          <w:sz w:val="19"/>
        </w:rPr>
        <w:t> </w:t>
      </w:r>
      <w:r>
        <w:rPr>
          <w:rFonts w:ascii="Microsoft Sans Serif" w:hAnsi="Microsoft Sans Serif"/>
          <w:sz w:val="19"/>
        </w:rPr>
        <w:t>dorso</w:t>
      </w:r>
      <w:r>
        <w:rPr>
          <w:rFonts w:ascii="Microsoft Sans Serif" w:hAnsi="Microsoft Sans Serif"/>
          <w:spacing w:val="19"/>
          <w:sz w:val="19"/>
        </w:rPr>
        <w:t> </w:t>
      </w:r>
      <w:r>
        <w:rPr>
          <w:rFonts w:ascii="Microsoft Sans Serif" w:hAnsi="Microsoft Sans Serif"/>
          <w:sz w:val="19"/>
        </w:rPr>
        <w:t>do</w:t>
      </w:r>
      <w:r>
        <w:rPr>
          <w:rFonts w:ascii="Microsoft Sans Serif" w:hAnsi="Microsoft Sans Serif"/>
          <w:spacing w:val="18"/>
          <w:sz w:val="19"/>
        </w:rPr>
        <w:t> </w:t>
      </w:r>
      <w:r>
        <w:rPr>
          <w:rFonts w:ascii="Microsoft Sans Serif" w:hAnsi="Microsoft Sans Serif"/>
          <w:spacing w:val="-5"/>
          <w:sz w:val="19"/>
        </w:rPr>
        <w:t>pé.</w:t>
      </w:r>
    </w:p>
    <w:p>
      <w:pPr>
        <w:pStyle w:val="BodyText"/>
        <w:spacing w:before="167"/>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35968">
            <wp:simplePos x="0" y="0"/>
            <wp:positionH relativeFrom="page">
              <wp:posOffset>2039048</wp:posOffset>
            </wp:positionH>
            <wp:positionV relativeFrom="paragraph">
              <wp:posOffset>265365</wp:posOffset>
            </wp:positionV>
            <wp:extent cx="3485575" cy="2425636"/>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82" cstate="print"/>
                    <a:stretch>
                      <a:fillRect/>
                    </a:stretch>
                  </pic:blipFill>
                  <pic:spPr>
                    <a:xfrm>
                      <a:off x="0" y="0"/>
                      <a:ext cx="3485575" cy="2425636"/>
                    </a:xfrm>
                    <a:prstGeom prst="rect">
                      <a:avLst/>
                    </a:prstGeom>
                  </pic:spPr>
                </pic:pic>
              </a:graphicData>
            </a:graphic>
          </wp:anchor>
        </w:drawing>
      </w:r>
    </w:p>
    <w:p>
      <w:pPr>
        <w:spacing w:before="172"/>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2"/>
          <w:sz w:val="19"/>
        </w:rPr>
        <w:t> </w:t>
      </w:r>
      <w:r>
        <w:rPr>
          <w:rFonts w:ascii="Arial" w:hAnsi="Arial"/>
          <w:b/>
          <w:color w:val="242B67"/>
          <w:sz w:val="19"/>
        </w:rPr>
        <w:t>59.49</w:t>
      </w:r>
      <w:r>
        <w:rPr>
          <w:rFonts w:ascii="Arial" w:hAnsi="Arial"/>
          <w:b/>
          <w:color w:val="242B67"/>
          <w:spacing w:val="12"/>
          <w:sz w:val="19"/>
        </w:rPr>
        <w:t> </w:t>
      </w:r>
      <w:r>
        <w:rPr>
          <w:rFonts w:ascii="Microsoft Sans Serif" w:hAnsi="Microsoft Sans Serif"/>
          <w:sz w:val="19"/>
        </w:rPr>
        <w:t>Infecção</w:t>
      </w:r>
      <w:r>
        <w:rPr>
          <w:rFonts w:ascii="Microsoft Sans Serif" w:hAnsi="Microsoft Sans Serif"/>
          <w:spacing w:val="14"/>
          <w:sz w:val="19"/>
        </w:rPr>
        <w:t> </w:t>
      </w:r>
      <w:r>
        <w:rPr>
          <w:rFonts w:ascii="Microsoft Sans Serif" w:hAnsi="Microsoft Sans Serif"/>
          <w:sz w:val="19"/>
        </w:rPr>
        <w:t>plantar</w:t>
      </w:r>
      <w:r>
        <w:rPr>
          <w:rFonts w:ascii="Microsoft Sans Serif" w:hAnsi="Microsoft Sans Serif"/>
          <w:spacing w:val="8"/>
          <w:sz w:val="19"/>
        </w:rPr>
        <w:t> </w:t>
      </w:r>
      <w:r>
        <w:rPr>
          <w:rFonts w:ascii="Microsoft Sans Serif" w:hAnsi="Microsoft Sans Serif"/>
          <w:sz w:val="19"/>
        </w:rPr>
        <w:t>em</w:t>
      </w:r>
      <w:r>
        <w:rPr>
          <w:rFonts w:ascii="Microsoft Sans Serif" w:hAnsi="Microsoft Sans Serif"/>
          <w:spacing w:val="8"/>
          <w:sz w:val="19"/>
        </w:rPr>
        <w:t> </w:t>
      </w:r>
      <w:r>
        <w:rPr>
          <w:rFonts w:ascii="Microsoft Sans Serif" w:hAnsi="Microsoft Sans Serif"/>
          <w:sz w:val="19"/>
        </w:rPr>
        <w:t>pé</w:t>
      </w:r>
      <w:r>
        <w:rPr>
          <w:rFonts w:ascii="Microsoft Sans Serif" w:hAnsi="Microsoft Sans Serif"/>
          <w:spacing w:val="15"/>
          <w:sz w:val="19"/>
        </w:rPr>
        <w:t> </w:t>
      </w:r>
      <w:r>
        <w:rPr>
          <w:rFonts w:ascii="Microsoft Sans Serif" w:hAnsi="Microsoft Sans Serif"/>
          <w:sz w:val="19"/>
        </w:rPr>
        <w:t>isquêmico</w:t>
      </w:r>
      <w:r>
        <w:rPr>
          <w:rFonts w:ascii="Microsoft Sans Serif" w:hAnsi="Microsoft Sans Serif"/>
          <w:spacing w:val="14"/>
          <w:sz w:val="19"/>
        </w:rPr>
        <w:t> </w:t>
      </w:r>
      <w:r>
        <w:rPr>
          <w:rFonts w:ascii="Microsoft Sans Serif" w:hAnsi="Microsoft Sans Serif"/>
          <w:sz w:val="19"/>
        </w:rPr>
        <w:t>com</w:t>
      </w:r>
      <w:r>
        <w:rPr>
          <w:rFonts w:ascii="Microsoft Sans Serif" w:hAnsi="Microsoft Sans Serif"/>
          <w:spacing w:val="8"/>
          <w:sz w:val="19"/>
        </w:rPr>
        <w:t> </w:t>
      </w:r>
      <w:r>
        <w:rPr>
          <w:rFonts w:ascii="Microsoft Sans Serif" w:hAnsi="Microsoft Sans Serif"/>
          <w:sz w:val="19"/>
        </w:rPr>
        <w:t>necrose</w:t>
      </w:r>
      <w:r>
        <w:rPr>
          <w:rFonts w:ascii="Microsoft Sans Serif" w:hAnsi="Microsoft Sans Serif"/>
          <w:spacing w:val="14"/>
          <w:sz w:val="19"/>
        </w:rPr>
        <w:t> </w:t>
      </w:r>
      <w:r>
        <w:rPr>
          <w:rFonts w:ascii="Microsoft Sans Serif" w:hAnsi="Microsoft Sans Serif"/>
          <w:sz w:val="19"/>
        </w:rPr>
        <w:t>de</w:t>
      </w:r>
      <w:r>
        <w:rPr>
          <w:rFonts w:ascii="Microsoft Sans Serif" w:hAnsi="Microsoft Sans Serif"/>
          <w:spacing w:val="14"/>
          <w:sz w:val="19"/>
        </w:rPr>
        <w:t> </w:t>
      </w:r>
      <w:r>
        <w:rPr>
          <w:rFonts w:ascii="Microsoft Sans Serif" w:hAnsi="Microsoft Sans Serif"/>
          <w:sz w:val="19"/>
        </w:rPr>
        <w:t>quarto</w:t>
      </w:r>
      <w:r>
        <w:rPr>
          <w:rFonts w:ascii="Microsoft Sans Serif" w:hAnsi="Microsoft Sans Serif"/>
          <w:spacing w:val="15"/>
          <w:sz w:val="19"/>
        </w:rPr>
        <w:t> </w:t>
      </w:r>
      <w:r>
        <w:rPr>
          <w:rFonts w:ascii="Microsoft Sans Serif" w:hAnsi="Microsoft Sans Serif"/>
          <w:spacing w:val="-2"/>
          <w:sz w:val="19"/>
        </w:rPr>
        <w:t>dedo.</w:t>
      </w:r>
    </w:p>
    <w:p>
      <w:pPr>
        <w:pStyle w:val="BodyText"/>
        <w:spacing w:before="107"/>
        <w:ind w:left="0" w:firstLine="0"/>
        <w:jc w:val="left"/>
        <w:rPr>
          <w:rFonts w:ascii="Microsoft Sans Serif"/>
          <w:sz w:val="19"/>
        </w:rPr>
      </w:pPr>
    </w:p>
    <w:p>
      <w:pPr>
        <w:pStyle w:val="BodyText"/>
        <w:spacing w:line="283" w:lineRule="auto" w:before="0"/>
        <w:ind w:right="497"/>
      </w:pPr>
      <w:r>
        <w:rPr/>
        <w:t>As infecções são em geral mais extensas do que demonstram os sinais e sintomas; portanto, é necessário fazer um exame completo das áreas suspeitas e, inclusive, debridando as crostas das lesões no intuito de avaliar a verdadeira extensão da infecção.</w:t>
      </w:r>
      <w:r>
        <w:rPr>
          <w:vertAlign w:val="superscript"/>
        </w:rPr>
        <w:t>19</w:t>
      </w:r>
    </w:p>
    <w:p>
      <w:pPr>
        <w:pStyle w:val="BodyText"/>
        <w:spacing w:line="276" w:lineRule="auto" w:before="41"/>
        <w:ind w:right="488"/>
      </w:pPr>
      <w:r>
        <w:rPr/>
        <w:t>Quando</w:t>
      </w:r>
      <w:r>
        <w:rPr>
          <w:spacing w:val="-8"/>
        </w:rPr>
        <w:t> </w:t>
      </w:r>
      <w:r>
        <w:rPr/>
        <w:t>há</w:t>
      </w:r>
      <w:r>
        <w:rPr>
          <w:spacing w:val="-11"/>
        </w:rPr>
        <w:t> </w:t>
      </w:r>
      <w:r>
        <w:rPr/>
        <w:t>úlceras</w:t>
      </w:r>
      <w:r>
        <w:rPr>
          <w:spacing w:val="-1"/>
        </w:rPr>
        <w:t> </w:t>
      </w:r>
      <w:r>
        <w:rPr/>
        <w:t>plantares,</w:t>
      </w:r>
      <w:r>
        <w:rPr>
          <w:spacing w:val="-1"/>
        </w:rPr>
        <w:t> </w:t>
      </w:r>
      <w:r>
        <w:rPr/>
        <w:t>torna-se</w:t>
      </w:r>
      <w:r>
        <w:rPr>
          <w:spacing w:val="-11"/>
        </w:rPr>
        <w:t> </w:t>
      </w:r>
      <w:r>
        <w:rPr/>
        <w:t>necessário</w:t>
      </w:r>
      <w:r>
        <w:rPr>
          <w:spacing w:val="-8"/>
        </w:rPr>
        <w:t> </w:t>
      </w:r>
      <w:r>
        <w:rPr/>
        <w:t>avaliar</w:t>
      </w:r>
      <w:r>
        <w:rPr>
          <w:spacing w:val="-4"/>
        </w:rPr>
        <w:t> </w:t>
      </w:r>
      <w:r>
        <w:rPr/>
        <w:t>sua</w:t>
      </w:r>
      <w:r>
        <w:rPr>
          <w:spacing w:val="-11"/>
        </w:rPr>
        <w:t> </w:t>
      </w:r>
      <w:r>
        <w:rPr/>
        <w:t>profundidade,</w:t>
      </w:r>
      <w:r>
        <w:rPr>
          <w:spacing w:val="-1"/>
        </w:rPr>
        <w:t> </w:t>
      </w:r>
      <w:r>
        <w:rPr/>
        <w:t>empregando-se</w:t>
      </w:r>
      <w:r>
        <w:rPr>
          <w:spacing w:val="-11"/>
        </w:rPr>
        <w:t> </w:t>
      </w:r>
      <w:r>
        <w:rPr/>
        <w:t>haste</w:t>
      </w:r>
      <w:r>
        <w:rPr>
          <w:spacing w:val="-11"/>
        </w:rPr>
        <w:t> </w:t>
      </w:r>
      <w:r>
        <w:rPr/>
        <w:t>metálica</w:t>
      </w:r>
      <w:r>
        <w:rPr>
          <w:spacing w:val="-11"/>
        </w:rPr>
        <w:t> </w:t>
      </w:r>
      <w:r>
        <w:rPr/>
        <w:t>romba e</w:t>
      </w:r>
      <w:r>
        <w:rPr>
          <w:spacing w:val="-4"/>
        </w:rPr>
        <w:t> </w:t>
      </w:r>
      <w:r>
        <w:rPr/>
        <w:t>estéril; se</w:t>
      </w:r>
      <w:r>
        <w:rPr>
          <w:spacing w:val="-4"/>
        </w:rPr>
        <w:t> </w:t>
      </w:r>
      <w:r>
        <w:rPr/>
        <w:t>eventualmente</w:t>
      </w:r>
      <w:r>
        <w:rPr>
          <w:spacing w:val="-4"/>
        </w:rPr>
        <w:t> </w:t>
      </w:r>
      <w:r>
        <w:rPr/>
        <w:t>ela</w:t>
      </w:r>
      <w:r>
        <w:rPr>
          <w:spacing w:val="-4"/>
        </w:rPr>
        <w:t> </w:t>
      </w:r>
      <w:r>
        <w:rPr/>
        <w:t>se</w:t>
      </w:r>
      <w:r>
        <w:rPr>
          <w:spacing w:val="-4"/>
        </w:rPr>
        <w:t> </w:t>
      </w:r>
      <w:r>
        <w:rPr/>
        <w:t>estender até</w:t>
      </w:r>
      <w:r>
        <w:rPr>
          <w:spacing w:val="-4"/>
        </w:rPr>
        <w:t> </w:t>
      </w:r>
      <w:r>
        <w:rPr/>
        <w:t>o</w:t>
      </w:r>
      <w:r>
        <w:rPr>
          <w:spacing w:val="-1"/>
        </w:rPr>
        <w:t> </w:t>
      </w:r>
      <w:r>
        <w:rPr/>
        <w:t>plano</w:t>
      </w:r>
      <w:r>
        <w:rPr>
          <w:spacing w:val="-1"/>
        </w:rPr>
        <w:t> </w:t>
      </w:r>
      <w:r>
        <w:rPr/>
        <w:t>ósseo, a</w:t>
      </w:r>
      <w:r>
        <w:rPr>
          <w:spacing w:val="-4"/>
        </w:rPr>
        <w:t> </w:t>
      </w:r>
      <w:r>
        <w:rPr/>
        <w:t>suspeita</w:t>
      </w:r>
      <w:r>
        <w:rPr>
          <w:spacing w:val="-4"/>
        </w:rPr>
        <w:t> </w:t>
      </w:r>
      <w:r>
        <w:rPr/>
        <w:t>de</w:t>
      </w:r>
      <w:r>
        <w:rPr>
          <w:spacing w:val="-4"/>
        </w:rPr>
        <w:t> </w:t>
      </w:r>
      <w:r>
        <w:rPr/>
        <w:t>osteomielite</w:t>
      </w:r>
      <w:r>
        <w:rPr>
          <w:spacing w:val="-4"/>
        </w:rPr>
        <w:t> </w:t>
      </w:r>
      <w:r>
        <w:rPr/>
        <w:t>deve</w:t>
      </w:r>
      <w:r>
        <w:rPr>
          <w:spacing w:val="-4"/>
        </w:rPr>
        <w:t> </w:t>
      </w:r>
      <w:r>
        <w:rPr/>
        <w:t>ser valorizada, pois ela está presente em até 70% das úlceras de aparência benigna. Seu diagnóstico pode ser concretizado por radiografia simples do pé que, em caso positivo, mostrará erosões ósseas. É preciso ressaltar que nem sempre a radiografia inicial</w:t>
      </w:r>
      <w:r>
        <w:rPr>
          <w:spacing w:val="-3"/>
        </w:rPr>
        <w:t> </w:t>
      </w:r>
      <w:r>
        <w:rPr/>
        <w:t>é</w:t>
      </w:r>
      <w:r>
        <w:rPr>
          <w:spacing w:val="-8"/>
        </w:rPr>
        <w:t> </w:t>
      </w:r>
      <w:r>
        <w:rPr/>
        <w:t>suficiente</w:t>
      </w:r>
      <w:r>
        <w:rPr>
          <w:spacing w:val="-8"/>
        </w:rPr>
        <w:t> </w:t>
      </w:r>
      <w:r>
        <w:rPr/>
        <w:t>para</w:t>
      </w:r>
      <w:r>
        <w:rPr>
          <w:spacing w:val="-8"/>
        </w:rPr>
        <w:t> </w:t>
      </w:r>
      <w:r>
        <w:rPr/>
        <w:t>mostrar</w:t>
      </w:r>
      <w:r>
        <w:rPr>
          <w:spacing w:val="-1"/>
        </w:rPr>
        <w:t> </w:t>
      </w:r>
      <w:r>
        <w:rPr/>
        <w:t>as alterações ósseas, sendo</w:t>
      </w:r>
      <w:r>
        <w:rPr>
          <w:spacing w:val="-6"/>
        </w:rPr>
        <w:t> </w:t>
      </w:r>
      <w:r>
        <w:rPr/>
        <w:t>necessária</w:t>
      </w:r>
      <w:r>
        <w:rPr>
          <w:spacing w:val="-8"/>
        </w:rPr>
        <w:t> </w:t>
      </w:r>
      <w:r>
        <w:rPr/>
        <w:t>sua</w:t>
      </w:r>
      <w:r>
        <w:rPr>
          <w:spacing w:val="-8"/>
        </w:rPr>
        <w:t> </w:t>
      </w:r>
      <w:r>
        <w:rPr/>
        <w:t>repetição</w:t>
      </w:r>
      <w:r>
        <w:rPr>
          <w:spacing w:val="-6"/>
        </w:rPr>
        <w:t> </w:t>
      </w:r>
      <w:r>
        <w:rPr/>
        <w:t>2</w:t>
      </w:r>
      <w:r>
        <w:rPr>
          <w:spacing w:val="-6"/>
        </w:rPr>
        <w:t> </w:t>
      </w:r>
      <w:r>
        <w:rPr/>
        <w:t>semanas após, quando, então, as lesões erosivas podem</w:t>
      </w:r>
      <w:r>
        <w:rPr>
          <w:spacing w:val="-5"/>
        </w:rPr>
        <w:t> </w:t>
      </w:r>
      <w:r>
        <w:rPr/>
        <w:t>estar mais evidentes. Outros métodos auxiliares de</w:t>
      </w:r>
      <w:r>
        <w:rPr>
          <w:spacing w:val="-8"/>
        </w:rPr>
        <w:t> </w:t>
      </w:r>
      <w:r>
        <w:rPr/>
        <w:t>diagnóstico</w:t>
      </w:r>
      <w:r>
        <w:rPr>
          <w:spacing w:val="-5"/>
        </w:rPr>
        <w:t> </w:t>
      </w:r>
      <w:r>
        <w:rPr/>
        <w:t>da</w:t>
      </w:r>
      <w:r>
        <w:rPr>
          <w:spacing w:val="-8"/>
        </w:rPr>
        <w:t> </w:t>
      </w:r>
      <w:r>
        <w:rPr/>
        <w:t>osteomielite</w:t>
      </w:r>
      <w:r>
        <w:rPr>
          <w:spacing w:val="-8"/>
        </w:rPr>
        <w:t> </w:t>
      </w:r>
      <w:r>
        <w:rPr/>
        <w:t>podem</w:t>
      </w:r>
      <w:r>
        <w:rPr>
          <w:spacing w:val="-5"/>
        </w:rPr>
        <w:t> </w:t>
      </w:r>
      <w:r>
        <w:rPr/>
        <w:t>ser úteis, particularmente a RM que é o exame mais acurado para diagnosticar osteomielite, além de poder revelar a presença</w:t>
      </w:r>
      <w:r>
        <w:rPr>
          <w:spacing w:val="-3"/>
        </w:rPr>
        <w:t> </w:t>
      </w:r>
      <w:r>
        <w:rPr/>
        <w:t>de</w:t>
      </w:r>
      <w:r>
        <w:rPr>
          <w:spacing w:val="-3"/>
        </w:rPr>
        <w:t> </w:t>
      </w:r>
      <w:r>
        <w:rPr/>
        <w:t>abscessos. Se</w:t>
      </w:r>
      <w:r>
        <w:rPr>
          <w:spacing w:val="-3"/>
        </w:rPr>
        <w:t> </w:t>
      </w:r>
      <w:r>
        <w:rPr/>
        <w:t>a</w:t>
      </w:r>
      <w:r>
        <w:rPr>
          <w:spacing w:val="-3"/>
        </w:rPr>
        <w:t> </w:t>
      </w:r>
      <w:r>
        <w:rPr/>
        <w:t>ressonância</w:t>
      </w:r>
      <w:r>
        <w:rPr>
          <w:spacing w:val="-3"/>
        </w:rPr>
        <w:t> </w:t>
      </w:r>
      <w:r>
        <w:rPr/>
        <w:t>não estiver disponível ou houver contraindicação ao seu emprego, pode-se utilizar o mapeamento ósseo com tecnécio ou índio radioativos ou a</w:t>
      </w:r>
      <w:r>
        <w:rPr>
          <w:spacing w:val="-2"/>
        </w:rPr>
        <w:t> </w:t>
      </w:r>
      <w:r>
        <w:rPr/>
        <w:t>tomografia</w:t>
      </w:r>
      <w:r>
        <w:rPr>
          <w:spacing w:val="-2"/>
        </w:rPr>
        <w:t> </w:t>
      </w:r>
      <w:r>
        <w:rPr/>
        <w:t>por emissão de</w:t>
      </w:r>
      <w:r>
        <w:rPr>
          <w:spacing w:val="-2"/>
        </w:rPr>
        <w:t> </w:t>
      </w:r>
      <w:r>
        <w:rPr/>
        <w:t>pósitrons (PET, do inglês, </w:t>
      </w:r>
      <w:r>
        <w:rPr>
          <w:i/>
        </w:rPr>
        <w:t>positron emission tomography</w:t>
      </w:r>
      <w:r>
        <w:rPr/>
        <w:t>) que são dispendiosos e com resultados ainda não bem estabelecidos. As infecções são, em geral, polimicrobianas e a cultura da secreção com antibiograma é útil para orientar adequada terapêutica antibiótica.</w:t>
      </w:r>
    </w:p>
    <w:p>
      <w:pPr>
        <w:pStyle w:val="BodyText"/>
        <w:spacing w:line="276" w:lineRule="auto"/>
        <w:ind w:right="497"/>
      </w:pPr>
      <w:r>
        <w:rPr/>
        <w:t>A</w:t>
      </w:r>
      <w:r>
        <w:rPr>
          <w:spacing w:val="-1"/>
        </w:rPr>
        <w:t> </w:t>
      </w:r>
      <w:r>
        <w:rPr/>
        <w:t>determinação do índice</w:t>
      </w:r>
      <w:r>
        <w:rPr>
          <w:spacing w:val="-1"/>
        </w:rPr>
        <w:t> </w:t>
      </w:r>
      <w:r>
        <w:rPr/>
        <w:t>tornozelo-braço (ITB) pode</w:t>
      </w:r>
      <w:r>
        <w:rPr>
          <w:spacing w:val="-1"/>
        </w:rPr>
        <w:t> </w:t>
      </w:r>
      <w:r>
        <w:rPr/>
        <w:t>ser útil para</w:t>
      </w:r>
      <w:r>
        <w:rPr>
          <w:spacing w:val="-1"/>
        </w:rPr>
        <w:t> </w:t>
      </w:r>
      <w:r>
        <w:rPr/>
        <w:t>avaliar funcionalmente</w:t>
      </w:r>
      <w:r>
        <w:rPr>
          <w:spacing w:val="-1"/>
        </w:rPr>
        <w:t> </w:t>
      </w:r>
      <w:r>
        <w:rPr/>
        <w:t>a</w:t>
      </w:r>
      <w:r>
        <w:rPr>
          <w:spacing w:val="-1"/>
        </w:rPr>
        <w:t> </w:t>
      </w:r>
      <w:r>
        <w:rPr/>
        <w:t>circulação arterial. Um ITB &lt; 0,45 no diabético sugere que a ferida será de difícil cicatrização. Porém, a calcinose arterial da média é frequente, resultando em artérias não compressíveis e com pressões sistólicas altas. Este achado é mais frequente nos diabéticos insulinodependentes de longa duração, predominando nos vasos tibiais e plantares, poupando, habitualmente, os vasos digitais. Um</w:t>
      </w:r>
      <w:r>
        <w:rPr>
          <w:spacing w:val="-1"/>
        </w:rPr>
        <w:t> </w:t>
      </w:r>
      <w:r>
        <w:rPr/>
        <w:t>ITB &gt; 1,0</w:t>
      </w:r>
      <w:r>
        <w:rPr>
          <w:spacing w:val="-1"/>
        </w:rPr>
        <w:t> </w:t>
      </w:r>
      <w:r>
        <w:rPr/>
        <w:t>sugere</w:t>
      </w:r>
      <w:r>
        <w:rPr>
          <w:spacing w:val="-4"/>
        </w:rPr>
        <w:t> </w:t>
      </w:r>
      <w:r>
        <w:rPr/>
        <w:t>calcificação</w:t>
      </w:r>
      <w:r>
        <w:rPr>
          <w:spacing w:val="-1"/>
        </w:rPr>
        <w:t> </w:t>
      </w:r>
      <w:r>
        <w:rPr/>
        <w:t>arterial, tornando-se, então, necessário</w:t>
      </w:r>
      <w:r>
        <w:rPr>
          <w:spacing w:val="-1"/>
        </w:rPr>
        <w:t> </w:t>
      </w:r>
      <w:r>
        <w:rPr/>
        <w:t>recorrer a</w:t>
      </w:r>
      <w:r>
        <w:rPr>
          <w:spacing w:val="40"/>
        </w:rPr>
        <w:t> </w:t>
      </w:r>
      <w:r>
        <w:rPr/>
        <w:t>medidas</w:t>
      </w:r>
      <w:r>
        <w:rPr>
          <w:spacing w:val="64"/>
        </w:rPr>
        <w:t> </w:t>
      </w:r>
      <w:r>
        <w:rPr/>
        <w:t>de</w:t>
      </w:r>
      <w:r>
        <w:rPr>
          <w:spacing w:val="40"/>
        </w:rPr>
        <w:t> </w:t>
      </w:r>
      <w:r>
        <w:rPr/>
        <w:t>pressão</w:t>
      </w:r>
      <w:r>
        <w:rPr>
          <w:spacing w:val="56"/>
        </w:rPr>
        <w:t> </w:t>
      </w:r>
      <w:r>
        <w:rPr/>
        <w:t>nos</w:t>
      </w:r>
      <w:r>
        <w:rPr>
          <w:spacing w:val="64"/>
        </w:rPr>
        <w:t> </w:t>
      </w:r>
      <w:r>
        <w:rPr/>
        <w:t>pododáctilos</w:t>
      </w:r>
      <w:r>
        <w:rPr>
          <w:spacing w:val="64"/>
        </w:rPr>
        <w:t> </w:t>
      </w:r>
      <w:r>
        <w:rPr/>
        <w:t>(PPD),</w:t>
      </w:r>
      <w:r>
        <w:rPr>
          <w:spacing w:val="64"/>
        </w:rPr>
        <w:t> </w:t>
      </w:r>
      <w:r>
        <w:rPr/>
        <w:t>onde</w:t>
      </w:r>
      <w:r>
        <w:rPr>
          <w:spacing w:val="40"/>
        </w:rPr>
        <w:t> </w:t>
      </w:r>
      <w:r>
        <w:rPr/>
        <w:t>as</w:t>
      </w:r>
      <w:r>
        <w:rPr>
          <w:spacing w:val="64"/>
        </w:rPr>
        <w:t> </w:t>
      </w:r>
      <w:r>
        <w:rPr/>
        <w:t>artérias</w:t>
      </w:r>
      <w:r>
        <w:rPr>
          <w:spacing w:val="64"/>
        </w:rPr>
        <w:t> </w:t>
      </w:r>
      <w:r>
        <w:rPr/>
        <w:t>apresentam</w:t>
      </w:r>
      <w:r>
        <w:rPr>
          <w:spacing w:val="56"/>
        </w:rPr>
        <w:t> </w:t>
      </w:r>
      <w:r>
        <w:rPr/>
        <w:t>menos</w:t>
      </w:r>
      <w:r>
        <w:rPr>
          <w:spacing w:val="64"/>
        </w:rPr>
        <w:t> </w:t>
      </w:r>
      <w:r>
        <w:rPr/>
        <w:t>calcificação,</w:t>
      </w:r>
      <w:r>
        <w:rPr>
          <w:spacing w:val="64"/>
        </w:rPr>
        <w:t> </w:t>
      </w:r>
      <w:r>
        <w:rPr/>
        <w:t>ou</w:t>
      </w:r>
      <w:r>
        <w:rPr>
          <w:spacing w:val="56"/>
        </w:rPr>
        <w:t> </w:t>
      </w:r>
      <w:r>
        <w:rPr/>
        <w:t>pressão</w:t>
      </w:r>
    </w:p>
    <w:p>
      <w:pPr>
        <w:pStyle w:val="BodyText"/>
        <w:spacing w:after="0" w:line="276" w:lineRule="auto"/>
        <w:sectPr>
          <w:pgSz w:w="11900" w:h="16840"/>
          <w:pgMar w:top="120" w:bottom="280" w:left="566" w:right="141"/>
        </w:sectPr>
      </w:pPr>
    </w:p>
    <w:p>
      <w:pPr>
        <w:pStyle w:val="BodyText"/>
        <w:spacing w:line="280" w:lineRule="auto" w:before="76"/>
        <w:ind w:right="497" w:firstLine="0"/>
      </w:pPr>
      <w:r>
        <w:rPr/>
        <w:t>transcutânea</w:t>
      </w:r>
      <w:r>
        <w:rPr>
          <w:spacing w:val="-9"/>
        </w:rPr>
        <w:t> </w:t>
      </w:r>
      <w:r>
        <w:rPr/>
        <w:t>de</w:t>
      </w:r>
      <w:r>
        <w:rPr>
          <w:spacing w:val="-9"/>
        </w:rPr>
        <w:t> </w:t>
      </w:r>
      <w:r>
        <w:rPr/>
        <w:t>oxigênio</w:t>
      </w:r>
      <w:r>
        <w:rPr>
          <w:spacing w:val="-6"/>
        </w:rPr>
        <w:t> </w:t>
      </w:r>
      <w:r>
        <w:rPr/>
        <w:t>(TcPO</w:t>
      </w:r>
      <w:r>
        <w:rPr>
          <w:vertAlign w:val="subscript"/>
        </w:rPr>
        <w:t>2</w:t>
      </w:r>
      <w:r>
        <w:rPr>
          <w:vertAlign w:val="baseline"/>
        </w:rPr>
        <w:t>). A</w:t>
      </w:r>
      <w:r>
        <w:rPr>
          <w:spacing w:val="-8"/>
          <w:vertAlign w:val="baseline"/>
        </w:rPr>
        <w:t> </w:t>
      </w:r>
      <w:r>
        <w:rPr>
          <w:vertAlign w:val="baseline"/>
        </w:rPr>
        <w:t>pressão</w:t>
      </w:r>
      <w:r>
        <w:rPr>
          <w:spacing w:val="-6"/>
          <w:vertAlign w:val="baseline"/>
        </w:rPr>
        <w:t> </w:t>
      </w:r>
      <w:r>
        <w:rPr>
          <w:vertAlign w:val="baseline"/>
        </w:rPr>
        <w:t>sistólica</w:t>
      </w:r>
      <w:r>
        <w:rPr>
          <w:spacing w:val="-8"/>
          <w:vertAlign w:val="baseline"/>
        </w:rPr>
        <w:t> </w:t>
      </w:r>
      <w:r>
        <w:rPr>
          <w:vertAlign w:val="baseline"/>
        </w:rPr>
        <w:t>no</w:t>
      </w:r>
      <w:r>
        <w:rPr>
          <w:spacing w:val="-6"/>
          <w:vertAlign w:val="baseline"/>
        </w:rPr>
        <w:t> </w:t>
      </w:r>
      <w:r>
        <w:rPr>
          <w:vertAlign w:val="baseline"/>
        </w:rPr>
        <w:t>pododáctilo</w:t>
      </w:r>
      <w:r>
        <w:rPr>
          <w:spacing w:val="-6"/>
          <w:vertAlign w:val="baseline"/>
        </w:rPr>
        <w:t> </w:t>
      </w:r>
      <w:r>
        <w:rPr>
          <w:vertAlign w:val="baseline"/>
        </w:rPr>
        <w:t>&lt;</w:t>
      </w:r>
      <w:r>
        <w:rPr>
          <w:spacing w:val="-5"/>
          <w:vertAlign w:val="baseline"/>
        </w:rPr>
        <w:t> </w:t>
      </w:r>
      <w:r>
        <w:rPr>
          <w:vertAlign w:val="baseline"/>
        </w:rPr>
        <w:t>30</w:t>
      </w:r>
      <w:r>
        <w:rPr>
          <w:spacing w:val="-6"/>
          <w:vertAlign w:val="baseline"/>
        </w:rPr>
        <w:t> </w:t>
      </w:r>
      <w:r>
        <w:rPr>
          <w:vertAlign w:val="baseline"/>
        </w:rPr>
        <w:t>mmHg</w:t>
      </w:r>
      <w:r>
        <w:rPr>
          <w:spacing w:val="-6"/>
          <w:vertAlign w:val="baseline"/>
        </w:rPr>
        <w:t> </w:t>
      </w:r>
      <w:r>
        <w:rPr>
          <w:vertAlign w:val="baseline"/>
        </w:rPr>
        <w:t>aumenta</w:t>
      </w:r>
      <w:r>
        <w:rPr>
          <w:spacing w:val="-8"/>
          <w:vertAlign w:val="baseline"/>
        </w:rPr>
        <w:t> </w:t>
      </w:r>
      <w:r>
        <w:rPr>
          <w:vertAlign w:val="baseline"/>
        </w:rPr>
        <w:t>o</w:t>
      </w:r>
      <w:r>
        <w:rPr>
          <w:spacing w:val="-6"/>
          <w:vertAlign w:val="baseline"/>
        </w:rPr>
        <w:t> </w:t>
      </w:r>
      <w:r>
        <w:rPr>
          <w:vertAlign w:val="baseline"/>
        </w:rPr>
        <w:t>risco</w:t>
      </w:r>
      <w:r>
        <w:rPr>
          <w:spacing w:val="-6"/>
          <w:vertAlign w:val="baseline"/>
        </w:rPr>
        <w:t> </w:t>
      </w:r>
      <w:r>
        <w:rPr>
          <w:vertAlign w:val="baseline"/>
        </w:rPr>
        <w:t>de</w:t>
      </w:r>
      <w:r>
        <w:rPr>
          <w:spacing w:val="-8"/>
          <w:vertAlign w:val="baseline"/>
        </w:rPr>
        <w:t> </w:t>
      </w:r>
      <w:r>
        <w:rPr>
          <w:vertAlign w:val="baseline"/>
        </w:rPr>
        <w:t>amputação. A determinação da PPD tem se mostrado útil em pacientes com obstrução combinada poplíteo-distal e, ainda, nas oclusões de artérias do pé, permitindo selecionar pacientes para tratamento cirúrgico precoce, sem que se alongue um tratamento conservador sem perspectiva de sucesso. Uma limitação da PPD é a proximidade da úlcera com o manguito. A TcPO</w:t>
      </w:r>
      <w:r>
        <w:rPr>
          <w:vertAlign w:val="subscript"/>
        </w:rPr>
        <w:t>2</w:t>
      </w:r>
      <w:r>
        <w:rPr>
          <w:vertAlign w:val="baseline"/>
        </w:rPr>
        <w:t> &lt; 30 mmHg sugere difícil cicatrização, porém tem limitações de custo, de padronização dos aparelhos e uma grande variação de resultados, fornecendo, às vezes, valores mais altos do que em pacientes não </w:t>
      </w:r>
      <w:r>
        <w:rPr>
          <w:spacing w:val="-2"/>
          <w:vertAlign w:val="baseline"/>
        </w:rPr>
        <w:t>diabéticos.</w:t>
      </w:r>
    </w:p>
    <w:p>
      <w:pPr>
        <w:pStyle w:val="BodyText"/>
        <w:spacing w:before="98"/>
        <w:ind w:left="0" w:firstLine="0"/>
        <w:jc w:val="left"/>
        <w:rPr>
          <w:sz w:val="20"/>
        </w:rPr>
      </w:pPr>
      <w:r>
        <w:rPr>
          <w:sz w:val="20"/>
        </w:rPr>
        <w:drawing>
          <wp:anchor distT="0" distB="0" distL="0" distR="0" allowOverlap="1" layoutInCell="1" locked="0" behindDoc="1" simplePos="0" relativeHeight="487636480">
            <wp:simplePos x="0" y="0"/>
            <wp:positionH relativeFrom="page">
              <wp:posOffset>2476385</wp:posOffset>
            </wp:positionH>
            <wp:positionV relativeFrom="paragraph">
              <wp:posOffset>223957</wp:posOffset>
            </wp:positionV>
            <wp:extent cx="2609088" cy="3475386"/>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83" cstate="print"/>
                    <a:stretch>
                      <a:fillRect/>
                    </a:stretch>
                  </pic:blipFill>
                  <pic:spPr>
                    <a:xfrm>
                      <a:off x="0" y="0"/>
                      <a:ext cx="2609088" cy="3475386"/>
                    </a:xfrm>
                    <a:prstGeom prst="rect">
                      <a:avLst/>
                    </a:prstGeom>
                  </pic:spPr>
                </pic:pic>
              </a:graphicData>
            </a:graphic>
          </wp:anchor>
        </w:drawing>
      </w:r>
    </w:p>
    <w:p>
      <w:pPr>
        <w:spacing w:before="197"/>
        <w:ind w:left="68" w:right="0" w:firstLine="0"/>
        <w:jc w:val="both"/>
        <w:rPr>
          <w:rFonts w:ascii="Microsoft Sans Serif" w:hAnsi="Microsoft Sans Serif"/>
          <w:sz w:val="19"/>
        </w:rPr>
      </w:pPr>
      <w:r>
        <w:rPr>
          <w:rFonts w:ascii="Arial" w:hAnsi="Arial"/>
          <w:b/>
          <w:color w:val="242B67"/>
          <w:sz w:val="19"/>
        </w:rPr>
        <w:t>Figura</w:t>
      </w:r>
      <w:r>
        <w:rPr>
          <w:rFonts w:ascii="Arial" w:hAnsi="Arial"/>
          <w:b/>
          <w:color w:val="242B67"/>
          <w:spacing w:val="10"/>
          <w:sz w:val="19"/>
        </w:rPr>
        <w:t> </w:t>
      </w:r>
      <w:r>
        <w:rPr>
          <w:rFonts w:ascii="Arial" w:hAnsi="Arial"/>
          <w:b/>
          <w:color w:val="242B67"/>
          <w:sz w:val="19"/>
        </w:rPr>
        <w:t>59.48</w:t>
      </w:r>
      <w:r>
        <w:rPr>
          <w:rFonts w:ascii="Arial" w:hAnsi="Arial"/>
          <w:b/>
          <w:color w:val="242B67"/>
          <w:spacing w:val="11"/>
          <w:sz w:val="19"/>
        </w:rPr>
        <w:t> </w:t>
      </w:r>
      <w:r>
        <w:rPr>
          <w:rFonts w:ascii="Microsoft Sans Serif" w:hAnsi="Microsoft Sans Serif"/>
          <w:sz w:val="19"/>
        </w:rPr>
        <w:t>Pé</w:t>
      </w:r>
      <w:r>
        <w:rPr>
          <w:rFonts w:ascii="Microsoft Sans Serif" w:hAnsi="Microsoft Sans Serif"/>
          <w:spacing w:val="13"/>
          <w:sz w:val="19"/>
        </w:rPr>
        <w:t> </w:t>
      </w:r>
      <w:r>
        <w:rPr>
          <w:rFonts w:ascii="Microsoft Sans Serif" w:hAnsi="Microsoft Sans Serif"/>
          <w:sz w:val="19"/>
        </w:rPr>
        <w:t>isquêmico</w:t>
      </w:r>
      <w:r>
        <w:rPr>
          <w:rFonts w:ascii="Microsoft Sans Serif" w:hAnsi="Microsoft Sans Serif"/>
          <w:spacing w:val="13"/>
          <w:sz w:val="19"/>
        </w:rPr>
        <w:t> </w:t>
      </w:r>
      <w:r>
        <w:rPr>
          <w:rFonts w:ascii="Microsoft Sans Serif" w:hAnsi="Microsoft Sans Serif"/>
          <w:sz w:val="19"/>
        </w:rPr>
        <w:t>com</w:t>
      </w:r>
      <w:r>
        <w:rPr>
          <w:rFonts w:ascii="Microsoft Sans Serif" w:hAnsi="Microsoft Sans Serif"/>
          <w:spacing w:val="6"/>
          <w:sz w:val="19"/>
        </w:rPr>
        <w:t> </w:t>
      </w:r>
      <w:r>
        <w:rPr>
          <w:rFonts w:ascii="Microsoft Sans Serif" w:hAnsi="Microsoft Sans Serif"/>
          <w:sz w:val="19"/>
        </w:rPr>
        <w:t>necrose</w:t>
      </w:r>
      <w:r>
        <w:rPr>
          <w:rFonts w:ascii="Microsoft Sans Serif" w:hAnsi="Microsoft Sans Serif"/>
          <w:spacing w:val="13"/>
          <w:sz w:val="19"/>
        </w:rPr>
        <w:t> </w:t>
      </w:r>
      <w:r>
        <w:rPr>
          <w:rFonts w:ascii="Microsoft Sans Serif" w:hAnsi="Microsoft Sans Serif"/>
          <w:spacing w:val="-2"/>
          <w:sz w:val="19"/>
        </w:rPr>
        <w:t>extensa.</w:t>
      </w:r>
    </w:p>
    <w:p>
      <w:pPr>
        <w:pStyle w:val="BodyText"/>
        <w:spacing w:before="106"/>
        <w:ind w:left="0" w:firstLine="0"/>
        <w:jc w:val="left"/>
        <w:rPr>
          <w:rFonts w:ascii="Microsoft Sans Serif"/>
          <w:sz w:val="19"/>
        </w:rPr>
      </w:pPr>
    </w:p>
    <w:p>
      <w:pPr>
        <w:pStyle w:val="BodyText"/>
        <w:spacing w:line="276" w:lineRule="auto" w:before="1"/>
        <w:ind w:right="497"/>
      </w:pPr>
      <w:r>
        <w:rPr/>
        <w:t>O estudo angiográfico, por meio da arteriografia convencional ou de angiotomografia ou angiorressonância, constitui o método mais adequado para se verificar a extensão da doença arterial e o grau de desenvolvimento da circulação colateral, possibilitando a avaliação da circulação distal com vistas a uma possível revascularização do membro. Deve ser realizada nos pacientes em que há indicação para a restauração arterial a fim de que possa fazer um planejamento cirúrgico prévio. É importante saber que frequentemente as artérias do pé permanecem permeáveis, mesmo</w:t>
      </w:r>
      <w:r>
        <w:rPr>
          <w:spacing w:val="-6"/>
        </w:rPr>
        <w:t> </w:t>
      </w:r>
      <w:r>
        <w:rPr/>
        <w:t>com</w:t>
      </w:r>
      <w:r>
        <w:rPr>
          <w:spacing w:val="-6"/>
        </w:rPr>
        <w:t> </w:t>
      </w:r>
      <w:r>
        <w:rPr/>
        <w:t>a</w:t>
      </w:r>
      <w:r>
        <w:rPr>
          <w:spacing w:val="-8"/>
        </w:rPr>
        <w:t> </w:t>
      </w:r>
      <w:r>
        <w:rPr/>
        <w:t>oclusão</w:t>
      </w:r>
      <w:r>
        <w:rPr>
          <w:spacing w:val="-6"/>
        </w:rPr>
        <w:t> </w:t>
      </w:r>
      <w:r>
        <w:rPr/>
        <w:t>das artérias femorais ou</w:t>
      </w:r>
      <w:r>
        <w:rPr>
          <w:spacing w:val="-6"/>
        </w:rPr>
        <w:t> </w:t>
      </w:r>
      <w:r>
        <w:rPr/>
        <w:t>tibiais. Assim, é</w:t>
      </w:r>
      <w:r>
        <w:rPr>
          <w:spacing w:val="-8"/>
        </w:rPr>
        <w:t> </w:t>
      </w:r>
      <w:r>
        <w:rPr/>
        <w:t>fundamental</w:t>
      </w:r>
      <w:r>
        <w:rPr>
          <w:spacing w:val="-3"/>
        </w:rPr>
        <w:t> </w:t>
      </w:r>
      <w:r>
        <w:rPr/>
        <w:t>que</w:t>
      </w:r>
      <w:r>
        <w:rPr>
          <w:spacing w:val="-8"/>
        </w:rPr>
        <w:t> </w:t>
      </w:r>
      <w:r>
        <w:rPr/>
        <w:t>o</w:t>
      </w:r>
      <w:r>
        <w:rPr>
          <w:spacing w:val="-6"/>
        </w:rPr>
        <w:t> </w:t>
      </w:r>
      <w:r>
        <w:rPr/>
        <w:t>estudo</w:t>
      </w:r>
      <w:r>
        <w:rPr>
          <w:spacing w:val="-6"/>
        </w:rPr>
        <w:t> </w:t>
      </w:r>
      <w:r>
        <w:rPr/>
        <w:t>angiográfico inclua as artérias do pé. Esse estudo, em presença de quadro séptico, deve ser retardado até que o processo infeccioso esteja controlado por antibióticos e drenagem. Devido ao potencial nefrotóxico do meio de contraste angiográfico, deve-se</w:t>
      </w:r>
      <w:r>
        <w:rPr>
          <w:spacing w:val="-3"/>
        </w:rPr>
        <w:t> </w:t>
      </w:r>
      <w:r>
        <w:rPr/>
        <w:t>vigiar sempre</w:t>
      </w:r>
      <w:r>
        <w:rPr>
          <w:spacing w:val="-3"/>
        </w:rPr>
        <w:t> </w:t>
      </w:r>
      <w:r>
        <w:rPr/>
        <w:t>a</w:t>
      </w:r>
      <w:r>
        <w:rPr>
          <w:spacing w:val="-3"/>
        </w:rPr>
        <w:t> </w:t>
      </w:r>
      <w:r>
        <w:rPr/>
        <w:t>função renal, muitas vezes comprometida</w:t>
      </w:r>
      <w:r>
        <w:rPr>
          <w:spacing w:val="-3"/>
        </w:rPr>
        <w:t> </w:t>
      </w:r>
      <w:r>
        <w:rPr/>
        <w:t>nos diabéticos.</w:t>
      </w:r>
    </w:p>
    <w:p>
      <w:pPr>
        <w:spacing w:before="253"/>
        <w:ind w:left="68" w:right="0" w:firstLine="0"/>
        <w:jc w:val="left"/>
        <w:rPr>
          <w:rFonts w:ascii="Arial"/>
          <w:b/>
          <w:i/>
          <w:sz w:val="25"/>
        </w:rPr>
      </w:pPr>
      <w:r>
        <w:rPr>
          <w:rFonts w:ascii="Arial"/>
          <w:b/>
          <w:i/>
          <w:color w:val="5A5685"/>
          <w:spacing w:val="-2"/>
          <w:sz w:val="25"/>
        </w:rPr>
        <w:t>Tratamento</w:t>
      </w:r>
    </w:p>
    <w:p>
      <w:pPr>
        <w:pStyle w:val="BodyText"/>
        <w:spacing w:line="276" w:lineRule="auto" w:before="101"/>
        <w:ind w:right="488"/>
      </w:pPr>
      <w:r>
        <w:rPr/>
        <w:t>Deve ser agressivo, precoce e sistemático para poder prevenir complicações e, assim, reduzir a necessidade de amputação. A terapêutica se baseia em três metas:</w:t>
      </w:r>
    </w:p>
    <w:p>
      <w:pPr>
        <w:pStyle w:val="ListParagraph"/>
        <w:numPr>
          <w:ilvl w:val="0"/>
          <w:numId w:val="38"/>
        </w:numPr>
        <w:tabs>
          <w:tab w:pos="397" w:val="left" w:leader="none"/>
        </w:tabs>
        <w:spacing w:line="240" w:lineRule="auto" w:before="161" w:after="0"/>
        <w:ind w:left="397" w:right="0" w:hanging="329"/>
        <w:jc w:val="left"/>
        <w:rPr>
          <w:sz w:val="23"/>
        </w:rPr>
      </w:pPr>
      <w:r>
        <w:rPr>
          <w:sz w:val="23"/>
        </w:rPr>
        <w:t>Rápido</w:t>
      </w:r>
      <w:r>
        <w:rPr>
          <w:spacing w:val="-9"/>
          <w:sz w:val="23"/>
        </w:rPr>
        <w:t> </w:t>
      </w:r>
      <w:r>
        <w:rPr>
          <w:sz w:val="23"/>
        </w:rPr>
        <w:t>controle</w:t>
      </w:r>
      <w:r>
        <w:rPr>
          <w:spacing w:val="-12"/>
          <w:sz w:val="23"/>
        </w:rPr>
        <w:t> </w:t>
      </w:r>
      <w:r>
        <w:rPr>
          <w:sz w:val="23"/>
        </w:rPr>
        <w:t>da</w:t>
      </w:r>
      <w:r>
        <w:rPr>
          <w:spacing w:val="-11"/>
          <w:sz w:val="23"/>
        </w:rPr>
        <w:t> </w:t>
      </w:r>
      <w:r>
        <w:rPr>
          <w:i/>
          <w:sz w:val="23"/>
        </w:rPr>
        <w:t>infecção</w:t>
      </w:r>
      <w:r>
        <w:rPr>
          <w:i/>
          <w:spacing w:val="-9"/>
          <w:sz w:val="23"/>
        </w:rPr>
        <w:t> </w:t>
      </w:r>
      <w:r>
        <w:rPr>
          <w:sz w:val="23"/>
        </w:rPr>
        <w:t>é</w:t>
      </w:r>
      <w:r>
        <w:rPr>
          <w:spacing w:val="-11"/>
          <w:sz w:val="23"/>
        </w:rPr>
        <w:t> </w:t>
      </w:r>
      <w:r>
        <w:rPr>
          <w:sz w:val="23"/>
        </w:rPr>
        <w:t>a</w:t>
      </w:r>
      <w:r>
        <w:rPr>
          <w:spacing w:val="-11"/>
          <w:sz w:val="23"/>
        </w:rPr>
        <w:t> </w:t>
      </w:r>
      <w:r>
        <w:rPr>
          <w:sz w:val="23"/>
        </w:rPr>
        <w:t>principal</w:t>
      </w:r>
      <w:r>
        <w:rPr>
          <w:spacing w:val="-6"/>
          <w:sz w:val="23"/>
        </w:rPr>
        <w:t> </w:t>
      </w:r>
      <w:r>
        <w:rPr>
          <w:spacing w:val="-2"/>
          <w:sz w:val="23"/>
        </w:rPr>
        <w:t>prioridade</w:t>
      </w:r>
    </w:p>
    <w:p>
      <w:pPr>
        <w:pStyle w:val="ListParagraph"/>
        <w:numPr>
          <w:ilvl w:val="0"/>
          <w:numId w:val="38"/>
        </w:numPr>
        <w:tabs>
          <w:tab w:pos="397" w:val="left" w:leader="none"/>
        </w:tabs>
        <w:spacing w:line="240" w:lineRule="auto" w:before="71" w:after="0"/>
        <w:ind w:left="397" w:right="0" w:hanging="329"/>
        <w:jc w:val="left"/>
        <w:rPr>
          <w:sz w:val="23"/>
        </w:rPr>
      </w:pPr>
      <w:r>
        <w:rPr>
          <w:sz w:val="23"/>
        </w:rPr>
        <w:t>Avaliação</w:t>
      </w:r>
      <w:r>
        <w:rPr>
          <w:spacing w:val="-13"/>
          <w:sz w:val="23"/>
        </w:rPr>
        <w:t> </w:t>
      </w:r>
      <w:r>
        <w:rPr>
          <w:sz w:val="23"/>
        </w:rPr>
        <w:t>da</w:t>
      </w:r>
      <w:r>
        <w:rPr>
          <w:spacing w:val="-13"/>
          <w:sz w:val="23"/>
        </w:rPr>
        <w:t> </w:t>
      </w:r>
      <w:r>
        <w:rPr>
          <w:i/>
          <w:sz w:val="23"/>
        </w:rPr>
        <w:t>perfusão</w:t>
      </w:r>
      <w:r>
        <w:rPr>
          <w:i/>
          <w:spacing w:val="-11"/>
          <w:sz w:val="23"/>
        </w:rPr>
        <w:t> </w:t>
      </w:r>
      <w:r>
        <w:rPr>
          <w:sz w:val="23"/>
        </w:rPr>
        <w:t>e</w:t>
      </w:r>
      <w:r>
        <w:rPr>
          <w:spacing w:val="-13"/>
          <w:sz w:val="23"/>
        </w:rPr>
        <w:t> </w:t>
      </w:r>
      <w:r>
        <w:rPr>
          <w:sz w:val="23"/>
        </w:rPr>
        <w:t>tratamento</w:t>
      </w:r>
      <w:r>
        <w:rPr>
          <w:spacing w:val="-11"/>
          <w:sz w:val="23"/>
        </w:rPr>
        <w:t> </w:t>
      </w:r>
      <w:r>
        <w:rPr>
          <w:sz w:val="23"/>
        </w:rPr>
        <w:t>da</w:t>
      </w:r>
      <w:r>
        <w:rPr>
          <w:spacing w:val="-13"/>
          <w:sz w:val="23"/>
        </w:rPr>
        <w:t> </w:t>
      </w:r>
      <w:r>
        <w:rPr>
          <w:sz w:val="23"/>
        </w:rPr>
        <w:t>isquemia,</w:t>
      </w:r>
      <w:r>
        <w:rPr>
          <w:spacing w:val="-4"/>
          <w:sz w:val="23"/>
        </w:rPr>
        <w:t> </w:t>
      </w:r>
      <w:r>
        <w:rPr>
          <w:sz w:val="23"/>
        </w:rPr>
        <w:t>uma</w:t>
      </w:r>
      <w:r>
        <w:rPr>
          <w:spacing w:val="-13"/>
          <w:sz w:val="23"/>
        </w:rPr>
        <w:t> </w:t>
      </w:r>
      <w:r>
        <w:rPr>
          <w:sz w:val="23"/>
        </w:rPr>
        <w:t>vez</w:t>
      </w:r>
      <w:r>
        <w:rPr>
          <w:spacing w:val="-13"/>
          <w:sz w:val="23"/>
        </w:rPr>
        <w:t> </w:t>
      </w:r>
      <w:r>
        <w:rPr>
          <w:sz w:val="23"/>
        </w:rPr>
        <w:t>tratada</w:t>
      </w:r>
      <w:r>
        <w:rPr>
          <w:spacing w:val="-14"/>
          <w:sz w:val="23"/>
        </w:rPr>
        <w:t> </w:t>
      </w:r>
      <w:r>
        <w:rPr>
          <w:sz w:val="23"/>
        </w:rPr>
        <w:t>a</w:t>
      </w:r>
      <w:r>
        <w:rPr>
          <w:spacing w:val="-13"/>
          <w:sz w:val="23"/>
        </w:rPr>
        <w:t> </w:t>
      </w:r>
      <w:r>
        <w:rPr>
          <w:sz w:val="23"/>
        </w:rPr>
        <w:t>infecção</w:t>
      </w:r>
      <w:r>
        <w:rPr>
          <w:spacing w:val="-10"/>
          <w:sz w:val="23"/>
        </w:rPr>
        <w:t> </w:t>
      </w:r>
      <w:r>
        <w:rPr>
          <w:spacing w:val="-2"/>
          <w:sz w:val="23"/>
        </w:rPr>
        <w:t>ativa</w:t>
      </w:r>
    </w:p>
    <w:p>
      <w:pPr>
        <w:pStyle w:val="ListParagraph"/>
        <w:numPr>
          <w:ilvl w:val="0"/>
          <w:numId w:val="38"/>
        </w:numPr>
        <w:tabs>
          <w:tab w:pos="397" w:val="left" w:leader="none"/>
        </w:tabs>
        <w:spacing w:line="276" w:lineRule="auto" w:before="56" w:after="0"/>
        <w:ind w:left="68" w:right="492" w:firstLine="0"/>
        <w:jc w:val="left"/>
        <w:rPr>
          <w:sz w:val="23"/>
        </w:rPr>
      </w:pPr>
      <w:r>
        <w:rPr>
          <w:i/>
          <w:sz w:val="23"/>
        </w:rPr>
        <w:t>Procedimentos</w:t>
      </w:r>
      <w:r>
        <w:rPr>
          <w:i/>
          <w:spacing w:val="-8"/>
          <w:sz w:val="23"/>
        </w:rPr>
        <w:t> </w:t>
      </w:r>
      <w:r>
        <w:rPr>
          <w:i/>
          <w:sz w:val="23"/>
        </w:rPr>
        <w:t>secundários</w:t>
      </w:r>
      <w:r>
        <w:rPr>
          <w:i/>
          <w:spacing w:val="-5"/>
          <w:sz w:val="23"/>
        </w:rPr>
        <w:t> </w:t>
      </w:r>
      <w:r>
        <w:rPr>
          <w:sz w:val="23"/>
        </w:rPr>
        <w:t>como</w:t>
      </w:r>
      <w:r>
        <w:rPr>
          <w:spacing w:val="-12"/>
          <w:sz w:val="23"/>
        </w:rPr>
        <w:t> </w:t>
      </w:r>
      <w:r>
        <w:rPr>
          <w:sz w:val="23"/>
        </w:rPr>
        <w:t>debridamentos,</w:t>
      </w:r>
      <w:r>
        <w:rPr>
          <w:spacing w:val="-5"/>
          <w:sz w:val="23"/>
        </w:rPr>
        <w:t> </w:t>
      </w:r>
      <w:r>
        <w:rPr>
          <w:sz w:val="23"/>
        </w:rPr>
        <w:t>amputações,</w:t>
      </w:r>
      <w:r>
        <w:rPr>
          <w:spacing w:val="-5"/>
          <w:sz w:val="23"/>
        </w:rPr>
        <w:t> </w:t>
      </w:r>
      <w:r>
        <w:rPr>
          <w:sz w:val="23"/>
        </w:rPr>
        <w:t>artroplastias,</w:t>
      </w:r>
      <w:r>
        <w:rPr>
          <w:spacing w:val="-5"/>
          <w:sz w:val="23"/>
        </w:rPr>
        <w:t> </w:t>
      </w:r>
      <w:r>
        <w:rPr>
          <w:sz w:val="23"/>
        </w:rPr>
        <w:t>osteotomias</w:t>
      </w:r>
      <w:r>
        <w:rPr>
          <w:spacing w:val="-5"/>
          <w:sz w:val="23"/>
        </w:rPr>
        <w:t> </w:t>
      </w:r>
      <w:r>
        <w:rPr>
          <w:sz w:val="23"/>
        </w:rPr>
        <w:t>e</w:t>
      </w:r>
      <w:r>
        <w:rPr>
          <w:spacing w:val="-14"/>
          <w:sz w:val="23"/>
        </w:rPr>
        <w:t> </w:t>
      </w:r>
      <w:r>
        <w:rPr>
          <w:sz w:val="23"/>
        </w:rPr>
        <w:t>enxertos</w:t>
      </w:r>
      <w:r>
        <w:rPr>
          <w:spacing w:val="-5"/>
          <w:sz w:val="23"/>
        </w:rPr>
        <w:t> </w:t>
      </w:r>
      <w:r>
        <w:rPr>
          <w:sz w:val="23"/>
        </w:rPr>
        <w:t>cutâneos</w:t>
      </w:r>
      <w:r>
        <w:rPr>
          <w:spacing w:val="-5"/>
          <w:sz w:val="23"/>
        </w:rPr>
        <w:t> </w:t>
      </w:r>
      <w:r>
        <w:rPr>
          <w:sz w:val="23"/>
        </w:rPr>
        <w:t>ou miocutâneos podem ser realizados no pé</w:t>
      </w:r>
      <w:r>
        <w:rPr>
          <w:spacing w:val="-3"/>
          <w:sz w:val="23"/>
        </w:rPr>
        <w:t> </w:t>
      </w:r>
      <w:r>
        <w:rPr>
          <w:sz w:val="23"/>
        </w:rPr>
        <w:t>totalmente</w:t>
      </w:r>
      <w:r>
        <w:rPr>
          <w:spacing w:val="-3"/>
          <w:sz w:val="23"/>
        </w:rPr>
        <w:t> </w:t>
      </w:r>
      <w:r>
        <w:rPr>
          <w:sz w:val="23"/>
        </w:rPr>
        <w:t>revascularizado e</w:t>
      </w:r>
      <w:r>
        <w:rPr>
          <w:spacing w:val="-3"/>
          <w:sz w:val="23"/>
        </w:rPr>
        <w:t> </w:t>
      </w:r>
      <w:r>
        <w:rPr>
          <w:sz w:val="23"/>
        </w:rPr>
        <w:t>livre</w:t>
      </w:r>
      <w:r>
        <w:rPr>
          <w:spacing w:val="-3"/>
          <w:sz w:val="23"/>
        </w:rPr>
        <w:t> </w:t>
      </w:r>
      <w:r>
        <w:rPr>
          <w:sz w:val="23"/>
        </w:rPr>
        <w:t>de</w:t>
      </w:r>
      <w:r>
        <w:rPr>
          <w:spacing w:val="-3"/>
          <w:sz w:val="23"/>
        </w:rPr>
        <w:t> </w:t>
      </w:r>
      <w:r>
        <w:rPr>
          <w:sz w:val="23"/>
        </w:rPr>
        <w:t>infecção.</w:t>
      </w:r>
    </w:p>
    <w:p>
      <w:pPr>
        <w:pStyle w:val="BodyText"/>
        <w:spacing w:before="134"/>
        <w:ind w:left="0" w:firstLine="0"/>
        <w:jc w:val="left"/>
      </w:pPr>
    </w:p>
    <w:p>
      <w:pPr>
        <w:pStyle w:val="Heading5"/>
      </w:pPr>
      <w:r>
        <w:rPr>
          <w:color w:val="A26108"/>
          <w:spacing w:val="-2"/>
        </w:rPr>
        <w:t>Infecções</w:t>
      </w:r>
    </w:p>
    <w:p>
      <w:pPr>
        <w:pStyle w:val="BodyText"/>
        <w:spacing w:line="280" w:lineRule="auto" w:before="138"/>
        <w:ind w:right="487"/>
      </w:pPr>
      <w:r>
        <w:rPr/>
        <w:t>A maioria das infecções é polimicrobiana, sendo os patógenos mais comuns </w:t>
      </w:r>
      <w:r>
        <w:rPr>
          <w:i/>
        </w:rPr>
        <w:t>Staphylococcus</w:t>
      </w:r>
      <w:r>
        <w:rPr/>
        <w:t>, </w:t>
      </w:r>
      <w:r>
        <w:rPr>
          <w:i/>
        </w:rPr>
        <w:t>Streptococcus </w:t>
      </w:r>
      <w:r>
        <w:rPr/>
        <w:t>e </w:t>
      </w:r>
      <w:r>
        <w:rPr>
          <w:i/>
        </w:rPr>
        <w:t>Enterococcus</w:t>
      </w:r>
      <w:r>
        <w:rPr/>
        <w:t>; são também comuns os anaeróbios e</w:t>
      </w:r>
      <w:r>
        <w:rPr>
          <w:spacing w:val="-2"/>
        </w:rPr>
        <w:t> </w:t>
      </w:r>
      <w:r>
        <w:rPr/>
        <w:t>bacilos gram.</w:t>
      </w:r>
      <w:r>
        <w:rPr>
          <w:vertAlign w:val="superscript"/>
        </w:rPr>
        <w:t>19</w:t>
      </w:r>
      <w:r>
        <w:rPr>
          <w:vertAlign w:val="baseline"/>
        </w:rPr>
        <w:t> A</w:t>
      </w:r>
      <w:r>
        <w:rPr>
          <w:spacing w:val="-1"/>
          <w:vertAlign w:val="baseline"/>
        </w:rPr>
        <w:t> </w:t>
      </w:r>
      <w:r>
        <w:rPr>
          <w:vertAlign w:val="baseline"/>
        </w:rPr>
        <w:t>maioria</w:t>
      </w:r>
      <w:r>
        <w:rPr>
          <w:spacing w:val="-1"/>
          <w:vertAlign w:val="baseline"/>
        </w:rPr>
        <w:t> </w:t>
      </w:r>
      <w:r>
        <w:rPr>
          <w:vertAlign w:val="baseline"/>
        </w:rPr>
        <w:t>das infecções leves é</w:t>
      </w:r>
      <w:r>
        <w:rPr>
          <w:spacing w:val="-1"/>
          <w:vertAlign w:val="baseline"/>
        </w:rPr>
        <w:t> </w:t>
      </w:r>
      <w:r>
        <w:rPr>
          <w:vertAlign w:val="baseline"/>
        </w:rPr>
        <w:t>causada</w:t>
      </w:r>
      <w:r>
        <w:rPr>
          <w:spacing w:val="-1"/>
          <w:vertAlign w:val="baseline"/>
        </w:rPr>
        <w:t> </w:t>
      </w:r>
      <w:r>
        <w:rPr>
          <w:vertAlign w:val="baseline"/>
        </w:rPr>
        <w:t>por </w:t>
      </w:r>
      <w:r>
        <w:rPr>
          <w:i/>
          <w:vertAlign w:val="baseline"/>
        </w:rPr>
        <w:t>S. aureus </w:t>
      </w:r>
      <w:r>
        <w:rPr>
          <w:vertAlign w:val="baseline"/>
        </w:rPr>
        <w:t>e</w:t>
      </w:r>
      <w:r>
        <w:rPr>
          <w:spacing w:val="-10"/>
          <w:vertAlign w:val="baseline"/>
        </w:rPr>
        <w:t> </w:t>
      </w:r>
      <w:r>
        <w:rPr>
          <w:i/>
          <w:vertAlign w:val="baseline"/>
        </w:rPr>
        <w:t>Streptococcus </w:t>
      </w:r>
      <w:r>
        <w:rPr>
          <w:vertAlign w:val="baseline"/>
        </w:rPr>
        <w:t>sp., ao</w:t>
      </w:r>
      <w:r>
        <w:rPr>
          <w:spacing w:val="-6"/>
          <w:vertAlign w:val="baseline"/>
        </w:rPr>
        <w:t> </w:t>
      </w:r>
      <w:r>
        <w:rPr>
          <w:vertAlign w:val="baseline"/>
        </w:rPr>
        <w:t>passo</w:t>
      </w:r>
      <w:r>
        <w:rPr>
          <w:spacing w:val="-6"/>
          <w:vertAlign w:val="baseline"/>
        </w:rPr>
        <w:t> </w:t>
      </w:r>
      <w:r>
        <w:rPr>
          <w:vertAlign w:val="baseline"/>
        </w:rPr>
        <w:t>que</w:t>
      </w:r>
      <w:r>
        <w:rPr>
          <w:spacing w:val="-9"/>
          <w:vertAlign w:val="baseline"/>
        </w:rPr>
        <w:t> </w:t>
      </w:r>
      <w:r>
        <w:rPr>
          <w:vertAlign w:val="baseline"/>
        </w:rPr>
        <w:t>as infecções moderadas e</w:t>
      </w:r>
      <w:r>
        <w:rPr>
          <w:spacing w:val="-9"/>
          <w:vertAlign w:val="baseline"/>
        </w:rPr>
        <w:t> </w:t>
      </w:r>
      <w:r>
        <w:rPr>
          <w:vertAlign w:val="baseline"/>
        </w:rPr>
        <w:t>graves tendem</w:t>
      </w:r>
      <w:r>
        <w:rPr>
          <w:spacing w:val="-6"/>
          <w:vertAlign w:val="baseline"/>
        </w:rPr>
        <w:t> </w:t>
      </w:r>
      <w:r>
        <w:rPr>
          <w:vertAlign w:val="baseline"/>
        </w:rPr>
        <w:t>a</w:t>
      </w:r>
      <w:r>
        <w:rPr>
          <w:spacing w:val="-9"/>
          <w:vertAlign w:val="baseline"/>
        </w:rPr>
        <w:t> </w:t>
      </w:r>
      <w:r>
        <w:rPr>
          <w:vertAlign w:val="baseline"/>
        </w:rPr>
        <w:t>ser</w:t>
      </w:r>
      <w:r>
        <w:rPr>
          <w:spacing w:val="-1"/>
          <w:vertAlign w:val="baseline"/>
        </w:rPr>
        <w:t> </w:t>
      </w:r>
      <w:r>
        <w:rPr>
          <w:vertAlign w:val="baseline"/>
        </w:rPr>
        <w:t>polimicrobianas. As úlceras crônicas</w:t>
      </w:r>
      <w:r>
        <w:rPr>
          <w:spacing w:val="80"/>
          <w:w w:val="150"/>
          <w:vertAlign w:val="baseline"/>
        </w:rPr>
        <w:t> </w:t>
      </w:r>
      <w:r>
        <w:rPr>
          <w:vertAlign w:val="baseline"/>
        </w:rPr>
        <w:t>frequentemente</w:t>
      </w:r>
      <w:r>
        <w:rPr>
          <w:spacing w:val="77"/>
          <w:w w:val="150"/>
          <w:vertAlign w:val="baseline"/>
        </w:rPr>
        <w:t> </w:t>
      </w:r>
      <w:r>
        <w:rPr>
          <w:vertAlign w:val="baseline"/>
        </w:rPr>
        <w:t>são</w:t>
      </w:r>
      <w:r>
        <w:rPr>
          <w:spacing w:val="80"/>
          <w:w w:val="150"/>
          <w:vertAlign w:val="baseline"/>
        </w:rPr>
        <w:t> </w:t>
      </w:r>
      <w:r>
        <w:rPr>
          <w:vertAlign w:val="baseline"/>
        </w:rPr>
        <w:t>infetadas</w:t>
      </w:r>
      <w:r>
        <w:rPr>
          <w:spacing w:val="80"/>
          <w:w w:val="150"/>
          <w:vertAlign w:val="baseline"/>
        </w:rPr>
        <w:t> </w:t>
      </w:r>
      <w:r>
        <w:rPr>
          <w:vertAlign w:val="baseline"/>
        </w:rPr>
        <w:t>por</w:t>
      </w:r>
      <w:r>
        <w:rPr>
          <w:spacing w:val="80"/>
          <w:w w:val="150"/>
          <w:vertAlign w:val="baseline"/>
        </w:rPr>
        <w:t> </w:t>
      </w:r>
      <w:r>
        <w:rPr>
          <w:vertAlign w:val="baseline"/>
        </w:rPr>
        <w:t>gram,</w:t>
      </w:r>
      <w:r>
        <w:rPr>
          <w:spacing w:val="80"/>
          <w:w w:val="150"/>
          <w:vertAlign w:val="baseline"/>
        </w:rPr>
        <w:t> </w:t>
      </w:r>
      <w:r>
        <w:rPr>
          <w:vertAlign w:val="baseline"/>
        </w:rPr>
        <w:t>notadamente</w:t>
      </w:r>
      <w:r>
        <w:rPr>
          <w:spacing w:val="78"/>
          <w:w w:val="150"/>
          <w:vertAlign w:val="baseline"/>
        </w:rPr>
        <w:t> </w:t>
      </w:r>
      <w:r>
        <w:rPr>
          <w:i/>
          <w:vertAlign w:val="baseline"/>
        </w:rPr>
        <w:t>Pseudomonas</w:t>
      </w:r>
      <w:r>
        <w:rPr>
          <w:vertAlign w:val="baseline"/>
        </w:rPr>
        <w:t>.</w:t>
      </w:r>
      <w:r>
        <w:rPr>
          <w:spacing w:val="80"/>
          <w:w w:val="150"/>
          <w:vertAlign w:val="baseline"/>
        </w:rPr>
        <w:t> </w:t>
      </w:r>
      <w:r>
        <w:rPr>
          <w:vertAlign w:val="baseline"/>
        </w:rPr>
        <w:t>Bactérias</w:t>
      </w:r>
      <w:r>
        <w:rPr>
          <w:spacing w:val="80"/>
          <w:w w:val="150"/>
          <w:vertAlign w:val="baseline"/>
        </w:rPr>
        <w:t> </w:t>
      </w:r>
      <w:r>
        <w:rPr>
          <w:vertAlign w:val="baseline"/>
        </w:rPr>
        <w:t>multirresistentes</w:t>
      </w:r>
    </w:p>
    <w:p>
      <w:pPr>
        <w:pStyle w:val="BodyText"/>
        <w:spacing w:after="0" w:line="280" w:lineRule="auto"/>
        <w:sectPr>
          <w:pgSz w:w="11900" w:h="16840"/>
          <w:pgMar w:top="120" w:bottom="280" w:left="566" w:right="141"/>
        </w:sectPr>
      </w:pPr>
    </w:p>
    <w:p>
      <w:pPr>
        <w:pStyle w:val="BodyText"/>
        <w:spacing w:line="278" w:lineRule="auto" w:before="68"/>
        <w:ind w:right="497" w:firstLine="0"/>
      </w:pPr>
      <w:r>
        <w:rPr/>
        <w:t>(</w:t>
      </w:r>
      <w:r>
        <w:rPr>
          <w:i/>
        </w:rPr>
        <w:t>Staphylococcus </w:t>
      </w:r>
      <w:r>
        <w:rPr/>
        <w:t>e </w:t>
      </w:r>
      <w:r>
        <w:rPr>
          <w:i/>
        </w:rPr>
        <w:t>Pseudomonas</w:t>
      </w:r>
      <w:r>
        <w:rPr/>
        <w:t>) têm se desenvolvido, tornando-se um problema cada vez mais frequente e preocupante.</w:t>
      </w:r>
      <w:r>
        <w:rPr>
          <w:vertAlign w:val="superscript"/>
        </w:rPr>
        <w:t>19</w:t>
      </w:r>
      <w:r>
        <w:rPr>
          <w:vertAlign w:val="baseline"/>
        </w:rPr>
        <w:t> O objetivo de qualquer procedimento cirúrgico no pé insensível ou neuroisquêmico baseia-se na remoção de todo tecido não funcional, necrótico e/ou infectado, preservando, o máximo possível, as estruturas funcionais do pé. Procedimentos urgentes no tratamento do pé diabético devem visar ao controle primário do processo</w:t>
      </w:r>
      <w:r>
        <w:rPr>
          <w:spacing w:val="-10"/>
          <w:vertAlign w:val="baseline"/>
        </w:rPr>
        <w:t> </w:t>
      </w:r>
      <w:r>
        <w:rPr>
          <w:vertAlign w:val="baseline"/>
        </w:rPr>
        <w:t>infeccioso,</w:t>
      </w:r>
      <w:r>
        <w:rPr>
          <w:spacing w:val="-2"/>
          <w:vertAlign w:val="baseline"/>
        </w:rPr>
        <w:t> </w:t>
      </w:r>
      <w:r>
        <w:rPr>
          <w:vertAlign w:val="baseline"/>
        </w:rPr>
        <w:t>identificação</w:t>
      </w:r>
      <w:r>
        <w:rPr>
          <w:spacing w:val="-10"/>
          <w:vertAlign w:val="baseline"/>
        </w:rPr>
        <w:t> </w:t>
      </w:r>
      <w:r>
        <w:rPr>
          <w:vertAlign w:val="baseline"/>
        </w:rPr>
        <w:t>do</w:t>
      </w:r>
      <w:r>
        <w:rPr>
          <w:spacing w:val="-10"/>
          <w:vertAlign w:val="baseline"/>
        </w:rPr>
        <w:t> </w:t>
      </w:r>
      <w:r>
        <w:rPr>
          <w:vertAlign w:val="baseline"/>
        </w:rPr>
        <w:t>agente</w:t>
      </w:r>
      <w:r>
        <w:rPr>
          <w:spacing w:val="-12"/>
          <w:vertAlign w:val="baseline"/>
        </w:rPr>
        <w:t> </w:t>
      </w:r>
      <w:r>
        <w:rPr>
          <w:vertAlign w:val="baseline"/>
        </w:rPr>
        <w:t>causador</w:t>
      </w:r>
      <w:r>
        <w:rPr>
          <w:spacing w:val="-5"/>
          <w:vertAlign w:val="baseline"/>
        </w:rPr>
        <w:t> </w:t>
      </w:r>
      <w:r>
        <w:rPr>
          <w:vertAlign w:val="baseline"/>
        </w:rPr>
        <w:t>da</w:t>
      </w:r>
      <w:r>
        <w:rPr>
          <w:spacing w:val="-12"/>
          <w:vertAlign w:val="baseline"/>
        </w:rPr>
        <w:t> </w:t>
      </w:r>
      <w:r>
        <w:rPr>
          <w:vertAlign w:val="baseline"/>
        </w:rPr>
        <w:t>infecção</w:t>
      </w:r>
      <w:r>
        <w:rPr>
          <w:spacing w:val="-10"/>
          <w:vertAlign w:val="baseline"/>
        </w:rPr>
        <w:t> </w:t>
      </w:r>
      <w:r>
        <w:rPr>
          <w:vertAlign w:val="baseline"/>
        </w:rPr>
        <w:t>e</w:t>
      </w:r>
      <w:r>
        <w:rPr>
          <w:spacing w:val="-12"/>
          <w:vertAlign w:val="baseline"/>
        </w:rPr>
        <w:t> </w:t>
      </w:r>
      <w:r>
        <w:rPr>
          <w:vertAlign w:val="baseline"/>
        </w:rPr>
        <w:t>preparo</w:t>
      </w:r>
      <w:r>
        <w:rPr>
          <w:spacing w:val="-10"/>
          <w:vertAlign w:val="baseline"/>
        </w:rPr>
        <w:t> </w:t>
      </w:r>
      <w:r>
        <w:rPr>
          <w:vertAlign w:val="baseline"/>
        </w:rPr>
        <w:t>do</w:t>
      </w:r>
      <w:r>
        <w:rPr>
          <w:spacing w:val="-10"/>
          <w:vertAlign w:val="baseline"/>
        </w:rPr>
        <w:t> </w:t>
      </w:r>
      <w:r>
        <w:rPr>
          <w:vertAlign w:val="baseline"/>
        </w:rPr>
        <w:t>local</w:t>
      </w:r>
      <w:r>
        <w:rPr>
          <w:spacing w:val="-8"/>
          <w:vertAlign w:val="baseline"/>
        </w:rPr>
        <w:t> </w:t>
      </w:r>
      <w:r>
        <w:rPr>
          <w:vertAlign w:val="baseline"/>
        </w:rPr>
        <w:t>para</w:t>
      </w:r>
      <w:r>
        <w:rPr>
          <w:spacing w:val="-12"/>
          <w:vertAlign w:val="baseline"/>
        </w:rPr>
        <w:t> </w:t>
      </w:r>
      <w:r>
        <w:rPr>
          <w:vertAlign w:val="baseline"/>
        </w:rPr>
        <w:t>uma</w:t>
      </w:r>
      <w:r>
        <w:rPr>
          <w:spacing w:val="-12"/>
          <w:vertAlign w:val="baseline"/>
        </w:rPr>
        <w:t> </w:t>
      </w:r>
      <w:r>
        <w:rPr>
          <w:vertAlign w:val="baseline"/>
        </w:rPr>
        <w:t>intervenção</w:t>
      </w:r>
      <w:r>
        <w:rPr>
          <w:spacing w:val="-10"/>
          <w:vertAlign w:val="baseline"/>
        </w:rPr>
        <w:t> </w:t>
      </w:r>
      <w:r>
        <w:rPr>
          <w:vertAlign w:val="baseline"/>
        </w:rPr>
        <w:t>definitiva em um segundo tempo, quando necessário. Os debridamentos devem ser amplos. Não se deve manter tecidos e estruturas ósseas que, após a cicatrização, não possam promover uma unidade de apoio minimamente funcional e estável para a deambulação do paciente com neuropatia periférica.</w:t>
      </w:r>
    </w:p>
    <w:p>
      <w:pPr>
        <w:pStyle w:val="BodyText"/>
        <w:spacing w:line="276" w:lineRule="auto" w:before="61"/>
        <w:ind w:right="488"/>
      </w:pPr>
      <w:r>
        <w:rPr/>
        <w:t>Foram descritas algumas classificações das lesões infectadas de modo a se instituir a melhor forma de tratamento, se ambulatorial ou hospitalar; se com antibiótico oral ou parenteral etc.</w:t>
      </w:r>
    </w:p>
    <w:p>
      <w:pPr>
        <w:pStyle w:val="BodyText"/>
        <w:spacing w:line="290" w:lineRule="auto" w:before="48"/>
        <w:ind w:right="500"/>
      </w:pPr>
      <w:r>
        <w:rPr/>
        <w:t>Wagner classificou as lesões, de acordo com a quantidade e qualidade dos tecidos afetados, nos seguintes </w:t>
      </w:r>
      <w:r>
        <w:rPr>
          <w:spacing w:val="-2"/>
        </w:rPr>
        <w:t>graus:</w:t>
      </w:r>
      <w:r>
        <w:rPr>
          <w:spacing w:val="-2"/>
          <w:vertAlign w:val="superscript"/>
        </w:rPr>
        <w:t>20</w:t>
      </w:r>
    </w:p>
    <w:p>
      <w:pPr>
        <w:pStyle w:val="ListParagraph"/>
        <w:numPr>
          <w:ilvl w:val="0"/>
          <w:numId w:val="38"/>
        </w:numPr>
        <w:tabs>
          <w:tab w:pos="397" w:val="left" w:leader="none"/>
        </w:tabs>
        <w:spacing w:line="240" w:lineRule="auto" w:before="145" w:after="0"/>
        <w:ind w:left="397" w:right="0" w:hanging="329"/>
        <w:jc w:val="left"/>
        <w:rPr>
          <w:sz w:val="23"/>
        </w:rPr>
      </w:pPr>
      <w:r>
        <w:rPr>
          <w:sz w:val="23"/>
        </w:rPr>
        <w:t>Grau</w:t>
      </w:r>
      <w:r>
        <w:rPr>
          <w:spacing w:val="-11"/>
          <w:sz w:val="23"/>
        </w:rPr>
        <w:t> </w:t>
      </w:r>
      <w:r>
        <w:rPr>
          <w:sz w:val="23"/>
        </w:rPr>
        <w:t>0:</w:t>
      </w:r>
      <w:r>
        <w:rPr>
          <w:spacing w:val="-7"/>
          <w:sz w:val="23"/>
        </w:rPr>
        <w:t> </w:t>
      </w:r>
      <w:r>
        <w:rPr>
          <w:sz w:val="23"/>
        </w:rPr>
        <w:t>pele</w:t>
      </w:r>
      <w:r>
        <w:rPr>
          <w:spacing w:val="-11"/>
          <w:sz w:val="23"/>
        </w:rPr>
        <w:t> </w:t>
      </w:r>
      <w:r>
        <w:rPr>
          <w:sz w:val="23"/>
        </w:rPr>
        <w:t>intacta</w:t>
      </w:r>
      <w:r>
        <w:rPr>
          <w:spacing w:val="-11"/>
          <w:sz w:val="23"/>
        </w:rPr>
        <w:t> </w:t>
      </w:r>
      <w:r>
        <w:rPr>
          <w:sz w:val="23"/>
        </w:rPr>
        <w:t>com</w:t>
      </w:r>
      <w:r>
        <w:rPr>
          <w:spacing w:val="-8"/>
          <w:sz w:val="23"/>
        </w:rPr>
        <w:t> </w:t>
      </w:r>
      <w:r>
        <w:rPr>
          <w:sz w:val="23"/>
        </w:rPr>
        <w:t>proeminência</w:t>
      </w:r>
      <w:r>
        <w:rPr>
          <w:spacing w:val="-12"/>
          <w:sz w:val="23"/>
        </w:rPr>
        <w:t> </w:t>
      </w:r>
      <w:r>
        <w:rPr>
          <w:sz w:val="23"/>
        </w:rPr>
        <w:t>óssea</w:t>
      </w:r>
      <w:r>
        <w:rPr>
          <w:spacing w:val="-11"/>
          <w:sz w:val="23"/>
        </w:rPr>
        <w:t> </w:t>
      </w:r>
      <w:r>
        <w:rPr>
          <w:sz w:val="23"/>
        </w:rPr>
        <w:t>ou</w:t>
      </w:r>
      <w:r>
        <w:rPr>
          <w:spacing w:val="-8"/>
          <w:sz w:val="23"/>
        </w:rPr>
        <w:t> </w:t>
      </w:r>
      <w:r>
        <w:rPr>
          <w:sz w:val="23"/>
        </w:rPr>
        <w:t>calosidades</w:t>
      </w:r>
      <w:r>
        <w:rPr>
          <w:spacing w:val="-2"/>
          <w:sz w:val="23"/>
        </w:rPr>
        <w:t> </w:t>
      </w:r>
      <w:r>
        <w:rPr>
          <w:sz w:val="23"/>
        </w:rPr>
        <w:t>(em</w:t>
      </w:r>
      <w:r>
        <w:rPr>
          <w:spacing w:val="-9"/>
          <w:sz w:val="23"/>
        </w:rPr>
        <w:t> </w:t>
      </w:r>
      <w:r>
        <w:rPr>
          <w:sz w:val="23"/>
        </w:rPr>
        <w:t>risco</w:t>
      </w:r>
      <w:r>
        <w:rPr>
          <w:spacing w:val="-8"/>
          <w:sz w:val="23"/>
        </w:rPr>
        <w:t> </w:t>
      </w:r>
      <w:r>
        <w:rPr>
          <w:sz w:val="23"/>
        </w:rPr>
        <w:t>para</w:t>
      </w:r>
      <w:r>
        <w:rPr>
          <w:spacing w:val="-11"/>
          <w:sz w:val="23"/>
        </w:rPr>
        <w:t> </w:t>
      </w:r>
      <w:r>
        <w:rPr>
          <w:spacing w:val="-2"/>
          <w:sz w:val="23"/>
        </w:rPr>
        <w:t>ulceração)</w:t>
      </w:r>
    </w:p>
    <w:p>
      <w:pPr>
        <w:pStyle w:val="ListParagraph"/>
        <w:numPr>
          <w:ilvl w:val="0"/>
          <w:numId w:val="38"/>
        </w:numPr>
        <w:tabs>
          <w:tab w:pos="397" w:val="left" w:leader="none"/>
        </w:tabs>
        <w:spacing w:line="240" w:lineRule="auto" w:before="72" w:after="0"/>
        <w:ind w:left="397" w:right="0" w:hanging="329"/>
        <w:jc w:val="left"/>
        <w:rPr>
          <w:sz w:val="23"/>
        </w:rPr>
      </w:pPr>
      <w:r>
        <w:rPr>
          <w:sz w:val="23"/>
        </w:rPr>
        <w:t>Grau</w:t>
      </w:r>
      <w:r>
        <w:rPr>
          <w:spacing w:val="-5"/>
          <w:sz w:val="23"/>
        </w:rPr>
        <w:t> </w:t>
      </w:r>
      <w:r>
        <w:rPr>
          <w:sz w:val="23"/>
        </w:rPr>
        <w:t>1:</w:t>
      </w:r>
      <w:r>
        <w:rPr>
          <w:spacing w:val="-1"/>
          <w:sz w:val="23"/>
        </w:rPr>
        <w:t> </w:t>
      </w:r>
      <w:r>
        <w:rPr>
          <w:sz w:val="23"/>
        </w:rPr>
        <w:t>úlcera</w:t>
      </w:r>
      <w:r>
        <w:rPr>
          <w:spacing w:val="-7"/>
          <w:sz w:val="23"/>
        </w:rPr>
        <w:t> </w:t>
      </w:r>
      <w:r>
        <w:rPr>
          <w:sz w:val="23"/>
        </w:rPr>
        <w:t>restrita</w:t>
      </w:r>
      <w:r>
        <w:rPr>
          <w:spacing w:val="-7"/>
          <w:sz w:val="23"/>
        </w:rPr>
        <w:t> </w:t>
      </w:r>
      <w:r>
        <w:rPr>
          <w:sz w:val="23"/>
        </w:rPr>
        <w:t>a</w:t>
      </w:r>
      <w:r>
        <w:rPr>
          <w:spacing w:val="-6"/>
          <w:sz w:val="23"/>
        </w:rPr>
        <w:t> </w:t>
      </w:r>
      <w:r>
        <w:rPr>
          <w:sz w:val="23"/>
        </w:rPr>
        <w:t>pele,</w:t>
      </w:r>
      <w:r>
        <w:rPr>
          <w:spacing w:val="4"/>
          <w:sz w:val="23"/>
        </w:rPr>
        <w:t> </w:t>
      </w:r>
      <w:r>
        <w:rPr>
          <w:spacing w:val="-2"/>
          <w:sz w:val="23"/>
        </w:rPr>
        <w:t>superficial</w:t>
      </w:r>
    </w:p>
    <w:p>
      <w:pPr>
        <w:pStyle w:val="ListParagraph"/>
        <w:numPr>
          <w:ilvl w:val="0"/>
          <w:numId w:val="38"/>
        </w:numPr>
        <w:tabs>
          <w:tab w:pos="397" w:val="left" w:leader="none"/>
        </w:tabs>
        <w:spacing w:line="240" w:lineRule="auto" w:before="55" w:after="0"/>
        <w:ind w:left="397" w:right="0" w:hanging="329"/>
        <w:jc w:val="left"/>
        <w:rPr>
          <w:sz w:val="23"/>
        </w:rPr>
      </w:pPr>
      <w:r>
        <w:rPr>
          <w:sz w:val="23"/>
        </w:rPr>
        <w:t>Grau</w:t>
      </w:r>
      <w:r>
        <w:rPr>
          <w:spacing w:val="-12"/>
          <w:sz w:val="23"/>
        </w:rPr>
        <w:t> </w:t>
      </w:r>
      <w:r>
        <w:rPr>
          <w:sz w:val="23"/>
        </w:rPr>
        <w:t>2:</w:t>
      </w:r>
      <w:r>
        <w:rPr>
          <w:spacing w:val="-7"/>
          <w:sz w:val="23"/>
        </w:rPr>
        <w:t> </w:t>
      </w:r>
      <w:r>
        <w:rPr>
          <w:sz w:val="23"/>
        </w:rPr>
        <w:t>úlcera</w:t>
      </w:r>
      <w:r>
        <w:rPr>
          <w:spacing w:val="-12"/>
          <w:sz w:val="23"/>
        </w:rPr>
        <w:t> </w:t>
      </w:r>
      <w:r>
        <w:rPr>
          <w:sz w:val="23"/>
        </w:rPr>
        <w:t>profunda</w:t>
      </w:r>
      <w:r>
        <w:rPr>
          <w:spacing w:val="-12"/>
          <w:sz w:val="23"/>
        </w:rPr>
        <w:t> </w:t>
      </w:r>
      <w:r>
        <w:rPr>
          <w:sz w:val="23"/>
        </w:rPr>
        <w:t>envolvendo</w:t>
      </w:r>
      <w:r>
        <w:rPr>
          <w:spacing w:val="-9"/>
          <w:sz w:val="23"/>
        </w:rPr>
        <w:t> </w:t>
      </w:r>
      <w:r>
        <w:rPr>
          <w:sz w:val="23"/>
        </w:rPr>
        <w:t>tendão,</w:t>
      </w:r>
      <w:r>
        <w:rPr>
          <w:spacing w:val="-2"/>
          <w:sz w:val="23"/>
        </w:rPr>
        <w:t> </w:t>
      </w:r>
      <w:r>
        <w:rPr>
          <w:sz w:val="23"/>
        </w:rPr>
        <w:t>osso</w:t>
      </w:r>
      <w:r>
        <w:rPr>
          <w:spacing w:val="-10"/>
          <w:sz w:val="23"/>
        </w:rPr>
        <w:t> </w:t>
      </w:r>
      <w:r>
        <w:rPr>
          <w:sz w:val="23"/>
        </w:rPr>
        <w:t>e</w:t>
      </w:r>
      <w:r>
        <w:rPr>
          <w:spacing w:val="-11"/>
          <w:sz w:val="23"/>
        </w:rPr>
        <w:t> </w:t>
      </w:r>
      <w:r>
        <w:rPr>
          <w:spacing w:val="-2"/>
          <w:sz w:val="23"/>
        </w:rPr>
        <w:t>articulações</w:t>
      </w:r>
    </w:p>
    <w:p>
      <w:pPr>
        <w:pStyle w:val="ListParagraph"/>
        <w:numPr>
          <w:ilvl w:val="0"/>
          <w:numId w:val="38"/>
        </w:numPr>
        <w:tabs>
          <w:tab w:pos="397" w:val="left" w:leader="none"/>
        </w:tabs>
        <w:spacing w:line="240" w:lineRule="auto" w:before="72" w:after="0"/>
        <w:ind w:left="397" w:right="0" w:hanging="329"/>
        <w:jc w:val="left"/>
        <w:rPr>
          <w:sz w:val="23"/>
        </w:rPr>
      </w:pPr>
      <w:r>
        <w:rPr>
          <w:sz w:val="23"/>
        </w:rPr>
        <w:t>Grau</w:t>
      </w:r>
      <w:r>
        <w:rPr>
          <w:spacing w:val="-4"/>
          <w:sz w:val="23"/>
        </w:rPr>
        <w:t> </w:t>
      </w:r>
      <w:r>
        <w:rPr>
          <w:sz w:val="23"/>
        </w:rPr>
        <w:t>3:</w:t>
      </w:r>
      <w:r>
        <w:rPr>
          <w:spacing w:val="-1"/>
          <w:sz w:val="23"/>
        </w:rPr>
        <w:t> </w:t>
      </w:r>
      <w:r>
        <w:rPr>
          <w:sz w:val="23"/>
        </w:rPr>
        <w:t>abscesso</w:t>
      </w:r>
      <w:r>
        <w:rPr>
          <w:spacing w:val="-3"/>
          <w:sz w:val="23"/>
        </w:rPr>
        <w:t> </w:t>
      </w:r>
      <w:r>
        <w:rPr>
          <w:sz w:val="23"/>
        </w:rPr>
        <w:t>ou</w:t>
      </w:r>
      <w:r>
        <w:rPr>
          <w:spacing w:val="-3"/>
          <w:sz w:val="23"/>
        </w:rPr>
        <w:t> </w:t>
      </w:r>
      <w:r>
        <w:rPr>
          <w:spacing w:val="-2"/>
          <w:sz w:val="23"/>
        </w:rPr>
        <w:t>osteomielite</w:t>
      </w:r>
    </w:p>
    <w:p>
      <w:pPr>
        <w:pStyle w:val="ListParagraph"/>
        <w:numPr>
          <w:ilvl w:val="0"/>
          <w:numId w:val="38"/>
        </w:numPr>
        <w:tabs>
          <w:tab w:pos="397" w:val="left" w:leader="none"/>
        </w:tabs>
        <w:spacing w:line="240" w:lineRule="auto" w:before="56" w:after="0"/>
        <w:ind w:left="397" w:right="0" w:hanging="329"/>
        <w:jc w:val="left"/>
        <w:rPr>
          <w:sz w:val="23"/>
        </w:rPr>
      </w:pPr>
      <w:r>
        <w:rPr>
          <w:sz w:val="23"/>
        </w:rPr>
        <w:t>Grau</w:t>
      </w:r>
      <w:r>
        <w:rPr>
          <w:spacing w:val="-12"/>
          <w:sz w:val="23"/>
        </w:rPr>
        <w:t> </w:t>
      </w:r>
      <w:r>
        <w:rPr>
          <w:sz w:val="23"/>
        </w:rPr>
        <w:t>4:</w:t>
      </w:r>
      <w:r>
        <w:rPr>
          <w:spacing w:val="-10"/>
          <w:sz w:val="23"/>
        </w:rPr>
        <w:t> </w:t>
      </w:r>
      <w:r>
        <w:rPr>
          <w:sz w:val="23"/>
        </w:rPr>
        <w:t>gangrena</w:t>
      </w:r>
      <w:r>
        <w:rPr>
          <w:spacing w:val="-14"/>
          <w:sz w:val="23"/>
        </w:rPr>
        <w:t> </w:t>
      </w:r>
      <w:r>
        <w:rPr>
          <w:sz w:val="23"/>
        </w:rPr>
        <w:t>localizada</w:t>
      </w:r>
      <w:r>
        <w:rPr>
          <w:spacing w:val="-14"/>
          <w:sz w:val="23"/>
        </w:rPr>
        <w:t> </w:t>
      </w:r>
      <w:r>
        <w:rPr>
          <w:sz w:val="23"/>
        </w:rPr>
        <w:t>de</w:t>
      </w:r>
      <w:r>
        <w:rPr>
          <w:spacing w:val="-14"/>
          <w:sz w:val="23"/>
        </w:rPr>
        <w:t> </w:t>
      </w:r>
      <w:r>
        <w:rPr>
          <w:sz w:val="23"/>
        </w:rPr>
        <w:t>dedos</w:t>
      </w:r>
      <w:r>
        <w:rPr>
          <w:spacing w:val="-6"/>
          <w:sz w:val="23"/>
        </w:rPr>
        <w:t> </w:t>
      </w:r>
      <w:r>
        <w:rPr>
          <w:sz w:val="23"/>
        </w:rPr>
        <w:t>ou</w:t>
      </w:r>
      <w:r>
        <w:rPr>
          <w:spacing w:val="-11"/>
          <w:sz w:val="23"/>
        </w:rPr>
        <w:t> </w:t>
      </w:r>
      <w:r>
        <w:rPr>
          <w:spacing w:val="-2"/>
          <w:sz w:val="23"/>
        </w:rPr>
        <w:t>antepé</w:t>
      </w:r>
    </w:p>
    <w:p>
      <w:pPr>
        <w:pStyle w:val="ListParagraph"/>
        <w:numPr>
          <w:ilvl w:val="0"/>
          <w:numId w:val="38"/>
        </w:numPr>
        <w:tabs>
          <w:tab w:pos="397" w:val="left" w:leader="none"/>
        </w:tabs>
        <w:spacing w:line="240" w:lineRule="auto" w:before="56" w:after="0"/>
        <w:ind w:left="397" w:right="0" w:hanging="329"/>
        <w:jc w:val="left"/>
        <w:rPr>
          <w:sz w:val="23"/>
        </w:rPr>
      </w:pPr>
      <w:r>
        <w:rPr>
          <w:sz w:val="23"/>
        </w:rPr>
        <w:t>Grau</w:t>
      </w:r>
      <w:r>
        <w:rPr>
          <w:spacing w:val="-12"/>
          <w:sz w:val="23"/>
        </w:rPr>
        <w:t> </w:t>
      </w:r>
      <w:r>
        <w:rPr>
          <w:sz w:val="23"/>
        </w:rPr>
        <w:t>5:</w:t>
      </w:r>
      <w:r>
        <w:rPr>
          <w:spacing w:val="-6"/>
          <w:sz w:val="23"/>
        </w:rPr>
        <w:t> </w:t>
      </w:r>
      <w:r>
        <w:rPr>
          <w:sz w:val="23"/>
        </w:rPr>
        <w:t>gangrena</w:t>
      </w:r>
      <w:r>
        <w:rPr>
          <w:spacing w:val="-12"/>
          <w:sz w:val="23"/>
        </w:rPr>
        <w:t> </w:t>
      </w:r>
      <w:r>
        <w:rPr>
          <w:sz w:val="23"/>
        </w:rPr>
        <w:t>envolvendo</w:t>
      </w:r>
      <w:r>
        <w:rPr>
          <w:spacing w:val="-9"/>
          <w:sz w:val="23"/>
        </w:rPr>
        <w:t> </w:t>
      </w:r>
      <w:r>
        <w:rPr>
          <w:sz w:val="23"/>
        </w:rPr>
        <w:t>a</w:t>
      </w:r>
      <w:r>
        <w:rPr>
          <w:spacing w:val="-11"/>
          <w:sz w:val="23"/>
        </w:rPr>
        <w:t> </w:t>
      </w:r>
      <w:r>
        <w:rPr>
          <w:sz w:val="23"/>
        </w:rPr>
        <w:t>maior</w:t>
      </w:r>
      <w:r>
        <w:rPr>
          <w:spacing w:val="-4"/>
          <w:sz w:val="23"/>
        </w:rPr>
        <w:t> </w:t>
      </w:r>
      <w:r>
        <w:rPr>
          <w:sz w:val="23"/>
        </w:rPr>
        <w:t>parte</w:t>
      </w:r>
      <w:r>
        <w:rPr>
          <w:spacing w:val="-12"/>
          <w:sz w:val="23"/>
        </w:rPr>
        <w:t> </w:t>
      </w:r>
      <w:r>
        <w:rPr>
          <w:sz w:val="23"/>
        </w:rPr>
        <w:t>do</w:t>
      </w:r>
      <w:r>
        <w:rPr>
          <w:spacing w:val="-9"/>
          <w:sz w:val="23"/>
        </w:rPr>
        <w:t> </w:t>
      </w:r>
      <w:r>
        <w:rPr>
          <w:sz w:val="23"/>
        </w:rPr>
        <w:t>pé,</w:t>
      </w:r>
      <w:r>
        <w:rPr>
          <w:spacing w:val="-2"/>
          <w:sz w:val="23"/>
        </w:rPr>
        <w:t> </w:t>
      </w:r>
      <w:r>
        <w:rPr>
          <w:sz w:val="23"/>
        </w:rPr>
        <w:t>sem</w:t>
      </w:r>
      <w:r>
        <w:rPr>
          <w:spacing w:val="-9"/>
          <w:sz w:val="23"/>
        </w:rPr>
        <w:t> </w:t>
      </w:r>
      <w:r>
        <w:rPr>
          <w:sz w:val="23"/>
        </w:rPr>
        <w:t>possibilidade</w:t>
      </w:r>
      <w:r>
        <w:rPr>
          <w:spacing w:val="-11"/>
          <w:sz w:val="23"/>
        </w:rPr>
        <w:t> </w:t>
      </w:r>
      <w:r>
        <w:rPr>
          <w:sz w:val="23"/>
        </w:rPr>
        <w:t>de</w:t>
      </w:r>
      <w:r>
        <w:rPr>
          <w:spacing w:val="-11"/>
          <w:sz w:val="23"/>
        </w:rPr>
        <w:t> </w:t>
      </w:r>
      <w:r>
        <w:rPr>
          <w:sz w:val="23"/>
        </w:rPr>
        <w:t>salvamento</w:t>
      </w:r>
      <w:r>
        <w:rPr>
          <w:spacing w:val="-9"/>
          <w:sz w:val="23"/>
        </w:rPr>
        <w:t> </w:t>
      </w:r>
      <w:r>
        <w:rPr>
          <w:sz w:val="23"/>
        </w:rPr>
        <w:t>do</w:t>
      </w:r>
      <w:r>
        <w:rPr>
          <w:spacing w:val="-9"/>
          <w:sz w:val="23"/>
        </w:rPr>
        <w:t> </w:t>
      </w:r>
      <w:r>
        <w:rPr>
          <w:spacing w:val="-2"/>
          <w:sz w:val="23"/>
        </w:rPr>
        <w:t>mesmo.</w:t>
      </w:r>
    </w:p>
    <w:p>
      <w:pPr>
        <w:pStyle w:val="BodyText"/>
        <w:spacing w:before="15"/>
        <w:ind w:left="0" w:firstLine="0"/>
        <w:jc w:val="left"/>
      </w:pPr>
    </w:p>
    <w:p>
      <w:pPr>
        <w:pStyle w:val="BodyText"/>
        <w:spacing w:line="276" w:lineRule="auto" w:before="0"/>
        <w:ind w:right="488"/>
      </w:pPr>
      <w:r>
        <w:rPr/>
        <w:t>Devido às alterações vasculares e da imunidade, o antibiótico a ser utilizado deve ser preferencialmente bactericida e em altas doses.</w:t>
      </w:r>
    </w:p>
    <w:p>
      <w:pPr>
        <w:pStyle w:val="BodyText"/>
        <w:spacing w:line="276" w:lineRule="auto" w:before="49"/>
        <w:ind w:right="497"/>
      </w:pPr>
      <w:r>
        <w:rPr/>
        <w:t>Nas infecções leves e superficiais, com debridamentos mínimos e sem sinais sistêmicos de infecção, recomenda-se</w:t>
      </w:r>
      <w:r>
        <w:rPr>
          <w:spacing w:val="-13"/>
        </w:rPr>
        <w:t> </w:t>
      </w:r>
      <w:r>
        <w:rPr/>
        <w:t>antibiótico</w:t>
      </w:r>
      <w:r>
        <w:rPr>
          <w:spacing w:val="-11"/>
        </w:rPr>
        <w:t> </w:t>
      </w:r>
      <w:r>
        <w:rPr/>
        <w:t>oral:</w:t>
      </w:r>
      <w:r>
        <w:rPr>
          <w:spacing w:val="-8"/>
        </w:rPr>
        <w:t> </w:t>
      </w:r>
      <w:r>
        <w:rPr>
          <w:i/>
        </w:rPr>
        <w:t>clindamicina</w:t>
      </w:r>
      <w:r>
        <w:rPr>
          <w:i/>
          <w:spacing w:val="-8"/>
        </w:rPr>
        <w:t> </w:t>
      </w:r>
      <w:r>
        <w:rPr/>
        <w:t>ou</w:t>
      </w:r>
      <w:r>
        <w:rPr>
          <w:spacing w:val="-8"/>
        </w:rPr>
        <w:t> </w:t>
      </w:r>
      <w:r>
        <w:rPr>
          <w:i/>
        </w:rPr>
        <w:t>cefalexina</w:t>
      </w:r>
      <w:r>
        <w:rPr/>
        <w:t>. Ainda</w:t>
      </w:r>
      <w:r>
        <w:rPr>
          <w:spacing w:val="-8"/>
        </w:rPr>
        <w:t> </w:t>
      </w:r>
      <w:r>
        <w:rPr/>
        <w:t>que</w:t>
      </w:r>
      <w:r>
        <w:rPr>
          <w:spacing w:val="-8"/>
        </w:rPr>
        <w:t> </w:t>
      </w:r>
      <w:r>
        <w:rPr/>
        <w:t>clindamicina</w:t>
      </w:r>
      <w:r>
        <w:rPr>
          <w:spacing w:val="-8"/>
        </w:rPr>
        <w:t> </w:t>
      </w:r>
      <w:r>
        <w:rPr/>
        <w:t>apresente</w:t>
      </w:r>
      <w:r>
        <w:rPr>
          <w:spacing w:val="-8"/>
        </w:rPr>
        <w:t> </w:t>
      </w:r>
      <w:r>
        <w:rPr/>
        <w:t>melhor</w:t>
      </w:r>
      <w:r>
        <w:rPr>
          <w:spacing w:val="-1"/>
        </w:rPr>
        <w:t> </w:t>
      </w:r>
      <w:r>
        <w:rPr/>
        <w:t>cobertura</w:t>
      </w:r>
      <w:r>
        <w:rPr>
          <w:spacing w:val="-8"/>
        </w:rPr>
        <w:t> </w:t>
      </w:r>
      <w:r>
        <w:rPr/>
        <w:t>para anaeróbios, pode-se associar cefalexina + metronidazol. Caso não se observe melhora em 48 a 72 h, deve-se instituir antibiótico por via parenteral.</w:t>
      </w:r>
    </w:p>
    <w:p>
      <w:pPr>
        <w:pStyle w:val="BodyText"/>
        <w:spacing w:line="276" w:lineRule="auto"/>
        <w:ind w:right="491"/>
      </w:pPr>
      <w:r>
        <w:rPr/>
        <w:t>Nas infecções mais graves, com celulite</w:t>
      </w:r>
      <w:r>
        <w:rPr>
          <w:spacing w:val="-3"/>
        </w:rPr>
        <w:t> </w:t>
      </w:r>
      <w:r>
        <w:rPr/>
        <w:t>e/ou osteomielite, a</w:t>
      </w:r>
      <w:r>
        <w:rPr>
          <w:spacing w:val="-3"/>
        </w:rPr>
        <w:t> </w:t>
      </w:r>
      <w:r>
        <w:rPr/>
        <w:t>indicação são as fluoroquinolonas por via</w:t>
      </w:r>
      <w:r>
        <w:rPr>
          <w:spacing w:val="-3"/>
        </w:rPr>
        <w:t> </w:t>
      </w:r>
      <w:r>
        <w:rPr/>
        <w:t>oral (ou iniciar com parenteral). </w:t>
      </w:r>
      <w:r>
        <w:rPr>
          <w:i/>
        </w:rPr>
        <w:t>Ciprofloxacino </w:t>
      </w:r>
      <w:r>
        <w:rPr/>
        <w:t>ou </w:t>
      </w:r>
      <w:r>
        <w:rPr>
          <w:i/>
        </w:rPr>
        <w:t>levofloxacino </w:t>
      </w:r>
      <w:r>
        <w:rPr/>
        <w:t>associados a metronidazol ou clindamicina também constituem esquema adequado.</w:t>
      </w:r>
    </w:p>
    <w:p>
      <w:pPr>
        <w:pStyle w:val="BodyText"/>
        <w:spacing w:line="276" w:lineRule="auto" w:before="64"/>
        <w:ind w:right="500"/>
      </w:pPr>
      <w:r>
        <w:rPr/>
        <w:t>Se houver infecção sistêmica, o antibiótico deverá ser ministrado por via parenteral. Nas infecções de partes moles, o antibiótico oral deverá</w:t>
      </w:r>
      <w:r>
        <w:rPr>
          <w:spacing w:val="-1"/>
        </w:rPr>
        <w:t> </w:t>
      </w:r>
      <w:r>
        <w:rPr/>
        <w:t>ser mantido por 2 a</w:t>
      </w:r>
      <w:r>
        <w:rPr>
          <w:spacing w:val="-1"/>
        </w:rPr>
        <w:t> </w:t>
      </w:r>
      <w:r>
        <w:rPr/>
        <w:t>3 semanas e, no caso de</w:t>
      </w:r>
      <w:r>
        <w:rPr>
          <w:spacing w:val="-1"/>
        </w:rPr>
        <w:t> </w:t>
      </w:r>
      <w:r>
        <w:rPr/>
        <w:t>osteomielite, por 4 a</w:t>
      </w:r>
      <w:r>
        <w:rPr>
          <w:spacing w:val="-1"/>
        </w:rPr>
        <w:t> </w:t>
      </w:r>
      <w:r>
        <w:rPr/>
        <w:t>6 semanas.</w:t>
      </w:r>
    </w:p>
    <w:p>
      <w:pPr>
        <w:pStyle w:val="BodyText"/>
        <w:spacing w:line="276" w:lineRule="auto" w:before="48"/>
        <w:ind w:right="498"/>
      </w:pPr>
      <w:r>
        <w:rPr/>
        <w:t>Para</w:t>
      </w:r>
      <w:r>
        <w:rPr>
          <w:spacing w:val="-9"/>
        </w:rPr>
        <w:t> </w:t>
      </w:r>
      <w:r>
        <w:rPr>
          <w:i/>
        </w:rPr>
        <w:t>terapia</w:t>
      </w:r>
      <w:r>
        <w:rPr>
          <w:i/>
          <w:spacing w:val="-7"/>
        </w:rPr>
        <w:t> </w:t>
      </w:r>
      <w:r>
        <w:rPr>
          <w:i/>
        </w:rPr>
        <w:t>parenteral </w:t>
      </w:r>
      <w:r>
        <w:rPr/>
        <w:t>uma cefalosporina de segunda ou terceira geração é a primeira escolha. Os antibióticos parenterais adequados são: cefoxitina, ceftizoxima, imipeném-cilastatina, ticarcilina-clavulanato, ampicilina-sulbactam, aztreonam, vancomicina/levofloxacino + clindamicina/metronidazol. Os aminoglicosídios têm sido evitados devido à predisposição dos diabéticos a disfunções renais e pouca eficácia desses medicamentos em tecidos mal vascularizados. Após o</w:t>
      </w:r>
      <w:r>
        <w:rPr>
          <w:spacing w:val="-2"/>
        </w:rPr>
        <w:t> </w:t>
      </w:r>
      <w:r>
        <w:rPr/>
        <w:t>período</w:t>
      </w:r>
      <w:r>
        <w:rPr>
          <w:spacing w:val="-2"/>
        </w:rPr>
        <w:t> </w:t>
      </w:r>
      <w:r>
        <w:rPr/>
        <w:t>inicial de</w:t>
      </w:r>
      <w:r>
        <w:rPr>
          <w:spacing w:val="-4"/>
        </w:rPr>
        <w:t> </w:t>
      </w:r>
      <w:r>
        <w:rPr/>
        <w:t>tratamento</w:t>
      </w:r>
      <w:r>
        <w:rPr>
          <w:spacing w:val="-2"/>
        </w:rPr>
        <w:t> </w:t>
      </w:r>
      <w:r>
        <w:rPr/>
        <w:t>parenteral, com</w:t>
      </w:r>
      <w:r>
        <w:rPr>
          <w:spacing w:val="-2"/>
        </w:rPr>
        <w:t> </w:t>
      </w:r>
      <w:r>
        <w:rPr/>
        <w:t>a</w:t>
      </w:r>
      <w:r>
        <w:rPr>
          <w:spacing w:val="-4"/>
        </w:rPr>
        <w:t> </w:t>
      </w:r>
      <w:r>
        <w:rPr/>
        <w:t>melhora</w:t>
      </w:r>
      <w:r>
        <w:rPr>
          <w:spacing w:val="-4"/>
        </w:rPr>
        <w:t> </w:t>
      </w:r>
      <w:r>
        <w:rPr/>
        <w:t>clínica</w:t>
      </w:r>
      <w:r>
        <w:rPr>
          <w:spacing w:val="-4"/>
        </w:rPr>
        <w:t> </w:t>
      </w:r>
      <w:r>
        <w:rPr/>
        <w:t>da</w:t>
      </w:r>
      <w:r>
        <w:rPr>
          <w:spacing w:val="-4"/>
        </w:rPr>
        <w:t> </w:t>
      </w:r>
      <w:r>
        <w:rPr/>
        <w:t>inflamação</w:t>
      </w:r>
      <w:r>
        <w:rPr>
          <w:spacing w:val="-2"/>
        </w:rPr>
        <w:t> </w:t>
      </w:r>
      <w:r>
        <w:rPr/>
        <w:t>e dos marcadores inflamatórios, pode-se passar para a administração oral do antibiótico.</w:t>
      </w:r>
    </w:p>
    <w:p>
      <w:pPr>
        <w:pStyle w:val="BodyText"/>
        <w:spacing w:before="25"/>
        <w:ind w:left="0" w:firstLine="0"/>
        <w:jc w:val="left"/>
      </w:pPr>
    </w:p>
    <w:p>
      <w:pPr>
        <w:pStyle w:val="Heading7"/>
        <w:jc w:val="both"/>
      </w:pPr>
      <w:r>
        <w:rPr>
          <w:color w:val="242B67"/>
        </w:rPr>
        <w:t>Neuropatia </w:t>
      </w:r>
      <w:r>
        <w:rPr>
          <w:color w:val="242B67"/>
          <w:spacing w:val="-2"/>
        </w:rPr>
        <w:t>periférica</w:t>
      </w:r>
    </w:p>
    <w:p>
      <w:pPr>
        <w:pStyle w:val="BodyText"/>
        <w:spacing w:line="276" w:lineRule="auto" w:before="127"/>
        <w:ind w:right="488"/>
      </w:pPr>
      <w:r>
        <w:rPr/>
        <w:t>O tratamento da neuropatia diabética periférica ainda é desanimador. A prevalência da neuropatia sintomática varia de 15 a 25% com incidência anual de 2% e, mesmo assim, sabe-se que a ausência de sintomas não afasta sua presença.</w:t>
      </w:r>
      <w:r>
        <w:rPr>
          <w:spacing w:val="-2"/>
        </w:rPr>
        <w:t> </w:t>
      </w:r>
      <w:r>
        <w:rPr/>
        <w:t>Por</w:t>
      </w:r>
      <w:r>
        <w:rPr>
          <w:spacing w:val="-5"/>
        </w:rPr>
        <w:t> </w:t>
      </w:r>
      <w:r>
        <w:rPr/>
        <w:t>isso,</w:t>
      </w:r>
      <w:r>
        <w:rPr>
          <w:spacing w:val="-2"/>
        </w:rPr>
        <w:t> </w:t>
      </w:r>
      <w:r>
        <w:rPr/>
        <w:t>o</w:t>
      </w:r>
      <w:r>
        <w:rPr>
          <w:spacing w:val="-10"/>
        </w:rPr>
        <w:t> </w:t>
      </w:r>
      <w:r>
        <w:rPr/>
        <w:t>exame</w:t>
      </w:r>
      <w:r>
        <w:rPr>
          <w:spacing w:val="-12"/>
        </w:rPr>
        <w:t> </w:t>
      </w:r>
      <w:r>
        <w:rPr/>
        <w:t>neurológico</w:t>
      </w:r>
      <w:r>
        <w:rPr>
          <w:spacing w:val="-10"/>
        </w:rPr>
        <w:t> </w:t>
      </w:r>
      <w:r>
        <w:rPr/>
        <w:t>é</w:t>
      </w:r>
      <w:r>
        <w:rPr>
          <w:spacing w:val="-12"/>
        </w:rPr>
        <w:t> </w:t>
      </w:r>
      <w:r>
        <w:rPr/>
        <w:t>fundamental</w:t>
      </w:r>
      <w:r>
        <w:rPr>
          <w:spacing w:val="-7"/>
        </w:rPr>
        <w:t> </w:t>
      </w:r>
      <w:r>
        <w:rPr/>
        <w:t>para</w:t>
      </w:r>
      <w:r>
        <w:rPr>
          <w:spacing w:val="-12"/>
        </w:rPr>
        <w:t> </w:t>
      </w:r>
      <w:r>
        <w:rPr/>
        <w:t>sua</w:t>
      </w:r>
      <w:r>
        <w:rPr>
          <w:spacing w:val="-12"/>
        </w:rPr>
        <w:t> </w:t>
      </w:r>
      <w:r>
        <w:rPr/>
        <w:t>confirmação</w:t>
      </w:r>
      <w:r>
        <w:rPr>
          <w:spacing w:val="-10"/>
        </w:rPr>
        <w:t> </w:t>
      </w:r>
      <w:r>
        <w:rPr/>
        <w:t>e</w:t>
      </w:r>
      <w:r>
        <w:rPr>
          <w:spacing w:val="-12"/>
        </w:rPr>
        <w:t> </w:t>
      </w:r>
      <w:r>
        <w:rPr/>
        <w:t>tratamento.</w:t>
      </w:r>
      <w:r>
        <w:rPr>
          <w:spacing w:val="-2"/>
        </w:rPr>
        <w:t> </w:t>
      </w:r>
      <w:r>
        <w:rPr/>
        <w:t>A</w:t>
      </w:r>
      <w:r>
        <w:rPr>
          <w:spacing w:val="-12"/>
        </w:rPr>
        <w:t> </w:t>
      </w:r>
      <w:r>
        <w:rPr/>
        <w:t>abordagem</w:t>
      </w:r>
      <w:r>
        <w:rPr>
          <w:spacing w:val="-10"/>
        </w:rPr>
        <w:t> </w:t>
      </w:r>
      <w:r>
        <w:rPr/>
        <w:t>terapêutica pode ser dividida em quatro grandes atitudes, aplicáveis simultaneamente:</w:t>
      </w:r>
    </w:p>
    <w:p>
      <w:pPr>
        <w:pStyle w:val="ListParagraph"/>
        <w:numPr>
          <w:ilvl w:val="0"/>
          <w:numId w:val="38"/>
        </w:numPr>
        <w:tabs>
          <w:tab w:pos="412" w:val="left" w:leader="none"/>
        </w:tabs>
        <w:spacing w:line="276" w:lineRule="auto" w:before="160" w:after="0"/>
        <w:ind w:left="68" w:right="489" w:firstLine="0"/>
        <w:jc w:val="both"/>
        <w:rPr>
          <w:sz w:val="23"/>
        </w:rPr>
      </w:pPr>
      <w:r>
        <w:rPr>
          <w:sz w:val="23"/>
        </w:rPr>
        <w:t>Controle metabólico rígido: o papel da hiperglicemia no desenvolvimento da neuropatia justifica toda tentativa de normalizar a glicemia, para prevenir e melhorar as complicações da neuropatia. Estudos que realizaram um controle rígido da glicemia, às vezes até com infusão contínua de insulina, demonstraram melhora das manifestações somáticas da neuropatia, como na velocidade de condução motora e sensitiva e no controle da dor. Na</w:t>
      </w:r>
      <w:r>
        <w:rPr>
          <w:spacing w:val="-2"/>
          <w:sz w:val="23"/>
        </w:rPr>
        <w:t> </w:t>
      </w:r>
      <w:r>
        <w:rPr>
          <w:sz w:val="23"/>
        </w:rPr>
        <w:t>neuropatia</w:t>
      </w:r>
      <w:r>
        <w:rPr>
          <w:spacing w:val="-2"/>
          <w:sz w:val="23"/>
        </w:rPr>
        <w:t> </w:t>
      </w:r>
      <w:r>
        <w:rPr>
          <w:sz w:val="23"/>
        </w:rPr>
        <w:t>autonômica, o controle</w:t>
      </w:r>
      <w:r>
        <w:rPr>
          <w:spacing w:val="-2"/>
          <w:sz w:val="23"/>
        </w:rPr>
        <w:t> </w:t>
      </w:r>
      <w:r>
        <w:rPr>
          <w:sz w:val="23"/>
        </w:rPr>
        <w:t>glicêmico e</w:t>
      </w:r>
      <w:r>
        <w:rPr>
          <w:spacing w:val="-2"/>
          <w:sz w:val="23"/>
        </w:rPr>
        <w:t> </w:t>
      </w:r>
      <w:r>
        <w:rPr>
          <w:sz w:val="23"/>
        </w:rPr>
        <w:t>lipêmico tem se</w:t>
      </w:r>
      <w:r>
        <w:rPr>
          <w:spacing w:val="-2"/>
          <w:sz w:val="23"/>
        </w:rPr>
        <w:t> </w:t>
      </w:r>
      <w:r>
        <w:rPr>
          <w:sz w:val="23"/>
        </w:rPr>
        <w:t>mostrado menos benéfico</w:t>
      </w:r>
    </w:p>
    <w:p>
      <w:pPr>
        <w:pStyle w:val="ListParagraph"/>
        <w:numPr>
          <w:ilvl w:val="0"/>
          <w:numId w:val="38"/>
        </w:numPr>
        <w:tabs>
          <w:tab w:pos="395" w:val="left" w:leader="none"/>
        </w:tabs>
        <w:spacing w:line="240" w:lineRule="auto" w:before="33" w:after="0"/>
        <w:ind w:left="395" w:right="0" w:hanging="327"/>
        <w:jc w:val="both"/>
        <w:rPr>
          <w:sz w:val="23"/>
        </w:rPr>
      </w:pPr>
      <w:r>
        <w:rPr>
          <w:spacing w:val="-2"/>
          <w:sz w:val="23"/>
        </w:rPr>
        <w:t>Terapêutica</w:t>
      </w:r>
      <w:r>
        <w:rPr>
          <w:spacing w:val="-8"/>
          <w:sz w:val="23"/>
        </w:rPr>
        <w:t> </w:t>
      </w:r>
      <w:r>
        <w:rPr>
          <w:spacing w:val="-2"/>
          <w:sz w:val="23"/>
        </w:rPr>
        <w:t>etiológica</w:t>
      </w:r>
    </w:p>
    <w:p>
      <w:pPr>
        <w:pStyle w:val="ListParagraph"/>
        <w:numPr>
          <w:ilvl w:val="1"/>
          <w:numId w:val="38"/>
        </w:numPr>
        <w:tabs>
          <w:tab w:pos="819" w:val="left" w:leader="none"/>
        </w:tabs>
        <w:spacing w:line="276" w:lineRule="auto" w:before="56" w:after="0"/>
        <w:ind w:left="414" w:right="496" w:firstLine="0"/>
        <w:jc w:val="both"/>
        <w:rPr>
          <w:sz w:val="23"/>
        </w:rPr>
      </w:pPr>
      <w:r>
        <w:rPr>
          <w:sz w:val="23"/>
        </w:rPr>
        <w:t>Inibidores da aldolase-redutase: a neuropatia diabética resulta do efeito a longo prazo da hiperglicemia, da alta concentração</w:t>
      </w:r>
      <w:r>
        <w:rPr>
          <w:spacing w:val="15"/>
          <w:sz w:val="23"/>
        </w:rPr>
        <w:t> </w:t>
      </w:r>
      <w:r>
        <w:rPr>
          <w:sz w:val="23"/>
        </w:rPr>
        <w:t>de sorbitol</w:t>
      </w:r>
      <w:r>
        <w:rPr>
          <w:spacing w:val="17"/>
          <w:sz w:val="23"/>
        </w:rPr>
        <w:t> </w:t>
      </w:r>
      <w:r>
        <w:rPr>
          <w:sz w:val="23"/>
        </w:rPr>
        <w:t>e outras</w:t>
      </w:r>
      <w:r>
        <w:rPr>
          <w:spacing w:val="22"/>
          <w:sz w:val="23"/>
        </w:rPr>
        <w:t> </w:t>
      </w:r>
      <w:r>
        <w:rPr>
          <w:sz w:val="23"/>
        </w:rPr>
        <w:t>anormalidades</w:t>
      </w:r>
      <w:r>
        <w:rPr>
          <w:spacing w:val="22"/>
          <w:sz w:val="23"/>
        </w:rPr>
        <w:t> </w:t>
      </w:r>
      <w:r>
        <w:rPr>
          <w:sz w:val="23"/>
        </w:rPr>
        <w:t>metabólicas</w:t>
      </w:r>
      <w:r>
        <w:rPr>
          <w:spacing w:val="22"/>
          <w:sz w:val="23"/>
        </w:rPr>
        <w:t> </w:t>
      </w:r>
      <w:r>
        <w:rPr>
          <w:sz w:val="23"/>
        </w:rPr>
        <w:t>dentro</w:t>
      </w:r>
      <w:r>
        <w:rPr>
          <w:spacing w:val="15"/>
          <w:sz w:val="23"/>
        </w:rPr>
        <w:t> </w:t>
      </w:r>
      <w:r>
        <w:rPr>
          <w:sz w:val="23"/>
        </w:rPr>
        <w:t>do</w:t>
      </w:r>
      <w:r>
        <w:rPr>
          <w:spacing w:val="15"/>
          <w:sz w:val="23"/>
        </w:rPr>
        <w:t> </w:t>
      </w:r>
      <w:r>
        <w:rPr>
          <w:sz w:val="23"/>
        </w:rPr>
        <w:t>nervo.</w:t>
      </w:r>
      <w:r>
        <w:rPr>
          <w:spacing w:val="22"/>
          <w:sz w:val="23"/>
        </w:rPr>
        <w:t> </w:t>
      </w:r>
      <w:r>
        <w:rPr>
          <w:sz w:val="23"/>
        </w:rPr>
        <w:t>Os</w:t>
      </w:r>
      <w:r>
        <w:rPr>
          <w:spacing w:val="22"/>
          <w:sz w:val="23"/>
        </w:rPr>
        <w:t> </w:t>
      </w:r>
      <w:r>
        <w:rPr>
          <w:sz w:val="23"/>
        </w:rPr>
        <w:t>inibidores</w:t>
      </w:r>
      <w:r>
        <w:rPr>
          <w:spacing w:val="22"/>
          <w:sz w:val="23"/>
        </w:rPr>
        <w:t> </w:t>
      </w:r>
      <w:r>
        <w:rPr>
          <w:sz w:val="23"/>
        </w:rPr>
        <w:t>da aldolase-</w:t>
      </w:r>
    </w:p>
    <w:p>
      <w:pPr>
        <w:pStyle w:val="ListParagraph"/>
        <w:spacing w:after="0" w:line="276" w:lineRule="auto"/>
        <w:jc w:val="both"/>
        <w:rPr>
          <w:sz w:val="23"/>
        </w:rPr>
        <w:sectPr>
          <w:pgSz w:w="11900" w:h="16840"/>
          <w:pgMar w:top="120" w:bottom="280" w:left="566" w:right="141"/>
        </w:sectPr>
      </w:pPr>
    </w:p>
    <w:p>
      <w:pPr>
        <w:pStyle w:val="BodyText"/>
        <w:spacing w:line="276" w:lineRule="auto" w:before="61"/>
        <w:ind w:left="414" w:right="488" w:firstLine="0"/>
      </w:pPr>
      <w:r>
        <w:rPr/>
        <w:t>redutase diminuem a concentração de sorbitol dentro do nervo, aumentam a regeneração de fibras nervosas, melhoram</w:t>
      </w:r>
      <w:r>
        <w:rPr>
          <w:spacing w:val="-2"/>
        </w:rPr>
        <w:t> </w:t>
      </w:r>
      <w:r>
        <w:rPr/>
        <w:t>a</w:t>
      </w:r>
      <w:r>
        <w:rPr>
          <w:spacing w:val="-4"/>
        </w:rPr>
        <w:t> </w:t>
      </w:r>
      <w:r>
        <w:rPr/>
        <w:t>condução</w:t>
      </w:r>
      <w:r>
        <w:rPr>
          <w:spacing w:val="-2"/>
        </w:rPr>
        <w:t> </w:t>
      </w:r>
      <w:r>
        <w:rPr/>
        <w:t>nervosa</w:t>
      </w:r>
      <w:r>
        <w:rPr>
          <w:spacing w:val="-4"/>
        </w:rPr>
        <w:t> </w:t>
      </w:r>
      <w:r>
        <w:rPr/>
        <w:t>e</w:t>
      </w:r>
      <w:r>
        <w:rPr>
          <w:spacing w:val="-4"/>
        </w:rPr>
        <w:t> </w:t>
      </w:r>
      <w:r>
        <w:rPr/>
        <w:t>diminuem</w:t>
      </w:r>
      <w:r>
        <w:rPr>
          <w:spacing w:val="-2"/>
        </w:rPr>
        <w:t> </w:t>
      </w:r>
      <w:r>
        <w:rPr/>
        <w:t>as parestesias e</w:t>
      </w:r>
      <w:r>
        <w:rPr>
          <w:spacing w:val="-4"/>
        </w:rPr>
        <w:t> </w:t>
      </w:r>
      <w:r>
        <w:rPr/>
        <w:t>a</w:t>
      </w:r>
      <w:r>
        <w:rPr>
          <w:spacing w:val="-4"/>
        </w:rPr>
        <w:t> </w:t>
      </w:r>
      <w:r>
        <w:rPr/>
        <w:t>dor. A</w:t>
      </w:r>
      <w:r>
        <w:rPr>
          <w:spacing w:val="-4"/>
        </w:rPr>
        <w:t> </w:t>
      </w:r>
      <w:r>
        <w:rPr/>
        <w:t>redução</w:t>
      </w:r>
      <w:r>
        <w:rPr>
          <w:spacing w:val="-2"/>
        </w:rPr>
        <w:t> </w:t>
      </w:r>
      <w:r>
        <w:rPr/>
        <w:t>da</w:t>
      </w:r>
      <w:r>
        <w:rPr>
          <w:spacing w:val="-4"/>
        </w:rPr>
        <w:t> </w:t>
      </w:r>
      <w:r>
        <w:rPr/>
        <w:t>dor é</w:t>
      </w:r>
      <w:r>
        <w:rPr>
          <w:spacing w:val="-4"/>
        </w:rPr>
        <w:t> </w:t>
      </w:r>
      <w:r>
        <w:rPr/>
        <w:t>um</w:t>
      </w:r>
      <w:r>
        <w:rPr>
          <w:spacing w:val="-2"/>
        </w:rPr>
        <w:t> </w:t>
      </w:r>
      <w:r>
        <w:rPr/>
        <w:t>parâmetro</w:t>
      </w:r>
      <w:r>
        <w:rPr>
          <w:spacing w:val="-2"/>
        </w:rPr>
        <w:t> </w:t>
      </w:r>
      <w:r>
        <w:rPr/>
        <w:t>inadequado do sucesso terapêutico, pois a dor pode diminuir conforme a neuropatia progride e pode aumentar, paradoxalmente, conforme vai ocorrendo a regeneração do nervo. O benefício desses inibidores pode ser observado</w:t>
      </w:r>
      <w:r>
        <w:rPr>
          <w:spacing w:val="-5"/>
        </w:rPr>
        <w:t> </w:t>
      </w:r>
      <w:r>
        <w:rPr/>
        <w:t>a</w:t>
      </w:r>
      <w:r>
        <w:rPr>
          <w:spacing w:val="-8"/>
        </w:rPr>
        <w:t> </w:t>
      </w:r>
      <w:r>
        <w:rPr/>
        <w:t>longo</w:t>
      </w:r>
      <w:r>
        <w:rPr>
          <w:spacing w:val="-5"/>
        </w:rPr>
        <w:t> </w:t>
      </w:r>
      <w:r>
        <w:rPr/>
        <w:t>prazo</w:t>
      </w:r>
      <w:r>
        <w:rPr>
          <w:spacing w:val="-5"/>
        </w:rPr>
        <w:t> </w:t>
      </w:r>
      <w:r>
        <w:rPr/>
        <w:t>e</w:t>
      </w:r>
      <w:r>
        <w:rPr>
          <w:spacing w:val="-8"/>
        </w:rPr>
        <w:t> </w:t>
      </w:r>
      <w:r>
        <w:rPr/>
        <w:t>mais bem</w:t>
      </w:r>
      <w:r>
        <w:rPr>
          <w:spacing w:val="-5"/>
        </w:rPr>
        <w:t> </w:t>
      </w:r>
      <w:r>
        <w:rPr/>
        <w:t>determinado</w:t>
      </w:r>
      <w:r>
        <w:rPr>
          <w:spacing w:val="-5"/>
        </w:rPr>
        <w:t> </w:t>
      </w:r>
      <w:r>
        <w:rPr/>
        <w:t>nos estados iniciais e</w:t>
      </w:r>
      <w:r>
        <w:rPr>
          <w:spacing w:val="-8"/>
        </w:rPr>
        <w:t> </w:t>
      </w:r>
      <w:r>
        <w:rPr/>
        <w:t>intermediários da</w:t>
      </w:r>
      <w:r>
        <w:rPr>
          <w:spacing w:val="-8"/>
        </w:rPr>
        <w:t> </w:t>
      </w:r>
      <w:r>
        <w:rPr/>
        <w:t>neuropatia, quando</w:t>
      </w:r>
      <w:r>
        <w:rPr>
          <w:spacing w:val="-5"/>
        </w:rPr>
        <w:t> </w:t>
      </w:r>
      <w:r>
        <w:rPr/>
        <w:t>se tem</w:t>
      </w:r>
      <w:r>
        <w:rPr>
          <w:spacing w:val="-6"/>
        </w:rPr>
        <w:t> </w:t>
      </w:r>
      <w:r>
        <w:rPr/>
        <w:t>somente</w:t>
      </w:r>
      <w:r>
        <w:rPr>
          <w:spacing w:val="-8"/>
        </w:rPr>
        <w:t> </w:t>
      </w:r>
      <w:r>
        <w:rPr/>
        <w:t>alteração</w:t>
      </w:r>
      <w:r>
        <w:rPr>
          <w:spacing w:val="-6"/>
        </w:rPr>
        <w:t> </w:t>
      </w:r>
      <w:r>
        <w:rPr/>
        <w:t>de</w:t>
      </w:r>
      <w:r>
        <w:rPr>
          <w:spacing w:val="-8"/>
        </w:rPr>
        <w:t> </w:t>
      </w:r>
      <w:r>
        <w:rPr/>
        <w:t>velocidade</w:t>
      </w:r>
      <w:r>
        <w:rPr>
          <w:spacing w:val="-8"/>
        </w:rPr>
        <w:t> </w:t>
      </w:r>
      <w:r>
        <w:rPr/>
        <w:t>de</w:t>
      </w:r>
      <w:r>
        <w:rPr>
          <w:spacing w:val="-8"/>
        </w:rPr>
        <w:t> </w:t>
      </w:r>
      <w:r>
        <w:rPr/>
        <w:t>condução</w:t>
      </w:r>
      <w:r>
        <w:rPr>
          <w:spacing w:val="-6"/>
        </w:rPr>
        <w:t> </w:t>
      </w:r>
      <w:r>
        <w:rPr/>
        <w:t>nervosa</w:t>
      </w:r>
      <w:r>
        <w:rPr>
          <w:spacing w:val="-8"/>
        </w:rPr>
        <w:t> </w:t>
      </w:r>
      <w:r>
        <w:rPr/>
        <w:t>e/ou</w:t>
      </w:r>
      <w:r>
        <w:rPr>
          <w:spacing w:val="-6"/>
        </w:rPr>
        <w:t> </w:t>
      </w:r>
      <w:r>
        <w:rPr/>
        <w:t>sintomas neurológicos recentes. Se</w:t>
      </w:r>
      <w:r>
        <w:rPr>
          <w:spacing w:val="-8"/>
        </w:rPr>
        <w:t> </w:t>
      </w:r>
      <w:r>
        <w:rPr/>
        <w:t>o</w:t>
      </w:r>
      <w:r>
        <w:rPr>
          <w:spacing w:val="-6"/>
        </w:rPr>
        <w:t> </w:t>
      </w:r>
      <w:r>
        <w:rPr/>
        <w:t>paciente</w:t>
      </w:r>
      <w:r>
        <w:rPr>
          <w:spacing w:val="-8"/>
        </w:rPr>
        <w:t> </w:t>
      </w:r>
      <w:r>
        <w:rPr/>
        <w:t>já apresenta anestesia, cãibras, úlceras, e deformação de Charcot, os nervos estão muito afetados e destruídos, a melhora que se espera é mínima. Entre os inibidores da aldolase-redutase mais conhecidos temos o tolrestast e</w:t>
      </w:r>
      <w:r>
        <w:rPr>
          <w:spacing w:val="40"/>
        </w:rPr>
        <w:t> </w:t>
      </w:r>
      <w:r>
        <w:rPr/>
        <w:t>o zopolrestast. Os inconvenientes desses medicamentos são a ocasional elevação das enzimas hepáticas e a deterioração da melhora obtida com tratamento após sua interrupção. As complicações tardias e o alcance terapêutico desses inibidores ainda necessitam ser mais bem esclarecidos</w:t>
      </w:r>
    </w:p>
    <w:p>
      <w:pPr>
        <w:pStyle w:val="ListParagraph"/>
        <w:numPr>
          <w:ilvl w:val="1"/>
          <w:numId w:val="38"/>
        </w:numPr>
        <w:tabs>
          <w:tab w:pos="851" w:val="left" w:leader="none"/>
        </w:tabs>
        <w:spacing w:line="283" w:lineRule="auto" w:before="17" w:after="0"/>
        <w:ind w:left="414" w:right="488" w:firstLine="0"/>
        <w:jc w:val="both"/>
        <w:rPr>
          <w:sz w:val="23"/>
        </w:rPr>
      </w:pPr>
      <w:r>
        <w:rPr>
          <w:sz w:val="23"/>
        </w:rPr>
        <w:t>Inibidor da fosfodiesterase: o cilostazol tem demonstrado, em estudos experimentais, efeito benéfico na neuropatia diabética, restaurando alterações morfológicas e funcionais dos nervos periféricos, por aumentar a atividade da bomba Na</w:t>
      </w:r>
      <w:r>
        <w:rPr>
          <w:sz w:val="23"/>
          <w:vertAlign w:val="superscript"/>
        </w:rPr>
        <w:t>+</w:t>
      </w:r>
      <w:r>
        <w:rPr>
          <w:sz w:val="23"/>
          <w:vertAlign w:val="baseline"/>
        </w:rPr>
        <w:t>/K</w:t>
      </w:r>
      <w:r>
        <w:rPr>
          <w:sz w:val="23"/>
          <w:vertAlign w:val="superscript"/>
        </w:rPr>
        <w:t>+</w:t>
      </w:r>
      <w:r>
        <w:rPr>
          <w:sz w:val="23"/>
          <w:vertAlign w:val="baseline"/>
        </w:rPr>
        <w:t>ATPase e a produção de AMP cíclico e óxido nítrico nos nervos</w:t>
      </w:r>
      <w:r>
        <w:rPr>
          <w:sz w:val="23"/>
          <w:vertAlign w:val="superscript"/>
        </w:rPr>
        <w:t>21</w:t>
      </w:r>
    </w:p>
    <w:p>
      <w:pPr>
        <w:pStyle w:val="ListParagraph"/>
        <w:numPr>
          <w:ilvl w:val="1"/>
          <w:numId w:val="38"/>
        </w:numPr>
        <w:tabs>
          <w:tab w:pos="807" w:val="left" w:leader="none"/>
        </w:tabs>
        <w:spacing w:line="276" w:lineRule="auto" w:before="25" w:after="0"/>
        <w:ind w:left="414" w:right="499" w:firstLine="0"/>
        <w:jc w:val="both"/>
        <w:rPr>
          <w:sz w:val="23"/>
        </w:rPr>
      </w:pPr>
      <w:r>
        <w:rPr>
          <w:sz w:val="23"/>
        </w:rPr>
        <w:t>Outros</w:t>
      </w:r>
      <w:r>
        <w:rPr>
          <w:spacing w:val="-15"/>
          <w:sz w:val="23"/>
        </w:rPr>
        <w:t> </w:t>
      </w:r>
      <w:r>
        <w:rPr>
          <w:sz w:val="23"/>
        </w:rPr>
        <w:t>fármacos</w:t>
      </w:r>
      <w:r>
        <w:rPr>
          <w:spacing w:val="-10"/>
          <w:sz w:val="23"/>
        </w:rPr>
        <w:t> </w:t>
      </w:r>
      <w:r>
        <w:rPr>
          <w:sz w:val="23"/>
        </w:rPr>
        <w:t>em</w:t>
      </w:r>
      <w:r>
        <w:rPr>
          <w:spacing w:val="-15"/>
          <w:sz w:val="23"/>
        </w:rPr>
        <w:t> </w:t>
      </w:r>
      <w:r>
        <w:rPr>
          <w:sz w:val="23"/>
        </w:rPr>
        <w:t>experimentação:</w:t>
      </w:r>
      <w:r>
        <w:rPr>
          <w:spacing w:val="-13"/>
          <w:sz w:val="23"/>
        </w:rPr>
        <w:t> </w:t>
      </w:r>
      <w:r>
        <w:rPr>
          <w:sz w:val="23"/>
        </w:rPr>
        <w:t>incluem</w:t>
      </w:r>
      <w:r>
        <w:rPr>
          <w:spacing w:val="-15"/>
          <w:sz w:val="23"/>
        </w:rPr>
        <w:t> </w:t>
      </w:r>
      <w:r>
        <w:rPr>
          <w:sz w:val="23"/>
        </w:rPr>
        <w:t>inibidores</w:t>
      </w:r>
      <w:r>
        <w:rPr>
          <w:spacing w:val="-9"/>
          <w:sz w:val="23"/>
        </w:rPr>
        <w:t> </w:t>
      </w:r>
      <w:r>
        <w:rPr>
          <w:sz w:val="23"/>
        </w:rPr>
        <w:t>de</w:t>
      </w:r>
      <w:r>
        <w:rPr>
          <w:spacing w:val="-15"/>
          <w:sz w:val="23"/>
        </w:rPr>
        <w:t> </w:t>
      </w:r>
      <w:r>
        <w:rPr>
          <w:sz w:val="23"/>
        </w:rPr>
        <w:t>AGEs</w:t>
      </w:r>
      <w:r>
        <w:rPr>
          <w:spacing w:val="-9"/>
          <w:sz w:val="23"/>
        </w:rPr>
        <w:t> </w:t>
      </w:r>
      <w:r>
        <w:rPr>
          <w:sz w:val="23"/>
        </w:rPr>
        <w:t>(aminoguanidina,</w:t>
      </w:r>
      <w:r>
        <w:rPr>
          <w:spacing w:val="-9"/>
          <w:sz w:val="23"/>
        </w:rPr>
        <w:t> </w:t>
      </w:r>
      <w:r>
        <w:rPr>
          <w:sz w:val="23"/>
        </w:rPr>
        <w:t>desferroxamina),</w:t>
      </w:r>
      <w:r>
        <w:rPr>
          <w:spacing w:val="-9"/>
          <w:sz w:val="23"/>
        </w:rPr>
        <w:t> </w:t>
      </w:r>
      <w:r>
        <w:rPr>
          <w:sz w:val="23"/>
        </w:rPr>
        <w:t>ácido gamalinoleico, ácido alfalipoico e beraprosta, um análogo da prostaciclina</w:t>
      </w:r>
    </w:p>
    <w:p>
      <w:pPr>
        <w:pStyle w:val="ListParagraph"/>
        <w:numPr>
          <w:ilvl w:val="0"/>
          <w:numId w:val="38"/>
        </w:numPr>
        <w:tabs>
          <w:tab w:pos="395" w:val="left" w:leader="none"/>
        </w:tabs>
        <w:spacing w:line="240" w:lineRule="auto" w:before="32" w:after="0"/>
        <w:ind w:left="395" w:right="0" w:hanging="327"/>
        <w:jc w:val="both"/>
        <w:rPr>
          <w:sz w:val="23"/>
        </w:rPr>
      </w:pPr>
      <w:r>
        <w:rPr>
          <w:spacing w:val="-2"/>
          <w:sz w:val="23"/>
        </w:rPr>
        <w:t>Terapêutica</w:t>
      </w:r>
      <w:r>
        <w:rPr>
          <w:spacing w:val="-8"/>
          <w:sz w:val="23"/>
        </w:rPr>
        <w:t> </w:t>
      </w:r>
      <w:r>
        <w:rPr>
          <w:spacing w:val="-2"/>
          <w:sz w:val="23"/>
        </w:rPr>
        <w:t>neurotrófica</w:t>
      </w:r>
      <w:r>
        <w:rPr>
          <w:spacing w:val="-2"/>
          <w:sz w:val="23"/>
          <w:vertAlign w:val="superscript"/>
        </w:rPr>
        <w:t>22</w:t>
      </w:r>
    </w:p>
    <w:p>
      <w:pPr>
        <w:pStyle w:val="ListParagraph"/>
        <w:numPr>
          <w:ilvl w:val="1"/>
          <w:numId w:val="38"/>
        </w:numPr>
        <w:tabs>
          <w:tab w:pos="841" w:val="left" w:leader="none"/>
        </w:tabs>
        <w:spacing w:line="276" w:lineRule="auto" w:before="72" w:after="0"/>
        <w:ind w:left="414" w:right="488" w:firstLine="0"/>
        <w:jc w:val="both"/>
        <w:rPr>
          <w:sz w:val="23"/>
        </w:rPr>
      </w:pPr>
      <w:r>
        <w:rPr>
          <w:sz w:val="23"/>
        </w:rPr>
        <w:t>Gangliosídeos: encontram-se normalmente na membrana neuronal e estão relacionados com os receptores dos neurotransmisores. Estudos em animais sugerem que eles aumentem as comunicações axônicas, estimulando a rápida reinervação. Estudos em pacientes somente mostraram discreta melhora na velocidade de condução nervosa</w:t>
      </w:r>
    </w:p>
    <w:p>
      <w:pPr>
        <w:pStyle w:val="ListParagraph"/>
        <w:numPr>
          <w:ilvl w:val="1"/>
          <w:numId w:val="38"/>
        </w:numPr>
        <w:tabs>
          <w:tab w:pos="849" w:val="left" w:leader="none"/>
        </w:tabs>
        <w:spacing w:line="283" w:lineRule="auto" w:before="17" w:after="0"/>
        <w:ind w:left="414" w:right="495" w:firstLine="0"/>
        <w:jc w:val="both"/>
        <w:rPr>
          <w:sz w:val="23"/>
        </w:rPr>
      </w:pPr>
      <w:r>
        <w:rPr>
          <w:sz w:val="23"/>
        </w:rPr>
        <w:t>Vitaminoterapia: o uso das vitaminas “antineuríticas”, tiamina, piridoxina e B</w:t>
      </w:r>
      <w:r>
        <w:rPr>
          <w:sz w:val="23"/>
          <w:vertAlign w:val="subscript"/>
        </w:rPr>
        <w:t>12</w:t>
      </w:r>
      <w:r>
        <w:rPr>
          <w:sz w:val="23"/>
          <w:vertAlign w:val="baseline"/>
        </w:rPr>
        <w:t>, e de doses elevadas de vitaminas C e E é inadequado e ineficaz, pois a neuropatia diabética não é carencial. Não existem dados experimentais ou clínicos que justifiquem seu uso</w:t>
      </w:r>
    </w:p>
    <w:p>
      <w:pPr>
        <w:pStyle w:val="ListParagraph"/>
        <w:numPr>
          <w:ilvl w:val="1"/>
          <w:numId w:val="38"/>
        </w:numPr>
        <w:tabs>
          <w:tab w:pos="806" w:val="left" w:leader="none"/>
        </w:tabs>
        <w:spacing w:line="290" w:lineRule="auto" w:before="25" w:after="0"/>
        <w:ind w:left="414" w:right="495" w:firstLine="0"/>
        <w:jc w:val="both"/>
        <w:rPr>
          <w:sz w:val="23"/>
        </w:rPr>
      </w:pPr>
      <w:r>
        <w:rPr>
          <w:sz w:val="23"/>
        </w:rPr>
        <w:t>Neurotrofinas:</w:t>
      </w:r>
      <w:r>
        <w:rPr>
          <w:spacing w:val="-5"/>
          <w:sz w:val="23"/>
        </w:rPr>
        <w:t> </w:t>
      </w:r>
      <w:r>
        <w:rPr>
          <w:sz w:val="23"/>
        </w:rPr>
        <w:t>a</w:t>
      </w:r>
      <w:r>
        <w:rPr>
          <w:spacing w:val="-10"/>
          <w:sz w:val="23"/>
        </w:rPr>
        <w:t> </w:t>
      </w:r>
      <w:r>
        <w:rPr>
          <w:sz w:val="23"/>
        </w:rPr>
        <w:t>utilização, em</w:t>
      </w:r>
      <w:r>
        <w:rPr>
          <w:spacing w:val="-8"/>
          <w:sz w:val="23"/>
        </w:rPr>
        <w:t> </w:t>
      </w:r>
      <w:r>
        <w:rPr>
          <w:sz w:val="23"/>
        </w:rPr>
        <w:t>animais, de</w:t>
      </w:r>
      <w:r>
        <w:rPr>
          <w:spacing w:val="-10"/>
          <w:sz w:val="23"/>
        </w:rPr>
        <w:t> </w:t>
      </w:r>
      <w:r>
        <w:rPr>
          <w:sz w:val="23"/>
        </w:rPr>
        <w:t>fator</w:t>
      </w:r>
      <w:r>
        <w:rPr>
          <w:spacing w:val="-3"/>
          <w:sz w:val="23"/>
        </w:rPr>
        <w:t> </w:t>
      </w:r>
      <w:r>
        <w:rPr>
          <w:sz w:val="23"/>
        </w:rPr>
        <w:t>de</w:t>
      </w:r>
      <w:r>
        <w:rPr>
          <w:spacing w:val="-10"/>
          <w:sz w:val="23"/>
        </w:rPr>
        <w:t> </w:t>
      </w:r>
      <w:r>
        <w:rPr>
          <w:sz w:val="23"/>
        </w:rPr>
        <w:t>crescimento</w:t>
      </w:r>
      <w:r>
        <w:rPr>
          <w:spacing w:val="-8"/>
          <w:sz w:val="23"/>
        </w:rPr>
        <w:t> </w:t>
      </w:r>
      <w:r>
        <w:rPr>
          <w:sz w:val="23"/>
        </w:rPr>
        <w:t>do</w:t>
      </w:r>
      <w:r>
        <w:rPr>
          <w:spacing w:val="-8"/>
          <w:sz w:val="23"/>
        </w:rPr>
        <w:t> </w:t>
      </w:r>
      <w:r>
        <w:rPr>
          <w:sz w:val="23"/>
        </w:rPr>
        <w:t>nervo</w:t>
      </w:r>
      <w:r>
        <w:rPr>
          <w:spacing w:val="-8"/>
          <w:sz w:val="23"/>
        </w:rPr>
        <w:t> </w:t>
      </w:r>
      <w:r>
        <w:rPr>
          <w:sz w:val="23"/>
        </w:rPr>
        <w:t>e</w:t>
      </w:r>
      <w:r>
        <w:rPr>
          <w:spacing w:val="-10"/>
          <w:sz w:val="23"/>
        </w:rPr>
        <w:t> </w:t>
      </w:r>
      <w:r>
        <w:rPr>
          <w:sz w:val="23"/>
        </w:rPr>
        <w:t>fator</w:t>
      </w:r>
      <w:r>
        <w:rPr>
          <w:spacing w:val="-3"/>
          <w:sz w:val="23"/>
        </w:rPr>
        <w:t> </w:t>
      </w:r>
      <w:r>
        <w:rPr>
          <w:sz w:val="23"/>
        </w:rPr>
        <w:t>de</w:t>
      </w:r>
      <w:r>
        <w:rPr>
          <w:spacing w:val="-10"/>
          <w:sz w:val="23"/>
        </w:rPr>
        <w:t> </w:t>
      </w:r>
      <w:r>
        <w:rPr>
          <w:sz w:val="23"/>
        </w:rPr>
        <w:t>crescimento</w:t>
      </w:r>
      <w:r>
        <w:rPr>
          <w:spacing w:val="-7"/>
          <w:sz w:val="23"/>
        </w:rPr>
        <w:t> </w:t>
      </w:r>
      <w:r>
        <w:rPr>
          <w:i/>
          <w:sz w:val="23"/>
        </w:rPr>
        <w:t>insulin-like </w:t>
      </w:r>
      <w:r>
        <w:rPr>
          <w:sz w:val="23"/>
        </w:rPr>
        <w:t>tem mostrado resultados encorajadores</w:t>
      </w:r>
      <w:r>
        <w:rPr>
          <w:sz w:val="23"/>
          <w:vertAlign w:val="superscript"/>
        </w:rPr>
        <w:t>23</w:t>
      </w:r>
    </w:p>
    <w:p>
      <w:pPr>
        <w:pStyle w:val="ListParagraph"/>
        <w:numPr>
          <w:ilvl w:val="0"/>
          <w:numId w:val="38"/>
        </w:numPr>
        <w:tabs>
          <w:tab w:pos="395" w:val="left" w:leader="none"/>
        </w:tabs>
        <w:spacing w:line="240" w:lineRule="auto" w:before="0" w:after="0"/>
        <w:ind w:left="395" w:right="0" w:hanging="327"/>
        <w:jc w:val="both"/>
        <w:rPr>
          <w:sz w:val="23"/>
        </w:rPr>
      </w:pPr>
      <w:r>
        <w:rPr>
          <w:spacing w:val="-2"/>
          <w:sz w:val="23"/>
        </w:rPr>
        <w:t>Terapêutica</w:t>
      </w:r>
      <w:r>
        <w:rPr>
          <w:spacing w:val="-8"/>
          <w:sz w:val="23"/>
        </w:rPr>
        <w:t> </w:t>
      </w:r>
      <w:r>
        <w:rPr>
          <w:spacing w:val="-2"/>
          <w:sz w:val="23"/>
        </w:rPr>
        <w:t>sintomática</w:t>
      </w:r>
    </w:p>
    <w:p>
      <w:pPr>
        <w:pStyle w:val="ListParagraph"/>
        <w:numPr>
          <w:ilvl w:val="1"/>
          <w:numId w:val="38"/>
        </w:numPr>
        <w:tabs>
          <w:tab w:pos="850" w:val="left" w:leader="none"/>
        </w:tabs>
        <w:spacing w:line="278" w:lineRule="auto" w:before="72" w:after="0"/>
        <w:ind w:left="414" w:right="491" w:firstLine="0"/>
        <w:jc w:val="both"/>
        <w:rPr>
          <w:sz w:val="23"/>
        </w:rPr>
      </w:pPr>
      <w:r>
        <w:rPr>
          <w:sz w:val="23"/>
        </w:rPr>
        <w:t>Da dor: pode ser dividida em dois grupos: o controle metabólico rígido e o tratamento medicamentoso, sendo o primeiro o mais importante. O controle da glicemia deve ser feito com insulina, ainda em diabéticos não insulinodependentes, pois a glicemia modula a resposta dos receptores opiáceos, aumentando o limiar doloroso e a tolerância à dor. No tratamento medicamentoso</w:t>
      </w:r>
      <w:r>
        <w:rPr>
          <w:sz w:val="23"/>
          <w:vertAlign w:val="superscript"/>
        </w:rPr>
        <w:t>22</w:t>
      </w:r>
      <w:r>
        <w:rPr>
          <w:sz w:val="23"/>
          <w:vertAlign w:val="baseline"/>
        </w:rPr>
        <w:t> é recomendado o uso de analgésicos simples como: ácido acetilsalicílico, paracetamol, paracetamol/codeína, tramadol combinados com antidepressivos tricíclicos: amitriptilina, imipramina e nortriptilina. Uma segunda linha de tratamento inclui os anticonvulsivantes como a carbamazepina. A gabapentina e o topiramato, novos fármacos anticonvulsivantes com</w:t>
      </w:r>
      <w:r>
        <w:rPr>
          <w:spacing w:val="-2"/>
          <w:sz w:val="23"/>
          <w:vertAlign w:val="baseline"/>
        </w:rPr>
        <w:t> </w:t>
      </w:r>
      <w:r>
        <w:rPr>
          <w:sz w:val="23"/>
          <w:vertAlign w:val="baseline"/>
        </w:rPr>
        <w:t>baixa</w:t>
      </w:r>
      <w:r>
        <w:rPr>
          <w:spacing w:val="-5"/>
          <w:sz w:val="23"/>
          <w:vertAlign w:val="baseline"/>
        </w:rPr>
        <w:t> </w:t>
      </w:r>
      <w:r>
        <w:rPr>
          <w:sz w:val="23"/>
          <w:vertAlign w:val="baseline"/>
        </w:rPr>
        <w:t>toxicidade</w:t>
      </w:r>
      <w:r>
        <w:rPr>
          <w:spacing w:val="-5"/>
          <w:sz w:val="23"/>
          <w:vertAlign w:val="baseline"/>
        </w:rPr>
        <w:t> </w:t>
      </w:r>
      <w:r>
        <w:rPr>
          <w:sz w:val="23"/>
          <w:vertAlign w:val="baseline"/>
        </w:rPr>
        <w:t>e</w:t>
      </w:r>
      <w:r>
        <w:rPr>
          <w:spacing w:val="-5"/>
          <w:sz w:val="23"/>
          <w:vertAlign w:val="baseline"/>
        </w:rPr>
        <w:t> </w:t>
      </w:r>
      <w:r>
        <w:rPr>
          <w:sz w:val="23"/>
          <w:vertAlign w:val="baseline"/>
        </w:rPr>
        <w:t>efeitos colaterais menos acentuados do</w:t>
      </w:r>
      <w:r>
        <w:rPr>
          <w:spacing w:val="-2"/>
          <w:sz w:val="23"/>
          <w:vertAlign w:val="baseline"/>
        </w:rPr>
        <w:t> </w:t>
      </w:r>
      <w:r>
        <w:rPr>
          <w:sz w:val="23"/>
          <w:vertAlign w:val="baseline"/>
        </w:rPr>
        <w:t>que</w:t>
      </w:r>
      <w:r>
        <w:rPr>
          <w:spacing w:val="-5"/>
          <w:sz w:val="23"/>
          <w:vertAlign w:val="baseline"/>
        </w:rPr>
        <w:t> </w:t>
      </w:r>
      <w:r>
        <w:rPr>
          <w:sz w:val="23"/>
          <w:vertAlign w:val="baseline"/>
        </w:rPr>
        <w:t>os antidepressivos tricíclicos, têm</w:t>
      </w:r>
      <w:r>
        <w:rPr>
          <w:spacing w:val="-2"/>
          <w:sz w:val="23"/>
          <w:vertAlign w:val="baseline"/>
        </w:rPr>
        <w:t> </w:t>
      </w:r>
      <w:r>
        <w:rPr>
          <w:sz w:val="23"/>
          <w:vertAlign w:val="baseline"/>
        </w:rPr>
        <w:t>mostrado resultados promissores. Nos casos resistentes ou com muito desconforto durante a noite, podemos adicionar fenotiazinas</w:t>
      </w:r>
      <w:r>
        <w:rPr>
          <w:spacing w:val="-2"/>
          <w:sz w:val="23"/>
          <w:vertAlign w:val="baseline"/>
        </w:rPr>
        <w:t> </w:t>
      </w:r>
      <w:r>
        <w:rPr>
          <w:sz w:val="23"/>
          <w:vertAlign w:val="baseline"/>
        </w:rPr>
        <w:t>como</w:t>
      </w:r>
      <w:r>
        <w:rPr>
          <w:spacing w:val="-9"/>
          <w:sz w:val="23"/>
          <w:vertAlign w:val="baseline"/>
        </w:rPr>
        <w:t> </w:t>
      </w:r>
      <w:r>
        <w:rPr>
          <w:sz w:val="23"/>
          <w:vertAlign w:val="baseline"/>
        </w:rPr>
        <w:t>cloridrato</w:t>
      </w:r>
      <w:r>
        <w:rPr>
          <w:spacing w:val="-9"/>
          <w:sz w:val="23"/>
          <w:vertAlign w:val="baseline"/>
        </w:rPr>
        <w:t> </w:t>
      </w:r>
      <w:r>
        <w:rPr>
          <w:sz w:val="23"/>
          <w:vertAlign w:val="baseline"/>
        </w:rPr>
        <w:t>de</w:t>
      </w:r>
      <w:r>
        <w:rPr>
          <w:spacing w:val="-11"/>
          <w:sz w:val="23"/>
          <w:vertAlign w:val="baseline"/>
        </w:rPr>
        <w:t> </w:t>
      </w:r>
      <w:r>
        <w:rPr>
          <w:sz w:val="23"/>
          <w:vertAlign w:val="baseline"/>
        </w:rPr>
        <w:t>promazina</w:t>
      </w:r>
      <w:r>
        <w:rPr>
          <w:spacing w:val="-11"/>
          <w:sz w:val="23"/>
          <w:vertAlign w:val="baseline"/>
        </w:rPr>
        <w:t> </w:t>
      </w:r>
      <w:r>
        <w:rPr>
          <w:sz w:val="23"/>
          <w:vertAlign w:val="baseline"/>
        </w:rPr>
        <w:t>ou</w:t>
      </w:r>
      <w:r>
        <w:rPr>
          <w:spacing w:val="-9"/>
          <w:sz w:val="23"/>
          <w:vertAlign w:val="baseline"/>
        </w:rPr>
        <w:t> </w:t>
      </w:r>
      <w:r>
        <w:rPr>
          <w:sz w:val="23"/>
          <w:vertAlign w:val="baseline"/>
        </w:rPr>
        <w:t>flufenazina;</w:t>
      </w:r>
      <w:r>
        <w:rPr>
          <w:spacing w:val="-7"/>
          <w:sz w:val="23"/>
          <w:vertAlign w:val="baseline"/>
        </w:rPr>
        <w:t> </w:t>
      </w:r>
      <w:r>
        <w:rPr>
          <w:sz w:val="23"/>
          <w:vertAlign w:val="baseline"/>
        </w:rPr>
        <w:t>ou</w:t>
      </w:r>
      <w:r>
        <w:rPr>
          <w:spacing w:val="-9"/>
          <w:sz w:val="23"/>
          <w:vertAlign w:val="baseline"/>
        </w:rPr>
        <w:t> </w:t>
      </w:r>
      <w:r>
        <w:rPr>
          <w:sz w:val="23"/>
          <w:vertAlign w:val="baseline"/>
        </w:rPr>
        <w:t>benzodiazepinas</w:t>
      </w:r>
      <w:r>
        <w:rPr>
          <w:spacing w:val="-2"/>
          <w:sz w:val="23"/>
          <w:vertAlign w:val="baseline"/>
        </w:rPr>
        <w:t> </w:t>
      </w:r>
      <w:r>
        <w:rPr>
          <w:sz w:val="23"/>
          <w:vertAlign w:val="baseline"/>
        </w:rPr>
        <w:t>como</w:t>
      </w:r>
      <w:r>
        <w:rPr>
          <w:spacing w:val="-9"/>
          <w:sz w:val="23"/>
          <w:vertAlign w:val="baseline"/>
        </w:rPr>
        <w:t> </w:t>
      </w:r>
      <w:r>
        <w:rPr>
          <w:sz w:val="23"/>
          <w:vertAlign w:val="baseline"/>
        </w:rPr>
        <w:t>diazepam</w:t>
      </w:r>
      <w:r>
        <w:rPr>
          <w:spacing w:val="-9"/>
          <w:sz w:val="23"/>
          <w:vertAlign w:val="baseline"/>
        </w:rPr>
        <w:t> </w:t>
      </w:r>
      <w:r>
        <w:rPr>
          <w:sz w:val="23"/>
          <w:vertAlign w:val="baseline"/>
        </w:rPr>
        <w:t>ou</w:t>
      </w:r>
      <w:r>
        <w:rPr>
          <w:spacing w:val="-9"/>
          <w:sz w:val="23"/>
          <w:vertAlign w:val="baseline"/>
        </w:rPr>
        <w:t> </w:t>
      </w:r>
      <w:r>
        <w:rPr>
          <w:sz w:val="23"/>
          <w:vertAlign w:val="baseline"/>
        </w:rPr>
        <w:t>bromazepam. A capsaicina e o opsite podem ser aplicados topicamente nas extremidades com dores em queimação ou disestésicas. A</w:t>
      </w:r>
      <w:r>
        <w:rPr>
          <w:spacing w:val="-2"/>
          <w:sz w:val="23"/>
          <w:vertAlign w:val="baseline"/>
        </w:rPr>
        <w:t> </w:t>
      </w:r>
      <w:r>
        <w:rPr>
          <w:sz w:val="23"/>
          <w:vertAlign w:val="baseline"/>
        </w:rPr>
        <w:t>acupuntura</w:t>
      </w:r>
      <w:r>
        <w:rPr>
          <w:spacing w:val="-2"/>
          <w:sz w:val="23"/>
          <w:vertAlign w:val="baseline"/>
        </w:rPr>
        <w:t> </w:t>
      </w:r>
      <w:r>
        <w:rPr>
          <w:sz w:val="23"/>
          <w:vertAlign w:val="baseline"/>
        </w:rPr>
        <w:t>e</w:t>
      </w:r>
      <w:r>
        <w:rPr>
          <w:spacing w:val="-2"/>
          <w:sz w:val="23"/>
          <w:vertAlign w:val="baseline"/>
        </w:rPr>
        <w:t> </w:t>
      </w:r>
      <w:r>
        <w:rPr>
          <w:sz w:val="23"/>
          <w:vertAlign w:val="baseline"/>
        </w:rPr>
        <w:t>a</w:t>
      </w:r>
      <w:r>
        <w:rPr>
          <w:spacing w:val="-2"/>
          <w:sz w:val="23"/>
          <w:vertAlign w:val="baseline"/>
        </w:rPr>
        <w:t> </w:t>
      </w:r>
      <w:r>
        <w:rPr>
          <w:sz w:val="23"/>
          <w:vertAlign w:val="baseline"/>
        </w:rPr>
        <w:t>estimulação medular têm surgido como complementos ao tratamento da</w:t>
      </w:r>
      <w:r>
        <w:rPr>
          <w:spacing w:val="-2"/>
          <w:sz w:val="23"/>
          <w:vertAlign w:val="baseline"/>
        </w:rPr>
        <w:t> </w:t>
      </w:r>
      <w:r>
        <w:rPr>
          <w:sz w:val="23"/>
          <w:vertAlign w:val="baseline"/>
        </w:rPr>
        <w:t>dor</w:t>
      </w:r>
    </w:p>
    <w:p>
      <w:pPr>
        <w:pStyle w:val="ListParagraph"/>
        <w:numPr>
          <w:ilvl w:val="1"/>
          <w:numId w:val="38"/>
        </w:numPr>
        <w:tabs>
          <w:tab w:pos="837" w:val="left" w:leader="none"/>
        </w:tabs>
        <w:spacing w:line="276" w:lineRule="auto" w:before="2" w:after="0"/>
        <w:ind w:left="414" w:right="488" w:firstLine="0"/>
        <w:jc w:val="both"/>
        <w:rPr>
          <w:sz w:val="23"/>
        </w:rPr>
      </w:pPr>
      <w:r>
        <w:rPr>
          <w:sz w:val="23"/>
        </w:rPr>
        <w:t>Da gastroparesia: o objetivo da terapêutica é acelerar o esvaziamento do estômago. A metoclopramida e a domperidona</w:t>
      </w:r>
      <w:r>
        <w:rPr>
          <w:spacing w:val="-10"/>
          <w:sz w:val="23"/>
        </w:rPr>
        <w:t> </w:t>
      </w:r>
      <w:r>
        <w:rPr>
          <w:sz w:val="23"/>
        </w:rPr>
        <w:t>têm</w:t>
      </w:r>
      <w:r>
        <w:rPr>
          <w:spacing w:val="-7"/>
          <w:sz w:val="23"/>
        </w:rPr>
        <w:t> </w:t>
      </w:r>
      <w:r>
        <w:rPr>
          <w:sz w:val="23"/>
        </w:rPr>
        <w:t>demonstrado</w:t>
      </w:r>
      <w:r>
        <w:rPr>
          <w:spacing w:val="-7"/>
          <w:sz w:val="23"/>
        </w:rPr>
        <w:t> </w:t>
      </w:r>
      <w:r>
        <w:rPr>
          <w:sz w:val="23"/>
        </w:rPr>
        <w:t>serem</w:t>
      </w:r>
      <w:r>
        <w:rPr>
          <w:spacing w:val="-7"/>
          <w:sz w:val="23"/>
        </w:rPr>
        <w:t> </w:t>
      </w:r>
      <w:r>
        <w:rPr>
          <w:sz w:val="23"/>
        </w:rPr>
        <w:t>úteis, mas sua</w:t>
      </w:r>
      <w:r>
        <w:rPr>
          <w:spacing w:val="-10"/>
          <w:sz w:val="23"/>
        </w:rPr>
        <w:t> </w:t>
      </w:r>
      <w:r>
        <w:rPr>
          <w:sz w:val="23"/>
        </w:rPr>
        <w:t>eficácia</w:t>
      </w:r>
      <w:r>
        <w:rPr>
          <w:spacing w:val="-10"/>
          <w:sz w:val="23"/>
        </w:rPr>
        <w:t> </w:t>
      </w:r>
      <w:r>
        <w:rPr>
          <w:sz w:val="23"/>
        </w:rPr>
        <w:t>diminui</w:t>
      </w:r>
      <w:r>
        <w:rPr>
          <w:spacing w:val="-5"/>
          <w:sz w:val="23"/>
        </w:rPr>
        <w:t> </w:t>
      </w:r>
      <w:r>
        <w:rPr>
          <w:sz w:val="23"/>
        </w:rPr>
        <w:t>com</w:t>
      </w:r>
      <w:r>
        <w:rPr>
          <w:spacing w:val="-7"/>
          <w:sz w:val="23"/>
        </w:rPr>
        <w:t> </w:t>
      </w:r>
      <w:r>
        <w:rPr>
          <w:sz w:val="23"/>
        </w:rPr>
        <w:t>o</w:t>
      </w:r>
      <w:r>
        <w:rPr>
          <w:spacing w:val="-7"/>
          <w:sz w:val="23"/>
        </w:rPr>
        <w:t> </w:t>
      </w:r>
      <w:r>
        <w:rPr>
          <w:sz w:val="23"/>
        </w:rPr>
        <w:t>tempo. Cisaprida</w:t>
      </w:r>
      <w:r>
        <w:rPr>
          <w:spacing w:val="-10"/>
          <w:sz w:val="23"/>
        </w:rPr>
        <w:t> </w:t>
      </w:r>
      <w:r>
        <w:rPr>
          <w:sz w:val="23"/>
        </w:rPr>
        <w:t>é</w:t>
      </w:r>
      <w:r>
        <w:rPr>
          <w:spacing w:val="-10"/>
          <w:sz w:val="23"/>
        </w:rPr>
        <w:t> </w:t>
      </w:r>
      <w:r>
        <w:rPr>
          <w:sz w:val="23"/>
        </w:rPr>
        <w:t>medicamento</w:t>
      </w:r>
      <w:r>
        <w:rPr>
          <w:spacing w:val="-7"/>
          <w:sz w:val="23"/>
        </w:rPr>
        <w:t> </w:t>
      </w:r>
      <w:r>
        <w:rPr>
          <w:sz w:val="23"/>
        </w:rPr>
        <w:t>de maior eficácia</w:t>
      </w:r>
    </w:p>
    <w:p>
      <w:pPr>
        <w:pStyle w:val="ListParagraph"/>
        <w:numPr>
          <w:ilvl w:val="1"/>
          <w:numId w:val="38"/>
        </w:numPr>
        <w:tabs>
          <w:tab w:pos="871" w:val="left" w:leader="none"/>
        </w:tabs>
        <w:spacing w:line="276" w:lineRule="auto" w:before="17" w:after="0"/>
        <w:ind w:left="414" w:right="491" w:firstLine="0"/>
        <w:jc w:val="both"/>
        <w:rPr>
          <w:sz w:val="23"/>
        </w:rPr>
      </w:pPr>
      <w:r>
        <w:rPr>
          <w:sz w:val="23"/>
        </w:rPr>
        <w:t>Da bexiga neurogênica: o esvaziamento da bexiga deve ser estimulado para reduzir o risco de infecção urinária.</w:t>
      </w:r>
      <w:r>
        <w:rPr>
          <w:spacing w:val="-1"/>
          <w:sz w:val="23"/>
        </w:rPr>
        <w:t> </w:t>
      </w:r>
      <w:r>
        <w:rPr>
          <w:sz w:val="23"/>
        </w:rPr>
        <w:t>A</w:t>
      </w:r>
      <w:r>
        <w:rPr>
          <w:spacing w:val="-11"/>
          <w:sz w:val="23"/>
        </w:rPr>
        <w:t> </w:t>
      </w:r>
      <w:r>
        <w:rPr>
          <w:sz w:val="23"/>
        </w:rPr>
        <w:t>reeducação</w:t>
      </w:r>
      <w:r>
        <w:rPr>
          <w:spacing w:val="-9"/>
          <w:sz w:val="23"/>
        </w:rPr>
        <w:t> </w:t>
      </w:r>
      <w:r>
        <w:rPr>
          <w:sz w:val="23"/>
        </w:rPr>
        <w:t>do</w:t>
      </w:r>
      <w:r>
        <w:rPr>
          <w:spacing w:val="-9"/>
          <w:sz w:val="23"/>
        </w:rPr>
        <w:t> </w:t>
      </w:r>
      <w:r>
        <w:rPr>
          <w:sz w:val="23"/>
        </w:rPr>
        <w:t>paciente,</w:t>
      </w:r>
      <w:r>
        <w:rPr>
          <w:spacing w:val="-1"/>
          <w:sz w:val="23"/>
        </w:rPr>
        <w:t> </w:t>
      </w:r>
      <w:r>
        <w:rPr>
          <w:sz w:val="23"/>
        </w:rPr>
        <w:t>orientado</w:t>
      </w:r>
      <w:r>
        <w:rPr>
          <w:spacing w:val="-9"/>
          <w:sz w:val="23"/>
        </w:rPr>
        <w:t> </w:t>
      </w:r>
      <w:r>
        <w:rPr>
          <w:sz w:val="23"/>
        </w:rPr>
        <w:t>a</w:t>
      </w:r>
      <w:r>
        <w:rPr>
          <w:spacing w:val="-11"/>
          <w:sz w:val="23"/>
        </w:rPr>
        <w:t> </w:t>
      </w:r>
      <w:r>
        <w:rPr>
          <w:sz w:val="23"/>
        </w:rPr>
        <w:t>urinar</w:t>
      </w:r>
      <w:r>
        <w:rPr>
          <w:spacing w:val="-4"/>
          <w:sz w:val="23"/>
        </w:rPr>
        <w:t> </w:t>
      </w:r>
      <w:r>
        <w:rPr>
          <w:sz w:val="23"/>
        </w:rPr>
        <w:t>pelo</w:t>
      </w:r>
      <w:r>
        <w:rPr>
          <w:spacing w:val="-9"/>
          <w:sz w:val="23"/>
        </w:rPr>
        <w:t> </w:t>
      </w:r>
      <w:r>
        <w:rPr>
          <w:sz w:val="23"/>
        </w:rPr>
        <w:t>menos</w:t>
      </w:r>
      <w:r>
        <w:rPr>
          <w:spacing w:val="-1"/>
          <w:sz w:val="23"/>
        </w:rPr>
        <w:t> </w:t>
      </w:r>
      <w:r>
        <w:rPr>
          <w:sz w:val="23"/>
        </w:rPr>
        <w:t>a</w:t>
      </w:r>
      <w:r>
        <w:rPr>
          <w:spacing w:val="-11"/>
          <w:sz w:val="23"/>
        </w:rPr>
        <w:t> </w:t>
      </w:r>
      <w:r>
        <w:rPr>
          <w:sz w:val="23"/>
        </w:rPr>
        <w:t>cada</w:t>
      </w:r>
      <w:r>
        <w:rPr>
          <w:spacing w:val="-11"/>
          <w:sz w:val="23"/>
        </w:rPr>
        <w:t> </w:t>
      </w:r>
      <w:r>
        <w:rPr>
          <w:sz w:val="23"/>
        </w:rPr>
        <w:t>4</w:t>
      </w:r>
      <w:r>
        <w:rPr>
          <w:spacing w:val="-9"/>
          <w:sz w:val="23"/>
        </w:rPr>
        <w:t> </w:t>
      </w:r>
      <w:r>
        <w:rPr>
          <w:sz w:val="23"/>
        </w:rPr>
        <w:t>h</w:t>
      </w:r>
      <w:r>
        <w:rPr>
          <w:spacing w:val="-9"/>
          <w:sz w:val="23"/>
        </w:rPr>
        <w:t> </w:t>
      </w:r>
      <w:r>
        <w:rPr>
          <w:sz w:val="23"/>
        </w:rPr>
        <w:t>e</w:t>
      </w:r>
      <w:r>
        <w:rPr>
          <w:spacing w:val="-11"/>
          <w:sz w:val="23"/>
        </w:rPr>
        <w:t> </w:t>
      </w:r>
      <w:r>
        <w:rPr>
          <w:sz w:val="23"/>
        </w:rPr>
        <w:t>comprimindo</w:t>
      </w:r>
      <w:r>
        <w:rPr>
          <w:spacing w:val="-9"/>
          <w:sz w:val="23"/>
        </w:rPr>
        <w:t> </w:t>
      </w:r>
      <w:r>
        <w:rPr>
          <w:sz w:val="23"/>
        </w:rPr>
        <w:t>a</w:t>
      </w:r>
      <w:r>
        <w:rPr>
          <w:spacing w:val="-11"/>
          <w:sz w:val="23"/>
        </w:rPr>
        <w:t> </w:t>
      </w:r>
      <w:r>
        <w:rPr>
          <w:sz w:val="23"/>
        </w:rPr>
        <w:t>bexiga</w:t>
      </w:r>
      <w:r>
        <w:rPr>
          <w:spacing w:val="-11"/>
          <w:sz w:val="23"/>
        </w:rPr>
        <w:t> </w:t>
      </w:r>
      <w:r>
        <w:rPr>
          <w:sz w:val="23"/>
        </w:rPr>
        <w:t>no</w:t>
      </w:r>
      <w:r>
        <w:rPr>
          <w:spacing w:val="-9"/>
          <w:sz w:val="23"/>
        </w:rPr>
        <w:t> </w:t>
      </w:r>
      <w:r>
        <w:rPr>
          <w:sz w:val="23"/>
        </w:rPr>
        <w:t>término do ato miccional, seja</w:t>
      </w:r>
      <w:r>
        <w:rPr>
          <w:spacing w:val="-1"/>
          <w:sz w:val="23"/>
        </w:rPr>
        <w:t> </w:t>
      </w:r>
      <w:r>
        <w:rPr>
          <w:sz w:val="23"/>
        </w:rPr>
        <w:t>com os músculos abdominais ou com ambas mãos, diminui o risco citado</w:t>
      </w:r>
    </w:p>
    <w:p>
      <w:pPr>
        <w:pStyle w:val="ListParagraph"/>
        <w:numPr>
          <w:ilvl w:val="1"/>
          <w:numId w:val="38"/>
        </w:numPr>
        <w:tabs>
          <w:tab w:pos="821" w:val="left" w:leader="none"/>
        </w:tabs>
        <w:spacing w:line="276" w:lineRule="auto" w:before="32" w:after="0"/>
        <w:ind w:left="414" w:right="499" w:firstLine="0"/>
        <w:jc w:val="both"/>
        <w:rPr>
          <w:sz w:val="23"/>
        </w:rPr>
      </w:pPr>
      <w:r>
        <w:rPr>
          <w:sz w:val="23"/>
        </w:rPr>
        <w:t>Da</w:t>
      </w:r>
      <w:r>
        <w:rPr>
          <w:spacing w:val="-1"/>
          <w:sz w:val="23"/>
        </w:rPr>
        <w:t> </w:t>
      </w:r>
      <w:r>
        <w:rPr>
          <w:sz w:val="23"/>
        </w:rPr>
        <w:t>disfunção erétil: pode-se</w:t>
      </w:r>
      <w:r>
        <w:rPr>
          <w:spacing w:val="-1"/>
          <w:sz w:val="23"/>
        </w:rPr>
        <w:t> </w:t>
      </w:r>
      <w:r>
        <w:rPr>
          <w:sz w:val="23"/>
        </w:rPr>
        <w:t>conseguir ereção com injeções intracavernosas de</w:t>
      </w:r>
      <w:r>
        <w:rPr>
          <w:spacing w:val="-1"/>
          <w:sz w:val="23"/>
        </w:rPr>
        <w:t> </w:t>
      </w:r>
      <w:r>
        <w:rPr>
          <w:sz w:val="23"/>
        </w:rPr>
        <w:t>papaverina, fentolamina</w:t>
      </w:r>
      <w:r>
        <w:rPr>
          <w:spacing w:val="-1"/>
          <w:sz w:val="23"/>
        </w:rPr>
        <w:t> </w:t>
      </w:r>
      <w:r>
        <w:rPr>
          <w:sz w:val="23"/>
        </w:rPr>
        <w:t>ou prostaglandina E1; essa última existe também na forma de supositório intrauretral. Por via oral temos sildenafila. Alguns pacientes, para se adaptarem melhor a essa situação, preferem o implante de próteses penianas, semirrígidas ou infláveis.</w:t>
      </w:r>
    </w:p>
    <w:p>
      <w:pPr>
        <w:pStyle w:val="BodyText"/>
        <w:spacing w:before="186"/>
        <w:ind w:left="0" w:firstLine="0"/>
        <w:jc w:val="left"/>
      </w:pPr>
    </w:p>
    <w:p>
      <w:pPr>
        <w:pStyle w:val="Heading4"/>
      </w:pPr>
      <w:r>
        <w:rPr>
          <w:color w:val="242B67"/>
        </w:rPr>
        <w:t>Revascularização </w:t>
      </w:r>
      <w:r>
        <w:rPr>
          <w:color w:val="242B67"/>
          <w:spacing w:val="-2"/>
        </w:rPr>
        <w:t>arterial</w:t>
      </w:r>
    </w:p>
    <w:p>
      <w:pPr>
        <w:pStyle w:val="Heading4"/>
        <w:spacing w:after="0"/>
        <w:sectPr>
          <w:pgSz w:w="11900" w:h="16840"/>
          <w:pgMar w:top="120" w:bottom="280" w:left="566" w:right="141"/>
        </w:sectPr>
      </w:pPr>
    </w:p>
    <w:p>
      <w:pPr>
        <w:pStyle w:val="BodyText"/>
        <w:spacing w:line="290" w:lineRule="auto" w:before="73"/>
        <w:jc w:val="left"/>
      </w:pPr>
      <w:r>
        <w:rPr/>
        <w:t>A combinação de neuropatia com microangiopatia resulta em um pé comprometido que,</w:t>
      </w:r>
      <w:r>
        <w:rPr>
          <w:spacing w:val="21"/>
        </w:rPr>
        <w:t> </w:t>
      </w:r>
      <w:r>
        <w:rPr/>
        <w:t>apesar</w:t>
      </w:r>
      <w:r>
        <w:rPr>
          <w:spacing w:val="19"/>
        </w:rPr>
        <w:t> </w:t>
      </w:r>
      <w:r>
        <w:rPr/>
        <w:t>de apresentar isquemia</w:t>
      </w:r>
      <w:r>
        <w:rPr>
          <w:spacing w:val="-1"/>
        </w:rPr>
        <w:t> </w:t>
      </w:r>
      <w:r>
        <w:rPr/>
        <w:t>moderada, pode</w:t>
      </w:r>
      <w:r>
        <w:rPr>
          <w:spacing w:val="-1"/>
        </w:rPr>
        <w:t> </w:t>
      </w:r>
      <w:r>
        <w:rPr/>
        <w:t>evoluir para</w:t>
      </w:r>
      <w:r>
        <w:rPr>
          <w:spacing w:val="-1"/>
        </w:rPr>
        <w:t> </w:t>
      </w:r>
      <w:r>
        <w:rPr/>
        <w:t>a</w:t>
      </w:r>
      <w:r>
        <w:rPr>
          <w:spacing w:val="-1"/>
        </w:rPr>
        <w:t> </w:t>
      </w:r>
      <w:r>
        <w:rPr/>
        <w:t>formação de</w:t>
      </w:r>
      <w:r>
        <w:rPr>
          <w:spacing w:val="-1"/>
        </w:rPr>
        <w:t> </w:t>
      </w:r>
      <w:r>
        <w:rPr/>
        <w:t>úlcera. Desse</w:t>
      </w:r>
      <w:r>
        <w:rPr>
          <w:spacing w:val="-1"/>
        </w:rPr>
        <w:t> </w:t>
      </w:r>
      <w:r>
        <w:rPr/>
        <w:t>fato, pode-se</w:t>
      </w:r>
      <w:r>
        <w:rPr>
          <w:spacing w:val="-1"/>
        </w:rPr>
        <w:t> </w:t>
      </w:r>
      <w:r>
        <w:rPr/>
        <w:t>concluir que:</w:t>
      </w:r>
      <w:r>
        <w:rPr>
          <w:vertAlign w:val="superscript"/>
        </w:rPr>
        <w:t>24</w:t>
      </w:r>
    </w:p>
    <w:p>
      <w:pPr>
        <w:pStyle w:val="ListParagraph"/>
        <w:numPr>
          <w:ilvl w:val="0"/>
          <w:numId w:val="38"/>
        </w:numPr>
        <w:tabs>
          <w:tab w:pos="397" w:val="left" w:leader="none"/>
        </w:tabs>
        <w:spacing w:line="240" w:lineRule="auto" w:before="145" w:after="0"/>
        <w:ind w:left="397" w:right="0" w:hanging="329"/>
        <w:jc w:val="left"/>
        <w:rPr>
          <w:sz w:val="23"/>
        </w:rPr>
      </w:pPr>
      <w:r>
        <w:rPr>
          <w:spacing w:val="-2"/>
          <w:sz w:val="23"/>
        </w:rPr>
        <w:t>Todo</w:t>
      </w:r>
      <w:r>
        <w:rPr>
          <w:spacing w:val="-6"/>
          <w:sz w:val="23"/>
        </w:rPr>
        <w:t> </w:t>
      </w:r>
      <w:r>
        <w:rPr>
          <w:spacing w:val="-2"/>
          <w:sz w:val="23"/>
        </w:rPr>
        <w:t>pé</w:t>
      </w:r>
      <w:r>
        <w:rPr>
          <w:spacing w:val="-7"/>
          <w:sz w:val="23"/>
        </w:rPr>
        <w:t> </w:t>
      </w:r>
      <w:r>
        <w:rPr>
          <w:spacing w:val="-2"/>
          <w:sz w:val="23"/>
        </w:rPr>
        <w:t>diabético</w:t>
      </w:r>
      <w:r>
        <w:rPr>
          <w:spacing w:val="-4"/>
          <w:sz w:val="23"/>
        </w:rPr>
        <w:t> </w:t>
      </w:r>
      <w:r>
        <w:rPr>
          <w:spacing w:val="-2"/>
          <w:sz w:val="23"/>
        </w:rPr>
        <w:t>deve</w:t>
      </w:r>
      <w:r>
        <w:rPr>
          <w:spacing w:val="-7"/>
          <w:sz w:val="23"/>
        </w:rPr>
        <w:t> </w:t>
      </w:r>
      <w:r>
        <w:rPr>
          <w:spacing w:val="-2"/>
          <w:sz w:val="23"/>
        </w:rPr>
        <w:t>ser</w:t>
      </w:r>
      <w:r>
        <w:rPr>
          <w:spacing w:val="2"/>
          <w:sz w:val="23"/>
        </w:rPr>
        <w:t> </w:t>
      </w:r>
      <w:r>
        <w:rPr>
          <w:spacing w:val="-2"/>
          <w:sz w:val="23"/>
        </w:rPr>
        <w:t>cuidadosamente</w:t>
      </w:r>
      <w:r>
        <w:rPr>
          <w:spacing w:val="-7"/>
          <w:sz w:val="23"/>
        </w:rPr>
        <w:t> </w:t>
      </w:r>
      <w:r>
        <w:rPr>
          <w:spacing w:val="-2"/>
          <w:sz w:val="23"/>
        </w:rPr>
        <w:t>avaliado</w:t>
      </w:r>
      <w:r>
        <w:rPr>
          <w:spacing w:val="-4"/>
          <w:sz w:val="23"/>
        </w:rPr>
        <w:t> </w:t>
      </w:r>
      <w:r>
        <w:rPr>
          <w:spacing w:val="-2"/>
          <w:sz w:val="23"/>
        </w:rPr>
        <w:t>em</w:t>
      </w:r>
      <w:r>
        <w:rPr>
          <w:spacing w:val="-4"/>
          <w:sz w:val="23"/>
        </w:rPr>
        <w:t> </w:t>
      </w:r>
      <w:r>
        <w:rPr>
          <w:spacing w:val="-2"/>
          <w:sz w:val="23"/>
        </w:rPr>
        <w:t>relação</w:t>
      </w:r>
      <w:r>
        <w:rPr>
          <w:spacing w:val="-4"/>
          <w:sz w:val="23"/>
        </w:rPr>
        <w:t> </w:t>
      </w:r>
      <w:r>
        <w:rPr>
          <w:spacing w:val="-2"/>
          <w:sz w:val="23"/>
        </w:rPr>
        <w:t>ao</w:t>
      </w:r>
      <w:r>
        <w:rPr>
          <w:spacing w:val="-4"/>
          <w:sz w:val="23"/>
        </w:rPr>
        <w:t> </w:t>
      </w:r>
      <w:r>
        <w:rPr>
          <w:spacing w:val="-2"/>
          <w:sz w:val="23"/>
        </w:rPr>
        <w:t>componente</w:t>
      </w:r>
      <w:r>
        <w:rPr>
          <w:spacing w:val="-6"/>
          <w:sz w:val="23"/>
        </w:rPr>
        <w:t> </w:t>
      </w:r>
      <w:r>
        <w:rPr>
          <w:spacing w:val="-2"/>
          <w:sz w:val="23"/>
        </w:rPr>
        <w:t>isquêmico</w:t>
      </w:r>
    </w:p>
    <w:p>
      <w:pPr>
        <w:pStyle w:val="ListParagraph"/>
        <w:numPr>
          <w:ilvl w:val="0"/>
          <w:numId w:val="38"/>
        </w:numPr>
        <w:tabs>
          <w:tab w:pos="397" w:val="left" w:leader="none"/>
        </w:tabs>
        <w:spacing w:line="240" w:lineRule="auto" w:before="71" w:after="0"/>
        <w:ind w:left="397" w:right="0" w:hanging="329"/>
        <w:jc w:val="left"/>
        <w:rPr>
          <w:sz w:val="23"/>
        </w:rPr>
      </w:pPr>
      <w:r>
        <w:rPr>
          <w:sz w:val="23"/>
        </w:rPr>
        <w:t>Correção</w:t>
      </w:r>
      <w:r>
        <w:rPr>
          <w:spacing w:val="-17"/>
          <w:sz w:val="23"/>
        </w:rPr>
        <w:t> </w:t>
      </w:r>
      <w:r>
        <w:rPr>
          <w:sz w:val="23"/>
        </w:rPr>
        <w:t>de</w:t>
      </w:r>
      <w:r>
        <w:rPr>
          <w:spacing w:val="-14"/>
          <w:sz w:val="23"/>
        </w:rPr>
        <w:t> </w:t>
      </w:r>
      <w:r>
        <w:rPr>
          <w:sz w:val="23"/>
        </w:rPr>
        <w:t>isquemia,</w:t>
      </w:r>
      <w:r>
        <w:rPr>
          <w:spacing w:val="-13"/>
          <w:sz w:val="23"/>
        </w:rPr>
        <w:t> </w:t>
      </w:r>
      <w:r>
        <w:rPr>
          <w:sz w:val="23"/>
        </w:rPr>
        <w:t>ainda</w:t>
      </w:r>
      <w:r>
        <w:rPr>
          <w:spacing w:val="-14"/>
          <w:sz w:val="23"/>
        </w:rPr>
        <w:t> </w:t>
      </w:r>
      <w:r>
        <w:rPr>
          <w:sz w:val="23"/>
        </w:rPr>
        <w:t>que</w:t>
      </w:r>
      <w:r>
        <w:rPr>
          <w:spacing w:val="-14"/>
          <w:sz w:val="23"/>
        </w:rPr>
        <w:t> </w:t>
      </w:r>
      <w:r>
        <w:rPr>
          <w:sz w:val="23"/>
        </w:rPr>
        <w:t>moderada,</w:t>
      </w:r>
      <w:r>
        <w:rPr>
          <w:spacing w:val="-13"/>
          <w:sz w:val="23"/>
        </w:rPr>
        <w:t> </w:t>
      </w:r>
      <w:r>
        <w:rPr>
          <w:sz w:val="23"/>
        </w:rPr>
        <w:t>acelera</w:t>
      </w:r>
      <w:r>
        <w:rPr>
          <w:spacing w:val="-14"/>
          <w:sz w:val="23"/>
        </w:rPr>
        <w:t> </w:t>
      </w:r>
      <w:r>
        <w:rPr>
          <w:sz w:val="23"/>
        </w:rPr>
        <w:t>a</w:t>
      </w:r>
      <w:r>
        <w:rPr>
          <w:spacing w:val="-14"/>
          <w:sz w:val="23"/>
        </w:rPr>
        <w:t> </w:t>
      </w:r>
      <w:r>
        <w:rPr>
          <w:sz w:val="23"/>
        </w:rPr>
        <w:t>cicatrização</w:t>
      </w:r>
      <w:r>
        <w:rPr>
          <w:spacing w:val="-15"/>
          <w:sz w:val="23"/>
        </w:rPr>
        <w:t> </w:t>
      </w:r>
      <w:r>
        <w:rPr>
          <w:sz w:val="23"/>
        </w:rPr>
        <w:t>das</w:t>
      </w:r>
      <w:r>
        <w:rPr>
          <w:spacing w:val="-8"/>
          <w:sz w:val="23"/>
        </w:rPr>
        <w:t> </w:t>
      </w:r>
      <w:r>
        <w:rPr>
          <w:spacing w:val="-2"/>
          <w:sz w:val="23"/>
        </w:rPr>
        <w:t>úlceras</w:t>
      </w:r>
    </w:p>
    <w:p>
      <w:pPr>
        <w:pStyle w:val="ListParagraph"/>
        <w:numPr>
          <w:ilvl w:val="0"/>
          <w:numId w:val="38"/>
        </w:numPr>
        <w:tabs>
          <w:tab w:pos="397" w:val="left" w:leader="none"/>
        </w:tabs>
        <w:spacing w:line="240" w:lineRule="auto" w:before="56" w:after="0"/>
        <w:ind w:left="397" w:right="0" w:hanging="329"/>
        <w:jc w:val="left"/>
        <w:rPr>
          <w:sz w:val="23"/>
        </w:rPr>
      </w:pPr>
      <w:r>
        <w:rPr>
          <w:sz w:val="23"/>
        </w:rPr>
        <w:t>Sempre</w:t>
      </w:r>
      <w:r>
        <w:rPr>
          <w:spacing w:val="-13"/>
          <w:sz w:val="23"/>
        </w:rPr>
        <w:t> </w:t>
      </w:r>
      <w:r>
        <w:rPr>
          <w:sz w:val="23"/>
        </w:rPr>
        <w:t>que</w:t>
      </w:r>
      <w:r>
        <w:rPr>
          <w:spacing w:val="-13"/>
          <w:sz w:val="23"/>
        </w:rPr>
        <w:t> </w:t>
      </w:r>
      <w:r>
        <w:rPr>
          <w:sz w:val="23"/>
        </w:rPr>
        <w:t>possível,</w:t>
      </w:r>
      <w:r>
        <w:rPr>
          <w:spacing w:val="-4"/>
          <w:sz w:val="23"/>
        </w:rPr>
        <w:t> </w:t>
      </w:r>
      <w:r>
        <w:rPr>
          <w:sz w:val="23"/>
        </w:rPr>
        <w:t>a</w:t>
      </w:r>
      <w:r>
        <w:rPr>
          <w:spacing w:val="-12"/>
          <w:sz w:val="23"/>
        </w:rPr>
        <w:t> </w:t>
      </w:r>
      <w:r>
        <w:rPr>
          <w:sz w:val="23"/>
        </w:rPr>
        <w:t>revascularização</w:t>
      </w:r>
      <w:r>
        <w:rPr>
          <w:spacing w:val="-11"/>
          <w:sz w:val="23"/>
        </w:rPr>
        <w:t> </w:t>
      </w:r>
      <w:r>
        <w:rPr>
          <w:sz w:val="23"/>
        </w:rPr>
        <w:t>deve</w:t>
      </w:r>
      <w:r>
        <w:rPr>
          <w:spacing w:val="-13"/>
          <w:sz w:val="23"/>
        </w:rPr>
        <w:t> </w:t>
      </w:r>
      <w:r>
        <w:rPr>
          <w:sz w:val="23"/>
        </w:rPr>
        <w:t>ser</w:t>
      </w:r>
      <w:r>
        <w:rPr>
          <w:spacing w:val="-5"/>
          <w:sz w:val="23"/>
        </w:rPr>
        <w:t> </w:t>
      </w:r>
      <w:r>
        <w:rPr>
          <w:spacing w:val="-2"/>
          <w:sz w:val="23"/>
        </w:rPr>
        <w:t>tentada.</w:t>
      </w:r>
    </w:p>
    <w:p>
      <w:pPr>
        <w:pStyle w:val="BodyText"/>
        <w:spacing w:before="0"/>
        <w:ind w:left="0" w:firstLine="0"/>
        <w:jc w:val="left"/>
      </w:pPr>
    </w:p>
    <w:p>
      <w:pPr>
        <w:pStyle w:val="BodyText"/>
        <w:spacing w:line="276" w:lineRule="auto" w:before="0"/>
        <w:ind w:right="491"/>
      </w:pPr>
      <w:r>
        <w:rPr/>
        <w:t>Estudo angiográfico completo é importante para definir o tipo de revascularização, seja cirúrgico ou endovascular, ou muitas vezes uma combinação de ambos.</w:t>
      </w:r>
    </w:p>
    <w:p>
      <w:pPr>
        <w:pStyle w:val="BodyText"/>
        <w:spacing w:line="278" w:lineRule="auto" w:before="64"/>
        <w:ind w:right="491"/>
      </w:pPr>
      <w:r>
        <w:rPr/>
        <w:t>A maioria dessas intervenções, devido ao padrão de oclusões arteriais mais distais no diabético, consiste em restaurações arteriais realizadas em artérias de perna ou, mesmo, do pé. É preciso notar que a artéria dorsal do pé, com</w:t>
      </w:r>
      <w:r>
        <w:rPr>
          <w:spacing w:val="-1"/>
        </w:rPr>
        <w:t> </w:t>
      </w:r>
      <w:r>
        <w:rPr/>
        <w:t>frequência, se</w:t>
      </w:r>
      <w:r>
        <w:rPr>
          <w:spacing w:val="-3"/>
        </w:rPr>
        <w:t> </w:t>
      </w:r>
      <w:r>
        <w:rPr/>
        <w:t>mantém</w:t>
      </w:r>
      <w:r>
        <w:rPr>
          <w:spacing w:val="-1"/>
        </w:rPr>
        <w:t> </w:t>
      </w:r>
      <w:r>
        <w:rPr/>
        <w:t>pérvia</w:t>
      </w:r>
      <w:r>
        <w:rPr>
          <w:spacing w:val="-3"/>
        </w:rPr>
        <w:t> </w:t>
      </w:r>
      <w:r>
        <w:rPr/>
        <w:t>no diabético, mesmo quando não visualizada</w:t>
      </w:r>
      <w:r>
        <w:rPr>
          <w:spacing w:val="-3"/>
        </w:rPr>
        <w:t> </w:t>
      </w:r>
      <w:r>
        <w:rPr/>
        <w:t>no exame</w:t>
      </w:r>
      <w:r>
        <w:rPr>
          <w:spacing w:val="-3"/>
        </w:rPr>
        <w:t> </w:t>
      </w:r>
      <w:r>
        <w:rPr/>
        <w:t>arteriográfico; o enxerto com</w:t>
      </w:r>
      <w:r>
        <w:rPr>
          <w:spacing w:val="-6"/>
        </w:rPr>
        <w:t> </w:t>
      </w:r>
      <w:r>
        <w:rPr/>
        <w:t>veia</w:t>
      </w:r>
      <w:r>
        <w:rPr>
          <w:spacing w:val="-8"/>
        </w:rPr>
        <w:t> </w:t>
      </w:r>
      <w:r>
        <w:rPr/>
        <w:t>autóloga</w:t>
      </w:r>
      <w:r>
        <w:rPr>
          <w:spacing w:val="-8"/>
        </w:rPr>
        <w:t> </w:t>
      </w:r>
      <w:r>
        <w:rPr/>
        <w:t>para</w:t>
      </w:r>
      <w:r>
        <w:rPr>
          <w:spacing w:val="-8"/>
        </w:rPr>
        <w:t> </w:t>
      </w:r>
      <w:r>
        <w:rPr/>
        <w:t>essa</w:t>
      </w:r>
      <w:r>
        <w:rPr>
          <w:spacing w:val="-8"/>
        </w:rPr>
        <w:t> </w:t>
      </w:r>
      <w:r>
        <w:rPr/>
        <w:t>artéria</w:t>
      </w:r>
      <w:r>
        <w:rPr>
          <w:spacing w:val="-8"/>
        </w:rPr>
        <w:t> </w:t>
      </w:r>
      <w:r>
        <w:rPr/>
        <w:t>tem</w:t>
      </w:r>
      <w:r>
        <w:rPr>
          <w:spacing w:val="-6"/>
        </w:rPr>
        <w:t> </w:t>
      </w:r>
      <w:r>
        <w:rPr/>
        <w:t>se</w:t>
      </w:r>
      <w:r>
        <w:rPr>
          <w:spacing w:val="-8"/>
        </w:rPr>
        <w:t> </w:t>
      </w:r>
      <w:r>
        <w:rPr/>
        <w:t>mostrado</w:t>
      </w:r>
      <w:r>
        <w:rPr>
          <w:spacing w:val="-6"/>
        </w:rPr>
        <w:t> </w:t>
      </w:r>
      <w:r>
        <w:rPr/>
        <w:t>efetivo</w:t>
      </w:r>
      <w:r>
        <w:rPr>
          <w:spacing w:val="-6"/>
        </w:rPr>
        <w:t> </w:t>
      </w:r>
      <w:r>
        <w:rPr/>
        <w:t>e</w:t>
      </w:r>
      <w:r>
        <w:rPr>
          <w:spacing w:val="-8"/>
        </w:rPr>
        <w:t> </w:t>
      </w:r>
      <w:r>
        <w:rPr/>
        <w:t>deve</w:t>
      </w:r>
      <w:r>
        <w:rPr>
          <w:spacing w:val="-8"/>
        </w:rPr>
        <w:t> </w:t>
      </w:r>
      <w:r>
        <w:rPr/>
        <w:t>ser</w:t>
      </w:r>
      <w:r>
        <w:rPr>
          <w:spacing w:val="-1"/>
        </w:rPr>
        <w:t> </w:t>
      </w:r>
      <w:r>
        <w:rPr/>
        <w:t>utilizado</w:t>
      </w:r>
      <w:r>
        <w:rPr>
          <w:spacing w:val="-6"/>
        </w:rPr>
        <w:t> </w:t>
      </w:r>
      <w:r>
        <w:rPr/>
        <w:t>na</w:t>
      </w:r>
      <w:r>
        <w:rPr>
          <w:spacing w:val="-8"/>
        </w:rPr>
        <w:t> </w:t>
      </w:r>
      <w:r>
        <w:rPr/>
        <w:t>eventualidade</w:t>
      </w:r>
      <w:r>
        <w:rPr>
          <w:spacing w:val="-8"/>
        </w:rPr>
        <w:t> </w:t>
      </w:r>
      <w:r>
        <w:rPr/>
        <w:t>de</w:t>
      </w:r>
      <w:r>
        <w:rPr>
          <w:spacing w:val="-8"/>
        </w:rPr>
        <w:t> </w:t>
      </w:r>
      <w:r>
        <w:rPr/>
        <w:t>não</w:t>
      </w:r>
      <w:r>
        <w:rPr>
          <w:spacing w:val="-6"/>
        </w:rPr>
        <w:t> </w:t>
      </w:r>
      <w:r>
        <w:rPr/>
        <w:t>haver</w:t>
      </w:r>
      <w:r>
        <w:rPr>
          <w:spacing w:val="-1"/>
        </w:rPr>
        <w:t> </w:t>
      </w:r>
      <w:r>
        <w:rPr/>
        <w:t>outro vaso</w:t>
      </w:r>
      <w:r>
        <w:rPr>
          <w:spacing w:val="-1"/>
        </w:rPr>
        <w:t> </w:t>
      </w:r>
      <w:r>
        <w:rPr/>
        <w:t>que</w:t>
      </w:r>
      <w:r>
        <w:rPr>
          <w:spacing w:val="-3"/>
        </w:rPr>
        <w:t> </w:t>
      </w:r>
      <w:r>
        <w:rPr/>
        <w:t>tenha</w:t>
      </w:r>
      <w:r>
        <w:rPr>
          <w:spacing w:val="-3"/>
        </w:rPr>
        <w:t> </w:t>
      </w:r>
      <w:r>
        <w:rPr/>
        <w:t>continuidade</w:t>
      </w:r>
      <w:r>
        <w:rPr>
          <w:spacing w:val="-3"/>
        </w:rPr>
        <w:t> </w:t>
      </w:r>
      <w:r>
        <w:rPr/>
        <w:t>no</w:t>
      </w:r>
      <w:r>
        <w:rPr>
          <w:spacing w:val="-1"/>
        </w:rPr>
        <w:t> </w:t>
      </w:r>
      <w:r>
        <w:rPr/>
        <w:t>pé. A</w:t>
      </w:r>
      <w:r>
        <w:rPr>
          <w:spacing w:val="-3"/>
        </w:rPr>
        <w:t> </w:t>
      </w:r>
      <w:r>
        <w:rPr/>
        <w:t>angioplastia</w:t>
      </w:r>
      <w:r>
        <w:rPr>
          <w:spacing w:val="-3"/>
        </w:rPr>
        <w:t> </w:t>
      </w:r>
      <w:r>
        <w:rPr/>
        <w:t>vem</w:t>
      </w:r>
      <w:r>
        <w:rPr>
          <w:spacing w:val="-1"/>
        </w:rPr>
        <w:t> </w:t>
      </w:r>
      <w:r>
        <w:rPr/>
        <w:t>ganhando</w:t>
      </w:r>
      <w:r>
        <w:rPr>
          <w:spacing w:val="-1"/>
        </w:rPr>
        <w:t> </w:t>
      </w:r>
      <w:r>
        <w:rPr/>
        <w:t>terreno</w:t>
      </w:r>
      <w:r>
        <w:rPr>
          <w:spacing w:val="-1"/>
        </w:rPr>
        <w:t> </w:t>
      </w:r>
      <w:r>
        <w:rPr/>
        <w:t>no</w:t>
      </w:r>
      <w:r>
        <w:rPr>
          <w:spacing w:val="-1"/>
        </w:rPr>
        <w:t> </w:t>
      </w:r>
      <w:r>
        <w:rPr/>
        <w:t>arsenal terapêutico</w:t>
      </w:r>
      <w:r>
        <w:rPr>
          <w:spacing w:val="-1"/>
        </w:rPr>
        <w:t> </w:t>
      </w:r>
      <w:r>
        <w:rPr/>
        <w:t>da</w:t>
      </w:r>
      <w:r>
        <w:rPr>
          <w:spacing w:val="-3"/>
        </w:rPr>
        <w:t> </w:t>
      </w:r>
      <w:r>
        <w:rPr/>
        <w:t>isquemia</w:t>
      </w:r>
      <w:r>
        <w:rPr>
          <w:spacing w:val="-3"/>
        </w:rPr>
        <w:t> </w:t>
      </w:r>
      <w:r>
        <w:rPr/>
        <w:t>crítica no</w:t>
      </w:r>
      <w:r>
        <w:rPr>
          <w:spacing w:val="-3"/>
        </w:rPr>
        <w:t> </w:t>
      </w:r>
      <w:r>
        <w:rPr/>
        <w:t>diabético</w:t>
      </w:r>
      <w:r>
        <w:rPr>
          <w:spacing w:val="-3"/>
        </w:rPr>
        <w:t> </w:t>
      </w:r>
      <w:r>
        <w:rPr/>
        <w:t>com</w:t>
      </w:r>
      <w:r>
        <w:rPr>
          <w:spacing w:val="-3"/>
        </w:rPr>
        <w:t> </w:t>
      </w:r>
      <w:r>
        <w:rPr/>
        <w:t>a</w:t>
      </w:r>
      <w:r>
        <w:rPr>
          <w:spacing w:val="-6"/>
        </w:rPr>
        <w:t> </w:t>
      </w:r>
      <w:r>
        <w:rPr/>
        <w:t>finalidade</w:t>
      </w:r>
      <w:r>
        <w:rPr>
          <w:spacing w:val="-6"/>
        </w:rPr>
        <w:t> </w:t>
      </w:r>
      <w:r>
        <w:rPr/>
        <w:t>de</w:t>
      </w:r>
      <w:r>
        <w:rPr>
          <w:spacing w:val="-6"/>
        </w:rPr>
        <w:t> </w:t>
      </w:r>
      <w:r>
        <w:rPr/>
        <w:t>salvamento</w:t>
      </w:r>
      <w:r>
        <w:rPr>
          <w:spacing w:val="-3"/>
        </w:rPr>
        <w:t> </w:t>
      </w:r>
      <w:r>
        <w:rPr/>
        <w:t>de</w:t>
      </w:r>
      <w:r>
        <w:rPr>
          <w:spacing w:val="-6"/>
        </w:rPr>
        <w:t> </w:t>
      </w:r>
      <w:r>
        <w:rPr/>
        <w:t>membro, sendo</w:t>
      </w:r>
      <w:r>
        <w:rPr>
          <w:spacing w:val="-3"/>
        </w:rPr>
        <w:t> </w:t>
      </w:r>
      <w:r>
        <w:rPr/>
        <w:t>considerada</w:t>
      </w:r>
      <w:r>
        <w:rPr>
          <w:spacing w:val="-6"/>
        </w:rPr>
        <w:t> </w:t>
      </w:r>
      <w:r>
        <w:rPr/>
        <w:t>por alguns autores a</w:t>
      </w:r>
      <w:r>
        <w:rPr>
          <w:spacing w:val="-6"/>
        </w:rPr>
        <w:t> </w:t>
      </w:r>
      <w:r>
        <w:rPr/>
        <w:t>primeira</w:t>
      </w:r>
      <w:r>
        <w:rPr>
          <w:spacing w:val="-6"/>
        </w:rPr>
        <w:t> </w:t>
      </w:r>
      <w:r>
        <w:rPr/>
        <w:t>opção</w:t>
      </w:r>
      <w:r>
        <w:rPr>
          <w:spacing w:val="-3"/>
        </w:rPr>
        <w:t> </w:t>
      </w:r>
      <w:r>
        <w:rPr/>
        <w:t>de tratamento desses pacientes.</w:t>
      </w:r>
      <w:r>
        <w:rPr>
          <w:vertAlign w:val="superscript"/>
        </w:rPr>
        <w:t>25</w:t>
      </w:r>
    </w:p>
    <w:p>
      <w:pPr>
        <w:pStyle w:val="BodyText"/>
        <w:spacing w:before="184"/>
        <w:ind w:left="0" w:firstLine="0"/>
        <w:jc w:val="left"/>
      </w:pPr>
    </w:p>
    <w:p>
      <w:pPr>
        <w:pStyle w:val="Heading4"/>
      </w:pPr>
      <w:r>
        <w:rPr>
          <w:color w:val="242B67"/>
        </w:rPr>
        <w:t>Medidas profiláticas conservadoras e </w:t>
      </w:r>
      <w:r>
        <w:rPr>
          <w:color w:val="242B67"/>
          <w:spacing w:val="-2"/>
        </w:rPr>
        <w:t>cirúrgicas</w:t>
      </w:r>
    </w:p>
    <w:p>
      <w:pPr>
        <w:pStyle w:val="BodyText"/>
        <w:spacing w:line="276" w:lineRule="auto" w:before="132"/>
        <w:ind w:right="497"/>
      </w:pPr>
      <w:r>
        <w:rPr/>
        <w:t>As</w:t>
      </w:r>
      <w:r>
        <w:rPr>
          <w:spacing w:val="-1"/>
        </w:rPr>
        <w:t> </w:t>
      </w:r>
      <w:r>
        <w:rPr/>
        <w:t>deformações</w:t>
      </w:r>
      <w:r>
        <w:rPr>
          <w:spacing w:val="-1"/>
        </w:rPr>
        <w:t> </w:t>
      </w:r>
      <w:r>
        <w:rPr/>
        <w:t>da</w:t>
      </w:r>
      <w:r>
        <w:rPr>
          <w:spacing w:val="-11"/>
        </w:rPr>
        <w:t> </w:t>
      </w:r>
      <w:r>
        <w:rPr/>
        <w:t>arquitetura</w:t>
      </w:r>
      <w:r>
        <w:rPr>
          <w:spacing w:val="-11"/>
        </w:rPr>
        <w:t> </w:t>
      </w:r>
      <w:r>
        <w:rPr/>
        <w:t>óssea</w:t>
      </w:r>
      <w:r>
        <w:rPr>
          <w:spacing w:val="-11"/>
        </w:rPr>
        <w:t> </w:t>
      </w:r>
      <w:r>
        <w:rPr/>
        <w:t>do</w:t>
      </w:r>
      <w:r>
        <w:rPr>
          <w:spacing w:val="-9"/>
        </w:rPr>
        <w:t> </w:t>
      </w:r>
      <w:r>
        <w:rPr/>
        <w:t>pé</w:t>
      </w:r>
      <w:r>
        <w:rPr>
          <w:spacing w:val="-11"/>
        </w:rPr>
        <w:t> </w:t>
      </w:r>
      <w:r>
        <w:rPr/>
        <w:t>no</w:t>
      </w:r>
      <w:r>
        <w:rPr>
          <w:spacing w:val="-9"/>
        </w:rPr>
        <w:t> </w:t>
      </w:r>
      <w:r>
        <w:rPr/>
        <w:t>diabético,</w:t>
      </w:r>
      <w:r>
        <w:rPr>
          <w:spacing w:val="-1"/>
        </w:rPr>
        <w:t> </w:t>
      </w:r>
      <w:r>
        <w:rPr/>
        <w:t>determinando</w:t>
      </w:r>
      <w:r>
        <w:rPr>
          <w:spacing w:val="-9"/>
        </w:rPr>
        <w:t> </w:t>
      </w:r>
      <w:r>
        <w:rPr/>
        <w:t>pontos</w:t>
      </w:r>
      <w:r>
        <w:rPr>
          <w:spacing w:val="-1"/>
        </w:rPr>
        <w:t> </w:t>
      </w:r>
      <w:r>
        <w:rPr/>
        <w:t>de</w:t>
      </w:r>
      <w:r>
        <w:rPr>
          <w:spacing w:val="-11"/>
        </w:rPr>
        <w:t> </w:t>
      </w:r>
      <w:r>
        <w:rPr/>
        <w:t>hiperpressão,</w:t>
      </w:r>
      <w:r>
        <w:rPr>
          <w:spacing w:val="-1"/>
        </w:rPr>
        <w:t> </w:t>
      </w:r>
      <w:r>
        <w:rPr/>
        <w:t>podem</w:t>
      </w:r>
      <w:r>
        <w:rPr>
          <w:spacing w:val="-9"/>
        </w:rPr>
        <w:t> </w:t>
      </w:r>
      <w:r>
        <w:rPr/>
        <w:t>favorecer o</w:t>
      </w:r>
      <w:r>
        <w:rPr>
          <w:spacing w:val="-4"/>
        </w:rPr>
        <w:t> </w:t>
      </w:r>
      <w:r>
        <w:rPr/>
        <w:t>aparecimento</w:t>
      </w:r>
      <w:r>
        <w:rPr>
          <w:spacing w:val="-4"/>
        </w:rPr>
        <w:t> </w:t>
      </w:r>
      <w:r>
        <w:rPr/>
        <w:t>de</w:t>
      </w:r>
      <w:r>
        <w:rPr>
          <w:spacing w:val="-7"/>
        </w:rPr>
        <w:t> </w:t>
      </w:r>
      <w:r>
        <w:rPr/>
        <w:t>úlceras (mal</w:t>
      </w:r>
      <w:r>
        <w:rPr>
          <w:spacing w:val="-1"/>
        </w:rPr>
        <w:t> </w:t>
      </w:r>
      <w:r>
        <w:rPr/>
        <w:t>perfurante</w:t>
      </w:r>
      <w:r>
        <w:rPr>
          <w:spacing w:val="-7"/>
        </w:rPr>
        <w:t> </w:t>
      </w:r>
      <w:r>
        <w:rPr/>
        <w:t>plantar), mesmo</w:t>
      </w:r>
      <w:r>
        <w:rPr>
          <w:spacing w:val="-4"/>
        </w:rPr>
        <w:t> </w:t>
      </w:r>
      <w:r>
        <w:rPr/>
        <w:t>em</w:t>
      </w:r>
      <w:r>
        <w:rPr>
          <w:spacing w:val="-4"/>
        </w:rPr>
        <w:t> </w:t>
      </w:r>
      <w:r>
        <w:rPr/>
        <w:t>um</w:t>
      </w:r>
      <w:r>
        <w:rPr>
          <w:spacing w:val="-4"/>
        </w:rPr>
        <w:t> </w:t>
      </w:r>
      <w:r>
        <w:rPr/>
        <w:t>pé</w:t>
      </w:r>
      <w:r>
        <w:rPr>
          <w:spacing w:val="-7"/>
        </w:rPr>
        <w:t> </w:t>
      </w:r>
      <w:r>
        <w:rPr/>
        <w:t>bem</w:t>
      </w:r>
      <w:r>
        <w:rPr>
          <w:spacing w:val="-4"/>
        </w:rPr>
        <w:t> </w:t>
      </w:r>
      <w:r>
        <w:rPr/>
        <w:t>vascularizado. Se</w:t>
      </w:r>
      <w:r>
        <w:rPr>
          <w:spacing w:val="-7"/>
        </w:rPr>
        <w:t> </w:t>
      </w:r>
      <w:r>
        <w:rPr/>
        <w:t>a</w:t>
      </w:r>
      <w:r>
        <w:rPr>
          <w:spacing w:val="-7"/>
        </w:rPr>
        <w:t> </w:t>
      </w:r>
      <w:r>
        <w:rPr/>
        <w:t>lesão</w:t>
      </w:r>
      <w:r>
        <w:rPr>
          <w:spacing w:val="-4"/>
        </w:rPr>
        <w:t> </w:t>
      </w:r>
      <w:r>
        <w:rPr/>
        <w:t>se</w:t>
      </w:r>
      <w:r>
        <w:rPr>
          <w:spacing w:val="-7"/>
        </w:rPr>
        <w:t> </w:t>
      </w:r>
      <w:r>
        <w:rPr/>
        <w:t>encontra</w:t>
      </w:r>
      <w:r>
        <w:rPr>
          <w:spacing w:val="-7"/>
        </w:rPr>
        <w:t> </w:t>
      </w:r>
      <w:r>
        <w:rPr/>
        <w:t>em uma área de pressão, deve-se evitar a pressão mecânica sobre a lesão por meio da redistribuição dos pontos de pressão</w:t>
      </w:r>
      <w:r>
        <w:rPr>
          <w:spacing w:val="-4"/>
        </w:rPr>
        <w:t> </w:t>
      </w:r>
      <w:r>
        <w:rPr/>
        <w:t>por toda</w:t>
      </w:r>
      <w:r>
        <w:rPr>
          <w:spacing w:val="-7"/>
        </w:rPr>
        <w:t> </w:t>
      </w:r>
      <w:r>
        <w:rPr/>
        <w:t>a</w:t>
      </w:r>
      <w:r>
        <w:rPr>
          <w:spacing w:val="-7"/>
        </w:rPr>
        <w:t> </w:t>
      </w:r>
      <w:r>
        <w:rPr/>
        <w:t>região</w:t>
      </w:r>
      <w:r>
        <w:rPr>
          <w:spacing w:val="-4"/>
        </w:rPr>
        <w:t> </w:t>
      </w:r>
      <w:r>
        <w:rPr/>
        <w:t>plantar, com</w:t>
      </w:r>
      <w:r>
        <w:rPr>
          <w:spacing w:val="-4"/>
        </w:rPr>
        <w:t> </w:t>
      </w:r>
      <w:r>
        <w:rPr/>
        <w:t>o</w:t>
      </w:r>
      <w:r>
        <w:rPr>
          <w:spacing w:val="-4"/>
        </w:rPr>
        <w:t> </w:t>
      </w:r>
      <w:r>
        <w:rPr/>
        <w:t>uso</w:t>
      </w:r>
      <w:r>
        <w:rPr>
          <w:spacing w:val="-4"/>
        </w:rPr>
        <w:t> </w:t>
      </w:r>
      <w:r>
        <w:rPr/>
        <w:t>de</w:t>
      </w:r>
      <w:r>
        <w:rPr>
          <w:spacing w:val="-7"/>
        </w:rPr>
        <w:t> </w:t>
      </w:r>
      <w:r>
        <w:rPr/>
        <w:t>palmilhas e</w:t>
      </w:r>
      <w:r>
        <w:rPr>
          <w:spacing w:val="-7"/>
        </w:rPr>
        <w:t> </w:t>
      </w:r>
      <w:r>
        <w:rPr/>
        <w:t>calçados adequados, dispositivos ortopédicos especiais, bota de Unna, cadeira de rodas e até repouso em cama se for necessário.</w:t>
      </w:r>
    </w:p>
    <w:p>
      <w:pPr>
        <w:pStyle w:val="BodyText"/>
        <w:spacing w:line="276" w:lineRule="auto"/>
        <w:ind w:right="497"/>
      </w:pPr>
      <w:r>
        <w:rPr/>
        <w:t>A</w:t>
      </w:r>
      <w:r>
        <w:rPr>
          <w:spacing w:val="-6"/>
        </w:rPr>
        <w:t> </w:t>
      </w:r>
      <w:r>
        <w:rPr/>
        <w:t>cirurgia</w:t>
      </w:r>
      <w:r>
        <w:rPr>
          <w:spacing w:val="-6"/>
        </w:rPr>
        <w:t> </w:t>
      </w:r>
      <w:r>
        <w:rPr/>
        <w:t>profilática</w:t>
      </w:r>
      <w:r>
        <w:rPr>
          <w:spacing w:val="-6"/>
        </w:rPr>
        <w:t> </w:t>
      </w:r>
      <w:r>
        <w:rPr/>
        <w:t>é</w:t>
      </w:r>
      <w:r>
        <w:rPr>
          <w:spacing w:val="-6"/>
        </w:rPr>
        <w:t> </w:t>
      </w:r>
      <w:r>
        <w:rPr/>
        <w:t>aquela</w:t>
      </w:r>
      <w:r>
        <w:rPr>
          <w:spacing w:val="-6"/>
        </w:rPr>
        <w:t> </w:t>
      </w:r>
      <w:r>
        <w:rPr/>
        <w:t>realizada</w:t>
      </w:r>
      <w:r>
        <w:rPr>
          <w:spacing w:val="-6"/>
        </w:rPr>
        <w:t> </w:t>
      </w:r>
      <w:r>
        <w:rPr/>
        <w:t>para</w:t>
      </w:r>
      <w:r>
        <w:rPr>
          <w:spacing w:val="-6"/>
        </w:rPr>
        <w:t> </w:t>
      </w:r>
      <w:r>
        <w:rPr/>
        <w:t>prevenir a</w:t>
      </w:r>
      <w:r>
        <w:rPr>
          <w:spacing w:val="-6"/>
        </w:rPr>
        <w:t> </w:t>
      </w:r>
      <w:r>
        <w:rPr/>
        <w:t>ocorrência</w:t>
      </w:r>
      <w:r>
        <w:rPr>
          <w:spacing w:val="-6"/>
        </w:rPr>
        <w:t> </w:t>
      </w:r>
      <w:r>
        <w:rPr/>
        <w:t>de</w:t>
      </w:r>
      <w:r>
        <w:rPr>
          <w:spacing w:val="-6"/>
        </w:rPr>
        <w:t> </w:t>
      </w:r>
      <w:r>
        <w:rPr/>
        <w:t>úlcera</w:t>
      </w:r>
      <w:r>
        <w:rPr>
          <w:spacing w:val="-6"/>
        </w:rPr>
        <w:t> </w:t>
      </w:r>
      <w:r>
        <w:rPr/>
        <w:t>ou</w:t>
      </w:r>
      <w:r>
        <w:rPr>
          <w:spacing w:val="-4"/>
        </w:rPr>
        <w:t> </w:t>
      </w:r>
      <w:r>
        <w:rPr/>
        <w:t>amputação, diminuindo</w:t>
      </w:r>
      <w:r>
        <w:rPr>
          <w:spacing w:val="-4"/>
        </w:rPr>
        <w:t> </w:t>
      </w:r>
      <w:r>
        <w:rPr/>
        <w:t>as áreas de hiperpressão, melhorando a acomodação do pé no calçado e, também, sua função. Está indicada quando os tratamentos conservadores falham e existem deformidades ósseas significativas que podem ser tratadas, uma vez revascularizado o pé, mediante cirurgias profiláticas, tais como: ressecção das cabeças dos metatarsianos, osteotomias, artroplastias, artrodese, e tenotomia de alongamento (Aquiles). As úlceras no calcanhar podem se beneficiar de</w:t>
      </w:r>
      <w:r>
        <w:rPr>
          <w:spacing w:val="-4"/>
        </w:rPr>
        <w:t> </w:t>
      </w:r>
      <w:r>
        <w:rPr/>
        <w:t>uma</w:t>
      </w:r>
      <w:r>
        <w:rPr>
          <w:spacing w:val="-4"/>
        </w:rPr>
        <w:t> </w:t>
      </w:r>
      <w:r>
        <w:rPr/>
        <w:t>calcanectomia</w:t>
      </w:r>
      <w:r>
        <w:rPr>
          <w:spacing w:val="-4"/>
        </w:rPr>
        <w:t> </w:t>
      </w:r>
      <w:r>
        <w:rPr/>
        <w:t>parcial com</w:t>
      </w:r>
      <w:r>
        <w:rPr>
          <w:spacing w:val="-2"/>
        </w:rPr>
        <w:t> </w:t>
      </w:r>
      <w:r>
        <w:rPr/>
        <w:t>enxerto</w:t>
      </w:r>
      <w:r>
        <w:rPr>
          <w:spacing w:val="-2"/>
        </w:rPr>
        <w:t> </w:t>
      </w:r>
      <w:r>
        <w:rPr/>
        <w:t>miotendinoso</w:t>
      </w:r>
      <w:r>
        <w:rPr>
          <w:spacing w:val="-2"/>
        </w:rPr>
        <w:t> </w:t>
      </w:r>
      <w:r>
        <w:rPr/>
        <w:t>para</w:t>
      </w:r>
      <w:r>
        <w:rPr>
          <w:spacing w:val="-4"/>
        </w:rPr>
        <w:t> </w:t>
      </w:r>
      <w:r>
        <w:rPr/>
        <w:t>cobrir a</w:t>
      </w:r>
      <w:r>
        <w:rPr>
          <w:spacing w:val="-4"/>
        </w:rPr>
        <w:t> </w:t>
      </w:r>
      <w:r>
        <w:rPr/>
        <w:t>lesão. Nos casos de</w:t>
      </w:r>
      <w:r>
        <w:rPr>
          <w:spacing w:val="-4"/>
        </w:rPr>
        <w:t> </w:t>
      </w:r>
      <w:r>
        <w:rPr/>
        <w:t>extensa</w:t>
      </w:r>
      <w:r>
        <w:rPr>
          <w:spacing w:val="-4"/>
        </w:rPr>
        <w:t> </w:t>
      </w:r>
      <w:r>
        <w:rPr/>
        <w:t>perda tecidual, podem ser realizados retalhos livres ou vascularizados.</w:t>
      </w:r>
    </w:p>
    <w:p>
      <w:pPr>
        <w:pStyle w:val="BodyText"/>
        <w:spacing w:before="186"/>
        <w:ind w:left="0" w:firstLine="0"/>
        <w:jc w:val="left"/>
      </w:pPr>
    </w:p>
    <w:p>
      <w:pPr>
        <w:pStyle w:val="Heading4"/>
      </w:pPr>
      <w:r>
        <w:rPr>
          <w:color w:val="242B67"/>
        </w:rPr>
        <w:t>Medidas complementares adjuvantes </w:t>
      </w:r>
      <w:r>
        <w:rPr>
          <w:color w:val="242B67"/>
          <w:spacing w:val="-2"/>
        </w:rPr>
        <w:t>alternativas</w:t>
      </w:r>
    </w:p>
    <w:p>
      <w:pPr>
        <w:pStyle w:val="BodyText"/>
        <w:spacing w:line="276" w:lineRule="auto" w:before="132"/>
        <w:ind w:right="494"/>
      </w:pPr>
      <w:r>
        <w:rPr/>
        <w:t>A rapidez da cicatrização das lesões depende de muitos fatores que devem ser avaliados constantemente: tamanho da úlcera, presença de necrose, infecção e/ou isquemia, liberação de áreas de hiperpressão, controle da glicemia e grau de aderência do paciente ao tratamento.</w:t>
      </w:r>
    </w:p>
    <w:p>
      <w:pPr>
        <w:pStyle w:val="BodyText"/>
        <w:spacing w:line="280" w:lineRule="auto" w:before="64"/>
        <w:ind w:right="491"/>
      </w:pPr>
      <w:r>
        <w:rPr/>
        <w:t>Quando há dificuldade de cicatrização da úlcera, pode-se lançar mão de medidas complementares ou alternativas, como</w:t>
      </w:r>
      <w:r>
        <w:rPr>
          <w:spacing w:val="-7"/>
        </w:rPr>
        <w:t> </w:t>
      </w:r>
      <w:r>
        <w:rPr/>
        <w:t>retalho</w:t>
      </w:r>
      <w:r>
        <w:rPr>
          <w:spacing w:val="-7"/>
        </w:rPr>
        <w:t> </w:t>
      </w:r>
      <w:r>
        <w:rPr/>
        <w:t>cirúrgico, oxigênio</w:t>
      </w:r>
      <w:r>
        <w:rPr>
          <w:spacing w:val="-7"/>
        </w:rPr>
        <w:t> </w:t>
      </w:r>
      <w:r>
        <w:rPr/>
        <w:t>hiperbárico, tecido</w:t>
      </w:r>
      <w:r>
        <w:rPr>
          <w:spacing w:val="-7"/>
        </w:rPr>
        <w:t> </w:t>
      </w:r>
      <w:r>
        <w:rPr/>
        <w:t>feito</w:t>
      </w:r>
      <w:r>
        <w:rPr>
          <w:spacing w:val="-7"/>
        </w:rPr>
        <w:t> </w:t>
      </w:r>
      <w:r>
        <w:rPr/>
        <w:t>por</w:t>
      </w:r>
      <w:r>
        <w:rPr>
          <w:spacing w:val="-3"/>
        </w:rPr>
        <w:t> </w:t>
      </w:r>
      <w:r>
        <w:rPr/>
        <w:t>bioengenharia, curativos a</w:t>
      </w:r>
      <w:r>
        <w:rPr>
          <w:spacing w:val="-10"/>
        </w:rPr>
        <w:t> </w:t>
      </w:r>
      <w:r>
        <w:rPr/>
        <w:t>vácuo, fatores de</w:t>
      </w:r>
      <w:r>
        <w:rPr>
          <w:spacing w:val="-9"/>
        </w:rPr>
        <w:t> </w:t>
      </w:r>
      <w:r>
        <w:rPr/>
        <w:t>crescimento</w:t>
      </w:r>
      <w:r>
        <w:rPr>
          <w:spacing w:val="-5"/>
        </w:rPr>
        <w:t> </w:t>
      </w:r>
      <w:r>
        <w:rPr/>
        <w:t>plaquetário</w:t>
      </w:r>
      <w:r>
        <w:rPr>
          <w:spacing w:val="-5"/>
        </w:rPr>
        <w:t> </w:t>
      </w:r>
      <w:r>
        <w:rPr/>
        <w:t>ou</w:t>
      </w:r>
      <w:r>
        <w:rPr>
          <w:spacing w:val="-5"/>
        </w:rPr>
        <w:t> </w:t>
      </w:r>
      <w:r>
        <w:rPr/>
        <w:t>do</w:t>
      </w:r>
      <w:r>
        <w:rPr>
          <w:spacing w:val="-5"/>
        </w:rPr>
        <w:t> </w:t>
      </w:r>
      <w:r>
        <w:rPr/>
        <w:t>granulócito. São</w:t>
      </w:r>
      <w:r>
        <w:rPr>
          <w:spacing w:val="-5"/>
        </w:rPr>
        <w:t> </w:t>
      </w:r>
      <w:r>
        <w:rPr/>
        <w:t>terapias emergentes, com</w:t>
      </w:r>
      <w:r>
        <w:rPr>
          <w:spacing w:val="-5"/>
        </w:rPr>
        <w:t> </w:t>
      </w:r>
      <w:r>
        <w:rPr/>
        <w:t>resultados promissores, dispendiosas e ainda pendentes de estudos para terem indicação ampla na prática.</w:t>
      </w:r>
      <w:r>
        <w:rPr>
          <w:vertAlign w:val="superscript"/>
        </w:rPr>
        <w:t>19</w:t>
      </w:r>
    </w:p>
    <w:p>
      <w:pPr>
        <w:pStyle w:val="BodyText"/>
        <w:spacing w:line="276" w:lineRule="auto" w:before="60"/>
        <w:ind w:right="488"/>
      </w:pPr>
      <w:r>
        <w:rPr/>
        <w:t>Becaplermina em gel (Regranex</w:t>
      </w:r>
      <w:r>
        <w:rPr>
          <w:vertAlign w:val="superscript"/>
        </w:rPr>
        <w:t>®</w:t>
      </w:r>
      <w:r>
        <w:rPr>
          <w:vertAlign w:val="baseline"/>
        </w:rPr>
        <w:t>) é um fator de crescimento derivado das plaquetas feito por técnicas de recombinação celular humana. Estimula e recruta macrófagos, neutrófilos e fibroblastos. Estimula a angiogênese e remodela</w:t>
      </w:r>
      <w:r>
        <w:rPr>
          <w:spacing w:val="-8"/>
          <w:vertAlign w:val="baseline"/>
        </w:rPr>
        <w:t> </w:t>
      </w:r>
      <w:r>
        <w:rPr>
          <w:vertAlign w:val="baseline"/>
        </w:rPr>
        <w:t>a</w:t>
      </w:r>
      <w:r>
        <w:rPr>
          <w:spacing w:val="-8"/>
          <w:vertAlign w:val="baseline"/>
        </w:rPr>
        <w:t> </w:t>
      </w:r>
      <w:r>
        <w:rPr>
          <w:vertAlign w:val="baseline"/>
        </w:rPr>
        <w:t>cicatrização. Para</w:t>
      </w:r>
      <w:r>
        <w:rPr>
          <w:spacing w:val="-8"/>
          <w:vertAlign w:val="baseline"/>
        </w:rPr>
        <w:t> </w:t>
      </w:r>
      <w:r>
        <w:rPr>
          <w:vertAlign w:val="baseline"/>
        </w:rPr>
        <w:t>seu</w:t>
      </w:r>
      <w:r>
        <w:rPr>
          <w:spacing w:val="-5"/>
          <w:vertAlign w:val="baseline"/>
        </w:rPr>
        <w:t> </w:t>
      </w:r>
      <w:r>
        <w:rPr>
          <w:vertAlign w:val="baseline"/>
        </w:rPr>
        <w:t>uso, o</w:t>
      </w:r>
      <w:r>
        <w:rPr>
          <w:spacing w:val="-5"/>
          <w:vertAlign w:val="baseline"/>
        </w:rPr>
        <w:t> </w:t>
      </w:r>
      <w:r>
        <w:rPr>
          <w:vertAlign w:val="baseline"/>
        </w:rPr>
        <w:t>pé</w:t>
      </w:r>
      <w:r>
        <w:rPr>
          <w:spacing w:val="-8"/>
          <w:vertAlign w:val="baseline"/>
        </w:rPr>
        <w:t> </w:t>
      </w:r>
      <w:r>
        <w:rPr>
          <w:vertAlign w:val="baseline"/>
        </w:rPr>
        <w:t>deve</w:t>
      </w:r>
      <w:r>
        <w:rPr>
          <w:spacing w:val="-8"/>
          <w:vertAlign w:val="baseline"/>
        </w:rPr>
        <w:t> </w:t>
      </w:r>
      <w:r>
        <w:rPr>
          <w:vertAlign w:val="baseline"/>
        </w:rPr>
        <w:t>estar bem</w:t>
      </w:r>
      <w:r>
        <w:rPr>
          <w:spacing w:val="-5"/>
          <w:vertAlign w:val="baseline"/>
        </w:rPr>
        <w:t> </w:t>
      </w:r>
      <w:r>
        <w:rPr>
          <w:vertAlign w:val="baseline"/>
        </w:rPr>
        <w:t>vascularizado</w:t>
      </w:r>
      <w:r>
        <w:rPr>
          <w:spacing w:val="-5"/>
          <w:vertAlign w:val="baseline"/>
        </w:rPr>
        <w:t> </w:t>
      </w:r>
      <w:r>
        <w:rPr>
          <w:vertAlign w:val="baseline"/>
        </w:rPr>
        <w:t>e</w:t>
      </w:r>
      <w:r>
        <w:rPr>
          <w:spacing w:val="-8"/>
          <w:vertAlign w:val="baseline"/>
        </w:rPr>
        <w:t> </w:t>
      </w:r>
      <w:r>
        <w:rPr>
          <w:vertAlign w:val="baseline"/>
        </w:rPr>
        <w:t>livre</w:t>
      </w:r>
      <w:r>
        <w:rPr>
          <w:spacing w:val="-8"/>
          <w:vertAlign w:val="baseline"/>
        </w:rPr>
        <w:t> </w:t>
      </w:r>
      <w:r>
        <w:rPr>
          <w:vertAlign w:val="baseline"/>
        </w:rPr>
        <w:t>de</w:t>
      </w:r>
      <w:r>
        <w:rPr>
          <w:spacing w:val="-8"/>
          <w:vertAlign w:val="baseline"/>
        </w:rPr>
        <w:t> </w:t>
      </w:r>
      <w:r>
        <w:rPr>
          <w:vertAlign w:val="baseline"/>
        </w:rPr>
        <w:t>infecção. Após 4</w:t>
      </w:r>
      <w:r>
        <w:rPr>
          <w:spacing w:val="-5"/>
          <w:vertAlign w:val="baseline"/>
        </w:rPr>
        <w:t> </w:t>
      </w:r>
      <w:r>
        <w:rPr>
          <w:vertAlign w:val="baseline"/>
        </w:rPr>
        <w:t>a</w:t>
      </w:r>
      <w:r>
        <w:rPr>
          <w:spacing w:val="-8"/>
          <w:vertAlign w:val="baseline"/>
        </w:rPr>
        <w:t> </w:t>
      </w:r>
      <w:r>
        <w:rPr>
          <w:vertAlign w:val="baseline"/>
        </w:rPr>
        <w:t>6</w:t>
      </w:r>
      <w:r>
        <w:rPr>
          <w:spacing w:val="-5"/>
          <w:vertAlign w:val="baseline"/>
        </w:rPr>
        <w:t> </w:t>
      </w:r>
      <w:r>
        <w:rPr>
          <w:vertAlign w:val="baseline"/>
        </w:rPr>
        <w:t>semanas de uso, tem</w:t>
      </w:r>
      <w:r>
        <w:rPr>
          <w:spacing w:val="-1"/>
          <w:vertAlign w:val="baseline"/>
        </w:rPr>
        <w:t> </w:t>
      </w:r>
      <w:r>
        <w:rPr>
          <w:vertAlign w:val="baseline"/>
        </w:rPr>
        <w:t>demonstrado</w:t>
      </w:r>
      <w:r>
        <w:rPr>
          <w:spacing w:val="-1"/>
          <w:vertAlign w:val="baseline"/>
        </w:rPr>
        <w:t> </w:t>
      </w:r>
      <w:r>
        <w:rPr>
          <w:vertAlign w:val="baseline"/>
        </w:rPr>
        <w:t>aumento</w:t>
      </w:r>
      <w:r>
        <w:rPr>
          <w:spacing w:val="-1"/>
          <w:vertAlign w:val="baseline"/>
        </w:rPr>
        <w:t> </w:t>
      </w:r>
      <w:r>
        <w:rPr>
          <w:vertAlign w:val="baseline"/>
        </w:rPr>
        <w:t>do</w:t>
      </w:r>
      <w:r>
        <w:rPr>
          <w:spacing w:val="-1"/>
          <w:vertAlign w:val="baseline"/>
        </w:rPr>
        <w:t> </w:t>
      </w:r>
      <w:r>
        <w:rPr>
          <w:vertAlign w:val="baseline"/>
        </w:rPr>
        <w:t>índice</w:t>
      </w:r>
      <w:r>
        <w:rPr>
          <w:spacing w:val="-4"/>
          <w:vertAlign w:val="baseline"/>
        </w:rPr>
        <w:t> </w:t>
      </w:r>
      <w:r>
        <w:rPr>
          <w:vertAlign w:val="baseline"/>
        </w:rPr>
        <w:t>e</w:t>
      </w:r>
      <w:r>
        <w:rPr>
          <w:spacing w:val="-4"/>
          <w:vertAlign w:val="baseline"/>
        </w:rPr>
        <w:t> </w:t>
      </w:r>
      <w:r>
        <w:rPr>
          <w:vertAlign w:val="baseline"/>
        </w:rPr>
        <w:t>da</w:t>
      </w:r>
      <w:r>
        <w:rPr>
          <w:spacing w:val="-4"/>
          <w:vertAlign w:val="baseline"/>
        </w:rPr>
        <w:t> </w:t>
      </w:r>
      <w:r>
        <w:rPr>
          <w:vertAlign w:val="baseline"/>
        </w:rPr>
        <w:t>velocidade</w:t>
      </w:r>
      <w:r>
        <w:rPr>
          <w:spacing w:val="-4"/>
          <w:vertAlign w:val="baseline"/>
        </w:rPr>
        <w:t> </w:t>
      </w:r>
      <w:r>
        <w:rPr>
          <w:vertAlign w:val="baseline"/>
        </w:rPr>
        <w:t>de</w:t>
      </w:r>
      <w:r>
        <w:rPr>
          <w:spacing w:val="-4"/>
          <w:vertAlign w:val="baseline"/>
        </w:rPr>
        <w:t> </w:t>
      </w:r>
      <w:r>
        <w:rPr>
          <w:vertAlign w:val="baseline"/>
        </w:rPr>
        <w:t>cicatrização</w:t>
      </w:r>
      <w:r>
        <w:rPr>
          <w:spacing w:val="-1"/>
          <w:vertAlign w:val="baseline"/>
        </w:rPr>
        <w:t> </w:t>
      </w:r>
      <w:r>
        <w:rPr>
          <w:vertAlign w:val="baseline"/>
        </w:rPr>
        <w:t>das lesões no</w:t>
      </w:r>
      <w:r>
        <w:rPr>
          <w:spacing w:val="-1"/>
          <w:vertAlign w:val="baseline"/>
        </w:rPr>
        <w:t> </w:t>
      </w:r>
      <w:r>
        <w:rPr>
          <w:vertAlign w:val="baseline"/>
        </w:rPr>
        <w:t>pé</w:t>
      </w:r>
      <w:r>
        <w:rPr>
          <w:spacing w:val="-4"/>
          <w:vertAlign w:val="baseline"/>
        </w:rPr>
        <w:t> </w:t>
      </w:r>
      <w:r>
        <w:rPr>
          <w:vertAlign w:val="baseline"/>
        </w:rPr>
        <w:t>diabético.</w:t>
      </w:r>
    </w:p>
    <w:p>
      <w:pPr>
        <w:pStyle w:val="BodyText"/>
        <w:spacing w:line="283" w:lineRule="auto"/>
        <w:ind w:right="488"/>
      </w:pPr>
      <w:r>
        <w:rPr/>
        <w:t>Tecidos feitos por bioengenharia têm demonstrado aumento do índice de cicatrização após 12 semanas de tratamento. Atualmente existem dois tipos desses tecidos, a Apligraf</w:t>
      </w:r>
      <w:r>
        <w:rPr>
          <w:vertAlign w:val="superscript"/>
        </w:rPr>
        <w:t>®</w:t>
      </w:r>
      <w:r>
        <w:rPr>
          <w:vertAlign w:val="baseline"/>
        </w:rPr>
        <w:t> e a Dermagraft</w:t>
      </w:r>
      <w:r>
        <w:rPr>
          <w:vertAlign w:val="superscript"/>
        </w:rPr>
        <w:t>®</w:t>
      </w:r>
      <w:r>
        <w:rPr>
          <w:vertAlign w:val="baseline"/>
        </w:rPr>
        <w:t>, sendo a primeira aprovada pela FDA.</w:t>
      </w:r>
    </w:p>
    <w:p>
      <w:pPr>
        <w:pStyle w:val="BodyText"/>
        <w:spacing w:line="276" w:lineRule="auto" w:before="40"/>
        <w:ind w:right="491"/>
      </w:pPr>
      <w:r>
        <w:rPr/>
        <w:t>A utilização de oxigênio hiperbárico pode ser um método útil no tratamento das infecções, particularmente em presença de osteomielite refratária e infecções por anaeróbios; assim, gangrenas gasosas e celulites necrosantes se beneficiam dessa terapêutica, que aumenta o nível de oxigênio tecidual, estimulando os neutrófilos a destruir bactérias por mecanismos oxidativos e</w:t>
      </w:r>
      <w:r>
        <w:rPr>
          <w:spacing w:val="-4"/>
        </w:rPr>
        <w:t> </w:t>
      </w:r>
      <w:r>
        <w:rPr/>
        <w:t>inibe</w:t>
      </w:r>
      <w:r>
        <w:rPr>
          <w:spacing w:val="-4"/>
        </w:rPr>
        <w:t> </w:t>
      </w:r>
      <w:r>
        <w:rPr/>
        <w:t>a</w:t>
      </w:r>
      <w:r>
        <w:rPr>
          <w:spacing w:val="-4"/>
        </w:rPr>
        <w:t> </w:t>
      </w:r>
      <w:r>
        <w:rPr/>
        <w:t>formação</w:t>
      </w:r>
      <w:r>
        <w:rPr>
          <w:spacing w:val="-1"/>
        </w:rPr>
        <w:t> </w:t>
      </w:r>
      <w:r>
        <w:rPr/>
        <w:t>de</w:t>
      </w:r>
      <w:r>
        <w:rPr>
          <w:spacing w:val="-4"/>
        </w:rPr>
        <w:t> </w:t>
      </w:r>
      <w:r>
        <w:rPr/>
        <w:t>toxina</w:t>
      </w:r>
      <w:r>
        <w:rPr>
          <w:spacing w:val="-4"/>
        </w:rPr>
        <w:t> </w:t>
      </w:r>
      <w:r>
        <w:rPr/>
        <w:t>por anaeróbios. A</w:t>
      </w:r>
      <w:r>
        <w:rPr>
          <w:spacing w:val="-4"/>
        </w:rPr>
        <w:t> </w:t>
      </w:r>
      <w:r>
        <w:rPr/>
        <w:t>maior parte</w:t>
      </w:r>
      <w:r>
        <w:rPr>
          <w:spacing w:val="-4"/>
        </w:rPr>
        <w:t> </w:t>
      </w:r>
      <w:r>
        <w:rPr/>
        <w:t>dos estudos sobre</w:t>
      </w:r>
    </w:p>
    <w:p>
      <w:pPr>
        <w:pStyle w:val="BodyText"/>
        <w:spacing w:after="0" w:line="276" w:lineRule="auto"/>
        <w:sectPr>
          <w:pgSz w:w="11900" w:h="16840"/>
          <w:pgMar w:top="120" w:bottom="280" w:left="566" w:right="141"/>
        </w:sectPr>
      </w:pPr>
    </w:p>
    <w:p>
      <w:pPr>
        <w:pStyle w:val="BodyText"/>
        <w:spacing w:line="276" w:lineRule="auto"/>
        <w:ind w:firstLine="0"/>
        <w:jc w:val="left"/>
      </w:pPr>
      <w:r>
        <w:rPr/>
        <w:t>seu</w:t>
      </w:r>
      <w:r>
        <w:rPr>
          <w:spacing w:val="-3"/>
        </w:rPr>
        <w:t> </w:t>
      </w:r>
      <w:r>
        <w:rPr/>
        <w:t>uso</w:t>
      </w:r>
      <w:r>
        <w:rPr>
          <w:spacing w:val="-3"/>
        </w:rPr>
        <w:t> </w:t>
      </w:r>
      <w:r>
        <w:rPr/>
        <w:t>não</w:t>
      </w:r>
      <w:r>
        <w:rPr>
          <w:spacing w:val="-3"/>
        </w:rPr>
        <w:t> </w:t>
      </w:r>
      <w:r>
        <w:rPr/>
        <w:t>foi</w:t>
      </w:r>
      <w:r>
        <w:rPr>
          <w:spacing w:val="-1"/>
        </w:rPr>
        <w:t> </w:t>
      </w:r>
      <w:r>
        <w:rPr/>
        <w:t>metodologicamente</w:t>
      </w:r>
      <w:r>
        <w:rPr>
          <w:spacing w:val="-6"/>
        </w:rPr>
        <w:t> </w:t>
      </w:r>
      <w:r>
        <w:rPr/>
        <w:t>bem</w:t>
      </w:r>
      <w:r>
        <w:rPr>
          <w:spacing w:val="-3"/>
        </w:rPr>
        <w:t> </w:t>
      </w:r>
      <w:r>
        <w:rPr/>
        <w:t>estruturada, aguardando</w:t>
      </w:r>
      <w:r>
        <w:rPr>
          <w:spacing w:val="-3"/>
        </w:rPr>
        <w:t> </w:t>
      </w:r>
      <w:r>
        <w:rPr/>
        <w:t>melhores investigações para</w:t>
      </w:r>
      <w:r>
        <w:rPr>
          <w:spacing w:val="-6"/>
        </w:rPr>
        <w:t> </w:t>
      </w:r>
      <w:r>
        <w:rPr/>
        <w:t>definir seu</w:t>
      </w:r>
      <w:r>
        <w:rPr>
          <w:spacing w:val="-3"/>
        </w:rPr>
        <w:t> </w:t>
      </w:r>
      <w:r>
        <w:rPr/>
        <w:t>papel</w:t>
      </w:r>
      <w:r>
        <w:rPr>
          <w:spacing w:val="-1"/>
        </w:rPr>
        <w:t> </w:t>
      </w:r>
      <w:r>
        <w:rPr/>
        <w:t>nas infecções do pé do diabético.</w:t>
      </w:r>
    </w:p>
    <w:p>
      <w:pPr>
        <w:pStyle w:val="BodyText"/>
        <w:spacing w:before="186"/>
        <w:ind w:left="0" w:firstLine="0"/>
        <w:jc w:val="left"/>
      </w:pPr>
    </w:p>
    <w:p>
      <w:pPr>
        <w:pStyle w:val="Heading4"/>
      </w:pPr>
      <w:r>
        <w:rPr>
          <w:color w:val="242B67"/>
          <w:spacing w:val="-2"/>
        </w:rPr>
        <w:t>Amputações</w:t>
      </w:r>
    </w:p>
    <w:p>
      <w:pPr>
        <w:pStyle w:val="BodyText"/>
        <w:spacing w:line="276" w:lineRule="auto" w:before="132"/>
        <w:ind w:right="487"/>
      </w:pPr>
      <w:r>
        <w:rPr/>
        <w:t>As amputações nos diabéticos devem</w:t>
      </w:r>
      <w:r>
        <w:rPr>
          <w:spacing w:val="-6"/>
        </w:rPr>
        <w:t> </w:t>
      </w:r>
      <w:r>
        <w:rPr/>
        <w:t>ser</w:t>
      </w:r>
      <w:r>
        <w:rPr>
          <w:spacing w:val="-1"/>
        </w:rPr>
        <w:t> </w:t>
      </w:r>
      <w:r>
        <w:rPr/>
        <w:t>o</w:t>
      </w:r>
      <w:r>
        <w:rPr>
          <w:spacing w:val="-6"/>
        </w:rPr>
        <w:t> </w:t>
      </w:r>
      <w:r>
        <w:rPr/>
        <w:t>mais conservadoras e</w:t>
      </w:r>
      <w:r>
        <w:rPr>
          <w:spacing w:val="-9"/>
        </w:rPr>
        <w:t> </w:t>
      </w:r>
      <w:r>
        <w:rPr/>
        <w:t>distais possível, respeitando-se</w:t>
      </w:r>
      <w:r>
        <w:rPr>
          <w:spacing w:val="-9"/>
        </w:rPr>
        <w:t> </w:t>
      </w:r>
      <w:r>
        <w:rPr/>
        <w:t>os limites para a boa cicatrização e utilização de próteses. Sempre que possível, deve-se tentar preservar o calcâneo e o joelho. A desarticulação do joelho e as amputações transfemorais apresentam altos índices de cicatrização, mas a autonomia funcional torna-se problemática. A amputação de Syme (tibiotársica) é recomendada quando se dispõe de dispositivos</w:t>
      </w:r>
      <w:r>
        <w:rPr>
          <w:spacing w:val="-3"/>
        </w:rPr>
        <w:t> </w:t>
      </w:r>
      <w:r>
        <w:rPr/>
        <w:t>ortopédicos</w:t>
      </w:r>
      <w:r>
        <w:rPr>
          <w:spacing w:val="-3"/>
        </w:rPr>
        <w:t> </w:t>
      </w:r>
      <w:r>
        <w:rPr/>
        <w:t>específicos</w:t>
      </w:r>
      <w:r>
        <w:rPr>
          <w:spacing w:val="-3"/>
        </w:rPr>
        <w:t> </w:t>
      </w:r>
      <w:r>
        <w:rPr/>
        <w:t>para</w:t>
      </w:r>
      <w:r>
        <w:rPr>
          <w:spacing w:val="-13"/>
        </w:rPr>
        <w:t> </w:t>
      </w:r>
      <w:r>
        <w:rPr/>
        <w:t>adaptação</w:t>
      </w:r>
      <w:r>
        <w:rPr>
          <w:spacing w:val="-10"/>
        </w:rPr>
        <w:t> </w:t>
      </w:r>
      <w:r>
        <w:rPr/>
        <w:t>da</w:t>
      </w:r>
      <w:r>
        <w:rPr>
          <w:spacing w:val="-13"/>
        </w:rPr>
        <w:t> </w:t>
      </w:r>
      <w:r>
        <w:rPr/>
        <w:t>prótese.</w:t>
      </w:r>
      <w:r>
        <w:rPr>
          <w:spacing w:val="-3"/>
        </w:rPr>
        <w:t> </w:t>
      </w:r>
      <w:r>
        <w:rPr/>
        <w:t>Por</w:t>
      </w:r>
      <w:r>
        <w:rPr>
          <w:spacing w:val="-6"/>
        </w:rPr>
        <w:t> </w:t>
      </w:r>
      <w:r>
        <w:rPr/>
        <w:t>vezes,</w:t>
      </w:r>
      <w:r>
        <w:rPr>
          <w:spacing w:val="-3"/>
        </w:rPr>
        <w:t> </w:t>
      </w:r>
      <w:r>
        <w:rPr/>
        <w:t>é</w:t>
      </w:r>
      <w:r>
        <w:rPr>
          <w:spacing w:val="-13"/>
        </w:rPr>
        <w:t> </w:t>
      </w:r>
      <w:r>
        <w:rPr/>
        <w:t>preferível</w:t>
      </w:r>
      <w:r>
        <w:rPr>
          <w:spacing w:val="-8"/>
        </w:rPr>
        <w:t> </w:t>
      </w:r>
      <w:r>
        <w:rPr/>
        <w:t>proceder,</w:t>
      </w:r>
      <w:r>
        <w:rPr>
          <w:spacing w:val="-3"/>
        </w:rPr>
        <w:t> </w:t>
      </w:r>
      <w:r>
        <w:rPr/>
        <w:t>inicialmente,</w:t>
      </w:r>
      <w:r>
        <w:rPr>
          <w:spacing w:val="-3"/>
        </w:rPr>
        <w:t> </w:t>
      </w:r>
      <w:r>
        <w:rPr/>
        <w:t>a</w:t>
      </w:r>
      <w:r>
        <w:rPr>
          <w:spacing w:val="-13"/>
        </w:rPr>
        <w:t> </w:t>
      </w:r>
      <w:r>
        <w:rPr/>
        <w:t>uma amputação em guilhotina para definir melhor, em um segundo tempo, o nível mais adequado da amputação </w:t>
      </w:r>
      <w:r>
        <w:rPr>
          <w:spacing w:val="-2"/>
        </w:rPr>
        <w:t>definitiva.</w:t>
      </w:r>
    </w:p>
    <w:p>
      <w:pPr>
        <w:pStyle w:val="BodyText"/>
        <w:spacing w:before="186"/>
        <w:ind w:left="0" w:firstLine="0"/>
        <w:jc w:val="left"/>
      </w:pPr>
    </w:p>
    <w:p>
      <w:pPr>
        <w:spacing w:before="0"/>
        <w:ind w:left="68" w:right="0" w:firstLine="0"/>
        <w:jc w:val="left"/>
        <w:rPr>
          <w:rFonts w:ascii="Arial" w:hAnsi="Arial"/>
          <w:b/>
          <w:sz w:val="33"/>
        </w:rPr>
      </w:pPr>
      <w:r>
        <w:rPr>
          <w:rFonts w:ascii="Arial" w:hAnsi="Arial"/>
          <w:b/>
          <w:color w:val="242B67"/>
          <w:sz w:val="33"/>
        </w:rPr>
        <w:t>Educação do paciente | </w:t>
      </w:r>
      <w:r>
        <w:rPr>
          <w:rFonts w:ascii="Arial" w:hAnsi="Arial"/>
          <w:b/>
          <w:color w:val="242B67"/>
          <w:spacing w:val="-2"/>
          <w:sz w:val="33"/>
        </w:rPr>
        <w:t>Prevenção</w:t>
      </w:r>
    </w:p>
    <w:p>
      <w:pPr>
        <w:pStyle w:val="BodyText"/>
        <w:spacing w:line="278" w:lineRule="auto" w:before="148"/>
        <w:ind w:right="491"/>
      </w:pPr>
      <w:r>
        <w:rPr/>
        <w:t>As medidas preventivas incluem</w:t>
      </w:r>
      <w:r>
        <w:rPr>
          <w:spacing w:val="-2"/>
        </w:rPr>
        <w:t> </w:t>
      </w:r>
      <w:r>
        <w:rPr/>
        <w:t>avaliação</w:t>
      </w:r>
      <w:r>
        <w:rPr>
          <w:spacing w:val="-2"/>
        </w:rPr>
        <w:t> </w:t>
      </w:r>
      <w:r>
        <w:rPr/>
        <w:t>médica</w:t>
      </w:r>
      <w:r>
        <w:rPr>
          <w:spacing w:val="-4"/>
        </w:rPr>
        <w:t> </w:t>
      </w:r>
      <w:r>
        <w:rPr/>
        <w:t>do</w:t>
      </w:r>
      <w:r>
        <w:rPr>
          <w:spacing w:val="-2"/>
        </w:rPr>
        <w:t> </w:t>
      </w:r>
      <w:r>
        <w:rPr/>
        <w:t>pé</w:t>
      </w:r>
      <w:r>
        <w:rPr>
          <w:spacing w:val="-4"/>
        </w:rPr>
        <w:t> </w:t>
      </w:r>
      <w:r>
        <w:rPr/>
        <w:t>pelo</w:t>
      </w:r>
      <w:r>
        <w:rPr>
          <w:spacing w:val="-2"/>
        </w:rPr>
        <w:t> </w:t>
      </w:r>
      <w:r>
        <w:rPr/>
        <w:t>menos uma</w:t>
      </w:r>
      <w:r>
        <w:rPr>
          <w:spacing w:val="-4"/>
        </w:rPr>
        <w:t> </w:t>
      </w:r>
      <w:r>
        <w:rPr/>
        <w:t>vez</w:t>
      </w:r>
      <w:r>
        <w:rPr>
          <w:spacing w:val="-4"/>
        </w:rPr>
        <w:t> </w:t>
      </w:r>
      <w:r>
        <w:rPr/>
        <w:t>a</w:t>
      </w:r>
      <w:r>
        <w:rPr>
          <w:spacing w:val="-4"/>
        </w:rPr>
        <w:t> </w:t>
      </w:r>
      <w:r>
        <w:rPr/>
        <w:t>cada</w:t>
      </w:r>
      <w:r>
        <w:rPr>
          <w:spacing w:val="-4"/>
        </w:rPr>
        <w:t> </w:t>
      </w:r>
      <w:r>
        <w:rPr/>
        <w:t>6</w:t>
      </w:r>
      <w:r>
        <w:rPr>
          <w:spacing w:val="-2"/>
        </w:rPr>
        <w:t> </w:t>
      </w:r>
      <w:r>
        <w:rPr/>
        <w:t>meses. O</w:t>
      </w:r>
      <w:r>
        <w:rPr>
          <w:spacing w:val="-4"/>
        </w:rPr>
        <w:t> </w:t>
      </w:r>
      <w:r>
        <w:rPr/>
        <w:t>exame</w:t>
      </w:r>
      <w:r>
        <w:rPr>
          <w:spacing w:val="-4"/>
        </w:rPr>
        <w:t> </w:t>
      </w:r>
      <w:r>
        <w:rPr/>
        <w:t>médico mínimo do pé deve constar de: avaliação da integridade da pele, da estrutura do pé, da sensibilidade e do estado vascular. É importante uma cobertura multidisciplinar com endocrinologista, ortopedista, cirurgião vascular, enfermagem</w:t>
      </w:r>
      <w:r>
        <w:rPr>
          <w:spacing w:val="-4"/>
        </w:rPr>
        <w:t> </w:t>
      </w:r>
      <w:r>
        <w:rPr/>
        <w:t>treinada, infectologista, cirurgião</w:t>
      </w:r>
      <w:r>
        <w:rPr>
          <w:spacing w:val="-4"/>
        </w:rPr>
        <w:t> </w:t>
      </w:r>
      <w:r>
        <w:rPr/>
        <w:t>plástico, fisioterapeutas, podólogos, podiatras, fisiatras e</w:t>
      </w:r>
      <w:r>
        <w:rPr>
          <w:spacing w:val="-6"/>
        </w:rPr>
        <w:t> </w:t>
      </w:r>
      <w:r>
        <w:rPr/>
        <w:t>clínicos. O paciente deve ser instruído sobre a importância das medidas preventivas e como manter um bom controle da glicemia regularmente e também dos outros fatores de risco (hipertensão arterial, dislipidemias, tabagismo etc.). Programas educativos reduzem</w:t>
      </w:r>
      <w:r>
        <w:rPr>
          <w:spacing w:val="-2"/>
        </w:rPr>
        <w:t> </w:t>
      </w:r>
      <w:r>
        <w:rPr/>
        <w:t>os índices de</w:t>
      </w:r>
      <w:r>
        <w:rPr>
          <w:spacing w:val="-5"/>
        </w:rPr>
        <w:t> </w:t>
      </w:r>
      <w:r>
        <w:rPr/>
        <w:t>amputação</w:t>
      </w:r>
      <w:r>
        <w:rPr>
          <w:spacing w:val="-2"/>
        </w:rPr>
        <w:t> </w:t>
      </w:r>
      <w:r>
        <w:rPr/>
        <w:t>em</w:t>
      </w:r>
      <w:r>
        <w:rPr>
          <w:spacing w:val="-2"/>
        </w:rPr>
        <w:t> </w:t>
      </w:r>
      <w:r>
        <w:rPr/>
        <w:t>até</w:t>
      </w:r>
      <w:r>
        <w:rPr>
          <w:spacing w:val="-5"/>
        </w:rPr>
        <w:t> </w:t>
      </w:r>
      <w:r>
        <w:rPr/>
        <w:t>40%</w:t>
      </w:r>
      <w:r>
        <w:rPr>
          <w:vertAlign w:val="superscript"/>
        </w:rPr>
        <w:t>19</w:t>
      </w:r>
      <w:r>
        <w:rPr>
          <w:vertAlign w:val="baseline"/>
        </w:rPr>
        <w:t> e</w:t>
      </w:r>
      <w:r>
        <w:rPr>
          <w:spacing w:val="-5"/>
          <w:vertAlign w:val="baseline"/>
        </w:rPr>
        <w:t> </w:t>
      </w:r>
      <w:r>
        <w:rPr>
          <w:vertAlign w:val="baseline"/>
        </w:rPr>
        <w:t>consistem</w:t>
      </w:r>
      <w:r>
        <w:rPr>
          <w:spacing w:val="-2"/>
          <w:vertAlign w:val="baseline"/>
        </w:rPr>
        <w:t> </w:t>
      </w:r>
      <w:r>
        <w:rPr>
          <w:vertAlign w:val="baseline"/>
        </w:rPr>
        <w:t>em</w:t>
      </w:r>
      <w:r>
        <w:rPr>
          <w:spacing w:val="-2"/>
          <w:vertAlign w:val="baseline"/>
        </w:rPr>
        <w:t> </w:t>
      </w:r>
      <w:r>
        <w:rPr>
          <w:vertAlign w:val="baseline"/>
        </w:rPr>
        <w:t>orientar os diabéticos para:</w:t>
      </w:r>
    </w:p>
    <w:p>
      <w:pPr>
        <w:pStyle w:val="ListParagraph"/>
        <w:numPr>
          <w:ilvl w:val="0"/>
          <w:numId w:val="38"/>
        </w:numPr>
        <w:tabs>
          <w:tab w:pos="430" w:val="left" w:leader="none"/>
        </w:tabs>
        <w:spacing w:line="276" w:lineRule="auto" w:before="158" w:after="0"/>
        <w:ind w:left="68" w:right="489" w:firstLine="0"/>
        <w:jc w:val="both"/>
        <w:rPr>
          <w:sz w:val="23"/>
        </w:rPr>
      </w:pPr>
      <w:r>
        <w:rPr>
          <w:sz w:val="23"/>
        </w:rPr>
        <w:t>Examinar periodicamente seus pés, principalmente a superfície plantar e interdigitais, procurando fissuras e sinais de infecções. Examinar o calcanhar com espelho ou por um parente em caso de paciente com deficiência </w:t>
      </w:r>
      <w:r>
        <w:rPr>
          <w:spacing w:val="-2"/>
          <w:sz w:val="23"/>
        </w:rPr>
        <w:t>visual</w:t>
      </w:r>
    </w:p>
    <w:p>
      <w:pPr>
        <w:pStyle w:val="ListParagraph"/>
        <w:numPr>
          <w:ilvl w:val="0"/>
          <w:numId w:val="38"/>
        </w:numPr>
        <w:tabs>
          <w:tab w:pos="395" w:val="left" w:leader="none"/>
        </w:tabs>
        <w:spacing w:line="240" w:lineRule="auto" w:before="17" w:after="0"/>
        <w:ind w:left="395" w:right="0" w:hanging="327"/>
        <w:jc w:val="both"/>
        <w:rPr>
          <w:sz w:val="23"/>
        </w:rPr>
      </w:pPr>
      <w:r>
        <w:rPr>
          <w:spacing w:val="-2"/>
          <w:sz w:val="23"/>
        </w:rPr>
        <w:t>Nunca</w:t>
      </w:r>
      <w:r>
        <w:rPr>
          <w:spacing w:val="-12"/>
          <w:sz w:val="23"/>
        </w:rPr>
        <w:t> </w:t>
      </w:r>
      <w:r>
        <w:rPr>
          <w:spacing w:val="-2"/>
          <w:sz w:val="23"/>
        </w:rPr>
        <w:t>andar</w:t>
      </w:r>
      <w:r>
        <w:rPr>
          <w:spacing w:val="-3"/>
          <w:sz w:val="23"/>
        </w:rPr>
        <w:t> </w:t>
      </w:r>
      <w:r>
        <w:rPr>
          <w:spacing w:val="-2"/>
          <w:sz w:val="23"/>
        </w:rPr>
        <w:t>descalço</w:t>
      </w:r>
    </w:p>
    <w:p>
      <w:pPr>
        <w:pStyle w:val="ListParagraph"/>
        <w:numPr>
          <w:ilvl w:val="0"/>
          <w:numId w:val="38"/>
        </w:numPr>
        <w:tabs>
          <w:tab w:pos="395" w:val="left" w:leader="none"/>
        </w:tabs>
        <w:spacing w:line="240" w:lineRule="auto" w:before="56" w:after="0"/>
        <w:ind w:left="395" w:right="0" w:hanging="327"/>
        <w:jc w:val="both"/>
        <w:rPr>
          <w:sz w:val="23"/>
        </w:rPr>
      </w:pPr>
      <w:r>
        <w:rPr>
          <w:sz w:val="23"/>
        </w:rPr>
        <w:t>Nunca</w:t>
      </w:r>
      <w:r>
        <w:rPr>
          <w:spacing w:val="-14"/>
          <w:sz w:val="23"/>
        </w:rPr>
        <w:t> </w:t>
      </w:r>
      <w:r>
        <w:rPr>
          <w:sz w:val="23"/>
        </w:rPr>
        <w:t>utilizar</w:t>
      </w:r>
      <w:r>
        <w:rPr>
          <w:spacing w:val="-6"/>
          <w:sz w:val="23"/>
        </w:rPr>
        <w:t> </w:t>
      </w:r>
      <w:r>
        <w:rPr>
          <w:sz w:val="23"/>
        </w:rPr>
        <w:t>calor</w:t>
      </w:r>
      <w:r>
        <w:rPr>
          <w:spacing w:val="-7"/>
          <w:sz w:val="23"/>
        </w:rPr>
        <w:t> </w:t>
      </w:r>
      <w:r>
        <w:rPr>
          <w:sz w:val="23"/>
        </w:rPr>
        <w:t>local</w:t>
      </w:r>
      <w:r>
        <w:rPr>
          <w:spacing w:val="-8"/>
          <w:sz w:val="23"/>
        </w:rPr>
        <w:t> </w:t>
      </w:r>
      <w:r>
        <w:rPr>
          <w:sz w:val="23"/>
        </w:rPr>
        <w:t>ou</w:t>
      </w:r>
      <w:r>
        <w:rPr>
          <w:spacing w:val="-11"/>
          <w:sz w:val="23"/>
        </w:rPr>
        <w:t> </w:t>
      </w:r>
      <w:r>
        <w:rPr>
          <w:sz w:val="23"/>
        </w:rPr>
        <w:t>água</w:t>
      </w:r>
      <w:r>
        <w:rPr>
          <w:spacing w:val="-13"/>
          <w:sz w:val="23"/>
        </w:rPr>
        <w:t> </w:t>
      </w:r>
      <w:r>
        <w:rPr>
          <w:sz w:val="23"/>
        </w:rPr>
        <w:t>quente</w:t>
      </w:r>
      <w:r>
        <w:rPr>
          <w:spacing w:val="-14"/>
          <w:sz w:val="23"/>
        </w:rPr>
        <w:t> </w:t>
      </w:r>
      <w:r>
        <w:rPr>
          <w:sz w:val="23"/>
        </w:rPr>
        <w:t>para</w:t>
      </w:r>
      <w:r>
        <w:rPr>
          <w:spacing w:val="-13"/>
          <w:sz w:val="23"/>
        </w:rPr>
        <w:t> </w:t>
      </w:r>
      <w:r>
        <w:rPr>
          <w:sz w:val="23"/>
        </w:rPr>
        <w:t>lavar</w:t>
      </w:r>
      <w:r>
        <w:rPr>
          <w:spacing w:val="-6"/>
          <w:sz w:val="23"/>
        </w:rPr>
        <w:t> </w:t>
      </w:r>
      <w:r>
        <w:rPr>
          <w:sz w:val="23"/>
        </w:rPr>
        <w:t>os</w:t>
      </w:r>
      <w:r>
        <w:rPr>
          <w:spacing w:val="-4"/>
          <w:sz w:val="23"/>
        </w:rPr>
        <w:t> </w:t>
      </w:r>
      <w:r>
        <w:rPr>
          <w:spacing w:val="-5"/>
          <w:sz w:val="23"/>
        </w:rPr>
        <w:t>pés</w:t>
      </w:r>
    </w:p>
    <w:p>
      <w:pPr>
        <w:pStyle w:val="ListParagraph"/>
        <w:numPr>
          <w:ilvl w:val="0"/>
          <w:numId w:val="38"/>
        </w:numPr>
        <w:tabs>
          <w:tab w:pos="446" w:val="left" w:leader="none"/>
        </w:tabs>
        <w:spacing w:line="276" w:lineRule="auto" w:before="72" w:after="0"/>
        <w:ind w:left="68" w:right="492" w:firstLine="0"/>
        <w:jc w:val="both"/>
        <w:rPr>
          <w:sz w:val="23"/>
        </w:rPr>
      </w:pPr>
      <w:r>
        <w:rPr>
          <w:sz w:val="23"/>
        </w:rPr>
        <w:t>Observar higiene rigorosa dos pés, secando bem os espaços interdigitais para evitar micoses. Usar loção hidratante para evitar fissuras e diminuir o prurido na pele ressecada</w:t>
      </w:r>
    </w:p>
    <w:p>
      <w:pPr>
        <w:pStyle w:val="ListParagraph"/>
        <w:numPr>
          <w:ilvl w:val="0"/>
          <w:numId w:val="38"/>
        </w:numPr>
        <w:tabs>
          <w:tab w:pos="395" w:val="left" w:leader="none"/>
        </w:tabs>
        <w:spacing w:line="240" w:lineRule="auto" w:before="16" w:after="0"/>
        <w:ind w:left="395" w:right="0" w:hanging="327"/>
        <w:jc w:val="both"/>
        <w:rPr>
          <w:sz w:val="23"/>
        </w:rPr>
      </w:pPr>
      <w:r>
        <w:rPr>
          <w:sz w:val="23"/>
        </w:rPr>
        <w:t>Cortar</w:t>
      </w:r>
      <w:r>
        <w:rPr>
          <w:spacing w:val="-6"/>
          <w:sz w:val="23"/>
        </w:rPr>
        <w:t> </w:t>
      </w:r>
      <w:r>
        <w:rPr>
          <w:sz w:val="23"/>
        </w:rPr>
        <w:t>as unhas</w:t>
      </w:r>
      <w:r>
        <w:rPr>
          <w:spacing w:val="-1"/>
          <w:sz w:val="23"/>
        </w:rPr>
        <w:t> </w:t>
      </w:r>
      <w:r>
        <w:rPr>
          <w:sz w:val="23"/>
        </w:rPr>
        <w:t>no</w:t>
      </w:r>
      <w:r>
        <w:rPr>
          <w:spacing w:val="-8"/>
          <w:sz w:val="23"/>
        </w:rPr>
        <w:t> </w:t>
      </w:r>
      <w:r>
        <w:rPr>
          <w:sz w:val="23"/>
        </w:rPr>
        <w:t>contorno</w:t>
      </w:r>
      <w:r>
        <w:rPr>
          <w:spacing w:val="-8"/>
          <w:sz w:val="23"/>
        </w:rPr>
        <w:t> </w:t>
      </w:r>
      <w:r>
        <w:rPr>
          <w:sz w:val="23"/>
        </w:rPr>
        <w:t>dos</w:t>
      </w:r>
      <w:r>
        <w:rPr>
          <w:spacing w:val="-1"/>
          <w:sz w:val="23"/>
        </w:rPr>
        <w:t> </w:t>
      </w:r>
      <w:r>
        <w:rPr>
          <w:sz w:val="23"/>
        </w:rPr>
        <w:t>dedos</w:t>
      </w:r>
      <w:r>
        <w:rPr>
          <w:spacing w:val="-1"/>
          <w:sz w:val="23"/>
        </w:rPr>
        <w:t> </w:t>
      </w:r>
      <w:r>
        <w:rPr>
          <w:sz w:val="23"/>
        </w:rPr>
        <w:t>(solicitar</w:t>
      </w:r>
      <w:r>
        <w:rPr>
          <w:spacing w:val="-3"/>
          <w:sz w:val="23"/>
        </w:rPr>
        <w:t> </w:t>
      </w:r>
      <w:r>
        <w:rPr>
          <w:sz w:val="23"/>
        </w:rPr>
        <w:t>ajuda</w:t>
      </w:r>
      <w:r>
        <w:rPr>
          <w:spacing w:val="-10"/>
          <w:sz w:val="23"/>
        </w:rPr>
        <w:t> </w:t>
      </w:r>
      <w:r>
        <w:rPr>
          <w:sz w:val="23"/>
        </w:rPr>
        <w:t>se</w:t>
      </w:r>
      <w:r>
        <w:rPr>
          <w:spacing w:val="-11"/>
          <w:sz w:val="23"/>
        </w:rPr>
        <w:t> </w:t>
      </w:r>
      <w:r>
        <w:rPr>
          <w:sz w:val="23"/>
        </w:rPr>
        <w:t>tiver</w:t>
      </w:r>
      <w:r>
        <w:rPr>
          <w:spacing w:val="-3"/>
          <w:sz w:val="23"/>
        </w:rPr>
        <w:t> </w:t>
      </w:r>
      <w:r>
        <w:rPr>
          <w:sz w:val="23"/>
        </w:rPr>
        <w:t>deficiência</w:t>
      </w:r>
      <w:r>
        <w:rPr>
          <w:spacing w:val="-10"/>
          <w:sz w:val="23"/>
        </w:rPr>
        <w:t> </w:t>
      </w:r>
      <w:r>
        <w:rPr>
          <w:spacing w:val="-2"/>
          <w:sz w:val="23"/>
        </w:rPr>
        <w:t>visual)</w:t>
      </w:r>
    </w:p>
    <w:p>
      <w:pPr>
        <w:pStyle w:val="ListParagraph"/>
        <w:numPr>
          <w:ilvl w:val="0"/>
          <w:numId w:val="38"/>
        </w:numPr>
        <w:tabs>
          <w:tab w:pos="399" w:val="left" w:leader="none"/>
        </w:tabs>
        <w:spacing w:line="276" w:lineRule="auto" w:before="72" w:after="0"/>
        <w:ind w:left="68" w:right="499" w:firstLine="0"/>
        <w:jc w:val="both"/>
        <w:rPr>
          <w:sz w:val="23"/>
        </w:rPr>
      </w:pPr>
      <w:r>
        <w:rPr>
          <w:sz w:val="23"/>
        </w:rPr>
        <w:t>Usar calçados e</w:t>
      </w:r>
      <w:r>
        <w:rPr>
          <w:spacing w:val="-7"/>
          <w:sz w:val="23"/>
        </w:rPr>
        <w:t> </w:t>
      </w:r>
      <w:r>
        <w:rPr>
          <w:sz w:val="23"/>
        </w:rPr>
        <w:t>palmilhas adequadas. Sempre</w:t>
      </w:r>
      <w:r>
        <w:rPr>
          <w:spacing w:val="-7"/>
          <w:sz w:val="23"/>
        </w:rPr>
        <w:t> </w:t>
      </w:r>
      <w:r>
        <w:rPr>
          <w:sz w:val="23"/>
        </w:rPr>
        <w:t>medir o</w:t>
      </w:r>
      <w:r>
        <w:rPr>
          <w:spacing w:val="-4"/>
          <w:sz w:val="23"/>
        </w:rPr>
        <w:t> </w:t>
      </w:r>
      <w:r>
        <w:rPr>
          <w:sz w:val="23"/>
        </w:rPr>
        <w:t>tamanho</w:t>
      </w:r>
      <w:r>
        <w:rPr>
          <w:spacing w:val="-4"/>
          <w:sz w:val="23"/>
        </w:rPr>
        <w:t> </w:t>
      </w:r>
      <w:r>
        <w:rPr>
          <w:sz w:val="23"/>
        </w:rPr>
        <w:t>do</w:t>
      </w:r>
      <w:r>
        <w:rPr>
          <w:spacing w:val="-4"/>
          <w:sz w:val="23"/>
        </w:rPr>
        <w:t> </w:t>
      </w:r>
      <w:r>
        <w:rPr>
          <w:sz w:val="23"/>
        </w:rPr>
        <w:t>pé</w:t>
      </w:r>
      <w:r>
        <w:rPr>
          <w:spacing w:val="-7"/>
          <w:sz w:val="23"/>
        </w:rPr>
        <w:t> </w:t>
      </w:r>
      <w:r>
        <w:rPr>
          <w:sz w:val="23"/>
        </w:rPr>
        <w:t>no</w:t>
      </w:r>
      <w:r>
        <w:rPr>
          <w:spacing w:val="-4"/>
          <w:sz w:val="23"/>
        </w:rPr>
        <w:t> </w:t>
      </w:r>
      <w:r>
        <w:rPr>
          <w:sz w:val="23"/>
        </w:rPr>
        <w:t>final</w:t>
      </w:r>
      <w:r>
        <w:rPr>
          <w:spacing w:val="-2"/>
          <w:sz w:val="23"/>
        </w:rPr>
        <w:t> </w:t>
      </w:r>
      <w:r>
        <w:rPr>
          <w:sz w:val="23"/>
        </w:rPr>
        <w:t>da</w:t>
      </w:r>
      <w:r>
        <w:rPr>
          <w:spacing w:val="-7"/>
          <w:sz w:val="23"/>
        </w:rPr>
        <w:t> </w:t>
      </w:r>
      <w:r>
        <w:rPr>
          <w:sz w:val="23"/>
        </w:rPr>
        <w:t>tarde</w:t>
      </w:r>
      <w:r>
        <w:rPr>
          <w:spacing w:val="-7"/>
          <w:sz w:val="23"/>
        </w:rPr>
        <w:t> </w:t>
      </w:r>
      <w:r>
        <w:rPr>
          <w:sz w:val="23"/>
        </w:rPr>
        <w:t>antes de</w:t>
      </w:r>
      <w:r>
        <w:rPr>
          <w:spacing w:val="-7"/>
          <w:sz w:val="23"/>
        </w:rPr>
        <w:t> </w:t>
      </w:r>
      <w:r>
        <w:rPr>
          <w:sz w:val="23"/>
        </w:rPr>
        <w:t>comprar um</w:t>
      </w:r>
      <w:r>
        <w:rPr>
          <w:spacing w:val="-4"/>
          <w:sz w:val="23"/>
        </w:rPr>
        <w:t> </w:t>
      </w:r>
      <w:r>
        <w:rPr>
          <w:sz w:val="23"/>
        </w:rPr>
        <w:t>par novo. Se tiver teste de sensibilidade alterado, deve-se indicar a confecção de calçados com acolchoamento específico baseado nos pontos de hiperpressão</w:t>
      </w:r>
    </w:p>
    <w:p>
      <w:pPr>
        <w:pStyle w:val="ListParagraph"/>
        <w:numPr>
          <w:ilvl w:val="0"/>
          <w:numId w:val="38"/>
        </w:numPr>
        <w:tabs>
          <w:tab w:pos="397" w:val="left" w:leader="none"/>
        </w:tabs>
        <w:spacing w:line="240" w:lineRule="auto" w:before="16" w:after="0"/>
        <w:ind w:left="397" w:right="0" w:hanging="329"/>
        <w:jc w:val="left"/>
        <w:rPr>
          <w:sz w:val="23"/>
        </w:rPr>
      </w:pPr>
      <w:r>
        <w:rPr>
          <w:sz w:val="23"/>
        </w:rPr>
        <w:t>Inspecionar</w:t>
      </w:r>
      <w:r>
        <w:rPr>
          <w:spacing w:val="-17"/>
          <w:sz w:val="23"/>
        </w:rPr>
        <w:t> </w:t>
      </w:r>
      <w:r>
        <w:rPr>
          <w:sz w:val="23"/>
        </w:rPr>
        <w:t>diariamente</w:t>
      </w:r>
      <w:r>
        <w:rPr>
          <w:spacing w:val="-14"/>
          <w:sz w:val="23"/>
        </w:rPr>
        <w:t> </w:t>
      </w:r>
      <w:r>
        <w:rPr>
          <w:sz w:val="23"/>
        </w:rPr>
        <w:t>os</w:t>
      </w:r>
      <w:r>
        <w:rPr>
          <w:spacing w:val="-7"/>
          <w:sz w:val="23"/>
        </w:rPr>
        <w:t> </w:t>
      </w:r>
      <w:r>
        <w:rPr>
          <w:sz w:val="23"/>
        </w:rPr>
        <w:t>calçados</w:t>
      </w:r>
      <w:r>
        <w:rPr>
          <w:spacing w:val="-6"/>
          <w:sz w:val="23"/>
        </w:rPr>
        <w:t> </w:t>
      </w:r>
      <w:r>
        <w:rPr>
          <w:sz w:val="23"/>
        </w:rPr>
        <w:t>para</w:t>
      </w:r>
      <w:r>
        <w:rPr>
          <w:spacing w:val="-15"/>
          <w:sz w:val="23"/>
        </w:rPr>
        <w:t> </w:t>
      </w:r>
      <w:r>
        <w:rPr>
          <w:sz w:val="23"/>
        </w:rPr>
        <w:t>verificar</w:t>
      </w:r>
      <w:r>
        <w:rPr>
          <w:spacing w:val="-9"/>
          <w:sz w:val="23"/>
        </w:rPr>
        <w:t> </w:t>
      </w:r>
      <w:r>
        <w:rPr>
          <w:sz w:val="23"/>
        </w:rPr>
        <w:t>a</w:t>
      </w:r>
      <w:r>
        <w:rPr>
          <w:spacing w:val="-14"/>
          <w:sz w:val="23"/>
        </w:rPr>
        <w:t> </w:t>
      </w:r>
      <w:r>
        <w:rPr>
          <w:sz w:val="23"/>
        </w:rPr>
        <w:t>presença</w:t>
      </w:r>
      <w:r>
        <w:rPr>
          <w:spacing w:val="-14"/>
          <w:sz w:val="23"/>
        </w:rPr>
        <w:t> </w:t>
      </w:r>
      <w:r>
        <w:rPr>
          <w:sz w:val="23"/>
        </w:rPr>
        <w:t>de</w:t>
      </w:r>
      <w:r>
        <w:rPr>
          <w:spacing w:val="-15"/>
          <w:sz w:val="23"/>
        </w:rPr>
        <w:t> </w:t>
      </w:r>
      <w:r>
        <w:rPr>
          <w:sz w:val="23"/>
        </w:rPr>
        <w:t>irregularidades</w:t>
      </w:r>
      <w:r>
        <w:rPr>
          <w:spacing w:val="-7"/>
          <w:sz w:val="23"/>
        </w:rPr>
        <w:t> </w:t>
      </w:r>
      <w:r>
        <w:rPr>
          <w:sz w:val="23"/>
        </w:rPr>
        <w:t>ou</w:t>
      </w:r>
      <w:r>
        <w:rPr>
          <w:spacing w:val="-13"/>
          <w:sz w:val="23"/>
        </w:rPr>
        <w:t> </w:t>
      </w:r>
      <w:r>
        <w:rPr>
          <w:sz w:val="23"/>
        </w:rPr>
        <w:t>corpos</w:t>
      </w:r>
      <w:r>
        <w:rPr>
          <w:spacing w:val="-6"/>
          <w:sz w:val="23"/>
        </w:rPr>
        <w:t> </w:t>
      </w:r>
      <w:r>
        <w:rPr>
          <w:spacing w:val="-2"/>
          <w:sz w:val="23"/>
        </w:rPr>
        <w:t>estranhos</w:t>
      </w:r>
    </w:p>
    <w:p>
      <w:pPr>
        <w:pStyle w:val="ListParagraph"/>
        <w:numPr>
          <w:ilvl w:val="0"/>
          <w:numId w:val="38"/>
        </w:numPr>
        <w:tabs>
          <w:tab w:pos="397" w:val="left" w:leader="none"/>
        </w:tabs>
        <w:spacing w:line="240" w:lineRule="auto" w:before="72" w:after="0"/>
        <w:ind w:left="397" w:right="0" w:hanging="329"/>
        <w:jc w:val="left"/>
        <w:rPr>
          <w:sz w:val="23"/>
        </w:rPr>
      </w:pPr>
      <w:r>
        <w:rPr>
          <w:sz w:val="23"/>
        </w:rPr>
        <w:t>Evitar</w:t>
      </w:r>
      <w:r>
        <w:rPr>
          <w:spacing w:val="3"/>
          <w:sz w:val="23"/>
        </w:rPr>
        <w:t> </w:t>
      </w:r>
      <w:r>
        <w:rPr>
          <w:sz w:val="23"/>
        </w:rPr>
        <w:t>o</w:t>
      </w:r>
      <w:r>
        <w:rPr>
          <w:spacing w:val="-3"/>
          <w:sz w:val="23"/>
        </w:rPr>
        <w:t> </w:t>
      </w:r>
      <w:r>
        <w:rPr>
          <w:sz w:val="23"/>
        </w:rPr>
        <w:t>uso</w:t>
      </w:r>
      <w:r>
        <w:rPr>
          <w:spacing w:val="-2"/>
          <w:sz w:val="23"/>
        </w:rPr>
        <w:t> </w:t>
      </w:r>
      <w:r>
        <w:rPr>
          <w:sz w:val="23"/>
        </w:rPr>
        <w:t>de</w:t>
      </w:r>
      <w:r>
        <w:rPr>
          <w:spacing w:val="-5"/>
          <w:sz w:val="23"/>
        </w:rPr>
        <w:t> </w:t>
      </w:r>
      <w:r>
        <w:rPr>
          <w:sz w:val="23"/>
        </w:rPr>
        <w:t>meias</w:t>
      </w:r>
      <w:r>
        <w:rPr>
          <w:spacing w:val="6"/>
          <w:sz w:val="23"/>
        </w:rPr>
        <w:t> </w:t>
      </w:r>
      <w:r>
        <w:rPr>
          <w:spacing w:val="-2"/>
          <w:sz w:val="23"/>
        </w:rPr>
        <w:t>remendadas</w:t>
      </w:r>
    </w:p>
    <w:p>
      <w:pPr>
        <w:pStyle w:val="ListParagraph"/>
        <w:numPr>
          <w:ilvl w:val="0"/>
          <w:numId w:val="38"/>
        </w:numPr>
        <w:tabs>
          <w:tab w:pos="397" w:val="left" w:leader="none"/>
        </w:tabs>
        <w:spacing w:line="240" w:lineRule="auto" w:before="56" w:after="0"/>
        <w:ind w:left="397" w:right="0" w:hanging="329"/>
        <w:jc w:val="left"/>
        <w:rPr>
          <w:sz w:val="23"/>
        </w:rPr>
      </w:pPr>
      <w:r>
        <w:rPr>
          <w:sz w:val="23"/>
        </w:rPr>
        <w:t>Fazer</w:t>
      </w:r>
      <w:r>
        <w:rPr>
          <w:spacing w:val="-7"/>
          <w:sz w:val="23"/>
        </w:rPr>
        <w:t> </w:t>
      </w:r>
      <w:r>
        <w:rPr>
          <w:sz w:val="23"/>
        </w:rPr>
        <w:t>avaliação</w:t>
      </w:r>
      <w:r>
        <w:rPr>
          <w:spacing w:val="-11"/>
          <w:sz w:val="23"/>
        </w:rPr>
        <w:t> </w:t>
      </w:r>
      <w:r>
        <w:rPr>
          <w:sz w:val="23"/>
        </w:rPr>
        <w:t>médica</w:t>
      </w:r>
      <w:r>
        <w:rPr>
          <w:spacing w:val="-14"/>
          <w:sz w:val="23"/>
        </w:rPr>
        <w:t> </w:t>
      </w:r>
      <w:r>
        <w:rPr>
          <w:sz w:val="23"/>
        </w:rPr>
        <w:t>do</w:t>
      </w:r>
      <w:r>
        <w:rPr>
          <w:spacing w:val="-11"/>
          <w:sz w:val="23"/>
        </w:rPr>
        <w:t> </w:t>
      </w:r>
      <w:r>
        <w:rPr>
          <w:sz w:val="23"/>
        </w:rPr>
        <w:t>pé,</w:t>
      </w:r>
      <w:r>
        <w:rPr>
          <w:spacing w:val="-4"/>
          <w:sz w:val="23"/>
        </w:rPr>
        <w:t> </w:t>
      </w:r>
      <w:r>
        <w:rPr>
          <w:sz w:val="23"/>
        </w:rPr>
        <w:t>pelo</w:t>
      </w:r>
      <w:r>
        <w:rPr>
          <w:spacing w:val="-11"/>
          <w:sz w:val="23"/>
        </w:rPr>
        <w:t> </w:t>
      </w:r>
      <w:r>
        <w:rPr>
          <w:sz w:val="23"/>
        </w:rPr>
        <w:t>menos</w:t>
      </w:r>
      <w:r>
        <w:rPr>
          <w:spacing w:val="-4"/>
          <w:sz w:val="23"/>
        </w:rPr>
        <w:t> </w:t>
      </w:r>
      <w:r>
        <w:rPr>
          <w:sz w:val="23"/>
        </w:rPr>
        <w:t>a</w:t>
      </w:r>
      <w:r>
        <w:rPr>
          <w:spacing w:val="-14"/>
          <w:sz w:val="23"/>
        </w:rPr>
        <w:t> </w:t>
      </w:r>
      <w:r>
        <w:rPr>
          <w:sz w:val="23"/>
        </w:rPr>
        <w:t>cada</w:t>
      </w:r>
      <w:r>
        <w:rPr>
          <w:spacing w:val="-13"/>
          <w:sz w:val="23"/>
        </w:rPr>
        <w:t> </w:t>
      </w:r>
      <w:r>
        <w:rPr>
          <w:sz w:val="23"/>
        </w:rPr>
        <w:t>6</w:t>
      </w:r>
      <w:r>
        <w:rPr>
          <w:spacing w:val="-11"/>
          <w:sz w:val="23"/>
        </w:rPr>
        <w:t> </w:t>
      </w:r>
      <w:r>
        <w:rPr>
          <w:spacing w:val="-2"/>
          <w:sz w:val="23"/>
        </w:rPr>
        <w:t>meses</w:t>
      </w:r>
    </w:p>
    <w:p>
      <w:pPr>
        <w:pStyle w:val="ListParagraph"/>
        <w:numPr>
          <w:ilvl w:val="0"/>
          <w:numId w:val="38"/>
        </w:numPr>
        <w:tabs>
          <w:tab w:pos="397" w:val="left" w:leader="none"/>
        </w:tabs>
        <w:spacing w:line="240" w:lineRule="auto" w:before="72" w:after="0"/>
        <w:ind w:left="397" w:right="0" w:hanging="329"/>
        <w:jc w:val="left"/>
        <w:rPr>
          <w:sz w:val="23"/>
        </w:rPr>
      </w:pPr>
      <w:r>
        <w:rPr>
          <w:sz w:val="23"/>
        </w:rPr>
        <w:t>Procurar</w:t>
      </w:r>
      <w:r>
        <w:rPr>
          <w:spacing w:val="-1"/>
          <w:sz w:val="23"/>
        </w:rPr>
        <w:t> </w:t>
      </w:r>
      <w:r>
        <w:rPr>
          <w:sz w:val="23"/>
        </w:rPr>
        <w:t>um</w:t>
      </w:r>
      <w:r>
        <w:rPr>
          <w:spacing w:val="-4"/>
          <w:sz w:val="23"/>
        </w:rPr>
        <w:t> </w:t>
      </w:r>
      <w:r>
        <w:rPr>
          <w:sz w:val="23"/>
        </w:rPr>
        <w:t>profissional</w:t>
      </w:r>
      <w:r>
        <w:rPr>
          <w:spacing w:val="-2"/>
          <w:sz w:val="23"/>
        </w:rPr>
        <w:t> </w:t>
      </w:r>
      <w:r>
        <w:rPr>
          <w:sz w:val="23"/>
        </w:rPr>
        <w:t>habilitado</w:t>
      </w:r>
      <w:r>
        <w:rPr>
          <w:spacing w:val="-4"/>
          <w:sz w:val="23"/>
        </w:rPr>
        <w:t> </w:t>
      </w:r>
      <w:r>
        <w:rPr>
          <w:sz w:val="23"/>
        </w:rPr>
        <w:t>para</w:t>
      </w:r>
      <w:r>
        <w:rPr>
          <w:spacing w:val="-7"/>
          <w:sz w:val="23"/>
        </w:rPr>
        <w:t> </w:t>
      </w:r>
      <w:r>
        <w:rPr>
          <w:sz w:val="23"/>
        </w:rPr>
        <w:t>tratar</w:t>
      </w:r>
      <w:r>
        <w:rPr>
          <w:spacing w:val="2"/>
          <w:sz w:val="23"/>
        </w:rPr>
        <w:t> </w:t>
      </w:r>
      <w:r>
        <w:rPr>
          <w:sz w:val="23"/>
        </w:rPr>
        <w:t>os</w:t>
      </w:r>
      <w:r>
        <w:rPr>
          <w:spacing w:val="3"/>
          <w:sz w:val="23"/>
        </w:rPr>
        <w:t> </w:t>
      </w:r>
      <w:r>
        <w:rPr>
          <w:sz w:val="23"/>
        </w:rPr>
        <w:t>calos,</w:t>
      </w:r>
      <w:r>
        <w:rPr>
          <w:spacing w:val="4"/>
          <w:sz w:val="23"/>
        </w:rPr>
        <w:t> </w:t>
      </w:r>
      <w:r>
        <w:rPr>
          <w:sz w:val="23"/>
        </w:rPr>
        <w:t>fissuras</w:t>
      </w:r>
      <w:r>
        <w:rPr>
          <w:spacing w:val="4"/>
          <w:sz w:val="23"/>
        </w:rPr>
        <w:t> </w:t>
      </w:r>
      <w:r>
        <w:rPr>
          <w:sz w:val="23"/>
        </w:rPr>
        <w:t>e</w:t>
      </w:r>
      <w:r>
        <w:rPr>
          <w:spacing w:val="-6"/>
          <w:sz w:val="23"/>
        </w:rPr>
        <w:t> </w:t>
      </w:r>
      <w:r>
        <w:rPr>
          <w:sz w:val="23"/>
        </w:rPr>
        <w:t>unhas</w:t>
      </w:r>
      <w:r>
        <w:rPr>
          <w:spacing w:val="3"/>
          <w:sz w:val="23"/>
        </w:rPr>
        <w:t> </w:t>
      </w:r>
      <w:r>
        <w:rPr>
          <w:sz w:val="23"/>
        </w:rPr>
        <w:t>grossas</w:t>
      </w:r>
      <w:r>
        <w:rPr>
          <w:spacing w:val="4"/>
          <w:sz w:val="23"/>
        </w:rPr>
        <w:t> </w:t>
      </w:r>
      <w:r>
        <w:rPr>
          <w:sz w:val="23"/>
        </w:rPr>
        <w:t>e</w:t>
      </w:r>
      <w:r>
        <w:rPr>
          <w:spacing w:val="-6"/>
          <w:sz w:val="23"/>
        </w:rPr>
        <w:t> </w:t>
      </w:r>
      <w:r>
        <w:rPr>
          <w:spacing w:val="-2"/>
          <w:sz w:val="23"/>
        </w:rPr>
        <w:t>descoloridas</w:t>
      </w:r>
    </w:p>
    <w:p>
      <w:pPr>
        <w:pStyle w:val="ListParagraph"/>
        <w:numPr>
          <w:ilvl w:val="0"/>
          <w:numId w:val="38"/>
        </w:numPr>
        <w:tabs>
          <w:tab w:pos="397" w:val="left" w:leader="none"/>
        </w:tabs>
        <w:spacing w:line="240" w:lineRule="auto" w:before="56" w:after="0"/>
        <w:ind w:left="397" w:right="0" w:hanging="329"/>
        <w:jc w:val="left"/>
        <w:rPr>
          <w:sz w:val="23"/>
        </w:rPr>
      </w:pPr>
      <w:r>
        <w:rPr>
          <w:sz w:val="23"/>
        </w:rPr>
        <w:t>Procurar</w:t>
      </w:r>
      <w:r>
        <w:rPr>
          <w:spacing w:val="-8"/>
          <w:sz w:val="23"/>
        </w:rPr>
        <w:t> </w:t>
      </w:r>
      <w:r>
        <w:rPr>
          <w:sz w:val="23"/>
        </w:rPr>
        <w:t>médico</w:t>
      </w:r>
      <w:r>
        <w:rPr>
          <w:spacing w:val="-12"/>
          <w:sz w:val="23"/>
        </w:rPr>
        <w:t> </w:t>
      </w:r>
      <w:r>
        <w:rPr>
          <w:sz w:val="23"/>
        </w:rPr>
        <w:t>para</w:t>
      </w:r>
      <w:r>
        <w:rPr>
          <w:spacing w:val="-14"/>
          <w:sz w:val="23"/>
        </w:rPr>
        <w:t> </w:t>
      </w:r>
      <w:r>
        <w:rPr>
          <w:spacing w:val="-2"/>
          <w:sz w:val="23"/>
        </w:rPr>
        <w:t>tratar:</w:t>
      </w:r>
    </w:p>
    <w:p>
      <w:pPr>
        <w:pStyle w:val="ListParagraph"/>
        <w:numPr>
          <w:ilvl w:val="1"/>
          <w:numId w:val="38"/>
        </w:numPr>
        <w:tabs>
          <w:tab w:pos="807" w:val="left" w:leader="none"/>
        </w:tabs>
        <w:spacing w:line="240" w:lineRule="auto" w:before="55" w:after="0"/>
        <w:ind w:left="807" w:right="0" w:hanging="393"/>
        <w:jc w:val="left"/>
        <w:rPr>
          <w:sz w:val="23"/>
        </w:rPr>
      </w:pPr>
      <w:r>
        <w:rPr>
          <w:sz w:val="23"/>
        </w:rPr>
        <w:t>Unhas</w:t>
      </w:r>
      <w:r>
        <w:rPr>
          <w:spacing w:val="-10"/>
          <w:sz w:val="23"/>
        </w:rPr>
        <w:t> </w:t>
      </w:r>
      <w:r>
        <w:rPr>
          <w:spacing w:val="-2"/>
          <w:sz w:val="23"/>
        </w:rPr>
        <w:t>encravadas</w:t>
      </w:r>
    </w:p>
    <w:p>
      <w:pPr>
        <w:pStyle w:val="ListParagraph"/>
        <w:numPr>
          <w:ilvl w:val="1"/>
          <w:numId w:val="38"/>
        </w:numPr>
        <w:tabs>
          <w:tab w:pos="807" w:val="left" w:leader="none"/>
        </w:tabs>
        <w:spacing w:line="240" w:lineRule="auto" w:before="72" w:after="0"/>
        <w:ind w:left="807" w:right="0" w:hanging="393"/>
        <w:jc w:val="left"/>
        <w:rPr>
          <w:sz w:val="23"/>
        </w:rPr>
      </w:pPr>
      <w:r>
        <w:rPr>
          <w:sz w:val="23"/>
        </w:rPr>
        <w:t>Prurido,</w:t>
      </w:r>
      <w:r>
        <w:rPr>
          <w:spacing w:val="-3"/>
          <w:sz w:val="23"/>
        </w:rPr>
        <w:t> </w:t>
      </w:r>
      <w:r>
        <w:rPr>
          <w:sz w:val="23"/>
        </w:rPr>
        <w:t>vermelhidão</w:t>
      </w:r>
      <w:r>
        <w:rPr>
          <w:spacing w:val="-9"/>
          <w:sz w:val="23"/>
        </w:rPr>
        <w:t> </w:t>
      </w:r>
      <w:r>
        <w:rPr>
          <w:sz w:val="23"/>
        </w:rPr>
        <w:t>e</w:t>
      </w:r>
      <w:r>
        <w:rPr>
          <w:spacing w:val="-11"/>
          <w:sz w:val="23"/>
        </w:rPr>
        <w:t> </w:t>
      </w:r>
      <w:r>
        <w:rPr>
          <w:sz w:val="23"/>
        </w:rPr>
        <w:t>lesões</w:t>
      </w:r>
      <w:r>
        <w:rPr>
          <w:spacing w:val="-2"/>
          <w:sz w:val="23"/>
        </w:rPr>
        <w:t> interdigitais</w:t>
      </w:r>
    </w:p>
    <w:p>
      <w:pPr>
        <w:pStyle w:val="ListParagraph"/>
        <w:numPr>
          <w:ilvl w:val="1"/>
          <w:numId w:val="38"/>
        </w:numPr>
        <w:tabs>
          <w:tab w:pos="807" w:val="left" w:leader="none"/>
        </w:tabs>
        <w:spacing w:line="240" w:lineRule="auto" w:before="56" w:after="0"/>
        <w:ind w:left="807" w:right="0" w:hanging="393"/>
        <w:jc w:val="left"/>
        <w:rPr>
          <w:sz w:val="23"/>
        </w:rPr>
      </w:pPr>
      <w:r>
        <w:rPr>
          <w:sz w:val="23"/>
        </w:rPr>
        <w:t>Paresia, parestesia</w:t>
      </w:r>
      <w:r>
        <w:rPr>
          <w:spacing w:val="-9"/>
          <w:sz w:val="23"/>
        </w:rPr>
        <w:t> </w:t>
      </w:r>
      <w:r>
        <w:rPr>
          <w:sz w:val="23"/>
        </w:rPr>
        <w:t>ou</w:t>
      </w:r>
      <w:r>
        <w:rPr>
          <w:spacing w:val="-7"/>
          <w:sz w:val="23"/>
        </w:rPr>
        <w:t> </w:t>
      </w:r>
      <w:r>
        <w:rPr>
          <w:sz w:val="23"/>
        </w:rPr>
        <w:t>esfriamento</w:t>
      </w:r>
      <w:r>
        <w:rPr>
          <w:spacing w:val="-6"/>
          <w:sz w:val="23"/>
        </w:rPr>
        <w:t> </w:t>
      </w:r>
      <w:r>
        <w:rPr>
          <w:sz w:val="23"/>
        </w:rPr>
        <w:t>dos</w:t>
      </w:r>
      <w:r>
        <w:rPr>
          <w:spacing w:val="1"/>
          <w:sz w:val="23"/>
        </w:rPr>
        <w:t> </w:t>
      </w:r>
      <w:r>
        <w:rPr>
          <w:spacing w:val="-4"/>
          <w:sz w:val="23"/>
        </w:rPr>
        <w:t>dedos</w:t>
      </w:r>
    </w:p>
    <w:p>
      <w:pPr>
        <w:pStyle w:val="ListParagraph"/>
        <w:numPr>
          <w:ilvl w:val="1"/>
          <w:numId w:val="38"/>
        </w:numPr>
        <w:tabs>
          <w:tab w:pos="807" w:val="left" w:leader="none"/>
        </w:tabs>
        <w:spacing w:line="240" w:lineRule="auto" w:before="72" w:after="0"/>
        <w:ind w:left="807" w:right="0" w:hanging="393"/>
        <w:jc w:val="left"/>
        <w:rPr>
          <w:sz w:val="23"/>
        </w:rPr>
      </w:pPr>
      <w:r>
        <w:rPr>
          <w:sz w:val="23"/>
        </w:rPr>
        <w:t>Cãibras ou</w:t>
      </w:r>
      <w:r>
        <w:rPr>
          <w:spacing w:val="-6"/>
          <w:sz w:val="23"/>
        </w:rPr>
        <w:t> </w:t>
      </w:r>
      <w:r>
        <w:rPr>
          <w:sz w:val="23"/>
        </w:rPr>
        <w:t>sinais</w:t>
      </w:r>
      <w:r>
        <w:rPr>
          <w:spacing w:val="1"/>
          <w:sz w:val="23"/>
        </w:rPr>
        <w:t> </w:t>
      </w:r>
      <w:r>
        <w:rPr>
          <w:sz w:val="23"/>
        </w:rPr>
        <w:t>de</w:t>
      </w:r>
      <w:r>
        <w:rPr>
          <w:spacing w:val="-10"/>
          <w:sz w:val="23"/>
        </w:rPr>
        <w:t> </w:t>
      </w:r>
      <w:r>
        <w:rPr>
          <w:sz w:val="23"/>
        </w:rPr>
        <w:t>edema</w:t>
      </w:r>
      <w:r>
        <w:rPr>
          <w:spacing w:val="-9"/>
          <w:sz w:val="23"/>
        </w:rPr>
        <w:t> </w:t>
      </w:r>
      <w:r>
        <w:rPr>
          <w:sz w:val="23"/>
        </w:rPr>
        <w:t>ou</w:t>
      </w:r>
      <w:r>
        <w:rPr>
          <w:spacing w:val="-6"/>
          <w:sz w:val="23"/>
        </w:rPr>
        <w:t> </w:t>
      </w:r>
      <w:r>
        <w:rPr>
          <w:sz w:val="23"/>
        </w:rPr>
        <w:t>vermelhidão</w:t>
      </w:r>
      <w:r>
        <w:rPr>
          <w:spacing w:val="-7"/>
          <w:sz w:val="23"/>
        </w:rPr>
        <w:t> </w:t>
      </w:r>
      <w:r>
        <w:rPr>
          <w:sz w:val="23"/>
        </w:rPr>
        <w:t>dos</w:t>
      </w:r>
      <w:r>
        <w:rPr>
          <w:spacing w:val="1"/>
          <w:sz w:val="23"/>
        </w:rPr>
        <w:t> </w:t>
      </w:r>
      <w:r>
        <w:rPr>
          <w:sz w:val="23"/>
        </w:rPr>
        <w:t>pés</w:t>
      </w:r>
      <w:r>
        <w:rPr>
          <w:spacing w:val="1"/>
          <w:sz w:val="23"/>
        </w:rPr>
        <w:t> </w:t>
      </w:r>
      <w:r>
        <w:rPr>
          <w:sz w:val="23"/>
        </w:rPr>
        <w:t>e</w:t>
      </w:r>
      <w:r>
        <w:rPr>
          <w:spacing w:val="-9"/>
          <w:sz w:val="23"/>
        </w:rPr>
        <w:t> </w:t>
      </w:r>
      <w:r>
        <w:rPr>
          <w:spacing w:val="-2"/>
          <w:sz w:val="23"/>
        </w:rPr>
        <w:t>pernas</w:t>
      </w:r>
    </w:p>
    <w:p>
      <w:pPr>
        <w:pStyle w:val="ListParagraph"/>
        <w:numPr>
          <w:ilvl w:val="1"/>
          <w:numId w:val="38"/>
        </w:numPr>
        <w:tabs>
          <w:tab w:pos="807" w:val="left" w:leader="none"/>
        </w:tabs>
        <w:spacing w:line="240" w:lineRule="auto" w:before="56" w:after="0"/>
        <w:ind w:left="807" w:right="0" w:hanging="393"/>
        <w:jc w:val="left"/>
        <w:rPr>
          <w:sz w:val="23"/>
        </w:rPr>
      </w:pPr>
      <w:r>
        <w:rPr>
          <w:sz w:val="23"/>
        </w:rPr>
        <w:t>Bolhas nas</w:t>
      </w:r>
      <w:r>
        <w:rPr>
          <w:spacing w:val="1"/>
          <w:sz w:val="23"/>
        </w:rPr>
        <w:t> </w:t>
      </w:r>
      <w:r>
        <w:rPr>
          <w:sz w:val="23"/>
        </w:rPr>
        <w:t>pernas</w:t>
      </w:r>
      <w:r>
        <w:rPr>
          <w:spacing w:val="1"/>
          <w:sz w:val="23"/>
        </w:rPr>
        <w:t> </w:t>
      </w:r>
      <w:r>
        <w:rPr>
          <w:sz w:val="23"/>
        </w:rPr>
        <w:t>ou</w:t>
      </w:r>
      <w:r>
        <w:rPr>
          <w:spacing w:val="-6"/>
          <w:sz w:val="23"/>
        </w:rPr>
        <w:t> </w:t>
      </w:r>
      <w:r>
        <w:rPr>
          <w:spacing w:val="-5"/>
          <w:sz w:val="23"/>
        </w:rPr>
        <w:t>pés</w:t>
      </w:r>
    </w:p>
    <w:p>
      <w:pPr>
        <w:pStyle w:val="ListParagraph"/>
        <w:numPr>
          <w:ilvl w:val="1"/>
          <w:numId w:val="38"/>
        </w:numPr>
        <w:tabs>
          <w:tab w:pos="807" w:val="left" w:leader="none"/>
        </w:tabs>
        <w:spacing w:line="240" w:lineRule="auto" w:before="72" w:after="0"/>
        <w:ind w:left="807" w:right="0" w:hanging="393"/>
        <w:jc w:val="left"/>
        <w:rPr>
          <w:sz w:val="23"/>
        </w:rPr>
      </w:pPr>
      <w:r>
        <w:rPr>
          <w:sz w:val="23"/>
        </w:rPr>
        <w:t>Pequenas</w:t>
      </w:r>
      <w:r>
        <w:rPr>
          <w:spacing w:val="-5"/>
          <w:sz w:val="23"/>
        </w:rPr>
        <w:t> </w:t>
      </w:r>
      <w:r>
        <w:rPr>
          <w:sz w:val="23"/>
        </w:rPr>
        <w:t>feridas</w:t>
      </w:r>
      <w:r>
        <w:rPr>
          <w:spacing w:val="-4"/>
          <w:sz w:val="23"/>
        </w:rPr>
        <w:t> </w:t>
      </w:r>
      <w:r>
        <w:rPr>
          <w:sz w:val="23"/>
        </w:rPr>
        <w:t>ou</w:t>
      </w:r>
      <w:r>
        <w:rPr>
          <w:spacing w:val="-11"/>
          <w:sz w:val="23"/>
        </w:rPr>
        <w:t> </w:t>
      </w:r>
      <w:r>
        <w:rPr>
          <w:sz w:val="23"/>
        </w:rPr>
        <w:t>úlceras</w:t>
      </w:r>
      <w:r>
        <w:rPr>
          <w:spacing w:val="-4"/>
          <w:sz w:val="23"/>
        </w:rPr>
        <w:t> </w:t>
      </w:r>
      <w:r>
        <w:rPr>
          <w:sz w:val="23"/>
        </w:rPr>
        <w:t>que</w:t>
      </w:r>
      <w:r>
        <w:rPr>
          <w:spacing w:val="-13"/>
          <w:sz w:val="23"/>
        </w:rPr>
        <w:t> </w:t>
      </w:r>
      <w:r>
        <w:rPr>
          <w:sz w:val="23"/>
        </w:rPr>
        <w:t>não</w:t>
      </w:r>
      <w:r>
        <w:rPr>
          <w:spacing w:val="-11"/>
          <w:sz w:val="23"/>
        </w:rPr>
        <w:t> </w:t>
      </w:r>
      <w:r>
        <w:rPr>
          <w:spacing w:val="-2"/>
          <w:sz w:val="23"/>
        </w:rPr>
        <w:t>cicatrizam.</w:t>
      </w:r>
    </w:p>
    <w:p>
      <w:pPr>
        <w:pStyle w:val="ListParagraph"/>
        <w:spacing w:after="0" w:line="240" w:lineRule="auto"/>
        <w:jc w:val="left"/>
        <w:rPr>
          <w:sz w:val="23"/>
        </w:rPr>
        <w:sectPr>
          <w:pgSz w:w="11900" w:h="16840"/>
          <w:pgMar w:top="120" w:bottom="280" w:left="566" w:right="141"/>
        </w:sectPr>
      </w:pPr>
    </w:p>
    <w:p>
      <w:pPr>
        <w:pStyle w:val="Heading2"/>
      </w:pPr>
      <w:r>
        <w:rPr>
          <w:color w:val="A26108"/>
        </w:rPr>
        <w:t>Capítulo</w:t>
      </w:r>
      <w:r>
        <w:rPr>
          <w:color w:val="A26108"/>
          <w:spacing w:val="38"/>
        </w:rPr>
        <w:t> </w:t>
      </w:r>
      <w:r>
        <w:rPr>
          <w:color w:val="A26108"/>
          <w:spacing w:val="-5"/>
        </w:rPr>
        <w:t>60</w:t>
      </w:r>
    </w:p>
    <w:p>
      <w:pPr>
        <w:pStyle w:val="BodyText"/>
        <w:spacing w:before="8"/>
        <w:ind w:left="0" w:firstLine="0"/>
        <w:jc w:val="left"/>
        <w:rPr>
          <w:rFonts w:ascii="Microsoft Sans Serif"/>
          <w:sz w:val="5"/>
        </w:rPr>
      </w:pPr>
      <w:r>
        <w:rPr>
          <w:rFonts w:ascii="Microsoft Sans Serif"/>
          <w:sz w:val="5"/>
        </w:rPr>
        <mc:AlternateContent>
          <mc:Choice Requires="wps">
            <w:drawing>
              <wp:anchor distT="0" distB="0" distL="0" distR="0" allowOverlap="1" layoutInCell="1" locked="0" behindDoc="1" simplePos="0" relativeHeight="487636992">
                <wp:simplePos x="0" y="0"/>
                <wp:positionH relativeFrom="page">
                  <wp:posOffset>389849</wp:posOffset>
                </wp:positionH>
                <wp:positionV relativeFrom="paragraph">
                  <wp:posOffset>56347</wp:posOffset>
                </wp:positionV>
                <wp:extent cx="6777355" cy="889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777355" cy="8890"/>
                        </a:xfrm>
                        <a:custGeom>
                          <a:avLst/>
                          <a:gdLst/>
                          <a:ahLst/>
                          <a:cxnLst/>
                          <a:rect l="l" t="t" r="r" b="b"/>
                          <a:pathLst>
                            <a:path w="6777355" h="8890">
                              <a:moveTo>
                                <a:pt x="6776744" y="8835"/>
                              </a:moveTo>
                              <a:lnTo>
                                <a:pt x="0" y="8835"/>
                              </a:lnTo>
                              <a:lnTo>
                                <a:pt x="0" y="0"/>
                              </a:lnTo>
                              <a:lnTo>
                                <a:pt x="6776744" y="0"/>
                              </a:lnTo>
                              <a:lnTo>
                                <a:pt x="6776744" y="8835"/>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0.6968pt;margin-top:4.436809pt;width:533.601892pt;height:.6957pt;mso-position-horizontal-relative:page;mso-position-vertical-relative:paragraph;z-index:-15679488;mso-wrap-distance-left:0;mso-wrap-distance-right:0" id="docshape56" filled="true" fillcolor="#242b67" stroked="false">
                <v:fill type="solid"/>
                <w10:wrap type="topAndBottom"/>
              </v:rect>
            </w:pict>
          </mc:Fallback>
        </mc:AlternateContent>
      </w:r>
    </w:p>
    <w:p>
      <w:pPr>
        <w:pStyle w:val="Heading2"/>
        <w:spacing w:line="276" w:lineRule="auto" w:before="123" w:after="12"/>
      </w:pPr>
      <w:r>
        <w:rPr>
          <w:color w:val="A26108"/>
        </w:rPr>
        <w:t>Impacto dos Polimorfismos Genéticos nas </w:t>
      </w:r>
      <w:r>
        <w:rPr>
          <w:color w:val="A26108"/>
        </w:rPr>
        <w:t>Doenças </w:t>
      </w:r>
      <w:r>
        <w:rPr>
          <w:color w:val="A26108"/>
          <w:spacing w:val="-2"/>
        </w:rPr>
        <w:t>Cardiovasculares</w:t>
      </w:r>
    </w:p>
    <w:p>
      <w:pPr>
        <w:spacing w:line="20" w:lineRule="exact"/>
        <w:ind w:left="47" w:right="0" w:firstLine="0"/>
        <w:rPr>
          <w:rFonts w:ascii="Microsoft Sans Serif"/>
          <w:sz w:val="2"/>
        </w:rPr>
      </w:pPr>
      <w:r>
        <w:rPr>
          <w:rFonts w:ascii="Microsoft Sans Serif"/>
          <w:sz w:val="2"/>
        </w:rPr>
        <mc:AlternateContent>
          <mc:Choice Requires="wps">
            <w:drawing>
              <wp:inline distT="0" distB="0" distL="0" distR="0">
                <wp:extent cx="6777355" cy="8890"/>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6777355" cy="8890"/>
                          <a:chExt cx="6777355" cy="8890"/>
                        </a:xfrm>
                      </wpg:grpSpPr>
                      <wps:wsp>
                        <wps:cNvPr id="138" name="Graphic 138"/>
                        <wps:cNvSpPr/>
                        <wps:spPr>
                          <a:xfrm>
                            <a:off x="0" y="0"/>
                            <a:ext cx="6777355" cy="8890"/>
                          </a:xfrm>
                          <a:custGeom>
                            <a:avLst/>
                            <a:gdLst/>
                            <a:ahLst/>
                            <a:cxnLst/>
                            <a:rect l="l" t="t" r="r" b="b"/>
                            <a:pathLst>
                              <a:path w="6777355" h="8890">
                                <a:moveTo>
                                  <a:pt x="6776744" y="8835"/>
                                </a:moveTo>
                                <a:lnTo>
                                  <a:pt x="0" y="8835"/>
                                </a:lnTo>
                                <a:lnTo>
                                  <a:pt x="0" y="0"/>
                                </a:lnTo>
                                <a:lnTo>
                                  <a:pt x="6776744" y="0"/>
                                </a:lnTo>
                                <a:lnTo>
                                  <a:pt x="6776744" y="8835"/>
                                </a:lnTo>
                                <a:close/>
                              </a:path>
                            </a:pathLst>
                          </a:custGeom>
                          <a:solidFill>
                            <a:srgbClr val="242B67"/>
                          </a:solidFill>
                        </wps:spPr>
                        <wps:bodyPr wrap="square" lIns="0" tIns="0" rIns="0" bIns="0" rtlCol="0">
                          <a:prstTxWarp prst="textNoShape">
                            <a:avLst/>
                          </a:prstTxWarp>
                          <a:noAutofit/>
                        </wps:bodyPr>
                      </wps:wsp>
                    </wpg:wgp>
                  </a:graphicData>
                </a:graphic>
              </wp:inline>
            </w:drawing>
          </mc:Choice>
          <mc:Fallback>
            <w:pict>
              <v:group style="width:533.65pt;height:.7pt;mso-position-horizontal-relative:char;mso-position-vertical-relative:line" id="docshapegroup57" coordorigin="0,0" coordsize="10673,14">
                <v:rect style="position:absolute;left:0;top:0;width:10673;height:14" id="docshape58" filled="true" fillcolor="#242b67" stroked="false">
                  <v:fill type="solid"/>
                </v:rect>
              </v:group>
            </w:pict>
          </mc:Fallback>
        </mc:AlternateContent>
      </w:r>
      <w:r>
        <w:rPr>
          <w:rFonts w:ascii="Microsoft Sans Serif"/>
          <w:sz w:val="2"/>
        </w:rPr>
      </w:r>
    </w:p>
    <w:p>
      <w:pPr>
        <w:spacing w:before="93"/>
        <w:ind w:left="52" w:right="0" w:firstLine="0"/>
        <w:jc w:val="left"/>
        <w:rPr>
          <w:rFonts w:ascii="Arial" w:hAnsi="Arial"/>
          <w:i/>
          <w:sz w:val="22"/>
        </w:rPr>
      </w:pPr>
      <w:r>
        <w:rPr>
          <w:rFonts w:ascii="Arial" w:hAnsi="Arial"/>
          <w:i/>
          <w:sz w:val="22"/>
        </w:rPr>
        <w:t>Maria</w:t>
      </w:r>
      <w:r>
        <w:rPr>
          <w:rFonts w:ascii="Arial" w:hAnsi="Arial"/>
          <w:i/>
          <w:spacing w:val="6"/>
          <w:sz w:val="22"/>
        </w:rPr>
        <w:t> </w:t>
      </w:r>
      <w:r>
        <w:rPr>
          <w:rFonts w:ascii="Arial" w:hAnsi="Arial"/>
          <w:i/>
          <w:sz w:val="22"/>
        </w:rPr>
        <w:t>Cristina</w:t>
      </w:r>
      <w:r>
        <w:rPr>
          <w:rFonts w:ascii="Arial" w:hAnsi="Arial"/>
          <w:i/>
          <w:spacing w:val="6"/>
          <w:sz w:val="22"/>
        </w:rPr>
        <w:t> </w:t>
      </w:r>
      <w:r>
        <w:rPr>
          <w:rFonts w:ascii="Arial" w:hAnsi="Arial"/>
          <w:i/>
          <w:sz w:val="22"/>
        </w:rPr>
        <w:t>de</w:t>
      </w:r>
      <w:r>
        <w:rPr>
          <w:rFonts w:ascii="Arial" w:hAnsi="Arial"/>
          <w:i/>
          <w:spacing w:val="7"/>
          <w:sz w:val="22"/>
        </w:rPr>
        <w:t> </w:t>
      </w:r>
      <w:r>
        <w:rPr>
          <w:rFonts w:ascii="Arial" w:hAnsi="Arial"/>
          <w:i/>
          <w:sz w:val="22"/>
        </w:rPr>
        <w:t>Oliveira,</w:t>
      </w:r>
      <w:r>
        <w:rPr>
          <w:rFonts w:ascii="Arial" w:hAnsi="Arial"/>
          <w:i/>
          <w:spacing w:val="6"/>
          <w:sz w:val="22"/>
        </w:rPr>
        <w:t> </w:t>
      </w:r>
      <w:r>
        <w:rPr>
          <w:rFonts w:ascii="Arial" w:hAnsi="Arial"/>
          <w:i/>
          <w:sz w:val="22"/>
        </w:rPr>
        <w:t>Francisco</w:t>
      </w:r>
      <w:r>
        <w:rPr>
          <w:rFonts w:ascii="Arial" w:hAnsi="Arial"/>
          <w:i/>
          <w:spacing w:val="7"/>
          <w:sz w:val="22"/>
        </w:rPr>
        <w:t> </w:t>
      </w:r>
      <w:r>
        <w:rPr>
          <w:rFonts w:ascii="Arial" w:hAnsi="Arial"/>
          <w:i/>
          <w:sz w:val="22"/>
        </w:rPr>
        <w:t>Antonio</w:t>
      </w:r>
      <w:r>
        <w:rPr>
          <w:rFonts w:ascii="Arial" w:hAnsi="Arial"/>
          <w:i/>
          <w:spacing w:val="6"/>
          <w:sz w:val="22"/>
        </w:rPr>
        <w:t> </w:t>
      </w:r>
      <w:r>
        <w:rPr>
          <w:rFonts w:ascii="Arial" w:hAnsi="Arial"/>
          <w:i/>
          <w:sz w:val="22"/>
        </w:rPr>
        <w:t>Helfenstein</w:t>
      </w:r>
      <w:r>
        <w:rPr>
          <w:rFonts w:ascii="Arial" w:hAnsi="Arial"/>
          <w:i/>
          <w:spacing w:val="7"/>
          <w:sz w:val="22"/>
        </w:rPr>
        <w:t> </w:t>
      </w:r>
      <w:r>
        <w:rPr>
          <w:rFonts w:ascii="Arial" w:hAnsi="Arial"/>
          <w:i/>
          <w:sz w:val="22"/>
        </w:rPr>
        <w:t>Fonseca</w:t>
      </w:r>
      <w:r>
        <w:rPr>
          <w:rFonts w:ascii="Arial" w:hAnsi="Arial"/>
          <w:i/>
          <w:spacing w:val="6"/>
          <w:sz w:val="22"/>
        </w:rPr>
        <w:t> </w:t>
      </w:r>
      <w:r>
        <w:rPr>
          <w:rFonts w:ascii="Arial" w:hAnsi="Arial"/>
          <w:i/>
          <w:sz w:val="22"/>
        </w:rPr>
        <w:t>e</w:t>
      </w:r>
      <w:r>
        <w:rPr>
          <w:rFonts w:ascii="Arial" w:hAnsi="Arial"/>
          <w:i/>
          <w:spacing w:val="7"/>
          <w:sz w:val="22"/>
        </w:rPr>
        <w:t> </w:t>
      </w:r>
      <w:r>
        <w:rPr>
          <w:rFonts w:ascii="Arial" w:hAnsi="Arial"/>
          <w:i/>
          <w:sz w:val="22"/>
        </w:rPr>
        <w:t>Marília</w:t>
      </w:r>
      <w:r>
        <w:rPr>
          <w:rFonts w:ascii="Arial" w:hAnsi="Arial"/>
          <w:i/>
          <w:spacing w:val="6"/>
          <w:sz w:val="22"/>
        </w:rPr>
        <w:t> </w:t>
      </w:r>
      <w:r>
        <w:rPr>
          <w:rFonts w:ascii="Arial" w:hAnsi="Arial"/>
          <w:i/>
          <w:sz w:val="22"/>
        </w:rPr>
        <w:t>Izar</w:t>
      </w:r>
      <w:r>
        <w:rPr>
          <w:rFonts w:ascii="Arial" w:hAnsi="Arial"/>
          <w:i/>
          <w:spacing w:val="6"/>
          <w:sz w:val="22"/>
        </w:rPr>
        <w:t> </w:t>
      </w:r>
      <w:r>
        <w:rPr>
          <w:rFonts w:ascii="Arial" w:hAnsi="Arial"/>
          <w:i/>
          <w:sz w:val="22"/>
        </w:rPr>
        <w:t>Helfenstein</w:t>
      </w:r>
      <w:r>
        <w:rPr>
          <w:rFonts w:ascii="Arial" w:hAnsi="Arial"/>
          <w:i/>
          <w:spacing w:val="7"/>
          <w:sz w:val="22"/>
        </w:rPr>
        <w:t> </w:t>
      </w:r>
      <w:r>
        <w:rPr>
          <w:rFonts w:ascii="Arial" w:hAnsi="Arial"/>
          <w:i/>
          <w:spacing w:val="-2"/>
          <w:sz w:val="22"/>
        </w:rPr>
        <w:t>Fonseca</w:t>
      </w:r>
    </w:p>
    <w:p>
      <w:pPr>
        <w:pStyle w:val="BodyText"/>
        <w:spacing w:before="0"/>
        <w:ind w:left="0" w:firstLine="0"/>
        <w:jc w:val="left"/>
        <w:rPr>
          <w:rFonts w:ascii="Arial"/>
          <w:i/>
          <w:sz w:val="22"/>
        </w:rPr>
      </w:pPr>
    </w:p>
    <w:p>
      <w:pPr>
        <w:pStyle w:val="BodyText"/>
        <w:spacing w:before="177"/>
        <w:ind w:left="0" w:firstLine="0"/>
        <w:jc w:val="left"/>
        <w:rPr>
          <w:rFonts w:ascii="Arial"/>
          <w:i/>
          <w:sz w:val="22"/>
        </w:rPr>
      </w:pPr>
    </w:p>
    <w:p>
      <w:pPr>
        <w:pStyle w:val="Heading6"/>
      </w:pPr>
      <w:r>
        <w:rPr>
          <w:color w:val="242B67"/>
          <w:spacing w:val="-2"/>
        </w:rPr>
        <w:t>Conceito</w:t>
      </w:r>
    </w:p>
    <w:p>
      <w:pPr>
        <w:spacing w:line="276" w:lineRule="auto" w:before="113"/>
        <w:ind w:left="52" w:right="475" w:firstLine="300"/>
        <w:jc w:val="both"/>
        <w:rPr>
          <w:sz w:val="20"/>
        </w:rPr>
      </w:pPr>
      <w:r>
        <w:rPr>
          <w:sz w:val="20"/>
        </w:rPr>
        <w:t>O advento da biologia molecular como ferramenta na identificação de genes possivelmente envolvidos em doenças complexas e multifatoriais se</w:t>
      </w:r>
      <w:r>
        <w:rPr>
          <w:spacing w:val="-4"/>
          <w:sz w:val="20"/>
        </w:rPr>
        <w:t> </w:t>
      </w:r>
      <w:r>
        <w:rPr>
          <w:sz w:val="20"/>
        </w:rPr>
        <w:t>deve</w:t>
      </w:r>
      <w:r>
        <w:rPr>
          <w:spacing w:val="-4"/>
          <w:sz w:val="20"/>
        </w:rPr>
        <w:t> </w:t>
      </w:r>
      <w:r>
        <w:rPr>
          <w:sz w:val="20"/>
        </w:rPr>
        <w:t>a</w:t>
      </w:r>
      <w:r>
        <w:rPr>
          <w:spacing w:val="-4"/>
          <w:sz w:val="20"/>
        </w:rPr>
        <w:t> </w:t>
      </w:r>
      <w:r>
        <w:rPr>
          <w:sz w:val="20"/>
        </w:rPr>
        <w:t>diversos fatores, como</w:t>
      </w:r>
      <w:r>
        <w:rPr>
          <w:spacing w:val="-1"/>
          <w:sz w:val="20"/>
        </w:rPr>
        <w:t> </w:t>
      </w:r>
      <w:r>
        <w:rPr>
          <w:sz w:val="20"/>
        </w:rPr>
        <w:t>o</w:t>
      </w:r>
      <w:r>
        <w:rPr>
          <w:spacing w:val="-2"/>
          <w:sz w:val="20"/>
        </w:rPr>
        <w:t> </w:t>
      </w:r>
      <w:r>
        <w:rPr>
          <w:sz w:val="20"/>
        </w:rPr>
        <w:t>desenvolvimento</w:t>
      </w:r>
      <w:r>
        <w:rPr>
          <w:spacing w:val="-1"/>
          <w:sz w:val="20"/>
        </w:rPr>
        <w:t> </w:t>
      </w:r>
      <w:r>
        <w:rPr>
          <w:sz w:val="20"/>
        </w:rPr>
        <w:t>de</w:t>
      </w:r>
      <w:r>
        <w:rPr>
          <w:spacing w:val="-4"/>
          <w:sz w:val="20"/>
        </w:rPr>
        <w:t> </w:t>
      </w:r>
      <w:r>
        <w:rPr>
          <w:sz w:val="20"/>
        </w:rPr>
        <w:t>novas tecnologias, maior interesse</w:t>
      </w:r>
      <w:r>
        <w:rPr>
          <w:spacing w:val="-4"/>
          <w:sz w:val="20"/>
        </w:rPr>
        <w:t> </w:t>
      </w:r>
      <w:r>
        <w:rPr>
          <w:sz w:val="20"/>
        </w:rPr>
        <w:t>da</w:t>
      </w:r>
      <w:r>
        <w:rPr>
          <w:spacing w:val="-4"/>
          <w:sz w:val="20"/>
        </w:rPr>
        <w:t> </w:t>
      </w:r>
      <w:r>
        <w:rPr>
          <w:sz w:val="20"/>
        </w:rPr>
        <w:t>indústria</w:t>
      </w:r>
      <w:r>
        <w:rPr>
          <w:spacing w:val="-4"/>
          <w:sz w:val="20"/>
        </w:rPr>
        <w:t> </w:t>
      </w:r>
      <w:r>
        <w:rPr>
          <w:sz w:val="20"/>
        </w:rPr>
        <w:t>farmacêutica</w:t>
      </w:r>
      <w:r>
        <w:rPr>
          <w:spacing w:val="-4"/>
          <w:sz w:val="20"/>
        </w:rPr>
        <w:t> </w:t>
      </w:r>
      <w:r>
        <w:rPr>
          <w:sz w:val="20"/>
        </w:rPr>
        <w:t>na exploração de marcadores suscetíveis a determinados fármacos e principalmente aos novos métodos de análise seriada, que identificam grande número de genes em curto espaço de tempo. Esses avanços têm sido acompanhados de um crescente reconhecimento médico do impacto dos efeitos genéticos no diagnóstico e tratamento individual, criando um forte senso multidisciplinar e desenvolvendo forças-tarefa para elaboração de grandes estudos e metanálises. Nesse contexto, a genética cardiovascular</w:t>
      </w:r>
      <w:r>
        <w:rPr>
          <w:spacing w:val="-2"/>
          <w:sz w:val="20"/>
        </w:rPr>
        <w:t> </w:t>
      </w:r>
      <w:r>
        <w:rPr>
          <w:sz w:val="20"/>
        </w:rPr>
        <w:t>saltou</w:t>
      </w:r>
      <w:r>
        <w:rPr>
          <w:spacing w:val="-6"/>
          <w:sz w:val="20"/>
        </w:rPr>
        <w:t> </w:t>
      </w:r>
      <w:r>
        <w:rPr>
          <w:sz w:val="20"/>
        </w:rPr>
        <w:t>de</w:t>
      </w:r>
      <w:r>
        <w:rPr>
          <w:spacing w:val="-8"/>
          <w:sz w:val="20"/>
        </w:rPr>
        <w:t> </w:t>
      </w:r>
      <w:r>
        <w:rPr>
          <w:sz w:val="20"/>
        </w:rPr>
        <w:t>um</w:t>
      </w:r>
      <w:r>
        <w:rPr>
          <w:spacing w:val="-6"/>
          <w:sz w:val="20"/>
        </w:rPr>
        <w:t> </w:t>
      </w:r>
      <w:r>
        <w:rPr>
          <w:sz w:val="20"/>
        </w:rPr>
        <w:t>panorama</w:t>
      </w:r>
      <w:r>
        <w:rPr>
          <w:spacing w:val="-8"/>
          <w:sz w:val="20"/>
        </w:rPr>
        <w:t> </w:t>
      </w:r>
      <w:r>
        <w:rPr>
          <w:sz w:val="20"/>
        </w:rPr>
        <w:t>tímido</w:t>
      </w:r>
      <w:r>
        <w:rPr>
          <w:spacing w:val="-6"/>
          <w:sz w:val="20"/>
        </w:rPr>
        <w:t> </w:t>
      </w:r>
      <w:r>
        <w:rPr>
          <w:sz w:val="20"/>
        </w:rPr>
        <w:t>de</w:t>
      </w:r>
      <w:r>
        <w:rPr>
          <w:spacing w:val="-8"/>
          <w:sz w:val="20"/>
        </w:rPr>
        <w:t> </w:t>
      </w:r>
      <w:r>
        <w:rPr>
          <w:sz w:val="20"/>
        </w:rPr>
        <w:t>relevância</w:t>
      </w:r>
      <w:r>
        <w:rPr>
          <w:spacing w:val="-8"/>
          <w:sz w:val="20"/>
        </w:rPr>
        <w:t> </w:t>
      </w:r>
      <w:r>
        <w:rPr>
          <w:sz w:val="20"/>
        </w:rPr>
        <w:t>imperceptível</w:t>
      </w:r>
      <w:r>
        <w:rPr>
          <w:spacing w:val="-5"/>
          <w:sz w:val="20"/>
        </w:rPr>
        <w:t> </w:t>
      </w:r>
      <w:r>
        <w:rPr>
          <w:sz w:val="20"/>
        </w:rPr>
        <w:t>para</w:t>
      </w:r>
      <w:r>
        <w:rPr>
          <w:spacing w:val="-8"/>
          <w:sz w:val="20"/>
        </w:rPr>
        <w:t> </w:t>
      </w:r>
      <w:r>
        <w:rPr>
          <w:sz w:val="20"/>
        </w:rPr>
        <w:t>uma</w:t>
      </w:r>
      <w:r>
        <w:rPr>
          <w:spacing w:val="-8"/>
          <w:sz w:val="20"/>
        </w:rPr>
        <w:t> </w:t>
      </w:r>
      <w:r>
        <w:rPr>
          <w:sz w:val="20"/>
        </w:rPr>
        <w:t>disciplina</w:t>
      </w:r>
      <w:r>
        <w:rPr>
          <w:spacing w:val="-8"/>
          <w:sz w:val="20"/>
        </w:rPr>
        <w:t> </w:t>
      </w:r>
      <w:r>
        <w:rPr>
          <w:sz w:val="20"/>
        </w:rPr>
        <w:t>que</w:t>
      </w:r>
      <w:r>
        <w:rPr>
          <w:spacing w:val="-8"/>
          <w:sz w:val="20"/>
        </w:rPr>
        <w:t> </w:t>
      </w:r>
      <w:r>
        <w:rPr>
          <w:sz w:val="20"/>
        </w:rPr>
        <w:t>integra</w:t>
      </w:r>
      <w:r>
        <w:rPr>
          <w:spacing w:val="-8"/>
          <w:sz w:val="20"/>
        </w:rPr>
        <w:t> </w:t>
      </w:r>
      <w:r>
        <w:rPr>
          <w:sz w:val="20"/>
        </w:rPr>
        <w:t>investigação</w:t>
      </w:r>
      <w:r>
        <w:rPr>
          <w:spacing w:val="-6"/>
          <w:sz w:val="20"/>
        </w:rPr>
        <w:t> </w:t>
      </w:r>
      <w:r>
        <w:rPr>
          <w:sz w:val="20"/>
        </w:rPr>
        <w:t>laboratorial</w:t>
      </w:r>
      <w:r>
        <w:rPr>
          <w:spacing w:val="-5"/>
          <w:sz w:val="20"/>
        </w:rPr>
        <w:t> </w:t>
      </w:r>
      <w:r>
        <w:rPr>
          <w:sz w:val="20"/>
        </w:rPr>
        <w:t>de ponta e medicina clínica, o híbrido responsável pela descoberta da patogênese de doenças outrora denominadas idiopáticas e o consequente melhor entendimento dos fatores envolvidos nas avaliações prognóstica e terapêutica. A doença arterial coronariana (DAC), em grande parte como resultado do processo aterosclerótico, recebeu substancial contribuição desse tipo de investida, estimando-se</w:t>
      </w:r>
      <w:r>
        <w:rPr>
          <w:spacing w:val="-10"/>
          <w:sz w:val="20"/>
        </w:rPr>
        <w:t> </w:t>
      </w:r>
      <w:r>
        <w:rPr>
          <w:sz w:val="20"/>
        </w:rPr>
        <w:t>que</w:t>
      </w:r>
      <w:r>
        <w:rPr>
          <w:spacing w:val="-10"/>
          <w:sz w:val="20"/>
        </w:rPr>
        <w:t> </w:t>
      </w:r>
      <w:r>
        <w:rPr>
          <w:sz w:val="20"/>
        </w:rPr>
        <w:t>pelo</w:t>
      </w:r>
      <w:r>
        <w:rPr>
          <w:spacing w:val="-8"/>
          <w:sz w:val="20"/>
        </w:rPr>
        <w:t> </w:t>
      </w:r>
      <w:r>
        <w:rPr>
          <w:sz w:val="20"/>
        </w:rPr>
        <w:t>menos</w:t>
      </w:r>
      <w:r>
        <w:rPr>
          <w:spacing w:val="-2"/>
          <w:sz w:val="20"/>
        </w:rPr>
        <w:t> </w:t>
      </w:r>
      <w:r>
        <w:rPr>
          <w:sz w:val="20"/>
        </w:rPr>
        <w:t>centenas</w:t>
      </w:r>
      <w:r>
        <w:rPr>
          <w:spacing w:val="-2"/>
          <w:sz w:val="20"/>
        </w:rPr>
        <w:t> </w:t>
      </w:r>
      <w:r>
        <w:rPr>
          <w:sz w:val="20"/>
        </w:rPr>
        <w:t>de</w:t>
      </w:r>
      <w:r>
        <w:rPr>
          <w:spacing w:val="-10"/>
          <w:sz w:val="20"/>
        </w:rPr>
        <w:t> </w:t>
      </w:r>
      <w:r>
        <w:rPr>
          <w:sz w:val="20"/>
        </w:rPr>
        <w:t>genes</w:t>
      </w:r>
      <w:r>
        <w:rPr>
          <w:spacing w:val="-2"/>
          <w:sz w:val="20"/>
        </w:rPr>
        <w:t> </w:t>
      </w:r>
      <w:r>
        <w:rPr>
          <w:sz w:val="20"/>
        </w:rPr>
        <w:t>regulem</w:t>
      </w:r>
      <w:r>
        <w:rPr>
          <w:spacing w:val="-8"/>
          <w:sz w:val="20"/>
        </w:rPr>
        <w:t> </w:t>
      </w:r>
      <w:r>
        <w:rPr>
          <w:sz w:val="20"/>
        </w:rPr>
        <w:t>os</w:t>
      </w:r>
      <w:r>
        <w:rPr>
          <w:spacing w:val="-2"/>
          <w:sz w:val="20"/>
        </w:rPr>
        <w:t> </w:t>
      </w:r>
      <w:r>
        <w:rPr>
          <w:sz w:val="20"/>
        </w:rPr>
        <w:t>processos</w:t>
      </w:r>
      <w:r>
        <w:rPr>
          <w:spacing w:val="-2"/>
          <w:sz w:val="20"/>
        </w:rPr>
        <w:t> </w:t>
      </w:r>
      <w:r>
        <w:rPr>
          <w:sz w:val="20"/>
        </w:rPr>
        <w:t>de</w:t>
      </w:r>
      <w:r>
        <w:rPr>
          <w:spacing w:val="-10"/>
          <w:sz w:val="20"/>
        </w:rPr>
        <w:t> </w:t>
      </w:r>
      <w:r>
        <w:rPr>
          <w:sz w:val="20"/>
        </w:rPr>
        <w:t>função</w:t>
      </w:r>
      <w:r>
        <w:rPr>
          <w:spacing w:val="-8"/>
          <w:sz w:val="20"/>
        </w:rPr>
        <w:t> </w:t>
      </w:r>
      <w:r>
        <w:rPr>
          <w:sz w:val="20"/>
        </w:rPr>
        <w:t>endotelial,</w:t>
      </w:r>
      <w:r>
        <w:rPr>
          <w:spacing w:val="-2"/>
          <w:sz w:val="20"/>
        </w:rPr>
        <w:t> </w:t>
      </w:r>
      <w:r>
        <w:rPr>
          <w:sz w:val="20"/>
        </w:rPr>
        <w:t>inflamação,</w:t>
      </w:r>
      <w:r>
        <w:rPr>
          <w:spacing w:val="-2"/>
          <w:sz w:val="20"/>
        </w:rPr>
        <w:t> </w:t>
      </w:r>
      <w:r>
        <w:rPr>
          <w:sz w:val="20"/>
        </w:rPr>
        <w:t>coagulação</w:t>
      </w:r>
      <w:r>
        <w:rPr>
          <w:spacing w:val="-8"/>
          <w:sz w:val="20"/>
        </w:rPr>
        <w:t> </w:t>
      </w:r>
      <w:r>
        <w:rPr>
          <w:sz w:val="20"/>
        </w:rPr>
        <w:t>e</w:t>
      </w:r>
      <w:r>
        <w:rPr>
          <w:spacing w:val="-10"/>
          <w:sz w:val="20"/>
        </w:rPr>
        <w:t> </w:t>
      </w:r>
      <w:r>
        <w:rPr>
          <w:sz w:val="20"/>
        </w:rPr>
        <w:t>metabolismo</w:t>
      </w:r>
      <w:r>
        <w:rPr>
          <w:spacing w:val="-8"/>
          <w:sz w:val="20"/>
        </w:rPr>
        <w:t> </w:t>
      </w:r>
      <w:r>
        <w:rPr>
          <w:sz w:val="20"/>
        </w:rPr>
        <w:t>de carboidratos, aminoácidos e lipídios, sendo estes últimos provavelmente os mais estudados e conhecidos por sua variedade de mutações e polimorfismos fortemente relacionados com a aterosclerose e a DAC </w:t>
      </w:r>
      <w:r>
        <w:rPr>
          <w:i/>
          <w:sz w:val="20"/>
        </w:rPr>
        <w:t>per se</w:t>
      </w:r>
      <w:r>
        <w:rPr>
          <w:sz w:val="20"/>
        </w:rPr>
        <w:t>.</w:t>
      </w:r>
      <w:r>
        <w:rPr>
          <w:sz w:val="20"/>
          <w:vertAlign w:val="superscript"/>
        </w:rPr>
        <w:t>1</w:t>
      </w:r>
    </w:p>
    <w:p>
      <w:pPr>
        <w:pStyle w:val="BodyText"/>
        <w:spacing w:before="129"/>
        <w:ind w:left="0" w:firstLine="0"/>
        <w:jc w:val="left"/>
        <w:rPr>
          <w:sz w:val="20"/>
        </w:rPr>
      </w:pPr>
    </w:p>
    <w:p>
      <w:pPr>
        <w:pStyle w:val="Heading8"/>
      </w:pPr>
      <w:r>
        <w:rPr>
          <w:color w:val="A26108"/>
        </w:rPr>
        <w:t>Desenhos</w:t>
      </w:r>
      <w:r>
        <w:rPr>
          <w:color w:val="A26108"/>
          <w:spacing w:val="17"/>
        </w:rPr>
        <w:t> </w:t>
      </w:r>
      <w:r>
        <w:rPr>
          <w:color w:val="A26108"/>
        </w:rPr>
        <w:t>de</w:t>
      </w:r>
      <w:r>
        <w:rPr>
          <w:color w:val="A26108"/>
          <w:spacing w:val="17"/>
        </w:rPr>
        <w:t> </w:t>
      </w:r>
      <w:r>
        <w:rPr>
          <w:color w:val="A26108"/>
        </w:rPr>
        <w:t>estudos</w:t>
      </w:r>
      <w:r>
        <w:rPr>
          <w:color w:val="A26108"/>
          <w:spacing w:val="18"/>
        </w:rPr>
        <w:t> </w:t>
      </w:r>
      <w:r>
        <w:rPr>
          <w:color w:val="A26108"/>
        </w:rPr>
        <w:t>clínicos</w:t>
      </w:r>
      <w:r>
        <w:rPr>
          <w:color w:val="A26108"/>
          <w:spacing w:val="17"/>
        </w:rPr>
        <w:t> </w:t>
      </w:r>
      <w:r>
        <w:rPr>
          <w:color w:val="A26108"/>
        </w:rPr>
        <w:t>em</w:t>
      </w:r>
      <w:r>
        <w:rPr>
          <w:color w:val="A26108"/>
          <w:spacing w:val="18"/>
        </w:rPr>
        <w:t> </w:t>
      </w:r>
      <w:r>
        <w:rPr>
          <w:color w:val="A26108"/>
        </w:rPr>
        <w:t>doenças</w:t>
      </w:r>
      <w:r>
        <w:rPr>
          <w:color w:val="A26108"/>
          <w:spacing w:val="17"/>
        </w:rPr>
        <w:t> </w:t>
      </w:r>
      <w:r>
        <w:rPr>
          <w:color w:val="A26108"/>
          <w:spacing w:val="-2"/>
        </w:rPr>
        <w:t>genéticas</w:t>
      </w:r>
    </w:p>
    <w:p>
      <w:pPr>
        <w:spacing w:line="276" w:lineRule="auto" w:before="120"/>
        <w:ind w:left="52" w:right="475" w:firstLine="300"/>
        <w:jc w:val="both"/>
        <w:rPr>
          <w:sz w:val="20"/>
        </w:rPr>
      </w:pPr>
      <w:r>
        <w:rPr>
          <w:sz w:val="20"/>
        </w:rPr>
        <w:t>A</w:t>
      </w:r>
      <w:r>
        <w:rPr>
          <w:spacing w:val="-9"/>
          <w:sz w:val="20"/>
        </w:rPr>
        <w:t> </w:t>
      </w:r>
      <w:r>
        <w:rPr>
          <w:sz w:val="20"/>
        </w:rPr>
        <w:t>informação</w:t>
      </w:r>
      <w:r>
        <w:rPr>
          <w:spacing w:val="-6"/>
          <w:sz w:val="20"/>
        </w:rPr>
        <w:t> </w:t>
      </w:r>
      <w:r>
        <w:rPr>
          <w:sz w:val="20"/>
        </w:rPr>
        <w:t>médica</w:t>
      </w:r>
      <w:r>
        <w:rPr>
          <w:spacing w:val="-9"/>
          <w:sz w:val="20"/>
        </w:rPr>
        <w:t> </w:t>
      </w:r>
      <w:r>
        <w:rPr>
          <w:sz w:val="20"/>
        </w:rPr>
        <w:t>cresce</w:t>
      </w:r>
      <w:r>
        <w:rPr>
          <w:spacing w:val="-9"/>
          <w:sz w:val="20"/>
        </w:rPr>
        <w:t> </w:t>
      </w:r>
      <w:r>
        <w:rPr>
          <w:sz w:val="20"/>
        </w:rPr>
        <w:t>de</w:t>
      </w:r>
      <w:r>
        <w:rPr>
          <w:spacing w:val="-9"/>
          <w:sz w:val="20"/>
        </w:rPr>
        <w:t> </w:t>
      </w:r>
      <w:r>
        <w:rPr>
          <w:sz w:val="20"/>
        </w:rPr>
        <w:t>forma</w:t>
      </w:r>
      <w:r>
        <w:rPr>
          <w:spacing w:val="-9"/>
          <w:sz w:val="20"/>
        </w:rPr>
        <w:t> </w:t>
      </w:r>
      <w:r>
        <w:rPr>
          <w:sz w:val="20"/>
        </w:rPr>
        <w:t>exponencial</w:t>
      </w:r>
      <w:r>
        <w:rPr>
          <w:spacing w:val="-4"/>
          <w:sz w:val="20"/>
        </w:rPr>
        <w:t> </w:t>
      </w:r>
      <w:r>
        <w:rPr>
          <w:sz w:val="20"/>
        </w:rPr>
        <w:t>e</w:t>
      </w:r>
      <w:r>
        <w:rPr>
          <w:spacing w:val="-9"/>
          <w:sz w:val="20"/>
        </w:rPr>
        <w:t> </w:t>
      </w:r>
      <w:r>
        <w:rPr>
          <w:sz w:val="20"/>
        </w:rPr>
        <w:t>traz</w:t>
      </w:r>
      <w:r>
        <w:rPr>
          <w:spacing w:val="-9"/>
          <w:sz w:val="20"/>
        </w:rPr>
        <w:t> </w:t>
      </w:r>
      <w:r>
        <w:rPr>
          <w:sz w:val="20"/>
        </w:rPr>
        <w:t>consigo</w:t>
      </w:r>
      <w:r>
        <w:rPr>
          <w:spacing w:val="-6"/>
          <w:sz w:val="20"/>
        </w:rPr>
        <w:t> </w:t>
      </w:r>
      <w:r>
        <w:rPr>
          <w:sz w:val="20"/>
        </w:rPr>
        <w:t>a</w:t>
      </w:r>
      <w:r>
        <w:rPr>
          <w:spacing w:val="-9"/>
          <w:sz w:val="20"/>
        </w:rPr>
        <w:t> </w:t>
      </w:r>
      <w:r>
        <w:rPr>
          <w:sz w:val="20"/>
        </w:rPr>
        <w:t>necessidade</w:t>
      </w:r>
      <w:r>
        <w:rPr>
          <w:spacing w:val="-9"/>
          <w:sz w:val="20"/>
        </w:rPr>
        <w:t> </w:t>
      </w:r>
      <w:r>
        <w:rPr>
          <w:sz w:val="20"/>
        </w:rPr>
        <w:t>de</w:t>
      </w:r>
      <w:r>
        <w:rPr>
          <w:spacing w:val="-9"/>
          <w:sz w:val="20"/>
        </w:rPr>
        <w:t> </w:t>
      </w:r>
      <w:r>
        <w:rPr>
          <w:sz w:val="20"/>
        </w:rPr>
        <w:t>um</w:t>
      </w:r>
      <w:r>
        <w:rPr>
          <w:spacing w:val="-6"/>
          <w:sz w:val="20"/>
        </w:rPr>
        <w:t> </w:t>
      </w:r>
      <w:r>
        <w:rPr>
          <w:sz w:val="20"/>
        </w:rPr>
        <w:t>racional</w:t>
      </w:r>
      <w:r>
        <w:rPr>
          <w:spacing w:val="-4"/>
          <w:sz w:val="20"/>
        </w:rPr>
        <w:t> </w:t>
      </w:r>
      <w:r>
        <w:rPr>
          <w:sz w:val="20"/>
        </w:rPr>
        <w:t>para</w:t>
      </w:r>
      <w:r>
        <w:rPr>
          <w:spacing w:val="-9"/>
          <w:sz w:val="20"/>
        </w:rPr>
        <w:t> </w:t>
      </w:r>
      <w:r>
        <w:rPr>
          <w:sz w:val="20"/>
        </w:rPr>
        <w:t>a</w:t>
      </w:r>
      <w:r>
        <w:rPr>
          <w:spacing w:val="-9"/>
          <w:sz w:val="20"/>
        </w:rPr>
        <w:t> </w:t>
      </w:r>
      <w:r>
        <w:rPr>
          <w:sz w:val="20"/>
        </w:rPr>
        <w:t>elaboração</w:t>
      </w:r>
      <w:r>
        <w:rPr>
          <w:spacing w:val="-6"/>
          <w:sz w:val="20"/>
        </w:rPr>
        <w:t> </w:t>
      </w:r>
      <w:r>
        <w:rPr>
          <w:sz w:val="20"/>
        </w:rPr>
        <w:t>de</w:t>
      </w:r>
      <w:r>
        <w:rPr>
          <w:spacing w:val="-9"/>
          <w:sz w:val="20"/>
        </w:rPr>
        <w:t> </w:t>
      </w:r>
      <w:r>
        <w:rPr>
          <w:sz w:val="20"/>
        </w:rPr>
        <w:t>estudos sérios e</w:t>
      </w:r>
      <w:r>
        <w:rPr>
          <w:spacing w:val="-7"/>
          <w:sz w:val="20"/>
        </w:rPr>
        <w:t> </w:t>
      </w:r>
      <w:r>
        <w:rPr>
          <w:sz w:val="20"/>
        </w:rPr>
        <w:t>objetivos, desde</w:t>
      </w:r>
      <w:r>
        <w:rPr>
          <w:spacing w:val="-7"/>
          <w:sz w:val="20"/>
        </w:rPr>
        <w:t> </w:t>
      </w:r>
      <w:r>
        <w:rPr>
          <w:sz w:val="20"/>
        </w:rPr>
        <w:t>grandes ensaios epidemiológicos, observacionais e</w:t>
      </w:r>
      <w:r>
        <w:rPr>
          <w:spacing w:val="-7"/>
          <w:sz w:val="20"/>
        </w:rPr>
        <w:t> </w:t>
      </w:r>
      <w:r>
        <w:rPr>
          <w:sz w:val="20"/>
        </w:rPr>
        <w:t>de</w:t>
      </w:r>
      <w:r>
        <w:rPr>
          <w:spacing w:val="-7"/>
          <w:sz w:val="20"/>
        </w:rPr>
        <w:t> </w:t>
      </w:r>
      <w:r>
        <w:rPr>
          <w:sz w:val="20"/>
        </w:rPr>
        <w:t>prevenção;</w:t>
      </w:r>
      <w:r>
        <w:rPr>
          <w:spacing w:val="-3"/>
          <w:sz w:val="20"/>
        </w:rPr>
        <w:t> </w:t>
      </w:r>
      <w:r>
        <w:rPr>
          <w:sz w:val="20"/>
        </w:rPr>
        <w:t>novas formas de</w:t>
      </w:r>
      <w:r>
        <w:rPr>
          <w:spacing w:val="-7"/>
          <w:sz w:val="20"/>
        </w:rPr>
        <w:t> </w:t>
      </w:r>
      <w:r>
        <w:rPr>
          <w:sz w:val="20"/>
        </w:rPr>
        <w:t>se</w:t>
      </w:r>
      <w:r>
        <w:rPr>
          <w:spacing w:val="-7"/>
          <w:sz w:val="20"/>
        </w:rPr>
        <w:t> </w:t>
      </w:r>
      <w:r>
        <w:rPr>
          <w:sz w:val="20"/>
        </w:rPr>
        <w:t>compreender</w:t>
      </w:r>
      <w:r>
        <w:rPr>
          <w:spacing w:val="-1"/>
          <w:sz w:val="20"/>
        </w:rPr>
        <w:t> </w:t>
      </w:r>
      <w:r>
        <w:rPr>
          <w:sz w:val="20"/>
        </w:rPr>
        <w:t>a</w:t>
      </w:r>
      <w:r>
        <w:rPr>
          <w:spacing w:val="-7"/>
          <w:sz w:val="20"/>
        </w:rPr>
        <w:t> </w:t>
      </w:r>
      <w:r>
        <w:rPr>
          <w:sz w:val="20"/>
        </w:rPr>
        <w:t>fisiopatologia da doença com ênfase em seus preditores, até estudos que se propõem a criar novos métodos diagnósticos e terapêuticos. Em se tratando do código genético, com aproximadamente dois milhões de polimorfismos estimados, avaliar o efeito isolado de um determinado</w:t>
      </w:r>
      <w:r>
        <w:rPr>
          <w:spacing w:val="-9"/>
          <w:sz w:val="20"/>
        </w:rPr>
        <w:t> </w:t>
      </w:r>
      <w:r>
        <w:rPr>
          <w:sz w:val="20"/>
        </w:rPr>
        <w:t>alelo</w:t>
      </w:r>
      <w:r>
        <w:rPr>
          <w:spacing w:val="-9"/>
          <w:sz w:val="20"/>
        </w:rPr>
        <w:t> </w:t>
      </w:r>
      <w:r>
        <w:rPr>
          <w:sz w:val="20"/>
        </w:rPr>
        <w:t>é</w:t>
      </w:r>
      <w:r>
        <w:rPr>
          <w:spacing w:val="-11"/>
          <w:sz w:val="20"/>
        </w:rPr>
        <w:t> </w:t>
      </w:r>
      <w:r>
        <w:rPr>
          <w:sz w:val="20"/>
        </w:rPr>
        <w:t>um</w:t>
      </w:r>
      <w:r>
        <w:rPr>
          <w:spacing w:val="-9"/>
          <w:sz w:val="20"/>
        </w:rPr>
        <w:t> </w:t>
      </w:r>
      <w:r>
        <w:rPr>
          <w:sz w:val="20"/>
        </w:rPr>
        <w:t>desafio,</w:t>
      </w:r>
      <w:r>
        <w:rPr>
          <w:spacing w:val="-2"/>
          <w:sz w:val="20"/>
        </w:rPr>
        <w:t> </w:t>
      </w:r>
      <w:r>
        <w:rPr>
          <w:sz w:val="20"/>
        </w:rPr>
        <w:t>principalmente</w:t>
      </w:r>
      <w:r>
        <w:rPr>
          <w:spacing w:val="-11"/>
          <w:sz w:val="20"/>
        </w:rPr>
        <w:t> </w:t>
      </w:r>
      <w:r>
        <w:rPr>
          <w:sz w:val="20"/>
        </w:rPr>
        <w:t>na</w:t>
      </w:r>
      <w:r>
        <w:rPr>
          <w:spacing w:val="-11"/>
          <w:sz w:val="20"/>
        </w:rPr>
        <w:t> </w:t>
      </w:r>
      <w:r>
        <w:rPr>
          <w:sz w:val="20"/>
        </w:rPr>
        <w:t>determinação</w:t>
      </w:r>
      <w:r>
        <w:rPr>
          <w:spacing w:val="-9"/>
          <w:sz w:val="20"/>
        </w:rPr>
        <w:t> </w:t>
      </w:r>
      <w:r>
        <w:rPr>
          <w:sz w:val="20"/>
        </w:rPr>
        <w:t>de</w:t>
      </w:r>
      <w:r>
        <w:rPr>
          <w:spacing w:val="-11"/>
          <w:sz w:val="20"/>
        </w:rPr>
        <w:t> </w:t>
      </w:r>
      <w:r>
        <w:rPr>
          <w:sz w:val="20"/>
        </w:rPr>
        <w:t>patologias</w:t>
      </w:r>
      <w:r>
        <w:rPr>
          <w:spacing w:val="-2"/>
          <w:sz w:val="20"/>
        </w:rPr>
        <w:t> </w:t>
      </w:r>
      <w:r>
        <w:rPr>
          <w:sz w:val="20"/>
        </w:rPr>
        <w:t>complexas,</w:t>
      </w:r>
      <w:r>
        <w:rPr>
          <w:spacing w:val="-2"/>
          <w:sz w:val="20"/>
        </w:rPr>
        <w:t> </w:t>
      </w:r>
      <w:r>
        <w:rPr>
          <w:sz w:val="20"/>
        </w:rPr>
        <w:t>como</w:t>
      </w:r>
      <w:r>
        <w:rPr>
          <w:spacing w:val="-9"/>
          <w:sz w:val="20"/>
        </w:rPr>
        <w:t> </w:t>
      </w:r>
      <w:r>
        <w:rPr>
          <w:sz w:val="20"/>
        </w:rPr>
        <w:t>a</w:t>
      </w:r>
      <w:r>
        <w:rPr>
          <w:spacing w:val="-11"/>
          <w:sz w:val="20"/>
        </w:rPr>
        <w:t> </w:t>
      </w:r>
      <w:r>
        <w:rPr>
          <w:sz w:val="20"/>
        </w:rPr>
        <w:t>DAC,</w:t>
      </w:r>
      <w:r>
        <w:rPr>
          <w:spacing w:val="-2"/>
          <w:sz w:val="20"/>
        </w:rPr>
        <w:t> </w:t>
      </w:r>
      <w:r>
        <w:rPr>
          <w:sz w:val="20"/>
        </w:rPr>
        <w:t>muito</w:t>
      </w:r>
      <w:r>
        <w:rPr>
          <w:spacing w:val="-9"/>
          <w:sz w:val="20"/>
        </w:rPr>
        <w:t> </w:t>
      </w:r>
      <w:r>
        <w:rPr>
          <w:sz w:val="20"/>
        </w:rPr>
        <w:t>suscetível</w:t>
      </w:r>
      <w:r>
        <w:rPr>
          <w:spacing w:val="-6"/>
          <w:sz w:val="20"/>
        </w:rPr>
        <w:t> </w:t>
      </w:r>
      <w:r>
        <w:rPr>
          <w:sz w:val="20"/>
        </w:rPr>
        <w:t>a</w:t>
      </w:r>
      <w:r>
        <w:rPr>
          <w:spacing w:val="-11"/>
          <w:sz w:val="20"/>
        </w:rPr>
        <w:t> </w:t>
      </w:r>
      <w:r>
        <w:rPr>
          <w:sz w:val="20"/>
        </w:rPr>
        <w:t>interações gene-gene e gene-ambiente. A expressão de variações específicas em um sistema biológico complexo está sujeita a modificações de outros genes envolvidos no mesmo processo fisiológico, o que prejudica, por exemplo, a identificação real do papel de um determinado polimorfismo na homeostase do sistema. Em contrapartida, um traço herdado pode ser modificado ou manifesto por influências do meio ambiente, um polimorfismo, aparentemente de pouca influência em condições basais, gera um fenótipo alternativo após sofrer influências ambientais. No caso específico das síndromes isquêmicas agudas, esse quadro se torna mais evidente, uma vez que a simples observação dos fatores de risco populacionais é insuficiente para predizer com exatidão quando o paciente</w:t>
      </w:r>
      <w:r>
        <w:rPr>
          <w:spacing w:val="-10"/>
          <w:sz w:val="20"/>
        </w:rPr>
        <w:t> </w:t>
      </w:r>
      <w:r>
        <w:rPr>
          <w:sz w:val="20"/>
        </w:rPr>
        <w:t>evoluirá</w:t>
      </w:r>
      <w:r>
        <w:rPr>
          <w:spacing w:val="-10"/>
          <w:sz w:val="20"/>
        </w:rPr>
        <w:t> </w:t>
      </w:r>
      <w:r>
        <w:rPr>
          <w:sz w:val="20"/>
        </w:rPr>
        <w:t>de</w:t>
      </w:r>
      <w:r>
        <w:rPr>
          <w:spacing w:val="-10"/>
          <w:sz w:val="20"/>
        </w:rPr>
        <w:t> </w:t>
      </w:r>
      <w:r>
        <w:rPr>
          <w:sz w:val="20"/>
        </w:rPr>
        <w:t>um</w:t>
      </w:r>
      <w:r>
        <w:rPr>
          <w:spacing w:val="-8"/>
          <w:sz w:val="20"/>
        </w:rPr>
        <w:t> </w:t>
      </w:r>
      <w:r>
        <w:rPr>
          <w:sz w:val="20"/>
        </w:rPr>
        <w:t>estado</w:t>
      </w:r>
      <w:r>
        <w:rPr>
          <w:spacing w:val="-8"/>
          <w:sz w:val="20"/>
        </w:rPr>
        <w:t> </w:t>
      </w:r>
      <w:r>
        <w:rPr>
          <w:sz w:val="20"/>
        </w:rPr>
        <w:t>estável</w:t>
      </w:r>
      <w:r>
        <w:rPr>
          <w:spacing w:val="-6"/>
          <w:sz w:val="20"/>
        </w:rPr>
        <w:t> </w:t>
      </w:r>
      <w:r>
        <w:rPr>
          <w:sz w:val="20"/>
        </w:rPr>
        <w:t>para</w:t>
      </w:r>
      <w:r>
        <w:rPr>
          <w:spacing w:val="-10"/>
          <w:sz w:val="20"/>
        </w:rPr>
        <w:t> </w:t>
      </w:r>
      <w:r>
        <w:rPr>
          <w:sz w:val="20"/>
        </w:rPr>
        <w:t>a</w:t>
      </w:r>
      <w:r>
        <w:rPr>
          <w:spacing w:val="-10"/>
          <w:sz w:val="20"/>
        </w:rPr>
        <w:t> </w:t>
      </w:r>
      <w:r>
        <w:rPr>
          <w:sz w:val="20"/>
        </w:rPr>
        <w:t>síndrome</w:t>
      </w:r>
      <w:r>
        <w:rPr>
          <w:spacing w:val="-10"/>
          <w:sz w:val="20"/>
        </w:rPr>
        <w:t> </w:t>
      </w:r>
      <w:r>
        <w:rPr>
          <w:sz w:val="20"/>
        </w:rPr>
        <w:t>aguda,</w:t>
      </w:r>
      <w:r>
        <w:rPr>
          <w:spacing w:val="-2"/>
          <w:sz w:val="20"/>
        </w:rPr>
        <w:t> </w:t>
      </w:r>
      <w:r>
        <w:rPr>
          <w:sz w:val="20"/>
        </w:rPr>
        <w:t>o</w:t>
      </w:r>
      <w:r>
        <w:rPr>
          <w:spacing w:val="-8"/>
          <w:sz w:val="20"/>
        </w:rPr>
        <w:t> </w:t>
      </w:r>
      <w:r>
        <w:rPr>
          <w:sz w:val="20"/>
        </w:rPr>
        <w:t>que</w:t>
      </w:r>
      <w:r>
        <w:rPr>
          <w:spacing w:val="-10"/>
          <w:sz w:val="20"/>
        </w:rPr>
        <w:t> </w:t>
      </w:r>
      <w:r>
        <w:rPr>
          <w:sz w:val="20"/>
        </w:rPr>
        <w:t>confere</w:t>
      </w:r>
      <w:r>
        <w:rPr>
          <w:spacing w:val="-10"/>
          <w:sz w:val="20"/>
        </w:rPr>
        <w:t> </w:t>
      </w:r>
      <w:r>
        <w:rPr>
          <w:sz w:val="20"/>
        </w:rPr>
        <w:t>particular</w:t>
      </w:r>
      <w:r>
        <w:rPr>
          <w:spacing w:val="-3"/>
          <w:sz w:val="20"/>
        </w:rPr>
        <w:t> </w:t>
      </w:r>
      <w:r>
        <w:rPr>
          <w:sz w:val="20"/>
        </w:rPr>
        <w:t>importância</w:t>
      </w:r>
      <w:r>
        <w:rPr>
          <w:spacing w:val="-10"/>
          <w:sz w:val="20"/>
        </w:rPr>
        <w:t> </w:t>
      </w:r>
      <w:r>
        <w:rPr>
          <w:sz w:val="20"/>
        </w:rPr>
        <w:t>ao</w:t>
      </w:r>
      <w:r>
        <w:rPr>
          <w:spacing w:val="-8"/>
          <w:sz w:val="20"/>
        </w:rPr>
        <w:t> </w:t>
      </w:r>
      <w:r>
        <w:rPr>
          <w:sz w:val="20"/>
        </w:rPr>
        <w:t>estudo</w:t>
      </w:r>
      <w:r>
        <w:rPr>
          <w:spacing w:val="-8"/>
          <w:sz w:val="20"/>
        </w:rPr>
        <w:t> </w:t>
      </w:r>
      <w:r>
        <w:rPr>
          <w:sz w:val="20"/>
        </w:rPr>
        <w:t>de</w:t>
      </w:r>
      <w:r>
        <w:rPr>
          <w:spacing w:val="-10"/>
          <w:sz w:val="20"/>
        </w:rPr>
        <w:t> </w:t>
      </w:r>
      <w:r>
        <w:rPr>
          <w:sz w:val="20"/>
        </w:rPr>
        <w:t>marcadores</w:t>
      </w:r>
      <w:r>
        <w:rPr>
          <w:spacing w:val="-2"/>
          <w:sz w:val="20"/>
        </w:rPr>
        <w:t> </w:t>
      </w:r>
      <w:r>
        <w:rPr>
          <w:sz w:val="20"/>
        </w:rPr>
        <w:t>genéticos do</w:t>
      </w:r>
      <w:r>
        <w:rPr>
          <w:spacing w:val="-9"/>
          <w:sz w:val="20"/>
        </w:rPr>
        <w:t> </w:t>
      </w:r>
      <w:r>
        <w:rPr>
          <w:sz w:val="20"/>
        </w:rPr>
        <w:t>estado</w:t>
      </w:r>
      <w:r>
        <w:rPr>
          <w:spacing w:val="-9"/>
          <w:sz w:val="20"/>
        </w:rPr>
        <w:t> </w:t>
      </w:r>
      <w:r>
        <w:rPr>
          <w:sz w:val="20"/>
        </w:rPr>
        <w:t>inflamatório,</w:t>
      </w:r>
      <w:r>
        <w:rPr>
          <w:spacing w:val="-2"/>
          <w:sz w:val="20"/>
        </w:rPr>
        <w:t> </w:t>
      </w:r>
      <w:r>
        <w:rPr>
          <w:sz w:val="20"/>
        </w:rPr>
        <w:t>de</w:t>
      </w:r>
      <w:r>
        <w:rPr>
          <w:spacing w:val="-11"/>
          <w:sz w:val="20"/>
        </w:rPr>
        <w:t> </w:t>
      </w:r>
      <w:r>
        <w:rPr>
          <w:sz w:val="20"/>
        </w:rPr>
        <w:t>vulnerabilidade</w:t>
      </w:r>
      <w:r>
        <w:rPr>
          <w:spacing w:val="-11"/>
          <w:sz w:val="20"/>
        </w:rPr>
        <w:t> </w:t>
      </w:r>
      <w:r>
        <w:rPr>
          <w:sz w:val="20"/>
        </w:rPr>
        <w:t>da</w:t>
      </w:r>
      <w:r>
        <w:rPr>
          <w:spacing w:val="-11"/>
          <w:sz w:val="20"/>
        </w:rPr>
        <w:t> </w:t>
      </w:r>
      <w:r>
        <w:rPr>
          <w:sz w:val="20"/>
        </w:rPr>
        <w:t>placa</w:t>
      </w:r>
      <w:r>
        <w:rPr>
          <w:spacing w:val="-11"/>
          <w:sz w:val="20"/>
        </w:rPr>
        <w:t> </w:t>
      </w:r>
      <w:r>
        <w:rPr>
          <w:sz w:val="20"/>
        </w:rPr>
        <w:t>e</w:t>
      </w:r>
      <w:r>
        <w:rPr>
          <w:spacing w:val="-11"/>
          <w:sz w:val="20"/>
        </w:rPr>
        <w:t> </w:t>
      </w:r>
      <w:r>
        <w:rPr>
          <w:sz w:val="20"/>
        </w:rPr>
        <w:t>expressão</w:t>
      </w:r>
      <w:r>
        <w:rPr>
          <w:spacing w:val="-9"/>
          <w:sz w:val="20"/>
        </w:rPr>
        <w:t> </w:t>
      </w:r>
      <w:r>
        <w:rPr>
          <w:sz w:val="20"/>
        </w:rPr>
        <w:t>de</w:t>
      </w:r>
      <w:r>
        <w:rPr>
          <w:spacing w:val="-11"/>
          <w:sz w:val="20"/>
        </w:rPr>
        <w:t> </w:t>
      </w:r>
      <w:r>
        <w:rPr>
          <w:sz w:val="20"/>
        </w:rPr>
        <w:t>genes</w:t>
      </w:r>
      <w:r>
        <w:rPr>
          <w:spacing w:val="-2"/>
          <w:sz w:val="20"/>
        </w:rPr>
        <w:t> </w:t>
      </w:r>
      <w:r>
        <w:rPr>
          <w:sz w:val="20"/>
        </w:rPr>
        <w:t>relacionados</w:t>
      </w:r>
      <w:r>
        <w:rPr>
          <w:spacing w:val="-2"/>
          <w:sz w:val="20"/>
        </w:rPr>
        <w:t> </w:t>
      </w:r>
      <w:r>
        <w:rPr>
          <w:sz w:val="20"/>
        </w:rPr>
        <w:t>que</w:t>
      </w:r>
      <w:r>
        <w:rPr>
          <w:spacing w:val="-11"/>
          <w:sz w:val="20"/>
        </w:rPr>
        <w:t> </w:t>
      </w:r>
      <w:r>
        <w:rPr>
          <w:sz w:val="20"/>
        </w:rPr>
        <w:t>podem</w:t>
      </w:r>
      <w:r>
        <w:rPr>
          <w:spacing w:val="-9"/>
          <w:sz w:val="20"/>
        </w:rPr>
        <w:t> </w:t>
      </w:r>
      <w:r>
        <w:rPr>
          <w:sz w:val="20"/>
        </w:rPr>
        <w:t>influenciar</w:t>
      </w:r>
      <w:r>
        <w:rPr>
          <w:spacing w:val="-4"/>
          <w:sz w:val="20"/>
        </w:rPr>
        <w:t> </w:t>
      </w:r>
      <w:r>
        <w:rPr>
          <w:sz w:val="20"/>
        </w:rPr>
        <w:t>o</w:t>
      </w:r>
      <w:r>
        <w:rPr>
          <w:spacing w:val="-9"/>
          <w:sz w:val="20"/>
        </w:rPr>
        <w:t> </w:t>
      </w:r>
      <w:r>
        <w:rPr>
          <w:sz w:val="20"/>
        </w:rPr>
        <w:t>prognóstico</w:t>
      </w:r>
      <w:r>
        <w:rPr>
          <w:spacing w:val="-9"/>
          <w:sz w:val="20"/>
        </w:rPr>
        <w:t> </w:t>
      </w:r>
      <w:r>
        <w:rPr>
          <w:sz w:val="20"/>
        </w:rPr>
        <w:t>e</w:t>
      </w:r>
      <w:r>
        <w:rPr>
          <w:spacing w:val="-11"/>
          <w:sz w:val="20"/>
        </w:rPr>
        <w:t> </w:t>
      </w:r>
      <w:r>
        <w:rPr>
          <w:sz w:val="20"/>
        </w:rPr>
        <w:t>nortear</w:t>
      </w:r>
      <w:r>
        <w:rPr>
          <w:spacing w:val="-4"/>
          <w:sz w:val="20"/>
        </w:rPr>
        <w:t> </w:t>
      </w:r>
      <w:r>
        <w:rPr>
          <w:sz w:val="20"/>
        </w:rPr>
        <w:t>o tratamento do indivíduo (</w:t>
      </w:r>
      <w:r>
        <w:rPr>
          <w:color w:val="505050"/>
          <w:sz w:val="20"/>
        </w:rPr>
        <w:t>Figuras 60.1 </w:t>
      </w:r>
      <w:r>
        <w:rPr>
          <w:sz w:val="20"/>
        </w:rPr>
        <w:t>a </w:t>
      </w:r>
      <w:r>
        <w:rPr>
          <w:color w:val="505050"/>
          <w:sz w:val="20"/>
        </w:rPr>
        <w:t>60.4</w:t>
      </w:r>
      <w:r>
        <w:rPr>
          <w:sz w:val="20"/>
        </w:rPr>
        <w:t>).</w:t>
      </w:r>
    </w:p>
    <w:p>
      <w:pPr>
        <w:pStyle w:val="BodyText"/>
        <w:spacing w:before="7"/>
        <w:ind w:left="0" w:firstLine="0"/>
        <w:jc w:val="left"/>
        <w:rPr>
          <w:sz w:val="17"/>
        </w:rPr>
      </w:pPr>
      <w:r>
        <w:rPr>
          <w:sz w:val="17"/>
        </w:rPr>
        <w:drawing>
          <wp:anchor distT="0" distB="0" distL="0" distR="0" allowOverlap="1" layoutInCell="1" locked="0" behindDoc="1" simplePos="0" relativeHeight="487638016">
            <wp:simplePos x="0" y="0"/>
            <wp:positionH relativeFrom="page">
              <wp:posOffset>1609140</wp:posOffset>
            </wp:positionH>
            <wp:positionV relativeFrom="paragraph">
              <wp:posOffset>144296</wp:posOffset>
            </wp:positionV>
            <wp:extent cx="4349387" cy="2205704"/>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84" cstate="print"/>
                    <a:stretch>
                      <a:fillRect/>
                    </a:stretch>
                  </pic:blipFill>
                  <pic:spPr>
                    <a:xfrm>
                      <a:off x="0" y="0"/>
                      <a:ext cx="4349387" cy="2205704"/>
                    </a:xfrm>
                    <a:prstGeom prst="rect">
                      <a:avLst/>
                    </a:prstGeom>
                  </pic:spPr>
                </pic:pic>
              </a:graphicData>
            </a:graphic>
          </wp:anchor>
        </w:drawing>
      </w:r>
    </w:p>
    <w:p>
      <w:pPr>
        <w:pStyle w:val="BodyText"/>
        <w:spacing w:before="28"/>
        <w:ind w:left="0" w:firstLine="0"/>
        <w:jc w:val="left"/>
        <w:rPr>
          <w:sz w:val="20"/>
        </w:rPr>
      </w:pPr>
    </w:p>
    <w:p>
      <w:pPr>
        <w:spacing w:before="0"/>
        <w:ind w:left="52" w:right="0" w:firstLine="0"/>
        <w:jc w:val="left"/>
        <w:rPr>
          <w:rFonts w:ascii="Microsoft Sans Serif" w:hAnsi="Microsoft Sans Serif"/>
          <w:sz w:val="16"/>
        </w:rPr>
      </w:pPr>
      <w:r>
        <w:rPr>
          <w:rFonts w:ascii="Arial" w:hAnsi="Arial"/>
          <w:b/>
          <w:color w:val="242B67"/>
          <w:w w:val="105"/>
          <w:sz w:val="16"/>
        </w:rPr>
        <w:t>Figura 60.1</w:t>
      </w:r>
      <w:r>
        <w:rPr>
          <w:rFonts w:ascii="Arial" w:hAnsi="Arial"/>
          <w:b/>
          <w:color w:val="242B67"/>
          <w:spacing w:val="1"/>
          <w:w w:val="105"/>
          <w:sz w:val="16"/>
        </w:rPr>
        <w:t> </w:t>
      </w:r>
      <w:r>
        <w:rPr>
          <w:rFonts w:ascii="Microsoft Sans Serif" w:hAnsi="Microsoft Sans Serif"/>
          <w:w w:val="105"/>
          <w:sz w:val="16"/>
        </w:rPr>
        <w:t>Modo</w:t>
      </w:r>
      <w:r>
        <w:rPr>
          <w:rFonts w:ascii="Microsoft Sans Serif" w:hAnsi="Microsoft Sans Serif"/>
          <w:spacing w:val="2"/>
          <w:w w:val="105"/>
          <w:sz w:val="16"/>
        </w:rPr>
        <w:t> </w:t>
      </w:r>
      <w:r>
        <w:rPr>
          <w:rFonts w:ascii="Microsoft Sans Serif" w:hAnsi="Microsoft Sans Serif"/>
          <w:w w:val="105"/>
          <w:sz w:val="16"/>
        </w:rPr>
        <w:t>de</w:t>
      </w:r>
      <w:r>
        <w:rPr>
          <w:rFonts w:ascii="Microsoft Sans Serif" w:hAnsi="Microsoft Sans Serif"/>
          <w:spacing w:val="3"/>
          <w:w w:val="105"/>
          <w:sz w:val="16"/>
        </w:rPr>
        <w:t> </w:t>
      </w:r>
      <w:r>
        <w:rPr>
          <w:rFonts w:ascii="Microsoft Sans Serif" w:hAnsi="Microsoft Sans Serif"/>
          <w:w w:val="105"/>
          <w:sz w:val="16"/>
        </w:rPr>
        <w:t>transmissão</w:t>
      </w:r>
      <w:r>
        <w:rPr>
          <w:rFonts w:ascii="Microsoft Sans Serif" w:hAnsi="Microsoft Sans Serif"/>
          <w:spacing w:val="3"/>
          <w:w w:val="105"/>
          <w:sz w:val="16"/>
        </w:rPr>
        <w:t> </w:t>
      </w:r>
      <w:r>
        <w:rPr>
          <w:rFonts w:ascii="Microsoft Sans Serif" w:hAnsi="Microsoft Sans Serif"/>
          <w:w w:val="105"/>
          <w:sz w:val="16"/>
        </w:rPr>
        <w:t>das</w:t>
      </w:r>
      <w:r>
        <w:rPr>
          <w:rFonts w:ascii="Microsoft Sans Serif" w:hAnsi="Microsoft Sans Serif"/>
          <w:spacing w:val="-2"/>
          <w:w w:val="105"/>
          <w:sz w:val="16"/>
        </w:rPr>
        <w:t> </w:t>
      </w:r>
      <w:r>
        <w:rPr>
          <w:rFonts w:ascii="Microsoft Sans Serif" w:hAnsi="Microsoft Sans Serif"/>
          <w:w w:val="105"/>
          <w:sz w:val="16"/>
        </w:rPr>
        <w:t>doenças</w:t>
      </w:r>
      <w:r>
        <w:rPr>
          <w:rFonts w:ascii="Microsoft Sans Serif" w:hAnsi="Microsoft Sans Serif"/>
          <w:spacing w:val="-1"/>
          <w:w w:val="105"/>
          <w:sz w:val="16"/>
        </w:rPr>
        <w:t> </w:t>
      </w:r>
      <w:r>
        <w:rPr>
          <w:rFonts w:ascii="Microsoft Sans Serif" w:hAnsi="Microsoft Sans Serif"/>
          <w:w w:val="105"/>
          <w:sz w:val="16"/>
        </w:rPr>
        <w:t>com</w:t>
      </w:r>
      <w:r>
        <w:rPr>
          <w:rFonts w:ascii="Microsoft Sans Serif" w:hAnsi="Microsoft Sans Serif"/>
          <w:spacing w:val="-2"/>
          <w:w w:val="105"/>
          <w:sz w:val="16"/>
        </w:rPr>
        <w:t> </w:t>
      </w:r>
      <w:r>
        <w:rPr>
          <w:rFonts w:ascii="Microsoft Sans Serif" w:hAnsi="Microsoft Sans Serif"/>
          <w:w w:val="105"/>
          <w:sz w:val="16"/>
        </w:rPr>
        <w:t>componente</w:t>
      </w:r>
      <w:r>
        <w:rPr>
          <w:rFonts w:ascii="Microsoft Sans Serif" w:hAnsi="Microsoft Sans Serif"/>
          <w:spacing w:val="3"/>
          <w:w w:val="105"/>
          <w:sz w:val="16"/>
        </w:rPr>
        <w:t> </w:t>
      </w:r>
      <w:r>
        <w:rPr>
          <w:rFonts w:ascii="Microsoft Sans Serif" w:hAnsi="Microsoft Sans Serif"/>
          <w:spacing w:val="-2"/>
          <w:w w:val="105"/>
          <w:sz w:val="16"/>
        </w:rPr>
        <w:t>genético.</w:t>
      </w:r>
    </w:p>
    <w:p>
      <w:pPr>
        <w:spacing w:after="0"/>
        <w:jc w:val="left"/>
        <w:rPr>
          <w:rFonts w:ascii="Microsoft Sans Serif" w:hAnsi="Microsoft Sans Serif"/>
          <w:sz w:val="16"/>
        </w:rPr>
        <w:sectPr>
          <w:pgSz w:w="11900" w:h="16840"/>
          <w:pgMar w:top="960" w:bottom="0" w:left="566" w:right="141"/>
        </w:sectPr>
      </w:pPr>
    </w:p>
    <w:p>
      <w:pPr>
        <w:spacing w:line="240" w:lineRule="auto"/>
        <w:ind w:left="1982" w:right="0" w:firstLine="0"/>
        <w:rPr>
          <w:rFonts w:ascii="Microsoft Sans Serif"/>
          <w:sz w:val="20"/>
        </w:rPr>
      </w:pPr>
      <w:r>
        <w:rPr>
          <w:rFonts w:ascii="Microsoft Sans Serif"/>
          <w:sz w:val="20"/>
        </w:rPr>
        <w:drawing>
          <wp:inline distT="0" distB="0" distL="0" distR="0">
            <wp:extent cx="4340540" cy="2595467"/>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85" cstate="print"/>
                    <a:stretch>
                      <a:fillRect/>
                    </a:stretch>
                  </pic:blipFill>
                  <pic:spPr>
                    <a:xfrm>
                      <a:off x="0" y="0"/>
                      <a:ext cx="4340540" cy="2595467"/>
                    </a:xfrm>
                    <a:prstGeom prst="rect">
                      <a:avLst/>
                    </a:prstGeom>
                  </pic:spPr>
                </pic:pic>
              </a:graphicData>
            </a:graphic>
          </wp:inline>
        </w:drawing>
      </w:r>
      <w:r>
        <w:rPr>
          <w:rFonts w:ascii="Microsoft Sans Serif"/>
          <w:sz w:val="20"/>
        </w:rPr>
      </w:r>
    </w:p>
    <w:p>
      <w:pPr>
        <w:pStyle w:val="BodyText"/>
        <w:spacing w:before="61"/>
        <w:ind w:left="0" w:firstLine="0"/>
        <w:jc w:val="left"/>
        <w:rPr>
          <w:rFonts w:ascii="Microsoft Sans Serif"/>
          <w:sz w:val="16"/>
        </w:rPr>
      </w:pPr>
    </w:p>
    <w:p>
      <w:pPr>
        <w:spacing w:before="0"/>
        <w:ind w:left="52" w:right="0" w:firstLine="0"/>
        <w:jc w:val="left"/>
        <w:rPr>
          <w:rFonts w:ascii="Microsoft Sans Serif" w:hAnsi="Microsoft Sans Serif"/>
          <w:sz w:val="16"/>
        </w:rPr>
      </w:pPr>
      <w:r>
        <w:rPr>
          <w:rFonts w:ascii="Arial" w:hAnsi="Arial"/>
          <w:b/>
          <w:color w:val="242B67"/>
          <w:w w:val="105"/>
          <w:sz w:val="16"/>
        </w:rPr>
        <w:t>Figura</w:t>
      </w:r>
      <w:r>
        <w:rPr>
          <w:rFonts w:ascii="Arial" w:hAnsi="Arial"/>
          <w:b/>
          <w:color w:val="242B67"/>
          <w:spacing w:val="-1"/>
          <w:w w:val="105"/>
          <w:sz w:val="16"/>
        </w:rPr>
        <w:t> </w:t>
      </w:r>
      <w:r>
        <w:rPr>
          <w:rFonts w:ascii="Arial" w:hAnsi="Arial"/>
          <w:b/>
          <w:color w:val="242B67"/>
          <w:w w:val="105"/>
          <w:sz w:val="16"/>
        </w:rPr>
        <w:t>60.2</w:t>
      </w:r>
      <w:r>
        <w:rPr>
          <w:rFonts w:ascii="Arial" w:hAnsi="Arial"/>
          <w:b/>
          <w:color w:val="242B67"/>
          <w:spacing w:val="-1"/>
          <w:w w:val="105"/>
          <w:sz w:val="16"/>
        </w:rPr>
        <w:t> </w:t>
      </w:r>
      <w:r>
        <w:rPr>
          <w:rFonts w:ascii="Microsoft Sans Serif" w:hAnsi="Microsoft Sans Serif"/>
          <w:w w:val="105"/>
          <w:sz w:val="16"/>
        </w:rPr>
        <w:t>Modo</w:t>
      </w:r>
      <w:r>
        <w:rPr>
          <w:rFonts w:ascii="Microsoft Sans Serif" w:hAnsi="Microsoft Sans Serif"/>
          <w:spacing w:val="2"/>
          <w:w w:val="105"/>
          <w:sz w:val="16"/>
        </w:rPr>
        <w:t> </w:t>
      </w:r>
      <w:r>
        <w:rPr>
          <w:rFonts w:ascii="Microsoft Sans Serif" w:hAnsi="Microsoft Sans Serif"/>
          <w:w w:val="105"/>
          <w:sz w:val="16"/>
        </w:rPr>
        <w:t>de</w:t>
      </w:r>
      <w:r>
        <w:rPr>
          <w:rFonts w:ascii="Microsoft Sans Serif" w:hAnsi="Microsoft Sans Serif"/>
          <w:spacing w:val="1"/>
          <w:w w:val="105"/>
          <w:sz w:val="16"/>
        </w:rPr>
        <w:t> </w:t>
      </w:r>
      <w:r>
        <w:rPr>
          <w:rFonts w:ascii="Microsoft Sans Serif" w:hAnsi="Microsoft Sans Serif"/>
          <w:w w:val="105"/>
          <w:sz w:val="16"/>
        </w:rPr>
        <w:t>transmissão</w:t>
      </w:r>
      <w:r>
        <w:rPr>
          <w:rFonts w:ascii="Microsoft Sans Serif" w:hAnsi="Microsoft Sans Serif"/>
          <w:spacing w:val="2"/>
          <w:w w:val="105"/>
          <w:sz w:val="16"/>
        </w:rPr>
        <w:t> </w:t>
      </w:r>
      <w:r>
        <w:rPr>
          <w:rFonts w:ascii="Microsoft Sans Serif" w:hAnsi="Microsoft Sans Serif"/>
          <w:w w:val="105"/>
          <w:sz w:val="16"/>
        </w:rPr>
        <w:t>das</w:t>
      </w:r>
      <w:r>
        <w:rPr>
          <w:rFonts w:ascii="Microsoft Sans Serif" w:hAnsi="Microsoft Sans Serif"/>
          <w:spacing w:val="-3"/>
          <w:w w:val="105"/>
          <w:sz w:val="16"/>
        </w:rPr>
        <w:t> </w:t>
      </w:r>
      <w:r>
        <w:rPr>
          <w:rFonts w:ascii="Microsoft Sans Serif" w:hAnsi="Microsoft Sans Serif"/>
          <w:w w:val="105"/>
          <w:sz w:val="16"/>
        </w:rPr>
        <w:t>doenças</w:t>
      </w:r>
      <w:r>
        <w:rPr>
          <w:rFonts w:ascii="Microsoft Sans Serif" w:hAnsi="Microsoft Sans Serif"/>
          <w:spacing w:val="-2"/>
          <w:w w:val="105"/>
          <w:sz w:val="16"/>
        </w:rPr>
        <w:t> monogênicas.</w:t>
      </w:r>
    </w:p>
    <w:p>
      <w:pPr>
        <w:pStyle w:val="BodyText"/>
        <w:spacing w:before="22"/>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38528">
            <wp:simplePos x="0" y="0"/>
            <wp:positionH relativeFrom="page">
              <wp:posOffset>1591475</wp:posOffset>
            </wp:positionH>
            <wp:positionV relativeFrom="paragraph">
              <wp:posOffset>172962</wp:posOffset>
            </wp:positionV>
            <wp:extent cx="4384842" cy="2152554"/>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86" cstate="print"/>
                    <a:stretch>
                      <a:fillRect/>
                    </a:stretch>
                  </pic:blipFill>
                  <pic:spPr>
                    <a:xfrm>
                      <a:off x="0" y="0"/>
                      <a:ext cx="4384842" cy="2152554"/>
                    </a:xfrm>
                    <a:prstGeom prst="rect">
                      <a:avLst/>
                    </a:prstGeom>
                  </pic:spPr>
                </pic:pic>
              </a:graphicData>
            </a:graphic>
          </wp:anchor>
        </w:drawing>
      </w:r>
    </w:p>
    <w:p>
      <w:pPr>
        <w:pStyle w:val="BodyText"/>
        <w:spacing w:before="77"/>
        <w:ind w:left="0" w:firstLine="0"/>
        <w:jc w:val="left"/>
        <w:rPr>
          <w:rFonts w:ascii="Microsoft Sans Serif"/>
          <w:sz w:val="16"/>
        </w:rPr>
      </w:pPr>
    </w:p>
    <w:p>
      <w:pPr>
        <w:spacing w:before="0"/>
        <w:ind w:left="52" w:right="0" w:firstLine="0"/>
        <w:jc w:val="left"/>
        <w:rPr>
          <w:rFonts w:ascii="Microsoft Sans Serif" w:hAnsi="Microsoft Sans Serif"/>
          <w:sz w:val="16"/>
        </w:rPr>
      </w:pPr>
      <w:r>
        <w:rPr>
          <w:rFonts w:ascii="Arial" w:hAnsi="Arial"/>
          <w:b/>
          <w:color w:val="242B67"/>
          <w:w w:val="105"/>
          <w:sz w:val="16"/>
        </w:rPr>
        <w:t>Figura</w:t>
      </w:r>
      <w:r>
        <w:rPr>
          <w:rFonts w:ascii="Arial" w:hAnsi="Arial"/>
          <w:b/>
          <w:color w:val="242B67"/>
          <w:spacing w:val="-1"/>
          <w:w w:val="105"/>
          <w:sz w:val="16"/>
        </w:rPr>
        <w:t> </w:t>
      </w:r>
      <w:r>
        <w:rPr>
          <w:rFonts w:ascii="Arial" w:hAnsi="Arial"/>
          <w:b/>
          <w:color w:val="242B67"/>
          <w:w w:val="105"/>
          <w:sz w:val="16"/>
        </w:rPr>
        <w:t>60.3</w:t>
      </w:r>
      <w:r>
        <w:rPr>
          <w:rFonts w:ascii="Arial" w:hAnsi="Arial"/>
          <w:b/>
          <w:color w:val="242B67"/>
          <w:spacing w:val="-1"/>
          <w:w w:val="105"/>
          <w:sz w:val="16"/>
        </w:rPr>
        <w:t> </w:t>
      </w:r>
      <w:r>
        <w:rPr>
          <w:rFonts w:ascii="Microsoft Sans Serif" w:hAnsi="Microsoft Sans Serif"/>
          <w:w w:val="105"/>
          <w:sz w:val="16"/>
        </w:rPr>
        <w:t>Modo</w:t>
      </w:r>
      <w:r>
        <w:rPr>
          <w:rFonts w:ascii="Microsoft Sans Serif" w:hAnsi="Microsoft Sans Serif"/>
          <w:spacing w:val="2"/>
          <w:w w:val="105"/>
          <w:sz w:val="16"/>
        </w:rPr>
        <w:t> </w:t>
      </w:r>
      <w:r>
        <w:rPr>
          <w:rFonts w:ascii="Microsoft Sans Serif" w:hAnsi="Microsoft Sans Serif"/>
          <w:w w:val="105"/>
          <w:sz w:val="16"/>
        </w:rPr>
        <w:t>de</w:t>
      </w:r>
      <w:r>
        <w:rPr>
          <w:rFonts w:ascii="Microsoft Sans Serif" w:hAnsi="Microsoft Sans Serif"/>
          <w:spacing w:val="1"/>
          <w:w w:val="105"/>
          <w:sz w:val="16"/>
        </w:rPr>
        <w:t> </w:t>
      </w:r>
      <w:r>
        <w:rPr>
          <w:rFonts w:ascii="Microsoft Sans Serif" w:hAnsi="Microsoft Sans Serif"/>
          <w:w w:val="105"/>
          <w:sz w:val="16"/>
        </w:rPr>
        <w:t>transmissão</w:t>
      </w:r>
      <w:r>
        <w:rPr>
          <w:rFonts w:ascii="Microsoft Sans Serif" w:hAnsi="Microsoft Sans Serif"/>
          <w:spacing w:val="2"/>
          <w:w w:val="105"/>
          <w:sz w:val="16"/>
        </w:rPr>
        <w:t> </w:t>
      </w:r>
      <w:r>
        <w:rPr>
          <w:rFonts w:ascii="Microsoft Sans Serif" w:hAnsi="Microsoft Sans Serif"/>
          <w:w w:val="105"/>
          <w:sz w:val="16"/>
        </w:rPr>
        <w:t>das</w:t>
      </w:r>
      <w:r>
        <w:rPr>
          <w:rFonts w:ascii="Microsoft Sans Serif" w:hAnsi="Microsoft Sans Serif"/>
          <w:spacing w:val="-3"/>
          <w:w w:val="105"/>
          <w:sz w:val="16"/>
        </w:rPr>
        <w:t> </w:t>
      </w:r>
      <w:r>
        <w:rPr>
          <w:rFonts w:ascii="Microsoft Sans Serif" w:hAnsi="Microsoft Sans Serif"/>
          <w:w w:val="105"/>
          <w:sz w:val="16"/>
        </w:rPr>
        <w:t>doenças</w:t>
      </w:r>
      <w:r>
        <w:rPr>
          <w:rFonts w:ascii="Microsoft Sans Serif" w:hAnsi="Microsoft Sans Serif"/>
          <w:spacing w:val="-2"/>
          <w:w w:val="105"/>
          <w:sz w:val="16"/>
        </w:rPr>
        <w:t> complexas.</w:t>
      </w:r>
    </w:p>
    <w:p>
      <w:pPr>
        <w:pStyle w:val="BodyText"/>
        <w:spacing w:before="22"/>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39040">
            <wp:simplePos x="0" y="0"/>
            <wp:positionH relativeFrom="page">
              <wp:posOffset>1617980</wp:posOffset>
            </wp:positionH>
            <wp:positionV relativeFrom="paragraph">
              <wp:posOffset>173172</wp:posOffset>
            </wp:positionV>
            <wp:extent cx="4331675" cy="1541335"/>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87" cstate="print"/>
                    <a:stretch>
                      <a:fillRect/>
                    </a:stretch>
                  </pic:blipFill>
                  <pic:spPr>
                    <a:xfrm>
                      <a:off x="0" y="0"/>
                      <a:ext cx="4331675" cy="1541335"/>
                    </a:xfrm>
                    <a:prstGeom prst="rect">
                      <a:avLst/>
                    </a:prstGeom>
                  </pic:spPr>
                </pic:pic>
              </a:graphicData>
            </a:graphic>
          </wp:anchor>
        </w:drawing>
      </w:r>
    </w:p>
    <w:p>
      <w:pPr>
        <w:pStyle w:val="BodyText"/>
        <w:ind w:left="0" w:firstLine="0"/>
        <w:jc w:val="left"/>
        <w:rPr>
          <w:rFonts w:ascii="Microsoft Sans Serif"/>
          <w:sz w:val="16"/>
        </w:rPr>
      </w:pPr>
    </w:p>
    <w:p>
      <w:pPr>
        <w:spacing w:before="1"/>
        <w:ind w:left="52" w:right="0" w:firstLine="0"/>
        <w:jc w:val="left"/>
        <w:rPr>
          <w:rFonts w:ascii="Microsoft Sans Serif" w:hAnsi="Microsoft Sans Serif"/>
          <w:sz w:val="16"/>
        </w:rPr>
      </w:pPr>
      <w:r>
        <w:rPr>
          <w:rFonts w:ascii="Arial" w:hAnsi="Arial"/>
          <w:b/>
          <w:color w:val="242B67"/>
          <w:w w:val="105"/>
          <w:sz w:val="16"/>
        </w:rPr>
        <w:t>Figura 60.4</w:t>
      </w:r>
      <w:r>
        <w:rPr>
          <w:rFonts w:ascii="Arial" w:hAnsi="Arial"/>
          <w:b/>
          <w:color w:val="242B67"/>
          <w:spacing w:val="1"/>
          <w:w w:val="105"/>
          <w:sz w:val="16"/>
        </w:rPr>
        <w:t> </w:t>
      </w:r>
      <w:r>
        <w:rPr>
          <w:rFonts w:ascii="Microsoft Sans Serif" w:hAnsi="Microsoft Sans Serif"/>
          <w:w w:val="105"/>
          <w:sz w:val="16"/>
        </w:rPr>
        <w:t>Modelo</w:t>
      </w:r>
      <w:r>
        <w:rPr>
          <w:rFonts w:ascii="Microsoft Sans Serif" w:hAnsi="Microsoft Sans Serif"/>
          <w:spacing w:val="3"/>
          <w:w w:val="105"/>
          <w:sz w:val="16"/>
        </w:rPr>
        <w:t> </w:t>
      </w:r>
      <w:r>
        <w:rPr>
          <w:rFonts w:ascii="Microsoft Sans Serif" w:hAnsi="Microsoft Sans Serif"/>
          <w:w w:val="105"/>
          <w:sz w:val="16"/>
        </w:rPr>
        <w:t>multifatorial</w:t>
      </w:r>
      <w:r>
        <w:rPr>
          <w:rFonts w:ascii="Microsoft Sans Serif" w:hAnsi="Microsoft Sans Serif"/>
          <w:spacing w:val="3"/>
          <w:w w:val="105"/>
          <w:sz w:val="16"/>
        </w:rPr>
        <w:t> </w:t>
      </w:r>
      <w:r>
        <w:rPr>
          <w:rFonts w:ascii="Microsoft Sans Serif" w:hAnsi="Microsoft Sans Serif"/>
          <w:w w:val="105"/>
          <w:sz w:val="16"/>
        </w:rPr>
        <w:t>de</w:t>
      </w:r>
      <w:r>
        <w:rPr>
          <w:rFonts w:ascii="Microsoft Sans Serif" w:hAnsi="Microsoft Sans Serif"/>
          <w:spacing w:val="3"/>
          <w:w w:val="105"/>
          <w:sz w:val="16"/>
        </w:rPr>
        <w:t> </w:t>
      </w:r>
      <w:r>
        <w:rPr>
          <w:rFonts w:ascii="Microsoft Sans Serif" w:hAnsi="Microsoft Sans Serif"/>
          <w:w w:val="105"/>
          <w:sz w:val="16"/>
        </w:rPr>
        <w:t>transmissão</w:t>
      </w:r>
      <w:r>
        <w:rPr>
          <w:rFonts w:ascii="Microsoft Sans Serif" w:hAnsi="Microsoft Sans Serif"/>
          <w:spacing w:val="2"/>
          <w:w w:val="105"/>
          <w:sz w:val="16"/>
        </w:rPr>
        <w:t> </w:t>
      </w:r>
      <w:r>
        <w:rPr>
          <w:rFonts w:ascii="Microsoft Sans Serif" w:hAnsi="Microsoft Sans Serif"/>
          <w:w w:val="105"/>
          <w:sz w:val="16"/>
        </w:rPr>
        <w:t>das</w:t>
      </w:r>
      <w:r>
        <w:rPr>
          <w:rFonts w:ascii="Microsoft Sans Serif" w:hAnsi="Microsoft Sans Serif"/>
          <w:spacing w:val="-1"/>
          <w:w w:val="105"/>
          <w:sz w:val="16"/>
        </w:rPr>
        <w:t> </w:t>
      </w:r>
      <w:r>
        <w:rPr>
          <w:rFonts w:ascii="Microsoft Sans Serif" w:hAnsi="Microsoft Sans Serif"/>
          <w:w w:val="105"/>
          <w:sz w:val="16"/>
        </w:rPr>
        <w:t>doenças</w:t>
      </w:r>
      <w:r>
        <w:rPr>
          <w:rFonts w:ascii="Microsoft Sans Serif" w:hAnsi="Microsoft Sans Serif"/>
          <w:spacing w:val="-1"/>
          <w:w w:val="105"/>
          <w:sz w:val="16"/>
        </w:rPr>
        <w:t> </w:t>
      </w:r>
      <w:r>
        <w:rPr>
          <w:rFonts w:ascii="Microsoft Sans Serif" w:hAnsi="Microsoft Sans Serif"/>
          <w:w w:val="105"/>
          <w:sz w:val="16"/>
        </w:rPr>
        <w:t>complexas</w:t>
      </w:r>
      <w:r>
        <w:rPr>
          <w:rFonts w:ascii="Microsoft Sans Serif" w:hAnsi="Microsoft Sans Serif"/>
          <w:spacing w:val="-2"/>
          <w:w w:val="105"/>
          <w:sz w:val="16"/>
        </w:rPr>
        <w:t> </w:t>
      </w:r>
      <w:r>
        <w:rPr>
          <w:rFonts w:ascii="Microsoft Sans Serif" w:hAnsi="Microsoft Sans Serif"/>
          <w:w w:val="105"/>
          <w:sz w:val="16"/>
        </w:rPr>
        <w:t>como</w:t>
      </w:r>
      <w:r>
        <w:rPr>
          <w:rFonts w:ascii="Microsoft Sans Serif" w:hAnsi="Microsoft Sans Serif"/>
          <w:spacing w:val="3"/>
          <w:w w:val="105"/>
          <w:sz w:val="16"/>
        </w:rPr>
        <w:t> </w:t>
      </w:r>
      <w:r>
        <w:rPr>
          <w:rFonts w:ascii="Microsoft Sans Serif" w:hAnsi="Microsoft Sans Serif"/>
          <w:w w:val="105"/>
          <w:sz w:val="16"/>
        </w:rPr>
        <w:t>a</w:t>
      </w:r>
      <w:r>
        <w:rPr>
          <w:rFonts w:ascii="Microsoft Sans Serif" w:hAnsi="Microsoft Sans Serif"/>
          <w:spacing w:val="3"/>
          <w:w w:val="105"/>
          <w:sz w:val="16"/>
        </w:rPr>
        <w:t> </w:t>
      </w:r>
      <w:r>
        <w:rPr>
          <w:rFonts w:ascii="Microsoft Sans Serif" w:hAnsi="Microsoft Sans Serif"/>
          <w:spacing w:val="-2"/>
          <w:w w:val="105"/>
          <w:sz w:val="16"/>
        </w:rPr>
        <w:t>aterosclerose.</w:t>
      </w:r>
    </w:p>
    <w:p>
      <w:pPr>
        <w:pStyle w:val="BodyText"/>
        <w:spacing w:before="99"/>
        <w:ind w:left="0" w:firstLine="0"/>
        <w:jc w:val="left"/>
        <w:rPr>
          <w:rFonts w:ascii="Microsoft Sans Serif"/>
          <w:sz w:val="16"/>
        </w:rPr>
      </w:pPr>
    </w:p>
    <w:p>
      <w:pPr>
        <w:spacing w:line="276" w:lineRule="auto" w:before="0"/>
        <w:ind w:left="52" w:right="475" w:firstLine="300"/>
        <w:jc w:val="both"/>
        <w:rPr>
          <w:sz w:val="20"/>
        </w:rPr>
      </w:pPr>
      <w:r>
        <w:rPr>
          <w:sz w:val="20"/>
        </w:rPr>
        <w:t>Nas doenças de</w:t>
      </w:r>
      <w:r>
        <w:rPr>
          <w:spacing w:val="-4"/>
          <w:sz w:val="20"/>
        </w:rPr>
        <w:t> </w:t>
      </w:r>
      <w:r>
        <w:rPr>
          <w:sz w:val="20"/>
        </w:rPr>
        <w:t>cunho</w:t>
      </w:r>
      <w:r>
        <w:rPr>
          <w:spacing w:val="-2"/>
          <w:sz w:val="20"/>
        </w:rPr>
        <w:t> </w:t>
      </w:r>
      <w:r>
        <w:rPr>
          <w:sz w:val="20"/>
        </w:rPr>
        <w:t>complexo, portanto, a</w:t>
      </w:r>
      <w:r>
        <w:rPr>
          <w:spacing w:val="-4"/>
          <w:sz w:val="20"/>
        </w:rPr>
        <w:t> </w:t>
      </w:r>
      <w:r>
        <w:rPr>
          <w:sz w:val="20"/>
        </w:rPr>
        <w:t>análise</w:t>
      </w:r>
      <w:r>
        <w:rPr>
          <w:spacing w:val="-4"/>
          <w:sz w:val="20"/>
        </w:rPr>
        <w:t> </w:t>
      </w:r>
      <w:r>
        <w:rPr>
          <w:sz w:val="20"/>
        </w:rPr>
        <w:t>torna-se</w:t>
      </w:r>
      <w:r>
        <w:rPr>
          <w:spacing w:val="-4"/>
          <w:sz w:val="20"/>
        </w:rPr>
        <w:t> </w:t>
      </w:r>
      <w:r>
        <w:rPr>
          <w:sz w:val="20"/>
        </w:rPr>
        <w:t>limitada</w:t>
      </w:r>
      <w:r>
        <w:rPr>
          <w:spacing w:val="-4"/>
          <w:sz w:val="20"/>
        </w:rPr>
        <w:t> </w:t>
      </w:r>
      <w:r>
        <w:rPr>
          <w:sz w:val="20"/>
        </w:rPr>
        <w:t>pela</w:t>
      </w:r>
      <w:r>
        <w:rPr>
          <w:spacing w:val="-4"/>
          <w:sz w:val="20"/>
        </w:rPr>
        <w:t> </w:t>
      </w:r>
      <w:r>
        <w:rPr>
          <w:sz w:val="20"/>
        </w:rPr>
        <w:t>falta</w:t>
      </w:r>
      <w:r>
        <w:rPr>
          <w:spacing w:val="-4"/>
          <w:sz w:val="20"/>
        </w:rPr>
        <w:t> </w:t>
      </w:r>
      <w:r>
        <w:rPr>
          <w:sz w:val="20"/>
        </w:rPr>
        <w:t>de</w:t>
      </w:r>
      <w:r>
        <w:rPr>
          <w:spacing w:val="-4"/>
          <w:sz w:val="20"/>
        </w:rPr>
        <w:t> </w:t>
      </w:r>
      <w:r>
        <w:rPr>
          <w:sz w:val="20"/>
        </w:rPr>
        <w:t>uma</w:t>
      </w:r>
      <w:r>
        <w:rPr>
          <w:spacing w:val="-4"/>
          <w:sz w:val="20"/>
        </w:rPr>
        <w:t> </w:t>
      </w:r>
      <w:r>
        <w:rPr>
          <w:sz w:val="20"/>
        </w:rPr>
        <w:t>clara</w:t>
      </w:r>
      <w:r>
        <w:rPr>
          <w:spacing w:val="-4"/>
          <w:sz w:val="20"/>
        </w:rPr>
        <w:t> </w:t>
      </w:r>
      <w:r>
        <w:rPr>
          <w:sz w:val="20"/>
        </w:rPr>
        <w:t>segregação</w:t>
      </w:r>
      <w:r>
        <w:rPr>
          <w:spacing w:val="-2"/>
          <w:sz w:val="20"/>
        </w:rPr>
        <w:t> </w:t>
      </w:r>
      <w:r>
        <w:rPr>
          <w:sz w:val="20"/>
        </w:rPr>
        <w:t>genética</w:t>
      </w:r>
      <w:r>
        <w:rPr>
          <w:spacing w:val="-4"/>
          <w:sz w:val="20"/>
        </w:rPr>
        <w:t> </w:t>
      </w:r>
      <w:r>
        <w:rPr>
          <w:sz w:val="20"/>
        </w:rPr>
        <w:t>de</w:t>
      </w:r>
      <w:r>
        <w:rPr>
          <w:spacing w:val="-4"/>
          <w:sz w:val="20"/>
        </w:rPr>
        <w:t> </w:t>
      </w:r>
      <w:r>
        <w:rPr>
          <w:sz w:val="20"/>
        </w:rPr>
        <w:t>variantes de ácido</w:t>
      </w:r>
      <w:r>
        <w:rPr>
          <w:spacing w:val="-9"/>
          <w:sz w:val="20"/>
        </w:rPr>
        <w:t> </w:t>
      </w:r>
      <w:r>
        <w:rPr>
          <w:sz w:val="20"/>
        </w:rPr>
        <w:t>desoxirribonucleico</w:t>
      </w:r>
      <w:r>
        <w:rPr>
          <w:spacing w:val="-9"/>
          <w:sz w:val="20"/>
        </w:rPr>
        <w:t> </w:t>
      </w:r>
      <w:r>
        <w:rPr>
          <w:sz w:val="20"/>
        </w:rPr>
        <w:t>(DNA,</w:t>
      </w:r>
      <w:r>
        <w:rPr>
          <w:spacing w:val="-2"/>
          <w:sz w:val="20"/>
        </w:rPr>
        <w:t> </w:t>
      </w:r>
      <w:r>
        <w:rPr>
          <w:sz w:val="20"/>
        </w:rPr>
        <w:t>do</w:t>
      </w:r>
      <w:r>
        <w:rPr>
          <w:spacing w:val="-9"/>
          <w:sz w:val="20"/>
        </w:rPr>
        <w:t> </w:t>
      </w:r>
      <w:r>
        <w:rPr>
          <w:sz w:val="20"/>
        </w:rPr>
        <w:t>inglês,</w:t>
      </w:r>
      <w:r>
        <w:rPr>
          <w:spacing w:val="-3"/>
          <w:sz w:val="20"/>
        </w:rPr>
        <w:t> </w:t>
      </w:r>
      <w:r>
        <w:rPr>
          <w:i/>
          <w:sz w:val="20"/>
        </w:rPr>
        <w:t>deoxyribonucleic</w:t>
      </w:r>
      <w:r>
        <w:rPr>
          <w:i/>
          <w:spacing w:val="-13"/>
          <w:sz w:val="20"/>
        </w:rPr>
        <w:t> </w:t>
      </w:r>
      <w:r>
        <w:rPr>
          <w:i/>
          <w:sz w:val="20"/>
        </w:rPr>
        <w:t>acid</w:t>
      </w:r>
      <w:r>
        <w:rPr>
          <w:sz w:val="20"/>
        </w:rPr>
        <w:t>)</w:t>
      </w:r>
      <w:r>
        <w:rPr>
          <w:spacing w:val="-2"/>
          <w:sz w:val="20"/>
        </w:rPr>
        <w:t> </w:t>
      </w:r>
      <w:r>
        <w:rPr>
          <w:sz w:val="20"/>
        </w:rPr>
        <w:t>ao</w:t>
      </w:r>
      <w:r>
        <w:rPr>
          <w:spacing w:val="-7"/>
          <w:sz w:val="20"/>
        </w:rPr>
        <w:t> </w:t>
      </w:r>
      <w:r>
        <w:rPr>
          <w:sz w:val="20"/>
        </w:rPr>
        <w:t>longo</w:t>
      </w:r>
      <w:r>
        <w:rPr>
          <w:spacing w:val="-7"/>
          <w:sz w:val="20"/>
        </w:rPr>
        <w:t> </w:t>
      </w:r>
      <w:r>
        <w:rPr>
          <w:sz w:val="20"/>
        </w:rPr>
        <w:t>das gerações e</w:t>
      </w:r>
      <w:r>
        <w:rPr>
          <w:spacing w:val="-9"/>
          <w:sz w:val="20"/>
        </w:rPr>
        <w:t> </w:t>
      </w:r>
      <w:r>
        <w:rPr>
          <w:sz w:val="20"/>
        </w:rPr>
        <w:t>pela</w:t>
      </w:r>
      <w:r>
        <w:rPr>
          <w:spacing w:val="-9"/>
          <w:sz w:val="20"/>
        </w:rPr>
        <w:t> </w:t>
      </w:r>
      <w:r>
        <w:rPr>
          <w:sz w:val="20"/>
        </w:rPr>
        <w:t>modesta</w:t>
      </w:r>
      <w:r>
        <w:rPr>
          <w:spacing w:val="-9"/>
          <w:sz w:val="20"/>
        </w:rPr>
        <w:t> </w:t>
      </w:r>
      <w:r>
        <w:rPr>
          <w:sz w:val="20"/>
        </w:rPr>
        <w:t>contribuição</w:t>
      </w:r>
      <w:r>
        <w:rPr>
          <w:spacing w:val="-7"/>
          <w:sz w:val="20"/>
        </w:rPr>
        <w:t> </w:t>
      </w:r>
      <w:r>
        <w:rPr>
          <w:sz w:val="20"/>
        </w:rPr>
        <w:t>às doenças por um</w:t>
      </w:r>
      <w:r>
        <w:rPr>
          <w:spacing w:val="-6"/>
          <w:sz w:val="20"/>
        </w:rPr>
        <w:t> </w:t>
      </w:r>
      <w:r>
        <w:rPr>
          <w:sz w:val="20"/>
        </w:rPr>
        <w:t>único</w:t>
      </w:r>
      <w:r>
        <w:rPr>
          <w:spacing w:val="-6"/>
          <w:sz w:val="20"/>
        </w:rPr>
        <w:t> </w:t>
      </w:r>
      <w:r>
        <w:rPr>
          <w:sz w:val="20"/>
        </w:rPr>
        <w:t>gene. As dificuldades existem</w:t>
      </w:r>
      <w:r>
        <w:rPr>
          <w:spacing w:val="-6"/>
          <w:sz w:val="20"/>
        </w:rPr>
        <w:t> </w:t>
      </w:r>
      <w:r>
        <w:rPr>
          <w:sz w:val="20"/>
        </w:rPr>
        <w:t>pelo</w:t>
      </w:r>
      <w:r>
        <w:rPr>
          <w:spacing w:val="-6"/>
          <w:sz w:val="20"/>
        </w:rPr>
        <w:t> </w:t>
      </w:r>
      <w:r>
        <w:rPr>
          <w:sz w:val="20"/>
        </w:rPr>
        <w:t>desconhecimento</w:t>
      </w:r>
      <w:r>
        <w:rPr>
          <w:spacing w:val="-6"/>
          <w:sz w:val="20"/>
        </w:rPr>
        <w:t> </w:t>
      </w:r>
      <w:r>
        <w:rPr>
          <w:sz w:val="20"/>
        </w:rPr>
        <w:t>do</w:t>
      </w:r>
      <w:r>
        <w:rPr>
          <w:spacing w:val="-6"/>
          <w:sz w:val="20"/>
        </w:rPr>
        <w:t> </w:t>
      </w:r>
      <w:r>
        <w:rPr>
          <w:sz w:val="20"/>
        </w:rPr>
        <w:t>modelo</w:t>
      </w:r>
      <w:r>
        <w:rPr>
          <w:spacing w:val="-6"/>
          <w:sz w:val="20"/>
        </w:rPr>
        <w:t> </w:t>
      </w:r>
      <w:r>
        <w:rPr>
          <w:sz w:val="20"/>
        </w:rPr>
        <w:t>de</w:t>
      </w:r>
      <w:r>
        <w:rPr>
          <w:spacing w:val="-8"/>
          <w:sz w:val="20"/>
        </w:rPr>
        <w:t> </w:t>
      </w:r>
      <w:r>
        <w:rPr>
          <w:sz w:val="20"/>
        </w:rPr>
        <w:t>sua</w:t>
      </w:r>
      <w:r>
        <w:rPr>
          <w:spacing w:val="-8"/>
          <w:sz w:val="20"/>
        </w:rPr>
        <w:t> </w:t>
      </w:r>
      <w:r>
        <w:rPr>
          <w:sz w:val="20"/>
        </w:rPr>
        <w:t>transmissão, sua</w:t>
      </w:r>
      <w:r>
        <w:rPr>
          <w:spacing w:val="-8"/>
          <w:sz w:val="20"/>
        </w:rPr>
        <w:t> </w:t>
      </w:r>
      <w:r>
        <w:rPr>
          <w:sz w:val="20"/>
        </w:rPr>
        <w:t>variabilidade</w:t>
      </w:r>
      <w:r>
        <w:rPr>
          <w:spacing w:val="-8"/>
          <w:sz w:val="20"/>
        </w:rPr>
        <w:t> </w:t>
      </w:r>
      <w:r>
        <w:rPr>
          <w:sz w:val="20"/>
        </w:rPr>
        <w:t>em</w:t>
      </w:r>
      <w:r>
        <w:rPr>
          <w:spacing w:val="-6"/>
          <w:sz w:val="20"/>
        </w:rPr>
        <w:t> </w:t>
      </w:r>
      <w:r>
        <w:rPr>
          <w:sz w:val="20"/>
        </w:rPr>
        <w:t>frequência</w:t>
      </w:r>
      <w:r>
        <w:rPr>
          <w:spacing w:val="-8"/>
          <w:sz w:val="20"/>
        </w:rPr>
        <w:t> </w:t>
      </w:r>
      <w:r>
        <w:rPr>
          <w:sz w:val="20"/>
        </w:rPr>
        <w:t>gênica populacional e penetrância de um gene determinando heterogeneidade genética. A exposição familiar aos mesmos fatores de risco pode interferir na avaliação da agregação familiar de traços herdados. Dessa forma, o estudo de genes de suscetibilidade poderá se basear</w:t>
      </w:r>
      <w:r>
        <w:rPr>
          <w:spacing w:val="-2"/>
          <w:sz w:val="20"/>
        </w:rPr>
        <w:t> </w:t>
      </w:r>
      <w:r>
        <w:rPr>
          <w:sz w:val="20"/>
        </w:rPr>
        <w:t>no</w:t>
      </w:r>
      <w:r>
        <w:rPr>
          <w:spacing w:val="-7"/>
          <w:sz w:val="20"/>
        </w:rPr>
        <w:t> </w:t>
      </w:r>
      <w:r>
        <w:rPr>
          <w:sz w:val="20"/>
        </w:rPr>
        <w:t>fenótipo, sendo</w:t>
      </w:r>
      <w:r>
        <w:rPr>
          <w:spacing w:val="-7"/>
          <w:sz w:val="20"/>
        </w:rPr>
        <w:t> </w:t>
      </w:r>
      <w:r>
        <w:rPr>
          <w:sz w:val="20"/>
        </w:rPr>
        <w:t>do</w:t>
      </w:r>
      <w:r>
        <w:rPr>
          <w:spacing w:val="-7"/>
          <w:sz w:val="20"/>
        </w:rPr>
        <w:t> </w:t>
      </w:r>
      <w:r>
        <w:rPr>
          <w:sz w:val="20"/>
        </w:rPr>
        <w:t>tipo</w:t>
      </w:r>
      <w:r>
        <w:rPr>
          <w:spacing w:val="-7"/>
          <w:sz w:val="20"/>
        </w:rPr>
        <w:t> </w:t>
      </w:r>
      <w:r>
        <w:rPr>
          <w:sz w:val="20"/>
        </w:rPr>
        <w:t>caso-controle</w:t>
      </w:r>
      <w:r>
        <w:rPr>
          <w:spacing w:val="-9"/>
          <w:sz w:val="20"/>
        </w:rPr>
        <w:t> </w:t>
      </w:r>
      <w:r>
        <w:rPr>
          <w:sz w:val="20"/>
        </w:rPr>
        <w:t>ou</w:t>
      </w:r>
      <w:r>
        <w:rPr>
          <w:spacing w:val="-7"/>
          <w:sz w:val="20"/>
        </w:rPr>
        <w:t> </w:t>
      </w:r>
      <w:r>
        <w:rPr>
          <w:sz w:val="20"/>
        </w:rPr>
        <w:t>prospectivo, cuja</w:t>
      </w:r>
      <w:r>
        <w:rPr>
          <w:spacing w:val="-9"/>
          <w:sz w:val="20"/>
        </w:rPr>
        <w:t> </w:t>
      </w:r>
      <w:r>
        <w:rPr>
          <w:sz w:val="20"/>
        </w:rPr>
        <w:t>maior</w:t>
      </w:r>
      <w:r>
        <w:rPr>
          <w:spacing w:val="-2"/>
          <w:sz w:val="20"/>
        </w:rPr>
        <w:t> </w:t>
      </w:r>
      <w:r>
        <w:rPr>
          <w:sz w:val="20"/>
        </w:rPr>
        <w:t>limitação</w:t>
      </w:r>
      <w:r>
        <w:rPr>
          <w:spacing w:val="-7"/>
          <w:sz w:val="20"/>
        </w:rPr>
        <w:t> </w:t>
      </w:r>
      <w:r>
        <w:rPr>
          <w:sz w:val="20"/>
        </w:rPr>
        <w:t>é</w:t>
      </w:r>
      <w:r>
        <w:rPr>
          <w:spacing w:val="-9"/>
          <w:sz w:val="20"/>
        </w:rPr>
        <w:t> </w:t>
      </w:r>
      <w:r>
        <w:rPr>
          <w:sz w:val="20"/>
        </w:rPr>
        <w:t>o</w:t>
      </w:r>
      <w:r>
        <w:rPr>
          <w:spacing w:val="-7"/>
          <w:sz w:val="20"/>
        </w:rPr>
        <w:t> </w:t>
      </w:r>
      <w:r>
        <w:rPr>
          <w:sz w:val="20"/>
        </w:rPr>
        <w:t>alto</w:t>
      </w:r>
      <w:r>
        <w:rPr>
          <w:spacing w:val="-7"/>
          <w:sz w:val="20"/>
        </w:rPr>
        <w:t> </w:t>
      </w:r>
      <w:r>
        <w:rPr>
          <w:sz w:val="20"/>
        </w:rPr>
        <w:t>custo. A</w:t>
      </w:r>
      <w:r>
        <w:rPr>
          <w:spacing w:val="-9"/>
          <w:sz w:val="20"/>
        </w:rPr>
        <w:t> </w:t>
      </w:r>
      <w:r>
        <w:rPr>
          <w:sz w:val="20"/>
        </w:rPr>
        <w:t>combinação</w:t>
      </w:r>
      <w:r>
        <w:rPr>
          <w:spacing w:val="-7"/>
          <w:sz w:val="20"/>
        </w:rPr>
        <w:t> </w:t>
      </w:r>
      <w:r>
        <w:rPr>
          <w:sz w:val="20"/>
        </w:rPr>
        <w:t>de</w:t>
      </w:r>
      <w:r>
        <w:rPr>
          <w:spacing w:val="-9"/>
          <w:sz w:val="20"/>
        </w:rPr>
        <w:t> </w:t>
      </w:r>
      <w:r>
        <w:rPr>
          <w:sz w:val="20"/>
        </w:rPr>
        <w:t>abordagens com técnicas de </w:t>
      </w:r>
      <w:r>
        <w:rPr>
          <w:i/>
          <w:sz w:val="20"/>
        </w:rPr>
        <w:t>screening</w:t>
      </w:r>
      <w:r>
        <w:rPr>
          <w:sz w:val="20"/>
        </w:rPr>
        <w:t>, atualmente, é a opção mais viável e a mais utilizada.</w:t>
      </w:r>
    </w:p>
    <w:p>
      <w:pPr>
        <w:spacing w:line="276" w:lineRule="auto" w:before="41"/>
        <w:ind w:left="52" w:right="475" w:firstLine="300"/>
        <w:jc w:val="both"/>
        <w:rPr>
          <w:sz w:val="20"/>
        </w:rPr>
      </w:pPr>
      <w:r>
        <w:rPr>
          <w:sz w:val="20"/>
        </w:rPr>
        <w:t>O estudo de doenças complexas, como a doença coronariana, poderá ainda determinar se vários genes estão ligados em um mesmo cromossomo, ou seja, não se segregam de forma independente, sendo primariamente de base familiar. Por outro lado, na determinação do risco de doenças por genes não ligados em diferentes cromossomos são mais indicados os estudos de associação, com abordagens qualitativa (presença/ausência da doença e o polimorfismo em estudo) ou quantitativa (quanto os polimorfismos afetam os níveis de seu produto gênico). Tais inferências partem do princípio de que, se uma mutação próxima a uma região potencialmente recombinante for identificada, a probabilidade de haver uma segregação conjunta é alta, caracterizando o padrão de </w:t>
      </w:r>
      <w:r>
        <w:rPr>
          <w:i/>
          <w:sz w:val="20"/>
        </w:rPr>
        <w:t>linkage</w:t>
      </w:r>
      <w:r>
        <w:rPr>
          <w:i/>
          <w:spacing w:val="-6"/>
          <w:sz w:val="20"/>
        </w:rPr>
        <w:t> </w:t>
      </w:r>
      <w:r>
        <w:rPr>
          <w:sz w:val="20"/>
        </w:rPr>
        <w:t>próprio</w:t>
      </w:r>
      <w:r>
        <w:rPr>
          <w:spacing w:val="-4"/>
          <w:sz w:val="20"/>
        </w:rPr>
        <w:t> </w:t>
      </w:r>
      <w:r>
        <w:rPr>
          <w:sz w:val="20"/>
        </w:rPr>
        <w:t>das doenças oligogênicas. O</w:t>
      </w:r>
      <w:r>
        <w:rPr>
          <w:spacing w:val="-6"/>
          <w:sz w:val="20"/>
        </w:rPr>
        <w:t> </w:t>
      </w:r>
      <w:r>
        <w:rPr>
          <w:sz w:val="20"/>
        </w:rPr>
        <w:t>que</w:t>
      </w:r>
      <w:r>
        <w:rPr>
          <w:spacing w:val="-6"/>
          <w:sz w:val="20"/>
        </w:rPr>
        <w:t> </w:t>
      </w:r>
      <w:r>
        <w:rPr>
          <w:sz w:val="20"/>
        </w:rPr>
        <w:t>não</w:t>
      </w:r>
      <w:r>
        <w:rPr>
          <w:spacing w:val="-4"/>
          <w:sz w:val="20"/>
        </w:rPr>
        <w:t> </w:t>
      </w:r>
      <w:r>
        <w:rPr>
          <w:sz w:val="20"/>
        </w:rPr>
        <w:t>acontece</w:t>
      </w:r>
      <w:r>
        <w:rPr>
          <w:spacing w:val="-6"/>
          <w:sz w:val="20"/>
        </w:rPr>
        <w:t> </w:t>
      </w:r>
      <w:r>
        <w:rPr>
          <w:sz w:val="20"/>
        </w:rPr>
        <w:t>naqueles distantes de</w:t>
      </w:r>
      <w:r>
        <w:rPr>
          <w:spacing w:val="-6"/>
          <w:sz w:val="20"/>
        </w:rPr>
        <w:t> </w:t>
      </w:r>
      <w:r>
        <w:rPr>
          <w:sz w:val="20"/>
        </w:rPr>
        <w:t>regiões recombinantes, apresentando</w:t>
      </w:r>
      <w:r>
        <w:rPr>
          <w:spacing w:val="-4"/>
          <w:sz w:val="20"/>
        </w:rPr>
        <w:t> </w:t>
      </w:r>
      <w:r>
        <w:rPr>
          <w:sz w:val="20"/>
        </w:rPr>
        <w:t>segregação conjunta</w:t>
      </w:r>
      <w:r>
        <w:rPr>
          <w:spacing w:val="-3"/>
          <w:sz w:val="20"/>
        </w:rPr>
        <w:t> </w:t>
      </w:r>
      <w:r>
        <w:rPr>
          <w:sz w:val="20"/>
        </w:rPr>
        <w:t>variável, com</w:t>
      </w:r>
      <w:r>
        <w:rPr>
          <w:spacing w:val="-1"/>
          <w:sz w:val="20"/>
        </w:rPr>
        <w:t> </w:t>
      </w:r>
      <w:r>
        <w:rPr>
          <w:sz w:val="20"/>
        </w:rPr>
        <w:t>altas taxas de</w:t>
      </w:r>
      <w:r>
        <w:rPr>
          <w:spacing w:val="-3"/>
          <w:sz w:val="20"/>
        </w:rPr>
        <w:t> </w:t>
      </w:r>
      <w:r>
        <w:rPr>
          <w:sz w:val="20"/>
        </w:rPr>
        <w:t>recombinação, portanto</w:t>
      </w:r>
      <w:r>
        <w:rPr>
          <w:spacing w:val="-1"/>
          <w:sz w:val="20"/>
        </w:rPr>
        <w:t> </w:t>
      </w:r>
      <w:r>
        <w:rPr>
          <w:sz w:val="20"/>
        </w:rPr>
        <w:t>não</w:t>
      </w:r>
      <w:r>
        <w:rPr>
          <w:spacing w:val="-2"/>
          <w:sz w:val="20"/>
        </w:rPr>
        <w:t> </w:t>
      </w:r>
      <w:r>
        <w:rPr>
          <w:sz w:val="20"/>
        </w:rPr>
        <w:t>determinando</w:t>
      </w:r>
      <w:r>
        <w:rPr>
          <w:spacing w:val="-1"/>
          <w:sz w:val="20"/>
        </w:rPr>
        <w:t> </w:t>
      </w:r>
      <w:r>
        <w:rPr>
          <w:sz w:val="20"/>
        </w:rPr>
        <w:t>fenótipos específicos.</w:t>
      </w:r>
    </w:p>
    <w:p>
      <w:pPr>
        <w:spacing w:after="0" w:line="276" w:lineRule="auto"/>
        <w:jc w:val="both"/>
        <w:rPr>
          <w:sz w:val="20"/>
        </w:rPr>
        <w:sectPr>
          <w:pgSz w:w="11900" w:h="16840"/>
          <w:pgMar w:top="280" w:bottom="280" w:left="566" w:right="141"/>
        </w:sectPr>
      </w:pPr>
    </w:p>
    <w:p>
      <w:pPr>
        <w:spacing w:line="278" w:lineRule="auto" w:before="67"/>
        <w:ind w:left="52" w:right="478" w:firstLine="300"/>
        <w:jc w:val="both"/>
        <w:rPr>
          <w:sz w:val="20"/>
        </w:rPr>
      </w:pPr>
      <w:r>
        <w:rPr>
          <w:sz w:val="20"/>
        </w:rPr>
        <w:t>Alguns cuidados são necessários no desenho de</w:t>
      </w:r>
      <w:r>
        <w:rPr>
          <w:spacing w:val="-2"/>
          <w:sz w:val="20"/>
        </w:rPr>
        <w:t> </w:t>
      </w:r>
      <w:r>
        <w:rPr>
          <w:sz w:val="20"/>
        </w:rPr>
        <w:t>estudos em doenças complexas, como a</w:t>
      </w:r>
      <w:r>
        <w:rPr>
          <w:spacing w:val="-2"/>
          <w:sz w:val="20"/>
        </w:rPr>
        <w:t> </w:t>
      </w:r>
      <w:r>
        <w:rPr>
          <w:sz w:val="20"/>
        </w:rPr>
        <w:t>definição do fenótipo a</w:t>
      </w:r>
      <w:r>
        <w:rPr>
          <w:spacing w:val="-2"/>
          <w:sz w:val="20"/>
        </w:rPr>
        <w:t> </w:t>
      </w:r>
      <w:r>
        <w:rPr>
          <w:sz w:val="20"/>
        </w:rPr>
        <w:t>ser estudado e</w:t>
      </w:r>
      <w:r>
        <w:rPr>
          <w:spacing w:val="-2"/>
          <w:sz w:val="20"/>
        </w:rPr>
        <w:t> </w:t>
      </w:r>
      <w:r>
        <w:rPr>
          <w:sz w:val="20"/>
        </w:rPr>
        <w:t>o tipo de desfecho avaliado; o conhecimento da distribuição populacional, sexo e etnia e a reprodutibilidade desses estudos. Não raro, achados de primeiros relatos não se confirmam em estudos subsequentes com maior casuística. Metanálises e revisões sistemáticas tornam-se, assim, fundamentais para uma avaliação precisa da força da associação. O fenótipo estudado deve ocorrer em número significativo de indivíduos, já que estudos genéticos devem ter amostras maiores do que outros estudos.</w:t>
      </w:r>
      <w:r>
        <w:rPr>
          <w:sz w:val="20"/>
          <w:vertAlign w:val="superscript"/>
        </w:rPr>
        <w:t>1</w:t>
      </w:r>
    </w:p>
    <w:p>
      <w:pPr>
        <w:pStyle w:val="BodyText"/>
        <w:spacing w:before="160"/>
        <w:ind w:left="0" w:firstLine="0"/>
        <w:jc w:val="left"/>
        <w:rPr>
          <w:sz w:val="20"/>
        </w:rPr>
      </w:pPr>
    </w:p>
    <w:p>
      <w:pPr>
        <w:pStyle w:val="Heading6"/>
        <w:spacing w:before="0"/>
      </w:pPr>
      <w:r>
        <w:rPr>
          <w:color w:val="242B67"/>
        </w:rPr>
        <w:t>Etiopatogenia</w:t>
      </w:r>
      <w:r>
        <w:rPr>
          <w:color w:val="242B67"/>
          <w:spacing w:val="-12"/>
        </w:rPr>
        <w:t> </w:t>
      </w:r>
      <w:r>
        <w:rPr>
          <w:color w:val="242B67"/>
        </w:rPr>
        <w:t>da</w:t>
      </w:r>
      <w:r>
        <w:rPr>
          <w:color w:val="242B67"/>
          <w:spacing w:val="-12"/>
        </w:rPr>
        <w:t> </w:t>
      </w:r>
      <w:r>
        <w:rPr>
          <w:color w:val="242B67"/>
        </w:rPr>
        <w:t>doença</w:t>
      </w:r>
      <w:r>
        <w:rPr>
          <w:color w:val="242B67"/>
          <w:spacing w:val="-12"/>
        </w:rPr>
        <w:t> </w:t>
      </w:r>
      <w:r>
        <w:rPr>
          <w:color w:val="242B67"/>
          <w:spacing w:val="-2"/>
        </w:rPr>
        <w:t>aterosclerótica</w:t>
      </w:r>
    </w:p>
    <w:p>
      <w:pPr>
        <w:pStyle w:val="Heading8"/>
        <w:spacing w:line="268" w:lineRule="auto" w:before="168"/>
        <w:ind w:right="497"/>
      </w:pPr>
      <w:r>
        <w:rPr>
          <w:color w:val="A26108"/>
        </w:rPr>
        <w:t>Fatores que influenciam o desenvolvimento e a instabilização de placas </w:t>
      </w:r>
      <w:r>
        <w:rPr>
          <w:color w:val="A26108"/>
          <w:spacing w:val="-2"/>
        </w:rPr>
        <w:t>ateroscleróticas</w:t>
      </w:r>
    </w:p>
    <w:p>
      <w:pPr>
        <w:spacing w:line="278" w:lineRule="auto" w:before="69"/>
        <w:ind w:left="52" w:right="475" w:firstLine="300"/>
        <w:jc w:val="both"/>
        <w:rPr>
          <w:sz w:val="20"/>
        </w:rPr>
      </w:pPr>
      <w:r>
        <w:rPr>
          <w:sz w:val="20"/>
        </w:rPr>
        <w:t>A</w:t>
      </w:r>
      <w:r>
        <w:rPr>
          <w:spacing w:val="-12"/>
          <w:sz w:val="20"/>
        </w:rPr>
        <w:t> </w:t>
      </w:r>
      <w:r>
        <w:rPr>
          <w:sz w:val="20"/>
        </w:rPr>
        <w:t>aterosclerose</w:t>
      </w:r>
      <w:r>
        <w:rPr>
          <w:spacing w:val="-11"/>
          <w:sz w:val="20"/>
        </w:rPr>
        <w:t> </w:t>
      </w:r>
      <w:r>
        <w:rPr>
          <w:sz w:val="20"/>
        </w:rPr>
        <w:t>é</w:t>
      </w:r>
      <w:r>
        <w:rPr>
          <w:spacing w:val="-11"/>
          <w:sz w:val="20"/>
        </w:rPr>
        <w:t> </w:t>
      </w:r>
      <w:r>
        <w:rPr>
          <w:sz w:val="20"/>
        </w:rPr>
        <w:t>uma</w:t>
      </w:r>
      <w:r>
        <w:rPr>
          <w:spacing w:val="-11"/>
          <w:sz w:val="20"/>
        </w:rPr>
        <w:t> </w:t>
      </w:r>
      <w:r>
        <w:rPr>
          <w:sz w:val="20"/>
        </w:rPr>
        <w:t>doença</w:t>
      </w:r>
      <w:r>
        <w:rPr>
          <w:spacing w:val="-11"/>
          <w:sz w:val="20"/>
        </w:rPr>
        <w:t> </w:t>
      </w:r>
      <w:r>
        <w:rPr>
          <w:sz w:val="20"/>
        </w:rPr>
        <w:t>inflamatória</w:t>
      </w:r>
      <w:r>
        <w:rPr>
          <w:spacing w:val="-11"/>
          <w:sz w:val="20"/>
        </w:rPr>
        <w:t> </w:t>
      </w:r>
      <w:r>
        <w:rPr>
          <w:sz w:val="20"/>
        </w:rPr>
        <w:t>crônica</w:t>
      </w:r>
      <w:r>
        <w:rPr>
          <w:spacing w:val="-11"/>
          <w:sz w:val="20"/>
        </w:rPr>
        <w:t> </w:t>
      </w:r>
      <w:r>
        <w:rPr>
          <w:sz w:val="20"/>
        </w:rPr>
        <w:t>complexa,</w:t>
      </w:r>
      <w:r>
        <w:rPr>
          <w:spacing w:val="-2"/>
          <w:sz w:val="20"/>
        </w:rPr>
        <w:t> </w:t>
      </w:r>
      <w:r>
        <w:rPr>
          <w:sz w:val="20"/>
        </w:rPr>
        <w:t>que</w:t>
      </w:r>
      <w:r>
        <w:rPr>
          <w:spacing w:val="-11"/>
          <w:sz w:val="20"/>
        </w:rPr>
        <w:t> </w:t>
      </w:r>
      <w:r>
        <w:rPr>
          <w:sz w:val="20"/>
        </w:rPr>
        <w:t>afeta</w:t>
      </w:r>
      <w:r>
        <w:rPr>
          <w:spacing w:val="-11"/>
          <w:sz w:val="20"/>
        </w:rPr>
        <w:t> </w:t>
      </w:r>
      <w:r>
        <w:rPr>
          <w:sz w:val="20"/>
        </w:rPr>
        <w:t>preferencialmente</w:t>
      </w:r>
      <w:r>
        <w:rPr>
          <w:spacing w:val="-11"/>
          <w:sz w:val="20"/>
        </w:rPr>
        <w:t> </w:t>
      </w:r>
      <w:r>
        <w:rPr>
          <w:sz w:val="20"/>
        </w:rPr>
        <w:t>a</w:t>
      </w:r>
      <w:r>
        <w:rPr>
          <w:spacing w:val="-11"/>
          <w:sz w:val="20"/>
        </w:rPr>
        <w:t> </w:t>
      </w:r>
      <w:r>
        <w:rPr>
          <w:sz w:val="20"/>
        </w:rPr>
        <w:t>árvore</w:t>
      </w:r>
      <w:r>
        <w:rPr>
          <w:spacing w:val="-11"/>
          <w:sz w:val="20"/>
        </w:rPr>
        <w:t> </w:t>
      </w:r>
      <w:r>
        <w:rPr>
          <w:sz w:val="20"/>
        </w:rPr>
        <w:t>arterial</w:t>
      </w:r>
      <w:r>
        <w:rPr>
          <w:spacing w:val="-7"/>
          <w:sz w:val="20"/>
        </w:rPr>
        <w:t> </w:t>
      </w:r>
      <w:r>
        <w:rPr>
          <w:sz w:val="20"/>
        </w:rPr>
        <w:t>em</w:t>
      </w:r>
      <w:r>
        <w:rPr>
          <w:spacing w:val="-9"/>
          <w:sz w:val="20"/>
        </w:rPr>
        <w:t> </w:t>
      </w:r>
      <w:r>
        <w:rPr>
          <w:sz w:val="20"/>
        </w:rPr>
        <w:t>áreas</w:t>
      </w:r>
      <w:r>
        <w:rPr>
          <w:spacing w:val="-2"/>
          <w:sz w:val="20"/>
        </w:rPr>
        <w:t> </w:t>
      </w:r>
      <w:r>
        <w:rPr>
          <w:sz w:val="20"/>
        </w:rPr>
        <w:t>de</w:t>
      </w:r>
      <w:r>
        <w:rPr>
          <w:spacing w:val="-11"/>
          <w:sz w:val="20"/>
        </w:rPr>
        <w:t> </w:t>
      </w:r>
      <w:r>
        <w:rPr>
          <w:sz w:val="20"/>
        </w:rPr>
        <w:t>bifurcações e curvaturas, na qual o fluxo laminar uniforme é alterado.</w:t>
      </w:r>
      <w:r>
        <w:rPr>
          <w:sz w:val="20"/>
          <w:vertAlign w:val="superscript"/>
        </w:rPr>
        <w:t>2</w:t>
      </w:r>
      <w:r>
        <w:rPr>
          <w:sz w:val="20"/>
          <w:vertAlign w:val="baseline"/>
        </w:rPr>
        <w:t> As lesões iniciais caracterizam-se pelo acúmulo de lipídios no subendotélio, que sofrem modificações oxidativas na íntima vascular e ainda inibem a produção de óxido nítrico. As células endoteliais são</w:t>
      </w:r>
      <w:r>
        <w:rPr>
          <w:spacing w:val="-5"/>
          <w:sz w:val="20"/>
          <w:vertAlign w:val="baseline"/>
        </w:rPr>
        <w:t> </w:t>
      </w:r>
      <w:r>
        <w:rPr>
          <w:sz w:val="20"/>
          <w:vertAlign w:val="baseline"/>
        </w:rPr>
        <w:t>ativadas e</w:t>
      </w:r>
      <w:r>
        <w:rPr>
          <w:spacing w:val="-6"/>
          <w:sz w:val="20"/>
          <w:vertAlign w:val="baseline"/>
        </w:rPr>
        <w:t> </w:t>
      </w:r>
      <w:r>
        <w:rPr>
          <w:sz w:val="20"/>
          <w:vertAlign w:val="baseline"/>
        </w:rPr>
        <w:t>passam</w:t>
      </w:r>
      <w:r>
        <w:rPr>
          <w:spacing w:val="-5"/>
          <w:sz w:val="20"/>
          <w:vertAlign w:val="baseline"/>
        </w:rPr>
        <w:t> </w:t>
      </w:r>
      <w:r>
        <w:rPr>
          <w:sz w:val="20"/>
          <w:vertAlign w:val="baseline"/>
        </w:rPr>
        <w:t>a</w:t>
      </w:r>
      <w:r>
        <w:rPr>
          <w:spacing w:val="-6"/>
          <w:sz w:val="20"/>
          <w:vertAlign w:val="baseline"/>
        </w:rPr>
        <w:t> </w:t>
      </w:r>
      <w:r>
        <w:rPr>
          <w:sz w:val="20"/>
          <w:vertAlign w:val="baseline"/>
        </w:rPr>
        <w:t>produzir um</w:t>
      </w:r>
      <w:r>
        <w:rPr>
          <w:spacing w:val="-5"/>
          <w:sz w:val="20"/>
          <w:vertAlign w:val="baseline"/>
        </w:rPr>
        <w:t> </w:t>
      </w:r>
      <w:r>
        <w:rPr>
          <w:sz w:val="20"/>
          <w:vertAlign w:val="baseline"/>
        </w:rPr>
        <w:t>número</w:t>
      </w:r>
      <w:r>
        <w:rPr>
          <w:spacing w:val="-5"/>
          <w:sz w:val="20"/>
          <w:vertAlign w:val="baseline"/>
        </w:rPr>
        <w:t> </w:t>
      </w:r>
      <w:r>
        <w:rPr>
          <w:sz w:val="20"/>
          <w:vertAlign w:val="baseline"/>
        </w:rPr>
        <w:t>de</w:t>
      </w:r>
      <w:r>
        <w:rPr>
          <w:spacing w:val="-6"/>
          <w:sz w:val="20"/>
          <w:vertAlign w:val="baseline"/>
        </w:rPr>
        <w:t> </w:t>
      </w:r>
      <w:r>
        <w:rPr>
          <w:sz w:val="20"/>
          <w:vertAlign w:val="baseline"/>
        </w:rPr>
        <w:t>substâncias pró-inflamatórias, incluindo</w:t>
      </w:r>
      <w:r>
        <w:rPr>
          <w:spacing w:val="-5"/>
          <w:sz w:val="20"/>
          <w:vertAlign w:val="baseline"/>
        </w:rPr>
        <w:t> </w:t>
      </w:r>
      <w:r>
        <w:rPr>
          <w:sz w:val="20"/>
          <w:vertAlign w:val="baseline"/>
        </w:rPr>
        <w:t>moléculas de</w:t>
      </w:r>
      <w:r>
        <w:rPr>
          <w:spacing w:val="-6"/>
          <w:sz w:val="20"/>
          <w:vertAlign w:val="baseline"/>
        </w:rPr>
        <w:t> </w:t>
      </w:r>
      <w:r>
        <w:rPr>
          <w:sz w:val="20"/>
          <w:vertAlign w:val="baseline"/>
        </w:rPr>
        <w:t>adesão</w:t>
      </w:r>
      <w:r>
        <w:rPr>
          <w:spacing w:val="-5"/>
          <w:sz w:val="20"/>
          <w:vertAlign w:val="baseline"/>
        </w:rPr>
        <w:t> </w:t>
      </w:r>
      <w:r>
        <w:rPr>
          <w:sz w:val="20"/>
          <w:vertAlign w:val="baseline"/>
        </w:rPr>
        <w:t>e</w:t>
      </w:r>
      <w:r>
        <w:rPr>
          <w:spacing w:val="-6"/>
          <w:sz w:val="20"/>
          <w:vertAlign w:val="baseline"/>
        </w:rPr>
        <w:t> </w:t>
      </w:r>
      <w:r>
        <w:rPr>
          <w:sz w:val="20"/>
          <w:vertAlign w:val="baseline"/>
        </w:rPr>
        <w:t>fatores de crescimento, como o fator estimulador de colônias de macrófagos (M-CSF, do inglês, </w:t>
      </w:r>
      <w:r>
        <w:rPr>
          <w:i/>
          <w:sz w:val="20"/>
          <w:vertAlign w:val="baseline"/>
        </w:rPr>
        <w:t>macrophage colony-stimulating factor</w:t>
      </w:r>
      <w:r>
        <w:rPr>
          <w:sz w:val="20"/>
          <w:vertAlign w:val="baseline"/>
        </w:rPr>
        <w:t>), que tem papel na proliferação e diferenciação dessas células. Enquanto selectinas (P e E) favorecem o rolamento dos monócitos na superfície endotelial, ligando-se aos carboidratos de sua superfície, integrinas permitem a sua firme adesão ao endotélio. Os macrófagos, por meio de seus receptores de varredura, cuja expressão depende de fatores de transcrição (receptor ativado gama proliferador</w:t>
      </w:r>
      <w:r>
        <w:rPr>
          <w:spacing w:val="-1"/>
          <w:sz w:val="20"/>
          <w:vertAlign w:val="baseline"/>
        </w:rPr>
        <w:t> </w:t>
      </w:r>
      <w:r>
        <w:rPr>
          <w:sz w:val="20"/>
          <w:vertAlign w:val="baseline"/>
        </w:rPr>
        <w:t>de</w:t>
      </w:r>
      <w:r>
        <w:rPr>
          <w:spacing w:val="-8"/>
          <w:sz w:val="20"/>
          <w:vertAlign w:val="baseline"/>
        </w:rPr>
        <w:t> </w:t>
      </w:r>
      <w:r>
        <w:rPr>
          <w:sz w:val="20"/>
          <w:vertAlign w:val="baseline"/>
        </w:rPr>
        <w:t>peroxissomo, PPAR [</w:t>
      </w:r>
      <w:r>
        <w:rPr>
          <w:i/>
          <w:sz w:val="20"/>
          <w:vertAlign w:val="baseline"/>
        </w:rPr>
        <w:t>peroxisome</w:t>
      </w:r>
      <w:r>
        <w:rPr>
          <w:i/>
          <w:spacing w:val="-8"/>
          <w:sz w:val="20"/>
          <w:vertAlign w:val="baseline"/>
        </w:rPr>
        <w:t> </w:t>
      </w:r>
      <w:r>
        <w:rPr>
          <w:i/>
          <w:sz w:val="20"/>
          <w:vertAlign w:val="baseline"/>
        </w:rPr>
        <w:t>proliferator-activated</w:t>
      </w:r>
      <w:r>
        <w:rPr>
          <w:i/>
          <w:spacing w:val="-6"/>
          <w:sz w:val="20"/>
          <w:vertAlign w:val="baseline"/>
        </w:rPr>
        <w:t> </w:t>
      </w:r>
      <w:r>
        <w:rPr>
          <w:i/>
          <w:sz w:val="20"/>
          <w:vertAlign w:val="baseline"/>
        </w:rPr>
        <w:t>receptor </w:t>
      </w:r>
      <w:r>
        <w:rPr>
          <w:sz w:val="20"/>
          <w:vertAlign w:val="baseline"/>
        </w:rPr>
        <w:t>g]), citocinas (fator de</w:t>
      </w:r>
      <w:r>
        <w:rPr>
          <w:spacing w:val="-7"/>
          <w:sz w:val="20"/>
          <w:vertAlign w:val="baseline"/>
        </w:rPr>
        <w:t> </w:t>
      </w:r>
      <w:r>
        <w:rPr>
          <w:sz w:val="20"/>
          <w:vertAlign w:val="baseline"/>
        </w:rPr>
        <w:t>necrose</w:t>
      </w:r>
      <w:r>
        <w:rPr>
          <w:spacing w:val="-7"/>
          <w:sz w:val="20"/>
          <w:vertAlign w:val="baseline"/>
        </w:rPr>
        <w:t> </w:t>
      </w:r>
      <w:r>
        <w:rPr>
          <w:sz w:val="20"/>
          <w:vertAlign w:val="baseline"/>
        </w:rPr>
        <w:t>tumoral</w:t>
      </w:r>
      <w:r>
        <w:rPr>
          <w:spacing w:val="-2"/>
          <w:sz w:val="20"/>
          <w:vertAlign w:val="baseline"/>
        </w:rPr>
        <w:t> </w:t>
      </w:r>
      <w:r>
        <w:rPr>
          <w:sz w:val="20"/>
          <w:vertAlign w:val="baseline"/>
        </w:rPr>
        <w:t>alfa</w:t>
      </w:r>
      <w:r>
        <w:rPr>
          <w:spacing w:val="-7"/>
          <w:sz w:val="20"/>
          <w:vertAlign w:val="baseline"/>
        </w:rPr>
        <w:t> </w:t>
      </w:r>
      <w:r>
        <w:rPr>
          <w:sz w:val="20"/>
          <w:vertAlign w:val="baseline"/>
        </w:rPr>
        <w:t>[TNF-α, </w:t>
      </w:r>
      <w:r>
        <w:rPr>
          <w:i/>
          <w:sz w:val="20"/>
          <w:vertAlign w:val="baseline"/>
        </w:rPr>
        <w:t>tumor necrosis factor-alpha</w:t>
      </w:r>
      <w:r>
        <w:rPr>
          <w:sz w:val="20"/>
          <w:vertAlign w:val="baseline"/>
        </w:rPr>
        <w:t>])</w:t>
      </w:r>
      <w:r>
        <w:rPr>
          <w:spacing w:val="-3"/>
          <w:sz w:val="20"/>
          <w:vertAlign w:val="baseline"/>
        </w:rPr>
        <w:t> </w:t>
      </w:r>
      <w:r>
        <w:rPr>
          <w:sz w:val="20"/>
          <w:vertAlign w:val="baseline"/>
        </w:rPr>
        <w:t>e</w:t>
      </w:r>
      <w:r>
        <w:rPr>
          <w:spacing w:val="-9"/>
          <w:sz w:val="20"/>
          <w:vertAlign w:val="baseline"/>
        </w:rPr>
        <w:t> </w:t>
      </w:r>
      <w:r>
        <w:rPr>
          <w:sz w:val="20"/>
          <w:vertAlign w:val="baseline"/>
        </w:rPr>
        <w:t>interferona, incorporam</w:t>
      </w:r>
      <w:r>
        <w:rPr>
          <w:spacing w:val="-8"/>
          <w:sz w:val="20"/>
          <w:vertAlign w:val="baseline"/>
        </w:rPr>
        <w:t> </w:t>
      </w:r>
      <w:r>
        <w:rPr>
          <w:sz w:val="20"/>
          <w:vertAlign w:val="baseline"/>
        </w:rPr>
        <w:t>as partículas de</w:t>
      </w:r>
      <w:r>
        <w:rPr>
          <w:spacing w:val="-9"/>
          <w:sz w:val="20"/>
          <w:vertAlign w:val="baseline"/>
        </w:rPr>
        <w:t> </w:t>
      </w:r>
      <w:r>
        <w:rPr>
          <w:sz w:val="20"/>
          <w:vertAlign w:val="baseline"/>
        </w:rPr>
        <w:t>lipoproteína</w:t>
      </w:r>
      <w:r>
        <w:rPr>
          <w:spacing w:val="-9"/>
          <w:sz w:val="20"/>
          <w:vertAlign w:val="baseline"/>
        </w:rPr>
        <w:t> </w:t>
      </w:r>
      <w:r>
        <w:rPr>
          <w:sz w:val="20"/>
          <w:vertAlign w:val="baseline"/>
        </w:rPr>
        <w:t>de</w:t>
      </w:r>
      <w:r>
        <w:rPr>
          <w:spacing w:val="-9"/>
          <w:sz w:val="20"/>
          <w:vertAlign w:val="baseline"/>
        </w:rPr>
        <w:t> </w:t>
      </w:r>
      <w:r>
        <w:rPr>
          <w:sz w:val="20"/>
          <w:vertAlign w:val="baseline"/>
        </w:rPr>
        <w:t>baixa</w:t>
      </w:r>
      <w:r>
        <w:rPr>
          <w:spacing w:val="-9"/>
          <w:sz w:val="20"/>
          <w:vertAlign w:val="baseline"/>
        </w:rPr>
        <w:t> </w:t>
      </w:r>
      <w:r>
        <w:rPr>
          <w:sz w:val="20"/>
          <w:vertAlign w:val="baseline"/>
        </w:rPr>
        <w:t>densidade</w:t>
      </w:r>
      <w:r>
        <w:rPr>
          <w:spacing w:val="-9"/>
          <w:sz w:val="20"/>
          <w:vertAlign w:val="baseline"/>
        </w:rPr>
        <w:t> </w:t>
      </w:r>
      <w:r>
        <w:rPr>
          <w:sz w:val="20"/>
          <w:vertAlign w:val="baseline"/>
        </w:rPr>
        <w:t>(LDL, do</w:t>
      </w:r>
      <w:r>
        <w:rPr>
          <w:spacing w:val="-8"/>
          <w:sz w:val="20"/>
          <w:vertAlign w:val="baseline"/>
        </w:rPr>
        <w:t> </w:t>
      </w:r>
      <w:r>
        <w:rPr>
          <w:sz w:val="20"/>
          <w:vertAlign w:val="baseline"/>
        </w:rPr>
        <w:t>inglês, </w:t>
      </w:r>
      <w:r>
        <w:rPr>
          <w:i/>
          <w:sz w:val="20"/>
          <w:vertAlign w:val="baseline"/>
        </w:rPr>
        <w:t>low-density lipoprotein</w:t>
      </w:r>
      <w:r>
        <w:rPr>
          <w:sz w:val="20"/>
          <w:vertAlign w:val="baseline"/>
        </w:rPr>
        <w:t>) modificadas por peroxidação, lipólise, proteólise e agregação, formando as chamadas células espumosas. Células musculares lisas migram da média para a íntima e passam a sintetizar matriz, formando as lesões fibrosas, com a participação de citocinas e</w:t>
      </w:r>
      <w:r>
        <w:rPr>
          <w:spacing w:val="-1"/>
          <w:sz w:val="20"/>
          <w:vertAlign w:val="baseline"/>
        </w:rPr>
        <w:t> </w:t>
      </w:r>
      <w:r>
        <w:rPr>
          <w:sz w:val="20"/>
          <w:vertAlign w:val="baseline"/>
        </w:rPr>
        <w:t>fatores de</w:t>
      </w:r>
      <w:r>
        <w:rPr>
          <w:spacing w:val="-1"/>
          <w:sz w:val="20"/>
          <w:vertAlign w:val="baseline"/>
        </w:rPr>
        <w:t> </w:t>
      </w:r>
      <w:r>
        <w:rPr>
          <w:sz w:val="20"/>
          <w:vertAlign w:val="baseline"/>
        </w:rPr>
        <w:t>crescimento. Reações imunes envolvendo linfócitos T e</w:t>
      </w:r>
      <w:r>
        <w:rPr>
          <w:spacing w:val="-1"/>
          <w:sz w:val="20"/>
          <w:vertAlign w:val="baseline"/>
        </w:rPr>
        <w:t> </w:t>
      </w:r>
      <w:r>
        <w:rPr>
          <w:sz w:val="20"/>
          <w:vertAlign w:val="baseline"/>
        </w:rPr>
        <w:t>B, com expressão de</w:t>
      </w:r>
      <w:r>
        <w:rPr>
          <w:spacing w:val="-1"/>
          <w:sz w:val="20"/>
          <w:vertAlign w:val="baseline"/>
        </w:rPr>
        <w:t> </w:t>
      </w:r>
      <w:r>
        <w:rPr>
          <w:sz w:val="20"/>
          <w:vertAlign w:val="baseline"/>
        </w:rPr>
        <w:t>CD-40 e</w:t>
      </w:r>
      <w:r>
        <w:rPr>
          <w:spacing w:val="-1"/>
          <w:sz w:val="20"/>
          <w:vertAlign w:val="baseline"/>
        </w:rPr>
        <w:t> </w:t>
      </w:r>
      <w:r>
        <w:rPr>
          <w:sz w:val="20"/>
          <w:vertAlign w:val="baseline"/>
        </w:rPr>
        <w:t>de</w:t>
      </w:r>
      <w:r>
        <w:rPr>
          <w:spacing w:val="-1"/>
          <w:sz w:val="20"/>
          <w:vertAlign w:val="baseline"/>
        </w:rPr>
        <w:t> </w:t>
      </w:r>
      <w:r>
        <w:rPr>
          <w:sz w:val="20"/>
          <w:vertAlign w:val="baseline"/>
        </w:rPr>
        <w:t>seu ligante</w:t>
      </w:r>
      <w:r>
        <w:rPr>
          <w:spacing w:val="-1"/>
          <w:sz w:val="20"/>
          <w:vertAlign w:val="baseline"/>
        </w:rPr>
        <w:t> </w:t>
      </w:r>
      <w:r>
        <w:rPr>
          <w:sz w:val="20"/>
          <w:vertAlign w:val="baseline"/>
        </w:rPr>
        <w:t>CD-40L, propiciam</w:t>
      </w:r>
      <w:r>
        <w:rPr>
          <w:spacing w:val="-7"/>
          <w:sz w:val="20"/>
          <w:vertAlign w:val="baseline"/>
        </w:rPr>
        <w:t> </w:t>
      </w:r>
      <w:r>
        <w:rPr>
          <w:sz w:val="20"/>
          <w:vertAlign w:val="baseline"/>
        </w:rPr>
        <w:t>o</w:t>
      </w:r>
      <w:r>
        <w:rPr>
          <w:spacing w:val="-7"/>
          <w:sz w:val="20"/>
          <w:vertAlign w:val="baseline"/>
        </w:rPr>
        <w:t> </w:t>
      </w:r>
      <w:r>
        <w:rPr>
          <w:sz w:val="20"/>
          <w:vertAlign w:val="baseline"/>
        </w:rPr>
        <w:t>desenvolvimento</w:t>
      </w:r>
      <w:r>
        <w:rPr>
          <w:spacing w:val="-7"/>
          <w:sz w:val="20"/>
          <w:vertAlign w:val="baseline"/>
        </w:rPr>
        <w:t> </w:t>
      </w:r>
      <w:r>
        <w:rPr>
          <w:sz w:val="20"/>
          <w:vertAlign w:val="baseline"/>
        </w:rPr>
        <w:t>de</w:t>
      </w:r>
      <w:r>
        <w:rPr>
          <w:spacing w:val="-8"/>
          <w:sz w:val="20"/>
          <w:vertAlign w:val="baseline"/>
        </w:rPr>
        <w:t> </w:t>
      </w:r>
      <w:r>
        <w:rPr>
          <w:sz w:val="20"/>
          <w:vertAlign w:val="baseline"/>
        </w:rPr>
        <w:t>lesões avançadas com</w:t>
      </w:r>
      <w:r>
        <w:rPr>
          <w:spacing w:val="-7"/>
          <w:sz w:val="20"/>
          <w:vertAlign w:val="baseline"/>
        </w:rPr>
        <w:t> </w:t>
      </w:r>
      <w:r>
        <w:rPr>
          <w:sz w:val="20"/>
          <w:vertAlign w:val="baseline"/>
        </w:rPr>
        <w:t>produção</w:t>
      </w:r>
      <w:r>
        <w:rPr>
          <w:spacing w:val="-7"/>
          <w:sz w:val="20"/>
          <w:vertAlign w:val="baseline"/>
        </w:rPr>
        <w:t> </w:t>
      </w:r>
      <w:r>
        <w:rPr>
          <w:sz w:val="20"/>
          <w:vertAlign w:val="baseline"/>
        </w:rPr>
        <w:t>de</w:t>
      </w:r>
      <w:r>
        <w:rPr>
          <w:spacing w:val="-8"/>
          <w:sz w:val="20"/>
          <w:vertAlign w:val="baseline"/>
        </w:rPr>
        <w:t> </w:t>
      </w:r>
      <w:r>
        <w:rPr>
          <w:sz w:val="20"/>
          <w:vertAlign w:val="baseline"/>
        </w:rPr>
        <w:t>vários mediadores da</w:t>
      </w:r>
      <w:r>
        <w:rPr>
          <w:spacing w:val="-8"/>
          <w:sz w:val="20"/>
          <w:vertAlign w:val="baseline"/>
        </w:rPr>
        <w:t> </w:t>
      </w:r>
      <w:r>
        <w:rPr>
          <w:sz w:val="20"/>
          <w:vertAlign w:val="baseline"/>
        </w:rPr>
        <w:t>inflamação</w:t>
      </w:r>
      <w:r>
        <w:rPr>
          <w:spacing w:val="-7"/>
          <w:sz w:val="20"/>
          <w:vertAlign w:val="baseline"/>
        </w:rPr>
        <w:t> </w:t>
      </w:r>
      <w:r>
        <w:rPr>
          <w:sz w:val="20"/>
          <w:vertAlign w:val="baseline"/>
        </w:rPr>
        <w:t>e</w:t>
      </w:r>
      <w:r>
        <w:rPr>
          <w:spacing w:val="-8"/>
          <w:sz w:val="20"/>
          <w:vertAlign w:val="baseline"/>
        </w:rPr>
        <w:t> </w:t>
      </w:r>
      <w:r>
        <w:rPr>
          <w:sz w:val="20"/>
          <w:vertAlign w:val="baseline"/>
        </w:rPr>
        <w:t>de</w:t>
      </w:r>
      <w:r>
        <w:rPr>
          <w:spacing w:val="-8"/>
          <w:sz w:val="20"/>
          <w:vertAlign w:val="baseline"/>
        </w:rPr>
        <w:t> </w:t>
      </w:r>
      <w:r>
        <w:rPr>
          <w:sz w:val="20"/>
          <w:vertAlign w:val="baseline"/>
        </w:rPr>
        <w:t>metaloproteases de</w:t>
      </w:r>
      <w:r>
        <w:rPr>
          <w:spacing w:val="-8"/>
          <w:sz w:val="20"/>
          <w:vertAlign w:val="baseline"/>
        </w:rPr>
        <w:t> </w:t>
      </w:r>
      <w:r>
        <w:rPr>
          <w:sz w:val="20"/>
          <w:vertAlign w:val="baseline"/>
        </w:rPr>
        <w:t>matriz. A instalação de um trombo em uma placa que sofre ruptura ou erosão e desencadeia o evento coronariano agudo depende mais da composição</w:t>
      </w:r>
      <w:r>
        <w:rPr>
          <w:spacing w:val="-10"/>
          <w:sz w:val="20"/>
          <w:vertAlign w:val="baseline"/>
        </w:rPr>
        <w:t> </w:t>
      </w:r>
      <w:r>
        <w:rPr>
          <w:sz w:val="20"/>
          <w:vertAlign w:val="baseline"/>
        </w:rPr>
        <w:t>e</w:t>
      </w:r>
      <w:r>
        <w:rPr>
          <w:spacing w:val="-11"/>
          <w:sz w:val="20"/>
          <w:vertAlign w:val="baseline"/>
        </w:rPr>
        <w:t> </w:t>
      </w:r>
      <w:r>
        <w:rPr>
          <w:sz w:val="20"/>
          <w:vertAlign w:val="baseline"/>
        </w:rPr>
        <w:t>vulnerabilidade</w:t>
      </w:r>
      <w:r>
        <w:rPr>
          <w:spacing w:val="-11"/>
          <w:sz w:val="20"/>
          <w:vertAlign w:val="baseline"/>
        </w:rPr>
        <w:t> </w:t>
      </w:r>
      <w:r>
        <w:rPr>
          <w:sz w:val="20"/>
          <w:vertAlign w:val="baseline"/>
        </w:rPr>
        <w:t>dessa</w:t>
      </w:r>
      <w:r>
        <w:rPr>
          <w:spacing w:val="-11"/>
          <w:sz w:val="20"/>
          <w:vertAlign w:val="baseline"/>
        </w:rPr>
        <w:t> </w:t>
      </w:r>
      <w:r>
        <w:rPr>
          <w:sz w:val="20"/>
          <w:vertAlign w:val="baseline"/>
        </w:rPr>
        <w:t>placa</w:t>
      </w:r>
      <w:r>
        <w:rPr>
          <w:spacing w:val="-11"/>
          <w:sz w:val="20"/>
          <w:vertAlign w:val="baseline"/>
        </w:rPr>
        <w:t> </w:t>
      </w:r>
      <w:r>
        <w:rPr>
          <w:sz w:val="20"/>
          <w:vertAlign w:val="baseline"/>
        </w:rPr>
        <w:t>do</w:t>
      </w:r>
      <w:r>
        <w:rPr>
          <w:spacing w:val="-10"/>
          <w:sz w:val="20"/>
          <w:vertAlign w:val="baseline"/>
        </w:rPr>
        <w:t> </w:t>
      </w:r>
      <w:r>
        <w:rPr>
          <w:sz w:val="20"/>
          <w:vertAlign w:val="baseline"/>
        </w:rPr>
        <w:t>que</w:t>
      </w:r>
      <w:r>
        <w:rPr>
          <w:spacing w:val="-11"/>
          <w:sz w:val="20"/>
          <w:vertAlign w:val="baseline"/>
        </w:rPr>
        <w:t> </w:t>
      </w:r>
      <w:r>
        <w:rPr>
          <w:sz w:val="20"/>
          <w:vertAlign w:val="baseline"/>
        </w:rPr>
        <w:t>de</w:t>
      </w:r>
      <w:r>
        <w:rPr>
          <w:spacing w:val="-11"/>
          <w:sz w:val="20"/>
          <w:vertAlign w:val="baseline"/>
        </w:rPr>
        <w:t> </w:t>
      </w:r>
      <w:r>
        <w:rPr>
          <w:sz w:val="20"/>
          <w:vertAlign w:val="baseline"/>
        </w:rPr>
        <w:t>seu</w:t>
      </w:r>
      <w:r>
        <w:rPr>
          <w:spacing w:val="-10"/>
          <w:sz w:val="20"/>
          <w:vertAlign w:val="baseline"/>
        </w:rPr>
        <w:t> </w:t>
      </w:r>
      <w:r>
        <w:rPr>
          <w:sz w:val="20"/>
          <w:vertAlign w:val="baseline"/>
        </w:rPr>
        <w:t>grau</w:t>
      </w:r>
      <w:r>
        <w:rPr>
          <w:spacing w:val="-10"/>
          <w:sz w:val="20"/>
          <w:vertAlign w:val="baseline"/>
        </w:rPr>
        <w:t> </w:t>
      </w:r>
      <w:r>
        <w:rPr>
          <w:sz w:val="20"/>
          <w:vertAlign w:val="baseline"/>
        </w:rPr>
        <w:t>de</w:t>
      </w:r>
      <w:r>
        <w:rPr>
          <w:spacing w:val="-11"/>
          <w:sz w:val="20"/>
          <w:vertAlign w:val="baseline"/>
        </w:rPr>
        <w:t> </w:t>
      </w:r>
      <w:r>
        <w:rPr>
          <w:sz w:val="20"/>
          <w:vertAlign w:val="baseline"/>
        </w:rPr>
        <w:t>estenose.</w:t>
      </w:r>
      <w:r>
        <w:rPr>
          <w:spacing w:val="-3"/>
          <w:sz w:val="20"/>
          <w:vertAlign w:val="baseline"/>
        </w:rPr>
        <w:t> </w:t>
      </w:r>
      <w:r>
        <w:rPr>
          <w:sz w:val="20"/>
          <w:vertAlign w:val="baseline"/>
        </w:rPr>
        <w:t>Assim,</w:t>
      </w:r>
      <w:r>
        <w:rPr>
          <w:spacing w:val="-3"/>
          <w:sz w:val="20"/>
          <w:vertAlign w:val="baseline"/>
        </w:rPr>
        <w:t> </w:t>
      </w:r>
      <w:r>
        <w:rPr>
          <w:sz w:val="20"/>
          <w:vertAlign w:val="baseline"/>
        </w:rPr>
        <w:t>placas</w:t>
      </w:r>
      <w:r>
        <w:rPr>
          <w:spacing w:val="-3"/>
          <w:sz w:val="20"/>
          <w:vertAlign w:val="baseline"/>
        </w:rPr>
        <w:t> </w:t>
      </w:r>
      <w:r>
        <w:rPr>
          <w:sz w:val="20"/>
          <w:vertAlign w:val="baseline"/>
        </w:rPr>
        <w:t>vulneráveis</w:t>
      </w:r>
      <w:r>
        <w:rPr>
          <w:spacing w:val="-3"/>
          <w:sz w:val="20"/>
          <w:vertAlign w:val="baseline"/>
        </w:rPr>
        <w:t> </w:t>
      </w:r>
      <w:r>
        <w:rPr>
          <w:sz w:val="20"/>
          <w:vertAlign w:val="baseline"/>
        </w:rPr>
        <w:t>geralmente</w:t>
      </w:r>
      <w:r>
        <w:rPr>
          <w:spacing w:val="-11"/>
          <w:sz w:val="20"/>
          <w:vertAlign w:val="baseline"/>
        </w:rPr>
        <w:t> </w:t>
      </w:r>
      <w:r>
        <w:rPr>
          <w:sz w:val="20"/>
          <w:vertAlign w:val="baseline"/>
        </w:rPr>
        <w:t>têm</w:t>
      </w:r>
      <w:r>
        <w:rPr>
          <w:spacing w:val="-10"/>
          <w:sz w:val="20"/>
          <w:vertAlign w:val="baseline"/>
        </w:rPr>
        <w:t> </w:t>
      </w:r>
      <w:r>
        <w:rPr>
          <w:sz w:val="20"/>
          <w:vertAlign w:val="baseline"/>
        </w:rPr>
        <w:t>conteúdo</w:t>
      </w:r>
      <w:r>
        <w:rPr>
          <w:spacing w:val="-10"/>
          <w:sz w:val="20"/>
          <w:vertAlign w:val="baseline"/>
        </w:rPr>
        <w:t> </w:t>
      </w:r>
      <w:r>
        <w:rPr>
          <w:sz w:val="20"/>
          <w:vertAlign w:val="baseline"/>
        </w:rPr>
        <w:t>lipídico exuberante, capa fibrosa delgada e grande número de células inflamatórias, e sua manutenção reflete os processos de síntese e degradação de matriz, que são influenciados pelos produtos da inflamação. Macrófagos e células musculares lisas sintetizam proteases, entre</w:t>
      </w:r>
      <w:r>
        <w:rPr>
          <w:spacing w:val="-2"/>
          <w:sz w:val="20"/>
          <w:vertAlign w:val="baseline"/>
        </w:rPr>
        <w:t> </w:t>
      </w:r>
      <w:r>
        <w:rPr>
          <w:sz w:val="20"/>
          <w:vertAlign w:val="baseline"/>
        </w:rPr>
        <w:t>elas gelatinases, colagenases e</w:t>
      </w:r>
      <w:r>
        <w:rPr>
          <w:spacing w:val="-2"/>
          <w:sz w:val="20"/>
          <w:vertAlign w:val="baseline"/>
        </w:rPr>
        <w:t> </w:t>
      </w:r>
      <w:r>
        <w:rPr>
          <w:sz w:val="20"/>
          <w:vertAlign w:val="baseline"/>
        </w:rPr>
        <w:t>estromelisina. A</w:t>
      </w:r>
      <w:r>
        <w:rPr>
          <w:spacing w:val="-2"/>
          <w:sz w:val="20"/>
          <w:vertAlign w:val="baseline"/>
        </w:rPr>
        <w:t> </w:t>
      </w:r>
      <w:r>
        <w:rPr>
          <w:sz w:val="20"/>
          <w:vertAlign w:val="baseline"/>
        </w:rPr>
        <w:t>ruptura</w:t>
      </w:r>
      <w:r>
        <w:rPr>
          <w:spacing w:val="-2"/>
          <w:sz w:val="20"/>
          <w:vertAlign w:val="baseline"/>
        </w:rPr>
        <w:t> </w:t>
      </w:r>
      <w:r>
        <w:rPr>
          <w:sz w:val="20"/>
          <w:vertAlign w:val="baseline"/>
        </w:rPr>
        <w:t>ocorre</w:t>
      </w:r>
      <w:r>
        <w:rPr>
          <w:spacing w:val="-2"/>
          <w:sz w:val="20"/>
          <w:vertAlign w:val="baseline"/>
        </w:rPr>
        <w:t> </w:t>
      </w:r>
      <w:r>
        <w:rPr>
          <w:sz w:val="20"/>
          <w:vertAlign w:val="baseline"/>
        </w:rPr>
        <w:t>geralmente</w:t>
      </w:r>
      <w:r>
        <w:rPr>
          <w:spacing w:val="-2"/>
          <w:sz w:val="20"/>
          <w:vertAlign w:val="baseline"/>
        </w:rPr>
        <w:t> </w:t>
      </w:r>
      <w:r>
        <w:rPr>
          <w:sz w:val="20"/>
          <w:vertAlign w:val="baseline"/>
        </w:rPr>
        <w:t>nos chamados “ombros”</w:t>
      </w:r>
      <w:r>
        <w:rPr>
          <w:spacing w:val="-2"/>
          <w:sz w:val="20"/>
          <w:vertAlign w:val="baseline"/>
        </w:rPr>
        <w:t> </w:t>
      </w:r>
      <w:r>
        <w:rPr>
          <w:sz w:val="20"/>
          <w:vertAlign w:val="baseline"/>
        </w:rPr>
        <w:t>das lesões, ricos em células espumosas, expondo o subendotélio que</w:t>
      </w:r>
      <w:r>
        <w:rPr>
          <w:spacing w:val="-2"/>
          <w:sz w:val="20"/>
          <w:vertAlign w:val="baseline"/>
        </w:rPr>
        <w:t> </w:t>
      </w:r>
      <w:r>
        <w:rPr>
          <w:sz w:val="20"/>
          <w:vertAlign w:val="baseline"/>
        </w:rPr>
        <w:t>contém o fator tecidual, desencadeando o processo de</w:t>
      </w:r>
      <w:r>
        <w:rPr>
          <w:spacing w:val="-2"/>
          <w:sz w:val="20"/>
          <w:vertAlign w:val="baseline"/>
        </w:rPr>
        <w:t> </w:t>
      </w:r>
      <w:r>
        <w:rPr>
          <w:sz w:val="20"/>
          <w:vertAlign w:val="baseline"/>
        </w:rPr>
        <w:t>trombose.</w:t>
      </w:r>
      <w:r>
        <w:rPr>
          <w:sz w:val="20"/>
          <w:vertAlign w:val="superscript"/>
        </w:rPr>
        <w:t>2</w:t>
      </w:r>
    </w:p>
    <w:p>
      <w:pPr>
        <w:pStyle w:val="BodyText"/>
        <w:spacing w:before="137"/>
        <w:ind w:left="0" w:firstLine="0"/>
        <w:jc w:val="left"/>
        <w:rPr>
          <w:sz w:val="20"/>
        </w:rPr>
      </w:pPr>
    </w:p>
    <w:p>
      <w:pPr>
        <w:pStyle w:val="Heading6"/>
      </w:pPr>
      <w:r>
        <w:rPr>
          <w:color w:val="242B67"/>
        </w:rPr>
        <w:t>Fatores</w:t>
      </w:r>
      <w:r>
        <w:rPr>
          <w:color w:val="242B67"/>
          <w:spacing w:val="-10"/>
        </w:rPr>
        <w:t> </w:t>
      </w:r>
      <w:r>
        <w:rPr>
          <w:color w:val="242B67"/>
        </w:rPr>
        <w:t>genéticos</w:t>
      </w:r>
      <w:r>
        <w:rPr>
          <w:color w:val="242B67"/>
          <w:spacing w:val="-9"/>
        </w:rPr>
        <w:t> </w:t>
      </w:r>
      <w:r>
        <w:rPr>
          <w:color w:val="242B67"/>
        </w:rPr>
        <w:t>que</w:t>
      </w:r>
      <w:r>
        <w:rPr>
          <w:color w:val="242B67"/>
          <w:spacing w:val="-9"/>
        </w:rPr>
        <w:t> </w:t>
      </w:r>
      <w:r>
        <w:rPr>
          <w:color w:val="242B67"/>
        </w:rPr>
        <w:t>afetam</w:t>
      </w:r>
      <w:r>
        <w:rPr>
          <w:color w:val="242B67"/>
          <w:spacing w:val="-9"/>
        </w:rPr>
        <w:t> </w:t>
      </w:r>
      <w:r>
        <w:rPr>
          <w:color w:val="242B67"/>
        </w:rPr>
        <w:t>a</w:t>
      </w:r>
      <w:r>
        <w:rPr>
          <w:color w:val="242B67"/>
          <w:spacing w:val="-9"/>
        </w:rPr>
        <w:t> </w:t>
      </w:r>
      <w:r>
        <w:rPr>
          <w:color w:val="242B67"/>
          <w:spacing w:val="-2"/>
        </w:rPr>
        <w:t>aterosclerose</w:t>
      </w:r>
    </w:p>
    <w:p>
      <w:pPr>
        <w:spacing w:line="276" w:lineRule="auto" w:before="127"/>
        <w:ind w:left="52" w:right="475" w:firstLine="300"/>
        <w:jc w:val="both"/>
        <w:rPr>
          <w:sz w:val="20"/>
        </w:rPr>
      </w:pPr>
      <w:r>
        <w:rPr>
          <w:sz w:val="20"/>
        </w:rPr>
        <w:t>Doenças genéticas raras com herança mendeliana e polimorfismos genéticos comuns foram descritas em associação com os eventos coronarianos. Certos genes conferem</w:t>
      </w:r>
      <w:r>
        <w:rPr>
          <w:spacing w:val="-3"/>
          <w:sz w:val="20"/>
        </w:rPr>
        <w:t> </w:t>
      </w:r>
      <w:r>
        <w:rPr>
          <w:sz w:val="20"/>
        </w:rPr>
        <w:t>suscetibilidade</w:t>
      </w:r>
      <w:r>
        <w:rPr>
          <w:spacing w:val="-5"/>
          <w:sz w:val="20"/>
        </w:rPr>
        <w:t> </w:t>
      </w:r>
      <w:r>
        <w:rPr>
          <w:sz w:val="20"/>
        </w:rPr>
        <w:t>à</w:t>
      </w:r>
      <w:r>
        <w:rPr>
          <w:spacing w:val="-5"/>
          <w:sz w:val="20"/>
        </w:rPr>
        <w:t> </w:t>
      </w:r>
      <w:r>
        <w:rPr>
          <w:sz w:val="20"/>
        </w:rPr>
        <w:t>DAC, posto</w:t>
      </w:r>
      <w:r>
        <w:rPr>
          <w:spacing w:val="-3"/>
          <w:sz w:val="20"/>
        </w:rPr>
        <w:t> </w:t>
      </w:r>
      <w:r>
        <w:rPr>
          <w:sz w:val="20"/>
        </w:rPr>
        <w:t>que</w:t>
      </w:r>
      <w:r>
        <w:rPr>
          <w:spacing w:val="-5"/>
          <w:sz w:val="20"/>
        </w:rPr>
        <w:t> </w:t>
      </w:r>
      <w:r>
        <w:rPr>
          <w:sz w:val="20"/>
        </w:rPr>
        <w:t>regulam</w:t>
      </w:r>
      <w:r>
        <w:rPr>
          <w:spacing w:val="-3"/>
          <w:sz w:val="20"/>
        </w:rPr>
        <w:t> </w:t>
      </w:r>
      <w:r>
        <w:rPr>
          <w:sz w:val="20"/>
        </w:rPr>
        <w:t>a</w:t>
      </w:r>
      <w:r>
        <w:rPr>
          <w:spacing w:val="-5"/>
          <w:sz w:val="20"/>
        </w:rPr>
        <w:t> </w:t>
      </w:r>
      <w:r>
        <w:rPr>
          <w:sz w:val="20"/>
        </w:rPr>
        <w:t>expressão</w:t>
      </w:r>
      <w:r>
        <w:rPr>
          <w:spacing w:val="-3"/>
          <w:sz w:val="20"/>
        </w:rPr>
        <w:t> </w:t>
      </w:r>
      <w:r>
        <w:rPr>
          <w:sz w:val="20"/>
        </w:rPr>
        <w:t>de</w:t>
      </w:r>
      <w:r>
        <w:rPr>
          <w:spacing w:val="-5"/>
          <w:sz w:val="20"/>
        </w:rPr>
        <w:t> </w:t>
      </w:r>
      <w:r>
        <w:rPr>
          <w:sz w:val="20"/>
        </w:rPr>
        <w:t>lipoproteínas, marcadores da inflamação, hemostasia, sistema</w:t>
      </w:r>
      <w:r>
        <w:rPr>
          <w:spacing w:val="-3"/>
          <w:sz w:val="20"/>
        </w:rPr>
        <w:t> </w:t>
      </w:r>
      <w:r>
        <w:rPr>
          <w:sz w:val="20"/>
        </w:rPr>
        <w:t>renina-angiotensina-aldosterona, estresse</w:t>
      </w:r>
      <w:r>
        <w:rPr>
          <w:spacing w:val="-3"/>
          <w:sz w:val="20"/>
        </w:rPr>
        <w:t> </w:t>
      </w:r>
      <w:r>
        <w:rPr>
          <w:sz w:val="20"/>
        </w:rPr>
        <w:t>oxidativo e</w:t>
      </w:r>
      <w:r>
        <w:rPr>
          <w:spacing w:val="-3"/>
          <w:sz w:val="20"/>
        </w:rPr>
        <w:t> </w:t>
      </w:r>
      <w:r>
        <w:rPr>
          <w:sz w:val="20"/>
        </w:rPr>
        <w:t>função endotelial, justificando-se</w:t>
      </w:r>
      <w:r>
        <w:rPr>
          <w:spacing w:val="-3"/>
          <w:sz w:val="20"/>
        </w:rPr>
        <w:t> </w:t>
      </w:r>
      <w:r>
        <w:rPr>
          <w:sz w:val="20"/>
        </w:rPr>
        <w:t>o seu estudo em protocolos de pesquisa. Neste capítulo serão abordadas as mutações que promovem dislipidemias genéticas e os polimorfismos genéticos, cujas frequências populacionais são</w:t>
      </w:r>
      <w:r>
        <w:rPr>
          <w:spacing w:val="-1"/>
          <w:sz w:val="20"/>
        </w:rPr>
        <w:t> </w:t>
      </w:r>
      <w:r>
        <w:rPr>
          <w:sz w:val="20"/>
        </w:rPr>
        <w:t>superiores a</w:t>
      </w:r>
      <w:r>
        <w:rPr>
          <w:spacing w:val="-3"/>
          <w:sz w:val="20"/>
        </w:rPr>
        <w:t> </w:t>
      </w:r>
      <w:r>
        <w:rPr>
          <w:sz w:val="20"/>
        </w:rPr>
        <w:t>1%, com</w:t>
      </w:r>
      <w:r>
        <w:rPr>
          <w:spacing w:val="-1"/>
          <w:sz w:val="20"/>
        </w:rPr>
        <w:t> </w:t>
      </w:r>
      <w:r>
        <w:rPr>
          <w:sz w:val="20"/>
        </w:rPr>
        <w:t>ênfase</w:t>
      </w:r>
      <w:r>
        <w:rPr>
          <w:spacing w:val="-3"/>
          <w:sz w:val="20"/>
        </w:rPr>
        <w:t> </w:t>
      </w:r>
      <w:r>
        <w:rPr>
          <w:sz w:val="20"/>
        </w:rPr>
        <w:t>em</w:t>
      </w:r>
      <w:r>
        <w:rPr>
          <w:spacing w:val="-1"/>
          <w:sz w:val="20"/>
        </w:rPr>
        <w:t> </w:t>
      </w:r>
      <w:r>
        <w:rPr>
          <w:sz w:val="20"/>
        </w:rPr>
        <w:t>publicações de</w:t>
      </w:r>
      <w:r>
        <w:rPr>
          <w:spacing w:val="-3"/>
          <w:sz w:val="20"/>
        </w:rPr>
        <w:t> </w:t>
      </w:r>
      <w:r>
        <w:rPr>
          <w:sz w:val="20"/>
        </w:rPr>
        <w:t>revisões sistemáticas e</w:t>
      </w:r>
      <w:r>
        <w:rPr>
          <w:spacing w:val="-3"/>
          <w:sz w:val="20"/>
        </w:rPr>
        <w:t> </w:t>
      </w:r>
      <w:r>
        <w:rPr>
          <w:sz w:val="20"/>
        </w:rPr>
        <w:t>metanálises.</w:t>
      </w:r>
    </w:p>
    <w:p>
      <w:pPr>
        <w:pStyle w:val="BodyText"/>
        <w:spacing w:before="116"/>
        <w:ind w:left="0" w:firstLine="0"/>
        <w:jc w:val="left"/>
        <w:rPr>
          <w:sz w:val="20"/>
        </w:rPr>
      </w:pPr>
    </w:p>
    <w:p>
      <w:pPr>
        <w:pStyle w:val="Heading8"/>
      </w:pPr>
      <w:r>
        <w:rPr>
          <w:color w:val="A26108"/>
        </w:rPr>
        <w:t>Polimorfismos</w:t>
      </w:r>
      <w:r>
        <w:rPr>
          <w:color w:val="A26108"/>
          <w:spacing w:val="20"/>
        </w:rPr>
        <w:t> </w:t>
      </w:r>
      <w:r>
        <w:rPr>
          <w:color w:val="A26108"/>
        </w:rPr>
        <w:t>em</w:t>
      </w:r>
      <w:r>
        <w:rPr>
          <w:color w:val="A26108"/>
          <w:spacing w:val="21"/>
        </w:rPr>
        <w:t> </w:t>
      </w:r>
      <w:r>
        <w:rPr>
          <w:color w:val="A26108"/>
        </w:rPr>
        <w:t>genes</w:t>
      </w:r>
      <w:r>
        <w:rPr>
          <w:color w:val="A26108"/>
          <w:spacing w:val="20"/>
        </w:rPr>
        <w:t> </w:t>
      </w:r>
      <w:r>
        <w:rPr>
          <w:color w:val="A26108"/>
        </w:rPr>
        <w:t>relacionados</w:t>
      </w:r>
      <w:r>
        <w:rPr>
          <w:color w:val="A26108"/>
          <w:spacing w:val="21"/>
        </w:rPr>
        <w:t> </w:t>
      </w:r>
      <w:r>
        <w:rPr>
          <w:color w:val="A26108"/>
        </w:rPr>
        <w:t>com</w:t>
      </w:r>
      <w:r>
        <w:rPr>
          <w:color w:val="A26108"/>
          <w:spacing w:val="20"/>
        </w:rPr>
        <w:t> </w:t>
      </w:r>
      <w:r>
        <w:rPr>
          <w:color w:val="A26108"/>
        </w:rPr>
        <w:t>o</w:t>
      </w:r>
      <w:r>
        <w:rPr>
          <w:color w:val="A26108"/>
          <w:spacing w:val="21"/>
        </w:rPr>
        <w:t> </w:t>
      </w:r>
      <w:r>
        <w:rPr>
          <w:color w:val="A26108"/>
        </w:rPr>
        <w:t>metabolismo</w:t>
      </w:r>
      <w:r>
        <w:rPr>
          <w:color w:val="A26108"/>
          <w:spacing w:val="20"/>
        </w:rPr>
        <w:t> </w:t>
      </w:r>
      <w:r>
        <w:rPr>
          <w:color w:val="A26108"/>
          <w:spacing w:val="-2"/>
        </w:rPr>
        <w:t>lipídico</w:t>
      </w:r>
    </w:p>
    <w:p>
      <w:pPr>
        <w:spacing w:before="109"/>
        <w:ind w:left="52" w:right="0" w:firstLine="0"/>
        <w:jc w:val="left"/>
        <w:rPr>
          <w:rFonts w:ascii="Arial"/>
          <w:b/>
          <w:i/>
          <w:sz w:val="24"/>
        </w:rPr>
      </w:pPr>
      <w:r>
        <w:rPr>
          <w:rFonts w:ascii="Arial"/>
          <w:b/>
          <w:i/>
          <w:color w:val="242B67"/>
          <w:sz w:val="24"/>
        </w:rPr>
        <w:t>Hipercolesterolemia</w:t>
      </w:r>
      <w:r>
        <w:rPr>
          <w:rFonts w:ascii="Arial"/>
          <w:b/>
          <w:i/>
          <w:color w:val="242B67"/>
          <w:spacing w:val="46"/>
          <w:sz w:val="24"/>
        </w:rPr>
        <w:t> </w:t>
      </w:r>
      <w:r>
        <w:rPr>
          <w:rFonts w:ascii="Arial"/>
          <w:b/>
          <w:i/>
          <w:color w:val="242B67"/>
          <w:spacing w:val="-2"/>
          <w:sz w:val="24"/>
        </w:rPr>
        <w:t>familiar</w:t>
      </w:r>
    </w:p>
    <w:p>
      <w:pPr>
        <w:spacing w:line="276" w:lineRule="auto" w:before="124"/>
        <w:ind w:left="52" w:right="481" w:firstLine="300"/>
        <w:jc w:val="both"/>
        <w:rPr>
          <w:sz w:val="20"/>
        </w:rPr>
      </w:pPr>
      <w:r>
        <w:rPr>
          <w:sz w:val="20"/>
        </w:rPr>
        <w:t>As hipercolesterolemias podem ter etiologia genética ou ambiental. A </w:t>
      </w:r>
      <w:r>
        <w:rPr>
          <w:color w:val="505050"/>
          <w:sz w:val="20"/>
        </w:rPr>
        <w:t>Tabela 60.1 </w:t>
      </w:r>
      <w:r>
        <w:rPr>
          <w:sz w:val="20"/>
        </w:rPr>
        <w:t>apresenta as principais causas de hipercolesterolemia</w:t>
      </w:r>
      <w:r>
        <w:rPr>
          <w:spacing w:val="-4"/>
          <w:sz w:val="20"/>
        </w:rPr>
        <w:t> </w:t>
      </w:r>
      <w:r>
        <w:rPr>
          <w:sz w:val="20"/>
        </w:rPr>
        <w:t>de</w:t>
      </w:r>
      <w:r>
        <w:rPr>
          <w:spacing w:val="-4"/>
          <w:sz w:val="20"/>
        </w:rPr>
        <w:t> </w:t>
      </w:r>
      <w:r>
        <w:rPr>
          <w:sz w:val="20"/>
        </w:rPr>
        <w:t>base</w:t>
      </w:r>
      <w:r>
        <w:rPr>
          <w:spacing w:val="-4"/>
          <w:sz w:val="20"/>
        </w:rPr>
        <w:t> </w:t>
      </w:r>
      <w:r>
        <w:rPr>
          <w:sz w:val="20"/>
        </w:rPr>
        <w:t>genética, seu</w:t>
      </w:r>
      <w:r>
        <w:rPr>
          <w:spacing w:val="-3"/>
          <w:sz w:val="20"/>
        </w:rPr>
        <w:t> </w:t>
      </w:r>
      <w:r>
        <w:rPr>
          <w:sz w:val="20"/>
        </w:rPr>
        <w:t>modo</w:t>
      </w:r>
      <w:r>
        <w:rPr>
          <w:spacing w:val="-3"/>
          <w:sz w:val="20"/>
        </w:rPr>
        <w:t> </w:t>
      </w:r>
      <w:r>
        <w:rPr>
          <w:sz w:val="20"/>
        </w:rPr>
        <w:t>de</w:t>
      </w:r>
      <w:r>
        <w:rPr>
          <w:spacing w:val="-4"/>
          <w:sz w:val="20"/>
        </w:rPr>
        <w:t> </w:t>
      </w:r>
      <w:r>
        <w:rPr>
          <w:sz w:val="20"/>
        </w:rPr>
        <w:t>herança, frequência</w:t>
      </w:r>
      <w:r>
        <w:rPr>
          <w:spacing w:val="-4"/>
          <w:sz w:val="20"/>
        </w:rPr>
        <w:t> </w:t>
      </w:r>
      <w:r>
        <w:rPr>
          <w:sz w:val="20"/>
        </w:rPr>
        <w:t>populacional e</w:t>
      </w:r>
      <w:r>
        <w:rPr>
          <w:spacing w:val="-4"/>
          <w:sz w:val="20"/>
        </w:rPr>
        <w:t> </w:t>
      </w:r>
      <w:r>
        <w:rPr>
          <w:sz w:val="20"/>
        </w:rPr>
        <w:t>a</w:t>
      </w:r>
      <w:r>
        <w:rPr>
          <w:spacing w:val="-4"/>
          <w:sz w:val="20"/>
        </w:rPr>
        <w:t> </w:t>
      </w:r>
      <w:r>
        <w:rPr>
          <w:sz w:val="20"/>
        </w:rPr>
        <w:t>relação</w:t>
      </w:r>
      <w:r>
        <w:rPr>
          <w:spacing w:val="-3"/>
          <w:sz w:val="20"/>
        </w:rPr>
        <w:t> </w:t>
      </w:r>
      <w:r>
        <w:rPr>
          <w:sz w:val="20"/>
        </w:rPr>
        <w:t>com</w:t>
      </w:r>
      <w:r>
        <w:rPr>
          <w:spacing w:val="-3"/>
          <w:sz w:val="20"/>
        </w:rPr>
        <w:t> </w:t>
      </w:r>
      <w:r>
        <w:rPr>
          <w:sz w:val="20"/>
        </w:rPr>
        <w:t>a</w:t>
      </w:r>
      <w:r>
        <w:rPr>
          <w:spacing w:val="-4"/>
          <w:sz w:val="20"/>
        </w:rPr>
        <w:t> </w:t>
      </w:r>
      <w:r>
        <w:rPr>
          <w:sz w:val="20"/>
        </w:rPr>
        <w:t>aterosclerose</w:t>
      </w:r>
      <w:r>
        <w:rPr>
          <w:spacing w:val="-4"/>
          <w:sz w:val="20"/>
        </w:rPr>
        <w:t> </w:t>
      </w:r>
      <w:r>
        <w:rPr>
          <w:sz w:val="20"/>
        </w:rPr>
        <w:t>prematura.</w:t>
      </w:r>
    </w:p>
    <w:p>
      <w:pPr>
        <w:spacing w:line="283" w:lineRule="auto" w:before="42"/>
        <w:ind w:left="52" w:right="475" w:firstLine="300"/>
        <w:jc w:val="both"/>
        <w:rPr>
          <w:sz w:val="20"/>
        </w:rPr>
      </w:pPr>
      <w:r>
        <w:rPr>
          <w:sz w:val="20"/>
        </w:rPr>
        <w:t>A hipercolesterolemia familiar (HF) é um distúrbio herdado do metabolismo, com modo de herança autossômico codominante, caracterizado por níveis muito elevados de LDL-colesterol, xantomastendíneos e aumento do risco de doença arterial coronariana prematura. O defeito genético mais comum é no receptor de LDL (LDL-R). O gene que codifica para o LDL-R foi mapeado no cromossomo 19p13.1-13.3, sendo identificadas até o momento mais de 1.600 mutações que causam HF.</w:t>
      </w:r>
      <w:r>
        <w:rPr>
          <w:sz w:val="20"/>
          <w:vertAlign w:val="superscript"/>
        </w:rPr>
        <w:t>3</w:t>
      </w:r>
      <w:r>
        <w:rPr>
          <w:sz w:val="20"/>
          <w:vertAlign w:val="baseline"/>
        </w:rPr>
        <w:t> A penetrância da HF é de quase 100%, significando que 50% dos descendentes de um indivíduo afetado apresentarão níveis de colesterol muito elevados a partir do</w:t>
      </w:r>
      <w:r>
        <w:rPr>
          <w:spacing w:val="-1"/>
          <w:sz w:val="20"/>
          <w:vertAlign w:val="baseline"/>
        </w:rPr>
        <w:t> </w:t>
      </w:r>
      <w:r>
        <w:rPr>
          <w:sz w:val="20"/>
          <w:vertAlign w:val="baseline"/>
        </w:rPr>
        <w:t>nascimento, afetando</w:t>
      </w:r>
      <w:r>
        <w:rPr>
          <w:spacing w:val="-1"/>
          <w:sz w:val="20"/>
          <w:vertAlign w:val="baseline"/>
        </w:rPr>
        <w:t> </w:t>
      </w:r>
      <w:r>
        <w:rPr>
          <w:sz w:val="20"/>
          <w:vertAlign w:val="baseline"/>
        </w:rPr>
        <w:t>igualmente</w:t>
      </w:r>
      <w:r>
        <w:rPr>
          <w:spacing w:val="-2"/>
          <w:sz w:val="20"/>
          <w:vertAlign w:val="baseline"/>
        </w:rPr>
        <w:t> </w:t>
      </w:r>
      <w:r>
        <w:rPr>
          <w:sz w:val="20"/>
          <w:vertAlign w:val="baseline"/>
        </w:rPr>
        <w:t>homens e</w:t>
      </w:r>
      <w:r>
        <w:rPr>
          <w:spacing w:val="-2"/>
          <w:sz w:val="20"/>
          <w:vertAlign w:val="baseline"/>
        </w:rPr>
        <w:t> </w:t>
      </w:r>
      <w:r>
        <w:rPr>
          <w:sz w:val="20"/>
          <w:vertAlign w:val="baseline"/>
        </w:rPr>
        <w:t>mulheres.</w:t>
      </w:r>
      <w:r>
        <w:rPr>
          <w:sz w:val="20"/>
          <w:vertAlign w:val="superscript"/>
        </w:rPr>
        <w:t>3,4</w:t>
      </w:r>
      <w:r>
        <w:rPr>
          <w:sz w:val="20"/>
          <w:vertAlign w:val="baseline"/>
        </w:rPr>
        <w:t> Mais recentemente, outros </w:t>
      </w:r>
      <w:r>
        <w:rPr>
          <w:i/>
          <w:sz w:val="20"/>
          <w:vertAlign w:val="baseline"/>
        </w:rPr>
        <w:t>loci </w:t>
      </w:r>
      <w:r>
        <w:rPr>
          <w:sz w:val="20"/>
          <w:vertAlign w:val="baseline"/>
        </w:rPr>
        <w:t>que</w:t>
      </w:r>
      <w:r>
        <w:rPr>
          <w:spacing w:val="-1"/>
          <w:sz w:val="20"/>
          <w:vertAlign w:val="baseline"/>
        </w:rPr>
        <w:t> </w:t>
      </w:r>
      <w:r>
        <w:rPr>
          <w:sz w:val="20"/>
          <w:vertAlign w:val="baseline"/>
        </w:rPr>
        <w:t>promovem hipercolesterolemia hereditária foram identificados e têm apresentação fenotípica muito semelhante à HF.</w:t>
      </w:r>
      <w:r>
        <w:rPr>
          <w:sz w:val="20"/>
          <w:vertAlign w:val="superscript"/>
        </w:rPr>
        <w:t>4</w:t>
      </w:r>
    </w:p>
    <w:p>
      <w:pPr>
        <w:spacing w:line="280" w:lineRule="auto" w:before="48"/>
        <w:ind w:left="52" w:right="475" w:firstLine="300"/>
        <w:jc w:val="both"/>
        <w:rPr>
          <w:sz w:val="20"/>
        </w:rPr>
      </w:pPr>
      <w:r>
        <w:rPr>
          <w:sz w:val="20"/>
        </w:rPr>
        <w:t>O defeito familiar da apolipoproteína (Apo) B 100, em que esta apresenta baixa afinidade pelo LDL-R, constitui-se em uma forma comum de HF em países europeus. A Apo B 100 é uma proteína de superfície constituinte das partículas de lipoproteína de densidade muito baixa (VLDL, do inglês, </w:t>
      </w:r>
      <w:r>
        <w:rPr>
          <w:i/>
          <w:sz w:val="20"/>
        </w:rPr>
        <w:t>very low-density lipoprotein</w:t>
      </w:r>
      <w:r>
        <w:rPr>
          <w:sz w:val="20"/>
        </w:rPr>
        <w:t>) e lipoproteína de densidade intermediária (IDL, do inglês, </w:t>
      </w:r>
      <w:r>
        <w:rPr>
          <w:i/>
          <w:sz w:val="20"/>
        </w:rPr>
        <w:t>intermediate-density</w:t>
      </w:r>
      <w:r>
        <w:rPr>
          <w:i/>
          <w:spacing w:val="-8"/>
          <w:sz w:val="20"/>
        </w:rPr>
        <w:t> </w:t>
      </w:r>
      <w:r>
        <w:rPr>
          <w:i/>
          <w:sz w:val="20"/>
        </w:rPr>
        <w:t>lipoprotein</w:t>
      </w:r>
      <w:r>
        <w:rPr>
          <w:sz w:val="20"/>
        </w:rPr>
        <w:t>). Existem vários polimorfismos desse gene, porém sua associação com a DAC é conflitante.</w:t>
      </w:r>
      <w:r>
        <w:rPr>
          <w:sz w:val="20"/>
          <w:vertAlign w:val="superscript"/>
        </w:rPr>
        <w:t>4</w:t>
      </w:r>
      <w:r>
        <w:rPr>
          <w:sz w:val="20"/>
          <w:vertAlign w:val="baseline"/>
        </w:rPr>
        <w:t> Duas metanálises avaliaram o polimorfismo EcoR I (genótipo AA) e a inserção/deleção do peptídio sinal da Apo B (genótipo DD). Na primeira, houve</w:t>
      </w:r>
      <w:r>
        <w:rPr>
          <w:spacing w:val="-1"/>
          <w:sz w:val="20"/>
          <w:vertAlign w:val="baseline"/>
        </w:rPr>
        <w:t> </w:t>
      </w:r>
      <w:r>
        <w:rPr>
          <w:sz w:val="20"/>
          <w:vertAlign w:val="baseline"/>
        </w:rPr>
        <w:t>associação com DAC e</w:t>
      </w:r>
      <w:r>
        <w:rPr>
          <w:spacing w:val="-1"/>
          <w:sz w:val="20"/>
          <w:vertAlign w:val="baseline"/>
        </w:rPr>
        <w:t> </w:t>
      </w:r>
      <w:r>
        <w:rPr>
          <w:sz w:val="20"/>
          <w:vertAlign w:val="baseline"/>
        </w:rPr>
        <w:t>infarto do miocárdio, enquanto na</w:t>
      </w:r>
      <w:r>
        <w:rPr>
          <w:spacing w:val="-1"/>
          <w:sz w:val="20"/>
          <w:vertAlign w:val="baseline"/>
        </w:rPr>
        <w:t> </w:t>
      </w:r>
      <w:r>
        <w:rPr>
          <w:sz w:val="20"/>
          <w:vertAlign w:val="baseline"/>
        </w:rPr>
        <w:t>segunda, não se</w:t>
      </w:r>
      <w:r>
        <w:rPr>
          <w:spacing w:val="-1"/>
          <w:sz w:val="20"/>
          <w:vertAlign w:val="baseline"/>
        </w:rPr>
        <w:t> </w:t>
      </w:r>
      <w:r>
        <w:rPr>
          <w:sz w:val="20"/>
          <w:vertAlign w:val="baseline"/>
        </w:rPr>
        <w:t>observou associação.</w:t>
      </w:r>
      <w:r>
        <w:rPr>
          <w:sz w:val="20"/>
          <w:vertAlign w:val="superscript"/>
        </w:rPr>
        <w:t>5</w:t>
      </w:r>
    </w:p>
    <w:p>
      <w:pPr>
        <w:spacing w:before="42"/>
        <w:ind w:left="352" w:right="0" w:firstLine="0"/>
        <w:jc w:val="both"/>
        <w:rPr>
          <w:sz w:val="20"/>
        </w:rPr>
      </w:pPr>
      <w:r>
        <w:rPr>
          <w:sz w:val="20"/>
        </w:rPr>
        <w:t>Outra</w:t>
      </w:r>
      <w:r>
        <w:rPr>
          <w:spacing w:val="24"/>
          <w:sz w:val="20"/>
        </w:rPr>
        <w:t> </w:t>
      </w:r>
      <w:r>
        <w:rPr>
          <w:sz w:val="20"/>
        </w:rPr>
        <w:t>forma</w:t>
      </w:r>
      <w:r>
        <w:rPr>
          <w:spacing w:val="26"/>
          <w:sz w:val="20"/>
        </w:rPr>
        <w:t> </w:t>
      </w:r>
      <w:r>
        <w:rPr>
          <w:sz w:val="20"/>
        </w:rPr>
        <w:t>menos</w:t>
      </w:r>
      <w:r>
        <w:rPr>
          <w:spacing w:val="36"/>
          <w:sz w:val="20"/>
        </w:rPr>
        <w:t> </w:t>
      </w:r>
      <w:r>
        <w:rPr>
          <w:sz w:val="20"/>
        </w:rPr>
        <w:t>frequente</w:t>
      </w:r>
      <w:r>
        <w:rPr>
          <w:spacing w:val="26"/>
          <w:sz w:val="20"/>
        </w:rPr>
        <w:t> </w:t>
      </w:r>
      <w:r>
        <w:rPr>
          <w:sz w:val="20"/>
        </w:rPr>
        <w:t>de</w:t>
      </w:r>
      <w:r>
        <w:rPr>
          <w:spacing w:val="26"/>
          <w:sz w:val="20"/>
        </w:rPr>
        <w:t> </w:t>
      </w:r>
      <w:r>
        <w:rPr>
          <w:sz w:val="20"/>
        </w:rPr>
        <w:t>HF</w:t>
      </w:r>
      <w:r>
        <w:rPr>
          <w:spacing w:val="31"/>
          <w:sz w:val="20"/>
        </w:rPr>
        <w:t> </w:t>
      </w:r>
      <w:r>
        <w:rPr>
          <w:sz w:val="20"/>
        </w:rPr>
        <w:t>foi</w:t>
      </w:r>
      <w:r>
        <w:rPr>
          <w:spacing w:val="32"/>
          <w:sz w:val="20"/>
        </w:rPr>
        <w:t> </w:t>
      </w:r>
      <w:r>
        <w:rPr>
          <w:sz w:val="20"/>
        </w:rPr>
        <w:t>recentemente</w:t>
      </w:r>
      <w:r>
        <w:rPr>
          <w:spacing w:val="26"/>
          <w:sz w:val="20"/>
        </w:rPr>
        <w:t> </w:t>
      </w:r>
      <w:r>
        <w:rPr>
          <w:sz w:val="20"/>
        </w:rPr>
        <w:t>identificada</w:t>
      </w:r>
      <w:r>
        <w:rPr>
          <w:spacing w:val="26"/>
          <w:sz w:val="20"/>
        </w:rPr>
        <w:t> </w:t>
      </w:r>
      <w:r>
        <w:rPr>
          <w:sz w:val="20"/>
        </w:rPr>
        <w:t>no</w:t>
      </w:r>
      <w:r>
        <w:rPr>
          <w:spacing w:val="29"/>
          <w:sz w:val="20"/>
        </w:rPr>
        <w:t> </w:t>
      </w:r>
      <w:r>
        <w:rPr>
          <w:sz w:val="20"/>
        </w:rPr>
        <w:t>cromossomo</w:t>
      </w:r>
      <w:r>
        <w:rPr>
          <w:spacing w:val="29"/>
          <w:sz w:val="20"/>
        </w:rPr>
        <w:t> </w:t>
      </w:r>
      <w:r>
        <w:rPr>
          <w:sz w:val="20"/>
        </w:rPr>
        <w:t>1p32,</w:t>
      </w:r>
      <w:r>
        <w:rPr>
          <w:spacing w:val="35"/>
          <w:sz w:val="20"/>
        </w:rPr>
        <w:t> </w:t>
      </w:r>
      <w:r>
        <w:rPr>
          <w:sz w:val="20"/>
        </w:rPr>
        <w:t>afetando</w:t>
      </w:r>
      <w:r>
        <w:rPr>
          <w:spacing w:val="29"/>
          <w:sz w:val="20"/>
        </w:rPr>
        <w:t> </w:t>
      </w:r>
      <w:r>
        <w:rPr>
          <w:sz w:val="20"/>
        </w:rPr>
        <w:t>a</w:t>
      </w:r>
      <w:r>
        <w:rPr>
          <w:spacing w:val="26"/>
          <w:sz w:val="20"/>
        </w:rPr>
        <w:t> </w:t>
      </w:r>
      <w:r>
        <w:rPr>
          <w:sz w:val="20"/>
        </w:rPr>
        <w:t>síntese</w:t>
      </w:r>
      <w:r>
        <w:rPr>
          <w:spacing w:val="26"/>
          <w:sz w:val="20"/>
        </w:rPr>
        <w:t> </w:t>
      </w:r>
      <w:r>
        <w:rPr>
          <w:sz w:val="20"/>
        </w:rPr>
        <w:t>da</w:t>
      </w:r>
      <w:r>
        <w:rPr>
          <w:spacing w:val="27"/>
          <w:sz w:val="20"/>
        </w:rPr>
        <w:t> </w:t>
      </w:r>
      <w:r>
        <w:rPr>
          <w:sz w:val="20"/>
        </w:rPr>
        <w:t>pró-</w:t>
      </w:r>
      <w:r>
        <w:rPr>
          <w:spacing w:val="-2"/>
          <w:sz w:val="20"/>
        </w:rPr>
        <w:t>proteína</w:t>
      </w:r>
    </w:p>
    <w:p>
      <w:pPr>
        <w:spacing w:after="0"/>
        <w:jc w:val="both"/>
        <w:rPr>
          <w:sz w:val="20"/>
        </w:rPr>
        <w:sectPr>
          <w:pgSz w:w="11900" w:h="16840"/>
          <w:pgMar w:top="220" w:bottom="280" w:left="566" w:right="141"/>
        </w:sectPr>
      </w:pPr>
    </w:p>
    <w:p>
      <w:pPr>
        <w:spacing w:line="285" w:lineRule="auto" w:before="62"/>
        <w:ind w:left="52" w:right="475" w:firstLine="0"/>
        <w:jc w:val="both"/>
        <w:rPr>
          <w:sz w:val="20"/>
        </w:rPr>
      </w:pPr>
      <w:r>
        <w:rPr>
          <w:sz w:val="20"/>
        </w:rPr>
        <w:t>convertase subtilisina/kexina tipo 9 serina protease (PCSK9), uma proteína que interfere no ciclo do LDL-R desde sua secreção até sua</w:t>
      </w:r>
      <w:r>
        <w:rPr>
          <w:spacing w:val="-8"/>
          <w:sz w:val="20"/>
        </w:rPr>
        <w:t> </w:t>
      </w:r>
      <w:r>
        <w:rPr>
          <w:sz w:val="20"/>
        </w:rPr>
        <w:t>reciclagem, acelerando</w:t>
      </w:r>
      <w:r>
        <w:rPr>
          <w:spacing w:val="-6"/>
          <w:sz w:val="20"/>
        </w:rPr>
        <w:t> </w:t>
      </w:r>
      <w:r>
        <w:rPr>
          <w:sz w:val="20"/>
        </w:rPr>
        <w:t>o</w:t>
      </w:r>
      <w:r>
        <w:rPr>
          <w:spacing w:val="-6"/>
          <w:sz w:val="20"/>
        </w:rPr>
        <w:t> </w:t>
      </w:r>
      <w:r>
        <w:rPr>
          <w:sz w:val="20"/>
        </w:rPr>
        <w:t>catabolismo</w:t>
      </w:r>
      <w:r>
        <w:rPr>
          <w:spacing w:val="-6"/>
          <w:sz w:val="20"/>
        </w:rPr>
        <w:t> </w:t>
      </w:r>
      <w:r>
        <w:rPr>
          <w:sz w:val="20"/>
        </w:rPr>
        <w:t>do</w:t>
      </w:r>
      <w:r>
        <w:rPr>
          <w:spacing w:val="-6"/>
          <w:sz w:val="20"/>
        </w:rPr>
        <w:t> </w:t>
      </w:r>
      <w:r>
        <w:rPr>
          <w:sz w:val="20"/>
        </w:rPr>
        <w:t>LDL-R, especialmente</w:t>
      </w:r>
      <w:r>
        <w:rPr>
          <w:spacing w:val="-8"/>
          <w:sz w:val="20"/>
        </w:rPr>
        <w:t> </w:t>
      </w:r>
      <w:r>
        <w:rPr>
          <w:sz w:val="20"/>
        </w:rPr>
        <w:t>quando</w:t>
      </w:r>
      <w:r>
        <w:rPr>
          <w:spacing w:val="-6"/>
          <w:sz w:val="20"/>
        </w:rPr>
        <w:t> </w:t>
      </w:r>
      <w:r>
        <w:rPr>
          <w:sz w:val="20"/>
        </w:rPr>
        <w:t>mutações com</w:t>
      </w:r>
      <w:r>
        <w:rPr>
          <w:spacing w:val="-6"/>
          <w:sz w:val="20"/>
        </w:rPr>
        <w:t> </w:t>
      </w:r>
      <w:r>
        <w:rPr>
          <w:sz w:val="20"/>
        </w:rPr>
        <w:t>ganho</w:t>
      </w:r>
      <w:r>
        <w:rPr>
          <w:spacing w:val="-6"/>
          <w:sz w:val="20"/>
        </w:rPr>
        <w:t> </w:t>
      </w:r>
      <w:r>
        <w:rPr>
          <w:sz w:val="20"/>
        </w:rPr>
        <w:t>de</w:t>
      </w:r>
      <w:r>
        <w:rPr>
          <w:spacing w:val="-8"/>
          <w:sz w:val="20"/>
        </w:rPr>
        <w:t> </w:t>
      </w:r>
      <w:r>
        <w:rPr>
          <w:sz w:val="20"/>
        </w:rPr>
        <w:t>função</w:t>
      </w:r>
      <w:r>
        <w:rPr>
          <w:spacing w:val="-6"/>
          <w:sz w:val="20"/>
        </w:rPr>
        <w:t> </w:t>
      </w:r>
      <w:r>
        <w:rPr>
          <w:sz w:val="20"/>
        </w:rPr>
        <w:t>(</w:t>
      </w:r>
      <w:r>
        <w:rPr>
          <w:i/>
          <w:sz w:val="20"/>
        </w:rPr>
        <w:t>gain</w:t>
      </w:r>
      <w:r>
        <w:rPr>
          <w:i/>
          <w:spacing w:val="-9"/>
          <w:sz w:val="20"/>
        </w:rPr>
        <w:t> </w:t>
      </w:r>
      <w:r>
        <w:rPr>
          <w:i/>
          <w:sz w:val="20"/>
        </w:rPr>
        <w:t>of</w:t>
      </w:r>
      <w:r>
        <w:rPr>
          <w:i/>
          <w:spacing w:val="-7"/>
          <w:sz w:val="20"/>
        </w:rPr>
        <w:t> </w:t>
      </w:r>
      <w:r>
        <w:rPr>
          <w:i/>
          <w:sz w:val="20"/>
        </w:rPr>
        <w:t>function</w:t>
      </w:r>
      <w:r>
        <w:rPr>
          <w:i/>
          <w:spacing w:val="-4"/>
          <w:sz w:val="20"/>
        </w:rPr>
        <w:t> </w:t>
      </w:r>
      <w:r>
        <w:rPr>
          <w:sz w:val="20"/>
        </w:rPr>
        <w:t>–</w:t>
      </w:r>
      <w:r>
        <w:rPr>
          <w:spacing w:val="-4"/>
          <w:sz w:val="20"/>
        </w:rPr>
        <w:t> </w:t>
      </w:r>
      <w:r>
        <w:rPr>
          <w:sz w:val="20"/>
        </w:rPr>
        <w:t>GOF) estão presentes.</w:t>
      </w:r>
      <w:r>
        <w:rPr>
          <w:sz w:val="20"/>
          <w:vertAlign w:val="superscript"/>
        </w:rPr>
        <w:t>6</w:t>
      </w:r>
      <w:r>
        <w:rPr>
          <w:sz w:val="20"/>
          <w:vertAlign w:val="baseline"/>
        </w:rPr>
        <w:t> São descritas ainda mutações com perda de função (</w:t>
      </w:r>
      <w:r>
        <w:rPr>
          <w:i/>
          <w:sz w:val="20"/>
          <w:vertAlign w:val="baseline"/>
        </w:rPr>
        <w:t>loss of function </w:t>
      </w:r>
      <w:r>
        <w:rPr>
          <w:sz w:val="20"/>
          <w:vertAlign w:val="baseline"/>
        </w:rPr>
        <w:t>– LOF). As primeiras associam-se à HF, enquanto as últimas à hipocolesterolemia.</w:t>
      </w:r>
      <w:r>
        <w:rPr>
          <w:sz w:val="20"/>
          <w:vertAlign w:val="superscript"/>
        </w:rPr>
        <w:t>6</w:t>
      </w:r>
      <w:r>
        <w:rPr>
          <w:sz w:val="20"/>
          <w:vertAlign w:val="baseline"/>
        </w:rPr>
        <w:t> Uma forma recessiva rara de HF (</w:t>
      </w:r>
      <w:r>
        <w:rPr>
          <w:i/>
          <w:sz w:val="20"/>
          <w:vertAlign w:val="baseline"/>
        </w:rPr>
        <w:t>autosomal recessive hypercholesterolemia </w:t>
      </w:r>
      <w:r>
        <w:rPr>
          <w:sz w:val="20"/>
          <w:vertAlign w:val="baseline"/>
        </w:rPr>
        <w:t>– ARH) decorre</w:t>
      </w:r>
      <w:r>
        <w:rPr>
          <w:spacing w:val="-2"/>
          <w:sz w:val="20"/>
          <w:vertAlign w:val="baseline"/>
        </w:rPr>
        <w:t> </w:t>
      </w:r>
      <w:r>
        <w:rPr>
          <w:sz w:val="20"/>
          <w:vertAlign w:val="baseline"/>
        </w:rPr>
        <w:t>da</w:t>
      </w:r>
      <w:r>
        <w:rPr>
          <w:spacing w:val="-2"/>
          <w:sz w:val="20"/>
          <w:vertAlign w:val="baseline"/>
        </w:rPr>
        <w:t> </w:t>
      </w:r>
      <w:r>
        <w:rPr>
          <w:sz w:val="20"/>
          <w:vertAlign w:val="baseline"/>
        </w:rPr>
        <w:t>deficiência</w:t>
      </w:r>
      <w:r>
        <w:rPr>
          <w:spacing w:val="-2"/>
          <w:sz w:val="20"/>
          <w:vertAlign w:val="baseline"/>
        </w:rPr>
        <w:t> </w:t>
      </w:r>
      <w:r>
        <w:rPr>
          <w:sz w:val="20"/>
          <w:vertAlign w:val="baseline"/>
        </w:rPr>
        <w:t>de</w:t>
      </w:r>
      <w:r>
        <w:rPr>
          <w:spacing w:val="-2"/>
          <w:sz w:val="20"/>
          <w:vertAlign w:val="baseline"/>
        </w:rPr>
        <w:t> </w:t>
      </w:r>
      <w:r>
        <w:rPr>
          <w:sz w:val="20"/>
          <w:vertAlign w:val="baseline"/>
        </w:rPr>
        <w:t>uma</w:t>
      </w:r>
      <w:r>
        <w:rPr>
          <w:spacing w:val="-2"/>
          <w:sz w:val="20"/>
          <w:vertAlign w:val="baseline"/>
        </w:rPr>
        <w:t> </w:t>
      </w:r>
      <w:r>
        <w:rPr>
          <w:sz w:val="20"/>
          <w:vertAlign w:val="baseline"/>
        </w:rPr>
        <w:t>proteína</w:t>
      </w:r>
      <w:r>
        <w:rPr>
          <w:spacing w:val="-2"/>
          <w:sz w:val="20"/>
          <w:vertAlign w:val="baseline"/>
        </w:rPr>
        <w:t> </w:t>
      </w:r>
      <w:r>
        <w:rPr>
          <w:sz w:val="20"/>
          <w:vertAlign w:val="baseline"/>
        </w:rPr>
        <w:t>adaptadora, a</w:t>
      </w:r>
      <w:r>
        <w:rPr>
          <w:spacing w:val="-2"/>
          <w:sz w:val="20"/>
          <w:vertAlign w:val="baseline"/>
        </w:rPr>
        <w:t> </w:t>
      </w:r>
      <w:r>
        <w:rPr>
          <w:sz w:val="20"/>
          <w:vertAlign w:val="baseline"/>
        </w:rPr>
        <w:t>qual participa</w:t>
      </w:r>
      <w:r>
        <w:rPr>
          <w:spacing w:val="-2"/>
          <w:sz w:val="20"/>
          <w:vertAlign w:val="baseline"/>
        </w:rPr>
        <w:t> </w:t>
      </w:r>
      <w:r>
        <w:rPr>
          <w:sz w:val="20"/>
          <w:vertAlign w:val="baseline"/>
        </w:rPr>
        <w:t>da</w:t>
      </w:r>
      <w:r>
        <w:rPr>
          <w:spacing w:val="-2"/>
          <w:sz w:val="20"/>
          <w:vertAlign w:val="baseline"/>
        </w:rPr>
        <w:t> </w:t>
      </w:r>
      <w:r>
        <w:rPr>
          <w:sz w:val="20"/>
          <w:vertAlign w:val="baseline"/>
        </w:rPr>
        <w:t>internalização do complexo LDL-R/LDL.</w:t>
      </w:r>
      <w:r>
        <w:rPr>
          <w:sz w:val="20"/>
          <w:vertAlign w:val="superscript"/>
        </w:rPr>
        <w:t>4,6</w:t>
      </w:r>
    </w:p>
    <w:p>
      <w:pPr>
        <w:spacing w:line="283" w:lineRule="auto" w:before="56"/>
        <w:ind w:left="52" w:right="475" w:firstLine="300"/>
        <w:jc w:val="both"/>
        <w:rPr>
          <w:sz w:val="20"/>
        </w:rPr>
      </w:pPr>
      <w:r>
        <w:rPr>
          <w:sz w:val="20"/>
        </w:rPr>
        <w:t>De particular interesse é a sitosterolemia por defeito nos transportadores ABC G5/G8. Nesta condição, os níveis de colesterol plasmático são normais ou pouco elevados, mas há elevação dos níveis de esteróis vegetais ou fitosteróis.</w:t>
      </w:r>
      <w:r>
        <w:rPr>
          <w:sz w:val="20"/>
          <w:vertAlign w:val="superscript"/>
        </w:rPr>
        <w:t>4,7</w:t>
      </w:r>
      <w:r>
        <w:rPr>
          <w:sz w:val="20"/>
          <w:vertAlign w:val="baseline"/>
        </w:rPr>
        <w:t> Esses altos níveis de esteróis decorrem de maior absorção e menor remoção dos fitosteróis do organismo. A sitosterolemia é herdada como um traço autossômico recessivo. Estudos recentes identificaram ainda polimorfismos nos genes ABCG5 e ABCG8, contribuindo para a sitosterolemia. As proteínas ABCG5</w:t>
      </w:r>
      <w:r>
        <w:rPr>
          <w:spacing w:val="-3"/>
          <w:sz w:val="20"/>
          <w:vertAlign w:val="baseline"/>
        </w:rPr>
        <w:t> </w:t>
      </w:r>
      <w:r>
        <w:rPr>
          <w:sz w:val="20"/>
          <w:vertAlign w:val="baseline"/>
        </w:rPr>
        <w:t>e</w:t>
      </w:r>
      <w:r>
        <w:rPr>
          <w:spacing w:val="-4"/>
          <w:sz w:val="20"/>
          <w:vertAlign w:val="baseline"/>
        </w:rPr>
        <w:t> </w:t>
      </w:r>
      <w:r>
        <w:rPr>
          <w:sz w:val="20"/>
          <w:vertAlign w:val="baseline"/>
        </w:rPr>
        <w:t>ABCG8</w:t>
      </w:r>
      <w:r>
        <w:rPr>
          <w:spacing w:val="-3"/>
          <w:sz w:val="20"/>
          <w:vertAlign w:val="baseline"/>
        </w:rPr>
        <w:t> </w:t>
      </w:r>
      <w:r>
        <w:rPr>
          <w:sz w:val="20"/>
          <w:vertAlign w:val="baseline"/>
        </w:rPr>
        <w:t>formam</w:t>
      </w:r>
      <w:r>
        <w:rPr>
          <w:spacing w:val="-3"/>
          <w:sz w:val="20"/>
          <w:vertAlign w:val="baseline"/>
        </w:rPr>
        <w:t> </w:t>
      </w:r>
      <w:r>
        <w:rPr>
          <w:sz w:val="20"/>
          <w:vertAlign w:val="baseline"/>
        </w:rPr>
        <w:t>heterodímeros e</w:t>
      </w:r>
      <w:r>
        <w:rPr>
          <w:spacing w:val="-4"/>
          <w:sz w:val="20"/>
          <w:vertAlign w:val="baseline"/>
        </w:rPr>
        <w:t> </w:t>
      </w:r>
      <w:r>
        <w:rPr>
          <w:sz w:val="20"/>
          <w:vertAlign w:val="baseline"/>
        </w:rPr>
        <w:t>desempenham</w:t>
      </w:r>
      <w:r>
        <w:rPr>
          <w:spacing w:val="-3"/>
          <w:sz w:val="20"/>
          <w:vertAlign w:val="baseline"/>
        </w:rPr>
        <w:t> </w:t>
      </w:r>
      <w:r>
        <w:rPr>
          <w:sz w:val="20"/>
          <w:vertAlign w:val="baseline"/>
        </w:rPr>
        <w:t>um</w:t>
      </w:r>
      <w:r>
        <w:rPr>
          <w:spacing w:val="-3"/>
          <w:sz w:val="20"/>
          <w:vertAlign w:val="baseline"/>
        </w:rPr>
        <w:t> </w:t>
      </w:r>
      <w:r>
        <w:rPr>
          <w:sz w:val="20"/>
          <w:vertAlign w:val="baseline"/>
        </w:rPr>
        <w:t>papel na</w:t>
      </w:r>
      <w:r>
        <w:rPr>
          <w:spacing w:val="-4"/>
          <w:sz w:val="20"/>
          <w:vertAlign w:val="baseline"/>
        </w:rPr>
        <w:t> </w:t>
      </w:r>
      <w:r>
        <w:rPr>
          <w:sz w:val="20"/>
          <w:vertAlign w:val="baseline"/>
        </w:rPr>
        <w:t>absorção</w:t>
      </w:r>
      <w:r>
        <w:rPr>
          <w:spacing w:val="-3"/>
          <w:sz w:val="20"/>
          <w:vertAlign w:val="baseline"/>
        </w:rPr>
        <w:t> </w:t>
      </w:r>
      <w:r>
        <w:rPr>
          <w:sz w:val="20"/>
          <w:vertAlign w:val="baseline"/>
        </w:rPr>
        <w:t>dos esteróis de</w:t>
      </w:r>
      <w:r>
        <w:rPr>
          <w:spacing w:val="-4"/>
          <w:sz w:val="20"/>
          <w:vertAlign w:val="baseline"/>
        </w:rPr>
        <w:t> </w:t>
      </w:r>
      <w:r>
        <w:rPr>
          <w:sz w:val="20"/>
          <w:vertAlign w:val="baseline"/>
        </w:rPr>
        <w:t>plantas ou controlam sua taxa de extrusão ao lúmen intestinal.</w:t>
      </w:r>
      <w:r>
        <w:rPr>
          <w:sz w:val="20"/>
          <w:vertAlign w:val="superscript"/>
        </w:rPr>
        <w:t>7</w:t>
      </w:r>
      <w:r>
        <w:rPr>
          <w:sz w:val="20"/>
          <w:vertAlign w:val="baseline"/>
        </w:rPr>
        <w:t> Há ainda outra forma recessiva rara de HF, que é a deficiência de colesterol 7a-hidroxilase, que</w:t>
      </w:r>
      <w:r>
        <w:rPr>
          <w:spacing w:val="-1"/>
          <w:sz w:val="20"/>
          <w:vertAlign w:val="baseline"/>
        </w:rPr>
        <w:t> </w:t>
      </w:r>
      <w:r>
        <w:rPr>
          <w:sz w:val="20"/>
          <w:vertAlign w:val="baseline"/>
        </w:rPr>
        <w:t>afeta</w:t>
      </w:r>
      <w:r>
        <w:rPr>
          <w:spacing w:val="-1"/>
          <w:sz w:val="20"/>
          <w:vertAlign w:val="baseline"/>
        </w:rPr>
        <w:t> </w:t>
      </w:r>
      <w:r>
        <w:rPr>
          <w:sz w:val="20"/>
          <w:vertAlign w:val="baseline"/>
        </w:rPr>
        <w:t>a</w:t>
      </w:r>
      <w:r>
        <w:rPr>
          <w:spacing w:val="-1"/>
          <w:sz w:val="20"/>
          <w:vertAlign w:val="baseline"/>
        </w:rPr>
        <w:t> </w:t>
      </w:r>
      <w:r>
        <w:rPr>
          <w:sz w:val="20"/>
          <w:vertAlign w:val="baseline"/>
        </w:rPr>
        <w:t>formação de</w:t>
      </w:r>
      <w:r>
        <w:rPr>
          <w:spacing w:val="-1"/>
          <w:sz w:val="20"/>
          <w:vertAlign w:val="baseline"/>
        </w:rPr>
        <w:t> </w:t>
      </w:r>
      <w:r>
        <w:rPr>
          <w:sz w:val="20"/>
          <w:vertAlign w:val="baseline"/>
        </w:rPr>
        <w:t>sais biliares, com redução da</w:t>
      </w:r>
      <w:r>
        <w:rPr>
          <w:spacing w:val="-1"/>
          <w:sz w:val="20"/>
          <w:vertAlign w:val="baseline"/>
        </w:rPr>
        <w:t> </w:t>
      </w:r>
      <w:r>
        <w:rPr>
          <w:sz w:val="20"/>
          <w:vertAlign w:val="baseline"/>
        </w:rPr>
        <w:t>excreção do colesterol pela</w:t>
      </w:r>
      <w:r>
        <w:rPr>
          <w:spacing w:val="-1"/>
          <w:sz w:val="20"/>
          <w:vertAlign w:val="baseline"/>
        </w:rPr>
        <w:t> </w:t>
      </w:r>
      <w:r>
        <w:rPr>
          <w:sz w:val="20"/>
          <w:vertAlign w:val="baseline"/>
        </w:rPr>
        <w:t>árvore</w:t>
      </w:r>
      <w:r>
        <w:rPr>
          <w:spacing w:val="-1"/>
          <w:sz w:val="20"/>
          <w:vertAlign w:val="baseline"/>
        </w:rPr>
        <w:t> </w:t>
      </w:r>
      <w:r>
        <w:rPr>
          <w:sz w:val="20"/>
          <w:vertAlign w:val="baseline"/>
        </w:rPr>
        <w:t>biliar.</w:t>
      </w:r>
      <w:r>
        <w:rPr>
          <w:sz w:val="20"/>
          <w:vertAlign w:val="superscript"/>
        </w:rPr>
        <w:t>4</w:t>
      </w:r>
    </w:p>
    <w:p>
      <w:pPr>
        <w:pStyle w:val="BodyText"/>
        <w:spacing w:before="54"/>
        <w:ind w:left="0" w:firstLine="0"/>
        <w:jc w:val="left"/>
        <w:rPr>
          <w:sz w:val="20"/>
        </w:rPr>
      </w:pPr>
    </w:p>
    <w:p>
      <w:pPr>
        <w:spacing w:before="0"/>
        <w:ind w:left="52" w:right="0" w:firstLine="0"/>
        <w:jc w:val="both"/>
        <w:rPr>
          <w:rFonts w:ascii="Microsoft Sans Serif" w:hAnsi="Microsoft Sans Serif"/>
          <w:sz w:val="20"/>
        </w:rPr>
      </w:pPr>
      <w:r>
        <w:rPr>
          <w:rFonts w:ascii="Arial" w:hAnsi="Arial"/>
          <w:b/>
          <w:color w:val="242B67"/>
          <w:sz w:val="20"/>
        </w:rPr>
        <w:t>Tabela</w:t>
      </w:r>
      <w:r>
        <w:rPr>
          <w:rFonts w:ascii="Arial" w:hAnsi="Arial"/>
          <w:b/>
          <w:color w:val="242B67"/>
          <w:spacing w:val="-6"/>
          <w:sz w:val="20"/>
        </w:rPr>
        <w:t> </w:t>
      </w:r>
      <w:r>
        <w:rPr>
          <w:rFonts w:ascii="Arial" w:hAnsi="Arial"/>
          <w:b/>
          <w:color w:val="242B67"/>
          <w:sz w:val="20"/>
        </w:rPr>
        <w:t>60.1</w:t>
      </w:r>
      <w:r>
        <w:rPr>
          <w:rFonts w:ascii="Arial" w:hAnsi="Arial"/>
          <w:b/>
          <w:color w:val="242B67"/>
          <w:spacing w:val="-7"/>
          <w:sz w:val="20"/>
        </w:rPr>
        <w:t> </w:t>
      </w:r>
      <w:r>
        <w:rPr>
          <w:rFonts w:ascii="Microsoft Sans Serif" w:hAnsi="Microsoft Sans Serif"/>
          <w:sz w:val="20"/>
        </w:rPr>
        <w:t>Principais</w:t>
      </w:r>
      <w:r>
        <w:rPr>
          <w:rFonts w:ascii="Microsoft Sans Serif" w:hAnsi="Microsoft Sans Serif"/>
          <w:spacing w:val="-6"/>
          <w:sz w:val="20"/>
        </w:rPr>
        <w:t> </w:t>
      </w:r>
      <w:r>
        <w:rPr>
          <w:rFonts w:ascii="Microsoft Sans Serif" w:hAnsi="Microsoft Sans Serif"/>
          <w:sz w:val="20"/>
        </w:rPr>
        <w:t>formas</w:t>
      </w:r>
      <w:r>
        <w:rPr>
          <w:rFonts w:ascii="Microsoft Sans Serif" w:hAnsi="Microsoft Sans Serif"/>
          <w:spacing w:val="-6"/>
          <w:sz w:val="20"/>
        </w:rPr>
        <w:t> </w:t>
      </w:r>
      <w:r>
        <w:rPr>
          <w:rFonts w:ascii="Microsoft Sans Serif" w:hAnsi="Microsoft Sans Serif"/>
          <w:sz w:val="20"/>
        </w:rPr>
        <w:t>genéticas</w:t>
      </w:r>
      <w:r>
        <w:rPr>
          <w:rFonts w:ascii="Microsoft Sans Serif" w:hAnsi="Microsoft Sans Serif"/>
          <w:spacing w:val="-6"/>
          <w:sz w:val="20"/>
        </w:rPr>
        <w:t> </w:t>
      </w:r>
      <w:r>
        <w:rPr>
          <w:rFonts w:ascii="Microsoft Sans Serif" w:hAnsi="Microsoft Sans Serif"/>
          <w:sz w:val="20"/>
        </w:rPr>
        <w:t>de</w:t>
      </w:r>
      <w:r>
        <w:rPr>
          <w:rFonts w:ascii="Microsoft Sans Serif" w:hAnsi="Microsoft Sans Serif"/>
          <w:spacing w:val="-4"/>
          <w:sz w:val="20"/>
        </w:rPr>
        <w:t> </w:t>
      </w:r>
      <w:r>
        <w:rPr>
          <w:rFonts w:ascii="Microsoft Sans Serif" w:hAnsi="Microsoft Sans Serif"/>
          <w:sz w:val="20"/>
        </w:rPr>
        <w:t>hipercolesterolemia</w:t>
      </w:r>
      <w:r>
        <w:rPr>
          <w:rFonts w:ascii="Microsoft Sans Serif" w:hAnsi="Microsoft Sans Serif"/>
          <w:spacing w:val="-3"/>
          <w:sz w:val="20"/>
        </w:rPr>
        <w:t> </w:t>
      </w:r>
      <w:r>
        <w:rPr>
          <w:rFonts w:ascii="Microsoft Sans Serif" w:hAnsi="Microsoft Sans Serif"/>
          <w:spacing w:val="-2"/>
          <w:sz w:val="20"/>
        </w:rPr>
        <w:t>isolada.</w:t>
      </w:r>
    </w:p>
    <w:p>
      <w:pPr>
        <w:pStyle w:val="BodyText"/>
        <w:spacing w:before="5"/>
        <w:ind w:left="0" w:firstLine="0"/>
        <w:jc w:val="left"/>
        <w:rPr>
          <w:rFonts w:ascii="Microsoft Sans Serif"/>
          <w:sz w:val="13"/>
        </w:rPr>
      </w:pPr>
    </w:p>
    <w:tbl>
      <w:tblPr>
        <w:tblW w:w="0" w:type="auto"/>
        <w:jc w:val="left"/>
        <w:tblInd w:w="5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925"/>
        <w:gridCol w:w="1878"/>
        <w:gridCol w:w="1154"/>
        <w:gridCol w:w="1349"/>
        <w:gridCol w:w="1377"/>
        <w:gridCol w:w="1377"/>
        <w:gridCol w:w="1558"/>
        <w:gridCol w:w="1384"/>
      </w:tblGrid>
      <w:tr>
        <w:trPr>
          <w:trHeight w:val="1168" w:hRule="atLeast"/>
        </w:trPr>
        <w:tc>
          <w:tcPr>
            <w:tcW w:w="925" w:type="dxa"/>
            <w:tcBorders>
              <w:top w:val="nil"/>
              <w:left w:val="nil"/>
            </w:tcBorders>
            <w:shd w:val="clear" w:color="auto" w:fill="242B67"/>
          </w:tcPr>
          <w:p>
            <w:pPr>
              <w:pStyle w:val="TableParagraph"/>
              <w:spacing w:before="0"/>
              <w:ind w:left="0"/>
              <w:rPr>
                <w:sz w:val="19"/>
              </w:rPr>
            </w:pPr>
          </w:p>
          <w:p>
            <w:pPr>
              <w:pStyle w:val="TableParagraph"/>
              <w:spacing w:before="170"/>
              <w:ind w:left="0"/>
              <w:rPr>
                <w:sz w:val="19"/>
              </w:rPr>
            </w:pPr>
          </w:p>
          <w:p>
            <w:pPr>
              <w:pStyle w:val="TableParagraph"/>
              <w:spacing w:line="290" w:lineRule="auto" w:before="1"/>
              <w:ind w:left="60" w:right="51"/>
              <w:rPr>
                <w:rFonts w:ascii="Arial" w:hAnsi="Arial"/>
                <w:b/>
                <w:sz w:val="19"/>
              </w:rPr>
            </w:pPr>
            <w:r>
              <w:rPr>
                <w:rFonts w:ascii="Arial" w:hAnsi="Arial"/>
                <w:b/>
                <w:color w:val="FFFFFF"/>
                <w:spacing w:val="-2"/>
                <w:sz w:val="19"/>
              </w:rPr>
              <w:t>Fenótipo lipídico</w:t>
            </w:r>
          </w:p>
        </w:tc>
        <w:tc>
          <w:tcPr>
            <w:tcW w:w="1878" w:type="dxa"/>
            <w:tcBorders>
              <w:top w:val="nil"/>
            </w:tcBorders>
            <w:shd w:val="clear" w:color="auto" w:fill="242B67"/>
          </w:tcPr>
          <w:p>
            <w:pPr>
              <w:pStyle w:val="TableParagraph"/>
              <w:spacing w:before="0"/>
              <w:ind w:left="0"/>
              <w:rPr>
                <w:sz w:val="19"/>
              </w:rPr>
            </w:pPr>
          </w:p>
          <w:p>
            <w:pPr>
              <w:pStyle w:val="TableParagraph"/>
              <w:spacing w:before="0"/>
              <w:ind w:left="0"/>
              <w:rPr>
                <w:sz w:val="19"/>
              </w:rPr>
            </w:pPr>
          </w:p>
          <w:p>
            <w:pPr>
              <w:pStyle w:val="TableParagraph"/>
              <w:spacing w:before="0"/>
              <w:ind w:left="0"/>
              <w:rPr>
                <w:sz w:val="19"/>
              </w:rPr>
            </w:pPr>
          </w:p>
          <w:p>
            <w:pPr>
              <w:pStyle w:val="TableParagraph"/>
              <w:spacing w:before="5"/>
              <w:ind w:left="0"/>
              <w:rPr>
                <w:sz w:val="19"/>
              </w:rPr>
            </w:pPr>
          </w:p>
          <w:p>
            <w:pPr>
              <w:pStyle w:val="TableParagraph"/>
              <w:spacing w:before="0"/>
              <w:ind w:left="60"/>
              <w:rPr>
                <w:rFonts w:ascii="Arial" w:hAnsi="Arial"/>
                <w:b/>
                <w:sz w:val="19"/>
              </w:rPr>
            </w:pPr>
            <w:r>
              <w:rPr>
                <w:rFonts w:ascii="Arial" w:hAnsi="Arial"/>
                <w:b/>
                <w:color w:val="FFFFFF"/>
                <w:sz w:val="19"/>
              </w:rPr>
              <w:t>Alteração</w:t>
            </w:r>
            <w:r>
              <w:rPr>
                <w:rFonts w:ascii="Arial" w:hAnsi="Arial"/>
                <w:b/>
                <w:color w:val="FFFFFF"/>
                <w:spacing w:val="19"/>
                <w:sz w:val="19"/>
              </w:rPr>
              <w:t> </w:t>
            </w:r>
            <w:r>
              <w:rPr>
                <w:rFonts w:ascii="Arial" w:hAnsi="Arial"/>
                <w:b/>
                <w:color w:val="FFFFFF"/>
                <w:spacing w:val="-2"/>
                <w:sz w:val="19"/>
              </w:rPr>
              <w:t>genética</w:t>
            </w:r>
          </w:p>
        </w:tc>
        <w:tc>
          <w:tcPr>
            <w:tcW w:w="1154" w:type="dxa"/>
            <w:tcBorders>
              <w:top w:val="nil"/>
            </w:tcBorders>
            <w:shd w:val="clear" w:color="auto" w:fill="242B67"/>
          </w:tcPr>
          <w:p>
            <w:pPr>
              <w:pStyle w:val="TableParagraph"/>
              <w:spacing w:before="0"/>
              <w:ind w:left="0"/>
              <w:rPr>
                <w:sz w:val="19"/>
              </w:rPr>
            </w:pPr>
          </w:p>
          <w:p>
            <w:pPr>
              <w:pStyle w:val="TableParagraph"/>
              <w:spacing w:before="0"/>
              <w:ind w:left="0"/>
              <w:rPr>
                <w:sz w:val="19"/>
              </w:rPr>
            </w:pPr>
          </w:p>
          <w:p>
            <w:pPr>
              <w:pStyle w:val="TableParagraph"/>
              <w:spacing w:before="0"/>
              <w:ind w:left="0"/>
              <w:rPr>
                <w:sz w:val="19"/>
              </w:rPr>
            </w:pPr>
          </w:p>
          <w:p>
            <w:pPr>
              <w:pStyle w:val="TableParagraph"/>
              <w:spacing w:before="5"/>
              <w:ind w:left="0"/>
              <w:rPr>
                <w:sz w:val="19"/>
              </w:rPr>
            </w:pPr>
          </w:p>
          <w:p>
            <w:pPr>
              <w:pStyle w:val="TableParagraph"/>
              <w:spacing w:before="0"/>
              <w:ind w:left="60"/>
              <w:rPr>
                <w:rFonts w:ascii="Arial" w:hAnsi="Arial"/>
                <w:b/>
                <w:sz w:val="19"/>
              </w:rPr>
            </w:pPr>
            <w:r>
              <w:rPr>
                <w:rFonts w:ascii="Arial" w:hAnsi="Arial"/>
                <w:b/>
                <w:color w:val="FFFFFF"/>
                <w:spacing w:val="-2"/>
                <w:sz w:val="19"/>
              </w:rPr>
              <w:t>Mutação</w:t>
            </w:r>
          </w:p>
        </w:tc>
        <w:tc>
          <w:tcPr>
            <w:tcW w:w="1349" w:type="dxa"/>
            <w:tcBorders>
              <w:top w:val="nil"/>
            </w:tcBorders>
            <w:shd w:val="clear" w:color="auto" w:fill="242B67"/>
          </w:tcPr>
          <w:p>
            <w:pPr>
              <w:pStyle w:val="TableParagraph"/>
              <w:spacing w:before="0"/>
              <w:ind w:left="0"/>
              <w:rPr>
                <w:sz w:val="19"/>
              </w:rPr>
            </w:pPr>
          </w:p>
          <w:p>
            <w:pPr>
              <w:pStyle w:val="TableParagraph"/>
              <w:spacing w:before="170"/>
              <w:ind w:left="0"/>
              <w:rPr>
                <w:sz w:val="19"/>
              </w:rPr>
            </w:pPr>
          </w:p>
          <w:p>
            <w:pPr>
              <w:pStyle w:val="TableParagraph"/>
              <w:spacing w:line="290" w:lineRule="auto" w:before="1"/>
              <w:ind w:left="61" w:right="506"/>
              <w:rPr>
                <w:rFonts w:ascii="Arial" w:hAnsi="Arial"/>
                <w:b/>
                <w:sz w:val="19"/>
              </w:rPr>
            </w:pPr>
            <w:r>
              <w:rPr>
                <w:rFonts w:ascii="Arial" w:hAnsi="Arial"/>
                <w:b/>
                <w:color w:val="FFFFFF"/>
                <w:spacing w:val="-4"/>
                <w:sz w:val="19"/>
              </w:rPr>
              <w:t>Modo</w:t>
            </w:r>
            <w:r>
              <w:rPr>
                <w:rFonts w:ascii="Arial" w:hAnsi="Arial"/>
                <w:b/>
                <w:color w:val="FFFFFF"/>
                <w:spacing w:val="-10"/>
                <w:sz w:val="19"/>
              </w:rPr>
              <w:t> </w:t>
            </w:r>
            <w:r>
              <w:rPr>
                <w:rFonts w:ascii="Arial" w:hAnsi="Arial"/>
                <w:b/>
                <w:color w:val="FFFFFF"/>
                <w:spacing w:val="-4"/>
                <w:sz w:val="19"/>
              </w:rPr>
              <w:t>de </w:t>
            </w:r>
            <w:r>
              <w:rPr>
                <w:rFonts w:ascii="Arial" w:hAnsi="Arial"/>
                <w:b/>
                <w:color w:val="FFFFFF"/>
                <w:spacing w:val="-2"/>
                <w:sz w:val="19"/>
              </w:rPr>
              <w:t>herança</w:t>
            </w:r>
          </w:p>
        </w:tc>
        <w:tc>
          <w:tcPr>
            <w:tcW w:w="1377" w:type="dxa"/>
            <w:tcBorders>
              <w:top w:val="nil"/>
            </w:tcBorders>
            <w:shd w:val="clear" w:color="auto" w:fill="242B67"/>
          </w:tcPr>
          <w:p>
            <w:pPr>
              <w:pStyle w:val="TableParagraph"/>
              <w:spacing w:before="0"/>
              <w:ind w:left="0"/>
              <w:rPr>
                <w:sz w:val="19"/>
              </w:rPr>
            </w:pPr>
          </w:p>
          <w:p>
            <w:pPr>
              <w:pStyle w:val="TableParagraph"/>
              <w:spacing w:before="170"/>
              <w:ind w:left="0"/>
              <w:rPr>
                <w:sz w:val="19"/>
              </w:rPr>
            </w:pPr>
          </w:p>
          <w:p>
            <w:pPr>
              <w:pStyle w:val="TableParagraph"/>
              <w:spacing w:line="290" w:lineRule="auto" w:before="1"/>
              <w:ind w:left="62"/>
              <w:rPr>
                <w:rFonts w:ascii="Arial" w:hAnsi="Arial"/>
                <w:b/>
                <w:sz w:val="19"/>
              </w:rPr>
            </w:pPr>
            <w:r>
              <w:rPr>
                <w:rFonts w:ascii="Arial" w:hAnsi="Arial"/>
                <w:b/>
                <w:color w:val="FFFFFF"/>
                <w:spacing w:val="-2"/>
                <w:sz w:val="19"/>
              </w:rPr>
              <w:t>Frequência populacional</w:t>
            </w:r>
          </w:p>
        </w:tc>
        <w:tc>
          <w:tcPr>
            <w:tcW w:w="1377" w:type="dxa"/>
            <w:tcBorders>
              <w:top w:val="nil"/>
            </w:tcBorders>
            <w:shd w:val="clear" w:color="auto" w:fill="242B67"/>
          </w:tcPr>
          <w:p>
            <w:pPr>
              <w:pStyle w:val="TableParagraph"/>
              <w:spacing w:before="0"/>
              <w:ind w:left="0"/>
              <w:rPr>
                <w:sz w:val="19"/>
              </w:rPr>
            </w:pPr>
          </w:p>
          <w:p>
            <w:pPr>
              <w:pStyle w:val="TableParagraph"/>
              <w:spacing w:before="170"/>
              <w:ind w:left="0"/>
              <w:rPr>
                <w:sz w:val="19"/>
              </w:rPr>
            </w:pPr>
          </w:p>
          <w:p>
            <w:pPr>
              <w:pStyle w:val="TableParagraph"/>
              <w:spacing w:line="290" w:lineRule="auto" w:before="1"/>
              <w:ind w:left="63"/>
              <w:rPr>
                <w:rFonts w:ascii="Arial" w:hAnsi="Arial"/>
                <w:b/>
                <w:sz w:val="19"/>
              </w:rPr>
            </w:pPr>
            <w:r>
              <w:rPr>
                <w:rFonts w:ascii="Arial" w:hAnsi="Arial"/>
                <w:b/>
                <w:color w:val="FFFFFF"/>
                <w:spacing w:val="-2"/>
                <w:sz w:val="19"/>
              </w:rPr>
              <w:t>Manifestação infância</w:t>
            </w:r>
          </w:p>
        </w:tc>
        <w:tc>
          <w:tcPr>
            <w:tcW w:w="1558" w:type="dxa"/>
            <w:tcBorders>
              <w:top w:val="nil"/>
            </w:tcBorders>
            <w:shd w:val="clear" w:color="auto" w:fill="242B67"/>
          </w:tcPr>
          <w:p>
            <w:pPr>
              <w:pStyle w:val="TableParagraph"/>
              <w:spacing w:before="121"/>
              <w:ind w:left="0"/>
              <w:rPr>
                <w:sz w:val="19"/>
              </w:rPr>
            </w:pPr>
          </w:p>
          <w:p>
            <w:pPr>
              <w:pStyle w:val="TableParagraph"/>
              <w:spacing w:line="290" w:lineRule="auto" w:before="0"/>
              <w:ind w:left="63"/>
              <w:rPr>
                <w:rFonts w:ascii="Arial" w:hAnsi="Arial"/>
                <w:b/>
                <w:sz w:val="19"/>
              </w:rPr>
            </w:pPr>
            <w:r>
              <w:rPr>
                <w:rFonts w:ascii="Arial" w:hAnsi="Arial"/>
                <w:b/>
                <w:color w:val="FFFFFF"/>
                <w:spacing w:val="-2"/>
                <w:sz w:val="19"/>
              </w:rPr>
              <w:t>Características clínicas marcantes</w:t>
            </w:r>
          </w:p>
        </w:tc>
        <w:tc>
          <w:tcPr>
            <w:tcW w:w="1384" w:type="dxa"/>
            <w:tcBorders>
              <w:top w:val="nil"/>
              <w:right w:val="nil"/>
            </w:tcBorders>
            <w:shd w:val="clear" w:color="auto" w:fill="242B67"/>
          </w:tcPr>
          <w:p>
            <w:pPr>
              <w:pStyle w:val="TableParagraph"/>
              <w:spacing w:line="290" w:lineRule="auto" w:before="72"/>
              <w:ind w:left="63"/>
              <w:rPr>
                <w:rFonts w:ascii="Arial" w:hAnsi="Arial"/>
                <w:b/>
                <w:sz w:val="19"/>
              </w:rPr>
            </w:pPr>
            <w:r>
              <w:rPr>
                <w:rFonts w:ascii="Arial" w:hAnsi="Arial"/>
                <w:b/>
                <w:color w:val="FFFFFF"/>
                <w:spacing w:val="-2"/>
                <w:sz w:val="19"/>
              </w:rPr>
              <w:t>Associação </w:t>
            </w:r>
            <w:r>
              <w:rPr>
                <w:rFonts w:ascii="Arial" w:hAnsi="Arial"/>
                <w:b/>
                <w:color w:val="FFFFFF"/>
                <w:spacing w:val="-4"/>
                <w:sz w:val="19"/>
              </w:rPr>
              <w:t>com </w:t>
            </w:r>
            <w:r>
              <w:rPr>
                <w:rFonts w:ascii="Arial" w:hAnsi="Arial"/>
                <w:b/>
                <w:color w:val="FFFFFF"/>
                <w:spacing w:val="-2"/>
                <w:sz w:val="19"/>
              </w:rPr>
              <w:t>aterosclerose prematura</w:t>
            </w:r>
          </w:p>
        </w:tc>
      </w:tr>
      <w:tr>
        <w:trPr>
          <w:trHeight w:val="638" w:hRule="atLeast"/>
        </w:trPr>
        <w:tc>
          <w:tcPr>
            <w:tcW w:w="925" w:type="dxa"/>
            <w:vMerge w:val="restart"/>
            <w:tcBorders>
              <w:left w:val="nil"/>
            </w:tcBorders>
            <w:shd w:val="clear" w:color="auto" w:fill="EDECF3"/>
          </w:tcPr>
          <w:p>
            <w:pPr>
              <w:pStyle w:val="TableParagraph"/>
              <w:spacing w:line="420" w:lineRule="auto" w:before="74"/>
              <w:ind w:left="60" w:right="51"/>
              <w:rPr>
                <w:sz w:val="19"/>
              </w:rPr>
            </w:pPr>
            <w:r>
              <w:rPr>
                <w:sz w:val="19"/>
              </w:rPr>
              <w:t>LDL ↑↑↑ (CT</w:t>
            </w:r>
            <w:r>
              <w:rPr>
                <w:spacing w:val="4"/>
                <w:sz w:val="19"/>
              </w:rPr>
              <w:t> </w:t>
            </w:r>
            <w:r>
              <w:rPr>
                <w:spacing w:val="-4"/>
                <w:sz w:val="19"/>
              </w:rPr>
              <w:t>↑↑↑)</w:t>
            </w:r>
          </w:p>
        </w:tc>
        <w:tc>
          <w:tcPr>
            <w:tcW w:w="1878" w:type="dxa"/>
            <w:vMerge w:val="restart"/>
            <w:shd w:val="clear" w:color="auto" w:fill="EDECF3"/>
          </w:tcPr>
          <w:p>
            <w:pPr>
              <w:pStyle w:val="TableParagraph"/>
              <w:spacing w:line="295" w:lineRule="auto" w:before="74"/>
              <w:ind w:left="60"/>
              <w:rPr>
                <w:sz w:val="19"/>
              </w:rPr>
            </w:pPr>
            <w:r>
              <w:rPr>
                <w:spacing w:val="-2"/>
                <w:sz w:val="19"/>
              </w:rPr>
              <w:t>Hipercolesterolemia familiar</w:t>
            </w:r>
          </w:p>
        </w:tc>
        <w:tc>
          <w:tcPr>
            <w:tcW w:w="1154" w:type="dxa"/>
            <w:vMerge w:val="restart"/>
            <w:shd w:val="clear" w:color="auto" w:fill="EDECF3"/>
          </w:tcPr>
          <w:p>
            <w:pPr>
              <w:pStyle w:val="TableParagraph"/>
              <w:spacing w:line="295" w:lineRule="auto" w:before="74"/>
              <w:ind w:left="61" w:right="169"/>
              <w:rPr>
                <w:sz w:val="19"/>
              </w:rPr>
            </w:pPr>
            <w:r>
              <w:rPr>
                <w:spacing w:val="-2"/>
                <w:sz w:val="19"/>
              </w:rPr>
              <w:t>Receptor </w:t>
            </w:r>
            <w:r>
              <w:rPr>
                <w:spacing w:val="-4"/>
                <w:sz w:val="19"/>
              </w:rPr>
              <w:t>LDL</w:t>
            </w:r>
          </w:p>
        </w:tc>
        <w:tc>
          <w:tcPr>
            <w:tcW w:w="1349" w:type="dxa"/>
            <w:vMerge w:val="restart"/>
            <w:shd w:val="clear" w:color="auto" w:fill="EDECF3"/>
          </w:tcPr>
          <w:p>
            <w:pPr>
              <w:pStyle w:val="TableParagraph"/>
              <w:spacing w:before="74"/>
              <w:ind w:left="61"/>
              <w:rPr>
                <w:sz w:val="19"/>
              </w:rPr>
            </w:pPr>
            <w:r>
              <w:rPr>
                <w:spacing w:val="-2"/>
                <w:sz w:val="19"/>
              </w:rPr>
              <w:t>Codominante</w:t>
            </w:r>
          </w:p>
        </w:tc>
        <w:tc>
          <w:tcPr>
            <w:tcW w:w="1377" w:type="dxa"/>
            <w:shd w:val="clear" w:color="auto" w:fill="EDECF3"/>
          </w:tcPr>
          <w:p>
            <w:pPr>
              <w:pStyle w:val="TableParagraph"/>
              <w:spacing w:before="74"/>
              <w:ind w:left="62"/>
              <w:rPr>
                <w:sz w:val="19"/>
              </w:rPr>
            </w:pPr>
            <w:r>
              <w:rPr>
                <w:spacing w:val="-2"/>
                <w:sz w:val="19"/>
              </w:rPr>
              <w:t>1:500</w:t>
            </w:r>
          </w:p>
          <w:p>
            <w:pPr>
              <w:pStyle w:val="TableParagraph"/>
              <w:spacing w:before="50"/>
              <w:ind w:left="62"/>
              <w:rPr>
                <w:sz w:val="19"/>
              </w:rPr>
            </w:pPr>
            <w:r>
              <w:rPr>
                <w:spacing w:val="-2"/>
                <w:sz w:val="19"/>
              </w:rPr>
              <w:t>(heterozigoto)</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w w:val="190"/>
                <w:sz w:val="19"/>
              </w:rPr>
              <w:t>–</w:t>
            </w:r>
          </w:p>
        </w:tc>
        <w:tc>
          <w:tcPr>
            <w:tcW w:w="1384" w:type="dxa"/>
            <w:tcBorders>
              <w:right w:val="nil"/>
            </w:tcBorders>
            <w:shd w:val="clear" w:color="auto" w:fill="EDECF3"/>
          </w:tcPr>
          <w:p>
            <w:pPr>
              <w:pStyle w:val="TableParagraph"/>
              <w:spacing w:before="74"/>
              <w:ind w:left="63"/>
              <w:rPr>
                <w:sz w:val="19"/>
              </w:rPr>
            </w:pPr>
            <w:r>
              <w:rPr>
                <w:spacing w:val="-5"/>
                <w:sz w:val="19"/>
              </w:rPr>
              <w:t>+++</w:t>
            </w:r>
          </w:p>
        </w:tc>
      </w:tr>
      <w:tr>
        <w:trPr>
          <w:trHeight w:val="638" w:hRule="atLeast"/>
        </w:trPr>
        <w:tc>
          <w:tcPr>
            <w:tcW w:w="925" w:type="dxa"/>
            <w:vMerge/>
            <w:tcBorders>
              <w:top w:val="nil"/>
              <w:left w:val="nil"/>
            </w:tcBorders>
            <w:shd w:val="clear" w:color="auto" w:fill="EDECF3"/>
          </w:tcPr>
          <w:p>
            <w:pPr>
              <w:rPr>
                <w:sz w:val="2"/>
                <w:szCs w:val="2"/>
              </w:rPr>
            </w:pPr>
          </w:p>
        </w:tc>
        <w:tc>
          <w:tcPr>
            <w:tcW w:w="1878" w:type="dxa"/>
            <w:vMerge/>
            <w:tcBorders>
              <w:top w:val="nil"/>
            </w:tcBorders>
            <w:shd w:val="clear" w:color="auto" w:fill="EDECF3"/>
          </w:tcPr>
          <w:p>
            <w:pPr>
              <w:rPr>
                <w:sz w:val="2"/>
                <w:szCs w:val="2"/>
              </w:rPr>
            </w:pPr>
          </w:p>
        </w:tc>
        <w:tc>
          <w:tcPr>
            <w:tcW w:w="1154" w:type="dxa"/>
            <w:vMerge/>
            <w:tcBorders>
              <w:top w:val="nil"/>
            </w:tcBorders>
            <w:shd w:val="clear" w:color="auto" w:fill="EDECF3"/>
          </w:tcPr>
          <w:p>
            <w:pPr>
              <w:rPr>
                <w:sz w:val="2"/>
                <w:szCs w:val="2"/>
              </w:rPr>
            </w:pPr>
          </w:p>
        </w:tc>
        <w:tc>
          <w:tcPr>
            <w:tcW w:w="1349" w:type="dxa"/>
            <w:vMerge/>
            <w:tcBorders>
              <w:top w:val="nil"/>
            </w:tcBorders>
            <w:shd w:val="clear" w:color="auto" w:fill="EDECF3"/>
          </w:tcPr>
          <w:p>
            <w:pPr>
              <w:rPr>
                <w:sz w:val="2"/>
                <w:szCs w:val="2"/>
              </w:rPr>
            </w:pPr>
          </w:p>
        </w:tc>
        <w:tc>
          <w:tcPr>
            <w:tcW w:w="1377" w:type="dxa"/>
            <w:shd w:val="clear" w:color="auto" w:fill="EDECF3"/>
          </w:tcPr>
          <w:p>
            <w:pPr>
              <w:pStyle w:val="TableParagraph"/>
              <w:spacing w:before="74"/>
              <w:ind w:left="62"/>
              <w:rPr>
                <w:sz w:val="19"/>
              </w:rPr>
            </w:pPr>
            <w:r>
              <w:rPr>
                <w:spacing w:val="-2"/>
                <w:sz w:val="19"/>
              </w:rPr>
              <w:t>1:1.000.000</w:t>
            </w:r>
          </w:p>
          <w:p>
            <w:pPr>
              <w:pStyle w:val="TableParagraph"/>
              <w:spacing w:before="50"/>
              <w:ind w:left="62"/>
              <w:rPr>
                <w:sz w:val="19"/>
              </w:rPr>
            </w:pPr>
            <w:r>
              <w:rPr>
                <w:spacing w:val="-2"/>
                <w:sz w:val="19"/>
              </w:rPr>
              <w:t>(homozigoto)</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spacing w:val="-2"/>
                <w:sz w:val="19"/>
              </w:rPr>
              <w:t>Xantomas</w:t>
            </w:r>
          </w:p>
        </w:tc>
        <w:tc>
          <w:tcPr>
            <w:tcW w:w="1384" w:type="dxa"/>
            <w:tcBorders>
              <w:right w:val="nil"/>
            </w:tcBorders>
            <w:shd w:val="clear" w:color="auto" w:fill="EDECF3"/>
          </w:tcPr>
          <w:p>
            <w:pPr>
              <w:pStyle w:val="TableParagraph"/>
              <w:spacing w:before="74"/>
              <w:ind w:left="63"/>
              <w:rPr>
                <w:sz w:val="19"/>
              </w:rPr>
            </w:pPr>
            <w:r>
              <w:rPr>
                <w:spacing w:val="-4"/>
                <w:sz w:val="19"/>
              </w:rPr>
              <w:t>++++</w:t>
            </w:r>
          </w:p>
        </w:tc>
      </w:tr>
      <w:tr>
        <w:trPr>
          <w:trHeight w:val="638" w:hRule="atLeast"/>
        </w:trPr>
        <w:tc>
          <w:tcPr>
            <w:tcW w:w="925" w:type="dxa"/>
            <w:vMerge/>
            <w:tcBorders>
              <w:top w:val="nil"/>
              <w:left w:val="nil"/>
            </w:tcBorders>
            <w:shd w:val="clear" w:color="auto" w:fill="EDECF3"/>
          </w:tcPr>
          <w:p>
            <w:pPr>
              <w:rPr>
                <w:sz w:val="2"/>
                <w:szCs w:val="2"/>
              </w:rPr>
            </w:pPr>
          </w:p>
        </w:tc>
        <w:tc>
          <w:tcPr>
            <w:tcW w:w="1878" w:type="dxa"/>
            <w:vMerge w:val="restart"/>
            <w:shd w:val="clear" w:color="auto" w:fill="EDECF3"/>
          </w:tcPr>
          <w:p>
            <w:pPr>
              <w:pStyle w:val="TableParagraph"/>
              <w:spacing w:before="74"/>
              <w:ind w:left="60"/>
              <w:rPr>
                <w:sz w:val="19"/>
              </w:rPr>
            </w:pPr>
            <w:r>
              <w:rPr>
                <w:sz w:val="19"/>
              </w:rPr>
              <w:t>Apo</w:t>
            </w:r>
            <w:r>
              <w:rPr>
                <w:spacing w:val="11"/>
                <w:sz w:val="19"/>
              </w:rPr>
              <w:t> </w:t>
            </w:r>
            <w:r>
              <w:rPr>
                <w:sz w:val="19"/>
              </w:rPr>
              <w:t>B</w:t>
            </w:r>
            <w:r>
              <w:rPr>
                <w:spacing w:val="4"/>
                <w:sz w:val="19"/>
              </w:rPr>
              <w:t> </w:t>
            </w:r>
            <w:r>
              <w:rPr>
                <w:spacing w:val="-5"/>
                <w:sz w:val="19"/>
              </w:rPr>
              <w:t>100</w:t>
            </w:r>
          </w:p>
          <w:p>
            <w:pPr>
              <w:pStyle w:val="TableParagraph"/>
              <w:spacing w:line="295" w:lineRule="auto" w:before="50"/>
              <w:ind w:left="60"/>
              <w:rPr>
                <w:sz w:val="19"/>
              </w:rPr>
            </w:pPr>
            <w:r>
              <w:rPr>
                <w:sz w:val="19"/>
              </w:rPr>
              <w:t>defeituosa </w:t>
            </w:r>
            <w:r>
              <w:rPr>
                <w:sz w:val="19"/>
              </w:rPr>
              <w:t>familiar </w:t>
            </w:r>
            <w:r>
              <w:rPr>
                <w:spacing w:val="-2"/>
                <w:sz w:val="19"/>
              </w:rPr>
              <w:t>(FDB)</w:t>
            </w:r>
          </w:p>
        </w:tc>
        <w:tc>
          <w:tcPr>
            <w:tcW w:w="1154" w:type="dxa"/>
            <w:shd w:val="clear" w:color="auto" w:fill="EDECF3"/>
          </w:tcPr>
          <w:p>
            <w:pPr>
              <w:pStyle w:val="TableParagraph"/>
              <w:spacing w:line="295" w:lineRule="auto" w:before="74"/>
              <w:ind w:left="61"/>
              <w:rPr>
                <w:sz w:val="19"/>
              </w:rPr>
            </w:pPr>
            <w:r>
              <w:rPr>
                <w:sz w:val="19"/>
              </w:rPr>
              <w:t>APO</w:t>
            </w:r>
            <w:r>
              <w:rPr>
                <w:spacing w:val="-11"/>
                <w:sz w:val="19"/>
              </w:rPr>
              <w:t> </w:t>
            </w:r>
            <w:r>
              <w:rPr>
                <w:sz w:val="19"/>
              </w:rPr>
              <w:t>B</w:t>
            </w:r>
            <w:r>
              <w:rPr>
                <w:spacing w:val="-12"/>
                <w:sz w:val="19"/>
              </w:rPr>
              <w:t> </w:t>
            </w:r>
            <w:r>
              <w:rPr>
                <w:sz w:val="19"/>
              </w:rPr>
              <w:t>Arg 3500 Gln</w:t>
            </w:r>
          </w:p>
        </w:tc>
        <w:tc>
          <w:tcPr>
            <w:tcW w:w="1349" w:type="dxa"/>
            <w:shd w:val="clear" w:color="auto" w:fill="EDECF3"/>
          </w:tcPr>
          <w:p>
            <w:pPr>
              <w:pStyle w:val="TableParagraph"/>
              <w:spacing w:before="74"/>
              <w:ind w:left="61"/>
              <w:rPr>
                <w:sz w:val="19"/>
              </w:rPr>
            </w:pPr>
            <w:r>
              <w:rPr>
                <w:spacing w:val="-2"/>
                <w:sz w:val="19"/>
              </w:rPr>
              <w:t>Dominante</w:t>
            </w:r>
          </w:p>
        </w:tc>
        <w:tc>
          <w:tcPr>
            <w:tcW w:w="1377" w:type="dxa"/>
            <w:shd w:val="clear" w:color="auto" w:fill="EDECF3"/>
          </w:tcPr>
          <w:p>
            <w:pPr>
              <w:pStyle w:val="TableParagraph"/>
              <w:spacing w:before="74"/>
              <w:ind w:left="62"/>
              <w:rPr>
                <w:sz w:val="19"/>
              </w:rPr>
            </w:pPr>
            <w:r>
              <w:rPr>
                <w:spacing w:val="-2"/>
                <w:sz w:val="19"/>
              </w:rPr>
              <w:t>1:700</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spacing w:val="-2"/>
                <w:sz w:val="19"/>
              </w:rPr>
              <w:t>Tendinosos</w:t>
            </w:r>
          </w:p>
        </w:tc>
        <w:tc>
          <w:tcPr>
            <w:tcW w:w="1384" w:type="dxa"/>
            <w:tcBorders>
              <w:right w:val="nil"/>
            </w:tcBorders>
            <w:shd w:val="clear" w:color="auto" w:fill="EDECF3"/>
          </w:tcPr>
          <w:p>
            <w:pPr>
              <w:pStyle w:val="TableParagraph"/>
              <w:spacing w:before="74"/>
              <w:ind w:left="64"/>
              <w:rPr>
                <w:sz w:val="19"/>
              </w:rPr>
            </w:pPr>
            <w:r>
              <w:rPr>
                <w:spacing w:val="-5"/>
                <w:sz w:val="19"/>
              </w:rPr>
              <w:t>++</w:t>
            </w:r>
          </w:p>
        </w:tc>
      </w:tr>
      <w:tr>
        <w:trPr>
          <w:trHeight w:val="903" w:hRule="atLeast"/>
        </w:trPr>
        <w:tc>
          <w:tcPr>
            <w:tcW w:w="925" w:type="dxa"/>
            <w:vMerge/>
            <w:tcBorders>
              <w:top w:val="nil"/>
              <w:left w:val="nil"/>
            </w:tcBorders>
            <w:shd w:val="clear" w:color="auto" w:fill="EDECF3"/>
          </w:tcPr>
          <w:p>
            <w:pPr>
              <w:rPr>
                <w:sz w:val="2"/>
                <w:szCs w:val="2"/>
              </w:rPr>
            </w:pPr>
          </w:p>
        </w:tc>
        <w:tc>
          <w:tcPr>
            <w:tcW w:w="1878" w:type="dxa"/>
            <w:vMerge/>
            <w:tcBorders>
              <w:top w:val="nil"/>
            </w:tcBorders>
            <w:shd w:val="clear" w:color="auto" w:fill="EDECF3"/>
          </w:tcPr>
          <w:p>
            <w:pPr>
              <w:rPr>
                <w:sz w:val="2"/>
                <w:szCs w:val="2"/>
              </w:rPr>
            </w:pPr>
          </w:p>
        </w:tc>
        <w:tc>
          <w:tcPr>
            <w:tcW w:w="1154" w:type="dxa"/>
            <w:shd w:val="clear" w:color="auto" w:fill="EDECF3"/>
          </w:tcPr>
          <w:p>
            <w:pPr>
              <w:pStyle w:val="TableParagraph"/>
              <w:spacing w:line="295" w:lineRule="auto" w:before="74"/>
              <w:ind w:left="61" w:right="169"/>
              <w:rPr>
                <w:sz w:val="19"/>
              </w:rPr>
            </w:pPr>
            <w:r>
              <w:rPr>
                <w:spacing w:val="-2"/>
                <w:sz w:val="19"/>
              </w:rPr>
              <w:t>Peptídio </w:t>
            </w:r>
            <w:r>
              <w:rPr>
                <w:sz w:val="19"/>
              </w:rPr>
              <w:t>sinal</w:t>
            </w:r>
            <w:r>
              <w:rPr>
                <w:spacing w:val="-13"/>
                <w:sz w:val="19"/>
              </w:rPr>
              <w:t> </w:t>
            </w:r>
            <w:r>
              <w:rPr>
                <w:sz w:val="19"/>
              </w:rPr>
              <w:t>APO </w:t>
            </w:r>
            <w:r>
              <w:rPr>
                <w:spacing w:val="-10"/>
                <w:sz w:val="19"/>
              </w:rPr>
              <w:t>B</w:t>
            </w:r>
          </w:p>
        </w:tc>
        <w:tc>
          <w:tcPr>
            <w:tcW w:w="1349" w:type="dxa"/>
            <w:shd w:val="clear" w:color="auto" w:fill="EDECF3"/>
          </w:tcPr>
          <w:p>
            <w:pPr>
              <w:pStyle w:val="TableParagraph"/>
              <w:spacing w:before="74"/>
              <w:ind w:left="61"/>
              <w:rPr>
                <w:sz w:val="19"/>
              </w:rPr>
            </w:pPr>
            <w:r>
              <w:rPr>
                <w:spacing w:val="-2"/>
                <w:sz w:val="19"/>
              </w:rPr>
              <w:t>Polimorfismos</w:t>
            </w:r>
          </w:p>
        </w:tc>
        <w:tc>
          <w:tcPr>
            <w:tcW w:w="1377" w:type="dxa"/>
            <w:shd w:val="clear" w:color="auto" w:fill="EDECF3"/>
          </w:tcPr>
          <w:p>
            <w:pPr>
              <w:pStyle w:val="TableParagraph"/>
              <w:spacing w:before="74"/>
              <w:ind w:left="62"/>
              <w:rPr>
                <w:sz w:val="19"/>
              </w:rPr>
            </w:pPr>
            <w:r>
              <w:rPr>
                <w:sz w:val="19"/>
              </w:rPr>
              <w:t>&gt;</w:t>
            </w:r>
            <w:r>
              <w:rPr>
                <w:spacing w:val="3"/>
                <w:sz w:val="19"/>
              </w:rPr>
              <w:t> </w:t>
            </w:r>
            <w:r>
              <w:rPr>
                <w:spacing w:val="-5"/>
                <w:sz w:val="19"/>
              </w:rPr>
              <w:t>1%</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spacing w:val="-2"/>
                <w:sz w:val="19"/>
              </w:rPr>
              <w:t>Xantelasmas</w:t>
            </w:r>
          </w:p>
        </w:tc>
        <w:tc>
          <w:tcPr>
            <w:tcW w:w="1384" w:type="dxa"/>
            <w:tcBorders>
              <w:right w:val="nil"/>
            </w:tcBorders>
            <w:shd w:val="clear" w:color="auto" w:fill="EDECF3"/>
          </w:tcPr>
          <w:p>
            <w:pPr>
              <w:pStyle w:val="TableParagraph"/>
              <w:spacing w:before="74"/>
              <w:ind w:left="64"/>
              <w:rPr>
                <w:sz w:val="19"/>
              </w:rPr>
            </w:pPr>
            <w:r>
              <w:rPr>
                <w:spacing w:val="-5"/>
                <w:sz w:val="19"/>
              </w:rPr>
              <w:t>++</w:t>
            </w:r>
          </w:p>
        </w:tc>
      </w:tr>
      <w:tr>
        <w:trPr>
          <w:trHeight w:val="903" w:hRule="atLeast"/>
        </w:trPr>
        <w:tc>
          <w:tcPr>
            <w:tcW w:w="925" w:type="dxa"/>
            <w:vMerge/>
            <w:tcBorders>
              <w:top w:val="nil"/>
              <w:left w:val="nil"/>
            </w:tcBorders>
            <w:shd w:val="clear" w:color="auto" w:fill="EDECF3"/>
          </w:tcPr>
          <w:p>
            <w:pPr>
              <w:rPr>
                <w:sz w:val="2"/>
                <w:szCs w:val="2"/>
              </w:rPr>
            </w:pPr>
          </w:p>
        </w:tc>
        <w:tc>
          <w:tcPr>
            <w:tcW w:w="1878" w:type="dxa"/>
            <w:shd w:val="clear" w:color="auto" w:fill="EDECF3"/>
          </w:tcPr>
          <w:p>
            <w:pPr>
              <w:pStyle w:val="TableParagraph"/>
              <w:spacing w:line="295" w:lineRule="auto" w:before="74"/>
              <w:ind w:left="60"/>
              <w:rPr>
                <w:sz w:val="19"/>
              </w:rPr>
            </w:pPr>
            <w:r>
              <w:rPr>
                <w:spacing w:val="-2"/>
                <w:sz w:val="19"/>
              </w:rPr>
              <w:t>Autossômica </w:t>
            </w:r>
            <w:r>
              <w:rPr>
                <w:sz w:val="19"/>
              </w:rPr>
              <w:t>dominante </w:t>
            </w:r>
            <w:r>
              <w:rPr>
                <w:sz w:val="19"/>
              </w:rPr>
              <w:t>(HF3)</w:t>
            </w:r>
          </w:p>
        </w:tc>
        <w:tc>
          <w:tcPr>
            <w:tcW w:w="1154" w:type="dxa"/>
            <w:shd w:val="clear" w:color="auto" w:fill="EDECF3"/>
          </w:tcPr>
          <w:p>
            <w:pPr>
              <w:pStyle w:val="TableParagraph"/>
              <w:spacing w:line="295" w:lineRule="auto" w:before="74"/>
              <w:ind w:left="61"/>
              <w:rPr>
                <w:sz w:val="19"/>
              </w:rPr>
            </w:pPr>
            <w:r>
              <w:rPr>
                <w:spacing w:val="-2"/>
                <w:sz w:val="19"/>
              </w:rPr>
              <w:t>Mutações PCSK9 (1p32)</w:t>
            </w:r>
          </w:p>
        </w:tc>
        <w:tc>
          <w:tcPr>
            <w:tcW w:w="1349" w:type="dxa"/>
            <w:shd w:val="clear" w:color="auto" w:fill="EDECF3"/>
          </w:tcPr>
          <w:p>
            <w:pPr>
              <w:pStyle w:val="TableParagraph"/>
              <w:spacing w:before="74"/>
              <w:ind w:left="61"/>
              <w:rPr>
                <w:sz w:val="19"/>
              </w:rPr>
            </w:pPr>
            <w:r>
              <w:rPr>
                <w:spacing w:val="-2"/>
                <w:sz w:val="19"/>
              </w:rPr>
              <w:t>Dominante</w:t>
            </w:r>
          </w:p>
        </w:tc>
        <w:tc>
          <w:tcPr>
            <w:tcW w:w="1377" w:type="dxa"/>
            <w:shd w:val="clear" w:color="auto" w:fill="EDECF3"/>
          </w:tcPr>
          <w:p>
            <w:pPr>
              <w:pStyle w:val="TableParagraph"/>
              <w:spacing w:before="74"/>
              <w:ind w:left="62"/>
              <w:rPr>
                <w:sz w:val="19"/>
              </w:rPr>
            </w:pPr>
            <w:r>
              <w:rPr>
                <w:sz w:val="19"/>
              </w:rPr>
              <w:t>0,2</w:t>
            </w:r>
            <w:r>
              <w:rPr>
                <w:spacing w:val="13"/>
                <w:sz w:val="19"/>
              </w:rPr>
              <w:t> </w:t>
            </w:r>
            <w:r>
              <w:rPr>
                <w:sz w:val="19"/>
              </w:rPr>
              <w:t>a</w:t>
            </w:r>
            <w:r>
              <w:rPr>
                <w:spacing w:val="14"/>
                <w:sz w:val="19"/>
              </w:rPr>
              <w:t> </w:t>
            </w:r>
            <w:r>
              <w:rPr>
                <w:spacing w:val="-5"/>
                <w:sz w:val="19"/>
              </w:rPr>
              <w:t>34%</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sz w:val="19"/>
              </w:rPr>
              <w:t>Arco</w:t>
            </w:r>
            <w:r>
              <w:rPr>
                <w:spacing w:val="14"/>
                <w:sz w:val="19"/>
              </w:rPr>
              <w:t> </w:t>
            </w:r>
            <w:r>
              <w:rPr>
                <w:spacing w:val="-2"/>
                <w:sz w:val="19"/>
              </w:rPr>
              <w:t>corneal</w:t>
            </w:r>
          </w:p>
        </w:tc>
        <w:tc>
          <w:tcPr>
            <w:tcW w:w="1384" w:type="dxa"/>
            <w:tcBorders>
              <w:right w:val="nil"/>
            </w:tcBorders>
            <w:shd w:val="clear" w:color="auto" w:fill="EDECF3"/>
          </w:tcPr>
          <w:p>
            <w:pPr>
              <w:pStyle w:val="TableParagraph"/>
              <w:spacing w:before="74"/>
              <w:ind w:left="64"/>
              <w:rPr>
                <w:sz w:val="19"/>
              </w:rPr>
            </w:pPr>
            <w:r>
              <w:rPr>
                <w:spacing w:val="-5"/>
                <w:sz w:val="19"/>
              </w:rPr>
              <w:t>+++</w:t>
            </w:r>
          </w:p>
        </w:tc>
      </w:tr>
      <w:tr>
        <w:trPr>
          <w:trHeight w:val="903" w:hRule="atLeast"/>
        </w:trPr>
        <w:tc>
          <w:tcPr>
            <w:tcW w:w="925" w:type="dxa"/>
            <w:vMerge/>
            <w:tcBorders>
              <w:top w:val="nil"/>
              <w:left w:val="nil"/>
            </w:tcBorders>
            <w:shd w:val="clear" w:color="auto" w:fill="EDECF3"/>
          </w:tcPr>
          <w:p>
            <w:pPr>
              <w:rPr>
                <w:sz w:val="2"/>
                <w:szCs w:val="2"/>
              </w:rPr>
            </w:pPr>
          </w:p>
        </w:tc>
        <w:tc>
          <w:tcPr>
            <w:tcW w:w="1878" w:type="dxa"/>
            <w:shd w:val="clear" w:color="auto" w:fill="EDECF3"/>
          </w:tcPr>
          <w:p>
            <w:pPr>
              <w:pStyle w:val="TableParagraph"/>
              <w:spacing w:line="295" w:lineRule="auto" w:before="74"/>
              <w:ind w:left="60"/>
              <w:rPr>
                <w:sz w:val="19"/>
              </w:rPr>
            </w:pPr>
            <w:r>
              <w:rPr>
                <w:spacing w:val="-2"/>
                <w:sz w:val="19"/>
              </w:rPr>
              <w:t>Autossômica recessiva</w:t>
            </w:r>
          </w:p>
        </w:tc>
        <w:tc>
          <w:tcPr>
            <w:tcW w:w="1154" w:type="dxa"/>
            <w:shd w:val="clear" w:color="auto" w:fill="EDECF3"/>
          </w:tcPr>
          <w:p>
            <w:pPr>
              <w:pStyle w:val="TableParagraph"/>
              <w:spacing w:line="295" w:lineRule="auto" w:before="74"/>
              <w:ind w:left="61"/>
              <w:rPr>
                <w:sz w:val="19"/>
              </w:rPr>
            </w:pPr>
            <w:r>
              <w:rPr>
                <w:spacing w:val="-2"/>
                <w:sz w:val="19"/>
              </w:rPr>
              <w:t>Proteína adaptadora </w:t>
            </w:r>
            <w:r>
              <w:rPr>
                <w:spacing w:val="-4"/>
                <w:sz w:val="19"/>
              </w:rPr>
              <w:t>ARH</w:t>
            </w:r>
          </w:p>
        </w:tc>
        <w:tc>
          <w:tcPr>
            <w:tcW w:w="1349" w:type="dxa"/>
            <w:shd w:val="clear" w:color="auto" w:fill="EDECF3"/>
          </w:tcPr>
          <w:p>
            <w:pPr>
              <w:pStyle w:val="TableParagraph"/>
              <w:spacing w:before="74"/>
              <w:ind w:left="61"/>
              <w:rPr>
                <w:sz w:val="19"/>
              </w:rPr>
            </w:pPr>
            <w:r>
              <w:rPr>
                <w:spacing w:val="-2"/>
                <w:sz w:val="19"/>
              </w:rPr>
              <w:t>Recessiva</w:t>
            </w:r>
          </w:p>
        </w:tc>
        <w:tc>
          <w:tcPr>
            <w:tcW w:w="1377" w:type="dxa"/>
            <w:shd w:val="clear" w:color="auto" w:fill="EDECF3"/>
          </w:tcPr>
          <w:p>
            <w:pPr>
              <w:pStyle w:val="TableParagraph"/>
              <w:spacing w:before="74"/>
              <w:ind w:left="62"/>
              <w:rPr>
                <w:sz w:val="19"/>
              </w:rPr>
            </w:pPr>
            <w:r>
              <w:rPr>
                <w:spacing w:val="-4"/>
                <w:sz w:val="19"/>
              </w:rPr>
              <w:t>Rara</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spacing w:val="-2"/>
                <w:sz w:val="19"/>
              </w:rPr>
              <w:t>Precoces</w:t>
            </w:r>
          </w:p>
        </w:tc>
        <w:tc>
          <w:tcPr>
            <w:tcW w:w="1384" w:type="dxa"/>
            <w:tcBorders>
              <w:right w:val="nil"/>
            </w:tcBorders>
            <w:shd w:val="clear" w:color="auto" w:fill="EDECF3"/>
          </w:tcPr>
          <w:p>
            <w:pPr>
              <w:pStyle w:val="TableParagraph"/>
              <w:spacing w:before="74"/>
              <w:ind w:left="63"/>
              <w:rPr>
                <w:sz w:val="19"/>
              </w:rPr>
            </w:pPr>
            <w:r>
              <w:rPr>
                <w:spacing w:val="-5"/>
                <w:sz w:val="19"/>
              </w:rPr>
              <w:t>+++</w:t>
            </w:r>
          </w:p>
        </w:tc>
      </w:tr>
      <w:tr>
        <w:trPr>
          <w:trHeight w:val="638" w:hRule="atLeast"/>
        </w:trPr>
        <w:tc>
          <w:tcPr>
            <w:tcW w:w="925" w:type="dxa"/>
            <w:vMerge/>
            <w:tcBorders>
              <w:top w:val="nil"/>
              <w:left w:val="nil"/>
            </w:tcBorders>
            <w:shd w:val="clear" w:color="auto" w:fill="EDECF3"/>
          </w:tcPr>
          <w:p>
            <w:pPr>
              <w:rPr>
                <w:sz w:val="2"/>
                <w:szCs w:val="2"/>
              </w:rPr>
            </w:pPr>
          </w:p>
        </w:tc>
        <w:tc>
          <w:tcPr>
            <w:tcW w:w="1878" w:type="dxa"/>
            <w:shd w:val="clear" w:color="auto" w:fill="EDECF3"/>
          </w:tcPr>
          <w:p>
            <w:pPr>
              <w:pStyle w:val="TableParagraph"/>
              <w:spacing w:before="74"/>
              <w:ind w:left="60"/>
              <w:rPr>
                <w:sz w:val="19"/>
              </w:rPr>
            </w:pPr>
            <w:r>
              <w:rPr>
                <w:spacing w:val="-2"/>
                <w:sz w:val="19"/>
              </w:rPr>
              <w:t>Sitosterolemia</w:t>
            </w:r>
          </w:p>
        </w:tc>
        <w:tc>
          <w:tcPr>
            <w:tcW w:w="1154" w:type="dxa"/>
            <w:shd w:val="clear" w:color="auto" w:fill="EDECF3"/>
          </w:tcPr>
          <w:p>
            <w:pPr>
              <w:pStyle w:val="TableParagraph"/>
              <w:spacing w:line="295" w:lineRule="auto" w:before="74"/>
              <w:ind w:left="61" w:right="169"/>
              <w:rPr>
                <w:sz w:val="19"/>
              </w:rPr>
            </w:pPr>
            <w:r>
              <w:rPr>
                <w:spacing w:val="-4"/>
                <w:sz w:val="19"/>
              </w:rPr>
              <w:t>ABC </w:t>
            </w:r>
            <w:r>
              <w:rPr>
                <w:spacing w:val="-2"/>
                <w:sz w:val="19"/>
              </w:rPr>
              <w:t>G5/G8</w:t>
            </w:r>
          </w:p>
        </w:tc>
        <w:tc>
          <w:tcPr>
            <w:tcW w:w="1349" w:type="dxa"/>
            <w:shd w:val="clear" w:color="auto" w:fill="EDECF3"/>
          </w:tcPr>
          <w:p>
            <w:pPr>
              <w:pStyle w:val="TableParagraph"/>
              <w:spacing w:before="74"/>
              <w:ind w:left="61"/>
              <w:rPr>
                <w:sz w:val="19"/>
              </w:rPr>
            </w:pPr>
            <w:r>
              <w:rPr>
                <w:spacing w:val="-2"/>
                <w:sz w:val="19"/>
              </w:rPr>
              <w:t>Recessiva</w:t>
            </w:r>
          </w:p>
        </w:tc>
        <w:tc>
          <w:tcPr>
            <w:tcW w:w="1377" w:type="dxa"/>
            <w:shd w:val="clear" w:color="auto" w:fill="EDECF3"/>
          </w:tcPr>
          <w:p>
            <w:pPr>
              <w:pStyle w:val="TableParagraph"/>
              <w:spacing w:line="295" w:lineRule="auto" w:before="74"/>
              <w:ind w:left="62"/>
              <w:rPr>
                <w:sz w:val="19"/>
              </w:rPr>
            </w:pPr>
            <w:r>
              <w:rPr>
                <w:sz w:val="19"/>
              </w:rPr>
              <w:t>Rara,</w:t>
            </w:r>
            <w:r>
              <w:rPr>
                <w:spacing w:val="-2"/>
                <w:sz w:val="19"/>
              </w:rPr>
              <w:t> </w:t>
            </w:r>
            <w:r>
              <w:rPr>
                <w:sz w:val="19"/>
              </w:rPr>
              <w:t>comum na</w:t>
            </w:r>
            <w:r>
              <w:rPr>
                <w:spacing w:val="14"/>
                <w:sz w:val="19"/>
              </w:rPr>
              <w:t> </w:t>
            </w:r>
            <w:r>
              <w:rPr>
                <w:spacing w:val="-2"/>
                <w:sz w:val="19"/>
              </w:rPr>
              <w:t>Sardenha</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spacing w:val="-2"/>
                <w:sz w:val="19"/>
              </w:rPr>
              <w:t>Precoces</w:t>
            </w:r>
          </w:p>
        </w:tc>
        <w:tc>
          <w:tcPr>
            <w:tcW w:w="1384" w:type="dxa"/>
            <w:tcBorders>
              <w:right w:val="nil"/>
            </w:tcBorders>
            <w:shd w:val="clear" w:color="auto" w:fill="EDECF3"/>
          </w:tcPr>
          <w:p>
            <w:pPr>
              <w:pStyle w:val="TableParagraph"/>
              <w:spacing w:before="74"/>
              <w:ind w:left="63"/>
              <w:rPr>
                <w:sz w:val="19"/>
              </w:rPr>
            </w:pPr>
            <w:r>
              <w:rPr>
                <w:spacing w:val="-5"/>
                <w:sz w:val="19"/>
              </w:rPr>
              <w:t>+++</w:t>
            </w:r>
          </w:p>
        </w:tc>
      </w:tr>
      <w:tr>
        <w:trPr>
          <w:trHeight w:val="903" w:hRule="atLeast"/>
        </w:trPr>
        <w:tc>
          <w:tcPr>
            <w:tcW w:w="925" w:type="dxa"/>
            <w:vMerge/>
            <w:tcBorders>
              <w:top w:val="nil"/>
              <w:left w:val="nil"/>
            </w:tcBorders>
            <w:shd w:val="clear" w:color="auto" w:fill="EDECF3"/>
          </w:tcPr>
          <w:p>
            <w:pPr>
              <w:rPr>
                <w:sz w:val="2"/>
                <w:szCs w:val="2"/>
              </w:rPr>
            </w:pPr>
          </w:p>
        </w:tc>
        <w:tc>
          <w:tcPr>
            <w:tcW w:w="1878" w:type="dxa"/>
            <w:shd w:val="clear" w:color="auto" w:fill="EDECF3"/>
          </w:tcPr>
          <w:p>
            <w:pPr>
              <w:pStyle w:val="TableParagraph"/>
              <w:spacing w:line="295" w:lineRule="auto" w:before="74"/>
              <w:ind w:left="60" w:right="567"/>
              <w:jc w:val="both"/>
              <w:rPr>
                <w:sz w:val="19"/>
              </w:rPr>
            </w:pPr>
            <w:r>
              <w:rPr>
                <w:sz w:val="19"/>
              </w:rPr>
              <w:t>Deficiência </w:t>
            </w:r>
            <w:r>
              <w:rPr>
                <w:sz w:val="19"/>
              </w:rPr>
              <w:t>de colesterol 7α-</w:t>
            </w:r>
            <w:r>
              <w:rPr>
                <w:spacing w:val="-2"/>
                <w:sz w:val="19"/>
              </w:rPr>
              <w:t>hidroxilase</w:t>
            </w:r>
          </w:p>
        </w:tc>
        <w:tc>
          <w:tcPr>
            <w:tcW w:w="1154" w:type="dxa"/>
            <w:shd w:val="clear" w:color="auto" w:fill="EDECF3"/>
          </w:tcPr>
          <w:p>
            <w:pPr>
              <w:pStyle w:val="TableParagraph"/>
              <w:spacing w:before="74"/>
              <w:ind w:left="61"/>
              <w:rPr>
                <w:sz w:val="19"/>
              </w:rPr>
            </w:pPr>
            <w:r>
              <w:rPr>
                <w:sz w:val="19"/>
              </w:rPr>
              <w:t>CYP</w:t>
            </w:r>
            <w:r>
              <w:rPr>
                <w:spacing w:val="2"/>
                <w:sz w:val="19"/>
              </w:rPr>
              <w:t> </w:t>
            </w:r>
            <w:r>
              <w:rPr>
                <w:sz w:val="19"/>
              </w:rPr>
              <w:t>7</w:t>
            </w:r>
            <w:r>
              <w:rPr>
                <w:spacing w:val="9"/>
                <w:sz w:val="19"/>
              </w:rPr>
              <w:t> </w:t>
            </w:r>
            <w:r>
              <w:rPr>
                <w:spacing w:val="-5"/>
                <w:sz w:val="19"/>
              </w:rPr>
              <w:t>A1</w:t>
            </w:r>
          </w:p>
        </w:tc>
        <w:tc>
          <w:tcPr>
            <w:tcW w:w="1349" w:type="dxa"/>
            <w:shd w:val="clear" w:color="auto" w:fill="EDECF3"/>
          </w:tcPr>
          <w:p>
            <w:pPr>
              <w:pStyle w:val="TableParagraph"/>
              <w:spacing w:before="74"/>
              <w:ind w:left="61"/>
              <w:rPr>
                <w:sz w:val="19"/>
              </w:rPr>
            </w:pPr>
            <w:r>
              <w:rPr>
                <w:w w:val="190"/>
                <w:sz w:val="19"/>
              </w:rPr>
              <w:t>–</w:t>
            </w:r>
          </w:p>
        </w:tc>
        <w:tc>
          <w:tcPr>
            <w:tcW w:w="1377" w:type="dxa"/>
            <w:shd w:val="clear" w:color="auto" w:fill="EDECF3"/>
          </w:tcPr>
          <w:p>
            <w:pPr>
              <w:pStyle w:val="TableParagraph"/>
              <w:spacing w:before="74"/>
              <w:ind w:left="62"/>
              <w:rPr>
                <w:sz w:val="19"/>
              </w:rPr>
            </w:pPr>
            <w:r>
              <w:rPr>
                <w:spacing w:val="-4"/>
                <w:sz w:val="19"/>
              </w:rPr>
              <w:t>Rara</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w w:val="190"/>
                <w:sz w:val="19"/>
              </w:rPr>
              <w:t>–</w:t>
            </w:r>
          </w:p>
        </w:tc>
        <w:tc>
          <w:tcPr>
            <w:tcW w:w="1384" w:type="dxa"/>
            <w:tcBorders>
              <w:right w:val="nil"/>
            </w:tcBorders>
            <w:shd w:val="clear" w:color="auto" w:fill="EDECF3"/>
          </w:tcPr>
          <w:p>
            <w:pPr>
              <w:pStyle w:val="TableParagraph"/>
              <w:spacing w:before="74"/>
              <w:ind w:left="63"/>
              <w:rPr>
                <w:sz w:val="19"/>
              </w:rPr>
            </w:pPr>
            <w:r>
              <w:rPr>
                <w:spacing w:val="-5"/>
                <w:sz w:val="19"/>
              </w:rPr>
              <w:t>+++</w:t>
            </w:r>
          </w:p>
        </w:tc>
      </w:tr>
      <w:tr>
        <w:trPr>
          <w:trHeight w:val="638" w:hRule="atLeast"/>
        </w:trPr>
        <w:tc>
          <w:tcPr>
            <w:tcW w:w="925" w:type="dxa"/>
            <w:tcBorders>
              <w:left w:val="nil"/>
            </w:tcBorders>
            <w:shd w:val="clear" w:color="auto" w:fill="EDECF3"/>
          </w:tcPr>
          <w:p>
            <w:pPr>
              <w:pStyle w:val="TableParagraph"/>
              <w:spacing w:before="74"/>
              <w:ind w:left="60"/>
              <w:rPr>
                <w:sz w:val="19"/>
              </w:rPr>
            </w:pPr>
            <w:r>
              <w:rPr>
                <w:sz w:val="19"/>
              </w:rPr>
              <w:t>CT</w:t>
            </w:r>
            <w:r>
              <w:rPr>
                <w:spacing w:val="-1"/>
                <w:sz w:val="19"/>
              </w:rPr>
              <w:t> </w:t>
            </w:r>
            <w:r>
              <w:rPr>
                <w:sz w:val="19"/>
              </w:rPr>
              <w:t>↑</w:t>
            </w:r>
            <w:r>
              <w:rPr>
                <w:spacing w:val="6"/>
                <w:sz w:val="19"/>
              </w:rPr>
              <w:t> </w:t>
            </w:r>
            <w:r>
              <w:rPr>
                <w:spacing w:val="-5"/>
                <w:sz w:val="19"/>
              </w:rPr>
              <w:t>ou</w:t>
            </w:r>
          </w:p>
          <w:p>
            <w:pPr>
              <w:pStyle w:val="TableParagraph"/>
              <w:spacing w:before="50"/>
              <w:ind w:left="60"/>
              <w:rPr>
                <w:sz w:val="19"/>
              </w:rPr>
            </w:pPr>
            <w:r>
              <w:rPr>
                <w:spacing w:val="-5"/>
                <w:sz w:val="19"/>
              </w:rPr>
              <w:t>↑↑</w:t>
            </w:r>
          </w:p>
        </w:tc>
        <w:tc>
          <w:tcPr>
            <w:tcW w:w="1878" w:type="dxa"/>
            <w:shd w:val="clear" w:color="auto" w:fill="EDECF3"/>
          </w:tcPr>
          <w:p>
            <w:pPr>
              <w:pStyle w:val="TableParagraph"/>
              <w:spacing w:before="74"/>
              <w:ind w:left="60"/>
              <w:rPr>
                <w:sz w:val="19"/>
              </w:rPr>
            </w:pPr>
            <w:r>
              <w:rPr>
                <w:spacing w:val="-2"/>
                <w:sz w:val="19"/>
              </w:rPr>
              <w:t>Hipercolesterolemia</w:t>
            </w:r>
          </w:p>
        </w:tc>
        <w:tc>
          <w:tcPr>
            <w:tcW w:w="1154" w:type="dxa"/>
            <w:shd w:val="clear" w:color="auto" w:fill="EDECF3"/>
          </w:tcPr>
          <w:p>
            <w:pPr>
              <w:pStyle w:val="TableParagraph"/>
              <w:spacing w:before="74"/>
              <w:ind w:left="61"/>
              <w:rPr>
                <w:sz w:val="19"/>
              </w:rPr>
            </w:pPr>
            <w:r>
              <w:rPr>
                <w:spacing w:val="-10"/>
                <w:sz w:val="19"/>
              </w:rPr>
              <w:t>?</w:t>
            </w:r>
          </w:p>
        </w:tc>
        <w:tc>
          <w:tcPr>
            <w:tcW w:w="1349" w:type="dxa"/>
            <w:shd w:val="clear" w:color="auto" w:fill="EDECF3"/>
          </w:tcPr>
          <w:p>
            <w:pPr>
              <w:pStyle w:val="TableParagraph"/>
              <w:spacing w:line="295" w:lineRule="auto" w:before="74"/>
              <w:ind w:left="61" w:right="506"/>
              <w:rPr>
                <w:sz w:val="19"/>
              </w:rPr>
            </w:pPr>
            <w:r>
              <w:rPr>
                <w:spacing w:val="-2"/>
                <w:sz w:val="19"/>
              </w:rPr>
              <w:t>Múltiplos genes</w:t>
            </w:r>
          </w:p>
        </w:tc>
        <w:tc>
          <w:tcPr>
            <w:tcW w:w="1377" w:type="dxa"/>
            <w:shd w:val="clear" w:color="auto" w:fill="EDECF3"/>
          </w:tcPr>
          <w:p>
            <w:pPr>
              <w:pStyle w:val="TableParagraph"/>
              <w:spacing w:before="74"/>
              <w:ind w:left="62"/>
              <w:rPr>
                <w:sz w:val="19"/>
              </w:rPr>
            </w:pPr>
            <w:r>
              <w:rPr>
                <w:sz w:val="19"/>
              </w:rPr>
              <w:t>1:100</w:t>
            </w:r>
            <w:r>
              <w:rPr>
                <w:spacing w:val="27"/>
                <w:sz w:val="19"/>
              </w:rPr>
              <w:t> </w:t>
            </w:r>
            <w:r>
              <w:rPr>
                <w:spacing w:val="-5"/>
                <w:sz w:val="19"/>
              </w:rPr>
              <w:t>ou</w:t>
            </w:r>
          </w:p>
          <w:p>
            <w:pPr>
              <w:pStyle w:val="TableParagraph"/>
              <w:spacing w:before="50"/>
              <w:ind w:left="62"/>
              <w:rPr>
                <w:sz w:val="19"/>
              </w:rPr>
            </w:pPr>
            <w:r>
              <w:rPr>
                <w:spacing w:val="-2"/>
                <w:sz w:val="19"/>
              </w:rPr>
              <w:t>5:100</w:t>
            </w:r>
          </w:p>
        </w:tc>
        <w:tc>
          <w:tcPr>
            <w:tcW w:w="1377" w:type="dxa"/>
            <w:shd w:val="clear" w:color="auto" w:fill="EDECF3"/>
          </w:tcPr>
          <w:p>
            <w:pPr>
              <w:pStyle w:val="TableParagraph"/>
              <w:spacing w:before="74"/>
              <w:ind w:left="63"/>
              <w:rPr>
                <w:sz w:val="19"/>
              </w:rPr>
            </w:pPr>
            <w:r>
              <w:rPr>
                <w:spacing w:val="-10"/>
                <w:sz w:val="19"/>
              </w:rPr>
              <w:t>+</w:t>
            </w:r>
          </w:p>
        </w:tc>
        <w:tc>
          <w:tcPr>
            <w:tcW w:w="1558" w:type="dxa"/>
            <w:shd w:val="clear" w:color="auto" w:fill="EDECF3"/>
          </w:tcPr>
          <w:p>
            <w:pPr>
              <w:pStyle w:val="TableParagraph"/>
              <w:spacing w:before="74"/>
              <w:ind w:left="63"/>
              <w:rPr>
                <w:sz w:val="19"/>
              </w:rPr>
            </w:pPr>
            <w:r>
              <w:rPr>
                <w:w w:val="190"/>
                <w:sz w:val="19"/>
              </w:rPr>
              <w:t>–</w:t>
            </w:r>
          </w:p>
        </w:tc>
        <w:tc>
          <w:tcPr>
            <w:tcW w:w="1384" w:type="dxa"/>
            <w:tcBorders>
              <w:right w:val="nil"/>
            </w:tcBorders>
            <w:shd w:val="clear" w:color="auto" w:fill="EDECF3"/>
          </w:tcPr>
          <w:p>
            <w:pPr>
              <w:pStyle w:val="TableParagraph"/>
              <w:spacing w:before="74"/>
              <w:ind w:left="63"/>
              <w:rPr>
                <w:sz w:val="19"/>
              </w:rPr>
            </w:pPr>
            <w:r>
              <w:rPr>
                <w:spacing w:val="-10"/>
                <w:sz w:val="19"/>
              </w:rPr>
              <w:t>+</w:t>
            </w:r>
          </w:p>
        </w:tc>
      </w:tr>
      <w:tr>
        <w:trPr>
          <w:trHeight w:val="638" w:hRule="atLeast"/>
        </w:trPr>
        <w:tc>
          <w:tcPr>
            <w:tcW w:w="925" w:type="dxa"/>
            <w:tcBorders>
              <w:left w:val="nil"/>
            </w:tcBorders>
            <w:shd w:val="clear" w:color="auto" w:fill="EDECF3"/>
          </w:tcPr>
          <w:p>
            <w:pPr>
              <w:pStyle w:val="TableParagraph"/>
              <w:spacing w:before="74"/>
              <w:ind w:left="60"/>
              <w:rPr>
                <w:sz w:val="19"/>
              </w:rPr>
            </w:pPr>
            <w:r>
              <w:rPr>
                <w:sz w:val="19"/>
              </w:rPr>
              <w:t>LDL</w:t>
            </w:r>
            <w:r>
              <w:rPr>
                <w:spacing w:val="12"/>
                <w:sz w:val="19"/>
              </w:rPr>
              <w:t> </w:t>
            </w:r>
            <w:r>
              <w:rPr>
                <w:sz w:val="19"/>
              </w:rPr>
              <w:t>↑</w:t>
            </w:r>
            <w:r>
              <w:rPr>
                <w:spacing w:val="9"/>
                <w:sz w:val="19"/>
              </w:rPr>
              <w:t> </w:t>
            </w:r>
            <w:r>
              <w:rPr>
                <w:spacing w:val="-5"/>
                <w:sz w:val="19"/>
              </w:rPr>
              <w:t>ou</w:t>
            </w:r>
          </w:p>
          <w:p>
            <w:pPr>
              <w:pStyle w:val="TableParagraph"/>
              <w:spacing w:before="50"/>
              <w:ind w:left="60"/>
              <w:rPr>
                <w:sz w:val="19"/>
              </w:rPr>
            </w:pPr>
            <w:r>
              <w:rPr>
                <w:spacing w:val="-5"/>
                <w:sz w:val="19"/>
              </w:rPr>
              <w:t>↑↑</w:t>
            </w:r>
          </w:p>
        </w:tc>
        <w:tc>
          <w:tcPr>
            <w:tcW w:w="1878" w:type="dxa"/>
            <w:shd w:val="clear" w:color="auto" w:fill="EDECF3"/>
          </w:tcPr>
          <w:p>
            <w:pPr>
              <w:pStyle w:val="TableParagraph"/>
              <w:spacing w:before="74"/>
              <w:ind w:left="60"/>
              <w:rPr>
                <w:sz w:val="19"/>
              </w:rPr>
            </w:pPr>
            <w:r>
              <w:rPr>
                <w:spacing w:val="-2"/>
                <w:sz w:val="19"/>
              </w:rPr>
              <w:t>Poligênica</w:t>
            </w:r>
          </w:p>
        </w:tc>
        <w:tc>
          <w:tcPr>
            <w:tcW w:w="1154" w:type="dxa"/>
            <w:shd w:val="clear" w:color="auto" w:fill="EDECF3"/>
          </w:tcPr>
          <w:p>
            <w:pPr>
              <w:pStyle w:val="TableParagraph"/>
              <w:spacing w:before="74"/>
              <w:ind w:left="61"/>
              <w:rPr>
                <w:sz w:val="19"/>
              </w:rPr>
            </w:pPr>
            <w:r>
              <w:rPr>
                <w:w w:val="190"/>
                <w:sz w:val="19"/>
              </w:rPr>
              <w:t>–</w:t>
            </w:r>
          </w:p>
        </w:tc>
        <w:tc>
          <w:tcPr>
            <w:tcW w:w="1349" w:type="dxa"/>
            <w:shd w:val="clear" w:color="auto" w:fill="EDECF3"/>
          </w:tcPr>
          <w:p>
            <w:pPr>
              <w:pStyle w:val="TableParagraph"/>
              <w:spacing w:before="74"/>
              <w:ind w:left="61"/>
              <w:rPr>
                <w:sz w:val="19"/>
              </w:rPr>
            </w:pPr>
            <w:r>
              <w:rPr>
                <w:w w:val="190"/>
                <w:sz w:val="19"/>
              </w:rPr>
              <w:t>–</w:t>
            </w:r>
          </w:p>
        </w:tc>
        <w:tc>
          <w:tcPr>
            <w:tcW w:w="1377" w:type="dxa"/>
            <w:shd w:val="clear" w:color="auto" w:fill="EDECF3"/>
          </w:tcPr>
          <w:p>
            <w:pPr>
              <w:pStyle w:val="TableParagraph"/>
              <w:spacing w:before="74"/>
              <w:ind w:left="62"/>
              <w:rPr>
                <w:sz w:val="19"/>
              </w:rPr>
            </w:pPr>
            <w:r>
              <w:rPr>
                <w:w w:val="190"/>
                <w:sz w:val="19"/>
              </w:rPr>
              <w:t>–</w:t>
            </w:r>
          </w:p>
        </w:tc>
        <w:tc>
          <w:tcPr>
            <w:tcW w:w="1377" w:type="dxa"/>
            <w:shd w:val="clear" w:color="auto" w:fill="EDECF3"/>
          </w:tcPr>
          <w:p>
            <w:pPr>
              <w:pStyle w:val="TableParagraph"/>
              <w:spacing w:before="74"/>
              <w:ind w:left="63"/>
              <w:rPr>
                <w:sz w:val="19"/>
              </w:rPr>
            </w:pPr>
            <w:r>
              <w:rPr>
                <w:w w:val="190"/>
                <w:sz w:val="19"/>
              </w:rPr>
              <w:t>–</w:t>
            </w:r>
          </w:p>
        </w:tc>
        <w:tc>
          <w:tcPr>
            <w:tcW w:w="1558" w:type="dxa"/>
            <w:shd w:val="clear" w:color="auto" w:fill="EDECF3"/>
          </w:tcPr>
          <w:p>
            <w:pPr>
              <w:pStyle w:val="TableParagraph"/>
              <w:spacing w:before="74"/>
              <w:ind w:left="63"/>
              <w:rPr>
                <w:sz w:val="19"/>
              </w:rPr>
            </w:pPr>
            <w:r>
              <w:rPr>
                <w:w w:val="190"/>
                <w:sz w:val="19"/>
              </w:rPr>
              <w:t>–</w:t>
            </w:r>
          </w:p>
        </w:tc>
        <w:tc>
          <w:tcPr>
            <w:tcW w:w="1384" w:type="dxa"/>
            <w:tcBorders>
              <w:right w:val="nil"/>
            </w:tcBorders>
            <w:shd w:val="clear" w:color="auto" w:fill="EDECF3"/>
          </w:tcPr>
          <w:p>
            <w:pPr>
              <w:pStyle w:val="TableParagraph"/>
              <w:spacing w:before="74"/>
              <w:ind w:left="63"/>
              <w:rPr>
                <w:sz w:val="19"/>
              </w:rPr>
            </w:pPr>
            <w:r>
              <w:rPr>
                <w:w w:val="190"/>
                <w:sz w:val="19"/>
              </w:rPr>
              <w:t>–</w:t>
            </w:r>
          </w:p>
        </w:tc>
      </w:tr>
      <w:tr>
        <w:trPr>
          <w:trHeight w:val="1167" w:hRule="atLeast"/>
        </w:trPr>
        <w:tc>
          <w:tcPr>
            <w:tcW w:w="925" w:type="dxa"/>
            <w:tcBorders>
              <w:left w:val="nil"/>
            </w:tcBorders>
            <w:shd w:val="clear" w:color="auto" w:fill="EDECF3"/>
          </w:tcPr>
          <w:p>
            <w:pPr>
              <w:pStyle w:val="TableParagraph"/>
              <w:spacing w:before="74"/>
              <w:ind w:left="60"/>
              <w:rPr>
                <w:sz w:val="19"/>
              </w:rPr>
            </w:pPr>
            <w:r>
              <w:rPr>
                <w:sz w:val="19"/>
              </w:rPr>
              <w:t>CT</w:t>
            </w:r>
            <w:r>
              <w:rPr>
                <w:spacing w:val="-1"/>
                <w:sz w:val="19"/>
              </w:rPr>
              <w:t> </w:t>
            </w:r>
            <w:r>
              <w:rPr>
                <w:sz w:val="19"/>
              </w:rPr>
              <w:t>↑</w:t>
            </w:r>
            <w:r>
              <w:rPr>
                <w:spacing w:val="6"/>
                <w:sz w:val="19"/>
              </w:rPr>
              <w:t> </w:t>
            </w:r>
            <w:r>
              <w:rPr>
                <w:spacing w:val="-5"/>
                <w:sz w:val="19"/>
              </w:rPr>
              <w:t>ou</w:t>
            </w:r>
          </w:p>
          <w:p>
            <w:pPr>
              <w:pStyle w:val="TableParagraph"/>
              <w:spacing w:before="50"/>
              <w:ind w:left="60"/>
              <w:rPr>
                <w:sz w:val="19"/>
              </w:rPr>
            </w:pPr>
            <w:r>
              <w:rPr>
                <w:spacing w:val="-5"/>
                <w:sz w:val="19"/>
              </w:rPr>
              <w:t>↑↑</w:t>
            </w:r>
          </w:p>
        </w:tc>
        <w:tc>
          <w:tcPr>
            <w:tcW w:w="1878" w:type="dxa"/>
            <w:shd w:val="clear" w:color="auto" w:fill="EDECF3"/>
          </w:tcPr>
          <w:p>
            <w:pPr>
              <w:pStyle w:val="TableParagraph"/>
              <w:spacing w:before="74"/>
              <w:ind w:left="60"/>
              <w:rPr>
                <w:sz w:val="19"/>
              </w:rPr>
            </w:pPr>
            <w:r>
              <w:rPr>
                <w:w w:val="190"/>
                <w:sz w:val="19"/>
              </w:rPr>
              <w:t>–</w:t>
            </w:r>
          </w:p>
        </w:tc>
        <w:tc>
          <w:tcPr>
            <w:tcW w:w="1154" w:type="dxa"/>
            <w:shd w:val="clear" w:color="auto" w:fill="EDECF3"/>
          </w:tcPr>
          <w:p>
            <w:pPr>
              <w:pStyle w:val="TableParagraph"/>
              <w:spacing w:before="74"/>
              <w:ind w:left="61"/>
              <w:rPr>
                <w:sz w:val="19"/>
              </w:rPr>
            </w:pPr>
            <w:r>
              <w:rPr>
                <w:sz w:val="19"/>
              </w:rPr>
              <w:t>APO</w:t>
            </w:r>
            <w:r>
              <w:rPr>
                <w:spacing w:val="3"/>
                <w:sz w:val="19"/>
              </w:rPr>
              <w:t> </w:t>
            </w:r>
            <w:r>
              <w:rPr>
                <w:spacing w:val="-5"/>
                <w:sz w:val="19"/>
              </w:rPr>
              <w:t>E4</w:t>
            </w:r>
          </w:p>
        </w:tc>
        <w:tc>
          <w:tcPr>
            <w:tcW w:w="1349" w:type="dxa"/>
            <w:shd w:val="clear" w:color="auto" w:fill="EDECF3"/>
          </w:tcPr>
          <w:p>
            <w:pPr>
              <w:pStyle w:val="TableParagraph"/>
              <w:spacing w:before="74"/>
              <w:ind w:left="61"/>
              <w:rPr>
                <w:sz w:val="19"/>
              </w:rPr>
            </w:pPr>
            <w:r>
              <w:rPr>
                <w:spacing w:val="-2"/>
                <w:sz w:val="19"/>
              </w:rPr>
              <w:t>Codominante</w:t>
            </w:r>
          </w:p>
        </w:tc>
        <w:tc>
          <w:tcPr>
            <w:tcW w:w="1377" w:type="dxa"/>
            <w:shd w:val="clear" w:color="auto" w:fill="EDECF3"/>
          </w:tcPr>
          <w:p>
            <w:pPr>
              <w:pStyle w:val="TableParagraph"/>
              <w:spacing w:line="295" w:lineRule="auto" w:before="74"/>
              <w:ind w:left="62" w:right="85"/>
              <w:rPr>
                <w:sz w:val="19"/>
              </w:rPr>
            </w:pPr>
            <w:r>
              <w:rPr>
                <w:sz w:val="19"/>
              </w:rPr>
              <w:t>Até 5% da variação </w:t>
            </w:r>
            <w:r>
              <w:rPr>
                <w:sz w:val="19"/>
              </w:rPr>
              <w:t>do CT na </w:t>
            </w:r>
            <w:r>
              <w:rPr>
                <w:spacing w:val="-2"/>
                <w:sz w:val="19"/>
              </w:rPr>
              <w:t>população</w:t>
            </w:r>
          </w:p>
        </w:tc>
        <w:tc>
          <w:tcPr>
            <w:tcW w:w="1377" w:type="dxa"/>
            <w:shd w:val="clear" w:color="auto" w:fill="EDECF3"/>
          </w:tcPr>
          <w:p>
            <w:pPr>
              <w:pStyle w:val="TableParagraph"/>
              <w:spacing w:before="74"/>
              <w:ind w:left="63"/>
              <w:rPr>
                <w:sz w:val="19"/>
              </w:rPr>
            </w:pPr>
            <w:r>
              <w:rPr>
                <w:spacing w:val="-2"/>
                <w:sz w:val="19"/>
              </w:rPr>
              <w:t>Variável</w:t>
            </w:r>
          </w:p>
        </w:tc>
        <w:tc>
          <w:tcPr>
            <w:tcW w:w="1558" w:type="dxa"/>
            <w:shd w:val="clear" w:color="auto" w:fill="EDECF3"/>
          </w:tcPr>
          <w:p>
            <w:pPr>
              <w:pStyle w:val="TableParagraph"/>
              <w:spacing w:before="74"/>
              <w:ind w:left="63"/>
              <w:rPr>
                <w:sz w:val="19"/>
              </w:rPr>
            </w:pPr>
            <w:r>
              <w:rPr>
                <w:w w:val="190"/>
                <w:sz w:val="19"/>
              </w:rPr>
              <w:t>–</w:t>
            </w:r>
          </w:p>
        </w:tc>
        <w:tc>
          <w:tcPr>
            <w:tcW w:w="1384" w:type="dxa"/>
            <w:tcBorders>
              <w:right w:val="nil"/>
            </w:tcBorders>
            <w:shd w:val="clear" w:color="auto" w:fill="EDECF3"/>
          </w:tcPr>
          <w:p>
            <w:pPr>
              <w:pStyle w:val="TableParagraph"/>
              <w:spacing w:before="74"/>
              <w:ind w:left="63"/>
              <w:rPr>
                <w:sz w:val="19"/>
              </w:rPr>
            </w:pPr>
            <w:r>
              <w:rPr>
                <w:sz w:val="19"/>
              </w:rPr>
              <w:t>+</w:t>
            </w:r>
            <w:r>
              <w:rPr>
                <w:spacing w:val="15"/>
                <w:sz w:val="19"/>
              </w:rPr>
              <w:t> </w:t>
            </w:r>
            <w:r>
              <w:rPr>
                <w:sz w:val="19"/>
              </w:rPr>
              <w:t>Quando</w:t>
            </w:r>
            <w:r>
              <w:rPr>
                <w:spacing w:val="22"/>
                <w:sz w:val="19"/>
              </w:rPr>
              <w:t> </w:t>
            </w:r>
            <w:r>
              <w:rPr>
                <w:spacing w:val="-5"/>
                <w:sz w:val="19"/>
              </w:rPr>
              <w:t>for</w:t>
            </w:r>
          </w:p>
          <w:p>
            <w:pPr>
              <w:pStyle w:val="TableParagraph"/>
              <w:spacing w:before="50"/>
              <w:ind w:left="63"/>
              <w:rPr>
                <w:sz w:val="19"/>
              </w:rPr>
            </w:pPr>
            <w:r>
              <w:rPr>
                <w:spacing w:val="-5"/>
                <w:sz w:val="19"/>
              </w:rPr>
              <w:t>↑↑</w:t>
            </w:r>
          </w:p>
        </w:tc>
      </w:tr>
      <w:tr>
        <w:trPr>
          <w:trHeight w:val="639" w:hRule="atLeast"/>
        </w:trPr>
        <w:tc>
          <w:tcPr>
            <w:tcW w:w="925" w:type="dxa"/>
            <w:tcBorders>
              <w:left w:val="nil"/>
              <w:bottom w:val="nil"/>
            </w:tcBorders>
            <w:shd w:val="clear" w:color="auto" w:fill="EDECF3"/>
          </w:tcPr>
          <w:p>
            <w:pPr>
              <w:pStyle w:val="TableParagraph"/>
              <w:spacing w:before="74"/>
              <w:ind w:left="60"/>
              <w:rPr>
                <w:sz w:val="19"/>
              </w:rPr>
            </w:pPr>
            <w:r>
              <w:rPr>
                <w:sz w:val="19"/>
              </w:rPr>
              <w:t>LDL</w:t>
            </w:r>
            <w:r>
              <w:rPr>
                <w:spacing w:val="12"/>
                <w:sz w:val="19"/>
              </w:rPr>
              <w:t> </w:t>
            </w:r>
            <w:r>
              <w:rPr>
                <w:sz w:val="19"/>
              </w:rPr>
              <w:t>↑</w:t>
            </w:r>
            <w:r>
              <w:rPr>
                <w:spacing w:val="9"/>
                <w:sz w:val="19"/>
              </w:rPr>
              <w:t> </w:t>
            </w:r>
            <w:r>
              <w:rPr>
                <w:spacing w:val="-5"/>
                <w:sz w:val="19"/>
              </w:rPr>
              <w:t>ou</w:t>
            </w:r>
          </w:p>
          <w:p>
            <w:pPr>
              <w:pStyle w:val="TableParagraph"/>
              <w:spacing w:before="50"/>
              <w:ind w:left="60"/>
              <w:rPr>
                <w:sz w:val="19"/>
              </w:rPr>
            </w:pPr>
            <w:r>
              <w:rPr>
                <w:spacing w:val="-5"/>
                <w:sz w:val="19"/>
              </w:rPr>
              <w:t>↑↑</w:t>
            </w:r>
          </w:p>
        </w:tc>
        <w:tc>
          <w:tcPr>
            <w:tcW w:w="1878" w:type="dxa"/>
            <w:tcBorders>
              <w:bottom w:val="nil"/>
            </w:tcBorders>
            <w:shd w:val="clear" w:color="auto" w:fill="EDECF3"/>
          </w:tcPr>
          <w:p>
            <w:pPr>
              <w:pStyle w:val="TableParagraph"/>
              <w:spacing w:before="74"/>
              <w:ind w:left="60"/>
              <w:rPr>
                <w:sz w:val="19"/>
              </w:rPr>
            </w:pPr>
            <w:r>
              <w:rPr>
                <w:w w:val="190"/>
                <w:sz w:val="19"/>
              </w:rPr>
              <w:t>–</w:t>
            </w:r>
          </w:p>
        </w:tc>
        <w:tc>
          <w:tcPr>
            <w:tcW w:w="1154" w:type="dxa"/>
            <w:tcBorders>
              <w:bottom w:val="nil"/>
            </w:tcBorders>
            <w:shd w:val="clear" w:color="auto" w:fill="EDECF3"/>
          </w:tcPr>
          <w:p>
            <w:pPr>
              <w:pStyle w:val="TableParagraph"/>
              <w:spacing w:before="74"/>
              <w:ind w:left="61"/>
              <w:rPr>
                <w:sz w:val="19"/>
              </w:rPr>
            </w:pPr>
            <w:r>
              <w:rPr>
                <w:w w:val="190"/>
                <w:sz w:val="19"/>
              </w:rPr>
              <w:t>–</w:t>
            </w:r>
          </w:p>
        </w:tc>
        <w:tc>
          <w:tcPr>
            <w:tcW w:w="1349" w:type="dxa"/>
            <w:tcBorders>
              <w:bottom w:val="nil"/>
            </w:tcBorders>
            <w:shd w:val="clear" w:color="auto" w:fill="EDECF3"/>
          </w:tcPr>
          <w:p>
            <w:pPr>
              <w:pStyle w:val="TableParagraph"/>
              <w:spacing w:before="74"/>
              <w:ind w:left="61"/>
              <w:rPr>
                <w:sz w:val="19"/>
              </w:rPr>
            </w:pPr>
            <w:r>
              <w:rPr>
                <w:w w:val="190"/>
                <w:sz w:val="19"/>
              </w:rPr>
              <w:t>–</w:t>
            </w:r>
          </w:p>
        </w:tc>
        <w:tc>
          <w:tcPr>
            <w:tcW w:w="1377" w:type="dxa"/>
            <w:tcBorders>
              <w:bottom w:val="nil"/>
            </w:tcBorders>
            <w:shd w:val="clear" w:color="auto" w:fill="EDECF3"/>
          </w:tcPr>
          <w:p>
            <w:pPr>
              <w:pStyle w:val="TableParagraph"/>
              <w:spacing w:before="74"/>
              <w:ind w:left="62"/>
              <w:rPr>
                <w:sz w:val="19"/>
              </w:rPr>
            </w:pPr>
            <w:r>
              <w:rPr>
                <w:w w:val="190"/>
                <w:sz w:val="19"/>
              </w:rPr>
              <w:t>–</w:t>
            </w:r>
          </w:p>
        </w:tc>
        <w:tc>
          <w:tcPr>
            <w:tcW w:w="1377" w:type="dxa"/>
            <w:tcBorders>
              <w:bottom w:val="nil"/>
            </w:tcBorders>
            <w:shd w:val="clear" w:color="auto" w:fill="EDECF3"/>
          </w:tcPr>
          <w:p>
            <w:pPr>
              <w:pStyle w:val="TableParagraph"/>
              <w:spacing w:before="74"/>
              <w:ind w:left="63"/>
              <w:rPr>
                <w:sz w:val="19"/>
              </w:rPr>
            </w:pPr>
            <w:r>
              <w:rPr>
                <w:w w:val="190"/>
                <w:sz w:val="19"/>
              </w:rPr>
              <w:t>–</w:t>
            </w:r>
          </w:p>
        </w:tc>
        <w:tc>
          <w:tcPr>
            <w:tcW w:w="1558" w:type="dxa"/>
            <w:tcBorders>
              <w:bottom w:val="nil"/>
            </w:tcBorders>
            <w:shd w:val="clear" w:color="auto" w:fill="EDECF3"/>
          </w:tcPr>
          <w:p>
            <w:pPr>
              <w:pStyle w:val="TableParagraph"/>
              <w:spacing w:before="74"/>
              <w:ind w:left="63"/>
              <w:rPr>
                <w:sz w:val="19"/>
              </w:rPr>
            </w:pPr>
            <w:r>
              <w:rPr>
                <w:w w:val="190"/>
                <w:sz w:val="19"/>
              </w:rPr>
              <w:t>–</w:t>
            </w:r>
          </w:p>
        </w:tc>
        <w:tc>
          <w:tcPr>
            <w:tcW w:w="1384" w:type="dxa"/>
            <w:tcBorders>
              <w:bottom w:val="nil"/>
              <w:right w:val="nil"/>
            </w:tcBorders>
            <w:shd w:val="clear" w:color="auto" w:fill="EDECF3"/>
          </w:tcPr>
          <w:p>
            <w:pPr>
              <w:pStyle w:val="TableParagraph"/>
              <w:spacing w:before="74"/>
              <w:ind w:left="63"/>
              <w:rPr>
                <w:sz w:val="19"/>
              </w:rPr>
            </w:pPr>
            <w:r>
              <w:rPr>
                <w:w w:val="190"/>
                <w:sz w:val="19"/>
              </w:rPr>
              <w:t>–</w:t>
            </w:r>
          </w:p>
        </w:tc>
      </w:tr>
    </w:tbl>
    <w:p>
      <w:pPr>
        <w:spacing w:before="153"/>
        <w:ind w:left="52" w:right="0" w:firstLine="0"/>
        <w:jc w:val="both"/>
        <w:rPr>
          <w:rFonts w:ascii="Microsoft Sans Serif" w:hAnsi="Microsoft Sans Serif"/>
          <w:sz w:val="16"/>
        </w:rPr>
      </w:pPr>
      <w:r>
        <w:rPr>
          <w:rFonts w:ascii="Microsoft Sans Serif" w:hAnsi="Microsoft Sans Serif"/>
          <w:w w:val="105"/>
          <w:sz w:val="16"/>
        </w:rPr>
        <w:t>CT</w:t>
      </w:r>
      <w:r>
        <w:rPr>
          <w:rFonts w:ascii="Microsoft Sans Serif" w:hAnsi="Microsoft Sans Serif"/>
          <w:spacing w:val="-5"/>
          <w:w w:val="105"/>
          <w:sz w:val="16"/>
        </w:rPr>
        <w:t> </w:t>
      </w:r>
      <w:r>
        <w:rPr>
          <w:rFonts w:ascii="Microsoft Sans Serif" w:hAnsi="Microsoft Sans Serif"/>
          <w:w w:val="105"/>
          <w:sz w:val="16"/>
        </w:rPr>
        <w:t>=</w:t>
      </w:r>
      <w:r>
        <w:rPr>
          <w:rFonts w:ascii="Microsoft Sans Serif" w:hAnsi="Microsoft Sans Serif"/>
          <w:spacing w:val="1"/>
          <w:w w:val="105"/>
          <w:sz w:val="16"/>
        </w:rPr>
        <w:t> </w:t>
      </w:r>
      <w:r>
        <w:rPr>
          <w:rFonts w:ascii="Microsoft Sans Serif" w:hAnsi="Microsoft Sans Serif"/>
          <w:w w:val="105"/>
          <w:sz w:val="16"/>
        </w:rPr>
        <w:t>colesterol</w:t>
      </w:r>
      <w:r>
        <w:rPr>
          <w:rFonts w:ascii="Microsoft Sans Serif" w:hAnsi="Microsoft Sans Serif"/>
          <w:spacing w:val="5"/>
          <w:w w:val="105"/>
          <w:sz w:val="16"/>
        </w:rPr>
        <w:t> </w:t>
      </w:r>
      <w:r>
        <w:rPr>
          <w:rFonts w:ascii="Microsoft Sans Serif" w:hAnsi="Microsoft Sans Serif"/>
          <w:w w:val="105"/>
          <w:sz w:val="16"/>
        </w:rPr>
        <w:t>total;</w:t>
      </w:r>
      <w:r>
        <w:rPr>
          <w:rFonts w:ascii="Microsoft Sans Serif" w:hAnsi="Microsoft Sans Serif"/>
          <w:spacing w:val="-4"/>
          <w:w w:val="105"/>
          <w:sz w:val="16"/>
        </w:rPr>
        <w:t> </w:t>
      </w:r>
      <w:r>
        <w:rPr>
          <w:rFonts w:ascii="Microsoft Sans Serif" w:hAnsi="Microsoft Sans Serif"/>
          <w:w w:val="105"/>
          <w:sz w:val="16"/>
        </w:rPr>
        <w:t>LDL</w:t>
      </w:r>
      <w:r>
        <w:rPr>
          <w:rFonts w:ascii="Microsoft Sans Serif" w:hAnsi="Microsoft Sans Serif"/>
          <w:spacing w:val="5"/>
          <w:w w:val="105"/>
          <w:sz w:val="16"/>
        </w:rPr>
        <w:t> </w:t>
      </w:r>
      <w:r>
        <w:rPr>
          <w:rFonts w:ascii="Microsoft Sans Serif" w:hAnsi="Microsoft Sans Serif"/>
          <w:w w:val="105"/>
          <w:sz w:val="16"/>
        </w:rPr>
        <w:t>=</w:t>
      </w:r>
      <w:r>
        <w:rPr>
          <w:rFonts w:ascii="Microsoft Sans Serif" w:hAnsi="Microsoft Sans Serif"/>
          <w:spacing w:val="1"/>
          <w:w w:val="105"/>
          <w:sz w:val="16"/>
        </w:rPr>
        <w:t> </w:t>
      </w:r>
      <w:r>
        <w:rPr>
          <w:rFonts w:ascii="Microsoft Sans Serif" w:hAnsi="Microsoft Sans Serif"/>
          <w:w w:val="105"/>
          <w:sz w:val="16"/>
        </w:rPr>
        <w:t>lipoproteína</w:t>
      </w:r>
      <w:r>
        <w:rPr>
          <w:rFonts w:ascii="Microsoft Sans Serif" w:hAnsi="Microsoft Sans Serif"/>
          <w:spacing w:val="5"/>
          <w:w w:val="105"/>
          <w:sz w:val="16"/>
        </w:rPr>
        <w:t> </w:t>
      </w:r>
      <w:r>
        <w:rPr>
          <w:rFonts w:ascii="Microsoft Sans Serif" w:hAnsi="Microsoft Sans Serif"/>
          <w:w w:val="105"/>
          <w:sz w:val="16"/>
        </w:rPr>
        <w:t>de</w:t>
      </w:r>
      <w:r>
        <w:rPr>
          <w:rFonts w:ascii="Microsoft Sans Serif" w:hAnsi="Microsoft Sans Serif"/>
          <w:spacing w:val="6"/>
          <w:w w:val="105"/>
          <w:sz w:val="16"/>
        </w:rPr>
        <w:t> </w:t>
      </w:r>
      <w:r>
        <w:rPr>
          <w:rFonts w:ascii="Microsoft Sans Serif" w:hAnsi="Microsoft Sans Serif"/>
          <w:w w:val="105"/>
          <w:sz w:val="16"/>
        </w:rPr>
        <w:t>baixa</w:t>
      </w:r>
      <w:r>
        <w:rPr>
          <w:rFonts w:ascii="Microsoft Sans Serif" w:hAnsi="Microsoft Sans Serif"/>
          <w:spacing w:val="5"/>
          <w:w w:val="105"/>
          <w:sz w:val="16"/>
        </w:rPr>
        <w:t> </w:t>
      </w:r>
      <w:r>
        <w:rPr>
          <w:rFonts w:ascii="Microsoft Sans Serif" w:hAnsi="Microsoft Sans Serif"/>
          <w:spacing w:val="-2"/>
          <w:w w:val="105"/>
          <w:sz w:val="16"/>
        </w:rPr>
        <w:t>densidade.</w:t>
      </w:r>
    </w:p>
    <w:p>
      <w:pPr>
        <w:pStyle w:val="BodyText"/>
        <w:spacing w:before="99"/>
        <w:ind w:left="0" w:firstLine="0"/>
        <w:jc w:val="left"/>
        <w:rPr>
          <w:rFonts w:ascii="Microsoft Sans Serif"/>
          <w:sz w:val="16"/>
        </w:rPr>
      </w:pPr>
    </w:p>
    <w:p>
      <w:pPr>
        <w:spacing w:line="280" w:lineRule="auto" w:before="0"/>
        <w:ind w:left="52" w:right="478" w:firstLine="300"/>
        <w:jc w:val="both"/>
        <w:rPr>
          <w:sz w:val="20"/>
        </w:rPr>
      </w:pPr>
      <w:r>
        <w:rPr>
          <w:sz w:val="20"/>
        </w:rPr>
        <w:t>Os familiares devem ser pesquisados, mesmo as crianças, para que se identifiquem precocemente os indivíduos sob risco de desenvolvimento de aterosclerose prematura. Os pacientes afetados devem ser rigorosamente acompanhados e medidas não farmacológicas, bem como a instituição de tratamento hipolipemiante, devem ser observadas individualmente. Diretriz nacional recente orienta a abordagem diagnóstica e terapêutica nas diversas formas de HF.</w:t>
      </w:r>
      <w:r>
        <w:rPr>
          <w:sz w:val="20"/>
          <w:vertAlign w:val="superscript"/>
        </w:rPr>
        <w:t>8</w:t>
      </w:r>
    </w:p>
    <w:p>
      <w:pPr>
        <w:spacing w:after="0" w:line="280" w:lineRule="auto"/>
        <w:jc w:val="both"/>
        <w:rPr>
          <w:sz w:val="20"/>
        </w:rPr>
        <w:sectPr>
          <w:pgSz w:w="11900" w:h="16840"/>
          <w:pgMar w:top="220" w:bottom="0" w:left="566" w:right="141"/>
        </w:sectPr>
      </w:pPr>
    </w:p>
    <w:p>
      <w:pPr>
        <w:spacing w:before="71"/>
        <w:ind w:left="52" w:right="0" w:firstLine="0"/>
        <w:jc w:val="left"/>
        <w:rPr>
          <w:rFonts w:ascii="Arial" w:hAnsi="Arial"/>
          <w:b/>
          <w:i/>
          <w:sz w:val="24"/>
        </w:rPr>
      </w:pPr>
      <w:r>
        <w:rPr>
          <w:rFonts w:ascii="Arial" w:hAnsi="Arial"/>
          <w:b/>
          <w:i/>
          <w:color w:val="242B67"/>
          <w:sz w:val="24"/>
        </w:rPr>
        <w:t>Polimorfismos</w:t>
      </w:r>
      <w:r>
        <w:rPr>
          <w:rFonts w:ascii="Arial" w:hAnsi="Arial"/>
          <w:b/>
          <w:i/>
          <w:color w:val="242B67"/>
          <w:spacing w:val="25"/>
          <w:sz w:val="24"/>
        </w:rPr>
        <w:t> </w:t>
      </w:r>
      <w:r>
        <w:rPr>
          <w:rFonts w:ascii="Arial" w:hAnsi="Arial"/>
          <w:b/>
          <w:i/>
          <w:color w:val="242B67"/>
          <w:sz w:val="24"/>
        </w:rPr>
        <w:t>da</w:t>
      </w:r>
      <w:r>
        <w:rPr>
          <w:rFonts w:ascii="Arial" w:hAnsi="Arial"/>
          <w:b/>
          <w:i/>
          <w:color w:val="242B67"/>
          <w:spacing w:val="26"/>
          <w:sz w:val="24"/>
        </w:rPr>
        <w:t> </w:t>
      </w:r>
      <w:r>
        <w:rPr>
          <w:rFonts w:ascii="Arial" w:hAnsi="Arial"/>
          <w:b/>
          <w:i/>
          <w:color w:val="242B67"/>
          <w:sz w:val="24"/>
        </w:rPr>
        <w:t>apolipoproteína</w:t>
      </w:r>
      <w:r>
        <w:rPr>
          <w:rFonts w:ascii="Arial" w:hAnsi="Arial"/>
          <w:b/>
          <w:i/>
          <w:color w:val="242B67"/>
          <w:spacing w:val="26"/>
          <w:sz w:val="24"/>
        </w:rPr>
        <w:t> </w:t>
      </w:r>
      <w:r>
        <w:rPr>
          <w:rFonts w:ascii="Arial" w:hAnsi="Arial"/>
          <w:b/>
          <w:i/>
          <w:color w:val="242B67"/>
          <w:spacing w:val="-10"/>
          <w:sz w:val="24"/>
        </w:rPr>
        <w:t>E</w:t>
      </w:r>
    </w:p>
    <w:p>
      <w:pPr>
        <w:spacing w:line="278" w:lineRule="auto" w:before="110"/>
        <w:ind w:left="52" w:right="475" w:firstLine="300"/>
        <w:jc w:val="both"/>
        <w:rPr>
          <w:sz w:val="20"/>
        </w:rPr>
      </w:pPr>
      <w:r>
        <w:rPr>
          <w:sz w:val="20"/>
        </w:rPr>
        <w:t>Constituinte das partículas ricas em triglicerídios, a Apo E modula o seu catabolismo e o reconhecimento pelo receptor B/E nos tecidos. Também</w:t>
      </w:r>
      <w:r>
        <w:rPr>
          <w:spacing w:val="-2"/>
          <w:sz w:val="20"/>
        </w:rPr>
        <w:t> </w:t>
      </w:r>
      <w:r>
        <w:rPr>
          <w:sz w:val="20"/>
        </w:rPr>
        <w:t>está</w:t>
      </w:r>
      <w:r>
        <w:rPr>
          <w:spacing w:val="-4"/>
          <w:sz w:val="20"/>
        </w:rPr>
        <w:t> </w:t>
      </w:r>
      <w:r>
        <w:rPr>
          <w:sz w:val="20"/>
        </w:rPr>
        <w:t>presente</w:t>
      </w:r>
      <w:r>
        <w:rPr>
          <w:spacing w:val="-4"/>
          <w:sz w:val="20"/>
        </w:rPr>
        <w:t> </w:t>
      </w:r>
      <w:r>
        <w:rPr>
          <w:sz w:val="20"/>
        </w:rPr>
        <w:t>na</w:t>
      </w:r>
      <w:r>
        <w:rPr>
          <w:spacing w:val="-4"/>
          <w:sz w:val="20"/>
        </w:rPr>
        <w:t> </w:t>
      </w:r>
      <w:r>
        <w:rPr>
          <w:sz w:val="20"/>
        </w:rPr>
        <w:t>lipoproteína</w:t>
      </w:r>
      <w:r>
        <w:rPr>
          <w:spacing w:val="-4"/>
          <w:sz w:val="20"/>
        </w:rPr>
        <w:t> </w:t>
      </w:r>
      <w:r>
        <w:rPr>
          <w:sz w:val="20"/>
        </w:rPr>
        <w:t>de</w:t>
      </w:r>
      <w:r>
        <w:rPr>
          <w:spacing w:val="-4"/>
          <w:sz w:val="20"/>
        </w:rPr>
        <w:t> </w:t>
      </w:r>
      <w:r>
        <w:rPr>
          <w:sz w:val="20"/>
        </w:rPr>
        <w:t>alta</w:t>
      </w:r>
      <w:r>
        <w:rPr>
          <w:spacing w:val="-4"/>
          <w:sz w:val="20"/>
        </w:rPr>
        <w:t> </w:t>
      </w:r>
      <w:r>
        <w:rPr>
          <w:sz w:val="20"/>
        </w:rPr>
        <w:t>densidade</w:t>
      </w:r>
      <w:r>
        <w:rPr>
          <w:spacing w:val="-4"/>
          <w:sz w:val="20"/>
        </w:rPr>
        <w:t> </w:t>
      </w:r>
      <w:r>
        <w:rPr>
          <w:sz w:val="20"/>
        </w:rPr>
        <w:t>(HDL, do</w:t>
      </w:r>
      <w:r>
        <w:rPr>
          <w:spacing w:val="-2"/>
          <w:sz w:val="20"/>
        </w:rPr>
        <w:t> </w:t>
      </w:r>
      <w:r>
        <w:rPr>
          <w:sz w:val="20"/>
        </w:rPr>
        <w:t>inglês, </w:t>
      </w:r>
      <w:r>
        <w:rPr>
          <w:i/>
          <w:sz w:val="20"/>
        </w:rPr>
        <w:t>high-density</w:t>
      </w:r>
      <w:r>
        <w:rPr>
          <w:i/>
          <w:spacing w:val="-7"/>
          <w:sz w:val="20"/>
        </w:rPr>
        <w:t> </w:t>
      </w:r>
      <w:r>
        <w:rPr>
          <w:i/>
          <w:sz w:val="20"/>
        </w:rPr>
        <w:t>lipoprotein</w:t>
      </w:r>
      <w:r>
        <w:rPr>
          <w:sz w:val="20"/>
        </w:rPr>
        <w:t>). Três isoformas (e2, e3 e e4)</w:t>
      </w:r>
      <w:r>
        <w:rPr>
          <w:spacing w:val="-1"/>
          <w:sz w:val="20"/>
        </w:rPr>
        <w:t> </w:t>
      </w:r>
      <w:r>
        <w:rPr>
          <w:sz w:val="20"/>
        </w:rPr>
        <w:t>da</w:t>
      </w:r>
      <w:r>
        <w:rPr>
          <w:spacing w:val="-9"/>
          <w:sz w:val="20"/>
        </w:rPr>
        <w:t> </w:t>
      </w:r>
      <w:r>
        <w:rPr>
          <w:sz w:val="20"/>
        </w:rPr>
        <w:t>Apo</w:t>
      </w:r>
      <w:r>
        <w:rPr>
          <w:spacing w:val="-6"/>
          <w:sz w:val="20"/>
        </w:rPr>
        <w:t> </w:t>
      </w:r>
      <w:r>
        <w:rPr>
          <w:sz w:val="20"/>
        </w:rPr>
        <w:t>E</w:t>
      </w:r>
      <w:r>
        <w:rPr>
          <w:spacing w:val="-1"/>
          <w:sz w:val="20"/>
        </w:rPr>
        <w:t> </w:t>
      </w:r>
      <w:r>
        <w:rPr>
          <w:sz w:val="20"/>
        </w:rPr>
        <w:t>diferem</w:t>
      </w:r>
      <w:r>
        <w:rPr>
          <w:spacing w:val="-6"/>
          <w:sz w:val="20"/>
        </w:rPr>
        <w:t> </w:t>
      </w:r>
      <w:r>
        <w:rPr>
          <w:sz w:val="20"/>
        </w:rPr>
        <w:t>no</w:t>
      </w:r>
      <w:r>
        <w:rPr>
          <w:spacing w:val="-6"/>
          <w:sz w:val="20"/>
        </w:rPr>
        <w:t> </w:t>
      </w:r>
      <w:r>
        <w:rPr>
          <w:sz w:val="20"/>
        </w:rPr>
        <w:t>conteúdo</w:t>
      </w:r>
      <w:r>
        <w:rPr>
          <w:spacing w:val="-6"/>
          <w:sz w:val="20"/>
        </w:rPr>
        <w:t> </w:t>
      </w:r>
      <w:r>
        <w:rPr>
          <w:sz w:val="20"/>
        </w:rPr>
        <w:t>de</w:t>
      </w:r>
      <w:r>
        <w:rPr>
          <w:spacing w:val="-9"/>
          <w:sz w:val="20"/>
        </w:rPr>
        <w:t> </w:t>
      </w:r>
      <w:r>
        <w:rPr>
          <w:sz w:val="20"/>
        </w:rPr>
        <w:t>cisteínas ou</w:t>
      </w:r>
      <w:r>
        <w:rPr>
          <w:spacing w:val="-6"/>
          <w:sz w:val="20"/>
        </w:rPr>
        <w:t> </w:t>
      </w:r>
      <w:r>
        <w:rPr>
          <w:sz w:val="20"/>
        </w:rPr>
        <w:t>argininas no</w:t>
      </w:r>
      <w:r>
        <w:rPr>
          <w:spacing w:val="-6"/>
          <w:sz w:val="20"/>
        </w:rPr>
        <w:t> </w:t>
      </w:r>
      <w:r>
        <w:rPr>
          <w:sz w:val="20"/>
        </w:rPr>
        <w:t>domínio</w:t>
      </w:r>
      <w:r>
        <w:rPr>
          <w:spacing w:val="-6"/>
          <w:sz w:val="20"/>
        </w:rPr>
        <w:t> </w:t>
      </w:r>
      <w:r>
        <w:rPr>
          <w:sz w:val="20"/>
        </w:rPr>
        <w:t>de</w:t>
      </w:r>
      <w:r>
        <w:rPr>
          <w:spacing w:val="-9"/>
          <w:sz w:val="20"/>
        </w:rPr>
        <w:t> </w:t>
      </w:r>
      <w:r>
        <w:rPr>
          <w:sz w:val="20"/>
        </w:rPr>
        <w:t>ligação</w:t>
      </w:r>
      <w:r>
        <w:rPr>
          <w:spacing w:val="-6"/>
          <w:sz w:val="20"/>
        </w:rPr>
        <w:t> </w:t>
      </w:r>
      <w:r>
        <w:rPr>
          <w:sz w:val="20"/>
        </w:rPr>
        <w:t>ao</w:t>
      </w:r>
      <w:r>
        <w:rPr>
          <w:spacing w:val="-6"/>
          <w:sz w:val="20"/>
        </w:rPr>
        <w:t> </w:t>
      </w:r>
      <w:r>
        <w:rPr>
          <w:sz w:val="20"/>
        </w:rPr>
        <w:t>receptor</w:t>
      </w:r>
      <w:r>
        <w:rPr>
          <w:spacing w:val="-1"/>
          <w:sz w:val="20"/>
        </w:rPr>
        <w:t> </w:t>
      </w:r>
      <w:r>
        <w:rPr>
          <w:sz w:val="20"/>
        </w:rPr>
        <w:t>B/E, com</w:t>
      </w:r>
      <w:r>
        <w:rPr>
          <w:spacing w:val="-6"/>
          <w:sz w:val="20"/>
        </w:rPr>
        <w:t> </w:t>
      </w:r>
      <w:r>
        <w:rPr>
          <w:sz w:val="20"/>
        </w:rPr>
        <w:t>diferentes graus de</w:t>
      </w:r>
      <w:r>
        <w:rPr>
          <w:spacing w:val="-9"/>
          <w:sz w:val="20"/>
        </w:rPr>
        <w:t> </w:t>
      </w:r>
      <w:r>
        <w:rPr>
          <w:sz w:val="20"/>
        </w:rPr>
        <w:t>afinidade pelo</w:t>
      </w:r>
      <w:r>
        <w:rPr>
          <w:spacing w:val="-3"/>
          <w:sz w:val="20"/>
        </w:rPr>
        <w:t> </w:t>
      </w:r>
      <w:r>
        <w:rPr>
          <w:sz w:val="20"/>
        </w:rPr>
        <w:t>receptor, sendo</w:t>
      </w:r>
      <w:r>
        <w:rPr>
          <w:spacing w:val="-3"/>
          <w:sz w:val="20"/>
        </w:rPr>
        <w:t> </w:t>
      </w:r>
      <w:r>
        <w:rPr>
          <w:sz w:val="20"/>
        </w:rPr>
        <w:t>a</w:t>
      </w:r>
      <w:r>
        <w:rPr>
          <w:spacing w:val="-6"/>
          <w:sz w:val="20"/>
        </w:rPr>
        <w:t> </w:t>
      </w:r>
      <w:r>
        <w:rPr>
          <w:sz w:val="20"/>
        </w:rPr>
        <w:t>isoforma</w:t>
      </w:r>
      <w:r>
        <w:rPr>
          <w:spacing w:val="-6"/>
          <w:sz w:val="20"/>
        </w:rPr>
        <w:t> </w:t>
      </w:r>
      <w:r>
        <w:rPr>
          <w:sz w:val="20"/>
        </w:rPr>
        <w:t>e4</w:t>
      </w:r>
      <w:r>
        <w:rPr>
          <w:spacing w:val="-3"/>
          <w:sz w:val="20"/>
        </w:rPr>
        <w:t> </w:t>
      </w:r>
      <w:r>
        <w:rPr>
          <w:sz w:val="20"/>
        </w:rPr>
        <w:t>a</w:t>
      </w:r>
      <w:r>
        <w:rPr>
          <w:spacing w:val="-6"/>
          <w:sz w:val="20"/>
        </w:rPr>
        <w:t> </w:t>
      </w:r>
      <w:r>
        <w:rPr>
          <w:sz w:val="20"/>
        </w:rPr>
        <w:t>de</w:t>
      </w:r>
      <w:r>
        <w:rPr>
          <w:spacing w:val="-6"/>
          <w:sz w:val="20"/>
        </w:rPr>
        <w:t> </w:t>
      </w:r>
      <w:r>
        <w:rPr>
          <w:sz w:val="20"/>
        </w:rPr>
        <w:t>maior afinidade. Não</w:t>
      </w:r>
      <w:r>
        <w:rPr>
          <w:spacing w:val="-3"/>
          <w:sz w:val="20"/>
        </w:rPr>
        <w:t> </w:t>
      </w:r>
      <w:r>
        <w:rPr>
          <w:sz w:val="20"/>
        </w:rPr>
        <w:t>apenas os níveis de</w:t>
      </w:r>
      <w:r>
        <w:rPr>
          <w:spacing w:val="-6"/>
          <w:sz w:val="20"/>
        </w:rPr>
        <w:t> </w:t>
      </w:r>
      <w:r>
        <w:rPr>
          <w:sz w:val="20"/>
        </w:rPr>
        <w:t>LDL-colesterol</w:t>
      </w:r>
      <w:r>
        <w:rPr>
          <w:spacing w:val="-1"/>
          <w:sz w:val="20"/>
        </w:rPr>
        <w:t> </w:t>
      </w:r>
      <w:r>
        <w:rPr>
          <w:sz w:val="20"/>
        </w:rPr>
        <w:t>são</w:t>
      </w:r>
      <w:r>
        <w:rPr>
          <w:spacing w:val="-3"/>
          <w:sz w:val="20"/>
        </w:rPr>
        <w:t> </w:t>
      </w:r>
      <w:r>
        <w:rPr>
          <w:sz w:val="20"/>
        </w:rPr>
        <w:t>maiores nos indivíduos e4, mas também o risco coronariano é</w:t>
      </w:r>
      <w:r>
        <w:rPr>
          <w:spacing w:val="-2"/>
          <w:sz w:val="20"/>
        </w:rPr>
        <w:t> </w:t>
      </w:r>
      <w:r>
        <w:rPr>
          <w:sz w:val="20"/>
        </w:rPr>
        <w:t>40% maior do que</w:t>
      </w:r>
      <w:r>
        <w:rPr>
          <w:spacing w:val="-2"/>
          <w:sz w:val="20"/>
        </w:rPr>
        <w:t> </w:t>
      </w:r>
      <w:r>
        <w:rPr>
          <w:sz w:val="20"/>
        </w:rPr>
        <w:t>o observado nas outras isoformas.</w:t>
      </w:r>
      <w:r>
        <w:rPr>
          <w:sz w:val="20"/>
          <w:vertAlign w:val="superscript"/>
        </w:rPr>
        <w:t>4</w:t>
      </w:r>
      <w:r>
        <w:rPr>
          <w:sz w:val="20"/>
          <w:vertAlign w:val="baseline"/>
        </w:rPr>
        <w:t> Por outro lado, os homozigotos para</w:t>
      </w:r>
      <w:r>
        <w:rPr>
          <w:spacing w:val="-1"/>
          <w:sz w:val="20"/>
          <w:vertAlign w:val="baseline"/>
        </w:rPr>
        <w:t> </w:t>
      </w:r>
      <w:r>
        <w:rPr>
          <w:sz w:val="20"/>
          <w:vertAlign w:val="baseline"/>
        </w:rPr>
        <w:t>o alelo E2 podem</w:t>
      </w:r>
      <w:r>
        <w:rPr>
          <w:spacing w:val="-7"/>
          <w:sz w:val="20"/>
          <w:vertAlign w:val="baseline"/>
        </w:rPr>
        <w:t> </w:t>
      </w:r>
      <w:r>
        <w:rPr>
          <w:sz w:val="20"/>
          <w:vertAlign w:val="baseline"/>
        </w:rPr>
        <w:t>desenvolver</w:t>
      </w:r>
      <w:r>
        <w:rPr>
          <w:spacing w:val="-3"/>
          <w:sz w:val="20"/>
          <w:vertAlign w:val="baseline"/>
        </w:rPr>
        <w:t> </w:t>
      </w:r>
      <w:r>
        <w:rPr>
          <w:sz w:val="20"/>
          <w:vertAlign w:val="baseline"/>
        </w:rPr>
        <w:t>um</w:t>
      </w:r>
      <w:r>
        <w:rPr>
          <w:spacing w:val="-7"/>
          <w:sz w:val="20"/>
          <w:vertAlign w:val="baseline"/>
        </w:rPr>
        <w:t> </w:t>
      </w:r>
      <w:r>
        <w:rPr>
          <w:sz w:val="20"/>
          <w:vertAlign w:val="baseline"/>
        </w:rPr>
        <w:t>distúrbio</w:t>
      </w:r>
      <w:r>
        <w:rPr>
          <w:spacing w:val="-7"/>
          <w:sz w:val="20"/>
          <w:vertAlign w:val="baseline"/>
        </w:rPr>
        <w:t> </w:t>
      </w:r>
      <w:r>
        <w:rPr>
          <w:sz w:val="20"/>
          <w:vertAlign w:val="baseline"/>
        </w:rPr>
        <w:t>chamado</w:t>
      </w:r>
      <w:r>
        <w:rPr>
          <w:spacing w:val="-7"/>
          <w:sz w:val="20"/>
          <w:vertAlign w:val="baseline"/>
        </w:rPr>
        <w:t> </w:t>
      </w:r>
      <w:r>
        <w:rPr>
          <w:sz w:val="20"/>
          <w:vertAlign w:val="baseline"/>
        </w:rPr>
        <w:t>disbetalipoproteinemia,</w:t>
      </w:r>
      <w:r>
        <w:rPr>
          <w:spacing w:val="-1"/>
          <w:sz w:val="20"/>
          <w:vertAlign w:val="baseline"/>
        </w:rPr>
        <w:t> </w:t>
      </w:r>
      <w:r>
        <w:rPr>
          <w:sz w:val="20"/>
          <w:vertAlign w:val="baseline"/>
        </w:rPr>
        <w:t>em</w:t>
      </w:r>
      <w:r>
        <w:rPr>
          <w:spacing w:val="-7"/>
          <w:sz w:val="20"/>
          <w:vertAlign w:val="baseline"/>
        </w:rPr>
        <w:t> </w:t>
      </w:r>
      <w:r>
        <w:rPr>
          <w:sz w:val="20"/>
          <w:vertAlign w:val="baseline"/>
        </w:rPr>
        <w:t>que</w:t>
      </w:r>
      <w:r>
        <w:rPr>
          <w:spacing w:val="-9"/>
          <w:sz w:val="20"/>
          <w:vertAlign w:val="baseline"/>
        </w:rPr>
        <w:t> </w:t>
      </w:r>
      <w:r>
        <w:rPr>
          <w:sz w:val="20"/>
          <w:vertAlign w:val="baseline"/>
        </w:rPr>
        <w:t>há</w:t>
      </w:r>
      <w:r>
        <w:rPr>
          <w:spacing w:val="-9"/>
          <w:sz w:val="20"/>
          <w:vertAlign w:val="baseline"/>
        </w:rPr>
        <w:t> </w:t>
      </w:r>
      <w:r>
        <w:rPr>
          <w:sz w:val="20"/>
          <w:vertAlign w:val="baseline"/>
        </w:rPr>
        <w:t>um</w:t>
      </w:r>
      <w:r>
        <w:rPr>
          <w:spacing w:val="-7"/>
          <w:sz w:val="20"/>
          <w:vertAlign w:val="baseline"/>
        </w:rPr>
        <w:t> </w:t>
      </w:r>
      <w:r>
        <w:rPr>
          <w:sz w:val="20"/>
          <w:vertAlign w:val="baseline"/>
        </w:rPr>
        <w:t>acúmulo</w:t>
      </w:r>
      <w:r>
        <w:rPr>
          <w:spacing w:val="-7"/>
          <w:sz w:val="20"/>
          <w:vertAlign w:val="baseline"/>
        </w:rPr>
        <w:t> </w:t>
      </w:r>
      <w:r>
        <w:rPr>
          <w:sz w:val="20"/>
          <w:vertAlign w:val="baseline"/>
        </w:rPr>
        <w:t>de</w:t>
      </w:r>
      <w:r>
        <w:rPr>
          <w:spacing w:val="-9"/>
          <w:sz w:val="20"/>
          <w:vertAlign w:val="baseline"/>
        </w:rPr>
        <w:t> </w:t>
      </w:r>
      <w:r>
        <w:rPr>
          <w:sz w:val="20"/>
          <w:vertAlign w:val="baseline"/>
        </w:rPr>
        <w:t>partículas</w:t>
      </w:r>
      <w:r>
        <w:rPr>
          <w:spacing w:val="-1"/>
          <w:sz w:val="20"/>
          <w:vertAlign w:val="baseline"/>
        </w:rPr>
        <w:t> </w:t>
      </w:r>
      <w:r>
        <w:rPr>
          <w:sz w:val="20"/>
          <w:vertAlign w:val="baseline"/>
        </w:rPr>
        <w:t>remanescentes</w:t>
      </w:r>
      <w:r>
        <w:rPr>
          <w:spacing w:val="-1"/>
          <w:sz w:val="20"/>
          <w:vertAlign w:val="baseline"/>
        </w:rPr>
        <w:t> </w:t>
      </w:r>
      <w:r>
        <w:rPr>
          <w:sz w:val="20"/>
          <w:vertAlign w:val="baseline"/>
        </w:rPr>
        <w:t>resultando</w:t>
      </w:r>
      <w:r>
        <w:rPr>
          <w:spacing w:val="-7"/>
          <w:sz w:val="20"/>
          <w:vertAlign w:val="baseline"/>
        </w:rPr>
        <w:t> </w:t>
      </w:r>
      <w:r>
        <w:rPr>
          <w:sz w:val="20"/>
          <w:vertAlign w:val="baseline"/>
        </w:rPr>
        <w:t>em aterosclerose</w:t>
      </w:r>
      <w:r>
        <w:rPr>
          <w:spacing w:val="-4"/>
          <w:sz w:val="20"/>
          <w:vertAlign w:val="baseline"/>
        </w:rPr>
        <w:t> </w:t>
      </w:r>
      <w:r>
        <w:rPr>
          <w:sz w:val="20"/>
          <w:vertAlign w:val="baseline"/>
        </w:rPr>
        <w:t>prematura, embora</w:t>
      </w:r>
      <w:r>
        <w:rPr>
          <w:spacing w:val="-4"/>
          <w:sz w:val="20"/>
          <w:vertAlign w:val="baseline"/>
        </w:rPr>
        <w:t> </w:t>
      </w:r>
      <w:r>
        <w:rPr>
          <w:sz w:val="20"/>
          <w:vertAlign w:val="baseline"/>
        </w:rPr>
        <w:t>defeitos genéticos e</w:t>
      </w:r>
      <w:r>
        <w:rPr>
          <w:spacing w:val="-4"/>
          <w:sz w:val="20"/>
          <w:vertAlign w:val="baseline"/>
        </w:rPr>
        <w:t> </w:t>
      </w:r>
      <w:r>
        <w:rPr>
          <w:sz w:val="20"/>
          <w:vertAlign w:val="baseline"/>
        </w:rPr>
        <w:t>interações ambientais sejam</w:t>
      </w:r>
      <w:r>
        <w:rPr>
          <w:spacing w:val="-2"/>
          <w:sz w:val="20"/>
          <w:vertAlign w:val="baseline"/>
        </w:rPr>
        <w:t> </w:t>
      </w:r>
      <w:r>
        <w:rPr>
          <w:sz w:val="20"/>
          <w:vertAlign w:val="baseline"/>
        </w:rPr>
        <w:t>essenciais para</w:t>
      </w:r>
      <w:r>
        <w:rPr>
          <w:spacing w:val="-4"/>
          <w:sz w:val="20"/>
          <w:vertAlign w:val="baseline"/>
        </w:rPr>
        <w:t> </w:t>
      </w:r>
      <w:r>
        <w:rPr>
          <w:sz w:val="20"/>
          <w:vertAlign w:val="baseline"/>
        </w:rPr>
        <w:t>sua</w:t>
      </w:r>
      <w:r>
        <w:rPr>
          <w:spacing w:val="-4"/>
          <w:sz w:val="20"/>
          <w:vertAlign w:val="baseline"/>
        </w:rPr>
        <w:t> </w:t>
      </w:r>
      <w:r>
        <w:rPr>
          <w:sz w:val="20"/>
          <w:vertAlign w:val="baseline"/>
        </w:rPr>
        <w:t>plena</w:t>
      </w:r>
      <w:r>
        <w:rPr>
          <w:spacing w:val="-4"/>
          <w:sz w:val="20"/>
          <w:vertAlign w:val="baseline"/>
        </w:rPr>
        <w:t> </w:t>
      </w:r>
      <w:r>
        <w:rPr>
          <w:sz w:val="20"/>
          <w:vertAlign w:val="baseline"/>
        </w:rPr>
        <w:t>expressão</w:t>
      </w:r>
      <w:r>
        <w:rPr>
          <w:spacing w:val="-2"/>
          <w:sz w:val="20"/>
          <w:vertAlign w:val="baseline"/>
        </w:rPr>
        <w:t> </w:t>
      </w:r>
      <w:r>
        <w:rPr>
          <w:sz w:val="20"/>
          <w:vertAlign w:val="baseline"/>
        </w:rPr>
        <w:t>fenotípica.</w:t>
      </w:r>
    </w:p>
    <w:p>
      <w:pPr>
        <w:pStyle w:val="BodyText"/>
        <w:spacing w:before="20"/>
        <w:ind w:left="0" w:firstLine="0"/>
        <w:jc w:val="left"/>
        <w:rPr>
          <w:sz w:val="20"/>
        </w:rPr>
      </w:pPr>
    </w:p>
    <w:p>
      <w:pPr>
        <w:spacing w:before="1"/>
        <w:ind w:left="52" w:right="0" w:firstLine="0"/>
        <w:jc w:val="left"/>
        <w:rPr>
          <w:rFonts w:ascii="Arial" w:hAnsi="Arial"/>
          <w:b/>
          <w:i/>
          <w:sz w:val="24"/>
        </w:rPr>
      </w:pPr>
      <w:r>
        <w:rPr>
          <w:rFonts w:ascii="Arial" w:hAnsi="Arial"/>
          <w:b/>
          <w:i/>
          <w:color w:val="242B67"/>
          <w:sz w:val="24"/>
        </w:rPr>
        <w:t>Polimorfismos</w:t>
      </w:r>
      <w:r>
        <w:rPr>
          <w:rFonts w:ascii="Arial" w:hAnsi="Arial"/>
          <w:b/>
          <w:i/>
          <w:color w:val="242B67"/>
          <w:spacing w:val="25"/>
          <w:sz w:val="24"/>
        </w:rPr>
        <w:t> </w:t>
      </w:r>
      <w:r>
        <w:rPr>
          <w:rFonts w:ascii="Arial" w:hAnsi="Arial"/>
          <w:b/>
          <w:i/>
          <w:color w:val="242B67"/>
          <w:sz w:val="24"/>
        </w:rPr>
        <w:t>da</w:t>
      </w:r>
      <w:r>
        <w:rPr>
          <w:rFonts w:ascii="Arial" w:hAnsi="Arial"/>
          <w:b/>
          <w:i/>
          <w:color w:val="242B67"/>
          <w:spacing w:val="26"/>
          <w:sz w:val="24"/>
        </w:rPr>
        <w:t> </w:t>
      </w:r>
      <w:r>
        <w:rPr>
          <w:rFonts w:ascii="Arial" w:hAnsi="Arial"/>
          <w:b/>
          <w:i/>
          <w:color w:val="242B67"/>
          <w:sz w:val="24"/>
        </w:rPr>
        <w:t>apolipoproteína</w:t>
      </w:r>
      <w:r>
        <w:rPr>
          <w:rFonts w:ascii="Arial" w:hAnsi="Arial"/>
          <w:b/>
          <w:i/>
          <w:color w:val="242B67"/>
          <w:spacing w:val="26"/>
          <w:sz w:val="24"/>
        </w:rPr>
        <w:t> </w:t>
      </w:r>
      <w:r>
        <w:rPr>
          <w:rFonts w:ascii="Arial" w:hAnsi="Arial"/>
          <w:b/>
          <w:i/>
          <w:color w:val="242B67"/>
          <w:spacing w:val="-5"/>
          <w:sz w:val="24"/>
        </w:rPr>
        <w:t>(a)</w:t>
      </w:r>
    </w:p>
    <w:p>
      <w:pPr>
        <w:spacing w:line="280" w:lineRule="auto" w:before="110"/>
        <w:ind w:left="52" w:right="475" w:firstLine="300"/>
        <w:jc w:val="both"/>
        <w:rPr>
          <w:sz w:val="20"/>
        </w:rPr>
      </w:pPr>
      <w:r>
        <w:rPr>
          <w:sz w:val="20"/>
        </w:rPr>
        <w:t>Os níveis de lipoproteína (a) (Lp [a]) são determinados geneticamente e variam amplamente na população (de menos de 0,1 a mais de 200 mg/d</w:t>
      </w:r>
      <w:r>
        <w:rPr>
          <w:i/>
          <w:sz w:val="20"/>
        </w:rPr>
        <w:t>ℓ</w:t>
      </w:r>
      <w:r>
        <w:rPr>
          <w:sz w:val="20"/>
        </w:rPr>
        <w:t>). Estudos epidemiológicos evidenciaram que níveis acima de 20 mg/d</w:t>
      </w:r>
      <w:r>
        <w:rPr>
          <w:i/>
          <w:sz w:val="20"/>
        </w:rPr>
        <w:t>ℓ </w:t>
      </w:r>
      <w:r>
        <w:rPr>
          <w:sz w:val="20"/>
        </w:rPr>
        <w:t>associavam-se a infarto do miocárdio, acidente vascular cerebral e insuficiência vascular periférica.</w:t>
      </w:r>
      <w:r>
        <w:rPr>
          <w:sz w:val="20"/>
          <w:vertAlign w:val="superscript"/>
        </w:rPr>
        <w:t>9</w:t>
      </w:r>
      <w:r>
        <w:rPr>
          <w:sz w:val="20"/>
          <w:vertAlign w:val="baseline"/>
        </w:rPr>
        <w:t> O componente proteico da Lp (a) contém uma grande Apo (a), cuja função é desconhecida, mas guarda semelhança estrutural com o precursor do plasminogênio, sendo incapaz de degradar a fibrina, entretanto, compete com seu local de ligação. Os níveis de Lp (a) sérica guardam relação inversa com o tamanho da Apo (a), e indivíduos com isoformas de baixo peso molecular estão sujeitos a um risco maior de DAC,</w:t>
      </w:r>
      <w:r>
        <w:rPr>
          <w:sz w:val="20"/>
          <w:vertAlign w:val="superscript"/>
        </w:rPr>
        <w:t>10</w:t>
      </w:r>
      <w:r>
        <w:rPr>
          <w:sz w:val="20"/>
          <w:vertAlign w:val="baseline"/>
        </w:rPr>
        <w:t> embora aspectos étnicos estejam também relacionados com a patogenicidade da Lp(a).</w:t>
      </w:r>
    </w:p>
    <w:p>
      <w:pPr>
        <w:pStyle w:val="BodyText"/>
        <w:spacing w:before="18"/>
        <w:ind w:left="0" w:firstLine="0"/>
        <w:jc w:val="left"/>
        <w:rPr>
          <w:sz w:val="20"/>
        </w:rPr>
      </w:pPr>
    </w:p>
    <w:p>
      <w:pPr>
        <w:spacing w:before="1"/>
        <w:ind w:left="52" w:right="0" w:firstLine="0"/>
        <w:jc w:val="left"/>
        <w:rPr>
          <w:rFonts w:ascii="Arial" w:hAnsi="Arial"/>
          <w:b/>
          <w:i/>
          <w:sz w:val="24"/>
        </w:rPr>
      </w:pPr>
      <w:r>
        <w:rPr>
          <w:rFonts w:ascii="Arial" w:hAnsi="Arial"/>
          <w:b/>
          <w:i/>
          <w:color w:val="242B67"/>
          <w:sz w:val="24"/>
        </w:rPr>
        <w:t>Polimorfismos</w:t>
      </w:r>
      <w:r>
        <w:rPr>
          <w:rFonts w:ascii="Arial" w:hAnsi="Arial"/>
          <w:b/>
          <w:i/>
          <w:color w:val="242B67"/>
          <w:spacing w:val="23"/>
          <w:sz w:val="24"/>
        </w:rPr>
        <w:t> </w:t>
      </w:r>
      <w:r>
        <w:rPr>
          <w:rFonts w:ascii="Arial" w:hAnsi="Arial"/>
          <w:b/>
          <w:i/>
          <w:color w:val="242B67"/>
          <w:sz w:val="24"/>
        </w:rPr>
        <w:t>da</w:t>
      </w:r>
      <w:r>
        <w:rPr>
          <w:rFonts w:ascii="Arial" w:hAnsi="Arial"/>
          <w:b/>
          <w:i/>
          <w:color w:val="242B67"/>
          <w:spacing w:val="23"/>
          <w:sz w:val="24"/>
        </w:rPr>
        <w:t> </w:t>
      </w:r>
      <w:r>
        <w:rPr>
          <w:rFonts w:ascii="Arial" w:hAnsi="Arial"/>
          <w:b/>
          <w:i/>
          <w:color w:val="242B67"/>
          <w:sz w:val="24"/>
        </w:rPr>
        <w:t>lipoproteína</w:t>
      </w:r>
      <w:r>
        <w:rPr>
          <w:rFonts w:ascii="Arial" w:hAnsi="Arial"/>
          <w:b/>
          <w:i/>
          <w:color w:val="242B67"/>
          <w:spacing w:val="23"/>
          <w:sz w:val="24"/>
        </w:rPr>
        <w:t> </w:t>
      </w:r>
      <w:r>
        <w:rPr>
          <w:rFonts w:ascii="Arial" w:hAnsi="Arial"/>
          <w:b/>
          <w:i/>
          <w:color w:val="242B67"/>
          <w:spacing w:val="-2"/>
          <w:sz w:val="24"/>
        </w:rPr>
        <w:t>lipase</w:t>
      </w:r>
    </w:p>
    <w:p>
      <w:pPr>
        <w:spacing w:line="280" w:lineRule="auto" w:before="110"/>
        <w:ind w:left="52" w:right="475" w:firstLine="300"/>
        <w:jc w:val="both"/>
        <w:rPr>
          <w:sz w:val="20"/>
        </w:rPr>
      </w:pPr>
      <w:r>
        <w:rPr>
          <w:sz w:val="20"/>
        </w:rPr>
        <w:t>A lipoproteína lipase (LPL) é a principal enzima do catabolismo das lipoproteínas ricas em triglicerídios (quilomícrons e a VLDL), ligada</w:t>
      </w:r>
      <w:r>
        <w:rPr>
          <w:spacing w:val="-2"/>
          <w:sz w:val="20"/>
        </w:rPr>
        <w:t> </w:t>
      </w:r>
      <w:r>
        <w:rPr>
          <w:sz w:val="20"/>
        </w:rPr>
        <w:t>ao endotélio vascular. O</w:t>
      </w:r>
      <w:r>
        <w:rPr>
          <w:spacing w:val="-2"/>
          <w:sz w:val="20"/>
        </w:rPr>
        <w:t> </w:t>
      </w:r>
      <w:r>
        <w:rPr>
          <w:sz w:val="20"/>
        </w:rPr>
        <w:t>gene</w:t>
      </w:r>
      <w:r>
        <w:rPr>
          <w:spacing w:val="-2"/>
          <w:sz w:val="20"/>
        </w:rPr>
        <w:t> </w:t>
      </w:r>
      <w:r>
        <w:rPr>
          <w:sz w:val="20"/>
        </w:rPr>
        <w:t>da</w:t>
      </w:r>
      <w:r>
        <w:rPr>
          <w:spacing w:val="-2"/>
          <w:sz w:val="20"/>
        </w:rPr>
        <w:t> </w:t>
      </w:r>
      <w:r>
        <w:rPr>
          <w:sz w:val="20"/>
        </w:rPr>
        <w:t>LPL é</w:t>
      </w:r>
      <w:r>
        <w:rPr>
          <w:spacing w:val="-2"/>
          <w:sz w:val="20"/>
        </w:rPr>
        <w:t> </w:t>
      </w:r>
      <w:r>
        <w:rPr>
          <w:sz w:val="20"/>
        </w:rPr>
        <w:t>sede</w:t>
      </w:r>
      <w:r>
        <w:rPr>
          <w:spacing w:val="-2"/>
          <w:sz w:val="20"/>
        </w:rPr>
        <w:t> </w:t>
      </w:r>
      <w:r>
        <w:rPr>
          <w:sz w:val="20"/>
        </w:rPr>
        <w:t>de</w:t>
      </w:r>
      <w:r>
        <w:rPr>
          <w:spacing w:val="-2"/>
          <w:sz w:val="20"/>
        </w:rPr>
        <w:t> </w:t>
      </w:r>
      <w:r>
        <w:rPr>
          <w:sz w:val="20"/>
        </w:rPr>
        <w:t>muitas mutações. Um polimorfismo funcional, D9N, determina</w:t>
      </w:r>
      <w:r>
        <w:rPr>
          <w:spacing w:val="-2"/>
          <w:sz w:val="20"/>
        </w:rPr>
        <w:t> </w:t>
      </w:r>
      <w:r>
        <w:rPr>
          <w:sz w:val="20"/>
        </w:rPr>
        <w:t>59% de aumento de risco de DAC, além de aumentar os níveis de triglicerídios e diminuir os níveis de HDL-colesterol, de acordo com uma metanálise de 14 estudos.</w:t>
      </w:r>
      <w:r>
        <w:rPr>
          <w:sz w:val="20"/>
          <w:vertAlign w:val="superscript"/>
        </w:rPr>
        <w:t>11</w:t>
      </w:r>
      <w:r>
        <w:rPr>
          <w:sz w:val="20"/>
          <w:vertAlign w:val="baseline"/>
        </w:rPr>
        <w:t> Nosso grupo demonstrou a associação desse polimorfismo com o risco de infarto do miocárdio em diabéticos.</w:t>
      </w:r>
      <w:r>
        <w:rPr>
          <w:sz w:val="20"/>
          <w:vertAlign w:val="superscript"/>
        </w:rPr>
        <w:t>12</w:t>
      </w:r>
      <w:r>
        <w:rPr>
          <w:sz w:val="20"/>
          <w:vertAlign w:val="baseline"/>
        </w:rPr>
        <w:t> Foi</w:t>
      </w:r>
      <w:r>
        <w:rPr>
          <w:spacing w:val="-1"/>
          <w:sz w:val="20"/>
          <w:vertAlign w:val="baseline"/>
        </w:rPr>
        <w:t> </w:t>
      </w:r>
      <w:r>
        <w:rPr>
          <w:sz w:val="20"/>
          <w:vertAlign w:val="baseline"/>
        </w:rPr>
        <w:t>também</w:t>
      </w:r>
      <w:r>
        <w:rPr>
          <w:spacing w:val="-3"/>
          <w:sz w:val="20"/>
          <w:vertAlign w:val="baseline"/>
        </w:rPr>
        <w:t> </w:t>
      </w:r>
      <w:r>
        <w:rPr>
          <w:sz w:val="20"/>
          <w:vertAlign w:val="baseline"/>
        </w:rPr>
        <w:t>demonstrado</w:t>
      </w:r>
      <w:r>
        <w:rPr>
          <w:spacing w:val="-3"/>
          <w:sz w:val="20"/>
          <w:vertAlign w:val="baseline"/>
        </w:rPr>
        <w:t> </w:t>
      </w:r>
      <w:r>
        <w:rPr>
          <w:sz w:val="20"/>
          <w:vertAlign w:val="baseline"/>
        </w:rPr>
        <w:t>que</w:t>
      </w:r>
      <w:r>
        <w:rPr>
          <w:spacing w:val="-5"/>
          <w:sz w:val="20"/>
          <w:vertAlign w:val="baseline"/>
        </w:rPr>
        <w:t> </w:t>
      </w:r>
      <w:r>
        <w:rPr>
          <w:sz w:val="20"/>
          <w:vertAlign w:val="baseline"/>
        </w:rPr>
        <w:t>outros polimorfismos do</w:t>
      </w:r>
      <w:r>
        <w:rPr>
          <w:spacing w:val="-3"/>
          <w:sz w:val="20"/>
          <w:vertAlign w:val="baseline"/>
        </w:rPr>
        <w:t> </w:t>
      </w:r>
      <w:r>
        <w:rPr>
          <w:sz w:val="20"/>
          <w:vertAlign w:val="baseline"/>
        </w:rPr>
        <w:t>gene</w:t>
      </w:r>
      <w:r>
        <w:rPr>
          <w:spacing w:val="-5"/>
          <w:sz w:val="20"/>
          <w:vertAlign w:val="baseline"/>
        </w:rPr>
        <w:t> </w:t>
      </w:r>
      <w:r>
        <w:rPr>
          <w:sz w:val="20"/>
          <w:vertAlign w:val="baseline"/>
        </w:rPr>
        <w:t>da</w:t>
      </w:r>
      <w:r>
        <w:rPr>
          <w:spacing w:val="-5"/>
          <w:sz w:val="20"/>
          <w:vertAlign w:val="baseline"/>
        </w:rPr>
        <w:t> </w:t>
      </w:r>
      <w:r>
        <w:rPr>
          <w:sz w:val="20"/>
          <w:vertAlign w:val="baseline"/>
        </w:rPr>
        <w:t>LPL estão</w:t>
      </w:r>
      <w:r>
        <w:rPr>
          <w:spacing w:val="-3"/>
          <w:sz w:val="20"/>
          <w:vertAlign w:val="baseline"/>
        </w:rPr>
        <w:t> </w:t>
      </w:r>
      <w:r>
        <w:rPr>
          <w:sz w:val="20"/>
          <w:vertAlign w:val="baseline"/>
        </w:rPr>
        <w:t>intimamente</w:t>
      </w:r>
      <w:r>
        <w:rPr>
          <w:spacing w:val="-5"/>
          <w:sz w:val="20"/>
          <w:vertAlign w:val="baseline"/>
        </w:rPr>
        <w:t> </w:t>
      </w:r>
      <w:r>
        <w:rPr>
          <w:sz w:val="20"/>
          <w:vertAlign w:val="baseline"/>
        </w:rPr>
        <w:t>relacionados com</w:t>
      </w:r>
      <w:r>
        <w:rPr>
          <w:spacing w:val="-3"/>
          <w:sz w:val="20"/>
          <w:vertAlign w:val="baseline"/>
        </w:rPr>
        <w:t> </w:t>
      </w:r>
      <w:r>
        <w:rPr>
          <w:sz w:val="20"/>
          <w:vertAlign w:val="baseline"/>
        </w:rPr>
        <w:t>a</w:t>
      </w:r>
      <w:r>
        <w:rPr>
          <w:spacing w:val="-5"/>
          <w:sz w:val="20"/>
          <w:vertAlign w:val="baseline"/>
        </w:rPr>
        <w:t> </w:t>
      </w:r>
      <w:r>
        <w:rPr>
          <w:sz w:val="20"/>
          <w:vertAlign w:val="baseline"/>
        </w:rPr>
        <w:t>resistência</w:t>
      </w:r>
      <w:r>
        <w:rPr>
          <w:spacing w:val="-5"/>
          <w:sz w:val="20"/>
          <w:vertAlign w:val="baseline"/>
        </w:rPr>
        <w:t> </w:t>
      </w:r>
      <w:r>
        <w:rPr>
          <w:sz w:val="20"/>
          <w:vertAlign w:val="baseline"/>
        </w:rPr>
        <w:t>à insulina em determinados grupos étnicos.</w:t>
      </w:r>
    </w:p>
    <w:p>
      <w:pPr>
        <w:pStyle w:val="BodyText"/>
        <w:spacing w:before="23"/>
        <w:ind w:left="0" w:firstLine="0"/>
        <w:jc w:val="left"/>
        <w:rPr>
          <w:sz w:val="20"/>
        </w:rPr>
      </w:pPr>
    </w:p>
    <w:p>
      <w:pPr>
        <w:spacing w:before="0"/>
        <w:ind w:left="52" w:right="0" w:firstLine="0"/>
        <w:jc w:val="left"/>
        <w:rPr>
          <w:rFonts w:ascii="Arial" w:hAnsi="Arial"/>
          <w:b/>
          <w:i/>
          <w:sz w:val="24"/>
        </w:rPr>
      </w:pPr>
      <w:r>
        <w:rPr>
          <w:rFonts w:ascii="Arial" w:hAnsi="Arial"/>
          <w:b/>
          <w:i/>
          <w:color w:val="242B67"/>
          <w:sz w:val="24"/>
        </w:rPr>
        <w:t>Polimorfismos</w:t>
      </w:r>
      <w:r>
        <w:rPr>
          <w:rFonts w:ascii="Arial" w:hAnsi="Arial"/>
          <w:b/>
          <w:i/>
          <w:color w:val="242B67"/>
          <w:spacing w:val="27"/>
          <w:sz w:val="24"/>
        </w:rPr>
        <w:t> </w:t>
      </w:r>
      <w:r>
        <w:rPr>
          <w:rFonts w:ascii="Arial" w:hAnsi="Arial"/>
          <w:b/>
          <w:i/>
          <w:color w:val="242B67"/>
          <w:sz w:val="24"/>
        </w:rPr>
        <w:t>da</w:t>
      </w:r>
      <w:r>
        <w:rPr>
          <w:rFonts w:ascii="Arial" w:hAnsi="Arial"/>
          <w:b/>
          <w:i/>
          <w:color w:val="242B67"/>
          <w:spacing w:val="28"/>
          <w:sz w:val="24"/>
        </w:rPr>
        <w:t> </w:t>
      </w:r>
      <w:r>
        <w:rPr>
          <w:rFonts w:ascii="Arial" w:hAnsi="Arial"/>
          <w:b/>
          <w:i/>
          <w:color w:val="242B67"/>
          <w:sz w:val="24"/>
        </w:rPr>
        <w:t>apolipoproteína</w:t>
      </w:r>
      <w:r>
        <w:rPr>
          <w:rFonts w:ascii="Arial" w:hAnsi="Arial"/>
          <w:b/>
          <w:i/>
          <w:color w:val="242B67"/>
          <w:spacing w:val="28"/>
          <w:sz w:val="24"/>
        </w:rPr>
        <w:t> </w:t>
      </w:r>
      <w:r>
        <w:rPr>
          <w:rFonts w:ascii="Arial" w:hAnsi="Arial"/>
          <w:b/>
          <w:i/>
          <w:color w:val="242B67"/>
          <w:sz w:val="24"/>
        </w:rPr>
        <w:t>C-</w:t>
      </w:r>
      <w:r>
        <w:rPr>
          <w:rFonts w:ascii="Arial" w:hAnsi="Arial"/>
          <w:b/>
          <w:i/>
          <w:color w:val="242B67"/>
          <w:spacing w:val="-5"/>
          <w:sz w:val="24"/>
        </w:rPr>
        <w:t>III</w:t>
      </w:r>
    </w:p>
    <w:p>
      <w:pPr>
        <w:spacing w:line="280" w:lineRule="auto" w:before="111"/>
        <w:ind w:left="52" w:right="475" w:firstLine="300"/>
        <w:jc w:val="both"/>
        <w:rPr>
          <w:sz w:val="20"/>
        </w:rPr>
      </w:pPr>
      <w:r>
        <w:rPr>
          <w:sz w:val="20"/>
        </w:rPr>
        <w:t>Polimorfismos no</w:t>
      </w:r>
      <w:r>
        <w:rPr>
          <w:spacing w:val="-5"/>
          <w:sz w:val="20"/>
        </w:rPr>
        <w:t> </w:t>
      </w:r>
      <w:r>
        <w:rPr>
          <w:sz w:val="20"/>
        </w:rPr>
        <w:t>grupamento</w:t>
      </w:r>
      <w:r>
        <w:rPr>
          <w:spacing w:val="-5"/>
          <w:sz w:val="20"/>
        </w:rPr>
        <w:t> </w:t>
      </w:r>
      <w:r>
        <w:rPr>
          <w:sz w:val="20"/>
        </w:rPr>
        <w:t>gênico</w:t>
      </w:r>
      <w:r>
        <w:rPr>
          <w:spacing w:val="-5"/>
          <w:sz w:val="20"/>
        </w:rPr>
        <w:t> </w:t>
      </w:r>
      <w:r>
        <w:rPr>
          <w:sz w:val="20"/>
        </w:rPr>
        <w:t>A-I/C-III/A-IV</w:t>
      </w:r>
      <w:r>
        <w:rPr>
          <w:spacing w:val="-6"/>
          <w:sz w:val="20"/>
        </w:rPr>
        <w:t> </w:t>
      </w:r>
      <w:r>
        <w:rPr>
          <w:sz w:val="20"/>
        </w:rPr>
        <w:t>foram</w:t>
      </w:r>
      <w:r>
        <w:rPr>
          <w:spacing w:val="-5"/>
          <w:sz w:val="20"/>
        </w:rPr>
        <w:t> </w:t>
      </w:r>
      <w:r>
        <w:rPr>
          <w:sz w:val="20"/>
        </w:rPr>
        <w:t>descritos em</w:t>
      </w:r>
      <w:r>
        <w:rPr>
          <w:spacing w:val="-5"/>
          <w:sz w:val="20"/>
        </w:rPr>
        <w:t> </w:t>
      </w:r>
      <w:r>
        <w:rPr>
          <w:sz w:val="20"/>
        </w:rPr>
        <w:t>associação</w:t>
      </w:r>
      <w:r>
        <w:rPr>
          <w:spacing w:val="-5"/>
          <w:sz w:val="20"/>
        </w:rPr>
        <w:t> </w:t>
      </w:r>
      <w:r>
        <w:rPr>
          <w:sz w:val="20"/>
        </w:rPr>
        <w:t>com</w:t>
      </w:r>
      <w:r>
        <w:rPr>
          <w:spacing w:val="-5"/>
          <w:sz w:val="20"/>
        </w:rPr>
        <w:t> </w:t>
      </w:r>
      <w:r>
        <w:rPr>
          <w:sz w:val="20"/>
        </w:rPr>
        <w:t>a</w:t>
      </w:r>
      <w:r>
        <w:rPr>
          <w:spacing w:val="-6"/>
          <w:sz w:val="20"/>
        </w:rPr>
        <w:t> </w:t>
      </w:r>
      <w:r>
        <w:rPr>
          <w:sz w:val="20"/>
        </w:rPr>
        <w:t>DAC. Presente</w:t>
      </w:r>
      <w:r>
        <w:rPr>
          <w:spacing w:val="-6"/>
          <w:sz w:val="20"/>
        </w:rPr>
        <w:t> </w:t>
      </w:r>
      <w:r>
        <w:rPr>
          <w:sz w:val="20"/>
        </w:rPr>
        <w:t>nos quilomícrons e</w:t>
      </w:r>
      <w:r>
        <w:rPr>
          <w:spacing w:val="-6"/>
          <w:sz w:val="20"/>
        </w:rPr>
        <w:t> </w:t>
      </w:r>
      <w:r>
        <w:rPr>
          <w:sz w:val="20"/>
        </w:rPr>
        <w:t>na VLDL, seus níveis correlacionam-se com a trigliceridemia, tendo-se demonstrado, </w:t>
      </w:r>
      <w:r>
        <w:rPr>
          <w:i/>
          <w:sz w:val="20"/>
        </w:rPr>
        <w:t>in vitro</w:t>
      </w:r>
      <w:r>
        <w:rPr>
          <w:sz w:val="20"/>
        </w:rPr>
        <w:t>,</w:t>
      </w:r>
      <w:r>
        <w:rPr>
          <w:spacing w:val="28"/>
          <w:sz w:val="20"/>
        </w:rPr>
        <w:t> </w:t>
      </w:r>
      <w:r>
        <w:rPr>
          <w:sz w:val="20"/>
        </w:rPr>
        <w:t>papel inibitório da Apo C-III sobre a</w:t>
      </w:r>
      <w:r>
        <w:rPr>
          <w:spacing w:val="40"/>
          <w:sz w:val="20"/>
        </w:rPr>
        <w:t> </w:t>
      </w:r>
      <w:r>
        <w:rPr>
          <w:sz w:val="20"/>
        </w:rPr>
        <w:t>LPL influenciando a captação hepática das partículas remanescentes. Recentemente, dois haplótipos da Apo-CIII, em vários </w:t>
      </w:r>
      <w:r>
        <w:rPr>
          <w:i/>
          <w:sz w:val="20"/>
        </w:rPr>
        <w:t>loci </w:t>
      </w:r>
      <w:r>
        <w:rPr>
          <w:sz w:val="20"/>
        </w:rPr>
        <w:t>estudados em 1.052 pacientes de ambos os sexos, foram relacionados com um risco maior de infarto do miocárdio.</w:t>
      </w:r>
      <w:r>
        <w:rPr>
          <w:sz w:val="20"/>
          <w:vertAlign w:val="superscript"/>
        </w:rPr>
        <w:t>13</w:t>
      </w:r>
      <w:r>
        <w:rPr>
          <w:sz w:val="20"/>
          <w:vertAlign w:val="baseline"/>
        </w:rPr>
        <w:t> Entretanto, nosso grupo estudou o polimorfismo Sst I Apo C-III em diabéticos e não diabéticos portadores ou não de infarto do miocárdio não demonstrando associação entre os grupos.</w:t>
      </w:r>
      <w:r>
        <w:rPr>
          <w:sz w:val="20"/>
          <w:vertAlign w:val="superscript"/>
        </w:rPr>
        <w:t>14</w:t>
      </w:r>
    </w:p>
    <w:p>
      <w:pPr>
        <w:pStyle w:val="BodyText"/>
        <w:spacing w:before="9"/>
        <w:ind w:left="0" w:firstLine="0"/>
        <w:jc w:val="left"/>
        <w:rPr>
          <w:sz w:val="20"/>
        </w:rPr>
      </w:pPr>
    </w:p>
    <w:p>
      <w:pPr>
        <w:spacing w:before="0"/>
        <w:ind w:left="52" w:right="0" w:firstLine="0"/>
        <w:jc w:val="left"/>
        <w:rPr>
          <w:rFonts w:ascii="Arial" w:hAnsi="Arial"/>
          <w:b/>
          <w:i/>
          <w:sz w:val="24"/>
        </w:rPr>
      </w:pPr>
      <w:r>
        <w:rPr>
          <w:rFonts w:ascii="Arial" w:hAnsi="Arial"/>
          <w:b/>
          <w:i/>
          <w:color w:val="242B67"/>
          <w:sz w:val="24"/>
        </w:rPr>
        <w:t>Polimorfismos</w:t>
      </w:r>
      <w:r>
        <w:rPr>
          <w:rFonts w:ascii="Arial" w:hAnsi="Arial"/>
          <w:b/>
          <w:i/>
          <w:color w:val="242B67"/>
          <w:spacing w:val="27"/>
          <w:sz w:val="24"/>
        </w:rPr>
        <w:t> </w:t>
      </w:r>
      <w:r>
        <w:rPr>
          <w:rFonts w:ascii="Arial" w:hAnsi="Arial"/>
          <w:b/>
          <w:i/>
          <w:color w:val="242B67"/>
          <w:sz w:val="24"/>
        </w:rPr>
        <w:t>da</w:t>
      </w:r>
      <w:r>
        <w:rPr>
          <w:rFonts w:ascii="Arial" w:hAnsi="Arial"/>
          <w:b/>
          <w:i/>
          <w:color w:val="242B67"/>
          <w:spacing w:val="28"/>
          <w:sz w:val="24"/>
        </w:rPr>
        <w:t> </w:t>
      </w:r>
      <w:r>
        <w:rPr>
          <w:rFonts w:ascii="Arial" w:hAnsi="Arial"/>
          <w:b/>
          <w:i/>
          <w:color w:val="242B67"/>
          <w:sz w:val="24"/>
        </w:rPr>
        <w:t>apolipoproteína</w:t>
      </w:r>
      <w:r>
        <w:rPr>
          <w:rFonts w:ascii="Arial" w:hAnsi="Arial"/>
          <w:b/>
          <w:i/>
          <w:color w:val="242B67"/>
          <w:spacing w:val="28"/>
          <w:sz w:val="24"/>
        </w:rPr>
        <w:t> </w:t>
      </w:r>
      <w:r>
        <w:rPr>
          <w:rFonts w:ascii="Arial" w:hAnsi="Arial"/>
          <w:b/>
          <w:i/>
          <w:color w:val="242B67"/>
          <w:sz w:val="24"/>
        </w:rPr>
        <w:t>A-</w:t>
      </w:r>
      <w:r>
        <w:rPr>
          <w:rFonts w:ascii="Arial" w:hAnsi="Arial"/>
          <w:b/>
          <w:i/>
          <w:color w:val="242B67"/>
          <w:spacing w:val="-10"/>
          <w:sz w:val="24"/>
        </w:rPr>
        <w:t>I</w:t>
      </w:r>
    </w:p>
    <w:p>
      <w:pPr>
        <w:spacing w:line="280" w:lineRule="auto" w:before="124"/>
        <w:ind w:left="52" w:right="475" w:firstLine="300"/>
        <w:jc w:val="both"/>
        <w:rPr>
          <w:sz w:val="20"/>
        </w:rPr>
      </w:pPr>
      <w:r>
        <w:rPr>
          <w:sz w:val="20"/>
        </w:rPr>
        <w:t>Polimorfismos no gene</w:t>
      </w:r>
      <w:r>
        <w:rPr>
          <w:spacing w:val="-1"/>
          <w:sz w:val="20"/>
        </w:rPr>
        <w:t> </w:t>
      </w:r>
      <w:r>
        <w:rPr>
          <w:sz w:val="20"/>
        </w:rPr>
        <w:t>Apo A-I que</w:t>
      </w:r>
      <w:r>
        <w:rPr>
          <w:spacing w:val="-1"/>
          <w:sz w:val="20"/>
        </w:rPr>
        <w:t> </w:t>
      </w:r>
      <w:r>
        <w:rPr>
          <w:sz w:val="20"/>
        </w:rPr>
        <w:t>resultam em ausência</w:t>
      </w:r>
      <w:r>
        <w:rPr>
          <w:spacing w:val="-1"/>
          <w:sz w:val="20"/>
        </w:rPr>
        <w:t> </w:t>
      </w:r>
      <w:r>
        <w:rPr>
          <w:sz w:val="20"/>
        </w:rPr>
        <w:t>de</w:t>
      </w:r>
      <w:r>
        <w:rPr>
          <w:spacing w:val="-1"/>
          <w:sz w:val="20"/>
        </w:rPr>
        <w:t> </w:t>
      </w:r>
      <w:r>
        <w:rPr>
          <w:sz w:val="20"/>
        </w:rPr>
        <w:t>apolipoproteína</w:t>
      </w:r>
      <w:r>
        <w:rPr>
          <w:spacing w:val="-1"/>
          <w:sz w:val="20"/>
        </w:rPr>
        <w:t> </w:t>
      </w:r>
      <w:r>
        <w:rPr>
          <w:sz w:val="20"/>
        </w:rPr>
        <w:t>A-I no plasma</w:t>
      </w:r>
      <w:r>
        <w:rPr>
          <w:spacing w:val="-1"/>
          <w:sz w:val="20"/>
        </w:rPr>
        <w:t> </w:t>
      </w:r>
      <w:r>
        <w:rPr>
          <w:sz w:val="20"/>
        </w:rPr>
        <w:t>associam-se</w:t>
      </w:r>
      <w:r>
        <w:rPr>
          <w:spacing w:val="-1"/>
          <w:sz w:val="20"/>
        </w:rPr>
        <w:t> </w:t>
      </w:r>
      <w:r>
        <w:rPr>
          <w:sz w:val="20"/>
        </w:rPr>
        <w:t>a</w:t>
      </w:r>
      <w:r>
        <w:rPr>
          <w:spacing w:val="-1"/>
          <w:sz w:val="20"/>
        </w:rPr>
        <w:t> </w:t>
      </w:r>
      <w:r>
        <w:rPr>
          <w:sz w:val="20"/>
        </w:rPr>
        <w:t>níveis extremamente baixos de</w:t>
      </w:r>
      <w:r>
        <w:rPr>
          <w:spacing w:val="-3"/>
          <w:sz w:val="20"/>
        </w:rPr>
        <w:t> </w:t>
      </w:r>
      <w:r>
        <w:rPr>
          <w:sz w:val="20"/>
        </w:rPr>
        <w:t>HDL-colesterol, xantomas e</w:t>
      </w:r>
      <w:r>
        <w:rPr>
          <w:spacing w:val="-3"/>
          <w:sz w:val="20"/>
        </w:rPr>
        <w:t> </w:t>
      </w:r>
      <w:r>
        <w:rPr>
          <w:sz w:val="20"/>
        </w:rPr>
        <w:t>DAC. Já</w:t>
      </w:r>
      <w:r>
        <w:rPr>
          <w:spacing w:val="-3"/>
          <w:sz w:val="20"/>
        </w:rPr>
        <w:t> </w:t>
      </w:r>
      <w:r>
        <w:rPr>
          <w:sz w:val="20"/>
        </w:rPr>
        <w:t>nas deficiências parciais de</w:t>
      </w:r>
      <w:r>
        <w:rPr>
          <w:spacing w:val="-3"/>
          <w:sz w:val="20"/>
        </w:rPr>
        <w:t> </w:t>
      </w:r>
      <w:r>
        <w:rPr>
          <w:sz w:val="20"/>
        </w:rPr>
        <w:t>Apo A-I, como na</w:t>
      </w:r>
      <w:r>
        <w:rPr>
          <w:spacing w:val="-3"/>
          <w:sz w:val="20"/>
        </w:rPr>
        <w:t> </w:t>
      </w:r>
      <w:r>
        <w:rPr>
          <w:sz w:val="20"/>
        </w:rPr>
        <w:t>Apo A-I Milano, essa</w:t>
      </w:r>
      <w:r>
        <w:rPr>
          <w:spacing w:val="-3"/>
          <w:sz w:val="20"/>
        </w:rPr>
        <w:t> </w:t>
      </w:r>
      <w:r>
        <w:rPr>
          <w:sz w:val="20"/>
        </w:rPr>
        <w:t>associação não</w:t>
      </w:r>
      <w:r>
        <w:rPr>
          <w:spacing w:val="40"/>
          <w:sz w:val="20"/>
        </w:rPr>
        <w:t> </w:t>
      </w:r>
      <w:r>
        <w:rPr>
          <w:sz w:val="20"/>
        </w:rPr>
        <w:t>é</w:t>
      </w:r>
      <w:r>
        <w:rPr>
          <w:spacing w:val="-2"/>
          <w:sz w:val="20"/>
        </w:rPr>
        <w:t> </w:t>
      </w:r>
      <w:r>
        <w:rPr>
          <w:sz w:val="20"/>
        </w:rPr>
        <w:t>tão clara, apesar dos níveis baixos de</w:t>
      </w:r>
      <w:r>
        <w:rPr>
          <w:spacing w:val="-2"/>
          <w:sz w:val="20"/>
        </w:rPr>
        <w:t> </w:t>
      </w:r>
      <w:r>
        <w:rPr>
          <w:sz w:val="20"/>
        </w:rPr>
        <w:t>HDL-colesterol e</w:t>
      </w:r>
      <w:r>
        <w:rPr>
          <w:spacing w:val="-2"/>
          <w:sz w:val="20"/>
        </w:rPr>
        <w:t> </w:t>
      </w:r>
      <w:r>
        <w:rPr>
          <w:sz w:val="20"/>
        </w:rPr>
        <w:t>elevação de</w:t>
      </w:r>
      <w:r>
        <w:rPr>
          <w:spacing w:val="-2"/>
          <w:sz w:val="20"/>
        </w:rPr>
        <w:t> </w:t>
      </w:r>
      <w:r>
        <w:rPr>
          <w:sz w:val="20"/>
        </w:rPr>
        <w:t>triglicerídios, sugerindo-se</w:t>
      </w:r>
      <w:r>
        <w:rPr>
          <w:spacing w:val="-2"/>
          <w:sz w:val="20"/>
        </w:rPr>
        <w:t> </w:t>
      </w:r>
      <w:r>
        <w:rPr>
          <w:sz w:val="20"/>
        </w:rPr>
        <w:t>um potencial benefício da</w:t>
      </w:r>
      <w:r>
        <w:rPr>
          <w:spacing w:val="-2"/>
          <w:sz w:val="20"/>
        </w:rPr>
        <w:t> </w:t>
      </w:r>
      <w:r>
        <w:rPr>
          <w:sz w:val="20"/>
        </w:rPr>
        <w:t>Apo A-I Milano, como possível alvo terapêutico, em vista de sua associação com a regressão da aterosclerose após síndrome coronariana aguda.</w:t>
      </w:r>
      <w:r>
        <w:rPr>
          <w:sz w:val="20"/>
          <w:vertAlign w:val="superscript"/>
        </w:rPr>
        <w:t>15</w:t>
      </w:r>
      <w:r>
        <w:rPr>
          <w:sz w:val="20"/>
          <w:vertAlign w:val="baseline"/>
        </w:rPr>
        <w:t> Em nosso grupo, os polimorfismos Msp I da Apo A-I foram estudados em portadores de DAC prematura, em diabéticos e não diabéticos portadores ou não de infarto do miocárdio prévio, observando-se que o alelo natural M1+ era mais comum entre os indivíduos com diabetes tipo 2.</w:t>
      </w:r>
      <w:r>
        <w:rPr>
          <w:sz w:val="20"/>
          <w:vertAlign w:val="superscript"/>
        </w:rPr>
        <w:t>14</w:t>
      </w:r>
    </w:p>
    <w:p>
      <w:pPr>
        <w:pStyle w:val="BodyText"/>
        <w:spacing w:before="5"/>
        <w:ind w:left="0" w:firstLine="0"/>
        <w:jc w:val="left"/>
        <w:rPr>
          <w:sz w:val="20"/>
        </w:rPr>
      </w:pPr>
    </w:p>
    <w:p>
      <w:pPr>
        <w:spacing w:before="0"/>
        <w:ind w:left="52" w:right="0" w:firstLine="0"/>
        <w:jc w:val="left"/>
        <w:rPr>
          <w:rFonts w:ascii="Arial" w:hAnsi="Arial"/>
          <w:b/>
          <w:i/>
          <w:sz w:val="24"/>
        </w:rPr>
      </w:pPr>
      <w:r>
        <w:rPr>
          <w:rFonts w:ascii="Arial" w:hAnsi="Arial"/>
          <w:b/>
          <w:i/>
          <w:color w:val="242B67"/>
          <w:sz w:val="24"/>
        </w:rPr>
        <w:t>Polimorfismos</w:t>
      </w:r>
      <w:r>
        <w:rPr>
          <w:rFonts w:ascii="Arial" w:hAnsi="Arial"/>
          <w:b/>
          <w:i/>
          <w:color w:val="242B67"/>
          <w:spacing w:val="16"/>
          <w:sz w:val="24"/>
        </w:rPr>
        <w:t> </w:t>
      </w:r>
      <w:r>
        <w:rPr>
          <w:rFonts w:ascii="Arial" w:hAnsi="Arial"/>
          <w:b/>
          <w:i/>
          <w:color w:val="242B67"/>
          <w:sz w:val="24"/>
        </w:rPr>
        <w:t>da</w:t>
      </w:r>
      <w:r>
        <w:rPr>
          <w:rFonts w:ascii="Arial" w:hAnsi="Arial"/>
          <w:b/>
          <w:i/>
          <w:color w:val="242B67"/>
          <w:spacing w:val="16"/>
          <w:sz w:val="24"/>
        </w:rPr>
        <w:t> </w:t>
      </w:r>
      <w:r>
        <w:rPr>
          <w:rFonts w:ascii="Arial" w:hAnsi="Arial"/>
          <w:b/>
          <w:i/>
          <w:color w:val="242B67"/>
          <w:sz w:val="24"/>
        </w:rPr>
        <w:t>proteína</w:t>
      </w:r>
      <w:r>
        <w:rPr>
          <w:rFonts w:ascii="Arial" w:hAnsi="Arial"/>
          <w:b/>
          <w:i/>
          <w:color w:val="242B67"/>
          <w:spacing w:val="16"/>
          <w:sz w:val="24"/>
        </w:rPr>
        <w:t> </w:t>
      </w:r>
      <w:r>
        <w:rPr>
          <w:rFonts w:ascii="Arial" w:hAnsi="Arial"/>
          <w:b/>
          <w:i/>
          <w:color w:val="242B67"/>
          <w:sz w:val="24"/>
        </w:rPr>
        <w:t>de</w:t>
      </w:r>
      <w:r>
        <w:rPr>
          <w:rFonts w:ascii="Arial" w:hAnsi="Arial"/>
          <w:b/>
          <w:i/>
          <w:color w:val="242B67"/>
          <w:spacing w:val="16"/>
          <w:sz w:val="24"/>
        </w:rPr>
        <w:t> </w:t>
      </w:r>
      <w:r>
        <w:rPr>
          <w:rFonts w:ascii="Arial" w:hAnsi="Arial"/>
          <w:b/>
          <w:i/>
          <w:color w:val="242B67"/>
          <w:sz w:val="24"/>
        </w:rPr>
        <w:t>transferência</w:t>
      </w:r>
      <w:r>
        <w:rPr>
          <w:rFonts w:ascii="Arial" w:hAnsi="Arial"/>
          <w:b/>
          <w:i/>
          <w:color w:val="242B67"/>
          <w:spacing w:val="17"/>
          <w:sz w:val="24"/>
        </w:rPr>
        <w:t> </w:t>
      </w:r>
      <w:r>
        <w:rPr>
          <w:rFonts w:ascii="Arial" w:hAnsi="Arial"/>
          <w:b/>
          <w:i/>
          <w:color w:val="242B67"/>
          <w:sz w:val="24"/>
        </w:rPr>
        <w:t>de</w:t>
      </w:r>
      <w:r>
        <w:rPr>
          <w:rFonts w:ascii="Arial" w:hAnsi="Arial"/>
          <w:b/>
          <w:i/>
          <w:color w:val="242B67"/>
          <w:spacing w:val="16"/>
          <w:sz w:val="24"/>
        </w:rPr>
        <w:t> </w:t>
      </w:r>
      <w:r>
        <w:rPr>
          <w:rFonts w:ascii="Arial" w:hAnsi="Arial"/>
          <w:b/>
          <w:i/>
          <w:color w:val="242B67"/>
          <w:sz w:val="24"/>
        </w:rPr>
        <w:t>ésteres</w:t>
      </w:r>
      <w:r>
        <w:rPr>
          <w:rFonts w:ascii="Arial" w:hAnsi="Arial"/>
          <w:b/>
          <w:i/>
          <w:color w:val="242B67"/>
          <w:spacing w:val="16"/>
          <w:sz w:val="24"/>
        </w:rPr>
        <w:t> </w:t>
      </w:r>
      <w:r>
        <w:rPr>
          <w:rFonts w:ascii="Arial" w:hAnsi="Arial"/>
          <w:b/>
          <w:i/>
          <w:color w:val="242B67"/>
          <w:sz w:val="24"/>
        </w:rPr>
        <w:t>de</w:t>
      </w:r>
      <w:r>
        <w:rPr>
          <w:rFonts w:ascii="Arial" w:hAnsi="Arial"/>
          <w:b/>
          <w:i/>
          <w:color w:val="242B67"/>
          <w:spacing w:val="16"/>
          <w:sz w:val="24"/>
        </w:rPr>
        <w:t> </w:t>
      </w:r>
      <w:r>
        <w:rPr>
          <w:rFonts w:ascii="Arial" w:hAnsi="Arial"/>
          <w:b/>
          <w:i/>
          <w:color w:val="242B67"/>
          <w:spacing w:val="-2"/>
          <w:sz w:val="24"/>
        </w:rPr>
        <w:t>colesterol</w:t>
      </w:r>
    </w:p>
    <w:p>
      <w:pPr>
        <w:spacing w:line="280" w:lineRule="auto" w:before="124"/>
        <w:ind w:left="52" w:right="475" w:firstLine="300"/>
        <w:jc w:val="both"/>
        <w:rPr>
          <w:sz w:val="20"/>
        </w:rPr>
      </w:pPr>
      <w:r>
        <w:rPr>
          <w:sz w:val="20"/>
        </w:rPr>
        <w:t>Essa enzima promove a troca de ésteres de colesterol da HDL (mas também da LDL) para as outras lipoproteínas, por triglicerídios, que se acumulam na(s) primeira(s). O polimorfismo mais estudado, o Taq 1-B do gene que codifica a proteína de transferência</w:t>
      </w:r>
      <w:r>
        <w:rPr>
          <w:spacing w:val="-7"/>
          <w:sz w:val="20"/>
        </w:rPr>
        <w:t> </w:t>
      </w:r>
      <w:r>
        <w:rPr>
          <w:sz w:val="20"/>
        </w:rPr>
        <w:t>de</w:t>
      </w:r>
      <w:r>
        <w:rPr>
          <w:spacing w:val="-7"/>
          <w:sz w:val="20"/>
        </w:rPr>
        <w:t> </w:t>
      </w:r>
      <w:r>
        <w:rPr>
          <w:sz w:val="20"/>
        </w:rPr>
        <w:t>ésteres de</w:t>
      </w:r>
      <w:r>
        <w:rPr>
          <w:spacing w:val="-7"/>
          <w:sz w:val="20"/>
        </w:rPr>
        <w:t> </w:t>
      </w:r>
      <w:r>
        <w:rPr>
          <w:sz w:val="20"/>
        </w:rPr>
        <w:t>colesterol</w:t>
      </w:r>
      <w:r>
        <w:rPr>
          <w:spacing w:val="-2"/>
          <w:sz w:val="20"/>
        </w:rPr>
        <w:t> </w:t>
      </w:r>
      <w:r>
        <w:rPr>
          <w:sz w:val="20"/>
        </w:rPr>
        <w:t>(CETP, do</w:t>
      </w:r>
      <w:r>
        <w:rPr>
          <w:spacing w:val="-5"/>
          <w:sz w:val="20"/>
        </w:rPr>
        <w:t> </w:t>
      </w:r>
      <w:r>
        <w:rPr>
          <w:sz w:val="20"/>
        </w:rPr>
        <w:t>inglês, </w:t>
      </w:r>
      <w:r>
        <w:rPr>
          <w:i/>
          <w:sz w:val="20"/>
        </w:rPr>
        <w:t>cholesteryl</w:t>
      </w:r>
      <w:r>
        <w:rPr>
          <w:i/>
          <w:spacing w:val="-2"/>
          <w:sz w:val="20"/>
        </w:rPr>
        <w:t> </w:t>
      </w:r>
      <w:r>
        <w:rPr>
          <w:i/>
          <w:sz w:val="20"/>
        </w:rPr>
        <w:t>ester transfer protein</w:t>
      </w:r>
      <w:r>
        <w:rPr>
          <w:sz w:val="20"/>
        </w:rPr>
        <w:t>) associa-se</w:t>
      </w:r>
      <w:r>
        <w:rPr>
          <w:spacing w:val="-5"/>
          <w:sz w:val="20"/>
        </w:rPr>
        <w:t> </w:t>
      </w:r>
      <w:r>
        <w:rPr>
          <w:sz w:val="20"/>
        </w:rPr>
        <w:t>à</w:t>
      </w:r>
      <w:r>
        <w:rPr>
          <w:spacing w:val="-5"/>
          <w:sz w:val="20"/>
        </w:rPr>
        <w:t> </w:t>
      </w:r>
      <w:r>
        <w:rPr>
          <w:sz w:val="20"/>
        </w:rPr>
        <w:t>maior atividade</w:t>
      </w:r>
      <w:r>
        <w:rPr>
          <w:spacing w:val="-5"/>
          <w:sz w:val="20"/>
        </w:rPr>
        <w:t> </w:t>
      </w:r>
      <w:r>
        <w:rPr>
          <w:sz w:val="20"/>
        </w:rPr>
        <w:t>da</w:t>
      </w:r>
      <w:r>
        <w:rPr>
          <w:spacing w:val="-5"/>
          <w:sz w:val="20"/>
        </w:rPr>
        <w:t> </w:t>
      </w:r>
      <w:r>
        <w:rPr>
          <w:sz w:val="20"/>
        </w:rPr>
        <w:t>enzima</w:t>
      </w:r>
      <w:r>
        <w:rPr>
          <w:spacing w:val="-5"/>
          <w:sz w:val="20"/>
        </w:rPr>
        <w:t> </w:t>
      </w:r>
      <w:r>
        <w:rPr>
          <w:sz w:val="20"/>
        </w:rPr>
        <w:t>nos portadores do alelo B1, com um possível efeito pró-aterogênico. No Regression Growth Evaluation Statin Study (REGRESS), os portadores do genótipo B1B1 (35%) tiveram maior extensão da DAC do que os outros genótipos. Entretanto, quando tratados com pravastatina, esses indivíduos apresentaram as menores taxas de progressão e maior regressão.</w:t>
      </w:r>
      <w:r>
        <w:rPr>
          <w:sz w:val="20"/>
          <w:vertAlign w:val="superscript"/>
        </w:rPr>
        <w:t>16</w:t>
      </w:r>
      <w:r>
        <w:rPr>
          <w:sz w:val="20"/>
          <w:vertAlign w:val="baseline"/>
        </w:rPr>
        <w:t> Assim, esse polimorfismo poderia predizer a</w:t>
      </w:r>
      <w:r>
        <w:rPr>
          <w:spacing w:val="-7"/>
          <w:sz w:val="20"/>
          <w:vertAlign w:val="baseline"/>
        </w:rPr>
        <w:t> </w:t>
      </w:r>
      <w:r>
        <w:rPr>
          <w:sz w:val="20"/>
          <w:vertAlign w:val="baseline"/>
        </w:rPr>
        <w:t>progressão</w:t>
      </w:r>
      <w:r>
        <w:rPr>
          <w:spacing w:val="-4"/>
          <w:sz w:val="20"/>
          <w:vertAlign w:val="baseline"/>
        </w:rPr>
        <w:t> </w:t>
      </w:r>
      <w:r>
        <w:rPr>
          <w:sz w:val="20"/>
          <w:vertAlign w:val="baseline"/>
        </w:rPr>
        <w:t>da</w:t>
      </w:r>
      <w:r>
        <w:rPr>
          <w:spacing w:val="-7"/>
          <w:sz w:val="20"/>
          <w:vertAlign w:val="baseline"/>
        </w:rPr>
        <w:t> </w:t>
      </w:r>
      <w:r>
        <w:rPr>
          <w:sz w:val="20"/>
          <w:vertAlign w:val="baseline"/>
        </w:rPr>
        <w:t>DAC e</w:t>
      </w:r>
      <w:r>
        <w:rPr>
          <w:spacing w:val="-7"/>
          <w:sz w:val="20"/>
          <w:vertAlign w:val="baseline"/>
        </w:rPr>
        <w:t> </w:t>
      </w:r>
      <w:r>
        <w:rPr>
          <w:sz w:val="20"/>
          <w:vertAlign w:val="baseline"/>
        </w:rPr>
        <w:t>resposta</w:t>
      </w:r>
      <w:r>
        <w:rPr>
          <w:spacing w:val="-7"/>
          <w:sz w:val="20"/>
          <w:vertAlign w:val="baseline"/>
        </w:rPr>
        <w:t> </w:t>
      </w:r>
      <w:r>
        <w:rPr>
          <w:sz w:val="20"/>
          <w:vertAlign w:val="baseline"/>
        </w:rPr>
        <w:t>à</w:t>
      </w:r>
      <w:r>
        <w:rPr>
          <w:spacing w:val="-7"/>
          <w:sz w:val="20"/>
          <w:vertAlign w:val="baseline"/>
        </w:rPr>
        <w:t> </w:t>
      </w:r>
      <w:r>
        <w:rPr>
          <w:sz w:val="20"/>
          <w:vertAlign w:val="baseline"/>
        </w:rPr>
        <w:t>intervenção</w:t>
      </w:r>
      <w:r>
        <w:rPr>
          <w:spacing w:val="-4"/>
          <w:sz w:val="20"/>
          <w:vertAlign w:val="baseline"/>
        </w:rPr>
        <w:t> </w:t>
      </w:r>
      <w:r>
        <w:rPr>
          <w:sz w:val="20"/>
          <w:vertAlign w:val="baseline"/>
        </w:rPr>
        <w:t>farmacológica</w:t>
      </w:r>
      <w:r>
        <w:rPr>
          <w:spacing w:val="-7"/>
          <w:sz w:val="20"/>
          <w:vertAlign w:val="baseline"/>
        </w:rPr>
        <w:t> </w:t>
      </w:r>
      <w:r>
        <w:rPr>
          <w:sz w:val="20"/>
          <w:vertAlign w:val="baseline"/>
        </w:rPr>
        <w:t>com</w:t>
      </w:r>
      <w:r>
        <w:rPr>
          <w:spacing w:val="-4"/>
          <w:sz w:val="20"/>
          <w:vertAlign w:val="baseline"/>
        </w:rPr>
        <w:t> </w:t>
      </w:r>
      <w:r>
        <w:rPr>
          <w:sz w:val="20"/>
          <w:vertAlign w:val="baseline"/>
        </w:rPr>
        <w:t>estatinas. Em</w:t>
      </w:r>
      <w:r>
        <w:rPr>
          <w:spacing w:val="-4"/>
          <w:sz w:val="20"/>
          <w:vertAlign w:val="baseline"/>
        </w:rPr>
        <w:t> </w:t>
      </w:r>
      <w:r>
        <w:rPr>
          <w:sz w:val="20"/>
          <w:vertAlign w:val="baseline"/>
        </w:rPr>
        <w:t>nosso</w:t>
      </w:r>
      <w:r>
        <w:rPr>
          <w:spacing w:val="-4"/>
          <w:sz w:val="20"/>
          <w:vertAlign w:val="baseline"/>
        </w:rPr>
        <w:t> </w:t>
      </w:r>
      <w:r>
        <w:rPr>
          <w:sz w:val="20"/>
          <w:vertAlign w:val="baseline"/>
        </w:rPr>
        <w:t>meio, Relvas </w:t>
      </w:r>
      <w:r>
        <w:rPr>
          <w:i/>
          <w:sz w:val="20"/>
          <w:vertAlign w:val="baseline"/>
        </w:rPr>
        <w:t>et</w:t>
      </w:r>
      <w:r>
        <w:rPr>
          <w:i/>
          <w:spacing w:val="-3"/>
          <w:sz w:val="20"/>
          <w:vertAlign w:val="baseline"/>
        </w:rPr>
        <w:t> </w:t>
      </w:r>
      <w:r>
        <w:rPr>
          <w:i/>
          <w:sz w:val="20"/>
          <w:vertAlign w:val="baseline"/>
        </w:rPr>
        <w:t>al. </w:t>
      </w:r>
      <w:r>
        <w:rPr>
          <w:sz w:val="20"/>
          <w:vertAlign w:val="baseline"/>
        </w:rPr>
        <w:t>demonstraram</w:t>
      </w:r>
      <w:r>
        <w:rPr>
          <w:spacing w:val="-6"/>
          <w:sz w:val="20"/>
          <w:vertAlign w:val="baseline"/>
        </w:rPr>
        <w:t> </w:t>
      </w:r>
      <w:r>
        <w:rPr>
          <w:sz w:val="20"/>
          <w:vertAlign w:val="baseline"/>
        </w:rPr>
        <w:t>que o alelo B2 era mais frequente em não infartados e em portadores de diabetes. Postulou-se um papel adaptativo protetor desse polimorfismo em diabéticos, por promover menor atividade da CETP e níveis mais elevados de HDL-colesterol.</w:t>
      </w:r>
      <w:r>
        <w:rPr>
          <w:sz w:val="20"/>
          <w:vertAlign w:val="superscript"/>
        </w:rPr>
        <w:t>14</w:t>
      </w:r>
      <w:r>
        <w:rPr>
          <w:sz w:val="20"/>
          <w:vertAlign w:val="baseline"/>
        </w:rPr>
        <w:t> Dessa maneira, a CETP tem sido estudada como alvo terapêutico e diversos inibidores da enzima foram testados em estudos clínicos, porém até o momento, o primeiro, torcetrapib,</w:t>
      </w:r>
      <w:r>
        <w:rPr>
          <w:sz w:val="20"/>
          <w:vertAlign w:val="superscript"/>
        </w:rPr>
        <w:t>17</w:t>
      </w:r>
      <w:r>
        <w:rPr>
          <w:sz w:val="20"/>
          <w:vertAlign w:val="baseline"/>
        </w:rPr>
        <w:t> a despeito de importantes aumentos do HDL-colesterol, demonstrou no estudo Illuminate maior mortalidade por todas as causas e o dalcetrapib,</w:t>
      </w:r>
      <w:r>
        <w:rPr>
          <w:sz w:val="20"/>
          <w:vertAlign w:val="superscript"/>
        </w:rPr>
        <w:t>18</w:t>
      </w:r>
      <w:r>
        <w:rPr>
          <w:sz w:val="20"/>
          <w:vertAlign w:val="baseline"/>
        </w:rPr>
        <w:t> um modulador da atividade da CETP, não se mostrou eficaz. Apenas os fármacos anacetrapib</w:t>
      </w:r>
      <w:r>
        <w:rPr>
          <w:sz w:val="20"/>
          <w:vertAlign w:val="superscript"/>
        </w:rPr>
        <w:t>19</w:t>
      </w:r>
      <w:r>
        <w:rPr>
          <w:sz w:val="20"/>
          <w:vertAlign w:val="baseline"/>
        </w:rPr>
        <w:t> e evacetrapib,</w:t>
      </w:r>
      <w:r>
        <w:rPr>
          <w:sz w:val="20"/>
          <w:vertAlign w:val="superscript"/>
        </w:rPr>
        <w:t>20</w:t>
      </w:r>
      <w:r>
        <w:rPr>
          <w:sz w:val="20"/>
          <w:vertAlign w:val="baseline"/>
        </w:rPr>
        <w:t> outros potentes inibidores da CETP, continuam sob investigação clínica.</w:t>
      </w:r>
    </w:p>
    <w:p>
      <w:pPr>
        <w:spacing w:after="0" w:line="280" w:lineRule="auto"/>
        <w:jc w:val="both"/>
        <w:rPr>
          <w:sz w:val="20"/>
        </w:rPr>
        <w:sectPr>
          <w:pgSz w:w="11900" w:h="16840"/>
          <w:pgMar w:top="220" w:bottom="280" w:left="566" w:right="141"/>
        </w:sectPr>
      </w:pPr>
    </w:p>
    <w:p>
      <w:pPr>
        <w:spacing w:before="71"/>
        <w:ind w:left="52" w:right="0" w:firstLine="0"/>
        <w:jc w:val="left"/>
        <w:rPr>
          <w:rFonts w:ascii="Arial"/>
          <w:b/>
          <w:i/>
          <w:sz w:val="24"/>
        </w:rPr>
      </w:pPr>
      <w:r>
        <w:rPr>
          <w:rFonts w:ascii="Arial"/>
          <w:b/>
          <w:i/>
          <w:color w:val="242B67"/>
          <w:sz w:val="24"/>
        </w:rPr>
        <w:t>Polimorfismos</w:t>
      </w:r>
      <w:r>
        <w:rPr>
          <w:rFonts w:ascii="Arial"/>
          <w:b/>
          <w:i/>
          <w:color w:val="242B67"/>
          <w:spacing w:val="20"/>
          <w:sz w:val="24"/>
        </w:rPr>
        <w:t> </w:t>
      </w:r>
      <w:r>
        <w:rPr>
          <w:rFonts w:ascii="Arial"/>
          <w:b/>
          <w:i/>
          <w:color w:val="242B67"/>
          <w:sz w:val="24"/>
        </w:rPr>
        <w:t>da</w:t>
      </w:r>
      <w:r>
        <w:rPr>
          <w:rFonts w:ascii="Arial"/>
          <w:b/>
          <w:i/>
          <w:color w:val="242B67"/>
          <w:spacing w:val="20"/>
          <w:sz w:val="24"/>
        </w:rPr>
        <w:t> </w:t>
      </w:r>
      <w:r>
        <w:rPr>
          <w:rFonts w:ascii="Arial"/>
          <w:b/>
          <w:i/>
          <w:color w:val="242B67"/>
          <w:spacing w:val="-2"/>
          <w:sz w:val="24"/>
        </w:rPr>
        <w:t>paraoxonase</w:t>
      </w:r>
    </w:p>
    <w:p>
      <w:pPr>
        <w:spacing w:line="278" w:lineRule="auto" w:before="110"/>
        <w:ind w:left="52" w:right="476" w:firstLine="300"/>
        <w:jc w:val="both"/>
        <w:rPr>
          <w:sz w:val="20"/>
        </w:rPr>
      </w:pPr>
      <w:r>
        <w:rPr>
          <w:sz w:val="20"/>
        </w:rPr>
        <w:t>A</w:t>
      </w:r>
      <w:r>
        <w:rPr>
          <w:spacing w:val="-6"/>
          <w:sz w:val="20"/>
        </w:rPr>
        <w:t> </w:t>
      </w:r>
      <w:r>
        <w:rPr>
          <w:sz w:val="20"/>
        </w:rPr>
        <w:t>paraoxonase</w:t>
      </w:r>
      <w:r>
        <w:rPr>
          <w:spacing w:val="-6"/>
          <w:sz w:val="20"/>
        </w:rPr>
        <w:t> </w:t>
      </w:r>
      <w:r>
        <w:rPr>
          <w:sz w:val="20"/>
        </w:rPr>
        <w:t>(PON) é</w:t>
      </w:r>
      <w:r>
        <w:rPr>
          <w:spacing w:val="-6"/>
          <w:sz w:val="20"/>
        </w:rPr>
        <w:t> </w:t>
      </w:r>
      <w:r>
        <w:rPr>
          <w:sz w:val="20"/>
        </w:rPr>
        <w:t>uma</w:t>
      </w:r>
      <w:r>
        <w:rPr>
          <w:spacing w:val="-6"/>
          <w:sz w:val="20"/>
        </w:rPr>
        <w:t> </w:t>
      </w:r>
      <w:r>
        <w:rPr>
          <w:sz w:val="20"/>
        </w:rPr>
        <w:t>arilesterase</w:t>
      </w:r>
      <w:r>
        <w:rPr>
          <w:spacing w:val="-6"/>
          <w:sz w:val="20"/>
        </w:rPr>
        <w:t> </w:t>
      </w:r>
      <w:r>
        <w:rPr>
          <w:sz w:val="20"/>
        </w:rPr>
        <w:t>associada</w:t>
      </w:r>
      <w:r>
        <w:rPr>
          <w:spacing w:val="-6"/>
          <w:sz w:val="20"/>
        </w:rPr>
        <w:t> </w:t>
      </w:r>
      <w:r>
        <w:rPr>
          <w:sz w:val="20"/>
        </w:rPr>
        <w:t>à</w:t>
      </w:r>
      <w:r>
        <w:rPr>
          <w:spacing w:val="-6"/>
          <w:sz w:val="20"/>
        </w:rPr>
        <w:t> </w:t>
      </w:r>
      <w:r>
        <w:rPr>
          <w:sz w:val="20"/>
        </w:rPr>
        <w:t>HDL capaz</w:t>
      </w:r>
      <w:r>
        <w:rPr>
          <w:spacing w:val="-6"/>
          <w:sz w:val="20"/>
        </w:rPr>
        <w:t> </w:t>
      </w:r>
      <w:r>
        <w:rPr>
          <w:sz w:val="20"/>
        </w:rPr>
        <w:t>de</w:t>
      </w:r>
      <w:r>
        <w:rPr>
          <w:spacing w:val="-6"/>
          <w:sz w:val="20"/>
        </w:rPr>
        <w:t> </w:t>
      </w:r>
      <w:r>
        <w:rPr>
          <w:sz w:val="20"/>
        </w:rPr>
        <w:t>impedir a</w:t>
      </w:r>
      <w:r>
        <w:rPr>
          <w:spacing w:val="-6"/>
          <w:sz w:val="20"/>
        </w:rPr>
        <w:t> </w:t>
      </w:r>
      <w:r>
        <w:rPr>
          <w:sz w:val="20"/>
        </w:rPr>
        <w:t>oxidação</w:t>
      </w:r>
      <w:r>
        <w:rPr>
          <w:spacing w:val="-4"/>
          <w:sz w:val="20"/>
        </w:rPr>
        <w:t> </w:t>
      </w:r>
      <w:r>
        <w:rPr>
          <w:sz w:val="20"/>
        </w:rPr>
        <w:t>das LDL e</w:t>
      </w:r>
      <w:r>
        <w:rPr>
          <w:spacing w:val="-6"/>
          <w:sz w:val="20"/>
        </w:rPr>
        <w:t> </w:t>
      </w:r>
      <w:r>
        <w:rPr>
          <w:sz w:val="20"/>
        </w:rPr>
        <w:t>da</w:t>
      </w:r>
      <w:r>
        <w:rPr>
          <w:spacing w:val="-6"/>
          <w:sz w:val="20"/>
        </w:rPr>
        <w:t> </w:t>
      </w:r>
      <w:r>
        <w:rPr>
          <w:sz w:val="20"/>
        </w:rPr>
        <w:t>própria</w:t>
      </w:r>
      <w:r>
        <w:rPr>
          <w:spacing w:val="-6"/>
          <w:sz w:val="20"/>
        </w:rPr>
        <w:t> </w:t>
      </w:r>
      <w:r>
        <w:rPr>
          <w:sz w:val="20"/>
        </w:rPr>
        <w:t>HDL. Está</w:t>
      </w:r>
      <w:r>
        <w:rPr>
          <w:spacing w:val="-6"/>
          <w:sz w:val="20"/>
        </w:rPr>
        <w:t> </w:t>
      </w:r>
      <w:r>
        <w:rPr>
          <w:sz w:val="20"/>
        </w:rPr>
        <w:t>presente na</w:t>
      </w:r>
      <w:r>
        <w:rPr>
          <w:spacing w:val="-2"/>
          <w:sz w:val="20"/>
        </w:rPr>
        <w:t> </w:t>
      </w:r>
      <w:r>
        <w:rPr>
          <w:sz w:val="20"/>
        </w:rPr>
        <w:t>parede</w:t>
      </w:r>
      <w:r>
        <w:rPr>
          <w:spacing w:val="-2"/>
          <w:sz w:val="20"/>
        </w:rPr>
        <w:t> </w:t>
      </w:r>
      <w:r>
        <w:rPr>
          <w:sz w:val="20"/>
        </w:rPr>
        <w:t>arterial normal, mas sua</w:t>
      </w:r>
      <w:r>
        <w:rPr>
          <w:spacing w:val="-2"/>
          <w:sz w:val="20"/>
        </w:rPr>
        <w:t> </w:t>
      </w:r>
      <w:r>
        <w:rPr>
          <w:sz w:val="20"/>
        </w:rPr>
        <w:t>concentração está</w:t>
      </w:r>
      <w:r>
        <w:rPr>
          <w:spacing w:val="-2"/>
          <w:sz w:val="20"/>
        </w:rPr>
        <w:t> </w:t>
      </w:r>
      <w:r>
        <w:rPr>
          <w:sz w:val="20"/>
        </w:rPr>
        <w:t>aumentada</w:t>
      </w:r>
      <w:r>
        <w:rPr>
          <w:spacing w:val="-2"/>
          <w:sz w:val="20"/>
        </w:rPr>
        <w:t> </w:t>
      </w:r>
      <w:r>
        <w:rPr>
          <w:sz w:val="20"/>
        </w:rPr>
        <w:t>na</w:t>
      </w:r>
      <w:r>
        <w:rPr>
          <w:spacing w:val="-2"/>
          <w:sz w:val="20"/>
        </w:rPr>
        <w:t> </w:t>
      </w:r>
      <w:r>
        <w:rPr>
          <w:sz w:val="20"/>
        </w:rPr>
        <w:t>placa</w:t>
      </w:r>
      <w:r>
        <w:rPr>
          <w:spacing w:val="-2"/>
          <w:sz w:val="20"/>
        </w:rPr>
        <w:t> </w:t>
      </w:r>
      <w:r>
        <w:rPr>
          <w:sz w:val="20"/>
        </w:rPr>
        <w:t>de</w:t>
      </w:r>
      <w:r>
        <w:rPr>
          <w:spacing w:val="-2"/>
          <w:sz w:val="20"/>
        </w:rPr>
        <w:t> </w:t>
      </w:r>
      <w:r>
        <w:rPr>
          <w:sz w:val="20"/>
        </w:rPr>
        <w:t>ateroma. Fatores genéticos determinam variabilidade</w:t>
      </w:r>
      <w:r>
        <w:rPr>
          <w:spacing w:val="-2"/>
          <w:sz w:val="20"/>
        </w:rPr>
        <w:t> </w:t>
      </w:r>
      <w:r>
        <w:rPr>
          <w:sz w:val="20"/>
        </w:rPr>
        <w:t>na atividade da PON. Dois polimorfismos foram bem estudados: PON 1-Q192R, e PON 1-M55L; nos diabéticos tipo 2, esses associaram-se</w:t>
      </w:r>
      <w:r>
        <w:rPr>
          <w:spacing w:val="-6"/>
          <w:sz w:val="20"/>
        </w:rPr>
        <w:t> </w:t>
      </w:r>
      <w:r>
        <w:rPr>
          <w:sz w:val="20"/>
        </w:rPr>
        <w:t>à</w:t>
      </w:r>
      <w:r>
        <w:rPr>
          <w:spacing w:val="-6"/>
          <w:sz w:val="20"/>
        </w:rPr>
        <w:t> </w:t>
      </w:r>
      <w:r>
        <w:rPr>
          <w:sz w:val="20"/>
        </w:rPr>
        <w:t>redução</w:t>
      </w:r>
      <w:r>
        <w:rPr>
          <w:spacing w:val="-3"/>
          <w:sz w:val="20"/>
        </w:rPr>
        <w:t> </w:t>
      </w:r>
      <w:r>
        <w:rPr>
          <w:sz w:val="20"/>
        </w:rPr>
        <w:t>da</w:t>
      </w:r>
      <w:r>
        <w:rPr>
          <w:spacing w:val="-6"/>
          <w:sz w:val="20"/>
        </w:rPr>
        <w:t> </w:t>
      </w:r>
      <w:r>
        <w:rPr>
          <w:sz w:val="20"/>
        </w:rPr>
        <w:t>atividade</w:t>
      </w:r>
      <w:r>
        <w:rPr>
          <w:spacing w:val="-6"/>
          <w:sz w:val="20"/>
        </w:rPr>
        <w:t> </w:t>
      </w:r>
      <w:r>
        <w:rPr>
          <w:sz w:val="20"/>
        </w:rPr>
        <w:t>enzimática</w:t>
      </w:r>
      <w:r>
        <w:rPr>
          <w:spacing w:val="-6"/>
          <w:sz w:val="20"/>
        </w:rPr>
        <w:t> </w:t>
      </w:r>
      <w:r>
        <w:rPr>
          <w:sz w:val="20"/>
        </w:rPr>
        <w:t>da</w:t>
      </w:r>
      <w:r>
        <w:rPr>
          <w:spacing w:val="-6"/>
          <w:sz w:val="20"/>
        </w:rPr>
        <w:t> </w:t>
      </w:r>
      <w:r>
        <w:rPr>
          <w:sz w:val="20"/>
        </w:rPr>
        <w:t>PON. O</w:t>
      </w:r>
      <w:r>
        <w:rPr>
          <w:spacing w:val="-6"/>
          <w:sz w:val="20"/>
        </w:rPr>
        <w:t> </w:t>
      </w:r>
      <w:r>
        <w:rPr>
          <w:sz w:val="20"/>
        </w:rPr>
        <w:t>estudo</w:t>
      </w:r>
      <w:r>
        <w:rPr>
          <w:spacing w:val="-3"/>
          <w:sz w:val="20"/>
        </w:rPr>
        <w:t> </w:t>
      </w:r>
      <w:r>
        <w:rPr>
          <w:sz w:val="20"/>
        </w:rPr>
        <w:t>Registre</w:t>
      </w:r>
      <w:r>
        <w:rPr>
          <w:spacing w:val="-6"/>
          <w:sz w:val="20"/>
        </w:rPr>
        <w:t> </w:t>
      </w:r>
      <w:r>
        <w:rPr>
          <w:sz w:val="20"/>
        </w:rPr>
        <w:t>Gironí del Cor (REGICOR) confirmou</w:t>
      </w:r>
      <w:r>
        <w:rPr>
          <w:spacing w:val="-3"/>
          <w:sz w:val="20"/>
        </w:rPr>
        <w:t> </w:t>
      </w:r>
      <w:r>
        <w:rPr>
          <w:sz w:val="20"/>
        </w:rPr>
        <w:t>que</w:t>
      </w:r>
      <w:r>
        <w:rPr>
          <w:spacing w:val="-6"/>
          <w:sz w:val="20"/>
        </w:rPr>
        <w:t> </w:t>
      </w:r>
      <w:r>
        <w:rPr>
          <w:sz w:val="20"/>
        </w:rPr>
        <w:t>o</w:t>
      </w:r>
      <w:r>
        <w:rPr>
          <w:spacing w:val="-3"/>
          <w:sz w:val="20"/>
        </w:rPr>
        <w:t> </w:t>
      </w:r>
      <w:r>
        <w:rPr>
          <w:sz w:val="20"/>
        </w:rPr>
        <w:t>alelo</w:t>
      </w:r>
      <w:r>
        <w:rPr>
          <w:spacing w:val="-3"/>
          <w:sz w:val="20"/>
        </w:rPr>
        <w:t> </w:t>
      </w:r>
      <w:r>
        <w:rPr>
          <w:sz w:val="20"/>
        </w:rPr>
        <w:t>192R da PON 1 aumentava o risco de infarto em diabéticos e que esse risco aumentava em 60% nos também fumantes.</w:t>
      </w:r>
      <w:r>
        <w:rPr>
          <w:sz w:val="20"/>
          <w:vertAlign w:val="superscript"/>
        </w:rPr>
        <w:t>21</w:t>
      </w:r>
    </w:p>
    <w:p>
      <w:pPr>
        <w:pStyle w:val="BodyText"/>
        <w:spacing w:before="25"/>
        <w:ind w:left="0" w:firstLine="0"/>
        <w:jc w:val="left"/>
        <w:rPr>
          <w:sz w:val="20"/>
        </w:rPr>
      </w:pPr>
    </w:p>
    <w:p>
      <w:pPr>
        <w:spacing w:before="0"/>
        <w:ind w:left="52" w:right="0" w:firstLine="0"/>
        <w:jc w:val="left"/>
        <w:rPr>
          <w:rFonts w:ascii="Arial"/>
          <w:b/>
          <w:i/>
          <w:sz w:val="24"/>
        </w:rPr>
      </w:pPr>
      <w:r>
        <w:rPr>
          <w:rFonts w:ascii="Arial"/>
          <w:b/>
          <w:i/>
          <w:color w:val="242B67"/>
          <w:sz w:val="24"/>
        </w:rPr>
        <w:t>Polimorfismos</w:t>
      </w:r>
      <w:r>
        <w:rPr>
          <w:rFonts w:ascii="Arial"/>
          <w:b/>
          <w:i/>
          <w:color w:val="242B67"/>
          <w:spacing w:val="19"/>
          <w:sz w:val="24"/>
        </w:rPr>
        <w:t> </w:t>
      </w:r>
      <w:r>
        <w:rPr>
          <w:rFonts w:ascii="Arial"/>
          <w:b/>
          <w:i/>
          <w:color w:val="242B67"/>
          <w:sz w:val="24"/>
        </w:rPr>
        <w:t>do</w:t>
      </w:r>
      <w:r>
        <w:rPr>
          <w:rFonts w:ascii="Arial"/>
          <w:b/>
          <w:i/>
          <w:color w:val="242B67"/>
          <w:spacing w:val="19"/>
          <w:sz w:val="24"/>
        </w:rPr>
        <w:t> </w:t>
      </w:r>
      <w:r>
        <w:rPr>
          <w:rFonts w:ascii="Arial"/>
          <w:b/>
          <w:i/>
          <w:color w:val="242B67"/>
          <w:sz w:val="24"/>
        </w:rPr>
        <w:t>gene</w:t>
      </w:r>
      <w:r>
        <w:rPr>
          <w:rFonts w:ascii="Arial"/>
          <w:b/>
          <w:i/>
          <w:color w:val="242B67"/>
          <w:spacing w:val="19"/>
          <w:sz w:val="24"/>
        </w:rPr>
        <w:t> </w:t>
      </w:r>
      <w:r>
        <w:rPr>
          <w:rFonts w:ascii="Arial"/>
          <w:b/>
          <w:i/>
          <w:color w:val="242B67"/>
          <w:sz w:val="24"/>
        </w:rPr>
        <w:t>que</w:t>
      </w:r>
      <w:r>
        <w:rPr>
          <w:rFonts w:ascii="Arial"/>
          <w:b/>
          <w:i/>
          <w:color w:val="242B67"/>
          <w:spacing w:val="20"/>
          <w:sz w:val="24"/>
        </w:rPr>
        <w:t> </w:t>
      </w:r>
      <w:r>
        <w:rPr>
          <w:rFonts w:ascii="Arial"/>
          <w:b/>
          <w:i/>
          <w:color w:val="242B67"/>
          <w:sz w:val="24"/>
        </w:rPr>
        <w:t>codifica</w:t>
      </w:r>
      <w:r>
        <w:rPr>
          <w:rFonts w:ascii="Arial"/>
          <w:b/>
          <w:i/>
          <w:color w:val="242B67"/>
          <w:spacing w:val="19"/>
          <w:sz w:val="24"/>
        </w:rPr>
        <w:t> </w:t>
      </w:r>
      <w:r>
        <w:rPr>
          <w:rFonts w:ascii="Arial"/>
          <w:b/>
          <w:i/>
          <w:color w:val="242B67"/>
          <w:sz w:val="24"/>
        </w:rPr>
        <w:t>para</w:t>
      </w:r>
      <w:r>
        <w:rPr>
          <w:rFonts w:ascii="Arial"/>
          <w:b/>
          <w:i/>
          <w:color w:val="242B67"/>
          <w:spacing w:val="19"/>
          <w:sz w:val="24"/>
        </w:rPr>
        <w:t> </w:t>
      </w:r>
      <w:r>
        <w:rPr>
          <w:rFonts w:ascii="Arial"/>
          <w:b/>
          <w:i/>
          <w:color w:val="242B67"/>
          <w:sz w:val="24"/>
        </w:rPr>
        <w:t>lecitina:colesterol</w:t>
      </w:r>
      <w:r>
        <w:rPr>
          <w:rFonts w:ascii="Arial"/>
          <w:b/>
          <w:i/>
          <w:color w:val="242B67"/>
          <w:spacing w:val="20"/>
          <w:sz w:val="24"/>
        </w:rPr>
        <w:t> </w:t>
      </w:r>
      <w:r>
        <w:rPr>
          <w:rFonts w:ascii="Arial"/>
          <w:b/>
          <w:i/>
          <w:color w:val="242B67"/>
          <w:spacing w:val="-2"/>
          <w:sz w:val="24"/>
        </w:rPr>
        <w:t>aciltransferase</w:t>
      </w:r>
    </w:p>
    <w:p>
      <w:pPr>
        <w:spacing w:line="278" w:lineRule="auto" w:before="111"/>
        <w:ind w:left="52" w:right="475" w:firstLine="300"/>
        <w:jc w:val="both"/>
        <w:rPr>
          <w:sz w:val="20"/>
        </w:rPr>
      </w:pPr>
      <w:r>
        <w:rPr>
          <w:sz w:val="20"/>
        </w:rPr>
        <w:t>Responsável pela transferência e esterificação do colesterol apresentado pelo transportador ATP (</w:t>
      </w:r>
      <w:r>
        <w:rPr>
          <w:i/>
          <w:sz w:val="20"/>
        </w:rPr>
        <w:t>ATP-binding cassette transporter </w:t>
      </w:r>
      <w:r>
        <w:rPr>
          <w:sz w:val="20"/>
        </w:rPr>
        <w:t>A1–</w:t>
      </w:r>
      <w:r>
        <w:rPr>
          <w:spacing w:val="-6"/>
          <w:sz w:val="20"/>
        </w:rPr>
        <w:t> </w:t>
      </w:r>
      <w:r>
        <w:rPr>
          <w:sz w:val="20"/>
        </w:rPr>
        <w:t>ABCA1)</w:t>
      </w:r>
      <w:r>
        <w:rPr>
          <w:spacing w:val="-1"/>
          <w:sz w:val="20"/>
        </w:rPr>
        <w:t> </w:t>
      </w:r>
      <w:r>
        <w:rPr>
          <w:sz w:val="20"/>
        </w:rPr>
        <w:t>a</w:t>
      </w:r>
      <w:r>
        <w:rPr>
          <w:spacing w:val="-8"/>
          <w:sz w:val="20"/>
        </w:rPr>
        <w:t> </w:t>
      </w:r>
      <w:r>
        <w:rPr>
          <w:sz w:val="20"/>
        </w:rPr>
        <w:t>HDL, sua</w:t>
      </w:r>
      <w:r>
        <w:rPr>
          <w:spacing w:val="-8"/>
          <w:sz w:val="20"/>
        </w:rPr>
        <w:t> </w:t>
      </w:r>
      <w:r>
        <w:rPr>
          <w:sz w:val="20"/>
        </w:rPr>
        <w:t>deficiência</w:t>
      </w:r>
      <w:r>
        <w:rPr>
          <w:spacing w:val="-8"/>
          <w:sz w:val="20"/>
        </w:rPr>
        <w:t> </w:t>
      </w:r>
      <w:r>
        <w:rPr>
          <w:sz w:val="20"/>
        </w:rPr>
        <w:t>é</w:t>
      </w:r>
      <w:r>
        <w:rPr>
          <w:spacing w:val="-8"/>
          <w:sz w:val="20"/>
        </w:rPr>
        <w:t> </w:t>
      </w:r>
      <w:r>
        <w:rPr>
          <w:sz w:val="20"/>
        </w:rPr>
        <w:t>uma</w:t>
      </w:r>
      <w:r>
        <w:rPr>
          <w:spacing w:val="-8"/>
          <w:sz w:val="20"/>
        </w:rPr>
        <w:t> </w:t>
      </w:r>
      <w:r>
        <w:rPr>
          <w:sz w:val="20"/>
        </w:rPr>
        <w:t>condição</w:t>
      </w:r>
      <w:r>
        <w:rPr>
          <w:spacing w:val="-6"/>
          <w:sz w:val="20"/>
        </w:rPr>
        <w:t> </w:t>
      </w:r>
      <w:r>
        <w:rPr>
          <w:sz w:val="20"/>
        </w:rPr>
        <w:t>recessiva</w:t>
      </w:r>
      <w:r>
        <w:rPr>
          <w:spacing w:val="-8"/>
          <w:sz w:val="20"/>
        </w:rPr>
        <w:t> </w:t>
      </w:r>
      <w:r>
        <w:rPr>
          <w:sz w:val="20"/>
        </w:rPr>
        <w:t>que</w:t>
      </w:r>
      <w:r>
        <w:rPr>
          <w:spacing w:val="-8"/>
          <w:sz w:val="20"/>
        </w:rPr>
        <w:t> </w:t>
      </w:r>
      <w:r>
        <w:rPr>
          <w:sz w:val="20"/>
        </w:rPr>
        <w:t>resulta</w:t>
      </w:r>
      <w:r>
        <w:rPr>
          <w:spacing w:val="-8"/>
          <w:sz w:val="20"/>
        </w:rPr>
        <w:t> </w:t>
      </w:r>
      <w:r>
        <w:rPr>
          <w:sz w:val="20"/>
        </w:rPr>
        <w:t>de</w:t>
      </w:r>
      <w:r>
        <w:rPr>
          <w:spacing w:val="-8"/>
          <w:sz w:val="20"/>
        </w:rPr>
        <w:t> </w:t>
      </w:r>
      <w:r>
        <w:rPr>
          <w:sz w:val="20"/>
        </w:rPr>
        <w:t>mutações estruturais de</w:t>
      </w:r>
      <w:r>
        <w:rPr>
          <w:spacing w:val="-8"/>
          <w:sz w:val="20"/>
        </w:rPr>
        <w:t> </w:t>
      </w:r>
      <w:r>
        <w:rPr>
          <w:sz w:val="20"/>
        </w:rPr>
        <w:t>seu</w:t>
      </w:r>
      <w:r>
        <w:rPr>
          <w:spacing w:val="-6"/>
          <w:sz w:val="20"/>
        </w:rPr>
        <w:t> </w:t>
      </w:r>
      <w:r>
        <w:rPr>
          <w:sz w:val="20"/>
        </w:rPr>
        <w:t>gene, em</w:t>
      </w:r>
      <w:r>
        <w:rPr>
          <w:spacing w:val="-6"/>
          <w:sz w:val="20"/>
        </w:rPr>
        <w:t> </w:t>
      </w:r>
      <w:r>
        <w:rPr>
          <w:sz w:val="20"/>
        </w:rPr>
        <w:t>que</w:t>
      </w:r>
      <w:r>
        <w:rPr>
          <w:spacing w:val="-8"/>
          <w:sz w:val="20"/>
        </w:rPr>
        <w:t> </w:t>
      </w:r>
      <w:r>
        <w:rPr>
          <w:sz w:val="20"/>
        </w:rPr>
        <w:t>a gravidade das manifestações fenotípicas depende de a deficiência ser completa (deficiência familiar de lecitina:colesterol aciltransferase, LCAT) ou incompleta (</w:t>
      </w:r>
      <w:r>
        <w:rPr>
          <w:i/>
          <w:sz w:val="20"/>
        </w:rPr>
        <w:t>fish eye disease</w:t>
      </w:r>
      <w:r>
        <w:rPr>
          <w:sz w:val="20"/>
        </w:rPr>
        <w:t>). Os níveis de HDL são muito baixos (1 a 10 mg/d</w:t>
      </w:r>
      <w:r>
        <w:rPr>
          <w:i/>
          <w:sz w:val="20"/>
        </w:rPr>
        <w:t>ℓ</w:t>
      </w:r>
      <w:r>
        <w:rPr>
          <w:sz w:val="20"/>
        </w:rPr>
        <w:t>), sendo a HDL do tipo nascente, os níveis de Apo AI estão reduzidos em cerca de</w:t>
      </w:r>
      <w:r>
        <w:rPr>
          <w:spacing w:val="-1"/>
          <w:sz w:val="20"/>
        </w:rPr>
        <w:t> </w:t>
      </w:r>
      <w:r>
        <w:rPr>
          <w:sz w:val="20"/>
        </w:rPr>
        <w:t>25% e há</w:t>
      </w:r>
      <w:r>
        <w:rPr>
          <w:spacing w:val="-1"/>
          <w:sz w:val="20"/>
        </w:rPr>
        <w:t> </w:t>
      </w:r>
      <w:r>
        <w:rPr>
          <w:sz w:val="20"/>
        </w:rPr>
        <w:t>associação com coronariopatia prematura, insuficiência renal e opacidade da córnea.</w:t>
      </w:r>
      <w:r>
        <w:rPr>
          <w:sz w:val="20"/>
          <w:vertAlign w:val="superscript"/>
        </w:rPr>
        <w:t>22</w:t>
      </w:r>
    </w:p>
    <w:p>
      <w:pPr>
        <w:pStyle w:val="BodyText"/>
        <w:spacing w:before="23"/>
        <w:ind w:left="0" w:firstLine="0"/>
        <w:jc w:val="left"/>
        <w:rPr>
          <w:sz w:val="20"/>
        </w:rPr>
      </w:pPr>
    </w:p>
    <w:p>
      <w:pPr>
        <w:spacing w:line="278" w:lineRule="auto" w:before="0"/>
        <w:ind w:left="52" w:right="497" w:firstLine="0"/>
        <w:jc w:val="left"/>
        <w:rPr>
          <w:rFonts w:ascii="Arial"/>
          <w:b/>
          <w:i/>
          <w:sz w:val="24"/>
        </w:rPr>
      </w:pPr>
      <w:r>
        <w:rPr>
          <w:rFonts w:ascii="Arial"/>
          <w:b/>
          <w:i/>
          <w:color w:val="242B67"/>
          <w:sz w:val="24"/>
        </w:rPr>
        <w:t>Polimorfismos do gene que codifica para o transportador ATP-binding cassette </w:t>
      </w:r>
      <w:r>
        <w:rPr>
          <w:rFonts w:ascii="Arial"/>
          <w:b/>
          <w:i/>
          <w:color w:val="242B67"/>
          <w:sz w:val="24"/>
        </w:rPr>
        <w:t>transporter </w:t>
      </w:r>
      <w:r>
        <w:rPr>
          <w:rFonts w:ascii="Arial"/>
          <w:b/>
          <w:i/>
          <w:color w:val="242B67"/>
          <w:spacing w:val="-6"/>
          <w:sz w:val="24"/>
        </w:rPr>
        <w:t>A1</w:t>
      </w:r>
    </w:p>
    <w:p>
      <w:pPr>
        <w:spacing w:line="280" w:lineRule="auto" w:before="66"/>
        <w:ind w:left="52" w:right="475" w:firstLine="300"/>
        <w:jc w:val="both"/>
        <w:rPr>
          <w:sz w:val="20"/>
        </w:rPr>
      </w:pPr>
      <w:r>
        <w:rPr>
          <w:sz w:val="20"/>
        </w:rPr>
        <w:t>O</w:t>
      </w:r>
      <w:r>
        <w:rPr>
          <w:spacing w:val="-7"/>
          <w:sz w:val="20"/>
        </w:rPr>
        <w:t> </w:t>
      </w:r>
      <w:r>
        <w:rPr>
          <w:sz w:val="20"/>
        </w:rPr>
        <w:t>ABCA-1</w:t>
      </w:r>
      <w:r>
        <w:rPr>
          <w:spacing w:val="-4"/>
          <w:sz w:val="20"/>
        </w:rPr>
        <w:t> </w:t>
      </w:r>
      <w:r>
        <w:rPr>
          <w:sz w:val="20"/>
        </w:rPr>
        <w:t>foi</w:t>
      </w:r>
      <w:r>
        <w:rPr>
          <w:spacing w:val="-2"/>
          <w:sz w:val="20"/>
        </w:rPr>
        <w:t> </w:t>
      </w:r>
      <w:r>
        <w:rPr>
          <w:sz w:val="20"/>
        </w:rPr>
        <w:t>identificado</w:t>
      </w:r>
      <w:r>
        <w:rPr>
          <w:spacing w:val="-4"/>
          <w:sz w:val="20"/>
        </w:rPr>
        <w:t> </w:t>
      </w:r>
      <w:r>
        <w:rPr>
          <w:sz w:val="20"/>
        </w:rPr>
        <w:t>recentemente</w:t>
      </w:r>
      <w:r>
        <w:rPr>
          <w:spacing w:val="-7"/>
          <w:sz w:val="20"/>
        </w:rPr>
        <w:t> </w:t>
      </w:r>
      <w:r>
        <w:rPr>
          <w:sz w:val="20"/>
        </w:rPr>
        <w:t>como</w:t>
      </w:r>
      <w:r>
        <w:rPr>
          <w:spacing w:val="-4"/>
          <w:sz w:val="20"/>
        </w:rPr>
        <w:t> </w:t>
      </w:r>
      <w:r>
        <w:rPr>
          <w:sz w:val="20"/>
        </w:rPr>
        <w:t>o</w:t>
      </w:r>
      <w:r>
        <w:rPr>
          <w:spacing w:val="-4"/>
          <w:sz w:val="20"/>
        </w:rPr>
        <w:t> </w:t>
      </w:r>
      <w:r>
        <w:rPr>
          <w:sz w:val="20"/>
        </w:rPr>
        <w:t>gene</w:t>
      </w:r>
      <w:r>
        <w:rPr>
          <w:spacing w:val="-7"/>
          <w:sz w:val="20"/>
        </w:rPr>
        <w:t> </w:t>
      </w:r>
      <w:r>
        <w:rPr>
          <w:sz w:val="20"/>
        </w:rPr>
        <w:t>responsável</w:t>
      </w:r>
      <w:r>
        <w:rPr>
          <w:spacing w:val="-2"/>
          <w:sz w:val="20"/>
        </w:rPr>
        <w:t> </w:t>
      </w:r>
      <w:r>
        <w:rPr>
          <w:sz w:val="20"/>
        </w:rPr>
        <w:t>pela</w:t>
      </w:r>
      <w:r>
        <w:rPr>
          <w:spacing w:val="-7"/>
          <w:sz w:val="20"/>
        </w:rPr>
        <w:t> </w:t>
      </w:r>
      <w:r>
        <w:rPr>
          <w:sz w:val="20"/>
        </w:rPr>
        <w:t>doença</w:t>
      </w:r>
      <w:r>
        <w:rPr>
          <w:spacing w:val="-7"/>
          <w:sz w:val="20"/>
        </w:rPr>
        <w:t> </w:t>
      </w:r>
      <w:r>
        <w:rPr>
          <w:sz w:val="20"/>
        </w:rPr>
        <w:t>de</w:t>
      </w:r>
      <w:r>
        <w:rPr>
          <w:spacing w:val="-7"/>
          <w:sz w:val="20"/>
        </w:rPr>
        <w:t> </w:t>
      </w:r>
      <w:r>
        <w:rPr>
          <w:sz w:val="20"/>
        </w:rPr>
        <w:t>Tangier. Os pacientes afetados têm</w:t>
      </w:r>
      <w:r>
        <w:rPr>
          <w:spacing w:val="-4"/>
          <w:sz w:val="20"/>
        </w:rPr>
        <w:t> </w:t>
      </w:r>
      <w:r>
        <w:rPr>
          <w:sz w:val="20"/>
        </w:rPr>
        <w:t>um</w:t>
      </w:r>
      <w:r>
        <w:rPr>
          <w:spacing w:val="-4"/>
          <w:sz w:val="20"/>
        </w:rPr>
        <w:t> </w:t>
      </w:r>
      <w:r>
        <w:rPr>
          <w:sz w:val="20"/>
        </w:rPr>
        <w:t>defeito na</w:t>
      </w:r>
      <w:r>
        <w:rPr>
          <w:spacing w:val="-7"/>
          <w:sz w:val="20"/>
        </w:rPr>
        <w:t> </w:t>
      </w:r>
      <w:r>
        <w:rPr>
          <w:sz w:val="20"/>
        </w:rPr>
        <w:t>remoção</w:t>
      </w:r>
      <w:r>
        <w:rPr>
          <w:spacing w:val="-4"/>
          <w:sz w:val="20"/>
        </w:rPr>
        <w:t> </w:t>
      </w:r>
      <w:r>
        <w:rPr>
          <w:sz w:val="20"/>
        </w:rPr>
        <w:t>celular do</w:t>
      </w:r>
      <w:r>
        <w:rPr>
          <w:spacing w:val="-4"/>
          <w:sz w:val="20"/>
        </w:rPr>
        <w:t> </w:t>
      </w:r>
      <w:r>
        <w:rPr>
          <w:sz w:val="20"/>
        </w:rPr>
        <w:t>colesterol</w:t>
      </w:r>
      <w:r>
        <w:rPr>
          <w:spacing w:val="-2"/>
          <w:sz w:val="20"/>
        </w:rPr>
        <w:t> </w:t>
      </w:r>
      <w:r>
        <w:rPr>
          <w:sz w:val="20"/>
        </w:rPr>
        <w:t>e</w:t>
      </w:r>
      <w:r>
        <w:rPr>
          <w:spacing w:val="-7"/>
          <w:sz w:val="20"/>
        </w:rPr>
        <w:t> </w:t>
      </w:r>
      <w:r>
        <w:rPr>
          <w:sz w:val="20"/>
        </w:rPr>
        <w:t>chegam</w:t>
      </w:r>
      <w:r>
        <w:rPr>
          <w:spacing w:val="-4"/>
          <w:sz w:val="20"/>
        </w:rPr>
        <w:t> </w:t>
      </w:r>
      <w:r>
        <w:rPr>
          <w:sz w:val="20"/>
        </w:rPr>
        <w:t>a</w:t>
      </w:r>
      <w:r>
        <w:rPr>
          <w:spacing w:val="-7"/>
          <w:sz w:val="20"/>
        </w:rPr>
        <w:t> </w:t>
      </w:r>
      <w:r>
        <w:rPr>
          <w:sz w:val="20"/>
        </w:rPr>
        <w:t>apresentar valores de</w:t>
      </w:r>
      <w:r>
        <w:rPr>
          <w:spacing w:val="-7"/>
          <w:sz w:val="20"/>
        </w:rPr>
        <w:t> </w:t>
      </w:r>
      <w:r>
        <w:rPr>
          <w:sz w:val="20"/>
        </w:rPr>
        <w:t>HDL-colesterol</w:t>
      </w:r>
      <w:r>
        <w:rPr>
          <w:spacing w:val="-2"/>
          <w:sz w:val="20"/>
        </w:rPr>
        <w:t> </w:t>
      </w:r>
      <w:r>
        <w:rPr>
          <w:sz w:val="20"/>
        </w:rPr>
        <w:t>próximos de</w:t>
      </w:r>
      <w:r>
        <w:rPr>
          <w:spacing w:val="-7"/>
          <w:sz w:val="20"/>
        </w:rPr>
        <w:t> </w:t>
      </w:r>
      <w:r>
        <w:rPr>
          <w:sz w:val="20"/>
        </w:rPr>
        <w:t>zero</w:t>
      </w:r>
      <w:r>
        <w:rPr>
          <w:spacing w:val="-4"/>
          <w:sz w:val="20"/>
        </w:rPr>
        <w:t> </w:t>
      </w:r>
      <w:r>
        <w:rPr>
          <w:sz w:val="20"/>
        </w:rPr>
        <w:t>no</w:t>
      </w:r>
      <w:r>
        <w:rPr>
          <w:spacing w:val="-4"/>
          <w:sz w:val="20"/>
        </w:rPr>
        <w:t> </w:t>
      </w:r>
      <w:r>
        <w:rPr>
          <w:sz w:val="20"/>
        </w:rPr>
        <w:t>plasma</w:t>
      </w:r>
      <w:r>
        <w:rPr>
          <w:spacing w:val="-7"/>
          <w:sz w:val="20"/>
        </w:rPr>
        <w:t> </w:t>
      </w:r>
      <w:r>
        <w:rPr>
          <w:sz w:val="20"/>
        </w:rPr>
        <w:t>e</w:t>
      </w:r>
      <w:r>
        <w:rPr>
          <w:spacing w:val="-7"/>
          <w:sz w:val="20"/>
        </w:rPr>
        <w:t> </w:t>
      </w:r>
      <w:r>
        <w:rPr>
          <w:sz w:val="20"/>
        </w:rPr>
        <w:t>um</w:t>
      </w:r>
      <w:r>
        <w:rPr>
          <w:spacing w:val="-4"/>
          <w:sz w:val="20"/>
        </w:rPr>
        <w:t> </w:t>
      </w:r>
      <w:r>
        <w:rPr>
          <w:sz w:val="20"/>
        </w:rPr>
        <w:t>depósito</w:t>
      </w:r>
      <w:r>
        <w:rPr>
          <w:spacing w:val="-4"/>
          <w:sz w:val="20"/>
        </w:rPr>
        <w:t> </w:t>
      </w:r>
      <w:r>
        <w:rPr>
          <w:sz w:val="20"/>
        </w:rPr>
        <w:t>maciço de</w:t>
      </w:r>
      <w:r>
        <w:rPr>
          <w:spacing w:val="-3"/>
          <w:sz w:val="20"/>
        </w:rPr>
        <w:t> </w:t>
      </w:r>
      <w:r>
        <w:rPr>
          <w:sz w:val="20"/>
        </w:rPr>
        <w:t>ésteres de</w:t>
      </w:r>
      <w:r>
        <w:rPr>
          <w:spacing w:val="-3"/>
          <w:sz w:val="20"/>
        </w:rPr>
        <w:t> </w:t>
      </w:r>
      <w:r>
        <w:rPr>
          <w:sz w:val="20"/>
        </w:rPr>
        <w:t>colesterol nos tecidos, particularmente</w:t>
      </w:r>
      <w:r>
        <w:rPr>
          <w:spacing w:val="-3"/>
          <w:sz w:val="20"/>
        </w:rPr>
        <w:t> </w:t>
      </w:r>
      <w:r>
        <w:rPr>
          <w:sz w:val="20"/>
        </w:rPr>
        <w:t>nos órgãos linfoides. Embora</w:t>
      </w:r>
      <w:r>
        <w:rPr>
          <w:spacing w:val="-3"/>
          <w:sz w:val="20"/>
        </w:rPr>
        <w:t> </w:t>
      </w:r>
      <w:r>
        <w:rPr>
          <w:sz w:val="20"/>
        </w:rPr>
        <w:t>seja</w:t>
      </w:r>
      <w:r>
        <w:rPr>
          <w:spacing w:val="-3"/>
          <w:sz w:val="20"/>
        </w:rPr>
        <w:t> </w:t>
      </w:r>
      <w:r>
        <w:rPr>
          <w:sz w:val="20"/>
        </w:rPr>
        <w:t>de</w:t>
      </w:r>
      <w:r>
        <w:rPr>
          <w:spacing w:val="-3"/>
          <w:sz w:val="20"/>
        </w:rPr>
        <w:t> </w:t>
      </w:r>
      <w:r>
        <w:rPr>
          <w:sz w:val="20"/>
        </w:rPr>
        <w:t>herança</w:t>
      </w:r>
      <w:r>
        <w:rPr>
          <w:spacing w:val="-3"/>
          <w:sz w:val="20"/>
        </w:rPr>
        <w:t> </w:t>
      </w:r>
      <w:r>
        <w:rPr>
          <w:sz w:val="20"/>
        </w:rPr>
        <w:t>mendeliana</w:t>
      </w:r>
      <w:r>
        <w:rPr>
          <w:spacing w:val="-3"/>
          <w:sz w:val="20"/>
        </w:rPr>
        <w:t> </w:t>
      </w:r>
      <w:r>
        <w:rPr>
          <w:sz w:val="20"/>
        </w:rPr>
        <w:t>autossômica</w:t>
      </w:r>
      <w:r>
        <w:rPr>
          <w:spacing w:val="-3"/>
          <w:sz w:val="20"/>
        </w:rPr>
        <w:t> </w:t>
      </w:r>
      <w:r>
        <w:rPr>
          <w:sz w:val="20"/>
        </w:rPr>
        <w:t>recessiva e rara, foi descrito outro polimorfismo nesse transportador (-477T/C), em que os portadores de pelo menos um alelo T (TT/TC) apresentaram reduções modestas de HDL-colesterol e de Apo A-I, porém com doença coronariana grave à angiografia.</w:t>
      </w:r>
      <w:r>
        <w:rPr>
          <w:sz w:val="20"/>
          <w:vertAlign w:val="superscript"/>
        </w:rPr>
        <w:t>23</w:t>
      </w:r>
      <w:r>
        <w:rPr>
          <w:sz w:val="20"/>
          <w:vertAlign w:val="baseline"/>
        </w:rPr>
        <w:t> Recentemente foi identificado, em uma população japonesa, um alelo potencialmente antiaterogênico, que aumenta a atividade do transportador e, consequentemente, o efluxo do colesterol.</w:t>
      </w:r>
      <w:r>
        <w:rPr>
          <w:sz w:val="20"/>
          <w:vertAlign w:val="superscript"/>
        </w:rPr>
        <w:t>24</w:t>
      </w:r>
    </w:p>
    <w:p>
      <w:pPr>
        <w:pStyle w:val="BodyText"/>
        <w:spacing w:before="111"/>
        <w:ind w:left="0" w:firstLine="0"/>
        <w:jc w:val="left"/>
        <w:rPr>
          <w:sz w:val="20"/>
        </w:rPr>
      </w:pPr>
    </w:p>
    <w:p>
      <w:pPr>
        <w:pStyle w:val="Heading8"/>
      </w:pPr>
      <w:r>
        <w:rPr>
          <w:color w:val="A26108"/>
        </w:rPr>
        <w:t>Genes</w:t>
      </w:r>
      <w:r>
        <w:rPr>
          <w:color w:val="A26108"/>
          <w:spacing w:val="12"/>
        </w:rPr>
        <w:t> </w:t>
      </w:r>
      <w:r>
        <w:rPr>
          <w:color w:val="A26108"/>
        </w:rPr>
        <w:t>que</w:t>
      </w:r>
      <w:r>
        <w:rPr>
          <w:color w:val="A26108"/>
          <w:spacing w:val="13"/>
        </w:rPr>
        <w:t> </w:t>
      </w:r>
      <w:r>
        <w:rPr>
          <w:color w:val="A26108"/>
        </w:rPr>
        <w:t>afetam</w:t>
      </w:r>
      <w:r>
        <w:rPr>
          <w:color w:val="A26108"/>
          <w:spacing w:val="12"/>
        </w:rPr>
        <w:t> </w:t>
      </w:r>
      <w:r>
        <w:rPr>
          <w:color w:val="A26108"/>
        </w:rPr>
        <w:t>a</w:t>
      </w:r>
      <w:r>
        <w:rPr>
          <w:color w:val="A26108"/>
          <w:spacing w:val="13"/>
        </w:rPr>
        <w:t> </w:t>
      </w:r>
      <w:r>
        <w:rPr>
          <w:color w:val="A26108"/>
        </w:rPr>
        <w:t>função</w:t>
      </w:r>
      <w:r>
        <w:rPr>
          <w:color w:val="A26108"/>
          <w:spacing w:val="13"/>
        </w:rPr>
        <w:t> </w:t>
      </w:r>
      <w:r>
        <w:rPr>
          <w:color w:val="A26108"/>
        </w:rPr>
        <w:t>endotelial</w:t>
      </w:r>
      <w:r>
        <w:rPr>
          <w:color w:val="A26108"/>
          <w:spacing w:val="12"/>
        </w:rPr>
        <w:t> </w:t>
      </w:r>
      <w:r>
        <w:rPr>
          <w:color w:val="A26108"/>
        </w:rPr>
        <w:t>e</w:t>
      </w:r>
      <w:r>
        <w:rPr>
          <w:color w:val="A26108"/>
          <w:spacing w:val="13"/>
        </w:rPr>
        <w:t> </w:t>
      </w:r>
      <w:r>
        <w:rPr>
          <w:color w:val="A26108"/>
        </w:rPr>
        <w:t>o</w:t>
      </w:r>
      <w:r>
        <w:rPr>
          <w:color w:val="A26108"/>
          <w:spacing w:val="12"/>
        </w:rPr>
        <w:t> </w:t>
      </w:r>
      <w:r>
        <w:rPr>
          <w:color w:val="A26108"/>
        </w:rPr>
        <w:t>risco</w:t>
      </w:r>
      <w:r>
        <w:rPr>
          <w:color w:val="A26108"/>
          <w:spacing w:val="13"/>
        </w:rPr>
        <w:t> </w:t>
      </w:r>
      <w:r>
        <w:rPr>
          <w:color w:val="A26108"/>
          <w:spacing w:val="-2"/>
        </w:rPr>
        <w:t>trombótico</w:t>
      </w:r>
    </w:p>
    <w:p>
      <w:pPr>
        <w:spacing w:before="124"/>
        <w:ind w:left="52" w:right="0" w:firstLine="0"/>
        <w:jc w:val="left"/>
        <w:rPr>
          <w:rFonts w:ascii="Arial" w:hAnsi="Arial"/>
          <w:b/>
          <w:i/>
          <w:sz w:val="24"/>
        </w:rPr>
      </w:pPr>
      <w:r>
        <w:rPr>
          <w:rFonts w:ascii="Arial" w:hAnsi="Arial"/>
          <w:b/>
          <w:i/>
          <w:color w:val="242B67"/>
          <w:sz w:val="24"/>
        </w:rPr>
        <w:t>Polimorfismos</w:t>
      </w:r>
      <w:r>
        <w:rPr>
          <w:rFonts w:ascii="Arial" w:hAnsi="Arial"/>
          <w:b/>
          <w:i/>
          <w:color w:val="242B67"/>
          <w:spacing w:val="17"/>
          <w:sz w:val="24"/>
        </w:rPr>
        <w:t> </w:t>
      </w:r>
      <w:r>
        <w:rPr>
          <w:rFonts w:ascii="Arial" w:hAnsi="Arial"/>
          <w:b/>
          <w:i/>
          <w:color w:val="242B67"/>
          <w:sz w:val="24"/>
        </w:rPr>
        <w:t>da</w:t>
      </w:r>
      <w:r>
        <w:rPr>
          <w:rFonts w:ascii="Arial" w:hAnsi="Arial"/>
          <w:b/>
          <w:i/>
          <w:color w:val="242B67"/>
          <w:spacing w:val="18"/>
          <w:sz w:val="24"/>
        </w:rPr>
        <w:t> </w:t>
      </w:r>
      <w:r>
        <w:rPr>
          <w:rFonts w:ascii="Arial" w:hAnsi="Arial"/>
          <w:b/>
          <w:i/>
          <w:color w:val="242B67"/>
          <w:sz w:val="24"/>
        </w:rPr>
        <w:t>óxido</w:t>
      </w:r>
      <w:r>
        <w:rPr>
          <w:rFonts w:ascii="Arial" w:hAnsi="Arial"/>
          <w:b/>
          <w:i/>
          <w:color w:val="242B67"/>
          <w:spacing w:val="17"/>
          <w:sz w:val="24"/>
        </w:rPr>
        <w:t> </w:t>
      </w:r>
      <w:r>
        <w:rPr>
          <w:rFonts w:ascii="Arial" w:hAnsi="Arial"/>
          <w:b/>
          <w:i/>
          <w:color w:val="242B67"/>
          <w:sz w:val="24"/>
        </w:rPr>
        <w:t>nítrico</w:t>
      </w:r>
      <w:r>
        <w:rPr>
          <w:rFonts w:ascii="Arial" w:hAnsi="Arial"/>
          <w:b/>
          <w:i/>
          <w:color w:val="242B67"/>
          <w:spacing w:val="18"/>
          <w:sz w:val="24"/>
        </w:rPr>
        <w:t> </w:t>
      </w:r>
      <w:r>
        <w:rPr>
          <w:rFonts w:ascii="Arial" w:hAnsi="Arial"/>
          <w:b/>
          <w:i/>
          <w:color w:val="242B67"/>
          <w:sz w:val="24"/>
        </w:rPr>
        <w:t>sintase</w:t>
      </w:r>
      <w:r>
        <w:rPr>
          <w:rFonts w:ascii="Arial" w:hAnsi="Arial"/>
          <w:b/>
          <w:i/>
          <w:color w:val="242B67"/>
          <w:spacing w:val="17"/>
          <w:sz w:val="24"/>
        </w:rPr>
        <w:t> </w:t>
      </w:r>
      <w:r>
        <w:rPr>
          <w:rFonts w:ascii="Arial" w:hAnsi="Arial"/>
          <w:b/>
          <w:i/>
          <w:color w:val="242B67"/>
          <w:spacing w:val="-2"/>
          <w:sz w:val="24"/>
        </w:rPr>
        <w:t>endotelial</w:t>
      </w:r>
    </w:p>
    <w:p>
      <w:pPr>
        <w:spacing w:line="278" w:lineRule="auto" w:before="110"/>
        <w:ind w:left="52" w:right="475" w:firstLine="300"/>
        <w:jc w:val="both"/>
        <w:rPr>
          <w:sz w:val="20"/>
        </w:rPr>
      </w:pPr>
      <w:r>
        <w:rPr>
          <w:sz w:val="20"/>
        </w:rPr>
        <w:t>A capacidade de contrapor-se ao estresse oxidativo e manter a homeostase endotelial pode depender de um polimorfismo na enzima óxido nítrico sintase (NOS E298D), em que os portadores do genótipo DD têm uma capacidade vasodilatadora diminuída à custa de menor produção de óxido nítrico (NO, </w:t>
      </w:r>
      <w:r>
        <w:rPr>
          <w:i/>
          <w:sz w:val="20"/>
        </w:rPr>
        <w:t>nitric oxide</w:t>
      </w:r>
      <w:r>
        <w:rPr>
          <w:sz w:val="20"/>
        </w:rPr>
        <w:t>), piorando a função endotelial e aumentando o risco de DAC. Demonstrou-se</w:t>
      </w:r>
      <w:r>
        <w:rPr>
          <w:spacing w:val="-7"/>
          <w:sz w:val="20"/>
        </w:rPr>
        <w:t> </w:t>
      </w:r>
      <w:r>
        <w:rPr>
          <w:sz w:val="20"/>
        </w:rPr>
        <w:t>por</w:t>
      </w:r>
      <w:r>
        <w:rPr>
          <w:spacing w:val="-1"/>
          <w:sz w:val="20"/>
        </w:rPr>
        <w:t> </w:t>
      </w:r>
      <w:r>
        <w:rPr>
          <w:sz w:val="20"/>
        </w:rPr>
        <w:t>meio</w:t>
      </w:r>
      <w:r>
        <w:rPr>
          <w:spacing w:val="-5"/>
          <w:sz w:val="20"/>
        </w:rPr>
        <w:t> </w:t>
      </w:r>
      <w:r>
        <w:rPr>
          <w:sz w:val="20"/>
        </w:rPr>
        <w:t>de</w:t>
      </w:r>
      <w:r>
        <w:rPr>
          <w:spacing w:val="-7"/>
          <w:sz w:val="20"/>
        </w:rPr>
        <w:t> </w:t>
      </w:r>
      <w:r>
        <w:rPr>
          <w:sz w:val="20"/>
        </w:rPr>
        <w:t>dados de</w:t>
      </w:r>
      <w:r>
        <w:rPr>
          <w:spacing w:val="-7"/>
          <w:sz w:val="20"/>
        </w:rPr>
        <w:t> </w:t>
      </w:r>
      <w:r>
        <w:rPr>
          <w:sz w:val="20"/>
        </w:rPr>
        <w:t>metanálise</w:t>
      </w:r>
      <w:r>
        <w:rPr>
          <w:spacing w:val="-7"/>
          <w:sz w:val="20"/>
        </w:rPr>
        <w:t> </w:t>
      </w:r>
      <w:r>
        <w:rPr>
          <w:sz w:val="20"/>
        </w:rPr>
        <w:t>que</w:t>
      </w:r>
      <w:r>
        <w:rPr>
          <w:spacing w:val="-7"/>
          <w:sz w:val="20"/>
        </w:rPr>
        <w:t> </w:t>
      </w:r>
      <w:r>
        <w:rPr>
          <w:sz w:val="20"/>
        </w:rPr>
        <w:t>os homozigotos DD</w:t>
      </w:r>
      <w:r>
        <w:rPr>
          <w:spacing w:val="-7"/>
          <w:sz w:val="20"/>
        </w:rPr>
        <w:t> </w:t>
      </w:r>
      <w:r>
        <w:rPr>
          <w:sz w:val="20"/>
        </w:rPr>
        <w:t>apresentam</w:t>
      </w:r>
      <w:r>
        <w:rPr>
          <w:spacing w:val="-5"/>
          <w:sz w:val="20"/>
        </w:rPr>
        <w:t> </w:t>
      </w:r>
      <w:r>
        <w:rPr>
          <w:sz w:val="20"/>
        </w:rPr>
        <w:t>um</w:t>
      </w:r>
      <w:r>
        <w:rPr>
          <w:spacing w:val="-5"/>
          <w:sz w:val="20"/>
        </w:rPr>
        <w:t> </w:t>
      </w:r>
      <w:r>
        <w:rPr>
          <w:sz w:val="20"/>
        </w:rPr>
        <w:t>risco</w:t>
      </w:r>
      <w:r>
        <w:rPr>
          <w:spacing w:val="-5"/>
          <w:sz w:val="20"/>
        </w:rPr>
        <w:t> </w:t>
      </w:r>
      <w:r>
        <w:rPr>
          <w:sz w:val="20"/>
        </w:rPr>
        <w:t>de</w:t>
      </w:r>
      <w:r>
        <w:rPr>
          <w:spacing w:val="-7"/>
          <w:sz w:val="20"/>
        </w:rPr>
        <w:t> </w:t>
      </w:r>
      <w:r>
        <w:rPr>
          <w:sz w:val="20"/>
        </w:rPr>
        <w:t>infarto</w:t>
      </w:r>
      <w:r>
        <w:rPr>
          <w:spacing w:val="-5"/>
          <w:sz w:val="20"/>
        </w:rPr>
        <w:t> </w:t>
      </w:r>
      <w:r>
        <w:rPr>
          <w:sz w:val="20"/>
        </w:rPr>
        <w:t>do</w:t>
      </w:r>
      <w:r>
        <w:rPr>
          <w:spacing w:val="-5"/>
          <w:sz w:val="20"/>
        </w:rPr>
        <w:t> </w:t>
      </w:r>
      <w:r>
        <w:rPr>
          <w:sz w:val="20"/>
        </w:rPr>
        <w:t>miocárdio</w:t>
      </w:r>
      <w:r>
        <w:rPr>
          <w:spacing w:val="-5"/>
          <w:sz w:val="20"/>
        </w:rPr>
        <w:t> </w:t>
      </w:r>
      <w:r>
        <w:rPr>
          <w:sz w:val="20"/>
        </w:rPr>
        <w:t>30%</w:t>
      </w:r>
      <w:r>
        <w:rPr>
          <w:spacing w:val="-2"/>
          <w:sz w:val="20"/>
        </w:rPr>
        <w:t> </w:t>
      </w:r>
      <w:r>
        <w:rPr>
          <w:sz w:val="20"/>
        </w:rPr>
        <w:t>maior</w:t>
      </w:r>
      <w:r>
        <w:rPr>
          <w:spacing w:val="-1"/>
          <w:sz w:val="20"/>
        </w:rPr>
        <w:t> </w:t>
      </w:r>
      <w:r>
        <w:rPr>
          <w:sz w:val="20"/>
        </w:rPr>
        <w:t>do que os não portadores desse genótipo.</w:t>
      </w:r>
      <w:r>
        <w:rPr>
          <w:sz w:val="20"/>
          <w:vertAlign w:val="superscript"/>
        </w:rPr>
        <w:t>25</w:t>
      </w:r>
    </w:p>
    <w:p>
      <w:pPr>
        <w:pStyle w:val="BodyText"/>
        <w:spacing w:before="25"/>
        <w:ind w:left="0" w:firstLine="0"/>
        <w:jc w:val="left"/>
        <w:rPr>
          <w:sz w:val="20"/>
        </w:rPr>
      </w:pPr>
    </w:p>
    <w:p>
      <w:pPr>
        <w:spacing w:before="0"/>
        <w:ind w:left="52" w:right="0" w:firstLine="0"/>
        <w:jc w:val="left"/>
        <w:rPr>
          <w:rFonts w:ascii="Arial"/>
          <w:b/>
          <w:i/>
          <w:sz w:val="24"/>
        </w:rPr>
      </w:pPr>
      <w:r>
        <w:rPr>
          <w:rFonts w:ascii="Arial"/>
          <w:b/>
          <w:i/>
          <w:color w:val="242B67"/>
          <w:sz w:val="24"/>
        </w:rPr>
        <w:t>Polimorfismos</w:t>
      </w:r>
      <w:r>
        <w:rPr>
          <w:rFonts w:ascii="Arial"/>
          <w:b/>
          <w:i/>
          <w:color w:val="242B67"/>
          <w:spacing w:val="31"/>
          <w:sz w:val="24"/>
        </w:rPr>
        <w:t> </w:t>
      </w:r>
      <w:r>
        <w:rPr>
          <w:rFonts w:ascii="Arial"/>
          <w:b/>
          <w:i/>
          <w:color w:val="242B67"/>
          <w:sz w:val="24"/>
        </w:rPr>
        <w:t>da</w:t>
      </w:r>
      <w:r>
        <w:rPr>
          <w:rFonts w:ascii="Arial"/>
          <w:b/>
          <w:i/>
          <w:color w:val="242B67"/>
          <w:spacing w:val="31"/>
          <w:sz w:val="24"/>
        </w:rPr>
        <w:t> </w:t>
      </w:r>
      <w:r>
        <w:rPr>
          <w:rFonts w:ascii="Arial"/>
          <w:b/>
          <w:i/>
          <w:color w:val="242B67"/>
          <w:sz w:val="24"/>
        </w:rPr>
        <w:t>metilenotetraidrofolato</w:t>
      </w:r>
      <w:r>
        <w:rPr>
          <w:rFonts w:ascii="Arial"/>
          <w:b/>
          <w:i/>
          <w:color w:val="242B67"/>
          <w:spacing w:val="32"/>
          <w:sz w:val="24"/>
        </w:rPr>
        <w:t> </w:t>
      </w:r>
      <w:r>
        <w:rPr>
          <w:rFonts w:ascii="Arial"/>
          <w:b/>
          <w:i/>
          <w:color w:val="242B67"/>
          <w:spacing w:val="-2"/>
          <w:sz w:val="24"/>
        </w:rPr>
        <w:t>redutase</w:t>
      </w:r>
    </w:p>
    <w:p>
      <w:pPr>
        <w:spacing w:line="280" w:lineRule="auto" w:before="111"/>
        <w:ind w:left="52" w:right="475" w:firstLine="300"/>
        <w:jc w:val="both"/>
        <w:rPr>
          <w:sz w:val="20"/>
        </w:rPr>
      </w:pPr>
      <w:r>
        <w:rPr>
          <w:sz w:val="20"/>
        </w:rPr>
        <w:t>A hiper-homocisteinemia tem papel aterogênico ao provocar disfunção endotelial, aumentando o estresse oxidativo e o risco trombótico. Na</w:t>
      </w:r>
      <w:r>
        <w:rPr>
          <w:spacing w:val="-7"/>
          <w:sz w:val="20"/>
        </w:rPr>
        <w:t> </w:t>
      </w:r>
      <w:r>
        <w:rPr>
          <w:sz w:val="20"/>
        </w:rPr>
        <w:t>variante</w:t>
      </w:r>
      <w:r>
        <w:rPr>
          <w:spacing w:val="-7"/>
          <w:sz w:val="20"/>
        </w:rPr>
        <w:t> </w:t>
      </w:r>
      <w:r>
        <w:rPr>
          <w:sz w:val="20"/>
        </w:rPr>
        <w:t>termolábil</w:t>
      </w:r>
      <w:r>
        <w:rPr>
          <w:spacing w:val="-2"/>
          <w:sz w:val="20"/>
        </w:rPr>
        <w:t> </w:t>
      </w:r>
      <w:r>
        <w:rPr>
          <w:sz w:val="20"/>
        </w:rPr>
        <w:t>da</w:t>
      </w:r>
      <w:r>
        <w:rPr>
          <w:spacing w:val="-7"/>
          <w:sz w:val="20"/>
        </w:rPr>
        <w:t> </w:t>
      </w:r>
      <w:r>
        <w:rPr>
          <w:sz w:val="20"/>
        </w:rPr>
        <w:t>metilenotetraidrofolato</w:t>
      </w:r>
      <w:r>
        <w:rPr>
          <w:spacing w:val="-5"/>
          <w:sz w:val="20"/>
        </w:rPr>
        <w:t> </w:t>
      </w:r>
      <w:r>
        <w:rPr>
          <w:sz w:val="20"/>
        </w:rPr>
        <w:t>redutase</w:t>
      </w:r>
      <w:r>
        <w:rPr>
          <w:spacing w:val="-7"/>
          <w:sz w:val="20"/>
        </w:rPr>
        <w:t> </w:t>
      </w:r>
      <w:r>
        <w:rPr>
          <w:sz w:val="20"/>
        </w:rPr>
        <w:t>(MTHFR)</w:t>
      </w:r>
      <w:r>
        <w:rPr>
          <w:spacing w:val="-1"/>
          <w:sz w:val="20"/>
        </w:rPr>
        <w:t> </w:t>
      </w:r>
      <w:r>
        <w:rPr>
          <w:sz w:val="20"/>
        </w:rPr>
        <w:t>(C677T), relativamente</w:t>
      </w:r>
      <w:r>
        <w:rPr>
          <w:spacing w:val="-7"/>
          <w:sz w:val="20"/>
        </w:rPr>
        <w:t> </w:t>
      </w:r>
      <w:r>
        <w:rPr>
          <w:sz w:val="20"/>
        </w:rPr>
        <w:t>frequente</w:t>
      </w:r>
      <w:r>
        <w:rPr>
          <w:spacing w:val="-7"/>
          <w:sz w:val="20"/>
        </w:rPr>
        <w:t> </w:t>
      </w:r>
      <w:r>
        <w:rPr>
          <w:sz w:val="20"/>
        </w:rPr>
        <w:t>em</w:t>
      </w:r>
      <w:r>
        <w:rPr>
          <w:spacing w:val="-5"/>
          <w:sz w:val="20"/>
        </w:rPr>
        <w:t> </w:t>
      </w:r>
      <w:r>
        <w:rPr>
          <w:sz w:val="20"/>
        </w:rPr>
        <w:t>caucasianos e presente em menor escala em europeus e africanos, uma metanálise demonstrou que os indivíduos TT têm risco de infarto do miocárdio</w:t>
      </w:r>
      <w:r>
        <w:rPr>
          <w:spacing w:val="-3"/>
          <w:sz w:val="20"/>
        </w:rPr>
        <w:t> </w:t>
      </w:r>
      <w:r>
        <w:rPr>
          <w:sz w:val="20"/>
        </w:rPr>
        <w:t>20% maior, com</w:t>
      </w:r>
      <w:r>
        <w:rPr>
          <w:spacing w:val="-3"/>
          <w:sz w:val="20"/>
        </w:rPr>
        <w:t> </w:t>
      </w:r>
      <w:r>
        <w:rPr>
          <w:sz w:val="20"/>
        </w:rPr>
        <w:t>gradação</w:t>
      </w:r>
      <w:r>
        <w:rPr>
          <w:spacing w:val="-3"/>
          <w:sz w:val="20"/>
        </w:rPr>
        <w:t> </w:t>
      </w:r>
      <w:r>
        <w:rPr>
          <w:sz w:val="20"/>
        </w:rPr>
        <w:t>dose-efeito</w:t>
      </w:r>
      <w:r>
        <w:rPr>
          <w:spacing w:val="-3"/>
          <w:sz w:val="20"/>
        </w:rPr>
        <w:t> </w:t>
      </w:r>
      <w:r>
        <w:rPr>
          <w:sz w:val="20"/>
        </w:rPr>
        <w:t>entre</w:t>
      </w:r>
      <w:r>
        <w:rPr>
          <w:spacing w:val="-5"/>
          <w:sz w:val="20"/>
        </w:rPr>
        <w:t> </w:t>
      </w:r>
      <w:r>
        <w:rPr>
          <w:sz w:val="20"/>
        </w:rPr>
        <w:t>o</w:t>
      </w:r>
      <w:r>
        <w:rPr>
          <w:spacing w:val="-3"/>
          <w:sz w:val="20"/>
        </w:rPr>
        <w:t> </w:t>
      </w:r>
      <w:r>
        <w:rPr>
          <w:sz w:val="20"/>
        </w:rPr>
        <w:t>risco</w:t>
      </w:r>
      <w:r>
        <w:rPr>
          <w:spacing w:val="-3"/>
          <w:sz w:val="20"/>
        </w:rPr>
        <w:t> </w:t>
      </w:r>
      <w:r>
        <w:rPr>
          <w:sz w:val="20"/>
        </w:rPr>
        <w:t>de</w:t>
      </w:r>
      <w:r>
        <w:rPr>
          <w:spacing w:val="-5"/>
          <w:sz w:val="20"/>
        </w:rPr>
        <w:t> </w:t>
      </w:r>
      <w:r>
        <w:rPr>
          <w:sz w:val="20"/>
        </w:rPr>
        <w:t>infarto</w:t>
      </w:r>
      <w:r>
        <w:rPr>
          <w:spacing w:val="-3"/>
          <w:sz w:val="20"/>
        </w:rPr>
        <w:t> </w:t>
      </w:r>
      <w:r>
        <w:rPr>
          <w:sz w:val="20"/>
        </w:rPr>
        <w:t>e</w:t>
      </w:r>
      <w:r>
        <w:rPr>
          <w:spacing w:val="-5"/>
          <w:sz w:val="20"/>
        </w:rPr>
        <w:t> </w:t>
      </w:r>
      <w:r>
        <w:rPr>
          <w:sz w:val="20"/>
        </w:rPr>
        <w:t>o</w:t>
      </w:r>
      <w:r>
        <w:rPr>
          <w:spacing w:val="-3"/>
          <w:sz w:val="20"/>
        </w:rPr>
        <w:t> </w:t>
      </w:r>
      <w:r>
        <w:rPr>
          <w:sz w:val="20"/>
        </w:rPr>
        <w:t>número</w:t>
      </w:r>
      <w:r>
        <w:rPr>
          <w:spacing w:val="-3"/>
          <w:sz w:val="20"/>
        </w:rPr>
        <w:t> </w:t>
      </w:r>
      <w:r>
        <w:rPr>
          <w:sz w:val="20"/>
        </w:rPr>
        <w:t>de</w:t>
      </w:r>
      <w:r>
        <w:rPr>
          <w:spacing w:val="-5"/>
          <w:sz w:val="20"/>
        </w:rPr>
        <w:t> </w:t>
      </w:r>
      <w:r>
        <w:rPr>
          <w:sz w:val="20"/>
        </w:rPr>
        <w:t>alelos T.</w:t>
      </w:r>
      <w:r>
        <w:rPr>
          <w:sz w:val="20"/>
          <w:vertAlign w:val="superscript"/>
        </w:rPr>
        <w:t>25</w:t>
      </w:r>
      <w:r>
        <w:rPr>
          <w:sz w:val="20"/>
          <w:vertAlign w:val="baseline"/>
        </w:rPr>
        <w:t> Em</w:t>
      </w:r>
      <w:r>
        <w:rPr>
          <w:spacing w:val="-1"/>
          <w:sz w:val="20"/>
          <w:vertAlign w:val="baseline"/>
        </w:rPr>
        <w:t> </w:t>
      </w:r>
      <w:r>
        <w:rPr>
          <w:sz w:val="20"/>
          <w:vertAlign w:val="baseline"/>
        </w:rPr>
        <w:t>nosso</w:t>
      </w:r>
      <w:r>
        <w:rPr>
          <w:spacing w:val="-1"/>
          <w:sz w:val="20"/>
          <w:vertAlign w:val="baseline"/>
        </w:rPr>
        <w:t> </w:t>
      </w:r>
      <w:r>
        <w:rPr>
          <w:sz w:val="20"/>
          <w:vertAlign w:val="baseline"/>
        </w:rPr>
        <w:t>grupo, Helfenstein</w:t>
      </w:r>
      <w:r>
        <w:rPr>
          <w:spacing w:val="-1"/>
          <w:sz w:val="20"/>
          <w:vertAlign w:val="baseline"/>
        </w:rPr>
        <w:t> </w:t>
      </w:r>
      <w:r>
        <w:rPr>
          <w:i/>
          <w:sz w:val="20"/>
          <w:vertAlign w:val="baseline"/>
        </w:rPr>
        <w:t>et</w:t>
      </w:r>
      <w:r>
        <w:rPr>
          <w:i/>
          <w:spacing w:val="-1"/>
          <w:sz w:val="20"/>
          <w:vertAlign w:val="baseline"/>
        </w:rPr>
        <w:t> </w:t>
      </w:r>
      <w:r>
        <w:rPr>
          <w:i/>
          <w:sz w:val="20"/>
          <w:vertAlign w:val="baseline"/>
        </w:rPr>
        <w:t>al. </w:t>
      </w:r>
      <w:r>
        <w:rPr>
          <w:sz w:val="20"/>
          <w:vertAlign w:val="baseline"/>
        </w:rPr>
        <w:t>não encontraram associação entre a variante termolábil e o risco de infarto do miocárdio, mas a hiper-homocisteinemia foi preditora do infarto do miocárdio.</w:t>
      </w:r>
      <w:r>
        <w:rPr>
          <w:sz w:val="20"/>
          <w:vertAlign w:val="superscript"/>
        </w:rPr>
        <w:t>26</w:t>
      </w:r>
    </w:p>
    <w:p>
      <w:pPr>
        <w:pStyle w:val="BodyText"/>
        <w:spacing w:before="9"/>
        <w:ind w:left="0" w:firstLine="0"/>
        <w:jc w:val="left"/>
        <w:rPr>
          <w:sz w:val="20"/>
        </w:rPr>
      </w:pPr>
    </w:p>
    <w:p>
      <w:pPr>
        <w:spacing w:before="0"/>
        <w:ind w:left="52" w:right="0" w:firstLine="0"/>
        <w:jc w:val="left"/>
        <w:rPr>
          <w:rFonts w:ascii="Arial" w:hAnsi="Arial"/>
          <w:b/>
          <w:i/>
          <w:sz w:val="24"/>
        </w:rPr>
      </w:pPr>
      <w:r>
        <w:rPr>
          <w:rFonts w:ascii="Arial" w:hAnsi="Arial"/>
          <w:b/>
          <w:i/>
          <w:color w:val="242B67"/>
          <w:sz w:val="24"/>
        </w:rPr>
        <w:t>Polimorfismos</w:t>
      </w:r>
      <w:r>
        <w:rPr>
          <w:rFonts w:ascii="Arial" w:hAnsi="Arial"/>
          <w:b/>
          <w:i/>
          <w:color w:val="242B67"/>
          <w:spacing w:val="13"/>
          <w:sz w:val="24"/>
        </w:rPr>
        <w:t> </w:t>
      </w:r>
      <w:r>
        <w:rPr>
          <w:rFonts w:ascii="Arial" w:hAnsi="Arial"/>
          <w:b/>
          <w:i/>
          <w:color w:val="242B67"/>
          <w:sz w:val="24"/>
        </w:rPr>
        <w:t>do</w:t>
      </w:r>
      <w:r>
        <w:rPr>
          <w:rFonts w:ascii="Arial" w:hAnsi="Arial"/>
          <w:b/>
          <w:i/>
          <w:color w:val="242B67"/>
          <w:spacing w:val="14"/>
          <w:sz w:val="24"/>
        </w:rPr>
        <w:t> </w:t>
      </w:r>
      <w:r>
        <w:rPr>
          <w:rFonts w:ascii="Arial" w:hAnsi="Arial"/>
          <w:b/>
          <w:i/>
          <w:color w:val="242B67"/>
          <w:sz w:val="24"/>
        </w:rPr>
        <w:t>gene</w:t>
      </w:r>
      <w:r>
        <w:rPr>
          <w:rFonts w:ascii="Arial" w:hAnsi="Arial"/>
          <w:b/>
          <w:i/>
          <w:color w:val="242B67"/>
          <w:spacing w:val="14"/>
          <w:sz w:val="24"/>
        </w:rPr>
        <w:t> </w:t>
      </w:r>
      <w:r>
        <w:rPr>
          <w:rFonts w:ascii="Arial" w:hAnsi="Arial"/>
          <w:b/>
          <w:i/>
          <w:color w:val="242B67"/>
          <w:sz w:val="24"/>
        </w:rPr>
        <w:t>que</w:t>
      </w:r>
      <w:r>
        <w:rPr>
          <w:rFonts w:ascii="Arial" w:hAnsi="Arial"/>
          <w:b/>
          <w:i/>
          <w:color w:val="242B67"/>
          <w:spacing w:val="13"/>
          <w:sz w:val="24"/>
        </w:rPr>
        <w:t> </w:t>
      </w:r>
      <w:r>
        <w:rPr>
          <w:rFonts w:ascii="Arial" w:hAnsi="Arial"/>
          <w:b/>
          <w:i/>
          <w:color w:val="242B67"/>
          <w:sz w:val="24"/>
        </w:rPr>
        <w:t>codifica</w:t>
      </w:r>
      <w:r>
        <w:rPr>
          <w:rFonts w:ascii="Arial" w:hAnsi="Arial"/>
          <w:b/>
          <w:i/>
          <w:color w:val="242B67"/>
          <w:spacing w:val="14"/>
          <w:sz w:val="24"/>
        </w:rPr>
        <w:t> </w:t>
      </w:r>
      <w:r>
        <w:rPr>
          <w:rFonts w:ascii="Arial" w:hAnsi="Arial"/>
          <w:b/>
          <w:i/>
          <w:color w:val="242B67"/>
          <w:sz w:val="24"/>
        </w:rPr>
        <w:t>para</w:t>
      </w:r>
      <w:r>
        <w:rPr>
          <w:rFonts w:ascii="Arial" w:hAnsi="Arial"/>
          <w:b/>
          <w:i/>
          <w:color w:val="242B67"/>
          <w:spacing w:val="14"/>
          <w:sz w:val="24"/>
        </w:rPr>
        <w:t> </w:t>
      </w:r>
      <w:r>
        <w:rPr>
          <w:rFonts w:ascii="Arial" w:hAnsi="Arial"/>
          <w:b/>
          <w:i/>
          <w:color w:val="242B67"/>
          <w:sz w:val="24"/>
        </w:rPr>
        <w:t>o</w:t>
      </w:r>
      <w:r>
        <w:rPr>
          <w:rFonts w:ascii="Arial" w:hAnsi="Arial"/>
          <w:b/>
          <w:i/>
          <w:color w:val="242B67"/>
          <w:spacing w:val="13"/>
          <w:sz w:val="24"/>
        </w:rPr>
        <w:t> </w:t>
      </w:r>
      <w:r>
        <w:rPr>
          <w:rFonts w:ascii="Arial" w:hAnsi="Arial"/>
          <w:b/>
          <w:i/>
          <w:color w:val="242B67"/>
          <w:sz w:val="24"/>
        </w:rPr>
        <w:t>inibidor</w:t>
      </w:r>
      <w:r>
        <w:rPr>
          <w:rFonts w:ascii="Arial" w:hAnsi="Arial"/>
          <w:b/>
          <w:i/>
          <w:color w:val="242B67"/>
          <w:spacing w:val="14"/>
          <w:sz w:val="24"/>
        </w:rPr>
        <w:t> </w:t>
      </w:r>
      <w:r>
        <w:rPr>
          <w:rFonts w:ascii="Arial" w:hAnsi="Arial"/>
          <w:b/>
          <w:i/>
          <w:color w:val="242B67"/>
          <w:sz w:val="24"/>
        </w:rPr>
        <w:t>do</w:t>
      </w:r>
      <w:r>
        <w:rPr>
          <w:rFonts w:ascii="Arial" w:hAnsi="Arial"/>
          <w:b/>
          <w:i/>
          <w:color w:val="242B67"/>
          <w:spacing w:val="14"/>
          <w:sz w:val="24"/>
        </w:rPr>
        <w:t> </w:t>
      </w:r>
      <w:r>
        <w:rPr>
          <w:rFonts w:ascii="Arial" w:hAnsi="Arial"/>
          <w:b/>
          <w:i/>
          <w:color w:val="242B67"/>
          <w:sz w:val="24"/>
        </w:rPr>
        <w:t>ativador</w:t>
      </w:r>
      <w:r>
        <w:rPr>
          <w:rFonts w:ascii="Arial" w:hAnsi="Arial"/>
          <w:b/>
          <w:i/>
          <w:color w:val="242B67"/>
          <w:spacing w:val="3"/>
          <w:sz w:val="24"/>
        </w:rPr>
        <w:t> </w:t>
      </w:r>
      <w:r>
        <w:rPr>
          <w:rFonts w:ascii="Arial" w:hAnsi="Arial"/>
          <w:b/>
          <w:i/>
          <w:color w:val="242B67"/>
          <w:sz w:val="24"/>
        </w:rPr>
        <w:t>do</w:t>
      </w:r>
      <w:r>
        <w:rPr>
          <w:rFonts w:ascii="Arial" w:hAnsi="Arial"/>
          <w:b/>
          <w:i/>
          <w:color w:val="242B67"/>
          <w:spacing w:val="14"/>
          <w:sz w:val="24"/>
        </w:rPr>
        <w:t> </w:t>
      </w:r>
      <w:r>
        <w:rPr>
          <w:rFonts w:ascii="Arial" w:hAnsi="Arial"/>
          <w:b/>
          <w:i/>
          <w:color w:val="242B67"/>
          <w:spacing w:val="-2"/>
          <w:sz w:val="24"/>
        </w:rPr>
        <w:t>plasminogênio</w:t>
      </w:r>
    </w:p>
    <w:p>
      <w:pPr>
        <w:spacing w:line="280" w:lineRule="auto" w:before="124"/>
        <w:ind w:left="52" w:right="478" w:firstLine="300"/>
        <w:jc w:val="both"/>
        <w:rPr>
          <w:sz w:val="20"/>
        </w:rPr>
      </w:pPr>
      <w:r>
        <w:rPr>
          <w:sz w:val="20"/>
        </w:rPr>
        <w:t>Polimorfismo determinado pela</w:t>
      </w:r>
      <w:r>
        <w:rPr>
          <w:spacing w:val="-3"/>
          <w:sz w:val="20"/>
        </w:rPr>
        <w:t> </w:t>
      </w:r>
      <w:r>
        <w:rPr>
          <w:sz w:val="20"/>
        </w:rPr>
        <w:t>presença</w:t>
      </w:r>
      <w:r>
        <w:rPr>
          <w:spacing w:val="-3"/>
          <w:sz w:val="20"/>
        </w:rPr>
        <w:t> </w:t>
      </w:r>
      <w:r>
        <w:rPr>
          <w:sz w:val="20"/>
        </w:rPr>
        <w:t>de</w:t>
      </w:r>
      <w:r>
        <w:rPr>
          <w:spacing w:val="-3"/>
          <w:sz w:val="20"/>
        </w:rPr>
        <w:t> </w:t>
      </w:r>
      <w:r>
        <w:rPr>
          <w:sz w:val="20"/>
        </w:rPr>
        <w:t>quatro ou cinco guaninas (4G/5G) em uma</w:t>
      </w:r>
      <w:r>
        <w:rPr>
          <w:spacing w:val="-3"/>
          <w:sz w:val="20"/>
        </w:rPr>
        <w:t> </w:t>
      </w:r>
      <w:r>
        <w:rPr>
          <w:sz w:val="20"/>
        </w:rPr>
        <w:t>região promotora</w:t>
      </w:r>
      <w:r>
        <w:rPr>
          <w:spacing w:val="-3"/>
          <w:sz w:val="20"/>
        </w:rPr>
        <w:t> </w:t>
      </w:r>
      <w:r>
        <w:rPr>
          <w:sz w:val="20"/>
        </w:rPr>
        <w:t>do inibidor do ativador do plasminogênio tipo 1 (PAI-1) afeta a sua transcrição e seus níveis plasmáticos, que são 50% maiores nos homozigotos 4G/4G, com diminuição na atividade fibrinolítica e aumento discreto do risco de infarto. Dados de metanálise mostram risco de infarto do miocárdio 30% maior nesses indivíduos.</w:t>
      </w:r>
      <w:r>
        <w:rPr>
          <w:sz w:val="20"/>
          <w:vertAlign w:val="superscript"/>
        </w:rPr>
        <w:t>27</w:t>
      </w:r>
    </w:p>
    <w:p>
      <w:pPr>
        <w:pStyle w:val="BodyText"/>
        <w:spacing w:before="5"/>
        <w:ind w:left="0" w:firstLine="0"/>
        <w:jc w:val="left"/>
        <w:rPr>
          <w:sz w:val="20"/>
        </w:rPr>
      </w:pPr>
    </w:p>
    <w:p>
      <w:pPr>
        <w:spacing w:before="0"/>
        <w:ind w:left="52" w:right="0" w:firstLine="0"/>
        <w:jc w:val="left"/>
        <w:rPr>
          <w:rFonts w:ascii="Arial" w:hAnsi="Arial"/>
          <w:b/>
          <w:i/>
          <w:sz w:val="24"/>
        </w:rPr>
      </w:pPr>
      <w:r>
        <w:rPr>
          <w:rFonts w:ascii="Arial" w:hAnsi="Arial"/>
          <w:b/>
          <w:i/>
          <w:color w:val="242B67"/>
          <w:spacing w:val="-2"/>
          <w:sz w:val="24"/>
        </w:rPr>
        <w:t>Fibrinogênio</w:t>
      </w:r>
    </w:p>
    <w:p>
      <w:pPr>
        <w:spacing w:line="280" w:lineRule="auto" w:before="125"/>
        <w:ind w:left="52" w:right="475" w:firstLine="300"/>
        <w:jc w:val="both"/>
        <w:rPr>
          <w:sz w:val="20"/>
        </w:rPr>
      </w:pPr>
      <w:r>
        <w:rPr>
          <w:sz w:val="20"/>
        </w:rPr>
        <w:t>O fibrinogênio (FNG) é uma proteína dimérica formada por duas subunidades idênticas, cada qual com três cadeias (a, b, g), codificadas por três genes distintos situados no braço longo do cromossomo 4. As concentrações de FNG dependem em parte dos genótipos. Vários polimorfismos são descritos na cadeia b (FNG B), entre os quais o -455G/A. No Etude Cas-Temoins sur</w:t>
      </w:r>
      <w:r>
        <w:rPr>
          <w:spacing w:val="40"/>
          <w:sz w:val="20"/>
        </w:rPr>
        <w:t> </w:t>
      </w:r>
      <w:r>
        <w:rPr>
          <w:sz w:val="20"/>
        </w:rPr>
        <w:t>l’Infarctus du Myocarde (ECTIM), os portadores do alelo -455A, que representam 25% da população, tinham níveis maiores de FNG, com relação dose-efeito para o número de alelos A, associando-se ao infarto do miocárdio e doença vascular periférica.</w:t>
      </w:r>
      <w:r>
        <w:rPr>
          <w:sz w:val="20"/>
          <w:vertAlign w:val="superscript"/>
        </w:rPr>
        <w:t>28</w:t>
      </w:r>
      <w:r>
        <w:rPr>
          <w:sz w:val="20"/>
          <w:vertAlign w:val="baseline"/>
        </w:rPr>
        <w:t> Um estudo observou relação significativa entre uma variante genética do receptor de FNG da plaqueta e seus níveis plasmáticos na determinação de eventos cardiovasculares, sugerindo o caráter multifatorial da análise de variantes genéticas da hemostasia como fator de risco para DAC.</w:t>
      </w:r>
      <w:r>
        <w:rPr>
          <w:sz w:val="20"/>
          <w:vertAlign w:val="superscript"/>
        </w:rPr>
        <w:t>29</w:t>
      </w:r>
    </w:p>
    <w:p>
      <w:pPr>
        <w:spacing w:after="0" w:line="280" w:lineRule="auto"/>
        <w:jc w:val="both"/>
        <w:rPr>
          <w:sz w:val="20"/>
        </w:rPr>
        <w:sectPr>
          <w:pgSz w:w="11900" w:h="16840"/>
          <w:pgMar w:top="220" w:bottom="280" w:left="566" w:right="141"/>
        </w:sectPr>
      </w:pPr>
    </w:p>
    <w:p>
      <w:pPr>
        <w:spacing w:before="70"/>
        <w:ind w:left="52" w:right="0" w:firstLine="0"/>
        <w:jc w:val="left"/>
        <w:rPr>
          <w:rFonts w:ascii="Arial" w:hAnsi="Arial"/>
          <w:b/>
          <w:i/>
          <w:sz w:val="24"/>
        </w:rPr>
      </w:pPr>
      <w:r>
        <w:rPr>
          <w:rFonts w:ascii="Arial" w:hAnsi="Arial"/>
          <w:b/>
          <w:i/>
          <w:color w:val="242B67"/>
          <w:sz w:val="24"/>
        </w:rPr>
        <w:t>Receptores</w:t>
      </w:r>
      <w:r>
        <w:rPr>
          <w:rFonts w:ascii="Arial" w:hAnsi="Arial"/>
          <w:b/>
          <w:i/>
          <w:color w:val="242B67"/>
          <w:spacing w:val="27"/>
          <w:sz w:val="24"/>
        </w:rPr>
        <w:t> </w:t>
      </w:r>
      <w:r>
        <w:rPr>
          <w:rFonts w:ascii="Arial" w:hAnsi="Arial"/>
          <w:b/>
          <w:i/>
          <w:color w:val="242B67"/>
          <w:spacing w:val="-2"/>
          <w:sz w:val="24"/>
        </w:rPr>
        <w:t>plaquetários</w:t>
      </w:r>
    </w:p>
    <w:p>
      <w:pPr>
        <w:spacing w:before="105"/>
        <w:ind w:left="52" w:right="0" w:firstLine="0"/>
        <w:jc w:val="left"/>
        <w:rPr>
          <w:rFonts w:ascii="Arial" w:hAnsi="Arial"/>
          <w:b/>
          <w:sz w:val="22"/>
        </w:rPr>
      </w:pPr>
      <w:r>
        <w:rPr>
          <w:rFonts w:ascii="Arial" w:hAnsi="Arial"/>
          <w:b/>
          <w:color w:val="A26108"/>
          <w:sz w:val="22"/>
        </w:rPr>
        <w:t>Glicoproteína</w:t>
      </w:r>
      <w:r>
        <w:rPr>
          <w:rFonts w:ascii="Arial" w:hAnsi="Arial"/>
          <w:b/>
          <w:color w:val="A26108"/>
          <w:spacing w:val="19"/>
          <w:sz w:val="22"/>
        </w:rPr>
        <w:t> </w:t>
      </w:r>
      <w:r>
        <w:rPr>
          <w:rFonts w:ascii="Arial" w:hAnsi="Arial"/>
          <w:b/>
          <w:color w:val="A26108"/>
          <w:sz w:val="22"/>
        </w:rPr>
        <w:t>Ib-V-</w:t>
      </w:r>
      <w:r>
        <w:rPr>
          <w:rFonts w:ascii="Arial" w:hAnsi="Arial"/>
          <w:b/>
          <w:color w:val="A26108"/>
          <w:spacing w:val="-10"/>
          <w:sz w:val="22"/>
        </w:rPr>
        <w:t>X</w:t>
      </w:r>
    </w:p>
    <w:p>
      <w:pPr>
        <w:spacing w:line="283" w:lineRule="auto" w:before="101"/>
        <w:ind w:left="52" w:right="478" w:firstLine="300"/>
        <w:jc w:val="both"/>
        <w:rPr>
          <w:sz w:val="20"/>
        </w:rPr>
      </w:pPr>
      <w:r>
        <w:rPr>
          <w:sz w:val="20"/>
        </w:rPr>
        <w:t>A</w:t>
      </w:r>
      <w:r>
        <w:rPr>
          <w:spacing w:val="-7"/>
          <w:sz w:val="20"/>
        </w:rPr>
        <w:t> </w:t>
      </w:r>
      <w:r>
        <w:rPr>
          <w:sz w:val="20"/>
        </w:rPr>
        <w:t>glicoproteína</w:t>
      </w:r>
      <w:r>
        <w:rPr>
          <w:spacing w:val="-7"/>
          <w:sz w:val="20"/>
        </w:rPr>
        <w:t> </w:t>
      </w:r>
      <w:r>
        <w:rPr>
          <w:sz w:val="20"/>
        </w:rPr>
        <w:t>(GP) Ib-V-X</w:t>
      </w:r>
      <w:r>
        <w:rPr>
          <w:spacing w:val="-7"/>
          <w:sz w:val="20"/>
        </w:rPr>
        <w:t> </w:t>
      </w:r>
      <w:r>
        <w:rPr>
          <w:sz w:val="20"/>
        </w:rPr>
        <w:t>é</w:t>
      </w:r>
      <w:r>
        <w:rPr>
          <w:spacing w:val="-7"/>
          <w:sz w:val="20"/>
        </w:rPr>
        <w:t> </w:t>
      </w:r>
      <w:r>
        <w:rPr>
          <w:sz w:val="20"/>
        </w:rPr>
        <w:t>o</w:t>
      </w:r>
      <w:r>
        <w:rPr>
          <w:spacing w:val="-5"/>
          <w:sz w:val="20"/>
        </w:rPr>
        <w:t> </w:t>
      </w:r>
      <w:r>
        <w:rPr>
          <w:sz w:val="20"/>
        </w:rPr>
        <w:t>receptor constitutivo</w:t>
      </w:r>
      <w:r>
        <w:rPr>
          <w:spacing w:val="-5"/>
          <w:sz w:val="20"/>
        </w:rPr>
        <w:t> </w:t>
      </w:r>
      <w:r>
        <w:rPr>
          <w:sz w:val="20"/>
        </w:rPr>
        <w:t>para</w:t>
      </w:r>
      <w:r>
        <w:rPr>
          <w:spacing w:val="-7"/>
          <w:sz w:val="20"/>
        </w:rPr>
        <w:t> </w:t>
      </w:r>
      <w:r>
        <w:rPr>
          <w:sz w:val="20"/>
        </w:rPr>
        <w:t>o</w:t>
      </w:r>
      <w:r>
        <w:rPr>
          <w:spacing w:val="-5"/>
          <w:sz w:val="20"/>
        </w:rPr>
        <w:t> </w:t>
      </w:r>
      <w:r>
        <w:rPr>
          <w:sz w:val="20"/>
        </w:rPr>
        <w:t>fator de</w:t>
      </w:r>
      <w:r>
        <w:rPr>
          <w:spacing w:val="-7"/>
          <w:sz w:val="20"/>
        </w:rPr>
        <w:t> </w:t>
      </w:r>
      <w:r>
        <w:rPr>
          <w:sz w:val="20"/>
        </w:rPr>
        <w:t>von</w:t>
      </w:r>
      <w:r>
        <w:rPr>
          <w:spacing w:val="-5"/>
          <w:sz w:val="20"/>
        </w:rPr>
        <w:t> </w:t>
      </w:r>
      <w:r>
        <w:rPr>
          <w:sz w:val="20"/>
        </w:rPr>
        <w:t>Willebrand</w:t>
      </w:r>
      <w:r>
        <w:rPr>
          <w:spacing w:val="-5"/>
          <w:sz w:val="20"/>
        </w:rPr>
        <w:t> </w:t>
      </w:r>
      <w:r>
        <w:rPr>
          <w:sz w:val="20"/>
        </w:rPr>
        <w:t>(vWF), que</w:t>
      </w:r>
      <w:r>
        <w:rPr>
          <w:spacing w:val="-7"/>
          <w:sz w:val="20"/>
        </w:rPr>
        <w:t> </w:t>
      </w:r>
      <w:r>
        <w:rPr>
          <w:sz w:val="20"/>
        </w:rPr>
        <w:t>modula</w:t>
      </w:r>
      <w:r>
        <w:rPr>
          <w:spacing w:val="-7"/>
          <w:sz w:val="20"/>
        </w:rPr>
        <w:t> </w:t>
      </w:r>
      <w:r>
        <w:rPr>
          <w:sz w:val="20"/>
        </w:rPr>
        <w:t>a</w:t>
      </w:r>
      <w:r>
        <w:rPr>
          <w:spacing w:val="-7"/>
          <w:sz w:val="20"/>
        </w:rPr>
        <w:t> </w:t>
      </w:r>
      <w:r>
        <w:rPr>
          <w:sz w:val="20"/>
        </w:rPr>
        <w:t>ligação</w:t>
      </w:r>
      <w:r>
        <w:rPr>
          <w:spacing w:val="-5"/>
          <w:sz w:val="20"/>
        </w:rPr>
        <w:t> </w:t>
      </w:r>
      <w:r>
        <w:rPr>
          <w:sz w:val="20"/>
        </w:rPr>
        <w:t>da</w:t>
      </w:r>
      <w:r>
        <w:rPr>
          <w:spacing w:val="-7"/>
          <w:sz w:val="20"/>
        </w:rPr>
        <w:t> </w:t>
      </w:r>
      <w:r>
        <w:rPr>
          <w:sz w:val="20"/>
        </w:rPr>
        <w:t>plaqueta</w:t>
      </w:r>
      <w:r>
        <w:rPr>
          <w:spacing w:val="-7"/>
          <w:sz w:val="20"/>
        </w:rPr>
        <w:t> </w:t>
      </w:r>
      <w:r>
        <w:rPr>
          <w:sz w:val="20"/>
        </w:rPr>
        <w:t>ao vWF presente na matriz perivascular. São descritos dois polimorfismos que afetam o fenótipo plaquetário e se associam a um risco maior de infarto do miocárdio, embora resultados negativos também tenham sido descritos.</w:t>
      </w:r>
      <w:r>
        <w:rPr>
          <w:sz w:val="20"/>
          <w:vertAlign w:val="superscript"/>
        </w:rPr>
        <w:t>30</w:t>
      </w:r>
    </w:p>
    <w:p>
      <w:pPr>
        <w:pStyle w:val="BodyText"/>
        <w:spacing w:before="49"/>
        <w:ind w:left="0" w:firstLine="0"/>
        <w:jc w:val="left"/>
        <w:rPr>
          <w:sz w:val="20"/>
        </w:rPr>
      </w:pPr>
    </w:p>
    <w:p>
      <w:pPr>
        <w:spacing w:before="0"/>
        <w:ind w:left="52" w:right="0" w:firstLine="0"/>
        <w:jc w:val="left"/>
        <w:rPr>
          <w:rFonts w:ascii="Arial" w:hAnsi="Arial"/>
          <w:b/>
          <w:sz w:val="22"/>
        </w:rPr>
      </w:pPr>
      <w:r>
        <w:rPr>
          <w:rFonts w:ascii="Arial" w:hAnsi="Arial"/>
          <w:b/>
          <w:color w:val="A26108"/>
          <w:sz w:val="22"/>
        </w:rPr>
        <w:t>Glicoproteína</w:t>
      </w:r>
      <w:r>
        <w:rPr>
          <w:rFonts w:ascii="Arial" w:hAnsi="Arial"/>
          <w:b/>
          <w:color w:val="A26108"/>
          <w:spacing w:val="14"/>
          <w:sz w:val="22"/>
        </w:rPr>
        <w:t> </w:t>
      </w:r>
      <w:r>
        <w:rPr>
          <w:rFonts w:ascii="Arial" w:hAnsi="Arial"/>
          <w:b/>
          <w:color w:val="A26108"/>
          <w:spacing w:val="-2"/>
          <w:sz w:val="22"/>
        </w:rPr>
        <w:t>IIb/IIIa</w:t>
      </w:r>
    </w:p>
    <w:p>
      <w:pPr>
        <w:spacing w:line="278" w:lineRule="auto" w:before="101"/>
        <w:ind w:left="52" w:right="475" w:firstLine="300"/>
        <w:jc w:val="both"/>
        <w:rPr>
          <w:sz w:val="20"/>
        </w:rPr>
      </w:pPr>
      <w:r>
        <w:rPr>
          <w:sz w:val="20"/>
        </w:rPr>
        <w:t>É o receptor plaquetário para o FNG. Quando em situação de repouso, esse receptor tem baixa afinidade pelo FNG, porém após ativação essa afinidade aumenta acentuadamente. São descritas variações do gene GP IIb/IIIa, sendo a variante PLA, resultante de uma substituição prolina/leucina (Pro/Leu) no resíduo 33, associada a maior agregação plaquetária, infarto do miocárdio, especialmente em idade prematura, e, em homozigose, esse polimorfismo resulta em risco 3 a 4 vezes superior de DAC.</w:t>
      </w:r>
      <w:r>
        <w:rPr>
          <w:sz w:val="20"/>
          <w:vertAlign w:val="superscript"/>
        </w:rPr>
        <w:t>2,31</w:t>
      </w:r>
      <w:r>
        <w:rPr>
          <w:sz w:val="20"/>
          <w:vertAlign w:val="baseline"/>
        </w:rPr>
        <w:t> Esse polimorfismo</w:t>
      </w:r>
      <w:r>
        <w:rPr>
          <w:spacing w:val="-7"/>
          <w:sz w:val="20"/>
          <w:vertAlign w:val="baseline"/>
        </w:rPr>
        <w:t> </w:t>
      </w:r>
      <w:r>
        <w:rPr>
          <w:sz w:val="20"/>
          <w:vertAlign w:val="baseline"/>
        </w:rPr>
        <w:t>também</w:t>
      </w:r>
      <w:r>
        <w:rPr>
          <w:spacing w:val="-7"/>
          <w:sz w:val="20"/>
          <w:vertAlign w:val="baseline"/>
        </w:rPr>
        <w:t> </w:t>
      </w:r>
      <w:r>
        <w:rPr>
          <w:sz w:val="20"/>
          <w:vertAlign w:val="baseline"/>
        </w:rPr>
        <w:t>está</w:t>
      </w:r>
      <w:r>
        <w:rPr>
          <w:spacing w:val="-9"/>
          <w:sz w:val="20"/>
          <w:vertAlign w:val="baseline"/>
        </w:rPr>
        <w:t> </w:t>
      </w:r>
      <w:r>
        <w:rPr>
          <w:sz w:val="20"/>
          <w:vertAlign w:val="baseline"/>
        </w:rPr>
        <w:t>associado</w:t>
      </w:r>
      <w:r>
        <w:rPr>
          <w:spacing w:val="-7"/>
          <w:sz w:val="20"/>
          <w:vertAlign w:val="baseline"/>
        </w:rPr>
        <w:t> </w:t>
      </w:r>
      <w:r>
        <w:rPr>
          <w:sz w:val="20"/>
          <w:vertAlign w:val="baseline"/>
        </w:rPr>
        <w:t>a</w:t>
      </w:r>
      <w:r>
        <w:rPr>
          <w:spacing w:val="-9"/>
          <w:sz w:val="20"/>
          <w:vertAlign w:val="baseline"/>
        </w:rPr>
        <w:t> </w:t>
      </w:r>
      <w:r>
        <w:rPr>
          <w:sz w:val="20"/>
          <w:vertAlign w:val="baseline"/>
        </w:rPr>
        <w:t>uma</w:t>
      </w:r>
      <w:r>
        <w:rPr>
          <w:spacing w:val="-9"/>
          <w:sz w:val="20"/>
          <w:vertAlign w:val="baseline"/>
        </w:rPr>
        <w:t> </w:t>
      </w:r>
      <w:r>
        <w:rPr>
          <w:sz w:val="20"/>
          <w:vertAlign w:val="baseline"/>
        </w:rPr>
        <w:t>redução</w:t>
      </w:r>
      <w:r>
        <w:rPr>
          <w:spacing w:val="-7"/>
          <w:sz w:val="20"/>
          <w:vertAlign w:val="baseline"/>
        </w:rPr>
        <w:t> </w:t>
      </w:r>
      <w:r>
        <w:rPr>
          <w:sz w:val="20"/>
          <w:vertAlign w:val="baseline"/>
        </w:rPr>
        <w:t>dos efeitos farmacológicos dos inibidores de</w:t>
      </w:r>
      <w:r>
        <w:rPr>
          <w:spacing w:val="-9"/>
          <w:sz w:val="20"/>
          <w:vertAlign w:val="baseline"/>
        </w:rPr>
        <w:t> </w:t>
      </w:r>
      <w:r>
        <w:rPr>
          <w:sz w:val="20"/>
          <w:vertAlign w:val="baseline"/>
        </w:rPr>
        <w:t>GPIIb/IIIa, com</w:t>
      </w:r>
      <w:r>
        <w:rPr>
          <w:spacing w:val="-7"/>
          <w:sz w:val="20"/>
          <w:vertAlign w:val="baseline"/>
        </w:rPr>
        <w:t> </w:t>
      </w:r>
      <w:r>
        <w:rPr>
          <w:sz w:val="20"/>
          <w:vertAlign w:val="baseline"/>
        </w:rPr>
        <w:t>efeito</w:t>
      </w:r>
      <w:r>
        <w:rPr>
          <w:spacing w:val="-7"/>
          <w:sz w:val="20"/>
          <w:vertAlign w:val="baseline"/>
        </w:rPr>
        <w:t> </w:t>
      </w:r>
      <w:r>
        <w:rPr>
          <w:sz w:val="20"/>
          <w:vertAlign w:val="baseline"/>
        </w:rPr>
        <w:t>contrário</w:t>
      </w:r>
      <w:r>
        <w:rPr>
          <w:spacing w:val="-7"/>
          <w:sz w:val="20"/>
          <w:vertAlign w:val="baseline"/>
        </w:rPr>
        <w:t> </w:t>
      </w:r>
      <w:r>
        <w:rPr>
          <w:sz w:val="20"/>
          <w:vertAlign w:val="baseline"/>
        </w:rPr>
        <w:t>em relação a outras drogas.</w:t>
      </w:r>
    </w:p>
    <w:p>
      <w:pPr>
        <w:spacing w:line="276" w:lineRule="auto" w:before="41"/>
        <w:ind w:left="52" w:right="478" w:firstLine="300"/>
        <w:jc w:val="both"/>
        <w:rPr>
          <w:sz w:val="20"/>
        </w:rPr>
      </w:pPr>
      <w:r>
        <w:rPr>
          <w:sz w:val="20"/>
        </w:rPr>
        <w:t>Os demais polimorfismos como</w:t>
      </w:r>
      <w:r>
        <w:rPr>
          <w:spacing w:val="-4"/>
          <w:sz w:val="20"/>
        </w:rPr>
        <w:t> </w:t>
      </w:r>
      <w:r>
        <w:rPr>
          <w:sz w:val="20"/>
        </w:rPr>
        <w:t>os do</w:t>
      </w:r>
      <w:r>
        <w:rPr>
          <w:spacing w:val="-4"/>
          <w:sz w:val="20"/>
        </w:rPr>
        <w:t> </w:t>
      </w:r>
      <w:r>
        <w:rPr>
          <w:sz w:val="20"/>
        </w:rPr>
        <w:t>fator V, fator tecidual, fator VIII, fator de</w:t>
      </w:r>
      <w:r>
        <w:rPr>
          <w:spacing w:val="-7"/>
          <w:sz w:val="20"/>
        </w:rPr>
        <w:t> </w:t>
      </w:r>
      <w:r>
        <w:rPr>
          <w:sz w:val="20"/>
        </w:rPr>
        <w:t>von</w:t>
      </w:r>
      <w:r>
        <w:rPr>
          <w:spacing w:val="-4"/>
          <w:sz w:val="20"/>
        </w:rPr>
        <w:t> </w:t>
      </w:r>
      <w:r>
        <w:rPr>
          <w:sz w:val="20"/>
        </w:rPr>
        <w:t>Willebrand, inibidor da</w:t>
      </w:r>
      <w:r>
        <w:rPr>
          <w:spacing w:val="-7"/>
          <w:sz w:val="20"/>
        </w:rPr>
        <w:t> </w:t>
      </w:r>
      <w:r>
        <w:rPr>
          <w:sz w:val="20"/>
        </w:rPr>
        <w:t>via</w:t>
      </w:r>
      <w:r>
        <w:rPr>
          <w:spacing w:val="-7"/>
          <w:sz w:val="20"/>
        </w:rPr>
        <w:t> </w:t>
      </w:r>
      <w:r>
        <w:rPr>
          <w:sz w:val="20"/>
        </w:rPr>
        <w:t>do</w:t>
      </w:r>
      <w:r>
        <w:rPr>
          <w:spacing w:val="-4"/>
          <w:sz w:val="20"/>
        </w:rPr>
        <w:t> </w:t>
      </w:r>
      <w:r>
        <w:rPr>
          <w:sz w:val="20"/>
        </w:rPr>
        <w:t>fator tecidual (TFPI, do</w:t>
      </w:r>
      <w:r>
        <w:rPr>
          <w:spacing w:val="-1"/>
          <w:sz w:val="20"/>
        </w:rPr>
        <w:t> </w:t>
      </w:r>
      <w:r>
        <w:rPr>
          <w:sz w:val="20"/>
        </w:rPr>
        <w:t>inglês, </w:t>
      </w:r>
      <w:r>
        <w:rPr>
          <w:i/>
          <w:sz w:val="20"/>
        </w:rPr>
        <w:t>tissue</w:t>
      </w:r>
      <w:r>
        <w:rPr>
          <w:i/>
          <w:spacing w:val="-4"/>
          <w:sz w:val="20"/>
        </w:rPr>
        <w:t> </w:t>
      </w:r>
      <w:r>
        <w:rPr>
          <w:i/>
          <w:sz w:val="20"/>
        </w:rPr>
        <w:t>factor pathway</w:t>
      </w:r>
      <w:r>
        <w:rPr>
          <w:i/>
          <w:spacing w:val="-4"/>
          <w:sz w:val="20"/>
        </w:rPr>
        <w:t> </w:t>
      </w:r>
      <w:r>
        <w:rPr>
          <w:i/>
          <w:sz w:val="20"/>
        </w:rPr>
        <w:t>inhibitor</w:t>
      </w:r>
      <w:r>
        <w:rPr>
          <w:sz w:val="20"/>
        </w:rPr>
        <w:t>), receptor da</w:t>
      </w:r>
      <w:r>
        <w:rPr>
          <w:spacing w:val="-3"/>
          <w:sz w:val="20"/>
        </w:rPr>
        <w:t> </w:t>
      </w:r>
      <w:r>
        <w:rPr>
          <w:sz w:val="20"/>
        </w:rPr>
        <w:t>proteína</w:t>
      </w:r>
      <w:r>
        <w:rPr>
          <w:spacing w:val="-3"/>
          <w:sz w:val="20"/>
        </w:rPr>
        <w:t> </w:t>
      </w:r>
      <w:r>
        <w:rPr>
          <w:sz w:val="20"/>
        </w:rPr>
        <w:t>C, carecem</w:t>
      </w:r>
      <w:r>
        <w:rPr>
          <w:spacing w:val="-1"/>
          <w:sz w:val="20"/>
        </w:rPr>
        <w:t> </w:t>
      </w:r>
      <w:r>
        <w:rPr>
          <w:sz w:val="20"/>
        </w:rPr>
        <w:t>de</w:t>
      </w:r>
      <w:r>
        <w:rPr>
          <w:spacing w:val="-3"/>
          <w:sz w:val="20"/>
        </w:rPr>
        <w:t> </w:t>
      </w:r>
      <w:r>
        <w:rPr>
          <w:sz w:val="20"/>
        </w:rPr>
        <w:t>maior investigação</w:t>
      </w:r>
      <w:r>
        <w:rPr>
          <w:spacing w:val="-1"/>
          <w:sz w:val="20"/>
        </w:rPr>
        <w:t> </w:t>
      </w:r>
      <w:r>
        <w:rPr>
          <w:sz w:val="20"/>
        </w:rPr>
        <w:t>para</w:t>
      </w:r>
      <w:r>
        <w:rPr>
          <w:spacing w:val="-3"/>
          <w:sz w:val="20"/>
        </w:rPr>
        <w:t> </w:t>
      </w:r>
      <w:r>
        <w:rPr>
          <w:sz w:val="20"/>
        </w:rPr>
        <w:t>avaliar sua</w:t>
      </w:r>
      <w:r>
        <w:rPr>
          <w:spacing w:val="-3"/>
          <w:sz w:val="20"/>
        </w:rPr>
        <w:t> </w:t>
      </w:r>
      <w:r>
        <w:rPr>
          <w:sz w:val="20"/>
        </w:rPr>
        <w:t>associação com o risco aterotrombótico.</w:t>
      </w:r>
    </w:p>
    <w:p>
      <w:pPr>
        <w:pStyle w:val="BodyText"/>
        <w:spacing w:before="116"/>
        <w:ind w:left="0" w:firstLine="0"/>
        <w:jc w:val="left"/>
        <w:rPr>
          <w:sz w:val="20"/>
        </w:rPr>
      </w:pPr>
    </w:p>
    <w:p>
      <w:pPr>
        <w:pStyle w:val="Heading8"/>
      </w:pPr>
      <w:r>
        <w:rPr>
          <w:color w:val="A26108"/>
        </w:rPr>
        <w:t>Polimorfismos</w:t>
      </w:r>
      <w:r>
        <w:rPr>
          <w:color w:val="A26108"/>
          <w:spacing w:val="20"/>
        </w:rPr>
        <w:t> </w:t>
      </w:r>
      <w:r>
        <w:rPr>
          <w:color w:val="A26108"/>
        </w:rPr>
        <w:t>dos</w:t>
      </w:r>
      <w:r>
        <w:rPr>
          <w:color w:val="A26108"/>
          <w:spacing w:val="20"/>
        </w:rPr>
        <w:t> </w:t>
      </w:r>
      <w:r>
        <w:rPr>
          <w:color w:val="A26108"/>
        </w:rPr>
        <w:t>genes</w:t>
      </w:r>
      <w:r>
        <w:rPr>
          <w:color w:val="A26108"/>
          <w:spacing w:val="20"/>
        </w:rPr>
        <w:t> </w:t>
      </w:r>
      <w:r>
        <w:rPr>
          <w:color w:val="A26108"/>
        </w:rPr>
        <w:t>envolvidos</w:t>
      </w:r>
      <w:r>
        <w:rPr>
          <w:color w:val="A26108"/>
          <w:spacing w:val="20"/>
        </w:rPr>
        <w:t> </w:t>
      </w:r>
      <w:r>
        <w:rPr>
          <w:color w:val="A26108"/>
        </w:rPr>
        <w:t>na</w:t>
      </w:r>
      <w:r>
        <w:rPr>
          <w:color w:val="A26108"/>
          <w:spacing w:val="21"/>
        </w:rPr>
        <w:t> </w:t>
      </w:r>
      <w:r>
        <w:rPr>
          <w:color w:val="A26108"/>
        </w:rPr>
        <w:t>resposta</w:t>
      </w:r>
      <w:r>
        <w:rPr>
          <w:color w:val="A26108"/>
          <w:spacing w:val="20"/>
        </w:rPr>
        <w:t> </w:t>
      </w:r>
      <w:r>
        <w:rPr>
          <w:color w:val="A26108"/>
          <w:spacing w:val="-2"/>
        </w:rPr>
        <w:t>inflamatória</w:t>
      </w:r>
    </w:p>
    <w:p>
      <w:pPr>
        <w:spacing w:line="276" w:lineRule="auto" w:before="120"/>
        <w:ind w:left="52" w:right="475" w:firstLine="300"/>
        <w:jc w:val="both"/>
        <w:rPr>
          <w:sz w:val="20"/>
        </w:rPr>
      </w:pPr>
      <w:r>
        <w:rPr>
          <w:sz w:val="20"/>
        </w:rPr>
        <w:t>Várias interleucinas estão envolvidas na resposta inflamatória da aterosclerose, como interleucina-1 (IL-1), IL-6 e TNF-α, os quais</w:t>
      </w:r>
      <w:r>
        <w:rPr>
          <w:spacing w:val="-4"/>
          <w:sz w:val="20"/>
        </w:rPr>
        <w:t> </w:t>
      </w:r>
      <w:r>
        <w:rPr>
          <w:sz w:val="20"/>
        </w:rPr>
        <w:t>aumentam</w:t>
      </w:r>
      <w:r>
        <w:rPr>
          <w:spacing w:val="-11"/>
          <w:sz w:val="20"/>
        </w:rPr>
        <w:t> </w:t>
      </w:r>
      <w:r>
        <w:rPr>
          <w:sz w:val="20"/>
        </w:rPr>
        <w:t>o</w:t>
      </w:r>
      <w:r>
        <w:rPr>
          <w:spacing w:val="-11"/>
          <w:sz w:val="20"/>
        </w:rPr>
        <w:t> </w:t>
      </w:r>
      <w:r>
        <w:rPr>
          <w:sz w:val="20"/>
        </w:rPr>
        <w:t>risco</w:t>
      </w:r>
      <w:r>
        <w:rPr>
          <w:spacing w:val="-11"/>
          <w:sz w:val="20"/>
        </w:rPr>
        <w:t> </w:t>
      </w:r>
      <w:r>
        <w:rPr>
          <w:sz w:val="20"/>
        </w:rPr>
        <w:t>para</w:t>
      </w:r>
      <w:r>
        <w:rPr>
          <w:spacing w:val="-13"/>
          <w:sz w:val="20"/>
        </w:rPr>
        <w:t> </w:t>
      </w:r>
      <w:r>
        <w:rPr>
          <w:sz w:val="20"/>
        </w:rPr>
        <w:t>eventos</w:t>
      </w:r>
      <w:r>
        <w:rPr>
          <w:spacing w:val="-4"/>
          <w:sz w:val="20"/>
        </w:rPr>
        <w:t> </w:t>
      </w:r>
      <w:r>
        <w:rPr>
          <w:sz w:val="20"/>
        </w:rPr>
        <w:t>coronarianos.</w:t>
      </w:r>
      <w:r>
        <w:rPr>
          <w:spacing w:val="-4"/>
          <w:sz w:val="20"/>
        </w:rPr>
        <w:t> </w:t>
      </w:r>
      <w:r>
        <w:rPr>
          <w:sz w:val="20"/>
        </w:rPr>
        <w:t>Outras</w:t>
      </w:r>
      <w:r>
        <w:rPr>
          <w:spacing w:val="-4"/>
          <w:sz w:val="20"/>
        </w:rPr>
        <w:t> </w:t>
      </w:r>
      <w:r>
        <w:rPr>
          <w:sz w:val="20"/>
        </w:rPr>
        <w:t>citocinas</w:t>
      </w:r>
      <w:r>
        <w:rPr>
          <w:spacing w:val="-4"/>
          <w:sz w:val="20"/>
        </w:rPr>
        <w:t> </w:t>
      </w:r>
      <w:r>
        <w:rPr>
          <w:sz w:val="20"/>
        </w:rPr>
        <w:t>são</w:t>
      </w:r>
      <w:r>
        <w:rPr>
          <w:spacing w:val="-11"/>
          <w:sz w:val="20"/>
        </w:rPr>
        <w:t> </w:t>
      </w:r>
      <w:r>
        <w:rPr>
          <w:sz w:val="20"/>
        </w:rPr>
        <w:t>descritas</w:t>
      </w:r>
      <w:r>
        <w:rPr>
          <w:spacing w:val="-4"/>
          <w:sz w:val="20"/>
        </w:rPr>
        <w:t> </w:t>
      </w:r>
      <w:r>
        <w:rPr>
          <w:sz w:val="20"/>
        </w:rPr>
        <w:t>como</w:t>
      </w:r>
      <w:r>
        <w:rPr>
          <w:spacing w:val="-11"/>
          <w:sz w:val="20"/>
        </w:rPr>
        <w:t> </w:t>
      </w:r>
      <w:r>
        <w:rPr>
          <w:sz w:val="20"/>
        </w:rPr>
        <w:t>relacionadas</w:t>
      </w:r>
      <w:r>
        <w:rPr>
          <w:spacing w:val="-4"/>
          <w:sz w:val="20"/>
        </w:rPr>
        <w:t> </w:t>
      </w:r>
      <w:r>
        <w:rPr>
          <w:sz w:val="20"/>
        </w:rPr>
        <w:t>com</w:t>
      </w:r>
      <w:r>
        <w:rPr>
          <w:spacing w:val="-11"/>
          <w:sz w:val="20"/>
        </w:rPr>
        <w:t> </w:t>
      </w:r>
      <w:r>
        <w:rPr>
          <w:sz w:val="20"/>
        </w:rPr>
        <w:t>efeitos</w:t>
      </w:r>
      <w:r>
        <w:rPr>
          <w:spacing w:val="-4"/>
          <w:sz w:val="20"/>
        </w:rPr>
        <w:t> </w:t>
      </w:r>
      <w:r>
        <w:rPr>
          <w:sz w:val="20"/>
        </w:rPr>
        <w:t>anti-inflamatórios</w:t>
      </w:r>
      <w:r>
        <w:rPr>
          <w:spacing w:val="-4"/>
          <w:sz w:val="20"/>
        </w:rPr>
        <w:t> </w:t>
      </w:r>
      <w:r>
        <w:rPr>
          <w:sz w:val="20"/>
        </w:rPr>
        <w:t>na aterosclerose, como a IL-10, que se encontra expressa em placas precoces e avançadas, inibindo alguns processos celulares relacionados com a</w:t>
      </w:r>
      <w:r>
        <w:rPr>
          <w:spacing w:val="-2"/>
          <w:sz w:val="20"/>
        </w:rPr>
        <w:t> </w:t>
      </w:r>
      <w:r>
        <w:rPr>
          <w:sz w:val="20"/>
        </w:rPr>
        <w:t>erosão ou a</w:t>
      </w:r>
      <w:r>
        <w:rPr>
          <w:spacing w:val="-2"/>
          <w:sz w:val="20"/>
        </w:rPr>
        <w:t> </w:t>
      </w:r>
      <w:r>
        <w:rPr>
          <w:sz w:val="20"/>
        </w:rPr>
        <w:t>ruptura</w:t>
      </w:r>
      <w:r>
        <w:rPr>
          <w:spacing w:val="-2"/>
          <w:sz w:val="20"/>
        </w:rPr>
        <w:t> </w:t>
      </w:r>
      <w:r>
        <w:rPr>
          <w:sz w:val="20"/>
        </w:rPr>
        <w:t>dessas placas, como a</w:t>
      </w:r>
      <w:r>
        <w:rPr>
          <w:spacing w:val="-2"/>
          <w:sz w:val="20"/>
        </w:rPr>
        <w:t> </w:t>
      </w:r>
      <w:r>
        <w:rPr>
          <w:sz w:val="20"/>
        </w:rPr>
        <w:t>produção de</w:t>
      </w:r>
      <w:r>
        <w:rPr>
          <w:spacing w:val="-2"/>
          <w:sz w:val="20"/>
        </w:rPr>
        <w:t> </w:t>
      </w:r>
      <w:r>
        <w:rPr>
          <w:sz w:val="20"/>
        </w:rPr>
        <w:t>metaloproteases ou a</w:t>
      </w:r>
      <w:r>
        <w:rPr>
          <w:spacing w:val="-2"/>
          <w:sz w:val="20"/>
        </w:rPr>
        <w:t> </w:t>
      </w:r>
      <w:r>
        <w:rPr>
          <w:sz w:val="20"/>
        </w:rPr>
        <w:t>expressão de</w:t>
      </w:r>
      <w:r>
        <w:rPr>
          <w:spacing w:val="-2"/>
          <w:sz w:val="20"/>
        </w:rPr>
        <w:t> </w:t>
      </w:r>
      <w:r>
        <w:rPr>
          <w:sz w:val="20"/>
        </w:rPr>
        <w:t>fator tecidual.</w:t>
      </w:r>
    </w:p>
    <w:p>
      <w:pPr>
        <w:spacing w:line="276" w:lineRule="auto" w:before="55"/>
        <w:ind w:left="52" w:right="492" w:firstLine="300"/>
        <w:jc w:val="both"/>
        <w:rPr>
          <w:sz w:val="20"/>
        </w:rPr>
      </w:pPr>
      <w:r>
        <w:rPr>
          <w:sz w:val="20"/>
        </w:rPr>
        <w:t>Polimorfismos genéticos de citocinas inflamatórias têm sido associados a risco maior de aterosclerose, sugerindo que variações genéticas no sistema inflamatório sejam moduladores potencialmente importantes do risco vascular.</w:t>
      </w:r>
    </w:p>
    <w:p>
      <w:pPr>
        <w:pStyle w:val="BodyText"/>
        <w:spacing w:before="9"/>
        <w:ind w:left="0" w:firstLine="0"/>
        <w:jc w:val="left"/>
        <w:rPr>
          <w:sz w:val="20"/>
        </w:rPr>
      </w:pPr>
    </w:p>
    <w:p>
      <w:pPr>
        <w:spacing w:before="1"/>
        <w:ind w:left="52" w:right="0" w:firstLine="0"/>
        <w:jc w:val="left"/>
        <w:rPr>
          <w:rFonts w:ascii="Arial"/>
          <w:b/>
          <w:i/>
          <w:sz w:val="24"/>
        </w:rPr>
      </w:pPr>
      <w:r>
        <w:rPr>
          <w:rFonts w:ascii="Arial"/>
          <w:b/>
          <w:i/>
          <w:color w:val="242B67"/>
          <w:sz w:val="24"/>
        </w:rPr>
        <w:t>Interleucina-</w:t>
      </w:r>
      <w:r>
        <w:rPr>
          <w:rFonts w:ascii="Arial"/>
          <w:b/>
          <w:i/>
          <w:color w:val="242B67"/>
          <w:spacing w:val="-10"/>
          <w:sz w:val="24"/>
        </w:rPr>
        <w:t>1</w:t>
      </w:r>
    </w:p>
    <w:p>
      <w:pPr>
        <w:spacing w:line="278" w:lineRule="auto" w:before="110"/>
        <w:ind w:left="52" w:right="475" w:firstLine="300"/>
        <w:jc w:val="both"/>
        <w:rPr>
          <w:sz w:val="20"/>
        </w:rPr>
      </w:pPr>
      <w:r>
        <w:rPr>
          <w:sz w:val="20"/>
        </w:rPr>
        <w:t>A</w:t>
      </w:r>
      <w:r>
        <w:rPr>
          <w:spacing w:val="-3"/>
          <w:sz w:val="20"/>
        </w:rPr>
        <w:t> </w:t>
      </w:r>
      <w:r>
        <w:rPr>
          <w:sz w:val="20"/>
        </w:rPr>
        <w:t>IL-1b</w:t>
      </w:r>
      <w:r>
        <w:rPr>
          <w:spacing w:val="-1"/>
          <w:sz w:val="20"/>
        </w:rPr>
        <w:t> </w:t>
      </w:r>
      <w:r>
        <w:rPr>
          <w:sz w:val="20"/>
        </w:rPr>
        <w:t>e</w:t>
      </w:r>
      <w:r>
        <w:rPr>
          <w:spacing w:val="-3"/>
          <w:sz w:val="20"/>
        </w:rPr>
        <w:t> </w:t>
      </w:r>
      <w:r>
        <w:rPr>
          <w:sz w:val="20"/>
        </w:rPr>
        <w:t>o</w:t>
      </w:r>
      <w:r>
        <w:rPr>
          <w:spacing w:val="-1"/>
          <w:sz w:val="20"/>
        </w:rPr>
        <w:t> </w:t>
      </w:r>
      <w:r>
        <w:rPr>
          <w:sz w:val="20"/>
        </w:rPr>
        <w:t>antagonista</w:t>
      </w:r>
      <w:r>
        <w:rPr>
          <w:spacing w:val="-3"/>
          <w:sz w:val="20"/>
        </w:rPr>
        <w:t> </w:t>
      </w:r>
      <w:r>
        <w:rPr>
          <w:sz w:val="20"/>
        </w:rPr>
        <w:t>do</w:t>
      </w:r>
      <w:r>
        <w:rPr>
          <w:spacing w:val="-1"/>
          <w:sz w:val="20"/>
        </w:rPr>
        <w:t> </w:t>
      </w:r>
      <w:r>
        <w:rPr>
          <w:sz w:val="20"/>
        </w:rPr>
        <w:t>receptor de</w:t>
      </w:r>
      <w:r>
        <w:rPr>
          <w:spacing w:val="-3"/>
          <w:sz w:val="20"/>
        </w:rPr>
        <w:t> </w:t>
      </w:r>
      <w:r>
        <w:rPr>
          <w:sz w:val="20"/>
        </w:rPr>
        <w:t>IL-1</w:t>
      </w:r>
      <w:r>
        <w:rPr>
          <w:spacing w:val="-1"/>
          <w:sz w:val="20"/>
        </w:rPr>
        <w:t> </w:t>
      </w:r>
      <w:r>
        <w:rPr>
          <w:sz w:val="20"/>
        </w:rPr>
        <w:t>(IL-1Rα) são</w:t>
      </w:r>
      <w:r>
        <w:rPr>
          <w:spacing w:val="-1"/>
          <w:sz w:val="20"/>
        </w:rPr>
        <w:t> </w:t>
      </w:r>
      <w:r>
        <w:rPr>
          <w:sz w:val="20"/>
        </w:rPr>
        <w:t>citocinas mediadoras da</w:t>
      </w:r>
      <w:r>
        <w:rPr>
          <w:spacing w:val="-3"/>
          <w:sz w:val="20"/>
        </w:rPr>
        <w:t> </w:t>
      </w:r>
      <w:r>
        <w:rPr>
          <w:sz w:val="20"/>
        </w:rPr>
        <w:t>inflamação, estando</w:t>
      </w:r>
      <w:r>
        <w:rPr>
          <w:spacing w:val="-1"/>
          <w:sz w:val="20"/>
        </w:rPr>
        <w:t> </w:t>
      </w:r>
      <w:r>
        <w:rPr>
          <w:sz w:val="20"/>
        </w:rPr>
        <w:t>envolvidas na</w:t>
      </w:r>
      <w:r>
        <w:rPr>
          <w:spacing w:val="-3"/>
          <w:sz w:val="20"/>
        </w:rPr>
        <w:t> </w:t>
      </w:r>
      <w:r>
        <w:rPr>
          <w:sz w:val="20"/>
        </w:rPr>
        <w:t>patogênese do</w:t>
      </w:r>
      <w:r>
        <w:rPr>
          <w:spacing w:val="-2"/>
          <w:sz w:val="20"/>
        </w:rPr>
        <w:t> </w:t>
      </w:r>
      <w:r>
        <w:rPr>
          <w:sz w:val="20"/>
        </w:rPr>
        <w:t>processo</w:t>
      </w:r>
      <w:r>
        <w:rPr>
          <w:spacing w:val="-2"/>
          <w:sz w:val="20"/>
        </w:rPr>
        <w:t> </w:t>
      </w:r>
      <w:r>
        <w:rPr>
          <w:sz w:val="20"/>
        </w:rPr>
        <w:t>aterosclerótico. Os polimorfismos C/T -511</w:t>
      </w:r>
      <w:r>
        <w:rPr>
          <w:spacing w:val="-2"/>
          <w:sz w:val="20"/>
        </w:rPr>
        <w:t> </w:t>
      </w:r>
      <w:r>
        <w:rPr>
          <w:sz w:val="20"/>
        </w:rPr>
        <w:t>do</w:t>
      </w:r>
      <w:r>
        <w:rPr>
          <w:spacing w:val="-2"/>
          <w:sz w:val="20"/>
        </w:rPr>
        <w:t> </w:t>
      </w:r>
      <w:r>
        <w:rPr>
          <w:sz w:val="20"/>
        </w:rPr>
        <w:t>gene</w:t>
      </w:r>
      <w:r>
        <w:rPr>
          <w:spacing w:val="-4"/>
          <w:sz w:val="20"/>
        </w:rPr>
        <w:t> </w:t>
      </w:r>
      <w:r>
        <w:rPr>
          <w:sz w:val="20"/>
        </w:rPr>
        <w:t>da</w:t>
      </w:r>
      <w:r>
        <w:rPr>
          <w:spacing w:val="-4"/>
          <w:sz w:val="20"/>
        </w:rPr>
        <w:t> </w:t>
      </w:r>
      <w:r>
        <w:rPr>
          <w:sz w:val="20"/>
        </w:rPr>
        <w:t>IL-1b</w:t>
      </w:r>
      <w:r>
        <w:rPr>
          <w:spacing w:val="-2"/>
          <w:sz w:val="20"/>
        </w:rPr>
        <w:t> </w:t>
      </w:r>
      <w:r>
        <w:rPr>
          <w:sz w:val="20"/>
        </w:rPr>
        <w:t>e</w:t>
      </w:r>
      <w:r>
        <w:rPr>
          <w:spacing w:val="-4"/>
          <w:sz w:val="20"/>
        </w:rPr>
        <w:t> </w:t>
      </w:r>
      <w:r>
        <w:rPr>
          <w:sz w:val="20"/>
        </w:rPr>
        <w:t>o</w:t>
      </w:r>
      <w:r>
        <w:rPr>
          <w:spacing w:val="-2"/>
          <w:sz w:val="20"/>
        </w:rPr>
        <w:t> </w:t>
      </w:r>
      <w:r>
        <w:rPr>
          <w:sz w:val="20"/>
        </w:rPr>
        <w:t>polimorfismo</w:t>
      </w:r>
      <w:r>
        <w:rPr>
          <w:spacing w:val="-2"/>
          <w:sz w:val="20"/>
        </w:rPr>
        <w:t> </w:t>
      </w:r>
      <w:r>
        <w:rPr>
          <w:sz w:val="20"/>
        </w:rPr>
        <w:t>do</w:t>
      </w:r>
      <w:r>
        <w:rPr>
          <w:spacing w:val="-2"/>
          <w:sz w:val="20"/>
        </w:rPr>
        <w:t> </w:t>
      </w:r>
      <w:r>
        <w:rPr>
          <w:sz w:val="20"/>
        </w:rPr>
        <w:t>antagonista</w:t>
      </w:r>
      <w:r>
        <w:rPr>
          <w:spacing w:val="-4"/>
          <w:sz w:val="20"/>
        </w:rPr>
        <w:t> </w:t>
      </w:r>
      <w:r>
        <w:rPr>
          <w:sz w:val="20"/>
        </w:rPr>
        <w:t>do</w:t>
      </w:r>
      <w:r>
        <w:rPr>
          <w:spacing w:val="-2"/>
          <w:sz w:val="20"/>
        </w:rPr>
        <w:t> </w:t>
      </w:r>
      <w:r>
        <w:rPr>
          <w:sz w:val="20"/>
        </w:rPr>
        <w:t>receptor IL-1</w:t>
      </w:r>
      <w:r>
        <w:rPr>
          <w:spacing w:val="-2"/>
          <w:sz w:val="20"/>
        </w:rPr>
        <w:t> </w:t>
      </w:r>
      <w:r>
        <w:rPr>
          <w:sz w:val="20"/>
        </w:rPr>
        <w:t>(IL-1Rα – alelos repetidos no íntron 2) podem interferir na progressão da aterosclerose, apresentando uma associação com a incidência de DAC.</w:t>
      </w:r>
      <w:r>
        <w:rPr>
          <w:sz w:val="20"/>
          <w:vertAlign w:val="superscript"/>
        </w:rPr>
        <w:t>32</w:t>
      </w:r>
      <w:r>
        <w:rPr>
          <w:sz w:val="20"/>
          <w:vertAlign w:val="baseline"/>
        </w:rPr>
        <w:t> Observou-se</w:t>
      </w:r>
      <w:r>
        <w:rPr>
          <w:spacing w:val="-8"/>
          <w:sz w:val="20"/>
          <w:vertAlign w:val="baseline"/>
        </w:rPr>
        <w:t> </w:t>
      </w:r>
      <w:r>
        <w:rPr>
          <w:sz w:val="20"/>
          <w:vertAlign w:val="baseline"/>
        </w:rPr>
        <w:t>também</w:t>
      </w:r>
      <w:r>
        <w:rPr>
          <w:spacing w:val="-6"/>
          <w:sz w:val="20"/>
          <w:vertAlign w:val="baseline"/>
        </w:rPr>
        <w:t> </w:t>
      </w:r>
      <w:r>
        <w:rPr>
          <w:sz w:val="20"/>
          <w:vertAlign w:val="baseline"/>
        </w:rPr>
        <w:t>uma</w:t>
      </w:r>
      <w:r>
        <w:rPr>
          <w:spacing w:val="-8"/>
          <w:sz w:val="20"/>
          <w:vertAlign w:val="baseline"/>
        </w:rPr>
        <w:t> </w:t>
      </w:r>
      <w:r>
        <w:rPr>
          <w:sz w:val="20"/>
          <w:vertAlign w:val="baseline"/>
        </w:rPr>
        <w:t>correlação</w:t>
      </w:r>
      <w:r>
        <w:rPr>
          <w:spacing w:val="-6"/>
          <w:sz w:val="20"/>
          <w:vertAlign w:val="baseline"/>
        </w:rPr>
        <w:t> </w:t>
      </w:r>
      <w:r>
        <w:rPr>
          <w:sz w:val="20"/>
          <w:vertAlign w:val="baseline"/>
        </w:rPr>
        <w:t>do</w:t>
      </w:r>
      <w:r>
        <w:rPr>
          <w:spacing w:val="-6"/>
          <w:sz w:val="20"/>
          <w:vertAlign w:val="baseline"/>
        </w:rPr>
        <w:t> </w:t>
      </w:r>
      <w:r>
        <w:rPr>
          <w:sz w:val="20"/>
          <w:vertAlign w:val="baseline"/>
        </w:rPr>
        <w:t>polimorfismo</w:t>
      </w:r>
      <w:r>
        <w:rPr>
          <w:spacing w:val="-6"/>
          <w:sz w:val="20"/>
          <w:vertAlign w:val="baseline"/>
        </w:rPr>
        <w:t> </w:t>
      </w:r>
      <w:r>
        <w:rPr>
          <w:sz w:val="20"/>
          <w:vertAlign w:val="baseline"/>
        </w:rPr>
        <w:t>do</w:t>
      </w:r>
      <w:r>
        <w:rPr>
          <w:spacing w:val="-6"/>
          <w:sz w:val="20"/>
          <w:vertAlign w:val="baseline"/>
        </w:rPr>
        <w:t> </w:t>
      </w:r>
      <w:r>
        <w:rPr>
          <w:sz w:val="20"/>
          <w:vertAlign w:val="baseline"/>
        </w:rPr>
        <w:t>gene</w:t>
      </w:r>
      <w:r>
        <w:rPr>
          <w:spacing w:val="-8"/>
          <w:sz w:val="20"/>
          <w:vertAlign w:val="baseline"/>
        </w:rPr>
        <w:t> </w:t>
      </w:r>
      <w:r>
        <w:rPr>
          <w:sz w:val="20"/>
          <w:vertAlign w:val="baseline"/>
        </w:rPr>
        <w:t>da</w:t>
      </w:r>
      <w:r>
        <w:rPr>
          <w:spacing w:val="-8"/>
          <w:sz w:val="20"/>
          <w:vertAlign w:val="baseline"/>
        </w:rPr>
        <w:t> </w:t>
      </w:r>
      <w:r>
        <w:rPr>
          <w:sz w:val="20"/>
          <w:vertAlign w:val="baseline"/>
        </w:rPr>
        <w:t>IL-1</w:t>
      </w:r>
      <w:r>
        <w:rPr>
          <w:spacing w:val="-6"/>
          <w:sz w:val="20"/>
          <w:vertAlign w:val="baseline"/>
        </w:rPr>
        <w:t> </w:t>
      </w:r>
      <w:r>
        <w:rPr>
          <w:sz w:val="20"/>
          <w:vertAlign w:val="baseline"/>
        </w:rPr>
        <w:t>no</w:t>
      </w:r>
      <w:r>
        <w:rPr>
          <w:spacing w:val="-6"/>
          <w:sz w:val="20"/>
          <w:vertAlign w:val="baseline"/>
        </w:rPr>
        <w:t> </w:t>
      </w:r>
      <w:r>
        <w:rPr>
          <w:sz w:val="20"/>
          <w:vertAlign w:val="baseline"/>
        </w:rPr>
        <w:t>desenvolvimento</w:t>
      </w:r>
      <w:r>
        <w:rPr>
          <w:spacing w:val="-6"/>
          <w:sz w:val="20"/>
          <w:vertAlign w:val="baseline"/>
        </w:rPr>
        <w:t> </w:t>
      </w:r>
      <w:r>
        <w:rPr>
          <w:sz w:val="20"/>
          <w:vertAlign w:val="baseline"/>
        </w:rPr>
        <w:t>da</w:t>
      </w:r>
      <w:r>
        <w:rPr>
          <w:spacing w:val="-8"/>
          <w:sz w:val="20"/>
          <w:vertAlign w:val="baseline"/>
        </w:rPr>
        <w:t> </w:t>
      </w:r>
      <w:r>
        <w:rPr>
          <w:sz w:val="20"/>
          <w:vertAlign w:val="baseline"/>
        </w:rPr>
        <w:t>DAC associada</w:t>
      </w:r>
      <w:r>
        <w:rPr>
          <w:spacing w:val="-8"/>
          <w:sz w:val="20"/>
          <w:vertAlign w:val="baseline"/>
        </w:rPr>
        <w:t> </w:t>
      </w:r>
      <w:r>
        <w:rPr>
          <w:sz w:val="20"/>
          <w:vertAlign w:val="baseline"/>
        </w:rPr>
        <w:t>à</w:t>
      </w:r>
      <w:r>
        <w:rPr>
          <w:spacing w:val="-8"/>
          <w:sz w:val="20"/>
          <w:vertAlign w:val="baseline"/>
        </w:rPr>
        <w:t> </w:t>
      </w:r>
      <w:r>
        <w:rPr>
          <w:sz w:val="20"/>
          <w:vertAlign w:val="baseline"/>
        </w:rPr>
        <w:t>infecção</w:t>
      </w:r>
      <w:r>
        <w:rPr>
          <w:spacing w:val="-6"/>
          <w:sz w:val="20"/>
          <w:vertAlign w:val="baseline"/>
        </w:rPr>
        <w:t> </w:t>
      </w:r>
      <w:r>
        <w:rPr>
          <w:sz w:val="20"/>
          <w:vertAlign w:val="baseline"/>
        </w:rPr>
        <w:t>por </w:t>
      </w:r>
      <w:r>
        <w:rPr>
          <w:i/>
          <w:sz w:val="20"/>
          <w:vertAlign w:val="baseline"/>
        </w:rPr>
        <w:t>Chlamydia</w:t>
      </w:r>
      <w:r>
        <w:rPr>
          <w:i/>
          <w:spacing w:val="-9"/>
          <w:sz w:val="20"/>
          <w:vertAlign w:val="baseline"/>
        </w:rPr>
        <w:t> </w:t>
      </w:r>
      <w:r>
        <w:rPr>
          <w:i/>
          <w:sz w:val="20"/>
          <w:vertAlign w:val="baseline"/>
        </w:rPr>
        <w:t>pneumoniae</w:t>
      </w:r>
      <w:r>
        <w:rPr>
          <w:sz w:val="20"/>
          <w:vertAlign w:val="baseline"/>
        </w:rPr>
        <w:t>. Pacientes soropositivos para</w:t>
      </w:r>
      <w:r>
        <w:rPr>
          <w:spacing w:val="-7"/>
          <w:sz w:val="20"/>
          <w:vertAlign w:val="baseline"/>
        </w:rPr>
        <w:t> </w:t>
      </w:r>
      <w:r>
        <w:rPr>
          <w:sz w:val="20"/>
          <w:vertAlign w:val="baseline"/>
        </w:rPr>
        <w:t>essa</w:t>
      </w:r>
      <w:r>
        <w:rPr>
          <w:spacing w:val="-7"/>
          <w:sz w:val="20"/>
          <w:vertAlign w:val="baseline"/>
        </w:rPr>
        <w:t> </w:t>
      </w:r>
      <w:r>
        <w:rPr>
          <w:sz w:val="20"/>
          <w:vertAlign w:val="baseline"/>
        </w:rPr>
        <w:t>bactéria</w:t>
      </w:r>
      <w:r>
        <w:rPr>
          <w:spacing w:val="-7"/>
          <w:sz w:val="20"/>
          <w:vertAlign w:val="baseline"/>
        </w:rPr>
        <w:t> </w:t>
      </w:r>
      <w:r>
        <w:rPr>
          <w:sz w:val="20"/>
          <w:vertAlign w:val="baseline"/>
        </w:rPr>
        <w:t>têm</w:t>
      </w:r>
      <w:r>
        <w:rPr>
          <w:spacing w:val="-5"/>
          <w:sz w:val="20"/>
          <w:vertAlign w:val="baseline"/>
        </w:rPr>
        <w:t> </w:t>
      </w:r>
      <w:r>
        <w:rPr>
          <w:sz w:val="20"/>
          <w:vertAlign w:val="baseline"/>
        </w:rPr>
        <w:t>maior tendência</w:t>
      </w:r>
      <w:r>
        <w:rPr>
          <w:spacing w:val="-7"/>
          <w:sz w:val="20"/>
          <w:vertAlign w:val="baseline"/>
        </w:rPr>
        <w:t> </w:t>
      </w:r>
      <w:r>
        <w:rPr>
          <w:sz w:val="20"/>
          <w:vertAlign w:val="baseline"/>
        </w:rPr>
        <w:t>a</w:t>
      </w:r>
      <w:r>
        <w:rPr>
          <w:spacing w:val="-7"/>
          <w:sz w:val="20"/>
          <w:vertAlign w:val="baseline"/>
        </w:rPr>
        <w:t> </w:t>
      </w:r>
      <w:r>
        <w:rPr>
          <w:sz w:val="20"/>
          <w:vertAlign w:val="baseline"/>
        </w:rPr>
        <w:t>apresentar infarto</w:t>
      </w:r>
      <w:r>
        <w:rPr>
          <w:spacing w:val="-5"/>
          <w:sz w:val="20"/>
          <w:vertAlign w:val="baseline"/>
        </w:rPr>
        <w:t> </w:t>
      </w:r>
      <w:r>
        <w:rPr>
          <w:sz w:val="20"/>
          <w:vertAlign w:val="baseline"/>
        </w:rPr>
        <w:t>do</w:t>
      </w:r>
      <w:r>
        <w:rPr>
          <w:spacing w:val="-5"/>
          <w:sz w:val="20"/>
          <w:vertAlign w:val="baseline"/>
        </w:rPr>
        <w:t> </w:t>
      </w:r>
      <w:r>
        <w:rPr>
          <w:sz w:val="20"/>
          <w:vertAlign w:val="baseline"/>
        </w:rPr>
        <w:t>miocárdio</w:t>
      </w:r>
      <w:r>
        <w:rPr>
          <w:spacing w:val="-5"/>
          <w:sz w:val="20"/>
          <w:vertAlign w:val="baseline"/>
        </w:rPr>
        <w:t> </w:t>
      </w:r>
      <w:r>
        <w:rPr>
          <w:sz w:val="20"/>
          <w:vertAlign w:val="baseline"/>
        </w:rPr>
        <w:t>quando</w:t>
      </w:r>
      <w:r>
        <w:rPr>
          <w:spacing w:val="-5"/>
          <w:sz w:val="20"/>
          <w:vertAlign w:val="baseline"/>
        </w:rPr>
        <w:t> </w:t>
      </w:r>
      <w:r>
        <w:rPr>
          <w:sz w:val="20"/>
          <w:vertAlign w:val="baseline"/>
        </w:rPr>
        <w:t>são portadores dos genótipos IL-1</w:t>
      </w:r>
      <w:r>
        <w:rPr>
          <w:spacing w:val="-2"/>
          <w:sz w:val="20"/>
          <w:vertAlign w:val="baseline"/>
        </w:rPr>
        <w:t> </w:t>
      </w:r>
      <w:r>
        <w:rPr>
          <w:sz w:val="20"/>
          <w:vertAlign w:val="baseline"/>
        </w:rPr>
        <w:t>C/C e/ou</w:t>
      </w:r>
      <w:r>
        <w:rPr>
          <w:spacing w:val="-2"/>
          <w:sz w:val="20"/>
          <w:vertAlign w:val="baseline"/>
        </w:rPr>
        <w:t> </w:t>
      </w:r>
      <w:r>
        <w:rPr>
          <w:sz w:val="20"/>
          <w:vertAlign w:val="baseline"/>
        </w:rPr>
        <w:t>o</w:t>
      </w:r>
      <w:r>
        <w:rPr>
          <w:spacing w:val="-2"/>
          <w:sz w:val="20"/>
          <w:vertAlign w:val="baseline"/>
        </w:rPr>
        <w:t> </w:t>
      </w:r>
      <w:r>
        <w:rPr>
          <w:sz w:val="20"/>
          <w:vertAlign w:val="baseline"/>
        </w:rPr>
        <w:t>IL-1Rα com</w:t>
      </w:r>
      <w:r>
        <w:rPr>
          <w:spacing w:val="-2"/>
          <w:sz w:val="20"/>
          <w:vertAlign w:val="baseline"/>
        </w:rPr>
        <w:t> </w:t>
      </w:r>
      <w:r>
        <w:rPr>
          <w:sz w:val="20"/>
          <w:vertAlign w:val="baseline"/>
        </w:rPr>
        <w:t>dois a</w:t>
      </w:r>
      <w:r>
        <w:rPr>
          <w:spacing w:val="-4"/>
          <w:sz w:val="20"/>
          <w:vertAlign w:val="baseline"/>
        </w:rPr>
        <w:t> </w:t>
      </w:r>
      <w:r>
        <w:rPr>
          <w:sz w:val="20"/>
          <w:vertAlign w:val="baseline"/>
        </w:rPr>
        <w:t>três alelos repetidos. Recentemente, um</w:t>
      </w:r>
      <w:r>
        <w:rPr>
          <w:spacing w:val="-2"/>
          <w:sz w:val="20"/>
          <w:vertAlign w:val="baseline"/>
        </w:rPr>
        <w:t> </w:t>
      </w:r>
      <w:r>
        <w:rPr>
          <w:sz w:val="20"/>
          <w:vertAlign w:val="baseline"/>
        </w:rPr>
        <w:t>anticorpo</w:t>
      </w:r>
      <w:r>
        <w:rPr>
          <w:spacing w:val="-2"/>
          <w:sz w:val="20"/>
          <w:vertAlign w:val="baseline"/>
        </w:rPr>
        <w:t> </w:t>
      </w:r>
      <w:r>
        <w:rPr>
          <w:sz w:val="20"/>
          <w:vertAlign w:val="baseline"/>
        </w:rPr>
        <w:t>monoclonal anti-IL-1b (canakinumab) vem sendo estudado na prevenção da recorrência de eventos cardiovasculares em pacientes com infarto do miocárdio</w:t>
      </w:r>
      <w:r>
        <w:rPr>
          <w:spacing w:val="-7"/>
          <w:sz w:val="20"/>
          <w:vertAlign w:val="baseline"/>
        </w:rPr>
        <w:t> </w:t>
      </w:r>
      <w:r>
        <w:rPr>
          <w:sz w:val="20"/>
          <w:vertAlign w:val="baseline"/>
        </w:rPr>
        <w:t>prévio</w:t>
      </w:r>
      <w:r>
        <w:rPr>
          <w:spacing w:val="-7"/>
          <w:sz w:val="20"/>
          <w:vertAlign w:val="baseline"/>
        </w:rPr>
        <w:t> </w:t>
      </w:r>
      <w:r>
        <w:rPr>
          <w:sz w:val="20"/>
          <w:vertAlign w:val="baseline"/>
        </w:rPr>
        <w:t>sob</w:t>
      </w:r>
      <w:r>
        <w:rPr>
          <w:spacing w:val="-7"/>
          <w:sz w:val="20"/>
          <w:vertAlign w:val="baseline"/>
        </w:rPr>
        <w:t> </w:t>
      </w:r>
      <w:r>
        <w:rPr>
          <w:sz w:val="20"/>
          <w:vertAlign w:val="baseline"/>
        </w:rPr>
        <w:t>terapêutica</w:t>
      </w:r>
      <w:r>
        <w:rPr>
          <w:spacing w:val="-10"/>
          <w:sz w:val="20"/>
          <w:vertAlign w:val="baseline"/>
        </w:rPr>
        <w:t> </w:t>
      </w:r>
      <w:r>
        <w:rPr>
          <w:sz w:val="20"/>
          <w:vertAlign w:val="baseline"/>
        </w:rPr>
        <w:t>otimizada.</w:t>
      </w:r>
      <w:r>
        <w:rPr>
          <w:spacing w:val="-1"/>
          <w:sz w:val="20"/>
          <w:vertAlign w:val="baseline"/>
        </w:rPr>
        <w:t> </w:t>
      </w:r>
      <w:r>
        <w:rPr>
          <w:sz w:val="20"/>
          <w:vertAlign w:val="baseline"/>
        </w:rPr>
        <w:t>Espera-se</w:t>
      </w:r>
      <w:r>
        <w:rPr>
          <w:spacing w:val="-10"/>
          <w:sz w:val="20"/>
          <w:vertAlign w:val="baseline"/>
        </w:rPr>
        <w:t> </w:t>
      </w:r>
      <w:r>
        <w:rPr>
          <w:sz w:val="20"/>
          <w:vertAlign w:val="baseline"/>
        </w:rPr>
        <w:t>que</w:t>
      </w:r>
      <w:r>
        <w:rPr>
          <w:spacing w:val="-10"/>
          <w:sz w:val="20"/>
          <w:vertAlign w:val="baseline"/>
        </w:rPr>
        <w:t> </w:t>
      </w:r>
      <w:r>
        <w:rPr>
          <w:sz w:val="20"/>
          <w:vertAlign w:val="baseline"/>
        </w:rPr>
        <w:t>modulando</w:t>
      </w:r>
      <w:r>
        <w:rPr>
          <w:spacing w:val="-7"/>
          <w:sz w:val="20"/>
          <w:vertAlign w:val="baseline"/>
        </w:rPr>
        <w:t> </w:t>
      </w:r>
      <w:r>
        <w:rPr>
          <w:sz w:val="20"/>
          <w:vertAlign w:val="baseline"/>
        </w:rPr>
        <w:t>a</w:t>
      </w:r>
      <w:r>
        <w:rPr>
          <w:spacing w:val="-10"/>
          <w:sz w:val="20"/>
          <w:vertAlign w:val="baseline"/>
        </w:rPr>
        <w:t> </w:t>
      </w:r>
      <w:r>
        <w:rPr>
          <w:sz w:val="20"/>
          <w:vertAlign w:val="baseline"/>
        </w:rPr>
        <w:t>inflamação</w:t>
      </w:r>
      <w:r>
        <w:rPr>
          <w:spacing w:val="-7"/>
          <w:sz w:val="20"/>
          <w:vertAlign w:val="baseline"/>
        </w:rPr>
        <w:t> </w:t>
      </w:r>
      <w:r>
        <w:rPr>
          <w:sz w:val="20"/>
          <w:vertAlign w:val="baseline"/>
        </w:rPr>
        <w:t>ocorra</w:t>
      </w:r>
      <w:r>
        <w:rPr>
          <w:spacing w:val="-10"/>
          <w:sz w:val="20"/>
          <w:vertAlign w:val="baseline"/>
        </w:rPr>
        <w:t> </w:t>
      </w:r>
      <w:r>
        <w:rPr>
          <w:sz w:val="20"/>
          <w:vertAlign w:val="baseline"/>
        </w:rPr>
        <w:t>redução</w:t>
      </w:r>
      <w:r>
        <w:rPr>
          <w:spacing w:val="-7"/>
          <w:sz w:val="20"/>
          <w:vertAlign w:val="baseline"/>
        </w:rPr>
        <w:t> </w:t>
      </w:r>
      <w:r>
        <w:rPr>
          <w:sz w:val="20"/>
          <w:vertAlign w:val="baseline"/>
        </w:rPr>
        <w:t>de</w:t>
      </w:r>
      <w:r>
        <w:rPr>
          <w:spacing w:val="-10"/>
          <w:sz w:val="20"/>
          <w:vertAlign w:val="baseline"/>
        </w:rPr>
        <w:t> </w:t>
      </w:r>
      <w:r>
        <w:rPr>
          <w:sz w:val="20"/>
          <w:vertAlign w:val="baseline"/>
        </w:rPr>
        <w:t>novos</w:t>
      </w:r>
      <w:r>
        <w:rPr>
          <w:spacing w:val="-1"/>
          <w:sz w:val="20"/>
          <w:vertAlign w:val="baseline"/>
        </w:rPr>
        <w:t> </w:t>
      </w:r>
      <w:r>
        <w:rPr>
          <w:sz w:val="20"/>
          <w:vertAlign w:val="baseline"/>
        </w:rPr>
        <w:t>eventos</w:t>
      </w:r>
      <w:r>
        <w:rPr>
          <w:spacing w:val="-1"/>
          <w:sz w:val="20"/>
          <w:vertAlign w:val="baseline"/>
        </w:rPr>
        <w:t> </w:t>
      </w:r>
      <w:r>
        <w:rPr>
          <w:sz w:val="20"/>
          <w:vertAlign w:val="baseline"/>
        </w:rPr>
        <w:t>nessa</w:t>
      </w:r>
      <w:r>
        <w:rPr>
          <w:spacing w:val="-10"/>
          <w:sz w:val="20"/>
          <w:vertAlign w:val="baseline"/>
        </w:rPr>
        <w:t> </w:t>
      </w:r>
      <w:r>
        <w:rPr>
          <w:sz w:val="20"/>
          <w:vertAlign w:val="baseline"/>
        </w:rPr>
        <w:t>população </w:t>
      </w:r>
      <w:r>
        <w:rPr>
          <w:spacing w:val="-2"/>
          <w:sz w:val="20"/>
          <w:vertAlign w:val="baseline"/>
        </w:rPr>
        <w:t>IL-1b.</w:t>
      </w:r>
      <w:r>
        <w:rPr>
          <w:spacing w:val="-2"/>
          <w:sz w:val="20"/>
          <w:vertAlign w:val="superscript"/>
        </w:rPr>
        <w:t>33</w:t>
      </w:r>
    </w:p>
    <w:p>
      <w:pPr>
        <w:pStyle w:val="BodyText"/>
        <w:spacing w:before="30"/>
        <w:ind w:left="0" w:firstLine="0"/>
        <w:jc w:val="left"/>
        <w:rPr>
          <w:sz w:val="20"/>
        </w:rPr>
      </w:pPr>
    </w:p>
    <w:p>
      <w:pPr>
        <w:spacing w:before="0"/>
        <w:ind w:left="52" w:right="0" w:firstLine="0"/>
        <w:jc w:val="left"/>
        <w:rPr>
          <w:rFonts w:ascii="Arial"/>
          <w:b/>
          <w:i/>
          <w:sz w:val="24"/>
        </w:rPr>
      </w:pPr>
      <w:r>
        <w:rPr>
          <w:rFonts w:ascii="Arial"/>
          <w:b/>
          <w:i/>
          <w:color w:val="242B67"/>
          <w:sz w:val="24"/>
        </w:rPr>
        <w:t>Interleucina-</w:t>
      </w:r>
      <w:r>
        <w:rPr>
          <w:rFonts w:ascii="Arial"/>
          <w:b/>
          <w:i/>
          <w:color w:val="242B67"/>
          <w:spacing w:val="-10"/>
          <w:sz w:val="24"/>
        </w:rPr>
        <w:t>6</w:t>
      </w:r>
    </w:p>
    <w:p>
      <w:pPr>
        <w:spacing w:line="278" w:lineRule="auto" w:before="110"/>
        <w:ind w:left="52" w:right="478" w:firstLine="300"/>
        <w:jc w:val="both"/>
        <w:rPr>
          <w:sz w:val="20"/>
        </w:rPr>
      </w:pPr>
      <w:r>
        <w:rPr>
          <w:sz w:val="20"/>
        </w:rPr>
        <w:t>A IL-6 tem papel central na reação inflamatória sistêmica e na resposta de fase aguda, pois estimula a síntese de várias outras proteínas</w:t>
      </w:r>
      <w:r>
        <w:rPr>
          <w:spacing w:val="-3"/>
          <w:sz w:val="20"/>
        </w:rPr>
        <w:t> </w:t>
      </w:r>
      <w:r>
        <w:rPr>
          <w:sz w:val="20"/>
        </w:rPr>
        <w:t>relacionadas</w:t>
      </w:r>
      <w:r>
        <w:rPr>
          <w:spacing w:val="-3"/>
          <w:sz w:val="20"/>
        </w:rPr>
        <w:t> </w:t>
      </w:r>
      <w:r>
        <w:rPr>
          <w:sz w:val="20"/>
        </w:rPr>
        <w:t>com</w:t>
      </w:r>
      <w:r>
        <w:rPr>
          <w:spacing w:val="-10"/>
          <w:sz w:val="20"/>
        </w:rPr>
        <w:t> </w:t>
      </w:r>
      <w:r>
        <w:rPr>
          <w:sz w:val="20"/>
        </w:rPr>
        <w:t>a</w:t>
      </w:r>
      <w:r>
        <w:rPr>
          <w:spacing w:val="-12"/>
          <w:sz w:val="20"/>
        </w:rPr>
        <w:t> </w:t>
      </w:r>
      <w:r>
        <w:rPr>
          <w:sz w:val="20"/>
        </w:rPr>
        <w:t>resposta</w:t>
      </w:r>
      <w:r>
        <w:rPr>
          <w:spacing w:val="-12"/>
          <w:sz w:val="20"/>
        </w:rPr>
        <w:t> </w:t>
      </w:r>
      <w:r>
        <w:rPr>
          <w:sz w:val="20"/>
        </w:rPr>
        <w:t>inflamatória.</w:t>
      </w:r>
      <w:r>
        <w:rPr>
          <w:spacing w:val="-3"/>
          <w:sz w:val="20"/>
        </w:rPr>
        <w:t> </w:t>
      </w:r>
      <w:r>
        <w:rPr>
          <w:sz w:val="20"/>
        </w:rPr>
        <w:t>Altos</w:t>
      </w:r>
      <w:r>
        <w:rPr>
          <w:spacing w:val="-3"/>
          <w:sz w:val="20"/>
        </w:rPr>
        <w:t> </w:t>
      </w:r>
      <w:r>
        <w:rPr>
          <w:sz w:val="20"/>
        </w:rPr>
        <w:t>níveis</w:t>
      </w:r>
      <w:r>
        <w:rPr>
          <w:spacing w:val="-3"/>
          <w:sz w:val="20"/>
        </w:rPr>
        <w:t> </w:t>
      </w:r>
      <w:r>
        <w:rPr>
          <w:sz w:val="20"/>
        </w:rPr>
        <w:t>de</w:t>
      </w:r>
      <w:r>
        <w:rPr>
          <w:spacing w:val="-12"/>
          <w:sz w:val="20"/>
        </w:rPr>
        <w:t> </w:t>
      </w:r>
      <w:r>
        <w:rPr>
          <w:sz w:val="20"/>
        </w:rPr>
        <w:t>IL-6</w:t>
      </w:r>
      <w:r>
        <w:rPr>
          <w:spacing w:val="-10"/>
          <w:sz w:val="20"/>
        </w:rPr>
        <w:t> </w:t>
      </w:r>
      <w:r>
        <w:rPr>
          <w:sz w:val="20"/>
        </w:rPr>
        <w:t>podem</w:t>
      </w:r>
      <w:r>
        <w:rPr>
          <w:spacing w:val="-10"/>
          <w:sz w:val="20"/>
        </w:rPr>
        <w:t> </w:t>
      </w:r>
      <w:r>
        <w:rPr>
          <w:sz w:val="20"/>
        </w:rPr>
        <w:t>promover</w:t>
      </w:r>
      <w:r>
        <w:rPr>
          <w:spacing w:val="-5"/>
          <w:sz w:val="20"/>
        </w:rPr>
        <w:t> </w:t>
      </w:r>
      <w:r>
        <w:rPr>
          <w:sz w:val="20"/>
        </w:rPr>
        <w:t>crescimento</w:t>
      </w:r>
      <w:r>
        <w:rPr>
          <w:spacing w:val="-10"/>
          <w:sz w:val="20"/>
        </w:rPr>
        <w:t> </w:t>
      </w:r>
      <w:r>
        <w:rPr>
          <w:sz w:val="20"/>
        </w:rPr>
        <w:t>da</w:t>
      </w:r>
      <w:r>
        <w:rPr>
          <w:spacing w:val="-12"/>
          <w:sz w:val="20"/>
        </w:rPr>
        <w:t> </w:t>
      </w:r>
      <w:r>
        <w:rPr>
          <w:sz w:val="20"/>
        </w:rPr>
        <w:t>placa</w:t>
      </w:r>
      <w:r>
        <w:rPr>
          <w:spacing w:val="-12"/>
          <w:sz w:val="20"/>
        </w:rPr>
        <w:t> </w:t>
      </w:r>
      <w:r>
        <w:rPr>
          <w:sz w:val="20"/>
        </w:rPr>
        <w:t>e</w:t>
      </w:r>
      <w:r>
        <w:rPr>
          <w:spacing w:val="-12"/>
          <w:sz w:val="20"/>
        </w:rPr>
        <w:t> </w:t>
      </w:r>
      <w:r>
        <w:rPr>
          <w:sz w:val="20"/>
        </w:rPr>
        <w:t>ruptura,</w:t>
      </w:r>
      <w:r>
        <w:rPr>
          <w:spacing w:val="-3"/>
          <w:sz w:val="20"/>
        </w:rPr>
        <w:t> </w:t>
      </w:r>
      <w:r>
        <w:rPr>
          <w:sz w:val="20"/>
        </w:rPr>
        <w:t>aumentando a</w:t>
      </w:r>
      <w:r>
        <w:rPr>
          <w:spacing w:val="-6"/>
          <w:sz w:val="20"/>
        </w:rPr>
        <w:t> </w:t>
      </w:r>
      <w:r>
        <w:rPr>
          <w:sz w:val="20"/>
        </w:rPr>
        <w:t>expressão</w:t>
      </w:r>
      <w:r>
        <w:rPr>
          <w:spacing w:val="-3"/>
          <w:sz w:val="20"/>
        </w:rPr>
        <w:t> </w:t>
      </w:r>
      <w:r>
        <w:rPr>
          <w:sz w:val="20"/>
        </w:rPr>
        <w:t>de</w:t>
      </w:r>
      <w:r>
        <w:rPr>
          <w:spacing w:val="-6"/>
          <w:sz w:val="20"/>
        </w:rPr>
        <w:t> </w:t>
      </w:r>
      <w:r>
        <w:rPr>
          <w:sz w:val="20"/>
        </w:rPr>
        <w:t>vários genes. O</w:t>
      </w:r>
      <w:r>
        <w:rPr>
          <w:spacing w:val="-6"/>
          <w:sz w:val="20"/>
        </w:rPr>
        <w:t> </w:t>
      </w:r>
      <w:r>
        <w:rPr>
          <w:sz w:val="20"/>
        </w:rPr>
        <w:t>polimorfismo</w:t>
      </w:r>
      <w:r>
        <w:rPr>
          <w:spacing w:val="-3"/>
          <w:sz w:val="20"/>
        </w:rPr>
        <w:t> </w:t>
      </w:r>
      <w:r>
        <w:rPr>
          <w:sz w:val="20"/>
        </w:rPr>
        <w:t>G/C–174</w:t>
      </w:r>
      <w:r>
        <w:rPr>
          <w:spacing w:val="-3"/>
          <w:sz w:val="20"/>
        </w:rPr>
        <w:t> </w:t>
      </w:r>
      <w:r>
        <w:rPr>
          <w:sz w:val="20"/>
        </w:rPr>
        <w:t>do</w:t>
      </w:r>
      <w:r>
        <w:rPr>
          <w:spacing w:val="-3"/>
          <w:sz w:val="20"/>
        </w:rPr>
        <w:t> </w:t>
      </w:r>
      <w:r>
        <w:rPr>
          <w:sz w:val="20"/>
        </w:rPr>
        <w:t>gene</w:t>
      </w:r>
      <w:r>
        <w:rPr>
          <w:spacing w:val="-6"/>
          <w:sz w:val="20"/>
        </w:rPr>
        <w:t> </w:t>
      </w:r>
      <w:r>
        <w:rPr>
          <w:sz w:val="20"/>
        </w:rPr>
        <w:t>da</w:t>
      </w:r>
      <w:r>
        <w:rPr>
          <w:spacing w:val="-6"/>
          <w:sz w:val="20"/>
        </w:rPr>
        <w:t> </w:t>
      </w:r>
      <w:r>
        <w:rPr>
          <w:sz w:val="20"/>
        </w:rPr>
        <w:t>IL-6</w:t>
      </w:r>
      <w:r>
        <w:rPr>
          <w:spacing w:val="-3"/>
          <w:sz w:val="20"/>
        </w:rPr>
        <w:t> </w:t>
      </w:r>
      <w:r>
        <w:rPr>
          <w:sz w:val="20"/>
        </w:rPr>
        <w:t>diminui</w:t>
      </w:r>
      <w:r>
        <w:rPr>
          <w:spacing w:val="-1"/>
          <w:sz w:val="20"/>
        </w:rPr>
        <w:t> </w:t>
      </w:r>
      <w:r>
        <w:rPr>
          <w:sz w:val="20"/>
        </w:rPr>
        <w:t>a</w:t>
      </w:r>
      <w:r>
        <w:rPr>
          <w:spacing w:val="-6"/>
          <w:sz w:val="20"/>
        </w:rPr>
        <w:t> </w:t>
      </w:r>
      <w:r>
        <w:rPr>
          <w:sz w:val="20"/>
        </w:rPr>
        <w:t>sua</w:t>
      </w:r>
      <w:r>
        <w:rPr>
          <w:spacing w:val="-6"/>
          <w:sz w:val="20"/>
        </w:rPr>
        <w:t> </w:t>
      </w:r>
      <w:r>
        <w:rPr>
          <w:sz w:val="20"/>
        </w:rPr>
        <w:t>produção, reduzindo</w:t>
      </w:r>
      <w:r>
        <w:rPr>
          <w:spacing w:val="-3"/>
          <w:sz w:val="20"/>
        </w:rPr>
        <w:t> </w:t>
      </w:r>
      <w:r>
        <w:rPr>
          <w:sz w:val="20"/>
        </w:rPr>
        <w:t>a</w:t>
      </w:r>
      <w:r>
        <w:rPr>
          <w:spacing w:val="-6"/>
          <w:sz w:val="20"/>
        </w:rPr>
        <w:t> </w:t>
      </w:r>
      <w:r>
        <w:rPr>
          <w:sz w:val="20"/>
        </w:rPr>
        <w:t>resposta</w:t>
      </w:r>
      <w:r>
        <w:rPr>
          <w:spacing w:val="-6"/>
          <w:sz w:val="20"/>
        </w:rPr>
        <w:t> </w:t>
      </w:r>
      <w:r>
        <w:rPr>
          <w:sz w:val="20"/>
        </w:rPr>
        <w:t>inflamatória;</w:t>
      </w:r>
      <w:r>
        <w:rPr>
          <w:spacing w:val="-1"/>
          <w:sz w:val="20"/>
        </w:rPr>
        <w:t> </w:t>
      </w:r>
      <w:r>
        <w:rPr>
          <w:sz w:val="20"/>
        </w:rPr>
        <w:t>os níveis circulantes de IL-6 no genótipo CC são inferiores em 50% aos do genótipo GG. Em homens sadios verificou-se que o polimorfismo no promotor do gene para IL-6 (G/C–174) associava-se a maior pressão sistólica, maior risco de DAC e melhores desfechos em pacientes portadores tratados com pravastatina.</w:t>
      </w:r>
      <w:r>
        <w:rPr>
          <w:sz w:val="20"/>
          <w:vertAlign w:val="superscript"/>
        </w:rPr>
        <w:t>34</w:t>
      </w:r>
    </w:p>
    <w:p>
      <w:pPr>
        <w:pStyle w:val="BodyText"/>
        <w:spacing w:before="23"/>
        <w:ind w:left="0" w:firstLine="0"/>
        <w:jc w:val="left"/>
        <w:rPr>
          <w:sz w:val="20"/>
        </w:rPr>
      </w:pPr>
    </w:p>
    <w:p>
      <w:pPr>
        <w:spacing w:before="0"/>
        <w:ind w:left="52" w:right="0" w:firstLine="0"/>
        <w:jc w:val="left"/>
        <w:rPr>
          <w:rFonts w:ascii="Arial"/>
          <w:b/>
          <w:i/>
          <w:sz w:val="24"/>
        </w:rPr>
      </w:pPr>
      <w:r>
        <w:rPr>
          <w:rFonts w:ascii="Arial"/>
          <w:b/>
          <w:i/>
          <w:color w:val="242B67"/>
          <w:sz w:val="24"/>
        </w:rPr>
        <w:t>Interleucina-</w:t>
      </w:r>
      <w:r>
        <w:rPr>
          <w:rFonts w:ascii="Arial"/>
          <w:b/>
          <w:i/>
          <w:color w:val="242B67"/>
          <w:spacing w:val="-5"/>
          <w:sz w:val="24"/>
        </w:rPr>
        <w:t>10</w:t>
      </w:r>
    </w:p>
    <w:p>
      <w:pPr>
        <w:spacing w:line="276" w:lineRule="auto" w:before="111"/>
        <w:ind w:left="52" w:right="475" w:firstLine="300"/>
        <w:jc w:val="both"/>
        <w:rPr>
          <w:sz w:val="20"/>
        </w:rPr>
      </w:pPr>
      <w:r>
        <w:rPr>
          <w:sz w:val="20"/>
        </w:rPr>
        <w:t>IL-10</w:t>
      </w:r>
      <w:r>
        <w:rPr>
          <w:spacing w:val="-3"/>
          <w:sz w:val="20"/>
        </w:rPr>
        <w:t> </w:t>
      </w:r>
      <w:r>
        <w:rPr>
          <w:sz w:val="20"/>
        </w:rPr>
        <w:t>e</w:t>
      </w:r>
      <w:r>
        <w:rPr>
          <w:spacing w:val="-4"/>
          <w:sz w:val="20"/>
        </w:rPr>
        <w:t> </w:t>
      </w:r>
      <w:r>
        <w:rPr>
          <w:sz w:val="20"/>
        </w:rPr>
        <w:t>TNF-α têm</w:t>
      </w:r>
      <w:r>
        <w:rPr>
          <w:spacing w:val="-3"/>
          <w:sz w:val="20"/>
        </w:rPr>
        <w:t> </w:t>
      </w:r>
      <w:r>
        <w:rPr>
          <w:sz w:val="20"/>
        </w:rPr>
        <w:t>papéis opostos na</w:t>
      </w:r>
      <w:r>
        <w:rPr>
          <w:spacing w:val="-4"/>
          <w:sz w:val="20"/>
        </w:rPr>
        <w:t> </w:t>
      </w:r>
      <w:r>
        <w:rPr>
          <w:sz w:val="20"/>
        </w:rPr>
        <w:t>inflamação, havendo</w:t>
      </w:r>
      <w:r>
        <w:rPr>
          <w:spacing w:val="-3"/>
          <w:sz w:val="20"/>
        </w:rPr>
        <w:t> </w:t>
      </w:r>
      <w:r>
        <w:rPr>
          <w:sz w:val="20"/>
        </w:rPr>
        <w:t>um</w:t>
      </w:r>
      <w:r>
        <w:rPr>
          <w:spacing w:val="-3"/>
          <w:sz w:val="20"/>
        </w:rPr>
        <w:t> </w:t>
      </w:r>
      <w:r>
        <w:rPr>
          <w:sz w:val="20"/>
        </w:rPr>
        <w:t>mecanismo</w:t>
      </w:r>
      <w:r>
        <w:rPr>
          <w:spacing w:val="-3"/>
          <w:sz w:val="20"/>
        </w:rPr>
        <w:t> </w:t>
      </w:r>
      <w:r>
        <w:rPr>
          <w:sz w:val="20"/>
        </w:rPr>
        <w:t>autorregulatório</w:t>
      </w:r>
      <w:r>
        <w:rPr>
          <w:spacing w:val="-3"/>
          <w:sz w:val="20"/>
        </w:rPr>
        <w:t> </w:t>
      </w:r>
      <w:r>
        <w:rPr>
          <w:sz w:val="20"/>
        </w:rPr>
        <w:t>no</w:t>
      </w:r>
      <w:r>
        <w:rPr>
          <w:spacing w:val="-3"/>
          <w:sz w:val="20"/>
        </w:rPr>
        <w:t> </w:t>
      </w:r>
      <w:r>
        <w:rPr>
          <w:sz w:val="20"/>
        </w:rPr>
        <w:t>qual TNF-α estimula</w:t>
      </w:r>
      <w:r>
        <w:rPr>
          <w:spacing w:val="-4"/>
          <w:sz w:val="20"/>
        </w:rPr>
        <w:t> </w:t>
      </w:r>
      <w:r>
        <w:rPr>
          <w:sz w:val="20"/>
        </w:rPr>
        <w:t>produção</w:t>
      </w:r>
      <w:r>
        <w:rPr>
          <w:spacing w:val="-3"/>
          <w:sz w:val="20"/>
        </w:rPr>
        <w:t> </w:t>
      </w:r>
      <w:r>
        <w:rPr>
          <w:sz w:val="20"/>
        </w:rPr>
        <w:t>de IL-10, que</w:t>
      </w:r>
      <w:r>
        <w:rPr>
          <w:spacing w:val="-3"/>
          <w:sz w:val="20"/>
        </w:rPr>
        <w:t> </w:t>
      </w:r>
      <w:r>
        <w:rPr>
          <w:sz w:val="20"/>
        </w:rPr>
        <w:t>por sua</w:t>
      </w:r>
      <w:r>
        <w:rPr>
          <w:spacing w:val="-3"/>
          <w:sz w:val="20"/>
        </w:rPr>
        <w:t> </w:t>
      </w:r>
      <w:r>
        <w:rPr>
          <w:sz w:val="20"/>
        </w:rPr>
        <w:t>vez</w:t>
      </w:r>
      <w:r>
        <w:rPr>
          <w:spacing w:val="-3"/>
          <w:sz w:val="20"/>
        </w:rPr>
        <w:t> </w:t>
      </w:r>
      <w:r>
        <w:rPr>
          <w:sz w:val="20"/>
        </w:rPr>
        <w:t>reduz</w:t>
      </w:r>
      <w:r>
        <w:rPr>
          <w:spacing w:val="-3"/>
          <w:sz w:val="20"/>
        </w:rPr>
        <w:t> </w:t>
      </w:r>
      <w:r>
        <w:rPr>
          <w:sz w:val="20"/>
        </w:rPr>
        <w:t>a</w:t>
      </w:r>
      <w:r>
        <w:rPr>
          <w:spacing w:val="-3"/>
          <w:sz w:val="20"/>
        </w:rPr>
        <w:t> </w:t>
      </w:r>
      <w:r>
        <w:rPr>
          <w:sz w:val="20"/>
        </w:rPr>
        <w:t>síntese</w:t>
      </w:r>
      <w:r>
        <w:rPr>
          <w:spacing w:val="-3"/>
          <w:sz w:val="20"/>
        </w:rPr>
        <w:t> </w:t>
      </w:r>
      <w:r>
        <w:rPr>
          <w:sz w:val="20"/>
        </w:rPr>
        <w:t>de</w:t>
      </w:r>
      <w:r>
        <w:rPr>
          <w:spacing w:val="-3"/>
          <w:sz w:val="20"/>
        </w:rPr>
        <w:t> </w:t>
      </w:r>
      <w:r>
        <w:rPr>
          <w:sz w:val="20"/>
        </w:rPr>
        <w:t>TNF-α. A</w:t>
      </w:r>
      <w:r>
        <w:rPr>
          <w:spacing w:val="-3"/>
          <w:sz w:val="20"/>
        </w:rPr>
        <w:t> </w:t>
      </w:r>
      <w:r>
        <w:rPr>
          <w:sz w:val="20"/>
        </w:rPr>
        <w:t>IL-10</w:t>
      </w:r>
      <w:r>
        <w:rPr>
          <w:spacing w:val="-1"/>
          <w:sz w:val="20"/>
        </w:rPr>
        <w:t> </w:t>
      </w:r>
      <w:r>
        <w:rPr>
          <w:sz w:val="20"/>
        </w:rPr>
        <w:t>atua</w:t>
      </w:r>
      <w:r>
        <w:rPr>
          <w:spacing w:val="-3"/>
          <w:sz w:val="20"/>
        </w:rPr>
        <w:t> </w:t>
      </w:r>
      <w:r>
        <w:rPr>
          <w:sz w:val="20"/>
        </w:rPr>
        <w:t>inibindo</w:t>
      </w:r>
      <w:r>
        <w:rPr>
          <w:spacing w:val="-1"/>
          <w:sz w:val="20"/>
        </w:rPr>
        <w:t> </w:t>
      </w:r>
      <w:r>
        <w:rPr>
          <w:sz w:val="20"/>
        </w:rPr>
        <w:t>a</w:t>
      </w:r>
      <w:r>
        <w:rPr>
          <w:spacing w:val="-3"/>
          <w:sz w:val="20"/>
        </w:rPr>
        <w:t> </w:t>
      </w:r>
      <w:r>
        <w:rPr>
          <w:sz w:val="20"/>
        </w:rPr>
        <w:t>função</w:t>
      </w:r>
      <w:r>
        <w:rPr>
          <w:spacing w:val="-1"/>
          <w:sz w:val="20"/>
        </w:rPr>
        <w:t> </w:t>
      </w:r>
      <w:r>
        <w:rPr>
          <w:sz w:val="20"/>
        </w:rPr>
        <w:t>macrofágica</w:t>
      </w:r>
      <w:r>
        <w:rPr>
          <w:spacing w:val="-3"/>
          <w:sz w:val="20"/>
        </w:rPr>
        <w:t> </w:t>
      </w:r>
      <w:r>
        <w:rPr>
          <w:sz w:val="20"/>
        </w:rPr>
        <w:t>na</w:t>
      </w:r>
      <w:r>
        <w:rPr>
          <w:spacing w:val="-3"/>
          <w:sz w:val="20"/>
        </w:rPr>
        <w:t> </w:t>
      </w:r>
      <w:r>
        <w:rPr>
          <w:sz w:val="20"/>
        </w:rPr>
        <w:t>sua</w:t>
      </w:r>
      <w:r>
        <w:rPr>
          <w:spacing w:val="-3"/>
          <w:sz w:val="20"/>
        </w:rPr>
        <w:t> </w:t>
      </w:r>
      <w:r>
        <w:rPr>
          <w:sz w:val="20"/>
        </w:rPr>
        <w:t>atividade</w:t>
      </w:r>
      <w:r>
        <w:rPr>
          <w:spacing w:val="-3"/>
          <w:sz w:val="20"/>
        </w:rPr>
        <w:t> </w:t>
      </w:r>
      <w:r>
        <w:rPr>
          <w:sz w:val="20"/>
        </w:rPr>
        <w:t>citotóxica</w:t>
      </w:r>
      <w:r>
        <w:rPr>
          <w:spacing w:val="-3"/>
          <w:sz w:val="20"/>
        </w:rPr>
        <w:t> </w:t>
      </w:r>
      <w:r>
        <w:rPr>
          <w:sz w:val="20"/>
        </w:rPr>
        <w:t>e</w:t>
      </w:r>
      <w:r>
        <w:rPr>
          <w:spacing w:val="-3"/>
          <w:sz w:val="20"/>
        </w:rPr>
        <w:t> </w:t>
      </w:r>
      <w:r>
        <w:rPr>
          <w:sz w:val="20"/>
        </w:rPr>
        <w:t>síntese</w:t>
      </w:r>
      <w:r>
        <w:rPr>
          <w:spacing w:val="-3"/>
          <w:sz w:val="20"/>
        </w:rPr>
        <w:t> </w:t>
      </w:r>
      <w:r>
        <w:rPr>
          <w:sz w:val="20"/>
        </w:rPr>
        <w:t>de citocina. O</w:t>
      </w:r>
      <w:r>
        <w:rPr>
          <w:spacing w:val="-4"/>
          <w:sz w:val="20"/>
        </w:rPr>
        <w:t> </w:t>
      </w:r>
      <w:r>
        <w:rPr>
          <w:sz w:val="20"/>
        </w:rPr>
        <w:t>gene</w:t>
      </w:r>
      <w:r>
        <w:rPr>
          <w:spacing w:val="-4"/>
          <w:sz w:val="20"/>
        </w:rPr>
        <w:t> </w:t>
      </w:r>
      <w:r>
        <w:rPr>
          <w:sz w:val="20"/>
        </w:rPr>
        <w:t>da</w:t>
      </w:r>
      <w:r>
        <w:rPr>
          <w:spacing w:val="-4"/>
          <w:sz w:val="20"/>
        </w:rPr>
        <w:t> </w:t>
      </w:r>
      <w:r>
        <w:rPr>
          <w:sz w:val="20"/>
        </w:rPr>
        <w:t>IL-10</w:t>
      </w:r>
      <w:r>
        <w:rPr>
          <w:spacing w:val="-2"/>
          <w:sz w:val="20"/>
        </w:rPr>
        <w:t> </w:t>
      </w:r>
      <w:r>
        <w:rPr>
          <w:sz w:val="20"/>
        </w:rPr>
        <w:t>está</w:t>
      </w:r>
      <w:r>
        <w:rPr>
          <w:spacing w:val="-4"/>
          <w:sz w:val="20"/>
        </w:rPr>
        <w:t> </w:t>
      </w:r>
      <w:r>
        <w:rPr>
          <w:sz w:val="20"/>
        </w:rPr>
        <w:t>localizado</w:t>
      </w:r>
      <w:r>
        <w:rPr>
          <w:spacing w:val="-2"/>
          <w:sz w:val="20"/>
        </w:rPr>
        <w:t> </w:t>
      </w:r>
      <w:r>
        <w:rPr>
          <w:sz w:val="20"/>
        </w:rPr>
        <w:t>no</w:t>
      </w:r>
      <w:r>
        <w:rPr>
          <w:spacing w:val="-2"/>
          <w:sz w:val="20"/>
        </w:rPr>
        <w:t> </w:t>
      </w:r>
      <w:r>
        <w:rPr>
          <w:sz w:val="20"/>
        </w:rPr>
        <w:t>cromossomo</w:t>
      </w:r>
      <w:r>
        <w:rPr>
          <w:spacing w:val="-2"/>
          <w:sz w:val="20"/>
        </w:rPr>
        <w:t> </w:t>
      </w:r>
      <w:r>
        <w:rPr>
          <w:sz w:val="20"/>
        </w:rPr>
        <w:t>1</w:t>
      </w:r>
      <w:r>
        <w:rPr>
          <w:spacing w:val="-2"/>
          <w:sz w:val="20"/>
        </w:rPr>
        <w:t> </w:t>
      </w:r>
      <w:r>
        <w:rPr>
          <w:sz w:val="20"/>
        </w:rPr>
        <w:t>entre</w:t>
      </w:r>
      <w:r>
        <w:rPr>
          <w:spacing w:val="-4"/>
          <w:sz w:val="20"/>
        </w:rPr>
        <w:t> </w:t>
      </w:r>
      <w:r>
        <w:rPr>
          <w:sz w:val="20"/>
        </w:rPr>
        <w:t>1q31</w:t>
      </w:r>
      <w:r>
        <w:rPr>
          <w:spacing w:val="-2"/>
          <w:sz w:val="20"/>
        </w:rPr>
        <w:t> </w:t>
      </w:r>
      <w:r>
        <w:rPr>
          <w:sz w:val="20"/>
        </w:rPr>
        <w:t>e</w:t>
      </w:r>
      <w:r>
        <w:rPr>
          <w:spacing w:val="-4"/>
          <w:sz w:val="20"/>
        </w:rPr>
        <w:t> </w:t>
      </w:r>
      <w:r>
        <w:rPr>
          <w:sz w:val="20"/>
        </w:rPr>
        <w:t>1q32. Alguns polimorfismos para</w:t>
      </w:r>
      <w:r>
        <w:rPr>
          <w:spacing w:val="-4"/>
          <w:sz w:val="20"/>
        </w:rPr>
        <w:t> </w:t>
      </w:r>
      <w:r>
        <w:rPr>
          <w:sz w:val="20"/>
        </w:rPr>
        <w:t>o</w:t>
      </w:r>
      <w:r>
        <w:rPr>
          <w:spacing w:val="-2"/>
          <w:sz w:val="20"/>
        </w:rPr>
        <w:t> </w:t>
      </w:r>
      <w:r>
        <w:rPr>
          <w:sz w:val="20"/>
        </w:rPr>
        <w:t>gene</w:t>
      </w:r>
      <w:r>
        <w:rPr>
          <w:spacing w:val="-4"/>
          <w:sz w:val="20"/>
        </w:rPr>
        <w:t> </w:t>
      </w:r>
      <w:r>
        <w:rPr>
          <w:sz w:val="20"/>
        </w:rPr>
        <w:t>IL-10</w:t>
      </w:r>
      <w:r>
        <w:rPr>
          <w:spacing w:val="-2"/>
          <w:sz w:val="20"/>
        </w:rPr>
        <w:t> </w:t>
      </w:r>
      <w:r>
        <w:rPr>
          <w:sz w:val="20"/>
        </w:rPr>
        <w:t>(-1082</w:t>
      </w:r>
      <w:r>
        <w:rPr>
          <w:spacing w:val="-2"/>
          <w:sz w:val="20"/>
        </w:rPr>
        <w:t> </w:t>
      </w:r>
      <w:r>
        <w:rPr>
          <w:sz w:val="20"/>
        </w:rPr>
        <w:t>G/A,</w:t>
      </w:r>
    </w:p>
    <w:p>
      <w:pPr>
        <w:spacing w:before="13"/>
        <w:ind w:left="52" w:right="0" w:firstLine="0"/>
        <w:jc w:val="both"/>
        <w:rPr>
          <w:sz w:val="20"/>
        </w:rPr>
      </w:pPr>
      <w:r>
        <w:rPr>
          <w:sz w:val="20"/>
        </w:rPr>
        <w:t>-819</w:t>
      </w:r>
      <w:r>
        <w:rPr>
          <w:spacing w:val="-7"/>
          <w:sz w:val="20"/>
        </w:rPr>
        <w:t> </w:t>
      </w:r>
      <w:r>
        <w:rPr>
          <w:sz w:val="20"/>
        </w:rPr>
        <w:t>C/T</w:t>
      </w:r>
      <w:r>
        <w:rPr>
          <w:spacing w:val="1"/>
          <w:sz w:val="20"/>
        </w:rPr>
        <w:t> </w:t>
      </w:r>
      <w:r>
        <w:rPr>
          <w:sz w:val="20"/>
        </w:rPr>
        <w:t>e</w:t>
      </w:r>
      <w:r>
        <w:rPr>
          <w:spacing w:val="-6"/>
          <w:sz w:val="20"/>
        </w:rPr>
        <w:t> </w:t>
      </w:r>
      <w:r>
        <w:rPr>
          <w:sz w:val="20"/>
        </w:rPr>
        <w:t>-592</w:t>
      </w:r>
      <w:r>
        <w:rPr>
          <w:spacing w:val="-4"/>
          <w:sz w:val="20"/>
        </w:rPr>
        <w:t> </w:t>
      </w:r>
      <w:r>
        <w:rPr>
          <w:sz w:val="20"/>
        </w:rPr>
        <w:t>C/A)</w:t>
      </w:r>
      <w:r>
        <w:rPr>
          <w:spacing w:val="1"/>
          <w:sz w:val="20"/>
        </w:rPr>
        <w:t> </w:t>
      </w:r>
      <w:r>
        <w:rPr>
          <w:sz w:val="20"/>
        </w:rPr>
        <w:t>foram</w:t>
      </w:r>
      <w:r>
        <w:rPr>
          <w:spacing w:val="-4"/>
          <w:sz w:val="20"/>
        </w:rPr>
        <w:t> </w:t>
      </w:r>
      <w:r>
        <w:rPr>
          <w:sz w:val="20"/>
        </w:rPr>
        <w:t>estudados,</w:t>
      </w:r>
      <w:r>
        <w:rPr>
          <w:spacing w:val="4"/>
          <w:sz w:val="20"/>
        </w:rPr>
        <w:t> </w:t>
      </w:r>
      <w:r>
        <w:rPr>
          <w:sz w:val="20"/>
        </w:rPr>
        <w:t>não</w:t>
      </w:r>
      <w:r>
        <w:rPr>
          <w:spacing w:val="-4"/>
          <w:sz w:val="20"/>
        </w:rPr>
        <w:t> </w:t>
      </w:r>
      <w:r>
        <w:rPr>
          <w:sz w:val="20"/>
        </w:rPr>
        <w:t>se</w:t>
      </w:r>
      <w:r>
        <w:rPr>
          <w:spacing w:val="-6"/>
          <w:sz w:val="20"/>
        </w:rPr>
        <w:t> </w:t>
      </w:r>
      <w:r>
        <w:rPr>
          <w:sz w:val="20"/>
        </w:rPr>
        <w:t>observando</w:t>
      </w:r>
      <w:r>
        <w:rPr>
          <w:spacing w:val="-4"/>
          <w:sz w:val="20"/>
        </w:rPr>
        <w:t> </w:t>
      </w:r>
      <w:r>
        <w:rPr>
          <w:sz w:val="20"/>
        </w:rPr>
        <w:t>associação</w:t>
      </w:r>
      <w:r>
        <w:rPr>
          <w:spacing w:val="-5"/>
          <w:sz w:val="20"/>
        </w:rPr>
        <w:t> </w:t>
      </w:r>
      <w:r>
        <w:rPr>
          <w:sz w:val="20"/>
        </w:rPr>
        <w:t>com</w:t>
      </w:r>
      <w:r>
        <w:rPr>
          <w:spacing w:val="-4"/>
          <w:sz w:val="20"/>
        </w:rPr>
        <w:t> </w:t>
      </w:r>
      <w:r>
        <w:rPr>
          <w:sz w:val="20"/>
        </w:rPr>
        <w:t>DAC</w:t>
      </w:r>
      <w:r>
        <w:rPr>
          <w:spacing w:val="4"/>
          <w:sz w:val="20"/>
        </w:rPr>
        <w:t> </w:t>
      </w:r>
      <w:r>
        <w:rPr>
          <w:sz w:val="20"/>
        </w:rPr>
        <w:t>ou</w:t>
      </w:r>
      <w:r>
        <w:rPr>
          <w:spacing w:val="-4"/>
          <w:sz w:val="20"/>
        </w:rPr>
        <w:t> </w:t>
      </w:r>
      <w:r>
        <w:rPr>
          <w:sz w:val="20"/>
        </w:rPr>
        <w:t>infarto</w:t>
      </w:r>
      <w:r>
        <w:rPr>
          <w:spacing w:val="-4"/>
          <w:sz w:val="20"/>
        </w:rPr>
        <w:t> </w:t>
      </w:r>
      <w:r>
        <w:rPr>
          <w:sz w:val="20"/>
        </w:rPr>
        <w:t>do</w:t>
      </w:r>
      <w:r>
        <w:rPr>
          <w:spacing w:val="-4"/>
          <w:sz w:val="20"/>
        </w:rPr>
        <w:t> </w:t>
      </w:r>
      <w:r>
        <w:rPr>
          <w:spacing w:val="-2"/>
          <w:sz w:val="20"/>
        </w:rPr>
        <w:t>miocárdio.</w:t>
      </w:r>
      <w:r>
        <w:rPr>
          <w:spacing w:val="-2"/>
          <w:sz w:val="20"/>
          <w:vertAlign w:val="superscript"/>
        </w:rPr>
        <w:t>35</w:t>
      </w:r>
    </w:p>
    <w:p>
      <w:pPr>
        <w:pStyle w:val="BodyText"/>
        <w:spacing w:before="58"/>
        <w:ind w:left="0" w:firstLine="0"/>
        <w:jc w:val="left"/>
        <w:rPr>
          <w:sz w:val="20"/>
        </w:rPr>
      </w:pPr>
    </w:p>
    <w:p>
      <w:pPr>
        <w:spacing w:before="0"/>
        <w:ind w:left="52" w:right="0" w:firstLine="0"/>
        <w:jc w:val="left"/>
        <w:rPr>
          <w:rFonts w:ascii="Arial"/>
          <w:b/>
          <w:i/>
          <w:sz w:val="24"/>
        </w:rPr>
      </w:pPr>
      <w:r>
        <w:rPr>
          <w:rFonts w:ascii="Arial"/>
          <w:b/>
          <w:i/>
          <w:color w:val="242B67"/>
          <w:sz w:val="24"/>
        </w:rPr>
        <w:t>Fator</w:t>
      </w:r>
      <w:r>
        <w:rPr>
          <w:rFonts w:ascii="Arial"/>
          <w:b/>
          <w:i/>
          <w:color w:val="242B67"/>
          <w:spacing w:val="13"/>
          <w:sz w:val="24"/>
        </w:rPr>
        <w:t> </w:t>
      </w:r>
      <w:r>
        <w:rPr>
          <w:rFonts w:ascii="Arial"/>
          <w:b/>
          <w:i/>
          <w:color w:val="242B67"/>
          <w:sz w:val="24"/>
        </w:rPr>
        <w:t>de</w:t>
      </w:r>
      <w:r>
        <w:rPr>
          <w:rFonts w:ascii="Arial"/>
          <w:b/>
          <w:i/>
          <w:color w:val="242B67"/>
          <w:spacing w:val="13"/>
          <w:sz w:val="24"/>
        </w:rPr>
        <w:t> </w:t>
      </w:r>
      <w:r>
        <w:rPr>
          <w:rFonts w:ascii="Arial"/>
          <w:b/>
          <w:i/>
          <w:color w:val="242B67"/>
          <w:sz w:val="24"/>
        </w:rPr>
        <w:t>necrose</w:t>
      </w:r>
      <w:r>
        <w:rPr>
          <w:rFonts w:ascii="Arial"/>
          <w:b/>
          <w:i/>
          <w:color w:val="242B67"/>
          <w:spacing w:val="13"/>
          <w:sz w:val="24"/>
        </w:rPr>
        <w:t> </w:t>
      </w:r>
      <w:r>
        <w:rPr>
          <w:rFonts w:ascii="Arial"/>
          <w:b/>
          <w:i/>
          <w:color w:val="242B67"/>
          <w:spacing w:val="-2"/>
          <w:sz w:val="24"/>
        </w:rPr>
        <w:t>tumoral</w:t>
      </w:r>
    </w:p>
    <w:p>
      <w:pPr>
        <w:spacing w:line="276" w:lineRule="auto" w:before="111"/>
        <w:ind w:left="52" w:right="475" w:firstLine="300"/>
        <w:jc w:val="both"/>
        <w:rPr>
          <w:sz w:val="20"/>
        </w:rPr>
      </w:pPr>
      <w:r>
        <w:rPr>
          <w:sz w:val="20"/>
        </w:rPr>
        <w:t>O TNF-α é uma citocina pró-inflamatória presente na maioria das lesões ateroscleróticas, ativando fatores de crescimento, citocinas e</w:t>
      </w:r>
      <w:r>
        <w:rPr>
          <w:spacing w:val="-4"/>
          <w:sz w:val="20"/>
        </w:rPr>
        <w:t> </w:t>
      </w:r>
      <w:r>
        <w:rPr>
          <w:sz w:val="20"/>
        </w:rPr>
        <w:t>substâncias quimiotáticas, afetando</w:t>
      </w:r>
      <w:r>
        <w:rPr>
          <w:spacing w:val="-2"/>
          <w:sz w:val="20"/>
        </w:rPr>
        <w:t> </w:t>
      </w:r>
      <w:r>
        <w:rPr>
          <w:sz w:val="20"/>
        </w:rPr>
        <w:t>a</w:t>
      </w:r>
      <w:r>
        <w:rPr>
          <w:spacing w:val="-4"/>
          <w:sz w:val="20"/>
        </w:rPr>
        <w:t> </w:t>
      </w:r>
      <w:r>
        <w:rPr>
          <w:sz w:val="20"/>
        </w:rPr>
        <w:t>síntese</w:t>
      </w:r>
      <w:r>
        <w:rPr>
          <w:spacing w:val="-4"/>
          <w:sz w:val="20"/>
        </w:rPr>
        <w:t> </w:t>
      </w:r>
      <w:r>
        <w:rPr>
          <w:sz w:val="20"/>
        </w:rPr>
        <w:t>e</w:t>
      </w:r>
      <w:r>
        <w:rPr>
          <w:spacing w:val="-4"/>
          <w:sz w:val="20"/>
        </w:rPr>
        <w:t> </w:t>
      </w:r>
      <w:r>
        <w:rPr>
          <w:sz w:val="20"/>
        </w:rPr>
        <w:t>estimulação</w:t>
      </w:r>
      <w:r>
        <w:rPr>
          <w:spacing w:val="-2"/>
          <w:sz w:val="20"/>
        </w:rPr>
        <w:t> </w:t>
      </w:r>
      <w:r>
        <w:rPr>
          <w:sz w:val="20"/>
        </w:rPr>
        <w:t>de</w:t>
      </w:r>
      <w:r>
        <w:rPr>
          <w:spacing w:val="-4"/>
          <w:sz w:val="20"/>
        </w:rPr>
        <w:t> </w:t>
      </w:r>
      <w:r>
        <w:rPr>
          <w:sz w:val="20"/>
        </w:rPr>
        <w:t>moléculas de</w:t>
      </w:r>
      <w:r>
        <w:rPr>
          <w:spacing w:val="-4"/>
          <w:sz w:val="20"/>
        </w:rPr>
        <w:t> </w:t>
      </w:r>
      <w:r>
        <w:rPr>
          <w:sz w:val="20"/>
        </w:rPr>
        <w:t>adesão. Positividade</w:t>
      </w:r>
      <w:r>
        <w:rPr>
          <w:spacing w:val="-4"/>
          <w:sz w:val="20"/>
        </w:rPr>
        <w:t> </w:t>
      </w:r>
      <w:r>
        <w:rPr>
          <w:sz w:val="20"/>
        </w:rPr>
        <w:t>mais intensa</w:t>
      </w:r>
      <w:r>
        <w:rPr>
          <w:spacing w:val="-4"/>
          <w:sz w:val="20"/>
        </w:rPr>
        <w:t> </w:t>
      </w:r>
      <w:r>
        <w:rPr>
          <w:sz w:val="20"/>
        </w:rPr>
        <w:t>para</w:t>
      </w:r>
      <w:r>
        <w:rPr>
          <w:spacing w:val="-4"/>
          <w:sz w:val="20"/>
        </w:rPr>
        <w:t> </w:t>
      </w:r>
      <w:r>
        <w:rPr>
          <w:sz w:val="20"/>
        </w:rPr>
        <w:t>TNF é observada em locais de lesão endotelial e trombose, podendo tornar as placas mais suscetíveis à ruptura, estimulando macrófagos a secretar metaloproteases. Dois polimorfismos bialélicos têm sido estudados; no entanto, o seu papel na progressão da aterosclerose não está</w:t>
      </w:r>
      <w:r>
        <w:rPr>
          <w:spacing w:val="-2"/>
          <w:sz w:val="20"/>
        </w:rPr>
        <w:t> </w:t>
      </w:r>
      <w:r>
        <w:rPr>
          <w:sz w:val="20"/>
        </w:rPr>
        <w:t>definido, uma</w:t>
      </w:r>
      <w:r>
        <w:rPr>
          <w:spacing w:val="-2"/>
          <w:sz w:val="20"/>
        </w:rPr>
        <w:t> </w:t>
      </w:r>
      <w:r>
        <w:rPr>
          <w:sz w:val="20"/>
        </w:rPr>
        <w:t>vez</w:t>
      </w:r>
      <w:r>
        <w:rPr>
          <w:spacing w:val="-2"/>
          <w:sz w:val="20"/>
        </w:rPr>
        <w:t> </w:t>
      </w:r>
      <w:r>
        <w:rPr>
          <w:sz w:val="20"/>
        </w:rPr>
        <w:t>que</w:t>
      </w:r>
      <w:r>
        <w:rPr>
          <w:spacing w:val="-2"/>
          <w:sz w:val="20"/>
        </w:rPr>
        <w:t> </w:t>
      </w:r>
      <w:r>
        <w:rPr>
          <w:sz w:val="20"/>
        </w:rPr>
        <w:t>a</w:t>
      </w:r>
      <w:r>
        <w:rPr>
          <w:spacing w:val="-2"/>
          <w:sz w:val="20"/>
        </w:rPr>
        <w:t> </w:t>
      </w:r>
      <w:r>
        <w:rPr>
          <w:sz w:val="20"/>
        </w:rPr>
        <w:t>correlação de</w:t>
      </w:r>
      <w:r>
        <w:rPr>
          <w:spacing w:val="-2"/>
          <w:sz w:val="20"/>
        </w:rPr>
        <w:t> </w:t>
      </w:r>
      <w:r>
        <w:rPr>
          <w:sz w:val="20"/>
        </w:rPr>
        <w:t>polimorfismos do gene</w:t>
      </w:r>
      <w:r>
        <w:rPr>
          <w:spacing w:val="-2"/>
          <w:sz w:val="20"/>
        </w:rPr>
        <w:t> </w:t>
      </w:r>
      <w:r>
        <w:rPr>
          <w:sz w:val="20"/>
        </w:rPr>
        <w:t>para</w:t>
      </w:r>
      <w:r>
        <w:rPr>
          <w:spacing w:val="-2"/>
          <w:sz w:val="20"/>
        </w:rPr>
        <w:t> </w:t>
      </w:r>
      <w:r>
        <w:rPr>
          <w:sz w:val="20"/>
        </w:rPr>
        <w:t>TNF-α com DAC é</w:t>
      </w:r>
      <w:r>
        <w:rPr>
          <w:spacing w:val="-2"/>
          <w:sz w:val="20"/>
        </w:rPr>
        <w:t> </w:t>
      </w:r>
      <w:r>
        <w:rPr>
          <w:sz w:val="20"/>
        </w:rPr>
        <w:t>controversa. Em pacientes avaliados angiograficamente, não</w:t>
      </w:r>
      <w:r>
        <w:rPr>
          <w:spacing w:val="-5"/>
          <w:sz w:val="20"/>
        </w:rPr>
        <w:t> </w:t>
      </w:r>
      <w:r>
        <w:rPr>
          <w:sz w:val="20"/>
        </w:rPr>
        <w:t>se</w:t>
      </w:r>
      <w:r>
        <w:rPr>
          <w:spacing w:val="-7"/>
          <w:sz w:val="20"/>
        </w:rPr>
        <w:t> </w:t>
      </w:r>
      <w:r>
        <w:rPr>
          <w:sz w:val="20"/>
        </w:rPr>
        <w:t>observou</w:t>
      </w:r>
      <w:r>
        <w:rPr>
          <w:spacing w:val="-5"/>
          <w:sz w:val="20"/>
        </w:rPr>
        <w:t> </w:t>
      </w:r>
      <w:r>
        <w:rPr>
          <w:sz w:val="20"/>
        </w:rPr>
        <w:t>influência</w:t>
      </w:r>
      <w:r>
        <w:rPr>
          <w:spacing w:val="-7"/>
          <w:sz w:val="20"/>
        </w:rPr>
        <w:t> </w:t>
      </w:r>
      <w:r>
        <w:rPr>
          <w:sz w:val="20"/>
        </w:rPr>
        <w:t>do</w:t>
      </w:r>
      <w:r>
        <w:rPr>
          <w:spacing w:val="-5"/>
          <w:sz w:val="20"/>
        </w:rPr>
        <w:t> </w:t>
      </w:r>
      <w:r>
        <w:rPr>
          <w:sz w:val="20"/>
        </w:rPr>
        <w:t>polimorfismo</w:t>
      </w:r>
      <w:r>
        <w:rPr>
          <w:spacing w:val="-5"/>
          <w:sz w:val="20"/>
        </w:rPr>
        <w:t> </w:t>
      </w:r>
      <w:r>
        <w:rPr>
          <w:sz w:val="20"/>
        </w:rPr>
        <w:t>252</w:t>
      </w:r>
      <w:r>
        <w:rPr>
          <w:spacing w:val="-5"/>
          <w:sz w:val="20"/>
        </w:rPr>
        <w:t> </w:t>
      </w:r>
      <w:r>
        <w:rPr>
          <w:sz w:val="20"/>
        </w:rPr>
        <w:t>G/A</w:t>
      </w:r>
      <w:r>
        <w:rPr>
          <w:spacing w:val="-7"/>
          <w:sz w:val="20"/>
        </w:rPr>
        <w:t> </w:t>
      </w:r>
      <w:r>
        <w:rPr>
          <w:sz w:val="20"/>
        </w:rPr>
        <w:t>do</w:t>
      </w:r>
      <w:r>
        <w:rPr>
          <w:spacing w:val="-5"/>
          <w:sz w:val="20"/>
        </w:rPr>
        <w:t> </w:t>
      </w:r>
      <w:r>
        <w:rPr>
          <w:sz w:val="20"/>
        </w:rPr>
        <w:t>TNF-β</w:t>
      </w:r>
      <w:r>
        <w:rPr>
          <w:spacing w:val="-6"/>
          <w:sz w:val="20"/>
        </w:rPr>
        <w:t> </w:t>
      </w:r>
      <w:r>
        <w:rPr>
          <w:sz w:val="20"/>
        </w:rPr>
        <w:t>e</w:t>
      </w:r>
      <w:r>
        <w:rPr>
          <w:spacing w:val="-7"/>
          <w:sz w:val="20"/>
        </w:rPr>
        <w:t> </w:t>
      </w:r>
      <w:r>
        <w:rPr>
          <w:sz w:val="20"/>
        </w:rPr>
        <w:t>-863</w:t>
      </w:r>
      <w:r>
        <w:rPr>
          <w:spacing w:val="-5"/>
          <w:sz w:val="20"/>
        </w:rPr>
        <w:t> </w:t>
      </w:r>
      <w:r>
        <w:rPr>
          <w:sz w:val="20"/>
        </w:rPr>
        <w:t>C/A, -308</w:t>
      </w:r>
      <w:r>
        <w:rPr>
          <w:spacing w:val="-5"/>
          <w:sz w:val="20"/>
        </w:rPr>
        <w:t> </w:t>
      </w:r>
      <w:r>
        <w:rPr>
          <w:sz w:val="20"/>
        </w:rPr>
        <w:t>G/A</w:t>
      </w:r>
      <w:r>
        <w:rPr>
          <w:spacing w:val="-7"/>
          <w:sz w:val="20"/>
        </w:rPr>
        <w:t> </w:t>
      </w:r>
      <w:r>
        <w:rPr>
          <w:sz w:val="20"/>
        </w:rPr>
        <w:t>de</w:t>
      </w:r>
      <w:r>
        <w:rPr>
          <w:spacing w:val="-7"/>
          <w:sz w:val="20"/>
        </w:rPr>
        <w:t> </w:t>
      </w:r>
      <w:r>
        <w:rPr>
          <w:sz w:val="20"/>
        </w:rPr>
        <w:t>TNF-α na</w:t>
      </w:r>
      <w:r>
        <w:rPr>
          <w:spacing w:val="-7"/>
          <w:sz w:val="20"/>
        </w:rPr>
        <w:t> </w:t>
      </w:r>
      <w:r>
        <w:rPr>
          <w:sz w:val="20"/>
        </w:rPr>
        <w:t>ocorrência</w:t>
      </w:r>
      <w:r>
        <w:rPr>
          <w:spacing w:val="-7"/>
          <w:sz w:val="20"/>
        </w:rPr>
        <w:t> </w:t>
      </w:r>
      <w:r>
        <w:rPr>
          <w:sz w:val="20"/>
        </w:rPr>
        <w:t>de</w:t>
      </w:r>
    </w:p>
    <w:p>
      <w:pPr>
        <w:spacing w:after="0" w:line="276" w:lineRule="auto"/>
        <w:jc w:val="both"/>
        <w:rPr>
          <w:sz w:val="20"/>
        </w:rPr>
        <w:sectPr>
          <w:pgSz w:w="11900" w:h="16840"/>
          <w:pgMar w:top="220" w:bottom="0" w:left="566" w:right="141"/>
        </w:sectPr>
      </w:pPr>
    </w:p>
    <w:p>
      <w:pPr>
        <w:spacing w:line="290" w:lineRule="auto" w:before="67"/>
        <w:ind w:left="52" w:right="0" w:firstLine="0"/>
        <w:jc w:val="left"/>
        <w:rPr>
          <w:sz w:val="20"/>
        </w:rPr>
      </w:pPr>
      <w:r>
        <w:rPr>
          <w:sz w:val="20"/>
        </w:rPr>
        <w:t>DAC</w:t>
      </w:r>
      <w:r>
        <w:rPr>
          <w:spacing w:val="17"/>
          <w:sz w:val="20"/>
        </w:rPr>
        <w:t> </w:t>
      </w:r>
      <w:r>
        <w:rPr>
          <w:sz w:val="20"/>
        </w:rPr>
        <w:t>ou infarto do miocárdio,</w:t>
      </w:r>
      <w:r>
        <w:rPr>
          <w:spacing w:val="17"/>
          <w:sz w:val="20"/>
        </w:rPr>
        <w:t> </w:t>
      </w:r>
      <w:r>
        <w:rPr>
          <w:sz w:val="20"/>
        </w:rPr>
        <w:t>sendo este último recentemente relacionado com a DAC</w:t>
      </w:r>
      <w:r>
        <w:rPr>
          <w:spacing w:val="17"/>
          <w:sz w:val="20"/>
        </w:rPr>
        <w:t> </w:t>
      </w:r>
      <w:r>
        <w:rPr>
          <w:sz w:val="20"/>
        </w:rPr>
        <w:t>e resistência insulínica,</w:t>
      </w:r>
      <w:r>
        <w:rPr>
          <w:spacing w:val="17"/>
          <w:sz w:val="20"/>
        </w:rPr>
        <w:t> </w:t>
      </w:r>
      <w:r>
        <w:rPr>
          <w:sz w:val="20"/>
        </w:rPr>
        <w:t>principalmente em mulheres diabéticas.</w:t>
      </w:r>
      <w:r>
        <w:rPr>
          <w:sz w:val="20"/>
          <w:vertAlign w:val="superscript"/>
        </w:rPr>
        <w:t>35</w:t>
      </w:r>
    </w:p>
    <w:p>
      <w:pPr>
        <w:pStyle w:val="BodyText"/>
        <w:spacing w:before="10"/>
        <w:ind w:left="0" w:firstLine="0"/>
        <w:jc w:val="left"/>
        <w:rPr>
          <w:sz w:val="20"/>
        </w:rPr>
      </w:pPr>
    </w:p>
    <w:p>
      <w:pPr>
        <w:spacing w:before="0"/>
        <w:ind w:left="52" w:right="0" w:firstLine="0"/>
        <w:jc w:val="left"/>
        <w:rPr>
          <w:rFonts w:ascii="Arial" w:hAnsi="Arial"/>
          <w:b/>
          <w:i/>
          <w:sz w:val="24"/>
        </w:rPr>
      </w:pPr>
      <w:r>
        <w:rPr>
          <w:rFonts w:ascii="Arial" w:hAnsi="Arial"/>
          <w:b/>
          <w:i/>
          <w:color w:val="242B67"/>
          <w:sz w:val="24"/>
        </w:rPr>
        <w:t>Moléculas</w:t>
      </w:r>
      <w:r>
        <w:rPr>
          <w:rFonts w:ascii="Arial" w:hAnsi="Arial"/>
          <w:b/>
          <w:i/>
          <w:color w:val="242B67"/>
          <w:spacing w:val="15"/>
          <w:sz w:val="24"/>
        </w:rPr>
        <w:t> </w:t>
      </w:r>
      <w:r>
        <w:rPr>
          <w:rFonts w:ascii="Arial" w:hAnsi="Arial"/>
          <w:b/>
          <w:i/>
          <w:color w:val="242B67"/>
          <w:sz w:val="24"/>
        </w:rPr>
        <w:t>de</w:t>
      </w:r>
      <w:r>
        <w:rPr>
          <w:rFonts w:ascii="Arial" w:hAnsi="Arial"/>
          <w:b/>
          <w:i/>
          <w:color w:val="242B67"/>
          <w:spacing w:val="15"/>
          <w:sz w:val="24"/>
        </w:rPr>
        <w:t> </w:t>
      </w:r>
      <w:r>
        <w:rPr>
          <w:rFonts w:ascii="Arial" w:hAnsi="Arial"/>
          <w:b/>
          <w:i/>
          <w:color w:val="242B67"/>
          <w:spacing w:val="-2"/>
          <w:sz w:val="24"/>
        </w:rPr>
        <w:t>adesão</w:t>
      </w:r>
    </w:p>
    <w:p>
      <w:pPr>
        <w:spacing w:line="276" w:lineRule="auto" w:before="110"/>
        <w:ind w:left="52" w:right="478" w:firstLine="300"/>
        <w:jc w:val="both"/>
        <w:rPr>
          <w:sz w:val="20"/>
        </w:rPr>
      </w:pPr>
      <w:r>
        <w:rPr>
          <w:sz w:val="20"/>
        </w:rPr>
        <w:t>A</w:t>
      </w:r>
      <w:r>
        <w:rPr>
          <w:spacing w:val="-10"/>
          <w:sz w:val="20"/>
        </w:rPr>
        <w:t> </w:t>
      </w:r>
      <w:r>
        <w:rPr>
          <w:sz w:val="20"/>
        </w:rPr>
        <w:t>aderência</w:t>
      </w:r>
      <w:r>
        <w:rPr>
          <w:spacing w:val="-10"/>
          <w:sz w:val="20"/>
        </w:rPr>
        <w:t> </w:t>
      </w:r>
      <w:r>
        <w:rPr>
          <w:sz w:val="20"/>
        </w:rPr>
        <w:t>de</w:t>
      </w:r>
      <w:r>
        <w:rPr>
          <w:spacing w:val="-10"/>
          <w:sz w:val="20"/>
        </w:rPr>
        <w:t> </w:t>
      </w:r>
      <w:r>
        <w:rPr>
          <w:sz w:val="20"/>
        </w:rPr>
        <w:t>linfócitos</w:t>
      </w:r>
      <w:r>
        <w:rPr>
          <w:spacing w:val="-1"/>
          <w:sz w:val="20"/>
        </w:rPr>
        <w:t> </w:t>
      </w:r>
      <w:r>
        <w:rPr>
          <w:sz w:val="20"/>
        </w:rPr>
        <w:t>e</w:t>
      </w:r>
      <w:r>
        <w:rPr>
          <w:spacing w:val="-10"/>
          <w:sz w:val="20"/>
        </w:rPr>
        <w:t> </w:t>
      </w:r>
      <w:r>
        <w:rPr>
          <w:sz w:val="20"/>
        </w:rPr>
        <w:t>monócitos</w:t>
      </w:r>
      <w:r>
        <w:rPr>
          <w:spacing w:val="-1"/>
          <w:sz w:val="20"/>
        </w:rPr>
        <w:t> </w:t>
      </w:r>
      <w:r>
        <w:rPr>
          <w:sz w:val="20"/>
        </w:rPr>
        <w:t>circulantes</w:t>
      </w:r>
      <w:r>
        <w:rPr>
          <w:spacing w:val="-1"/>
          <w:sz w:val="20"/>
        </w:rPr>
        <w:t> </w:t>
      </w:r>
      <w:r>
        <w:rPr>
          <w:sz w:val="20"/>
        </w:rPr>
        <w:t>ao</w:t>
      </w:r>
      <w:r>
        <w:rPr>
          <w:spacing w:val="-7"/>
          <w:sz w:val="20"/>
        </w:rPr>
        <w:t> </w:t>
      </w:r>
      <w:r>
        <w:rPr>
          <w:sz w:val="20"/>
        </w:rPr>
        <w:t>endotélio</w:t>
      </w:r>
      <w:r>
        <w:rPr>
          <w:spacing w:val="-7"/>
          <w:sz w:val="20"/>
        </w:rPr>
        <w:t> </w:t>
      </w:r>
      <w:r>
        <w:rPr>
          <w:sz w:val="20"/>
        </w:rPr>
        <w:t>ativado</w:t>
      </w:r>
      <w:r>
        <w:rPr>
          <w:spacing w:val="-7"/>
          <w:sz w:val="20"/>
        </w:rPr>
        <w:t> </w:t>
      </w:r>
      <w:r>
        <w:rPr>
          <w:sz w:val="20"/>
        </w:rPr>
        <w:t>é</w:t>
      </w:r>
      <w:r>
        <w:rPr>
          <w:spacing w:val="-10"/>
          <w:sz w:val="20"/>
        </w:rPr>
        <w:t> </w:t>
      </w:r>
      <w:r>
        <w:rPr>
          <w:sz w:val="20"/>
        </w:rPr>
        <w:t>um</w:t>
      </w:r>
      <w:r>
        <w:rPr>
          <w:spacing w:val="-7"/>
          <w:sz w:val="20"/>
        </w:rPr>
        <w:t> </w:t>
      </w:r>
      <w:r>
        <w:rPr>
          <w:sz w:val="20"/>
        </w:rPr>
        <w:t>dos</w:t>
      </w:r>
      <w:r>
        <w:rPr>
          <w:spacing w:val="-1"/>
          <w:sz w:val="20"/>
        </w:rPr>
        <w:t> </w:t>
      </w:r>
      <w:r>
        <w:rPr>
          <w:sz w:val="20"/>
        </w:rPr>
        <w:t>primeiros</w:t>
      </w:r>
      <w:r>
        <w:rPr>
          <w:spacing w:val="-1"/>
          <w:sz w:val="20"/>
        </w:rPr>
        <w:t> </w:t>
      </w:r>
      <w:r>
        <w:rPr>
          <w:sz w:val="20"/>
        </w:rPr>
        <w:t>eventos</w:t>
      </w:r>
      <w:r>
        <w:rPr>
          <w:spacing w:val="-1"/>
          <w:sz w:val="20"/>
        </w:rPr>
        <w:t> </w:t>
      </w:r>
      <w:r>
        <w:rPr>
          <w:sz w:val="20"/>
        </w:rPr>
        <w:t>na</w:t>
      </w:r>
      <w:r>
        <w:rPr>
          <w:spacing w:val="-10"/>
          <w:sz w:val="20"/>
        </w:rPr>
        <w:t> </w:t>
      </w:r>
      <w:r>
        <w:rPr>
          <w:sz w:val="20"/>
        </w:rPr>
        <w:t>patogênese</w:t>
      </w:r>
      <w:r>
        <w:rPr>
          <w:spacing w:val="-10"/>
          <w:sz w:val="20"/>
        </w:rPr>
        <w:t> </w:t>
      </w:r>
      <w:r>
        <w:rPr>
          <w:sz w:val="20"/>
        </w:rPr>
        <w:t>da</w:t>
      </w:r>
      <w:r>
        <w:rPr>
          <w:spacing w:val="-10"/>
          <w:sz w:val="20"/>
        </w:rPr>
        <w:t> </w:t>
      </w:r>
      <w:r>
        <w:rPr>
          <w:sz w:val="20"/>
        </w:rPr>
        <w:t>aterosclerose. Tem sido observado um aumento na expressão de ICAM-1 (</w:t>
      </w:r>
      <w:r>
        <w:rPr>
          <w:i/>
          <w:sz w:val="20"/>
        </w:rPr>
        <w:t>intracellular adhesion molecule-1</w:t>
      </w:r>
      <w:r>
        <w:rPr>
          <w:sz w:val="20"/>
        </w:rPr>
        <w:t>) e E-selectina interagindo com linfócitos e</w:t>
      </w:r>
      <w:r>
        <w:rPr>
          <w:spacing w:val="-1"/>
          <w:sz w:val="20"/>
        </w:rPr>
        <w:t> </w:t>
      </w:r>
      <w:r>
        <w:rPr>
          <w:sz w:val="20"/>
        </w:rPr>
        <w:t>macrófagos, além de</w:t>
      </w:r>
      <w:r>
        <w:rPr>
          <w:spacing w:val="-1"/>
          <w:sz w:val="20"/>
        </w:rPr>
        <w:t> </w:t>
      </w:r>
      <w:r>
        <w:rPr>
          <w:sz w:val="20"/>
        </w:rPr>
        <w:t>VCAM-1 (</w:t>
      </w:r>
      <w:r>
        <w:rPr>
          <w:i/>
          <w:sz w:val="20"/>
        </w:rPr>
        <w:t>vascular cell adhesion molecule-1</w:t>
      </w:r>
      <w:r>
        <w:rPr>
          <w:sz w:val="20"/>
        </w:rPr>
        <w:t>) nas placas ateroscleróticas.</w:t>
      </w:r>
    </w:p>
    <w:p>
      <w:pPr>
        <w:pStyle w:val="BodyText"/>
        <w:spacing w:before="9"/>
        <w:ind w:left="0" w:firstLine="0"/>
        <w:jc w:val="left"/>
        <w:rPr>
          <w:sz w:val="20"/>
        </w:rPr>
      </w:pPr>
    </w:p>
    <w:p>
      <w:pPr>
        <w:spacing w:before="1"/>
        <w:ind w:left="52" w:right="0" w:firstLine="0"/>
        <w:jc w:val="left"/>
        <w:rPr>
          <w:rFonts w:ascii="Arial"/>
          <w:b/>
          <w:i/>
          <w:sz w:val="24"/>
        </w:rPr>
      </w:pPr>
      <w:r>
        <w:rPr>
          <w:rFonts w:ascii="Arial"/>
          <w:b/>
          <w:i/>
          <w:color w:val="242B67"/>
          <w:sz w:val="24"/>
        </w:rPr>
        <w:t>E-</w:t>
      </w:r>
      <w:r>
        <w:rPr>
          <w:rFonts w:ascii="Arial"/>
          <w:b/>
          <w:i/>
          <w:color w:val="242B67"/>
          <w:spacing w:val="-2"/>
          <w:sz w:val="24"/>
        </w:rPr>
        <w:t>selectina</w:t>
      </w:r>
    </w:p>
    <w:p>
      <w:pPr>
        <w:spacing w:line="280" w:lineRule="auto" w:before="124"/>
        <w:ind w:left="52" w:right="478" w:firstLine="300"/>
        <w:jc w:val="both"/>
        <w:rPr>
          <w:sz w:val="20"/>
        </w:rPr>
      </w:pPr>
      <w:r>
        <w:rPr>
          <w:sz w:val="20"/>
        </w:rPr>
        <w:t>A expressão de E-selectina é estimulada por TNF,</w:t>
      </w:r>
      <w:r>
        <w:rPr>
          <w:spacing w:val="19"/>
          <w:sz w:val="20"/>
        </w:rPr>
        <w:t> </w:t>
      </w:r>
      <w:r>
        <w:rPr>
          <w:sz w:val="20"/>
        </w:rPr>
        <w:t>IL-1 e lipopolissacarídio (LPS).</w:t>
      </w:r>
      <w:r>
        <w:rPr>
          <w:spacing w:val="19"/>
          <w:sz w:val="20"/>
        </w:rPr>
        <w:t> </w:t>
      </w:r>
      <w:r>
        <w:rPr>
          <w:sz w:val="20"/>
        </w:rPr>
        <w:t>Estudando-se polimorfismos</w:t>
      </w:r>
      <w:r>
        <w:rPr>
          <w:spacing w:val="19"/>
          <w:sz w:val="20"/>
        </w:rPr>
        <w:t> </w:t>
      </w:r>
      <w:r>
        <w:rPr>
          <w:sz w:val="20"/>
        </w:rPr>
        <w:t>das</w:t>
      </w:r>
      <w:r>
        <w:rPr>
          <w:spacing w:val="19"/>
          <w:sz w:val="20"/>
        </w:rPr>
        <w:t> </w:t>
      </w:r>
      <w:r>
        <w:rPr>
          <w:sz w:val="20"/>
        </w:rPr>
        <w:t>moléculas de</w:t>
      </w:r>
      <w:r>
        <w:rPr>
          <w:spacing w:val="-10"/>
          <w:sz w:val="20"/>
        </w:rPr>
        <w:t> </w:t>
      </w:r>
      <w:r>
        <w:rPr>
          <w:sz w:val="20"/>
        </w:rPr>
        <w:t>adesão</w:t>
      </w:r>
      <w:r>
        <w:rPr>
          <w:spacing w:val="-9"/>
          <w:sz w:val="20"/>
        </w:rPr>
        <w:t> </w:t>
      </w:r>
      <w:r>
        <w:rPr>
          <w:sz w:val="20"/>
        </w:rPr>
        <w:t>em</w:t>
      </w:r>
      <w:r>
        <w:rPr>
          <w:spacing w:val="-9"/>
          <w:sz w:val="20"/>
        </w:rPr>
        <w:t> </w:t>
      </w:r>
      <w:r>
        <w:rPr>
          <w:sz w:val="20"/>
        </w:rPr>
        <w:t>pacientes</w:t>
      </w:r>
      <w:r>
        <w:rPr>
          <w:spacing w:val="-2"/>
          <w:sz w:val="20"/>
        </w:rPr>
        <w:t> </w:t>
      </w:r>
      <w:r>
        <w:rPr>
          <w:sz w:val="20"/>
        </w:rPr>
        <w:t>com</w:t>
      </w:r>
      <w:r>
        <w:rPr>
          <w:spacing w:val="-9"/>
          <w:sz w:val="20"/>
        </w:rPr>
        <w:t> </w:t>
      </w:r>
      <w:r>
        <w:rPr>
          <w:sz w:val="20"/>
        </w:rPr>
        <w:t>aterosclerose,</w:t>
      </w:r>
      <w:r>
        <w:rPr>
          <w:spacing w:val="-2"/>
          <w:sz w:val="20"/>
        </w:rPr>
        <w:t> </w:t>
      </w:r>
      <w:r>
        <w:rPr>
          <w:sz w:val="20"/>
        </w:rPr>
        <w:t>estabelecida</w:t>
      </w:r>
      <w:r>
        <w:rPr>
          <w:spacing w:val="-10"/>
          <w:sz w:val="20"/>
        </w:rPr>
        <w:t> </w:t>
      </w:r>
      <w:r>
        <w:rPr>
          <w:sz w:val="20"/>
        </w:rPr>
        <w:t>angiograficamente,</w:t>
      </w:r>
      <w:r>
        <w:rPr>
          <w:spacing w:val="-2"/>
          <w:sz w:val="20"/>
        </w:rPr>
        <w:t> </w:t>
      </w:r>
      <w:r>
        <w:rPr>
          <w:sz w:val="20"/>
        </w:rPr>
        <w:t>verificou-se</w:t>
      </w:r>
      <w:r>
        <w:rPr>
          <w:spacing w:val="-10"/>
          <w:sz w:val="20"/>
        </w:rPr>
        <w:t> </w:t>
      </w:r>
      <w:r>
        <w:rPr>
          <w:sz w:val="20"/>
        </w:rPr>
        <w:t>diferença</w:t>
      </w:r>
      <w:r>
        <w:rPr>
          <w:spacing w:val="-10"/>
          <w:sz w:val="20"/>
        </w:rPr>
        <w:t> </w:t>
      </w:r>
      <w:r>
        <w:rPr>
          <w:sz w:val="20"/>
        </w:rPr>
        <w:t>na</w:t>
      </w:r>
      <w:r>
        <w:rPr>
          <w:spacing w:val="-10"/>
          <w:sz w:val="20"/>
        </w:rPr>
        <w:t> </w:t>
      </w:r>
      <w:r>
        <w:rPr>
          <w:sz w:val="20"/>
        </w:rPr>
        <w:t>frequência</w:t>
      </w:r>
      <w:r>
        <w:rPr>
          <w:spacing w:val="-10"/>
          <w:sz w:val="20"/>
        </w:rPr>
        <w:t> </w:t>
      </w:r>
      <w:r>
        <w:rPr>
          <w:sz w:val="20"/>
        </w:rPr>
        <w:t>alélica</w:t>
      </w:r>
      <w:r>
        <w:rPr>
          <w:spacing w:val="-10"/>
          <w:sz w:val="20"/>
        </w:rPr>
        <w:t> </w:t>
      </w:r>
      <w:r>
        <w:rPr>
          <w:sz w:val="20"/>
        </w:rPr>
        <w:t>para</w:t>
      </w:r>
      <w:r>
        <w:rPr>
          <w:spacing w:val="-10"/>
          <w:sz w:val="20"/>
        </w:rPr>
        <w:t> </w:t>
      </w:r>
      <w:r>
        <w:rPr>
          <w:sz w:val="20"/>
        </w:rPr>
        <w:t>mutações na E-selectina sendo prevalente em pacientes jovens com aterosclerose grave.</w:t>
      </w:r>
      <w:r>
        <w:rPr>
          <w:sz w:val="20"/>
          <w:vertAlign w:val="superscript"/>
        </w:rPr>
        <w:t>36</w:t>
      </w:r>
      <w:r>
        <w:rPr>
          <w:sz w:val="20"/>
          <w:vertAlign w:val="baseline"/>
        </w:rPr>
        <w:t> Foi também observado que o polimorfismo Ser128Arg pode</w:t>
      </w:r>
      <w:r>
        <w:rPr>
          <w:spacing w:val="-2"/>
          <w:sz w:val="20"/>
          <w:vertAlign w:val="baseline"/>
        </w:rPr>
        <w:t> </w:t>
      </w:r>
      <w:r>
        <w:rPr>
          <w:sz w:val="20"/>
          <w:vertAlign w:val="baseline"/>
        </w:rPr>
        <w:t>modular as interações entre</w:t>
      </w:r>
      <w:r>
        <w:rPr>
          <w:spacing w:val="-2"/>
          <w:sz w:val="20"/>
          <w:vertAlign w:val="baseline"/>
        </w:rPr>
        <w:t> </w:t>
      </w:r>
      <w:r>
        <w:rPr>
          <w:sz w:val="20"/>
          <w:vertAlign w:val="baseline"/>
        </w:rPr>
        <w:t>leucócitos e</w:t>
      </w:r>
      <w:r>
        <w:rPr>
          <w:spacing w:val="-2"/>
          <w:sz w:val="20"/>
          <w:vertAlign w:val="baseline"/>
        </w:rPr>
        <w:t> </w:t>
      </w:r>
      <w:r>
        <w:rPr>
          <w:sz w:val="20"/>
          <w:vertAlign w:val="baseline"/>
        </w:rPr>
        <w:t>endotélio e</w:t>
      </w:r>
      <w:r>
        <w:rPr>
          <w:spacing w:val="-2"/>
          <w:sz w:val="20"/>
          <w:vertAlign w:val="baseline"/>
        </w:rPr>
        <w:t> </w:t>
      </w:r>
      <w:r>
        <w:rPr>
          <w:sz w:val="20"/>
          <w:vertAlign w:val="baseline"/>
        </w:rPr>
        <w:t>servir como marcador de</w:t>
      </w:r>
      <w:r>
        <w:rPr>
          <w:spacing w:val="-2"/>
          <w:sz w:val="20"/>
          <w:vertAlign w:val="baseline"/>
        </w:rPr>
        <w:t> </w:t>
      </w:r>
      <w:r>
        <w:rPr>
          <w:sz w:val="20"/>
          <w:vertAlign w:val="baseline"/>
        </w:rPr>
        <w:t>risco para</w:t>
      </w:r>
      <w:r>
        <w:rPr>
          <w:spacing w:val="-2"/>
          <w:sz w:val="20"/>
          <w:vertAlign w:val="baseline"/>
        </w:rPr>
        <w:t> </w:t>
      </w:r>
      <w:r>
        <w:rPr>
          <w:sz w:val="20"/>
          <w:vertAlign w:val="baseline"/>
        </w:rPr>
        <w:t>reestenose.</w:t>
      </w:r>
    </w:p>
    <w:p>
      <w:pPr>
        <w:pStyle w:val="BodyText"/>
        <w:spacing w:before="5"/>
        <w:ind w:left="0" w:firstLine="0"/>
        <w:jc w:val="left"/>
        <w:rPr>
          <w:sz w:val="20"/>
        </w:rPr>
      </w:pPr>
    </w:p>
    <w:p>
      <w:pPr>
        <w:spacing w:before="0"/>
        <w:ind w:left="52" w:right="0" w:firstLine="0"/>
        <w:jc w:val="left"/>
        <w:rPr>
          <w:rFonts w:ascii="Arial"/>
          <w:b/>
          <w:i/>
          <w:sz w:val="24"/>
        </w:rPr>
      </w:pPr>
      <w:r>
        <w:rPr>
          <w:rFonts w:ascii="Arial"/>
          <w:b/>
          <w:i/>
          <w:color w:val="242B67"/>
          <w:sz w:val="24"/>
        </w:rPr>
        <w:t>Intracellular</w:t>
      </w:r>
      <w:r>
        <w:rPr>
          <w:rFonts w:ascii="Arial"/>
          <w:b/>
          <w:i/>
          <w:color w:val="242B67"/>
          <w:spacing w:val="36"/>
          <w:sz w:val="24"/>
        </w:rPr>
        <w:t> </w:t>
      </w:r>
      <w:r>
        <w:rPr>
          <w:rFonts w:ascii="Arial"/>
          <w:b/>
          <w:i/>
          <w:color w:val="242B67"/>
          <w:sz w:val="24"/>
        </w:rPr>
        <w:t>adhesion</w:t>
      </w:r>
      <w:r>
        <w:rPr>
          <w:rFonts w:ascii="Arial"/>
          <w:b/>
          <w:i/>
          <w:color w:val="242B67"/>
          <w:spacing w:val="36"/>
          <w:sz w:val="24"/>
        </w:rPr>
        <w:t> </w:t>
      </w:r>
      <w:r>
        <w:rPr>
          <w:rFonts w:ascii="Arial"/>
          <w:b/>
          <w:i/>
          <w:color w:val="242B67"/>
          <w:sz w:val="24"/>
        </w:rPr>
        <w:t>molecule-</w:t>
      </w:r>
      <w:r>
        <w:rPr>
          <w:rFonts w:ascii="Arial"/>
          <w:b/>
          <w:i/>
          <w:color w:val="242B67"/>
          <w:spacing w:val="-10"/>
          <w:sz w:val="24"/>
        </w:rPr>
        <w:t>1</w:t>
      </w:r>
    </w:p>
    <w:p>
      <w:pPr>
        <w:spacing w:line="283" w:lineRule="auto" w:before="124"/>
        <w:ind w:left="52" w:right="475" w:firstLine="300"/>
        <w:jc w:val="both"/>
        <w:rPr>
          <w:sz w:val="20"/>
        </w:rPr>
      </w:pPr>
      <w:r>
        <w:rPr>
          <w:sz w:val="20"/>
        </w:rPr>
        <w:t>É uma glicoproteína de 95 kDa pertencente à superfamília do gene da imunoglobulina. O polimorfismo C/T da ICAM-1, com substituição do ácido glutâmico (K) por lisina (E) no éxon 6 do códon 469 da proteína ICAM (K469E), pode estar envolvido na patogênese da aterosclerose coronariana.</w:t>
      </w:r>
      <w:r>
        <w:rPr>
          <w:sz w:val="20"/>
          <w:vertAlign w:val="superscript"/>
        </w:rPr>
        <w:t>37</w:t>
      </w:r>
    </w:p>
    <w:p>
      <w:pPr>
        <w:pStyle w:val="BodyText"/>
        <w:spacing w:before="3"/>
        <w:ind w:left="0" w:firstLine="0"/>
        <w:jc w:val="left"/>
        <w:rPr>
          <w:sz w:val="20"/>
        </w:rPr>
      </w:pPr>
    </w:p>
    <w:p>
      <w:pPr>
        <w:spacing w:before="0"/>
        <w:ind w:left="52" w:right="0" w:firstLine="0"/>
        <w:jc w:val="left"/>
        <w:rPr>
          <w:rFonts w:ascii="Arial"/>
          <w:b/>
          <w:i/>
          <w:sz w:val="24"/>
        </w:rPr>
      </w:pPr>
      <w:r>
        <w:rPr>
          <w:rFonts w:ascii="Arial"/>
          <w:b/>
          <w:i/>
          <w:color w:val="242B67"/>
          <w:sz w:val="24"/>
        </w:rPr>
        <w:t>P-</w:t>
      </w:r>
      <w:r>
        <w:rPr>
          <w:rFonts w:ascii="Arial"/>
          <w:b/>
          <w:i/>
          <w:color w:val="242B67"/>
          <w:spacing w:val="-2"/>
          <w:sz w:val="24"/>
        </w:rPr>
        <w:t>selectina</w:t>
      </w:r>
    </w:p>
    <w:p>
      <w:pPr>
        <w:spacing w:line="280" w:lineRule="auto" w:before="110"/>
        <w:ind w:left="52" w:right="475" w:firstLine="300"/>
        <w:jc w:val="both"/>
        <w:rPr>
          <w:sz w:val="20"/>
        </w:rPr>
      </w:pPr>
      <w:r>
        <w:rPr>
          <w:sz w:val="20"/>
        </w:rPr>
        <w:t>Foram descritos 13 polimorfismos para P-selectina em que cinco estão localizados na região codificadora do gene (S 290N, N562D, V599C, T715P, T741T), mas somente T715T associou-se a infarto do miocárdio. Observou-se também que a presença de dois códons de asparagina na região S290N e N562D associava-se a maior risco de infarto do miocárdio, mas somente quando estes apresentavam o mesmo haplótipo, mostrando a complexidade da interação entre a variabilidade genética e o desenvolvimento de doenças.</w:t>
      </w:r>
      <w:r>
        <w:rPr>
          <w:sz w:val="20"/>
          <w:vertAlign w:val="superscript"/>
        </w:rPr>
        <w:t>38</w:t>
      </w:r>
      <w:r>
        <w:rPr>
          <w:sz w:val="20"/>
          <w:vertAlign w:val="baseline"/>
        </w:rPr>
        <w:t> Recentemente, em um estudo de 319 indivíduos, acompanhados prospectivamente por 13,2 anos, o polimorfismo val640leu foi um preditor independente</w:t>
      </w:r>
      <w:r>
        <w:rPr>
          <w:spacing w:val="-1"/>
          <w:sz w:val="20"/>
          <w:vertAlign w:val="baseline"/>
        </w:rPr>
        <w:t> </w:t>
      </w:r>
      <w:r>
        <w:rPr>
          <w:sz w:val="20"/>
          <w:vertAlign w:val="baseline"/>
        </w:rPr>
        <w:t>de</w:t>
      </w:r>
      <w:r>
        <w:rPr>
          <w:spacing w:val="-1"/>
          <w:sz w:val="20"/>
          <w:vertAlign w:val="baseline"/>
        </w:rPr>
        <w:t> </w:t>
      </w:r>
      <w:r>
        <w:rPr>
          <w:sz w:val="20"/>
          <w:vertAlign w:val="baseline"/>
        </w:rPr>
        <w:t>acidente</w:t>
      </w:r>
      <w:r>
        <w:rPr>
          <w:spacing w:val="-1"/>
          <w:sz w:val="20"/>
          <w:vertAlign w:val="baseline"/>
        </w:rPr>
        <w:t> </w:t>
      </w:r>
      <w:r>
        <w:rPr>
          <w:sz w:val="20"/>
          <w:vertAlign w:val="baseline"/>
        </w:rPr>
        <w:t>vascular cerebral (AVC) tromboembólico.</w:t>
      </w:r>
      <w:r>
        <w:rPr>
          <w:sz w:val="20"/>
          <w:vertAlign w:val="superscript"/>
        </w:rPr>
        <w:t>39</w:t>
      </w:r>
    </w:p>
    <w:p>
      <w:pPr>
        <w:pStyle w:val="BodyText"/>
        <w:spacing w:before="23"/>
        <w:ind w:left="0" w:firstLine="0"/>
        <w:jc w:val="left"/>
        <w:rPr>
          <w:sz w:val="20"/>
        </w:rPr>
      </w:pPr>
    </w:p>
    <w:p>
      <w:pPr>
        <w:spacing w:before="0"/>
        <w:ind w:left="52" w:right="0" w:firstLine="0"/>
        <w:jc w:val="left"/>
        <w:rPr>
          <w:rFonts w:ascii="Arial"/>
          <w:b/>
          <w:i/>
          <w:sz w:val="24"/>
        </w:rPr>
      </w:pPr>
      <w:r>
        <w:rPr>
          <w:rFonts w:ascii="Arial"/>
          <w:b/>
          <w:i/>
          <w:color w:val="242B67"/>
          <w:sz w:val="24"/>
        </w:rPr>
        <w:t>Gene</w:t>
      </w:r>
      <w:r>
        <w:rPr>
          <w:rFonts w:ascii="Arial"/>
          <w:b/>
          <w:i/>
          <w:color w:val="242B67"/>
          <w:spacing w:val="25"/>
          <w:sz w:val="24"/>
        </w:rPr>
        <w:t> </w:t>
      </w:r>
      <w:r>
        <w:rPr>
          <w:rFonts w:ascii="Arial"/>
          <w:b/>
          <w:i/>
          <w:color w:val="242B67"/>
          <w:sz w:val="24"/>
        </w:rPr>
        <w:t>ciclo-oxigenase</w:t>
      </w:r>
      <w:r>
        <w:rPr>
          <w:rFonts w:ascii="Arial"/>
          <w:b/>
          <w:i/>
          <w:color w:val="242B67"/>
          <w:spacing w:val="25"/>
          <w:sz w:val="24"/>
        </w:rPr>
        <w:t> </w:t>
      </w:r>
      <w:r>
        <w:rPr>
          <w:rFonts w:ascii="Arial"/>
          <w:b/>
          <w:i/>
          <w:color w:val="242B67"/>
          <w:spacing w:val="-10"/>
          <w:sz w:val="24"/>
        </w:rPr>
        <w:t>2</w:t>
      </w:r>
    </w:p>
    <w:p>
      <w:pPr>
        <w:spacing w:line="290" w:lineRule="auto" w:before="111"/>
        <w:ind w:left="52" w:right="481" w:firstLine="300"/>
        <w:jc w:val="both"/>
        <w:rPr>
          <w:sz w:val="20"/>
        </w:rPr>
      </w:pPr>
      <w:r>
        <w:rPr>
          <w:sz w:val="20"/>
        </w:rPr>
        <w:t>A</w:t>
      </w:r>
      <w:r>
        <w:rPr>
          <w:spacing w:val="-4"/>
          <w:sz w:val="20"/>
        </w:rPr>
        <w:t> </w:t>
      </w:r>
      <w:r>
        <w:rPr>
          <w:sz w:val="20"/>
        </w:rPr>
        <w:t>ciclo-oxigenase-2</w:t>
      </w:r>
      <w:r>
        <w:rPr>
          <w:spacing w:val="-1"/>
          <w:sz w:val="20"/>
        </w:rPr>
        <w:t> </w:t>
      </w:r>
      <w:r>
        <w:rPr>
          <w:sz w:val="20"/>
        </w:rPr>
        <w:t>induz</w:t>
      </w:r>
      <w:r>
        <w:rPr>
          <w:spacing w:val="-4"/>
          <w:sz w:val="20"/>
        </w:rPr>
        <w:t> </w:t>
      </w:r>
      <w:r>
        <w:rPr>
          <w:sz w:val="20"/>
        </w:rPr>
        <w:t>a</w:t>
      </w:r>
      <w:r>
        <w:rPr>
          <w:spacing w:val="-4"/>
          <w:sz w:val="20"/>
        </w:rPr>
        <w:t> </w:t>
      </w:r>
      <w:r>
        <w:rPr>
          <w:sz w:val="20"/>
        </w:rPr>
        <w:t>formação</w:t>
      </w:r>
      <w:r>
        <w:rPr>
          <w:spacing w:val="-1"/>
          <w:sz w:val="20"/>
        </w:rPr>
        <w:t> </w:t>
      </w:r>
      <w:r>
        <w:rPr>
          <w:sz w:val="20"/>
        </w:rPr>
        <w:t>de</w:t>
      </w:r>
      <w:r>
        <w:rPr>
          <w:spacing w:val="-4"/>
          <w:sz w:val="20"/>
        </w:rPr>
        <w:t> </w:t>
      </w:r>
      <w:r>
        <w:rPr>
          <w:sz w:val="20"/>
        </w:rPr>
        <w:t>metaloproteinases pelos macrófagos que</w:t>
      </w:r>
      <w:r>
        <w:rPr>
          <w:spacing w:val="-4"/>
          <w:sz w:val="20"/>
        </w:rPr>
        <w:t> </w:t>
      </w:r>
      <w:r>
        <w:rPr>
          <w:sz w:val="20"/>
        </w:rPr>
        <w:t>causam</w:t>
      </w:r>
      <w:r>
        <w:rPr>
          <w:spacing w:val="-1"/>
          <w:sz w:val="20"/>
        </w:rPr>
        <w:t> </w:t>
      </w:r>
      <w:r>
        <w:rPr>
          <w:sz w:val="20"/>
        </w:rPr>
        <w:t>a</w:t>
      </w:r>
      <w:r>
        <w:rPr>
          <w:spacing w:val="-4"/>
          <w:sz w:val="20"/>
        </w:rPr>
        <w:t> </w:t>
      </w:r>
      <w:r>
        <w:rPr>
          <w:sz w:val="20"/>
        </w:rPr>
        <w:t>digestão</w:t>
      </w:r>
      <w:r>
        <w:rPr>
          <w:spacing w:val="-1"/>
          <w:sz w:val="20"/>
        </w:rPr>
        <w:t> </w:t>
      </w:r>
      <w:r>
        <w:rPr>
          <w:sz w:val="20"/>
        </w:rPr>
        <w:t>da</w:t>
      </w:r>
      <w:r>
        <w:rPr>
          <w:spacing w:val="-4"/>
          <w:sz w:val="20"/>
        </w:rPr>
        <w:t> </w:t>
      </w:r>
      <w:r>
        <w:rPr>
          <w:sz w:val="20"/>
        </w:rPr>
        <w:t>matriz</w:t>
      </w:r>
      <w:r>
        <w:rPr>
          <w:spacing w:val="-4"/>
          <w:sz w:val="20"/>
        </w:rPr>
        <w:t> </w:t>
      </w:r>
      <w:r>
        <w:rPr>
          <w:sz w:val="20"/>
        </w:rPr>
        <w:t>levando</w:t>
      </w:r>
      <w:r>
        <w:rPr>
          <w:spacing w:val="-1"/>
          <w:sz w:val="20"/>
        </w:rPr>
        <w:t> </w:t>
      </w:r>
      <w:r>
        <w:rPr>
          <w:sz w:val="20"/>
        </w:rPr>
        <w:t>à</w:t>
      </w:r>
      <w:r>
        <w:rPr>
          <w:spacing w:val="-4"/>
          <w:sz w:val="20"/>
        </w:rPr>
        <w:t> </w:t>
      </w:r>
      <w:r>
        <w:rPr>
          <w:sz w:val="20"/>
        </w:rPr>
        <w:t>ruptura da placa. O polimorfismo do gene </w:t>
      </w:r>
      <w:r>
        <w:rPr>
          <w:i/>
          <w:sz w:val="20"/>
        </w:rPr>
        <w:t>COX-2 </w:t>
      </w:r>
      <w:r>
        <w:rPr>
          <w:sz w:val="20"/>
        </w:rPr>
        <w:t>G765C, está associado à diminuição do risco de infarto do miocárdio.</w:t>
      </w:r>
      <w:r>
        <w:rPr>
          <w:sz w:val="20"/>
          <w:vertAlign w:val="superscript"/>
        </w:rPr>
        <w:t>40</w:t>
      </w:r>
    </w:p>
    <w:p>
      <w:pPr>
        <w:pStyle w:val="BodyText"/>
        <w:spacing w:before="102"/>
        <w:ind w:left="0" w:firstLine="0"/>
        <w:jc w:val="left"/>
        <w:rPr>
          <w:sz w:val="20"/>
        </w:rPr>
      </w:pPr>
    </w:p>
    <w:p>
      <w:pPr>
        <w:pStyle w:val="Heading8"/>
      </w:pPr>
      <w:r>
        <w:rPr>
          <w:color w:val="A26108"/>
        </w:rPr>
        <w:t>Abordagem</w:t>
      </w:r>
      <w:r>
        <w:rPr>
          <w:color w:val="A26108"/>
          <w:spacing w:val="20"/>
        </w:rPr>
        <w:t> </w:t>
      </w:r>
      <w:r>
        <w:rPr>
          <w:color w:val="A26108"/>
        </w:rPr>
        <w:t>de</w:t>
      </w:r>
      <w:r>
        <w:rPr>
          <w:color w:val="A26108"/>
          <w:spacing w:val="20"/>
        </w:rPr>
        <w:t> </w:t>
      </w:r>
      <w:r>
        <w:rPr>
          <w:color w:val="A26108"/>
        </w:rPr>
        <w:t>múltiplos</w:t>
      </w:r>
      <w:r>
        <w:rPr>
          <w:color w:val="A26108"/>
          <w:spacing w:val="21"/>
        </w:rPr>
        <w:t> </w:t>
      </w:r>
      <w:r>
        <w:rPr>
          <w:color w:val="A26108"/>
          <w:spacing w:val="-2"/>
        </w:rPr>
        <w:t>polimorfismos</w:t>
      </w:r>
    </w:p>
    <w:p>
      <w:pPr>
        <w:spacing w:line="278" w:lineRule="auto" w:before="120"/>
        <w:ind w:left="52" w:right="475" w:firstLine="300"/>
        <w:jc w:val="both"/>
        <w:rPr>
          <w:sz w:val="20"/>
        </w:rPr>
      </w:pPr>
      <w:r>
        <w:rPr>
          <w:sz w:val="20"/>
        </w:rPr>
        <w:t>Em face do caráter multifatorial da DAC e o pequeno efeito esperado para um único polimorfismo, abordagens de estudo com múltiplos genes podem auxiliar na estratificação do risco em doenças complexas. Um estudo multicêntrico nacional, o Genetics, Outcomes and Lipids in Type 2 Diabetes (GOLD) Study, avaliou a influência dos fatores de risco e de polimorfismos em genes relacionados com o metabolismo das lipoproteínas de potencial agravo à dislipidemia na ocorrência de infarto do miocárdio em portadores de diabetes melito tipo 2.</w:t>
      </w:r>
      <w:r>
        <w:rPr>
          <w:sz w:val="20"/>
          <w:vertAlign w:val="superscript"/>
        </w:rPr>
        <w:t>12,41</w:t>
      </w:r>
      <w:r>
        <w:rPr>
          <w:sz w:val="20"/>
          <w:vertAlign w:val="baseline"/>
        </w:rPr>
        <w:t> Em 990 diabéticos de meia-idade, esse estudo de caso-controle demonstrou que o gênero masculino triplicou, a presença de hipertrofia ventricular esquerda duplicou, o fumo aumentou em 1,8 vez o risco de infarto do miocárdio, enquanto a idade, duração do diabetes, níveis mais baixos da pressão arterial sistólica e do HDL-colesterol tiveram uma associação mais modesta com o risco de infarto (</w:t>
      </w:r>
      <w:r>
        <w:rPr>
          <w:color w:val="505050"/>
          <w:sz w:val="20"/>
          <w:vertAlign w:val="baseline"/>
        </w:rPr>
        <w:t>Figura 60.5</w:t>
      </w:r>
      <w:r>
        <w:rPr>
          <w:sz w:val="20"/>
          <w:vertAlign w:val="baseline"/>
        </w:rPr>
        <w:t>). Entre os marcadores genéticos estudados, o polimorfismo D9N do gene</w:t>
      </w:r>
      <w:r>
        <w:rPr>
          <w:spacing w:val="-6"/>
          <w:sz w:val="20"/>
          <w:vertAlign w:val="baseline"/>
        </w:rPr>
        <w:t> </w:t>
      </w:r>
      <w:r>
        <w:rPr>
          <w:sz w:val="20"/>
          <w:vertAlign w:val="baseline"/>
        </w:rPr>
        <w:t>que</w:t>
      </w:r>
      <w:r>
        <w:rPr>
          <w:spacing w:val="-6"/>
          <w:sz w:val="20"/>
          <w:vertAlign w:val="baseline"/>
        </w:rPr>
        <w:t> </w:t>
      </w:r>
      <w:r>
        <w:rPr>
          <w:sz w:val="20"/>
          <w:vertAlign w:val="baseline"/>
        </w:rPr>
        <w:t>codifica</w:t>
      </w:r>
      <w:r>
        <w:rPr>
          <w:spacing w:val="-6"/>
          <w:sz w:val="20"/>
          <w:vertAlign w:val="baseline"/>
        </w:rPr>
        <w:t> </w:t>
      </w:r>
      <w:r>
        <w:rPr>
          <w:sz w:val="20"/>
          <w:vertAlign w:val="baseline"/>
        </w:rPr>
        <w:t>para</w:t>
      </w:r>
      <w:r>
        <w:rPr>
          <w:spacing w:val="-6"/>
          <w:sz w:val="20"/>
          <w:vertAlign w:val="baseline"/>
        </w:rPr>
        <w:t> </w:t>
      </w:r>
      <w:r>
        <w:rPr>
          <w:sz w:val="20"/>
          <w:vertAlign w:val="baseline"/>
        </w:rPr>
        <w:t>a</w:t>
      </w:r>
      <w:r>
        <w:rPr>
          <w:spacing w:val="-6"/>
          <w:sz w:val="20"/>
          <w:vertAlign w:val="baseline"/>
        </w:rPr>
        <w:t> </w:t>
      </w:r>
      <w:r>
        <w:rPr>
          <w:sz w:val="20"/>
          <w:vertAlign w:val="baseline"/>
        </w:rPr>
        <w:t>LPL aumentou</w:t>
      </w:r>
      <w:r>
        <w:rPr>
          <w:spacing w:val="-5"/>
          <w:sz w:val="20"/>
          <w:vertAlign w:val="baseline"/>
        </w:rPr>
        <w:t> </w:t>
      </w:r>
      <w:r>
        <w:rPr>
          <w:sz w:val="20"/>
          <w:vertAlign w:val="baseline"/>
        </w:rPr>
        <w:t>a</w:t>
      </w:r>
      <w:r>
        <w:rPr>
          <w:spacing w:val="-6"/>
          <w:sz w:val="20"/>
          <w:vertAlign w:val="baseline"/>
        </w:rPr>
        <w:t> </w:t>
      </w:r>
      <w:r>
        <w:rPr>
          <w:sz w:val="20"/>
          <w:vertAlign w:val="baseline"/>
        </w:rPr>
        <w:t>chance</w:t>
      </w:r>
      <w:r>
        <w:rPr>
          <w:spacing w:val="-6"/>
          <w:sz w:val="20"/>
          <w:vertAlign w:val="baseline"/>
        </w:rPr>
        <w:t> </w:t>
      </w:r>
      <w:r>
        <w:rPr>
          <w:sz w:val="20"/>
          <w:vertAlign w:val="baseline"/>
        </w:rPr>
        <w:t>de</w:t>
      </w:r>
      <w:r>
        <w:rPr>
          <w:spacing w:val="-6"/>
          <w:sz w:val="20"/>
          <w:vertAlign w:val="baseline"/>
        </w:rPr>
        <w:t> </w:t>
      </w:r>
      <w:r>
        <w:rPr>
          <w:sz w:val="20"/>
          <w:vertAlign w:val="baseline"/>
        </w:rPr>
        <w:t>infarto</w:t>
      </w:r>
      <w:r>
        <w:rPr>
          <w:spacing w:val="-5"/>
          <w:sz w:val="20"/>
          <w:vertAlign w:val="baseline"/>
        </w:rPr>
        <w:t> </w:t>
      </w:r>
      <w:r>
        <w:rPr>
          <w:sz w:val="20"/>
          <w:vertAlign w:val="baseline"/>
        </w:rPr>
        <w:t>do</w:t>
      </w:r>
      <w:r>
        <w:rPr>
          <w:spacing w:val="-5"/>
          <w:sz w:val="20"/>
          <w:vertAlign w:val="baseline"/>
        </w:rPr>
        <w:t> </w:t>
      </w:r>
      <w:r>
        <w:rPr>
          <w:sz w:val="20"/>
          <w:vertAlign w:val="baseline"/>
        </w:rPr>
        <w:t>miocárdio</w:t>
      </w:r>
      <w:r>
        <w:rPr>
          <w:spacing w:val="-5"/>
          <w:sz w:val="20"/>
          <w:vertAlign w:val="baseline"/>
        </w:rPr>
        <w:t> </w:t>
      </w:r>
      <w:r>
        <w:rPr>
          <w:sz w:val="20"/>
          <w:vertAlign w:val="baseline"/>
        </w:rPr>
        <w:t>em</w:t>
      </w:r>
      <w:r>
        <w:rPr>
          <w:spacing w:val="-5"/>
          <w:sz w:val="20"/>
          <w:vertAlign w:val="baseline"/>
        </w:rPr>
        <w:t> </w:t>
      </w:r>
      <w:r>
        <w:rPr>
          <w:sz w:val="20"/>
          <w:vertAlign w:val="baseline"/>
        </w:rPr>
        <w:t>62%</w:t>
      </w:r>
      <w:r>
        <w:rPr>
          <w:spacing w:val="-2"/>
          <w:sz w:val="20"/>
          <w:vertAlign w:val="baseline"/>
        </w:rPr>
        <w:t> </w:t>
      </w:r>
      <w:r>
        <w:rPr>
          <w:sz w:val="20"/>
          <w:vertAlign w:val="baseline"/>
        </w:rPr>
        <w:t>(</w:t>
      </w:r>
      <w:r>
        <w:rPr>
          <w:i/>
          <w:sz w:val="20"/>
          <w:vertAlign w:val="baseline"/>
        </w:rPr>
        <w:t>odds ratio</w:t>
      </w:r>
      <w:r>
        <w:rPr>
          <w:i/>
          <w:spacing w:val="-4"/>
          <w:sz w:val="20"/>
          <w:vertAlign w:val="baseline"/>
        </w:rPr>
        <w:t> </w:t>
      </w:r>
      <w:r>
        <w:rPr>
          <w:sz w:val="20"/>
          <w:vertAlign w:val="baseline"/>
        </w:rPr>
        <w:t>para</w:t>
      </w:r>
      <w:r>
        <w:rPr>
          <w:spacing w:val="-6"/>
          <w:sz w:val="20"/>
          <w:vertAlign w:val="baseline"/>
        </w:rPr>
        <w:t> </w:t>
      </w:r>
      <w:r>
        <w:rPr>
          <w:sz w:val="20"/>
          <w:vertAlign w:val="baseline"/>
        </w:rPr>
        <w:t>o</w:t>
      </w:r>
      <w:r>
        <w:rPr>
          <w:spacing w:val="-4"/>
          <w:sz w:val="20"/>
          <w:vertAlign w:val="baseline"/>
        </w:rPr>
        <w:t> </w:t>
      </w:r>
      <w:r>
        <w:rPr>
          <w:sz w:val="20"/>
          <w:vertAlign w:val="baseline"/>
        </w:rPr>
        <w:t>alelo</w:t>
      </w:r>
      <w:r>
        <w:rPr>
          <w:spacing w:val="-4"/>
          <w:sz w:val="20"/>
          <w:vertAlign w:val="baseline"/>
        </w:rPr>
        <w:t> </w:t>
      </w:r>
      <w:r>
        <w:rPr>
          <w:sz w:val="20"/>
          <w:vertAlign w:val="baseline"/>
        </w:rPr>
        <w:t>natural</w:t>
      </w:r>
      <w:r>
        <w:rPr>
          <w:spacing w:val="-1"/>
          <w:sz w:val="20"/>
          <w:vertAlign w:val="baseline"/>
        </w:rPr>
        <w:t> </w:t>
      </w:r>
      <w:r>
        <w:rPr>
          <w:sz w:val="20"/>
          <w:vertAlign w:val="baseline"/>
        </w:rPr>
        <w:t>=</w:t>
      </w:r>
      <w:r>
        <w:rPr>
          <w:spacing w:val="-3"/>
          <w:sz w:val="20"/>
          <w:vertAlign w:val="baseline"/>
        </w:rPr>
        <w:t> </w:t>
      </w:r>
      <w:r>
        <w:rPr>
          <w:sz w:val="20"/>
          <w:vertAlign w:val="baseline"/>
        </w:rPr>
        <w:t>1,62, intervalo</w:t>
      </w:r>
      <w:r>
        <w:rPr>
          <w:spacing w:val="-4"/>
          <w:sz w:val="20"/>
          <w:vertAlign w:val="baseline"/>
        </w:rPr>
        <w:t> </w:t>
      </w:r>
      <w:r>
        <w:rPr>
          <w:sz w:val="20"/>
          <w:vertAlign w:val="baseline"/>
        </w:rPr>
        <w:t>de confiança 95%: 1,14 a 2,30, p = 0,02) (</w:t>
      </w:r>
      <w:r>
        <w:rPr>
          <w:color w:val="505050"/>
          <w:sz w:val="20"/>
          <w:vertAlign w:val="baseline"/>
        </w:rPr>
        <w:t>Figura 60.6</w:t>
      </w:r>
      <w:r>
        <w:rPr>
          <w:sz w:val="20"/>
          <w:vertAlign w:val="baseline"/>
        </w:rPr>
        <w:t>).</w:t>
      </w:r>
    </w:p>
    <w:p>
      <w:pPr>
        <w:spacing w:line="276" w:lineRule="auto" w:before="46"/>
        <w:ind w:left="52" w:right="475" w:firstLine="300"/>
        <w:jc w:val="both"/>
        <w:rPr>
          <w:sz w:val="20"/>
        </w:rPr>
      </w:pPr>
      <w:r>
        <w:rPr>
          <w:sz w:val="20"/>
        </w:rPr>
        <w:t>Testes genéticos vêm sendo propostos para identificar indivíduos com risco de doença cardiovascular acima da média, como aqueles</w:t>
      </w:r>
      <w:r>
        <w:rPr>
          <w:spacing w:val="-1"/>
          <w:sz w:val="20"/>
        </w:rPr>
        <w:t> </w:t>
      </w:r>
      <w:r>
        <w:rPr>
          <w:sz w:val="20"/>
        </w:rPr>
        <w:t>com</w:t>
      </w:r>
      <w:r>
        <w:rPr>
          <w:spacing w:val="-7"/>
          <w:sz w:val="20"/>
        </w:rPr>
        <w:t> </w:t>
      </w:r>
      <w:r>
        <w:rPr>
          <w:sz w:val="20"/>
        </w:rPr>
        <w:t>maior</w:t>
      </w:r>
      <w:r>
        <w:rPr>
          <w:spacing w:val="-3"/>
          <w:sz w:val="20"/>
        </w:rPr>
        <w:t> </w:t>
      </w:r>
      <w:r>
        <w:rPr>
          <w:sz w:val="20"/>
        </w:rPr>
        <w:t>chance</w:t>
      </w:r>
      <w:r>
        <w:rPr>
          <w:spacing w:val="-10"/>
          <w:sz w:val="20"/>
        </w:rPr>
        <w:t> </w:t>
      </w:r>
      <w:r>
        <w:rPr>
          <w:sz w:val="20"/>
        </w:rPr>
        <w:t>de</w:t>
      </w:r>
      <w:r>
        <w:rPr>
          <w:spacing w:val="-10"/>
          <w:sz w:val="20"/>
        </w:rPr>
        <w:t> </w:t>
      </w:r>
      <w:r>
        <w:rPr>
          <w:sz w:val="20"/>
        </w:rPr>
        <w:t>ocorrência</w:t>
      </w:r>
      <w:r>
        <w:rPr>
          <w:spacing w:val="-10"/>
          <w:sz w:val="20"/>
        </w:rPr>
        <w:t> </w:t>
      </w:r>
      <w:r>
        <w:rPr>
          <w:sz w:val="20"/>
        </w:rPr>
        <w:t>de</w:t>
      </w:r>
      <w:r>
        <w:rPr>
          <w:spacing w:val="-10"/>
          <w:sz w:val="20"/>
        </w:rPr>
        <w:t> </w:t>
      </w:r>
      <w:r>
        <w:rPr>
          <w:sz w:val="20"/>
        </w:rPr>
        <w:t>trombose</w:t>
      </w:r>
      <w:r>
        <w:rPr>
          <w:spacing w:val="-10"/>
          <w:sz w:val="20"/>
        </w:rPr>
        <w:t> </w:t>
      </w:r>
      <w:r>
        <w:rPr>
          <w:sz w:val="20"/>
        </w:rPr>
        <w:t>venosa</w:t>
      </w:r>
      <w:r>
        <w:rPr>
          <w:spacing w:val="-10"/>
          <w:sz w:val="20"/>
        </w:rPr>
        <w:t> </w:t>
      </w:r>
      <w:r>
        <w:rPr>
          <w:sz w:val="20"/>
        </w:rPr>
        <w:t>profunda,</w:t>
      </w:r>
      <w:r>
        <w:rPr>
          <w:spacing w:val="-1"/>
          <w:sz w:val="20"/>
        </w:rPr>
        <w:t> </w:t>
      </w:r>
      <w:r>
        <w:rPr>
          <w:sz w:val="20"/>
        </w:rPr>
        <w:t>hiperlipidemias,</w:t>
      </w:r>
      <w:r>
        <w:rPr>
          <w:spacing w:val="-1"/>
          <w:sz w:val="20"/>
        </w:rPr>
        <w:t> </w:t>
      </w:r>
      <w:r>
        <w:rPr>
          <w:sz w:val="20"/>
        </w:rPr>
        <w:t>aterosclerose,</w:t>
      </w:r>
      <w:r>
        <w:rPr>
          <w:spacing w:val="-1"/>
          <w:sz w:val="20"/>
        </w:rPr>
        <w:t> </w:t>
      </w:r>
      <w:r>
        <w:rPr>
          <w:sz w:val="20"/>
        </w:rPr>
        <w:t>infarto</w:t>
      </w:r>
      <w:r>
        <w:rPr>
          <w:spacing w:val="-7"/>
          <w:sz w:val="20"/>
        </w:rPr>
        <w:t> </w:t>
      </w:r>
      <w:r>
        <w:rPr>
          <w:sz w:val="20"/>
        </w:rPr>
        <w:t>do</w:t>
      </w:r>
      <w:r>
        <w:rPr>
          <w:spacing w:val="-7"/>
          <w:sz w:val="20"/>
        </w:rPr>
        <w:t> </w:t>
      </w:r>
      <w:r>
        <w:rPr>
          <w:sz w:val="20"/>
        </w:rPr>
        <w:t>miocárdio</w:t>
      </w:r>
      <w:r>
        <w:rPr>
          <w:spacing w:val="-7"/>
          <w:sz w:val="20"/>
        </w:rPr>
        <w:t> </w:t>
      </w:r>
      <w:r>
        <w:rPr>
          <w:sz w:val="20"/>
        </w:rPr>
        <w:t>e</w:t>
      </w:r>
      <w:r>
        <w:rPr>
          <w:spacing w:val="-10"/>
          <w:sz w:val="20"/>
        </w:rPr>
        <w:t> </w:t>
      </w:r>
      <w:r>
        <w:rPr>
          <w:sz w:val="20"/>
        </w:rPr>
        <w:t>doenças cerebrovasculares. Esses testes podem identificar os melhores respondedores a um tratamento em particular: farmacológico, intervenção sobre o estilo de vida ou sucesso na realização de procedimentos percutâneos. O seu valor, no entanto, precisa de uma criteriosa avaliação, uma vez que um genótipo pode ser fortemente associado a um traço intermediário e esse traço, por sua vez, ser um forte preditor de risco de doença cardiovascular, mas a associação entre o genótipo e o risco pode acrescentar muito pouco ao valor preditivo daquele fenótipo intermediário. Isso ocorre pelos efeitos da interação entre vários genes e fatores ambientais, modificando</w:t>
      </w:r>
      <w:r>
        <w:rPr>
          <w:spacing w:val="-9"/>
          <w:sz w:val="20"/>
        </w:rPr>
        <w:t> </w:t>
      </w:r>
      <w:r>
        <w:rPr>
          <w:sz w:val="20"/>
        </w:rPr>
        <w:t>os</w:t>
      </w:r>
      <w:r>
        <w:rPr>
          <w:spacing w:val="-3"/>
          <w:sz w:val="20"/>
        </w:rPr>
        <w:t> </w:t>
      </w:r>
      <w:r>
        <w:rPr>
          <w:sz w:val="20"/>
        </w:rPr>
        <w:t>efeitos</w:t>
      </w:r>
      <w:r>
        <w:rPr>
          <w:spacing w:val="-3"/>
          <w:sz w:val="20"/>
        </w:rPr>
        <w:t> </w:t>
      </w:r>
      <w:r>
        <w:rPr>
          <w:sz w:val="20"/>
        </w:rPr>
        <w:t>daquele</w:t>
      </w:r>
      <w:r>
        <w:rPr>
          <w:spacing w:val="-11"/>
          <w:sz w:val="20"/>
        </w:rPr>
        <w:t> </w:t>
      </w:r>
      <w:r>
        <w:rPr>
          <w:sz w:val="20"/>
        </w:rPr>
        <w:t>genótipo</w:t>
      </w:r>
      <w:r>
        <w:rPr>
          <w:spacing w:val="-9"/>
          <w:sz w:val="20"/>
        </w:rPr>
        <w:t> </w:t>
      </w:r>
      <w:r>
        <w:rPr>
          <w:sz w:val="20"/>
        </w:rPr>
        <w:t>em</w:t>
      </w:r>
      <w:r>
        <w:rPr>
          <w:spacing w:val="-9"/>
          <w:sz w:val="20"/>
        </w:rPr>
        <w:t> </w:t>
      </w:r>
      <w:r>
        <w:rPr>
          <w:sz w:val="20"/>
        </w:rPr>
        <w:t>si</w:t>
      </w:r>
      <w:r>
        <w:rPr>
          <w:spacing w:val="-7"/>
          <w:sz w:val="20"/>
        </w:rPr>
        <w:t> </w:t>
      </w:r>
      <w:r>
        <w:rPr>
          <w:sz w:val="20"/>
        </w:rPr>
        <w:t>no</w:t>
      </w:r>
      <w:r>
        <w:rPr>
          <w:spacing w:val="-9"/>
          <w:sz w:val="20"/>
        </w:rPr>
        <w:t> </w:t>
      </w:r>
      <w:r>
        <w:rPr>
          <w:sz w:val="20"/>
        </w:rPr>
        <w:t>risco</w:t>
      </w:r>
      <w:r>
        <w:rPr>
          <w:spacing w:val="-9"/>
          <w:sz w:val="20"/>
        </w:rPr>
        <w:t> </w:t>
      </w:r>
      <w:r>
        <w:rPr>
          <w:sz w:val="20"/>
        </w:rPr>
        <w:t>cardiovascular.</w:t>
      </w:r>
      <w:r>
        <w:rPr>
          <w:spacing w:val="-3"/>
          <w:sz w:val="20"/>
        </w:rPr>
        <w:t> </w:t>
      </w:r>
      <w:r>
        <w:rPr>
          <w:sz w:val="20"/>
        </w:rPr>
        <w:t>Nas</w:t>
      </w:r>
      <w:r>
        <w:rPr>
          <w:spacing w:val="-3"/>
          <w:sz w:val="20"/>
        </w:rPr>
        <w:t> </w:t>
      </w:r>
      <w:r>
        <w:rPr>
          <w:sz w:val="20"/>
        </w:rPr>
        <w:t>doenças</w:t>
      </w:r>
      <w:r>
        <w:rPr>
          <w:spacing w:val="-3"/>
          <w:sz w:val="20"/>
        </w:rPr>
        <w:t> </w:t>
      </w:r>
      <w:r>
        <w:rPr>
          <w:sz w:val="20"/>
        </w:rPr>
        <w:t>monogênicas</w:t>
      </w:r>
      <w:r>
        <w:rPr>
          <w:spacing w:val="-3"/>
          <w:sz w:val="20"/>
        </w:rPr>
        <w:t> </w:t>
      </w:r>
      <w:r>
        <w:rPr>
          <w:sz w:val="20"/>
        </w:rPr>
        <w:t>e</w:t>
      </w:r>
      <w:r>
        <w:rPr>
          <w:spacing w:val="-11"/>
          <w:sz w:val="20"/>
        </w:rPr>
        <w:t> </w:t>
      </w:r>
      <w:r>
        <w:rPr>
          <w:sz w:val="20"/>
        </w:rPr>
        <w:t>naquelas</w:t>
      </w:r>
      <w:r>
        <w:rPr>
          <w:spacing w:val="-3"/>
          <w:sz w:val="20"/>
        </w:rPr>
        <w:t> </w:t>
      </w:r>
      <w:r>
        <w:rPr>
          <w:sz w:val="20"/>
        </w:rPr>
        <w:t>poligênicas</w:t>
      </w:r>
      <w:r>
        <w:rPr>
          <w:spacing w:val="-3"/>
          <w:sz w:val="20"/>
        </w:rPr>
        <w:t> </w:t>
      </w:r>
      <w:r>
        <w:rPr>
          <w:sz w:val="20"/>
        </w:rPr>
        <w:t>associadas</w:t>
      </w:r>
      <w:r>
        <w:rPr>
          <w:spacing w:val="-3"/>
          <w:sz w:val="20"/>
        </w:rPr>
        <w:t> </w:t>
      </w:r>
      <w:r>
        <w:rPr>
          <w:sz w:val="20"/>
        </w:rPr>
        <w:t>à doença cardiovascular o modo de transmissão, e principalmente o impacto do fator genético, é variável. Apenas quando o valor do teste genético ultrapassar o valor dos melhores preditores baseados em grandes ensaios clínicos populacionais esses testes poderão ser incorporados à prática clínica. No momento, embora a genômica, a farmacogenômica e a farmacogenética tenham amplas perspectivas de</w:t>
      </w:r>
      <w:r>
        <w:rPr>
          <w:spacing w:val="-6"/>
          <w:sz w:val="20"/>
        </w:rPr>
        <w:t> </w:t>
      </w:r>
      <w:r>
        <w:rPr>
          <w:sz w:val="20"/>
        </w:rPr>
        <w:t>utilização</w:t>
      </w:r>
      <w:r>
        <w:rPr>
          <w:spacing w:val="-5"/>
          <w:sz w:val="20"/>
        </w:rPr>
        <w:t> </w:t>
      </w:r>
      <w:r>
        <w:rPr>
          <w:sz w:val="20"/>
        </w:rPr>
        <w:t>futura, seu</w:t>
      </w:r>
      <w:r>
        <w:rPr>
          <w:spacing w:val="-5"/>
          <w:sz w:val="20"/>
        </w:rPr>
        <w:t> </w:t>
      </w:r>
      <w:r>
        <w:rPr>
          <w:sz w:val="20"/>
        </w:rPr>
        <w:t>espaço</w:t>
      </w:r>
      <w:r>
        <w:rPr>
          <w:spacing w:val="-5"/>
          <w:sz w:val="20"/>
        </w:rPr>
        <w:t> </w:t>
      </w:r>
      <w:r>
        <w:rPr>
          <w:sz w:val="20"/>
        </w:rPr>
        <w:t>atual</w:t>
      </w:r>
      <w:r>
        <w:rPr>
          <w:spacing w:val="-2"/>
          <w:sz w:val="20"/>
        </w:rPr>
        <w:t> </w:t>
      </w:r>
      <w:r>
        <w:rPr>
          <w:sz w:val="20"/>
        </w:rPr>
        <w:t>destina-se</w:t>
      </w:r>
      <w:r>
        <w:rPr>
          <w:spacing w:val="-6"/>
          <w:sz w:val="20"/>
        </w:rPr>
        <w:t> </w:t>
      </w:r>
      <w:r>
        <w:rPr>
          <w:sz w:val="20"/>
        </w:rPr>
        <w:t>à</w:t>
      </w:r>
      <w:r>
        <w:rPr>
          <w:spacing w:val="-6"/>
          <w:sz w:val="20"/>
        </w:rPr>
        <w:t> </w:t>
      </w:r>
      <w:r>
        <w:rPr>
          <w:sz w:val="20"/>
        </w:rPr>
        <w:t>pesquisa</w:t>
      </w:r>
      <w:r>
        <w:rPr>
          <w:spacing w:val="-6"/>
          <w:sz w:val="20"/>
        </w:rPr>
        <w:t> </w:t>
      </w:r>
      <w:r>
        <w:rPr>
          <w:sz w:val="20"/>
        </w:rPr>
        <w:t>científica, auxiliando</w:t>
      </w:r>
      <w:r>
        <w:rPr>
          <w:spacing w:val="-5"/>
          <w:sz w:val="20"/>
        </w:rPr>
        <w:t> </w:t>
      </w:r>
      <w:r>
        <w:rPr>
          <w:sz w:val="20"/>
        </w:rPr>
        <w:t>a</w:t>
      </w:r>
      <w:r>
        <w:rPr>
          <w:spacing w:val="-6"/>
          <w:sz w:val="20"/>
        </w:rPr>
        <w:t> </w:t>
      </w:r>
      <w:r>
        <w:rPr>
          <w:sz w:val="20"/>
        </w:rPr>
        <w:t>melhor compreensão</w:t>
      </w:r>
      <w:r>
        <w:rPr>
          <w:spacing w:val="-5"/>
          <w:sz w:val="20"/>
        </w:rPr>
        <w:t> </w:t>
      </w:r>
      <w:r>
        <w:rPr>
          <w:sz w:val="20"/>
        </w:rPr>
        <w:t>da</w:t>
      </w:r>
      <w:r>
        <w:rPr>
          <w:spacing w:val="-6"/>
          <w:sz w:val="20"/>
        </w:rPr>
        <w:t> </w:t>
      </w:r>
      <w:r>
        <w:rPr>
          <w:sz w:val="20"/>
        </w:rPr>
        <w:t>etiopatogenia das doenças cardiovasculares. A</w:t>
      </w:r>
      <w:r>
        <w:rPr>
          <w:spacing w:val="-2"/>
          <w:sz w:val="20"/>
        </w:rPr>
        <w:t> </w:t>
      </w:r>
      <w:r>
        <w:rPr>
          <w:color w:val="505050"/>
          <w:sz w:val="20"/>
        </w:rPr>
        <w:t>Tabela</w:t>
      </w:r>
      <w:r>
        <w:rPr>
          <w:color w:val="505050"/>
          <w:spacing w:val="-10"/>
          <w:sz w:val="20"/>
        </w:rPr>
        <w:t> </w:t>
      </w:r>
      <w:r>
        <w:rPr>
          <w:color w:val="505050"/>
          <w:sz w:val="20"/>
        </w:rPr>
        <w:t>60.2 </w:t>
      </w:r>
      <w:r>
        <w:rPr>
          <w:sz w:val="20"/>
        </w:rPr>
        <w:t>mostra</w:t>
      </w:r>
      <w:r>
        <w:rPr>
          <w:spacing w:val="-1"/>
          <w:sz w:val="20"/>
        </w:rPr>
        <w:t> </w:t>
      </w:r>
      <w:r>
        <w:rPr>
          <w:sz w:val="20"/>
        </w:rPr>
        <w:t>as principais variantes genéticas relacionadas com a</w:t>
      </w:r>
      <w:r>
        <w:rPr>
          <w:spacing w:val="-1"/>
          <w:sz w:val="20"/>
        </w:rPr>
        <w:t> </w:t>
      </w:r>
      <w:r>
        <w:rPr>
          <w:sz w:val="20"/>
        </w:rPr>
        <w:t>aterosclerose</w:t>
      </w:r>
      <w:r>
        <w:rPr>
          <w:spacing w:val="-1"/>
          <w:sz w:val="20"/>
        </w:rPr>
        <w:t> </w:t>
      </w:r>
      <w:r>
        <w:rPr>
          <w:sz w:val="20"/>
        </w:rPr>
        <w:t>com base</w:t>
      </w:r>
      <w:r>
        <w:rPr>
          <w:spacing w:val="-1"/>
          <w:sz w:val="20"/>
        </w:rPr>
        <w:t> </w:t>
      </w:r>
      <w:r>
        <w:rPr>
          <w:sz w:val="20"/>
        </w:rPr>
        <w:t>em dados de metanálises. Algumas destas ocorrem em regiões não codificadoras, ou seja, não são funcionais. A melhor associação encontrada foi para a Apo E, alelo E4. O valor preditivo dessas variantes no risco de doenças cardiovasculares está bem abaixo da estimativa</w:t>
      </w:r>
      <w:r>
        <w:rPr>
          <w:spacing w:val="11"/>
          <w:sz w:val="20"/>
        </w:rPr>
        <w:t> </w:t>
      </w:r>
      <w:r>
        <w:rPr>
          <w:sz w:val="20"/>
        </w:rPr>
        <w:t>inicial</w:t>
      </w:r>
      <w:r>
        <w:rPr>
          <w:spacing w:val="15"/>
          <w:sz w:val="20"/>
        </w:rPr>
        <w:t> </w:t>
      </w:r>
      <w:r>
        <w:rPr>
          <w:sz w:val="20"/>
        </w:rPr>
        <w:t>de</w:t>
      </w:r>
      <w:r>
        <w:rPr>
          <w:spacing w:val="11"/>
          <w:sz w:val="20"/>
        </w:rPr>
        <w:t> </w:t>
      </w:r>
      <w:r>
        <w:rPr>
          <w:sz w:val="20"/>
        </w:rPr>
        <w:t>mais</w:t>
      </w:r>
      <w:r>
        <w:rPr>
          <w:spacing w:val="20"/>
          <w:sz w:val="20"/>
        </w:rPr>
        <w:t> </w:t>
      </w:r>
      <w:r>
        <w:rPr>
          <w:sz w:val="20"/>
        </w:rPr>
        <w:t>de</w:t>
      </w:r>
      <w:r>
        <w:rPr>
          <w:spacing w:val="11"/>
          <w:sz w:val="20"/>
        </w:rPr>
        <w:t> </w:t>
      </w:r>
      <w:r>
        <w:rPr>
          <w:sz w:val="20"/>
        </w:rPr>
        <w:t>3</w:t>
      </w:r>
      <w:r>
        <w:rPr>
          <w:spacing w:val="12"/>
          <w:sz w:val="20"/>
        </w:rPr>
        <w:t> </w:t>
      </w:r>
      <w:r>
        <w:rPr>
          <w:sz w:val="20"/>
        </w:rPr>
        <w:t>vezes,</w:t>
      </w:r>
      <w:r>
        <w:rPr>
          <w:spacing w:val="20"/>
          <w:sz w:val="20"/>
        </w:rPr>
        <w:t> </w:t>
      </w:r>
      <w:r>
        <w:rPr>
          <w:sz w:val="20"/>
        </w:rPr>
        <w:t>demonstrada</w:t>
      </w:r>
      <w:r>
        <w:rPr>
          <w:spacing w:val="11"/>
          <w:sz w:val="20"/>
        </w:rPr>
        <w:t> </w:t>
      </w:r>
      <w:r>
        <w:rPr>
          <w:sz w:val="20"/>
        </w:rPr>
        <w:t>em</w:t>
      </w:r>
      <w:r>
        <w:rPr>
          <w:spacing w:val="12"/>
          <w:sz w:val="20"/>
        </w:rPr>
        <w:t> </w:t>
      </w:r>
      <w:r>
        <w:rPr>
          <w:sz w:val="20"/>
        </w:rPr>
        <w:t>alguns</w:t>
      </w:r>
      <w:r>
        <w:rPr>
          <w:spacing w:val="20"/>
          <w:sz w:val="20"/>
        </w:rPr>
        <w:t> </w:t>
      </w:r>
      <w:r>
        <w:rPr>
          <w:sz w:val="20"/>
        </w:rPr>
        <w:t>subgrupos,</w:t>
      </w:r>
      <w:r>
        <w:rPr>
          <w:spacing w:val="20"/>
          <w:sz w:val="20"/>
        </w:rPr>
        <w:t> </w:t>
      </w:r>
      <w:r>
        <w:rPr>
          <w:sz w:val="20"/>
        </w:rPr>
        <w:t>o</w:t>
      </w:r>
      <w:r>
        <w:rPr>
          <w:spacing w:val="12"/>
          <w:sz w:val="20"/>
        </w:rPr>
        <w:t> </w:t>
      </w:r>
      <w:r>
        <w:rPr>
          <w:sz w:val="20"/>
        </w:rPr>
        <w:t>que</w:t>
      </w:r>
      <w:r>
        <w:rPr>
          <w:spacing w:val="11"/>
          <w:sz w:val="20"/>
        </w:rPr>
        <w:t> </w:t>
      </w:r>
      <w:r>
        <w:rPr>
          <w:sz w:val="20"/>
        </w:rPr>
        <w:t>provocou</w:t>
      </w:r>
      <w:r>
        <w:rPr>
          <w:spacing w:val="12"/>
          <w:sz w:val="20"/>
        </w:rPr>
        <w:t> </w:t>
      </w:r>
      <w:r>
        <w:rPr>
          <w:sz w:val="20"/>
        </w:rPr>
        <w:t>grande</w:t>
      </w:r>
      <w:r>
        <w:rPr>
          <w:spacing w:val="11"/>
          <w:sz w:val="20"/>
        </w:rPr>
        <w:t> </w:t>
      </w:r>
      <w:r>
        <w:rPr>
          <w:sz w:val="20"/>
        </w:rPr>
        <w:t>interesse</w:t>
      </w:r>
      <w:r>
        <w:rPr>
          <w:spacing w:val="11"/>
          <w:sz w:val="20"/>
        </w:rPr>
        <w:t> </w:t>
      </w:r>
      <w:r>
        <w:rPr>
          <w:sz w:val="20"/>
        </w:rPr>
        <w:t>no</w:t>
      </w:r>
      <w:r>
        <w:rPr>
          <w:spacing w:val="12"/>
          <w:sz w:val="20"/>
        </w:rPr>
        <w:t> </w:t>
      </w:r>
      <w:r>
        <w:rPr>
          <w:sz w:val="20"/>
        </w:rPr>
        <w:t>seu</w:t>
      </w:r>
      <w:r>
        <w:rPr>
          <w:spacing w:val="12"/>
          <w:sz w:val="20"/>
        </w:rPr>
        <w:t> </w:t>
      </w:r>
      <w:r>
        <w:rPr>
          <w:sz w:val="20"/>
        </w:rPr>
        <w:t>estudo,</w:t>
      </w:r>
      <w:r>
        <w:rPr>
          <w:spacing w:val="20"/>
          <w:sz w:val="20"/>
        </w:rPr>
        <w:t> </w:t>
      </w:r>
      <w:r>
        <w:rPr>
          <w:sz w:val="20"/>
        </w:rPr>
        <w:t>contudo</w:t>
      </w:r>
    </w:p>
    <w:p>
      <w:pPr>
        <w:spacing w:after="0" w:line="276" w:lineRule="auto"/>
        <w:jc w:val="both"/>
        <w:rPr>
          <w:sz w:val="20"/>
        </w:rPr>
        <w:sectPr>
          <w:pgSz w:w="11900" w:h="16840"/>
          <w:pgMar w:top="220" w:bottom="0" w:left="566" w:right="141"/>
        </w:sectPr>
      </w:pPr>
    </w:p>
    <w:p>
      <w:pPr>
        <w:spacing w:line="290" w:lineRule="auto" w:before="72"/>
        <w:ind w:left="52" w:right="486" w:firstLine="0"/>
        <w:jc w:val="both"/>
        <w:rPr>
          <w:sz w:val="20"/>
        </w:rPr>
      </w:pPr>
      <w:r>
        <w:rPr>
          <w:sz w:val="20"/>
        </w:rPr>
        <w:t>muito</w:t>
      </w:r>
      <w:r>
        <w:rPr>
          <w:spacing w:val="-4"/>
          <w:sz w:val="20"/>
        </w:rPr>
        <w:t> </w:t>
      </w:r>
      <w:r>
        <w:rPr>
          <w:sz w:val="20"/>
        </w:rPr>
        <w:t>mais de</w:t>
      </w:r>
      <w:r>
        <w:rPr>
          <w:spacing w:val="-6"/>
          <w:sz w:val="20"/>
        </w:rPr>
        <w:t> </w:t>
      </w:r>
      <w:r>
        <w:rPr>
          <w:sz w:val="20"/>
        </w:rPr>
        <w:t>acordo</w:t>
      </w:r>
      <w:r>
        <w:rPr>
          <w:spacing w:val="-4"/>
          <w:sz w:val="20"/>
        </w:rPr>
        <w:t> </w:t>
      </w:r>
      <w:r>
        <w:rPr>
          <w:sz w:val="20"/>
        </w:rPr>
        <w:t>com</w:t>
      </w:r>
      <w:r>
        <w:rPr>
          <w:spacing w:val="-4"/>
          <w:sz w:val="20"/>
        </w:rPr>
        <w:t> </w:t>
      </w:r>
      <w:r>
        <w:rPr>
          <w:sz w:val="20"/>
        </w:rPr>
        <w:t>as estimativas a</w:t>
      </w:r>
      <w:r>
        <w:rPr>
          <w:spacing w:val="-6"/>
          <w:sz w:val="20"/>
        </w:rPr>
        <w:t> </w:t>
      </w:r>
      <w:r>
        <w:rPr>
          <w:sz w:val="20"/>
        </w:rPr>
        <w:t>partir de</w:t>
      </w:r>
      <w:r>
        <w:rPr>
          <w:spacing w:val="-6"/>
          <w:sz w:val="20"/>
        </w:rPr>
        <w:t> </w:t>
      </w:r>
      <w:r>
        <w:rPr>
          <w:sz w:val="20"/>
        </w:rPr>
        <w:t>publicações de</w:t>
      </w:r>
      <w:r>
        <w:rPr>
          <w:spacing w:val="-6"/>
          <w:sz w:val="20"/>
        </w:rPr>
        <w:t> </w:t>
      </w:r>
      <w:r>
        <w:rPr>
          <w:sz w:val="20"/>
        </w:rPr>
        <w:t>estudos maiores. No</w:t>
      </w:r>
      <w:r>
        <w:rPr>
          <w:spacing w:val="-4"/>
          <w:sz w:val="20"/>
        </w:rPr>
        <w:t> </w:t>
      </w:r>
      <w:r>
        <w:rPr>
          <w:sz w:val="20"/>
        </w:rPr>
        <w:t>entanto, ainda</w:t>
      </w:r>
      <w:r>
        <w:rPr>
          <w:spacing w:val="-6"/>
          <w:sz w:val="20"/>
        </w:rPr>
        <w:t> </w:t>
      </w:r>
      <w:r>
        <w:rPr>
          <w:sz w:val="20"/>
        </w:rPr>
        <w:t>não</w:t>
      </w:r>
      <w:r>
        <w:rPr>
          <w:spacing w:val="-4"/>
          <w:sz w:val="20"/>
        </w:rPr>
        <w:t> </w:t>
      </w:r>
      <w:r>
        <w:rPr>
          <w:sz w:val="20"/>
        </w:rPr>
        <w:t>está</w:t>
      </w:r>
      <w:r>
        <w:rPr>
          <w:spacing w:val="-6"/>
          <w:sz w:val="20"/>
        </w:rPr>
        <w:t> </w:t>
      </w:r>
      <w:r>
        <w:rPr>
          <w:sz w:val="20"/>
        </w:rPr>
        <w:t>estabelecido</w:t>
      </w:r>
      <w:r>
        <w:rPr>
          <w:spacing w:val="-4"/>
          <w:sz w:val="20"/>
        </w:rPr>
        <w:t> </w:t>
      </w:r>
      <w:r>
        <w:rPr>
          <w:sz w:val="20"/>
        </w:rPr>
        <w:t>se</w:t>
      </w:r>
      <w:r>
        <w:rPr>
          <w:spacing w:val="-6"/>
          <w:sz w:val="20"/>
        </w:rPr>
        <w:t> </w:t>
      </w:r>
      <w:r>
        <w:rPr>
          <w:sz w:val="20"/>
        </w:rPr>
        <w:t>esses valores estão acima da predição com base nos fatores de risco clássicos.</w:t>
      </w:r>
      <w:r>
        <w:rPr>
          <w:sz w:val="20"/>
          <w:vertAlign w:val="superscript"/>
        </w:rPr>
        <w:t>25</w:t>
      </w:r>
    </w:p>
    <w:p>
      <w:pPr>
        <w:spacing w:line="276" w:lineRule="auto" w:before="36"/>
        <w:ind w:left="52" w:right="475" w:firstLine="300"/>
        <w:jc w:val="both"/>
        <w:rPr>
          <w:sz w:val="20"/>
        </w:rPr>
      </w:pPr>
      <w:r>
        <w:rPr>
          <w:sz w:val="20"/>
        </w:rPr>
        <w:t>Diferentemente dos defeitos genéticos que causam raras e graves doenças monogênicas, fatores genéticos que modulam a suscetibilidade</w:t>
      </w:r>
      <w:r>
        <w:rPr>
          <w:spacing w:val="-13"/>
          <w:sz w:val="20"/>
        </w:rPr>
        <w:t> </w:t>
      </w:r>
      <w:r>
        <w:rPr>
          <w:sz w:val="20"/>
        </w:rPr>
        <w:t>individual</w:t>
      </w:r>
      <w:r>
        <w:rPr>
          <w:spacing w:val="-12"/>
          <w:sz w:val="20"/>
        </w:rPr>
        <w:t> </w:t>
      </w:r>
      <w:r>
        <w:rPr>
          <w:sz w:val="20"/>
        </w:rPr>
        <w:t>nas</w:t>
      </w:r>
      <w:r>
        <w:rPr>
          <w:spacing w:val="-6"/>
          <w:sz w:val="20"/>
        </w:rPr>
        <w:t> </w:t>
      </w:r>
      <w:r>
        <w:rPr>
          <w:sz w:val="20"/>
        </w:rPr>
        <w:t>doenças</w:t>
      </w:r>
      <w:r>
        <w:rPr>
          <w:spacing w:val="-6"/>
          <w:sz w:val="20"/>
        </w:rPr>
        <w:t> </w:t>
      </w:r>
      <w:r>
        <w:rPr>
          <w:sz w:val="20"/>
        </w:rPr>
        <w:t>multifatoriais,</w:t>
      </w:r>
      <w:r>
        <w:rPr>
          <w:spacing w:val="-6"/>
          <w:sz w:val="20"/>
        </w:rPr>
        <w:t> </w:t>
      </w:r>
      <w:r>
        <w:rPr>
          <w:sz w:val="20"/>
        </w:rPr>
        <w:t>como</w:t>
      </w:r>
      <w:r>
        <w:rPr>
          <w:spacing w:val="-12"/>
          <w:sz w:val="20"/>
        </w:rPr>
        <w:t> </w:t>
      </w:r>
      <w:r>
        <w:rPr>
          <w:sz w:val="20"/>
        </w:rPr>
        <w:t>na</w:t>
      </w:r>
      <w:r>
        <w:rPr>
          <w:spacing w:val="-13"/>
          <w:sz w:val="20"/>
        </w:rPr>
        <w:t> </w:t>
      </w:r>
      <w:r>
        <w:rPr>
          <w:sz w:val="20"/>
        </w:rPr>
        <w:t>doença</w:t>
      </w:r>
      <w:r>
        <w:rPr>
          <w:spacing w:val="-12"/>
          <w:sz w:val="20"/>
        </w:rPr>
        <w:t> </w:t>
      </w:r>
      <w:r>
        <w:rPr>
          <w:sz w:val="20"/>
        </w:rPr>
        <w:t>aterosclerótica,</w:t>
      </w:r>
      <w:r>
        <w:rPr>
          <w:spacing w:val="-6"/>
          <w:sz w:val="20"/>
        </w:rPr>
        <w:t> </w:t>
      </w:r>
      <w:r>
        <w:rPr>
          <w:sz w:val="20"/>
        </w:rPr>
        <w:t>são</w:t>
      </w:r>
      <w:r>
        <w:rPr>
          <w:spacing w:val="-12"/>
          <w:sz w:val="20"/>
        </w:rPr>
        <w:t> </w:t>
      </w:r>
      <w:r>
        <w:rPr>
          <w:sz w:val="20"/>
        </w:rPr>
        <w:t>formas</w:t>
      </w:r>
      <w:r>
        <w:rPr>
          <w:spacing w:val="-6"/>
          <w:sz w:val="20"/>
        </w:rPr>
        <w:t> </w:t>
      </w:r>
      <w:r>
        <w:rPr>
          <w:sz w:val="20"/>
        </w:rPr>
        <w:t>comuns,</w:t>
      </w:r>
      <w:r>
        <w:rPr>
          <w:spacing w:val="-6"/>
          <w:sz w:val="20"/>
        </w:rPr>
        <w:t> </w:t>
      </w:r>
      <w:r>
        <w:rPr>
          <w:sz w:val="20"/>
        </w:rPr>
        <w:t>funcionalmente</w:t>
      </w:r>
      <w:r>
        <w:rPr>
          <w:spacing w:val="-13"/>
          <w:sz w:val="20"/>
        </w:rPr>
        <w:t> </w:t>
      </w:r>
      <w:r>
        <w:rPr>
          <w:sz w:val="20"/>
        </w:rPr>
        <w:t>distintas</w:t>
      </w:r>
      <w:r>
        <w:rPr>
          <w:spacing w:val="-5"/>
          <w:sz w:val="20"/>
        </w:rPr>
        <w:t> </w:t>
      </w:r>
      <w:r>
        <w:rPr>
          <w:sz w:val="20"/>
        </w:rPr>
        <w:t>de genes (polimorfismos), que</w:t>
      </w:r>
      <w:r>
        <w:rPr>
          <w:spacing w:val="-2"/>
          <w:sz w:val="20"/>
        </w:rPr>
        <w:t> </w:t>
      </w:r>
      <w:r>
        <w:rPr>
          <w:sz w:val="20"/>
        </w:rPr>
        <w:t>geralmente</w:t>
      </w:r>
      <w:r>
        <w:rPr>
          <w:spacing w:val="-2"/>
          <w:sz w:val="20"/>
        </w:rPr>
        <w:t> </w:t>
      </w:r>
      <w:r>
        <w:rPr>
          <w:sz w:val="20"/>
        </w:rPr>
        <w:t>têm um modesto efeito em nível individual, mas por sua</w:t>
      </w:r>
      <w:r>
        <w:rPr>
          <w:spacing w:val="-2"/>
          <w:sz w:val="20"/>
        </w:rPr>
        <w:t> </w:t>
      </w:r>
      <w:r>
        <w:rPr>
          <w:sz w:val="20"/>
        </w:rPr>
        <w:t>alta</w:t>
      </w:r>
      <w:r>
        <w:rPr>
          <w:spacing w:val="-2"/>
          <w:sz w:val="20"/>
        </w:rPr>
        <w:t> </w:t>
      </w:r>
      <w:r>
        <w:rPr>
          <w:sz w:val="20"/>
        </w:rPr>
        <w:t>frequência</w:t>
      </w:r>
      <w:r>
        <w:rPr>
          <w:spacing w:val="-2"/>
          <w:sz w:val="20"/>
        </w:rPr>
        <w:t> </w:t>
      </w:r>
      <w:r>
        <w:rPr>
          <w:sz w:val="20"/>
        </w:rPr>
        <w:t>populacional podem se</w:t>
      </w:r>
      <w:r>
        <w:rPr>
          <w:spacing w:val="-3"/>
          <w:sz w:val="20"/>
        </w:rPr>
        <w:t> </w:t>
      </w:r>
      <w:r>
        <w:rPr>
          <w:sz w:val="20"/>
        </w:rPr>
        <w:t>associar a</w:t>
      </w:r>
      <w:r>
        <w:rPr>
          <w:spacing w:val="-3"/>
          <w:sz w:val="20"/>
        </w:rPr>
        <w:t> </w:t>
      </w:r>
      <w:r>
        <w:rPr>
          <w:sz w:val="20"/>
        </w:rPr>
        <w:t>um</w:t>
      </w:r>
      <w:r>
        <w:rPr>
          <w:spacing w:val="-2"/>
          <w:sz w:val="20"/>
        </w:rPr>
        <w:t> </w:t>
      </w:r>
      <w:r>
        <w:rPr>
          <w:sz w:val="20"/>
        </w:rPr>
        <w:t>maior risco</w:t>
      </w:r>
      <w:r>
        <w:rPr>
          <w:spacing w:val="-2"/>
          <w:sz w:val="20"/>
        </w:rPr>
        <w:t> </w:t>
      </w:r>
      <w:r>
        <w:rPr>
          <w:sz w:val="20"/>
        </w:rPr>
        <w:t>atribuível. Fatores ambientais podem</w:t>
      </w:r>
      <w:r>
        <w:rPr>
          <w:spacing w:val="-2"/>
          <w:sz w:val="20"/>
        </w:rPr>
        <w:t> </w:t>
      </w:r>
      <w:r>
        <w:rPr>
          <w:sz w:val="20"/>
        </w:rPr>
        <w:t>facilitar a</w:t>
      </w:r>
      <w:r>
        <w:rPr>
          <w:spacing w:val="-3"/>
          <w:sz w:val="20"/>
        </w:rPr>
        <w:t> </w:t>
      </w:r>
      <w:r>
        <w:rPr>
          <w:sz w:val="20"/>
        </w:rPr>
        <w:t>expressão</w:t>
      </w:r>
      <w:r>
        <w:rPr>
          <w:spacing w:val="-2"/>
          <w:sz w:val="20"/>
        </w:rPr>
        <w:t> </w:t>
      </w:r>
      <w:r>
        <w:rPr>
          <w:sz w:val="20"/>
        </w:rPr>
        <w:t>fenotípica</w:t>
      </w:r>
      <w:r>
        <w:rPr>
          <w:spacing w:val="-3"/>
          <w:sz w:val="20"/>
        </w:rPr>
        <w:t> </w:t>
      </w:r>
      <w:r>
        <w:rPr>
          <w:sz w:val="20"/>
        </w:rPr>
        <w:t>desses genes candidatos e, de</w:t>
      </w:r>
      <w:r>
        <w:rPr>
          <w:spacing w:val="-3"/>
          <w:sz w:val="20"/>
        </w:rPr>
        <w:t> </w:t>
      </w:r>
      <w:r>
        <w:rPr>
          <w:sz w:val="20"/>
        </w:rPr>
        <w:t>fato, nas doenças complexas, os efeitos de</w:t>
      </w:r>
      <w:r>
        <w:rPr>
          <w:spacing w:val="-5"/>
          <w:sz w:val="20"/>
        </w:rPr>
        <w:t> </w:t>
      </w:r>
      <w:r>
        <w:rPr>
          <w:sz w:val="20"/>
        </w:rPr>
        <w:t>genes podem</w:t>
      </w:r>
      <w:r>
        <w:rPr>
          <w:spacing w:val="-2"/>
          <w:sz w:val="20"/>
        </w:rPr>
        <w:t> </w:t>
      </w:r>
      <w:r>
        <w:rPr>
          <w:sz w:val="20"/>
        </w:rPr>
        <w:t>ser revelados ou</w:t>
      </w:r>
      <w:r>
        <w:rPr>
          <w:spacing w:val="-2"/>
          <w:sz w:val="20"/>
        </w:rPr>
        <w:t> </w:t>
      </w:r>
      <w:r>
        <w:rPr>
          <w:sz w:val="20"/>
        </w:rPr>
        <w:t>amplificados na</w:t>
      </w:r>
      <w:r>
        <w:rPr>
          <w:spacing w:val="-5"/>
          <w:sz w:val="20"/>
        </w:rPr>
        <w:t> </w:t>
      </w:r>
      <w:r>
        <w:rPr>
          <w:sz w:val="20"/>
        </w:rPr>
        <w:t>presença</w:t>
      </w:r>
      <w:r>
        <w:rPr>
          <w:spacing w:val="-5"/>
          <w:sz w:val="20"/>
        </w:rPr>
        <w:t> </w:t>
      </w:r>
      <w:r>
        <w:rPr>
          <w:sz w:val="20"/>
        </w:rPr>
        <w:t>de</w:t>
      </w:r>
      <w:r>
        <w:rPr>
          <w:spacing w:val="-5"/>
          <w:sz w:val="20"/>
        </w:rPr>
        <w:t> </w:t>
      </w:r>
      <w:r>
        <w:rPr>
          <w:sz w:val="20"/>
        </w:rPr>
        <w:t>certos gatilhos. Um</w:t>
      </w:r>
      <w:r>
        <w:rPr>
          <w:spacing w:val="-2"/>
          <w:sz w:val="20"/>
        </w:rPr>
        <w:t> </w:t>
      </w:r>
      <w:r>
        <w:rPr>
          <w:sz w:val="20"/>
        </w:rPr>
        <w:t>amplo</w:t>
      </w:r>
      <w:r>
        <w:rPr>
          <w:spacing w:val="-2"/>
          <w:sz w:val="20"/>
        </w:rPr>
        <w:t> </w:t>
      </w:r>
      <w:r>
        <w:rPr>
          <w:sz w:val="20"/>
        </w:rPr>
        <w:t>espectro de</w:t>
      </w:r>
      <w:r>
        <w:rPr>
          <w:spacing w:val="-12"/>
          <w:sz w:val="20"/>
        </w:rPr>
        <w:t> </w:t>
      </w:r>
      <w:r>
        <w:rPr>
          <w:sz w:val="20"/>
        </w:rPr>
        <w:t>evidências</w:t>
      </w:r>
      <w:r>
        <w:rPr>
          <w:spacing w:val="-4"/>
          <w:sz w:val="20"/>
        </w:rPr>
        <w:t> </w:t>
      </w:r>
      <w:r>
        <w:rPr>
          <w:sz w:val="20"/>
        </w:rPr>
        <w:t>tem</w:t>
      </w:r>
      <w:r>
        <w:rPr>
          <w:spacing w:val="-10"/>
          <w:sz w:val="20"/>
        </w:rPr>
        <w:t> </w:t>
      </w:r>
      <w:r>
        <w:rPr>
          <w:sz w:val="20"/>
        </w:rPr>
        <w:t>demonstrado</w:t>
      </w:r>
      <w:r>
        <w:rPr>
          <w:spacing w:val="-10"/>
          <w:sz w:val="20"/>
        </w:rPr>
        <w:t> </w:t>
      </w:r>
      <w:r>
        <w:rPr>
          <w:sz w:val="20"/>
        </w:rPr>
        <w:t>que</w:t>
      </w:r>
      <w:r>
        <w:rPr>
          <w:spacing w:val="-12"/>
          <w:sz w:val="20"/>
        </w:rPr>
        <w:t> </w:t>
      </w:r>
      <w:r>
        <w:rPr>
          <w:sz w:val="20"/>
        </w:rPr>
        <w:t>a</w:t>
      </w:r>
      <w:r>
        <w:rPr>
          <w:spacing w:val="-12"/>
          <w:sz w:val="20"/>
        </w:rPr>
        <w:t> </w:t>
      </w:r>
      <w:r>
        <w:rPr>
          <w:sz w:val="20"/>
        </w:rPr>
        <w:t>maior</w:t>
      </w:r>
      <w:r>
        <w:rPr>
          <w:spacing w:val="-6"/>
          <w:sz w:val="20"/>
        </w:rPr>
        <w:t> </w:t>
      </w:r>
      <w:r>
        <w:rPr>
          <w:sz w:val="20"/>
        </w:rPr>
        <w:t>parte</w:t>
      </w:r>
      <w:r>
        <w:rPr>
          <w:spacing w:val="-12"/>
          <w:sz w:val="20"/>
        </w:rPr>
        <w:t> </w:t>
      </w:r>
      <w:r>
        <w:rPr>
          <w:sz w:val="20"/>
        </w:rPr>
        <w:t>dos</w:t>
      </w:r>
      <w:r>
        <w:rPr>
          <w:spacing w:val="-4"/>
          <w:sz w:val="20"/>
        </w:rPr>
        <w:t> </w:t>
      </w:r>
      <w:r>
        <w:rPr>
          <w:sz w:val="20"/>
        </w:rPr>
        <w:t>genes</w:t>
      </w:r>
      <w:r>
        <w:rPr>
          <w:spacing w:val="-4"/>
          <w:sz w:val="20"/>
        </w:rPr>
        <w:t> </w:t>
      </w:r>
      <w:r>
        <w:rPr>
          <w:sz w:val="20"/>
        </w:rPr>
        <w:t>candidatos</w:t>
      </w:r>
      <w:r>
        <w:rPr>
          <w:spacing w:val="-4"/>
          <w:sz w:val="20"/>
        </w:rPr>
        <w:t> </w:t>
      </w:r>
      <w:r>
        <w:rPr>
          <w:sz w:val="20"/>
        </w:rPr>
        <w:t>às</w:t>
      </w:r>
      <w:r>
        <w:rPr>
          <w:spacing w:val="-4"/>
          <w:sz w:val="20"/>
        </w:rPr>
        <w:t> </w:t>
      </w:r>
      <w:r>
        <w:rPr>
          <w:sz w:val="20"/>
        </w:rPr>
        <w:t>doenças</w:t>
      </w:r>
      <w:r>
        <w:rPr>
          <w:spacing w:val="-4"/>
          <w:sz w:val="20"/>
        </w:rPr>
        <w:t> </w:t>
      </w:r>
      <w:r>
        <w:rPr>
          <w:sz w:val="20"/>
        </w:rPr>
        <w:t>complexas</w:t>
      </w:r>
      <w:r>
        <w:rPr>
          <w:spacing w:val="-4"/>
          <w:sz w:val="20"/>
        </w:rPr>
        <w:t> </w:t>
      </w:r>
      <w:r>
        <w:rPr>
          <w:sz w:val="20"/>
        </w:rPr>
        <w:t>não</w:t>
      </w:r>
      <w:r>
        <w:rPr>
          <w:spacing w:val="-10"/>
          <w:sz w:val="20"/>
        </w:rPr>
        <w:t> </w:t>
      </w:r>
      <w:r>
        <w:rPr>
          <w:sz w:val="20"/>
        </w:rPr>
        <w:t>desempenha</w:t>
      </w:r>
      <w:r>
        <w:rPr>
          <w:spacing w:val="-12"/>
          <w:sz w:val="20"/>
        </w:rPr>
        <w:t> </w:t>
      </w:r>
      <w:r>
        <w:rPr>
          <w:sz w:val="20"/>
        </w:rPr>
        <w:t>um</w:t>
      </w:r>
      <w:r>
        <w:rPr>
          <w:spacing w:val="-10"/>
          <w:sz w:val="20"/>
        </w:rPr>
        <w:t> </w:t>
      </w:r>
      <w:r>
        <w:rPr>
          <w:sz w:val="20"/>
        </w:rPr>
        <w:t>papel</w:t>
      </w:r>
      <w:r>
        <w:rPr>
          <w:spacing w:val="-8"/>
          <w:sz w:val="20"/>
        </w:rPr>
        <w:t> </w:t>
      </w:r>
      <w:r>
        <w:rPr>
          <w:sz w:val="20"/>
        </w:rPr>
        <w:t>etiológico</w:t>
      </w:r>
      <w:r>
        <w:rPr>
          <w:spacing w:val="-10"/>
          <w:sz w:val="20"/>
        </w:rPr>
        <w:t> </w:t>
      </w:r>
      <w:r>
        <w:rPr>
          <w:sz w:val="20"/>
        </w:rPr>
        <w:t>na predisposição à doença, mas atua como um modificador na resposta a fatores exógenos. Um melhor conhecimento das interações entre</w:t>
      </w:r>
      <w:r>
        <w:rPr>
          <w:spacing w:val="-4"/>
          <w:sz w:val="20"/>
        </w:rPr>
        <w:t> </w:t>
      </w:r>
      <w:r>
        <w:rPr>
          <w:sz w:val="20"/>
        </w:rPr>
        <w:t>fatores genéticos e</w:t>
      </w:r>
      <w:r>
        <w:rPr>
          <w:spacing w:val="-4"/>
          <w:sz w:val="20"/>
        </w:rPr>
        <w:t> </w:t>
      </w:r>
      <w:r>
        <w:rPr>
          <w:sz w:val="20"/>
        </w:rPr>
        <w:t>ambientais constitui a</w:t>
      </w:r>
      <w:r>
        <w:rPr>
          <w:spacing w:val="-4"/>
          <w:sz w:val="20"/>
        </w:rPr>
        <w:t> </w:t>
      </w:r>
      <w:r>
        <w:rPr>
          <w:sz w:val="20"/>
        </w:rPr>
        <w:t>chave</w:t>
      </w:r>
      <w:r>
        <w:rPr>
          <w:spacing w:val="-4"/>
          <w:sz w:val="20"/>
        </w:rPr>
        <w:t> </w:t>
      </w:r>
      <w:r>
        <w:rPr>
          <w:sz w:val="20"/>
        </w:rPr>
        <w:t>para</w:t>
      </w:r>
      <w:r>
        <w:rPr>
          <w:spacing w:val="-4"/>
          <w:sz w:val="20"/>
        </w:rPr>
        <w:t> </w:t>
      </w:r>
      <w:r>
        <w:rPr>
          <w:sz w:val="20"/>
        </w:rPr>
        <w:t>o</w:t>
      </w:r>
      <w:r>
        <w:rPr>
          <w:spacing w:val="-2"/>
          <w:sz w:val="20"/>
        </w:rPr>
        <w:t> </w:t>
      </w:r>
      <w:r>
        <w:rPr>
          <w:sz w:val="20"/>
        </w:rPr>
        <w:t>entendimento</w:t>
      </w:r>
      <w:r>
        <w:rPr>
          <w:spacing w:val="-2"/>
          <w:sz w:val="20"/>
        </w:rPr>
        <w:t> </w:t>
      </w:r>
      <w:r>
        <w:rPr>
          <w:sz w:val="20"/>
        </w:rPr>
        <w:t>da</w:t>
      </w:r>
      <w:r>
        <w:rPr>
          <w:spacing w:val="-4"/>
          <w:sz w:val="20"/>
        </w:rPr>
        <w:t> </w:t>
      </w:r>
      <w:r>
        <w:rPr>
          <w:sz w:val="20"/>
        </w:rPr>
        <w:t>patogênese</w:t>
      </w:r>
      <w:r>
        <w:rPr>
          <w:spacing w:val="-4"/>
          <w:sz w:val="20"/>
        </w:rPr>
        <w:t> </w:t>
      </w:r>
      <w:r>
        <w:rPr>
          <w:sz w:val="20"/>
        </w:rPr>
        <w:t>da</w:t>
      </w:r>
      <w:r>
        <w:rPr>
          <w:spacing w:val="-4"/>
          <w:sz w:val="20"/>
        </w:rPr>
        <w:t> </w:t>
      </w:r>
      <w:r>
        <w:rPr>
          <w:sz w:val="20"/>
        </w:rPr>
        <w:t>doença</w:t>
      </w:r>
      <w:r>
        <w:rPr>
          <w:spacing w:val="-4"/>
          <w:sz w:val="20"/>
        </w:rPr>
        <w:t> </w:t>
      </w:r>
      <w:r>
        <w:rPr>
          <w:sz w:val="20"/>
        </w:rPr>
        <w:t>no</w:t>
      </w:r>
      <w:r>
        <w:rPr>
          <w:spacing w:val="-2"/>
          <w:sz w:val="20"/>
        </w:rPr>
        <w:t> </w:t>
      </w:r>
      <w:r>
        <w:rPr>
          <w:sz w:val="20"/>
        </w:rPr>
        <w:t>campo</w:t>
      </w:r>
      <w:r>
        <w:rPr>
          <w:spacing w:val="-2"/>
          <w:sz w:val="20"/>
        </w:rPr>
        <w:t> </w:t>
      </w:r>
      <w:r>
        <w:rPr>
          <w:sz w:val="20"/>
        </w:rPr>
        <w:t>da</w:t>
      </w:r>
      <w:r>
        <w:rPr>
          <w:spacing w:val="-4"/>
          <w:sz w:val="20"/>
        </w:rPr>
        <w:t> </w:t>
      </w:r>
      <w:r>
        <w:rPr>
          <w:sz w:val="20"/>
        </w:rPr>
        <w:t>aterosclerose.</w:t>
      </w:r>
    </w:p>
    <w:p>
      <w:pPr>
        <w:pStyle w:val="BodyText"/>
        <w:spacing w:before="9"/>
        <w:ind w:left="0" w:firstLine="0"/>
        <w:jc w:val="left"/>
        <w:rPr>
          <w:sz w:val="17"/>
        </w:rPr>
      </w:pPr>
      <w:r>
        <w:rPr>
          <w:sz w:val="17"/>
        </w:rPr>
        <w:drawing>
          <wp:anchor distT="0" distB="0" distL="0" distR="0" allowOverlap="1" layoutInCell="1" locked="0" behindDoc="1" simplePos="0" relativeHeight="487639552">
            <wp:simplePos x="0" y="0"/>
            <wp:positionH relativeFrom="page">
              <wp:posOffset>866965</wp:posOffset>
            </wp:positionH>
            <wp:positionV relativeFrom="paragraph">
              <wp:posOffset>145673</wp:posOffset>
            </wp:positionV>
            <wp:extent cx="5837575" cy="2932080"/>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88" cstate="print"/>
                    <a:stretch>
                      <a:fillRect/>
                    </a:stretch>
                  </pic:blipFill>
                  <pic:spPr>
                    <a:xfrm>
                      <a:off x="0" y="0"/>
                      <a:ext cx="5837575" cy="2932080"/>
                    </a:xfrm>
                    <a:prstGeom prst="rect">
                      <a:avLst/>
                    </a:prstGeom>
                  </pic:spPr>
                </pic:pic>
              </a:graphicData>
            </a:graphic>
          </wp:anchor>
        </w:drawing>
      </w:r>
    </w:p>
    <w:p>
      <w:pPr>
        <w:pStyle w:val="BodyText"/>
        <w:spacing w:before="10"/>
        <w:ind w:left="0" w:firstLine="0"/>
        <w:jc w:val="left"/>
        <w:rPr>
          <w:sz w:val="20"/>
        </w:rPr>
      </w:pPr>
    </w:p>
    <w:p>
      <w:pPr>
        <w:spacing w:line="295" w:lineRule="auto" w:before="0"/>
        <w:ind w:left="52" w:right="480" w:firstLine="0"/>
        <w:jc w:val="both"/>
        <w:rPr>
          <w:rFonts w:ascii="Microsoft Sans Serif" w:hAnsi="Microsoft Sans Serif"/>
          <w:sz w:val="16"/>
        </w:rPr>
      </w:pPr>
      <w:r>
        <w:rPr>
          <w:rFonts w:ascii="Arial" w:hAnsi="Arial"/>
          <w:b/>
          <w:color w:val="242B67"/>
          <w:w w:val="105"/>
          <w:sz w:val="16"/>
        </w:rPr>
        <w:t>Figura 60.5 </w:t>
      </w:r>
      <w:r>
        <w:rPr>
          <w:rFonts w:ascii="Microsoft Sans Serif" w:hAnsi="Microsoft Sans Serif"/>
          <w:w w:val="105"/>
          <w:sz w:val="16"/>
        </w:rPr>
        <w:t>Razões de</w:t>
      </w:r>
      <w:r>
        <w:rPr>
          <w:rFonts w:ascii="Microsoft Sans Serif" w:hAnsi="Microsoft Sans Serif"/>
          <w:w w:val="105"/>
          <w:sz w:val="16"/>
        </w:rPr>
        <w:t> chance</w:t>
      </w:r>
      <w:r>
        <w:rPr>
          <w:rFonts w:ascii="Microsoft Sans Serif" w:hAnsi="Microsoft Sans Serif"/>
          <w:w w:val="105"/>
          <w:sz w:val="16"/>
        </w:rPr>
        <w:t> e</w:t>
      </w:r>
      <w:r>
        <w:rPr>
          <w:rFonts w:ascii="Microsoft Sans Serif" w:hAnsi="Microsoft Sans Serif"/>
          <w:w w:val="105"/>
          <w:sz w:val="16"/>
        </w:rPr>
        <w:t> intervalo</w:t>
      </w:r>
      <w:r>
        <w:rPr>
          <w:rFonts w:ascii="Microsoft Sans Serif" w:hAnsi="Microsoft Sans Serif"/>
          <w:w w:val="105"/>
          <w:sz w:val="16"/>
        </w:rPr>
        <w:t> de</w:t>
      </w:r>
      <w:r>
        <w:rPr>
          <w:rFonts w:ascii="Microsoft Sans Serif" w:hAnsi="Microsoft Sans Serif"/>
          <w:w w:val="105"/>
          <w:sz w:val="16"/>
        </w:rPr>
        <w:t> confiança</w:t>
      </w:r>
      <w:r>
        <w:rPr>
          <w:rFonts w:ascii="Microsoft Sans Serif" w:hAnsi="Microsoft Sans Serif"/>
          <w:w w:val="105"/>
          <w:sz w:val="16"/>
        </w:rPr>
        <w:t> de</w:t>
      </w:r>
      <w:r>
        <w:rPr>
          <w:rFonts w:ascii="Microsoft Sans Serif" w:hAnsi="Microsoft Sans Serif"/>
          <w:w w:val="105"/>
          <w:sz w:val="16"/>
        </w:rPr>
        <w:t> 95%</w:t>
      </w:r>
      <w:r>
        <w:rPr>
          <w:rFonts w:ascii="Microsoft Sans Serif" w:hAnsi="Microsoft Sans Serif"/>
          <w:w w:val="105"/>
          <w:sz w:val="16"/>
        </w:rPr>
        <w:t> para</w:t>
      </w:r>
      <w:r>
        <w:rPr>
          <w:rFonts w:ascii="Microsoft Sans Serif" w:hAnsi="Microsoft Sans Serif"/>
          <w:w w:val="105"/>
          <w:sz w:val="16"/>
        </w:rPr>
        <w:t> o</w:t>
      </w:r>
      <w:r>
        <w:rPr>
          <w:rFonts w:ascii="Microsoft Sans Serif" w:hAnsi="Microsoft Sans Serif"/>
          <w:w w:val="105"/>
          <w:sz w:val="16"/>
        </w:rPr>
        <w:t> infarto</w:t>
      </w:r>
      <w:r>
        <w:rPr>
          <w:rFonts w:ascii="Microsoft Sans Serif" w:hAnsi="Microsoft Sans Serif"/>
          <w:w w:val="105"/>
          <w:sz w:val="16"/>
        </w:rPr>
        <w:t> do</w:t>
      </w:r>
      <w:r>
        <w:rPr>
          <w:rFonts w:ascii="Microsoft Sans Serif" w:hAnsi="Microsoft Sans Serif"/>
          <w:w w:val="105"/>
          <w:sz w:val="16"/>
        </w:rPr>
        <w:t> miocárdio</w:t>
      </w:r>
      <w:r>
        <w:rPr>
          <w:rFonts w:ascii="Microsoft Sans Serif" w:hAnsi="Microsoft Sans Serif"/>
          <w:w w:val="105"/>
          <w:sz w:val="16"/>
        </w:rPr>
        <w:t> em pacientes com diabetes melito</w:t>
      </w:r>
      <w:r>
        <w:rPr>
          <w:rFonts w:ascii="Microsoft Sans Serif" w:hAnsi="Microsoft Sans Serif"/>
          <w:w w:val="105"/>
          <w:sz w:val="16"/>
        </w:rPr>
        <w:t> tipo</w:t>
      </w:r>
      <w:r>
        <w:rPr>
          <w:rFonts w:ascii="Microsoft Sans Serif" w:hAnsi="Microsoft Sans Serif"/>
          <w:w w:val="105"/>
          <w:sz w:val="16"/>
        </w:rPr>
        <w:t> 2, de</w:t>
      </w:r>
      <w:r>
        <w:rPr>
          <w:rFonts w:ascii="Microsoft Sans Serif" w:hAnsi="Microsoft Sans Serif"/>
          <w:spacing w:val="80"/>
          <w:w w:val="105"/>
          <w:sz w:val="16"/>
        </w:rPr>
        <w:t> </w:t>
      </w:r>
      <w:r>
        <w:rPr>
          <w:rFonts w:ascii="Microsoft Sans Serif" w:hAnsi="Microsoft Sans Serif"/>
          <w:w w:val="105"/>
          <w:sz w:val="16"/>
        </w:rPr>
        <w:t>acordo com fatores de risco. HDL = lipoproteína de alta densidade; HVE = hipertrofia ventricular esquerda; IM = infarto do miocárdio; PAS = pressão arterial sistólica.</w:t>
      </w:r>
    </w:p>
    <w:p>
      <w:pPr>
        <w:pStyle w:val="BodyText"/>
        <w:spacing w:before="3"/>
        <w:ind w:left="0" w:firstLine="0"/>
        <w:jc w:val="left"/>
        <w:rPr>
          <w:rFonts w:ascii="Microsoft Sans Serif"/>
          <w:sz w:val="18"/>
        </w:rPr>
      </w:pPr>
      <w:r>
        <w:rPr>
          <w:rFonts w:ascii="Microsoft Sans Serif"/>
          <w:sz w:val="18"/>
        </w:rPr>
        <w:drawing>
          <wp:anchor distT="0" distB="0" distL="0" distR="0" allowOverlap="1" layoutInCell="1" locked="0" behindDoc="1" simplePos="0" relativeHeight="487640064">
            <wp:simplePos x="0" y="0"/>
            <wp:positionH relativeFrom="page">
              <wp:posOffset>840459</wp:posOffset>
            </wp:positionH>
            <wp:positionV relativeFrom="paragraph">
              <wp:posOffset>146823</wp:posOffset>
            </wp:positionV>
            <wp:extent cx="5890724" cy="3623024"/>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89" cstate="print"/>
                    <a:stretch>
                      <a:fillRect/>
                    </a:stretch>
                  </pic:blipFill>
                  <pic:spPr>
                    <a:xfrm>
                      <a:off x="0" y="0"/>
                      <a:ext cx="5890724" cy="3623024"/>
                    </a:xfrm>
                    <a:prstGeom prst="rect">
                      <a:avLst/>
                    </a:prstGeom>
                  </pic:spPr>
                </pic:pic>
              </a:graphicData>
            </a:graphic>
          </wp:anchor>
        </w:drawing>
      </w:r>
    </w:p>
    <w:p>
      <w:pPr>
        <w:pStyle w:val="BodyText"/>
        <w:spacing w:before="56"/>
        <w:ind w:left="0" w:firstLine="0"/>
        <w:jc w:val="left"/>
        <w:rPr>
          <w:rFonts w:ascii="Microsoft Sans Serif"/>
          <w:sz w:val="16"/>
        </w:rPr>
      </w:pPr>
    </w:p>
    <w:p>
      <w:pPr>
        <w:spacing w:line="295" w:lineRule="auto" w:before="0"/>
        <w:ind w:left="52" w:right="480" w:firstLine="0"/>
        <w:jc w:val="both"/>
        <w:rPr>
          <w:rFonts w:ascii="Microsoft Sans Serif" w:hAnsi="Microsoft Sans Serif"/>
          <w:sz w:val="16"/>
        </w:rPr>
      </w:pPr>
      <w:r>
        <w:rPr>
          <w:rFonts w:ascii="Arial" w:hAnsi="Arial"/>
          <w:b/>
          <w:color w:val="242B67"/>
          <w:w w:val="105"/>
          <w:sz w:val="16"/>
        </w:rPr>
        <w:t>Figura 60.6 </w:t>
      </w:r>
      <w:r>
        <w:rPr>
          <w:rFonts w:ascii="Microsoft Sans Serif" w:hAnsi="Microsoft Sans Serif"/>
          <w:w w:val="105"/>
          <w:sz w:val="16"/>
        </w:rPr>
        <w:t>Razões de</w:t>
      </w:r>
      <w:r>
        <w:rPr>
          <w:rFonts w:ascii="Microsoft Sans Serif" w:hAnsi="Microsoft Sans Serif"/>
          <w:w w:val="105"/>
          <w:sz w:val="16"/>
        </w:rPr>
        <w:t> chance</w:t>
      </w:r>
      <w:r>
        <w:rPr>
          <w:rFonts w:ascii="Microsoft Sans Serif" w:hAnsi="Microsoft Sans Serif"/>
          <w:w w:val="105"/>
          <w:sz w:val="16"/>
        </w:rPr>
        <w:t> e</w:t>
      </w:r>
      <w:r>
        <w:rPr>
          <w:rFonts w:ascii="Microsoft Sans Serif" w:hAnsi="Microsoft Sans Serif"/>
          <w:w w:val="105"/>
          <w:sz w:val="16"/>
        </w:rPr>
        <w:t> intervalo</w:t>
      </w:r>
      <w:r>
        <w:rPr>
          <w:rFonts w:ascii="Microsoft Sans Serif" w:hAnsi="Microsoft Sans Serif"/>
          <w:w w:val="105"/>
          <w:sz w:val="16"/>
        </w:rPr>
        <w:t> de</w:t>
      </w:r>
      <w:r>
        <w:rPr>
          <w:rFonts w:ascii="Microsoft Sans Serif" w:hAnsi="Microsoft Sans Serif"/>
          <w:w w:val="105"/>
          <w:sz w:val="16"/>
        </w:rPr>
        <w:t> confiança</w:t>
      </w:r>
      <w:r>
        <w:rPr>
          <w:rFonts w:ascii="Microsoft Sans Serif" w:hAnsi="Microsoft Sans Serif"/>
          <w:w w:val="105"/>
          <w:sz w:val="16"/>
        </w:rPr>
        <w:t> de</w:t>
      </w:r>
      <w:r>
        <w:rPr>
          <w:rFonts w:ascii="Microsoft Sans Serif" w:hAnsi="Microsoft Sans Serif"/>
          <w:w w:val="105"/>
          <w:sz w:val="16"/>
        </w:rPr>
        <w:t> 95%</w:t>
      </w:r>
      <w:r>
        <w:rPr>
          <w:rFonts w:ascii="Microsoft Sans Serif" w:hAnsi="Microsoft Sans Serif"/>
          <w:w w:val="105"/>
          <w:sz w:val="16"/>
        </w:rPr>
        <w:t> para</w:t>
      </w:r>
      <w:r>
        <w:rPr>
          <w:rFonts w:ascii="Microsoft Sans Serif" w:hAnsi="Microsoft Sans Serif"/>
          <w:w w:val="105"/>
          <w:sz w:val="16"/>
        </w:rPr>
        <w:t> o</w:t>
      </w:r>
      <w:r>
        <w:rPr>
          <w:rFonts w:ascii="Microsoft Sans Serif" w:hAnsi="Microsoft Sans Serif"/>
          <w:w w:val="105"/>
          <w:sz w:val="16"/>
        </w:rPr>
        <w:t> infarto</w:t>
      </w:r>
      <w:r>
        <w:rPr>
          <w:rFonts w:ascii="Microsoft Sans Serif" w:hAnsi="Microsoft Sans Serif"/>
          <w:w w:val="105"/>
          <w:sz w:val="16"/>
        </w:rPr>
        <w:t> do</w:t>
      </w:r>
      <w:r>
        <w:rPr>
          <w:rFonts w:ascii="Microsoft Sans Serif" w:hAnsi="Microsoft Sans Serif"/>
          <w:w w:val="105"/>
          <w:sz w:val="16"/>
        </w:rPr>
        <w:t> miocárdio</w:t>
      </w:r>
      <w:r>
        <w:rPr>
          <w:rFonts w:ascii="Microsoft Sans Serif" w:hAnsi="Microsoft Sans Serif"/>
          <w:w w:val="105"/>
          <w:sz w:val="16"/>
        </w:rPr>
        <w:t> em pacientes com diabetes melito</w:t>
      </w:r>
      <w:r>
        <w:rPr>
          <w:rFonts w:ascii="Microsoft Sans Serif" w:hAnsi="Microsoft Sans Serif"/>
          <w:w w:val="105"/>
          <w:sz w:val="16"/>
        </w:rPr>
        <w:t> tipo</w:t>
      </w:r>
      <w:r>
        <w:rPr>
          <w:rFonts w:ascii="Microsoft Sans Serif" w:hAnsi="Microsoft Sans Serif"/>
          <w:w w:val="105"/>
          <w:sz w:val="16"/>
        </w:rPr>
        <w:t> 2, de</w:t>
      </w:r>
      <w:r>
        <w:rPr>
          <w:rFonts w:ascii="Microsoft Sans Serif" w:hAnsi="Microsoft Sans Serif"/>
          <w:spacing w:val="80"/>
          <w:w w:val="105"/>
          <w:sz w:val="16"/>
        </w:rPr>
        <w:t> </w:t>
      </w:r>
      <w:r>
        <w:rPr>
          <w:rFonts w:ascii="Microsoft Sans Serif" w:hAnsi="Microsoft Sans Serif"/>
          <w:w w:val="105"/>
          <w:sz w:val="16"/>
        </w:rPr>
        <w:t>acordo</w:t>
      </w:r>
      <w:r>
        <w:rPr>
          <w:rFonts w:ascii="Microsoft Sans Serif" w:hAnsi="Microsoft Sans Serif"/>
          <w:spacing w:val="40"/>
          <w:w w:val="105"/>
          <w:sz w:val="16"/>
        </w:rPr>
        <w:t> </w:t>
      </w:r>
      <w:r>
        <w:rPr>
          <w:rFonts w:ascii="Microsoft Sans Serif" w:hAnsi="Microsoft Sans Serif"/>
          <w:w w:val="105"/>
          <w:sz w:val="16"/>
        </w:rPr>
        <w:t>com</w:t>
      </w:r>
      <w:r>
        <w:rPr>
          <w:rFonts w:ascii="Microsoft Sans Serif" w:hAnsi="Microsoft Sans Serif"/>
          <w:spacing w:val="36"/>
          <w:w w:val="105"/>
          <w:sz w:val="16"/>
        </w:rPr>
        <w:t> </w:t>
      </w:r>
      <w:r>
        <w:rPr>
          <w:rFonts w:ascii="Microsoft Sans Serif" w:hAnsi="Microsoft Sans Serif"/>
          <w:w w:val="105"/>
          <w:sz w:val="16"/>
        </w:rPr>
        <w:t>nove</w:t>
      </w:r>
      <w:r>
        <w:rPr>
          <w:rFonts w:ascii="Microsoft Sans Serif" w:hAnsi="Microsoft Sans Serif"/>
          <w:spacing w:val="40"/>
          <w:w w:val="105"/>
          <w:sz w:val="16"/>
        </w:rPr>
        <w:t> </w:t>
      </w:r>
      <w:r>
        <w:rPr>
          <w:rFonts w:ascii="Microsoft Sans Serif" w:hAnsi="Microsoft Sans Serif"/>
          <w:w w:val="105"/>
          <w:sz w:val="16"/>
        </w:rPr>
        <w:t>polimorfismos</w:t>
      </w:r>
      <w:r>
        <w:rPr>
          <w:rFonts w:ascii="Microsoft Sans Serif" w:hAnsi="Microsoft Sans Serif"/>
          <w:spacing w:val="36"/>
          <w:w w:val="105"/>
          <w:sz w:val="16"/>
        </w:rPr>
        <w:t> </w:t>
      </w:r>
      <w:r>
        <w:rPr>
          <w:rFonts w:ascii="Microsoft Sans Serif" w:hAnsi="Microsoft Sans Serif"/>
          <w:w w:val="105"/>
          <w:sz w:val="16"/>
        </w:rPr>
        <w:t>em</w:t>
      </w:r>
      <w:r>
        <w:rPr>
          <w:rFonts w:ascii="Microsoft Sans Serif" w:hAnsi="Microsoft Sans Serif"/>
          <w:spacing w:val="36"/>
          <w:w w:val="105"/>
          <w:sz w:val="16"/>
        </w:rPr>
        <w:t> </w:t>
      </w:r>
      <w:r>
        <w:rPr>
          <w:rFonts w:ascii="Microsoft Sans Serif" w:hAnsi="Microsoft Sans Serif"/>
          <w:w w:val="105"/>
          <w:sz w:val="16"/>
        </w:rPr>
        <w:t>genes</w:t>
      </w:r>
      <w:r>
        <w:rPr>
          <w:rFonts w:ascii="Microsoft Sans Serif" w:hAnsi="Microsoft Sans Serif"/>
          <w:spacing w:val="36"/>
          <w:w w:val="105"/>
          <w:sz w:val="16"/>
        </w:rPr>
        <w:t> </w:t>
      </w:r>
      <w:r>
        <w:rPr>
          <w:rFonts w:ascii="Microsoft Sans Serif" w:hAnsi="Microsoft Sans Serif"/>
          <w:w w:val="105"/>
          <w:sz w:val="16"/>
        </w:rPr>
        <w:t>que</w:t>
      </w:r>
      <w:r>
        <w:rPr>
          <w:rFonts w:ascii="Microsoft Sans Serif" w:hAnsi="Microsoft Sans Serif"/>
          <w:spacing w:val="40"/>
          <w:w w:val="105"/>
          <w:sz w:val="16"/>
        </w:rPr>
        <w:t> </w:t>
      </w:r>
      <w:r>
        <w:rPr>
          <w:rFonts w:ascii="Microsoft Sans Serif" w:hAnsi="Microsoft Sans Serif"/>
          <w:w w:val="105"/>
          <w:sz w:val="16"/>
        </w:rPr>
        <w:t>influenciam</w:t>
      </w:r>
      <w:r>
        <w:rPr>
          <w:rFonts w:ascii="Microsoft Sans Serif" w:hAnsi="Microsoft Sans Serif"/>
          <w:spacing w:val="36"/>
          <w:w w:val="105"/>
          <w:sz w:val="16"/>
        </w:rPr>
        <w:t> </w:t>
      </w:r>
      <w:r>
        <w:rPr>
          <w:rFonts w:ascii="Microsoft Sans Serif" w:hAnsi="Microsoft Sans Serif"/>
          <w:w w:val="105"/>
          <w:sz w:val="16"/>
        </w:rPr>
        <w:t>o</w:t>
      </w:r>
      <w:r>
        <w:rPr>
          <w:rFonts w:ascii="Microsoft Sans Serif" w:hAnsi="Microsoft Sans Serif"/>
          <w:spacing w:val="40"/>
          <w:w w:val="105"/>
          <w:sz w:val="16"/>
        </w:rPr>
        <w:t> </w:t>
      </w:r>
      <w:r>
        <w:rPr>
          <w:rFonts w:ascii="Microsoft Sans Serif" w:hAnsi="Microsoft Sans Serif"/>
          <w:w w:val="105"/>
          <w:sz w:val="16"/>
        </w:rPr>
        <w:t>metabolismo</w:t>
      </w:r>
      <w:r>
        <w:rPr>
          <w:rFonts w:ascii="Microsoft Sans Serif" w:hAnsi="Microsoft Sans Serif"/>
          <w:spacing w:val="40"/>
          <w:w w:val="105"/>
          <w:sz w:val="16"/>
        </w:rPr>
        <w:t> </w:t>
      </w:r>
      <w:r>
        <w:rPr>
          <w:rFonts w:ascii="Microsoft Sans Serif" w:hAnsi="Microsoft Sans Serif"/>
          <w:w w:val="105"/>
          <w:sz w:val="16"/>
        </w:rPr>
        <w:t>lipídico.</w:t>
      </w:r>
      <w:r>
        <w:rPr>
          <w:rFonts w:ascii="Microsoft Sans Serif" w:hAnsi="Microsoft Sans Serif"/>
          <w:spacing w:val="31"/>
          <w:w w:val="105"/>
          <w:sz w:val="16"/>
        </w:rPr>
        <w:t> </w:t>
      </w:r>
      <w:r>
        <w:rPr>
          <w:rFonts w:ascii="Microsoft Sans Serif" w:hAnsi="Microsoft Sans Serif"/>
          <w:w w:val="105"/>
          <w:sz w:val="16"/>
        </w:rPr>
        <w:t>B1/B2</w:t>
      </w:r>
      <w:r>
        <w:rPr>
          <w:rFonts w:ascii="Microsoft Sans Serif" w:hAnsi="Microsoft Sans Serif"/>
          <w:spacing w:val="40"/>
          <w:w w:val="105"/>
          <w:sz w:val="16"/>
        </w:rPr>
        <w:t> </w:t>
      </w:r>
      <w:r>
        <w:rPr>
          <w:rFonts w:ascii="Microsoft Sans Serif" w:hAnsi="Microsoft Sans Serif"/>
          <w:w w:val="105"/>
          <w:sz w:val="16"/>
        </w:rPr>
        <w:t>=</w:t>
      </w:r>
      <w:r>
        <w:rPr>
          <w:rFonts w:ascii="Microsoft Sans Serif" w:hAnsi="Microsoft Sans Serif"/>
          <w:spacing w:val="36"/>
          <w:w w:val="105"/>
          <w:sz w:val="16"/>
        </w:rPr>
        <w:t> </w:t>
      </w:r>
      <w:r>
        <w:rPr>
          <w:rFonts w:ascii="Microsoft Sans Serif" w:hAnsi="Microsoft Sans Serif"/>
          <w:w w:val="105"/>
          <w:sz w:val="16"/>
        </w:rPr>
        <w:t>polimorfismo</w:t>
      </w:r>
      <w:r>
        <w:rPr>
          <w:rFonts w:ascii="Microsoft Sans Serif" w:hAnsi="Microsoft Sans Serif"/>
          <w:spacing w:val="40"/>
          <w:w w:val="105"/>
          <w:sz w:val="16"/>
        </w:rPr>
        <w:t> </w:t>
      </w:r>
      <w:r>
        <w:rPr>
          <w:rFonts w:ascii="Microsoft Sans Serif" w:hAnsi="Microsoft Sans Serif"/>
          <w:w w:val="105"/>
          <w:sz w:val="16"/>
        </w:rPr>
        <w:t>do</w:t>
      </w:r>
      <w:r>
        <w:rPr>
          <w:rFonts w:ascii="Microsoft Sans Serif" w:hAnsi="Microsoft Sans Serif"/>
          <w:spacing w:val="40"/>
          <w:w w:val="105"/>
          <w:sz w:val="16"/>
        </w:rPr>
        <w:t> </w:t>
      </w:r>
      <w:r>
        <w:rPr>
          <w:rFonts w:ascii="Microsoft Sans Serif" w:hAnsi="Microsoft Sans Serif"/>
          <w:w w:val="105"/>
          <w:sz w:val="16"/>
        </w:rPr>
        <w:t>gene</w:t>
      </w:r>
      <w:r>
        <w:rPr>
          <w:rFonts w:ascii="Microsoft Sans Serif" w:hAnsi="Microsoft Sans Serif"/>
          <w:spacing w:val="40"/>
          <w:w w:val="105"/>
          <w:sz w:val="16"/>
        </w:rPr>
        <w:t> </w:t>
      </w:r>
      <w:r>
        <w:rPr>
          <w:rFonts w:ascii="Microsoft Sans Serif" w:hAnsi="Microsoft Sans Serif"/>
          <w:w w:val="105"/>
          <w:sz w:val="16"/>
        </w:rPr>
        <w:t>que</w:t>
      </w:r>
      <w:r>
        <w:rPr>
          <w:rFonts w:ascii="Microsoft Sans Serif" w:hAnsi="Microsoft Sans Serif"/>
          <w:spacing w:val="40"/>
          <w:w w:val="105"/>
          <w:sz w:val="16"/>
        </w:rPr>
        <w:t> </w:t>
      </w:r>
      <w:r>
        <w:rPr>
          <w:rFonts w:ascii="Microsoft Sans Serif" w:hAnsi="Microsoft Sans Serif"/>
          <w:w w:val="105"/>
          <w:sz w:val="16"/>
        </w:rPr>
        <w:t>codifica</w:t>
      </w:r>
      <w:r>
        <w:rPr>
          <w:rFonts w:ascii="Microsoft Sans Serif" w:hAnsi="Microsoft Sans Serif"/>
          <w:spacing w:val="40"/>
          <w:w w:val="105"/>
          <w:sz w:val="16"/>
        </w:rPr>
        <w:t> </w:t>
      </w:r>
      <w:r>
        <w:rPr>
          <w:rFonts w:ascii="Microsoft Sans Serif" w:hAnsi="Microsoft Sans Serif"/>
          <w:w w:val="105"/>
          <w:sz w:val="16"/>
        </w:rPr>
        <w:t>para</w:t>
      </w:r>
      <w:r>
        <w:rPr>
          <w:rFonts w:ascii="Microsoft Sans Serif" w:hAnsi="Microsoft Sans Serif"/>
          <w:spacing w:val="40"/>
          <w:w w:val="105"/>
          <w:sz w:val="16"/>
        </w:rPr>
        <w:t> </w:t>
      </w:r>
      <w:r>
        <w:rPr>
          <w:rFonts w:ascii="Microsoft Sans Serif" w:hAnsi="Microsoft Sans Serif"/>
          <w:w w:val="105"/>
          <w:sz w:val="16"/>
        </w:rPr>
        <w:t>a proteína de transferência de ésteres de colesterol (Taq1B); D/N: polimorfismo do gene que codifica para a lipoproteína lipase (D9N); E4 = polimorfismo do gene Apo E (E2, E3, E4) R/W e Y/X: polimorfismos do gene que codifica para a proteína lecitina:colesterol aciltransferase (R147W</w:t>
      </w:r>
      <w:r>
        <w:rPr>
          <w:rFonts w:ascii="Microsoft Sans Serif" w:hAnsi="Microsoft Sans Serif"/>
          <w:spacing w:val="-5"/>
          <w:w w:val="105"/>
          <w:sz w:val="16"/>
        </w:rPr>
        <w:t> </w:t>
      </w:r>
      <w:r>
        <w:rPr>
          <w:rFonts w:ascii="Microsoft Sans Serif" w:hAnsi="Microsoft Sans Serif"/>
          <w:w w:val="105"/>
          <w:sz w:val="16"/>
        </w:rPr>
        <w:t>e Y171X);</w:t>
      </w:r>
      <w:r>
        <w:rPr>
          <w:rFonts w:ascii="Microsoft Sans Serif" w:hAnsi="Microsoft Sans Serif"/>
          <w:spacing w:val="-5"/>
          <w:w w:val="105"/>
          <w:sz w:val="16"/>
        </w:rPr>
        <w:t> </w:t>
      </w:r>
      <w:r>
        <w:rPr>
          <w:rFonts w:ascii="Microsoft Sans Serif" w:hAnsi="Microsoft Sans Serif"/>
          <w:w w:val="105"/>
          <w:sz w:val="16"/>
        </w:rPr>
        <w:t>M1 ± e M2 ± = polimorfismos do gene que codifica para a Apo A1 (Msp I);</w:t>
      </w:r>
      <w:r>
        <w:rPr>
          <w:rFonts w:ascii="Microsoft Sans Serif" w:hAnsi="Microsoft Sans Serif"/>
          <w:spacing w:val="-5"/>
          <w:w w:val="105"/>
          <w:sz w:val="16"/>
        </w:rPr>
        <w:t> </w:t>
      </w:r>
      <w:r>
        <w:rPr>
          <w:rFonts w:ascii="Microsoft Sans Serif" w:hAnsi="Microsoft Sans Serif"/>
          <w:w w:val="105"/>
          <w:sz w:val="16"/>
        </w:rPr>
        <w:t>Q/R = polimorfismo do gene que codifica para a paraoxonase-1 (Gln192Arg); S0/S1 = polimorfismo do gene que codifica para a Apo C-III (Sst I).</w:t>
      </w:r>
    </w:p>
    <w:p>
      <w:pPr>
        <w:spacing w:after="0" w:line="295" w:lineRule="auto"/>
        <w:jc w:val="both"/>
        <w:rPr>
          <w:rFonts w:ascii="Microsoft Sans Serif" w:hAnsi="Microsoft Sans Serif"/>
          <w:sz w:val="16"/>
        </w:rPr>
        <w:sectPr>
          <w:pgSz w:w="11900" w:h="16840"/>
          <w:pgMar w:top="220" w:bottom="280" w:left="566" w:right="141"/>
        </w:sectPr>
      </w:pPr>
    </w:p>
    <w:p>
      <w:pPr>
        <w:spacing w:before="66"/>
        <w:ind w:left="52" w:right="0" w:firstLine="0"/>
        <w:jc w:val="left"/>
        <w:rPr>
          <w:rFonts w:ascii="Microsoft Sans Serif" w:hAnsi="Microsoft Sans Serif"/>
          <w:sz w:val="20"/>
        </w:rPr>
      </w:pPr>
      <w:r>
        <w:rPr>
          <w:rFonts w:ascii="Arial" w:hAnsi="Arial"/>
          <w:b/>
          <w:color w:val="242B67"/>
          <w:sz w:val="20"/>
        </w:rPr>
        <w:t>Tabela</w:t>
      </w:r>
      <w:r>
        <w:rPr>
          <w:rFonts w:ascii="Arial" w:hAnsi="Arial"/>
          <w:b/>
          <w:color w:val="242B67"/>
          <w:spacing w:val="-6"/>
          <w:sz w:val="20"/>
        </w:rPr>
        <w:t> </w:t>
      </w:r>
      <w:r>
        <w:rPr>
          <w:rFonts w:ascii="Arial" w:hAnsi="Arial"/>
          <w:b/>
          <w:color w:val="242B67"/>
          <w:sz w:val="20"/>
        </w:rPr>
        <w:t>60.2</w:t>
      </w:r>
      <w:r>
        <w:rPr>
          <w:rFonts w:ascii="Arial" w:hAnsi="Arial"/>
          <w:b/>
          <w:color w:val="242B67"/>
          <w:spacing w:val="-7"/>
          <w:sz w:val="20"/>
        </w:rPr>
        <w:t> </w:t>
      </w:r>
      <w:r>
        <w:rPr>
          <w:rFonts w:ascii="Microsoft Sans Serif" w:hAnsi="Microsoft Sans Serif"/>
          <w:sz w:val="20"/>
        </w:rPr>
        <w:t>Principais</w:t>
      </w:r>
      <w:r>
        <w:rPr>
          <w:rFonts w:ascii="Microsoft Sans Serif" w:hAnsi="Microsoft Sans Serif"/>
          <w:spacing w:val="-6"/>
          <w:sz w:val="20"/>
        </w:rPr>
        <w:t> </w:t>
      </w:r>
      <w:r>
        <w:rPr>
          <w:rFonts w:ascii="Microsoft Sans Serif" w:hAnsi="Microsoft Sans Serif"/>
          <w:sz w:val="20"/>
        </w:rPr>
        <w:t>genes</w:t>
      </w:r>
      <w:r>
        <w:rPr>
          <w:rFonts w:ascii="Microsoft Sans Serif" w:hAnsi="Microsoft Sans Serif"/>
          <w:spacing w:val="-6"/>
          <w:sz w:val="20"/>
        </w:rPr>
        <w:t> </w:t>
      </w:r>
      <w:r>
        <w:rPr>
          <w:rFonts w:ascii="Microsoft Sans Serif" w:hAnsi="Microsoft Sans Serif"/>
          <w:sz w:val="20"/>
        </w:rPr>
        <w:t>relacionados</w:t>
      </w:r>
      <w:r>
        <w:rPr>
          <w:rFonts w:ascii="Microsoft Sans Serif" w:hAnsi="Microsoft Sans Serif"/>
          <w:spacing w:val="-7"/>
          <w:sz w:val="20"/>
        </w:rPr>
        <w:t> </w:t>
      </w:r>
      <w:r>
        <w:rPr>
          <w:rFonts w:ascii="Microsoft Sans Serif" w:hAnsi="Microsoft Sans Serif"/>
          <w:sz w:val="20"/>
        </w:rPr>
        <w:t>com</w:t>
      </w:r>
      <w:r>
        <w:rPr>
          <w:rFonts w:ascii="Microsoft Sans Serif" w:hAnsi="Microsoft Sans Serif"/>
          <w:spacing w:val="-3"/>
          <w:sz w:val="20"/>
        </w:rPr>
        <w:t> </w:t>
      </w:r>
      <w:r>
        <w:rPr>
          <w:rFonts w:ascii="Microsoft Sans Serif" w:hAnsi="Microsoft Sans Serif"/>
          <w:sz w:val="20"/>
        </w:rPr>
        <w:t>suscetibilidade</w:t>
      </w:r>
      <w:r>
        <w:rPr>
          <w:rFonts w:ascii="Microsoft Sans Serif" w:hAnsi="Microsoft Sans Serif"/>
          <w:spacing w:val="-4"/>
          <w:sz w:val="20"/>
        </w:rPr>
        <w:t> </w:t>
      </w:r>
      <w:r>
        <w:rPr>
          <w:rFonts w:ascii="Microsoft Sans Serif" w:hAnsi="Microsoft Sans Serif"/>
          <w:sz w:val="20"/>
        </w:rPr>
        <w:t>à</w:t>
      </w:r>
      <w:r>
        <w:rPr>
          <w:rFonts w:ascii="Microsoft Sans Serif" w:hAnsi="Microsoft Sans Serif"/>
          <w:spacing w:val="-4"/>
          <w:sz w:val="20"/>
        </w:rPr>
        <w:t> </w:t>
      </w:r>
      <w:r>
        <w:rPr>
          <w:rFonts w:ascii="Microsoft Sans Serif" w:hAnsi="Microsoft Sans Serif"/>
          <w:sz w:val="20"/>
        </w:rPr>
        <w:t>doença</w:t>
      </w:r>
      <w:r>
        <w:rPr>
          <w:rFonts w:ascii="Microsoft Sans Serif" w:hAnsi="Microsoft Sans Serif"/>
          <w:spacing w:val="-3"/>
          <w:sz w:val="20"/>
        </w:rPr>
        <w:t> </w:t>
      </w:r>
      <w:r>
        <w:rPr>
          <w:rFonts w:ascii="Microsoft Sans Serif" w:hAnsi="Microsoft Sans Serif"/>
          <w:spacing w:val="-2"/>
          <w:sz w:val="20"/>
        </w:rPr>
        <w:t>aterosclerótica.</w:t>
      </w:r>
    </w:p>
    <w:p>
      <w:pPr>
        <w:pStyle w:val="BodyText"/>
        <w:spacing w:before="5"/>
        <w:ind w:left="0" w:firstLine="0"/>
        <w:jc w:val="left"/>
        <w:rPr>
          <w:rFonts w:ascii="Microsoft Sans Serif"/>
          <w:sz w:val="13"/>
        </w:rPr>
      </w:pPr>
    </w:p>
    <w:tbl>
      <w:tblPr>
        <w:tblW w:w="0" w:type="auto"/>
        <w:jc w:val="left"/>
        <w:tblInd w:w="55"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051"/>
        <w:gridCol w:w="2004"/>
        <w:gridCol w:w="2018"/>
        <w:gridCol w:w="2018"/>
        <w:gridCol w:w="1809"/>
        <w:gridCol w:w="1760"/>
      </w:tblGrid>
      <w:tr>
        <w:trPr>
          <w:trHeight w:val="639" w:hRule="atLeast"/>
        </w:trPr>
        <w:tc>
          <w:tcPr>
            <w:tcW w:w="1051" w:type="dxa"/>
            <w:tcBorders>
              <w:top w:val="nil"/>
              <w:left w:val="nil"/>
            </w:tcBorders>
            <w:shd w:val="clear" w:color="auto" w:fill="242B67"/>
          </w:tcPr>
          <w:p>
            <w:pPr>
              <w:pStyle w:val="TableParagraph"/>
              <w:spacing w:before="121"/>
              <w:ind w:left="0"/>
              <w:rPr>
                <w:sz w:val="19"/>
              </w:rPr>
            </w:pPr>
          </w:p>
          <w:p>
            <w:pPr>
              <w:pStyle w:val="TableParagraph"/>
              <w:spacing w:before="0"/>
              <w:ind w:left="60"/>
              <w:rPr>
                <w:rFonts w:ascii="Arial"/>
                <w:b/>
                <w:sz w:val="19"/>
              </w:rPr>
            </w:pPr>
            <w:r>
              <w:rPr>
                <w:rFonts w:ascii="Arial"/>
                <w:b/>
                <w:color w:val="FFFFFF"/>
                <w:spacing w:val="-4"/>
                <w:sz w:val="19"/>
              </w:rPr>
              <w:t>Gene</w:t>
            </w:r>
          </w:p>
        </w:tc>
        <w:tc>
          <w:tcPr>
            <w:tcW w:w="2004" w:type="dxa"/>
            <w:tcBorders>
              <w:top w:val="nil"/>
            </w:tcBorders>
            <w:shd w:val="clear" w:color="auto" w:fill="242B67"/>
          </w:tcPr>
          <w:p>
            <w:pPr>
              <w:pStyle w:val="TableParagraph"/>
              <w:spacing w:line="290" w:lineRule="auto" w:before="72"/>
              <w:ind w:left="59" w:right="74"/>
              <w:rPr>
                <w:rFonts w:ascii="Arial" w:hAnsi="Arial"/>
                <w:b/>
                <w:sz w:val="19"/>
              </w:rPr>
            </w:pPr>
            <w:r>
              <w:rPr>
                <w:rFonts w:ascii="Arial" w:hAnsi="Arial"/>
                <w:b/>
                <w:color w:val="FFFFFF"/>
                <w:sz w:val="19"/>
              </w:rPr>
              <w:t>Variante</w:t>
            </w:r>
            <w:r>
              <w:rPr>
                <w:rFonts w:ascii="Arial" w:hAnsi="Arial"/>
                <w:b/>
                <w:color w:val="FFFFFF"/>
                <w:spacing w:val="-14"/>
                <w:sz w:val="19"/>
              </w:rPr>
              <w:t> </w:t>
            </w:r>
            <w:r>
              <w:rPr>
                <w:rFonts w:ascii="Arial" w:hAnsi="Arial"/>
                <w:b/>
                <w:color w:val="FFFFFF"/>
                <w:sz w:val="19"/>
              </w:rPr>
              <w:t>(genótipo de risco)</w:t>
            </w:r>
          </w:p>
        </w:tc>
        <w:tc>
          <w:tcPr>
            <w:tcW w:w="2018" w:type="dxa"/>
            <w:tcBorders>
              <w:top w:val="nil"/>
            </w:tcBorders>
            <w:shd w:val="clear" w:color="auto" w:fill="242B67"/>
          </w:tcPr>
          <w:p>
            <w:pPr>
              <w:pStyle w:val="TableParagraph"/>
              <w:spacing w:line="290" w:lineRule="auto" w:before="72"/>
              <w:ind w:left="59"/>
              <w:rPr>
                <w:rFonts w:ascii="Arial" w:hAnsi="Arial"/>
                <w:b/>
                <w:sz w:val="19"/>
              </w:rPr>
            </w:pPr>
            <w:r>
              <w:rPr>
                <w:rFonts w:ascii="Arial" w:hAnsi="Arial"/>
                <w:b/>
                <w:color w:val="FFFFFF"/>
                <w:spacing w:val="-2"/>
                <w:sz w:val="19"/>
              </w:rPr>
              <w:t>Funcionalidade (sim/não)</w:t>
            </w:r>
          </w:p>
        </w:tc>
        <w:tc>
          <w:tcPr>
            <w:tcW w:w="2018" w:type="dxa"/>
            <w:tcBorders>
              <w:top w:val="nil"/>
            </w:tcBorders>
            <w:shd w:val="clear" w:color="auto" w:fill="242B67"/>
          </w:tcPr>
          <w:p>
            <w:pPr>
              <w:pStyle w:val="TableParagraph"/>
              <w:spacing w:before="121"/>
              <w:ind w:left="0"/>
              <w:rPr>
                <w:sz w:val="19"/>
              </w:rPr>
            </w:pPr>
          </w:p>
          <w:p>
            <w:pPr>
              <w:pStyle w:val="TableParagraph"/>
              <w:spacing w:before="0"/>
              <w:ind w:left="58"/>
              <w:rPr>
                <w:rFonts w:ascii="Arial"/>
                <w:b/>
                <w:sz w:val="19"/>
              </w:rPr>
            </w:pPr>
            <w:r>
              <w:rPr>
                <w:rFonts w:ascii="Arial"/>
                <w:b/>
                <w:color w:val="FFFFFF"/>
                <w:spacing w:val="-2"/>
                <w:sz w:val="19"/>
              </w:rPr>
              <w:t>Desfecho</w:t>
            </w:r>
          </w:p>
        </w:tc>
        <w:tc>
          <w:tcPr>
            <w:tcW w:w="1809" w:type="dxa"/>
            <w:tcBorders>
              <w:top w:val="nil"/>
            </w:tcBorders>
            <w:shd w:val="clear" w:color="auto" w:fill="242B67"/>
          </w:tcPr>
          <w:p>
            <w:pPr>
              <w:pStyle w:val="TableParagraph"/>
              <w:spacing w:line="290" w:lineRule="auto" w:before="72"/>
              <w:ind w:left="58" w:right="76"/>
              <w:rPr>
                <w:rFonts w:ascii="Arial"/>
                <w:b/>
                <w:sz w:val="19"/>
              </w:rPr>
            </w:pPr>
            <w:r>
              <w:rPr>
                <w:rFonts w:ascii="Arial"/>
                <w:b/>
                <w:color w:val="FFFFFF"/>
                <w:sz w:val="19"/>
              </w:rPr>
              <w:t>Estimativa de risco</w:t>
            </w:r>
            <w:r>
              <w:rPr>
                <w:rFonts w:ascii="Arial"/>
                <w:b/>
                <w:color w:val="FFFFFF"/>
                <w:spacing w:val="3"/>
                <w:sz w:val="19"/>
              </w:rPr>
              <w:t> </w:t>
            </w:r>
            <w:r>
              <w:rPr>
                <w:rFonts w:ascii="Arial"/>
                <w:b/>
                <w:color w:val="FFFFFF"/>
                <w:sz w:val="19"/>
              </w:rPr>
              <w:t>(IC</w:t>
            </w:r>
            <w:r>
              <w:rPr>
                <w:rFonts w:ascii="Arial"/>
                <w:b/>
                <w:color w:val="FFFFFF"/>
                <w:spacing w:val="11"/>
                <w:sz w:val="19"/>
              </w:rPr>
              <w:t> </w:t>
            </w:r>
            <w:r>
              <w:rPr>
                <w:rFonts w:ascii="Arial"/>
                <w:b/>
                <w:color w:val="FFFFFF"/>
                <w:spacing w:val="-4"/>
                <w:sz w:val="19"/>
              </w:rPr>
              <w:t>95%)</w:t>
            </w:r>
          </w:p>
        </w:tc>
        <w:tc>
          <w:tcPr>
            <w:tcW w:w="1760" w:type="dxa"/>
            <w:tcBorders>
              <w:top w:val="nil"/>
              <w:right w:val="nil"/>
            </w:tcBorders>
            <w:shd w:val="clear" w:color="auto" w:fill="242B67"/>
          </w:tcPr>
          <w:p>
            <w:pPr>
              <w:pStyle w:val="TableParagraph"/>
              <w:spacing w:line="290" w:lineRule="auto" w:before="72"/>
              <w:ind w:left="58"/>
              <w:rPr>
                <w:rFonts w:ascii="Arial"/>
                <w:b/>
                <w:sz w:val="19"/>
              </w:rPr>
            </w:pPr>
            <w:r>
              <w:rPr>
                <w:rFonts w:ascii="Arial"/>
                <w:b/>
                <w:color w:val="FFFFFF"/>
                <w:spacing w:val="-2"/>
                <w:sz w:val="19"/>
              </w:rPr>
              <w:t>Estudos (casos/controles)</w:t>
            </w:r>
          </w:p>
        </w:tc>
      </w:tr>
      <w:tr>
        <w:trPr>
          <w:trHeight w:val="374" w:hRule="atLeast"/>
        </w:trPr>
        <w:tc>
          <w:tcPr>
            <w:tcW w:w="1051" w:type="dxa"/>
            <w:tcBorders>
              <w:left w:val="nil"/>
            </w:tcBorders>
            <w:shd w:val="clear" w:color="auto" w:fill="EDECF3"/>
          </w:tcPr>
          <w:p>
            <w:pPr>
              <w:pStyle w:val="TableParagraph"/>
              <w:spacing w:before="74"/>
              <w:ind w:left="60"/>
              <w:rPr>
                <w:sz w:val="19"/>
              </w:rPr>
            </w:pPr>
            <w:r>
              <w:rPr>
                <w:sz w:val="19"/>
              </w:rPr>
              <w:t>Apo</w:t>
            </w:r>
            <w:r>
              <w:rPr>
                <w:spacing w:val="12"/>
                <w:sz w:val="19"/>
              </w:rPr>
              <w:t> </w:t>
            </w:r>
            <w:r>
              <w:rPr>
                <w:spacing w:val="-10"/>
                <w:sz w:val="19"/>
              </w:rPr>
              <w:t>E</w:t>
            </w:r>
          </w:p>
        </w:tc>
        <w:tc>
          <w:tcPr>
            <w:tcW w:w="2004" w:type="dxa"/>
            <w:shd w:val="clear" w:color="auto" w:fill="EDECF3"/>
          </w:tcPr>
          <w:p>
            <w:pPr>
              <w:pStyle w:val="TableParagraph"/>
              <w:spacing w:before="74"/>
              <w:ind w:left="59"/>
              <w:rPr>
                <w:sz w:val="19"/>
              </w:rPr>
            </w:pPr>
            <w:r>
              <w:rPr>
                <w:sz w:val="19"/>
              </w:rPr>
              <w:t>e2,</w:t>
            </w:r>
            <w:r>
              <w:rPr>
                <w:spacing w:val="15"/>
                <w:sz w:val="19"/>
              </w:rPr>
              <w:t> </w:t>
            </w:r>
            <w:r>
              <w:rPr>
                <w:sz w:val="19"/>
              </w:rPr>
              <w:t>e3,</w:t>
            </w:r>
            <w:r>
              <w:rPr>
                <w:spacing w:val="15"/>
                <w:sz w:val="19"/>
              </w:rPr>
              <w:t> </w:t>
            </w:r>
            <w:r>
              <w:rPr>
                <w:sz w:val="19"/>
              </w:rPr>
              <w:t>e4</w:t>
            </w:r>
            <w:r>
              <w:rPr>
                <w:spacing w:val="19"/>
                <w:sz w:val="19"/>
              </w:rPr>
              <w:t> </w:t>
            </w:r>
            <w:r>
              <w:rPr>
                <w:spacing w:val="-4"/>
                <w:sz w:val="19"/>
              </w:rPr>
              <w:t>(e4)</w:t>
            </w:r>
          </w:p>
        </w:tc>
        <w:tc>
          <w:tcPr>
            <w:tcW w:w="2018" w:type="dxa"/>
            <w:shd w:val="clear" w:color="auto" w:fill="EDECF3"/>
          </w:tcPr>
          <w:p>
            <w:pPr>
              <w:pStyle w:val="TableParagraph"/>
              <w:spacing w:before="74"/>
              <w:ind w:left="59"/>
              <w:rPr>
                <w:sz w:val="19"/>
              </w:rPr>
            </w:pPr>
            <w:r>
              <w:rPr>
                <w:spacing w:val="-5"/>
                <w:sz w:val="19"/>
              </w:rPr>
              <w:t>Sim</w:t>
            </w:r>
          </w:p>
        </w:tc>
        <w:tc>
          <w:tcPr>
            <w:tcW w:w="2018" w:type="dxa"/>
            <w:shd w:val="clear" w:color="auto" w:fill="EDECF3"/>
          </w:tcPr>
          <w:p>
            <w:pPr>
              <w:pStyle w:val="TableParagraph"/>
              <w:spacing w:before="74"/>
              <w:ind w:left="58"/>
              <w:rPr>
                <w:sz w:val="19"/>
              </w:rPr>
            </w:pPr>
            <w:r>
              <w:rPr>
                <w:spacing w:val="-5"/>
                <w:sz w:val="19"/>
              </w:rPr>
              <w:t>DAC</w:t>
            </w:r>
          </w:p>
        </w:tc>
        <w:tc>
          <w:tcPr>
            <w:tcW w:w="1809" w:type="dxa"/>
            <w:shd w:val="clear" w:color="auto" w:fill="EDECF3"/>
          </w:tcPr>
          <w:p>
            <w:pPr>
              <w:pStyle w:val="TableParagraph"/>
              <w:spacing w:before="74"/>
              <w:ind w:left="58"/>
              <w:rPr>
                <w:sz w:val="19"/>
              </w:rPr>
            </w:pPr>
            <w:r>
              <w:rPr>
                <w:w w:val="110"/>
                <w:sz w:val="19"/>
              </w:rPr>
              <w:t>1,44 (1,27</w:t>
            </w:r>
            <w:r>
              <w:rPr>
                <w:spacing w:val="-7"/>
                <w:w w:val="125"/>
                <w:sz w:val="19"/>
              </w:rPr>
              <w:t> </w:t>
            </w:r>
            <w:r>
              <w:rPr>
                <w:w w:val="125"/>
                <w:sz w:val="19"/>
              </w:rPr>
              <w:t>–</w:t>
            </w:r>
            <w:r>
              <w:rPr>
                <w:spacing w:val="-7"/>
                <w:w w:val="125"/>
                <w:sz w:val="19"/>
              </w:rPr>
              <w:t> </w:t>
            </w:r>
            <w:r>
              <w:rPr>
                <w:spacing w:val="-4"/>
                <w:w w:val="110"/>
                <w:sz w:val="19"/>
              </w:rPr>
              <w:t>1,62)</w:t>
            </w:r>
          </w:p>
        </w:tc>
        <w:tc>
          <w:tcPr>
            <w:tcW w:w="1760" w:type="dxa"/>
            <w:tcBorders>
              <w:right w:val="nil"/>
            </w:tcBorders>
            <w:shd w:val="clear" w:color="auto" w:fill="EDECF3"/>
          </w:tcPr>
          <w:p>
            <w:pPr>
              <w:pStyle w:val="TableParagraph"/>
              <w:spacing w:before="74"/>
              <w:ind w:left="58"/>
              <w:rPr>
                <w:sz w:val="19"/>
              </w:rPr>
            </w:pPr>
            <w:r>
              <w:rPr>
                <w:sz w:val="19"/>
              </w:rPr>
              <w:t>9</w:t>
            </w:r>
            <w:r>
              <w:rPr>
                <w:spacing w:val="9"/>
                <w:sz w:val="19"/>
              </w:rPr>
              <w:t> </w:t>
            </w:r>
            <w:r>
              <w:rPr>
                <w:spacing w:val="-2"/>
                <w:sz w:val="19"/>
              </w:rPr>
              <w:t>(2.383/3.972)</w:t>
            </w:r>
          </w:p>
        </w:tc>
      </w:tr>
      <w:tr>
        <w:trPr>
          <w:trHeight w:val="374" w:hRule="atLeast"/>
        </w:trPr>
        <w:tc>
          <w:tcPr>
            <w:tcW w:w="1051" w:type="dxa"/>
            <w:vMerge w:val="restart"/>
            <w:tcBorders>
              <w:left w:val="nil"/>
            </w:tcBorders>
            <w:shd w:val="clear" w:color="auto" w:fill="EDECF3"/>
          </w:tcPr>
          <w:p>
            <w:pPr>
              <w:pStyle w:val="TableParagraph"/>
              <w:spacing w:before="74"/>
              <w:ind w:left="60"/>
              <w:rPr>
                <w:sz w:val="19"/>
              </w:rPr>
            </w:pPr>
            <w:r>
              <w:rPr>
                <w:sz w:val="19"/>
              </w:rPr>
              <w:t>Apo</w:t>
            </w:r>
            <w:r>
              <w:rPr>
                <w:spacing w:val="12"/>
                <w:sz w:val="19"/>
              </w:rPr>
              <w:t> </w:t>
            </w:r>
            <w:r>
              <w:rPr>
                <w:spacing w:val="-10"/>
                <w:sz w:val="19"/>
              </w:rPr>
              <w:t>B</w:t>
            </w:r>
          </w:p>
        </w:tc>
        <w:tc>
          <w:tcPr>
            <w:tcW w:w="2004" w:type="dxa"/>
            <w:shd w:val="clear" w:color="auto" w:fill="EDECF3"/>
          </w:tcPr>
          <w:p>
            <w:pPr>
              <w:pStyle w:val="TableParagraph"/>
              <w:spacing w:before="74"/>
              <w:ind w:left="59"/>
              <w:rPr>
                <w:sz w:val="19"/>
              </w:rPr>
            </w:pPr>
            <w:r>
              <w:rPr>
                <w:sz w:val="19"/>
              </w:rPr>
              <w:t>E4154K</w:t>
            </w:r>
            <w:r>
              <w:rPr>
                <w:spacing w:val="20"/>
                <w:sz w:val="19"/>
              </w:rPr>
              <w:t> </w:t>
            </w:r>
            <w:r>
              <w:rPr>
                <w:spacing w:val="-4"/>
                <w:sz w:val="19"/>
              </w:rPr>
              <w:t>(K+)</w:t>
            </w:r>
          </w:p>
        </w:tc>
        <w:tc>
          <w:tcPr>
            <w:tcW w:w="2018" w:type="dxa"/>
            <w:shd w:val="clear" w:color="auto" w:fill="EDECF3"/>
          </w:tcPr>
          <w:p>
            <w:pPr>
              <w:pStyle w:val="TableParagraph"/>
              <w:spacing w:before="74"/>
              <w:ind w:left="59"/>
              <w:rPr>
                <w:sz w:val="19"/>
              </w:rPr>
            </w:pPr>
            <w:r>
              <w:rPr>
                <w:spacing w:val="-5"/>
                <w:sz w:val="19"/>
              </w:rPr>
              <w:t>Não</w:t>
            </w:r>
          </w:p>
        </w:tc>
        <w:tc>
          <w:tcPr>
            <w:tcW w:w="2018" w:type="dxa"/>
            <w:shd w:val="clear" w:color="auto" w:fill="EDECF3"/>
          </w:tcPr>
          <w:p>
            <w:pPr>
              <w:pStyle w:val="TableParagraph"/>
              <w:spacing w:before="74"/>
              <w:ind w:left="58"/>
              <w:rPr>
                <w:sz w:val="19"/>
              </w:rPr>
            </w:pPr>
            <w:r>
              <w:rPr>
                <w:spacing w:val="-5"/>
                <w:sz w:val="19"/>
              </w:rPr>
              <w:t>IM</w:t>
            </w:r>
          </w:p>
        </w:tc>
        <w:tc>
          <w:tcPr>
            <w:tcW w:w="1809" w:type="dxa"/>
            <w:shd w:val="clear" w:color="auto" w:fill="EDECF3"/>
          </w:tcPr>
          <w:p>
            <w:pPr>
              <w:pStyle w:val="TableParagraph"/>
              <w:spacing w:before="74"/>
              <w:ind w:left="58"/>
              <w:rPr>
                <w:sz w:val="19"/>
              </w:rPr>
            </w:pPr>
            <w:r>
              <w:rPr>
                <w:sz w:val="19"/>
              </w:rPr>
              <w:t>1,32</w:t>
            </w:r>
            <w:r>
              <w:rPr>
                <w:spacing w:val="28"/>
                <w:sz w:val="19"/>
              </w:rPr>
              <w:t> </w:t>
            </w:r>
            <w:r>
              <w:rPr>
                <w:sz w:val="19"/>
              </w:rPr>
              <w:t>(1,14,</w:t>
            </w:r>
            <w:r>
              <w:rPr>
                <w:spacing w:val="24"/>
                <w:sz w:val="19"/>
              </w:rPr>
              <w:t> </w:t>
            </w:r>
            <w:r>
              <w:rPr>
                <w:spacing w:val="-2"/>
                <w:sz w:val="19"/>
              </w:rPr>
              <w:t>1,54)</w:t>
            </w:r>
          </w:p>
        </w:tc>
        <w:tc>
          <w:tcPr>
            <w:tcW w:w="1760" w:type="dxa"/>
            <w:tcBorders>
              <w:right w:val="nil"/>
            </w:tcBorders>
            <w:shd w:val="clear" w:color="auto" w:fill="EDECF3"/>
          </w:tcPr>
          <w:p>
            <w:pPr>
              <w:pStyle w:val="TableParagraph"/>
              <w:spacing w:before="74"/>
              <w:ind w:left="58"/>
              <w:rPr>
                <w:sz w:val="19"/>
              </w:rPr>
            </w:pPr>
            <w:r>
              <w:rPr>
                <w:sz w:val="19"/>
              </w:rPr>
              <w:t>15</w:t>
            </w:r>
            <w:r>
              <w:rPr>
                <w:spacing w:val="14"/>
                <w:sz w:val="19"/>
              </w:rPr>
              <w:t> </w:t>
            </w:r>
            <w:r>
              <w:rPr>
                <w:spacing w:val="-2"/>
                <w:sz w:val="19"/>
              </w:rPr>
              <w:t>(2.348/2.556)</w:t>
            </w:r>
          </w:p>
        </w:tc>
      </w:tr>
      <w:tr>
        <w:trPr>
          <w:trHeight w:val="638" w:hRule="atLeast"/>
        </w:trPr>
        <w:tc>
          <w:tcPr>
            <w:tcW w:w="1051" w:type="dxa"/>
            <w:vMerge/>
            <w:tcBorders>
              <w:top w:val="nil"/>
              <w:left w:val="nil"/>
            </w:tcBorders>
            <w:shd w:val="clear" w:color="auto" w:fill="EDECF3"/>
          </w:tcPr>
          <w:p>
            <w:pPr>
              <w:rPr>
                <w:sz w:val="2"/>
                <w:szCs w:val="2"/>
              </w:rPr>
            </w:pPr>
          </w:p>
        </w:tc>
        <w:tc>
          <w:tcPr>
            <w:tcW w:w="2004" w:type="dxa"/>
            <w:shd w:val="clear" w:color="auto" w:fill="EDECF3"/>
          </w:tcPr>
          <w:p>
            <w:pPr>
              <w:pStyle w:val="TableParagraph"/>
              <w:spacing w:line="295" w:lineRule="auto" w:before="74"/>
              <w:ind w:left="59" w:right="74"/>
              <w:rPr>
                <w:sz w:val="19"/>
              </w:rPr>
            </w:pPr>
            <w:r>
              <w:rPr>
                <w:sz w:val="19"/>
              </w:rPr>
              <w:t>Peptídio sinal </w:t>
            </w:r>
            <w:r>
              <w:rPr>
                <w:sz w:val="19"/>
              </w:rPr>
              <w:t>ins/del </w:t>
            </w:r>
            <w:r>
              <w:rPr>
                <w:spacing w:val="-2"/>
                <w:sz w:val="19"/>
              </w:rPr>
              <w:t>(Del+)</w:t>
            </w:r>
          </w:p>
        </w:tc>
        <w:tc>
          <w:tcPr>
            <w:tcW w:w="2018" w:type="dxa"/>
            <w:shd w:val="clear" w:color="auto" w:fill="EDECF3"/>
          </w:tcPr>
          <w:p>
            <w:pPr>
              <w:pStyle w:val="TableParagraph"/>
              <w:spacing w:before="74"/>
              <w:ind w:left="59"/>
              <w:rPr>
                <w:sz w:val="19"/>
              </w:rPr>
            </w:pPr>
            <w:r>
              <w:rPr>
                <w:spacing w:val="-5"/>
                <w:sz w:val="19"/>
              </w:rPr>
              <w:t>Sim</w:t>
            </w:r>
          </w:p>
        </w:tc>
        <w:tc>
          <w:tcPr>
            <w:tcW w:w="2018" w:type="dxa"/>
            <w:shd w:val="clear" w:color="auto" w:fill="EDECF3"/>
          </w:tcPr>
          <w:p>
            <w:pPr>
              <w:pStyle w:val="TableParagraph"/>
              <w:spacing w:before="74"/>
              <w:ind w:left="58"/>
              <w:rPr>
                <w:sz w:val="19"/>
              </w:rPr>
            </w:pPr>
            <w:r>
              <w:rPr>
                <w:spacing w:val="-5"/>
                <w:sz w:val="19"/>
              </w:rPr>
              <w:t>IM</w:t>
            </w:r>
          </w:p>
        </w:tc>
        <w:tc>
          <w:tcPr>
            <w:tcW w:w="1809" w:type="dxa"/>
            <w:shd w:val="clear" w:color="auto" w:fill="EDECF3"/>
          </w:tcPr>
          <w:p>
            <w:pPr>
              <w:pStyle w:val="TableParagraph"/>
              <w:spacing w:before="74"/>
              <w:ind w:left="58"/>
              <w:rPr>
                <w:sz w:val="19"/>
              </w:rPr>
            </w:pPr>
            <w:r>
              <w:rPr>
                <w:sz w:val="19"/>
              </w:rPr>
              <w:t>1,15</w:t>
            </w:r>
            <w:r>
              <w:rPr>
                <w:spacing w:val="28"/>
                <w:sz w:val="19"/>
              </w:rPr>
              <w:t> </w:t>
            </w:r>
            <w:r>
              <w:rPr>
                <w:sz w:val="19"/>
              </w:rPr>
              <w:t>(1,08,</w:t>
            </w:r>
            <w:r>
              <w:rPr>
                <w:spacing w:val="24"/>
                <w:sz w:val="19"/>
              </w:rPr>
              <w:t> </w:t>
            </w:r>
            <w:r>
              <w:rPr>
                <w:spacing w:val="-2"/>
                <w:sz w:val="19"/>
              </w:rPr>
              <w:t>1,24)</w:t>
            </w:r>
          </w:p>
        </w:tc>
        <w:tc>
          <w:tcPr>
            <w:tcW w:w="1760" w:type="dxa"/>
            <w:tcBorders>
              <w:right w:val="nil"/>
            </w:tcBorders>
            <w:shd w:val="clear" w:color="auto" w:fill="EDECF3"/>
          </w:tcPr>
          <w:p>
            <w:pPr>
              <w:pStyle w:val="TableParagraph"/>
              <w:spacing w:before="74"/>
              <w:ind w:left="58"/>
              <w:rPr>
                <w:sz w:val="19"/>
              </w:rPr>
            </w:pPr>
            <w:r>
              <w:rPr>
                <w:sz w:val="19"/>
              </w:rPr>
              <w:t>22</w:t>
            </w:r>
            <w:r>
              <w:rPr>
                <w:spacing w:val="14"/>
                <w:sz w:val="19"/>
              </w:rPr>
              <w:t> </w:t>
            </w:r>
            <w:r>
              <w:rPr>
                <w:spacing w:val="-2"/>
                <w:sz w:val="19"/>
              </w:rPr>
              <w:t>(9.264/8.431)</w:t>
            </w:r>
          </w:p>
        </w:tc>
      </w:tr>
      <w:tr>
        <w:trPr>
          <w:trHeight w:val="374" w:hRule="atLeast"/>
        </w:trPr>
        <w:tc>
          <w:tcPr>
            <w:tcW w:w="1051" w:type="dxa"/>
            <w:tcBorders>
              <w:left w:val="nil"/>
            </w:tcBorders>
            <w:shd w:val="clear" w:color="auto" w:fill="EDECF3"/>
          </w:tcPr>
          <w:p>
            <w:pPr>
              <w:pStyle w:val="TableParagraph"/>
              <w:spacing w:before="74"/>
              <w:ind w:left="60"/>
              <w:rPr>
                <w:sz w:val="19"/>
              </w:rPr>
            </w:pPr>
            <w:r>
              <w:rPr>
                <w:sz w:val="19"/>
              </w:rPr>
              <w:t>PAI-</w:t>
            </w:r>
            <w:r>
              <w:rPr>
                <w:spacing w:val="-10"/>
                <w:sz w:val="19"/>
              </w:rPr>
              <w:t>1</w:t>
            </w:r>
          </w:p>
        </w:tc>
        <w:tc>
          <w:tcPr>
            <w:tcW w:w="2004" w:type="dxa"/>
            <w:shd w:val="clear" w:color="auto" w:fill="EDECF3"/>
          </w:tcPr>
          <w:p>
            <w:pPr>
              <w:pStyle w:val="TableParagraph"/>
              <w:spacing w:before="74"/>
              <w:ind w:left="59"/>
              <w:rPr>
                <w:sz w:val="19"/>
              </w:rPr>
            </w:pPr>
            <w:r>
              <w:rPr>
                <w:sz w:val="19"/>
              </w:rPr>
              <w:t>-675</w:t>
            </w:r>
            <w:r>
              <w:rPr>
                <w:spacing w:val="25"/>
                <w:sz w:val="19"/>
              </w:rPr>
              <w:t> </w:t>
            </w:r>
            <w:r>
              <w:rPr>
                <w:sz w:val="19"/>
              </w:rPr>
              <w:t>4G/5G</w:t>
            </w:r>
            <w:r>
              <w:rPr>
                <w:spacing w:val="24"/>
                <w:sz w:val="19"/>
              </w:rPr>
              <w:t> </w:t>
            </w:r>
            <w:r>
              <w:rPr>
                <w:spacing w:val="-2"/>
                <w:sz w:val="19"/>
              </w:rPr>
              <w:t>(4G4G)</w:t>
            </w:r>
          </w:p>
        </w:tc>
        <w:tc>
          <w:tcPr>
            <w:tcW w:w="2018" w:type="dxa"/>
            <w:shd w:val="clear" w:color="auto" w:fill="EDECF3"/>
          </w:tcPr>
          <w:p>
            <w:pPr>
              <w:pStyle w:val="TableParagraph"/>
              <w:spacing w:before="74"/>
              <w:ind w:left="59"/>
              <w:rPr>
                <w:sz w:val="19"/>
              </w:rPr>
            </w:pPr>
            <w:r>
              <w:rPr>
                <w:spacing w:val="-5"/>
                <w:sz w:val="19"/>
              </w:rPr>
              <w:t>Sim</w:t>
            </w:r>
          </w:p>
        </w:tc>
        <w:tc>
          <w:tcPr>
            <w:tcW w:w="2018" w:type="dxa"/>
            <w:shd w:val="clear" w:color="auto" w:fill="EDECF3"/>
          </w:tcPr>
          <w:p>
            <w:pPr>
              <w:pStyle w:val="TableParagraph"/>
              <w:spacing w:before="74"/>
              <w:ind w:left="58"/>
              <w:rPr>
                <w:sz w:val="19"/>
              </w:rPr>
            </w:pPr>
            <w:r>
              <w:rPr>
                <w:spacing w:val="-5"/>
                <w:sz w:val="19"/>
              </w:rPr>
              <w:t>IM</w:t>
            </w:r>
          </w:p>
        </w:tc>
        <w:tc>
          <w:tcPr>
            <w:tcW w:w="1809" w:type="dxa"/>
            <w:shd w:val="clear" w:color="auto" w:fill="EDECF3"/>
          </w:tcPr>
          <w:p>
            <w:pPr>
              <w:pStyle w:val="TableParagraph"/>
              <w:spacing w:before="74"/>
              <w:ind w:left="58"/>
              <w:rPr>
                <w:sz w:val="19"/>
              </w:rPr>
            </w:pPr>
            <w:r>
              <w:rPr>
                <w:w w:val="110"/>
                <w:sz w:val="19"/>
              </w:rPr>
              <w:t>1,30 (1,07</w:t>
            </w:r>
            <w:r>
              <w:rPr>
                <w:spacing w:val="-7"/>
                <w:w w:val="125"/>
                <w:sz w:val="19"/>
              </w:rPr>
              <w:t> </w:t>
            </w:r>
            <w:r>
              <w:rPr>
                <w:w w:val="125"/>
                <w:sz w:val="19"/>
              </w:rPr>
              <w:t>–</w:t>
            </w:r>
            <w:r>
              <w:rPr>
                <w:spacing w:val="-7"/>
                <w:w w:val="125"/>
                <w:sz w:val="19"/>
              </w:rPr>
              <w:t> </w:t>
            </w:r>
            <w:r>
              <w:rPr>
                <w:spacing w:val="-4"/>
                <w:w w:val="110"/>
                <w:sz w:val="19"/>
              </w:rPr>
              <w:t>1,58)</w:t>
            </w:r>
          </w:p>
        </w:tc>
        <w:tc>
          <w:tcPr>
            <w:tcW w:w="1760" w:type="dxa"/>
            <w:tcBorders>
              <w:right w:val="nil"/>
            </w:tcBorders>
            <w:shd w:val="clear" w:color="auto" w:fill="EDECF3"/>
          </w:tcPr>
          <w:p>
            <w:pPr>
              <w:pStyle w:val="TableParagraph"/>
              <w:spacing w:before="74"/>
              <w:ind w:left="58"/>
              <w:rPr>
                <w:sz w:val="19"/>
              </w:rPr>
            </w:pPr>
            <w:r>
              <w:rPr>
                <w:sz w:val="19"/>
              </w:rPr>
              <w:t>9</w:t>
            </w:r>
            <w:r>
              <w:rPr>
                <w:spacing w:val="9"/>
                <w:sz w:val="19"/>
              </w:rPr>
              <w:t> </w:t>
            </w:r>
            <w:r>
              <w:rPr>
                <w:spacing w:val="-2"/>
                <w:sz w:val="19"/>
              </w:rPr>
              <w:t>(1.521/2.120)</w:t>
            </w:r>
          </w:p>
        </w:tc>
      </w:tr>
      <w:tr>
        <w:trPr>
          <w:trHeight w:val="374" w:hRule="atLeast"/>
        </w:trPr>
        <w:tc>
          <w:tcPr>
            <w:tcW w:w="1051" w:type="dxa"/>
            <w:tcBorders>
              <w:left w:val="nil"/>
            </w:tcBorders>
            <w:shd w:val="clear" w:color="auto" w:fill="EDECF3"/>
          </w:tcPr>
          <w:p>
            <w:pPr>
              <w:pStyle w:val="TableParagraph"/>
              <w:spacing w:before="74"/>
              <w:ind w:left="60"/>
              <w:rPr>
                <w:sz w:val="19"/>
              </w:rPr>
            </w:pPr>
            <w:r>
              <w:rPr>
                <w:spacing w:val="-5"/>
                <w:sz w:val="19"/>
              </w:rPr>
              <w:t>ECA</w:t>
            </w:r>
          </w:p>
        </w:tc>
        <w:tc>
          <w:tcPr>
            <w:tcW w:w="2004" w:type="dxa"/>
            <w:shd w:val="clear" w:color="auto" w:fill="EDECF3"/>
          </w:tcPr>
          <w:p>
            <w:pPr>
              <w:pStyle w:val="TableParagraph"/>
              <w:spacing w:before="74"/>
              <w:ind w:left="59"/>
              <w:rPr>
                <w:sz w:val="19"/>
              </w:rPr>
            </w:pPr>
            <w:r>
              <w:rPr>
                <w:sz w:val="19"/>
              </w:rPr>
              <w:t>I/D</w:t>
            </w:r>
            <w:r>
              <w:rPr>
                <w:spacing w:val="16"/>
                <w:sz w:val="19"/>
              </w:rPr>
              <w:t> </w:t>
            </w:r>
            <w:r>
              <w:rPr>
                <w:sz w:val="19"/>
              </w:rPr>
              <w:t>no</w:t>
            </w:r>
            <w:r>
              <w:rPr>
                <w:spacing w:val="21"/>
                <w:sz w:val="19"/>
              </w:rPr>
              <w:t> </w:t>
            </w:r>
            <w:r>
              <w:rPr>
                <w:sz w:val="19"/>
              </w:rPr>
              <w:t>íntron</w:t>
            </w:r>
            <w:r>
              <w:rPr>
                <w:spacing w:val="21"/>
                <w:sz w:val="19"/>
              </w:rPr>
              <w:t> </w:t>
            </w:r>
            <w:r>
              <w:rPr>
                <w:sz w:val="19"/>
              </w:rPr>
              <w:t>16</w:t>
            </w:r>
            <w:r>
              <w:rPr>
                <w:spacing w:val="22"/>
                <w:sz w:val="19"/>
              </w:rPr>
              <w:t> </w:t>
            </w:r>
            <w:r>
              <w:rPr>
                <w:spacing w:val="-4"/>
                <w:sz w:val="19"/>
              </w:rPr>
              <w:t>(DD)</w:t>
            </w:r>
          </w:p>
        </w:tc>
        <w:tc>
          <w:tcPr>
            <w:tcW w:w="2018" w:type="dxa"/>
            <w:shd w:val="clear" w:color="auto" w:fill="EDECF3"/>
          </w:tcPr>
          <w:p>
            <w:pPr>
              <w:pStyle w:val="TableParagraph"/>
              <w:spacing w:before="74"/>
              <w:ind w:left="59"/>
              <w:rPr>
                <w:sz w:val="19"/>
              </w:rPr>
            </w:pPr>
            <w:r>
              <w:rPr>
                <w:spacing w:val="-5"/>
                <w:sz w:val="19"/>
              </w:rPr>
              <w:t>Não</w:t>
            </w:r>
          </w:p>
        </w:tc>
        <w:tc>
          <w:tcPr>
            <w:tcW w:w="2018" w:type="dxa"/>
            <w:shd w:val="clear" w:color="auto" w:fill="EDECF3"/>
          </w:tcPr>
          <w:p>
            <w:pPr>
              <w:pStyle w:val="TableParagraph"/>
              <w:spacing w:before="74"/>
              <w:ind w:left="58"/>
              <w:rPr>
                <w:sz w:val="19"/>
              </w:rPr>
            </w:pPr>
            <w:r>
              <w:rPr>
                <w:spacing w:val="-5"/>
                <w:sz w:val="19"/>
              </w:rPr>
              <w:t>IM</w:t>
            </w:r>
          </w:p>
        </w:tc>
        <w:tc>
          <w:tcPr>
            <w:tcW w:w="1809" w:type="dxa"/>
            <w:shd w:val="clear" w:color="auto" w:fill="EDECF3"/>
          </w:tcPr>
          <w:p>
            <w:pPr>
              <w:pStyle w:val="TableParagraph"/>
              <w:spacing w:before="74"/>
              <w:ind w:left="58"/>
              <w:rPr>
                <w:sz w:val="19"/>
              </w:rPr>
            </w:pPr>
            <w:r>
              <w:rPr>
                <w:w w:val="110"/>
                <w:sz w:val="19"/>
              </w:rPr>
              <w:t>1,26 (1,15</w:t>
            </w:r>
            <w:r>
              <w:rPr>
                <w:spacing w:val="-7"/>
                <w:w w:val="125"/>
                <w:sz w:val="19"/>
              </w:rPr>
              <w:t> </w:t>
            </w:r>
            <w:r>
              <w:rPr>
                <w:w w:val="125"/>
                <w:sz w:val="19"/>
              </w:rPr>
              <w:t>–</w:t>
            </w:r>
            <w:r>
              <w:rPr>
                <w:spacing w:val="-7"/>
                <w:w w:val="125"/>
                <w:sz w:val="19"/>
              </w:rPr>
              <w:t> </w:t>
            </w:r>
            <w:r>
              <w:rPr>
                <w:spacing w:val="-2"/>
                <w:w w:val="110"/>
                <w:sz w:val="19"/>
              </w:rPr>
              <w:t>1,55)*</w:t>
            </w:r>
          </w:p>
        </w:tc>
        <w:tc>
          <w:tcPr>
            <w:tcW w:w="1760" w:type="dxa"/>
            <w:tcBorders>
              <w:right w:val="nil"/>
            </w:tcBorders>
            <w:shd w:val="clear" w:color="auto" w:fill="EDECF3"/>
          </w:tcPr>
          <w:p>
            <w:pPr>
              <w:pStyle w:val="TableParagraph"/>
              <w:spacing w:before="74"/>
              <w:ind w:left="58"/>
              <w:rPr>
                <w:sz w:val="19"/>
              </w:rPr>
            </w:pPr>
            <w:r>
              <w:rPr>
                <w:sz w:val="19"/>
              </w:rPr>
              <w:t>15</w:t>
            </w:r>
            <w:r>
              <w:rPr>
                <w:spacing w:val="14"/>
                <w:sz w:val="19"/>
              </w:rPr>
              <w:t> </w:t>
            </w:r>
            <w:r>
              <w:rPr>
                <w:spacing w:val="-2"/>
                <w:sz w:val="19"/>
              </w:rPr>
              <w:t>(3.394/5.479)</w:t>
            </w:r>
          </w:p>
        </w:tc>
      </w:tr>
      <w:tr>
        <w:trPr>
          <w:trHeight w:val="374" w:hRule="atLeast"/>
        </w:trPr>
        <w:tc>
          <w:tcPr>
            <w:tcW w:w="1051" w:type="dxa"/>
            <w:tcBorders>
              <w:left w:val="nil"/>
            </w:tcBorders>
            <w:shd w:val="clear" w:color="auto" w:fill="EDECF3"/>
          </w:tcPr>
          <w:p>
            <w:pPr>
              <w:pStyle w:val="TableParagraph"/>
              <w:spacing w:before="74"/>
              <w:ind w:left="60"/>
              <w:rPr>
                <w:sz w:val="19"/>
              </w:rPr>
            </w:pPr>
            <w:r>
              <w:rPr>
                <w:spacing w:val="-2"/>
                <w:sz w:val="19"/>
              </w:rPr>
              <w:t>MTHFR</w:t>
            </w:r>
          </w:p>
        </w:tc>
        <w:tc>
          <w:tcPr>
            <w:tcW w:w="2004" w:type="dxa"/>
            <w:shd w:val="clear" w:color="auto" w:fill="EDECF3"/>
          </w:tcPr>
          <w:p>
            <w:pPr>
              <w:pStyle w:val="TableParagraph"/>
              <w:spacing w:before="74"/>
              <w:ind w:left="59"/>
              <w:rPr>
                <w:sz w:val="19"/>
              </w:rPr>
            </w:pPr>
            <w:r>
              <w:rPr>
                <w:sz w:val="19"/>
              </w:rPr>
              <w:t>A122V</w:t>
            </w:r>
            <w:r>
              <w:rPr>
                <w:spacing w:val="15"/>
                <w:sz w:val="19"/>
              </w:rPr>
              <w:t> </w:t>
            </w:r>
            <w:r>
              <w:rPr>
                <w:spacing w:val="-4"/>
                <w:sz w:val="19"/>
              </w:rPr>
              <w:t>(VV)</w:t>
            </w:r>
          </w:p>
        </w:tc>
        <w:tc>
          <w:tcPr>
            <w:tcW w:w="2018" w:type="dxa"/>
            <w:shd w:val="clear" w:color="auto" w:fill="EDECF3"/>
          </w:tcPr>
          <w:p>
            <w:pPr>
              <w:pStyle w:val="TableParagraph"/>
              <w:spacing w:before="74"/>
              <w:ind w:left="59"/>
              <w:rPr>
                <w:sz w:val="19"/>
              </w:rPr>
            </w:pPr>
            <w:r>
              <w:rPr>
                <w:spacing w:val="-5"/>
                <w:sz w:val="19"/>
              </w:rPr>
              <w:t>Sim</w:t>
            </w:r>
          </w:p>
        </w:tc>
        <w:tc>
          <w:tcPr>
            <w:tcW w:w="2018" w:type="dxa"/>
            <w:shd w:val="clear" w:color="auto" w:fill="EDECF3"/>
          </w:tcPr>
          <w:p>
            <w:pPr>
              <w:pStyle w:val="TableParagraph"/>
              <w:spacing w:before="74"/>
              <w:ind w:left="58"/>
              <w:rPr>
                <w:sz w:val="19"/>
              </w:rPr>
            </w:pPr>
            <w:r>
              <w:rPr>
                <w:spacing w:val="-5"/>
                <w:sz w:val="19"/>
              </w:rPr>
              <w:t>IM</w:t>
            </w:r>
          </w:p>
        </w:tc>
        <w:tc>
          <w:tcPr>
            <w:tcW w:w="1809" w:type="dxa"/>
            <w:shd w:val="clear" w:color="auto" w:fill="EDECF3"/>
          </w:tcPr>
          <w:p>
            <w:pPr>
              <w:pStyle w:val="TableParagraph"/>
              <w:spacing w:before="74"/>
              <w:ind w:left="58"/>
              <w:rPr>
                <w:sz w:val="19"/>
              </w:rPr>
            </w:pPr>
            <w:r>
              <w:rPr>
                <w:sz w:val="19"/>
              </w:rPr>
              <w:t>1,2</w:t>
            </w:r>
            <w:r>
              <w:rPr>
                <w:spacing w:val="25"/>
                <w:sz w:val="19"/>
              </w:rPr>
              <w:t> </w:t>
            </w:r>
            <w:r>
              <w:rPr>
                <w:sz w:val="19"/>
              </w:rPr>
              <w:t>(1,06,</w:t>
            </w:r>
            <w:r>
              <w:rPr>
                <w:spacing w:val="22"/>
                <w:sz w:val="19"/>
              </w:rPr>
              <w:t> </w:t>
            </w:r>
            <w:r>
              <w:rPr>
                <w:spacing w:val="-2"/>
                <w:sz w:val="19"/>
              </w:rPr>
              <w:t>1,39)**</w:t>
            </w:r>
          </w:p>
        </w:tc>
        <w:tc>
          <w:tcPr>
            <w:tcW w:w="1760" w:type="dxa"/>
            <w:tcBorders>
              <w:right w:val="nil"/>
            </w:tcBorders>
            <w:shd w:val="clear" w:color="auto" w:fill="EDECF3"/>
          </w:tcPr>
          <w:p>
            <w:pPr>
              <w:pStyle w:val="TableParagraph"/>
              <w:spacing w:before="74"/>
              <w:ind w:left="58"/>
              <w:rPr>
                <w:sz w:val="19"/>
              </w:rPr>
            </w:pPr>
            <w:r>
              <w:rPr>
                <w:sz w:val="19"/>
              </w:rPr>
              <w:t>48</w:t>
            </w:r>
            <w:r>
              <w:rPr>
                <w:spacing w:val="14"/>
                <w:sz w:val="19"/>
              </w:rPr>
              <w:t> </w:t>
            </w:r>
            <w:r>
              <w:rPr>
                <w:spacing w:val="-2"/>
                <w:sz w:val="19"/>
              </w:rPr>
              <w:t>(2.193/11.945)</w:t>
            </w:r>
          </w:p>
        </w:tc>
      </w:tr>
      <w:tr>
        <w:trPr>
          <w:trHeight w:val="375" w:hRule="atLeast"/>
        </w:trPr>
        <w:tc>
          <w:tcPr>
            <w:tcW w:w="1051" w:type="dxa"/>
            <w:tcBorders>
              <w:left w:val="nil"/>
              <w:bottom w:val="nil"/>
            </w:tcBorders>
            <w:shd w:val="clear" w:color="auto" w:fill="EDECF3"/>
          </w:tcPr>
          <w:p>
            <w:pPr>
              <w:pStyle w:val="TableParagraph"/>
              <w:spacing w:before="74"/>
              <w:ind w:left="60"/>
              <w:rPr>
                <w:sz w:val="19"/>
              </w:rPr>
            </w:pPr>
            <w:r>
              <w:rPr>
                <w:spacing w:val="-4"/>
                <w:sz w:val="19"/>
              </w:rPr>
              <w:t>eNOS</w:t>
            </w:r>
          </w:p>
        </w:tc>
        <w:tc>
          <w:tcPr>
            <w:tcW w:w="2004" w:type="dxa"/>
            <w:tcBorders>
              <w:bottom w:val="nil"/>
            </w:tcBorders>
            <w:shd w:val="clear" w:color="auto" w:fill="EDECF3"/>
          </w:tcPr>
          <w:p>
            <w:pPr>
              <w:pStyle w:val="TableParagraph"/>
              <w:spacing w:before="74"/>
              <w:ind w:left="59"/>
              <w:rPr>
                <w:sz w:val="19"/>
              </w:rPr>
            </w:pPr>
            <w:r>
              <w:rPr>
                <w:sz w:val="19"/>
              </w:rPr>
              <w:t>E298D</w:t>
            </w:r>
            <w:r>
              <w:rPr>
                <w:spacing w:val="18"/>
                <w:sz w:val="19"/>
              </w:rPr>
              <w:t> </w:t>
            </w:r>
            <w:r>
              <w:rPr>
                <w:spacing w:val="-4"/>
                <w:sz w:val="19"/>
              </w:rPr>
              <w:t>(DD)</w:t>
            </w:r>
          </w:p>
        </w:tc>
        <w:tc>
          <w:tcPr>
            <w:tcW w:w="2018" w:type="dxa"/>
            <w:tcBorders>
              <w:bottom w:val="nil"/>
            </w:tcBorders>
            <w:shd w:val="clear" w:color="auto" w:fill="EDECF3"/>
          </w:tcPr>
          <w:p>
            <w:pPr>
              <w:pStyle w:val="TableParagraph"/>
              <w:spacing w:before="74"/>
              <w:ind w:left="59"/>
              <w:rPr>
                <w:sz w:val="19"/>
              </w:rPr>
            </w:pPr>
            <w:r>
              <w:rPr>
                <w:spacing w:val="-5"/>
                <w:sz w:val="19"/>
              </w:rPr>
              <w:t>Sim</w:t>
            </w:r>
          </w:p>
        </w:tc>
        <w:tc>
          <w:tcPr>
            <w:tcW w:w="2018" w:type="dxa"/>
            <w:tcBorders>
              <w:bottom w:val="nil"/>
            </w:tcBorders>
            <w:shd w:val="clear" w:color="auto" w:fill="EDECF3"/>
          </w:tcPr>
          <w:p>
            <w:pPr>
              <w:pStyle w:val="TableParagraph"/>
              <w:spacing w:before="74"/>
              <w:ind w:left="58"/>
              <w:rPr>
                <w:sz w:val="19"/>
              </w:rPr>
            </w:pPr>
            <w:r>
              <w:rPr>
                <w:spacing w:val="-5"/>
                <w:sz w:val="19"/>
              </w:rPr>
              <w:t>IM</w:t>
            </w:r>
          </w:p>
        </w:tc>
        <w:tc>
          <w:tcPr>
            <w:tcW w:w="1809" w:type="dxa"/>
            <w:tcBorders>
              <w:bottom w:val="nil"/>
            </w:tcBorders>
            <w:shd w:val="clear" w:color="auto" w:fill="EDECF3"/>
          </w:tcPr>
          <w:p>
            <w:pPr>
              <w:pStyle w:val="TableParagraph"/>
              <w:spacing w:before="74"/>
              <w:ind w:left="58"/>
              <w:rPr>
                <w:sz w:val="19"/>
              </w:rPr>
            </w:pPr>
            <w:r>
              <w:rPr>
                <w:sz w:val="19"/>
              </w:rPr>
              <w:t>1,31</w:t>
            </w:r>
            <w:r>
              <w:rPr>
                <w:spacing w:val="28"/>
                <w:sz w:val="19"/>
              </w:rPr>
              <w:t> </w:t>
            </w:r>
            <w:r>
              <w:rPr>
                <w:sz w:val="19"/>
              </w:rPr>
              <w:t>(1,13,</w:t>
            </w:r>
            <w:r>
              <w:rPr>
                <w:spacing w:val="24"/>
                <w:sz w:val="19"/>
              </w:rPr>
              <w:t> </w:t>
            </w:r>
            <w:r>
              <w:rPr>
                <w:spacing w:val="-2"/>
                <w:sz w:val="19"/>
              </w:rPr>
              <w:t>1,51)</w:t>
            </w:r>
          </w:p>
        </w:tc>
        <w:tc>
          <w:tcPr>
            <w:tcW w:w="1760" w:type="dxa"/>
            <w:tcBorders>
              <w:bottom w:val="nil"/>
              <w:right w:val="nil"/>
            </w:tcBorders>
            <w:shd w:val="clear" w:color="auto" w:fill="EDECF3"/>
          </w:tcPr>
          <w:p>
            <w:pPr>
              <w:pStyle w:val="TableParagraph"/>
              <w:spacing w:before="74"/>
              <w:ind w:left="58"/>
              <w:rPr>
                <w:sz w:val="19"/>
              </w:rPr>
            </w:pPr>
            <w:r>
              <w:rPr>
                <w:sz w:val="19"/>
              </w:rPr>
              <w:t>26</w:t>
            </w:r>
            <w:r>
              <w:rPr>
                <w:spacing w:val="14"/>
                <w:sz w:val="19"/>
              </w:rPr>
              <w:t> </w:t>
            </w:r>
            <w:r>
              <w:rPr>
                <w:spacing w:val="-2"/>
                <w:sz w:val="19"/>
              </w:rPr>
              <w:t>(9.867/13.161)</w:t>
            </w:r>
          </w:p>
        </w:tc>
      </w:tr>
    </w:tbl>
    <w:p>
      <w:pPr>
        <w:spacing w:line="297" w:lineRule="auto" w:before="149"/>
        <w:ind w:left="52" w:right="497" w:firstLine="0"/>
        <w:jc w:val="left"/>
        <w:rPr>
          <w:rFonts w:ascii="Microsoft Sans Serif" w:hAnsi="Microsoft Sans Serif"/>
          <w:sz w:val="16"/>
        </w:rPr>
      </w:pPr>
      <w:r>
        <w:rPr>
          <w:rFonts w:ascii="Microsoft Sans Serif" w:hAnsi="Microsoft Sans Serif"/>
          <w:w w:val="105"/>
          <w:sz w:val="16"/>
        </w:rPr>
        <w:t>*Este valor está bem abaixo da estimativa inicial de mais de 3 vezes (em alguns subgrupos), o que causou grande interesse no seu estudo, mas muito mais de acordo com a estimativa de 1,13 a partir de publicações de estudos maiores.</w:t>
      </w:r>
      <w:r>
        <w:rPr>
          <w:rFonts w:ascii="Microsoft Sans Serif" w:hAnsi="Microsoft Sans Serif"/>
          <w:spacing w:val="-1"/>
          <w:w w:val="105"/>
          <w:sz w:val="16"/>
        </w:rPr>
        <w:t> </w:t>
      </w:r>
      <w:r>
        <w:rPr>
          <w:rFonts w:ascii="Microsoft Sans Serif" w:hAnsi="Microsoft Sans Serif"/>
          <w:w w:val="105"/>
          <w:sz w:val="16"/>
        </w:rPr>
        <w:t>**Ainda não está estabelecido se este valor está acima da predição com base nos fatores de risco clássicos (e, em particular, acima das medidas plasmáticas de homocisteína). Apo = apolipoproteína;</w:t>
      </w:r>
      <w:r>
        <w:rPr>
          <w:rFonts w:ascii="Microsoft Sans Serif" w:hAnsi="Microsoft Sans Serif"/>
          <w:spacing w:val="-1"/>
          <w:w w:val="105"/>
          <w:sz w:val="16"/>
        </w:rPr>
        <w:t> </w:t>
      </w:r>
      <w:r>
        <w:rPr>
          <w:rFonts w:ascii="Microsoft Sans Serif" w:hAnsi="Microsoft Sans Serif"/>
          <w:w w:val="105"/>
          <w:sz w:val="16"/>
        </w:rPr>
        <w:t>DAC = doença arterial coronariana;</w:t>
      </w:r>
      <w:r>
        <w:rPr>
          <w:rFonts w:ascii="Microsoft Sans Serif" w:hAnsi="Microsoft Sans Serif"/>
          <w:spacing w:val="-1"/>
          <w:w w:val="105"/>
          <w:sz w:val="16"/>
        </w:rPr>
        <w:t> </w:t>
      </w:r>
      <w:r>
        <w:rPr>
          <w:rFonts w:ascii="Microsoft Sans Serif" w:hAnsi="Microsoft Sans Serif"/>
          <w:w w:val="105"/>
          <w:sz w:val="16"/>
        </w:rPr>
        <w:t>ECA = enzima conversora da angiotensina;</w:t>
      </w:r>
      <w:r>
        <w:rPr>
          <w:rFonts w:ascii="Microsoft Sans Serif" w:hAnsi="Microsoft Sans Serif"/>
          <w:spacing w:val="-1"/>
          <w:w w:val="105"/>
          <w:sz w:val="16"/>
        </w:rPr>
        <w:t> </w:t>
      </w:r>
      <w:r>
        <w:rPr>
          <w:rFonts w:ascii="Microsoft Sans Serif" w:hAnsi="Microsoft Sans Serif"/>
          <w:w w:val="105"/>
          <w:sz w:val="16"/>
        </w:rPr>
        <w:t>eNOS = óxido nítrico sintase endotelial;</w:t>
      </w:r>
      <w:r>
        <w:rPr>
          <w:rFonts w:ascii="Microsoft Sans Serif" w:hAnsi="Microsoft Sans Serif"/>
          <w:spacing w:val="-1"/>
          <w:w w:val="105"/>
          <w:sz w:val="16"/>
        </w:rPr>
        <w:t> </w:t>
      </w:r>
      <w:r>
        <w:rPr>
          <w:rFonts w:ascii="Microsoft Sans Serif" w:hAnsi="Microsoft Sans Serif"/>
          <w:w w:val="105"/>
          <w:sz w:val="16"/>
        </w:rPr>
        <w:t>IC = intervalo de confiança; IM = infarto do miocárdio; ins/del = inserção/deleção; MTHFR = metilenotetraidrofolato redutase; PAI-1 = inibidor do ativador de plasminogênio tipo 1. (Adaptada de Humphries </w:t>
      </w:r>
      <w:r>
        <w:rPr>
          <w:rFonts w:ascii="Arial" w:hAnsi="Arial"/>
          <w:i/>
          <w:w w:val="105"/>
          <w:sz w:val="16"/>
        </w:rPr>
        <w:t>et al.</w:t>
      </w:r>
      <w:r>
        <w:rPr>
          <w:rFonts w:ascii="Microsoft Sans Serif" w:hAnsi="Microsoft Sans Serif"/>
          <w:w w:val="105"/>
          <w:sz w:val="16"/>
          <w:vertAlign w:val="superscript"/>
        </w:rPr>
        <w:t>25</w:t>
      </w:r>
      <w:r>
        <w:rPr>
          <w:rFonts w:ascii="Microsoft Sans Serif" w:hAnsi="Microsoft Sans Serif"/>
          <w:w w:val="105"/>
          <w:sz w:val="16"/>
          <w:vertAlign w:val="baseline"/>
        </w:rPr>
        <w:t>)</w:t>
      </w:r>
    </w:p>
    <w:p>
      <w:pPr>
        <w:spacing w:after="0" w:line="297" w:lineRule="auto"/>
        <w:jc w:val="left"/>
        <w:rPr>
          <w:rFonts w:ascii="Microsoft Sans Serif" w:hAnsi="Microsoft Sans Serif"/>
          <w:sz w:val="16"/>
        </w:rPr>
        <w:sectPr>
          <w:pgSz w:w="11900" w:h="16840"/>
          <w:pgMar w:top="220" w:bottom="280" w:left="566" w:right="141"/>
        </w:sectPr>
      </w:pPr>
    </w:p>
    <w:p>
      <w:pPr>
        <w:pStyle w:val="Heading1"/>
      </w:pPr>
      <w:r>
        <w:rPr>
          <w:color w:val="A26108"/>
        </w:rPr>
        <w:t>Capítulo</w:t>
      </w:r>
      <w:r>
        <w:rPr>
          <w:color w:val="A26108"/>
          <w:spacing w:val="24"/>
        </w:rPr>
        <w:t> </w:t>
      </w:r>
      <w:r>
        <w:rPr>
          <w:color w:val="A26108"/>
          <w:spacing w:val="-5"/>
        </w:rPr>
        <w:t>61</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40576">
                <wp:simplePos x="0" y="0"/>
                <wp:positionH relativeFrom="page">
                  <wp:posOffset>401543</wp:posOffset>
                </wp:positionH>
                <wp:positionV relativeFrom="paragraph">
                  <wp:posOffset>64325</wp:posOffset>
                </wp:positionV>
                <wp:extent cx="6753225" cy="10795"/>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675904;mso-wrap-distance-left:0;mso-wrap-distance-right:0" id="docshape59" filled="true" fillcolor="#242b67" stroked="false">
                <v:fill type="solid"/>
                <w10:wrap type="topAndBottom"/>
              </v:rect>
            </w:pict>
          </mc:Fallback>
        </mc:AlternateContent>
      </w:r>
    </w:p>
    <w:p>
      <w:pPr>
        <w:pStyle w:val="Heading1"/>
        <w:spacing w:line="273" w:lineRule="auto" w:before="138" w:after="19"/>
      </w:pPr>
      <w:r>
        <w:rPr>
          <w:color w:val="A26108"/>
        </w:rPr>
        <w:t>Terapia Gênica e Celular na </w:t>
      </w:r>
      <w:r>
        <w:rPr>
          <w:color w:val="A26108"/>
        </w:rPr>
        <w:t>Doença </w:t>
      </w:r>
      <w:r>
        <w:rPr>
          <w:color w:val="A26108"/>
          <w:spacing w:val="-2"/>
        </w:rPr>
        <w:t>Cardiovascular</w:t>
      </w:r>
    </w:p>
    <w:p>
      <w:pPr>
        <w:spacing w:line="20" w:lineRule="exact"/>
        <w:ind w:left="66" w:right="0" w:firstLine="0"/>
        <w:rPr>
          <w:rFonts w:ascii="Microsoft Sans Serif"/>
          <w:sz w:val="2"/>
        </w:rPr>
      </w:pPr>
      <w:r>
        <w:rPr>
          <w:rFonts w:ascii="Microsoft Sans Serif"/>
          <w:sz w:val="2"/>
        </w:rPr>
        <mc:AlternateContent>
          <mc:Choice Requires="wps">
            <w:drawing>
              <wp:inline distT="0" distB="0" distL="0" distR="0">
                <wp:extent cx="6753225" cy="10795"/>
                <wp:effectExtent l="0" t="0" r="0" b="0"/>
                <wp:docPr id="146" name="Group 146"/>
                <wp:cNvGraphicFramePr>
                  <a:graphicFrameLocks/>
                </wp:cNvGraphicFramePr>
                <a:graphic>
                  <a:graphicData uri="http://schemas.microsoft.com/office/word/2010/wordprocessingGroup">
                    <wpg:wgp>
                      <wpg:cNvPr id="146" name="Group 146"/>
                      <wpg:cNvGrpSpPr/>
                      <wpg:grpSpPr>
                        <a:xfrm>
                          <a:off x="0" y="0"/>
                          <a:ext cx="6753225" cy="10795"/>
                          <a:chExt cx="6753225" cy="10795"/>
                        </a:xfrm>
                      </wpg:grpSpPr>
                      <wps:wsp>
                        <wps:cNvPr id="147" name="Graphic 147"/>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wpg:wgp>
                  </a:graphicData>
                </a:graphic>
              </wp:inline>
            </w:drawing>
          </mc:Choice>
          <mc:Fallback>
            <w:pict>
              <v:group style="width:531.75pt;height:.85pt;mso-position-horizontal-relative:char;mso-position-vertical-relative:line" id="docshapegroup60" coordorigin="0,0" coordsize="10635,17">
                <v:rect style="position:absolute;left:0;top:0;width:10635;height:17" id="docshape61" filled="true" fillcolor="#242b67" stroked="false">
                  <v:fill type="solid"/>
                </v:rect>
              </v:group>
            </w:pict>
          </mc:Fallback>
        </mc:AlternateContent>
      </w:r>
      <w:r>
        <w:rPr>
          <w:rFonts w:ascii="Microsoft Sans Serif"/>
          <w:sz w:val="2"/>
        </w:rPr>
      </w:r>
    </w:p>
    <w:p>
      <w:pPr>
        <w:spacing w:before="114"/>
        <w:ind w:left="68" w:right="0" w:firstLine="0"/>
        <w:jc w:val="left"/>
        <w:rPr>
          <w:rFonts w:ascii="Arial" w:hAnsi="Arial"/>
          <w:i/>
          <w:sz w:val="25"/>
        </w:rPr>
      </w:pPr>
      <w:r>
        <w:rPr>
          <w:rFonts w:ascii="Arial" w:hAnsi="Arial"/>
          <w:i/>
          <w:sz w:val="25"/>
        </w:rPr>
        <w:t>Luís</w:t>
      </w:r>
      <w:r>
        <w:rPr>
          <w:rFonts w:ascii="Arial" w:hAnsi="Arial"/>
          <w:i/>
          <w:spacing w:val="14"/>
          <w:sz w:val="25"/>
        </w:rPr>
        <w:t> </w:t>
      </w:r>
      <w:r>
        <w:rPr>
          <w:rFonts w:ascii="Arial" w:hAnsi="Arial"/>
          <w:i/>
          <w:sz w:val="25"/>
        </w:rPr>
        <w:t>Henrique</w:t>
      </w:r>
      <w:r>
        <w:rPr>
          <w:rFonts w:ascii="Arial" w:hAnsi="Arial"/>
          <w:i/>
          <w:spacing w:val="14"/>
          <w:sz w:val="25"/>
        </w:rPr>
        <w:t> </w:t>
      </w:r>
      <w:r>
        <w:rPr>
          <w:rFonts w:ascii="Arial" w:hAnsi="Arial"/>
          <w:i/>
          <w:sz w:val="25"/>
        </w:rPr>
        <w:t>Wolff</w:t>
      </w:r>
      <w:r>
        <w:rPr>
          <w:rFonts w:ascii="Arial" w:hAnsi="Arial"/>
          <w:i/>
          <w:spacing w:val="14"/>
          <w:sz w:val="25"/>
        </w:rPr>
        <w:t> </w:t>
      </w:r>
      <w:r>
        <w:rPr>
          <w:rFonts w:ascii="Arial" w:hAnsi="Arial"/>
          <w:i/>
          <w:sz w:val="25"/>
        </w:rPr>
        <w:t>Gowdak</w:t>
      </w:r>
      <w:r>
        <w:rPr>
          <w:rFonts w:ascii="Arial" w:hAnsi="Arial"/>
          <w:i/>
          <w:spacing w:val="14"/>
          <w:sz w:val="25"/>
        </w:rPr>
        <w:t> </w:t>
      </w:r>
      <w:r>
        <w:rPr>
          <w:rFonts w:ascii="Arial" w:hAnsi="Arial"/>
          <w:i/>
          <w:sz w:val="25"/>
        </w:rPr>
        <w:t>e</w:t>
      </w:r>
      <w:r>
        <w:rPr>
          <w:rFonts w:ascii="Arial" w:hAnsi="Arial"/>
          <w:i/>
          <w:spacing w:val="14"/>
          <w:sz w:val="25"/>
        </w:rPr>
        <w:t> </w:t>
      </w:r>
      <w:r>
        <w:rPr>
          <w:rFonts w:ascii="Arial" w:hAnsi="Arial"/>
          <w:i/>
          <w:sz w:val="25"/>
        </w:rPr>
        <w:t>José</w:t>
      </w:r>
      <w:r>
        <w:rPr>
          <w:rFonts w:ascii="Arial" w:hAnsi="Arial"/>
          <w:i/>
          <w:spacing w:val="14"/>
          <w:sz w:val="25"/>
        </w:rPr>
        <w:t> </w:t>
      </w:r>
      <w:r>
        <w:rPr>
          <w:rFonts w:ascii="Arial" w:hAnsi="Arial"/>
          <w:i/>
          <w:sz w:val="25"/>
        </w:rPr>
        <w:t>Eduardo</w:t>
      </w:r>
      <w:r>
        <w:rPr>
          <w:rFonts w:ascii="Arial" w:hAnsi="Arial"/>
          <w:i/>
          <w:spacing w:val="14"/>
          <w:sz w:val="25"/>
        </w:rPr>
        <w:t> </w:t>
      </w:r>
      <w:r>
        <w:rPr>
          <w:rFonts w:ascii="Arial" w:hAnsi="Arial"/>
          <w:i/>
          <w:spacing w:val="-2"/>
          <w:sz w:val="25"/>
        </w:rPr>
        <w:t>Krieger</w:t>
      </w:r>
    </w:p>
    <w:p>
      <w:pPr>
        <w:pStyle w:val="BodyText"/>
        <w:spacing w:before="0"/>
        <w:ind w:left="0" w:firstLine="0"/>
        <w:jc w:val="left"/>
        <w:rPr>
          <w:rFonts w:ascii="Arial"/>
          <w:i/>
          <w:sz w:val="25"/>
        </w:rPr>
      </w:pPr>
    </w:p>
    <w:p>
      <w:pPr>
        <w:pStyle w:val="BodyText"/>
        <w:spacing w:before="222"/>
        <w:ind w:left="0" w:firstLine="0"/>
        <w:jc w:val="left"/>
        <w:rPr>
          <w:rFonts w:ascii="Arial"/>
          <w:i/>
          <w:sz w:val="25"/>
        </w:rPr>
      </w:pPr>
    </w:p>
    <w:p>
      <w:pPr>
        <w:pStyle w:val="Heading3"/>
        <w:spacing w:before="1"/>
      </w:pPr>
      <w:r>
        <w:rPr>
          <w:color w:val="242B67"/>
        </w:rPr>
        <w:t>Terapia</w:t>
      </w:r>
      <w:r>
        <w:rPr>
          <w:color w:val="242B67"/>
          <w:spacing w:val="5"/>
        </w:rPr>
        <w:t> </w:t>
      </w:r>
      <w:r>
        <w:rPr>
          <w:color w:val="242B67"/>
          <w:spacing w:val="-2"/>
        </w:rPr>
        <w:t>Gênica</w:t>
      </w:r>
    </w:p>
    <w:p>
      <w:pPr>
        <w:pStyle w:val="BodyText"/>
        <w:spacing w:before="10"/>
        <w:ind w:left="0" w:firstLine="0"/>
        <w:jc w:val="left"/>
        <w:rPr>
          <w:rFonts w:ascii="Microsoft Sans Serif"/>
          <w:sz w:val="4"/>
        </w:rPr>
      </w:pPr>
      <w:r>
        <w:rPr>
          <w:rFonts w:ascii="Microsoft Sans Serif"/>
          <w:sz w:val="4"/>
        </w:rPr>
        <mc:AlternateContent>
          <mc:Choice Requires="wps">
            <w:drawing>
              <wp:anchor distT="0" distB="0" distL="0" distR="0" allowOverlap="1" layoutInCell="1" locked="0" behindDoc="1" simplePos="0" relativeHeight="487641600">
                <wp:simplePos x="0" y="0"/>
                <wp:positionH relativeFrom="page">
                  <wp:posOffset>401543</wp:posOffset>
                </wp:positionH>
                <wp:positionV relativeFrom="paragraph">
                  <wp:posOffset>50929</wp:posOffset>
                </wp:positionV>
                <wp:extent cx="6753225" cy="1079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4.010182pt;width:531.731217pt;height:.8008pt;mso-position-horizontal-relative:page;mso-position-vertical-relative:paragraph;z-index:-15674880;mso-wrap-distance-left:0;mso-wrap-distance-right:0" id="docshape62" filled="true" fillcolor="#242b67" stroked="false">
                <v:fill type="solid"/>
                <w10:wrap type="topAndBottom"/>
              </v:rect>
            </w:pict>
          </mc:Fallback>
        </mc:AlternateContent>
      </w:r>
    </w:p>
    <w:p>
      <w:pPr>
        <w:pStyle w:val="BodyText"/>
        <w:spacing w:before="29"/>
        <w:ind w:left="0" w:firstLine="0"/>
        <w:jc w:val="left"/>
        <w:rPr>
          <w:rFonts w:ascii="Microsoft Sans Serif"/>
          <w:sz w:val="38"/>
        </w:rPr>
      </w:pPr>
    </w:p>
    <w:p>
      <w:pPr>
        <w:pStyle w:val="Heading4"/>
      </w:pPr>
      <w:r>
        <w:rPr>
          <w:color w:val="242B67"/>
          <w:spacing w:val="-2"/>
        </w:rPr>
        <w:t>Introdução</w:t>
      </w:r>
    </w:p>
    <w:p>
      <w:pPr>
        <w:pStyle w:val="BodyText"/>
        <w:spacing w:line="280" w:lineRule="auto" w:before="132"/>
        <w:ind w:right="495"/>
      </w:pPr>
      <w:r>
        <w:rPr/>
        <w:t>Terapia gênica pode ser definida como uma intervenção médica em que técnicas de transferência de material genético são utilizadas para a modificação de células somáticas </w:t>
      </w:r>
      <w:r>
        <w:rPr>
          <w:i/>
        </w:rPr>
        <w:t>in vivo</w:t>
      </w:r>
      <w:r>
        <w:rPr/>
        <w:t>, possibilitando a expressão </w:t>
      </w:r>
      <w:r>
        <w:rPr>
          <w:i/>
        </w:rPr>
        <w:t>in situ </w:t>
      </w:r>
      <w:r>
        <w:rPr/>
        <w:t>do gene transferido, com consequente</w:t>
      </w:r>
      <w:r>
        <w:rPr>
          <w:spacing w:val="-3"/>
        </w:rPr>
        <w:t> </w:t>
      </w:r>
      <w:r>
        <w:rPr/>
        <w:t>efeito terapêutico.</w:t>
      </w:r>
      <w:r>
        <w:rPr>
          <w:vertAlign w:val="superscript"/>
        </w:rPr>
        <w:t>1</w:t>
      </w:r>
      <w:r>
        <w:rPr>
          <w:vertAlign w:val="baseline"/>
        </w:rPr>
        <w:t> A</w:t>
      </w:r>
      <w:r>
        <w:rPr>
          <w:spacing w:val="-3"/>
          <w:vertAlign w:val="baseline"/>
        </w:rPr>
        <w:t> </w:t>
      </w:r>
      <w:r>
        <w:rPr>
          <w:vertAlign w:val="baseline"/>
        </w:rPr>
        <w:t>transferência</w:t>
      </w:r>
      <w:r>
        <w:rPr>
          <w:spacing w:val="-3"/>
          <w:vertAlign w:val="baseline"/>
        </w:rPr>
        <w:t> </w:t>
      </w:r>
      <w:r>
        <w:rPr>
          <w:vertAlign w:val="baseline"/>
        </w:rPr>
        <w:t>do material genético pode</w:t>
      </w:r>
      <w:r>
        <w:rPr>
          <w:spacing w:val="-3"/>
          <w:vertAlign w:val="baseline"/>
        </w:rPr>
        <w:t> </w:t>
      </w:r>
      <w:r>
        <w:rPr>
          <w:vertAlign w:val="baseline"/>
        </w:rPr>
        <w:t>se</w:t>
      </w:r>
      <w:r>
        <w:rPr>
          <w:spacing w:val="-3"/>
          <w:vertAlign w:val="baseline"/>
        </w:rPr>
        <w:t> </w:t>
      </w:r>
      <w:r>
        <w:rPr>
          <w:vertAlign w:val="baseline"/>
        </w:rPr>
        <w:t>dar por via</w:t>
      </w:r>
      <w:r>
        <w:rPr>
          <w:spacing w:val="-3"/>
          <w:vertAlign w:val="baseline"/>
        </w:rPr>
        <w:t> </w:t>
      </w:r>
      <w:r>
        <w:rPr>
          <w:vertAlign w:val="baseline"/>
        </w:rPr>
        <w:t>direta</w:t>
      </w:r>
      <w:r>
        <w:rPr>
          <w:spacing w:val="-3"/>
          <w:vertAlign w:val="baseline"/>
        </w:rPr>
        <w:t> </w:t>
      </w:r>
      <w:r>
        <w:rPr>
          <w:vertAlign w:val="baseline"/>
        </w:rPr>
        <w:t>ou indireta (</w:t>
      </w:r>
      <w:r>
        <w:rPr>
          <w:color w:val="505050"/>
          <w:vertAlign w:val="baseline"/>
        </w:rPr>
        <w:t>Figura 61.1</w:t>
      </w:r>
      <w:r>
        <w:rPr>
          <w:vertAlign w:val="baseline"/>
        </w:rPr>
        <w:t>). Uma das condições necessárias à aplicação bem-sucedida da terapia gênica é a eficiente expressão do gene de interesse pelas células-alvo. Por serem os genes terapêuticos moléculas polares e extraordinariamente grandes, sua administração requer a utilização de um veículo, denominado vetor, capaz de carrear o gene de interesse e guiá-lo até a célula-alvo, facilitando, assim, a transferência de material genético a células somáticas </w:t>
      </w:r>
      <w:r>
        <w:rPr>
          <w:i/>
          <w:vertAlign w:val="baseline"/>
        </w:rPr>
        <w:t>in vivo</w:t>
      </w:r>
      <w:r>
        <w:rPr>
          <w:vertAlign w:val="baseline"/>
        </w:rPr>
        <w:t>.</w:t>
      </w:r>
      <w:r>
        <w:rPr>
          <w:vertAlign w:val="superscript"/>
        </w:rPr>
        <w:t>2</w:t>
      </w:r>
      <w:r>
        <w:rPr>
          <w:vertAlign w:val="baseline"/>
        </w:rPr>
        <w:t> Há, basicamente, dois grandes grupos de vetores de transferência gênica: virais e não virais. Entre os vetores virais, os mais utilizados para a otimização da transferência gênica são os retrovírus e os adenovírus modificados.</w:t>
      </w:r>
      <w:r>
        <w:rPr>
          <w:vertAlign w:val="superscript"/>
        </w:rPr>
        <w:t>3</w:t>
      </w:r>
    </w:p>
    <w:p>
      <w:pPr>
        <w:pStyle w:val="BodyText"/>
        <w:spacing w:line="283" w:lineRule="auto" w:before="44"/>
        <w:ind w:right="488"/>
      </w:pPr>
      <w:r>
        <w:rPr/>
        <w:t>No que concerne às doenças cardiovasculares, a terapia gênica tem sido pesquisada como opção terapêutica experimental</w:t>
      </w:r>
      <w:r>
        <w:rPr>
          <w:spacing w:val="-6"/>
        </w:rPr>
        <w:t> </w:t>
      </w:r>
      <w:r>
        <w:rPr/>
        <w:t>àquelas</w:t>
      </w:r>
      <w:r>
        <w:rPr>
          <w:spacing w:val="-1"/>
        </w:rPr>
        <w:t> </w:t>
      </w:r>
      <w:r>
        <w:rPr/>
        <w:t>situações</w:t>
      </w:r>
      <w:r>
        <w:rPr>
          <w:spacing w:val="-1"/>
        </w:rPr>
        <w:t> </w:t>
      </w:r>
      <w:r>
        <w:rPr/>
        <w:t>de</w:t>
      </w:r>
      <w:r>
        <w:rPr>
          <w:spacing w:val="-11"/>
        </w:rPr>
        <w:t> </w:t>
      </w:r>
      <w:r>
        <w:rPr/>
        <w:t>difícil</w:t>
      </w:r>
      <w:r>
        <w:rPr>
          <w:spacing w:val="-6"/>
        </w:rPr>
        <w:t> </w:t>
      </w:r>
      <w:r>
        <w:rPr/>
        <w:t>manejo</w:t>
      </w:r>
      <w:r>
        <w:rPr>
          <w:spacing w:val="-8"/>
        </w:rPr>
        <w:t> </w:t>
      </w:r>
      <w:r>
        <w:rPr/>
        <w:t>clínico,</w:t>
      </w:r>
      <w:r>
        <w:rPr>
          <w:spacing w:val="-1"/>
        </w:rPr>
        <w:t> </w:t>
      </w:r>
      <w:r>
        <w:rPr/>
        <w:t>como</w:t>
      </w:r>
      <w:r>
        <w:rPr>
          <w:spacing w:val="-8"/>
        </w:rPr>
        <w:t> </w:t>
      </w:r>
      <w:r>
        <w:rPr/>
        <w:t>as</w:t>
      </w:r>
      <w:r>
        <w:rPr>
          <w:spacing w:val="-1"/>
        </w:rPr>
        <w:t> </w:t>
      </w:r>
      <w:r>
        <w:rPr/>
        <w:t>síndromes</w:t>
      </w:r>
      <w:r>
        <w:rPr>
          <w:spacing w:val="-1"/>
        </w:rPr>
        <w:t> </w:t>
      </w:r>
      <w:r>
        <w:rPr/>
        <w:t>isquêmicas</w:t>
      </w:r>
      <w:r>
        <w:rPr>
          <w:spacing w:val="-1"/>
        </w:rPr>
        <w:t> </w:t>
      </w:r>
      <w:r>
        <w:rPr/>
        <w:t>miocárdicas</w:t>
      </w:r>
      <w:r>
        <w:rPr>
          <w:spacing w:val="-1"/>
        </w:rPr>
        <w:t> </w:t>
      </w:r>
      <w:r>
        <w:rPr/>
        <w:t>ou</w:t>
      </w:r>
      <w:r>
        <w:rPr>
          <w:spacing w:val="-8"/>
        </w:rPr>
        <w:t> </w:t>
      </w:r>
      <w:r>
        <w:rPr/>
        <w:t>periféricas, refratárias ao tratamento convencional.</w:t>
      </w:r>
      <w:r>
        <w:rPr>
          <w:vertAlign w:val="superscript"/>
        </w:rPr>
        <w:t>4</w:t>
      </w:r>
    </w:p>
    <w:p>
      <w:pPr>
        <w:pStyle w:val="BodyText"/>
        <w:spacing w:before="178"/>
        <w:ind w:left="0" w:firstLine="0"/>
        <w:jc w:val="left"/>
      </w:pPr>
    </w:p>
    <w:p>
      <w:pPr>
        <w:pStyle w:val="Heading4"/>
      </w:pPr>
      <w:r>
        <w:rPr>
          <w:color w:val="242B67"/>
        </w:rPr>
        <w:t>Vetores de transferência </w:t>
      </w:r>
      <w:r>
        <w:rPr>
          <w:color w:val="242B67"/>
          <w:spacing w:val="-2"/>
        </w:rPr>
        <w:t>gênica</w:t>
      </w:r>
    </w:p>
    <w:p>
      <w:pPr>
        <w:pStyle w:val="BodyText"/>
        <w:spacing w:line="276" w:lineRule="auto" w:before="148"/>
        <w:ind w:right="491"/>
      </w:pPr>
      <w:r>
        <w:rPr/>
        <w:t>A demonstração de que a transferência de material genético exógeno ou transgene é capaz de modificar o comportamento</w:t>
      </w:r>
      <w:r>
        <w:rPr>
          <w:spacing w:val="-6"/>
        </w:rPr>
        <w:t> </w:t>
      </w:r>
      <w:r>
        <w:rPr/>
        <w:t>natural</w:t>
      </w:r>
      <w:r>
        <w:rPr>
          <w:spacing w:val="-4"/>
        </w:rPr>
        <w:t> </w:t>
      </w:r>
      <w:r>
        <w:rPr/>
        <w:t>de</w:t>
      </w:r>
      <w:r>
        <w:rPr>
          <w:spacing w:val="-9"/>
        </w:rPr>
        <w:t> </w:t>
      </w:r>
      <w:r>
        <w:rPr/>
        <w:t>células de</w:t>
      </w:r>
      <w:r>
        <w:rPr>
          <w:spacing w:val="-9"/>
        </w:rPr>
        <w:t> </w:t>
      </w:r>
      <w:r>
        <w:rPr/>
        <w:t>mamíferos se</w:t>
      </w:r>
      <w:r>
        <w:rPr>
          <w:spacing w:val="-9"/>
        </w:rPr>
        <w:t> </w:t>
      </w:r>
      <w:r>
        <w:rPr/>
        <w:t>deu</w:t>
      </w:r>
      <w:r>
        <w:rPr>
          <w:spacing w:val="-6"/>
        </w:rPr>
        <w:t> </w:t>
      </w:r>
      <w:r>
        <w:rPr/>
        <w:t>através da</w:t>
      </w:r>
      <w:r>
        <w:rPr>
          <w:spacing w:val="-9"/>
        </w:rPr>
        <w:t> </w:t>
      </w:r>
      <w:r>
        <w:rPr/>
        <w:t>observação</w:t>
      </w:r>
      <w:r>
        <w:rPr>
          <w:spacing w:val="-6"/>
        </w:rPr>
        <w:t> </w:t>
      </w:r>
      <w:r>
        <w:rPr/>
        <w:t>de</w:t>
      </w:r>
      <w:r>
        <w:rPr>
          <w:spacing w:val="-9"/>
        </w:rPr>
        <w:t> </w:t>
      </w:r>
      <w:r>
        <w:rPr/>
        <w:t>que</w:t>
      </w:r>
      <w:r>
        <w:rPr>
          <w:spacing w:val="-9"/>
        </w:rPr>
        <w:t> </w:t>
      </w:r>
      <w:r>
        <w:rPr/>
        <w:t>uma</w:t>
      </w:r>
      <w:r>
        <w:rPr>
          <w:spacing w:val="-9"/>
        </w:rPr>
        <w:t> </w:t>
      </w:r>
      <w:r>
        <w:rPr/>
        <w:t>família</w:t>
      </w:r>
      <w:r>
        <w:rPr>
          <w:spacing w:val="-9"/>
        </w:rPr>
        <w:t> </w:t>
      </w:r>
      <w:r>
        <w:rPr/>
        <w:t>de</w:t>
      </w:r>
      <w:r>
        <w:rPr>
          <w:spacing w:val="-9"/>
        </w:rPr>
        <w:t> </w:t>
      </w:r>
      <w:r>
        <w:rPr/>
        <w:t>vírus tumorais, representada</w:t>
      </w:r>
      <w:r>
        <w:rPr>
          <w:spacing w:val="-5"/>
        </w:rPr>
        <w:t> </w:t>
      </w:r>
      <w:r>
        <w:rPr/>
        <w:t>pelos papovavírus SV40</w:t>
      </w:r>
      <w:r>
        <w:rPr>
          <w:spacing w:val="-3"/>
        </w:rPr>
        <w:t> </w:t>
      </w:r>
      <w:r>
        <w:rPr/>
        <w:t>e</w:t>
      </w:r>
      <w:r>
        <w:rPr>
          <w:spacing w:val="-5"/>
        </w:rPr>
        <w:t> </w:t>
      </w:r>
      <w:r>
        <w:rPr/>
        <w:t>poliomavírus, é</w:t>
      </w:r>
      <w:r>
        <w:rPr>
          <w:spacing w:val="-5"/>
        </w:rPr>
        <w:t> </w:t>
      </w:r>
      <w:r>
        <w:rPr/>
        <w:t>capaz</w:t>
      </w:r>
      <w:r>
        <w:rPr>
          <w:spacing w:val="-5"/>
        </w:rPr>
        <w:t> </w:t>
      </w:r>
      <w:r>
        <w:rPr/>
        <w:t>de</w:t>
      </w:r>
      <w:r>
        <w:rPr>
          <w:spacing w:val="-5"/>
        </w:rPr>
        <w:t> </w:t>
      </w:r>
      <w:r>
        <w:rPr/>
        <w:t>transformar o</w:t>
      </w:r>
      <w:r>
        <w:rPr>
          <w:spacing w:val="-3"/>
        </w:rPr>
        <w:t> </w:t>
      </w:r>
      <w:r>
        <w:rPr/>
        <w:t>fenótipo</w:t>
      </w:r>
      <w:r>
        <w:rPr>
          <w:spacing w:val="-3"/>
        </w:rPr>
        <w:t> </w:t>
      </w:r>
      <w:r>
        <w:rPr/>
        <w:t>normal de</w:t>
      </w:r>
      <w:r>
        <w:rPr>
          <w:spacing w:val="-5"/>
        </w:rPr>
        <w:t> </w:t>
      </w:r>
      <w:r>
        <w:rPr/>
        <w:t>algumas células para</w:t>
      </w:r>
      <w:r>
        <w:rPr>
          <w:spacing w:val="-9"/>
        </w:rPr>
        <w:t> </w:t>
      </w:r>
      <w:r>
        <w:rPr/>
        <w:t>um</w:t>
      </w:r>
      <w:r>
        <w:rPr>
          <w:spacing w:val="-6"/>
        </w:rPr>
        <w:t> </w:t>
      </w:r>
      <w:r>
        <w:rPr/>
        <w:t>fenótipo</w:t>
      </w:r>
      <w:r>
        <w:rPr>
          <w:spacing w:val="-6"/>
        </w:rPr>
        <w:t> </w:t>
      </w:r>
      <w:r>
        <w:rPr/>
        <w:t>tumoral. Essa</w:t>
      </w:r>
      <w:r>
        <w:rPr>
          <w:spacing w:val="-9"/>
        </w:rPr>
        <w:t> </w:t>
      </w:r>
      <w:r>
        <w:rPr/>
        <w:t>transformação</w:t>
      </w:r>
      <w:r>
        <w:rPr>
          <w:spacing w:val="-6"/>
        </w:rPr>
        <w:t> </w:t>
      </w:r>
      <w:r>
        <w:rPr/>
        <w:t>ocorre</w:t>
      </w:r>
      <w:r>
        <w:rPr>
          <w:spacing w:val="-9"/>
        </w:rPr>
        <w:t> </w:t>
      </w:r>
      <w:r>
        <w:rPr/>
        <w:t>pela</w:t>
      </w:r>
      <w:r>
        <w:rPr>
          <w:spacing w:val="-9"/>
        </w:rPr>
        <w:t> </w:t>
      </w:r>
      <w:r>
        <w:rPr/>
        <w:t>introdução</w:t>
      </w:r>
      <w:r>
        <w:rPr>
          <w:spacing w:val="-6"/>
        </w:rPr>
        <w:t> </w:t>
      </w:r>
      <w:r>
        <w:rPr/>
        <w:t>de</w:t>
      </w:r>
      <w:r>
        <w:rPr>
          <w:spacing w:val="-9"/>
        </w:rPr>
        <w:t> </w:t>
      </w:r>
      <w:r>
        <w:rPr/>
        <w:t>material</w:t>
      </w:r>
      <w:r>
        <w:rPr>
          <w:spacing w:val="-4"/>
        </w:rPr>
        <w:t> </w:t>
      </w:r>
      <w:r>
        <w:rPr/>
        <w:t>genético</w:t>
      </w:r>
      <w:r>
        <w:rPr>
          <w:spacing w:val="-6"/>
        </w:rPr>
        <w:t> </w:t>
      </w:r>
      <w:r>
        <w:rPr/>
        <w:t>na</w:t>
      </w:r>
      <w:r>
        <w:rPr>
          <w:spacing w:val="-9"/>
        </w:rPr>
        <w:t> </w:t>
      </w:r>
      <w:r>
        <w:rPr/>
        <w:t>célula</w:t>
      </w:r>
      <w:r>
        <w:rPr>
          <w:spacing w:val="-9"/>
        </w:rPr>
        <w:t> </w:t>
      </w:r>
      <w:r>
        <w:rPr/>
        <w:t>via</w:t>
      </w:r>
      <w:r>
        <w:rPr>
          <w:spacing w:val="-9"/>
        </w:rPr>
        <w:t> </w:t>
      </w:r>
      <w:r>
        <w:rPr/>
        <w:t>integração</w:t>
      </w:r>
      <w:r>
        <w:rPr>
          <w:spacing w:val="-6"/>
        </w:rPr>
        <w:t> </w:t>
      </w:r>
      <w:r>
        <w:rPr/>
        <w:t>e transdução</w:t>
      </w:r>
      <w:r>
        <w:rPr>
          <w:spacing w:val="-8"/>
        </w:rPr>
        <w:t> </w:t>
      </w:r>
      <w:r>
        <w:rPr/>
        <w:t>do</w:t>
      </w:r>
      <w:r>
        <w:rPr>
          <w:spacing w:val="-8"/>
        </w:rPr>
        <w:t> </w:t>
      </w:r>
      <w:r>
        <w:rPr/>
        <w:t>genoma</w:t>
      </w:r>
      <w:r>
        <w:rPr>
          <w:spacing w:val="-10"/>
        </w:rPr>
        <w:t> </w:t>
      </w:r>
      <w:r>
        <w:rPr/>
        <w:t>viral.</w:t>
      </w:r>
      <w:r>
        <w:rPr>
          <w:spacing w:val="-1"/>
        </w:rPr>
        <w:t> </w:t>
      </w:r>
      <w:r>
        <w:rPr/>
        <w:t>A</w:t>
      </w:r>
      <w:r>
        <w:rPr>
          <w:spacing w:val="-10"/>
        </w:rPr>
        <w:t> </w:t>
      </w:r>
      <w:r>
        <w:rPr/>
        <w:t>integração</w:t>
      </w:r>
      <w:r>
        <w:rPr>
          <w:spacing w:val="-8"/>
        </w:rPr>
        <w:t> </w:t>
      </w:r>
      <w:r>
        <w:rPr/>
        <w:t>do</w:t>
      </w:r>
      <w:r>
        <w:rPr>
          <w:spacing w:val="-8"/>
        </w:rPr>
        <w:t> </w:t>
      </w:r>
      <w:r>
        <w:rPr/>
        <w:t>material</w:t>
      </w:r>
      <w:r>
        <w:rPr>
          <w:spacing w:val="-6"/>
        </w:rPr>
        <w:t> </w:t>
      </w:r>
      <w:r>
        <w:rPr/>
        <w:t>genético</w:t>
      </w:r>
      <w:r>
        <w:rPr>
          <w:spacing w:val="-8"/>
        </w:rPr>
        <w:t> </w:t>
      </w:r>
      <w:r>
        <w:rPr/>
        <w:t>viral</w:t>
      </w:r>
      <w:r>
        <w:rPr>
          <w:spacing w:val="-6"/>
        </w:rPr>
        <w:t> </w:t>
      </w:r>
      <w:r>
        <w:rPr/>
        <w:t>ao</w:t>
      </w:r>
      <w:r>
        <w:rPr>
          <w:spacing w:val="-8"/>
        </w:rPr>
        <w:t> </w:t>
      </w:r>
      <w:r>
        <w:rPr/>
        <w:t>material</w:t>
      </w:r>
      <w:r>
        <w:rPr>
          <w:spacing w:val="-6"/>
        </w:rPr>
        <w:t> </w:t>
      </w:r>
      <w:r>
        <w:rPr/>
        <w:t>genético</w:t>
      </w:r>
      <w:r>
        <w:rPr>
          <w:spacing w:val="-8"/>
        </w:rPr>
        <w:t> </w:t>
      </w:r>
      <w:r>
        <w:rPr/>
        <w:t>da</w:t>
      </w:r>
      <w:r>
        <w:rPr>
          <w:spacing w:val="-10"/>
        </w:rPr>
        <w:t> </w:t>
      </w:r>
      <w:r>
        <w:rPr/>
        <w:t>célula-alvo</w:t>
      </w:r>
      <w:r>
        <w:rPr>
          <w:spacing w:val="-8"/>
        </w:rPr>
        <w:t> </w:t>
      </w:r>
      <w:r>
        <w:rPr/>
        <w:t>faz</w:t>
      </w:r>
      <w:r>
        <w:rPr>
          <w:spacing w:val="-10"/>
        </w:rPr>
        <w:t> </w:t>
      </w:r>
      <w:r>
        <w:rPr/>
        <w:t>com</w:t>
      </w:r>
      <w:r>
        <w:rPr>
          <w:spacing w:val="-8"/>
        </w:rPr>
        <w:t> </w:t>
      </w:r>
      <w:r>
        <w:rPr/>
        <w:t>que células infectadas sejam</w:t>
      </w:r>
      <w:r>
        <w:rPr>
          <w:spacing w:val="-7"/>
        </w:rPr>
        <w:t> </w:t>
      </w:r>
      <w:r>
        <w:rPr/>
        <w:t>capazes de</w:t>
      </w:r>
      <w:r>
        <w:rPr>
          <w:spacing w:val="-10"/>
        </w:rPr>
        <w:t> </w:t>
      </w:r>
      <w:r>
        <w:rPr/>
        <w:t>expressar</w:t>
      </w:r>
      <w:r>
        <w:rPr>
          <w:spacing w:val="-2"/>
        </w:rPr>
        <w:t> </w:t>
      </w:r>
      <w:r>
        <w:rPr/>
        <w:t>alguns genes virais de</w:t>
      </w:r>
      <w:r>
        <w:rPr>
          <w:spacing w:val="-10"/>
        </w:rPr>
        <w:t> </w:t>
      </w:r>
      <w:r>
        <w:rPr/>
        <w:t>forma</w:t>
      </w:r>
      <w:r>
        <w:rPr>
          <w:spacing w:val="-10"/>
        </w:rPr>
        <w:t> </w:t>
      </w:r>
      <w:r>
        <w:rPr/>
        <w:t>estável</w:t>
      </w:r>
      <w:r>
        <w:rPr>
          <w:spacing w:val="-5"/>
        </w:rPr>
        <w:t> </w:t>
      </w:r>
      <w:r>
        <w:rPr/>
        <w:t>e</w:t>
      </w:r>
      <w:r>
        <w:rPr>
          <w:spacing w:val="-10"/>
        </w:rPr>
        <w:t> </w:t>
      </w:r>
      <w:r>
        <w:rPr/>
        <w:t>hereditária, modificando</w:t>
      </w:r>
      <w:r>
        <w:rPr>
          <w:spacing w:val="-7"/>
        </w:rPr>
        <w:t> </w:t>
      </w:r>
      <w:r>
        <w:rPr/>
        <w:t>assim algumas funções celulares.</w:t>
      </w:r>
    </w:p>
    <w:p>
      <w:pPr>
        <w:pStyle w:val="BodyText"/>
        <w:spacing w:line="276" w:lineRule="auto" w:before="49"/>
        <w:ind w:right="488"/>
      </w:pPr>
      <w:r>
        <w:rPr/>
        <w:t>Os vetores virais são um excelente veículo para a transferência de genes exógenos, pois sua eficiência na transdução pode chegar a 100%, o que não se observa em outras metodologias de transferência gênica. A dificuldade</w:t>
      </w:r>
      <w:r>
        <w:rPr>
          <w:spacing w:val="-4"/>
        </w:rPr>
        <w:t> </w:t>
      </w:r>
      <w:r>
        <w:rPr/>
        <w:t>de</w:t>
      </w:r>
      <w:r>
        <w:rPr>
          <w:spacing w:val="-4"/>
        </w:rPr>
        <w:t> </w:t>
      </w:r>
      <w:r>
        <w:rPr/>
        <w:t>obtenção</w:t>
      </w:r>
      <w:r>
        <w:rPr>
          <w:spacing w:val="-1"/>
        </w:rPr>
        <w:t> </w:t>
      </w:r>
      <w:r>
        <w:rPr/>
        <w:t>em</w:t>
      </w:r>
      <w:r>
        <w:rPr>
          <w:spacing w:val="-1"/>
        </w:rPr>
        <w:t> </w:t>
      </w:r>
      <w:r>
        <w:rPr/>
        <w:t>grande</w:t>
      </w:r>
      <w:r>
        <w:rPr>
          <w:spacing w:val="-4"/>
        </w:rPr>
        <w:t> </w:t>
      </w:r>
      <w:r>
        <w:rPr/>
        <w:t>escala</w:t>
      </w:r>
      <w:r>
        <w:rPr>
          <w:spacing w:val="-4"/>
        </w:rPr>
        <w:t> </w:t>
      </w:r>
      <w:r>
        <w:rPr/>
        <w:t>de</w:t>
      </w:r>
      <w:r>
        <w:rPr>
          <w:spacing w:val="-4"/>
        </w:rPr>
        <w:t> </w:t>
      </w:r>
      <w:r>
        <w:rPr/>
        <w:t>determinados vetores virais e, sobretudo, a</w:t>
      </w:r>
      <w:r>
        <w:rPr>
          <w:spacing w:val="-4"/>
        </w:rPr>
        <w:t> </w:t>
      </w:r>
      <w:r>
        <w:rPr/>
        <w:t>dificuldade</w:t>
      </w:r>
      <w:r>
        <w:rPr>
          <w:spacing w:val="-4"/>
        </w:rPr>
        <w:t> </w:t>
      </w:r>
      <w:r>
        <w:rPr/>
        <w:t>em</w:t>
      </w:r>
      <w:r>
        <w:rPr>
          <w:spacing w:val="-1"/>
        </w:rPr>
        <w:t> </w:t>
      </w:r>
      <w:r>
        <w:rPr/>
        <w:t>se</w:t>
      </w:r>
      <w:r>
        <w:rPr>
          <w:spacing w:val="-4"/>
        </w:rPr>
        <w:t> </w:t>
      </w:r>
      <w:r>
        <w:rPr/>
        <w:t>obterem vírus deficientes em replicação faz com que apenas alguns tipos de vírus sejam utilizados em terapia gênica. Por esta</w:t>
      </w:r>
      <w:r>
        <w:rPr>
          <w:spacing w:val="-4"/>
        </w:rPr>
        <w:t> </w:t>
      </w:r>
      <w:r>
        <w:rPr/>
        <w:t>razão, atualmente, os vetores retrovirais e</w:t>
      </w:r>
      <w:r>
        <w:rPr>
          <w:spacing w:val="-4"/>
        </w:rPr>
        <w:t> </w:t>
      </w:r>
      <w:r>
        <w:rPr/>
        <w:t>adenovirais são</w:t>
      </w:r>
      <w:r>
        <w:rPr>
          <w:spacing w:val="-1"/>
        </w:rPr>
        <w:t> </w:t>
      </w:r>
      <w:r>
        <w:rPr/>
        <w:t>os mais utilizados em</w:t>
      </w:r>
      <w:r>
        <w:rPr>
          <w:spacing w:val="-1"/>
        </w:rPr>
        <w:t> </w:t>
      </w:r>
      <w:r>
        <w:rPr/>
        <w:t>protocolos de</w:t>
      </w:r>
      <w:r>
        <w:rPr>
          <w:spacing w:val="-4"/>
        </w:rPr>
        <w:t> </w:t>
      </w:r>
      <w:r>
        <w:rPr/>
        <w:t>terapia</w:t>
      </w:r>
      <w:r>
        <w:rPr>
          <w:spacing w:val="-4"/>
        </w:rPr>
        <w:t> </w:t>
      </w:r>
      <w:r>
        <w:rPr/>
        <w:t>gênica.</w:t>
      </w:r>
    </w:p>
    <w:p>
      <w:pPr>
        <w:pStyle w:val="BodyText"/>
        <w:spacing w:line="280" w:lineRule="auto"/>
        <w:ind w:right="488"/>
      </w:pPr>
      <w:r>
        <w:rPr/>
        <w:t>O uso dos adenovírus está associado a uma eficiente expressão gênica, porém, sua grande imunogenicidade limita</w:t>
      </w:r>
      <w:r>
        <w:rPr>
          <w:spacing w:val="-6"/>
        </w:rPr>
        <w:t> </w:t>
      </w:r>
      <w:r>
        <w:rPr/>
        <w:t>sua</w:t>
      </w:r>
      <w:r>
        <w:rPr>
          <w:spacing w:val="-6"/>
        </w:rPr>
        <w:t> </w:t>
      </w:r>
      <w:r>
        <w:rPr/>
        <w:t>aplicação</w:t>
      </w:r>
      <w:r>
        <w:rPr>
          <w:spacing w:val="-3"/>
        </w:rPr>
        <w:t> </w:t>
      </w:r>
      <w:r>
        <w:rPr/>
        <w:t>clínica</w:t>
      </w:r>
      <w:r>
        <w:rPr>
          <w:spacing w:val="-6"/>
        </w:rPr>
        <w:t> </w:t>
      </w:r>
      <w:r>
        <w:rPr/>
        <w:t>em</w:t>
      </w:r>
      <w:r>
        <w:rPr>
          <w:spacing w:val="-3"/>
        </w:rPr>
        <w:t> </w:t>
      </w:r>
      <w:r>
        <w:rPr/>
        <w:t>diversas situações. O</w:t>
      </w:r>
      <w:r>
        <w:rPr>
          <w:spacing w:val="-6"/>
        </w:rPr>
        <w:t> </w:t>
      </w:r>
      <w:r>
        <w:rPr/>
        <w:t>desenvolvimento</w:t>
      </w:r>
      <w:r>
        <w:rPr>
          <w:spacing w:val="-3"/>
        </w:rPr>
        <w:t> </w:t>
      </w:r>
      <w:r>
        <w:rPr/>
        <w:t>de</w:t>
      </w:r>
      <w:r>
        <w:rPr>
          <w:spacing w:val="-6"/>
        </w:rPr>
        <w:t> </w:t>
      </w:r>
      <w:r>
        <w:rPr/>
        <w:t>uma</w:t>
      </w:r>
      <w:r>
        <w:rPr>
          <w:spacing w:val="-6"/>
        </w:rPr>
        <w:t> </w:t>
      </w:r>
      <w:r>
        <w:rPr/>
        <w:t>nova</w:t>
      </w:r>
      <w:r>
        <w:rPr>
          <w:spacing w:val="-6"/>
        </w:rPr>
        <w:t> </w:t>
      </w:r>
      <w:r>
        <w:rPr/>
        <w:t>geração</w:t>
      </w:r>
      <w:r>
        <w:rPr>
          <w:spacing w:val="-3"/>
        </w:rPr>
        <w:t> </w:t>
      </w:r>
      <w:r>
        <w:rPr/>
        <w:t>de</w:t>
      </w:r>
      <w:r>
        <w:rPr>
          <w:spacing w:val="-6"/>
        </w:rPr>
        <w:t> </w:t>
      </w:r>
      <w:r>
        <w:rPr/>
        <w:t>vetores adenovirais, entretanto, com menor ou nenhuma</w:t>
      </w:r>
      <w:r>
        <w:rPr>
          <w:spacing w:val="-2"/>
        </w:rPr>
        <w:t> </w:t>
      </w:r>
      <w:r>
        <w:rPr/>
        <w:t>resposta</w:t>
      </w:r>
      <w:r>
        <w:rPr>
          <w:spacing w:val="-2"/>
        </w:rPr>
        <w:t> </w:t>
      </w:r>
      <w:r>
        <w:rPr/>
        <w:t>imune, permitiu que</w:t>
      </w:r>
      <w:r>
        <w:rPr>
          <w:spacing w:val="-2"/>
        </w:rPr>
        <w:t> </w:t>
      </w:r>
      <w:r>
        <w:rPr/>
        <w:t>esses vetores se</w:t>
      </w:r>
      <w:r>
        <w:rPr>
          <w:spacing w:val="-2"/>
        </w:rPr>
        <w:t> </w:t>
      </w:r>
      <w:r>
        <w:rPr/>
        <w:t>tornassem os mais utilizados em ensaios clínicos de terapia gênica cardiovascular.</w:t>
      </w:r>
      <w:r>
        <w:rPr>
          <w:vertAlign w:val="superscript"/>
        </w:rPr>
        <w:t>3</w:t>
      </w:r>
      <w:r>
        <w:rPr>
          <w:vertAlign w:val="baseline"/>
        </w:rPr>
        <w:t> Uma alternativa segura e eficiente às técnicas de transferência gênica </w:t>
      </w:r>
      <w:r>
        <w:rPr>
          <w:i/>
          <w:vertAlign w:val="baseline"/>
        </w:rPr>
        <w:t>in vivo</w:t>
      </w:r>
      <w:r>
        <w:rPr>
          <w:i/>
          <w:spacing w:val="18"/>
          <w:vertAlign w:val="baseline"/>
        </w:rPr>
        <w:t> </w:t>
      </w:r>
      <w:r>
        <w:rPr>
          <w:vertAlign w:val="baseline"/>
        </w:rPr>
        <w:t>é</w:t>
      </w:r>
      <w:r>
        <w:rPr>
          <w:spacing w:val="15"/>
          <w:vertAlign w:val="baseline"/>
        </w:rPr>
        <w:t> </w:t>
      </w:r>
      <w:r>
        <w:rPr>
          <w:vertAlign w:val="baseline"/>
        </w:rPr>
        <w:t>a</w:t>
      </w:r>
      <w:r>
        <w:rPr>
          <w:spacing w:val="15"/>
          <w:vertAlign w:val="baseline"/>
        </w:rPr>
        <w:t> </w:t>
      </w:r>
      <w:r>
        <w:rPr>
          <w:vertAlign w:val="baseline"/>
        </w:rPr>
        <w:t>transferência</w:t>
      </w:r>
      <w:r>
        <w:rPr>
          <w:spacing w:val="15"/>
          <w:vertAlign w:val="baseline"/>
        </w:rPr>
        <w:t> </w:t>
      </w:r>
      <w:r>
        <w:rPr>
          <w:vertAlign w:val="baseline"/>
        </w:rPr>
        <w:t>gênica</w:t>
      </w:r>
      <w:r>
        <w:rPr>
          <w:spacing w:val="16"/>
          <w:vertAlign w:val="baseline"/>
        </w:rPr>
        <w:t> </w:t>
      </w:r>
      <w:r>
        <w:rPr>
          <w:i/>
          <w:vertAlign w:val="baseline"/>
        </w:rPr>
        <w:t>ex vivo</w:t>
      </w:r>
      <w:r>
        <w:rPr>
          <w:vertAlign w:val="baseline"/>
        </w:rPr>
        <w:t>.</w:t>
      </w:r>
      <w:r>
        <w:rPr>
          <w:spacing w:val="28"/>
          <w:vertAlign w:val="baseline"/>
        </w:rPr>
        <w:t> </w:t>
      </w:r>
      <w:r>
        <w:rPr>
          <w:vertAlign w:val="baseline"/>
        </w:rPr>
        <w:t>Esta</w:t>
      </w:r>
      <w:r>
        <w:rPr>
          <w:spacing w:val="18"/>
          <w:vertAlign w:val="baseline"/>
        </w:rPr>
        <w:t> </w:t>
      </w:r>
      <w:r>
        <w:rPr>
          <w:vertAlign w:val="baseline"/>
        </w:rPr>
        <w:t>metodologia</w:t>
      </w:r>
      <w:r>
        <w:rPr>
          <w:spacing w:val="18"/>
          <w:vertAlign w:val="baseline"/>
        </w:rPr>
        <w:t> </w:t>
      </w:r>
      <w:r>
        <w:rPr>
          <w:vertAlign w:val="baseline"/>
        </w:rPr>
        <w:t>consiste</w:t>
      </w:r>
      <w:r>
        <w:rPr>
          <w:spacing w:val="18"/>
          <w:vertAlign w:val="baseline"/>
        </w:rPr>
        <w:t> </w:t>
      </w:r>
      <w:r>
        <w:rPr>
          <w:vertAlign w:val="baseline"/>
        </w:rPr>
        <w:t>na</w:t>
      </w:r>
      <w:r>
        <w:rPr>
          <w:spacing w:val="18"/>
          <w:vertAlign w:val="baseline"/>
        </w:rPr>
        <w:t> </w:t>
      </w:r>
      <w:r>
        <w:rPr>
          <w:vertAlign w:val="baseline"/>
        </w:rPr>
        <w:t>transfecção</w:t>
      </w:r>
      <w:r>
        <w:rPr>
          <w:spacing w:val="20"/>
          <w:vertAlign w:val="baseline"/>
        </w:rPr>
        <w:t> </w:t>
      </w:r>
      <w:r>
        <w:rPr>
          <w:vertAlign w:val="baseline"/>
        </w:rPr>
        <w:t>de</w:t>
      </w:r>
      <w:r>
        <w:rPr>
          <w:spacing w:val="18"/>
          <w:vertAlign w:val="baseline"/>
        </w:rPr>
        <w:t> </w:t>
      </w:r>
      <w:r>
        <w:rPr>
          <w:vertAlign w:val="baseline"/>
        </w:rPr>
        <w:t>células</w:t>
      </w:r>
      <w:r>
        <w:rPr>
          <w:spacing w:val="28"/>
          <w:vertAlign w:val="baseline"/>
        </w:rPr>
        <w:t> </w:t>
      </w:r>
      <w:r>
        <w:rPr>
          <w:vertAlign w:val="baseline"/>
        </w:rPr>
        <w:t>mantidas</w:t>
      </w:r>
      <w:r>
        <w:rPr>
          <w:spacing w:val="28"/>
          <w:vertAlign w:val="baseline"/>
        </w:rPr>
        <w:t> </w:t>
      </w:r>
      <w:r>
        <w:rPr>
          <w:vertAlign w:val="baseline"/>
        </w:rPr>
        <w:t>em</w:t>
      </w:r>
    </w:p>
    <w:p>
      <w:pPr>
        <w:pStyle w:val="BodyText"/>
        <w:spacing w:after="0" w:line="280" w:lineRule="auto"/>
        <w:sectPr>
          <w:pgSz w:w="11900" w:h="16840"/>
          <w:pgMar w:top="1060" w:bottom="280" w:left="566" w:right="141"/>
        </w:sectPr>
      </w:pPr>
    </w:p>
    <w:p>
      <w:pPr>
        <w:pStyle w:val="BodyText"/>
        <w:spacing w:before="71"/>
        <w:ind w:firstLine="0"/>
        <w:jc w:val="left"/>
      </w:pPr>
      <w:r>
        <w:rPr/>
        <w:t>cultura</w:t>
      </w:r>
      <w:r>
        <w:rPr>
          <w:spacing w:val="-17"/>
        </w:rPr>
        <w:t> </w:t>
      </w:r>
      <w:r>
        <w:rPr/>
        <w:t>empregando</w:t>
      </w:r>
      <w:r>
        <w:rPr>
          <w:spacing w:val="-14"/>
        </w:rPr>
        <w:t> </w:t>
      </w:r>
      <w:r>
        <w:rPr/>
        <w:t>diferentes</w:t>
      </w:r>
      <w:r>
        <w:rPr>
          <w:spacing w:val="-13"/>
        </w:rPr>
        <w:t> </w:t>
      </w:r>
      <w:r>
        <w:rPr/>
        <w:t>vetores</w:t>
      </w:r>
      <w:r>
        <w:rPr>
          <w:spacing w:val="-12"/>
        </w:rPr>
        <w:t> </w:t>
      </w:r>
      <w:r>
        <w:rPr/>
        <w:t>virais</w:t>
      </w:r>
      <w:r>
        <w:rPr>
          <w:spacing w:val="-12"/>
        </w:rPr>
        <w:t> </w:t>
      </w:r>
      <w:r>
        <w:rPr/>
        <w:t>para</w:t>
      </w:r>
      <w:r>
        <w:rPr>
          <w:spacing w:val="-15"/>
        </w:rPr>
        <w:t> </w:t>
      </w:r>
      <w:r>
        <w:rPr/>
        <w:t>posterior</w:t>
      </w:r>
      <w:r>
        <w:rPr>
          <w:spacing w:val="-12"/>
        </w:rPr>
        <w:t> </w:t>
      </w:r>
      <w:r>
        <w:rPr/>
        <w:t>implantação</w:t>
      </w:r>
      <w:r>
        <w:rPr>
          <w:spacing w:val="-14"/>
        </w:rPr>
        <w:t> </w:t>
      </w:r>
      <w:r>
        <w:rPr/>
        <w:t>no</w:t>
      </w:r>
      <w:r>
        <w:rPr>
          <w:spacing w:val="-14"/>
        </w:rPr>
        <w:t> </w:t>
      </w:r>
      <w:r>
        <w:rPr/>
        <w:t>órgão-</w:t>
      </w:r>
      <w:r>
        <w:rPr>
          <w:spacing w:val="-2"/>
        </w:rPr>
        <w:t>alvo.</w:t>
      </w:r>
    </w:p>
    <w:p>
      <w:pPr>
        <w:pStyle w:val="BodyText"/>
        <w:spacing w:before="47"/>
        <w:ind w:left="0" w:firstLine="0"/>
        <w:jc w:val="left"/>
        <w:rPr>
          <w:sz w:val="20"/>
        </w:rPr>
      </w:pPr>
      <w:r>
        <w:rPr>
          <w:sz w:val="20"/>
        </w:rPr>
        <w:drawing>
          <wp:anchor distT="0" distB="0" distL="0" distR="0" allowOverlap="1" layoutInCell="1" locked="0" behindDoc="1" simplePos="0" relativeHeight="487642112">
            <wp:simplePos x="0" y="0"/>
            <wp:positionH relativeFrom="page">
              <wp:posOffset>401556</wp:posOffset>
            </wp:positionH>
            <wp:positionV relativeFrom="paragraph">
              <wp:posOffset>191225</wp:posOffset>
            </wp:positionV>
            <wp:extent cx="6760717" cy="4617720"/>
            <wp:effectExtent l="0" t="0" r="0" b="0"/>
            <wp:wrapTopAndBottom/>
            <wp:docPr id="149" name="Image 149"/>
            <wp:cNvGraphicFramePr>
              <a:graphicFrameLocks/>
            </wp:cNvGraphicFramePr>
            <a:graphic>
              <a:graphicData uri="http://schemas.openxmlformats.org/drawingml/2006/picture">
                <pic:pic>
                  <pic:nvPicPr>
                    <pic:cNvPr id="149" name="Image 149"/>
                    <pic:cNvPicPr/>
                  </pic:nvPicPr>
                  <pic:blipFill>
                    <a:blip r:embed="rId90" cstate="print"/>
                    <a:stretch>
                      <a:fillRect/>
                    </a:stretch>
                  </pic:blipFill>
                  <pic:spPr>
                    <a:xfrm>
                      <a:off x="0" y="0"/>
                      <a:ext cx="6760717" cy="4617720"/>
                    </a:xfrm>
                    <a:prstGeom prst="rect">
                      <a:avLst/>
                    </a:prstGeom>
                  </pic:spPr>
                </pic:pic>
              </a:graphicData>
            </a:graphic>
          </wp:anchor>
        </w:drawing>
      </w:r>
    </w:p>
    <w:p>
      <w:pPr>
        <w:spacing w:before="252"/>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4"/>
          <w:sz w:val="19"/>
        </w:rPr>
        <w:t> </w:t>
      </w:r>
      <w:r>
        <w:rPr>
          <w:rFonts w:ascii="Arial" w:hAnsi="Arial"/>
          <w:b/>
          <w:color w:val="242B67"/>
          <w:sz w:val="19"/>
        </w:rPr>
        <w:t>61.1</w:t>
      </w:r>
      <w:r>
        <w:rPr>
          <w:rFonts w:ascii="Arial" w:hAnsi="Arial"/>
          <w:b/>
          <w:color w:val="242B67"/>
          <w:spacing w:val="15"/>
          <w:sz w:val="19"/>
        </w:rPr>
        <w:t> </w:t>
      </w:r>
      <w:r>
        <w:rPr>
          <w:rFonts w:ascii="Microsoft Sans Serif" w:hAnsi="Microsoft Sans Serif"/>
          <w:sz w:val="19"/>
        </w:rPr>
        <w:t>Métodos</w:t>
      </w:r>
      <w:r>
        <w:rPr>
          <w:rFonts w:ascii="Microsoft Sans Serif" w:hAnsi="Microsoft Sans Serif"/>
          <w:spacing w:val="10"/>
          <w:sz w:val="19"/>
        </w:rPr>
        <w:t> </w:t>
      </w:r>
      <w:r>
        <w:rPr>
          <w:rFonts w:ascii="Microsoft Sans Serif" w:hAnsi="Microsoft Sans Serif"/>
          <w:sz w:val="19"/>
        </w:rPr>
        <w:t>de</w:t>
      </w:r>
      <w:r>
        <w:rPr>
          <w:rFonts w:ascii="Microsoft Sans Serif" w:hAnsi="Microsoft Sans Serif"/>
          <w:spacing w:val="17"/>
          <w:sz w:val="19"/>
        </w:rPr>
        <w:t> </w:t>
      </w:r>
      <w:r>
        <w:rPr>
          <w:rFonts w:ascii="Microsoft Sans Serif" w:hAnsi="Microsoft Sans Serif"/>
          <w:sz w:val="19"/>
        </w:rPr>
        <w:t>transferência</w:t>
      </w:r>
      <w:r>
        <w:rPr>
          <w:rFonts w:ascii="Microsoft Sans Serif" w:hAnsi="Microsoft Sans Serif"/>
          <w:spacing w:val="16"/>
          <w:sz w:val="19"/>
        </w:rPr>
        <w:t> </w:t>
      </w:r>
      <w:r>
        <w:rPr>
          <w:rFonts w:ascii="Microsoft Sans Serif" w:hAnsi="Microsoft Sans Serif"/>
          <w:sz w:val="19"/>
        </w:rPr>
        <w:t>de</w:t>
      </w:r>
      <w:r>
        <w:rPr>
          <w:rFonts w:ascii="Microsoft Sans Serif" w:hAnsi="Microsoft Sans Serif"/>
          <w:spacing w:val="17"/>
          <w:sz w:val="19"/>
        </w:rPr>
        <w:t> </w:t>
      </w:r>
      <w:r>
        <w:rPr>
          <w:rFonts w:ascii="Microsoft Sans Serif" w:hAnsi="Microsoft Sans Serif"/>
          <w:sz w:val="19"/>
        </w:rPr>
        <w:t>material</w:t>
      </w:r>
      <w:r>
        <w:rPr>
          <w:rFonts w:ascii="Microsoft Sans Serif" w:hAnsi="Microsoft Sans Serif"/>
          <w:spacing w:val="16"/>
          <w:sz w:val="19"/>
        </w:rPr>
        <w:t> </w:t>
      </w:r>
      <w:r>
        <w:rPr>
          <w:rFonts w:ascii="Microsoft Sans Serif" w:hAnsi="Microsoft Sans Serif"/>
          <w:sz w:val="19"/>
        </w:rPr>
        <w:t>genético</w:t>
      </w:r>
      <w:r>
        <w:rPr>
          <w:rFonts w:ascii="Microsoft Sans Serif" w:hAnsi="Microsoft Sans Serif"/>
          <w:spacing w:val="17"/>
          <w:sz w:val="19"/>
        </w:rPr>
        <w:t> </w:t>
      </w:r>
      <w:r>
        <w:rPr>
          <w:rFonts w:ascii="Microsoft Sans Serif" w:hAnsi="Microsoft Sans Serif"/>
          <w:sz w:val="19"/>
        </w:rPr>
        <w:t>para</w:t>
      </w:r>
      <w:r>
        <w:rPr>
          <w:rFonts w:ascii="Microsoft Sans Serif" w:hAnsi="Microsoft Sans Serif"/>
          <w:spacing w:val="16"/>
          <w:sz w:val="19"/>
        </w:rPr>
        <w:t> </w:t>
      </w:r>
      <w:r>
        <w:rPr>
          <w:rFonts w:ascii="Microsoft Sans Serif" w:hAnsi="Microsoft Sans Serif"/>
          <w:sz w:val="19"/>
        </w:rPr>
        <w:t>células</w:t>
      </w:r>
      <w:r>
        <w:rPr>
          <w:rFonts w:ascii="Microsoft Sans Serif" w:hAnsi="Microsoft Sans Serif"/>
          <w:spacing w:val="11"/>
          <w:sz w:val="19"/>
        </w:rPr>
        <w:t> </w:t>
      </w:r>
      <w:r>
        <w:rPr>
          <w:rFonts w:ascii="Microsoft Sans Serif" w:hAnsi="Microsoft Sans Serif"/>
          <w:spacing w:val="-2"/>
          <w:sz w:val="19"/>
        </w:rPr>
        <w:t>somáticas.</w:t>
      </w:r>
    </w:p>
    <w:p>
      <w:pPr>
        <w:pStyle w:val="BodyText"/>
        <w:spacing w:before="0"/>
        <w:ind w:left="0" w:firstLine="0"/>
        <w:jc w:val="left"/>
        <w:rPr>
          <w:rFonts w:ascii="Microsoft Sans Serif"/>
          <w:sz w:val="19"/>
        </w:rPr>
      </w:pPr>
    </w:p>
    <w:p>
      <w:pPr>
        <w:pStyle w:val="BodyText"/>
        <w:spacing w:before="53"/>
        <w:ind w:left="0" w:firstLine="0"/>
        <w:jc w:val="left"/>
        <w:rPr>
          <w:rFonts w:ascii="Microsoft Sans Serif"/>
          <w:sz w:val="19"/>
        </w:rPr>
      </w:pPr>
    </w:p>
    <w:p>
      <w:pPr>
        <w:pStyle w:val="Heading4"/>
        <w:spacing w:line="273" w:lineRule="auto"/>
      </w:pPr>
      <w:r>
        <w:rPr>
          <w:color w:val="242B67"/>
        </w:rPr>
        <w:t>Estado atual da terapia gênica no tratamento de doenças </w:t>
      </w:r>
      <w:r>
        <w:rPr>
          <w:color w:val="242B67"/>
          <w:spacing w:val="-2"/>
        </w:rPr>
        <w:t>cardiovasculares</w:t>
      </w:r>
    </w:p>
    <w:p>
      <w:pPr>
        <w:pStyle w:val="BodyText"/>
        <w:spacing w:line="278" w:lineRule="auto" w:before="79"/>
        <w:ind w:right="490"/>
      </w:pPr>
      <w:r>
        <w:rPr/>
        <w:t>Até março de 2013, 1.191 protocolos haviam sido submetidos ao Office of Recombinant DNA Activities do National Institutes of Health dos EUA, órgão responsável pelo controle de todos os protocolos envolvendo manipulação gênica naquele país.</w:t>
      </w:r>
      <w:r>
        <w:rPr>
          <w:vertAlign w:val="superscript"/>
        </w:rPr>
        <w:t>5</w:t>
      </w:r>
      <w:r>
        <w:rPr>
          <w:vertAlign w:val="baseline"/>
        </w:rPr>
        <w:t> Deste universo, 1.132 protocolos (95% do total) correspondem a protocolos de terapia gênica. O maior número de protocolos de terapia gênica está concentrado na área de oncologia com 818 protocolos submetidos à apreciação e/ou em desenvolvimento. Em relação às doenças cardiovasculares, a insuficiência</w:t>
      </w:r>
      <w:r>
        <w:rPr>
          <w:spacing w:val="-1"/>
          <w:vertAlign w:val="baseline"/>
        </w:rPr>
        <w:t> </w:t>
      </w:r>
      <w:r>
        <w:rPr>
          <w:vertAlign w:val="baseline"/>
        </w:rPr>
        <w:t>arterial periférica</w:t>
      </w:r>
      <w:r>
        <w:rPr>
          <w:spacing w:val="-1"/>
          <w:vertAlign w:val="baseline"/>
        </w:rPr>
        <w:t> </w:t>
      </w:r>
      <w:r>
        <w:rPr>
          <w:vertAlign w:val="baseline"/>
        </w:rPr>
        <w:t>(46 projetos), a</w:t>
      </w:r>
      <w:r>
        <w:rPr>
          <w:spacing w:val="-1"/>
          <w:vertAlign w:val="baseline"/>
        </w:rPr>
        <w:t> </w:t>
      </w:r>
      <w:r>
        <w:rPr>
          <w:vertAlign w:val="baseline"/>
        </w:rPr>
        <w:t>insuficiência</w:t>
      </w:r>
      <w:r>
        <w:rPr>
          <w:spacing w:val="-1"/>
          <w:vertAlign w:val="baseline"/>
        </w:rPr>
        <w:t> </w:t>
      </w:r>
      <w:r>
        <w:rPr>
          <w:vertAlign w:val="baseline"/>
        </w:rPr>
        <w:t>coronariana</w:t>
      </w:r>
      <w:r>
        <w:rPr>
          <w:spacing w:val="-1"/>
          <w:vertAlign w:val="baseline"/>
        </w:rPr>
        <w:t> </w:t>
      </w:r>
      <w:r>
        <w:rPr>
          <w:vertAlign w:val="baseline"/>
        </w:rPr>
        <w:t>crônica</w:t>
      </w:r>
      <w:r>
        <w:rPr>
          <w:spacing w:val="-1"/>
          <w:vertAlign w:val="baseline"/>
        </w:rPr>
        <w:t> </w:t>
      </w:r>
      <w:r>
        <w:rPr>
          <w:vertAlign w:val="baseline"/>
        </w:rPr>
        <w:t>(24 projetos), a</w:t>
      </w:r>
      <w:r>
        <w:rPr>
          <w:spacing w:val="-1"/>
          <w:vertAlign w:val="baseline"/>
        </w:rPr>
        <w:t> </w:t>
      </w:r>
      <w:r>
        <w:rPr>
          <w:vertAlign w:val="baseline"/>
        </w:rPr>
        <w:t>reestenose</w:t>
      </w:r>
      <w:r>
        <w:rPr>
          <w:spacing w:val="-1"/>
          <w:vertAlign w:val="baseline"/>
        </w:rPr>
        <w:t> </w:t>
      </w:r>
      <w:r>
        <w:rPr>
          <w:vertAlign w:val="baseline"/>
        </w:rPr>
        <w:t>arterial (três projetos) e a insuficiência cardíaca (IC; nove projetos) totalizam, juntas, 82 protocolos submetidos (7% do </w:t>
      </w:r>
      <w:r>
        <w:rPr>
          <w:spacing w:val="-2"/>
          <w:vertAlign w:val="baseline"/>
        </w:rPr>
        <w:t>total).</w:t>
      </w:r>
    </w:p>
    <w:p>
      <w:pPr>
        <w:pStyle w:val="BodyText"/>
        <w:spacing w:before="181"/>
        <w:ind w:left="0" w:firstLine="0"/>
        <w:jc w:val="left"/>
      </w:pPr>
    </w:p>
    <w:p>
      <w:pPr>
        <w:pStyle w:val="Heading4"/>
      </w:pPr>
      <w:r>
        <w:rPr>
          <w:color w:val="242B67"/>
        </w:rPr>
        <w:t>Potenciais alvos terapêuticos da terapia </w:t>
      </w:r>
      <w:r>
        <w:rPr>
          <w:color w:val="242B67"/>
          <w:spacing w:val="-2"/>
        </w:rPr>
        <w:t>gênica</w:t>
      </w:r>
    </w:p>
    <w:p>
      <w:pPr>
        <w:pStyle w:val="BodyText"/>
        <w:spacing w:line="278" w:lineRule="auto" w:before="132"/>
        <w:ind w:right="491"/>
      </w:pPr>
      <w:r>
        <w:rPr/>
        <w:t>Admite-se, hoje, que em quase toda e qualquer doença humana existe um componente genético envolvido em seu</w:t>
      </w:r>
      <w:r>
        <w:rPr>
          <w:spacing w:val="-5"/>
        </w:rPr>
        <w:t> </w:t>
      </w:r>
      <w:r>
        <w:rPr/>
        <w:t>aparecimento</w:t>
      </w:r>
      <w:r>
        <w:rPr>
          <w:spacing w:val="-5"/>
        </w:rPr>
        <w:t> </w:t>
      </w:r>
      <w:r>
        <w:rPr/>
        <w:t>e/ou</w:t>
      </w:r>
      <w:r>
        <w:rPr>
          <w:spacing w:val="-5"/>
        </w:rPr>
        <w:t> </w:t>
      </w:r>
      <w:r>
        <w:rPr/>
        <w:t>desenvolvimento. Em</w:t>
      </w:r>
      <w:r>
        <w:rPr>
          <w:spacing w:val="-6"/>
        </w:rPr>
        <w:t> </w:t>
      </w:r>
      <w:r>
        <w:rPr/>
        <w:t>doenças monogênicas como</w:t>
      </w:r>
      <w:r>
        <w:rPr>
          <w:spacing w:val="-5"/>
        </w:rPr>
        <w:t> </w:t>
      </w:r>
      <w:r>
        <w:rPr/>
        <w:t>a</w:t>
      </w:r>
      <w:r>
        <w:rPr>
          <w:spacing w:val="-8"/>
        </w:rPr>
        <w:t> </w:t>
      </w:r>
      <w:r>
        <w:rPr/>
        <w:t>hiperlipidemia</w:t>
      </w:r>
      <w:r>
        <w:rPr>
          <w:spacing w:val="-8"/>
        </w:rPr>
        <w:t> </w:t>
      </w:r>
      <w:r>
        <w:rPr/>
        <w:t>familiar, tal</w:t>
      </w:r>
      <w:r>
        <w:rPr>
          <w:spacing w:val="-3"/>
        </w:rPr>
        <w:t> </w:t>
      </w:r>
      <w:r>
        <w:rPr/>
        <w:t>componente torna-se óbvio; já em outras formas de aterosclerose, há evidente participação tanto de componentes ambientais quanto</w:t>
      </w:r>
      <w:r>
        <w:rPr>
          <w:spacing w:val="-2"/>
        </w:rPr>
        <w:t> </w:t>
      </w:r>
      <w:r>
        <w:rPr/>
        <w:t>de</w:t>
      </w:r>
      <w:r>
        <w:rPr>
          <w:spacing w:val="-4"/>
        </w:rPr>
        <w:t> </w:t>
      </w:r>
      <w:r>
        <w:rPr/>
        <w:t>fatores poligênicos em</w:t>
      </w:r>
      <w:r>
        <w:rPr>
          <w:spacing w:val="-2"/>
        </w:rPr>
        <w:t> </w:t>
      </w:r>
      <w:r>
        <w:rPr/>
        <w:t>uma</w:t>
      </w:r>
      <w:r>
        <w:rPr>
          <w:spacing w:val="-4"/>
        </w:rPr>
        <w:t> </w:t>
      </w:r>
      <w:r>
        <w:rPr/>
        <w:t>interação</w:t>
      </w:r>
      <w:r>
        <w:rPr>
          <w:spacing w:val="-2"/>
        </w:rPr>
        <w:t> </w:t>
      </w:r>
      <w:r>
        <w:rPr/>
        <w:t>multifatorial. Como</w:t>
      </w:r>
      <w:r>
        <w:rPr>
          <w:spacing w:val="-2"/>
        </w:rPr>
        <w:t> </w:t>
      </w:r>
      <w:r>
        <w:rPr/>
        <w:t>consequência</w:t>
      </w:r>
      <w:r>
        <w:rPr>
          <w:spacing w:val="-4"/>
        </w:rPr>
        <w:t> </w:t>
      </w:r>
      <w:r>
        <w:rPr/>
        <w:t>da</w:t>
      </w:r>
      <w:r>
        <w:rPr>
          <w:spacing w:val="-4"/>
        </w:rPr>
        <w:t> </w:t>
      </w:r>
      <w:r>
        <w:rPr/>
        <w:t>presença</w:t>
      </w:r>
      <w:r>
        <w:rPr>
          <w:spacing w:val="-4"/>
        </w:rPr>
        <w:t> </w:t>
      </w:r>
      <w:r>
        <w:rPr/>
        <w:t>de</w:t>
      </w:r>
      <w:r>
        <w:rPr>
          <w:spacing w:val="-4"/>
        </w:rPr>
        <w:t> </w:t>
      </w:r>
      <w:r>
        <w:rPr/>
        <w:t>fatores genéticos na etiopatogenia de várias doenças, a terapia gênica apresenta potencial aplicabilidade em praticamente todas as doenças cardiovasculares.</w:t>
      </w:r>
      <w:r>
        <w:rPr>
          <w:vertAlign w:val="superscript"/>
        </w:rPr>
        <w:t>6–9</w:t>
      </w:r>
      <w:r>
        <w:rPr>
          <w:vertAlign w:val="baseline"/>
        </w:rPr>
        <w:t> Assim, as seguintes condições clínicas em cardiologia poderiam ser abordadas pela terapia gênica: doença arterial aterosclerótica, manifestada, por exemplo, como insuficiência arterial periférica ou insuficiência coronariana crônica; doenças vasculoproliferativas como as reestenoses pós-angioplastia; dislipidemias familiares; IC de várias causas, bem como controle da rejeição pós-transplante e a hipertensão </w:t>
      </w:r>
      <w:r>
        <w:rPr>
          <w:spacing w:val="-2"/>
          <w:vertAlign w:val="baseline"/>
        </w:rPr>
        <w:t>arterial.</w:t>
      </w:r>
    </w:p>
    <w:p>
      <w:pPr>
        <w:pStyle w:val="BodyText"/>
        <w:spacing w:after="0" w:line="278" w:lineRule="auto"/>
        <w:sectPr>
          <w:pgSz w:w="11900" w:h="16840"/>
          <w:pgMar w:top="220" w:bottom="280" w:left="566" w:right="141"/>
        </w:sectPr>
      </w:pPr>
    </w:p>
    <w:p>
      <w:pPr>
        <w:pStyle w:val="Heading5"/>
        <w:spacing w:before="85"/>
      </w:pPr>
      <w:r>
        <w:rPr>
          <w:color w:val="A26108"/>
        </w:rPr>
        <w:t>Hipertensão</w:t>
      </w:r>
      <w:r>
        <w:rPr>
          <w:color w:val="A26108"/>
          <w:spacing w:val="36"/>
        </w:rPr>
        <w:t> </w:t>
      </w:r>
      <w:r>
        <w:rPr>
          <w:color w:val="A26108"/>
          <w:spacing w:val="-2"/>
        </w:rPr>
        <w:t>arterial</w:t>
      </w:r>
    </w:p>
    <w:p>
      <w:pPr>
        <w:pStyle w:val="BodyText"/>
        <w:spacing w:line="276" w:lineRule="auto" w:before="138"/>
        <w:ind w:right="497"/>
      </w:pPr>
      <w:r>
        <w:rPr/>
        <w:t>Inúmeros estudos comprovaram que a hipertensão arterial sistêmica (HAS) é um dos mais importantes fatores de risco cardiovascular, o que justifica a busca incessante de adequado controle pressórico nos pacientes hipertensos. Tal controle pode ser obtido por meio de mudanças no estilo de vida e uso de medicamentos anti-hipertensivos atualmente disponíveis na prática clínica. Por esta razão, tem sido motivo de questionamento a real contribuição que</w:t>
      </w:r>
      <w:r>
        <w:rPr>
          <w:spacing w:val="-1"/>
        </w:rPr>
        <w:t> </w:t>
      </w:r>
      <w:r>
        <w:rPr/>
        <w:t>a</w:t>
      </w:r>
      <w:r>
        <w:rPr>
          <w:spacing w:val="-1"/>
        </w:rPr>
        <w:t> </w:t>
      </w:r>
      <w:r>
        <w:rPr/>
        <w:t>terapia</w:t>
      </w:r>
      <w:r>
        <w:rPr>
          <w:spacing w:val="-1"/>
        </w:rPr>
        <w:t> </w:t>
      </w:r>
      <w:r>
        <w:rPr/>
        <w:t>gênica</w:t>
      </w:r>
      <w:r>
        <w:rPr>
          <w:spacing w:val="-1"/>
        </w:rPr>
        <w:t> </w:t>
      </w:r>
      <w:r>
        <w:rPr/>
        <w:t>poderia</w:t>
      </w:r>
      <w:r>
        <w:rPr>
          <w:spacing w:val="-1"/>
        </w:rPr>
        <w:t> </w:t>
      </w:r>
      <w:r>
        <w:rPr/>
        <w:t>oferecer ao manuseio do paciente</w:t>
      </w:r>
      <w:r>
        <w:rPr>
          <w:spacing w:val="-1"/>
        </w:rPr>
        <w:t> </w:t>
      </w:r>
      <w:r>
        <w:rPr/>
        <w:t>hipertenso. Além disso, em se</w:t>
      </w:r>
      <w:r>
        <w:rPr>
          <w:spacing w:val="-1"/>
        </w:rPr>
        <w:t> </w:t>
      </w:r>
      <w:r>
        <w:rPr/>
        <w:t>tratando de</w:t>
      </w:r>
      <w:r>
        <w:rPr>
          <w:spacing w:val="-9"/>
        </w:rPr>
        <w:t> </w:t>
      </w:r>
      <w:r>
        <w:rPr/>
        <w:t>doença</w:t>
      </w:r>
      <w:r>
        <w:rPr>
          <w:spacing w:val="-9"/>
        </w:rPr>
        <w:t> </w:t>
      </w:r>
      <w:r>
        <w:rPr/>
        <w:t>crônica</w:t>
      </w:r>
      <w:r>
        <w:rPr>
          <w:spacing w:val="-9"/>
        </w:rPr>
        <w:t> </w:t>
      </w:r>
      <w:r>
        <w:rPr/>
        <w:t>de</w:t>
      </w:r>
      <w:r>
        <w:rPr>
          <w:spacing w:val="-9"/>
        </w:rPr>
        <w:t> </w:t>
      </w:r>
      <w:r>
        <w:rPr/>
        <w:t>origem</w:t>
      </w:r>
      <w:r>
        <w:rPr>
          <w:spacing w:val="-7"/>
        </w:rPr>
        <w:t> </w:t>
      </w:r>
      <w:r>
        <w:rPr/>
        <w:t>multifatorial</w:t>
      </w:r>
      <w:r>
        <w:rPr>
          <w:spacing w:val="-4"/>
        </w:rPr>
        <w:t> </w:t>
      </w:r>
      <w:r>
        <w:rPr/>
        <w:t>e</w:t>
      </w:r>
      <w:r>
        <w:rPr>
          <w:spacing w:val="-9"/>
        </w:rPr>
        <w:t> </w:t>
      </w:r>
      <w:r>
        <w:rPr/>
        <w:t>poligênica, a</w:t>
      </w:r>
      <w:r>
        <w:rPr>
          <w:spacing w:val="-9"/>
        </w:rPr>
        <w:t> </w:t>
      </w:r>
      <w:r>
        <w:rPr/>
        <w:t>HAS</w:t>
      </w:r>
      <w:r>
        <w:rPr>
          <w:spacing w:val="-4"/>
        </w:rPr>
        <w:t> </w:t>
      </w:r>
      <w:r>
        <w:rPr/>
        <w:t>não</w:t>
      </w:r>
      <w:r>
        <w:rPr>
          <w:spacing w:val="-7"/>
        </w:rPr>
        <w:t> </w:t>
      </w:r>
      <w:r>
        <w:rPr/>
        <w:t>tem</w:t>
      </w:r>
      <w:r>
        <w:rPr>
          <w:spacing w:val="-7"/>
        </w:rPr>
        <w:t> </w:t>
      </w:r>
      <w:r>
        <w:rPr/>
        <w:t>sido</w:t>
      </w:r>
      <w:r>
        <w:rPr>
          <w:spacing w:val="-7"/>
        </w:rPr>
        <w:t> </w:t>
      </w:r>
      <w:r>
        <w:rPr/>
        <w:t>considerada, por</w:t>
      </w:r>
      <w:r>
        <w:rPr>
          <w:spacing w:val="-2"/>
        </w:rPr>
        <w:t> </w:t>
      </w:r>
      <w:r>
        <w:rPr/>
        <w:t>alguns, uma</w:t>
      </w:r>
      <w:r>
        <w:rPr>
          <w:spacing w:val="-9"/>
        </w:rPr>
        <w:t> </w:t>
      </w:r>
      <w:r>
        <w:rPr/>
        <w:t>candidata ideal para a terapia gênica.</w:t>
      </w:r>
    </w:p>
    <w:p>
      <w:pPr>
        <w:pStyle w:val="BodyText"/>
        <w:spacing w:line="280" w:lineRule="auto"/>
        <w:ind w:right="487"/>
      </w:pPr>
      <w:r>
        <w:rPr/>
        <w:t>De</w:t>
      </w:r>
      <w:r>
        <w:rPr>
          <w:spacing w:val="-8"/>
        </w:rPr>
        <w:t> </w:t>
      </w:r>
      <w:r>
        <w:rPr/>
        <w:t>qualquer maneira, em</w:t>
      </w:r>
      <w:r>
        <w:rPr>
          <w:spacing w:val="-5"/>
        </w:rPr>
        <w:t> </w:t>
      </w:r>
      <w:r>
        <w:rPr/>
        <w:t>experimentos recentes e</w:t>
      </w:r>
      <w:r>
        <w:rPr>
          <w:spacing w:val="-8"/>
        </w:rPr>
        <w:t> </w:t>
      </w:r>
      <w:r>
        <w:rPr/>
        <w:t>bem-sucedidos em</w:t>
      </w:r>
      <w:r>
        <w:rPr>
          <w:spacing w:val="-5"/>
        </w:rPr>
        <w:t> </w:t>
      </w:r>
      <w:r>
        <w:rPr/>
        <w:t>animais hipertensos de</w:t>
      </w:r>
      <w:r>
        <w:rPr>
          <w:spacing w:val="-8"/>
        </w:rPr>
        <w:t> </w:t>
      </w:r>
      <w:r>
        <w:rPr/>
        <w:t>laboratório,</w:t>
      </w:r>
      <w:r>
        <w:rPr>
          <w:vertAlign w:val="superscript"/>
        </w:rPr>
        <w:t>10</w:t>
      </w:r>
      <w:r>
        <w:rPr>
          <w:vertAlign w:val="baseline"/>
        </w:rPr>
        <w:t> já</w:t>
      </w:r>
      <w:r>
        <w:rPr>
          <w:spacing w:val="-5"/>
          <w:vertAlign w:val="baseline"/>
        </w:rPr>
        <w:t> </w:t>
      </w:r>
      <w:r>
        <w:rPr>
          <w:vertAlign w:val="baseline"/>
        </w:rPr>
        <w:t>se demonstrou que a modificação genética daqueles animais pode reverter os níveis pressóricos elevados. Para tanto, há basicamente duas estratégias distintas de manipulação gênica para a reversão da hipertensão arterial: a inserção de</w:t>
      </w:r>
      <w:r>
        <w:rPr>
          <w:spacing w:val="-3"/>
          <w:vertAlign w:val="baseline"/>
        </w:rPr>
        <w:t> </w:t>
      </w:r>
      <w:r>
        <w:rPr>
          <w:vertAlign w:val="baseline"/>
        </w:rPr>
        <w:t>genes que</w:t>
      </w:r>
      <w:r>
        <w:rPr>
          <w:spacing w:val="-3"/>
          <w:vertAlign w:val="baseline"/>
        </w:rPr>
        <w:t> </w:t>
      </w:r>
      <w:r>
        <w:rPr>
          <w:vertAlign w:val="baseline"/>
        </w:rPr>
        <w:t>levem à</w:t>
      </w:r>
      <w:r>
        <w:rPr>
          <w:spacing w:val="-3"/>
          <w:vertAlign w:val="baseline"/>
        </w:rPr>
        <w:t> </w:t>
      </w:r>
      <w:r>
        <w:rPr>
          <w:vertAlign w:val="baseline"/>
        </w:rPr>
        <w:t>expressão de</w:t>
      </w:r>
      <w:r>
        <w:rPr>
          <w:spacing w:val="-3"/>
          <w:vertAlign w:val="baseline"/>
        </w:rPr>
        <w:t> </w:t>
      </w:r>
      <w:r>
        <w:rPr>
          <w:vertAlign w:val="baseline"/>
        </w:rPr>
        <w:t>substâncias vasodilatadoras ou à</w:t>
      </w:r>
      <w:r>
        <w:rPr>
          <w:spacing w:val="-3"/>
          <w:vertAlign w:val="baseline"/>
        </w:rPr>
        <w:t> </w:t>
      </w:r>
      <w:r>
        <w:rPr>
          <w:vertAlign w:val="baseline"/>
        </w:rPr>
        <w:t>inibição de</w:t>
      </w:r>
      <w:r>
        <w:rPr>
          <w:spacing w:val="-3"/>
          <w:vertAlign w:val="baseline"/>
        </w:rPr>
        <w:t> </w:t>
      </w:r>
      <w:r>
        <w:rPr>
          <w:vertAlign w:val="baseline"/>
        </w:rPr>
        <w:t>genes codificadores de</w:t>
      </w:r>
      <w:r>
        <w:rPr>
          <w:spacing w:val="-3"/>
          <w:vertAlign w:val="baseline"/>
        </w:rPr>
        <w:t> </w:t>
      </w:r>
      <w:r>
        <w:rPr>
          <w:vertAlign w:val="baseline"/>
        </w:rPr>
        <w:t>substâncias </w:t>
      </w:r>
      <w:r>
        <w:rPr>
          <w:spacing w:val="-2"/>
          <w:vertAlign w:val="baseline"/>
        </w:rPr>
        <w:t>vasoconstritoras.</w:t>
      </w:r>
      <w:r>
        <w:rPr>
          <w:spacing w:val="-2"/>
          <w:vertAlign w:val="superscript"/>
        </w:rPr>
        <w:t>11</w:t>
      </w:r>
    </w:p>
    <w:p>
      <w:pPr>
        <w:pStyle w:val="BodyText"/>
        <w:spacing w:line="280" w:lineRule="auto" w:before="54"/>
        <w:ind w:right="488"/>
      </w:pPr>
      <w:r>
        <w:rPr/>
        <w:t>Protocolos que testaram o modelo “vasodilatador” o fizeram através da introdução de genes codificadores de diversas substâncias vasoativas, entre elas o peptídio natriurético atrial, a óxido nítrico sintase (NOS, do inglês, </w:t>
      </w:r>
      <w:r>
        <w:rPr>
          <w:i/>
        </w:rPr>
        <w:t>nitric oxide synthase</w:t>
      </w:r>
      <w:r>
        <w:rPr/>
        <w:t>) endotelial e a calicreína tecidual humana. Em modelos experimentais utilizando-se ratos espontaneamente hipertensos (SHR, do inglês, </w:t>
      </w:r>
      <w:r>
        <w:rPr>
          <w:i/>
        </w:rPr>
        <w:t>spontaneously hypertensive rats</w:t>
      </w:r>
      <w:r>
        <w:rPr/>
        <w:t>), obteve-se redução dos níveis pressóricos por 2 a 12 semanas após injeção de plasmídio de ácido desoxirribonucleico (DNA, do inglês, </w:t>
      </w:r>
      <w:r>
        <w:rPr>
          <w:i/>
        </w:rPr>
        <w:t>deoxyribonucleic</w:t>
      </w:r>
      <w:r>
        <w:rPr>
          <w:i/>
          <w:spacing w:val="-13"/>
        </w:rPr>
        <w:t> </w:t>
      </w:r>
      <w:r>
        <w:rPr>
          <w:i/>
        </w:rPr>
        <w:t>acid</w:t>
      </w:r>
      <w:r>
        <w:rPr/>
        <w:t>)</w:t>
      </w:r>
      <w:r>
        <w:rPr>
          <w:spacing w:val="-1"/>
        </w:rPr>
        <w:t> </w:t>
      </w:r>
      <w:r>
        <w:rPr/>
        <w:t>contendo</w:t>
      </w:r>
      <w:r>
        <w:rPr>
          <w:spacing w:val="-6"/>
        </w:rPr>
        <w:t> </w:t>
      </w:r>
      <w:r>
        <w:rPr/>
        <w:t>o</w:t>
      </w:r>
      <w:r>
        <w:rPr>
          <w:spacing w:val="-6"/>
        </w:rPr>
        <w:t> </w:t>
      </w:r>
      <w:r>
        <w:rPr/>
        <w:t>gene</w:t>
      </w:r>
      <w:r>
        <w:rPr>
          <w:spacing w:val="-9"/>
        </w:rPr>
        <w:t> </w:t>
      </w:r>
      <w:r>
        <w:rPr/>
        <w:t>da</w:t>
      </w:r>
      <w:r>
        <w:rPr>
          <w:spacing w:val="-9"/>
        </w:rPr>
        <w:t> </w:t>
      </w:r>
      <w:r>
        <w:rPr/>
        <w:t>NO</w:t>
      </w:r>
      <w:r>
        <w:rPr>
          <w:spacing w:val="-9"/>
        </w:rPr>
        <w:t> </w:t>
      </w:r>
      <w:r>
        <w:rPr/>
        <w:t>sintase-endotelial</w:t>
      </w:r>
      <w:r>
        <w:rPr>
          <w:spacing w:val="-4"/>
        </w:rPr>
        <w:t> </w:t>
      </w:r>
      <w:r>
        <w:rPr/>
        <w:t>por</w:t>
      </w:r>
      <w:r>
        <w:rPr>
          <w:spacing w:val="-1"/>
        </w:rPr>
        <w:t> </w:t>
      </w:r>
      <w:r>
        <w:rPr/>
        <w:t>via</w:t>
      </w:r>
      <w:r>
        <w:rPr>
          <w:spacing w:val="-9"/>
        </w:rPr>
        <w:t> </w:t>
      </w:r>
      <w:r>
        <w:rPr/>
        <w:t>intravenosa.</w:t>
      </w:r>
      <w:r>
        <w:rPr>
          <w:vertAlign w:val="superscript"/>
        </w:rPr>
        <w:t>12</w:t>
      </w:r>
      <w:r>
        <w:rPr>
          <w:vertAlign w:val="baseline"/>
        </w:rPr>
        <w:t> De</w:t>
      </w:r>
      <w:r>
        <w:rPr>
          <w:spacing w:val="-6"/>
          <w:vertAlign w:val="baseline"/>
        </w:rPr>
        <w:t> </w:t>
      </w:r>
      <w:r>
        <w:rPr>
          <w:vertAlign w:val="baseline"/>
        </w:rPr>
        <w:t>maneira</w:t>
      </w:r>
      <w:r>
        <w:rPr>
          <w:spacing w:val="-6"/>
          <w:vertAlign w:val="baseline"/>
        </w:rPr>
        <w:t> </w:t>
      </w:r>
      <w:r>
        <w:rPr>
          <w:vertAlign w:val="baseline"/>
        </w:rPr>
        <w:t>semelhante, um única injeção do plasmídio codificador do gene da calicreína tecidual humana reduziu a pressão arterial no mesmo modelo animal por até 10 semanas após o tratamento.</w:t>
      </w:r>
      <w:r>
        <w:rPr>
          <w:vertAlign w:val="superscript"/>
        </w:rPr>
        <w:t>13</w:t>
      </w:r>
    </w:p>
    <w:p>
      <w:pPr>
        <w:pStyle w:val="BodyText"/>
        <w:spacing w:line="276" w:lineRule="auto" w:before="55"/>
        <w:ind w:right="487"/>
      </w:pPr>
      <w:r>
        <w:rPr/>
        <w:t>A vasodilatação mediada pelo bloqueio do sistema renina-angiotensina-aldosterona (SRAA) tem sido estudada clinicamente</w:t>
      </w:r>
      <w:r>
        <w:rPr>
          <w:spacing w:val="-3"/>
        </w:rPr>
        <w:t> </w:t>
      </w:r>
      <w:r>
        <w:rPr/>
        <w:t>há</w:t>
      </w:r>
      <w:r>
        <w:rPr>
          <w:spacing w:val="-3"/>
        </w:rPr>
        <w:t> </w:t>
      </w:r>
      <w:r>
        <w:rPr/>
        <w:t>muito tempo, abrindo-se</w:t>
      </w:r>
      <w:r>
        <w:rPr>
          <w:spacing w:val="-3"/>
        </w:rPr>
        <w:t> </w:t>
      </w:r>
      <w:r>
        <w:rPr/>
        <w:t>assim uma</w:t>
      </w:r>
      <w:r>
        <w:rPr>
          <w:spacing w:val="-3"/>
        </w:rPr>
        <w:t> </w:t>
      </w:r>
      <w:r>
        <w:rPr/>
        <w:t>nova</w:t>
      </w:r>
      <w:r>
        <w:rPr>
          <w:spacing w:val="-3"/>
        </w:rPr>
        <w:t> </w:t>
      </w:r>
      <w:r>
        <w:rPr/>
        <w:t>perspectiva</w:t>
      </w:r>
      <w:r>
        <w:rPr>
          <w:spacing w:val="-3"/>
        </w:rPr>
        <w:t> </w:t>
      </w:r>
      <w:r>
        <w:rPr/>
        <w:t>para</w:t>
      </w:r>
      <w:r>
        <w:rPr>
          <w:spacing w:val="-3"/>
        </w:rPr>
        <w:t> </w:t>
      </w:r>
      <w:r>
        <w:rPr/>
        <w:t>a</w:t>
      </w:r>
      <w:r>
        <w:rPr>
          <w:spacing w:val="-3"/>
        </w:rPr>
        <w:t> </w:t>
      </w:r>
      <w:r>
        <w:rPr/>
        <w:t>manipulação gênica</w:t>
      </w:r>
      <w:r>
        <w:rPr>
          <w:spacing w:val="-3"/>
        </w:rPr>
        <w:t> </w:t>
      </w:r>
      <w:r>
        <w:rPr/>
        <w:t>na</w:t>
      </w:r>
      <w:r>
        <w:rPr>
          <w:spacing w:val="-3"/>
        </w:rPr>
        <w:t> </w:t>
      </w:r>
      <w:r>
        <w:rPr/>
        <w:t>HAS cujo alvo terapêutico seja a inibição de um ou mais elementos do SRAA.</w:t>
      </w:r>
    </w:p>
    <w:p>
      <w:pPr>
        <w:pStyle w:val="BodyText"/>
        <w:spacing w:line="280" w:lineRule="auto" w:before="49"/>
        <w:ind w:right="488"/>
      </w:pPr>
      <w:r>
        <w:rPr/>
        <w:t>Duas metodologias têm sido testadas para a inibição gênica do SRAA e ambas estão baseadas na chamada técnica</w:t>
      </w:r>
      <w:r>
        <w:rPr>
          <w:spacing w:val="-6"/>
        </w:rPr>
        <w:t> </w:t>
      </w:r>
      <w:r>
        <w:rPr/>
        <w:t>de</w:t>
      </w:r>
      <w:r>
        <w:rPr>
          <w:spacing w:val="-6"/>
        </w:rPr>
        <w:t> </w:t>
      </w:r>
      <w:r>
        <w:rPr/>
        <w:t>inibição</w:t>
      </w:r>
      <w:r>
        <w:rPr>
          <w:spacing w:val="-4"/>
        </w:rPr>
        <w:t> </w:t>
      </w:r>
      <w:r>
        <w:rPr/>
        <w:t>por </w:t>
      </w:r>
      <w:r>
        <w:rPr>
          <w:i/>
        </w:rPr>
        <w:t>antisense</w:t>
      </w:r>
      <w:r>
        <w:rPr/>
        <w:t>.</w:t>
      </w:r>
      <w:r>
        <w:rPr>
          <w:vertAlign w:val="superscript"/>
        </w:rPr>
        <w:t>14</w:t>
      </w:r>
      <w:r>
        <w:rPr>
          <w:vertAlign w:val="baseline"/>
        </w:rPr>
        <w:t> Uma</w:t>
      </w:r>
      <w:r>
        <w:rPr>
          <w:spacing w:val="-4"/>
          <w:vertAlign w:val="baseline"/>
        </w:rPr>
        <w:t> </w:t>
      </w:r>
      <w:r>
        <w:rPr>
          <w:vertAlign w:val="baseline"/>
        </w:rPr>
        <w:t>prevê</w:t>
      </w:r>
      <w:r>
        <w:rPr>
          <w:spacing w:val="-4"/>
          <w:vertAlign w:val="baseline"/>
        </w:rPr>
        <w:t> </w:t>
      </w:r>
      <w:r>
        <w:rPr>
          <w:vertAlign w:val="baseline"/>
        </w:rPr>
        <w:t>a</w:t>
      </w:r>
      <w:r>
        <w:rPr>
          <w:spacing w:val="-4"/>
          <w:vertAlign w:val="baseline"/>
        </w:rPr>
        <w:t> </w:t>
      </w:r>
      <w:r>
        <w:rPr>
          <w:vertAlign w:val="baseline"/>
        </w:rPr>
        <w:t>administração</w:t>
      </w:r>
      <w:r>
        <w:rPr>
          <w:spacing w:val="-2"/>
          <w:vertAlign w:val="baseline"/>
        </w:rPr>
        <w:t> </w:t>
      </w:r>
      <w:r>
        <w:rPr>
          <w:vertAlign w:val="baseline"/>
        </w:rPr>
        <w:t>direta</w:t>
      </w:r>
      <w:r>
        <w:rPr>
          <w:spacing w:val="-4"/>
          <w:vertAlign w:val="baseline"/>
        </w:rPr>
        <w:t> </w:t>
      </w:r>
      <w:r>
        <w:rPr>
          <w:vertAlign w:val="baseline"/>
        </w:rPr>
        <w:t>de</w:t>
      </w:r>
      <w:r>
        <w:rPr>
          <w:spacing w:val="-4"/>
          <w:vertAlign w:val="baseline"/>
        </w:rPr>
        <w:t> </w:t>
      </w:r>
      <w:r>
        <w:rPr>
          <w:vertAlign w:val="baseline"/>
        </w:rPr>
        <w:t>oligodeoxinucleotídios </w:t>
      </w:r>
      <w:r>
        <w:rPr>
          <w:i/>
          <w:vertAlign w:val="baseline"/>
        </w:rPr>
        <w:t>antisense</w:t>
      </w:r>
      <w:r>
        <w:rPr>
          <w:i/>
          <w:spacing w:val="-5"/>
          <w:vertAlign w:val="baseline"/>
        </w:rPr>
        <w:t> </w:t>
      </w:r>
      <w:r>
        <w:rPr>
          <w:vertAlign w:val="baseline"/>
        </w:rPr>
        <w:t>e</w:t>
      </w:r>
      <w:r>
        <w:rPr>
          <w:spacing w:val="-5"/>
          <w:vertAlign w:val="baseline"/>
        </w:rPr>
        <w:t> </w:t>
      </w:r>
      <w:r>
        <w:rPr>
          <w:vertAlign w:val="baseline"/>
        </w:rPr>
        <w:t>a</w:t>
      </w:r>
      <w:r>
        <w:rPr>
          <w:spacing w:val="-5"/>
          <w:vertAlign w:val="baseline"/>
        </w:rPr>
        <w:t> </w:t>
      </w:r>
      <w:r>
        <w:rPr>
          <w:vertAlign w:val="baseline"/>
        </w:rPr>
        <w:t>outra, a transferência viral de DNA com orientação </w:t>
      </w:r>
      <w:r>
        <w:rPr>
          <w:i/>
          <w:vertAlign w:val="baseline"/>
        </w:rPr>
        <w:t>antisense</w:t>
      </w:r>
      <w:r>
        <w:rPr>
          <w:vertAlign w:val="baseline"/>
        </w:rPr>
        <w:t>. Nos últimos anos, com o uso da tecnologia </w:t>
      </w:r>
      <w:r>
        <w:rPr>
          <w:i/>
          <w:vertAlign w:val="baseline"/>
        </w:rPr>
        <w:t>antisense</w:t>
      </w:r>
      <w:r>
        <w:rPr>
          <w:vertAlign w:val="baseline"/>
        </w:rPr>
        <w:t>, vários autores conseguiram reduções significativas (de 16 a 40 mmHg), porém transitórias, da pressão arterial em ratos SHR. A manipulação gênica, nesses casos, foi direcionada a diversos elementos do SRAA, em especial aos receptores da angiotensina II do tipo AT</w:t>
      </w:r>
      <w:r>
        <w:rPr>
          <w:vertAlign w:val="subscript"/>
        </w:rPr>
        <w:t>1</w:t>
      </w:r>
      <w:r>
        <w:rPr>
          <w:vertAlign w:val="baseline"/>
        </w:rPr>
        <w:t> e à molécula de angiotensinogênio.</w:t>
      </w:r>
      <w:r>
        <w:rPr>
          <w:vertAlign w:val="superscript"/>
        </w:rPr>
        <w:t>15</w:t>
      </w:r>
    </w:p>
    <w:p>
      <w:pPr>
        <w:pStyle w:val="BodyText"/>
        <w:spacing w:line="278" w:lineRule="auto" w:before="81"/>
        <w:ind w:right="497"/>
      </w:pPr>
      <w:r>
        <w:rPr/>
        <w:t>Além do efeito hipotensor mediado pela terapia gênica, a possibilidade de proteção de órgãos-alvo em animais hipertensos também já foi explorada experimentalmente. Nonaka-Sarukawa </w:t>
      </w:r>
      <w:r>
        <w:rPr>
          <w:i/>
        </w:rPr>
        <w:t>et al</w:t>
      </w:r>
      <w:r>
        <w:rPr/>
        <w:t>.</w:t>
      </w:r>
      <w:r>
        <w:rPr>
          <w:vertAlign w:val="superscript"/>
        </w:rPr>
        <w:t>16</w:t>
      </w:r>
      <w:r>
        <w:rPr>
          <w:vertAlign w:val="baseline"/>
        </w:rPr>
        <w:t> mostraram que a injeção intramuscular do vetor adenoassociado tipo 1 codificando para o gene da interleucina-10 (IL-10), em ratos Dahl sensíveis ao</w:t>
      </w:r>
      <w:r>
        <w:rPr>
          <w:spacing w:val="-4"/>
          <w:vertAlign w:val="baseline"/>
        </w:rPr>
        <w:t> </w:t>
      </w:r>
      <w:r>
        <w:rPr>
          <w:vertAlign w:val="baseline"/>
        </w:rPr>
        <w:t>sal, expostos à</w:t>
      </w:r>
      <w:r>
        <w:rPr>
          <w:spacing w:val="-7"/>
          <w:vertAlign w:val="baseline"/>
        </w:rPr>
        <w:t> </w:t>
      </w:r>
      <w:r>
        <w:rPr>
          <w:vertAlign w:val="baseline"/>
        </w:rPr>
        <w:t>dieta</w:t>
      </w:r>
      <w:r>
        <w:rPr>
          <w:spacing w:val="-7"/>
          <w:vertAlign w:val="baseline"/>
        </w:rPr>
        <w:t> </w:t>
      </w:r>
      <w:r>
        <w:rPr>
          <w:vertAlign w:val="baseline"/>
        </w:rPr>
        <w:t>rica</w:t>
      </w:r>
      <w:r>
        <w:rPr>
          <w:spacing w:val="-7"/>
          <w:vertAlign w:val="baseline"/>
        </w:rPr>
        <w:t> </w:t>
      </w:r>
      <w:r>
        <w:rPr>
          <w:vertAlign w:val="baseline"/>
        </w:rPr>
        <w:t>em</w:t>
      </w:r>
      <w:r>
        <w:rPr>
          <w:spacing w:val="-4"/>
          <w:vertAlign w:val="baseline"/>
        </w:rPr>
        <w:t> </w:t>
      </w:r>
      <w:r>
        <w:rPr>
          <w:vertAlign w:val="baseline"/>
        </w:rPr>
        <w:t>sal, levou</w:t>
      </w:r>
      <w:r>
        <w:rPr>
          <w:spacing w:val="-4"/>
          <w:vertAlign w:val="baseline"/>
        </w:rPr>
        <w:t> </w:t>
      </w:r>
      <w:r>
        <w:rPr>
          <w:vertAlign w:val="baseline"/>
        </w:rPr>
        <w:t>a</w:t>
      </w:r>
      <w:r>
        <w:rPr>
          <w:spacing w:val="-7"/>
          <w:vertAlign w:val="baseline"/>
        </w:rPr>
        <w:t> </w:t>
      </w:r>
      <w:r>
        <w:rPr>
          <w:vertAlign w:val="baseline"/>
        </w:rPr>
        <w:t>maior sobrevida</w:t>
      </w:r>
      <w:r>
        <w:rPr>
          <w:spacing w:val="-7"/>
          <w:vertAlign w:val="baseline"/>
        </w:rPr>
        <w:t> </w:t>
      </w:r>
      <w:r>
        <w:rPr>
          <w:vertAlign w:val="baseline"/>
        </w:rPr>
        <w:t>nos animais tratados, bem</w:t>
      </w:r>
      <w:r>
        <w:rPr>
          <w:spacing w:val="-4"/>
          <w:vertAlign w:val="baseline"/>
        </w:rPr>
        <w:t> </w:t>
      </w:r>
      <w:r>
        <w:rPr>
          <w:vertAlign w:val="baseline"/>
        </w:rPr>
        <w:t>como</w:t>
      </w:r>
      <w:r>
        <w:rPr>
          <w:spacing w:val="-4"/>
          <w:vertAlign w:val="baseline"/>
        </w:rPr>
        <w:t> </w:t>
      </w:r>
      <w:r>
        <w:rPr>
          <w:vertAlign w:val="baseline"/>
        </w:rPr>
        <w:t>a</w:t>
      </w:r>
      <w:r>
        <w:rPr>
          <w:spacing w:val="-7"/>
          <w:vertAlign w:val="baseline"/>
        </w:rPr>
        <w:t> </w:t>
      </w:r>
      <w:r>
        <w:rPr>
          <w:vertAlign w:val="baseline"/>
        </w:rPr>
        <w:t>redução</w:t>
      </w:r>
      <w:r>
        <w:rPr>
          <w:spacing w:val="-4"/>
          <w:vertAlign w:val="baseline"/>
        </w:rPr>
        <w:t> </w:t>
      </w:r>
      <w:r>
        <w:rPr>
          <w:vertAlign w:val="baseline"/>
        </w:rPr>
        <w:t>da hipertrofia miocárdica e aumento da fração de encurtamento em comparação ao grupo-controle. Essas alterações fenotípicas foram acompanhadas de</w:t>
      </w:r>
      <w:r>
        <w:rPr>
          <w:spacing w:val="-3"/>
          <w:vertAlign w:val="baseline"/>
        </w:rPr>
        <w:t> </w:t>
      </w:r>
      <w:r>
        <w:rPr>
          <w:vertAlign w:val="baseline"/>
        </w:rPr>
        <w:t>redução de</w:t>
      </w:r>
      <w:r>
        <w:rPr>
          <w:spacing w:val="-3"/>
          <w:vertAlign w:val="baseline"/>
        </w:rPr>
        <w:t> </w:t>
      </w:r>
      <w:r>
        <w:rPr>
          <w:vertAlign w:val="baseline"/>
        </w:rPr>
        <w:t>26% na</w:t>
      </w:r>
      <w:r>
        <w:rPr>
          <w:spacing w:val="-3"/>
          <w:vertAlign w:val="baseline"/>
        </w:rPr>
        <w:t> </w:t>
      </w:r>
      <w:r>
        <w:rPr>
          <w:vertAlign w:val="baseline"/>
        </w:rPr>
        <w:t>pressão arterial sistólica. A</w:t>
      </w:r>
      <w:r>
        <w:rPr>
          <w:spacing w:val="-3"/>
          <w:vertAlign w:val="baseline"/>
        </w:rPr>
        <w:t> </w:t>
      </w:r>
      <w:r>
        <w:rPr>
          <w:vertAlign w:val="baseline"/>
        </w:rPr>
        <w:t>análise</w:t>
      </w:r>
      <w:r>
        <w:rPr>
          <w:spacing w:val="-3"/>
          <w:vertAlign w:val="baseline"/>
        </w:rPr>
        <w:t> </w:t>
      </w:r>
      <w:r>
        <w:rPr>
          <w:vertAlign w:val="baseline"/>
        </w:rPr>
        <w:t>histopatológica</w:t>
      </w:r>
      <w:r>
        <w:rPr>
          <w:spacing w:val="-3"/>
          <w:vertAlign w:val="baseline"/>
        </w:rPr>
        <w:t> </w:t>
      </w:r>
      <w:r>
        <w:rPr>
          <w:vertAlign w:val="baseline"/>
        </w:rPr>
        <w:t>revelou que</w:t>
      </w:r>
      <w:r>
        <w:rPr>
          <w:spacing w:val="-7"/>
          <w:vertAlign w:val="baseline"/>
        </w:rPr>
        <w:t> </w:t>
      </w:r>
      <w:r>
        <w:rPr>
          <w:vertAlign w:val="baseline"/>
        </w:rPr>
        <w:t>a</w:t>
      </w:r>
      <w:r>
        <w:rPr>
          <w:spacing w:val="-7"/>
          <w:vertAlign w:val="baseline"/>
        </w:rPr>
        <w:t> </w:t>
      </w:r>
      <w:r>
        <w:rPr>
          <w:vertAlign w:val="baseline"/>
        </w:rPr>
        <w:t>administração</w:t>
      </w:r>
      <w:r>
        <w:rPr>
          <w:spacing w:val="-4"/>
          <w:vertAlign w:val="baseline"/>
        </w:rPr>
        <w:t> </w:t>
      </w:r>
      <w:r>
        <w:rPr>
          <w:vertAlign w:val="baseline"/>
        </w:rPr>
        <w:t>do</w:t>
      </w:r>
      <w:r>
        <w:rPr>
          <w:spacing w:val="-4"/>
          <w:vertAlign w:val="baseline"/>
        </w:rPr>
        <w:t> </w:t>
      </w:r>
      <w:r>
        <w:rPr>
          <w:vertAlign w:val="baseline"/>
        </w:rPr>
        <w:t>gene</w:t>
      </w:r>
      <w:r>
        <w:rPr>
          <w:spacing w:val="-7"/>
          <w:vertAlign w:val="baseline"/>
        </w:rPr>
        <w:t> </w:t>
      </w:r>
      <w:r>
        <w:rPr>
          <w:vertAlign w:val="baseline"/>
        </w:rPr>
        <w:t>da</w:t>
      </w:r>
      <w:r>
        <w:rPr>
          <w:spacing w:val="-7"/>
          <w:vertAlign w:val="baseline"/>
        </w:rPr>
        <w:t> </w:t>
      </w:r>
      <w:r>
        <w:rPr>
          <w:vertAlign w:val="baseline"/>
        </w:rPr>
        <w:t>IL-10</w:t>
      </w:r>
      <w:r>
        <w:rPr>
          <w:spacing w:val="-4"/>
          <w:vertAlign w:val="baseline"/>
        </w:rPr>
        <w:t> </w:t>
      </w:r>
      <w:r>
        <w:rPr>
          <w:vertAlign w:val="baseline"/>
        </w:rPr>
        <w:t>levou</w:t>
      </w:r>
      <w:r>
        <w:rPr>
          <w:spacing w:val="-4"/>
          <w:vertAlign w:val="baseline"/>
        </w:rPr>
        <w:t> </w:t>
      </w:r>
      <w:r>
        <w:rPr>
          <w:vertAlign w:val="baseline"/>
        </w:rPr>
        <w:t>a</w:t>
      </w:r>
      <w:r>
        <w:rPr>
          <w:spacing w:val="-7"/>
          <w:vertAlign w:val="baseline"/>
        </w:rPr>
        <w:t> </w:t>
      </w:r>
      <w:r>
        <w:rPr>
          <w:vertAlign w:val="baseline"/>
        </w:rPr>
        <w:t>menor infiltração</w:t>
      </w:r>
      <w:r>
        <w:rPr>
          <w:spacing w:val="-4"/>
          <w:vertAlign w:val="baseline"/>
        </w:rPr>
        <w:t> </w:t>
      </w:r>
      <w:r>
        <w:rPr>
          <w:vertAlign w:val="baseline"/>
        </w:rPr>
        <w:t>de</w:t>
      </w:r>
      <w:r>
        <w:rPr>
          <w:spacing w:val="-7"/>
          <w:vertAlign w:val="baseline"/>
        </w:rPr>
        <w:t> </w:t>
      </w:r>
      <w:r>
        <w:rPr>
          <w:vertAlign w:val="baseline"/>
        </w:rPr>
        <w:t>células inflamatórias, fibrose</w:t>
      </w:r>
      <w:r>
        <w:rPr>
          <w:spacing w:val="-7"/>
          <w:vertAlign w:val="baseline"/>
        </w:rPr>
        <w:t> </w:t>
      </w:r>
      <w:r>
        <w:rPr>
          <w:vertAlign w:val="baseline"/>
        </w:rPr>
        <w:t>e</w:t>
      </w:r>
      <w:r>
        <w:rPr>
          <w:spacing w:val="-7"/>
          <w:vertAlign w:val="baseline"/>
        </w:rPr>
        <w:t> </w:t>
      </w:r>
      <w:r>
        <w:rPr>
          <w:vertAlign w:val="baseline"/>
        </w:rPr>
        <w:t>níveis de</w:t>
      </w:r>
      <w:r>
        <w:rPr>
          <w:spacing w:val="-7"/>
          <w:vertAlign w:val="baseline"/>
        </w:rPr>
        <w:t> </w:t>
      </w:r>
      <w:r>
        <w:rPr>
          <w:vertAlign w:val="baseline"/>
        </w:rPr>
        <w:t>fator de crescimento de transformação β-1 (TGFb-1, do inglês, </w:t>
      </w:r>
      <w:r>
        <w:rPr>
          <w:i/>
          <w:vertAlign w:val="baseline"/>
        </w:rPr>
        <w:t>transforming growth factor beta 1</w:t>
      </w:r>
      <w:r>
        <w:rPr>
          <w:vertAlign w:val="baseline"/>
        </w:rPr>
        <w:t>). Em outro modelo animal, a</w:t>
      </w:r>
      <w:r>
        <w:rPr>
          <w:spacing w:val="-8"/>
          <w:vertAlign w:val="baseline"/>
        </w:rPr>
        <w:t> </w:t>
      </w:r>
      <w:r>
        <w:rPr>
          <w:vertAlign w:val="baseline"/>
        </w:rPr>
        <w:t>transferência</w:t>
      </w:r>
      <w:r>
        <w:rPr>
          <w:spacing w:val="-8"/>
          <w:vertAlign w:val="baseline"/>
        </w:rPr>
        <w:t> </w:t>
      </w:r>
      <w:r>
        <w:rPr>
          <w:vertAlign w:val="baseline"/>
        </w:rPr>
        <w:t>do</w:t>
      </w:r>
      <w:r>
        <w:rPr>
          <w:spacing w:val="-6"/>
          <w:vertAlign w:val="baseline"/>
        </w:rPr>
        <w:t> </w:t>
      </w:r>
      <w:r>
        <w:rPr>
          <w:vertAlign w:val="baseline"/>
        </w:rPr>
        <w:t>gene</w:t>
      </w:r>
      <w:r>
        <w:rPr>
          <w:spacing w:val="-8"/>
          <w:vertAlign w:val="baseline"/>
        </w:rPr>
        <w:t> </w:t>
      </w:r>
      <w:r>
        <w:rPr>
          <w:vertAlign w:val="baseline"/>
        </w:rPr>
        <w:t>da</w:t>
      </w:r>
      <w:r>
        <w:rPr>
          <w:spacing w:val="-8"/>
          <w:vertAlign w:val="baseline"/>
        </w:rPr>
        <w:t> </w:t>
      </w:r>
      <w:r>
        <w:rPr>
          <w:vertAlign w:val="baseline"/>
        </w:rPr>
        <w:t>calicreína</w:t>
      </w:r>
      <w:r>
        <w:rPr>
          <w:spacing w:val="-8"/>
          <w:vertAlign w:val="baseline"/>
        </w:rPr>
        <w:t> </w:t>
      </w:r>
      <w:r>
        <w:rPr>
          <w:vertAlign w:val="baseline"/>
        </w:rPr>
        <w:t>humana</w:t>
      </w:r>
      <w:r>
        <w:rPr>
          <w:spacing w:val="-8"/>
          <w:vertAlign w:val="baseline"/>
        </w:rPr>
        <w:t> </w:t>
      </w:r>
      <w:r>
        <w:rPr>
          <w:vertAlign w:val="baseline"/>
        </w:rPr>
        <w:t>preveniu</w:t>
      </w:r>
      <w:r>
        <w:rPr>
          <w:spacing w:val="-6"/>
          <w:vertAlign w:val="baseline"/>
        </w:rPr>
        <w:t> </w:t>
      </w:r>
      <w:r>
        <w:rPr>
          <w:vertAlign w:val="baseline"/>
        </w:rPr>
        <w:t>o</w:t>
      </w:r>
      <w:r>
        <w:rPr>
          <w:spacing w:val="-6"/>
          <w:vertAlign w:val="baseline"/>
        </w:rPr>
        <w:t> </w:t>
      </w:r>
      <w:r>
        <w:rPr>
          <w:vertAlign w:val="baseline"/>
        </w:rPr>
        <w:t>aumento</w:t>
      </w:r>
      <w:r>
        <w:rPr>
          <w:spacing w:val="-6"/>
          <w:vertAlign w:val="baseline"/>
        </w:rPr>
        <w:t> </w:t>
      </w:r>
      <w:r>
        <w:rPr>
          <w:vertAlign w:val="baseline"/>
        </w:rPr>
        <w:t>da</w:t>
      </w:r>
      <w:r>
        <w:rPr>
          <w:spacing w:val="-8"/>
          <w:vertAlign w:val="baseline"/>
        </w:rPr>
        <w:t> </w:t>
      </w:r>
      <w:r>
        <w:rPr>
          <w:vertAlign w:val="baseline"/>
        </w:rPr>
        <w:t>pressão</w:t>
      </w:r>
      <w:r>
        <w:rPr>
          <w:spacing w:val="-6"/>
          <w:vertAlign w:val="baseline"/>
        </w:rPr>
        <w:t> </w:t>
      </w:r>
      <w:r>
        <w:rPr>
          <w:vertAlign w:val="baseline"/>
        </w:rPr>
        <w:t>arterial</w:t>
      </w:r>
      <w:r>
        <w:rPr>
          <w:spacing w:val="-3"/>
          <w:vertAlign w:val="baseline"/>
        </w:rPr>
        <w:t> </w:t>
      </w:r>
      <w:r>
        <w:rPr>
          <w:vertAlign w:val="baseline"/>
        </w:rPr>
        <w:t>induzida</w:t>
      </w:r>
      <w:r>
        <w:rPr>
          <w:spacing w:val="-8"/>
          <w:vertAlign w:val="baseline"/>
        </w:rPr>
        <w:t> </w:t>
      </w:r>
      <w:r>
        <w:rPr>
          <w:vertAlign w:val="baseline"/>
        </w:rPr>
        <w:t>pela</w:t>
      </w:r>
      <w:r>
        <w:rPr>
          <w:spacing w:val="-8"/>
          <w:vertAlign w:val="baseline"/>
        </w:rPr>
        <w:t> </w:t>
      </w:r>
      <w:r>
        <w:rPr>
          <w:vertAlign w:val="baseline"/>
        </w:rPr>
        <w:t>dieta</w:t>
      </w:r>
      <w:r>
        <w:rPr>
          <w:spacing w:val="-8"/>
          <w:vertAlign w:val="baseline"/>
        </w:rPr>
        <w:t> </w:t>
      </w:r>
      <w:r>
        <w:rPr>
          <w:vertAlign w:val="baseline"/>
        </w:rPr>
        <w:t>rica em sal, em ratos Dahl sensíveis ao sal, porém não alterou os níveis pressóricos basais dos animais mantidos sob dieta normal,</w:t>
      </w:r>
      <w:r>
        <w:rPr>
          <w:vertAlign w:val="superscript"/>
        </w:rPr>
        <w:t>17</w:t>
      </w:r>
      <w:r>
        <w:rPr>
          <w:vertAlign w:val="baseline"/>
        </w:rPr>
        <w:t> sugerindo os autores que essa estratégia poderia ser utilizada em populações sensíveis ao sal para prevenção da hipertensão.</w:t>
      </w:r>
    </w:p>
    <w:p>
      <w:pPr>
        <w:pStyle w:val="BodyText"/>
        <w:spacing w:line="276" w:lineRule="auto" w:before="50"/>
        <w:ind w:right="490"/>
      </w:pPr>
      <w:r>
        <w:rPr/>
        <w:t>A</w:t>
      </w:r>
      <w:r>
        <w:rPr>
          <w:spacing w:val="-8"/>
        </w:rPr>
        <w:t> </w:t>
      </w:r>
      <w:r>
        <w:rPr>
          <w:color w:val="505050"/>
        </w:rPr>
        <w:t>Tabela</w:t>
      </w:r>
      <w:r>
        <w:rPr>
          <w:color w:val="505050"/>
          <w:spacing w:val="-8"/>
        </w:rPr>
        <w:t> </w:t>
      </w:r>
      <w:r>
        <w:rPr>
          <w:color w:val="505050"/>
        </w:rPr>
        <w:t>61.1 </w:t>
      </w:r>
      <w:r>
        <w:rPr/>
        <w:t>lista os principais alvos gênicos no tratamento da hipertensão baseada nas técnicas de </w:t>
      </w:r>
      <w:r>
        <w:rPr>
          <w:i/>
        </w:rPr>
        <w:t>sense </w:t>
      </w:r>
      <w:r>
        <w:rPr/>
        <w:t>(ou superexpressão de genes vasodilatadores) ou </w:t>
      </w:r>
      <w:r>
        <w:rPr>
          <w:i/>
        </w:rPr>
        <w:t>antisense </w:t>
      </w:r>
      <w:r>
        <w:rPr/>
        <w:t>(inibição de genes vasoconstritores) e os efeitos obtidos.</w:t>
      </w:r>
    </w:p>
    <w:p>
      <w:pPr>
        <w:pStyle w:val="BodyText"/>
        <w:spacing w:before="134"/>
        <w:ind w:left="0" w:firstLine="0"/>
        <w:jc w:val="left"/>
      </w:pPr>
    </w:p>
    <w:p>
      <w:pPr>
        <w:pStyle w:val="Heading5"/>
      </w:pPr>
      <w:r>
        <w:rPr>
          <w:color w:val="A26108"/>
        </w:rPr>
        <w:t>Trombose</w:t>
      </w:r>
      <w:r>
        <w:rPr>
          <w:color w:val="A26108"/>
          <w:spacing w:val="18"/>
        </w:rPr>
        <w:t> </w:t>
      </w:r>
      <w:r>
        <w:rPr>
          <w:color w:val="A26108"/>
        </w:rPr>
        <w:t>e</w:t>
      </w:r>
      <w:r>
        <w:rPr>
          <w:color w:val="A26108"/>
          <w:spacing w:val="18"/>
        </w:rPr>
        <w:t> </w:t>
      </w:r>
      <w:r>
        <w:rPr>
          <w:color w:val="A26108"/>
          <w:spacing w:val="-2"/>
        </w:rPr>
        <w:t>reestenose</w:t>
      </w:r>
    </w:p>
    <w:p>
      <w:pPr>
        <w:pStyle w:val="BodyText"/>
        <w:spacing w:line="280" w:lineRule="auto" w:before="138"/>
        <w:ind w:right="497"/>
      </w:pPr>
      <w:r>
        <w:rPr/>
        <w:t>A terapia gênica também tem sido proposta como uma opção para se aumentar a eficácia de dispositivos protéticos vasculares como os </w:t>
      </w:r>
      <w:r>
        <w:rPr>
          <w:i/>
        </w:rPr>
        <w:t>stents </w:t>
      </w:r>
      <w:r>
        <w:rPr/>
        <w:t>e os enxertos vasculares.</w:t>
      </w:r>
      <w:r>
        <w:rPr>
          <w:vertAlign w:val="superscript"/>
        </w:rPr>
        <w:t>18</w:t>
      </w:r>
      <w:r>
        <w:rPr>
          <w:vertAlign w:val="baseline"/>
        </w:rPr>
        <w:t> Uma das estratégias usadas em protocolos de terapia</w:t>
      </w:r>
      <w:r>
        <w:rPr>
          <w:spacing w:val="-6"/>
          <w:vertAlign w:val="baseline"/>
        </w:rPr>
        <w:t> </w:t>
      </w:r>
      <w:r>
        <w:rPr>
          <w:vertAlign w:val="baseline"/>
        </w:rPr>
        <w:t>gênica</w:t>
      </w:r>
      <w:r>
        <w:rPr>
          <w:spacing w:val="-6"/>
          <w:vertAlign w:val="baseline"/>
        </w:rPr>
        <w:t> </w:t>
      </w:r>
      <w:r>
        <w:rPr>
          <w:vertAlign w:val="baseline"/>
        </w:rPr>
        <w:t>voltada</w:t>
      </w:r>
      <w:r>
        <w:rPr>
          <w:spacing w:val="-6"/>
          <w:vertAlign w:val="baseline"/>
        </w:rPr>
        <w:t> </w:t>
      </w:r>
      <w:r>
        <w:rPr>
          <w:vertAlign w:val="baseline"/>
        </w:rPr>
        <w:t>à</w:t>
      </w:r>
      <w:r>
        <w:rPr>
          <w:spacing w:val="-6"/>
          <w:vertAlign w:val="baseline"/>
        </w:rPr>
        <w:t> </w:t>
      </w:r>
      <w:r>
        <w:rPr>
          <w:vertAlign w:val="baseline"/>
        </w:rPr>
        <w:t>prevenção</w:t>
      </w:r>
      <w:r>
        <w:rPr>
          <w:spacing w:val="-4"/>
          <w:vertAlign w:val="baseline"/>
        </w:rPr>
        <w:t> </w:t>
      </w:r>
      <w:r>
        <w:rPr>
          <w:vertAlign w:val="baseline"/>
        </w:rPr>
        <w:t>da</w:t>
      </w:r>
      <w:r>
        <w:rPr>
          <w:spacing w:val="-6"/>
          <w:vertAlign w:val="baseline"/>
        </w:rPr>
        <w:t> </w:t>
      </w:r>
      <w:r>
        <w:rPr>
          <w:vertAlign w:val="baseline"/>
        </w:rPr>
        <w:t>trombose</w:t>
      </w:r>
      <w:r>
        <w:rPr>
          <w:spacing w:val="-6"/>
          <w:vertAlign w:val="baseline"/>
        </w:rPr>
        <w:t> </w:t>
      </w:r>
      <w:r>
        <w:rPr>
          <w:vertAlign w:val="baseline"/>
        </w:rPr>
        <w:t>consiste</w:t>
      </w:r>
      <w:r>
        <w:rPr>
          <w:spacing w:val="-6"/>
          <w:vertAlign w:val="baseline"/>
        </w:rPr>
        <w:t> </w:t>
      </w:r>
      <w:r>
        <w:rPr>
          <w:vertAlign w:val="baseline"/>
        </w:rPr>
        <w:t>no</w:t>
      </w:r>
      <w:r>
        <w:rPr>
          <w:spacing w:val="-4"/>
          <w:vertAlign w:val="baseline"/>
        </w:rPr>
        <w:t> </w:t>
      </w:r>
      <w:r>
        <w:rPr>
          <w:vertAlign w:val="baseline"/>
        </w:rPr>
        <w:t>“revestimento”</w:t>
      </w:r>
      <w:r>
        <w:rPr>
          <w:spacing w:val="-6"/>
          <w:vertAlign w:val="baseline"/>
        </w:rPr>
        <w:t> </w:t>
      </w:r>
      <w:r>
        <w:rPr>
          <w:vertAlign w:val="baseline"/>
        </w:rPr>
        <w:t>da</w:t>
      </w:r>
      <w:r>
        <w:rPr>
          <w:spacing w:val="-6"/>
          <w:vertAlign w:val="baseline"/>
        </w:rPr>
        <w:t> </w:t>
      </w:r>
      <w:r>
        <w:rPr>
          <w:vertAlign w:val="baseline"/>
        </w:rPr>
        <w:t>camada</w:t>
      </w:r>
      <w:r>
        <w:rPr>
          <w:spacing w:val="-6"/>
          <w:vertAlign w:val="baseline"/>
        </w:rPr>
        <w:t> </w:t>
      </w:r>
      <w:r>
        <w:rPr>
          <w:vertAlign w:val="baseline"/>
        </w:rPr>
        <w:t>interna</w:t>
      </w:r>
      <w:r>
        <w:rPr>
          <w:spacing w:val="-6"/>
          <w:vertAlign w:val="baseline"/>
        </w:rPr>
        <w:t> </w:t>
      </w:r>
      <w:r>
        <w:rPr>
          <w:vertAlign w:val="baseline"/>
        </w:rPr>
        <w:t>daqueles dispositivos vasculares com</w:t>
      </w:r>
      <w:r>
        <w:rPr>
          <w:spacing w:val="-5"/>
          <w:vertAlign w:val="baseline"/>
        </w:rPr>
        <w:t> </w:t>
      </w:r>
      <w:r>
        <w:rPr>
          <w:vertAlign w:val="baseline"/>
        </w:rPr>
        <w:t>uma</w:t>
      </w:r>
      <w:r>
        <w:rPr>
          <w:spacing w:val="-8"/>
          <w:vertAlign w:val="baseline"/>
        </w:rPr>
        <w:t> </w:t>
      </w:r>
      <w:r>
        <w:rPr>
          <w:vertAlign w:val="baseline"/>
        </w:rPr>
        <w:t>camada</w:t>
      </w:r>
      <w:r>
        <w:rPr>
          <w:spacing w:val="-8"/>
          <w:vertAlign w:val="baseline"/>
        </w:rPr>
        <w:t> </w:t>
      </w:r>
      <w:r>
        <w:rPr>
          <w:vertAlign w:val="baseline"/>
        </w:rPr>
        <w:t>de</w:t>
      </w:r>
      <w:r>
        <w:rPr>
          <w:spacing w:val="-8"/>
          <w:vertAlign w:val="baseline"/>
        </w:rPr>
        <w:t> </w:t>
      </w:r>
      <w:r>
        <w:rPr>
          <w:vertAlign w:val="baseline"/>
        </w:rPr>
        <w:t>células endoteliais geneticamente</w:t>
      </w:r>
      <w:r>
        <w:rPr>
          <w:spacing w:val="-8"/>
          <w:vertAlign w:val="baseline"/>
        </w:rPr>
        <w:t> </w:t>
      </w:r>
      <w:r>
        <w:rPr>
          <w:vertAlign w:val="baseline"/>
        </w:rPr>
        <w:t>modificadas antes da</w:t>
      </w:r>
      <w:r>
        <w:rPr>
          <w:spacing w:val="-8"/>
          <w:vertAlign w:val="baseline"/>
        </w:rPr>
        <w:t> </w:t>
      </w:r>
      <w:r>
        <w:rPr>
          <w:vertAlign w:val="baseline"/>
        </w:rPr>
        <w:t>sua</w:t>
      </w:r>
      <w:r>
        <w:rPr>
          <w:spacing w:val="-8"/>
          <w:vertAlign w:val="baseline"/>
        </w:rPr>
        <w:t> </w:t>
      </w:r>
      <w:r>
        <w:rPr>
          <w:vertAlign w:val="baseline"/>
        </w:rPr>
        <w:t>implantação</w:t>
      </w:r>
      <w:r>
        <w:rPr>
          <w:spacing w:val="-5"/>
          <w:vertAlign w:val="baseline"/>
        </w:rPr>
        <w:t> </w:t>
      </w:r>
      <w:r>
        <w:rPr>
          <w:vertAlign w:val="baseline"/>
        </w:rPr>
        <w:t>no</w:t>
      </w:r>
      <w:r>
        <w:rPr>
          <w:spacing w:val="-5"/>
          <w:vertAlign w:val="baseline"/>
        </w:rPr>
        <w:t> </w:t>
      </w:r>
      <w:r>
        <w:rPr>
          <w:vertAlign w:val="baseline"/>
        </w:rPr>
        <w:t>local</w:t>
      </w:r>
      <w:r>
        <w:rPr>
          <w:spacing w:val="-2"/>
          <w:vertAlign w:val="baseline"/>
        </w:rPr>
        <w:t> </w:t>
      </w:r>
      <w:r>
        <w:rPr>
          <w:vertAlign w:val="baseline"/>
        </w:rPr>
        <w:t>da</w:t>
      </w:r>
    </w:p>
    <w:p>
      <w:pPr>
        <w:pStyle w:val="BodyText"/>
        <w:spacing w:after="0" w:line="280" w:lineRule="auto"/>
        <w:sectPr>
          <w:pgSz w:w="11900" w:h="16840"/>
          <w:pgMar w:top="200" w:bottom="280" w:left="566" w:right="141"/>
        </w:sectPr>
      </w:pPr>
    </w:p>
    <w:p>
      <w:pPr>
        <w:pStyle w:val="BodyText"/>
        <w:spacing w:line="280" w:lineRule="auto" w:before="66"/>
        <w:ind w:right="497" w:firstLine="0"/>
      </w:pPr>
      <w:r>
        <w:rPr/>
        <w:t>lesão a ser tratada. Usando um vetor retroviral, células endoteliais foram transfectadas com o ativador do plasminogênio tecidual (tPA, do inglês, </w:t>
      </w:r>
      <w:r>
        <w:rPr>
          <w:i/>
        </w:rPr>
        <w:t>tissue plasminogen activator</w:t>
      </w:r>
      <w:r>
        <w:rPr/>
        <w:t>) humano e a seguir foram semeadas em </w:t>
      </w:r>
      <w:r>
        <w:rPr>
          <w:i/>
        </w:rPr>
        <w:t>stents</w:t>
      </w:r>
      <w:r>
        <w:rPr/>
        <w:t>.</w:t>
      </w:r>
      <w:r>
        <w:rPr>
          <w:vertAlign w:val="superscript"/>
        </w:rPr>
        <w:t>19</w:t>
      </w:r>
      <w:r>
        <w:rPr>
          <w:vertAlign w:val="baseline"/>
        </w:rPr>
        <w:t> Observou-se, a seguir, que as taxas de secreção de tPA foram mantidas nos mesmos níveis anteriores à </w:t>
      </w:r>
      <w:r>
        <w:rPr>
          <w:spacing w:val="-2"/>
          <w:vertAlign w:val="baseline"/>
        </w:rPr>
        <w:t>semeadura.</w:t>
      </w:r>
    </w:p>
    <w:p>
      <w:pPr>
        <w:pStyle w:val="BodyText"/>
        <w:spacing w:line="280" w:lineRule="auto" w:before="60"/>
        <w:ind w:right="488"/>
      </w:pPr>
      <w:r>
        <w:rPr/>
        <w:t>Outra possível estratégia para a prevenção de fenômenos trombóticos seria pela interferência na cascata de coagulação, o que poderia levar à inibição da formação de trombos intravasculares. Com esse objetivo, tem-se obtido</w:t>
      </w:r>
      <w:r>
        <w:rPr>
          <w:spacing w:val="-5"/>
        </w:rPr>
        <w:t> </w:t>
      </w:r>
      <w:r>
        <w:rPr/>
        <w:t>sucesso</w:t>
      </w:r>
      <w:r>
        <w:rPr>
          <w:spacing w:val="-5"/>
        </w:rPr>
        <w:t> </w:t>
      </w:r>
      <w:r>
        <w:rPr/>
        <w:t>com</w:t>
      </w:r>
      <w:r>
        <w:rPr>
          <w:spacing w:val="-5"/>
        </w:rPr>
        <w:t> </w:t>
      </w:r>
      <w:r>
        <w:rPr/>
        <w:t>a</w:t>
      </w:r>
      <w:r>
        <w:rPr>
          <w:spacing w:val="-7"/>
        </w:rPr>
        <w:t> </w:t>
      </w:r>
      <w:r>
        <w:rPr/>
        <w:t>transferência, mediada</w:t>
      </w:r>
      <w:r>
        <w:rPr>
          <w:spacing w:val="-7"/>
        </w:rPr>
        <w:t> </w:t>
      </w:r>
      <w:r>
        <w:rPr/>
        <w:t>por vetores virais modificados, do</w:t>
      </w:r>
      <w:r>
        <w:rPr>
          <w:spacing w:val="-5"/>
        </w:rPr>
        <w:t> </w:t>
      </w:r>
      <w:r>
        <w:rPr/>
        <w:t>gene</w:t>
      </w:r>
      <w:r>
        <w:rPr>
          <w:spacing w:val="-7"/>
        </w:rPr>
        <w:t> </w:t>
      </w:r>
      <w:r>
        <w:rPr/>
        <w:t>da</w:t>
      </w:r>
      <w:r>
        <w:rPr>
          <w:spacing w:val="-7"/>
        </w:rPr>
        <w:t> </w:t>
      </w:r>
      <w:r>
        <w:rPr/>
        <w:t>ciclo-oxigenase</w:t>
      </w:r>
      <w:r>
        <w:rPr>
          <w:spacing w:val="-7"/>
        </w:rPr>
        <w:t> </w:t>
      </w:r>
      <w:r>
        <w:rPr/>
        <w:t>humana</w:t>
      </w:r>
      <w:r>
        <w:rPr>
          <w:spacing w:val="-7"/>
        </w:rPr>
        <w:t> </w:t>
      </w:r>
      <w:r>
        <w:rPr/>
        <w:t>I e da trombomodulina.</w:t>
      </w:r>
      <w:r>
        <w:rPr>
          <w:vertAlign w:val="superscript"/>
        </w:rPr>
        <w:t>20</w:t>
      </w:r>
    </w:p>
    <w:p>
      <w:pPr>
        <w:pStyle w:val="BodyText"/>
        <w:spacing w:line="276" w:lineRule="auto" w:before="43"/>
        <w:ind w:right="491"/>
      </w:pPr>
      <w:r>
        <w:rPr/>
        <w:t>A reestenose pós-angioplastia é a resultante da contribuição relativa de um ou múltiplos processos como aterosclerose, lesão vascular, trombose local, migração e proliferação de células musculares lisas (CML) ou remodelação vascular. Não bastasse a pletora de fenômenos envolvidos que levam à reestenose, a participação de cada</w:t>
      </w:r>
      <w:r>
        <w:rPr>
          <w:spacing w:val="-8"/>
        </w:rPr>
        <w:t> </w:t>
      </w:r>
      <w:r>
        <w:rPr/>
        <w:t>um</w:t>
      </w:r>
      <w:r>
        <w:rPr>
          <w:spacing w:val="-5"/>
        </w:rPr>
        <w:t> </w:t>
      </w:r>
      <w:r>
        <w:rPr/>
        <w:t>desses elementos pode</w:t>
      </w:r>
      <w:r>
        <w:rPr>
          <w:spacing w:val="-8"/>
        </w:rPr>
        <w:t> </w:t>
      </w:r>
      <w:r>
        <w:rPr/>
        <w:t>variar de</w:t>
      </w:r>
      <w:r>
        <w:rPr>
          <w:spacing w:val="-8"/>
        </w:rPr>
        <w:t> </w:t>
      </w:r>
      <w:r>
        <w:rPr/>
        <w:t>um</w:t>
      </w:r>
      <w:r>
        <w:rPr>
          <w:spacing w:val="-5"/>
        </w:rPr>
        <w:t> </w:t>
      </w:r>
      <w:r>
        <w:rPr/>
        <w:t>paciente</w:t>
      </w:r>
      <w:r>
        <w:rPr>
          <w:spacing w:val="-8"/>
        </w:rPr>
        <w:t> </w:t>
      </w:r>
      <w:r>
        <w:rPr/>
        <w:t>para</w:t>
      </w:r>
      <w:r>
        <w:rPr>
          <w:spacing w:val="-8"/>
        </w:rPr>
        <w:t> </w:t>
      </w:r>
      <w:r>
        <w:rPr/>
        <w:t>outro, ou</w:t>
      </w:r>
      <w:r>
        <w:rPr>
          <w:spacing w:val="-5"/>
        </w:rPr>
        <w:t> </w:t>
      </w:r>
      <w:r>
        <w:rPr/>
        <w:t>até</w:t>
      </w:r>
      <w:r>
        <w:rPr>
          <w:spacing w:val="-8"/>
        </w:rPr>
        <w:t> </w:t>
      </w:r>
      <w:r>
        <w:rPr/>
        <w:t>mesmo</w:t>
      </w:r>
      <w:r>
        <w:rPr>
          <w:spacing w:val="-5"/>
        </w:rPr>
        <w:t> </w:t>
      </w:r>
      <w:r>
        <w:rPr/>
        <w:t>de</w:t>
      </w:r>
      <w:r>
        <w:rPr>
          <w:spacing w:val="-8"/>
        </w:rPr>
        <w:t> </w:t>
      </w:r>
      <w:r>
        <w:rPr/>
        <w:t>um</w:t>
      </w:r>
      <w:r>
        <w:rPr>
          <w:spacing w:val="-5"/>
        </w:rPr>
        <w:t> </w:t>
      </w:r>
      <w:r>
        <w:rPr/>
        <w:t>segmento</w:t>
      </w:r>
      <w:r>
        <w:rPr>
          <w:spacing w:val="-5"/>
        </w:rPr>
        <w:t> </w:t>
      </w:r>
      <w:r>
        <w:rPr/>
        <w:t>arterial</w:t>
      </w:r>
      <w:r>
        <w:rPr>
          <w:spacing w:val="-3"/>
        </w:rPr>
        <w:t> </w:t>
      </w:r>
      <w:r>
        <w:rPr/>
        <w:t>para</w:t>
      </w:r>
      <w:r>
        <w:rPr>
          <w:spacing w:val="-8"/>
        </w:rPr>
        <w:t> </w:t>
      </w:r>
      <w:r>
        <w:rPr/>
        <w:t>outro. Tal</w:t>
      </w:r>
      <w:r>
        <w:rPr>
          <w:spacing w:val="-5"/>
        </w:rPr>
        <w:t> </w:t>
      </w:r>
      <w:r>
        <w:rPr/>
        <w:t>cenário</w:t>
      </w:r>
      <w:r>
        <w:rPr>
          <w:spacing w:val="-8"/>
        </w:rPr>
        <w:t> </w:t>
      </w:r>
      <w:r>
        <w:rPr/>
        <w:t>oferece</w:t>
      </w:r>
      <w:r>
        <w:rPr>
          <w:spacing w:val="-10"/>
        </w:rPr>
        <w:t> </w:t>
      </w:r>
      <w:r>
        <w:rPr/>
        <w:t>dificuldades</w:t>
      </w:r>
      <w:r>
        <w:rPr>
          <w:spacing w:val="-1"/>
        </w:rPr>
        <w:t> </w:t>
      </w:r>
      <w:r>
        <w:rPr/>
        <w:t>para</w:t>
      </w:r>
      <w:r>
        <w:rPr>
          <w:spacing w:val="-10"/>
        </w:rPr>
        <w:t> </w:t>
      </w:r>
      <w:r>
        <w:rPr/>
        <w:t>que</w:t>
      </w:r>
      <w:r>
        <w:rPr>
          <w:spacing w:val="-10"/>
        </w:rPr>
        <w:t> </w:t>
      </w:r>
      <w:r>
        <w:rPr/>
        <w:t>a</w:t>
      </w:r>
      <w:r>
        <w:rPr>
          <w:spacing w:val="-10"/>
        </w:rPr>
        <w:t> </w:t>
      </w:r>
      <w:r>
        <w:rPr/>
        <w:t>terapia</w:t>
      </w:r>
      <w:r>
        <w:rPr>
          <w:spacing w:val="-10"/>
        </w:rPr>
        <w:t> </w:t>
      </w:r>
      <w:r>
        <w:rPr/>
        <w:t>gênica,</w:t>
      </w:r>
      <w:r>
        <w:rPr>
          <w:spacing w:val="-1"/>
        </w:rPr>
        <w:t> </w:t>
      </w:r>
      <w:r>
        <w:rPr/>
        <w:t>a</w:t>
      </w:r>
      <w:r>
        <w:rPr>
          <w:spacing w:val="-10"/>
        </w:rPr>
        <w:t> </w:t>
      </w:r>
      <w:r>
        <w:rPr/>
        <w:t>qual</w:t>
      </w:r>
      <w:r>
        <w:rPr>
          <w:spacing w:val="-5"/>
        </w:rPr>
        <w:t> </w:t>
      </w:r>
      <w:r>
        <w:rPr/>
        <w:t>é</w:t>
      </w:r>
      <w:r>
        <w:rPr>
          <w:spacing w:val="-10"/>
        </w:rPr>
        <w:t> </w:t>
      </w:r>
      <w:r>
        <w:rPr/>
        <w:t>extremamente</w:t>
      </w:r>
      <w:r>
        <w:rPr>
          <w:spacing w:val="-10"/>
        </w:rPr>
        <w:t> </w:t>
      </w:r>
      <w:r>
        <w:rPr/>
        <w:t>específica</w:t>
      </w:r>
      <w:r>
        <w:rPr>
          <w:spacing w:val="-10"/>
        </w:rPr>
        <w:t> </w:t>
      </w:r>
      <w:r>
        <w:rPr/>
        <w:t>de</w:t>
      </w:r>
      <w:r>
        <w:rPr>
          <w:spacing w:val="-10"/>
        </w:rPr>
        <w:t> </w:t>
      </w:r>
      <w:r>
        <w:rPr/>
        <w:t>uma</w:t>
      </w:r>
      <w:r>
        <w:rPr>
          <w:spacing w:val="-10"/>
        </w:rPr>
        <w:t> </w:t>
      </w:r>
      <w:r>
        <w:rPr/>
        <w:t>determinada</w:t>
      </w:r>
      <w:r>
        <w:rPr>
          <w:spacing w:val="-10"/>
        </w:rPr>
        <w:t> </w:t>
      </w:r>
      <w:r>
        <w:rPr/>
        <w:t>via fisiopatológica, possa ser largamente empregada na prevenção das reestenoses.</w:t>
      </w:r>
    </w:p>
    <w:p>
      <w:pPr>
        <w:pStyle w:val="BodyText"/>
        <w:spacing w:before="88"/>
        <w:ind w:left="0" w:firstLine="0"/>
        <w:jc w:val="left"/>
      </w:pPr>
    </w:p>
    <w:p>
      <w:pPr>
        <w:pStyle w:val="BodyText"/>
        <w:spacing w:line="278" w:lineRule="auto" w:before="0"/>
        <w:ind w:right="497" w:firstLine="0"/>
        <w:jc w:val="left"/>
        <w:rPr>
          <w:rFonts w:ascii="Microsoft Sans Serif" w:hAnsi="Microsoft Sans Serif"/>
        </w:rPr>
      </w:pPr>
      <w:r>
        <w:rPr>
          <w:rFonts w:ascii="Arial" w:hAnsi="Arial"/>
          <w:b/>
          <w:color w:val="242B67"/>
        </w:rPr>
        <w:t>Tabela</w:t>
      </w:r>
      <w:r>
        <w:rPr>
          <w:rFonts w:ascii="Arial" w:hAnsi="Arial"/>
          <w:b/>
          <w:color w:val="242B67"/>
          <w:spacing w:val="-2"/>
        </w:rPr>
        <w:t> </w:t>
      </w:r>
      <w:r>
        <w:rPr>
          <w:rFonts w:ascii="Arial" w:hAnsi="Arial"/>
          <w:b/>
          <w:color w:val="242B67"/>
        </w:rPr>
        <w:t>61.1</w:t>
      </w:r>
      <w:r>
        <w:rPr>
          <w:rFonts w:ascii="Arial" w:hAnsi="Arial"/>
          <w:b/>
          <w:color w:val="242B67"/>
          <w:spacing w:val="-3"/>
        </w:rPr>
        <w:t> </w:t>
      </w:r>
      <w:r>
        <w:rPr>
          <w:rFonts w:ascii="Microsoft Sans Serif" w:hAnsi="Microsoft Sans Serif"/>
        </w:rPr>
        <w:t>Principais</w:t>
      </w:r>
      <w:r>
        <w:rPr>
          <w:rFonts w:ascii="Microsoft Sans Serif" w:hAnsi="Microsoft Sans Serif"/>
          <w:spacing w:val="-3"/>
        </w:rPr>
        <w:t> </w:t>
      </w:r>
      <w:r>
        <w:rPr>
          <w:rFonts w:ascii="Microsoft Sans Serif" w:hAnsi="Microsoft Sans Serif"/>
        </w:rPr>
        <w:t>genes</w:t>
      </w:r>
      <w:r>
        <w:rPr>
          <w:rFonts w:ascii="Microsoft Sans Serif" w:hAnsi="Microsoft Sans Serif"/>
          <w:spacing w:val="-3"/>
        </w:rPr>
        <w:t> </w:t>
      </w:r>
      <w:r>
        <w:rPr>
          <w:rFonts w:ascii="Microsoft Sans Serif" w:hAnsi="Microsoft Sans Serif"/>
        </w:rPr>
        <w:t>candidatos</w:t>
      </w:r>
      <w:r>
        <w:rPr>
          <w:rFonts w:ascii="Microsoft Sans Serif" w:hAnsi="Microsoft Sans Serif"/>
          <w:spacing w:val="-3"/>
        </w:rPr>
        <w:t> </w:t>
      </w:r>
      <w:r>
        <w:rPr>
          <w:rFonts w:ascii="Microsoft Sans Serif" w:hAnsi="Microsoft Sans Serif"/>
        </w:rPr>
        <w:t>à terapia gênica para hipertensão arterial</w:t>
      </w:r>
      <w:r>
        <w:rPr>
          <w:rFonts w:ascii="Microsoft Sans Serif" w:hAnsi="Microsoft Sans Serif"/>
          <w:spacing w:val="-3"/>
        </w:rPr>
        <w:t> </w:t>
      </w:r>
      <w:r>
        <w:rPr>
          <w:rFonts w:ascii="Microsoft Sans Serif" w:hAnsi="Microsoft Sans Serif"/>
        </w:rPr>
        <w:t>e os</w:t>
      </w:r>
      <w:r>
        <w:rPr>
          <w:rFonts w:ascii="Microsoft Sans Serif" w:hAnsi="Microsoft Sans Serif"/>
          <w:spacing w:val="-3"/>
        </w:rPr>
        <w:t> </w:t>
      </w:r>
      <w:r>
        <w:rPr>
          <w:rFonts w:ascii="Microsoft Sans Serif" w:hAnsi="Microsoft Sans Serif"/>
        </w:rPr>
        <w:t>efeitos</w:t>
      </w:r>
      <w:r>
        <w:rPr>
          <w:rFonts w:ascii="Microsoft Sans Serif" w:hAnsi="Microsoft Sans Serif"/>
          <w:spacing w:val="-3"/>
        </w:rPr>
        <w:t> </w:t>
      </w:r>
      <w:r>
        <w:rPr>
          <w:rFonts w:ascii="Microsoft Sans Serif" w:hAnsi="Microsoft Sans Serif"/>
        </w:rPr>
        <w:t>obtidos sobre a pressão arterial (PA).</w:t>
      </w:r>
    </w:p>
    <w:p>
      <w:pPr>
        <w:pStyle w:val="BodyText"/>
        <w:spacing w:before="0"/>
        <w:ind w:left="0" w:firstLine="0"/>
        <w:jc w:val="left"/>
        <w:rPr>
          <w:rFonts w:ascii="Microsoft Sans Serif"/>
          <w:sz w:val="12"/>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781"/>
        <w:gridCol w:w="2659"/>
        <w:gridCol w:w="3180"/>
      </w:tblGrid>
      <w:tr>
        <w:trPr>
          <w:trHeight w:val="430" w:hRule="atLeast"/>
        </w:trPr>
        <w:tc>
          <w:tcPr>
            <w:tcW w:w="4781" w:type="dxa"/>
            <w:tcBorders>
              <w:top w:val="nil"/>
              <w:left w:val="nil"/>
            </w:tcBorders>
            <w:shd w:val="clear" w:color="auto" w:fill="242B67"/>
          </w:tcPr>
          <w:p>
            <w:pPr>
              <w:pStyle w:val="TableParagraph"/>
              <w:spacing w:before="91"/>
              <w:ind w:left="67"/>
              <w:rPr>
                <w:rFonts w:ascii="Arial"/>
                <w:b/>
                <w:sz w:val="21"/>
              </w:rPr>
            </w:pPr>
            <w:r>
              <w:rPr>
                <w:rFonts w:ascii="Arial"/>
                <w:b/>
                <w:color w:val="FFFFFF"/>
                <w:sz w:val="21"/>
              </w:rPr>
              <w:t>Gene-</w:t>
            </w:r>
            <w:r>
              <w:rPr>
                <w:rFonts w:ascii="Arial"/>
                <w:b/>
                <w:color w:val="FFFFFF"/>
                <w:spacing w:val="-4"/>
                <w:sz w:val="21"/>
              </w:rPr>
              <w:t>alvo</w:t>
            </w:r>
          </w:p>
        </w:tc>
        <w:tc>
          <w:tcPr>
            <w:tcW w:w="2659" w:type="dxa"/>
            <w:tcBorders>
              <w:top w:val="nil"/>
            </w:tcBorders>
            <w:shd w:val="clear" w:color="auto" w:fill="242B67"/>
          </w:tcPr>
          <w:p>
            <w:pPr>
              <w:pStyle w:val="TableParagraph"/>
              <w:spacing w:before="91"/>
              <w:rPr>
                <w:rFonts w:ascii="Arial" w:hAnsi="Arial"/>
                <w:b/>
                <w:sz w:val="21"/>
              </w:rPr>
            </w:pPr>
            <w:r>
              <w:rPr>
                <w:rFonts w:ascii="Arial" w:hAnsi="Arial"/>
                <w:b/>
                <w:color w:val="FFFFFF"/>
                <w:sz w:val="21"/>
              </w:rPr>
              <w:t>Manipulação</w:t>
            </w:r>
            <w:r>
              <w:rPr>
                <w:rFonts w:ascii="Arial" w:hAnsi="Arial"/>
                <w:b/>
                <w:color w:val="FFFFFF"/>
                <w:spacing w:val="51"/>
                <w:sz w:val="21"/>
              </w:rPr>
              <w:t> </w:t>
            </w:r>
            <w:r>
              <w:rPr>
                <w:rFonts w:ascii="Arial" w:hAnsi="Arial"/>
                <w:b/>
                <w:color w:val="FFFFFF"/>
                <w:spacing w:val="-2"/>
                <w:sz w:val="21"/>
              </w:rPr>
              <w:t>genética</w:t>
            </w:r>
          </w:p>
        </w:tc>
        <w:tc>
          <w:tcPr>
            <w:tcW w:w="3180" w:type="dxa"/>
            <w:tcBorders>
              <w:top w:val="nil"/>
              <w:bottom w:val="nil"/>
              <w:right w:val="nil"/>
            </w:tcBorders>
            <w:shd w:val="clear" w:color="auto" w:fill="242B67"/>
          </w:tcPr>
          <w:p>
            <w:pPr>
              <w:pStyle w:val="TableParagraph"/>
              <w:spacing w:before="91"/>
              <w:rPr>
                <w:rFonts w:ascii="Arial"/>
                <w:b/>
                <w:sz w:val="21"/>
              </w:rPr>
            </w:pPr>
            <w:r>
              <w:rPr>
                <w:rFonts w:ascii="Arial"/>
                <w:b/>
                <w:color w:val="FFFFFF"/>
                <w:spacing w:val="-2"/>
                <w:w w:val="105"/>
                <w:sz w:val="21"/>
              </w:rPr>
              <w:t>Efeito</w:t>
            </w:r>
          </w:p>
        </w:tc>
      </w:tr>
      <w:tr>
        <w:trPr>
          <w:trHeight w:val="428" w:hRule="atLeast"/>
        </w:trPr>
        <w:tc>
          <w:tcPr>
            <w:tcW w:w="10620" w:type="dxa"/>
            <w:gridSpan w:val="3"/>
            <w:tcBorders>
              <w:top w:val="nil"/>
              <w:left w:val="nil"/>
              <w:right w:val="nil"/>
            </w:tcBorders>
            <w:shd w:val="clear" w:color="auto" w:fill="EDECF3"/>
          </w:tcPr>
          <w:p>
            <w:pPr>
              <w:pStyle w:val="TableParagraph"/>
              <w:spacing w:before="89"/>
              <w:ind w:left="67"/>
              <w:rPr>
                <w:rFonts w:ascii="Arial"/>
                <w:b/>
                <w:sz w:val="21"/>
              </w:rPr>
            </w:pPr>
            <w:r>
              <w:rPr>
                <w:rFonts w:ascii="Arial"/>
                <w:b/>
                <w:w w:val="105"/>
                <w:sz w:val="21"/>
              </w:rPr>
              <w:t>Genes</w:t>
            </w:r>
            <w:r>
              <w:rPr>
                <w:rFonts w:ascii="Arial"/>
                <w:b/>
                <w:spacing w:val="11"/>
                <w:w w:val="105"/>
                <w:sz w:val="21"/>
              </w:rPr>
              <w:t> </w:t>
            </w:r>
            <w:r>
              <w:rPr>
                <w:rFonts w:ascii="Arial"/>
                <w:b/>
                <w:spacing w:val="-2"/>
                <w:w w:val="105"/>
                <w:sz w:val="21"/>
              </w:rPr>
              <w:t>vasodilatadores</w:t>
            </w:r>
          </w:p>
        </w:tc>
      </w:tr>
      <w:tr>
        <w:trPr>
          <w:trHeight w:val="1037" w:hRule="atLeast"/>
        </w:trPr>
        <w:tc>
          <w:tcPr>
            <w:tcW w:w="4781" w:type="dxa"/>
            <w:tcBorders>
              <w:left w:val="nil"/>
            </w:tcBorders>
            <w:shd w:val="clear" w:color="auto" w:fill="EDECF3"/>
          </w:tcPr>
          <w:p>
            <w:pPr>
              <w:pStyle w:val="TableParagraph"/>
              <w:ind w:left="67"/>
              <w:rPr>
                <w:sz w:val="21"/>
              </w:rPr>
            </w:pPr>
            <w:r>
              <w:rPr>
                <w:w w:val="105"/>
                <w:sz w:val="21"/>
              </w:rPr>
              <w:t>Óxido</w:t>
            </w:r>
            <w:r>
              <w:rPr>
                <w:spacing w:val="26"/>
                <w:w w:val="105"/>
                <w:sz w:val="21"/>
              </w:rPr>
              <w:t> </w:t>
            </w:r>
            <w:r>
              <w:rPr>
                <w:w w:val="105"/>
                <w:sz w:val="21"/>
              </w:rPr>
              <w:t>nítrico</w:t>
            </w:r>
            <w:r>
              <w:rPr>
                <w:spacing w:val="26"/>
                <w:w w:val="105"/>
                <w:sz w:val="21"/>
              </w:rPr>
              <w:t> </w:t>
            </w:r>
            <w:r>
              <w:rPr>
                <w:w w:val="105"/>
                <w:sz w:val="21"/>
              </w:rPr>
              <w:t>sintase</w:t>
            </w:r>
            <w:r>
              <w:rPr>
                <w:spacing w:val="26"/>
                <w:w w:val="105"/>
                <w:sz w:val="21"/>
              </w:rPr>
              <w:t> </w:t>
            </w:r>
            <w:r>
              <w:rPr>
                <w:w w:val="105"/>
                <w:sz w:val="21"/>
              </w:rPr>
              <w:t>endotelial</w:t>
            </w:r>
            <w:r>
              <w:rPr>
                <w:spacing w:val="16"/>
                <w:w w:val="105"/>
                <w:sz w:val="21"/>
              </w:rPr>
              <w:t> </w:t>
            </w:r>
            <w:r>
              <w:rPr>
                <w:spacing w:val="-2"/>
                <w:w w:val="105"/>
                <w:sz w:val="21"/>
              </w:rPr>
              <w:t>(eNOS)</w:t>
            </w:r>
          </w:p>
        </w:tc>
        <w:tc>
          <w:tcPr>
            <w:tcW w:w="2659" w:type="dxa"/>
            <w:shd w:val="clear" w:color="auto" w:fill="EDECF3"/>
          </w:tcPr>
          <w:p>
            <w:pPr>
              <w:pStyle w:val="TableParagraph"/>
              <w:rPr>
                <w:sz w:val="21"/>
              </w:rPr>
            </w:pPr>
            <w:r>
              <w:rPr>
                <w:spacing w:val="-2"/>
                <w:w w:val="105"/>
                <w:sz w:val="21"/>
              </w:rPr>
              <w:t>Superexpressão</w:t>
            </w:r>
          </w:p>
        </w:tc>
        <w:tc>
          <w:tcPr>
            <w:tcW w:w="3180" w:type="dxa"/>
            <w:tcBorders>
              <w:right w:val="nil"/>
            </w:tcBorders>
            <w:shd w:val="clear" w:color="auto" w:fill="EDECF3"/>
          </w:tcPr>
          <w:p>
            <w:pPr>
              <w:pStyle w:val="TableParagraph"/>
              <w:spacing w:line="307" w:lineRule="auto"/>
              <w:ind w:right="129"/>
              <w:rPr>
                <w:sz w:val="21"/>
              </w:rPr>
            </w:pPr>
            <w:r>
              <w:rPr>
                <w:w w:val="105"/>
                <w:sz w:val="21"/>
              </w:rPr>
              <w:t>Redução da PA e melhora </w:t>
            </w:r>
            <w:r>
              <w:rPr>
                <w:w w:val="105"/>
                <w:sz w:val="21"/>
              </w:rPr>
              <w:t>da função endotelial NO-</w:t>
            </w:r>
            <w:r>
              <w:rPr>
                <w:spacing w:val="-2"/>
                <w:w w:val="105"/>
                <w:sz w:val="21"/>
              </w:rPr>
              <w:t>dependente</w:t>
            </w:r>
          </w:p>
        </w:tc>
      </w:tr>
      <w:tr>
        <w:trPr>
          <w:trHeight w:val="428" w:hRule="atLeast"/>
        </w:trPr>
        <w:tc>
          <w:tcPr>
            <w:tcW w:w="4781" w:type="dxa"/>
            <w:tcBorders>
              <w:left w:val="nil"/>
            </w:tcBorders>
            <w:shd w:val="clear" w:color="auto" w:fill="EDECF3"/>
          </w:tcPr>
          <w:p>
            <w:pPr>
              <w:pStyle w:val="TableParagraph"/>
              <w:ind w:left="67"/>
              <w:rPr>
                <w:sz w:val="21"/>
              </w:rPr>
            </w:pPr>
            <w:r>
              <w:rPr>
                <w:w w:val="105"/>
                <w:sz w:val="21"/>
              </w:rPr>
              <w:t>Superóxido</w:t>
            </w:r>
            <w:r>
              <w:rPr>
                <w:spacing w:val="20"/>
                <w:w w:val="105"/>
                <w:sz w:val="21"/>
              </w:rPr>
              <w:t> </w:t>
            </w:r>
            <w:r>
              <w:rPr>
                <w:w w:val="105"/>
                <w:sz w:val="21"/>
              </w:rPr>
              <w:t>dismutase</w:t>
            </w:r>
            <w:r>
              <w:rPr>
                <w:spacing w:val="20"/>
                <w:w w:val="105"/>
                <w:sz w:val="21"/>
              </w:rPr>
              <w:t> </w:t>
            </w:r>
            <w:r>
              <w:rPr>
                <w:w w:val="105"/>
                <w:sz w:val="21"/>
              </w:rPr>
              <w:t>(SOD)</w:t>
            </w:r>
            <w:r>
              <w:rPr>
                <w:spacing w:val="20"/>
                <w:w w:val="105"/>
                <w:sz w:val="21"/>
              </w:rPr>
              <w:t> </w:t>
            </w:r>
            <w:r>
              <w:rPr>
                <w:spacing w:val="-2"/>
                <w:w w:val="105"/>
                <w:sz w:val="21"/>
              </w:rPr>
              <w:t>extracelular</w:t>
            </w:r>
          </w:p>
        </w:tc>
        <w:tc>
          <w:tcPr>
            <w:tcW w:w="2659" w:type="dxa"/>
            <w:shd w:val="clear" w:color="auto" w:fill="EDECF3"/>
          </w:tcPr>
          <w:p>
            <w:pPr>
              <w:pStyle w:val="TableParagraph"/>
              <w:ind w:left="66"/>
              <w:rPr>
                <w:sz w:val="21"/>
              </w:rPr>
            </w:pPr>
            <w:r>
              <w:rPr>
                <w:spacing w:val="-2"/>
                <w:w w:val="105"/>
                <w:sz w:val="21"/>
              </w:rPr>
              <w:t>Superexpressão</w:t>
            </w:r>
          </w:p>
        </w:tc>
        <w:tc>
          <w:tcPr>
            <w:tcW w:w="3180" w:type="dxa"/>
            <w:tcBorders>
              <w:right w:val="nil"/>
            </w:tcBorders>
            <w:shd w:val="clear" w:color="auto" w:fill="EDECF3"/>
          </w:tcPr>
          <w:p>
            <w:pPr>
              <w:pStyle w:val="TableParagraph"/>
              <w:rPr>
                <w:sz w:val="21"/>
              </w:rPr>
            </w:pPr>
            <w:r>
              <w:rPr>
                <w:w w:val="105"/>
                <w:sz w:val="21"/>
              </w:rPr>
              <w:t>Melhora</w:t>
            </w:r>
            <w:r>
              <w:rPr>
                <w:spacing w:val="19"/>
                <w:w w:val="105"/>
                <w:sz w:val="21"/>
              </w:rPr>
              <w:t> </w:t>
            </w:r>
            <w:r>
              <w:rPr>
                <w:w w:val="105"/>
                <w:sz w:val="21"/>
              </w:rPr>
              <w:t>da</w:t>
            </w:r>
            <w:r>
              <w:rPr>
                <w:spacing w:val="19"/>
                <w:w w:val="105"/>
                <w:sz w:val="21"/>
              </w:rPr>
              <w:t> </w:t>
            </w:r>
            <w:r>
              <w:rPr>
                <w:w w:val="105"/>
                <w:sz w:val="21"/>
              </w:rPr>
              <w:t>função</w:t>
            </w:r>
            <w:r>
              <w:rPr>
                <w:spacing w:val="20"/>
                <w:w w:val="105"/>
                <w:sz w:val="21"/>
              </w:rPr>
              <w:t> </w:t>
            </w:r>
            <w:r>
              <w:rPr>
                <w:spacing w:val="-2"/>
                <w:w w:val="105"/>
                <w:sz w:val="21"/>
              </w:rPr>
              <w:t>endotelial</w:t>
            </w:r>
          </w:p>
        </w:tc>
      </w:tr>
      <w:tr>
        <w:trPr>
          <w:trHeight w:val="428" w:hRule="atLeast"/>
        </w:trPr>
        <w:tc>
          <w:tcPr>
            <w:tcW w:w="4781" w:type="dxa"/>
            <w:tcBorders>
              <w:left w:val="nil"/>
            </w:tcBorders>
            <w:shd w:val="clear" w:color="auto" w:fill="EDECF3"/>
          </w:tcPr>
          <w:p>
            <w:pPr>
              <w:pStyle w:val="TableParagraph"/>
              <w:ind w:left="67"/>
              <w:rPr>
                <w:sz w:val="21"/>
              </w:rPr>
            </w:pPr>
            <w:r>
              <w:rPr>
                <w:spacing w:val="-2"/>
                <w:w w:val="105"/>
                <w:sz w:val="21"/>
              </w:rPr>
              <w:t>Calicreína</w:t>
            </w:r>
          </w:p>
        </w:tc>
        <w:tc>
          <w:tcPr>
            <w:tcW w:w="2659" w:type="dxa"/>
            <w:shd w:val="clear" w:color="auto" w:fill="EDECF3"/>
          </w:tcPr>
          <w:p>
            <w:pPr>
              <w:pStyle w:val="TableParagraph"/>
              <w:rPr>
                <w:sz w:val="21"/>
              </w:rPr>
            </w:pPr>
            <w:r>
              <w:rPr>
                <w:spacing w:val="-2"/>
                <w:w w:val="105"/>
                <w:sz w:val="21"/>
              </w:rPr>
              <w:t>Superexpressão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428" w:hRule="atLeast"/>
        </w:trPr>
        <w:tc>
          <w:tcPr>
            <w:tcW w:w="4781" w:type="dxa"/>
            <w:tcBorders>
              <w:left w:val="nil"/>
            </w:tcBorders>
            <w:shd w:val="clear" w:color="auto" w:fill="EDECF3"/>
          </w:tcPr>
          <w:p>
            <w:pPr>
              <w:pStyle w:val="TableParagraph"/>
              <w:ind w:left="67"/>
              <w:rPr>
                <w:sz w:val="21"/>
              </w:rPr>
            </w:pPr>
            <w:r>
              <w:rPr>
                <w:spacing w:val="-2"/>
                <w:w w:val="105"/>
                <w:sz w:val="21"/>
              </w:rPr>
              <w:t>Adrenomedulina</w:t>
            </w:r>
          </w:p>
        </w:tc>
        <w:tc>
          <w:tcPr>
            <w:tcW w:w="2659" w:type="dxa"/>
            <w:shd w:val="clear" w:color="auto" w:fill="EDECF3"/>
          </w:tcPr>
          <w:p>
            <w:pPr>
              <w:pStyle w:val="TableParagraph"/>
              <w:rPr>
                <w:sz w:val="21"/>
              </w:rPr>
            </w:pPr>
            <w:r>
              <w:rPr>
                <w:spacing w:val="-2"/>
                <w:w w:val="105"/>
                <w:sz w:val="21"/>
              </w:rPr>
              <w:t>Superexpressão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428" w:hRule="atLeast"/>
        </w:trPr>
        <w:tc>
          <w:tcPr>
            <w:tcW w:w="4781" w:type="dxa"/>
            <w:tcBorders>
              <w:left w:val="nil"/>
            </w:tcBorders>
            <w:shd w:val="clear" w:color="auto" w:fill="EDECF3"/>
          </w:tcPr>
          <w:p>
            <w:pPr>
              <w:pStyle w:val="TableParagraph"/>
              <w:ind w:left="67"/>
              <w:rPr>
                <w:sz w:val="21"/>
              </w:rPr>
            </w:pPr>
            <w:r>
              <w:rPr>
                <w:w w:val="105"/>
                <w:sz w:val="21"/>
              </w:rPr>
              <w:t>Peptídio</w:t>
            </w:r>
            <w:r>
              <w:rPr>
                <w:spacing w:val="31"/>
                <w:w w:val="105"/>
                <w:sz w:val="21"/>
              </w:rPr>
              <w:t> </w:t>
            </w:r>
            <w:r>
              <w:rPr>
                <w:w w:val="105"/>
                <w:sz w:val="21"/>
              </w:rPr>
              <w:t>natriurético</w:t>
            </w:r>
            <w:r>
              <w:rPr>
                <w:spacing w:val="32"/>
                <w:w w:val="105"/>
                <w:sz w:val="21"/>
              </w:rPr>
              <w:t> </w:t>
            </w:r>
            <w:r>
              <w:rPr>
                <w:w w:val="105"/>
                <w:sz w:val="21"/>
              </w:rPr>
              <w:t>atrial</w:t>
            </w:r>
            <w:r>
              <w:rPr>
                <w:spacing w:val="22"/>
                <w:w w:val="105"/>
                <w:sz w:val="21"/>
              </w:rPr>
              <w:t> </w:t>
            </w:r>
            <w:r>
              <w:rPr>
                <w:spacing w:val="-2"/>
                <w:w w:val="105"/>
                <w:sz w:val="21"/>
              </w:rPr>
              <w:t>(ANP)</w:t>
            </w:r>
          </w:p>
        </w:tc>
        <w:tc>
          <w:tcPr>
            <w:tcW w:w="2659" w:type="dxa"/>
            <w:shd w:val="clear" w:color="auto" w:fill="EDECF3"/>
          </w:tcPr>
          <w:p>
            <w:pPr>
              <w:pStyle w:val="TableParagraph"/>
              <w:rPr>
                <w:sz w:val="21"/>
              </w:rPr>
            </w:pPr>
            <w:r>
              <w:rPr>
                <w:spacing w:val="-2"/>
                <w:w w:val="105"/>
                <w:sz w:val="21"/>
              </w:rPr>
              <w:t>Superexpressão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732" w:hRule="atLeast"/>
        </w:trPr>
        <w:tc>
          <w:tcPr>
            <w:tcW w:w="4781" w:type="dxa"/>
            <w:tcBorders>
              <w:left w:val="nil"/>
            </w:tcBorders>
            <w:shd w:val="clear" w:color="auto" w:fill="EDECF3"/>
          </w:tcPr>
          <w:p>
            <w:pPr>
              <w:pStyle w:val="TableParagraph"/>
              <w:ind w:left="67"/>
              <w:rPr>
                <w:sz w:val="21"/>
              </w:rPr>
            </w:pPr>
            <w:r>
              <w:rPr>
                <w:sz w:val="21"/>
              </w:rPr>
              <w:t>Hemeoxigenase-1</w:t>
            </w:r>
            <w:r>
              <w:rPr>
                <w:spacing w:val="54"/>
                <w:sz w:val="21"/>
              </w:rPr>
              <w:t>  </w:t>
            </w:r>
            <w:r>
              <w:rPr>
                <w:sz w:val="21"/>
              </w:rPr>
              <w:t>(HO-</w:t>
            </w:r>
            <w:r>
              <w:rPr>
                <w:spacing w:val="-5"/>
                <w:sz w:val="21"/>
              </w:rPr>
              <w:t>1)</w:t>
            </w:r>
          </w:p>
        </w:tc>
        <w:tc>
          <w:tcPr>
            <w:tcW w:w="2659" w:type="dxa"/>
            <w:shd w:val="clear" w:color="auto" w:fill="EDECF3"/>
          </w:tcPr>
          <w:p>
            <w:pPr>
              <w:pStyle w:val="TableParagraph"/>
              <w:rPr>
                <w:sz w:val="21"/>
              </w:rPr>
            </w:pPr>
            <w:r>
              <w:rPr>
                <w:spacing w:val="-2"/>
                <w:w w:val="105"/>
                <w:sz w:val="21"/>
              </w:rPr>
              <w:t>Superexpressão</w:t>
            </w:r>
          </w:p>
        </w:tc>
        <w:tc>
          <w:tcPr>
            <w:tcW w:w="3180" w:type="dxa"/>
            <w:tcBorders>
              <w:right w:val="nil"/>
            </w:tcBorders>
            <w:shd w:val="clear" w:color="auto" w:fill="EDECF3"/>
          </w:tcPr>
          <w:p>
            <w:pPr>
              <w:pStyle w:val="TableParagraph"/>
              <w:spacing w:line="307" w:lineRule="auto"/>
              <w:rPr>
                <w:sz w:val="21"/>
              </w:rPr>
            </w:pPr>
            <w:r>
              <w:rPr>
                <w:w w:val="105"/>
                <w:sz w:val="21"/>
              </w:rPr>
              <w:t>Diminuição da resposta pressórica à angiotensina </w:t>
            </w:r>
            <w:r>
              <w:rPr>
                <w:w w:val="105"/>
                <w:sz w:val="21"/>
              </w:rPr>
              <w:t>II</w:t>
            </w:r>
          </w:p>
        </w:tc>
      </w:tr>
      <w:tr>
        <w:trPr>
          <w:trHeight w:val="732" w:hRule="atLeast"/>
        </w:trPr>
        <w:tc>
          <w:tcPr>
            <w:tcW w:w="4781" w:type="dxa"/>
            <w:tcBorders>
              <w:left w:val="nil"/>
            </w:tcBorders>
            <w:shd w:val="clear" w:color="auto" w:fill="EDECF3"/>
          </w:tcPr>
          <w:p>
            <w:pPr>
              <w:pStyle w:val="TableParagraph"/>
              <w:spacing w:line="307" w:lineRule="auto"/>
              <w:ind w:left="67" w:right="207"/>
              <w:rPr>
                <w:sz w:val="21"/>
              </w:rPr>
            </w:pPr>
            <w:r>
              <w:rPr>
                <w:w w:val="105"/>
                <w:sz w:val="21"/>
              </w:rPr>
              <w:t>Enzima conversora de angiotensina-2 (ECA-</w:t>
            </w:r>
            <w:r>
              <w:rPr>
                <w:spacing w:val="-6"/>
                <w:w w:val="105"/>
                <w:sz w:val="21"/>
              </w:rPr>
              <w:t>2)</w:t>
            </w:r>
          </w:p>
        </w:tc>
        <w:tc>
          <w:tcPr>
            <w:tcW w:w="2659" w:type="dxa"/>
            <w:shd w:val="clear" w:color="auto" w:fill="EDECF3"/>
          </w:tcPr>
          <w:p>
            <w:pPr>
              <w:pStyle w:val="TableParagraph"/>
              <w:rPr>
                <w:sz w:val="21"/>
              </w:rPr>
            </w:pPr>
            <w:r>
              <w:rPr>
                <w:spacing w:val="-2"/>
                <w:w w:val="105"/>
                <w:sz w:val="21"/>
              </w:rPr>
              <w:t>Superexpressão</w:t>
            </w:r>
          </w:p>
        </w:tc>
        <w:tc>
          <w:tcPr>
            <w:tcW w:w="3180" w:type="dxa"/>
            <w:tcBorders>
              <w:bottom w:val="nil"/>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428" w:hRule="atLeast"/>
        </w:trPr>
        <w:tc>
          <w:tcPr>
            <w:tcW w:w="10620" w:type="dxa"/>
            <w:gridSpan w:val="3"/>
            <w:tcBorders>
              <w:top w:val="nil"/>
              <w:left w:val="nil"/>
              <w:right w:val="nil"/>
            </w:tcBorders>
            <w:shd w:val="clear" w:color="auto" w:fill="EDECF3"/>
          </w:tcPr>
          <w:p>
            <w:pPr>
              <w:pStyle w:val="TableParagraph"/>
              <w:spacing w:before="89"/>
              <w:ind w:left="67"/>
              <w:rPr>
                <w:rFonts w:ascii="Arial"/>
                <w:b/>
                <w:sz w:val="21"/>
              </w:rPr>
            </w:pPr>
            <w:r>
              <w:rPr>
                <w:rFonts w:ascii="Arial"/>
                <w:b/>
                <w:w w:val="105"/>
                <w:sz w:val="21"/>
              </w:rPr>
              <w:t>Genes</w:t>
            </w:r>
            <w:r>
              <w:rPr>
                <w:rFonts w:ascii="Arial"/>
                <w:b/>
                <w:spacing w:val="11"/>
                <w:w w:val="105"/>
                <w:sz w:val="21"/>
              </w:rPr>
              <w:t> </w:t>
            </w:r>
            <w:r>
              <w:rPr>
                <w:rFonts w:ascii="Arial"/>
                <w:b/>
                <w:spacing w:val="-2"/>
                <w:w w:val="105"/>
                <w:sz w:val="21"/>
              </w:rPr>
              <w:t>vasoconstritores</w:t>
            </w:r>
          </w:p>
        </w:tc>
      </w:tr>
      <w:tr>
        <w:trPr>
          <w:trHeight w:val="428" w:hRule="atLeast"/>
        </w:trPr>
        <w:tc>
          <w:tcPr>
            <w:tcW w:w="4781" w:type="dxa"/>
            <w:tcBorders>
              <w:left w:val="nil"/>
            </w:tcBorders>
            <w:shd w:val="clear" w:color="auto" w:fill="EDECF3"/>
          </w:tcPr>
          <w:p>
            <w:pPr>
              <w:pStyle w:val="TableParagraph"/>
              <w:ind w:left="67"/>
              <w:rPr>
                <w:sz w:val="21"/>
              </w:rPr>
            </w:pPr>
            <w:r>
              <w:rPr>
                <w:spacing w:val="4"/>
                <w:sz w:val="21"/>
              </w:rPr>
              <w:t>Angiotensinogênio</w:t>
            </w:r>
            <w:r>
              <w:rPr>
                <w:spacing w:val="67"/>
                <w:sz w:val="21"/>
              </w:rPr>
              <w:t> </w:t>
            </w:r>
            <w:r>
              <w:rPr>
                <w:spacing w:val="-4"/>
                <w:sz w:val="21"/>
              </w:rPr>
              <w:t>(AGT)</w:t>
            </w:r>
          </w:p>
        </w:tc>
        <w:tc>
          <w:tcPr>
            <w:tcW w:w="2659" w:type="dxa"/>
            <w:shd w:val="clear" w:color="auto" w:fill="EDECF3"/>
          </w:tcPr>
          <w:p>
            <w:pPr>
              <w:pStyle w:val="TableParagraph"/>
              <w:rPr>
                <w:sz w:val="21"/>
              </w:rPr>
            </w:pPr>
            <w:r>
              <w:rPr>
                <w:spacing w:val="-2"/>
                <w:w w:val="105"/>
                <w:sz w:val="21"/>
              </w:rPr>
              <w:t>Inibição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732" w:hRule="atLeast"/>
        </w:trPr>
        <w:tc>
          <w:tcPr>
            <w:tcW w:w="4781" w:type="dxa"/>
            <w:tcBorders>
              <w:left w:val="nil"/>
            </w:tcBorders>
            <w:shd w:val="clear" w:color="auto" w:fill="EDECF3"/>
          </w:tcPr>
          <w:p>
            <w:pPr>
              <w:pStyle w:val="TableParagraph"/>
              <w:spacing w:line="307" w:lineRule="auto"/>
              <w:ind w:left="67" w:right="207"/>
              <w:rPr>
                <w:sz w:val="21"/>
              </w:rPr>
            </w:pPr>
            <w:r>
              <w:rPr>
                <w:w w:val="105"/>
                <w:sz w:val="21"/>
              </w:rPr>
              <w:t>Enzima conversora de angiotensina-1 (ECA-</w:t>
            </w:r>
            <w:r>
              <w:rPr>
                <w:spacing w:val="-6"/>
                <w:w w:val="105"/>
                <w:sz w:val="21"/>
              </w:rPr>
              <w:t>1)</w:t>
            </w:r>
          </w:p>
        </w:tc>
        <w:tc>
          <w:tcPr>
            <w:tcW w:w="2659" w:type="dxa"/>
            <w:shd w:val="clear" w:color="auto" w:fill="EDECF3"/>
          </w:tcPr>
          <w:p>
            <w:pPr>
              <w:pStyle w:val="TableParagraph"/>
              <w:rPr>
                <w:sz w:val="21"/>
              </w:rPr>
            </w:pPr>
            <w:r>
              <w:rPr>
                <w:spacing w:val="-2"/>
                <w:w w:val="105"/>
                <w:sz w:val="21"/>
              </w:rPr>
              <w:t>Inibição</w:t>
            </w:r>
          </w:p>
        </w:tc>
        <w:tc>
          <w:tcPr>
            <w:tcW w:w="3180" w:type="dxa"/>
            <w:tcBorders>
              <w:right w:val="nil"/>
            </w:tcBorders>
            <w:shd w:val="clear" w:color="auto" w:fill="EDECF3"/>
          </w:tcPr>
          <w:p>
            <w:pPr>
              <w:pStyle w:val="TableParagraph"/>
              <w:spacing w:line="307" w:lineRule="auto"/>
              <w:rPr>
                <w:sz w:val="21"/>
              </w:rPr>
            </w:pPr>
            <w:r>
              <w:rPr>
                <w:w w:val="105"/>
                <w:sz w:val="21"/>
              </w:rPr>
              <w:t>Redução da PA e melhora </w:t>
            </w:r>
            <w:r>
              <w:rPr>
                <w:w w:val="105"/>
                <w:sz w:val="21"/>
              </w:rPr>
              <w:t>da função cardiovascular</w:t>
            </w:r>
          </w:p>
        </w:tc>
      </w:tr>
      <w:tr>
        <w:trPr>
          <w:trHeight w:val="732" w:hRule="atLeast"/>
        </w:trPr>
        <w:tc>
          <w:tcPr>
            <w:tcW w:w="4781" w:type="dxa"/>
            <w:tcBorders>
              <w:left w:val="nil"/>
            </w:tcBorders>
            <w:shd w:val="clear" w:color="auto" w:fill="EDECF3"/>
          </w:tcPr>
          <w:p>
            <w:pPr>
              <w:pStyle w:val="TableParagraph"/>
              <w:ind w:left="67"/>
              <w:rPr>
                <w:sz w:val="21"/>
              </w:rPr>
            </w:pPr>
            <w:r>
              <w:rPr>
                <w:w w:val="105"/>
                <w:sz w:val="21"/>
              </w:rPr>
              <w:t>Receptor</w:t>
            </w:r>
            <w:r>
              <w:rPr>
                <w:spacing w:val="22"/>
                <w:w w:val="105"/>
                <w:sz w:val="21"/>
              </w:rPr>
              <w:t> </w:t>
            </w:r>
            <w:r>
              <w:rPr>
                <w:w w:val="105"/>
                <w:sz w:val="21"/>
              </w:rPr>
              <w:t>de</w:t>
            </w:r>
            <w:r>
              <w:rPr>
                <w:spacing w:val="22"/>
                <w:w w:val="105"/>
                <w:sz w:val="21"/>
              </w:rPr>
              <w:t> </w:t>
            </w:r>
            <w:r>
              <w:rPr>
                <w:w w:val="105"/>
                <w:sz w:val="21"/>
              </w:rPr>
              <w:t>angiotensina</w:t>
            </w:r>
            <w:r>
              <w:rPr>
                <w:spacing w:val="23"/>
                <w:w w:val="105"/>
                <w:sz w:val="21"/>
              </w:rPr>
              <w:t> </w:t>
            </w:r>
            <w:r>
              <w:rPr>
                <w:w w:val="105"/>
                <w:sz w:val="21"/>
              </w:rPr>
              <w:t>tipo</w:t>
            </w:r>
            <w:r>
              <w:rPr>
                <w:spacing w:val="22"/>
                <w:w w:val="105"/>
                <w:sz w:val="21"/>
              </w:rPr>
              <w:t> </w:t>
            </w:r>
            <w:r>
              <w:rPr>
                <w:w w:val="105"/>
                <w:sz w:val="21"/>
              </w:rPr>
              <w:t>1</w:t>
            </w:r>
            <w:r>
              <w:rPr>
                <w:spacing w:val="22"/>
                <w:w w:val="105"/>
                <w:sz w:val="21"/>
              </w:rPr>
              <w:t> </w:t>
            </w:r>
            <w:r>
              <w:rPr>
                <w:w w:val="105"/>
                <w:sz w:val="21"/>
              </w:rPr>
              <w:t>(AT1-</w:t>
            </w:r>
            <w:r>
              <w:rPr>
                <w:spacing w:val="-5"/>
                <w:w w:val="105"/>
                <w:sz w:val="21"/>
              </w:rPr>
              <w:t>R)</w:t>
            </w:r>
          </w:p>
        </w:tc>
        <w:tc>
          <w:tcPr>
            <w:tcW w:w="2659" w:type="dxa"/>
            <w:shd w:val="clear" w:color="auto" w:fill="EDECF3"/>
          </w:tcPr>
          <w:p>
            <w:pPr>
              <w:pStyle w:val="TableParagraph"/>
              <w:ind w:left="66"/>
              <w:rPr>
                <w:sz w:val="21"/>
              </w:rPr>
            </w:pPr>
            <w:r>
              <w:rPr>
                <w:spacing w:val="-2"/>
                <w:w w:val="105"/>
                <w:sz w:val="21"/>
              </w:rPr>
              <w:t>Inibição</w:t>
            </w:r>
          </w:p>
        </w:tc>
        <w:tc>
          <w:tcPr>
            <w:tcW w:w="3180" w:type="dxa"/>
            <w:tcBorders>
              <w:right w:val="nil"/>
            </w:tcBorders>
            <w:shd w:val="clear" w:color="auto" w:fill="EDECF3"/>
          </w:tcPr>
          <w:p>
            <w:pPr>
              <w:pStyle w:val="TableParagraph"/>
              <w:spacing w:line="307" w:lineRule="auto"/>
              <w:rPr>
                <w:sz w:val="21"/>
              </w:rPr>
            </w:pPr>
            <w:r>
              <w:rPr>
                <w:w w:val="105"/>
                <w:sz w:val="21"/>
              </w:rPr>
              <w:t>Redução da PA e melhora </w:t>
            </w:r>
            <w:r>
              <w:rPr>
                <w:w w:val="105"/>
                <w:sz w:val="21"/>
              </w:rPr>
              <w:t>da função cardiovascular</w:t>
            </w:r>
          </w:p>
        </w:tc>
      </w:tr>
      <w:tr>
        <w:trPr>
          <w:trHeight w:val="428" w:hRule="atLeast"/>
        </w:trPr>
        <w:tc>
          <w:tcPr>
            <w:tcW w:w="4781" w:type="dxa"/>
            <w:tcBorders>
              <w:left w:val="nil"/>
            </w:tcBorders>
            <w:shd w:val="clear" w:color="auto" w:fill="EDECF3"/>
          </w:tcPr>
          <w:p>
            <w:pPr>
              <w:pStyle w:val="TableParagraph"/>
              <w:ind w:left="67"/>
              <w:rPr>
                <w:sz w:val="21"/>
              </w:rPr>
            </w:pPr>
            <w:r>
              <w:rPr>
                <w:spacing w:val="-2"/>
                <w:w w:val="105"/>
                <w:sz w:val="21"/>
              </w:rPr>
              <w:t>Renina</w:t>
            </w:r>
          </w:p>
        </w:tc>
        <w:tc>
          <w:tcPr>
            <w:tcW w:w="2659" w:type="dxa"/>
            <w:shd w:val="clear" w:color="auto" w:fill="EDECF3"/>
          </w:tcPr>
          <w:p>
            <w:pPr>
              <w:pStyle w:val="TableParagraph"/>
              <w:rPr>
                <w:sz w:val="21"/>
              </w:rPr>
            </w:pPr>
            <w:r>
              <w:rPr>
                <w:spacing w:val="-2"/>
                <w:w w:val="105"/>
                <w:sz w:val="21"/>
              </w:rPr>
              <w:t>Inibição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428" w:hRule="atLeast"/>
        </w:trPr>
        <w:tc>
          <w:tcPr>
            <w:tcW w:w="4781" w:type="dxa"/>
            <w:tcBorders>
              <w:left w:val="nil"/>
            </w:tcBorders>
            <w:shd w:val="clear" w:color="auto" w:fill="EDECF3"/>
          </w:tcPr>
          <w:p>
            <w:pPr>
              <w:pStyle w:val="TableParagraph"/>
              <w:ind w:left="67"/>
              <w:rPr>
                <w:sz w:val="21"/>
              </w:rPr>
            </w:pPr>
            <w:r>
              <w:rPr>
                <w:sz w:val="21"/>
              </w:rPr>
              <w:t>Endotelina-1</w:t>
            </w:r>
            <w:r>
              <w:rPr>
                <w:spacing w:val="28"/>
                <w:sz w:val="21"/>
              </w:rPr>
              <w:t>  </w:t>
            </w:r>
            <w:r>
              <w:rPr>
                <w:sz w:val="21"/>
              </w:rPr>
              <w:t>(ET-</w:t>
            </w:r>
            <w:r>
              <w:rPr>
                <w:spacing w:val="-5"/>
                <w:sz w:val="21"/>
              </w:rPr>
              <w:t>1)</w:t>
            </w:r>
          </w:p>
        </w:tc>
        <w:tc>
          <w:tcPr>
            <w:tcW w:w="2659" w:type="dxa"/>
            <w:shd w:val="clear" w:color="auto" w:fill="EDECF3"/>
          </w:tcPr>
          <w:p>
            <w:pPr>
              <w:pStyle w:val="TableParagraph"/>
              <w:rPr>
                <w:sz w:val="21"/>
              </w:rPr>
            </w:pPr>
            <w:r>
              <w:rPr>
                <w:spacing w:val="-2"/>
                <w:w w:val="105"/>
                <w:sz w:val="21"/>
              </w:rPr>
              <w:t>Inibição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428" w:hRule="atLeast"/>
        </w:trPr>
        <w:tc>
          <w:tcPr>
            <w:tcW w:w="4781" w:type="dxa"/>
            <w:tcBorders>
              <w:left w:val="nil"/>
            </w:tcBorders>
            <w:shd w:val="clear" w:color="auto" w:fill="EDECF3"/>
          </w:tcPr>
          <w:p>
            <w:pPr>
              <w:pStyle w:val="TableParagraph"/>
              <w:ind w:left="67"/>
              <w:rPr>
                <w:sz w:val="21"/>
              </w:rPr>
            </w:pPr>
            <w:r>
              <w:rPr>
                <w:w w:val="105"/>
                <w:sz w:val="21"/>
              </w:rPr>
              <w:t>Hormônio</w:t>
            </w:r>
            <w:r>
              <w:rPr>
                <w:spacing w:val="25"/>
                <w:w w:val="105"/>
                <w:sz w:val="21"/>
              </w:rPr>
              <w:t> </w:t>
            </w:r>
            <w:r>
              <w:rPr>
                <w:w w:val="105"/>
                <w:sz w:val="21"/>
              </w:rPr>
              <w:t>liberador</w:t>
            </w:r>
            <w:r>
              <w:rPr>
                <w:spacing w:val="26"/>
                <w:w w:val="105"/>
                <w:sz w:val="21"/>
              </w:rPr>
              <w:t> </w:t>
            </w:r>
            <w:r>
              <w:rPr>
                <w:w w:val="105"/>
                <w:sz w:val="21"/>
              </w:rPr>
              <w:t>de</w:t>
            </w:r>
            <w:r>
              <w:rPr>
                <w:spacing w:val="26"/>
                <w:w w:val="105"/>
                <w:sz w:val="21"/>
              </w:rPr>
              <w:t> </w:t>
            </w:r>
            <w:r>
              <w:rPr>
                <w:w w:val="105"/>
                <w:sz w:val="21"/>
              </w:rPr>
              <w:t>tireotrofina</w:t>
            </w:r>
            <w:r>
              <w:rPr>
                <w:spacing w:val="26"/>
                <w:w w:val="105"/>
                <w:sz w:val="21"/>
              </w:rPr>
              <w:t> </w:t>
            </w:r>
            <w:r>
              <w:rPr>
                <w:spacing w:val="-2"/>
                <w:w w:val="105"/>
                <w:sz w:val="21"/>
              </w:rPr>
              <w:t>(TRH)</w:t>
            </w:r>
          </w:p>
        </w:tc>
        <w:tc>
          <w:tcPr>
            <w:tcW w:w="2659" w:type="dxa"/>
            <w:shd w:val="clear" w:color="auto" w:fill="EDECF3"/>
          </w:tcPr>
          <w:p>
            <w:pPr>
              <w:pStyle w:val="TableParagraph"/>
              <w:ind w:left="66"/>
              <w:rPr>
                <w:sz w:val="21"/>
              </w:rPr>
            </w:pPr>
            <w:r>
              <w:rPr>
                <w:spacing w:val="-2"/>
                <w:w w:val="105"/>
                <w:sz w:val="21"/>
              </w:rPr>
              <w:t>Inibição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428" w:hRule="atLeast"/>
        </w:trPr>
        <w:tc>
          <w:tcPr>
            <w:tcW w:w="4781" w:type="dxa"/>
            <w:tcBorders>
              <w:left w:val="nil"/>
            </w:tcBorders>
            <w:shd w:val="clear" w:color="auto" w:fill="EDECF3"/>
          </w:tcPr>
          <w:p>
            <w:pPr>
              <w:pStyle w:val="TableParagraph"/>
              <w:ind w:left="67"/>
              <w:rPr>
                <w:sz w:val="21"/>
              </w:rPr>
            </w:pPr>
            <w:r>
              <w:rPr>
                <w:w w:val="105"/>
                <w:sz w:val="21"/>
              </w:rPr>
              <w:t>Receptor</w:t>
            </w:r>
            <w:r>
              <w:rPr>
                <w:spacing w:val="22"/>
                <w:w w:val="105"/>
                <w:sz w:val="21"/>
              </w:rPr>
              <w:t> </w:t>
            </w:r>
            <w:r>
              <w:rPr>
                <w:w w:val="105"/>
                <w:sz w:val="21"/>
              </w:rPr>
              <w:t>de</w:t>
            </w:r>
            <w:r>
              <w:rPr>
                <w:spacing w:val="23"/>
                <w:w w:val="105"/>
                <w:sz w:val="21"/>
              </w:rPr>
              <w:t> </w:t>
            </w:r>
            <w:r>
              <w:rPr>
                <w:spacing w:val="-5"/>
                <w:w w:val="105"/>
                <w:sz w:val="21"/>
              </w:rPr>
              <w:t>TRH</w:t>
            </w:r>
          </w:p>
        </w:tc>
        <w:tc>
          <w:tcPr>
            <w:tcW w:w="2659" w:type="dxa"/>
            <w:shd w:val="clear" w:color="auto" w:fill="EDECF3"/>
          </w:tcPr>
          <w:p>
            <w:pPr>
              <w:pStyle w:val="TableParagraph"/>
              <w:rPr>
                <w:sz w:val="21"/>
              </w:rPr>
            </w:pPr>
            <w:r>
              <w:rPr>
                <w:spacing w:val="-2"/>
                <w:w w:val="105"/>
                <w:sz w:val="21"/>
              </w:rPr>
              <w:t>Inibição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428" w:hRule="atLeast"/>
        </w:trPr>
        <w:tc>
          <w:tcPr>
            <w:tcW w:w="4781" w:type="dxa"/>
            <w:tcBorders>
              <w:left w:val="nil"/>
            </w:tcBorders>
            <w:shd w:val="clear" w:color="auto" w:fill="EDECF3"/>
          </w:tcPr>
          <w:p>
            <w:pPr>
              <w:pStyle w:val="TableParagraph"/>
              <w:ind w:left="67"/>
              <w:rPr>
                <w:sz w:val="21"/>
              </w:rPr>
            </w:pPr>
            <w:r>
              <w:rPr>
                <w:w w:val="105"/>
                <w:sz w:val="21"/>
              </w:rPr>
              <w:t>Citocromo</w:t>
            </w:r>
            <w:r>
              <w:rPr>
                <w:spacing w:val="14"/>
                <w:w w:val="105"/>
                <w:sz w:val="21"/>
              </w:rPr>
              <w:t> </w:t>
            </w:r>
            <w:r>
              <w:rPr>
                <w:spacing w:val="-2"/>
                <w:w w:val="105"/>
                <w:sz w:val="21"/>
              </w:rPr>
              <w:t>CYP4A1</w:t>
            </w:r>
          </w:p>
        </w:tc>
        <w:tc>
          <w:tcPr>
            <w:tcW w:w="2659" w:type="dxa"/>
            <w:shd w:val="clear" w:color="auto" w:fill="EDECF3"/>
          </w:tcPr>
          <w:p>
            <w:pPr>
              <w:pStyle w:val="TableParagraph"/>
              <w:rPr>
                <w:sz w:val="21"/>
              </w:rPr>
            </w:pPr>
            <w:r>
              <w:rPr>
                <w:spacing w:val="-2"/>
                <w:w w:val="105"/>
                <w:sz w:val="21"/>
              </w:rPr>
              <w:t>Inibição</w:t>
            </w:r>
          </w:p>
        </w:tc>
        <w:tc>
          <w:tcPr>
            <w:tcW w:w="3180" w:type="dxa"/>
            <w:tcBorders>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r>
        <w:trPr>
          <w:trHeight w:val="430" w:hRule="atLeast"/>
        </w:trPr>
        <w:tc>
          <w:tcPr>
            <w:tcW w:w="4781" w:type="dxa"/>
            <w:tcBorders>
              <w:left w:val="nil"/>
              <w:bottom w:val="nil"/>
            </w:tcBorders>
            <w:shd w:val="clear" w:color="auto" w:fill="EDECF3"/>
          </w:tcPr>
          <w:p>
            <w:pPr>
              <w:pStyle w:val="TableParagraph"/>
              <w:ind w:left="67"/>
              <w:rPr>
                <w:sz w:val="21"/>
              </w:rPr>
            </w:pPr>
            <w:r>
              <w:rPr>
                <w:w w:val="105"/>
                <w:sz w:val="21"/>
              </w:rPr>
              <w:t>Cininase</w:t>
            </w:r>
            <w:r>
              <w:rPr>
                <w:spacing w:val="17"/>
                <w:w w:val="105"/>
                <w:sz w:val="21"/>
              </w:rPr>
              <w:t> </w:t>
            </w:r>
            <w:r>
              <w:rPr>
                <w:spacing w:val="-2"/>
                <w:w w:val="105"/>
                <w:sz w:val="21"/>
              </w:rPr>
              <w:t>urinária</w:t>
            </w:r>
          </w:p>
        </w:tc>
        <w:tc>
          <w:tcPr>
            <w:tcW w:w="2659" w:type="dxa"/>
            <w:tcBorders>
              <w:bottom w:val="nil"/>
            </w:tcBorders>
            <w:shd w:val="clear" w:color="auto" w:fill="EDECF3"/>
          </w:tcPr>
          <w:p>
            <w:pPr>
              <w:pStyle w:val="TableParagraph"/>
              <w:rPr>
                <w:sz w:val="21"/>
              </w:rPr>
            </w:pPr>
            <w:r>
              <w:rPr>
                <w:spacing w:val="-2"/>
                <w:w w:val="105"/>
                <w:sz w:val="21"/>
              </w:rPr>
              <w:t>Inibição</w:t>
            </w:r>
          </w:p>
        </w:tc>
        <w:tc>
          <w:tcPr>
            <w:tcW w:w="3180" w:type="dxa"/>
            <w:tcBorders>
              <w:bottom w:val="nil"/>
              <w:right w:val="nil"/>
            </w:tcBorders>
            <w:shd w:val="clear" w:color="auto" w:fill="EDECF3"/>
          </w:tcPr>
          <w:p>
            <w:pPr>
              <w:pStyle w:val="TableParagraph"/>
              <w:rPr>
                <w:sz w:val="21"/>
              </w:rPr>
            </w:pPr>
            <w:r>
              <w:rPr>
                <w:w w:val="105"/>
                <w:sz w:val="21"/>
              </w:rPr>
              <w:t>Redução</w:t>
            </w:r>
            <w:r>
              <w:rPr>
                <w:spacing w:val="21"/>
                <w:w w:val="105"/>
                <w:sz w:val="21"/>
              </w:rPr>
              <w:t> </w:t>
            </w:r>
            <w:r>
              <w:rPr>
                <w:w w:val="105"/>
                <w:sz w:val="21"/>
              </w:rPr>
              <w:t>da</w:t>
            </w:r>
            <w:r>
              <w:rPr>
                <w:spacing w:val="21"/>
                <w:w w:val="105"/>
                <w:sz w:val="21"/>
              </w:rPr>
              <w:t> </w:t>
            </w:r>
            <w:r>
              <w:rPr>
                <w:spacing w:val="-5"/>
                <w:w w:val="105"/>
                <w:sz w:val="21"/>
              </w:rPr>
              <w:t>PA</w:t>
            </w:r>
          </w:p>
        </w:tc>
      </w:tr>
    </w:tbl>
    <w:p>
      <w:pPr>
        <w:spacing w:before="170"/>
        <w:ind w:left="68" w:right="0" w:firstLine="0"/>
        <w:jc w:val="left"/>
        <w:rPr>
          <w:rFonts w:ascii="Microsoft Sans Serif" w:hAnsi="Microsoft Sans Serif"/>
          <w:sz w:val="19"/>
        </w:rPr>
      </w:pPr>
      <w:r>
        <w:rPr>
          <w:rFonts w:ascii="Microsoft Sans Serif" w:hAnsi="Microsoft Sans Serif"/>
          <w:sz w:val="19"/>
        </w:rPr>
        <w:t>NO =</w:t>
      </w:r>
      <w:r>
        <w:rPr>
          <w:rFonts w:ascii="Microsoft Sans Serif" w:hAnsi="Microsoft Sans Serif"/>
          <w:spacing w:val="6"/>
          <w:sz w:val="19"/>
        </w:rPr>
        <w:t> </w:t>
      </w:r>
      <w:r>
        <w:rPr>
          <w:rFonts w:ascii="Microsoft Sans Serif" w:hAnsi="Microsoft Sans Serif"/>
          <w:sz w:val="19"/>
        </w:rPr>
        <w:t>óxido</w:t>
      </w:r>
      <w:r>
        <w:rPr>
          <w:rFonts w:ascii="Microsoft Sans Serif" w:hAnsi="Microsoft Sans Serif"/>
          <w:spacing w:val="12"/>
          <w:sz w:val="19"/>
        </w:rPr>
        <w:t> </w:t>
      </w:r>
      <w:r>
        <w:rPr>
          <w:rFonts w:ascii="Microsoft Sans Serif" w:hAnsi="Microsoft Sans Serif"/>
          <w:spacing w:val="-2"/>
          <w:sz w:val="19"/>
        </w:rPr>
        <w:t>nítrico.</w:t>
      </w:r>
    </w:p>
    <w:p>
      <w:pPr>
        <w:spacing w:after="0"/>
        <w:jc w:val="left"/>
        <w:rPr>
          <w:rFonts w:ascii="Microsoft Sans Serif" w:hAnsi="Microsoft Sans Serif"/>
          <w:sz w:val="19"/>
        </w:rPr>
        <w:sectPr>
          <w:pgSz w:w="11900" w:h="16840"/>
          <w:pgMar w:top="220" w:bottom="0" w:left="566" w:right="141"/>
        </w:sectPr>
      </w:pPr>
    </w:p>
    <w:p>
      <w:pPr>
        <w:pStyle w:val="BodyText"/>
        <w:spacing w:line="280" w:lineRule="auto"/>
        <w:ind w:right="488"/>
      </w:pPr>
      <w:r>
        <w:rPr/>
        <w:t>Ainda assim, muitos estudos experimentais procuraram comprovar a possibilidade de aplicação da terapia gênica no controle dos processos de proliferação celular, migração e formação de neoíntima após agressão vascular.</w:t>
      </w:r>
      <w:r>
        <w:rPr>
          <w:vertAlign w:val="superscript"/>
        </w:rPr>
        <w:t>21</w:t>
      </w:r>
      <w:r>
        <w:rPr>
          <w:vertAlign w:val="baseline"/>
        </w:rPr>
        <w:t> A maioria desses estudos</w:t>
      </w:r>
      <w:r>
        <w:rPr>
          <w:vertAlign w:val="superscript"/>
        </w:rPr>
        <w:t>22</w:t>
      </w:r>
      <w:r>
        <w:rPr>
          <w:vertAlign w:val="baseline"/>
        </w:rPr>
        <w:t> utilizou adenovírus recombinantes para a transferência de genes “suicidas” ou inibidores do ciclo celular, tendo como alvos celulares tanto o endotélio quanto as células musculares lisas dentro das camadas média e adventícia. Entre os muitos genes já testados, citam-se:</w:t>
      </w:r>
    </w:p>
    <w:p>
      <w:pPr>
        <w:pStyle w:val="ListParagraph"/>
        <w:numPr>
          <w:ilvl w:val="0"/>
          <w:numId w:val="39"/>
        </w:numPr>
        <w:tabs>
          <w:tab w:pos="395" w:val="left" w:leader="none"/>
        </w:tabs>
        <w:spacing w:line="240" w:lineRule="auto" w:before="151" w:after="0"/>
        <w:ind w:left="395" w:right="0" w:hanging="327"/>
        <w:jc w:val="both"/>
        <w:rPr>
          <w:sz w:val="23"/>
        </w:rPr>
      </w:pPr>
      <w:r>
        <w:rPr>
          <w:sz w:val="23"/>
        </w:rPr>
        <w:t>O</w:t>
      </w:r>
      <w:r>
        <w:rPr>
          <w:spacing w:val="-9"/>
          <w:sz w:val="23"/>
        </w:rPr>
        <w:t> </w:t>
      </w:r>
      <w:r>
        <w:rPr>
          <w:sz w:val="23"/>
        </w:rPr>
        <w:t>gene</w:t>
      </w:r>
      <w:r>
        <w:rPr>
          <w:spacing w:val="-9"/>
          <w:sz w:val="23"/>
        </w:rPr>
        <w:t> </w:t>
      </w:r>
      <w:r>
        <w:rPr>
          <w:sz w:val="23"/>
        </w:rPr>
        <w:t>do</w:t>
      </w:r>
      <w:r>
        <w:rPr>
          <w:spacing w:val="-6"/>
          <w:sz w:val="23"/>
        </w:rPr>
        <w:t> </w:t>
      </w:r>
      <w:r>
        <w:rPr>
          <w:sz w:val="23"/>
        </w:rPr>
        <w:t>retinoblastoma</w:t>
      </w:r>
      <w:r>
        <w:rPr>
          <w:spacing w:val="-9"/>
          <w:sz w:val="23"/>
        </w:rPr>
        <w:t> </w:t>
      </w:r>
      <w:r>
        <w:rPr>
          <w:sz w:val="23"/>
        </w:rPr>
        <w:t>(Rb),</w:t>
      </w:r>
      <w:r>
        <w:rPr>
          <w:spacing w:val="2"/>
          <w:sz w:val="23"/>
        </w:rPr>
        <w:t> </w:t>
      </w:r>
      <w:r>
        <w:rPr>
          <w:sz w:val="23"/>
        </w:rPr>
        <w:t>um</w:t>
      </w:r>
      <w:r>
        <w:rPr>
          <w:spacing w:val="-6"/>
          <w:sz w:val="23"/>
        </w:rPr>
        <w:t> </w:t>
      </w:r>
      <w:r>
        <w:rPr>
          <w:sz w:val="23"/>
        </w:rPr>
        <w:t>inibidor</w:t>
      </w:r>
      <w:r>
        <w:rPr>
          <w:spacing w:val="-1"/>
          <w:sz w:val="23"/>
        </w:rPr>
        <w:t> </w:t>
      </w:r>
      <w:r>
        <w:rPr>
          <w:sz w:val="23"/>
        </w:rPr>
        <w:t>da</w:t>
      </w:r>
      <w:r>
        <w:rPr>
          <w:spacing w:val="-9"/>
          <w:sz w:val="23"/>
        </w:rPr>
        <w:t> </w:t>
      </w:r>
      <w:r>
        <w:rPr>
          <w:sz w:val="23"/>
        </w:rPr>
        <w:t>proliferação</w:t>
      </w:r>
      <w:r>
        <w:rPr>
          <w:spacing w:val="-6"/>
          <w:sz w:val="23"/>
        </w:rPr>
        <w:t> </w:t>
      </w:r>
      <w:r>
        <w:rPr>
          <w:sz w:val="23"/>
        </w:rPr>
        <w:t>de</w:t>
      </w:r>
      <w:r>
        <w:rPr>
          <w:spacing w:val="-8"/>
          <w:sz w:val="23"/>
        </w:rPr>
        <w:t> </w:t>
      </w:r>
      <w:r>
        <w:rPr>
          <w:spacing w:val="-5"/>
          <w:sz w:val="23"/>
        </w:rPr>
        <w:t>CML</w:t>
      </w:r>
    </w:p>
    <w:p>
      <w:pPr>
        <w:pStyle w:val="ListParagraph"/>
        <w:numPr>
          <w:ilvl w:val="0"/>
          <w:numId w:val="39"/>
        </w:numPr>
        <w:tabs>
          <w:tab w:pos="431" w:val="left" w:leader="none"/>
        </w:tabs>
        <w:spacing w:line="276" w:lineRule="auto" w:before="72" w:after="0"/>
        <w:ind w:left="68" w:right="489" w:firstLine="0"/>
        <w:jc w:val="both"/>
        <w:rPr>
          <w:sz w:val="23"/>
        </w:rPr>
      </w:pPr>
      <w:r>
        <w:rPr>
          <w:sz w:val="23"/>
        </w:rPr>
        <w:t>O gene da proteína p21, regulador negativo do ciclo celular, por meio da inibição das proteínas quinases e ligação ao cofator d da DNA polimerase</w:t>
      </w:r>
    </w:p>
    <w:p>
      <w:pPr>
        <w:pStyle w:val="ListParagraph"/>
        <w:numPr>
          <w:ilvl w:val="0"/>
          <w:numId w:val="39"/>
        </w:numPr>
        <w:tabs>
          <w:tab w:pos="401" w:val="left" w:leader="none"/>
        </w:tabs>
        <w:spacing w:line="276" w:lineRule="auto" w:before="16" w:after="0"/>
        <w:ind w:left="68" w:right="495" w:firstLine="0"/>
        <w:jc w:val="both"/>
        <w:rPr>
          <w:sz w:val="23"/>
        </w:rPr>
      </w:pPr>
      <w:r>
        <w:rPr>
          <w:sz w:val="23"/>
        </w:rPr>
        <w:t>O</w:t>
      </w:r>
      <w:r>
        <w:rPr>
          <w:spacing w:val="-5"/>
          <w:sz w:val="23"/>
        </w:rPr>
        <w:t> </w:t>
      </w:r>
      <w:r>
        <w:rPr>
          <w:sz w:val="23"/>
        </w:rPr>
        <w:t>gene</w:t>
      </w:r>
      <w:r>
        <w:rPr>
          <w:spacing w:val="-5"/>
          <w:sz w:val="23"/>
        </w:rPr>
        <w:t> </w:t>
      </w:r>
      <w:r>
        <w:rPr>
          <w:i/>
          <w:sz w:val="23"/>
        </w:rPr>
        <w:t>gax</w:t>
      </w:r>
      <w:r>
        <w:rPr>
          <w:sz w:val="23"/>
        </w:rPr>
        <w:t>, cuja</w:t>
      </w:r>
      <w:r>
        <w:rPr>
          <w:spacing w:val="-3"/>
          <w:sz w:val="23"/>
        </w:rPr>
        <w:t> </w:t>
      </w:r>
      <w:r>
        <w:rPr>
          <w:sz w:val="23"/>
        </w:rPr>
        <w:t>expressão</w:t>
      </w:r>
      <w:r>
        <w:rPr>
          <w:spacing w:val="-1"/>
          <w:sz w:val="23"/>
        </w:rPr>
        <w:t> </w:t>
      </w:r>
      <w:r>
        <w:rPr>
          <w:sz w:val="23"/>
        </w:rPr>
        <w:t>aumentada</w:t>
      </w:r>
      <w:r>
        <w:rPr>
          <w:spacing w:val="-3"/>
          <w:sz w:val="23"/>
        </w:rPr>
        <w:t> </w:t>
      </w:r>
      <w:r>
        <w:rPr>
          <w:sz w:val="23"/>
        </w:rPr>
        <w:t>em</w:t>
      </w:r>
      <w:r>
        <w:rPr>
          <w:spacing w:val="-1"/>
          <w:sz w:val="23"/>
        </w:rPr>
        <w:t> </w:t>
      </w:r>
      <w:r>
        <w:rPr>
          <w:sz w:val="23"/>
        </w:rPr>
        <w:t>SMC mostrou</w:t>
      </w:r>
      <w:r>
        <w:rPr>
          <w:spacing w:val="-1"/>
          <w:sz w:val="23"/>
        </w:rPr>
        <w:t> </w:t>
      </w:r>
      <w:r>
        <w:rPr>
          <w:sz w:val="23"/>
        </w:rPr>
        <w:t>prevenir a</w:t>
      </w:r>
      <w:r>
        <w:rPr>
          <w:spacing w:val="-3"/>
          <w:sz w:val="23"/>
        </w:rPr>
        <w:t> </w:t>
      </w:r>
      <w:r>
        <w:rPr>
          <w:sz w:val="23"/>
        </w:rPr>
        <w:t>hiperplasia</w:t>
      </w:r>
      <w:r>
        <w:rPr>
          <w:spacing w:val="-3"/>
          <w:sz w:val="23"/>
        </w:rPr>
        <w:t> </w:t>
      </w:r>
      <w:r>
        <w:rPr>
          <w:sz w:val="23"/>
        </w:rPr>
        <w:t>neointimal e</w:t>
      </w:r>
      <w:r>
        <w:rPr>
          <w:spacing w:val="-3"/>
          <w:sz w:val="23"/>
        </w:rPr>
        <w:t> </w:t>
      </w:r>
      <w:r>
        <w:rPr>
          <w:sz w:val="23"/>
        </w:rPr>
        <w:t>a</w:t>
      </w:r>
      <w:r>
        <w:rPr>
          <w:spacing w:val="-3"/>
          <w:sz w:val="23"/>
        </w:rPr>
        <w:t> </w:t>
      </w:r>
      <w:r>
        <w:rPr>
          <w:sz w:val="23"/>
        </w:rPr>
        <w:t>estenose</w:t>
      </w:r>
      <w:r>
        <w:rPr>
          <w:spacing w:val="-3"/>
          <w:sz w:val="23"/>
        </w:rPr>
        <w:t> </w:t>
      </w:r>
      <w:r>
        <w:rPr>
          <w:sz w:val="23"/>
        </w:rPr>
        <w:t>luminal em artérias experimentalmente lesadas</w:t>
      </w:r>
    </w:p>
    <w:p>
      <w:pPr>
        <w:pStyle w:val="ListParagraph"/>
        <w:numPr>
          <w:ilvl w:val="0"/>
          <w:numId w:val="39"/>
        </w:numPr>
        <w:tabs>
          <w:tab w:pos="402" w:val="left" w:leader="none"/>
        </w:tabs>
        <w:spacing w:line="276" w:lineRule="auto" w:before="16" w:after="0"/>
        <w:ind w:left="68" w:right="492" w:firstLine="0"/>
        <w:jc w:val="both"/>
        <w:rPr>
          <w:sz w:val="23"/>
        </w:rPr>
      </w:pPr>
      <w:r>
        <w:rPr>
          <w:sz w:val="23"/>
        </w:rPr>
        <w:t>O</w:t>
      </w:r>
      <w:r>
        <w:rPr>
          <w:spacing w:val="-2"/>
          <w:sz w:val="23"/>
        </w:rPr>
        <w:t> </w:t>
      </w:r>
      <w:r>
        <w:rPr>
          <w:sz w:val="23"/>
        </w:rPr>
        <w:t>gene</w:t>
      </w:r>
      <w:r>
        <w:rPr>
          <w:spacing w:val="-2"/>
          <w:sz w:val="23"/>
        </w:rPr>
        <w:t> </w:t>
      </w:r>
      <w:r>
        <w:rPr>
          <w:sz w:val="23"/>
        </w:rPr>
        <w:t>da</w:t>
      </w:r>
      <w:r>
        <w:rPr>
          <w:spacing w:val="-2"/>
          <w:sz w:val="23"/>
        </w:rPr>
        <w:t> </w:t>
      </w:r>
      <w:r>
        <w:rPr>
          <w:sz w:val="23"/>
        </w:rPr>
        <w:t>timidina</w:t>
      </w:r>
      <w:r>
        <w:rPr>
          <w:spacing w:val="-2"/>
          <w:sz w:val="23"/>
        </w:rPr>
        <w:t> </w:t>
      </w:r>
      <w:r>
        <w:rPr>
          <w:sz w:val="23"/>
        </w:rPr>
        <w:t>quinase</w:t>
      </w:r>
      <w:r>
        <w:rPr>
          <w:spacing w:val="-2"/>
          <w:sz w:val="23"/>
        </w:rPr>
        <w:t> </w:t>
      </w:r>
      <w:r>
        <w:rPr>
          <w:sz w:val="23"/>
        </w:rPr>
        <w:t>do herpes-vírus simples (HSV, do inglês, </w:t>
      </w:r>
      <w:r>
        <w:rPr>
          <w:i/>
          <w:sz w:val="23"/>
        </w:rPr>
        <w:t>herpes simplex virus</w:t>
      </w:r>
      <w:r>
        <w:rPr>
          <w:sz w:val="23"/>
        </w:rPr>
        <w:t>), que combinado ao tratamento com ganciclovir funciona como um produto gênico tóxico “matando” as células transfectadas, diminuindo assim a população de células proliferativas dentro do tecido-alvo.</w:t>
      </w:r>
    </w:p>
    <w:p>
      <w:pPr>
        <w:pStyle w:val="BodyText"/>
        <w:spacing w:line="285" w:lineRule="auto" w:before="241"/>
        <w:ind w:right="497"/>
      </w:pPr>
      <w:r>
        <w:rPr/>
        <w:t>Têm merecido destaque os estudos envolvendo a transferência do fator de crescimento endotelial vascular (VEGF, do inglês, </w:t>
      </w:r>
      <w:r>
        <w:rPr>
          <w:i/>
        </w:rPr>
        <w:t>vascular endothelial growth factor</w:t>
      </w:r>
      <w:r>
        <w:rPr/>
        <w:t>)</w:t>
      </w:r>
      <w:r>
        <w:rPr>
          <w:vertAlign w:val="superscript"/>
        </w:rPr>
        <w:t>23</w:t>
      </w:r>
      <w:r>
        <w:rPr>
          <w:vertAlign w:val="baseline"/>
        </w:rPr>
        <w:t> na tentativa de promover a reendotelização da parede vascular, limitando</w:t>
      </w:r>
      <w:r>
        <w:rPr>
          <w:spacing w:val="-6"/>
          <w:vertAlign w:val="baseline"/>
        </w:rPr>
        <w:t> </w:t>
      </w:r>
      <w:r>
        <w:rPr>
          <w:vertAlign w:val="baseline"/>
        </w:rPr>
        <w:t>a</w:t>
      </w:r>
      <w:r>
        <w:rPr>
          <w:spacing w:val="-8"/>
          <w:vertAlign w:val="baseline"/>
        </w:rPr>
        <w:t> </w:t>
      </w:r>
      <w:r>
        <w:rPr>
          <w:vertAlign w:val="baseline"/>
        </w:rPr>
        <w:t>exposição</w:t>
      </w:r>
      <w:r>
        <w:rPr>
          <w:spacing w:val="-6"/>
          <w:vertAlign w:val="baseline"/>
        </w:rPr>
        <w:t> </w:t>
      </w:r>
      <w:r>
        <w:rPr>
          <w:vertAlign w:val="baseline"/>
        </w:rPr>
        <w:t>das CML</w:t>
      </w:r>
      <w:r>
        <w:rPr>
          <w:spacing w:val="-1"/>
          <w:vertAlign w:val="baseline"/>
        </w:rPr>
        <w:t> </w:t>
      </w:r>
      <w:r>
        <w:rPr>
          <w:vertAlign w:val="baseline"/>
        </w:rPr>
        <w:t>aos estímulos mitogênicos e, assim, reduzir</w:t>
      </w:r>
      <w:r>
        <w:rPr>
          <w:spacing w:val="-1"/>
          <w:vertAlign w:val="baseline"/>
        </w:rPr>
        <w:t> </w:t>
      </w:r>
      <w:r>
        <w:rPr>
          <w:vertAlign w:val="baseline"/>
        </w:rPr>
        <w:t>a</w:t>
      </w:r>
      <w:r>
        <w:rPr>
          <w:spacing w:val="-8"/>
          <w:vertAlign w:val="baseline"/>
        </w:rPr>
        <w:t> </w:t>
      </w:r>
      <w:r>
        <w:rPr>
          <w:vertAlign w:val="baseline"/>
        </w:rPr>
        <w:t>proliferação</w:t>
      </w:r>
      <w:r>
        <w:rPr>
          <w:spacing w:val="-6"/>
          <w:vertAlign w:val="baseline"/>
        </w:rPr>
        <w:t> </w:t>
      </w:r>
      <w:r>
        <w:rPr>
          <w:vertAlign w:val="baseline"/>
        </w:rPr>
        <w:t>neointimal</w:t>
      </w:r>
      <w:r>
        <w:rPr>
          <w:spacing w:val="-3"/>
          <w:vertAlign w:val="baseline"/>
        </w:rPr>
        <w:t> </w:t>
      </w:r>
      <w:r>
        <w:rPr>
          <w:vertAlign w:val="baseline"/>
        </w:rPr>
        <w:t>das CML frente à lesão vascular. Infelizmente, no entanto, estudos clínicos realizados em pacientes submetidos à angioplastia</w:t>
      </w:r>
      <w:r>
        <w:rPr>
          <w:spacing w:val="-2"/>
          <w:vertAlign w:val="baseline"/>
        </w:rPr>
        <w:t> </w:t>
      </w:r>
      <w:r>
        <w:rPr>
          <w:vertAlign w:val="baseline"/>
        </w:rPr>
        <w:t>coronariana</w:t>
      </w:r>
      <w:r>
        <w:rPr>
          <w:spacing w:val="-2"/>
          <w:vertAlign w:val="baseline"/>
        </w:rPr>
        <w:t> </w:t>
      </w:r>
      <w:r>
        <w:rPr>
          <w:vertAlign w:val="baseline"/>
        </w:rPr>
        <w:t>em que</w:t>
      </w:r>
      <w:r>
        <w:rPr>
          <w:spacing w:val="-2"/>
          <w:vertAlign w:val="baseline"/>
        </w:rPr>
        <w:t> </w:t>
      </w:r>
      <w:r>
        <w:rPr>
          <w:vertAlign w:val="baseline"/>
        </w:rPr>
        <w:t>foram administrados por via</w:t>
      </w:r>
      <w:r>
        <w:rPr>
          <w:spacing w:val="-2"/>
          <w:vertAlign w:val="baseline"/>
        </w:rPr>
        <w:t> </w:t>
      </w:r>
      <w:r>
        <w:rPr>
          <w:vertAlign w:val="baseline"/>
        </w:rPr>
        <w:t>intracoronariana</w:t>
      </w:r>
      <w:r>
        <w:rPr>
          <w:spacing w:val="-2"/>
          <w:vertAlign w:val="baseline"/>
        </w:rPr>
        <w:t> </w:t>
      </w:r>
      <w:r>
        <w:rPr>
          <w:vertAlign w:val="baseline"/>
        </w:rPr>
        <w:t>diversos genes (VEGF</w:t>
      </w:r>
      <w:r>
        <w:rPr>
          <w:vertAlign w:val="superscript"/>
        </w:rPr>
        <w:t>24,25</w:t>
      </w:r>
      <w:r>
        <w:rPr>
          <w:vertAlign w:val="baseline"/>
        </w:rPr>
        <w:t> ou</w:t>
      </w:r>
      <w:r>
        <w:rPr>
          <w:spacing w:val="-1"/>
          <w:vertAlign w:val="baseline"/>
        </w:rPr>
        <w:t> </w:t>
      </w:r>
      <w:r>
        <w:rPr>
          <w:vertAlign w:val="baseline"/>
        </w:rPr>
        <w:t>óxido nítrico</w:t>
      </w:r>
      <w:r>
        <w:rPr>
          <w:spacing w:val="-1"/>
          <w:vertAlign w:val="baseline"/>
        </w:rPr>
        <w:t> </w:t>
      </w:r>
      <w:r>
        <w:rPr>
          <w:vertAlign w:val="baseline"/>
        </w:rPr>
        <w:t>sintase</w:t>
      </w:r>
      <w:r>
        <w:rPr>
          <w:spacing w:val="-3"/>
          <w:vertAlign w:val="baseline"/>
        </w:rPr>
        <w:t> </w:t>
      </w:r>
      <w:r>
        <w:rPr>
          <w:vertAlign w:val="baseline"/>
        </w:rPr>
        <w:t>induzível –</w:t>
      </w:r>
      <w:r>
        <w:rPr>
          <w:spacing w:val="-1"/>
          <w:vertAlign w:val="baseline"/>
        </w:rPr>
        <w:t> </w:t>
      </w:r>
      <w:r>
        <w:rPr>
          <w:vertAlign w:val="baseline"/>
        </w:rPr>
        <w:t>iNOS, </w:t>
      </w:r>
      <w:r>
        <w:rPr>
          <w:i/>
          <w:vertAlign w:val="baseline"/>
        </w:rPr>
        <w:t>inducible</w:t>
      </w:r>
      <w:r>
        <w:rPr>
          <w:i/>
          <w:spacing w:val="-4"/>
          <w:vertAlign w:val="baseline"/>
        </w:rPr>
        <w:t> </w:t>
      </w:r>
      <w:r>
        <w:rPr>
          <w:i/>
          <w:vertAlign w:val="baseline"/>
        </w:rPr>
        <w:t>nitric</w:t>
      </w:r>
      <w:r>
        <w:rPr>
          <w:i/>
          <w:spacing w:val="-4"/>
          <w:vertAlign w:val="baseline"/>
        </w:rPr>
        <w:t> </w:t>
      </w:r>
      <w:r>
        <w:rPr>
          <w:i/>
          <w:vertAlign w:val="baseline"/>
        </w:rPr>
        <w:t>oxide</w:t>
      </w:r>
      <w:r>
        <w:rPr>
          <w:i/>
          <w:spacing w:val="-4"/>
          <w:vertAlign w:val="baseline"/>
        </w:rPr>
        <w:t> </w:t>
      </w:r>
      <w:r>
        <w:rPr>
          <w:i/>
          <w:vertAlign w:val="baseline"/>
        </w:rPr>
        <w:t>synthase</w:t>
      </w:r>
      <w:r>
        <w:rPr>
          <w:vertAlign w:val="baseline"/>
        </w:rPr>
        <w:t>)</w:t>
      </w:r>
      <w:r>
        <w:rPr>
          <w:vertAlign w:val="superscript"/>
        </w:rPr>
        <w:t>26</w:t>
      </w:r>
      <w:r>
        <w:rPr>
          <w:vertAlign w:val="baseline"/>
        </w:rPr>
        <w:t> ou nucleotídios </w:t>
      </w:r>
      <w:r>
        <w:rPr>
          <w:i/>
          <w:vertAlign w:val="baseline"/>
        </w:rPr>
        <w:t>antisense </w:t>
      </w:r>
      <w:r>
        <w:rPr>
          <w:vertAlign w:val="baseline"/>
        </w:rPr>
        <w:t>(c-myc, um regulador do ciclo celular)</w:t>
      </w:r>
      <w:r>
        <w:rPr>
          <w:vertAlign w:val="superscript"/>
        </w:rPr>
        <w:t>27,28</w:t>
      </w:r>
      <w:r>
        <w:rPr>
          <w:vertAlign w:val="baseline"/>
        </w:rPr>
        <w:t> não demonstraram benefício na redução da proliferação neointimal, perda luminal tardia ou desfechos clínicos.</w:t>
      </w:r>
      <w:r>
        <w:rPr>
          <w:vertAlign w:val="superscript"/>
        </w:rPr>
        <w:t>29</w:t>
      </w:r>
    </w:p>
    <w:p>
      <w:pPr>
        <w:pStyle w:val="BodyText"/>
        <w:spacing w:before="130"/>
        <w:ind w:left="0" w:firstLine="0"/>
        <w:jc w:val="left"/>
      </w:pPr>
    </w:p>
    <w:p>
      <w:pPr>
        <w:pStyle w:val="Heading5"/>
      </w:pPr>
      <w:r>
        <w:rPr>
          <w:color w:val="A26108"/>
        </w:rPr>
        <w:t>Insuficiência</w:t>
      </w:r>
      <w:r>
        <w:rPr>
          <w:color w:val="A26108"/>
          <w:spacing w:val="38"/>
        </w:rPr>
        <w:t> </w:t>
      </w:r>
      <w:r>
        <w:rPr>
          <w:color w:val="A26108"/>
          <w:spacing w:val="-2"/>
        </w:rPr>
        <w:t>cardíaca</w:t>
      </w:r>
    </w:p>
    <w:p>
      <w:pPr>
        <w:pStyle w:val="BodyText"/>
        <w:spacing w:line="276" w:lineRule="auto" w:before="122"/>
        <w:ind w:right="488"/>
      </w:pPr>
      <w:r>
        <w:rPr/>
        <w:t>A</w:t>
      </w:r>
      <w:r>
        <w:rPr>
          <w:spacing w:val="-11"/>
        </w:rPr>
        <w:t> </w:t>
      </w:r>
      <w:r>
        <w:rPr/>
        <w:t>IC permanece</w:t>
      </w:r>
      <w:r>
        <w:rPr>
          <w:spacing w:val="-11"/>
        </w:rPr>
        <w:t> </w:t>
      </w:r>
      <w:r>
        <w:rPr/>
        <w:t>um</w:t>
      </w:r>
      <w:r>
        <w:rPr>
          <w:spacing w:val="-8"/>
        </w:rPr>
        <w:t> </w:t>
      </w:r>
      <w:r>
        <w:rPr/>
        <w:t>dos maiores desafios para</w:t>
      </w:r>
      <w:r>
        <w:rPr>
          <w:spacing w:val="-11"/>
        </w:rPr>
        <w:t> </w:t>
      </w:r>
      <w:r>
        <w:rPr/>
        <w:t>a</w:t>
      </w:r>
      <w:r>
        <w:rPr>
          <w:spacing w:val="-11"/>
        </w:rPr>
        <w:t> </w:t>
      </w:r>
      <w:r>
        <w:rPr/>
        <w:t>medicina</w:t>
      </w:r>
      <w:r>
        <w:rPr>
          <w:spacing w:val="-11"/>
        </w:rPr>
        <w:t> </w:t>
      </w:r>
      <w:r>
        <w:rPr/>
        <w:t>cardiovascular</w:t>
      </w:r>
      <w:r>
        <w:rPr>
          <w:spacing w:val="-3"/>
        </w:rPr>
        <w:t> </w:t>
      </w:r>
      <w:r>
        <w:rPr/>
        <w:t>moderna</w:t>
      </w:r>
      <w:r>
        <w:rPr>
          <w:spacing w:val="-11"/>
        </w:rPr>
        <w:t> </w:t>
      </w:r>
      <w:r>
        <w:rPr/>
        <w:t>pela</w:t>
      </w:r>
      <w:r>
        <w:rPr>
          <w:spacing w:val="-11"/>
        </w:rPr>
        <w:t> </w:t>
      </w:r>
      <w:r>
        <w:rPr/>
        <w:t>sua</w:t>
      </w:r>
      <w:r>
        <w:rPr>
          <w:spacing w:val="-11"/>
        </w:rPr>
        <w:t> </w:t>
      </w:r>
      <w:r>
        <w:rPr/>
        <w:t>crescente</w:t>
      </w:r>
      <w:r>
        <w:rPr>
          <w:spacing w:val="-11"/>
        </w:rPr>
        <w:t> </w:t>
      </w:r>
      <w:r>
        <w:rPr/>
        <w:t>frequência na população geral, em particular nos idosos, pelo curso progressivo e muitas vezes irreversível da doença, com grande prejuízo da qualidade de vida dos pacientes afetados e alta mortalidade. A limitação funcional imposta por essa</w:t>
      </w:r>
      <w:r>
        <w:rPr>
          <w:spacing w:val="-2"/>
        </w:rPr>
        <w:t> </w:t>
      </w:r>
      <w:r>
        <w:rPr/>
        <w:t>condição clínica</w:t>
      </w:r>
      <w:r>
        <w:rPr>
          <w:spacing w:val="-2"/>
        </w:rPr>
        <w:t> </w:t>
      </w:r>
      <w:r>
        <w:rPr/>
        <w:t>tende</w:t>
      </w:r>
      <w:r>
        <w:rPr>
          <w:spacing w:val="-2"/>
        </w:rPr>
        <w:t> </w:t>
      </w:r>
      <w:r>
        <w:rPr/>
        <w:t>apenas a</w:t>
      </w:r>
      <w:r>
        <w:rPr>
          <w:spacing w:val="-2"/>
        </w:rPr>
        <w:t> </w:t>
      </w:r>
      <w:r>
        <w:rPr/>
        <w:t>ser atenuada</w:t>
      </w:r>
      <w:r>
        <w:rPr>
          <w:spacing w:val="-2"/>
        </w:rPr>
        <w:t> </w:t>
      </w:r>
      <w:r>
        <w:rPr/>
        <w:t>pela</w:t>
      </w:r>
      <w:r>
        <w:rPr>
          <w:spacing w:val="-2"/>
        </w:rPr>
        <w:t> </w:t>
      </w:r>
      <w:r>
        <w:rPr/>
        <w:t>terapêutica</w:t>
      </w:r>
      <w:r>
        <w:rPr>
          <w:spacing w:val="-2"/>
        </w:rPr>
        <w:t> </w:t>
      </w:r>
      <w:r>
        <w:rPr/>
        <w:t>farmacológica</w:t>
      </w:r>
      <w:r>
        <w:rPr>
          <w:spacing w:val="-2"/>
        </w:rPr>
        <w:t> </w:t>
      </w:r>
      <w:r>
        <w:rPr/>
        <w:t>atual e</w:t>
      </w:r>
      <w:r>
        <w:rPr>
          <w:spacing w:val="-2"/>
        </w:rPr>
        <w:t> </w:t>
      </w:r>
      <w:r>
        <w:rPr/>
        <w:t>a</w:t>
      </w:r>
      <w:r>
        <w:rPr>
          <w:spacing w:val="-2"/>
        </w:rPr>
        <w:t> </w:t>
      </w:r>
      <w:r>
        <w:rPr/>
        <w:t>realização do transplante cardíaco pode ser oferecida a uma minoria de doentes, seja pela escassez de recursos tecnológicos (centros capacitados), ou pelo sempre reduzido número de doadores. Por essas razões, novas estratégias terapêuticas têm sido pesquisadas e, entre elas, destacam-se a terapia gênica e a terapia celular.</w:t>
      </w:r>
    </w:p>
    <w:p>
      <w:pPr>
        <w:pStyle w:val="BodyText"/>
        <w:spacing w:line="280" w:lineRule="auto"/>
        <w:ind w:right="488"/>
      </w:pPr>
      <w:r>
        <w:rPr/>
        <w:t>Diante</w:t>
      </w:r>
      <w:r>
        <w:rPr>
          <w:spacing w:val="-6"/>
        </w:rPr>
        <w:t> </w:t>
      </w:r>
      <w:r>
        <w:rPr/>
        <w:t>de</w:t>
      </w:r>
      <w:r>
        <w:rPr>
          <w:spacing w:val="-6"/>
        </w:rPr>
        <w:t> </w:t>
      </w:r>
      <w:r>
        <w:rPr/>
        <w:t>qualquer condição</w:t>
      </w:r>
      <w:r>
        <w:rPr>
          <w:spacing w:val="-3"/>
        </w:rPr>
        <w:t> </w:t>
      </w:r>
      <w:r>
        <w:rPr/>
        <w:t>clínica</w:t>
      </w:r>
      <w:r>
        <w:rPr>
          <w:spacing w:val="-6"/>
        </w:rPr>
        <w:t> </w:t>
      </w:r>
      <w:r>
        <w:rPr/>
        <w:t>na</w:t>
      </w:r>
      <w:r>
        <w:rPr>
          <w:spacing w:val="-6"/>
        </w:rPr>
        <w:t> </w:t>
      </w:r>
      <w:r>
        <w:rPr/>
        <w:t>qual</w:t>
      </w:r>
      <w:r>
        <w:rPr>
          <w:spacing w:val="-1"/>
        </w:rPr>
        <w:t> </w:t>
      </w:r>
      <w:r>
        <w:rPr/>
        <w:t>se</w:t>
      </w:r>
      <w:r>
        <w:rPr>
          <w:spacing w:val="-6"/>
        </w:rPr>
        <w:t> </w:t>
      </w:r>
      <w:r>
        <w:rPr/>
        <w:t>idealize</w:t>
      </w:r>
      <w:r>
        <w:rPr>
          <w:spacing w:val="-6"/>
        </w:rPr>
        <w:t> </w:t>
      </w:r>
      <w:r>
        <w:rPr/>
        <w:t>o</w:t>
      </w:r>
      <w:r>
        <w:rPr>
          <w:spacing w:val="-3"/>
        </w:rPr>
        <w:t> </w:t>
      </w:r>
      <w:r>
        <w:rPr/>
        <w:t>uso</w:t>
      </w:r>
      <w:r>
        <w:rPr>
          <w:spacing w:val="-3"/>
        </w:rPr>
        <w:t> </w:t>
      </w:r>
      <w:r>
        <w:rPr/>
        <w:t>da</w:t>
      </w:r>
      <w:r>
        <w:rPr>
          <w:spacing w:val="-6"/>
        </w:rPr>
        <w:t> </w:t>
      </w:r>
      <w:r>
        <w:rPr/>
        <w:t>terapia</w:t>
      </w:r>
      <w:r>
        <w:rPr>
          <w:spacing w:val="-6"/>
        </w:rPr>
        <w:t> </w:t>
      </w:r>
      <w:r>
        <w:rPr/>
        <w:t>gênica, um</w:t>
      </w:r>
      <w:r>
        <w:rPr>
          <w:spacing w:val="-3"/>
        </w:rPr>
        <w:t> </w:t>
      </w:r>
      <w:r>
        <w:rPr/>
        <w:t>dos passos fundamentais é</w:t>
      </w:r>
      <w:r>
        <w:rPr>
          <w:spacing w:val="-6"/>
        </w:rPr>
        <w:t> </w:t>
      </w:r>
      <w:r>
        <w:rPr/>
        <w:t>a identificação</w:t>
      </w:r>
      <w:r>
        <w:rPr>
          <w:spacing w:val="-10"/>
        </w:rPr>
        <w:t> </w:t>
      </w:r>
      <w:r>
        <w:rPr/>
        <w:t>de</w:t>
      </w:r>
      <w:r>
        <w:rPr>
          <w:spacing w:val="-13"/>
        </w:rPr>
        <w:t> </w:t>
      </w:r>
      <w:r>
        <w:rPr/>
        <w:t>possíveis</w:t>
      </w:r>
      <w:r>
        <w:rPr>
          <w:spacing w:val="-3"/>
        </w:rPr>
        <w:t> </w:t>
      </w:r>
      <w:r>
        <w:rPr/>
        <w:t>“alvos</w:t>
      </w:r>
      <w:r>
        <w:rPr>
          <w:spacing w:val="-3"/>
        </w:rPr>
        <w:t> </w:t>
      </w:r>
      <w:r>
        <w:rPr/>
        <w:t>gênicos”.</w:t>
      </w:r>
      <w:r>
        <w:rPr>
          <w:spacing w:val="-3"/>
        </w:rPr>
        <w:t> </w:t>
      </w:r>
      <w:r>
        <w:rPr/>
        <w:t>Para</w:t>
      </w:r>
      <w:r>
        <w:rPr>
          <w:spacing w:val="-13"/>
        </w:rPr>
        <w:t> </w:t>
      </w:r>
      <w:r>
        <w:rPr/>
        <w:t>tanto,</w:t>
      </w:r>
      <w:r>
        <w:rPr>
          <w:spacing w:val="-3"/>
        </w:rPr>
        <w:t> </w:t>
      </w:r>
      <w:r>
        <w:rPr/>
        <w:t>como</w:t>
      </w:r>
      <w:r>
        <w:rPr>
          <w:spacing w:val="-10"/>
        </w:rPr>
        <w:t> </w:t>
      </w:r>
      <w:r>
        <w:rPr/>
        <w:t>já</w:t>
      </w:r>
      <w:r>
        <w:rPr>
          <w:spacing w:val="-13"/>
        </w:rPr>
        <w:t> </w:t>
      </w:r>
      <w:r>
        <w:rPr/>
        <w:t>mencionado</w:t>
      </w:r>
      <w:r>
        <w:rPr>
          <w:spacing w:val="-10"/>
        </w:rPr>
        <w:t> </w:t>
      </w:r>
      <w:r>
        <w:rPr/>
        <w:t>anteriormente,</w:t>
      </w:r>
      <w:r>
        <w:rPr>
          <w:spacing w:val="-3"/>
        </w:rPr>
        <w:t> </w:t>
      </w:r>
      <w:r>
        <w:rPr/>
        <w:t>os</w:t>
      </w:r>
      <w:r>
        <w:rPr>
          <w:spacing w:val="-3"/>
        </w:rPr>
        <w:t> </w:t>
      </w:r>
      <w:r>
        <w:rPr/>
        <w:t>fenômenos</w:t>
      </w:r>
      <w:r>
        <w:rPr>
          <w:spacing w:val="-3"/>
        </w:rPr>
        <w:t> </w:t>
      </w:r>
      <w:r>
        <w:rPr/>
        <w:t>biológicos envolvidos na</w:t>
      </w:r>
      <w:r>
        <w:rPr>
          <w:spacing w:val="-7"/>
        </w:rPr>
        <w:t> </w:t>
      </w:r>
      <w:r>
        <w:rPr/>
        <w:t>fisiopatologia</w:t>
      </w:r>
      <w:r>
        <w:rPr>
          <w:spacing w:val="-7"/>
        </w:rPr>
        <w:t> </w:t>
      </w:r>
      <w:r>
        <w:rPr/>
        <w:t>desta</w:t>
      </w:r>
      <w:r>
        <w:rPr>
          <w:spacing w:val="-7"/>
        </w:rPr>
        <w:t> </w:t>
      </w:r>
      <w:r>
        <w:rPr/>
        <w:t>ou</w:t>
      </w:r>
      <w:r>
        <w:rPr>
          <w:spacing w:val="-5"/>
        </w:rPr>
        <w:t> </w:t>
      </w:r>
      <w:r>
        <w:rPr/>
        <w:t>daquela</w:t>
      </w:r>
      <w:r>
        <w:rPr>
          <w:spacing w:val="-7"/>
        </w:rPr>
        <w:t> </w:t>
      </w:r>
      <w:r>
        <w:rPr/>
        <w:t>condição</w:t>
      </w:r>
      <w:r>
        <w:rPr>
          <w:spacing w:val="-5"/>
        </w:rPr>
        <w:t> </w:t>
      </w:r>
      <w:r>
        <w:rPr/>
        <w:t>devem</w:t>
      </w:r>
      <w:r>
        <w:rPr>
          <w:spacing w:val="-5"/>
        </w:rPr>
        <w:t> </w:t>
      </w:r>
      <w:r>
        <w:rPr/>
        <w:t>ser esmiuçados e</w:t>
      </w:r>
      <w:r>
        <w:rPr>
          <w:spacing w:val="-7"/>
        </w:rPr>
        <w:t> </w:t>
      </w:r>
      <w:r>
        <w:rPr/>
        <w:t>suas bases moleculares conhecidas para que sua manipulação genética possa ser terapeuticamente útil. Trabalhos recentes em miócitos isolados ajudaram</w:t>
      </w:r>
      <w:r>
        <w:rPr>
          <w:spacing w:val="-1"/>
        </w:rPr>
        <w:t> </w:t>
      </w:r>
      <w:r>
        <w:rPr/>
        <w:t>na</w:t>
      </w:r>
      <w:r>
        <w:rPr>
          <w:spacing w:val="-3"/>
        </w:rPr>
        <w:t> </w:t>
      </w:r>
      <w:r>
        <w:rPr/>
        <w:t>identificação</w:t>
      </w:r>
      <w:r>
        <w:rPr>
          <w:spacing w:val="-1"/>
        </w:rPr>
        <w:t> </w:t>
      </w:r>
      <w:r>
        <w:rPr/>
        <w:t>de</w:t>
      </w:r>
      <w:r>
        <w:rPr>
          <w:spacing w:val="-3"/>
        </w:rPr>
        <w:t> </w:t>
      </w:r>
      <w:r>
        <w:rPr/>
        <w:t>potenciais alvos gênicos para</w:t>
      </w:r>
      <w:r>
        <w:rPr>
          <w:spacing w:val="-3"/>
        </w:rPr>
        <w:t> </w:t>
      </w:r>
      <w:r>
        <w:rPr/>
        <w:t>o</w:t>
      </w:r>
      <w:r>
        <w:rPr>
          <w:spacing w:val="-1"/>
        </w:rPr>
        <w:t> </w:t>
      </w:r>
      <w:r>
        <w:rPr/>
        <w:t>tratamento</w:t>
      </w:r>
      <w:r>
        <w:rPr>
          <w:spacing w:val="-1"/>
        </w:rPr>
        <w:t> </w:t>
      </w:r>
      <w:r>
        <w:rPr/>
        <w:t>da</w:t>
      </w:r>
      <w:r>
        <w:rPr>
          <w:spacing w:val="-3"/>
        </w:rPr>
        <w:t> </w:t>
      </w:r>
      <w:r>
        <w:rPr/>
        <w:t>IC: o</w:t>
      </w:r>
      <w:r>
        <w:rPr>
          <w:spacing w:val="-1"/>
        </w:rPr>
        <w:t> </w:t>
      </w:r>
      <w:r>
        <w:rPr/>
        <w:t>controle</w:t>
      </w:r>
      <w:r>
        <w:rPr>
          <w:spacing w:val="-3"/>
        </w:rPr>
        <w:t> </w:t>
      </w:r>
      <w:r>
        <w:rPr/>
        <w:t>da</w:t>
      </w:r>
      <w:r>
        <w:rPr>
          <w:spacing w:val="-3"/>
        </w:rPr>
        <w:t> </w:t>
      </w:r>
      <w:r>
        <w:rPr/>
        <w:t>homeostase</w:t>
      </w:r>
      <w:r>
        <w:rPr>
          <w:spacing w:val="-3"/>
        </w:rPr>
        <w:t> </w:t>
      </w:r>
      <w:r>
        <w:rPr/>
        <w:t>de</w:t>
      </w:r>
      <w:r>
        <w:rPr>
          <w:spacing w:val="-3"/>
        </w:rPr>
        <w:t> </w:t>
      </w:r>
      <w:r>
        <w:rPr/>
        <w:t>Ca</w:t>
      </w:r>
      <w:r>
        <w:rPr>
          <w:vertAlign w:val="superscript"/>
        </w:rPr>
        <w:t>2+</w:t>
      </w:r>
      <w:r>
        <w:rPr>
          <w:vertAlign w:val="baseline"/>
        </w:rPr>
        <w:t>, a ativação beta-adrenérgica e a regulação da apoptose celular.</w:t>
      </w:r>
      <w:r>
        <w:rPr>
          <w:vertAlign w:val="superscript"/>
        </w:rPr>
        <w:t>30-32</w:t>
      </w:r>
    </w:p>
    <w:p>
      <w:pPr>
        <w:pStyle w:val="BodyText"/>
        <w:spacing w:line="283" w:lineRule="auto" w:before="82"/>
        <w:ind w:right="487"/>
      </w:pPr>
      <w:r>
        <w:rPr/>
        <w:t>O controle da homeostase de Ca</w:t>
      </w:r>
      <w:r>
        <w:rPr>
          <w:vertAlign w:val="superscript"/>
        </w:rPr>
        <w:t>2+</w:t>
      </w:r>
      <w:r>
        <w:rPr>
          <w:vertAlign w:val="baseline"/>
        </w:rPr>
        <w:t> pelo miócito ocorre em vários níveis. Estudos em miócitos isolados de animais portadores de IC mostraram haver defeitos na captação de Ca</w:t>
      </w:r>
      <w:r>
        <w:rPr>
          <w:vertAlign w:val="superscript"/>
        </w:rPr>
        <w:t>2+</w:t>
      </w:r>
      <w:r>
        <w:rPr>
          <w:vertAlign w:val="baseline"/>
        </w:rPr>
        <w:t> e na modulação do Ca</w:t>
      </w:r>
      <w:r>
        <w:rPr>
          <w:vertAlign w:val="superscript"/>
        </w:rPr>
        <w:t>2+</w:t>
      </w:r>
      <w:r>
        <w:rPr>
          <w:vertAlign w:val="baseline"/>
        </w:rPr>
        <w:t> intracelular por alteração</w:t>
      </w:r>
      <w:r>
        <w:rPr>
          <w:spacing w:val="-6"/>
          <w:vertAlign w:val="baseline"/>
        </w:rPr>
        <w:t> </w:t>
      </w:r>
      <w:r>
        <w:rPr>
          <w:vertAlign w:val="baseline"/>
        </w:rPr>
        <w:t>na</w:t>
      </w:r>
      <w:r>
        <w:rPr>
          <w:spacing w:val="-9"/>
          <w:vertAlign w:val="baseline"/>
        </w:rPr>
        <w:t> </w:t>
      </w:r>
      <w:r>
        <w:rPr>
          <w:vertAlign w:val="baseline"/>
        </w:rPr>
        <w:t>relação</w:t>
      </w:r>
      <w:r>
        <w:rPr>
          <w:spacing w:val="-6"/>
          <w:vertAlign w:val="baseline"/>
        </w:rPr>
        <w:t> </w:t>
      </w:r>
      <w:r>
        <w:rPr>
          <w:vertAlign w:val="baseline"/>
        </w:rPr>
        <w:t>entre</w:t>
      </w:r>
      <w:r>
        <w:rPr>
          <w:spacing w:val="-9"/>
          <w:vertAlign w:val="baseline"/>
        </w:rPr>
        <w:t> </w:t>
      </w:r>
      <w:r>
        <w:rPr>
          <w:vertAlign w:val="baseline"/>
        </w:rPr>
        <w:t>a</w:t>
      </w:r>
      <w:r>
        <w:rPr>
          <w:spacing w:val="-9"/>
          <w:vertAlign w:val="baseline"/>
        </w:rPr>
        <w:t> </w:t>
      </w:r>
      <w:r>
        <w:rPr>
          <w:vertAlign w:val="baseline"/>
        </w:rPr>
        <w:t>bomba</w:t>
      </w:r>
      <w:r>
        <w:rPr>
          <w:spacing w:val="-9"/>
          <w:vertAlign w:val="baseline"/>
        </w:rPr>
        <w:t> </w:t>
      </w:r>
      <w:r>
        <w:rPr>
          <w:vertAlign w:val="baseline"/>
        </w:rPr>
        <w:t>de</w:t>
      </w:r>
      <w:r>
        <w:rPr>
          <w:spacing w:val="-9"/>
          <w:vertAlign w:val="baseline"/>
        </w:rPr>
        <w:t> </w:t>
      </w:r>
      <w:r>
        <w:rPr>
          <w:vertAlign w:val="baseline"/>
        </w:rPr>
        <w:t>Ca</w:t>
      </w:r>
      <w:r>
        <w:rPr>
          <w:vertAlign w:val="superscript"/>
        </w:rPr>
        <w:t>2+</w:t>
      </w:r>
      <w:r>
        <w:rPr>
          <w:spacing w:val="-6"/>
          <w:vertAlign w:val="baseline"/>
        </w:rPr>
        <w:t> </w:t>
      </w:r>
      <w:r>
        <w:rPr>
          <w:vertAlign w:val="baseline"/>
        </w:rPr>
        <w:t>ATPase</w:t>
      </w:r>
      <w:r>
        <w:rPr>
          <w:spacing w:val="-7"/>
          <w:vertAlign w:val="baseline"/>
        </w:rPr>
        <w:t> </w:t>
      </w:r>
      <w:r>
        <w:rPr>
          <w:vertAlign w:val="baseline"/>
        </w:rPr>
        <w:t>do</w:t>
      </w:r>
      <w:r>
        <w:rPr>
          <w:spacing w:val="-4"/>
          <w:vertAlign w:val="baseline"/>
        </w:rPr>
        <w:t> </w:t>
      </w:r>
      <w:r>
        <w:rPr>
          <w:vertAlign w:val="baseline"/>
        </w:rPr>
        <w:t>retículo</w:t>
      </w:r>
      <w:r>
        <w:rPr>
          <w:spacing w:val="-4"/>
          <w:vertAlign w:val="baseline"/>
        </w:rPr>
        <w:t> </w:t>
      </w:r>
      <w:r>
        <w:rPr>
          <w:vertAlign w:val="baseline"/>
        </w:rPr>
        <w:t>sarcoplasmático</w:t>
      </w:r>
      <w:r>
        <w:rPr>
          <w:spacing w:val="-4"/>
          <w:vertAlign w:val="baseline"/>
        </w:rPr>
        <w:t> </w:t>
      </w:r>
      <w:r>
        <w:rPr>
          <w:vertAlign w:val="baseline"/>
        </w:rPr>
        <w:t>(SERCA2a, </w:t>
      </w:r>
      <w:r>
        <w:rPr>
          <w:i/>
          <w:vertAlign w:val="baseline"/>
        </w:rPr>
        <w:t>sarcoplasmic</w:t>
      </w:r>
      <w:r>
        <w:rPr>
          <w:i/>
          <w:spacing w:val="-9"/>
          <w:vertAlign w:val="baseline"/>
        </w:rPr>
        <w:t> </w:t>
      </w:r>
      <w:r>
        <w:rPr>
          <w:i/>
          <w:vertAlign w:val="baseline"/>
        </w:rPr>
        <w:t>reticulum Ca</w:t>
      </w:r>
      <w:r>
        <w:rPr>
          <w:i/>
          <w:vertAlign w:val="superscript"/>
        </w:rPr>
        <w:t>2+</w:t>
      </w:r>
      <w:r>
        <w:rPr>
          <w:i/>
          <w:spacing w:val="-9"/>
          <w:vertAlign w:val="baseline"/>
        </w:rPr>
        <w:t> </w:t>
      </w:r>
      <w:r>
        <w:rPr>
          <w:i/>
          <w:vertAlign w:val="baseline"/>
        </w:rPr>
        <w:t>ATPase</w:t>
      </w:r>
      <w:r>
        <w:rPr>
          <w:vertAlign w:val="baseline"/>
        </w:rPr>
        <w:t>) e</w:t>
      </w:r>
      <w:r>
        <w:rPr>
          <w:spacing w:val="-8"/>
          <w:vertAlign w:val="baseline"/>
        </w:rPr>
        <w:t> </w:t>
      </w:r>
      <w:r>
        <w:rPr>
          <w:vertAlign w:val="baseline"/>
        </w:rPr>
        <w:t>a</w:t>
      </w:r>
      <w:r>
        <w:rPr>
          <w:spacing w:val="-8"/>
          <w:vertAlign w:val="baseline"/>
        </w:rPr>
        <w:t> </w:t>
      </w:r>
      <w:r>
        <w:rPr>
          <w:vertAlign w:val="baseline"/>
        </w:rPr>
        <w:t>molécula</w:t>
      </w:r>
      <w:r>
        <w:rPr>
          <w:spacing w:val="-8"/>
          <w:vertAlign w:val="baseline"/>
        </w:rPr>
        <w:t> </w:t>
      </w:r>
      <w:r>
        <w:rPr>
          <w:vertAlign w:val="baseline"/>
        </w:rPr>
        <w:t>inibidora</w:t>
      </w:r>
      <w:r>
        <w:rPr>
          <w:spacing w:val="-8"/>
          <w:vertAlign w:val="baseline"/>
        </w:rPr>
        <w:t> </w:t>
      </w:r>
      <w:r>
        <w:rPr>
          <w:vertAlign w:val="baseline"/>
        </w:rPr>
        <w:t>fosfolambam. Especula-se</w:t>
      </w:r>
      <w:r>
        <w:rPr>
          <w:spacing w:val="-8"/>
          <w:vertAlign w:val="baseline"/>
        </w:rPr>
        <w:t> </w:t>
      </w:r>
      <w:r>
        <w:rPr>
          <w:vertAlign w:val="baseline"/>
        </w:rPr>
        <w:t>que, por meio</w:t>
      </w:r>
      <w:r>
        <w:rPr>
          <w:spacing w:val="-6"/>
          <w:vertAlign w:val="baseline"/>
        </w:rPr>
        <w:t> </w:t>
      </w:r>
      <w:r>
        <w:rPr>
          <w:vertAlign w:val="baseline"/>
        </w:rPr>
        <w:t>de</w:t>
      </w:r>
      <w:r>
        <w:rPr>
          <w:spacing w:val="-8"/>
          <w:vertAlign w:val="baseline"/>
        </w:rPr>
        <w:t> </w:t>
      </w:r>
      <w:r>
        <w:rPr>
          <w:vertAlign w:val="baseline"/>
        </w:rPr>
        <w:t>manipulação</w:t>
      </w:r>
      <w:r>
        <w:rPr>
          <w:spacing w:val="-6"/>
          <w:vertAlign w:val="baseline"/>
        </w:rPr>
        <w:t> </w:t>
      </w:r>
      <w:r>
        <w:rPr>
          <w:vertAlign w:val="baseline"/>
        </w:rPr>
        <w:t>gênica</w:t>
      </w:r>
      <w:r>
        <w:rPr>
          <w:spacing w:val="-8"/>
          <w:vertAlign w:val="baseline"/>
        </w:rPr>
        <w:t> </w:t>
      </w:r>
      <w:r>
        <w:rPr>
          <w:vertAlign w:val="baseline"/>
        </w:rPr>
        <w:t>direcionada</w:t>
      </w:r>
      <w:r>
        <w:rPr>
          <w:spacing w:val="-8"/>
          <w:vertAlign w:val="baseline"/>
        </w:rPr>
        <w:t> </w:t>
      </w:r>
      <w:r>
        <w:rPr>
          <w:vertAlign w:val="baseline"/>
        </w:rPr>
        <w:t>a esses elementos, tais</w:t>
      </w:r>
      <w:r>
        <w:rPr>
          <w:spacing w:val="-1"/>
          <w:vertAlign w:val="baseline"/>
        </w:rPr>
        <w:t> </w:t>
      </w:r>
      <w:r>
        <w:rPr>
          <w:vertAlign w:val="baseline"/>
        </w:rPr>
        <w:t>defeitos bioquímicos poderiam</w:t>
      </w:r>
      <w:r>
        <w:rPr>
          <w:spacing w:val="-9"/>
          <w:vertAlign w:val="baseline"/>
        </w:rPr>
        <w:t> </w:t>
      </w:r>
      <w:r>
        <w:rPr>
          <w:vertAlign w:val="baseline"/>
        </w:rPr>
        <w:t>ser</w:t>
      </w:r>
      <w:r>
        <w:rPr>
          <w:spacing w:val="-3"/>
          <w:vertAlign w:val="baseline"/>
        </w:rPr>
        <w:t> </w:t>
      </w:r>
      <w:r>
        <w:rPr>
          <w:vertAlign w:val="baseline"/>
        </w:rPr>
        <w:t>revertidos, aumentando-se</w:t>
      </w:r>
      <w:r>
        <w:rPr>
          <w:spacing w:val="-11"/>
          <w:vertAlign w:val="baseline"/>
        </w:rPr>
        <w:t> </w:t>
      </w:r>
      <w:r>
        <w:rPr>
          <w:vertAlign w:val="baseline"/>
        </w:rPr>
        <w:t>a</w:t>
      </w:r>
      <w:r>
        <w:rPr>
          <w:spacing w:val="-11"/>
          <w:vertAlign w:val="baseline"/>
        </w:rPr>
        <w:t> </w:t>
      </w:r>
      <w:r>
        <w:rPr>
          <w:vertAlign w:val="baseline"/>
        </w:rPr>
        <w:t>eficiência</w:t>
      </w:r>
      <w:r>
        <w:rPr>
          <w:spacing w:val="-11"/>
          <w:vertAlign w:val="baseline"/>
        </w:rPr>
        <w:t> </w:t>
      </w:r>
      <w:r>
        <w:rPr>
          <w:vertAlign w:val="baseline"/>
        </w:rPr>
        <w:t>contrátil</w:t>
      </w:r>
      <w:r>
        <w:rPr>
          <w:spacing w:val="-6"/>
          <w:vertAlign w:val="baseline"/>
        </w:rPr>
        <w:t> </w:t>
      </w:r>
      <w:r>
        <w:rPr>
          <w:vertAlign w:val="baseline"/>
        </w:rPr>
        <w:t>do</w:t>
      </w:r>
      <w:r>
        <w:rPr>
          <w:spacing w:val="-9"/>
          <w:vertAlign w:val="baseline"/>
        </w:rPr>
        <w:t> </w:t>
      </w:r>
      <w:r>
        <w:rPr>
          <w:vertAlign w:val="baseline"/>
        </w:rPr>
        <w:t>miócito. Em pesquisas recentes </w:t>
      </w:r>
      <w:r>
        <w:rPr>
          <w:i/>
          <w:vertAlign w:val="baseline"/>
        </w:rPr>
        <w:t>in</w:t>
      </w:r>
      <w:r>
        <w:rPr>
          <w:i/>
          <w:spacing w:val="-6"/>
          <w:vertAlign w:val="baseline"/>
        </w:rPr>
        <w:t> </w:t>
      </w:r>
      <w:r>
        <w:rPr>
          <w:i/>
          <w:vertAlign w:val="baseline"/>
        </w:rPr>
        <w:t>vitro </w:t>
      </w:r>
      <w:r>
        <w:rPr>
          <w:vertAlign w:val="baseline"/>
        </w:rPr>
        <w:t>com cardiomiócitos humanos isolados do ventrículo esquerdo de pacientes com IC terminal, a transferência gênica do SERCA2a restaurou parâmetros contráteis, como velocidade de contração e relaxamento, a</w:t>
      </w:r>
      <w:r>
        <w:rPr>
          <w:spacing w:val="-1"/>
          <w:vertAlign w:val="baseline"/>
        </w:rPr>
        <w:t> </w:t>
      </w:r>
      <w:r>
        <w:rPr>
          <w:vertAlign w:val="baseline"/>
        </w:rPr>
        <w:t>níveis observados em ventrículos normais.</w:t>
      </w:r>
      <w:r>
        <w:rPr>
          <w:vertAlign w:val="superscript"/>
        </w:rPr>
        <w:t>33</w:t>
      </w:r>
      <w:r>
        <w:rPr>
          <w:vertAlign w:val="baseline"/>
        </w:rPr>
        <w:t> Outra estratégia consiste na diminuição ou inibição de fosfolambam por técnica de </w:t>
      </w:r>
      <w:r>
        <w:rPr>
          <w:i/>
          <w:vertAlign w:val="baseline"/>
        </w:rPr>
        <w:t>antisense</w:t>
      </w:r>
      <w:r>
        <w:rPr>
          <w:vertAlign w:val="baseline"/>
        </w:rPr>
        <w:t>, na qual já se demonstrou levar a aumento de atividade do SERCA2a.</w:t>
      </w:r>
    </w:p>
    <w:p>
      <w:pPr>
        <w:pStyle w:val="BodyText"/>
        <w:spacing w:line="276" w:lineRule="auto" w:before="58"/>
        <w:ind w:right="490"/>
      </w:pPr>
      <w:r>
        <w:rPr/>
        <w:t>O primeiro ensaio clínico de terapia gência em pacientes com IC foi iniciado nos EUA em 2007.</w:t>
      </w:r>
      <w:r>
        <w:rPr>
          <w:vertAlign w:val="superscript"/>
        </w:rPr>
        <w:t>34</w:t>
      </w:r>
      <w:r>
        <w:rPr>
          <w:vertAlign w:val="baseline"/>
        </w:rPr>
        <w:t> O estudo CUPID (Calcium Up-Regulation by Percutaneous Administration of Gene Therapy in Cardiac Disease) avaliou a segurança e os efeitos biológicos da transferência (mediada por vírus) do DNA complementar (cDNA, do inglês, </w:t>
      </w:r>
      <w:r>
        <w:rPr>
          <w:i/>
          <w:vertAlign w:val="baseline"/>
        </w:rPr>
        <w:t>complementary</w:t>
      </w:r>
      <w:r>
        <w:rPr>
          <w:i/>
          <w:spacing w:val="72"/>
          <w:vertAlign w:val="baseline"/>
        </w:rPr>
        <w:t> </w:t>
      </w:r>
      <w:r>
        <w:rPr>
          <w:i/>
          <w:vertAlign w:val="baseline"/>
        </w:rPr>
        <w:t>deoxyribonucleic</w:t>
      </w:r>
      <w:r>
        <w:rPr>
          <w:i/>
          <w:spacing w:val="72"/>
          <w:vertAlign w:val="baseline"/>
        </w:rPr>
        <w:t> </w:t>
      </w:r>
      <w:r>
        <w:rPr>
          <w:i/>
          <w:vertAlign w:val="baseline"/>
        </w:rPr>
        <w:t>acid</w:t>
      </w:r>
      <w:r>
        <w:rPr>
          <w:vertAlign w:val="baseline"/>
        </w:rPr>
        <w:t>)</w:t>
      </w:r>
      <w:r>
        <w:rPr>
          <w:spacing w:val="80"/>
          <w:vertAlign w:val="baseline"/>
        </w:rPr>
        <w:t> </w:t>
      </w:r>
      <w:r>
        <w:rPr>
          <w:vertAlign w:val="baseline"/>
        </w:rPr>
        <w:t>de</w:t>
      </w:r>
      <w:r>
        <w:rPr>
          <w:spacing w:val="73"/>
          <w:vertAlign w:val="baseline"/>
        </w:rPr>
        <w:t> </w:t>
      </w:r>
      <w:r>
        <w:rPr>
          <w:vertAlign w:val="baseline"/>
        </w:rPr>
        <w:t>SERCA2a</w:t>
      </w:r>
      <w:r>
        <w:rPr>
          <w:spacing w:val="73"/>
          <w:vertAlign w:val="baseline"/>
        </w:rPr>
        <w:t> </w:t>
      </w:r>
      <w:r>
        <w:rPr>
          <w:vertAlign w:val="baseline"/>
        </w:rPr>
        <w:t>em</w:t>
      </w:r>
      <w:r>
        <w:rPr>
          <w:spacing w:val="76"/>
          <w:vertAlign w:val="baseline"/>
        </w:rPr>
        <w:t> </w:t>
      </w:r>
      <w:r>
        <w:rPr>
          <w:vertAlign w:val="baseline"/>
        </w:rPr>
        <w:t>pacientes</w:t>
      </w:r>
      <w:r>
        <w:rPr>
          <w:spacing w:val="80"/>
          <w:vertAlign w:val="baseline"/>
        </w:rPr>
        <w:t> </w:t>
      </w:r>
      <w:r>
        <w:rPr>
          <w:vertAlign w:val="baseline"/>
        </w:rPr>
        <w:t>com</w:t>
      </w:r>
      <w:r>
        <w:rPr>
          <w:spacing w:val="76"/>
          <w:vertAlign w:val="baseline"/>
        </w:rPr>
        <w:t> </w:t>
      </w:r>
      <w:r>
        <w:rPr>
          <w:vertAlign w:val="baseline"/>
        </w:rPr>
        <w:t>IC</w:t>
      </w:r>
      <w:r>
        <w:rPr>
          <w:spacing w:val="80"/>
          <w:vertAlign w:val="baseline"/>
        </w:rPr>
        <w:t> </w:t>
      </w:r>
      <w:r>
        <w:rPr>
          <w:vertAlign w:val="baseline"/>
        </w:rPr>
        <w:t>avançada.</w:t>
      </w:r>
      <w:r>
        <w:rPr>
          <w:spacing w:val="80"/>
          <w:vertAlign w:val="baseline"/>
        </w:rPr>
        <w:t> </w:t>
      </w:r>
      <w:r>
        <w:rPr>
          <w:vertAlign w:val="baseline"/>
        </w:rPr>
        <w:t>Após</w:t>
      </w:r>
      <w:r>
        <w:rPr>
          <w:spacing w:val="80"/>
          <w:vertAlign w:val="baseline"/>
        </w:rPr>
        <w:t> </w:t>
      </w:r>
      <w:r>
        <w:rPr>
          <w:vertAlign w:val="baseline"/>
        </w:rPr>
        <w:t>12</w:t>
      </w:r>
      <w:r>
        <w:rPr>
          <w:spacing w:val="76"/>
          <w:vertAlign w:val="baseline"/>
        </w:rPr>
        <w:t> </w:t>
      </w:r>
      <w:r>
        <w:rPr>
          <w:vertAlign w:val="baseline"/>
        </w:rPr>
        <w:t>meses</w:t>
      </w:r>
      <w:r>
        <w:rPr>
          <w:spacing w:val="80"/>
          <w:vertAlign w:val="baseline"/>
        </w:rPr>
        <w:t> </w:t>
      </w:r>
      <w:r>
        <w:rPr>
          <w:vertAlign w:val="baseline"/>
        </w:rPr>
        <w:t>de</w:t>
      </w:r>
    </w:p>
    <w:p>
      <w:pPr>
        <w:pStyle w:val="BodyText"/>
        <w:spacing w:after="0" w:line="276" w:lineRule="auto"/>
        <w:sectPr>
          <w:pgSz w:w="11900" w:h="16840"/>
          <w:pgMar w:top="220" w:bottom="280" w:left="566" w:right="141"/>
        </w:sectPr>
      </w:pPr>
    </w:p>
    <w:p>
      <w:pPr>
        <w:pStyle w:val="BodyText"/>
        <w:spacing w:before="80"/>
        <w:ind w:firstLine="0"/>
      </w:pPr>
      <w:r>
        <w:rPr/>
        <w:t>seguimento,</w:t>
      </w:r>
      <w:r>
        <w:rPr>
          <w:spacing w:val="-5"/>
        </w:rPr>
        <w:t> </w:t>
      </w:r>
      <w:r>
        <w:rPr/>
        <w:t>confirmaram-se</w:t>
      </w:r>
      <w:r>
        <w:rPr>
          <w:spacing w:val="-12"/>
        </w:rPr>
        <w:t> </w:t>
      </w:r>
      <w:r>
        <w:rPr/>
        <w:t>o</w:t>
      </w:r>
      <w:r>
        <w:rPr>
          <w:spacing w:val="-9"/>
        </w:rPr>
        <w:t> </w:t>
      </w:r>
      <w:r>
        <w:rPr/>
        <w:t>perfil</w:t>
      </w:r>
      <w:r>
        <w:rPr>
          <w:spacing w:val="-7"/>
        </w:rPr>
        <w:t> </w:t>
      </w:r>
      <w:r>
        <w:rPr/>
        <w:t>de</w:t>
      </w:r>
      <w:r>
        <w:rPr>
          <w:spacing w:val="-12"/>
        </w:rPr>
        <w:t> </w:t>
      </w:r>
      <w:r>
        <w:rPr/>
        <w:t>segurança</w:t>
      </w:r>
      <w:r>
        <w:rPr>
          <w:spacing w:val="-12"/>
        </w:rPr>
        <w:t> </w:t>
      </w:r>
      <w:r>
        <w:rPr/>
        <w:t>e</w:t>
      </w:r>
      <w:r>
        <w:rPr>
          <w:spacing w:val="-12"/>
        </w:rPr>
        <w:t> </w:t>
      </w:r>
      <w:r>
        <w:rPr/>
        <w:t>melhora</w:t>
      </w:r>
      <w:r>
        <w:rPr>
          <w:spacing w:val="-11"/>
        </w:rPr>
        <w:t> </w:t>
      </w:r>
      <w:r>
        <w:rPr/>
        <w:t>em</w:t>
      </w:r>
      <w:r>
        <w:rPr>
          <w:spacing w:val="-10"/>
        </w:rPr>
        <w:t> </w:t>
      </w:r>
      <w:r>
        <w:rPr/>
        <w:t>diversos</w:t>
      </w:r>
      <w:r>
        <w:rPr>
          <w:spacing w:val="-2"/>
        </w:rPr>
        <w:t> </w:t>
      </w:r>
      <w:r>
        <w:rPr/>
        <w:t>parâmetros</w:t>
      </w:r>
      <w:r>
        <w:rPr>
          <w:spacing w:val="-2"/>
        </w:rPr>
        <w:t> clinicofuncionais.</w:t>
      </w:r>
    </w:p>
    <w:p>
      <w:pPr>
        <w:pStyle w:val="BodyText"/>
        <w:spacing w:line="280" w:lineRule="auto" w:before="108"/>
        <w:ind w:right="497"/>
      </w:pPr>
      <w:r>
        <w:rPr/>
        <w:t>Defeitos da sinalização beta-adrenérgica incluindo </w:t>
      </w:r>
      <w:r>
        <w:rPr>
          <w:i/>
        </w:rPr>
        <w:t>down-regulation </w:t>
      </w:r>
      <w:r>
        <w:rPr/>
        <w:t>e desacoplamento dos receptores beta-adrenérgicos miocárdicos (β-AR), e</w:t>
      </w:r>
      <w:r>
        <w:rPr>
          <w:spacing w:val="-3"/>
        </w:rPr>
        <w:t> </w:t>
      </w:r>
      <w:r>
        <w:rPr>
          <w:i/>
        </w:rPr>
        <w:t>up-regulation </w:t>
      </w:r>
      <w:r>
        <w:rPr/>
        <w:t>da</w:t>
      </w:r>
      <w:r>
        <w:rPr>
          <w:spacing w:val="-1"/>
        </w:rPr>
        <w:t> </w:t>
      </w:r>
      <w:r>
        <w:rPr/>
        <w:t>quinase</w:t>
      </w:r>
      <w:r>
        <w:rPr>
          <w:spacing w:val="-1"/>
        </w:rPr>
        <w:t> </w:t>
      </w:r>
      <w:r>
        <w:rPr/>
        <w:t>β-AR (β-ARK1) são achados comuns na</w:t>
      </w:r>
      <w:r>
        <w:rPr>
          <w:spacing w:val="-1"/>
        </w:rPr>
        <w:t> </w:t>
      </w:r>
      <w:r>
        <w:rPr/>
        <w:t>IC humana</w:t>
      </w:r>
      <w:r>
        <w:rPr>
          <w:spacing w:val="40"/>
        </w:rPr>
        <w:t> </w:t>
      </w:r>
      <w:r>
        <w:rPr/>
        <w:t>e animal, tornando-se também, portanto, candidatos potenciais à manipulação gênica. Estudos experimentais já demonstraram que a transferência gênica de b2-AR</w:t>
      </w:r>
      <w:r>
        <w:rPr>
          <w:vertAlign w:val="superscript"/>
        </w:rPr>
        <w:t>35</w:t>
      </w:r>
      <w:r>
        <w:rPr>
          <w:vertAlign w:val="baseline"/>
        </w:rPr>
        <w:t> ou a inibição de β-ARK1</w:t>
      </w:r>
      <w:r>
        <w:rPr>
          <w:vertAlign w:val="superscript"/>
        </w:rPr>
        <w:t>36</w:t>
      </w:r>
      <w:r>
        <w:rPr>
          <w:vertAlign w:val="baseline"/>
        </w:rPr>
        <w:t> levaram à restauração da sinalização beta-adrenérgica e a aumento dos níveis de adenosina monofosfato cíclico (cAMP, do inglês, </w:t>
      </w:r>
      <w:r>
        <w:rPr>
          <w:i/>
          <w:vertAlign w:val="baseline"/>
        </w:rPr>
        <w:t>cyclic adenosine</w:t>
      </w:r>
      <w:r>
        <w:rPr>
          <w:i/>
          <w:spacing w:val="-11"/>
          <w:vertAlign w:val="baseline"/>
        </w:rPr>
        <w:t> </w:t>
      </w:r>
      <w:r>
        <w:rPr>
          <w:i/>
          <w:vertAlign w:val="baseline"/>
        </w:rPr>
        <w:t>monophosphate</w:t>
      </w:r>
      <w:r>
        <w:rPr>
          <w:vertAlign w:val="baseline"/>
        </w:rPr>
        <w:t>)</w:t>
      </w:r>
      <w:r>
        <w:rPr>
          <w:spacing w:val="-3"/>
          <w:vertAlign w:val="baseline"/>
        </w:rPr>
        <w:t> </w:t>
      </w:r>
      <w:r>
        <w:rPr>
          <w:vertAlign w:val="baseline"/>
        </w:rPr>
        <w:t>citosólico.</w:t>
      </w:r>
      <w:r>
        <w:rPr>
          <w:vertAlign w:val="superscript"/>
        </w:rPr>
        <w:t>37</w:t>
      </w:r>
      <w:r>
        <w:rPr>
          <w:vertAlign w:val="baseline"/>
        </w:rPr>
        <w:t> Embora</w:t>
      </w:r>
      <w:r>
        <w:rPr>
          <w:spacing w:val="-5"/>
          <w:vertAlign w:val="baseline"/>
        </w:rPr>
        <w:t> </w:t>
      </w:r>
      <w:r>
        <w:rPr>
          <w:vertAlign w:val="baseline"/>
        </w:rPr>
        <w:t>tais efeitos possam</w:t>
      </w:r>
      <w:r>
        <w:rPr>
          <w:spacing w:val="-2"/>
          <w:vertAlign w:val="baseline"/>
        </w:rPr>
        <w:t> </w:t>
      </w:r>
      <w:r>
        <w:rPr>
          <w:vertAlign w:val="baseline"/>
        </w:rPr>
        <w:t>também</w:t>
      </w:r>
      <w:r>
        <w:rPr>
          <w:spacing w:val="-2"/>
          <w:vertAlign w:val="baseline"/>
        </w:rPr>
        <w:t> </w:t>
      </w:r>
      <w:r>
        <w:rPr>
          <w:vertAlign w:val="baseline"/>
        </w:rPr>
        <w:t>prevenir o</w:t>
      </w:r>
      <w:r>
        <w:rPr>
          <w:spacing w:val="-2"/>
          <w:vertAlign w:val="baseline"/>
        </w:rPr>
        <w:t> </w:t>
      </w:r>
      <w:r>
        <w:rPr>
          <w:vertAlign w:val="baseline"/>
        </w:rPr>
        <w:t>desenvolvimento</w:t>
      </w:r>
      <w:r>
        <w:rPr>
          <w:spacing w:val="-2"/>
          <w:vertAlign w:val="baseline"/>
        </w:rPr>
        <w:t> </w:t>
      </w:r>
      <w:r>
        <w:rPr>
          <w:vertAlign w:val="baseline"/>
        </w:rPr>
        <w:t>de</w:t>
      </w:r>
      <w:r>
        <w:rPr>
          <w:spacing w:val="-5"/>
          <w:vertAlign w:val="baseline"/>
        </w:rPr>
        <w:t> </w:t>
      </w:r>
      <w:r>
        <w:rPr>
          <w:vertAlign w:val="baseline"/>
        </w:rPr>
        <w:t>IC em modelos animais, sabe-se que a estimulação beta-adrenérgica mantida por longos períodos de tempo pode ser cardiotóxica</w:t>
      </w:r>
      <w:r>
        <w:rPr>
          <w:spacing w:val="-15"/>
          <w:vertAlign w:val="baseline"/>
        </w:rPr>
        <w:t> </w:t>
      </w:r>
      <w:r>
        <w:rPr>
          <w:vertAlign w:val="baseline"/>
        </w:rPr>
        <w:t>e</w:t>
      </w:r>
      <w:r>
        <w:rPr>
          <w:spacing w:val="-14"/>
          <w:vertAlign w:val="baseline"/>
        </w:rPr>
        <w:t> </w:t>
      </w:r>
      <w:r>
        <w:rPr>
          <w:vertAlign w:val="baseline"/>
        </w:rPr>
        <w:t>arritmogênica.</w:t>
      </w:r>
      <w:r>
        <w:rPr>
          <w:spacing w:val="-11"/>
          <w:vertAlign w:val="baseline"/>
        </w:rPr>
        <w:t> </w:t>
      </w:r>
      <w:r>
        <w:rPr>
          <w:vertAlign w:val="baseline"/>
        </w:rPr>
        <w:t>Certamente</w:t>
      </w:r>
      <w:r>
        <w:rPr>
          <w:spacing w:val="-14"/>
          <w:vertAlign w:val="baseline"/>
        </w:rPr>
        <w:t> </w:t>
      </w:r>
      <w:r>
        <w:rPr>
          <w:vertAlign w:val="baseline"/>
        </w:rPr>
        <w:t>tais</w:t>
      </w:r>
      <w:r>
        <w:rPr>
          <w:spacing w:val="-7"/>
          <w:vertAlign w:val="baseline"/>
        </w:rPr>
        <w:t> </w:t>
      </w:r>
      <w:r>
        <w:rPr>
          <w:vertAlign w:val="baseline"/>
        </w:rPr>
        <w:t>observações</w:t>
      </w:r>
      <w:r>
        <w:rPr>
          <w:spacing w:val="-7"/>
          <w:vertAlign w:val="baseline"/>
        </w:rPr>
        <w:t> </w:t>
      </w:r>
      <w:r>
        <w:rPr>
          <w:vertAlign w:val="baseline"/>
        </w:rPr>
        <w:t>conflitantes</w:t>
      </w:r>
      <w:r>
        <w:rPr>
          <w:spacing w:val="-7"/>
          <w:vertAlign w:val="baseline"/>
        </w:rPr>
        <w:t> </w:t>
      </w:r>
      <w:r>
        <w:rPr>
          <w:vertAlign w:val="baseline"/>
        </w:rPr>
        <w:t>demandam</w:t>
      </w:r>
      <w:r>
        <w:rPr>
          <w:spacing w:val="-13"/>
          <w:vertAlign w:val="baseline"/>
        </w:rPr>
        <w:t> </w:t>
      </w:r>
      <w:r>
        <w:rPr>
          <w:vertAlign w:val="baseline"/>
        </w:rPr>
        <w:t>novos</w:t>
      </w:r>
      <w:r>
        <w:rPr>
          <w:spacing w:val="-7"/>
          <w:vertAlign w:val="baseline"/>
        </w:rPr>
        <w:t> </w:t>
      </w:r>
      <w:r>
        <w:rPr>
          <w:vertAlign w:val="baseline"/>
        </w:rPr>
        <w:t>estudos</w:t>
      </w:r>
      <w:r>
        <w:rPr>
          <w:spacing w:val="-7"/>
          <w:vertAlign w:val="baseline"/>
        </w:rPr>
        <w:t> </w:t>
      </w:r>
      <w:r>
        <w:rPr>
          <w:vertAlign w:val="baseline"/>
        </w:rPr>
        <w:t>para</w:t>
      </w:r>
      <w:r>
        <w:rPr>
          <w:spacing w:val="-15"/>
          <w:vertAlign w:val="baseline"/>
        </w:rPr>
        <w:t> </w:t>
      </w:r>
      <w:r>
        <w:rPr>
          <w:vertAlign w:val="baseline"/>
        </w:rPr>
        <w:t>que</w:t>
      </w:r>
      <w:r>
        <w:rPr>
          <w:spacing w:val="-14"/>
          <w:vertAlign w:val="baseline"/>
        </w:rPr>
        <w:t> </w:t>
      </w:r>
      <w:r>
        <w:rPr>
          <w:vertAlign w:val="baseline"/>
        </w:rPr>
        <w:t>se</w:t>
      </w:r>
      <w:r>
        <w:rPr>
          <w:spacing w:val="-15"/>
          <w:vertAlign w:val="baseline"/>
        </w:rPr>
        <w:t> </w:t>
      </w:r>
      <w:r>
        <w:rPr>
          <w:vertAlign w:val="baseline"/>
        </w:rPr>
        <w:t>elucide com</w:t>
      </w:r>
      <w:r>
        <w:rPr>
          <w:spacing w:val="-1"/>
          <w:vertAlign w:val="baseline"/>
        </w:rPr>
        <w:t> </w:t>
      </w:r>
      <w:r>
        <w:rPr>
          <w:vertAlign w:val="baseline"/>
        </w:rPr>
        <w:t>maior clareza</w:t>
      </w:r>
      <w:r>
        <w:rPr>
          <w:spacing w:val="-4"/>
          <w:vertAlign w:val="baseline"/>
        </w:rPr>
        <w:t> </w:t>
      </w:r>
      <w:r>
        <w:rPr>
          <w:vertAlign w:val="baseline"/>
        </w:rPr>
        <w:t>a</w:t>
      </w:r>
      <w:r>
        <w:rPr>
          <w:spacing w:val="-4"/>
          <w:vertAlign w:val="baseline"/>
        </w:rPr>
        <w:t> </w:t>
      </w:r>
      <w:r>
        <w:rPr>
          <w:vertAlign w:val="baseline"/>
        </w:rPr>
        <w:t>possibilidade</w:t>
      </w:r>
      <w:r>
        <w:rPr>
          <w:spacing w:val="-4"/>
          <w:vertAlign w:val="baseline"/>
        </w:rPr>
        <w:t> </w:t>
      </w:r>
      <w:r>
        <w:rPr>
          <w:vertAlign w:val="baseline"/>
        </w:rPr>
        <w:t>de</w:t>
      </w:r>
      <w:r>
        <w:rPr>
          <w:spacing w:val="-4"/>
          <w:vertAlign w:val="baseline"/>
        </w:rPr>
        <w:t> </w:t>
      </w:r>
      <w:r>
        <w:rPr>
          <w:vertAlign w:val="baseline"/>
        </w:rPr>
        <w:t>benefício</w:t>
      </w:r>
      <w:r>
        <w:rPr>
          <w:spacing w:val="-1"/>
          <w:vertAlign w:val="baseline"/>
        </w:rPr>
        <w:t> </w:t>
      </w:r>
      <w:r>
        <w:rPr>
          <w:vertAlign w:val="baseline"/>
        </w:rPr>
        <w:t>pela</w:t>
      </w:r>
      <w:r>
        <w:rPr>
          <w:spacing w:val="-4"/>
          <w:vertAlign w:val="baseline"/>
        </w:rPr>
        <w:t> </w:t>
      </w:r>
      <w:r>
        <w:rPr>
          <w:vertAlign w:val="baseline"/>
        </w:rPr>
        <w:t>manipulação</w:t>
      </w:r>
      <w:r>
        <w:rPr>
          <w:spacing w:val="-1"/>
          <w:vertAlign w:val="baseline"/>
        </w:rPr>
        <w:t> </w:t>
      </w:r>
      <w:r>
        <w:rPr>
          <w:vertAlign w:val="baseline"/>
        </w:rPr>
        <w:t>da</w:t>
      </w:r>
      <w:r>
        <w:rPr>
          <w:spacing w:val="-4"/>
          <w:vertAlign w:val="baseline"/>
        </w:rPr>
        <w:t> </w:t>
      </w:r>
      <w:r>
        <w:rPr>
          <w:vertAlign w:val="baseline"/>
        </w:rPr>
        <w:t>sinalização</w:t>
      </w:r>
      <w:r>
        <w:rPr>
          <w:spacing w:val="-1"/>
          <w:vertAlign w:val="baseline"/>
        </w:rPr>
        <w:t> </w:t>
      </w:r>
      <w:r>
        <w:rPr>
          <w:vertAlign w:val="baseline"/>
        </w:rPr>
        <w:t>beta-adrenérgica</w:t>
      </w:r>
      <w:r>
        <w:rPr>
          <w:spacing w:val="-4"/>
          <w:vertAlign w:val="baseline"/>
        </w:rPr>
        <w:t> </w:t>
      </w:r>
      <w:r>
        <w:rPr>
          <w:vertAlign w:val="baseline"/>
        </w:rPr>
        <w:t>na</w:t>
      </w:r>
      <w:r>
        <w:rPr>
          <w:spacing w:val="-4"/>
          <w:vertAlign w:val="baseline"/>
        </w:rPr>
        <w:t> </w:t>
      </w:r>
      <w:r>
        <w:rPr>
          <w:vertAlign w:val="baseline"/>
        </w:rPr>
        <w:t>IC.</w:t>
      </w:r>
    </w:p>
    <w:p>
      <w:pPr>
        <w:pStyle w:val="BodyText"/>
        <w:spacing w:line="278" w:lineRule="auto" w:before="34"/>
        <w:ind w:right="488"/>
      </w:pPr>
      <w:r>
        <w:rPr/>
        <w:t>Finalmente, a</w:t>
      </w:r>
      <w:r>
        <w:rPr>
          <w:spacing w:val="-8"/>
        </w:rPr>
        <w:t> </w:t>
      </w:r>
      <w:r>
        <w:rPr/>
        <w:t>terapia</w:t>
      </w:r>
      <w:r>
        <w:rPr>
          <w:spacing w:val="-8"/>
        </w:rPr>
        <w:t> </w:t>
      </w:r>
      <w:r>
        <w:rPr/>
        <w:t>gênica</w:t>
      </w:r>
      <w:r>
        <w:rPr>
          <w:spacing w:val="-8"/>
        </w:rPr>
        <w:t> </w:t>
      </w:r>
      <w:r>
        <w:rPr/>
        <w:t>poderia</w:t>
      </w:r>
      <w:r>
        <w:rPr>
          <w:spacing w:val="-8"/>
        </w:rPr>
        <w:t> </w:t>
      </w:r>
      <w:r>
        <w:rPr/>
        <w:t>ser útil</w:t>
      </w:r>
      <w:r>
        <w:rPr>
          <w:spacing w:val="-3"/>
        </w:rPr>
        <w:t> </w:t>
      </w:r>
      <w:r>
        <w:rPr/>
        <w:t>na</w:t>
      </w:r>
      <w:r>
        <w:rPr>
          <w:spacing w:val="-8"/>
        </w:rPr>
        <w:t> </w:t>
      </w:r>
      <w:r>
        <w:rPr/>
        <w:t>modulação</w:t>
      </w:r>
      <w:r>
        <w:rPr>
          <w:spacing w:val="-5"/>
        </w:rPr>
        <w:t> </w:t>
      </w:r>
      <w:r>
        <w:rPr/>
        <w:t>dos fenômenos apoptóticos que, por levarem</w:t>
      </w:r>
      <w:r>
        <w:rPr>
          <w:spacing w:val="-5"/>
        </w:rPr>
        <w:t> </w:t>
      </w:r>
      <w:r>
        <w:rPr/>
        <w:t>a</w:t>
      </w:r>
      <w:r>
        <w:rPr>
          <w:spacing w:val="-8"/>
        </w:rPr>
        <w:t> </w:t>
      </w:r>
      <w:r>
        <w:rPr/>
        <w:t>morte celular e perda miocitária, contribuem para a disfunção ventricular e IC. Inúmeros marcadores bioquímicos reguladores da apoptose foram identificados, seja com efeitos pró-apoptóticos ou antiapoptóticos, e sua manipulação por terapia gênica foi testada em estudos experimentais. Por esta técnica, já se demonstrou que a transferência gênica de Bcl-2 mediada por adenovírus bloqueia a apoptose induzida por p53 em cardiomiócitos ventriculares.</w:t>
      </w:r>
      <w:r>
        <w:rPr>
          <w:vertAlign w:val="superscript"/>
        </w:rPr>
        <w:t>38</w:t>
      </w:r>
      <w:r>
        <w:rPr>
          <w:vertAlign w:val="baseline"/>
        </w:rPr>
        <w:t> Outro resultado positivo foi conseguido pela transferência de formas ativadas da fosfatidilinositol</w:t>
      </w:r>
      <w:r>
        <w:rPr>
          <w:spacing w:val="40"/>
          <w:vertAlign w:val="baseline"/>
        </w:rPr>
        <w:t> </w:t>
      </w:r>
      <w:r>
        <w:rPr>
          <w:vertAlign w:val="baseline"/>
        </w:rPr>
        <w:t>3-quinase, enzima</w:t>
      </w:r>
      <w:r>
        <w:rPr>
          <w:spacing w:val="-8"/>
          <w:vertAlign w:val="baseline"/>
        </w:rPr>
        <w:t> </w:t>
      </w:r>
      <w:r>
        <w:rPr>
          <w:vertAlign w:val="baseline"/>
        </w:rPr>
        <w:t>relacionada</w:t>
      </w:r>
      <w:r>
        <w:rPr>
          <w:spacing w:val="-8"/>
          <w:vertAlign w:val="baseline"/>
        </w:rPr>
        <w:t> </w:t>
      </w:r>
      <w:r>
        <w:rPr>
          <w:vertAlign w:val="baseline"/>
        </w:rPr>
        <w:t>com</w:t>
      </w:r>
      <w:r>
        <w:rPr>
          <w:spacing w:val="-6"/>
          <w:vertAlign w:val="baseline"/>
        </w:rPr>
        <w:t> </w:t>
      </w:r>
      <w:r>
        <w:rPr>
          <w:vertAlign w:val="baseline"/>
        </w:rPr>
        <w:t>os efeitos antiapoptóticos do</w:t>
      </w:r>
      <w:r>
        <w:rPr>
          <w:spacing w:val="-6"/>
          <w:vertAlign w:val="baseline"/>
        </w:rPr>
        <w:t> </w:t>
      </w:r>
      <w:r>
        <w:rPr>
          <w:vertAlign w:val="baseline"/>
        </w:rPr>
        <w:t>fator de</w:t>
      </w:r>
      <w:r>
        <w:rPr>
          <w:spacing w:val="-8"/>
          <w:vertAlign w:val="baseline"/>
        </w:rPr>
        <w:t> </w:t>
      </w:r>
      <w:r>
        <w:rPr>
          <w:vertAlign w:val="baseline"/>
        </w:rPr>
        <w:t>crescimento</w:t>
      </w:r>
      <w:r>
        <w:rPr>
          <w:spacing w:val="-6"/>
          <w:vertAlign w:val="baseline"/>
        </w:rPr>
        <w:t> </w:t>
      </w:r>
      <w:r>
        <w:rPr>
          <w:vertAlign w:val="baseline"/>
        </w:rPr>
        <w:t>semelhante</w:t>
      </w:r>
      <w:r>
        <w:rPr>
          <w:spacing w:val="-8"/>
          <w:vertAlign w:val="baseline"/>
        </w:rPr>
        <w:t> </w:t>
      </w:r>
      <w:r>
        <w:rPr>
          <w:vertAlign w:val="baseline"/>
        </w:rPr>
        <w:t>à</w:t>
      </w:r>
      <w:r>
        <w:rPr>
          <w:spacing w:val="-8"/>
          <w:vertAlign w:val="baseline"/>
        </w:rPr>
        <w:t> </w:t>
      </w:r>
      <w:r>
        <w:rPr>
          <w:vertAlign w:val="baseline"/>
        </w:rPr>
        <w:t>insulina</w:t>
      </w:r>
      <w:r>
        <w:rPr>
          <w:spacing w:val="-8"/>
          <w:vertAlign w:val="baseline"/>
        </w:rPr>
        <w:t> </w:t>
      </w:r>
      <w:r>
        <w:rPr>
          <w:vertAlign w:val="baseline"/>
        </w:rPr>
        <w:t>1</w:t>
      </w:r>
      <w:r>
        <w:rPr>
          <w:spacing w:val="-6"/>
          <w:vertAlign w:val="baseline"/>
        </w:rPr>
        <w:t> </w:t>
      </w:r>
      <w:r>
        <w:rPr>
          <w:vertAlign w:val="baseline"/>
        </w:rPr>
        <w:t>(IGF-1, do inglês, </w:t>
      </w:r>
      <w:r>
        <w:rPr>
          <w:i/>
          <w:vertAlign w:val="baseline"/>
        </w:rPr>
        <w:t>insulin-like growth factor1</w:t>
      </w:r>
      <w:r>
        <w:rPr>
          <w:vertAlign w:val="baseline"/>
        </w:rPr>
        <w:t>). A perspectiva de bloqueio da apoptose em cardiomiócitos por meio de terapia</w:t>
      </w:r>
      <w:r>
        <w:rPr>
          <w:spacing w:val="-5"/>
          <w:vertAlign w:val="baseline"/>
        </w:rPr>
        <w:t> </w:t>
      </w:r>
      <w:r>
        <w:rPr>
          <w:vertAlign w:val="baseline"/>
        </w:rPr>
        <w:t>gênica</w:t>
      </w:r>
      <w:r>
        <w:rPr>
          <w:spacing w:val="-5"/>
          <w:vertAlign w:val="baseline"/>
        </w:rPr>
        <w:t> </w:t>
      </w:r>
      <w:r>
        <w:rPr>
          <w:vertAlign w:val="baseline"/>
        </w:rPr>
        <w:t>abre</w:t>
      </w:r>
      <w:r>
        <w:rPr>
          <w:spacing w:val="-5"/>
          <w:vertAlign w:val="baseline"/>
        </w:rPr>
        <w:t> </w:t>
      </w:r>
      <w:r>
        <w:rPr>
          <w:vertAlign w:val="baseline"/>
        </w:rPr>
        <w:t>as portas para</w:t>
      </w:r>
      <w:r>
        <w:rPr>
          <w:spacing w:val="-5"/>
          <w:vertAlign w:val="baseline"/>
        </w:rPr>
        <w:t> </w:t>
      </w:r>
      <w:r>
        <w:rPr>
          <w:vertAlign w:val="baseline"/>
        </w:rPr>
        <w:t>uma</w:t>
      </w:r>
      <w:r>
        <w:rPr>
          <w:spacing w:val="-5"/>
          <w:vertAlign w:val="baseline"/>
        </w:rPr>
        <w:t> </w:t>
      </w:r>
      <w:r>
        <w:rPr>
          <w:vertAlign w:val="baseline"/>
        </w:rPr>
        <w:t>melhor definição</w:t>
      </w:r>
      <w:r>
        <w:rPr>
          <w:spacing w:val="-3"/>
          <w:vertAlign w:val="baseline"/>
        </w:rPr>
        <w:t> </w:t>
      </w:r>
      <w:r>
        <w:rPr>
          <w:vertAlign w:val="baseline"/>
        </w:rPr>
        <w:t>do</w:t>
      </w:r>
      <w:r>
        <w:rPr>
          <w:spacing w:val="-3"/>
          <w:vertAlign w:val="baseline"/>
        </w:rPr>
        <w:t> </w:t>
      </w:r>
      <w:r>
        <w:rPr>
          <w:vertAlign w:val="baseline"/>
        </w:rPr>
        <w:t>significado</w:t>
      </w:r>
      <w:r>
        <w:rPr>
          <w:spacing w:val="-3"/>
          <w:vertAlign w:val="baseline"/>
        </w:rPr>
        <w:t> </w:t>
      </w:r>
      <w:r>
        <w:rPr>
          <w:vertAlign w:val="baseline"/>
        </w:rPr>
        <w:t>funcional de</w:t>
      </w:r>
      <w:r>
        <w:rPr>
          <w:spacing w:val="-5"/>
          <w:vertAlign w:val="baseline"/>
        </w:rPr>
        <w:t> </w:t>
      </w:r>
      <w:r>
        <w:rPr>
          <w:vertAlign w:val="baseline"/>
        </w:rPr>
        <w:t>vias específicas reguladoras de apoptose na IC, além de caracterizar essas vias como “alvos” para futuras intervenções clínicas.</w:t>
      </w:r>
      <w:r>
        <w:rPr>
          <w:vertAlign w:val="superscript"/>
        </w:rPr>
        <w:t>39,40</w:t>
      </w:r>
    </w:p>
    <w:p>
      <w:pPr>
        <w:pStyle w:val="BodyText"/>
        <w:spacing w:before="140"/>
        <w:ind w:left="0" w:firstLine="0"/>
        <w:jc w:val="left"/>
      </w:pPr>
    </w:p>
    <w:p>
      <w:pPr>
        <w:pStyle w:val="Heading5"/>
        <w:spacing w:before="1"/>
        <w:jc w:val="both"/>
      </w:pPr>
      <w:r>
        <w:rPr>
          <w:color w:val="A26108"/>
        </w:rPr>
        <w:t>Angiogênese</w:t>
      </w:r>
      <w:r>
        <w:rPr>
          <w:color w:val="A26108"/>
          <w:spacing w:val="39"/>
        </w:rPr>
        <w:t> </w:t>
      </w:r>
      <w:r>
        <w:rPr>
          <w:color w:val="A26108"/>
          <w:spacing w:val="-2"/>
        </w:rPr>
        <w:t>terapêutica</w:t>
      </w:r>
    </w:p>
    <w:p>
      <w:pPr>
        <w:pStyle w:val="BodyText"/>
        <w:spacing w:line="280" w:lineRule="auto" w:before="138"/>
        <w:ind w:right="491"/>
      </w:pPr>
      <w:r>
        <w:rPr/>
        <w:t>Com o acúmulo do conhecimento sobre crescimento vascular e citocinas angiogênicas e o desenvolvimento paralelo</w:t>
      </w:r>
      <w:r>
        <w:rPr>
          <w:spacing w:val="-4"/>
        </w:rPr>
        <w:t> </w:t>
      </w:r>
      <w:r>
        <w:rPr/>
        <w:t>de</w:t>
      </w:r>
      <w:r>
        <w:rPr>
          <w:spacing w:val="-6"/>
        </w:rPr>
        <w:t> </w:t>
      </w:r>
      <w:r>
        <w:rPr/>
        <w:t>vetores mais eficientes, inúmeros grupos de</w:t>
      </w:r>
      <w:r>
        <w:rPr>
          <w:spacing w:val="-6"/>
        </w:rPr>
        <w:t> </w:t>
      </w:r>
      <w:r>
        <w:rPr/>
        <w:t>pesquisa</w:t>
      </w:r>
      <w:r>
        <w:rPr>
          <w:spacing w:val="-6"/>
        </w:rPr>
        <w:t> </w:t>
      </w:r>
      <w:r>
        <w:rPr/>
        <w:t>passaram</w:t>
      </w:r>
      <w:r>
        <w:rPr>
          <w:spacing w:val="-4"/>
        </w:rPr>
        <w:t> </w:t>
      </w:r>
      <w:r>
        <w:rPr/>
        <w:t>a</w:t>
      </w:r>
      <w:r>
        <w:rPr>
          <w:spacing w:val="-6"/>
        </w:rPr>
        <w:t> </w:t>
      </w:r>
      <w:r>
        <w:rPr/>
        <w:t>testar a</w:t>
      </w:r>
      <w:r>
        <w:rPr>
          <w:spacing w:val="-6"/>
        </w:rPr>
        <w:t> </w:t>
      </w:r>
      <w:r>
        <w:rPr/>
        <w:t>hipótese</w:t>
      </w:r>
      <w:r>
        <w:rPr>
          <w:spacing w:val="-6"/>
        </w:rPr>
        <w:t> </w:t>
      </w:r>
      <w:r>
        <w:rPr/>
        <w:t>de</w:t>
      </w:r>
      <w:r>
        <w:rPr>
          <w:spacing w:val="-6"/>
        </w:rPr>
        <w:t> </w:t>
      </w:r>
      <w:r>
        <w:rPr/>
        <w:t>que</w:t>
      </w:r>
      <w:r>
        <w:rPr>
          <w:spacing w:val="-6"/>
        </w:rPr>
        <w:t> </w:t>
      </w:r>
      <w:r>
        <w:rPr/>
        <w:t>a</w:t>
      </w:r>
      <w:r>
        <w:rPr>
          <w:spacing w:val="-6"/>
        </w:rPr>
        <w:t> </w:t>
      </w:r>
      <w:r>
        <w:rPr/>
        <w:t>transferência gênica de fatores de crescimento seria capaz de amenizar os danos decorrentes da isquemia (miocárdica ou periférica),</w:t>
      </w:r>
      <w:r>
        <w:rPr>
          <w:spacing w:val="-2"/>
        </w:rPr>
        <w:t> </w:t>
      </w:r>
      <w:r>
        <w:rPr/>
        <w:t>por</w:t>
      </w:r>
      <w:r>
        <w:rPr>
          <w:spacing w:val="-5"/>
        </w:rPr>
        <w:t> </w:t>
      </w:r>
      <w:r>
        <w:rPr/>
        <w:t>estimulação</w:t>
      </w:r>
      <w:r>
        <w:rPr>
          <w:spacing w:val="-9"/>
        </w:rPr>
        <w:t> </w:t>
      </w:r>
      <w:r>
        <w:rPr/>
        <w:t>ao</w:t>
      </w:r>
      <w:r>
        <w:rPr>
          <w:spacing w:val="-9"/>
        </w:rPr>
        <w:t> </w:t>
      </w:r>
      <w:r>
        <w:rPr/>
        <w:t>crescimento</w:t>
      </w:r>
      <w:r>
        <w:rPr>
          <w:spacing w:val="-9"/>
        </w:rPr>
        <w:t> </w:t>
      </w:r>
      <w:r>
        <w:rPr/>
        <w:t>vascular.</w:t>
      </w:r>
      <w:r>
        <w:rPr>
          <w:spacing w:val="-2"/>
        </w:rPr>
        <w:t> </w:t>
      </w:r>
      <w:r>
        <w:rPr/>
        <w:t>A</w:t>
      </w:r>
      <w:r>
        <w:rPr>
          <w:spacing w:val="-12"/>
        </w:rPr>
        <w:t> </w:t>
      </w:r>
      <w:r>
        <w:rPr/>
        <w:t>essa</w:t>
      </w:r>
      <w:r>
        <w:rPr>
          <w:spacing w:val="-12"/>
        </w:rPr>
        <w:t> </w:t>
      </w:r>
      <w:r>
        <w:rPr/>
        <w:t>estratégia</w:t>
      </w:r>
      <w:r>
        <w:rPr>
          <w:spacing w:val="-12"/>
        </w:rPr>
        <w:t> </w:t>
      </w:r>
      <w:r>
        <w:rPr/>
        <w:t>terapêutica</w:t>
      </w:r>
      <w:r>
        <w:rPr>
          <w:spacing w:val="-12"/>
        </w:rPr>
        <w:t> </w:t>
      </w:r>
      <w:r>
        <w:rPr/>
        <w:t>para</w:t>
      </w:r>
      <w:r>
        <w:rPr>
          <w:spacing w:val="-12"/>
        </w:rPr>
        <w:t> </w:t>
      </w:r>
      <w:r>
        <w:rPr/>
        <w:t>a</w:t>
      </w:r>
      <w:r>
        <w:rPr>
          <w:spacing w:val="-12"/>
        </w:rPr>
        <w:t> </w:t>
      </w:r>
      <w:r>
        <w:rPr/>
        <w:t>revascularização</w:t>
      </w:r>
      <w:r>
        <w:rPr>
          <w:spacing w:val="-9"/>
        </w:rPr>
        <w:t> </w:t>
      </w:r>
      <w:r>
        <w:rPr/>
        <w:t>de</w:t>
      </w:r>
      <w:r>
        <w:rPr>
          <w:spacing w:val="-12"/>
        </w:rPr>
        <w:t> </w:t>
      </w:r>
      <w:r>
        <w:rPr/>
        <w:t>tecidos hipoperfundidos mediante</w:t>
      </w:r>
      <w:r>
        <w:rPr>
          <w:spacing w:val="-2"/>
        </w:rPr>
        <w:t> </w:t>
      </w:r>
      <w:r>
        <w:rPr/>
        <w:t>o uso de</w:t>
      </w:r>
      <w:r>
        <w:rPr>
          <w:spacing w:val="-2"/>
        </w:rPr>
        <w:t> </w:t>
      </w:r>
      <w:r>
        <w:rPr/>
        <w:t>fatores de</w:t>
      </w:r>
      <w:r>
        <w:rPr>
          <w:spacing w:val="-2"/>
        </w:rPr>
        <w:t> </w:t>
      </w:r>
      <w:r>
        <w:rPr/>
        <w:t>crescimento, deu-se</w:t>
      </w:r>
      <w:r>
        <w:rPr>
          <w:spacing w:val="-2"/>
        </w:rPr>
        <w:t> </w:t>
      </w:r>
      <w:r>
        <w:rPr/>
        <w:t>o nome</w:t>
      </w:r>
      <w:r>
        <w:rPr>
          <w:spacing w:val="-2"/>
        </w:rPr>
        <w:t> </w:t>
      </w:r>
      <w:r>
        <w:rPr/>
        <w:t>de</w:t>
      </w:r>
      <w:r>
        <w:rPr>
          <w:spacing w:val="-2"/>
        </w:rPr>
        <w:t> </w:t>
      </w:r>
      <w:r>
        <w:rPr/>
        <w:t>angiogênese</w:t>
      </w:r>
      <w:r>
        <w:rPr>
          <w:spacing w:val="-2"/>
        </w:rPr>
        <w:t> </w:t>
      </w:r>
      <w:r>
        <w:rPr/>
        <w:t>terapêutica.</w:t>
      </w:r>
      <w:r>
        <w:rPr>
          <w:vertAlign w:val="superscript"/>
        </w:rPr>
        <w:t>41</w:t>
      </w:r>
    </w:p>
    <w:p>
      <w:pPr>
        <w:pStyle w:val="Heading7"/>
        <w:spacing w:before="263"/>
        <w:jc w:val="both"/>
      </w:pPr>
      <w:r>
        <w:rPr>
          <w:color w:val="242B67"/>
        </w:rPr>
        <w:t>Insuficiência arterial </w:t>
      </w:r>
      <w:r>
        <w:rPr>
          <w:color w:val="242B67"/>
          <w:spacing w:val="-2"/>
        </w:rPr>
        <w:t>periférica</w:t>
      </w:r>
    </w:p>
    <w:p>
      <w:pPr>
        <w:pStyle w:val="BodyText"/>
        <w:spacing w:line="276" w:lineRule="auto" w:before="142"/>
        <w:ind w:right="497"/>
      </w:pPr>
      <w:r>
        <w:rPr/>
        <w:t>A primeira substância a ser testada como fator angiogênico em modelos experimentais foi a heparina. Subsequentemente, membros da</w:t>
      </w:r>
      <w:r>
        <w:rPr>
          <w:spacing w:val="-3"/>
        </w:rPr>
        <w:t> </w:t>
      </w:r>
      <w:r>
        <w:rPr/>
        <w:t>família</w:t>
      </w:r>
      <w:r>
        <w:rPr>
          <w:spacing w:val="-3"/>
        </w:rPr>
        <w:t> </w:t>
      </w:r>
      <w:r>
        <w:rPr/>
        <w:t>do fator de</w:t>
      </w:r>
      <w:r>
        <w:rPr>
          <w:spacing w:val="-3"/>
        </w:rPr>
        <w:t> </w:t>
      </w:r>
      <w:r>
        <w:rPr/>
        <w:t>crescimento de</w:t>
      </w:r>
      <w:r>
        <w:rPr>
          <w:spacing w:val="-3"/>
        </w:rPr>
        <w:t> </w:t>
      </w:r>
      <w:r>
        <w:rPr/>
        <w:t>fibroblastos (FGF, do inglês, </w:t>
      </w:r>
      <w:r>
        <w:rPr>
          <w:i/>
        </w:rPr>
        <w:t>fibroblast</w:t>
      </w:r>
      <w:r>
        <w:rPr>
          <w:i/>
          <w:spacing w:val="-3"/>
        </w:rPr>
        <w:t> </w:t>
      </w:r>
      <w:r>
        <w:rPr>
          <w:i/>
        </w:rPr>
        <w:t>growth factor</w:t>
      </w:r>
      <w:r>
        <w:rPr/>
        <w:t>) foram testados como indutores de crescimento vascular em modelos animais de isquemia miocárdica e </w:t>
      </w:r>
      <w:r>
        <w:rPr>
          <w:spacing w:val="-2"/>
        </w:rPr>
        <w:t>periférica.</w:t>
      </w:r>
    </w:p>
    <w:p>
      <w:pPr>
        <w:pStyle w:val="BodyText"/>
        <w:spacing w:line="278" w:lineRule="auto" w:before="49"/>
        <w:ind w:right="490"/>
      </w:pPr>
      <w:r>
        <w:rPr/>
        <w:t>Um dos mais estudados fatores de crescimento é o VEGF. O VEGF compreende diversas isoformas com pequenas variações em suas propriedades biológicas; suas ações fisiológicas incluem o estímulo ao crescimento, proliferação</w:t>
      </w:r>
      <w:r>
        <w:rPr>
          <w:spacing w:val="-3"/>
        </w:rPr>
        <w:t> </w:t>
      </w:r>
      <w:r>
        <w:rPr/>
        <w:t>e</w:t>
      </w:r>
      <w:r>
        <w:rPr>
          <w:spacing w:val="-5"/>
        </w:rPr>
        <w:t> </w:t>
      </w:r>
      <w:r>
        <w:rPr/>
        <w:t>migração</w:t>
      </w:r>
      <w:r>
        <w:rPr>
          <w:spacing w:val="-3"/>
        </w:rPr>
        <w:t> </w:t>
      </w:r>
      <w:r>
        <w:rPr/>
        <w:t>de</w:t>
      </w:r>
      <w:r>
        <w:rPr>
          <w:spacing w:val="-5"/>
        </w:rPr>
        <w:t> </w:t>
      </w:r>
      <w:r>
        <w:rPr/>
        <w:t>células endoteliais, o</w:t>
      </w:r>
      <w:r>
        <w:rPr>
          <w:spacing w:val="-3"/>
        </w:rPr>
        <w:t> </w:t>
      </w:r>
      <w:r>
        <w:rPr/>
        <w:t>aumento</w:t>
      </w:r>
      <w:r>
        <w:rPr>
          <w:spacing w:val="-3"/>
        </w:rPr>
        <w:t> </w:t>
      </w:r>
      <w:r>
        <w:rPr/>
        <w:t>de</w:t>
      </w:r>
      <w:r>
        <w:rPr>
          <w:spacing w:val="-5"/>
        </w:rPr>
        <w:t> </w:t>
      </w:r>
      <w:r>
        <w:rPr/>
        <w:t>permeabilidade</w:t>
      </w:r>
      <w:r>
        <w:rPr>
          <w:spacing w:val="-5"/>
        </w:rPr>
        <w:t> </w:t>
      </w:r>
      <w:r>
        <w:rPr/>
        <w:t>vascular e</w:t>
      </w:r>
      <w:r>
        <w:rPr>
          <w:spacing w:val="-5"/>
        </w:rPr>
        <w:t> </w:t>
      </w:r>
      <w:r>
        <w:rPr/>
        <w:t>vasodilatação</w:t>
      </w:r>
      <w:r>
        <w:rPr>
          <w:spacing w:val="-3"/>
        </w:rPr>
        <w:t> </w:t>
      </w:r>
      <w:r>
        <w:rPr/>
        <w:t>mediada</w:t>
      </w:r>
      <w:r>
        <w:rPr>
          <w:spacing w:val="-5"/>
        </w:rPr>
        <w:t> </w:t>
      </w:r>
      <w:r>
        <w:rPr/>
        <w:t>pelo NO, entre</w:t>
      </w:r>
      <w:r>
        <w:rPr>
          <w:spacing w:val="-6"/>
        </w:rPr>
        <w:t> </w:t>
      </w:r>
      <w:r>
        <w:rPr/>
        <w:t>outras. Takeshita</w:t>
      </w:r>
      <w:r>
        <w:rPr>
          <w:spacing w:val="-6"/>
        </w:rPr>
        <w:t> </w:t>
      </w:r>
      <w:r>
        <w:rPr>
          <w:i/>
        </w:rPr>
        <w:t>et</w:t>
      </w:r>
      <w:r>
        <w:rPr>
          <w:i/>
          <w:spacing w:val="-1"/>
        </w:rPr>
        <w:t> </w:t>
      </w:r>
      <w:r>
        <w:rPr>
          <w:i/>
        </w:rPr>
        <w:t>al.</w:t>
      </w:r>
      <w:r>
        <w:rPr>
          <w:vertAlign w:val="superscript"/>
        </w:rPr>
        <w:t>42</w:t>
      </w:r>
      <w:r>
        <w:rPr>
          <w:vertAlign w:val="baseline"/>
        </w:rPr>
        <w:t> foram</w:t>
      </w:r>
      <w:r>
        <w:rPr>
          <w:spacing w:val="-3"/>
          <w:vertAlign w:val="baseline"/>
        </w:rPr>
        <w:t> </w:t>
      </w:r>
      <w:r>
        <w:rPr>
          <w:vertAlign w:val="baseline"/>
        </w:rPr>
        <w:t>os primeiros a</w:t>
      </w:r>
      <w:r>
        <w:rPr>
          <w:spacing w:val="-6"/>
          <w:vertAlign w:val="baseline"/>
        </w:rPr>
        <w:t> </w:t>
      </w:r>
      <w:r>
        <w:rPr>
          <w:vertAlign w:val="baseline"/>
        </w:rPr>
        <w:t>mostrar, em</w:t>
      </w:r>
      <w:r>
        <w:rPr>
          <w:spacing w:val="-3"/>
          <w:vertAlign w:val="baseline"/>
        </w:rPr>
        <w:t> </w:t>
      </w:r>
      <w:r>
        <w:rPr>
          <w:vertAlign w:val="baseline"/>
        </w:rPr>
        <w:t>modelo</w:t>
      </w:r>
      <w:r>
        <w:rPr>
          <w:spacing w:val="-3"/>
          <w:vertAlign w:val="baseline"/>
        </w:rPr>
        <w:t> </w:t>
      </w:r>
      <w:r>
        <w:rPr>
          <w:vertAlign w:val="baseline"/>
        </w:rPr>
        <w:t>animal de</w:t>
      </w:r>
      <w:r>
        <w:rPr>
          <w:spacing w:val="-6"/>
          <w:vertAlign w:val="baseline"/>
        </w:rPr>
        <w:t> </w:t>
      </w:r>
      <w:r>
        <w:rPr>
          <w:vertAlign w:val="baseline"/>
        </w:rPr>
        <w:t>isquemia</w:t>
      </w:r>
      <w:r>
        <w:rPr>
          <w:spacing w:val="-6"/>
          <w:vertAlign w:val="baseline"/>
        </w:rPr>
        <w:t> </w:t>
      </w:r>
      <w:r>
        <w:rPr>
          <w:vertAlign w:val="baseline"/>
        </w:rPr>
        <w:t>periférica</w:t>
      </w:r>
      <w:r>
        <w:rPr>
          <w:spacing w:val="-6"/>
          <w:vertAlign w:val="baseline"/>
        </w:rPr>
        <w:t> </w:t>
      </w:r>
      <w:r>
        <w:rPr>
          <w:vertAlign w:val="baseline"/>
        </w:rPr>
        <w:t>que, 10 dias após a</w:t>
      </w:r>
      <w:r>
        <w:rPr>
          <w:spacing w:val="-8"/>
          <w:vertAlign w:val="baseline"/>
        </w:rPr>
        <w:t> </w:t>
      </w:r>
      <w:r>
        <w:rPr>
          <w:vertAlign w:val="baseline"/>
        </w:rPr>
        <w:t>remoção</w:t>
      </w:r>
      <w:r>
        <w:rPr>
          <w:spacing w:val="-6"/>
          <w:vertAlign w:val="baseline"/>
        </w:rPr>
        <w:t> </w:t>
      </w:r>
      <w:r>
        <w:rPr>
          <w:vertAlign w:val="baseline"/>
        </w:rPr>
        <w:t>da</w:t>
      </w:r>
      <w:r>
        <w:rPr>
          <w:spacing w:val="-8"/>
          <w:vertAlign w:val="baseline"/>
        </w:rPr>
        <w:t> </w:t>
      </w:r>
      <w:r>
        <w:rPr>
          <w:vertAlign w:val="baseline"/>
        </w:rPr>
        <w:t>artéria</w:t>
      </w:r>
      <w:r>
        <w:rPr>
          <w:spacing w:val="-8"/>
          <w:vertAlign w:val="baseline"/>
        </w:rPr>
        <w:t> </w:t>
      </w:r>
      <w:r>
        <w:rPr>
          <w:vertAlign w:val="baseline"/>
        </w:rPr>
        <w:t>femoral</w:t>
      </w:r>
      <w:r>
        <w:rPr>
          <w:spacing w:val="-3"/>
          <w:vertAlign w:val="baseline"/>
        </w:rPr>
        <w:t> </w:t>
      </w:r>
      <w:r>
        <w:rPr>
          <w:vertAlign w:val="baseline"/>
        </w:rPr>
        <w:t>em</w:t>
      </w:r>
      <w:r>
        <w:rPr>
          <w:spacing w:val="-6"/>
          <w:vertAlign w:val="baseline"/>
        </w:rPr>
        <w:t> </w:t>
      </w:r>
      <w:r>
        <w:rPr>
          <w:vertAlign w:val="baseline"/>
        </w:rPr>
        <w:t>coelhos, a</w:t>
      </w:r>
      <w:r>
        <w:rPr>
          <w:spacing w:val="-8"/>
          <w:vertAlign w:val="baseline"/>
        </w:rPr>
        <w:t> </w:t>
      </w:r>
      <w:r>
        <w:rPr>
          <w:vertAlign w:val="baseline"/>
        </w:rPr>
        <w:t>administração</w:t>
      </w:r>
      <w:r>
        <w:rPr>
          <w:spacing w:val="-6"/>
          <w:vertAlign w:val="baseline"/>
        </w:rPr>
        <w:t> </w:t>
      </w:r>
      <w:r>
        <w:rPr>
          <w:vertAlign w:val="baseline"/>
        </w:rPr>
        <w:t>de</w:t>
      </w:r>
      <w:r>
        <w:rPr>
          <w:spacing w:val="-8"/>
          <w:vertAlign w:val="baseline"/>
        </w:rPr>
        <w:t> </w:t>
      </w:r>
      <w:r>
        <w:rPr>
          <w:vertAlign w:val="baseline"/>
        </w:rPr>
        <w:t>VEGF</w:t>
      </w:r>
      <w:r>
        <w:rPr>
          <w:spacing w:val="-3"/>
          <w:vertAlign w:val="baseline"/>
        </w:rPr>
        <w:t> </w:t>
      </w:r>
      <w:r>
        <w:rPr>
          <w:vertAlign w:val="baseline"/>
        </w:rPr>
        <w:t>por</w:t>
      </w:r>
      <w:r>
        <w:rPr>
          <w:spacing w:val="-1"/>
          <w:vertAlign w:val="baseline"/>
        </w:rPr>
        <w:t> </w:t>
      </w:r>
      <w:r>
        <w:rPr>
          <w:vertAlign w:val="baseline"/>
        </w:rPr>
        <w:t>via</w:t>
      </w:r>
      <w:r>
        <w:rPr>
          <w:spacing w:val="-8"/>
          <w:vertAlign w:val="baseline"/>
        </w:rPr>
        <w:t> </w:t>
      </w:r>
      <w:r>
        <w:rPr>
          <w:vertAlign w:val="baseline"/>
        </w:rPr>
        <w:t>intra-arterial</w:t>
      </w:r>
      <w:r>
        <w:rPr>
          <w:spacing w:val="-3"/>
          <w:vertAlign w:val="baseline"/>
        </w:rPr>
        <w:t> </w:t>
      </w:r>
      <w:r>
        <w:rPr>
          <w:vertAlign w:val="baseline"/>
        </w:rPr>
        <w:t>ou</w:t>
      </w:r>
      <w:r>
        <w:rPr>
          <w:spacing w:val="-6"/>
          <w:vertAlign w:val="baseline"/>
        </w:rPr>
        <w:t> </w:t>
      </w:r>
      <w:r>
        <w:rPr>
          <w:vertAlign w:val="baseline"/>
        </w:rPr>
        <w:t>intramuscular levava a aumento da perfusão tecidual comparada aos animais-controle. Muitos estudos se seguiram a este, confirmando</w:t>
      </w:r>
      <w:r>
        <w:rPr>
          <w:spacing w:val="-6"/>
          <w:vertAlign w:val="baseline"/>
        </w:rPr>
        <w:t> </w:t>
      </w:r>
      <w:r>
        <w:rPr>
          <w:vertAlign w:val="baseline"/>
        </w:rPr>
        <w:t>ser</w:t>
      </w:r>
      <w:r>
        <w:rPr>
          <w:spacing w:val="-1"/>
          <w:vertAlign w:val="baseline"/>
        </w:rPr>
        <w:t> </w:t>
      </w:r>
      <w:r>
        <w:rPr>
          <w:vertAlign w:val="baseline"/>
        </w:rPr>
        <w:t>possível</w:t>
      </w:r>
      <w:r>
        <w:rPr>
          <w:spacing w:val="-3"/>
          <w:vertAlign w:val="baseline"/>
        </w:rPr>
        <w:t> </w:t>
      </w:r>
      <w:r>
        <w:rPr>
          <w:vertAlign w:val="baseline"/>
        </w:rPr>
        <w:t>a</w:t>
      </w:r>
      <w:r>
        <w:rPr>
          <w:spacing w:val="-8"/>
          <w:vertAlign w:val="baseline"/>
        </w:rPr>
        <w:t> </w:t>
      </w:r>
      <w:r>
        <w:rPr>
          <w:vertAlign w:val="baseline"/>
        </w:rPr>
        <w:t>indução</w:t>
      </w:r>
      <w:r>
        <w:rPr>
          <w:spacing w:val="-6"/>
          <w:vertAlign w:val="baseline"/>
        </w:rPr>
        <w:t> </w:t>
      </w:r>
      <w:r>
        <w:rPr>
          <w:vertAlign w:val="baseline"/>
        </w:rPr>
        <w:t>de</w:t>
      </w:r>
      <w:r>
        <w:rPr>
          <w:spacing w:val="-8"/>
          <w:vertAlign w:val="baseline"/>
        </w:rPr>
        <w:t> </w:t>
      </w:r>
      <w:r>
        <w:rPr>
          <w:vertAlign w:val="baseline"/>
        </w:rPr>
        <w:t>angiogênese</w:t>
      </w:r>
      <w:r>
        <w:rPr>
          <w:spacing w:val="-8"/>
          <w:vertAlign w:val="baseline"/>
        </w:rPr>
        <w:t> </w:t>
      </w:r>
      <w:r>
        <w:rPr>
          <w:vertAlign w:val="baseline"/>
        </w:rPr>
        <w:t>em</w:t>
      </w:r>
      <w:r>
        <w:rPr>
          <w:spacing w:val="-6"/>
          <w:vertAlign w:val="baseline"/>
        </w:rPr>
        <w:t> </w:t>
      </w:r>
      <w:r>
        <w:rPr>
          <w:vertAlign w:val="baseline"/>
        </w:rPr>
        <w:t>território</w:t>
      </w:r>
      <w:r>
        <w:rPr>
          <w:spacing w:val="-6"/>
          <w:vertAlign w:val="baseline"/>
        </w:rPr>
        <w:t> </w:t>
      </w:r>
      <w:r>
        <w:rPr>
          <w:vertAlign w:val="baseline"/>
        </w:rPr>
        <w:t>isquêmico</w:t>
      </w:r>
      <w:r>
        <w:rPr>
          <w:spacing w:val="-6"/>
          <w:vertAlign w:val="baseline"/>
        </w:rPr>
        <w:t> </w:t>
      </w:r>
      <w:r>
        <w:rPr>
          <w:vertAlign w:val="baseline"/>
        </w:rPr>
        <w:t>após a</w:t>
      </w:r>
      <w:r>
        <w:rPr>
          <w:spacing w:val="-8"/>
          <w:vertAlign w:val="baseline"/>
        </w:rPr>
        <w:t> </w:t>
      </w:r>
      <w:r>
        <w:rPr>
          <w:vertAlign w:val="baseline"/>
        </w:rPr>
        <w:t>administração</w:t>
      </w:r>
      <w:r>
        <w:rPr>
          <w:spacing w:val="-6"/>
          <w:vertAlign w:val="baseline"/>
        </w:rPr>
        <w:t> </w:t>
      </w:r>
      <w:r>
        <w:rPr>
          <w:vertAlign w:val="baseline"/>
        </w:rPr>
        <w:t>local</w:t>
      </w:r>
      <w:r>
        <w:rPr>
          <w:spacing w:val="-3"/>
          <w:vertAlign w:val="baseline"/>
        </w:rPr>
        <w:t> </w:t>
      </w:r>
      <w:r>
        <w:rPr>
          <w:vertAlign w:val="baseline"/>
        </w:rPr>
        <w:t>de</w:t>
      </w:r>
      <w:r>
        <w:rPr>
          <w:spacing w:val="-8"/>
          <w:vertAlign w:val="baseline"/>
        </w:rPr>
        <w:t> </w:t>
      </w:r>
      <w:r>
        <w:rPr>
          <w:vertAlign w:val="baseline"/>
        </w:rPr>
        <w:t>fatores de crescimento</w:t>
      </w:r>
      <w:r>
        <w:rPr>
          <w:spacing w:val="-11"/>
          <w:vertAlign w:val="baseline"/>
        </w:rPr>
        <w:t> </w:t>
      </w:r>
      <w:r>
        <w:rPr>
          <w:vertAlign w:val="baseline"/>
        </w:rPr>
        <w:t>vascular.</w:t>
      </w:r>
      <w:r>
        <w:rPr>
          <w:vertAlign w:val="superscript"/>
        </w:rPr>
        <w:t>43</w:t>
      </w:r>
      <w:r>
        <w:rPr>
          <w:spacing w:val="-1"/>
          <w:vertAlign w:val="baseline"/>
        </w:rPr>
        <w:t> </w:t>
      </w:r>
      <w:r>
        <w:rPr>
          <w:vertAlign w:val="baseline"/>
        </w:rPr>
        <w:t>No</w:t>
      </w:r>
      <w:r>
        <w:rPr>
          <w:spacing w:val="-8"/>
          <w:vertAlign w:val="baseline"/>
        </w:rPr>
        <w:t> </w:t>
      </w:r>
      <w:r>
        <w:rPr>
          <w:vertAlign w:val="baseline"/>
        </w:rPr>
        <w:t>entanto, a</w:t>
      </w:r>
      <w:r>
        <w:rPr>
          <w:spacing w:val="-10"/>
          <w:vertAlign w:val="baseline"/>
        </w:rPr>
        <w:t> </w:t>
      </w:r>
      <w:r>
        <w:rPr>
          <w:vertAlign w:val="baseline"/>
        </w:rPr>
        <w:t>eficácia</w:t>
      </w:r>
      <w:r>
        <w:rPr>
          <w:spacing w:val="-10"/>
          <w:vertAlign w:val="baseline"/>
        </w:rPr>
        <w:t> </w:t>
      </w:r>
      <w:r>
        <w:rPr>
          <w:vertAlign w:val="baseline"/>
        </w:rPr>
        <w:t>dos fatores angiogênicos em</w:t>
      </w:r>
      <w:r>
        <w:rPr>
          <w:spacing w:val="-8"/>
          <w:vertAlign w:val="baseline"/>
        </w:rPr>
        <w:t> </w:t>
      </w:r>
      <w:r>
        <w:rPr>
          <w:vertAlign w:val="baseline"/>
        </w:rPr>
        <w:t>tecidos normoperfundidos como</w:t>
      </w:r>
      <w:r>
        <w:rPr>
          <w:spacing w:val="-8"/>
          <w:vertAlign w:val="baseline"/>
        </w:rPr>
        <w:t> </w:t>
      </w:r>
      <w:r>
        <w:rPr>
          <w:vertAlign w:val="baseline"/>
        </w:rPr>
        <w:t>medida preventiva de eventual agravo isquêmico era controversa e muitos autores questionavam a possibilidade de crescimento vascular em tecido não isquêmico. Gowdak </w:t>
      </w:r>
      <w:r>
        <w:rPr>
          <w:i/>
          <w:vertAlign w:val="baseline"/>
        </w:rPr>
        <w:t>et al.</w:t>
      </w:r>
      <w:r>
        <w:rPr>
          <w:vertAlign w:val="superscript"/>
        </w:rPr>
        <w:t>44</w:t>
      </w:r>
      <w:r>
        <w:rPr>
          <w:vertAlign w:val="baseline"/>
        </w:rPr>
        <w:t> mostraram que a administração profilática de VEGF previamente à retirada da artéria femoral induz ao crescimento vascular e protege o tecido muscular do agravo isquêmico após a indução de isquemia, preservando a perfusão tecidual. A demonstração de eficácia do VEGF</w:t>
      </w:r>
      <w:r>
        <w:rPr>
          <w:spacing w:val="-6"/>
          <w:vertAlign w:val="baseline"/>
        </w:rPr>
        <w:t> </w:t>
      </w:r>
      <w:r>
        <w:rPr>
          <w:vertAlign w:val="baseline"/>
        </w:rPr>
        <w:t>em</w:t>
      </w:r>
      <w:r>
        <w:rPr>
          <w:spacing w:val="-8"/>
          <w:vertAlign w:val="baseline"/>
        </w:rPr>
        <w:t> </w:t>
      </w:r>
      <w:r>
        <w:rPr>
          <w:vertAlign w:val="baseline"/>
        </w:rPr>
        <w:t>tecido</w:t>
      </w:r>
      <w:r>
        <w:rPr>
          <w:spacing w:val="-8"/>
          <w:vertAlign w:val="baseline"/>
        </w:rPr>
        <w:t> </w:t>
      </w:r>
      <w:r>
        <w:rPr>
          <w:vertAlign w:val="baseline"/>
        </w:rPr>
        <w:t>não</w:t>
      </w:r>
      <w:r>
        <w:rPr>
          <w:spacing w:val="-8"/>
          <w:vertAlign w:val="baseline"/>
        </w:rPr>
        <w:t> </w:t>
      </w:r>
      <w:r>
        <w:rPr>
          <w:vertAlign w:val="baseline"/>
        </w:rPr>
        <w:t>isquêmico</w:t>
      </w:r>
      <w:r>
        <w:rPr>
          <w:spacing w:val="-8"/>
          <w:vertAlign w:val="baseline"/>
        </w:rPr>
        <w:t> </w:t>
      </w:r>
      <w:r>
        <w:rPr>
          <w:vertAlign w:val="baseline"/>
        </w:rPr>
        <w:t>amplia</w:t>
      </w:r>
      <w:r>
        <w:rPr>
          <w:spacing w:val="-11"/>
          <w:vertAlign w:val="baseline"/>
        </w:rPr>
        <w:t> </w:t>
      </w:r>
      <w:r>
        <w:rPr>
          <w:vertAlign w:val="baseline"/>
        </w:rPr>
        <w:t>as</w:t>
      </w:r>
      <w:r>
        <w:rPr>
          <w:spacing w:val="-1"/>
          <w:vertAlign w:val="baseline"/>
        </w:rPr>
        <w:t> </w:t>
      </w:r>
      <w:r>
        <w:rPr>
          <w:vertAlign w:val="baseline"/>
        </w:rPr>
        <w:t>possibilidades</w:t>
      </w:r>
      <w:r>
        <w:rPr>
          <w:spacing w:val="-1"/>
          <w:vertAlign w:val="baseline"/>
        </w:rPr>
        <w:t> </w:t>
      </w:r>
      <w:r>
        <w:rPr>
          <w:vertAlign w:val="baseline"/>
        </w:rPr>
        <w:t>de</w:t>
      </w:r>
      <w:r>
        <w:rPr>
          <w:spacing w:val="-11"/>
          <w:vertAlign w:val="baseline"/>
        </w:rPr>
        <w:t> </w:t>
      </w:r>
      <w:r>
        <w:rPr>
          <w:vertAlign w:val="baseline"/>
        </w:rPr>
        <w:t>uso</w:t>
      </w:r>
      <w:r>
        <w:rPr>
          <w:spacing w:val="-8"/>
          <w:vertAlign w:val="baseline"/>
        </w:rPr>
        <w:t> </w:t>
      </w:r>
      <w:r>
        <w:rPr>
          <w:vertAlign w:val="baseline"/>
        </w:rPr>
        <w:t>da</w:t>
      </w:r>
      <w:r>
        <w:rPr>
          <w:spacing w:val="-11"/>
          <w:vertAlign w:val="baseline"/>
        </w:rPr>
        <w:t> </w:t>
      </w:r>
      <w:r>
        <w:rPr>
          <w:vertAlign w:val="baseline"/>
        </w:rPr>
        <w:t>terapia</w:t>
      </w:r>
      <w:r>
        <w:rPr>
          <w:spacing w:val="-11"/>
          <w:vertAlign w:val="baseline"/>
        </w:rPr>
        <w:t> </w:t>
      </w:r>
      <w:r>
        <w:rPr>
          <w:vertAlign w:val="baseline"/>
        </w:rPr>
        <w:t>gênica</w:t>
      </w:r>
      <w:r>
        <w:rPr>
          <w:spacing w:val="-11"/>
          <w:vertAlign w:val="baseline"/>
        </w:rPr>
        <w:t> </w:t>
      </w:r>
      <w:r>
        <w:rPr>
          <w:vertAlign w:val="baseline"/>
        </w:rPr>
        <w:t>para</w:t>
      </w:r>
      <w:r>
        <w:rPr>
          <w:spacing w:val="-11"/>
          <w:vertAlign w:val="baseline"/>
        </w:rPr>
        <w:t> </w:t>
      </w:r>
      <w:r>
        <w:rPr>
          <w:vertAlign w:val="baseline"/>
        </w:rPr>
        <w:t>aqueles</w:t>
      </w:r>
      <w:r>
        <w:rPr>
          <w:spacing w:val="-1"/>
          <w:vertAlign w:val="baseline"/>
        </w:rPr>
        <w:t> </w:t>
      </w:r>
      <w:r>
        <w:rPr>
          <w:vertAlign w:val="baseline"/>
        </w:rPr>
        <w:t>pacientes</w:t>
      </w:r>
      <w:r>
        <w:rPr>
          <w:spacing w:val="-1"/>
          <w:vertAlign w:val="baseline"/>
        </w:rPr>
        <w:t> </w:t>
      </w:r>
      <w:r>
        <w:rPr>
          <w:vertAlign w:val="baseline"/>
        </w:rPr>
        <w:t>nos</w:t>
      </w:r>
      <w:r>
        <w:rPr>
          <w:spacing w:val="-1"/>
          <w:vertAlign w:val="baseline"/>
        </w:rPr>
        <w:t> </w:t>
      </w:r>
      <w:r>
        <w:rPr>
          <w:vertAlign w:val="baseline"/>
        </w:rPr>
        <w:t>quais</w:t>
      </w:r>
      <w:r>
        <w:rPr>
          <w:spacing w:val="-1"/>
          <w:vertAlign w:val="baseline"/>
        </w:rPr>
        <w:t> </w:t>
      </w:r>
      <w:r>
        <w:rPr>
          <w:vertAlign w:val="baseline"/>
        </w:rPr>
        <w:t>a isquemia periférica é intermitente, manifestada por claudicação aos esforços, nos quais o fluxo sanguíneo é preservado no repouso.</w:t>
      </w:r>
    </w:p>
    <w:p>
      <w:pPr>
        <w:pStyle w:val="BodyText"/>
        <w:spacing w:line="290" w:lineRule="auto" w:before="74"/>
        <w:ind w:right="487"/>
      </w:pPr>
      <w:r>
        <w:rPr/>
        <w:t>Estimulados pelos consecutivos sucessos obtidos em experimentos animais após a administração local de VEGF, Isner</w:t>
      </w:r>
      <w:r>
        <w:rPr>
          <w:spacing w:val="-2"/>
        </w:rPr>
        <w:t> </w:t>
      </w:r>
      <w:r>
        <w:rPr>
          <w:i/>
        </w:rPr>
        <w:t>et</w:t>
      </w:r>
      <w:r>
        <w:rPr>
          <w:i/>
          <w:spacing w:val="-5"/>
        </w:rPr>
        <w:t> </w:t>
      </w:r>
      <w:r>
        <w:rPr>
          <w:i/>
        </w:rPr>
        <w:t>al</w:t>
      </w:r>
      <w:r>
        <w:rPr/>
        <w:t>.</w:t>
      </w:r>
      <w:r>
        <w:rPr>
          <w:vertAlign w:val="superscript"/>
        </w:rPr>
        <w:t>45</w:t>
      </w:r>
      <w:r>
        <w:rPr>
          <w:vertAlign w:val="baseline"/>
        </w:rPr>
        <w:t> publicaram</w:t>
      </w:r>
      <w:r>
        <w:rPr>
          <w:spacing w:val="-7"/>
          <w:vertAlign w:val="baseline"/>
        </w:rPr>
        <w:t> </w:t>
      </w:r>
      <w:r>
        <w:rPr>
          <w:vertAlign w:val="baseline"/>
        </w:rPr>
        <w:t>em</w:t>
      </w:r>
      <w:r>
        <w:rPr>
          <w:spacing w:val="-7"/>
          <w:vertAlign w:val="baseline"/>
        </w:rPr>
        <w:t> </w:t>
      </w:r>
      <w:r>
        <w:rPr>
          <w:vertAlign w:val="baseline"/>
        </w:rPr>
        <w:t>1996</w:t>
      </w:r>
      <w:r>
        <w:rPr>
          <w:spacing w:val="-7"/>
          <w:vertAlign w:val="baseline"/>
        </w:rPr>
        <w:t> </w:t>
      </w:r>
      <w:r>
        <w:rPr>
          <w:vertAlign w:val="baseline"/>
        </w:rPr>
        <w:t>o</w:t>
      </w:r>
      <w:r>
        <w:rPr>
          <w:spacing w:val="-7"/>
          <w:vertAlign w:val="baseline"/>
        </w:rPr>
        <w:t> </w:t>
      </w:r>
      <w:r>
        <w:rPr>
          <w:vertAlign w:val="baseline"/>
        </w:rPr>
        <w:t>primeiro</w:t>
      </w:r>
      <w:r>
        <w:rPr>
          <w:spacing w:val="-7"/>
          <w:vertAlign w:val="baseline"/>
        </w:rPr>
        <w:t> </w:t>
      </w:r>
      <w:r>
        <w:rPr>
          <w:vertAlign w:val="baseline"/>
        </w:rPr>
        <w:t>caso</w:t>
      </w:r>
      <w:r>
        <w:rPr>
          <w:spacing w:val="-7"/>
          <w:vertAlign w:val="baseline"/>
        </w:rPr>
        <w:t> </w:t>
      </w:r>
      <w:r>
        <w:rPr>
          <w:vertAlign w:val="baseline"/>
        </w:rPr>
        <w:t>bem-sucedido</w:t>
      </w:r>
      <w:r>
        <w:rPr>
          <w:spacing w:val="-7"/>
          <w:vertAlign w:val="baseline"/>
        </w:rPr>
        <w:t> </w:t>
      </w:r>
      <w:r>
        <w:rPr>
          <w:vertAlign w:val="baseline"/>
        </w:rPr>
        <w:t>de</w:t>
      </w:r>
      <w:r>
        <w:rPr>
          <w:spacing w:val="-9"/>
          <w:vertAlign w:val="baseline"/>
        </w:rPr>
        <w:t> </w:t>
      </w:r>
      <w:r>
        <w:rPr>
          <w:vertAlign w:val="baseline"/>
        </w:rPr>
        <w:t>angiogênese</w:t>
      </w:r>
      <w:r>
        <w:rPr>
          <w:spacing w:val="-9"/>
          <w:vertAlign w:val="baseline"/>
        </w:rPr>
        <w:t> </w:t>
      </w:r>
      <w:r>
        <w:rPr>
          <w:vertAlign w:val="baseline"/>
        </w:rPr>
        <w:t>induzida</w:t>
      </w:r>
      <w:r>
        <w:rPr>
          <w:spacing w:val="-9"/>
          <w:vertAlign w:val="baseline"/>
        </w:rPr>
        <w:t> </w:t>
      </w:r>
      <w:r>
        <w:rPr>
          <w:vertAlign w:val="baseline"/>
        </w:rPr>
        <w:t>após transferência</w:t>
      </w:r>
    </w:p>
    <w:p>
      <w:pPr>
        <w:pStyle w:val="BodyText"/>
        <w:spacing w:after="0" w:line="290" w:lineRule="auto"/>
        <w:sectPr>
          <w:pgSz w:w="11900" w:h="16840"/>
          <w:pgMar w:top="200" w:bottom="280" w:left="566" w:right="141"/>
        </w:sectPr>
      </w:pPr>
    </w:p>
    <w:p>
      <w:pPr>
        <w:pStyle w:val="BodyText"/>
        <w:spacing w:line="283" w:lineRule="auto" w:before="64"/>
        <w:ind w:right="497" w:firstLine="0"/>
      </w:pPr>
      <w:r>
        <w:rPr/>
        <w:t>gênica de VEGF em paciente com isquemia arterial periférica grave. Dois anos após essa pioneira publicação, Baumgartner </w:t>
      </w:r>
      <w:r>
        <w:rPr>
          <w:i/>
        </w:rPr>
        <w:t>et al</w:t>
      </w:r>
      <w:r>
        <w:rPr/>
        <w:t>.</w:t>
      </w:r>
      <w:r>
        <w:rPr>
          <w:vertAlign w:val="superscript"/>
        </w:rPr>
        <w:t>46</w:t>
      </w:r>
      <w:r>
        <w:rPr>
          <w:vertAlign w:val="baseline"/>
        </w:rPr>
        <w:t> ampliaram a série de pacientes tratados por essa técnica, com resultados igualmente </w:t>
      </w:r>
      <w:r>
        <w:rPr>
          <w:spacing w:val="-2"/>
          <w:vertAlign w:val="baseline"/>
        </w:rPr>
        <w:t>satisfatórios.</w:t>
      </w:r>
    </w:p>
    <w:p>
      <w:pPr>
        <w:pStyle w:val="BodyText"/>
        <w:spacing w:line="278" w:lineRule="auto" w:before="56"/>
        <w:ind w:right="497"/>
      </w:pPr>
      <w:r>
        <w:rPr/>
        <w:t>A despeito dos resultados encorajadores inicialmente obtidos, ensaios clínicos subsequentes, fases 2 e 3, randomizados e controlados por placebo mostraram resultados inconsistentes em termos de benefício, ainda que a segurança</w:t>
      </w:r>
      <w:r>
        <w:rPr>
          <w:spacing w:val="-11"/>
        </w:rPr>
        <w:t> </w:t>
      </w:r>
      <w:r>
        <w:rPr/>
        <w:t>da</w:t>
      </w:r>
      <w:r>
        <w:rPr>
          <w:spacing w:val="-11"/>
        </w:rPr>
        <w:t> </w:t>
      </w:r>
      <w:r>
        <w:rPr/>
        <w:t>técnica</w:t>
      </w:r>
      <w:r>
        <w:rPr>
          <w:spacing w:val="-11"/>
        </w:rPr>
        <w:t> </w:t>
      </w:r>
      <w:r>
        <w:rPr/>
        <w:t>tenha</w:t>
      </w:r>
      <w:r>
        <w:rPr>
          <w:spacing w:val="-11"/>
        </w:rPr>
        <w:t> </w:t>
      </w:r>
      <w:r>
        <w:rPr/>
        <w:t>sido</w:t>
      </w:r>
      <w:r>
        <w:rPr>
          <w:spacing w:val="-8"/>
        </w:rPr>
        <w:t> </w:t>
      </w:r>
      <w:r>
        <w:rPr/>
        <w:t>bem</w:t>
      </w:r>
      <w:r>
        <w:rPr>
          <w:spacing w:val="-8"/>
        </w:rPr>
        <w:t> </w:t>
      </w:r>
      <w:r>
        <w:rPr/>
        <w:t>documentada.</w:t>
      </w:r>
      <w:r>
        <w:rPr>
          <w:spacing w:val="-1"/>
        </w:rPr>
        <w:t> </w:t>
      </w:r>
      <w:r>
        <w:rPr/>
        <w:t>Mäkinen</w:t>
      </w:r>
      <w:r>
        <w:rPr>
          <w:spacing w:val="-8"/>
        </w:rPr>
        <w:t> </w:t>
      </w:r>
      <w:r>
        <w:rPr>
          <w:i/>
        </w:rPr>
        <w:t>et</w:t>
      </w:r>
      <w:r>
        <w:rPr>
          <w:i/>
          <w:spacing w:val="-7"/>
        </w:rPr>
        <w:t> </w:t>
      </w:r>
      <w:r>
        <w:rPr>
          <w:i/>
        </w:rPr>
        <w:t>al</w:t>
      </w:r>
      <w:r>
        <w:rPr/>
        <w:t>.</w:t>
      </w:r>
      <w:r>
        <w:rPr>
          <w:vertAlign w:val="superscript"/>
        </w:rPr>
        <w:t>47</w:t>
      </w:r>
      <w:r>
        <w:rPr>
          <w:vertAlign w:val="baseline"/>
        </w:rPr>
        <w:t> submeteram</w:t>
      </w:r>
      <w:r>
        <w:rPr>
          <w:spacing w:val="-6"/>
          <w:vertAlign w:val="baseline"/>
        </w:rPr>
        <w:t> </w:t>
      </w:r>
      <w:r>
        <w:rPr>
          <w:vertAlign w:val="baseline"/>
        </w:rPr>
        <w:t>pacientes com</w:t>
      </w:r>
      <w:r>
        <w:rPr>
          <w:spacing w:val="-6"/>
          <w:vertAlign w:val="baseline"/>
        </w:rPr>
        <w:t> </w:t>
      </w:r>
      <w:r>
        <w:rPr>
          <w:vertAlign w:val="baseline"/>
        </w:rPr>
        <w:t>isquemia</w:t>
      </w:r>
      <w:r>
        <w:rPr>
          <w:spacing w:val="-8"/>
          <w:vertAlign w:val="baseline"/>
        </w:rPr>
        <w:t> </w:t>
      </w:r>
      <w:r>
        <w:rPr>
          <w:vertAlign w:val="baseline"/>
        </w:rPr>
        <w:t>crítica</w:t>
      </w:r>
      <w:r>
        <w:rPr>
          <w:spacing w:val="-8"/>
          <w:vertAlign w:val="baseline"/>
        </w:rPr>
        <w:t> </w:t>
      </w:r>
      <w:r>
        <w:rPr>
          <w:vertAlign w:val="baseline"/>
        </w:rPr>
        <w:t>dos membros inferiores à</w:t>
      </w:r>
      <w:r>
        <w:rPr>
          <w:spacing w:val="-3"/>
          <w:vertAlign w:val="baseline"/>
        </w:rPr>
        <w:t> </w:t>
      </w:r>
      <w:r>
        <w:rPr>
          <w:vertAlign w:val="baseline"/>
        </w:rPr>
        <w:t>injeção intra-arterial de</w:t>
      </w:r>
      <w:r>
        <w:rPr>
          <w:spacing w:val="-3"/>
          <w:vertAlign w:val="baseline"/>
        </w:rPr>
        <w:t> </w:t>
      </w:r>
      <w:r>
        <w:rPr>
          <w:vertAlign w:val="baseline"/>
        </w:rPr>
        <w:t>VEGF-A165 (vetor viral), plasmídio de</w:t>
      </w:r>
      <w:r>
        <w:rPr>
          <w:spacing w:val="-3"/>
          <w:vertAlign w:val="baseline"/>
        </w:rPr>
        <w:t> </w:t>
      </w:r>
      <w:r>
        <w:rPr>
          <w:vertAlign w:val="baseline"/>
        </w:rPr>
        <w:t>VEGF-A165 (lipossomo) ou solução de lactato de Ringer (controle) durante angioplastia periférica. Notou-se aumento acentuado da vascularização em ambos os grupos tratados com VEGF-A comparativamente ao grupo-controle 3 meses após o procedimento. No entanto, não houve diferença entre os grupos VEGF e controle em parâmetros clínicos, como o índice tornozelo-braço (ITB), salvamento dos membros ou taxas de reestenose. Resultados igualmente frustrantes foram obtidos</w:t>
      </w:r>
      <w:r>
        <w:rPr>
          <w:spacing w:val="18"/>
          <w:vertAlign w:val="baseline"/>
        </w:rPr>
        <w:t> </w:t>
      </w:r>
      <w:r>
        <w:rPr>
          <w:vertAlign w:val="baseline"/>
        </w:rPr>
        <w:t>por</w:t>
      </w:r>
      <w:r>
        <w:rPr>
          <w:spacing w:val="15"/>
          <w:vertAlign w:val="baseline"/>
        </w:rPr>
        <w:t> </w:t>
      </w:r>
      <w:r>
        <w:rPr>
          <w:vertAlign w:val="baseline"/>
        </w:rPr>
        <w:t>outros</w:t>
      </w:r>
      <w:r>
        <w:rPr>
          <w:spacing w:val="18"/>
          <w:vertAlign w:val="baseline"/>
        </w:rPr>
        <w:t> </w:t>
      </w:r>
      <w:r>
        <w:rPr>
          <w:vertAlign w:val="baseline"/>
        </w:rPr>
        <w:t>pesquisadores</w:t>
      </w:r>
      <w:r>
        <w:rPr>
          <w:spacing w:val="18"/>
          <w:vertAlign w:val="baseline"/>
        </w:rPr>
        <w:t> </w:t>
      </w:r>
      <w:r>
        <w:rPr>
          <w:vertAlign w:val="baseline"/>
        </w:rPr>
        <w:t>testando o uso intramuscular</w:t>
      </w:r>
      <w:r>
        <w:rPr>
          <w:spacing w:val="15"/>
          <w:vertAlign w:val="baseline"/>
        </w:rPr>
        <w:t> </w:t>
      </w:r>
      <w:r>
        <w:rPr>
          <w:vertAlign w:val="baseline"/>
        </w:rPr>
        <w:t>de VEGF-A</w:t>
      </w:r>
      <w:r>
        <w:rPr>
          <w:vertAlign w:val="subscript"/>
        </w:rPr>
        <w:t>121</w:t>
      </w:r>
      <w:r>
        <w:rPr>
          <w:vertAlign w:val="baseline"/>
        </w:rPr>
        <w:t>,</w:t>
      </w:r>
      <w:r>
        <w:rPr>
          <w:spacing w:val="16"/>
          <w:vertAlign w:val="baseline"/>
        </w:rPr>
        <w:t> </w:t>
      </w:r>
      <w:r>
        <w:rPr>
          <w:vertAlign w:val="baseline"/>
        </w:rPr>
        <w:t>valendo-se de vetor viral no</w:t>
      </w:r>
    </w:p>
    <w:p>
      <w:pPr>
        <w:pStyle w:val="BodyText"/>
        <w:spacing w:line="280" w:lineRule="auto" w:before="26"/>
        <w:ind w:right="500" w:firstLine="0"/>
      </w:pPr>
      <w:r>
        <w:rPr/>
        <w:t>tratamento da claudicação intermitente unilateral</w:t>
      </w:r>
      <w:r>
        <w:rPr>
          <w:vertAlign w:val="superscript"/>
        </w:rPr>
        <w:t>48</w:t>
      </w:r>
      <w:r>
        <w:rPr>
          <w:vertAlign w:val="baseline"/>
        </w:rPr>
        <w:t> ou em pacientes diabéticos com isquemia crítica dos membros inferiores.</w:t>
      </w:r>
      <w:r>
        <w:rPr>
          <w:vertAlign w:val="superscript"/>
        </w:rPr>
        <w:t>49</w:t>
      </w:r>
      <w:r>
        <w:rPr>
          <w:vertAlign w:val="baseline"/>
        </w:rPr>
        <w:t> O tratamento da doença arterial periférica por terapia gênica ilustra a dificuldade em se reproduzirem, em</w:t>
      </w:r>
      <w:r>
        <w:rPr>
          <w:spacing w:val="-9"/>
          <w:vertAlign w:val="baseline"/>
        </w:rPr>
        <w:t> </w:t>
      </w:r>
      <w:r>
        <w:rPr>
          <w:vertAlign w:val="baseline"/>
        </w:rPr>
        <w:t>ensaios</w:t>
      </w:r>
      <w:r>
        <w:rPr>
          <w:spacing w:val="-2"/>
          <w:vertAlign w:val="baseline"/>
        </w:rPr>
        <w:t> </w:t>
      </w:r>
      <w:r>
        <w:rPr>
          <w:vertAlign w:val="baseline"/>
        </w:rPr>
        <w:t>clínicos</w:t>
      </w:r>
      <w:r>
        <w:rPr>
          <w:spacing w:val="-2"/>
          <w:vertAlign w:val="baseline"/>
        </w:rPr>
        <w:t> </w:t>
      </w:r>
      <w:r>
        <w:rPr>
          <w:vertAlign w:val="baseline"/>
        </w:rPr>
        <w:t>randomizados</w:t>
      </w:r>
      <w:r>
        <w:rPr>
          <w:spacing w:val="-2"/>
          <w:vertAlign w:val="baseline"/>
        </w:rPr>
        <w:t> </w:t>
      </w:r>
      <w:r>
        <w:rPr>
          <w:vertAlign w:val="baseline"/>
        </w:rPr>
        <w:t>e</w:t>
      </w:r>
      <w:r>
        <w:rPr>
          <w:spacing w:val="-11"/>
          <w:vertAlign w:val="baseline"/>
        </w:rPr>
        <w:t> </w:t>
      </w:r>
      <w:r>
        <w:rPr>
          <w:vertAlign w:val="baseline"/>
        </w:rPr>
        <w:t>controlados</w:t>
      </w:r>
      <w:r>
        <w:rPr>
          <w:spacing w:val="-2"/>
          <w:vertAlign w:val="baseline"/>
        </w:rPr>
        <w:t> </w:t>
      </w:r>
      <w:r>
        <w:rPr>
          <w:vertAlign w:val="baseline"/>
        </w:rPr>
        <w:t>por</w:t>
      </w:r>
      <w:r>
        <w:rPr>
          <w:spacing w:val="-4"/>
          <w:vertAlign w:val="baseline"/>
        </w:rPr>
        <w:t> </w:t>
      </w:r>
      <w:r>
        <w:rPr>
          <w:vertAlign w:val="baseline"/>
        </w:rPr>
        <w:t>placebo,</w:t>
      </w:r>
      <w:r>
        <w:rPr>
          <w:spacing w:val="-2"/>
          <w:vertAlign w:val="baseline"/>
        </w:rPr>
        <w:t> </w:t>
      </w:r>
      <w:r>
        <w:rPr>
          <w:vertAlign w:val="baseline"/>
        </w:rPr>
        <w:t>aqueles</w:t>
      </w:r>
      <w:r>
        <w:rPr>
          <w:spacing w:val="-2"/>
          <w:vertAlign w:val="baseline"/>
        </w:rPr>
        <w:t> </w:t>
      </w:r>
      <w:r>
        <w:rPr>
          <w:vertAlign w:val="baseline"/>
        </w:rPr>
        <w:t>efeitos</w:t>
      </w:r>
      <w:r>
        <w:rPr>
          <w:spacing w:val="-2"/>
          <w:vertAlign w:val="baseline"/>
        </w:rPr>
        <w:t> </w:t>
      </w:r>
      <w:r>
        <w:rPr>
          <w:vertAlign w:val="baseline"/>
        </w:rPr>
        <w:t>positivos</w:t>
      </w:r>
      <w:r>
        <w:rPr>
          <w:spacing w:val="-2"/>
          <w:vertAlign w:val="baseline"/>
        </w:rPr>
        <w:t> </w:t>
      </w:r>
      <w:r>
        <w:rPr>
          <w:vertAlign w:val="baseline"/>
        </w:rPr>
        <w:t>inicialmente</w:t>
      </w:r>
      <w:r>
        <w:rPr>
          <w:spacing w:val="-11"/>
          <w:vertAlign w:val="baseline"/>
        </w:rPr>
        <w:t> </w:t>
      </w:r>
      <w:r>
        <w:rPr>
          <w:vertAlign w:val="baseline"/>
        </w:rPr>
        <w:t>encontrados</w:t>
      </w:r>
      <w:r>
        <w:rPr>
          <w:spacing w:val="-2"/>
          <w:vertAlign w:val="baseline"/>
        </w:rPr>
        <w:t> </w:t>
      </w:r>
      <w:r>
        <w:rPr>
          <w:vertAlign w:val="baseline"/>
        </w:rPr>
        <w:t>em modelos animais e</w:t>
      </w:r>
      <w:r>
        <w:rPr>
          <w:spacing w:val="-5"/>
          <w:vertAlign w:val="baseline"/>
        </w:rPr>
        <w:t> </w:t>
      </w:r>
      <w:r>
        <w:rPr>
          <w:vertAlign w:val="baseline"/>
        </w:rPr>
        <w:t>em</w:t>
      </w:r>
      <w:r>
        <w:rPr>
          <w:spacing w:val="-3"/>
          <w:vertAlign w:val="baseline"/>
        </w:rPr>
        <w:t> </w:t>
      </w:r>
      <w:r>
        <w:rPr>
          <w:vertAlign w:val="baseline"/>
        </w:rPr>
        <w:t>ensaios clínicos de</w:t>
      </w:r>
      <w:r>
        <w:rPr>
          <w:spacing w:val="-5"/>
          <w:vertAlign w:val="baseline"/>
        </w:rPr>
        <w:t> </w:t>
      </w:r>
      <w:r>
        <w:rPr>
          <w:vertAlign w:val="baseline"/>
        </w:rPr>
        <w:t>fase</w:t>
      </w:r>
      <w:r>
        <w:rPr>
          <w:spacing w:val="-5"/>
          <w:vertAlign w:val="baseline"/>
        </w:rPr>
        <w:t> </w:t>
      </w:r>
      <w:r>
        <w:rPr>
          <w:vertAlign w:val="baseline"/>
        </w:rPr>
        <w:t>1, sugerindo</w:t>
      </w:r>
      <w:r>
        <w:rPr>
          <w:spacing w:val="-3"/>
          <w:vertAlign w:val="baseline"/>
        </w:rPr>
        <w:t> </w:t>
      </w:r>
      <w:r>
        <w:rPr>
          <w:vertAlign w:val="baseline"/>
        </w:rPr>
        <w:t>que</w:t>
      </w:r>
      <w:r>
        <w:rPr>
          <w:spacing w:val="-5"/>
          <w:vertAlign w:val="baseline"/>
        </w:rPr>
        <w:t> </w:t>
      </w:r>
      <w:r>
        <w:rPr>
          <w:vertAlign w:val="baseline"/>
        </w:rPr>
        <w:t>recapitular por meio</w:t>
      </w:r>
      <w:r>
        <w:rPr>
          <w:spacing w:val="-3"/>
          <w:vertAlign w:val="baseline"/>
        </w:rPr>
        <w:t> </w:t>
      </w:r>
      <w:r>
        <w:rPr>
          <w:vertAlign w:val="baseline"/>
        </w:rPr>
        <w:t>da</w:t>
      </w:r>
      <w:r>
        <w:rPr>
          <w:spacing w:val="-5"/>
          <w:vertAlign w:val="baseline"/>
        </w:rPr>
        <w:t> </w:t>
      </w:r>
      <w:r>
        <w:rPr>
          <w:vertAlign w:val="baseline"/>
        </w:rPr>
        <w:t>administração</w:t>
      </w:r>
      <w:r>
        <w:rPr>
          <w:spacing w:val="-3"/>
          <w:vertAlign w:val="baseline"/>
        </w:rPr>
        <w:t> </w:t>
      </w:r>
      <w:r>
        <w:rPr>
          <w:vertAlign w:val="baseline"/>
        </w:rPr>
        <w:t>de</w:t>
      </w:r>
      <w:r>
        <w:rPr>
          <w:spacing w:val="-5"/>
          <w:vertAlign w:val="baseline"/>
        </w:rPr>
        <w:t> </w:t>
      </w:r>
      <w:r>
        <w:rPr>
          <w:vertAlign w:val="baseline"/>
        </w:rPr>
        <w:t>um</w:t>
      </w:r>
      <w:r>
        <w:rPr>
          <w:spacing w:val="-3"/>
          <w:vertAlign w:val="baseline"/>
        </w:rPr>
        <w:t> </w:t>
      </w:r>
      <w:r>
        <w:rPr>
          <w:vertAlign w:val="baseline"/>
        </w:rPr>
        <w:t>único fator de crescimento o complexo processo de crescimento vascular é tarefa desafiadora e, certamente, ainda não </w:t>
      </w:r>
      <w:r>
        <w:rPr>
          <w:spacing w:val="-2"/>
          <w:vertAlign w:val="baseline"/>
        </w:rPr>
        <w:t>bem-sucedida.</w:t>
      </w:r>
      <w:r>
        <w:rPr>
          <w:spacing w:val="-2"/>
          <w:vertAlign w:val="superscript"/>
        </w:rPr>
        <w:t>50</w:t>
      </w:r>
    </w:p>
    <w:p>
      <w:pPr>
        <w:pStyle w:val="BodyText"/>
        <w:spacing w:before="134"/>
        <w:ind w:left="0" w:firstLine="0"/>
        <w:jc w:val="left"/>
      </w:pPr>
    </w:p>
    <w:p>
      <w:pPr>
        <w:pStyle w:val="Heading5"/>
        <w:jc w:val="both"/>
      </w:pPr>
      <w:r>
        <w:rPr>
          <w:color w:val="A26108"/>
        </w:rPr>
        <w:t>Doença</w:t>
      </w:r>
      <w:r>
        <w:rPr>
          <w:color w:val="A26108"/>
          <w:spacing w:val="22"/>
        </w:rPr>
        <w:t> </w:t>
      </w:r>
      <w:r>
        <w:rPr>
          <w:color w:val="A26108"/>
        </w:rPr>
        <w:t>arterial</w:t>
      </w:r>
      <w:r>
        <w:rPr>
          <w:color w:val="A26108"/>
          <w:spacing w:val="23"/>
        </w:rPr>
        <w:t> </w:t>
      </w:r>
      <w:r>
        <w:rPr>
          <w:color w:val="A26108"/>
          <w:spacing w:val="-2"/>
        </w:rPr>
        <w:t>coronariana</w:t>
      </w:r>
    </w:p>
    <w:p>
      <w:pPr>
        <w:pStyle w:val="BodyText"/>
        <w:spacing w:line="280" w:lineRule="auto" w:before="139"/>
        <w:ind w:right="490"/>
      </w:pPr>
      <w:r>
        <w:rPr/>
        <w:t>Em 1998, Losordo </w:t>
      </w:r>
      <w:r>
        <w:rPr>
          <w:i/>
        </w:rPr>
        <w:t>et al</w:t>
      </w:r>
      <w:r>
        <w:rPr/>
        <w:t>.</w:t>
      </w:r>
      <w:r>
        <w:rPr>
          <w:vertAlign w:val="superscript"/>
        </w:rPr>
        <w:t>51</w:t>
      </w:r>
      <w:r>
        <w:rPr>
          <w:vertAlign w:val="baseline"/>
        </w:rPr>
        <w:t> publicaram os resultados iniciais da transferência gênica do VEGF</w:t>
      </w:r>
      <w:r>
        <w:rPr>
          <w:vertAlign w:val="subscript"/>
        </w:rPr>
        <w:t>165</w:t>
      </w:r>
      <w:r>
        <w:rPr>
          <w:vertAlign w:val="baseline"/>
        </w:rPr>
        <w:t> por injeção intramiocárdica direta em cinco pacientes portadores de angina refratária. Durante o seguimento de 60 dias após o procedimento, os autores relataram diminuição significativa dos episódios de angina (avaliada pelo consumo semanal de nitrato SL), aumento do número de segmentos miocárdicos normalmente perfundidos (avaliado pela tomografia computadorizada com emissão de fóton único – SPECT [</w:t>
      </w:r>
      <w:r>
        <w:rPr>
          <w:i/>
          <w:vertAlign w:val="baseline"/>
        </w:rPr>
        <w:t>single photon emission computed tomography</w:t>
      </w:r>
      <w:r>
        <w:rPr>
          <w:vertAlign w:val="baseline"/>
        </w:rPr>
        <w:t>]-sestamibi) e aumento do escore de Rentrop (número de colaterais) em todos os pacientes. Symes </w:t>
      </w:r>
      <w:r>
        <w:rPr>
          <w:i/>
          <w:vertAlign w:val="baseline"/>
        </w:rPr>
        <w:t>et al</w:t>
      </w:r>
      <w:r>
        <w:rPr>
          <w:vertAlign w:val="baseline"/>
        </w:rPr>
        <w:t>.,</w:t>
      </w:r>
      <w:r>
        <w:rPr>
          <w:vertAlign w:val="superscript"/>
        </w:rPr>
        <w:t>52</w:t>
      </w:r>
      <w:r>
        <w:rPr>
          <w:vertAlign w:val="baseline"/>
        </w:rPr>
        <w:t> valendo-se da mesma estratégia terapêutica, confirmaram os achados iniciais de redução de isquemia em 20 pacientes portadores de doença arterial coronariana (DAC) considerada “inoperável”, tanto subjetiva (redução de angina) quanto objetivamente</w:t>
      </w:r>
      <w:r>
        <w:rPr>
          <w:spacing w:val="-3"/>
          <w:vertAlign w:val="baseline"/>
        </w:rPr>
        <w:t> </w:t>
      </w:r>
      <w:r>
        <w:rPr>
          <w:vertAlign w:val="baseline"/>
        </w:rPr>
        <w:t>(diminuição de</w:t>
      </w:r>
      <w:r>
        <w:rPr>
          <w:spacing w:val="-3"/>
          <w:vertAlign w:val="baseline"/>
        </w:rPr>
        <w:t> </w:t>
      </w:r>
      <w:r>
        <w:rPr>
          <w:vertAlign w:val="baseline"/>
        </w:rPr>
        <w:t>defeitos de</w:t>
      </w:r>
      <w:r>
        <w:rPr>
          <w:spacing w:val="-3"/>
          <w:vertAlign w:val="baseline"/>
        </w:rPr>
        <w:t> </w:t>
      </w:r>
      <w:r>
        <w:rPr>
          <w:vertAlign w:val="baseline"/>
        </w:rPr>
        <w:t>perfusão/aumento de</w:t>
      </w:r>
      <w:r>
        <w:rPr>
          <w:spacing w:val="-3"/>
          <w:vertAlign w:val="baseline"/>
        </w:rPr>
        <w:t> </w:t>
      </w:r>
      <w:r>
        <w:rPr>
          <w:vertAlign w:val="baseline"/>
        </w:rPr>
        <w:t>colaterais).</w:t>
      </w:r>
    </w:p>
    <w:p>
      <w:pPr>
        <w:pStyle w:val="BodyText"/>
        <w:spacing w:line="283" w:lineRule="auto"/>
        <w:ind w:right="488"/>
      </w:pPr>
      <w:r>
        <w:rPr/>
        <w:t>Paralelamente, Rosengart </w:t>
      </w:r>
      <w:r>
        <w:rPr>
          <w:i/>
        </w:rPr>
        <w:t>et al</w:t>
      </w:r>
      <w:r>
        <w:rPr/>
        <w:t>.</w:t>
      </w:r>
      <w:r>
        <w:rPr>
          <w:vertAlign w:val="superscript"/>
        </w:rPr>
        <w:t>53</w:t>
      </w:r>
      <w:r>
        <w:rPr>
          <w:vertAlign w:val="baseline"/>
        </w:rPr>
        <w:t> testaram os efeitos da administração intramiocárdica direta de um fator de crescimento (VEGF</w:t>
      </w:r>
      <w:r>
        <w:rPr>
          <w:vertAlign w:val="subscript"/>
        </w:rPr>
        <w:t>121</w:t>
      </w:r>
      <w:r>
        <w:rPr>
          <w:vertAlign w:val="baseline"/>
        </w:rPr>
        <w:t>) carreado por vetor viral (adenovírus modificado) a 21 pacientes portadores de DAC crônica, seja associada à cirurgia de revascularização miocárdica (n = 15), ou isoladamente via minitoracotomia (n</w:t>
      </w:r>
    </w:p>
    <w:p>
      <w:pPr>
        <w:pStyle w:val="BodyText"/>
        <w:spacing w:line="276" w:lineRule="auto" w:before="0"/>
        <w:ind w:right="500" w:firstLine="0"/>
      </w:pPr>
      <w:r>
        <w:rPr/>
        <w:t>= 6). Novamente aqui, todos os pacientes relataram melhora na sintomatologia e em quatro dos seis pacientes tratados apenas com</w:t>
      </w:r>
      <w:r>
        <w:rPr>
          <w:spacing w:val="-5"/>
        </w:rPr>
        <w:t> </w:t>
      </w:r>
      <w:r>
        <w:rPr/>
        <w:t>o</w:t>
      </w:r>
      <w:r>
        <w:rPr>
          <w:spacing w:val="-5"/>
        </w:rPr>
        <w:t> </w:t>
      </w:r>
      <w:r>
        <w:rPr/>
        <w:t>fator de</w:t>
      </w:r>
      <w:r>
        <w:rPr>
          <w:spacing w:val="-7"/>
        </w:rPr>
        <w:t> </w:t>
      </w:r>
      <w:r>
        <w:rPr/>
        <w:t>crescimento, houve</w:t>
      </w:r>
      <w:r>
        <w:rPr>
          <w:spacing w:val="-7"/>
        </w:rPr>
        <w:t> </w:t>
      </w:r>
      <w:r>
        <w:rPr/>
        <w:t>diminuição</w:t>
      </w:r>
      <w:r>
        <w:rPr>
          <w:spacing w:val="-5"/>
        </w:rPr>
        <w:t> </w:t>
      </w:r>
      <w:r>
        <w:rPr/>
        <w:t>dos defeitos de</w:t>
      </w:r>
      <w:r>
        <w:rPr>
          <w:spacing w:val="-7"/>
        </w:rPr>
        <w:t> </w:t>
      </w:r>
      <w:r>
        <w:rPr/>
        <w:t>perfusão</w:t>
      </w:r>
      <w:r>
        <w:rPr>
          <w:spacing w:val="-5"/>
        </w:rPr>
        <w:t> </w:t>
      </w:r>
      <w:r>
        <w:rPr/>
        <w:t>durante</w:t>
      </w:r>
      <w:r>
        <w:rPr>
          <w:spacing w:val="-7"/>
        </w:rPr>
        <w:t> </w:t>
      </w:r>
      <w:r>
        <w:rPr/>
        <w:t>o</w:t>
      </w:r>
      <w:r>
        <w:rPr>
          <w:spacing w:val="-5"/>
        </w:rPr>
        <w:t> </w:t>
      </w:r>
      <w:r>
        <w:rPr/>
        <w:t>seguimento</w:t>
      </w:r>
      <w:r>
        <w:rPr>
          <w:spacing w:val="-5"/>
        </w:rPr>
        <w:t> </w:t>
      </w:r>
      <w:r>
        <w:rPr/>
        <w:t>de</w:t>
      </w:r>
      <w:r>
        <w:rPr>
          <w:spacing w:val="-7"/>
        </w:rPr>
        <w:t> </w:t>
      </w:r>
      <w:r>
        <w:rPr/>
        <w:t>30 dias. Não foram observados efeitos adversos relacionados com o procedimento.</w:t>
      </w:r>
    </w:p>
    <w:p>
      <w:pPr>
        <w:pStyle w:val="BodyText"/>
        <w:spacing w:line="276" w:lineRule="auto" w:before="58"/>
        <w:ind w:right="491"/>
      </w:pPr>
      <w:r>
        <w:rPr/>
        <w:t>Em outro estudo,</w:t>
      </w:r>
      <w:r>
        <w:rPr>
          <w:vertAlign w:val="superscript"/>
        </w:rPr>
        <w:t>54</w:t>
      </w:r>
      <w:r>
        <w:rPr>
          <w:vertAlign w:val="baseline"/>
        </w:rPr>
        <w:t> controlado por placebo, randomizado e duplo-cego, doses crescentes de VEGF foram administradas por via intramiocárdica através de um cateter de mapeamento eletromecânico (sistema NOGA) a 19 pacientes portadores de DAC crônica estável não candidatos à revascularização miocárdica. Não houve intercorrências durante o procedimento. Avaliação realizada 12 semanas após o procedimento mostrou redução significativa da classe funcional de angina (CCS) e tendência de aumento na duração do exercício, melhora funcional $ 2 classes funcionais da CCS e do Questionário de Angina de Seattle.</w:t>
      </w:r>
    </w:p>
    <w:p>
      <w:pPr>
        <w:pStyle w:val="BodyText"/>
        <w:spacing w:line="278" w:lineRule="auto"/>
        <w:ind w:right="491"/>
      </w:pPr>
      <w:r>
        <w:rPr/>
        <w:t>Mais recentemente, o primeiro estudo multicêntrico, randomizado, duplo-cego, controlado por placebo em angiogênese terapêutica foi publicado. O Angiogenic Gene Therapy (AGENT) Trial</w:t>
      </w:r>
      <w:r>
        <w:rPr>
          <w:vertAlign w:val="superscript"/>
        </w:rPr>
        <w:t>55</w:t>
      </w:r>
      <w:r>
        <w:rPr>
          <w:vertAlign w:val="baseline"/>
        </w:rPr>
        <w:t> incluiu 79 pacientes portadores de DAC sintomática para receberem uma de cinco doses crescentes de Ad5-FGF4 ou placebo, administrado</w:t>
      </w:r>
      <w:r>
        <w:rPr>
          <w:spacing w:val="-11"/>
          <w:vertAlign w:val="baseline"/>
        </w:rPr>
        <w:t> </w:t>
      </w:r>
      <w:r>
        <w:rPr>
          <w:vertAlign w:val="baseline"/>
        </w:rPr>
        <w:t>via</w:t>
      </w:r>
      <w:r>
        <w:rPr>
          <w:spacing w:val="-13"/>
          <w:vertAlign w:val="baseline"/>
        </w:rPr>
        <w:t> </w:t>
      </w:r>
      <w:r>
        <w:rPr>
          <w:vertAlign w:val="baseline"/>
        </w:rPr>
        <w:t>intracoronariana</w:t>
      </w:r>
      <w:r>
        <w:rPr>
          <w:spacing w:val="-13"/>
          <w:vertAlign w:val="baseline"/>
        </w:rPr>
        <w:t> </w:t>
      </w:r>
      <w:r>
        <w:rPr>
          <w:vertAlign w:val="baseline"/>
        </w:rPr>
        <w:t>por</w:t>
      </w:r>
      <w:r>
        <w:rPr>
          <w:spacing w:val="-6"/>
          <w:vertAlign w:val="baseline"/>
        </w:rPr>
        <w:t> </w:t>
      </w:r>
      <w:r>
        <w:rPr>
          <w:vertAlign w:val="baseline"/>
        </w:rPr>
        <w:t>cateteres</w:t>
      </w:r>
      <w:r>
        <w:rPr>
          <w:spacing w:val="-4"/>
          <w:vertAlign w:val="baseline"/>
        </w:rPr>
        <w:t> </w:t>
      </w:r>
      <w:r>
        <w:rPr>
          <w:vertAlign w:val="baseline"/>
        </w:rPr>
        <w:t>subseletivos.</w:t>
      </w:r>
      <w:r>
        <w:rPr>
          <w:spacing w:val="-4"/>
          <w:vertAlign w:val="baseline"/>
        </w:rPr>
        <w:t> </w:t>
      </w:r>
      <w:r>
        <w:rPr>
          <w:vertAlign w:val="baseline"/>
        </w:rPr>
        <w:t>Embora</w:t>
      </w:r>
      <w:r>
        <w:rPr>
          <w:spacing w:val="-13"/>
          <w:vertAlign w:val="baseline"/>
        </w:rPr>
        <w:t> </w:t>
      </w:r>
      <w:r>
        <w:rPr>
          <w:vertAlign w:val="baseline"/>
        </w:rPr>
        <w:t>a</w:t>
      </w:r>
      <w:r>
        <w:rPr>
          <w:spacing w:val="-13"/>
          <w:vertAlign w:val="baseline"/>
        </w:rPr>
        <w:t> </w:t>
      </w:r>
      <w:r>
        <w:rPr>
          <w:vertAlign w:val="baseline"/>
        </w:rPr>
        <w:t>análise</w:t>
      </w:r>
      <w:r>
        <w:rPr>
          <w:spacing w:val="-13"/>
          <w:vertAlign w:val="baseline"/>
        </w:rPr>
        <w:t> </w:t>
      </w:r>
      <w:r>
        <w:rPr>
          <w:vertAlign w:val="baseline"/>
        </w:rPr>
        <w:t>de</w:t>
      </w:r>
      <w:r>
        <w:rPr>
          <w:spacing w:val="-13"/>
          <w:vertAlign w:val="baseline"/>
        </w:rPr>
        <w:t> </w:t>
      </w:r>
      <w:r>
        <w:rPr>
          <w:vertAlign w:val="baseline"/>
        </w:rPr>
        <w:t>eficácia</w:t>
      </w:r>
      <w:r>
        <w:rPr>
          <w:spacing w:val="-13"/>
          <w:vertAlign w:val="baseline"/>
        </w:rPr>
        <w:t> </w:t>
      </w:r>
      <w:r>
        <w:rPr>
          <w:vertAlign w:val="baseline"/>
        </w:rPr>
        <w:t>terapêutica,</w:t>
      </w:r>
      <w:r>
        <w:rPr>
          <w:spacing w:val="-4"/>
          <w:vertAlign w:val="baseline"/>
        </w:rPr>
        <w:t> </w:t>
      </w:r>
      <w:r>
        <w:rPr>
          <w:vertAlign w:val="baseline"/>
        </w:rPr>
        <w:t>valendo-se</w:t>
      </w:r>
      <w:r>
        <w:rPr>
          <w:spacing w:val="-13"/>
          <w:vertAlign w:val="baseline"/>
        </w:rPr>
        <w:t> </w:t>
      </w:r>
      <w:r>
        <w:rPr>
          <w:vertAlign w:val="baseline"/>
        </w:rPr>
        <w:t>do teste ergométrico, não tenha mostrado diferença entre os grupos, a análise do subgrupo com maior limitação funcional inicial revelou benefício da terapia gênica em aumentar a tolerância ao exercício. Esses dados foram considerados com cautela em função do pequeno número de pacientes incluídos nos estudos. De fato, estudos subsequentes, como o AGENT-3 e o AGENT-4,</w:t>
      </w:r>
      <w:r>
        <w:rPr>
          <w:vertAlign w:val="superscript"/>
        </w:rPr>
        <w:t>56</w:t>
      </w:r>
      <w:r>
        <w:rPr>
          <w:vertAlign w:val="baseline"/>
        </w:rPr>
        <w:t> envolvendo mais de 500 pacientes em diversos países, não replicaram</w:t>
      </w:r>
      <w:r>
        <w:rPr>
          <w:spacing w:val="-5"/>
          <w:vertAlign w:val="baseline"/>
        </w:rPr>
        <w:t> </w:t>
      </w:r>
      <w:r>
        <w:rPr>
          <w:vertAlign w:val="baseline"/>
        </w:rPr>
        <w:t>os resultados inicialmente</w:t>
      </w:r>
      <w:r>
        <w:rPr>
          <w:spacing w:val="-7"/>
          <w:vertAlign w:val="baseline"/>
        </w:rPr>
        <w:t> </w:t>
      </w:r>
      <w:r>
        <w:rPr>
          <w:vertAlign w:val="baseline"/>
        </w:rPr>
        <w:t>obtidos de</w:t>
      </w:r>
      <w:r>
        <w:rPr>
          <w:spacing w:val="-7"/>
          <w:vertAlign w:val="baseline"/>
        </w:rPr>
        <w:t> </w:t>
      </w:r>
      <w:r>
        <w:rPr>
          <w:vertAlign w:val="baseline"/>
        </w:rPr>
        <w:t>aumento</w:t>
      </w:r>
      <w:r>
        <w:rPr>
          <w:spacing w:val="-5"/>
          <w:vertAlign w:val="baseline"/>
        </w:rPr>
        <w:t> </w:t>
      </w:r>
      <w:r>
        <w:rPr>
          <w:vertAlign w:val="baseline"/>
        </w:rPr>
        <w:t>da</w:t>
      </w:r>
      <w:r>
        <w:rPr>
          <w:spacing w:val="-7"/>
          <w:vertAlign w:val="baseline"/>
        </w:rPr>
        <w:t> </w:t>
      </w:r>
      <w:r>
        <w:rPr>
          <w:vertAlign w:val="baseline"/>
        </w:rPr>
        <w:t>tolerância</w:t>
      </w:r>
      <w:r>
        <w:rPr>
          <w:spacing w:val="-7"/>
          <w:vertAlign w:val="baseline"/>
        </w:rPr>
        <w:t> </w:t>
      </w:r>
      <w:r>
        <w:rPr>
          <w:vertAlign w:val="baseline"/>
        </w:rPr>
        <w:t>ao</w:t>
      </w:r>
      <w:r>
        <w:rPr>
          <w:spacing w:val="-5"/>
          <w:vertAlign w:val="baseline"/>
        </w:rPr>
        <w:t> </w:t>
      </w:r>
      <w:r>
        <w:rPr>
          <w:vertAlign w:val="baseline"/>
        </w:rPr>
        <w:t>esforço</w:t>
      </w:r>
      <w:r>
        <w:rPr>
          <w:spacing w:val="-5"/>
          <w:vertAlign w:val="baseline"/>
        </w:rPr>
        <w:t> </w:t>
      </w:r>
      <w:r>
        <w:rPr>
          <w:vertAlign w:val="baseline"/>
        </w:rPr>
        <w:t>após administração</w:t>
      </w:r>
      <w:r>
        <w:rPr>
          <w:spacing w:val="-5"/>
          <w:vertAlign w:val="baseline"/>
        </w:rPr>
        <w:t> </w:t>
      </w:r>
      <w:r>
        <w:rPr>
          <w:vertAlign w:val="baseline"/>
        </w:rPr>
        <w:t>de</w:t>
      </w:r>
      <w:r>
        <w:rPr>
          <w:spacing w:val="-7"/>
          <w:vertAlign w:val="baseline"/>
        </w:rPr>
        <w:t> </w:t>
      </w:r>
      <w:r>
        <w:rPr>
          <w:vertAlign w:val="baseline"/>
        </w:rPr>
        <w:t>FGF4, em pacientes</w:t>
      </w:r>
      <w:r>
        <w:rPr>
          <w:spacing w:val="29"/>
          <w:vertAlign w:val="baseline"/>
        </w:rPr>
        <w:t> </w:t>
      </w:r>
      <w:r>
        <w:rPr>
          <w:vertAlign w:val="baseline"/>
        </w:rPr>
        <w:t>com</w:t>
      </w:r>
      <w:r>
        <w:rPr>
          <w:spacing w:val="20"/>
          <w:vertAlign w:val="baseline"/>
        </w:rPr>
        <w:t> </w:t>
      </w:r>
      <w:r>
        <w:rPr>
          <w:vertAlign w:val="baseline"/>
        </w:rPr>
        <w:t>angina</w:t>
      </w:r>
      <w:r>
        <w:rPr>
          <w:spacing w:val="18"/>
          <w:vertAlign w:val="baseline"/>
        </w:rPr>
        <w:t> </w:t>
      </w:r>
      <w:r>
        <w:rPr>
          <w:vertAlign w:val="baseline"/>
        </w:rPr>
        <w:t>estável,</w:t>
      </w:r>
      <w:r>
        <w:rPr>
          <w:spacing w:val="29"/>
          <w:vertAlign w:val="baseline"/>
        </w:rPr>
        <w:t> </w:t>
      </w:r>
      <w:r>
        <w:rPr>
          <w:vertAlign w:val="baseline"/>
        </w:rPr>
        <w:t>e</w:t>
      </w:r>
      <w:r>
        <w:rPr>
          <w:spacing w:val="18"/>
          <w:vertAlign w:val="baseline"/>
        </w:rPr>
        <w:t> </w:t>
      </w:r>
      <w:r>
        <w:rPr>
          <w:vertAlign w:val="baseline"/>
        </w:rPr>
        <w:t>foram</w:t>
      </w:r>
      <w:r>
        <w:rPr>
          <w:spacing w:val="20"/>
          <w:vertAlign w:val="baseline"/>
        </w:rPr>
        <w:t> </w:t>
      </w:r>
      <w:r>
        <w:rPr>
          <w:vertAlign w:val="baseline"/>
        </w:rPr>
        <w:t>precocemente</w:t>
      </w:r>
      <w:r>
        <w:rPr>
          <w:spacing w:val="18"/>
          <w:vertAlign w:val="baseline"/>
        </w:rPr>
        <w:t> </w:t>
      </w:r>
      <w:r>
        <w:rPr>
          <w:vertAlign w:val="baseline"/>
        </w:rPr>
        <w:t>interrompidos.</w:t>
      </w:r>
      <w:r>
        <w:rPr>
          <w:spacing w:val="29"/>
          <w:vertAlign w:val="baseline"/>
        </w:rPr>
        <w:t> </w:t>
      </w:r>
      <w:r>
        <w:rPr>
          <w:vertAlign w:val="baseline"/>
        </w:rPr>
        <w:t>Ainda</w:t>
      </w:r>
      <w:r>
        <w:rPr>
          <w:spacing w:val="18"/>
          <w:vertAlign w:val="baseline"/>
        </w:rPr>
        <w:t> </w:t>
      </w:r>
      <w:r>
        <w:rPr>
          <w:vertAlign w:val="baseline"/>
        </w:rPr>
        <w:t>assim,</w:t>
      </w:r>
      <w:r>
        <w:rPr>
          <w:spacing w:val="29"/>
          <w:vertAlign w:val="baseline"/>
        </w:rPr>
        <w:t> </w:t>
      </w:r>
      <w:r>
        <w:rPr>
          <w:vertAlign w:val="baseline"/>
        </w:rPr>
        <w:t>a</w:t>
      </w:r>
      <w:r>
        <w:rPr>
          <w:spacing w:val="18"/>
          <w:vertAlign w:val="baseline"/>
        </w:rPr>
        <w:t> </w:t>
      </w:r>
      <w:r>
        <w:rPr>
          <w:vertAlign w:val="baseline"/>
        </w:rPr>
        <w:t>análise</w:t>
      </w:r>
      <w:r>
        <w:rPr>
          <w:spacing w:val="18"/>
          <w:vertAlign w:val="baseline"/>
        </w:rPr>
        <w:t> </w:t>
      </w:r>
      <w:r>
        <w:rPr>
          <w:vertAlign w:val="baseline"/>
        </w:rPr>
        <w:t>de</w:t>
      </w:r>
      <w:r>
        <w:rPr>
          <w:spacing w:val="18"/>
          <w:vertAlign w:val="baseline"/>
        </w:rPr>
        <w:t> </w:t>
      </w:r>
      <w:r>
        <w:rPr>
          <w:vertAlign w:val="baseline"/>
        </w:rPr>
        <w:t>subgrupos</w:t>
      </w:r>
      <w:r>
        <w:rPr>
          <w:spacing w:val="29"/>
          <w:vertAlign w:val="baseline"/>
        </w:rPr>
        <w:t> </w:t>
      </w:r>
      <w:r>
        <w:rPr>
          <w:vertAlign w:val="baseline"/>
        </w:rPr>
        <w:t>desses</w:t>
      </w:r>
    </w:p>
    <w:p>
      <w:pPr>
        <w:pStyle w:val="BodyText"/>
        <w:spacing w:after="0" w:line="278" w:lineRule="auto"/>
        <w:sectPr>
          <w:pgSz w:w="11900" w:h="16840"/>
          <w:pgMar w:top="220" w:bottom="0" w:left="566" w:right="141"/>
        </w:sectPr>
      </w:pPr>
    </w:p>
    <w:p>
      <w:pPr>
        <w:pStyle w:val="BodyText"/>
        <w:spacing w:line="290" w:lineRule="auto" w:before="61"/>
        <w:ind w:right="500" w:firstLine="0"/>
      </w:pPr>
      <w:r>
        <w:rPr/>
        <w:t>estudos mostrou aumento significativo no tempo de exercício em mulheres tratadas com o fator de crescimento </w:t>
      </w:r>
      <w:r>
        <w:rPr>
          <w:spacing w:val="-2"/>
        </w:rPr>
        <w:t>vascular.</w:t>
      </w:r>
      <w:r>
        <w:rPr>
          <w:spacing w:val="-2"/>
          <w:vertAlign w:val="superscript"/>
        </w:rPr>
        <w:t>57</w:t>
      </w:r>
    </w:p>
    <w:p>
      <w:pPr>
        <w:pStyle w:val="BodyText"/>
        <w:spacing w:line="278" w:lineRule="auto" w:before="50"/>
        <w:ind w:right="487"/>
      </w:pPr>
      <w:r>
        <w:rPr/>
        <w:t>Resultados semelhantes foram</w:t>
      </w:r>
      <w:r>
        <w:rPr>
          <w:spacing w:val="-1"/>
        </w:rPr>
        <w:t> </w:t>
      </w:r>
      <w:r>
        <w:rPr/>
        <w:t>obtidos no</w:t>
      </w:r>
      <w:r>
        <w:rPr>
          <w:spacing w:val="-1"/>
        </w:rPr>
        <w:t> </w:t>
      </w:r>
      <w:r>
        <w:rPr/>
        <w:t>estudo</w:t>
      </w:r>
      <w:r>
        <w:rPr>
          <w:spacing w:val="-1"/>
        </w:rPr>
        <w:t> </w:t>
      </w:r>
      <w:r>
        <w:rPr/>
        <w:t>VIVA</w:t>
      </w:r>
      <w:r>
        <w:rPr>
          <w:spacing w:val="-3"/>
        </w:rPr>
        <w:t> </w:t>
      </w:r>
      <w:r>
        <w:rPr/>
        <w:t>Trial (Vascular Endothelial Growth</w:t>
      </w:r>
      <w:r>
        <w:rPr>
          <w:spacing w:val="-1"/>
        </w:rPr>
        <w:t> </w:t>
      </w:r>
      <w:r>
        <w:rPr/>
        <w:t>Factor in</w:t>
      </w:r>
      <w:r>
        <w:rPr>
          <w:spacing w:val="-1"/>
        </w:rPr>
        <w:t> </w:t>
      </w:r>
      <w:r>
        <w:rPr/>
        <w:t>Ischemia for Vascular Angiogenesis).</w:t>
      </w:r>
      <w:r>
        <w:rPr>
          <w:vertAlign w:val="superscript"/>
        </w:rPr>
        <w:t>58</w:t>
      </w:r>
      <w:r>
        <w:rPr>
          <w:vertAlign w:val="baseline"/>
        </w:rPr>
        <w:t> Nesse estudo, 178 pacientes portadores de angina estável, não candidatos à revascularização, foram randomizados para placebo ou VEGF recombinante (em duas concentrações diferentes), administrado por via intracoronariana seguida de infusões intravenosas 3, 6 e 9 dias após. Não houve eventos adversos relacionados com</w:t>
      </w:r>
      <w:r>
        <w:rPr>
          <w:spacing w:val="-4"/>
          <w:vertAlign w:val="baseline"/>
        </w:rPr>
        <w:t> </w:t>
      </w:r>
      <w:r>
        <w:rPr>
          <w:vertAlign w:val="baseline"/>
        </w:rPr>
        <w:t>o</w:t>
      </w:r>
      <w:r>
        <w:rPr>
          <w:spacing w:val="-4"/>
          <w:vertAlign w:val="baseline"/>
        </w:rPr>
        <w:t> </w:t>
      </w:r>
      <w:r>
        <w:rPr>
          <w:vertAlign w:val="baseline"/>
        </w:rPr>
        <w:t>procedimento. Não</w:t>
      </w:r>
      <w:r>
        <w:rPr>
          <w:spacing w:val="-4"/>
          <w:vertAlign w:val="baseline"/>
        </w:rPr>
        <w:t> </w:t>
      </w:r>
      <w:r>
        <w:rPr>
          <w:vertAlign w:val="baseline"/>
        </w:rPr>
        <w:t>houve, também, diferenças entre</w:t>
      </w:r>
      <w:r>
        <w:rPr>
          <w:spacing w:val="-6"/>
          <w:vertAlign w:val="baseline"/>
        </w:rPr>
        <w:t> </w:t>
      </w:r>
      <w:r>
        <w:rPr>
          <w:vertAlign w:val="baseline"/>
        </w:rPr>
        <w:t>os grupos quanto</w:t>
      </w:r>
      <w:r>
        <w:rPr>
          <w:spacing w:val="-4"/>
          <w:vertAlign w:val="baseline"/>
        </w:rPr>
        <w:t> </w:t>
      </w:r>
      <w:r>
        <w:rPr>
          <w:vertAlign w:val="baseline"/>
        </w:rPr>
        <w:t>a</w:t>
      </w:r>
      <w:r>
        <w:rPr>
          <w:spacing w:val="-6"/>
          <w:vertAlign w:val="baseline"/>
        </w:rPr>
        <w:t> </w:t>
      </w:r>
      <w:r>
        <w:rPr>
          <w:vertAlign w:val="baseline"/>
        </w:rPr>
        <w:t>incidência</w:t>
      </w:r>
      <w:r>
        <w:rPr>
          <w:spacing w:val="-6"/>
          <w:vertAlign w:val="baseline"/>
        </w:rPr>
        <w:t> </w:t>
      </w:r>
      <w:r>
        <w:rPr>
          <w:vertAlign w:val="baseline"/>
        </w:rPr>
        <w:t>de angina ou desempenho em esteira rolante, 60 dias após o tratamento. Na avaliação realizada 120 dias após o tratamento, o grupo que recebeu a maior dose de VEGF apresentou redução significativa de angina (melhora da classe funcional) e apenas tendência favorável de melhor desempenho ao esforço e na frequência dos episódios </w:t>
      </w:r>
      <w:r>
        <w:rPr>
          <w:spacing w:val="-2"/>
          <w:vertAlign w:val="baseline"/>
        </w:rPr>
        <w:t>anginosos.</w:t>
      </w:r>
    </w:p>
    <w:p>
      <w:pPr>
        <w:pStyle w:val="BodyText"/>
        <w:spacing w:before="179"/>
        <w:ind w:left="0" w:firstLine="0"/>
        <w:jc w:val="left"/>
      </w:pPr>
    </w:p>
    <w:p>
      <w:pPr>
        <w:pStyle w:val="Heading4"/>
      </w:pPr>
      <w:r>
        <w:rPr>
          <w:color w:val="242B67"/>
        </w:rPr>
        <w:t>Considerações </w:t>
      </w:r>
      <w:r>
        <w:rPr>
          <w:color w:val="242B67"/>
          <w:spacing w:val="-2"/>
        </w:rPr>
        <w:t>finais</w:t>
      </w:r>
    </w:p>
    <w:p>
      <w:pPr>
        <w:pStyle w:val="BodyText"/>
        <w:spacing w:line="278" w:lineRule="auto" w:before="132"/>
        <w:ind w:right="497"/>
      </w:pPr>
      <w:r>
        <w:rPr/>
        <w:t>Claro está que a terapia gênica para o tratamento de doenças cardiovasculares, especialmente as síndromes isquêmicas, teve</w:t>
      </w:r>
      <w:r>
        <w:rPr>
          <w:spacing w:val="-5"/>
        </w:rPr>
        <w:t> </w:t>
      </w:r>
      <w:r>
        <w:rPr/>
        <w:t>o</w:t>
      </w:r>
      <w:r>
        <w:rPr>
          <w:spacing w:val="-2"/>
        </w:rPr>
        <w:t> </w:t>
      </w:r>
      <w:r>
        <w:rPr/>
        <w:t>seu</w:t>
      </w:r>
      <w:r>
        <w:rPr>
          <w:spacing w:val="-2"/>
        </w:rPr>
        <w:t> </w:t>
      </w:r>
      <w:r>
        <w:rPr/>
        <w:t>princípio</w:t>
      </w:r>
      <w:r>
        <w:rPr>
          <w:spacing w:val="-2"/>
        </w:rPr>
        <w:t> </w:t>
      </w:r>
      <w:r>
        <w:rPr/>
        <w:t>validado</w:t>
      </w:r>
      <w:r>
        <w:rPr>
          <w:spacing w:val="-2"/>
        </w:rPr>
        <w:t> </w:t>
      </w:r>
      <w:r>
        <w:rPr/>
        <w:t>por inúmeros estudos experimentais. Os benefícios relatados nos estudos iniciais, no entanto, foram descritos em séries pequenas de pacientes sem grupo-controle; estudos subsequentes com maior número de indivíduos, em ensaios duplos-cegos, randomizados e controlados por placebo, mostraram resultados desalentadores ainda que, em algumas análises de subgrupos, tenha havido aparentemente algum benefício oferecido pela terapia gênica. Antes que essa estratégia possa ser rotineiramente aplicada na prática clínica, inúmeras questões devem ser respondidas, entre as quais citamos: (1) a necessidade de identificação do gene de interesse ou citocina angiogênica mais adequados para o efeito terapêutico desejado;</w:t>
      </w:r>
      <w:r>
        <w:rPr>
          <w:vertAlign w:val="superscript"/>
        </w:rPr>
        <w:t>59</w:t>
      </w:r>
      <w:r>
        <w:rPr>
          <w:b/>
          <w:vertAlign w:val="superscript"/>
        </w:rPr>
        <w:t>–</w:t>
      </w:r>
      <w:r>
        <w:rPr>
          <w:vertAlign w:val="superscript"/>
        </w:rPr>
        <w:t>61</w:t>
      </w:r>
      <w:r>
        <w:rPr>
          <w:vertAlign w:val="baseline"/>
        </w:rPr>
        <w:t> (2) a duração da expressão dos genes transferidos e do efeito terapêutico obtido; (3) vias ótimas de acesso ao miocárdio (endovascular ou cirúrgica) para a transferência gênica. Ainda assim, somente a execução rigorosa de ensaios clínicos com número adequado de pacientes, com objetivos de eficácia e segurança bem definidos, em populações bem</w:t>
      </w:r>
      <w:r>
        <w:rPr>
          <w:spacing w:val="-4"/>
          <w:vertAlign w:val="baseline"/>
        </w:rPr>
        <w:t> </w:t>
      </w:r>
      <w:r>
        <w:rPr>
          <w:vertAlign w:val="baseline"/>
        </w:rPr>
        <w:t>caracterizadas, poderá</w:t>
      </w:r>
      <w:r>
        <w:rPr>
          <w:spacing w:val="-7"/>
          <w:vertAlign w:val="baseline"/>
        </w:rPr>
        <w:t> </w:t>
      </w:r>
      <w:r>
        <w:rPr>
          <w:vertAlign w:val="baseline"/>
        </w:rPr>
        <w:t>definir o</w:t>
      </w:r>
      <w:r>
        <w:rPr>
          <w:spacing w:val="-4"/>
          <w:vertAlign w:val="baseline"/>
        </w:rPr>
        <w:t> </w:t>
      </w:r>
      <w:r>
        <w:rPr>
          <w:vertAlign w:val="baseline"/>
        </w:rPr>
        <w:t>real</w:t>
      </w:r>
      <w:r>
        <w:rPr>
          <w:spacing w:val="-1"/>
          <w:vertAlign w:val="baseline"/>
        </w:rPr>
        <w:t> </w:t>
      </w:r>
      <w:r>
        <w:rPr>
          <w:vertAlign w:val="baseline"/>
        </w:rPr>
        <w:t>papel</w:t>
      </w:r>
      <w:r>
        <w:rPr>
          <w:spacing w:val="-1"/>
          <w:vertAlign w:val="baseline"/>
        </w:rPr>
        <w:t> </w:t>
      </w:r>
      <w:r>
        <w:rPr>
          <w:vertAlign w:val="baseline"/>
        </w:rPr>
        <w:t>da</w:t>
      </w:r>
      <w:r>
        <w:rPr>
          <w:spacing w:val="-7"/>
          <w:vertAlign w:val="baseline"/>
        </w:rPr>
        <w:t> </w:t>
      </w:r>
      <w:r>
        <w:rPr>
          <w:vertAlign w:val="baseline"/>
        </w:rPr>
        <w:t>terapia</w:t>
      </w:r>
      <w:r>
        <w:rPr>
          <w:spacing w:val="-7"/>
          <w:vertAlign w:val="baseline"/>
        </w:rPr>
        <w:t> </w:t>
      </w:r>
      <w:r>
        <w:rPr>
          <w:vertAlign w:val="baseline"/>
        </w:rPr>
        <w:t>gênica</w:t>
      </w:r>
      <w:r>
        <w:rPr>
          <w:spacing w:val="-7"/>
          <w:vertAlign w:val="baseline"/>
        </w:rPr>
        <w:t> </w:t>
      </w:r>
      <w:r>
        <w:rPr>
          <w:vertAlign w:val="baseline"/>
        </w:rPr>
        <w:t>no</w:t>
      </w:r>
      <w:r>
        <w:rPr>
          <w:spacing w:val="-4"/>
          <w:vertAlign w:val="baseline"/>
        </w:rPr>
        <w:t> </w:t>
      </w:r>
      <w:r>
        <w:rPr>
          <w:vertAlign w:val="baseline"/>
        </w:rPr>
        <w:t>tratamento</w:t>
      </w:r>
      <w:r>
        <w:rPr>
          <w:spacing w:val="-4"/>
          <w:vertAlign w:val="baseline"/>
        </w:rPr>
        <w:t> </w:t>
      </w:r>
      <w:r>
        <w:rPr>
          <w:vertAlign w:val="baseline"/>
        </w:rPr>
        <w:t>de</w:t>
      </w:r>
      <w:r>
        <w:rPr>
          <w:spacing w:val="-7"/>
          <w:vertAlign w:val="baseline"/>
        </w:rPr>
        <w:t> </w:t>
      </w:r>
      <w:r>
        <w:rPr>
          <w:vertAlign w:val="baseline"/>
        </w:rPr>
        <w:t>pacientes com</w:t>
      </w:r>
      <w:r>
        <w:rPr>
          <w:spacing w:val="-4"/>
          <w:vertAlign w:val="baseline"/>
        </w:rPr>
        <w:t> </w:t>
      </w:r>
      <w:r>
        <w:rPr>
          <w:vertAlign w:val="baseline"/>
        </w:rPr>
        <w:t>DAC avançada.</w:t>
      </w:r>
      <w:r>
        <w:rPr>
          <w:vertAlign w:val="superscript"/>
        </w:rPr>
        <w:t>62</w:t>
      </w:r>
    </w:p>
    <w:p>
      <w:pPr>
        <w:pStyle w:val="BodyText"/>
        <w:spacing w:before="258"/>
        <w:ind w:left="0" w:firstLine="0"/>
        <w:jc w:val="left"/>
      </w:pPr>
    </w:p>
    <w:p>
      <w:pPr>
        <w:pStyle w:val="Heading3"/>
      </w:pPr>
      <w:r>
        <w:rPr>
          <w:color w:val="242B67"/>
        </w:rPr>
        <w:t>Terapia</w:t>
      </w:r>
      <w:r>
        <w:rPr>
          <w:color w:val="242B67"/>
          <w:spacing w:val="5"/>
        </w:rPr>
        <w:t> </w:t>
      </w:r>
      <w:r>
        <w:rPr>
          <w:color w:val="242B67"/>
          <w:spacing w:val="-2"/>
        </w:rPr>
        <w:t>Celular</w:t>
      </w:r>
    </w:p>
    <w:p>
      <w:pPr>
        <w:pStyle w:val="BodyText"/>
        <w:spacing w:before="7"/>
        <w:ind w:left="0" w:firstLine="0"/>
        <w:jc w:val="left"/>
        <w:rPr>
          <w:rFonts w:ascii="Microsoft Sans Serif"/>
          <w:sz w:val="3"/>
        </w:rPr>
      </w:pPr>
      <w:r>
        <w:rPr>
          <w:rFonts w:ascii="Microsoft Sans Serif"/>
          <w:sz w:val="3"/>
        </w:rPr>
        <mc:AlternateContent>
          <mc:Choice Requires="wps">
            <w:drawing>
              <wp:anchor distT="0" distB="0" distL="0" distR="0" allowOverlap="1" layoutInCell="1" locked="0" behindDoc="1" simplePos="0" relativeHeight="487642624">
                <wp:simplePos x="0" y="0"/>
                <wp:positionH relativeFrom="page">
                  <wp:posOffset>401543</wp:posOffset>
                </wp:positionH>
                <wp:positionV relativeFrom="paragraph">
                  <wp:posOffset>41320</wp:posOffset>
                </wp:positionV>
                <wp:extent cx="6753225" cy="10795"/>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3.253545pt;width:531.731217pt;height:.8008pt;mso-position-horizontal-relative:page;mso-position-vertical-relative:paragraph;z-index:-15673856;mso-wrap-distance-left:0;mso-wrap-distance-right:0" id="docshape63" filled="true" fillcolor="#242b67" stroked="false">
                <v:fill type="solid"/>
                <w10:wrap type="topAndBottom"/>
              </v:rect>
            </w:pict>
          </mc:Fallback>
        </mc:AlternateContent>
      </w:r>
    </w:p>
    <w:p>
      <w:pPr>
        <w:pStyle w:val="BodyText"/>
        <w:spacing w:before="29"/>
        <w:ind w:left="0" w:firstLine="0"/>
        <w:jc w:val="left"/>
        <w:rPr>
          <w:rFonts w:ascii="Microsoft Sans Serif"/>
          <w:sz w:val="38"/>
        </w:rPr>
      </w:pPr>
    </w:p>
    <w:p>
      <w:pPr>
        <w:pStyle w:val="Heading4"/>
      </w:pPr>
      <w:r>
        <w:rPr>
          <w:color w:val="242B67"/>
          <w:spacing w:val="-2"/>
        </w:rPr>
        <w:t>Introdução</w:t>
      </w:r>
    </w:p>
    <w:p>
      <w:pPr>
        <w:pStyle w:val="BodyText"/>
        <w:spacing w:line="278" w:lineRule="auto" w:before="148"/>
        <w:ind w:right="498"/>
      </w:pPr>
      <w:r>
        <w:rPr/>
        <w:t>Em</w:t>
      </w:r>
      <w:r>
        <w:rPr>
          <w:spacing w:val="-5"/>
        </w:rPr>
        <w:t> </w:t>
      </w:r>
      <w:r>
        <w:rPr/>
        <w:t>processos de</w:t>
      </w:r>
      <w:r>
        <w:rPr>
          <w:spacing w:val="-8"/>
        </w:rPr>
        <w:t> </w:t>
      </w:r>
      <w:r>
        <w:rPr/>
        <w:t>reparação</w:t>
      </w:r>
      <w:r>
        <w:rPr>
          <w:spacing w:val="-5"/>
        </w:rPr>
        <w:t> </w:t>
      </w:r>
      <w:r>
        <w:rPr/>
        <w:t>tecidual, como</w:t>
      </w:r>
      <w:r>
        <w:rPr>
          <w:spacing w:val="-5"/>
        </w:rPr>
        <w:t> </w:t>
      </w:r>
      <w:r>
        <w:rPr/>
        <w:t>os que</w:t>
      </w:r>
      <w:r>
        <w:rPr>
          <w:spacing w:val="-8"/>
        </w:rPr>
        <w:t> </w:t>
      </w:r>
      <w:r>
        <w:rPr/>
        <w:t>ocorrem</w:t>
      </w:r>
      <w:r>
        <w:rPr>
          <w:spacing w:val="-5"/>
        </w:rPr>
        <w:t> </w:t>
      </w:r>
      <w:r>
        <w:rPr/>
        <w:t>após o</w:t>
      </w:r>
      <w:r>
        <w:rPr>
          <w:spacing w:val="-5"/>
        </w:rPr>
        <w:t> </w:t>
      </w:r>
      <w:r>
        <w:rPr/>
        <w:t>infarto</w:t>
      </w:r>
      <w:r>
        <w:rPr>
          <w:spacing w:val="-5"/>
        </w:rPr>
        <w:t> </w:t>
      </w:r>
      <w:r>
        <w:rPr/>
        <w:t>agudo</w:t>
      </w:r>
      <w:r>
        <w:rPr>
          <w:spacing w:val="-5"/>
        </w:rPr>
        <w:t> </w:t>
      </w:r>
      <w:r>
        <w:rPr/>
        <w:t>do</w:t>
      </w:r>
      <w:r>
        <w:rPr>
          <w:spacing w:val="-5"/>
        </w:rPr>
        <w:t> </w:t>
      </w:r>
      <w:r>
        <w:rPr/>
        <w:t>miocárdio</w:t>
      </w:r>
      <w:r>
        <w:rPr>
          <w:spacing w:val="-5"/>
        </w:rPr>
        <w:t> </w:t>
      </w:r>
      <w:r>
        <w:rPr/>
        <w:t>(IAM), diferentes tipos celulares (macrófagos/monócitos, fibroblastos, neutrófilos e células endoteliais) são normalmente recrutados para a região afetada por vias específicas envolvendo citocinas, alterações na matriz extracelular e proteínas de adesão. No âmbito da medicina cardiovascular, o transplante celular, técnica desenvolvida experimentalmente em passado</w:t>
      </w:r>
      <w:r>
        <w:rPr>
          <w:spacing w:val="-5"/>
        </w:rPr>
        <w:t> </w:t>
      </w:r>
      <w:r>
        <w:rPr/>
        <w:t>recente, e</w:t>
      </w:r>
      <w:r>
        <w:rPr>
          <w:spacing w:val="-8"/>
        </w:rPr>
        <w:t> </w:t>
      </w:r>
      <w:r>
        <w:rPr/>
        <w:t>já</w:t>
      </w:r>
      <w:r>
        <w:rPr>
          <w:spacing w:val="-8"/>
        </w:rPr>
        <w:t> </w:t>
      </w:r>
      <w:r>
        <w:rPr/>
        <w:t>testada</w:t>
      </w:r>
      <w:r>
        <w:rPr>
          <w:spacing w:val="-8"/>
        </w:rPr>
        <w:t> </w:t>
      </w:r>
      <w:r>
        <w:rPr/>
        <w:t>clinicamente, poderá</w:t>
      </w:r>
      <w:r>
        <w:rPr>
          <w:spacing w:val="-8"/>
        </w:rPr>
        <w:t> </w:t>
      </w:r>
      <w:r>
        <w:rPr/>
        <w:t>vir a</w:t>
      </w:r>
      <w:r>
        <w:rPr>
          <w:spacing w:val="-8"/>
        </w:rPr>
        <w:t> </w:t>
      </w:r>
      <w:r>
        <w:rPr/>
        <w:t>ser uma</w:t>
      </w:r>
      <w:r>
        <w:rPr>
          <w:spacing w:val="-8"/>
        </w:rPr>
        <w:t> </w:t>
      </w:r>
      <w:r>
        <w:rPr/>
        <w:t>opção</w:t>
      </w:r>
      <w:r>
        <w:rPr>
          <w:spacing w:val="-5"/>
        </w:rPr>
        <w:t> </w:t>
      </w:r>
      <w:r>
        <w:rPr/>
        <w:t>terapêutica</w:t>
      </w:r>
      <w:r>
        <w:rPr>
          <w:spacing w:val="-8"/>
        </w:rPr>
        <w:t> </w:t>
      </w:r>
      <w:r>
        <w:rPr/>
        <w:t>visando</w:t>
      </w:r>
      <w:r>
        <w:rPr>
          <w:spacing w:val="-5"/>
        </w:rPr>
        <w:t> </w:t>
      </w:r>
      <w:r>
        <w:rPr/>
        <w:t>à</w:t>
      </w:r>
      <w:r>
        <w:rPr>
          <w:spacing w:val="-8"/>
        </w:rPr>
        <w:t> </w:t>
      </w:r>
      <w:r>
        <w:rPr/>
        <w:t>indução</w:t>
      </w:r>
      <w:r>
        <w:rPr>
          <w:spacing w:val="-5"/>
        </w:rPr>
        <w:t> </w:t>
      </w:r>
      <w:r>
        <w:rPr/>
        <w:t>do</w:t>
      </w:r>
      <w:r>
        <w:rPr>
          <w:spacing w:val="-5"/>
        </w:rPr>
        <w:t> </w:t>
      </w:r>
      <w:r>
        <w:rPr/>
        <w:t>crescimento vascular (angiogênese)</w:t>
      </w:r>
      <w:r>
        <w:rPr>
          <w:vertAlign w:val="superscript"/>
        </w:rPr>
        <w:t>1</w:t>
      </w:r>
      <w:r>
        <w:rPr>
          <w:vertAlign w:val="baseline"/>
        </w:rPr>
        <w:t> e/ou limitar a perda miocitária pós-isquêmica</w:t>
      </w:r>
      <w:r>
        <w:rPr>
          <w:vertAlign w:val="superscript"/>
        </w:rPr>
        <w:t>2</w:t>
      </w:r>
      <w:r>
        <w:rPr>
          <w:vertAlign w:val="baseline"/>
        </w:rPr>
        <w:t> e assim reduzir, ou até prevenir o aparecimento de</w:t>
      </w:r>
      <w:r>
        <w:rPr>
          <w:spacing w:val="-1"/>
          <w:vertAlign w:val="baseline"/>
        </w:rPr>
        <w:t> </w:t>
      </w:r>
      <w:r>
        <w:rPr>
          <w:vertAlign w:val="baseline"/>
        </w:rPr>
        <w:t>IC secundária</w:t>
      </w:r>
      <w:r>
        <w:rPr>
          <w:spacing w:val="-1"/>
          <w:vertAlign w:val="baseline"/>
        </w:rPr>
        <w:t> </w:t>
      </w:r>
      <w:r>
        <w:rPr>
          <w:vertAlign w:val="baseline"/>
        </w:rPr>
        <w:t>à</w:t>
      </w:r>
      <w:r>
        <w:rPr>
          <w:spacing w:val="-1"/>
          <w:vertAlign w:val="baseline"/>
        </w:rPr>
        <w:t> </w:t>
      </w:r>
      <w:r>
        <w:rPr>
          <w:vertAlign w:val="baseline"/>
        </w:rPr>
        <w:t>doença</w:t>
      </w:r>
      <w:r>
        <w:rPr>
          <w:spacing w:val="-1"/>
          <w:vertAlign w:val="baseline"/>
        </w:rPr>
        <w:t> </w:t>
      </w:r>
      <w:r>
        <w:rPr>
          <w:vertAlign w:val="baseline"/>
        </w:rPr>
        <w:t>isquêmica</w:t>
      </w:r>
      <w:r>
        <w:rPr>
          <w:spacing w:val="-1"/>
          <w:vertAlign w:val="baseline"/>
        </w:rPr>
        <w:t> </w:t>
      </w:r>
      <w:r>
        <w:rPr>
          <w:vertAlign w:val="baseline"/>
        </w:rPr>
        <w:t>crônica</w:t>
      </w:r>
      <w:r>
        <w:rPr>
          <w:spacing w:val="-1"/>
          <w:vertAlign w:val="baseline"/>
        </w:rPr>
        <w:t> </w:t>
      </w:r>
      <w:r>
        <w:rPr>
          <w:vertAlign w:val="baseline"/>
        </w:rPr>
        <w:t>do coração ou atenuando a</w:t>
      </w:r>
      <w:r>
        <w:rPr>
          <w:spacing w:val="-1"/>
          <w:vertAlign w:val="baseline"/>
        </w:rPr>
        <w:t> </w:t>
      </w:r>
      <w:r>
        <w:rPr>
          <w:vertAlign w:val="baseline"/>
        </w:rPr>
        <w:t>limitação funcional imposta pela cardiomiopatia chagásica. O potencial terapêutico de diversos tipos celulares tem sido pesquisado, entre os quais destacamos os mioblastos (células indiferenciadas de músculo esquelético) e as células progenitoras hematopoéticas derivadas da medula óssea de adulto.</w:t>
      </w:r>
      <w:r>
        <w:rPr>
          <w:vertAlign w:val="superscript"/>
        </w:rPr>
        <w:t>3</w:t>
      </w:r>
    </w:p>
    <w:p>
      <w:pPr>
        <w:pStyle w:val="BodyText"/>
        <w:spacing w:before="192"/>
        <w:ind w:left="0" w:firstLine="0"/>
        <w:jc w:val="left"/>
      </w:pPr>
    </w:p>
    <w:p>
      <w:pPr>
        <w:pStyle w:val="Heading4"/>
      </w:pPr>
      <w:r>
        <w:rPr>
          <w:color w:val="242B67"/>
          <w:spacing w:val="-2"/>
        </w:rPr>
        <w:t>Mioblastos</w:t>
      </w:r>
    </w:p>
    <w:p>
      <w:pPr>
        <w:pStyle w:val="BodyText"/>
        <w:spacing w:line="278" w:lineRule="auto" w:before="132"/>
        <w:ind w:right="500"/>
      </w:pPr>
      <w:r>
        <w:rPr/>
        <w:t>Diferentemente</w:t>
      </w:r>
      <w:r>
        <w:rPr>
          <w:spacing w:val="-15"/>
        </w:rPr>
        <w:t> </w:t>
      </w:r>
      <w:r>
        <w:rPr/>
        <w:t>das</w:t>
      </w:r>
      <w:r>
        <w:rPr>
          <w:spacing w:val="-10"/>
        </w:rPr>
        <w:t> </w:t>
      </w:r>
      <w:r>
        <w:rPr/>
        <w:t>células</w:t>
      </w:r>
      <w:r>
        <w:rPr>
          <w:spacing w:val="-7"/>
        </w:rPr>
        <w:t> </w:t>
      </w:r>
      <w:r>
        <w:rPr/>
        <w:t>miocárdicas</w:t>
      </w:r>
      <w:r>
        <w:rPr>
          <w:spacing w:val="-7"/>
        </w:rPr>
        <w:t> </w:t>
      </w:r>
      <w:r>
        <w:rPr/>
        <w:t>adultas</w:t>
      </w:r>
      <w:r>
        <w:rPr>
          <w:spacing w:val="-7"/>
        </w:rPr>
        <w:t> </w:t>
      </w:r>
      <w:r>
        <w:rPr/>
        <w:t>e</w:t>
      </w:r>
      <w:r>
        <w:rPr>
          <w:spacing w:val="-15"/>
        </w:rPr>
        <w:t> </w:t>
      </w:r>
      <w:r>
        <w:rPr/>
        <w:t>à</w:t>
      </w:r>
      <w:r>
        <w:rPr>
          <w:spacing w:val="-14"/>
        </w:rPr>
        <w:t> </w:t>
      </w:r>
      <w:r>
        <w:rPr/>
        <w:t>semelhança</w:t>
      </w:r>
      <w:r>
        <w:rPr>
          <w:spacing w:val="-15"/>
        </w:rPr>
        <w:t> </w:t>
      </w:r>
      <w:r>
        <w:rPr/>
        <w:t>dos</w:t>
      </w:r>
      <w:r>
        <w:rPr>
          <w:spacing w:val="-6"/>
        </w:rPr>
        <w:t> </w:t>
      </w:r>
      <w:r>
        <w:rPr/>
        <w:t>fibroblastos</w:t>
      </w:r>
      <w:r>
        <w:rPr>
          <w:spacing w:val="-7"/>
        </w:rPr>
        <w:t> </w:t>
      </w:r>
      <w:r>
        <w:rPr/>
        <w:t>cardíacos,</w:t>
      </w:r>
      <w:r>
        <w:rPr>
          <w:spacing w:val="-7"/>
        </w:rPr>
        <w:t> </w:t>
      </w:r>
      <w:r>
        <w:rPr/>
        <w:t>as</w:t>
      </w:r>
      <w:r>
        <w:rPr>
          <w:spacing w:val="-7"/>
        </w:rPr>
        <w:t> </w:t>
      </w:r>
      <w:r>
        <w:rPr/>
        <w:t>células</w:t>
      </w:r>
      <w:r>
        <w:rPr>
          <w:spacing w:val="-7"/>
        </w:rPr>
        <w:t> </w:t>
      </w:r>
      <w:r>
        <w:rPr/>
        <w:t>musculares esqueléticas</w:t>
      </w:r>
      <w:r>
        <w:rPr>
          <w:spacing w:val="-9"/>
        </w:rPr>
        <w:t> </w:t>
      </w:r>
      <w:r>
        <w:rPr/>
        <w:t>sofrem</w:t>
      </w:r>
      <w:r>
        <w:rPr>
          <w:spacing w:val="-13"/>
        </w:rPr>
        <w:t> </w:t>
      </w:r>
      <w:r>
        <w:rPr/>
        <w:t>divisão</w:t>
      </w:r>
      <w:r>
        <w:rPr>
          <w:spacing w:val="-13"/>
        </w:rPr>
        <w:t> </w:t>
      </w:r>
      <w:r>
        <w:rPr/>
        <w:t>celular</w:t>
      </w:r>
      <w:r>
        <w:rPr>
          <w:spacing w:val="-9"/>
        </w:rPr>
        <w:t> </w:t>
      </w:r>
      <w:r>
        <w:rPr/>
        <w:t>e,</w:t>
      </w:r>
      <w:r>
        <w:rPr>
          <w:spacing w:val="-6"/>
        </w:rPr>
        <w:t> </w:t>
      </w:r>
      <w:r>
        <w:rPr/>
        <w:t>portanto,</w:t>
      </w:r>
      <w:r>
        <w:rPr>
          <w:spacing w:val="-6"/>
        </w:rPr>
        <w:t> </w:t>
      </w:r>
      <w:r>
        <w:rPr/>
        <w:t>são</w:t>
      </w:r>
      <w:r>
        <w:rPr>
          <w:spacing w:val="-13"/>
        </w:rPr>
        <w:t> </w:t>
      </w:r>
      <w:r>
        <w:rPr/>
        <w:t>capazes</w:t>
      </w:r>
      <w:r>
        <w:rPr>
          <w:spacing w:val="-6"/>
        </w:rPr>
        <w:t> </w:t>
      </w:r>
      <w:r>
        <w:rPr/>
        <w:t>de</w:t>
      </w:r>
      <w:r>
        <w:rPr>
          <w:spacing w:val="-15"/>
        </w:rPr>
        <w:t> </w:t>
      </w:r>
      <w:r>
        <w:rPr/>
        <w:t>regeneração</w:t>
      </w:r>
      <w:r>
        <w:rPr>
          <w:spacing w:val="-13"/>
        </w:rPr>
        <w:t> </w:t>
      </w:r>
      <w:r>
        <w:rPr/>
        <w:t>tecidual.</w:t>
      </w:r>
      <w:r>
        <w:rPr>
          <w:spacing w:val="-6"/>
        </w:rPr>
        <w:t> </w:t>
      </w:r>
      <w:r>
        <w:rPr/>
        <w:t>Essa</w:t>
      </w:r>
      <w:r>
        <w:rPr>
          <w:spacing w:val="-15"/>
        </w:rPr>
        <w:t> </w:t>
      </w:r>
      <w:r>
        <w:rPr/>
        <w:t>capacidade</w:t>
      </w:r>
      <w:r>
        <w:rPr>
          <w:spacing w:val="-14"/>
        </w:rPr>
        <w:t> </w:t>
      </w:r>
      <w:r>
        <w:rPr/>
        <w:t>de</w:t>
      </w:r>
      <w:r>
        <w:rPr>
          <w:spacing w:val="-15"/>
        </w:rPr>
        <w:t> </w:t>
      </w:r>
      <w:r>
        <w:rPr/>
        <w:t>regeneração do músculo estriado esquelético se explica pela presença de células-satélites (mioblastos) capazes de, frente a um estímulo lesivo, reiniciar seu próprio ciclo celular e se dividir, dando origem a outras células musculares, que por fusão celular levarão à reparação das miofibrilas lesadas. Dorfman </w:t>
      </w:r>
      <w:r>
        <w:rPr>
          <w:i/>
        </w:rPr>
        <w:t>et</w:t>
      </w:r>
      <w:r>
        <w:rPr>
          <w:i/>
          <w:spacing w:val="-4"/>
        </w:rPr>
        <w:t> </w:t>
      </w:r>
      <w:r>
        <w:rPr>
          <w:i/>
        </w:rPr>
        <w:t>al</w:t>
      </w:r>
      <w:r>
        <w:rPr/>
        <w:t>.</w:t>
      </w:r>
      <w:r>
        <w:rPr>
          <w:vertAlign w:val="superscript"/>
        </w:rPr>
        <w:t>4</w:t>
      </w:r>
      <w:r>
        <w:rPr>
          <w:vertAlign w:val="baseline"/>
        </w:rPr>
        <w:t> observaram que mioblastos implantados em</w:t>
      </w:r>
      <w:r>
        <w:rPr>
          <w:spacing w:val="21"/>
          <w:vertAlign w:val="baseline"/>
        </w:rPr>
        <w:t> </w:t>
      </w:r>
      <w:r>
        <w:rPr>
          <w:vertAlign w:val="baseline"/>
        </w:rPr>
        <w:t>miocárdio</w:t>
      </w:r>
      <w:r>
        <w:rPr>
          <w:spacing w:val="21"/>
          <w:vertAlign w:val="baseline"/>
        </w:rPr>
        <w:t> </w:t>
      </w:r>
      <w:r>
        <w:rPr>
          <w:vertAlign w:val="baseline"/>
        </w:rPr>
        <w:t>isquêmico</w:t>
      </w:r>
      <w:r>
        <w:rPr>
          <w:spacing w:val="21"/>
          <w:vertAlign w:val="baseline"/>
        </w:rPr>
        <w:t> </w:t>
      </w:r>
      <w:r>
        <w:rPr>
          <w:vertAlign w:val="baseline"/>
        </w:rPr>
        <w:t>de</w:t>
      </w:r>
      <w:r>
        <w:rPr>
          <w:spacing w:val="19"/>
          <w:vertAlign w:val="baseline"/>
        </w:rPr>
        <w:t> </w:t>
      </w:r>
      <w:r>
        <w:rPr>
          <w:vertAlign w:val="baseline"/>
        </w:rPr>
        <w:t>ratos</w:t>
      </w:r>
      <w:r>
        <w:rPr>
          <w:spacing w:val="30"/>
          <w:vertAlign w:val="baseline"/>
        </w:rPr>
        <w:t> </w:t>
      </w:r>
      <w:r>
        <w:rPr>
          <w:vertAlign w:val="baseline"/>
        </w:rPr>
        <w:t>passam</w:t>
      </w:r>
      <w:r>
        <w:rPr>
          <w:spacing w:val="21"/>
          <w:vertAlign w:val="baseline"/>
        </w:rPr>
        <w:t> </w:t>
      </w:r>
      <w:r>
        <w:rPr>
          <w:vertAlign w:val="baseline"/>
        </w:rPr>
        <w:t>por</w:t>
      </w:r>
      <w:r>
        <w:rPr>
          <w:spacing w:val="27"/>
          <w:vertAlign w:val="baseline"/>
        </w:rPr>
        <w:t> </w:t>
      </w:r>
      <w:r>
        <w:rPr>
          <w:vertAlign w:val="baseline"/>
        </w:rPr>
        <w:t>um</w:t>
      </w:r>
      <w:r>
        <w:rPr>
          <w:spacing w:val="21"/>
          <w:vertAlign w:val="baseline"/>
        </w:rPr>
        <w:t> </w:t>
      </w:r>
      <w:r>
        <w:rPr>
          <w:vertAlign w:val="baseline"/>
        </w:rPr>
        <w:t>processo</w:t>
      </w:r>
      <w:r>
        <w:rPr>
          <w:spacing w:val="21"/>
          <w:vertAlign w:val="baseline"/>
        </w:rPr>
        <w:t> </w:t>
      </w:r>
      <w:r>
        <w:rPr>
          <w:vertAlign w:val="baseline"/>
        </w:rPr>
        <w:t>de</w:t>
      </w:r>
      <w:r>
        <w:rPr>
          <w:spacing w:val="19"/>
          <w:vertAlign w:val="baseline"/>
        </w:rPr>
        <w:t> </w:t>
      </w:r>
      <w:r>
        <w:rPr>
          <w:vertAlign w:val="baseline"/>
        </w:rPr>
        <w:t>diferenciação</w:t>
      </w:r>
      <w:r>
        <w:rPr>
          <w:spacing w:val="21"/>
          <w:vertAlign w:val="baseline"/>
        </w:rPr>
        <w:t> </w:t>
      </w:r>
      <w:r>
        <w:rPr>
          <w:vertAlign w:val="baseline"/>
        </w:rPr>
        <w:t>celular,</w:t>
      </w:r>
      <w:r>
        <w:rPr>
          <w:spacing w:val="30"/>
          <w:vertAlign w:val="baseline"/>
        </w:rPr>
        <w:t> </w:t>
      </w:r>
      <w:r>
        <w:rPr>
          <w:vertAlign w:val="baseline"/>
        </w:rPr>
        <w:t>transformando-se</w:t>
      </w:r>
      <w:r>
        <w:rPr>
          <w:spacing w:val="19"/>
          <w:vertAlign w:val="baseline"/>
        </w:rPr>
        <w:t> </w:t>
      </w:r>
      <w:r>
        <w:rPr>
          <w:vertAlign w:val="baseline"/>
        </w:rPr>
        <w:t>em</w:t>
      </w:r>
      <w:r>
        <w:rPr>
          <w:spacing w:val="21"/>
          <w:vertAlign w:val="baseline"/>
        </w:rPr>
        <w:t> </w:t>
      </w:r>
      <w:r>
        <w:rPr>
          <w:vertAlign w:val="baseline"/>
        </w:rPr>
        <w:t>fibras</w:t>
      </w:r>
    </w:p>
    <w:p>
      <w:pPr>
        <w:pStyle w:val="BodyText"/>
        <w:spacing w:after="0" w:line="278" w:lineRule="auto"/>
        <w:sectPr>
          <w:pgSz w:w="11900" w:h="16840"/>
          <w:pgMar w:top="220" w:bottom="280" w:left="566" w:right="141"/>
        </w:sectPr>
      </w:pPr>
    </w:p>
    <w:p>
      <w:pPr>
        <w:pStyle w:val="BodyText"/>
        <w:spacing w:line="280" w:lineRule="auto" w:before="62"/>
        <w:ind w:right="500" w:firstLine="0"/>
      </w:pPr>
      <w:r>
        <w:rPr/>
        <w:t>musculares estriadas. Em outro modelo experimental de infarto do miocárdio por ligação da artéria coronária em ratos, Scorsin </w:t>
      </w:r>
      <w:r>
        <w:rPr>
          <w:i/>
        </w:rPr>
        <w:t>et al</w:t>
      </w:r>
      <w:r>
        <w:rPr/>
        <w:t>.</w:t>
      </w:r>
      <w:r>
        <w:rPr>
          <w:vertAlign w:val="superscript"/>
        </w:rPr>
        <w:t>5</w:t>
      </w:r>
      <w:r>
        <w:rPr>
          <w:vertAlign w:val="baseline"/>
        </w:rPr>
        <w:t> mostraram que, após o transplante de mioblastos esqueléticos, houve melhora da função ventricular esquerda, ainda que </w:t>
      </w:r>
      <w:r>
        <w:rPr>
          <w:i/>
          <w:vertAlign w:val="baseline"/>
        </w:rPr>
        <w:t>gap junctions </w:t>
      </w:r>
      <w:r>
        <w:rPr>
          <w:vertAlign w:val="baseline"/>
        </w:rPr>
        <w:t>não fossem detectadas nas membranas das células esqueléticas, indicando ausência de acoplamento eletromecânico.</w:t>
      </w:r>
    </w:p>
    <w:p>
      <w:pPr>
        <w:pStyle w:val="BodyText"/>
        <w:spacing w:line="278" w:lineRule="auto" w:before="75"/>
        <w:ind w:right="491"/>
      </w:pPr>
      <w:r>
        <w:rPr/>
        <w:t>Clinicamente, o</w:t>
      </w:r>
      <w:r>
        <w:rPr>
          <w:spacing w:val="-1"/>
        </w:rPr>
        <w:t> </w:t>
      </w:r>
      <w:r>
        <w:rPr/>
        <w:t>transplante</w:t>
      </w:r>
      <w:r>
        <w:rPr>
          <w:spacing w:val="-4"/>
        </w:rPr>
        <w:t> </w:t>
      </w:r>
      <w:r>
        <w:rPr/>
        <w:t>de</w:t>
      </w:r>
      <w:r>
        <w:rPr>
          <w:spacing w:val="-4"/>
        </w:rPr>
        <w:t> </w:t>
      </w:r>
      <w:r>
        <w:rPr/>
        <w:t>mioblastos teve</w:t>
      </w:r>
      <w:r>
        <w:rPr>
          <w:spacing w:val="-4"/>
        </w:rPr>
        <w:t> </w:t>
      </w:r>
      <w:r>
        <w:rPr/>
        <w:t>início</w:t>
      </w:r>
      <w:r>
        <w:rPr>
          <w:spacing w:val="-1"/>
        </w:rPr>
        <w:t> </w:t>
      </w:r>
      <w:r>
        <w:rPr/>
        <w:t>com</w:t>
      </w:r>
      <w:r>
        <w:rPr>
          <w:spacing w:val="-1"/>
        </w:rPr>
        <w:t> </w:t>
      </w:r>
      <w:r>
        <w:rPr/>
        <w:t>Hagege</w:t>
      </w:r>
      <w:r>
        <w:rPr>
          <w:spacing w:val="-4"/>
        </w:rPr>
        <w:t> </w:t>
      </w:r>
      <w:r>
        <w:rPr>
          <w:i/>
        </w:rPr>
        <w:t>et</w:t>
      </w:r>
      <w:r>
        <w:rPr>
          <w:i/>
          <w:spacing w:val="-5"/>
        </w:rPr>
        <w:t> </w:t>
      </w:r>
      <w:r>
        <w:rPr>
          <w:i/>
        </w:rPr>
        <w:t>al</w:t>
      </w:r>
      <w:r>
        <w:rPr/>
        <w:t>.</w:t>
      </w:r>
      <w:r>
        <w:rPr>
          <w:vertAlign w:val="superscript"/>
        </w:rPr>
        <w:t>6</w:t>
      </w:r>
      <w:r>
        <w:rPr>
          <w:vertAlign w:val="baseline"/>
        </w:rPr>
        <w:t> após o implante</w:t>
      </w:r>
      <w:r>
        <w:rPr>
          <w:spacing w:val="-1"/>
          <w:vertAlign w:val="baseline"/>
        </w:rPr>
        <w:t> </w:t>
      </w:r>
      <w:r>
        <w:rPr>
          <w:vertAlign w:val="baseline"/>
        </w:rPr>
        <w:t>bem-sucedido em um paciente de 72 anos portador de IC avançada. Previamente ao transplante, a cicatriz miocárdica foi caracterizada como irreversivelmente acinética na ausência de viabilidade. Cerca de 5 meses após o transplante celular, a parede acinética tornou-se contrátil e metabolicamente ativa, do que resultou aumento da fração de ejeção do ventrículo esquerdo (FEVE) e melhora da classe funcional do paciente. Em outra série de pacientes sobreviventes de IAM e submetidos ao transplante</w:t>
      </w:r>
      <w:r>
        <w:rPr>
          <w:spacing w:val="-3"/>
          <w:vertAlign w:val="baseline"/>
        </w:rPr>
        <w:t> </w:t>
      </w:r>
      <w:r>
        <w:rPr>
          <w:vertAlign w:val="baseline"/>
        </w:rPr>
        <w:t>autólogo de</w:t>
      </w:r>
      <w:r>
        <w:rPr>
          <w:spacing w:val="-3"/>
          <w:vertAlign w:val="baseline"/>
        </w:rPr>
        <w:t> </w:t>
      </w:r>
      <w:r>
        <w:rPr>
          <w:vertAlign w:val="baseline"/>
        </w:rPr>
        <w:t>mioblastos combinado à</w:t>
      </w:r>
      <w:r>
        <w:rPr>
          <w:spacing w:val="-3"/>
          <w:vertAlign w:val="baseline"/>
        </w:rPr>
        <w:t> </w:t>
      </w:r>
      <w:r>
        <w:rPr>
          <w:vertAlign w:val="baseline"/>
        </w:rPr>
        <w:t>cirurgia</w:t>
      </w:r>
      <w:r>
        <w:rPr>
          <w:spacing w:val="-3"/>
          <w:vertAlign w:val="baseline"/>
        </w:rPr>
        <w:t> </w:t>
      </w:r>
      <w:r>
        <w:rPr>
          <w:vertAlign w:val="baseline"/>
        </w:rPr>
        <w:t>de</w:t>
      </w:r>
      <w:r>
        <w:rPr>
          <w:spacing w:val="-3"/>
          <w:vertAlign w:val="baseline"/>
        </w:rPr>
        <w:t> </w:t>
      </w:r>
      <w:r>
        <w:rPr>
          <w:vertAlign w:val="baseline"/>
        </w:rPr>
        <w:t>revascularização miocárdica, resultados semelhantes foram</w:t>
      </w:r>
      <w:r>
        <w:rPr>
          <w:spacing w:val="-1"/>
          <w:vertAlign w:val="baseline"/>
        </w:rPr>
        <w:t> </w:t>
      </w:r>
      <w:r>
        <w:rPr>
          <w:vertAlign w:val="baseline"/>
        </w:rPr>
        <w:t>obtidos e</w:t>
      </w:r>
      <w:r>
        <w:rPr>
          <w:spacing w:val="-4"/>
          <w:vertAlign w:val="baseline"/>
        </w:rPr>
        <w:t> </w:t>
      </w:r>
      <w:r>
        <w:rPr>
          <w:vertAlign w:val="baseline"/>
        </w:rPr>
        <w:t>mantidos por pelo</w:t>
      </w:r>
      <w:r>
        <w:rPr>
          <w:spacing w:val="-1"/>
          <w:vertAlign w:val="baseline"/>
        </w:rPr>
        <w:t> </w:t>
      </w:r>
      <w:r>
        <w:rPr>
          <w:vertAlign w:val="baseline"/>
        </w:rPr>
        <w:t>menos 1</w:t>
      </w:r>
      <w:r>
        <w:rPr>
          <w:spacing w:val="-1"/>
          <w:vertAlign w:val="baseline"/>
        </w:rPr>
        <w:t> </w:t>
      </w:r>
      <w:r>
        <w:rPr>
          <w:vertAlign w:val="baseline"/>
        </w:rPr>
        <w:t>ano</w:t>
      </w:r>
      <w:r>
        <w:rPr>
          <w:spacing w:val="-1"/>
          <w:vertAlign w:val="baseline"/>
        </w:rPr>
        <w:t> </w:t>
      </w:r>
      <w:r>
        <w:rPr>
          <w:vertAlign w:val="baseline"/>
        </w:rPr>
        <w:t>após o</w:t>
      </w:r>
      <w:r>
        <w:rPr>
          <w:spacing w:val="-1"/>
          <w:vertAlign w:val="baseline"/>
        </w:rPr>
        <w:t> </w:t>
      </w:r>
      <w:r>
        <w:rPr>
          <w:vertAlign w:val="baseline"/>
        </w:rPr>
        <w:t>procedimento.</w:t>
      </w:r>
      <w:r>
        <w:rPr>
          <w:vertAlign w:val="superscript"/>
        </w:rPr>
        <w:t>1,2</w:t>
      </w:r>
      <w:r>
        <w:rPr>
          <w:vertAlign w:val="baseline"/>
        </w:rPr>
        <w:t> A</w:t>
      </w:r>
      <w:r>
        <w:rPr>
          <w:spacing w:val="-4"/>
          <w:vertAlign w:val="baseline"/>
        </w:rPr>
        <w:t> </w:t>
      </w:r>
      <w:r>
        <w:rPr>
          <w:vertAlign w:val="baseline"/>
        </w:rPr>
        <w:t>exequibilidade</w:t>
      </w:r>
      <w:r>
        <w:rPr>
          <w:spacing w:val="-4"/>
          <w:vertAlign w:val="baseline"/>
        </w:rPr>
        <w:t> </w:t>
      </w:r>
      <w:r>
        <w:rPr>
          <w:vertAlign w:val="baseline"/>
        </w:rPr>
        <w:t>do</w:t>
      </w:r>
      <w:r>
        <w:rPr>
          <w:spacing w:val="-1"/>
          <w:vertAlign w:val="baseline"/>
        </w:rPr>
        <w:t> </w:t>
      </w:r>
      <w:r>
        <w:rPr>
          <w:vertAlign w:val="baseline"/>
        </w:rPr>
        <w:t>implante intramiocárdico de mioblastos esqueléticos documentada nos estudos iniciais permitiu a progressão para estudos randomizados e</w:t>
      </w:r>
      <w:r>
        <w:rPr>
          <w:spacing w:val="-9"/>
          <w:vertAlign w:val="baseline"/>
        </w:rPr>
        <w:t> </w:t>
      </w:r>
      <w:r>
        <w:rPr>
          <w:vertAlign w:val="baseline"/>
        </w:rPr>
        <w:t>controlados por</w:t>
      </w:r>
      <w:r>
        <w:rPr>
          <w:spacing w:val="-2"/>
          <w:vertAlign w:val="baseline"/>
        </w:rPr>
        <w:t> </w:t>
      </w:r>
      <w:r>
        <w:rPr>
          <w:vertAlign w:val="baseline"/>
        </w:rPr>
        <w:t>placebo</w:t>
      </w:r>
      <w:r>
        <w:rPr>
          <w:spacing w:val="-7"/>
          <w:vertAlign w:val="baseline"/>
        </w:rPr>
        <w:t> </w:t>
      </w:r>
      <w:r>
        <w:rPr>
          <w:vertAlign w:val="baseline"/>
        </w:rPr>
        <w:t>para</w:t>
      </w:r>
      <w:r>
        <w:rPr>
          <w:spacing w:val="-9"/>
          <w:vertAlign w:val="baseline"/>
        </w:rPr>
        <w:t> </w:t>
      </w:r>
      <w:r>
        <w:rPr>
          <w:vertAlign w:val="baseline"/>
        </w:rPr>
        <w:t>testar</w:t>
      </w:r>
      <w:r>
        <w:rPr>
          <w:spacing w:val="-2"/>
          <w:vertAlign w:val="baseline"/>
        </w:rPr>
        <w:t> </w:t>
      </w:r>
      <w:r>
        <w:rPr>
          <w:vertAlign w:val="baseline"/>
        </w:rPr>
        <w:t>a</w:t>
      </w:r>
      <w:r>
        <w:rPr>
          <w:spacing w:val="-9"/>
          <w:vertAlign w:val="baseline"/>
        </w:rPr>
        <w:t> </w:t>
      </w:r>
      <w:r>
        <w:rPr>
          <w:vertAlign w:val="baseline"/>
        </w:rPr>
        <w:t>eficácia</w:t>
      </w:r>
      <w:r>
        <w:rPr>
          <w:spacing w:val="-9"/>
          <w:vertAlign w:val="baseline"/>
        </w:rPr>
        <w:t> </w:t>
      </w:r>
      <w:r>
        <w:rPr>
          <w:vertAlign w:val="baseline"/>
        </w:rPr>
        <w:t>na</w:t>
      </w:r>
      <w:r>
        <w:rPr>
          <w:spacing w:val="-9"/>
          <w:vertAlign w:val="baseline"/>
        </w:rPr>
        <w:t> </w:t>
      </w:r>
      <w:r>
        <w:rPr>
          <w:vertAlign w:val="baseline"/>
        </w:rPr>
        <w:t>recuperação</w:t>
      </w:r>
      <w:r>
        <w:rPr>
          <w:spacing w:val="-7"/>
          <w:vertAlign w:val="baseline"/>
        </w:rPr>
        <w:t> </w:t>
      </w:r>
      <w:r>
        <w:rPr>
          <w:vertAlign w:val="baseline"/>
        </w:rPr>
        <w:t>funcional</w:t>
      </w:r>
      <w:r>
        <w:rPr>
          <w:spacing w:val="-4"/>
          <w:vertAlign w:val="baseline"/>
        </w:rPr>
        <w:t> </w:t>
      </w:r>
      <w:r>
        <w:rPr>
          <w:vertAlign w:val="baseline"/>
        </w:rPr>
        <w:t>do</w:t>
      </w:r>
      <w:r>
        <w:rPr>
          <w:spacing w:val="-7"/>
          <w:vertAlign w:val="baseline"/>
        </w:rPr>
        <w:t> </w:t>
      </w:r>
      <w:r>
        <w:rPr>
          <w:vertAlign w:val="baseline"/>
        </w:rPr>
        <w:t>uso</w:t>
      </w:r>
      <w:r>
        <w:rPr>
          <w:spacing w:val="-7"/>
          <w:vertAlign w:val="baseline"/>
        </w:rPr>
        <w:t> </w:t>
      </w:r>
      <w:r>
        <w:rPr>
          <w:vertAlign w:val="baseline"/>
        </w:rPr>
        <w:t>desse</w:t>
      </w:r>
      <w:r>
        <w:rPr>
          <w:spacing w:val="-9"/>
          <w:vertAlign w:val="baseline"/>
        </w:rPr>
        <w:t> </w:t>
      </w:r>
      <w:r>
        <w:rPr>
          <w:vertAlign w:val="baseline"/>
        </w:rPr>
        <w:t>tipo</w:t>
      </w:r>
      <w:r>
        <w:rPr>
          <w:spacing w:val="-7"/>
          <w:vertAlign w:val="baseline"/>
        </w:rPr>
        <w:t> </w:t>
      </w:r>
      <w:r>
        <w:rPr>
          <w:vertAlign w:val="baseline"/>
        </w:rPr>
        <w:t>celular</w:t>
      </w:r>
      <w:r>
        <w:rPr>
          <w:spacing w:val="-2"/>
          <w:vertAlign w:val="baseline"/>
        </w:rPr>
        <w:t> </w:t>
      </w:r>
      <w:r>
        <w:rPr>
          <w:vertAlign w:val="baseline"/>
        </w:rPr>
        <w:t>em pacientes com cardiomiopatia isquêmica. O estudo MAGIC (</w:t>
      </w:r>
      <w:r>
        <w:rPr>
          <w:i/>
          <w:vertAlign w:val="baseline"/>
        </w:rPr>
        <w:t>myoblast autologous grafting in ischemic cardiomyopathy</w:t>
      </w:r>
      <w:r>
        <w:rPr>
          <w:vertAlign w:val="baseline"/>
        </w:rPr>
        <w:t>)</w:t>
      </w:r>
      <w:r>
        <w:rPr>
          <w:vertAlign w:val="superscript"/>
        </w:rPr>
        <w:t>3</w:t>
      </w:r>
      <w:r>
        <w:rPr>
          <w:vertAlign w:val="baseline"/>
        </w:rPr>
        <w:t> analisou o impacto do implante de mioblastos sobre a função ventricular esquerda em pacientes com</w:t>
      </w:r>
      <w:r>
        <w:rPr>
          <w:spacing w:val="-12"/>
          <w:vertAlign w:val="baseline"/>
        </w:rPr>
        <w:t> </w:t>
      </w:r>
      <w:r>
        <w:rPr>
          <w:vertAlign w:val="baseline"/>
        </w:rPr>
        <w:t>disfunção</w:t>
      </w:r>
      <w:r>
        <w:rPr>
          <w:spacing w:val="-12"/>
          <w:vertAlign w:val="baseline"/>
        </w:rPr>
        <w:t> </w:t>
      </w:r>
      <w:r>
        <w:rPr>
          <w:vertAlign w:val="baseline"/>
        </w:rPr>
        <w:t>ventricular</w:t>
      </w:r>
      <w:r>
        <w:rPr>
          <w:spacing w:val="-8"/>
          <w:vertAlign w:val="baseline"/>
        </w:rPr>
        <w:t> </w:t>
      </w:r>
      <w:r>
        <w:rPr>
          <w:vertAlign w:val="baseline"/>
        </w:rPr>
        <w:t>pós-infarto.</w:t>
      </w:r>
      <w:r>
        <w:rPr>
          <w:spacing w:val="-5"/>
          <w:vertAlign w:val="baseline"/>
        </w:rPr>
        <w:t> </w:t>
      </w:r>
      <w:r>
        <w:rPr>
          <w:vertAlign w:val="baseline"/>
        </w:rPr>
        <w:t>A</w:t>
      </w:r>
      <w:r>
        <w:rPr>
          <w:spacing w:val="-15"/>
          <w:vertAlign w:val="baseline"/>
        </w:rPr>
        <w:t> </w:t>
      </w:r>
      <w:r>
        <w:rPr>
          <w:vertAlign w:val="baseline"/>
        </w:rPr>
        <w:t>avaliação</w:t>
      </w:r>
      <w:r>
        <w:rPr>
          <w:spacing w:val="-12"/>
          <w:vertAlign w:val="baseline"/>
        </w:rPr>
        <w:t> </w:t>
      </w:r>
      <w:r>
        <w:rPr>
          <w:vertAlign w:val="baseline"/>
        </w:rPr>
        <w:t>ecocardiográfica</w:t>
      </w:r>
      <w:r>
        <w:rPr>
          <w:spacing w:val="-15"/>
          <w:vertAlign w:val="baseline"/>
        </w:rPr>
        <w:t> </w:t>
      </w:r>
      <w:r>
        <w:rPr>
          <w:vertAlign w:val="baseline"/>
        </w:rPr>
        <w:t>realizada</w:t>
      </w:r>
      <w:r>
        <w:rPr>
          <w:spacing w:val="-14"/>
          <w:vertAlign w:val="baseline"/>
        </w:rPr>
        <w:t> </w:t>
      </w:r>
      <w:r>
        <w:rPr>
          <w:vertAlign w:val="baseline"/>
        </w:rPr>
        <w:t>6</w:t>
      </w:r>
      <w:r>
        <w:rPr>
          <w:spacing w:val="-12"/>
          <w:vertAlign w:val="baseline"/>
        </w:rPr>
        <w:t> </w:t>
      </w:r>
      <w:r>
        <w:rPr>
          <w:vertAlign w:val="baseline"/>
        </w:rPr>
        <w:t>meses</w:t>
      </w:r>
      <w:r>
        <w:rPr>
          <w:spacing w:val="-5"/>
          <w:vertAlign w:val="baseline"/>
        </w:rPr>
        <w:t> </w:t>
      </w:r>
      <w:r>
        <w:rPr>
          <w:vertAlign w:val="baseline"/>
        </w:rPr>
        <w:t>após</w:t>
      </w:r>
      <w:r>
        <w:rPr>
          <w:spacing w:val="-5"/>
          <w:vertAlign w:val="baseline"/>
        </w:rPr>
        <w:t> </w:t>
      </w:r>
      <w:r>
        <w:rPr>
          <w:vertAlign w:val="baseline"/>
        </w:rPr>
        <w:t>o</w:t>
      </w:r>
      <w:r>
        <w:rPr>
          <w:spacing w:val="-12"/>
          <w:vertAlign w:val="baseline"/>
        </w:rPr>
        <w:t> </w:t>
      </w:r>
      <w:r>
        <w:rPr>
          <w:vertAlign w:val="baseline"/>
        </w:rPr>
        <w:t>procedimento</w:t>
      </w:r>
      <w:r>
        <w:rPr>
          <w:spacing w:val="-12"/>
          <w:vertAlign w:val="baseline"/>
        </w:rPr>
        <w:t> </w:t>
      </w:r>
      <w:r>
        <w:rPr>
          <w:vertAlign w:val="baseline"/>
        </w:rPr>
        <w:t>mostrou não haver diferenças entre os grupos tratados; análise de segurança mostrou aumento da incidência de eventos arrítmicos precocemente</w:t>
      </w:r>
      <w:r>
        <w:rPr>
          <w:spacing w:val="-4"/>
          <w:vertAlign w:val="baseline"/>
        </w:rPr>
        <w:t> </w:t>
      </w:r>
      <w:r>
        <w:rPr>
          <w:vertAlign w:val="baseline"/>
        </w:rPr>
        <w:t>ao</w:t>
      </w:r>
      <w:r>
        <w:rPr>
          <w:spacing w:val="-1"/>
          <w:vertAlign w:val="baseline"/>
        </w:rPr>
        <w:t> </w:t>
      </w:r>
      <w:r>
        <w:rPr>
          <w:vertAlign w:val="baseline"/>
        </w:rPr>
        <w:t>implante</w:t>
      </w:r>
      <w:r>
        <w:rPr>
          <w:spacing w:val="-4"/>
          <w:vertAlign w:val="baseline"/>
        </w:rPr>
        <w:t> </w:t>
      </w:r>
      <w:r>
        <w:rPr>
          <w:vertAlign w:val="baseline"/>
        </w:rPr>
        <w:t>celular, embora</w:t>
      </w:r>
      <w:r>
        <w:rPr>
          <w:spacing w:val="-4"/>
          <w:vertAlign w:val="baseline"/>
        </w:rPr>
        <w:t> </w:t>
      </w:r>
      <w:r>
        <w:rPr>
          <w:vertAlign w:val="baseline"/>
        </w:rPr>
        <w:t>sem</w:t>
      </w:r>
      <w:r>
        <w:rPr>
          <w:spacing w:val="-1"/>
          <w:vertAlign w:val="baseline"/>
        </w:rPr>
        <w:t> </w:t>
      </w:r>
      <w:r>
        <w:rPr>
          <w:vertAlign w:val="baseline"/>
        </w:rPr>
        <w:t>aumento</w:t>
      </w:r>
      <w:r>
        <w:rPr>
          <w:spacing w:val="-1"/>
          <w:vertAlign w:val="baseline"/>
        </w:rPr>
        <w:t> </w:t>
      </w:r>
      <w:r>
        <w:rPr>
          <w:vertAlign w:val="baseline"/>
        </w:rPr>
        <w:t>da</w:t>
      </w:r>
      <w:r>
        <w:rPr>
          <w:spacing w:val="-4"/>
          <w:vertAlign w:val="baseline"/>
        </w:rPr>
        <w:t> </w:t>
      </w:r>
      <w:r>
        <w:rPr>
          <w:vertAlign w:val="baseline"/>
        </w:rPr>
        <w:t>taxa</w:t>
      </w:r>
      <w:r>
        <w:rPr>
          <w:spacing w:val="-4"/>
          <w:vertAlign w:val="baseline"/>
        </w:rPr>
        <w:t> </w:t>
      </w:r>
      <w:r>
        <w:rPr>
          <w:vertAlign w:val="baseline"/>
        </w:rPr>
        <w:t>de</w:t>
      </w:r>
      <w:r>
        <w:rPr>
          <w:spacing w:val="-4"/>
          <w:vertAlign w:val="baseline"/>
        </w:rPr>
        <w:t> </w:t>
      </w:r>
      <w:r>
        <w:rPr>
          <w:vertAlign w:val="baseline"/>
        </w:rPr>
        <w:t>eventos adversos aos 6</w:t>
      </w:r>
      <w:r>
        <w:rPr>
          <w:spacing w:val="-1"/>
          <w:vertAlign w:val="baseline"/>
        </w:rPr>
        <w:t> </w:t>
      </w:r>
      <w:r>
        <w:rPr>
          <w:vertAlign w:val="baseline"/>
        </w:rPr>
        <w:t>meses.</w:t>
      </w:r>
    </w:p>
    <w:p>
      <w:pPr>
        <w:pStyle w:val="BodyText"/>
        <w:spacing w:line="280" w:lineRule="auto" w:before="61"/>
        <w:ind w:right="490"/>
      </w:pPr>
      <w:r>
        <w:rPr/>
        <w:t>De</w:t>
      </w:r>
      <w:r>
        <w:rPr>
          <w:spacing w:val="-1"/>
        </w:rPr>
        <w:t> </w:t>
      </w:r>
      <w:r>
        <w:rPr/>
        <w:t>fato, uma</w:t>
      </w:r>
      <w:r>
        <w:rPr>
          <w:spacing w:val="-1"/>
        </w:rPr>
        <w:t> </w:t>
      </w:r>
      <w:r>
        <w:rPr/>
        <w:t>das maiores limitações ao transplante</w:t>
      </w:r>
      <w:r>
        <w:rPr>
          <w:spacing w:val="-1"/>
        </w:rPr>
        <w:t> </w:t>
      </w:r>
      <w:r>
        <w:rPr/>
        <w:t>de</w:t>
      </w:r>
      <w:r>
        <w:rPr>
          <w:spacing w:val="-1"/>
        </w:rPr>
        <w:t> </w:t>
      </w:r>
      <w:r>
        <w:rPr/>
        <w:t>mioblastos é</w:t>
      </w:r>
      <w:r>
        <w:rPr>
          <w:spacing w:val="-1"/>
        </w:rPr>
        <w:t> </w:t>
      </w:r>
      <w:r>
        <w:rPr/>
        <w:t>o seu grande</w:t>
      </w:r>
      <w:r>
        <w:rPr>
          <w:spacing w:val="-1"/>
        </w:rPr>
        <w:t> </w:t>
      </w:r>
      <w:r>
        <w:rPr/>
        <w:t>potencial arritmogênico.</w:t>
      </w:r>
      <w:r>
        <w:rPr>
          <w:vertAlign w:val="superscript"/>
        </w:rPr>
        <w:t>4</w:t>
      </w:r>
      <w:r>
        <w:rPr>
          <w:vertAlign w:val="baseline"/>
        </w:rPr>
        <w:t> Isto ocorre porque a aparente inabilidade de transdiferenciação dessas células em cardiomiócitos e de formação de um sincício</w:t>
      </w:r>
      <w:r>
        <w:rPr>
          <w:spacing w:val="-5"/>
          <w:vertAlign w:val="baseline"/>
        </w:rPr>
        <w:t> </w:t>
      </w:r>
      <w:r>
        <w:rPr>
          <w:vertAlign w:val="baseline"/>
        </w:rPr>
        <w:t>cardíaco</w:t>
      </w:r>
      <w:r>
        <w:rPr>
          <w:spacing w:val="-5"/>
          <w:vertAlign w:val="baseline"/>
        </w:rPr>
        <w:t> </w:t>
      </w:r>
      <w:r>
        <w:rPr>
          <w:vertAlign w:val="baseline"/>
        </w:rPr>
        <w:t>com</w:t>
      </w:r>
      <w:r>
        <w:rPr>
          <w:spacing w:val="-5"/>
          <w:vertAlign w:val="baseline"/>
        </w:rPr>
        <w:t> </w:t>
      </w:r>
      <w:r>
        <w:rPr>
          <w:vertAlign w:val="baseline"/>
        </w:rPr>
        <w:t>as células vizinhas nativas pode</w:t>
      </w:r>
      <w:r>
        <w:rPr>
          <w:spacing w:val="-8"/>
          <w:vertAlign w:val="baseline"/>
        </w:rPr>
        <w:t> </w:t>
      </w:r>
      <w:r>
        <w:rPr>
          <w:vertAlign w:val="baseline"/>
        </w:rPr>
        <w:t>criar um</w:t>
      </w:r>
      <w:r>
        <w:rPr>
          <w:spacing w:val="-5"/>
          <w:vertAlign w:val="baseline"/>
        </w:rPr>
        <w:t> </w:t>
      </w:r>
      <w:r>
        <w:rPr>
          <w:vertAlign w:val="baseline"/>
        </w:rPr>
        <w:t>substrato</w:t>
      </w:r>
      <w:r>
        <w:rPr>
          <w:spacing w:val="-5"/>
          <w:vertAlign w:val="baseline"/>
        </w:rPr>
        <w:t> </w:t>
      </w:r>
      <w:r>
        <w:rPr>
          <w:vertAlign w:val="baseline"/>
        </w:rPr>
        <w:t>para</w:t>
      </w:r>
      <w:r>
        <w:rPr>
          <w:spacing w:val="-8"/>
          <w:vertAlign w:val="baseline"/>
        </w:rPr>
        <w:t> </w:t>
      </w:r>
      <w:r>
        <w:rPr>
          <w:vertAlign w:val="baseline"/>
        </w:rPr>
        <w:t>arritmias ventriculares por reentrada. Atualmente, em diversos protocolos clínicos de</w:t>
      </w:r>
      <w:r>
        <w:rPr>
          <w:spacing w:val="-1"/>
          <w:vertAlign w:val="baseline"/>
        </w:rPr>
        <w:t> </w:t>
      </w:r>
      <w:r>
        <w:rPr>
          <w:vertAlign w:val="baseline"/>
        </w:rPr>
        <w:t>transplante</w:t>
      </w:r>
      <w:r>
        <w:rPr>
          <w:spacing w:val="-1"/>
          <w:vertAlign w:val="baseline"/>
        </w:rPr>
        <w:t> </w:t>
      </w:r>
      <w:r>
        <w:rPr>
          <w:vertAlign w:val="baseline"/>
        </w:rPr>
        <w:t>de</w:t>
      </w:r>
      <w:r>
        <w:rPr>
          <w:spacing w:val="-1"/>
          <w:vertAlign w:val="baseline"/>
        </w:rPr>
        <w:t> </w:t>
      </w:r>
      <w:r>
        <w:rPr>
          <w:vertAlign w:val="baseline"/>
        </w:rPr>
        <w:t>mioblastos, exige-se</w:t>
      </w:r>
      <w:r>
        <w:rPr>
          <w:spacing w:val="-1"/>
          <w:vertAlign w:val="baseline"/>
        </w:rPr>
        <w:t> </w:t>
      </w:r>
      <w:r>
        <w:rPr>
          <w:vertAlign w:val="baseline"/>
        </w:rPr>
        <w:t>o implante</w:t>
      </w:r>
      <w:r>
        <w:rPr>
          <w:spacing w:val="-1"/>
          <w:vertAlign w:val="baseline"/>
        </w:rPr>
        <w:t> </w:t>
      </w:r>
      <w:r>
        <w:rPr>
          <w:vertAlign w:val="baseline"/>
        </w:rPr>
        <w:t>de</w:t>
      </w:r>
      <w:r>
        <w:rPr>
          <w:spacing w:val="-1"/>
          <w:vertAlign w:val="baseline"/>
        </w:rPr>
        <w:t> </w:t>
      </w:r>
      <w:r>
        <w:rPr>
          <w:vertAlign w:val="baseline"/>
        </w:rPr>
        <w:t>um desfibrilador cardíaco automático anteriormente ao procedimento de terapia celular.</w:t>
      </w:r>
      <w:r>
        <w:rPr>
          <w:vertAlign w:val="superscript"/>
        </w:rPr>
        <w:t>5</w:t>
      </w:r>
    </w:p>
    <w:p>
      <w:pPr>
        <w:pStyle w:val="BodyText"/>
        <w:spacing w:line="278" w:lineRule="auto" w:before="71"/>
        <w:ind w:right="497"/>
      </w:pPr>
      <w:r>
        <w:rPr/>
        <w:t>Mais recentemente, o estudo MARVEL</w:t>
      </w:r>
      <w:r>
        <w:rPr>
          <w:vertAlign w:val="superscript"/>
        </w:rPr>
        <w:t>6</w:t>
      </w:r>
      <w:r>
        <w:rPr>
          <w:vertAlign w:val="baseline"/>
        </w:rPr>
        <w:t> testou uma via alternativa ao implante cirúrgico de mioblastos, valendo-se</w:t>
      </w:r>
      <w:r>
        <w:rPr>
          <w:spacing w:val="-4"/>
          <w:vertAlign w:val="baseline"/>
        </w:rPr>
        <w:t> </w:t>
      </w:r>
      <w:r>
        <w:rPr>
          <w:vertAlign w:val="baseline"/>
        </w:rPr>
        <w:t>do</w:t>
      </w:r>
      <w:r>
        <w:rPr>
          <w:spacing w:val="-2"/>
          <w:vertAlign w:val="baseline"/>
        </w:rPr>
        <w:t> </w:t>
      </w:r>
      <w:r>
        <w:rPr>
          <w:vertAlign w:val="baseline"/>
        </w:rPr>
        <w:t>sistema</w:t>
      </w:r>
      <w:r>
        <w:rPr>
          <w:spacing w:val="-4"/>
          <w:vertAlign w:val="baseline"/>
        </w:rPr>
        <w:t> </w:t>
      </w:r>
      <w:r>
        <w:rPr>
          <w:vertAlign w:val="baseline"/>
        </w:rPr>
        <w:t>de</w:t>
      </w:r>
      <w:r>
        <w:rPr>
          <w:spacing w:val="-4"/>
          <w:vertAlign w:val="baseline"/>
        </w:rPr>
        <w:t> </w:t>
      </w:r>
      <w:r>
        <w:rPr>
          <w:vertAlign w:val="baseline"/>
        </w:rPr>
        <w:t>mapeamento</w:t>
      </w:r>
      <w:r>
        <w:rPr>
          <w:spacing w:val="-2"/>
          <w:vertAlign w:val="baseline"/>
        </w:rPr>
        <w:t> </w:t>
      </w:r>
      <w:r>
        <w:rPr>
          <w:vertAlign w:val="baseline"/>
        </w:rPr>
        <w:t>eletromecânico</w:t>
      </w:r>
      <w:r>
        <w:rPr>
          <w:spacing w:val="-2"/>
          <w:vertAlign w:val="baseline"/>
        </w:rPr>
        <w:t> </w:t>
      </w:r>
      <w:r>
        <w:rPr>
          <w:vertAlign w:val="baseline"/>
        </w:rPr>
        <w:t>(NOGA</w:t>
      </w:r>
      <w:r>
        <w:rPr>
          <w:vertAlign w:val="superscript"/>
        </w:rPr>
        <w:t>®</w:t>
      </w:r>
      <w:r>
        <w:rPr>
          <w:vertAlign w:val="baseline"/>
        </w:rPr>
        <w:t>) para</w:t>
      </w:r>
      <w:r>
        <w:rPr>
          <w:spacing w:val="-4"/>
          <w:vertAlign w:val="baseline"/>
        </w:rPr>
        <w:t> </w:t>
      </w:r>
      <w:r>
        <w:rPr>
          <w:vertAlign w:val="baseline"/>
        </w:rPr>
        <w:t>implante</w:t>
      </w:r>
      <w:r>
        <w:rPr>
          <w:spacing w:val="-4"/>
          <w:vertAlign w:val="baseline"/>
        </w:rPr>
        <w:t> </w:t>
      </w:r>
      <w:r>
        <w:rPr>
          <w:vertAlign w:val="baseline"/>
        </w:rPr>
        <w:t>transendocárdico</w:t>
      </w:r>
      <w:r>
        <w:rPr>
          <w:spacing w:val="-2"/>
          <w:vertAlign w:val="baseline"/>
        </w:rPr>
        <w:t> </w:t>
      </w:r>
      <w:r>
        <w:rPr>
          <w:vertAlign w:val="baseline"/>
        </w:rPr>
        <w:t>de</w:t>
      </w:r>
      <w:r>
        <w:rPr>
          <w:spacing w:val="-4"/>
          <w:vertAlign w:val="baseline"/>
        </w:rPr>
        <w:t> </w:t>
      </w:r>
      <w:r>
        <w:rPr>
          <w:vertAlign w:val="baseline"/>
        </w:rPr>
        <w:t>mioblastos em pacientes com disfunção ventricular esquerda (FEVE &lt; 35%) pós-infarto. Observou-se nos pacientes tratados a tendência ao aumento de tolerância ao esforço avaliada pelo teste de distância caminhada em 6 min (TDC6’), embora, em razão do pequeno número de pacientes incluídos no estudo (n = 23), não se alcançou significância </w:t>
      </w:r>
      <w:r>
        <w:rPr>
          <w:spacing w:val="-2"/>
          <w:vertAlign w:val="baseline"/>
        </w:rPr>
        <w:t>estatística.</w:t>
      </w:r>
    </w:p>
    <w:p>
      <w:pPr>
        <w:pStyle w:val="BodyText"/>
        <w:spacing w:line="280" w:lineRule="auto" w:before="49"/>
        <w:ind w:right="491"/>
      </w:pPr>
      <w:r>
        <w:rPr/>
        <w:t>Os conhecimentos adquiridos na última década sobre transferência gênica para células somáticas fizeram com que uma nova estratégia terapêutica fosse vislumbrada, qual seja, a combinação da terapia gênica à terapia celular. Assim, Becker </w:t>
      </w:r>
      <w:r>
        <w:rPr>
          <w:i/>
        </w:rPr>
        <w:t>et al</w:t>
      </w:r>
      <w:r>
        <w:rPr/>
        <w:t>.,</w:t>
      </w:r>
      <w:r>
        <w:rPr>
          <w:vertAlign w:val="superscript"/>
        </w:rPr>
        <w:t>7</w:t>
      </w:r>
      <w:r>
        <w:rPr>
          <w:vertAlign w:val="baseline"/>
        </w:rPr>
        <w:t> interessados nessa estratégia combinada, testaram a eficiência do transplante </w:t>
      </w:r>
      <w:r>
        <w:rPr>
          <w:i/>
          <w:vertAlign w:val="baseline"/>
        </w:rPr>
        <w:t>ex vivo </w:t>
      </w:r>
      <w:r>
        <w:rPr>
          <w:vertAlign w:val="baseline"/>
        </w:rPr>
        <w:t>de mioblastos modificados por vetor adenoviral contendo</w:t>
      </w:r>
      <w:r>
        <w:rPr>
          <w:spacing w:val="-1"/>
          <w:vertAlign w:val="baseline"/>
        </w:rPr>
        <w:t> </w:t>
      </w:r>
      <w:r>
        <w:rPr>
          <w:vertAlign w:val="baseline"/>
        </w:rPr>
        <w:t>o</w:t>
      </w:r>
      <w:r>
        <w:rPr>
          <w:spacing w:val="-1"/>
          <w:vertAlign w:val="baseline"/>
        </w:rPr>
        <w:t> </w:t>
      </w:r>
      <w:r>
        <w:rPr>
          <w:vertAlign w:val="baseline"/>
        </w:rPr>
        <w:t>transgene</w:t>
      </w:r>
      <w:r>
        <w:rPr>
          <w:spacing w:val="-4"/>
          <w:vertAlign w:val="baseline"/>
        </w:rPr>
        <w:t> </w:t>
      </w:r>
      <w:r>
        <w:rPr>
          <w:vertAlign w:val="baseline"/>
        </w:rPr>
        <w:t>do</w:t>
      </w:r>
      <w:r>
        <w:rPr>
          <w:spacing w:val="-1"/>
          <w:vertAlign w:val="baseline"/>
        </w:rPr>
        <w:t> </w:t>
      </w:r>
      <w:r>
        <w:rPr>
          <w:vertAlign w:val="baseline"/>
        </w:rPr>
        <w:t>VEGF em</w:t>
      </w:r>
      <w:r>
        <w:rPr>
          <w:spacing w:val="-1"/>
          <w:vertAlign w:val="baseline"/>
        </w:rPr>
        <w:t> </w:t>
      </w:r>
      <w:r>
        <w:rPr>
          <w:vertAlign w:val="baseline"/>
        </w:rPr>
        <w:t>modelo</w:t>
      </w:r>
      <w:r>
        <w:rPr>
          <w:spacing w:val="-1"/>
          <w:vertAlign w:val="baseline"/>
        </w:rPr>
        <w:t> </w:t>
      </w:r>
      <w:r>
        <w:rPr>
          <w:vertAlign w:val="baseline"/>
        </w:rPr>
        <w:t>experimental de</w:t>
      </w:r>
      <w:r>
        <w:rPr>
          <w:spacing w:val="-4"/>
          <w:vertAlign w:val="baseline"/>
        </w:rPr>
        <w:t> </w:t>
      </w:r>
      <w:r>
        <w:rPr>
          <w:vertAlign w:val="baseline"/>
        </w:rPr>
        <w:t>IAM. Os resultados obtidos mostraram que a terapia celular associada à expressão de fator de crescimento vascular contribuiu</w:t>
      </w:r>
      <w:r>
        <w:rPr>
          <w:spacing w:val="-7"/>
          <w:vertAlign w:val="baseline"/>
        </w:rPr>
        <w:t> </w:t>
      </w:r>
      <w:r>
        <w:rPr>
          <w:vertAlign w:val="baseline"/>
        </w:rPr>
        <w:t>para</w:t>
      </w:r>
      <w:r>
        <w:rPr>
          <w:spacing w:val="-9"/>
          <w:vertAlign w:val="baseline"/>
        </w:rPr>
        <w:t> </w:t>
      </w:r>
      <w:r>
        <w:rPr>
          <w:vertAlign w:val="baseline"/>
        </w:rPr>
        <w:t>diminuir</w:t>
      </w:r>
      <w:r>
        <w:rPr>
          <w:spacing w:val="-1"/>
          <w:vertAlign w:val="baseline"/>
        </w:rPr>
        <w:t> </w:t>
      </w:r>
      <w:r>
        <w:rPr>
          <w:vertAlign w:val="baseline"/>
        </w:rPr>
        <w:t>o</w:t>
      </w:r>
      <w:r>
        <w:rPr>
          <w:spacing w:val="-7"/>
          <w:vertAlign w:val="baseline"/>
        </w:rPr>
        <w:t> </w:t>
      </w:r>
      <w:r>
        <w:rPr>
          <w:vertAlign w:val="baseline"/>
        </w:rPr>
        <w:t>impacto</w:t>
      </w:r>
      <w:r>
        <w:rPr>
          <w:spacing w:val="-7"/>
          <w:vertAlign w:val="baseline"/>
        </w:rPr>
        <w:t> </w:t>
      </w:r>
      <w:r>
        <w:rPr>
          <w:vertAlign w:val="baseline"/>
        </w:rPr>
        <w:t>da</w:t>
      </w:r>
      <w:r>
        <w:rPr>
          <w:spacing w:val="-9"/>
          <w:vertAlign w:val="baseline"/>
        </w:rPr>
        <w:t> </w:t>
      </w:r>
      <w:r>
        <w:rPr>
          <w:vertAlign w:val="baseline"/>
        </w:rPr>
        <w:t>lesão</w:t>
      </w:r>
      <w:r>
        <w:rPr>
          <w:spacing w:val="-7"/>
          <w:vertAlign w:val="baseline"/>
        </w:rPr>
        <w:t> </w:t>
      </w:r>
      <w:r>
        <w:rPr>
          <w:vertAlign w:val="baseline"/>
        </w:rPr>
        <w:t>provocada</w:t>
      </w:r>
      <w:r>
        <w:rPr>
          <w:spacing w:val="-9"/>
          <w:vertAlign w:val="baseline"/>
        </w:rPr>
        <w:t> </w:t>
      </w:r>
      <w:r>
        <w:rPr>
          <w:vertAlign w:val="baseline"/>
        </w:rPr>
        <w:t>pela</w:t>
      </w:r>
      <w:r>
        <w:rPr>
          <w:spacing w:val="-9"/>
          <w:vertAlign w:val="baseline"/>
        </w:rPr>
        <w:t> </w:t>
      </w:r>
      <w:r>
        <w:rPr>
          <w:vertAlign w:val="baseline"/>
        </w:rPr>
        <w:t>isquemia</w:t>
      </w:r>
      <w:r>
        <w:rPr>
          <w:spacing w:val="-9"/>
          <w:vertAlign w:val="baseline"/>
        </w:rPr>
        <w:t> </w:t>
      </w:r>
      <w:r>
        <w:rPr>
          <w:vertAlign w:val="baseline"/>
        </w:rPr>
        <w:t>cardíaca</w:t>
      </w:r>
      <w:r>
        <w:rPr>
          <w:spacing w:val="-9"/>
          <w:vertAlign w:val="baseline"/>
        </w:rPr>
        <w:t> </w:t>
      </w:r>
      <w:r>
        <w:rPr>
          <w:vertAlign w:val="baseline"/>
        </w:rPr>
        <w:t>seguida</w:t>
      </w:r>
      <w:r>
        <w:rPr>
          <w:spacing w:val="-9"/>
          <w:vertAlign w:val="baseline"/>
        </w:rPr>
        <w:t> </w:t>
      </w:r>
      <w:r>
        <w:rPr>
          <w:vertAlign w:val="baseline"/>
        </w:rPr>
        <w:t>de</w:t>
      </w:r>
      <w:r>
        <w:rPr>
          <w:spacing w:val="-9"/>
          <w:vertAlign w:val="baseline"/>
        </w:rPr>
        <w:t> </w:t>
      </w:r>
      <w:r>
        <w:rPr>
          <w:vertAlign w:val="baseline"/>
        </w:rPr>
        <w:t>reperfusão, possivelmente associada</w:t>
      </w:r>
      <w:r>
        <w:rPr>
          <w:spacing w:val="-11"/>
          <w:vertAlign w:val="baseline"/>
        </w:rPr>
        <w:t> </w:t>
      </w:r>
      <w:r>
        <w:rPr>
          <w:vertAlign w:val="baseline"/>
        </w:rPr>
        <w:t>ao</w:t>
      </w:r>
      <w:r>
        <w:rPr>
          <w:spacing w:val="-9"/>
          <w:vertAlign w:val="baseline"/>
        </w:rPr>
        <w:t> </w:t>
      </w:r>
      <w:r>
        <w:rPr>
          <w:vertAlign w:val="baseline"/>
        </w:rPr>
        <w:t>aumento</w:t>
      </w:r>
      <w:r>
        <w:rPr>
          <w:spacing w:val="-9"/>
          <w:vertAlign w:val="baseline"/>
        </w:rPr>
        <w:t> </w:t>
      </w:r>
      <w:r>
        <w:rPr>
          <w:vertAlign w:val="baseline"/>
        </w:rPr>
        <w:t>de</w:t>
      </w:r>
      <w:r>
        <w:rPr>
          <w:spacing w:val="-11"/>
          <w:vertAlign w:val="baseline"/>
        </w:rPr>
        <w:t> </w:t>
      </w:r>
      <w:r>
        <w:rPr>
          <w:vertAlign w:val="baseline"/>
        </w:rPr>
        <w:t>densidade</w:t>
      </w:r>
      <w:r>
        <w:rPr>
          <w:spacing w:val="-11"/>
          <w:vertAlign w:val="baseline"/>
        </w:rPr>
        <w:t> </w:t>
      </w:r>
      <w:r>
        <w:rPr>
          <w:vertAlign w:val="baseline"/>
        </w:rPr>
        <w:t>capilar.</w:t>
      </w:r>
      <w:r>
        <w:rPr>
          <w:spacing w:val="-1"/>
          <w:vertAlign w:val="baseline"/>
        </w:rPr>
        <w:t> </w:t>
      </w:r>
      <w:r>
        <w:rPr>
          <w:vertAlign w:val="baseline"/>
        </w:rPr>
        <w:t>Essa</w:t>
      </w:r>
      <w:r>
        <w:rPr>
          <w:spacing w:val="-11"/>
          <w:vertAlign w:val="baseline"/>
        </w:rPr>
        <w:t> </w:t>
      </w:r>
      <w:r>
        <w:rPr>
          <w:vertAlign w:val="baseline"/>
        </w:rPr>
        <w:t>mesma</w:t>
      </w:r>
      <w:r>
        <w:rPr>
          <w:spacing w:val="-11"/>
          <w:vertAlign w:val="baseline"/>
        </w:rPr>
        <w:t> </w:t>
      </w:r>
      <w:r>
        <w:rPr>
          <w:vertAlign w:val="baseline"/>
        </w:rPr>
        <w:t>estratégia</w:t>
      </w:r>
      <w:r>
        <w:rPr>
          <w:spacing w:val="-11"/>
          <w:vertAlign w:val="baseline"/>
        </w:rPr>
        <w:t> </w:t>
      </w:r>
      <w:r>
        <w:rPr>
          <w:vertAlign w:val="baseline"/>
        </w:rPr>
        <w:t>já</w:t>
      </w:r>
      <w:r>
        <w:rPr>
          <w:spacing w:val="-11"/>
          <w:vertAlign w:val="baseline"/>
        </w:rPr>
        <w:t> </w:t>
      </w:r>
      <w:r>
        <w:rPr>
          <w:vertAlign w:val="baseline"/>
        </w:rPr>
        <w:t>foi</w:t>
      </w:r>
      <w:r>
        <w:rPr>
          <w:spacing w:val="-6"/>
          <w:vertAlign w:val="baseline"/>
        </w:rPr>
        <w:t> </w:t>
      </w:r>
      <w:r>
        <w:rPr>
          <w:vertAlign w:val="baseline"/>
        </w:rPr>
        <w:t>aplicada</w:t>
      </w:r>
      <w:r>
        <w:rPr>
          <w:spacing w:val="-11"/>
          <w:vertAlign w:val="baseline"/>
        </w:rPr>
        <w:t> </w:t>
      </w:r>
      <w:r>
        <w:rPr>
          <w:vertAlign w:val="baseline"/>
        </w:rPr>
        <w:t>clinicamente,</w:t>
      </w:r>
      <w:r>
        <w:rPr>
          <w:spacing w:val="-1"/>
          <w:vertAlign w:val="baseline"/>
        </w:rPr>
        <w:t> </w:t>
      </w:r>
      <w:r>
        <w:rPr>
          <w:vertAlign w:val="baseline"/>
        </w:rPr>
        <w:t>com</w:t>
      </w:r>
      <w:r>
        <w:rPr>
          <w:spacing w:val="-9"/>
          <w:vertAlign w:val="baseline"/>
        </w:rPr>
        <w:t> </w:t>
      </w:r>
      <w:r>
        <w:rPr>
          <w:vertAlign w:val="baseline"/>
        </w:rPr>
        <w:t>a</w:t>
      </w:r>
      <w:r>
        <w:rPr>
          <w:spacing w:val="-11"/>
          <w:vertAlign w:val="baseline"/>
        </w:rPr>
        <w:t> </w:t>
      </w:r>
      <w:r>
        <w:rPr>
          <w:vertAlign w:val="baseline"/>
        </w:rPr>
        <w:t>demonstração de que a combinação de ambas as terapias (gênica/celular) determinou crescimento vascular (angiogênese) e repovoamento miocitário (miogênese) com consequente ganho funcional.</w:t>
      </w:r>
      <w:r>
        <w:rPr>
          <w:vertAlign w:val="superscript"/>
        </w:rPr>
        <w:t>8</w:t>
      </w:r>
    </w:p>
    <w:p>
      <w:pPr>
        <w:pStyle w:val="BodyText"/>
        <w:spacing w:before="171"/>
        <w:ind w:left="0" w:firstLine="0"/>
        <w:jc w:val="left"/>
      </w:pPr>
    </w:p>
    <w:p>
      <w:pPr>
        <w:pStyle w:val="Heading4"/>
        <w:jc w:val="both"/>
      </w:pPr>
      <w:r>
        <w:rPr>
          <w:color w:val="242B67"/>
        </w:rPr>
        <w:t>Células-tronco e progenitoras </w:t>
      </w:r>
      <w:r>
        <w:rPr>
          <w:color w:val="242B67"/>
          <w:spacing w:val="-2"/>
        </w:rPr>
        <w:t>hematopoéticas</w:t>
      </w:r>
    </w:p>
    <w:p>
      <w:pPr>
        <w:pStyle w:val="BodyText"/>
        <w:spacing w:line="276" w:lineRule="auto" w:before="148"/>
        <w:ind w:right="498"/>
      </w:pPr>
      <w:r>
        <w:rPr/>
        <w:t>Há</w:t>
      </w:r>
      <w:r>
        <w:rPr>
          <w:spacing w:val="-8"/>
        </w:rPr>
        <w:t> </w:t>
      </w:r>
      <w:r>
        <w:rPr/>
        <w:t>pelo</w:t>
      </w:r>
      <w:r>
        <w:rPr>
          <w:spacing w:val="-5"/>
        </w:rPr>
        <w:t> </w:t>
      </w:r>
      <w:r>
        <w:rPr/>
        <w:t>menos 50</w:t>
      </w:r>
      <w:r>
        <w:rPr>
          <w:spacing w:val="-5"/>
        </w:rPr>
        <w:t> </w:t>
      </w:r>
      <w:r>
        <w:rPr/>
        <w:t>anos, as células-tronco</w:t>
      </w:r>
      <w:r>
        <w:rPr>
          <w:spacing w:val="-5"/>
        </w:rPr>
        <w:t> </w:t>
      </w:r>
      <w:r>
        <w:rPr/>
        <w:t>hematopoéticas são</w:t>
      </w:r>
      <w:r>
        <w:rPr>
          <w:spacing w:val="-5"/>
        </w:rPr>
        <w:t> </w:t>
      </w:r>
      <w:r>
        <w:rPr/>
        <w:t>aquelas mais bem</w:t>
      </w:r>
      <w:r>
        <w:rPr>
          <w:spacing w:val="-5"/>
        </w:rPr>
        <w:t> </w:t>
      </w:r>
      <w:r>
        <w:rPr/>
        <w:t>caracterizadas entre</w:t>
      </w:r>
      <w:r>
        <w:rPr>
          <w:spacing w:val="-8"/>
        </w:rPr>
        <w:t> </w:t>
      </w:r>
      <w:r>
        <w:rPr/>
        <w:t>as células-tronco estudadas (de adulto, fetal e embrionária), o que levou à sua utilização terapêutica, juntamente às células progenitoras, no transplante de medula óssea.</w:t>
      </w:r>
    </w:p>
    <w:p>
      <w:pPr>
        <w:pStyle w:val="BodyText"/>
        <w:spacing w:line="278" w:lineRule="auto" w:before="48"/>
        <w:ind w:right="498"/>
      </w:pPr>
      <w:r>
        <w:rPr/>
        <w:t>A plasticidade dessas células em adquirir características de outras linhagens celulares diferentes das células hematopoéticas foi descrita recentemente e sua potencial utilização terapêutica para a reconstrução tecidual está sendo amplamente investigada.</w:t>
      </w:r>
      <w:r>
        <w:rPr>
          <w:vertAlign w:val="superscript"/>
        </w:rPr>
        <w:t>9,10</w:t>
      </w:r>
      <w:r>
        <w:rPr>
          <w:vertAlign w:val="baseline"/>
        </w:rPr>
        <w:t> As principais características que distinguem essas células de outros tipos celulares são a</w:t>
      </w:r>
      <w:r>
        <w:rPr>
          <w:spacing w:val="-2"/>
          <w:vertAlign w:val="baseline"/>
        </w:rPr>
        <w:t> </w:t>
      </w:r>
      <w:r>
        <w:rPr>
          <w:vertAlign w:val="baseline"/>
        </w:rPr>
        <w:t>capacidade</w:t>
      </w:r>
      <w:r>
        <w:rPr>
          <w:spacing w:val="-2"/>
          <w:vertAlign w:val="baseline"/>
        </w:rPr>
        <w:t> </w:t>
      </w:r>
      <w:r>
        <w:rPr>
          <w:vertAlign w:val="baseline"/>
        </w:rPr>
        <w:t>de</w:t>
      </w:r>
      <w:r>
        <w:rPr>
          <w:spacing w:val="-2"/>
          <w:vertAlign w:val="baseline"/>
        </w:rPr>
        <w:t> </w:t>
      </w:r>
      <w:r>
        <w:rPr>
          <w:vertAlign w:val="baseline"/>
        </w:rPr>
        <w:t>autorregeneração e</w:t>
      </w:r>
      <w:r>
        <w:rPr>
          <w:spacing w:val="-2"/>
          <w:vertAlign w:val="baseline"/>
        </w:rPr>
        <w:t> </w:t>
      </w:r>
      <w:r>
        <w:rPr>
          <w:vertAlign w:val="baseline"/>
        </w:rPr>
        <w:t>diferenciação em várias células especializadas, a</w:t>
      </w:r>
      <w:r>
        <w:rPr>
          <w:spacing w:val="-2"/>
          <w:vertAlign w:val="baseline"/>
        </w:rPr>
        <w:t> </w:t>
      </w:r>
      <w:r>
        <w:rPr>
          <w:vertAlign w:val="baseline"/>
        </w:rPr>
        <w:t>possibilidade</w:t>
      </w:r>
      <w:r>
        <w:rPr>
          <w:spacing w:val="-2"/>
          <w:vertAlign w:val="baseline"/>
        </w:rPr>
        <w:t> </w:t>
      </w:r>
      <w:r>
        <w:rPr>
          <w:vertAlign w:val="baseline"/>
        </w:rPr>
        <w:t>de mobilização a partir da medula óssea para a circulação e a capacidade de evoluir para a morte celular programada em circunstâncias específicas.</w:t>
      </w:r>
    </w:p>
    <w:p>
      <w:pPr>
        <w:pStyle w:val="BodyText"/>
        <w:ind w:left="414" w:firstLine="0"/>
      </w:pPr>
      <w:r>
        <w:rPr/>
        <w:t>Inicialmente,</w:t>
      </w:r>
      <w:r>
        <w:rPr>
          <w:spacing w:val="61"/>
          <w:w w:val="150"/>
        </w:rPr>
        <w:t> </w:t>
      </w:r>
      <w:r>
        <w:rPr/>
        <w:t>foi</w:t>
      </w:r>
      <w:r>
        <w:rPr>
          <w:spacing w:val="55"/>
          <w:w w:val="150"/>
        </w:rPr>
        <w:t> </w:t>
      </w:r>
      <w:r>
        <w:rPr/>
        <w:t>demonstrada</w:t>
      </w:r>
      <w:r>
        <w:rPr>
          <w:spacing w:val="78"/>
        </w:rPr>
        <w:t> </w:t>
      </w:r>
      <w:r>
        <w:rPr/>
        <w:t>a</w:t>
      </w:r>
      <w:r>
        <w:rPr>
          <w:spacing w:val="78"/>
        </w:rPr>
        <w:t> </w:t>
      </w:r>
      <w:r>
        <w:rPr/>
        <w:t>possibilidade</w:t>
      </w:r>
      <w:r>
        <w:rPr>
          <w:spacing w:val="79"/>
        </w:rPr>
        <w:t> </w:t>
      </w:r>
      <w:r>
        <w:rPr/>
        <w:t>de</w:t>
      </w:r>
      <w:r>
        <w:rPr>
          <w:spacing w:val="78"/>
        </w:rPr>
        <w:t> </w:t>
      </w:r>
      <w:r>
        <w:rPr/>
        <w:t>implantação</w:t>
      </w:r>
      <w:r>
        <w:rPr>
          <w:spacing w:val="53"/>
          <w:w w:val="150"/>
        </w:rPr>
        <w:t> </w:t>
      </w:r>
      <w:r>
        <w:rPr/>
        <w:t>de</w:t>
      </w:r>
      <w:r>
        <w:rPr>
          <w:spacing w:val="78"/>
        </w:rPr>
        <w:t> </w:t>
      </w:r>
      <w:r>
        <w:rPr/>
        <w:t>células-tronco</w:t>
      </w:r>
      <w:r>
        <w:rPr>
          <w:spacing w:val="53"/>
          <w:w w:val="150"/>
        </w:rPr>
        <w:t> </w:t>
      </w:r>
      <w:r>
        <w:rPr/>
        <w:t>e</w:t>
      </w:r>
      <w:r>
        <w:rPr>
          <w:spacing w:val="78"/>
        </w:rPr>
        <w:t> </w:t>
      </w:r>
      <w:r>
        <w:rPr/>
        <w:t>células</w:t>
      </w:r>
      <w:r>
        <w:rPr>
          <w:spacing w:val="61"/>
          <w:w w:val="150"/>
        </w:rPr>
        <w:t> </w:t>
      </w:r>
      <w:r>
        <w:rPr>
          <w:spacing w:val="-2"/>
        </w:rPr>
        <w:t>progenitoras</w:t>
      </w:r>
    </w:p>
    <w:p>
      <w:pPr>
        <w:pStyle w:val="BodyText"/>
        <w:spacing w:after="0"/>
        <w:sectPr>
          <w:pgSz w:w="11900" w:h="16840"/>
          <w:pgMar w:top="220" w:bottom="280" w:left="566" w:right="141"/>
        </w:sectPr>
      </w:pPr>
    </w:p>
    <w:p>
      <w:pPr>
        <w:pStyle w:val="BodyText"/>
        <w:spacing w:line="276" w:lineRule="auto" w:before="63"/>
        <w:ind w:right="497" w:firstLine="0"/>
      </w:pPr>
      <w:r>
        <w:rPr/>
        <w:t>hematopoéticas em tecido miocárdico lesado e sua posterior diferenciação em cardiomiócitos e células endoteliais vasculares</w:t>
      </w:r>
      <w:r>
        <w:rPr>
          <w:spacing w:val="-3"/>
        </w:rPr>
        <w:t> </w:t>
      </w:r>
      <w:r>
        <w:rPr/>
        <w:t>em</w:t>
      </w:r>
      <w:r>
        <w:rPr>
          <w:spacing w:val="-10"/>
        </w:rPr>
        <w:t> </w:t>
      </w:r>
      <w:r>
        <w:rPr/>
        <w:t>diferentes</w:t>
      </w:r>
      <w:r>
        <w:rPr>
          <w:spacing w:val="-3"/>
        </w:rPr>
        <w:t> </w:t>
      </w:r>
      <w:r>
        <w:rPr/>
        <w:t>tipos</w:t>
      </w:r>
      <w:r>
        <w:rPr>
          <w:spacing w:val="-3"/>
        </w:rPr>
        <w:t> </w:t>
      </w:r>
      <w:r>
        <w:rPr/>
        <w:t>de</w:t>
      </w:r>
      <w:r>
        <w:rPr>
          <w:spacing w:val="-13"/>
        </w:rPr>
        <w:t> </w:t>
      </w:r>
      <w:r>
        <w:rPr/>
        <w:t>experimentos.</w:t>
      </w:r>
      <w:r>
        <w:rPr>
          <w:spacing w:val="-3"/>
        </w:rPr>
        <w:t> </w:t>
      </w:r>
      <w:r>
        <w:rPr/>
        <w:t>Ainda</w:t>
      </w:r>
      <w:r>
        <w:rPr>
          <w:spacing w:val="-13"/>
        </w:rPr>
        <w:t> </w:t>
      </w:r>
      <w:r>
        <w:rPr/>
        <w:t>que</w:t>
      </w:r>
      <w:r>
        <w:rPr>
          <w:spacing w:val="-13"/>
        </w:rPr>
        <w:t> </w:t>
      </w:r>
      <w:r>
        <w:rPr/>
        <w:t>o</w:t>
      </w:r>
      <w:r>
        <w:rPr>
          <w:spacing w:val="-10"/>
        </w:rPr>
        <w:t> </w:t>
      </w:r>
      <w:r>
        <w:rPr/>
        <w:t>papel</w:t>
      </w:r>
      <w:r>
        <w:rPr>
          <w:spacing w:val="-8"/>
        </w:rPr>
        <w:t> </w:t>
      </w:r>
      <w:r>
        <w:rPr/>
        <w:t>dessas</w:t>
      </w:r>
      <w:r>
        <w:rPr>
          <w:spacing w:val="-3"/>
        </w:rPr>
        <w:t> </w:t>
      </w:r>
      <w:r>
        <w:rPr/>
        <w:t>células</w:t>
      </w:r>
      <w:r>
        <w:rPr>
          <w:spacing w:val="-3"/>
        </w:rPr>
        <w:t> </w:t>
      </w:r>
      <w:r>
        <w:rPr/>
        <w:t>na</w:t>
      </w:r>
      <w:r>
        <w:rPr>
          <w:spacing w:val="-13"/>
        </w:rPr>
        <w:t> </w:t>
      </w:r>
      <w:r>
        <w:rPr/>
        <w:t>remodelação</w:t>
      </w:r>
      <w:r>
        <w:rPr>
          <w:spacing w:val="-10"/>
        </w:rPr>
        <w:t> </w:t>
      </w:r>
      <w:r>
        <w:rPr/>
        <w:t>tecidual</w:t>
      </w:r>
      <w:r>
        <w:rPr>
          <w:spacing w:val="-8"/>
        </w:rPr>
        <w:t> </w:t>
      </w:r>
      <w:r>
        <w:rPr/>
        <w:t>não</w:t>
      </w:r>
      <w:r>
        <w:rPr>
          <w:spacing w:val="-10"/>
        </w:rPr>
        <w:t> </w:t>
      </w:r>
      <w:r>
        <w:rPr/>
        <w:t>tenha sido</w:t>
      </w:r>
      <w:r>
        <w:rPr>
          <w:spacing w:val="-6"/>
        </w:rPr>
        <w:t> </w:t>
      </w:r>
      <w:r>
        <w:rPr/>
        <w:t>completamente</w:t>
      </w:r>
      <w:r>
        <w:rPr>
          <w:spacing w:val="-9"/>
        </w:rPr>
        <w:t> </w:t>
      </w:r>
      <w:r>
        <w:rPr/>
        <w:t>elucidado, admite-se</w:t>
      </w:r>
      <w:r>
        <w:rPr>
          <w:spacing w:val="-9"/>
        </w:rPr>
        <w:t> </w:t>
      </w:r>
      <w:r>
        <w:rPr/>
        <w:t>que</w:t>
      </w:r>
      <w:r>
        <w:rPr>
          <w:spacing w:val="-9"/>
        </w:rPr>
        <w:t> </w:t>
      </w:r>
      <w:r>
        <w:rPr/>
        <w:t>a</w:t>
      </w:r>
      <w:r>
        <w:rPr>
          <w:spacing w:val="-9"/>
        </w:rPr>
        <w:t> </w:t>
      </w:r>
      <w:r>
        <w:rPr/>
        <w:t>manipulação</w:t>
      </w:r>
      <w:r>
        <w:rPr>
          <w:spacing w:val="-6"/>
        </w:rPr>
        <w:t> </w:t>
      </w:r>
      <w:r>
        <w:rPr/>
        <w:t>e</w:t>
      </w:r>
      <w:r>
        <w:rPr>
          <w:spacing w:val="-9"/>
        </w:rPr>
        <w:t> </w:t>
      </w:r>
      <w:r>
        <w:rPr/>
        <w:t>plasticidade</w:t>
      </w:r>
      <w:r>
        <w:rPr>
          <w:spacing w:val="-9"/>
        </w:rPr>
        <w:t> </w:t>
      </w:r>
      <w:r>
        <w:rPr/>
        <w:t>potencial</w:t>
      </w:r>
      <w:r>
        <w:rPr>
          <w:spacing w:val="-4"/>
        </w:rPr>
        <w:t> </w:t>
      </w:r>
      <w:r>
        <w:rPr/>
        <w:t>inerente</w:t>
      </w:r>
      <w:r>
        <w:rPr>
          <w:spacing w:val="-9"/>
        </w:rPr>
        <w:t> </w:t>
      </w:r>
      <w:r>
        <w:rPr/>
        <w:t>a</w:t>
      </w:r>
      <w:r>
        <w:rPr>
          <w:spacing w:val="-9"/>
        </w:rPr>
        <w:t> </w:t>
      </w:r>
      <w:r>
        <w:rPr/>
        <w:t>esses tipos celulares possibilitem sua utilização terapêutica em diferentes situações, no intuito de se obter melhora funcional e aumento de vascularização, como do coração na cardiopatia isquêmica.</w:t>
      </w:r>
    </w:p>
    <w:p>
      <w:pPr>
        <w:pStyle w:val="BodyText"/>
        <w:spacing w:line="276" w:lineRule="auto" w:before="78"/>
        <w:ind w:right="497"/>
      </w:pPr>
      <w:r>
        <w:rPr/>
        <w:t>Kehat</w:t>
      </w:r>
      <w:r>
        <w:rPr>
          <w:spacing w:val="-10"/>
        </w:rPr>
        <w:t> </w:t>
      </w:r>
      <w:r>
        <w:rPr>
          <w:i/>
        </w:rPr>
        <w:t>et</w:t>
      </w:r>
      <w:r>
        <w:rPr>
          <w:i/>
          <w:spacing w:val="-10"/>
        </w:rPr>
        <w:t> </w:t>
      </w:r>
      <w:r>
        <w:rPr>
          <w:i/>
        </w:rPr>
        <w:t>al</w:t>
      </w:r>
      <w:r>
        <w:rPr/>
        <w:t>.,</w:t>
      </w:r>
      <w:r>
        <w:rPr>
          <w:vertAlign w:val="superscript"/>
        </w:rPr>
        <w:t>11</w:t>
      </w:r>
      <w:r>
        <w:rPr>
          <w:spacing w:val="-5"/>
          <w:vertAlign w:val="baseline"/>
        </w:rPr>
        <w:t> </w:t>
      </w:r>
      <w:r>
        <w:rPr>
          <w:vertAlign w:val="baseline"/>
        </w:rPr>
        <w:t>utilizando</w:t>
      </w:r>
      <w:r>
        <w:rPr>
          <w:spacing w:val="-12"/>
          <w:vertAlign w:val="baseline"/>
        </w:rPr>
        <w:t> </w:t>
      </w:r>
      <w:r>
        <w:rPr>
          <w:vertAlign w:val="baseline"/>
        </w:rPr>
        <w:t>células-tronco</w:t>
      </w:r>
      <w:r>
        <w:rPr>
          <w:spacing w:val="-12"/>
          <w:vertAlign w:val="baseline"/>
        </w:rPr>
        <w:t> </w:t>
      </w:r>
      <w:r>
        <w:rPr>
          <w:vertAlign w:val="baseline"/>
        </w:rPr>
        <w:t>embrionárias,</w:t>
      </w:r>
      <w:r>
        <w:rPr>
          <w:spacing w:val="-4"/>
          <w:vertAlign w:val="baseline"/>
        </w:rPr>
        <w:t> </w:t>
      </w:r>
      <w:r>
        <w:rPr>
          <w:vertAlign w:val="baseline"/>
        </w:rPr>
        <w:t>foram</w:t>
      </w:r>
      <w:r>
        <w:rPr>
          <w:spacing w:val="-12"/>
          <w:vertAlign w:val="baseline"/>
        </w:rPr>
        <w:t> </w:t>
      </w:r>
      <w:r>
        <w:rPr>
          <w:vertAlign w:val="baseline"/>
        </w:rPr>
        <w:t>capazes</w:t>
      </w:r>
      <w:r>
        <w:rPr>
          <w:spacing w:val="-4"/>
          <w:vertAlign w:val="baseline"/>
        </w:rPr>
        <w:t> </w:t>
      </w:r>
      <w:r>
        <w:rPr>
          <w:vertAlign w:val="baseline"/>
        </w:rPr>
        <w:t>de</w:t>
      </w:r>
      <w:r>
        <w:rPr>
          <w:spacing w:val="-14"/>
          <w:vertAlign w:val="baseline"/>
        </w:rPr>
        <w:t> </w:t>
      </w:r>
      <w:r>
        <w:rPr>
          <w:vertAlign w:val="baseline"/>
        </w:rPr>
        <w:t>identificar,</w:t>
      </w:r>
      <w:r>
        <w:rPr>
          <w:spacing w:val="-4"/>
          <w:vertAlign w:val="baseline"/>
        </w:rPr>
        <w:t> </w:t>
      </w:r>
      <w:r>
        <w:rPr>
          <w:vertAlign w:val="baseline"/>
        </w:rPr>
        <w:t>separar</w:t>
      </w:r>
      <w:r>
        <w:rPr>
          <w:spacing w:val="-6"/>
          <w:vertAlign w:val="baseline"/>
        </w:rPr>
        <w:t> </w:t>
      </w:r>
      <w:r>
        <w:rPr>
          <w:vertAlign w:val="baseline"/>
        </w:rPr>
        <w:t>e</w:t>
      </w:r>
      <w:r>
        <w:rPr>
          <w:spacing w:val="-14"/>
          <w:vertAlign w:val="baseline"/>
        </w:rPr>
        <w:t> </w:t>
      </w:r>
      <w:r>
        <w:rPr>
          <w:vertAlign w:val="baseline"/>
        </w:rPr>
        <w:t>caracterizar</w:t>
      </w:r>
      <w:r>
        <w:rPr>
          <w:spacing w:val="-6"/>
          <w:vertAlign w:val="baseline"/>
        </w:rPr>
        <w:t> </w:t>
      </w:r>
      <w:r>
        <w:rPr>
          <w:vertAlign w:val="baseline"/>
        </w:rPr>
        <w:t>células com propriedades funcionais e estruturais de cardiomiócitos nos primeiros estágios do desenvolvimento, abrindo novas possibilidades de uso terapêutico nas áreas de diferenciação cardíaca e terapia celular. A plasticidade de algumas linhagens celulares (células embrionárias, células-tronco e células progenitoras hematopoéticas), que se diferenciam </w:t>
      </w:r>
      <w:r>
        <w:rPr>
          <w:i/>
          <w:vertAlign w:val="baseline"/>
        </w:rPr>
        <w:t>in vitro </w:t>
      </w:r>
      <w:r>
        <w:rPr>
          <w:vertAlign w:val="baseline"/>
        </w:rPr>
        <w:t>em cardiomiócitos, células endoteliais e células musculares lisas, possibilitou o seu emprego em modelos animais de IAM, com evidente melhora funcional subsequente ao seu uso.</w:t>
      </w:r>
    </w:p>
    <w:p>
      <w:pPr>
        <w:pStyle w:val="BodyText"/>
        <w:spacing w:line="276" w:lineRule="auto" w:before="49"/>
        <w:ind w:right="501"/>
      </w:pPr>
      <w:r>
        <w:rPr/>
        <w:t>Nas últimas décadas, as células-tronco embrionárias caracterizaram-se por sua capacidade de plasticidade, potencial de multiplicação por divisão assimétrica (mantendo sua autorrenovação) e armazenamento que as tornariam aptas para</w:t>
      </w:r>
      <w:r>
        <w:rPr>
          <w:spacing w:val="-2"/>
        </w:rPr>
        <w:t> </w:t>
      </w:r>
      <w:r>
        <w:rPr/>
        <w:t>o emprego imediato em terapia</w:t>
      </w:r>
      <w:r>
        <w:rPr>
          <w:spacing w:val="-2"/>
        </w:rPr>
        <w:t> </w:t>
      </w:r>
      <w:r>
        <w:rPr/>
        <w:t>celular para</w:t>
      </w:r>
      <w:r>
        <w:rPr>
          <w:spacing w:val="-2"/>
        </w:rPr>
        <w:t> </w:t>
      </w:r>
      <w:r>
        <w:rPr/>
        <w:t>remodelação tecidual. Questões éticas (por serem essas células obtidas da porção interna do blastocisto) e imunológicas (contornáveis pela transferência nuclear, conhecida como clonagem terapêutica), contudo, restringem seu uso.</w:t>
      </w:r>
    </w:p>
    <w:p>
      <w:pPr>
        <w:pStyle w:val="BodyText"/>
        <w:spacing w:before="134"/>
        <w:ind w:left="0" w:firstLine="0"/>
        <w:jc w:val="left"/>
      </w:pPr>
    </w:p>
    <w:p>
      <w:pPr>
        <w:pStyle w:val="Heading5"/>
        <w:jc w:val="both"/>
      </w:pPr>
      <w:r>
        <w:rPr>
          <w:color w:val="A26108"/>
        </w:rPr>
        <w:t>Terapia</w:t>
      </w:r>
      <w:r>
        <w:rPr>
          <w:color w:val="A26108"/>
          <w:spacing w:val="21"/>
        </w:rPr>
        <w:t> </w:t>
      </w:r>
      <w:r>
        <w:rPr>
          <w:color w:val="A26108"/>
        </w:rPr>
        <w:t>celular</w:t>
      </w:r>
      <w:r>
        <w:rPr>
          <w:color w:val="A26108"/>
          <w:spacing w:val="21"/>
        </w:rPr>
        <w:t> </w:t>
      </w:r>
      <w:r>
        <w:rPr>
          <w:color w:val="A26108"/>
        </w:rPr>
        <w:t>nas</w:t>
      </w:r>
      <w:r>
        <w:rPr>
          <w:color w:val="A26108"/>
          <w:spacing w:val="21"/>
        </w:rPr>
        <w:t> </w:t>
      </w:r>
      <w:r>
        <w:rPr>
          <w:color w:val="A26108"/>
        </w:rPr>
        <w:t>cardiopatias</w:t>
      </w:r>
      <w:r>
        <w:rPr>
          <w:color w:val="A26108"/>
          <w:spacing w:val="21"/>
        </w:rPr>
        <w:t> </w:t>
      </w:r>
      <w:r>
        <w:rPr>
          <w:color w:val="A26108"/>
        </w:rPr>
        <w:t>e</w:t>
      </w:r>
      <w:r>
        <w:rPr>
          <w:color w:val="A26108"/>
          <w:spacing w:val="21"/>
        </w:rPr>
        <w:t> </w:t>
      </w:r>
      <w:r>
        <w:rPr>
          <w:color w:val="A26108"/>
        </w:rPr>
        <w:t>na</w:t>
      </w:r>
      <w:r>
        <w:rPr>
          <w:color w:val="A26108"/>
          <w:spacing w:val="21"/>
        </w:rPr>
        <w:t> </w:t>
      </w:r>
      <w:r>
        <w:rPr>
          <w:color w:val="A26108"/>
        </w:rPr>
        <w:t>insuficiência</w:t>
      </w:r>
      <w:r>
        <w:rPr>
          <w:color w:val="A26108"/>
          <w:spacing w:val="21"/>
        </w:rPr>
        <w:t> </w:t>
      </w:r>
      <w:r>
        <w:rPr>
          <w:color w:val="A26108"/>
        </w:rPr>
        <w:t>arterial</w:t>
      </w:r>
      <w:r>
        <w:rPr>
          <w:color w:val="A26108"/>
          <w:spacing w:val="22"/>
        </w:rPr>
        <w:t> </w:t>
      </w:r>
      <w:r>
        <w:rPr>
          <w:color w:val="A26108"/>
          <w:spacing w:val="-2"/>
        </w:rPr>
        <w:t>periférica</w:t>
      </w:r>
    </w:p>
    <w:p>
      <w:pPr>
        <w:pStyle w:val="BodyText"/>
        <w:spacing w:line="280" w:lineRule="auto" w:before="138"/>
        <w:ind w:right="497"/>
      </w:pPr>
      <w:r>
        <w:rPr/>
        <w:t>Na busca de uma alternativa às células-tronco embrionárias, identificou-se como opção o emprego de células-tronco com capacidade de plasticidade obtidas de tecidos adultos. Orlic </w:t>
      </w:r>
      <w:r>
        <w:rPr>
          <w:i/>
        </w:rPr>
        <w:t>et al</w:t>
      </w:r>
      <w:r>
        <w:rPr/>
        <w:t>.,</w:t>
      </w:r>
      <w:r>
        <w:rPr>
          <w:vertAlign w:val="superscript"/>
        </w:rPr>
        <w:t>12</w:t>
      </w:r>
      <w:r>
        <w:rPr>
          <w:vertAlign w:val="baseline"/>
        </w:rPr>
        <w:t> em modelo de IAM, injetaram na área</w:t>
      </w:r>
      <w:r>
        <w:rPr>
          <w:spacing w:val="-15"/>
          <w:vertAlign w:val="baseline"/>
        </w:rPr>
        <w:t> </w:t>
      </w:r>
      <w:r>
        <w:rPr>
          <w:vertAlign w:val="baseline"/>
        </w:rPr>
        <w:t>perilesional</w:t>
      </w:r>
      <w:r>
        <w:rPr>
          <w:spacing w:val="-11"/>
          <w:vertAlign w:val="baseline"/>
        </w:rPr>
        <w:t> </w:t>
      </w:r>
      <w:r>
        <w:rPr>
          <w:vertAlign w:val="baseline"/>
        </w:rPr>
        <w:t>2×10</w:t>
      </w:r>
      <w:r>
        <w:rPr>
          <w:vertAlign w:val="superscript"/>
        </w:rPr>
        <w:t>5</w:t>
      </w:r>
      <w:r>
        <w:rPr>
          <w:spacing w:val="-3"/>
          <w:vertAlign w:val="baseline"/>
        </w:rPr>
        <w:t> </w:t>
      </w:r>
      <w:r>
        <w:rPr>
          <w:vertAlign w:val="baseline"/>
        </w:rPr>
        <w:t>células-tronco</w:t>
      </w:r>
      <w:r>
        <w:rPr>
          <w:spacing w:val="-10"/>
          <w:vertAlign w:val="baseline"/>
        </w:rPr>
        <w:t> </w:t>
      </w:r>
      <w:r>
        <w:rPr>
          <w:vertAlign w:val="baseline"/>
        </w:rPr>
        <w:t>hematopoéticas.</w:t>
      </w:r>
      <w:r>
        <w:rPr>
          <w:spacing w:val="-2"/>
          <w:vertAlign w:val="baseline"/>
        </w:rPr>
        <w:t> </w:t>
      </w:r>
      <w:r>
        <w:rPr>
          <w:vertAlign w:val="baseline"/>
        </w:rPr>
        <w:t>A</w:t>
      </w:r>
      <w:r>
        <w:rPr>
          <w:spacing w:val="-12"/>
          <w:vertAlign w:val="baseline"/>
        </w:rPr>
        <w:t> </w:t>
      </w:r>
      <w:r>
        <w:rPr>
          <w:vertAlign w:val="baseline"/>
        </w:rPr>
        <w:t>análise</w:t>
      </w:r>
      <w:r>
        <w:rPr>
          <w:spacing w:val="-12"/>
          <w:vertAlign w:val="baseline"/>
        </w:rPr>
        <w:t> </w:t>
      </w:r>
      <w:r>
        <w:rPr>
          <w:vertAlign w:val="baseline"/>
        </w:rPr>
        <w:t>imuno-histoquímica</w:t>
      </w:r>
      <w:r>
        <w:rPr>
          <w:spacing w:val="-12"/>
          <w:vertAlign w:val="baseline"/>
        </w:rPr>
        <w:t> </w:t>
      </w:r>
      <w:r>
        <w:rPr>
          <w:vertAlign w:val="baseline"/>
        </w:rPr>
        <w:t>da</w:t>
      </w:r>
      <w:r>
        <w:rPr>
          <w:spacing w:val="-12"/>
          <w:vertAlign w:val="baseline"/>
        </w:rPr>
        <w:t> </w:t>
      </w:r>
      <w:r>
        <w:rPr>
          <w:vertAlign w:val="baseline"/>
        </w:rPr>
        <w:t>região</w:t>
      </w:r>
      <w:r>
        <w:rPr>
          <w:spacing w:val="-10"/>
          <w:vertAlign w:val="baseline"/>
        </w:rPr>
        <w:t> </w:t>
      </w:r>
      <w:r>
        <w:rPr>
          <w:vertAlign w:val="baseline"/>
        </w:rPr>
        <w:t>infartada</w:t>
      </w:r>
      <w:r>
        <w:rPr>
          <w:spacing w:val="-12"/>
          <w:vertAlign w:val="baseline"/>
        </w:rPr>
        <w:t> </w:t>
      </w:r>
      <w:r>
        <w:rPr>
          <w:vertAlign w:val="baseline"/>
        </w:rPr>
        <w:t>identificou 53% de cardiomiócitos, 44% de células endoteliais e 49% de células musculares lisas como provenientes das células-tronco injetadas. A avaliação da função ventricular revelou um ganho médio de 30% em relação aos </w:t>
      </w:r>
      <w:r>
        <w:rPr>
          <w:spacing w:val="-2"/>
          <w:vertAlign w:val="baseline"/>
        </w:rPr>
        <w:t>animais-controle.</w:t>
      </w:r>
    </w:p>
    <w:p>
      <w:pPr>
        <w:pStyle w:val="BodyText"/>
        <w:spacing w:line="276" w:lineRule="auto" w:before="66"/>
        <w:ind w:right="491"/>
      </w:pPr>
      <w:r>
        <w:rPr/>
        <w:t>Asahara</w:t>
      </w:r>
      <w:r>
        <w:rPr>
          <w:vertAlign w:val="superscript"/>
        </w:rPr>
        <w:t>13</w:t>
      </w:r>
      <w:r>
        <w:rPr>
          <w:vertAlign w:val="baseline"/>
        </w:rPr>
        <w:t> e Kocher</w:t>
      </w:r>
      <w:r>
        <w:rPr>
          <w:vertAlign w:val="superscript"/>
        </w:rPr>
        <w:t>14</w:t>
      </w:r>
      <w:r>
        <w:rPr>
          <w:vertAlign w:val="baseline"/>
        </w:rPr>
        <w:t> igualmente mostraram que células endoteliais progenitoras humanas mobilizadas com fator</w:t>
      </w:r>
      <w:r>
        <w:rPr>
          <w:spacing w:val="-5"/>
          <w:vertAlign w:val="baseline"/>
        </w:rPr>
        <w:t> </w:t>
      </w:r>
      <w:r>
        <w:rPr>
          <w:vertAlign w:val="baseline"/>
        </w:rPr>
        <w:t>estimulador</w:t>
      </w:r>
      <w:r>
        <w:rPr>
          <w:spacing w:val="-5"/>
          <w:vertAlign w:val="baseline"/>
        </w:rPr>
        <w:t> </w:t>
      </w:r>
      <w:r>
        <w:rPr>
          <w:vertAlign w:val="baseline"/>
        </w:rPr>
        <w:t>de</w:t>
      </w:r>
      <w:r>
        <w:rPr>
          <w:spacing w:val="-12"/>
          <w:vertAlign w:val="baseline"/>
        </w:rPr>
        <w:t> </w:t>
      </w:r>
      <w:r>
        <w:rPr>
          <w:vertAlign w:val="baseline"/>
        </w:rPr>
        <w:t>colônias</w:t>
      </w:r>
      <w:r>
        <w:rPr>
          <w:spacing w:val="-2"/>
          <w:vertAlign w:val="baseline"/>
        </w:rPr>
        <w:t> </w:t>
      </w:r>
      <w:r>
        <w:rPr>
          <w:vertAlign w:val="baseline"/>
        </w:rPr>
        <w:t>de</w:t>
      </w:r>
      <w:r>
        <w:rPr>
          <w:spacing w:val="-12"/>
          <w:vertAlign w:val="baseline"/>
        </w:rPr>
        <w:t> </w:t>
      </w:r>
      <w:r>
        <w:rPr>
          <w:vertAlign w:val="baseline"/>
        </w:rPr>
        <w:t>granulócitos</w:t>
      </w:r>
      <w:r>
        <w:rPr>
          <w:spacing w:val="-2"/>
          <w:vertAlign w:val="baseline"/>
        </w:rPr>
        <w:t> </w:t>
      </w:r>
      <w:r>
        <w:rPr>
          <w:vertAlign w:val="baseline"/>
        </w:rPr>
        <w:t>(G-CSF;</w:t>
      </w:r>
      <w:r>
        <w:rPr>
          <w:spacing w:val="-7"/>
          <w:vertAlign w:val="baseline"/>
        </w:rPr>
        <w:t> </w:t>
      </w:r>
      <w:r>
        <w:rPr>
          <w:i/>
          <w:vertAlign w:val="baseline"/>
        </w:rPr>
        <w:t>granulocyte</w:t>
      </w:r>
      <w:r>
        <w:rPr>
          <w:i/>
          <w:spacing w:val="-12"/>
          <w:vertAlign w:val="baseline"/>
        </w:rPr>
        <w:t> </w:t>
      </w:r>
      <w:r>
        <w:rPr>
          <w:i/>
          <w:vertAlign w:val="baseline"/>
        </w:rPr>
        <w:t>colony</w:t>
      </w:r>
      <w:r>
        <w:rPr>
          <w:i/>
          <w:spacing w:val="-12"/>
          <w:vertAlign w:val="baseline"/>
        </w:rPr>
        <w:t> </w:t>
      </w:r>
      <w:r>
        <w:rPr>
          <w:i/>
          <w:vertAlign w:val="baseline"/>
        </w:rPr>
        <w:t>stimulating</w:t>
      </w:r>
      <w:r>
        <w:rPr>
          <w:i/>
          <w:spacing w:val="-9"/>
          <w:vertAlign w:val="baseline"/>
        </w:rPr>
        <w:t> </w:t>
      </w:r>
      <w:r>
        <w:rPr>
          <w:i/>
          <w:vertAlign w:val="baseline"/>
        </w:rPr>
        <w:t>factor</w:t>
      </w:r>
      <w:r>
        <w:rPr>
          <w:vertAlign w:val="baseline"/>
        </w:rPr>
        <w:t>) ou</w:t>
      </w:r>
      <w:r>
        <w:rPr>
          <w:spacing w:val="-5"/>
          <w:vertAlign w:val="baseline"/>
        </w:rPr>
        <w:t> </w:t>
      </w:r>
      <w:r>
        <w:rPr>
          <w:vertAlign w:val="baseline"/>
        </w:rPr>
        <w:t>cultivadas, quando injetadas na</w:t>
      </w:r>
      <w:r>
        <w:rPr>
          <w:spacing w:val="-3"/>
          <w:vertAlign w:val="baseline"/>
        </w:rPr>
        <w:t> </w:t>
      </w:r>
      <w:r>
        <w:rPr>
          <w:vertAlign w:val="baseline"/>
        </w:rPr>
        <w:t>veia</w:t>
      </w:r>
      <w:r>
        <w:rPr>
          <w:spacing w:val="-3"/>
          <w:vertAlign w:val="baseline"/>
        </w:rPr>
        <w:t> </w:t>
      </w:r>
      <w:r>
        <w:rPr>
          <w:vertAlign w:val="baseline"/>
        </w:rPr>
        <w:t>caudal de</w:t>
      </w:r>
      <w:r>
        <w:rPr>
          <w:spacing w:val="-3"/>
          <w:vertAlign w:val="baseline"/>
        </w:rPr>
        <w:t> </w:t>
      </w:r>
      <w:r>
        <w:rPr>
          <w:vertAlign w:val="baseline"/>
        </w:rPr>
        <w:t>ratos atímicos após a</w:t>
      </w:r>
      <w:r>
        <w:rPr>
          <w:spacing w:val="-3"/>
          <w:vertAlign w:val="baseline"/>
        </w:rPr>
        <w:t> </w:t>
      </w:r>
      <w:r>
        <w:rPr>
          <w:vertAlign w:val="baseline"/>
        </w:rPr>
        <w:t>ligadura</w:t>
      </w:r>
      <w:r>
        <w:rPr>
          <w:spacing w:val="-3"/>
          <w:vertAlign w:val="baseline"/>
        </w:rPr>
        <w:t> </w:t>
      </w:r>
      <w:r>
        <w:rPr>
          <w:vertAlign w:val="baseline"/>
        </w:rPr>
        <w:t>da</w:t>
      </w:r>
      <w:r>
        <w:rPr>
          <w:spacing w:val="-3"/>
          <w:vertAlign w:val="baseline"/>
        </w:rPr>
        <w:t> </w:t>
      </w:r>
      <w:r>
        <w:rPr>
          <w:vertAlign w:val="baseline"/>
        </w:rPr>
        <w:t>artéria</w:t>
      </w:r>
      <w:r>
        <w:rPr>
          <w:spacing w:val="-3"/>
          <w:vertAlign w:val="baseline"/>
        </w:rPr>
        <w:t> </w:t>
      </w:r>
      <w:r>
        <w:rPr>
          <w:vertAlign w:val="baseline"/>
        </w:rPr>
        <w:t>coronária</w:t>
      </w:r>
      <w:r>
        <w:rPr>
          <w:spacing w:val="-3"/>
          <w:vertAlign w:val="baseline"/>
        </w:rPr>
        <w:t> </w:t>
      </w:r>
      <w:r>
        <w:rPr>
          <w:vertAlign w:val="baseline"/>
        </w:rPr>
        <w:t>esquerda, acarretavam</w:t>
      </w:r>
      <w:r>
        <w:rPr>
          <w:spacing w:val="-1"/>
          <w:vertAlign w:val="baseline"/>
        </w:rPr>
        <w:t> </w:t>
      </w:r>
      <w:r>
        <w:rPr>
          <w:vertAlign w:val="baseline"/>
        </w:rPr>
        <w:t>diminuição</w:t>
      </w:r>
      <w:r>
        <w:rPr>
          <w:spacing w:val="-1"/>
          <w:vertAlign w:val="baseline"/>
        </w:rPr>
        <w:t> </w:t>
      </w:r>
      <w:r>
        <w:rPr>
          <w:vertAlign w:val="baseline"/>
        </w:rPr>
        <w:t>da área de necrose em cerca de 30%, além de aumento da vascularização e consequente preservação da função </w:t>
      </w:r>
      <w:r>
        <w:rPr>
          <w:spacing w:val="-2"/>
          <w:vertAlign w:val="baseline"/>
        </w:rPr>
        <w:t>ventricular.</w:t>
      </w:r>
    </w:p>
    <w:p>
      <w:pPr>
        <w:pStyle w:val="BodyText"/>
        <w:spacing w:line="280" w:lineRule="auto"/>
        <w:ind w:right="495"/>
      </w:pPr>
      <w:r>
        <w:rPr/>
        <w:t>Também em modelos de isquemia arterial periférica, já apareceram evidências sugerindo um potencial papel terapêutico da terapia celular. Kalka </w:t>
      </w:r>
      <w:r>
        <w:rPr>
          <w:i/>
        </w:rPr>
        <w:t>et al</w:t>
      </w:r>
      <w:r>
        <w:rPr/>
        <w:t>.</w:t>
      </w:r>
      <w:r>
        <w:rPr>
          <w:vertAlign w:val="superscript"/>
        </w:rPr>
        <w:t>15</w:t>
      </w:r>
      <w:r>
        <w:rPr>
          <w:vertAlign w:val="baseline"/>
        </w:rPr>
        <w:t> isolaram células endoteliais progenitoras do sangue periférico de voluntários humanos, cultivaram-nas e fizeram marcação fluorescente destas células. Em seguida, 5×10</w:t>
      </w:r>
      <w:r>
        <w:rPr>
          <w:vertAlign w:val="superscript"/>
        </w:rPr>
        <w:t>5</w:t>
      </w:r>
      <w:r>
        <w:rPr>
          <w:vertAlign w:val="baseline"/>
        </w:rPr>
        <w:t> dessas células</w:t>
      </w:r>
      <w:r>
        <w:rPr>
          <w:spacing w:val="-2"/>
          <w:vertAlign w:val="baseline"/>
        </w:rPr>
        <w:t> </w:t>
      </w:r>
      <w:r>
        <w:rPr>
          <w:vertAlign w:val="baseline"/>
        </w:rPr>
        <w:t>foram</w:t>
      </w:r>
      <w:r>
        <w:rPr>
          <w:spacing w:val="-9"/>
          <w:vertAlign w:val="baseline"/>
        </w:rPr>
        <w:t> </w:t>
      </w:r>
      <w:r>
        <w:rPr>
          <w:vertAlign w:val="baseline"/>
        </w:rPr>
        <w:t>injetadas</w:t>
      </w:r>
      <w:r>
        <w:rPr>
          <w:spacing w:val="-2"/>
          <w:vertAlign w:val="baseline"/>
        </w:rPr>
        <w:t> </w:t>
      </w:r>
      <w:r>
        <w:rPr>
          <w:vertAlign w:val="baseline"/>
        </w:rPr>
        <w:t>em</w:t>
      </w:r>
      <w:r>
        <w:rPr>
          <w:spacing w:val="-9"/>
          <w:vertAlign w:val="baseline"/>
        </w:rPr>
        <w:t> </w:t>
      </w:r>
      <w:r>
        <w:rPr>
          <w:vertAlign w:val="baseline"/>
        </w:rPr>
        <w:t>camundongos</w:t>
      </w:r>
      <w:r>
        <w:rPr>
          <w:spacing w:val="-2"/>
          <w:vertAlign w:val="baseline"/>
        </w:rPr>
        <w:t> </w:t>
      </w:r>
      <w:r>
        <w:rPr>
          <w:vertAlign w:val="baseline"/>
        </w:rPr>
        <w:t>atímicos</w:t>
      </w:r>
      <w:r>
        <w:rPr>
          <w:spacing w:val="-2"/>
          <w:vertAlign w:val="baseline"/>
        </w:rPr>
        <w:t> </w:t>
      </w:r>
      <w:r>
        <w:rPr>
          <w:vertAlign w:val="baseline"/>
        </w:rPr>
        <w:t>com</w:t>
      </w:r>
      <w:r>
        <w:rPr>
          <w:spacing w:val="-9"/>
          <w:vertAlign w:val="baseline"/>
        </w:rPr>
        <w:t> </w:t>
      </w:r>
      <w:r>
        <w:rPr>
          <w:vertAlign w:val="baseline"/>
        </w:rPr>
        <w:t>isquemia</w:t>
      </w:r>
      <w:r>
        <w:rPr>
          <w:spacing w:val="-12"/>
          <w:vertAlign w:val="baseline"/>
        </w:rPr>
        <w:t> </w:t>
      </w:r>
      <w:r>
        <w:rPr>
          <w:vertAlign w:val="baseline"/>
        </w:rPr>
        <w:t>periférica</w:t>
      </w:r>
      <w:r>
        <w:rPr>
          <w:spacing w:val="-12"/>
          <w:vertAlign w:val="baseline"/>
        </w:rPr>
        <w:t> </w:t>
      </w:r>
      <w:r>
        <w:rPr>
          <w:vertAlign w:val="baseline"/>
        </w:rPr>
        <w:t>induzida</w:t>
      </w:r>
      <w:r>
        <w:rPr>
          <w:spacing w:val="-12"/>
          <w:vertAlign w:val="baseline"/>
        </w:rPr>
        <w:t> </w:t>
      </w:r>
      <w:r>
        <w:rPr>
          <w:vertAlign w:val="baseline"/>
        </w:rPr>
        <w:t>cirurgicamente.</w:t>
      </w:r>
      <w:r>
        <w:rPr>
          <w:spacing w:val="-2"/>
          <w:vertAlign w:val="baseline"/>
        </w:rPr>
        <w:t> </w:t>
      </w:r>
      <w:r>
        <w:rPr>
          <w:vertAlign w:val="baseline"/>
        </w:rPr>
        <w:t>A</w:t>
      </w:r>
      <w:r>
        <w:rPr>
          <w:spacing w:val="-12"/>
          <w:vertAlign w:val="baseline"/>
        </w:rPr>
        <w:t> </w:t>
      </w:r>
      <w:r>
        <w:rPr>
          <w:vertAlign w:val="baseline"/>
        </w:rPr>
        <w:t>avaliação</w:t>
      </w:r>
      <w:r>
        <w:rPr>
          <w:spacing w:val="-9"/>
          <w:vertAlign w:val="baseline"/>
        </w:rPr>
        <w:t> </w:t>
      </w:r>
      <w:r>
        <w:rPr>
          <w:vertAlign w:val="baseline"/>
        </w:rPr>
        <w:t>da implantação</w:t>
      </w:r>
      <w:r>
        <w:rPr>
          <w:spacing w:val="-2"/>
          <w:vertAlign w:val="baseline"/>
        </w:rPr>
        <w:t> </w:t>
      </w:r>
      <w:r>
        <w:rPr>
          <w:vertAlign w:val="baseline"/>
        </w:rPr>
        <w:t>das células e</w:t>
      </w:r>
      <w:r>
        <w:rPr>
          <w:spacing w:val="-5"/>
          <w:vertAlign w:val="baseline"/>
        </w:rPr>
        <w:t> </w:t>
      </w:r>
      <w:r>
        <w:rPr>
          <w:vertAlign w:val="baseline"/>
        </w:rPr>
        <w:t>a</w:t>
      </w:r>
      <w:r>
        <w:rPr>
          <w:spacing w:val="-5"/>
          <w:vertAlign w:val="baseline"/>
        </w:rPr>
        <w:t> </w:t>
      </w:r>
      <w:r>
        <w:rPr>
          <w:vertAlign w:val="baseline"/>
        </w:rPr>
        <w:t>extensão</w:t>
      </w:r>
      <w:r>
        <w:rPr>
          <w:spacing w:val="-2"/>
          <w:vertAlign w:val="baseline"/>
        </w:rPr>
        <w:t> </w:t>
      </w:r>
      <w:r>
        <w:rPr>
          <w:vertAlign w:val="baseline"/>
        </w:rPr>
        <w:t>da</w:t>
      </w:r>
      <w:r>
        <w:rPr>
          <w:spacing w:val="-5"/>
          <w:vertAlign w:val="baseline"/>
        </w:rPr>
        <w:t> </w:t>
      </w:r>
      <w:r>
        <w:rPr>
          <w:vertAlign w:val="baseline"/>
        </w:rPr>
        <w:t>neovascularização</w:t>
      </w:r>
      <w:r>
        <w:rPr>
          <w:spacing w:val="-2"/>
          <w:vertAlign w:val="baseline"/>
        </w:rPr>
        <w:t> </w:t>
      </w:r>
      <w:r>
        <w:rPr>
          <w:vertAlign w:val="baseline"/>
        </w:rPr>
        <w:t>foram</w:t>
      </w:r>
      <w:r>
        <w:rPr>
          <w:spacing w:val="-3"/>
          <w:vertAlign w:val="baseline"/>
        </w:rPr>
        <w:t> </w:t>
      </w:r>
      <w:r>
        <w:rPr>
          <w:vertAlign w:val="baseline"/>
        </w:rPr>
        <w:t>analisadas histologicamente</w:t>
      </w:r>
      <w:r>
        <w:rPr>
          <w:spacing w:val="-5"/>
          <w:vertAlign w:val="baseline"/>
        </w:rPr>
        <w:t> </w:t>
      </w:r>
      <w:r>
        <w:rPr>
          <w:vertAlign w:val="baseline"/>
        </w:rPr>
        <w:t>até</w:t>
      </w:r>
      <w:r>
        <w:rPr>
          <w:spacing w:val="-5"/>
          <w:vertAlign w:val="baseline"/>
        </w:rPr>
        <w:t> </w:t>
      </w:r>
      <w:r>
        <w:rPr>
          <w:vertAlign w:val="baseline"/>
        </w:rPr>
        <w:t>4</w:t>
      </w:r>
      <w:r>
        <w:rPr>
          <w:spacing w:val="-2"/>
          <w:vertAlign w:val="baseline"/>
        </w:rPr>
        <w:t> </w:t>
      </w:r>
      <w:r>
        <w:rPr>
          <w:vertAlign w:val="baseline"/>
        </w:rPr>
        <w:t>semanas após a infusão.</w:t>
      </w:r>
      <w:r>
        <w:rPr>
          <w:spacing w:val="-6"/>
          <w:vertAlign w:val="baseline"/>
        </w:rPr>
        <w:t> </w:t>
      </w:r>
      <w:r>
        <w:rPr>
          <w:vertAlign w:val="baseline"/>
        </w:rPr>
        <w:t>Os</w:t>
      </w:r>
      <w:r>
        <w:rPr>
          <w:spacing w:val="-6"/>
          <w:vertAlign w:val="baseline"/>
        </w:rPr>
        <w:t> </w:t>
      </w:r>
      <w:r>
        <w:rPr>
          <w:vertAlign w:val="baseline"/>
        </w:rPr>
        <w:t>animais</w:t>
      </w:r>
      <w:r>
        <w:rPr>
          <w:spacing w:val="-6"/>
          <w:vertAlign w:val="baseline"/>
        </w:rPr>
        <w:t> </w:t>
      </w:r>
      <w:r>
        <w:rPr>
          <w:vertAlign w:val="baseline"/>
        </w:rPr>
        <w:t>que</w:t>
      </w:r>
      <w:r>
        <w:rPr>
          <w:spacing w:val="-15"/>
          <w:vertAlign w:val="baseline"/>
        </w:rPr>
        <w:t> </w:t>
      </w:r>
      <w:r>
        <w:rPr>
          <w:vertAlign w:val="baseline"/>
        </w:rPr>
        <w:t>receberam</w:t>
      </w:r>
      <w:r>
        <w:rPr>
          <w:spacing w:val="-12"/>
          <w:vertAlign w:val="baseline"/>
        </w:rPr>
        <w:t> </w:t>
      </w:r>
      <w:r>
        <w:rPr>
          <w:vertAlign w:val="baseline"/>
        </w:rPr>
        <w:t>os</w:t>
      </w:r>
      <w:r>
        <w:rPr>
          <w:spacing w:val="-6"/>
          <w:vertAlign w:val="baseline"/>
        </w:rPr>
        <w:t> </w:t>
      </w:r>
      <w:r>
        <w:rPr>
          <w:vertAlign w:val="baseline"/>
        </w:rPr>
        <w:t>angioblastos</w:t>
      </w:r>
      <w:r>
        <w:rPr>
          <w:spacing w:val="-6"/>
          <w:vertAlign w:val="baseline"/>
        </w:rPr>
        <w:t> </w:t>
      </w:r>
      <w:r>
        <w:rPr>
          <w:vertAlign w:val="baseline"/>
        </w:rPr>
        <w:t>apresentaram</w:t>
      </w:r>
      <w:r>
        <w:rPr>
          <w:spacing w:val="-12"/>
          <w:vertAlign w:val="baseline"/>
        </w:rPr>
        <w:t> </w:t>
      </w:r>
      <w:r>
        <w:rPr>
          <w:vertAlign w:val="baseline"/>
        </w:rPr>
        <w:t>melhora</w:t>
      </w:r>
      <w:r>
        <w:rPr>
          <w:spacing w:val="-15"/>
          <w:vertAlign w:val="baseline"/>
        </w:rPr>
        <w:t> </w:t>
      </w:r>
      <w:r>
        <w:rPr>
          <w:vertAlign w:val="baseline"/>
        </w:rPr>
        <w:t>significativa</w:t>
      </w:r>
      <w:r>
        <w:rPr>
          <w:spacing w:val="-14"/>
          <w:vertAlign w:val="baseline"/>
        </w:rPr>
        <w:t> </w:t>
      </w:r>
      <w:r>
        <w:rPr>
          <w:vertAlign w:val="baseline"/>
        </w:rPr>
        <w:t>da</w:t>
      </w:r>
      <w:r>
        <w:rPr>
          <w:spacing w:val="-14"/>
          <w:vertAlign w:val="baseline"/>
        </w:rPr>
        <w:t> </w:t>
      </w:r>
      <w:r>
        <w:rPr>
          <w:vertAlign w:val="baseline"/>
        </w:rPr>
        <w:t>perfusão</w:t>
      </w:r>
      <w:r>
        <w:rPr>
          <w:spacing w:val="-12"/>
          <w:vertAlign w:val="baseline"/>
        </w:rPr>
        <w:t> </w:t>
      </w:r>
      <w:r>
        <w:rPr>
          <w:vertAlign w:val="baseline"/>
        </w:rPr>
        <w:t>tecidual</w:t>
      </w:r>
      <w:r>
        <w:rPr>
          <w:spacing w:val="-10"/>
          <w:vertAlign w:val="baseline"/>
        </w:rPr>
        <w:t> </w:t>
      </w:r>
      <w:r>
        <w:rPr>
          <w:vertAlign w:val="baseline"/>
        </w:rPr>
        <w:t>avaliada em</w:t>
      </w:r>
      <w:r>
        <w:rPr>
          <w:spacing w:val="-7"/>
          <w:vertAlign w:val="baseline"/>
        </w:rPr>
        <w:t> </w:t>
      </w:r>
      <w:r>
        <w:rPr>
          <w:vertAlign w:val="baseline"/>
        </w:rPr>
        <w:t>comparação</w:t>
      </w:r>
      <w:r>
        <w:rPr>
          <w:spacing w:val="-7"/>
          <w:vertAlign w:val="baseline"/>
        </w:rPr>
        <w:t> </w:t>
      </w:r>
      <w:r>
        <w:rPr>
          <w:vertAlign w:val="baseline"/>
        </w:rPr>
        <w:t>ao</w:t>
      </w:r>
      <w:r>
        <w:rPr>
          <w:spacing w:val="-7"/>
          <w:vertAlign w:val="baseline"/>
        </w:rPr>
        <w:t> </w:t>
      </w:r>
      <w:r>
        <w:rPr>
          <w:vertAlign w:val="baseline"/>
        </w:rPr>
        <w:t>grupo-controle, demonstrando</w:t>
      </w:r>
      <w:r>
        <w:rPr>
          <w:spacing w:val="-7"/>
          <w:vertAlign w:val="baseline"/>
        </w:rPr>
        <w:t> </w:t>
      </w:r>
      <w:r>
        <w:rPr>
          <w:vertAlign w:val="baseline"/>
        </w:rPr>
        <w:t>o</w:t>
      </w:r>
      <w:r>
        <w:rPr>
          <w:spacing w:val="-7"/>
          <w:vertAlign w:val="baseline"/>
        </w:rPr>
        <w:t> </w:t>
      </w:r>
      <w:r>
        <w:rPr>
          <w:vertAlign w:val="baseline"/>
        </w:rPr>
        <w:t>potencial</w:t>
      </w:r>
      <w:r>
        <w:rPr>
          <w:spacing w:val="-4"/>
          <w:vertAlign w:val="baseline"/>
        </w:rPr>
        <w:t> </w:t>
      </w:r>
      <w:r>
        <w:rPr>
          <w:vertAlign w:val="baseline"/>
        </w:rPr>
        <w:t>angiogênico</w:t>
      </w:r>
      <w:r>
        <w:rPr>
          <w:spacing w:val="-7"/>
          <w:vertAlign w:val="baseline"/>
        </w:rPr>
        <w:t> </w:t>
      </w:r>
      <w:r>
        <w:rPr>
          <w:vertAlign w:val="baseline"/>
        </w:rPr>
        <w:t>dessas células em</w:t>
      </w:r>
      <w:r>
        <w:rPr>
          <w:spacing w:val="-7"/>
          <w:vertAlign w:val="baseline"/>
        </w:rPr>
        <w:t> </w:t>
      </w:r>
      <w:r>
        <w:rPr>
          <w:vertAlign w:val="baseline"/>
        </w:rPr>
        <w:t>condições de</w:t>
      </w:r>
      <w:r>
        <w:rPr>
          <w:spacing w:val="-9"/>
          <w:vertAlign w:val="baseline"/>
        </w:rPr>
        <w:t> </w:t>
      </w:r>
      <w:r>
        <w:rPr>
          <w:vertAlign w:val="baseline"/>
        </w:rPr>
        <w:t>isquemia </w:t>
      </w:r>
      <w:r>
        <w:rPr>
          <w:spacing w:val="-2"/>
          <w:vertAlign w:val="baseline"/>
        </w:rPr>
        <w:t>periférica.</w:t>
      </w:r>
    </w:p>
    <w:p>
      <w:pPr>
        <w:pStyle w:val="BodyText"/>
        <w:spacing w:before="124"/>
        <w:ind w:left="0" w:firstLine="0"/>
        <w:jc w:val="left"/>
      </w:pPr>
    </w:p>
    <w:p>
      <w:pPr>
        <w:pStyle w:val="Heading5"/>
        <w:jc w:val="both"/>
      </w:pPr>
      <w:r>
        <w:rPr>
          <w:color w:val="A26108"/>
        </w:rPr>
        <w:t>Estudos</w:t>
      </w:r>
      <w:r>
        <w:rPr>
          <w:color w:val="A26108"/>
          <w:spacing w:val="19"/>
        </w:rPr>
        <w:t> </w:t>
      </w:r>
      <w:r>
        <w:rPr>
          <w:color w:val="A26108"/>
        </w:rPr>
        <w:t>clínicos</w:t>
      </w:r>
      <w:r>
        <w:rPr>
          <w:color w:val="A26108"/>
          <w:spacing w:val="19"/>
        </w:rPr>
        <w:t> </w:t>
      </w:r>
      <w:r>
        <w:rPr>
          <w:color w:val="A26108"/>
        </w:rPr>
        <w:t>de</w:t>
      </w:r>
      <w:r>
        <w:rPr>
          <w:color w:val="A26108"/>
          <w:spacing w:val="19"/>
        </w:rPr>
        <w:t> </w:t>
      </w:r>
      <w:r>
        <w:rPr>
          <w:color w:val="A26108"/>
        </w:rPr>
        <w:t>terapia</w:t>
      </w:r>
      <w:r>
        <w:rPr>
          <w:color w:val="A26108"/>
          <w:spacing w:val="19"/>
        </w:rPr>
        <w:t> </w:t>
      </w:r>
      <w:r>
        <w:rPr>
          <w:color w:val="A26108"/>
        </w:rPr>
        <w:t>celular</w:t>
      </w:r>
      <w:r>
        <w:rPr>
          <w:color w:val="A26108"/>
          <w:spacing w:val="19"/>
        </w:rPr>
        <w:t> </w:t>
      </w:r>
      <w:r>
        <w:rPr>
          <w:color w:val="A26108"/>
        </w:rPr>
        <w:t>nas</w:t>
      </w:r>
      <w:r>
        <w:rPr>
          <w:color w:val="A26108"/>
          <w:spacing w:val="19"/>
        </w:rPr>
        <w:t> </w:t>
      </w:r>
      <w:r>
        <w:rPr>
          <w:color w:val="A26108"/>
          <w:spacing w:val="-2"/>
        </w:rPr>
        <w:t>cardiopatias</w:t>
      </w:r>
    </w:p>
    <w:p>
      <w:pPr>
        <w:pStyle w:val="BodyText"/>
        <w:spacing w:line="278" w:lineRule="auto" w:before="138"/>
        <w:ind w:right="491"/>
      </w:pPr>
      <w:r>
        <w:rPr/>
        <w:t>A melhor compreensão da importância fisiológica das células-tronco do adulto nos processos de reparação tecidual permitiu que se estudassem eventuais relações entre fatores de risco cardiovascular e/ou terapias medicamentosas e células-tronco. Neste sentido, Vasa </w:t>
      </w:r>
      <w:r>
        <w:rPr>
          <w:i/>
        </w:rPr>
        <w:t>et al</w:t>
      </w:r>
      <w:r>
        <w:rPr/>
        <w:t>.,</w:t>
      </w:r>
      <w:r>
        <w:rPr>
          <w:vertAlign w:val="superscript"/>
        </w:rPr>
        <w:t>16</w:t>
      </w:r>
      <w:r>
        <w:rPr>
          <w:vertAlign w:val="baseline"/>
        </w:rPr>
        <w:t> mostraram que, em 15 pacientes com DAC documentada, o tratamento com 40 mg/dia</w:t>
      </w:r>
      <w:r>
        <w:rPr>
          <w:spacing w:val="-2"/>
          <w:vertAlign w:val="baseline"/>
        </w:rPr>
        <w:t> </w:t>
      </w:r>
      <w:r>
        <w:rPr>
          <w:vertAlign w:val="baseline"/>
        </w:rPr>
        <w:t>de</w:t>
      </w:r>
      <w:r>
        <w:rPr>
          <w:spacing w:val="-2"/>
          <w:vertAlign w:val="baseline"/>
        </w:rPr>
        <w:t> </w:t>
      </w:r>
      <w:r>
        <w:rPr>
          <w:vertAlign w:val="baseline"/>
        </w:rPr>
        <w:t>atorvastatina</w:t>
      </w:r>
      <w:r>
        <w:rPr>
          <w:spacing w:val="-2"/>
          <w:vertAlign w:val="baseline"/>
        </w:rPr>
        <w:t> </w:t>
      </w:r>
      <w:r>
        <w:rPr>
          <w:vertAlign w:val="baseline"/>
        </w:rPr>
        <w:t>por 4 semanas levou a</w:t>
      </w:r>
      <w:r>
        <w:rPr>
          <w:spacing w:val="-2"/>
          <w:vertAlign w:val="baseline"/>
        </w:rPr>
        <w:t> </w:t>
      </w:r>
      <w:r>
        <w:rPr>
          <w:vertAlign w:val="baseline"/>
        </w:rPr>
        <w:t>um aumento de</w:t>
      </w:r>
      <w:r>
        <w:rPr>
          <w:spacing w:val="-2"/>
          <w:vertAlign w:val="baseline"/>
        </w:rPr>
        <w:t> </w:t>
      </w:r>
      <w:r>
        <w:rPr>
          <w:vertAlign w:val="baseline"/>
        </w:rPr>
        <w:t>cerca</w:t>
      </w:r>
      <w:r>
        <w:rPr>
          <w:spacing w:val="-2"/>
          <w:vertAlign w:val="baseline"/>
        </w:rPr>
        <w:t> </w:t>
      </w:r>
      <w:r>
        <w:rPr>
          <w:vertAlign w:val="baseline"/>
        </w:rPr>
        <w:t>de</w:t>
      </w:r>
      <w:r>
        <w:rPr>
          <w:spacing w:val="-2"/>
          <w:vertAlign w:val="baseline"/>
        </w:rPr>
        <w:t> </w:t>
      </w:r>
      <w:r>
        <w:rPr>
          <w:vertAlign w:val="baseline"/>
        </w:rPr>
        <w:t>3 vezes no</w:t>
      </w:r>
      <w:r>
        <w:rPr>
          <w:spacing w:val="-10"/>
          <w:vertAlign w:val="baseline"/>
        </w:rPr>
        <w:t> </w:t>
      </w:r>
      <w:r>
        <w:rPr>
          <w:vertAlign w:val="baseline"/>
        </w:rPr>
        <w:t>número</w:t>
      </w:r>
      <w:r>
        <w:rPr>
          <w:spacing w:val="-10"/>
          <w:vertAlign w:val="baseline"/>
        </w:rPr>
        <w:t> </w:t>
      </w:r>
      <w:r>
        <w:rPr>
          <w:vertAlign w:val="baseline"/>
        </w:rPr>
        <w:t>de</w:t>
      </w:r>
      <w:r>
        <w:rPr>
          <w:spacing w:val="-13"/>
          <w:vertAlign w:val="baseline"/>
        </w:rPr>
        <w:t> </w:t>
      </w:r>
      <w:r>
        <w:rPr>
          <w:vertAlign w:val="baseline"/>
        </w:rPr>
        <w:t>células</w:t>
      </w:r>
      <w:r>
        <w:rPr>
          <w:spacing w:val="-3"/>
          <w:vertAlign w:val="baseline"/>
        </w:rPr>
        <w:t> </w:t>
      </w:r>
      <w:r>
        <w:rPr>
          <w:vertAlign w:val="baseline"/>
        </w:rPr>
        <w:t>progenitoras</w:t>
      </w:r>
      <w:r>
        <w:rPr>
          <w:spacing w:val="-3"/>
          <w:vertAlign w:val="baseline"/>
        </w:rPr>
        <w:t> </w:t>
      </w:r>
      <w:r>
        <w:rPr>
          <w:vertAlign w:val="baseline"/>
        </w:rPr>
        <w:t>endoteliais</w:t>
      </w:r>
      <w:r>
        <w:rPr>
          <w:spacing w:val="-3"/>
          <w:vertAlign w:val="baseline"/>
        </w:rPr>
        <w:t> </w:t>
      </w:r>
      <w:r>
        <w:rPr>
          <w:vertAlign w:val="baseline"/>
        </w:rPr>
        <w:t>ao</w:t>
      </w:r>
      <w:r>
        <w:rPr>
          <w:spacing w:val="-10"/>
          <w:vertAlign w:val="baseline"/>
        </w:rPr>
        <w:t> </w:t>
      </w:r>
      <w:r>
        <w:rPr>
          <w:vertAlign w:val="baseline"/>
        </w:rPr>
        <w:t>final</w:t>
      </w:r>
      <w:r>
        <w:rPr>
          <w:spacing w:val="-8"/>
          <w:vertAlign w:val="baseline"/>
        </w:rPr>
        <w:t> </w:t>
      </w:r>
      <w:r>
        <w:rPr>
          <w:vertAlign w:val="baseline"/>
        </w:rPr>
        <w:t>do</w:t>
      </w:r>
      <w:r>
        <w:rPr>
          <w:spacing w:val="-10"/>
          <w:vertAlign w:val="baseline"/>
        </w:rPr>
        <w:t> </w:t>
      </w:r>
      <w:r>
        <w:rPr>
          <w:vertAlign w:val="baseline"/>
        </w:rPr>
        <w:t>período</w:t>
      </w:r>
      <w:r>
        <w:rPr>
          <w:spacing w:val="-10"/>
          <w:vertAlign w:val="baseline"/>
        </w:rPr>
        <w:t> </w:t>
      </w:r>
      <w:r>
        <w:rPr>
          <w:vertAlign w:val="baseline"/>
        </w:rPr>
        <w:t>de</w:t>
      </w:r>
      <w:r>
        <w:rPr>
          <w:spacing w:val="-13"/>
          <w:vertAlign w:val="baseline"/>
        </w:rPr>
        <w:t> </w:t>
      </w:r>
      <w:r>
        <w:rPr>
          <w:vertAlign w:val="baseline"/>
        </w:rPr>
        <w:t>observação.</w:t>
      </w:r>
      <w:r>
        <w:rPr>
          <w:spacing w:val="-3"/>
          <w:vertAlign w:val="baseline"/>
        </w:rPr>
        <w:t> </w:t>
      </w:r>
      <w:r>
        <w:rPr>
          <w:vertAlign w:val="baseline"/>
        </w:rPr>
        <w:t>A</w:t>
      </w:r>
      <w:r>
        <w:rPr>
          <w:spacing w:val="-13"/>
          <w:vertAlign w:val="baseline"/>
        </w:rPr>
        <w:t> </w:t>
      </w:r>
      <w:r>
        <w:rPr>
          <w:vertAlign w:val="baseline"/>
        </w:rPr>
        <w:t>importância</w:t>
      </w:r>
      <w:r>
        <w:rPr>
          <w:spacing w:val="-13"/>
          <w:vertAlign w:val="baseline"/>
        </w:rPr>
        <w:t> </w:t>
      </w:r>
      <w:r>
        <w:rPr>
          <w:vertAlign w:val="baseline"/>
        </w:rPr>
        <w:t>clínica</w:t>
      </w:r>
      <w:r>
        <w:rPr>
          <w:spacing w:val="-13"/>
          <w:vertAlign w:val="baseline"/>
        </w:rPr>
        <w:t> </w:t>
      </w:r>
      <w:r>
        <w:rPr>
          <w:vertAlign w:val="baseline"/>
        </w:rPr>
        <w:t>deste</w:t>
      </w:r>
      <w:r>
        <w:rPr>
          <w:spacing w:val="-13"/>
          <w:vertAlign w:val="baseline"/>
        </w:rPr>
        <w:t> </w:t>
      </w:r>
      <w:r>
        <w:rPr>
          <w:vertAlign w:val="baseline"/>
        </w:rPr>
        <w:t>achado ainda está para ser determinada.</w:t>
      </w:r>
    </w:p>
    <w:p>
      <w:pPr>
        <w:pStyle w:val="BodyText"/>
        <w:spacing w:line="280" w:lineRule="auto" w:before="49"/>
        <w:ind w:right="488"/>
      </w:pPr>
      <w:r>
        <w:rPr/>
        <w:t>A relevância das células progenitoras endoteliais para o aparecimento de DCV começou a ser questionada recentemente, quando</w:t>
      </w:r>
      <w:r>
        <w:rPr>
          <w:spacing w:val="-5"/>
        </w:rPr>
        <w:t> </w:t>
      </w:r>
      <w:r>
        <w:rPr/>
        <w:t>Hill</w:t>
      </w:r>
      <w:r>
        <w:rPr>
          <w:spacing w:val="-3"/>
        </w:rPr>
        <w:t> </w:t>
      </w:r>
      <w:r>
        <w:rPr>
          <w:i/>
        </w:rPr>
        <w:t>et</w:t>
      </w:r>
      <w:r>
        <w:rPr>
          <w:i/>
          <w:spacing w:val="-3"/>
        </w:rPr>
        <w:t> </w:t>
      </w:r>
      <w:r>
        <w:rPr>
          <w:i/>
        </w:rPr>
        <w:t>al</w:t>
      </w:r>
      <w:r>
        <w:rPr/>
        <w:t>.,</w:t>
      </w:r>
      <w:r>
        <w:rPr>
          <w:vertAlign w:val="superscript"/>
        </w:rPr>
        <w:t>17</w:t>
      </w:r>
      <w:r>
        <w:rPr>
          <w:vertAlign w:val="baseline"/>
        </w:rPr>
        <w:t> estudando</w:t>
      </w:r>
      <w:r>
        <w:rPr>
          <w:spacing w:val="-5"/>
          <w:vertAlign w:val="baseline"/>
        </w:rPr>
        <w:t> </w:t>
      </w:r>
      <w:r>
        <w:rPr>
          <w:vertAlign w:val="baseline"/>
        </w:rPr>
        <w:t>45</w:t>
      </w:r>
      <w:r>
        <w:rPr>
          <w:spacing w:val="-5"/>
          <w:vertAlign w:val="baseline"/>
        </w:rPr>
        <w:t> </w:t>
      </w:r>
      <w:r>
        <w:rPr>
          <w:vertAlign w:val="baseline"/>
        </w:rPr>
        <w:t>homens sem</w:t>
      </w:r>
      <w:r>
        <w:rPr>
          <w:spacing w:val="-5"/>
          <w:vertAlign w:val="baseline"/>
        </w:rPr>
        <w:t> </w:t>
      </w:r>
      <w:r>
        <w:rPr>
          <w:vertAlign w:val="baseline"/>
        </w:rPr>
        <w:t>história</w:t>
      </w:r>
      <w:r>
        <w:rPr>
          <w:spacing w:val="-8"/>
          <w:vertAlign w:val="baseline"/>
        </w:rPr>
        <w:t> </w:t>
      </w:r>
      <w:r>
        <w:rPr>
          <w:vertAlign w:val="baseline"/>
        </w:rPr>
        <w:t>de</w:t>
      </w:r>
      <w:r>
        <w:rPr>
          <w:spacing w:val="-8"/>
          <w:vertAlign w:val="baseline"/>
        </w:rPr>
        <w:t> </w:t>
      </w:r>
      <w:r>
        <w:rPr>
          <w:vertAlign w:val="baseline"/>
        </w:rPr>
        <w:t>DCV, mas com</w:t>
      </w:r>
      <w:r>
        <w:rPr>
          <w:spacing w:val="-5"/>
          <w:vertAlign w:val="baseline"/>
        </w:rPr>
        <w:t> </w:t>
      </w:r>
      <w:r>
        <w:rPr>
          <w:vertAlign w:val="baseline"/>
        </w:rPr>
        <w:t>diferentes fatores de</w:t>
      </w:r>
      <w:r>
        <w:rPr>
          <w:spacing w:val="-8"/>
          <w:vertAlign w:val="baseline"/>
        </w:rPr>
        <w:t> </w:t>
      </w:r>
      <w:r>
        <w:rPr>
          <w:vertAlign w:val="baseline"/>
        </w:rPr>
        <w:t>risco, demonstraram uma forte correlação negativa entre o número de células progenitoras endoteliais circulantes e o escore</w:t>
      </w:r>
      <w:r>
        <w:rPr>
          <w:spacing w:val="-5"/>
          <w:vertAlign w:val="baseline"/>
        </w:rPr>
        <w:t> </w:t>
      </w:r>
      <w:r>
        <w:rPr>
          <w:vertAlign w:val="baseline"/>
        </w:rPr>
        <w:t>de</w:t>
      </w:r>
      <w:r>
        <w:rPr>
          <w:spacing w:val="-5"/>
          <w:vertAlign w:val="baseline"/>
        </w:rPr>
        <w:t> </w:t>
      </w:r>
      <w:r>
        <w:rPr>
          <w:vertAlign w:val="baseline"/>
        </w:rPr>
        <w:t>risco</w:t>
      </w:r>
      <w:r>
        <w:rPr>
          <w:spacing w:val="-2"/>
          <w:vertAlign w:val="baseline"/>
        </w:rPr>
        <w:t> </w:t>
      </w:r>
      <w:r>
        <w:rPr>
          <w:vertAlign w:val="baseline"/>
        </w:rPr>
        <w:t>combinado</w:t>
      </w:r>
      <w:r>
        <w:rPr>
          <w:spacing w:val="-2"/>
          <w:vertAlign w:val="baseline"/>
        </w:rPr>
        <w:t> </w:t>
      </w:r>
      <w:r>
        <w:rPr>
          <w:vertAlign w:val="baseline"/>
        </w:rPr>
        <w:t>de</w:t>
      </w:r>
      <w:r>
        <w:rPr>
          <w:spacing w:val="-5"/>
          <w:vertAlign w:val="baseline"/>
        </w:rPr>
        <w:t> </w:t>
      </w:r>
      <w:r>
        <w:rPr>
          <w:vertAlign w:val="baseline"/>
        </w:rPr>
        <w:t>Framingham. Especulam</w:t>
      </w:r>
      <w:r>
        <w:rPr>
          <w:spacing w:val="-2"/>
          <w:vertAlign w:val="baseline"/>
        </w:rPr>
        <w:t> </w:t>
      </w:r>
      <w:r>
        <w:rPr>
          <w:vertAlign w:val="baseline"/>
        </w:rPr>
        <w:t>os autores que</w:t>
      </w:r>
      <w:r>
        <w:rPr>
          <w:spacing w:val="-5"/>
          <w:vertAlign w:val="baseline"/>
        </w:rPr>
        <w:t> </w:t>
      </w:r>
      <w:r>
        <w:rPr>
          <w:vertAlign w:val="baseline"/>
        </w:rPr>
        <w:t>a</w:t>
      </w:r>
      <w:r>
        <w:rPr>
          <w:spacing w:val="-5"/>
          <w:vertAlign w:val="baseline"/>
        </w:rPr>
        <w:t> </w:t>
      </w:r>
      <w:r>
        <w:rPr>
          <w:vertAlign w:val="baseline"/>
        </w:rPr>
        <w:t>lesão</w:t>
      </w:r>
      <w:r>
        <w:rPr>
          <w:spacing w:val="-2"/>
          <w:vertAlign w:val="baseline"/>
        </w:rPr>
        <w:t> </w:t>
      </w:r>
      <w:r>
        <w:rPr>
          <w:vertAlign w:val="baseline"/>
        </w:rPr>
        <w:t>endotelial (secundária</w:t>
      </w:r>
      <w:r>
        <w:rPr>
          <w:spacing w:val="-5"/>
          <w:vertAlign w:val="baseline"/>
        </w:rPr>
        <w:t> </w:t>
      </w:r>
      <w:r>
        <w:rPr>
          <w:vertAlign w:val="baseline"/>
        </w:rPr>
        <w:t>à</w:t>
      </w:r>
      <w:r>
        <w:rPr>
          <w:spacing w:val="-5"/>
          <w:vertAlign w:val="baseline"/>
        </w:rPr>
        <w:t> </w:t>
      </w:r>
      <w:r>
        <w:rPr>
          <w:vertAlign w:val="baseline"/>
        </w:rPr>
        <w:t>presença</w:t>
      </w:r>
      <w:r>
        <w:rPr>
          <w:spacing w:val="-5"/>
          <w:vertAlign w:val="baseline"/>
        </w:rPr>
        <w:t> </w:t>
      </w:r>
      <w:r>
        <w:rPr>
          <w:vertAlign w:val="baseline"/>
        </w:rPr>
        <w:t>dos fatores de</w:t>
      </w:r>
      <w:r>
        <w:rPr>
          <w:spacing w:val="-2"/>
          <w:vertAlign w:val="baseline"/>
        </w:rPr>
        <w:t> </w:t>
      </w:r>
      <w:r>
        <w:rPr>
          <w:vertAlign w:val="baseline"/>
        </w:rPr>
        <w:t>risco) na</w:t>
      </w:r>
      <w:r>
        <w:rPr>
          <w:spacing w:val="-2"/>
          <w:vertAlign w:val="baseline"/>
        </w:rPr>
        <w:t> </w:t>
      </w:r>
      <w:r>
        <w:rPr>
          <w:vertAlign w:val="baseline"/>
        </w:rPr>
        <w:t>ausência</w:t>
      </w:r>
      <w:r>
        <w:rPr>
          <w:spacing w:val="-2"/>
          <w:vertAlign w:val="baseline"/>
        </w:rPr>
        <w:t> </w:t>
      </w:r>
      <w:r>
        <w:rPr>
          <w:vertAlign w:val="baseline"/>
        </w:rPr>
        <w:t>de</w:t>
      </w:r>
      <w:r>
        <w:rPr>
          <w:spacing w:val="-2"/>
          <w:vertAlign w:val="baseline"/>
        </w:rPr>
        <w:t> </w:t>
      </w:r>
      <w:r>
        <w:rPr>
          <w:vertAlign w:val="baseline"/>
        </w:rPr>
        <w:t>número suficiente</w:t>
      </w:r>
      <w:r>
        <w:rPr>
          <w:spacing w:val="-2"/>
          <w:vertAlign w:val="baseline"/>
        </w:rPr>
        <w:t> </w:t>
      </w:r>
      <w:r>
        <w:rPr>
          <w:vertAlign w:val="baseline"/>
        </w:rPr>
        <w:t>e</w:t>
      </w:r>
      <w:r>
        <w:rPr>
          <w:spacing w:val="-2"/>
          <w:vertAlign w:val="baseline"/>
        </w:rPr>
        <w:t> </w:t>
      </w:r>
      <w:r>
        <w:rPr>
          <w:vertAlign w:val="baseline"/>
        </w:rPr>
        <w:t>adequado de</w:t>
      </w:r>
      <w:r>
        <w:rPr>
          <w:spacing w:val="-2"/>
          <w:vertAlign w:val="baseline"/>
        </w:rPr>
        <w:t> </w:t>
      </w:r>
      <w:r>
        <w:rPr>
          <w:vertAlign w:val="baseline"/>
        </w:rPr>
        <w:t>células progenitoras endoteliais circulantes possa</w:t>
      </w:r>
    </w:p>
    <w:p>
      <w:pPr>
        <w:pStyle w:val="BodyText"/>
        <w:spacing w:after="0" w:line="280" w:lineRule="auto"/>
        <w:sectPr>
          <w:pgSz w:w="11900" w:h="16840"/>
          <w:pgMar w:top="220" w:bottom="280" w:left="566" w:right="141"/>
        </w:sectPr>
      </w:pPr>
    </w:p>
    <w:p>
      <w:pPr>
        <w:pStyle w:val="BodyText"/>
        <w:spacing w:before="74"/>
        <w:ind w:firstLine="0"/>
      </w:pPr>
      <w:r>
        <w:rPr/>
        <w:t>favorecer</w:t>
      </w:r>
      <w:r>
        <w:rPr>
          <w:spacing w:val="-3"/>
        </w:rPr>
        <w:t> </w:t>
      </w:r>
      <w:r>
        <w:rPr/>
        <w:t>a</w:t>
      </w:r>
      <w:r>
        <w:rPr>
          <w:spacing w:val="-10"/>
        </w:rPr>
        <w:t> </w:t>
      </w:r>
      <w:r>
        <w:rPr/>
        <w:t>progressão</w:t>
      </w:r>
      <w:r>
        <w:rPr>
          <w:spacing w:val="-8"/>
        </w:rPr>
        <w:t> </w:t>
      </w:r>
      <w:r>
        <w:rPr/>
        <w:t>da</w:t>
      </w:r>
      <w:r>
        <w:rPr>
          <w:spacing w:val="-9"/>
        </w:rPr>
        <w:t> </w:t>
      </w:r>
      <w:r>
        <w:rPr>
          <w:spacing w:val="-4"/>
        </w:rPr>
        <w:t>DCV.</w:t>
      </w:r>
    </w:p>
    <w:p>
      <w:pPr>
        <w:pStyle w:val="BodyText"/>
        <w:spacing w:line="278" w:lineRule="auto" w:before="109"/>
        <w:ind w:right="497"/>
      </w:pPr>
      <w:r>
        <w:rPr/>
        <w:t>Na última década, os primeiros relatos de terapia celular em pacientes portadores de DAC começaram a ser publicados. Assmus </w:t>
      </w:r>
      <w:r>
        <w:rPr>
          <w:i/>
        </w:rPr>
        <w:t>et</w:t>
      </w:r>
      <w:r>
        <w:rPr>
          <w:i/>
          <w:spacing w:val="-7"/>
        </w:rPr>
        <w:t> </w:t>
      </w:r>
      <w:r>
        <w:rPr>
          <w:i/>
        </w:rPr>
        <w:t>al</w:t>
      </w:r>
      <w:r>
        <w:rPr/>
        <w:t>.</w:t>
      </w:r>
      <w:r>
        <w:rPr>
          <w:vertAlign w:val="superscript"/>
        </w:rPr>
        <w:t>18</w:t>
      </w:r>
      <w:r>
        <w:rPr>
          <w:vertAlign w:val="baseline"/>
        </w:rPr>
        <w:t> transplantaram, por infusão</w:t>
      </w:r>
      <w:r>
        <w:rPr>
          <w:spacing w:val="-3"/>
          <w:vertAlign w:val="baseline"/>
        </w:rPr>
        <w:t> </w:t>
      </w:r>
      <w:r>
        <w:rPr>
          <w:vertAlign w:val="baseline"/>
        </w:rPr>
        <w:t>intracoronariana, células progenitoras derivadas de</w:t>
      </w:r>
      <w:r>
        <w:rPr>
          <w:spacing w:val="-5"/>
          <w:vertAlign w:val="baseline"/>
        </w:rPr>
        <w:t> </w:t>
      </w:r>
      <w:r>
        <w:rPr>
          <w:vertAlign w:val="baseline"/>
        </w:rPr>
        <w:t>medula óssea (n = 9) ou de sangue periférico (n = 11) em pacientes</w:t>
      </w:r>
      <w:r>
        <w:rPr>
          <w:spacing w:val="23"/>
          <w:vertAlign w:val="baseline"/>
        </w:rPr>
        <w:t> </w:t>
      </w:r>
      <w:r>
        <w:rPr>
          <w:vertAlign w:val="baseline"/>
        </w:rPr>
        <w:t>vítimas</w:t>
      </w:r>
      <w:r>
        <w:rPr>
          <w:spacing w:val="23"/>
          <w:vertAlign w:val="baseline"/>
        </w:rPr>
        <w:t> </w:t>
      </w:r>
      <w:r>
        <w:rPr>
          <w:vertAlign w:val="baseline"/>
        </w:rPr>
        <w:t>de IAM pós-reperfusão,</w:t>
      </w:r>
      <w:r>
        <w:rPr>
          <w:spacing w:val="23"/>
          <w:vertAlign w:val="baseline"/>
        </w:rPr>
        <w:t> </w:t>
      </w:r>
      <w:r>
        <w:rPr>
          <w:vertAlign w:val="baseline"/>
        </w:rPr>
        <w:t>dentro de 4,3 ± 1,5 dias após o</w:t>
      </w:r>
      <w:r>
        <w:rPr>
          <w:spacing w:val="-2"/>
          <w:vertAlign w:val="baseline"/>
        </w:rPr>
        <w:t> </w:t>
      </w:r>
      <w:r>
        <w:rPr>
          <w:vertAlign w:val="baseline"/>
        </w:rPr>
        <w:t>IAM. Durante</w:t>
      </w:r>
      <w:r>
        <w:rPr>
          <w:spacing w:val="-6"/>
          <w:vertAlign w:val="baseline"/>
        </w:rPr>
        <w:t> </w:t>
      </w:r>
      <w:r>
        <w:rPr>
          <w:vertAlign w:val="baseline"/>
        </w:rPr>
        <w:t>o</w:t>
      </w:r>
      <w:r>
        <w:rPr>
          <w:spacing w:val="-2"/>
          <w:vertAlign w:val="baseline"/>
        </w:rPr>
        <w:t> </w:t>
      </w:r>
      <w:r>
        <w:rPr>
          <w:vertAlign w:val="baseline"/>
        </w:rPr>
        <w:t>seguimento</w:t>
      </w:r>
      <w:r>
        <w:rPr>
          <w:spacing w:val="-2"/>
          <w:vertAlign w:val="baseline"/>
        </w:rPr>
        <w:t> </w:t>
      </w:r>
      <w:r>
        <w:rPr>
          <w:vertAlign w:val="baseline"/>
        </w:rPr>
        <w:t>de</w:t>
      </w:r>
      <w:r>
        <w:rPr>
          <w:spacing w:val="-6"/>
          <w:vertAlign w:val="baseline"/>
        </w:rPr>
        <w:t> </w:t>
      </w:r>
      <w:r>
        <w:rPr>
          <w:vertAlign w:val="baseline"/>
        </w:rPr>
        <w:t>4</w:t>
      </w:r>
      <w:r>
        <w:rPr>
          <w:spacing w:val="-2"/>
          <w:vertAlign w:val="baseline"/>
        </w:rPr>
        <w:t> </w:t>
      </w:r>
      <w:r>
        <w:rPr>
          <w:vertAlign w:val="baseline"/>
        </w:rPr>
        <w:t>meses, os pacientes tratados apresentaram</w:t>
      </w:r>
      <w:r>
        <w:rPr>
          <w:spacing w:val="-2"/>
          <w:vertAlign w:val="baseline"/>
        </w:rPr>
        <w:t> </w:t>
      </w:r>
      <w:r>
        <w:rPr>
          <w:vertAlign w:val="baseline"/>
        </w:rPr>
        <w:t>aumento</w:t>
      </w:r>
      <w:r>
        <w:rPr>
          <w:spacing w:val="-2"/>
          <w:vertAlign w:val="baseline"/>
        </w:rPr>
        <w:t> </w:t>
      </w:r>
      <w:r>
        <w:rPr>
          <w:vertAlign w:val="baseline"/>
        </w:rPr>
        <w:t>da</w:t>
      </w:r>
      <w:r>
        <w:rPr>
          <w:spacing w:val="-6"/>
          <w:vertAlign w:val="baseline"/>
        </w:rPr>
        <w:t> </w:t>
      </w:r>
      <w:r>
        <w:rPr>
          <w:vertAlign w:val="baseline"/>
        </w:rPr>
        <w:t>FEVE, melhor motilidade regional na zona do infarto, diminuição do volume sistólico final e aumento da reserva de fluxo coronariano na artéria relacionada com o IAM. Não foram observados eventos adversos.</w:t>
      </w:r>
    </w:p>
    <w:p>
      <w:pPr>
        <w:pStyle w:val="BodyText"/>
        <w:spacing w:line="278" w:lineRule="auto" w:before="50"/>
        <w:ind w:right="491"/>
      </w:pPr>
      <w:r>
        <w:rPr/>
        <w:t>O uso de células derivadas da medula óssea do adulto para o tratamento de doença isquêmica grave do coração associada à IC foi proposto por Perin </w:t>
      </w:r>
      <w:r>
        <w:rPr>
          <w:i/>
        </w:rPr>
        <w:t>et al</w:t>
      </w:r>
      <w:r>
        <w:rPr/>
        <w:t>.</w:t>
      </w:r>
      <w:r>
        <w:rPr>
          <w:vertAlign w:val="superscript"/>
        </w:rPr>
        <w:t>19</w:t>
      </w:r>
      <w:r>
        <w:rPr>
          <w:vertAlign w:val="baseline"/>
        </w:rPr>
        <w:t> em trabalho conduzido em 14 pacientes. Os pacientes foram submetidos à</w:t>
      </w:r>
      <w:r>
        <w:rPr>
          <w:spacing w:val="-8"/>
          <w:vertAlign w:val="baseline"/>
        </w:rPr>
        <w:t> </w:t>
      </w:r>
      <w:r>
        <w:rPr>
          <w:vertAlign w:val="baseline"/>
        </w:rPr>
        <w:t>injeção</w:t>
      </w:r>
      <w:r>
        <w:rPr>
          <w:spacing w:val="-5"/>
          <w:vertAlign w:val="baseline"/>
        </w:rPr>
        <w:t> </w:t>
      </w:r>
      <w:r>
        <w:rPr>
          <w:vertAlign w:val="baseline"/>
        </w:rPr>
        <w:t>transendocárdica</w:t>
      </w:r>
      <w:r>
        <w:rPr>
          <w:spacing w:val="-8"/>
          <w:vertAlign w:val="baseline"/>
        </w:rPr>
        <w:t> </w:t>
      </w:r>
      <w:r>
        <w:rPr>
          <w:vertAlign w:val="baseline"/>
        </w:rPr>
        <w:t>guiada</w:t>
      </w:r>
      <w:r>
        <w:rPr>
          <w:spacing w:val="-8"/>
          <w:vertAlign w:val="baseline"/>
        </w:rPr>
        <w:t> </w:t>
      </w:r>
      <w:r>
        <w:rPr>
          <w:vertAlign w:val="baseline"/>
        </w:rPr>
        <w:t>por mapeamento</w:t>
      </w:r>
      <w:r>
        <w:rPr>
          <w:spacing w:val="-5"/>
          <w:vertAlign w:val="baseline"/>
        </w:rPr>
        <w:t> </w:t>
      </w:r>
      <w:r>
        <w:rPr>
          <w:vertAlign w:val="baseline"/>
        </w:rPr>
        <w:t>eletromecânico</w:t>
      </w:r>
      <w:r>
        <w:rPr>
          <w:spacing w:val="-5"/>
          <w:vertAlign w:val="baseline"/>
        </w:rPr>
        <w:t> </w:t>
      </w:r>
      <w:r>
        <w:rPr>
          <w:vertAlign w:val="baseline"/>
        </w:rPr>
        <w:t>em</w:t>
      </w:r>
      <w:r>
        <w:rPr>
          <w:spacing w:val="-6"/>
          <w:vertAlign w:val="baseline"/>
        </w:rPr>
        <w:t> </w:t>
      </w:r>
      <w:r>
        <w:rPr>
          <w:vertAlign w:val="baseline"/>
        </w:rPr>
        <w:t>áreas viáveis, porém</w:t>
      </w:r>
      <w:r>
        <w:rPr>
          <w:spacing w:val="-6"/>
          <w:vertAlign w:val="baseline"/>
        </w:rPr>
        <w:t> </w:t>
      </w:r>
      <w:r>
        <w:rPr>
          <w:vertAlign w:val="baseline"/>
        </w:rPr>
        <w:t>isquêmicas (miocárdio</w:t>
      </w:r>
      <w:r>
        <w:rPr>
          <w:spacing w:val="-1"/>
          <w:vertAlign w:val="baseline"/>
        </w:rPr>
        <w:t> </w:t>
      </w:r>
      <w:r>
        <w:rPr>
          <w:vertAlign w:val="baseline"/>
        </w:rPr>
        <w:t>hibernante). Os autores mostraram</w:t>
      </w:r>
      <w:r>
        <w:rPr>
          <w:spacing w:val="-1"/>
          <w:vertAlign w:val="baseline"/>
        </w:rPr>
        <w:t> </w:t>
      </w:r>
      <w:r>
        <w:rPr>
          <w:vertAlign w:val="baseline"/>
        </w:rPr>
        <w:t>que, em</w:t>
      </w:r>
      <w:r>
        <w:rPr>
          <w:spacing w:val="-1"/>
          <w:vertAlign w:val="baseline"/>
        </w:rPr>
        <w:t> </w:t>
      </w:r>
      <w:r>
        <w:rPr>
          <w:vertAlign w:val="baseline"/>
        </w:rPr>
        <w:t>seguimento</w:t>
      </w:r>
      <w:r>
        <w:rPr>
          <w:spacing w:val="-1"/>
          <w:vertAlign w:val="baseline"/>
        </w:rPr>
        <w:t> </w:t>
      </w:r>
      <w:r>
        <w:rPr>
          <w:vertAlign w:val="baseline"/>
        </w:rPr>
        <w:t>de</w:t>
      </w:r>
      <w:r>
        <w:rPr>
          <w:spacing w:val="-3"/>
          <w:vertAlign w:val="baseline"/>
        </w:rPr>
        <w:t> </w:t>
      </w:r>
      <w:r>
        <w:rPr>
          <w:vertAlign w:val="baseline"/>
        </w:rPr>
        <w:t>4</w:t>
      </w:r>
      <w:r>
        <w:rPr>
          <w:spacing w:val="-1"/>
          <w:vertAlign w:val="baseline"/>
        </w:rPr>
        <w:t> </w:t>
      </w:r>
      <w:r>
        <w:rPr>
          <w:vertAlign w:val="baseline"/>
        </w:rPr>
        <w:t>meses, houve</w:t>
      </w:r>
      <w:r>
        <w:rPr>
          <w:spacing w:val="-3"/>
          <w:vertAlign w:val="baseline"/>
        </w:rPr>
        <w:t> </w:t>
      </w:r>
      <w:r>
        <w:rPr>
          <w:vertAlign w:val="baseline"/>
        </w:rPr>
        <w:t>melhora</w:t>
      </w:r>
      <w:r>
        <w:rPr>
          <w:spacing w:val="-4"/>
          <w:vertAlign w:val="baseline"/>
        </w:rPr>
        <w:t> </w:t>
      </w:r>
      <w:r>
        <w:rPr>
          <w:vertAlign w:val="baseline"/>
        </w:rPr>
        <w:t>da</w:t>
      </w:r>
      <w:r>
        <w:rPr>
          <w:spacing w:val="-3"/>
          <w:vertAlign w:val="baseline"/>
        </w:rPr>
        <w:t> </w:t>
      </w:r>
      <w:r>
        <w:rPr>
          <w:vertAlign w:val="baseline"/>
        </w:rPr>
        <w:t>classe</w:t>
      </w:r>
      <w:r>
        <w:rPr>
          <w:spacing w:val="-4"/>
          <w:vertAlign w:val="baseline"/>
        </w:rPr>
        <w:t> </w:t>
      </w:r>
      <w:r>
        <w:rPr>
          <w:vertAlign w:val="baseline"/>
        </w:rPr>
        <w:t>funcional, redução significativa dos defeitos perfusionais avaliados por SPECT e aumento da fração de ejeção de 20% para </w:t>
      </w:r>
      <w:r>
        <w:rPr>
          <w:spacing w:val="-4"/>
          <w:vertAlign w:val="baseline"/>
        </w:rPr>
        <w:t>29%.</w:t>
      </w:r>
    </w:p>
    <w:p>
      <w:pPr>
        <w:pStyle w:val="BodyText"/>
        <w:spacing w:line="278" w:lineRule="auto" w:before="81"/>
        <w:ind w:right="488"/>
      </w:pPr>
      <w:r>
        <w:rPr/>
        <w:t>Stamm </w:t>
      </w:r>
      <w:r>
        <w:rPr>
          <w:i/>
        </w:rPr>
        <w:t>et al</w:t>
      </w:r>
      <w:r>
        <w:rPr/>
        <w:t>.</w:t>
      </w:r>
      <w:r>
        <w:rPr>
          <w:vertAlign w:val="superscript"/>
        </w:rPr>
        <w:t>20</w:t>
      </w:r>
      <w:r>
        <w:rPr>
          <w:vertAlign w:val="baseline"/>
        </w:rPr>
        <w:t> propuseram a utilização combinada de injeções intramiocárdicas de células-tronco derivadas da medula óssea com potencial de indução de angiogênese à cirurgia de revascularização miocárdica em 6 pacientes pós-IAM. Cerca</w:t>
      </w:r>
      <w:r>
        <w:rPr>
          <w:spacing w:val="-8"/>
          <w:vertAlign w:val="baseline"/>
        </w:rPr>
        <w:t> </w:t>
      </w:r>
      <w:r>
        <w:rPr>
          <w:vertAlign w:val="baseline"/>
        </w:rPr>
        <w:t>de</w:t>
      </w:r>
      <w:r>
        <w:rPr>
          <w:spacing w:val="-8"/>
          <w:vertAlign w:val="baseline"/>
        </w:rPr>
        <w:t> </w:t>
      </w:r>
      <w:r>
        <w:rPr>
          <w:vertAlign w:val="baseline"/>
        </w:rPr>
        <w:t>1,5×10</w:t>
      </w:r>
      <w:r>
        <w:rPr>
          <w:vertAlign w:val="superscript"/>
        </w:rPr>
        <w:t>6</w:t>
      </w:r>
      <w:r>
        <w:rPr>
          <w:vertAlign w:val="baseline"/>
        </w:rPr>
        <w:t> células foram</w:t>
      </w:r>
      <w:r>
        <w:rPr>
          <w:spacing w:val="-1"/>
          <w:vertAlign w:val="baseline"/>
        </w:rPr>
        <w:t> </w:t>
      </w:r>
      <w:r>
        <w:rPr>
          <w:vertAlign w:val="baseline"/>
        </w:rPr>
        <w:t>injetadas em</w:t>
      </w:r>
      <w:r>
        <w:rPr>
          <w:spacing w:val="-1"/>
          <w:vertAlign w:val="baseline"/>
        </w:rPr>
        <w:t> </w:t>
      </w:r>
      <w:r>
        <w:rPr>
          <w:vertAlign w:val="baseline"/>
        </w:rPr>
        <w:t>cada</w:t>
      </w:r>
      <w:r>
        <w:rPr>
          <w:spacing w:val="-4"/>
          <w:vertAlign w:val="baseline"/>
        </w:rPr>
        <w:t> </w:t>
      </w:r>
      <w:r>
        <w:rPr>
          <w:vertAlign w:val="baseline"/>
        </w:rPr>
        <w:t>paciente</w:t>
      </w:r>
      <w:r>
        <w:rPr>
          <w:spacing w:val="-4"/>
          <w:vertAlign w:val="baseline"/>
        </w:rPr>
        <w:t> </w:t>
      </w:r>
      <w:r>
        <w:rPr>
          <w:vertAlign w:val="baseline"/>
        </w:rPr>
        <w:t>na</w:t>
      </w:r>
      <w:r>
        <w:rPr>
          <w:spacing w:val="-4"/>
          <w:vertAlign w:val="baseline"/>
        </w:rPr>
        <w:t> </w:t>
      </w:r>
      <w:r>
        <w:rPr>
          <w:vertAlign w:val="baseline"/>
        </w:rPr>
        <w:t>borda</w:t>
      </w:r>
      <w:r>
        <w:rPr>
          <w:spacing w:val="-4"/>
          <w:vertAlign w:val="baseline"/>
        </w:rPr>
        <w:t> </w:t>
      </w:r>
      <w:r>
        <w:rPr>
          <w:vertAlign w:val="baseline"/>
        </w:rPr>
        <w:t>da</w:t>
      </w:r>
      <w:r>
        <w:rPr>
          <w:spacing w:val="-4"/>
          <w:vertAlign w:val="baseline"/>
        </w:rPr>
        <w:t> </w:t>
      </w:r>
      <w:r>
        <w:rPr>
          <w:vertAlign w:val="baseline"/>
        </w:rPr>
        <w:t>zona</w:t>
      </w:r>
      <w:r>
        <w:rPr>
          <w:spacing w:val="-4"/>
          <w:vertAlign w:val="baseline"/>
        </w:rPr>
        <w:t> </w:t>
      </w:r>
      <w:r>
        <w:rPr>
          <w:vertAlign w:val="baseline"/>
        </w:rPr>
        <w:t>de</w:t>
      </w:r>
      <w:r>
        <w:rPr>
          <w:spacing w:val="-4"/>
          <w:vertAlign w:val="baseline"/>
        </w:rPr>
        <w:t> </w:t>
      </w:r>
      <w:r>
        <w:rPr>
          <w:vertAlign w:val="baseline"/>
        </w:rPr>
        <w:t>infarto</w:t>
      </w:r>
      <w:r>
        <w:rPr>
          <w:spacing w:val="-1"/>
          <w:vertAlign w:val="baseline"/>
        </w:rPr>
        <w:t> </w:t>
      </w:r>
      <w:r>
        <w:rPr>
          <w:vertAlign w:val="baseline"/>
        </w:rPr>
        <w:t>durante</w:t>
      </w:r>
      <w:r>
        <w:rPr>
          <w:spacing w:val="-4"/>
          <w:vertAlign w:val="baseline"/>
        </w:rPr>
        <w:t> </w:t>
      </w:r>
      <w:r>
        <w:rPr>
          <w:vertAlign w:val="baseline"/>
        </w:rPr>
        <w:t>a</w:t>
      </w:r>
      <w:r>
        <w:rPr>
          <w:spacing w:val="-4"/>
          <w:vertAlign w:val="baseline"/>
        </w:rPr>
        <w:t> </w:t>
      </w:r>
      <w:r>
        <w:rPr>
          <w:vertAlign w:val="baseline"/>
        </w:rPr>
        <w:t>cirurgia de revascularização do miocárdio. Após 3 a 9 meses de seguimento, todos os pacientes se encontravam vivos; aumento da motilidade global (em quatro dos seis pacientes) e da perfusão da área de infarto (em cinco dos seis pacientes) pôde ser documentado. Gowdak </w:t>
      </w:r>
      <w:r>
        <w:rPr>
          <w:i/>
          <w:vertAlign w:val="baseline"/>
        </w:rPr>
        <w:t>et al</w:t>
      </w:r>
      <w:r>
        <w:rPr>
          <w:vertAlign w:val="baseline"/>
        </w:rPr>
        <w:t>.</w:t>
      </w:r>
      <w:r>
        <w:rPr>
          <w:vertAlign w:val="superscript"/>
        </w:rPr>
        <w:t>21</w:t>
      </w:r>
      <w:r>
        <w:rPr>
          <w:vertAlign w:val="baseline"/>
        </w:rPr>
        <w:t> adotaram estratégia semelhante para o tratamento de pacientes com DAC grave e difusa, refratários ao tratamento clínico e não passíveis de revascularização cirúrgica completa pela</w:t>
      </w:r>
      <w:r>
        <w:rPr>
          <w:spacing w:val="-7"/>
          <w:vertAlign w:val="baseline"/>
        </w:rPr>
        <w:t> </w:t>
      </w:r>
      <w:r>
        <w:rPr>
          <w:vertAlign w:val="baseline"/>
        </w:rPr>
        <w:t>extensão</w:t>
      </w:r>
      <w:r>
        <w:rPr>
          <w:spacing w:val="-4"/>
          <w:vertAlign w:val="baseline"/>
        </w:rPr>
        <w:t> </w:t>
      </w:r>
      <w:r>
        <w:rPr>
          <w:vertAlign w:val="baseline"/>
        </w:rPr>
        <w:t>da</w:t>
      </w:r>
      <w:r>
        <w:rPr>
          <w:spacing w:val="-7"/>
          <w:vertAlign w:val="baseline"/>
        </w:rPr>
        <w:t> </w:t>
      </w:r>
      <w:r>
        <w:rPr>
          <w:vertAlign w:val="baseline"/>
        </w:rPr>
        <w:t>doença. Em</w:t>
      </w:r>
      <w:r>
        <w:rPr>
          <w:spacing w:val="-4"/>
          <w:vertAlign w:val="baseline"/>
        </w:rPr>
        <w:t> </w:t>
      </w:r>
      <w:r>
        <w:rPr>
          <w:vertAlign w:val="baseline"/>
        </w:rPr>
        <w:t>21</w:t>
      </w:r>
      <w:r>
        <w:rPr>
          <w:spacing w:val="-4"/>
          <w:vertAlign w:val="baseline"/>
        </w:rPr>
        <w:t> </w:t>
      </w:r>
      <w:r>
        <w:rPr>
          <w:vertAlign w:val="baseline"/>
        </w:rPr>
        <w:t>pacientes, células-tronco</w:t>
      </w:r>
      <w:r>
        <w:rPr>
          <w:spacing w:val="-4"/>
          <w:vertAlign w:val="baseline"/>
        </w:rPr>
        <w:t> </w:t>
      </w:r>
      <w:r>
        <w:rPr>
          <w:vertAlign w:val="baseline"/>
        </w:rPr>
        <w:t>e</w:t>
      </w:r>
      <w:r>
        <w:rPr>
          <w:spacing w:val="-7"/>
          <w:vertAlign w:val="baseline"/>
        </w:rPr>
        <w:t> </w:t>
      </w:r>
      <w:r>
        <w:rPr>
          <w:vertAlign w:val="baseline"/>
        </w:rPr>
        <w:t>progenitoras hematopoéticas autólogas foram</w:t>
      </w:r>
      <w:r>
        <w:rPr>
          <w:spacing w:val="-4"/>
          <w:vertAlign w:val="baseline"/>
        </w:rPr>
        <w:t> </w:t>
      </w:r>
      <w:r>
        <w:rPr>
          <w:vertAlign w:val="baseline"/>
        </w:rPr>
        <w:t>injetadas, durante a cirurgia de revascularização, naquelas áreas de miocárdio previamente identificadas como viáveis e isquêmicas. Não houve</w:t>
      </w:r>
      <w:r>
        <w:rPr>
          <w:spacing w:val="-3"/>
          <w:vertAlign w:val="baseline"/>
        </w:rPr>
        <w:t> </w:t>
      </w:r>
      <w:r>
        <w:rPr>
          <w:vertAlign w:val="baseline"/>
        </w:rPr>
        <w:t>eventos adversos relacionados com o procedimento.</w:t>
      </w:r>
      <w:r>
        <w:rPr>
          <w:vertAlign w:val="superscript"/>
        </w:rPr>
        <w:t>22</w:t>
      </w:r>
      <w:r>
        <w:rPr>
          <w:vertAlign w:val="baseline"/>
        </w:rPr>
        <w:t>A</w:t>
      </w:r>
      <w:r>
        <w:rPr>
          <w:spacing w:val="-3"/>
          <w:vertAlign w:val="baseline"/>
        </w:rPr>
        <w:t> </w:t>
      </w:r>
      <w:r>
        <w:rPr>
          <w:vertAlign w:val="baseline"/>
        </w:rPr>
        <w:t>análise</w:t>
      </w:r>
      <w:r>
        <w:rPr>
          <w:spacing w:val="-3"/>
          <w:vertAlign w:val="baseline"/>
        </w:rPr>
        <w:t> </w:t>
      </w:r>
      <w:r>
        <w:rPr>
          <w:vertAlign w:val="baseline"/>
        </w:rPr>
        <w:t>da</w:t>
      </w:r>
      <w:r>
        <w:rPr>
          <w:spacing w:val="-3"/>
          <w:vertAlign w:val="baseline"/>
        </w:rPr>
        <w:t> </w:t>
      </w:r>
      <w:r>
        <w:rPr>
          <w:vertAlign w:val="baseline"/>
        </w:rPr>
        <w:t>perfusão</w:t>
      </w:r>
      <w:r>
        <w:rPr>
          <w:spacing w:val="-1"/>
          <w:vertAlign w:val="baseline"/>
        </w:rPr>
        <w:t> </w:t>
      </w:r>
      <w:r>
        <w:rPr>
          <w:vertAlign w:val="baseline"/>
        </w:rPr>
        <w:t>miocárdica</w:t>
      </w:r>
      <w:r>
        <w:rPr>
          <w:spacing w:val="-3"/>
          <w:vertAlign w:val="baseline"/>
        </w:rPr>
        <w:t> </w:t>
      </w:r>
      <w:r>
        <w:rPr>
          <w:vertAlign w:val="baseline"/>
        </w:rPr>
        <w:t>nos seguimentos injetados e não revascularizados apontou para a reversão da isquemia nesses segmentos e melhora contrátil. Ainda que não se possa excluir a contribuição dos enxertos realizados a distância para a melhora observada nos segmentos injetados, pode-se especular que o implante de células tenha contribuído via indução de angiogênese para a melhora perfusional e contrátil nos segmentos tratados.</w:t>
      </w:r>
    </w:p>
    <w:p>
      <w:pPr>
        <w:pStyle w:val="BodyText"/>
        <w:spacing w:line="280" w:lineRule="auto" w:before="61"/>
        <w:ind w:right="497"/>
      </w:pPr>
      <w:r>
        <w:rPr/>
        <w:t>Mais</w:t>
      </w:r>
      <w:r>
        <w:rPr>
          <w:spacing w:val="-5"/>
        </w:rPr>
        <w:t> </w:t>
      </w:r>
      <w:r>
        <w:rPr/>
        <w:t>recentemente,</w:t>
      </w:r>
      <w:r>
        <w:rPr>
          <w:spacing w:val="-5"/>
        </w:rPr>
        <w:t> </w:t>
      </w:r>
      <w:r>
        <w:rPr/>
        <w:t>o</w:t>
      </w:r>
      <w:r>
        <w:rPr>
          <w:spacing w:val="-12"/>
        </w:rPr>
        <w:t> </w:t>
      </w:r>
      <w:r>
        <w:rPr/>
        <w:t>uso</w:t>
      </w:r>
      <w:r>
        <w:rPr>
          <w:spacing w:val="-12"/>
        </w:rPr>
        <w:t> </w:t>
      </w:r>
      <w:r>
        <w:rPr/>
        <w:t>de</w:t>
      </w:r>
      <w:r>
        <w:rPr>
          <w:spacing w:val="-14"/>
        </w:rPr>
        <w:t> </w:t>
      </w:r>
      <w:r>
        <w:rPr/>
        <w:t>células</w:t>
      </w:r>
      <w:r>
        <w:rPr>
          <w:spacing w:val="-5"/>
        </w:rPr>
        <w:t> </w:t>
      </w:r>
      <w:r>
        <w:rPr/>
        <w:t>progenitoras</w:t>
      </w:r>
      <w:r>
        <w:rPr>
          <w:spacing w:val="-5"/>
        </w:rPr>
        <w:t> </w:t>
      </w:r>
      <w:r>
        <w:rPr/>
        <w:t>hematopoéticas</w:t>
      </w:r>
      <w:r>
        <w:rPr>
          <w:spacing w:val="-5"/>
        </w:rPr>
        <w:t> </w:t>
      </w:r>
      <w:r>
        <w:rPr/>
        <w:t>foi</w:t>
      </w:r>
      <w:r>
        <w:rPr>
          <w:spacing w:val="-10"/>
        </w:rPr>
        <w:t> </w:t>
      </w:r>
      <w:r>
        <w:rPr/>
        <w:t>testado</w:t>
      </w:r>
      <w:r>
        <w:rPr>
          <w:spacing w:val="-12"/>
        </w:rPr>
        <w:t> </w:t>
      </w:r>
      <w:r>
        <w:rPr/>
        <w:t>em</w:t>
      </w:r>
      <w:r>
        <w:rPr>
          <w:spacing w:val="-12"/>
        </w:rPr>
        <w:t> </w:t>
      </w:r>
      <w:r>
        <w:rPr/>
        <w:t>ensaios</w:t>
      </w:r>
      <w:r>
        <w:rPr>
          <w:spacing w:val="-5"/>
        </w:rPr>
        <w:t> </w:t>
      </w:r>
      <w:r>
        <w:rPr/>
        <w:t>clínicos,</w:t>
      </w:r>
      <w:r>
        <w:rPr>
          <w:spacing w:val="-5"/>
        </w:rPr>
        <w:t> </w:t>
      </w:r>
      <w:r>
        <w:rPr/>
        <w:t>randomizados, controlados por placebo no IAM. Schächinger </w:t>
      </w:r>
      <w:r>
        <w:rPr>
          <w:i/>
        </w:rPr>
        <w:t>et al.</w:t>
      </w:r>
      <w:r>
        <w:rPr>
          <w:vertAlign w:val="superscript"/>
        </w:rPr>
        <w:t>23</w:t>
      </w:r>
      <w:r>
        <w:rPr>
          <w:vertAlign w:val="baseline"/>
        </w:rPr>
        <w:t> mostraram que a administração intracoronariana de células progenitoras derivadas da medula óssea determinou recuperação da função contrátil de ventrículo esquerdo em pacientes com</w:t>
      </w:r>
      <w:r>
        <w:rPr>
          <w:spacing w:val="-2"/>
          <w:vertAlign w:val="baseline"/>
        </w:rPr>
        <w:t> </w:t>
      </w:r>
      <w:r>
        <w:rPr>
          <w:vertAlign w:val="baseline"/>
        </w:rPr>
        <w:t>IAM, ainda</w:t>
      </w:r>
      <w:r>
        <w:rPr>
          <w:spacing w:val="-5"/>
          <w:vertAlign w:val="baseline"/>
        </w:rPr>
        <w:t> </w:t>
      </w:r>
      <w:r>
        <w:rPr>
          <w:vertAlign w:val="baseline"/>
        </w:rPr>
        <w:t>que</w:t>
      </w:r>
      <w:r>
        <w:rPr>
          <w:spacing w:val="-5"/>
          <w:vertAlign w:val="baseline"/>
        </w:rPr>
        <w:t> </w:t>
      </w:r>
      <w:r>
        <w:rPr>
          <w:vertAlign w:val="baseline"/>
        </w:rPr>
        <w:t>modesta</w:t>
      </w:r>
      <w:r>
        <w:rPr>
          <w:spacing w:val="-5"/>
          <w:vertAlign w:val="baseline"/>
        </w:rPr>
        <w:t> </w:t>
      </w:r>
      <w:r>
        <w:rPr>
          <w:vertAlign w:val="baseline"/>
        </w:rPr>
        <w:t>comparativamente</w:t>
      </w:r>
      <w:r>
        <w:rPr>
          <w:spacing w:val="-5"/>
          <w:vertAlign w:val="baseline"/>
        </w:rPr>
        <w:t> </w:t>
      </w:r>
      <w:r>
        <w:rPr>
          <w:vertAlign w:val="baseline"/>
        </w:rPr>
        <w:t>ao</w:t>
      </w:r>
      <w:r>
        <w:rPr>
          <w:spacing w:val="-1"/>
          <w:vertAlign w:val="baseline"/>
        </w:rPr>
        <w:t> </w:t>
      </w:r>
      <w:r>
        <w:rPr>
          <w:vertAlign w:val="baseline"/>
        </w:rPr>
        <w:t>grupo-controle</w:t>
      </w:r>
      <w:r>
        <w:rPr>
          <w:spacing w:val="-5"/>
          <w:vertAlign w:val="baseline"/>
        </w:rPr>
        <w:t> </w:t>
      </w:r>
      <w:r>
        <w:rPr>
          <w:vertAlign w:val="baseline"/>
        </w:rPr>
        <w:t>(5,5</w:t>
      </w:r>
      <w:r>
        <w:rPr>
          <w:spacing w:val="-1"/>
          <w:vertAlign w:val="baseline"/>
        </w:rPr>
        <w:t> </w:t>
      </w:r>
      <w:r>
        <w:rPr>
          <w:vertAlign w:val="baseline"/>
        </w:rPr>
        <w:t>± 7,3% </w:t>
      </w:r>
      <w:r>
        <w:rPr>
          <w:i/>
          <w:vertAlign w:val="baseline"/>
        </w:rPr>
        <w:t>vs </w:t>
      </w:r>
      <w:r>
        <w:rPr>
          <w:vertAlign w:val="baseline"/>
        </w:rPr>
        <w:t>3,0</w:t>
      </w:r>
      <w:r>
        <w:rPr>
          <w:spacing w:val="-1"/>
          <w:vertAlign w:val="baseline"/>
        </w:rPr>
        <w:t> </w:t>
      </w:r>
      <w:r>
        <w:rPr>
          <w:vertAlign w:val="baseline"/>
        </w:rPr>
        <w:t>± 6,5%; P = 0,01). No entanto, ilustrando a complexidade do assunto, Lunde </w:t>
      </w:r>
      <w:r>
        <w:rPr>
          <w:i/>
          <w:vertAlign w:val="baseline"/>
        </w:rPr>
        <w:t>et al.,</w:t>
      </w:r>
      <w:r>
        <w:rPr>
          <w:vertAlign w:val="superscript"/>
        </w:rPr>
        <w:t>24</w:t>
      </w:r>
      <w:r>
        <w:rPr>
          <w:vertAlign w:val="baseline"/>
        </w:rPr>
        <w:t> valendo-se de estratégia semelhante, não conseguiram demonstrar o mesmo benefício observado no estudo anterior, deixando claros que novos estudos são necessários para que se possa definir mais precisamente o papel da terapia celular no tratamento da DCV. Neste sentido, aguardam-se os resultados do Estudo MiHeart,</w:t>
      </w:r>
      <w:r>
        <w:rPr>
          <w:vertAlign w:val="superscript"/>
        </w:rPr>
        <w:t>25</w:t>
      </w:r>
      <w:r>
        <w:rPr>
          <w:vertAlign w:val="baseline"/>
        </w:rPr>
        <w:t> estudo nacional multicêntrico que procurará testar a eficácia</w:t>
      </w:r>
      <w:r>
        <w:rPr>
          <w:spacing w:val="-11"/>
          <w:vertAlign w:val="baseline"/>
        </w:rPr>
        <w:t> </w:t>
      </w:r>
      <w:r>
        <w:rPr>
          <w:vertAlign w:val="baseline"/>
        </w:rPr>
        <w:t>da</w:t>
      </w:r>
      <w:r>
        <w:rPr>
          <w:spacing w:val="-11"/>
          <w:vertAlign w:val="baseline"/>
        </w:rPr>
        <w:t> </w:t>
      </w:r>
      <w:r>
        <w:rPr>
          <w:vertAlign w:val="baseline"/>
        </w:rPr>
        <w:t>terapia</w:t>
      </w:r>
      <w:r>
        <w:rPr>
          <w:spacing w:val="-11"/>
          <w:vertAlign w:val="baseline"/>
        </w:rPr>
        <w:t> </w:t>
      </w:r>
      <w:r>
        <w:rPr>
          <w:vertAlign w:val="baseline"/>
        </w:rPr>
        <w:t>celular</w:t>
      </w:r>
      <w:r>
        <w:rPr>
          <w:spacing w:val="-4"/>
          <w:vertAlign w:val="baseline"/>
        </w:rPr>
        <w:t> </w:t>
      </w:r>
      <w:r>
        <w:rPr>
          <w:vertAlign w:val="baseline"/>
        </w:rPr>
        <w:t>em</w:t>
      </w:r>
      <w:r>
        <w:rPr>
          <w:spacing w:val="-9"/>
          <w:vertAlign w:val="baseline"/>
        </w:rPr>
        <w:t> </w:t>
      </w:r>
      <w:r>
        <w:rPr>
          <w:vertAlign w:val="baseline"/>
        </w:rPr>
        <w:t>quatro</w:t>
      </w:r>
      <w:r>
        <w:rPr>
          <w:spacing w:val="-9"/>
          <w:vertAlign w:val="baseline"/>
        </w:rPr>
        <w:t> </w:t>
      </w:r>
      <w:r>
        <w:rPr>
          <w:vertAlign w:val="baseline"/>
        </w:rPr>
        <w:t>das</w:t>
      </w:r>
      <w:r>
        <w:rPr>
          <w:spacing w:val="-1"/>
          <w:vertAlign w:val="baseline"/>
        </w:rPr>
        <w:t> </w:t>
      </w:r>
      <w:r>
        <w:rPr>
          <w:vertAlign w:val="baseline"/>
        </w:rPr>
        <w:t>mais</w:t>
      </w:r>
      <w:r>
        <w:rPr>
          <w:spacing w:val="-1"/>
          <w:vertAlign w:val="baseline"/>
        </w:rPr>
        <w:t> </w:t>
      </w:r>
      <w:r>
        <w:rPr>
          <w:vertAlign w:val="baseline"/>
        </w:rPr>
        <w:t>frequentes</w:t>
      </w:r>
      <w:r>
        <w:rPr>
          <w:spacing w:val="-1"/>
          <w:vertAlign w:val="baseline"/>
        </w:rPr>
        <w:t> </w:t>
      </w:r>
      <w:r>
        <w:rPr>
          <w:vertAlign w:val="baseline"/>
        </w:rPr>
        <w:t>cardiopatias</w:t>
      </w:r>
      <w:r>
        <w:rPr>
          <w:spacing w:val="-1"/>
          <w:vertAlign w:val="baseline"/>
        </w:rPr>
        <w:t> </w:t>
      </w:r>
      <w:r>
        <w:rPr>
          <w:vertAlign w:val="baseline"/>
        </w:rPr>
        <w:t>(dilatada,</w:t>
      </w:r>
      <w:r>
        <w:rPr>
          <w:spacing w:val="-1"/>
          <w:vertAlign w:val="baseline"/>
        </w:rPr>
        <w:t> </w:t>
      </w:r>
      <w:r>
        <w:rPr>
          <w:vertAlign w:val="baseline"/>
        </w:rPr>
        <w:t>chagásica,</w:t>
      </w:r>
      <w:r>
        <w:rPr>
          <w:spacing w:val="-1"/>
          <w:vertAlign w:val="baseline"/>
        </w:rPr>
        <w:t> </w:t>
      </w:r>
      <w:r>
        <w:rPr>
          <w:vertAlign w:val="baseline"/>
        </w:rPr>
        <w:t>IAM</w:t>
      </w:r>
      <w:r>
        <w:rPr>
          <w:spacing w:val="-4"/>
          <w:vertAlign w:val="baseline"/>
        </w:rPr>
        <w:t> </w:t>
      </w:r>
      <w:r>
        <w:rPr>
          <w:vertAlign w:val="baseline"/>
        </w:rPr>
        <w:t>e</w:t>
      </w:r>
      <w:r>
        <w:rPr>
          <w:spacing w:val="-11"/>
          <w:vertAlign w:val="baseline"/>
        </w:rPr>
        <w:t> </w:t>
      </w:r>
      <w:r>
        <w:rPr>
          <w:vertAlign w:val="baseline"/>
        </w:rPr>
        <w:t>doença</w:t>
      </w:r>
      <w:r>
        <w:rPr>
          <w:spacing w:val="-11"/>
          <w:vertAlign w:val="baseline"/>
        </w:rPr>
        <w:t> </w:t>
      </w:r>
      <w:r>
        <w:rPr>
          <w:vertAlign w:val="baseline"/>
        </w:rPr>
        <w:t>isquêmica crônica), em estudo duplo-cego, randomizado, controlado por placebo.</w:t>
      </w:r>
    </w:p>
    <w:p>
      <w:pPr>
        <w:pStyle w:val="BodyText"/>
        <w:spacing w:line="280" w:lineRule="auto" w:before="61"/>
        <w:ind w:right="491"/>
      </w:pPr>
      <w:r>
        <w:rPr/>
        <w:t>De fato, os resultados da terapia com células mononucleares derivadas de medula óssea em 183 pacientes com cardiopatia chagásica e disfunção ventricular esquerda (FEVE &lt; 35%) tornaram-se conhecidos em passado recente.</w:t>
      </w:r>
      <w:r>
        <w:rPr>
          <w:vertAlign w:val="superscript"/>
        </w:rPr>
        <w:t>26</w:t>
      </w:r>
      <w:r>
        <w:rPr>
          <w:vertAlign w:val="baseline"/>
        </w:rPr>
        <w:t> Neste estudo, a infusão intracoronariana de 2,20×10</w:t>
      </w:r>
      <w:r>
        <w:rPr>
          <w:vertAlign w:val="superscript"/>
        </w:rPr>
        <w:t>8</w:t>
      </w:r>
      <w:r>
        <w:rPr>
          <w:vertAlign w:val="baseline"/>
        </w:rPr>
        <w:t> células mononucleares não promoveu maior aumento da FEVE (desfecho primário) em relação ao grupo-controle tanto aos 6 meses (+3,0% </w:t>
      </w:r>
      <w:r>
        <w:rPr>
          <w:i/>
          <w:vertAlign w:val="baseline"/>
        </w:rPr>
        <w:t>vs. </w:t>
      </w:r>
      <w:r>
        <w:rPr>
          <w:vertAlign w:val="baseline"/>
        </w:rPr>
        <w:t>+2,5%, respectivamente) quanto aos 12 meses (+3,5% </w:t>
      </w:r>
      <w:r>
        <w:rPr>
          <w:i/>
          <w:vertAlign w:val="baseline"/>
        </w:rPr>
        <w:t>vs. </w:t>
      </w:r>
      <w:r>
        <w:rPr>
          <w:vertAlign w:val="baseline"/>
        </w:rPr>
        <w:t>+3,7%, respectivamente) após o procedimento.</w:t>
      </w:r>
    </w:p>
    <w:p>
      <w:pPr>
        <w:pStyle w:val="BodyText"/>
        <w:spacing w:line="285" w:lineRule="auto" w:before="54"/>
        <w:ind w:right="488"/>
      </w:pPr>
      <w:r>
        <w:rPr/>
        <w:t>Outra condição clínica de importância crescente a ser contemplada em terapia celular é a angina refratária. O estudo RENEW, atualmente em andamento, testará a eficácia e segurança da injeção intramiocárdica de células CD34</w:t>
      </w:r>
      <w:r>
        <w:rPr>
          <w:vertAlign w:val="superscript"/>
        </w:rPr>
        <w:t>+</w:t>
      </w:r>
      <w:r>
        <w:rPr>
          <w:vertAlign w:val="baseline"/>
        </w:rPr>
        <w:t> autólogas em pacientes com angina refratária ao tratamento clínico otimizado e não candidatos a procedimentos</w:t>
      </w:r>
      <w:r>
        <w:rPr>
          <w:spacing w:val="-2"/>
          <w:vertAlign w:val="baseline"/>
        </w:rPr>
        <w:t> </w:t>
      </w:r>
      <w:r>
        <w:rPr>
          <w:vertAlign w:val="baseline"/>
        </w:rPr>
        <w:t>de</w:t>
      </w:r>
      <w:r>
        <w:rPr>
          <w:spacing w:val="-11"/>
          <w:vertAlign w:val="baseline"/>
        </w:rPr>
        <w:t> </w:t>
      </w:r>
      <w:r>
        <w:rPr>
          <w:vertAlign w:val="baseline"/>
        </w:rPr>
        <w:t>revascularização.</w:t>
      </w:r>
      <w:r>
        <w:rPr>
          <w:vertAlign w:val="superscript"/>
        </w:rPr>
        <w:t>27</w:t>
      </w:r>
      <w:r>
        <w:rPr>
          <w:vertAlign w:val="baseline"/>
        </w:rPr>
        <w:t> Outro</w:t>
      </w:r>
      <w:r>
        <w:rPr>
          <w:spacing w:val="-5"/>
          <w:vertAlign w:val="baseline"/>
        </w:rPr>
        <w:t> </w:t>
      </w:r>
      <w:r>
        <w:rPr>
          <w:vertAlign w:val="baseline"/>
        </w:rPr>
        <w:t>estudo</w:t>
      </w:r>
      <w:r>
        <w:rPr>
          <w:spacing w:val="-5"/>
          <w:vertAlign w:val="baseline"/>
        </w:rPr>
        <w:t> </w:t>
      </w:r>
      <w:r>
        <w:rPr>
          <w:vertAlign w:val="baseline"/>
        </w:rPr>
        <w:t>recentemente</w:t>
      </w:r>
      <w:r>
        <w:rPr>
          <w:spacing w:val="-7"/>
          <w:vertAlign w:val="baseline"/>
        </w:rPr>
        <w:t> </w:t>
      </w:r>
      <w:r>
        <w:rPr>
          <w:vertAlign w:val="baseline"/>
        </w:rPr>
        <w:t>iniciado, o</w:t>
      </w:r>
      <w:r>
        <w:rPr>
          <w:spacing w:val="-5"/>
          <w:vertAlign w:val="baseline"/>
        </w:rPr>
        <w:t> </w:t>
      </w:r>
      <w:r>
        <w:rPr>
          <w:vertAlign w:val="baseline"/>
        </w:rPr>
        <w:t>IMPACT-CABG,</w:t>
      </w:r>
      <w:r>
        <w:rPr>
          <w:vertAlign w:val="superscript"/>
        </w:rPr>
        <w:t>28</w:t>
      </w:r>
      <w:r>
        <w:rPr>
          <w:vertAlign w:val="baseline"/>
        </w:rPr>
        <w:t> testará</w:t>
      </w:r>
      <w:r>
        <w:rPr>
          <w:spacing w:val="-7"/>
          <w:vertAlign w:val="baseline"/>
        </w:rPr>
        <w:t> </w:t>
      </w:r>
      <w:r>
        <w:rPr>
          <w:vertAlign w:val="baseline"/>
        </w:rPr>
        <w:t>a</w:t>
      </w:r>
      <w:r>
        <w:rPr>
          <w:spacing w:val="-7"/>
          <w:vertAlign w:val="baseline"/>
        </w:rPr>
        <w:t> </w:t>
      </w:r>
      <w:r>
        <w:rPr>
          <w:vertAlign w:val="baseline"/>
        </w:rPr>
        <w:t>segurança e eficácia da injeção intramiocárdica de células CD133</w:t>
      </w:r>
      <w:r>
        <w:rPr>
          <w:vertAlign w:val="superscript"/>
        </w:rPr>
        <w:t>+</w:t>
      </w:r>
      <w:r>
        <w:rPr>
          <w:vertAlign w:val="baseline"/>
        </w:rPr>
        <w:t> autólogas em pacientes submetidos à cirurgia de revascularização miocárdica.</w:t>
      </w:r>
    </w:p>
    <w:p>
      <w:pPr>
        <w:pStyle w:val="BodyText"/>
        <w:spacing w:line="276" w:lineRule="auto" w:before="34"/>
        <w:ind w:right="491"/>
      </w:pPr>
      <w:r>
        <w:rPr/>
        <w:t>Observa-se que diversas populações de células derivadas da medula óssea, selecionadas ou não, têm sido exploradas</w:t>
      </w:r>
      <w:r>
        <w:rPr>
          <w:spacing w:val="-6"/>
        </w:rPr>
        <w:t> </w:t>
      </w:r>
      <w:r>
        <w:rPr/>
        <w:t>quanto</w:t>
      </w:r>
      <w:r>
        <w:rPr>
          <w:spacing w:val="-13"/>
        </w:rPr>
        <w:t> </w:t>
      </w:r>
      <w:r>
        <w:rPr/>
        <w:t>ao</w:t>
      </w:r>
      <w:r>
        <w:rPr>
          <w:spacing w:val="-13"/>
        </w:rPr>
        <w:t> </w:t>
      </w:r>
      <w:r>
        <w:rPr/>
        <w:t>seu</w:t>
      </w:r>
      <w:r>
        <w:rPr>
          <w:spacing w:val="-13"/>
        </w:rPr>
        <w:t> </w:t>
      </w:r>
      <w:r>
        <w:rPr/>
        <w:t>potencial</w:t>
      </w:r>
      <w:r>
        <w:rPr>
          <w:spacing w:val="-11"/>
        </w:rPr>
        <w:t> </w:t>
      </w:r>
      <w:r>
        <w:rPr/>
        <w:t>terapêutico</w:t>
      </w:r>
      <w:r>
        <w:rPr>
          <w:spacing w:val="-13"/>
        </w:rPr>
        <w:t> </w:t>
      </w:r>
      <w:r>
        <w:rPr/>
        <w:t>em</w:t>
      </w:r>
      <w:r>
        <w:rPr>
          <w:spacing w:val="-13"/>
        </w:rPr>
        <w:t> </w:t>
      </w:r>
      <w:r>
        <w:rPr/>
        <w:t>medicina</w:t>
      </w:r>
      <w:r>
        <w:rPr>
          <w:spacing w:val="-15"/>
        </w:rPr>
        <w:t> </w:t>
      </w:r>
      <w:r>
        <w:rPr/>
        <w:t>cardiovascular.</w:t>
      </w:r>
      <w:r>
        <w:rPr>
          <w:spacing w:val="-6"/>
        </w:rPr>
        <w:t> </w:t>
      </w:r>
      <w:r>
        <w:rPr/>
        <w:t>Os</w:t>
      </w:r>
      <w:r>
        <w:rPr>
          <w:spacing w:val="-6"/>
        </w:rPr>
        <w:t> </w:t>
      </w:r>
      <w:r>
        <w:rPr/>
        <w:t>avanços</w:t>
      </w:r>
      <w:r>
        <w:rPr>
          <w:spacing w:val="-6"/>
        </w:rPr>
        <w:t> </w:t>
      </w:r>
      <w:r>
        <w:rPr/>
        <w:t>na</w:t>
      </w:r>
      <w:r>
        <w:rPr>
          <w:spacing w:val="-15"/>
        </w:rPr>
        <w:t> </w:t>
      </w:r>
      <w:r>
        <w:rPr/>
        <w:t>caracterização</w:t>
      </w:r>
      <w:r>
        <w:rPr>
          <w:spacing w:val="-12"/>
        </w:rPr>
        <w:t> </w:t>
      </w:r>
      <w:r>
        <w:rPr/>
        <w:t>fenotípica de</w:t>
      </w:r>
      <w:r>
        <w:rPr>
          <w:spacing w:val="-4"/>
        </w:rPr>
        <w:t> </w:t>
      </w:r>
      <w:r>
        <w:rPr/>
        <w:t>outras células com</w:t>
      </w:r>
      <w:r>
        <w:rPr>
          <w:spacing w:val="-1"/>
        </w:rPr>
        <w:t> </w:t>
      </w:r>
      <w:r>
        <w:rPr/>
        <w:t>potencial regenerativo</w:t>
      </w:r>
      <w:r>
        <w:rPr>
          <w:spacing w:val="-1"/>
        </w:rPr>
        <w:t> </w:t>
      </w:r>
      <w:r>
        <w:rPr/>
        <w:t>possibilitou</w:t>
      </w:r>
      <w:r>
        <w:rPr>
          <w:spacing w:val="-1"/>
        </w:rPr>
        <w:t> </w:t>
      </w:r>
      <w:r>
        <w:rPr/>
        <w:t>que</w:t>
      </w:r>
      <w:r>
        <w:rPr>
          <w:spacing w:val="-4"/>
        </w:rPr>
        <w:t> </w:t>
      </w:r>
      <w:r>
        <w:rPr/>
        <w:t>fossem</w:t>
      </w:r>
      <w:r>
        <w:rPr>
          <w:spacing w:val="-1"/>
        </w:rPr>
        <w:t> </w:t>
      </w:r>
      <w:r>
        <w:rPr/>
        <w:t>rapidamente</w:t>
      </w:r>
      <w:r>
        <w:rPr>
          <w:spacing w:val="-4"/>
        </w:rPr>
        <w:t> </w:t>
      </w:r>
      <w:r>
        <w:rPr/>
        <w:t>exploradas em</w:t>
      </w:r>
      <w:r>
        <w:rPr>
          <w:spacing w:val="-1"/>
        </w:rPr>
        <w:t> </w:t>
      </w:r>
      <w:r>
        <w:rPr/>
        <w:t>ensaios clínicos.</w:t>
      </w:r>
    </w:p>
    <w:p>
      <w:pPr>
        <w:pStyle w:val="BodyText"/>
        <w:spacing w:after="0" w:line="276" w:lineRule="auto"/>
        <w:sectPr>
          <w:pgSz w:w="11900" w:h="16840"/>
          <w:pgMar w:top="200" w:bottom="280" w:left="566" w:right="141"/>
        </w:sectPr>
      </w:pPr>
    </w:p>
    <w:p>
      <w:pPr>
        <w:pStyle w:val="BodyText"/>
        <w:spacing w:line="280" w:lineRule="auto" w:before="79"/>
        <w:ind w:right="497"/>
      </w:pPr>
      <w:r>
        <w:rPr/>
        <w:t>O tecido adiposo adulto é um dos tecidos com maior plasticidade no corpo humano. Contém duas populações celulares com funcionalidades distintas que podem contribuir para a neovascularização em tecidos isquêmicos: células</w:t>
      </w:r>
      <w:r>
        <w:rPr>
          <w:spacing w:val="-1"/>
        </w:rPr>
        <w:t> </w:t>
      </w:r>
      <w:r>
        <w:rPr/>
        <w:t>endoteliais</w:t>
      </w:r>
      <w:r>
        <w:rPr>
          <w:spacing w:val="-1"/>
        </w:rPr>
        <w:t> </w:t>
      </w:r>
      <w:r>
        <w:rPr/>
        <w:t>e</w:t>
      </w:r>
      <w:r>
        <w:rPr>
          <w:spacing w:val="-10"/>
        </w:rPr>
        <w:t> </w:t>
      </w:r>
      <w:r>
        <w:rPr/>
        <w:t>células</w:t>
      </w:r>
      <w:r>
        <w:rPr>
          <w:spacing w:val="-1"/>
        </w:rPr>
        <w:t> </w:t>
      </w:r>
      <w:r>
        <w:rPr/>
        <w:t>mesenquimais</w:t>
      </w:r>
      <w:r>
        <w:rPr>
          <w:spacing w:val="-1"/>
        </w:rPr>
        <w:t> </w:t>
      </w:r>
      <w:r>
        <w:rPr/>
        <w:t>derivadas</w:t>
      </w:r>
      <w:r>
        <w:rPr>
          <w:spacing w:val="-1"/>
        </w:rPr>
        <w:t> </w:t>
      </w:r>
      <w:r>
        <w:rPr/>
        <w:t>de</w:t>
      </w:r>
      <w:r>
        <w:rPr>
          <w:spacing w:val="-10"/>
        </w:rPr>
        <w:t> </w:t>
      </w:r>
      <w:r>
        <w:rPr/>
        <w:t>tecido</w:t>
      </w:r>
      <w:r>
        <w:rPr>
          <w:spacing w:val="-8"/>
        </w:rPr>
        <w:t> </w:t>
      </w:r>
      <w:r>
        <w:rPr/>
        <w:t>adiposo.</w:t>
      </w:r>
      <w:r>
        <w:rPr>
          <w:vertAlign w:val="superscript"/>
        </w:rPr>
        <w:t>29</w:t>
      </w:r>
      <w:r>
        <w:rPr>
          <w:spacing w:val="-2"/>
          <w:vertAlign w:val="baseline"/>
        </w:rPr>
        <w:t> </w:t>
      </w:r>
      <w:r>
        <w:rPr>
          <w:vertAlign w:val="baseline"/>
        </w:rPr>
        <w:t>Diversos</w:t>
      </w:r>
      <w:r>
        <w:rPr>
          <w:spacing w:val="-1"/>
          <w:vertAlign w:val="baseline"/>
        </w:rPr>
        <w:t> </w:t>
      </w:r>
      <w:r>
        <w:rPr>
          <w:vertAlign w:val="baseline"/>
        </w:rPr>
        <w:t>estudos</w:t>
      </w:r>
      <w:r>
        <w:rPr>
          <w:spacing w:val="-1"/>
          <w:vertAlign w:val="baseline"/>
        </w:rPr>
        <w:t> </w:t>
      </w:r>
      <w:r>
        <w:rPr>
          <w:vertAlign w:val="baseline"/>
        </w:rPr>
        <w:t>clínicos</w:t>
      </w:r>
      <w:r>
        <w:rPr>
          <w:spacing w:val="-1"/>
          <w:vertAlign w:val="baseline"/>
        </w:rPr>
        <w:t> </w:t>
      </w:r>
      <w:r>
        <w:rPr>
          <w:vertAlign w:val="baseline"/>
        </w:rPr>
        <w:t>foram</w:t>
      </w:r>
      <w:r>
        <w:rPr>
          <w:spacing w:val="-8"/>
          <w:vertAlign w:val="baseline"/>
        </w:rPr>
        <w:t> </w:t>
      </w:r>
      <w:r>
        <w:rPr>
          <w:vertAlign w:val="baseline"/>
        </w:rPr>
        <w:t>iniciados para testar o potencial angiogênico de células mesenquimais obtidas do tecido adiposo em pacientes com doença isquêmica crônica,</w:t>
      </w:r>
      <w:r>
        <w:rPr>
          <w:vertAlign w:val="superscript"/>
        </w:rPr>
        <w:t>30</w:t>
      </w:r>
      <w:r>
        <w:rPr>
          <w:vertAlign w:val="baseline"/>
        </w:rPr>
        <w:t> IAM e IC.</w:t>
      </w:r>
      <w:r>
        <w:rPr>
          <w:vertAlign w:val="superscript"/>
        </w:rPr>
        <w:t>31</w:t>
      </w:r>
      <w:r>
        <w:rPr>
          <w:vertAlign w:val="baseline"/>
        </w:rPr>
        <w:t> A conclusão desses importantes ensaios clínicos permitirá documentar a possibilidade</w:t>
      </w:r>
      <w:r>
        <w:rPr>
          <w:spacing w:val="-2"/>
          <w:vertAlign w:val="baseline"/>
        </w:rPr>
        <w:t> </w:t>
      </w:r>
      <w:r>
        <w:rPr>
          <w:vertAlign w:val="baseline"/>
        </w:rPr>
        <w:t>de</w:t>
      </w:r>
      <w:r>
        <w:rPr>
          <w:spacing w:val="-2"/>
          <w:vertAlign w:val="baseline"/>
        </w:rPr>
        <w:t> </w:t>
      </w:r>
      <w:r>
        <w:rPr>
          <w:vertAlign w:val="baseline"/>
        </w:rPr>
        <w:t>uso desse</w:t>
      </w:r>
      <w:r>
        <w:rPr>
          <w:spacing w:val="-2"/>
          <w:vertAlign w:val="baseline"/>
        </w:rPr>
        <w:t> </w:t>
      </w:r>
      <w:r>
        <w:rPr>
          <w:vertAlign w:val="baseline"/>
        </w:rPr>
        <w:t>abundante</w:t>
      </w:r>
      <w:r>
        <w:rPr>
          <w:spacing w:val="-2"/>
          <w:vertAlign w:val="baseline"/>
        </w:rPr>
        <w:t> </w:t>
      </w:r>
      <w:r>
        <w:rPr>
          <w:vertAlign w:val="baseline"/>
        </w:rPr>
        <w:t>fonte</w:t>
      </w:r>
      <w:r>
        <w:rPr>
          <w:spacing w:val="-2"/>
          <w:vertAlign w:val="baseline"/>
        </w:rPr>
        <w:t> </w:t>
      </w:r>
      <w:r>
        <w:rPr>
          <w:vertAlign w:val="baseline"/>
        </w:rPr>
        <w:t>celular no tratamento de</w:t>
      </w:r>
      <w:r>
        <w:rPr>
          <w:spacing w:val="-2"/>
          <w:vertAlign w:val="baseline"/>
        </w:rPr>
        <w:t> </w:t>
      </w:r>
      <w:r>
        <w:rPr>
          <w:vertAlign w:val="baseline"/>
        </w:rPr>
        <w:t>pacientes com diversas cardiopatias.</w:t>
      </w:r>
    </w:p>
    <w:p>
      <w:pPr>
        <w:pStyle w:val="BodyText"/>
        <w:spacing w:line="280" w:lineRule="auto"/>
        <w:ind w:right="488"/>
      </w:pPr>
      <w:r>
        <w:rPr/>
        <w:t>Finalmente, um dos últimos tipos celulares explorados no tratamento de pacientes com cardiomiopatia isquêmica resultou da identificação de células-tronco residentes cardíacas com potencial para regeneração miocárdica.</w:t>
      </w:r>
      <w:r>
        <w:rPr>
          <w:vertAlign w:val="superscript"/>
        </w:rPr>
        <w:t>32</w:t>
      </w:r>
      <w:r>
        <w:rPr>
          <w:vertAlign w:val="baseline"/>
        </w:rPr>
        <w:t> Numerosos estudos pré-clínicos demonstraram a eficácia dessas células no tratamento da disfunção ventricular esquerda pós-infarto.</w:t>
      </w:r>
      <w:r>
        <w:rPr>
          <w:vertAlign w:val="superscript"/>
        </w:rPr>
        <w:t>33,34</w:t>
      </w:r>
      <w:r>
        <w:rPr>
          <w:vertAlign w:val="baseline"/>
        </w:rPr>
        <w:t> Motivados pelo sucesso em modelos experimentais, os investigadores responsáveis pela</w:t>
      </w:r>
      <w:r>
        <w:rPr>
          <w:spacing w:val="-5"/>
          <w:vertAlign w:val="baseline"/>
        </w:rPr>
        <w:t> </w:t>
      </w:r>
      <w:r>
        <w:rPr>
          <w:vertAlign w:val="baseline"/>
        </w:rPr>
        <w:t>identificação</w:t>
      </w:r>
      <w:r>
        <w:rPr>
          <w:spacing w:val="-3"/>
          <w:vertAlign w:val="baseline"/>
        </w:rPr>
        <w:t> </w:t>
      </w:r>
      <w:r>
        <w:rPr>
          <w:vertAlign w:val="baseline"/>
        </w:rPr>
        <w:t>e</w:t>
      </w:r>
      <w:r>
        <w:rPr>
          <w:spacing w:val="-5"/>
          <w:vertAlign w:val="baseline"/>
        </w:rPr>
        <w:t> </w:t>
      </w:r>
      <w:r>
        <w:rPr>
          <w:vertAlign w:val="baseline"/>
        </w:rPr>
        <w:t>caracterização</w:t>
      </w:r>
      <w:r>
        <w:rPr>
          <w:spacing w:val="-3"/>
          <w:vertAlign w:val="baseline"/>
        </w:rPr>
        <w:t> </w:t>
      </w:r>
      <w:r>
        <w:rPr>
          <w:vertAlign w:val="baseline"/>
        </w:rPr>
        <w:t>deste</w:t>
      </w:r>
      <w:r>
        <w:rPr>
          <w:spacing w:val="-5"/>
          <w:vertAlign w:val="baseline"/>
        </w:rPr>
        <w:t> </w:t>
      </w:r>
      <w:r>
        <w:rPr>
          <w:vertAlign w:val="baseline"/>
        </w:rPr>
        <w:t>tipo</w:t>
      </w:r>
      <w:r>
        <w:rPr>
          <w:spacing w:val="-3"/>
          <w:vertAlign w:val="baseline"/>
        </w:rPr>
        <w:t> </w:t>
      </w:r>
      <w:r>
        <w:rPr>
          <w:vertAlign w:val="baseline"/>
        </w:rPr>
        <w:t>celular iniciaram</w:t>
      </w:r>
      <w:r>
        <w:rPr>
          <w:spacing w:val="-3"/>
          <w:vertAlign w:val="baseline"/>
        </w:rPr>
        <w:t> </w:t>
      </w:r>
      <w:r>
        <w:rPr>
          <w:vertAlign w:val="baseline"/>
        </w:rPr>
        <w:t>a</w:t>
      </w:r>
      <w:r>
        <w:rPr>
          <w:spacing w:val="-5"/>
          <w:vertAlign w:val="baseline"/>
        </w:rPr>
        <w:t> </w:t>
      </w:r>
      <w:r>
        <w:rPr>
          <w:vertAlign w:val="baseline"/>
        </w:rPr>
        <w:t>primeira</w:t>
      </w:r>
      <w:r>
        <w:rPr>
          <w:spacing w:val="-5"/>
          <w:vertAlign w:val="baseline"/>
        </w:rPr>
        <w:t> </w:t>
      </w:r>
      <w:r>
        <w:rPr>
          <w:vertAlign w:val="baseline"/>
        </w:rPr>
        <w:t>experiência</w:t>
      </w:r>
      <w:r>
        <w:rPr>
          <w:spacing w:val="-5"/>
          <w:vertAlign w:val="baseline"/>
        </w:rPr>
        <w:t> </w:t>
      </w:r>
      <w:r>
        <w:rPr>
          <w:vertAlign w:val="baseline"/>
        </w:rPr>
        <w:t>em</w:t>
      </w:r>
      <w:r>
        <w:rPr>
          <w:spacing w:val="-3"/>
          <w:vertAlign w:val="baseline"/>
        </w:rPr>
        <w:t> </w:t>
      </w:r>
      <w:r>
        <w:rPr>
          <w:vertAlign w:val="baseline"/>
        </w:rPr>
        <w:t>humanos em pacientes com cardiomiopatia isquêmica.</w:t>
      </w:r>
      <w:r>
        <w:rPr>
          <w:vertAlign w:val="superscript"/>
        </w:rPr>
        <w:t>35</w:t>
      </w:r>
      <w:r>
        <w:rPr>
          <w:vertAlign w:val="baseline"/>
        </w:rPr>
        <w:t> No estudo SCIPIO,</w:t>
      </w:r>
      <w:r>
        <w:rPr>
          <w:vertAlign w:val="superscript"/>
        </w:rPr>
        <w:t>36</w:t>
      </w:r>
      <w:r>
        <w:rPr>
          <w:vertAlign w:val="baseline"/>
        </w:rPr>
        <w:t> 33 pacientes (20 no grupo terapia celular e 13 controles) foram incluídos; as células-tronco residentes cardíacas foram obtidas a partir do apêndice atrial direito durante a cirurgia para revascularização miocárdica. Uma vez isoladas, as células foram expandidas e infundidas por via intracoronariana aproximadamente 4 meses após a cirurgia. Avaliação da função cardíaca medida por ressonância magnética mostrou aumento significativo da FEVE no grupo tratado de 27,5% (basal) para 35,1 e 41,2%, 4 e 12 meses após a infusão das células, além de diminuição significativa da área de infarto.</w:t>
      </w:r>
    </w:p>
    <w:p>
      <w:pPr>
        <w:pStyle w:val="BodyText"/>
        <w:spacing w:before="176"/>
        <w:ind w:left="0" w:firstLine="0"/>
        <w:jc w:val="left"/>
      </w:pPr>
    </w:p>
    <w:p>
      <w:pPr>
        <w:pStyle w:val="Heading4"/>
        <w:spacing w:before="1"/>
      </w:pPr>
      <w:r>
        <w:rPr>
          <w:color w:val="242B67"/>
        </w:rPr>
        <w:t>Considerações </w:t>
      </w:r>
      <w:r>
        <w:rPr>
          <w:color w:val="242B67"/>
          <w:spacing w:val="-2"/>
        </w:rPr>
        <w:t>finais</w:t>
      </w:r>
    </w:p>
    <w:p>
      <w:pPr>
        <w:pStyle w:val="BodyText"/>
        <w:spacing w:line="276" w:lineRule="auto" w:before="131"/>
        <w:ind w:right="491"/>
      </w:pPr>
      <w:r>
        <w:rPr/>
        <w:t>Os</w:t>
      </w:r>
      <w:r>
        <w:rPr>
          <w:spacing w:val="-1"/>
        </w:rPr>
        <w:t> </w:t>
      </w:r>
      <w:r>
        <w:rPr/>
        <w:t>enormes</w:t>
      </w:r>
      <w:r>
        <w:rPr>
          <w:spacing w:val="-1"/>
        </w:rPr>
        <w:t> </w:t>
      </w:r>
      <w:r>
        <w:rPr/>
        <w:t>avanços</w:t>
      </w:r>
      <w:r>
        <w:rPr>
          <w:spacing w:val="-1"/>
        </w:rPr>
        <w:t> </w:t>
      </w:r>
      <w:r>
        <w:rPr/>
        <w:t>experimentados</w:t>
      </w:r>
      <w:r>
        <w:rPr>
          <w:spacing w:val="-1"/>
        </w:rPr>
        <w:t> </w:t>
      </w:r>
      <w:r>
        <w:rPr/>
        <w:t>nas</w:t>
      </w:r>
      <w:r>
        <w:rPr>
          <w:spacing w:val="-1"/>
        </w:rPr>
        <w:t> </w:t>
      </w:r>
      <w:r>
        <w:rPr/>
        <w:t>áreas</w:t>
      </w:r>
      <w:r>
        <w:rPr>
          <w:spacing w:val="-1"/>
        </w:rPr>
        <w:t> </w:t>
      </w:r>
      <w:r>
        <w:rPr/>
        <w:t>de</w:t>
      </w:r>
      <w:r>
        <w:rPr>
          <w:spacing w:val="-11"/>
        </w:rPr>
        <w:t> </w:t>
      </w:r>
      <w:r>
        <w:rPr/>
        <w:t>biologia</w:t>
      </w:r>
      <w:r>
        <w:rPr>
          <w:spacing w:val="-11"/>
        </w:rPr>
        <w:t> </w:t>
      </w:r>
      <w:r>
        <w:rPr/>
        <w:t>celular</w:t>
      </w:r>
      <w:r>
        <w:rPr>
          <w:spacing w:val="-3"/>
        </w:rPr>
        <w:t> </w:t>
      </w:r>
      <w:r>
        <w:rPr/>
        <w:t>e</w:t>
      </w:r>
      <w:r>
        <w:rPr>
          <w:spacing w:val="-11"/>
        </w:rPr>
        <w:t> </w:t>
      </w:r>
      <w:r>
        <w:rPr/>
        <w:t>molecular</w:t>
      </w:r>
      <w:r>
        <w:rPr>
          <w:spacing w:val="-3"/>
        </w:rPr>
        <w:t> </w:t>
      </w:r>
      <w:r>
        <w:rPr/>
        <w:t>tornaram</w:t>
      </w:r>
      <w:r>
        <w:rPr>
          <w:spacing w:val="-8"/>
        </w:rPr>
        <w:t> </w:t>
      </w:r>
      <w:r>
        <w:rPr/>
        <w:t>possível</w:t>
      </w:r>
      <w:r>
        <w:rPr>
          <w:spacing w:val="-5"/>
        </w:rPr>
        <w:t> </w:t>
      </w:r>
      <w:r>
        <w:rPr/>
        <w:t>a</w:t>
      </w:r>
      <w:r>
        <w:rPr>
          <w:spacing w:val="-11"/>
        </w:rPr>
        <w:t> </w:t>
      </w:r>
      <w:r>
        <w:rPr/>
        <w:t>identificação de</w:t>
      </w:r>
      <w:r>
        <w:rPr>
          <w:spacing w:val="-11"/>
        </w:rPr>
        <w:t> </w:t>
      </w:r>
      <w:r>
        <w:rPr/>
        <w:t>diversos tipos celulares a</w:t>
      </w:r>
      <w:r>
        <w:rPr>
          <w:spacing w:val="-11"/>
        </w:rPr>
        <w:t> </w:t>
      </w:r>
      <w:r>
        <w:rPr/>
        <w:t>serem</w:t>
      </w:r>
      <w:r>
        <w:rPr>
          <w:spacing w:val="-8"/>
        </w:rPr>
        <w:t> </w:t>
      </w:r>
      <w:r>
        <w:rPr/>
        <w:t>explorados em</w:t>
      </w:r>
      <w:r>
        <w:rPr>
          <w:spacing w:val="-8"/>
        </w:rPr>
        <w:t> </w:t>
      </w:r>
      <w:r>
        <w:rPr/>
        <w:t>medicina</w:t>
      </w:r>
      <w:r>
        <w:rPr>
          <w:spacing w:val="-11"/>
        </w:rPr>
        <w:t> </w:t>
      </w:r>
      <w:r>
        <w:rPr/>
        <w:t>regenerativa</w:t>
      </w:r>
      <w:r>
        <w:rPr>
          <w:spacing w:val="-11"/>
        </w:rPr>
        <w:t> </w:t>
      </w:r>
      <w:r>
        <w:rPr/>
        <w:t>para</w:t>
      </w:r>
      <w:r>
        <w:rPr>
          <w:spacing w:val="-11"/>
        </w:rPr>
        <w:t> </w:t>
      </w:r>
      <w:r>
        <w:rPr/>
        <w:t>as doenças do</w:t>
      </w:r>
      <w:r>
        <w:rPr>
          <w:spacing w:val="-8"/>
        </w:rPr>
        <w:t> </w:t>
      </w:r>
      <w:r>
        <w:rPr/>
        <w:t>sistema</w:t>
      </w:r>
      <w:r>
        <w:rPr>
          <w:spacing w:val="-11"/>
        </w:rPr>
        <w:t> </w:t>
      </w:r>
      <w:r>
        <w:rPr/>
        <w:t>cardiovascular. Impulsionados</w:t>
      </w:r>
      <w:r>
        <w:rPr>
          <w:spacing w:val="-5"/>
        </w:rPr>
        <w:t> </w:t>
      </w:r>
      <w:r>
        <w:rPr/>
        <w:t>pelos</w:t>
      </w:r>
      <w:r>
        <w:rPr>
          <w:spacing w:val="-5"/>
        </w:rPr>
        <w:t> </w:t>
      </w:r>
      <w:r>
        <w:rPr/>
        <w:t>resultados</w:t>
      </w:r>
      <w:r>
        <w:rPr>
          <w:spacing w:val="-5"/>
        </w:rPr>
        <w:t> </w:t>
      </w:r>
      <w:r>
        <w:rPr/>
        <w:t>bem-sucedidos</w:t>
      </w:r>
      <w:r>
        <w:rPr>
          <w:spacing w:val="-5"/>
        </w:rPr>
        <w:t> </w:t>
      </w:r>
      <w:r>
        <w:rPr/>
        <w:t>obtidos</w:t>
      </w:r>
      <w:r>
        <w:rPr>
          <w:spacing w:val="-5"/>
        </w:rPr>
        <w:t> </w:t>
      </w:r>
      <w:r>
        <w:rPr/>
        <w:t>em</w:t>
      </w:r>
      <w:r>
        <w:rPr>
          <w:spacing w:val="-12"/>
        </w:rPr>
        <w:t> </w:t>
      </w:r>
      <w:r>
        <w:rPr/>
        <w:t>modelos</w:t>
      </w:r>
      <w:r>
        <w:rPr>
          <w:spacing w:val="-5"/>
        </w:rPr>
        <w:t> </w:t>
      </w:r>
      <w:r>
        <w:rPr/>
        <w:t>experimentais,</w:t>
      </w:r>
      <w:r>
        <w:rPr>
          <w:spacing w:val="-5"/>
        </w:rPr>
        <w:t> </w:t>
      </w:r>
      <w:r>
        <w:rPr/>
        <w:t>investigadores</w:t>
      </w:r>
      <w:r>
        <w:rPr>
          <w:spacing w:val="-5"/>
        </w:rPr>
        <w:t> </w:t>
      </w:r>
      <w:r>
        <w:rPr/>
        <w:t>levaram</w:t>
      </w:r>
      <w:r>
        <w:rPr>
          <w:spacing w:val="-12"/>
        </w:rPr>
        <w:t> </w:t>
      </w:r>
      <w:r>
        <w:rPr/>
        <w:t>a</w:t>
      </w:r>
      <w:r>
        <w:rPr>
          <w:spacing w:val="-15"/>
        </w:rPr>
        <w:t> </w:t>
      </w:r>
      <w:r>
        <w:rPr/>
        <w:t>terapia celular</w:t>
      </w:r>
      <w:r>
        <w:rPr>
          <w:spacing w:val="-3"/>
        </w:rPr>
        <w:t> </w:t>
      </w:r>
      <w:r>
        <w:rPr/>
        <w:t>para</w:t>
      </w:r>
      <w:r>
        <w:rPr>
          <w:spacing w:val="-11"/>
        </w:rPr>
        <w:t> </w:t>
      </w:r>
      <w:r>
        <w:rPr/>
        <w:t>a</w:t>
      </w:r>
      <w:r>
        <w:rPr>
          <w:spacing w:val="-11"/>
        </w:rPr>
        <w:t> </w:t>
      </w:r>
      <w:r>
        <w:rPr/>
        <w:t>arena</w:t>
      </w:r>
      <w:r>
        <w:rPr>
          <w:spacing w:val="-11"/>
        </w:rPr>
        <w:t> </w:t>
      </w:r>
      <w:r>
        <w:rPr/>
        <w:t>clínica.</w:t>
      </w:r>
      <w:r>
        <w:rPr>
          <w:spacing w:val="-1"/>
        </w:rPr>
        <w:t> </w:t>
      </w:r>
      <w:r>
        <w:rPr/>
        <w:t>A</w:t>
      </w:r>
      <w:r>
        <w:rPr>
          <w:spacing w:val="-11"/>
        </w:rPr>
        <w:t> </w:t>
      </w:r>
      <w:r>
        <w:rPr/>
        <w:t>exemplo</w:t>
      </w:r>
      <w:r>
        <w:rPr>
          <w:spacing w:val="-8"/>
        </w:rPr>
        <w:t> </w:t>
      </w:r>
      <w:r>
        <w:rPr/>
        <w:t>do</w:t>
      </w:r>
      <w:r>
        <w:rPr>
          <w:spacing w:val="-8"/>
        </w:rPr>
        <w:t> </w:t>
      </w:r>
      <w:r>
        <w:rPr/>
        <w:t>que</w:t>
      </w:r>
      <w:r>
        <w:rPr>
          <w:spacing w:val="-11"/>
        </w:rPr>
        <w:t> </w:t>
      </w:r>
      <w:r>
        <w:rPr/>
        <w:t>se</w:t>
      </w:r>
      <w:r>
        <w:rPr>
          <w:spacing w:val="-11"/>
        </w:rPr>
        <w:t> </w:t>
      </w:r>
      <w:r>
        <w:rPr/>
        <w:t>discutiu</w:t>
      </w:r>
      <w:r>
        <w:rPr>
          <w:spacing w:val="-8"/>
        </w:rPr>
        <w:t> </w:t>
      </w:r>
      <w:r>
        <w:rPr/>
        <w:t>na</w:t>
      </w:r>
      <w:r>
        <w:rPr>
          <w:spacing w:val="-11"/>
        </w:rPr>
        <w:t> </w:t>
      </w:r>
      <w:r>
        <w:rPr/>
        <w:t>terapia</w:t>
      </w:r>
      <w:r>
        <w:rPr>
          <w:spacing w:val="-11"/>
        </w:rPr>
        <w:t> </w:t>
      </w:r>
      <w:r>
        <w:rPr/>
        <w:t>gênica,</w:t>
      </w:r>
      <w:r>
        <w:rPr>
          <w:spacing w:val="-1"/>
        </w:rPr>
        <w:t> </w:t>
      </w:r>
      <w:r>
        <w:rPr/>
        <w:t>entretanto,</w:t>
      </w:r>
      <w:r>
        <w:rPr>
          <w:spacing w:val="-1"/>
        </w:rPr>
        <w:t> </w:t>
      </w:r>
      <w:r>
        <w:rPr/>
        <w:t>somente</w:t>
      </w:r>
      <w:r>
        <w:rPr>
          <w:spacing w:val="-11"/>
        </w:rPr>
        <w:t> </w:t>
      </w:r>
      <w:r>
        <w:rPr/>
        <w:t>após</w:t>
      </w:r>
      <w:r>
        <w:rPr>
          <w:spacing w:val="-1"/>
        </w:rPr>
        <w:t> </w:t>
      </w:r>
      <w:r>
        <w:rPr/>
        <w:t>a</w:t>
      </w:r>
      <w:r>
        <w:rPr>
          <w:spacing w:val="-11"/>
        </w:rPr>
        <w:t> </w:t>
      </w:r>
      <w:r>
        <w:rPr/>
        <w:t>conclusão</w:t>
      </w:r>
      <w:r>
        <w:rPr>
          <w:spacing w:val="-8"/>
        </w:rPr>
        <w:t> </w:t>
      </w:r>
      <w:r>
        <w:rPr/>
        <w:t>de estudos duplos-cegos, randomizados e controlados por placebo, é que poderemos definir precisamente o papel das células-tronco e células progenitoras no tratamento de pacientes para os quais a terapia “convencional” seja de limitada eficácia.</w:t>
      </w:r>
    </w:p>
    <w:p>
      <w:pPr>
        <w:pStyle w:val="BodyText"/>
        <w:spacing w:after="0" w:line="276" w:lineRule="auto"/>
        <w:sectPr>
          <w:pgSz w:w="11900" w:h="16840"/>
          <w:pgMar w:top="200" w:bottom="280" w:left="566" w:right="141"/>
        </w:sectPr>
      </w:pPr>
    </w:p>
    <w:p>
      <w:pPr>
        <w:pStyle w:val="Heading1"/>
      </w:pPr>
      <w:r>
        <w:rPr>
          <w:color w:val="A26108"/>
        </w:rPr>
        <w:t>Capítulo</w:t>
      </w:r>
      <w:r>
        <w:rPr>
          <w:color w:val="A26108"/>
          <w:spacing w:val="24"/>
        </w:rPr>
        <w:t> </w:t>
      </w:r>
      <w:r>
        <w:rPr>
          <w:color w:val="A26108"/>
          <w:spacing w:val="-5"/>
        </w:rPr>
        <w:t>62</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43136">
                <wp:simplePos x="0" y="0"/>
                <wp:positionH relativeFrom="page">
                  <wp:posOffset>401543</wp:posOffset>
                </wp:positionH>
                <wp:positionV relativeFrom="paragraph">
                  <wp:posOffset>64325</wp:posOffset>
                </wp:positionV>
                <wp:extent cx="6753225" cy="10795"/>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64986pt;width:531.731217pt;height:.8008pt;mso-position-horizontal-relative:page;mso-position-vertical-relative:paragraph;z-index:-15673344;mso-wrap-distance-left:0;mso-wrap-distance-right:0" id="docshape64" filled="true" fillcolor="#242b67" stroked="false">
                <v:fill type="solid"/>
                <w10:wrap type="topAndBottom"/>
              </v:rect>
            </w:pict>
          </mc:Fallback>
        </mc:AlternateContent>
      </w:r>
    </w:p>
    <w:p>
      <w:pPr>
        <w:pStyle w:val="Heading1"/>
        <w:spacing w:before="138"/>
      </w:pPr>
      <w:r>
        <w:rPr>
          <w:color w:val="A26108"/>
        </w:rPr>
        <w:t>Tumores</w:t>
      </w:r>
      <w:r>
        <w:rPr>
          <w:color w:val="A26108"/>
          <w:spacing w:val="6"/>
        </w:rPr>
        <w:t> </w:t>
      </w:r>
      <w:r>
        <w:rPr>
          <w:color w:val="A26108"/>
        </w:rPr>
        <w:t>do</w:t>
      </w:r>
      <w:r>
        <w:rPr>
          <w:color w:val="A26108"/>
          <w:spacing w:val="6"/>
        </w:rPr>
        <w:t> </w:t>
      </w:r>
      <w:r>
        <w:rPr>
          <w:color w:val="A26108"/>
          <w:spacing w:val="-2"/>
        </w:rPr>
        <w:t>Coração</w:t>
      </w:r>
    </w:p>
    <w:p>
      <w:pPr>
        <w:pStyle w:val="BodyText"/>
        <w:spacing w:before="9"/>
        <w:ind w:left="0" w:firstLine="0"/>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43648">
                <wp:simplePos x="0" y="0"/>
                <wp:positionH relativeFrom="page">
                  <wp:posOffset>401543</wp:posOffset>
                </wp:positionH>
                <wp:positionV relativeFrom="paragraph">
                  <wp:posOffset>64503</wp:posOffset>
                </wp:positionV>
                <wp:extent cx="6753225" cy="10795"/>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6753225" cy="10795"/>
                        </a:xfrm>
                        <a:custGeom>
                          <a:avLst/>
                          <a:gdLst/>
                          <a:ahLst/>
                          <a:cxnLst/>
                          <a:rect l="l" t="t" r="r" b="b"/>
                          <a:pathLst>
                            <a:path w="6753225" h="10795">
                              <a:moveTo>
                                <a:pt x="6752986" y="10170"/>
                              </a:moveTo>
                              <a:lnTo>
                                <a:pt x="0" y="10170"/>
                              </a:lnTo>
                              <a:lnTo>
                                <a:pt x="0" y="0"/>
                              </a:lnTo>
                              <a:lnTo>
                                <a:pt x="6752986" y="0"/>
                              </a:lnTo>
                              <a:lnTo>
                                <a:pt x="6752986" y="10170"/>
                              </a:lnTo>
                              <a:close/>
                            </a:path>
                          </a:pathLst>
                        </a:custGeom>
                        <a:solidFill>
                          <a:srgbClr val="242B67"/>
                        </a:solidFill>
                      </wps:spPr>
                      <wps:bodyPr wrap="square" lIns="0" tIns="0" rIns="0" bIns="0" rtlCol="0">
                        <a:prstTxWarp prst="textNoShape">
                          <a:avLst/>
                        </a:prstTxWarp>
                        <a:noAutofit/>
                      </wps:bodyPr>
                    </wps:wsp>
                  </a:graphicData>
                </a:graphic>
              </wp:anchor>
            </w:drawing>
          </mc:Choice>
          <mc:Fallback>
            <w:pict>
              <v:rect style="position:absolute;margin-left:31.617601pt;margin-top:5.078985pt;width:531.731217pt;height:.8008pt;mso-position-horizontal-relative:page;mso-position-vertical-relative:paragraph;z-index:-15672832;mso-wrap-distance-left:0;mso-wrap-distance-right:0" id="docshape65" filled="true" fillcolor="#242b67" stroked="false">
                <v:fill type="solid"/>
                <w10:wrap type="topAndBottom"/>
              </v:rect>
            </w:pict>
          </mc:Fallback>
        </mc:AlternateContent>
      </w:r>
    </w:p>
    <w:p>
      <w:pPr>
        <w:spacing w:before="118"/>
        <w:ind w:left="68" w:right="0" w:firstLine="0"/>
        <w:jc w:val="left"/>
        <w:rPr>
          <w:rFonts w:ascii="Arial" w:hAnsi="Arial"/>
          <w:i/>
          <w:sz w:val="25"/>
        </w:rPr>
      </w:pPr>
      <w:r>
        <w:rPr>
          <w:rFonts w:ascii="Arial" w:hAnsi="Arial"/>
          <w:i/>
          <w:sz w:val="25"/>
        </w:rPr>
        <w:t>César</w:t>
      </w:r>
      <w:r>
        <w:rPr>
          <w:rFonts w:ascii="Arial" w:hAnsi="Arial"/>
          <w:i/>
          <w:spacing w:val="13"/>
          <w:sz w:val="25"/>
        </w:rPr>
        <w:t> </w:t>
      </w:r>
      <w:r>
        <w:rPr>
          <w:rFonts w:ascii="Arial" w:hAnsi="Arial"/>
          <w:i/>
          <w:sz w:val="25"/>
        </w:rPr>
        <w:t>Augusto</w:t>
      </w:r>
      <w:r>
        <w:rPr>
          <w:rFonts w:ascii="Arial" w:hAnsi="Arial"/>
          <w:i/>
          <w:spacing w:val="13"/>
          <w:sz w:val="25"/>
        </w:rPr>
        <w:t> </w:t>
      </w:r>
      <w:r>
        <w:rPr>
          <w:rFonts w:ascii="Arial" w:hAnsi="Arial"/>
          <w:i/>
          <w:sz w:val="25"/>
        </w:rPr>
        <w:t>Pereira</w:t>
      </w:r>
      <w:r>
        <w:rPr>
          <w:rFonts w:ascii="Arial" w:hAnsi="Arial"/>
          <w:i/>
          <w:spacing w:val="14"/>
          <w:sz w:val="25"/>
        </w:rPr>
        <w:t> </w:t>
      </w:r>
      <w:r>
        <w:rPr>
          <w:rFonts w:ascii="Arial" w:hAnsi="Arial"/>
          <w:i/>
          <w:sz w:val="25"/>
        </w:rPr>
        <w:t>Jardim</w:t>
      </w:r>
      <w:r>
        <w:rPr>
          <w:rFonts w:ascii="Arial" w:hAnsi="Arial"/>
          <w:i/>
          <w:spacing w:val="13"/>
          <w:sz w:val="25"/>
        </w:rPr>
        <w:t> </w:t>
      </w:r>
      <w:r>
        <w:rPr>
          <w:rFonts w:ascii="Arial" w:hAnsi="Arial"/>
          <w:i/>
          <w:sz w:val="25"/>
        </w:rPr>
        <w:t>e</w:t>
      </w:r>
      <w:r>
        <w:rPr>
          <w:rFonts w:ascii="Arial" w:hAnsi="Arial"/>
          <w:i/>
          <w:spacing w:val="14"/>
          <w:sz w:val="25"/>
        </w:rPr>
        <w:t> </w:t>
      </w:r>
      <w:r>
        <w:rPr>
          <w:rFonts w:ascii="Arial" w:hAnsi="Arial"/>
          <w:i/>
          <w:sz w:val="25"/>
        </w:rPr>
        <w:t>Mila</w:t>
      </w:r>
      <w:r>
        <w:rPr>
          <w:rFonts w:ascii="Arial" w:hAnsi="Arial"/>
          <w:i/>
          <w:spacing w:val="13"/>
          <w:sz w:val="25"/>
        </w:rPr>
        <w:t> </w:t>
      </w:r>
      <w:r>
        <w:rPr>
          <w:rFonts w:ascii="Arial" w:hAnsi="Arial"/>
          <w:i/>
          <w:spacing w:val="-2"/>
          <w:sz w:val="25"/>
        </w:rPr>
        <w:t>Yugar</w:t>
      </w:r>
    </w:p>
    <w:p>
      <w:pPr>
        <w:pStyle w:val="BodyText"/>
        <w:spacing w:before="0"/>
        <w:ind w:left="0" w:firstLine="0"/>
        <w:jc w:val="left"/>
        <w:rPr>
          <w:rFonts w:ascii="Arial"/>
          <w:i/>
          <w:sz w:val="25"/>
        </w:rPr>
      </w:pPr>
    </w:p>
    <w:p>
      <w:pPr>
        <w:pStyle w:val="BodyText"/>
        <w:spacing w:before="215"/>
        <w:ind w:left="0" w:firstLine="0"/>
        <w:jc w:val="left"/>
        <w:rPr>
          <w:rFonts w:ascii="Arial"/>
          <w:i/>
          <w:sz w:val="25"/>
        </w:rPr>
      </w:pPr>
    </w:p>
    <w:p>
      <w:pPr>
        <w:pStyle w:val="Heading4"/>
      </w:pPr>
      <w:r>
        <w:rPr>
          <w:color w:val="242B67"/>
          <w:spacing w:val="-2"/>
        </w:rPr>
        <w:t>Introdução</w:t>
      </w:r>
    </w:p>
    <w:p>
      <w:pPr>
        <w:pStyle w:val="BodyText"/>
        <w:spacing w:line="283" w:lineRule="auto" w:before="132"/>
        <w:ind w:right="488"/>
      </w:pPr>
      <w:r>
        <w:rPr/>
        <w:t>Desde o século 16 há relatos de tumores cardíacos. Até 1934, o seu diagnóstico era feito apenas por exame de necropsia; nessa ocasião foi realizado o primeiro diagnóstico </w:t>
      </w:r>
      <w:r>
        <w:rPr>
          <w:i/>
        </w:rPr>
        <w:t>aniemoriem </w:t>
      </w:r>
      <w:r>
        <w:rPr/>
        <w:t>utilizando a eletrocardiografia e biopsia de</w:t>
      </w:r>
      <w:r>
        <w:rPr>
          <w:spacing w:val="-2"/>
        </w:rPr>
        <w:t> </w:t>
      </w:r>
      <w:r>
        <w:rPr/>
        <w:t>linfonodo metastático. Em 1952, Goldberg diagnosticou com a</w:t>
      </w:r>
      <w:r>
        <w:rPr>
          <w:spacing w:val="-2"/>
        </w:rPr>
        <w:t> </w:t>
      </w:r>
      <w:r>
        <w:rPr/>
        <w:t>angiografia</w:t>
      </w:r>
      <w:r>
        <w:rPr>
          <w:spacing w:val="-2"/>
        </w:rPr>
        <w:t> </w:t>
      </w:r>
      <w:r>
        <w:rPr/>
        <w:t>um mixoma</w:t>
      </w:r>
      <w:r>
        <w:rPr>
          <w:spacing w:val="-2"/>
        </w:rPr>
        <w:t> </w:t>
      </w:r>
      <w:r>
        <w:rPr/>
        <w:t>intracavitário.</w:t>
      </w:r>
      <w:r>
        <w:rPr>
          <w:vertAlign w:val="superscript"/>
        </w:rPr>
        <w:t>1</w:t>
      </w:r>
    </w:p>
    <w:p>
      <w:pPr>
        <w:pStyle w:val="BodyText"/>
        <w:spacing w:line="280" w:lineRule="auto" w:before="57"/>
        <w:ind w:right="491"/>
      </w:pPr>
      <w:r>
        <w:rPr/>
        <w:t>O tratamento dos tumores cardíacos foi profundamente marcado com o desenvolvimento da circulação extracorpórea. A primeira excisão bem-sucedida de mixoma de átrio esquerdo foi relatada em 1955.</w:t>
      </w:r>
      <w:r>
        <w:rPr>
          <w:vertAlign w:val="superscript"/>
        </w:rPr>
        <w:t>2</w:t>
      </w:r>
      <w:r>
        <w:rPr>
          <w:vertAlign w:val="baseline"/>
        </w:rPr>
        <w:t> Com o aprimoramento de novos métodos de imagem, o diagnóstico se tornou mais frequente. Na atualidade, além do ecocardiograma,</w:t>
      </w:r>
      <w:r>
        <w:rPr>
          <w:spacing w:val="-3"/>
          <w:vertAlign w:val="baseline"/>
        </w:rPr>
        <w:t> </w:t>
      </w:r>
      <w:r>
        <w:rPr>
          <w:vertAlign w:val="baseline"/>
        </w:rPr>
        <w:t>são</w:t>
      </w:r>
      <w:r>
        <w:rPr>
          <w:spacing w:val="-11"/>
          <w:vertAlign w:val="baseline"/>
        </w:rPr>
        <w:t> </w:t>
      </w:r>
      <w:r>
        <w:rPr>
          <w:vertAlign w:val="baseline"/>
        </w:rPr>
        <w:t>incluídas</w:t>
      </w:r>
      <w:r>
        <w:rPr>
          <w:spacing w:val="-3"/>
          <w:vertAlign w:val="baseline"/>
        </w:rPr>
        <w:t> </w:t>
      </w:r>
      <w:r>
        <w:rPr>
          <w:vertAlign w:val="baseline"/>
        </w:rPr>
        <w:t>no</w:t>
      </w:r>
      <w:r>
        <w:rPr>
          <w:spacing w:val="-11"/>
          <w:vertAlign w:val="baseline"/>
        </w:rPr>
        <w:t> </w:t>
      </w:r>
      <w:r>
        <w:rPr>
          <w:vertAlign w:val="baseline"/>
        </w:rPr>
        <w:t>arsenal</w:t>
      </w:r>
      <w:r>
        <w:rPr>
          <w:spacing w:val="-8"/>
          <w:vertAlign w:val="baseline"/>
        </w:rPr>
        <w:t> </w:t>
      </w:r>
      <w:r>
        <w:rPr>
          <w:vertAlign w:val="baseline"/>
        </w:rPr>
        <w:t>diagnóstico</w:t>
      </w:r>
      <w:r>
        <w:rPr>
          <w:spacing w:val="-11"/>
          <w:vertAlign w:val="baseline"/>
        </w:rPr>
        <w:t> </w:t>
      </w:r>
      <w:r>
        <w:rPr>
          <w:vertAlign w:val="baseline"/>
        </w:rPr>
        <w:t>a</w:t>
      </w:r>
      <w:r>
        <w:rPr>
          <w:spacing w:val="-13"/>
          <w:vertAlign w:val="baseline"/>
        </w:rPr>
        <w:t> </w:t>
      </w:r>
      <w:r>
        <w:rPr>
          <w:vertAlign w:val="baseline"/>
        </w:rPr>
        <w:t>tomografia</w:t>
      </w:r>
      <w:r>
        <w:rPr>
          <w:spacing w:val="-13"/>
          <w:vertAlign w:val="baseline"/>
        </w:rPr>
        <w:t> </w:t>
      </w:r>
      <w:r>
        <w:rPr>
          <w:vertAlign w:val="baseline"/>
        </w:rPr>
        <w:t>computadorizada</w:t>
      </w:r>
      <w:r>
        <w:rPr>
          <w:spacing w:val="-13"/>
          <w:vertAlign w:val="baseline"/>
        </w:rPr>
        <w:t> </w:t>
      </w:r>
      <w:r>
        <w:rPr>
          <w:vertAlign w:val="baseline"/>
        </w:rPr>
        <w:t>(TC)</w:t>
      </w:r>
      <w:r>
        <w:rPr>
          <w:spacing w:val="-5"/>
          <w:vertAlign w:val="baseline"/>
        </w:rPr>
        <w:t> </w:t>
      </w:r>
      <w:r>
        <w:rPr>
          <w:vertAlign w:val="baseline"/>
        </w:rPr>
        <w:t>e</w:t>
      </w:r>
      <w:r>
        <w:rPr>
          <w:spacing w:val="-13"/>
          <w:vertAlign w:val="baseline"/>
        </w:rPr>
        <w:t> </w:t>
      </w:r>
      <w:r>
        <w:rPr>
          <w:vertAlign w:val="baseline"/>
        </w:rPr>
        <w:t>a</w:t>
      </w:r>
      <w:r>
        <w:rPr>
          <w:spacing w:val="-13"/>
          <w:vertAlign w:val="baseline"/>
        </w:rPr>
        <w:t> </w:t>
      </w:r>
      <w:r>
        <w:rPr>
          <w:vertAlign w:val="baseline"/>
        </w:rPr>
        <w:t>ressonância</w:t>
      </w:r>
      <w:r>
        <w:rPr>
          <w:spacing w:val="-13"/>
          <w:vertAlign w:val="baseline"/>
        </w:rPr>
        <w:t> </w:t>
      </w:r>
      <w:r>
        <w:rPr>
          <w:vertAlign w:val="baseline"/>
        </w:rPr>
        <w:t>magnética </w:t>
      </w:r>
      <w:r>
        <w:rPr>
          <w:spacing w:val="-2"/>
          <w:vertAlign w:val="baseline"/>
        </w:rPr>
        <w:t>(RM).</w:t>
      </w:r>
    </w:p>
    <w:p>
      <w:pPr>
        <w:pStyle w:val="BodyText"/>
        <w:spacing w:before="175"/>
        <w:ind w:left="0" w:firstLine="0"/>
        <w:jc w:val="left"/>
      </w:pPr>
    </w:p>
    <w:p>
      <w:pPr>
        <w:pStyle w:val="Heading4"/>
      </w:pPr>
      <w:r>
        <w:rPr>
          <w:color w:val="242B67"/>
          <w:spacing w:val="-2"/>
        </w:rPr>
        <w:t>Incidência</w:t>
      </w:r>
    </w:p>
    <w:p>
      <w:pPr>
        <w:pStyle w:val="BodyText"/>
        <w:spacing w:line="285" w:lineRule="auto" w:before="132"/>
        <w:ind w:right="491"/>
      </w:pPr>
      <w:r>
        <w:rPr/>
        <w:t>Os tumores primários do coração são raros, e</w:t>
      </w:r>
      <w:r>
        <w:rPr>
          <w:spacing w:val="-3"/>
        </w:rPr>
        <w:t> </w:t>
      </w:r>
      <w:r>
        <w:rPr/>
        <w:t>sua</w:t>
      </w:r>
      <w:r>
        <w:rPr>
          <w:spacing w:val="-3"/>
        </w:rPr>
        <w:t> </w:t>
      </w:r>
      <w:r>
        <w:rPr/>
        <w:t>incidência</w:t>
      </w:r>
      <w:r>
        <w:rPr>
          <w:spacing w:val="-3"/>
        </w:rPr>
        <w:t> </w:t>
      </w:r>
      <w:r>
        <w:rPr/>
        <w:t>e</w:t>
      </w:r>
      <w:r>
        <w:rPr>
          <w:spacing w:val="-3"/>
        </w:rPr>
        <w:t> </w:t>
      </w:r>
      <w:r>
        <w:rPr/>
        <w:t>prevalência</w:t>
      </w:r>
      <w:r>
        <w:rPr>
          <w:spacing w:val="-3"/>
        </w:rPr>
        <w:t> </w:t>
      </w:r>
      <w:r>
        <w:rPr/>
        <w:t>são baixas; a</w:t>
      </w:r>
      <w:r>
        <w:rPr>
          <w:spacing w:val="-3"/>
        </w:rPr>
        <w:t> </w:t>
      </w:r>
      <w:r>
        <w:rPr/>
        <w:t>primeira</w:t>
      </w:r>
      <w:r>
        <w:rPr>
          <w:spacing w:val="-3"/>
        </w:rPr>
        <w:t> </w:t>
      </w:r>
      <w:r>
        <w:rPr/>
        <w:t>varia</w:t>
      </w:r>
      <w:r>
        <w:rPr>
          <w:spacing w:val="-3"/>
        </w:rPr>
        <w:t> </w:t>
      </w:r>
      <w:r>
        <w:rPr/>
        <w:t>de</w:t>
      </w:r>
      <w:r>
        <w:rPr>
          <w:spacing w:val="-3"/>
        </w:rPr>
        <w:t> </w:t>
      </w:r>
      <w:r>
        <w:rPr/>
        <w:t>0,002 a 0,3% em uma série de estudos de necropsia.</w:t>
      </w:r>
      <w:r>
        <w:rPr>
          <w:vertAlign w:val="superscript"/>
        </w:rPr>
        <w:t>3–8</w:t>
      </w:r>
      <w:r>
        <w:rPr>
          <w:vertAlign w:val="baseline"/>
        </w:rPr>
        <w:t> São muito menos frequentes que os tumores cardíacos metastáticos.</w:t>
      </w:r>
      <w:r>
        <w:rPr>
          <w:vertAlign w:val="superscript"/>
        </w:rPr>
        <w:t>9</w:t>
      </w:r>
      <w:r>
        <w:rPr>
          <w:vertAlign w:val="baseline"/>
        </w:rPr>
        <w:t> Aproximadamente 75% deles são benignos, e 25% são malignos; nesse subgrupo os mixomas são responsáveis por 50% dessa incidência, sendo os demais formados por lipomas, fibroelastomas papilares e rabdomiomas. Além desses, fibromas, hemangiomas, teratomas e mesoteliomas de nó atrioventricular constituem achados menos frequentes.</w:t>
      </w:r>
      <w:r>
        <w:rPr>
          <w:vertAlign w:val="superscript"/>
        </w:rPr>
        <w:t>10–12</w:t>
      </w:r>
    </w:p>
    <w:p>
      <w:pPr>
        <w:pStyle w:val="BodyText"/>
        <w:spacing w:line="276" w:lineRule="auto" w:before="50"/>
        <w:ind w:right="500"/>
      </w:pPr>
      <w:r>
        <w:rPr/>
        <w:t>Enquanto os rabdomiomas são os tumores cardíacos primários mais comuns em crianças, os mixomas são os mais frequentes em adultos (</w:t>
      </w:r>
      <w:r>
        <w:rPr>
          <w:color w:val="505050"/>
        </w:rPr>
        <w:t>Tabela 62.1</w:t>
      </w:r>
      <w:r>
        <w:rPr/>
        <w:t>).</w:t>
      </w:r>
    </w:p>
    <w:p>
      <w:pPr>
        <w:pStyle w:val="BodyText"/>
        <w:spacing w:before="71"/>
        <w:ind w:left="0" w:firstLine="0"/>
        <w:jc w:val="left"/>
      </w:pPr>
    </w:p>
    <w:p>
      <w:pPr>
        <w:spacing w:before="0"/>
        <w:ind w:left="68" w:right="0" w:firstLine="0"/>
        <w:jc w:val="left"/>
        <w:rPr>
          <w:rFonts w:ascii="Microsoft Sans Serif" w:hAnsi="Microsoft Sans Serif"/>
          <w:sz w:val="23"/>
        </w:rPr>
      </w:pPr>
      <w:r>
        <w:rPr>
          <w:rFonts w:ascii="Arial" w:hAnsi="Arial"/>
          <w:b/>
          <w:color w:val="242B67"/>
          <w:sz w:val="23"/>
        </w:rPr>
        <w:t>Tabela</w:t>
      </w:r>
      <w:r>
        <w:rPr>
          <w:rFonts w:ascii="Arial" w:hAnsi="Arial"/>
          <w:b/>
          <w:color w:val="242B67"/>
          <w:spacing w:val="-4"/>
          <w:sz w:val="23"/>
        </w:rPr>
        <w:t> </w:t>
      </w:r>
      <w:r>
        <w:rPr>
          <w:rFonts w:ascii="Arial" w:hAnsi="Arial"/>
          <w:b/>
          <w:color w:val="242B67"/>
          <w:sz w:val="23"/>
        </w:rPr>
        <w:t>62.1</w:t>
      </w:r>
      <w:r>
        <w:rPr>
          <w:rFonts w:ascii="Arial" w:hAnsi="Arial"/>
          <w:b/>
          <w:color w:val="242B67"/>
          <w:spacing w:val="-5"/>
          <w:sz w:val="23"/>
        </w:rPr>
        <w:t> </w:t>
      </w:r>
      <w:r>
        <w:rPr>
          <w:rFonts w:ascii="Microsoft Sans Serif" w:hAnsi="Microsoft Sans Serif"/>
          <w:sz w:val="23"/>
        </w:rPr>
        <w:t>Tipo</w:t>
      </w:r>
      <w:r>
        <w:rPr>
          <w:rFonts w:ascii="Microsoft Sans Serif" w:hAnsi="Microsoft Sans Serif"/>
          <w:spacing w:val="-1"/>
          <w:sz w:val="23"/>
        </w:rPr>
        <w:t> </w:t>
      </w:r>
      <w:r>
        <w:rPr>
          <w:rFonts w:ascii="Microsoft Sans Serif" w:hAnsi="Microsoft Sans Serif"/>
          <w:sz w:val="23"/>
        </w:rPr>
        <w:t>histológico</w:t>
      </w:r>
      <w:r>
        <w:rPr>
          <w:rFonts w:ascii="Microsoft Sans Serif" w:hAnsi="Microsoft Sans Serif"/>
          <w:spacing w:val="-2"/>
          <w:sz w:val="23"/>
        </w:rPr>
        <w:t> </w:t>
      </w:r>
      <w:r>
        <w:rPr>
          <w:rFonts w:ascii="Microsoft Sans Serif" w:hAnsi="Microsoft Sans Serif"/>
          <w:sz w:val="23"/>
        </w:rPr>
        <w:t>dos</w:t>
      </w:r>
      <w:r>
        <w:rPr>
          <w:rFonts w:ascii="Microsoft Sans Serif" w:hAnsi="Microsoft Sans Serif"/>
          <w:spacing w:val="-4"/>
          <w:sz w:val="23"/>
        </w:rPr>
        <w:t> </w:t>
      </w:r>
      <w:r>
        <w:rPr>
          <w:rFonts w:ascii="Microsoft Sans Serif" w:hAnsi="Microsoft Sans Serif"/>
          <w:sz w:val="23"/>
        </w:rPr>
        <w:t>tumores</w:t>
      </w:r>
      <w:r>
        <w:rPr>
          <w:rFonts w:ascii="Microsoft Sans Serif" w:hAnsi="Microsoft Sans Serif"/>
          <w:spacing w:val="-4"/>
          <w:sz w:val="23"/>
        </w:rPr>
        <w:t> </w:t>
      </w:r>
      <w:r>
        <w:rPr>
          <w:rFonts w:ascii="Microsoft Sans Serif" w:hAnsi="Microsoft Sans Serif"/>
          <w:spacing w:val="-2"/>
          <w:sz w:val="23"/>
        </w:rPr>
        <w:t>cardíacos.</w:t>
      </w:r>
    </w:p>
    <w:p>
      <w:pPr>
        <w:pStyle w:val="BodyText"/>
        <w:spacing w:before="5" w:after="1"/>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516"/>
        <w:gridCol w:w="3492"/>
        <w:gridCol w:w="3628"/>
      </w:tblGrid>
      <w:tr>
        <w:trPr>
          <w:trHeight w:val="430" w:hRule="atLeast"/>
        </w:trPr>
        <w:tc>
          <w:tcPr>
            <w:tcW w:w="3516"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pacing w:val="-2"/>
                <w:w w:val="105"/>
                <w:sz w:val="21"/>
              </w:rPr>
              <w:t>Tipo</w:t>
            </w:r>
            <w:r>
              <w:rPr>
                <w:rFonts w:ascii="Arial" w:hAnsi="Arial"/>
                <w:b/>
                <w:color w:val="FFFFFF"/>
                <w:spacing w:val="-11"/>
                <w:w w:val="105"/>
                <w:sz w:val="21"/>
              </w:rPr>
              <w:t> </w:t>
            </w:r>
            <w:r>
              <w:rPr>
                <w:rFonts w:ascii="Arial" w:hAnsi="Arial"/>
                <w:b/>
                <w:color w:val="FFFFFF"/>
                <w:spacing w:val="-2"/>
                <w:w w:val="105"/>
                <w:sz w:val="21"/>
              </w:rPr>
              <w:t>histológico</w:t>
            </w:r>
          </w:p>
        </w:tc>
        <w:tc>
          <w:tcPr>
            <w:tcW w:w="3492" w:type="dxa"/>
            <w:tcBorders>
              <w:top w:val="nil"/>
            </w:tcBorders>
            <w:shd w:val="clear" w:color="auto" w:fill="242B67"/>
          </w:tcPr>
          <w:p>
            <w:pPr>
              <w:pStyle w:val="TableParagraph"/>
              <w:spacing w:before="91"/>
              <w:rPr>
                <w:rFonts w:ascii="Arial"/>
                <w:b/>
                <w:sz w:val="21"/>
              </w:rPr>
            </w:pPr>
            <w:r>
              <w:rPr>
                <w:rFonts w:ascii="Arial"/>
                <w:b/>
                <w:color w:val="FFFFFF"/>
                <w:w w:val="105"/>
                <w:sz w:val="21"/>
              </w:rPr>
              <w:t>Adultos</w:t>
            </w:r>
            <w:r>
              <w:rPr>
                <w:rFonts w:ascii="Arial"/>
                <w:b/>
                <w:color w:val="FFFFFF"/>
                <w:spacing w:val="-10"/>
                <w:w w:val="105"/>
                <w:sz w:val="21"/>
              </w:rPr>
              <w:t> </w:t>
            </w:r>
            <w:r>
              <w:rPr>
                <w:rFonts w:ascii="Arial"/>
                <w:b/>
                <w:color w:val="FFFFFF"/>
                <w:spacing w:val="-5"/>
                <w:w w:val="105"/>
                <w:sz w:val="21"/>
              </w:rPr>
              <w:t>(%)</w:t>
            </w:r>
          </w:p>
        </w:tc>
        <w:tc>
          <w:tcPr>
            <w:tcW w:w="3628" w:type="dxa"/>
            <w:tcBorders>
              <w:top w:val="nil"/>
              <w:right w:val="nil"/>
            </w:tcBorders>
            <w:shd w:val="clear" w:color="auto" w:fill="242B67"/>
          </w:tcPr>
          <w:p>
            <w:pPr>
              <w:pStyle w:val="TableParagraph"/>
              <w:spacing w:before="91"/>
              <w:ind w:left="64"/>
              <w:rPr>
                <w:rFonts w:ascii="Arial" w:hAnsi="Arial"/>
                <w:b/>
                <w:sz w:val="21"/>
              </w:rPr>
            </w:pPr>
            <w:r>
              <w:rPr>
                <w:rFonts w:ascii="Arial" w:hAnsi="Arial"/>
                <w:b/>
                <w:color w:val="FFFFFF"/>
                <w:w w:val="105"/>
                <w:sz w:val="21"/>
              </w:rPr>
              <w:t>Crianças</w:t>
            </w:r>
            <w:r>
              <w:rPr>
                <w:rFonts w:ascii="Arial" w:hAnsi="Arial"/>
                <w:b/>
                <w:color w:val="FFFFFF"/>
                <w:spacing w:val="7"/>
                <w:w w:val="105"/>
                <w:sz w:val="21"/>
              </w:rPr>
              <w:t> </w:t>
            </w:r>
            <w:r>
              <w:rPr>
                <w:rFonts w:ascii="Arial" w:hAnsi="Arial"/>
                <w:b/>
                <w:color w:val="FFFFFF"/>
                <w:spacing w:val="-5"/>
                <w:w w:val="105"/>
                <w:sz w:val="21"/>
              </w:rPr>
              <w:t>(%)</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Mixoma</w:t>
            </w:r>
          </w:p>
        </w:tc>
        <w:tc>
          <w:tcPr>
            <w:tcW w:w="3492" w:type="dxa"/>
            <w:shd w:val="clear" w:color="auto" w:fill="EDECF3"/>
          </w:tcPr>
          <w:p>
            <w:pPr>
              <w:pStyle w:val="TableParagraph"/>
              <w:rPr>
                <w:sz w:val="21"/>
              </w:rPr>
            </w:pPr>
            <w:r>
              <w:rPr>
                <w:spacing w:val="-5"/>
                <w:w w:val="105"/>
                <w:sz w:val="21"/>
              </w:rPr>
              <w:t>45</w:t>
            </w:r>
          </w:p>
        </w:tc>
        <w:tc>
          <w:tcPr>
            <w:tcW w:w="3628" w:type="dxa"/>
            <w:tcBorders>
              <w:right w:val="nil"/>
            </w:tcBorders>
            <w:shd w:val="clear" w:color="auto" w:fill="EDECF3"/>
          </w:tcPr>
          <w:p>
            <w:pPr>
              <w:pStyle w:val="TableParagraph"/>
              <w:ind w:left="64"/>
              <w:rPr>
                <w:sz w:val="21"/>
              </w:rPr>
            </w:pPr>
            <w:r>
              <w:rPr>
                <w:spacing w:val="-5"/>
                <w:w w:val="105"/>
                <w:sz w:val="21"/>
              </w:rPr>
              <w:t>15</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Lipoma</w:t>
            </w:r>
          </w:p>
        </w:tc>
        <w:tc>
          <w:tcPr>
            <w:tcW w:w="3492" w:type="dxa"/>
            <w:shd w:val="clear" w:color="auto" w:fill="EDECF3"/>
          </w:tcPr>
          <w:p>
            <w:pPr>
              <w:pStyle w:val="TableParagraph"/>
              <w:rPr>
                <w:sz w:val="21"/>
              </w:rPr>
            </w:pPr>
            <w:r>
              <w:rPr>
                <w:spacing w:val="-5"/>
                <w:w w:val="105"/>
                <w:sz w:val="21"/>
              </w:rPr>
              <w:t>20</w:t>
            </w:r>
          </w:p>
        </w:tc>
        <w:tc>
          <w:tcPr>
            <w:tcW w:w="3628" w:type="dxa"/>
            <w:tcBorders>
              <w:right w:val="nil"/>
            </w:tcBorders>
            <w:shd w:val="clear" w:color="auto" w:fill="EDECF3"/>
          </w:tcPr>
          <w:p>
            <w:pPr>
              <w:pStyle w:val="TableParagraph"/>
              <w:ind w:left="64"/>
              <w:rPr>
                <w:sz w:val="21"/>
              </w:rPr>
            </w:pPr>
            <w:r>
              <w:rPr>
                <w:w w:val="195"/>
                <w:sz w:val="21"/>
              </w:rPr>
              <w:t>–</w:t>
            </w:r>
          </w:p>
        </w:tc>
      </w:tr>
      <w:tr>
        <w:trPr>
          <w:trHeight w:val="428" w:hRule="atLeast"/>
        </w:trPr>
        <w:tc>
          <w:tcPr>
            <w:tcW w:w="3516" w:type="dxa"/>
            <w:tcBorders>
              <w:left w:val="nil"/>
            </w:tcBorders>
            <w:shd w:val="clear" w:color="auto" w:fill="EDECF3"/>
          </w:tcPr>
          <w:p>
            <w:pPr>
              <w:pStyle w:val="TableParagraph"/>
              <w:ind w:left="67"/>
              <w:rPr>
                <w:sz w:val="21"/>
              </w:rPr>
            </w:pPr>
            <w:r>
              <w:rPr>
                <w:spacing w:val="2"/>
                <w:sz w:val="21"/>
              </w:rPr>
              <w:t>Fibroelastoma</w:t>
            </w:r>
            <w:r>
              <w:rPr>
                <w:spacing w:val="62"/>
                <w:sz w:val="21"/>
              </w:rPr>
              <w:t> </w:t>
            </w:r>
            <w:r>
              <w:rPr>
                <w:spacing w:val="-2"/>
                <w:sz w:val="21"/>
              </w:rPr>
              <w:t>papilar</w:t>
            </w:r>
          </w:p>
        </w:tc>
        <w:tc>
          <w:tcPr>
            <w:tcW w:w="3492" w:type="dxa"/>
            <w:shd w:val="clear" w:color="auto" w:fill="EDECF3"/>
          </w:tcPr>
          <w:p>
            <w:pPr>
              <w:pStyle w:val="TableParagraph"/>
              <w:rPr>
                <w:sz w:val="21"/>
              </w:rPr>
            </w:pPr>
            <w:r>
              <w:rPr>
                <w:spacing w:val="-5"/>
                <w:w w:val="105"/>
                <w:sz w:val="21"/>
              </w:rPr>
              <w:t>15</w:t>
            </w:r>
          </w:p>
        </w:tc>
        <w:tc>
          <w:tcPr>
            <w:tcW w:w="3628" w:type="dxa"/>
            <w:tcBorders>
              <w:right w:val="nil"/>
            </w:tcBorders>
            <w:shd w:val="clear" w:color="auto" w:fill="EDECF3"/>
          </w:tcPr>
          <w:p>
            <w:pPr>
              <w:pStyle w:val="TableParagraph"/>
              <w:ind w:left="64"/>
              <w:rPr>
                <w:sz w:val="21"/>
              </w:rPr>
            </w:pPr>
            <w:r>
              <w:rPr>
                <w:w w:val="195"/>
                <w:sz w:val="21"/>
              </w:rPr>
              <w:t>–</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Angioma</w:t>
            </w:r>
          </w:p>
        </w:tc>
        <w:tc>
          <w:tcPr>
            <w:tcW w:w="3492" w:type="dxa"/>
            <w:shd w:val="clear" w:color="auto" w:fill="EDECF3"/>
          </w:tcPr>
          <w:p>
            <w:pPr>
              <w:pStyle w:val="TableParagraph"/>
              <w:rPr>
                <w:sz w:val="21"/>
              </w:rPr>
            </w:pPr>
            <w:r>
              <w:rPr>
                <w:spacing w:val="-10"/>
                <w:w w:val="105"/>
                <w:sz w:val="21"/>
              </w:rPr>
              <w:t>5</w:t>
            </w:r>
          </w:p>
        </w:tc>
        <w:tc>
          <w:tcPr>
            <w:tcW w:w="3628" w:type="dxa"/>
            <w:tcBorders>
              <w:right w:val="nil"/>
            </w:tcBorders>
            <w:shd w:val="clear" w:color="auto" w:fill="EDECF3"/>
          </w:tcPr>
          <w:p>
            <w:pPr>
              <w:pStyle w:val="TableParagraph"/>
              <w:ind w:left="64"/>
              <w:rPr>
                <w:sz w:val="21"/>
              </w:rPr>
            </w:pPr>
            <w:r>
              <w:rPr>
                <w:spacing w:val="-10"/>
                <w:w w:val="105"/>
                <w:sz w:val="21"/>
              </w:rPr>
              <w:t>5</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Fibroma</w:t>
            </w:r>
          </w:p>
        </w:tc>
        <w:tc>
          <w:tcPr>
            <w:tcW w:w="3492" w:type="dxa"/>
            <w:shd w:val="clear" w:color="auto" w:fill="EDECF3"/>
          </w:tcPr>
          <w:p>
            <w:pPr>
              <w:pStyle w:val="TableParagraph"/>
              <w:rPr>
                <w:sz w:val="21"/>
              </w:rPr>
            </w:pPr>
            <w:r>
              <w:rPr>
                <w:spacing w:val="-10"/>
                <w:w w:val="105"/>
                <w:sz w:val="21"/>
              </w:rPr>
              <w:t>3</w:t>
            </w:r>
          </w:p>
        </w:tc>
        <w:tc>
          <w:tcPr>
            <w:tcW w:w="3628" w:type="dxa"/>
            <w:tcBorders>
              <w:right w:val="nil"/>
            </w:tcBorders>
            <w:shd w:val="clear" w:color="auto" w:fill="EDECF3"/>
          </w:tcPr>
          <w:p>
            <w:pPr>
              <w:pStyle w:val="TableParagraph"/>
              <w:ind w:left="64"/>
              <w:rPr>
                <w:sz w:val="21"/>
              </w:rPr>
            </w:pPr>
            <w:r>
              <w:rPr>
                <w:spacing w:val="-5"/>
                <w:w w:val="105"/>
                <w:sz w:val="21"/>
              </w:rPr>
              <w:t>15</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Hemangioma</w:t>
            </w:r>
          </w:p>
        </w:tc>
        <w:tc>
          <w:tcPr>
            <w:tcW w:w="3492" w:type="dxa"/>
            <w:shd w:val="clear" w:color="auto" w:fill="EDECF3"/>
          </w:tcPr>
          <w:p>
            <w:pPr>
              <w:pStyle w:val="TableParagraph"/>
              <w:rPr>
                <w:sz w:val="21"/>
              </w:rPr>
            </w:pPr>
            <w:r>
              <w:rPr>
                <w:spacing w:val="-10"/>
                <w:w w:val="105"/>
                <w:sz w:val="21"/>
              </w:rPr>
              <w:t>5</w:t>
            </w:r>
          </w:p>
        </w:tc>
        <w:tc>
          <w:tcPr>
            <w:tcW w:w="3628" w:type="dxa"/>
            <w:tcBorders>
              <w:right w:val="nil"/>
            </w:tcBorders>
            <w:shd w:val="clear" w:color="auto" w:fill="EDECF3"/>
          </w:tcPr>
          <w:p>
            <w:pPr>
              <w:pStyle w:val="TableParagraph"/>
              <w:ind w:left="64"/>
              <w:rPr>
                <w:sz w:val="21"/>
              </w:rPr>
            </w:pPr>
            <w:r>
              <w:rPr>
                <w:spacing w:val="-10"/>
                <w:w w:val="105"/>
                <w:sz w:val="21"/>
              </w:rPr>
              <w:t>5</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Rabdomioma</w:t>
            </w:r>
          </w:p>
        </w:tc>
        <w:tc>
          <w:tcPr>
            <w:tcW w:w="3492" w:type="dxa"/>
            <w:shd w:val="clear" w:color="auto" w:fill="EDECF3"/>
          </w:tcPr>
          <w:p>
            <w:pPr>
              <w:pStyle w:val="TableParagraph"/>
              <w:rPr>
                <w:sz w:val="21"/>
              </w:rPr>
            </w:pPr>
            <w:r>
              <w:rPr>
                <w:spacing w:val="-10"/>
                <w:w w:val="105"/>
                <w:sz w:val="21"/>
              </w:rPr>
              <w:t>1</w:t>
            </w:r>
          </w:p>
        </w:tc>
        <w:tc>
          <w:tcPr>
            <w:tcW w:w="3628" w:type="dxa"/>
            <w:tcBorders>
              <w:right w:val="nil"/>
            </w:tcBorders>
            <w:shd w:val="clear" w:color="auto" w:fill="EDECF3"/>
          </w:tcPr>
          <w:p>
            <w:pPr>
              <w:pStyle w:val="TableParagraph"/>
              <w:ind w:left="64"/>
              <w:rPr>
                <w:sz w:val="21"/>
              </w:rPr>
            </w:pPr>
            <w:r>
              <w:rPr>
                <w:spacing w:val="-5"/>
                <w:w w:val="105"/>
                <w:sz w:val="21"/>
              </w:rPr>
              <w:t>45</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Teratoma</w:t>
            </w:r>
          </w:p>
        </w:tc>
        <w:tc>
          <w:tcPr>
            <w:tcW w:w="3492" w:type="dxa"/>
            <w:shd w:val="clear" w:color="auto" w:fill="EDECF3"/>
          </w:tcPr>
          <w:p>
            <w:pPr>
              <w:pStyle w:val="TableParagraph"/>
              <w:rPr>
                <w:sz w:val="21"/>
              </w:rPr>
            </w:pPr>
            <w:r>
              <w:rPr>
                <w:w w:val="105"/>
                <w:sz w:val="21"/>
              </w:rPr>
              <w:t>&lt;</w:t>
            </w:r>
            <w:r>
              <w:rPr>
                <w:spacing w:val="3"/>
                <w:w w:val="105"/>
                <w:sz w:val="21"/>
              </w:rPr>
              <w:t> </w:t>
            </w:r>
            <w:r>
              <w:rPr>
                <w:spacing w:val="-10"/>
                <w:w w:val="105"/>
                <w:sz w:val="21"/>
              </w:rPr>
              <w:t>1</w:t>
            </w:r>
          </w:p>
        </w:tc>
        <w:tc>
          <w:tcPr>
            <w:tcW w:w="3628" w:type="dxa"/>
            <w:tcBorders>
              <w:right w:val="nil"/>
            </w:tcBorders>
            <w:shd w:val="clear" w:color="auto" w:fill="EDECF3"/>
          </w:tcPr>
          <w:p>
            <w:pPr>
              <w:pStyle w:val="TableParagraph"/>
              <w:ind w:left="64"/>
              <w:rPr>
                <w:sz w:val="21"/>
              </w:rPr>
            </w:pPr>
            <w:r>
              <w:rPr>
                <w:spacing w:val="-5"/>
                <w:w w:val="105"/>
                <w:sz w:val="21"/>
              </w:rPr>
              <w:t>15</w:t>
            </w:r>
          </w:p>
        </w:tc>
      </w:tr>
      <w:tr>
        <w:trPr>
          <w:trHeight w:val="428" w:hRule="atLeast"/>
        </w:trPr>
        <w:tc>
          <w:tcPr>
            <w:tcW w:w="3516" w:type="dxa"/>
            <w:tcBorders>
              <w:left w:val="nil"/>
            </w:tcBorders>
            <w:shd w:val="clear" w:color="auto" w:fill="EDECF3"/>
          </w:tcPr>
          <w:p>
            <w:pPr>
              <w:pStyle w:val="TableParagraph"/>
              <w:ind w:left="67"/>
              <w:rPr>
                <w:sz w:val="21"/>
              </w:rPr>
            </w:pPr>
            <w:r>
              <w:rPr>
                <w:spacing w:val="-2"/>
                <w:w w:val="105"/>
                <w:sz w:val="21"/>
              </w:rPr>
              <w:t>Angiossarcoma</w:t>
            </w:r>
          </w:p>
        </w:tc>
        <w:tc>
          <w:tcPr>
            <w:tcW w:w="3492" w:type="dxa"/>
            <w:shd w:val="clear" w:color="auto" w:fill="EDECF3"/>
          </w:tcPr>
          <w:p>
            <w:pPr>
              <w:pStyle w:val="TableParagraph"/>
              <w:rPr>
                <w:sz w:val="21"/>
              </w:rPr>
            </w:pPr>
            <w:r>
              <w:rPr>
                <w:spacing w:val="-5"/>
                <w:w w:val="105"/>
                <w:sz w:val="21"/>
              </w:rPr>
              <w:t>40</w:t>
            </w:r>
          </w:p>
        </w:tc>
        <w:tc>
          <w:tcPr>
            <w:tcW w:w="3628" w:type="dxa"/>
            <w:tcBorders>
              <w:right w:val="nil"/>
            </w:tcBorders>
            <w:shd w:val="clear" w:color="auto" w:fill="EDECF3"/>
          </w:tcPr>
          <w:p>
            <w:pPr>
              <w:pStyle w:val="TableParagraph"/>
              <w:ind w:left="64"/>
              <w:rPr>
                <w:sz w:val="21"/>
              </w:rPr>
            </w:pPr>
            <w:r>
              <w:rPr>
                <w:w w:val="195"/>
                <w:sz w:val="21"/>
              </w:rPr>
              <w:t>–</w:t>
            </w:r>
          </w:p>
        </w:tc>
      </w:tr>
      <w:tr>
        <w:trPr>
          <w:trHeight w:val="430" w:hRule="atLeast"/>
        </w:trPr>
        <w:tc>
          <w:tcPr>
            <w:tcW w:w="3516" w:type="dxa"/>
            <w:tcBorders>
              <w:left w:val="nil"/>
              <w:bottom w:val="nil"/>
            </w:tcBorders>
            <w:shd w:val="clear" w:color="auto" w:fill="EDECF3"/>
          </w:tcPr>
          <w:p>
            <w:pPr>
              <w:pStyle w:val="TableParagraph"/>
              <w:ind w:left="67"/>
              <w:rPr>
                <w:sz w:val="21"/>
              </w:rPr>
            </w:pPr>
            <w:r>
              <w:rPr>
                <w:spacing w:val="-2"/>
                <w:w w:val="105"/>
                <w:sz w:val="21"/>
              </w:rPr>
              <w:t>Rabdomiossarcoma</w:t>
            </w:r>
          </w:p>
        </w:tc>
        <w:tc>
          <w:tcPr>
            <w:tcW w:w="3492" w:type="dxa"/>
            <w:tcBorders>
              <w:bottom w:val="nil"/>
            </w:tcBorders>
            <w:shd w:val="clear" w:color="auto" w:fill="EDECF3"/>
          </w:tcPr>
          <w:p>
            <w:pPr>
              <w:pStyle w:val="TableParagraph"/>
              <w:rPr>
                <w:sz w:val="21"/>
              </w:rPr>
            </w:pPr>
            <w:r>
              <w:rPr>
                <w:spacing w:val="-10"/>
                <w:w w:val="105"/>
                <w:sz w:val="21"/>
              </w:rPr>
              <w:t>5</w:t>
            </w:r>
          </w:p>
        </w:tc>
        <w:tc>
          <w:tcPr>
            <w:tcW w:w="3628" w:type="dxa"/>
            <w:tcBorders>
              <w:bottom w:val="nil"/>
              <w:right w:val="nil"/>
            </w:tcBorders>
            <w:shd w:val="clear" w:color="auto" w:fill="EDECF3"/>
          </w:tcPr>
          <w:p>
            <w:pPr>
              <w:pStyle w:val="TableParagraph"/>
              <w:ind w:left="64"/>
              <w:rPr>
                <w:sz w:val="21"/>
              </w:rPr>
            </w:pPr>
            <w:r>
              <w:rPr>
                <w:spacing w:val="-10"/>
                <w:w w:val="105"/>
                <w:sz w:val="21"/>
              </w:rPr>
              <w:t>2</w:t>
            </w:r>
          </w:p>
        </w:tc>
      </w:tr>
    </w:tbl>
    <w:p>
      <w:pPr>
        <w:pStyle w:val="TableParagraph"/>
        <w:spacing w:after="0"/>
        <w:rPr>
          <w:sz w:val="21"/>
        </w:rPr>
        <w:sectPr>
          <w:pgSz w:w="11900" w:h="16840"/>
          <w:pgMar w:top="1060" w:bottom="280" w:left="566" w:right="141"/>
        </w:sectPr>
      </w:pPr>
    </w:p>
    <w:p>
      <w:pPr>
        <w:pStyle w:val="Heading4"/>
        <w:spacing w:before="65"/>
      </w:pPr>
      <w:r>
        <w:rPr>
          <w:color w:val="242B67"/>
          <w:spacing w:val="-2"/>
        </w:rPr>
        <w:t>Classificação</w:t>
      </w:r>
    </w:p>
    <w:p>
      <w:pPr>
        <w:pStyle w:val="Heading5"/>
        <w:spacing w:before="194"/>
      </w:pPr>
      <w:r>
        <w:rPr>
          <w:color w:val="A26108"/>
        </w:rPr>
        <w:t>Tumores</w:t>
      </w:r>
      <w:r>
        <w:rPr>
          <w:color w:val="A26108"/>
          <w:spacing w:val="28"/>
        </w:rPr>
        <w:t> </w:t>
      </w:r>
      <w:r>
        <w:rPr>
          <w:color w:val="A26108"/>
        </w:rPr>
        <w:t>benignos</w:t>
      </w:r>
      <w:r>
        <w:rPr>
          <w:color w:val="A26108"/>
          <w:spacing w:val="28"/>
        </w:rPr>
        <w:t> </w:t>
      </w:r>
      <w:r>
        <w:rPr>
          <w:color w:val="A26108"/>
          <w:spacing w:val="-2"/>
        </w:rPr>
        <w:t>primários</w:t>
      </w:r>
    </w:p>
    <w:p>
      <w:pPr>
        <w:pStyle w:val="BodyText"/>
        <w:spacing w:line="276" w:lineRule="auto" w:before="122"/>
        <w:ind w:right="488"/>
        <w:rPr>
          <w:sz w:val="15"/>
        </w:rPr>
      </w:pPr>
      <w:r>
        <w:rPr/>
        <w:t>Os mixomas ocorrem</w:t>
      </w:r>
      <w:r>
        <w:rPr>
          <w:spacing w:val="-5"/>
        </w:rPr>
        <w:t> </w:t>
      </w:r>
      <w:r>
        <w:rPr/>
        <w:t>em</w:t>
      </w:r>
      <w:r>
        <w:rPr>
          <w:spacing w:val="-5"/>
        </w:rPr>
        <w:t> </w:t>
      </w:r>
      <w:r>
        <w:rPr/>
        <w:t>todas as faixas etárias, porém</w:t>
      </w:r>
      <w:r>
        <w:rPr>
          <w:spacing w:val="-5"/>
        </w:rPr>
        <w:t> </w:t>
      </w:r>
      <w:r>
        <w:rPr/>
        <w:t>mais frequentemente</w:t>
      </w:r>
      <w:r>
        <w:rPr>
          <w:spacing w:val="-8"/>
        </w:rPr>
        <w:t> </w:t>
      </w:r>
      <w:r>
        <w:rPr/>
        <w:t>entre</w:t>
      </w:r>
      <w:r>
        <w:rPr>
          <w:spacing w:val="-8"/>
        </w:rPr>
        <w:t> </w:t>
      </w:r>
      <w:r>
        <w:rPr/>
        <w:t>a</w:t>
      </w:r>
      <w:r>
        <w:rPr>
          <w:spacing w:val="-8"/>
        </w:rPr>
        <w:t> </w:t>
      </w:r>
      <w:r>
        <w:rPr/>
        <w:t>terceira</w:t>
      </w:r>
      <w:r>
        <w:rPr>
          <w:spacing w:val="-8"/>
        </w:rPr>
        <w:t> </w:t>
      </w:r>
      <w:r>
        <w:rPr/>
        <w:t>e</w:t>
      </w:r>
      <w:r>
        <w:rPr>
          <w:spacing w:val="-8"/>
        </w:rPr>
        <w:t> </w:t>
      </w:r>
      <w:r>
        <w:rPr/>
        <w:t>a</w:t>
      </w:r>
      <w:r>
        <w:rPr>
          <w:spacing w:val="-8"/>
        </w:rPr>
        <w:t> </w:t>
      </w:r>
      <w:r>
        <w:rPr/>
        <w:t>sexta</w:t>
      </w:r>
      <w:r>
        <w:rPr>
          <w:spacing w:val="-8"/>
        </w:rPr>
        <w:t> </w:t>
      </w:r>
      <w:r>
        <w:rPr/>
        <w:t>década</w:t>
      </w:r>
      <w:r>
        <w:rPr>
          <w:spacing w:val="-8"/>
        </w:rPr>
        <w:t> </w:t>
      </w:r>
      <w:r>
        <w:rPr/>
        <w:t>de </w:t>
      </w:r>
      <w:r>
        <w:rPr>
          <w:spacing w:val="-2"/>
          <w:position w:val="-8"/>
        </w:rPr>
        <w:t>vida.</w:t>
      </w:r>
      <w:r>
        <w:rPr>
          <w:spacing w:val="-2"/>
          <w:sz w:val="15"/>
        </w:rPr>
        <w:t>13,14</w:t>
      </w:r>
    </w:p>
    <w:p>
      <w:pPr>
        <w:pStyle w:val="BodyText"/>
        <w:ind w:left="414" w:firstLine="0"/>
      </w:pPr>
      <w:r>
        <w:rPr/>
        <w:t>Na</w:t>
      </w:r>
      <w:r>
        <w:rPr>
          <w:spacing w:val="-11"/>
        </w:rPr>
        <w:t> </w:t>
      </w:r>
      <w:r>
        <w:rPr/>
        <w:t>maioria</w:t>
      </w:r>
      <w:r>
        <w:rPr>
          <w:spacing w:val="-10"/>
        </w:rPr>
        <w:t> </w:t>
      </w:r>
      <w:r>
        <w:rPr/>
        <w:t>das séries,</w:t>
      </w:r>
      <w:r>
        <w:rPr>
          <w:spacing w:val="-1"/>
        </w:rPr>
        <w:t> </w:t>
      </w:r>
      <w:r>
        <w:rPr/>
        <w:t>predominam</w:t>
      </w:r>
      <w:r>
        <w:rPr>
          <w:spacing w:val="-8"/>
        </w:rPr>
        <w:t> </w:t>
      </w:r>
      <w:r>
        <w:rPr/>
        <w:t>em</w:t>
      </w:r>
      <w:r>
        <w:rPr>
          <w:spacing w:val="-7"/>
        </w:rPr>
        <w:t> </w:t>
      </w:r>
      <w:r>
        <w:rPr>
          <w:spacing w:val="-2"/>
        </w:rPr>
        <w:t>mulheres.</w:t>
      </w:r>
    </w:p>
    <w:p>
      <w:pPr>
        <w:pStyle w:val="BodyText"/>
        <w:spacing w:line="276" w:lineRule="auto" w:before="104"/>
        <w:ind w:right="491"/>
      </w:pPr>
      <w:r>
        <w:rPr/>
        <w:t>Estudos familiares sugerem um modelo de herança autossômica dominante com manifestação variável do </w:t>
      </w:r>
      <w:r>
        <w:rPr>
          <w:spacing w:val="-2"/>
        </w:rPr>
        <w:t>fenótipo.</w:t>
      </w:r>
    </w:p>
    <w:p>
      <w:pPr>
        <w:pStyle w:val="BodyText"/>
        <w:spacing w:line="290" w:lineRule="auto" w:before="48"/>
        <w:ind w:right="491"/>
      </w:pPr>
      <w:r>
        <w:rPr/>
        <w:t>Os mixomas cardíacos geralmente</w:t>
      </w:r>
      <w:r>
        <w:rPr>
          <w:spacing w:val="-1"/>
        </w:rPr>
        <w:t> </w:t>
      </w:r>
      <w:r>
        <w:rPr/>
        <w:t>se</w:t>
      </w:r>
      <w:r>
        <w:rPr>
          <w:spacing w:val="-1"/>
        </w:rPr>
        <w:t> </w:t>
      </w:r>
      <w:r>
        <w:rPr/>
        <w:t>desenvolvem nos átrios, ocorrendo 75% no átrio esquerdo e</w:t>
      </w:r>
      <w:r>
        <w:rPr>
          <w:spacing w:val="-1"/>
        </w:rPr>
        <w:t> </w:t>
      </w:r>
      <w:r>
        <w:rPr/>
        <w:t>15 a</w:t>
      </w:r>
      <w:r>
        <w:rPr>
          <w:spacing w:val="-1"/>
        </w:rPr>
        <w:t> </w:t>
      </w:r>
      <w:r>
        <w:rPr/>
        <w:t>20% no átrio</w:t>
      </w:r>
      <w:r>
        <w:rPr>
          <w:spacing w:val="-3"/>
        </w:rPr>
        <w:t> </w:t>
      </w:r>
      <w:r>
        <w:rPr/>
        <w:t>direito. Somente</w:t>
      </w:r>
      <w:r>
        <w:rPr>
          <w:spacing w:val="-5"/>
        </w:rPr>
        <w:t> </w:t>
      </w:r>
      <w:r>
        <w:rPr/>
        <w:t>3</w:t>
      </w:r>
      <w:r>
        <w:rPr>
          <w:spacing w:val="-3"/>
        </w:rPr>
        <w:t> </w:t>
      </w:r>
      <w:r>
        <w:rPr/>
        <w:t>a</w:t>
      </w:r>
      <w:r>
        <w:rPr>
          <w:spacing w:val="-5"/>
        </w:rPr>
        <w:t> </w:t>
      </w:r>
      <w:r>
        <w:rPr/>
        <w:t>4% ocorrem</w:t>
      </w:r>
      <w:r>
        <w:rPr>
          <w:spacing w:val="-3"/>
        </w:rPr>
        <w:t> </w:t>
      </w:r>
      <w:r>
        <w:rPr/>
        <w:t>no</w:t>
      </w:r>
      <w:r>
        <w:rPr>
          <w:spacing w:val="-3"/>
        </w:rPr>
        <w:t> </w:t>
      </w:r>
      <w:r>
        <w:rPr/>
        <w:t>ventrículo</w:t>
      </w:r>
      <w:r>
        <w:rPr>
          <w:spacing w:val="-3"/>
        </w:rPr>
        <w:t> </w:t>
      </w:r>
      <w:r>
        <w:rPr/>
        <w:t>direito.</w:t>
      </w:r>
      <w:r>
        <w:rPr>
          <w:vertAlign w:val="superscript"/>
        </w:rPr>
        <w:t>15</w:t>
      </w:r>
      <w:r>
        <w:rPr>
          <w:vertAlign w:val="baseline"/>
        </w:rPr>
        <w:t> Há</w:t>
      </w:r>
      <w:r>
        <w:rPr>
          <w:spacing w:val="-6"/>
          <w:vertAlign w:val="baseline"/>
        </w:rPr>
        <w:t> </w:t>
      </w:r>
      <w:r>
        <w:rPr>
          <w:vertAlign w:val="baseline"/>
        </w:rPr>
        <w:t>relatos de</w:t>
      </w:r>
      <w:r>
        <w:rPr>
          <w:spacing w:val="-6"/>
          <w:vertAlign w:val="baseline"/>
        </w:rPr>
        <w:t> </w:t>
      </w:r>
      <w:r>
        <w:rPr>
          <w:vertAlign w:val="baseline"/>
        </w:rPr>
        <w:t>mixomas em</w:t>
      </w:r>
      <w:r>
        <w:rPr>
          <w:spacing w:val="-3"/>
          <w:vertAlign w:val="baseline"/>
        </w:rPr>
        <w:t> </w:t>
      </w:r>
      <w:r>
        <w:rPr>
          <w:vertAlign w:val="baseline"/>
        </w:rPr>
        <w:t>ambos os átrios; porém, é muita rara a ocorrência desses tumores nas valvas cardíacas.</w:t>
      </w:r>
      <w:r>
        <w:rPr>
          <w:vertAlign w:val="superscript"/>
        </w:rPr>
        <w:t>16</w:t>
      </w:r>
    </w:p>
    <w:p>
      <w:pPr>
        <w:pStyle w:val="BodyText"/>
        <w:spacing w:line="278" w:lineRule="auto" w:before="49"/>
        <w:ind w:right="498"/>
      </w:pPr>
      <w:r>
        <w:rPr/>
        <w:t>Dois terços dos mixomas são tumores ovais com superfície lisa ou levemente lobulada. A maioria é polipoide, sendo</w:t>
      </w:r>
      <w:r>
        <w:rPr>
          <w:spacing w:val="-11"/>
        </w:rPr>
        <w:t> </w:t>
      </w:r>
      <w:r>
        <w:rPr/>
        <w:t>relativamente</w:t>
      </w:r>
      <w:r>
        <w:rPr>
          <w:spacing w:val="-13"/>
        </w:rPr>
        <w:t> </w:t>
      </w:r>
      <w:r>
        <w:rPr/>
        <w:t>compacta,</w:t>
      </w:r>
      <w:r>
        <w:rPr>
          <w:spacing w:val="-3"/>
        </w:rPr>
        <w:t> </w:t>
      </w:r>
      <w:r>
        <w:rPr/>
        <w:t>pedunculada</w:t>
      </w:r>
      <w:r>
        <w:rPr>
          <w:spacing w:val="-13"/>
        </w:rPr>
        <w:t> </w:t>
      </w:r>
      <w:r>
        <w:rPr/>
        <w:t>e</w:t>
      </w:r>
      <w:r>
        <w:rPr>
          <w:spacing w:val="-13"/>
        </w:rPr>
        <w:t> </w:t>
      </w:r>
      <w:r>
        <w:rPr/>
        <w:t>móvel.</w:t>
      </w:r>
      <w:r>
        <w:rPr>
          <w:spacing w:val="-3"/>
        </w:rPr>
        <w:t> </w:t>
      </w:r>
      <w:r>
        <w:rPr/>
        <w:t>Os</w:t>
      </w:r>
      <w:r>
        <w:rPr>
          <w:spacing w:val="-3"/>
        </w:rPr>
        <w:t> </w:t>
      </w:r>
      <w:r>
        <w:rPr/>
        <w:t>mixomas</w:t>
      </w:r>
      <w:r>
        <w:rPr>
          <w:spacing w:val="-3"/>
        </w:rPr>
        <w:t> </w:t>
      </w:r>
      <w:r>
        <w:rPr/>
        <w:t>são</w:t>
      </w:r>
      <w:r>
        <w:rPr>
          <w:spacing w:val="-11"/>
        </w:rPr>
        <w:t> </w:t>
      </w:r>
      <w:r>
        <w:rPr/>
        <w:t>brancos,</w:t>
      </w:r>
      <w:r>
        <w:rPr>
          <w:spacing w:val="-3"/>
        </w:rPr>
        <w:t> </w:t>
      </w:r>
      <w:r>
        <w:rPr/>
        <w:t>amarelados</w:t>
      </w:r>
      <w:r>
        <w:rPr>
          <w:spacing w:val="-3"/>
        </w:rPr>
        <w:t> </w:t>
      </w:r>
      <w:r>
        <w:rPr/>
        <w:t>ou</w:t>
      </w:r>
      <w:r>
        <w:rPr>
          <w:spacing w:val="-11"/>
        </w:rPr>
        <w:t> </w:t>
      </w:r>
      <w:r>
        <w:rPr/>
        <w:t>levemente</w:t>
      </w:r>
      <w:r>
        <w:rPr>
          <w:spacing w:val="-13"/>
        </w:rPr>
        <w:t> </w:t>
      </w:r>
      <w:r>
        <w:rPr/>
        <w:t>marrons</w:t>
      </w:r>
      <w:r>
        <w:rPr>
          <w:spacing w:val="-3"/>
        </w:rPr>
        <w:t> </w:t>
      </w:r>
      <w:r>
        <w:rPr/>
        <w:t>e geralmente cobertos com trombo. O tamanho médio é de 5 cm, o peso varia de 50 a 60 g, e seu crescimento costuma</w:t>
      </w:r>
      <w:r>
        <w:rPr>
          <w:spacing w:val="-8"/>
        </w:rPr>
        <w:t> </w:t>
      </w:r>
      <w:r>
        <w:rPr/>
        <w:t>ser rápido. Histologicamente, os mixomas são</w:t>
      </w:r>
      <w:r>
        <w:rPr>
          <w:spacing w:val="-6"/>
        </w:rPr>
        <w:t> </w:t>
      </w:r>
      <w:r>
        <w:rPr/>
        <w:t>compostos de</w:t>
      </w:r>
      <w:r>
        <w:rPr>
          <w:spacing w:val="-8"/>
        </w:rPr>
        <w:t> </w:t>
      </w:r>
      <w:r>
        <w:rPr/>
        <w:t>células em</w:t>
      </w:r>
      <w:r>
        <w:rPr>
          <w:spacing w:val="-6"/>
        </w:rPr>
        <w:t> </w:t>
      </w:r>
      <w:r>
        <w:rPr/>
        <w:t>forma</w:t>
      </w:r>
      <w:r>
        <w:rPr>
          <w:spacing w:val="-8"/>
        </w:rPr>
        <w:t> </w:t>
      </w:r>
      <w:r>
        <w:rPr/>
        <w:t>poligonal</w:t>
      </w:r>
      <w:r>
        <w:rPr>
          <w:spacing w:val="-3"/>
        </w:rPr>
        <w:t> </w:t>
      </w:r>
      <w:r>
        <w:rPr/>
        <w:t>e</w:t>
      </w:r>
      <w:r>
        <w:rPr>
          <w:spacing w:val="-8"/>
        </w:rPr>
        <w:t> </w:t>
      </w:r>
      <w:r>
        <w:rPr/>
        <w:t>canais capilares dentro de matriz de mucopolissacarídios. Originam-se do endocárdio e são considerados derivados das células mesenquimais multipotenciais subendocárdicas, sendo essas células capazes de se diferenciarem em células endoteliais, células musculares lisas, angioblastos, fibroblastos, mioblastos e cartilagem.</w:t>
      </w:r>
      <w:r>
        <w:rPr>
          <w:vertAlign w:val="superscript"/>
        </w:rPr>
        <w:t>17</w:t>
      </w:r>
    </w:p>
    <w:p>
      <w:pPr>
        <w:spacing w:line="280" w:lineRule="auto" w:before="47"/>
        <w:ind w:left="68" w:right="491" w:firstLine="345"/>
        <w:jc w:val="both"/>
        <w:rPr>
          <w:sz w:val="23"/>
        </w:rPr>
      </w:pPr>
      <w:r>
        <w:rPr>
          <w:sz w:val="23"/>
        </w:rPr>
        <w:t>Aproximadamente 2,7% dos pacientes com mixoma atrial podem fazer parte de síndromes genéticas como síndrome de Carney; síndrome NAME (do inglês, </w:t>
      </w:r>
      <w:r>
        <w:rPr>
          <w:i/>
          <w:sz w:val="23"/>
        </w:rPr>
        <w:t>nevi, atrial myxoma, myxoid neurofibromata, and ephelides; </w:t>
      </w:r>
      <w:r>
        <w:rPr>
          <w:sz w:val="23"/>
        </w:rPr>
        <w:t>nevos, mixoma atrial, neurofibroma mixoide e efélides) e síndrome LAMB (do inglês, </w:t>
      </w:r>
      <w:r>
        <w:rPr>
          <w:i/>
          <w:sz w:val="23"/>
        </w:rPr>
        <w:t>lentigines, atrial myxomas, mucocutaneous myxomas, and blue nevi</w:t>
      </w:r>
      <w:r>
        <w:rPr>
          <w:sz w:val="23"/>
        </w:rPr>
        <w:t>; lentigens, mixomas atriais, mixomas mucocutâneos e nevos azuis), conhecidas como </w:t>
      </w:r>
      <w:r>
        <w:rPr>
          <w:i/>
          <w:sz w:val="23"/>
        </w:rPr>
        <w:t>mixoma familial </w:t>
      </w:r>
      <w:r>
        <w:rPr>
          <w:sz w:val="23"/>
        </w:rPr>
        <w:t>(</w:t>
      </w:r>
      <w:r>
        <w:rPr>
          <w:color w:val="505050"/>
          <w:sz w:val="23"/>
        </w:rPr>
        <w:t>Tabela 62.2</w:t>
      </w:r>
      <w:r>
        <w:rPr>
          <w:sz w:val="23"/>
        </w:rPr>
        <w:t>).</w:t>
      </w:r>
      <w:r>
        <w:rPr>
          <w:sz w:val="23"/>
          <w:vertAlign w:val="superscript"/>
        </w:rPr>
        <w:t>18</w:t>
      </w:r>
    </w:p>
    <w:p>
      <w:pPr>
        <w:pStyle w:val="BodyText"/>
        <w:spacing w:line="276" w:lineRule="auto" w:before="54"/>
        <w:ind w:right="488"/>
      </w:pPr>
      <w:r>
        <w:rPr/>
        <w:t>O fibroma é o segundo tumor cardíaco benigno mais frequente, não tem predileção de sexo e geralmente envolve o septo intraventricular ou parede livre do ventrículo esquerdo e, ao contrário do mixoma, a embolização tumoral é infrequente. São tumores solitários, geralmente firmes, nodulares, acinzentados, não são encapsulados e podem apresentar depósitos de cálcio.</w:t>
      </w:r>
    </w:p>
    <w:p>
      <w:pPr>
        <w:pStyle w:val="BodyText"/>
        <w:spacing w:line="276" w:lineRule="auto"/>
        <w:ind w:right="494"/>
      </w:pPr>
      <w:r>
        <w:rPr/>
        <w:t>Os lipomas são</w:t>
      </w:r>
      <w:r>
        <w:rPr>
          <w:spacing w:val="-5"/>
        </w:rPr>
        <w:t> </w:t>
      </w:r>
      <w:r>
        <w:rPr/>
        <w:t>tumores bem</w:t>
      </w:r>
      <w:r>
        <w:rPr>
          <w:spacing w:val="-5"/>
        </w:rPr>
        <w:t> </w:t>
      </w:r>
      <w:r>
        <w:rPr/>
        <w:t>encapsulados, compostos de</w:t>
      </w:r>
      <w:r>
        <w:rPr>
          <w:spacing w:val="-8"/>
        </w:rPr>
        <w:t> </w:t>
      </w:r>
      <w:r>
        <w:rPr/>
        <w:t>células gordurosas, podem</w:t>
      </w:r>
      <w:r>
        <w:rPr>
          <w:spacing w:val="-5"/>
        </w:rPr>
        <w:t> </w:t>
      </w:r>
      <w:r>
        <w:rPr/>
        <w:t>ocorrer em</w:t>
      </w:r>
      <w:r>
        <w:rPr>
          <w:spacing w:val="-5"/>
        </w:rPr>
        <w:t> </w:t>
      </w:r>
      <w:r>
        <w:rPr/>
        <w:t>qualquer local do coração, não tendo predileção por sexo ou faixa etária. O crescimento ocorre de forma lenta e podem alcançar grandes tamanhos antes de produzir sintomas obstrutivos ou arrítmicos.</w:t>
      </w:r>
    </w:p>
    <w:p>
      <w:pPr>
        <w:pStyle w:val="BodyText"/>
        <w:spacing w:line="276" w:lineRule="auto" w:before="48"/>
        <w:ind w:right="491"/>
      </w:pPr>
      <w:r>
        <w:rPr/>
        <w:t>A hipertrofia lipomatosa do septo interatrial trata-se de uma hipertrofia de gordura não encapsulada dentro do septo atrial. Ocorre frequentemente em idosos, obesos e mulheres.</w:t>
      </w:r>
    </w:p>
    <w:p>
      <w:pPr>
        <w:pStyle w:val="BodyText"/>
        <w:spacing w:line="276" w:lineRule="auto"/>
        <w:ind w:right="501"/>
      </w:pPr>
      <w:r>
        <w:rPr/>
        <w:t>O</w:t>
      </w:r>
      <w:r>
        <w:rPr>
          <w:spacing w:val="-1"/>
        </w:rPr>
        <w:t> </w:t>
      </w:r>
      <w:r>
        <w:rPr/>
        <w:t>fibroelastoma</w:t>
      </w:r>
      <w:r>
        <w:rPr>
          <w:spacing w:val="-1"/>
        </w:rPr>
        <w:t> </w:t>
      </w:r>
      <w:r>
        <w:rPr/>
        <w:t>papilar é</w:t>
      </w:r>
      <w:r>
        <w:rPr>
          <w:spacing w:val="-1"/>
        </w:rPr>
        <w:t> </w:t>
      </w:r>
      <w:r>
        <w:rPr/>
        <w:t>um tumor caracteristicamente</w:t>
      </w:r>
      <w:r>
        <w:rPr>
          <w:spacing w:val="-1"/>
        </w:rPr>
        <w:t> </w:t>
      </w:r>
      <w:r>
        <w:rPr/>
        <w:t>das válvulas cardíacas ou do endocárdio adjacente. As válvulas atrioventriculares e semilunares são acometidas com frequência semelhante por esses tumores, descritos como </w:t>
      </w:r>
      <w:r>
        <w:rPr>
          <w:i/>
        </w:rPr>
        <w:t>anêmonas-do-mar</w:t>
      </w:r>
      <w:r>
        <w:rPr/>
        <w:t>. Tem sido sugerida a possibilidade de indução viral por citomegalovírus.</w:t>
      </w:r>
    </w:p>
    <w:p>
      <w:pPr>
        <w:pStyle w:val="BodyText"/>
        <w:spacing w:before="71"/>
        <w:ind w:left="0" w:firstLine="0"/>
        <w:jc w:val="left"/>
      </w:pPr>
    </w:p>
    <w:p>
      <w:pPr>
        <w:spacing w:before="0"/>
        <w:ind w:left="68" w:right="0" w:firstLine="0"/>
        <w:jc w:val="left"/>
        <w:rPr>
          <w:rFonts w:ascii="Microsoft Sans Serif"/>
          <w:sz w:val="23"/>
        </w:rPr>
      </w:pPr>
      <w:r>
        <w:rPr>
          <w:rFonts w:ascii="Arial"/>
          <w:b/>
          <w:color w:val="242B67"/>
          <w:sz w:val="23"/>
        </w:rPr>
        <w:t>Tabela</w:t>
      </w:r>
      <w:r>
        <w:rPr>
          <w:rFonts w:ascii="Arial"/>
          <w:b/>
          <w:color w:val="242B67"/>
          <w:spacing w:val="-2"/>
          <w:sz w:val="23"/>
        </w:rPr>
        <w:t> </w:t>
      </w:r>
      <w:r>
        <w:rPr>
          <w:rFonts w:ascii="Arial"/>
          <w:b/>
          <w:color w:val="242B67"/>
          <w:sz w:val="23"/>
        </w:rPr>
        <w:t>62.2</w:t>
      </w:r>
      <w:r>
        <w:rPr>
          <w:rFonts w:ascii="Arial"/>
          <w:b/>
          <w:color w:val="242B67"/>
          <w:spacing w:val="-2"/>
          <w:sz w:val="23"/>
        </w:rPr>
        <w:t> </w:t>
      </w:r>
      <w:r>
        <w:rPr>
          <w:rFonts w:ascii="Microsoft Sans Serif"/>
          <w:sz w:val="23"/>
        </w:rPr>
        <w:t>Mixoma </w:t>
      </w:r>
      <w:r>
        <w:rPr>
          <w:rFonts w:ascii="Microsoft Sans Serif"/>
          <w:spacing w:val="-2"/>
          <w:sz w:val="23"/>
        </w:rPr>
        <w:t>familial.</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3516"/>
        <w:gridCol w:w="3492"/>
        <w:gridCol w:w="3612"/>
      </w:tblGrid>
      <w:tr>
        <w:trPr>
          <w:trHeight w:val="430" w:hRule="atLeast"/>
        </w:trPr>
        <w:tc>
          <w:tcPr>
            <w:tcW w:w="3516" w:type="dxa"/>
            <w:tcBorders>
              <w:top w:val="nil"/>
              <w:left w:val="nil"/>
            </w:tcBorders>
            <w:shd w:val="clear" w:color="auto" w:fill="242B67"/>
          </w:tcPr>
          <w:p>
            <w:pPr>
              <w:pStyle w:val="TableParagraph"/>
              <w:spacing w:before="91"/>
              <w:ind w:left="67"/>
              <w:rPr>
                <w:rFonts w:ascii="Arial" w:hAnsi="Arial"/>
                <w:b/>
                <w:sz w:val="21"/>
              </w:rPr>
            </w:pPr>
            <w:r>
              <w:rPr>
                <w:rFonts w:ascii="Arial" w:hAnsi="Arial"/>
                <w:b/>
                <w:color w:val="FFFFFF"/>
                <w:spacing w:val="-2"/>
                <w:w w:val="105"/>
                <w:sz w:val="21"/>
              </w:rPr>
              <w:t>Síndrome</w:t>
            </w:r>
            <w:r>
              <w:rPr>
                <w:rFonts w:ascii="Arial" w:hAnsi="Arial"/>
                <w:b/>
                <w:color w:val="FFFFFF"/>
                <w:spacing w:val="-7"/>
                <w:w w:val="105"/>
                <w:sz w:val="21"/>
              </w:rPr>
              <w:t> </w:t>
            </w:r>
            <w:r>
              <w:rPr>
                <w:rFonts w:ascii="Arial" w:hAnsi="Arial"/>
                <w:b/>
                <w:color w:val="FFFFFF"/>
                <w:spacing w:val="-2"/>
                <w:w w:val="105"/>
                <w:sz w:val="21"/>
              </w:rPr>
              <w:t>de</w:t>
            </w:r>
            <w:r>
              <w:rPr>
                <w:rFonts w:ascii="Arial" w:hAnsi="Arial"/>
                <w:b/>
                <w:color w:val="FFFFFF"/>
                <w:spacing w:val="-6"/>
                <w:w w:val="105"/>
                <w:sz w:val="21"/>
              </w:rPr>
              <w:t> </w:t>
            </w:r>
            <w:r>
              <w:rPr>
                <w:rFonts w:ascii="Arial" w:hAnsi="Arial"/>
                <w:b/>
                <w:color w:val="FFFFFF"/>
                <w:spacing w:val="-2"/>
                <w:w w:val="105"/>
                <w:sz w:val="21"/>
              </w:rPr>
              <w:t>Carney</w:t>
            </w:r>
          </w:p>
        </w:tc>
        <w:tc>
          <w:tcPr>
            <w:tcW w:w="3492" w:type="dxa"/>
            <w:tcBorders>
              <w:top w:val="nil"/>
            </w:tcBorders>
            <w:shd w:val="clear" w:color="auto" w:fill="242B67"/>
          </w:tcPr>
          <w:p>
            <w:pPr>
              <w:pStyle w:val="TableParagraph"/>
              <w:spacing w:before="91"/>
              <w:rPr>
                <w:rFonts w:ascii="Arial" w:hAnsi="Arial"/>
                <w:b/>
                <w:sz w:val="21"/>
              </w:rPr>
            </w:pPr>
            <w:r>
              <w:rPr>
                <w:rFonts w:ascii="Arial" w:hAnsi="Arial"/>
                <w:b/>
                <w:color w:val="FFFFFF"/>
                <w:spacing w:val="-4"/>
                <w:w w:val="105"/>
                <w:sz w:val="21"/>
              </w:rPr>
              <w:t>Síndrome</w:t>
            </w:r>
            <w:r>
              <w:rPr>
                <w:rFonts w:ascii="Arial" w:hAnsi="Arial"/>
                <w:b/>
                <w:color w:val="FFFFFF"/>
                <w:w w:val="105"/>
                <w:sz w:val="21"/>
              </w:rPr>
              <w:t> </w:t>
            </w:r>
            <w:r>
              <w:rPr>
                <w:rFonts w:ascii="Arial" w:hAnsi="Arial"/>
                <w:b/>
                <w:color w:val="FFFFFF"/>
                <w:spacing w:val="-4"/>
                <w:w w:val="105"/>
                <w:sz w:val="21"/>
              </w:rPr>
              <w:t>NAME</w:t>
            </w:r>
          </w:p>
        </w:tc>
        <w:tc>
          <w:tcPr>
            <w:tcW w:w="3612" w:type="dxa"/>
            <w:tcBorders>
              <w:top w:val="nil"/>
              <w:right w:val="nil"/>
            </w:tcBorders>
            <w:shd w:val="clear" w:color="auto" w:fill="242B67"/>
          </w:tcPr>
          <w:p>
            <w:pPr>
              <w:pStyle w:val="TableParagraph"/>
              <w:spacing w:before="91"/>
              <w:ind w:left="64"/>
              <w:rPr>
                <w:rFonts w:ascii="Arial" w:hAnsi="Arial"/>
                <w:b/>
                <w:sz w:val="21"/>
              </w:rPr>
            </w:pPr>
            <w:r>
              <w:rPr>
                <w:rFonts w:ascii="Arial" w:hAnsi="Arial"/>
                <w:b/>
                <w:color w:val="FFFFFF"/>
                <w:spacing w:val="-4"/>
                <w:w w:val="105"/>
                <w:sz w:val="21"/>
              </w:rPr>
              <w:t>Síndrome</w:t>
            </w:r>
            <w:r>
              <w:rPr>
                <w:rFonts w:ascii="Arial" w:hAnsi="Arial"/>
                <w:b/>
                <w:color w:val="FFFFFF"/>
                <w:w w:val="105"/>
                <w:sz w:val="21"/>
              </w:rPr>
              <w:t> </w:t>
            </w:r>
            <w:r>
              <w:rPr>
                <w:rFonts w:ascii="Arial" w:hAnsi="Arial"/>
                <w:b/>
                <w:color w:val="FFFFFF"/>
                <w:spacing w:val="-4"/>
                <w:w w:val="105"/>
                <w:sz w:val="21"/>
              </w:rPr>
              <w:t>LAMB</w:t>
            </w:r>
          </w:p>
        </w:tc>
      </w:tr>
      <w:tr>
        <w:trPr>
          <w:trHeight w:val="428" w:hRule="atLeast"/>
        </w:trPr>
        <w:tc>
          <w:tcPr>
            <w:tcW w:w="3516" w:type="dxa"/>
            <w:tcBorders>
              <w:left w:val="nil"/>
            </w:tcBorders>
            <w:shd w:val="clear" w:color="auto" w:fill="EDECF3"/>
          </w:tcPr>
          <w:p>
            <w:pPr>
              <w:pStyle w:val="TableParagraph"/>
              <w:ind w:left="67"/>
              <w:rPr>
                <w:sz w:val="21"/>
              </w:rPr>
            </w:pPr>
            <w:r>
              <w:rPr>
                <w:w w:val="105"/>
                <w:sz w:val="21"/>
              </w:rPr>
              <w:t>Lentigens</w:t>
            </w:r>
            <w:r>
              <w:rPr>
                <w:spacing w:val="33"/>
                <w:w w:val="105"/>
                <w:sz w:val="21"/>
              </w:rPr>
              <w:t> </w:t>
            </w:r>
            <w:r>
              <w:rPr>
                <w:spacing w:val="-2"/>
                <w:w w:val="105"/>
                <w:sz w:val="21"/>
              </w:rPr>
              <w:t>múltiplas</w:t>
            </w:r>
          </w:p>
        </w:tc>
        <w:tc>
          <w:tcPr>
            <w:tcW w:w="3492" w:type="dxa"/>
            <w:shd w:val="clear" w:color="auto" w:fill="EDECF3"/>
          </w:tcPr>
          <w:p>
            <w:pPr>
              <w:pStyle w:val="TableParagraph"/>
              <w:rPr>
                <w:sz w:val="21"/>
              </w:rPr>
            </w:pPr>
            <w:r>
              <w:rPr>
                <w:spacing w:val="-4"/>
                <w:w w:val="105"/>
                <w:sz w:val="21"/>
              </w:rPr>
              <w:t>Nevo</w:t>
            </w:r>
          </w:p>
        </w:tc>
        <w:tc>
          <w:tcPr>
            <w:tcW w:w="3612" w:type="dxa"/>
            <w:tcBorders>
              <w:right w:val="nil"/>
            </w:tcBorders>
            <w:shd w:val="clear" w:color="auto" w:fill="EDECF3"/>
          </w:tcPr>
          <w:p>
            <w:pPr>
              <w:pStyle w:val="TableParagraph"/>
              <w:ind w:left="64"/>
              <w:rPr>
                <w:sz w:val="21"/>
              </w:rPr>
            </w:pPr>
            <w:r>
              <w:rPr>
                <w:spacing w:val="-2"/>
                <w:w w:val="105"/>
                <w:sz w:val="21"/>
              </w:rPr>
              <w:t>Lentigens</w:t>
            </w:r>
          </w:p>
        </w:tc>
      </w:tr>
      <w:tr>
        <w:trPr>
          <w:trHeight w:val="428" w:hRule="atLeast"/>
        </w:trPr>
        <w:tc>
          <w:tcPr>
            <w:tcW w:w="3516" w:type="dxa"/>
            <w:tcBorders>
              <w:left w:val="nil"/>
            </w:tcBorders>
            <w:shd w:val="clear" w:color="auto" w:fill="EDECF3"/>
          </w:tcPr>
          <w:p>
            <w:pPr>
              <w:pStyle w:val="TableParagraph"/>
              <w:ind w:left="67"/>
              <w:rPr>
                <w:sz w:val="21"/>
              </w:rPr>
            </w:pPr>
            <w:r>
              <w:rPr>
                <w:w w:val="105"/>
                <w:sz w:val="21"/>
              </w:rPr>
              <w:t>Nevos</w:t>
            </w:r>
            <w:r>
              <w:rPr>
                <w:spacing w:val="15"/>
                <w:w w:val="105"/>
                <w:sz w:val="21"/>
              </w:rPr>
              <w:t> </w:t>
            </w:r>
            <w:r>
              <w:rPr>
                <w:spacing w:val="-2"/>
                <w:w w:val="105"/>
                <w:sz w:val="21"/>
              </w:rPr>
              <w:t>azulados</w:t>
            </w:r>
          </w:p>
        </w:tc>
        <w:tc>
          <w:tcPr>
            <w:tcW w:w="3492" w:type="dxa"/>
            <w:shd w:val="clear" w:color="auto" w:fill="EDECF3"/>
          </w:tcPr>
          <w:p>
            <w:pPr>
              <w:pStyle w:val="TableParagraph"/>
              <w:rPr>
                <w:sz w:val="21"/>
              </w:rPr>
            </w:pPr>
            <w:r>
              <w:rPr>
                <w:w w:val="105"/>
                <w:sz w:val="21"/>
              </w:rPr>
              <w:t>Mixoma</w:t>
            </w:r>
            <w:r>
              <w:rPr>
                <w:spacing w:val="-7"/>
                <w:w w:val="105"/>
                <w:sz w:val="21"/>
              </w:rPr>
              <w:t> </w:t>
            </w:r>
            <w:r>
              <w:rPr>
                <w:spacing w:val="-2"/>
                <w:w w:val="105"/>
                <w:sz w:val="21"/>
              </w:rPr>
              <w:t>atrial</w:t>
            </w:r>
          </w:p>
        </w:tc>
        <w:tc>
          <w:tcPr>
            <w:tcW w:w="3612" w:type="dxa"/>
            <w:tcBorders>
              <w:right w:val="nil"/>
            </w:tcBorders>
            <w:shd w:val="clear" w:color="auto" w:fill="EDECF3"/>
          </w:tcPr>
          <w:p>
            <w:pPr>
              <w:pStyle w:val="TableParagraph"/>
              <w:ind w:left="64"/>
              <w:rPr>
                <w:sz w:val="21"/>
              </w:rPr>
            </w:pPr>
            <w:r>
              <w:rPr>
                <w:w w:val="105"/>
                <w:sz w:val="21"/>
              </w:rPr>
              <w:t>Mixoma</w:t>
            </w:r>
            <w:r>
              <w:rPr>
                <w:spacing w:val="-7"/>
                <w:w w:val="105"/>
                <w:sz w:val="21"/>
              </w:rPr>
              <w:t> </w:t>
            </w:r>
            <w:r>
              <w:rPr>
                <w:spacing w:val="-2"/>
                <w:w w:val="105"/>
                <w:sz w:val="21"/>
              </w:rPr>
              <w:t>atrial</w:t>
            </w:r>
          </w:p>
        </w:tc>
      </w:tr>
      <w:tr>
        <w:trPr>
          <w:trHeight w:val="428" w:hRule="atLeast"/>
        </w:trPr>
        <w:tc>
          <w:tcPr>
            <w:tcW w:w="3516" w:type="dxa"/>
            <w:tcBorders>
              <w:left w:val="nil"/>
            </w:tcBorders>
            <w:shd w:val="clear" w:color="auto" w:fill="EDECF3"/>
          </w:tcPr>
          <w:p>
            <w:pPr>
              <w:pStyle w:val="TableParagraph"/>
              <w:ind w:left="67"/>
              <w:rPr>
                <w:sz w:val="21"/>
              </w:rPr>
            </w:pPr>
            <w:r>
              <w:rPr>
                <w:w w:val="105"/>
                <w:sz w:val="21"/>
              </w:rPr>
              <w:t>Tumores</w:t>
            </w:r>
            <w:r>
              <w:rPr>
                <w:spacing w:val="7"/>
                <w:w w:val="105"/>
                <w:sz w:val="21"/>
              </w:rPr>
              <w:t> </w:t>
            </w:r>
            <w:r>
              <w:rPr>
                <w:w w:val="105"/>
                <w:sz w:val="21"/>
              </w:rPr>
              <w:t>mixoides</w:t>
            </w:r>
            <w:r>
              <w:rPr>
                <w:spacing w:val="7"/>
                <w:w w:val="105"/>
                <w:sz w:val="21"/>
              </w:rPr>
              <w:t> </w:t>
            </w:r>
            <w:r>
              <w:rPr>
                <w:spacing w:val="-2"/>
                <w:w w:val="105"/>
                <w:sz w:val="21"/>
              </w:rPr>
              <w:t>periféricos</w:t>
            </w:r>
          </w:p>
        </w:tc>
        <w:tc>
          <w:tcPr>
            <w:tcW w:w="3492" w:type="dxa"/>
            <w:shd w:val="clear" w:color="auto" w:fill="EDECF3"/>
          </w:tcPr>
          <w:p>
            <w:pPr>
              <w:pStyle w:val="TableParagraph"/>
              <w:rPr>
                <w:sz w:val="21"/>
              </w:rPr>
            </w:pPr>
            <w:r>
              <w:rPr>
                <w:spacing w:val="2"/>
                <w:sz w:val="21"/>
              </w:rPr>
              <w:t>Neurofibroma</w:t>
            </w:r>
            <w:r>
              <w:rPr>
                <w:spacing w:val="75"/>
                <w:sz w:val="21"/>
              </w:rPr>
              <w:t> </w:t>
            </w:r>
            <w:r>
              <w:rPr>
                <w:spacing w:val="-2"/>
                <w:sz w:val="21"/>
              </w:rPr>
              <w:t>mixoide</w:t>
            </w:r>
          </w:p>
        </w:tc>
        <w:tc>
          <w:tcPr>
            <w:tcW w:w="3612" w:type="dxa"/>
            <w:tcBorders>
              <w:right w:val="nil"/>
            </w:tcBorders>
            <w:shd w:val="clear" w:color="auto" w:fill="EDECF3"/>
          </w:tcPr>
          <w:p>
            <w:pPr>
              <w:pStyle w:val="TableParagraph"/>
              <w:ind w:left="64"/>
              <w:rPr>
                <w:sz w:val="21"/>
              </w:rPr>
            </w:pPr>
            <w:r>
              <w:rPr>
                <w:w w:val="105"/>
                <w:sz w:val="21"/>
              </w:rPr>
              <w:t>Mixoma</w:t>
            </w:r>
            <w:r>
              <w:rPr>
                <w:spacing w:val="-7"/>
                <w:w w:val="105"/>
                <w:sz w:val="21"/>
              </w:rPr>
              <w:t> </w:t>
            </w:r>
            <w:r>
              <w:rPr>
                <w:spacing w:val="-2"/>
                <w:w w:val="105"/>
                <w:sz w:val="21"/>
              </w:rPr>
              <w:t>mucocutâneo</w:t>
            </w:r>
          </w:p>
        </w:tc>
      </w:tr>
      <w:tr>
        <w:trPr>
          <w:trHeight w:val="428" w:hRule="atLeast"/>
        </w:trPr>
        <w:tc>
          <w:tcPr>
            <w:tcW w:w="3516" w:type="dxa"/>
            <w:tcBorders>
              <w:left w:val="nil"/>
            </w:tcBorders>
            <w:shd w:val="clear" w:color="auto" w:fill="EDECF3"/>
          </w:tcPr>
          <w:p>
            <w:pPr>
              <w:pStyle w:val="TableParagraph"/>
              <w:ind w:left="67"/>
              <w:rPr>
                <w:sz w:val="21"/>
              </w:rPr>
            </w:pPr>
            <w:r>
              <w:rPr>
                <w:spacing w:val="2"/>
                <w:sz w:val="21"/>
              </w:rPr>
              <w:t>Hiperatividade</w:t>
            </w:r>
            <w:r>
              <w:rPr>
                <w:spacing w:val="78"/>
                <w:sz w:val="21"/>
              </w:rPr>
              <w:t> </w:t>
            </w:r>
            <w:r>
              <w:rPr>
                <w:spacing w:val="-2"/>
                <w:sz w:val="21"/>
              </w:rPr>
              <w:t>endócrina</w:t>
            </w:r>
          </w:p>
        </w:tc>
        <w:tc>
          <w:tcPr>
            <w:tcW w:w="3492" w:type="dxa"/>
            <w:shd w:val="clear" w:color="auto" w:fill="EDECF3"/>
          </w:tcPr>
          <w:p>
            <w:pPr>
              <w:pStyle w:val="TableParagraph"/>
              <w:rPr>
                <w:sz w:val="21"/>
              </w:rPr>
            </w:pPr>
            <w:r>
              <w:rPr>
                <w:spacing w:val="-2"/>
                <w:w w:val="105"/>
                <w:sz w:val="21"/>
              </w:rPr>
              <w:t>Efélides</w:t>
            </w:r>
          </w:p>
        </w:tc>
        <w:tc>
          <w:tcPr>
            <w:tcW w:w="3612" w:type="dxa"/>
            <w:tcBorders>
              <w:right w:val="nil"/>
            </w:tcBorders>
            <w:shd w:val="clear" w:color="auto" w:fill="EDECF3"/>
          </w:tcPr>
          <w:p>
            <w:pPr>
              <w:pStyle w:val="TableParagraph"/>
              <w:ind w:left="64"/>
              <w:rPr>
                <w:sz w:val="21"/>
              </w:rPr>
            </w:pPr>
            <w:r>
              <w:rPr>
                <w:w w:val="105"/>
                <w:sz w:val="21"/>
              </w:rPr>
              <w:t>Nevos</w:t>
            </w:r>
            <w:r>
              <w:rPr>
                <w:spacing w:val="15"/>
                <w:w w:val="105"/>
                <w:sz w:val="21"/>
              </w:rPr>
              <w:t> </w:t>
            </w:r>
            <w:r>
              <w:rPr>
                <w:spacing w:val="-2"/>
                <w:w w:val="105"/>
                <w:sz w:val="21"/>
              </w:rPr>
              <w:t>azulados</w:t>
            </w:r>
          </w:p>
        </w:tc>
      </w:tr>
      <w:tr>
        <w:trPr>
          <w:trHeight w:val="430" w:hRule="atLeast"/>
        </w:trPr>
        <w:tc>
          <w:tcPr>
            <w:tcW w:w="3516" w:type="dxa"/>
            <w:tcBorders>
              <w:left w:val="nil"/>
              <w:bottom w:val="nil"/>
            </w:tcBorders>
            <w:shd w:val="clear" w:color="auto" w:fill="EDECF3"/>
          </w:tcPr>
          <w:p>
            <w:pPr>
              <w:pStyle w:val="TableParagraph"/>
              <w:ind w:left="67"/>
              <w:rPr>
                <w:sz w:val="21"/>
              </w:rPr>
            </w:pPr>
            <w:r>
              <w:rPr>
                <w:w w:val="105"/>
                <w:sz w:val="21"/>
              </w:rPr>
              <w:t>Mixomas</w:t>
            </w:r>
            <w:r>
              <w:rPr>
                <w:spacing w:val="16"/>
                <w:w w:val="105"/>
                <w:sz w:val="21"/>
              </w:rPr>
              <w:t> </w:t>
            </w:r>
            <w:r>
              <w:rPr>
                <w:w w:val="105"/>
                <w:sz w:val="21"/>
              </w:rPr>
              <w:t>recorrentes</w:t>
            </w:r>
            <w:r>
              <w:rPr>
                <w:spacing w:val="16"/>
                <w:w w:val="105"/>
                <w:sz w:val="21"/>
              </w:rPr>
              <w:t> </w:t>
            </w:r>
            <w:r>
              <w:rPr>
                <w:w w:val="105"/>
                <w:sz w:val="21"/>
              </w:rPr>
              <w:t>e</w:t>
            </w:r>
            <w:r>
              <w:rPr>
                <w:spacing w:val="21"/>
                <w:w w:val="105"/>
                <w:sz w:val="21"/>
              </w:rPr>
              <w:t> </w:t>
            </w:r>
            <w:r>
              <w:rPr>
                <w:spacing w:val="-2"/>
                <w:w w:val="105"/>
                <w:sz w:val="21"/>
              </w:rPr>
              <w:t>múltiplos</w:t>
            </w:r>
          </w:p>
        </w:tc>
        <w:tc>
          <w:tcPr>
            <w:tcW w:w="3492" w:type="dxa"/>
            <w:tcBorders>
              <w:bottom w:val="nil"/>
            </w:tcBorders>
            <w:shd w:val="clear" w:color="auto" w:fill="EDECF3"/>
          </w:tcPr>
          <w:p>
            <w:pPr>
              <w:pStyle w:val="TableParagraph"/>
              <w:rPr>
                <w:sz w:val="21"/>
              </w:rPr>
            </w:pPr>
            <w:r>
              <w:rPr>
                <w:w w:val="195"/>
                <w:sz w:val="21"/>
              </w:rPr>
              <w:t>–</w:t>
            </w:r>
          </w:p>
        </w:tc>
        <w:tc>
          <w:tcPr>
            <w:tcW w:w="3612" w:type="dxa"/>
            <w:tcBorders>
              <w:bottom w:val="nil"/>
              <w:right w:val="nil"/>
            </w:tcBorders>
            <w:shd w:val="clear" w:color="auto" w:fill="EDECF3"/>
          </w:tcPr>
          <w:p>
            <w:pPr>
              <w:pStyle w:val="TableParagraph"/>
              <w:ind w:left="64"/>
              <w:rPr>
                <w:sz w:val="21"/>
              </w:rPr>
            </w:pPr>
            <w:r>
              <w:rPr>
                <w:w w:val="195"/>
                <w:sz w:val="21"/>
              </w:rPr>
              <w:t>–</w:t>
            </w:r>
          </w:p>
        </w:tc>
      </w:tr>
    </w:tbl>
    <w:p>
      <w:pPr>
        <w:spacing w:line="285" w:lineRule="auto" w:before="163"/>
        <w:ind w:left="68" w:right="809" w:firstLine="0"/>
        <w:jc w:val="left"/>
        <w:rPr>
          <w:rFonts w:ascii="Microsoft Sans Serif" w:hAnsi="Microsoft Sans Serif"/>
          <w:sz w:val="19"/>
        </w:rPr>
      </w:pPr>
      <w:r>
        <w:rPr>
          <w:rFonts w:ascii="Microsoft Sans Serif" w:hAnsi="Microsoft Sans Serif"/>
          <w:sz w:val="19"/>
        </w:rPr>
        <w:t>NAME = nevos, mixoma</w:t>
      </w:r>
      <w:r>
        <w:rPr>
          <w:rFonts w:ascii="Microsoft Sans Serif" w:hAnsi="Microsoft Sans Serif"/>
          <w:spacing w:val="22"/>
          <w:sz w:val="19"/>
        </w:rPr>
        <w:t> </w:t>
      </w:r>
      <w:r>
        <w:rPr>
          <w:rFonts w:ascii="Microsoft Sans Serif" w:hAnsi="Microsoft Sans Serif"/>
          <w:sz w:val="19"/>
        </w:rPr>
        <w:t>atrial, neurofibroma</w:t>
      </w:r>
      <w:r>
        <w:rPr>
          <w:rFonts w:ascii="Microsoft Sans Serif" w:hAnsi="Microsoft Sans Serif"/>
          <w:spacing w:val="22"/>
          <w:sz w:val="19"/>
        </w:rPr>
        <w:t> </w:t>
      </w:r>
      <w:r>
        <w:rPr>
          <w:rFonts w:ascii="Microsoft Sans Serif" w:hAnsi="Microsoft Sans Serif"/>
          <w:sz w:val="19"/>
        </w:rPr>
        <w:t>mixoide</w:t>
      </w:r>
      <w:r>
        <w:rPr>
          <w:rFonts w:ascii="Microsoft Sans Serif" w:hAnsi="Microsoft Sans Serif"/>
          <w:spacing w:val="22"/>
          <w:sz w:val="19"/>
        </w:rPr>
        <w:t> </w:t>
      </w:r>
      <w:r>
        <w:rPr>
          <w:rFonts w:ascii="Microsoft Sans Serif" w:hAnsi="Microsoft Sans Serif"/>
          <w:sz w:val="19"/>
        </w:rPr>
        <w:t>e</w:t>
      </w:r>
      <w:r>
        <w:rPr>
          <w:rFonts w:ascii="Microsoft Sans Serif" w:hAnsi="Microsoft Sans Serif"/>
          <w:spacing w:val="22"/>
          <w:sz w:val="19"/>
        </w:rPr>
        <w:t> </w:t>
      </w:r>
      <w:r>
        <w:rPr>
          <w:rFonts w:ascii="Microsoft Sans Serif" w:hAnsi="Microsoft Sans Serif"/>
          <w:sz w:val="19"/>
        </w:rPr>
        <w:t>efélides; LAMB = lentigens, mixomas atriais, mixomas mucocutâneoas e nevos azuis.</w:t>
      </w:r>
    </w:p>
    <w:p>
      <w:pPr>
        <w:pStyle w:val="BodyText"/>
        <w:spacing w:before="67"/>
        <w:ind w:left="0" w:firstLine="0"/>
        <w:jc w:val="left"/>
        <w:rPr>
          <w:rFonts w:ascii="Microsoft Sans Serif"/>
          <w:sz w:val="19"/>
        </w:rPr>
      </w:pPr>
    </w:p>
    <w:p>
      <w:pPr>
        <w:pStyle w:val="BodyText"/>
        <w:spacing w:before="0"/>
        <w:ind w:left="414" w:firstLine="0"/>
      </w:pPr>
      <w:r>
        <w:rPr/>
        <w:t>O</w:t>
      </w:r>
      <w:r>
        <w:rPr>
          <w:spacing w:val="3"/>
        </w:rPr>
        <w:t> </w:t>
      </w:r>
      <w:r>
        <w:rPr/>
        <w:t>rabdomioma</w:t>
      </w:r>
      <w:r>
        <w:rPr>
          <w:spacing w:val="5"/>
        </w:rPr>
        <w:t> </w:t>
      </w:r>
      <w:r>
        <w:rPr/>
        <w:t>é</w:t>
      </w:r>
      <w:r>
        <w:rPr>
          <w:spacing w:val="5"/>
        </w:rPr>
        <w:t> </w:t>
      </w:r>
      <w:r>
        <w:rPr/>
        <w:t>o</w:t>
      </w:r>
      <w:r>
        <w:rPr>
          <w:spacing w:val="8"/>
        </w:rPr>
        <w:t> </w:t>
      </w:r>
      <w:r>
        <w:rPr/>
        <w:t>tumor</w:t>
      </w:r>
      <w:r>
        <w:rPr>
          <w:spacing w:val="13"/>
        </w:rPr>
        <w:t> </w:t>
      </w:r>
      <w:r>
        <w:rPr/>
        <w:t>cardíaco</w:t>
      </w:r>
      <w:r>
        <w:rPr>
          <w:spacing w:val="7"/>
        </w:rPr>
        <w:t> </w:t>
      </w:r>
      <w:r>
        <w:rPr/>
        <w:t>mais</w:t>
      </w:r>
      <w:r>
        <w:rPr>
          <w:spacing w:val="16"/>
        </w:rPr>
        <w:t> </w:t>
      </w:r>
      <w:r>
        <w:rPr/>
        <w:t>frequente</w:t>
      </w:r>
      <w:r>
        <w:rPr>
          <w:spacing w:val="5"/>
        </w:rPr>
        <w:t> </w:t>
      </w:r>
      <w:r>
        <w:rPr/>
        <w:t>em</w:t>
      </w:r>
      <w:r>
        <w:rPr>
          <w:spacing w:val="8"/>
        </w:rPr>
        <w:t> </w:t>
      </w:r>
      <w:r>
        <w:rPr/>
        <w:t>crianças</w:t>
      </w:r>
      <w:r>
        <w:rPr>
          <w:spacing w:val="15"/>
        </w:rPr>
        <w:t> </w:t>
      </w:r>
      <w:r>
        <w:rPr/>
        <w:t>e,</w:t>
      </w:r>
      <w:r>
        <w:rPr>
          <w:spacing w:val="16"/>
        </w:rPr>
        <w:t> </w:t>
      </w:r>
      <w:r>
        <w:rPr/>
        <w:t>em</w:t>
      </w:r>
      <w:r>
        <w:rPr>
          <w:spacing w:val="7"/>
        </w:rPr>
        <w:t> </w:t>
      </w:r>
      <w:r>
        <w:rPr/>
        <w:t>geral,</w:t>
      </w:r>
      <w:r>
        <w:rPr>
          <w:spacing w:val="16"/>
        </w:rPr>
        <w:t> </w:t>
      </w:r>
      <w:r>
        <w:rPr/>
        <w:t>ocorre</w:t>
      </w:r>
      <w:r>
        <w:rPr>
          <w:spacing w:val="5"/>
        </w:rPr>
        <w:t> </w:t>
      </w:r>
      <w:r>
        <w:rPr/>
        <w:t>nos</w:t>
      </w:r>
      <w:r>
        <w:rPr>
          <w:spacing w:val="15"/>
        </w:rPr>
        <w:t> </w:t>
      </w:r>
      <w:r>
        <w:rPr/>
        <w:t>primeiros</w:t>
      </w:r>
      <w:r>
        <w:rPr>
          <w:spacing w:val="16"/>
        </w:rPr>
        <w:t> </w:t>
      </w:r>
      <w:r>
        <w:rPr/>
        <w:t>dias</w:t>
      </w:r>
      <w:r>
        <w:rPr>
          <w:spacing w:val="15"/>
        </w:rPr>
        <w:t> </w:t>
      </w:r>
      <w:r>
        <w:rPr/>
        <w:t>de</w:t>
      </w:r>
      <w:r>
        <w:rPr>
          <w:spacing w:val="6"/>
        </w:rPr>
        <w:t> </w:t>
      </w:r>
      <w:r>
        <w:rPr>
          <w:spacing w:val="-2"/>
        </w:rPr>
        <w:t>vida.</w:t>
      </w:r>
    </w:p>
    <w:p>
      <w:pPr>
        <w:pStyle w:val="BodyText"/>
        <w:spacing w:after="0"/>
        <w:sectPr>
          <w:pgSz w:w="11900" w:h="16840"/>
          <w:pgMar w:top="240" w:bottom="280" w:left="566" w:right="141"/>
        </w:sectPr>
      </w:pPr>
    </w:p>
    <w:p>
      <w:pPr>
        <w:pStyle w:val="BodyText"/>
        <w:spacing w:line="276" w:lineRule="auto" w:before="66"/>
        <w:ind w:right="497" w:firstLine="0"/>
      </w:pPr>
      <w:r>
        <w:rPr/>
        <w:t>Está fortemente associado à esclerose tuberosa e 50% dos pacientes com essa doença hereditária têm rabdomioma. Aproximadamente 90% dos rabdomiomas são múltiplos e ocorrem com incidência semelhante em ambos os ventrículos. Patologicamente, são tumores firmes, de cor cinza, nodulares e tendem a se projetar para dentro da cavidade ventricular.</w:t>
      </w:r>
    </w:p>
    <w:p>
      <w:pPr>
        <w:pStyle w:val="BodyText"/>
        <w:spacing w:line="276" w:lineRule="auto" w:before="66"/>
        <w:ind w:right="491"/>
      </w:pPr>
      <w:r>
        <w:rPr/>
        <w:t>O hemangioma, o teratoma e o feocromocitoma são outros tumores cardíacos benignos primários e ocorrem muito raramente.</w:t>
      </w:r>
    </w:p>
    <w:p>
      <w:pPr>
        <w:pStyle w:val="BodyText"/>
        <w:spacing w:before="133"/>
        <w:ind w:left="0" w:firstLine="0"/>
        <w:jc w:val="left"/>
      </w:pPr>
    </w:p>
    <w:p>
      <w:pPr>
        <w:pStyle w:val="Heading5"/>
        <w:spacing w:before="1"/>
      </w:pPr>
      <w:r>
        <w:rPr>
          <w:color w:val="A26108"/>
        </w:rPr>
        <w:t>Tumores</w:t>
      </w:r>
      <w:r>
        <w:rPr>
          <w:color w:val="A26108"/>
          <w:spacing w:val="27"/>
        </w:rPr>
        <w:t> </w:t>
      </w:r>
      <w:r>
        <w:rPr>
          <w:color w:val="A26108"/>
        </w:rPr>
        <w:t>malignos</w:t>
      </w:r>
      <w:r>
        <w:rPr>
          <w:color w:val="A26108"/>
          <w:spacing w:val="28"/>
        </w:rPr>
        <w:t> </w:t>
      </w:r>
      <w:r>
        <w:rPr>
          <w:color w:val="A26108"/>
          <w:spacing w:val="-2"/>
        </w:rPr>
        <w:t>primários</w:t>
      </w:r>
    </w:p>
    <w:p>
      <w:pPr>
        <w:pStyle w:val="BodyText"/>
        <w:spacing w:line="276" w:lineRule="auto" w:before="122"/>
        <w:ind w:right="491"/>
      </w:pPr>
      <w:r>
        <w:rPr/>
        <w:t>Os tumores malignos primários do coração são raros e praticamente incuráveis. Aproximadamente 75% são sarcomas e</w:t>
      </w:r>
      <w:r>
        <w:rPr>
          <w:spacing w:val="-7"/>
        </w:rPr>
        <w:t> </w:t>
      </w:r>
      <w:r>
        <w:rPr/>
        <w:t>o</w:t>
      </w:r>
      <w:r>
        <w:rPr>
          <w:spacing w:val="-4"/>
        </w:rPr>
        <w:t> </w:t>
      </w:r>
      <w:r>
        <w:rPr/>
        <w:t>angiossarcoma</w:t>
      </w:r>
      <w:r>
        <w:rPr>
          <w:spacing w:val="-7"/>
        </w:rPr>
        <w:t> </w:t>
      </w:r>
      <w:r>
        <w:rPr/>
        <w:t>é</w:t>
      </w:r>
      <w:r>
        <w:rPr>
          <w:spacing w:val="-7"/>
        </w:rPr>
        <w:t> </w:t>
      </w:r>
      <w:r>
        <w:rPr/>
        <w:t>o</w:t>
      </w:r>
      <w:r>
        <w:rPr>
          <w:spacing w:val="-4"/>
        </w:rPr>
        <w:t> </w:t>
      </w:r>
      <w:r>
        <w:rPr/>
        <w:t>mais frequente</w:t>
      </w:r>
      <w:r>
        <w:rPr>
          <w:spacing w:val="-7"/>
        </w:rPr>
        <w:t> </w:t>
      </w:r>
      <w:r>
        <w:rPr/>
        <w:t>(31%), seguido</w:t>
      </w:r>
      <w:r>
        <w:rPr>
          <w:spacing w:val="-4"/>
        </w:rPr>
        <w:t> </w:t>
      </w:r>
      <w:r>
        <w:rPr/>
        <w:t>de</w:t>
      </w:r>
      <w:r>
        <w:rPr>
          <w:spacing w:val="-7"/>
        </w:rPr>
        <w:t> </w:t>
      </w:r>
      <w:r>
        <w:rPr/>
        <w:t>rabdomiossarcoma</w:t>
      </w:r>
      <w:r>
        <w:rPr>
          <w:spacing w:val="-7"/>
        </w:rPr>
        <w:t> </w:t>
      </w:r>
      <w:r>
        <w:rPr/>
        <w:t>(21%), mesotelioma</w:t>
      </w:r>
      <w:r>
        <w:rPr>
          <w:spacing w:val="-7"/>
        </w:rPr>
        <w:t> </w:t>
      </w:r>
      <w:r>
        <w:rPr/>
        <w:t>maligno (15%) e fibrossarcoma (11%).</w:t>
      </w:r>
    </w:p>
    <w:p>
      <w:pPr>
        <w:pStyle w:val="BodyText"/>
        <w:spacing w:line="276" w:lineRule="auto" w:before="64"/>
        <w:ind w:right="501"/>
      </w:pPr>
      <w:r>
        <w:rPr/>
        <w:t>Geralmente ocorrem em adultos com faixa etária acima de 40 anos, não apresentam relação com alterações genéticas e podem ter origem em qualquer tecido cardíaco. Infelizmente podem alcançar grandes dimensões antes do diagnóstico e</w:t>
      </w:r>
      <w:r>
        <w:rPr>
          <w:spacing w:val="-3"/>
        </w:rPr>
        <w:t> </w:t>
      </w:r>
      <w:r>
        <w:rPr/>
        <w:t>envolver porções do coração que</w:t>
      </w:r>
      <w:r>
        <w:rPr>
          <w:spacing w:val="-3"/>
        </w:rPr>
        <w:t> </w:t>
      </w:r>
      <w:r>
        <w:rPr/>
        <w:t>são inabordáveis cirurgicamente.</w:t>
      </w:r>
    </w:p>
    <w:p>
      <w:pPr>
        <w:pStyle w:val="BodyText"/>
        <w:spacing w:line="276" w:lineRule="auto" w:before="49"/>
        <w:ind w:right="500"/>
      </w:pPr>
      <w:r>
        <w:rPr/>
        <w:t>Com mais frequência, as massas tumorais do átrio direito são malignas, sendo, em geral, angiossarcomas. Quando suspeitados à TC ou RM, podem sugerir a histologia e fornecer detalhes anatômicos. O diagnóstico também pode ser obtido por cateterismo cardíaco.</w:t>
      </w:r>
    </w:p>
    <w:p>
      <w:pPr>
        <w:pStyle w:val="BodyText"/>
        <w:spacing w:line="276" w:lineRule="auto" w:before="64"/>
        <w:ind w:right="491"/>
      </w:pPr>
      <w:r>
        <w:rPr/>
        <w:t>O angiossarcoma é 2 a 3 vezes mais comum em mulheres e tem predileção pelas cavidades direitas, ocorrendo em 80% dos casos no átrio direito. Esses tumores invadem agressivamente</w:t>
      </w:r>
      <w:r>
        <w:rPr>
          <w:spacing w:val="-2"/>
        </w:rPr>
        <w:t> </w:t>
      </w:r>
      <w:r>
        <w:rPr/>
        <w:t>as estruturas adjacentes, entre</w:t>
      </w:r>
      <w:r>
        <w:rPr>
          <w:spacing w:val="-2"/>
        </w:rPr>
        <w:t> </w:t>
      </w:r>
      <w:r>
        <w:rPr/>
        <w:t>as quais, valva tricúspide, parede livre do ventrículo direito, septo intraventricular e artéria coronária direita. O exame patológico</w:t>
      </w:r>
      <w:r>
        <w:rPr>
          <w:spacing w:val="-2"/>
        </w:rPr>
        <w:t> </w:t>
      </w:r>
      <w:r>
        <w:rPr/>
        <w:t>demonstra</w:t>
      </w:r>
      <w:r>
        <w:rPr>
          <w:spacing w:val="-5"/>
        </w:rPr>
        <w:t> </w:t>
      </w:r>
      <w:r>
        <w:rPr/>
        <w:t>canais vasculares anastamosados com</w:t>
      </w:r>
      <w:r>
        <w:rPr>
          <w:spacing w:val="-2"/>
        </w:rPr>
        <w:t> </w:t>
      </w:r>
      <w:r>
        <w:rPr/>
        <w:t>células epiteliais anaplásicas.</w:t>
      </w:r>
    </w:p>
    <w:p>
      <w:pPr>
        <w:pStyle w:val="BodyText"/>
        <w:spacing w:line="276" w:lineRule="auto"/>
        <w:ind w:right="501"/>
      </w:pPr>
      <w:r>
        <w:rPr/>
        <w:t>O</w:t>
      </w:r>
      <w:r>
        <w:rPr>
          <w:spacing w:val="-5"/>
        </w:rPr>
        <w:t> </w:t>
      </w:r>
      <w:r>
        <w:rPr/>
        <w:t>rabdomioma</w:t>
      </w:r>
      <w:r>
        <w:rPr>
          <w:spacing w:val="-5"/>
        </w:rPr>
        <w:t> </w:t>
      </w:r>
      <w:r>
        <w:rPr/>
        <w:t>ocorre</w:t>
      </w:r>
      <w:r>
        <w:rPr>
          <w:spacing w:val="-5"/>
        </w:rPr>
        <w:t> </w:t>
      </w:r>
      <w:r>
        <w:rPr/>
        <w:t>igualmente</w:t>
      </w:r>
      <w:r>
        <w:rPr>
          <w:spacing w:val="-5"/>
        </w:rPr>
        <w:t> </w:t>
      </w:r>
      <w:r>
        <w:rPr/>
        <w:t>em</w:t>
      </w:r>
      <w:r>
        <w:rPr>
          <w:spacing w:val="-3"/>
        </w:rPr>
        <w:t> </w:t>
      </w:r>
      <w:r>
        <w:rPr/>
        <w:t>ambos os sexos;</w:t>
      </w:r>
      <w:r>
        <w:rPr>
          <w:spacing w:val="-1"/>
        </w:rPr>
        <w:t> </w:t>
      </w:r>
      <w:r>
        <w:rPr/>
        <w:t>em</w:t>
      </w:r>
      <w:r>
        <w:rPr>
          <w:spacing w:val="-3"/>
        </w:rPr>
        <w:t> </w:t>
      </w:r>
      <w:r>
        <w:rPr/>
        <w:t>aproximadamente</w:t>
      </w:r>
      <w:r>
        <w:rPr>
          <w:spacing w:val="-5"/>
        </w:rPr>
        <w:t> </w:t>
      </w:r>
      <w:r>
        <w:rPr/>
        <w:t>60%</w:t>
      </w:r>
      <w:r>
        <w:rPr>
          <w:spacing w:val="-1"/>
        </w:rPr>
        <w:t> </w:t>
      </w:r>
      <w:r>
        <w:rPr/>
        <w:t>dos casos são</w:t>
      </w:r>
      <w:r>
        <w:rPr>
          <w:spacing w:val="-3"/>
        </w:rPr>
        <w:t> </w:t>
      </w:r>
      <w:r>
        <w:rPr/>
        <w:t>multicêntricos, acometem</w:t>
      </w:r>
      <w:r>
        <w:rPr>
          <w:spacing w:val="-10"/>
        </w:rPr>
        <w:t> </w:t>
      </w:r>
      <w:r>
        <w:rPr/>
        <w:t>ambos</w:t>
      </w:r>
      <w:r>
        <w:rPr>
          <w:spacing w:val="-2"/>
        </w:rPr>
        <w:t> </w:t>
      </w:r>
      <w:r>
        <w:rPr/>
        <w:t>os</w:t>
      </w:r>
      <w:r>
        <w:rPr>
          <w:spacing w:val="-2"/>
        </w:rPr>
        <w:t> </w:t>
      </w:r>
      <w:r>
        <w:rPr/>
        <w:t>ventrículos</w:t>
      </w:r>
      <w:r>
        <w:rPr>
          <w:spacing w:val="-2"/>
        </w:rPr>
        <w:t> </w:t>
      </w:r>
      <w:r>
        <w:rPr/>
        <w:t>e</w:t>
      </w:r>
      <w:r>
        <w:rPr>
          <w:spacing w:val="-12"/>
        </w:rPr>
        <w:t> </w:t>
      </w:r>
      <w:r>
        <w:rPr/>
        <w:t>geralmente</w:t>
      </w:r>
      <w:r>
        <w:rPr>
          <w:spacing w:val="-12"/>
        </w:rPr>
        <w:t> </w:t>
      </w:r>
      <w:r>
        <w:rPr/>
        <w:t>invadem</w:t>
      </w:r>
      <w:r>
        <w:rPr>
          <w:spacing w:val="-10"/>
        </w:rPr>
        <w:t> </w:t>
      </w:r>
      <w:r>
        <w:rPr/>
        <w:t>as</w:t>
      </w:r>
      <w:r>
        <w:rPr>
          <w:spacing w:val="-2"/>
        </w:rPr>
        <w:t> </w:t>
      </w:r>
      <w:r>
        <w:rPr/>
        <w:t>valvas</w:t>
      </w:r>
      <w:r>
        <w:rPr>
          <w:spacing w:val="-2"/>
        </w:rPr>
        <w:t> </w:t>
      </w:r>
      <w:r>
        <w:rPr/>
        <w:t>cardíacas.</w:t>
      </w:r>
      <w:r>
        <w:rPr>
          <w:spacing w:val="-2"/>
        </w:rPr>
        <w:t> </w:t>
      </w:r>
      <w:r>
        <w:rPr/>
        <w:t>São</w:t>
      </w:r>
      <w:r>
        <w:rPr>
          <w:spacing w:val="-10"/>
        </w:rPr>
        <w:t> </w:t>
      </w:r>
      <w:r>
        <w:rPr/>
        <w:t>tumores</w:t>
      </w:r>
      <w:r>
        <w:rPr>
          <w:spacing w:val="-2"/>
        </w:rPr>
        <w:t> </w:t>
      </w:r>
      <w:r>
        <w:rPr/>
        <w:t>agressivos</w:t>
      </w:r>
      <w:r>
        <w:rPr>
          <w:spacing w:val="-2"/>
        </w:rPr>
        <w:t> </w:t>
      </w:r>
      <w:r>
        <w:rPr/>
        <w:t>e</w:t>
      </w:r>
      <w:r>
        <w:rPr>
          <w:spacing w:val="-12"/>
        </w:rPr>
        <w:t> </w:t>
      </w:r>
      <w:r>
        <w:rPr/>
        <w:t>podem</w:t>
      </w:r>
      <w:r>
        <w:rPr>
          <w:spacing w:val="-10"/>
        </w:rPr>
        <w:t> </w:t>
      </w:r>
      <w:r>
        <w:rPr/>
        <w:t>invadir também o pericárdio.</w:t>
      </w:r>
    </w:p>
    <w:p>
      <w:pPr>
        <w:pStyle w:val="BodyText"/>
        <w:spacing w:line="276" w:lineRule="auto" w:before="48"/>
        <w:ind w:right="501"/>
      </w:pPr>
      <w:r>
        <w:rPr/>
        <w:t>O mesotelioma maligno origina-se do coração e pericárdio sendo o terceiro tumor maligno cardíaco mais frequente. A</w:t>
      </w:r>
      <w:r>
        <w:rPr>
          <w:spacing w:val="-2"/>
        </w:rPr>
        <w:t> </w:t>
      </w:r>
      <w:r>
        <w:rPr/>
        <w:t>histologia</w:t>
      </w:r>
      <w:r>
        <w:rPr>
          <w:spacing w:val="-2"/>
        </w:rPr>
        <w:t> </w:t>
      </w:r>
      <w:r>
        <w:rPr/>
        <w:t>pode</w:t>
      </w:r>
      <w:r>
        <w:rPr>
          <w:spacing w:val="-2"/>
        </w:rPr>
        <w:t> </w:t>
      </w:r>
      <w:r>
        <w:rPr/>
        <w:t>ser ambígua, de</w:t>
      </w:r>
      <w:r>
        <w:rPr>
          <w:spacing w:val="-2"/>
        </w:rPr>
        <w:t> </w:t>
      </w:r>
      <w:r>
        <w:rPr/>
        <w:t>difícil diferenciação e</w:t>
      </w:r>
      <w:r>
        <w:rPr>
          <w:spacing w:val="-2"/>
        </w:rPr>
        <w:t> </w:t>
      </w:r>
      <w:r>
        <w:rPr/>
        <w:t>pode</w:t>
      </w:r>
      <w:r>
        <w:rPr>
          <w:spacing w:val="-2"/>
        </w:rPr>
        <w:t> </w:t>
      </w:r>
      <w:r>
        <w:rPr/>
        <w:t>ser chamado de</w:t>
      </w:r>
      <w:r>
        <w:rPr>
          <w:spacing w:val="-2"/>
        </w:rPr>
        <w:t> </w:t>
      </w:r>
      <w:r>
        <w:rPr/>
        <w:t>histiocitoma</w:t>
      </w:r>
      <w:r>
        <w:rPr>
          <w:spacing w:val="-2"/>
        </w:rPr>
        <w:t> </w:t>
      </w:r>
      <w:r>
        <w:rPr/>
        <w:t>fibroso.</w:t>
      </w:r>
    </w:p>
    <w:p>
      <w:pPr>
        <w:pStyle w:val="BodyText"/>
        <w:spacing w:before="81"/>
        <w:ind w:left="414" w:firstLine="0"/>
      </w:pPr>
      <w:r>
        <w:rPr/>
        <w:t>Os</w:t>
      </w:r>
      <w:r>
        <w:rPr>
          <w:spacing w:val="-1"/>
        </w:rPr>
        <w:t> </w:t>
      </w:r>
      <w:r>
        <w:rPr/>
        <w:t>linfomas</w:t>
      </w:r>
      <w:r>
        <w:rPr>
          <w:spacing w:val="2"/>
        </w:rPr>
        <w:t> </w:t>
      </w:r>
      <w:r>
        <w:rPr/>
        <w:t>são</w:t>
      </w:r>
      <w:r>
        <w:rPr>
          <w:spacing w:val="-6"/>
        </w:rPr>
        <w:t> </w:t>
      </w:r>
      <w:r>
        <w:rPr/>
        <w:t>extremamente</w:t>
      </w:r>
      <w:r>
        <w:rPr>
          <w:spacing w:val="-9"/>
        </w:rPr>
        <w:t> </w:t>
      </w:r>
      <w:r>
        <w:rPr/>
        <w:t>raros,</w:t>
      </w:r>
      <w:r>
        <w:rPr>
          <w:spacing w:val="2"/>
        </w:rPr>
        <w:t> </w:t>
      </w:r>
      <w:r>
        <w:rPr/>
        <w:t>porém</w:t>
      </w:r>
      <w:r>
        <w:rPr>
          <w:spacing w:val="-6"/>
        </w:rPr>
        <w:t> </w:t>
      </w:r>
      <w:r>
        <w:rPr/>
        <w:t>a</w:t>
      </w:r>
      <w:r>
        <w:rPr>
          <w:spacing w:val="-9"/>
        </w:rPr>
        <w:t> </w:t>
      </w:r>
      <w:r>
        <w:rPr/>
        <w:t>maioria</w:t>
      </w:r>
      <w:r>
        <w:rPr>
          <w:spacing w:val="-9"/>
        </w:rPr>
        <w:t> </w:t>
      </w:r>
      <w:r>
        <w:rPr/>
        <w:t>responde</w:t>
      </w:r>
      <w:r>
        <w:rPr>
          <w:spacing w:val="-8"/>
        </w:rPr>
        <w:t> </w:t>
      </w:r>
      <w:r>
        <w:rPr/>
        <w:t>a</w:t>
      </w:r>
      <w:r>
        <w:rPr>
          <w:spacing w:val="-9"/>
        </w:rPr>
        <w:t> </w:t>
      </w:r>
      <w:r>
        <w:rPr/>
        <w:t>rádio</w:t>
      </w:r>
      <w:r>
        <w:rPr>
          <w:spacing w:val="-6"/>
        </w:rPr>
        <w:t> </w:t>
      </w:r>
      <w:r>
        <w:rPr/>
        <w:t>e</w:t>
      </w:r>
      <w:r>
        <w:rPr>
          <w:spacing w:val="-8"/>
        </w:rPr>
        <w:t> </w:t>
      </w:r>
      <w:r>
        <w:rPr>
          <w:spacing w:val="-2"/>
        </w:rPr>
        <w:t>quimioterapia.</w:t>
      </w:r>
      <w:r>
        <w:rPr>
          <w:spacing w:val="-2"/>
          <w:vertAlign w:val="superscript"/>
        </w:rPr>
        <w:t>10</w:t>
      </w:r>
    </w:p>
    <w:p>
      <w:pPr>
        <w:pStyle w:val="BodyText"/>
        <w:spacing w:before="173"/>
        <w:ind w:left="0" w:firstLine="0"/>
        <w:jc w:val="left"/>
      </w:pPr>
    </w:p>
    <w:p>
      <w:pPr>
        <w:pStyle w:val="Heading5"/>
      </w:pPr>
      <w:r>
        <w:rPr>
          <w:color w:val="A26108"/>
        </w:rPr>
        <w:t>Tumores</w:t>
      </w:r>
      <w:r>
        <w:rPr>
          <w:color w:val="A26108"/>
          <w:spacing w:val="28"/>
        </w:rPr>
        <w:t> </w:t>
      </w:r>
      <w:r>
        <w:rPr>
          <w:color w:val="A26108"/>
        </w:rPr>
        <w:t>cardíacos</w:t>
      </w:r>
      <w:r>
        <w:rPr>
          <w:color w:val="A26108"/>
          <w:spacing w:val="29"/>
        </w:rPr>
        <w:t> </w:t>
      </w:r>
      <w:r>
        <w:rPr>
          <w:color w:val="A26108"/>
          <w:spacing w:val="-2"/>
        </w:rPr>
        <w:t>secundários</w:t>
      </w:r>
    </w:p>
    <w:p>
      <w:pPr>
        <w:pStyle w:val="BodyText"/>
        <w:spacing w:line="276" w:lineRule="auto" w:before="138"/>
        <w:jc w:val="left"/>
      </w:pPr>
      <w:r>
        <w:rPr/>
        <w:t>São tumores</w:t>
      </w:r>
      <w:r>
        <w:rPr>
          <w:spacing w:val="21"/>
        </w:rPr>
        <w:t> </w:t>
      </w:r>
      <w:r>
        <w:rPr/>
        <w:t>metastáticos</w:t>
      </w:r>
      <w:r>
        <w:rPr>
          <w:spacing w:val="21"/>
        </w:rPr>
        <w:t> </w:t>
      </w:r>
      <w:r>
        <w:rPr/>
        <w:t>e,</w:t>
      </w:r>
      <w:r>
        <w:rPr>
          <w:spacing w:val="21"/>
        </w:rPr>
        <w:t> </w:t>
      </w:r>
      <w:r>
        <w:rPr/>
        <w:t>por</w:t>
      </w:r>
      <w:r>
        <w:rPr>
          <w:spacing w:val="18"/>
        </w:rPr>
        <w:t> </w:t>
      </w:r>
      <w:r>
        <w:rPr/>
        <w:t>definição,</w:t>
      </w:r>
      <w:r>
        <w:rPr>
          <w:spacing w:val="21"/>
        </w:rPr>
        <w:t> </w:t>
      </w:r>
      <w:r>
        <w:rPr/>
        <w:t>malignos.</w:t>
      </w:r>
      <w:r>
        <w:rPr>
          <w:spacing w:val="21"/>
        </w:rPr>
        <w:t> </w:t>
      </w:r>
      <w:r>
        <w:rPr/>
        <w:t>As</w:t>
      </w:r>
      <w:r>
        <w:rPr>
          <w:spacing w:val="21"/>
        </w:rPr>
        <w:t> </w:t>
      </w:r>
      <w:r>
        <w:rPr/>
        <w:t>metástases</w:t>
      </w:r>
      <w:r>
        <w:rPr>
          <w:spacing w:val="21"/>
        </w:rPr>
        <w:t> </w:t>
      </w:r>
      <w:r>
        <w:rPr/>
        <w:t>mais</w:t>
      </w:r>
      <w:r>
        <w:rPr>
          <w:spacing w:val="21"/>
        </w:rPr>
        <w:t> </w:t>
      </w:r>
      <w:r>
        <w:rPr/>
        <w:t>frequentes</w:t>
      </w:r>
      <w:r>
        <w:rPr>
          <w:spacing w:val="21"/>
        </w:rPr>
        <w:t> </w:t>
      </w:r>
      <w:r>
        <w:rPr/>
        <w:t>provêm dos</w:t>
      </w:r>
      <w:r>
        <w:rPr>
          <w:spacing w:val="21"/>
        </w:rPr>
        <w:t> </w:t>
      </w:r>
      <w:r>
        <w:rPr/>
        <w:t>cânceres</w:t>
      </w:r>
      <w:r>
        <w:rPr>
          <w:spacing w:val="21"/>
        </w:rPr>
        <w:t> </w:t>
      </w:r>
      <w:r>
        <w:rPr/>
        <w:t>de pulmão, mama, linfoma, leucemia e melanoma.</w:t>
      </w:r>
    </w:p>
    <w:p>
      <w:pPr>
        <w:pStyle w:val="BodyText"/>
        <w:spacing w:before="48"/>
        <w:ind w:left="414" w:firstLine="0"/>
        <w:jc w:val="left"/>
      </w:pPr>
      <w:r>
        <w:rPr/>
        <w:t>A</w:t>
      </w:r>
      <w:r>
        <w:rPr>
          <w:spacing w:val="-17"/>
        </w:rPr>
        <w:t> </w:t>
      </w:r>
      <w:r>
        <w:rPr/>
        <w:t>principal</w:t>
      </w:r>
      <w:r>
        <w:rPr>
          <w:spacing w:val="-9"/>
        </w:rPr>
        <w:t> </w:t>
      </w:r>
      <w:r>
        <w:rPr/>
        <w:t>via</w:t>
      </w:r>
      <w:r>
        <w:rPr>
          <w:spacing w:val="-14"/>
        </w:rPr>
        <w:t> </w:t>
      </w:r>
      <w:r>
        <w:rPr/>
        <w:t>de</w:t>
      </w:r>
      <w:r>
        <w:rPr>
          <w:spacing w:val="-14"/>
        </w:rPr>
        <w:t> </w:t>
      </w:r>
      <w:r>
        <w:rPr/>
        <w:t>disseminação</w:t>
      </w:r>
      <w:r>
        <w:rPr>
          <w:spacing w:val="-12"/>
        </w:rPr>
        <w:t> </w:t>
      </w:r>
      <w:r>
        <w:rPr/>
        <w:t>é</w:t>
      </w:r>
      <w:r>
        <w:rPr>
          <w:spacing w:val="-14"/>
        </w:rPr>
        <w:t> </w:t>
      </w:r>
      <w:r>
        <w:rPr/>
        <w:t>hematogênica</w:t>
      </w:r>
      <w:r>
        <w:rPr>
          <w:spacing w:val="-14"/>
        </w:rPr>
        <w:t> </w:t>
      </w:r>
      <w:r>
        <w:rPr/>
        <w:t>e</w:t>
      </w:r>
      <w:r>
        <w:rPr>
          <w:spacing w:val="-14"/>
        </w:rPr>
        <w:t> </w:t>
      </w:r>
      <w:r>
        <w:rPr/>
        <w:t>raramente</w:t>
      </w:r>
      <w:r>
        <w:rPr>
          <w:spacing w:val="-14"/>
        </w:rPr>
        <w:t> </w:t>
      </w:r>
      <w:r>
        <w:rPr/>
        <w:t>pelas</w:t>
      </w:r>
      <w:r>
        <w:rPr>
          <w:spacing w:val="-5"/>
        </w:rPr>
        <w:t> </w:t>
      </w:r>
      <w:r>
        <w:rPr/>
        <w:t>artérias</w:t>
      </w:r>
      <w:r>
        <w:rPr>
          <w:spacing w:val="-5"/>
        </w:rPr>
        <w:t> </w:t>
      </w:r>
      <w:r>
        <w:rPr>
          <w:spacing w:val="-2"/>
        </w:rPr>
        <w:t>coronárias.</w:t>
      </w:r>
    </w:p>
    <w:p>
      <w:pPr>
        <w:pStyle w:val="BodyText"/>
        <w:spacing w:line="276" w:lineRule="auto" w:before="104"/>
        <w:jc w:val="left"/>
      </w:pPr>
      <w:r>
        <w:rPr/>
        <w:t>As</w:t>
      </w:r>
      <w:r>
        <w:rPr>
          <w:spacing w:val="80"/>
        </w:rPr>
        <w:t> </w:t>
      </w:r>
      <w:r>
        <w:rPr/>
        <w:t>metástases</w:t>
      </w:r>
      <w:r>
        <w:rPr>
          <w:spacing w:val="80"/>
        </w:rPr>
        <w:t> </w:t>
      </w:r>
      <w:r>
        <w:rPr/>
        <w:t>também</w:t>
      </w:r>
      <w:r>
        <w:rPr>
          <w:spacing w:val="75"/>
        </w:rPr>
        <w:t> </w:t>
      </w:r>
      <w:r>
        <w:rPr/>
        <w:t>podem</w:t>
      </w:r>
      <w:r>
        <w:rPr>
          <w:spacing w:val="75"/>
        </w:rPr>
        <w:t> </w:t>
      </w:r>
      <w:r>
        <w:rPr/>
        <w:t>alcançar</w:t>
      </w:r>
      <w:r>
        <w:rPr>
          <w:spacing w:val="80"/>
        </w:rPr>
        <w:t> </w:t>
      </w:r>
      <w:r>
        <w:rPr/>
        <w:t>o</w:t>
      </w:r>
      <w:r>
        <w:rPr>
          <w:spacing w:val="75"/>
        </w:rPr>
        <w:t> </w:t>
      </w:r>
      <w:r>
        <w:rPr/>
        <w:t>coração</w:t>
      </w:r>
      <w:r>
        <w:rPr>
          <w:spacing w:val="75"/>
        </w:rPr>
        <w:t> </w:t>
      </w:r>
      <w:r>
        <w:rPr/>
        <w:t>através</w:t>
      </w:r>
      <w:r>
        <w:rPr>
          <w:spacing w:val="80"/>
        </w:rPr>
        <w:t> </w:t>
      </w:r>
      <w:r>
        <w:rPr/>
        <w:t>dos</w:t>
      </w:r>
      <w:r>
        <w:rPr>
          <w:spacing w:val="80"/>
        </w:rPr>
        <w:t> </w:t>
      </w:r>
      <w:r>
        <w:rPr/>
        <w:t>canais</w:t>
      </w:r>
      <w:r>
        <w:rPr>
          <w:spacing w:val="80"/>
        </w:rPr>
        <w:t> </w:t>
      </w:r>
      <w:r>
        <w:rPr/>
        <w:t>linfáticos</w:t>
      </w:r>
      <w:r>
        <w:rPr>
          <w:spacing w:val="80"/>
        </w:rPr>
        <w:t> </w:t>
      </w:r>
      <w:r>
        <w:rPr/>
        <w:t>e</w:t>
      </w:r>
      <w:r>
        <w:rPr>
          <w:spacing w:val="72"/>
        </w:rPr>
        <w:t> </w:t>
      </w:r>
      <w:r>
        <w:rPr/>
        <w:t>por</w:t>
      </w:r>
      <w:r>
        <w:rPr>
          <w:spacing w:val="80"/>
        </w:rPr>
        <w:t> </w:t>
      </w:r>
      <w:r>
        <w:rPr/>
        <w:t>extensão</w:t>
      </w:r>
      <w:r>
        <w:rPr>
          <w:spacing w:val="75"/>
        </w:rPr>
        <w:t> </w:t>
      </w:r>
      <w:r>
        <w:rPr/>
        <w:t>direta principalmente do câncer torácico.</w:t>
      </w:r>
    </w:p>
    <w:p>
      <w:pPr>
        <w:pStyle w:val="BodyText"/>
        <w:spacing w:before="49"/>
        <w:ind w:left="414" w:firstLine="0"/>
        <w:jc w:val="left"/>
      </w:pPr>
      <w:r>
        <w:rPr/>
        <w:t>Raramente</w:t>
      </w:r>
      <w:r>
        <w:rPr>
          <w:spacing w:val="-10"/>
        </w:rPr>
        <w:t> </w:t>
      </w:r>
      <w:r>
        <w:rPr/>
        <w:t>são</w:t>
      </w:r>
      <w:r>
        <w:rPr>
          <w:spacing w:val="-5"/>
        </w:rPr>
        <w:t> </w:t>
      </w:r>
      <w:r>
        <w:rPr/>
        <w:t>solitários</w:t>
      </w:r>
      <w:r>
        <w:rPr>
          <w:spacing w:val="3"/>
        </w:rPr>
        <w:t> </w:t>
      </w:r>
      <w:r>
        <w:rPr/>
        <w:t>e</w:t>
      </w:r>
      <w:r>
        <w:rPr>
          <w:spacing w:val="-7"/>
        </w:rPr>
        <w:t> </w:t>
      </w:r>
      <w:r>
        <w:rPr/>
        <w:t>sua</w:t>
      </w:r>
      <w:r>
        <w:rPr>
          <w:spacing w:val="-7"/>
        </w:rPr>
        <w:t> </w:t>
      </w:r>
      <w:r>
        <w:rPr/>
        <w:t>frequência</w:t>
      </w:r>
      <w:r>
        <w:rPr>
          <w:spacing w:val="-8"/>
        </w:rPr>
        <w:t> </w:t>
      </w:r>
      <w:r>
        <w:rPr/>
        <w:t>é</w:t>
      </w:r>
      <w:r>
        <w:rPr>
          <w:spacing w:val="-7"/>
        </w:rPr>
        <w:t> </w:t>
      </w:r>
      <w:r>
        <w:rPr/>
        <w:t>20</w:t>
      </w:r>
      <w:r>
        <w:rPr>
          <w:spacing w:val="-5"/>
        </w:rPr>
        <w:t> </w:t>
      </w:r>
      <w:r>
        <w:rPr/>
        <w:t>a</w:t>
      </w:r>
      <w:r>
        <w:rPr>
          <w:spacing w:val="-7"/>
        </w:rPr>
        <w:t> </w:t>
      </w:r>
      <w:r>
        <w:rPr/>
        <w:t>40</w:t>
      </w:r>
      <w:r>
        <w:rPr>
          <w:spacing w:val="-5"/>
        </w:rPr>
        <w:t> </w:t>
      </w:r>
      <w:r>
        <w:rPr/>
        <w:t>vezes</w:t>
      </w:r>
      <w:r>
        <w:rPr>
          <w:spacing w:val="3"/>
        </w:rPr>
        <w:t> </w:t>
      </w:r>
      <w:r>
        <w:rPr/>
        <w:t>maior</w:t>
      </w:r>
      <w:r>
        <w:rPr>
          <w:spacing w:val="1"/>
        </w:rPr>
        <w:t> </w:t>
      </w:r>
      <w:r>
        <w:rPr/>
        <w:t>que</w:t>
      </w:r>
      <w:r>
        <w:rPr>
          <w:spacing w:val="-8"/>
        </w:rPr>
        <w:t> </w:t>
      </w:r>
      <w:r>
        <w:rPr/>
        <w:t>o</w:t>
      </w:r>
      <w:r>
        <w:rPr>
          <w:spacing w:val="-4"/>
        </w:rPr>
        <w:t> </w:t>
      </w:r>
      <w:r>
        <w:rPr/>
        <w:t>tumor primário</w:t>
      </w:r>
      <w:r>
        <w:rPr>
          <w:spacing w:val="-5"/>
        </w:rPr>
        <w:t> </w:t>
      </w:r>
      <w:r>
        <w:rPr/>
        <w:t>do</w:t>
      </w:r>
      <w:r>
        <w:rPr>
          <w:spacing w:val="-4"/>
        </w:rPr>
        <w:t> </w:t>
      </w:r>
      <w:r>
        <w:rPr>
          <w:spacing w:val="-2"/>
        </w:rPr>
        <w:t>coração.</w:t>
      </w:r>
    </w:p>
    <w:p>
      <w:pPr>
        <w:pStyle w:val="BodyText"/>
        <w:spacing w:before="225"/>
        <w:ind w:left="0" w:firstLine="0"/>
        <w:jc w:val="left"/>
      </w:pPr>
    </w:p>
    <w:p>
      <w:pPr>
        <w:pStyle w:val="Heading4"/>
      </w:pPr>
      <w:r>
        <w:rPr>
          <w:color w:val="242B67"/>
        </w:rPr>
        <w:t>Achados </w:t>
      </w:r>
      <w:r>
        <w:rPr>
          <w:color w:val="242B67"/>
          <w:spacing w:val="-2"/>
        </w:rPr>
        <w:t>clínicos</w:t>
      </w:r>
    </w:p>
    <w:p>
      <w:pPr>
        <w:pStyle w:val="BodyText"/>
        <w:spacing w:line="276" w:lineRule="auto" w:before="148"/>
        <w:ind w:right="501"/>
      </w:pPr>
      <w:r>
        <w:rPr/>
        <w:t>As manifestações clínicas são variáveis de acordo com a topografia e o acometimento cardíaco, tanto nos tumores primários como nos secundários.</w:t>
      </w:r>
    </w:p>
    <w:p>
      <w:pPr>
        <w:pStyle w:val="BodyText"/>
        <w:spacing w:line="290" w:lineRule="auto" w:before="48"/>
        <w:ind w:right="500"/>
      </w:pPr>
      <w:r>
        <w:rPr/>
        <w:t>Os sintomas podem ser inespecíficos, tais como dispneia, emagrecimento, palpitações, dor torácica, febre, artralgia e perda de peso (</w:t>
      </w:r>
      <w:r>
        <w:rPr>
          <w:color w:val="505050"/>
        </w:rPr>
        <w:t>Tabela 62.3</w:t>
      </w:r>
      <w:r>
        <w:rPr/>
        <w:t>).</w:t>
      </w:r>
      <w:r>
        <w:rPr>
          <w:vertAlign w:val="superscript"/>
        </w:rPr>
        <w:t>19,20</w:t>
      </w:r>
    </w:p>
    <w:p>
      <w:pPr>
        <w:pStyle w:val="BodyText"/>
        <w:spacing w:line="276" w:lineRule="auto" w:before="49"/>
        <w:ind w:right="498"/>
      </w:pPr>
      <w:r>
        <w:rPr/>
        <w:t>A manifestação clínica inicial dos tumores cardíacos pode ser um fenômeno embólico. No caso dos tumores intracardíacos de</w:t>
      </w:r>
      <w:r>
        <w:rPr>
          <w:spacing w:val="-2"/>
        </w:rPr>
        <w:t> </w:t>
      </w:r>
      <w:r>
        <w:rPr/>
        <w:t>cavidades esquerdas, estes acarretarão uma</w:t>
      </w:r>
      <w:r>
        <w:rPr>
          <w:spacing w:val="-2"/>
        </w:rPr>
        <w:t> </w:t>
      </w:r>
      <w:r>
        <w:rPr/>
        <w:t>embolização para</w:t>
      </w:r>
      <w:r>
        <w:rPr>
          <w:spacing w:val="-2"/>
        </w:rPr>
        <w:t> </w:t>
      </w:r>
      <w:r>
        <w:rPr/>
        <w:t>a</w:t>
      </w:r>
      <w:r>
        <w:rPr>
          <w:spacing w:val="-2"/>
        </w:rPr>
        <w:t> </w:t>
      </w:r>
      <w:r>
        <w:rPr/>
        <w:t>circulação sistêmica, enquanto os localizados à direita provocarão embolização para a circulação pulmonar. Podem ocorrer variações no caso de </w:t>
      </w:r>
      <w:r>
        <w:rPr>
          <w:i/>
        </w:rPr>
        <w:t>shunts </w:t>
      </w:r>
      <w:r>
        <w:rPr/>
        <w:t>cardíacos.</w:t>
      </w:r>
    </w:p>
    <w:p>
      <w:pPr>
        <w:pStyle w:val="BodyText"/>
        <w:spacing w:line="276" w:lineRule="auto" w:before="48"/>
        <w:ind w:right="500"/>
      </w:pPr>
      <w:r>
        <w:rPr/>
        <w:t>Os tumores cardíacos também podem se apresentar na forma de distúrbios do ritmo ou de condução. As arritmias variam de fibrilação atrial até arritmias ventriculares complexas.</w:t>
      </w:r>
    </w:p>
    <w:p>
      <w:pPr>
        <w:pStyle w:val="BodyText"/>
        <w:spacing w:after="0" w:line="276" w:lineRule="auto"/>
        <w:sectPr>
          <w:pgSz w:w="11900" w:h="16840"/>
          <w:pgMar w:top="220" w:bottom="280" w:left="566" w:right="141"/>
        </w:sectPr>
      </w:pPr>
    </w:p>
    <w:p>
      <w:pPr>
        <w:pStyle w:val="BodyText"/>
        <w:spacing w:line="276" w:lineRule="auto" w:before="66"/>
        <w:ind w:right="488"/>
      </w:pPr>
      <w:r>
        <w:rPr/>
        <w:t>Os tumores do átrio esquerdo, que na maioria das vezes são mixomas, provocam quadros de insuficiência cardíaca esquerda, que se manifestam com dispneia, ortopneia, dispneia paroxística noturna e tosse. Os de átrio direito, por outro lado, provocam sintomas de insuficiência cardíaca direita, como estase jugular, ascite, hepatomegalia e pulso venoso amplo.</w:t>
      </w:r>
    </w:p>
    <w:p>
      <w:pPr>
        <w:pStyle w:val="BodyText"/>
        <w:spacing w:line="276" w:lineRule="auto"/>
        <w:ind w:right="500"/>
      </w:pPr>
      <w:r>
        <w:rPr/>
        <w:t>Com relação ao exame físico pode-se encontrar sopro sistólico ou diastólico em mais de 50% dos casos, dependendo</w:t>
      </w:r>
      <w:r>
        <w:rPr>
          <w:spacing w:val="-3"/>
        </w:rPr>
        <w:t> </w:t>
      </w:r>
      <w:r>
        <w:rPr/>
        <w:t>do</w:t>
      </w:r>
      <w:r>
        <w:rPr>
          <w:spacing w:val="-3"/>
        </w:rPr>
        <w:t> </w:t>
      </w:r>
      <w:r>
        <w:rPr/>
        <w:t>tamanho, da</w:t>
      </w:r>
      <w:r>
        <w:rPr>
          <w:spacing w:val="-5"/>
        </w:rPr>
        <w:t> </w:t>
      </w:r>
      <w:r>
        <w:rPr/>
        <w:t>localização</w:t>
      </w:r>
      <w:r>
        <w:rPr>
          <w:spacing w:val="-3"/>
        </w:rPr>
        <w:t> </w:t>
      </w:r>
      <w:r>
        <w:rPr/>
        <w:t>e</w:t>
      </w:r>
      <w:r>
        <w:rPr>
          <w:spacing w:val="-5"/>
        </w:rPr>
        <w:t> </w:t>
      </w:r>
      <w:r>
        <w:rPr/>
        <w:t>mobilidade</w:t>
      </w:r>
      <w:r>
        <w:rPr>
          <w:spacing w:val="-5"/>
        </w:rPr>
        <w:t> </w:t>
      </w:r>
      <w:r>
        <w:rPr/>
        <w:t>do</w:t>
      </w:r>
      <w:r>
        <w:rPr>
          <w:spacing w:val="-3"/>
        </w:rPr>
        <w:t> </w:t>
      </w:r>
      <w:r>
        <w:rPr/>
        <w:t>tumor e, geralmente, da</w:t>
      </w:r>
      <w:r>
        <w:rPr>
          <w:spacing w:val="-5"/>
        </w:rPr>
        <w:t> </w:t>
      </w:r>
      <w:r>
        <w:rPr/>
        <w:t>posição</w:t>
      </w:r>
      <w:r>
        <w:rPr>
          <w:spacing w:val="-3"/>
        </w:rPr>
        <w:t> </w:t>
      </w:r>
      <w:r>
        <w:rPr/>
        <w:t>do</w:t>
      </w:r>
      <w:r>
        <w:rPr>
          <w:spacing w:val="-3"/>
        </w:rPr>
        <w:t> </w:t>
      </w:r>
      <w:r>
        <w:rPr/>
        <w:t>corpo.</w:t>
      </w:r>
    </w:p>
    <w:p>
      <w:pPr>
        <w:pStyle w:val="BodyText"/>
        <w:spacing w:line="290" w:lineRule="auto" w:before="48"/>
        <w:ind w:right="488"/>
      </w:pPr>
      <w:r>
        <w:rPr/>
        <w:t>Pacientes com mixoma cardíaco podem desenvolver a síndrome mixoma ou síndrome de Carney, que consiste na</w:t>
      </w:r>
      <w:r>
        <w:rPr>
          <w:spacing w:val="-5"/>
        </w:rPr>
        <w:t> </w:t>
      </w:r>
      <w:r>
        <w:rPr/>
        <w:t>presença</w:t>
      </w:r>
      <w:r>
        <w:rPr>
          <w:spacing w:val="-5"/>
        </w:rPr>
        <w:t> </w:t>
      </w:r>
      <w:r>
        <w:rPr/>
        <w:t>de</w:t>
      </w:r>
      <w:r>
        <w:rPr>
          <w:spacing w:val="-5"/>
        </w:rPr>
        <w:t> </w:t>
      </w:r>
      <w:r>
        <w:rPr/>
        <w:t>mixoma</w:t>
      </w:r>
      <w:r>
        <w:rPr>
          <w:spacing w:val="-5"/>
        </w:rPr>
        <w:t> </w:t>
      </w:r>
      <w:r>
        <w:rPr/>
        <w:t>em</w:t>
      </w:r>
      <w:r>
        <w:rPr>
          <w:spacing w:val="-2"/>
        </w:rPr>
        <w:t> </w:t>
      </w:r>
      <w:r>
        <w:rPr/>
        <w:t>outras áreas, como</w:t>
      </w:r>
      <w:r>
        <w:rPr>
          <w:spacing w:val="-2"/>
        </w:rPr>
        <w:t> </w:t>
      </w:r>
      <w:r>
        <w:rPr/>
        <w:t>mamas ou</w:t>
      </w:r>
      <w:r>
        <w:rPr>
          <w:spacing w:val="-2"/>
        </w:rPr>
        <w:t> </w:t>
      </w:r>
      <w:r>
        <w:rPr/>
        <w:t>pele, pigmentação</w:t>
      </w:r>
      <w:r>
        <w:rPr>
          <w:spacing w:val="-2"/>
        </w:rPr>
        <w:t> </w:t>
      </w:r>
      <w:r>
        <w:rPr/>
        <w:t>cutânea</w:t>
      </w:r>
      <w:r>
        <w:rPr>
          <w:spacing w:val="-5"/>
        </w:rPr>
        <w:t> </w:t>
      </w:r>
      <w:r>
        <w:rPr/>
        <w:t>e</w:t>
      </w:r>
      <w:r>
        <w:rPr>
          <w:spacing w:val="-5"/>
        </w:rPr>
        <w:t> </w:t>
      </w:r>
      <w:r>
        <w:rPr/>
        <w:t>alterações endócrinas.</w:t>
      </w:r>
      <w:r>
        <w:rPr>
          <w:vertAlign w:val="superscript"/>
        </w:rPr>
        <w:t>21</w:t>
      </w:r>
    </w:p>
    <w:p>
      <w:pPr>
        <w:pStyle w:val="BodyText"/>
        <w:spacing w:before="170"/>
        <w:ind w:left="0" w:firstLine="0"/>
        <w:jc w:val="left"/>
      </w:pPr>
    </w:p>
    <w:p>
      <w:pPr>
        <w:pStyle w:val="Heading4"/>
      </w:pPr>
      <w:r>
        <w:rPr>
          <w:color w:val="242B67"/>
          <w:spacing w:val="-2"/>
        </w:rPr>
        <w:t>Diagnóstico</w:t>
      </w:r>
    </w:p>
    <w:p>
      <w:pPr>
        <w:pStyle w:val="Heading5"/>
        <w:spacing w:before="193"/>
      </w:pPr>
      <w:r>
        <w:rPr>
          <w:color w:val="A26108"/>
        </w:rPr>
        <w:t>Achados</w:t>
      </w:r>
      <w:r>
        <w:rPr>
          <w:color w:val="A26108"/>
          <w:spacing w:val="27"/>
        </w:rPr>
        <w:t> </w:t>
      </w:r>
      <w:r>
        <w:rPr>
          <w:color w:val="A26108"/>
          <w:spacing w:val="-2"/>
        </w:rPr>
        <w:t>laboratoriais</w:t>
      </w:r>
    </w:p>
    <w:p>
      <w:pPr>
        <w:pStyle w:val="BodyText"/>
        <w:spacing w:line="280" w:lineRule="auto" w:before="138"/>
        <w:ind w:right="488"/>
      </w:pPr>
      <w:r>
        <w:rPr/>
        <w:t>Anemia, geralmente normocrômica ou hipocrômica. A anemia hemolítica pode ser encontrada devido à destruição mecânica dos eritrócitos pelo tumor; velocidade de hemossedimentação aumentada, proteína C reativa aumentada, hipergamaglobulinemia e alteração plaquetária, sugerindo processo infeccioso, como endocardite ou doença</w:t>
      </w:r>
      <w:r>
        <w:rPr>
          <w:spacing w:val="-3"/>
        </w:rPr>
        <w:t> </w:t>
      </w:r>
      <w:r>
        <w:rPr/>
        <w:t>reumática</w:t>
      </w:r>
      <w:r>
        <w:rPr>
          <w:spacing w:val="-3"/>
        </w:rPr>
        <w:t> </w:t>
      </w:r>
      <w:r>
        <w:rPr/>
        <w:t>ou distúrbios imunológicos, como artrite</w:t>
      </w:r>
      <w:r>
        <w:rPr>
          <w:spacing w:val="-3"/>
        </w:rPr>
        <w:t> </w:t>
      </w:r>
      <w:r>
        <w:rPr/>
        <w:t>reumatoide, vasculite</w:t>
      </w:r>
      <w:r>
        <w:rPr>
          <w:spacing w:val="-3"/>
        </w:rPr>
        <w:t> </w:t>
      </w:r>
      <w:r>
        <w:rPr/>
        <w:t>ou doença</w:t>
      </w:r>
      <w:r>
        <w:rPr>
          <w:spacing w:val="-3"/>
        </w:rPr>
        <w:t> </w:t>
      </w:r>
      <w:r>
        <w:rPr/>
        <w:t>do colágeno.</w:t>
      </w:r>
      <w:r>
        <w:rPr>
          <w:vertAlign w:val="superscript"/>
        </w:rPr>
        <w:t>22</w:t>
      </w:r>
    </w:p>
    <w:p>
      <w:pPr>
        <w:pStyle w:val="BodyText"/>
        <w:spacing w:before="129"/>
        <w:ind w:left="0" w:firstLine="0"/>
        <w:jc w:val="left"/>
      </w:pPr>
    </w:p>
    <w:p>
      <w:pPr>
        <w:pStyle w:val="Heading5"/>
      </w:pPr>
      <w:r>
        <w:rPr>
          <w:color w:val="A26108"/>
          <w:spacing w:val="-2"/>
        </w:rPr>
        <w:t>Eletrocardiograma</w:t>
      </w:r>
    </w:p>
    <w:p>
      <w:pPr>
        <w:pStyle w:val="BodyText"/>
        <w:spacing w:line="276" w:lineRule="auto" w:before="122"/>
        <w:ind w:right="491"/>
      </w:pPr>
      <w:r>
        <w:rPr/>
        <w:t>Os achados são</w:t>
      </w:r>
      <w:r>
        <w:rPr>
          <w:spacing w:val="-5"/>
        </w:rPr>
        <w:t> </w:t>
      </w:r>
      <w:r>
        <w:rPr/>
        <w:t>inespecíficos. Podem</w:t>
      </w:r>
      <w:r>
        <w:rPr>
          <w:spacing w:val="-5"/>
        </w:rPr>
        <w:t> </w:t>
      </w:r>
      <w:r>
        <w:rPr/>
        <w:t>refletir alterações hemodinâmicas causadas pelo</w:t>
      </w:r>
      <w:r>
        <w:rPr>
          <w:spacing w:val="-5"/>
        </w:rPr>
        <w:t> </w:t>
      </w:r>
      <w:r>
        <w:rPr/>
        <w:t>tumor, as quais resultam em sobrecarga atrial ou ventricular. O ritmo geralmente é sinusal, mas pode haver distúrbio do ritmo, arritmias supraventriculares e</w:t>
      </w:r>
      <w:r>
        <w:rPr>
          <w:spacing w:val="-2"/>
        </w:rPr>
        <w:t> </w:t>
      </w:r>
      <w:r>
        <w:rPr/>
        <w:t>ventriculares, nos casos de</w:t>
      </w:r>
      <w:r>
        <w:rPr>
          <w:spacing w:val="-2"/>
        </w:rPr>
        <w:t> </w:t>
      </w:r>
      <w:r>
        <w:rPr/>
        <w:t>tumores atriais e</w:t>
      </w:r>
      <w:r>
        <w:rPr>
          <w:spacing w:val="-2"/>
        </w:rPr>
        <w:t> </w:t>
      </w:r>
      <w:r>
        <w:rPr/>
        <w:t>ventriculares, respectivamente.</w:t>
      </w:r>
    </w:p>
    <w:p>
      <w:pPr>
        <w:pStyle w:val="BodyText"/>
        <w:spacing w:before="134"/>
        <w:ind w:left="0" w:firstLine="0"/>
        <w:jc w:val="left"/>
      </w:pPr>
    </w:p>
    <w:p>
      <w:pPr>
        <w:pStyle w:val="Heading5"/>
      </w:pPr>
      <w:r>
        <w:rPr>
          <w:color w:val="A26108"/>
        </w:rPr>
        <w:t>Radiografia</w:t>
      </w:r>
      <w:r>
        <w:rPr>
          <w:color w:val="A26108"/>
          <w:spacing w:val="22"/>
        </w:rPr>
        <w:t> </w:t>
      </w:r>
      <w:r>
        <w:rPr>
          <w:color w:val="A26108"/>
        </w:rPr>
        <w:t>de</w:t>
      </w:r>
      <w:r>
        <w:rPr>
          <w:color w:val="A26108"/>
          <w:spacing w:val="22"/>
        </w:rPr>
        <w:t> </w:t>
      </w:r>
      <w:r>
        <w:rPr>
          <w:color w:val="A26108"/>
          <w:spacing w:val="-2"/>
        </w:rPr>
        <w:t>tórax</w:t>
      </w:r>
    </w:p>
    <w:p>
      <w:pPr>
        <w:pStyle w:val="BodyText"/>
        <w:spacing w:line="276" w:lineRule="auto" w:before="138"/>
        <w:ind w:right="491"/>
      </w:pPr>
      <w:r>
        <w:rPr/>
        <w:t>Pode mostrar variações que vão do normal até alterações da trama vascular pulmonar, como congestão venocapilar ou detecção de</w:t>
      </w:r>
      <w:r>
        <w:rPr>
          <w:spacing w:val="-2"/>
        </w:rPr>
        <w:t> </w:t>
      </w:r>
      <w:r>
        <w:rPr/>
        <w:t>massa</w:t>
      </w:r>
      <w:r>
        <w:rPr>
          <w:spacing w:val="-2"/>
        </w:rPr>
        <w:t> </w:t>
      </w:r>
      <w:r>
        <w:rPr/>
        <w:t>relacionada</w:t>
      </w:r>
      <w:r>
        <w:rPr>
          <w:spacing w:val="-2"/>
        </w:rPr>
        <w:t> </w:t>
      </w:r>
      <w:r>
        <w:rPr/>
        <w:t>com a</w:t>
      </w:r>
      <w:r>
        <w:rPr>
          <w:spacing w:val="-2"/>
        </w:rPr>
        <w:t> </w:t>
      </w:r>
      <w:r>
        <w:rPr/>
        <w:t>área</w:t>
      </w:r>
      <w:r>
        <w:rPr>
          <w:spacing w:val="-2"/>
        </w:rPr>
        <w:t> </w:t>
      </w:r>
      <w:r>
        <w:rPr/>
        <w:t>cardíaca.</w:t>
      </w:r>
    </w:p>
    <w:p>
      <w:pPr>
        <w:pStyle w:val="BodyText"/>
        <w:spacing w:before="87"/>
        <w:ind w:left="0" w:firstLine="0"/>
        <w:jc w:val="left"/>
      </w:pPr>
    </w:p>
    <w:p>
      <w:pPr>
        <w:pStyle w:val="BodyText"/>
        <w:spacing w:before="0"/>
        <w:ind w:firstLine="0"/>
        <w:jc w:val="left"/>
        <w:rPr>
          <w:rFonts w:ascii="Microsoft Sans Serif" w:hAnsi="Microsoft Sans Serif"/>
        </w:rPr>
      </w:pPr>
      <w:r>
        <w:rPr>
          <w:rFonts w:ascii="Arial" w:hAnsi="Arial"/>
          <w:b/>
          <w:color w:val="242B67"/>
        </w:rPr>
        <w:t>Tabela 62.3 </w:t>
      </w:r>
      <w:r>
        <w:rPr>
          <w:rFonts w:ascii="Microsoft Sans Serif" w:hAnsi="Microsoft Sans Serif"/>
        </w:rPr>
        <w:t>Sintomas</w:t>
      </w:r>
      <w:r>
        <w:rPr>
          <w:rFonts w:ascii="Microsoft Sans Serif" w:hAnsi="Microsoft Sans Serif"/>
          <w:spacing w:val="-1"/>
        </w:rPr>
        <w:t> </w:t>
      </w:r>
      <w:r>
        <w:rPr>
          <w:rFonts w:ascii="Microsoft Sans Serif" w:hAnsi="Microsoft Sans Serif"/>
        </w:rPr>
        <w:t>mais frequentes</w:t>
      </w:r>
      <w:r>
        <w:rPr>
          <w:rFonts w:ascii="Microsoft Sans Serif" w:hAnsi="Microsoft Sans Serif"/>
          <w:spacing w:val="-1"/>
        </w:rPr>
        <w:t> </w:t>
      </w:r>
      <w:r>
        <w:rPr>
          <w:rFonts w:ascii="Microsoft Sans Serif" w:hAnsi="Microsoft Sans Serif"/>
        </w:rPr>
        <w:t>dos tumores do</w:t>
      </w:r>
      <w:r>
        <w:rPr>
          <w:rFonts w:ascii="Microsoft Sans Serif" w:hAnsi="Microsoft Sans Serif"/>
          <w:spacing w:val="2"/>
        </w:rPr>
        <w:t> </w:t>
      </w:r>
      <w:r>
        <w:rPr>
          <w:rFonts w:ascii="Microsoft Sans Serif" w:hAnsi="Microsoft Sans Serif"/>
          <w:spacing w:val="-2"/>
        </w:rPr>
        <w:t>coração.</w:t>
      </w:r>
    </w:p>
    <w:p>
      <w:pPr>
        <w:pStyle w:val="BodyText"/>
        <w:spacing w:before="1" w:after="1"/>
        <w:ind w:left="0" w:firstLine="0"/>
        <w:jc w:val="left"/>
        <w:rPr>
          <w:rFonts w:ascii="Microsoft Sans Serif"/>
          <w:sz w:val="14"/>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5309"/>
        <w:gridCol w:w="5309"/>
      </w:tblGrid>
      <w:tr>
        <w:trPr>
          <w:trHeight w:val="430" w:hRule="atLeast"/>
        </w:trPr>
        <w:tc>
          <w:tcPr>
            <w:tcW w:w="5309" w:type="dxa"/>
            <w:tcBorders>
              <w:top w:val="nil"/>
              <w:left w:val="nil"/>
            </w:tcBorders>
            <w:shd w:val="clear" w:color="auto" w:fill="242B67"/>
          </w:tcPr>
          <w:p>
            <w:pPr>
              <w:pStyle w:val="TableParagraph"/>
              <w:spacing w:before="91"/>
              <w:ind w:left="67"/>
              <w:rPr>
                <w:rFonts w:ascii="Arial"/>
                <w:b/>
                <w:sz w:val="21"/>
              </w:rPr>
            </w:pPr>
            <w:r>
              <w:rPr>
                <w:rFonts w:ascii="Arial"/>
                <w:b/>
                <w:color w:val="FFFFFF"/>
                <w:spacing w:val="-2"/>
                <w:w w:val="105"/>
                <w:sz w:val="21"/>
              </w:rPr>
              <w:t>Sintoma</w:t>
            </w:r>
          </w:p>
        </w:tc>
        <w:tc>
          <w:tcPr>
            <w:tcW w:w="5309" w:type="dxa"/>
            <w:tcBorders>
              <w:top w:val="nil"/>
              <w:right w:val="nil"/>
            </w:tcBorders>
            <w:shd w:val="clear" w:color="auto" w:fill="242B67"/>
          </w:tcPr>
          <w:p>
            <w:pPr>
              <w:pStyle w:val="TableParagraph"/>
              <w:spacing w:before="91"/>
              <w:ind w:left="66"/>
              <w:rPr>
                <w:rFonts w:ascii="Arial"/>
                <w:b/>
                <w:sz w:val="21"/>
              </w:rPr>
            </w:pPr>
            <w:r>
              <w:rPr>
                <w:rFonts w:ascii="Arial"/>
                <w:b/>
                <w:color w:val="FFFFFF"/>
                <w:sz w:val="21"/>
              </w:rPr>
              <w:t>Percentual</w:t>
            </w:r>
            <w:r>
              <w:rPr>
                <w:rFonts w:ascii="Arial"/>
                <w:b/>
                <w:color w:val="FFFFFF"/>
                <w:spacing w:val="59"/>
                <w:sz w:val="21"/>
              </w:rPr>
              <w:t> </w:t>
            </w:r>
            <w:r>
              <w:rPr>
                <w:rFonts w:ascii="Arial"/>
                <w:b/>
                <w:color w:val="FFFFFF"/>
                <w:spacing w:val="-5"/>
                <w:sz w:val="21"/>
              </w:rPr>
              <w:t>(%)</w:t>
            </w:r>
          </w:p>
        </w:tc>
      </w:tr>
      <w:tr>
        <w:trPr>
          <w:trHeight w:val="428" w:hRule="atLeast"/>
        </w:trPr>
        <w:tc>
          <w:tcPr>
            <w:tcW w:w="5309" w:type="dxa"/>
            <w:tcBorders>
              <w:left w:val="nil"/>
            </w:tcBorders>
            <w:shd w:val="clear" w:color="auto" w:fill="EDECF3"/>
          </w:tcPr>
          <w:p>
            <w:pPr>
              <w:pStyle w:val="TableParagraph"/>
              <w:ind w:left="67"/>
              <w:rPr>
                <w:sz w:val="21"/>
              </w:rPr>
            </w:pPr>
            <w:r>
              <w:rPr>
                <w:spacing w:val="-2"/>
                <w:w w:val="105"/>
                <w:sz w:val="21"/>
              </w:rPr>
              <w:t>Dispneia</w:t>
            </w:r>
          </w:p>
        </w:tc>
        <w:tc>
          <w:tcPr>
            <w:tcW w:w="5309" w:type="dxa"/>
            <w:tcBorders>
              <w:right w:val="nil"/>
            </w:tcBorders>
            <w:shd w:val="clear" w:color="auto" w:fill="EDECF3"/>
          </w:tcPr>
          <w:p>
            <w:pPr>
              <w:pStyle w:val="TableParagraph"/>
              <w:ind w:left="66"/>
              <w:rPr>
                <w:sz w:val="21"/>
              </w:rPr>
            </w:pPr>
            <w:r>
              <w:rPr>
                <w:spacing w:val="-5"/>
                <w:w w:val="105"/>
                <w:sz w:val="21"/>
              </w:rPr>
              <w:t>57</w:t>
            </w:r>
          </w:p>
        </w:tc>
      </w:tr>
      <w:tr>
        <w:trPr>
          <w:trHeight w:val="428" w:hRule="atLeast"/>
        </w:trPr>
        <w:tc>
          <w:tcPr>
            <w:tcW w:w="5309" w:type="dxa"/>
            <w:tcBorders>
              <w:left w:val="nil"/>
            </w:tcBorders>
            <w:shd w:val="clear" w:color="auto" w:fill="EDECF3"/>
          </w:tcPr>
          <w:p>
            <w:pPr>
              <w:pStyle w:val="TableParagraph"/>
              <w:ind w:left="67"/>
              <w:rPr>
                <w:sz w:val="21"/>
              </w:rPr>
            </w:pPr>
            <w:r>
              <w:rPr>
                <w:spacing w:val="-2"/>
                <w:w w:val="105"/>
                <w:sz w:val="21"/>
              </w:rPr>
              <w:t>Palpitação</w:t>
            </w:r>
          </w:p>
        </w:tc>
        <w:tc>
          <w:tcPr>
            <w:tcW w:w="5309" w:type="dxa"/>
            <w:tcBorders>
              <w:right w:val="nil"/>
            </w:tcBorders>
            <w:shd w:val="clear" w:color="auto" w:fill="EDECF3"/>
          </w:tcPr>
          <w:p>
            <w:pPr>
              <w:pStyle w:val="TableParagraph"/>
              <w:ind w:left="66"/>
              <w:rPr>
                <w:sz w:val="21"/>
              </w:rPr>
            </w:pPr>
            <w:r>
              <w:rPr>
                <w:spacing w:val="-5"/>
                <w:w w:val="105"/>
                <w:sz w:val="21"/>
              </w:rPr>
              <w:t>25</w:t>
            </w:r>
          </w:p>
        </w:tc>
      </w:tr>
      <w:tr>
        <w:trPr>
          <w:trHeight w:val="428" w:hRule="atLeast"/>
        </w:trPr>
        <w:tc>
          <w:tcPr>
            <w:tcW w:w="5309" w:type="dxa"/>
            <w:tcBorders>
              <w:left w:val="nil"/>
            </w:tcBorders>
            <w:shd w:val="clear" w:color="auto" w:fill="EDECF3"/>
          </w:tcPr>
          <w:p>
            <w:pPr>
              <w:pStyle w:val="TableParagraph"/>
              <w:ind w:left="67"/>
              <w:rPr>
                <w:sz w:val="21"/>
              </w:rPr>
            </w:pPr>
            <w:r>
              <w:rPr>
                <w:spacing w:val="-2"/>
                <w:w w:val="105"/>
                <w:sz w:val="21"/>
              </w:rPr>
              <w:t>Emagrecimento</w:t>
            </w:r>
          </w:p>
        </w:tc>
        <w:tc>
          <w:tcPr>
            <w:tcW w:w="5309" w:type="dxa"/>
            <w:tcBorders>
              <w:right w:val="nil"/>
            </w:tcBorders>
            <w:shd w:val="clear" w:color="auto" w:fill="EDECF3"/>
          </w:tcPr>
          <w:p>
            <w:pPr>
              <w:pStyle w:val="TableParagraph"/>
              <w:ind w:left="66"/>
              <w:rPr>
                <w:sz w:val="21"/>
              </w:rPr>
            </w:pPr>
            <w:r>
              <w:rPr>
                <w:spacing w:val="-5"/>
                <w:w w:val="105"/>
                <w:sz w:val="21"/>
              </w:rPr>
              <w:t>18</w:t>
            </w:r>
          </w:p>
        </w:tc>
      </w:tr>
      <w:tr>
        <w:trPr>
          <w:trHeight w:val="428" w:hRule="atLeast"/>
        </w:trPr>
        <w:tc>
          <w:tcPr>
            <w:tcW w:w="5309" w:type="dxa"/>
            <w:tcBorders>
              <w:left w:val="nil"/>
            </w:tcBorders>
            <w:shd w:val="clear" w:color="auto" w:fill="EDECF3"/>
          </w:tcPr>
          <w:p>
            <w:pPr>
              <w:pStyle w:val="TableParagraph"/>
              <w:ind w:left="67"/>
              <w:rPr>
                <w:sz w:val="21"/>
              </w:rPr>
            </w:pPr>
            <w:r>
              <w:rPr>
                <w:spacing w:val="-2"/>
                <w:w w:val="105"/>
                <w:sz w:val="21"/>
              </w:rPr>
              <w:t>Angina</w:t>
            </w:r>
          </w:p>
        </w:tc>
        <w:tc>
          <w:tcPr>
            <w:tcW w:w="5309" w:type="dxa"/>
            <w:tcBorders>
              <w:right w:val="nil"/>
            </w:tcBorders>
            <w:shd w:val="clear" w:color="auto" w:fill="EDECF3"/>
          </w:tcPr>
          <w:p>
            <w:pPr>
              <w:pStyle w:val="TableParagraph"/>
              <w:ind w:left="66"/>
              <w:rPr>
                <w:sz w:val="21"/>
              </w:rPr>
            </w:pPr>
            <w:r>
              <w:rPr>
                <w:spacing w:val="-5"/>
                <w:w w:val="105"/>
                <w:sz w:val="21"/>
              </w:rPr>
              <w:t>15</w:t>
            </w:r>
          </w:p>
        </w:tc>
      </w:tr>
      <w:tr>
        <w:trPr>
          <w:trHeight w:val="428" w:hRule="atLeast"/>
        </w:trPr>
        <w:tc>
          <w:tcPr>
            <w:tcW w:w="5309" w:type="dxa"/>
            <w:tcBorders>
              <w:left w:val="nil"/>
            </w:tcBorders>
            <w:shd w:val="clear" w:color="auto" w:fill="EDECF3"/>
          </w:tcPr>
          <w:p>
            <w:pPr>
              <w:pStyle w:val="TableParagraph"/>
              <w:ind w:left="67"/>
              <w:rPr>
                <w:sz w:val="21"/>
              </w:rPr>
            </w:pPr>
            <w:r>
              <w:rPr>
                <w:spacing w:val="-2"/>
                <w:sz w:val="21"/>
              </w:rPr>
              <w:t>Embolia</w:t>
            </w:r>
          </w:p>
        </w:tc>
        <w:tc>
          <w:tcPr>
            <w:tcW w:w="5309" w:type="dxa"/>
            <w:tcBorders>
              <w:right w:val="nil"/>
            </w:tcBorders>
            <w:shd w:val="clear" w:color="auto" w:fill="EDECF3"/>
          </w:tcPr>
          <w:p>
            <w:pPr>
              <w:pStyle w:val="TableParagraph"/>
              <w:ind w:left="66"/>
              <w:rPr>
                <w:sz w:val="21"/>
              </w:rPr>
            </w:pPr>
            <w:r>
              <w:rPr>
                <w:spacing w:val="-5"/>
                <w:w w:val="105"/>
                <w:sz w:val="21"/>
              </w:rPr>
              <w:t>14</w:t>
            </w:r>
          </w:p>
        </w:tc>
      </w:tr>
      <w:tr>
        <w:trPr>
          <w:trHeight w:val="428" w:hRule="atLeast"/>
        </w:trPr>
        <w:tc>
          <w:tcPr>
            <w:tcW w:w="5309" w:type="dxa"/>
            <w:tcBorders>
              <w:left w:val="nil"/>
            </w:tcBorders>
            <w:shd w:val="clear" w:color="auto" w:fill="EDECF3"/>
          </w:tcPr>
          <w:p>
            <w:pPr>
              <w:pStyle w:val="TableParagraph"/>
              <w:ind w:left="67"/>
              <w:rPr>
                <w:sz w:val="21"/>
              </w:rPr>
            </w:pPr>
            <w:r>
              <w:rPr>
                <w:spacing w:val="-4"/>
                <w:w w:val="105"/>
                <w:sz w:val="21"/>
              </w:rPr>
              <w:t>Febre</w:t>
            </w:r>
          </w:p>
        </w:tc>
        <w:tc>
          <w:tcPr>
            <w:tcW w:w="5309" w:type="dxa"/>
            <w:tcBorders>
              <w:right w:val="nil"/>
            </w:tcBorders>
            <w:shd w:val="clear" w:color="auto" w:fill="EDECF3"/>
          </w:tcPr>
          <w:p>
            <w:pPr>
              <w:pStyle w:val="TableParagraph"/>
              <w:ind w:left="66"/>
              <w:rPr>
                <w:sz w:val="21"/>
              </w:rPr>
            </w:pPr>
            <w:r>
              <w:rPr>
                <w:spacing w:val="-10"/>
                <w:w w:val="105"/>
                <w:sz w:val="21"/>
              </w:rPr>
              <w:t>8</w:t>
            </w:r>
          </w:p>
        </w:tc>
      </w:tr>
      <w:tr>
        <w:trPr>
          <w:trHeight w:val="430" w:hRule="atLeast"/>
        </w:trPr>
        <w:tc>
          <w:tcPr>
            <w:tcW w:w="5309" w:type="dxa"/>
            <w:tcBorders>
              <w:left w:val="nil"/>
              <w:bottom w:val="nil"/>
            </w:tcBorders>
            <w:shd w:val="clear" w:color="auto" w:fill="EDECF3"/>
          </w:tcPr>
          <w:p>
            <w:pPr>
              <w:pStyle w:val="TableParagraph"/>
              <w:ind w:left="67"/>
              <w:rPr>
                <w:sz w:val="21"/>
              </w:rPr>
            </w:pPr>
            <w:r>
              <w:rPr>
                <w:spacing w:val="-2"/>
                <w:w w:val="105"/>
                <w:sz w:val="21"/>
              </w:rPr>
              <w:t>Artralgia</w:t>
            </w:r>
          </w:p>
        </w:tc>
        <w:tc>
          <w:tcPr>
            <w:tcW w:w="5309" w:type="dxa"/>
            <w:tcBorders>
              <w:bottom w:val="nil"/>
              <w:right w:val="nil"/>
            </w:tcBorders>
            <w:shd w:val="clear" w:color="auto" w:fill="EDECF3"/>
          </w:tcPr>
          <w:p>
            <w:pPr>
              <w:pStyle w:val="TableParagraph"/>
              <w:ind w:left="66"/>
              <w:rPr>
                <w:sz w:val="21"/>
              </w:rPr>
            </w:pPr>
            <w:r>
              <w:rPr>
                <w:spacing w:val="-10"/>
                <w:w w:val="105"/>
                <w:sz w:val="21"/>
              </w:rPr>
              <w:t>6</w:t>
            </w:r>
          </w:p>
        </w:tc>
      </w:tr>
    </w:tbl>
    <w:p>
      <w:pPr>
        <w:pStyle w:val="BodyText"/>
        <w:spacing w:before="166"/>
        <w:ind w:left="0" w:firstLine="0"/>
        <w:jc w:val="left"/>
        <w:rPr>
          <w:rFonts w:ascii="Microsoft Sans Serif"/>
        </w:rPr>
      </w:pPr>
    </w:p>
    <w:p>
      <w:pPr>
        <w:pStyle w:val="Heading5"/>
      </w:pPr>
      <w:r>
        <w:rPr>
          <w:color w:val="A26108"/>
          <w:spacing w:val="-2"/>
        </w:rPr>
        <w:t>Ecocardiograma</w:t>
      </w:r>
    </w:p>
    <w:p>
      <w:pPr>
        <w:pStyle w:val="BodyText"/>
        <w:spacing w:line="290" w:lineRule="auto" w:before="138"/>
        <w:ind w:right="487"/>
      </w:pPr>
      <w:r>
        <w:rPr/>
        <w:t>É capaz de determinar o diagnóstico, além de localização, tamanho, formato e mobilidade (</w:t>
      </w:r>
      <w:r>
        <w:rPr>
          <w:color w:val="505050"/>
        </w:rPr>
        <w:t>Figuras 62.1 </w:t>
      </w:r>
      <w:r>
        <w:rPr/>
        <w:t>e </w:t>
      </w:r>
      <w:r>
        <w:rPr>
          <w:color w:val="505050"/>
        </w:rPr>
        <w:t>62.2</w:t>
      </w:r>
      <w:r>
        <w:rPr/>
        <w:t>).</w:t>
      </w:r>
      <w:r>
        <w:rPr>
          <w:vertAlign w:val="superscript"/>
        </w:rPr>
        <w:t>23</w:t>
      </w:r>
      <w:r>
        <w:rPr>
          <w:vertAlign w:val="baseline"/>
        </w:rPr>
        <w:t> No entanto, há situações que simulam a presença de tumores ao ecocardiograma, como vegetações ou </w:t>
      </w:r>
      <w:r>
        <w:rPr>
          <w:spacing w:val="-2"/>
          <w:vertAlign w:val="baseline"/>
        </w:rPr>
        <w:t>trombo.</w:t>
      </w:r>
      <w:r>
        <w:rPr>
          <w:spacing w:val="-2"/>
          <w:vertAlign w:val="superscript"/>
        </w:rPr>
        <w:t>24</w:t>
      </w:r>
    </w:p>
    <w:p>
      <w:pPr>
        <w:pStyle w:val="BodyText"/>
        <w:spacing w:line="276" w:lineRule="auto" w:before="49"/>
        <w:ind w:right="488"/>
        <w:rPr>
          <w:i/>
        </w:rPr>
      </w:pPr>
      <w:r>
        <w:rPr/>
        <w:t>Mais recentemente, o</w:t>
      </w:r>
      <w:r>
        <w:rPr>
          <w:spacing w:val="-3"/>
        </w:rPr>
        <w:t> </w:t>
      </w:r>
      <w:r>
        <w:rPr/>
        <w:t>ecocardiograma</w:t>
      </w:r>
      <w:r>
        <w:rPr>
          <w:spacing w:val="-5"/>
        </w:rPr>
        <w:t> </w:t>
      </w:r>
      <w:r>
        <w:rPr/>
        <w:t>transesofágico</w:t>
      </w:r>
      <w:r>
        <w:rPr>
          <w:spacing w:val="-3"/>
        </w:rPr>
        <w:t> </w:t>
      </w:r>
      <w:r>
        <w:rPr/>
        <w:t>(ETE) acrescentou</w:t>
      </w:r>
      <w:r>
        <w:rPr>
          <w:spacing w:val="-3"/>
        </w:rPr>
        <w:t> </w:t>
      </w:r>
      <w:r>
        <w:rPr/>
        <w:t>considerável</w:t>
      </w:r>
      <w:r>
        <w:rPr>
          <w:spacing w:val="-1"/>
        </w:rPr>
        <w:t> </w:t>
      </w:r>
      <w:r>
        <w:rPr/>
        <w:t>aumento</w:t>
      </w:r>
      <w:r>
        <w:rPr>
          <w:spacing w:val="-3"/>
        </w:rPr>
        <w:t> </w:t>
      </w:r>
      <w:r>
        <w:rPr/>
        <w:t>de</w:t>
      </w:r>
      <w:r>
        <w:rPr>
          <w:spacing w:val="-5"/>
        </w:rPr>
        <w:t> </w:t>
      </w:r>
      <w:r>
        <w:rPr/>
        <w:t>sensibilidade e especificidade desse método de diagnóstico por imagem. O ETE evidencia melhor a definição de textura, dimensões reais e aspecto da superfície tumoral. Possibilita, ainda, a observação mais detalhada do local de inserção,</w:t>
      </w:r>
      <w:r>
        <w:rPr>
          <w:spacing w:val="80"/>
        </w:rPr>
        <w:t> </w:t>
      </w:r>
      <w:r>
        <w:rPr/>
        <w:t>tanto</w:t>
      </w:r>
      <w:r>
        <w:rPr>
          <w:spacing w:val="80"/>
        </w:rPr>
        <w:t> </w:t>
      </w:r>
      <w:r>
        <w:rPr/>
        <w:t>dos</w:t>
      </w:r>
      <w:r>
        <w:rPr>
          <w:spacing w:val="80"/>
        </w:rPr>
        <w:t> </w:t>
      </w:r>
      <w:r>
        <w:rPr/>
        <w:t>tumores</w:t>
      </w:r>
      <w:r>
        <w:rPr>
          <w:spacing w:val="80"/>
        </w:rPr>
        <w:t> </w:t>
      </w:r>
      <w:r>
        <w:rPr/>
        <w:t>pedunculados</w:t>
      </w:r>
      <w:r>
        <w:rPr>
          <w:spacing w:val="80"/>
        </w:rPr>
        <w:t> </w:t>
      </w:r>
      <w:r>
        <w:rPr/>
        <w:t>quanto</w:t>
      </w:r>
      <w:r>
        <w:rPr>
          <w:spacing w:val="80"/>
        </w:rPr>
        <w:t> </w:t>
      </w:r>
      <w:r>
        <w:rPr/>
        <w:t>dos</w:t>
      </w:r>
      <w:r>
        <w:rPr>
          <w:spacing w:val="80"/>
        </w:rPr>
        <w:t> </w:t>
      </w:r>
      <w:r>
        <w:rPr/>
        <w:t>sésseis.</w:t>
      </w:r>
      <w:r>
        <w:rPr>
          <w:spacing w:val="80"/>
        </w:rPr>
        <w:t> </w:t>
      </w:r>
      <w:r>
        <w:rPr/>
        <w:t>Para</w:t>
      </w:r>
      <w:r>
        <w:rPr>
          <w:spacing w:val="79"/>
        </w:rPr>
        <w:t> </w:t>
      </w:r>
      <w:r>
        <w:rPr/>
        <w:t>facilitar</w:t>
      </w:r>
      <w:r>
        <w:rPr>
          <w:spacing w:val="80"/>
        </w:rPr>
        <w:t> </w:t>
      </w:r>
      <w:r>
        <w:rPr/>
        <w:t>essa</w:t>
      </w:r>
      <w:r>
        <w:rPr>
          <w:spacing w:val="79"/>
        </w:rPr>
        <w:t> </w:t>
      </w:r>
      <w:r>
        <w:rPr/>
        <w:t>análise,</w:t>
      </w:r>
      <w:r>
        <w:rPr>
          <w:spacing w:val="80"/>
        </w:rPr>
        <w:t> </w:t>
      </w:r>
      <w:r>
        <w:rPr/>
        <w:t>Barbato</w:t>
      </w:r>
      <w:r>
        <w:rPr>
          <w:spacing w:val="80"/>
        </w:rPr>
        <w:t> </w:t>
      </w:r>
      <w:r>
        <w:rPr>
          <w:i/>
        </w:rPr>
        <w:t>et</w:t>
      </w:r>
      <w:r>
        <w:rPr>
          <w:i/>
          <w:spacing w:val="77"/>
        </w:rPr>
        <w:t> </w:t>
      </w:r>
      <w:r>
        <w:rPr>
          <w:i/>
        </w:rPr>
        <w:t>al.</w:t>
      </w:r>
    </w:p>
    <w:p>
      <w:pPr>
        <w:pStyle w:val="BodyText"/>
        <w:spacing w:after="0" w:line="276" w:lineRule="auto"/>
        <w:rPr>
          <w:i/>
        </w:rPr>
        <w:sectPr>
          <w:pgSz w:w="11900" w:h="16840"/>
          <w:pgMar w:top="220" w:bottom="280" w:left="566" w:right="141"/>
        </w:sectPr>
      </w:pPr>
    </w:p>
    <w:p>
      <w:pPr>
        <w:pStyle w:val="BodyText"/>
        <w:spacing w:before="87"/>
        <w:ind w:firstLine="0"/>
        <w:jc w:val="left"/>
      </w:pPr>
      <w:r>
        <w:rPr>
          <w:spacing w:val="-2"/>
        </w:rPr>
        <w:t>estabeleceram</w:t>
      </w:r>
      <w:r>
        <w:rPr>
          <w:spacing w:val="-5"/>
        </w:rPr>
        <w:t> </w:t>
      </w:r>
      <w:r>
        <w:rPr>
          <w:spacing w:val="-2"/>
        </w:rPr>
        <w:t>uma</w:t>
      </w:r>
      <w:r>
        <w:rPr>
          <w:spacing w:val="-6"/>
        </w:rPr>
        <w:t> </w:t>
      </w:r>
      <w:r>
        <w:rPr>
          <w:spacing w:val="-2"/>
        </w:rPr>
        <w:t>padronização</w:t>
      </w:r>
      <w:r>
        <w:rPr>
          <w:spacing w:val="-3"/>
        </w:rPr>
        <w:t> </w:t>
      </w:r>
      <w:r>
        <w:rPr>
          <w:spacing w:val="-2"/>
        </w:rPr>
        <w:t>para</w:t>
      </w:r>
      <w:r>
        <w:rPr>
          <w:spacing w:val="-6"/>
        </w:rPr>
        <w:t> </w:t>
      </w:r>
      <w:r>
        <w:rPr>
          <w:spacing w:val="-2"/>
        </w:rPr>
        <w:t>o</w:t>
      </w:r>
      <w:r>
        <w:rPr>
          <w:spacing w:val="-3"/>
        </w:rPr>
        <w:t> </w:t>
      </w:r>
      <w:r>
        <w:rPr>
          <w:spacing w:val="-2"/>
        </w:rPr>
        <w:t>diagnóstico dos</w:t>
      </w:r>
      <w:r>
        <w:rPr>
          <w:spacing w:val="5"/>
        </w:rPr>
        <w:t> </w:t>
      </w:r>
      <w:r>
        <w:rPr>
          <w:spacing w:val="-2"/>
        </w:rPr>
        <w:t>tumores</w:t>
      </w:r>
      <w:r>
        <w:rPr>
          <w:spacing w:val="5"/>
        </w:rPr>
        <w:t> </w:t>
      </w:r>
      <w:r>
        <w:rPr>
          <w:spacing w:val="-2"/>
        </w:rPr>
        <w:t>cardíacos</w:t>
      </w:r>
      <w:r>
        <w:rPr>
          <w:spacing w:val="5"/>
        </w:rPr>
        <w:t> </w:t>
      </w:r>
      <w:r>
        <w:rPr>
          <w:spacing w:val="-2"/>
        </w:rPr>
        <w:t>(</w:t>
      </w:r>
      <w:r>
        <w:rPr>
          <w:color w:val="505050"/>
          <w:spacing w:val="-2"/>
        </w:rPr>
        <w:t>Tabela</w:t>
      </w:r>
      <w:r>
        <w:rPr>
          <w:color w:val="505050"/>
          <w:spacing w:val="-5"/>
        </w:rPr>
        <w:t> </w:t>
      </w:r>
      <w:r>
        <w:rPr>
          <w:color w:val="505050"/>
          <w:spacing w:val="-2"/>
        </w:rPr>
        <w:t>62.4</w:t>
      </w:r>
      <w:r>
        <w:rPr>
          <w:spacing w:val="-2"/>
        </w:rPr>
        <w:t>).</w:t>
      </w:r>
      <w:r>
        <w:rPr>
          <w:spacing w:val="-2"/>
          <w:vertAlign w:val="superscript"/>
        </w:rPr>
        <w:t>25</w:t>
      </w:r>
    </w:p>
    <w:p>
      <w:pPr>
        <w:pStyle w:val="BodyText"/>
        <w:spacing w:before="47"/>
        <w:ind w:left="0" w:firstLine="0"/>
        <w:jc w:val="left"/>
        <w:rPr>
          <w:sz w:val="20"/>
        </w:rPr>
      </w:pPr>
      <w:r>
        <w:rPr>
          <w:sz w:val="20"/>
        </w:rPr>
        <w:drawing>
          <wp:anchor distT="0" distB="0" distL="0" distR="0" allowOverlap="1" layoutInCell="1" locked="0" behindDoc="1" simplePos="0" relativeHeight="487644160">
            <wp:simplePos x="0" y="0"/>
            <wp:positionH relativeFrom="page">
              <wp:posOffset>1479651</wp:posOffset>
            </wp:positionH>
            <wp:positionV relativeFrom="paragraph">
              <wp:posOffset>191225</wp:posOffset>
            </wp:positionV>
            <wp:extent cx="4606662" cy="3302127"/>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91" cstate="print"/>
                    <a:stretch>
                      <a:fillRect/>
                    </a:stretch>
                  </pic:blipFill>
                  <pic:spPr>
                    <a:xfrm>
                      <a:off x="0" y="0"/>
                      <a:ext cx="4606662" cy="3302127"/>
                    </a:xfrm>
                    <a:prstGeom prst="rect">
                      <a:avLst/>
                    </a:prstGeom>
                  </pic:spPr>
                </pic:pic>
              </a:graphicData>
            </a:graphic>
          </wp:anchor>
        </w:drawing>
      </w:r>
    </w:p>
    <w:p>
      <w:pPr>
        <w:pStyle w:val="BodyText"/>
        <w:spacing w:before="22"/>
        <w:ind w:left="0" w:firstLine="0"/>
        <w:jc w:val="left"/>
      </w:pPr>
    </w:p>
    <w:p>
      <w:pPr>
        <w:spacing w:line="285" w:lineRule="auto" w:before="1"/>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40"/>
          <w:sz w:val="19"/>
        </w:rPr>
        <w:t> </w:t>
      </w:r>
      <w:r>
        <w:rPr>
          <w:rFonts w:ascii="Arial" w:hAnsi="Arial"/>
          <w:b/>
          <w:color w:val="242B67"/>
          <w:sz w:val="19"/>
        </w:rPr>
        <w:t>62.1</w:t>
      </w:r>
      <w:r>
        <w:rPr>
          <w:rFonts w:ascii="Arial" w:hAnsi="Arial"/>
          <w:b/>
          <w:color w:val="242B67"/>
          <w:spacing w:val="40"/>
          <w:sz w:val="19"/>
        </w:rPr>
        <w:t> </w:t>
      </w:r>
      <w:r>
        <w:rPr>
          <w:rFonts w:ascii="Microsoft Sans Serif" w:hAnsi="Microsoft Sans Serif"/>
          <w:sz w:val="19"/>
        </w:rPr>
        <w:t>Mixoma</w:t>
      </w:r>
      <w:r>
        <w:rPr>
          <w:rFonts w:ascii="Microsoft Sans Serif" w:hAnsi="Microsoft Sans Serif"/>
          <w:spacing w:val="57"/>
          <w:sz w:val="19"/>
        </w:rPr>
        <w:t> </w:t>
      </w:r>
      <w:r>
        <w:rPr>
          <w:rFonts w:ascii="Microsoft Sans Serif" w:hAnsi="Microsoft Sans Serif"/>
          <w:sz w:val="19"/>
        </w:rPr>
        <w:t>de</w:t>
      </w:r>
      <w:r>
        <w:rPr>
          <w:rFonts w:ascii="Microsoft Sans Serif" w:hAnsi="Microsoft Sans Serif"/>
          <w:spacing w:val="57"/>
          <w:sz w:val="19"/>
        </w:rPr>
        <w:t> </w:t>
      </w:r>
      <w:r>
        <w:rPr>
          <w:rFonts w:ascii="Microsoft Sans Serif" w:hAnsi="Microsoft Sans Serif"/>
          <w:sz w:val="19"/>
        </w:rPr>
        <w:t>átrio</w:t>
      </w:r>
      <w:r>
        <w:rPr>
          <w:rFonts w:ascii="Microsoft Sans Serif" w:hAnsi="Microsoft Sans Serif"/>
          <w:spacing w:val="57"/>
          <w:sz w:val="19"/>
        </w:rPr>
        <w:t> </w:t>
      </w:r>
      <w:r>
        <w:rPr>
          <w:rFonts w:ascii="Microsoft Sans Serif" w:hAnsi="Microsoft Sans Serif"/>
          <w:sz w:val="19"/>
        </w:rPr>
        <w:t>esquerdo</w:t>
      </w:r>
      <w:r>
        <w:rPr>
          <w:rFonts w:ascii="Microsoft Sans Serif" w:hAnsi="Microsoft Sans Serif"/>
          <w:spacing w:val="57"/>
          <w:sz w:val="19"/>
        </w:rPr>
        <w:t> </w:t>
      </w:r>
      <w:r>
        <w:rPr>
          <w:rFonts w:ascii="Microsoft Sans Serif" w:hAnsi="Microsoft Sans Serif"/>
          <w:sz w:val="19"/>
        </w:rPr>
        <w:t>(AE).</w:t>
      </w:r>
      <w:r>
        <w:rPr>
          <w:rFonts w:ascii="Microsoft Sans Serif" w:hAnsi="Microsoft Sans Serif"/>
          <w:spacing w:val="40"/>
          <w:sz w:val="19"/>
        </w:rPr>
        <w:t> </w:t>
      </w:r>
      <w:r>
        <w:rPr>
          <w:rFonts w:ascii="Microsoft Sans Serif" w:hAnsi="Microsoft Sans Serif"/>
          <w:sz w:val="19"/>
        </w:rPr>
        <w:t>AD</w:t>
      </w:r>
      <w:r>
        <w:rPr>
          <w:rFonts w:ascii="Microsoft Sans Serif" w:hAnsi="Microsoft Sans Serif"/>
          <w:spacing w:val="57"/>
          <w:sz w:val="19"/>
        </w:rPr>
        <w:t> </w:t>
      </w:r>
      <w:r>
        <w:rPr>
          <w:rFonts w:ascii="Microsoft Sans Serif" w:hAnsi="Microsoft Sans Serif"/>
          <w:sz w:val="19"/>
        </w:rPr>
        <w:t>=</w:t>
      </w:r>
      <w:r>
        <w:rPr>
          <w:rFonts w:ascii="Microsoft Sans Serif" w:hAnsi="Microsoft Sans Serif"/>
          <w:spacing w:val="40"/>
          <w:sz w:val="19"/>
        </w:rPr>
        <w:t> </w:t>
      </w:r>
      <w:r>
        <w:rPr>
          <w:rFonts w:ascii="Microsoft Sans Serif" w:hAnsi="Microsoft Sans Serif"/>
          <w:sz w:val="19"/>
        </w:rPr>
        <w:t>átrio</w:t>
      </w:r>
      <w:r>
        <w:rPr>
          <w:rFonts w:ascii="Microsoft Sans Serif" w:hAnsi="Microsoft Sans Serif"/>
          <w:spacing w:val="57"/>
          <w:sz w:val="19"/>
        </w:rPr>
        <w:t> </w:t>
      </w:r>
      <w:r>
        <w:rPr>
          <w:rFonts w:ascii="Microsoft Sans Serif" w:hAnsi="Microsoft Sans Serif"/>
          <w:sz w:val="19"/>
        </w:rPr>
        <w:t>direito;</w:t>
      </w:r>
      <w:r>
        <w:rPr>
          <w:rFonts w:ascii="Microsoft Sans Serif" w:hAnsi="Microsoft Sans Serif"/>
          <w:spacing w:val="40"/>
          <w:sz w:val="19"/>
        </w:rPr>
        <w:t> </w:t>
      </w:r>
      <w:r>
        <w:rPr>
          <w:rFonts w:ascii="Microsoft Sans Serif" w:hAnsi="Microsoft Sans Serif"/>
          <w:sz w:val="19"/>
        </w:rPr>
        <w:t>Ao</w:t>
      </w:r>
      <w:r>
        <w:rPr>
          <w:rFonts w:ascii="Microsoft Sans Serif" w:hAnsi="Microsoft Sans Serif"/>
          <w:spacing w:val="57"/>
          <w:sz w:val="19"/>
        </w:rPr>
        <w:t> </w:t>
      </w:r>
      <w:r>
        <w:rPr>
          <w:rFonts w:ascii="Microsoft Sans Serif" w:hAnsi="Microsoft Sans Serif"/>
          <w:sz w:val="19"/>
        </w:rPr>
        <w:t>=</w:t>
      </w:r>
      <w:r>
        <w:rPr>
          <w:rFonts w:ascii="Microsoft Sans Serif" w:hAnsi="Microsoft Sans Serif"/>
          <w:spacing w:val="40"/>
          <w:sz w:val="19"/>
        </w:rPr>
        <w:t> </w:t>
      </w:r>
      <w:r>
        <w:rPr>
          <w:rFonts w:ascii="Microsoft Sans Serif" w:hAnsi="Microsoft Sans Serif"/>
          <w:sz w:val="19"/>
        </w:rPr>
        <w:t>aorta;</w:t>
      </w:r>
      <w:r>
        <w:rPr>
          <w:rFonts w:ascii="Microsoft Sans Serif" w:hAnsi="Microsoft Sans Serif"/>
          <w:spacing w:val="40"/>
          <w:sz w:val="19"/>
        </w:rPr>
        <w:t> </w:t>
      </w:r>
      <w:r>
        <w:rPr>
          <w:rFonts w:ascii="Microsoft Sans Serif" w:hAnsi="Microsoft Sans Serif"/>
          <w:sz w:val="19"/>
        </w:rPr>
        <w:t>VD</w:t>
      </w:r>
      <w:r>
        <w:rPr>
          <w:rFonts w:ascii="Microsoft Sans Serif" w:hAnsi="Microsoft Sans Serif"/>
          <w:spacing w:val="57"/>
          <w:sz w:val="19"/>
        </w:rPr>
        <w:t> </w:t>
      </w:r>
      <w:r>
        <w:rPr>
          <w:rFonts w:ascii="Microsoft Sans Serif" w:hAnsi="Microsoft Sans Serif"/>
          <w:sz w:val="19"/>
        </w:rPr>
        <w:t>=</w:t>
      </w:r>
      <w:r>
        <w:rPr>
          <w:rFonts w:ascii="Microsoft Sans Serif" w:hAnsi="Microsoft Sans Serif"/>
          <w:spacing w:val="40"/>
          <w:sz w:val="19"/>
        </w:rPr>
        <w:t> </w:t>
      </w:r>
      <w:r>
        <w:rPr>
          <w:rFonts w:ascii="Microsoft Sans Serif" w:hAnsi="Microsoft Sans Serif"/>
          <w:sz w:val="19"/>
        </w:rPr>
        <w:t>ventrículo</w:t>
      </w:r>
      <w:r>
        <w:rPr>
          <w:rFonts w:ascii="Microsoft Sans Serif" w:hAnsi="Microsoft Sans Serif"/>
          <w:spacing w:val="57"/>
          <w:sz w:val="19"/>
        </w:rPr>
        <w:t> </w:t>
      </w:r>
      <w:r>
        <w:rPr>
          <w:rFonts w:ascii="Microsoft Sans Serif" w:hAnsi="Microsoft Sans Serif"/>
          <w:sz w:val="19"/>
        </w:rPr>
        <w:t>direito;</w:t>
      </w:r>
      <w:r>
        <w:rPr>
          <w:rFonts w:ascii="Microsoft Sans Serif" w:hAnsi="Microsoft Sans Serif"/>
          <w:spacing w:val="40"/>
          <w:sz w:val="19"/>
        </w:rPr>
        <w:t> </w:t>
      </w:r>
      <w:r>
        <w:rPr>
          <w:rFonts w:ascii="Microsoft Sans Serif" w:hAnsi="Microsoft Sans Serif"/>
          <w:sz w:val="19"/>
        </w:rPr>
        <w:t>VE</w:t>
      </w:r>
      <w:r>
        <w:rPr>
          <w:rFonts w:ascii="Microsoft Sans Serif" w:hAnsi="Microsoft Sans Serif"/>
          <w:spacing w:val="40"/>
          <w:sz w:val="19"/>
        </w:rPr>
        <w:t> </w:t>
      </w:r>
      <w:r>
        <w:rPr>
          <w:rFonts w:ascii="Microsoft Sans Serif" w:hAnsi="Microsoft Sans Serif"/>
          <w:sz w:val="19"/>
        </w:rPr>
        <w:t>=</w:t>
      </w:r>
      <w:r>
        <w:rPr>
          <w:rFonts w:ascii="Microsoft Sans Serif" w:hAnsi="Microsoft Sans Serif"/>
          <w:spacing w:val="40"/>
          <w:sz w:val="19"/>
        </w:rPr>
        <w:t> </w:t>
      </w:r>
      <w:r>
        <w:rPr>
          <w:rFonts w:ascii="Microsoft Sans Serif" w:hAnsi="Microsoft Sans Serif"/>
          <w:sz w:val="19"/>
        </w:rPr>
        <w:t>ventrículo </w:t>
      </w:r>
      <w:r>
        <w:rPr>
          <w:rFonts w:ascii="Microsoft Sans Serif" w:hAnsi="Microsoft Sans Serif"/>
          <w:spacing w:val="-2"/>
          <w:sz w:val="19"/>
        </w:rPr>
        <w:t>esquerdo.</w:t>
      </w:r>
    </w:p>
    <w:p>
      <w:pPr>
        <w:pStyle w:val="BodyText"/>
        <w:spacing w:before="24"/>
        <w:ind w:left="0" w:firstLine="0"/>
        <w:jc w:val="left"/>
        <w:rPr>
          <w:rFonts w:ascii="Microsoft Sans Serif"/>
          <w:sz w:val="20"/>
        </w:rPr>
      </w:pPr>
      <w:r>
        <w:rPr>
          <w:rFonts w:ascii="Microsoft Sans Serif"/>
          <w:sz w:val="20"/>
        </w:rPr>
        <w:drawing>
          <wp:anchor distT="0" distB="0" distL="0" distR="0" allowOverlap="1" layoutInCell="1" locked="0" behindDoc="1" simplePos="0" relativeHeight="487644672">
            <wp:simplePos x="0" y="0"/>
            <wp:positionH relativeFrom="page">
              <wp:posOffset>1499997</wp:posOffset>
            </wp:positionH>
            <wp:positionV relativeFrom="paragraph">
              <wp:posOffset>174676</wp:posOffset>
            </wp:positionV>
            <wp:extent cx="4565906" cy="3281743"/>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92" cstate="print"/>
                    <a:stretch>
                      <a:fillRect/>
                    </a:stretch>
                  </pic:blipFill>
                  <pic:spPr>
                    <a:xfrm>
                      <a:off x="0" y="0"/>
                      <a:ext cx="4565906" cy="3281743"/>
                    </a:xfrm>
                    <a:prstGeom prst="rect">
                      <a:avLst/>
                    </a:prstGeom>
                  </pic:spPr>
                </pic:pic>
              </a:graphicData>
            </a:graphic>
          </wp:anchor>
        </w:drawing>
      </w:r>
    </w:p>
    <w:p>
      <w:pPr>
        <w:pStyle w:val="BodyText"/>
        <w:spacing w:before="56"/>
        <w:ind w:left="0" w:firstLine="0"/>
        <w:jc w:val="left"/>
        <w:rPr>
          <w:rFonts w:ascii="Microsoft Sans Serif"/>
          <w:sz w:val="19"/>
        </w:rPr>
      </w:pPr>
    </w:p>
    <w:p>
      <w:pPr>
        <w:spacing w:before="0"/>
        <w:ind w:left="68" w:right="0" w:firstLine="0"/>
        <w:jc w:val="left"/>
        <w:rPr>
          <w:rFonts w:ascii="Microsoft Sans Serif" w:hAnsi="Microsoft Sans Serif"/>
          <w:sz w:val="19"/>
        </w:rPr>
      </w:pPr>
      <w:r>
        <w:rPr>
          <w:rFonts w:ascii="Arial" w:hAnsi="Arial"/>
          <w:b/>
          <w:color w:val="242B67"/>
          <w:sz w:val="19"/>
        </w:rPr>
        <w:t>Figura</w:t>
      </w:r>
      <w:r>
        <w:rPr>
          <w:rFonts w:ascii="Arial" w:hAnsi="Arial"/>
          <w:b/>
          <w:color w:val="242B67"/>
          <w:spacing w:val="10"/>
          <w:sz w:val="19"/>
        </w:rPr>
        <w:t> </w:t>
      </w:r>
      <w:r>
        <w:rPr>
          <w:rFonts w:ascii="Arial" w:hAnsi="Arial"/>
          <w:b/>
          <w:color w:val="242B67"/>
          <w:sz w:val="19"/>
        </w:rPr>
        <w:t>62.2</w:t>
      </w:r>
      <w:r>
        <w:rPr>
          <w:rFonts w:ascii="Arial" w:hAnsi="Arial"/>
          <w:b/>
          <w:color w:val="242B67"/>
          <w:spacing w:val="10"/>
          <w:sz w:val="19"/>
        </w:rPr>
        <w:t> </w:t>
      </w:r>
      <w:r>
        <w:rPr>
          <w:rFonts w:ascii="Microsoft Sans Serif" w:hAnsi="Microsoft Sans Serif"/>
          <w:sz w:val="19"/>
        </w:rPr>
        <w:t>Mixoma</w:t>
      </w:r>
      <w:r>
        <w:rPr>
          <w:rFonts w:ascii="Microsoft Sans Serif" w:hAnsi="Microsoft Sans Serif"/>
          <w:spacing w:val="13"/>
          <w:sz w:val="19"/>
        </w:rPr>
        <w:t> </w:t>
      </w:r>
      <w:r>
        <w:rPr>
          <w:rFonts w:ascii="Microsoft Sans Serif" w:hAnsi="Microsoft Sans Serif"/>
          <w:sz w:val="19"/>
        </w:rPr>
        <w:t>de</w:t>
      </w:r>
      <w:r>
        <w:rPr>
          <w:rFonts w:ascii="Microsoft Sans Serif" w:hAnsi="Microsoft Sans Serif"/>
          <w:spacing w:val="12"/>
          <w:sz w:val="19"/>
        </w:rPr>
        <w:t> </w:t>
      </w:r>
      <w:r>
        <w:rPr>
          <w:rFonts w:ascii="Microsoft Sans Serif" w:hAnsi="Microsoft Sans Serif"/>
          <w:sz w:val="19"/>
        </w:rPr>
        <w:t>átrio</w:t>
      </w:r>
      <w:r>
        <w:rPr>
          <w:rFonts w:ascii="Microsoft Sans Serif" w:hAnsi="Microsoft Sans Serif"/>
          <w:spacing w:val="13"/>
          <w:sz w:val="19"/>
        </w:rPr>
        <w:t> </w:t>
      </w:r>
      <w:r>
        <w:rPr>
          <w:rFonts w:ascii="Microsoft Sans Serif" w:hAnsi="Microsoft Sans Serif"/>
          <w:sz w:val="19"/>
        </w:rPr>
        <w:t>direito</w:t>
      </w:r>
      <w:r>
        <w:rPr>
          <w:rFonts w:ascii="Microsoft Sans Serif" w:hAnsi="Microsoft Sans Serif"/>
          <w:spacing w:val="12"/>
          <w:sz w:val="19"/>
        </w:rPr>
        <w:t> </w:t>
      </w:r>
      <w:r>
        <w:rPr>
          <w:rFonts w:ascii="Microsoft Sans Serif" w:hAnsi="Microsoft Sans Serif"/>
          <w:sz w:val="19"/>
        </w:rPr>
        <w:t>(AD). AE</w:t>
      </w:r>
      <w:r>
        <w:rPr>
          <w:rFonts w:ascii="Microsoft Sans Serif" w:hAnsi="Microsoft Sans Serif"/>
          <w:spacing w:val="7"/>
          <w:sz w:val="19"/>
        </w:rPr>
        <w:t> </w:t>
      </w:r>
      <w:r>
        <w:rPr>
          <w:rFonts w:ascii="Microsoft Sans Serif" w:hAnsi="Microsoft Sans Serif"/>
          <w:sz w:val="19"/>
        </w:rPr>
        <w:t>=</w:t>
      </w:r>
      <w:r>
        <w:rPr>
          <w:rFonts w:ascii="Microsoft Sans Serif" w:hAnsi="Microsoft Sans Serif"/>
          <w:spacing w:val="6"/>
          <w:sz w:val="19"/>
        </w:rPr>
        <w:t> </w:t>
      </w:r>
      <w:r>
        <w:rPr>
          <w:rFonts w:ascii="Microsoft Sans Serif" w:hAnsi="Microsoft Sans Serif"/>
          <w:sz w:val="19"/>
        </w:rPr>
        <w:t>átrio</w:t>
      </w:r>
      <w:r>
        <w:rPr>
          <w:rFonts w:ascii="Microsoft Sans Serif" w:hAnsi="Microsoft Sans Serif"/>
          <w:spacing w:val="12"/>
          <w:sz w:val="19"/>
        </w:rPr>
        <w:t> </w:t>
      </w:r>
      <w:r>
        <w:rPr>
          <w:rFonts w:ascii="Microsoft Sans Serif" w:hAnsi="Microsoft Sans Serif"/>
          <w:sz w:val="19"/>
        </w:rPr>
        <w:t>esquerdo;</w:t>
      </w:r>
      <w:r>
        <w:rPr>
          <w:rFonts w:ascii="Microsoft Sans Serif" w:hAnsi="Microsoft Sans Serif"/>
          <w:spacing w:val="1"/>
          <w:sz w:val="19"/>
        </w:rPr>
        <w:t> </w:t>
      </w:r>
      <w:r>
        <w:rPr>
          <w:rFonts w:ascii="Microsoft Sans Serif" w:hAnsi="Microsoft Sans Serif"/>
          <w:sz w:val="19"/>
        </w:rPr>
        <w:t>VD</w:t>
      </w:r>
      <w:r>
        <w:rPr>
          <w:rFonts w:ascii="Microsoft Sans Serif" w:hAnsi="Microsoft Sans Serif"/>
          <w:spacing w:val="12"/>
          <w:sz w:val="19"/>
        </w:rPr>
        <w:t> </w:t>
      </w:r>
      <w:r>
        <w:rPr>
          <w:rFonts w:ascii="Microsoft Sans Serif" w:hAnsi="Microsoft Sans Serif"/>
          <w:sz w:val="19"/>
        </w:rPr>
        <w:t>=</w:t>
      </w:r>
      <w:r>
        <w:rPr>
          <w:rFonts w:ascii="Microsoft Sans Serif" w:hAnsi="Microsoft Sans Serif"/>
          <w:spacing w:val="7"/>
          <w:sz w:val="19"/>
        </w:rPr>
        <w:t> </w:t>
      </w:r>
      <w:r>
        <w:rPr>
          <w:rFonts w:ascii="Microsoft Sans Serif" w:hAnsi="Microsoft Sans Serif"/>
          <w:sz w:val="19"/>
        </w:rPr>
        <w:t>ventrículo</w:t>
      </w:r>
      <w:r>
        <w:rPr>
          <w:rFonts w:ascii="Microsoft Sans Serif" w:hAnsi="Microsoft Sans Serif"/>
          <w:spacing w:val="12"/>
          <w:sz w:val="19"/>
        </w:rPr>
        <w:t> </w:t>
      </w:r>
      <w:r>
        <w:rPr>
          <w:rFonts w:ascii="Microsoft Sans Serif" w:hAnsi="Microsoft Sans Serif"/>
          <w:sz w:val="19"/>
        </w:rPr>
        <w:t>direito; VE</w:t>
      </w:r>
      <w:r>
        <w:rPr>
          <w:rFonts w:ascii="Microsoft Sans Serif" w:hAnsi="Microsoft Sans Serif"/>
          <w:spacing w:val="7"/>
          <w:sz w:val="19"/>
        </w:rPr>
        <w:t> </w:t>
      </w:r>
      <w:r>
        <w:rPr>
          <w:rFonts w:ascii="Microsoft Sans Serif" w:hAnsi="Microsoft Sans Serif"/>
          <w:sz w:val="19"/>
        </w:rPr>
        <w:t>=</w:t>
      </w:r>
      <w:r>
        <w:rPr>
          <w:rFonts w:ascii="Microsoft Sans Serif" w:hAnsi="Microsoft Sans Serif"/>
          <w:spacing w:val="6"/>
          <w:sz w:val="19"/>
        </w:rPr>
        <w:t> </w:t>
      </w:r>
      <w:r>
        <w:rPr>
          <w:rFonts w:ascii="Microsoft Sans Serif" w:hAnsi="Microsoft Sans Serif"/>
          <w:sz w:val="19"/>
        </w:rPr>
        <w:t>ventrículo</w:t>
      </w:r>
      <w:r>
        <w:rPr>
          <w:rFonts w:ascii="Microsoft Sans Serif" w:hAnsi="Microsoft Sans Serif"/>
          <w:spacing w:val="13"/>
          <w:sz w:val="19"/>
        </w:rPr>
        <w:t> </w:t>
      </w:r>
      <w:r>
        <w:rPr>
          <w:rFonts w:ascii="Microsoft Sans Serif" w:hAnsi="Microsoft Sans Serif"/>
          <w:spacing w:val="-2"/>
          <w:sz w:val="19"/>
        </w:rPr>
        <w:t>esquerdo.</w:t>
      </w:r>
    </w:p>
    <w:p>
      <w:pPr>
        <w:pStyle w:val="BodyText"/>
        <w:spacing w:before="153"/>
        <w:ind w:left="0" w:firstLine="0"/>
        <w:jc w:val="left"/>
        <w:rPr>
          <w:rFonts w:ascii="Microsoft Sans Serif"/>
          <w:sz w:val="19"/>
        </w:rPr>
      </w:pPr>
    </w:p>
    <w:p>
      <w:pPr>
        <w:spacing w:before="0"/>
        <w:ind w:left="68" w:right="0" w:firstLine="0"/>
        <w:jc w:val="left"/>
        <w:rPr>
          <w:rFonts w:ascii="Microsoft Sans Serif" w:hAnsi="Microsoft Sans Serif"/>
          <w:sz w:val="23"/>
        </w:rPr>
      </w:pPr>
      <w:r>
        <w:rPr>
          <w:rFonts w:ascii="Arial" w:hAnsi="Arial"/>
          <w:b/>
          <w:color w:val="242B67"/>
          <w:sz w:val="23"/>
        </w:rPr>
        <w:t>Tabela 62.4 </w:t>
      </w:r>
      <w:r>
        <w:rPr>
          <w:rFonts w:ascii="Microsoft Sans Serif" w:hAnsi="Microsoft Sans Serif"/>
          <w:sz w:val="23"/>
        </w:rPr>
        <w:t>Padronização</w:t>
      </w:r>
      <w:r>
        <w:rPr>
          <w:rFonts w:ascii="Microsoft Sans Serif" w:hAnsi="Microsoft Sans Serif"/>
          <w:spacing w:val="2"/>
          <w:sz w:val="23"/>
        </w:rPr>
        <w:t> </w:t>
      </w:r>
      <w:r>
        <w:rPr>
          <w:rFonts w:ascii="Microsoft Sans Serif" w:hAnsi="Microsoft Sans Serif"/>
          <w:sz w:val="23"/>
        </w:rPr>
        <w:t>para</w:t>
      </w:r>
      <w:r>
        <w:rPr>
          <w:rFonts w:ascii="Microsoft Sans Serif" w:hAnsi="Microsoft Sans Serif"/>
          <w:spacing w:val="3"/>
          <w:sz w:val="23"/>
        </w:rPr>
        <w:t> </w:t>
      </w:r>
      <w:r>
        <w:rPr>
          <w:rFonts w:ascii="Microsoft Sans Serif" w:hAnsi="Microsoft Sans Serif"/>
          <w:sz w:val="23"/>
        </w:rPr>
        <w:t>o</w:t>
      </w:r>
      <w:r>
        <w:rPr>
          <w:rFonts w:ascii="Microsoft Sans Serif" w:hAnsi="Microsoft Sans Serif"/>
          <w:spacing w:val="2"/>
          <w:sz w:val="23"/>
        </w:rPr>
        <w:t> </w:t>
      </w:r>
      <w:r>
        <w:rPr>
          <w:rFonts w:ascii="Microsoft Sans Serif" w:hAnsi="Microsoft Sans Serif"/>
          <w:spacing w:val="-2"/>
          <w:sz w:val="23"/>
        </w:rPr>
        <w:t>diagnóstico.</w:t>
      </w:r>
    </w:p>
    <w:p>
      <w:pPr>
        <w:pStyle w:val="BodyText"/>
        <w:spacing w:before="6"/>
        <w:ind w:left="0" w:firstLine="0"/>
        <w:jc w:val="left"/>
        <w:rPr>
          <w:rFonts w:ascii="Microsoft Sans Serif"/>
          <w:sz w:val="15"/>
        </w:r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6366"/>
      </w:tblGrid>
      <w:tr>
        <w:trPr>
          <w:trHeight w:val="430" w:hRule="atLeast"/>
        </w:trPr>
        <w:tc>
          <w:tcPr>
            <w:tcW w:w="4252" w:type="dxa"/>
            <w:tcBorders>
              <w:top w:val="nil"/>
              <w:left w:val="nil"/>
            </w:tcBorders>
            <w:shd w:val="clear" w:color="auto" w:fill="EDECF3"/>
          </w:tcPr>
          <w:p>
            <w:pPr>
              <w:pStyle w:val="TableParagraph"/>
              <w:spacing w:before="91"/>
              <w:ind w:left="67"/>
              <w:rPr>
                <w:rFonts w:ascii="Arial" w:hAnsi="Arial"/>
                <w:b/>
                <w:sz w:val="21"/>
              </w:rPr>
            </w:pPr>
            <w:r>
              <w:rPr>
                <w:rFonts w:ascii="Arial" w:hAnsi="Arial"/>
                <w:b/>
                <w:spacing w:val="-2"/>
                <w:w w:val="105"/>
                <w:sz w:val="21"/>
              </w:rPr>
              <w:t>Localização</w:t>
            </w:r>
          </w:p>
        </w:tc>
        <w:tc>
          <w:tcPr>
            <w:tcW w:w="6366" w:type="dxa"/>
            <w:tcBorders>
              <w:top w:val="nil"/>
              <w:right w:val="nil"/>
            </w:tcBorders>
            <w:shd w:val="clear" w:color="auto" w:fill="EDECF3"/>
          </w:tcPr>
          <w:p>
            <w:pPr>
              <w:pStyle w:val="TableParagraph"/>
              <w:spacing w:before="94"/>
              <w:ind w:left="66"/>
              <w:rPr>
                <w:sz w:val="21"/>
              </w:rPr>
            </w:pPr>
            <w:r>
              <w:rPr>
                <w:w w:val="105"/>
                <w:sz w:val="21"/>
              </w:rPr>
              <w:t>Local</w:t>
            </w:r>
            <w:r>
              <w:rPr>
                <w:spacing w:val="24"/>
                <w:w w:val="105"/>
                <w:sz w:val="21"/>
              </w:rPr>
              <w:t> </w:t>
            </w:r>
            <w:r>
              <w:rPr>
                <w:w w:val="105"/>
                <w:sz w:val="21"/>
              </w:rPr>
              <w:t>preferencial</w:t>
            </w:r>
            <w:r>
              <w:rPr>
                <w:spacing w:val="25"/>
                <w:w w:val="105"/>
                <w:sz w:val="21"/>
              </w:rPr>
              <w:t> </w:t>
            </w:r>
            <w:r>
              <w:rPr>
                <w:w w:val="105"/>
                <w:sz w:val="21"/>
              </w:rPr>
              <w:t>dos</w:t>
            </w:r>
            <w:r>
              <w:rPr>
                <w:spacing w:val="30"/>
                <w:w w:val="105"/>
                <w:sz w:val="21"/>
              </w:rPr>
              <w:t> </w:t>
            </w:r>
            <w:r>
              <w:rPr>
                <w:w w:val="105"/>
                <w:sz w:val="21"/>
              </w:rPr>
              <w:t>diferentes</w:t>
            </w:r>
            <w:r>
              <w:rPr>
                <w:spacing w:val="30"/>
                <w:w w:val="105"/>
                <w:sz w:val="21"/>
              </w:rPr>
              <w:t> </w:t>
            </w:r>
            <w:r>
              <w:rPr>
                <w:spacing w:val="-2"/>
                <w:w w:val="105"/>
                <w:sz w:val="21"/>
              </w:rPr>
              <w:t>tumores</w:t>
            </w:r>
          </w:p>
        </w:tc>
      </w:tr>
      <w:tr>
        <w:trPr>
          <w:trHeight w:val="428" w:hRule="atLeast"/>
        </w:trPr>
        <w:tc>
          <w:tcPr>
            <w:tcW w:w="4252" w:type="dxa"/>
            <w:tcBorders>
              <w:left w:val="nil"/>
            </w:tcBorders>
            <w:shd w:val="clear" w:color="auto" w:fill="EDECF3"/>
          </w:tcPr>
          <w:p>
            <w:pPr>
              <w:pStyle w:val="TableParagraph"/>
              <w:spacing w:before="89"/>
              <w:ind w:left="67"/>
              <w:rPr>
                <w:rFonts w:ascii="Arial" w:hAnsi="Arial"/>
                <w:b/>
                <w:sz w:val="21"/>
              </w:rPr>
            </w:pPr>
            <w:r>
              <w:rPr>
                <w:rFonts w:ascii="Arial" w:hAnsi="Arial"/>
                <w:b/>
                <w:spacing w:val="-2"/>
                <w:w w:val="105"/>
                <w:sz w:val="21"/>
              </w:rPr>
              <w:t>Fixação</w:t>
            </w:r>
          </w:p>
        </w:tc>
        <w:tc>
          <w:tcPr>
            <w:tcW w:w="6366" w:type="dxa"/>
            <w:tcBorders>
              <w:right w:val="nil"/>
            </w:tcBorders>
            <w:shd w:val="clear" w:color="auto" w:fill="EDECF3"/>
          </w:tcPr>
          <w:p>
            <w:pPr>
              <w:pStyle w:val="TableParagraph"/>
              <w:ind w:left="66"/>
              <w:rPr>
                <w:sz w:val="21"/>
              </w:rPr>
            </w:pPr>
            <w:r>
              <w:rPr>
                <w:w w:val="105"/>
                <w:sz w:val="21"/>
              </w:rPr>
              <w:t>Pedunculados</w:t>
            </w:r>
            <w:r>
              <w:rPr>
                <w:spacing w:val="23"/>
                <w:w w:val="105"/>
                <w:sz w:val="21"/>
              </w:rPr>
              <w:t> </w:t>
            </w:r>
            <w:r>
              <w:rPr>
                <w:w w:val="105"/>
                <w:sz w:val="21"/>
              </w:rPr>
              <w:t>ou</w:t>
            </w:r>
            <w:r>
              <w:rPr>
                <w:spacing w:val="28"/>
                <w:w w:val="105"/>
                <w:sz w:val="21"/>
              </w:rPr>
              <w:t> </w:t>
            </w:r>
            <w:r>
              <w:rPr>
                <w:spacing w:val="-2"/>
                <w:w w:val="105"/>
                <w:sz w:val="21"/>
              </w:rPr>
              <w:t>sésseis</w:t>
            </w:r>
          </w:p>
        </w:tc>
      </w:tr>
      <w:tr>
        <w:trPr>
          <w:trHeight w:val="428" w:hRule="atLeast"/>
        </w:trPr>
        <w:tc>
          <w:tcPr>
            <w:tcW w:w="4252" w:type="dxa"/>
            <w:tcBorders>
              <w:left w:val="nil"/>
            </w:tcBorders>
            <w:shd w:val="clear" w:color="auto" w:fill="EDECF3"/>
          </w:tcPr>
          <w:p>
            <w:pPr>
              <w:pStyle w:val="TableParagraph"/>
              <w:spacing w:before="89"/>
              <w:ind w:left="67"/>
              <w:rPr>
                <w:rFonts w:ascii="Arial"/>
                <w:b/>
                <w:sz w:val="21"/>
              </w:rPr>
            </w:pPr>
            <w:r>
              <w:rPr>
                <w:rFonts w:ascii="Arial"/>
                <w:b/>
                <w:spacing w:val="-2"/>
                <w:w w:val="105"/>
                <w:sz w:val="21"/>
              </w:rPr>
              <w:t>Crescimento</w:t>
            </w:r>
          </w:p>
        </w:tc>
        <w:tc>
          <w:tcPr>
            <w:tcW w:w="6366" w:type="dxa"/>
            <w:tcBorders>
              <w:right w:val="nil"/>
            </w:tcBorders>
            <w:shd w:val="clear" w:color="auto" w:fill="EDECF3"/>
          </w:tcPr>
          <w:p>
            <w:pPr>
              <w:pStyle w:val="TableParagraph"/>
              <w:ind w:left="66"/>
              <w:rPr>
                <w:sz w:val="21"/>
              </w:rPr>
            </w:pPr>
            <w:r>
              <w:rPr>
                <w:w w:val="105"/>
                <w:sz w:val="21"/>
              </w:rPr>
              <w:t>Intracavitários,</w:t>
            </w:r>
            <w:r>
              <w:rPr>
                <w:spacing w:val="25"/>
                <w:w w:val="105"/>
                <w:sz w:val="21"/>
              </w:rPr>
              <w:t> </w:t>
            </w:r>
            <w:r>
              <w:rPr>
                <w:w w:val="105"/>
                <w:sz w:val="21"/>
              </w:rPr>
              <w:t>intramurais</w:t>
            </w:r>
            <w:r>
              <w:rPr>
                <w:spacing w:val="25"/>
                <w:w w:val="105"/>
                <w:sz w:val="21"/>
              </w:rPr>
              <w:t> </w:t>
            </w:r>
            <w:r>
              <w:rPr>
                <w:w w:val="105"/>
                <w:sz w:val="21"/>
              </w:rPr>
              <w:t>ou</w:t>
            </w:r>
            <w:r>
              <w:rPr>
                <w:spacing w:val="30"/>
                <w:w w:val="105"/>
                <w:sz w:val="21"/>
              </w:rPr>
              <w:t> </w:t>
            </w:r>
            <w:r>
              <w:rPr>
                <w:spacing w:val="-2"/>
                <w:w w:val="105"/>
                <w:sz w:val="21"/>
              </w:rPr>
              <w:t>intrapericárdicos</w:t>
            </w:r>
          </w:p>
        </w:tc>
      </w:tr>
      <w:tr>
        <w:trPr>
          <w:trHeight w:val="428" w:hRule="atLeast"/>
        </w:trPr>
        <w:tc>
          <w:tcPr>
            <w:tcW w:w="4252" w:type="dxa"/>
            <w:tcBorders>
              <w:left w:val="nil"/>
            </w:tcBorders>
            <w:shd w:val="clear" w:color="auto" w:fill="EDECF3"/>
          </w:tcPr>
          <w:p>
            <w:pPr>
              <w:pStyle w:val="TableParagraph"/>
              <w:spacing w:before="89"/>
              <w:ind w:left="67"/>
              <w:rPr>
                <w:rFonts w:ascii="Arial"/>
                <w:b/>
                <w:sz w:val="21"/>
              </w:rPr>
            </w:pPr>
            <w:r>
              <w:rPr>
                <w:rFonts w:ascii="Arial"/>
                <w:b/>
                <w:spacing w:val="-2"/>
                <w:w w:val="105"/>
                <w:sz w:val="21"/>
              </w:rPr>
              <w:t>Limites</w:t>
            </w:r>
          </w:p>
        </w:tc>
        <w:tc>
          <w:tcPr>
            <w:tcW w:w="6366" w:type="dxa"/>
            <w:tcBorders>
              <w:right w:val="nil"/>
            </w:tcBorders>
            <w:shd w:val="clear" w:color="auto" w:fill="EDECF3"/>
          </w:tcPr>
          <w:p>
            <w:pPr>
              <w:pStyle w:val="TableParagraph"/>
              <w:ind w:left="66"/>
              <w:rPr>
                <w:sz w:val="21"/>
              </w:rPr>
            </w:pPr>
            <w:r>
              <w:rPr>
                <w:w w:val="105"/>
                <w:sz w:val="21"/>
              </w:rPr>
              <w:t>Precisos</w:t>
            </w:r>
            <w:r>
              <w:rPr>
                <w:spacing w:val="12"/>
                <w:w w:val="105"/>
                <w:sz w:val="21"/>
              </w:rPr>
              <w:t> </w:t>
            </w:r>
            <w:r>
              <w:rPr>
                <w:w w:val="105"/>
                <w:sz w:val="21"/>
              </w:rPr>
              <w:t>ou</w:t>
            </w:r>
            <w:r>
              <w:rPr>
                <w:spacing w:val="17"/>
                <w:w w:val="105"/>
                <w:sz w:val="21"/>
              </w:rPr>
              <w:t> </w:t>
            </w:r>
            <w:r>
              <w:rPr>
                <w:spacing w:val="-2"/>
                <w:w w:val="105"/>
                <w:sz w:val="21"/>
              </w:rPr>
              <w:t>imprecisos</w:t>
            </w:r>
          </w:p>
        </w:tc>
      </w:tr>
      <w:tr>
        <w:trPr>
          <w:trHeight w:val="428" w:hRule="atLeast"/>
        </w:trPr>
        <w:tc>
          <w:tcPr>
            <w:tcW w:w="4252" w:type="dxa"/>
            <w:tcBorders>
              <w:left w:val="nil"/>
            </w:tcBorders>
            <w:shd w:val="clear" w:color="auto" w:fill="EDECF3"/>
          </w:tcPr>
          <w:p>
            <w:pPr>
              <w:pStyle w:val="TableParagraph"/>
              <w:spacing w:before="89"/>
              <w:ind w:left="67"/>
              <w:rPr>
                <w:rFonts w:ascii="Arial" w:hAnsi="Arial"/>
                <w:b/>
                <w:sz w:val="21"/>
              </w:rPr>
            </w:pPr>
            <w:r>
              <w:rPr>
                <w:rFonts w:ascii="Arial" w:hAnsi="Arial"/>
                <w:b/>
                <w:w w:val="105"/>
                <w:sz w:val="21"/>
              </w:rPr>
              <w:t>Textura</w:t>
            </w:r>
            <w:r>
              <w:rPr>
                <w:rFonts w:ascii="Arial" w:hAnsi="Arial"/>
                <w:b/>
                <w:spacing w:val="-1"/>
                <w:w w:val="105"/>
                <w:sz w:val="21"/>
              </w:rPr>
              <w:t> </w:t>
            </w:r>
            <w:r>
              <w:rPr>
                <w:rFonts w:ascii="Arial" w:hAnsi="Arial"/>
                <w:b/>
                <w:spacing w:val="-2"/>
                <w:w w:val="105"/>
                <w:sz w:val="21"/>
              </w:rPr>
              <w:t>ecográfica</w:t>
            </w:r>
          </w:p>
        </w:tc>
        <w:tc>
          <w:tcPr>
            <w:tcW w:w="6366" w:type="dxa"/>
            <w:tcBorders>
              <w:right w:val="nil"/>
            </w:tcBorders>
            <w:shd w:val="clear" w:color="auto" w:fill="EDECF3"/>
          </w:tcPr>
          <w:p>
            <w:pPr>
              <w:pStyle w:val="TableParagraph"/>
              <w:ind w:left="66"/>
              <w:rPr>
                <w:sz w:val="21"/>
              </w:rPr>
            </w:pPr>
            <w:r>
              <w:rPr>
                <w:w w:val="105"/>
                <w:sz w:val="21"/>
              </w:rPr>
              <w:t>Homogênea</w:t>
            </w:r>
            <w:r>
              <w:rPr>
                <w:spacing w:val="20"/>
                <w:w w:val="105"/>
                <w:sz w:val="21"/>
              </w:rPr>
              <w:t> </w:t>
            </w:r>
            <w:r>
              <w:rPr>
                <w:w w:val="105"/>
                <w:sz w:val="21"/>
              </w:rPr>
              <w:t>ou</w:t>
            </w:r>
            <w:r>
              <w:rPr>
                <w:spacing w:val="21"/>
                <w:w w:val="105"/>
                <w:sz w:val="21"/>
              </w:rPr>
              <w:t> </w:t>
            </w:r>
            <w:r>
              <w:rPr>
                <w:spacing w:val="-2"/>
                <w:w w:val="105"/>
                <w:sz w:val="21"/>
              </w:rPr>
              <w:t>heterogênea</w:t>
            </w:r>
          </w:p>
        </w:tc>
      </w:tr>
      <w:tr>
        <w:trPr>
          <w:trHeight w:val="691" w:hRule="atLeast"/>
        </w:trPr>
        <w:tc>
          <w:tcPr>
            <w:tcW w:w="4252" w:type="dxa"/>
            <w:tcBorders>
              <w:left w:val="nil"/>
              <w:bottom w:val="nil"/>
            </w:tcBorders>
            <w:shd w:val="clear" w:color="auto" w:fill="EDECF3"/>
          </w:tcPr>
          <w:p>
            <w:pPr>
              <w:pStyle w:val="TableParagraph"/>
              <w:spacing w:line="300" w:lineRule="atLeast" w:before="30"/>
              <w:ind w:left="67"/>
              <w:rPr>
                <w:rFonts w:ascii="Arial" w:hAnsi="Arial"/>
                <w:b/>
                <w:sz w:val="21"/>
              </w:rPr>
            </w:pPr>
            <w:r>
              <w:rPr>
                <w:rFonts w:ascii="Arial" w:hAnsi="Arial"/>
                <w:b/>
                <w:w w:val="105"/>
                <w:sz w:val="21"/>
              </w:rPr>
              <w:t>Densidade acústica (em relação </w:t>
            </w:r>
            <w:r>
              <w:rPr>
                <w:rFonts w:ascii="Arial" w:hAnsi="Arial"/>
                <w:b/>
                <w:w w:val="105"/>
                <w:sz w:val="21"/>
              </w:rPr>
              <w:t>ao </w:t>
            </w:r>
            <w:r>
              <w:rPr>
                <w:rFonts w:ascii="Arial" w:hAnsi="Arial"/>
                <w:b/>
                <w:spacing w:val="-2"/>
                <w:w w:val="105"/>
                <w:sz w:val="21"/>
              </w:rPr>
              <w:t>miocárdio)</w:t>
            </w:r>
          </w:p>
        </w:tc>
        <w:tc>
          <w:tcPr>
            <w:tcW w:w="6366" w:type="dxa"/>
            <w:tcBorders>
              <w:bottom w:val="nil"/>
              <w:right w:val="nil"/>
            </w:tcBorders>
            <w:shd w:val="clear" w:color="auto" w:fill="EDECF3"/>
          </w:tcPr>
          <w:p>
            <w:pPr>
              <w:pStyle w:val="TableParagraph"/>
              <w:ind w:left="66"/>
              <w:rPr>
                <w:sz w:val="21"/>
              </w:rPr>
            </w:pPr>
            <w:r>
              <w:rPr>
                <w:w w:val="105"/>
                <w:sz w:val="21"/>
              </w:rPr>
              <w:t>Hipo,</w:t>
            </w:r>
            <w:r>
              <w:rPr>
                <w:spacing w:val="13"/>
                <w:w w:val="105"/>
                <w:sz w:val="21"/>
              </w:rPr>
              <w:t> </w:t>
            </w:r>
            <w:r>
              <w:rPr>
                <w:w w:val="105"/>
                <w:sz w:val="21"/>
              </w:rPr>
              <w:t>hiper</w:t>
            </w:r>
            <w:r>
              <w:rPr>
                <w:spacing w:val="18"/>
                <w:w w:val="105"/>
                <w:sz w:val="21"/>
              </w:rPr>
              <w:t> </w:t>
            </w:r>
            <w:r>
              <w:rPr>
                <w:w w:val="105"/>
                <w:sz w:val="21"/>
              </w:rPr>
              <w:t>ou</w:t>
            </w:r>
            <w:r>
              <w:rPr>
                <w:spacing w:val="17"/>
                <w:w w:val="105"/>
                <w:sz w:val="21"/>
              </w:rPr>
              <w:t> </w:t>
            </w:r>
            <w:r>
              <w:rPr>
                <w:spacing w:val="-2"/>
                <w:w w:val="105"/>
                <w:sz w:val="21"/>
              </w:rPr>
              <w:t>isoecogênica</w:t>
            </w:r>
          </w:p>
        </w:tc>
      </w:tr>
    </w:tbl>
    <w:p>
      <w:pPr>
        <w:pStyle w:val="TableParagraph"/>
        <w:spacing w:after="0"/>
        <w:rPr>
          <w:sz w:val="21"/>
        </w:rPr>
        <w:sectPr>
          <w:pgSz w:w="11900" w:h="16840"/>
          <w:pgMar w:top="220" w:bottom="0" w:left="566" w:right="141"/>
        </w:sectPr>
      </w:pPr>
    </w:p>
    <w:tbl>
      <w:tblPr>
        <w:tblW w:w="0" w:type="auto"/>
        <w:jc w:val="left"/>
        <w:tblInd w:w="7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4252"/>
        <w:gridCol w:w="6350"/>
      </w:tblGrid>
      <w:tr>
        <w:trPr>
          <w:trHeight w:val="428" w:hRule="atLeast"/>
        </w:trPr>
        <w:tc>
          <w:tcPr>
            <w:tcW w:w="4252" w:type="dxa"/>
            <w:tcBorders>
              <w:left w:val="nil"/>
            </w:tcBorders>
            <w:shd w:val="clear" w:color="auto" w:fill="EDECF3"/>
          </w:tcPr>
          <w:p>
            <w:pPr>
              <w:pStyle w:val="TableParagraph"/>
              <w:spacing w:before="89"/>
              <w:ind w:left="67"/>
              <w:rPr>
                <w:rFonts w:ascii="Arial"/>
                <w:b/>
                <w:sz w:val="21"/>
              </w:rPr>
            </w:pPr>
            <w:r>
              <w:rPr>
                <w:rFonts w:ascii="Arial"/>
                <w:b/>
                <w:spacing w:val="-2"/>
                <w:w w:val="105"/>
                <w:sz w:val="21"/>
              </w:rPr>
              <w:t>Forma</w:t>
            </w:r>
          </w:p>
        </w:tc>
        <w:tc>
          <w:tcPr>
            <w:tcW w:w="6350" w:type="dxa"/>
            <w:tcBorders>
              <w:right w:val="nil"/>
            </w:tcBorders>
            <w:shd w:val="clear" w:color="auto" w:fill="EDECF3"/>
          </w:tcPr>
          <w:p>
            <w:pPr>
              <w:pStyle w:val="TableParagraph"/>
              <w:ind w:left="66"/>
              <w:rPr>
                <w:sz w:val="21"/>
              </w:rPr>
            </w:pPr>
            <w:r>
              <w:rPr>
                <w:w w:val="105"/>
                <w:sz w:val="21"/>
              </w:rPr>
              <w:t>Geométrica</w:t>
            </w:r>
            <w:r>
              <w:rPr>
                <w:spacing w:val="18"/>
                <w:w w:val="105"/>
                <w:sz w:val="21"/>
              </w:rPr>
              <w:t> </w:t>
            </w:r>
            <w:r>
              <w:rPr>
                <w:w w:val="105"/>
                <w:sz w:val="21"/>
              </w:rPr>
              <w:t>ou</w:t>
            </w:r>
            <w:r>
              <w:rPr>
                <w:spacing w:val="19"/>
                <w:w w:val="105"/>
                <w:sz w:val="21"/>
              </w:rPr>
              <w:t> </w:t>
            </w:r>
            <w:r>
              <w:rPr>
                <w:spacing w:val="-2"/>
                <w:w w:val="105"/>
                <w:sz w:val="21"/>
              </w:rPr>
              <w:t>bizarra</w:t>
            </w:r>
          </w:p>
        </w:tc>
      </w:tr>
      <w:tr>
        <w:trPr>
          <w:trHeight w:val="428" w:hRule="atLeast"/>
        </w:trPr>
        <w:tc>
          <w:tcPr>
            <w:tcW w:w="4252" w:type="dxa"/>
            <w:tcBorders>
              <w:left w:val="nil"/>
            </w:tcBorders>
            <w:shd w:val="clear" w:color="auto" w:fill="EDECF3"/>
          </w:tcPr>
          <w:p>
            <w:pPr>
              <w:pStyle w:val="TableParagraph"/>
              <w:spacing w:before="89"/>
              <w:ind w:left="67"/>
              <w:rPr>
                <w:rFonts w:ascii="Arial" w:hAnsi="Arial"/>
                <w:b/>
                <w:sz w:val="21"/>
              </w:rPr>
            </w:pPr>
            <w:r>
              <w:rPr>
                <w:rFonts w:ascii="Arial" w:hAnsi="Arial"/>
                <w:b/>
                <w:w w:val="105"/>
                <w:sz w:val="21"/>
              </w:rPr>
              <w:t>Núcleos de </w:t>
            </w:r>
            <w:r>
              <w:rPr>
                <w:rFonts w:ascii="Arial" w:hAnsi="Arial"/>
                <w:b/>
                <w:spacing w:val="-2"/>
                <w:w w:val="105"/>
                <w:sz w:val="21"/>
              </w:rPr>
              <w:t>crescimento</w:t>
            </w:r>
          </w:p>
        </w:tc>
        <w:tc>
          <w:tcPr>
            <w:tcW w:w="6350" w:type="dxa"/>
            <w:tcBorders>
              <w:right w:val="nil"/>
            </w:tcBorders>
            <w:shd w:val="clear" w:color="auto" w:fill="EDECF3"/>
          </w:tcPr>
          <w:p>
            <w:pPr>
              <w:pStyle w:val="TableParagraph"/>
              <w:ind w:left="66"/>
              <w:rPr>
                <w:sz w:val="21"/>
              </w:rPr>
            </w:pPr>
            <w:r>
              <w:rPr>
                <w:w w:val="105"/>
                <w:sz w:val="21"/>
              </w:rPr>
              <w:t>Unicêntricos</w:t>
            </w:r>
            <w:r>
              <w:rPr>
                <w:spacing w:val="18"/>
                <w:w w:val="105"/>
                <w:sz w:val="21"/>
              </w:rPr>
              <w:t> </w:t>
            </w:r>
            <w:r>
              <w:rPr>
                <w:w w:val="105"/>
                <w:sz w:val="21"/>
              </w:rPr>
              <w:t>ou</w:t>
            </w:r>
            <w:r>
              <w:rPr>
                <w:spacing w:val="23"/>
                <w:w w:val="105"/>
                <w:sz w:val="21"/>
              </w:rPr>
              <w:t> </w:t>
            </w:r>
            <w:r>
              <w:rPr>
                <w:spacing w:val="-2"/>
                <w:w w:val="105"/>
                <w:sz w:val="21"/>
              </w:rPr>
              <w:t>multicêntricos</w:t>
            </w:r>
          </w:p>
        </w:tc>
      </w:tr>
      <w:tr>
        <w:trPr>
          <w:trHeight w:val="428" w:hRule="atLeast"/>
        </w:trPr>
        <w:tc>
          <w:tcPr>
            <w:tcW w:w="4252" w:type="dxa"/>
            <w:tcBorders>
              <w:left w:val="nil"/>
            </w:tcBorders>
            <w:shd w:val="clear" w:color="auto" w:fill="EDECF3"/>
          </w:tcPr>
          <w:p>
            <w:pPr>
              <w:pStyle w:val="TableParagraph"/>
              <w:spacing w:before="89"/>
              <w:ind w:left="67"/>
              <w:rPr>
                <w:rFonts w:ascii="Arial" w:hAnsi="Arial"/>
                <w:b/>
                <w:sz w:val="21"/>
              </w:rPr>
            </w:pPr>
            <w:r>
              <w:rPr>
                <w:rFonts w:ascii="Arial" w:hAnsi="Arial"/>
                <w:b/>
                <w:spacing w:val="-2"/>
                <w:w w:val="105"/>
                <w:sz w:val="21"/>
              </w:rPr>
              <w:t>Dimensões</w:t>
            </w:r>
          </w:p>
        </w:tc>
        <w:tc>
          <w:tcPr>
            <w:tcW w:w="6350" w:type="dxa"/>
            <w:tcBorders>
              <w:right w:val="nil"/>
            </w:tcBorders>
            <w:shd w:val="clear" w:color="auto" w:fill="EDECF3"/>
          </w:tcPr>
          <w:p>
            <w:pPr>
              <w:pStyle w:val="TableParagraph"/>
              <w:ind w:left="66"/>
              <w:rPr>
                <w:sz w:val="21"/>
              </w:rPr>
            </w:pPr>
            <w:r>
              <w:rPr>
                <w:w w:val="105"/>
                <w:sz w:val="21"/>
              </w:rPr>
              <w:t>Aferindo</w:t>
            </w:r>
            <w:r>
              <w:rPr>
                <w:spacing w:val="25"/>
                <w:w w:val="105"/>
                <w:sz w:val="21"/>
              </w:rPr>
              <w:t> </w:t>
            </w:r>
            <w:r>
              <w:rPr>
                <w:w w:val="105"/>
                <w:sz w:val="21"/>
              </w:rPr>
              <w:t>os</w:t>
            </w:r>
            <w:r>
              <w:rPr>
                <w:spacing w:val="21"/>
                <w:w w:val="105"/>
                <w:sz w:val="21"/>
              </w:rPr>
              <w:t> </w:t>
            </w:r>
            <w:r>
              <w:rPr>
                <w:w w:val="105"/>
                <w:sz w:val="21"/>
              </w:rPr>
              <w:t>dois</w:t>
            </w:r>
            <w:r>
              <w:rPr>
                <w:spacing w:val="20"/>
                <w:w w:val="105"/>
                <w:sz w:val="21"/>
              </w:rPr>
              <w:t> </w:t>
            </w:r>
            <w:r>
              <w:rPr>
                <w:w w:val="105"/>
                <w:sz w:val="21"/>
              </w:rPr>
              <w:t>maiores</w:t>
            </w:r>
            <w:r>
              <w:rPr>
                <w:spacing w:val="21"/>
                <w:w w:val="105"/>
                <w:sz w:val="21"/>
              </w:rPr>
              <w:t> </w:t>
            </w:r>
            <w:r>
              <w:rPr>
                <w:w w:val="105"/>
                <w:sz w:val="21"/>
              </w:rPr>
              <w:t>eixos</w:t>
            </w:r>
            <w:r>
              <w:rPr>
                <w:spacing w:val="21"/>
                <w:w w:val="105"/>
                <w:sz w:val="21"/>
              </w:rPr>
              <w:t> </w:t>
            </w:r>
            <w:r>
              <w:rPr>
                <w:w w:val="105"/>
                <w:sz w:val="21"/>
              </w:rPr>
              <w:t>perpendiculares</w:t>
            </w:r>
            <w:r>
              <w:rPr>
                <w:spacing w:val="21"/>
                <w:w w:val="105"/>
                <w:sz w:val="21"/>
              </w:rPr>
              <w:t> </w:t>
            </w:r>
            <w:r>
              <w:rPr>
                <w:w w:val="105"/>
                <w:sz w:val="21"/>
              </w:rPr>
              <w:t>entre</w:t>
            </w:r>
            <w:r>
              <w:rPr>
                <w:spacing w:val="25"/>
                <w:w w:val="105"/>
                <w:sz w:val="21"/>
              </w:rPr>
              <w:t> </w:t>
            </w:r>
            <w:r>
              <w:rPr>
                <w:spacing w:val="-5"/>
                <w:w w:val="105"/>
                <w:sz w:val="21"/>
              </w:rPr>
              <w:t>si</w:t>
            </w:r>
          </w:p>
        </w:tc>
      </w:tr>
      <w:tr>
        <w:trPr>
          <w:trHeight w:val="430" w:hRule="atLeast"/>
        </w:trPr>
        <w:tc>
          <w:tcPr>
            <w:tcW w:w="4252" w:type="dxa"/>
            <w:tcBorders>
              <w:left w:val="nil"/>
              <w:bottom w:val="nil"/>
            </w:tcBorders>
            <w:shd w:val="clear" w:color="auto" w:fill="EDECF3"/>
          </w:tcPr>
          <w:p>
            <w:pPr>
              <w:pStyle w:val="TableParagraph"/>
              <w:spacing w:before="89"/>
              <w:ind w:left="67"/>
              <w:rPr>
                <w:rFonts w:ascii="Arial" w:hAnsi="Arial"/>
                <w:b/>
                <w:sz w:val="21"/>
              </w:rPr>
            </w:pPr>
            <w:r>
              <w:rPr>
                <w:rFonts w:ascii="Arial" w:hAnsi="Arial"/>
                <w:b/>
                <w:spacing w:val="2"/>
                <w:sz w:val="21"/>
              </w:rPr>
              <w:t>Repercussão</w:t>
            </w:r>
            <w:r>
              <w:rPr>
                <w:rFonts w:ascii="Arial" w:hAnsi="Arial"/>
                <w:b/>
                <w:spacing w:val="46"/>
                <w:sz w:val="21"/>
              </w:rPr>
              <w:t> </w:t>
            </w:r>
            <w:r>
              <w:rPr>
                <w:rFonts w:ascii="Arial" w:hAnsi="Arial"/>
                <w:b/>
                <w:spacing w:val="-2"/>
                <w:sz w:val="21"/>
              </w:rPr>
              <w:t>hemodinâmica</w:t>
            </w:r>
          </w:p>
        </w:tc>
        <w:tc>
          <w:tcPr>
            <w:tcW w:w="6350" w:type="dxa"/>
            <w:tcBorders>
              <w:bottom w:val="nil"/>
              <w:right w:val="nil"/>
            </w:tcBorders>
            <w:shd w:val="clear" w:color="auto" w:fill="EDECF3"/>
          </w:tcPr>
          <w:p>
            <w:pPr>
              <w:pStyle w:val="TableParagraph"/>
              <w:ind w:left="66"/>
              <w:rPr>
                <w:sz w:val="21"/>
              </w:rPr>
            </w:pPr>
            <w:r>
              <w:rPr>
                <w:w w:val="105"/>
                <w:sz w:val="21"/>
              </w:rPr>
              <w:t>Obstruções</w:t>
            </w:r>
            <w:r>
              <w:rPr>
                <w:spacing w:val="16"/>
                <w:w w:val="105"/>
                <w:sz w:val="21"/>
              </w:rPr>
              <w:t> </w:t>
            </w:r>
            <w:r>
              <w:rPr>
                <w:w w:val="105"/>
                <w:sz w:val="21"/>
              </w:rPr>
              <w:t>ao</w:t>
            </w:r>
            <w:r>
              <w:rPr>
                <w:spacing w:val="21"/>
                <w:w w:val="105"/>
                <w:sz w:val="21"/>
              </w:rPr>
              <w:t> </w:t>
            </w:r>
            <w:r>
              <w:rPr>
                <w:w w:val="105"/>
                <w:sz w:val="21"/>
              </w:rPr>
              <w:t>fluxo</w:t>
            </w:r>
            <w:r>
              <w:rPr>
                <w:spacing w:val="21"/>
                <w:w w:val="105"/>
                <w:sz w:val="21"/>
              </w:rPr>
              <w:t> </w:t>
            </w:r>
            <w:r>
              <w:rPr>
                <w:w w:val="105"/>
                <w:sz w:val="21"/>
              </w:rPr>
              <w:t>ou</w:t>
            </w:r>
            <w:r>
              <w:rPr>
                <w:spacing w:val="21"/>
                <w:w w:val="105"/>
                <w:sz w:val="21"/>
              </w:rPr>
              <w:t> </w:t>
            </w:r>
            <w:r>
              <w:rPr>
                <w:w w:val="105"/>
                <w:sz w:val="21"/>
              </w:rPr>
              <w:t>efeito</w:t>
            </w:r>
            <w:r>
              <w:rPr>
                <w:spacing w:val="21"/>
                <w:w w:val="105"/>
                <w:sz w:val="21"/>
              </w:rPr>
              <w:t> </w:t>
            </w:r>
            <w:r>
              <w:rPr>
                <w:spacing w:val="-2"/>
                <w:w w:val="105"/>
                <w:sz w:val="21"/>
              </w:rPr>
              <w:t>massa</w:t>
            </w:r>
          </w:p>
        </w:tc>
      </w:tr>
    </w:tbl>
    <w:p>
      <w:pPr>
        <w:pStyle w:val="BodyText"/>
        <w:spacing w:before="102"/>
        <w:ind w:left="0" w:firstLine="0"/>
        <w:jc w:val="left"/>
        <w:rPr>
          <w:rFonts w:ascii="Microsoft Sans Serif"/>
          <w:sz w:val="30"/>
        </w:rPr>
      </w:pPr>
    </w:p>
    <w:p>
      <w:pPr>
        <w:pStyle w:val="Heading5"/>
      </w:pPr>
      <w:r>
        <w:rPr>
          <w:color w:val="A26108"/>
        </w:rPr>
        <w:t>Tomografia</w:t>
      </w:r>
      <w:r>
        <w:rPr>
          <w:color w:val="A26108"/>
          <w:spacing w:val="27"/>
        </w:rPr>
        <w:t> </w:t>
      </w:r>
      <w:r>
        <w:rPr>
          <w:color w:val="A26108"/>
        </w:rPr>
        <w:t>computadorizada</w:t>
      </w:r>
      <w:r>
        <w:rPr>
          <w:color w:val="A26108"/>
          <w:spacing w:val="28"/>
        </w:rPr>
        <w:t> </w:t>
      </w:r>
      <w:r>
        <w:rPr>
          <w:color w:val="A26108"/>
        </w:rPr>
        <w:t>e</w:t>
      </w:r>
      <w:r>
        <w:rPr>
          <w:color w:val="A26108"/>
          <w:spacing w:val="27"/>
        </w:rPr>
        <w:t> </w:t>
      </w:r>
      <w:r>
        <w:rPr>
          <w:color w:val="A26108"/>
        </w:rPr>
        <w:t>imagem</w:t>
      </w:r>
      <w:r>
        <w:rPr>
          <w:color w:val="A26108"/>
          <w:spacing w:val="28"/>
        </w:rPr>
        <w:t> </w:t>
      </w:r>
      <w:r>
        <w:rPr>
          <w:color w:val="A26108"/>
        </w:rPr>
        <w:t>por</w:t>
      </w:r>
      <w:r>
        <w:rPr>
          <w:color w:val="A26108"/>
          <w:spacing w:val="27"/>
        </w:rPr>
        <w:t> </w:t>
      </w:r>
      <w:r>
        <w:rPr>
          <w:color w:val="A26108"/>
        </w:rPr>
        <w:t>ressonância</w:t>
      </w:r>
      <w:r>
        <w:rPr>
          <w:color w:val="A26108"/>
          <w:spacing w:val="28"/>
        </w:rPr>
        <w:t> </w:t>
      </w:r>
      <w:r>
        <w:rPr>
          <w:color w:val="A26108"/>
          <w:spacing w:val="-2"/>
        </w:rPr>
        <w:t>magnética</w:t>
      </w:r>
    </w:p>
    <w:p>
      <w:pPr>
        <w:pStyle w:val="BodyText"/>
        <w:spacing w:line="280" w:lineRule="auto" w:before="139"/>
        <w:ind w:right="501"/>
      </w:pPr>
      <w:r>
        <w:rPr/>
        <w:t>Tumores com pelo menos 0,5 a 1 cm de diâmetro podem ser identificados por TC e RM, e em muitos casos podem ser caracterizados o tamanho, o formato e a superfície. A vantagem desses métodos é que também avaliam coração, mediastino e pulmão. Além disso, podem diferenciar a composição da massa em sólida, líquida, hemorrágica e tecido gorduroso.</w:t>
      </w:r>
      <w:r>
        <w:rPr>
          <w:vertAlign w:val="superscript"/>
        </w:rPr>
        <w:t>26–28</w:t>
      </w:r>
    </w:p>
    <w:p>
      <w:pPr>
        <w:pStyle w:val="BodyText"/>
        <w:spacing w:before="180"/>
        <w:ind w:left="0" w:firstLine="0"/>
        <w:jc w:val="left"/>
      </w:pPr>
    </w:p>
    <w:p>
      <w:pPr>
        <w:pStyle w:val="Heading4"/>
      </w:pPr>
      <w:r>
        <w:rPr>
          <w:color w:val="242B67"/>
          <w:spacing w:val="-2"/>
        </w:rPr>
        <w:t>Angiografia</w:t>
      </w:r>
    </w:p>
    <w:p>
      <w:pPr>
        <w:pStyle w:val="BodyText"/>
        <w:spacing w:line="280" w:lineRule="auto" w:before="132"/>
        <w:ind w:right="488"/>
      </w:pPr>
      <w:r>
        <w:rPr/>
        <w:t>A angiografia cardíaca não é necessária em todos os casos de tumores cardíacos, pois como já visto, a ecocardiografia, a</w:t>
      </w:r>
      <w:r>
        <w:rPr>
          <w:spacing w:val="-5"/>
        </w:rPr>
        <w:t> </w:t>
      </w:r>
      <w:r>
        <w:rPr/>
        <w:t>TC e</w:t>
      </w:r>
      <w:r>
        <w:rPr>
          <w:spacing w:val="-5"/>
        </w:rPr>
        <w:t> </w:t>
      </w:r>
      <w:r>
        <w:rPr/>
        <w:t>a</w:t>
      </w:r>
      <w:r>
        <w:rPr>
          <w:spacing w:val="-5"/>
        </w:rPr>
        <w:t> </w:t>
      </w:r>
      <w:r>
        <w:rPr/>
        <w:t>RM são</w:t>
      </w:r>
      <w:r>
        <w:rPr>
          <w:spacing w:val="-2"/>
        </w:rPr>
        <w:t> </w:t>
      </w:r>
      <w:r>
        <w:rPr/>
        <w:t>suficientes na</w:t>
      </w:r>
      <w:r>
        <w:rPr>
          <w:spacing w:val="-5"/>
        </w:rPr>
        <w:t> </w:t>
      </w:r>
      <w:r>
        <w:rPr/>
        <w:t>maioria</w:t>
      </w:r>
      <w:r>
        <w:rPr>
          <w:spacing w:val="-5"/>
        </w:rPr>
        <w:t> </w:t>
      </w:r>
      <w:r>
        <w:rPr/>
        <w:t>dos casos. Desse</w:t>
      </w:r>
      <w:r>
        <w:rPr>
          <w:spacing w:val="-5"/>
        </w:rPr>
        <w:t> </w:t>
      </w:r>
      <w:r>
        <w:rPr/>
        <w:t>modo, é</w:t>
      </w:r>
      <w:r>
        <w:rPr>
          <w:spacing w:val="-5"/>
        </w:rPr>
        <w:t> </w:t>
      </w:r>
      <w:r>
        <w:rPr/>
        <w:t>reservada</w:t>
      </w:r>
      <w:r>
        <w:rPr>
          <w:spacing w:val="-5"/>
        </w:rPr>
        <w:t> </w:t>
      </w:r>
      <w:r>
        <w:rPr/>
        <w:t>para</w:t>
      </w:r>
      <w:r>
        <w:rPr>
          <w:spacing w:val="-5"/>
        </w:rPr>
        <w:t> </w:t>
      </w:r>
      <w:r>
        <w:rPr/>
        <w:t>situações em</w:t>
      </w:r>
      <w:r>
        <w:rPr>
          <w:spacing w:val="-2"/>
        </w:rPr>
        <w:t> </w:t>
      </w:r>
      <w:r>
        <w:rPr/>
        <w:t>que a</w:t>
      </w:r>
      <w:r>
        <w:rPr>
          <w:spacing w:val="-1"/>
        </w:rPr>
        <w:t> </w:t>
      </w:r>
      <w:r>
        <w:rPr/>
        <w:t>avaliação não invasiva</w:t>
      </w:r>
      <w:r>
        <w:rPr>
          <w:spacing w:val="-1"/>
        </w:rPr>
        <w:t> </w:t>
      </w:r>
      <w:r>
        <w:rPr/>
        <w:t>não foi definitiva</w:t>
      </w:r>
      <w:r>
        <w:rPr>
          <w:spacing w:val="-1"/>
        </w:rPr>
        <w:t> </w:t>
      </w:r>
      <w:r>
        <w:rPr/>
        <w:t>ou quando há</w:t>
      </w:r>
      <w:r>
        <w:rPr>
          <w:spacing w:val="-1"/>
        </w:rPr>
        <w:t> </w:t>
      </w:r>
      <w:r>
        <w:rPr/>
        <w:t>suspeita</w:t>
      </w:r>
      <w:r>
        <w:rPr>
          <w:spacing w:val="-1"/>
        </w:rPr>
        <w:t> </w:t>
      </w:r>
      <w:r>
        <w:rPr/>
        <w:t>de</w:t>
      </w:r>
      <w:r>
        <w:rPr>
          <w:spacing w:val="-1"/>
        </w:rPr>
        <w:t> </w:t>
      </w:r>
      <w:r>
        <w:rPr/>
        <w:t>outras patologias coexistentes ou de</w:t>
      </w:r>
      <w:r>
        <w:rPr>
          <w:spacing w:val="-1"/>
        </w:rPr>
        <w:t> </w:t>
      </w:r>
      <w:r>
        <w:rPr/>
        <w:t>ser tumor </w:t>
      </w:r>
      <w:r>
        <w:rPr>
          <w:spacing w:val="-2"/>
        </w:rPr>
        <w:t>maligno.</w:t>
      </w:r>
      <w:r>
        <w:rPr>
          <w:spacing w:val="-2"/>
          <w:vertAlign w:val="superscript"/>
        </w:rPr>
        <w:t>29,30</w:t>
      </w:r>
    </w:p>
    <w:p>
      <w:pPr>
        <w:pStyle w:val="BodyText"/>
        <w:spacing w:before="181"/>
        <w:ind w:left="0" w:firstLine="0"/>
        <w:jc w:val="left"/>
      </w:pPr>
    </w:p>
    <w:p>
      <w:pPr>
        <w:pStyle w:val="Heading4"/>
      </w:pPr>
      <w:r>
        <w:rPr>
          <w:color w:val="242B67"/>
          <w:spacing w:val="-2"/>
        </w:rPr>
        <w:t>Tratamento</w:t>
      </w:r>
    </w:p>
    <w:p>
      <w:pPr>
        <w:pStyle w:val="Heading5"/>
        <w:spacing w:before="193"/>
      </w:pPr>
      <w:r>
        <w:rPr>
          <w:color w:val="A26108"/>
        </w:rPr>
        <w:t>Tumores</w:t>
      </w:r>
      <w:r>
        <w:rPr>
          <w:color w:val="A26108"/>
          <w:spacing w:val="27"/>
        </w:rPr>
        <w:t> </w:t>
      </w:r>
      <w:r>
        <w:rPr>
          <w:color w:val="A26108"/>
          <w:spacing w:val="-2"/>
        </w:rPr>
        <w:t>benignos</w:t>
      </w:r>
    </w:p>
    <w:p>
      <w:pPr>
        <w:pStyle w:val="BodyText"/>
        <w:spacing w:line="290" w:lineRule="auto" w:before="138"/>
        <w:ind w:right="488"/>
      </w:pPr>
      <w:r>
        <w:rPr/>
        <w:t>A cirurgia é o tratamento de escolha para a maioria dos tumores benignos e em muitos casos resulta em cura </w:t>
      </w:r>
      <w:r>
        <w:rPr>
          <w:spacing w:val="-2"/>
        </w:rPr>
        <w:t>completa.</w:t>
      </w:r>
      <w:r>
        <w:rPr>
          <w:spacing w:val="-2"/>
          <w:vertAlign w:val="superscript"/>
        </w:rPr>
        <w:t>31</w:t>
      </w:r>
    </w:p>
    <w:p>
      <w:pPr>
        <w:pStyle w:val="BodyText"/>
        <w:spacing w:line="276" w:lineRule="auto" w:before="33"/>
        <w:ind w:right="488"/>
      </w:pPr>
      <w:r>
        <w:rPr/>
        <w:t>Apesar</w:t>
      </w:r>
      <w:r>
        <w:rPr>
          <w:spacing w:val="-3"/>
        </w:rPr>
        <w:t> </w:t>
      </w:r>
      <w:r>
        <w:rPr/>
        <w:t>de</w:t>
      </w:r>
      <w:r>
        <w:rPr>
          <w:spacing w:val="-11"/>
        </w:rPr>
        <w:t> </w:t>
      </w:r>
      <w:r>
        <w:rPr/>
        <w:t>benignos,</w:t>
      </w:r>
      <w:r>
        <w:rPr>
          <w:spacing w:val="-1"/>
        </w:rPr>
        <w:t> </w:t>
      </w:r>
      <w:r>
        <w:rPr/>
        <w:t>são</w:t>
      </w:r>
      <w:r>
        <w:rPr>
          <w:spacing w:val="-9"/>
        </w:rPr>
        <w:t> </w:t>
      </w:r>
      <w:r>
        <w:rPr/>
        <w:t>potencialmente</w:t>
      </w:r>
      <w:r>
        <w:rPr>
          <w:spacing w:val="-11"/>
        </w:rPr>
        <w:t> </w:t>
      </w:r>
      <w:r>
        <w:rPr/>
        <w:t>letais,</w:t>
      </w:r>
      <w:r>
        <w:rPr>
          <w:spacing w:val="-1"/>
        </w:rPr>
        <w:t> </w:t>
      </w:r>
      <w:r>
        <w:rPr/>
        <w:t>devido</w:t>
      </w:r>
      <w:r>
        <w:rPr>
          <w:spacing w:val="-9"/>
        </w:rPr>
        <w:t> </w:t>
      </w:r>
      <w:r>
        <w:rPr/>
        <w:t>a</w:t>
      </w:r>
      <w:r>
        <w:rPr>
          <w:spacing w:val="-11"/>
        </w:rPr>
        <w:t> </w:t>
      </w:r>
      <w:r>
        <w:rPr/>
        <w:t>obstrução</w:t>
      </w:r>
      <w:r>
        <w:rPr>
          <w:spacing w:val="-9"/>
        </w:rPr>
        <w:t> </w:t>
      </w:r>
      <w:r>
        <w:rPr/>
        <w:t>valvar,</w:t>
      </w:r>
      <w:r>
        <w:rPr>
          <w:spacing w:val="-1"/>
        </w:rPr>
        <w:t> </w:t>
      </w:r>
      <w:r>
        <w:rPr/>
        <w:t>embolização</w:t>
      </w:r>
      <w:r>
        <w:rPr>
          <w:spacing w:val="-9"/>
        </w:rPr>
        <w:t> </w:t>
      </w:r>
      <w:r>
        <w:rPr/>
        <w:t>periférica</w:t>
      </w:r>
      <w:r>
        <w:rPr>
          <w:spacing w:val="-11"/>
        </w:rPr>
        <w:t> </w:t>
      </w:r>
      <w:r>
        <w:rPr/>
        <w:t>e</w:t>
      </w:r>
      <w:r>
        <w:rPr>
          <w:spacing w:val="-11"/>
        </w:rPr>
        <w:t> </w:t>
      </w:r>
      <w:r>
        <w:rPr/>
        <w:t>distúrbios</w:t>
      </w:r>
      <w:r>
        <w:rPr>
          <w:spacing w:val="-1"/>
        </w:rPr>
        <w:t> </w:t>
      </w:r>
      <w:r>
        <w:rPr/>
        <w:t>de ritmo ou condução.</w:t>
      </w:r>
    </w:p>
    <w:p>
      <w:pPr>
        <w:pStyle w:val="BodyText"/>
        <w:spacing w:before="133"/>
        <w:ind w:left="0" w:firstLine="0"/>
        <w:jc w:val="left"/>
      </w:pPr>
    </w:p>
    <w:p>
      <w:pPr>
        <w:pStyle w:val="Heading5"/>
      </w:pPr>
      <w:r>
        <w:rPr>
          <w:color w:val="A26108"/>
        </w:rPr>
        <w:t>Tumores</w:t>
      </w:r>
      <w:r>
        <w:rPr>
          <w:color w:val="A26108"/>
          <w:spacing w:val="27"/>
        </w:rPr>
        <w:t> </w:t>
      </w:r>
      <w:r>
        <w:rPr>
          <w:color w:val="A26108"/>
          <w:spacing w:val="-2"/>
        </w:rPr>
        <w:t>malignos</w:t>
      </w:r>
    </w:p>
    <w:p>
      <w:pPr>
        <w:pStyle w:val="BodyText"/>
        <w:spacing w:line="276" w:lineRule="auto" w:before="138"/>
        <w:ind w:right="488"/>
      </w:pPr>
      <w:r>
        <w:rPr/>
        <w:t>A</w:t>
      </w:r>
      <w:r>
        <w:rPr>
          <w:spacing w:val="-3"/>
        </w:rPr>
        <w:t> </w:t>
      </w:r>
      <w:r>
        <w:rPr/>
        <w:t>cirurgia</w:t>
      </w:r>
      <w:r>
        <w:rPr>
          <w:spacing w:val="-3"/>
        </w:rPr>
        <w:t> </w:t>
      </w:r>
      <w:r>
        <w:rPr/>
        <w:t>não</w:t>
      </w:r>
      <w:r>
        <w:rPr>
          <w:spacing w:val="-1"/>
        </w:rPr>
        <w:t> </w:t>
      </w:r>
      <w:r>
        <w:rPr/>
        <w:t>é</w:t>
      </w:r>
      <w:r>
        <w:rPr>
          <w:spacing w:val="-3"/>
        </w:rPr>
        <w:t> </w:t>
      </w:r>
      <w:r>
        <w:rPr/>
        <w:t>um</w:t>
      </w:r>
      <w:r>
        <w:rPr>
          <w:spacing w:val="-1"/>
        </w:rPr>
        <w:t> </w:t>
      </w:r>
      <w:r>
        <w:rPr/>
        <w:t>tratamento</w:t>
      </w:r>
      <w:r>
        <w:rPr>
          <w:spacing w:val="-1"/>
        </w:rPr>
        <w:t> </w:t>
      </w:r>
      <w:r>
        <w:rPr/>
        <w:t>efetivo</w:t>
      </w:r>
      <w:r>
        <w:rPr>
          <w:spacing w:val="-1"/>
        </w:rPr>
        <w:t> </w:t>
      </w:r>
      <w:r>
        <w:rPr/>
        <w:t>para</w:t>
      </w:r>
      <w:r>
        <w:rPr>
          <w:spacing w:val="-3"/>
        </w:rPr>
        <w:t> </w:t>
      </w:r>
      <w:r>
        <w:rPr/>
        <w:t>a</w:t>
      </w:r>
      <w:r>
        <w:rPr>
          <w:spacing w:val="-3"/>
        </w:rPr>
        <w:t> </w:t>
      </w:r>
      <w:r>
        <w:rPr/>
        <w:t>maioria</w:t>
      </w:r>
      <w:r>
        <w:rPr>
          <w:spacing w:val="-3"/>
        </w:rPr>
        <w:t> </w:t>
      </w:r>
      <w:r>
        <w:rPr/>
        <w:t>dos tumores malignos primários do</w:t>
      </w:r>
      <w:r>
        <w:rPr>
          <w:spacing w:val="-1"/>
        </w:rPr>
        <w:t> </w:t>
      </w:r>
      <w:r>
        <w:rPr/>
        <w:t>coração</w:t>
      </w:r>
      <w:r>
        <w:rPr>
          <w:spacing w:val="-1"/>
        </w:rPr>
        <w:t> </w:t>
      </w:r>
      <w:r>
        <w:rPr/>
        <w:t>por causa</w:t>
      </w:r>
      <w:r>
        <w:rPr>
          <w:spacing w:val="-3"/>
        </w:rPr>
        <w:t> </w:t>
      </w:r>
      <w:r>
        <w:rPr/>
        <w:t>da grande massa de tecido cardíaco envolvido ou presença de metástases.</w:t>
      </w:r>
    </w:p>
    <w:p>
      <w:pPr>
        <w:pStyle w:val="BodyText"/>
        <w:spacing w:line="290" w:lineRule="auto" w:before="49"/>
        <w:ind w:right="491"/>
      </w:pPr>
      <w:r>
        <w:rPr/>
        <w:t>Sobrevida de 1 a 3 anos tem sido relatada após ressecção parcial, quimioterapia, radioterapia ou a combinação dessas opções.</w:t>
      </w:r>
      <w:r>
        <w:rPr>
          <w:vertAlign w:val="superscript"/>
        </w:rPr>
        <w:t>32</w:t>
      </w:r>
    </w:p>
    <w:p>
      <w:pPr>
        <w:pStyle w:val="BodyText"/>
        <w:spacing w:line="276" w:lineRule="auto" w:before="49"/>
        <w:ind w:right="500"/>
      </w:pPr>
      <w:r>
        <w:rPr/>
        <w:t>O</w:t>
      </w:r>
      <w:r>
        <w:rPr>
          <w:spacing w:val="-3"/>
        </w:rPr>
        <w:t> </w:t>
      </w:r>
      <w:r>
        <w:rPr/>
        <w:t>acompanhamento</w:t>
      </w:r>
      <w:r>
        <w:rPr>
          <w:spacing w:val="-1"/>
        </w:rPr>
        <w:t> </w:t>
      </w:r>
      <w:r>
        <w:rPr/>
        <w:t>pós-cirúrgico</w:t>
      </w:r>
      <w:r>
        <w:rPr>
          <w:spacing w:val="-1"/>
        </w:rPr>
        <w:t> </w:t>
      </w:r>
      <w:r>
        <w:rPr/>
        <w:t>é</w:t>
      </w:r>
      <w:r>
        <w:rPr>
          <w:spacing w:val="-3"/>
        </w:rPr>
        <w:t> </w:t>
      </w:r>
      <w:r>
        <w:rPr/>
        <w:t>recomendado</w:t>
      </w:r>
      <w:r>
        <w:rPr>
          <w:spacing w:val="-1"/>
        </w:rPr>
        <w:t> </w:t>
      </w:r>
      <w:r>
        <w:rPr/>
        <w:t>a</w:t>
      </w:r>
      <w:r>
        <w:rPr>
          <w:spacing w:val="-3"/>
        </w:rPr>
        <w:t> </w:t>
      </w:r>
      <w:r>
        <w:rPr/>
        <w:t>cada</w:t>
      </w:r>
      <w:r>
        <w:rPr>
          <w:spacing w:val="-3"/>
        </w:rPr>
        <w:t> </w:t>
      </w:r>
      <w:r>
        <w:rPr/>
        <w:t>2</w:t>
      </w:r>
      <w:r>
        <w:rPr>
          <w:spacing w:val="-1"/>
        </w:rPr>
        <w:t> </w:t>
      </w:r>
      <w:r>
        <w:rPr/>
        <w:t>a</w:t>
      </w:r>
      <w:r>
        <w:rPr>
          <w:spacing w:val="-3"/>
        </w:rPr>
        <w:t> </w:t>
      </w:r>
      <w:r>
        <w:rPr/>
        <w:t>5</w:t>
      </w:r>
      <w:r>
        <w:rPr>
          <w:spacing w:val="-1"/>
        </w:rPr>
        <w:t> </w:t>
      </w:r>
      <w:r>
        <w:rPr/>
        <w:t>anos para</w:t>
      </w:r>
      <w:r>
        <w:rPr>
          <w:spacing w:val="-3"/>
        </w:rPr>
        <w:t> </w:t>
      </w:r>
      <w:r>
        <w:rPr/>
        <w:t>avaliar recorrência</w:t>
      </w:r>
      <w:r>
        <w:rPr>
          <w:spacing w:val="-3"/>
        </w:rPr>
        <w:t> </w:t>
      </w:r>
      <w:r>
        <w:rPr/>
        <w:t>e</w:t>
      </w:r>
      <w:r>
        <w:rPr>
          <w:spacing w:val="-3"/>
        </w:rPr>
        <w:t> </w:t>
      </w:r>
      <w:r>
        <w:rPr/>
        <w:t>de</w:t>
      </w:r>
      <w:r>
        <w:rPr>
          <w:spacing w:val="-3"/>
        </w:rPr>
        <w:t> </w:t>
      </w:r>
      <w:r>
        <w:rPr/>
        <w:t>acordo</w:t>
      </w:r>
      <w:r>
        <w:rPr>
          <w:spacing w:val="-1"/>
        </w:rPr>
        <w:t> </w:t>
      </w:r>
      <w:r>
        <w:rPr/>
        <w:t>com</w:t>
      </w:r>
      <w:r>
        <w:rPr>
          <w:spacing w:val="-1"/>
        </w:rPr>
        <w:t> </w:t>
      </w:r>
      <w:r>
        <w:rPr/>
        <w:t>as diretrizes</w:t>
      </w:r>
      <w:r>
        <w:rPr>
          <w:spacing w:val="-3"/>
        </w:rPr>
        <w:t> </w:t>
      </w:r>
      <w:r>
        <w:rPr/>
        <w:t>da</w:t>
      </w:r>
      <w:r>
        <w:rPr>
          <w:spacing w:val="-11"/>
        </w:rPr>
        <w:t> </w:t>
      </w:r>
      <w:r>
        <w:rPr/>
        <w:t>American</w:t>
      </w:r>
      <w:r>
        <w:rPr>
          <w:spacing w:val="-9"/>
        </w:rPr>
        <w:t> </w:t>
      </w:r>
      <w:r>
        <w:rPr/>
        <w:t>Heart</w:t>
      </w:r>
      <w:r>
        <w:rPr>
          <w:spacing w:val="-7"/>
        </w:rPr>
        <w:t> </w:t>
      </w:r>
      <w:r>
        <w:rPr/>
        <w:t>Association</w:t>
      </w:r>
      <w:r>
        <w:rPr>
          <w:spacing w:val="-9"/>
        </w:rPr>
        <w:t> </w:t>
      </w:r>
      <w:r>
        <w:rPr/>
        <w:t>(AHA),</w:t>
      </w:r>
      <w:r>
        <w:rPr>
          <w:spacing w:val="-3"/>
        </w:rPr>
        <w:t> </w:t>
      </w:r>
      <w:r>
        <w:rPr/>
        <w:t>os</w:t>
      </w:r>
      <w:r>
        <w:rPr>
          <w:spacing w:val="-3"/>
        </w:rPr>
        <w:t> </w:t>
      </w:r>
      <w:r>
        <w:rPr/>
        <w:t>seguintes</w:t>
      </w:r>
      <w:r>
        <w:rPr>
          <w:spacing w:val="-3"/>
        </w:rPr>
        <w:t> </w:t>
      </w:r>
      <w:r>
        <w:rPr/>
        <w:t>pacientes</w:t>
      </w:r>
      <w:r>
        <w:rPr>
          <w:spacing w:val="-3"/>
        </w:rPr>
        <w:t> </w:t>
      </w:r>
      <w:r>
        <w:rPr/>
        <w:t>devem</w:t>
      </w:r>
      <w:r>
        <w:rPr>
          <w:spacing w:val="-9"/>
        </w:rPr>
        <w:t> </w:t>
      </w:r>
      <w:r>
        <w:rPr/>
        <w:t>receber</w:t>
      </w:r>
      <w:r>
        <w:rPr>
          <w:spacing w:val="-5"/>
        </w:rPr>
        <w:t> </w:t>
      </w:r>
      <w:r>
        <w:rPr/>
        <w:t>profilaxia</w:t>
      </w:r>
      <w:r>
        <w:rPr>
          <w:spacing w:val="-11"/>
        </w:rPr>
        <w:t> </w:t>
      </w:r>
      <w:r>
        <w:rPr/>
        <w:t>para</w:t>
      </w:r>
      <w:r>
        <w:rPr>
          <w:spacing w:val="-11"/>
        </w:rPr>
        <w:t> </w:t>
      </w:r>
      <w:r>
        <w:rPr/>
        <w:t>endocardite: aqueles</w:t>
      </w:r>
      <w:r>
        <w:rPr>
          <w:spacing w:val="-4"/>
        </w:rPr>
        <w:t> </w:t>
      </w:r>
      <w:r>
        <w:rPr/>
        <w:t>com</w:t>
      </w:r>
      <w:r>
        <w:rPr>
          <w:spacing w:val="-11"/>
        </w:rPr>
        <w:t> </w:t>
      </w:r>
      <w:r>
        <w:rPr/>
        <w:t>disfunção</w:t>
      </w:r>
      <w:r>
        <w:rPr>
          <w:spacing w:val="-11"/>
        </w:rPr>
        <w:t> </w:t>
      </w:r>
      <w:r>
        <w:rPr/>
        <w:t>valvar</w:t>
      </w:r>
      <w:r>
        <w:rPr>
          <w:spacing w:val="-6"/>
        </w:rPr>
        <w:t> </w:t>
      </w:r>
      <w:r>
        <w:rPr/>
        <w:t>residual</w:t>
      </w:r>
      <w:r>
        <w:rPr>
          <w:spacing w:val="-9"/>
        </w:rPr>
        <w:t> </w:t>
      </w:r>
      <w:r>
        <w:rPr/>
        <w:t>pós-cirúrgica;</w:t>
      </w:r>
      <w:r>
        <w:rPr>
          <w:spacing w:val="-9"/>
        </w:rPr>
        <w:t> </w:t>
      </w:r>
      <w:r>
        <w:rPr/>
        <w:t>com</w:t>
      </w:r>
      <w:r>
        <w:rPr>
          <w:spacing w:val="-11"/>
        </w:rPr>
        <w:t> </w:t>
      </w:r>
      <w:r>
        <w:rPr/>
        <w:t>valvas</w:t>
      </w:r>
      <w:r>
        <w:rPr>
          <w:spacing w:val="-4"/>
        </w:rPr>
        <w:t> </w:t>
      </w:r>
      <w:r>
        <w:rPr/>
        <w:t>biológicas</w:t>
      </w:r>
      <w:r>
        <w:rPr>
          <w:spacing w:val="-4"/>
        </w:rPr>
        <w:t> </w:t>
      </w:r>
      <w:r>
        <w:rPr/>
        <w:t>ou</w:t>
      </w:r>
      <w:r>
        <w:rPr>
          <w:spacing w:val="-11"/>
        </w:rPr>
        <w:t> </w:t>
      </w:r>
      <w:r>
        <w:rPr/>
        <w:t>mecânicas</w:t>
      </w:r>
      <w:r>
        <w:rPr>
          <w:spacing w:val="-4"/>
        </w:rPr>
        <w:t> </w:t>
      </w:r>
      <w:r>
        <w:rPr/>
        <w:t>ou</w:t>
      </w:r>
      <w:r>
        <w:rPr>
          <w:spacing w:val="-11"/>
        </w:rPr>
        <w:t> </w:t>
      </w:r>
      <w:r>
        <w:rPr/>
        <w:t>aqueles</w:t>
      </w:r>
      <w:r>
        <w:rPr>
          <w:spacing w:val="-4"/>
        </w:rPr>
        <w:t> </w:t>
      </w:r>
      <w:r>
        <w:rPr/>
        <w:t>com</w:t>
      </w:r>
      <w:r>
        <w:rPr>
          <w:spacing w:val="-11"/>
        </w:rPr>
        <w:t> </w:t>
      </w:r>
      <w:r>
        <w:rPr/>
        <w:t>obstrução da via de saída.</w:t>
      </w:r>
    </w:p>
    <w:p>
      <w:pPr>
        <w:pStyle w:val="BodyText"/>
        <w:spacing w:before="185"/>
        <w:ind w:left="0" w:firstLine="0"/>
        <w:jc w:val="left"/>
      </w:pPr>
    </w:p>
    <w:p>
      <w:pPr>
        <w:pStyle w:val="Heading4"/>
      </w:pPr>
      <w:r>
        <w:rPr>
          <w:color w:val="242B67"/>
        </w:rPr>
        <w:t>Perspectivas </w:t>
      </w:r>
      <w:r>
        <w:rPr>
          <w:color w:val="242B67"/>
          <w:spacing w:val="-2"/>
        </w:rPr>
        <w:t>futuras</w:t>
      </w:r>
    </w:p>
    <w:p>
      <w:pPr>
        <w:pStyle w:val="BodyText"/>
        <w:spacing w:line="276" w:lineRule="auto" w:before="132"/>
        <w:ind w:right="488"/>
      </w:pPr>
      <w:r>
        <w:rPr/>
        <w:t>Muitas investigações têm sido realizadas para o desenvolvimento de futuras terapias, como a antiangiogênese com base</w:t>
      </w:r>
      <w:r>
        <w:rPr>
          <w:spacing w:val="-2"/>
        </w:rPr>
        <w:t> </w:t>
      </w:r>
      <w:r>
        <w:rPr/>
        <w:t>nos novos conhecimentos da</w:t>
      </w:r>
      <w:r>
        <w:rPr>
          <w:spacing w:val="-2"/>
        </w:rPr>
        <w:t> </w:t>
      </w:r>
      <w:r>
        <w:rPr/>
        <w:t>biologia</w:t>
      </w:r>
      <w:r>
        <w:rPr>
          <w:spacing w:val="-2"/>
        </w:rPr>
        <w:t> </w:t>
      </w:r>
      <w:r>
        <w:rPr/>
        <w:t>molecular dos tumores cardíacos.</w:t>
      </w:r>
    </w:p>
    <w:p>
      <w:pPr>
        <w:spacing w:before="241"/>
        <w:ind w:left="414" w:right="0" w:firstLine="0"/>
        <w:jc w:val="left"/>
        <w:rPr>
          <w:sz w:val="23"/>
        </w:rPr>
      </w:pPr>
      <w:r>
        <w:rPr>
          <w:spacing w:val="-2"/>
          <w:sz w:val="23"/>
        </w:rPr>
        <w:t>As</w:t>
      </w:r>
      <w:r>
        <w:rPr>
          <w:spacing w:val="7"/>
          <w:sz w:val="23"/>
        </w:rPr>
        <w:t> </w:t>
      </w:r>
      <w:r>
        <w:rPr>
          <w:spacing w:val="-2"/>
          <w:sz w:val="23"/>
        </w:rPr>
        <w:t>referências</w:t>
      </w:r>
      <w:r>
        <w:rPr>
          <w:spacing w:val="10"/>
          <w:sz w:val="23"/>
        </w:rPr>
        <w:t> </w:t>
      </w:r>
      <w:r>
        <w:rPr>
          <w:spacing w:val="-2"/>
          <w:sz w:val="23"/>
        </w:rPr>
        <w:t>bibliográficas</w:t>
      </w:r>
      <w:r>
        <w:rPr>
          <w:spacing w:val="10"/>
          <w:sz w:val="23"/>
        </w:rPr>
        <w:t> </w:t>
      </w:r>
      <w:r>
        <w:rPr>
          <w:spacing w:val="-2"/>
          <w:sz w:val="23"/>
        </w:rPr>
        <w:t>desta</w:t>
      </w:r>
      <w:r>
        <w:rPr>
          <w:spacing w:val="-1"/>
          <w:sz w:val="23"/>
        </w:rPr>
        <w:t> </w:t>
      </w:r>
      <w:r>
        <w:rPr>
          <w:spacing w:val="-2"/>
          <w:sz w:val="23"/>
        </w:rPr>
        <w:t>seção</w:t>
      </w:r>
      <w:r>
        <w:rPr>
          <w:spacing w:val="1"/>
          <w:sz w:val="23"/>
        </w:rPr>
        <w:t> </w:t>
      </w:r>
      <w:r>
        <w:rPr>
          <w:spacing w:val="-2"/>
          <w:sz w:val="23"/>
        </w:rPr>
        <w:t>encontram-se em</w:t>
      </w:r>
      <w:r>
        <w:rPr>
          <w:spacing w:val="2"/>
          <w:sz w:val="23"/>
        </w:rPr>
        <w:t> </w:t>
      </w:r>
      <w:hyperlink r:id="rId93">
        <w:r>
          <w:rPr>
            <w:i/>
            <w:color w:val="505050"/>
            <w:spacing w:val="-2"/>
            <w:sz w:val="23"/>
          </w:rPr>
          <w:t>http://gen-io.grupogen.com.br</w:t>
        </w:r>
      </w:hyperlink>
      <w:r>
        <w:rPr>
          <w:spacing w:val="-2"/>
          <w:sz w:val="23"/>
        </w:rPr>
        <w:t>.</w:t>
      </w:r>
    </w:p>
    <w:sectPr>
      <w:type w:val="continuous"/>
      <w:pgSz w:w="11900" w:h="16840"/>
      <w:pgMar w:top="320" w:bottom="280" w:left="566"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37">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414" w:hanging="407"/>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2">
      <w:start w:val="0"/>
      <w:numFmt w:val="bullet"/>
      <w:lvlText w:val="•"/>
      <w:lvlJc w:val="left"/>
      <w:pPr>
        <w:ind w:left="800" w:hanging="407"/>
      </w:pPr>
      <w:rPr>
        <w:rFonts w:hint="default"/>
        <w:lang w:val="pt-PT" w:eastAsia="en-US" w:bidi="ar-SA"/>
      </w:rPr>
    </w:lvl>
    <w:lvl w:ilvl="3">
      <w:start w:val="0"/>
      <w:numFmt w:val="bullet"/>
      <w:lvlText w:val="•"/>
      <w:lvlJc w:val="left"/>
      <w:pPr>
        <w:ind w:left="2099" w:hanging="407"/>
      </w:pPr>
      <w:rPr>
        <w:rFonts w:hint="default"/>
        <w:lang w:val="pt-PT" w:eastAsia="en-US" w:bidi="ar-SA"/>
      </w:rPr>
    </w:lvl>
    <w:lvl w:ilvl="4">
      <w:start w:val="0"/>
      <w:numFmt w:val="bullet"/>
      <w:lvlText w:val="•"/>
      <w:lvlJc w:val="left"/>
      <w:pPr>
        <w:ind w:left="3398" w:hanging="407"/>
      </w:pPr>
      <w:rPr>
        <w:rFonts w:hint="default"/>
        <w:lang w:val="pt-PT" w:eastAsia="en-US" w:bidi="ar-SA"/>
      </w:rPr>
    </w:lvl>
    <w:lvl w:ilvl="5">
      <w:start w:val="0"/>
      <w:numFmt w:val="bullet"/>
      <w:lvlText w:val="•"/>
      <w:lvlJc w:val="left"/>
      <w:pPr>
        <w:ind w:left="4697" w:hanging="407"/>
      </w:pPr>
      <w:rPr>
        <w:rFonts w:hint="default"/>
        <w:lang w:val="pt-PT" w:eastAsia="en-US" w:bidi="ar-SA"/>
      </w:rPr>
    </w:lvl>
    <w:lvl w:ilvl="6">
      <w:start w:val="0"/>
      <w:numFmt w:val="bullet"/>
      <w:lvlText w:val="•"/>
      <w:lvlJc w:val="left"/>
      <w:pPr>
        <w:ind w:left="5996" w:hanging="407"/>
      </w:pPr>
      <w:rPr>
        <w:rFonts w:hint="default"/>
        <w:lang w:val="pt-PT" w:eastAsia="en-US" w:bidi="ar-SA"/>
      </w:rPr>
    </w:lvl>
    <w:lvl w:ilvl="7">
      <w:start w:val="0"/>
      <w:numFmt w:val="bullet"/>
      <w:lvlText w:val="•"/>
      <w:lvlJc w:val="left"/>
      <w:pPr>
        <w:ind w:left="7295" w:hanging="407"/>
      </w:pPr>
      <w:rPr>
        <w:rFonts w:hint="default"/>
        <w:lang w:val="pt-PT" w:eastAsia="en-US" w:bidi="ar-SA"/>
      </w:rPr>
    </w:lvl>
    <w:lvl w:ilvl="8">
      <w:start w:val="0"/>
      <w:numFmt w:val="bullet"/>
      <w:lvlText w:val="•"/>
      <w:lvlJc w:val="left"/>
      <w:pPr>
        <w:ind w:left="8594" w:hanging="407"/>
      </w:pPr>
      <w:rPr>
        <w:rFonts w:hint="default"/>
        <w:lang w:val="pt-PT" w:eastAsia="en-US" w:bidi="ar-SA"/>
      </w:rPr>
    </w:lvl>
  </w:abstractNum>
  <w:abstractNum w:abstractNumId="36">
    <w:multiLevelType w:val="hybridMultilevel"/>
    <w:lvl w:ilvl="0">
      <w:start w:val="0"/>
      <w:numFmt w:val="bullet"/>
      <w:lvlText w:val="•"/>
      <w:lvlJc w:val="left"/>
      <w:pPr>
        <w:ind w:left="68" w:hanging="352"/>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52"/>
      </w:pPr>
      <w:rPr>
        <w:rFonts w:hint="default"/>
        <w:lang w:val="pt-PT" w:eastAsia="en-US" w:bidi="ar-SA"/>
      </w:rPr>
    </w:lvl>
    <w:lvl w:ilvl="2">
      <w:start w:val="0"/>
      <w:numFmt w:val="bullet"/>
      <w:lvlText w:val="•"/>
      <w:lvlJc w:val="left"/>
      <w:pPr>
        <w:ind w:left="2286" w:hanging="352"/>
      </w:pPr>
      <w:rPr>
        <w:rFonts w:hint="default"/>
        <w:lang w:val="pt-PT" w:eastAsia="en-US" w:bidi="ar-SA"/>
      </w:rPr>
    </w:lvl>
    <w:lvl w:ilvl="3">
      <w:start w:val="0"/>
      <w:numFmt w:val="bullet"/>
      <w:lvlText w:val="•"/>
      <w:lvlJc w:val="left"/>
      <w:pPr>
        <w:ind w:left="3399" w:hanging="352"/>
      </w:pPr>
      <w:rPr>
        <w:rFonts w:hint="default"/>
        <w:lang w:val="pt-PT" w:eastAsia="en-US" w:bidi="ar-SA"/>
      </w:rPr>
    </w:lvl>
    <w:lvl w:ilvl="4">
      <w:start w:val="0"/>
      <w:numFmt w:val="bullet"/>
      <w:lvlText w:val="•"/>
      <w:lvlJc w:val="left"/>
      <w:pPr>
        <w:ind w:left="4513" w:hanging="352"/>
      </w:pPr>
      <w:rPr>
        <w:rFonts w:hint="default"/>
        <w:lang w:val="pt-PT" w:eastAsia="en-US" w:bidi="ar-SA"/>
      </w:rPr>
    </w:lvl>
    <w:lvl w:ilvl="5">
      <w:start w:val="0"/>
      <w:numFmt w:val="bullet"/>
      <w:lvlText w:val="•"/>
      <w:lvlJc w:val="left"/>
      <w:pPr>
        <w:ind w:left="5626" w:hanging="352"/>
      </w:pPr>
      <w:rPr>
        <w:rFonts w:hint="default"/>
        <w:lang w:val="pt-PT" w:eastAsia="en-US" w:bidi="ar-SA"/>
      </w:rPr>
    </w:lvl>
    <w:lvl w:ilvl="6">
      <w:start w:val="0"/>
      <w:numFmt w:val="bullet"/>
      <w:lvlText w:val="•"/>
      <w:lvlJc w:val="left"/>
      <w:pPr>
        <w:ind w:left="6739" w:hanging="352"/>
      </w:pPr>
      <w:rPr>
        <w:rFonts w:hint="default"/>
        <w:lang w:val="pt-PT" w:eastAsia="en-US" w:bidi="ar-SA"/>
      </w:rPr>
    </w:lvl>
    <w:lvl w:ilvl="7">
      <w:start w:val="0"/>
      <w:numFmt w:val="bullet"/>
      <w:lvlText w:val="•"/>
      <w:lvlJc w:val="left"/>
      <w:pPr>
        <w:ind w:left="7853" w:hanging="352"/>
      </w:pPr>
      <w:rPr>
        <w:rFonts w:hint="default"/>
        <w:lang w:val="pt-PT" w:eastAsia="en-US" w:bidi="ar-SA"/>
      </w:rPr>
    </w:lvl>
    <w:lvl w:ilvl="8">
      <w:start w:val="0"/>
      <w:numFmt w:val="bullet"/>
      <w:lvlText w:val="•"/>
      <w:lvlJc w:val="left"/>
      <w:pPr>
        <w:ind w:left="8966" w:hanging="352"/>
      </w:pPr>
      <w:rPr>
        <w:rFonts w:hint="default"/>
        <w:lang w:val="pt-PT" w:eastAsia="en-US" w:bidi="ar-SA"/>
      </w:rPr>
    </w:lvl>
  </w:abstractNum>
  <w:abstractNum w:abstractNumId="35">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34">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33">
    <w:multiLevelType w:val="hybridMultilevel"/>
    <w:lvl w:ilvl="0">
      <w:start w:val="0"/>
      <w:numFmt w:val="bullet"/>
      <w:lvlText w:val="■"/>
      <w:lvlJc w:val="left"/>
      <w:pPr>
        <w:ind w:left="1130" w:hanging="393"/>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2145" w:hanging="393"/>
      </w:pPr>
      <w:rPr>
        <w:rFonts w:hint="default"/>
        <w:lang w:val="pt-PT" w:eastAsia="en-US" w:bidi="ar-SA"/>
      </w:rPr>
    </w:lvl>
    <w:lvl w:ilvl="2">
      <w:start w:val="0"/>
      <w:numFmt w:val="bullet"/>
      <w:lvlText w:val="•"/>
      <w:lvlJc w:val="left"/>
      <w:pPr>
        <w:ind w:left="3150" w:hanging="393"/>
      </w:pPr>
      <w:rPr>
        <w:rFonts w:hint="default"/>
        <w:lang w:val="pt-PT" w:eastAsia="en-US" w:bidi="ar-SA"/>
      </w:rPr>
    </w:lvl>
    <w:lvl w:ilvl="3">
      <w:start w:val="0"/>
      <w:numFmt w:val="bullet"/>
      <w:lvlText w:val="•"/>
      <w:lvlJc w:val="left"/>
      <w:pPr>
        <w:ind w:left="4155" w:hanging="393"/>
      </w:pPr>
      <w:rPr>
        <w:rFonts w:hint="default"/>
        <w:lang w:val="pt-PT" w:eastAsia="en-US" w:bidi="ar-SA"/>
      </w:rPr>
    </w:lvl>
    <w:lvl w:ilvl="4">
      <w:start w:val="0"/>
      <w:numFmt w:val="bullet"/>
      <w:lvlText w:val="•"/>
      <w:lvlJc w:val="left"/>
      <w:pPr>
        <w:ind w:left="5161" w:hanging="393"/>
      </w:pPr>
      <w:rPr>
        <w:rFonts w:hint="default"/>
        <w:lang w:val="pt-PT" w:eastAsia="en-US" w:bidi="ar-SA"/>
      </w:rPr>
    </w:lvl>
    <w:lvl w:ilvl="5">
      <w:start w:val="0"/>
      <w:numFmt w:val="bullet"/>
      <w:lvlText w:val="•"/>
      <w:lvlJc w:val="left"/>
      <w:pPr>
        <w:ind w:left="6166" w:hanging="393"/>
      </w:pPr>
      <w:rPr>
        <w:rFonts w:hint="default"/>
        <w:lang w:val="pt-PT" w:eastAsia="en-US" w:bidi="ar-SA"/>
      </w:rPr>
    </w:lvl>
    <w:lvl w:ilvl="6">
      <w:start w:val="0"/>
      <w:numFmt w:val="bullet"/>
      <w:lvlText w:val="•"/>
      <w:lvlJc w:val="left"/>
      <w:pPr>
        <w:ind w:left="7171" w:hanging="393"/>
      </w:pPr>
      <w:rPr>
        <w:rFonts w:hint="default"/>
        <w:lang w:val="pt-PT" w:eastAsia="en-US" w:bidi="ar-SA"/>
      </w:rPr>
    </w:lvl>
    <w:lvl w:ilvl="7">
      <w:start w:val="0"/>
      <w:numFmt w:val="bullet"/>
      <w:lvlText w:val="•"/>
      <w:lvlJc w:val="left"/>
      <w:pPr>
        <w:ind w:left="8177" w:hanging="393"/>
      </w:pPr>
      <w:rPr>
        <w:rFonts w:hint="default"/>
        <w:lang w:val="pt-PT" w:eastAsia="en-US" w:bidi="ar-SA"/>
      </w:rPr>
    </w:lvl>
    <w:lvl w:ilvl="8">
      <w:start w:val="0"/>
      <w:numFmt w:val="bullet"/>
      <w:lvlText w:val="•"/>
      <w:lvlJc w:val="left"/>
      <w:pPr>
        <w:ind w:left="9182" w:hanging="393"/>
      </w:pPr>
      <w:rPr>
        <w:rFonts w:hint="default"/>
        <w:lang w:val="pt-PT" w:eastAsia="en-US" w:bidi="ar-SA"/>
      </w:rPr>
    </w:lvl>
  </w:abstractNum>
  <w:abstractNum w:abstractNumId="32">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807" w:hanging="393"/>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2">
      <w:start w:val="0"/>
      <w:numFmt w:val="bullet"/>
      <w:lvlText w:val="■"/>
      <w:lvlJc w:val="left"/>
      <w:pPr>
        <w:ind w:left="1130" w:hanging="393"/>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3">
      <w:start w:val="0"/>
      <w:numFmt w:val="bullet"/>
      <w:lvlText w:val="•"/>
      <w:lvlJc w:val="left"/>
      <w:pPr>
        <w:ind w:left="1140" w:hanging="393"/>
      </w:pPr>
      <w:rPr>
        <w:rFonts w:hint="default"/>
        <w:lang w:val="pt-PT" w:eastAsia="en-US" w:bidi="ar-SA"/>
      </w:rPr>
    </w:lvl>
    <w:lvl w:ilvl="4">
      <w:start w:val="0"/>
      <w:numFmt w:val="bullet"/>
      <w:lvlText w:val="•"/>
      <w:lvlJc w:val="left"/>
      <w:pPr>
        <w:ind w:left="2576" w:hanging="393"/>
      </w:pPr>
      <w:rPr>
        <w:rFonts w:hint="default"/>
        <w:lang w:val="pt-PT" w:eastAsia="en-US" w:bidi="ar-SA"/>
      </w:rPr>
    </w:lvl>
    <w:lvl w:ilvl="5">
      <w:start w:val="0"/>
      <w:numFmt w:val="bullet"/>
      <w:lvlText w:val="•"/>
      <w:lvlJc w:val="left"/>
      <w:pPr>
        <w:ind w:left="4012" w:hanging="393"/>
      </w:pPr>
      <w:rPr>
        <w:rFonts w:hint="default"/>
        <w:lang w:val="pt-PT" w:eastAsia="en-US" w:bidi="ar-SA"/>
      </w:rPr>
    </w:lvl>
    <w:lvl w:ilvl="6">
      <w:start w:val="0"/>
      <w:numFmt w:val="bullet"/>
      <w:lvlText w:val="•"/>
      <w:lvlJc w:val="left"/>
      <w:pPr>
        <w:ind w:left="5448" w:hanging="393"/>
      </w:pPr>
      <w:rPr>
        <w:rFonts w:hint="default"/>
        <w:lang w:val="pt-PT" w:eastAsia="en-US" w:bidi="ar-SA"/>
      </w:rPr>
    </w:lvl>
    <w:lvl w:ilvl="7">
      <w:start w:val="0"/>
      <w:numFmt w:val="bullet"/>
      <w:lvlText w:val="•"/>
      <w:lvlJc w:val="left"/>
      <w:pPr>
        <w:ind w:left="6884" w:hanging="393"/>
      </w:pPr>
      <w:rPr>
        <w:rFonts w:hint="default"/>
        <w:lang w:val="pt-PT" w:eastAsia="en-US" w:bidi="ar-SA"/>
      </w:rPr>
    </w:lvl>
    <w:lvl w:ilvl="8">
      <w:start w:val="0"/>
      <w:numFmt w:val="bullet"/>
      <w:lvlText w:val="•"/>
      <w:lvlJc w:val="left"/>
      <w:pPr>
        <w:ind w:left="8320" w:hanging="393"/>
      </w:pPr>
      <w:rPr>
        <w:rFonts w:hint="default"/>
        <w:lang w:val="pt-PT" w:eastAsia="en-US" w:bidi="ar-SA"/>
      </w:rPr>
    </w:lvl>
  </w:abstractNum>
  <w:abstractNum w:abstractNumId="31">
    <w:multiLevelType w:val="hybridMultilevel"/>
    <w:lvl w:ilvl="0">
      <w:start w:val="0"/>
      <w:numFmt w:val="bullet"/>
      <w:lvlText w:val="•"/>
      <w:lvlJc w:val="left"/>
      <w:pPr>
        <w:ind w:left="397"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479" w:hanging="329"/>
      </w:pPr>
      <w:rPr>
        <w:rFonts w:hint="default"/>
        <w:lang w:val="pt-PT" w:eastAsia="en-US" w:bidi="ar-SA"/>
      </w:rPr>
    </w:lvl>
    <w:lvl w:ilvl="2">
      <w:start w:val="0"/>
      <w:numFmt w:val="bullet"/>
      <w:lvlText w:val="•"/>
      <w:lvlJc w:val="left"/>
      <w:pPr>
        <w:ind w:left="2558" w:hanging="329"/>
      </w:pPr>
      <w:rPr>
        <w:rFonts w:hint="default"/>
        <w:lang w:val="pt-PT" w:eastAsia="en-US" w:bidi="ar-SA"/>
      </w:rPr>
    </w:lvl>
    <w:lvl w:ilvl="3">
      <w:start w:val="0"/>
      <w:numFmt w:val="bullet"/>
      <w:lvlText w:val="•"/>
      <w:lvlJc w:val="left"/>
      <w:pPr>
        <w:ind w:left="3637" w:hanging="329"/>
      </w:pPr>
      <w:rPr>
        <w:rFonts w:hint="default"/>
        <w:lang w:val="pt-PT" w:eastAsia="en-US" w:bidi="ar-SA"/>
      </w:rPr>
    </w:lvl>
    <w:lvl w:ilvl="4">
      <w:start w:val="0"/>
      <w:numFmt w:val="bullet"/>
      <w:lvlText w:val="•"/>
      <w:lvlJc w:val="left"/>
      <w:pPr>
        <w:ind w:left="4717" w:hanging="329"/>
      </w:pPr>
      <w:rPr>
        <w:rFonts w:hint="default"/>
        <w:lang w:val="pt-PT" w:eastAsia="en-US" w:bidi="ar-SA"/>
      </w:rPr>
    </w:lvl>
    <w:lvl w:ilvl="5">
      <w:start w:val="0"/>
      <w:numFmt w:val="bullet"/>
      <w:lvlText w:val="•"/>
      <w:lvlJc w:val="left"/>
      <w:pPr>
        <w:ind w:left="5796" w:hanging="329"/>
      </w:pPr>
      <w:rPr>
        <w:rFonts w:hint="default"/>
        <w:lang w:val="pt-PT" w:eastAsia="en-US" w:bidi="ar-SA"/>
      </w:rPr>
    </w:lvl>
    <w:lvl w:ilvl="6">
      <w:start w:val="0"/>
      <w:numFmt w:val="bullet"/>
      <w:lvlText w:val="•"/>
      <w:lvlJc w:val="left"/>
      <w:pPr>
        <w:ind w:left="6875" w:hanging="329"/>
      </w:pPr>
      <w:rPr>
        <w:rFonts w:hint="default"/>
        <w:lang w:val="pt-PT" w:eastAsia="en-US" w:bidi="ar-SA"/>
      </w:rPr>
    </w:lvl>
    <w:lvl w:ilvl="7">
      <w:start w:val="0"/>
      <w:numFmt w:val="bullet"/>
      <w:lvlText w:val="•"/>
      <w:lvlJc w:val="left"/>
      <w:pPr>
        <w:ind w:left="7955" w:hanging="329"/>
      </w:pPr>
      <w:rPr>
        <w:rFonts w:hint="default"/>
        <w:lang w:val="pt-PT" w:eastAsia="en-US" w:bidi="ar-SA"/>
      </w:rPr>
    </w:lvl>
    <w:lvl w:ilvl="8">
      <w:start w:val="0"/>
      <w:numFmt w:val="bullet"/>
      <w:lvlText w:val="•"/>
      <w:lvlJc w:val="left"/>
      <w:pPr>
        <w:ind w:left="9034" w:hanging="329"/>
      </w:pPr>
      <w:rPr>
        <w:rFonts w:hint="default"/>
        <w:lang w:val="pt-PT" w:eastAsia="en-US" w:bidi="ar-SA"/>
      </w:rPr>
    </w:lvl>
  </w:abstractNum>
  <w:abstractNum w:abstractNumId="30">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29">
    <w:multiLevelType w:val="hybridMultilevel"/>
    <w:lvl w:ilvl="0">
      <w:start w:val="0"/>
      <w:numFmt w:val="bullet"/>
      <w:lvlText w:val="•"/>
      <w:lvlJc w:val="left"/>
      <w:pPr>
        <w:ind w:left="397"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479" w:hanging="329"/>
      </w:pPr>
      <w:rPr>
        <w:rFonts w:hint="default"/>
        <w:lang w:val="pt-PT" w:eastAsia="en-US" w:bidi="ar-SA"/>
      </w:rPr>
    </w:lvl>
    <w:lvl w:ilvl="2">
      <w:start w:val="0"/>
      <w:numFmt w:val="bullet"/>
      <w:lvlText w:val="•"/>
      <w:lvlJc w:val="left"/>
      <w:pPr>
        <w:ind w:left="2558" w:hanging="329"/>
      </w:pPr>
      <w:rPr>
        <w:rFonts w:hint="default"/>
        <w:lang w:val="pt-PT" w:eastAsia="en-US" w:bidi="ar-SA"/>
      </w:rPr>
    </w:lvl>
    <w:lvl w:ilvl="3">
      <w:start w:val="0"/>
      <w:numFmt w:val="bullet"/>
      <w:lvlText w:val="•"/>
      <w:lvlJc w:val="left"/>
      <w:pPr>
        <w:ind w:left="3637" w:hanging="329"/>
      </w:pPr>
      <w:rPr>
        <w:rFonts w:hint="default"/>
        <w:lang w:val="pt-PT" w:eastAsia="en-US" w:bidi="ar-SA"/>
      </w:rPr>
    </w:lvl>
    <w:lvl w:ilvl="4">
      <w:start w:val="0"/>
      <w:numFmt w:val="bullet"/>
      <w:lvlText w:val="•"/>
      <w:lvlJc w:val="left"/>
      <w:pPr>
        <w:ind w:left="4717" w:hanging="329"/>
      </w:pPr>
      <w:rPr>
        <w:rFonts w:hint="default"/>
        <w:lang w:val="pt-PT" w:eastAsia="en-US" w:bidi="ar-SA"/>
      </w:rPr>
    </w:lvl>
    <w:lvl w:ilvl="5">
      <w:start w:val="0"/>
      <w:numFmt w:val="bullet"/>
      <w:lvlText w:val="•"/>
      <w:lvlJc w:val="left"/>
      <w:pPr>
        <w:ind w:left="5796" w:hanging="329"/>
      </w:pPr>
      <w:rPr>
        <w:rFonts w:hint="default"/>
        <w:lang w:val="pt-PT" w:eastAsia="en-US" w:bidi="ar-SA"/>
      </w:rPr>
    </w:lvl>
    <w:lvl w:ilvl="6">
      <w:start w:val="0"/>
      <w:numFmt w:val="bullet"/>
      <w:lvlText w:val="•"/>
      <w:lvlJc w:val="left"/>
      <w:pPr>
        <w:ind w:left="6875" w:hanging="329"/>
      </w:pPr>
      <w:rPr>
        <w:rFonts w:hint="default"/>
        <w:lang w:val="pt-PT" w:eastAsia="en-US" w:bidi="ar-SA"/>
      </w:rPr>
    </w:lvl>
    <w:lvl w:ilvl="7">
      <w:start w:val="0"/>
      <w:numFmt w:val="bullet"/>
      <w:lvlText w:val="•"/>
      <w:lvlJc w:val="left"/>
      <w:pPr>
        <w:ind w:left="7955" w:hanging="329"/>
      </w:pPr>
      <w:rPr>
        <w:rFonts w:hint="default"/>
        <w:lang w:val="pt-PT" w:eastAsia="en-US" w:bidi="ar-SA"/>
      </w:rPr>
    </w:lvl>
    <w:lvl w:ilvl="8">
      <w:start w:val="0"/>
      <w:numFmt w:val="bullet"/>
      <w:lvlText w:val="•"/>
      <w:lvlJc w:val="left"/>
      <w:pPr>
        <w:ind w:left="9034" w:hanging="329"/>
      </w:pPr>
      <w:rPr>
        <w:rFonts w:hint="default"/>
        <w:lang w:val="pt-PT" w:eastAsia="en-US" w:bidi="ar-SA"/>
      </w:rPr>
    </w:lvl>
  </w:abstractNum>
  <w:abstractNum w:abstractNumId="28">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27">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414" w:hanging="393"/>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2">
      <w:start w:val="0"/>
      <w:numFmt w:val="bullet"/>
      <w:lvlText w:val="•"/>
      <w:lvlJc w:val="left"/>
      <w:pPr>
        <w:ind w:left="1617" w:hanging="393"/>
      </w:pPr>
      <w:rPr>
        <w:rFonts w:hint="default"/>
        <w:lang w:val="pt-PT" w:eastAsia="en-US" w:bidi="ar-SA"/>
      </w:rPr>
    </w:lvl>
    <w:lvl w:ilvl="3">
      <w:start w:val="0"/>
      <w:numFmt w:val="bullet"/>
      <w:lvlText w:val="•"/>
      <w:lvlJc w:val="left"/>
      <w:pPr>
        <w:ind w:left="2814" w:hanging="393"/>
      </w:pPr>
      <w:rPr>
        <w:rFonts w:hint="default"/>
        <w:lang w:val="pt-PT" w:eastAsia="en-US" w:bidi="ar-SA"/>
      </w:rPr>
    </w:lvl>
    <w:lvl w:ilvl="4">
      <w:start w:val="0"/>
      <w:numFmt w:val="bullet"/>
      <w:lvlText w:val="•"/>
      <w:lvlJc w:val="left"/>
      <w:pPr>
        <w:ind w:left="4011" w:hanging="393"/>
      </w:pPr>
      <w:rPr>
        <w:rFonts w:hint="default"/>
        <w:lang w:val="pt-PT" w:eastAsia="en-US" w:bidi="ar-SA"/>
      </w:rPr>
    </w:lvl>
    <w:lvl w:ilvl="5">
      <w:start w:val="0"/>
      <w:numFmt w:val="bullet"/>
      <w:lvlText w:val="•"/>
      <w:lvlJc w:val="left"/>
      <w:pPr>
        <w:ind w:left="5208" w:hanging="393"/>
      </w:pPr>
      <w:rPr>
        <w:rFonts w:hint="default"/>
        <w:lang w:val="pt-PT" w:eastAsia="en-US" w:bidi="ar-SA"/>
      </w:rPr>
    </w:lvl>
    <w:lvl w:ilvl="6">
      <w:start w:val="0"/>
      <w:numFmt w:val="bullet"/>
      <w:lvlText w:val="•"/>
      <w:lvlJc w:val="left"/>
      <w:pPr>
        <w:ind w:left="6405" w:hanging="393"/>
      </w:pPr>
      <w:rPr>
        <w:rFonts w:hint="default"/>
        <w:lang w:val="pt-PT" w:eastAsia="en-US" w:bidi="ar-SA"/>
      </w:rPr>
    </w:lvl>
    <w:lvl w:ilvl="7">
      <w:start w:val="0"/>
      <w:numFmt w:val="bullet"/>
      <w:lvlText w:val="•"/>
      <w:lvlJc w:val="left"/>
      <w:pPr>
        <w:ind w:left="7602" w:hanging="393"/>
      </w:pPr>
      <w:rPr>
        <w:rFonts w:hint="default"/>
        <w:lang w:val="pt-PT" w:eastAsia="en-US" w:bidi="ar-SA"/>
      </w:rPr>
    </w:lvl>
    <w:lvl w:ilvl="8">
      <w:start w:val="0"/>
      <w:numFmt w:val="bullet"/>
      <w:lvlText w:val="•"/>
      <w:lvlJc w:val="left"/>
      <w:pPr>
        <w:ind w:left="8799" w:hanging="393"/>
      </w:pPr>
      <w:rPr>
        <w:rFonts w:hint="default"/>
        <w:lang w:val="pt-PT" w:eastAsia="en-US" w:bidi="ar-SA"/>
      </w:rPr>
    </w:lvl>
  </w:abstractNum>
  <w:abstractNum w:abstractNumId="26">
    <w:multiLevelType w:val="hybridMultilevel"/>
    <w:lvl w:ilvl="0">
      <w:start w:val="0"/>
      <w:numFmt w:val="bullet"/>
      <w:lvlText w:val="•"/>
      <w:lvlJc w:val="left"/>
      <w:pPr>
        <w:ind w:left="68" w:hanging="336"/>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414" w:hanging="426"/>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2">
      <w:start w:val="0"/>
      <w:numFmt w:val="bullet"/>
      <w:lvlText w:val="•"/>
      <w:lvlJc w:val="left"/>
      <w:pPr>
        <w:ind w:left="1617" w:hanging="426"/>
      </w:pPr>
      <w:rPr>
        <w:rFonts w:hint="default"/>
        <w:lang w:val="pt-PT" w:eastAsia="en-US" w:bidi="ar-SA"/>
      </w:rPr>
    </w:lvl>
    <w:lvl w:ilvl="3">
      <w:start w:val="0"/>
      <w:numFmt w:val="bullet"/>
      <w:lvlText w:val="•"/>
      <w:lvlJc w:val="left"/>
      <w:pPr>
        <w:ind w:left="2814" w:hanging="426"/>
      </w:pPr>
      <w:rPr>
        <w:rFonts w:hint="default"/>
        <w:lang w:val="pt-PT" w:eastAsia="en-US" w:bidi="ar-SA"/>
      </w:rPr>
    </w:lvl>
    <w:lvl w:ilvl="4">
      <w:start w:val="0"/>
      <w:numFmt w:val="bullet"/>
      <w:lvlText w:val="•"/>
      <w:lvlJc w:val="left"/>
      <w:pPr>
        <w:ind w:left="4011" w:hanging="426"/>
      </w:pPr>
      <w:rPr>
        <w:rFonts w:hint="default"/>
        <w:lang w:val="pt-PT" w:eastAsia="en-US" w:bidi="ar-SA"/>
      </w:rPr>
    </w:lvl>
    <w:lvl w:ilvl="5">
      <w:start w:val="0"/>
      <w:numFmt w:val="bullet"/>
      <w:lvlText w:val="•"/>
      <w:lvlJc w:val="left"/>
      <w:pPr>
        <w:ind w:left="5208" w:hanging="426"/>
      </w:pPr>
      <w:rPr>
        <w:rFonts w:hint="default"/>
        <w:lang w:val="pt-PT" w:eastAsia="en-US" w:bidi="ar-SA"/>
      </w:rPr>
    </w:lvl>
    <w:lvl w:ilvl="6">
      <w:start w:val="0"/>
      <w:numFmt w:val="bullet"/>
      <w:lvlText w:val="•"/>
      <w:lvlJc w:val="left"/>
      <w:pPr>
        <w:ind w:left="6405" w:hanging="426"/>
      </w:pPr>
      <w:rPr>
        <w:rFonts w:hint="default"/>
        <w:lang w:val="pt-PT" w:eastAsia="en-US" w:bidi="ar-SA"/>
      </w:rPr>
    </w:lvl>
    <w:lvl w:ilvl="7">
      <w:start w:val="0"/>
      <w:numFmt w:val="bullet"/>
      <w:lvlText w:val="•"/>
      <w:lvlJc w:val="left"/>
      <w:pPr>
        <w:ind w:left="7602" w:hanging="426"/>
      </w:pPr>
      <w:rPr>
        <w:rFonts w:hint="default"/>
        <w:lang w:val="pt-PT" w:eastAsia="en-US" w:bidi="ar-SA"/>
      </w:rPr>
    </w:lvl>
    <w:lvl w:ilvl="8">
      <w:start w:val="0"/>
      <w:numFmt w:val="bullet"/>
      <w:lvlText w:val="•"/>
      <w:lvlJc w:val="left"/>
      <w:pPr>
        <w:ind w:left="8799" w:hanging="426"/>
      </w:pPr>
      <w:rPr>
        <w:rFonts w:hint="default"/>
        <w:lang w:val="pt-PT" w:eastAsia="en-US" w:bidi="ar-SA"/>
      </w:rPr>
    </w:lvl>
  </w:abstractNum>
  <w:abstractNum w:abstractNumId="25">
    <w:multiLevelType w:val="hybridMultilevel"/>
    <w:lvl w:ilvl="0">
      <w:start w:val="0"/>
      <w:numFmt w:val="bullet"/>
      <w:lvlText w:val="•"/>
      <w:lvlJc w:val="left"/>
      <w:pPr>
        <w:ind w:left="68" w:hanging="38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89"/>
      </w:pPr>
      <w:rPr>
        <w:rFonts w:hint="default"/>
        <w:lang w:val="pt-PT" w:eastAsia="en-US" w:bidi="ar-SA"/>
      </w:rPr>
    </w:lvl>
    <w:lvl w:ilvl="2">
      <w:start w:val="0"/>
      <w:numFmt w:val="bullet"/>
      <w:lvlText w:val="•"/>
      <w:lvlJc w:val="left"/>
      <w:pPr>
        <w:ind w:left="2286" w:hanging="389"/>
      </w:pPr>
      <w:rPr>
        <w:rFonts w:hint="default"/>
        <w:lang w:val="pt-PT" w:eastAsia="en-US" w:bidi="ar-SA"/>
      </w:rPr>
    </w:lvl>
    <w:lvl w:ilvl="3">
      <w:start w:val="0"/>
      <w:numFmt w:val="bullet"/>
      <w:lvlText w:val="•"/>
      <w:lvlJc w:val="left"/>
      <w:pPr>
        <w:ind w:left="3399" w:hanging="389"/>
      </w:pPr>
      <w:rPr>
        <w:rFonts w:hint="default"/>
        <w:lang w:val="pt-PT" w:eastAsia="en-US" w:bidi="ar-SA"/>
      </w:rPr>
    </w:lvl>
    <w:lvl w:ilvl="4">
      <w:start w:val="0"/>
      <w:numFmt w:val="bullet"/>
      <w:lvlText w:val="•"/>
      <w:lvlJc w:val="left"/>
      <w:pPr>
        <w:ind w:left="4513" w:hanging="389"/>
      </w:pPr>
      <w:rPr>
        <w:rFonts w:hint="default"/>
        <w:lang w:val="pt-PT" w:eastAsia="en-US" w:bidi="ar-SA"/>
      </w:rPr>
    </w:lvl>
    <w:lvl w:ilvl="5">
      <w:start w:val="0"/>
      <w:numFmt w:val="bullet"/>
      <w:lvlText w:val="•"/>
      <w:lvlJc w:val="left"/>
      <w:pPr>
        <w:ind w:left="5626" w:hanging="389"/>
      </w:pPr>
      <w:rPr>
        <w:rFonts w:hint="default"/>
        <w:lang w:val="pt-PT" w:eastAsia="en-US" w:bidi="ar-SA"/>
      </w:rPr>
    </w:lvl>
    <w:lvl w:ilvl="6">
      <w:start w:val="0"/>
      <w:numFmt w:val="bullet"/>
      <w:lvlText w:val="•"/>
      <w:lvlJc w:val="left"/>
      <w:pPr>
        <w:ind w:left="6739" w:hanging="389"/>
      </w:pPr>
      <w:rPr>
        <w:rFonts w:hint="default"/>
        <w:lang w:val="pt-PT" w:eastAsia="en-US" w:bidi="ar-SA"/>
      </w:rPr>
    </w:lvl>
    <w:lvl w:ilvl="7">
      <w:start w:val="0"/>
      <w:numFmt w:val="bullet"/>
      <w:lvlText w:val="•"/>
      <w:lvlJc w:val="left"/>
      <w:pPr>
        <w:ind w:left="7853" w:hanging="389"/>
      </w:pPr>
      <w:rPr>
        <w:rFonts w:hint="default"/>
        <w:lang w:val="pt-PT" w:eastAsia="en-US" w:bidi="ar-SA"/>
      </w:rPr>
    </w:lvl>
    <w:lvl w:ilvl="8">
      <w:start w:val="0"/>
      <w:numFmt w:val="bullet"/>
      <w:lvlText w:val="•"/>
      <w:lvlJc w:val="left"/>
      <w:pPr>
        <w:ind w:left="8966" w:hanging="389"/>
      </w:pPr>
      <w:rPr>
        <w:rFonts w:hint="default"/>
        <w:lang w:val="pt-PT" w:eastAsia="en-US" w:bidi="ar-SA"/>
      </w:rPr>
    </w:lvl>
  </w:abstractNum>
  <w:abstractNum w:abstractNumId="24">
    <w:multiLevelType w:val="hybridMultilevel"/>
    <w:lvl w:ilvl="0">
      <w:start w:val="0"/>
      <w:numFmt w:val="bullet"/>
      <w:lvlText w:val="•"/>
      <w:lvlJc w:val="left"/>
      <w:pPr>
        <w:ind w:left="68" w:hanging="366"/>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66"/>
      </w:pPr>
      <w:rPr>
        <w:rFonts w:hint="default"/>
        <w:lang w:val="pt-PT" w:eastAsia="en-US" w:bidi="ar-SA"/>
      </w:rPr>
    </w:lvl>
    <w:lvl w:ilvl="2">
      <w:start w:val="0"/>
      <w:numFmt w:val="bullet"/>
      <w:lvlText w:val="•"/>
      <w:lvlJc w:val="left"/>
      <w:pPr>
        <w:ind w:left="2286" w:hanging="366"/>
      </w:pPr>
      <w:rPr>
        <w:rFonts w:hint="default"/>
        <w:lang w:val="pt-PT" w:eastAsia="en-US" w:bidi="ar-SA"/>
      </w:rPr>
    </w:lvl>
    <w:lvl w:ilvl="3">
      <w:start w:val="0"/>
      <w:numFmt w:val="bullet"/>
      <w:lvlText w:val="•"/>
      <w:lvlJc w:val="left"/>
      <w:pPr>
        <w:ind w:left="3399" w:hanging="366"/>
      </w:pPr>
      <w:rPr>
        <w:rFonts w:hint="default"/>
        <w:lang w:val="pt-PT" w:eastAsia="en-US" w:bidi="ar-SA"/>
      </w:rPr>
    </w:lvl>
    <w:lvl w:ilvl="4">
      <w:start w:val="0"/>
      <w:numFmt w:val="bullet"/>
      <w:lvlText w:val="•"/>
      <w:lvlJc w:val="left"/>
      <w:pPr>
        <w:ind w:left="4513" w:hanging="366"/>
      </w:pPr>
      <w:rPr>
        <w:rFonts w:hint="default"/>
        <w:lang w:val="pt-PT" w:eastAsia="en-US" w:bidi="ar-SA"/>
      </w:rPr>
    </w:lvl>
    <w:lvl w:ilvl="5">
      <w:start w:val="0"/>
      <w:numFmt w:val="bullet"/>
      <w:lvlText w:val="•"/>
      <w:lvlJc w:val="left"/>
      <w:pPr>
        <w:ind w:left="5626" w:hanging="366"/>
      </w:pPr>
      <w:rPr>
        <w:rFonts w:hint="default"/>
        <w:lang w:val="pt-PT" w:eastAsia="en-US" w:bidi="ar-SA"/>
      </w:rPr>
    </w:lvl>
    <w:lvl w:ilvl="6">
      <w:start w:val="0"/>
      <w:numFmt w:val="bullet"/>
      <w:lvlText w:val="•"/>
      <w:lvlJc w:val="left"/>
      <w:pPr>
        <w:ind w:left="6739" w:hanging="366"/>
      </w:pPr>
      <w:rPr>
        <w:rFonts w:hint="default"/>
        <w:lang w:val="pt-PT" w:eastAsia="en-US" w:bidi="ar-SA"/>
      </w:rPr>
    </w:lvl>
    <w:lvl w:ilvl="7">
      <w:start w:val="0"/>
      <w:numFmt w:val="bullet"/>
      <w:lvlText w:val="•"/>
      <w:lvlJc w:val="left"/>
      <w:pPr>
        <w:ind w:left="7853" w:hanging="366"/>
      </w:pPr>
      <w:rPr>
        <w:rFonts w:hint="default"/>
        <w:lang w:val="pt-PT" w:eastAsia="en-US" w:bidi="ar-SA"/>
      </w:rPr>
    </w:lvl>
    <w:lvl w:ilvl="8">
      <w:start w:val="0"/>
      <w:numFmt w:val="bullet"/>
      <w:lvlText w:val="•"/>
      <w:lvlJc w:val="left"/>
      <w:pPr>
        <w:ind w:left="8966" w:hanging="366"/>
      </w:pPr>
      <w:rPr>
        <w:rFonts w:hint="default"/>
        <w:lang w:val="pt-PT" w:eastAsia="en-US" w:bidi="ar-SA"/>
      </w:rPr>
    </w:lvl>
  </w:abstractNum>
  <w:abstractNum w:abstractNumId="23">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22">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21">
    <w:multiLevelType w:val="hybridMultilevel"/>
    <w:lvl w:ilvl="0">
      <w:start w:val="0"/>
      <w:numFmt w:val="bullet"/>
      <w:lvlText w:val="•"/>
      <w:lvlJc w:val="left"/>
      <w:pPr>
        <w:ind w:left="68" w:hanging="330"/>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30"/>
      </w:pPr>
      <w:rPr>
        <w:rFonts w:hint="default"/>
        <w:lang w:val="pt-PT" w:eastAsia="en-US" w:bidi="ar-SA"/>
      </w:rPr>
    </w:lvl>
    <w:lvl w:ilvl="2">
      <w:start w:val="0"/>
      <w:numFmt w:val="bullet"/>
      <w:lvlText w:val="•"/>
      <w:lvlJc w:val="left"/>
      <w:pPr>
        <w:ind w:left="2286" w:hanging="330"/>
      </w:pPr>
      <w:rPr>
        <w:rFonts w:hint="default"/>
        <w:lang w:val="pt-PT" w:eastAsia="en-US" w:bidi="ar-SA"/>
      </w:rPr>
    </w:lvl>
    <w:lvl w:ilvl="3">
      <w:start w:val="0"/>
      <w:numFmt w:val="bullet"/>
      <w:lvlText w:val="•"/>
      <w:lvlJc w:val="left"/>
      <w:pPr>
        <w:ind w:left="3399" w:hanging="330"/>
      </w:pPr>
      <w:rPr>
        <w:rFonts w:hint="default"/>
        <w:lang w:val="pt-PT" w:eastAsia="en-US" w:bidi="ar-SA"/>
      </w:rPr>
    </w:lvl>
    <w:lvl w:ilvl="4">
      <w:start w:val="0"/>
      <w:numFmt w:val="bullet"/>
      <w:lvlText w:val="•"/>
      <w:lvlJc w:val="left"/>
      <w:pPr>
        <w:ind w:left="4513" w:hanging="330"/>
      </w:pPr>
      <w:rPr>
        <w:rFonts w:hint="default"/>
        <w:lang w:val="pt-PT" w:eastAsia="en-US" w:bidi="ar-SA"/>
      </w:rPr>
    </w:lvl>
    <w:lvl w:ilvl="5">
      <w:start w:val="0"/>
      <w:numFmt w:val="bullet"/>
      <w:lvlText w:val="•"/>
      <w:lvlJc w:val="left"/>
      <w:pPr>
        <w:ind w:left="5626" w:hanging="330"/>
      </w:pPr>
      <w:rPr>
        <w:rFonts w:hint="default"/>
        <w:lang w:val="pt-PT" w:eastAsia="en-US" w:bidi="ar-SA"/>
      </w:rPr>
    </w:lvl>
    <w:lvl w:ilvl="6">
      <w:start w:val="0"/>
      <w:numFmt w:val="bullet"/>
      <w:lvlText w:val="•"/>
      <w:lvlJc w:val="left"/>
      <w:pPr>
        <w:ind w:left="6739" w:hanging="330"/>
      </w:pPr>
      <w:rPr>
        <w:rFonts w:hint="default"/>
        <w:lang w:val="pt-PT" w:eastAsia="en-US" w:bidi="ar-SA"/>
      </w:rPr>
    </w:lvl>
    <w:lvl w:ilvl="7">
      <w:start w:val="0"/>
      <w:numFmt w:val="bullet"/>
      <w:lvlText w:val="•"/>
      <w:lvlJc w:val="left"/>
      <w:pPr>
        <w:ind w:left="7853" w:hanging="330"/>
      </w:pPr>
      <w:rPr>
        <w:rFonts w:hint="default"/>
        <w:lang w:val="pt-PT" w:eastAsia="en-US" w:bidi="ar-SA"/>
      </w:rPr>
    </w:lvl>
    <w:lvl w:ilvl="8">
      <w:start w:val="0"/>
      <w:numFmt w:val="bullet"/>
      <w:lvlText w:val="•"/>
      <w:lvlJc w:val="left"/>
      <w:pPr>
        <w:ind w:left="8966" w:hanging="330"/>
      </w:pPr>
      <w:rPr>
        <w:rFonts w:hint="default"/>
        <w:lang w:val="pt-PT" w:eastAsia="en-US" w:bidi="ar-SA"/>
      </w:rPr>
    </w:lvl>
  </w:abstractNum>
  <w:abstractNum w:abstractNumId="20">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19">
    <w:multiLevelType w:val="hybridMultilevel"/>
    <w:lvl w:ilvl="0">
      <w:start w:val="0"/>
      <w:numFmt w:val="bullet"/>
      <w:lvlText w:val="•"/>
      <w:lvlJc w:val="left"/>
      <w:pPr>
        <w:ind w:left="211" w:hanging="145"/>
      </w:pPr>
      <w:rPr>
        <w:rFonts w:hint="default" w:ascii="Microsoft Sans Serif" w:hAnsi="Microsoft Sans Serif" w:eastAsia="Microsoft Sans Serif" w:cs="Microsoft Sans Serif"/>
        <w:b w:val="0"/>
        <w:bCs w:val="0"/>
        <w:i w:val="0"/>
        <w:iCs w:val="0"/>
        <w:spacing w:val="0"/>
        <w:w w:val="103"/>
        <w:sz w:val="21"/>
        <w:szCs w:val="21"/>
        <w:lang w:val="pt-PT" w:eastAsia="en-US" w:bidi="ar-SA"/>
      </w:rPr>
    </w:lvl>
    <w:lvl w:ilvl="1">
      <w:start w:val="0"/>
      <w:numFmt w:val="bullet"/>
      <w:lvlText w:val="•"/>
      <w:lvlJc w:val="left"/>
      <w:pPr>
        <w:ind w:left="835" w:hanging="145"/>
      </w:pPr>
      <w:rPr>
        <w:rFonts w:hint="default"/>
        <w:lang w:val="pt-PT" w:eastAsia="en-US" w:bidi="ar-SA"/>
      </w:rPr>
    </w:lvl>
    <w:lvl w:ilvl="2">
      <w:start w:val="0"/>
      <w:numFmt w:val="bullet"/>
      <w:lvlText w:val="•"/>
      <w:lvlJc w:val="left"/>
      <w:pPr>
        <w:ind w:left="1450" w:hanging="145"/>
      </w:pPr>
      <w:rPr>
        <w:rFonts w:hint="default"/>
        <w:lang w:val="pt-PT" w:eastAsia="en-US" w:bidi="ar-SA"/>
      </w:rPr>
    </w:lvl>
    <w:lvl w:ilvl="3">
      <w:start w:val="0"/>
      <w:numFmt w:val="bullet"/>
      <w:lvlText w:val="•"/>
      <w:lvlJc w:val="left"/>
      <w:pPr>
        <w:ind w:left="2065" w:hanging="145"/>
      </w:pPr>
      <w:rPr>
        <w:rFonts w:hint="default"/>
        <w:lang w:val="pt-PT" w:eastAsia="en-US" w:bidi="ar-SA"/>
      </w:rPr>
    </w:lvl>
    <w:lvl w:ilvl="4">
      <w:start w:val="0"/>
      <w:numFmt w:val="bullet"/>
      <w:lvlText w:val="•"/>
      <w:lvlJc w:val="left"/>
      <w:pPr>
        <w:ind w:left="2680" w:hanging="145"/>
      </w:pPr>
      <w:rPr>
        <w:rFonts w:hint="default"/>
        <w:lang w:val="pt-PT" w:eastAsia="en-US" w:bidi="ar-SA"/>
      </w:rPr>
    </w:lvl>
    <w:lvl w:ilvl="5">
      <w:start w:val="0"/>
      <w:numFmt w:val="bullet"/>
      <w:lvlText w:val="•"/>
      <w:lvlJc w:val="left"/>
      <w:pPr>
        <w:ind w:left="3296" w:hanging="145"/>
      </w:pPr>
      <w:rPr>
        <w:rFonts w:hint="default"/>
        <w:lang w:val="pt-PT" w:eastAsia="en-US" w:bidi="ar-SA"/>
      </w:rPr>
    </w:lvl>
    <w:lvl w:ilvl="6">
      <w:start w:val="0"/>
      <w:numFmt w:val="bullet"/>
      <w:lvlText w:val="•"/>
      <w:lvlJc w:val="left"/>
      <w:pPr>
        <w:ind w:left="3911" w:hanging="145"/>
      </w:pPr>
      <w:rPr>
        <w:rFonts w:hint="default"/>
        <w:lang w:val="pt-PT" w:eastAsia="en-US" w:bidi="ar-SA"/>
      </w:rPr>
    </w:lvl>
    <w:lvl w:ilvl="7">
      <w:start w:val="0"/>
      <w:numFmt w:val="bullet"/>
      <w:lvlText w:val="•"/>
      <w:lvlJc w:val="left"/>
      <w:pPr>
        <w:ind w:left="4526" w:hanging="145"/>
      </w:pPr>
      <w:rPr>
        <w:rFonts w:hint="default"/>
        <w:lang w:val="pt-PT" w:eastAsia="en-US" w:bidi="ar-SA"/>
      </w:rPr>
    </w:lvl>
    <w:lvl w:ilvl="8">
      <w:start w:val="0"/>
      <w:numFmt w:val="bullet"/>
      <w:lvlText w:val="•"/>
      <w:lvlJc w:val="left"/>
      <w:pPr>
        <w:ind w:left="5141" w:hanging="145"/>
      </w:pPr>
      <w:rPr>
        <w:rFonts w:hint="default"/>
        <w:lang w:val="pt-PT" w:eastAsia="en-US" w:bidi="ar-SA"/>
      </w:rPr>
    </w:lvl>
  </w:abstractNum>
  <w:abstractNum w:abstractNumId="18">
    <w:multiLevelType w:val="hybridMultilevel"/>
    <w:lvl w:ilvl="0">
      <w:start w:val="0"/>
      <w:numFmt w:val="bullet"/>
      <w:lvlText w:val="•"/>
      <w:lvlJc w:val="left"/>
      <w:pPr>
        <w:ind w:left="211" w:hanging="145"/>
      </w:pPr>
      <w:rPr>
        <w:rFonts w:hint="default" w:ascii="Microsoft Sans Serif" w:hAnsi="Microsoft Sans Serif" w:eastAsia="Microsoft Sans Serif" w:cs="Microsoft Sans Serif"/>
        <w:b w:val="0"/>
        <w:bCs w:val="0"/>
        <w:i w:val="0"/>
        <w:iCs w:val="0"/>
        <w:spacing w:val="0"/>
        <w:w w:val="103"/>
        <w:sz w:val="21"/>
        <w:szCs w:val="21"/>
        <w:lang w:val="pt-PT" w:eastAsia="en-US" w:bidi="ar-SA"/>
      </w:rPr>
    </w:lvl>
    <w:lvl w:ilvl="1">
      <w:start w:val="0"/>
      <w:numFmt w:val="bullet"/>
      <w:lvlText w:val="•"/>
      <w:lvlJc w:val="left"/>
      <w:pPr>
        <w:ind w:left="835" w:hanging="145"/>
      </w:pPr>
      <w:rPr>
        <w:rFonts w:hint="default"/>
        <w:lang w:val="pt-PT" w:eastAsia="en-US" w:bidi="ar-SA"/>
      </w:rPr>
    </w:lvl>
    <w:lvl w:ilvl="2">
      <w:start w:val="0"/>
      <w:numFmt w:val="bullet"/>
      <w:lvlText w:val="•"/>
      <w:lvlJc w:val="left"/>
      <w:pPr>
        <w:ind w:left="1450" w:hanging="145"/>
      </w:pPr>
      <w:rPr>
        <w:rFonts w:hint="default"/>
        <w:lang w:val="pt-PT" w:eastAsia="en-US" w:bidi="ar-SA"/>
      </w:rPr>
    </w:lvl>
    <w:lvl w:ilvl="3">
      <w:start w:val="0"/>
      <w:numFmt w:val="bullet"/>
      <w:lvlText w:val="•"/>
      <w:lvlJc w:val="left"/>
      <w:pPr>
        <w:ind w:left="2065" w:hanging="145"/>
      </w:pPr>
      <w:rPr>
        <w:rFonts w:hint="default"/>
        <w:lang w:val="pt-PT" w:eastAsia="en-US" w:bidi="ar-SA"/>
      </w:rPr>
    </w:lvl>
    <w:lvl w:ilvl="4">
      <w:start w:val="0"/>
      <w:numFmt w:val="bullet"/>
      <w:lvlText w:val="•"/>
      <w:lvlJc w:val="left"/>
      <w:pPr>
        <w:ind w:left="2680" w:hanging="145"/>
      </w:pPr>
      <w:rPr>
        <w:rFonts w:hint="default"/>
        <w:lang w:val="pt-PT" w:eastAsia="en-US" w:bidi="ar-SA"/>
      </w:rPr>
    </w:lvl>
    <w:lvl w:ilvl="5">
      <w:start w:val="0"/>
      <w:numFmt w:val="bullet"/>
      <w:lvlText w:val="•"/>
      <w:lvlJc w:val="left"/>
      <w:pPr>
        <w:ind w:left="3296" w:hanging="145"/>
      </w:pPr>
      <w:rPr>
        <w:rFonts w:hint="default"/>
        <w:lang w:val="pt-PT" w:eastAsia="en-US" w:bidi="ar-SA"/>
      </w:rPr>
    </w:lvl>
    <w:lvl w:ilvl="6">
      <w:start w:val="0"/>
      <w:numFmt w:val="bullet"/>
      <w:lvlText w:val="•"/>
      <w:lvlJc w:val="left"/>
      <w:pPr>
        <w:ind w:left="3911" w:hanging="145"/>
      </w:pPr>
      <w:rPr>
        <w:rFonts w:hint="default"/>
        <w:lang w:val="pt-PT" w:eastAsia="en-US" w:bidi="ar-SA"/>
      </w:rPr>
    </w:lvl>
    <w:lvl w:ilvl="7">
      <w:start w:val="0"/>
      <w:numFmt w:val="bullet"/>
      <w:lvlText w:val="•"/>
      <w:lvlJc w:val="left"/>
      <w:pPr>
        <w:ind w:left="4526" w:hanging="145"/>
      </w:pPr>
      <w:rPr>
        <w:rFonts w:hint="default"/>
        <w:lang w:val="pt-PT" w:eastAsia="en-US" w:bidi="ar-SA"/>
      </w:rPr>
    </w:lvl>
    <w:lvl w:ilvl="8">
      <w:start w:val="0"/>
      <w:numFmt w:val="bullet"/>
      <w:lvlText w:val="•"/>
      <w:lvlJc w:val="left"/>
      <w:pPr>
        <w:ind w:left="5141" w:hanging="145"/>
      </w:pPr>
      <w:rPr>
        <w:rFonts w:hint="default"/>
        <w:lang w:val="pt-PT" w:eastAsia="en-US" w:bidi="ar-SA"/>
      </w:rPr>
    </w:lvl>
  </w:abstractNum>
  <w:abstractNum w:abstractNumId="17">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16">
    <w:multiLevelType w:val="hybridMultilevel"/>
    <w:lvl w:ilvl="0">
      <w:start w:val="0"/>
      <w:numFmt w:val="bullet"/>
      <w:lvlText w:val="•"/>
      <w:lvlJc w:val="left"/>
      <w:pPr>
        <w:ind w:left="68" w:hanging="374"/>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74"/>
      </w:pPr>
      <w:rPr>
        <w:rFonts w:hint="default"/>
        <w:lang w:val="pt-PT" w:eastAsia="en-US" w:bidi="ar-SA"/>
      </w:rPr>
    </w:lvl>
    <w:lvl w:ilvl="2">
      <w:start w:val="0"/>
      <w:numFmt w:val="bullet"/>
      <w:lvlText w:val="•"/>
      <w:lvlJc w:val="left"/>
      <w:pPr>
        <w:ind w:left="2286" w:hanging="374"/>
      </w:pPr>
      <w:rPr>
        <w:rFonts w:hint="default"/>
        <w:lang w:val="pt-PT" w:eastAsia="en-US" w:bidi="ar-SA"/>
      </w:rPr>
    </w:lvl>
    <w:lvl w:ilvl="3">
      <w:start w:val="0"/>
      <w:numFmt w:val="bullet"/>
      <w:lvlText w:val="•"/>
      <w:lvlJc w:val="left"/>
      <w:pPr>
        <w:ind w:left="3399" w:hanging="374"/>
      </w:pPr>
      <w:rPr>
        <w:rFonts w:hint="default"/>
        <w:lang w:val="pt-PT" w:eastAsia="en-US" w:bidi="ar-SA"/>
      </w:rPr>
    </w:lvl>
    <w:lvl w:ilvl="4">
      <w:start w:val="0"/>
      <w:numFmt w:val="bullet"/>
      <w:lvlText w:val="•"/>
      <w:lvlJc w:val="left"/>
      <w:pPr>
        <w:ind w:left="4513" w:hanging="374"/>
      </w:pPr>
      <w:rPr>
        <w:rFonts w:hint="default"/>
        <w:lang w:val="pt-PT" w:eastAsia="en-US" w:bidi="ar-SA"/>
      </w:rPr>
    </w:lvl>
    <w:lvl w:ilvl="5">
      <w:start w:val="0"/>
      <w:numFmt w:val="bullet"/>
      <w:lvlText w:val="•"/>
      <w:lvlJc w:val="left"/>
      <w:pPr>
        <w:ind w:left="5626" w:hanging="374"/>
      </w:pPr>
      <w:rPr>
        <w:rFonts w:hint="default"/>
        <w:lang w:val="pt-PT" w:eastAsia="en-US" w:bidi="ar-SA"/>
      </w:rPr>
    </w:lvl>
    <w:lvl w:ilvl="6">
      <w:start w:val="0"/>
      <w:numFmt w:val="bullet"/>
      <w:lvlText w:val="•"/>
      <w:lvlJc w:val="left"/>
      <w:pPr>
        <w:ind w:left="6739" w:hanging="374"/>
      </w:pPr>
      <w:rPr>
        <w:rFonts w:hint="default"/>
        <w:lang w:val="pt-PT" w:eastAsia="en-US" w:bidi="ar-SA"/>
      </w:rPr>
    </w:lvl>
    <w:lvl w:ilvl="7">
      <w:start w:val="0"/>
      <w:numFmt w:val="bullet"/>
      <w:lvlText w:val="•"/>
      <w:lvlJc w:val="left"/>
      <w:pPr>
        <w:ind w:left="7853" w:hanging="374"/>
      </w:pPr>
      <w:rPr>
        <w:rFonts w:hint="default"/>
        <w:lang w:val="pt-PT" w:eastAsia="en-US" w:bidi="ar-SA"/>
      </w:rPr>
    </w:lvl>
    <w:lvl w:ilvl="8">
      <w:start w:val="0"/>
      <w:numFmt w:val="bullet"/>
      <w:lvlText w:val="•"/>
      <w:lvlJc w:val="left"/>
      <w:pPr>
        <w:ind w:left="8966" w:hanging="374"/>
      </w:pPr>
      <w:rPr>
        <w:rFonts w:hint="default"/>
        <w:lang w:val="pt-PT" w:eastAsia="en-US" w:bidi="ar-SA"/>
      </w:rPr>
    </w:lvl>
  </w:abstractNum>
  <w:abstractNum w:abstractNumId="15">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14">
    <w:multiLevelType w:val="hybridMultilevel"/>
    <w:lvl w:ilvl="0">
      <w:start w:val="0"/>
      <w:numFmt w:val="bullet"/>
      <w:lvlText w:val="•"/>
      <w:lvlJc w:val="left"/>
      <w:pPr>
        <w:ind w:left="68" w:hanging="342"/>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807" w:hanging="393"/>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2">
      <w:start w:val="0"/>
      <w:numFmt w:val="bullet"/>
      <w:lvlText w:val="•"/>
      <w:lvlJc w:val="left"/>
      <w:pPr>
        <w:ind w:left="1954" w:hanging="393"/>
      </w:pPr>
      <w:rPr>
        <w:rFonts w:hint="default"/>
        <w:lang w:val="pt-PT" w:eastAsia="en-US" w:bidi="ar-SA"/>
      </w:rPr>
    </w:lvl>
    <w:lvl w:ilvl="3">
      <w:start w:val="0"/>
      <w:numFmt w:val="bullet"/>
      <w:lvlText w:val="•"/>
      <w:lvlJc w:val="left"/>
      <w:pPr>
        <w:ind w:left="3109" w:hanging="393"/>
      </w:pPr>
      <w:rPr>
        <w:rFonts w:hint="default"/>
        <w:lang w:val="pt-PT" w:eastAsia="en-US" w:bidi="ar-SA"/>
      </w:rPr>
    </w:lvl>
    <w:lvl w:ilvl="4">
      <w:start w:val="0"/>
      <w:numFmt w:val="bullet"/>
      <w:lvlText w:val="•"/>
      <w:lvlJc w:val="left"/>
      <w:pPr>
        <w:ind w:left="4264" w:hanging="393"/>
      </w:pPr>
      <w:rPr>
        <w:rFonts w:hint="default"/>
        <w:lang w:val="pt-PT" w:eastAsia="en-US" w:bidi="ar-SA"/>
      </w:rPr>
    </w:lvl>
    <w:lvl w:ilvl="5">
      <w:start w:val="0"/>
      <w:numFmt w:val="bullet"/>
      <w:lvlText w:val="•"/>
      <w:lvlJc w:val="left"/>
      <w:pPr>
        <w:ind w:left="5419" w:hanging="393"/>
      </w:pPr>
      <w:rPr>
        <w:rFonts w:hint="default"/>
        <w:lang w:val="pt-PT" w:eastAsia="en-US" w:bidi="ar-SA"/>
      </w:rPr>
    </w:lvl>
    <w:lvl w:ilvl="6">
      <w:start w:val="0"/>
      <w:numFmt w:val="bullet"/>
      <w:lvlText w:val="•"/>
      <w:lvlJc w:val="left"/>
      <w:pPr>
        <w:ind w:left="6573" w:hanging="393"/>
      </w:pPr>
      <w:rPr>
        <w:rFonts w:hint="default"/>
        <w:lang w:val="pt-PT" w:eastAsia="en-US" w:bidi="ar-SA"/>
      </w:rPr>
    </w:lvl>
    <w:lvl w:ilvl="7">
      <w:start w:val="0"/>
      <w:numFmt w:val="bullet"/>
      <w:lvlText w:val="•"/>
      <w:lvlJc w:val="left"/>
      <w:pPr>
        <w:ind w:left="7728" w:hanging="393"/>
      </w:pPr>
      <w:rPr>
        <w:rFonts w:hint="default"/>
        <w:lang w:val="pt-PT" w:eastAsia="en-US" w:bidi="ar-SA"/>
      </w:rPr>
    </w:lvl>
    <w:lvl w:ilvl="8">
      <w:start w:val="0"/>
      <w:numFmt w:val="bullet"/>
      <w:lvlText w:val="•"/>
      <w:lvlJc w:val="left"/>
      <w:pPr>
        <w:ind w:left="8883" w:hanging="393"/>
      </w:pPr>
      <w:rPr>
        <w:rFonts w:hint="default"/>
        <w:lang w:val="pt-PT" w:eastAsia="en-US" w:bidi="ar-SA"/>
      </w:rPr>
    </w:lvl>
  </w:abstractNum>
  <w:abstractNum w:abstractNumId="13">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12">
    <w:multiLevelType w:val="hybridMultilevel"/>
    <w:lvl w:ilvl="0">
      <w:start w:val="0"/>
      <w:numFmt w:val="bullet"/>
      <w:lvlText w:val="•"/>
      <w:lvlJc w:val="left"/>
      <w:pPr>
        <w:ind w:left="68" w:hanging="333"/>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414" w:hanging="393"/>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2">
      <w:start w:val="0"/>
      <w:numFmt w:val="bullet"/>
      <w:lvlText w:val="•"/>
      <w:lvlJc w:val="left"/>
      <w:pPr>
        <w:ind w:left="1617" w:hanging="393"/>
      </w:pPr>
      <w:rPr>
        <w:rFonts w:hint="default"/>
        <w:lang w:val="pt-PT" w:eastAsia="en-US" w:bidi="ar-SA"/>
      </w:rPr>
    </w:lvl>
    <w:lvl w:ilvl="3">
      <w:start w:val="0"/>
      <w:numFmt w:val="bullet"/>
      <w:lvlText w:val="•"/>
      <w:lvlJc w:val="left"/>
      <w:pPr>
        <w:ind w:left="2814" w:hanging="393"/>
      </w:pPr>
      <w:rPr>
        <w:rFonts w:hint="default"/>
        <w:lang w:val="pt-PT" w:eastAsia="en-US" w:bidi="ar-SA"/>
      </w:rPr>
    </w:lvl>
    <w:lvl w:ilvl="4">
      <w:start w:val="0"/>
      <w:numFmt w:val="bullet"/>
      <w:lvlText w:val="•"/>
      <w:lvlJc w:val="left"/>
      <w:pPr>
        <w:ind w:left="4011" w:hanging="393"/>
      </w:pPr>
      <w:rPr>
        <w:rFonts w:hint="default"/>
        <w:lang w:val="pt-PT" w:eastAsia="en-US" w:bidi="ar-SA"/>
      </w:rPr>
    </w:lvl>
    <w:lvl w:ilvl="5">
      <w:start w:val="0"/>
      <w:numFmt w:val="bullet"/>
      <w:lvlText w:val="•"/>
      <w:lvlJc w:val="left"/>
      <w:pPr>
        <w:ind w:left="5208" w:hanging="393"/>
      </w:pPr>
      <w:rPr>
        <w:rFonts w:hint="default"/>
        <w:lang w:val="pt-PT" w:eastAsia="en-US" w:bidi="ar-SA"/>
      </w:rPr>
    </w:lvl>
    <w:lvl w:ilvl="6">
      <w:start w:val="0"/>
      <w:numFmt w:val="bullet"/>
      <w:lvlText w:val="•"/>
      <w:lvlJc w:val="left"/>
      <w:pPr>
        <w:ind w:left="6405" w:hanging="393"/>
      </w:pPr>
      <w:rPr>
        <w:rFonts w:hint="default"/>
        <w:lang w:val="pt-PT" w:eastAsia="en-US" w:bidi="ar-SA"/>
      </w:rPr>
    </w:lvl>
    <w:lvl w:ilvl="7">
      <w:start w:val="0"/>
      <w:numFmt w:val="bullet"/>
      <w:lvlText w:val="•"/>
      <w:lvlJc w:val="left"/>
      <w:pPr>
        <w:ind w:left="7602" w:hanging="393"/>
      </w:pPr>
      <w:rPr>
        <w:rFonts w:hint="default"/>
        <w:lang w:val="pt-PT" w:eastAsia="en-US" w:bidi="ar-SA"/>
      </w:rPr>
    </w:lvl>
    <w:lvl w:ilvl="8">
      <w:start w:val="0"/>
      <w:numFmt w:val="bullet"/>
      <w:lvlText w:val="•"/>
      <w:lvlJc w:val="left"/>
      <w:pPr>
        <w:ind w:left="8799" w:hanging="393"/>
      </w:pPr>
      <w:rPr>
        <w:rFonts w:hint="default"/>
        <w:lang w:val="pt-PT" w:eastAsia="en-US" w:bidi="ar-SA"/>
      </w:rPr>
    </w:lvl>
  </w:abstractNum>
  <w:abstractNum w:abstractNumId="11">
    <w:multiLevelType w:val="hybridMultilevel"/>
    <w:lvl w:ilvl="0">
      <w:start w:val="0"/>
      <w:numFmt w:val="bullet"/>
      <w:lvlText w:val="•"/>
      <w:lvlJc w:val="left"/>
      <w:pPr>
        <w:ind w:left="68"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29"/>
      </w:pPr>
      <w:rPr>
        <w:rFonts w:hint="default"/>
        <w:lang w:val="pt-PT" w:eastAsia="en-US" w:bidi="ar-SA"/>
      </w:rPr>
    </w:lvl>
    <w:lvl w:ilvl="2">
      <w:start w:val="0"/>
      <w:numFmt w:val="bullet"/>
      <w:lvlText w:val="•"/>
      <w:lvlJc w:val="left"/>
      <w:pPr>
        <w:ind w:left="2286" w:hanging="329"/>
      </w:pPr>
      <w:rPr>
        <w:rFonts w:hint="default"/>
        <w:lang w:val="pt-PT" w:eastAsia="en-US" w:bidi="ar-SA"/>
      </w:rPr>
    </w:lvl>
    <w:lvl w:ilvl="3">
      <w:start w:val="0"/>
      <w:numFmt w:val="bullet"/>
      <w:lvlText w:val="•"/>
      <w:lvlJc w:val="left"/>
      <w:pPr>
        <w:ind w:left="3399" w:hanging="329"/>
      </w:pPr>
      <w:rPr>
        <w:rFonts w:hint="default"/>
        <w:lang w:val="pt-PT" w:eastAsia="en-US" w:bidi="ar-SA"/>
      </w:rPr>
    </w:lvl>
    <w:lvl w:ilvl="4">
      <w:start w:val="0"/>
      <w:numFmt w:val="bullet"/>
      <w:lvlText w:val="•"/>
      <w:lvlJc w:val="left"/>
      <w:pPr>
        <w:ind w:left="4513" w:hanging="329"/>
      </w:pPr>
      <w:rPr>
        <w:rFonts w:hint="default"/>
        <w:lang w:val="pt-PT" w:eastAsia="en-US" w:bidi="ar-SA"/>
      </w:rPr>
    </w:lvl>
    <w:lvl w:ilvl="5">
      <w:start w:val="0"/>
      <w:numFmt w:val="bullet"/>
      <w:lvlText w:val="•"/>
      <w:lvlJc w:val="left"/>
      <w:pPr>
        <w:ind w:left="5626" w:hanging="329"/>
      </w:pPr>
      <w:rPr>
        <w:rFonts w:hint="default"/>
        <w:lang w:val="pt-PT" w:eastAsia="en-US" w:bidi="ar-SA"/>
      </w:rPr>
    </w:lvl>
    <w:lvl w:ilvl="6">
      <w:start w:val="0"/>
      <w:numFmt w:val="bullet"/>
      <w:lvlText w:val="•"/>
      <w:lvlJc w:val="left"/>
      <w:pPr>
        <w:ind w:left="6739" w:hanging="329"/>
      </w:pPr>
      <w:rPr>
        <w:rFonts w:hint="default"/>
        <w:lang w:val="pt-PT" w:eastAsia="en-US" w:bidi="ar-SA"/>
      </w:rPr>
    </w:lvl>
    <w:lvl w:ilvl="7">
      <w:start w:val="0"/>
      <w:numFmt w:val="bullet"/>
      <w:lvlText w:val="•"/>
      <w:lvlJc w:val="left"/>
      <w:pPr>
        <w:ind w:left="7853" w:hanging="329"/>
      </w:pPr>
      <w:rPr>
        <w:rFonts w:hint="default"/>
        <w:lang w:val="pt-PT" w:eastAsia="en-US" w:bidi="ar-SA"/>
      </w:rPr>
    </w:lvl>
    <w:lvl w:ilvl="8">
      <w:start w:val="0"/>
      <w:numFmt w:val="bullet"/>
      <w:lvlText w:val="•"/>
      <w:lvlJc w:val="left"/>
      <w:pPr>
        <w:ind w:left="8966" w:hanging="329"/>
      </w:pPr>
      <w:rPr>
        <w:rFonts w:hint="default"/>
        <w:lang w:val="pt-PT" w:eastAsia="en-US" w:bidi="ar-SA"/>
      </w:rPr>
    </w:lvl>
  </w:abstractNum>
  <w:abstractNum w:abstractNumId="10">
    <w:multiLevelType w:val="hybridMultilevel"/>
    <w:lvl w:ilvl="0">
      <w:start w:val="0"/>
      <w:numFmt w:val="bullet"/>
      <w:lvlText w:val="•"/>
      <w:lvlJc w:val="left"/>
      <w:pPr>
        <w:ind w:left="68" w:hanging="334"/>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34"/>
      </w:pPr>
      <w:rPr>
        <w:rFonts w:hint="default"/>
        <w:lang w:val="pt-PT" w:eastAsia="en-US" w:bidi="ar-SA"/>
      </w:rPr>
    </w:lvl>
    <w:lvl w:ilvl="2">
      <w:start w:val="0"/>
      <w:numFmt w:val="bullet"/>
      <w:lvlText w:val="•"/>
      <w:lvlJc w:val="left"/>
      <w:pPr>
        <w:ind w:left="2286" w:hanging="334"/>
      </w:pPr>
      <w:rPr>
        <w:rFonts w:hint="default"/>
        <w:lang w:val="pt-PT" w:eastAsia="en-US" w:bidi="ar-SA"/>
      </w:rPr>
    </w:lvl>
    <w:lvl w:ilvl="3">
      <w:start w:val="0"/>
      <w:numFmt w:val="bullet"/>
      <w:lvlText w:val="•"/>
      <w:lvlJc w:val="left"/>
      <w:pPr>
        <w:ind w:left="3399" w:hanging="334"/>
      </w:pPr>
      <w:rPr>
        <w:rFonts w:hint="default"/>
        <w:lang w:val="pt-PT" w:eastAsia="en-US" w:bidi="ar-SA"/>
      </w:rPr>
    </w:lvl>
    <w:lvl w:ilvl="4">
      <w:start w:val="0"/>
      <w:numFmt w:val="bullet"/>
      <w:lvlText w:val="•"/>
      <w:lvlJc w:val="left"/>
      <w:pPr>
        <w:ind w:left="4513" w:hanging="334"/>
      </w:pPr>
      <w:rPr>
        <w:rFonts w:hint="default"/>
        <w:lang w:val="pt-PT" w:eastAsia="en-US" w:bidi="ar-SA"/>
      </w:rPr>
    </w:lvl>
    <w:lvl w:ilvl="5">
      <w:start w:val="0"/>
      <w:numFmt w:val="bullet"/>
      <w:lvlText w:val="•"/>
      <w:lvlJc w:val="left"/>
      <w:pPr>
        <w:ind w:left="5626" w:hanging="334"/>
      </w:pPr>
      <w:rPr>
        <w:rFonts w:hint="default"/>
        <w:lang w:val="pt-PT" w:eastAsia="en-US" w:bidi="ar-SA"/>
      </w:rPr>
    </w:lvl>
    <w:lvl w:ilvl="6">
      <w:start w:val="0"/>
      <w:numFmt w:val="bullet"/>
      <w:lvlText w:val="•"/>
      <w:lvlJc w:val="left"/>
      <w:pPr>
        <w:ind w:left="6739" w:hanging="334"/>
      </w:pPr>
      <w:rPr>
        <w:rFonts w:hint="default"/>
        <w:lang w:val="pt-PT" w:eastAsia="en-US" w:bidi="ar-SA"/>
      </w:rPr>
    </w:lvl>
    <w:lvl w:ilvl="7">
      <w:start w:val="0"/>
      <w:numFmt w:val="bullet"/>
      <w:lvlText w:val="•"/>
      <w:lvlJc w:val="left"/>
      <w:pPr>
        <w:ind w:left="7853" w:hanging="334"/>
      </w:pPr>
      <w:rPr>
        <w:rFonts w:hint="default"/>
        <w:lang w:val="pt-PT" w:eastAsia="en-US" w:bidi="ar-SA"/>
      </w:rPr>
    </w:lvl>
    <w:lvl w:ilvl="8">
      <w:start w:val="0"/>
      <w:numFmt w:val="bullet"/>
      <w:lvlText w:val="•"/>
      <w:lvlJc w:val="left"/>
      <w:pPr>
        <w:ind w:left="8966" w:hanging="334"/>
      </w:pPr>
      <w:rPr>
        <w:rFonts w:hint="default"/>
        <w:lang w:val="pt-PT" w:eastAsia="en-US" w:bidi="ar-SA"/>
      </w:rPr>
    </w:lvl>
  </w:abstractNum>
  <w:abstractNum w:abstractNumId="9">
    <w:multiLevelType w:val="hybridMultilevel"/>
    <w:lvl w:ilvl="0">
      <w:start w:val="0"/>
      <w:numFmt w:val="bullet"/>
      <w:lvlText w:val="•"/>
      <w:lvlJc w:val="left"/>
      <w:pPr>
        <w:ind w:left="210" w:hanging="145"/>
      </w:pPr>
      <w:rPr>
        <w:rFonts w:hint="default" w:ascii="Microsoft Sans Serif" w:hAnsi="Microsoft Sans Serif" w:eastAsia="Microsoft Sans Serif" w:cs="Microsoft Sans Serif"/>
        <w:b w:val="0"/>
        <w:bCs w:val="0"/>
        <w:i w:val="0"/>
        <w:iCs w:val="0"/>
        <w:spacing w:val="0"/>
        <w:w w:val="103"/>
        <w:sz w:val="21"/>
        <w:szCs w:val="21"/>
        <w:lang w:val="pt-PT" w:eastAsia="en-US" w:bidi="ar-SA"/>
      </w:rPr>
    </w:lvl>
    <w:lvl w:ilvl="1">
      <w:start w:val="0"/>
      <w:numFmt w:val="bullet"/>
      <w:lvlText w:val="•"/>
      <w:lvlJc w:val="left"/>
      <w:pPr>
        <w:ind w:left="620" w:hanging="145"/>
      </w:pPr>
      <w:rPr>
        <w:rFonts w:hint="default"/>
        <w:lang w:val="pt-PT" w:eastAsia="en-US" w:bidi="ar-SA"/>
      </w:rPr>
    </w:lvl>
    <w:lvl w:ilvl="2">
      <w:start w:val="0"/>
      <w:numFmt w:val="bullet"/>
      <w:lvlText w:val="•"/>
      <w:lvlJc w:val="left"/>
      <w:pPr>
        <w:ind w:left="1021" w:hanging="145"/>
      </w:pPr>
      <w:rPr>
        <w:rFonts w:hint="default"/>
        <w:lang w:val="pt-PT" w:eastAsia="en-US" w:bidi="ar-SA"/>
      </w:rPr>
    </w:lvl>
    <w:lvl w:ilvl="3">
      <w:start w:val="0"/>
      <w:numFmt w:val="bullet"/>
      <w:lvlText w:val="•"/>
      <w:lvlJc w:val="left"/>
      <w:pPr>
        <w:ind w:left="1421" w:hanging="145"/>
      </w:pPr>
      <w:rPr>
        <w:rFonts w:hint="default"/>
        <w:lang w:val="pt-PT" w:eastAsia="en-US" w:bidi="ar-SA"/>
      </w:rPr>
    </w:lvl>
    <w:lvl w:ilvl="4">
      <w:start w:val="0"/>
      <w:numFmt w:val="bullet"/>
      <w:lvlText w:val="•"/>
      <w:lvlJc w:val="left"/>
      <w:pPr>
        <w:ind w:left="1822" w:hanging="145"/>
      </w:pPr>
      <w:rPr>
        <w:rFonts w:hint="default"/>
        <w:lang w:val="pt-PT" w:eastAsia="en-US" w:bidi="ar-SA"/>
      </w:rPr>
    </w:lvl>
    <w:lvl w:ilvl="5">
      <w:start w:val="0"/>
      <w:numFmt w:val="bullet"/>
      <w:lvlText w:val="•"/>
      <w:lvlJc w:val="left"/>
      <w:pPr>
        <w:ind w:left="2223" w:hanging="145"/>
      </w:pPr>
      <w:rPr>
        <w:rFonts w:hint="default"/>
        <w:lang w:val="pt-PT" w:eastAsia="en-US" w:bidi="ar-SA"/>
      </w:rPr>
    </w:lvl>
    <w:lvl w:ilvl="6">
      <w:start w:val="0"/>
      <w:numFmt w:val="bullet"/>
      <w:lvlText w:val="•"/>
      <w:lvlJc w:val="left"/>
      <w:pPr>
        <w:ind w:left="2623" w:hanging="145"/>
      </w:pPr>
      <w:rPr>
        <w:rFonts w:hint="default"/>
        <w:lang w:val="pt-PT" w:eastAsia="en-US" w:bidi="ar-SA"/>
      </w:rPr>
    </w:lvl>
    <w:lvl w:ilvl="7">
      <w:start w:val="0"/>
      <w:numFmt w:val="bullet"/>
      <w:lvlText w:val="•"/>
      <w:lvlJc w:val="left"/>
      <w:pPr>
        <w:ind w:left="3024" w:hanging="145"/>
      </w:pPr>
      <w:rPr>
        <w:rFonts w:hint="default"/>
        <w:lang w:val="pt-PT" w:eastAsia="en-US" w:bidi="ar-SA"/>
      </w:rPr>
    </w:lvl>
    <w:lvl w:ilvl="8">
      <w:start w:val="0"/>
      <w:numFmt w:val="bullet"/>
      <w:lvlText w:val="•"/>
      <w:lvlJc w:val="left"/>
      <w:pPr>
        <w:ind w:left="3424" w:hanging="145"/>
      </w:pPr>
      <w:rPr>
        <w:rFonts w:hint="default"/>
        <w:lang w:val="pt-PT" w:eastAsia="en-US" w:bidi="ar-SA"/>
      </w:rPr>
    </w:lvl>
  </w:abstractNum>
  <w:abstractNum w:abstractNumId="8">
    <w:multiLevelType w:val="hybridMultilevel"/>
    <w:lvl w:ilvl="0">
      <w:start w:val="0"/>
      <w:numFmt w:val="bullet"/>
      <w:lvlText w:val="•"/>
      <w:lvlJc w:val="left"/>
      <w:pPr>
        <w:ind w:left="211" w:hanging="145"/>
      </w:pPr>
      <w:rPr>
        <w:rFonts w:hint="default" w:ascii="Microsoft Sans Serif" w:hAnsi="Microsoft Sans Serif" w:eastAsia="Microsoft Sans Serif" w:cs="Microsoft Sans Serif"/>
        <w:b w:val="0"/>
        <w:bCs w:val="0"/>
        <w:i w:val="0"/>
        <w:iCs w:val="0"/>
        <w:spacing w:val="0"/>
        <w:w w:val="103"/>
        <w:sz w:val="21"/>
        <w:szCs w:val="21"/>
        <w:lang w:val="pt-PT" w:eastAsia="en-US" w:bidi="ar-SA"/>
      </w:rPr>
    </w:lvl>
    <w:lvl w:ilvl="1">
      <w:start w:val="0"/>
      <w:numFmt w:val="bullet"/>
      <w:lvlText w:val="•"/>
      <w:lvlJc w:val="left"/>
      <w:pPr>
        <w:ind w:left="835" w:hanging="145"/>
      </w:pPr>
      <w:rPr>
        <w:rFonts w:hint="default"/>
        <w:lang w:val="pt-PT" w:eastAsia="en-US" w:bidi="ar-SA"/>
      </w:rPr>
    </w:lvl>
    <w:lvl w:ilvl="2">
      <w:start w:val="0"/>
      <w:numFmt w:val="bullet"/>
      <w:lvlText w:val="•"/>
      <w:lvlJc w:val="left"/>
      <w:pPr>
        <w:ind w:left="1450" w:hanging="145"/>
      </w:pPr>
      <w:rPr>
        <w:rFonts w:hint="default"/>
        <w:lang w:val="pt-PT" w:eastAsia="en-US" w:bidi="ar-SA"/>
      </w:rPr>
    </w:lvl>
    <w:lvl w:ilvl="3">
      <w:start w:val="0"/>
      <w:numFmt w:val="bullet"/>
      <w:lvlText w:val="•"/>
      <w:lvlJc w:val="left"/>
      <w:pPr>
        <w:ind w:left="2065" w:hanging="145"/>
      </w:pPr>
      <w:rPr>
        <w:rFonts w:hint="default"/>
        <w:lang w:val="pt-PT" w:eastAsia="en-US" w:bidi="ar-SA"/>
      </w:rPr>
    </w:lvl>
    <w:lvl w:ilvl="4">
      <w:start w:val="0"/>
      <w:numFmt w:val="bullet"/>
      <w:lvlText w:val="•"/>
      <w:lvlJc w:val="left"/>
      <w:pPr>
        <w:ind w:left="2680" w:hanging="145"/>
      </w:pPr>
      <w:rPr>
        <w:rFonts w:hint="default"/>
        <w:lang w:val="pt-PT" w:eastAsia="en-US" w:bidi="ar-SA"/>
      </w:rPr>
    </w:lvl>
    <w:lvl w:ilvl="5">
      <w:start w:val="0"/>
      <w:numFmt w:val="bullet"/>
      <w:lvlText w:val="•"/>
      <w:lvlJc w:val="left"/>
      <w:pPr>
        <w:ind w:left="3296" w:hanging="145"/>
      </w:pPr>
      <w:rPr>
        <w:rFonts w:hint="default"/>
        <w:lang w:val="pt-PT" w:eastAsia="en-US" w:bidi="ar-SA"/>
      </w:rPr>
    </w:lvl>
    <w:lvl w:ilvl="6">
      <w:start w:val="0"/>
      <w:numFmt w:val="bullet"/>
      <w:lvlText w:val="•"/>
      <w:lvlJc w:val="left"/>
      <w:pPr>
        <w:ind w:left="3911" w:hanging="145"/>
      </w:pPr>
      <w:rPr>
        <w:rFonts w:hint="default"/>
        <w:lang w:val="pt-PT" w:eastAsia="en-US" w:bidi="ar-SA"/>
      </w:rPr>
    </w:lvl>
    <w:lvl w:ilvl="7">
      <w:start w:val="0"/>
      <w:numFmt w:val="bullet"/>
      <w:lvlText w:val="•"/>
      <w:lvlJc w:val="left"/>
      <w:pPr>
        <w:ind w:left="4526" w:hanging="145"/>
      </w:pPr>
      <w:rPr>
        <w:rFonts w:hint="default"/>
        <w:lang w:val="pt-PT" w:eastAsia="en-US" w:bidi="ar-SA"/>
      </w:rPr>
    </w:lvl>
    <w:lvl w:ilvl="8">
      <w:start w:val="0"/>
      <w:numFmt w:val="bullet"/>
      <w:lvlText w:val="•"/>
      <w:lvlJc w:val="left"/>
      <w:pPr>
        <w:ind w:left="5141" w:hanging="145"/>
      </w:pPr>
      <w:rPr>
        <w:rFonts w:hint="default"/>
        <w:lang w:val="pt-PT" w:eastAsia="en-US" w:bidi="ar-SA"/>
      </w:rPr>
    </w:lvl>
  </w:abstractNum>
  <w:abstractNum w:abstractNumId="7">
    <w:multiLevelType w:val="hybridMultilevel"/>
    <w:lvl w:ilvl="0">
      <w:start w:val="0"/>
      <w:numFmt w:val="bullet"/>
      <w:lvlText w:val="•"/>
      <w:lvlJc w:val="left"/>
      <w:pPr>
        <w:ind w:left="210" w:hanging="145"/>
      </w:pPr>
      <w:rPr>
        <w:rFonts w:hint="default" w:ascii="Microsoft Sans Serif" w:hAnsi="Microsoft Sans Serif" w:eastAsia="Microsoft Sans Serif" w:cs="Microsoft Sans Serif"/>
        <w:b w:val="0"/>
        <w:bCs w:val="0"/>
        <w:i w:val="0"/>
        <w:iCs w:val="0"/>
        <w:spacing w:val="0"/>
        <w:w w:val="103"/>
        <w:sz w:val="21"/>
        <w:szCs w:val="21"/>
        <w:lang w:val="pt-PT" w:eastAsia="en-US" w:bidi="ar-SA"/>
      </w:rPr>
    </w:lvl>
    <w:lvl w:ilvl="1">
      <w:start w:val="0"/>
      <w:numFmt w:val="bullet"/>
      <w:lvlText w:val="•"/>
      <w:lvlJc w:val="left"/>
      <w:pPr>
        <w:ind w:left="620" w:hanging="145"/>
      </w:pPr>
      <w:rPr>
        <w:rFonts w:hint="default"/>
        <w:lang w:val="pt-PT" w:eastAsia="en-US" w:bidi="ar-SA"/>
      </w:rPr>
    </w:lvl>
    <w:lvl w:ilvl="2">
      <w:start w:val="0"/>
      <w:numFmt w:val="bullet"/>
      <w:lvlText w:val="•"/>
      <w:lvlJc w:val="left"/>
      <w:pPr>
        <w:ind w:left="1021" w:hanging="145"/>
      </w:pPr>
      <w:rPr>
        <w:rFonts w:hint="default"/>
        <w:lang w:val="pt-PT" w:eastAsia="en-US" w:bidi="ar-SA"/>
      </w:rPr>
    </w:lvl>
    <w:lvl w:ilvl="3">
      <w:start w:val="0"/>
      <w:numFmt w:val="bullet"/>
      <w:lvlText w:val="•"/>
      <w:lvlJc w:val="left"/>
      <w:pPr>
        <w:ind w:left="1421" w:hanging="145"/>
      </w:pPr>
      <w:rPr>
        <w:rFonts w:hint="default"/>
        <w:lang w:val="pt-PT" w:eastAsia="en-US" w:bidi="ar-SA"/>
      </w:rPr>
    </w:lvl>
    <w:lvl w:ilvl="4">
      <w:start w:val="0"/>
      <w:numFmt w:val="bullet"/>
      <w:lvlText w:val="•"/>
      <w:lvlJc w:val="left"/>
      <w:pPr>
        <w:ind w:left="1822" w:hanging="145"/>
      </w:pPr>
      <w:rPr>
        <w:rFonts w:hint="default"/>
        <w:lang w:val="pt-PT" w:eastAsia="en-US" w:bidi="ar-SA"/>
      </w:rPr>
    </w:lvl>
    <w:lvl w:ilvl="5">
      <w:start w:val="0"/>
      <w:numFmt w:val="bullet"/>
      <w:lvlText w:val="•"/>
      <w:lvlJc w:val="left"/>
      <w:pPr>
        <w:ind w:left="2223" w:hanging="145"/>
      </w:pPr>
      <w:rPr>
        <w:rFonts w:hint="default"/>
        <w:lang w:val="pt-PT" w:eastAsia="en-US" w:bidi="ar-SA"/>
      </w:rPr>
    </w:lvl>
    <w:lvl w:ilvl="6">
      <w:start w:val="0"/>
      <w:numFmt w:val="bullet"/>
      <w:lvlText w:val="•"/>
      <w:lvlJc w:val="left"/>
      <w:pPr>
        <w:ind w:left="2623" w:hanging="145"/>
      </w:pPr>
      <w:rPr>
        <w:rFonts w:hint="default"/>
        <w:lang w:val="pt-PT" w:eastAsia="en-US" w:bidi="ar-SA"/>
      </w:rPr>
    </w:lvl>
    <w:lvl w:ilvl="7">
      <w:start w:val="0"/>
      <w:numFmt w:val="bullet"/>
      <w:lvlText w:val="•"/>
      <w:lvlJc w:val="left"/>
      <w:pPr>
        <w:ind w:left="3024" w:hanging="145"/>
      </w:pPr>
      <w:rPr>
        <w:rFonts w:hint="default"/>
        <w:lang w:val="pt-PT" w:eastAsia="en-US" w:bidi="ar-SA"/>
      </w:rPr>
    </w:lvl>
    <w:lvl w:ilvl="8">
      <w:start w:val="0"/>
      <w:numFmt w:val="bullet"/>
      <w:lvlText w:val="•"/>
      <w:lvlJc w:val="left"/>
      <w:pPr>
        <w:ind w:left="3424" w:hanging="145"/>
      </w:pPr>
      <w:rPr>
        <w:rFonts w:hint="default"/>
        <w:lang w:val="pt-PT" w:eastAsia="en-US" w:bidi="ar-SA"/>
      </w:rPr>
    </w:lvl>
  </w:abstractNum>
  <w:abstractNum w:abstractNumId="6">
    <w:multiLevelType w:val="hybridMultilevel"/>
    <w:lvl w:ilvl="0">
      <w:start w:val="0"/>
      <w:numFmt w:val="bullet"/>
      <w:lvlText w:val="•"/>
      <w:lvlJc w:val="left"/>
      <w:pPr>
        <w:ind w:left="211" w:hanging="145"/>
      </w:pPr>
      <w:rPr>
        <w:rFonts w:hint="default" w:ascii="Microsoft Sans Serif" w:hAnsi="Microsoft Sans Serif" w:eastAsia="Microsoft Sans Serif" w:cs="Microsoft Sans Serif"/>
        <w:b w:val="0"/>
        <w:bCs w:val="0"/>
        <w:i w:val="0"/>
        <w:iCs w:val="0"/>
        <w:spacing w:val="0"/>
        <w:w w:val="103"/>
        <w:sz w:val="21"/>
        <w:szCs w:val="21"/>
        <w:lang w:val="pt-PT" w:eastAsia="en-US" w:bidi="ar-SA"/>
      </w:rPr>
    </w:lvl>
    <w:lvl w:ilvl="1">
      <w:start w:val="0"/>
      <w:numFmt w:val="bullet"/>
      <w:lvlText w:val="•"/>
      <w:lvlJc w:val="left"/>
      <w:pPr>
        <w:ind w:left="835" w:hanging="145"/>
      </w:pPr>
      <w:rPr>
        <w:rFonts w:hint="default"/>
        <w:lang w:val="pt-PT" w:eastAsia="en-US" w:bidi="ar-SA"/>
      </w:rPr>
    </w:lvl>
    <w:lvl w:ilvl="2">
      <w:start w:val="0"/>
      <w:numFmt w:val="bullet"/>
      <w:lvlText w:val="•"/>
      <w:lvlJc w:val="left"/>
      <w:pPr>
        <w:ind w:left="1450" w:hanging="145"/>
      </w:pPr>
      <w:rPr>
        <w:rFonts w:hint="default"/>
        <w:lang w:val="pt-PT" w:eastAsia="en-US" w:bidi="ar-SA"/>
      </w:rPr>
    </w:lvl>
    <w:lvl w:ilvl="3">
      <w:start w:val="0"/>
      <w:numFmt w:val="bullet"/>
      <w:lvlText w:val="•"/>
      <w:lvlJc w:val="left"/>
      <w:pPr>
        <w:ind w:left="2065" w:hanging="145"/>
      </w:pPr>
      <w:rPr>
        <w:rFonts w:hint="default"/>
        <w:lang w:val="pt-PT" w:eastAsia="en-US" w:bidi="ar-SA"/>
      </w:rPr>
    </w:lvl>
    <w:lvl w:ilvl="4">
      <w:start w:val="0"/>
      <w:numFmt w:val="bullet"/>
      <w:lvlText w:val="•"/>
      <w:lvlJc w:val="left"/>
      <w:pPr>
        <w:ind w:left="2680" w:hanging="145"/>
      </w:pPr>
      <w:rPr>
        <w:rFonts w:hint="default"/>
        <w:lang w:val="pt-PT" w:eastAsia="en-US" w:bidi="ar-SA"/>
      </w:rPr>
    </w:lvl>
    <w:lvl w:ilvl="5">
      <w:start w:val="0"/>
      <w:numFmt w:val="bullet"/>
      <w:lvlText w:val="•"/>
      <w:lvlJc w:val="left"/>
      <w:pPr>
        <w:ind w:left="3296" w:hanging="145"/>
      </w:pPr>
      <w:rPr>
        <w:rFonts w:hint="default"/>
        <w:lang w:val="pt-PT" w:eastAsia="en-US" w:bidi="ar-SA"/>
      </w:rPr>
    </w:lvl>
    <w:lvl w:ilvl="6">
      <w:start w:val="0"/>
      <w:numFmt w:val="bullet"/>
      <w:lvlText w:val="•"/>
      <w:lvlJc w:val="left"/>
      <w:pPr>
        <w:ind w:left="3911" w:hanging="145"/>
      </w:pPr>
      <w:rPr>
        <w:rFonts w:hint="default"/>
        <w:lang w:val="pt-PT" w:eastAsia="en-US" w:bidi="ar-SA"/>
      </w:rPr>
    </w:lvl>
    <w:lvl w:ilvl="7">
      <w:start w:val="0"/>
      <w:numFmt w:val="bullet"/>
      <w:lvlText w:val="•"/>
      <w:lvlJc w:val="left"/>
      <w:pPr>
        <w:ind w:left="4526" w:hanging="145"/>
      </w:pPr>
      <w:rPr>
        <w:rFonts w:hint="default"/>
        <w:lang w:val="pt-PT" w:eastAsia="en-US" w:bidi="ar-SA"/>
      </w:rPr>
    </w:lvl>
    <w:lvl w:ilvl="8">
      <w:start w:val="0"/>
      <w:numFmt w:val="bullet"/>
      <w:lvlText w:val="•"/>
      <w:lvlJc w:val="left"/>
      <w:pPr>
        <w:ind w:left="5141" w:hanging="145"/>
      </w:pPr>
      <w:rPr>
        <w:rFonts w:hint="default"/>
        <w:lang w:val="pt-PT" w:eastAsia="en-US" w:bidi="ar-SA"/>
      </w:rPr>
    </w:lvl>
  </w:abstractNum>
  <w:abstractNum w:abstractNumId="5">
    <w:multiLevelType w:val="hybridMultilevel"/>
    <w:lvl w:ilvl="0">
      <w:start w:val="0"/>
      <w:numFmt w:val="bullet"/>
      <w:lvlText w:val="•"/>
      <w:lvlJc w:val="left"/>
      <w:pPr>
        <w:ind w:left="210" w:hanging="145"/>
      </w:pPr>
      <w:rPr>
        <w:rFonts w:hint="default" w:ascii="Microsoft Sans Serif" w:hAnsi="Microsoft Sans Serif" w:eastAsia="Microsoft Sans Serif" w:cs="Microsoft Sans Serif"/>
        <w:b w:val="0"/>
        <w:bCs w:val="0"/>
        <w:i w:val="0"/>
        <w:iCs w:val="0"/>
        <w:spacing w:val="0"/>
        <w:w w:val="103"/>
        <w:sz w:val="21"/>
        <w:szCs w:val="21"/>
        <w:lang w:val="pt-PT" w:eastAsia="en-US" w:bidi="ar-SA"/>
      </w:rPr>
    </w:lvl>
    <w:lvl w:ilvl="1">
      <w:start w:val="0"/>
      <w:numFmt w:val="bullet"/>
      <w:lvlText w:val="•"/>
      <w:lvlJc w:val="left"/>
      <w:pPr>
        <w:ind w:left="620" w:hanging="145"/>
      </w:pPr>
      <w:rPr>
        <w:rFonts w:hint="default"/>
        <w:lang w:val="pt-PT" w:eastAsia="en-US" w:bidi="ar-SA"/>
      </w:rPr>
    </w:lvl>
    <w:lvl w:ilvl="2">
      <w:start w:val="0"/>
      <w:numFmt w:val="bullet"/>
      <w:lvlText w:val="•"/>
      <w:lvlJc w:val="left"/>
      <w:pPr>
        <w:ind w:left="1021" w:hanging="145"/>
      </w:pPr>
      <w:rPr>
        <w:rFonts w:hint="default"/>
        <w:lang w:val="pt-PT" w:eastAsia="en-US" w:bidi="ar-SA"/>
      </w:rPr>
    </w:lvl>
    <w:lvl w:ilvl="3">
      <w:start w:val="0"/>
      <w:numFmt w:val="bullet"/>
      <w:lvlText w:val="•"/>
      <w:lvlJc w:val="left"/>
      <w:pPr>
        <w:ind w:left="1421" w:hanging="145"/>
      </w:pPr>
      <w:rPr>
        <w:rFonts w:hint="default"/>
        <w:lang w:val="pt-PT" w:eastAsia="en-US" w:bidi="ar-SA"/>
      </w:rPr>
    </w:lvl>
    <w:lvl w:ilvl="4">
      <w:start w:val="0"/>
      <w:numFmt w:val="bullet"/>
      <w:lvlText w:val="•"/>
      <w:lvlJc w:val="left"/>
      <w:pPr>
        <w:ind w:left="1822" w:hanging="145"/>
      </w:pPr>
      <w:rPr>
        <w:rFonts w:hint="default"/>
        <w:lang w:val="pt-PT" w:eastAsia="en-US" w:bidi="ar-SA"/>
      </w:rPr>
    </w:lvl>
    <w:lvl w:ilvl="5">
      <w:start w:val="0"/>
      <w:numFmt w:val="bullet"/>
      <w:lvlText w:val="•"/>
      <w:lvlJc w:val="left"/>
      <w:pPr>
        <w:ind w:left="2223" w:hanging="145"/>
      </w:pPr>
      <w:rPr>
        <w:rFonts w:hint="default"/>
        <w:lang w:val="pt-PT" w:eastAsia="en-US" w:bidi="ar-SA"/>
      </w:rPr>
    </w:lvl>
    <w:lvl w:ilvl="6">
      <w:start w:val="0"/>
      <w:numFmt w:val="bullet"/>
      <w:lvlText w:val="•"/>
      <w:lvlJc w:val="left"/>
      <w:pPr>
        <w:ind w:left="2623" w:hanging="145"/>
      </w:pPr>
      <w:rPr>
        <w:rFonts w:hint="default"/>
        <w:lang w:val="pt-PT" w:eastAsia="en-US" w:bidi="ar-SA"/>
      </w:rPr>
    </w:lvl>
    <w:lvl w:ilvl="7">
      <w:start w:val="0"/>
      <w:numFmt w:val="bullet"/>
      <w:lvlText w:val="•"/>
      <w:lvlJc w:val="left"/>
      <w:pPr>
        <w:ind w:left="3024" w:hanging="145"/>
      </w:pPr>
      <w:rPr>
        <w:rFonts w:hint="default"/>
        <w:lang w:val="pt-PT" w:eastAsia="en-US" w:bidi="ar-SA"/>
      </w:rPr>
    </w:lvl>
    <w:lvl w:ilvl="8">
      <w:start w:val="0"/>
      <w:numFmt w:val="bullet"/>
      <w:lvlText w:val="•"/>
      <w:lvlJc w:val="left"/>
      <w:pPr>
        <w:ind w:left="3424" w:hanging="145"/>
      </w:pPr>
      <w:rPr>
        <w:rFonts w:hint="default"/>
        <w:lang w:val="pt-PT" w:eastAsia="en-US" w:bidi="ar-SA"/>
      </w:rPr>
    </w:lvl>
  </w:abstractNum>
  <w:abstractNum w:abstractNumId="4">
    <w:multiLevelType w:val="hybridMultilevel"/>
    <w:lvl w:ilvl="0">
      <w:start w:val="0"/>
      <w:numFmt w:val="bullet"/>
      <w:lvlText w:val="•"/>
      <w:lvlJc w:val="left"/>
      <w:pPr>
        <w:ind w:left="211" w:hanging="145"/>
      </w:pPr>
      <w:rPr>
        <w:rFonts w:hint="default" w:ascii="Microsoft Sans Serif" w:hAnsi="Microsoft Sans Serif" w:eastAsia="Microsoft Sans Serif" w:cs="Microsoft Sans Serif"/>
        <w:b w:val="0"/>
        <w:bCs w:val="0"/>
        <w:i w:val="0"/>
        <w:iCs w:val="0"/>
        <w:spacing w:val="0"/>
        <w:w w:val="103"/>
        <w:sz w:val="21"/>
        <w:szCs w:val="21"/>
        <w:lang w:val="pt-PT" w:eastAsia="en-US" w:bidi="ar-SA"/>
      </w:rPr>
    </w:lvl>
    <w:lvl w:ilvl="1">
      <w:start w:val="0"/>
      <w:numFmt w:val="bullet"/>
      <w:lvlText w:val="•"/>
      <w:lvlJc w:val="left"/>
      <w:pPr>
        <w:ind w:left="835" w:hanging="145"/>
      </w:pPr>
      <w:rPr>
        <w:rFonts w:hint="default"/>
        <w:lang w:val="pt-PT" w:eastAsia="en-US" w:bidi="ar-SA"/>
      </w:rPr>
    </w:lvl>
    <w:lvl w:ilvl="2">
      <w:start w:val="0"/>
      <w:numFmt w:val="bullet"/>
      <w:lvlText w:val="•"/>
      <w:lvlJc w:val="left"/>
      <w:pPr>
        <w:ind w:left="1450" w:hanging="145"/>
      </w:pPr>
      <w:rPr>
        <w:rFonts w:hint="default"/>
        <w:lang w:val="pt-PT" w:eastAsia="en-US" w:bidi="ar-SA"/>
      </w:rPr>
    </w:lvl>
    <w:lvl w:ilvl="3">
      <w:start w:val="0"/>
      <w:numFmt w:val="bullet"/>
      <w:lvlText w:val="•"/>
      <w:lvlJc w:val="left"/>
      <w:pPr>
        <w:ind w:left="2065" w:hanging="145"/>
      </w:pPr>
      <w:rPr>
        <w:rFonts w:hint="default"/>
        <w:lang w:val="pt-PT" w:eastAsia="en-US" w:bidi="ar-SA"/>
      </w:rPr>
    </w:lvl>
    <w:lvl w:ilvl="4">
      <w:start w:val="0"/>
      <w:numFmt w:val="bullet"/>
      <w:lvlText w:val="•"/>
      <w:lvlJc w:val="left"/>
      <w:pPr>
        <w:ind w:left="2680" w:hanging="145"/>
      </w:pPr>
      <w:rPr>
        <w:rFonts w:hint="default"/>
        <w:lang w:val="pt-PT" w:eastAsia="en-US" w:bidi="ar-SA"/>
      </w:rPr>
    </w:lvl>
    <w:lvl w:ilvl="5">
      <w:start w:val="0"/>
      <w:numFmt w:val="bullet"/>
      <w:lvlText w:val="•"/>
      <w:lvlJc w:val="left"/>
      <w:pPr>
        <w:ind w:left="3296" w:hanging="145"/>
      </w:pPr>
      <w:rPr>
        <w:rFonts w:hint="default"/>
        <w:lang w:val="pt-PT" w:eastAsia="en-US" w:bidi="ar-SA"/>
      </w:rPr>
    </w:lvl>
    <w:lvl w:ilvl="6">
      <w:start w:val="0"/>
      <w:numFmt w:val="bullet"/>
      <w:lvlText w:val="•"/>
      <w:lvlJc w:val="left"/>
      <w:pPr>
        <w:ind w:left="3911" w:hanging="145"/>
      </w:pPr>
      <w:rPr>
        <w:rFonts w:hint="default"/>
        <w:lang w:val="pt-PT" w:eastAsia="en-US" w:bidi="ar-SA"/>
      </w:rPr>
    </w:lvl>
    <w:lvl w:ilvl="7">
      <w:start w:val="0"/>
      <w:numFmt w:val="bullet"/>
      <w:lvlText w:val="•"/>
      <w:lvlJc w:val="left"/>
      <w:pPr>
        <w:ind w:left="4526" w:hanging="145"/>
      </w:pPr>
      <w:rPr>
        <w:rFonts w:hint="default"/>
        <w:lang w:val="pt-PT" w:eastAsia="en-US" w:bidi="ar-SA"/>
      </w:rPr>
    </w:lvl>
    <w:lvl w:ilvl="8">
      <w:start w:val="0"/>
      <w:numFmt w:val="bullet"/>
      <w:lvlText w:val="•"/>
      <w:lvlJc w:val="left"/>
      <w:pPr>
        <w:ind w:left="5141" w:hanging="145"/>
      </w:pPr>
      <w:rPr>
        <w:rFonts w:hint="default"/>
        <w:lang w:val="pt-PT" w:eastAsia="en-US" w:bidi="ar-SA"/>
      </w:rPr>
    </w:lvl>
  </w:abstractNum>
  <w:abstractNum w:abstractNumId="3">
    <w:multiLevelType w:val="hybridMultilevel"/>
    <w:lvl w:ilvl="0">
      <w:start w:val="0"/>
      <w:numFmt w:val="bullet"/>
      <w:lvlText w:val="•"/>
      <w:lvlJc w:val="left"/>
      <w:pPr>
        <w:ind w:left="397"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479" w:hanging="329"/>
      </w:pPr>
      <w:rPr>
        <w:rFonts w:hint="default"/>
        <w:lang w:val="pt-PT" w:eastAsia="en-US" w:bidi="ar-SA"/>
      </w:rPr>
    </w:lvl>
    <w:lvl w:ilvl="2">
      <w:start w:val="0"/>
      <w:numFmt w:val="bullet"/>
      <w:lvlText w:val="•"/>
      <w:lvlJc w:val="left"/>
      <w:pPr>
        <w:ind w:left="2558" w:hanging="329"/>
      </w:pPr>
      <w:rPr>
        <w:rFonts w:hint="default"/>
        <w:lang w:val="pt-PT" w:eastAsia="en-US" w:bidi="ar-SA"/>
      </w:rPr>
    </w:lvl>
    <w:lvl w:ilvl="3">
      <w:start w:val="0"/>
      <w:numFmt w:val="bullet"/>
      <w:lvlText w:val="•"/>
      <w:lvlJc w:val="left"/>
      <w:pPr>
        <w:ind w:left="3637" w:hanging="329"/>
      </w:pPr>
      <w:rPr>
        <w:rFonts w:hint="default"/>
        <w:lang w:val="pt-PT" w:eastAsia="en-US" w:bidi="ar-SA"/>
      </w:rPr>
    </w:lvl>
    <w:lvl w:ilvl="4">
      <w:start w:val="0"/>
      <w:numFmt w:val="bullet"/>
      <w:lvlText w:val="•"/>
      <w:lvlJc w:val="left"/>
      <w:pPr>
        <w:ind w:left="4717" w:hanging="329"/>
      </w:pPr>
      <w:rPr>
        <w:rFonts w:hint="default"/>
        <w:lang w:val="pt-PT" w:eastAsia="en-US" w:bidi="ar-SA"/>
      </w:rPr>
    </w:lvl>
    <w:lvl w:ilvl="5">
      <w:start w:val="0"/>
      <w:numFmt w:val="bullet"/>
      <w:lvlText w:val="•"/>
      <w:lvlJc w:val="left"/>
      <w:pPr>
        <w:ind w:left="5796" w:hanging="329"/>
      </w:pPr>
      <w:rPr>
        <w:rFonts w:hint="default"/>
        <w:lang w:val="pt-PT" w:eastAsia="en-US" w:bidi="ar-SA"/>
      </w:rPr>
    </w:lvl>
    <w:lvl w:ilvl="6">
      <w:start w:val="0"/>
      <w:numFmt w:val="bullet"/>
      <w:lvlText w:val="•"/>
      <w:lvlJc w:val="left"/>
      <w:pPr>
        <w:ind w:left="6875" w:hanging="329"/>
      </w:pPr>
      <w:rPr>
        <w:rFonts w:hint="default"/>
        <w:lang w:val="pt-PT" w:eastAsia="en-US" w:bidi="ar-SA"/>
      </w:rPr>
    </w:lvl>
    <w:lvl w:ilvl="7">
      <w:start w:val="0"/>
      <w:numFmt w:val="bullet"/>
      <w:lvlText w:val="•"/>
      <w:lvlJc w:val="left"/>
      <w:pPr>
        <w:ind w:left="7955" w:hanging="329"/>
      </w:pPr>
      <w:rPr>
        <w:rFonts w:hint="default"/>
        <w:lang w:val="pt-PT" w:eastAsia="en-US" w:bidi="ar-SA"/>
      </w:rPr>
    </w:lvl>
    <w:lvl w:ilvl="8">
      <w:start w:val="0"/>
      <w:numFmt w:val="bullet"/>
      <w:lvlText w:val="•"/>
      <w:lvlJc w:val="left"/>
      <w:pPr>
        <w:ind w:left="9034" w:hanging="329"/>
      </w:pPr>
      <w:rPr>
        <w:rFonts w:hint="default"/>
        <w:lang w:val="pt-PT" w:eastAsia="en-US" w:bidi="ar-SA"/>
      </w:rPr>
    </w:lvl>
  </w:abstractNum>
  <w:abstractNum w:abstractNumId="2">
    <w:multiLevelType w:val="hybridMultilevel"/>
    <w:lvl w:ilvl="0">
      <w:start w:val="0"/>
      <w:numFmt w:val="bullet"/>
      <w:lvlText w:val="•"/>
      <w:lvlJc w:val="left"/>
      <w:pPr>
        <w:ind w:left="68" w:hanging="346"/>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46"/>
      </w:pPr>
      <w:rPr>
        <w:rFonts w:hint="default"/>
        <w:lang w:val="pt-PT" w:eastAsia="en-US" w:bidi="ar-SA"/>
      </w:rPr>
    </w:lvl>
    <w:lvl w:ilvl="2">
      <w:start w:val="0"/>
      <w:numFmt w:val="bullet"/>
      <w:lvlText w:val="•"/>
      <w:lvlJc w:val="left"/>
      <w:pPr>
        <w:ind w:left="2286" w:hanging="346"/>
      </w:pPr>
      <w:rPr>
        <w:rFonts w:hint="default"/>
        <w:lang w:val="pt-PT" w:eastAsia="en-US" w:bidi="ar-SA"/>
      </w:rPr>
    </w:lvl>
    <w:lvl w:ilvl="3">
      <w:start w:val="0"/>
      <w:numFmt w:val="bullet"/>
      <w:lvlText w:val="•"/>
      <w:lvlJc w:val="left"/>
      <w:pPr>
        <w:ind w:left="3399" w:hanging="346"/>
      </w:pPr>
      <w:rPr>
        <w:rFonts w:hint="default"/>
        <w:lang w:val="pt-PT" w:eastAsia="en-US" w:bidi="ar-SA"/>
      </w:rPr>
    </w:lvl>
    <w:lvl w:ilvl="4">
      <w:start w:val="0"/>
      <w:numFmt w:val="bullet"/>
      <w:lvlText w:val="•"/>
      <w:lvlJc w:val="left"/>
      <w:pPr>
        <w:ind w:left="4513" w:hanging="346"/>
      </w:pPr>
      <w:rPr>
        <w:rFonts w:hint="default"/>
        <w:lang w:val="pt-PT" w:eastAsia="en-US" w:bidi="ar-SA"/>
      </w:rPr>
    </w:lvl>
    <w:lvl w:ilvl="5">
      <w:start w:val="0"/>
      <w:numFmt w:val="bullet"/>
      <w:lvlText w:val="•"/>
      <w:lvlJc w:val="left"/>
      <w:pPr>
        <w:ind w:left="5626" w:hanging="346"/>
      </w:pPr>
      <w:rPr>
        <w:rFonts w:hint="default"/>
        <w:lang w:val="pt-PT" w:eastAsia="en-US" w:bidi="ar-SA"/>
      </w:rPr>
    </w:lvl>
    <w:lvl w:ilvl="6">
      <w:start w:val="0"/>
      <w:numFmt w:val="bullet"/>
      <w:lvlText w:val="•"/>
      <w:lvlJc w:val="left"/>
      <w:pPr>
        <w:ind w:left="6739" w:hanging="346"/>
      </w:pPr>
      <w:rPr>
        <w:rFonts w:hint="default"/>
        <w:lang w:val="pt-PT" w:eastAsia="en-US" w:bidi="ar-SA"/>
      </w:rPr>
    </w:lvl>
    <w:lvl w:ilvl="7">
      <w:start w:val="0"/>
      <w:numFmt w:val="bullet"/>
      <w:lvlText w:val="•"/>
      <w:lvlJc w:val="left"/>
      <w:pPr>
        <w:ind w:left="7853" w:hanging="346"/>
      </w:pPr>
      <w:rPr>
        <w:rFonts w:hint="default"/>
        <w:lang w:val="pt-PT" w:eastAsia="en-US" w:bidi="ar-SA"/>
      </w:rPr>
    </w:lvl>
    <w:lvl w:ilvl="8">
      <w:start w:val="0"/>
      <w:numFmt w:val="bullet"/>
      <w:lvlText w:val="•"/>
      <w:lvlJc w:val="left"/>
      <w:pPr>
        <w:ind w:left="8966" w:hanging="346"/>
      </w:pPr>
      <w:rPr>
        <w:rFonts w:hint="default"/>
        <w:lang w:val="pt-PT" w:eastAsia="en-US" w:bidi="ar-SA"/>
      </w:rPr>
    </w:lvl>
  </w:abstractNum>
  <w:abstractNum w:abstractNumId="1">
    <w:multiLevelType w:val="hybridMultilevel"/>
    <w:lvl w:ilvl="0">
      <w:start w:val="0"/>
      <w:numFmt w:val="bullet"/>
      <w:lvlText w:val="•"/>
      <w:lvlJc w:val="left"/>
      <w:pPr>
        <w:ind w:left="397" w:hanging="329"/>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479" w:hanging="329"/>
      </w:pPr>
      <w:rPr>
        <w:rFonts w:hint="default"/>
        <w:lang w:val="pt-PT" w:eastAsia="en-US" w:bidi="ar-SA"/>
      </w:rPr>
    </w:lvl>
    <w:lvl w:ilvl="2">
      <w:start w:val="0"/>
      <w:numFmt w:val="bullet"/>
      <w:lvlText w:val="•"/>
      <w:lvlJc w:val="left"/>
      <w:pPr>
        <w:ind w:left="2558" w:hanging="329"/>
      </w:pPr>
      <w:rPr>
        <w:rFonts w:hint="default"/>
        <w:lang w:val="pt-PT" w:eastAsia="en-US" w:bidi="ar-SA"/>
      </w:rPr>
    </w:lvl>
    <w:lvl w:ilvl="3">
      <w:start w:val="0"/>
      <w:numFmt w:val="bullet"/>
      <w:lvlText w:val="•"/>
      <w:lvlJc w:val="left"/>
      <w:pPr>
        <w:ind w:left="3637" w:hanging="329"/>
      </w:pPr>
      <w:rPr>
        <w:rFonts w:hint="default"/>
        <w:lang w:val="pt-PT" w:eastAsia="en-US" w:bidi="ar-SA"/>
      </w:rPr>
    </w:lvl>
    <w:lvl w:ilvl="4">
      <w:start w:val="0"/>
      <w:numFmt w:val="bullet"/>
      <w:lvlText w:val="•"/>
      <w:lvlJc w:val="left"/>
      <w:pPr>
        <w:ind w:left="4717" w:hanging="329"/>
      </w:pPr>
      <w:rPr>
        <w:rFonts w:hint="default"/>
        <w:lang w:val="pt-PT" w:eastAsia="en-US" w:bidi="ar-SA"/>
      </w:rPr>
    </w:lvl>
    <w:lvl w:ilvl="5">
      <w:start w:val="0"/>
      <w:numFmt w:val="bullet"/>
      <w:lvlText w:val="•"/>
      <w:lvlJc w:val="left"/>
      <w:pPr>
        <w:ind w:left="5796" w:hanging="329"/>
      </w:pPr>
      <w:rPr>
        <w:rFonts w:hint="default"/>
        <w:lang w:val="pt-PT" w:eastAsia="en-US" w:bidi="ar-SA"/>
      </w:rPr>
    </w:lvl>
    <w:lvl w:ilvl="6">
      <w:start w:val="0"/>
      <w:numFmt w:val="bullet"/>
      <w:lvlText w:val="•"/>
      <w:lvlJc w:val="left"/>
      <w:pPr>
        <w:ind w:left="6875" w:hanging="329"/>
      </w:pPr>
      <w:rPr>
        <w:rFonts w:hint="default"/>
        <w:lang w:val="pt-PT" w:eastAsia="en-US" w:bidi="ar-SA"/>
      </w:rPr>
    </w:lvl>
    <w:lvl w:ilvl="7">
      <w:start w:val="0"/>
      <w:numFmt w:val="bullet"/>
      <w:lvlText w:val="•"/>
      <w:lvlJc w:val="left"/>
      <w:pPr>
        <w:ind w:left="7955" w:hanging="329"/>
      </w:pPr>
      <w:rPr>
        <w:rFonts w:hint="default"/>
        <w:lang w:val="pt-PT" w:eastAsia="en-US" w:bidi="ar-SA"/>
      </w:rPr>
    </w:lvl>
    <w:lvl w:ilvl="8">
      <w:start w:val="0"/>
      <w:numFmt w:val="bullet"/>
      <w:lvlText w:val="•"/>
      <w:lvlJc w:val="left"/>
      <w:pPr>
        <w:ind w:left="9034" w:hanging="329"/>
      </w:pPr>
      <w:rPr>
        <w:rFonts w:hint="default"/>
        <w:lang w:val="pt-PT" w:eastAsia="en-US" w:bidi="ar-SA"/>
      </w:rPr>
    </w:lvl>
  </w:abstractNum>
  <w:abstractNum w:abstractNumId="0">
    <w:multiLevelType w:val="hybridMultilevel"/>
    <w:lvl w:ilvl="0">
      <w:start w:val="0"/>
      <w:numFmt w:val="bullet"/>
      <w:lvlText w:val="•"/>
      <w:lvlJc w:val="left"/>
      <w:pPr>
        <w:ind w:left="68" w:hanging="354"/>
      </w:pPr>
      <w:rPr>
        <w:rFonts w:hint="default" w:ascii="Times New Roman" w:hAnsi="Times New Roman" w:eastAsia="Times New Roman" w:cs="Times New Roman"/>
        <w:b w:val="0"/>
        <w:bCs w:val="0"/>
        <w:i w:val="0"/>
        <w:iCs w:val="0"/>
        <w:color w:val="242B67"/>
        <w:spacing w:val="0"/>
        <w:w w:val="100"/>
        <w:sz w:val="23"/>
        <w:szCs w:val="23"/>
        <w:lang w:val="pt-PT" w:eastAsia="en-US" w:bidi="ar-SA"/>
      </w:rPr>
    </w:lvl>
    <w:lvl w:ilvl="1">
      <w:start w:val="0"/>
      <w:numFmt w:val="bullet"/>
      <w:lvlText w:val="•"/>
      <w:lvlJc w:val="left"/>
      <w:pPr>
        <w:ind w:left="1173" w:hanging="354"/>
      </w:pPr>
      <w:rPr>
        <w:rFonts w:hint="default"/>
        <w:lang w:val="pt-PT" w:eastAsia="en-US" w:bidi="ar-SA"/>
      </w:rPr>
    </w:lvl>
    <w:lvl w:ilvl="2">
      <w:start w:val="0"/>
      <w:numFmt w:val="bullet"/>
      <w:lvlText w:val="•"/>
      <w:lvlJc w:val="left"/>
      <w:pPr>
        <w:ind w:left="2286" w:hanging="354"/>
      </w:pPr>
      <w:rPr>
        <w:rFonts w:hint="default"/>
        <w:lang w:val="pt-PT" w:eastAsia="en-US" w:bidi="ar-SA"/>
      </w:rPr>
    </w:lvl>
    <w:lvl w:ilvl="3">
      <w:start w:val="0"/>
      <w:numFmt w:val="bullet"/>
      <w:lvlText w:val="•"/>
      <w:lvlJc w:val="left"/>
      <w:pPr>
        <w:ind w:left="3399" w:hanging="354"/>
      </w:pPr>
      <w:rPr>
        <w:rFonts w:hint="default"/>
        <w:lang w:val="pt-PT" w:eastAsia="en-US" w:bidi="ar-SA"/>
      </w:rPr>
    </w:lvl>
    <w:lvl w:ilvl="4">
      <w:start w:val="0"/>
      <w:numFmt w:val="bullet"/>
      <w:lvlText w:val="•"/>
      <w:lvlJc w:val="left"/>
      <w:pPr>
        <w:ind w:left="4513" w:hanging="354"/>
      </w:pPr>
      <w:rPr>
        <w:rFonts w:hint="default"/>
        <w:lang w:val="pt-PT" w:eastAsia="en-US" w:bidi="ar-SA"/>
      </w:rPr>
    </w:lvl>
    <w:lvl w:ilvl="5">
      <w:start w:val="0"/>
      <w:numFmt w:val="bullet"/>
      <w:lvlText w:val="•"/>
      <w:lvlJc w:val="left"/>
      <w:pPr>
        <w:ind w:left="5626" w:hanging="354"/>
      </w:pPr>
      <w:rPr>
        <w:rFonts w:hint="default"/>
        <w:lang w:val="pt-PT" w:eastAsia="en-US" w:bidi="ar-SA"/>
      </w:rPr>
    </w:lvl>
    <w:lvl w:ilvl="6">
      <w:start w:val="0"/>
      <w:numFmt w:val="bullet"/>
      <w:lvlText w:val="•"/>
      <w:lvlJc w:val="left"/>
      <w:pPr>
        <w:ind w:left="6739" w:hanging="354"/>
      </w:pPr>
      <w:rPr>
        <w:rFonts w:hint="default"/>
        <w:lang w:val="pt-PT" w:eastAsia="en-US" w:bidi="ar-SA"/>
      </w:rPr>
    </w:lvl>
    <w:lvl w:ilvl="7">
      <w:start w:val="0"/>
      <w:numFmt w:val="bullet"/>
      <w:lvlText w:val="•"/>
      <w:lvlJc w:val="left"/>
      <w:pPr>
        <w:ind w:left="7853" w:hanging="354"/>
      </w:pPr>
      <w:rPr>
        <w:rFonts w:hint="default"/>
        <w:lang w:val="pt-PT" w:eastAsia="en-US" w:bidi="ar-SA"/>
      </w:rPr>
    </w:lvl>
    <w:lvl w:ilvl="8">
      <w:start w:val="0"/>
      <w:numFmt w:val="bullet"/>
      <w:lvlText w:val="•"/>
      <w:lvlJc w:val="left"/>
      <w:pPr>
        <w:ind w:left="8966" w:hanging="354"/>
      </w:pPr>
      <w:rPr>
        <w:rFonts w:hint="default"/>
        <w:lang w:val="pt-PT"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pt-PT" w:eastAsia="en-US" w:bidi="ar-SA"/>
    </w:rPr>
  </w:style>
  <w:style w:styleId="BodyText" w:type="paragraph">
    <w:name w:val="Body Text"/>
    <w:basedOn w:val="Normal"/>
    <w:uiPriority w:val="1"/>
    <w:qFormat/>
    <w:pPr>
      <w:spacing w:before="65"/>
      <w:ind w:left="68" w:firstLine="345"/>
      <w:jc w:val="both"/>
    </w:pPr>
    <w:rPr>
      <w:rFonts w:ascii="Times New Roman" w:hAnsi="Times New Roman" w:eastAsia="Times New Roman" w:cs="Times New Roman"/>
      <w:sz w:val="23"/>
      <w:szCs w:val="23"/>
      <w:lang w:val="pt-PT" w:eastAsia="en-US" w:bidi="ar-SA"/>
    </w:rPr>
  </w:style>
  <w:style w:styleId="Heading1" w:type="paragraph">
    <w:name w:val="Heading 1"/>
    <w:basedOn w:val="Normal"/>
    <w:uiPriority w:val="1"/>
    <w:qFormat/>
    <w:pPr>
      <w:spacing w:before="79"/>
      <w:ind w:left="68"/>
      <w:outlineLvl w:val="1"/>
    </w:pPr>
    <w:rPr>
      <w:rFonts w:ascii="Microsoft Sans Serif" w:hAnsi="Microsoft Sans Serif" w:eastAsia="Microsoft Sans Serif" w:cs="Microsoft Sans Serif"/>
      <w:sz w:val="51"/>
      <w:szCs w:val="51"/>
      <w:lang w:val="pt-PT" w:eastAsia="en-US" w:bidi="ar-SA"/>
    </w:rPr>
  </w:style>
  <w:style w:styleId="Heading2" w:type="paragraph">
    <w:name w:val="Heading 2"/>
    <w:basedOn w:val="Normal"/>
    <w:uiPriority w:val="1"/>
    <w:qFormat/>
    <w:pPr>
      <w:spacing w:before="69"/>
      <w:ind w:left="52"/>
      <w:outlineLvl w:val="2"/>
    </w:pPr>
    <w:rPr>
      <w:rFonts w:ascii="Microsoft Sans Serif" w:hAnsi="Microsoft Sans Serif" w:eastAsia="Microsoft Sans Serif" w:cs="Microsoft Sans Serif"/>
      <w:sz w:val="44"/>
      <w:szCs w:val="44"/>
      <w:lang w:val="pt-PT" w:eastAsia="en-US" w:bidi="ar-SA"/>
    </w:rPr>
  </w:style>
  <w:style w:styleId="Heading3" w:type="paragraph">
    <w:name w:val="Heading 3"/>
    <w:basedOn w:val="Normal"/>
    <w:uiPriority w:val="1"/>
    <w:qFormat/>
    <w:pPr>
      <w:ind w:left="38" w:right="461"/>
      <w:jc w:val="center"/>
      <w:outlineLvl w:val="3"/>
    </w:pPr>
    <w:rPr>
      <w:rFonts w:ascii="Microsoft Sans Serif" w:hAnsi="Microsoft Sans Serif" w:eastAsia="Microsoft Sans Serif" w:cs="Microsoft Sans Serif"/>
      <w:sz w:val="38"/>
      <w:szCs w:val="38"/>
      <w:lang w:val="pt-PT" w:eastAsia="en-US" w:bidi="ar-SA"/>
    </w:rPr>
  </w:style>
  <w:style w:styleId="Heading4" w:type="paragraph">
    <w:name w:val="Heading 4"/>
    <w:basedOn w:val="Normal"/>
    <w:uiPriority w:val="1"/>
    <w:qFormat/>
    <w:pPr>
      <w:ind w:left="68"/>
      <w:outlineLvl w:val="4"/>
    </w:pPr>
    <w:rPr>
      <w:rFonts w:ascii="Arial" w:hAnsi="Arial" w:eastAsia="Arial" w:cs="Arial"/>
      <w:b/>
      <w:bCs/>
      <w:sz w:val="33"/>
      <w:szCs w:val="33"/>
      <w:lang w:val="pt-PT" w:eastAsia="en-US" w:bidi="ar-SA"/>
    </w:rPr>
  </w:style>
  <w:style w:styleId="Heading5" w:type="paragraph">
    <w:name w:val="Heading 5"/>
    <w:basedOn w:val="Normal"/>
    <w:uiPriority w:val="1"/>
    <w:qFormat/>
    <w:pPr>
      <w:ind w:left="68"/>
      <w:outlineLvl w:val="5"/>
    </w:pPr>
    <w:rPr>
      <w:rFonts w:ascii="Arial" w:hAnsi="Arial" w:eastAsia="Arial" w:cs="Arial"/>
      <w:b/>
      <w:bCs/>
      <w:sz w:val="30"/>
      <w:szCs w:val="30"/>
      <w:lang w:val="pt-PT" w:eastAsia="en-US" w:bidi="ar-SA"/>
    </w:rPr>
  </w:style>
  <w:style w:styleId="Heading6" w:type="paragraph">
    <w:name w:val="Heading 6"/>
    <w:basedOn w:val="Normal"/>
    <w:uiPriority w:val="1"/>
    <w:qFormat/>
    <w:pPr>
      <w:spacing w:before="1"/>
      <w:ind w:left="52"/>
      <w:outlineLvl w:val="6"/>
    </w:pPr>
    <w:rPr>
      <w:rFonts w:ascii="Arial" w:hAnsi="Arial" w:eastAsia="Arial" w:cs="Arial"/>
      <w:b/>
      <w:bCs/>
      <w:sz w:val="29"/>
      <w:szCs w:val="29"/>
      <w:lang w:val="pt-PT" w:eastAsia="en-US" w:bidi="ar-SA"/>
    </w:rPr>
  </w:style>
  <w:style w:styleId="Heading7" w:type="paragraph">
    <w:name w:val="Heading 7"/>
    <w:basedOn w:val="Normal"/>
    <w:uiPriority w:val="1"/>
    <w:qFormat/>
    <w:pPr>
      <w:ind w:left="68"/>
      <w:outlineLvl w:val="7"/>
    </w:pPr>
    <w:rPr>
      <w:rFonts w:ascii="Arial" w:hAnsi="Arial" w:eastAsia="Arial" w:cs="Arial"/>
      <w:b/>
      <w:bCs/>
      <w:i/>
      <w:iCs/>
      <w:sz w:val="28"/>
      <w:szCs w:val="28"/>
      <w:lang w:val="pt-PT" w:eastAsia="en-US" w:bidi="ar-SA"/>
    </w:rPr>
  </w:style>
  <w:style w:styleId="Heading8" w:type="paragraph">
    <w:name w:val="Heading 8"/>
    <w:basedOn w:val="Normal"/>
    <w:uiPriority w:val="1"/>
    <w:qFormat/>
    <w:pPr>
      <w:ind w:left="52"/>
      <w:outlineLvl w:val="8"/>
    </w:pPr>
    <w:rPr>
      <w:rFonts w:ascii="Arial" w:hAnsi="Arial" w:eastAsia="Arial" w:cs="Arial"/>
      <w:b/>
      <w:bCs/>
      <w:sz w:val="26"/>
      <w:szCs w:val="26"/>
      <w:lang w:val="pt-PT" w:eastAsia="en-US" w:bidi="ar-SA"/>
    </w:rPr>
  </w:style>
  <w:style w:styleId="Heading9" w:type="paragraph">
    <w:name w:val="Heading 9"/>
    <w:basedOn w:val="Normal"/>
    <w:uiPriority w:val="1"/>
    <w:qFormat/>
    <w:pPr>
      <w:ind w:left="68"/>
      <w:outlineLvl w:val="9"/>
    </w:pPr>
    <w:rPr>
      <w:rFonts w:ascii="Arial" w:hAnsi="Arial" w:eastAsia="Arial" w:cs="Arial"/>
      <w:b/>
      <w:bCs/>
      <w:sz w:val="25"/>
      <w:szCs w:val="25"/>
      <w:lang w:val="pt-PT" w:eastAsia="en-US" w:bidi="ar-SA"/>
    </w:rPr>
  </w:style>
  <w:style w:styleId="ListParagraph" w:type="paragraph">
    <w:name w:val="List Paragraph"/>
    <w:basedOn w:val="Normal"/>
    <w:uiPriority w:val="1"/>
    <w:qFormat/>
    <w:pPr>
      <w:spacing w:before="56"/>
      <w:ind w:left="397" w:hanging="329"/>
    </w:pPr>
    <w:rPr>
      <w:rFonts w:ascii="Times New Roman" w:hAnsi="Times New Roman" w:eastAsia="Times New Roman" w:cs="Times New Roman"/>
      <w:lang w:val="pt-PT" w:eastAsia="en-US" w:bidi="ar-SA"/>
    </w:rPr>
  </w:style>
  <w:style w:styleId="TableParagraph" w:type="paragraph">
    <w:name w:val="Table Paragraph"/>
    <w:basedOn w:val="Normal"/>
    <w:uiPriority w:val="1"/>
    <w:qFormat/>
    <w:pPr>
      <w:spacing w:before="92"/>
      <w:ind w:left="65"/>
    </w:pPr>
    <w:rPr>
      <w:rFonts w:ascii="Microsoft Sans Serif" w:hAnsi="Microsoft Sans Serif" w:eastAsia="Microsoft Sans Serif" w:cs="Microsoft Sans Serif"/>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pn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jpe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 Id="rId73" Type="http://schemas.openxmlformats.org/officeDocument/2006/relationships/image" Target="media/image69.jpeg"/><Relationship Id="rId74" Type="http://schemas.openxmlformats.org/officeDocument/2006/relationships/image" Target="media/image70.jpeg"/><Relationship Id="rId75" Type="http://schemas.openxmlformats.org/officeDocument/2006/relationships/image" Target="media/image71.jpeg"/><Relationship Id="rId76" Type="http://schemas.openxmlformats.org/officeDocument/2006/relationships/image" Target="media/image72.jpeg"/><Relationship Id="rId77" Type="http://schemas.openxmlformats.org/officeDocument/2006/relationships/image" Target="media/image73.jpeg"/><Relationship Id="rId78" Type="http://schemas.openxmlformats.org/officeDocument/2006/relationships/image" Target="media/image74.jpeg"/><Relationship Id="rId79" Type="http://schemas.openxmlformats.org/officeDocument/2006/relationships/image" Target="media/image75.jpeg"/><Relationship Id="rId80" Type="http://schemas.openxmlformats.org/officeDocument/2006/relationships/image" Target="media/image76.jpeg"/><Relationship Id="rId81" Type="http://schemas.openxmlformats.org/officeDocument/2006/relationships/image" Target="media/image77.jpeg"/><Relationship Id="rId82" Type="http://schemas.openxmlformats.org/officeDocument/2006/relationships/image" Target="media/image78.jpeg"/><Relationship Id="rId83" Type="http://schemas.openxmlformats.org/officeDocument/2006/relationships/image" Target="media/image79.jpe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jpeg"/><Relationship Id="rId89" Type="http://schemas.openxmlformats.org/officeDocument/2006/relationships/image" Target="media/image85.png"/><Relationship Id="rId90" Type="http://schemas.openxmlformats.org/officeDocument/2006/relationships/image" Target="media/image86.jpeg"/><Relationship Id="rId91" Type="http://schemas.openxmlformats.org/officeDocument/2006/relationships/image" Target="media/image87.jpeg"/><Relationship Id="rId92" Type="http://schemas.openxmlformats.org/officeDocument/2006/relationships/image" Target="media/image88.jpeg"/><Relationship Id="rId93" Type="http://schemas.openxmlformats.org/officeDocument/2006/relationships/hyperlink" Target="http://gen-io.grupogen.com.br/" TargetMode="External"/><Relationship Id="rId9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2026-09-17T02:45:18Z</dcterms:created>
  <dcterms:modified xsi:type="dcterms:W3CDTF">2026-09-17T02:45:18Z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2026-09-16T00:00:00Z</vt:filetime>
  </property>
</Properties>
</file>